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651D47" w14:textId="1655A418" w:rsidR="00BB372F" w:rsidRPr="009B4AA5" w:rsidRDefault="00BB372F" w:rsidP="00CE2229">
      <w:pPr>
        <w:autoSpaceDE w:val="0"/>
        <w:spacing w:after="240" w:line="360" w:lineRule="auto"/>
        <w:jc w:val="center"/>
        <w:rPr>
          <w:rFonts w:ascii="Arial" w:hAnsi="Arial" w:cs="Arial"/>
          <w:b/>
          <w:sz w:val="28"/>
          <w:szCs w:val="28"/>
          <w:u w:val="single"/>
        </w:rPr>
      </w:pPr>
      <w:r w:rsidRPr="009B4AA5">
        <w:rPr>
          <w:rFonts w:ascii="Arial" w:hAnsi="Arial" w:cs="Arial"/>
          <w:b/>
          <w:bCs/>
          <w:sz w:val="28"/>
          <w:szCs w:val="28"/>
          <w:u w:val="single"/>
        </w:rPr>
        <w:t>COMISSÃO PARLAMENTAR DE INQUÉRITO</w:t>
      </w:r>
      <w:r w:rsidR="00ED60C7" w:rsidRPr="009B4AA5">
        <w:rPr>
          <w:rFonts w:ascii="Arial" w:hAnsi="Arial" w:cs="Arial"/>
          <w:b/>
          <w:bCs/>
          <w:sz w:val="28"/>
          <w:szCs w:val="28"/>
          <w:u w:val="single"/>
        </w:rPr>
        <w:t xml:space="preserve"> </w:t>
      </w:r>
      <w:r w:rsidRPr="009B4AA5">
        <w:rPr>
          <w:rFonts w:ascii="Arial" w:hAnsi="Arial" w:cs="Arial"/>
          <w:b/>
          <w:bCs/>
          <w:sz w:val="28"/>
          <w:szCs w:val="28"/>
          <w:u w:val="single"/>
        </w:rPr>
        <w:t xml:space="preserve">DESTINADA A INVESTIGAR </w:t>
      </w:r>
      <w:r w:rsidR="00CE2229" w:rsidRPr="009B4AA5">
        <w:rPr>
          <w:rFonts w:ascii="Arial" w:hAnsi="Arial" w:cs="Arial"/>
          <w:b/>
          <w:sz w:val="28"/>
          <w:szCs w:val="28"/>
          <w:u w:val="single"/>
        </w:rPr>
        <w:t>POSSÍVEIS IRREGULARIDADES NA CONCESSÃO E NA UTILIZAÇÃO DE INCENTIVOS FISCAIS E FINANCEIROS, INCLUINDO-SE CRÉDITOS OUTORGADOS, NO ESTADO DE GOIÁS</w:t>
      </w:r>
    </w:p>
    <w:p w14:paraId="14212129" w14:textId="24CC466C" w:rsidR="00BB372F" w:rsidRDefault="00BB372F" w:rsidP="00BB372F">
      <w:pPr>
        <w:autoSpaceDE w:val="0"/>
        <w:spacing w:after="240" w:line="360" w:lineRule="auto"/>
        <w:jc w:val="both"/>
        <w:rPr>
          <w:rFonts w:ascii="Arial" w:hAnsi="Arial" w:cs="Arial"/>
          <w:b/>
        </w:rPr>
      </w:pPr>
    </w:p>
    <w:p w14:paraId="4BB66038" w14:textId="3738DB1A" w:rsidR="00C56DCF" w:rsidRDefault="00C56DCF" w:rsidP="00BB372F">
      <w:pPr>
        <w:autoSpaceDE w:val="0"/>
        <w:spacing w:after="240" w:line="360" w:lineRule="auto"/>
        <w:jc w:val="both"/>
        <w:rPr>
          <w:rFonts w:ascii="Arial" w:hAnsi="Arial" w:cs="Arial"/>
          <w:b/>
        </w:rPr>
      </w:pPr>
    </w:p>
    <w:p w14:paraId="1B3A36FC" w14:textId="77777777" w:rsidR="00C56DCF" w:rsidRPr="00BB372F" w:rsidRDefault="00C56DCF" w:rsidP="00BB372F">
      <w:pPr>
        <w:autoSpaceDE w:val="0"/>
        <w:spacing w:after="240" w:line="360" w:lineRule="auto"/>
        <w:jc w:val="both"/>
        <w:rPr>
          <w:rFonts w:ascii="Arial" w:hAnsi="Arial" w:cs="Arial"/>
          <w:b/>
        </w:rPr>
      </w:pPr>
    </w:p>
    <w:p w14:paraId="32135E69" w14:textId="5239C644" w:rsidR="00F624C5" w:rsidRPr="00C56DCF" w:rsidRDefault="00F624C5" w:rsidP="00BB372F">
      <w:pPr>
        <w:autoSpaceDE w:val="0"/>
        <w:spacing w:after="240" w:line="360" w:lineRule="auto"/>
        <w:jc w:val="center"/>
        <w:rPr>
          <w:rFonts w:ascii="Arial" w:hAnsi="Arial" w:cs="Arial"/>
          <w:bCs/>
        </w:rPr>
      </w:pPr>
      <w:r w:rsidRPr="00C56DCF">
        <w:rPr>
          <w:rFonts w:ascii="Arial" w:hAnsi="Arial" w:cs="Arial"/>
          <w:bCs/>
          <w:u w:val="single"/>
        </w:rPr>
        <w:t>TITULARES</w:t>
      </w:r>
      <w:r w:rsidRPr="00C56DCF">
        <w:rPr>
          <w:rFonts w:ascii="Arial" w:hAnsi="Arial" w:cs="Arial"/>
          <w:bCs/>
        </w:rPr>
        <w:t>:</w:t>
      </w:r>
    </w:p>
    <w:p w14:paraId="5601D8D1" w14:textId="479ECC60" w:rsidR="00BB372F" w:rsidRPr="00C56DCF" w:rsidRDefault="00BB372F" w:rsidP="00BB372F">
      <w:pPr>
        <w:autoSpaceDE w:val="0"/>
        <w:spacing w:after="240" w:line="360" w:lineRule="auto"/>
        <w:jc w:val="center"/>
        <w:rPr>
          <w:rFonts w:ascii="Arial" w:hAnsi="Arial" w:cs="Arial"/>
          <w:bCs/>
        </w:rPr>
      </w:pPr>
      <w:r w:rsidRPr="00C56DCF">
        <w:rPr>
          <w:rFonts w:ascii="Arial" w:hAnsi="Arial" w:cs="Arial"/>
          <w:bCs/>
        </w:rPr>
        <w:t xml:space="preserve">Relator: Deputado </w:t>
      </w:r>
      <w:r w:rsidR="00C97F49" w:rsidRPr="00C56DCF">
        <w:rPr>
          <w:rFonts w:ascii="Arial" w:hAnsi="Arial" w:cs="Arial"/>
          <w:bCs/>
        </w:rPr>
        <w:t>HUMBERTO AIDAR</w:t>
      </w:r>
    </w:p>
    <w:p w14:paraId="1FE7A93D" w14:textId="21365C87" w:rsidR="00BB372F" w:rsidRPr="00C56DCF" w:rsidRDefault="00BB372F" w:rsidP="00BB372F">
      <w:pPr>
        <w:autoSpaceDE w:val="0"/>
        <w:spacing w:after="240" w:line="360" w:lineRule="auto"/>
        <w:jc w:val="center"/>
        <w:rPr>
          <w:rFonts w:ascii="Arial" w:hAnsi="Arial" w:cs="Arial"/>
          <w:bCs/>
        </w:rPr>
      </w:pPr>
      <w:r w:rsidRPr="00C56DCF">
        <w:rPr>
          <w:rFonts w:ascii="Arial" w:hAnsi="Arial" w:cs="Arial"/>
          <w:bCs/>
        </w:rPr>
        <w:t>Presidente</w:t>
      </w:r>
      <w:r w:rsidRPr="00C56DCF">
        <w:rPr>
          <w:rFonts w:ascii="Arial" w:hAnsi="Arial" w:cs="Arial"/>
        </w:rPr>
        <w:t xml:space="preserve">: Deputado </w:t>
      </w:r>
      <w:r w:rsidR="00B2640F" w:rsidRPr="00C56DCF">
        <w:rPr>
          <w:rFonts w:ascii="Arial" w:hAnsi="Arial" w:cs="Arial"/>
        </w:rPr>
        <w:t>ÁLVARO GUIMARÃES</w:t>
      </w:r>
    </w:p>
    <w:p w14:paraId="15543E70" w14:textId="434815A9" w:rsidR="00BB372F" w:rsidRPr="00C56DCF" w:rsidRDefault="00DF199D" w:rsidP="00BB372F">
      <w:pPr>
        <w:autoSpaceDE w:val="0"/>
        <w:spacing w:after="240" w:line="360" w:lineRule="auto"/>
        <w:jc w:val="center"/>
        <w:rPr>
          <w:rFonts w:ascii="Arial" w:hAnsi="Arial" w:cs="Arial"/>
          <w:bCs/>
        </w:rPr>
      </w:pPr>
      <w:r w:rsidRPr="00C56DCF">
        <w:rPr>
          <w:rFonts w:ascii="Arial" w:hAnsi="Arial" w:cs="Arial"/>
          <w:bCs/>
        </w:rPr>
        <w:t>Demais membros</w:t>
      </w:r>
      <w:r w:rsidR="00BB372F" w:rsidRPr="00C56DCF">
        <w:rPr>
          <w:rFonts w:ascii="Arial" w:hAnsi="Arial" w:cs="Arial"/>
          <w:bCs/>
        </w:rPr>
        <w:t xml:space="preserve">: Deputado </w:t>
      </w:r>
      <w:r w:rsidRPr="00C56DCF">
        <w:rPr>
          <w:rFonts w:ascii="Arial" w:hAnsi="Arial" w:cs="Arial"/>
          <w:bCs/>
        </w:rPr>
        <w:t>TALLES BARRETO</w:t>
      </w:r>
    </w:p>
    <w:p w14:paraId="5BEC07C8" w14:textId="10D93A7B" w:rsidR="00BB372F" w:rsidRPr="00C56DCF" w:rsidRDefault="00BB372F" w:rsidP="00BB372F">
      <w:pPr>
        <w:tabs>
          <w:tab w:val="center" w:pos="4252"/>
          <w:tab w:val="left" w:pos="6525"/>
        </w:tabs>
        <w:autoSpaceDE w:val="0"/>
        <w:spacing w:after="240" w:line="360" w:lineRule="auto"/>
        <w:jc w:val="center"/>
        <w:rPr>
          <w:rFonts w:ascii="Arial" w:hAnsi="Arial" w:cs="Arial"/>
          <w:bCs/>
        </w:rPr>
      </w:pPr>
      <w:r w:rsidRPr="00C56DCF">
        <w:rPr>
          <w:rFonts w:ascii="Arial" w:hAnsi="Arial" w:cs="Arial"/>
          <w:bCs/>
        </w:rPr>
        <w:t xml:space="preserve">Deputado </w:t>
      </w:r>
      <w:r w:rsidR="00DF199D" w:rsidRPr="00C56DCF">
        <w:rPr>
          <w:rFonts w:ascii="Arial" w:hAnsi="Arial" w:cs="Arial"/>
          <w:bCs/>
        </w:rPr>
        <w:t>MAJOR ARAÚJO</w:t>
      </w:r>
    </w:p>
    <w:p w14:paraId="08F36D3C" w14:textId="6EC03B54" w:rsidR="00BB372F" w:rsidRPr="00C56DCF" w:rsidRDefault="00BB372F" w:rsidP="00BB372F">
      <w:pPr>
        <w:autoSpaceDE w:val="0"/>
        <w:spacing w:after="240" w:line="360" w:lineRule="auto"/>
        <w:jc w:val="center"/>
        <w:rPr>
          <w:rFonts w:ascii="Arial" w:hAnsi="Arial" w:cs="Arial"/>
          <w:bCs/>
        </w:rPr>
      </w:pPr>
      <w:r w:rsidRPr="00C56DCF">
        <w:rPr>
          <w:rFonts w:ascii="Arial" w:hAnsi="Arial" w:cs="Arial"/>
          <w:bCs/>
        </w:rPr>
        <w:t xml:space="preserve">Deputado </w:t>
      </w:r>
      <w:r w:rsidR="00DF199D" w:rsidRPr="00C56DCF">
        <w:rPr>
          <w:rFonts w:ascii="Arial" w:hAnsi="Arial" w:cs="Arial"/>
          <w:bCs/>
        </w:rPr>
        <w:t>VINÍCIUS CIRQUEIRA</w:t>
      </w:r>
    </w:p>
    <w:p w14:paraId="3B7395A1" w14:textId="77777777" w:rsidR="00BB372F" w:rsidRPr="00C56DCF" w:rsidRDefault="00BB372F" w:rsidP="00BB372F">
      <w:pPr>
        <w:autoSpaceDE w:val="0"/>
        <w:spacing w:after="240" w:line="360" w:lineRule="auto"/>
        <w:jc w:val="center"/>
        <w:rPr>
          <w:rFonts w:ascii="Arial" w:hAnsi="Arial" w:cs="Arial"/>
          <w:bCs/>
        </w:rPr>
      </w:pPr>
      <w:r w:rsidRPr="00C56DCF">
        <w:rPr>
          <w:rFonts w:ascii="Arial" w:hAnsi="Arial" w:cs="Arial"/>
          <w:bCs/>
          <w:u w:val="single"/>
        </w:rPr>
        <w:t>SUPLENTES</w:t>
      </w:r>
      <w:r w:rsidRPr="00C56DCF">
        <w:rPr>
          <w:rFonts w:ascii="Arial" w:hAnsi="Arial" w:cs="Arial"/>
          <w:bCs/>
        </w:rPr>
        <w:t>:</w:t>
      </w:r>
    </w:p>
    <w:p w14:paraId="6D87340B" w14:textId="43637028" w:rsidR="00D953D9" w:rsidRPr="00C56DCF" w:rsidRDefault="00D953D9" w:rsidP="00BB372F">
      <w:pPr>
        <w:autoSpaceDE w:val="0"/>
        <w:spacing w:after="240" w:line="360" w:lineRule="auto"/>
        <w:jc w:val="center"/>
        <w:rPr>
          <w:rFonts w:ascii="Arial" w:hAnsi="Arial" w:cs="Arial"/>
          <w:bCs/>
        </w:rPr>
      </w:pPr>
      <w:r w:rsidRPr="00C56DCF">
        <w:rPr>
          <w:rFonts w:ascii="Arial" w:hAnsi="Arial" w:cs="Arial"/>
          <w:bCs/>
        </w:rPr>
        <w:t>Deputado HENRIQUE ARANTES</w:t>
      </w:r>
    </w:p>
    <w:p w14:paraId="36396562" w14:textId="77777777" w:rsidR="004A0C0F" w:rsidRPr="00C56DCF" w:rsidRDefault="004A0C0F" w:rsidP="004A0C0F">
      <w:pPr>
        <w:autoSpaceDE w:val="0"/>
        <w:spacing w:after="240" w:line="360" w:lineRule="auto"/>
        <w:jc w:val="center"/>
        <w:rPr>
          <w:rFonts w:ascii="Arial" w:hAnsi="Arial" w:cs="Arial"/>
          <w:bCs/>
        </w:rPr>
      </w:pPr>
      <w:r w:rsidRPr="00C56DCF">
        <w:rPr>
          <w:rFonts w:ascii="Arial" w:hAnsi="Arial" w:cs="Arial"/>
          <w:bCs/>
        </w:rPr>
        <w:t>Deputado THIAGO ALBERNAZ</w:t>
      </w:r>
    </w:p>
    <w:p w14:paraId="5C4011BC" w14:textId="581660AA" w:rsidR="00BB372F" w:rsidRPr="00C56DCF" w:rsidRDefault="00BB372F" w:rsidP="00BB372F">
      <w:pPr>
        <w:autoSpaceDE w:val="0"/>
        <w:spacing w:after="240" w:line="360" w:lineRule="auto"/>
        <w:jc w:val="center"/>
        <w:rPr>
          <w:rFonts w:ascii="Arial" w:hAnsi="Arial" w:cs="Arial"/>
          <w:bCs/>
        </w:rPr>
      </w:pPr>
      <w:r w:rsidRPr="00C56DCF">
        <w:rPr>
          <w:rFonts w:ascii="Arial" w:hAnsi="Arial" w:cs="Arial"/>
          <w:bCs/>
        </w:rPr>
        <w:t xml:space="preserve">Deputado </w:t>
      </w:r>
      <w:r w:rsidR="00B00E49" w:rsidRPr="00C56DCF">
        <w:rPr>
          <w:rFonts w:ascii="Arial" w:hAnsi="Arial" w:cs="Arial"/>
          <w:bCs/>
        </w:rPr>
        <w:t>TIÃO CAROÇO</w:t>
      </w:r>
    </w:p>
    <w:p w14:paraId="20F547BE" w14:textId="5A341F30" w:rsidR="00BB372F" w:rsidRPr="00C56DCF" w:rsidRDefault="00BB372F" w:rsidP="00BB372F">
      <w:pPr>
        <w:autoSpaceDE w:val="0"/>
        <w:spacing w:after="240" w:line="360" w:lineRule="auto"/>
        <w:jc w:val="center"/>
        <w:rPr>
          <w:rFonts w:ascii="Arial" w:hAnsi="Arial" w:cs="Arial"/>
          <w:bCs/>
        </w:rPr>
      </w:pPr>
      <w:r w:rsidRPr="00C56DCF">
        <w:rPr>
          <w:rFonts w:ascii="Arial" w:hAnsi="Arial" w:cs="Arial"/>
          <w:bCs/>
        </w:rPr>
        <w:t xml:space="preserve">Deputado </w:t>
      </w:r>
      <w:r w:rsidR="00B00E49" w:rsidRPr="00C56DCF">
        <w:rPr>
          <w:rFonts w:ascii="Arial" w:hAnsi="Arial" w:cs="Arial"/>
          <w:bCs/>
        </w:rPr>
        <w:t>LUCAS CALIL</w:t>
      </w:r>
    </w:p>
    <w:p w14:paraId="08DB4A4A" w14:textId="12450F98" w:rsidR="00BB372F" w:rsidRPr="00C56DCF" w:rsidRDefault="00BB372F" w:rsidP="00BB372F">
      <w:pPr>
        <w:autoSpaceDE w:val="0"/>
        <w:spacing w:after="240" w:line="360" w:lineRule="auto"/>
        <w:jc w:val="center"/>
        <w:rPr>
          <w:rFonts w:ascii="Arial" w:hAnsi="Arial" w:cs="Arial"/>
          <w:bCs/>
        </w:rPr>
      </w:pPr>
      <w:r w:rsidRPr="00C56DCF">
        <w:rPr>
          <w:rFonts w:ascii="Arial" w:hAnsi="Arial" w:cs="Arial"/>
          <w:bCs/>
        </w:rPr>
        <w:t xml:space="preserve">Deputado </w:t>
      </w:r>
      <w:r w:rsidR="00B00E49" w:rsidRPr="00C56DCF">
        <w:rPr>
          <w:rFonts w:ascii="Arial" w:hAnsi="Arial" w:cs="Arial"/>
          <w:bCs/>
        </w:rPr>
        <w:t>CORONEL ADAILTO</w:t>
      </w:r>
      <w:r w:rsidR="00BF34F2" w:rsidRPr="00C56DCF">
        <w:rPr>
          <w:rFonts w:ascii="Arial" w:hAnsi="Arial" w:cs="Arial"/>
          <w:bCs/>
        </w:rPr>
        <w:t>N</w:t>
      </w:r>
    </w:p>
    <w:p w14:paraId="37F7E1F5" w14:textId="015061A8" w:rsidR="00E225DF" w:rsidRPr="00C56DCF" w:rsidRDefault="00E225DF" w:rsidP="00BB372F">
      <w:pPr>
        <w:autoSpaceDE w:val="0"/>
        <w:spacing w:after="240" w:line="360" w:lineRule="auto"/>
        <w:jc w:val="center"/>
        <w:rPr>
          <w:rFonts w:ascii="Arial" w:hAnsi="Arial" w:cs="Arial"/>
          <w:bCs/>
          <w:u w:val="single"/>
        </w:rPr>
      </w:pPr>
    </w:p>
    <w:p w14:paraId="03BF272D" w14:textId="6582B75E" w:rsidR="00C56DCF" w:rsidRPr="00C56DCF" w:rsidRDefault="00C56DCF" w:rsidP="00C56DCF">
      <w:pPr>
        <w:autoSpaceDE w:val="0"/>
        <w:spacing w:after="240" w:line="360" w:lineRule="auto"/>
        <w:jc w:val="both"/>
        <w:rPr>
          <w:rFonts w:ascii="Arial" w:hAnsi="Arial" w:cs="Arial"/>
          <w:bCs/>
          <w:u w:val="single"/>
        </w:rPr>
      </w:pPr>
    </w:p>
    <w:p w14:paraId="62C18A88" w14:textId="3A3AE794" w:rsidR="00C56DCF" w:rsidRPr="00C56DCF" w:rsidRDefault="00C56DCF" w:rsidP="00C56DCF">
      <w:pPr>
        <w:autoSpaceDE w:val="0"/>
        <w:spacing w:after="240" w:line="360" w:lineRule="auto"/>
        <w:jc w:val="both"/>
        <w:rPr>
          <w:rFonts w:ascii="Arial" w:hAnsi="Arial" w:cs="Arial"/>
          <w:bCs/>
          <w:u w:val="single"/>
        </w:rPr>
      </w:pPr>
    </w:p>
    <w:p w14:paraId="00D2DA1C" w14:textId="770EE26C" w:rsidR="00C56DCF" w:rsidRDefault="00C56DCF" w:rsidP="00C56DCF">
      <w:pPr>
        <w:autoSpaceDE w:val="0"/>
        <w:spacing w:after="240" w:line="360" w:lineRule="auto"/>
        <w:jc w:val="both"/>
        <w:rPr>
          <w:rFonts w:ascii="Arial" w:hAnsi="Arial" w:cs="Arial"/>
          <w:bCs/>
          <w:u w:val="single"/>
        </w:rPr>
      </w:pPr>
    </w:p>
    <w:p w14:paraId="111132F6" w14:textId="2BF3B288" w:rsidR="00C56DCF" w:rsidRDefault="00C56DCF" w:rsidP="00C56DCF">
      <w:pPr>
        <w:autoSpaceDE w:val="0"/>
        <w:spacing w:after="240" w:line="360" w:lineRule="auto"/>
        <w:jc w:val="both"/>
        <w:rPr>
          <w:rFonts w:ascii="Arial" w:hAnsi="Arial" w:cs="Arial"/>
          <w:bCs/>
          <w:u w:val="single"/>
        </w:rPr>
      </w:pPr>
    </w:p>
    <w:p w14:paraId="3EA5B7F6" w14:textId="05FA702C" w:rsidR="00672503" w:rsidRDefault="00672503" w:rsidP="00672503">
      <w:pPr>
        <w:autoSpaceDE w:val="0"/>
        <w:spacing w:line="360" w:lineRule="auto"/>
        <w:ind w:left="2268"/>
        <w:jc w:val="center"/>
        <w:rPr>
          <w:rFonts w:ascii="Arial" w:hAnsi="Arial" w:cs="Arial"/>
          <w:bCs/>
          <w:i/>
          <w:sz w:val="22"/>
        </w:rPr>
      </w:pPr>
      <w:r w:rsidRPr="00672503">
        <w:rPr>
          <w:rFonts w:ascii="Arial" w:hAnsi="Arial" w:cs="Arial"/>
          <w:bCs/>
          <w:i/>
          <w:sz w:val="22"/>
        </w:rPr>
        <w:t>RECEITA — 96:924$985</w:t>
      </w:r>
    </w:p>
    <w:p w14:paraId="73ADFFCE" w14:textId="77777777" w:rsidR="00672503" w:rsidRPr="00672503" w:rsidRDefault="00672503" w:rsidP="00672503">
      <w:pPr>
        <w:autoSpaceDE w:val="0"/>
        <w:spacing w:line="360" w:lineRule="auto"/>
        <w:ind w:left="2268"/>
        <w:jc w:val="center"/>
        <w:rPr>
          <w:rFonts w:ascii="Arial" w:hAnsi="Arial" w:cs="Arial"/>
          <w:bCs/>
          <w:i/>
          <w:sz w:val="22"/>
        </w:rPr>
      </w:pPr>
    </w:p>
    <w:p w14:paraId="7EA2B3BA" w14:textId="77777777" w:rsidR="00672503" w:rsidRPr="00672503" w:rsidRDefault="00672503" w:rsidP="00672503">
      <w:pPr>
        <w:autoSpaceDE w:val="0"/>
        <w:spacing w:line="360" w:lineRule="auto"/>
        <w:ind w:left="2268"/>
        <w:jc w:val="both"/>
        <w:rPr>
          <w:rFonts w:ascii="Arial" w:hAnsi="Arial" w:cs="Arial"/>
          <w:bCs/>
          <w:i/>
          <w:sz w:val="22"/>
        </w:rPr>
      </w:pPr>
      <w:r w:rsidRPr="00672503">
        <w:rPr>
          <w:rFonts w:ascii="Arial" w:hAnsi="Arial" w:cs="Arial"/>
          <w:bCs/>
          <w:i/>
          <w:sz w:val="22"/>
        </w:rPr>
        <w:t>No orçamento do anno passado houve suppressão de varias taxas que existiam em 1928. A receita, entretanto, calculada em 68:850$000, attingiu 96:924$985.</w:t>
      </w:r>
    </w:p>
    <w:p w14:paraId="2C8BC235" w14:textId="77777777" w:rsidR="00672503" w:rsidRPr="00672503" w:rsidRDefault="00672503" w:rsidP="00672503">
      <w:pPr>
        <w:autoSpaceDE w:val="0"/>
        <w:spacing w:line="360" w:lineRule="auto"/>
        <w:ind w:left="2268"/>
        <w:jc w:val="both"/>
        <w:rPr>
          <w:rFonts w:ascii="Arial" w:hAnsi="Arial" w:cs="Arial"/>
          <w:bCs/>
          <w:i/>
          <w:sz w:val="22"/>
        </w:rPr>
      </w:pPr>
      <w:r w:rsidRPr="00672503">
        <w:rPr>
          <w:rFonts w:ascii="Arial" w:hAnsi="Arial" w:cs="Arial"/>
          <w:bCs/>
          <w:i/>
          <w:sz w:val="22"/>
        </w:rPr>
        <w:t>E não empreguei rigores excessivos. Fiz apenas isto: extingui favores largamente concedidos a pessoas que não precisavam delles e puz termo ás extorções que affligiam os matutos de pequeno valor, ordinariamente raspados, escorchados, esbrugados pelos exactores.</w:t>
      </w:r>
    </w:p>
    <w:p w14:paraId="6F727646" w14:textId="08FEA850" w:rsidR="00C56DCF" w:rsidRPr="00672503" w:rsidRDefault="00672503" w:rsidP="00672503">
      <w:pPr>
        <w:autoSpaceDE w:val="0"/>
        <w:spacing w:line="360" w:lineRule="auto"/>
        <w:ind w:left="2268"/>
        <w:jc w:val="both"/>
        <w:rPr>
          <w:rFonts w:ascii="Arial" w:hAnsi="Arial" w:cs="Arial"/>
          <w:bCs/>
          <w:i/>
          <w:sz w:val="22"/>
        </w:rPr>
      </w:pPr>
      <w:r w:rsidRPr="00672503">
        <w:rPr>
          <w:rFonts w:ascii="Arial" w:hAnsi="Arial" w:cs="Arial"/>
          <w:bCs/>
          <w:i/>
          <w:sz w:val="22"/>
        </w:rPr>
        <w:t>Não me resolveria, é claro, a pôr em pratica no segundo anno de administração a equidade que torna o imposto supportavel. Adoptei-a logo no começo. A receita em 1928 cresceu bastante. E se não chegou á somma agora alcançada, e que me foram indispensaveis alguns mezes para corrigir irregularidades muito serias, prejudiciaes á arrecadação.</w:t>
      </w:r>
    </w:p>
    <w:p w14:paraId="2F87481F" w14:textId="6010A4B2" w:rsidR="00C56DCF" w:rsidRPr="00672503" w:rsidRDefault="00672503" w:rsidP="00672503">
      <w:pPr>
        <w:autoSpaceDE w:val="0"/>
        <w:spacing w:line="360" w:lineRule="auto"/>
        <w:ind w:left="2268"/>
        <w:jc w:val="both"/>
        <w:rPr>
          <w:rFonts w:ascii="Arial" w:hAnsi="Arial" w:cs="Arial"/>
          <w:bCs/>
          <w:i/>
          <w:sz w:val="22"/>
        </w:rPr>
      </w:pPr>
      <w:r w:rsidRPr="00672503">
        <w:rPr>
          <w:rFonts w:ascii="Arial" w:hAnsi="Arial" w:cs="Arial"/>
          <w:bCs/>
          <w:i/>
          <w:sz w:val="22"/>
        </w:rPr>
        <w:t>[...]</w:t>
      </w:r>
    </w:p>
    <w:p w14:paraId="6D82837A" w14:textId="77777777" w:rsidR="00672503" w:rsidRPr="00672503" w:rsidRDefault="00672503" w:rsidP="00672503">
      <w:pPr>
        <w:autoSpaceDE w:val="0"/>
        <w:spacing w:line="360" w:lineRule="auto"/>
        <w:ind w:left="2268"/>
        <w:jc w:val="both"/>
        <w:rPr>
          <w:rFonts w:ascii="Arial" w:hAnsi="Arial" w:cs="Arial"/>
          <w:bCs/>
          <w:i/>
          <w:sz w:val="22"/>
        </w:rPr>
      </w:pPr>
      <w:r w:rsidRPr="00672503">
        <w:rPr>
          <w:rFonts w:ascii="Arial" w:hAnsi="Arial" w:cs="Arial"/>
          <w:bCs/>
          <w:i/>
          <w:sz w:val="22"/>
        </w:rPr>
        <w:t>É uma interessante classe de contribuintes, modica em numero, mas bastante forte. Pertencem a ella negociantes, proprietarios, industriaes, agiotas que esfolam o proximo com juros de judeu.</w:t>
      </w:r>
    </w:p>
    <w:p w14:paraId="65B1A792" w14:textId="77777777" w:rsidR="00672503" w:rsidRPr="00672503" w:rsidRDefault="00672503" w:rsidP="00672503">
      <w:pPr>
        <w:autoSpaceDE w:val="0"/>
        <w:spacing w:line="360" w:lineRule="auto"/>
        <w:ind w:left="2268"/>
        <w:jc w:val="both"/>
        <w:rPr>
          <w:rFonts w:ascii="Arial" w:hAnsi="Arial" w:cs="Arial"/>
          <w:bCs/>
          <w:i/>
          <w:sz w:val="22"/>
        </w:rPr>
      </w:pPr>
      <w:r w:rsidRPr="00672503">
        <w:rPr>
          <w:rFonts w:ascii="Arial" w:hAnsi="Arial" w:cs="Arial"/>
          <w:bCs/>
          <w:i/>
          <w:sz w:val="22"/>
        </w:rPr>
        <w:t>Bem comido, bem bebido, o pobre povo soffredor quer escolas, quer luz, quer estradas, quer hygiene. É exigente e resmungão.</w:t>
      </w:r>
    </w:p>
    <w:p w14:paraId="798B3134" w14:textId="4BA5197E" w:rsidR="00672503" w:rsidRPr="00672503" w:rsidRDefault="00672503" w:rsidP="00672503">
      <w:pPr>
        <w:autoSpaceDE w:val="0"/>
        <w:spacing w:line="360" w:lineRule="auto"/>
        <w:ind w:left="2268"/>
        <w:jc w:val="both"/>
        <w:rPr>
          <w:rFonts w:ascii="Arial" w:hAnsi="Arial" w:cs="Arial"/>
          <w:bCs/>
          <w:i/>
          <w:sz w:val="22"/>
        </w:rPr>
      </w:pPr>
      <w:r w:rsidRPr="00672503">
        <w:rPr>
          <w:rFonts w:ascii="Arial" w:hAnsi="Arial" w:cs="Arial"/>
          <w:bCs/>
          <w:i/>
          <w:sz w:val="22"/>
        </w:rPr>
        <w:t>Como ninguem ignora que se não obtêm de graça as coisas exigidas, cada um dos membros desta respeitavel classe acha que os impostos devem ser pagos pelos outros.</w:t>
      </w:r>
      <w:r>
        <w:rPr>
          <w:rStyle w:val="Refdenotaderodap"/>
          <w:rFonts w:ascii="Arial" w:hAnsi="Arial" w:cs="Arial"/>
          <w:bCs/>
          <w:i/>
          <w:sz w:val="22"/>
        </w:rPr>
        <w:footnoteReference w:id="1"/>
      </w:r>
    </w:p>
    <w:p w14:paraId="609791FC" w14:textId="77777777" w:rsidR="00C56DCF" w:rsidRPr="00672503" w:rsidRDefault="00C56DCF" w:rsidP="00C56DCF">
      <w:pPr>
        <w:autoSpaceDE w:val="0"/>
        <w:spacing w:after="240" w:line="360" w:lineRule="auto"/>
        <w:jc w:val="both"/>
        <w:rPr>
          <w:rFonts w:ascii="Arial" w:hAnsi="Arial" w:cs="Arial"/>
          <w:bCs/>
        </w:rPr>
      </w:pPr>
    </w:p>
    <w:p w14:paraId="58EE4C84" w14:textId="2707E512" w:rsidR="00C56DCF" w:rsidRDefault="00C56DCF" w:rsidP="00C56DCF">
      <w:pPr>
        <w:jc w:val="both"/>
        <w:rPr>
          <w:rFonts w:ascii="Arial" w:hAnsi="Arial" w:cs="Arial"/>
          <w:bCs/>
          <w:u w:val="single"/>
        </w:rPr>
      </w:pPr>
      <w:r>
        <w:rPr>
          <w:rFonts w:ascii="Arial" w:hAnsi="Arial" w:cs="Arial"/>
          <w:bCs/>
          <w:u w:val="single"/>
        </w:rPr>
        <w:br w:type="page"/>
      </w:r>
    </w:p>
    <w:p w14:paraId="3E7DE8F1" w14:textId="77777777" w:rsidR="00311278" w:rsidRPr="00311278" w:rsidRDefault="00311278" w:rsidP="00311278">
      <w:pPr>
        <w:autoSpaceDE w:val="0"/>
        <w:spacing w:line="360" w:lineRule="auto"/>
        <w:jc w:val="center"/>
        <w:rPr>
          <w:rFonts w:ascii="Arial" w:hAnsi="Arial" w:cs="Arial"/>
          <w:b/>
          <w:bCs/>
          <w:sz w:val="36"/>
          <w:szCs w:val="36"/>
          <w:u w:val="single"/>
        </w:rPr>
      </w:pPr>
      <w:r w:rsidRPr="00311278">
        <w:rPr>
          <w:rFonts w:ascii="Arial" w:hAnsi="Arial" w:cs="Arial"/>
          <w:b/>
          <w:bCs/>
          <w:sz w:val="36"/>
          <w:szCs w:val="36"/>
          <w:u w:val="single"/>
        </w:rPr>
        <w:lastRenderedPageBreak/>
        <w:t>SUMÁRIO</w:t>
      </w:r>
    </w:p>
    <w:p w14:paraId="7F5E3A24" w14:textId="77777777" w:rsidR="00311278" w:rsidRDefault="00311278" w:rsidP="00311278">
      <w:pPr>
        <w:autoSpaceDE w:val="0"/>
        <w:spacing w:line="360" w:lineRule="auto"/>
        <w:jc w:val="center"/>
        <w:rPr>
          <w:rFonts w:ascii="Arial" w:hAnsi="Arial" w:cs="Arial"/>
          <w:b/>
          <w:bCs/>
        </w:rPr>
      </w:pPr>
    </w:p>
    <w:p w14:paraId="5CE97A0D" w14:textId="77777777" w:rsidR="00311278" w:rsidRPr="001104B0" w:rsidRDefault="00311278" w:rsidP="00311278">
      <w:pPr>
        <w:spacing w:line="360" w:lineRule="auto"/>
        <w:jc w:val="both"/>
        <w:rPr>
          <w:rFonts w:ascii="Arial" w:hAnsi="Arial" w:cs="Arial"/>
          <w:b/>
          <w:sz w:val="24"/>
          <w:szCs w:val="24"/>
        </w:rPr>
      </w:pPr>
      <w:r w:rsidRPr="001104B0">
        <w:rPr>
          <w:rFonts w:ascii="Arial" w:hAnsi="Arial" w:cs="Arial"/>
          <w:b/>
          <w:sz w:val="24"/>
          <w:szCs w:val="24"/>
          <w:u w:val="single"/>
        </w:rPr>
        <w:t>1 – CONSTITUIÇÃO</w:t>
      </w:r>
      <w:r w:rsidRPr="001104B0">
        <w:rPr>
          <w:rFonts w:ascii="Arial" w:hAnsi="Arial" w:cs="Arial"/>
          <w:b/>
          <w:sz w:val="24"/>
          <w:szCs w:val="24"/>
        </w:rPr>
        <w:t>.....................................................................</w:t>
      </w:r>
      <w:r>
        <w:rPr>
          <w:rFonts w:ascii="Arial" w:hAnsi="Arial" w:cs="Arial"/>
          <w:b/>
          <w:sz w:val="24"/>
          <w:szCs w:val="24"/>
        </w:rPr>
        <w:t>...............................009</w:t>
      </w:r>
    </w:p>
    <w:p w14:paraId="03FC320C" w14:textId="77777777" w:rsidR="00311278" w:rsidRPr="00BB02F9" w:rsidRDefault="00311278" w:rsidP="00311278">
      <w:pPr>
        <w:spacing w:line="360" w:lineRule="auto"/>
        <w:jc w:val="both"/>
        <w:rPr>
          <w:rFonts w:ascii="Arial" w:hAnsi="Arial" w:cs="Arial"/>
          <w:b/>
          <w:sz w:val="24"/>
          <w:szCs w:val="24"/>
        </w:rPr>
      </w:pPr>
      <w:r w:rsidRPr="001104B0">
        <w:rPr>
          <w:rFonts w:ascii="Arial" w:hAnsi="Arial" w:cs="Arial"/>
          <w:b/>
          <w:sz w:val="24"/>
          <w:szCs w:val="24"/>
          <w:u w:val="single"/>
        </w:rPr>
        <w:t>2 – INTRODUÇÃO E OBJETO</w:t>
      </w:r>
      <w:r>
        <w:rPr>
          <w:rFonts w:ascii="Arial" w:hAnsi="Arial" w:cs="Arial"/>
          <w:b/>
          <w:sz w:val="24"/>
          <w:szCs w:val="24"/>
        </w:rPr>
        <w:t>....................................................................................010</w:t>
      </w:r>
    </w:p>
    <w:p w14:paraId="7D18AA5B" w14:textId="77777777" w:rsidR="00311278" w:rsidRPr="001104B0" w:rsidRDefault="00311278" w:rsidP="00311278">
      <w:pPr>
        <w:spacing w:line="360" w:lineRule="auto"/>
        <w:jc w:val="both"/>
        <w:rPr>
          <w:rFonts w:ascii="Arial" w:hAnsi="Arial" w:cs="Arial"/>
          <w:b/>
          <w:sz w:val="24"/>
          <w:szCs w:val="24"/>
          <w:u w:val="single"/>
        </w:rPr>
      </w:pPr>
      <w:r w:rsidRPr="001104B0">
        <w:rPr>
          <w:rFonts w:ascii="Arial" w:hAnsi="Arial" w:cs="Arial"/>
          <w:b/>
          <w:sz w:val="24"/>
          <w:szCs w:val="24"/>
          <w:u w:val="single"/>
        </w:rPr>
        <w:t>3 – PANORAMA ACERCA DO TEMA INCENTIVOS FISCAIS NO BRASIL E NO ESTADO DE GOIÁS</w:t>
      </w:r>
      <w:r w:rsidRPr="00BB02F9">
        <w:rPr>
          <w:rFonts w:ascii="Arial" w:hAnsi="Arial" w:cs="Arial"/>
          <w:b/>
          <w:sz w:val="24"/>
          <w:szCs w:val="24"/>
        </w:rPr>
        <w:t>....................................................................................................</w:t>
      </w:r>
      <w:r>
        <w:rPr>
          <w:rFonts w:ascii="Arial" w:hAnsi="Arial" w:cs="Arial"/>
          <w:b/>
          <w:sz w:val="24"/>
          <w:szCs w:val="24"/>
        </w:rPr>
        <w:t>016</w:t>
      </w:r>
    </w:p>
    <w:p w14:paraId="364C6782" w14:textId="77777777" w:rsidR="00311278" w:rsidRPr="001104B0" w:rsidRDefault="00311278" w:rsidP="00311278">
      <w:pPr>
        <w:spacing w:line="360" w:lineRule="auto"/>
        <w:jc w:val="both"/>
        <w:rPr>
          <w:rFonts w:ascii="Arial" w:hAnsi="Arial" w:cs="Arial"/>
          <w:b/>
          <w:sz w:val="24"/>
          <w:szCs w:val="24"/>
        </w:rPr>
      </w:pPr>
      <w:r w:rsidRPr="001104B0">
        <w:rPr>
          <w:rFonts w:ascii="Arial" w:hAnsi="Arial" w:cs="Arial"/>
          <w:b/>
          <w:sz w:val="24"/>
          <w:szCs w:val="24"/>
        </w:rPr>
        <w:t>3.1 – A GUERRA FISCAL DE ICMS E O PANORAMA NACIONAL</w:t>
      </w:r>
      <w:r>
        <w:rPr>
          <w:rFonts w:ascii="Arial" w:hAnsi="Arial" w:cs="Arial"/>
          <w:b/>
          <w:sz w:val="24"/>
          <w:szCs w:val="24"/>
        </w:rPr>
        <w:t>..........................016</w:t>
      </w:r>
    </w:p>
    <w:p w14:paraId="2C2BC935" w14:textId="77777777" w:rsidR="00311278" w:rsidRPr="001104B0" w:rsidRDefault="00311278" w:rsidP="00311278">
      <w:pPr>
        <w:spacing w:line="360" w:lineRule="auto"/>
        <w:jc w:val="both"/>
        <w:rPr>
          <w:rFonts w:ascii="Arial" w:hAnsi="Arial" w:cs="Arial"/>
          <w:b/>
          <w:sz w:val="24"/>
          <w:szCs w:val="24"/>
        </w:rPr>
      </w:pPr>
      <w:r w:rsidRPr="001104B0">
        <w:rPr>
          <w:rFonts w:ascii="Arial" w:hAnsi="Arial" w:cs="Arial"/>
          <w:b/>
          <w:sz w:val="24"/>
          <w:szCs w:val="24"/>
        </w:rPr>
        <w:t>3.2 – A CRISE FISCAL NO CENÁRIO NACIONAL</w:t>
      </w:r>
      <w:r>
        <w:rPr>
          <w:rFonts w:ascii="Arial" w:hAnsi="Arial" w:cs="Arial"/>
          <w:b/>
          <w:sz w:val="24"/>
          <w:szCs w:val="24"/>
        </w:rPr>
        <w:t>....................................................021</w:t>
      </w:r>
    </w:p>
    <w:p w14:paraId="26D2CE12" w14:textId="77777777" w:rsidR="00311278" w:rsidRPr="001104B0" w:rsidRDefault="00311278" w:rsidP="00311278">
      <w:pPr>
        <w:spacing w:line="360" w:lineRule="auto"/>
        <w:jc w:val="both"/>
        <w:rPr>
          <w:rFonts w:ascii="Arial" w:hAnsi="Arial" w:cs="Arial"/>
          <w:b/>
          <w:sz w:val="24"/>
          <w:szCs w:val="24"/>
        </w:rPr>
      </w:pPr>
      <w:r w:rsidRPr="001104B0">
        <w:rPr>
          <w:rFonts w:ascii="Arial" w:hAnsi="Arial" w:cs="Arial"/>
          <w:b/>
          <w:sz w:val="24"/>
          <w:szCs w:val="24"/>
        </w:rPr>
        <w:t>3.3 – OS INCENTIVOS FISCAIS NO ESTADO DE GOIÁS: DESDOBRAMENTOS RECENTES</w:t>
      </w:r>
      <w:r>
        <w:rPr>
          <w:rFonts w:ascii="Arial" w:hAnsi="Arial" w:cs="Arial"/>
          <w:b/>
          <w:sz w:val="24"/>
          <w:szCs w:val="24"/>
        </w:rPr>
        <w:t>.................................................................................................................024</w:t>
      </w:r>
    </w:p>
    <w:p w14:paraId="00385DE3" w14:textId="77777777" w:rsidR="00311278" w:rsidRPr="001104B0" w:rsidRDefault="00311278" w:rsidP="00311278">
      <w:pPr>
        <w:spacing w:line="360" w:lineRule="auto"/>
        <w:jc w:val="both"/>
        <w:rPr>
          <w:rFonts w:ascii="Arial" w:hAnsi="Arial" w:cs="Arial"/>
          <w:b/>
          <w:sz w:val="24"/>
          <w:szCs w:val="24"/>
          <w:u w:val="single"/>
        </w:rPr>
      </w:pPr>
      <w:r w:rsidRPr="001104B0">
        <w:rPr>
          <w:rFonts w:ascii="Arial" w:hAnsi="Arial" w:cs="Arial"/>
          <w:b/>
          <w:sz w:val="24"/>
          <w:szCs w:val="24"/>
          <w:u w:val="single"/>
        </w:rPr>
        <w:t>3.3.1 – Determinações e recomendações do TCE/GO nos pareceres prévios de análise das contas de governo</w:t>
      </w:r>
      <w:r w:rsidRPr="00FB361B">
        <w:rPr>
          <w:rFonts w:ascii="Arial" w:hAnsi="Arial" w:cs="Arial"/>
          <w:b/>
          <w:sz w:val="24"/>
          <w:szCs w:val="24"/>
        </w:rPr>
        <w:t>.................................................................................</w:t>
      </w:r>
      <w:r>
        <w:rPr>
          <w:rFonts w:ascii="Arial" w:hAnsi="Arial" w:cs="Arial"/>
          <w:b/>
          <w:sz w:val="24"/>
          <w:szCs w:val="24"/>
        </w:rPr>
        <w:t>025</w:t>
      </w:r>
    </w:p>
    <w:p w14:paraId="0D767CAC" w14:textId="77777777" w:rsidR="00311278" w:rsidRPr="001104B0" w:rsidRDefault="00311278" w:rsidP="00311278">
      <w:pPr>
        <w:spacing w:line="360" w:lineRule="auto"/>
        <w:jc w:val="both"/>
        <w:rPr>
          <w:rFonts w:ascii="Arial" w:hAnsi="Arial" w:cs="Arial"/>
          <w:b/>
          <w:sz w:val="24"/>
          <w:szCs w:val="24"/>
          <w:u w:val="single"/>
        </w:rPr>
      </w:pPr>
      <w:r w:rsidRPr="001104B0">
        <w:rPr>
          <w:rFonts w:ascii="Arial" w:hAnsi="Arial" w:cs="Arial"/>
          <w:b/>
          <w:sz w:val="24"/>
          <w:szCs w:val="24"/>
          <w:u w:val="single"/>
        </w:rPr>
        <w:t>3.3.2 – Esforços e medidas adotados pelos Poderes Executivo e Legislativo</w:t>
      </w:r>
      <w:r w:rsidRPr="00FB361B">
        <w:rPr>
          <w:rFonts w:ascii="Arial" w:hAnsi="Arial" w:cs="Arial"/>
          <w:b/>
          <w:sz w:val="24"/>
          <w:szCs w:val="24"/>
        </w:rPr>
        <w:t>....</w:t>
      </w:r>
      <w:r>
        <w:rPr>
          <w:rFonts w:ascii="Arial" w:hAnsi="Arial" w:cs="Arial"/>
          <w:b/>
          <w:sz w:val="24"/>
          <w:szCs w:val="24"/>
        </w:rPr>
        <w:t>029</w:t>
      </w:r>
    </w:p>
    <w:p w14:paraId="15999699" w14:textId="77777777" w:rsidR="00311278" w:rsidRPr="00FB361B" w:rsidRDefault="00311278" w:rsidP="00311278">
      <w:pPr>
        <w:spacing w:line="360" w:lineRule="auto"/>
        <w:jc w:val="both"/>
        <w:rPr>
          <w:rFonts w:ascii="Arial" w:hAnsi="Arial" w:cs="Arial"/>
          <w:b/>
          <w:sz w:val="24"/>
          <w:szCs w:val="24"/>
        </w:rPr>
      </w:pPr>
      <w:r w:rsidRPr="001F0138">
        <w:rPr>
          <w:rFonts w:ascii="Arial" w:hAnsi="Arial" w:cs="Arial"/>
          <w:b/>
          <w:i/>
          <w:sz w:val="24"/>
          <w:szCs w:val="24"/>
        </w:rPr>
        <w:t>3.3.2.1 – Portal</w:t>
      </w:r>
      <w:r w:rsidRPr="00A67F53">
        <w:rPr>
          <w:rFonts w:ascii="Arial" w:hAnsi="Arial" w:cs="Arial"/>
          <w:b/>
          <w:i/>
          <w:sz w:val="24"/>
          <w:szCs w:val="24"/>
        </w:rPr>
        <w:t xml:space="preserve"> da Transparência</w:t>
      </w:r>
      <w:r w:rsidRPr="00FB361B">
        <w:rPr>
          <w:rFonts w:ascii="Arial" w:hAnsi="Arial" w:cs="Arial"/>
          <w:b/>
          <w:sz w:val="24"/>
          <w:szCs w:val="24"/>
        </w:rPr>
        <w:t>.............................................................................</w:t>
      </w:r>
      <w:r>
        <w:rPr>
          <w:rFonts w:ascii="Arial" w:hAnsi="Arial" w:cs="Arial"/>
          <w:b/>
          <w:sz w:val="24"/>
          <w:szCs w:val="24"/>
        </w:rPr>
        <w:t>029</w:t>
      </w:r>
    </w:p>
    <w:p w14:paraId="403331B2" w14:textId="77777777" w:rsidR="00311278" w:rsidRPr="00FB361B" w:rsidRDefault="00311278" w:rsidP="00311278">
      <w:pPr>
        <w:spacing w:line="360" w:lineRule="auto"/>
        <w:jc w:val="both"/>
        <w:rPr>
          <w:rFonts w:ascii="Arial" w:hAnsi="Arial" w:cs="Arial"/>
          <w:b/>
          <w:sz w:val="24"/>
          <w:szCs w:val="24"/>
        </w:rPr>
      </w:pPr>
      <w:r w:rsidRPr="001F0138">
        <w:rPr>
          <w:rFonts w:ascii="Arial" w:hAnsi="Arial" w:cs="Arial"/>
          <w:b/>
          <w:i/>
          <w:sz w:val="24"/>
          <w:szCs w:val="24"/>
        </w:rPr>
        <w:t>3.3.2.2 – Nota</w:t>
      </w:r>
      <w:r w:rsidRPr="00A67F53">
        <w:rPr>
          <w:rFonts w:ascii="Arial" w:hAnsi="Arial" w:cs="Arial"/>
          <w:b/>
          <w:i/>
          <w:sz w:val="24"/>
          <w:szCs w:val="24"/>
        </w:rPr>
        <w:t xml:space="preserve"> Técnica</w:t>
      </w:r>
      <w:r w:rsidRPr="00A67F53">
        <w:rPr>
          <w:rFonts w:ascii="Arial" w:hAnsi="Arial" w:cs="Arial"/>
          <w:i/>
          <w:sz w:val="24"/>
          <w:szCs w:val="24"/>
        </w:rPr>
        <w:t xml:space="preserve"> </w:t>
      </w:r>
      <w:r w:rsidRPr="00A67F53">
        <w:rPr>
          <w:rFonts w:ascii="Arial" w:hAnsi="Arial" w:cs="Arial"/>
          <w:b/>
          <w:i/>
          <w:sz w:val="24"/>
          <w:szCs w:val="24"/>
        </w:rPr>
        <w:t>nº 001/2017</w:t>
      </w:r>
      <w:r>
        <w:rPr>
          <w:rFonts w:ascii="Arial" w:hAnsi="Arial" w:cs="Arial"/>
          <w:b/>
          <w:sz w:val="24"/>
          <w:szCs w:val="24"/>
        </w:rPr>
        <w:t>...........................................................................034</w:t>
      </w:r>
    </w:p>
    <w:p w14:paraId="07065BF4" w14:textId="77777777" w:rsidR="00311278" w:rsidRPr="00FB361B" w:rsidRDefault="00311278" w:rsidP="00311278">
      <w:pPr>
        <w:spacing w:line="360" w:lineRule="auto"/>
        <w:jc w:val="both"/>
        <w:rPr>
          <w:rFonts w:ascii="Arial" w:hAnsi="Arial" w:cs="Arial"/>
          <w:b/>
          <w:sz w:val="24"/>
          <w:szCs w:val="24"/>
        </w:rPr>
      </w:pPr>
      <w:r w:rsidRPr="00412895">
        <w:rPr>
          <w:rFonts w:ascii="Arial" w:hAnsi="Arial" w:cs="Arial"/>
          <w:b/>
          <w:i/>
          <w:sz w:val="24"/>
          <w:szCs w:val="24"/>
        </w:rPr>
        <w:t>3.3.2.3 – Anexos</w:t>
      </w:r>
      <w:r w:rsidRPr="00A67F53">
        <w:rPr>
          <w:rFonts w:ascii="Arial" w:hAnsi="Arial" w:cs="Arial"/>
          <w:b/>
          <w:i/>
          <w:sz w:val="24"/>
          <w:szCs w:val="24"/>
        </w:rPr>
        <w:t xml:space="preserve"> da LDO e </w:t>
      </w:r>
      <w:r w:rsidRPr="009A1CFD">
        <w:rPr>
          <w:rFonts w:ascii="Arial" w:hAnsi="Arial" w:cs="Arial"/>
          <w:b/>
          <w:i/>
          <w:sz w:val="24"/>
          <w:szCs w:val="24"/>
        </w:rPr>
        <w:t>da LOA (2018, 2019 e 2020)</w:t>
      </w:r>
      <w:r w:rsidRPr="009A1CFD">
        <w:rPr>
          <w:rFonts w:ascii="Arial" w:hAnsi="Arial" w:cs="Arial"/>
          <w:b/>
          <w:sz w:val="24"/>
          <w:szCs w:val="24"/>
        </w:rPr>
        <w:t>.........................................</w:t>
      </w:r>
      <w:r>
        <w:rPr>
          <w:rFonts w:ascii="Arial" w:hAnsi="Arial" w:cs="Arial"/>
          <w:b/>
          <w:sz w:val="24"/>
          <w:szCs w:val="24"/>
        </w:rPr>
        <w:t>035</w:t>
      </w:r>
    </w:p>
    <w:p w14:paraId="1A0266FA" w14:textId="77777777" w:rsidR="00311278" w:rsidRDefault="00311278" w:rsidP="00311278">
      <w:pPr>
        <w:spacing w:line="360" w:lineRule="auto"/>
        <w:jc w:val="both"/>
        <w:rPr>
          <w:rFonts w:ascii="Arial" w:hAnsi="Arial" w:cs="Arial"/>
          <w:b/>
          <w:sz w:val="24"/>
          <w:szCs w:val="24"/>
        </w:rPr>
      </w:pPr>
      <w:r w:rsidRPr="00412895">
        <w:rPr>
          <w:rFonts w:ascii="Arial" w:hAnsi="Arial" w:cs="Arial"/>
          <w:b/>
          <w:i/>
          <w:sz w:val="24"/>
          <w:szCs w:val="24"/>
        </w:rPr>
        <w:t>3.3.2.4 – Reinstituição</w:t>
      </w:r>
      <w:r w:rsidRPr="00A67F53">
        <w:rPr>
          <w:rFonts w:ascii="Arial" w:hAnsi="Arial" w:cs="Arial"/>
          <w:b/>
          <w:i/>
          <w:sz w:val="24"/>
          <w:szCs w:val="24"/>
        </w:rPr>
        <w:t xml:space="preserve"> e remissão de incentivos fiscais (LC nº 160/2017)</w:t>
      </w:r>
      <w:r>
        <w:rPr>
          <w:rFonts w:ascii="Arial" w:hAnsi="Arial" w:cs="Arial"/>
          <w:b/>
          <w:sz w:val="24"/>
          <w:szCs w:val="24"/>
        </w:rPr>
        <w:t>...........048</w:t>
      </w:r>
    </w:p>
    <w:p w14:paraId="6935354C" w14:textId="77777777" w:rsidR="00311278" w:rsidRPr="00FB361B" w:rsidRDefault="00311278" w:rsidP="00311278">
      <w:pPr>
        <w:spacing w:line="360" w:lineRule="auto"/>
        <w:jc w:val="both"/>
        <w:rPr>
          <w:rFonts w:ascii="Arial" w:hAnsi="Arial" w:cs="Arial"/>
          <w:b/>
          <w:sz w:val="24"/>
          <w:szCs w:val="24"/>
        </w:rPr>
      </w:pPr>
      <w:r w:rsidRPr="00412895">
        <w:rPr>
          <w:rFonts w:ascii="Arial" w:hAnsi="Arial" w:cs="Arial"/>
          <w:b/>
          <w:i/>
          <w:sz w:val="24"/>
          <w:szCs w:val="24"/>
        </w:rPr>
        <w:t>3.3.2.5 – Revogação</w:t>
      </w:r>
      <w:r w:rsidRPr="00A67F53">
        <w:rPr>
          <w:rFonts w:ascii="Arial" w:hAnsi="Arial" w:cs="Arial"/>
          <w:b/>
          <w:i/>
          <w:sz w:val="24"/>
          <w:szCs w:val="24"/>
        </w:rPr>
        <w:t xml:space="preserve"> de benefícios fiscais no setor de energia elétrica</w:t>
      </w:r>
      <w:r>
        <w:rPr>
          <w:rFonts w:ascii="Arial" w:hAnsi="Arial" w:cs="Arial"/>
          <w:b/>
          <w:sz w:val="24"/>
          <w:szCs w:val="24"/>
        </w:rPr>
        <w:t>................053</w:t>
      </w:r>
    </w:p>
    <w:p w14:paraId="394A9274" w14:textId="77777777" w:rsidR="00311278" w:rsidRPr="00FB361B" w:rsidRDefault="00311278" w:rsidP="00311278">
      <w:pPr>
        <w:spacing w:line="360" w:lineRule="auto"/>
        <w:jc w:val="both"/>
        <w:rPr>
          <w:rFonts w:ascii="Arial" w:hAnsi="Arial" w:cs="Arial"/>
          <w:b/>
          <w:sz w:val="24"/>
          <w:szCs w:val="24"/>
        </w:rPr>
      </w:pPr>
      <w:r w:rsidRPr="00412895">
        <w:rPr>
          <w:rFonts w:ascii="Arial" w:hAnsi="Arial" w:cs="Arial"/>
          <w:b/>
          <w:i/>
          <w:sz w:val="24"/>
          <w:szCs w:val="24"/>
        </w:rPr>
        <w:t>3.3.2.6 – Revisão</w:t>
      </w:r>
      <w:r w:rsidRPr="00A67F53">
        <w:rPr>
          <w:rFonts w:ascii="Arial" w:hAnsi="Arial" w:cs="Arial"/>
          <w:b/>
          <w:i/>
          <w:sz w:val="24"/>
          <w:szCs w:val="24"/>
        </w:rPr>
        <w:t xml:space="preserve"> parcial da legislação referente aos incentivos fiscais, fruto dos trabalhos desta CPI, inclusive mediante proposituras de iniciativa parlamentar</w:t>
      </w:r>
      <w:r>
        <w:rPr>
          <w:rFonts w:ascii="Arial" w:hAnsi="Arial" w:cs="Arial"/>
          <w:b/>
          <w:sz w:val="24"/>
          <w:szCs w:val="24"/>
        </w:rPr>
        <w:t>................................................................................................................057</w:t>
      </w:r>
    </w:p>
    <w:p w14:paraId="7CE150EA" w14:textId="295E9113" w:rsidR="00311278" w:rsidRPr="00146494" w:rsidRDefault="00311278" w:rsidP="00311278">
      <w:pPr>
        <w:spacing w:line="360" w:lineRule="auto"/>
        <w:jc w:val="both"/>
        <w:rPr>
          <w:rFonts w:ascii="Arial" w:hAnsi="Arial" w:cs="Arial"/>
          <w:b/>
          <w:sz w:val="24"/>
          <w:szCs w:val="24"/>
        </w:rPr>
      </w:pPr>
      <w:r w:rsidRPr="00035DA4">
        <w:rPr>
          <w:rFonts w:ascii="Arial" w:hAnsi="Arial" w:cs="Arial"/>
          <w:sz w:val="24"/>
          <w:szCs w:val="24"/>
          <w:u w:val="single"/>
        </w:rPr>
        <w:t>3.3.2.6.1 – Lei nº 20.590/2019: tratamento tributário dispensado a grupos econômicos</w:t>
      </w:r>
      <w:r w:rsidRPr="00146494">
        <w:rPr>
          <w:rFonts w:ascii="Arial" w:hAnsi="Arial" w:cs="Arial"/>
          <w:b/>
          <w:sz w:val="24"/>
          <w:szCs w:val="24"/>
        </w:rPr>
        <w:t>....</w:t>
      </w:r>
      <w:r>
        <w:rPr>
          <w:rFonts w:ascii="Arial" w:hAnsi="Arial" w:cs="Arial"/>
          <w:b/>
          <w:sz w:val="24"/>
          <w:szCs w:val="24"/>
        </w:rPr>
        <w:t>...............................</w:t>
      </w:r>
      <w:r w:rsidRPr="00146494">
        <w:rPr>
          <w:rFonts w:ascii="Arial" w:hAnsi="Arial" w:cs="Arial"/>
          <w:b/>
          <w:sz w:val="24"/>
          <w:szCs w:val="24"/>
        </w:rPr>
        <w:t>.................................................................</w:t>
      </w:r>
      <w:r>
        <w:rPr>
          <w:rFonts w:ascii="Arial" w:hAnsi="Arial" w:cs="Arial"/>
          <w:b/>
          <w:sz w:val="24"/>
          <w:szCs w:val="24"/>
        </w:rPr>
        <w:t>.</w:t>
      </w:r>
      <w:r w:rsidRPr="00146494">
        <w:rPr>
          <w:rFonts w:ascii="Arial" w:hAnsi="Arial" w:cs="Arial"/>
          <w:b/>
          <w:sz w:val="24"/>
          <w:szCs w:val="24"/>
        </w:rPr>
        <w:t>..</w:t>
      </w:r>
      <w:r>
        <w:rPr>
          <w:rFonts w:ascii="Arial" w:hAnsi="Arial" w:cs="Arial"/>
          <w:b/>
          <w:sz w:val="24"/>
          <w:szCs w:val="24"/>
        </w:rPr>
        <w:t>..</w:t>
      </w:r>
      <w:r w:rsidRPr="00146494">
        <w:rPr>
          <w:rFonts w:ascii="Arial" w:hAnsi="Arial" w:cs="Arial"/>
          <w:b/>
          <w:sz w:val="24"/>
          <w:szCs w:val="24"/>
        </w:rPr>
        <w:t>.........</w:t>
      </w:r>
      <w:r>
        <w:rPr>
          <w:rFonts w:ascii="Arial" w:hAnsi="Arial" w:cs="Arial"/>
          <w:b/>
          <w:sz w:val="24"/>
          <w:szCs w:val="24"/>
        </w:rPr>
        <w:t>057</w:t>
      </w:r>
    </w:p>
    <w:p w14:paraId="6AEA2CF9" w14:textId="77777777" w:rsidR="00311278" w:rsidRPr="00146494" w:rsidRDefault="00311278" w:rsidP="00311278">
      <w:pPr>
        <w:spacing w:line="360" w:lineRule="auto"/>
        <w:jc w:val="both"/>
        <w:rPr>
          <w:rFonts w:ascii="Arial" w:hAnsi="Arial" w:cs="Arial"/>
          <w:b/>
          <w:sz w:val="24"/>
          <w:szCs w:val="24"/>
        </w:rPr>
      </w:pPr>
      <w:r w:rsidRPr="00035DA4">
        <w:rPr>
          <w:rFonts w:ascii="Arial" w:hAnsi="Arial" w:cs="Arial"/>
          <w:sz w:val="24"/>
          <w:szCs w:val="24"/>
          <w:u w:val="single"/>
        </w:rPr>
        <w:t>3.3.2.6.2 – Lei nº 20.654/2019: fim do chamado “crédito moeda”</w:t>
      </w:r>
      <w:r w:rsidRPr="00146494">
        <w:rPr>
          <w:rFonts w:ascii="Arial" w:hAnsi="Arial" w:cs="Arial"/>
          <w:b/>
          <w:sz w:val="24"/>
          <w:szCs w:val="24"/>
        </w:rPr>
        <w:t>.....................</w:t>
      </w:r>
      <w:r>
        <w:rPr>
          <w:rFonts w:ascii="Arial" w:hAnsi="Arial" w:cs="Arial"/>
          <w:b/>
          <w:sz w:val="24"/>
          <w:szCs w:val="24"/>
        </w:rPr>
        <w:t>......</w:t>
      </w:r>
      <w:r w:rsidRPr="00146494">
        <w:rPr>
          <w:rFonts w:ascii="Arial" w:hAnsi="Arial" w:cs="Arial"/>
          <w:b/>
          <w:sz w:val="24"/>
          <w:szCs w:val="24"/>
        </w:rPr>
        <w:t>.....</w:t>
      </w:r>
      <w:r>
        <w:rPr>
          <w:rFonts w:ascii="Arial" w:hAnsi="Arial" w:cs="Arial"/>
          <w:b/>
          <w:sz w:val="24"/>
          <w:szCs w:val="24"/>
        </w:rPr>
        <w:t>060</w:t>
      </w:r>
    </w:p>
    <w:p w14:paraId="34CC31FC" w14:textId="7DE4EF87" w:rsidR="00311278" w:rsidRPr="00146494" w:rsidRDefault="00311278" w:rsidP="00311278">
      <w:pPr>
        <w:spacing w:line="360" w:lineRule="auto"/>
        <w:jc w:val="both"/>
        <w:rPr>
          <w:rFonts w:ascii="Arial" w:hAnsi="Arial" w:cs="Arial"/>
          <w:b/>
          <w:sz w:val="24"/>
          <w:szCs w:val="24"/>
        </w:rPr>
      </w:pPr>
      <w:r w:rsidRPr="00035DA4">
        <w:rPr>
          <w:rFonts w:ascii="Arial" w:hAnsi="Arial" w:cs="Arial"/>
          <w:sz w:val="24"/>
          <w:szCs w:val="24"/>
          <w:u w:val="single"/>
        </w:rPr>
        <w:t>3.3.2.6.3 – Lei nº 20.676/2019: revisão do benefício de crédito outorgado do setor sucroalcooleiro</w:t>
      </w:r>
      <w:r w:rsidRPr="00146494">
        <w:rPr>
          <w:rFonts w:ascii="Arial" w:hAnsi="Arial" w:cs="Arial"/>
          <w:b/>
          <w:sz w:val="24"/>
          <w:szCs w:val="24"/>
        </w:rPr>
        <w:t>.</w:t>
      </w:r>
      <w:r>
        <w:rPr>
          <w:rFonts w:ascii="Arial" w:hAnsi="Arial" w:cs="Arial"/>
          <w:b/>
          <w:sz w:val="24"/>
          <w:szCs w:val="24"/>
        </w:rPr>
        <w:t>...............................</w:t>
      </w:r>
      <w:r w:rsidRPr="00146494">
        <w:rPr>
          <w:rFonts w:ascii="Arial" w:hAnsi="Arial" w:cs="Arial"/>
          <w:b/>
          <w:sz w:val="24"/>
          <w:szCs w:val="24"/>
        </w:rPr>
        <w:t>...................................................................</w:t>
      </w:r>
      <w:r>
        <w:rPr>
          <w:rFonts w:ascii="Arial" w:hAnsi="Arial" w:cs="Arial"/>
          <w:b/>
          <w:sz w:val="24"/>
          <w:szCs w:val="24"/>
        </w:rPr>
        <w:t>..</w:t>
      </w:r>
      <w:r w:rsidRPr="00146494">
        <w:rPr>
          <w:rFonts w:ascii="Arial" w:hAnsi="Arial" w:cs="Arial"/>
          <w:b/>
          <w:sz w:val="24"/>
          <w:szCs w:val="24"/>
        </w:rPr>
        <w:t>.</w:t>
      </w:r>
      <w:r>
        <w:rPr>
          <w:rFonts w:ascii="Arial" w:hAnsi="Arial" w:cs="Arial"/>
          <w:b/>
          <w:sz w:val="24"/>
          <w:szCs w:val="24"/>
        </w:rPr>
        <w:t>..</w:t>
      </w:r>
      <w:r w:rsidRPr="00146494">
        <w:rPr>
          <w:rFonts w:ascii="Arial" w:hAnsi="Arial" w:cs="Arial"/>
          <w:b/>
          <w:sz w:val="24"/>
          <w:szCs w:val="24"/>
        </w:rPr>
        <w:t>.....</w:t>
      </w:r>
      <w:r>
        <w:rPr>
          <w:rFonts w:ascii="Arial" w:hAnsi="Arial" w:cs="Arial"/>
          <w:b/>
          <w:sz w:val="24"/>
          <w:szCs w:val="24"/>
        </w:rPr>
        <w:t>063</w:t>
      </w:r>
    </w:p>
    <w:p w14:paraId="18A66F2F" w14:textId="77777777" w:rsidR="00311278" w:rsidRPr="001104B0" w:rsidRDefault="00311278" w:rsidP="00311278">
      <w:pPr>
        <w:spacing w:line="360" w:lineRule="auto"/>
        <w:jc w:val="both"/>
        <w:rPr>
          <w:rFonts w:ascii="Arial" w:hAnsi="Arial" w:cs="Arial"/>
          <w:b/>
          <w:sz w:val="24"/>
          <w:szCs w:val="24"/>
        </w:rPr>
      </w:pPr>
      <w:r w:rsidRPr="000F1541">
        <w:rPr>
          <w:rFonts w:ascii="Arial" w:hAnsi="Arial" w:cs="Arial"/>
          <w:b/>
          <w:sz w:val="24"/>
          <w:szCs w:val="24"/>
          <w:u w:val="single"/>
        </w:rPr>
        <w:t>3.3.3 – Atuação do Judiciário</w:t>
      </w:r>
      <w:r>
        <w:rPr>
          <w:rFonts w:ascii="Arial" w:hAnsi="Arial" w:cs="Arial"/>
          <w:b/>
          <w:sz w:val="24"/>
          <w:szCs w:val="24"/>
        </w:rPr>
        <w:t>....................................................................................064</w:t>
      </w:r>
    </w:p>
    <w:p w14:paraId="4404215C" w14:textId="77777777" w:rsidR="00311278" w:rsidRPr="001104B0" w:rsidRDefault="00311278" w:rsidP="00311278">
      <w:pPr>
        <w:spacing w:line="360" w:lineRule="auto"/>
        <w:jc w:val="both"/>
        <w:rPr>
          <w:rFonts w:ascii="Arial" w:hAnsi="Arial" w:cs="Arial"/>
          <w:b/>
          <w:sz w:val="24"/>
          <w:szCs w:val="24"/>
        </w:rPr>
      </w:pPr>
      <w:r w:rsidRPr="000F1541">
        <w:rPr>
          <w:rFonts w:ascii="Arial" w:hAnsi="Arial" w:cs="Arial"/>
          <w:b/>
          <w:sz w:val="24"/>
          <w:szCs w:val="24"/>
          <w:u w:val="single"/>
        </w:rPr>
        <w:t>3.3.4 – Atuação do Ministério Público do Estado de Goiás (MPGO)</w:t>
      </w:r>
      <w:r>
        <w:rPr>
          <w:rFonts w:ascii="Arial" w:hAnsi="Arial" w:cs="Arial"/>
          <w:b/>
          <w:sz w:val="24"/>
          <w:szCs w:val="24"/>
        </w:rPr>
        <w:t>.....................066</w:t>
      </w:r>
    </w:p>
    <w:p w14:paraId="6D80A49B" w14:textId="77777777" w:rsidR="00311278" w:rsidRPr="001104B0" w:rsidRDefault="00311278" w:rsidP="00311278">
      <w:pPr>
        <w:spacing w:line="360" w:lineRule="auto"/>
        <w:jc w:val="both"/>
        <w:rPr>
          <w:rFonts w:ascii="Arial" w:hAnsi="Arial" w:cs="Arial"/>
          <w:b/>
          <w:sz w:val="24"/>
          <w:szCs w:val="24"/>
          <w:u w:val="single"/>
        </w:rPr>
      </w:pPr>
      <w:r w:rsidRPr="001104B0">
        <w:rPr>
          <w:rFonts w:ascii="Arial" w:hAnsi="Arial" w:cs="Arial"/>
          <w:b/>
          <w:sz w:val="24"/>
          <w:szCs w:val="24"/>
          <w:u w:val="single"/>
        </w:rPr>
        <w:t>4 – ORGANIZAÇÃO E METODOLOGIA DE TRABALHO: INFORMAÇÕES E DADOS SOLICITADOS E RECEBIDOS, BEM COMO OITIVAS REALIZADAS</w:t>
      </w:r>
      <w:r w:rsidRPr="00A7099A">
        <w:rPr>
          <w:rFonts w:ascii="Arial" w:hAnsi="Arial" w:cs="Arial"/>
          <w:b/>
          <w:sz w:val="24"/>
          <w:szCs w:val="24"/>
        </w:rPr>
        <w:t>......................</w:t>
      </w:r>
      <w:r>
        <w:rPr>
          <w:rFonts w:ascii="Arial" w:hAnsi="Arial" w:cs="Arial"/>
          <w:b/>
          <w:sz w:val="24"/>
          <w:szCs w:val="24"/>
        </w:rPr>
        <w:t>068</w:t>
      </w:r>
    </w:p>
    <w:p w14:paraId="7B37B482" w14:textId="77777777" w:rsidR="00311278" w:rsidRPr="001104B0" w:rsidRDefault="00311278" w:rsidP="00311278">
      <w:pPr>
        <w:spacing w:line="360" w:lineRule="auto"/>
        <w:jc w:val="both"/>
        <w:rPr>
          <w:rFonts w:ascii="Arial" w:hAnsi="Arial" w:cs="Arial"/>
          <w:b/>
          <w:sz w:val="24"/>
          <w:szCs w:val="24"/>
        </w:rPr>
      </w:pPr>
      <w:r w:rsidRPr="001104B0">
        <w:rPr>
          <w:rFonts w:ascii="Arial" w:hAnsi="Arial" w:cs="Arial"/>
          <w:b/>
          <w:sz w:val="24"/>
          <w:szCs w:val="24"/>
        </w:rPr>
        <w:t>4.1 – PODERES DA CPI (ÓTICA CONSTITUCIONAL E REGIMENTAL)</w:t>
      </w:r>
      <w:r>
        <w:rPr>
          <w:rFonts w:ascii="Arial" w:hAnsi="Arial" w:cs="Arial"/>
          <w:b/>
          <w:sz w:val="24"/>
          <w:szCs w:val="24"/>
        </w:rPr>
        <w:t>..................068</w:t>
      </w:r>
    </w:p>
    <w:p w14:paraId="2314D624" w14:textId="77777777" w:rsidR="00311278" w:rsidRPr="001104B0" w:rsidRDefault="00311278" w:rsidP="00311278">
      <w:pPr>
        <w:spacing w:line="360" w:lineRule="auto"/>
        <w:jc w:val="both"/>
        <w:rPr>
          <w:rFonts w:ascii="Arial" w:hAnsi="Arial" w:cs="Arial"/>
          <w:b/>
          <w:sz w:val="24"/>
          <w:szCs w:val="24"/>
        </w:rPr>
      </w:pPr>
      <w:r w:rsidRPr="001104B0">
        <w:rPr>
          <w:rFonts w:ascii="Arial" w:hAnsi="Arial" w:cs="Arial"/>
          <w:b/>
          <w:sz w:val="24"/>
          <w:szCs w:val="24"/>
        </w:rPr>
        <w:t>4.2 – DOCUMENTOS E INFORMAÇÕES REQUISITADOS</w:t>
      </w:r>
      <w:r>
        <w:rPr>
          <w:rFonts w:ascii="Arial" w:hAnsi="Arial" w:cs="Arial"/>
          <w:b/>
          <w:sz w:val="24"/>
          <w:szCs w:val="24"/>
        </w:rPr>
        <w:t>.......................................069</w:t>
      </w:r>
    </w:p>
    <w:p w14:paraId="7167E0BE" w14:textId="77777777" w:rsidR="00311278" w:rsidRPr="001104B0" w:rsidRDefault="00311278" w:rsidP="00311278">
      <w:pPr>
        <w:spacing w:line="360" w:lineRule="auto"/>
        <w:jc w:val="both"/>
        <w:rPr>
          <w:rFonts w:ascii="Arial" w:hAnsi="Arial" w:cs="Arial"/>
          <w:b/>
          <w:sz w:val="24"/>
          <w:szCs w:val="24"/>
        </w:rPr>
      </w:pPr>
      <w:r w:rsidRPr="001104B0">
        <w:rPr>
          <w:rFonts w:ascii="Arial" w:hAnsi="Arial" w:cs="Arial"/>
          <w:b/>
          <w:sz w:val="24"/>
          <w:szCs w:val="24"/>
        </w:rPr>
        <w:lastRenderedPageBreak/>
        <w:t>4.</w:t>
      </w:r>
      <w:r>
        <w:rPr>
          <w:rFonts w:ascii="Arial" w:hAnsi="Arial" w:cs="Arial"/>
          <w:b/>
          <w:sz w:val="24"/>
          <w:szCs w:val="24"/>
        </w:rPr>
        <w:t>3</w:t>
      </w:r>
      <w:r w:rsidRPr="001104B0">
        <w:rPr>
          <w:rFonts w:ascii="Arial" w:hAnsi="Arial" w:cs="Arial"/>
          <w:b/>
          <w:sz w:val="24"/>
          <w:szCs w:val="24"/>
        </w:rPr>
        <w:t xml:space="preserve"> – ATUAÇÃO DOS PRÓPRIOS DEPUTADOS E ACOMPANHAMENTO DE OUTROS ÓRGÃOS</w:t>
      </w:r>
      <w:r>
        <w:rPr>
          <w:rFonts w:ascii="Arial" w:hAnsi="Arial" w:cs="Arial"/>
          <w:b/>
          <w:sz w:val="24"/>
          <w:szCs w:val="24"/>
        </w:rPr>
        <w:t>.....................................................................................................079</w:t>
      </w:r>
    </w:p>
    <w:p w14:paraId="3925C5AC" w14:textId="77777777" w:rsidR="00311278" w:rsidRPr="005256A0" w:rsidRDefault="00311278" w:rsidP="00311278">
      <w:pPr>
        <w:spacing w:line="360" w:lineRule="auto"/>
        <w:jc w:val="both"/>
        <w:rPr>
          <w:rFonts w:ascii="Arial" w:hAnsi="Arial" w:cs="Arial"/>
          <w:b/>
          <w:sz w:val="24"/>
          <w:szCs w:val="24"/>
        </w:rPr>
      </w:pPr>
      <w:r w:rsidRPr="001104B0">
        <w:rPr>
          <w:rFonts w:ascii="Arial" w:hAnsi="Arial" w:cs="Arial"/>
          <w:b/>
          <w:sz w:val="24"/>
          <w:szCs w:val="24"/>
          <w:u w:val="single"/>
        </w:rPr>
        <w:t>5 – PRINCÍPIO DA LEGALIDADE</w:t>
      </w:r>
      <w:r w:rsidRPr="005256A0">
        <w:rPr>
          <w:rFonts w:ascii="Arial" w:hAnsi="Arial" w:cs="Arial"/>
          <w:b/>
          <w:sz w:val="24"/>
          <w:szCs w:val="24"/>
        </w:rPr>
        <w:t>................................</w:t>
      </w:r>
      <w:r>
        <w:rPr>
          <w:rFonts w:ascii="Arial" w:hAnsi="Arial" w:cs="Arial"/>
          <w:b/>
          <w:sz w:val="24"/>
          <w:szCs w:val="24"/>
        </w:rPr>
        <w:t>.</w:t>
      </w:r>
      <w:r w:rsidRPr="005256A0">
        <w:rPr>
          <w:rFonts w:ascii="Arial" w:hAnsi="Arial" w:cs="Arial"/>
          <w:b/>
          <w:sz w:val="24"/>
          <w:szCs w:val="24"/>
        </w:rPr>
        <w:t>..............................................</w:t>
      </w:r>
      <w:r>
        <w:rPr>
          <w:rFonts w:ascii="Arial" w:hAnsi="Arial" w:cs="Arial"/>
          <w:b/>
          <w:sz w:val="24"/>
          <w:szCs w:val="24"/>
        </w:rPr>
        <w:t>080</w:t>
      </w:r>
    </w:p>
    <w:p w14:paraId="791D19A5" w14:textId="77777777" w:rsidR="00311278" w:rsidRDefault="00311278" w:rsidP="00311278">
      <w:pPr>
        <w:spacing w:line="360" w:lineRule="auto"/>
        <w:jc w:val="both"/>
        <w:rPr>
          <w:rFonts w:ascii="Arial" w:hAnsi="Arial" w:cs="Arial"/>
          <w:b/>
          <w:sz w:val="24"/>
          <w:szCs w:val="24"/>
        </w:rPr>
      </w:pPr>
      <w:r w:rsidRPr="001104B0">
        <w:rPr>
          <w:rFonts w:ascii="Arial" w:hAnsi="Arial" w:cs="Arial"/>
          <w:b/>
          <w:sz w:val="24"/>
          <w:szCs w:val="24"/>
        </w:rPr>
        <w:t>5.1 COMPREENSÃO GERAL DO INSTITUTO E ESPECIFICIDADES EM MATÉRIA TRIBUTÁRIA E DE INCENTIVOS FISCAIS</w:t>
      </w:r>
      <w:r>
        <w:rPr>
          <w:rFonts w:ascii="Arial" w:hAnsi="Arial" w:cs="Arial"/>
          <w:b/>
          <w:sz w:val="24"/>
          <w:szCs w:val="24"/>
        </w:rPr>
        <w:t>................................................................080</w:t>
      </w:r>
    </w:p>
    <w:p w14:paraId="6C6DB7B0" w14:textId="77777777" w:rsidR="00311278" w:rsidRPr="001104B0" w:rsidRDefault="00311278" w:rsidP="00311278">
      <w:pPr>
        <w:spacing w:line="360" w:lineRule="auto"/>
        <w:jc w:val="both"/>
        <w:rPr>
          <w:rFonts w:ascii="Arial" w:hAnsi="Arial" w:cs="Arial"/>
          <w:b/>
          <w:sz w:val="24"/>
          <w:szCs w:val="24"/>
        </w:rPr>
      </w:pPr>
      <w:r w:rsidRPr="001104B0">
        <w:rPr>
          <w:rFonts w:ascii="Arial" w:hAnsi="Arial" w:cs="Arial"/>
          <w:b/>
          <w:sz w:val="24"/>
          <w:szCs w:val="24"/>
        </w:rPr>
        <w:t>5.2 – PROBLEMÁTICA DOS DECRETOS DO PODER EXECUTIVO</w:t>
      </w:r>
      <w:r>
        <w:rPr>
          <w:rFonts w:ascii="Arial" w:hAnsi="Arial" w:cs="Arial"/>
          <w:b/>
          <w:sz w:val="24"/>
          <w:szCs w:val="24"/>
        </w:rPr>
        <w:t>........................085</w:t>
      </w:r>
    </w:p>
    <w:p w14:paraId="482CD8BE" w14:textId="77777777" w:rsidR="00311278" w:rsidRPr="004D5F15" w:rsidRDefault="00311278" w:rsidP="00311278">
      <w:pPr>
        <w:spacing w:line="360" w:lineRule="auto"/>
        <w:jc w:val="both"/>
        <w:rPr>
          <w:rFonts w:ascii="Arial" w:hAnsi="Arial" w:cs="Arial"/>
          <w:b/>
          <w:sz w:val="24"/>
          <w:szCs w:val="24"/>
        </w:rPr>
      </w:pPr>
      <w:r w:rsidRPr="00B9089A">
        <w:rPr>
          <w:rFonts w:ascii="Arial" w:hAnsi="Arial" w:cs="Arial"/>
          <w:b/>
          <w:sz w:val="24"/>
          <w:szCs w:val="24"/>
          <w:u w:val="single"/>
        </w:rPr>
        <w:t>5.2.1 – Principais decretos governamentais publicados até 2018 em matéria de incentivos fiscais em desacordo com o princípio da legalidade</w:t>
      </w:r>
      <w:r w:rsidRPr="004D5F15">
        <w:rPr>
          <w:rFonts w:ascii="Arial" w:hAnsi="Arial" w:cs="Arial"/>
          <w:b/>
          <w:sz w:val="24"/>
          <w:szCs w:val="24"/>
        </w:rPr>
        <w:t>...........................</w:t>
      </w:r>
      <w:r>
        <w:rPr>
          <w:rFonts w:ascii="Arial" w:hAnsi="Arial" w:cs="Arial"/>
          <w:b/>
          <w:sz w:val="24"/>
          <w:szCs w:val="24"/>
        </w:rPr>
        <w:t>085</w:t>
      </w:r>
    </w:p>
    <w:p w14:paraId="7B83C9F6" w14:textId="77777777" w:rsidR="00311278" w:rsidRDefault="00311278" w:rsidP="00311278">
      <w:pPr>
        <w:spacing w:line="360" w:lineRule="auto"/>
        <w:jc w:val="both"/>
        <w:rPr>
          <w:rFonts w:ascii="Arial" w:hAnsi="Arial" w:cs="Arial"/>
          <w:b/>
          <w:sz w:val="24"/>
          <w:szCs w:val="24"/>
          <w:u w:val="single"/>
        </w:rPr>
      </w:pPr>
      <w:r w:rsidRPr="000D6AC8">
        <w:rPr>
          <w:rFonts w:ascii="Arial" w:hAnsi="Arial" w:cs="Arial"/>
          <w:b/>
          <w:sz w:val="24"/>
          <w:szCs w:val="24"/>
          <w:u w:val="single"/>
        </w:rPr>
        <w:t>5.2.</w:t>
      </w:r>
      <w:r>
        <w:rPr>
          <w:rFonts w:ascii="Arial" w:hAnsi="Arial" w:cs="Arial"/>
          <w:b/>
          <w:sz w:val="24"/>
          <w:szCs w:val="24"/>
          <w:u w:val="single"/>
        </w:rPr>
        <w:t>2</w:t>
      </w:r>
      <w:r w:rsidRPr="000D6AC8">
        <w:rPr>
          <w:rFonts w:ascii="Arial" w:hAnsi="Arial" w:cs="Arial"/>
          <w:b/>
          <w:sz w:val="24"/>
          <w:szCs w:val="24"/>
          <w:u w:val="single"/>
        </w:rPr>
        <w:t xml:space="preserve"> –</w:t>
      </w:r>
      <w:r>
        <w:rPr>
          <w:rFonts w:ascii="Arial" w:hAnsi="Arial" w:cs="Arial"/>
          <w:b/>
          <w:sz w:val="24"/>
          <w:szCs w:val="24"/>
          <w:u w:val="single"/>
        </w:rPr>
        <w:t xml:space="preserve"> Principais decretos governamentais publicados</w:t>
      </w:r>
      <w:r w:rsidRPr="000D6AC8">
        <w:rPr>
          <w:rFonts w:ascii="Arial" w:hAnsi="Arial" w:cs="Arial"/>
          <w:b/>
          <w:sz w:val="24"/>
          <w:szCs w:val="24"/>
          <w:u w:val="single"/>
        </w:rPr>
        <w:t xml:space="preserve"> </w:t>
      </w:r>
      <w:r>
        <w:rPr>
          <w:rFonts w:ascii="Arial" w:hAnsi="Arial" w:cs="Arial"/>
          <w:b/>
          <w:sz w:val="24"/>
          <w:szCs w:val="24"/>
          <w:u w:val="single"/>
        </w:rPr>
        <w:t>em</w:t>
      </w:r>
      <w:r w:rsidRPr="000D6AC8">
        <w:rPr>
          <w:rFonts w:ascii="Arial" w:hAnsi="Arial" w:cs="Arial"/>
          <w:b/>
          <w:sz w:val="24"/>
          <w:szCs w:val="24"/>
          <w:u w:val="single"/>
        </w:rPr>
        <w:t xml:space="preserve"> 201</w:t>
      </w:r>
      <w:r>
        <w:rPr>
          <w:rFonts w:ascii="Arial" w:hAnsi="Arial" w:cs="Arial"/>
          <w:b/>
          <w:sz w:val="24"/>
          <w:szCs w:val="24"/>
          <w:u w:val="single"/>
        </w:rPr>
        <w:t>9 em matéria de incentivos fiscais em desacordo com o princípio da legalidade</w:t>
      </w:r>
      <w:r w:rsidRPr="004D5F15">
        <w:rPr>
          <w:rFonts w:ascii="Arial" w:hAnsi="Arial" w:cs="Arial"/>
          <w:b/>
          <w:sz w:val="24"/>
          <w:szCs w:val="24"/>
        </w:rPr>
        <w:t>...........................</w:t>
      </w:r>
      <w:r>
        <w:rPr>
          <w:rFonts w:ascii="Arial" w:hAnsi="Arial" w:cs="Arial"/>
          <w:b/>
          <w:sz w:val="24"/>
          <w:szCs w:val="24"/>
        </w:rPr>
        <w:t>104</w:t>
      </w:r>
    </w:p>
    <w:p w14:paraId="09E7D383" w14:textId="77777777" w:rsidR="00311278" w:rsidRPr="009A1CFD" w:rsidRDefault="00311278" w:rsidP="00311278">
      <w:pPr>
        <w:spacing w:line="360" w:lineRule="auto"/>
        <w:jc w:val="both"/>
        <w:rPr>
          <w:rFonts w:ascii="Arial" w:hAnsi="Arial" w:cs="Arial"/>
          <w:b/>
          <w:sz w:val="24"/>
          <w:szCs w:val="24"/>
        </w:rPr>
      </w:pPr>
      <w:r w:rsidRPr="009A1CFD">
        <w:rPr>
          <w:rFonts w:ascii="Arial" w:hAnsi="Arial" w:cs="Arial"/>
          <w:b/>
          <w:sz w:val="24"/>
          <w:szCs w:val="24"/>
        </w:rPr>
        <w:t>5.2.2.1 – Operações de importação com determinados produtos – Decretos nºs 9.493 (D.O. 12-08-2019) e 9.588 (D.O. 27-12-2019)....................................................</w:t>
      </w:r>
      <w:r>
        <w:rPr>
          <w:rFonts w:ascii="Arial" w:hAnsi="Arial" w:cs="Arial"/>
          <w:b/>
          <w:sz w:val="24"/>
          <w:szCs w:val="24"/>
        </w:rPr>
        <w:t>105</w:t>
      </w:r>
    </w:p>
    <w:p w14:paraId="1DAA06DC" w14:textId="77777777" w:rsidR="00311278" w:rsidRPr="009A1CFD" w:rsidRDefault="00311278" w:rsidP="00311278">
      <w:pPr>
        <w:spacing w:line="360" w:lineRule="auto"/>
        <w:jc w:val="both"/>
        <w:rPr>
          <w:rFonts w:ascii="Arial" w:hAnsi="Arial" w:cs="Arial"/>
          <w:b/>
          <w:sz w:val="24"/>
          <w:szCs w:val="24"/>
        </w:rPr>
      </w:pPr>
      <w:r w:rsidRPr="009A1CFD">
        <w:rPr>
          <w:rFonts w:ascii="Arial" w:hAnsi="Arial" w:cs="Arial"/>
          <w:b/>
          <w:sz w:val="24"/>
          <w:szCs w:val="24"/>
        </w:rPr>
        <w:t>5.2.2.2 – Investimento em infraestrutura na obra da ponte sobre o Rio Versão – Decretos nºs 9.185 (D.O. 16-03-2018) e 9.579 (D.O. 12-12-2019).............................</w:t>
      </w:r>
      <w:r>
        <w:rPr>
          <w:rFonts w:ascii="Arial" w:hAnsi="Arial" w:cs="Arial"/>
          <w:b/>
          <w:sz w:val="24"/>
          <w:szCs w:val="24"/>
        </w:rPr>
        <w:t>106</w:t>
      </w:r>
    </w:p>
    <w:p w14:paraId="1ED5D73A" w14:textId="77777777" w:rsidR="00311278" w:rsidRPr="009A1CFD" w:rsidRDefault="00311278" w:rsidP="00311278">
      <w:pPr>
        <w:spacing w:line="360" w:lineRule="auto"/>
        <w:jc w:val="both"/>
        <w:rPr>
          <w:rFonts w:ascii="Arial" w:hAnsi="Arial" w:cs="Arial"/>
          <w:b/>
          <w:sz w:val="24"/>
          <w:szCs w:val="24"/>
        </w:rPr>
      </w:pPr>
      <w:r w:rsidRPr="009A1CFD">
        <w:rPr>
          <w:rFonts w:ascii="Arial" w:hAnsi="Arial" w:cs="Arial"/>
          <w:b/>
          <w:sz w:val="24"/>
          <w:szCs w:val="24"/>
        </w:rPr>
        <w:t>5.2.2.3 – Roboque e semirreboque – Decreto nº 9.576 (D.O. 06-12-2019)...............</w:t>
      </w:r>
      <w:r>
        <w:rPr>
          <w:rFonts w:ascii="Arial" w:hAnsi="Arial" w:cs="Arial"/>
          <w:b/>
          <w:sz w:val="24"/>
          <w:szCs w:val="24"/>
        </w:rPr>
        <w:t>109</w:t>
      </w:r>
    </w:p>
    <w:p w14:paraId="0CAE937B" w14:textId="77777777" w:rsidR="00311278" w:rsidRPr="009A1CFD" w:rsidRDefault="00311278" w:rsidP="00311278">
      <w:pPr>
        <w:spacing w:line="360" w:lineRule="auto"/>
        <w:jc w:val="both"/>
        <w:rPr>
          <w:rFonts w:ascii="Arial" w:hAnsi="Arial" w:cs="Arial"/>
          <w:b/>
          <w:sz w:val="24"/>
          <w:szCs w:val="24"/>
        </w:rPr>
      </w:pPr>
      <w:r w:rsidRPr="009A1CFD">
        <w:rPr>
          <w:rFonts w:ascii="Arial" w:hAnsi="Arial" w:cs="Arial"/>
          <w:b/>
          <w:sz w:val="24"/>
          <w:szCs w:val="24"/>
        </w:rPr>
        <w:t>5.2.2.4 – Produtos alimentícios – Decreto nº 9.560 (D.O. 22-11-2019)....................</w:t>
      </w:r>
      <w:r>
        <w:rPr>
          <w:rFonts w:ascii="Arial" w:hAnsi="Arial" w:cs="Arial"/>
          <w:b/>
          <w:sz w:val="24"/>
          <w:szCs w:val="24"/>
        </w:rPr>
        <w:t>109</w:t>
      </w:r>
    </w:p>
    <w:p w14:paraId="205C8D22" w14:textId="77777777" w:rsidR="00311278" w:rsidRPr="009A1CFD" w:rsidRDefault="00311278" w:rsidP="00311278">
      <w:pPr>
        <w:spacing w:line="360" w:lineRule="auto"/>
        <w:jc w:val="both"/>
        <w:rPr>
          <w:rFonts w:ascii="Arial" w:hAnsi="Arial" w:cs="Arial"/>
          <w:b/>
          <w:sz w:val="24"/>
          <w:szCs w:val="24"/>
        </w:rPr>
      </w:pPr>
      <w:r w:rsidRPr="009A1CFD">
        <w:rPr>
          <w:rFonts w:ascii="Arial" w:hAnsi="Arial" w:cs="Arial"/>
          <w:b/>
          <w:sz w:val="24"/>
          <w:szCs w:val="24"/>
        </w:rPr>
        <w:t>5.2.2.5 – Água mineral – Decreto nº 9.559 (D.O. 22-11-2019)...................................</w:t>
      </w:r>
      <w:r>
        <w:rPr>
          <w:rFonts w:ascii="Arial" w:hAnsi="Arial" w:cs="Arial"/>
          <w:b/>
          <w:sz w:val="24"/>
          <w:szCs w:val="24"/>
        </w:rPr>
        <w:t>111</w:t>
      </w:r>
    </w:p>
    <w:p w14:paraId="199F14B7" w14:textId="77777777" w:rsidR="00311278" w:rsidRPr="009A1CFD" w:rsidRDefault="00311278" w:rsidP="00311278">
      <w:pPr>
        <w:spacing w:line="360" w:lineRule="auto"/>
        <w:jc w:val="both"/>
        <w:rPr>
          <w:rFonts w:ascii="Arial" w:hAnsi="Arial" w:cs="Arial"/>
          <w:b/>
          <w:sz w:val="24"/>
          <w:szCs w:val="24"/>
        </w:rPr>
      </w:pPr>
      <w:r w:rsidRPr="009A1CFD">
        <w:rPr>
          <w:rFonts w:ascii="Arial" w:hAnsi="Arial" w:cs="Arial"/>
          <w:b/>
          <w:sz w:val="24"/>
          <w:szCs w:val="24"/>
        </w:rPr>
        <w:t>5.2.2.6 – Arroz e feijão – Decreto nº 9.547 (D.O. 04-11-2019)...................................</w:t>
      </w:r>
      <w:r>
        <w:rPr>
          <w:rFonts w:ascii="Arial" w:hAnsi="Arial" w:cs="Arial"/>
          <w:b/>
          <w:sz w:val="24"/>
          <w:szCs w:val="24"/>
        </w:rPr>
        <w:t>112</w:t>
      </w:r>
    </w:p>
    <w:p w14:paraId="06EA6F46" w14:textId="77777777" w:rsidR="00311278" w:rsidRPr="009A1CFD" w:rsidRDefault="00311278" w:rsidP="00311278">
      <w:pPr>
        <w:spacing w:line="360" w:lineRule="auto"/>
        <w:jc w:val="both"/>
        <w:rPr>
          <w:rFonts w:ascii="Arial" w:hAnsi="Arial" w:cs="Arial"/>
          <w:b/>
          <w:sz w:val="24"/>
          <w:szCs w:val="24"/>
        </w:rPr>
      </w:pPr>
      <w:r w:rsidRPr="009A1CFD">
        <w:rPr>
          <w:rFonts w:ascii="Arial" w:hAnsi="Arial" w:cs="Arial"/>
          <w:b/>
          <w:sz w:val="24"/>
          <w:szCs w:val="24"/>
        </w:rPr>
        <w:t>5.2.2.7 – Fármacos e medicamentos – Decreto nº 9.477 (D.O. 22-07-2019)............</w:t>
      </w:r>
      <w:r>
        <w:rPr>
          <w:rFonts w:ascii="Arial" w:hAnsi="Arial" w:cs="Arial"/>
          <w:b/>
          <w:sz w:val="24"/>
          <w:szCs w:val="24"/>
        </w:rPr>
        <w:t>114</w:t>
      </w:r>
    </w:p>
    <w:p w14:paraId="6ABB8C25" w14:textId="77777777" w:rsidR="00311278" w:rsidRPr="009A1CFD" w:rsidRDefault="00311278" w:rsidP="00311278">
      <w:pPr>
        <w:spacing w:line="360" w:lineRule="auto"/>
        <w:jc w:val="both"/>
        <w:rPr>
          <w:rFonts w:ascii="Arial" w:hAnsi="Arial" w:cs="Arial"/>
          <w:b/>
          <w:sz w:val="24"/>
          <w:szCs w:val="24"/>
        </w:rPr>
      </w:pPr>
      <w:r w:rsidRPr="009A1CFD">
        <w:rPr>
          <w:rFonts w:ascii="Arial" w:hAnsi="Arial" w:cs="Arial"/>
          <w:b/>
          <w:sz w:val="24"/>
          <w:szCs w:val="24"/>
        </w:rPr>
        <w:t>5.2.2.8 – Decreto nº 9.475 (D.O. 22-07-2019).............................................................</w:t>
      </w:r>
      <w:r>
        <w:rPr>
          <w:rFonts w:ascii="Arial" w:hAnsi="Arial" w:cs="Arial"/>
          <w:b/>
          <w:sz w:val="24"/>
          <w:szCs w:val="24"/>
        </w:rPr>
        <w:t>117</w:t>
      </w:r>
    </w:p>
    <w:p w14:paraId="37FC5EBA" w14:textId="77777777" w:rsidR="00311278" w:rsidRPr="009A1CFD" w:rsidRDefault="00311278" w:rsidP="00311278">
      <w:pPr>
        <w:spacing w:line="360" w:lineRule="auto"/>
        <w:jc w:val="both"/>
        <w:rPr>
          <w:rFonts w:ascii="Arial" w:hAnsi="Arial" w:cs="Arial"/>
          <w:b/>
          <w:sz w:val="24"/>
          <w:szCs w:val="24"/>
        </w:rPr>
      </w:pPr>
      <w:r w:rsidRPr="009A1CFD">
        <w:rPr>
          <w:rFonts w:ascii="Arial" w:hAnsi="Arial" w:cs="Arial"/>
          <w:b/>
          <w:sz w:val="24"/>
          <w:szCs w:val="24"/>
        </w:rPr>
        <w:t>5.2.2.9 – Decreto nº 9.450 (D.O. 22-07-2019).............................................................</w:t>
      </w:r>
      <w:r>
        <w:rPr>
          <w:rFonts w:ascii="Arial" w:hAnsi="Arial" w:cs="Arial"/>
          <w:b/>
          <w:sz w:val="24"/>
          <w:szCs w:val="24"/>
        </w:rPr>
        <w:t>117</w:t>
      </w:r>
    </w:p>
    <w:p w14:paraId="67CAE600" w14:textId="77777777" w:rsidR="00311278" w:rsidRPr="00A86C47" w:rsidRDefault="00311278" w:rsidP="00311278">
      <w:pPr>
        <w:spacing w:line="360" w:lineRule="auto"/>
        <w:jc w:val="both"/>
        <w:rPr>
          <w:rFonts w:ascii="Arial" w:hAnsi="Arial" w:cs="Arial"/>
          <w:b/>
          <w:sz w:val="24"/>
          <w:szCs w:val="24"/>
        </w:rPr>
      </w:pPr>
      <w:r w:rsidRPr="009A1CFD">
        <w:rPr>
          <w:rFonts w:ascii="Arial" w:hAnsi="Arial" w:cs="Arial"/>
          <w:b/>
          <w:sz w:val="24"/>
          <w:szCs w:val="24"/>
        </w:rPr>
        <w:t>5.2.2.</w:t>
      </w:r>
      <w:r>
        <w:rPr>
          <w:rFonts w:ascii="Arial" w:hAnsi="Arial" w:cs="Arial"/>
          <w:b/>
          <w:sz w:val="24"/>
          <w:szCs w:val="24"/>
        </w:rPr>
        <w:t>10</w:t>
      </w:r>
      <w:r w:rsidRPr="009A1CFD">
        <w:rPr>
          <w:rFonts w:ascii="Arial" w:hAnsi="Arial" w:cs="Arial"/>
          <w:b/>
          <w:sz w:val="24"/>
          <w:szCs w:val="24"/>
        </w:rPr>
        <w:t xml:space="preserve"> – Decretos nºs 9.439 (D.O. 03-05-2019)</w:t>
      </w:r>
      <w:r w:rsidRPr="009A1CFD">
        <w:rPr>
          <w:rFonts w:ascii="Arial" w:hAnsi="Arial" w:cs="Arial"/>
          <w:sz w:val="24"/>
          <w:szCs w:val="24"/>
        </w:rPr>
        <w:t xml:space="preserve"> </w:t>
      </w:r>
      <w:r w:rsidRPr="009A1CFD">
        <w:rPr>
          <w:rFonts w:ascii="Arial" w:hAnsi="Arial" w:cs="Arial"/>
          <w:b/>
          <w:sz w:val="24"/>
          <w:szCs w:val="24"/>
        </w:rPr>
        <w:t>e correlatos</w:t>
      </w:r>
      <w:r>
        <w:rPr>
          <w:rFonts w:ascii="Arial" w:hAnsi="Arial" w:cs="Arial"/>
          <w:b/>
          <w:sz w:val="24"/>
          <w:szCs w:val="24"/>
        </w:rPr>
        <w:t>..................................119</w:t>
      </w:r>
    </w:p>
    <w:p w14:paraId="6DE6856F" w14:textId="77777777" w:rsidR="00311278" w:rsidRPr="00412895" w:rsidRDefault="00311278" w:rsidP="00311278">
      <w:pPr>
        <w:spacing w:line="360" w:lineRule="auto"/>
        <w:jc w:val="both"/>
        <w:rPr>
          <w:rFonts w:ascii="Arial" w:hAnsi="Arial" w:cs="Arial"/>
          <w:i/>
          <w:sz w:val="24"/>
          <w:szCs w:val="24"/>
        </w:rPr>
      </w:pPr>
      <w:r>
        <w:rPr>
          <w:rFonts w:ascii="Arial" w:hAnsi="Arial" w:cs="Arial"/>
          <w:sz w:val="24"/>
          <w:szCs w:val="24"/>
          <w:u w:val="single"/>
        </w:rPr>
        <w:t>5.2.1.10</w:t>
      </w:r>
      <w:r w:rsidRPr="009A1CFD">
        <w:rPr>
          <w:rFonts w:ascii="Arial" w:hAnsi="Arial" w:cs="Arial"/>
          <w:sz w:val="24"/>
          <w:szCs w:val="24"/>
          <w:u w:val="single"/>
        </w:rPr>
        <w:t>.1 – Indústria aeroespacial</w:t>
      </w:r>
      <w:r w:rsidRPr="00412895">
        <w:rPr>
          <w:rFonts w:ascii="Arial" w:hAnsi="Arial" w:cs="Arial"/>
          <w:i/>
          <w:sz w:val="24"/>
          <w:szCs w:val="24"/>
        </w:rPr>
        <w:t>...........................................................................</w:t>
      </w:r>
      <w:r>
        <w:rPr>
          <w:rFonts w:ascii="Arial" w:hAnsi="Arial" w:cs="Arial"/>
          <w:i/>
          <w:sz w:val="24"/>
          <w:szCs w:val="24"/>
        </w:rPr>
        <w:t>..</w:t>
      </w:r>
      <w:r w:rsidRPr="00412895">
        <w:rPr>
          <w:rFonts w:ascii="Arial" w:hAnsi="Arial" w:cs="Arial"/>
          <w:i/>
          <w:sz w:val="24"/>
          <w:szCs w:val="24"/>
        </w:rPr>
        <w:t>..</w:t>
      </w:r>
      <w:r>
        <w:rPr>
          <w:rFonts w:ascii="Arial" w:hAnsi="Arial" w:cs="Arial"/>
          <w:sz w:val="24"/>
          <w:szCs w:val="24"/>
        </w:rPr>
        <w:t>119</w:t>
      </w:r>
    </w:p>
    <w:p w14:paraId="3F99E1B2" w14:textId="77777777" w:rsidR="00311278" w:rsidRPr="00412895" w:rsidRDefault="00311278" w:rsidP="00311278">
      <w:pPr>
        <w:spacing w:line="360" w:lineRule="auto"/>
        <w:jc w:val="both"/>
        <w:rPr>
          <w:rFonts w:ascii="Arial" w:hAnsi="Arial" w:cs="Arial"/>
          <w:i/>
          <w:sz w:val="24"/>
          <w:szCs w:val="24"/>
          <w:u w:val="single"/>
        </w:rPr>
      </w:pPr>
      <w:r w:rsidRPr="009A1CFD">
        <w:rPr>
          <w:rFonts w:ascii="Arial" w:hAnsi="Arial" w:cs="Arial"/>
          <w:sz w:val="24"/>
          <w:szCs w:val="24"/>
          <w:u w:val="single"/>
        </w:rPr>
        <w:t>5.2.2.</w:t>
      </w:r>
      <w:r>
        <w:rPr>
          <w:rFonts w:ascii="Arial" w:hAnsi="Arial" w:cs="Arial"/>
          <w:sz w:val="24"/>
          <w:szCs w:val="24"/>
          <w:u w:val="single"/>
        </w:rPr>
        <w:t>10</w:t>
      </w:r>
      <w:r w:rsidRPr="009A1CFD">
        <w:rPr>
          <w:rFonts w:ascii="Arial" w:hAnsi="Arial" w:cs="Arial"/>
          <w:sz w:val="24"/>
          <w:szCs w:val="24"/>
          <w:u w:val="single"/>
        </w:rPr>
        <w:t>.2 – Telecomunicações</w:t>
      </w:r>
      <w:r w:rsidRPr="00412895">
        <w:rPr>
          <w:rFonts w:ascii="Arial" w:hAnsi="Arial" w:cs="Arial"/>
          <w:i/>
          <w:sz w:val="24"/>
          <w:szCs w:val="24"/>
        </w:rPr>
        <w:t>.............................................................................</w:t>
      </w:r>
      <w:r>
        <w:rPr>
          <w:rFonts w:ascii="Arial" w:hAnsi="Arial" w:cs="Arial"/>
          <w:i/>
          <w:sz w:val="24"/>
          <w:szCs w:val="24"/>
        </w:rPr>
        <w:t>.</w:t>
      </w:r>
      <w:r w:rsidRPr="00412895">
        <w:rPr>
          <w:rFonts w:ascii="Arial" w:hAnsi="Arial" w:cs="Arial"/>
          <w:i/>
          <w:sz w:val="24"/>
          <w:szCs w:val="24"/>
        </w:rPr>
        <w:t>......</w:t>
      </w:r>
      <w:r>
        <w:rPr>
          <w:rFonts w:ascii="Arial" w:hAnsi="Arial" w:cs="Arial"/>
          <w:sz w:val="24"/>
          <w:szCs w:val="24"/>
        </w:rPr>
        <w:t>121</w:t>
      </w:r>
    </w:p>
    <w:p w14:paraId="0D743293" w14:textId="77777777" w:rsidR="00311278" w:rsidRPr="009A1CFD" w:rsidRDefault="00311278" w:rsidP="00311278">
      <w:pPr>
        <w:spacing w:line="360" w:lineRule="auto"/>
        <w:jc w:val="both"/>
        <w:rPr>
          <w:rFonts w:ascii="Arial" w:hAnsi="Arial" w:cs="Arial"/>
          <w:b/>
          <w:sz w:val="24"/>
          <w:szCs w:val="24"/>
        </w:rPr>
      </w:pPr>
      <w:r w:rsidRPr="009A1CFD">
        <w:rPr>
          <w:rFonts w:ascii="Arial" w:hAnsi="Arial" w:cs="Arial"/>
          <w:b/>
          <w:sz w:val="24"/>
          <w:szCs w:val="24"/>
        </w:rPr>
        <w:t>5.2.2.</w:t>
      </w:r>
      <w:r>
        <w:rPr>
          <w:rFonts w:ascii="Arial" w:hAnsi="Arial" w:cs="Arial"/>
          <w:b/>
          <w:sz w:val="24"/>
          <w:szCs w:val="24"/>
        </w:rPr>
        <w:t>11</w:t>
      </w:r>
      <w:r w:rsidRPr="009A1CFD">
        <w:rPr>
          <w:rFonts w:ascii="Arial" w:hAnsi="Arial" w:cs="Arial"/>
          <w:b/>
          <w:sz w:val="24"/>
          <w:szCs w:val="24"/>
        </w:rPr>
        <w:t xml:space="preserve"> – Bazar e medicamento Spinraza – Decreto nº 9.411 (D.O. 1º-03-2019)</w:t>
      </w:r>
      <w:r>
        <w:rPr>
          <w:rFonts w:ascii="Arial" w:hAnsi="Arial" w:cs="Arial"/>
          <w:b/>
          <w:sz w:val="24"/>
          <w:szCs w:val="24"/>
        </w:rPr>
        <w:t>...</w:t>
      </w:r>
      <w:r w:rsidRPr="009A1CFD">
        <w:rPr>
          <w:rFonts w:ascii="Arial" w:hAnsi="Arial" w:cs="Arial"/>
          <w:b/>
          <w:sz w:val="24"/>
          <w:szCs w:val="24"/>
        </w:rPr>
        <w:t>.</w:t>
      </w:r>
      <w:r>
        <w:rPr>
          <w:rFonts w:ascii="Arial" w:hAnsi="Arial" w:cs="Arial"/>
          <w:b/>
          <w:sz w:val="24"/>
          <w:szCs w:val="24"/>
        </w:rPr>
        <w:t>122</w:t>
      </w:r>
    </w:p>
    <w:p w14:paraId="3DC4DAC3" w14:textId="77777777" w:rsidR="00311278" w:rsidRPr="00412895" w:rsidRDefault="00311278" w:rsidP="00311278">
      <w:pPr>
        <w:spacing w:line="360" w:lineRule="auto"/>
        <w:jc w:val="both"/>
        <w:rPr>
          <w:rFonts w:ascii="Arial" w:hAnsi="Arial" w:cs="Arial"/>
          <w:b/>
          <w:sz w:val="24"/>
          <w:szCs w:val="24"/>
        </w:rPr>
      </w:pPr>
      <w:r w:rsidRPr="00412895">
        <w:rPr>
          <w:rFonts w:ascii="Arial" w:hAnsi="Arial" w:cs="Arial"/>
          <w:b/>
          <w:sz w:val="24"/>
          <w:szCs w:val="24"/>
        </w:rPr>
        <w:t>5.3 – ANÁLISE GERAL ACERCA DA SISTEMÁTICA DE CONCESSÃO DE INCENTIVOS FISCAIS NO ESTADO DE GOIÁS, TERMO DE ACORDO DE REGIME ESPECIAL (TARE) E INSTRUMENTOS CONGÊNERES...........................................</w:t>
      </w:r>
      <w:r>
        <w:rPr>
          <w:rFonts w:ascii="Arial" w:hAnsi="Arial" w:cs="Arial"/>
          <w:b/>
          <w:sz w:val="24"/>
          <w:szCs w:val="24"/>
        </w:rPr>
        <w:t>123</w:t>
      </w:r>
    </w:p>
    <w:p w14:paraId="44094EDF" w14:textId="77777777" w:rsidR="00311278" w:rsidRPr="00412895" w:rsidRDefault="00311278" w:rsidP="00311278">
      <w:pPr>
        <w:spacing w:line="360" w:lineRule="auto"/>
        <w:jc w:val="both"/>
        <w:rPr>
          <w:rFonts w:ascii="Arial" w:hAnsi="Arial" w:cs="Arial"/>
          <w:b/>
          <w:sz w:val="24"/>
          <w:szCs w:val="24"/>
        </w:rPr>
      </w:pPr>
      <w:r w:rsidRPr="00412895">
        <w:rPr>
          <w:rFonts w:ascii="Arial" w:hAnsi="Arial" w:cs="Arial"/>
          <w:b/>
          <w:sz w:val="24"/>
          <w:szCs w:val="24"/>
          <w:u w:val="single"/>
        </w:rPr>
        <w:t>5.3.1 – Introdução</w:t>
      </w:r>
      <w:r w:rsidRPr="00412895">
        <w:rPr>
          <w:rFonts w:ascii="Arial" w:hAnsi="Arial" w:cs="Arial"/>
          <w:b/>
          <w:sz w:val="24"/>
          <w:szCs w:val="24"/>
        </w:rPr>
        <w:t>.......................................................................................................</w:t>
      </w:r>
      <w:r>
        <w:rPr>
          <w:rFonts w:ascii="Arial" w:hAnsi="Arial" w:cs="Arial"/>
          <w:b/>
          <w:sz w:val="24"/>
          <w:szCs w:val="24"/>
        </w:rPr>
        <w:t>123</w:t>
      </w:r>
    </w:p>
    <w:p w14:paraId="3423874C" w14:textId="77777777" w:rsidR="00311278" w:rsidRPr="00412895" w:rsidRDefault="00311278" w:rsidP="00311278">
      <w:pPr>
        <w:spacing w:line="360" w:lineRule="auto"/>
        <w:jc w:val="both"/>
        <w:rPr>
          <w:rFonts w:ascii="Arial" w:hAnsi="Arial" w:cs="Arial"/>
          <w:b/>
          <w:sz w:val="24"/>
          <w:szCs w:val="24"/>
          <w:u w:val="single"/>
        </w:rPr>
      </w:pPr>
      <w:r w:rsidRPr="00412895">
        <w:rPr>
          <w:rFonts w:ascii="Arial" w:hAnsi="Arial" w:cs="Arial"/>
          <w:b/>
          <w:sz w:val="24"/>
          <w:szCs w:val="24"/>
          <w:u w:val="single"/>
        </w:rPr>
        <w:t>5.3.2 – Requisitos gerais estabelecidos em regulamento</w:t>
      </w:r>
      <w:r w:rsidRPr="00412895">
        <w:rPr>
          <w:rFonts w:ascii="Arial" w:hAnsi="Arial" w:cs="Arial"/>
          <w:b/>
          <w:sz w:val="24"/>
          <w:szCs w:val="24"/>
        </w:rPr>
        <w:t>......................................</w:t>
      </w:r>
      <w:r>
        <w:rPr>
          <w:rFonts w:ascii="Arial" w:hAnsi="Arial" w:cs="Arial"/>
          <w:b/>
          <w:sz w:val="24"/>
          <w:szCs w:val="24"/>
        </w:rPr>
        <w:t>124</w:t>
      </w:r>
    </w:p>
    <w:p w14:paraId="520A309F" w14:textId="77777777" w:rsidR="00311278" w:rsidRPr="00035DA4" w:rsidRDefault="00311278" w:rsidP="00311278">
      <w:pPr>
        <w:spacing w:line="360" w:lineRule="auto"/>
        <w:jc w:val="both"/>
        <w:rPr>
          <w:rFonts w:ascii="Arial" w:hAnsi="Arial" w:cs="Arial"/>
          <w:b/>
          <w:sz w:val="24"/>
          <w:szCs w:val="24"/>
        </w:rPr>
      </w:pPr>
      <w:r w:rsidRPr="00412895">
        <w:rPr>
          <w:rFonts w:ascii="Arial" w:hAnsi="Arial" w:cs="Arial"/>
          <w:b/>
          <w:sz w:val="24"/>
          <w:szCs w:val="24"/>
          <w:u w:val="single"/>
        </w:rPr>
        <w:t>5.3.3 – Exemplos que ilustram a dinâmica de concessão de incentivos fiscais no Estado de Goiás</w:t>
      </w:r>
      <w:r>
        <w:rPr>
          <w:rFonts w:ascii="Arial" w:hAnsi="Arial" w:cs="Arial"/>
          <w:b/>
          <w:sz w:val="24"/>
          <w:szCs w:val="24"/>
        </w:rPr>
        <w:t>..........................................................................................................132</w:t>
      </w:r>
    </w:p>
    <w:p w14:paraId="6BF81E93" w14:textId="77777777" w:rsidR="00311278" w:rsidRPr="00412895" w:rsidRDefault="00311278" w:rsidP="00311278">
      <w:pPr>
        <w:spacing w:line="360" w:lineRule="auto"/>
        <w:jc w:val="both"/>
        <w:rPr>
          <w:rFonts w:ascii="Arial" w:hAnsi="Arial" w:cs="Arial"/>
          <w:b/>
          <w:sz w:val="24"/>
          <w:szCs w:val="24"/>
        </w:rPr>
      </w:pPr>
      <w:r w:rsidRPr="00412895">
        <w:rPr>
          <w:rFonts w:ascii="Arial" w:hAnsi="Arial" w:cs="Arial"/>
          <w:b/>
          <w:sz w:val="24"/>
          <w:szCs w:val="24"/>
        </w:rPr>
        <w:lastRenderedPageBreak/>
        <w:t>5.4 – PERSPECTIVAS DE SOLUÇÃO DO IMPASSE.................................................</w:t>
      </w:r>
      <w:r>
        <w:rPr>
          <w:rFonts w:ascii="Arial" w:hAnsi="Arial" w:cs="Arial"/>
          <w:b/>
          <w:sz w:val="24"/>
          <w:szCs w:val="24"/>
        </w:rPr>
        <w:t>142</w:t>
      </w:r>
    </w:p>
    <w:p w14:paraId="28B9CCF0" w14:textId="77777777" w:rsidR="00311278" w:rsidRPr="00412895" w:rsidRDefault="00311278" w:rsidP="00311278">
      <w:pPr>
        <w:spacing w:line="360" w:lineRule="auto"/>
        <w:jc w:val="both"/>
        <w:rPr>
          <w:rFonts w:ascii="Arial" w:hAnsi="Arial" w:cs="Arial"/>
          <w:b/>
          <w:color w:val="000000" w:themeColor="text1"/>
          <w:sz w:val="24"/>
          <w:szCs w:val="24"/>
        </w:rPr>
      </w:pPr>
      <w:r w:rsidRPr="00412895">
        <w:rPr>
          <w:rFonts w:ascii="Arial" w:hAnsi="Arial" w:cs="Arial"/>
          <w:b/>
          <w:color w:val="000000" w:themeColor="text1"/>
          <w:sz w:val="24"/>
          <w:szCs w:val="24"/>
          <w:u w:val="single"/>
        </w:rPr>
        <w:t>6 – INCENTIVOS FISCAIS RELATIVOS AOS PROGRAMAS FOMENTAR E PRODUZIR</w:t>
      </w:r>
      <w:r w:rsidRPr="00412895">
        <w:rPr>
          <w:rFonts w:ascii="Arial" w:hAnsi="Arial" w:cs="Arial"/>
          <w:b/>
          <w:color w:val="000000" w:themeColor="text1"/>
          <w:sz w:val="24"/>
          <w:szCs w:val="24"/>
        </w:rPr>
        <w:t>...........................................................................................................</w:t>
      </w:r>
      <w:r>
        <w:rPr>
          <w:rFonts w:ascii="Arial" w:hAnsi="Arial" w:cs="Arial"/>
          <w:b/>
          <w:color w:val="000000" w:themeColor="text1"/>
          <w:sz w:val="24"/>
          <w:szCs w:val="24"/>
        </w:rPr>
        <w:t>.</w:t>
      </w:r>
      <w:r w:rsidRPr="00412895">
        <w:rPr>
          <w:rFonts w:ascii="Arial" w:hAnsi="Arial" w:cs="Arial"/>
          <w:b/>
          <w:color w:val="000000" w:themeColor="text1"/>
          <w:sz w:val="24"/>
          <w:szCs w:val="24"/>
        </w:rPr>
        <w:t>.......</w:t>
      </w:r>
      <w:r>
        <w:rPr>
          <w:rFonts w:ascii="Arial" w:hAnsi="Arial" w:cs="Arial"/>
          <w:b/>
          <w:color w:val="000000" w:themeColor="text1"/>
          <w:sz w:val="24"/>
          <w:szCs w:val="24"/>
        </w:rPr>
        <w:t>153</w:t>
      </w:r>
    </w:p>
    <w:p w14:paraId="7AF7DD70" w14:textId="77777777" w:rsidR="00311278" w:rsidRPr="00412895" w:rsidRDefault="00311278" w:rsidP="00311278">
      <w:pPr>
        <w:spacing w:line="360" w:lineRule="auto"/>
        <w:jc w:val="both"/>
        <w:rPr>
          <w:rFonts w:ascii="Arial" w:hAnsi="Arial" w:cs="Arial"/>
          <w:b/>
          <w:color w:val="000000" w:themeColor="text1"/>
          <w:sz w:val="24"/>
          <w:szCs w:val="24"/>
        </w:rPr>
      </w:pPr>
      <w:r w:rsidRPr="00412895">
        <w:rPr>
          <w:rFonts w:ascii="Arial" w:hAnsi="Arial" w:cs="Arial"/>
          <w:b/>
          <w:color w:val="000000" w:themeColor="text1"/>
          <w:sz w:val="24"/>
          <w:szCs w:val="24"/>
        </w:rPr>
        <w:t xml:space="preserve">6.1 </w:t>
      </w:r>
      <w:r>
        <w:rPr>
          <w:rFonts w:ascii="Arial" w:hAnsi="Arial" w:cs="Arial"/>
          <w:b/>
          <w:color w:val="000000" w:themeColor="text1"/>
          <w:sz w:val="24"/>
          <w:szCs w:val="24"/>
        </w:rPr>
        <w:t>–</w:t>
      </w:r>
      <w:r w:rsidRPr="00412895">
        <w:rPr>
          <w:rFonts w:ascii="Arial" w:hAnsi="Arial" w:cs="Arial"/>
          <w:b/>
          <w:color w:val="000000" w:themeColor="text1"/>
          <w:sz w:val="24"/>
          <w:szCs w:val="24"/>
        </w:rPr>
        <w:t xml:space="preserve"> </w:t>
      </w:r>
      <w:r>
        <w:rPr>
          <w:rFonts w:ascii="Arial" w:hAnsi="Arial" w:cs="Arial"/>
          <w:b/>
          <w:color w:val="000000" w:themeColor="text1"/>
          <w:sz w:val="24"/>
          <w:szCs w:val="24"/>
        </w:rPr>
        <w:t>ENTENDENDO OS PROGRAMAS........</w:t>
      </w:r>
      <w:r w:rsidRPr="00412895">
        <w:rPr>
          <w:rFonts w:ascii="Arial" w:hAnsi="Arial" w:cs="Arial"/>
          <w:b/>
          <w:color w:val="000000" w:themeColor="text1"/>
          <w:sz w:val="24"/>
          <w:szCs w:val="24"/>
        </w:rPr>
        <w:t>......................................................</w:t>
      </w:r>
      <w:r>
        <w:rPr>
          <w:rFonts w:ascii="Arial" w:hAnsi="Arial" w:cs="Arial"/>
          <w:b/>
          <w:color w:val="000000" w:themeColor="text1"/>
          <w:sz w:val="24"/>
          <w:szCs w:val="24"/>
        </w:rPr>
        <w:t>.</w:t>
      </w:r>
      <w:r w:rsidRPr="00412895">
        <w:rPr>
          <w:rFonts w:ascii="Arial" w:hAnsi="Arial" w:cs="Arial"/>
          <w:b/>
          <w:color w:val="000000" w:themeColor="text1"/>
          <w:sz w:val="24"/>
          <w:szCs w:val="24"/>
        </w:rPr>
        <w:t>......</w:t>
      </w:r>
      <w:r>
        <w:rPr>
          <w:rFonts w:ascii="Arial" w:hAnsi="Arial" w:cs="Arial"/>
          <w:b/>
          <w:color w:val="000000" w:themeColor="text1"/>
          <w:sz w:val="24"/>
          <w:szCs w:val="24"/>
        </w:rPr>
        <w:t>153</w:t>
      </w:r>
    </w:p>
    <w:p w14:paraId="11F7121E" w14:textId="77777777" w:rsidR="00311278" w:rsidRPr="00412895" w:rsidRDefault="00311278" w:rsidP="00311278">
      <w:pPr>
        <w:spacing w:line="360" w:lineRule="auto"/>
        <w:jc w:val="both"/>
        <w:rPr>
          <w:rFonts w:ascii="Arial" w:hAnsi="Arial" w:cs="Arial"/>
          <w:b/>
          <w:color w:val="000000" w:themeColor="text1"/>
          <w:sz w:val="24"/>
          <w:szCs w:val="24"/>
        </w:rPr>
      </w:pPr>
      <w:r w:rsidRPr="00412895">
        <w:rPr>
          <w:rFonts w:ascii="Arial" w:hAnsi="Arial" w:cs="Arial"/>
          <w:b/>
          <w:color w:val="000000" w:themeColor="text1"/>
          <w:sz w:val="24"/>
          <w:szCs w:val="24"/>
          <w:u w:val="single"/>
        </w:rPr>
        <w:t xml:space="preserve">6.1.1 </w:t>
      </w:r>
      <w:r>
        <w:rPr>
          <w:rFonts w:ascii="Arial" w:hAnsi="Arial" w:cs="Arial"/>
          <w:b/>
          <w:color w:val="000000" w:themeColor="text1"/>
          <w:sz w:val="24"/>
          <w:szCs w:val="24"/>
          <w:u w:val="single"/>
        </w:rPr>
        <w:t>–</w:t>
      </w:r>
      <w:r w:rsidRPr="00412895">
        <w:rPr>
          <w:rFonts w:ascii="Arial" w:hAnsi="Arial" w:cs="Arial"/>
          <w:b/>
          <w:color w:val="000000" w:themeColor="text1"/>
          <w:sz w:val="24"/>
          <w:szCs w:val="24"/>
          <w:u w:val="single"/>
        </w:rPr>
        <w:t xml:space="preserve"> Fomentar</w:t>
      </w:r>
      <w:r w:rsidRPr="00412895">
        <w:rPr>
          <w:rFonts w:ascii="Arial" w:hAnsi="Arial" w:cs="Arial"/>
          <w:b/>
          <w:color w:val="000000" w:themeColor="text1"/>
          <w:sz w:val="24"/>
          <w:szCs w:val="24"/>
        </w:rPr>
        <w:t>......................</w:t>
      </w:r>
      <w:r>
        <w:rPr>
          <w:rFonts w:ascii="Arial" w:hAnsi="Arial" w:cs="Arial"/>
          <w:b/>
          <w:color w:val="000000" w:themeColor="text1"/>
          <w:sz w:val="24"/>
          <w:szCs w:val="24"/>
        </w:rPr>
        <w:t>..</w:t>
      </w:r>
      <w:r w:rsidRPr="00412895">
        <w:rPr>
          <w:rFonts w:ascii="Arial" w:hAnsi="Arial" w:cs="Arial"/>
          <w:b/>
          <w:color w:val="000000" w:themeColor="text1"/>
          <w:sz w:val="24"/>
          <w:szCs w:val="24"/>
        </w:rPr>
        <w:t>...........................................................................</w:t>
      </w:r>
      <w:r>
        <w:rPr>
          <w:rFonts w:ascii="Arial" w:hAnsi="Arial" w:cs="Arial"/>
          <w:b/>
          <w:color w:val="000000" w:themeColor="text1"/>
          <w:sz w:val="24"/>
          <w:szCs w:val="24"/>
        </w:rPr>
        <w:t>.</w:t>
      </w:r>
      <w:r w:rsidRPr="00412895">
        <w:rPr>
          <w:rFonts w:ascii="Arial" w:hAnsi="Arial" w:cs="Arial"/>
          <w:b/>
          <w:color w:val="000000" w:themeColor="text1"/>
          <w:sz w:val="24"/>
          <w:szCs w:val="24"/>
        </w:rPr>
        <w:t>......</w:t>
      </w:r>
      <w:r>
        <w:rPr>
          <w:rFonts w:ascii="Arial" w:hAnsi="Arial" w:cs="Arial"/>
          <w:b/>
          <w:color w:val="000000" w:themeColor="text1"/>
          <w:sz w:val="24"/>
          <w:szCs w:val="24"/>
        </w:rPr>
        <w:t>153</w:t>
      </w:r>
    </w:p>
    <w:p w14:paraId="4E7EC943" w14:textId="77777777" w:rsidR="00311278" w:rsidRPr="00412895" w:rsidRDefault="00311278" w:rsidP="00311278">
      <w:pPr>
        <w:spacing w:line="360" w:lineRule="auto"/>
        <w:jc w:val="both"/>
        <w:rPr>
          <w:rFonts w:ascii="Arial" w:hAnsi="Arial" w:cs="Arial"/>
          <w:b/>
          <w:color w:val="000000" w:themeColor="text1"/>
          <w:sz w:val="24"/>
          <w:szCs w:val="24"/>
        </w:rPr>
      </w:pPr>
      <w:r w:rsidRPr="00412895">
        <w:rPr>
          <w:rFonts w:ascii="Arial" w:hAnsi="Arial" w:cs="Arial"/>
          <w:b/>
          <w:color w:val="000000" w:themeColor="text1"/>
          <w:sz w:val="24"/>
          <w:szCs w:val="24"/>
          <w:u w:val="single"/>
        </w:rPr>
        <w:t xml:space="preserve">6.1.2 </w:t>
      </w:r>
      <w:r>
        <w:rPr>
          <w:rFonts w:ascii="Arial" w:hAnsi="Arial" w:cs="Arial"/>
          <w:b/>
          <w:color w:val="000000" w:themeColor="text1"/>
          <w:sz w:val="24"/>
          <w:szCs w:val="24"/>
          <w:u w:val="single"/>
        </w:rPr>
        <w:t>–</w:t>
      </w:r>
      <w:r w:rsidRPr="00412895">
        <w:rPr>
          <w:rFonts w:ascii="Arial" w:hAnsi="Arial" w:cs="Arial"/>
          <w:b/>
          <w:color w:val="000000" w:themeColor="text1"/>
          <w:sz w:val="24"/>
          <w:szCs w:val="24"/>
          <w:u w:val="single"/>
        </w:rPr>
        <w:t xml:space="preserve"> Produzir</w:t>
      </w:r>
      <w:r w:rsidRPr="00412895">
        <w:rPr>
          <w:rFonts w:ascii="Arial" w:hAnsi="Arial" w:cs="Arial"/>
          <w:b/>
          <w:color w:val="000000" w:themeColor="text1"/>
          <w:sz w:val="24"/>
          <w:szCs w:val="24"/>
        </w:rPr>
        <w:t>...................................................................................................</w:t>
      </w:r>
      <w:r>
        <w:rPr>
          <w:rFonts w:ascii="Arial" w:hAnsi="Arial" w:cs="Arial"/>
          <w:b/>
          <w:color w:val="000000" w:themeColor="text1"/>
          <w:sz w:val="24"/>
          <w:szCs w:val="24"/>
        </w:rPr>
        <w:t>.</w:t>
      </w:r>
      <w:r w:rsidRPr="00412895">
        <w:rPr>
          <w:rFonts w:ascii="Arial" w:hAnsi="Arial" w:cs="Arial"/>
          <w:b/>
          <w:color w:val="000000" w:themeColor="text1"/>
          <w:sz w:val="24"/>
          <w:szCs w:val="24"/>
        </w:rPr>
        <w:t>........</w:t>
      </w:r>
      <w:r>
        <w:rPr>
          <w:rFonts w:ascii="Arial" w:hAnsi="Arial" w:cs="Arial"/>
          <w:b/>
          <w:color w:val="000000" w:themeColor="text1"/>
          <w:sz w:val="24"/>
          <w:szCs w:val="24"/>
        </w:rPr>
        <w:t>156</w:t>
      </w:r>
    </w:p>
    <w:p w14:paraId="70FBEA4D" w14:textId="77777777" w:rsidR="00311278" w:rsidRPr="00412895" w:rsidRDefault="00311278" w:rsidP="00311278">
      <w:pPr>
        <w:spacing w:line="360" w:lineRule="auto"/>
        <w:jc w:val="both"/>
        <w:rPr>
          <w:rFonts w:ascii="Arial" w:hAnsi="Arial" w:cs="Arial"/>
          <w:b/>
          <w:color w:val="000000" w:themeColor="text1"/>
          <w:sz w:val="24"/>
          <w:szCs w:val="24"/>
        </w:rPr>
      </w:pPr>
      <w:r w:rsidRPr="00412895">
        <w:rPr>
          <w:rFonts w:ascii="Arial" w:hAnsi="Arial" w:cs="Arial"/>
          <w:b/>
          <w:color w:val="000000" w:themeColor="text1"/>
          <w:sz w:val="24"/>
          <w:szCs w:val="24"/>
          <w:u w:val="single"/>
        </w:rPr>
        <w:t xml:space="preserve">6.1.3 </w:t>
      </w:r>
      <w:r>
        <w:rPr>
          <w:rFonts w:ascii="Arial" w:hAnsi="Arial" w:cs="Arial"/>
          <w:b/>
          <w:color w:val="000000" w:themeColor="text1"/>
          <w:sz w:val="24"/>
          <w:szCs w:val="24"/>
          <w:u w:val="single"/>
        </w:rPr>
        <w:t>–</w:t>
      </w:r>
      <w:r w:rsidRPr="00412895">
        <w:rPr>
          <w:rFonts w:ascii="Arial" w:hAnsi="Arial" w:cs="Arial"/>
          <w:b/>
          <w:color w:val="000000" w:themeColor="text1"/>
          <w:sz w:val="24"/>
          <w:szCs w:val="24"/>
          <w:u w:val="single"/>
        </w:rPr>
        <w:t xml:space="preserve"> Natureza jurídica e renúncia de receitas</w:t>
      </w:r>
      <w:r w:rsidRPr="00412895">
        <w:rPr>
          <w:rFonts w:ascii="Arial" w:hAnsi="Arial" w:cs="Arial"/>
          <w:b/>
          <w:color w:val="000000" w:themeColor="text1"/>
          <w:sz w:val="24"/>
          <w:szCs w:val="24"/>
        </w:rPr>
        <w:t>...................................................</w:t>
      </w:r>
      <w:r>
        <w:rPr>
          <w:rFonts w:ascii="Arial" w:hAnsi="Arial" w:cs="Arial"/>
          <w:b/>
          <w:color w:val="000000" w:themeColor="text1"/>
          <w:sz w:val="24"/>
          <w:szCs w:val="24"/>
        </w:rPr>
        <w:t>.</w:t>
      </w:r>
      <w:r w:rsidRPr="00412895">
        <w:rPr>
          <w:rFonts w:ascii="Arial" w:hAnsi="Arial" w:cs="Arial"/>
          <w:b/>
          <w:color w:val="000000" w:themeColor="text1"/>
          <w:sz w:val="24"/>
          <w:szCs w:val="24"/>
        </w:rPr>
        <w:t>....</w:t>
      </w:r>
      <w:r>
        <w:rPr>
          <w:rFonts w:ascii="Arial" w:hAnsi="Arial" w:cs="Arial"/>
          <w:b/>
          <w:color w:val="000000" w:themeColor="text1"/>
          <w:sz w:val="24"/>
          <w:szCs w:val="24"/>
        </w:rPr>
        <w:t>162</w:t>
      </w:r>
    </w:p>
    <w:p w14:paraId="0B587972"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rPr>
        <w:t xml:space="preserve">6.2 </w:t>
      </w:r>
      <w:r>
        <w:rPr>
          <w:rFonts w:ascii="Arial" w:hAnsi="Arial" w:cs="Arial"/>
          <w:b/>
          <w:color w:val="000000" w:themeColor="text1"/>
          <w:sz w:val="24"/>
          <w:szCs w:val="24"/>
        </w:rPr>
        <w:t>–</w:t>
      </w:r>
      <w:r w:rsidRPr="00E56B3D">
        <w:rPr>
          <w:rFonts w:ascii="Arial" w:hAnsi="Arial" w:cs="Arial"/>
          <w:b/>
          <w:color w:val="000000" w:themeColor="text1"/>
          <w:sz w:val="24"/>
          <w:szCs w:val="24"/>
        </w:rPr>
        <w:t xml:space="preserve"> OUTROS ASPECTOS</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177</w:t>
      </w:r>
    </w:p>
    <w:p w14:paraId="5C37CC6D"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u w:val="single"/>
        </w:rPr>
        <w:t xml:space="preserve">6.2.1 </w:t>
      </w:r>
      <w:r>
        <w:rPr>
          <w:rFonts w:ascii="Arial" w:hAnsi="Arial" w:cs="Arial"/>
          <w:b/>
          <w:color w:val="000000" w:themeColor="text1"/>
          <w:sz w:val="24"/>
          <w:szCs w:val="24"/>
          <w:u w:val="single"/>
        </w:rPr>
        <w:t>–</w:t>
      </w:r>
      <w:r w:rsidRPr="00E56B3D">
        <w:rPr>
          <w:rFonts w:ascii="Arial" w:hAnsi="Arial" w:cs="Arial"/>
          <w:b/>
          <w:color w:val="000000" w:themeColor="text1"/>
          <w:sz w:val="24"/>
          <w:szCs w:val="24"/>
          <w:u w:val="single"/>
        </w:rPr>
        <w:t xml:space="preserve"> Achados de Auditoria – TCE-GO</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177</w:t>
      </w:r>
    </w:p>
    <w:p w14:paraId="63AA4C69" w14:textId="77777777" w:rsidR="00311278" w:rsidRDefault="00311278" w:rsidP="00311278">
      <w:pPr>
        <w:spacing w:line="360" w:lineRule="auto"/>
        <w:jc w:val="both"/>
        <w:rPr>
          <w:rFonts w:ascii="Arial" w:hAnsi="Arial" w:cs="Arial"/>
          <w:b/>
          <w:color w:val="000000" w:themeColor="text1"/>
          <w:sz w:val="24"/>
          <w:szCs w:val="24"/>
        </w:rPr>
      </w:pPr>
      <w:r>
        <w:rPr>
          <w:rFonts w:ascii="Arial" w:hAnsi="Arial" w:cs="Arial"/>
          <w:b/>
          <w:sz w:val="24"/>
          <w:szCs w:val="24"/>
          <w:u w:val="single"/>
        </w:rPr>
        <w:t>6.2.2 –</w:t>
      </w:r>
      <w:r w:rsidRPr="00E56B3D">
        <w:rPr>
          <w:rFonts w:ascii="Arial" w:hAnsi="Arial" w:cs="Arial"/>
          <w:b/>
          <w:sz w:val="24"/>
          <w:szCs w:val="24"/>
          <w:u w:val="single"/>
        </w:rPr>
        <w:t xml:space="preserve"> Achados de Auditoria – CGE-GO</w:t>
      </w:r>
      <w:r w:rsidRPr="00E56B3D">
        <w:rPr>
          <w:rFonts w:ascii="Arial" w:hAnsi="Arial" w:cs="Arial"/>
          <w:b/>
          <w:color w:val="000000" w:themeColor="text1"/>
          <w:sz w:val="24"/>
          <w:szCs w:val="24"/>
        </w:rPr>
        <w:t>..........</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197</w:t>
      </w:r>
    </w:p>
    <w:p w14:paraId="174237AE" w14:textId="77777777" w:rsidR="00311278" w:rsidRDefault="00311278" w:rsidP="00311278">
      <w:pPr>
        <w:spacing w:line="360" w:lineRule="auto"/>
        <w:jc w:val="both"/>
        <w:rPr>
          <w:rFonts w:ascii="Arial" w:hAnsi="Arial" w:cs="Arial"/>
          <w:b/>
          <w:color w:val="000000" w:themeColor="text1"/>
          <w:sz w:val="24"/>
          <w:szCs w:val="24"/>
        </w:rPr>
      </w:pPr>
      <w:r>
        <w:rPr>
          <w:rFonts w:ascii="Arial" w:hAnsi="Arial" w:cs="Arial"/>
          <w:b/>
          <w:color w:val="000000" w:themeColor="text1"/>
          <w:sz w:val="24"/>
          <w:szCs w:val="24"/>
        </w:rPr>
        <w:t>6.2.2.1 – Projeto de viabilidade econômico-financeira não suficientemente detalhados...................................................................................................................198</w:t>
      </w:r>
    </w:p>
    <w:p w14:paraId="625ED863" w14:textId="77777777" w:rsidR="00311278" w:rsidRDefault="00311278" w:rsidP="00311278">
      <w:pPr>
        <w:spacing w:line="360" w:lineRule="auto"/>
        <w:jc w:val="both"/>
        <w:rPr>
          <w:rFonts w:ascii="Arial" w:hAnsi="Arial" w:cs="Arial"/>
          <w:b/>
          <w:color w:val="000000" w:themeColor="text1"/>
          <w:sz w:val="24"/>
          <w:szCs w:val="24"/>
        </w:rPr>
      </w:pPr>
      <w:r>
        <w:rPr>
          <w:rFonts w:ascii="Arial" w:hAnsi="Arial" w:cs="Arial"/>
          <w:b/>
          <w:color w:val="000000" w:themeColor="text1"/>
          <w:sz w:val="24"/>
          <w:szCs w:val="24"/>
        </w:rPr>
        <w:t>6.2.2.2 – Valor projetado de ICMS substancialmente superior ao efetivamente gerado..........................................................................................................................201</w:t>
      </w:r>
    </w:p>
    <w:p w14:paraId="6BA0476C" w14:textId="77777777" w:rsidR="00311278" w:rsidRDefault="00311278" w:rsidP="00311278">
      <w:pPr>
        <w:spacing w:line="360" w:lineRule="auto"/>
        <w:jc w:val="both"/>
        <w:rPr>
          <w:rFonts w:ascii="Arial" w:hAnsi="Arial" w:cs="Arial"/>
          <w:b/>
          <w:color w:val="000000" w:themeColor="text1"/>
          <w:sz w:val="24"/>
          <w:szCs w:val="24"/>
        </w:rPr>
      </w:pPr>
      <w:r>
        <w:rPr>
          <w:rFonts w:ascii="Arial" w:hAnsi="Arial" w:cs="Arial"/>
          <w:b/>
          <w:color w:val="000000" w:themeColor="text1"/>
          <w:sz w:val="24"/>
          <w:szCs w:val="24"/>
        </w:rPr>
        <w:t>6.2.2.3 – Falhas na instrução processual.................................................................203</w:t>
      </w:r>
    </w:p>
    <w:p w14:paraId="7EE0E4EE" w14:textId="77777777" w:rsidR="00311278" w:rsidRDefault="00311278" w:rsidP="00311278">
      <w:pPr>
        <w:spacing w:line="360" w:lineRule="auto"/>
        <w:jc w:val="both"/>
        <w:rPr>
          <w:rFonts w:ascii="Arial" w:hAnsi="Arial" w:cs="Arial"/>
          <w:b/>
          <w:color w:val="000000" w:themeColor="text1"/>
          <w:sz w:val="24"/>
          <w:szCs w:val="24"/>
        </w:rPr>
      </w:pPr>
      <w:r>
        <w:rPr>
          <w:rFonts w:ascii="Arial" w:hAnsi="Arial" w:cs="Arial"/>
          <w:b/>
          <w:color w:val="000000" w:themeColor="text1"/>
          <w:sz w:val="24"/>
          <w:szCs w:val="24"/>
        </w:rPr>
        <w:t>6.2.2.4 – Ausência de transparência das normas aplicáveis..................................205</w:t>
      </w:r>
    </w:p>
    <w:p w14:paraId="14BB717B" w14:textId="77777777" w:rsidR="00311278" w:rsidRDefault="00311278" w:rsidP="00311278">
      <w:pPr>
        <w:spacing w:line="360" w:lineRule="auto"/>
        <w:jc w:val="both"/>
        <w:rPr>
          <w:rFonts w:ascii="Arial" w:hAnsi="Arial" w:cs="Arial"/>
          <w:b/>
          <w:color w:val="000000" w:themeColor="text1"/>
          <w:sz w:val="24"/>
          <w:szCs w:val="24"/>
        </w:rPr>
      </w:pPr>
      <w:r>
        <w:rPr>
          <w:rFonts w:ascii="Arial" w:hAnsi="Arial" w:cs="Arial"/>
          <w:b/>
          <w:color w:val="000000" w:themeColor="text1"/>
          <w:sz w:val="24"/>
          <w:szCs w:val="24"/>
        </w:rPr>
        <w:t>6.2.2.5 – Empresas com crédito tributário inscrito em dívida ativa usufruindo o benefício do Programa...............................................................................................205</w:t>
      </w:r>
    </w:p>
    <w:p w14:paraId="75FD2843" w14:textId="77777777" w:rsidR="00311278" w:rsidRDefault="00311278" w:rsidP="00311278">
      <w:pPr>
        <w:spacing w:line="360" w:lineRule="auto"/>
        <w:jc w:val="both"/>
        <w:rPr>
          <w:rFonts w:ascii="Arial" w:hAnsi="Arial" w:cs="Arial"/>
          <w:b/>
          <w:color w:val="000000" w:themeColor="text1"/>
          <w:sz w:val="24"/>
          <w:szCs w:val="24"/>
        </w:rPr>
      </w:pPr>
      <w:r>
        <w:rPr>
          <w:rFonts w:ascii="Arial" w:hAnsi="Arial" w:cs="Arial"/>
          <w:b/>
          <w:color w:val="000000" w:themeColor="text1"/>
          <w:sz w:val="24"/>
          <w:szCs w:val="24"/>
        </w:rPr>
        <w:t>6.2.2.6 – Ausência de fiscalização quanto à subvenção para investimento.........207</w:t>
      </w:r>
    </w:p>
    <w:p w14:paraId="0BFE9578" w14:textId="77777777" w:rsidR="00311278" w:rsidRDefault="00311278" w:rsidP="00311278">
      <w:pPr>
        <w:spacing w:line="360" w:lineRule="auto"/>
        <w:jc w:val="both"/>
        <w:rPr>
          <w:rFonts w:ascii="Arial" w:hAnsi="Arial" w:cs="Arial"/>
          <w:b/>
          <w:color w:val="000000" w:themeColor="text1"/>
          <w:sz w:val="24"/>
          <w:szCs w:val="24"/>
        </w:rPr>
      </w:pPr>
      <w:r>
        <w:rPr>
          <w:rFonts w:ascii="Arial" w:hAnsi="Arial" w:cs="Arial"/>
          <w:b/>
          <w:color w:val="000000" w:themeColor="text1"/>
          <w:sz w:val="24"/>
          <w:szCs w:val="24"/>
        </w:rPr>
        <w:t>6.2.2.7 – Previsão de fatores de desconto que não estão em consonância com os objetivos do Programa...............................................................................................209</w:t>
      </w:r>
    </w:p>
    <w:p w14:paraId="40B8CB46" w14:textId="77777777" w:rsidR="00311278" w:rsidRPr="002E3012" w:rsidRDefault="00311278" w:rsidP="00311278">
      <w:pPr>
        <w:spacing w:line="360" w:lineRule="auto"/>
        <w:jc w:val="both"/>
        <w:rPr>
          <w:rFonts w:ascii="Arial" w:hAnsi="Arial" w:cs="Arial"/>
          <w:b/>
          <w:sz w:val="24"/>
          <w:szCs w:val="24"/>
          <w:u w:val="single"/>
        </w:rPr>
      </w:pPr>
      <w:r w:rsidRPr="002E3012">
        <w:rPr>
          <w:rFonts w:ascii="Arial" w:hAnsi="Arial" w:cs="Arial"/>
          <w:b/>
          <w:sz w:val="24"/>
          <w:szCs w:val="24"/>
          <w:u w:val="single"/>
        </w:rPr>
        <w:t>6.2.3</w:t>
      </w:r>
      <w:r>
        <w:rPr>
          <w:rFonts w:ascii="Arial" w:hAnsi="Arial" w:cs="Arial"/>
          <w:b/>
          <w:sz w:val="24"/>
          <w:szCs w:val="24"/>
          <w:u w:val="single"/>
        </w:rPr>
        <w:t xml:space="preserve"> –</w:t>
      </w:r>
      <w:r w:rsidRPr="002E3012">
        <w:rPr>
          <w:rFonts w:ascii="Arial" w:hAnsi="Arial" w:cs="Arial"/>
          <w:b/>
          <w:sz w:val="24"/>
          <w:szCs w:val="24"/>
          <w:u w:val="single"/>
        </w:rPr>
        <w:t xml:space="preserve"> Necessidade de Implantação de Sistema Informatizado</w:t>
      </w:r>
      <w:r>
        <w:rPr>
          <w:rFonts w:ascii="Arial" w:hAnsi="Arial" w:cs="Arial"/>
          <w:b/>
          <w:sz w:val="24"/>
          <w:szCs w:val="24"/>
        </w:rPr>
        <w:t>..................</w:t>
      </w:r>
      <w:r w:rsidRPr="00E56B3D">
        <w:rPr>
          <w:rFonts w:ascii="Arial" w:hAnsi="Arial" w:cs="Arial"/>
          <w:b/>
          <w:sz w:val="24"/>
          <w:szCs w:val="24"/>
        </w:rPr>
        <w:t>...........</w:t>
      </w:r>
      <w:r>
        <w:rPr>
          <w:rFonts w:ascii="Arial" w:hAnsi="Arial" w:cs="Arial"/>
          <w:b/>
          <w:sz w:val="24"/>
          <w:szCs w:val="24"/>
        </w:rPr>
        <w:t>211</w:t>
      </w:r>
    </w:p>
    <w:p w14:paraId="0C5B1C7E" w14:textId="77777777" w:rsidR="00311278" w:rsidRPr="003D3791" w:rsidRDefault="00311278" w:rsidP="00311278">
      <w:pPr>
        <w:spacing w:line="360" w:lineRule="auto"/>
        <w:jc w:val="both"/>
        <w:rPr>
          <w:rFonts w:ascii="Arial" w:hAnsi="Arial" w:cs="Arial"/>
          <w:b/>
          <w:bCs/>
          <w:sz w:val="24"/>
          <w:szCs w:val="24"/>
        </w:rPr>
      </w:pPr>
      <w:r w:rsidRPr="003D3791">
        <w:rPr>
          <w:rFonts w:ascii="Arial" w:hAnsi="Arial" w:cs="Arial"/>
          <w:b/>
          <w:bCs/>
          <w:sz w:val="24"/>
          <w:szCs w:val="24"/>
        </w:rPr>
        <w:t>6.3 – CONSIDERAÇÕES COMPLEMENTARES DESTA CPI</w:t>
      </w:r>
      <w:r w:rsidRPr="00E56B3D">
        <w:rPr>
          <w:rFonts w:ascii="Arial" w:hAnsi="Arial" w:cs="Arial"/>
          <w:b/>
          <w:sz w:val="24"/>
          <w:szCs w:val="24"/>
        </w:rPr>
        <w:t>.......</w:t>
      </w:r>
      <w:r>
        <w:rPr>
          <w:rFonts w:ascii="Arial" w:hAnsi="Arial" w:cs="Arial"/>
          <w:b/>
          <w:sz w:val="24"/>
          <w:szCs w:val="24"/>
        </w:rPr>
        <w:t>.....</w:t>
      </w:r>
      <w:r w:rsidRPr="00E56B3D">
        <w:rPr>
          <w:rFonts w:ascii="Arial" w:hAnsi="Arial" w:cs="Arial"/>
          <w:b/>
          <w:sz w:val="24"/>
          <w:szCs w:val="24"/>
        </w:rPr>
        <w:t>........................</w:t>
      </w:r>
      <w:r>
        <w:rPr>
          <w:rFonts w:ascii="Arial" w:hAnsi="Arial" w:cs="Arial"/>
          <w:b/>
          <w:sz w:val="24"/>
          <w:szCs w:val="24"/>
        </w:rPr>
        <w:t>216</w:t>
      </w:r>
    </w:p>
    <w:p w14:paraId="1E60BC02" w14:textId="77777777" w:rsidR="00311278" w:rsidRPr="003D3791" w:rsidRDefault="00311278" w:rsidP="00311278">
      <w:pPr>
        <w:spacing w:line="360" w:lineRule="auto"/>
        <w:jc w:val="both"/>
        <w:rPr>
          <w:rFonts w:ascii="Arial" w:hAnsi="Arial" w:cs="Arial"/>
          <w:b/>
          <w:bCs/>
          <w:sz w:val="24"/>
          <w:szCs w:val="24"/>
          <w:u w:val="single"/>
        </w:rPr>
      </w:pPr>
      <w:r w:rsidRPr="003D3791">
        <w:rPr>
          <w:rFonts w:ascii="Arial" w:hAnsi="Arial" w:cs="Arial"/>
          <w:b/>
          <w:bCs/>
          <w:sz w:val="24"/>
          <w:szCs w:val="24"/>
          <w:u w:val="single"/>
        </w:rPr>
        <w:t>6.3.1 – GOIÁSFOMENTO: burocratização desnecessária e ineficiência</w:t>
      </w:r>
      <w:r w:rsidRPr="00E56B3D">
        <w:rPr>
          <w:rFonts w:ascii="Arial" w:hAnsi="Arial" w:cs="Arial"/>
          <w:b/>
          <w:bCs/>
          <w:sz w:val="24"/>
          <w:szCs w:val="24"/>
        </w:rPr>
        <w:t>...............</w:t>
      </w:r>
      <w:r>
        <w:rPr>
          <w:rFonts w:ascii="Arial" w:hAnsi="Arial" w:cs="Arial"/>
          <w:b/>
          <w:bCs/>
          <w:sz w:val="24"/>
          <w:szCs w:val="24"/>
        </w:rPr>
        <w:t>216</w:t>
      </w:r>
    </w:p>
    <w:p w14:paraId="00194EFB" w14:textId="77777777" w:rsidR="00311278" w:rsidRDefault="00311278" w:rsidP="00311278">
      <w:pPr>
        <w:spacing w:line="360" w:lineRule="auto"/>
        <w:jc w:val="both"/>
        <w:rPr>
          <w:rFonts w:ascii="Arial" w:hAnsi="Arial" w:cs="Arial"/>
          <w:b/>
          <w:color w:val="000000" w:themeColor="text1"/>
          <w:sz w:val="24"/>
          <w:szCs w:val="24"/>
        </w:rPr>
      </w:pPr>
      <w:r w:rsidRPr="003D3791">
        <w:rPr>
          <w:rFonts w:ascii="Arial" w:hAnsi="Arial" w:cs="Arial"/>
          <w:b/>
          <w:bCs/>
          <w:sz w:val="24"/>
          <w:szCs w:val="24"/>
          <w:u w:val="single"/>
        </w:rPr>
        <w:t>6.3.2 – Contratação de empresa especializada para cálculo de valores no âmbito dos leilões do Programa FOMENTAR</w:t>
      </w:r>
      <w:r w:rsidRPr="00E56B3D">
        <w:rPr>
          <w:rFonts w:ascii="Arial" w:hAnsi="Arial" w:cs="Arial"/>
          <w:b/>
          <w:color w:val="000000" w:themeColor="text1"/>
          <w:sz w:val="24"/>
          <w:szCs w:val="24"/>
        </w:rPr>
        <w:t>..................................</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219</w:t>
      </w:r>
    </w:p>
    <w:p w14:paraId="65F793C7" w14:textId="77777777" w:rsidR="00311278" w:rsidRDefault="00311278" w:rsidP="00311278">
      <w:pPr>
        <w:spacing w:line="360" w:lineRule="auto"/>
        <w:jc w:val="both"/>
        <w:rPr>
          <w:rFonts w:ascii="Arial" w:hAnsi="Arial" w:cs="Arial"/>
          <w:b/>
          <w:bCs/>
          <w:sz w:val="24"/>
          <w:szCs w:val="24"/>
        </w:rPr>
      </w:pPr>
      <w:r w:rsidRPr="003D3791">
        <w:rPr>
          <w:rFonts w:ascii="Arial" w:hAnsi="Arial" w:cs="Arial"/>
          <w:b/>
          <w:bCs/>
          <w:sz w:val="24"/>
          <w:szCs w:val="24"/>
          <w:u w:val="single"/>
        </w:rPr>
        <w:t>6.3.</w:t>
      </w:r>
      <w:r>
        <w:rPr>
          <w:rFonts w:ascii="Arial" w:hAnsi="Arial" w:cs="Arial"/>
          <w:b/>
          <w:bCs/>
          <w:sz w:val="24"/>
          <w:szCs w:val="24"/>
          <w:u w:val="single"/>
        </w:rPr>
        <w:t>3</w:t>
      </w:r>
      <w:r w:rsidRPr="003D3791">
        <w:rPr>
          <w:rFonts w:ascii="Arial" w:hAnsi="Arial" w:cs="Arial"/>
          <w:b/>
          <w:bCs/>
          <w:sz w:val="24"/>
          <w:szCs w:val="24"/>
          <w:u w:val="single"/>
        </w:rPr>
        <w:t xml:space="preserve"> –</w:t>
      </w:r>
      <w:r>
        <w:rPr>
          <w:rFonts w:ascii="Arial" w:hAnsi="Arial" w:cs="Arial"/>
          <w:b/>
          <w:bCs/>
          <w:sz w:val="24"/>
          <w:szCs w:val="24"/>
          <w:u w:val="single"/>
        </w:rPr>
        <w:t xml:space="preserve"> Irregularidades nas auditorias de investimento e quitação no Programa PRODUZIR</w:t>
      </w:r>
      <w:r>
        <w:rPr>
          <w:rFonts w:ascii="Arial" w:hAnsi="Arial" w:cs="Arial"/>
          <w:b/>
          <w:bCs/>
          <w:sz w:val="24"/>
          <w:szCs w:val="24"/>
        </w:rPr>
        <w:t>...................................................................................................................219</w:t>
      </w:r>
    </w:p>
    <w:p w14:paraId="65ED13A8" w14:textId="77777777" w:rsidR="00311278" w:rsidRDefault="00311278" w:rsidP="00311278">
      <w:pPr>
        <w:spacing w:line="360" w:lineRule="auto"/>
        <w:jc w:val="both"/>
        <w:rPr>
          <w:rFonts w:ascii="Arial" w:hAnsi="Arial" w:cs="Arial"/>
          <w:b/>
          <w:color w:val="000000" w:themeColor="text1"/>
          <w:sz w:val="24"/>
          <w:szCs w:val="24"/>
        </w:rPr>
      </w:pPr>
      <w:r>
        <w:rPr>
          <w:rFonts w:ascii="Arial" w:hAnsi="Arial" w:cs="Arial"/>
          <w:b/>
          <w:color w:val="000000" w:themeColor="text1"/>
          <w:sz w:val="24"/>
          <w:szCs w:val="24"/>
        </w:rPr>
        <w:t>6.3.3.1 – Auditorias de investimento.........................................................................219</w:t>
      </w:r>
    </w:p>
    <w:p w14:paraId="5317FDC1" w14:textId="77777777" w:rsidR="00311278" w:rsidRPr="00833731" w:rsidRDefault="00311278" w:rsidP="00311278">
      <w:pPr>
        <w:spacing w:line="360" w:lineRule="auto"/>
        <w:jc w:val="both"/>
        <w:rPr>
          <w:rFonts w:ascii="Arial" w:hAnsi="Arial" w:cs="Arial"/>
          <w:b/>
          <w:bCs/>
          <w:sz w:val="24"/>
          <w:szCs w:val="24"/>
        </w:rPr>
      </w:pPr>
      <w:r>
        <w:rPr>
          <w:rFonts w:ascii="Arial" w:hAnsi="Arial" w:cs="Arial"/>
          <w:b/>
          <w:color w:val="000000" w:themeColor="text1"/>
          <w:sz w:val="24"/>
          <w:szCs w:val="24"/>
        </w:rPr>
        <w:t>6.3.3.2 – Auditorias de quitação.................................................................................222</w:t>
      </w:r>
    </w:p>
    <w:p w14:paraId="5A6EBA44"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u w:val="single"/>
        </w:rPr>
        <w:t>7 – CRÉDITO OUTORGADO</w:t>
      </w:r>
      <w:r w:rsidRPr="00E56B3D">
        <w:rPr>
          <w:rFonts w:ascii="Arial" w:hAnsi="Arial" w:cs="Arial"/>
          <w:b/>
          <w:color w:val="000000" w:themeColor="text1"/>
          <w:sz w:val="24"/>
          <w:szCs w:val="24"/>
        </w:rPr>
        <w:t>..............................................................................</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226</w:t>
      </w:r>
    </w:p>
    <w:p w14:paraId="64ECA4C8"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rPr>
        <w:t>7.1 – CONCEITO E COMPREENSÃO DO INSTITUTO...............................................</w:t>
      </w:r>
      <w:r>
        <w:rPr>
          <w:rFonts w:ascii="Arial" w:hAnsi="Arial" w:cs="Arial"/>
          <w:b/>
          <w:color w:val="000000" w:themeColor="text1"/>
          <w:sz w:val="24"/>
          <w:szCs w:val="24"/>
        </w:rPr>
        <w:t>226</w:t>
      </w:r>
    </w:p>
    <w:p w14:paraId="657A83F1" w14:textId="77777777" w:rsidR="00311278" w:rsidRPr="00E56B3D" w:rsidRDefault="00311278" w:rsidP="00311278">
      <w:pPr>
        <w:spacing w:line="360" w:lineRule="auto"/>
        <w:jc w:val="both"/>
        <w:rPr>
          <w:rFonts w:ascii="Arial" w:hAnsi="Arial" w:cs="Arial"/>
          <w:color w:val="000000" w:themeColor="text1"/>
          <w:sz w:val="24"/>
          <w:szCs w:val="24"/>
        </w:rPr>
      </w:pPr>
      <w:r w:rsidRPr="00E56B3D">
        <w:rPr>
          <w:rFonts w:ascii="Arial" w:hAnsi="Arial" w:cs="Arial"/>
          <w:b/>
          <w:color w:val="000000" w:themeColor="text1"/>
          <w:sz w:val="24"/>
          <w:szCs w:val="24"/>
        </w:rPr>
        <w:lastRenderedPageBreak/>
        <w:t>7.2 – IMPACTO DO CRÉDITO OUTORGADO NO MONTANTE DE RENÚNCIA DE RECEITA PREVISTO NAS LEIS ORÇAMENTÁRIAS ANUAIS DO ESTADO DE GOIÁS E NA ESCRITURAÇÃO FISCAL DIGITAL (EFD) DAS EMPRESAS.........................</w:t>
      </w:r>
      <w:r>
        <w:rPr>
          <w:rFonts w:ascii="Arial" w:hAnsi="Arial" w:cs="Arial"/>
          <w:b/>
          <w:color w:val="000000" w:themeColor="text1"/>
          <w:sz w:val="24"/>
          <w:szCs w:val="24"/>
        </w:rPr>
        <w:t>229</w:t>
      </w:r>
    </w:p>
    <w:p w14:paraId="282494FC" w14:textId="77777777" w:rsidR="00311278" w:rsidRPr="00E56B3D" w:rsidRDefault="00311278" w:rsidP="00311278">
      <w:pPr>
        <w:spacing w:line="360" w:lineRule="auto"/>
        <w:jc w:val="both"/>
        <w:rPr>
          <w:rFonts w:ascii="Arial" w:hAnsi="Arial" w:cs="Arial"/>
          <w:b/>
          <w:color w:val="000000" w:themeColor="text1"/>
          <w:sz w:val="24"/>
          <w:szCs w:val="24"/>
        </w:rPr>
      </w:pPr>
      <w:r>
        <w:rPr>
          <w:rFonts w:ascii="Arial" w:hAnsi="Arial" w:cs="Arial"/>
          <w:b/>
          <w:color w:val="000000" w:themeColor="text1"/>
          <w:sz w:val="24"/>
          <w:szCs w:val="24"/>
        </w:rPr>
        <w:t>7.3 –</w:t>
      </w:r>
      <w:r w:rsidRPr="00E56B3D">
        <w:rPr>
          <w:rFonts w:ascii="Arial" w:hAnsi="Arial" w:cs="Arial"/>
          <w:b/>
          <w:color w:val="000000" w:themeColor="text1"/>
          <w:sz w:val="24"/>
          <w:szCs w:val="24"/>
        </w:rPr>
        <w:t xml:space="preserve"> LEGISLAÇÃO ESTADUAL REFERENTE A CRÉDITO OUTORGADO: CONSIDERAÇÕES GERAIS.................................................................................</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233</w:t>
      </w:r>
    </w:p>
    <w:p w14:paraId="1E74589F"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rPr>
        <w:t>7.4 – EXIGÊNCIA DE CONTRAPARTIDAS ECONÔMICAS OU SOCIAIS................</w:t>
      </w:r>
      <w:r>
        <w:rPr>
          <w:rFonts w:ascii="Arial" w:hAnsi="Arial" w:cs="Arial"/>
          <w:b/>
          <w:color w:val="000000" w:themeColor="text1"/>
          <w:sz w:val="24"/>
          <w:szCs w:val="24"/>
        </w:rPr>
        <w:t>266</w:t>
      </w:r>
    </w:p>
    <w:p w14:paraId="707893C4" w14:textId="77777777" w:rsidR="00311278" w:rsidRPr="00E56B3D" w:rsidRDefault="00311278" w:rsidP="00311278">
      <w:pPr>
        <w:spacing w:line="360" w:lineRule="auto"/>
        <w:jc w:val="both"/>
        <w:rPr>
          <w:rFonts w:ascii="Arial" w:hAnsi="Arial" w:cs="Arial"/>
          <w:b/>
          <w:color w:val="000000" w:themeColor="text1"/>
          <w:sz w:val="24"/>
          <w:szCs w:val="24"/>
          <w:u w:val="single"/>
        </w:rPr>
      </w:pPr>
      <w:r>
        <w:rPr>
          <w:rFonts w:ascii="Arial" w:hAnsi="Arial" w:cs="Arial"/>
          <w:b/>
          <w:color w:val="000000" w:themeColor="text1"/>
          <w:sz w:val="24"/>
          <w:szCs w:val="24"/>
          <w:u w:val="single"/>
        </w:rPr>
        <w:t>7.4.1 –</w:t>
      </w:r>
      <w:r w:rsidRPr="00E56B3D">
        <w:rPr>
          <w:rFonts w:ascii="Arial" w:hAnsi="Arial" w:cs="Arial"/>
          <w:b/>
          <w:color w:val="000000" w:themeColor="text1"/>
          <w:sz w:val="24"/>
          <w:szCs w:val="24"/>
          <w:u w:val="single"/>
        </w:rPr>
        <w:t xml:space="preserve"> Considerações gerais</w:t>
      </w:r>
      <w:r w:rsidRPr="00E56B3D">
        <w:rPr>
          <w:rFonts w:ascii="Arial" w:hAnsi="Arial" w:cs="Arial"/>
          <w:b/>
          <w:color w:val="000000" w:themeColor="text1"/>
          <w:sz w:val="24"/>
          <w:szCs w:val="24"/>
        </w:rPr>
        <w:t>...........</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266</w:t>
      </w:r>
    </w:p>
    <w:p w14:paraId="5CC9B565" w14:textId="77777777" w:rsidR="00311278" w:rsidRPr="00E56B3D" w:rsidRDefault="00311278" w:rsidP="00311278">
      <w:pPr>
        <w:spacing w:line="360" w:lineRule="auto"/>
        <w:jc w:val="both"/>
        <w:rPr>
          <w:rFonts w:ascii="Arial" w:hAnsi="Arial" w:cs="Arial"/>
          <w:b/>
          <w:color w:val="000000" w:themeColor="text1"/>
          <w:sz w:val="24"/>
          <w:szCs w:val="24"/>
          <w:u w:val="single"/>
        </w:rPr>
      </w:pPr>
      <w:r>
        <w:rPr>
          <w:rFonts w:ascii="Arial" w:hAnsi="Arial" w:cs="Arial"/>
          <w:b/>
          <w:color w:val="000000" w:themeColor="text1"/>
          <w:sz w:val="24"/>
          <w:szCs w:val="24"/>
          <w:u w:val="single"/>
        </w:rPr>
        <w:t>7.4.2 –</w:t>
      </w:r>
      <w:r w:rsidRPr="00E56B3D">
        <w:rPr>
          <w:rFonts w:ascii="Arial" w:hAnsi="Arial" w:cs="Arial"/>
          <w:b/>
          <w:color w:val="000000" w:themeColor="text1"/>
          <w:sz w:val="24"/>
          <w:szCs w:val="24"/>
          <w:u w:val="single"/>
        </w:rPr>
        <w:t xml:space="preserve"> Auditorias de contrapartidas</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272</w:t>
      </w:r>
    </w:p>
    <w:p w14:paraId="4140D2CF" w14:textId="77777777" w:rsidR="00311278" w:rsidRPr="00E56B3D" w:rsidRDefault="00311278" w:rsidP="00311278">
      <w:pPr>
        <w:spacing w:line="360" w:lineRule="auto"/>
        <w:jc w:val="both"/>
        <w:rPr>
          <w:rFonts w:ascii="Arial" w:hAnsi="Arial" w:cs="Arial"/>
          <w:b/>
          <w:i/>
          <w:color w:val="000000" w:themeColor="text1"/>
          <w:sz w:val="24"/>
          <w:szCs w:val="24"/>
        </w:rPr>
      </w:pPr>
      <w:r w:rsidRPr="00E56B3D">
        <w:rPr>
          <w:rFonts w:ascii="Arial" w:hAnsi="Arial" w:cs="Arial"/>
          <w:b/>
          <w:i/>
          <w:color w:val="000000" w:themeColor="text1"/>
          <w:sz w:val="24"/>
          <w:szCs w:val="24"/>
        </w:rPr>
        <w:t>7.4.2.</w:t>
      </w:r>
      <w:r w:rsidRPr="009A1CFD">
        <w:rPr>
          <w:rFonts w:ascii="Arial" w:hAnsi="Arial" w:cs="Arial"/>
          <w:b/>
          <w:i/>
          <w:color w:val="000000" w:themeColor="text1"/>
          <w:sz w:val="24"/>
          <w:szCs w:val="24"/>
        </w:rPr>
        <w:t>1</w:t>
      </w:r>
      <w:r w:rsidRPr="009A1CFD">
        <w:rPr>
          <w:rFonts w:ascii="Arial" w:hAnsi="Arial" w:cs="Arial"/>
          <w:b/>
          <w:color w:val="000000" w:themeColor="text1"/>
          <w:sz w:val="24"/>
          <w:szCs w:val="24"/>
        </w:rPr>
        <w:t xml:space="preserve"> –</w:t>
      </w:r>
      <w:r w:rsidRPr="00E56B3D">
        <w:rPr>
          <w:rFonts w:ascii="Arial" w:hAnsi="Arial" w:cs="Arial"/>
          <w:b/>
          <w:i/>
          <w:color w:val="000000" w:themeColor="text1"/>
          <w:sz w:val="24"/>
          <w:szCs w:val="24"/>
        </w:rPr>
        <w:t xml:space="preserve"> Objeto de requisição da CPI (Ofício nº 02/2019, item 6.1)</w:t>
      </w:r>
      <w:r>
        <w:rPr>
          <w:rFonts w:ascii="Arial" w:hAnsi="Arial" w:cs="Arial"/>
          <w:b/>
          <w:i/>
          <w:color w:val="000000" w:themeColor="text1"/>
          <w:sz w:val="24"/>
          <w:szCs w:val="24"/>
        </w:rPr>
        <w:t>.......</w:t>
      </w:r>
      <w:r w:rsidRPr="00E56B3D">
        <w:rPr>
          <w:rFonts w:ascii="Arial" w:hAnsi="Arial" w:cs="Arial"/>
          <w:b/>
          <w:i/>
          <w:color w:val="000000" w:themeColor="text1"/>
          <w:sz w:val="24"/>
          <w:szCs w:val="24"/>
        </w:rPr>
        <w:t>..................</w:t>
      </w:r>
      <w:r>
        <w:rPr>
          <w:rFonts w:ascii="Arial" w:hAnsi="Arial" w:cs="Arial"/>
          <w:b/>
          <w:i/>
          <w:color w:val="000000" w:themeColor="text1"/>
          <w:sz w:val="24"/>
          <w:szCs w:val="24"/>
        </w:rPr>
        <w:t>272</w:t>
      </w:r>
    </w:p>
    <w:p w14:paraId="6EE43759" w14:textId="77777777" w:rsidR="00311278" w:rsidRPr="00E56B3D" w:rsidRDefault="00311278" w:rsidP="00311278">
      <w:pPr>
        <w:spacing w:line="360" w:lineRule="auto"/>
        <w:jc w:val="both"/>
        <w:rPr>
          <w:rFonts w:ascii="Arial" w:hAnsi="Arial" w:cs="Arial"/>
          <w:b/>
          <w:i/>
          <w:color w:val="000000" w:themeColor="text1"/>
          <w:sz w:val="24"/>
          <w:szCs w:val="24"/>
        </w:rPr>
      </w:pPr>
      <w:r w:rsidRPr="00E56B3D">
        <w:rPr>
          <w:rFonts w:ascii="Arial" w:hAnsi="Arial" w:cs="Arial"/>
          <w:b/>
          <w:i/>
          <w:color w:val="000000" w:themeColor="text1"/>
          <w:sz w:val="24"/>
          <w:szCs w:val="24"/>
        </w:rPr>
        <w:t>7.4.2.2</w:t>
      </w:r>
      <w:r>
        <w:rPr>
          <w:rFonts w:ascii="Arial" w:hAnsi="Arial" w:cs="Arial"/>
          <w:b/>
          <w:i/>
          <w:color w:val="000000" w:themeColor="text1"/>
          <w:sz w:val="24"/>
          <w:szCs w:val="24"/>
        </w:rPr>
        <w:t xml:space="preserve"> –</w:t>
      </w:r>
      <w:r w:rsidRPr="00E56B3D">
        <w:rPr>
          <w:rFonts w:ascii="Arial" w:hAnsi="Arial" w:cs="Arial"/>
          <w:b/>
          <w:i/>
          <w:color w:val="000000" w:themeColor="text1"/>
          <w:sz w:val="24"/>
          <w:szCs w:val="24"/>
        </w:rPr>
        <w:t xml:space="preserve"> Auditorias em que foi constatada a regularidade (Ofício nº 02/2019-CPI, item 6.1, “a”; Ofício nº 2.500/2019-Economia, p. 707/2209)</w:t>
      </w:r>
      <w:r>
        <w:rPr>
          <w:rFonts w:ascii="Arial" w:hAnsi="Arial" w:cs="Arial"/>
          <w:b/>
          <w:i/>
          <w:color w:val="000000" w:themeColor="text1"/>
          <w:sz w:val="24"/>
          <w:szCs w:val="24"/>
        </w:rPr>
        <w:t>...............</w:t>
      </w:r>
      <w:r w:rsidRPr="00E56B3D">
        <w:rPr>
          <w:rFonts w:ascii="Arial" w:hAnsi="Arial" w:cs="Arial"/>
          <w:b/>
          <w:i/>
          <w:color w:val="000000" w:themeColor="text1"/>
          <w:sz w:val="24"/>
          <w:szCs w:val="24"/>
        </w:rPr>
        <w:t>.....................</w:t>
      </w:r>
      <w:r>
        <w:rPr>
          <w:rFonts w:ascii="Arial" w:hAnsi="Arial" w:cs="Arial"/>
          <w:b/>
          <w:i/>
          <w:color w:val="000000" w:themeColor="text1"/>
          <w:sz w:val="24"/>
          <w:szCs w:val="24"/>
        </w:rPr>
        <w:t>273</w:t>
      </w:r>
    </w:p>
    <w:p w14:paraId="442C3D9A" w14:textId="77777777" w:rsidR="00311278" w:rsidRPr="00E56B3D" w:rsidRDefault="00311278" w:rsidP="00311278">
      <w:pPr>
        <w:spacing w:line="360" w:lineRule="auto"/>
        <w:jc w:val="both"/>
        <w:rPr>
          <w:rFonts w:ascii="Arial" w:hAnsi="Arial" w:cs="Arial"/>
          <w:b/>
          <w:i/>
          <w:color w:val="000000" w:themeColor="text1"/>
          <w:sz w:val="24"/>
          <w:szCs w:val="24"/>
        </w:rPr>
      </w:pPr>
      <w:r>
        <w:rPr>
          <w:rFonts w:ascii="Arial" w:hAnsi="Arial" w:cs="Arial"/>
          <w:b/>
          <w:i/>
          <w:color w:val="000000" w:themeColor="text1"/>
          <w:sz w:val="24"/>
          <w:szCs w:val="24"/>
        </w:rPr>
        <w:t>7.4.2.3 –</w:t>
      </w:r>
      <w:r w:rsidRPr="00E56B3D">
        <w:rPr>
          <w:rFonts w:ascii="Arial" w:hAnsi="Arial" w:cs="Arial"/>
          <w:b/>
          <w:i/>
          <w:color w:val="000000" w:themeColor="text1"/>
          <w:sz w:val="24"/>
          <w:szCs w:val="24"/>
        </w:rPr>
        <w:t xml:space="preserve"> Auditorias em que foi constatada a irregularidade (Ofício nº 02/2019-CPI, item 6.1, “b”)...............................................................................................................</w:t>
      </w:r>
      <w:r>
        <w:rPr>
          <w:rFonts w:ascii="Arial" w:hAnsi="Arial" w:cs="Arial"/>
          <w:b/>
          <w:i/>
          <w:color w:val="000000" w:themeColor="text1"/>
          <w:sz w:val="24"/>
          <w:szCs w:val="24"/>
        </w:rPr>
        <w:t>281</w:t>
      </w:r>
    </w:p>
    <w:p w14:paraId="704428EA" w14:textId="77777777" w:rsidR="00311278" w:rsidRPr="00E56B3D" w:rsidRDefault="00311278" w:rsidP="00311278">
      <w:pPr>
        <w:spacing w:line="360" w:lineRule="auto"/>
        <w:jc w:val="both"/>
        <w:rPr>
          <w:rFonts w:ascii="Arial" w:hAnsi="Arial" w:cs="Arial"/>
          <w:b/>
          <w:i/>
          <w:color w:val="000000" w:themeColor="text1"/>
          <w:sz w:val="24"/>
          <w:szCs w:val="24"/>
        </w:rPr>
      </w:pPr>
      <w:r w:rsidRPr="00E56B3D">
        <w:rPr>
          <w:rFonts w:ascii="Arial" w:hAnsi="Arial" w:cs="Arial"/>
          <w:b/>
          <w:i/>
          <w:color w:val="000000" w:themeColor="text1"/>
          <w:sz w:val="24"/>
          <w:szCs w:val="24"/>
        </w:rPr>
        <w:t>7.4.2.4</w:t>
      </w:r>
      <w:r>
        <w:rPr>
          <w:rFonts w:ascii="Arial" w:hAnsi="Arial" w:cs="Arial"/>
          <w:b/>
          <w:i/>
          <w:color w:val="000000" w:themeColor="text1"/>
          <w:sz w:val="24"/>
          <w:szCs w:val="24"/>
        </w:rPr>
        <w:t xml:space="preserve"> –</w:t>
      </w:r>
      <w:r w:rsidRPr="00E56B3D">
        <w:rPr>
          <w:rFonts w:ascii="Arial" w:hAnsi="Arial" w:cs="Arial"/>
          <w:b/>
          <w:i/>
          <w:color w:val="000000" w:themeColor="text1"/>
          <w:sz w:val="24"/>
          <w:szCs w:val="24"/>
        </w:rPr>
        <w:t xml:space="preserve"> Demais auditorias de contrapartidas encaminhadas (Ofício nºs 09/2019-CPI, item 3, e 12/2019-CPI, item “c”).........................................................................</w:t>
      </w:r>
      <w:r>
        <w:rPr>
          <w:rFonts w:ascii="Arial" w:hAnsi="Arial" w:cs="Arial"/>
          <w:b/>
          <w:i/>
          <w:color w:val="000000" w:themeColor="text1"/>
          <w:sz w:val="24"/>
          <w:szCs w:val="24"/>
        </w:rPr>
        <w:t>286</w:t>
      </w:r>
    </w:p>
    <w:p w14:paraId="01E28F66" w14:textId="77777777" w:rsidR="00311278" w:rsidRPr="00E56B3D" w:rsidRDefault="00311278" w:rsidP="00311278">
      <w:pPr>
        <w:spacing w:line="360" w:lineRule="auto"/>
        <w:jc w:val="both"/>
        <w:rPr>
          <w:rFonts w:ascii="Arial" w:hAnsi="Arial" w:cs="Arial"/>
          <w:i/>
          <w:color w:val="000000" w:themeColor="text1"/>
          <w:sz w:val="24"/>
          <w:szCs w:val="24"/>
        </w:rPr>
      </w:pPr>
      <w:r w:rsidRPr="00E56B3D">
        <w:rPr>
          <w:rFonts w:ascii="Arial" w:hAnsi="Arial" w:cs="Arial"/>
          <w:b/>
          <w:i/>
          <w:color w:val="000000" w:themeColor="text1"/>
          <w:sz w:val="24"/>
          <w:szCs w:val="24"/>
        </w:rPr>
        <w:t>7.4.2.5 – Metodologia de avaliação, fiscalização e auditoria..................................</w:t>
      </w:r>
      <w:r>
        <w:rPr>
          <w:rFonts w:ascii="Arial" w:hAnsi="Arial" w:cs="Arial"/>
          <w:b/>
          <w:i/>
          <w:color w:val="000000" w:themeColor="text1"/>
          <w:sz w:val="24"/>
          <w:szCs w:val="24"/>
        </w:rPr>
        <w:t>296</w:t>
      </w:r>
    </w:p>
    <w:p w14:paraId="6BA3EF3A" w14:textId="77777777" w:rsidR="00311278"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rPr>
        <w:t>7.5 – CRÉDITOS OUTORGADOS A GRUPO ECONÔMICO......................................</w:t>
      </w:r>
      <w:r>
        <w:rPr>
          <w:rFonts w:ascii="Arial" w:hAnsi="Arial" w:cs="Arial"/>
          <w:b/>
          <w:color w:val="000000" w:themeColor="text1"/>
          <w:sz w:val="24"/>
          <w:szCs w:val="24"/>
        </w:rPr>
        <w:t>301</w:t>
      </w:r>
    </w:p>
    <w:p w14:paraId="0B1D869A"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rPr>
        <w:t>7.6 – HIPÓTESES DE CUMULAÇÃO DE CRÉDITO OUTORGADO COM OUTROS BENEFÍCIOS.............................................................................................................</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303</w:t>
      </w:r>
    </w:p>
    <w:p w14:paraId="06C1762D"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rPr>
        <w:t>7.7 – TRANSFERÊNCIA/CESSÃO DE CRÉDITOS A TERCEIROS...........................</w:t>
      </w:r>
      <w:r>
        <w:rPr>
          <w:rFonts w:ascii="Arial" w:hAnsi="Arial" w:cs="Arial"/>
          <w:b/>
          <w:color w:val="000000" w:themeColor="text1"/>
          <w:sz w:val="24"/>
          <w:szCs w:val="24"/>
        </w:rPr>
        <w:t>306</w:t>
      </w:r>
    </w:p>
    <w:p w14:paraId="46DF409D"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u w:val="single"/>
        </w:rPr>
        <w:t>7.7.1 – Créditos decorrentes da não cumulatividade x crédito outorgado</w:t>
      </w:r>
      <w:r w:rsidRPr="00E56B3D">
        <w:rPr>
          <w:rFonts w:ascii="Arial" w:hAnsi="Arial" w:cs="Arial"/>
          <w:b/>
          <w:color w:val="000000" w:themeColor="text1"/>
          <w:sz w:val="24"/>
          <w:szCs w:val="24"/>
        </w:rPr>
        <w:t>............</w:t>
      </w:r>
      <w:r>
        <w:rPr>
          <w:rFonts w:ascii="Arial" w:hAnsi="Arial" w:cs="Arial"/>
          <w:b/>
          <w:color w:val="000000" w:themeColor="text1"/>
          <w:sz w:val="24"/>
          <w:szCs w:val="24"/>
        </w:rPr>
        <w:t>306</w:t>
      </w:r>
    </w:p>
    <w:p w14:paraId="7DBE9D93" w14:textId="77777777" w:rsidR="00311278" w:rsidRPr="00E56B3D" w:rsidRDefault="00311278" w:rsidP="00311278">
      <w:pPr>
        <w:spacing w:line="360" w:lineRule="auto"/>
        <w:jc w:val="both"/>
        <w:rPr>
          <w:rFonts w:ascii="Arial" w:hAnsi="Arial" w:cs="Arial"/>
          <w:b/>
          <w:color w:val="000000" w:themeColor="text1"/>
          <w:sz w:val="24"/>
          <w:szCs w:val="24"/>
          <w:u w:val="single"/>
        </w:rPr>
      </w:pPr>
      <w:r w:rsidRPr="00E56B3D">
        <w:rPr>
          <w:rFonts w:ascii="Arial" w:hAnsi="Arial" w:cs="Arial"/>
          <w:b/>
          <w:color w:val="000000" w:themeColor="text1"/>
          <w:sz w:val="24"/>
          <w:szCs w:val="24"/>
          <w:u w:val="single"/>
        </w:rPr>
        <w:t>7.7.2 – “Venda de crédito outorgado” com deságio e fato gerador do ITCMD</w:t>
      </w:r>
      <w:r w:rsidRPr="00FC5734">
        <w:rPr>
          <w:rFonts w:ascii="Arial" w:hAnsi="Arial" w:cs="Arial"/>
          <w:b/>
          <w:color w:val="000000" w:themeColor="text1"/>
          <w:sz w:val="24"/>
          <w:szCs w:val="24"/>
        </w:rPr>
        <w:t>.....</w:t>
      </w:r>
      <w:r>
        <w:rPr>
          <w:rFonts w:ascii="Arial" w:hAnsi="Arial" w:cs="Arial"/>
          <w:b/>
          <w:color w:val="000000" w:themeColor="text1"/>
          <w:sz w:val="24"/>
          <w:szCs w:val="24"/>
        </w:rPr>
        <w:t>.311</w:t>
      </w:r>
    </w:p>
    <w:p w14:paraId="14B008BD"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u w:val="single"/>
        </w:rPr>
        <w:t>8 – DESCUMPRIMENTO DE REQUISITOS CONSTITUCIONAIS E LEGAIS PARA CONCESSÃO E FRUIÇÃO DE INCENTIVOS FISCAIS</w:t>
      </w:r>
      <w:r w:rsidRPr="00E56B3D">
        <w:rPr>
          <w:rFonts w:ascii="Arial" w:hAnsi="Arial" w:cs="Arial"/>
          <w:b/>
          <w:color w:val="000000" w:themeColor="text1"/>
          <w:sz w:val="24"/>
          <w:szCs w:val="24"/>
        </w:rPr>
        <w:t>..........................................</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319</w:t>
      </w:r>
    </w:p>
    <w:p w14:paraId="404C09B6"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rPr>
        <w:t>8.1 – REGULARIDADE FISCAL E DEVEDORES CONTUMAZES.............................</w:t>
      </w:r>
      <w:r>
        <w:rPr>
          <w:rFonts w:ascii="Arial" w:hAnsi="Arial" w:cs="Arial"/>
          <w:b/>
          <w:color w:val="000000" w:themeColor="text1"/>
          <w:sz w:val="24"/>
          <w:szCs w:val="24"/>
        </w:rPr>
        <w:t>320</w:t>
      </w:r>
    </w:p>
    <w:p w14:paraId="401D56CC"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rPr>
        <w:t>8.2 – REGULARIDADE PERANTE O SISTEMA DE SEGURIDADE SOCIAL............</w:t>
      </w:r>
      <w:r>
        <w:rPr>
          <w:rFonts w:ascii="Arial" w:hAnsi="Arial" w:cs="Arial"/>
          <w:b/>
          <w:color w:val="000000" w:themeColor="text1"/>
          <w:sz w:val="24"/>
          <w:szCs w:val="24"/>
        </w:rPr>
        <w:t>355</w:t>
      </w:r>
      <w:r w:rsidRPr="00E56B3D">
        <w:rPr>
          <w:rFonts w:ascii="Arial" w:hAnsi="Arial" w:cs="Arial"/>
          <w:b/>
          <w:color w:val="000000" w:themeColor="text1"/>
          <w:sz w:val="24"/>
          <w:szCs w:val="24"/>
        </w:rPr>
        <w:t xml:space="preserve"> </w:t>
      </w:r>
    </w:p>
    <w:p w14:paraId="4097951E"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rPr>
        <w:t>8.3 – REGULARIDADE AMBIENTAL..................................................................</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370</w:t>
      </w:r>
      <w:r w:rsidRPr="00E56B3D">
        <w:rPr>
          <w:rFonts w:ascii="Arial" w:hAnsi="Arial" w:cs="Arial"/>
          <w:b/>
          <w:color w:val="000000" w:themeColor="text1"/>
          <w:sz w:val="24"/>
          <w:szCs w:val="24"/>
        </w:rPr>
        <w:t xml:space="preserve"> </w:t>
      </w:r>
    </w:p>
    <w:p w14:paraId="124084E8"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rPr>
        <w:t>8.4 – REGULARIDADE SOCIAL..........................................................................</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407</w:t>
      </w:r>
      <w:r w:rsidRPr="00E56B3D">
        <w:rPr>
          <w:rFonts w:ascii="Arial" w:hAnsi="Arial" w:cs="Arial"/>
          <w:b/>
          <w:color w:val="000000" w:themeColor="text1"/>
          <w:sz w:val="24"/>
          <w:szCs w:val="24"/>
        </w:rPr>
        <w:t xml:space="preserve"> </w:t>
      </w:r>
    </w:p>
    <w:p w14:paraId="50376610" w14:textId="77777777" w:rsidR="00311278" w:rsidRPr="00E56B3D" w:rsidRDefault="00311278" w:rsidP="00311278">
      <w:pPr>
        <w:spacing w:line="360" w:lineRule="auto"/>
        <w:jc w:val="both"/>
        <w:rPr>
          <w:rFonts w:ascii="Arial" w:hAnsi="Arial" w:cs="Arial"/>
          <w:b/>
          <w:color w:val="000000" w:themeColor="text1"/>
          <w:sz w:val="24"/>
          <w:szCs w:val="24"/>
        </w:rPr>
      </w:pPr>
      <w:r w:rsidRPr="00E56B3D">
        <w:rPr>
          <w:rFonts w:ascii="Arial" w:hAnsi="Arial" w:cs="Arial"/>
          <w:b/>
          <w:color w:val="000000" w:themeColor="text1"/>
          <w:sz w:val="24"/>
          <w:szCs w:val="24"/>
          <w:u w:val="single"/>
        </w:rPr>
        <w:t>9 – OUTROS ACHADOS DESTA CPI</w:t>
      </w:r>
      <w:r w:rsidRPr="00E56B3D">
        <w:rPr>
          <w:rFonts w:ascii="Arial" w:hAnsi="Arial" w:cs="Arial"/>
          <w:b/>
          <w:color w:val="000000" w:themeColor="text1"/>
          <w:sz w:val="24"/>
          <w:szCs w:val="24"/>
        </w:rPr>
        <w:t>.................................................................</w:t>
      </w:r>
      <w:r>
        <w:rPr>
          <w:rFonts w:ascii="Arial" w:hAnsi="Arial" w:cs="Arial"/>
          <w:b/>
          <w:color w:val="000000" w:themeColor="text1"/>
          <w:sz w:val="24"/>
          <w:szCs w:val="24"/>
        </w:rPr>
        <w:t>.</w:t>
      </w:r>
      <w:r w:rsidRPr="00E56B3D">
        <w:rPr>
          <w:rFonts w:ascii="Arial" w:hAnsi="Arial" w:cs="Arial"/>
          <w:b/>
          <w:color w:val="000000" w:themeColor="text1"/>
          <w:sz w:val="24"/>
          <w:szCs w:val="24"/>
        </w:rPr>
        <w:t>........</w:t>
      </w:r>
      <w:r>
        <w:rPr>
          <w:rFonts w:ascii="Arial" w:hAnsi="Arial" w:cs="Arial"/>
          <w:b/>
          <w:color w:val="000000" w:themeColor="text1"/>
          <w:sz w:val="24"/>
          <w:szCs w:val="24"/>
        </w:rPr>
        <w:t>413</w:t>
      </w:r>
    </w:p>
    <w:p w14:paraId="78534CF9" w14:textId="77777777" w:rsidR="00311278" w:rsidRPr="00E56B3D" w:rsidRDefault="00311278" w:rsidP="00311278">
      <w:pPr>
        <w:spacing w:line="360" w:lineRule="auto"/>
        <w:jc w:val="both"/>
        <w:rPr>
          <w:rFonts w:ascii="Arial" w:hAnsi="Arial" w:cs="Arial"/>
          <w:b/>
          <w:bCs/>
          <w:color w:val="000000" w:themeColor="text1"/>
          <w:sz w:val="24"/>
          <w:szCs w:val="24"/>
        </w:rPr>
      </w:pPr>
      <w:r w:rsidRPr="00E56B3D">
        <w:rPr>
          <w:rFonts w:ascii="Arial" w:hAnsi="Arial" w:cs="Arial"/>
          <w:b/>
          <w:bCs/>
          <w:color w:val="000000" w:themeColor="text1"/>
          <w:sz w:val="24"/>
          <w:szCs w:val="24"/>
        </w:rPr>
        <w:t>9.1 – EMPRESAS DE PEQUENO PORTE (EPP) COM VOLUMES EXPRESSIVOS DE INCENTIVOS FISCAIS FRUÍDOS EM APARENTE INCOMPATIBILIDADE COM O ART. 3º DA COMPLEMENTAR FEDERAL Nº 123/2006.......................................</w:t>
      </w:r>
      <w:r>
        <w:rPr>
          <w:rFonts w:ascii="Arial" w:hAnsi="Arial" w:cs="Arial"/>
          <w:b/>
          <w:bCs/>
          <w:color w:val="000000" w:themeColor="text1"/>
          <w:sz w:val="24"/>
          <w:szCs w:val="24"/>
        </w:rPr>
        <w:t>.</w:t>
      </w:r>
      <w:r w:rsidRPr="00E56B3D">
        <w:rPr>
          <w:rFonts w:ascii="Arial" w:hAnsi="Arial" w:cs="Arial"/>
          <w:b/>
          <w:bCs/>
          <w:color w:val="000000" w:themeColor="text1"/>
          <w:sz w:val="24"/>
          <w:szCs w:val="24"/>
        </w:rPr>
        <w:t>.....</w:t>
      </w:r>
      <w:r>
        <w:rPr>
          <w:rFonts w:ascii="Arial" w:hAnsi="Arial" w:cs="Arial"/>
          <w:b/>
          <w:bCs/>
          <w:color w:val="000000" w:themeColor="text1"/>
          <w:sz w:val="24"/>
          <w:szCs w:val="24"/>
        </w:rPr>
        <w:t>413</w:t>
      </w:r>
    </w:p>
    <w:p w14:paraId="2EBCF281" w14:textId="77777777" w:rsidR="00311278" w:rsidRPr="00E56B3D" w:rsidRDefault="00311278" w:rsidP="00311278">
      <w:pPr>
        <w:spacing w:line="360" w:lineRule="auto"/>
        <w:jc w:val="both"/>
        <w:rPr>
          <w:rFonts w:ascii="Arial" w:hAnsi="Arial" w:cs="Arial"/>
          <w:b/>
          <w:bCs/>
          <w:color w:val="000000" w:themeColor="text1"/>
          <w:sz w:val="24"/>
          <w:szCs w:val="24"/>
        </w:rPr>
      </w:pPr>
      <w:r w:rsidRPr="00E56B3D">
        <w:rPr>
          <w:rFonts w:ascii="Arial" w:hAnsi="Arial" w:cs="Arial"/>
          <w:b/>
          <w:bCs/>
          <w:color w:val="000000" w:themeColor="text1"/>
          <w:sz w:val="24"/>
          <w:szCs w:val="24"/>
        </w:rPr>
        <w:lastRenderedPageBreak/>
        <w:t xml:space="preserve">9.2 </w:t>
      </w:r>
      <w:r>
        <w:rPr>
          <w:rFonts w:ascii="Arial" w:hAnsi="Arial" w:cs="Arial"/>
          <w:b/>
          <w:bCs/>
          <w:color w:val="000000" w:themeColor="text1"/>
          <w:sz w:val="24"/>
          <w:szCs w:val="24"/>
        </w:rPr>
        <w:t>–</w:t>
      </w:r>
      <w:r w:rsidRPr="00E56B3D">
        <w:rPr>
          <w:rFonts w:ascii="Arial" w:hAnsi="Arial" w:cs="Arial"/>
          <w:b/>
          <w:bCs/>
          <w:color w:val="000000" w:themeColor="text1"/>
          <w:sz w:val="24"/>
          <w:szCs w:val="24"/>
        </w:rPr>
        <w:t xml:space="preserve"> PESSOAS JURÍDICAS BENEFICIÁRIAS DE INCENTIVOS FISCAIS COM ALTO CUSTO ANUAL MÉDIO DE EMPREGO.............................................................</w:t>
      </w:r>
      <w:r>
        <w:rPr>
          <w:rFonts w:ascii="Arial" w:hAnsi="Arial" w:cs="Arial"/>
          <w:b/>
          <w:bCs/>
          <w:color w:val="000000" w:themeColor="text1"/>
          <w:sz w:val="24"/>
          <w:szCs w:val="24"/>
        </w:rPr>
        <w:t>.</w:t>
      </w:r>
      <w:r w:rsidRPr="00E56B3D">
        <w:rPr>
          <w:rFonts w:ascii="Arial" w:hAnsi="Arial" w:cs="Arial"/>
          <w:b/>
          <w:bCs/>
          <w:color w:val="000000" w:themeColor="text1"/>
          <w:sz w:val="24"/>
          <w:szCs w:val="24"/>
        </w:rPr>
        <w:t>........</w:t>
      </w:r>
      <w:r>
        <w:rPr>
          <w:rFonts w:ascii="Arial" w:hAnsi="Arial" w:cs="Arial"/>
          <w:b/>
          <w:bCs/>
          <w:color w:val="000000" w:themeColor="text1"/>
          <w:sz w:val="24"/>
          <w:szCs w:val="24"/>
        </w:rPr>
        <w:t>416</w:t>
      </w:r>
    </w:p>
    <w:p w14:paraId="21B0170E" w14:textId="77777777" w:rsidR="00311278" w:rsidRPr="00E56B3D" w:rsidRDefault="00311278" w:rsidP="00311278">
      <w:pPr>
        <w:spacing w:line="360" w:lineRule="auto"/>
        <w:jc w:val="both"/>
        <w:rPr>
          <w:rFonts w:ascii="Arial" w:hAnsi="Arial" w:cs="Arial"/>
          <w:b/>
          <w:bCs/>
          <w:color w:val="000000" w:themeColor="text1"/>
          <w:sz w:val="24"/>
          <w:szCs w:val="24"/>
        </w:rPr>
      </w:pPr>
      <w:r w:rsidRPr="00E56B3D">
        <w:rPr>
          <w:rFonts w:ascii="Arial" w:hAnsi="Arial" w:cs="Arial"/>
          <w:b/>
          <w:bCs/>
          <w:color w:val="000000" w:themeColor="text1"/>
          <w:sz w:val="24"/>
          <w:szCs w:val="24"/>
        </w:rPr>
        <w:t xml:space="preserve">9.3 </w:t>
      </w:r>
      <w:r>
        <w:rPr>
          <w:rFonts w:ascii="Arial" w:hAnsi="Arial" w:cs="Arial"/>
          <w:b/>
          <w:bCs/>
          <w:color w:val="000000" w:themeColor="text1"/>
          <w:sz w:val="24"/>
          <w:szCs w:val="24"/>
        </w:rPr>
        <w:t>–</w:t>
      </w:r>
      <w:r w:rsidRPr="00E56B3D">
        <w:rPr>
          <w:rFonts w:ascii="Arial" w:hAnsi="Arial" w:cs="Arial"/>
          <w:b/>
          <w:bCs/>
          <w:color w:val="000000" w:themeColor="text1"/>
          <w:sz w:val="24"/>
          <w:szCs w:val="24"/>
        </w:rPr>
        <w:t xml:space="preserve"> EMPRESAS QUE FRUEM INCENTIVOS FISCAIS POR FORÇA DE REGIME ESPECIAL, MAS SEM ESPECIFICAÇÃO DO ATO LEGAL OU NORMATIVO AUTORIZATIVO..............................................................................................</w:t>
      </w:r>
      <w:r>
        <w:rPr>
          <w:rFonts w:ascii="Arial" w:hAnsi="Arial" w:cs="Arial"/>
          <w:b/>
          <w:bCs/>
          <w:color w:val="000000" w:themeColor="text1"/>
          <w:sz w:val="24"/>
          <w:szCs w:val="24"/>
        </w:rPr>
        <w:t>.</w:t>
      </w:r>
      <w:r w:rsidRPr="00E56B3D">
        <w:rPr>
          <w:rFonts w:ascii="Arial" w:hAnsi="Arial" w:cs="Arial"/>
          <w:b/>
          <w:bCs/>
          <w:color w:val="000000" w:themeColor="text1"/>
          <w:sz w:val="24"/>
          <w:szCs w:val="24"/>
        </w:rPr>
        <w:t>............</w:t>
      </w:r>
      <w:r>
        <w:rPr>
          <w:rFonts w:ascii="Arial" w:hAnsi="Arial" w:cs="Arial"/>
          <w:b/>
          <w:bCs/>
          <w:color w:val="000000" w:themeColor="text1"/>
          <w:sz w:val="24"/>
          <w:szCs w:val="24"/>
        </w:rPr>
        <w:t>423</w:t>
      </w:r>
    </w:p>
    <w:p w14:paraId="7B7145E8" w14:textId="77777777" w:rsidR="00311278" w:rsidRPr="00E56B3D" w:rsidRDefault="00311278" w:rsidP="00311278">
      <w:pPr>
        <w:spacing w:line="360" w:lineRule="auto"/>
        <w:jc w:val="both"/>
        <w:rPr>
          <w:rFonts w:ascii="Arial" w:hAnsi="Arial" w:cs="Arial"/>
          <w:b/>
          <w:bCs/>
          <w:color w:val="000000" w:themeColor="text1"/>
          <w:sz w:val="24"/>
          <w:szCs w:val="24"/>
        </w:rPr>
      </w:pPr>
      <w:r w:rsidRPr="00DA5C58">
        <w:rPr>
          <w:rFonts w:ascii="Arial" w:hAnsi="Arial" w:cs="Arial"/>
          <w:b/>
          <w:bCs/>
          <w:color w:val="000000" w:themeColor="text1"/>
          <w:sz w:val="24"/>
          <w:szCs w:val="24"/>
        </w:rPr>
        <w:t xml:space="preserve">9.4 </w:t>
      </w:r>
      <w:r>
        <w:rPr>
          <w:rFonts w:ascii="Arial" w:hAnsi="Arial" w:cs="Arial"/>
          <w:b/>
          <w:bCs/>
          <w:color w:val="000000" w:themeColor="text1"/>
          <w:sz w:val="24"/>
          <w:szCs w:val="24"/>
        </w:rPr>
        <w:t>–</w:t>
      </w:r>
      <w:r w:rsidRPr="00DA5C58">
        <w:rPr>
          <w:rFonts w:ascii="Arial" w:hAnsi="Arial" w:cs="Arial"/>
          <w:b/>
          <w:bCs/>
          <w:color w:val="000000" w:themeColor="text1"/>
          <w:sz w:val="24"/>
          <w:szCs w:val="24"/>
        </w:rPr>
        <w:t xml:space="preserve"> </w:t>
      </w:r>
      <w:r w:rsidRPr="00DA5C58">
        <w:rPr>
          <w:rFonts w:ascii="Arial" w:hAnsi="Arial" w:cs="Arial"/>
          <w:b/>
          <w:bCs/>
          <w:sz w:val="24"/>
          <w:szCs w:val="24"/>
        </w:rPr>
        <w:t>INCENTIVOS FISCAIS NO RAMO DA MINERAÇÃO</w:t>
      </w:r>
      <w:r>
        <w:rPr>
          <w:rFonts w:ascii="Arial" w:hAnsi="Arial" w:cs="Arial"/>
          <w:b/>
          <w:bCs/>
          <w:color w:val="000000" w:themeColor="text1"/>
          <w:sz w:val="24"/>
          <w:szCs w:val="24"/>
        </w:rPr>
        <w:t>...................</w:t>
      </w:r>
      <w:r w:rsidRPr="00DA5C58">
        <w:rPr>
          <w:rFonts w:ascii="Arial" w:hAnsi="Arial" w:cs="Arial"/>
          <w:b/>
          <w:bCs/>
          <w:color w:val="000000" w:themeColor="text1"/>
          <w:sz w:val="24"/>
          <w:szCs w:val="24"/>
        </w:rPr>
        <w:t>.....................</w:t>
      </w:r>
      <w:r>
        <w:rPr>
          <w:rFonts w:ascii="Arial" w:hAnsi="Arial" w:cs="Arial"/>
          <w:b/>
          <w:bCs/>
          <w:color w:val="000000" w:themeColor="text1"/>
          <w:sz w:val="24"/>
          <w:szCs w:val="24"/>
        </w:rPr>
        <w:t>425</w:t>
      </w:r>
    </w:p>
    <w:p w14:paraId="4393BC9C" w14:textId="77777777" w:rsidR="00311278" w:rsidRPr="00BA6F00" w:rsidRDefault="00311278" w:rsidP="00311278">
      <w:pPr>
        <w:spacing w:line="360" w:lineRule="auto"/>
        <w:jc w:val="both"/>
        <w:rPr>
          <w:rFonts w:ascii="Arial" w:hAnsi="Arial" w:cs="Arial"/>
          <w:b/>
          <w:bCs/>
          <w:color w:val="000000" w:themeColor="text1"/>
          <w:sz w:val="24"/>
          <w:szCs w:val="24"/>
        </w:rPr>
      </w:pPr>
      <w:r w:rsidRPr="00DA5C58">
        <w:rPr>
          <w:rFonts w:ascii="Arial" w:hAnsi="Arial" w:cs="Arial"/>
          <w:b/>
          <w:bCs/>
          <w:color w:val="000000" w:themeColor="text1"/>
          <w:sz w:val="24"/>
          <w:szCs w:val="24"/>
        </w:rPr>
        <w:t xml:space="preserve">9.5 </w:t>
      </w:r>
      <w:r>
        <w:rPr>
          <w:rFonts w:ascii="Arial" w:hAnsi="Arial" w:cs="Arial"/>
          <w:b/>
          <w:bCs/>
          <w:color w:val="000000" w:themeColor="text1"/>
          <w:sz w:val="24"/>
          <w:szCs w:val="24"/>
        </w:rPr>
        <w:t>–</w:t>
      </w:r>
      <w:r w:rsidRPr="00DA5C58">
        <w:rPr>
          <w:rFonts w:ascii="Arial" w:hAnsi="Arial" w:cs="Arial"/>
          <w:b/>
          <w:bCs/>
          <w:color w:val="000000" w:themeColor="text1"/>
          <w:sz w:val="24"/>
          <w:szCs w:val="24"/>
        </w:rPr>
        <w:t xml:space="preserve"> EMPRESAS QUE NÃO FORAM ENCONTRADAS PARA INTIMAÇÃO POR ESTA CPI</w:t>
      </w:r>
      <w:r>
        <w:rPr>
          <w:rFonts w:ascii="Arial" w:hAnsi="Arial" w:cs="Arial"/>
          <w:b/>
          <w:bCs/>
          <w:color w:val="000000" w:themeColor="text1"/>
          <w:sz w:val="24"/>
          <w:szCs w:val="24"/>
        </w:rPr>
        <w:t>............................</w:t>
      </w:r>
      <w:r w:rsidRPr="00BA6F00">
        <w:rPr>
          <w:rFonts w:ascii="Arial" w:hAnsi="Arial" w:cs="Arial"/>
          <w:b/>
          <w:bCs/>
          <w:color w:val="000000" w:themeColor="text1"/>
          <w:sz w:val="24"/>
          <w:szCs w:val="24"/>
        </w:rPr>
        <w:t>..............................................................................................</w:t>
      </w:r>
      <w:r>
        <w:rPr>
          <w:rFonts w:ascii="Arial" w:hAnsi="Arial" w:cs="Arial"/>
          <w:b/>
          <w:bCs/>
          <w:color w:val="000000" w:themeColor="text1"/>
          <w:sz w:val="24"/>
          <w:szCs w:val="24"/>
        </w:rPr>
        <w:t>.</w:t>
      </w:r>
      <w:r w:rsidRPr="00BA6F00">
        <w:rPr>
          <w:rFonts w:ascii="Arial" w:hAnsi="Arial" w:cs="Arial"/>
          <w:b/>
          <w:bCs/>
          <w:color w:val="000000" w:themeColor="text1"/>
          <w:sz w:val="24"/>
          <w:szCs w:val="24"/>
        </w:rPr>
        <w:t>.....</w:t>
      </w:r>
      <w:r>
        <w:rPr>
          <w:rFonts w:ascii="Arial" w:hAnsi="Arial" w:cs="Arial"/>
          <w:b/>
          <w:bCs/>
          <w:color w:val="000000" w:themeColor="text1"/>
          <w:sz w:val="24"/>
          <w:szCs w:val="24"/>
        </w:rPr>
        <w:t>434</w:t>
      </w:r>
    </w:p>
    <w:p w14:paraId="15B772BC" w14:textId="77777777" w:rsidR="00311278" w:rsidRPr="008D7939" w:rsidRDefault="00311278" w:rsidP="00311278">
      <w:pPr>
        <w:spacing w:line="360" w:lineRule="auto"/>
        <w:jc w:val="both"/>
        <w:rPr>
          <w:rFonts w:ascii="Arial" w:hAnsi="Arial" w:cs="Arial"/>
          <w:b/>
          <w:color w:val="000000" w:themeColor="text1"/>
          <w:sz w:val="24"/>
          <w:szCs w:val="24"/>
        </w:rPr>
      </w:pPr>
      <w:r w:rsidRPr="00BA6F00">
        <w:rPr>
          <w:rFonts w:ascii="Arial" w:hAnsi="Arial" w:cs="Arial"/>
          <w:b/>
          <w:color w:val="000000" w:themeColor="text1"/>
          <w:sz w:val="24"/>
          <w:szCs w:val="24"/>
          <w:u w:val="single"/>
        </w:rPr>
        <w:t xml:space="preserve">10 – </w:t>
      </w:r>
      <w:r w:rsidRPr="00BA6F00">
        <w:rPr>
          <w:rFonts w:ascii="Arial" w:hAnsi="Arial" w:cs="Arial"/>
          <w:b/>
          <w:bCs/>
          <w:color w:val="000000" w:themeColor="text1"/>
          <w:sz w:val="24"/>
          <w:szCs w:val="24"/>
          <w:u w:val="single"/>
        </w:rPr>
        <w:t>TRANSPARÊNCIA E COOPERAÇÃO INTERINSTITUCIONAL EM MATÉRIA DE INCENTIVOS FISCAIS DE ICMS</w:t>
      </w:r>
      <w:r w:rsidRPr="008D7939">
        <w:rPr>
          <w:rFonts w:ascii="Arial" w:hAnsi="Arial" w:cs="Arial"/>
          <w:b/>
          <w:bCs/>
          <w:color w:val="000000" w:themeColor="text1"/>
          <w:sz w:val="24"/>
          <w:szCs w:val="24"/>
        </w:rPr>
        <w:t>......................</w:t>
      </w:r>
      <w:r w:rsidRPr="008D7939">
        <w:rPr>
          <w:rFonts w:ascii="Arial" w:hAnsi="Arial" w:cs="Arial"/>
          <w:b/>
          <w:color w:val="000000" w:themeColor="text1"/>
          <w:sz w:val="24"/>
          <w:szCs w:val="24"/>
        </w:rPr>
        <w:t>........................................................</w:t>
      </w:r>
      <w:r>
        <w:rPr>
          <w:rFonts w:ascii="Arial" w:hAnsi="Arial" w:cs="Arial"/>
          <w:b/>
          <w:color w:val="000000" w:themeColor="text1"/>
          <w:sz w:val="24"/>
          <w:szCs w:val="24"/>
        </w:rPr>
        <w:t>.</w:t>
      </w:r>
      <w:r w:rsidRPr="008D7939">
        <w:rPr>
          <w:rFonts w:ascii="Arial" w:hAnsi="Arial" w:cs="Arial"/>
          <w:b/>
          <w:color w:val="000000" w:themeColor="text1"/>
          <w:sz w:val="24"/>
          <w:szCs w:val="24"/>
        </w:rPr>
        <w:t>..</w:t>
      </w:r>
      <w:r>
        <w:rPr>
          <w:rFonts w:ascii="Arial" w:hAnsi="Arial" w:cs="Arial"/>
          <w:b/>
          <w:color w:val="000000" w:themeColor="text1"/>
          <w:sz w:val="24"/>
          <w:szCs w:val="24"/>
        </w:rPr>
        <w:t>436</w:t>
      </w:r>
    </w:p>
    <w:p w14:paraId="39B94368" w14:textId="77777777" w:rsidR="00311278" w:rsidRDefault="00311278" w:rsidP="00311278">
      <w:pPr>
        <w:spacing w:line="360" w:lineRule="auto"/>
        <w:jc w:val="both"/>
        <w:rPr>
          <w:rFonts w:ascii="Arial" w:hAnsi="Arial" w:cs="Arial"/>
          <w:b/>
          <w:sz w:val="24"/>
          <w:szCs w:val="24"/>
        </w:rPr>
      </w:pPr>
      <w:r>
        <w:rPr>
          <w:rFonts w:ascii="Arial" w:hAnsi="Arial" w:cs="Arial"/>
          <w:b/>
          <w:sz w:val="24"/>
          <w:szCs w:val="24"/>
          <w:u w:val="single"/>
        </w:rPr>
        <w:t xml:space="preserve">11 – </w:t>
      </w:r>
      <w:r w:rsidRPr="00B1663A">
        <w:rPr>
          <w:rFonts w:ascii="Arial" w:hAnsi="Arial" w:cs="Arial"/>
          <w:b/>
          <w:sz w:val="24"/>
          <w:szCs w:val="24"/>
          <w:u w:val="single"/>
        </w:rPr>
        <w:t>ANÁLISE ECONÔMICA: RESULTADOS PRODUZIDOS PELA POLÍTICA PÚBLICA GOIANA DE INCENTIVOS FISCAIS</w:t>
      </w:r>
      <w:r w:rsidRPr="00BA6F00">
        <w:rPr>
          <w:rFonts w:ascii="Arial" w:hAnsi="Arial" w:cs="Arial"/>
          <w:b/>
          <w:sz w:val="24"/>
          <w:szCs w:val="24"/>
        </w:rPr>
        <w:t>..........................................................</w:t>
      </w:r>
      <w:r>
        <w:rPr>
          <w:rFonts w:ascii="Arial" w:hAnsi="Arial" w:cs="Arial"/>
          <w:b/>
          <w:sz w:val="24"/>
          <w:szCs w:val="24"/>
        </w:rPr>
        <w:t>457</w:t>
      </w:r>
    </w:p>
    <w:p w14:paraId="135BAD99" w14:textId="77777777" w:rsidR="00311278" w:rsidRDefault="00311278" w:rsidP="00311278">
      <w:pPr>
        <w:spacing w:line="360" w:lineRule="auto"/>
        <w:jc w:val="both"/>
        <w:rPr>
          <w:rFonts w:ascii="Arial" w:hAnsi="Arial" w:cs="Arial"/>
          <w:b/>
          <w:sz w:val="24"/>
          <w:szCs w:val="24"/>
        </w:rPr>
      </w:pPr>
      <w:r>
        <w:rPr>
          <w:rFonts w:ascii="Arial" w:hAnsi="Arial" w:cs="Arial"/>
          <w:b/>
          <w:sz w:val="24"/>
          <w:szCs w:val="24"/>
        </w:rPr>
        <w:t>11.1 – INTRODUÇÃO..................................................................................................457</w:t>
      </w:r>
    </w:p>
    <w:p w14:paraId="3F1F7EA1" w14:textId="77777777" w:rsidR="00311278" w:rsidRPr="00A33549" w:rsidRDefault="00311278" w:rsidP="00311278">
      <w:pPr>
        <w:spacing w:line="360" w:lineRule="auto"/>
        <w:jc w:val="both"/>
        <w:rPr>
          <w:rFonts w:ascii="Arial" w:hAnsi="Arial" w:cs="Arial"/>
          <w:b/>
          <w:sz w:val="24"/>
          <w:szCs w:val="24"/>
        </w:rPr>
      </w:pPr>
      <w:r>
        <w:rPr>
          <w:rFonts w:ascii="Arial" w:hAnsi="Arial" w:cs="Arial"/>
          <w:b/>
          <w:sz w:val="24"/>
          <w:szCs w:val="24"/>
        </w:rPr>
        <w:t>11</w:t>
      </w:r>
      <w:r w:rsidRPr="00A33549">
        <w:rPr>
          <w:rFonts w:ascii="Arial" w:hAnsi="Arial" w:cs="Arial"/>
          <w:b/>
          <w:sz w:val="24"/>
          <w:szCs w:val="24"/>
        </w:rPr>
        <w:t>.</w:t>
      </w:r>
      <w:r>
        <w:rPr>
          <w:rFonts w:ascii="Arial" w:hAnsi="Arial" w:cs="Arial"/>
          <w:b/>
          <w:sz w:val="24"/>
          <w:szCs w:val="24"/>
        </w:rPr>
        <w:t>2</w:t>
      </w:r>
      <w:r w:rsidRPr="00A33549">
        <w:rPr>
          <w:rFonts w:ascii="Arial" w:hAnsi="Arial" w:cs="Arial"/>
          <w:b/>
          <w:sz w:val="24"/>
          <w:szCs w:val="24"/>
        </w:rPr>
        <w:t xml:space="preserve"> </w:t>
      </w:r>
      <w:r>
        <w:rPr>
          <w:rFonts w:ascii="Arial" w:hAnsi="Arial" w:cs="Arial"/>
          <w:b/>
          <w:sz w:val="24"/>
          <w:szCs w:val="24"/>
        </w:rPr>
        <w:t xml:space="preserve">– </w:t>
      </w:r>
      <w:r w:rsidRPr="00A33549">
        <w:rPr>
          <w:rFonts w:ascii="Arial" w:hAnsi="Arial" w:cs="Arial"/>
          <w:b/>
          <w:sz w:val="24"/>
          <w:szCs w:val="24"/>
        </w:rPr>
        <w:t>ENCADEAMENTOS</w:t>
      </w:r>
      <w:r w:rsidRPr="00BA6F00">
        <w:rPr>
          <w:rFonts w:ascii="Arial" w:hAnsi="Arial" w:cs="Arial"/>
          <w:b/>
          <w:sz w:val="24"/>
          <w:szCs w:val="24"/>
        </w:rPr>
        <w:t>.................................</w:t>
      </w:r>
      <w:r>
        <w:rPr>
          <w:rFonts w:ascii="Arial" w:hAnsi="Arial" w:cs="Arial"/>
          <w:b/>
          <w:sz w:val="24"/>
          <w:szCs w:val="24"/>
        </w:rPr>
        <w:t>...............................</w:t>
      </w:r>
      <w:r w:rsidRPr="00BA6F00">
        <w:rPr>
          <w:rFonts w:ascii="Arial" w:hAnsi="Arial" w:cs="Arial"/>
          <w:b/>
          <w:sz w:val="24"/>
          <w:szCs w:val="24"/>
        </w:rPr>
        <w:t>.........................</w:t>
      </w:r>
      <w:r>
        <w:rPr>
          <w:rFonts w:ascii="Arial" w:hAnsi="Arial" w:cs="Arial"/>
          <w:b/>
          <w:sz w:val="24"/>
          <w:szCs w:val="24"/>
        </w:rPr>
        <w:t>462</w:t>
      </w:r>
    </w:p>
    <w:p w14:paraId="3649BB3C" w14:textId="77777777" w:rsidR="00311278" w:rsidRDefault="00311278" w:rsidP="00311278">
      <w:pPr>
        <w:spacing w:line="360" w:lineRule="auto"/>
        <w:jc w:val="both"/>
        <w:rPr>
          <w:rFonts w:ascii="Arial" w:hAnsi="Arial" w:cs="Arial"/>
          <w:b/>
          <w:sz w:val="24"/>
          <w:szCs w:val="24"/>
        </w:rPr>
      </w:pPr>
      <w:r>
        <w:rPr>
          <w:rFonts w:ascii="Arial" w:hAnsi="Arial" w:cs="Arial"/>
          <w:b/>
          <w:sz w:val="24"/>
          <w:szCs w:val="24"/>
        </w:rPr>
        <w:t>11.3 – AGREGAÇÃO DE VALOR</w:t>
      </w:r>
      <w:r w:rsidRPr="00BA6F00">
        <w:rPr>
          <w:rFonts w:ascii="Arial" w:hAnsi="Arial" w:cs="Arial"/>
          <w:b/>
          <w:sz w:val="24"/>
          <w:szCs w:val="24"/>
        </w:rPr>
        <w:t>..........................</w:t>
      </w:r>
      <w:r>
        <w:rPr>
          <w:rFonts w:ascii="Arial" w:hAnsi="Arial" w:cs="Arial"/>
          <w:b/>
          <w:sz w:val="24"/>
          <w:szCs w:val="24"/>
        </w:rPr>
        <w:t>................................</w:t>
      </w:r>
      <w:r w:rsidRPr="00BA6F00">
        <w:rPr>
          <w:rFonts w:ascii="Arial" w:hAnsi="Arial" w:cs="Arial"/>
          <w:b/>
          <w:sz w:val="24"/>
          <w:szCs w:val="24"/>
        </w:rPr>
        <w:t>....................</w:t>
      </w:r>
      <w:r>
        <w:rPr>
          <w:rFonts w:ascii="Arial" w:hAnsi="Arial" w:cs="Arial"/>
          <w:b/>
          <w:sz w:val="24"/>
          <w:szCs w:val="24"/>
        </w:rPr>
        <w:t>.467</w:t>
      </w:r>
    </w:p>
    <w:p w14:paraId="45A0B0FB" w14:textId="77777777" w:rsidR="00311278" w:rsidRDefault="00311278" w:rsidP="00311278">
      <w:pPr>
        <w:spacing w:line="360" w:lineRule="auto"/>
        <w:jc w:val="both"/>
        <w:rPr>
          <w:rFonts w:ascii="Arial" w:hAnsi="Arial" w:cs="Arial"/>
          <w:b/>
          <w:sz w:val="24"/>
          <w:szCs w:val="24"/>
        </w:rPr>
      </w:pPr>
      <w:r>
        <w:rPr>
          <w:rFonts w:ascii="Arial" w:hAnsi="Arial" w:cs="Arial"/>
          <w:b/>
          <w:sz w:val="24"/>
          <w:szCs w:val="24"/>
        </w:rPr>
        <w:t>11.4 – GERAÇÃO DE EMPREGOS</w:t>
      </w:r>
      <w:r w:rsidRPr="00BA6F00">
        <w:rPr>
          <w:rFonts w:ascii="Arial" w:hAnsi="Arial" w:cs="Arial"/>
          <w:b/>
          <w:sz w:val="24"/>
          <w:szCs w:val="24"/>
        </w:rPr>
        <w:t>...........................</w:t>
      </w:r>
      <w:r>
        <w:rPr>
          <w:rFonts w:ascii="Arial" w:hAnsi="Arial" w:cs="Arial"/>
          <w:b/>
          <w:sz w:val="24"/>
          <w:szCs w:val="24"/>
        </w:rPr>
        <w:t>..................</w:t>
      </w:r>
      <w:r w:rsidRPr="00BA6F00">
        <w:rPr>
          <w:rFonts w:ascii="Arial" w:hAnsi="Arial" w:cs="Arial"/>
          <w:b/>
          <w:sz w:val="24"/>
          <w:szCs w:val="24"/>
        </w:rPr>
        <w:t>...............................</w:t>
      </w:r>
      <w:r>
        <w:rPr>
          <w:rFonts w:ascii="Arial" w:hAnsi="Arial" w:cs="Arial"/>
          <w:b/>
          <w:sz w:val="24"/>
          <w:szCs w:val="24"/>
        </w:rPr>
        <w:t>471</w:t>
      </w:r>
    </w:p>
    <w:p w14:paraId="40B27243" w14:textId="77777777" w:rsidR="00311278" w:rsidRDefault="00311278" w:rsidP="00311278">
      <w:pPr>
        <w:spacing w:line="360" w:lineRule="auto"/>
        <w:jc w:val="both"/>
        <w:rPr>
          <w:rFonts w:ascii="Arial" w:hAnsi="Arial" w:cs="Arial"/>
          <w:b/>
          <w:sz w:val="24"/>
          <w:szCs w:val="24"/>
          <w:u w:val="single"/>
        </w:rPr>
      </w:pPr>
      <w:r w:rsidRPr="00BA6F00">
        <w:rPr>
          <w:rFonts w:ascii="Arial" w:hAnsi="Arial" w:cs="Arial"/>
          <w:b/>
          <w:sz w:val="24"/>
          <w:szCs w:val="24"/>
          <w:u w:val="single"/>
        </w:rPr>
        <w:t>11.</w:t>
      </w:r>
      <w:r>
        <w:rPr>
          <w:rFonts w:ascii="Arial" w:hAnsi="Arial" w:cs="Arial"/>
          <w:b/>
          <w:sz w:val="24"/>
          <w:szCs w:val="24"/>
          <w:u w:val="single"/>
        </w:rPr>
        <w:t>4</w:t>
      </w:r>
      <w:r w:rsidRPr="00BA6F00">
        <w:rPr>
          <w:rFonts w:ascii="Arial" w:hAnsi="Arial" w:cs="Arial"/>
          <w:b/>
          <w:sz w:val="24"/>
          <w:szCs w:val="24"/>
          <w:u w:val="single"/>
        </w:rPr>
        <w:t>.1</w:t>
      </w:r>
      <w:r>
        <w:rPr>
          <w:rFonts w:ascii="Arial" w:hAnsi="Arial" w:cs="Arial"/>
          <w:b/>
          <w:sz w:val="24"/>
          <w:szCs w:val="24"/>
          <w:u w:val="single"/>
        </w:rPr>
        <w:t xml:space="preserve"> –</w:t>
      </w:r>
      <w:r w:rsidRPr="00BA6F00">
        <w:rPr>
          <w:rFonts w:ascii="Arial" w:hAnsi="Arial" w:cs="Arial"/>
          <w:b/>
          <w:sz w:val="24"/>
          <w:szCs w:val="24"/>
          <w:u w:val="single"/>
        </w:rPr>
        <w:t xml:space="preserve"> Custo do emprego</w:t>
      </w:r>
      <w:r>
        <w:rPr>
          <w:rFonts w:ascii="Arial" w:hAnsi="Arial" w:cs="Arial"/>
          <w:b/>
          <w:sz w:val="24"/>
          <w:szCs w:val="24"/>
        </w:rPr>
        <w:t>................</w:t>
      </w:r>
      <w:r w:rsidRPr="00BA6F00">
        <w:rPr>
          <w:rFonts w:ascii="Arial" w:hAnsi="Arial" w:cs="Arial"/>
          <w:b/>
          <w:sz w:val="24"/>
          <w:szCs w:val="24"/>
        </w:rPr>
        <w:t>.........................</w:t>
      </w:r>
      <w:r>
        <w:rPr>
          <w:rFonts w:ascii="Arial" w:hAnsi="Arial" w:cs="Arial"/>
          <w:b/>
          <w:sz w:val="24"/>
          <w:szCs w:val="24"/>
        </w:rPr>
        <w:t>................................</w:t>
      </w:r>
      <w:r w:rsidRPr="00BA6F00">
        <w:rPr>
          <w:rFonts w:ascii="Arial" w:hAnsi="Arial" w:cs="Arial"/>
          <w:b/>
          <w:sz w:val="24"/>
          <w:szCs w:val="24"/>
        </w:rPr>
        <w:t>...............</w:t>
      </w:r>
      <w:r>
        <w:rPr>
          <w:rFonts w:ascii="Arial" w:hAnsi="Arial" w:cs="Arial"/>
          <w:b/>
          <w:sz w:val="24"/>
          <w:szCs w:val="24"/>
        </w:rPr>
        <w:t>480</w:t>
      </w:r>
    </w:p>
    <w:p w14:paraId="18D64F75" w14:textId="77777777" w:rsidR="00311278" w:rsidRDefault="00311278" w:rsidP="00311278">
      <w:pPr>
        <w:spacing w:line="360" w:lineRule="auto"/>
        <w:jc w:val="both"/>
        <w:rPr>
          <w:rFonts w:ascii="Arial" w:hAnsi="Arial" w:cs="Arial"/>
          <w:b/>
          <w:sz w:val="24"/>
          <w:szCs w:val="24"/>
        </w:rPr>
      </w:pPr>
      <w:r>
        <w:rPr>
          <w:rFonts w:ascii="Arial" w:hAnsi="Arial" w:cs="Arial"/>
          <w:b/>
          <w:sz w:val="24"/>
          <w:szCs w:val="24"/>
        </w:rPr>
        <w:t>11.5 – REDUÇÃO DE DESIGUALDADES REGIONAIS...</w:t>
      </w:r>
      <w:r w:rsidRPr="00BA6F00">
        <w:rPr>
          <w:rFonts w:ascii="Arial" w:hAnsi="Arial" w:cs="Arial"/>
          <w:b/>
          <w:sz w:val="24"/>
          <w:szCs w:val="24"/>
        </w:rPr>
        <w:t>.........................</w:t>
      </w:r>
      <w:r>
        <w:rPr>
          <w:rFonts w:ascii="Arial" w:hAnsi="Arial" w:cs="Arial"/>
          <w:b/>
          <w:sz w:val="24"/>
          <w:szCs w:val="24"/>
        </w:rPr>
        <w:t>........</w:t>
      </w:r>
      <w:r w:rsidRPr="00BA6F00">
        <w:rPr>
          <w:rFonts w:ascii="Arial" w:hAnsi="Arial" w:cs="Arial"/>
          <w:b/>
          <w:sz w:val="24"/>
          <w:szCs w:val="24"/>
        </w:rPr>
        <w:t>.........</w:t>
      </w:r>
      <w:r>
        <w:rPr>
          <w:rFonts w:ascii="Arial" w:hAnsi="Arial" w:cs="Arial"/>
          <w:b/>
          <w:sz w:val="24"/>
          <w:szCs w:val="24"/>
        </w:rPr>
        <w:t>510</w:t>
      </w:r>
    </w:p>
    <w:p w14:paraId="70B2EA2E" w14:textId="77777777" w:rsidR="00311278" w:rsidRDefault="00311278" w:rsidP="00311278">
      <w:pPr>
        <w:spacing w:line="360" w:lineRule="auto"/>
        <w:jc w:val="both"/>
        <w:rPr>
          <w:rFonts w:ascii="Arial" w:hAnsi="Arial" w:cs="Arial"/>
          <w:b/>
          <w:sz w:val="24"/>
          <w:szCs w:val="24"/>
        </w:rPr>
      </w:pPr>
      <w:r>
        <w:rPr>
          <w:rFonts w:ascii="Arial" w:hAnsi="Arial" w:cs="Arial"/>
          <w:b/>
          <w:sz w:val="24"/>
          <w:szCs w:val="24"/>
        </w:rPr>
        <w:t>11.6 – VALOR ADICIONADO À INDÚSTRIA DA TRANSFORMAÇÃO...............</w:t>
      </w:r>
      <w:r w:rsidRPr="00BA6F00">
        <w:rPr>
          <w:rFonts w:ascii="Arial" w:hAnsi="Arial" w:cs="Arial"/>
          <w:b/>
          <w:sz w:val="24"/>
          <w:szCs w:val="24"/>
        </w:rPr>
        <w:t>.......</w:t>
      </w:r>
      <w:r>
        <w:rPr>
          <w:rFonts w:ascii="Arial" w:hAnsi="Arial" w:cs="Arial"/>
          <w:b/>
          <w:sz w:val="24"/>
          <w:szCs w:val="24"/>
        </w:rPr>
        <w:t>521</w:t>
      </w:r>
    </w:p>
    <w:p w14:paraId="1ACEED23" w14:textId="1B2526E7" w:rsidR="00311278" w:rsidRDefault="00311278" w:rsidP="00311278">
      <w:pPr>
        <w:spacing w:line="360" w:lineRule="auto"/>
        <w:jc w:val="both"/>
        <w:rPr>
          <w:rFonts w:ascii="Arial" w:hAnsi="Arial" w:cs="Arial"/>
          <w:b/>
          <w:sz w:val="24"/>
          <w:szCs w:val="24"/>
        </w:rPr>
      </w:pPr>
      <w:r>
        <w:rPr>
          <w:rFonts w:ascii="Arial" w:hAnsi="Arial" w:cs="Arial"/>
          <w:b/>
          <w:sz w:val="24"/>
          <w:szCs w:val="24"/>
        </w:rPr>
        <w:t>11.7 – RESULTADOS</w:t>
      </w:r>
      <w:r w:rsidRPr="00BA6F00">
        <w:rPr>
          <w:rFonts w:ascii="Arial" w:hAnsi="Arial" w:cs="Arial"/>
          <w:b/>
          <w:sz w:val="24"/>
          <w:szCs w:val="24"/>
        </w:rPr>
        <w:t>........</w:t>
      </w:r>
      <w:r>
        <w:rPr>
          <w:rFonts w:ascii="Arial" w:hAnsi="Arial" w:cs="Arial"/>
          <w:b/>
          <w:sz w:val="24"/>
          <w:szCs w:val="24"/>
        </w:rPr>
        <w:t>........................</w:t>
      </w:r>
      <w:r w:rsidRPr="00BA6F00">
        <w:rPr>
          <w:rFonts w:ascii="Arial" w:hAnsi="Arial" w:cs="Arial"/>
          <w:b/>
          <w:sz w:val="24"/>
          <w:szCs w:val="24"/>
        </w:rPr>
        <w:t>..............</w:t>
      </w:r>
      <w:r>
        <w:rPr>
          <w:rFonts w:ascii="Arial" w:hAnsi="Arial" w:cs="Arial"/>
          <w:b/>
          <w:sz w:val="24"/>
          <w:szCs w:val="24"/>
        </w:rPr>
        <w:t>...................</w:t>
      </w:r>
      <w:r w:rsidRPr="00BA6F00">
        <w:rPr>
          <w:rFonts w:ascii="Arial" w:hAnsi="Arial" w:cs="Arial"/>
          <w:b/>
          <w:sz w:val="24"/>
          <w:szCs w:val="24"/>
        </w:rPr>
        <w:t>..............................</w:t>
      </w:r>
      <w:r>
        <w:rPr>
          <w:rFonts w:ascii="Arial" w:hAnsi="Arial" w:cs="Arial"/>
          <w:b/>
          <w:sz w:val="24"/>
          <w:szCs w:val="24"/>
        </w:rPr>
        <w:t>..</w:t>
      </w:r>
      <w:r w:rsidRPr="00BA6F00">
        <w:rPr>
          <w:rFonts w:ascii="Arial" w:hAnsi="Arial" w:cs="Arial"/>
          <w:b/>
          <w:sz w:val="24"/>
          <w:szCs w:val="24"/>
        </w:rPr>
        <w:t>.</w:t>
      </w:r>
      <w:r>
        <w:rPr>
          <w:rFonts w:ascii="Arial" w:hAnsi="Arial" w:cs="Arial"/>
          <w:b/>
          <w:sz w:val="24"/>
          <w:szCs w:val="24"/>
        </w:rPr>
        <w:t>523</w:t>
      </w:r>
    </w:p>
    <w:p w14:paraId="0F6C0619" w14:textId="77777777" w:rsidR="00311278" w:rsidRPr="00782121" w:rsidRDefault="00311278" w:rsidP="00311278">
      <w:pPr>
        <w:spacing w:line="360" w:lineRule="auto"/>
        <w:jc w:val="both"/>
        <w:rPr>
          <w:rFonts w:ascii="Arial" w:hAnsi="Arial" w:cs="Arial"/>
          <w:b/>
          <w:color w:val="000000" w:themeColor="text1"/>
          <w:sz w:val="24"/>
          <w:szCs w:val="24"/>
          <w:u w:val="single"/>
        </w:rPr>
      </w:pPr>
      <w:r w:rsidRPr="00782121">
        <w:rPr>
          <w:rFonts w:ascii="Arial" w:hAnsi="Arial" w:cs="Arial"/>
          <w:b/>
          <w:color w:val="000000" w:themeColor="text1"/>
          <w:sz w:val="24"/>
          <w:szCs w:val="24"/>
          <w:u w:val="single"/>
        </w:rPr>
        <w:t>12</w:t>
      </w:r>
      <w:r>
        <w:rPr>
          <w:rFonts w:ascii="Arial" w:hAnsi="Arial" w:cs="Arial"/>
          <w:b/>
          <w:color w:val="000000" w:themeColor="text1"/>
          <w:sz w:val="24"/>
          <w:szCs w:val="24"/>
          <w:u w:val="single"/>
        </w:rPr>
        <w:t xml:space="preserve"> –</w:t>
      </w:r>
      <w:r w:rsidRPr="00782121">
        <w:rPr>
          <w:rFonts w:ascii="Arial" w:hAnsi="Arial" w:cs="Arial"/>
          <w:b/>
          <w:color w:val="000000" w:themeColor="text1"/>
          <w:sz w:val="24"/>
          <w:szCs w:val="24"/>
          <w:u w:val="single"/>
        </w:rPr>
        <w:t xml:space="preserve"> CONCLUSÕES DESTA COMISSÃO</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533</w:t>
      </w:r>
    </w:p>
    <w:p w14:paraId="3E32B144" w14:textId="77777777" w:rsidR="00311278" w:rsidRPr="00782121" w:rsidRDefault="00311278" w:rsidP="00311278">
      <w:pPr>
        <w:spacing w:line="360" w:lineRule="auto"/>
        <w:jc w:val="both"/>
        <w:rPr>
          <w:rFonts w:ascii="Arial" w:hAnsi="Arial" w:cs="Arial"/>
          <w:b/>
          <w:color w:val="000000" w:themeColor="text1"/>
          <w:sz w:val="24"/>
          <w:szCs w:val="24"/>
        </w:rPr>
      </w:pPr>
      <w:r w:rsidRPr="00782121">
        <w:rPr>
          <w:rFonts w:ascii="Arial" w:hAnsi="Arial" w:cs="Arial"/>
          <w:b/>
          <w:color w:val="000000" w:themeColor="text1"/>
          <w:sz w:val="24"/>
          <w:szCs w:val="24"/>
        </w:rPr>
        <w:t xml:space="preserve">12.1 </w:t>
      </w:r>
      <w:r>
        <w:rPr>
          <w:rFonts w:ascii="Arial" w:hAnsi="Arial" w:cs="Arial"/>
          <w:b/>
          <w:color w:val="000000" w:themeColor="text1"/>
          <w:sz w:val="24"/>
          <w:szCs w:val="24"/>
        </w:rPr>
        <w:t>–</w:t>
      </w:r>
      <w:r w:rsidRPr="00782121">
        <w:rPr>
          <w:rFonts w:ascii="Arial" w:hAnsi="Arial" w:cs="Arial"/>
          <w:b/>
          <w:color w:val="000000" w:themeColor="text1"/>
          <w:sz w:val="24"/>
          <w:szCs w:val="24"/>
        </w:rPr>
        <w:t xml:space="preserve"> RELACIONADAS AO PRINCÍPIO DA LEGALIDADE...................................</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533</w:t>
      </w:r>
    </w:p>
    <w:p w14:paraId="39C762C8" w14:textId="77777777" w:rsidR="00311278" w:rsidRPr="00782121" w:rsidRDefault="00311278" w:rsidP="00311278">
      <w:pPr>
        <w:spacing w:line="360" w:lineRule="auto"/>
        <w:jc w:val="both"/>
        <w:rPr>
          <w:rFonts w:ascii="Arial" w:hAnsi="Arial" w:cs="Arial"/>
          <w:b/>
          <w:color w:val="000000" w:themeColor="text1"/>
          <w:sz w:val="24"/>
          <w:szCs w:val="24"/>
        </w:rPr>
      </w:pPr>
      <w:r w:rsidRPr="00782121">
        <w:rPr>
          <w:rFonts w:ascii="Arial" w:hAnsi="Arial" w:cs="Arial"/>
          <w:b/>
          <w:color w:val="000000" w:themeColor="text1"/>
          <w:sz w:val="24"/>
          <w:szCs w:val="24"/>
        </w:rPr>
        <w:t xml:space="preserve">12.2 </w:t>
      </w:r>
      <w:r>
        <w:rPr>
          <w:rFonts w:ascii="Arial" w:hAnsi="Arial" w:cs="Arial"/>
          <w:b/>
          <w:color w:val="000000" w:themeColor="text1"/>
          <w:sz w:val="24"/>
          <w:szCs w:val="24"/>
        </w:rPr>
        <w:t>–</w:t>
      </w:r>
      <w:r w:rsidRPr="00782121">
        <w:rPr>
          <w:rFonts w:ascii="Arial" w:hAnsi="Arial" w:cs="Arial"/>
          <w:b/>
          <w:color w:val="000000" w:themeColor="text1"/>
          <w:sz w:val="24"/>
          <w:szCs w:val="24"/>
        </w:rPr>
        <w:t xml:space="preserve"> RELACIONADAS AOS PROGRAMAS FOMENTAR E PRODUZIR..............</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533</w:t>
      </w:r>
    </w:p>
    <w:p w14:paraId="31256DC5" w14:textId="77777777" w:rsidR="00311278" w:rsidRPr="00782121" w:rsidRDefault="00311278" w:rsidP="00311278">
      <w:pPr>
        <w:spacing w:line="360" w:lineRule="auto"/>
        <w:jc w:val="both"/>
        <w:rPr>
          <w:rFonts w:ascii="Arial" w:hAnsi="Arial" w:cs="Arial"/>
          <w:b/>
          <w:color w:val="000000" w:themeColor="text1"/>
          <w:sz w:val="24"/>
          <w:szCs w:val="24"/>
        </w:rPr>
      </w:pPr>
      <w:r w:rsidRPr="00782121">
        <w:rPr>
          <w:rFonts w:ascii="Arial" w:hAnsi="Arial" w:cs="Arial"/>
          <w:b/>
          <w:color w:val="000000" w:themeColor="text1"/>
          <w:sz w:val="24"/>
          <w:szCs w:val="24"/>
        </w:rPr>
        <w:t xml:space="preserve">12.3 </w:t>
      </w:r>
      <w:r>
        <w:rPr>
          <w:rFonts w:ascii="Arial" w:hAnsi="Arial" w:cs="Arial"/>
          <w:b/>
          <w:color w:val="000000" w:themeColor="text1"/>
          <w:sz w:val="24"/>
          <w:szCs w:val="24"/>
        </w:rPr>
        <w:t>–</w:t>
      </w:r>
      <w:r w:rsidRPr="00782121">
        <w:rPr>
          <w:rFonts w:ascii="Arial" w:hAnsi="Arial" w:cs="Arial"/>
          <w:b/>
          <w:color w:val="000000" w:themeColor="text1"/>
          <w:sz w:val="24"/>
          <w:szCs w:val="24"/>
        </w:rPr>
        <w:t xml:space="preserve"> RELACIONADAS AO BENEFÍCIO DE CRÉDITO OUTORGADO...................</w:t>
      </w:r>
      <w:r>
        <w:rPr>
          <w:rFonts w:ascii="Arial" w:hAnsi="Arial" w:cs="Arial"/>
          <w:b/>
          <w:color w:val="000000" w:themeColor="text1"/>
          <w:sz w:val="24"/>
          <w:szCs w:val="24"/>
        </w:rPr>
        <w:t>.537</w:t>
      </w:r>
    </w:p>
    <w:p w14:paraId="03F0F39D" w14:textId="5F20BCF3" w:rsidR="00311278" w:rsidRPr="00782121" w:rsidRDefault="00311278" w:rsidP="00311278">
      <w:pPr>
        <w:spacing w:line="360" w:lineRule="auto"/>
        <w:jc w:val="both"/>
        <w:rPr>
          <w:rFonts w:ascii="Arial" w:hAnsi="Arial" w:cs="Arial"/>
          <w:b/>
          <w:color w:val="000000" w:themeColor="text1"/>
          <w:sz w:val="24"/>
          <w:szCs w:val="24"/>
        </w:rPr>
      </w:pPr>
      <w:r w:rsidRPr="00782121">
        <w:rPr>
          <w:rFonts w:ascii="Arial" w:hAnsi="Arial" w:cs="Arial"/>
          <w:b/>
          <w:color w:val="000000" w:themeColor="text1"/>
          <w:sz w:val="24"/>
          <w:szCs w:val="24"/>
        </w:rPr>
        <w:t xml:space="preserve">12.4 </w:t>
      </w:r>
      <w:r>
        <w:rPr>
          <w:rFonts w:ascii="Arial" w:hAnsi="Arial" w:cs="Arial"/>
          <w:b/>
          <w:color w:val="000000" w:themeColor="text1"/>
          <w:sz w:val="24"/>
          <w:szCs w:val="24"/>
        </w:rPr>
        <w:t>–</w:t>
      </w:r>
      <w:r w:rsidRPr="00782121">
        <w:rPr>
          <w:rFonts w:ascii="Arial" w:hAnsi="Arial" w:cs="Arial"/>
          <w:b/>
          <w:color w:val="000000" w:themeColor="text1"/>
          <w:sz w:val="24"/>
          <w:szCs w:val="24"/>
        </w:rPr>
        <w:t xml:space="preserve"> RELACIONADAS AOS REQUISITOS GERAIS DE FRUIÇÃO DE INCENTIVOS FISCAIS (Regularidade Fiscal, Com A Seguridade Social, Ambiental E Ausência De Discriminação Contra O Trabalhador) .............................</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540</w:t>
      </w:r>
    </w:p>
    <w:p w14:paraId="4DBE87BB" w14:textId="3A58684B" w:rsidR="00311278" w:rsidRPr="00782121" w:rsidRDefault="00311278" w:rsidP="00311278">
      <w:pPr>
        <w:spacing w:line="360" w:lineRule="auto"/>
        <w:jc w:val="both"/>
        <w:rPr>
          <w:rFonts w:ascii="Arial" w:hAnsi="Arial" w:cs="Arial"/>
          <w:b/>
          <w:color w:val="000000" w:themeColor="text1"/>
          <w:sz w:val="24"/>
          <w:szCs w:val="24"/>
        </w:rPr>
      </w:pPr>
      <w:r w:rsidRPr="00782121">
        <w:rPr>
          <w:rFonts w:ascii="Arial" w:hAnsi="Arial" w:cs="Arial"/>
          <w:b/>
          <w:color w:val="000000" w:themeColor="text1"/>
          <w:sz w:val="24"/>
          <w:szCs w:val="24"/>
          <w:u w:val="single"/>
        </w:rPr>
        <w:t xml:space="preserve">12.4.1 </w:t>
      </w:r>
      <w:r>
        <w:rPr>
          <w:rFonts w:ascii="Arial" w:hAnsi="Arial" w:cs="Arial"/>
          <w:b/>
          <w:color w:val="000000" w:themeColor="text1"/>
          <w:sz w:val="24"/>
          <w:szCs w:val="24"/>
          <w:u w:val="single"/>
        </w:rPr>
        <w:t>–</w:t>
      </w:r>
      <w:r w:rsidRPr="00782121">
        <w:rPr>
          <w:rFonts w:ascii="Arial" w:hAnsi="Arial" w:cs="Arial"/>
          <w:b/>
          <w:color w:val="000000" w:themeColor="text1"/>
          <w:sz w:val="24"/>
          <w:szCs w:val="24"/>
          <w:u w:val="single"/>
        </w:rPr>
        <w:t xml:space="preserve"> Regularidade Fiscal</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540</w:t>
      </w:r>
    </w:p>
    <w:p w14:paraId="2169E588" w14:textId="116BC1F9" w:rsidR="00311278" w:rsidRPr="00782121" w:rsidRDefault="00311278" w:rsidP="00311278">
      <w:pPr>
        <w:spacing w:line="360" w:lineRule="auto"/>
        <w:jc w:val="both"/>
        <w:rPr>
          <w:rFonts w:ascii="Arial" w:hAnsi="Arial" w:cs="Arial"/>
          <w:b/>
          <w:color w:val="000000" w:themeColor="text1"/>
          <w:sz w:val="24"/>
          <w:szCs w:val="24"/>
        </w:rPr>
      </w:pPr>
      <w:r w:rsidRPr="00782121">
        <w:rPr>
          <w:rFonts w:ascii="Arial" w:hAnsi="Arial" w:cs="Arial"/>
          <w:b/>
          <w:color w:val="000000" w:themeColor="text1"/>
          <w:sz w:val="24"/>
          <w:szCs w:val="24"/>
          <w:u w:val="single"/>
        </w:rPr>
        <w:t>12</w:t>
      </w:r>
      <w:r>
        <w:rPr>
          <w:rFonts w:ascii="Arial" w:hAnsi="Arial" w:cs="Arial"/>
          <w:b/>
          <w:color w:val="000000" w:themeColor="text1"/>
          <w:sz w:val="24"/>
          <w:szCs w:val="24"/>
          <w:u w:val="single"/>
        </w:rPr>
        <w:t>.4.2</w:t>
      </w:r>
      <w:r w:rsidRPr="00782121">
        <w:rPr>
          <w:rFonts w:ascii="Arial" w:hAnsi="Arial" w:cs="Arial"/>
          <w:b/>
          <w:color w:val="000000" w:themeColor="text1"/>
          <w:sz w:val="24"/>
          <w:szCs w:val="24"/>
          <w:u w:val="single"/>
        </w:rPr>
        <w:t xml:space="preserve"> </w:t>
      </w:r>
      <w:r>
        <w:rPr>
          <w:rFonts w:ascii="Arial" w:hAnsi="Arial" w:cs="Arial"/>
          <w:b/>
          <w:color w:val="000000" w:themeColor="text1"/>
          <w:sz w:val="24"/>
          <w:szCs w:val="24"/>
          <w:u w:val="single"/>
        </w:rPr>
        <w:t>–</w:t>
      </w:r>
      <w:r w:rsidRPr="00782121">
        <w:rPr>
          <w:rFonts w:ascii="Arial" w:hAnsi="Arial" w:cs="Arial"/>
          <w:b/>
          <w:color w:val="000000" w:themeColor="text1"/>
          <w:sz w:val="24"/>
          <w:szCs w:val="24"/>
          <w:u w:val="single"/>
        </w:rPr>
        <w:t xml:space="preserve"> Regularidade com a Seguridade Social</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540</w:t>
      </w:r>
    </w:p>
    <w:p w14:paraId="769748A7" w14:textId="2CADF3FA" w:rsidR="00311278" w:rsidRPr="00782121" w:rsidRDefault="00311278" w:rsidP="00311278">
      <w:pPr>
        <w:spacing w:line="360" w:lineRule="auto"/>
        <w:jc w:val="both"/>
        <w:rPr>
          <w:rFonts w:ascii="Arial" w:hAnsi="Arial" w:cs="Arial"/>
          <w:b/>
          <w:color w:val="000000" w:themeColor="text1"/>
          <w:sz w:val="24"/>
          <w:szCs w:val="24"/>
        </w:rPr>
      </w:pPr>
      <w:r w:rsidRPr="00782121">
        <w:rPr>
          <w:rFonts w:ascii="Arial" w:hAnsi="Arial" w:cs="Arial"/>
          <w:b/>
          <w:color w:val="000000" w:themeColor="text1"/>
          <w:sz w:val="24"/>
          <w:szCs w:val="24"/>
          <w:u w:val="single"/>
        </w:rPr>
        <w:t>12</w:t>
      </w:r>
      <w:r>
        <w:rPr>
          <w:rFonts w:ascii="Arial" w:hAnsi="Arial" w:cs="Arial"/>
          <w:b/>
          <w:color w:val="000000" w:themeColor="text1"/>
          <w:sz w:val="24"/>
          <w:szCs w:val="24"/>
          <w:u w:val="single"/>
        </w:rPr>
        <w:t>.4.3</w:t>
      </w:r>
      <w:r w:rsidRPr="00782121">
        <w:rPr>
          <w:rFonts w:ascii="Arial" w:hAnsi="Arial" w:cs="Arial"/>
          <w:b/>
          <w:color w:val="000000" w:themeColor="text1"/>
          <w:sz w:val="24"/>
          <w:szCs w:val="24"/>
          <w:u w:val="single"/>
        </w:rPr>
        <w:t xml:space="preserve"> </w:t>
      </w:r>
      <w:r>
        <w:rPr>
          <w:rFonts w:ascii="Arial" w:hAnsi="Arial" w:cs="Arial"/>
          <w:b/>
          <w:color w:val="000000" w:themeColor="text1"/>
          <w:sz w:val="24"/>
          <w:szCs w:val="24"/>
          <w:u w:val="single"/>
        </w:rPr>
        <w:t>–</w:t>
      </w:r>
      <w:r w:rsidRPr="00782121">
        <w:rPr>
          <w:rFonts w:ascii="Arial" w:hAnsi="Arial" w:cs="Arial"/>
          <w:b/>
          <w:color w:val="000000" w:themeColor="text1"/>
          <w:sz w:val="24"/>
          <w:szCs w:val="24"/>
          <w:u w:val="single"/>
        </w:rPr>
        <w:t xml:space="preserve"> Regularidade Ambiental</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541</w:t>
      </w:r>
    </w:p>
    <w:p w14:paraId="24CB1BFE" w14:textId="77777777" w:rsidR="00311278" w:rsidRDefault="00311278" w:rsidP="00311278">
      <w:pPr>
        <w:spacing w:line="360" w:lineRule="auto"/>
        <w:jc w:val="both"/>
        <w:rPr>
          <w:rFonts w:ascii="Arial" w:hAnsi="Arial" w:cs="Arial"/>
          <w:b/>
          <w:color w:val="000000" w:themeColor="text1"/>
          <w:sz w:val="24"/>
          <w:szCs w:val="24"/>
        </w:rPr>
      </w:pPr>
      <w:r w:rsidRPr="00782121">
        <w:rPr>
          <w:rFonts w:ascii="Arial" w:hAnsi="Arial" w:cs="Arial"/>
          <w:b/>
          <w:color w:val="000000" w:themeColor="text1"/>
          <w:sz w:val="24"/>
          <w:szCs w:val="24"/>
          <w:u w:val="single"/>
        </w:rPr>
        <w:t xml:space="preserve">12.4.4 </w:t>
      </w:r>
      <w:r>
        <w:rPr>
          <w:rFonts w:ascii="Arial" w:hAnsi="Arial" w:cs="Arial"/>
          <w:b/>
          <w:color w:val="000000" w:themeColor="text1"/>
          <w:sz w:val="24"/>
          <w:szCs w:val="24"/>
          <w:u w:val="single"/>
        </w:rPr>
        <w:t>–</w:t>
      </w:r>
      <w:r w:rsidRPr="00782121">
        <w:rPr>
          <w:rFonts w:ascii="Arial" w:hAnsi="Arial" w:cs="Arial"/>
          <w:b/>
          <w:color w:val="000000" w:themeColor="text1"/>
          <w:sz w:val="24"/>
          <w:szCs w:val="24"/>
          <w:u w:val="single"/>
        </w:rPr>
        <w:t xml:space="preserve"> Ausência de Discriminação Contra o Trabalhador</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541</w:t>
      </w:r>
    </w:p>
    <w:p w14:paraId="1EFD935A" w14:textId="77777777" w:rsidR="00311278" w:rsidRPr="00AD65C8" w:rsidRDefault="00311278" w:rsidP="00311278">
      <w:pPr>
        <w:spacing w:line="360" w:lineRule="auto"/>
        <w:jc w:val="both"/>
        <w:rPr>
          <w:rFonts w:ascii="Arial" w:hAnsi="Arial" w:cs="Arial"/>
          <w:b/>
          <w:sz w:val="24"/>
          <w:szCs w:val="24"/>
        </w:rPr>
      </w:pPr>
      <w:r>
        <w:rPr>
          <w:rFonts w:ascii="Arial" w:hAnsi="Arial" w:cs="Arial"/>
          <w:b/>
          <w:sz w:val="24"/>
          <w:szCs w:val="24"/>
        </w:rPr>
        <w:t>12</w:t>
      </w:r>
      <w:r w:rsidRPr="00AD65C8">
        <w:rPr>
          <w:rFonts w:ascii="Arial" w:hAnsi="Arial" w:cs="Arial"/>
          <w:b/>
          <w:sz w:val="24"/>
          <w:szCs w:val="24"/>
        </w:rPr>
        <w:t>.</w:t>
      </w:r>
      <w:r>
        <w:rPr>
          <w:rFonts w:ascii="Arial" w:hAnsi="Arial" w:cs="Arial"/>
          <w:b/>
          <w:sz w:val="24"/>
          <w:szCs w:val="24"/>
        </w:rPr>
        <w:t>5 – RELACIONADAS AOS DEMAIS ACHADOS DESTA CPI.</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542</w:t>
      </w:r>
    </w:p>
    <w:p w14:paraId="010AA064" w14:textId="77777777" w:rsidR="00311278" w:rsidRPr="00782121" w:rsidRDefault="00311278" w:rsidP="00311278">
      <w:pPr>
        <w:spacing w:line="360" w:lineRule="auto"/>
        <w:jc w:val="both"/>
        <w:rPr>
          <w:rFonts w:ascii="Arial" w:hAnsi="Arial" w:cs="Arial"/>
          <w:b/>
          <w:color w:val="000000" w:themeColor="text1"/>
          <w:sz w:val="24"/>
          <w:szCs w:val="24"/>
        </w:rPr>
      </w:pPr>
      <w:r>
        <w:rPr>
          <w:rFonts w:ascii="Arial" w:hAnsi="Arial" w:cs="Arial"/>
          <w:b/>
          <w:sz w:val="24"/>
          <w:szCs w:val="24"/>
        </w:rPr>
        <w:lastRenderedPageBreak/>
        <w:t>12</w:t>
      </w:r>
      <w:r w:rsidRPr="00AD65C8">
        <w:rPr>
          <w:rFonts w:ascii="Arial" w:hAnsi="Arial" w:cs="Arial"/>
          <w:b/>
          <w:sz w:val="24"/>
          <w:szCs w:val="24"/>
        </w:rPr>
        <w:t>.</w:t>
      </w:r>
      <w:r w:rsidRPr="00782121">
        <w:rPr>
          <w:rFonts w:ascii="Arial" w:hAnsi="Arial" w:cs="Arial"/>
          <w:b/>
          <w:color w:val="000000" w:themeColor="text1"/>
          <w:sz w:val="24"/>
          <w:szCs w:val="24"/>
        </w:rPr>
        <w:t>6</w:t>
      </w:r>
      <w:r>
        <w:rPr>
          <w:rFonts w:ascii="Arial" w:hAnsi="Arial" w:cs="Arial"/>
          <w:b/>
          <w:color w:val="000000" w:themeColor="text1"/>
          <w:sz w:val="24"/>
          <w:szCs w:val="24"/>
        </w:rPr>
        <w:t xml:space="preserve"> –</w:t>
      </w:r>
      <w:r w:rsidRPr="00782121">
        <w:rPr>
          <w:rFonts w:ascii="Arial" w:hAnsi="Arial" w:cs="Arial"/>
          <w:b/>
          <w:color w:val="000000" w:themeColor="text1"/>
          <w:sz w:val="24"/>
          <w:szCs w:val="24"/>
        </w:rPr>
        <w:t xml:space="preserve"> RELACIONADAS À</w:t>
      </w:r>
      <w:r>
        <w:rPr>
          <w:rFonts w:ascii="Arial" w:hAnsi="Arial" w:cs="Arial"/>
          <w:b/>
          <w:color w:val="000000" w:themeColor="text1"/>
          <w:sz w:val="24"/>
          <w:szCs w:val="24"/>
        </w:rPr>
        <w:t xml:space="preserve"> TRANSPARÊNCIA.........</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543</w:t>
      </w:r>
    </w:p>
    <w:p w14:paraId="0FB7D4C1" w14:textId="77777777" w:rsidR="00311278" w:rsidRPr="00782121" w:rsidRDefault="00311278" w:rsidP="00311278">
      <w:pPr>
        <w:spacing w:line="360" w:lineRule="auto"/>
        <w:jc w:val="both"/>
        <w:rPr>
          <w:rFonts w:ascii="Arial" w:hAnsi="Arial" w:cs="Arial"/>
          <w:b/>
          <w:color w:val="000000" w:themeColor="text1"/>
          <w:sz w:val="24"/>
          <w:szCs w:val="24"/>
          <w:u w:val="single"/>
        </w:rPr>
      </w:pPr>
      <w:r w:rsidRPr="00782121">
        <w:rPr>
          <w:rFonts w:ascii="Arial" w:hAnsi="Arial" w:cs="Arial"/>
          <w:b/>
          <w:color w:val="000000" w:themeColor="text1"/>
          <w:sz w:val="24"/>
          <w:szCs w:val="24"/>
          <w:u w:val="single"/>
        </w:rPr>
        <w:t>13 – PROVIDÊNCIAS E RECOMENDAÇÕES AOS PODERES E ÓRGÃOS CONSTITUCIONAIS AUTÔNOMOS DO ESTADO DE GOIÁS EM MATÉRIA DE INCENTIVOS FISCAIS</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544</w:t>
      </w:r>
    </w:p>
    <w:p w14:paraId="1A699AFA" w14:textId="77777777" w:rsidR="00311278" w:rsidRPr="00782121" w:rsidRDefault="00311278" w:rsidP="00311278">
      <w:pPr>
        <w:spacing w:line="360" w:lineRule="auto"/>
        <w:jc w:val="both"/>
        <w:rPr>
          <w:rFonts w:ascii="Arial" w:hAnsi="Arial" w:cs="Arial"/>
          <w:b/>
          <w:color w:val="000000" w:themeColor="text1"/>
          <w:sz w:val="24"/>
          <w:szCs w:val="24"/>
        </w:rPr>
      </w:pPr>
      <w:r w:rsidRPr="00782121">
        <w:rPr>
          <w:rFonts w:ascii="Arial" w:hAnsi="Arial" w:cs="Arial"/>
          <w:b/>
          <w:color w:val="000000" w:themeColor="text1"/>
          <w:sz w:val="24"/>
          <w:szCs w:val="24"/>
        </w:rPr>
        <w:t xml:space="preserve">13.1 </w:t>
      </w:r>
      <w:r>
        <w:rPr>
          <w:rFonts w:ascii="Arial" w:hAnsi="Arial" w:cs="Arial"/>
          <w:b/>
          <w:color w:val="000000" w:themeColor="text1"/>
          <w:sz w:val="24"/>
          <w:szCs w:val="24"/>
        </w:rPr>
        <w:t>–</w:t>
      </w:r>
      <w:r w:rsidRPr="00782121">
        <w:rPr>
          <w:rFonts w:ascii="Arial" w:hAnsi="Arial" w:cs="Arial"/>
          <w:b/>
          <w:color w:val="000000" w:themeColor="text1"/>
          <w:sz w:val="24"/>
          <w:szCs w:val="24"/>
        </w:rPr>
        <w:t xml:space="preserve"> PROVIDÊNCIAS A CARGO DO PODER EXECUTIVO................................</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544</w:t>
      </w:r>
    </w:p>
    <w:p w14:paraId="606B23E6" w14:textId="77777777" w:rsidR="00311278" w:rsidRDefault="00311278" w:rsidP="00311278">
      <w:pPr>
        <w:spacing w:line="360" w:lineRule="auto"/>
        <w:jc w:val="both"/>
        <w:rPr>
          <w:rFonts w:ascii="Arial" w:hAnsi="Arial" w:cs="Arial"/>
          <w:b/>
          <w:color w:val="000000" w:themeColor="text1"/>
          <w:sz w:val="24"/>
          <w:szCs w:val="24"/>
        </w:rPr>
      </w:pPr>
      <w:r w:rsidRPr="00782121">
        <w:rPr>
          <w:rFonts w:ascii="Arial" w:hAnsi="Arial" w:cs="Arial"/>
          <w:b/>
          <w:color w:val="000000" w:themeColor="text1"/>
          <w:sz w:val="24"/>
          <w:szCs w:val="24"/>
          <w:u w:val="single"/>
        </w:rPr>
        <w:t>13.1.1</w:t>
      </w:r>
      <w:r>
        <w:rPr>
          <w:rFonts w:ascii="Arial" w:hAnsi="Arial" w:cs="Arial"/>
          <w:b/>
          <w:color w:val="000000" w:themeColor="text1"/>
          <w:sz w:val="24"/>
          <w:szCs w:val="24"/>
          <w:u w:val="single"/>
        </w:rPr>
        <w:t xml:space="preserve"> –</w:t>
      </w:r>
      <w:r w:rsidRPr="00782121">
        <w:rPr>
          <w:rFonts w:ascii="Arial" w:hAnsi="Arial" w:cs="Arial"/>
          <w:b/>
          <w:color w:val="000000" w:themeColor="text1"/>
          <w:sz w:val="24"/>
          <w:szCs w:val="24"/>
          <w:u w:val="single"/>
        </w:rPr>
        <w:t xml:space="preserve"> Em relação ao princípio da legalidade, inclusive no âmbito dos Programas FOMENTAR e PRODUZIR</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w:t>
      </w:r>
      <w:r w:rsidRPr="00782121">
        <w:rPr>
          <w:rFonts w:ascii="Arial" w:hAnsi="Arial" w:cs="Arial"/>
          <w:b/>
          <w:color w:val="000000" w:themeColor="text1"/>
          <w:sz w:val="24"/>
          <w:szCs w:val="24"/>
        </w:rPr>
        <w:t>.</w:t>
      </w:r>
      <w:r>
        <w:rPr>
          <w:rFonts w:ascii="Arial" w:hAnsi="Arial" w:cs="Arial"/>
          <w:b/>
          <w:color w:val="000000" w:themeColor="text1"/>
          <w:sz w:val="24"/>
          <w:szCs w:val="24"/>
        </w:rPr>
        <w:t>544</w:t>
      </w:r>
    </w:p>
    <w:p w14:paraId="094D2429" w14:textId="77777777" w:rsidR="00311278" w:rsidRPr="00FA5D60" w:rsidRDefault="00311278" w:rsidP="00311278">
      <w:pPr>
        <w:spacing w:line="360" w:lineRule="auto"/>
        <w:jc w:val="both"/>
        <w:rPr>
          <w:rFonts w:ascii="Arial" w:hAnsi="Arial" w:cs="Arial"/>
          <w:b/>
          <w:sz w:val="24"/>
          <w:szCs w:val="24"/>
        </w:rPr>
      </w:pPr>
      <w:r w:rsidRPr="00FA5D60">
        <w:rPr>
          <w:rFonts w:ascii="Arial" w:hAnsi="Arial" w:cs="Arial"/>
          <w:b/>
          <w:sz w:val="24"/>
          <w:szCs w:val="24"/>
          <w:u w:val="single"/>
        </w:rPr>
        <w:t>13.1.2</w:t>
      </w:r>
      <w:r>
        <w:rPr>
          <w:rFonts w:ascii="Arial" w:hAnsi="Arial" w:cs="Arial"/>
          <w:b/>
          <w:sz w:val="24"/>
          <w:szCs w:val="24"/>
          <w:u w:val="single"/>
        </w:rPr>
        <w:t xml:space="preserve"> –</w:t>
      </w:r>
      <w:r w:rsidRPr="00FA5D60">
        <w:rPr>
          <w:rFonts w:ascii="Arial" w:hAnsi="Arial" w:cs="Arial"/>
          <w:b/>
          <w:sz w:val="24"/>
          <w:szCs w:val="24"/>
          <w:u w:val="single"/>
        </w:rPr>
        <w:t xml:space="preserve"> No âmbito da fiscalização dos requisitos gerais para concessão e fruição de incentivos fiscais e da recuperação de ativos</w:t>
      </w:r>
      <w:r w:rsidRPr="00FA5D60">
        <w:rPr>
          <w:rFonts w:ascii="Arial" w:hAnsi="Arial" w:cs="Arial"/>
          <w:b/>
          <w:sz w:val="24"/>
          <w:szCs w:val="24"/>
        </w:rPr>
        <w:t>:..................................................</w:t>
      </w:r>
      <w:r>
        <w:rPr>
          <w:rFonts w:ascii="Arial" w:hAnsi="Arial" w:cs="Arial"/>
          <w:b/>
          <w:sz w:val="24"/>
          <w:szCs w:val="24"/>
        </w:rPr>
        <w:t>547</w:t>
      </w:r>
    </w:p>
    <w:p w14:paraId="6F70DC68" w14:textId="77777777" w:rsidR="00311278" w:rsidRPr="00FA5D60" w:rsidRDefault="00311278" w:rsidP="00311278">
      <w:pPr>
        <w:spacing w:line="360" w:lineRule="auto"/>
        <w:jc w:val="both"/>
        <w:rPr>
          <w:rFonts w:ascii="Arial" w:hAnsi="Arial" w:cs="Arial"/>
          <w:b/>
          <w:sz w:val="24"/>
          <w:szCs w:val="24"/>
          <w:u w:val="single"/>
        </w:rPr>
      </w:pPr>
      <w:r w:rsidRPr="00FA5D60">
        <w:rPr>
          <w:rFonts w:ascii="Arial" w:hAnsi="Arial" w:cs="Arial"/>
          <w:b/>
          <w:sz w:val="24"/>
          <w:szCs w:val="24"/>
          <w:u w:val="single"/>
        </w:rPr>
        <w:t>13.1.3</w:t>
      </w:r>
      <w:r>
        <w:rPr>
          <w:rFonts w:ascii="Arial" w:hAnsi="Arial" w:cs="Arial"/>
          <w:b/>
          <w:sz w:val="24"/>
          <w:szCs w:val="24"/>
          <w:u w:val="single"/>
        </w:rPr>
        <w:t xml:space="preserve"> – </w:t>
      </w:r>
      <w:r w:rsidRPr="00FA5D60">
        <w:rPr>
          <w:rFonts w:ascii="Arial" w:hAnsi="Arial" w:cs="Arial"/>
          <w:b/>
          <w:sz w:val="24"/>
          <w:szCs w:val="24"/>
          <w:u w:val="single"/>
        </w:rPr>
        <w:t>No âmbito do requisito de regularidade ambiental, sem prejuízo das medidas recomendadas no item 13.1.2 deste relatório, supra</w:t>
      </w:r>
      <w:r w:rsidRPr="00FA5D60">
        <w:rPr>
          <w:rFonts w:ascii="Arial" w:hAnsi="Arial" w:cs="Arial"/>
          <w:b/>
          <w:sz w:val="24"/>
          <w:szCs w:val="24"/>
        </w:rPr>
        <w:t>...............................</w:t>
      </w:r>
      <w:r>
        <w:rPr>
          <w:rFonts w:ascii="Arial" w:hAnsi="Arial" w:cs="Arial"/>
          <w:b/>
          <w:sz w:val="24"/>
          <w:szCs w:val="24"/>
        </w:rPr>
        <w:t>549</w:t>
      </w:r>
    </w:p>
    <w:p w14:paraId="57C485BB" w14:textId="77777777" w:rsidR="00311278" w:rsidRPr="00FA5D60" w:rsidRDefault="00311278" w:rsidP="00311278">
      <w:pPr>
        <w:spacing w:line="360" w:lineRule="auto"/>
        <w:jc w:val="both"/>
        <w:rPr>
          <w:rFonts w:ascii="Arial" w:hAnsi="Arial" w:cs="Arial"/>
          <w:b/>
          <w:sz w:val="24"/>
          <w:szCs w:val="24"/>
          <w:u w:val="single"/>
        </w:rPr>
      </w:pPr>
      <w:r>
        <w:rPr>
          <w:rFonts w:ascii="Arial" w:hAnsi="Arial" w:cs="Arial"/>
          <w:b/>
          <w:sz w:val="24"/>
          <w:szCs w:val="24"/>
          <w:u w:val="single"/>
        </w:rPr>
        <w:t xml:space="preserve">13.1.4 – </w:t>
      </w:r>
      <w:r w:rsidRPr="00FA5D60">
        <w:rPr>
          <w:rFonts w:ascii="Arial" w:hAnsi="Arial" w:cs="Arial"/>
          <w:b/>
          <w:sz w:val="24"/>
          <w:szCs w:val="24"/>
          <w:u w:val="single"/>
        </w:rPr>
        <w:t>No âmbito do requisito de regularidade social, sem prejuízo das medidas recomendadas no item 13.1.2 deste relatório, supra</w:t>
      </w:r>
      <w:r w:rsidRPr="00FA5D60">
        <w:rPr>
          <w:rFonts w:ascii="Arial" w:hAnsi="Arial" w:cs="Arial"/>
          <w:b/>
          <w:sz w:val="24"/>
          <w:szCs w:val="24"/>
        </w:rPr>
        <w:t>..........................................</w:t>
      </w:r>
      <w:r>
        <w:rPr>
          <w:rFonts w:ascii="Arial" w:hAnsi="Arial" w:cs="Arial"/>
          <w:b/>
          <w:sz w:val="24"/>
          <w:szCs w:val="24"/>
        </w:rPr>
        <w:t>..</w:t>
      </w:r>
      <w:r w:rsidRPr="00FA5D60">
        <w:rPr>
          <w:rFonts w:ascii="Arial" w:hAnsi="Arial" w:cs="Arial"/>
          <w:b/>
          <w:sz w:val="24"/>
          <w:szCs w:val="24"/>
        </w:rPr>
        <w:t>...</w:t>
      </w:r>
      <w:r>
        <w:rPr>
          <w:rFonts w:ascii="Arial" w:hAnsi="Arial" w:cs="Arial"/>
          <w:b/>
          <w:sz w:val="24"/>
          <w:szCs w:val="24"/>
        </w:rPr>
        <w:t>552</w:t>
      </w:r>
    </w:p>
    <w:p w14:paraId="294B2BD4" w14:textId="77777777" w:rsidR="00311278" w:rsidRPr="00FA5D60" w:rsidRDefault="00311278" w:rsidP="00311278">
      <w:pPr>
        <w:spacing w:line="360" w:lineRule="auto"/>
        <w:jc w:val="both"/>
        <w:rPr>
          <w:rFonts w:ascii="Arial" w:hAnsi="Arial" w:cs="Arial"/>
          <w:b/>
          <w:sz w:val="24"/>
          <w:szCs w:val="24"/>
        </w:rPr>
      </w:pPr>
      <w:r>
        <w:rPr>
          <w:rFonts w:ascii="Arial" w:hAnsi="Arial" w:cs="Arial"/>
          <w:b/>
          <w:sz w:val="24"/>
          <w:szCs w:val="24"/>
          <w:u w:val="single"/>
        </w:rPr>
        <w:t xml:space="preserve">13.1.5 – </w:t>
      </w:r>
      <w:r w:rsidRPr="00FA5D60">
        <w:rPr>
          <w:rFonts w:ascii="Arial" w:hAnsi="Arial" w:cs="Arial"/>
          <w:b/>
          <w:sz w:val="24"/>
          <w:szCs w:val="24"/>
          <w:u w:val="single"/>
        </w:rPr>
        <w:t>No âmbito da atividade de mineração</w:t>
      </w:r>
      <w:r w:rsidRPr="00FA5D60">
        <w:rPr>
          <w:rFonts w:ascii="Arial" w:hAnsi="Arial" w:cs="Arial"/>
          <w:b/>
          <w:sz w:val="24"/>
          <w:szCs w:val="24"/>
        </w:rPr>
        <w:t>.........................................................</w:t>
      </w:r>
      <w:r>
        <w:rPr>
          <w:rFonts w:ascii="Arial" w:hAnsi="Arial" w:cs="Arial"/>
          <w:b/>
          <w:sz w:val="24"/>
          <w:szCs w:val="24"/>
        </w:rPr>
        <w:t>553</w:t>
      </w:r>
    </w:p>
    <w:p w14:paraId="43DD3623" w14:textId="77777777" w:rsidR="00311278" w:rsidRPr="00FA5D60" w:rsidRDefault="00311278" w:rsidP="00311278">
      <w:pPr>
        <w:spacing w:line="360" w:lineRule="auto"/>
        <w:jc w:val="both"/>
        <w:rPr>
          <w:rFonts w:ascii="Arial" w:hAnsi="Arial" w:cs="Arial"/>
          <w:b/>
          <w:sz w:val="24"/>
          <w:szCs w:val="24"/>
        </w:rPr>
      </w:pPr>
      <w:r w:rsidRPr="00FA5D60">
        <w:rPr>
          <w:rFonts w:ascii="Arial" w:hAnsi="Arial" w:cs="Arial"/>
          <w:b/>
          <w:sz w:val="24"/>
          <w:szCs w:val="24"/>
          <w:u w:val="single"/>
        </w:rPr>
        <w:t>13.1.6</w:t>
      </w:r>
      <w:r>
        <w:rPr>
          <w:rFonts w:ascii="Arial" w:hAnsi="Arial" w:cs="Arial"/>
          <w:b/>
          <w:sz w:val="24"/>
          <w:szCs w:val="24"/>
          <w:u w:val="single"/>
        </w:rPr>
        <w:t xml:space="preserve"> – </w:t>
      </w:r>
      <w:r w:rsidRPr="00FA5D60">
        <w:rPr>
          <w:rFonts w:ascii="Arial" w:hAnsi="Arial" w:cs="Arial"/>
          <w:b/>
          <w:sz w:val="24"/>
          <w:szCs w:val="24"/>
          <w:u w:val="single"/>
        </w:rPr>
        <w:t>No tocante à transparência</w:t>
      </w:r>
      <w:r w:rsidRPr="00FA5D60">
        <w:rPr>
          <w:rFonts w:ascii="Arial" w:hAnsi="Arial" w:cs="Arial"/>
          <w:b/>
          <w:sz w:val="24"/>
          <w:szCs w:val="24"/>
        </w:rPr>
        <w:t>...........</w:t>
      </w:r>
      <w:r>
        <w:rPr>
          <w:rFonts w:ascii="Arial" w:hAnsi="Arial" w:cs="Arial"/>
          <w:b/>
          <w:sz w:val="24"/>
          <w:szCs w:val="24"/>
        </w:rPr>
        <w:t>...............................</w:t>
      </w:r>
      <w:r w:rsidRPr="00FA5D60">
        <w:rPr>
          <w:rFonts w:ascii="Arial" w:hAnsi="Arial" w:cs="Arial"/>
          <w:b/>
          <w:sz w:val="24"/>
          <w:szCs w:val="24"/>
        </w:rPr>
        <w:t>................................</w:t>
      </w:r>
      <w:r>
        <w:rPr>
          <w:rFonts w:ascii="Arial" w:hAnsi="Arial" w:cs="Arial"/>
          <w:b/>
          <w:sz w:val="24"/>
          <w:szCs w:val="24"/>
        </w:rPr>
        <w:t>554</w:t>
      </w:r>
    </w:p>
    <w:p w14:paraId="1872B98E" w14:textId="77777777" w:rsidR="00311278" w:rsidRPr="00FA5D60" w:rsidRDefault="00311278" w:rsidP="00311278">
      <w:pPr>
        <w:spacing w:line="360" w:lineRule="auto"/>
        <w:jc w:val="both"/>
        <w:rPr>
          <w:rFonts w:ascii="Arial" w:hAnsi="Arial" w:cs="Arial"/>
          <w:b/>
          <w:sz w:val="24"/>
          <w:szCs w:val="24"/>
        </w:rPr>
      </w:pPr>
      <w:r w:rsidRPr="00FA5D60">
        <w:rPr>
          <w:rFonts w:ascii="Arial" w:hAnsi="Arial" w:cs="Arial"/>
          <w:b/>
          <w:sz w:val="24"/>
          <w:szCs w:val="24"/>
          <w:u w:val="single"/>
        </w:rPr>
        <w:t>13.1.7</w:t>
      </w:r>
      <w:r>
        <w:rPr>
          <w:rFonts w:ascii="Arial" w:hAnsi="Arial" w:cs="Arial"/>
          <w:b/>
          <w:sz w:val="24"/>
          <w:szCs w:val="24"/>
          <w:u w:val="single"/>
        </w:rPr>
        <w:t xml:space="preserve"> – </w:t>
      </w:r>
      <w:r w:rsidRPr="00FA5D60">
        <w:rPr>
          <w:rFonts w:ascii="Arial" w:hAnsi="Arial" w:cs="Arial"/>
          <w:b/>
          <w:sz w:val="24"/>
          <w:szCs w:val="24"/>
          <w:u w:val="single"/>
        </w:rPr>
        <w:t>Quanto a outras medidas para aperfeiçoar o sistema tributário em matéria de incentivos fiscais de ICMS</w:t>
      </w:r>
      <w:r w:rsidRPr="00FA5D60">
        <w:rPr>
          <w:rFonts w:ascii="Arial" w:hAnsi="Arial" w:cs="Arial"/>
          <w:b/>
          <w:sz w:val="24"/>
          <w:szCs w:val="24"/>
        </w:rPr>
        <w:t>...................................................................................</w:t>
      </w:r>
      <w:r>
        <w:rPr>
          <w:rFonts w:ascii="Arial" w:hAnsi="Arial" w:cs="Arial"/>
          <w:b/>
          <w:sz w:val="24"/>
          <w:szCs w:val="24"/>
        </w:rPr>
        <w:t>557</w:t>
      </w:r>
    </w:p>
    <w:p w14:paraId="04453217" w14:textId="77777777" w:rsidR="00311278" w:rsidRDefault="00311278" w:rsidP="00311278">
      <w:pPr>
        <w:spacing w:line="360" w:lineRule="auto"/>
        <w:jc w:val="both"/>
        <w:rPr>
          <w:rFonts w:ascii="Arial" w:hAnsi="Arial" w:cs="Arial"/>
          <w:b/>
          <w:sz w:val="24"/>
          <w:szCs w:val="24"/>
        </w:rPr>
      </w:pPr>
      <w:r w:rsidRPr="00FA5D60">
        <w:rPr>
          <w:rFonts w:ascii="Arial" w:hAnsi="Arial" w:cs="Arial"/>
          <w:b/>
          <w:sz w:val="24"/>
          <w:szCs w:val="24"/>
        </w:rPr>
        <w:t xml:space="preserve">13.2 </w:t>
      </w:r>
      <w:r>
        <w:rPr>
          <w:rFonts w:ascii="Arial" w:hAnsi="Arial" w:cs="Arial"/>
          <w:b/>
          <w:sz w:val="24"/>
          <w:szCs w:val="24"/>
        </w:rPr>
        <w:t>–</w:t>
      </w:r>
      <w:r w:rsidRPr="00FA5D60">
        <w:rPr>
          <w:rFonts w:ascii="Arial" w:hAnsi="Arial" w:cs="Arial"/>
          <w:b/>
          <w:sz w:val="24"/>
          <w:szCs w:val="24"/>
        </w:rPr>
        <w:t xml:space="preserve"> PROVIDÊNCIAS A CARGO DO PODER LEGISLATIVO................................</w:t>
      </w:r>
      <w:r>
        <w:rPr>
          <w:rFonts w:ascii="Arial" w:hAnsi="Arial" w:cs="Arial"/>
          <w:b/>
          <w:sz w:val="24"/>
          <w:szCs w:val="24"/>
        </w:rPr>
        <w:t>558</w:t>
      </w:r>
    </w:p>
    <w:p w14:paraId="6D9F43FD" w14:textId="77777777" w:rsidR="00311278" w:rsidRPr="00D557A1" w:rsidRDefault="00311278" w:rsidP="00311278">
      <w:pPr>
        <w:spacing w:line="360" w:lineRule="auto"/>
        <w:jc w:val="both"/>
        <w:rPr>
          <w:rFonts w:ascii="Arial" w:hAnsi="Arial" w:cs="Arial"/>
          <w:b/>
          <w:sz w:val="24"/>
          <w:szCs w:val="24"/>
        </w:rPr>
      </w:pPr>
      <w:r w:rsidRPr="00D557A1">
        <w:rPr>
          <w:rFonts w:ascii="Arial" w:hAnsi="Arial" w:cs="Arial"/>
          <w:b/>
          <w:sz w:val="24"/>
          <w:szCs w:val="24"/>
        </w:rPr>
        <w:t xml:space="preserve">13.3 </w:t>
      </w:r>
      <w:r>
        <w:rPr>
          <w:rFonts w:ascii="Arial" w:hAnsi="Arial" w:cs="Arial"/>
          <w:b/>
          <w:sz w:val="24"/>
          <w:szCs w:val="24"/>
        </w:rPr>
        <w:t>–</w:t>
      </w:r>
      <w:r w:rsidRPr="00D557A1">
        <w:rPr>
          <w:rFonts w:ascii="Arial" w:hAnsi="Arial" w:cs="Arial"/>
          <w:b/>
          <w:sz w:val="24"/>
          <w:szCs w:val="24"/>
        </w:rPr>
        <w:t xml:space="preserve"> PROVIDÊNCIAS A CARGO DA CGE</w:t>
      </w:r>
      <w:r>
        <w:rPr>
          <w:rFonts w:ascii="Arial" w:hAnsi="Arial" w:cs="Arial"/>
          <w:b/>
          <w:sz w:val="24"/>
          <w:szCs w:val="24"/>
        </w:rPr>
        <w:t>/GO E DO TCE/GO................</w:t>
      </w:r>
      <w:r w:rsidRPr="00D557A1">
        <w:rPr>
          <w:rFonts w:ascii="Arial" w:hAnsi="Arial" w:cs="Arial"/>
          <w:b/>
          <w:sz w:val="24"/>
          <w:szCs w:val="24"/>
        </w:rPr>
        <w:t>................</w:t>
      </w:r>
      <w:r>
        <w:rPr>
          <w:rFonts w:ascii="Arial" w:hAnsi="Arial" w:cs="Arial"/>
          <w:b/>
          <w:sz w:val="24"/>
          <w:szCs w:val="24"/>
        </w:rPr>
        <w:t>561</w:t>
      </w:r>
    </w:p>
    <w:p w14:paraId="1200447D" w14:textId="77777777" w:rsidR="00311278" w:rsidRPr="00FC5734" w:rsidRDefault="00311278" w:rsidP="00311278">
      <w:pPr>
        <w:spacing w:line="360" w:lineRule="auto"/>
        <w:rPr>
          <w:rFonts w:ascii="Arial" w:hAnsi="Arial" w:cs="Arial"/>
          <w:b/>
          <w:sz w:val="24"/>
          <w:szCs w:val="24"/>
        </w:rPr>
      </w:pPr>
      <w:r w:rsidRPr="00D557A1">
        <w:rPr>
          <w:rFonts w:ascii="Arial" w:hAnsi="Arial" w:cs="Arial"/>
          <w:b/>
          <w:sz w:val="24"/>
          <w:szCs w:val="24"/>
        </w:rPr>
        <w:t xml:space="preserve">13.4 </w:t>
      </w:r>
      <w:r>
        <w:rPr>
          <w:rFonts w:ascii="Arial" w:hAnsi="Arial" w:cs="Arial"/>
          <w:b/>
          <w:sz w:val="24"/>
          <w:szCs w:val="24"/>
        </w:rPr>
        <w:t>–</w:t>
      </w:r>
      <w:r w:rsidRPr="00D557A1">
        <w:rPr>
          <w:rFonts w:ascii="Arial" w:hAnsi="Arial" w:cs="Arial"/>
          <w:b/>
          <w:sz w:val="24"/>
          <w:szCs w:val="24"/>
        </w:rPr>
        <w:t xml:space="preserve"> PROVIDÊNCIAS A CARGO DO MINISTÉRIO PÚBLICO/GO</w:t>
      </w:r>
      <w:r>
        <w:rPr>
          <w:rFonts w:ascii="Arial" w:hAnsi="Arial" w:cs="Arial"/>
          <w:b/>
          <w:sz w:val="24"/>
          <w:szCs w:val="24"/>
        </w:rPr>
        <w:t>.........................562</w:t>
      </w:r>
    </w:p>
    <w:p w14:paraId="2886278B" w14:textId="0490E1E1" w:rsidR="001C68B9" w:rsidRDefault="001C68B9" w:rsidP="00672503">
      <w:pPr>
        <w:autoSpaceDE w:val="0"/>
        <w:spacing w:line="360" w:lineRule="auto"/>
        <w:jc w:val="both"/>
        <w:rPr>
          <w:rFonts w:ascii="Arial" w:hAnsi="Arial" w:cs="Arial"/>
          <w:bCs/>
        </w:rPr>
      </w:pPr>
    </w:p>
    <w:p w14:paraId="45362A50" w14:textId="32345486" w:rsidR="00311278" w:rsidRDefault="00311278" w:rsidP="00672503">
      <w:pPr>
        <w:autoSpaceDE w:val="0"/>
        <w:spacing w:line="360" w:lineRule="auto"/>
        <w:jc w:val="both"/>
        <w:rPr>
          <w:rFonts w:ascii="Arial" w:hAnsi="Arial" w:cs="Arial"/>
          <w:bCs/>
        </w:rPr>
      </w:pPr>
    </w:p>
    <w:p w14:paraId="1C9B737F" w14:textId="2F1BCF20" w:rsidR="00311278" w:rsidRDefault="00311278" w:rsidP="00672503">
      <w:pPr>
        <w:autoSpaceDE w:val="0"/>
        <w:spacing w:line="360" w:lineRule="auto"/>
        <w:jc w:val="both"/>
        <w:rPr>
          <w:rFonts w:ascii="Arial" w:hAnsi="Arial" w:cs="Arial"/>
          <w:bCs/>
        </w:rPr>
      </w:pPr>
    </w:p>
    <w:p w14:paraId="58E5D6AA" w14:textId="539F7D82" w:rsidR="00311278" w:rsidRDefault="00311278" w:rsidP="00672503">
      <w:pPr>
        <w:autoSpaceDE w:val="0"/>
        <w:spacing w:line="360" w:lineRule="auto"/>
        <w:jc w:val="both"/>
        <w:rPr>
          <w:rFonts w:ascii="Arial" w:hAnsi="Arial" w:cs="Arial"/>
          <w:bCs/>
        </w:rPr>
      </w:pPr>
    </w:p>
    <w:p w14:paraId="289ED24C" w14:textId="46987B97" w:rsidR="00311278" w:rsidRDefault="00311278" w:rsidP="00672503">
      <w:pPr>
        <w:autoSpaceDE w:val="0"/>
        <w:spacing w:line="360" w:lineRule="auto"/>
        <w:jc w:val="both"/>
        <w:rPr>
          <w:rFonts w:ascii="Arial" w:hAnsi="Arial" w:cs="Arial"/>
          <w:bCs/>
        </w:rPr>
      </w:pPr>
    </w:p>
    <w:p w14:paraId="62CA37DB" w14:textId="117A5FBA" w:rsidR="00311278" w:rsidRDefault="00311278" w:rsidP="00672503">
      <w:pPr>
        <w:autoSpaceDE w:val="0"/>
        <w:spacing w:line="360" w:lineRule="auto"/>
        <w:jc w:val="both"/>
        <w:rPr>
          <w:rFonts w:ascii="Arial" w:hAnsi="Arial" w:cs="Arial"/>
          <w:bCs/>
        </w:rPr>
      </w:pPr>
    </w:p>
    <w:p w14:paraId="1EB71B71" w14:textId="1C5F0E9C" w:rsidR="00311278" w:rsidRDefault="00311278" w:rsidP="00672503">
      <w:pPr>
        <w:autoSpaceDE w:val="0"/>
        <w:spacing w:line="360" w:lineRule="auto"/>
        <w:jc w:val="both"/>
        <w:rPr>
          <w:rFonts w:ascii="Arial" w:hAnsi="Arial" w:cs="Arial"/>
          <w:bCs/>
        </w:rPr>
      </w:pPr>
    </w:p>
    <w:p w14:paraId="05C038EA" w14:textId="77777777" w:rsidR="00311278" w:rsidRDefault="00311278" w:rsidP="00672503">
      <w:pPr>
        <w:autoSpaceDE w:val="0"/>
        <w:spacing w:line="360" w:lineRule="auto"/>
        <w:jc w:val="both"/>
        <w:rPr>
          <w:rFonts w:ascii="Arial" w:hAnsi="Arial" w:cs="Arial"/>
          <w:bCs/>
        </w:rPr>
      </w:pPr>
    </w:p>
    <w:p w14:paraId="0B284B76" w14:textId="7BCE6CEB" w:rsidR="001C68B9" w:rsidRDefault="001C68B9" w:rsidP="00672503">
      <w:pPr>
        <w:autoSpaceDE w:val="0"/>
        <w:spacing w:line="360" w:lineRule="auto"/>
        <w:jc w:val="both"/>
        <w:rPr>
          <w:rFonts w:ascii="Arial" w:hAnsi="Arial" w:cs="Arial"/>
          <w:bCs/>
        </w:rPr>
      </w:pPr>
    </w:p>
    <w:p w14:paraId="39355C6C" w14:textId="042C5929" w:rsidR="001C68B9" w:rsidRDefault="001C68B9" w:rsidP="00672503">
      <w:pPr>
        <w:autoSpaceDE w:val="0"/>
        <w:spacing w:line="360" w:lineRule="auto"/>
        <w:jc w:val="both"/>
        <w:rPr>
          <w:rFonts w:ascii="Arial" w:hAnsi="Arial" w:cs="Arial"/>
          <w:bCs/>
        </w:rPr>
      </w:pPr>
    </w:p>
    <w:p w14:paraId="346536F7" w14:textId="77777777" w:rsidR="001C68B9" w:rsidRDefault="001C68B9" w:rsidP="00672503">
      <w:pPr>
        <w:autoSpaceDE w:val="0"/>
        <w:spacing w:line="360" w:lineRule="auto"/>
        <w:jc w:val="both"/>
        <w:rPr>
          <w:rFonts w:ascii="Arial" w:hAnsi="Arial" w:cs="Arial"/>
          <w:bCs/>
        </w:rPr>
      </w:pPr>
    </w:p>
    <w:p w14:paraId="74A71653" w14:textId="1D79A579" w:rsidR="00F34EE2" w:rsidRPr="00672503" w:rsidRDefault="00672503" w:rsidP="00672503">
      <w:pPr>
        <w:autoSpaceDE w:val="0"/>
        <w:spacing w:line="360" w:lineRule="auto"/>
        <w:jc w:val="both"/>
        <w:rPr>
          <w:rFonts w:ascii="Arial" w:hAnsi="Arial" w:cs="Arial"/>
          <w:bCs/>
        </w:rPr>
      </w:pPr>
      <w:r w:rsidRPr="002612FE">
        <w:rPr>
          <w:rFonts w:ascii="Arial" w:hAnsi="Arial" w:cs="Arial"/>
          <w:bCs/>
        </w:rPr>
        <w:lastRenderedPageBreak/>
        <w:t>PROCESSO N.:</w:t>
      </w:r>
      <w:r w:rsidRPr="002612FE">
        <w:rPr>
          <w:rFonts w:ascii="Arial" w:hAnsi="Arial" w:cs="Arial"/>
          <w:bCs/>
        </w:rPr>
        <w:tab/>
      </w:r>
      <w:r w:rsidR="00681B9C" w:rsidRPr="002612FE">
        <w:rPr>
          <w:rFonts w:ascii="Arial" w:hAnsi="Arial" w:cs="Arial"/>
          <w:bCs/>
        </w:rPr>
        <w:t>2019003437</w:t>
      </w:r>
    </w:p>
    <w:p w14:paraId="5E6F52C8" w14:textId="62ADC741" w:rsidR="00672503" w:rsidRPr="00672503" w:rsidRDefault="00672503" w:rsidP="00672503">
      <w:pPr>
        <w:autoSpaceDE w:val="0"/>
        <w:spacing w:line="360" w:lineRule="auto"/>
        <w:jc w:val="both"/>
        <w:rPr>
          <w:rFonts w:ascii="Arial" w:hAnsi="Arial" w:cs="Arial"/>
          <w:bCs/>
        </w:rPr>
      </w:pPr>
      <w:r w:rsidRPr="00672503">
        <w:rPr>
          <w:rFonts w:ascii="Arial" w:hAnsi="Arial" w:cs="Arial"/>
          <w:bCs/>
        </w:rPr>
        <w:t>INTERESSADO:</w:t>
      </w:r>
      <w:r w:rsidRPr="00672503">
        <w:rPr>
          <w:rFonts w:ascii="Arial" w:hAnsi="Arial" w:cs="Arial"/>
          <w:bCs/>
        </w:rPr>
        <w:tab/>
        <w:t>Presidente da Comissão Parlamentar de Inquérito</w:t>
      </w:r>
    </w:p>
    <w:p w14:paraId="3FC1F45C" w14:textId="6336C250" w:rsidR="00672503" w:rsidRPr="00672503" w:rsidRDefault="00672503" w:rsidP="00672503">
      <w:pPr>
        <w:autoSpaceDE w:val="0"/>
        <w:spacing w:line="360" w:lineRule="auto"/>
        <w:ind w:left="2127" w:hanging="2127"/>
        <w:jc w:val="both"/>
        <w:rPr>
          <w:rFonts w:ascii="Arial" w:hAnsi="Arial" w:cs="Arial"/>
          <w:bCs/>
        </w:rPr>
      </w:pPr>
      <w:r w:rsidRPr="00672503">
        <w:rPr>
          <w:rFonts w:ascii="Arial" w:hAnsi="Arial" w:cs="Arial"/>
          <w:bCs/>
        </w:rPr>
        <w:t>ASSUNTO:</w:t>
      </w:r>
      <w:r w:rsidRPr="00672503">
        <w:rPr>
          <w:rFonts w:ascii="Arial" w:hAnsi="Arial" w:cs="Arial"/>
        </w:rPr>
        <w:t xml:space="preserve"> </w:t>
      </w:r>
      <w:r>
        <w:rPr>
          <w:rFonts w:ascii="Arial" w:hAnsi="Arial" w:cs="Arial"/>
        </w:rPr>
        <w:tab/>
      </w:r>
      <w:r w:rsidRPr="00672503">
        <w:rPr>
          <w:rFonts w:ascii="Arial" w:hAnsi="Arial" w:cs="Arial"/>
        </w:rPr>
        <w:t xml:space="preserve">Comissão Parlamentar de Inquérito destinada a </w:t>
      </w:r>
      <w:r w:rsidRPr="00672503">
        <w:rPr>
          <w:rFonts w:ascii="Arial" w:hAnsi="Arial" w:cs="Arial"/>
          <w:bCs/>
        </w:rPr>
        <w:t>investigar irregularidades na concessão e na utilização de incentivos e benefícios fiscais e financeiros, incluindo-se créditos outorgados, no Estado de Goiás.</w:t>
      </w:r>
    </w:p>
    <w:p w14:paraId="09B41051" w14:textId="77777777" w:rsidR="00672503" w:rsidRDefault="00672503" w:rsidP="00382A13">
      <w:pPr>
        <w:autoSpaceDE w:val="0"/>
        <w:spacing w:after="240" w:line="360" w:lineRule="auto"/>
        <w:jc w:val="both"/>
        <w:rPr>
          <w:rFonts w:ascii="Arial" w:hAnsi="Arial" w:cs="Arial"/>
          <w:b/>
          <w:bCs/>
        </w:rPr>
      </w:pPr>
    </w:p>
    <w:p w14:paraId="67327AF4" w14:textId="77777777" w:rsidR="00672503" w:rsidRDefault="00672503" w:rsidP="000F14BF">
      <w:pPr>
        <w:spacing w:line="360" w:lineRule="auto"/>
        <w:jc w:val="center"/>
        <w:rPr>
          <w:rFonts w:ascii="Arial" w:hAnsi="Arial" w:cs="Arial"/>
          <w:b/>
          <w:sz w:val="32"/>
          <w:szCs w:val="32"/>
          <w:u w:val="single"/>
        </w:rPr>
      </w:pPr>
    </w:p>
    <w:p w14:paraId="0126F5C9" w14:textId="05654674" w:rsidR="006261E9" w:rsidRPr="006E07C6" w:rsidRDefault="006261E9" w:rsidP="000F14BF">
      <w:pPr>
        <w:spacing w:line="360" w:lineRule="auto"/>
        <w:jc w:val="center"/>
        <w:rPr>
          <w:rFonts w:ascii="Arial" w:hAnsi="Arial" w:cs="Arial"/>
          <w:b/>
          <w:sz w:val="32"/>
          <w:szCs w:val="32"/>
          <w:u w:val="single"/>
        </w:rPr>
      </w:pPr>
      <w:r w:rsidRPr="006E07C6">
        <w:rPr>
          <w:rFonts w:ascii="Arial" w:hAnsi="Arial" w:cs="Arial"/>
          <w:b/>
          <w:sz w:val="32"/>
          <w:szCs w:val="32"/>
          <w:u w:val="single"/>
        </w:rPr>
        <w:t>RELATÓRIO FINAL</w:t>
      </w:r>
    </w:p>
    <w:p w14:paraId="2E85B1C1" w14:textId="409E3CF4" w:rsidR="00676274" w:rsidRPr="006E07C6" w:rsidRDefault="00676274" w:rsidP="000F14BF">
      <w:pPr>
        <w:spacing w:line="360" w:lineRule="auto"/>
        <w:jc w:val="center"/>
        <w:rPr>
          <w:rFonts w:ascii="Arial" w:hAnsi="Arial" w:cs="Arial"/>
          <w:b/>
          <w:sz w:val="32"/>
          <w:szCs w:val="32"/>
        </w:rPr>
      </w:pPr>
      <w:r w:rsidRPr="006E07C6">
        <w:rPr>
          <w:rFonts w:ascii="Arial" w:hAnsi="Arial" w:cs="Arial"/>
          <w:b/>
          <w:sz w:val="32"/>
          <w:szCs w:val="32"/>
        </w:rPr>
        <w:t>(RESOLUÇÃO Nº 1.218/2007, ART. 56)</w:t>
      </w:r>
    </w:p>
    <w:p w14:paraId="2C3E2FD1" w14:textId="77777777" w:rsidR="00672503" w:rsidRPr="006E07C6" w:rsidRDefault="00672503" w:rsidP="000B432C">
      <w:pPr>
        <w:spacing w:line="360" w:lineRule="auto"/>
        <w:jc w:val="both"/>
        <w:rPr>
          <w:rFonts w:ascii="Arial" w:hAnsi="Arial" w:cs="Arial"/>
          <w:b/>
          <w:sz w:val="32"/>
          <w:szCs w:val="32"/>
          <w:u w:val="single"/>
        </w:rPr>
      </w:pPr>
    </w:p>
    <w:p w14:paraId="79E30F73" w14:textId="5126439B" w:rsidR="006261E9" w:rsidRPr="006E07C6" w:rsidRDefault="006261E9" w:rsidP="00713208">
      <w:pPr>
        <w:spacing w:line="360" w:lineRule="auto"/>
        <w:ind w:firstLine="851"/>
        <w:jc w:val="both"/>
        <w:rPr>
          <w:rFonts w:ascii="Arial" w:hAnsi="Arial" w:cs="Arial"/>
          <w:b/>
          <w:sz w:val="24"/>
          <w:szCs w:val="24"/>
          <w:u w:val="single"/>
        </w:rPr>
      </w:pPr>
      <w:r w:rsidRPr="006E07C6">
        <w:rPr>
          <w:rFonts w:ascii="Arial" w:hAnsi="Arial" w:cs="Arial"/>
          <w:b/>
          <w:sz w:val="24"/>
          <w:szCs w:val="24"/>
          <w:u w:val="single"/>
        </w:rPr>
        <w:t>1 – CONSTITUIÇÃO</w:t>
      </w:r>
    </w:p>
    <w:p w14:paraId="5342D451" w14:textId="5AE828AC" w:rsidR="006261E9" w:rsidRPr="006E07C6" w:rsidRDefault="006261E9" w:rsidP="00713208">
      <w:pPr>
        <w:spacing w:line="360" w:lineRule="auto"/>
        <w:ind w:firstLine="851"/>
        <w:jc w:val="both"/>
        <w:rPr>
          <w:rFonts w:ascii="Arial" w:hAnsi="Arial" w:cs="Arial"/>
          <w:b/>
          <w:sz w:val="24"/>
          <w:szCs w:val="24"/>
          <w:u w:val="single"/>
        </w:rPr>
      </w:pPr>
    </w:p>
    <w:p w14:paraId="176D44B9" w14:textId="5C17403A" w:rsidR="006261E9" w:rsidRPr="006E07C6" w:rsidRDefault="00C829F3" w:rsidP="00713208">
      <w:pPr>
        <w:spacing w:line="360" w:lineRule="auto"/>
        <w:ind w:firstLine="851"/>
        <w:jc w:val="both"/>
        <w:rPr>
          <w:rFonts w:ascii="Arial" w:hAnsi="Arial" w:cs="Arial"/>
          <w:sz w:val="24"/>
          <w:szCs w:val="24"/>
        </w:rPr>
      </w:pPr>
      <w:r w:rsidRPr="006E07C6">
        <w:rPr>
          <w:rFonts w:ascii="Arial" w:hAnsi="Arial" w:cs="Arial"/>
          <w:sz w:val="24"/>
          <w:szCs w:val="24"/>
        </w:rPr>
        <w:t xml:space="preserve">A presente Comissão Parlamentar de Inquérito (CPI) foi </w:t>
      </w:r>
      <w:r w:rsidR="00D125E1" w:rsidRPr="006E07C6">
        <w:rPr>
          <w:rFonts w:ascii="Arial" w:hAnsi="Arial" w:cs="Arial"/>
          <w:sz w:val="24"/>
          <w:szCs w:val="24"/>
        </w:rPr>
        <w:t>nomeada</w:t>
      </w:r>
      <w:r w:rsidRPr="006E07C6">
        <w:rPr>
          <w:rFonts w:ascii="Arial" w:hAnsi="Arial" w:cs="Arial"/>
          <w:sz w:val="24"/>
          <w:szCs w:val="24"/>
        </w:rPr>
        <w:t xml:space="preserve"> pelo Decreto Administrativo nº 2.965, de 13/03/2019, publicado nessa data no Diário da Assembleia (DA nº 13.051)</w:t>
      </w:r>
      <w:r w:rsidR="009F6C66" w:rsidRPr="006E07C6">
        <w:rPr>
          <w:rFonts w:ascii="Arial" w:hAnsi="Arial" w:cs="Arial"/>
          <w:sz w:val="24"/>
          <w:szCs w:val="24"/>
        </w:rPr>
        <w:t>, composta pelos seguintes membros:</w:t>
      </w:r>
    </w:p>
    <w:p w14:paraId="0307DF85" w14:textId="1E6F407F" w:rsidR="009F6C66" w:rsidRPr="006E07C6" w:rsidRDefault="009F6C66" w:rsidP="000F14BF">
      <w:pPr>
        <w:spacing w:line="360" w:lineRule="auto"/>
        <w:jc w:val="both"/>
        <w:rPr>
          <w:rFonts w:ascii="Arial" w:hAnsi="Arial" w:cs="Arial"/>
          <w:sz w:val="24"/>
          <w:szCs w:val="24"/>
        </w:rPr>
      </w:pPr>
    </w:p>
    <w:tbl>
      <w:tblPr>
        <w:tblStyle w:val="Tabelacomgrade"/>
        <w:tblW w:w="0" w:type="auto"/>
        <w:tblLook w:val="04A0" w:firstRow="1" w:lastRow="0" w:firstColumn="1" w:lastColumn="0" w:noHBand="0" w:noVBand="1"/>
      </w:tblPr>
      <w:tblGrid>
        <w:gridCol w:w="1681"/>
        <w:gridCol w:w="3223"/>
        <w:gridCol w:w="1921"/>
        <w:gridCol w:w="2513"/>
      </w:tblGrid>
      <w:tr w:rsidR="00B63E9F" w:rsidRPr="006E07C6" w14:paraId="46472868" w14:textId="77777777" w:rsidTr="00B63E9F">
        <w:tc>
          <w:tcPr>
            <w:tcW w:w="1681" w:type="dxa"/>
          </w:tcPr>
          <w:p w14:paraId="2E499E04" w14:textId="1394B94F" w:rsidR="00B63E9F" w:rsidRPr="006E07C6" w:rsidRDefault="00B63E9F" w:rsidP="000F14BF">
            <w:pPr>
              <w:spacing w:line="360" w:lineRule="auto"/>
              <w:jc w:val="center"/>
              <w:rPr>
                <w:rFonts w:ascii="Arial" w:hAnsi="Arial" w:cs="Arial"/>
                <w:b/>
                <w:sz w:val="24"/>
                <w:szCs w:val="24"/>
              </w:rPr>
            </w:pPr>
            <w:r w:rsidRPr="006E07C6">
              <w:rPr>
                <w:rFonts w:ascii="Arial" w:hAnsi="Arial" w:cs="Arial"/>
                <w:b/>
                <w:sz w:val="24"/>
                <w:szCs w:val="24"/>
              </w:rPr>
              <w:t>PARTIDOS</w:t>
            </w:r>
          </w:p>
        </w:tc>
        <w:tc>
          <w:tcPr>
            <w:tcW w:w="3223" w:type="dxa"/>
          </w:tcPr>
          <w:p w14:paraId="593FC5A9" w14:textId="56FBCBFC" w:rsidR="00B63E9F" w:rsidRPr="006E07C6" w:rsidRDefault="00B63E9F" w:rsidP="000F14BF">
            <w:pPr>
              <w:spacing w:line="360" w:lineRule="auto"/>
              <w:jc w:val="center"/>
              <w:rPr>
                <w:rFonts w:ascii="Arial" w:hAnsi="Arial" w:cs="Arial"/>
                <w:b/>
                <w:sz w:val="24"/>
                <w:szCs w:val="24"/>
              </w:rPr>
            </w:pPr>
            <w:r w:rsidRPr="006E07C6">
              <w:rPr>
                <w:rFonts w:ascii="Arial" w:hAnsi="Arial" w:cs="Arial"/>
                <w:b/>
                <w:sz w:val="24"/>
                <w:szCs w:val="24"/>
              </w:rPr>
              <w:t>TITULARES</w:t>
            </w:r>
          </w:p>
        </w:tc>
        <w:tc>
          <w:tcPr>
            <w:tcW w:w="1921" w:type="dxa"/>
          </w:tcPr>
          <w:p w14:paraId="66C611D4" w14:textId="0B697FB1" w:rsidR="00B63E9F" w:rsidRPr="006E07C6" w:rsidRDefault="00B63E9F" w:rsidP="000F14BF">
            <w:pPr>
              <w:spacing w:line="360" w:lineRule="auto"/>
              <w:jc w:val="center"/>
              <w:rPr>
                <w:rFonts w:ascii="Arial" w:hAnsi="Arial" w:cs="Arial"/>
                <w:b/>
                <w:sz w:val="24"/>
                <w:szCs w:val="24"/>
              </w:rPr>
            </w:pPr>
            <w:r w:rsidRPr="006E07C6">
              <w:rPr>
                <w:rFonts w:ascii="Arial" w:hAnsi="Arial" w:cs="Arial"/>
                <w:b/>
                <w:sz w:val="24"/>
                <w:szCs w:val="24"/>
              </w:rPr>
              <w:t>PARTIDOS</w:t>
            </w:r>
          </w:p>
        </w:tc>
        <w:tc>
          <w:tcPr>
            <w:tcW w:w="2513" w:type="dxa"/>
          </w:tcPr>
          <w:p w14:paraId="7E8EC5CC" w14:textId="2AADC0B1" w:rsidR="00B63E9F" w:rsidRPr="006E07C6" w:rsidRDefault="00B63E9F" w:rsidP="000F14BF">
            <w:pPr>
              <w:spacing w:line="360" w:lineRule="auto"/>
              <w:jc w:val="center"/>
              <w:rPr>
                <w:rFonts w:ascii="Arial" w:hAnsi="Arial" w:cs="Arial"/>
                <w:sz w:val="24"/>
                <w:szCs w:val="24"/>
              </w:rPr>
            </w:pPr>
            <w:r w:rsidRPr="006E07C6">
              <w:rPr>
                <w:rFonts w:ascii="Arial" w:hAnsi="Arial" w:cs="Arial"/>
                <w:b/>
                <w:sz w:val="24"/>
                <w:szCs w:val="24"/>
              </w:rPr>
              <w:t>SUPLENTES</w:t>
            </w:r>
          </w:p>
        </w:tc>
      </w:tr>
      <w:tr w:rsidR="00B63E9F" w:rsidRPr="006E07C6" w14:paraId="77A2D84D" w14:textId="77777777" w:rsidTr="00B63E9F">
        <w:tc>
          <w:tcPr>
            <w:tcW w:w="1681" w:type="dxa"/>
          </w:tcPr>
          <w:p w14:paraId="32E5FD04" w14:textId="5C1FDA77" w:rsidR="00B63E9F" w:rsidRPr="006E07C6" w:rsidRDefault="00B63E9F" w:rsidP="000F14BF">
            <w:pPr>
              <w:spacing w:line="360" w:lineRule="auto"/>
              <w:jc w:val="center"/>
              <w:rPr>
                <w:rFonts w:ascii="Arial" w:hAnsi="Arial" w:cs="Arial"/>
                <w:b/>
                <w:sz w:val="24"/>
                <w:szCs w:val="24"/>
              </w:rPr>
            </w:pPr>
            <w:r w:rsidRPr="006E07C6">
              <w:rPr>
                <w:rFonts w:ascii="Arial" w:hAnsi="Arial" w:cs="Arial"/>
                <w:b/>
                <w:sz w:val="24"/>
                <w:szCs w:val="24"/>
              </w:rPr>
              <w:t>MDB</w:t>
            </w:r>
          </w:p>
        </w:tc>
        <w:tc>
          <w:tcPr>
            <w:tcW w:w="3223" w:type="dxa"/>
          </w:tcPr>
          <w:p w14:paraId="3C28571F" w14:textId="18D5874C" w:rsidR="00B63E9F" w:rsidRPr="006E07C6" w:rsidRDefault="00B63E9F" w:rsidP="000F14BF">
            <w:pPr>
              <w:spacing w:line="360" w:lineRule="auto"/>
              <w:jc w:val="center"/>
              <w:rPr>
                <w:rFonts w:ascii="Arial" w:hAnsi="Arial" w:cs="Arial"/>
                <w:sz w:val="24"/>
                <w:szCs w:val="24"/>
              </w:rPr>
            </w:pPr>
            <w:r w:rsidRPr="006E07C6">
              <w:rPr>
                <w:rFonts w:ascii="Arial" w:hAnsi="Arial" w:cs="Arial"/>
                <w:sz w:val="24"/>
                <w:szCs w:val="24"/>
              </w:rPr>
              <w:t>Humberto Aidar</w:t>
            </w:r>
          </w:p>
        </w:tc>
        <w:tc>
          <w:tcPr>
            <w:tcW w:w="1921" w:type="dxa"/>
          </w:tcPr>
          <w:p w14:paraId="35715C06" w14:textId="3F8AA6B7" w:rsidR="00B63E9F" w:rsidRPr="006E07C6" w:rsidRDefault="00B63E9F" w:rsidP="000F14BF">
            <w:pPr>
              <w:spacing w:line="360" w:lineRule="auto"/>
              <w:jc w:val="center"/>
              <w:rPr>
                <w:rFonts w:ascii="Arial" w:hAnsi="Arial" w:cs="Arial"/>
                <w:b/>
                <w:sz w:val="24"/>
                <w:szCs w:val="24"/>
              </w:rPr>
            </w:pPr>
            <w:r w:rsidRPr="006E07C6">
              <w:rPr>
                <w:rFonts w:ascii="Arial" w:hAnsi="Arial" w:cs="Arial"/>
                <w:b/>
                <w:sz w:val="24"/>
                <w:szCs w:val="24"/>
              </w:rPr>
              <w:t>PTB</w:t>
            </w:r>
          </w:p>
        </w:tc>
        <w:tc>
          <w:tcPr>
            <w:tcW w:w="2513" w:type="dxa"/>
          </w:tcPr>
          <w:p w14:paraId="72A323D7" w14:textId="57A6CF73" w:rsidR="00B63E9F" w:rsidRPr="006E07C6" w:rsidRDefault="00B63E9F" w:rsidP="000F14BF">
            <w:pPr>
              <w:spacing w:line="360" w:lineRule="auto"/>
              <w:jc w:val="center"/>
              <w:rPr>
                <w:rFonts w:ascii="Arial" w:hAnsi="Arial" w:cs="Arial"/>
                <w:sz w:val="24"/>
                <w:szCs w:val="24"/>
              </w:rPr>
            </w:pPr>
            <w:r w:rsidRPr="006E07C6">
              <w:rPr>
                <w:rFonts w:ascii="Arial" w:hAnsi="Arial" w:cs="Arial"/>
                <w:sz w:val="24"/>
                <w:szCs w:val="24"/>
              </w:rPr>
              <w:t>Henrique Arantes</w:t>
            </w:r>
          </w:p>
        </w:tc>
      </w:tr>
      <w:tr w:rsidR="00B63E9F" w:rsidRPr="006E07C6" w14:paraId="4F669ACD" w14:textId="77777777" w:rsidTr="00B63E9F">
        <w:tc>
          <w:tcPr>
            <w:tcW w:w="1681" w:type="dxa"/>
          </w:tcPr>
          <w:p w14:paraId="3D510313" w14:textId="035E79D4" w:rsidR="00B63E9F" w:rsidRPr="006E07C6" w:rsidRDefault="00B63E9F" w:rsidP="000F14BF">
            <w:pPr>
              <w:spacing w:line="360" w:lineRule="auto"/>
              <w:jc w:val="center"/>
              <w:rPr>
                <w:rFonts w:ascii="Arial" w:hAnsi="Arial" w:cs="Arial"/>
                <w:b/>
                <w:sz w:val="24"/>
                <w:szCs w:val="24"/>
              </w:rPr>
            </w:pPr>
            <w:r w:rsidRPr="006E07C6">
              <w:rPr>
                <w:rFonts w:ascii="Arial" w:hAnsi="Arial" w:cs="Arial"/>
                <w:b/>
                <w:sz w:val="24"/>
                <w:szCs w:val="24"/>
              </w:rPr>
              <w:t>PSDB</w:t>
            </w:r>
          </w:p>
        </w:tc>
        <w:tc>
          <w:tcPr>
            <w:tcW w:w="3223" w:type="dxa"/>
          </w:tcPr>
          <w:p w14:paraId="67EFC88A" w14:textId="30008FDB" w:rsidR="00B63E9F" w:rsidRPr="006E07C6" w:rsidRDefault="00B63E9F" w:rsidP="000F14BF">
            <w:pPr>
              <w:spacing w:line="360" w:lineRule="auto"/>
              <w:jc w:val="center"/>
              <w:rPr>
                <w:rFonts w:ascii="Arial" w:hAnsi="Arial" w:cs="Arial"/>
                <w:sz w:val="24"/>
                <w:szCs w:val="24"/>
              </w:rPr>
            </w:pPr>
            <w:r w:rsidRPr="006E07C6">
              <w:rPr>
                <w:rFonts w:ascii="Arial" w:hAnsi="Arial" w:cs="Arial"/>
                <w:sz w:val="24"/>
                <w:szCs w:val="24"/>
              </w:rPr>
              <w:t>Talles Barreto</w:t>
            </w:r>
          </w:p>
        </w:tc>
        <w:tc>
          <w:tcPr>
            <w:tcW w:w="1921" w:type="dxa"/>
          </w:tcPr>
          <w:p w14:paraId="4382589C" w14:textId="1420B474" w:rsidR="00B63E9F" w:rsidRPr="006E07C6" w:rsidRDefault="00FF51D4" w:rsidP="000F14BF">
            <w:pPr>
              <w:spacing w:line="360" w:lineRule="auto"/>
              <w:jc w:val="center"/>
              <w:rPr>
                <w:rFonts w:ascii="Arial" w:hAnsi="Arial" w:cs="Arial"/>
                <w:b/>
                <w:sz w:val="24"/>
                <w:szCs w:val="24"/>
              </w:rPr>
            </w:pPr>
            <w:r w:rsidRPr="006E07C6">
              <w:rPr>
                <w:rFonts w:ascii="Arial" w:hAnsi="Arial" w:cs="Arial"/>
                <w:b/>
                <w:sz w:val="24"/>
                <w:szCs w:val="24"/>
              </w:rPr>
              <w:t>PSDB</w:t>
            </w:r>
          </w:p>
        </w:tc>
        <w:tc>
          <w:tcPr>
            <w:tcW w:w="2513" w:type="dxa"/>
          </w:tcPr>
          <w:p w14:paraId="74ED51C3" w14:textId="58E42593" w:rsidR="00B63E9F" w:rsidRPr="006E07C6" w:rsidRDefault="00B63E9F" w:rsidP="000F14BF">
            <w:pPr>
              <w:spacing w:line="360" w:lineRule="auto"/>
              <w:jc w:val="center"/>
              <w:rPr>
                <w:rFonts w:ascii="Arial" w:hAnsi="Arial" w:cs="Arial"/>
                <w:sz w:val="24"/>
                <w:szCs w:val="24"/>
              </w:rPr>
            </w:pPr>
            <w:r w:rsidRPr="006E07C6">
              <w:rPr>
                <w:rFonts w:ascii="Arial" w:hAnsi="Arial" w:cs="Arial"/>
                <w:sz w:val="24"/>
                <w:szCs w:val="24"/>
              </w:rPr>
              <w:t>Tião Caroço</w:t>
            </w:r>
          </w:p>
        </w:tc>
      </w:tr>
      <w:tr w:rsidR="00B63E9F" w:rsidRPr="006E07C6" w14:paraId="2FDE699C" w14:textId="77777777" w:rsidTr="00B63E9F">
        <w:tc>
          <w:tcPr>
            <w:tcW w:w="1681" w:type="dxa"/>
          </w:tcPr>
          <w:p w14:paraId="2E4D9925" w14:textId="649EE1B1" w:rsidR="00B63E9F" w:rsidRPr="006E07C6" w:rsidRDefault="00B63E9F" w:rsidP="000F14BF">
            <w:pPr>
              <w:spacing w:line="360" w:lineRule="auto"/>
              <w:jc w:val="center"/>
              <w:rPr>
                <w:rFonts w:ascii="Arial" w:hAnsi="Arial" w:cs="Arial"/>
                <w:b/>
                <w:sz w:val="24"/>
                <w:szCs w:val="24"/>
              </w:rPr>
            </w:pPr>
            <w:r w:rsidRPr="006E07C6">
              <w:rPr>
                <w:rFonts w:ascii="Arial" w:hAnsi="Arial" w:cs="Arial"/>
                <w:b/>
                <w:sz w:val="24"/>
                <w:szCs w:val="24"/>
              </w:rPr>
              <w:t>PRP</w:t>
            </w:r>
          </w:p>
        </w:tc>
        <w:tc>
          <w:tcPr>
            <w:tcW w:w="3223" w:type="dxa"/>
          </w:tcPr>
          <w:p w14:paraId="71F8DEC7" w14:textId="75817B64" w:rsidR="00B63E9F" w:rsidRPr="006E07C6" w:rsidRDefault="00B63E9F" w:rsidP="000F14BF">
            <w:pPr>
              <w:spacing w:line="360" w:lineRule="auto"/>
              <w:jc w:val="center"/>
              <w:rPr>
                <w:rFonts w:ascii="Arial" w:hAnsi="Arial" w:cs="Arial"/>
                <w:sz w:val="24"/>
                <w:szCs w:val="24"/>
              </w:rPr>
            </w:pPr>
            <w:r w:rsidRPr="006E07C6">
              <w:rPr>
                <w:rFonts w:ascii="Arial" w:hAnsi="Arial" w:cs="Arial"/>
                <w:sz w:val="24"/>
                <w:szCs w:val="24"/>
              </w:rPr>
              <w:t>Major Araújo</w:t>
            </w:r>
          </w:p>
        </w:tc>
        <w:tc>
          <w:tcPr>
            <w:tcW w:w="1921" w:type="dxa"/>
          </w:tcPr>
          <w:p w14:paraId="3D820E43" w14:textId="134ABB13" w:rsidR="00B63E9F" w:rsidRPr="006E07C6" w:rsidRDefault="00FF51D4" w:rsidP="000F14BF">
            <w:pPr>
              <w:spacing w:line="360" w:lineRule="auto"/>
              <w:jc w:val="center"/>
              <w:rPr>
                <w:rFonts w:ascii="Arial" w:hAnsi="Arial" w:cs="Arial"/>
                <w:b/>
                <w:sz w:val="24"/>
                <w:szCs w:val="24"/>
              </w:rPr>
            </w:pPr>
            <w:r w:rsidRPr="006E07C6">
              <w:rPr>
                <w:rFonts w:ascii="Arial" w:hAnsi="Arial" w:cs="Arial"/>
                <w:b/>
                <w:sz w:val="24"/>
                <w:szCs w:val="24"/>
              </w:rPr>
              <w:t>PSD</w:t>
            </w:r>
          </w:p>
        </w:tc>
        <w:tc>
          <w:tcPr>
            <w:tcW w:w="2513" w:type="dxa"/>
          </w:tcPr>
          <w:p w14:paraId="73877D4A" w14:textId="7A8E3B33" w:rsidR="00B63E9F" w:rsidRPr="006E07C6" w:rsidRDefault="00B63E9F" w:rsidP="000F14BF">
            <w:pPr>
              <w:spacing w:line="360" w:lineRule="auto"/>
              <w:jc w:val="center"/>
              <w:rPr>
                <w:rFonts w:ascii="Arial" w:hAnsi="Arial" w:cs="Arial"/>
                <w:sz w:val="24"/>
                <w:szCs w:val="24"/>
              </w:rPr>
            </w:pPr>
            <w:r w:rsidRPr="006E07C6">
              <w:rPr>
                <w:rFonts w:ascii="Arial" w:hAnsi="Arial" w:cs="Arial"/>
                <w:sz w:val="24"/>
                <w:szCs w:val="24"/>
              </w:rPr>
              <w:t>Lucas Calil</w:t>
            </w:r>
          </w:p>
        </w:tc>
      </w:tr>
      <w:tr w:rsidR="00B63E9F" w:rsidRPr="006E07C6" w14:paraId="1713BF2B" w14:textId="77777777" w:rsidTr="00B63E9F">
        <w:tc>
          <w:tcPr>
            <w:tcW w:w="1681" w:type="dxa"/>
          </w:tcPr>
          <w:p w14:paraId="0286448A" w14:textId="7DF88034" w:rsidR="00B63E9F" w:rsidRPr="006E07C6" w:rsidRDefault="00B63E9F" w:rsidP="000F14BF">
            <w:pPr>
              <w:spacing w:line="360" w:lineRule="auto"/>
              <w:jc w:val="center"/>
              <w:rPr>
                <w:rFonts w:ascii="Arial" w:hAnsi="Arial" w:cs="Arial"/>
                <w:b/>
                <w:sz w:val="24"/>
                <w:szCs w:val="24"/>
              </w:rPr>
            </w:pPr>
            <w:r w:rsidRPr="006E07C6">
              <w:rPr>
                <w:rFonts w:ascii="Arial" w:hAnsi="Arial" w:cs="Arial"/>
                <w:b/>
                <w:sz w:val="24"/>
                <w:szCs w:val="24"/>
              </w:rPr>
              <w:t>DEM</w:t>
            </w:r>
          </w:p>
        </w:tc>
        <w:tc>
          <w:tcPr>
            <w:tcW w:w="3223" w:type="dxa"/>
          </w:tcPr>
          <w:p w14:paraId="740024D1" w14:textId="6B87CABA" w:rsidR="00B63E9F" w:rsidRPr="006E07C6" w:rsidRDefault="00B63E9F" w:rsidP="000F14BF">
            <w:pPr>
              <w:spacing w:line="360" w:lineRule="auto"/>
              <w:jc w:val="center"/>
              <w:rPr>
                <w:rFonts w:ascii="Arial" w:hAnsi="Arial" w:cs="Arial"/>
                <w:sz w:val="24"/>
                <w:szCs w:val="24"/>
              </w:rPr>
            </w:pPr>
            <w:r w:rsidRPr="006E07C6">
              <w:rPr>
                <w:rFonts w:ascii="Arial" w:hAnsi="Arial" w:cs="Arial"/>
                <w:sz w:val="24"/>
                <w:szCs w:val="24"/>
              </w:rPr>
              <w:t>Álvaro Guimarães</w:t>
            </w:r>
          </w:p>
        </w:tc>
        <w:tc>
          <w:tcPr>
            <w:tcW w:w="1921" w:type="dxa"/>
          </w:tcPr>
          <w:p w14:paraId="16FDA76C" w14:textId="7E9DA184" w:rsidR="00B63E9F" w:rsidRPr="006E07C6" w:rsidRDefault="00FF51D4" w:rsidP="000F14BF">
            <w:pPr>
              <w:spacing w:line="360" w:lineRule="auto"/>
              <w:jc w:val="center"/>
              <w:rPr>
                <w:rFonts w:ascii="Arial" w:hAnsi="Arial" w:cs="Arial"/>
                <w:b/>
                <w:sz w:val="24"/>
                <w:szCs w:val="24"/>
              </w:rPr>
            </w:pPr>
            <w:r w:rsidRPr="006E07C6">
              <w:rPr>
                <w:rFonts w:ascii="Arial" w:hAnsi="Arial" w:cs="Arial"/>
                <w:b/>
                <w:sz w:val="24"/>
                <w:szCs w:val="24"/>
              </w:rPr>
              <w:t>SD</w:t>
            </w:r>
          </w:p>
        </w:tc>
        <w:tc>
          <w:tcPr>
            <w:tcW w:w="2513" w:type="dxa"/>
          </w:tcPr>
          <w:p w14:paraId="44915918" w14:textId="4A41D418" w:rsidR="00B63E9F" w:rsidRPr="006E07C6" w:rsidRDefault="00B63E9F" w:rsidP="000F14BF">
            <w:pPr>
              <w:spacing w:line="360" w:lineRule="auto"/>
              <w:jc w:val="center"/>
              <w:rPr>
                <w:rFonts w:ascii="Arial" w:hAnsi="Arial" w:cs="Arial"/>
                <w:sz w:val="24"/>
                <w:szCs w:val="24"/>
              </w:rPr>
            </w:pPr>
            <w:r w:rsidRPr="006E07C6">
              <w:rPr>
                <w:rFonts w:ascii="Arial" w:hAnsi="Arial" w:cs="Arial"/>
                <w:sz w:val="24"/>
                <w:szCs w:val="24"/>
              </w:rPr>
              <w:t>Thiago Albernaz</w:t>
            </w:r>
          </w:p>
        </w:tc>
      </w:tr>
      <w:tr w:rsidR="00B63E9F" w:rsidRPr="006E07C6" w14:paraId="27C96A10" w14:textId="77777777" w:rsidTr="00B63E9F">
        <w:tc>
          <w:tcPr>
            <w:tcW w:w="1681" w:type="dxa"/>
          </w:tcPr>
          <w:p w14:paraId="6B99991A" w14:textId="7CF1F08B" w:rsidR="00B63E9F" w:rsidRPr="006E07C6" w:rsidRDefault="00B63E9F" w:rsidP="000F14BF">
            <w:pPr>
              <w:spacing w:line="360" w:lineRule="auto"/>
              <w:jc w:val="center"/>
              <w:rPr>
                <w:rFonts w:ascii="Arial" w:hAnsi="Arial" w:cs="Arial"/>
                <w:b/>
                <w:sz w:val="24"/>
                <w:szCs w:val="24"/>
              </w:rPr>
            </w:pPr>
            <w:r w:rsidRPr="006E07C6">
              <w:rPr>
                <w:rFonts w:ascii="Arial" w:hAnsi="Arial" w:cs="Arial"/>
                <w:b/>
                <w:sz w:val="24"/>
                <w:szCs w:val="24"/>
              </w:rPr>
              <w:t>PROS</w:t>
            </w:r>
          </w:p>
        </w:tc>
        <w:tc>
          <w:tcPr>
            <w:tcW w:w="3223" w:type="dxa"/>
          </w:tcPr>
          <w:p w14:paraId="7E937B65" w14:textId="71A7D177" w:rsidR="00B63E9F" w:rsidRPr="006E07C6" w:rsidRDefault="00B63E9F" w:rsidP="000F14BF">
            <w:pPr>
              <w:spacing w:line="360" w:lineRule="auto"/>
              <w:jc w:val="center"/>
              <w:rPr>
                <w:rFonts w:ascii="Arial" w:hAnsi="Arial" w:cs="Arial"/>
                <w:sz w:val="24"/>
                <w:szCs w:val="24"/>
              </w:rPr>
            </w:pPr>
            <w:r w:rsidRPr="006E07C6">
              <w:rPr>
                <w:rFonts w:ascii="Arial" w:hAnsi="Arial" w:cs="Arial"/>
                <w:sz w:val="24"/>
                <w:szCs w:val="24"/>
              </w:rPr>
              <w:t>Vinícius Cerqueira</w:t>
            </w:r>
          </w:p>
        </w:tc>
        <w:tc>
          <w:tcPr>
            <w:tcW w:w="1921" w:type="dxa"/>
          </w:tcPr>
          <w:p w14:paraId="2D11DDD6" w14:textId="6B1BAEFB" w:rsidR="00B63E9F" w:rsidRPr="006E07C6" w:rsidRDefault="00B63E9F" w:rsidP="000F14BF">
            <w:pPr>
              <w:spacing w:line="360" w:lineRule="auto"/>
              <w:jc w:val="center"/>
              <w:rPr>
                <w:rFonts w:ascii="Arial" w:hAnsi="Arial" w:cs="Arial"/>
                <w:b/>
                <w:sz w:val="24"/>
                <w:szCs w:val="24"/>
              </w:rPr>
            </w:pPr>
            <w:r w:rsidRPr="006E07C6">
              <w:rPr>
                <w:rFonts w:ascii="Arial" w:hAnsi="Arial" w:cs="Arial"/>
                <w:b/>
                <w:sz w:val="24"/>
                <w:szCs w:val="24"/>
              </w:rPr>
              <w:t>PP</w:t>
            </w:r>
          </w:p>
        </w:tc>
        <w:tc>
          <w:tcPr>
            <w:tcW w:w="2513" w:type="dxa"/>
          </w:tcPr>
          <w:p w14:paraId="7AF1C2C1" w14:textId="09D05EC6" w:rsidR="00B63E9F" w:rsidRPr="006E07C6" w:rsidRDefault="00B63E9F" w:rsidP="000F14BF">
            <w:pPr>
              <w:spacing w:line="360" w:lineRule="auto"/>
              <w:jc w:val="center"/>
              <w:rPr>
                <w:rFonts w:ascii="Arial" w:hAnsi="Arial" w:cs="Arial"/>
                <w:sz w:val="24"/>
                <w:szCs w:val="24"/>
              </w:rPr>
            </w:pPr>
            <w:r w:rsidRPr="006E07C6">
              <w:rPr>
                <w:rFonts w:ascii="Arial" w:hAnsi="Arial" w:cs="Arial"/>
                <w:sz w:val="24"/>
                <w:szCs w:val="24"/>
              </w:rPr>
              <w:t>Coronel Adailton</w:t>
            </w:r>
          </w:p>
        </w:tc>
      </w:tr>
    </w:tbl>
    <w:p w14:paraId="2D09FBB0" w14:textId="77777777" w:rsidR="009F6C66" w:rsidRPr="006E07C6" w:rsidRDefault="009F6C66" w:rsidP="000F14BF">
      <w:pPr>
        <w:spacing w:line="360" w:lineRule="auto"/>
        <w:jc w:val="both"/>
        <w:rPr>
          <w:rFonts w:ascii="Arial" w:hAnsi="Arial" w:cs="Arial"/>
          <w:sz w:val="24"/>
          <w:szCs w:val="24"/>
        </w:rPr>
      </w:pPr>
    </w:p>
    <w:p w14:paraId="127CB54D" w14:textId="736CA43A" w:rsidR="00C829F3" w:rsidRPr="006E07C6" w:rsidRDefault="00573E95" w:rsidP="00713208">
      <w:pPr>
        <w:spacing w:line="360" w:lineRule="auto"/>
        <w:ind w:firstLine="851"/>
        <w:jc w:val="both"/>
        <w:rPr>
          <w:rFonts w:ascii="Arial" w:hAnsi="Arial" w:cs="Arial"/>
          <w:sz w:val="24"/>
          <w:szCs w:val="24"/>
        </w:rPr>
      </w:pPr>
      <w:r w:rsidRPr="006E07C6">
        <w:rPr>
          <w:rFonts w:ascii="Arial" w:hAnsi="Arial" w:cs="Arial"/>
          <w:sz w:val="24"/>
          <w:szCs w:val="24"/>
        </w:rPr>
        <w:t xml:space="preserve">A CPI foi devidamente instalada na reunião do dia </w:t>
      </w:r>
      <w:r w:rsidR="00F86202" w:rsidRPr="00F86202">
        <w:rPr>
          <w:rFonts w:ascii="Arial" w:hAnsi="Arial" w:cs="Arial"/>
          <w:sz w:val="24"/>
          <w:szCs w:val="24"/>
        </w:rPr>
        <w:t>14</w:t>
      </w:r>
      <w:r w:rsidRPr="006E07C6">
        <w:rPr>
          <w:rFonts w:ascii="Arial" w:hAnsi="Arial" w:cs="Arial"/>
          <w:sz w:val="24"/>
          <w:szCs w:val="24"/>
        </w:rPr>
        <w:t>/03/2019</w:t>
      </w:r>
      <w:r w:rsidR="004317E3" w:rsidRPr="006E07C6">
        <w:rPr>
          <w:rFonts w:ascii="Arial" w:hAnsi="Arial" w:cs="Arial"/>
          <w:sz w:val="24"/>
          <w:szCs w:val="24"/>
        </w:rPr>
        <w:t xml:space="preserve">, na qual restaram designados como Presidente e Relator, respectivamente, os Deputados Álvaro Guimarães e Humberto Aidar (Ata da 1ª </w:t>
      </w:r>
      <w:r w:rsidR="004317E3" w:rsidRPr="00F86202">
        <w:rPr>
          <w:rFonts w:ascii="Arial" w:hAnsi="Arial" w:cs="Arial"/>
          <w:sz w:val="24"/>
          <w:szCs w:val="24"/>
        </w:rPr>
        <w:t xml:space="preserve">Reunião </w:t>
      </w:r>
      <w:r w:rsidR="00F86202" w:rsidRPr="00F86202">
        <w:rPr>
          <w:rFonts w:ascii="Arial" w:hAnsi="Arial" w:cs="Arial"/>
          <w:sz w:val="24"/>
          <w:szCs w:val="24"/>
        </w:rPr>
        <w:t>O</w:t>
      </w:r>
      <w:r w:rsidR="004317E3" w:rsidRPr="00F86202">
        <w:rPr>
          <w:rFonts w:ascii="Arial" w:hAnsi="Arial" w:cs="Arial"/>
          <w:sz w:val="24"/>
          <w:szCs w:val="24"/>
        </w:rPr>
        <w:t xml:space="preserve">rdinária </w:t>
      </w:r>
      <w:r w:rsidR="004317E3" w:rsidRPr="006E07C6">
        <w:rPr>
          <w:rFonts w:ascii="Arial" w:hAnsi="Arial" w:cs="Arial"/>
          <w:sz w:val="24"/>
          <w:szCs w:val="24"/>
        </w:rPr>
        <w:t xml:space="preserve">– </w:t>
      </w:r>
      <w:r w:rsidR="00ED1DC3" w:rsidRPr="00881BBE">
        <w:rPr>
          <w:rFonts w:ascii="Arial" w:hAnsi="Arial" w:cs="Arial"/>
          <w:sz w:val="24"/>
          <w:szCs w:val="24"/>
        </w:rPr>
        <w:t>fl</w:t>
      </w:r>
      <w:r w:rsidR="00D21D5E">
        <w:rPr>
          <w:rFonts w:ascii="Arial" w:hAnsi="Arial" w:cs="Arial"/>
          <w:sz w:val="24"/>
          <w:szCs w:val="24"/>
        </w:rPr>
        <w:t>s</w:t>
      </w:r>
      <w:r w:rsidR="004317E3" w:rsidRPr="00881BBE">
        <w:rPr>
          <w:rFonts w:ascii="Arial" w:hAnsi="Arial" w:cs="Arial"/>
          <w:sz w:val="24"/>
          <w:szCs w:val="24"/>
        </w:rPr>
        <w:t xml:space="preserve">. </w:t>
      </w:r>
      <w:r w:rsidR="00881BBE" w:rsidRPr="00881BBE">
        <w:rPr>
          <w:rFonts w:ascii="Arial" w:hAnsi="Arial" w:cs="Arial"/>
          <w:sz w:val="24"/>
          <w:szCs w:val="24"/>
        </w:rPr>
        <w:t>23</w:t>
      </w:r>
      <w:r w:rsidR="00D21D5E">
        <w:rPr>
          <w:rFonts w:ascii="Arial" w:hAnsi="Arial" w:cs="Arial"/>
          <w:sz w:val="24"/>
          <w:szCs w:val="24"/>
        </w:rPr>
        <w:t>/24</w:t>
      </w:r>
      <w:r w:rsidR="004317E3" w:rsidRPr="00881BBE">
        <w:rPr>
          <w:rFonts w:ascii="Arial" w:hAnsi="Arial" w:cs="Arial"/>
          <w:sz w:val="24"/>
          <w:szCs w:val="24"/>
        </w:rPr>
        <w:t>).</w:t>
      </w:r>
    </w:p>
    <w:p w14:paraId="38F7CC73" w14:textId="134636D2" w:rsidR="00573E95" w:rsidRDefault="00573E95" w:rsidP="00713208">
      <w:pPr>
        <w:spacing w:line="360" w:lineRule="auto"/>
        <w:ind w:firstLine="851"/>
        <w:jc w:val="both"/>
        <w:rPr>
          <w:rFonts w:ascii="Arial" w:hAnsi="Arial" w:cs="Arial"/>
          <w:sz w:val="24"/>
          <w:szCs w:val="24"/>
        </w:rPr>
      </w:pPr>
    </w:p>
    <w:p w14:paraId="47286CB3" w14:textId="4598E716" w:rsidR="002612FE" w:rsidRDefault="002612FE">
      <w:pPr>
        <w:rPr>
          <w:rFonts w:ascii="Arial" w:hAnsi="Arial" w:cs="Arial"/>
          <w:sz w:val="24"/>
          <w:szCs w:val="24"/>
        </w:rPr>
      </w:pPr>
      <w:r>
        <w:rPr>
          <w:rFonts w:ascii="Arial" w:hAnsi="Arial" w:cs="Arial"/>
          <w:sz w:val="24"/>
          <w:szCs w:val="24"/>
        </w:rPr>
        <w:br w:type="page"/>
      </w:r>
    </w:p>
    <w:p w14:paraId="15E6005A" w14:textId="77777777" w:rsidR="00EF2460" w:rsidRDefault="00EF2460" w:rsidP="002612FE">
      <w:pPr>
        <w:spacing w:line="360" w:lineRule="auto"/>
        <w:ind w:firstLine="851"/>
        <w:jc w:val="both"/>
        <w:rPr>
          <w:rFonts w:ascii="Arial" w:hAnsi="Arial" w:cs="Arial"/>
          <w:b/>
          <w:sz w:val="24"/>
          <w:szCs w:val="24"/>
          <w:u w:val="single"/>
        </w:rPr>
      </w:pPr>
    </w:p>
    <w:p w14:paraId="0E14B2A1" w14:textId="5A88A4D5" w:rsidR="006261E9" w:rsidRPr="006E07C6" w:rsidRDefault="006261E9" w:rsidP="00713208">
      <w:pPr>
        <w:spacing w:line="360" w:lineRule="auto"/>
        <w:ind w:firstLine="851"/>
        <w:jc w:val="both"/>
        <w:rPr>
          <w:rFonts w:ascii="Arial" w:hAnsi="Arial" w:cs="Arial"/>
          <w:b/>
          <w:sz w:val="24"/>
          <w:szCs w:val="24"/>
          <w:u w:val="single"/>
        </w:rPr>
      </w:pPr>
      <w:r w:rsidRPr="006E07C6">
        <w:rPr>
          <w:rFonts w:ascii="Arial" w:hAnsi="Arial" w:cs="Arial"/>
          <w:b/>
          <w:sz w:val="24"/>
          <w:szCs w:val="24"/>
          <w:u w:val="single"/>
        </w:rPr>
        <w:t xml:space="preserve">2 – </w:t>
      </w:r>
      <w:r w:rsidR="00E66B60">
        <w:rPr>
          <w:rFonts w:ascii="Arial" w:hAnsi="Arial" w:cs="Arial"/>
          <w:b/>
          <w:sz w:val="24"/>
          <w:szCs w:val="24"/>
          <w:u w:val="single"/>
        </w:rPr>
        <w:t xml:space="preserve">INTRODUÇÃO E </w:t>
      </w:r>
      <w:r w:rsidRPr="006E07C6">
        <w:rPr>
          <w:rFonts w:ascii="Arial" w:hAnsi="Arial" w:cs="Arial"/>
          <w:b/>
          <w:sz w:val="24"/>
          <w:szCs w:val="24"/>
          <w:u w:val="single"/>
        </w:rPr>
        <w:t>OBJETO</w:t>
      </w:r>
    </w:p>
    <w:p w14:paraId="25D8448E" w14:textId="4F322A65" w:rsidR="006261E9" w:rsidRPr="006E07C6" w:rsidRDefault="006261E9" w:rsidP="00713208">
      <w:pPr>
        <w:spacing w:line="360" w:lineRule="auto"/>
        <w:ind w:firstLine="851"/>
        <w:jc w:val="both"/>
        <w:rPr>
          <w:rFonts w:ascii="Arial" w:hAnsi="Arial" w:cs="Arial"/>
          <w:b/>
          <w:sz w:val="24"/>
          <w:szCs w:val="24"/>
          <w:u w:val="single"/>
        </w:rPr>
      </w:pPr>
    </w:p>
    <w:p w14:paraId="5291450C" w14:textId="61D9E2BA" w:rsidR="006261E9" w:rsidRPr="006E07C6" w:rsidRDefault="00076527" w:rsidP="00713208">
      <w:pPr>
        <w:spacing w:line="360" w:lineRule="auto"/>
        <w:ind w:firstLine="851"/>
        <w:jc w:val="both"/>
        <w:rPr>
          <w:rFonts w:ascii="Arial" w:hAnsi="Arial" w:cs="Arial"/>
          <w:sz w:val="24"/>
          <w:szCs w:val="24"/>
        </w:rPr>
      </w:pPr>
      <w:r w:rsidRPr="006E07C6">
        <w:rPr>
          <w:rFonts w:ascii="Arial" w:hAnsi="Arial" w:cs="Arial"/>
          <w:b/>
          <w:sz w:val="24"/>
          <w:szCs w:val="24"/>
        </w:rPr>
        <w:t>2.1.</w:t>
      </w:r>
      <w:r w:rsidRPr="006E07C6">
        <w:rPr>
          <w:rFonts w:ascii="Arial" w:hAnsi="Arial" w:cs="Arial"/>
          <w:sz w:val="24"/>
          <w:szCs w:val="24"/>
        </w:rPr>
        <w:t xml:space="preserve"> </w:t>
      </w:r>
      <w:r w:rsidR="00A96AAB" w:rsidRPr="006E07C6">
        <w:rPr>
          <w:rFonts w:ascii="Arial" w:hAnsi="Arial" w:cs="Arial"/>
          <w:sz w:val="24"/>
          <w:szCs w:val="24"/>
        </w:rPr>
        <w:t xml:space="preserve">A presente CPI foi nomeada e instalada para </w:t>
      </w:r>
      <w:r w:rsidR="00A96AAB" w:rsidRPr="006E07C6">
        <w:rPr>
          <w:rFonts w:ascii="Arial" w:hAnsi="Arial" w:cs="Arial"/>
          <w:b/>
          <w:sz w:val="24"/>
          <w:szCs w:val="24"/>
          <w:u w:val="single"/>
        </w:rPr>
        <w:t>investigar possíveis</w:t>
      </w:r>
      <w:r w:rsidR="00A96AAB" w:rsidRPr="006E07C6">
        <w:rPr>
          <w:rFonts w:ascii="Arial" w:hAnsi="Arial" w:cs="Arial"/>
          <w:sz w:val="24"/>
          <w:szCs w:val="24"/>
        </w:rPr>
        <w:t xml:space="preserve"> </w:t>
      </w:r>
      <w:r w:rsidR="00A96AAB" w:rsidRPr="006E07C6">
        <w:rPr>
          <w:rFonts w:ascii="Arial" w:hAnsi="Arial" w:cs="Arial"/>
          <w:b/>
          <w:sz w:val="24"/>
          <w:szCs w:val="24"/>
        </w:rPr>
        <w:t>irregularidades na concessão e na utilização de incentivos fiscais e financeiros, incluindo-se créditos outorgados, no Estado de Goiás</w:t>
      </w:r>
      <w:r w:rsidR="00A96AAB" w:rsidRPr="006E07C6">
        <w:rPr>
          <w:rFonts w:ascii="Arial" w:hAnsi="Arial" w:cs="Arial"/>
          <w:sz w:val="24"/>
          <w:szCs w:val="24"/>
        </w:rPr>
        <w:t>.</w:t>
      </w:r>
    </w:p>
    <w:p w14:paraId="57BCBF8A" w14:textId="77777777" w:rsidR="00076527" w:rsidRPr="006E07C6" w:rsidRDefault="00076527" w:rsidP="00713208">
      <w:pPr>
        <w:spacing w:line="360" w:lineRule="auto"/>
        <w:ind w:firstLine="851"/>
        <w:jc w:val="both"/>
        <w:rPr>
          <w:rFonts w:ascii="Arial" w:hAnsi="Arial" w:cs="Arial"/>
          <w:sz w:val="24"/>
          <w:szCs w:val="24"/>
        </w:rPr>
      </w:pPr>
    </w:p>
    <w:p w14:paraId="5BDF8C2C" w14:textId="279CF9B8" w:rsidR="00076527" w:rsidRPr="006E07C6" w:rsidRDefault="00076527" w:rsidP="00713208">
      <w:pPr>
        <w:spacing w:line="360" w:lineRule="auto"/>
        <w:ind w:firstLine="851"/>
        <w:jc w:val="both"/>
        <w:rPr>
          <w:rFonts w:ascii="Arial" w:hAnsi="Arial" w:cs="Arial"/>
          <w:sz w:val="24"/>
          <w:szCs w:val="24"/>
        </w:rPr>
      </w:pPr>
      <w:r w:rsidRPr="006E07C6">
        <w:rPr>
          <w:rFonts w:ascii="Arial" w:hAnsi="Arial" w:cs="Arial"/>
          <w:b/>
          <w:sz w:val="24"/>
          <w:szCs w:val="24"/>
        </w:rPr>
        <w:t xml:space="preserve">2.2. </w:t>
      </w:r>
      <w:r w:rsidRPr="006E07C6">
        <w:rPr>
          <w:rFonts w:ascii="Arial" w:hAnsi="Arial" w:cs="Arial"/>
          <w:sz w:val="24"/>
          <w:szCs w:val="24"/>
        </w:rPr>
        <w:t xml:space="preserve">A fim de melhor compreender o objeto desta CPI, </w:t>
      </w:r>
      <w:r w:rsidRPr="006E07C6">
        <w:rPr>
          <w:rFonts w:ascii="Arial" w:hAnsi="Arial" w:cs="Arial"/>
          <w:b/>
          <w:sz w:val="24"/>
          <w:szCs w:val="24"/>
          <w:u w:val="single"/>
        </w:rPr>
        <w:t xml:space="preserve">convém esclarecer o sentido e o alcance </w:t>
      </w:r>
      <w:r w:rsidR="009C444C" w:rsidRPr="006E07C6">
        <w:rPr>
          <w:rFonts w:ascii="Arial" w:hAnsi="Arial" w:cs="Arial"/>
          <w:b/>
          <w:sz w:val="24"/>
          <w:szCs w:val="24"/>
          <w:u w:val="single"/>
        </w:rPr>
        <w:t xml:space="preserve">de cada uma das </w:t>
      </w:r>
      <w:r w:rsidRPr="006E07C6">
        <w:rPr>
          <w:rFonts w:ascii="Arial" w:hAnsi="Arial" w:cs="Arial"/>
          <w:b/>
          <w:sz w:val="24"/>
          <w:szCs w:val="24"/>
          <w:u w:val="single"/>
        </w:rPr>
        <w:t>categorias</w:t>
      </w:r>
      <w:r w:rsidR="009C444C" w:rsidRPr="006E07C6">
        <w:rPr>
          <w:rFonts w:ascii="Arial" w:hAnsi="Arial" w:cs="Arial"/>
          <w:b/>
          <w:sz w:val="24"/>
          <w:szCs w:val="24"/>
        </w:rPr>
        <w:t xml:space="preserve"> presentes no respectivo requerimento de constituição</w:t>
      </w:r>
      <w:r w:rsidR="009C444C" w:rsidRPr="006E07C6">
        <w:rPr>
          <w:rFonts w:ascii="Arial" w:hAnsi="Arial" w:cs="Arial"/>
          <w:sz w:val="24"/>
          <w:szCs w:val="24"/>
        </w:rPr>
        <w:t>, as quais podem ser dividas, por razões meramente didáticas, nos seguintes grupos</w:t>
      </w:r>
      <w:r w:rsidRPr="006E07C6">
        <w:rPr>
          <w:rFonts w:ascii="Arial" w:hAnsi="Arial" w:cs="Arial"/>
          <w:sz w:val="24"/>
          <w:szCs w:val="24"/>
        </w:rPr>
        <w:t xml:space="preserve">: </w:t>
      </w:r>
      <w:r w:rsidRPr="006E07C6">
        <w:rPr>
          <w:rFonts w:ascii="Arial" w:hAnsi="Arial" w:cs="Arial"/>
          <w:b/>
          <w:sz w:val="24"/>
          <w:szCs w:val="24"/>
        </w:rPr>
        <w:t xml:space="preserve">a) </w:t>
      </w:r>
      <w:r w:rsidR="00B824C2" w:rsidRPr="006E07C6">
        <w:rPr>
          <w:rFonts w:ascii="Arial" w:hAnsi="Arial" w:cs="Arial"/>
          <w:b/>
          <w:sz w:val="24"/>
          <w:szCs w:val="24"/>
        </w:rPr>
        <w:t>“</w:t>
      </w:r>
      <w:r w:rsidRPr="006E07C6">
        <w:rPr>
          <w:rFonts w:ascii="Arial" w:hAnsi="Arial" w:cs="Arial"/>
          <w:b/>
          <w:sz w:val="24"/>
          <w:szCs w:val="24"/>
        </w:rPr>
        <w:t>irregularidades</w:t>
      </w:r>
      <w:r w:rsidR="00B824C2" w:rsidRPr="006E07C6">
        <w:rPr>
          <w:rFonts w:ascii="Arial" w:hAnsi="Arial" w:cs="Arial"/>
          <w:b/>
          <w:sz w:val="24"/>
          <w:szCs w:val="24"/>
        </w:rPr>
        <w:t>”</w:t>
      </w:r>
      <w:r w:rsidRPr="006E07C6">
        <w:rPr>
          <w:rFonts w:ascii="Arial" w:hAnsi="Arial" w:cs="Arial"/>
          <w:sz w:val="24"/>
          <w:szCs w:val="24"/>
        </w:rPr>
        <w:t xml:space="preserve">; </w:t>
      </w:r>
      <w:r w:rsidRPr="006E07C6">
        <w:rPr>
          <w:rFonts w:ascii="Arial" w:hAnsi="Arial" w:cs="Arial"/>
          <w:b/>
          <w:sz w:val="24"/>
          <w:szCs w:val="24"/>
        </w:rPr>
        <w:t xml:space="preserve">b) </w:t>
      </w:r>
      <w:r w:rsidR="00B824C2" w:rsidRPr="006E07C6">
        <w:rPr>
          <w:rFonts w:ascii="Arial" w:hAnsi="Arial" w:cs="Arial"/>
          <w:b/>
          <w:sz w:val="24"/>
          <w:szCs w:val="24"/>
        </w:rPr>
        <w:t>“</w:t>
      </w:r>
      <w:r w:rsidRPr="006E07C6">
        <w:rPr>
          <w:rFonts w:ascii="Arial" w:hAnsi="Arial" w:cs="Arial"/>
          <w:b/>
          <w:sz w:val="24"/>
          <w:szCs w:val="24"/>
        </w:rPr>
        <w:t>concessão</w:t>
      </w:r>
      <w:r w:rsidR="00B824C2" w:rsidRPr="006E07C6">
        <w:rPr>
          <w:rFonts w:ascii="Arial" w:hAnsi="Arial" w:cs="Arial"/>
          <w:b/>
          <w:sz w:val="24"/>
          <w:szCs w:val="24"/>
        </w:rPr>
        <w:t>”</w:t>
      </w:r>
      <w:r w:rsidRPr="006E07C6">
        <w:rPr>
          <w:rFonts w:ascii="Arial" w:hAnsi="Arial" w:cs="Arial"/>
          <w:b/>
          <w:sz w:val="24"/>
          <w:szCs w:val="24"/>
        </w:rPr>
        <w:t xml:space="preserve"> e </w:t>
      </w:r>
      <w:r w:rsidR="00B824C2" w:rsidRPr="006E07C6">
        <w:rPr>
          <w:rFonts w:ascii="Arial" w:hAnsi="Arial" w:cs="Arial"/>
          <w:b/>
          <w:sz w:val="24"/>
          <w:szCs w:val="24"/>
        </w:rPr>
        <w:t>“</w:t>
      </w:r>
      <w:r w:rsidRPr="006E07C6">
        <w:rPr>
          <w:rFonts w:ascii="Arial" w:hAnsi="Arial" w:cs="Arial"/>
          <w:b/>
          <w:sz w:val="24"/>
          <w:szCs w:val="24"/>
        </w:rPr>
        <w:t>utilização</w:t>
      </w:r>
      <w:r w:rsidR="00B824C2" w:rsidRPr="006E07C6">
        <w:rPr>
          <w:rFonts w:ascii="Arial" w:hAnsi="Arial" w:cs="Arial"/>
          <w:b/>
          <w:sz w:val="24"/>
          <w:szCs w:val="24"/>
        </w:rPr>
        <w:t>”</w:t>
      </w:r>
      <w:r w:rsidRPr="006E07C6">
        <w:rPr>
          <w:rFonts w:ascii="Arial" w:hAnsi="Arial" w:cs="Arial"/>
          <w:sz w:val="24"/>
          <w:szCs w:val="24"/>
        </w:rPr>
        <w:t xml:space="preserve">; </w:t>
      </w:r>
      <w:r w:rsidRPr="006E07C6">
        <w:rPr>
          <w:rFonts w:ascii="Arial" w:hAnsi="Arial" w:cs="Arial"/>
          <w:b/>
          <w:sz w:val="24"/>
          <w:szCs w:val="24"/>
        </w:rPr>
        <w:t>c) “incentivos fiscais”</w:t>
      </w:r>
      <w:r w:rsidRPr="006E07C6">
        <w:rPr>
          <w:rFonts w:ascii="Arial" w:hAnsi="Arial" w:cs="Arial"/>
          <w:sz w:val="24"/>
          <w:szCs w:val="24"/>
        </w:rPr>
        <w:t>,</w:t>
      </w:r>
      <w:r w:rsidR="008005BC" w:rsidRPr="006E07C6">
        <w:rPr>
          <w:rFonts w:ascii="Arial" w:hAnsi="Arial" w:cs="Arial"/>
          <w:sz w:val="24"/>
          <w:szCs w:val="24"/>
        </w:rPr>
        <w:t xml:space="preserve"> categoria dentro da qual se compreendem, também, os</w:t>
      </w:r>
      <w:r w:rsidRPr="006E07C6">
        <w:rPr>
          <w:rFonts w:ascii="Arial" w:hAnsi="Arial" w:cs="Arial"/>
          <w:sz w:val="24"/>
          <w:szCs w:val="24"/>
        </w:rPr>
        <w:t xml:space="preserve"> incentivos</w:t>
      </w:r>
      <w:r w:rsidR="0059545F">
        <w:rPr>
          <w:rFonts w:ascii="Arial" w:hAnsi="Arial" w:cs="Arial"/>
          <w:sz w:val="24"/>
          <w:szCs w:val="24"/>
        </w:rPr>
        <w:t xml:space="preserve"> nominalmente</w:t>
      </w:r>
      <w:r w:rsidRPr="006E07C6">
        <w:rPr>
          <w:rFonts w:ascii="Arial" w:hAnsi="Arial" w:cs="Arial"/>
          <w:sz w:val="24"/>
          <w:szCs w:val="24"/>
        </w:rPr>
        <w:t xml:space="preserve"> </w:t>
      </w:r>
      <w:r w:rsidR="0059545F">
        <w:rPr>
          <w:rFonts w:ascii="Arial" w:hAnsi="Arial" w:cs="Arial"/>
          <w:sz w:val="24"/>
          <w:szCs w:val="24"/>
        </w:rPr>
        <w:t>“</w:t>
      </w:r>
      <w:r w:rsidRPr="006E07C6">
        <w:rPr>
          <w:rFonts w:ascii="Arial" w:hAnsi="Arial" w:cs="Arial"/>
          <w:sz w:val="24"/>
          <w:szCs w:val="24"/>
        </w:rPr>
        <w:t>financeiros”</w:t>
      </w:r>
      <w:r w:rsidR="0059545F">
        <w:rPr>
          <w:rFonts w:ascii="Arial" w:hAnsi="Arial" w:cs="Arial"/>
          <w:sz w:val="24"/>
          <w:szCs w:val="24"/>
        </w:rPr>
        <w:t>, mas de natureza fiscal,</w:t>
      </w:r>
      <w:r w:rsidR="00B824C2" w:rsidRPr="006E07C6">
        <w:rPr>
          <w:rFonts w:ascii="Arial" w:hAnsi="Arial" w:cs="Arial"/>
          <w:sz w:val="24"/>
          <w:szCs w:val="24"/>
        </w:rPr>
        <w:t xml:space="preserve"> e</w:t>
      </w:r>
      <w:r w:rsidRPr="006E07C6">
        <w:rPr>
          <w:rFonts w:ascii="Arial" w:hAnsi="Arial" w:cs="Arial"/>
          <w:sz w:val="24"/>
          <w:szCs w:val="24"/>
        </w:rPr>
        <w:t xml:space="preserve"> “créditos outorgados”</w:t>
      </w:r>
      <w:r w:rsidR="008005BC" w:rsidRPr="006E07C6">
        <w:rPr>
          <w:rFonts w:ascii="Arial" w:hAnsi="Arial" w:cs="Arial"/>
          <w:sz w:val="24"/>
          <w:szCs w:val="24"/>
        </w:rPr>
        <w:t xml:space="preserve">; e, por fim </w:t>
      </w:r>
      <w:r w:rsidR="008005BC" w:rsidRPr="006E07C6">
        <w:rPr>
          <w:rFonts w:ascii="Arial" w:hAnsi="Arial" w:cs="Arial"/>
          <w:b/>
          <w:sz w:val="24"/>
          <w:szCs w:val="24"/>
        </w:rPr>
        <w:t>d) Estado de Goiás</w:t>
      </w:r>
      <w:r w:rsidR="008005BC" w:rsidRPr="006E07C6">
        <w:rPr>
          <w:rFonts w:ascii="Arial" w:hAnsi="Arial" w:cs="Arial"/>
          <w:sz w:val="24"/>
          <w:szCs w:val="24"/>
        </w:rPr>
        <w:t>.</w:t>
      </w:r>
    </w:p>
    <w:p w14:paraId="7041CE48" w14:textId="77777777" w:rsidR="00AC504B" w:rsidRPr="006E07C6" w:rsidRDefault="00AC504B" w:rsidP="00713208">
      <w:pPr>
        <w:spacing w:line="360" w:lineRule="auto"/>
        <w:ind w:firstLine="851"/>
        <w:jc w:val="both"/>
        <w:rPr>
          <w:rFonts w:ascii="Arial" w:hAnsi="Arial" w:cs="Arial"/>
          <w:b/>
          <w:sz w:val="24"/>
          <w:szCs w:val="24"/>
        </w:rPr>
      </w:pPr>
    </w:p>
    <w:p w14:paraId="6D912AD3" w14:textId="3CDC811D" w:rsidR="00803D42" w:rsidRDefault="0071369A" w:rsidP="00713208">
      <w:pPr>
        <w:spacing w:line="360" w:lineRule="auto"/>
        <w:ind w:firstLine="851"/>
        <w:jc w:val="both"/>
        <w:rPr>
          <w:rFonts w:ascii="Arial" w:hAnsi="Arial" w:cs="Arial"/>
          <w:sz w:val="24"/>
          <w:szCs w:val="24"/>
        </w:rPr>
      </w:pPr>
      <w:r w:rsidRPr="006E07C6">
        <w:rPr>
          <w:rFonts w:ascii="Arial" w:hAnsi="Arial" w:cs="Arial"/>
          <w:b/>
          <w:sz w:val="24"/>
          <w:szCs w:val="24"/>
        </w:rPr>
        <w:t>2.</w:t>
      </w:r>
      <w:r w:rsidR="00AC504B" w:rsidRPr="006E07C6">
        <w:rPr>
          <w:rFonts w:ascii="Arial" w:hAnsi="Arial" w:cs="Arial"/>
          <w:b/>
          <w:sz w:val="24"/>
          <w:szCs w:val="24"/>
        </w:rPr>
        <w:t>3</w:t>
      </w:r>
      <w:r w:rsidRPr="006E07C6">
        <w:rPr>
          <w:rFonts w:ascii="Arial" w:hAnsi="Arial" w:cs="Arial"/>
          <w:b/>
          <w:sz w:val="24"/>
          <w:szCs w:val="24"/>
        </w:rPr>
        <w:t xml:space="preserve">. </w:t>
      </w:r>
      <w:r w:rsidRPr="006E07C6">
        <w:rPr>
          <w:rFonts w:ascii="Arial" w:hAnsi="Arial" w:cs="Arial"/>
          <w:sz w:val="24"/>
          <w:szCs w:val="24"/>
        </w:rPr>
        <w:t xml:space="preserve">Por </w:t>
      </w:r>
      <w:r w:rsidRPr="006E07C6">
        <w:rPr>
          <w:rFonts w:ascii="Arial" w:hAnsi="Arial" w:cs="Arial"/>
          <w:b/>
          <w:sz w:val="24"/>
          <w:szCs w:val="24"/>
          <w:u w:val="single"/>
        </w:rPr>
        <w:t>“irregularidades”</w:t>
      </w:r>
      <w:r w:rsidRPr="006E07C6">
        <w:rPr>
          <w:rFonts w:ascii="Arial" w:hAnsi="Arial" w:cs="Arial"/>
          <w:sz w:val="24"/>
          <w:szCs w:val="24"/>
        </w:rPr>
        <w:t xml:space="preserve"> entende-se não apenas a presença de</w:t>
      </w:r>
      <w:r w:rsidR="000F14BF" w:rsidRPr="006E07C6">
        <w:rPr>
          <w:rFonts w:ascii="Arial" w:hAnsi="Arial" w:cs="Arial"/>
          <w:sz w:val="24"/>
          <w:szCs w:val="24"/>
        </w:rPr>
        <w:t xml:space="preserve"> </w:t>
      </w:r>
      <w:r w:rsidR="000F14BF" w:rsidRPr="00BA2202">
        <w:rPr>
          <w:rFonts w:ascii="Arial" w:hAnsi="Arial" w:cs="Arial"/>
          <w:b/>
          <w:sz w:val="24"/>
          <w:szCs w:val="24"/>
        </w:rPr>
        <w:t>(a)</w:t>
      </w:r>
      <w:r w:rsidRPr="006E07C6">
        <w:rPr>
          <w:rFonts w:ascii="Arial" w:hAnsi="Arial" w:cs="Arial"/>
          <w:b/>
          <w:sz w:val="24"/>
          <w:szCs w:val="24"/>
        </w:rPr>
        <w:t xml:space="preserve"> vício de </w:t>
      </w:r>
      <w:r w:rsidRPr="006E07C6">
        <w:rPr>
          <w:rFonts w:ascii="Arial" w:hAnsi="Arial" w:cs="Arial"/>
          <w:sz w:val="24"/>
          <w:szCs w:val="24"/>
          <w:u w:val="single"/>
        </w:rPr>
        <w:t>constitucionalidade</w:t>
      </w:r>
      <w:r w:rsidRPr="006E07C6">
        <w:rPr>
          <w:rFonts w:ascii="Arial" w:hAnsi="Arial" w:cs="Arial"/>
          <w:sz w:val="24"/>
          <w:szCs w:val="24"/>
        </w:rPr>
        <w:t xml:space="preserve"> ou de </w:t>
      </w:r>
      <w:r w:rsidRPr="006E07C6">
        <w:rPr>
          <w:rFonts w:ascii="Arial" w:hAnsi="Arial" w:cs="Arial"/>
          <w:sz w:val="24"/>
          <w:szCs w:val="24"/>
          <w:u w:val="single"/>
        </w:rPr>
        <w:t>legalidade</w:t>
      </w:r>
      <w:r w:rsidRPr="006E07C6">
        <w:rPr>
          <w:rFonts w:ascii="Arial" w:hAnsi="Arial" w:cs="Arial"/>
          <w:sz w:val="24"/>
          <w:szCs w:val="24"/>
        </w:rPr>
        <w:t>, mas também</w:t>
      </w:r>
      <w:r w:rsidR="000F14BF" w:rsidRPr="006E07C6">
        <w:rPr>
          <w:rFonts w:ascii="Arial" w:hAnsi="Arial" w:cs="Arial"/>
          <w:sz w:val="24"/>
          <w:szCs w:val="24"/>
        </w:rPr>
        <w:t xml:space="preserve"> </w:t>
      </w:r>
      <w:r w:rsidR="000F14BF" w:rsidRPr="006E07C6">
        <w:rPr>
          <w:rFonts w:ascii="Arial" w:hAnsi="Arial" w:cs="Arial"/>
          <w:b/>
          <w:sz w:val="24"/>
          <w:szCs w:val="24"/>
        </w:rPr>
        <w:t>(b)</w:t>
      </w:r>
      <w:r w:rsidRPr="006E07C6">
        <w:rPr>
          <w:rFonts w:ascii="Arial" w:hAnsi="Arial" w:cs="Arial"/>
          <w:b/>
          <w:sz w:val="24"/>
          <w:szCs w:val="24"/>
        </w:rPr>
        <w:t xml:space="preserve"> razões de conveniência e oportunidade </w:t>
      </w:r>
      <w:r w:rsidRPr="006E07C6">
        <w:rPr>
          <w:rFonts w:ascii="Arial" w:hAnsi="Arial" w:cs="Arial"/>
          <w:sz w:val="24"/>
          <w:szCs w:val="24"/>
        </w:rPr>
        <w:t>que justifiquem</w:t>
      </w:r>
      <w:r w:rsidR="000F14BF" w:rsidRPr="006E07C6">
        <w:rPr>
          <w:rFonts w:ascii="Arial" w:hAnsi="Arial" w:cs="Arial"/>
          <w:sz w:val="24"/>
          <w:szCs w:val="24"/>
        </w:rPr>
        <w:t xml:space="preserve"> ou recomendem</w:t>
      </w:r>
      <w:r w:rsidRPr="006E07C6">
        <w:rPr>
          <w:rFonts w:ascii="Arial" w:hAnsi="Arial" w:cs="Arial"/>
          <w:sz w:val="24"/>
          <w:szCs w:val="24"/>
        </w:rPr>
        <w:t xml:space="preserve"> a </w:t>
      </w:r>
      <w:r w:rsidRPr="006E07C6">
        <w:rPr>
          <w:rFonts w:ascii="Arial" w:hAnsi="Arial" w:cs="Arial"/>
          <w:sz w:val="24"/>
          <w:szCs w:val="24"/>
          <w:u w:val="single"/>
        </w:rPr>
        <w:t>não concessão</w:t>
      </w:r>
      <w:r w:rsidRPr="006E07C6">
        <w:rPr>
          <w:rFonts w:ascii="Arial" w:hAnsi="Arial" w:cs="Arial"/>
          <w:sz w:val="24"/>
          <w:szCs w:val="24"/>
        </w:rPr>
        <w:t xml:space="preserve"> ou a </w:t>
      </w:r>
      <w:r w:rsidRPr="006E07C6">
        <w:rPr>
          <w:rFonts w:ascii="Arial" w:hAnsi="Arial" w:cs="Arial"/>
          <w:sz w:val="24"/>
          <w:szCs w:val="24"/>
          <w:u w:val="single"/>
        </w:rPr>
        <w:t>não permanência</w:t>
      </w:r>
      <w:r w:rsidRPr="006E07C6">
        <w:rPr>
          <w:rFonts w:ascii="Arial" w:hAnsi="Arial" w:cs="Arial"/>
          <w:sz w:val="24"/>
          <w:szCs w:val="24"/>
        </w:rPr>
        <w:t xml:space="preserve"> do </w:t>
      </w:r>
      <w:r w:rsidRPr="006E07C6">
        <w:rPr>
          <w:rFonts w:ascii="Arial" w:hAnsi="Arial" w:cs="Arial"/>
          <w:b/>
          <w:sz w:val="24"/>
          <w:szCs w:val="24"/>
        </w:rPr>
        <w:t>recebimento de determinado incentivo fiscal ou financeiro</w:t>
      </w:r>
      <w:r w:rsidRPr="006E07C6">
        <w:rPr>
          <w:rFonts w:ascii="Arial" w:hAnsi="Arial" w:cs="Arial"/>
          <w:sz w:val="24"/>
          <w:szCs w:val="24"/>
        </w:rPr>
        <w:t>.</w:t>
      </w:r>
      <w:r w:rsidR="000F14BF" w:rsidRPr="006E07C6">
        <w:rPr>
          <w:rFonts w:ascii="Arial" w:hAnsi="Arial" w:cs="Arial"/>
          <w:sz w:val="24"/>
          <w:szCs w:val="24"/>
        </w:rPr>
        <w:t xml:space="preserve"> Assim, esta CPI</w:t>
      </w:r>
      <w:r w:rsidR="006D2CAC" w:rsidRPr="006E07C6">
        <w:rPr>
          <w:rFonts w:ascii="Arial" w:hAnsi="Arial" w:cs="Arial"/>
          <w:sz w:val="24"/>
          <w:szCs w:val="24"/>
        </w:rPr>
        <w:t>, sempre que possível, procura</w:t>
      </w:r>
      <w:r w:rsidR="000F14BF" w:rsidRPr="006E07C6">
        <w:rPr>
          <w:rFonts w:ascii="Arial" w:hAnsi="Arial" w:cs="Arial"/>
          <w:sz w:val="24"/>
          <w:szCs w:val="24"/>
        </w:rPr>
        <w:t xml:space="preserve"> avança</w:t>
      </w:r>
      <w:r w:rsidR="006D2CAC" w:rsidRPr="006E07C6">
        <w:rPr>
          <w:rFonts w:ascii="Arial" w:hAnsi="Arial" w:cs="Arial"/>
          <w:sz w:val="24"/>
          <w:szCs w:val="24"/>
        </w:rPr>
        <w:t>r</w:t>
      </w:r>
      <w:r w:rsidR="000F14BF" w:rsidRPr="006E07C6">
        <w:rPr>
          <w:rFonts w:ascii="Arial" w:hAnsi="Arial" w:cs="Arial"/>
          <w:sz w:val="24"/>
          <w:szCs w:val="24"/>
        </w:rPr>
        <w:t xml:space="preserve"> sobre o critério de legalidade estrita para analisar, inclusive, quais incentivos</w:t>
      </w:r>
      <w:r w:rsidR="009119B7" w:rsidRPr="006E07C6">
        <w:rPr>
          <w:rFonts w:ascii="Arial" w:hAnsi="Arial" w:cs="Arial"/>
          <w:sz w:val="24"/>
          <w:szCs w:val="24"/>
        </w:rPr>
        <w:t xml:space="preserve"> </w:t>
      </w:r>
      <w:r w:rsidR="00EF3C45" w:rsidRPr="006E07C6">
        <w:rPr>
          <w:rFonts w:ascii="Arial" w:hAnsi="Arial" w:cs="Arial"/>
          <w:sz w:val="24"/>
          <w:szCs w:val="24"/>
        </w:rPr>
        <w:t>trouxeram</w:t>
      </w:r>
      <w:r w:rsidR="009119B7" w:rsidRPr="006E07C6">
        <w:rPr>
          <w:rFonts w:ascii="Arial" w:hAnsi="Arial" w:cs="Arial"/>
          <w:sz w:val="24"/>
          <w:szCs w:val="24"/>
        </w:rPr>
        <w:t xml:space="preserve"> ou</w:t>
      </w:r>
      <w:r w:rsidR="000F14BF" w:rsidRPr="006E07C6">
        <w:rPr>
          <w:rFonts w:ascii="Arial" w:hAnsi="Arial" w:cs="Arial"/>
          <w:sz w:val="24"/>
          <w:szCs w:val="24"/>
        </w:rPr>
        <w:t xml:space="preserve"> estão </w:t>
      </w:r>
      <w:r w:rsidR="00EF3C45" w:rsidRPr="006E07C6">
        <w:rPr>
          <w:rFonts w:ascii="Arial" w:hAnsi="Arial" w:cs="Arial"/>
          <w:sz w:val="24"/>
          <w:szCs w:val="24"/>
        </w:rPr>
        <w:t>ainda</w:t>
      </w:r>
      <w:r w:rsidR="000F14BF" w:rsidRPr="006E07C6">
        <w:rPr>
          <w:rFonts w:ascii="Arial" w:hAnsi="Arial" w:cs="Arial"/>
          <w:sz w:val="24"/>
          <w:szCs w:val="24"/>
        </w:rPr>
        <w:t xml:space="preserve"> </w:t>
      </w:r>
      <w:r w:rsidR="009119B7" w:rsidRPr="006E07C6">
        <w:rPr>
          <w:rFonts w:ascii="Arial" w:hAnsi="Arial" w:cs="Arial"/>
          <w:sz w:val="24"/>
          <w:szCs w:val="24"/>
        </w:rPr>
        <w:t>trazendo benefícios</w:t>
      </w:r>
      <w:r w:rsidR="000F14BF" w:rsidRPr="006E07C6">
        <w:rPr>
          <w:rFonts w:ascii="Arial" w:hAnsi="Arial" w:cs="Arial"/>
          <w:sz w:val="24"/>
          <w:szCs w:val="24"/>
        </w:rPr>
        <w:t xml:space="preserve"> ou não para o Estado de Goiás, sobretudo no aspecto</w:t>
      </w:r>
      <w:r w:rsidR="00EF3C45" w:rsidRPr="006E07C6">
        <w:rPr>
          <w:rFonts w:ascii="Arial" w:hAnsi="Arial" w:cs="Arial"/>
          <w:sz w:val="24"/>
          <w:szCs w:val="24"/>
        </w:rPr>
        <w:t xml:space="preserve"> econômico e</w:t>
      </w:r>
      <w:r w:rsidR="000F14BF" w:rsidRPr="006E07C6">
        <w:rPr>
          <w:rFonts w:ascii="Arial" w:hAnsi="Arial" w:cs="Arial"/>
          <w:sz w:val="24"/>
          <w:szCs w:val="24"/>
        </w:rPr>
        <w:t xml:space="preserve"> social, como geração de emprego e renda</w:t>
      </w:r>
      <w:r w:rsidR="00803D42" w:rsidRPr="006E07C6">
        <w:rPr>
          <w:rFonts w:ascii="Arial" w:hAnsi="Arial" w:cs="Arial"/>
          <w:sz w:val="24"/>
          <w:szCs w:val="24"/>
        </w:rPr>
        <w:t>, desenvolvimento da região onde instalada a empresa beneficiária etc</w:t>
      </w:r>
      <w:r w:rsidR="000F14BF" w:rsidRPr="006E07C6">
        <w:rPr>
          <w:rFonts w:ascii="Arial" w:hAnsi="Arial" w:cs="Arial"/>
          <w:sz w:val="24"/>
          <w:szCs w:val="24"/>
        </w:rPr>
        <w:t>.</w:t>
      </w:r>
    </w:p>
    <w:p w14:paraId="72520987" w14:textId="1DDA1CCA" w:rsidR="00E8205F" w:rsidRPr="00B03910" w:rsidRDefault="00E8205F" w:rsidP="00713208">
      <w:pPr>
        <w:spacing w:line="360" w:lineRule="auto"/>
        <w:ind w:firstLine="851"/>
        <w:jc w:val="both"/>
        <w:rPr>
          <w:rFonts w:ascii="Arial" w:hAnsi="Arial" w:cs="Arial"/>
          <w:sz w:val="24"/>
          <w:szCs w:val="24"/>
        </w:rPr>
      </w:pPr>
      <w:r w:rsidRPr="00B03910">
        <w:rPr>
          <w:rFonts w:ascii="Arial" w:hAnsi="Arial" w:cs="Arial"/>
          <w:sz w:val="24"/>
          <w:szCs w:val="24"/>
        </w:rPr>
        <w:t xml:space="preserve">Esclarecemos que esse controle do mérito de decisões políticas, juízo de conveniência e oportunidade, embora vedado a outros órgãos, é </w:t>
      </w:r>
      <w:r w:rsidR="0085460D" w:rsidRPr="00B03910">
        <w:rPr>
          <w:rFonts w:ascii="Arial" w:hAnsi="Arial" w:cs="Arial"/>
          <w:sz w:val="24"/>
          <w:szCs w:val="24"/>
        </w:rPr>
        <w:t>franqueado</w:t>
      </w:r>
      <w:r w:rsidRPr="00B03910">
        <w:rPr>
          <w:rFonts w:ascii="Arial" w:hAnsi="Arial" w:cs="Arial"/>
          <w:sz w:val="24"/>
          <w:szCs w:val="24"/>
        </w:rPr>
        <w:t xml:space="preserve"> </w:t>
      </w:r>
      <w:r w:rsidR="0085460D" w:rsidRPr="00B03910">
        <w:rPr>
          <w:rFonts w:ascii="Arial" w:hAnsi="Arial" w:cs="Arial"/>
          <w:sz w:val="24"/>
          <w:szCs w:val="24"/>
        </w:rPr>
        <w:t>a</w:t>
      </w:r>
      <w:r w:rsidRPr="00B03910">
        <w:rPr>
          <w:rFonts w:ascii="Arial" w:hAnsi="Arial" w:cs="Arial"/>
          <w:sz w:val="24"/>
          <w:szCs w:val="24"/>
        </w:rPr>
        <w:t xml:space="preserve">o Poder Legislativo, </w:t>
      </w:r>
      <w:r w:rsidR="00EA2D10" w:rsidRPr="00B03910">
        <w:rPr>
          <w:rFonts w:ascii="Arial" w:hAnsi="Arial" w:cs="Arial"/>
          <w:sz w:val="24"/>
          <w:szCs w:val="24"/>
        </w:rPr>
        <w:t>titular do controle externo nos termos dos art. 70 da Constituição Federal e do art. 25 da Constituição Estadual:</w:t>
      </w:r>
    </w:p>
    <w:p w14:paraId="538F465A" w14:textId="317EB9A6" w:rsidR="00EA2D10" w:rsidRPr="00B03910" w:rsidRDefault="00EA2D10" w:rsidP="00713208">
      <w:pPr>
        <w:spacing w:line="360" w:lineRule="auto"/>
        <w:ind w:firstLine="851"/>
        <w:jc w:val="both"/>
        <w:rPr>
          <w:rFonts w:ascii="Arial" w:hAnsi="Arial" w:cs="Arial"/>
          <w:sz w:val="24"/>
          <w:szCs w:val="24"/>
        </w:rPr>
      </w:pPr>
    </w:p>
    <w:p w14:paraId="65A4E088" w14:textId="429E645D" w:rsidR="00EA2D10" w:rsidRPr="00B03910" w:rsidRDefault="00EA2D10" w:rsidP="00EA2D10">
      <w:pPr>
        <w:ind w:left="2268"/>
        <w:jc w:val="both"/>
        <w:rPr>
          <w:rFonts w:ascii="Arial" w:hAnsi="Arial" w:cs="Arial"/>
          <w:color w:val="000000"/>
          <w:sz w:val="22"/>
          <w:shd w:val="clear" w:color="auto" w:fill="FFFFFF"/>
        </w:rPr>
      </w:pPr>
      <w:r w:rsidRPr="00B03910">
        <w:rPr>
          <w:rFonts w:ascii="Arial" w:hAnsi="Arial" w:cs="Arial"/>
          <w:color w:val="000000"/>
          <w:sz w:val="22"/>
          <w:shd w:val="clear" w:color="auto" w:fill="FFFFFF"/>
        </w:rPr>
        <w:t xml:space="preserve">Art. 70. A fiscalização contábil, financeira, orçamentária, operacional e patrimonial da União e das entidades da administração direta e indireta, quanto à legalidade, </w:t>
      </w:r>
      <w:r w:rsidRPr="00B03910">
        <w:rPr>
          <w:rFonts w:ascii="Arial" w:hAnsi="Arial" w:cs="Arial"/>
          <w:b/>
          <w:color w:val="000000"/>
          <w:sz w:val="22"/>
          <w:shd w:val="clear" w:color="auto" w:fill="FFFFFF"/>
        </w:rPr>
        <w:t>legitimidade, economicidade</w:t>
      </w:r>
      <w:r w:rsidRPr="00B03910">
        <w:rPr>
          <w:rFonts w:ascii="Arial" w:hAnsi="Arial" w:cs="Arial"/>
          <w:color w:val="000000"/>
          <w:sz w:val="22"/>
          <w:shd w:val="clear" w:color="auto" w:fill="FFFFFF"/>
        </w:rPr>
        <w:t xml:space="preserve">, </w:t>
      </w:r>
      <w:r w:rsidRPr="00B03910">
        <w:rPr>
          <w:rFonts w:ascii="Arial" w:hAnsi="Arial" w:cs="Arial"/>
          <w:b/>
          <w:color w:val="000000"/>
          <w:sz w:val="22"/>
          <w:shd w:val="clear" w:color="auto" w:fill="FFFFFF"/>
        </w:rPr>
        <w:t>aplicação das subvenções e renúncia de receitas</w:t>
      </w:r>
      <w:r w:rsidRPr="00B03910">
        <w:rPr>
          <w:rFonts w:ascii="Arial" w:hAnsi="Arial" w:cs="Arial"/>
          <w:color w:val="000000"/>
          <w:sz w:val="22"/>
          <w:shd w:val="clear" w:color="auto" w:fill="FFFFFF"/>
        </w:rPr>
        <w:t>, será exercida pelo Congresso Nacional, mediante controle externo, e pelo sistema de controle interno de cada Poder.</w:t>
      </w:r>
    </w:p>
    <w:p w14:paraId="517D1EF9" w14:textId="57F0B9D7" w:rsidR="00EA2D10" w:rsidRPr="00B03910" w:rsidRDefault="00EA2D10" w:rsidP="00EA2D10">
      <w:pPr>
        <w:ind w:left="2268"/>
        <w:jc w:val="both"/>
        <w:rPr>
          <w:rFonts w:ascii="Arial" w:hAnsi="Arial" w:cs="Arial"/>
          <w:color w:val="000000"/>
          <w:sz w:val="22"/>
          <w:shd w:val="clear" w:color="auto" w:fill="FFFFFF"/>
        </w:rPr>
      </w:pPr>
    </w:p>
    <w:p w14:paraId="49164FA3" w14:textId="56742826" w:rsidR="00EA2D10" w:rsidRPr="00EA2D10" w:rsidRDefault="00EA2D10" w:rsidP="00EA2D10">
      <w:pPr>
        <w:ind w:left="2268"/>
        <w:jc w:val="both"/>
        <w:rPr>
          <w:rFonts w:ascii="Arial" w:hAnsi="Arial" w:cs="Arial"/>
          <w:sz w:val="28"/>
          <w:szCs w:val="24"/>
        </w:rPr>
      </w:pPr>
      <w:r w:rsidRPr="00B03910">
        <w:rPr>
          <w:rFonts w:ascii="Arial" w:hAnsi="Arial" w:cs="Arial"/>
          <w:bCs/>
          <w:color w:val="000000"/>
          <w:sz w:val="22"/>
          <w:shd w:val="clear" w:color="auto" w:fill="FFFFFF"/>
        </w:rPr>
        <w:lastRenderedPageBreak/>
        <w:t xml:space="preserve">Art. 25 </w:t>
      </w:r>
      <w:r w:rsidRPr="00B03910">
        <w:rPr>
          <w:rFonts w:ascii="Arial" w:hAnsi="Arial" w:cs="Arial"/>
          <w:color w:val="000000"/>
          <w:sz w:val="22"/>
          <w:shd w:val="clear" w:color="auto" w:fill="FFFFFF"/>
        </w:rPr>
        <w:t xml:space="preserve">- A fiscalização contábil, financeira, orçamentária, operacional e patrimonial do Estado e das entidades da administração direta e indireta, no que se refere à legalidade, </w:t>
      </w:r>
      <w:r w:rsidRPr="00B03910">
        <w:rPr>
          <w:rFonts w:ascii="Arial" w:hAnsi="Arial" w:cs="Arial"/>
          <w:b/>
          <w:color w:val="000000"/>
          <w:sz w:val="22"/>
          <w:shd w:val="clear" w:color="auto" w:fill="FFFFFF"/>
        </w:rPr>
        <w:t>legitimidade, economicidade</w:t>
      </w:r>
      <w:r w:rsidRPr="00B03910">
        <w:rPr>
          <w:rFonts w:ascii="Arial" w:hAnsi="Arial" w:cs="Arial"/>
          <w:color w:val="000000"/>
          <w:sz w:val="22"/>
          <w:shd w:val="clear" w:color="auto" w:fill="FFFFFF"/>
        </w:rPr>
        <w:t xml:space="preserve">, </w:t>
      </w:r>
      <w:r w:rsidRPr="00B03910">
        <w:rPr>
          <w:rFonts w:ascii="Arial" w:hAnsi="Arial" w:cs="Arial"/>
          <w:b/>
          <w:color w:val="000000"/>
          <w:sz w:val="22"/>
          <w:shd w:val="clear" w:color="auto" w:fill="FFFFFF"/>
        </w:rPr>
        <w:t>aplicação das subvenções e renúncia de receitas, será exercida pela Assembleia Legislativa mediante controle externo</w:t>
      </w:r>
      <w:r w:rsidRPr="00B03910">
        <w:rPr>
          <w:rFonts w:ascii="Arial" w:hAnsi="Arial" w:cs="Arial"/>
          <w:color w:val="000000"/>
          <w:sz w:val="22"/>
          <w:shd w:val="clear" w:color="auto" w:fill="FFFFFF"/>
        </w:rPr>
        <w:t xml:space="preserve"> e pelo sistema de controle interno de cada Poder.</w:t>
      </w:r>
    </w:p>
    <w:p w14:paraId="78141B74" w14:textId="77777777" w:rsidR="00EA2D10" w:rsidRPr="006E07C6" w:rsidRDefault="00EA2D10" w:rsidP="00713208">
      <w:pPr>
        <w:spacing w:line="360" w:lineRule="auto"/>
        <w:ind w:firstLine="851"/>
        <w:jc w:val="both"/>
        <w:rPr>
          <w:rFonts w:ascii="Arial" w:hAnsi="Arial" w:cs="Arial"/>
          <w:sz w:val="24"/>
          <w:szCs w:val="24"/>
        </w:rPr>
      </w:pPr>
    </w:p>
    <w:p w14:paraId="02A98BA0" w14:textId="7EDBE5BF" w:rsidR="00077366" w:rsidRPr="00B03910" w:rsidRDefault="00077366" w:rsidP="00713208">
      <w:pPr>
        <w:spacing w:line="360" w:lineRule="auto"/>
        <w:ind w:firstLine="851"/>
        <w:jc w:val="both"/>
        <w:rPr>
          <w:rFonts w:ascii="Arial" w:hAnsi="Arial" w:cs="Arial"/>
          <w:sz w:val="24"/>
          <w:szCs w:val="24"/>
        </w:rPr>
      </w:pPr>
      <w:r w:rsidRPr="00B03910">
        <w:rPr>
          <w:rFonts w:ascii="Arial" w:hAnsi="Arial" w:cs="Arial"/>
          <w:sz w:val="24"/>
          <w:szCs w:val="24"/>
        </w:rPr>
        <w:t xml:space="preserve">Adiante-se, por oportuno, que </w:t>
      </w:r>
      <w:r w:rsidR="006A0685" w:rsidRPr="00B03910">
        <w:rPr>
          <w:rFonts w:ascii="Arial" w:hAnsi="Arial" w:cs="Arial"/>
          <w:b/>
          <w:sz w:val="24"/>
          <w:szCs w:val="24"/>
          <w:u w:val="single"/>
        </w:rPr>
        <w:t xml:space="preserve">a tônica da CPI </w:t>
      </w:r>
      <w:r w:rsidRPr="00B03910">
        <w:rPr>
          <w:rFonts w:ascii="Arial" w:hAnsi="Arial" w:cs="Arial"/>
          <w:b/>
          <w:sz w:val="24"/>
          <w:szCs w:val="24"/>
          <w:u w:val="single"/>
        </w:rPr>
        <w:t>foi mais voltada a identificar irregularidades no sentido estrito do termo</w:t>
      </w:r>
      <w:r w:rsidRPr="00B03910">
        <w:rPr>
          <w:rFonts w:ascii="Arial" w:hAnsi="Arial" w:cs="Arial"/>
          <w:sz w:val="24"/>
          <w:szCs w:val="24"/>
        </w:rPr>
        <w:t>, isto é, de mapear as principais violações a comandos constitucionais, legais e regulamentares na concessão e fruição de incentivos fiscais, ou ainda referente a deficiências na fiscalização de modo</w:t>
      </w:r>
      <w:r w:rsidRPr="00B03910">
        <w:rPr>
          <w:rFonts w:ascii="Arial" w:hAnsi="Arial" w:cs="Arial"/>
          <w:b/>
          <w:sz w:val="24"/>
          <w:szCs w:val="24"/>
        </w:rPr>
        <w:t xml:space="preserve"> </w:t>
      </w:r>
      <w:r w:rsidRPr="00B03910">
        <w:rPr>
          <w:rFonts w:ascii="Arial" w:hAnsi="Arial" w:cs="Arial"/>
          <w:sz w:val="24"/>
          <w:szCs w:val="24"/>
        </w:rPr>
        <w:t>geral; nesse sentido fo</w:t>
      </w:r>
      <w:r w:rsidR="004B4A40" w:rsidRPr="00B03910">
        <w:rPr>
          <w:rFonts w:ascii="Arial" w:hAnsi="Arial" w:cs="Arial"/>
          <w:sz w:val="24"/>
          <w:szCs w:val="24"/>
        </w:rPr>
        <w:t xml:space="preserve">i desenvolvida a maior parte do </w:t>
      </w:r>
      <w:r w:rsidRPr="00B03910">
        <w:rPr>
          <w:rFonts w:ascii="Arial" w:hAnsi="Arial" w:cs="Arial"/>
          <w:sz w:val="24"/>
          <w:szCs w:val="24"/>
        </w:rPr>
        <w:t xml:space="preserve">conteúdo dos Capítulos 5 a 9. </w:t>
      </w:r>
      <w:r w:rsidRPr="00B03910">
        <w:rPr>
          <w:rFonts w:ascii="Arial" w:hAnsi="Arial" w:cs="Arial"/>
          <w:b/>
          <w:sz w:val="24"/>
          <w:szCs w:val="24"/>
        </w:rPr>
        <w:t>Não obstante, aproveitou-se o ensejo para também tecer algumas considerações de mérito</w:t>
      </w:r>
      <w:r w:rsidRPr="00B03910">
        <w:rPr>
          <w:rFonts w:ascii="Arial" w:hAnsi="Arial" w:cs="Arial"/>
          <w:sz w:val="24"/>
          <w:szCs w:val="24"/>
        </w:rPr>
        <w:t>, sobretudo em relaç</w:t>
      </w:r>
      <w:r w:rsidR="00BD6765" w:rsidRPr="00B03910">
        <w:rPr>
          <w:rFonts w:ascii="Arial" w:hAnsi="Arial" w:cs="Arial"/>
          <w:sz w:val="24"/>
          <w:szCs w:val="24"/>
        </w:rPr>
        <w:t>ão aos seguintes aspectos:</w:t>
      </w:r>
    </w:p>
    <w:p w14:paraId="3994425C" w14:textId="77777777" w:rsidR="00E331E9" w:rsidRPr="00B03910" w:rsidRDefault="00E331E9" w:rsidP="00713208">
      <w:pPr>
        <w:spacing w:line="360" w:lineRule="auto"/>
        <w:ind w:firstLine="851"/>
        <w:jc w:val="both"/>
        <w:rPr>
          <w:rFonts w:ascii="Arial" w:hAnsi="Arial" w:cs="Arial"/>
          <w:sz w:val="24"/>
          <w:szCs w:val="24"/>
        </w:rPr>
      </w:pPr>
    </w:p>
    <w:p w14:paraId="40AC9873" w14:textId="3E31A1A5" w:rsidR="004B4A40" w:rsidRPr="00B03910" w:rsidRDefault="004B4A40" w:rsidP="00E331E9">
      <w:pPr>
        <w:spacing w:line="360" w:lineRule="auto"/>
        <w:ind w:firstLine="851"/>
        <w:jc w:val="both"/>
        <w:rPr>
          <w:rFonts w:ascii="Arial" w:hAnsi="Arial" w:cs="Arial"/>
          <w:sz w:val="24"/>
          <w:szCs w:val="24"/>
        </w:rPr>
      </w:pPr>
      <w:r w:rsidRPr="00B03910">
        <w:rPr>
          <w:rFonts w:ascii="Arial" w:hAnsi="Arial" w:cs="Arial"/>
          <w:sz w:val="24"/>
          <w:szCs w:val="24"/>
          <w:u w:val="single"/>
        </w:rPr>
        <w:t>a) sugestões para o aperfeiçoamento da legislação em matéria de incentivos fiscais</w:t>
      </w:r>
      <w:r w:rsidRPr="00B03910">
        <w:rPr>
          <w:rFonts w:ascii="Arial" w:hAnsi="Arial" w:cs="Arial"/>
          <w:sz w:val="24"/>
          <w:szCs w:val="24"/>
        </w:rPr>
        <w:t>, nos termos do item 5.4 deste relatório;</w:t>
      </w:r>
    </w:p>
    <w:p w14:paraId="057BADEB" w14:textId="557E970A" w:rsidR="00E331E9" w:rsidRPr="00B03910" w:rsidRDefault="004B4A40" w:rsidP="00E331E9">
      <w:pPr>
        <w:spacing w:line="360" w:lineRule="auto"/>
        <w:ind w:firstLine="851"/>
        <w:jc w:val="both"/>
        <w:rPr>
          <w:rFonts w:ascii="Arial" w:hAnsi="Arial" w:cs="Arial"/>
          <w:sz w:val="24"/>
          <w:szCs w:val="24"/>
        </w:rPr>
      </w:pPr>
      <w:r w:rsidRPr="00B03910">
        <w:rPr>
          <w:rFonts w:ascii="Arial" w:hAnsi="Arial" w:cs="Arial"/>
          <w:sz w:val="24"/>
          <w:szCs w:val="24"/>
          <w:u w:val="single"/>
        </w:rPr>
        <w:t>b</w:t>
      </w:r>
      <w:r w:rsidR="00E331E9" w:rsidRPr="00B03910">
        <w:rPr>
          <w:rFonts w:ascii="Arial" w:hAnsi="Arial" w:cs="Arial"/>
          <w:sz w:val="24"/>
          <w:szCs w:val="24"/>
          <w:u w:val="single"/>
        </w:rPr>
        <w:t>) possibilidade de fruição de crédito outorgado</w:t>
      </w:r>
      <w:r w:rsidR="00E331E9" w:rsidRPr="00B03910">
        <w:rPr>
          <w:rFonts w:ascii="Arial" w:hAnsi="Arial" w:cs="Arial"/>
          <w:sz w:val="24"/>
          <w:szCs w:val="24"/>
        </w:rPr>
        <w:t xml:space="preserve"> cumulativamente com os benefícios do FOMENTAR e PRODUZIR e/ou sem exigência de contrapartidas sociais e econômicas, nos termos dos itens 7.4 e 7.5 deste relatório;</w:t>
      </w:r>
    </w:p>
    <w:p w14:paraId="3CA9F2FA" w14:textId="09A681FB" w:rsidR="0071369A" w:rsidRPr="00B03910" w:rsidRDefault="004B4A40" w:rsidP="00713208">
      <w:pPr>
        <w:spacing w:line="360" w:lineRule="auto"/>
        <w:ind w:firstLine="851"/>
        <w:jc w:val="both"/>
        <w:rPr>
          <w:rFonts w:ascii="Arial" w:hAnsi="Arial" w:cs="Arial"/>
          <w:sz w:val="24"/>
          <w:szCs w:val="24"/>
        </w:rPr>
      </w:pPr>
      <w:r w:rsidRPr="00B03910">
        <w:rPr>
          <w:rFonts w:ascii="Arial" w:hAnsi="Arial" w:cs="Arial"/>
          <w:sz w:val="24"/>
          <w:szCs w:val="24"/>
          <w:u w:val="single"/>
        </w:rPr>
        <w:t>c</w:t>
      </w:r>
      <w:r w:rsidR="00077366" w:rsidRPr="00B03910">
        <w:rPr>
          <w:rFonts w:ascii="Arial" w:hAnsi="Arial" w:cs="Arial"/>
          <w:sz w:val="24"/>
          <w:szCs w:val="24"/>
          <w:u w:val="single"/>
        </w:rPr>
        <w:t>) alto custo anual médio por emprego gerado em algumas das 100 (cem) maiores pessoas jurídicas beneficiárias de incentivos fiscais no Estado de Goiás no período objeto de apuração (2014 a 2018)</w:t>
      </w:r>
      <w:r w:rsidR="00077366" w:rsidRPr="00B03910">
        <w:rPr>
          <w:rFonts w:ascii="Arial" w:hAnsi="Arial" w:cs="Arial"/>
          <w:sz w:val="24"/>
          <w:szCs w:val="24"/>
        </w:rPr>
        <w:t xml:space="preserve">, </w:t>
      </w:r>
      <w:r w:rsidR="00E331E9" w:rsidRPr="00B03910">
        <w:rPr>
          <w:rFonts w:ascii="Arial" w:hAnsi="Arial" w:cs="Arial"/>
          <w:sz w:val="24"/>
          <w:szCs w:val="24"/>
        </w:rPr>
        <w:t xml:space="preserve">embora essa circunstância também possa revelar ilícitos legais, após aprofundamento da investigação pelos órgãos competentes, </w:t>
      </w:r>
      <w:r w:rsidR="00077366" w:rsidRPr="00B03910">
        <w:rPr>
          <w:rFonts w:ascii="Arial" w:hAnsi="Arial" w:cs="Arial"/>
          <w:sz w:val="24"/>
          <w:szCs w:val="24"/>
        </w:rPr>
        <w:t>nos termos do item 9.3 deste relatório;</w:t>
      </w:r>
    </w:p>
    <w:p w14:paraId="0FE77BF6" w14:textId="69700846" w:rsidR="00EE067F" w:rsidRPr="00077366" w:rsidRDefault="001C721C" w:rsidP="00077366">
      <w:pPr>
        <w:spacing w:line="360" w:lineRule="auto"/>
        <w:ind w:firstLine="851"/>
        <w:jc w:val="both"/>
        <w:rPr>
          <w:rFonts w:ascii="Arial" w:hAnsi="Arial" w:cs="Arial"/>
          <w:sz w:val="24"/>
          <w:szCs w:val="24"/>
        </w:rPr>
      </w:pPr>
      <w:r>
        <w:rPr>
          <w:rFonts w:ascii="Arial" w:hAnsi="Arial" w:cs="Arial"/>
          <w:sz w:val="24"/>
          <w:szCs w:val="24"/>
          <w:u w:val="single"/>
        </w:rPr>
        <w:t>d</w:t>
      </w:r>
      <w:r w:rsidR="00EE067F" w:rsidRPr="00B03910">
        <w:rPr>
          <w:rFonts w:ascii="Arial" w:hAnsi="Arial" w:cs="Arial"/>
          <w:sz w:val="24"/>
          <w:szCs w:val="24"/>
          <w:u w:val="single"/>
        </w:rPr>
        <w:t>) necessidade de aprimoramento da Portal da Transparência</w:t>
      </w:r>
      <w:r w:rsidR="00EE067F" w:rsidRPr="00B03910">
        <w:rPr>
          <w:rFonts w:ascii="Arial" w:hAnsi="Arial" w:cs="Arial"/>
          <w:sz w:val="24"/>
          <w:szCs w:val="24"/>
        </w:rPr>
        <w:t>, inclusive mediante sugestões para maior funcionalidade das opões “BENEFÍCIOS FISCAIS” e “TARE” presentes na aba “GESTÃO GOVERNAMENTAL E FISCAL” no Estado de Goiás, e outras críticas em relação à divulgação e ao compartilhamento de dados pertinentes a incentivos fiscais, nos termos do Capítulo 10 deste relatório.</w:t>
      </w:r>
    </w:p>
    <w:p w14:paraId="63DC4DB1" w14:textId="77777777" w:rsidR="00AC504B" w:rsidRPr="006E07C6" w:rsidRDefault="00AC504B" w:rsidP="00713208">
      <w:pPr>
        <w:spacing w:line="360" w:lineRule="auto"/>
        <w:ind w:firstLine="851"/>
        <w:jc w:val="both"/>
        <w:rPr>
          <w:rFonts w:ascii="Arial" w:hAnsi="Arial" w:cs="Arial"/>
          <w:b/>
          <w:sz w:val="24"/>
          <w:szCs w:val="24"/>
        </w:rPr>
      </w:pPr>
    </w:p>
    <w:p w14:paraId="35E217F9" w14:textId="4CDFB060" w:rsidR="004065C1" w:rsidRDefault="0074379F" w:rsidP="00713208">
      <w:pPr>
        <w:spacing w:line="360" w:lineRule="auto"/>
        <w:ind w:firstLine="851"/>
        <w:jc w:val="both"/>
        <w:rPr>
          <w:rFonts w:ascii="Arial" w:hAnsi="Arial" w:cs="Arial"/>
          <w:color w:val="FF0000"/>
          <w:sz w:val="24"/>
          <w:szCs w:val="24"/>
        </w:rPr>
      </w:pPr>
      <w:r w:rsidRPr="006E07C6">
        <w:rPr>
          <w:rFonts w:ascii="Arial" w:hAnsi="Arial" w:cs="Arial"/>
          <w:b/>
          <w:sz w:val="24"/>
          <w:szCs w:val="24"/>
        </w:rPr>
        <w:t>2.</w:t>
      </w:r>
      <w:r w:rsidR="00AC504B" w:rsidRPr="006E07C6">
        <w:rPr>
          <w:rFonts w:ascii="Arial" w:hAnsi="Arial" w:cs="Arial"/>
          <w:b/>
          <w:sz w:val="24"/>
          <w:szCs w:val="24"/>
        </w:rPr>
        <w:t>4</w:t>
      </w:r>
      <w:r w:rsidRPr="006E07C6">
        <w:rPr>
          <w:rFonts w:ascii="Arial" w:hAnsi="Arial" w:cs="Arial"/>
          <w:b/>
          <w:sz w:val="24"/>
          <w:szCs w:val="24"/>
        </w:rPr>
        <w:t xml:space="preserve">. </w:t>
      </w:r>
      <w:r w:rsidRPr="006E07C6">
        <w:rPr>
          <w:rFonts w:ascii="Arial" w:hAnsi="Arial" w:cs="Arial"/>
          <w:sz w:val="24"/>
          <w:szCs w:val="24"/>
        </w:rPr>
        <w:t xml:space="preserve">Por </w:t>
      </w:r>
      <w:r w:rsidRPr="00FE7CF9">
        <w:rPr>
          <w:rFonts w:ascii="Arial" w:hAnsi="Arial" w:cs="Arial"/>
          <w:b/>
          <w:sz w:val="24"/>
          <w:szCs w:val="24"/>
          <w:u w:val="single"/>
        </w:rPr>
        <w:t>“concessão” e “utilização”</w:t>
      </w:r>
      <w:r w:rsidRPr="006E07C6">
        <w:rPr>
          <w:rFonts w:ascii="Arial" w:hAnsi="Arial" w:cs="Arial"/>
          <w:sz w:val="24"/>
          <w:szCs w:val="24"/>
        </w:rPr>
        <w:t xml:space="preserve"> entende-se que a irregularidade pode estar presente tanto no ato inicial de concess</w:t>
      </w:r>
      <w:r w:rsidR="00034EAC" w:rsidRPr="006E07C6">
        <w:rPr>
          <w:rFonts w:ascii="Arial" w:hAnsi="Arial" w:cs="Arial"/>
          <w:sz w:val="24"/>
          <w:szCs w:val="24"/>
        </w:rPr>
        <w:t xml:space="preserve">ão do incentivo – </w:t>
      </w:r>
      <w:r w:rsidRPr="006E07C6">
        <w:rPr>
          <w:rFonts w:ascii="Arial" w:hAnsi="Arial" w:cs="Arial"/>
          <w:sz w:val="24"/>
          <w:szCs w:val="24"/>
        </w:rPr>
        <w:t>como infringência à Constituição Federal (CRFB) ou Estadual (CE/GO)</w:t>
      </w:r>
      <w:r w:rsidR="00F10FED">
        <w:rPr>
          <w:rFonts w:ascii="Arial" w:hAnsi="Arial" w:cs="Arial"/>
          <w:sz w:val="24"/>
          <w:szCs w:val="24"/>
        </w:rPr>
        <w:t>,</w:t>
      </w:r>
      <w:r w:rsidR="00F10FED" w:rsidRPr="00F10FED">
        <w:rPr>
          <w:rFonts w:ascii="Arial" w:hAnsi="Arial" w:cs="Arial"/>
          <w:sz w:val="24"/>
          <w:szCs w:val="24"/>
        </w:rPr>
        <w:t xml:space="preserve"> </w:t>
      </w:r>
      <w:r w:rsidR="00F10FED" w:rsidRPr="006E07C6">
        <w:rPr>
          <w:rFonts w:ascii="Arial" w:hAnsi="Arial" w:cs="Arial"/>
          <w:sz w:val="24"/>
          <w:szCs w:val="24"/>
        </w:rPr>
        <w:t>à lei ou</w:t>
      </w:r>
      <w:r w:rsidR="00F10FED">
        <w:rPr>
          <w:rFonts w:ascii="Arial" w:hAnsi="Arial" w:cs="Arial"/>
          <w:sz w:val="24"/>
          <w:szCs w:val="24"/>
        </w:rPr>
        <w:t xml:space="preserve"> disposições regulamentares</w:t>
      </w:r>
      <w:r w:rsidRPr="006E07C6">
        <w:rPr>
          <w:rFonts w:ascii="Arial" w:hAnsi="Arial" w:cs="Arial"/>
          <w:sz w:val="24"/>
          <w:szCs w:val="24"/>
        </w:rPr>
        <w:t xml:space="preserve"> </w:t>
      </w:r>
      <w:r w:rsidR="00034EAC" w:rsidRPr="006E07C6">
        <w:rPr>
          <w:rFonts w:ascii="Arial" w:hAnsi="Arial" w:cs="Arial"/>
          <w:sz w:val="24"/>
          <w:szCs w:val="24"/>
        </w:rPr>
        <w:t>– como ter se verificado após referido ato</w:t>
      </w:r>
      <w:r w:rsidR="00323C3B">
        <w:rPr>
          <w:rFonts w:ascii="Arial" w:hAnsi="Arial" w:cs="Arial"/>
          <w:sz w:val="24"/>
          <w:szCs w:val="24"/>
        </w:rPr>
        <w:t xml:space="preserve"> </w:t>
      </w:r>
      <w:r w:rsidR="00323C3B" w:rsidRPr="0084680F">
        <w:rPr>
          <w:rFonts w:ascii="Arial" w:hAnsi="Arial" w:cs="Arial"/>
          <w:sz w:val="24"/>
          <w:szCs w:val="24"/>
        </w:rPr>
        <w:t>(“utilizar” e “fruir” são expressões sinônimas)</w:t>
      </w:r>
      <w:r w:rsidR="00034EAC" w:rsidRPr="0084680F">
        <w:rPr>
          <w:rFonts w:ascii="Arial" w:hAnsi="Arial" w:cs="Arial"/>
          <w:sz w:val="24"/>
          <w:szCs w:val="24"/>
        </w:rPr>
        <w:t>,</w:t>
      </w:r>
      <w:r w:rsidR="00034EAC" w:rsidRPr="006E07C6">
        <w:rPr>
          <w:rFonts w:ascii="Arial" w:hAnsi="Arial" w:cs="Arial"/>
          <w:sz w:val="24"/>
          <w:szCs w:val="24"/>
        </w:rPr>
        <w:t xml:space="preserve"> </w:t>
      </w:r>
      <w:r w:rsidR="00034EAC" w:rsidRPr="006E07C6">
        <w:rPr>
          <w:rFonts w:ascii="Arial" w:hAnsi="Arial" w:cs="Arial"/>
          <w:sz w:val="24"/>
          <w:szCs w:val="24"/>
        </w:rPr>
        <w:lastRenderedPageBreak/>
        <w:t xml:space="preserve">como o </w:t>
      </w:r>
      <w:r w:rsidR="009B3473">
        <w:rPr>
          <w:rFonts w:ascii="Arial" w:hAnsi="Arial" w:cs="Arial"/>
          <w:sz w:val="24"/>
          <w:szCs w:val="24"/>
        </w:rPr>
        <w:t>des</w:t>
      </w:r>
      <w:r w:rsidR="00034EAC" w:rsidRPr="006E07C6">
        <w:rPr>
          <w:rFonts w:ascii="Arial" w:hAnsi="Arial" w:cs="Arial"/>
          <w:sz w:val="24"/>
          <w:szCs w:val="24"/>
        </w:rPr>
        <w:t>cumprimento dos requisitos</w:t>
      </w:r>
      <w:r w:rsidR="009B3473">
        <w:rPr>
          <w:rFonts w:ascii="Arial" w:hAnsi="Arial" w:cs="Arial"/>
          <w:sz w:val="24"/>
          <w:szCs w:val="24"/>
        </w:rPr>
        <w:t xml:space="preserve"> gerais para utilização/fruição do incentivo fiscal,</w:t>
      </w:r>
      <w:r w:rsidR="00034EAC" w:rsidRPr="006E07C6">
        <w:rPr>
          <w:rFonts w:ascii="Arial" w:hAnsi="Arial" w:cs="Arial"/>
          <w:sz w:val="24"/>
          <w:szCs w:val="24"/>
        </w:rPr>
        <w:t xml:space="preserve"> </w:t>
      </w:r>
      <w:r w:rsidR="009B3473">
        <w:rPr>
          <w:rFonts w:ascii="Arial" w:hAnsi="Arial" w:cs="Arial"/>
          <w:sz w:val="24"/>
          <w:szCs w:val="24"/>
        </w:rPr>
        <w:t xml:space="preserve">ou das contrapartidas </w:t>
      </w:r>
      <w:r w:rsidR="00034EAC" w:rsidRPr="006E07C6">
        <w:rPr>
          <w:rFonts w:ascii="Arial" w:hAnsi="Arial" w:cs="Arial"/>
          <w:sz w:val="24"/>
          <w:szCs w:val="24"/>
        </w:rPr>
        <w:t>sociais e econômic</w:t>
      </w:r>
      <w:r w:rsidR="009B3473">
        <w:rPr>
          <w:rFonts w:ascii="Arial" w:hAnsi="Arial" w:cs="Arial"/>
          <w:sz w:val="24"/>
          <w:szCs w:val="24"/>
        </w:rPr>
        <w:t>a</w:t>
      </w:r>
      <w:r w:rsidR="00034EAC" w:rsidRPr="006E07C6">
        <w:rPr>
          <w:rFonts w:ascii="Arial" w:hAnsi="Arial" w:cs="Arial"/>
          <w:sz w:val="24"/>
          <w:szCs w:val="24"/>
        </w:rPr>
        <w:t>s exigid</w:t>
      </w:r>
      <w:r w:rsidR="009B3473">
        <w:rPr>
          <w:rFonts w:ascii="Arial" w:hAnsi="Arial" w:cs="Arial"/>
          <w:sz w:val="24"/>
          <w:szCs w:val="24"/>
        </w:rPr>
        <w:t>as</w:t>
      </w:r>
      <w:r w:rsidR="00034EAC" w:rsidRPr="006E07C6">
        <w:rPr>
          <w:rFonts w:ascii="Arial" w:hAnsi="Arial" w:cs="Arial"/>
          <w:sz w:val="24"/>
          <w:szCs w:val="24"/>
        </w:rPr>
        <w:t xml:space="preserve"> etc.</w:t>
      </w:r>
    </w:p>
    <w:p w14:paraId="2215DA1F" w14:textId="6B91921D" w:rsidR="00FC6115" w:rsidRPr="00FC6115" w:rsidRDefault="00FC6115" w:rsidP="00FC6115">
      <w:pPr>
        <w:spacing w:line="360" w:lineRule="auto"/>
        <w:ind w:firstLine="851"/>
        <w:jc w:val="both"/>
        <w:rPr>
          <w:rFonts w:ascii="Arial" w:hAnsi="Arial" w:cs="Arial"/>
          <w:sz w:val="24"/>
          <w:szCs w:val="24"/>
        </w:rPr>
      </w:pPr>
      <w:r w:rsidRPr="00FC6115">
        <w:rPr>
          <w:rFonts w:ascii="Arial" w:hAnsi="Arial" w:cs="Arial"/>
          <w:sz w:val="24"/>
          <w:szCs w:val="24"/>
        </w:rPr>
        <w:t xml:space="preserve">Adiante-se, por oportuno, que </w:t>
      </w:r>
      <w:r>
        <w:rPr>
          <w:rFonts w:ascii="Arial" w:hAnsi="Arial" w:cs="Arial"/>
          <w:b/>
          <w:sz w:val="24"/>
          <w:szCs w:val="24"/>
        </w:rPr>
        <w:t>esta</w:t>
      </w:r>
      <w:r w:rsidRPr="00FC6115">
        <w:rPr>
          <w:rFonts w:ascii="Arial" w:hAnsi="Arial" w:cs="Arial"/>
          <w:b/>
          <w:sz w:val="24"/>
          <w:szCs w:val="24"/>
        </w:rPr>
        <w:t xml:space="preserve"> CPI </w:t>
      </w:r>
      <w:r>
        <w:rPr>
          <w:rFonts w:ascii="Arial" w:hAnsi="Arial" w:cs="Arial"/>
          <w:b/>
          <w:sz w:val="24"/>
          <w:szCs w:val="24"/>
        </w:rPr>
        <w:t xml:space="preserve">identificou </w:t>
      </w:r>
      <w:r w:rsidRPr="00FC6115">
        <w:rPr>
          <w:rFonts w:ascii="Arial" w:hAnsi="Arial" w:cs="Arial"/>
          <w:b/>
          <w:sz w:val="24"/>
          <w:szCs w:val="24"/>
        </w:rPr>
        <w:t>irregularidades</w:t>
      </w:r>
      <w:r>
        <w:rPr>
          <w:rFonts w:ascii="Arial" w:hAnsi="Arial" w:cs="Arial"/>
          <w:b/>
          <w:sz w:val="24"/>
          <w:szCs w:val="24"/>
        </w:rPr>
        <w:t xml:space="preserve"> tanto na concessão como na fruição de incentivos fiscais</w:t>
      </w:r>
      <w:r w:rsidRPr="00FC6115">
        <w:rPr>
          <w:rFonts w:ascii="Arial" w:hAnsi="Arial" w:cs="Arial"/>
          <w:sz w:val="24"/>
          <w:szCs w:val="24"/>
        </w:rPr>
        <w:t>;</w:t>
      </w:r>
      <w:r>
        <w:rPr>
          <w:rFonts w:ascii="Arial" w:hAnsi="Arial" w:cs="Arial"/>
          <w:sz w:val="24"/>
          <w:szCs w:val="24"/>
        </w:rPr>
        <w:t xml:space="preserve"> embora não possa precisar, estima-se que o maior volume de irregularidades esteja concentrad</w:t>
      </w:r>
      <w:r w:rsidR="00AB70E3">
        <w:rPr>
          <w:rFonts w:ascii="Arial" w:hAnsi="Arial" w:cs="Arial"/>
          <w:sz w:val="24"/>
          <w:szCs w:val="24"/>
        </w:rPr>
        <w:t>o</w:t>
      </w:r>
      <w:r>
        <w:rPr>
          <w:rFonts w:ascii="Arial" w:hAnsi="Arial" w:cs="Arial"/>
          <w:sz w:val="24"/>
          <w:szCs w:val="24"/>
        </w:rPr>
        <w:t xml:space="preserve"> na fruição dos incentivos, seja pela configuração do próprio sistema legal e normativo, seja pela inexistência ou deficiência da fiscalização.</w:t>
      </w:r>
    </w:p>
    <w:p w14:paraId="1833A11C" w14:textId="77777777" w:rsidR="00AC504B" w:rsidRPr="006E07C6" w:rsidRDefault="00AC504B" w:rsidP="00713208">
      <w:pPr>
        <w:spacing w:line="360" w:lineRule="auto"/>
        <w:ind w:firstLine="851"/>
        <w:jc w:val="both"/>
        <w:rPr>
          <w:rFonts w:ascii="Arial" w:hAnsi="Arial" w:cs="Arial"/>
          <w:b/>
          <w:sz w:val="24"/>
          <w:szCs w:val="24"/>
        </w:rPr>
      </w:pPr>
    </w:p>
    <w:p w14:paraId="14B57037" w14:textId="35B81679" w:rsidR="00323C3B" w:rsidRPr="0084680F" w:rsidRDefault="00323C3B" w:rsidP="00323C3B">
      <w:pPr>
        <w:spacing w:line="360" w:lineRule="auto"/>
        <w:ind w:firstLine="851"/>
        <w:jc w:val="both"/>
        <w:rPr>
          <w:rFonts w:ascii="Arial" w:hAnsi="Arial" w:cs="Arial"/>
          <w:sz w:val="24"/>
          <w:szCs w:val="24"/>
        </w:rPr>
      </w:pPr>
      <w:r w:rsidRPr="0084680F">
        <w:rPr>
          <w:rFonts w:ascii="Arial" w:hAnsi="Arial" w:cs="Arial"/>
          <w:b/>
          <w:sz w:val="24"/>
          <w:szCs w:val="24"/>
        </w:rPr>
        <w:t xml:space="preserve">2.5. </w:t>
      </w:r>
      <w:r w:rsidRPr="0084680F">
        <w:rPr>
          <w:rFonts w:ascii="Arial" w:hAnsi="Arial" w:cs="Arial"/>
          <w:sz w:val="24"/>
          <w:szCs w:val="24"/>
        </w:rPr>
        <w:t xml:space="preserve">De outro lado, a expressão </w:t>
      </w:r>
      <w:r w:rsidRPr="0084680F">
        <w:rPr>
          <w:rFonts w:ascii="Arial" w:hAnsi="Arial" w:cs="Arial"/>
          <w:b/>
          <w:sz w:val="24"/>
          <w:szCs w:val="24"/>
          <w:u w:val="single"/>
        </w:rPr>
        <w:t>“incentivos fiscais”</w:t>
      </w:r>
      <w:r w:rsidRPr="0084680F">
        <w:rPr>
          <w:rFonts w:ascii="Arial" w:hAnsi="Arial" w:cs="Arial"/>
          <w:sz w:val="24"/>
          <w:szCs w:val="24"/>
        </w:rPr>
        <w:t xml:space="preserve">, quando empregada neste trabalho, quer designar, de forma ampla, </w:t>
      </w:r>
      <w:r w:rsidRPr="0084680F">
        <w:rPr>
          <w:rFonts w:ascii="Arial" w:hAnsi="Arial" w:cs="Arial"/>
          <w:b/>
          <w:sz w:val="24"/>
          <w:szCs w:val="24"/>
        </w:rPr>
        <w:t>todo e qualquer programa ou política pública do qual decorra</w:t>
      </w:r>
      <w:r w:rsidRPr="0084680F">
        <w:rPr>
          <w:rFonts w:ascii="Arial" w:hAnsi="Arial" w:cs="Arial"/>
          <w:sz w:val="24"/>
          <w:szCs w:val="24"/>
        </w:rPr>
        <w:t xml:space="preserve"> </w:t>
      </w:r>
      <w:r w:rsidRPr="0084680F">
        <w:rPr>
          <w:rFonts w:ascii="Arial" w:hAnsi="Arial" w:cs="Arial"/>
          <w:b/>
          <w:sz w:val="24"/>
          <w:szCs w:val="24"/>
        </w:rPr>
        <w:t>benefício de natureza tributária</w:t>
      </w:r>
      <w:r w:rsidRPr="0084680F">
        <w:rPr>
          <w:rFonts w:ascii="Arial" w:hAnsi="Arial" w:cs="Arial"/>
          <w:sz w:val="24"/>
          <w:szCs w:val="24"/>
        </w:rPr>
        <w:t xml:space="preserve">, nos termos amplos definidos pelo § 6º do art. 150 da CF, § 5º do art. 102 da CE e § 1º do art. 14 da Lei Complementar federal n. 101, de 4 de maio de 2000 </w:t>
      </w:r>
      <w:r w:rsidR="00D620D5" w:rsidRPr="0084680F">
        <w:rPr>
          <w:rFonts w:ascii="Arial" w:hAnsi="Arial" w:cs="Arial"/>
          <w:sz w:val="24"/>
          <w:szCs w:val="24"/>
        </w:rPr>
        <w:t>–</w:t>
      </w:r>
      <w:r w:rsidRPr="0084680F">
        <w:rPr>
          <w:rFonts w:ascii="Arial" w:hAnsi="Arial" w:cs="Arial"/>
          <w:sz w:val="24"/>
          <w:szCs w:val="24"/>
        </w:rPr>
        <w:t xml:space="preserve"> LRF.</w:t>
      </w:r>
    </w:p>
    <w:p w14:paraId="0F9EBDA2" w14:textId="38C9B560" w:rsidR="00323C3B" w:rsidRPr="0084680F" w:rsidRDefault="00323C3B" w:rsidP="00323C3B">
      <w:pPr>
        <w:spacing w:line="360" w:lineRule="auto"/>
        <w:ind w:firstLine="851"/>
        <w:jc w:val="both"/>
        <w:rPr>
          <w:rFonts w:ascii="Arial" w:hAnsi="Arial" w:cs="Arial"/>
          <w:sz w:val="24"/>
          <w:szCs w:val="24"/>
        </w:rPr>
      </w:pPr>
      <w:r w:rsidRPr="0084680F">
        <w:rPr>
          <w:rFonts w:ascii="Arial" w:hAnsi="Arial" w:cs="Arial"/>
          <w:sz w:val="24"/>
          <w:szCs w:val="24"/>
        </w:rPr>
        <w:t>Note-se que, como é</w:t>
      </w:r>
      <w:r w:rsidR="0084680F" w:rsidRPr="0084680F">
        <w:rPr>
          <w:rFonts w:ascii="Arial" w:hAnsi="Arial" w:cs="Arial"/>
          <w:sz w:val="24"/>
          <w:szCs w:val="24"/>
        </w:rPr>
        <w:t xml:space="preserve"> explanado no item 6.1.3 deste r</w:t>
      </w:r>
      <w:r w:rsidRPr="0084680F">
        <w:rPr>
          <w:rFonts w:ascii="Arial" w:hAnsi="Arial" w:cs="Arial"/>
          <w:sz w:val="24"/>
          <w:szCs w:val="24"/>
        </w:rPr>
        <w:t xml:space="preserve">elatório, há divergência sobre a natureza jurídica dos principais programas </w:t>
      </w:r>
      <w:r w:rsidR="004D2D59" w:rsidRPr="0084680F">
        <w:rPr>
          <w:rFonts w:ascii="Arial" w:hAnsi="Arial" w:cs="Arial"/>
          <w:sz w:val="24"/>
          <w:szCs w:val="24"/>
        </w:rPr>
        <w:t>d</w:t>
      </w:r>
      <w:r w:rsidRPr="0084680F">
        <w:rPr>
          <w:rFonts w:ascii="Arial" w:hAnsi="Arial" w:cs="Arial"/>
          <w:sz w:val="24"/>
          <w:szCs w:val="24"/>
        </w:rPr>
        <w:t>e incentivo</w:t>
      </w:r>
      <w:r w:rsidR="004D2D59" w:rsidRPr="0084680F">
        <w:rPr>
          <w:rFonts w:ascii="Arial" w:hAnsi="Arial" w:cs="Arial"/>
          <w:sz w:val="24"/>
          <w:szCs w:val="24"/>
        </w:rPr>
        <w:t>s</w:t>
      </w:r>
      <w:r w:rsidRPr="0084680F">
        <w:rPr>
          <w:rFonts w:ascii="Arial" w:hAnsi="Arial" w:cs="Arial"/>
          <w:sz w:val="24"/>
          <w:szCs w:val="24"/>
        </w:rPr>
        <w:t xml:space="preserve"> do Estado de Goiás</w:t>
      </w:r>
      <w:r w:rsidR="004D2D59" w:rsidRPr="0084680F">
        <w:rPr>
          <w:rFonts w:ascii="Arial" w:hAnsi="Arial" w:cs="Arial"/>
          <w:sz w:val="24"/>
          <w:szCs w:val="24"/>
        </w:rPr>
        <w:t xml:space="preserve">; contudo, adiante-se que, na ótica desta CPI, possuem </w:t>
      </w:r>
      <w:r w:rsidR="00112A2E" w:rsidRPr="0084680F">
        <w:rPr>
          <w:rFonts w:ascii="Arial" w:hAnsi="Arial" w:cs="Arial"/>
          <w:sz w:val="24"/>
          <w:szCs w:val="24"/>
        </w:rPr>
        <w:t>autêntica</w:t>
      </w:r>
      <w:r w:rsidRPr="0084680F">
        <w:rPr>
          <w:rFonts w:ascii="Arial" w:hAnsi="Arial" w:cs="Arial"/>
          <w:sz w:val="24"/>
          <w:szCs w:val="24"/>
        </w:rPr>
        <w:t xml:space="preserve"> natureza fiscal.</w:t>
      </w:r>
    </w:p>
    <w:p w14:paraId="57DDA68C" w14:textId="74D66FB9" w:rsidR="00323C3B" w:rsidRPr="00323C3B" w:rsidRDefault="00323C3B" w:rsidP="00323C3B">
      <w:pPr>
        <w:spacing w:line="360" w:lineRule="auto"/>
        <w:ind w:firstLine="851"/>
        <w:jc w:val="both"/>
        <w:rPr>
          <w:rFonts w:ascii="Arial" w:hAnsi="Arial" w:cs="Arial"/>
          <w:sz w:val="24"/>
          <w:szCs w:val="24"/>
        </w:rPr>
      </w:pPr>
      <w:r w:rsidRPr="0084680F">
        <w:rPr>
          <w:rFonts w:ascii="Arial" w:hAnsi="Arial" w:cs="Arial"/>
          <w:b/>
          <w:sz w:val="24"/>
          <w:szCs w:val="24"/>
        </w:rPr>
        <w:t>Utiliza-se conceituação semelhante à adotada pela então Secretaria da Fazenda na Nota Técnica n</w:t>
      </w:r>
      <w:r w:rsidR="0084680F" w:rsidRPr="0084680F">
        <w:rPr>
          <w:rFonts w:ascii="Arial" w:hAnsi="Arial" w:cs="Arial"/>
          <w:b/>
          <w:sz w:val="24"/>
          <w:szCs w:val="24"/>
        </w:rPr>
        <w:t>º</w:t>
      </w:r>
      <w:r w:rsidRPr="0084680F">
        <w:rPr>
          <w:rFonts w:ascii="Arial" w:hAnsi="Arial" w:cs="Arial"/>
          <w:b/>
          <w:sz w:val="24"/>
          <w:szCs w:val="24"/>
        </w:rPr>
        <w:t xml:space="preserve"> </w:t>
      </w:r>
      <w:r w:rsidR="00112A2E" w:rsidRPr="0084680F">
        <w:rPr>
          <w:rFonts w:ascii="Arial" w:hAnsi="Arial" w:cs="Arial"/>
          <w:b/>
          <w:sz w:val="24"/>
          <w:szCs w:val="24"/>
        </w:rPr>
        <w:t>0</w:t>
      </w:r>
      <w:r w:rsidRPr="0084680F">
        <w:rPr>
          <w:rFonts w:ascii="Arial" w:hAnsi="Arial" w:cs="Arial"/>
          <w:b/>
          <w:sz w:val="24"/>
          <w:szCs w:val="24"/>
        </w:rPr>
        <w:t>1/2017</w:t>
      </w:r>
      <w:r w:rsidRPr="0084680F">
        <w:rPr>
          <w:rFonts w:ascii="Arial" w:hAnsi="Arial" w:cs="Arial"/>
          <w:sz w:val="24"/>
          <w:szCs w:val="24"/>
        </w:rPr>
        <w:t>, que sistematiza os seguintes requisitos cumulativos para configuração de benefício fiscal: não uniformidade com a norma geral de tributação (tratamento diferenciado); redução de arrecadação potencial; acréscimo à disponibilidade financeira do contribuinte; e caráter compensatório ou incentivador passíveis de serem substituídos por gastos diretos.</w:t>
      </w:r>
    </w:p>
    <w:p w14:paraId="1BC886A0" w14:textId="157F1E88" w:rsidR="00B93A8F" w:rsidRPr="006E07C6" w:rsidRDefault="00767EBD" w:rsidP="00713208">
      <w:pPr>
        <w:spacing w:line="360" w:lineRule="auto"/>
        <w:ind w:firstLine="851"/>
        <w:jc w:val="both"/>
        <w:rPr>
          <w:rFonts w:ascii="Arial" w:hAnsi="Arial" w:cs="Arial"/>
          <w:sz w:val="24"/>
          <w:szCs w:val="24"/>
        </w:rPr>
      </w:pPr>
      <w:r w:rsidRPr="006E07C6">
        <w:rPr>
          <w:rFonts w:ascii="Arial" w:hAnsi="Arial" w:cs="Arial"/>
          <w:b/>
          <w:sz w:val="24"/>
          <w:szCs w:val="24"/>
        </w:rPr>
        <w:t xml:space="preserve">2.5.1. </w:t>
      </w:r>
      <w:r w:rsidR="00B93A8F" w:rsidRPr="006E07C6">
        <w:rPr>
          <w:rFonts w:ascii="Arial" w:hAnsi="Arial" w:cs="Arial"/>
          <w:sz w:val="24"/>
          <w:szCs w:val="24"/>
        </w:rPr>
        <w:t xml:space="preserve">Existem, no ordenamento jurídico brasileiro, </w:t>
      </w:r>
      <w:r w:rsidR="00B93A8F" w:rsidRPr="006E07C6">
        <w:rPr>
          <w:rFonts w:ascii="Arial" w:hAnsi="Arial" w:cs="Arial"/>
          <w:b/>
          <w:sz w:val="24"/>
          <w:szCs w:val="24"/>
        </w:rPr>
        <w:t>diversas referências</w:t>
      </w:r>
      <w:r w:rsidR="00DB79CF" w:rsidRPr="006E07C6">
        <w:rPr>
          <w:rFonts w:ascii="Arial" w:hAnsi="Arial" w:cs="Arial"/>
          <w:b/>
          <w:sz w:val="24"/>
          <w:szCs w:val="24"/>
        </w:rPr>
        <w:t xml:space="preserve"> em nível constitucional </w:t>
      </w:r>
      <w:r w:rsidR="00C3471A" w:rsidRPr="006E07C6">
        <w:rPr>
          <w:rFonts w:ascii="Arial" w:hAnsi="Arial" w:cs="Arial"/>
          <w:b/>
          <w:sz w:val="24"/>
          <w:szCs w:val="24"/>
        </w:rPr>
        <w:t xml:space="preserve">e </w:t>
      </w:r>
      <w:r w:rsidR="00DB79CF" w:rsidRPr="006E07C6">
        <w:rPr>
          <w:rFonts w:ascii="Arial" w:hAnsi="Arial" w:cs="Arial"/>
          <w:b/>
          <w:sz w:val="24"/>
          <w:szCs w:val="24"/>
        </w:rPr>
        <w:t>legal</w:t>
      </w:r>
      <w:r w:rsidR="00B93A8F" w:rsidRPr="006E07C6">
        <w:rPr>
          <w:rFonts w:ascii="Arial" w:hAnsi="Arial" w:cs="Arial"/>
          <w:b/>
          <w:sz w:val="24"/>
          <w:szCs w:val="24"/>
        </w:rPr>
        <w:t xml:space="preserve"> </w:t>
      </w:r>
      <w:r w:rsidRPr="006E07C6">
        <w:rPr>
          <w:rFonts w:ascii="Arial" w:hAnsi="Arial" w:cs="Arial"/>
          <w:b/>
          <w:sz w:val="24"/>
          <w:szCs w:val="24"/>
        </w:rPr>
        <w:t>à ideia de</w:t>
      </w:r>
      <w:r w:rsidR="00B93A8F" w:rsidRPr="006E07C6">
        <w:rPr>
          <w:rFonts w:ascii="Arial" w:hAnsi="Arial" w:cs="Arial"/>
          <w:b/>
          <w:sz w:val="24"/>
          <w:szCs w:val="24"/>
        </w:rPr>
        <w:t xml:space="preserve"> “incentivos” ou “benefícios”</w:t>
      </w:r>
      <w:r w:rsidRPr="006E07C6">
        <w:rPr>
          <w:rFonts w:ascii="Arial" w:hAnsi="Arial" w:cs="Arial"/>
          <w:b/>
          <w:sz w:val="24"/>
          <w:szCs w:val="24"/>
        </w:rPr>
        <w:t xml:space="preserve"> fiscais</w:t>
      </w:r>
      <w:r w:rsidRPr="006E07C6">
        <w:rPr>
          <w:rFonts w:ascii="Arial" w:hAnsi="Arial" w:cs="Arial"/>
          <w:sz w:val="24"/>
          <w:szCs w:val="24"/>
        </w:rPr>
        <w:t xml:space="preserve"> – ainda que não com essa nomenclatura – a</w:t>
      </w:r>
      <w:r w:rsidR="00B93A8F" w:rsidRPr="006E07C6">
        <w:rPr>
          <w:rFonts w:ascii="Arial" w:hAnsi="Arial" w:cs="Arial"/>
          <w:sz w:val="24"/>
          <w:szCs w:val="24"/>
        </w:rPr>
        <w:t>s quais correspondem, em essência, ao objeto desta CPI.</w:t>
      </w:r>
    </w:p>
    <w:p w14:paraId="02E399B6" w14:textId="1E1AD2B7" w:rsidR="00382FE5" w:rsidRPr="006E07C6" w:rsidRDefault="00092F77" w:rsidP="00713208">
      <w:pPr>
        <w:spacing w:line="360" w:lineRule="auto"/>
        <w:ind w:firstLine="851"/>
        <w:jc w:val="both"/>
        <w:rPr>
          <w:rFonts w:ascii="Arial" w:hAnsi="Arial" w:cs="Arial"/>
          <w:sz w:val="24"/>
          <w:szCs w:val="24"/>
        </w:rPr>
      </w:pPr>
      <w:r w:rsidRPr="006E07C6">
        <w:rPr>
          <w:rFonts w:ascii="Arial" w:hAnsi="Arial" w:cs="Arial"/>
          <w:b/>
          <w:sz w:val="24"/>
          <w:szCs w:val="24"/>
        </w:rPr>
        <w:t>2.5.2.</w:t>
      </w:r>
      <w:r w:rsidRPr="006E07C6">
        <w:rPr>
          <w:rFonts w:ascii="Arial" w:hAnsi="Arial" w:cs="Arial"/>
          <w:sz w:val="24"/>
          <w:szCs w:val="24"/>
        </w:rPr>
        <w:t xml:space="preserve"> </w:t>
      </w:r>
      <w:r w:rsidR="00382FE5" w:rsidRPr="006E07C6">
        <w:rPr>
          <w:rFonts w:ascii="Arial" w:hAnsi="Arial" w:cs="Arial"/>
          <w:sz w:val="24"/>
          <w:szCs w:val="24"/>
        </w:rPr>
        <w:t xml:space="preserve">Num </w:t>
      </w:r>
      <w:r w:rsidR="00382FE5" w:rsidRPr="006E07C6">
        <w:rPr>
          <w:rFonts w:ascii="Arial" w:hAnsi="Arial" w:cs="Arial"/>
          <w:b/>
          <w:sz w:val="24"/>
          <w:szCs w:val="24"/>
        </w:rPr>
        <w:t xml:space="preserve">contexto </w:t>
      </w:r>
      <w:r w:rsidR="00276365" w:rsidRPr="006E07C6">
        <w:rPr>
          <w:rFonts w:ascii="Arial" w:hAnsi="Arial" w:cs="Arial"/>
          <w:b/>
          <w:sz w:val="24"/>
          <w:szCs w:val="24"/>
        </w:rPr>
        <w:t>geral</w:t>
      </w:r>
      <w:r w:rsidR="00382FE5" w:rsidRPr="006E07C6">
        <w:rPr>
          <w:rFonts w:ascii="Arial" w:hAnsi="Arial" w:cs="Arial"/>
          <w:sz w:val="24"/>
          <w:szCs w:val="24"/>
        </w:rPr>
        <w:t xml:space="preserve">, pode-se mencionar que </w:t>
      </w:r>
      <w:r w:rsidR="00DB79CF" w:rsidRPr="006E07C6">
        <w:rPr>
          <w:rFonts w:ascii="Arial" w:hAnsi="Arial" w:cs="Arial"/>
          <w:sz w:val="24"/>
          <w:szCs w:val="24"/>
        </w:rPr>
        <w:t xml:space="preserve">o </w:t>
      </w:r>
      <w:r w:rsidR="00DB79CF" w:rsidRPr="006E07C6">
        <w:rPr>
          <w:rFonts w:ascii="Arial" w:hAnsi="Arial" w:cs="Arial"/>
          <w:sz w:val="24"/>
          <w:szCs w:val="24"/>
          <w:u w:val="single"/>
        </w:rPr>
        <w:t>art. 102, § 5º, da Constituição Estadual (CE/GO)</w:t>
      </w:r>
      <w:r w:rsidR="00DB79CF" w:rsidRPr="006E07C6">
        <w:rPr>
          <w:rFonts w:ascii="Arial" w:hAnsi="Arial" w:cs="Arial"/>
          <w:sz w:val="24"/>
          <w:szCs w:val="24"/>
        </w:rPr>
        <w:t xml:space="preserve"> – que praticamente reproduz o disposto no </w:t>
      </w:r>
      <w:r w:rsidR="00DB79CF" w:rsidRPr="006E07C6">
        <w:rPr>
          <w:rFonts w:ascii="Arial" w:hAnsi="Arial" w:cs="Arial"/>
          <w:sz w:val="24"/>
          <w:szCs w:val="24"/>
          <w:u w:val="single"/>
        </w:rPr>
        <w:t>§ 6º do art. 150 da Constituição Federal (CRFB)</w:t>
      </w:r>
      <w:r w:rsidR="00DB79CF" w:rsidRPr="006E07C6">
        <w:rPr>
          <w:rFonts w:ascii="Arial" w:hAnsi="Arial" w:cs="Arial"/>
          <w:sz w:val="24"/>
          <w:szCs w:val="24"/>
        </w:rPr>
        <w:t xml:space="preserve"> – </w:t>
      </w:r>
      <w:r w:rsidR="003366A2" w:rsidRPr="006E07C6">
        <w:rPr>
          <w:rFonts w:ascii="Arial" w:hAnsi="Arial" w:cs="Arial"/>
          <w:sz w:val="24"/>
          <w:szCs w:val="24"/>
        </w:rPr>
        <w:t xml:space="preserve">arrola as principais categorias de incentivos fiscais, a saber: a) subsídio ou isenção; b) redução de base de cálculo; c) concessão de crédito presumido; d) anistia; e e) remissão. Referidos dispositivos constitucionais preceituam que a concessão de quaisquer dessas medidas deverá ser </w:t>
      </w:r>
      <w:r w:rsidR="003366A2" w:rsidRPr="006E07C6">
        <w:rPr>
          <w:rFonts w:ascii="Arial" w:hAnsi="Arial" w:cs="Arial"/>
          <w:sz w:val="24"/>
          <w:szCs w:val="24"/>
          <w:u w:val="single"/>
        </w:rPr>
        <w:t xml:space="preserve">precedida de lei </w:t>
      </w:r>
      <w:r w:rsidR="003366A2" w:rsidRPr="006E07C6">
        <w:rPr>
          <w:rFonts w:ascii="Arial" w:hAnsi="Arial" w:cs="Arial"/>
          <w:sz w:val="24"/>
          <w:szCs w:val="24"/>
          <w:u w:val="single"/>
        </w:rPr>
        <w:lastRenderedPageBreak/>
        <w:t xml:space="preserve">específica do ente tributante, que regule exclusivamente o incentivo </w:t>
      </w:r>
      <w:r w:rsidR="003366A2" w:rsidRPr="0084680F">
        <w:rPr>
          <w:rFonts w:ascii="Arial" w:hAnsi="Arial" w:cs="Arial"/>
          <w:sz w:val="24"/>
          <w:szCs w:val="24"/>
          <w:u w:val="single"/>
        </w:rPr>
        <w:t>concedido</w:t>
      </w:r>
      <w:r w:rsidR="00D620D5" w:rsidRPr="0084680F">
        <w:rPr>
          <w:rFonts w:ascii="Arial" w:hAnsi="Arial" w:cs="Arial"/>
          <w:sz w:val="24"/>
          <w:szCs w:val="24"/>
          <w:u w:val="single"/>
        </w:rPr>
        <w:t xml:space="preserve"> ou o correspondente tributo</w:t>
      </w:r>
      <w:r w:rsidR="003366A2" w:rsidRPr="0084680F">
        <w:rPr>
          <w:rFonts w:ascii="Arial" w:hAnsi="Arial" w:cs="Arial"/>
          <w:sz w:val="24"/>
          <w:szCs w:val="24"/>
        </w:rPr>
        <w:t>.</w:t>
      </w:r>
    </w:p>
    <w:p w14:paraId="3BBDFBCC" w14:textId="40B5E83A" w:rsidR="00497A46" w:rsidRPr="006E07C6" w:rsidRDefault="00092F77" w:rsidP="00713208">
      <w:pPr>
        <w:spacing w:line="360" w:lineRule="auto"/>
        <w:ind w:firstLine="851"/>
        <w:jc w:val="both"/>
        <w:rPr>
          <w:rFonts w:ascii="Arial" w:hAnsi="Arial" w:cs="Arial"/>
          <w:sz w:val="24"/>
          <w:szCs w:val="24"/>
        </w:rPr>
      </w:pPr>
      <w:r w:rsidRPr="006E07C6">
        <w:rPr>
          <w:rFonts w:ascii="Arial" w:hAnsi="Arial" w:cs="Arial"/>
          <w:sz w:val="24"/>
          <w:szCs w:val="24"/>
        </w:rPr>
        <w:t xml:space="preserve">A </w:t>
      </w:r>
      <w:r w:rsidRPr="006E07C6">
        <w:rPr>
          <w:rFonts w:ascii="Arial" w:hAnsi="Arial" w:cs="Arial"/>
          <w:sz w:val="24"/>
          <w:szCs w:val="24"/>
          <w:u w:val="single"/>
        </w:rPr>
        <w:t>Lei Complementar federal nº 101/2000</w:t>
      </w:r>
      <w:r w:rsidRPr="006E07C6">
        <w:rPr>
          <w:rFonts w:ascii="Arial" w:hAnsi="Arial" w:cs="Arial"/>
          <w:sz w:val="24"/>
          <w:szCs w:val="24"/>
        </w:rPr>
        <w:t xml:space="preserve">, conhecida como Lei de Responsabilidade Fiscal (LRF), </w:t>
      </w:r>
      <w:r w:rsidR="009C7C7F" w:rsidRPr="006E07C6">
        <w:rPr>
          <w:rFonts w:ascii="Arial" w:hAnsi="Arial" w:cs="Arial"/>
          <w:sz w:val="24"/>
          <w:szCs w:val="24"/>
        </w:rPr>
        <w:t xml:space="preserve">trata da matéria de incentivos fiscais como “renúncias de receitas”, porque é isso que de fato significam, verdadeiras renúncias de receita pelo Estado. Assim, </w:t>
      </w:r>
      <w:r w:rsidR="00E90776" w:rsidRPr="006E07C6">
        <w:rPr>
          <w:rFonts w:ascii="Arial" w:hAnsi="Arial" w:cs="Arial"/>
          <w:sz w:val="24"/>
          <w:szCs w:val="24"/>
        </w:rPr>
        <w:t xml:space="preserve">segundo </w:t>
      </w:r>
      <w:r w:rsidR="009C7C7F" w:rsidRPr="006E07C6">
        <w:rPr>
          <w:rFonts w:ascii="Arial" w:hAnsi="Arial" w:cs="Arial"/>
          <w:sz w:val="24"/>
          <w:szCs w:val="24"/>
        </w:rPr>
        <w:t xml:space="preserve">o </w:t>
      </w:r>
      <w:r w:rsidR="009C7C7F" w:rsidRPr="006E07C6">
        <w:rPr>
          <w:rFonts w:ascii="Arial" w:hAnsi="Arial" w:cs="Arial"/>
          <w:sz w:val="24"/>
          <w:szCs w:val="24"/>
          <w:u w:val="single"/>
        </w:rPr>
        <w:t xml:space="preserve">art. </w:t>
      </w:r>
      <w:r w:rsidR="00497A46" w:rsidRPr="006E07C6">
        <w:rPr>
          <w:rFonts w:ascii="Arial" w:hAnsi="Arial" w:cs="Arial"/>
          <w:sz w:val="24"/>
          <w:szCs w:val="24"/>
          <w:u w:val="single"/>
        </w:rPr>
        <w:t>14, </w:t>
      </w:r>
      <w:bookmarkStart w:id="0" w:name="art14§1"/>
      <w:bookmarkEnd w:id="0"/>
      <w:r w:rsidR="00497A46" w:rsidRPr="006E07C6">
        <w:rPr>
          <w:rFonts w:ascii="Arial" w:hAnsi="Arial" w:cs="Arial"/>
          <w:sz w:val="24"/>
          <w:szCs w:val="24"/>
          <w:u w:val="single"/>
        </w:rPr>
        <w:t>§ 1º</w:t>
      </w:r>
      <w:r w:rsidR="009C7C7F" w:rsidRPr="006E07C6">
        <w:rPr>
          <w:rFonts w:ascii="Arial" w:hAnsi="Arial" w:cs="Arial"/>
          <w:sz w:val="24"/>
          <w:szCs w:val="24"/>
          <w:u w:val="single"/>
        </w:rPr>
        <w:t>, da LRF</w:t>
      </w:r>
      <w:r w:rsidR="00E90776" w:rsidRPr="006E07C6">
        <w:rPr>
          <w:rFonts w:ascii="Arial" w:hAnsi="Arial" w:cs="Arial"/>
          <w:sz w:val="24"/>
          <w:szCs w:val="24"/>
        </w:rPr>
        <w:t xml:space="preserve">, </w:t>
      </w:r>
      <w:r w:rsidR="009C7C7F" w:rsidRPr="006E07C6">
        <w:rPr>
          <w:rFonts w:ascii="Arial" w:hAnsi="Arial" w:cs="Arial"/>
          <w:sz w:val="24"/>
          <w:szCs w:val="24"/>
        </w:rPr>
        <w:t>“a</w:t>
      </w:r>
      <w:r w:rsidR="00497A46" w:rsidRPr="006E07C6">
        <w:rPr>
          <w:rFonts w:ascii="Arial" w:hAnsi="Arial" w:cs="Arial"/>
          <w:sz w:val="24"/>
          <w:szCs w:val="24"/>
        </w:rPr>
        <w:t xml:space="preserve"> renúncia compreende anistia, remissão, subsídio, crédito presumido, concessão de isenção em caráter não geral, alteração de alíquota ou modificação de base de cálculo que implique redução discriminada de tributos ou contribuições, e outros benefícios que correspondam a tratamento diferenciado</w:t>
      </w:r>
      <w:r w:rsidR="00E90776" w:rsidRPr="006E07C6">
        <w:rPr>
          <w:rFonts w:ascii="Arial" w:hAnsi="Arial" w:cs="Arial"/>
          <w:sz w:val="24"/>
          <w:szCs w:val="24"/>
        </w:rPr>
        <w:t>”</w:t>
      </w:r>
      <w:r w:rsidR="00497A46" w:rsidRPr="006E07C6">
        <w:rPr>
          <w:rFonts w:ascii="Arial" w:hAnsi="Arial" w:cs="Arial"/>
          <w:sz w:val="24"/>
          <w:szCs w:val="24"/>
        </w:rPr>
        <w:t>.</w:t>
      </w:r>
      <w:r w:rsidR="003B7C78" w:rsidRPr="006E07C6">
        <w:rPr>
          <w:rFonts w:ascii="Arial" w:hAnsi="Arial" w:cs="Arial"/>
          <w:sz w:val="24"/>
          <w:szCs w:val="24"/>
        </w:rPr>
        <w:t xml:space="preserve"> </w:t>
      </w:r>
      <w:r w:rsidR="003B7C78" w:rsidRPr="006E07C6">
        <w:rPr>
          <w:rFonts w:ascii="Arial" w:hAnsi="Arial" w:cs="Arial"/>
          <w:sz w:val="24"/>
          <w:szCs w:val="24"/>
          <w:u w:val="single"/>
        </w:rPr>
        <w:t>Percebe-se que o dispositivo legal vai além do texto constitucional, para incluir na disciplina relativa à responsabilidade fiscal também a alteração (leia-se</w:t>
      </w:r>
      <w:r w:rsidR="003B7C78" w:rsidRPr="00E44A98">
        <w:rPr>
          <w:rFonts w:ascii="Arial" w:hAnsi="Arial" w:cs="Arial"/>
          <w:sz w:val="24"/>
          <w:szCs w:val="24"/>
          <w:u w:val="single"/>
        </w:rPr>
        <w:t>: r</w:t>
      </w:r>
      <w:r w:rsidR="00FA4AD2" w:rsidRPr="00E44A98">
        <w:rPr>
          <w:rFonts w:ascii="Arial" w:hAnsi="Arial" w:cs="Arial"/>
          <w:sz w:val="24"/>
          <w:szCs w:val="24"/>
          <w:u w:val="single"/>
        </w:rPr>
        <w:t>edu</w:t>
      </w:r>
      <w:r w:rsidR="003B7C78" w:rsidRPr="00E44A98">
        <w:rPr>
          <w:rFonts w:ascii="Arial" w:hAnsi="Arial" w:cs="Arial"/>
          <w:sz w:val="24"/>
          <w:szCs w:val="24"/>
          <w:u w:val="single"/>
        </w:rPr>
        <w:t>ção) de</w:t>
      </w:r>
      <w:r w:rsidR="003B7C78" w:rsidRPr="006E07C6">
        <w:rPr>
          <w:rFonts w:ascii="Arial" w:hAnsi="Arial" w:cs="Arial"/>
          <w:sz w:val="24"/>
          <w:szCs w:val="24"/>
          <w:u w:val="single"/>
        </w:rPr>
        <w:t xml:space="preserve"> alíquota</w:t>
      </w:r>
      <w:r w:rsidR="003B7C78" w:rsidRPr="006E07C6">
        <w:rPr>
          <w:rFonts w:ascii="Arial" w:hAnsi="Arial" w:cs="Arial"/>
          <w:sz w:val="24"/>
          <w:szCs w:val="24"/>
        </w:rPr>
        <w:t>, além de conter uma cláusula aberta no final do parágrafo, que alude a qualquer outro benefício que implique tratamento diferenciado.</w:t>
      </w:r>
    </w:p>
    <w:p w14:paraId="48BD208A" w14:textId="2ACD85AA" w:rsidR="00767EBD" w:rsidRPr="006E07C6" w:rsidRDefault="00B75CD0" w:rsidP="00713208">
      <w:pPr>
        <w:spacing w:line="360" w:lineRule="auto"/>
        <w:ind w:firstLine="851"/>
        <w:jc w:val="both"/>
        <w:rPr>
          <w:rFonts w:ascii="Arial" w:hAnsi="Arial" w:cs="Arial"/>
          <w:sz w:val="24"/>
          <w:szCs w:val="24"/>
        </w:rPr>
      </w:pPr>
      <w:r w:rsidRPr="006E07C6">
        <w:rPr>
          <w:rFonts w:ascii="Arial" w:hAnsi="Arial" w:cs="Arial"/>
          <w:b/>
          <w:sz w:val="24"/>
          <w:szCs w:val="24"/>
        </w:rPr>
        <w:t xml:space="preserve">2.5.3. </w:t>
      </w:r>
      <w:r w:rsidRPr="006E07C6">
        <w:rPr>
          <w:rFonts w:ascii="Arial" w:hAnsi="Arial" w:cs="Arial"/>
          <w:sz w:val="24"/>
          <w:szCs w:val="24"/>
        </w:rPr>
        <w:t xml:space="preserve">Não obstante essas premissas gerais, é possível também encontrar </w:t>
      </w:r>
      <w:r w:rsidRPr="006E07C6">
        <w:rPr>
          <w:rFonts w:ascii="Arial" w:hAnsi="Arial" w:cs="Arial"/>
          <w:b/>
          <w:sz w:val="24"/>
          <w:szCs w:val="24"/>
        </w:rPr>
        <w:t>maior preocupação do constituinte em relação à concessão de incentivos fiscais relativos ao ICMS</w:t>
      </w:r>
      <w:r w:rsidRPr="006E07C6">
        <w:rPr>
          <w:rFonts w:ascii="Arial" w:hAnsi="Arial" w:cs="Arial"/>
          <w:sz w:val="24"/>
          <w:szCs w:val="24"/>
        </w:rPr>
        <w:t xml:space="preserve">, </w:t>
      </w:r>
      <w:r w:rsidR="00475B3D" w:rsidRPr="006E07C6">
        <w:rPr>
          <w:rFonts w:ascii="Arial" w:hAnsi="Arial" w:cs="Arial"/>
          <w:sz w:val="24"/>
          <w:szCs w:val="24"/>
        </w:rPr>
        <w:t xml:space="preserve">ao prever que </w:t>
      </w:r>
      <w:r w:rsidRPr="006E07C6">
        <w:rPr>
          <w:rFonts w:ascii="Arial" w:hAnsi="Arial" w:cs="Arial"/>
          <w:sz w:val="24"/>
          <w:szCs w:val="24"/>
        </w:rPr>
        <w:t xml:space="preserve">cabe à lei complementar </w:t>
      </w:r>
      <w:r w:rsidR="00051E92" w:rsidRPr="006E07C6">
        <w:rPr>
          <w:rFonts w:ascii="Arial" w:hAnsi="Arial" w:cs="Arial"/>
          <w:sz w:val="24"/>
          <w:szCs w:val="24"/>
        </w:rPr>
        <w:t xml:space="preserve">(LC) </w:t>
      </w:r>
      <w:r w:rsidRPr="006E07C6">
        <w:rPr>
          <w:rFonts w:ascii="Arial" w:hAnsi="Arial" w:cs="Arial"/>
          <w:sz w:val="24"/>
          <w:szCs w:val="24"/>
        </w:rPr>
        <w:t>“regular a forma como, mediante deliberação dos Estados e do Distrito Federal, isenções, incentivos e benefícios fiscais serão concedidos e revogados”</w:t>
      </w:r>
      <w:r w:rsidR="00475B3D" w:rsidRPr="006E07C6">
        <w:rPr>
          <w:rFonts w:ascii="Arial" w:hAnsi="Arial" w:cs="Arial"/>
          <w:sz w:val="24"/>
          <w:szCs w:val="24"/>
        </w:rPr>
        <w:t xml:space="preserve"> (</w:t>
      </w:r>
      <w:r w:rsidR="00475B3D" w:rsidRPr="006E07C6">
        <w:rPr>
          <w:rFonts w:ascii="Arial" w:hAnsi="Arial" w:cs="Arial"/>
          <w:sz w:val="24"/>
          <w:szCs w:val="24"/>
          <w:u w:val="single"/>
        </w:rPr>
        <w:t>CRFB</w:t>
      </w:r>
      <w:r w:rsidR="00475B3D" w:rsidRPr="006E07C6">
        <w:rPr>
          <w:rFonts w:ascii="Arial" w:hAnsi="Arial" w:cs="Arial"/>
          <w:sz w:val="24"/>
          <w:szCs w:val="24"/>
        </w:rPr>
        <w:t xml:space="preserve">, art. 155, § 2º, XII, “g”; </w:t>
      </w:r>
      <w:r w:rsidR="00475B3D" w:rsidRPr="006E07C6">
        <w:rPr>
          <w:rFonts w:ascii="Arial" w:hAnsi="Arial" w:cs="Arial"/>
          <w:sz w:val="24"/>
          <w:szCs w:val="24"/>
          <w:u w:val="single"/>
        </w:rPr>
        <w:t>CE/GO</w:t>
      </w:r>
      <w:r w:rsidR="00475B3D" w:rsidRPr="006E07C6">
        <w:rPr>
          <w:rFonts w:ascii="Arial" w:hAnsi="Arial" w:cs="Arial"/>
          <w:sz w:val="24"/>
          <w:szCs w:val="24"/>
        </w:rPr>
        <w:t xml:space="preserve">, art. 104, § 2º, X, “g”). </w:t>
      </w:r>
      <w:r w:rsidR="007A252F" w:rsidRPr="006E07C6">
        <w:rPr>
          <w:rFonts w:ascii="Arial" w:hAnsi="Arial" w:cs="Arial"/>
          <w:sz w:val="24"/>
          <w:szCs w:val="24"/>
        </w:rPr>
        <w:t xml:space="preserve">Embora o constituinte, aqui, tenha </w:t>
      </w:r>
      <w:r w:rsidR="002E4C44" w:rsidRPr="006E07C6">
        <w:rPr>
          <w:rFonts w:ascii="Arial" w:hAnsi="Arial" w:cs="Arial"/>
          <w:sz w:val="24"/>
          <w:szCs w:val="24"/>
        </w:rPr>
        <w:t xml:space="preserve">empregado </w:t>
      </w:r>
      <w:r w:rsidR="007A252F" w:rsidRPr="006E07C6">
        <w:rPr>
          <w:rFonts w:ascii="Arial" w:hAnsi="Arial" w:cs="Arial"/>
          <w:sz w:val="24"/>
          <w:szCs w:val="24"/>
        </w:rPr>
        <w:t>o</w:t>
      </w:r>
      <w:r w:rsidR="002E4C44" w:rsidRPr="006E07C6">
        <w:rPr>
          <w:rFonts w:ascii="Arial" w:hAnsi="Arial" w:cs="Arial"/>
          <w:sz w:val="24"/>
          <w:szCs w:val="24"/>
        </w:rPr>
        <w:t xml:space="preserve"> termo </w:t>
      </w:r>
      <w:r w:rsidR="007A252F" w:rsidRPr="006E07C6">
        <w:rPr>
          <w:rFonts w:ascii="Arial" w:hAnsi="Arial" w:cs="Arial"/>
          <w:sz w:val="24"/>
          <w:szCs w:val="24"/>
        </w:rPr>
        <w:t xml:space="preserve">“isenções”, </w:t>
      </w:r>
      <w:r w:rsidR="00111600">
        <w:rPr>
          <w:rFonts w:ascii="Arial" w:hAnsi="Arial" w:cs="Arial"/>
          <w:sz w:val="24"/>
          <w:szCs w:val="24"/>
        </w:rPr>
        <w:t xml:space="preserve">que é específico, utilizaram-se também </w:t>
      </w:r>
      <w:r w:rsidR="002E4C44" w:rsidRPr="006E07C6">
        <w:rPr>
          <w:rFonts w:ascii="Arial" w:hAnsi="Arial" w:cs="Arial"/>
          <w:sz w:val="24"/>
          <w:szCs w:val="24"/>
        </w:rPr>
        <w:t xml:space="preserve">os termos </w:t>
      </w:r>
      <w:r w:rsidR="007A252F" w:rsidRPr="006E07C6">
        <w:rPr>
          <w:rFonts w:ascii="Arial" w:hAnsi="Arial" w:cs="Arial"/>
          <w:sz w:val="24"/>
          <w:szCs w:val="24"/>
        </w:rPr>
        <w:t xml:space="preserve">“incentivos” e “benefícios” fiscais, </w:t>
      </w:r>
      <w:r w:rsidR="002E4C44" w:rsidRPr="006E07C6">
        <w:rPr>
          <w:rFonts w:ascii="Arial" w:hAnsi="Arial" w:cs="Arial"/>
          <w:sz w:val="24"/>
          <w:szCs w:val="24"/>
        </w:rPr>
        <w:t>que possuem uma significação mais ampla, de modo a abarcar todo e qualquer benefício tributário que implique renúncia de receita.</w:t>
      </w:r>
    </w:p>
    <w:p w14:paraId="71B2EBC7" w14:textId="2873FB06" w:rsidR="00113B4A" w:rsidRPr="006E07C6" w:rsidRDefault="00113B4A" w:rsidP="00713208">
      <w:pPr>
        <w:spacing w:line="360" w:lineRule="auto"/>
        <w:ind w:firstLine="851"/>
        <w:jc w:val="both"/>
        <w:rPr>
          <w:rFonts w:ascii="Arial" w:hAnsi="Arial" w:cs="Arial"/>
          <w:sz w:val="24"/>
          <w:szCs w:val="24"/>
        </w:rPr>
      </w:pPr>
      <w:r w:rsidRPr="006E07C6">
        <w:rPr>
          <w:rFonts w:ascii="Arial" w:hAnsi="Arial" w:cs="Arial"/>
          <w:sz w:val="24"/>
          <w:szCs w:val="24"/>
        </w:rPr>
        <w:t xml:space="preserve">Tanto isso é verdade que o </w:t>
      </w:r>
      <w:r w:rsidRPr="006E07C6">
        <w:rPr>
          <w:rFonts w:ascii="Arial" w:hAnsi="Arial" w:cs="Arial"/>
          <w:sz w:val="24"/>
          <w:szCs w:val="24"/>
          <w:u w:val="single"/>
        </w:rPr>
        <w:t>art. 1º da Lei Complementar federal nº 24/1975</w:t>
      </w:r>
      <w:r w:rsidRPr="006E07C6">
        <w:rPr>
          <w:rFonts w:ascii="Arial" w:hAnsi="Arial" w:cs="Arial"/>
          <w:sz w:val="24"/>
          <w:szCs w:val="24"/>
        </w:rPr>
        <w:t xml:space="preserve"> – recepcionada pelos citados dispositivos constitucionais</w:t>
      </w:r>
      <w:r w:rsidR="00C65B60" w:rsidRPr="006E07C6">
        <w:rPr>
          <w:rFonts w:ascii="Arial" w:hAnsi="Arial" w:cs="Arial"/>
          <w:sz w:val="24"/>
          <w:szCs w:val="24"/>
        </w:rPr>
        <w:t xml:space="preserve"> e que hoje regulamenta a matéria</w:t>
      </w:r>
      <w:r w:rsidRPr="006E07C6">
        <w:rPr>
          <w:rFonts w:ascii="Arial" w:hAnsi="Arial" w:cs="Arial"/>
          <w:sz w:val="24"/>
          <w:szCs w:val="24"/>
        </w:rPr>
        <w:t xml:space="preserve"> – </w:t>
      </w:r>
      <w:r w:rsidRPr="006E07C6">
        <w:rPr>
          <w:rFonts w:ascii="Arial" w:hAnsi="Arial" w:cs="Arial"/>
          <w:sz w:val="24"/>
          <w:szCs w:val="24"/>
          <w:u w:val="single"/>
        </w:rPr>
        <w:t>esmi</w:t>
      </w:r>
      <w:r w:rsidR="00C65B60" w:rsidRPr="006E07C6">
        <w:rPr>
          <w:rFonts w:ascii="Arial" w:hAnsi="Arial" w:cs="Arial"/>
          <w:sz w:val="24"/>
          <w:szCs w:val="24"/>
          <w:u w:val="single"/>
        </w:rPr>
        <w:t>úça</w:t>
      </w:r>
      <w:r w:rsidRPr="006E07C6">
        <w:rPr>
          <w:rFonts w:ascii="Arial" w:hAnsi="Arial" w:cs="Arial"/>
          <w:sz w:val="24"/>
          <w:szCs w:val="24"/>
          <w:u w:val="single"/>
        </w:rPr>
        <w:t xml:space="preserve"> a categoria ampla de incentivos fiscais</w:t>
      </w:r>
      <w:r w:rsidRPr="006E07C6">
        <w:rPr>
          <w:rFonts w:ascii="Arial" w:hAnsi="Arial" w:cs="Arial"/>
          <w:sz w:val="24"/>
          <w:szCs w:val="24"/>
        </w:rPr>
        <w:t xml:space="preserve"> e os arrolam em 5 (cinco) dispositivos, </w:t>
      </w:r>
      <w:r w:rsidR="00C65B60" w:rsidRPr="006E07C6">
        <w:rPr>
          <w:rFonts w:ascii="Arial" w:hAnsi="Arial" w:cs="Arial"/>
          <w:sz w:val="24"/>
          <w:szCs w:val="24"/>
        </w:rPr>
        <w:t xml:space="preserve">no intuito de lhe emprestar a maior amplitude possível, </w:t>
      </w:r>
      <w:r w:rsidRPr="006E07C6">
        <w:rPr>
          <w:rFonts w:ascii="Arial" w:hAnsi="Arial" w:cs="Arial"/>
          <w:sz w:val="24"/>
          <w:szCs w:val="24"/>
        </w:rPr>
        <w:t>nos seguintes termos:</w:t>
      </w:r>
    </w:p>
    <w:p w14:paraId="05726117" w14:textId="685751C8" w:rsidR="00113B4A" w:rsidRPr="006E07C6" w:rsidRDefault="00113B4A" w:rsidP="00713208">
      <w:pPr>
        <w:spacing w:line="360" w:lineRule="auto"/>
        <w:ind w:firstLine="851"/>
        <w:jc w:val="both"/>
        <w:rPr>
          <w:rFonts w:ascii="Arial" w:hAnsi="Arial" w:cs="Arial"/>
          <w:sz w:val="24"/>
          <w:szCs w:val="24"/>
        </w:rPr>
      </w:pPr>
    </w:p>
    <w:p w14:paraId="3E36E1C7" w14:textId="636E7C1B" w:rsidR="00113B4A" w:rsidRPr="006E07C6" w:rsidRDefault="00113B4A" w:rsidP="009575BA">
      <w:pPr>
        <w:ind w:left="2268"/>
        <w:jc w:val="both"/>
        <w:rPr>
          <w:rFonts w:ascii="Arial" w:hAnsi="Arial" w:cs="Arial"/>
          <w:sz w:val="22"/>
          <w:szCs w:val="22"/>
        </w:rPr>
      </w:pPr>
      <w:r w:rsidRPr="006E07C6">
        <w:rPr>
          <w:rFonts w:ascii="Arial" w:hAnsi="Arial" w:cs="Arial"/>
          <w:b/>
          <w:sz w:val="22"/>
          <w:szCs w:val="22"/>
        </w:rPr>
        <w:t>Art. 1º</w:t>
      </w:r>
      <w:r w:rsidRPr="006E07C6">
        <w:rPr>
          <w:rFonts w:ascii="Arial" w:hAnsi="Arial" w:cs="Arial"/>
          <w:sz w:val="22"/>
          <w:szCs w:val="22"/>
        </w:rPr>
        <w:t xml:space="preserve"> As isenções do imposto sobre operações relativas à circulação de mercadorias serão concedidas ou revogadas nos termos de convênios celebrados e ratificados pelos Estados e pelo Distrito Federal, segundo esta Lei.</w:t>
      </w:r>
    </w:p>
    <w:p w14:paraId="5A8058DF" w14:textId="77777777" w:rsidR="00113B4A" w:rsidRPr="006E07C6" w:rsidRDefault="00113B4A" w:rsidP="009575BA">
      <w:pPr>
        <w:ind w:left="2268"/>
        <w:jc w:val="both"/>
        <w:rPr>
          <w:rFonts w:ascii="Arial" w:hAnsi="Arial" w:cs="Arial"/>
          <w:sz w:val="22"/>
          <w:szCs w:val="22"/>
        </w:rPr>
      </w:pPr>
      <w:r w:rsidRPr="006E07C6">
        <w:rPr>
          <w:rFonts w:ascii="Arial" w:hAnsi="Arial" w:cs="Arial"/>
          <w:b/>
          <w:sz w:val="22"/>
          <w:szCs w:val="22"/>
        </w:rPr>
        <w:t>Parágrafo único - O disposto neste artigo também se aplica</w:t>
      </w:r>
      <w:r w:rsidRPr="006E07C6">
        <w:rPr>
          <w:rFonts w:ascii="Arial" w:hAnsi="Arial" w:cs="Arial"/>
          <w:sz w:val="22"/>
          <w:szCs w:val="22"/>
        </w:rPr>
        <w:t>:</w:t>
      </w:r>
    </w:p>
    <w:p w14:paraId="08DE4B17" w14:textId="77777777" w:rsidR="00113B4A" w:rsidRPr="006E07C6" w:rsidRDefault="00113B4A" w:rsidP="009575BA">
      <w:pPr>
        <w:ind w:left="2268"/>
        <w:jc w:val="both"/>
        <w:rPr>
          <w:rFonts w:ascii="Arial" w:hAnsi="Arial" w:cs="Arial"/>
          <w:sz w:val="22"/>
          <w:szCs w:val="22"/>
        </w:rPr>
      </w:pPr>
      <w:r w:rsidRPr="006E07C6">
        <w:rPr>
          <w:rFonts w:ascii="Arial" w:hAnsi="Arial" w:cs="Arial"/>
          <w:sz w:val="22"/>
          <w:szCs w:val="22"/>
        </w:rPr>
        <w:t xml:space="preserve">I - à </w:t>
      </w:r>
      <w:r w:rsidRPr="006E07C6">
        <w:rPr>
          <w:rFonts w:ascii="Arial" w:hAnsi="Arial" w:cs="Arial"/>
          <w:sz w:val="22"/>
          <w:szCs w:val="22"/>
          <w:u w:val="single"/>
        </w:rPr>
        <w:t>redução da base de cálculo</w:t>
      </w:r>
      <w:r w:rsidRPr="006E07C6">
        <w:rPr>
          <w:rFonts w:ascii="Arial" w:hAnsi="Arial" w:cs="Arial"/>
          <w:sz w:val="22"/>
          <w:szCs w:val="22"/>
        </w:rPr>
        <w:t>;</w:t>
      </w:r>
    </w:p>
    <w:p w14:paraId="52F3704B" w14:textId="77777777" w:rsidR="00113B4A" w:rsidRPr="006E07C6" w:rsidRDefault="00113B4A" w:rsidP="009575BA">
      <w:pPr>
        <w:ind w:left="2268"/>
        <w:jc w:val="both"/>
        <w:rPr>
          <w:rFonts w:ascii="Arial" w:hAnsi="Arial" w:cs="Arial"/>
          <w:sz w:val="22"/>
          <w:szCs w:val="22"/>
        </w:rPr>
      </w:pPr>
      <w:r w:rsidRPr="006E07C6">
        <w:rPr>
          <w:rFonts w:ascii="Arial" w:hAnsi="Arial" w:cs="Arial"/>
          <w:sz w:val="22"/>
          <w:szCs w:val="22"/>
        </w:rPr>
        <w:t xml:space="preserve">II - à </w:t>
      </w:r>
      <w:r w:rsidRPr="006E07C6">
        <w:rPr>
          <w:rFonts w:ascii="Arial" w:hAnsi="Arial" w:cs="Arial"/>
          <w:sz w:val="22"/>
          <w:szCs w:val="22"/>
          <w:u w:val="single"/>
        </w:rPr>
        <w:t>devolução total ou parcial, direta ou indireta, condicionada ou não, do tributo</w:t>
      </w:r>
      <w:r w:rsidRPr="006E07C6">
        <w:rPr>
          <w:rFonts w:ascii="Arial" w:hAnsi="Arial" w:cs="Arial"/>
          <w:sz w:val="22"/>
          <w:szCs w:val="22"/>
        </w:rPr>
        <w:t>, ao contribuinte, a responsável ou a terceiros;</w:t>
      </w:r>
    </w:p>
    <w:p w14:paraId="6027DD43" w14:textId="77777777" w:rsidR="00113B4A" w:rsidRPr="006E07C6" w:rsidRDefault="00113B4A" w:rsidP="009575BA">
      <w:pPr>
        <w:ind w:left="2268"/>
        <w:jc w:val="both"/>
        <w:rPr>
          <w:rFonts w:ascii="Arial" w:hAnsi="Arial" w:cs="Arial"/>
          <w:sz w:val="22"/>
          <w:szCs w:val="22"/>
        </w:rPr>
      </w:pPr>
      <w:r w:rsidRPr="006E07C6">
        <w:rPr>
          <w:rFonts w:ascii="Arial" w:hAnsi="Arial" w:cs="Arial"/>
          <w:sz w:val="22"/>
          <w:szCs w:val="22"/>
        </w:rPr>
        <w:lastRenderedPageBreak/>
        <w:t xml:space="preserve">III - à </w:t>
      </w:r>
      <w:r w:rsidRPr="006E07C6">
        <w:rPr>
          <w:rFonts w:ascii="Arial" w:hAnsi="Arial" w:cs="Arial"/>
          <w:sz w:val="22"/>
          <w:szCs w:val="22"/>
          <w:u w:val="single"/>
        </w:rPr>
        <w:t>concessão de créditos presumidos</w:t>
      </w:r>
      <w:r w:rsidRPr="006E07C6">
        <w:rPr>
          <w:rFonts w:ascii="Arial" w:hAnsi="Arial" w:cs="Arial"/>
          <w:sz w:val="22"/>
          <w:szCs w:val="22"/>
        </w:rPr>
        <w:t>;</w:t>
      </w:r>
    </w:p>
    <w:p w14:paraId="74604261" w14:textId="77777777" w:rsidR="00113B4A" w:rsidRPr="006E07C6" w:rsidRDefault="00113B4A" w:rsidP="009575BA">
      <w:pPr>
        <w:ind w:left="2268"/>
        <w:jc w:val="both"/>
        <w:rPr>
          <w:rFonts w:ascii="Arial" w:hAnsi="Arial" w:cs="Arial"/>
          <w:sz w:val="22"/>
          <w:szCs w:val="22"/>
        </w:rPr>
      </w:pPr>
      <w:r w:rsidRPr="006E07C6">
        <w:rPr>
          <w:rFonts w:ascii="Arial" w:hAnsi="Arial" w:cs="Arial"/>
          <w:sz w:val="22"/>
          <w:szCs w:val="22"/>
        </w:rPr>
        <w:t xml:space="preserve">IV - à </w:t>
      </w:r>
      <w:r w:rsidRPr="006E07C6">
        <w:rPr>
          <w:rFonts w:ascii="Arial" w:hAnsi="Arial" w:cs="Arial"/>
          <w:sz w:val="22"/>
          <w:szCs w:val="22"/>
          <w:u w:val="single"/>
        </w:rPr>
        <w:t>quaisquer outros incentivos ou favores fiscais ou financeiro-fiscais</w:t>
      </w:r>
      <w:r w:rsidRPr="006E07C6">
        <w:rPr>
          <w:rFonts w:ascii="Arial" w:hAnsi="Arial" w:cs="Arial"/>
          <w:sz w:val="22"/>
          <w:szCs w:val="22"/>
        </w:rPr>
        <w:t xml:space="preserve">, concedidos com base no Imposto de Circulação de Mercadorias, </w:t>
      </w:r>
      <w:r w:rsidRPr="006E07C6">
        <w:rPr>
          <w:rFonts w:ascii="Arial" w:hAnsi="Arial" w:cs="Arial"/>
          <w:sz w:val="22"/>
          <w:szCs w:val="22"/>
          <w:u w:val="single"/>
        </w:rPr>
        <w:t>dos quais resulte redução ou eliminação, direta ou indireta, do respectivo ônus</w:t>
      </w:r>
      <w:r w:rsidRPr="006E07C6">
        <w:rPr>
          <w:rFonts w:ascii="Arial" w:hAnsi="Arial" w:cs="Arial"/>
          <w:sz w:val="22"/>
          <w:szCs w:val="22"/>
        </w:rPr>
        <w:t>;</w:t>
      </w:r>
    </w:p>
    <w:p w14:paraId="2BDF8AC9" w14:textId="77777777" w:rsidR="00113B4A" w:rsidRPr="006E07C6" w:rsidRDefault="00113B4A" w:rsidP="009575BA">
      <w:pPr>
        <w:ind w:left="2268"/>
        <w:jc w:val="both"/>
        <w:rPr>
          <w:rFonts w:ascii="Arial" w:hAnsi="Arial" w:cs="Arial"/>
          <w:sz w:val="22"/>
          <w:szCs w:val="22"/>
        </w:rPr>
      </w:pPr>
      <w:r w:rsidRPr="006E07C6">
        <w:rPr>
          <w:rFonts w:ascii="Arial" w:hAnsi="Arial" w:cs="Arial"/>
          <w:sz w:val="22"/>
          <w:szCs w:val="22"/>
        </w:rPr>
        <w:t xml:space="preserve">V - às </w:t>
      </w:r>
      <w:r w:rsidRPr="006E07C6">
        <w:rPr>
          <w:rFonts w:ascii="Arial" w:hAnsi="Arial" w:cs="Arial"/>
          <w:sz w:val="22"/>
          <w:szCs w:val="22"/>
          <w:u w:val="single"/>
        </w:rPr>
        <w:t>prorrogações</w:t>
      </w:r>
      <w:r w:rsidRPr="006E07C6">
        <w:rPr>
          <w:rFonts w:ascii="Arial" w:hAnsi="Arial" w:cs="Arial"/>
          <w:sz w:val="22"/>
          <w:szCs w:val="22"/>
        </w:rPr>
        <w:t xml:space="preserve"> e às </w:t>
      </w:r>
      <w:r w:rsidRPr="006E07C6">
        <w:rPr>
          <w:rFonts w:ascii="Arial" w:hAnsi="Arial" w:cs="Arial"/>
          <w:sz w:val="22"/>
          <w:szCs w:val="22"/>
          <w:u w:val="single"/>
        </w:rPr>
        <w:t>extensões</w:t>
      </w:r>
      <w:r w:rsidRPr="006E07C6">
        <w:rPr>
          <w:rFonts w:ascii="Arial" w:hAnsi="Arial" w:cs="Arial"/>
          <w:sz w:val="22"/>
          <w:szCs w:val="22"/>
        </w:rPr>
        <w:t xml:space="preserve"> das </w:t>
      </w:r>
      <w:r w:rsidRPr="006E07C6">
        <w:rPr>
          <w:rFonts w:ascii="Arial" w:hAnsi="Arial" w:cs="Arial"/>
          <w:sz w:val="22"/>
          <w:szCs w:val="22"/>
          <w:u w:val="single"/>
        </w:rPr>
        <w:t>isenções vigentes nesta data</w:t>
      </w:r>
      <w:r w:rsidRPr="006E07C6">
        <w:rPr>
          <w:rFonts w:ascii="Arial" w:hAnsi="Arial" w:cs="Arial"/>
          <w:sz w:val="22"/>
          <w:szCs w:val="22"/>
        </w:rPr>
        <w:t>.</w:t>
      </w:r>
    </w:p>
    <w:p w14:paraId="25E8C44F" w14:textId="77777777" w:rsidR="00B75CD0" w:rsidRPr="006E07C6" w:rsidRDefault="00B75CD0" w:rsidP="00713208">
      <w:pPr>
        <w:spacing w:line="360" w:lineRule="auto"/>
        <w:ind w:firstLine="851"/>
        <w:jc w:val="both"/>
        <w:rPr>
          <w:rFonts w:ascii="Arial" w:hAnsi="Arial" w:cs="Arial"/>
          <w:sz w:val="24"/>
          <w:szCs w:val="24"/>
        </w:rPr>
      </w:pPr>
    </w:p>
    <w:p w14:paraId="5FF12565" w14:textId="690FFE7F" w:rsidR="002548E8" w:rsidRPr="004A594D" w:rsidRDefault="009F494F" w:rsidP="004A594D">
      <w:pPr>
        <w:spacing w:line="360" w:lineRule="auto"/>
        <w:ind w:firstLine="851"/>
        <w:jc w:val="both"/>
        <w:rPr>
          <w:rFonts w:ascii="Arial" w:hAnsi="Arial" w:cs="Arial"/>
          <w:sz w:val="24"/>
          <w:szCs w:val="24"/>
        </w:rPr>
      </w:pPr>
      <w:r w:rsidRPr="00CE6F22">
        <w:rPr>
          <w:rFonts w:ascii="Arial" w:hAnsi="Arial" w:cs="Arial"/>
          <w:b/>
          <w:sz w:val="24"/>
          <w:szCs w:val="24"/>
        </w:rPr>
        <w:t>2.</w:t>
      </w:r>
      <w:r w:rsidR="00AC504B" w:rsidRPr="00CE6F22">
        <w:rPr>
          <w:rFonts w:ascii="Arial" w:hAnsi="Arial" w:cs="Arial"/>
          <w:b/>
          <w:sz w:val="24"/>
          <w:szCs w:val="24"/>
        </w:rPr>
        <w:t>5.</w:t>
      </w:r>
      <w:r w:rsidR="00A4630C" w:rsidRPr="00CE6F22">
        <w:rPr>
          <w:rFonts w:ascii="Arial" w:hAnsi="Arial" w:cs="Arial"/>
          <w:b/>
          <w:sz w:val="24"/>
          <w:szCs w:val="24"/>
        </w:rPr>
        <w:t>4</w:t>
      </w:r>
      <w:r w:rsidRPr="00CE6F22">
        <w:rPr>
          <w:rFonts w:ascii="Arial" w:hAnsi="Arial" w:cs="Arial"/>
          <w:b/>
          <w:sz w:val="24"/>
          <w:szCs w:val="24"/>
        </w:rPr>
        <w:t>.</w:t>
      </w:r>
      <w:r w:rsidRPr="00CE6F22">
        <w:rPr>
          <w:rFonts w:ascii="Arial" w:hAnsi="Arial" w:cs="Arial"/>
          <w:sz w:val="24"/>
          <w:szCs w:val="24"/>
        </w:rPr>
        <w:t xml:space="preserve"> </w:t>
      </w:r>
      <w:r w:rsidR="004E082E" w:rsidRPr="00CE6F22">
        <w:rPr>
          <w:rFonts w:ascii="Arial" w:hAnsi="Arial" w:cs="Arial"/>
          <w:sz w:val="24"/>
          <w:szCs w:val="24"/>
        </w:rPr>
        <w:t xml:space="preserve">Assim, quando se utiliza a </w:t>
      </w:r>
      <w:r w:rsidR="004E082E" w:rsidRPr="00CE6F22">
        <w:rPr>
          <w:rFonts w:ascii="Arial" w:hAnsi="Arial" w:cs="Arial"/>
          <w:b/>
          <w:sz w:val="24"/>
          <w:szCs w:val="24"/>
        </w:rPr>
        <w:t xml:space="preserve">expressão “incentivos fiscais” </w:t>
      </w:r>
      <w:r w:rsidR="004E082E" w:rsidRPr="00CE6F22">
        <w:rPr>
          <w:rFonts w:ascii="Arial" w:hAnsi="Arial" w:cs="Arial"/>
          <w:sz w:val="24"/>
          <w:szCs w:val="24"/>
        </w:rPr>
        <w:t xml:space="preserve">neste relatório, está-se referindo a uma categoria ampla que pode conter todas </w:t>
      </w:r>
      <w:r w:rsidR="00111600">
        <w:rPr>
          <w:rFonts w:ascii="Arial" w:hAnsi="Arial" w:cs="Arial"/>
          <w:sz w:val="24"/>
          <w:szCs w:val="24"/>
        </w:rPr>
        <w:t xml:space="preserve">essas </w:t>
      </w:r>
      <w:r w:rsidR="004E082E" w:rsidRPr="00CE6F22">
        <w:rPr>
          <w:rFonts w:ascii="Arial" w:hAnsi="Arial" w:cs="Arial"/>
          <w:sz w:val="24"/>
          <w:szCs w:val="24"/>
        </w:rPr>
        <w:t>categorias constitucionais e legais até agora mencionados</w:t>
      </w:r>
      <w:r w:rsidR="00111600">
        <w:rPr>
          <w:rFonts w:ascii="Arial" w:hAnsi="Arial" w:cs="Arial"/>
          <w:sz w:val="24"/>
          <w:szCs w:val="24"/>
        </w:rPr>
        <w:t>. Contudo, devido às limitações materiais e temporais desta CPI, e em atenção a seu requerimento de constituição, o objeto desta investigação parlamentar de inquérito concentrou-se nos seguintes benefícios</w:t>
      </w:r>
      <w:r w:rsidR="00AD65C8">
        <w:rPr>
          <w:rFonts w:ascii="Arial" w:hAnsi="Arial" w:cs="Arial"/>
          <w:sz w:val="24"/>
          <w:szCs w:val="24"/>
        </w:rPr>
        <w:t>: os programas FOMENTAR e PRODUZIR e o crédito outorgado</w:t>
      </w:r>
      <w:r w:rsidR="004A594D">
        <w:rPr>
          <w:rFonts w:ascii="Arial" w:hAnsi="Arial" w:cs="Arial"/>
          <w:sz w:val="24"/>
          <w:szCs w:val="24"/>
        </w:rPr>
        <w:t>.</w:t>
      </w:r>
    </w:p>
    <w:p w14:paraId="65F358B6" w14:textId="77777777" w:rsidR="00323C3B" w:rsidRPr="006E07C6" w:rsidRDefault="00323C3B" w:rsidP="00713208">
      <w:pPr>
        <w:spacing w:line="360" w:lineRule="auto"/>
        <w:ind w:firstLine="851"/>
        <w:jc w:val="both"/>
        <w:rPr>
          <w:rFonts w:ascii="Arial" w:hAnsi="Arial" w:cs="Arial"/>
          <w:b/>
          <w:sz w:val="24"/>
          <w:szCs w:val="24"/>
        </w:rPr>
      </w:pPr>
    </w:p>
    <w:p w14:paraId="67D46E65" w14:textId="7B000B5F" w:rsidR="00EE1CB6" w:rsidRPr="006E07C6" w:rsidRDefault="00592D96" w:rsidP="00713208">
      <w:pPr>
        <w:spacing w:line="360" w:lineRule="auto"/>
        <w:ind w:firstLine="851"/>
        <w:jc w:val="both"/>
        <w:rPr>
          <w:rFonts w:ascii="Arial" w:hAnsi="Arial" w:cs="Arial"/>
          <w:sz w:val="24"/>
          <w:szCs w:val="24"/>
        </w:rPr>
      </w:pPr>
      <w:r w:rsidRPr="006E07C6">
        <w:rPr>
          <w:rFonts w:ascii="Arial" w:hAnsi="Arial" w:cs="Arial"/>
          <w:b/>
          <w:sz w:val="24"/>
          <w:szCs w:val="24"/>
        </w:rPr>
        <w:t>2.</w:t>
      </w:r>
      <w:r w:rsidR="002548E8" w:rsidRPr="006E07C6">
        <w:rPr>
          <w:rFonts w:ascii="Arial" w:hAnsi="Arial" w:cs="Arial"/>
          <w:b/>
          <w:sz w:val="24"/>
          <w:szCs w:val="24"/>
        </w:rPr>
        <w:t>6</w:t>
      </w:r>
      <w:r w:rsidRPr="006E07C6">
        <w:rPr>
          <w:rFonts w:ascii="Arial" w:hAnsi="Arial" w:cs="Arial"/>
          <w:b/>
          <w:sz w:val="24"/>
          <w:szCs w:val="24"/>
        </w:rPr>
        <w:t xml:space="preserve">. </w:t>
      </w:r>
      <w:r w:rsidR="008005BC" w:rsidRPr="006E07C6">
        <w:rPr>
          <w:rFonts w:ascii="Arial" w:hAnsi="Arial" w:cs="Arial"/>
          <w:sz w:val="24"/>
          <w:szCs w:val="24"/>
        </w:rPr>
        <w:t xml:space="preserve">Por fim, assinala-se, que </w:t>
      </w:r>
      <w:r w:rsidR="002548E8" w:rsidRPr="006E07C6">
        <w:rPr>
          <w:rFonts w:ascii="Arial" w:hAnsi="Arial" w:cs="Arial"/>
          <w:sz w:val="24"/>
          <w:szCs w:val="24"/>
        </w:rPr>
        <w:t xml:space="preserve">a </w:t>
      </w:r>
      <w:r w:rsidR="002548E8" w:rsidRPr="006E07C6">
        <w:rPr>
          <w:rFonts w:ascii="Arial" w:hAnsi="Arial" w:cs="Arial"/>
          <w:b/>
          <w:sz w:val="24"/>
          <w:szCs w:val="24"/>
        </w:rPr>
        <w:t>expressão “Estado de Goiás”</w:t>
      </w:r>
      <w:r w:rsidR="002548E8" w:rsidRPr="006E07C6">
        <w:rPr>
          <w:rFonts w:ascii="Arial" w:hAnsi="Arial" w:cs="Arial"/>
          <w:sz w:val="24"/>
          <w:szCs w:val="24"/>
        </w:rPr>
        <w:t xml:space="preserve">, constante do requerimento de constituição da CPI, implica, por óbvio, </w:t>
      </w:r>
      <w:r w:rsidR="00014106" w:rsidRPr="006E07C6">
        <w:rPr>
          <w:rFonts w:ascii="Arial" w:hAnsi="Arial" w:cs="Arial"/>
          <w:sz w:val="24"/>
          <w:szCs w:val="24"/>
        </w:rPr>
        <w:t xml:space="preserve">que </w:t>
      </w:r>
      <w:r w:rsidRPr="006E07C6">
        <w:rPr>
          <w:rFonts w:ascii="Arial" w:hAnsi="Arial" w:cs="Arial"/>
          <w:sz w:val="24"/>
          <w:szCs w:val="24"/>
        </w:rPr>
        <w:t>todas as irregularidades na concessão e</w:t>
      </w:r>
      <w:r w:rsidR="00487448" w:rsidRPr="006E07C6">
        <w:rPr>
          <w:rFonts w:ascii="Arial" w:hAnsi="Arial" w:cs="Arial"/>
          <w:sz w:val="24"/>
          <w:szCs w:val="24"/>
        </w:rPr>
        <w:t xml:space="preserve"> na</w:t>
      </w:r>
      <w:r w:rsidRPr="006E07C6">
        <w:rPr>
          <w:rFonts w:ascii="Arial" w:hAnsi="Arial" w:cs="Arial"/>
          <w:sz w:val="24"/>
          <w:szCs w:val="24"/>
        </w:rPr>
        <w:t xml:space="preserve"> utilização de incentivos fiscais</w:t>
      </w:r>
      <w:r w:rsidR="00014106" w:rsidRPr="006E07C6">
        <w:rPr>
          <w:rFonts w:ascii="Arial" w:hAnsi="Arial" w:cs="Arial"/>
          <w:sz w:val="24"/>
          <w:szCs w:val="24"/>
        </w:rPr>
        <w:t xml:space="preserve"> no </w:t>
      </w:r>
      <w:r w:rsidR="00014106" w:rsidRPr="006E07C6">
        <w:rPr>
          <w:rFonts w:ascii="Arial" w:hAnsi="Arial" w:cs="Arial"/>
          <w:sz w:val="24"/>
          <w:szCs w:val="24"/>
          <w:u w:val="single"/>
        </w:rPr>
        <w:t>âmbito da competência tributária estadual</w:t>
      </w:r>
      <w:r w:rsidRPr="006E07C6">
        <w:rPr>
          <w:rFonts w:ascii="Arial" w:hAnsi="Arial" w:cs="Arial"/>
          <w:sz w:val="24"/>
          <w:szCs w:val="24"/>
        </w:rPr>
        <w:t>, de forma ampla</w:t>
      </w:r>
      <w:r w:rsidR="008005BC" w:rsidRPr="006E07C6">
        <w:rPr>
          <w:rFonts w:ascii="Arial" w:hAnsi="Arial" w:cs="Arial"/>
          <w:sz w:val="24"/>
          <w:szCs w:val="24"/>
        </w:rPr>
        <w:t xml:space="preserve"> como acentuado supra</w:t>
      </w:r>
      <w:r w:rsidRPr="006E07C6">
        <w:rPr>
          <w:rFonts w:ascii="Arial" w:hAnsi="Arial" w:cs="Arial"/>
          <w:sz w:val="24"/>
          <w:szCs w:val="24"/>
        </w:rPr>
        <w:t xml:space="preserve">, estão </w:t>
      </w:r>
      <w:r w:rsidRPr="006E07C6">
        <w:rPr>
          <w:rFonts w:ascii="Arial" w:hAnsi="Arial" w:cs="Arial"/>
          <w:sz w:val="24"/>
          <w:szCs w:val="24"/>
          <w:u w:val="single"/>
        </w:rPr>
        <w:t>sujeitas à atividade fiscalizatória desta CPI</w:t>
      </w:r>
      <w:r w:rsidRPr="006E07C6">
        <w:rPr>
          <w:rFonts w:ascii="Arial" w:hAnsi="Arial" w:cs="Arial"/>
          <w:sz w:val="24"/>
          <w:szCs w:val="24"/>
        </w:rPr>
        <w:t>, o que compreende: a)</w:t>
      </w:r>
      <w:r w:rsidR="00AC504B" w:rsidRPr="006E07C6">
        <w:rPr>
          <w:rFonts w:ascii="Arial" w:hAnsi="Arial" w:cs="Arial"/>
          <w:sz w:val="24"/>
          <w:szCs w:val="24"/>
        </w:rPr>
        <w:t xml:space="preserve"> </w:t>
      </w:r>
      <w:r w:rsidRPr="006E07C6">
        <w:rPr>
          <w:rFonts w:ascii="Arial" w:hAnsi="Arial" w:cs="Arial"/>
          <w:sz w:val="24"/>
          <w:szCs w:val="24"/>
        </w:rPr>
        <w:t xml:space="preserve">Imposto sobre </w:t>
      </w:r>
      <w:r w:rsidR="00AC504B" w:rsidRPr="006E07C6">
        <w:rPr>
          <w:rFonts w:ascii="Arial" w:hAnsi="Arial" w:cs="Arial"/>
          <w:sz w:val="24"/>
          <w:szCs w:val="24"/>
        </w:rPr>
        <w:t xml:space="preserve">a </w:t>
      </w:r>
      <w:r w:rsidRPr="006E07C6">
        <w:rPr>
          <w:rFonts w:ascii="Arial" w:hAnsi="Arial" w:cs="Arial"/>
          <w:sz w:val="24"/>
          <w:szCs w:val="24"/>
        </w:rPr>
        <w:t>Circulação de Mercadorias e</w:t>
      </w:r>
      <w:r w:rsidR="00AC504B" w:rsidRPr="006E07C6">
        <w:rPr>
          <w:rFonts w:ascii="Arial" w:hAnsi="Arial" w:cs="Arial"/>
          <w:sz w:val="24"/>
          <w:szCs w:val="24"/>
        </w:rPr>
        <w:t xml:space="preserve"> a</w:t>
      </w:r>
      <w:r w:rsidR="0096371D" w:rsidRPr="006E07C6">
        <w:rPr>
          <w:rFonts w:ascii="Arial" w:hAnsi="Arial" w:cs="Arial"/>
          <w:sz w:val="24"/>
          <w:szCs w:val="24"/>
        </w:rPr>
        <w:t xml:space="preserve"> Prestação de Serviços de</w:t>
      </w:r>
      <w:r w:rsidRPr="006E07C6">
        <w:rPr>
          <w:rFonts w:ascii="Arial" w:hAnsi="Arial" w:cs="Arial"/>
          <w:sz w:val="24"/>
          <w:szCs w:val="24"/>
        </w:rPr>
        <w:t xml:space="preserve"> Transportes Interestaduais e Intermunicipais e de Comunicação (</w:t>
      </w:r>
      <w:r w:rsidRPr="006E07C6">
        <w:rPr>
          <w:rFonts w:ascii="Arial" w:hAnsi="Arial" w:cs="Arial"/>
          <w:sz w:val="24"/>
          <w:szCs w:val="24"/>
          <w:u w:val="single"/>
        </w:rPr>
        <w:t>ICMS</w:t>
      </w:r>
      <w:r w:rsidRPr="006E07C6">
        <w:rPr>
          <w:rFonts w:ascii="Arial" w:hAnsi="Arial" w:cs="Arial"/>
          <w:sz w:val="24"/>
          <w:szCs w:val="24"/>
        </w:rPr>
        <w:t>); b) Imposto sobre a Propriedade de Veículos Automotores (</w:t>
      </w:r>
      <w:r w:rsidRPr="006E07C6">
        <w:rPr>
          <w:rFonts w:ascii="Arial" w:hAnsi="Arial" w:cs="Arial"/>
          <w:sz w:val="24"/>
          <w:szCs w:val="24"/>
          <w:u w:val="single"/>
        </w:rPr>
        <w:t>IPVA</w:t>
      </w:r>
      <w:r w:rsidRPr="006E07C6">
        <w:rPr>
          <w:rFonts w:ascii="Arial" w:hAnsi="Arial" w:cs="Arial"/>
          <w:sz w:val="24"/>
          <w:szCs w:val="24"/>
        </w:rPr>
        <w:t>); c) Imposto sobre Transmissão Causa Mortis e Doação (</w:t>
      </w:r>
      <w:r w:rsidRPr="006E07C6">
        <w:rPr>
          <w:rFonts w:ascii="Arial" w:hAnsi="Arial" w:cs="Arial"/>
          <w:sz w:val="24"/>
          <w:szCs w:val="24"/>
          <w:u w:val="single"/>
        </w:rPr>
        <w:t>ITCMD</w:t>
      </w:r>
      <w:r w:rsidRPr="006E07C6">
        <w:rPr>
          <w:rFonts w:ascii="Arial" w:hAnsi="Arial" w:cs="Arial"/>
          <w:sz w:val="24"/>
          <w:szCs w:val="24"/>
        </w:rPr>
        <w:t>)</w:t>
      </w:r>
      <w:r w:rsidR="00AC504B" w:rsidRPr="006E07C6">
        <w:rPr>
          <w:rFonts w:ascii="Arial" w:hAnsi="Arial" w:cs="Arial"/>
          <w:sz w:val="24"/>
          <w:szCs w:val="24"/>
        </w:rPr>
        <w:t xml:space="preserve">; </w:t>
      </w:r>
      <w:r w:rsidR="00F550A1" w:rsidRPr="006E07C6">
        <w:rPr>
          <w:rFonts w:ascii="Arial" w:hAnsi="Arial" w:cs="Arial"/>
          <w:sz w:val="24"/>
          <w:szCs w:val="24"/>
        </w:rPr>
        <w:t xml:space="preserve">e </w:t>
      </w:r>
      <w:r w:rsidR="00AC504B" w:rsidRPr="006E07C6">
        <w:rPr>
          <w:rFonts w:ascii="Arial" w:hAnsi="Arial" w:cs="Arial"/>
          <w:sz w:val="24"/>
          <w:szCs w:val="24"/>
        </w:rPr>
        <w:t xml:space="preserve">d) </w:t>
      </w:r>
      <w:r w:rsidR="00AC504B" w:rsidRPr="006E07C6">
        <w:rPr>
          <w:rFonts w:ascii="Arial" w:hAnsi="Arial" w:cs="Arial"/>
          <w:sz w:val="24"/>
          <w:szCs w:val="24"/>
          <w:u w:val="single"/>
        </w:rPr>
        <w:t>taxas, contribuições e emolumentos estaduais</w:t>
      </w:r>
      <w:r w:rsidR="00AC504B" w:rsidRPr="006E07C6">
        <w:rPr>
          <w:rFonts w:ascii="Arial" w:hAnsi="Arial" w:cs="Arial"/>
          <w:sz w:val="24"/>
          <w:szCs w:val="24"/>
        </w:rPr>
        <w:t>.</w:t>
      </w:r>
    </w:p>
    <w:p w14:paraId="200164CA" w14:textId="63A86E24" w:rsidR="004A594D" w:rsidRDefault="00C253C0" w:rsidP="00713208">
      <w:pPr>
        <w:spacing w:line="360" w:lineRule="auto"/>
        <w:ind w:firstLine="851"/>
        <w:jc w:val="both"/>
        <w:rPr>
          <w:rFonts w:ascii="Arial" w:hAnsi="Arial" w:cs="Arial"/>
          <w:sz w:val="24"/>
          <w:szCs w:val="24"/>
        </w:rPr>
      </w:pPr>
      <w:r w:rsidRPr="006E07C6">
        <w:rPr>
          <w:rFonts w:ascii="Arial" w:hAnsi="Arial" w:cs="Arial"/>
          <w:sz w:val="24"/>
          <w:szCs w:val="24"/>
        </w:rPr>
        <w:t>En</w:t>
      </w:r>
      <w:r w:rsidR="001E6334" w:rsidRPr="006E07C6">
        <w:rPr>
          <w:rFonts w:ascii="Arial" w:hAnsi="Arial" w:cs="Arial"/>
          <w:sz w:val="24"/>
          <w:szCs w:val="24"/>
        </w:rPr>
        <w:t xml:space="preserve">tretanto, a fim de otimizar o trabalho desta CPI, </w:t>
      </w:r>
      <w:r w:rsidR="001E6334" w:rsidRPr="00111600">
        <w:rPr>
          <w:rFonts w:ascii="Arial" w:hAnsi="Arial" w:cs="Arial"/>
          <w:b/>
          <w:sz w:val="24"/>
          <w:szCs w:val="24"/>
        </w:rPr>
        <w:t>a investigação se debruçou apenas sobre os</w:t>
      </w:r>
      <w:r w:rsidR="00495E09" w:rsidRPr="00111600">
        <w:rPr>
          <w:rFonts w:ascii="Arial" w:hAnsi="Arial" w:cs="Arial"/>
          <w:b/>
          <w:sz w:val="24"/>
          <w:szCs w:val="24"/>
        </w:rPr>
        <w:t xml:space="preserve"> incentivos fiscais relativos a</w:t>
      </w:r>
      <w:r w:rsidR="001E6334" w:rsidRPr="00111600">
        <w:rPr>
          <w:rFonts w:ascii="Arial" w:hAnsi="Arial" w:cs="Arial"/>
          <w:b/>
          <w:sz w:val="24"/>
          <w:szCs w:val="24"/>
        </w:rPr>
        <w:t>o ICMS</w:t>
      </w:r>
      <w:r w:rsidR="00111600">
        <w:rPr>
          <w:rFonts w:ascii="Arial" w:hAnsi="Arial" w:cs="Arial"/>
          <w:b/>
          <w:sz w:val="24"/>
          <w:szCs w:val="24"/>
        </w:rPr>
        <w:t xml:space="preserve">, e ainda assim sobre </w:t>
      </w:r>
      <w:r w:rsidR="00111600" w:rsidRPr="00111600">
        <w:rPr>
          <w:rFonts w:ascii="Arial" w:hAnsi="Arial" w:cs="Arial"/>
          <w:b/>
          <w:sz w:val="24"/>
          <w:szCs w:val="24"/>
        </w:rPr>
        <w:t>os programas FOMENTAR e PRODUZIR e o crédito outorgado</w:t>
      </w:r>
      <w:r w:rsidR="00111600" w:rsidRPr="00111600">
        <w:rPr>
          <w:rFonts w:ascii="Arial" w:hAnsi="Arial" w:cs="Arial"/>
          <w:sz w:val="24"/>
          <w:szCs w:val="24"/>
        </w:rPr>
        <w:t>,</w:t>
      </w:r>
      <w:r w:rsidR="00111600">
        <w:rPr>
          <w:rFonts w:ascii="Arial" w:hAnsi="Arial" w:cs="Arial"/>
          <w:b/>
          <w:sz w:val="24"/>
          <w:szCs w:val="24"/>
        </w:rPr>
        <w:t xml:space="preserve"> </w:t>
      </w:r>
      <w:r w:rsidR="00927B10" w:rsidRPr="006E07C6">
        <w:rPr>
          <w:rFonts w:ascii="Arial" w:hAnsi="Arial" w:cs="Arial"/>
          <w:sz w:val="24"/>
          <w:szCs w:val="24"/>
        </w:rPr>
        <w:t>que se afigura</w:t>
      </w:r>
      <w:r w:rsidR="00111600">
        <w:rPr>
          <w:rFonts w:ascii="Arial" w:hAnsi="Arial" w:cs="Arial"/>
          <w:sz w:val="24"/>
          <w:szCs w:val="24"/>
        </w:rPr>
        <w:t>m</w:t>
      </w:r>
      <w:r w:rsidR="00927B10" w:rsidRPr="006E07C6">
        <w:rPr>
          <w:rFonts w:ascii="Arial" w:hAnsi="Arial" w:cs="Arial"/>
          <w:sz w:val="24"/>
          <w:szCs w:val="24"/>
        </w:rPr>
        <w:t xml:space="preserve">, sem dúvidas, </w:t>
      </w:r>
      <w:r w:rsidR="001E6334" w:rsidRPr="006E07C6">
        <w:rPr>
          <w:rFonts w:ascii="Arial" w:hAnsi="Arial" w:cs="Arial"/>
          <w:sz w:val="24"/>
          <w:szCs w:val="24"/>
        </w:rPr>
        <w:t>o</w:t>
      </w:r>
      <w:r w:rsidR="00111600">
        <w:rPr>
          <w:rFonts w:ascii="Arial" w:hAnsi="Arial" w:cs="Arial"/>
          <w:sz w:val="24"/>
          <w:szCs w:val="24"/>
        </w:rPr>
        <w:t xml:space="preserve">s mais representativos em termos de valores de </w:t>
      </w:r>
      <w:r w:rsidR="001E6334" w:rsidRPr="006E07C6">
        <w:rPr>
          <w:rFonts w:ascii="Arial" w:hAnsi="Arial" w:cs="Arial"/>
          <w:sz w:val="24"/>
          <w:szCs w:val="24"/>
        </w:rPr>
        <w:t>incentivos fiscais concedidos pelo Estado de Goiás</w:t>
      </w:r>
      <w:r w:rsidR="00542ABD" w:rsidRPr="006E07C6">
        <w:rPr>
          <w:rFonts w:ascii="Arial" w:hAnsi="Arial" w:cs="Arial"/>
          <w:sz w:val="24"/>
          <w:szCs w:val="24"/>
        </w:rPr>
        <w:t xml:space="preserve"> nos últimos 20 (vinte) anos</w:t>
      </w:r>
      <w:r w:rsidR="00927B10" w:rsidRPr="006E07C6">
        <w:rPr>
          <w:rFonts w:ascii="Arial" w:hAnsi="Arial" w:cs="Arial"/>
          <w:sz w:val="24"/>
          <w:szCs w:val="24"/>
        </w:rPr>
        <w:t>, tanto qua</w:t>
      </w:r>
      <w:r w:rsidR="00511654" w:rsidRPr="006E07C6">
        <w:rPr>
          <w:rFonts w:ascii="Arial" w:hAnsi="Arial" w:cs="Arial"/>
          <w:sz w:val="24"/>
          <w:szCs w:val="24"/>
        </w:rPr>
        <w:t>ntitativa como qualitativamente;</w:t>
      </w:r>
      <w:r w:rsidR="00927B10" w:rsidRPr="006E07C6">
        <w:rPr>
          <w:rFonts w:ascii="Arial" w:hAnsi="Arial" w:cs="Arial"/>
          <w:sz w:val="24"/>
          <w:szCs w:val="24"/>
        </w:rPr>
        <w:t xml:space="preserve"> e que</w:t>
      </w:r>
      <w:r w:rsidR="00511654" w:rsidRPr="006E07C6">
        <w:rPr>
          <w:rFonts w:ascii="Arial" w:hAnsi="Arial" w:cs="Arial"/>
          <w:sz w:val="24"/>
          <w:szCs w:val="24"/>
        </w:rPr>
        <w:t>, por essa razão,</w:t>
      </w:r>
      <w:r w:rsidR="00927B10" w:rsidRPr="006E07C6">
        <w:rPr>
          <w:rFonts w:ascii="Arial" w:hAnsi="Arial" w:cs="Arial"/>
          <w:sz w:val="24"/>
          <w:szCs w:val="24"/>
        </w:rPr>
        <w:t xml:space="preserve"> merece uma análise mais detida</w:t>
      </w:r>
      <w:r w:rsidR="001E6334" w:rsidRPr="006E07C6">
        <w:rPr>
          <w:rFonts w:ascii="Arial" w:hAnsi="Arial" w:cs="Arial"/>
          <w:sz w:val="24"/>
          <w:szCs w:val="24"/>
        </w:rPr>
        <w:t>.</w:t>
      </w:r>
      <w:r w:rsidR="00C12102" w:rsidRPr="006E07C6">
        <w:rPr>
          <w:rFonts w:ascii="Arial" w:hAnsi="Arial" w:cs="Arial"/>
          <w:sz w:val="24"/>
          <w:szCs w:val="24"/>
        </w:rPr>
        <w:t xml:space="preserve"> Os benefícios fiscais relacionados ao ICMS estão catalogados nos arts. 41 e 42 da Lei nº 11.651, </w:t>
      </w:r>
      <w:r w:rsidR="00962F6B" w:rsidRPr="006E07C6">
        <w:rPr>
          <w:rFonts w:ascii="Arial" w:hAnsi="Arial" w:cs="Arial"/>
          <w:bCs/>
          <w:sz w:val="24"/>
          <w:szCs w:val="24"/>
        </w:rPr>
        <w:t>de 26 de dezembro de 1991 –</w:t>
      </w:r>
      <w:r w:rsidR="00962F6B" w:rsidRPr="006E07C6">
        <w:rPr>
          <w:rFonts w:ascii="Arial" w:hAnsi="Arial" w:cs="Arial"/>
          <w:sz w:val="24"/>
          <w:szCs w:val="24"/>
        </w:rPr>
        <w:t xml:space="preserve"> CTE/GO</w:t>
      </w:r>
      <w:r w:rsidR="00C12102" w:rsidRPr="006E07C6">
        <w:rPr>
          <w:rStyle w:val="Refdenotaderodap"/>
          <w:rFonts w:ascii="Arial" w:hAnsi="Arial" w:cs="Arial"/>
          <w:sz w:val="24"/>
          <w:szCs w:val="24"/>
        </w:rPr>
        <w:footnoteReference w:id="2"/>
      </w:r>
      <w:r w:rsidR="00C12102" w:rsidRPr="006E07C6">
        <w:rPr>
          <w:rFonts w:ascii="Arial" w:hAnsi="Arial" w:cs="Arial"/>
          <w:sz w:val="24"/>
          <w:szCs w:val="24"/>
        </w:rPr>
        <w:t>.</w:t>
      </w:r>
    </w:p>
    <w:p w14:paraId="09F72B87" w14:textId="6B3EB06D" w:rsidR="00C253C0" w:rsidRPr="006E07C6" w:rsidRDefault="004A594D" w:rsidP="00713208">
      <w:pPr>
        <w:spacing w:line="360" w:lineRule="auto"/>
        <w:ind w:firstLine="851"/>
        <w:jc w:val="both"/>
        <w:rPr>
          <w:rFonts w:ascii="Arial" w:hAnsi="Arial" w:cs="Arial"/>
          <w:sz w:val="24"/>
          <w:szCs w:val="24"/>
        </w:rPr>
      </w:pPr>
      <w:r>
        <w:rPr>
          <w:rFonts w:ascii="Arial" w:hAnsi="Arial" w:cs="Arial"/>
          <w:sz w:val="24"/>
          <w:szCs w:val="24"/>
        </w:rPr>
        <w:lastRenderedPageBreak/>
        <w:t xml:space="preserve">O </w:t>
      </w:r>
      <w:r w:rsidRPr="00111600">
        <w:rPr>
          <w:rFonts w:ascii="Arial" w:hAnsi="Arial" w:cs="Arial"/>
          <w:b/>
          <w:sz w:val="24"/>
          <w:szCs w:val="24"/>
        </w:rPr>
        <w:t>foco</w:t>
      </w:r>
      <w:r>
        <w:rPr>
          <w:rFonts w:ascii="Arial" w:hAnsi="Arial" w:cs="Arial"/>
          <w:sz w:val="24"/>
          <w:szCs w:val="24"/>
        </w:rPr>
        <w:t xml:space="preserve"> dos trabalhos</w:t>
      </w:r>
      <w:r w:rsidR="00111600">
        <w:rPr>
          <w:rFonts w:ascii="Arial" w:hAnsi="Arial" w:cs="Arial"/>
          <w:sz w:val="24"/>
          <w:szCs w:val="24"/>
        </w:rPr>
        <w:t>, porém, também em razão de limitações materiais e temporais,</w:t>
      </w:r>
      <w:r>
        <w:rPr>
          <w:rFonts w:ascii="Arial" w:hAnsi="Arial" w:cs="Arial"/>
          <w:sz w:val="24"/>
          <w:szCs w:val="24"/>
        </w:rPr>
        <w:t xml:space="preserve"> deu-se na análise do </w:t>
      </w:r>
      <w:r w:rsidRPr="00111600">
        <w:rPr>
          <w:rFonts w:ascii="Arial" w:hAnsi="Arial" w:cs="Arial"/>
          <w:b/>
          <w:sz w:val="24"/>
          <w:szCs w:val="24"/>
        </w:rPr>
        <w:t>período de 2014 a 2018</w:t>
      </w:r>
      <w:r>
        <w:rPr>
          <w:rFonts w:ascii="Arial" w:hAnsi="Arial" w:cs="Arial"/>
          <w:sz w:val="24"/>
          <w:szCs w:val="24"/>
        </w:rPr>
        <w:t>, sem prejuízo de eventuais observações</w:t>
      </w:r>
      <w:r w:rsidR="00111600">
        <w:rPr>
          <w:rFonts w:ascii="Arial" w:hAnsi="Arial" w:cs="Arial"/>
          <w:sz w:val="24"/>
          <w:szCs w:val="24"/>
        </w:rPr>
        <w:t xml:space="preserve"> pontuais</w:t>
      </w:r>
      <w:r>
        <w:rPr>
          <w:rFonts w:ascii="Arial" w:hAnsi="Arial" w:cs="Arial"/>
          <w:sz w:val="24"/>
          <w:szCs w:val="24"/>
        </w:rPr>
        <w:t xml:space="preserve"> relacionadas a intervalos</w:t>
      </w:r>
      <w:r w:rsidR="00111600">
        <w:rPr>
          <w:rFonts w:ascii="Arial" w:hAnsi="Arial" w:cs="Arial"/>
          <w:sz w:val="24"/>
          <w:szCs w:val="24"/>
        </w:rPr>
        <w:t xml:space="preserve"> anteriores</w:t>
      </w:r>
      <w:r>
        <w:rPr>
          <w:rFonts w:ascii="Arial" w:hAnsi="Arial" w:cs="Arial"/>
          <w:sz w:val="24"/>
          <w:szCs w:val="24"/>
        </w:rPr>
        <w:t xml:space="preserve"> de tempo.</w:t>
      </w:r>
    </w:p>
    <w:p w14:paraId="29EC85C1" w14:textId="2550B586" w:rsidR="006261E9" w:rsidRPr="006E07C6" w:rsidRDefault="006261E9" w:rsidP="00713208">
      <w:pPr>
        <w:spacing w:line="360" w:lineRule="auto"/>
        <w:ind w:firstLine="851"/>
        <w:jc w:val="both"/>
        <w:rPr>
          <w:rFonts w:ascii="Arial" w:hAnsi="Arial" w:cs="Arial"/>
          <w:b/>
          <w:sz w:val="24"/>
          <w:szCs w:val="24"/>
          <w:u w:val="single"/>
        </w:rPr>
      </w:pPr>
    </w:p>
    <w:p w14:paraId="07AA4BC7" w14:textId="77777777" w:rsidR="005762E4" w:rsidRDefault="005762E4" w:rsidP="00F03DBF">
      <w:pPr>
        <w:spacing w:line="360" w:lineRule="auto"/>
        <w:ind w:firstLine="851"/>
        <w:jc w:val="both"/>
        <w:rPr>
          <w:rFonts w:ascii="Arial" w:hAnsi="Arial" w:cs="Arial"/>
          <w:b/>
          <w:sz w:val="24"/>
          <w:szCs w:val="24"/>
          <w:u w:val="single"/>
        </w:rPr>
      </w:pPr>
    </w:p>
    <w:p w14:paraId="37F3A95E" w14:textId="2C85AD8A" w:rsidR="002612FE" w:rsidRDefault="002612FE">
      <w:pPr>
        <w:rPr>
          <w:rFonts w:ascii="Arial" w:hAnsi="Arial" w:cs="Arial"/>
          <w:b/>
          <w:sz w:val="24"/>
          <w:szCs w:val="24"/>
          <w:u w:val="single"/>
        </w:rPr>
      </w:pPr>
      <w:r>
        <w:rPr>
          <w:rFonts w:ascii="Arial" w:hAnsi="Arial" w:cs="Arial"/>
          <w:b/>
          <w:sz w:val="24"/>
          <w:szCs w:val="24"/>
          <w:u w:val="single"/>
        </w:rPr>
        <w:br w:type="page"/>
      </w:r>
    </w:p>
    <w:p w14:paraId="10C3A0A1" w14:textId="77777777" w:rsidR="00A83EFB" w:rsidRDefault="00A83EFB" w:rsidP="00F03DBF">
      <w:pPr>
        <w:spacing w:line="360" w:lineRule="auto"/>
        <w:ind w:firstLine="851"/>
        <w:jc w:val="both"/>
        <w:rPr>
          <w:rFonts w:ascii="Arial" w:hAnsi="Arial" w:cs="Arial"/>
          <w:b/>
          <w:sz w:val="24"/>
          <w:szCs w:val="24"/>
          <w:u w:val="single"/>
        </w:rPr>
      </w:pPr>
    </w:p>
    <w:p w14:paraId="6BAF5E65" w14:textId="0F7B85AB" w:rsidR="00F03DBF" w:rsidRPr="006E07C6" w:rsidRDefault="00F03DBF" w:rsidP="00F03DBF">
      <w:pPr>
        <w:spacing w:line="360" w:lineRule="auto"/>
        <w:ind w:firstLine="851"/>
        <w:jc w:val="both"/>
        <w:rPr>
          <w:rFonts w:ascii="Arial" w:hAnsi="Arial" w:cs="Arial"/>
          <w:b/>
          <w:sz w:val="24"/>
          <w:szCs w:val="24"/>
          <w:u w:val="single"/>
        </w:rPr>
      </w:pPr>
      <w:r w:rsidRPr="006E07C6">
        <w:rPr>
          <w:rFonts w:ascii="Arial" w:hAnsi="Arial" w:cs="Arial"/>
          <w:b/>
          <w:sz w:val="24"/>
          <w:szCs w:val="24"/>
          <w:u w:val="single"/>
        </w:rPr>
        <w:t>3 – PANORAMA ACERCA DO TEMA INCENTIVOS FISCAIS NO BRASIL E NO ESTADO DE GOIÁS</w:t>
      </w:r>
    </w:p>
    <w:p w14:paraId="46309F39" w14:textId="40F4C772" w:rsidR="00C30C86" w:rsidRPr="006E07C6" w:rsidRDefault="00C30C86" w:rsidP="00713208">
      <w:pPr>
        <w:spacing w:line="360" w:lineRule="auto"/>
        <w:ind w:firstLine="851"/>
        <w:jc w:val="both"/>
        <w:rPr>
          <w:rFonts w:ascii="Arial" w:hAnsi="Arial" w:cs="Arial"/>
          <w:b/>
          <w:sz w:val="24"/>
          <w:szCs w:val="24"/>
          <w:u w:val="single"/>
        </w:rPr>
      </w:pPr>
    </w:p>
    <w:p w14:paraId="1C95FA24" w14:textId="77E70CBA" w:rsidR="00C30C86" w:rsidRPr="006E07C6" w:rsidRDefault="00BD7D66" w:rsidP="00713208">
      <w:pPr>
        <w:spacing w:line="360" w:lineRule="auto"/>
        <w:ind w:firstLine="851"/>
        <w:jc w:val="both"/>
        <w:rPr>
          <w:rFonts w:ascii="Arial" w:hAnsi="Arial" w:cs="Arial"/>
          <w:b/>
          <w:sz w:val="24"/>
          <w:szCs w:val="24"/>
        </w:rPr>
      </w:pPr>
      <w:r w:rsidRPr="006E07C6">
        <w:rPr>
          <w:rFonts w:ascii="Arial" w:hAnsi="Arial" w:cs="Arial"/>
          <w:b/>
          <w:sz w:val="24"/>
          <w:szCs w:val="24"/>
        </w:rPr>
        <w:t>3.1</w:t>
      </w:r>
      <w:r w:rsidR="003275D4" w:rsidRPr="006E07C6">
        <w:rPr>
          <w:rFonts w:ascii="Arial" w:hAnsi="Arial" w:cs="Arial"/>
          <w:b/>
          <w:sz w:val="24"/>
          <w:szCs w:val="24"/>
        </w:rPr>
        <w:t xml:space="preserve"> </w:t>
      </w:r>
      <w:r w:rsidR="00421965">
        <w:rPr>
          <w:rFonts w:ascii="Arial" w:hAnsi="Arial" w:cs="Arial"/>
          <w:b/>
          <w:sz w:val="24"/>
          <w:szCs w:val="24"/>
        </w:rPr>
        <w:t xml:space="preserve">– </w:t>
      </w:r>
      <w:r w:rsidR="006A19F8" w:rsidRPr="006E07C6">
        <w:rPr>
          <w:rFonts w:ascii="Arial" w:hAnsi="Arial" w:cs="Arial"/>
          <w:b/>
          <w:sz w:val="24"/>
          <w:szCs w:val="24"/>
        </w:rPr>
        <w:t>A GUERRA FISCAL</w:t>
      </w:r>
      <w:r w:rsidR="00AD10C6" w:rsidRPr="006E07C6">
        <w:rPr>
          <w:rFonts w:ascii="Arial" w:hAnsi="Arial" w:cs="Arial"/>
          <w:b/>
          <w:sz w:val="24"/>
          <w:szCs w:val="24"/>
        </w:rPr>
        <w:t xml:space="preserve"> DE ICMS</w:t>
      </w:r>
      <w:r w:rsidR="006A19F8" w:rsidRPr="006E07C6">
        <w:rPr>
          <w:rFonts w:ascii="Arial" w:hAnsi="Arial" w:cs="Arial"/>
          <w:b/>
          <w:sz w:val="24"/>
          <w:szCs w:val="24"/>
        </w:rPr>
        <w:t xml:space="preserve"> E O PANORAMA NACIONAL</w:t>
      </w:r>
    </w:p>
    <w:p w14:paraId="5406E240" w14:textId="77777777" w:rsidR="006A19F8" w:rsidRPr="006E07C6" w:rsidRDefault="006A19F8" w:rsidP="006A19F8">
      <w:pPr>
        <w:spacing w:line="360" w:lineRule="auto"/>
        <w:ind w:firstLine="851"/>
        <w:jc w:val="both"/>
        <w:rPr>
          <w:rFonts w:ascii="Arial" w:hAnsi="Arial" w:cs="Arial"/>
          <w:sz w:val="24"/>
          <w:szCs w:val="24"/>
        </w:rPr>
      </w:pPr>
    </w:p>
    <w:p w14:paraId="749C80EA" w14:textId="526E0B3E" w:rsidR="006A19F8" w:rsidRPr="006E07C6" w:rsidRDefault="003C1BA8" w:rsidP="006A19F8">
      <w:pPr>
        <w:spacing w:line="360" w:lineRule="auto"/>
        <w:ind w:firstLine="851"/>
        <w:jc w:val="both"/>
        <w:rPr>
          <w:rFonts w:ascii="Arial" w:hAnsi="Arial" w:cs="Arial"/>
          <w:sz w:val="24"/>
          <w:szCs w:val="24"/>
        </w:rPr>
      </w:pPr>
      <w:r w:rsidRPr="006E07C6">
        <w:rPr>
          <w:rFonts w:ascii="Arial" w:hAnsi="Arial" w:cs="Arial"/>
          <w:b/>
          <w:sz w:val="24"/>
          <w:szCs w:val="24"/>
        </w:rPr>
        <w:t xml:space="preserve">3.1.1. </w:t>
      </w:r>
      <w:r w:rsidR="006A19F8" w:rsidRPr="006E07C6">
        <w:rPr>
          <w:rFonts w:ascii="Arial" w:hAnsi="Arial" w:cs="Arial"/>
          <w:sz w:val="24"/>
          <w:szCs w:val="24"/>
        </w:rPr>
        <w:t xml:space="preserve">O </w:t>
      </w:r>
      <w:r w:rsidR="006A19F8" w:rsidRPr="006E07C6">
        <w:rPr>
          <w:rFonts w:ascii="Arial" w:hAnsi="Arial" w:cs="Arial"/>
          <w:b/>
          <w:sz w:val="24"/>
          <w:szCs w:val="24"/>
          <w:u w:val="single"/>
        </w:rPr>
        <w:t>ICMS</w:t>
      </w:r>
      <w:r w:rsidR="006A19F8" w:rsidRPr="006E07C6">
        <w:rPr>
          <w:rFonts w:ascii="Arial" w:hAnsi="Arial" w:cs="Arial"/>
          <w:sz w:val="24"/>
          <w:szCs w:val="24"/>
        </w:rPr>
        <w:t xml:space="preserve">, não obstante inserido constitucionalmente na competência tributária dos Estados-membros e do Distrito Federal, apresenta </w:t>
      </w:r>
      <w:r w:rsidR="006A19F8" w:rsidRPr="006E07C6">
        <w:rPr>
          <w:rFonts w:ascii="Arial" w:hAnsi="Arial" w:cs="Arial"/>
          <w:b/>
          <w:sz w:val="24"/>
          <w:szCs w:val="24"/>
        </w:rPr>
        <w:t>inequívoca vocação de imposto nacional</w:t>
      </w:r>
      <w:r w:rsidR="005D31B3" w:rsidRPr="006E07C6">
        <w:rPr>
          <w:rFonts w:ascii="Arial" w:hAnsi="Arial" w:cs="Arial"/>
          <w:sz w:val="24"/>
          <w:szCs w:val="24"/>
        </w:rPr>
        <w:t xml:space="preserve">, conforme bem exposto por </w:t>
      </w:r>
      <w:r w:rsidR="005D31B3" w:rsidRPr="006E07C6">
        <w:rPr>
          <w:rFonts w:ascii="Arial" w:hAnsi="Arial" w:cs="Arial"/>
          <w:b/>
          <w:sz w:val="24"/>
          <w:szCs w:val="24"/>
        </w:rPr>
        <w:t>Kiyoshi Harada</w:t>
      </w:r>
      <w:r w:rsidR="005D31B3" w:rsidRPr="006E07C6">
        <w:rPr>
          <w:rStyle w:val="Refdenotaderodap"/>
          <w:rFonts w:ascii="Arial" w:hAnsi="Arial" w:cs="Arial"/>
          <w:sz w:val="24"/>
          <w:szCs w:val="24"/>
        </w:rPr>
        <w:footnoteReference w:id="3"/>
      </w:r>
      <w:r w:rsidR="005D31B3" w:rsidRPr="006E07C6">
        <w:rPr>
          <w:rFonts w:ascii="Arial" w:hAnsi="Arial" w:cs="Arial"/>
          <w:sz w:val="24"/>
          <w:szCs w:val="24"/>
        </w:rPr>
        <w:t>:</w:t>
      </w:r>
    </w:p>
    <w:p w14:paraId="43CA8CC7" w14:textId="6B1477E1" w:rsidR="005D31B3" w:rsidRPr="006E07C6" w:rsidRDefault="005D31B3" w:rsidP="006A19F8">
      <w:pPr>
        <w:spacing w:line="360" w:lineRule="auto"/>
        <w:ind w:firstLine="851"/>
        <w:jc w:val="both"/>
        <w:rPr>
          <w:rFonts w:ascii="Arial" w:hAnsi="Arial" w:cs="Arial"/>
          <w:sz w:val="24"/>
          <w:szCs w:val="24"/>
        </w:rPr>
      </w:pPr>
    </w:p>
    <w:p w14:paraId="0B47EEE6" w14:textId="684FECC6" w:rsidR="005D31B3" w:rsidRPr="006E07C6" w:rsidRDefault="005D31B3" w:rsidP="00495E09">
      <w:pPr>
        <w:ind w:left="2268"/>
        <w:jc w:val="both"/>
        <w:rPr>
          <w:rFonts w:ascii="Arial" w:hAnsi="Arial" w:cs="Arial"/>
          <w:sz w:val="22"/>
          <w:szCs w:val="22"/>
        </w:rPr>
      </w:pPr>
      <w:r w:rsidRPr="006E07C6">
        <w:rPr>
          <w:rFonts w:ascii="Arial" w:hAnsi="Arial" w:cs="Arial"/>
          <w:sz w:val="22"/>
          <w:szCs w:val="22"/>
        </w:rPr>
        <w:t xml:space="preserve">Contrariamente ao que dispunham as ordens constitucionais antecedentes em relação ao antigo ICM, </w:t>
      </w:r>
      <w:r w:rsidRPr="006E07C6">
        <w:rPr>
          <w:rFonts w:ascii="Arial" w:hAnsi="Arial" w:cs="Arial"/>
          <w:b/>
          <w:sz w:val="22"/>
          <w:szCs w:val="22"/>
          <w:u w:val="single"/>
        </w:rPr>
        <w:t>a Carta Política de 1988, no tocante ao ICMS, procedeu à estruturação detalhada desse imposto</w:t>
      </w:r>
      <w:r w:rsidRPr="006E07C6">
        <w:rPr>
          <w:rFonts w:ascii="Arial" w:hAnsi="Arial" w:cs="Arial"/>
          <w:sz w:val="22"/>
          <w:szCs w:val="22"/>
        </w:rPr>
        <w:t xml:space="preserve">. Pelo inciso II do art. 155, o ICMS foi inserido na competência tributária dos Estados e do Distrito Federal. Os §§ 2.º, 3.º, 4.º e 5.º, cada um deles contendo inúmeros incisos e letras, completam a regulamentação minuciosa desse imposto, pouco deixando à colaboração dos legisladores infraconstitucionais. Os legisladores estaduais sofrem, ainda, as limitações impostas pela lei de regência nacional do ICMS, Lei Complementar 87, de 13.09.1996, além das resoluções do Senado Federal elaboradas naqueles casos previstos na Constituição. </w:t>
      </w:r>
      <w:r w:rsidRPr="006E07C6">
        <w:rPr>
          <w:rFonts w:ascii="Arial" w:hAnsi="Arial" w:cs="Arial"/>
          <w:b/>
          <w:sz w:val="22"/>
          <w:szCs w:val="22"/>
        </w:rPr>
        <w:t>Todo esse aparato legislativo tornou-se necessário por ter atribuído aos Estados e ao Distrito Federal um imposto de vocação nacional decorrente dos reflexos econômico-financeiros entre os Estados que resultam do sistema de compensação de créditos gerados no mesmo ou em outro Estado, assim como da política de desoneração tributária</w:t>
      </w:r>
      <w:r w:rsidRPr="006E07C6">
        <w:rPr>
          <w:rFonts w:ascii="Arial" w:hAnsi="Arial" w:cs="Arial"/>
          <w:sz w:val="22"/>
          <w:szCs w:val="22"/>
        </w:rPr>
        <w:t>.</w:t>
      </w:r>
    </w:p>
    <w:p w14:paraId="5D3B5F97" w14:textId="0CA7EB00" w:rsidR="00C23A0C" w:rsidRPr="006E07C6" w:rsidRDefault="00C23A0C" w:rsidP="00495E09">
      <w:pPr>
        <w:ind w:left="2268"/>
        <w:jc w:val="both"/>
        <w:rPr>
          <w:rFonts w:ascii="Arial" w:hAnsi="Arial" w:cs="Arial"/>
          <w:sz w:val="22"/>
          <w:szCs w:val="22"/>
        </w:rPr>
      </w:pPr>
      <w:r w:rsidRPr="006E07C6">
        <w:rPr>
          <w:rFonts w:ascii="Arial" w:hAnsi="Arial" w:cs="Arial"/>
          <w:sz w:val="22"/>
          <w:szCs w:val="22"/>
        </w:rPr>
        <w:t>[...].</w:t>
      </w:r>
    </w:p>
    <w:p w14:paraId="20EF2942" w14:textId="3090B8AE" w:rsidR="00C23A0C" w:rsidRPr="006E07C6" w:rsidRDefault="00C23A0C" w:rsidP="00495E09">
      <w:pPr>
        <w:ind w:left="2268"/>
        <w:jc w:val="both"/>
        <w:rPr>
          <w:rFonts w:ascii="Arial" w:hAnsi="Arial" w:cs="Arial"/>
          <w:sz w:val="22"/>
          <w:szCs w:val="22"/>
        </w:rPr>
      </w:pPr>
      <w:r w:rsidRPr="006E07C6">
        <w:rPr>
          <w:rFonts w:ascii="Arial" w:hAnsi="Arial" w:cs="Arial"/>
          <w:sz w:val="22"/>
          <w:szCs w:val="22"/>
        </w:rPr>
        <w:t xml:space="preserve">É curioso observar desde logo que nenhum outro imposto mereceu tanto detalhamento no texto constitucional como o ICMS de competência impositiva dos Estados. Isso se deve ao fato de que </w:t>
      </w:r>
      <w:r w:rsidRPr="006E07C6">
        <w:rPr>
          <w:rFonts w:ascii="Arial" w:hAnsi="Arial" w:cs="Arial"/>
          <w:b/>
          <w:sz w:val="22"/>
          <w:szCs w:val="22"/>
        </w:rPr>
        <w:t>esse imposto se reveste caráter nacional</w:t>
      </w:r>
      <w:r w:rsidR="00244909" w:rsidRPr="006E07C6">
        <w:rPr>
          <w:rFonts w:ascii="Arial" w:hAnsi="Arial" w:cs="Arial"/>
          <w:b/>
          <w:sz w:val="22"/>
          <w:szCs w:val="22"/>
        </w:rPr>
        <w:t xml:space="preserve"> exigindo edição de normas constitucionais e legais, em nível de lei complementar, para assegurar o princípio da unidade nacional tendo em vista o envolvimento de uma série de situações como a garantia do crédito do imposto pago na operação anterior em qualquer Estado, as isenções, os diferentes tipos de incentivos fiscais, as operações interestaduais</w:t>
      </w:r>
      <w:r w:rsidR="00244909" w:rsidRPr="006E07C6">
        <w:rPr>
          <w:rFonts w:ascii="Arial" w:hAnsi="Arial" w:cs="Arial"/>
          <w:sz w:val="22"/>
          <w:szCs w:val="22"/>
        </w:rPr>
        <w:t xml:space="preserve"> </w:t>
      </w:r>
      <w:r w:rsidR="00244909" w:rsidRPr="006E07C6">
        <w:rPr>
          <w:rFonts w:ascii="Arial" w:hAnsi="Arial" w:cs="Arial"/>
          <w:b/>
          <w:sz w:val="22"/>
          <w:szCs w:val="22"/>
        </w:rPr>
        <w:t>etc</w:t>
      </w:r>
      <w:r w:rsidR="00244909" w:rsidRPr="006E07C6">
        <w:rPr>
          <w:rFonts w:ascii="Arial" w:hAnsi="Arial" w:cs="Arial"/>
          <w:sz w:val="22"/>
          <w:szCs w:val="22"/>
        </w:rPr>
        <w:t>.</w:t>
      </w:r>
    </w:p>
    <w:p w14:paraId="3B09C533" w14:textId="135CCF1A" w:rsidR="00244909" w:rsidRPr="006E07C6" w:rsidRDefault="00244909" w:rsidP="00495E09">
      <w:pPr>
        <w:ind w:left="2268"/>
        <w:jc w:val="both"/>
        <w:rPr>
          <w:rFonts w:ascii="Arial" w:hAnsi="Arial" w:cs="Arial"/>
          <w:b/>
          <w:sz w:val="22"/>
          <w:szCs w:val="22"/>
        </w:rPr>
      </w:pPr>
      <w:r w:rsidRPr="006E07C6">
        <w:rPr>
          <w:rFonts w:ascii="Arial" w:hAnsi="Arial" w:cs="Arial"/>
          <w:sz w:val="22"/>
          <w:szCs w:val="22"/>
        </w:rPr>
        <w:t>[...].</w:t>
      </w:r>
    </w:p>
    <w:p w14:paraId="25F4B703" w14:textId="77777777" w:rsidR="00600654" w:rsidRPr="006E07C6" w:rsidRDefault="00600654" w:rsidP="00713208">
      <w:pPr>
        <w:spacing w:line="360" w:lineRule="auto"/>
        <w:ind w:firstLine="851"/>
        <w:jc w:val="both"/>
        <w:rPr>
          <w:rFonts w:ascii="Arial" w:hAnsi="Arial" w:cs="Arial"/>
          <w:b/>
          <w:sz w:val="24"/>
          <w:szCs w:val="24"/>
        </w:rPr>
      </w:pPr>
    </w:p>
    <w:p w14:paraId="365F9585" w14:textId="2CB7E5B9" w:rsidR="008D38A8" w:rsidRPr="006E07C6" w:rsidRDefault="003C1BA8" w:rsidP="00713208">
      <w:pPr>
        <w:spacing w:line="360" w:lineRule="auto"/>
        <w:ind w:firstLine="851"/>
        <w:jc w:val="both"/>
        <w:rPr>
          <w:rFonts w:ascii="Arial" w:hAnsi="Arial" w:cs="Arial"/>
          <w:sz w:val="24"/>
          <w:szCs w:val="24"/>
        </w:rPr>
      </w:pPr>
      <w:r w:rsidRPr="006E07C6">
        <w:rPr>
          <w:rFonts w:ascii="Arial" w:hAnsi="Arial" w:cs="Arial"/>
          <w:b/>
          <w:sz w:val="24"/>
          <w:szCs w:val="24"/>
        </w:rPr>
        <w:t xml:space="preserve">3.1.2. </w:t>
      </w:r>
      <w:r w:rsidR="00051E92" w:rsidRPr="006E07C6">
        <w:rPr>
          <w:rFonts w:ascii="Arial" w:hAnsi="Arial" w:cs="Arial"/>
          <w:sz w:val="24"/>
          <w:szCs w:val="24"/>
        </w:rPr>
        <w:t xml:space="preserve">Justamente em face dessa vocação nacional do imposto, o </w:t>
      </w:r>
      <w:r w:rsidR="00051E92" w:rsidRPr="006E07C6">
        <w:rPr>
          <w:rFonts w:ascii="Arial" w:hAnsi="Arial" w:cs="Arial"/>
          <w:b/>
          <w:sz w:val="24"/>
          <w:szCs w:val="24"/>
          <w:u w:val="single"/>
        </w:rPr>
        <w:t xml:space="preserve">art. 155, § 2º, XII, “g”, da CRFB </w:t>
      </w:r>
      <w:r w:rsidR="00051E92" w:rsidRPr="007A5B0E">
        <w:rPr>
          <w:rFonts w:ascii="Arial" w:hAnsi="Arial" w:cs="Arial"/>
          <w:b/>
          <w:sz w:val="24"/>
          <w:szCs w:val="24"/>
          <w:u w:val="single"/>
        </w:rPr>
        <w:t>(correspondente ao art. 104, § 2º, X, “g”, da CE/GO)</w:t>
      </w:r>
      <w:r w:rsidR="00051E92" w:rsidRPr="007A5B0E">
        <w:rPr>
          <w:rFonts w:ascii="Arial" w:hAnsi="Arial" w:cs="Arial"/>
          <w:sz w:val="24"/>
          <w:szCs w:val="24"/>
        </w:rPr>
        <w:t xml:space="preserve"> </w:t>
      </w:r>
      <w:r w:rsidR="00051E92" w:rsidRPr="006E07C6">
        <w:rPr>
          <w:rFonts w:ascii="Arial" w:hAnsi="Arial" w:cs="Arial"/>
          <w:sz w:val="24"/>
          <w:szCs w:val="24"/>
        </w:rPr>
        <w:t xml:space="preserve">prevê caber à </w:t>
      </w:r>
      <w:r w:rsidR="00051E92" w:rsidRPr="006E07C6">
        <w:rPr>
          <w:rFonts w:ascii="Arial" w:hAnsi="Arial" w:cs="Arial"/>
          <w:sz w:val="24"/>
          <w:szCs w:val="24"/>
        </w:rPr>
        <w:lastRenderedPageBreak/>
        <w:t>lei complementar “regular a forma como, mediante deliberação dos Estados e do Distrito Federal, isenções, incentivos e benefícios fiscais serão concedidos e revogados”</w:t>
      </w:r>
      <w:r w:rsidR="008D38A8" w:rsidRPr="006E07C6">
        <w:rPr>
          <w:rFonts w:ascii="Arial" w:hAnsi="Arial" w:cs="Arial"/>
          <w:sz w:val="24"/>
          <w:szCs w:val="24"/>
        </w:rPr>
        <w:t>.</w:t>
      </w:r>
    </w:p>
    <w:p w14:paraId="20A6F291" w14:textId="2E55C6B6" w:rsidR="00051E92" w:rsidRPr="006E07C6" w:rsidRDefault="008D38A8" w:rsidP="00D21131">
      <w:pPr>
        <w:spacing w:line="360" w:lineRule="auto"/>
        <w:ind w:firstLine="851"/>
        <w:jc w:val="both"/>
        <w:rPr>
          <w:rFonts w:ascii="Arial" w:hAnsi="Arial" w:cs="Arial"/>
          <w:sz w:val="24"/>
          <w:szCs w:val="24"/>
        </w:rPr>
      </w:pPr>
      <w:r w:rsidRPr="006E07C6">
        <w:rPr>
          <w:rFonts w:ascii="Arial" w:hAnsi="Arial" w:cs="Arial"/>
          <w:b/>
          <w:sz w:val="24"/>
          <w:szCs w:val="24"/>
        </w:rPr>
        <w:t>Essa</w:t>
      </w:r>
      <w:r w:rsidR="00051E92" w:rsidRPr="006E07C6">
        <w:rPr>
          <w:rFonts w:ascii="Arial" w:hAnsi="Arial" w:cs="Arial"/>
          <w:b/>
          <w:sz w:val="24"/>
          <w:szCs w:val="24"/>
        </w:rPr>
        <w:t xml:space="preserve"> função </w:t>
      </w:r>
      <w:r w:rsidR="00D21131" w:rsidRPr="006E07C6">
        <w:rPr>
          <w:rFonts w:ascii="Arial" w:hAnsi="Arial" w:cs="Arial"/>
          <w:b/>
          <w:sz w:val="24"/>
          <w:szCs w:val="24"/>
        </w:rPr>
        <w:t>é</w:t>
      </w:r>
      <w:r w:rsidR="00051E92" w:rsidRPr="006E07C6">
        <w:rPr>
          <w:rFonts w:ascii="Arial" w:hAnsi="Arial" w:cs="Arial"/>
          <w:b/>
          <w:sz w:val="24"/>
          <w:szCs w:val="24"/>
        </w:rPr>
        <w:t xml:space="preserve"> desempenhada atualmente pela LC nº 24/1975</w:t>
      </w:r>
      <w:r w:rsidR="00D21131" w:rsidRPr="006E07C6">
        <w:rPr>
          <w:rFonts w:ascii="Arial" w:hAnsi="Arial" w:cs="Arial"/>
          <w:sz w:val="24"/>
          <w:szCs w:val="24"/>
        </w:rPr>
        <w:t>, que “dispõe sobre os convênios para a concessão de isenções do imposto sobre operações relativas à circulação de mercadorias, e dá outras providências”, editada ainda sob a égide do ICM do sistema tributário anterior</w:t>
      </w:r>
      <w:r w:rsidR="00FB041E" w:rsidRPr="006E07C6">
        <w:rPr>
          <w:rFonts w:ascii="Arial" w:hAnsi="Arial" w:cs="Arial"/>
          <w:sz w:val="24"/>
          <w:szCs w:val="24"/>
        </w:rPr>
        <w:t xml:space="preserve">, mas recepcionada </w:t>
      </w:r>
      <w:r w:rsidR="00D21131" w:rsidRPr="006E07C6">
        <w:rPr>
          <w:rFonts w:ascii="Arial" w:hAnsi="Arial" w:cs="Arial"/>
          <w:sz w:val="24"/>
          <w:szCs w:val="24"/>
        </w:rPr>
        <w:t xml:space="preserve">pela </w:t>
      </w:r>
      <w:r w:rsidR="00055D10" w:rsidRPr="006E07C6">
        <w:rPr>
          <w:rFonts w:ascii="Arial" w:hAnsi="Arial" w:cs="Arial"/>
          <w:sz w:val="24"/>
          <w:szCs w:val="24"/>
        </w:rPr>
        <w:t>vigente</w:t>
      </w:r>
      <w:r w:rsidR="00D21131" w:rsidRPr="006E07C6">
        <w:rPr>
          <w:rFonts w:ascii="Arial" w:hAnsi="Arial" w:cs="Arial"/>
          <w:sz w:val="24"/>
          <w:szCs w:val="24"/>
        </w:rPr>
        <w:t xml:space="preserve"> ordem constitucional</w:t>
      </w:r>
      <w:r w:rsidR="00FB041E" w:rsidRPr="006E07C6">
        <w:rPr>
          <w:rStyle w:val="Refdenotaderodap"/>
          <w:rFonts w:ascii="Arial" w:hAnsi="Arial" w:cs="Arial"/>
          <w:sz w:val="24"/>
          <w:szCs w:val="24"/>
        </w:rPr>
        <w:footnoteReference w:id="4"/>
      </w:r>
      <w:r w:rsidR="00D21131" w:rsidRPr="006E07C6">
        <w:rPr>
          <w:rFonts w:ascii="Arial" w:hAnsi="Arial" w:cs="Arial"/>
          <w:sz w:val="24"/>
          <w:szCs w:val="24"/>
        </w:rPr>
        <w:t>.</w:t>
      </w:r>
    </w:p>
    <w:p w14:paraId="59A50B1A" w14:textId="04D38EA2" w:rsidR="00600654" w:rsidRPr="006E07C6" w:rsidRDefault="00600654" w:rsidP="00D21131">
      <w:pPr>
        <w:spacing w:line="360" w:lineRule="auto"/>
        <w:ind w:firstLine="851"/>
        <w:jc w:val="both"/>
        <w:rPr>
          <w:rFonts w:ascii="Arial" w:hAnsi="Arial" w:cs="Arial"/>
          <w:sz w:val="24"/>
          <w:szCs w:val="24"/>
        </w:rPr>
      </w:pPr>
      <w:r w:rsidRPr="006E07C6">
        <w:rPr>
          <w:rFonts w:ascii="Arial" w:hAnsi="Arial" w:cs="Arial"/>
          <w:b/>
          <w:sz w:val="24"/>
          <w:szCs w:val="24"/>
        </w:rPr>
        <w:t xml:space="preserve">3.1.3. </w:t>
      </w:r>
      <w:r w:rsidRPr="006E07C6">
        <w:rPr>
          <w:rFonts w:ascii="Arial" w:hAnsi="Arial" w:cs="Arial"/>
          <w:sz w:val="24"/>
          <w:szCs w:val="24"/>
        </w:rPr>
        <w:t xml:space="preserve">Contudo, impelidos pelo anseio de trazer desenvolvimento econômico a seus Estados-membros e ao Distrito Federal, </w:t>
      </w:r>
      <w:r w:rsidRPr="006E07C6">
        <w:rPr>
          <w:rFonts w:ascii="Arial" w:hAnsi="Arial" w:cs="Arial"/>
          <w:b/>
          <w:sz w:val="24"/>
          <w:szCs w:val="24"/>
        </w:rPr>
        <w:t>tornou-se prática comum que os respectivos Governadores concedessem incentivos fiscais à revelia</w:t>
      </w:r>
      <w:r w:rsidRPr="006E07C6">
        <w:rPr>
          <w:rFonts w:ascii="Arial" w:hAnsi="Arial" w:cs="Arial"/>
          <w:sz w:val="24"/>
          <w:szCs w:val="24"/>
        </w:rPr>
        <w:t xml:space="preserve"> dessa</w:t>
      </w:r>
      <w:r w:rsidR="002229E0" w:rsidRPr="006E07C6">
        <w:rPr>
          <w:rFonts w:ascii="Arial" w:hAnsi="Arial" w:cs="Arial"/>
          <w:sz w:val="24"/>
          <w:szCs w:val="24"/>
        </w:rPr>
        <w:t xml:space="preserve"> exigência de</w:t>
      </w:r>
      <w:r w:rsidRPr="006E07C6">
        <w:rPr>
          <w:rFonts w:ascii="Arial" w:hAnsi="Arial" w:cs="Arial"/>
          <w:sz w:val="24"/>
          <w:szCs w:val="24"/>
        </w:rPr>
        <w:t xml:space="preserve"> </w:t>
      </w:r>
      <w:r w:rsidRPr="006E07C6">
        <w:rPr>
          <w:rFonts w:ascii="Arial" w:hAnsi="Arial" w:cs="Arial"/>
          <w:sz w:val="24"/>
          <w:szCs w:val="24"/>
          <w:u w:val="single"/>
        </w:rPr>
        <w:t>deliberação prévia entre os entes federados junto ao CONFAZ</w:t>
      </w:r>
      <w:r w:rsidR="00E43BE0" w:rsidRPr="006E07C6">
        <w:rPr>
          <w:rFonts w:ascii="Arial" w:hAnsi="Arial" w:cs="Arial"/>
          <w:sz w:val="24"/>
          <w:szCs w:val="24"/>
        </w:rPr>
        <w:t xml:space="preserve"> (CRFB, art. 155, § 2º, XII, “g”)</w:t>
      </w:r>
      <w:r w:rsidR="002229E0" w:rsidRPr="006E07C6">
        <w:rPr>
          <w:rFonts w:ascii="Arial" w:hAnsi="Arial" w:cs="Arial"/>
          <w:sz w:val="24"/>
          <w:szCs w:val="24"/>
        </w:rPr>
        <w:t xml:space="preserve"> –</w:t>
      </w:r>
      <w:r w:rsidR="00E43BE0" w:rsidRPr="006E07C6">
        <w:rPr>
          <w:rFonts w:ascii="Arial" w:hAnsi="Arial" w:cs="Arial"/>
          <w:sz w:val="24"/>
          <w:szCs w:val="24"/>
        </w:rPr>
        <w:t xml:space="preserve"> e às vezes até mesmo da exigência de </w:t>
      </w:r>
      <w:r w:rsidR="00E43BE0" w:rsidRPr="006E07C6">
        <w:rPr>
          <w:rFonts w:ascii="Arial" w:hAnsi="Arial" w:cs="Arial"/>
          <w:sz w:val="24"/>
          <w:szCs w:val="24"/>
          <w:u w:val="single"/>
        </w:rPr>
        <w:t>prévia lei específica sobre o tema</w:t>
      </w:r>
      <w:r w:rsidR="00E43BE0" w:rsidRPr="006E07C6">
        <w:rPr>
          <w:rFonts w:ascii="Arial" w:hAnsi="Arial" w:cs="Arial"/>
          <w:sz w:val="24"/>
          <w:szCs w:val="24"/>
        </w:rPr>
        <w:t xml:space="preserve"> (CRFB, art. 150, § 6º)</w:t>
      </w:r>
      <w:r w:rsidR="002229E0" w:rsidRPr="006E07C6">
        <w:rPr>
          <w:rFonts w:ascii="Arial" w:hAnsi="Arial" w:cs="Arial"/>
          <w:sz w:val="24"/>
          <w:szCs w:val="24"/>
        </w:rPr>
        <w:t xml:space="preserve">, </w:t>
      </w:r>
      <w:r w:rsidR="008F674A" w:rsidRPr="006E07C6">
        <w:rPr>
          <w:rFonts w:ascii="Arial" w:hAnsi="Arial" w:cs="Arial"/>
          <w:sz w:val="24"/>
          <w:szCs w:val="24"/>
        </w:rPr>
        <w:t xml:space="preserve">isto é, </w:t>
      </w:r>
      <w:r w:rsidR="002229E0" w:rsidRPr="006E07C6">
        <w:rPr>
          <w:rFonts w:ascii="Arial" w:hAnsi="Arial" w:cs="Arial"/>
          <w:sz w:val="24"/>
          <w:szCs w:val="24"/>
        </w:rPr>
        <w:t>por simples decreto.</w:t>
      </w:r>
    </w:p>
    <w:p w14:paraId="43139D24" w14:textId="45EDCD60" w:rsidR="002554EB" w:rsidRPr="006E07C6" w:rsidRDefault="002554EB" w:rsidP="00D21131">
      <w:pPr>
        <w:spacing w:line="360" w:lineRule="auto"/>
        <w:ind w:firstLine="851"/>
        <w:jc w:val="both"/>
        <w:rPr>
          <w:rFonts w:ascii="Arial" w:hAnsi="Arial" w:cs="Arial"/>
          <w:sz w:val="24"/>
          <w:szCs w:val="24"/>
        </w:rPr>
      </w:pPr>
      <w:r w:rsidRPr="006E07C6">
        <w:rPr>
          <w:rFonts w:ascii="Arial" w:hAnsi="Arial" w:cs="Arial"/>
          <w:sz w:val="24"/>
          <w:szCs w:val="24"/>
        </w:rPr>
        <w:t>Como resposta a esse comportamento dos Governadores</w:t>
      </w:r>
      <w:r w:rsidRPr="006E07C6">
        <w:rPr>
          <w:rFonts w:ascii="Arial" w:hAnsi="Arial" w:cs="Arial"/>
          <w:b/>
          <w:sz w:val="24"/>
          <w:szCs w:val="24"/>
        </w:rPr>
        <w:t xml:space="preserve">, o Supremo Tribunal Federal (STF) julgou em bloco </w:t>
      </w:r>
      <w:r w:rsidR="009D4FC8" w:rsidRPr="006E07C6">
        <w:rPr>
          <w:rFonts w:ascii="Arial" w:hAnsi="Arial" w:cs="Arial"/>
          <w:b/>
          <w:sz w:val="24"/>
          <w:szCs w:val="24"/>
        </w:rPr>
        <w:t>diversas Ações Diretas de Inconstitucionalidade</w:t>
      </w:r>
      <w:r w:rsidRPr="006E07C6">
        <w:rPr>
          <w:rFonts w:ascii="Arial" w:hAnsi="Arial" w:cs="Arial"/>
          <w:b/>
          <w:sz w:val="24"/>
          <w:szCs w:val="24"/>
        </w:rPr>
        <w:t xml:space="preserve"> </w:t>
      </w:r>
      <w:r w:rsidR="009D4FC8" w:rsidRPr="006E07C6">
        <w:rPr>
          <w:rFonts w:ascii="Arial" w:hAnsi="Arial" w:cs="Arial"/>
          <w:b/>
          <w:sz w:val="24"/>
          <w:szCs w:val="24"/>
        </w:rPr>
        <w:t>(</w:t>
      </w:r>
      <w:r w:rsidRPr="006E07C6">
        <w:rPr>
          <w:rFonts w:ascii="Arial" w:hAnsi="Arial" w:cs="Arial"/>
          <w:b/>
          <w:sz w:val="24"/>
          <w:szCs w:val="24"/>
        </w:rPr>
        <w:t>ADI’s</w:t>
      </w:r>
      <w:r w:rsidR="009D4FC8" w:rsidRPr="006E07C6">
        <w:rPr>
          <w:rFonts w:ascii="Arial" w:hAnsi="Arial" w:cs="Arial"/>
          <w:b/>
          <w:sz w:val="24"/>
          <w:szCs w:val="24"/>
        </w:rPr>
        <w:t>)</w:t>
      </w:r>
      <w:r w:rsidRPr="006E07C6">
        <w:rPr>
          <w:rFonts w:ascii="Arial" w:hAnsi="Arial" w:cs="Arial"/>
          <w:b/>
          <w:sz w:val="24"/>
          <w:szCs w:val="24"/>
        </w:rPr>
        <w:t>, na assentada de 1º/06/2011</w:t>
      </w:r>
      <w:r w:rsidRPr="006E07C6">
        <w:rPr>
          <w:rFonts w:ascii="Arial" w:hAnsi="Arial" w:cs="Arial"/>
          <w:sz w:val="24"/>
          <w:szCs w:val="24"/>
        </w:rPr>
        <w:t>, em que se reconheceu a inconstitucionalidade de leis estaduais que concederam unilateralmente incentivos fiscais relativos ao ICMS sem prévia deliberação do CONFAZ, conforme ilustrado na seguinte ementa:</w:t>
      </w:r>
    </w:p>
    <w:p w14:paraId="1C84C2EE" w14:textId="77777777" w:rsidR="00FC34CF" w:rsidRPr="006E07C6" w:rsidRDefault="00FC34CF" w:rsidP="00D21131">
      <w:pPr>
        <w:spacing w:line="360" w:lineRule="auto"/>
        <w:ind w:firstLine="851"/>
        <w:jc w:val="both"/>
        <w:rPr>
          <w:rFonts w:ascii="Arial" w:hAnsi="Arial" w:cs="Arial"/>
          <w:sz w:val="24"/>
          <w:szCs w:val="24"/>
        </w:rPr>
      </w:pPr>
    </w:p>
    <w:p w14:paraId="29F12E65" w14:textId="121D8340" w:rsidR="00FC34CF" w:rsidRPr="006E07C6" w:rsidRDefault="00FC34CF" w:rsidP="001A04C9">
      <w:pPr>
        <w:ind w:left="2268"/>
        <w:jc w:val="both"/>
        <w:rPr>
          <w:rFonts w:ascii="Arial" w:hAnsi="Arial" w:cs="Arial"/>
          <w:sz w:val="22"/>
          <w:szCs w:val="22"/>
        </w:rPr>
      </w:pPr>
      <w:r w:rsidRPr="006E07C6">
        <w:rPr>
          <w:rFonts w:ascii="Arial" w:hAnsi="Arial" w:cs="Arial"/>
          <w:sz w:val="22"/>
          <w:szCs w:val="22"/>
        </w:rPr>
        <w:t xml:space="preserve">CONSTITUCIONAL. TRIBUTÁRIO. IMPOSTO SOBRE OPERAÇÃO DE CIRCULAÇÃO DE MERCADORIAS E SERVIÇOS. ICMS. BENEFÍCIOS FISCAIS. NECESSIDADE DE AMPARO EM CONVÊNIO INTERESTADUAL. ART. 155, XII, G DA CONSTITUIÇÃO. Nos termos da orientação consolidada por esta Corte, </w:t>
      </w:r>
      <w:r w:rsidRPr="006E07C6">
        <w:rPr>
          <w:rFonts w:ascii="Arial" w:hAnsi="Arial" w:cs="Arial"/>
          <w:b/>
          <w:sz w:val="22"/>
          <w:szCs w:val="22"/>
          <w:u w:val="single"/>
        </w:rPr>
        <w:t>a concessão de benefícios fiscais do ICMS depende de prévia aprovação em convênio interestadual, como forma de evitar o que se convencionou chamar de guerra fiscal. Interpretação do art. 155, XII, g da Constituição</w:t>
      </w:r>
      <w:r w:rsidRPr="006E07C6">
        <w:rPr>
          <w:rFonts w:ascii="Arial" w:hAnsi="Arial" w:cs="Arial"/>
          <w:b/>
          <w:sz w:val="22"/>
          <w:szCs w:val="22"/>
        </w:rPr>
        <w:t>.</w:t>
      </w:r>
      <w:r w:rsidRPr="006E07C6">
        <w:rPr>
          <w:rFonts w:ascii="Arial" w:hAnsi="Arial" w:cs="Arial"/>
          <w:sz w:val="22"/>
          <w:szCs w:val="22"/>
        </w:rPr>
        <w:t xml:space="preserve"> </w:t>
      </w:r>
      <w:r w:rsidRPr="006E07C6">
        <w:rPr>
          <w:rFonts w:ascii="Arial" w:hAnsi="Arial" w:cs="Arial"/>
          <w:b/>
          <w:sz w:val="22"/>
          <w:szCs w:val="22"/>
        </w:rPr>
        <w:t>São inconstitucionais os arts. 6º, no que se refere a “benefícios fiscais” e “financeiros-fiscais”, 7º e 8º da Lei Complementar estadual 93/2001, por permitirem a concessão de incentivos e benefícios atrelados ao ICMS sem amparo em convênio interestadual</w:t>
      </w:r>
      <w:r w:rsidRPr="006E07C6">
        <w:rPr>
          <w:rFonts w:ascii="Arial" w:hAnsi="Arial" w:cs="Arial"/>
          <w:sz w:val="22"/>
          <w:szCs w:val="22"/>
        </w:rPr>
        <w:t>. Ação direta de inconstitucionalidade julgada parcialmente procedente.</w:t>
      </w:r>
      <w:r w:rsidRPr="006E07C6">
        <w:rPr>
          <w:rStyle w:val="Refdenotaderodap"/>
          <w:rFonts w:ascii="Arial" w:hAnsi="Arial" w:cs="Arial"/>
          <w:sz w:val="22"/>
          <w:szCs w:val="22"/>
        </w:rPr>
        <w:footnoteReference w:id="5"/>
      </w:r>
    </w:p>
    <w:p w14:paraId="3A1B0AA1" w14:textId="5F2FEC8B" w:rsidR="004A591C" w:rsidRPr="006E07C6" w:rsidRDefault="004A591C" w:rsidP="00D21131">
      <w:pPr>
        <w:spacing w:line="360" w:lineRule="auto"/>
        <w:ind w:firstLine="851"/>
        <w:jc w:val="both"/>
        <w:rPr>
          <w:rFonts w:ascii="Arial" w:hAnsi="Arial" w:cs="Arial"/>
          <w:sz w:val="24"/>
          <w:szCs w:val="24"/>
        </w:rPr>
      </w:pPr>
    </w:p>
    <w:p w14:paraId="52DA66CB" w14:textId="36136831" w:rsidR="00504EA6" w:rsidRPr="006E07C6" w:rsidRDefault="00B82279" w:rsidP="00D21131">
      <w:pPr>
        <w:spacing w:line="360" w:lineRule="auto"/>
        <w:ind w:firstLine="851"/>
        <w:jc w:val="both"/>
        <w:rPr>
          <w:rFonts w:ascii="Arial" w:hAnsi="Arial" w:cs="Arial"/>
          <w:sz w:val="24"/>
          <w:szCs w:val="24"/>
        </w:rPr>
      </w:pPr>
      <w:r w:rsidRPr="006E07C6">
        <w:rPr>
          <w:rFonts w:ascii="Arial" w:hAnsi="Arial" w:cs="Arial"/>
          <w:b/>
          <w:sz w:val="24"/>
          <w:szCs w:val="24"/>
        </w:rPr>
        <w:lastRenderedPageBreak/>
        <w:t xml:space="preserve">3.1.4. </w:t>
      </w:r>
      <w:r w:rsidR="0005174D" w:rsidRPr="006E07C6">
        <w:rPr>
          <w:rFonts w:ascii="Arial" w:hAnsi="Arial" w:cs="Arial"/>
          <w:sz w:val="24"/>
          <w:szCs w:val="24"/>
        </w:rPr>
        <w:t>Tendo em vista</w:t>
      </w:r>
      <w:r w:rsidR="00103130" w:rsidRPr="006E07C6">
        <w:rPr>
          <w:rFonts w:ascii="Arial" w:hAnsi="Arial" w:cs="Arial"/>
          <w:sz w:val="24"/>
          <w:szCs w:val="24"/>
        </w:rPr>
        <w:t xml:space="preserve"> que</w:t>
      </w:r>
      <w:r w:rsidR="00365AD2" w:rsidRPr="006E07C6">
        <w:rPr>
          <w:rFonts w:ascii="Arial" w:hAnsi="Arial" w:cs="Arial"/>
          <w:sz w:val="24"/>
          <w:szCs w:val="24"/>
        </w:rPr>
        <w:t xml:space="preserve"> os efeitos desses pronunciamentos do STF</w:t>
      </w:r>
      <w:r w:rsidR="00103130" w:rsidRPr="006E07C6">
        <w:rPr>
          <w:rFonts w:ascii="Arial" w:hAnsi="Arial" w:cs="Arial"/>
          <w:sz w:val="24"/>
          <w:szCs w:val="24"/>
        </w:rPr>
        <w:t xml:space="preserve"> nas inúmeras ADI’s propostas</w:t>
      </w:r>
      <w:r w:rsidR="00365AD2" w:rsidRPr="006E07C6">
        <w:rPr>
          <w:rFonts w:ascii="Arial" w:hAnsi="Arial" w:cs="Arial"/>
          <w:sz w:val="24"/>
          <w:szCs w:val="24"/>
        </w:rPr>
        <w:t xml:space="preserve"> não fora</w:t>
      </w:r>
      <w:r w:rsidR="00103130" w:rsidRPr="006E07C6">
        <w:rPr>
          <w:rFonts w:ascii="Arial" w:hAnsi="Arial" w:cs="Arial"/>
          <w:sz w:val="24"/>
          <w:szCs w:val="24"/>
        </w:rPr>
        <w:t>m</w:t>
      </w:r>
      <w:r w:rsidR="00365AD2" w:rsidRPr="006E07C6">
        <w:rPr>
          <w:rFonts w:ascii="Arial" w:hAnsi="Arial" w:cs="Arial"/>
          <w:sz w:val="24"/>
          <w:szCs w:val="24"/>
        </w:rPr>
        <w:t xml:space="preserve"> modulados, diversos </w:t>
      </w:r>
      <w:r w:rsidR="0005174D" w:rsidRPr="006E07C6">
        <w:rPr>
          <w:rFonts w:ascii="Arial" w:hAnsi="Arial" w:cs="Arial"/>
          <w:sz w:val="24"/>
          <w:szCs w:val="24"/>
        </w:rPr>
        <w:t>contribuintes de boa-fé</w:t>
      </w:r>
      <w:r w:rsidR="00365AD2" w:rsidRPr="006E07C6">
        <w:rPr>
          <w:rFonts w:ascii="Arial" w:hAnsi="Arial" w:cs="Arial"/>
          <w:sz w:val="24"/>
          <w:szCs w:val="24"/>
        </w:rPr>
        <w:t xml:space="preserve"> em todo o país – que </w:t>
      </w:r>
      <w:r w:rsidR="0005174D" w:rsidRPr="006E07C6">
        <w:rPr>
          <w:rFonts w:ascii="Arial" w:hAnsi="Arial" w:cs="Arial"/>
          <w:sz w:val="24"/>
          <w:szCs w:val="24"/>
        </w:rPr>
        <w:t xml:space="preserve">já </w:t>
      </w:r>
      <w:r w:rsidR="00365AD2" w:rsidRPr="006E07C6">
        <w:rPr>
          <w:rFonts w:ascii="Arial" w:hAnsi="Arial" w:cs="Arial"/>
          <w:sz w:val="24"/>
          <w:szCs w:val="24"/>
        </w:rPr>
        <w:t xml:space="preserve">haviam </w:t>
      </w:r>
      <w:r w:rsidR="0005174D" w:rsidRPr="006E07C6">
        <w:rPr>
          <w:rFonts w:ascii="Arial" w:hAnsi="Arial" w:cs="Arial"/>
          <w:sz w:val="24"/>
          <w:szCs w:val="24"/>
        </w:rPr>
        <w:t xml:space="preserve">se beneficiado dos incentivos </w:t>
      </w:r>
      <w:r w:rsidR="006D44B1" w:rsidRPr="006E07C6">
        <w:rPr>
          <w:rFonts w:ascii="Arial" w:hAnsi="Arial" w:cs="Arial"/>
          <w:sz w:val="24"/>
          <w:szCs w:val="24"/>
        </w:rPr>
        <w:t xml:space="preserve">fiscais </w:t>
      </w:r>
      <w:r w:rsidR="0005174D" w:rsidRPr="006E07C6">
        <w:rPr>
          <w:rFonts w:ascii="Arial" w:hAnsi="Arial" w:cs="Arial"/>
          <w:sz w:val="24"/>
          <w:szCs w:val="24"/>
        </w:rPr>
        <w:t>declarados inconstitucionais pelo STF</w:t>
      </w:r>
      <w:r w:rsidR="00365AD2" w:rsidRPr="006E07C6">
        <w:rPr>
          <w:rFonts w:ascii="Arial" w:hAnsi="Arial" w:cs="Arial"/>
          <w:sz w:val="24"/>
          <w:szCs w:val="24"/>
        </w:rPr>
        <w:t xml:space="preserve"> – foram prejudicados, razão pela qual se </w:t>
      </w:r>
      <w:r w:rsidR="0005174D" w:rsidRPr="006E07C6">
        <w:rPr>
          <w:rFonts w:ascii="Arial" w:hAnsi="Arial" w:cs="Arial"/>
          <w:sz w:val="24"/>
          <w:szCs w:val="24"/>
        </w:rPr>
        <w:t>iniciou</w:t>
      </w:r>
      <w:r w:rsidR="00365AD2" w:rsidRPr="006E07C6">
        <w:rPr>
          <w:rFonts w:ascii="Arial" w:hAnsi="Arial" w:cs="Arial"/>
          <w:sz w:val="24"/>
          <w:szCs w:val="24"/>
        </w:rPr>
        <w:t xml:space="preserve"> grande</w:t>
      </w:r>
      <w:r w:rsidR="0005174D" w:rsidRPr="006E07C6">
        <w:rPr>
          <w:rFonts w:ascii="Arial" w:hAnsi="Arial" w:cs="Arial"/>
          <w:sz w:val="24"/>
          <w:szCs w:val="24"/>
        </w:rPr>
        <w:t xml:space="preserve"> discussão tendente </w:t>
      </w:r>
      <w:r w:rsidR="006D44B1" w:rsidRPr="006E07C6">
        <w:rPr>
          <w:rFonts w:ascii="Arial" w:hAnsi="Arial" w:cs="Arial"/>
          <w:sz w:val="24"/>
          <w:szCs w:val="24"/>
        </w:rPr>
        <w:t>a</w:t>
      </w:r>
      <w:r w:rsidR="0005174D" w:rsidRPr="006E07C6">
        <w:rPr>
          <w:rFonts w:ascii="Arial" w:hAnsi="Arial" w:cs="Arial"/>
          <w:sz w:val="24"/>
          <w:szCs w:val="24"/>
        </w:rPr>
        <w:t xml:space="preserve"> </w:t>
      </w:r>
      <w:r w:rsidR="0005174D" w:rsidRPr="006E07C6">
        <w:rPr>
          <w:rFonts w:ascii="Arial" w:hAnsi="Arial" w:cs="Arial"/>
          <w:b/>
          <w:sz w:val="24"/>
          <w:szCs w:val="24"/>
        </w:rPr>
        <w:t>convalidar os efeitos finan</w:t>
      </w:r>
      <w:r w:rsidR="00C65FC0" w:rsidRPr="006E07C6">
        <w:rPr>
          <w:rFonts w:ascii="Arial" w:hAnsi="Arial" w:cs="Arial"/>
          <w:b/>
          <w:sz w:val="24"/>
          <w:szCs w:val="24"/>
        </w:rPr>
        <w:t xml:space="preserve">ceiros </w:t>
      </w:r>
      <w:r w:rsidR="00365AD2" w:rsidRPr="006E07C6">
        <w:rPr>
          <w:rFonts w:ascii="Arial" w:hAnsi="Arial" w:cs="Arial"/>
          <w:b/>
          <w:sz w:val="24"/>
          <w:szCs w:val="24"/>
        </w:rPr>
        <w:t xml:space="preserve">pretéritos </w:t>
      </w:r>
      <w:r w:rsidR="00C65FC0" w:rsidRPr="006E07C6">
        <w:rPr>
          <w:rFonts w:ascii="Arial" w:hAnsi="Arial" w:cs="Arial"/>
          <w:b/>
          <w:sz w:val="24"/>
          <w:szCs w:val="24"/>
        </w:rPr>
        <w:t>desses incentivos fiscais</w:t>
      </w:r>
      <w:r w:rsidR="006D44B1" w:rsidRPr="006E07C6">
        <w:rPr>
          <w:rFonts w:ascii="Arial" w:hAnsi="Arial" w:cs="Arial"/>
          <w:b/>
          <w:sz w:val="24"/>
          <w:szCs w:val="24"/>
        </w:rPr>
        <w:t>, por razões de segurança jurídica</w:t>
      </w:r>
      <w:r w:rsidR="00C65FC0" w:rsidRPr="006E07C6">
        <w:rPr>
          <w:rFonts w:ascii="Arial" w:hAnsi="Arial" w:cs="Arial"/>
          <w:sz w:val="24"/>
          <w:szCs w:val="24"/>
        </w:rPr>
        <w:t>.</w:t>
      </w:r>
    </w:p>
    <w:p w14:paraId="747CD5E8" w14:textId="6EF28A7F" w:rsidR="00635E8C" w:rsidRPr="006E07C6" w:rsidRDefault="006D44B1" w:rsidP="00D21131">
      <w:pPr>
        <w:spacing w:line="360" w:lineRule="auto"/>
        <w:ind w:firstLine="851"/>
        <w:jc w:val="both"/>
        <w:rPr>
          <w:rFonts w:ascii="Arial" w:hAnsi="Arial" w:cs="Arial"/>
          <w:sz w:val="24"/>
          <w:szCs w:val="24"/>
        </w:rPr>
      </w:pPr>
      <w:r w:rsidRPr="006E07C6">
        <w:rPr>
          <w:rFonts w:ascii="Arial" w:hAnsi="Arial" w:cs="Arial"/>
          <w:b/>
          <w:sz w:val="24"/>
          <w:szCs w:val="24"/>
        </w:rPr>
        <w:t>3.1.4.1.</w:t>
      </w:r>
      <w:r w:rsidR="0071750F" w:rsidRPr="006E07C6">
        <w:rPr>
          <w:rFonts w:ascii="Arial" w:hAnsi="Arial" w:cs="Arial"/>
          <w:b/>
          <w:sz w:val="24"/>
          <w:szCs w:val="24"/>
        </w:rPr>
        <w:t xml:space="preserve"> </w:t>
      </w:r>
      <w:r w:rsidR="0071750F" w:rsidRPr="006E07C6">
        <w:rPr>
          <w:rFonts w:ascii="Arial" w:hAnsi="Arial" w:cs="Arial"/>
          <w:sz w:val="24"/>
          <w:szCs w:val="24"/>
          <w:u w:val="single"/>
        </w:rPr>
        <w:t>A primeira tentativa de</w:t>
      </w:r>
      <w:r w:rsidR="00103130" w:rsidRPr="006E07C6">
        <w:rPr>
          <w:rFonts w:ascii="Arial" w:hAnsi="Arial" w:cs="Arial"/>
          <w:sz w:val="24"/>
          <w:szCs w:val="24"/>
          <w:u w:val="single"/>
        </w:rPr>
        <w:t>ssa</w:t>
      </w:r>
      <w:r w:rsidR="0071750F" w:rsidRPr="006E07C6">
        <w:rPr>
          <w:rFonts w:ascii="Arial" w:hAnsi="Arial" w:cs="Arial"/>
          <w:sz w:val="24"/>
          <w:szCs w:val="24"/>
          <w:u w:val="single"/>
        </w:rPr>
        <w:t xml:space="preserve"> convalidação se deu por meio do Projeto de Lei Complementar </w:t>
      </w:r>
      <w:r w:rsidR="00C74706" w:rsidRPr="006E07C6">
        <w:rPr>
          <w:rFonts w:ascii="Arial" w:hAnsi="Arial" w:cs="Arial"/>
          <w:sz w:val="24"/>
          <w:szCs w:val="24"/>
          <w:u w:val="single"/>
        </w:rPr>
        <w:t xml:space="preserve">federal </w:t>
      </w:r>
      <w:r w:rsidR="0071750F" w:rsidRPr="006E07C6">
        <w:rPr>
          <w:rFonts w:ascii="Arial" w:hAnsi="Arial" w:cs="Arial"/>
          <w:sz w:val="24"/>
          <w:szCs w:val="24"/>
          <w:u w:val="single"/>
        </w:rPr>
        <w:t>(PLC) nº 238/2013</w:t>
      </w:r>
      <w:r w:rsidR="00062493" w:rsidRPr="006E07C6">
        <w:rPr>
          <w:rFonts w:ascii="Arial" w:hAnsi="Arial" w:cs="Arial"/>
          <w:sz w:val="24"/>
          <w:szCs w:val="24"/>
        </w:rPr>
        <w:t>,</w:t>
      </w:r>
      <w:r w:rsidR="00C7006F" w:rsidRPr="006E07C6">
        <w:rPr>
          <w:rFonts w:ascii="Arial" w:hAnsi="Arial" w:cs="Arial"/>
          <w:sz w:val="24"/>
          <w:szCs w:val="24"/>
        </w:rPr>
        <w:t xml:space="preserve"> que</w:t>
      </w:r>
      <w:r w:rsidR="00635E8C" w:rsidRPr="006E07C6">
        <w:rPr>
          <w:rFonts w:ascii="Arial" w:hAnsi="Arial" w:cs="Arial"/>
          <w:sz w:val="24"/>
          <w:szCs w:val="24"/>
        </w:rPr>
        <w:t xml:space="preserve">, em suma: a) </w:t>
      </w:r>
      <w:r w:rsidR="007440E8" w:rsidRPr="006E07C6">
        <w:rPr>
          <w:rFonts w:ascii="Arial" w:hAnsi="Arial" w:cs="Arial"/>
          <w:sz w:val="24"/>
          <w:szCs w:val="24"/>
        </w:rPr>
        <w:t>concedia remissão</w:t>
      </w:r>
      <w:r w:rsidR="00635E8C" w:rsidRPr="006E07C6">
        <w:rPr>
          <w:rFonts w:ascii="Arial" w:hAnsi="Arial" w:cs="Arial"/>
          <w:sz w:val="24"/>
          <w:szCs w:val="24"/>
        </w:rPr>
        <w:t xml:space="preserve"> </w:t>
      </w:r>
      <w:r w:rsidR="007440E8" w:rsidRPr="006E07C6">
        <w:rPr>
          <w:rFonts w:ascii="Arial" w:hAnsi="Arial" w:cs="Arial"/>
          <w:sz w:val="24"/>
          <w:szCs w:val="24"/>
        </w:rPr>
        <w:t xml:space="preserve">de créditos tributários decorrentes de incentivos fiscais </w:t>
      </w:r>
      <w:r w:rsidR="00635E8C" w:rsidRPr="006E07C6">
        <w:rPr>
          <w:rFonts w:ascii="Arial" w:hAnsi="Arial" w:cs="Arial"/>
          <w:sz w:val="24"/>
          <w:szCs w:val="24"/>
        </w:rPr>
        <w:t xml:space="preserve">em desacordo com a exigência constitucional de prévio convênio autorizativo do Confaz, bem como autorizava a reinstituição de referidos benefícios (arts. 1º e 2º); b) </w:t>
      </w:r>
      <w:r w:rsidR="00C7006F" w:rsidRPr="006E07C6">
        <w:rPr>
          <w:rFonts w:ascii="Arial" w:hAnsi="Arial" w:cs="Arial"/>
          <w:sz w:val="24"/>
          <w:szCs w:val="24"/>
        </w:rPr>
        <w:t>flexibilizava as exigências do art. 14 da LRF para a concessão de incentivos fiscais</w:t>
      </w:r>
      <w:r w:rsidR="00635E8C" w:rsidRPr="006E07C6">
        <w:rPr>
          <w:rFonts w:ascii="Arial" w:hAnsi="Arial" w:cs="Arial"/>
          <w:sz w:val="24"/>
          <w:szCs w:val="24"/>
        </w:rPr>
        <w:t xml:space="preserve"> (art. 3º);</w:t>
      </w:r>
      <w:r w:rsidR="00C7006F" w:rsidRPr="006E07C6">
        <w:rPr>
          <w:rFonts w:ascii="Arial" w:hAnsi="Arial" w:cs="Arial"/>
          <w:sz w:val="24"/>
          <w:szCs w:val="24"/>
        </w:rPr>
        <w:t xml:space="preserve"> e</w:t>
      </w:r>
      <w:r w:rsidR="007440E8" w:rsidRPr="006E07C6">
        <w:rPr>
          <w:rFonts w:ascii="Arial" w:hAnsi="Arial" w:cs="Arial"/>
          <w:sz w:val="24"/>
          <w:szCs w:val="24"/>
        </w:rPr>
        <w:t xml:space="preserve"> </w:t>
      </w:r>
      <w:r w:rsidR="00635E8C" w:rsidRPr="006E07C6">
        <w:rPr>
          <w:rFonts w:ascii="Arial" w:hAnsi="Arial" w:cs="Arial"/>
          <w:sz w:val="24"/>
          <w:szCs w:val="24"/>
        </w:rPr>
        <w:t xml:space="preserve">c) </w:t>
      </w:r>
      <w:r w:rsidR="007440E8" w:rsidRPr="006E07C6">
        <w:rPr>
          <w:rFonts w:ascii="Arial" w:hAnsi="Arial" w:cs="Arial"/>
          <w:sz w:val="24"/>
          <w:szCs w:val="24"/>
        </w:rPr>
        <w:t>dispunha sobre critérios de indexação dos contratos de refinanciamento da dívida celebrados entre União, Estados</w:t>
      </w:r>
      <w:r w:rsidR="00635E8C" w:rsidRPr="006E07C6">
        <w:rPr>
          <w:rFonts w:ascii="Arial" w:hAnsi="Arial" w:cs="Arial"/>
          <w:sz w:val="24"/>
          <w:szCs w:val="24"/>
        </w:rPr>
        <w:t>,</w:t>
      </w:r>
      <w:r w:rsidR="007440E8" w:rsidRPr="006E07C6">
        <w:rPr>
          <w:rFonts w:ascii="Arial" w:hAnsi="Arial" w:cs="Arial"/>
          <w:sz w:val="24"/>
          <w:szCs w:val="24"/>
        </w:rPr>
        <w:t xml:space="preserve"> e Municípios</w:t>
      </w:r>
      <w:r w:rsidR="00635E8C" w:rsidRPr="006E07C6">
        <w:rPr>
          <w:rFonts w:ascii="Arial" w:hAnsi="Arial" w:cs="Arial"/>
          <w:sz w:val="24"/>
          <w:szCs w:val="24"/>
        </w:rPr>
        <w:t xml:space="preserve"> (art. 4º)</w:t>
      </w:r>
      <w:r w:rsidR="00C7006F" w:rsidRPr="006E07C6">
        <w:rPr>
          <w:rFonts w:ascii="Arial" w:hAnsi="Arial" w:cs="Arial"/>
          <w:sz w:val="24"/>
          <w:szCs w:val="24"/>
        </w:rPr>
        <w:t xml:space="preserve">. </w:t>
      </w:r>
    </w:p>
    <w:p w14:paraId="36B8F0E0" w14:textId="3EC7BEAA" w:rsidR="006D44B1" w:rsidRPr="006E07C6" w:rsidRDefault="00C7006F" w:rsidP="00D21131">
      <w:pPr>
        <w:spacing w:line="360" w:lineRule="auto"/>
        <w:ind w:firstLine="851"/>
        <w:jc w:val="both"/>
        <w:rPr>
          <w:rFonts w:ascii="Arial" w:hAnsi="Arial" w:cs="Arial"/>
          <w:sz w:val="24"/>
          <w:szCs w:val="24"/>
        </w:rPr>
      </w:pPr>
      <w:r w:rsidRPr="006E07C6">
        <w:rPr>
          <w:rFonts w:ascii="Arial" w:hAnsi="Arial" w:cs="Arial"/>
          <w:sz w:val="24"/>
          <w:szCs w:val="24"/>
        </w:rPr>
        <w:t>P</w:t>
      </w:r>
      <w:r w:rsidR="00062493" w:rsidRPr="006E07C6">
        <w:rPr>
          <w:rFonts w:ascii="Arial" w:hAnsi="Arial" w:cs="Arial"/>
          <w:sz w:val="24"/>
          <w:szCs w:val="24"/>
        </w:rPr>
        <w:t xml:space="preserve">orém, </w:t>
      </w:r>
      <w:r w:rsidR="00635E8C" w:rsidRPr="006E07C6">
        <w:rPr>
          <w:rFonts w:ascii="Arial" w:hAnsi="Arial" w:cs="Arial"/>
          <w:sz w:val="24"/>
          <w:szCs w:val="24"/>
        </w:rPr>
        <w:t xml:space="preserve">na redação final aprovada pela Câmara dos Deputados, os textos relativos à remissão e à reinstituição de benefícios fiscais inconstitucionais foram suprimidos. Mantido o texto da Câmara pelo Senado, a matéria foi assim aprovada e encaminhada para sanção, transformada na LC nº 148/2014, </w:t>
      </w:r>
      <w:r w:rsidR="00D43860" w:rsidRPr="006E07C6">
        <w:rPr>
          <w:rFonts w:ascii="Arial" w:hAnsi="Arial" w:cs="Arial"/>
          <w:sz w:val="24"/>
          <w:szCs w:val="24"/>
        </w:rPr>
        <w:t>a qual</w:t>
      </w:r>
      <w:r w:rsidR="00635E8C" w:rsidRPr="006E07C6">
        <w:rPr>
          <w:rFonts w:ascii="Arial" w:hAnsi="Arial" w:cs="Arial"/>
          <w:sz w:val="24"/>
          <w:szCs w:val="24"/>
        </w:rPr>
        <w:t xml:space="preserve"> apenas dispõe sobre critérios de indexação dos contratos de refinanciamento da dívida celebrados entre a União, Estados, o Distrito Federal e Municípios</w:t>
      </w:r>
      <w:r w:rsidR="00034801" w:rsidRPr="006E07C6">
        <w:rPr>
          <w:rStyle w:val="Refdenotaderodap"/>
          <w:rFonts w:ascii="Arial" w:hAnsi="Arial" w:cs="Arial"/>
          <w:sz w:val="24"/>
          <w:szCs w:val="24"/>
        </w:rPr>
        <w:footnoteReference w:id="6"/>
      </w:r>
      <w:r w:rsidR="00062493" w:rsidRPr="006E07C6">
        <w:rPr>
          <w:rFonts w:ascii="Arial" w:hAnsi="Arial" w:cs="Arial"/>
          <w:sz w:val="24"/>
          <w:szCs w:val="24"/>
        </w:rPr>
        <w:t>.</w:t>
      </w:r>
    </w:p>
    <w:p w14:paraId="2EC8A717" w14:textId="77777777" w:rsidR="00A81B90" w:rsidRPr="006E07C6" w:rsidRDefault="0071750F" w:rsidP="0071750F">
      <w:pPr>
        <w:spacing w:line="360" w:lineRule="auto"/>
        <w:ind w:firstLine="851"/>
        <w:jc w:val="both"/>
        <w:rPr>
          <w:rFonts w:ascii="Arial" w:hAnsi="Arial" w:cs="Arial"/>
          <w:sz w:val="24"/>
          <w:szCs w:val="24"/>
        </w:rPr>
      </w:pPr>
      <w:r w:rsidRPr="006E07C6">
        <w:rPr>
          <w:rFonts w:ascii="Arial" w:hAnsi="Arial" w:cs="Arial"/>
          <w:b/>
          <w:sz w:val="24"/>
          <w:szCs w:val="24"/>
        </w:rPr>
        <w:t xml:space="preserve">3.1.4.2. </w:t>
      </w:r>
      <w:r w:rsidRPr="006E07C6">
        <w:rPr>
          <w:rFonts w:ascii="Arial" w:hAnsi="Arial" w:cs="Arial"/>
          <w:sz w:val="24"/>
          <w:szCs w:val="24"/>
          <w:u w:val="single"/>
        </w:rPr>
        <w:t>A segunda tentativa de convalidação se deu por meio do Convênio nº 70/201</w:t>
      </w:r>
      <w:r w:rsidR="003B0A0D" w:rsidRPr="006E07C6">
        <w:rPr>
          <w:rFonts w:ascii="Arial" w:hAnsi="Arial" w:cs="Arial"/>
          <w:sz w:val="24"/>
          <w:szCs w:val="24"/>
          <w:u w:val="single"/>
        </w:rPr>
        <w:t>4</w:t>
      </w:r>
      <w:r w:rsidRPr="006E07C6">
        <w:rPr>
          <w:rFonts w:ascii="Arial" w:hAnsi="Arial" w:cs="Arial"/>
          <w:sz w:val="24"/>
          <w:szCs w:val="24"/>
          <w:u w:val="single"/>
        </w:rPr>
        <w:t xml:space="preserve"> do Confaz</w:t>
      </w:r>
      <w:r w:rsidRPr="006E07C6">
        <w:rPr>
          <w:rFonts w:ascii="Arial" w:hAnsi="Arial" w:cs="Arial"/>
          <w:sz w:val="24"/>
          <w:szCs w:val="24"/>
        </w:rPr>
        <w:t xml:space="preserve">, </w:t>
      </w:r>
      <w:r w:rsidR="007B1024" w:rsidRPr="006E07C6">
        <w:rPr>
          <w:rFonts w:ascii="Arial" w:hAnsi="Arial" w:cs="Arial"/>
          <w:sz w:val="24"/>
          <w:szCs w:val="24"/>
        </w:rPr>
        <w:t xml:space="preserve">que “dispõe sobre a remissão e anistia de créditos tributários relativos a incentivos e benefícios, fiscais e financeiros, vinculados ao ICMS autorizados ou concedidos pelas unidades federadas e sobre a concessão de incentivos e benefícios, fiscais e financeiros, vinculados ao ICMS”. </w:t>
      </w:r>
    </w:p>
    <w:p w14:paraId="2527C9AE" w14:textId="6C184D2B" w:rsidR="00062493" w:rsidRPr="006E07C6" w:rsidRDefault="007B1024" w:rsidP="0071750F">
      <w:pPr>
        <w:spacing w:line="360" w:lineRule="auto"/>
        <w:ind w:firstLine="851"/>
        <w:jc w:val="both"/>
        <w:rPr>
          <w:rFonts w:ascii="Arial" w:hAnsi="Arial" w:cs="Arial"/>
          <w:sz w:val="24"/>
          <w:szCs w:val="24"/>
        </w:rPr>
      </w:pPr>
      <w:r w:rsidRPr="006E07C6">
        <w:rPr>
          <w:rFonts w:ascii="Arial" w:hAnsi="Arial" w:cs="Arial"/>
          <w:sz w:val="24"/>
          <w:szCs w:val="24"/>
        </w:rPr>
        <w:t>Referido convênio</w:t>
      </w:r>
      <w:r w:rsidR="00A81B90" w:rsidRPr="006E07C6">
        <w:rPr>
          <w:rFonts w:ascii="Arial" w:hAnsi="Arial" w:cs="Arial"/>
          <w:sz w:val="24"/>
          <w:szCs w:val="24"/>
        </w:rPr>
        <w:t xml:space="preserve">, aprovado por 20 (vinte) Estados-membros (nesse número incluído também o Distrito Federal) prevê a remissão e a anistia referente aos créditos tributários decorrentes de todos os incentivos relativos ao ICMS “concedidos por legislações tributárias estaduais e distrital editadas até a data de publicação deste </w:t>
      </w:r>
      <w:r w:rsidR="00A81B90" w:rsidRPr="006E07C6">
        <w:rPr>
          <w:rFonts w:ascii="Arial" w:hAnsi="Arial" w:cs="Arial"/>
          <w:sz w:val="24"/>
          <w:szCs w:val="24"/>
        </w:rPr>
        <w:lastRenderedPageBreak/>
        <w:t xml:space="preserve">convênio, sem aprovação do CONFAZ” (cláusula 1ª) e </w:t>
      </w:r>
      <w:r w:rsidR="003B0A0D" w:rsidRPr="006E07C6">
        <w:rPr>
          <w:rFonts w:ascii="Arial" w:hAnsi="Arial" w:cs="Arial"/>
          <w:sz w:val="24"/>
          <w:szCs w:val="24"/>
        </w:rPr>
        <w:t>sofreu severas críticas da doutrina por estar invadindo a seara legislativa que lhe é própria e ofendendo, assim, o princípio da separação dos Po</w:t>
      </w:r>
      <w:r w:rsidR="00062493" w:rsidRPr="006E07C6">
        <w:rPr>
          <w:rFonts w:ascii="Arial" w:hAnsi="Arial" w:cs="Arial"/>
          <w:sz w:val="24"/>
          <w:szCs w:val="24"/>
        </w:rPr>
        <w:t>deres.</w:t>
      </w:r>
      <w:r w:rsidR="00062493" w:rsidRPr="006E07C6">
        <w:rPr>
          <w:rStyle w:val="Refdenotaderodap"/>
          <w:rFonts w:ascii="Arial" w:hAnsi="Arial" w:cs="Arial"/>
          <w:sz w:val="24"/>
          <w:szCs w:val="24"/>
        </w:rPr>
        <w:footnoteReference w:id="7"/>
      </w:r>
    </w:p>
    <w:p w14:paraId="1A80BFD2" w14:textId="5133FCC4" w:rsidR="00EE352A" w:rsidRPr="006E07C6" w:rsidRDefault="00062493" w:rsidP="0071750F">
      <w:pPr>
        <w:spacing w:line="360" w:lineRule="auto"/>
        <w:ind w:firstLine="851"/>
        <w:jc w:val="both"/>
        <w:rPr>
          <w:rFonts w:ascii="Arial" w:hAnsi="Arial" w:cs="Arial"/>
          <w:sz w:val="24"/>
          <w:szCs w:val="24"/>
        </w:rPr>
      </w:pPr>
      <w:r w:rsidRPr="006E07C6">
        <w:rPr>
          <w:rFonts w:ascii="Arial" w:hAnsi="Arial" w:cs="Arial"/>
          <w:sz w:val="24"/>
          <w:szCs w:val="24"/>
        </w:rPr>
        <w:t xml:space="preserve">Ademais, </w:t>
      </w:r>
      <w:r w:rsidR="006848F2" w:rsidRPr="006E07C6">
        <w:rPr>
          <w:rFonts w:ascii="Arial" w:hAnsi="Arial" w:cs="Arial"/>
          <w:sz w:val="24"/>
          <w:szCs w:val="24"/>
        </w:rPr>
        <w:t xml:space="preserve">embora não se referindo especificamente a esse convênio, há questionamento </w:t>
      </w:r>
      <w:r w:rsidR="009B704F" w:rsidRPr="006E07C6">
        <w:rPr>
          <w:rFonts w:ascii="Arial" w:hAnsi="Arial" w:cs="Arial"/>
          <w:sz w:val="24"/>
          <w:szCs w:val="24"/>
        </w:rPr>
        <w:t xml:space="preserve">correlato </w:t>
      </w:r>
      <w:r w:rsidR="00EE352A" w:rsidRPr="006E07C6">
        <w:rPr>
          <w:rFonts w:ascii="Arial" w:hAnsi="Arial" w:cs="Arial"/>
          <w:sz w:val="24"/>
          <w:szCs w:val="24"/>
        </w:rPr>
        <w:t>perante o STF</w:t>
      </w:r>
      <w:r w:rsidR="006848F2" w:rsidRPr="006E07C6">
        <w:rPr>
          <w:rFonts w:ascii="Arial" w:hAnsi="Arial" w:cs="Arial"/>
          <w:sz w:val="24"/>
          <w:szCs w:val="24"/>
        </w:rPr>
        <w:t xml:space="preserve"> acerca d</w:t>
      </w:r>
      <w:r w:rsidR="00EE352A" w:rsidRPr="006E07C6">
        <w:rPr>
          <w:rFonts w:ascii="Arial" w:hAnsi="Arial" w:cs="Arial"/>
          <w:sz w:val="24"/>
          <w:szCs w:val="24"/>
        </w:rPr>
        <w:t>a constitucionalidade d</w:t>
      </w:r>
      <w:r w:rsidRPr="006E07C6">
        <w:rPr>
          <w:rFonts w:ascii="Arial" w:hAnsi="Arial" w:cs="Arial"/>
          <w:sz w:val="24"/>
          <w:szCs w:val="24"/>
        </w:rPr>
        <w:t>a prática de os Estados e o Distrito Federal</w:t>
      </w:r>
      <w:r w:rsidR="00EE352A" w:rsidRPr="006E07C6">
        <w:rPr>
          <w:rFonts w:ascii="Arial" w:hAnsi="Arial" w:cs="Arial"/>
          <w:sz w:val="24"/>
          <w:szCs w:val="24"/>
        </w:rPr>
        <w:t>, mediante posterior deliberação junto ao Confaz, concederem-se mútua e reciprocamente remissão e anistia – em outras palavras: perdão – de créditos tributários relativos a incentivos fiscais, em sentido amplo, inconstitucionais em razão da ausência de prévio convênio autorizativo do Confaz</w:t>
      </w:r>
      <w:r w:rsidR="00250D27" w:rsidRPr="006E07C6">
        <w:rPr>
          <w:rFonts w:ascii="Arial" w:hAnsi="Arial" w:cs="Arial"/>
          <w:sz w:val="24"/>
          <w:szCs w:val="24"/>
        </w:rPr>
        <w:t>, temática à qual se conferiu a sistemática de repercussão geral e ainda pendente de julgamento, nos termos da seguinte ementa:</w:t>
      </w:r>
    </w:p>
    <w:p w14:paraId="49A9BB8F" w14:textId="77777777" w:rsidR="0071750F" w:rsidRPr="006E07C6" w:rsidRDefault="0071750F" w:rsidP="00D21131">
      <w:pPr>
        <w:spacing w:line="360" w:lineRule="auto"/>
        <w:ind w:firstLine="851"/>
        <w:jc w:val="both"/>
        <w:rPr>
          <w:rFonts w:ascii="Arial" w:hAnsi="Arial" w:cs="Arial"/>
          <w:sz w:val="24"/>
          <w:szCs w:val="24"/>
        </w:rPr>
      </w:pPr>
    </w:p>
    <w:p w14:paraId="4001D3AE" w14:textId="77777777" w:rsidR="006848F2" w:rsidRPr="006E07C6" w:rsidRDefault="00365AD2" w:rsidP="001A04C9">
      <w:pPr>
        <w:ind w:left="2268"/>
        <w:jc w:val="both"/>
        <w:rPr>
          <w:rFonts w:ascii="Arial" w:hAnsi="Arial" w:cs="Arial"/>
          <w:sz w:val="22"/>
          <w:szCs w:val="22"/>
        </w:rPr>
      </w:pPr>
      <w:r w:rsidRPr="006E07C6">
        <w:rPr>
          <w:rFonts w:ascii="Arial" w:hAnsi="Arial" w:cs="Arial"/>
          <w:sz w:val="22"/>
          <w:szCs w:val="22"/>
        </w:rPr>
        <w:t xml:space="preserve">IMPOSTO SOBRE A CIRCULAÇÃO DE MERCADORIAS E SERVIÇOS – GUERRA FISCAL – BENEFÍCIOS FISCAIS DECLARADOS INCONSTITUCIONAIS – CONVALIDAÇÃO SUPERVENIENTE MEDIANTE NOVA DESONERAÇÃO – RECURSO EXTRAORDINÁRIO – REPERCUSSÃO GERAL CONFIGURADA. </w:t>
      </w:r>
    </w:p>
    <w:p w14:paraId="74B7CD96" w14:textId="3CF5E292" w:rsidR="00365AD2" w:rsidRPr="006E07C6" w:rsidRDefault="00365AD2" w:rsidP="001A04C9">
      <w:pPr>
        <w:ind w:left="2268"/>
        <w:jc w:val="both"/>
        <w:rPr>
          <w:rFonts w:ascii="Arial" w:hAnsi="Arial" w:cs="Arial"/>
          <w:sz w:val="22"/>
          <w:szCs w:val="22"/>
        </w:rPr>
      </w:pPr>
      <w:r w:rsidRPr="006E07C6">
        <w:rPr>
          <w:rFonts w:ascii="Arial" w:hAnsi="Arial" w:cs="Arial"/>
          <w:sz w:val="22"/>
          <w:szCs w:val="22"/>
        </w:rPr>
        <w:t>Possui repercussão geral a controvérsia relativa à constitucionalidade da prática mediante a qual os estados e o Distrito Federal, respaldados em consenso alcançado no âmbito do Conselho Nacional de Política Fazendária – CONFAZ, perdoam dívidas tributárias surgidas em decorrência do gozo de benefícios fiscais assentados inconstitucionais pelo Supremo, porque implementados em meio à chamada guerra fiscal do ICMS.</w:t>
      </w:r>
      <w:r w:rsidRPr="006E07C6">
        <w:rPr>
          <w:rStyle w:val="Refdenotaderodap"/>
          <w:rFonts w:ascii="Arial" w:hAnsi="Arial" w:cs="Arial"/>
          <w:sz w:val="22"/>
          <w:szCs w:val="22"/>
        </w:rPr>
        <w:footnoteReference w:id="8"/>
      </w:r>
    </w:p>
    <w:p w14:paraId="361072C1" w14:textId="43592C7B" w:rsidR="00504EA6" w:rsidRPr="006E07C6" w:rsidRDefault="00504EA6" w:rsidP="00D21131">
      <w:pPr>
        <w:spacing w:line="360" w:lineRule="auto"/>
        <w:ind w:firstLine="851"/>
        <w:jc w:val="both"/>
        <w:rPr>
          <w:rFonts w:ascii="Arial" w:hAnsi="Arial" w:cs="Arial"/>
          <w:sz w:val="24"/>
          <w:szCs w:val="24"/>
        </w:rPr>
      </w:pPr>
    </w:p>
    <w:p w14:paraId="4F0C3CE1" w14:textId="488B9B86" w:rsidR="0024019E" w:rsidRPr="006E07C6" w:rsidRDefault="0024019E" w:rsidP="00D21131">
      <w:pPr>
        <w:spacing w:line="360" w:lineRule="auto"/>
        <w:ind w:firstLine="851"/>
        <w:jc w:val="both"/>
        <w:rPr>
          <w:rFonts w:ascii="Arial" w:hAnsi="Arial" w:cs="Arial"/>
          <w:sz w:val="24"/>
          <w:szCs w:val="24"/>
        </w:rPr>
      </w:pPr>
      <w:r w:rsidRPr="006E07C6">
        <w:rPr>
          <w:rFonts w:ascii="Arial" w:hAnsi="Arial" w:cs="Arial"/>
          <w:sz w:val="24"/>
          <w:szCs w:val="24"/>
        </w:rPr>
        <w:t>No caso acima, questionaram-se as Leis distritais nºs 4.732/2011 e 4.969/2012, por meio das quais se implementou a suspensão de exigibilidade e, ao término desta, a remissão de créditos tributários relativos ao ICMS, com base em autorização contida nos Convênios nºs 84/2011 e 86/2011 do Confaz</w:t>
      </w:r>
      <w:r w:rsidR="00840364" w:rsidRPr="006E07C6">
        <w:rPr>
          <w:rFonts w:ascii="Arial" w:hAnsi="Arial" w:cs="Arial"/>
          <w:sz w:val="24"/>
          <w:szCs w:val="24"/>
        </w:rPr>
        <w:t>, relativamente a incentivos fiscais que não obedeceram à sistemática do art. 155, § 2º, XII, “g”, da CRFB</w:t>
      </w:r>
      <w:r w:rsidRPr="006E07C6">
        <w:rPr>
          <w:rFonts w:ascii="Arial" w:hAnsi="Arial" w:cs="Arial"/>
          <w:sz w:val="24"/>
          <w:szCs w:val="24"/>
        </w:rPr>
        <w:t>.</w:t>
      </w:r>
      <w:r w:rsidR="00840364" w:rsidRPr="006E07C6">
        <w:rPr>
          <w:rFonts w:ascii="Arial" w:hAnsi="Arial" w:cs="Arial"/>
          <w:sz w:val="24"/>
          <w:szCs w:val="24"/>
        </w:rPr>
        <w:t xml:space="preserve"> Assim, resta evidente que a discussão pendente no STF te</w:t>
      </w:r>
      <w:r w:rsidR="00603DD7" w:rsidRPr="006E07C6">
        <w:rPr>
          <w:rFonts w:ascii="Arial" w:hAnsi="Arial" w:cs="Arial"/>
          <w:sz w:val="24"/>
          <w:szCs w:val="24"/>
        </w:rPr>
        <w:t xml:space="preserve">rá </w:t>
      </w:r>
      <w:r w:rsidR="00840364" w:rsidRPr="006E07C6">
        <w:rPr>
          <w:rFonts w:ascii="Arial" w:hAnsi="Arial" w:cs="Arial"/>
          <w:sz w:val="24"/>
          <w:szCs w:val="24"/>
        </w:rPr>
        <w:t>clara implicação sobre as desonerações fundadas também no Convênio nº 70/2014 do Confaz</w:t>
      </w:r>
      <w:r w:rsidR="00603DD7" w:rsidRPr="006E07C6">
        <w:rPr>
          <w:rFonts w:ascii="Arial" w:hAnsi="Arial" w:cs="Arial"/>
          <w:sz w:val="24"/>
          <w:szCs w:val="24"/>
        </w:rPr>
        <w:t xml:space="preserve"> (</w:t>
      </w:r>
      <w:r w:rsidR="00603DD7" w:rsidRPr="006E07C6">
        <w:rPr>
          <w:rFonts w:ascii="Arial" w:hAnsi="Arial" w:cs="Arial"/>
          <w:i/>
          <w:sz w:val="24"/>
          <w:szCs w:val="24"/>
        </w:rPr>
        <w:t>ubi eadem ratio ibi eadem legis dispositio</w:t>
      </w:r>
      <w:r w:rsidR="00603DD7" w:rsidRPr="006E07C6">
        <w:rPr>
          <w:rFonts w:ascii="Arial" w:hAnsi="Arial" w:cs="Arial"/>
          <w:sz w:val="24"/>
          <w:szCs w:val="24"/>
        </w:rPr>
        <w:t>)</w:t>
      </w:r>
      <w:r w:rsidR="00840364" w:rsidRPr="006E07C6">
        <w:rPr>
          <w:rFonts w:ascii="Arial" w:hAnsi="Arial" w:cs="Arial"/>
          <w:sz w:val="24"/>
          <w:szCs w:val="24"/>
        </w:rPr>
        <w:t>.</w:t>
      </w:r>
    </w:p>
    <w:p w14:paraId="2D9E2978" w14:textId="0672C929" w:rsidR="00663341" w:rsidRPr="006E07C6" w:rsidRDefault="00C7006F" w:rsidP="00D21131">
      <w:pPr>
        <w:spacing w:line="360" w:lineRule="auto"/>
        <w:ind w:firstLine="851"/>
        <w:jc w:val="both"/>
        <w:rPr>
          <w:rFonts w:ascii="Arial" w:hAnsi="Arial" w:cs="Arial"/>
          <w:sz w:val="24"/>
          <w:szCs w:val="24"/>
        </w:rPr>
      </w:pPr>
      <w:r w:rsidRPr="006E07C6">
        <w:rPr>
          <w:rFonts w:ascii="Arial" w:hAnsi="Arial" w:cs="Arial"/>
          <w:b/>
          <w:sz w:val="24"/>
          <w:szCs w:val="24"/>
        </w:rPr>
        <w:t xml:space="preserve">3.1.4.3. </w:t>
      </w:r>
      <w:r w:rsidRPr="006E07C6">
        <w:rPr>
          <w:rFonts w:ascii="Arial" w:hAnsi="Arial" w:cs="Arial"/>
          <w:sz w:val="24"/>
          <w:szCs w:val="24"/>
        </w:rPr>
        <w:t xml:space="preserve">Por fim, </w:t>
      </w:r>
      <w:r w:rsidR="000A21D5" w:rsidRPr="006E07C6">
        <w:rPr>
          <w:rFonts w:ascii="Arial" w:hAnsi="Arial" w:cs="Arial"/>
          <w:sz w:val="24"/>
          <w:szCs w:val="24"/>
        </w:rPr>
        <w:t xml:space="preserve">tendo em vista que </w:t>
      </w:r>
      <w:r w:rsidRPr="006E07C6">
        <w:rPr>
          <w:rFonts w:ascii="Arial" w:hAnsi="Arial" w:cs="Arial"/>
          <w:sz w:val="24"/>
          <w:szCs w:val="24"/>
        </w:rPr>
        <w:t xml:space="preserve">o PLC nº 238/2013, na parte que </w:t>
      </w:r>
      <w:r w:rsidR="00C74706" w:rsidRPr="006E07C6">
        <w:rPr>
          <w:rFonts w:ascii="Arial" w:hAnsi="Arial" w:cs="Arial"/>
          <w:sz w:val="24"/>
          <w:szCs w:val="24"/>
        </w:rPr>
        <w:t>concedia remissão de créditos tributários decorrentes de incentivos fiscais irregulares</w:t>
      </w:r>
      <w:r w:rsidR="000A21D5" w:rsidRPr="006E07C6">
        <w:rPr>
          <w:rFonts w:ascii="Arial" w:hAnsi="Arial" w:cs="Arial"/>
          <w:sz w:val="24"/>
          <w:szCs w:val="24"/>
        </w:rPr>
        <w:t xml:space="preserve"> e </w:t>
      </w:r>
      <w:r w:rsidR="000A21D5" w:rsidRPr="0035434F">
        <w:rPr>
          <w:rFonts w:ascii="Arial" w:hAnsi="Arial" w:cs="Arial"/>
          <w:sz w:val="24"/>
          <w:szCs w:val="24"/>
        </w:rPr>
        <w:lastRenderedPageBreak/>
        <w:t xml:space="preserve">autorização </w:t>
      </w:r>
      <w:r w:rsidR="006E6410" w:rsidRPr="0035434F">
        <w:rPr>
          <w:rFonts w:ascii="Arial" w:hAnsi="Arial" w:cs="Arial"/>
          <w:sz w:val="24"/>
          <w:szCs w:val="24"/>
        </w:rPr>
        <w:t xml:space="preserve">para </w:t>
      </w:r>
      <w:r w:rsidR="000A21D5" w:rsidRPr="0035434F">
        <w:rPr>
          <w:rFonts w:ascii="Arial" w:hAnsi="Arial" w:cs="Arial"/>
          <w:sz w:val="24"/>
          <w:szCs w:val="24"/>
        </w:rPr>
        <w:t>a respectiva</w:t>
      </w:r>
      <w:r w:rsidR="000A21D5" w:rsidRPr="006E07C6">
        <w:rPr>
          <w:rFonts w:ascii="Arial" w:hAnsi="Arial" w:cs="Arial"/>
          <w:sz w:val="24"/>
          <w:szCs w:val="24"/>
        </w:rPr>
        <w:t xml:space="preserve"> reinstituição</w:t>
      </w:r>
      <w:r w:rsidR="00C74706" w:rsidRPr="006E07C6">
        <w:rPr>
          <w:rFonts w:ascii="Arial" w:hAnsi="Arial" w:cs="Arial"/>
          <w:sz w:val="24"/>
          <w:szCs w:val="24"/>
        </w:rPr>
        <w:t>,</w:t>
      </w:r>
      <w:r w:rsidR="000A21D5" w:rsidRPr="006E07C6">
        <w:rPr>
          <w:rFonts w:ascii="Arial" w:hAnsi="Arial" w:cs="Arial"/>
          <w:sz w:val="24"/>
          <w:szCs w:val="24"/>
        </w:rPr>
        <w:t xml:space="preserve"> não prevaleceu, </w:t>
      </w:r>
      <w:r w:rsidR="000A21D5" w:rsidRPr="006E07C6">
        <w:rPr>
          <w:rFonts w:ascii="Arial" w:hAnsi="Arial" w:cs="Arial"/>
          <w:sz w:val="24"/>
          <w:szCs w:val="24"/>
          <w:u w:val="single"/>
        </w:rPr>
        <w:t>o Senado retomou essa específica discussão em proposição paralela (PLC nº 130/2014)</w:t>
      </w:r>
      <w:r w:rsidR="00923EB2" w:rsidRPr="006E07C6">
        <w:rPr>
          <w:rFonts w:ascii="Arial" w:hAnsi="Arial" w:cs="Arial"/>
          <w:sz w:val="24"/>
          <w:szCs w:val="24"/>
        </w:rPr>
        <w:t xml:space="preserve">. </w:t>
      </w:r>
    </w:p>
    <w:p w14:paraId="587CBA34" w14:textId="504B0ADB" w:rsidR="008543B3" w:rsidRPr="006E07C6" w:rsidRDefault="00923EB2" w:rsidP="00D21131">
      <w:pPr>
        <w:spacing w:line="360" w:lineRule="auto"/>
        <w:ind w:firstLine="851"/>
        <w:jc w:val="both"/>
        <w:rPr>
          <w:rFonts w:ascii="Arial" w:hAnsi="Arial" w:cs="Arial"/>
          <w:sz w:val="24"/>
          <w:szCs w:val="24"/>
        </w:rPr>
      </w:pPr>
      <w:r w:rsidRPr="006E07C6">
        <w:rPr>
          <w:rFonts w:ascii="Arial" w:hAnsi="Arial" w:cs="Arial"/>
          <w:sz w:val="24"/>
          <w:szCs w:val="24"/>
        </w:rPr>
        <w:t>Na Câmara, o projeto foi aprovado na forma de substitutivo (PLP nº 54/2015), o</w:t>
      </w:r>
      <w:r w:rsidR="00663341" w:rsidRPr="006E07C6">
        <w:rPr>
          <w:rFonts w:ascii="Arial" w:hAnsi="Arial" w:cs="Arial"/>
          <w:sz w:val="24"/>
          <w:szCs w:val="24"/>
        </w:rPr>
        <w:t xml:space="preserve"> qual foi novamente apreciado e aprovado pelo Senado (SDC nº 05/2017), com posterior transformação na </w:t>
      </w:r>
      <w:r w:rsidR="004F5221" w:rsidRPr="006E07C6">
        <w:rPr>
          <w:rFonts w:ascii="Arial" w:hAnsi="Arial" w:cs="Arial"/>
          <w:sz w:val="24"/>
          <w:szCs w:val="24"/>
        </w:rPr>
        <w:t xml:space="preserve">recente </w:t>
      </w:r>
      <w:r w:rsidR="00C74706" w:rsidRPr="006E07C6">
        <w:rPr>
          <w:rFonts w:ascii="Arial" w:hAnsi="Arial" w:cs="Arial"/>
          <w:sz w:val="24"/>
          <w:szCs w:val="24"/>
          <w:u w:val="single"/>
        </w:rPr>
        <w:t>LC nº</w:t>
      </w:r>
      <w:r w:rsidR="00F06E8E" w:rsidRPr="006E07C6">
        <w:rPr>
          <w:rFonts w:ascii="Arial" w:hAnsi="Arial" w:cs="Arial"/>
          <w:sz w:val="24"/>
          <w:szCs w:val="24"/>
          <w:u w:val="single"/>
        </w:rPr>
        <w:t xml:space="preserve"> 160/2017</w:t>
      </w:r>
      <w:r w:rsidR="00001450">
        <w:rPr>
          <w:rFonts w:ascii="Arial" w:hAnsi="Arial" w:cs="Arial"/>
          <w:sz w:val="24"/>
          <w:szCs w:val="24"/>
        </w:rPr>
        <w:t>, que ‘</w:t>
      </w:r>
      <w:r w:rsidR="004F5221" w:rsidRPr="006E07C6">
        <w:rPr>
          <w:rFonts w:ascii="Arial" w:hAnsi="Arial" w:cs="Arial"/>
          <w:sz w:val="24"/>
          <w:szCs w:val="24"/>
        </w:rPr>
        <w:t>dispõe sobre convênio que permite aos Estados e ao Distrito Federal deliberar sobre a remissão dos créditos tributários, constituídos ou não, decorrentes das isenções, dos incentivos e dos benefícios fiscais ou financeiro-fiscais instituídos em desacordo com o disposto na alínea “g” do inciso XII do § 2</w:t>
      </w:r>
      <w:r w:rsidR="004F5221" w:rsidRPr="006E07C6">
        <w:rPr>
          <w:rFonts w:ascii="Arial" w:hAnsi="Arial" w:cs="Arial"/>
          <w:sz w:val="24"/>
          <w:szCs w:val="24"/>
          <w:u w:val="single"/>
          <w:vertAlign w:val="superscript"/>
        </w:rPr>
        <w:t>o</w:t>
      </w:r>
      <w:r w:rsidR="004F5221" w:rsidRPr="006E07C6">
        <w:rPr>
          <w:rFonts w:ascii="Arial" w:hAnsi="Arial" w:cs="Arial"/>
          <w:sz w:val="24"/>
          <w:szCs w:val="24"/>
        </w:rPr>
        <w:t> do art. 155 da Constituição Federal e a reinstituição das respectivas isenções, incentivos e benefícios fiscais ou financeiro-fiscais; e altera a Lei n</w:t>
      </w:r>
      <w:r w:rsidR="004F5221" w:rsidRPr="006E07C6">
        <w:rPr>
          <w:rFonts w:ascii="Arial" w:hAnsi="Arial" w:cs="Arial"/>
          <w:sz w:val="24"/>
          <w:szCs w:val="24"/>
          <w:u w:val="single"/>
          <w:vertAlign w:val="superscript"/>
        </w:rPr>
        <w:t>o</w:t>
      </w:r>
      <w:r w:rsidR="004F5221" w:rsidRPr="006E07C6">
        <w:rPr>
          <w:rFonts w:ascii="Arial" w:hAnsi="Arial" w:cs="Arial"/>
          <w:sz w:val="24"/>
          <w:szCs w:val="24"/>
        </w:rPr>
        <w:t> 12.973, de 13 de maio de 2014</w:t>
      </w:r>
      <w:r w:rsidR="00001450">
        <w:rPr>
          <w:rFonts w:ascii="Arial" w:hAnsi="Arial" w:cs="Arial"/>
          <w:sz w:val="24"/>
          <w:szCs w:val="24"/>
        </w:rPr>
        <w:t>’</w:t>
      </w:r>
      <w:r w:rsidR="008543B3" w:rsidRPr="006E07C6">
        <w:rPr>
          <w:rFonts w:ascii="Arial" w:hAnsi="Arial" w:cs="Arial"/>
          <w:sz w:val="24"/>
          <w:szCs w:val="24"/>
        </w:rPr>
        <w:t xml:space="preserve"> (ementa e art. 1º)</w:t>
      </w:r>
      <w:r w:rsidR="004F5221" w:rsidRPr="006E07C6">
        <w:rPr>
          <w:rFonts w:ascii="Arial" w:hAnsi="Arial" w:cs="Arial"/>
          <w:sz w:val="24"/>
          <w:szCs w:val="24"/>
        </w:rPr>
        <w:t>.</w:t>
      </w:r>
      <w:r w:rsidR="008543B3" w:rsidRPr="006E07C6">
        <w:rPr>
          <w:rFonts w:ascii="Arial" w:hAnsi="Arial" w:cs="Arial"/>
          <w:sz w:val="24"/>
          <w:szCs w:val="24"/>
        </w:rPr>
        <w:t xml:space="preserve"> </w:t>
      </w:r>
    </w:p>
    <w:p w14:paraId="648F93C6" w14:textId="77777777" w:rsidR="00565848" w:rsidRPr="006E07C6" w:rsidRDefault="008543B3" w:rsidP="008543B3">
      <w:pPr>
        <w:spacing w:line="360" w:lineRule="auto"/>
        <w:ind w:firstLine="851"/>
        <w:jc w:val="both"/>
        <w:rPr>
          <w:rFonts w:ascii="Arial" w:hAnsi="Arial" w:cs="Arial"/>
          <w:sz w:val="24"/>
          <w:szCs w:val="24"/>
        </w:rPr>
      </w:pPr>
      <w:r w:rsidRPr="006E07C6">
        <w:rPr>
          <w:rFonts w:ascii="Arial" w:hAnsi="Arial" w:cs="Arial"/>
          <w:sz w:val="24"/>
          <w:szCs w:val="24"/>
        </w:rPr>
        <w:t xml:space="preserve">Para tanto, exige o </w:t>
      </w:r>
      <w:r w:rsidRPr="006E07C6">
        <w:rPr>
          <w:rFonts w:ascii="Arial" w:hAnsi="Arial" w:cs="Arial"/>
          <w:sz w:val="24"/>
          <w:szCs w:val="24"/>
          <w:u w:val="single"/>
        </w:rPr>
        <w:t>art. 2º da LC nº 160/2017</w:t>
      </w:r>
      <w:r w:rsidRPr="006E07C6">
        <w:rPr>
          <w:rFonts w:ascii="Arial" w:hAnsi="Arial" w:cs="Arial"/>
          <w:sz w:val="24"/>
          <w:szCs w:val="24"/>
        </w:rPr>
        <w:t xml:space="preserve"> que haja prévio convênio autorizativo aprovado e ratificado com o voto favorável de, no mínimo, 2/3 (dois terços) das unidades federadas; e, cumulativamente, </w:t>
      </w:r>
      <w:bookmarkStart w:id="1" w:name="art2ii"/>
      <w:bookmarkEnd w:id="1"/>
      <w:r w:rsidRPr="006E07C6">
        <w:rPr>
          <w:rFonts w:ascii="Arial" w:hAnsi="Arial" w:cs="Arial"/>
          <w:sz w:val="24"/>
          <w:szCs w:val="24"/>
        </w:rPr>
        <w:t xml:space="preserve">1/3 (um terço) das unidades federadas integrantes de cada uma das 5 (cinco) regiões do País. </w:t>
      </w:r>
    </w:p>
    <w:p w14:paraId="08EA419A" w14:textId="53F9B433" w:rsidR="008543B3" w:rsidRPr="006E07C6" w:rsidRDefault="008543B3" w:rsidP="008543B3">
      <w:pPr>
        <w:spacing w:line="360" w:lineRule="auto"/>
        <w:ind w:firstLine="851"/>
        <w:jc w:val="both"/>
        <w:rPr>
          <w:rFonts w:ascii="Arial" w:hAnsi="Arial" w:cs="Arial"/>
          <w:sz w:val="24"/>
          <w:szCs w:val="24"/>
        </w:rPr>
      </w:pPr>
      <w:r w:rsidRPr="006E07C6">
        <w:rPr>
          <w:rFonts w:ascii="Arial" w:hAnsi="Arial" w:cs="Arial"/>
          <w:sz w:val="24"/>
          <w:szCs w:val="24"/>
        </w:rPr>
        <w:t xml:space="preserve">Essas exigências foram cumpridas no </w:t>
      </w:r>
      <w:r w:rsidRPr="006E07C6">
        <w:rPr>
          <w:rFonts w:ascii="Arial" w:hAnsi="Arial" w:cs="Arial"/>
          <w:sz w:val="24"/>
          <w:szCs w:val="24"/>
          <w:u w:val="single"/>
        </w:rPr>
        <w:t>Convênio nº 190/2017 do Confaz</w:t>
      </w:r>
      <w:r w:rsidRPr="006E07C6">
        <w:rPr>
          <w:rFonts w:ascii="Arial" w:hAnsi="Arial" w:cs="Arial"/>
          <w:sz w:val="24"/>
          <w:szCs w:val="24"/>
        </w:rPr>
        <w:t>, restando às unidades federadas, em conformidade com referido convênio e a LC nº 160/2017, editarem leis específicas para concederem remissão e/ou reinstituírem os incentivos fiscais instituídos anteriormente em violação ao texto constitucional</w:t>
      </w:r>
      <w:r w:rsidR="00F4796C" w:rsidRPr="006E07C6">
        <w:rPr>
          <w:rFonts w:ascii="Arial" w:hAnsi="Arial" w:cs="Arial"/>
          <w:sz w:val="24"/>
          <w:szCs w:val="24"/>
        </w:rPr>
        <w:t>, sob pena de sujeitarem às medidas previstas no art. 6º da própria LC nº 160/2017</w:t>
      </w:r>
      <w:r w:rsidR="00A433B7" w:rsidRPr="006E07C6">
        <w:rPr>
          <w:rStyle w:val="Refdenotaderodap"/>
          <w:rFonts w:ascii="Arial" w:hAnsi="Arial" w:cs="Arial"/>
          <w:sz w:val="24"/>
          <w:szCs w:val="24"/>
        </w:rPr>
        <w:footnoteReference w:id="9"/>
      </w:r>
      <w:r w:rsidR="00F4796C" w:rsidRPr="006E07C6">
        <w:rPr>
          <w:rFonts w:ascii="Arial" w:hAnsi="Arial" w:cs="Arial"/>
          <w:sz w:val="24"/>
          <w:szCs w:val="24"/>
        </w:rPr>
        <w:t>.</w:t>
      </w:r>
    </w:p>
    <w:p w14:paraId="2D82F148" w14:textId="064E5661" w:rsidR="00A37B9F" w:rsidRPr="006E07C6" w:rsidRDefault="00A37B9F" w:rsidP="008543B3">
      <w:pPr>
        <w:spacing w:line="360" w:lineRule="auto"/>
        <w:ind w:firstLine="851"/>
        <w:jc w:val="both"/>
        <w:rPr>
          <w:rFonts w:ascii="Arial" w:hAnsi="Arial" w:cs="Arial"/>
          <w:sz w:val="24"/>
          <w:szCs w:val="24"/>
        </w:rPr>
      </w:pPr>
    </w:p>
    <w:p w14:paraId="06546DAE" w14:textId="6FE44E2D" w:rsidR="00A37B9F" w:rsidRPr="006E07C6" w:rsidRDefault="002F53AC" w:rsidP="008543B3">
      <w:pPr>
        <w:spacing w:line="360" w:lineRule="auto"/>
        <w:ind w:firstLine="851"/>
        <w:jc w:val="both"/>
        <w:rPr>
          <w:rFonts w:ascii="Arial" w:hAnsi="Arial" w:cs="Arial"/>
          <w:sz w:val="24"/>
          <w:szCs w:val="24"/>
        </w:rPr>
      </w:pPr>
      <w:r w:rsidRPr="006E07C6">
        <w:rPr>
          <w:rFonts w:ascii="Arial" w:hAnsi="Arial" w:cs="Arial"/>
          <w:b/>
          <w:sz w:val="24"/>
          <w:szCs w:val="24"/>
        </w:rPr>
        <w:t>3.1</w:t>
      </w:r>
      <w:r w:rsidR="00A37B9F" w:rsidRPr="006E07C6">
        <w:rPr>
          <w:rFonts w:ascii="Arial" w:hAnsi="Arial" w:cs="Arial"/>
          <w:b/>
          <w:sz w:val="24"/>
          <w:szCs w:val="24"/>
        </w:rPr>
        <w:t>.5.</w:t>
      </w:r>
      <w:r w:rsidR="00A37B9F" w:rsidRPr="006E07C6">
        <w:rPr>
          <w:rFonts w:ascii="Arial" w:hAnsi="Arial" w:cs="Arial"/>
          <w:sz w:val="24"/>
          <w:szCs w:val="24"/>
        </w:rPr>
        <w:t xml:space="preserve"> Apesar do entendimento do STF</w:t>
      </w:r>
      <w:r w:rsidR="00EC3DAD" w:rsidRPr="006E07C6">
        <w:rPr>
          <w:rFonts w:ascii="Arial" w:hAnsi="Arial" w:cs="Arial"/>
          <w:sz w:val="24"/>
          <w:szCs w:val="24"/>
        </w:rPr>
        <w:t xml:space="preserve"> e da</w:t>
      </w:r>
      <w:r w:rsidR="00126670">
        <w:rPr>
          <w:rFonts w:ascii="Arial" w:hAnsi="Arial" w:cs="Arial"/>
          <w:sz w:val="24"/>
          <w:szCs w:val="24"/>
        </w:rPr>
        <w:t>s disposições da</w:t>
      </w:r>
      <w:r w:rsidR="00EC3DAD" w:rsidRPr="006E07C6">
        <w:rPr>
          <w:rFonts w:ascii="Arial" w:hAnsi="Arial" w:cs="Arial"/>
          <w:sz w:val="24"/>
          <w:szCs w:val="24"/>
        </w:rPr>
        <w:t xml:space="preserve"> LC nº 160/2017</w:t>
      </w:r>
      <w:r w:rsidR="00A37B9F" w:rsidRPr="006E07C6">
        <w:rPr>
          <w:rFonts w:ascii="Arial" w:hAnsi="Arial" w:cs="Arial"/>
          <w:sz w:val="24"/>
          <w:szCs w:val="24"/>
        </w:rPr>
        <w:t xml:space="preserve">, </w:t>
      </w:r>
      <w:r w:rsidR="00EC3DAD" w:rsidRPr="006E07C6">
        <w:rPr>
          <w:rFonts w:ascii="Arial" w:hAnsi="Arial" w:cs="Arial"/>
          <w:sz w:val="24"/>
          <w:szCs w:val="24"/>
        </w:rPr>
        <w:t>a doutrina pátria</w:t>
      </w:r>
      <w:r w:rsidR="00826F69" w:rsidRPr="006E07C6">
        <w:rPr>
          <w:rStyle w:val="Refdenotaderodap"/>
          <w:rFonts w:ascii="Arial" w:hAnsi="Arial" w:cs="Arial"/>
          <w:sz w:val="24"/>
          <w:szCs w:val="24"/>
        </w:rPr>
        <w:footnoteReference w:id="10"/>
      </w:r>
      <w:r w:rsidR="00EC3DAD" w:rsidRPr="006E07C6">
        <w:rPr>
          <w:rFonts w:ascii="Arial" w:hAnsi="Arial" w:cs="Arial"/>
          <w:sz w:val="24"/>
          <w:szCs w:val="24"/>
        </w:rPr>
        <w:t xml:space="preserve"> entende que </w:t>
      </w:r>
      <w:r w:rsidR="00EC3DAD" w:rsidRPr="006E07C6">
        <w:rPr>
          <w:rFonts w:ascii="Arial" w:hAnsi="Arial" w:cs="Arial"/>
          <w:b/>
          <w:sz w:val="24"/>
          <w:szCs w:val="24"/>
          <w:u w:val="single"/>
        </w:rPr>
        <w:t>a denominada “guerra fiscal”</w:t>
      </w:r>
      <w:r w:rsidR="00A37B9F" w:rsidRPr="006E07C6">
        <w:rPr>
          <w:rFonts w:ascii="Arial" w:hAnsi="Arial" w:cs="Arial"/>
          <w:b/>
          <w:sz w:val="24"/>
          <w:szCs w:val="24"/>
          <w:u w:val="single"/>
        </w:rPr>
        <w:t xml:space="preserve"> </w:t>
      </w:r>
      <w:r w:rsidR="00EC3DAD" w:rsidRPr="006E07C6">
        <w:rPr>
          <w:rFonts w:ascii="Arial" w:hAnsi="Arial" w:cs="Arial"/>
          <w:b/>
          <w:sz w:val="24"/>
          <w:szCs w:val="24"/>
          <w:u w:val="single"/>
        </w:rPr>
        <w:t>está longe de ter um fim</w:t>
      </w:r>
      <w:r w:rsidR="00EC3DAD" w:rsidRPr="006E07C6">
        <w:rPr>
          <w:rFonts w:ascii="Arial" w:hAnsi="Arial" w:cs="Arial"/>
          <w:sz w:val="24"/>
          <w:szCs w:val="24"/>
        </w:rPr>
        <w:t>, sobretudo em razão da</w:t>
      </w:r>
      <w:r w:rsidR="00320DC4" w:rsidRPr="006E07C6">
        <w:rPr>
          <w:rFonts w:ascii="Arial" w:hAnsi="Arial" w:cs="Arial"/>
          <w:sz w:val="24"/>
          <w:szCs w:val="24"/>
        </w:rPr>
        <w:t xml:space="preserve">: </w:t>
      </w:r>
      <w:r w:rsidR="00320DC4" w:rsidRPr="006E07C6">
        <w:rPr>
          <w:rFonts w:ascii="Arial" w:hAnsi="Arial" w:cs="Arial"/>
          <w:b/>
          <w:sz w:val="24"/>
          <w:szCs w:val="24"/>
        </w:rPr>
        <w:t>a)</w:t>
      </w:r>
      <w:r w:rsidR="00EC3DAD" w:rsidRPr="006E07C6">
        <w:rPr>
          <w:rFonts w:ascii="Arial" w:hAnsi="Arial" w:cs="Arial"/>
          <w:b/>
          <w:sz w:val="24"/>
          <w:szCs w:val="24"/>
        </w:rPr>
        <w:t xml:space="preserve"> morosidade daquela Corte</w:t>
      </w:r>
      <w:r w:rsidR="00EC3DAD" w:rsidRPr="006E07C6">
        <w:rPr>
          <w:rFonts w:ascii="Arial" w:hAnsi="Arial" w:cs="Arial"/>
          <w:sz w:val="24"/>
          <w:szCs w:val="24"/>
        </w:rPr>
        <w:t xml:space="preserve"> em apreciar as ADI’s que questionam leis estaduais e distritais que concedem irregularmente incentivos fiscais, </w:t>
      </w:r>
      <w:r w:rsidR="007665A6" w:rsidRPr="006E07C6">
        <w:rPr>
          <w:rFonts w:ascii="Arial" w:hAnsi="Arial" w:cs="Arial"/>
          <w:sz w:val="24"/>
          <w:szCs w:val="24"/>
        </w:rPr>
        <w:t xml:space="preserve">sobretudo em razão do procedimento aplicado (Lei 9.868/1999, art. </w:t>
      </w:r>
      <w:r w:rsidR="00320DC4" w:rsidRPr="006E07C6">
        <w:rPr>
          <w:rFonts w:ascii="Arial" w:hAnsi="Arial" w:cs="Arial"/>
          <w:sz w:val="24"/>
          <w:szCs w:val="24"/>
        </w:rPr>
        <w:t xml:space="preserve">12); </w:t>
      </w:r>
      <w:r w:rsidR="00320DC4" w:rsidRPr="006E07C6">
        <w:rPr>
          <w:rFonts w:ascii="Arial" w:hAnsi="Arial" w:cs="Arial"/>
          <w:b/>
          <w:sz w:val="24"/>
          <w:szCs w:val="24"/>
        </w:rPr>
        <w:t xml:space="preserve">b) ausência de uma punição específica para os governantes que concedam incentivos fiscais </w:t>
      </w:r>
      <w:r w:rsidR="00320DC4" w:rsidRPr="006E07C6">
        <w:rPr>
          <w:rFonts w:ascii="Arial" w:hAnsi="Arial" w:cs="Arial"/>
          <w:b/>
          <w:sz w:val="24"/>
          <w:szCs w:val="24"/>
        </w:rPr>
        <w:lastRenderedPageBreak/>
        <w:t>irregulares</w:t>
      </w:r>
      <w:r w:rsidR="00320DC4" w:rsidRPr="006E07C6">
        <w:rPr>
          <w:rFonts w:ascii="Arial" w:hAnsi="Arial" w:cs="Arial"/>
          <w:sz w:val="24"/>
          <w:szCs w:val="24"/>
        </w:rPr>
        <w:t>, diferentemente do recente tratamento legislativo quanto a não observância da alíquota mínima nacional em matéria de ISS (Lei nº 8.429/1992, art. 10-A, incluído pela LC nº 157/2016)</w:t>
      </w:r>
      <w:r w:rsidR="00E27C0D" w:rsidRPr="006E07C6">
        <w:rPr>
          <w:rFonts w:ascii="Arial" w:hAnsi="Arial" w:cs="Arial"/>
          <w:sz w:val="24"/>
          <w:szCs w:val="24"/>
        </w:rPr>
        <w:t xml:space="preserve">. Pode-se destacar, ainda, o </w:t>
      </w:r>
      <w:r w:rsidR="00E27C0D" w:rsidRPr="006E07C6">
        <w:rPr>
          <w:rFonts w:ascii="Arial" w:hAnsi="Arial" w:cs="Arial"/>
          <w:b/>
          <w:sz w:val="24"/>
          <w:szCs w:val="24"/>
        </w:rPr>
        <w:t xml:space="preserve">recente questionamento junto ao STF acerca </w:t>
      </w:r>
      <w:r w:rsidR="009962B2" w:rsidRPr="006E07C6">
        <w:rPr>
          <w:rFonts w:ascii="Arial" w:hAnsi="Arial" w:cs="Arial"/>
          <w:b/>
          <w:sz w:val="24"/>
          <w:szCs w:val="24"/>
        </w:rPr>
        <w:t>de diversos aspectos d</w:t>
      </w:r>
      <w:r w:rsidR="00E27C0D" w:rsidRPr="006E07C6">
        <w:rPr>
          <w:rFonts w:ascii="Arial" w:hAnsi="Arial" w:cs="Arial"/>
          <w:b/>
          <w:sz w:val="24"/>
          <w:szCs w:val="24"/>
        </w:rPr>
        <w:t>a própria LC nº 160/2017 (STF, ADI 5902/AM)</w:t>
      </w:r>
      <w:r w:rsidR="00056AD1" w:rsidRPr="006E07C6">
        <w:rPr>
          <w:rFonts w:ascii="Arial" w:hAnsi="Arial" w:cs="Arial"/>
          <w:sz w:val="24"/>
          <w:szCs w:val="24"/>
        </w:rPr>
        <w:t>, com parecer da Procuradoria-Geral da República (PGR) favorável à procedência do pedido</w:t>
      </w:r>
      <w:r w:rsidR="009962B2" w:rsidRPr="006E07C6">
        <w:rPr>
          <w:rFonts w:ascii="Arial" w:hAnsi="Arial" w:cs="Arial"/>
          <w:sz w:val="24"/>
          <w:szCs w:val="24"/>
        </w:rPr>
        <w:t xml:space="preserve"> de declaração de inconstitucionalidade deduzido pelo Estado do Amazonas</w:t>
      </w:r>
      <w:r w:rsidR="00E27C0D" w:rsidRPr="006E07C6">
        <w:rPr>
          <w:rFonts w:ascii="Arial" w:hAnsi="Arial" w:cs="Arial"/>
          <w:sz w:val="24"/>
          <w:szCs w:val="24"/>
        </w:rPr>
        <w:t>.</w:t>
      </w:r>
    </w:p>
    <w:p w14:paraId="4C342BC0" w14:textId="616BAD53" w:rsidR="00DD1F0F" w:rsidRPr="006E07C6" w:rsidRDefault="00DD1F0F" w:rsidP="008543B3">
      <w:pPr>
        <w:spacing w:line="360" w:lineRule="auto"/>
        <w:ind w:firstLine="851"/>
        <w:jc w:val="both"/>
        <w:rPr>
          <w:rFonts w:ascii="Arial" w:hAnsi="Arial" w:cs="Arial"/>
          <w:sz w:val="24"/>
          <w:szCs w:val="24"/>
        </w:rPr>
      </w:pPr>
      <w:r w:rsidRPr="006E07C6">
        <w:rPr>
          <w:rFonts w:ascii="Arial" w:hAnsi="Arial" w:cs="Arial"/>
          <w:sz w:val="24"/>
          <w:szCs w:val="24"/>
        </w:rPr>
        <w:t xml:space="preserve">Ademais, </w:t>
      </w:r>
      <w:r w:rsidRPr="006E07C6">
        <w:rPr>
          <w:rFonts w:ascii="Arial" w:hAnsi="Arial" w:cs="Arial"/>
          <w:b/>
          <w:sz w:val="24"/>
          <w:szCs w:val="24"/>
        </w:rPr>
        <w:t>muitas outras questões restam pendentes de definição pelo STF no tocante aos incentivos fiscais</w:t>
      </w:r>
      <w:r w:rsidRPr="006E07C6">
        <w:rPr>
          <w:rFonts w:ascii="Arial" w:hAnsi="Arial" w:cs="Arial"/>
          <w:sz w:val="24"/>
          <w:szCs w:val="24"/>
        </w:rPr>
        <w:t xml:space="preserve">, como a possibilidade </w:t>
      </w:r>
      <w:r w:rsidR="004162D6" w:rsidRPr="006E07C6">
        <w:rPr>
          <w:rFonts w:ascii="Arial" w:hAnsi="Arial" w:cs="Arial"/>
          <w:sz w:val="24"/>
          <w:szCs w:val="24"/>
        </w:rPr>
        <w:t xml:space="preserve">de o Estado-membro prejudicado estornar unilateralmente créditos de ICMS baseado em pretensa concessão de benefício fiscal inválido por outro ente federado, </w:t>
      </w:r>
      <w:r w:rsidR="00047937" w:rsidRPr="006E07C6">
        <w:rPr>
          <w:rFonts w:ascii="Arial" w:hAnsi="Arial" w:cs="Arial"/>
          <w:sz w:val="24"/>
          <w:szCs w:val="24"/>
        </w:rPr>
        <w:t xml:space="preserve">em vez de ajuizar ADI específica, </w:t>
      </w:r>
      <w:r w:rsidR="004162D6" w:rsidRPr="006E07C6">
        <w:rPr>
          <w:rFonts w:ascii="Arial" w:hAnsi="Arial" w:cs="Arial"/>
          <w:sz w:val="24"/>
          <w:szCs w:val="24"/>
        </w:rPr>
        <w:t>temática que</w:t>
      </w:r>
      <w:r w:rsidR="00047937" w:rsidRPr="006E07C6">
        <w:rPr>
          <w:rFonts w:ascii="Arial" w:hAnsi="Arial" w:cs="Arial"/>
          <w:sz w:val="24"/>
          <w:szCs w:val="24"/>
        </w:rPr>
        <w:t xml:space="preserve"> também</w:t>
      </w:r>
      <w:r w:rsidR="004162D6" w:rsidRPr="006E07C6">
        <w:rPr>
          <w:rFonts w:ascii="Arial" w:hAnsi="Arial" w:cs="Arial"/>
          <w:sz w:val="24"/>
          <w:szCs w:val="24"/>
        </w:rPr>
        <w:t xml:space="preserve"> se encontra sob o regime de repercussão geral.</w:t>
      </w:r>
      <w:r w:rsidR="004162D6" w:rsidRPr="006E07C6">
        <w:rPr>
          <w:rStyle w:val="Refdenotaderodap"/>
          <w:rFonts w:ascii="Arial" w:hAnsi="Arial" w:cs="Arial"/>
          <w:sz w:val="24"/>
          <w:szCs w:val="24"/>
        </w:rPr>
        <w:footnoteReference w:id="11"/>
      </w:r>
    </w:p>
    <w:p w14:paraId="11932A5B" w14:textId="77777777" w:rsidR="00056AD1" w:rsidRPr="006E07C6" w:rsidRDefault="00056AD1" w:rsidP="008543B3">
      <w:pPr>
        <w:spacing w:line="360" w:lineRule="auto"/>
        <w:ind w:firstLine="851"/>
        <w:jc w:val="both"/>
        <w:rPr>
          <w:rFonts w:ascii="Arial" w:hAnsi="Arial" w:cs="Arial"/>
          <w:sz w:val="24"/>
          <w:szCs w:val="24"/>
        </w:rPr>
      </w:pPr>
    </w:p>
    <w:p w14:paraId="52EF0845" w14:textId="5AC2D074" w:rsidR="00E27C0D" w:rsidRPr="006E07C6" w:rsidRDefault="00056AD1" w:rsidP="008543B3">
      <w:pPr>
        <w:spacing w:line="360" w:lineRule="auto"/>
        <w:ind w:firstLine="851"/>
        <w:jc w:val="both"/>
        <w:rPr>
          <w:rFonts w:ascii="Arial" w:hAnsi="Arial" w:cs="Arial"/>
          <w:sz w:val="24"/>
          <w:szCs w:val="24"/>
        </w:rPr>
      </w:pPr>
      <w:r w:rsidRPr="006E07C6">
        <w:rPr>
          <w:rFonts w:ascii="Arial" w:hAnsi="Arial" w:cs="Arial"/>
          <w:b/>
          <w:sz w:val="24"/>
          <w:szCs w:val="24"/>
        </w:rPr>
        <w:t>3.1.6.</w:t>
      </w:r>
      <w:r w:rsidRPr="006E07C6">
        <w:rPr>
          <w:rFonts w:ascii="Arial" w:hAnsi="Arial" w:cs="Arial"/>
          <w:sz w:val="24"/>
          <w:szCs w:val="24"/>
        </w:rPr>
        <w:t xml:space="preserve"> Portanto, a </w:t>
      </w:r>
      <w:r w:rsidRPr="006E07C6">
        <w:rPr>
          <w:rFonts w:ascii="Arial" w:hAnsi="Arial" w:cs="Arial"/>
          <w:b/>
          <w:sz w:val="24"/>
          <w:szCs w:val="24"/>
          <w:u w:val="single"/>
        </w:rPr>
        <w:t>guerra fiscal do ICMS</w:t>
      </w:r>
      <w:r w:rsidRPr="006E07C6">
        <w:rPr>
          <w:rFonts w:ascii="Arial" w:hAnsi="Arial" w:cs="Arial"/>
          <w:b/>
          <w:sz w:val="24"/>
          <w:szCs w:val="24"/>
        </w:rPr>
        <w:t xml:space="preserve">, prática deveras arraigada na cultura política </w:t>
      </w:r>
      <w:r w:rsidR="00826F69">
        <w:rPr>
          <w:rFonts w:ascii="Arial" w:hAnsi="Arial" w:cs="Arial"/>
          <w:b/>
          <w:sz w:val="24"/>
          <w:szCs w:val="24"/>
        </w:rPr>
        <w:t>dos governantes em geral</w:t>
      </w:r>
      <w:r w:rsidRPr="006E07C6">
        <w:rPr>
          <w:rFonts w:ascii="Arial" w:hAnsi="Arial" w:cs="Arial"/>
          <w:b/>
          <w:sz w:val="24"/>
          <w:szCs w:val="24"/>
        </w:rPr>
        <w:t>, ainda se faz</w:t>
      </w:r>
      <w:r w:rsidR="009F4EDE" w:rsidRPr="006E07C6">
        <w:rPr>
          <w:rFonts w:ascii="Arial" w:hAnsi="Arial" w:cs="Arial"/>
          <w:b/>
          <w:sz w:val="24"/>
          <w:szCs w:val="24"/>
        </w:rPr>
        <w:t xml:space="preserve"> e tende a se fazer</w:t>
      </w:r>
      <w:r w:rsidRPr="006E07C6">
        <w:rPr>
          <w:rFonts w:ascii="Arial" w:hAnsi="Arial" w:cs="Arial"/>
          <w:b/>
          <w:sz w:val="24"/>
          <w:szCs w:val="24"/>
        </w:rPr>
        <w:t xml:space="preserve"> presente</w:t>
      </w:r>
      <w:r w:rsidR="00133C4B">
        <w:rPr>
          <w:rFonts w:ascii="Arial" w:hAnsi="Arial" w:cs="Arial"/>
          <w:b/>
          <w:sz w:val="24"/>
          <w:szCs w:val="24"/>
        </w:rPr>
        <w:t>, além</w:t>
      </w:r>
      <w:r w:rsidRPr="006E07C6">
        <w:rPr>
          <w:rFonts w:ascii="Arial" w:hAnsi="Arial" w:cs="Arial"/>
          <w:b/>
          <w:sz w:val="24"/>
          <w:szCs w:val="24"/>
        </w:rPr>
        <w:t xml:space="preserve"> </w:t>
      </w:r>
      <w:r w:rsidR="00133C4B">
        <w:rPr>
          <w:rFonts w:ascii="Arial" w:hAnsi="Arial" w:cs="Arial"/>
          <w:b/>
          <w:sz w:val="24"/>
          <w:szCs w:val="24"/>
        </w:rPr>
        <w:t>d</w:t>
      </w:r>
      <w:r w:rsidRPr="006E07C6">
        <w:rPr>
          <w:rFonts w:ascii="Arial" w:hAnsi="Arial" w:cs="Arial"/>
          <w:b/>
          <w:sz w:val="24"/>
          <w:szCs w:val="24"/>
        </w:rPr>
        <w:t>e</w:t>
      </w:r>
      <w:r w:rsidR="00543DC9" w:rsidRPr="006E07C6">
        <w:rPr>
          <w:rFonts w:ascii="Arial" w:hAnsi="Arial" w:cs="Arial"/>
          <w:b/>
          <w:sz w:val="24"/>
          <w:szCs w:val="24"/>
        </w:rPr>
        <w:t xml:space="preserve"> causa</w:t>
      </w:r>
      <w:r w:rsidR="00133C4B">
        <w:rPr>
          <w:rFonts w:ascii="Arial" w:hAnsi="Arial" w:cs="Arial"/>
          <w:b/>
          <w:sz w:val="24"/>
          <w:szCs w:val="24"/>
        </w:rPr>
        <w:t>r</w:t>
      </w:r>
      <w:r w:rsidR="00543DC9" w:rsidRPr="006E07C6">
        <w:rPr>
          <w:rFonts w:ascii="Arial" w:hAnsi="Arial" w:cs="Arial"/>
          <w:b/>
          <w:sz w:val="24"/>
          <w:szCs w:val="24"/>
        </w:rPr>
        <w:t xml:space="preserve"> enorme insegurança jurídica</w:t>
      </w:r>
      <w:r w:rsidR="00543DC9" w:rsidRPr="006E07C6">
        <w:rPr>
          <w:rFonts w:ascii="Arial" w:hAnsi="Arial" w:cs="Arial"/>
          <w:sz w:val="24"/>
          <w:szCs w:val="24"/>
        </w:rPr>
        <w:t xml:space="preserve">, tanto </w:t>
      </w:r>
      <w:r w:rsidR="005B294B" w:rsidRPr="006E07C6">
        <w:rPr>
          <w:rFonts w:ascii="Arial" w:hAnsi="Arial" w:cs="Arial"/>
          <w:sz w:val="24"/>
          <w:szCs w:val="24"/>
        </w:rPr>
        <w:t xml:space="preserve">em relação à </w:t>
      </w:r>
      <w:r w:rsidR="005B294B" w:rsidRPr="006E07C6">
        <w:rPr>
          <w:rFonts w:ascii="Arial" w:hAnsi="Arial" w:cs="Arial"/>
          <w:sz w:val="24"/>
          <w:szCs w:val="24"/>
          <w:u w:val="single"/>
        </w:rPr>
        <w:t>efetiva cessação dessa prática</w:t>
      </w:r>
      <w:r w:rsidR="005B294B" w:rsidRPr="006E07C6">
        <w:rPr>
          <w:rFonts w:ascii="Arial" w:hAnsi="Arial" w:cs="Arial"/>
          <w:sz w:val="24"/>
          <w:szCs w:val="24"/>
        </w:rPr>
        <w:t xml:space="preserve"> (</w:t>
      </w:r>
      <w:r w:rsidR="008C5CC4" w:rsidRPr="006E07C6">
        <w:rPr>
          <w:rFonts w:ascii="Arial" w:hAnsi="Arial" w:cs="Arial"/>
          <w:sz w:val="24"/>
          <w:szCs w:val="24"/>
        </w:rPr>
        <w:t>porqu</w:t>
      </w:r>
      <w:r w:rsidR="005B294B" w:rsidRPr="006E07C6">
        <w:rPr>
          <w:rFonts w:ascii="Arial" w:hAnsi="Arial" w:cs="Arial"/>
          <w:sz w:val="24"/>
          <w:szCs w:val="24"/>
        </w:rPr>
        <w:t xml:space="preserve">e não há base jurídica segura para essa constatação) quanto aos </w:t>
      </w:r>
      <w:r w:rsidR="005B294B" w:rsidRPr="006E07C6">
        <w:rPr>
          <w:rFonts w:ascii="Arial" w:hAnsi="Arial" w:cs="Arial"/>
          <w:sz w:val="24"/>
          <w:szCs w:val="24"/>
          <w:u w:val="single"/>
        </w:rPr>
        <w:t>efeitos pretéritos dos incentivos fiscais irregulares já concedidos</w:t>
      </w:r>
      <w:r w:rsidR="005B294B" w:rsidRPr="006E07C6">
        <w:rPr>
          <w:rFonts w:ascii="Arial" w:hAnsi="Arial" w:cs="Arial"/>
          <w:sz w:val="24"/>
          <w:szCs w:val="24"/>
        </w:rPr>
        <w:t xml:space="preserve"> (em face dos sucessivos questionamentos judiciais</w:t>
      </w:r>
      <w:r w:rsidR="008C5CC4" w:rsidRPr="006E07C6">
        <w:rPr>
          <w:rFonts w:ascii="Arial" w:hAnsi="Arial" w:cs="Arial"/>
          <w:sz w:val="24"/>
          <w:szCs w:val="24"/>
        </w:rPr>
        <w:t>, tanto a Convênios do Confaz como a leis aprovados pelo Congresso Nacional</w:t>
      </w:r>
      <w:r w:rsidR="005B294B" w:rsidRPr="006E07C6">
        <w:rPr>
          <w:rFonts w:ascii="Arial" w:hAnsi="Arial" w:cs="Arial"/>
          <w:sz w:val="24"/>
          <w:szCs w:val="24"/>
        </w:rPr>
        <w:t>)</w:t>
      </w:r>
      <w:r w:rsidR="001F4437" w:rsidRPr="006E07C6">
        <w:rPr>
          <w:rFonts w:ascii="Arial" w:hAnsi="Arial" w:cs="Arial"/>
          <w:sz w:val="24"/>
          <w:szCs w:val="24"/>
        </w:rPr>
        <w:t>.</w:t>
      </w:r>
    </w:p>
    <w:p w14:paraId="322492FD" w14:textId="3BD42E57" w:rsidR="0072025C" w:rsidRPr="006E07C6" w:rsidRDefault="0072025C" w:rsidP="008543B3">
      <w:pPr>
        <w:spacing w:line="360" w:lineRule="auto"/>
        <w:ind w:firstLine="851"/>
        <w:jc w:val="both"/>
        <w:rPr>
          <w:rFonts w:ascii="Arial" w:hAnsi="Arial" w:cs="Arial"/>
          <w:sz w:val="24"/>
          <w:szCs w:val="24"/>
        </w:rPr>
      </w:pPr>
    </w:p>
    <w:p w14:paraId="0FEBB694" w14:textId="02F60732" w:rsidR="0072025C" w:rsidRPr="006E07C6" w:rsidRDefault="0072025C" w:rsidP="0072025C">
      <w:pPr>
        <w:spacing w:line="360" w:lineRule="auto"/>
        <w:ind w:firstLine="851"/>
        <w:jc w:val="both"/>
        <w:rPr>
          <w:rFonts w:ascii="Arial" w:hAnsi="Arial" w:cs="Arial"/>
          <w:b/>
          <w:sz w:val="24"/>
          <w:szCs w:val="24"/>
        </w:rPr>
      </w:pPr>
      <w:r w:rsidRPr="006E07C6">
        <w:rPr>
          <w:rFonts w:ascii="Arial" w:hAnsi="Arial" w:cs="Arial"/>
          <w:b/>
          <w:sz w:val="24"/>
          <w:szCs w:val="24"/>
        </w:rPr>
        <w:t xml:space="preserve">3.2 </w:t>
      </w:r>
      <w:r w:rsidR="00421965">
        <w:rPr>
          <w:rFonts w:ascii="Arial" w:hAnsi="Arial" w:cs="Arial"/>
          <w:b/>
          <w:sz w:val="24"/>
          <w:szCs w:val="24"/>
        </w:rPr>
        <w:t xml:space="preserve">– </w:t>
      </w:r>
      <w:r w:rsidRPr="006E07C6">
        <w:rPr>
          <w:rFonts w:ascii="Arial" w:hAnsi="Arial" w:cs="Arial"/>
          <w:b/>
          <w:sz w:val="24"/>
          <w:szCs w:val="24"/>
        </w:rPr>
        <w:t xml:space="preserve">A </w:t>
      </w:r>
      <w:r w:rsidR="00BA14B3" w:rsidRPr="006E07C6">
        <w:rPr>
          <w:rFonts w:ascii="Arial" w:hAnsi="Arial" w:cs="Arial"/>
          <w:b/>
          <w:sz w:val="24"/>
          <w:szCs w:val="24"/>
        </w:rPr>
        <w:t>CRISE</w:t>
      </w:r>
      <w:r w:rsidRPr="006E07C6">
        <w:rPr>
          <w:rFonts w:ascii="Arial" w:hAnsi="Arial" w:cs="Arial"/>
          <w:b/>
          <w:sz w:val="24"/>
          <w:szCs w:val="24"/>
        </w:rPr>
        <w:t xml:space="preserve"> FISCAL</w:t>
      </w:r>
      <w:r w:rsidR="00765E70">
        <w:rPr>
          <w:rFonts w:ascii="Arial" w:hAnsi="Arial" w:cs="Arial"/>
          <w:b/>
          <w:sz w:val="24"/>
          <w:szCs w:val="24"/>
        </w:rPr>
        <w:t xml:space="preserve"> </w:t>
      </w:r>
      <w:r w:rsidR="00721E4F" w:rsidRPr="006E07C6">
        <w:rPr>
          <w:rFonts w:ascii="Arial" w:hAnsi="Arial" w:cs="Arial"/>
          <w:b/>
          <w:sz w:val="24"/>
          <w:szCs w:val="24"/>
        </w:rPr>
        <w:t>NO CENÁRIO</w:t>
      </w:r>
      <w:r w:rsidRPr="006E07C6">
        <w:rPr>
          <w:rFonts w:ascii="Arial" w:hAnsi="Arial" w:cs="Arial"/>
          <w:b/>
          <w:sz w:val="24"/>
          <w:szCs w:val="24"/>
        </w:rPr>
        <w:t xml:space="preserve"> NACIONAL</w:t>
      </w:r>
    </w:p>
    <w:p w14:paraId="56028669" w14:textId="4E6EF8A8" w:rsidR="0072025C" w:rsidRPr="006E07C6" w:rsidRDefault="0072025C" w:rsidP="008543B3">
      <w:pPr>
        <w:spacing w:line="360" w:lineRule="auto"/>
        <w:ind w:firstLine="851"/>
        <w:jc w:val="both"/>
        <w:rPr>
          <w:rFonts w:ascii="Arial" w:hAnsi="Arial" w:cs="Arial"/>
          <w:sz w:val="24"/>
          <w:szCs w:val="24"/>
        </w:rPr>
      </w:pPr>
    </w:p>
    <w:p w14:paraId="12461DC0" w14:textId="508DBA7F" w:rsidR="002815CD" w:rsidRPr="006E07C6" w:rsidRDefault="002815CD" w:rsidP="008543B3">
      <w:pPr>
        <w:spacing w:line="360" w:lineRule="auto"/>
        <w:ind w:firstLine="851"/>
        <w:jc w:val="both"/>
        <w:rPr>
          <w:rFonts w:ascii="Arial" w:hAnsi="Arial" w:cs="Arial"/>
          <w:sz w:val="24"/>
          <w:szCs w:val="24"/>
        </w:rPr>
      </w:pPr>
      <w:r w:rsidRPr="006E07C6">
        <w:rPr>
          <w:rFonts w:ascii="Arial" w:hAnsi="Arial" w:cs="Arial"/>
          <w:sz w:val="24"/>
          <w:szCs w:val="24"/>
        </w:rPr>
        <w:t xml:space="preserve">Embora ainda presente a discussão referente à guerra fiscal, mais precisamente no tocante à forma de eliminá-la ou, ao menos, contorná-la mais eficazmente, </w:t>
      </w:r>
      <w:r w:rsidRPr="006E07C6">
        <w:rPr>
          <w:rFonts w:ascii="Arial" w:hAnsi="Arial" w:cs="Arial"/>
          <w:b/>
          <w:sz w:val="24"/>
          <w:szCs w:val="24"/>
        </w:rPr>
        <w:t>o mais recente debate no país tem se voltado à situação de crise financeira</w:t>
      </w:r>
      <w:r w:rsidRPr="006E07C6">
        <w:rPr>
          <w:rFonts w:ascii="Arial" w:hAnsi="Arial" w:cs="Arial"/>
          <w:sz w:val="24"/>
          <w:szCs w:val="24"/>
        </w:rPr>
        <w:t xml:space="preserve"> que assola as unidades federadas, em especial a União e os Estados-membros.</w:t>
      </w:r>
    </w:p>
    <w:p w14:paraId="2D23A045" w14:textId="11CA2AF2" w:rsidR="003B55CC" w:rsidRPr="006E07C6" w:rsidRDefault="001E72BF" w:rsidP="008543B3">
      <w:pPr>
        <w:spacing w:line="360" w:lineRule="auto"/>
        <w:ind w:firstLine="851"/>
        <w:jc w:val="both"/>
        <w:rPr>
          <w:rFonts w:ascii="Arial" w:hAnsi="Arial" w:cs="Arial"/>
          <w:sz w:val="24"/>
          <w:szCs w:val="24"/>
        </w:rPr>
      </w:pPr>
      <w:r w:rsidRPr="006E07C6">
        <w:rPr>
          <w:rFonts w:ascii="Arial" w:hAnsi="Arial" w:cs="Arial"/>
          <w:b/>
          <w:sz w:val="24"/>
          <w:szCs w:val="24"/>
        </w:rPr>
        <w:t>Diversos fatores contribuíram para esse cenário e ainda se fazem presentes</w:t>
      </w:r>
      <w:r w:rsidRPr="006E07C6">
        <w:rPr>
          <w:rFonts w:ascii="Arial" w:hAnsi="Arial" w:cs="Arial"/>
          <w:sz w:val="24"/>
          <w:szCs w:val="24"/>
        </w:rPr>
        <w:t xml:space="preserve">, num contexto mais amplo, tais como o(a): </w:t>
      </w:r>
      <w:r w:rsidR="00E44A98" w:rsidRPr="00E44A98">
        <w:rPr>
          <w:rFonts w:ascii="Arial" w:hAnsi="Arial" w:cs="Arial"/>
          <w:sz w:val="24"/>
          <w:szCs w:val="24"/>
        </w:rPr>
        <w:t>a)</w:t>
      </w:r>
      <w:r w:rsidRPr="006E07C6">
        <w:rPr>
          <w:rFonts w:ascii="Arial" w:hAnsi="Arial" w:cs="Arial"/>
          <w:sz w:val="24"/>
          <w:szCs w:val="24"/>
        </w:rPr>
        <w:t xml:space="preserve"> aus</w:t>
      </w:r>
      <w:r w:rsidR="002A7EED" w:rsidRPr="006E07C6">
        <w:rPr>
          <w:rFonts w:ascii="Arial" w:hAnsi="Arial" w:cs="Arial"/>
          <w:sz w:val="24"/>
          <w:szCs w:val="24"/>
        </w:rPr>
        <w:t xml:space="preserve">ência de regulamentação </w:t>
      </w:r>
      <w:r w:rsidR="002A7EED" w:rsidRPr="006E07C6">
        <w:rPr>
          <w:rFonts w:ascii="Arial" w:hAnsi="Arial" w:cs="Arial"/>
          <w:sz w:val="24"/>
          <w:szCs w:val="24"/>
        </w:rPr>
        <w:lastRenderedPageBreak/>
        <w:t>n</w:t>
      </w:r>
      <w:r w:rsidRPr="006E07C6">
        <w:rPr>
          <w:rFonts w:ascii="Arial" w:hAnsi="Arial" w:cs="Arial"/>
          <w:sz w:val="24"/>
          <w:szCs w:val="24"/>
        </w:rPr>
        <w:t xml:space="preserve">a LC </w:t>
      </w:r>
      <w:r w:rsidR="00C50798" w:rsidRPr="006E07C6">
        <w:rPr>
          <w:rFonts w:ascii="Arial" w:hAnsi="Arial" w:cs="Arial"/>
          <w:sz w:val="24"/>
          <w:szCs w:val="24"/>
        </w:rPr>
        <w:t xml:space="preserve">nº </w:t>
      </w:r>
      <w:r w:rsidRPr="006E07C6">
        <w:rPr>
          <w:rFonts w:ascii="Arial" w:hAnsi="Arial" w:cs="Arial"/>
          <w:sz w:val="24"/>
          <w:szCs w:val="24"/>
        </w:rPr>
        <w:t xml:space="preserve">87/1996 (Lei Kandir) no tocante à compensação financeira aos Estados-membros e ao Distrito Federal em razão da </w:t>
      </w:r>
      <w:r w:rsidRPr="006E07C6">
        <w:rPr>
          <w:rFonts w:ascii="Arial" w:hAnsi="Arial" w:cs="Arial"/>
          <w:sz w:val="24"/>
          <w:szCs w:val="24"/>
          <w:u w:val="single"/>
        </w:rPr>
        <w:t>desoneração das exportações</w:t>
      </w:r>
      <w:r w:rsidRPr="006E07C6">
        <w:rPr>
          <w:rFonts w:ascii="Arial" w:hAnsi="Arial" w:cs="Arial"/>
          <w:sz w:val="24"/>
          <w:szCs w:val="24"/>
        </w:rPr>
        <w:t>, o que vem diminuindo</w:t>
      </w:r>
      <w:r w:rsidR="002A7EED" w:rsidRPr="006E07C6">
        <w:rPr>
          <w:rFonts w:ascii="Arial" w:hAnsi="Arial" w:cs="Arial"/>
          <w:sz w:val="24"/>
          <w:szCs w:val="24"/>
        </w:rPr>
        <w:t xml:space="preserve"> gravemente</w:t>
      </w:r>
      <w:r w:rsidRPr="006E07C6">
        <w:rPr>
          <w:rFonts w:ascii="Arial" w:hAnsi="Arial" w:cs="Arial"/>
          <w:sz w:val="24"/>
          <w:szCs w:val="24"/>
        </w:rPr>
        <w:t xml:space="preserve"> a arrecadação destes; </w:t>
      </w:r>
      <w:r w:rsidR="00E44A98">
        <w:rPr>
          <w:rFonts w:ascii="Arial" w:hAnsi="Arial" w:cs="Arial"/>
          <w:sz w:val="24"/>
          <w:szCs w:val="24"/>
          <w:u w:val="single"/>
        </w:rPr>
        <w:t>b</w:t>
      </w:r>
      <w:r w:rsidRPr="006E07C6">
        <w:rPr>
          <w:rFonts w:ascii="Arial" w:hAnsi="Arial" w:cs="Arial"/>
          <w:sz w:val="24"/>
          <w:szCs w:val="24"/>
          <w:u w:val="single"/>
        </w:rPr>
        <w:t>) evolução da dívida</w:t>
      </w:r>
      <w:r w:rsidR="002A7EED" w:rsidRPr="006E07C6">
        <w:rPr>
          <w:rFonts w:ascii="Arial" w:hAnsi="Arial" w:cs="Arial"/>
          <w:sz w:val="24"/>
          <w:szCs w:val="24"/>
        </w:rPr>
        <w:t xml:space="preserve"> </w:t>
      </w:r>
      <w:r w:rsidRPr="006E07C6">
        <w:rPr>
          <w:rFonts w:ascii="Arial" w:hAnsi="Arial" w:cs="Arial"/>
          <w:sz w:val="24"/>
          <w:szCs w:val="24"/>
        </w:rPr>
        <w:t xml:space="preserve">dos Estados-membros e do Distrito Federal com a União; </w:t>
      </w:r>
      <w:r w:rsidR="00E44A98" w:rsidRPr="00E44A98">
        <w:rPr>
          <w:rFonts w:ascii="Arial" w:hAnsi="Arial" w:cs="Arial"/>
          <w:sz w:val="24"/>
          <w:szCs w:val="24"/>
          <w:u w:val="single"/>
        </w:rPr>
        <w:t>c</w:t>
      </w:r>
      <w:r w:rsidRPr="006E07C6">
        <w:rPr>
          <w:rFonts w:ascii="Arial" w:hAnsi="Arial" w:cs="Arial"/>
          <w:sz w:val="24"/>
          <w:szCs w:val="24"/>
          <w:u w:val="single"/>
        </w:rPr>
        <w:t>) aumento de despesas de pessoal</w:t>
      </w:r>
      <w:r w:rsidRPr="006E07C6">
        <w:rPr>
          <w:rFonts w:ascii="Arial" w:hAnsi="Arial" w:cs="Arial"/>
          <w:sz w:val="24"/>
          <w:szCs w:val="24"/>
        </w:rPr>
        <w:t xml:space="preserve">, inclusive por fatores alheios aos Estados-membros e do Distrito Federal, como a progressiva implementação do Piso Nacional da Educação, assegurado por decisão do </w:t>
      </w:r>
      <w:r w:rsidRPr="00E44A98">
        <w:rPr>
          <w:rFonts w:ascii="Arial" w:hAnsi="Arial" w:cs="Arial"/>
          <w:sz w:val="24"/>
          <w:szCs w:val="24"/>
        </w:rPr>
        <w:t>STF</w:t>
      </w:r>
      <w:r w:rsidR="00AF36CF" w:rsidRPr="00E44A98">
        <w:rPr>
          <w:rFonts w:ascii="Arial" w:hAnsi="Arial" w:cs="Arial"/>
          <w:sz w:val="24"/>
          <w:szCs w:val="24"/>
        </w:rPr>
        <w:t xml:space="preserve"> (</w:t>
      </w:r>
      <w:r w:rsidR="006E6410" w:rsidRPr="00E44A98">
        <w:rPr>
          <w:rFonts w:ascii="Arial" w:hAnsi="Arial" w:cs="Arial"/>
          <w:sz w:val="24"/>
          <w:szCs w:val="24"/>
        </w:rPr>
        <w:t>ADI 4</w:t>
      </w:r>
      <w:r w:rsidR="00E44A98" w:rsidRPr="00E44A98">
        <w:rPr>
          <w:rFonts w:ascii="Arial" w:hAnsi="Arial" w:cs="Arial"/>
          <w:sz w:val="24"/>
          <w:szCs w:val="24"/>
        </w:rPr>
        <w:t>.</w:t>
      </w:r>
      <w:r w:rsidR="006E6410" w:rsidRPr="00E44A98">
        <w:rPr>
          <w:rFonts w:ascii="Arial" w:hAnsi="Arial" w:cs="Arial"/>
          <w:sz w:val="24"/>
          <w:szCs w:val="24"/>
        </w:rPr>
        <w:t>167</w:t>
      </w:r>
      <w:r w:rsidR="00E44A98" w:rsidRPr="00E44A98">
        <w:rPr>
          <w:rFonts w:ascii="Arial" w:hAnsi="Arial" w:cs="Arial"/>
          <w:sz w:val="24"/>
          <w:szCs w:val="24"/>
        </w:rPr>
        <w:t>/DF</w:t>
      </w:r>
      <w:r w:rsidR="00AF36CF" w:rsidRPr="00E44A98">
        <w:rPr>
          <w:rFonts w:ascii="Arial" w:hAnsi="Arial" w:cs="Arial"/>
          <w:sz w:val="24"/>
          <w:szCs w:val="24"/>
        </w:rPr>
        <w:t>)</w:t>
      </w:r>
      <w:r w:rsidR="00E44A98">
        <w:rPr>
          <w:rFonts w:ascii="Arial" w:hAnsi="Arial" w:cs="Arial"/>
          <w:sz w:val="24"/>
          <w:szCs w:val="24"/>
        </w:rPr>
        <w:t xml:space="preserve">; </w:t>
      </w:r>
      <w:r w:rsidR="00E44A98" w:rsidRPr="00E44A98">
        <w:rPr>
          <w:rFonts w:ascii="Arial" w:hAnsi="Arial" w:cs="Arial"/>
          <w:sz w:val="24"/>
          <w:szCs w:val="24"/>
          <w:u w:val="single"/>
        </w:rPr>
        <w:t>d</w:t>
      </w:r>
      <w:r w:rsidRPr="00E44A98">
        <w:rPr>
          <w:rFonts w:ascii="Arial" w:hAnsi="Arial" w:cs="Arial"/>
          <w:sz w:val="24"/>
          <w:szCs w:val="24"/>
          <w:u w:val="single"/>
        </w:rPr>
        <w:t xml:space="preserve">) má-gestão e corrupção </w:t>
      </w:r>
      <w:r w:rsidR="00E44A98" w:rsidRPr="00E44A98">
        <w:rPr>
          <w:rFonts w:ascii="Arial" w:hAnsi="Arial" w:cs="Arial"/>
          <w:sz w:val="24"/>
          <w:szCs w:val="24"/>
          <w:u w:val="single"/>
        </w:rPr>
        <w:t>em alguns Estados</w:t>
      </w:r>
      <w:r w:rsidR="008A2367" w:rsidRPr="006E07C6">
        <w:rPr>
          <w:rFonts w:ascii="Arial" w:hAnsi="Arial" w:cs="Arial"/>
          <w:sz w:val="24"/>
          <w:szCs w:val="24"/>
        </w:rPr>
        <w:t>;</w:t>
      </w:r>
      <w:r w:rsidR="00C94517" w:rsidRPr="006E07C6">
        <w:rPr>
          <w:rFonts w:ascii="Arial" w:hAnsi="Arial" w:cs="Arial"/>
          <w:sz w:val="24"/>
          <w:szCs w:val="24"/>
        </w:rPr>
        <w:t xml:space="preserve"> e</w:t>
      </w:r>
      <w:r w:rsidR="000D3538" w:rsidRPr="006E07C6">
        <w:rPr>
          <w:rFonts w:ascii="Arial" w:hAnsi="Arial" w:cs="Arial"/>
          <w:sz w:val="24"/>
          <w:szCs w:val="24"/>
        </w:rPr>
        <w:t xml:space="preserve"> </w:t>
      </w:r>
      <w:r w:rsidR="00E44A98">
        <w:rPr>
          <w:rFonts w:ascii="Arial" w:hAnsi="Arial" w:cs="Arial"/>
          <w:sz w:val="24"/>
          <w:szCs w:val="24"/>
        </w:rPr>
        <w:t>e</w:t>
      </w:r>
      <w:r w:rsidR="000D3538" w:rsidRPr="006E07C6">
        <w:rPr>
          <w:rFonts w:ascii="Arial" w:hAnsi="Arial" w:cs="Arial"/>
          <w:sz w:val="24"/>
          <w:szCs w:val="24"/>
          <w:u w:val="single"/>
        </w:rPr>
        <w:t>) “maquiagem” nas contas públicas</w:t>
      </w:r>
      <w:r w:rsidR="000D3538" w:rsidRPr="006E07C6">
        <w:rPr>
          <w:rFonts w:ascii="Arial" w:hAnsi="Arial" w:cs="Arial"/>
          <w:sz w:val="24"/>
          <w:szCs w:val="24"/>
        </w:rPr>
        <w:t xml:space="preserve">, de modo a omitir do Tesouro Nacional informações relevantes sobre o </w:t>
      </w:r>
      <w:r w:rsidR="00B40D9B" w:rsidRPr="006E07C6">
        <w:rPr>
          <w:rFonts w:ascii="Arial" w:hAnsi="Arial" w:cs="Arial"/>
          <w:sz w:val="24"/>
          <w:szCs w:val="24"/>
        </w:rPr>
        <w:t>efetivo cumprimento da LRF</w:t>
      </w:r>
      <w:r w:rsidR="00371916" w:rsidRPr="006E07C6">
        <w:rPr>
          <w:rStyle w:val="Refdenotaderodap"/>
          <w:rFonts w:ascii="Arial" w:hAnsi="Arial" w:cs="Arial"/>
          <w:sz w:val="24"/>
          <w:szCs w:val="24"/>
        </w:rPr>
        <w:footnoteReference w:id="12"/>
      </w:r>
      <w:r w:rsidR="00B40D9B" w:rsidRPr="006E07C6">
        <w:rPr>
          <w:rFonts w:ascii="Arial" w:hAnsi="Arial" w:cs="Arial"/>
          <w:sz w:val="24"/>
          <w:szCs w:val="24"/>
        </w:rPr>
        <w:t>.</w:t>
      </w:r>
    </w:p>
    <w:p w14:paraId="66A5BFA3" w14:textId="5BE92CCF" w:rsidR="001E72BF" w:rsidRPr="006E07C6" w:rsidRDefault="003B55CC" w:rsidP="008543B3">
      <w:pPr>
        <w:spacing w:line="360" w:lineRule="auto"/>
        <w:ind w:firstLine="851"/>
        <w:jc w:val="both"/>
        <w:rPr>
          <w:rFonts w:ascii="Arial" w:hAnsi="Arial" w:cs="Arial"/>
          <w:sz w:val="24"/>
          <w:szCs w:val="24"/>
        </w:rPr>
      </w:pPr>
      <w:r w:rsidRPr="006E07C6">
        <w:rPr>
          <w:rFonts w:ascii="Arial" w:hAnsi="Arial" w:cs="Arial"/>
          <w:sz w:val="24"/>
          <w:szCs w:val="24"/>
        </w:rPr>
        <w:t xml:space="preserve">Pode-se também acrescer a esta lista </w:t>
      </w:r>
      <w:r w:rsidRPr="006E07C6">
        <w:rPr>
          <w:rFonts w:ascii="Arial" w:hAnsi="Arial" w:cs="Arial"/>
          <w:b/>
          <w:sz w:val="24"/>
          <w:szCs w:val="24"/>
        </w:rPr>
        <w:t xml:space="preserve">a concessão ou </w:t>
      </w:r>
      <w:r w:rsidR="008A59A6" w:rsidRPr="006E07C6">
        <w:rPr>
          <w:rFonts w:ascii="Arial" w:hAnsi="Arial" w:cs="Arial"/>
          <w:b/>
          <w:sz w:val="24"/>
          <w:szCs w:val="24"/>
        </w:rPr>
        <w:t xml:space="preserve">a </w:t>
      </w:r>
      <w:r w:rsidRPr="006E07C6">
        <w:rPr>
          <w:rFonts w:ascii="Arial" w:hAnsi="Arial" w:cs="Arial"/>
          <w:b/>
          <w:sz w:val="24"/>
          <w:szCs w:val="24"/>
        </w:rPr>
        <w:t>manutenção de incentivos fiscais milionários ou até mesmo bilionários, sobretudo relativo ao ICMS</w:t>
      </w:r>
      <w:r w:rsidRPr="006E07C6">
        <w:rPr>
          <w:rFonts w:ascii="Arial" w:hAnsi="Arial" w:cs="Arial"/>
          <w:sz w:val="24"/>
          <w:szCs w:val="24"/>
        </w:rPr>
        <w:t>, de forma inconstitucional ou que não trazem retorno econômico e social ao ente federado, ou ao menos não na proporção desejada ou prevista inicialmente, a implicar significativa renúncia de receita</w:t>
      </w:r>
      <w:r w:rsidR="00A91923">
        <w:rPr>
          <w:rFonts w:ascii="Arial" w:hAnsi="Arial" w:cs="Arial"/>
          <w:sz w:val="24"/>
          <w:szCs w:val="24"/>
        </w:rPr>
        <w:t>.</w:t>
      </w:r>
      <w:r w:rsidRPr="006E07C6">
        <w:rPr>
          <w:rFonts w:ascii="Arial" w:hAnsi="Arial" w:cs="Arial"/>
          <w:sz w:val="24"/>
          <w:szCs w:val="24"/>
        </w:rPr>
        <w:t xml:space="preserve"> </w:t>
      </w:r>
      <w:r w:rsidR="00A91923" w:rsidRPr="00E44A98">
        <w:rPr>
          <w:rFonts w:ascii="Arial" w:hAnsi="Arial" w:cs="Arial"/>
          <w:sz w:val="24"/>
          <w:szCs w:val="24"/>
        </w:rPr>
        <w:t>Além disso, há</w:t>
      </w:r>
      <w:r w:rsidRPr="006E07C6">
        <w:rPr>
          <w:rFonts w:ascii="Arial" w:hAnsi="Arial" w:cs="Arial"/>
          <w:sz w:val="24"/>
          <w:szCs w:val="24"/>
        </w:rPr>
        <w:t xml:space="preserve"> diversos outros fato</w:t>
      </w:r>
      <w:r w:rsidR="00012A26" w:rsidRPr="006E07C6">
        <w:rPr>
          <w:rFonts w:ascii="Arial" w:hAnsi="Arial" w:cs="Arial"/>
          <w:sz w:val="24"/>
          <w:szCs w:val="24"/>
        </w:rPr>
        <w:t>re</w:t>
      </w:r>
      <w:r w:rsidRPr="006E07C6">
        <w:rPr>
          <w:rFonts w:ascii="Arial" w:hAnsi="Arial" w:cs="Arial"/>
          <w:sz w:val="24"/>
          <w:szCs w:val="24"/>
        </w:rPr>
        <w:t>s políticos, econômicos, sociais e jurídicos, que não convém aqui aprofundar, mas indiscutivelmente presentes no passado recente da história do país.</w:t>
      </w:r>
    </w:p>
    <w:p w14:paraId="683870D4" w14:textId="56984318" w:rsidR="001E72BF" w:rsidRPr="006E07C6" w:rsidRDefault="00BC37F3" w:rsidP="008543B3">
      <w:pPr>
        <w:spacing w:line="360" w:lineRule="auto"/>
        <w:ind w:firstLine="851"/>
        <w:jc w:val="both"/>
        <w:rPr>
          <w:rFonts w:ascii="Arial" w:hAnsi="Arial" w:cs="Arial"/>
          <w:sz w:val="24"/>
          <w:szCs w:val="24"/>
        </w:rPr>
      </w:pPr>
      <w:r w:rsidRPr="006E07C6">
        <w:rPr>
          <w:rFonts w:ascii="Arial" w:hAnsi="Arial" w:cs="Arial"/>
          <w:sz w:val="24"/>
          <w:szCs w:val="24"/>
        </w:rPr>
        <w:t xml:space="preserve">Nesse cenário de profunda recessão econômica, o Estado do Rio de Janeiro, de forma pioneira, decretou </w:t>
      </w:r>
      <w:r w:rsidRPr="006E07C6">
        <w:rPr>
          <w:rFonts w:ascii="Arial" w:hAnsi="Arial" w:cs="Arial"/>
          <w:b/>
          <w:sz w:val="24"/>
          <w:szCs w:val="24"/>
        </w:rPr>
        <w:t xml:space="preserve">“estado de calamidade pública </w:t>
      </w:r>
      <w:r w:rsidR="00434ED5" w:rsidRPr="006E07C6">
        <w:rPr>
          <w:rFonts w:ascii="Arial" w:hAnsi="Arial" w:cs="Arial"/>
          <w:b/>
          <w:sz w:val="24"/>
          <w:szCs w:val="24"/>
        </w:rPr>
        <w:t>no âmbito da administração financeira</w:t>
      </w:r>
      <w:r w:rsidRPr="006E07C6">
        <w:rPr>
          <w:rFonts w:ascii="Arial" w:hAnsi="Arial" w:cs="Arial"/>
          <w:b/>
          <w:sz w:val="24"/>
          <w:szCs w:val="24"/>
        </w:rPr>
        <w:t>”</w:t>
      </w:r>
      <w:r w:rsidRPr="006E07C6">
        <w:rPr>
          <w:rFonts w:ascii="Arial" w:hAnsi="Arial" w:cs="Arial"/>
          <w:sz w:val="24"/>
          <w:szCs w:val="24"/>
        </w:rPr>
        <w:t xml:space="preserve"> </w:t>
      </w:r>
      <w:r w:rsidR="005A0916" w:rsidRPr="006E07C6">
        <w:rPr>
          <w:rFonts w:ascii="Arial" w:hAnsi="Arial" w:cs="Arial"/>
          <w:sz w:val="24"/>
          <w:szCs w:val="24"/>
        </w:rPr>
        <w:t>(</w:t>
      </w:r>
      <w:r w:rsidR="00537561" w:rsidRPr="00057174">
        <w:rPr>
          <w:rFonts w:ascii="Arial" w:hAnsi="Arial" w:cs="Arial"/>
          <w:sz w:val="24"/>
          <w:szCs w:val="24"/>
          <w:u w:val="single"/>
        </w:rPr>
        <w:t xml:space="preserve">Decreto </w:t>
      </w:r>
      <w:r w:rsidR="005A0916" w:rsidRPr="00057174">
        <w:rPr>
          <w:rFonts w:ascii="Arial" w:hAnsi="Arial" w:cs="Arial"/>
          <w:sz w:val="24"/>
          <w:szCs w:val="24"/>
          <w:u w:val="single"/>
        </w:rPr>
        <w:t>nº 45.692/2016</w:t>
      </w:r>
      <w:r w:rsidR="005A0916" w:rsidRPr="006E07C6">
        <w:rPr>
          <w:rFonts w:ascii="Arial" w:hAnsi="Arial" w:cs="Arial"/>
          <w:sz w:val="24"/>
          <w:szCs w:val="24"/>
        </w:rPr>
        <w:t xml:space="preserve">), </w:t>
      </w:r>
      <w:r w:rsidR="00DD01C3" w:rsidRPr="006E07C6">
        <w:rPr>
          <w:rFonts w:ascii="Arial" w:hAnsi="Arial" w:cs="Arial"/>
          <w:sz w:val="24"/>
          <w:szCs w:val="24"/>
        </w:rPr>
        <w:t xml:space="preserve">em contexto agravado pelo fato de a respectiva capital ter sediado os Jogos Olímpicos </w:t>
      </w:r>
      <w:r w:rsidR="00E7117B" w:rsidRPr="006E07C6">
        <w:rPr>
          <w:rFonts w:ascii="Arial" w:hAnsi="Arial" w:cs="Arial"/>
          <w:sz w:val="24"/>
          <w:szCs w:val="24"/>
        </w:rPr>
        <w:t>e Para</w:t>
      </w:r>
      <w:r w:rsidR="005672A1" w:rsidRPr="006E07C6">
        <w:rPr>
          <w:rFonts w:ascii="Arial" w:hAnsi="Arial" w:cs="Arial"/>
          <w:sz w:val="24"/>
          <w:szCs w:val="24"/>
        </w:rPr>
        <w:t>o</w:t>
      </w:r>
      <w:r w:rsidR="00E7117B" w:rsidRPr="006E07C6">
        <w:rPr>
          <w:rFonts w:ascii="Arial" w:hAnsi="Arial" w:cs="Arial"/>
          <w:sz w:val="24"/>
          <w:szCs w:val="24"/>
        </w:rPr>
        <w:t xml:space="preserve">límpicos </w:t>
      </w:r>
      <w:r w:rsidR="00DD01C3" w:rsidRPr="006E07C6">
        <w:rPr>
          <w:rFonts w:ascii="Arial" w:hAnsi="Arial" w:cs="Arial"/>
          <w:sz w:val="24"/>
          <w:szCs w:val="24"/>
        </w:rPr>
        <w:t xml:space="preserve">ocorridos no mesmo ano. </w:t>
      </w:r>
      <w:r w:rsidR="00434ED5" w:rsidRPr="006E07C6">
        <w:rPr>
          <w:rFonts w:ascii="Arial" w:hAnsi="Arial" w:cs="Arial"/>
          <w:sz w:val="24"/>
          <w:szCs w:val="24"/>
        </w:rPr>
        <w:t>Esse estado de calamidade financeira foi previsto para vigorar, inicialmente, até dezembro de 2017 (</w:t>
      </w:r>
      <w:r w:rsidR="00434ED5" w:rsidRPr="00057174">
        <w:rPr>
          <w:rFonts w:ascii="Arial" w:hAnsi="Arial" w:cs="Arial"/>
          <w:sz w:val="24"/>
          <w:szCs w:val="24"/>
          <w:u w:val="single"/>
        </w:rPr>
        <w:t>Lei nº 7.483/2016, art. 2º</w:t>
      </w:r>
      <w:r w:rsidR="00434ED5" w:rsidRPr="006E07C6">
        <w:rPr>
          <w:rFonts w:ascii="Arial" w:hAnsi="Arial" w:cs="Arial"/>
          <w:sz w:val="24"/>
          <w:szCs w:val="24"/>
        </w:rPr>
        <w:t xml:space="preserve">), mas foi sucessivamente prorrogado até 2018 e 2019, respectivamente, pelas </w:t>
      </w:r>
      <w:r w:rsidR="00434ED5" w:rsidRPr="00057174">
        <w:rPr>
          <w:rFonts w:ascii="Arial" w:hAnsi="Arial" w:cs="Arial"/>
          <w:sz w:val="24"/>
          <w:szCs w:val="24"/>
          <w:u w:val="single"/>
        </w:rPr>
        <w:t>Leis nºs 7.627/2017 e 8.272/2018</w:t>
      </w:r>
      <w:r w:rsidR="007455C5" w:rsidRPr="006E07C6">
        <w:rPr>
          <w:rFonts w:ascii="Arial" w:hAnsi="Arial" w:cs="Arial"/>
          <w:sz w:val="24"/>
          <w:szCs w:val="24"/>
        </w:rPr>
        <w:t>.</w:t>
      </w:r>
    </w:p>
    <w:p w14:paraId="2A52CAC2" w14:textId="7A2528FC" w:rsidR="00A9334D" w:rsidRDefault="00A9334D" w:rsidP="008543B3">
      <w:pPr>
        <w:spacing w:line="360" w:lineRule="auto"/>
        <w:ind w:firstLine="851"/>
        <w:jc w:val="both"/>
        <w:rPr>
          <w:rFonts w:ascii="Arial" w:hAnsi="Arial" w:cs="Arial"/>
          <w:sz w:val="24"/>
          <w:szCs w:val="24"/>
        </w:rPr>
      </w:pPr>
      <w:r w:rsidRPr="006E07C6">
        <w:rPr>
          <w:rFonts w:ascii="Arial" w:hAnsi="Arial" w:cs="Arial"/>
          <w:sz w:val="24"/>
          <w:szCs w:val="24"/>
        </w:rPr>
        <w:t xml:space="preserve">Seguindo a mesma tendência, </w:t>
      </w:r>
      <w:r w:rsidRPr="006E07C6">
        <w:rPr>
          <w:rFonts w:ascii="Arial" w:hAnsi="Arial" w:cs="Arial"/>
          <w:b/>
          <w:sz w:val="24"/>
          <w:szCs w:val="24"/>
        </w:rPr>
        <w:t>diversos outros Estados-membros</w:t>
      </w:r>
      <w:r w:rsidR="000D3538" w:rsidRPr="006E07C6">
        <w:rPr>
          <w:rFonts w:ascii="Arial" w:hAnsi="Arial" w:cs="Arial"/>
          <w:b/>
          <w:sz w:val="24"/>
          <w:szCs w:val="24"/>
        </w:rPr>
        <w:t xml:space="preserve"> decretaram calamidade financeira</w:t>
      </w:r>
      <w:r w:rsidR="000D3538" w:rsidRPr="006E07C6">
        <w:rPr>
          <w:rFonts w:ascii="Arial" w:hAnsi="Arial" w:cs="Arial"/>
          <w:sz w:val="24"/>
          <w:szCs w:val="24"/>
        </w:rPr>
        <w:t xml:space="preserve">, a exemplo de </w:t>
      </w:r>
      <w:r w:rsidR="00F24676" w:rsidRPr="006E07C6">
        <w:rPr>
          <w:rFonts w:ascii="Arial" w:hAnsi="Arial" w:cs="Arial"/>
          <w:sz w:val="24"/>
          <w:szCs w:val="24"/>
          <w:u w:val="single"/>
        </w:rPr>
        <w:t>Minas Gerais</w:t>
      </w:r>
      <w:r w:rsidR="00016D35" w:rsidRPr="006E07C6">
        <w:rPr>
          <w:rFonts w:ascii="Arial" w:hAnsi="Arial" w:cs="Arial"/>
          <w:sz w:val="24"/>
          <w:szCs w:val="24"/>
        </w:rPr>
        <w:t xml:space="preserve"> (</w:t>
      </w:r>
      <w:r w:rsidR="00394059" w:rsidRPr="006E07C6">
        <w:rPr>
          <w:rFonts w:ascii="Arial" w:hAnsi="Arial" w:cs="Arial"/>
          <w:sz w:val="24"/>
          <w:szCs w:val="24"/>
        </w:rPr>
        <w:t>Decreto nº 47.101/2016</w:t>
      </w:r>
      <w:r w:rsidR="003D23EE">
        <w:rPr>
          <w:rFonts w:ascii="Arial" w:hAnsi="Arial" w:cs="Arial"/>
          <w:sz w:val="24"/>
          <w:szCs w:val="24"/>
        </w:rPr>
        <w:t>, ratificado pela Resoluçã</w:t>
      </w:r>
      <w:r w:rsidR="003D23EE" w:rsidRPr="003D23EE">
        <w:rPr>
          <w:rFonts w:ascii="Arial" w:hAnsi="Arial" w:cs="Arial"/>
          <w:sz w:val="24"/>
          <w:szCs w:val="24"/>
        </w:rPr>
        <w:t>o</w:t>
      </w:r>
      <w:r w:rsidR="003D23EE">
        <w:rPr>
          <w:rFonts w:ascii="Arial" w:hAnsi="Arial" w:cs="Arial"/>
          <w:sz w:val="24"/>
          <w:szCs w:val="24"/>
        </w:rPr>
        <w:t xml:space="preserve"> nº</w:t>
      </w:r>
      <w:r w:rsidR="003D23EE" w:rsidRPr="003D23EE">
        <w:rPr>
          <w:rFonts w:ascii="Arial" w:hAnsi="Arial" w:cs="Arial"/>
          <w:sz w:val="24"/>
          <w:szCs w:val="24"/>
        </w:rPr>
        <w:t xml:space="preserve"> 5.513</w:t>
      </w:r>
      <w:r w:rsidR="003D23EE">
        <w:rPr>
          <w:rFonts w:ascii="Arial" w:hAnsi="Arial" w:cs="Arial"/>
          <w:sz w:val="24"/>
          <w:szCs w:val="24"/>
        </w:rPr>
        <w:t>/</w:t>
      </w:r>
      <w:r w:rsidR="003D23EE" w:rsidRPr="003D23EE">
        <w:rPr>
          <w:rFonts w:ascii="Arial" w:hAnsi="Arial" w:cs="Arial"/>
          <w:sz w:val="24"/>
          <w:szCs w:val="24"/>
        </w:rPr>
        <w:t>2016</w:t>
      </w:r>
      <w:r w:rsidR="00016D35" w:rsidRPr="006E07C6">
        <w:rPr>
          <w:rFonts w:ascii="Arial" w:hAnsi="Arial" w:cs="Arial"/>
          <w:sz w:val="24"/>
          <w:szCs w:val="24"/>
        </w:rPr>
        <w:t>)</w:t>
      </w:r>
      <w:r w:rsidR="00F24676" w:rsidRPr="006E07C6">
        <w:rPr>
          <w:rFonts w:ascii="Arial" w:hAnsi="Arial" w:cs="Arial"/>
          <w:sz w:val="24"/>
          <w:szCs w:val="24"/>
        </w:rPr>
        <w:t xml:space="preserve">, </w:t>
      </w:r>
      <w:r w:rsidR="00F24676" w:rsidRPr="006E07C6">
        <w:rPr>
          <w:rFonts w:ascii="Arial" w:hAnsi="Arial" w:cs="Arial"/>
          <w:sz w:val="24"/>
          <w:szCs w:val="24"/>
          <w:u w:val="single"/>
        </w:rPr>
        <w:t>Rio Grande do Sul</w:t>
      </w:r>
      <w:r w:rsidR="00016D35" w:rsidRPr="006E07C6">
        <w:rPr>
          <w:rFonts w:ascii="Arial" w:hAnsi="Arial" w:cs="Arial"/>
          <w:sz w:val="24"/>
          <w:szCs w:val="24"/>
        </w:rPr>
        <w:t xml:space="preserve"> (Decreto </w:t>
      </w:r>
      <w:r w:rsidR="00394059" w:rsidRPr="006E07C6">
        <w:rPr>
          <w:rFonts w:ascii="Arial" w:hAnsi="Arial" w:cs="Arial"/>
          <w:sz w:val="24"/>
          <w:szCs w:val="24"/>
        </w:rPr>
        <w:t xml:space="preserve">nº </w:t>
      </w:r>
      <w:r w:rsidR="00016D35" w:rsidRPr="006E07C6">
        <w:rPr>
          <w:rFonts w:ascii="Arial" w:hAnsi="Arial" w:cs="Arial"/>
          <w:sz w:val="24"/>
          <w:szCs w:val="24"/>
        </w:rPr>
        <w:t>53.303/2016)</w:t>
      </w:r>
      <w:r w:rsidR="00F24676" w:rsidRPr="006E07C6">
        <w:rPr>
          <w:rFonts w:ascii="Arial" w:hAnsi="Arial" w:cs="Arial"/>
          <w:sz w:val="24"/>
          <w:szCs w:val="24"/>
        </w:rPr>
        <w:t xml:space="preserve">, </w:t>
      </w:r>
      <w:r w:rsidR="00E8174D" w:rsidRPr="006E07C6">
        <w:rPr>
          <w:rFonts w:ascii="Arial" w:hAnsi="Arial" w:cs="Arial"/>
          <w:sz w:val="24"/>
          <w:szCs w:val="24"/>
          <w:u w:val="single"/>
        </w:rPr>
        <w:t>Roraima</w:t>
      </w:r>
      <w:r w:rsidR="00016D35" w:rsidRPr="006E07C6">
        <w:rPr>
          <w:rFonts w:ascii="Arial" w:hAnsi="Arial" w:cs="Arial"/>
          <w:sz w:val="24"/>
          <w:szCs w:val="24"/>
        </w:rPr>
        <w:t xml:space="preserve"> (</w:t>
      </w:r>
      <w:r w:rsidR="006E07C6" w:rsidRPr="006E07C6">
        <w:rPr>
          <w:rFonts w:ascii="Arial" w:hAnsi="Arial" w:cs="Arial"/>
          <w:sz w:val="24"/>
          <w:szCs w:val="24"/>
        </w:rPr>
        <w:t>Decreto nº 26.404/2018, prorrogado pelo Decreto nº</w:t>
      </w:r>
      <w:r w:rsidR="006E07C6" w:rsidRPr="006E07C6">
        <w:rPr>
          <w:rFonts w:ascii="Arial" w:eastAsia="MingLiU-ExtB" w:hAnsi="Arial" w:cs="Arial"/>
          <w:sz w:val="24"/>
          <w:szCs w:val="24"/>
        </w:rPr>
        <w:t xml:space="preserve"> 27.163/2019</w:t>
      </w:r>
      <w:r w:rsidR="006E07C6">
        <w:rPr>
          <w:rFonts w:ascii="Arial" w:eastAsia="MingLiU-ExtB" w:hAnsi="Arial" w:cs="Arial"/>
          <w:sz w:val="24"/>
          <w:szCs w:val="24"/>
        </w:rPr>
        <w:t>, este último publicado em edição extra do Diário Oficial do Estado</w:t>
      </w:r>
      <w:r w:rsidR="00016D35" w:rsidRPr="006E07C6">
        <w:rPr>
          <w:rFonts w:ascii="Arial" w:hAnsi="Arial" w:cs="Arial"/>
          <w:sz w:val="24"/>
          <w:szCs w:val="24"/>
        </w:rPr>
        <w:t>)</w:t>
      </w:r>
      <w:r w:rsidR="00E8174D" w:rsidRPr="006E07C6">
        <w:rPr>
          <w:rFonts w:ascii="Arial" w:hAnsi="Arial" w:cs="Arial"/>
          <w:sz w:val="24"/>
          <w:szCs w:val="24"/>
        </w:rPr>
        <w:t xml:space="preserve">, </w:t>
      </w:r>
      <w:r w:rsidR="00E8174D" w:rsidRPr="006E07C6">
        <w:rPr>
          <w:rFonts w:ascii="Arial" w:hAnsi="Arial" w:cs="Arial"/>
          <w:sz w:val="24"/>
          <w:szCs w:val="24"/>
          <w:u w:val="single"/>
        </w:rPr>
        <w:t>Rio Grande do Norte</w:t>
      </w:r>
      <w:r w:rsidR="00016D35" w:rsidRPr="006E07C6">
        <w:rPr>
          <w:rFonts w:ascii="Arial" w:hAnsi="Arial" w:cs="Arial"/>
          <w:sz w:val="24"/>
          <w:szCs w:val="24"/>
        </w:rPr>
        <w:t xml:space="preserve"> (</w:t>
      </w:r>
      <w:r w:rsidR="006E07C6" w:rsidRPr="006E07C6">
        <w:rPr>
          <w:rFonts w:ascii="Arial" w:hAnsi="Arial" w:cs="Arial"/>
          <w:sz w:val="24"/>
          <w:szCs w:val="24"/>
        </w:rPr>
        <w:t>Decreto nº</w:t>
      </w:r>
      <w:r w:rsidR="006E07C6">
        <w:rPr>
          <w:rFonts w:ascii="Arial" w:hAnsi="Arial" w:cs="Arial"/>
          <w:sz w:val="24"/>
          <w:szCs w:val="24"/>
        </w:rPr>
        <w:t xml:space="preserve"> </w:t>
      </w:r>
      <w:r w:rsidR="006E07C6" w:rsidRPr="006E07C6">
        <w:rPr>
          <w:rFonts w:ascii="Arial" w:hAnsi="Arial" w:cs="Arial"/>
          <w:sz w:val="24"/>
          <w:szCs w:val="24"/>
        </w:rPr>
        <w:t>28.689</w:t>
      </w:r>
      <w:r w:rsidR="006E07C6">
        <w:rPr>
          <w:rFonts w:ascii="Arial" w:hAnsi="Arial" w:cs="Arial"/>
          <w:sz w:val="24"/>
          <w:szCs w:val="24"/>
        </w:rPr>
        <w:t>/2019</w:t>
      </w:r>
      <w:r w:rsidR="00C500B3">
        <w:rPr>
          <w:rFonts w:ascii="Arial" w:hAnsi="Arial" w:cs="Arial"/>
          <w:sz w:val="24"/>
          <w:szCs w:val="24"/>
        </w:rPr>
        <w:t xml:space="preserve">, ratificado pelo </w:t>
      </w:r>
      <w:r w:rsidR="00C500B3" w:rsidRPr="006E07C6">
        <w:rPr>
          <w:rFonts w:ascii="Arial" w:hAnsi="Arial" w:cs="Arial"/>
          <w:sz w:val="24"/>
          <w:szCs w:val="24"/>
        </w:rPr>
        <w:t xml:space="preserve">Decreto Legislativo nº </w:t>
      </w:r>
      <w:r w:rsidR="00C500B3">
        <w:rPr>
          <w:rFonts w:ascii="Arial" w:hAnsi="Arial" w:cs="Arial"/>
          <w:sz w:val="24"/>
          <w:szCs w:val="24"/>
        </w:rPr>
        <w:t>001</w:t>
      </w:r>
      <w:r w:rsidR="00C500B3" w:rsidRPr="006E07C6">
        <w:rPr>
          <w:rFonts w:ascii="Arial" w:hAnsi="Arial" w:cs="Arial"/>
          <w:sz w:val="24"/>
          <w:szCs w:val="24"/>
        </w:rPr>
        <w:t>/2019</w:t>
      </w:r>
      <w:r w:rsidR="00016D35" w:rsidRPr="006E07C6">
        <w:rPr>
          <w:rFonts w:ascii="Arial" w:hAnsi="Arial" w:cs="Arial"/>
          <w:sz w:val="24"/>
          <w:szCs w:val="24"/>
        </w:rPr>
        <w:t>)</w:t>
      </w:r>
      <w:r w:rsidR="00E8174D" w:rsidRPr="006E07C6">
        <w:rPr>
          <w:rFonts w:ascii="Arial" w:hAnsi="Arial" w:cs="Arial"/>
          <w:sz w:val="24"/>
          <w:szCs w:val="24"/>
        </w:rPr>
        <w:t xml:space="preserve">, </w:t>
      </w:r>
      <w:r w:rsidR="00E8174D" w:rsidRPr="006E07C6">
        <w:rPr>
          <w:rFonts w:ascii="Arial" w:hAnsi="Arial" w:cs="Arial"/>
          <w:sz w:val="24"/>
          <w:szCs w:val="24"/>
          <w:u w:val="single"/>
        </w:rPr>
        <w:t xml:space="preserve">Mato </w:t>
      </w:r>
      <w:r w:rsidR="00E8174D" w:rsidRPr="00057174">
        <w:rPr>
          <w:rFonts w:ascii="Arial" w:hAnsi="Arial" w:cs="Arial"/>
          <w:sz w:val="24"/>
          <w:szCs w:val="24"/>
          <w:u w:val="single"/>
        </w:rPr>
        <w:t>Grosso</w:t>
      </w:r>
      <w:r w:rsidR="00E8174D" w:rsidRPr="00057174">
        <w:rPr>
          <w:rFonts w:ascii="Arial" w:hAnsi="Arial" w:cs="Arial"/>
          <w:sz w:val="24"/>
          <w:szCs w:val="24"/>
        </w:rPr>
        <w:t xml:space="preserve"> </w:t>
      </w:r>
      <w:r w:rsidR="00016D35" w:rsidRPr="00057174">
        <w:rPr>
          <w:rFonts w:ascii="Arial" w:hAnsi="Arial" w:cs="Arial"/>
          <w:sz w:val="24"/>
          <w:szCs w:val="24"/>
        </w:rPr>
        <w:t>(</w:t>
      </w:r>
      <w:r w:rsidR="00057174" w:rsidRPr="00057174">
        <w:rPr>
          <w:rFonts w:ascii="Arial" w:hAnsi="Arial" w:cs="Arial"/>
          <w:sz w:val="24"/>
          <w:szCs w:val="24"/>
        </w:rPr>
        <w:t xml:space="preserve">Decreto nº 07/2019, ratificado pela Resolução nº 6.237/2019 e </w:t>
      </w:r>
      <w:r w:rsidR="00057174" w:rsidRPr="00057174">
        <w:rPr>
          <w:rFonts w:ascii="Arial" w:hAnsi="Arial" w:cs="Arial"/>
          <w:sz w:val="24"/>
          <w:szCs w:val="24"/>
        </w:rPr>
        <w:lastRenderedPageBreak/>
        <w:t>prorrogado pelo Decreto nº 176/2019</w:t>
      </w:r>
      <w:r w:rsidR="00016D35" w:rsidRPr="00057174">
        <w:rPr>
          <w:rFonts w:ascii="Arial" w:hAnsi="Arial" w:cs="Arial"/>
          <w:sz w:val="24"/>
          <w:szCs w:val="24"/>
        </w:rPr>
        <w:t xml:space="preserve">) </w:t>
      </w:r>
      <w:r w:rsidR="00E8174D" w:rsidRPr="00057174">
        <w:rPr>
          <w:rFonts w:ascii="Arial" w:hAnsi="Arial" w:cs="Arial"/>
          <w:sz w:val="24"/>
          <w:szCs w:val="24"/>
        </w:rPr>
        <w:t xml:space="preserve">e </w:t>
      </w:r>
      <w:r w:rsidR="00E8174D" w:rsidRPr="006E07C6">
        <w:rPr>
          <w:rFonts w:ascii="Arial" w:hAnsi="Arial" w:cs="Arial"/>
          <w:sz w:val="24"/>
          <w:szCs w:val="24"/>
          <w:u w:val="single"/>
        </w:rPr>
        <w:t>Goiás</w:t>
      </w:r>
      <w:r w:rsidR="00016D35" w:rsidRPr="006E07C6">
        <w:rPr>
          <w:rFonts w:ascii="Arial" w:hAnsi="Arial" w:cs="Arial"/>
          <w:sz w:val="24"/>
          <w:szCs w:val="24"/>
        </w:rPr>
        <w:t xml:space="preserve"> (</w:t>
      </w:r>
      <w:r w:rsidR="00034E89" w:rsidRPr="006E07C6">
        <w:rPr>
          <w:rFonts w:ascii="Arial" w:hAnsi="Arial" w:cs="Arial"/>
          <w:sz w:val="24"/>
          <w:szCs w:val="24"/>
        </w:rPr>
        <w:t>Decreto n</w:t>
      </w:r>
      <w:r w:rsidR="00E30D4E">
        <w:rPr>
          <w:rFonts w:ascii="Arial" w:hAnsi="Arial" w:cs="Arial"/>
          <w:sz w:val="24"/>
          <w:szCs w:val="24"/>
        </w:rPr>
        <w:t>º</w:t>
      </w:r>
      <w:r w:rsidR="00034E89" w:rsidRPr="006E07C6">
        <w:rPr>
          <w:rFonts w:ascii="Arial" w:hAnsi="Arial" w:cs="Arial"/>
          <w:sz w:val="24"/>
          <w:szCs w:val="24"/>
        </w:rPr>
        <w:t xml:space="preserve"> 9.392/2019</w:t>
      </w:r>
      <w:r w:rsidR="00C500B3">
        <w:rPr>
          <w:rFonts w:ascii="Arial" w:hAnsi="Arial" w:cs="Arial"/>
          <w:sz w:val="24"/>
          <w:szCs w:val="24"/>
        </w:rPr>
        <w:t>, ratificado pelo</w:t>
      </w:r>
      <w:r w:rsidR="00034E89" w:rsidRPr="006E07C6">
        <w:rPr>
          <w:rFonts w:ascii="Arial" w:hAnsi="Arial" w:cs="Arial"/>
          <w:sz w:val="24"/>
          <w:szCs w:val="24"/>
        </w:rPr>
        <w:t xml:space="preserve"> Decreto Legislativo nº 483/2019</w:t>
      </w:r>
      <w:r w:rsidR="00016D35" w:rsidRPr="006E07C6">
        <w:rPr>
          <w:rFonts w:ascii="Arial" w:hAnsi="Arial" w:cs="Arial"/>
          <w:sz w:val="24"/>
          <w:szCs w:val="24"/>
        </w:rPr>
        <w:t>)</w:t>
      </w:r>
      <w:r w:rsidR="00E8174D" w:rsidRPr="006E07C6">
        <w:rPr>
          <w:rFonts w:ascii="Arial" w:hAnsi="Arial" w:cs="Arial"/>
          <w:sz w:val="24"/>
          <w:szCs w:val="24"/>
        </w:rPr>
        <w:t>.</w:t>
      </w:r>
    </w:p>
    <w:p w14:paraId="62E347FF" w14:textId="4C207979" w:rsidR="0008637E" w:rsidRDefault="0008637E" w:rsidP="008543B3">
      <w:pPr>
        <w:spacing w:line="360" w:lineRule="auto"/>
        <w:ind w:firstLine="851"/>
        <w:jc w:val="both"/>
        <w:rPr>
          <w:rFonts w:ascii="Arial" w:hAnsi="Arial" w:cs="Arial"/>
          <w:sz w:val="24"/>
          <w:szCs w:val="24"/>
        </w:rPr>
      </w:pPr>
      <w:r>
        <w:rPr>
          <w:rFonts w:ascii="Arial" w:hAnsi="Arial" w:cs="Arial"/>
          <w:sz w:val="24"/>
          <w:szCs w:val="24"/>
        </w:rPr>
        <w:t>Frente a esse quadro, a União vem, desde 2016, editando leis com o específico propósito de auxiliar os Estados-membros e o Distrito Federal a reorganizarem suas contas públicas, do que são os maiores exemplos os seguintes diplomas legais:</w:t>
      </w:r>
    </w:p>
    <w:p w14:paraId="14E0FB84" w14:textId="77777777" w:rsidR="003C42E2" w:rsidRDefault="003C42E2" w:rsidP="008543B3">
      <w:pPr>
        <w:spacing w:line="360" w:lineRule="auto"/>
        <w:ind w:firstLine="851"/>
        <w:jc w:val="both"/>
        <w:rPr>
          <w:rFonts w:ascii="Arial" w:hAnsi="Arial" w:cs="Arial"/>
          <w:sz w:val="24"/>
          <w:szCs w:val="24"/>
        </w:rPr>
      </w:pPr>
    </w:p>
    <w:p w14:paraId="1BE67093" w14:textId="36E90B72" w:rsidR="0008637E" w:rsidRDefault="00821CBC" w:rsidP="00E41EFD">
      <w:pPr>
        <w:pStyle w:val="PargrafodaLista"/>
        <w:numPr>
          <w:ilvl w:val="0"/>
          <w:numId w:val="1"/>
        </w:numPr>
        <w:spacing w:line="360" w:lineRule="auto"/>
        <w:jc w:val="both"/>
        <w:rPr>
          <w:rFonts w:ascii="Arial" w:hAnsi="Arial" w:cs="Arial"/>
          <w:sz w:val="24"/>
          <w:szCs w:val="24"/>
        </w:rPr>
      </w:pPr>
      <w:r w:rsidRPr="0008637E">
        <w:rPr>
          <w:rFonts w:ascii="Arial" w:hAnsi="Arial" w:cs="Arial"/>
          <w:b/>
          <w:sz w:val="24"/>
          <w:szCs w:val="24"/>
        </w:rPr>
        <w:t xml:space="preserve">LC </w:t>
      </w:r>
      <w:r w:rsidR="0008637E" w:rsidRPr="0008637E">
        <w:rPr>
          <w:rFonts w:ascii="Arial" w:hAnsi="Arial" w:cs="Arial"/>
          <w:b/>
          <w:sz w:val="24"/>
          <w:szCs w:val="24"/>
        </w:rPr>
        <w:t xml:space="preserve">nº </w:t>
      </w:r>
      <w:r w:rsidRPr="0008637E">
        <w:rPr>
          <w:rFonts w:ascii="Arial" w:hAnsi="Arial" w:cs="Arial"/>
          <w:b/>
          <w:sz w:val="24"/>
          <w:szCs w:val="24"/>
        </w:rPr>
        <w:t>156/2016</w:t>
      </w:r>
      <w:r w:rsidRPr="0008637E">
        <w:rPr>
          <w:rFonts w:ascii="Arial" w:hAnsi="Arial" w:cs="Arial"/>
          <w:sz w:val="24"/>
          <w:szCs w:val="24"/>
        </w:rPr>
        <w:t>, que “estabelece o Plano de Auxílio aos Estados e ao Distrito Federal e medidas de estímulo ao reequilíbrio fiscal; e altera a Lei Complementar n</w:t>
      </w:r>
      <w:r w:rsidRPr="0008637E">
        <w:rPr>
          <w:rFonts w:ascii="Arial" w:hAnsi="Arial" w:cs="Arial"/>
          <w:sz w:val="24"/>
          <w:szCs w:val="24"/>
          <w:u w:val="single"/>
          <w:vertAlign w:val="superscript"/>
        </w:rPr>
        <w:t>o</w:t>
      </w:r>
      <w:r w:rsidRPr="0008637E">
        <w:rPr>
          <w:rFonts w:ascii="Arial" w:hAnsi="Arial" w:cs="Arial"/>
          <w:sz w:val="24"/>
          <w:szCs w:val="24"/>
        </w:rPr>
        <w:t> 148, de 25 de novembro de 2014, a Lei n</w:t>
      </w:r>
      <w:r w:rsidRPr="0008637E">
        <w:rPr>
          <w:rFonts w:ascii="Arial" w:hAnsi="Arial" w:cs="Arial"/>
          <w:sz w:val="24"/>
          <w:szCs w:val="24"/>
          <w:u w:val="single"/>
          <w:vertAlign w:val="superscript"/>
        </w:rPr>
        <w:t>o</w:t>
      </w:r>
      <w:r w:rsidRPr="0008637E">
        <w:rPr>
          <w:rFonts w:ascii="Arial" w:hAnsi="Arial" w:cs="Arial"/>
          <w:sz w:val="24"/>
          <w:szCs w:val="24"/>
        </w:rPr>
        <w:t> 9.496, de 11 de setembro de 1997, a Medida Provisória n</w:t>
      </w:r>
      <w:r w:rsidRPr="0008637E">
        <w:rPr>
          <w:rFonts w:ascii="Arial" w:hAnsi="Arial" w:cs="Arial"/>
          <w:sz w:val="24"/>
          <w:szCs w:val="24"/>
          <w:u w:val="single"/>
          <w:vertAlign w:val="superscript"/>
        </w:rPr>
        <w:t>o</w:t>
      </w:r>
      <w:r w:rsidRPr="0008637E">
        <w:rPr>
          <w:rFonts w:ascii="Arial" w:hAnsi="Arial" w:cs="Arial"/>
          <w:sz w:val="24"/>
          <w:szCs w:val="24"/>
        </w:rPr>
        <w:t>2.192-70, de 24 de agosto de 2001, a Lei n</w:t>
      </w:r>
      <w:r w:rsidRPr="0008637E">
        <w:rPr>
          <w:rFonts w:ascii="Arial" w:hAnsi="Arial" w:cs="Arial"/>
          <w:sz w:val="24"/>
          <w:szCs w:val="24"/>
          <w:u w:val="single"/>
          <w:vertAlign w:val="superscript"/>
        </w:rPr>
        <w:t>o</w:t>
      </w:r>
      <w:r w:rsidRPr="0008637E">
        <w:rPr>
          <w:rFonts w:ascii="Arial" w:hAnsi="Arial" w:cs="Arial"/>
          <w:sz w:val="24"/>
          <w:szCs w:val="24"/>
        </w:rPr>
        <w:t> 8.727, de 5 de novembro de 1993, e a Lei Complementar n</w:t>
      </w:r>
      <w:r w:rsidRPr="0008637E">
        <w:rPr>
          <w:rFonts w:ascii="Arial" w:hAnsi="Arial" w:cs="Arial"/>
          <w:sz w:val="24"/>
          <w:szCs w:val="24"/>
          <w:u w:val="single"/>
          <w:vertAlign w:val="superscript"/>
        </w:rPr>
        <w:t>o</w:t>
      </w:r>
      <w:r w:rsidRPr="0008637E">
        <w:rPr>
          <w:rFonts w:ascii="Arial" w:hAnsi="Arial" w:cs="Arial"/>
          <w:sz w:val="24"/>
          <w:szCs w:val="24"/>
        </w:rPr>
        <w:t> 101, de 4 de maio de 2000”.</w:t>
      </w:r>
    </w:p>
    <w:p w14:paraId="4FACF6A4" w14:textId="5E187E64" w:rsidR="00821CBC" w:rsidRPr="0008637E" w:rsidRDefault="00821CBC" w:rsidP="00E41EFD">
      <w:pPr>
        <w:pStyle w:val="PargrafodaLista"/>
        <w:numPr>
          <w:ilvl w:val="0"/>
          <w:numId w:val="1"/>
        </w:numPr>
        <w:spacing w:line="360" w:lineRule="auto"/>
        <w:jc w:val="both"/>
        <w:rPr>
          <w:rFonts w:ascii="Arial" w:hAnsi="Arial" w:cs="Arial"/>
          <w:sz w:val="24"/>
          <w:szCs w:val="24"/>
        </w:rPr>
      </w:pPr>
      <w:r w:rsidRPr="0008637E">
        <w:rPr>
          <w:rFonts w:ascii="Arial" w:hAnsi="Arial" w:cs="Arial"/>
          <w:b/>
          <w:sz w:val="24"/>
          <w:szCs w:val="24"/>
        </w:rPr>
        <w:t xml:space="preserve">LC </w:t>
      </w:r>
      <w:r w:rsidR="0008637E" w:rsidRPr="0008637E">
        <w:rPr>
          <w:rFonts w:ascii="Arial" w:hAnsi="Arial" w:cs="Arial"/>
          <w:b/>
          <w:sz w:val="24"/>
          <w:szCs w:val="24"/>
        </w:rPr>
        <w:t xml:space="preserve">nº </w:t>
      </w:r>
      <w:r w:rsidRPr="0008637E">
        <w:rPr>
          <w:rFonts w:ascii="Arial" w:hAnsi="Arial" w:cs="Arial"/>
          <w:b/>
          <w:sz w:val="24"/>
          <w:szCs w:val="24"/>
        </w:rPr>
        <w:t>15</w:t>
      </w:r>
      <w:r w:rsidR="00CA1A5C">
        <w:rPr>
          <w:rFonts w:ascii="Arial" w:hAnsi="Arial" w:cs="Arial"/>
          <w:b/>
          <w:sz w:val="24"/>
          <w:szCs w:val="24"/>
        </w:rPr>
        <w:t>9</w:t>
      </w:r>
      <w:r w:rsidRPr="0008637E">
        <w:rPr>
          <w:rFonts w:ascii="Arial" w:hAnsi="Arial" w:cs="Arial"/>
          <w:b/>
          <w:sz w:val="24"/>
          <w:szCs w:val="24"/>
        </w:rPr>
        <w:t>/2017</w:t>
      </w:r>
      <w:r w:rsidRPr="0008637E">
        <w:rPr>
          <w:rFonts w:ascii="Arial" w:hAnsi="Arial" w:cs="Arial"/>
          <w:sz w:val="24"/>
          <w:szCs w:val="24"/>
        </w:rPr>
        <w:t>, que “institui o Regime de Recuperação Fiscal dos Estados e do Distrito Federal e altera as Leis Complementares n</w:t>
      </w:r>
      <w:r w:rsidR="00CA1A5C">
        <w:rPr>
          <w:rFonts w:ascii="Arial" w:hAnsi="Arial" w:cs="Arial"/>
          <w:sz w:val="24"/>
          <w:szCs w:val="24"/>
        </w:rPr>
        <w:t>º</w:t>
      </w:r>
      <w:r w:rsidRPr="0008637E">
        <w:rPr>
          <w:rFonts w:ascii="Arial" w:hAnsi="Arial" w:cs="Arial"/>
          <w:sz w:val="24"/>
          <w:szCs w:val="24"/>
        </w:rPr>
        <w:t xml:space="preserve"> 101, de 4 de maio de 2000, e no 156, de 28 de dezembro de 2016”.</w:t>
      </w:r>
    </w:p>
    <w:p w14:paraId="5397DE4A" w14:textId="77777777" w:rsidR="003C42E2" w:rsidRDefault="003C42E2" w:rsidP="008543B3">
      <w:pPr>
        <w:spacing w:line="360" w:lineRule="auto"/>
        <w:ind w:firstLine="851"/>
        <w:jc w:val="both"/>
        <w:rPr>
          <w:rFonts w:ascii="Arial" w:hAnsi="Arial" w:cs="Arial"/>
          <w:sz w:val="24"/>
          <w:szCs w:val="24"/>
        </w:rPr>
      </w:pPr>
    </w:p>
    <w:p w14:paraId="00738936" w14:textId="3CCE5B78" w:rsidR="00821CBC" w:rsidRDefault="00D52DA4" w:rsidP="008543B3">
      <w:pPr>
        <w:spacing w:line="360" w:lineRule="auto"/>
        <w:ind w:firstLine="851"/>
        <w:jc w:val="both"/>
        <w:rPr>
          <w:rFonts w:ascii="Arial" w:hAnsi="Arial" w:cs="Arial"/>
          <w:sz w:val="24"/>
          <w:szCs w:val="24"/>
        </w:rPr>
      </w:pPr>
      <w:r>
        <w:rPr>
          <w:rFonts w:ascii="Arial" w:hAnsi="Arial" w:cs="Arial"/>
          <w:sz w:val="24"/>
          <w:szCs w:val="24"/>
        </w:rPr>
        <w:t>O</w:t>
      </w:r>
      <w:r w:rsidR="00CA1A5C">
        <w:rPr>
          <w:rFonts w:ascii="Arial" w:hAnsi="Arial" w:cs="Arial"/>
          <w:sz w:val="24"/>
          <w:szCs w:val="24"/>
        </w:rPr>
        <w:t xml:space="preserve"> </w:t>
      </w:r>
      <w:r w:rsidR="00CA1A5C" w:rsidRPr="00B45FD2">
        <w:rPr>
          <w:rFonts w:ascii="Arial" w:hAnsi="Arial" w:cs="Arial"/>
          <w:b/>
          <w:sz w:val="24"/>
          <w:szCs w:val="24"/>
        </w:rPr>
        <w:t>Regime de Recuperação Fiscal</w:t>
      </w:r>
      <w:r w:rsidR="00DA767F">
        <w:rPr>
          <w:rFonts w:ascii="Arial" w:hAnsi="Arial" w:cs="Arial"/>
          <w:b/>
          <w:sz w:val="24"/>
          <w:szCs w:val="24"/>
        </w:rPr>
        <w:t xml:space="preserve"> (RRF) </w:t>
      </w:r>
      <w:r>
        <w:rPr>
          <w:rFonts w:ascii="Arial" w:hAnsi="Arial" w:cs="Arial"/>
          <w:sz w:val="24"/>
          <w:szCs w:val="24"/>
        </w:rPr>
        <w:t>“</w:t>
      </w:r>
      <w:r w:rsidRPr="00D52DA4">
        <w:rPr>
          <w:rFonts w:ascii="Arial" w:hAnsi="Arial" w:cs="Arial"/>
          <w:sz w:val="24"/>
          <w:szCs w:val="24"/>
        </w:rPr>
        <w:t>envolve a ação planejada, coordenada e transparente de todos os Poderes, órgãos, entidades e fundos dos Estados e do Distrito Federal para corrigir os desvios que afetaram o equilíbrio das contas públicas, por meio da implementação das medidas emergenciais e das reformas institucionais determinadas no Plano de Recuperação elaborado previamente pelo ente federativo que desejar aderir a esse Regime</w:t>
      </w:r>
      <w:r>
        <w:rPr>
          <w:rFonts w:ascii="Arial" w:hAnsi="Arial" w:cs="Arial"/>
          <w:sz w:val="24"/>
          <w:szCs w:val="24"/>
        </w:rPr>
        <w:t>”</w:t>
      </w:r>
      <w:r w:rsidR="00DA767F">
        <w:rPr>
          <w:rFonts w:ascii="Arial" w:hAnsi="Arial" w:cs="Arial"/>
          <w:sz w:val="24"/>
          <w:szCs w:val="24"/>
        </w:rPr>
        <w:t xml:space="preserve"> (</w:t>
      </w:r>
      <w:r w:rsidR="00DA767F" w:rsidRPr="00D52DA4">
        <w:rPr>
          <w:rFonts w:ascii="Arial" w:hAnsi="Arial" w:cs="Arial"/>
          <w:sz w:val="24"/>
          <w:szCs w:val="24"/>
        </w:rPr>
        <w:t>LC nº 15</w:t>
      </w:r>
      <w:r w:rsidR="00F41852">
        <w:rPr>
          <w:rFonts w:ascii="Arial" w:hAnsi="Arial" w:cs="Arial"/>
          <w:sz w:val="24"/>
          <w:szCs w:val="24"/>
        </w:rPr>
        <w:t>9</w:t>
      </w:r>
      <w:r w:rsidR="00DA767F" w:rsidRPr="00D52DA4">
        <w:rPr>
          <w:rFonts w:ascii="Arial" w:hAnsi="Arial" w:cs="Arial"/>
          <w:sz w:val="24"/>
          <w:szCs w:val="24"/>
        </w:rPr>
        <w:t>/2017</w:t>
      </w:r>
      <w:r w:rsidR="00DA767F">
        <w:rPr>
          <w:rFonts w:ascii="Arial" w:hAnsi="Arial" w:cs="Arial"/>
          <w:sz w:val="24"/>
          <w:szCs w:val="24"/>
        </w:rPr>
        <w:t>, art. 1º, § 2º)</w:t>
      </w:r>
      <w:r>
        <w:rPr>
          <w:rFonts w:ascii="Arial" w:hAnsi="Arial" w:cs="Arial"/>
          <w:sz w:val="24"/>
          <w:szCs w:val="24"/>
        </w:rPr>
        <w:t>.</w:t>
      </w:r>
    </w:p>
    <w:p w14:paraId="3642D7F4" w14:textId="77777777" w:rsidR="009477C9" w:rsidRDefault="00DA767F" w:rsidP="008543B3">
      <w:pPr>
        <w:spacing w:line="360" w:lineRule="auto"/>
        <w:ind w:firstLine="851"/>
        <w:jc w:val="both"/>
        <w:rPr>
          <w:rFonts w:ascii="Arial" w:hAnsi="Arial" w:cs="Arial"/>
          <w:sz w:val="24"/>
          <w:szCs w:val="24"/>
        </w:rPr>
      </w:pPr>
      <w:r>
        <w:rPr>
          <w:rFonts w:ascii="Arial" w:hAnsi="Arial" w:cs="Arial"/>
          <w:sz w:val="24"/>
          <w:szCs w:val="24"/>
        </w:rPr>
        <w:t xml:space="preserve">Nessa sistemática, portanto, </w:t>
      </w:r>
      <w:r w:rsidRPr="00DA767F">
        <w:rPr>
          <w:rFonts w:ascii="Arial" w:hAnsi="Arial" w:cs="Arial"/>
          <w:b/>
          <w:sz w:val="24"/>
          <w:szCs w:val="24"/>
        </w:rPr>
        <w:t>deve o Estado-membro apresentar um Plano de Recuperação</w:t>
      </w:r>
      <w:r>
        <w:rPr>
          <w:rFonts w:ascii="Arial" w:hAnsi="Arial" w:cs="Arial"/>
          <w:sz w:val="24"/>
          <w:szCs w:val="24"/>
        </w:rPr>
        <w:t xml:space="preserve">, </w:t>
      </w:r>
      <w:r w:rsidRPr="00DA767F">
        <w:rPr>
          <w:rFonts w:ascii="Arial" w:hAnsi="Arial" w:cs="Arial"/>
          <w:sz w:val="24"/>
          <w:szCs w:val="24"/>
        </w:rPr>
        <w:t xml:space="preserve">formado por lei ou por conjunto de leis do </w:t>
      </w:r>
      <w:r>
        <w:rPr>
          <w:rFonts w:ascii="Arial" w:hAnsi="Arial" w:cs="Arial"/>
          <w:sz w:val="24"/>
          <w:szCs w:val="24"/>
        </w:rPr>
        <w:t>ente</w:t>
      </w:r>
      <w:r w:rsidRPr="00DA767F">
        <w:rPr>
          <w:rFonts w:ascii="Arial" w:hAnsi="Arial" w:cs="Arial"/>
          <w:sz w:val="24"/>
          <w:szCs w:val="24"/>
        </w:rPr>
        <w:t xml:space="preserve"> que desejar aderir ao Regime de Recuperação Fiscal, por diagnóstico em que se reconhece a situação de desequilíbrio financeiro e pelo detalhamento das medidas de ajuste, com os impactos esperados e os prazos para a sua adoção</w:t>
      </w:r>
      <w:r w:rsidR="009477C9">
        <w:rPr>
          <w:rFonts w:ascii="Arial" w:hAnsi="Arial" w:cs="Arial"/>
          <w:sz w:val="24"/>
          <w:szCs w:val="24"/>
        </w:rPr>
        <w:t xml:space="preserve"> (art. 2º, caput)</w:t>
      </w:r>
      <w:r w:rsidRPr="00DA767F">
        <w:rPr>
          <w:rFonts w:ascii="Arial" w:hAnsi="Arial" w:cs="Arial"/>
          <w:sz w:val="24"/>
          <w:szCs w:val="24"/>
        </w:rPr>
        <w:t>.</w:t>
      </w:r>
      <w:r w:rsidR="009477C9">
        <w:rPr>
          <w:rFonts w:ascii="Arial" w:hAnsi="Arial" w:cs="Arial"/>
          <w:sz w:val="24"/>
          <w:szCs w:val="24"/>
        </w:rPr>
        <w:t xml:space="preserve"> </w:t>
      </w:r>
    </w:p>
    <w:p w14:paraId="6F78E4E4" w14:textId="20C94F54" w:rsidR="00DA767F" w:rsidRDefault="009477C9" w:rsidP="008543B3">
      <w:pPr>
        <w:spacing w:line="360" w:lineRule="auto"/>
        <w:ind w:firstLine="851"/>
        <w:jc w:val="both"/>
        <w:rPr>
          <w:rFonts w:ascii="Arial" w:hAnsi="Arial" w:cs="Arial"/>
          <w:sz w:val="24"/>
          <w:szCs w:val="24"/>
        </w:rPr>
      </w:pPr>
      <w:r>
        <w:rPr>
          <w:rFonts w:ascii="Arial" w:hAnsi="Arial" w:cs="Arial"/>
          <w:sz w:val="24"/>
          <w:szCs w:val="24"/>
        </w:rPr>
        <w:t xml:space="preserve">E </w:t>
      </w:r>
      <w:r w:rsidRPr="00242C93">
        <w:rPr>
          <w:rFonts w:ascii="Arial" w:hAnsi="Arial" w:cs="Arial"/>
          <w:b/>
          <w:sz w:val="24"/>
          <w:szCs w:val="24"/>
        </w:rPr>
        <w:t>uma das medidas</w:t>
      </w:r>
      <w:r>
        <w:rPr>
          <w:rFonts w:ascii="Arial" w:hAnsi="Arial" w:cs="Arial"/>
          <w:sz w:val="24"/>
          <w:szCs w:val="24"/>
        </w:rPr>
        <w:t xml:space="preserve"> que devem se contemplas no referido plano consiste justamente na “</w:t>
      </w:r>
      <w:r w:rsidRPr="00242C93">
        <w:rPr>
          <w:rFonts w:ascii="Arial" w:hAnsi="Arial" w:cs="Arial"/>
          <w:b/>
          <w:sz w:val="24"/>
          <w:szCs w:val="24"/>
        </w:rPr>
        <w:t>redução dos incentivos ou benefícios de natureza tributária</w:t>
      </w:r>
      <w:r w:rsidRPr="009477C9">
        <w:rPr>
          <w:rFonts w:ascii="Arial" w:hAnsi="Arial" w:cs="Arial"/>
          <w:sz w:val="24"/>
          <w:szCs w:val="24"/>
        </w:rPr>
        <w:t xml:space="preserve"> dos quais decorram renúncias de receitas instituídos por lei estadual ou distrital, de, no mínimo, 10% a.a. (dez por cento ao ano), ressalvados aqueles concedidos por prazo </w:t>
      </w:r>
      <w:r w:rsidRPr="009477C9">
        <w:rPr>
          <w:rFonts w:ascii="Arial" w:hAnsi="Arial" w:cs="Arial"/>
          <w:sz w:val="24"/>
          <w:szCs w:val="24"/>
        </w:rPr>
        <w:lastRenderedPageBreak/>
        <w:t xml:space="preserve">certo e em função de determinadas condições e aqueles instituídos na forma estabelecida pela alínea </w:t>
      </w:r>
      <w:r w:rsidR="00017CDF">
        <w:rPr>
          <w:rFonts w:ascii="Arial" w:hAnsi="Arial" w:cs="Arial"/>
          <w:sz w:val="24"/>
          <w:szCs w:val="24"/>
        </w:rPr>
        <w:t>‘</w:t>
      </w:r>
      <w:r w:rsidRPr="009477C9">
        <w:rPr>
          <w:rFonts w:ascii="Arial" w:hAnsi="Arial" w:cs="Arial"/>
          <w:sz w:val="24"/>
          <w:szCs w:val="24"/>
        </w:rPr>
        <w:t>g</w:t>
      </w:r>
      <w:r w:rsidR="00017CDF">
        <w:rPr>
          <w:rFonts w:ascii="Arial" w:hAnsi="Arial" w:cs="Arial"/>
          <w:sz w:val="24"/>
          <w:szCs w:val="24"/>
        </w:rPr>
        <w:t>’</w:t>
      </w:r>
      <w:r w:rsidRPr="009477C9">
        <w:rPr>
          <w:rFonts w:ascii="Arial" w:hAnsi="Arial" w:cs="Arial"/>
          <w:sz w:val="24"/>
          <w:szCs w:val="24"/>
        </w:rPr>
        <w:t xml:space="preserve"> do inciso XII do § 2</w:t>
      </w:r>
      <w:r>
        <w:rPr>
          <w:rFonts w:ascii="Arial" w:hAnsi="Arial" w:cs="Arial"/>
          <w:sz w:val="24"/>
          <w:szCs w:val="24"/>
        </w:rPr>
        <w:t xml:space="preserve">º </w:t>
      </w:r>
      <w:r w:rsidRPr="009477C9">
        <w:rPr>
          <w:rFonts w:ascii="Arial" w:hAnsi="Arial" w:cs="Arial"/>
          <w:sz w:val="24"/>
          <w:szCs w:val="24"/>
        </w:rPr>
        <w:t>do a</w:t>
      </w:r>
      <w:r>
        <w:rPr>
          <w:rFonts w:ascii="Arial" w:hAnsi="Arial" w:cs="Arial"/>
          <w:sz w:val="24"/>
          <w:szCs w:val="24"/>
        </w:rPr>
        <w:t>rt. 155 da Constituição Federal”.</w:t>
      </w:r>
    </w:p>
    <w:p w14:paraId="65F50263" w14:textId="7316BADC" w:rsidR="00242C93" w:rsidRDefault="00242C93" w:rsidP="008543B3">
      <w:pPr>
        <w:spacing w:line="360" w:lineRule="auto"/>
        <w:ind w:firstLine="851"/>
        <w:jc w:val="both"/>
        <w:rPr>
          <w:rFonts w:ascii="Arial" w:hAnsi="Arial" w:cs="Arial"/>
          <w:sz w:val="24"/>
          <w:szCs w:val="24"/>
        </w:rPr>
      </w:pPr>
      <w:r>
        <w:rPr>
          <w:rFonts w:ascii="Arial" w:hAnsi="Arial" w:cs="Arial"/>
          <w:sz w:val="24"/>
          <w:szCs w:val="24"/>
        </w:rPr>
        <w:t xml:space="preserve">Percebe-se, pois, a </w:t>
      </w:r>
      <w:r w:rsidRPr="00242C93">
        <w:rPr>
          <w:rFonts w:ascii="Arial" w:hAnsi="Arial" w:cs="Arial"/>
          <w:b/>
          <w:sz w:val="24"/>
          <w:szCs w:val="24"/>
        </w:rPr>
        <w:t>atualidade dessa discussão</w:t>
      </w:r>
      <w:r>
        <w:rPr>
          <w:rFonts w:ascii="Arial" w:hAnsi="Arial" w:cs="Arial"/>
          <w:sz w:val="24"/>
          <w:szCs w:val="24"/>
        </w:rPr>
        <w:t>, tendo em vista que o próprio legislador federal reconhece que muitas vezes a concessão desregrada de incentivos fiscais acaba contribuindo seriamente para o comprometimento das contas públicas, tanto que exige sua revisão (redução) para que o ente federado possa aderir ao RRF.</w:t>
      </w:r>
    </w:p>
    <w:p w14:paraId="0D959214" w14:textId="7D5CC816" w:rsidR="00821CBC" w:rsidRPr="006E07C6" w:rsidRDefault="00242C93" w:rsidP="008543B3">
      <w:pPr>
        <w:spacing w:line="360" w:lineRule="auto"/>
        <w:ind w:firstLine="851"/>
        <w:jc w:val="both"/>
        <w:rPr>
          <w:rFonts w:ascii="Arial" w:hAnsi="Arial" w:cs="Arial"/>
          <w:sz w:val="24"/>
          <w:szCs w:val="24"/>
        </w:rPr>
      </w:pPr>
      <w:r w:rsidRPr="00242C93">
        <w:rPr>
          <w:rFonts w:ascii="Arial" w:hAnsi="Arial" w:cs="Arial"/>
          <w:b/>
          <w:sz w:val="24"/>
          <w:szCs w:val="24"/>
        </w:rPr>
        <w:t>Diversas outras reformas em andamento ou discussão no país</w:t>
      </w:r>
      <w:r>
        <w:rPr>
          <w:rFonts w:ascii="Arial" w:hAnsi="Arial" w:cs="Arial"/>
          <w:sz w:val="24"/>
          <w:szCs w:val="24"/>
        </w:rPr>
        <w:t>, como a R</w:t>
      </w:r>
      <w:r w:rsidR="00821CBC" w:rsidRPr="006E07C6">
        <w:rPr>
          <w:rFonts w:ascii="Arial" w:hAnsi="Arial" w:cs="Arial"/>
          <w:sz w:val="24"/>
          <w:szCs w:val="24"/>
        </w:rPr>
        <w:t>eforma da Previdência</w:t>
      </w:r>
      <w:r>
        <w:rPr>
          <w:rFonts w:ascii="Arial" w:hAnsi="Arial" w:cs="Arial"/>
          <w:sz w:val="24"/>
          <w:szCs w:val="24"/>
        </w:rPr>
        <w:t xml:space="preserve"> (PEC nº 006/2019) e a Tributária (PEC nº 293/2004), passam necessariamente pela consideração e tentativa de superação da situação de crise fiscal existente nos entes federados em geral, e o debate acerca dos incentivos fiscais não passa desapercebido nesse aspecto.</w:t>
      </w:r>
    </w:p>
    <w:p w14:paraId="33DBE446" w14:textId="77777777" w:rsidR="00600654" w:rsidRPr="006E07C6" w:rsidRDefault="00600654" w:rsidP="00D21131">
      <w:pPr>
        <w:spacing w:line="360" w:lineRule="auto"/>
        <w:ind w:firstLine="851"/>
        <w:jc w:val="both"/>
        <w:rPr>
          <w:rFonts w:ascii="Arial" w:hAnsi="Arial" w:cs="Arial"/>
          <w:sz w:val="24"/>
          <w:szCs w:val="24"/>
        </w:rPr>
      </w:pPr>
    </w:p>
    <w:p w14:paraId="768515C3" w14:textId="5B7AA07C" w:rsidR="006A19F8" w:rsidRPr="006E07C6" w:rsidRDefault="006A19F8" w:rsidP="006A19F8">
      <w:pPr>
        <w:spacing w:line="360" w:lineRule="auto"/>
        <w:ind w:firstLine="851"/>
        <w:jc w:val="both"/>
        <w:rPr>
          <w:rFonts w:ascii="Arial" w:hAnsi="Arial" w:cs="Arial"/>
          <w:b/>
          <w:sz w:val="24"/>
          <w:szCs w:val="24"/>
        </w:rPr>
      </w:pPr>
      <w:r w:rsidRPr="006E07C6">
        <w:rPr>
          <w:rFonts w:ascii="Arial" w:hAnsi="Arial" w:cs="Arial"/>
          <w:b/>
          <w:sz w:val="24"/>
          <w:szCs w:val="24"/>
        </w:rPr>
        <w:t>3.</w:t>
      </w:r>
      <w:r w:rsidR="008C73C0">
        <w:rPr>
          <w:rFonts w:ascii="Arial" w:hAnsi="Arial" w:cs="Arial"/>
          <w:b/>
          <w:sz w:val="24"/>
          <w:szCs w:val="24"/>
        </w:rPr>
        <w:t>3</w:t>
      </w:r>
      <w:r w:rsidR="007C6A53">
        <w:rPr>
          <w:rFonts w:ascii="Arial" w:hAnsi="Arial" w:cs="Arial"/>
          <w:b/>
          <w:sz w:val="24"/>
          <w:szCs w:val="24"/>
        </w:rPr>
        <w:t xml:space="preserve"> –</w:t>
      </w:r>
      <w:r w:rsidRPr="006E07C6">
        <w:rPr>
          <w:rFonts w:ascii="Arial" w:hAnsi="Arial" w:cs="Arial"/>
          <w:b/>
          <w:sz w:val="24"/>
          <w:szCs w:val="24"/>
        </w:rPr>
        <w:t xml:space="preserve"> OS INCENTIVOS FISCAIS NO ESTADO DE GOIÁS</w:t>
      </w:r>
      <w:r w:rsidR="00046871" w:rsidRPr="006E07C6">
        <w:rPr>
          <w:rFonts w:ascii="Arial" w:hAnsi="Arial" w:cs="Arial"/>
          <w:b/>
          <w:sz w:val="24"/>
          <w:szCs w:val="24"/>
        </w:rPr>
        <w:t>: DESDOBRAMENTOS RECENTES</w:t>
      </w:r>
    </w:p>
    <w:p w14:paraId="28B5321E" w14:textId="5A4051B8" w:rsidR="006A19F8" w:rsidRPr="006E07C6" w:rsidRDefault="006A19F8" w:rsidP="00713208">
      <w:pPr>
        <w:spacing w:line="360" w:lineRule="auto"/>
        <w:ind w:firstLine="851"/>
        <w:jc w:val="both"/>
        <w:rPr>
          <w:rFonts w:ascii="Arial" w:hAnsi="Arial" w:cs="Arial"/>
          <w:b/>
          <w:sz w:val="24"/>
          <w:szCs w:val="24"/>
        </w:rPr>
      </w:pPr>
    </w:p>
    <w:p w14:paraId="5D59A753" w14:textId="33A667E5" w:rsidR="00327CCA" w:rsidRDefault="00327CCA" w:rsidP="00713208">
      <w:pPr>
        <w:spacing w:line="360" w:lineRule="auto"/>
        <w:ind w:firstLine="851"/>
        <w:jc w:val="both"/>
        <w:rPr>
          <w:rFonts w:ascii="Arial" w:hAnsi="Arial" w:cs="Arial"/>
          <w:sz w:val="24"/>
          <w:szCs w:val="24"/>
        </w:rPr>
      </w:pPr>
      <w:r>
        <w:rPr>
          <w:rFonts w:ascii="Arial" w:hAnsi="Arial" w:cs="Arial"/>
          <w:sz w:val="24"/>
          <w:szCs w:val="24"/>
        </w:rPr>
        <w:t xml:space="preserve">O Estado de Goiás não se mostrou indiferente </w:t>
      </w:r>
      <w:r w:rsidR="00513311">
        <w:rPr>
          <w:rFonts w:ascii="Arial" w:hAnsi="Arial" w:cs="Arial"/>
          <w:sz w:val="24"/>
          <w:szCs w:val="24"/>
        </w:rPr>
        <w:t>à</w:t>
      </w:r>
      <w:r>
        <w:rPr>
          <w:rFonts w:ascii="Arial" w:hAnsi="Arial" w:cs="Arial"/>
          <w:sz w:val="24"/>
          <w:szCs w:val="24"/>
        </w:rPr>
        <w:t xml:space="preserve"> realidade</w:t>
      </w:r>
      <w:r w:rsidR="00513311">
        <w:rPr>
          <w:rFonts w:ascii="Arial" w:hAnsi="Arial" w:cs="Arial"/>
          <w:sz w:val="24"/>
          <w:szCs w:val="24"/>
        </w:rPr>
        <w:t xml:space="preserve"> nacional</w:t>
      </w:r>
      <w:r>
        <w:rPr>
          <w:rFonts w:ascii="Arial" w:hAnsi="Arial" w:cs="Arial"/>
          <w:sz w:val="24"/>
          <w:szCs w:val="24"/>
        </w:rPr>
        <w:t xml:space="preserve">. Tanto a guerra fiscal de ICMS como </w:t>
      </w:r>
      <w:r w:rsidRPr="009575BA">
        <w:rPr>
          <w:rFonts w:ascii="Arial" w:hAnsi="Arial" w:cs="Arial"/>
          <w:sz w:val="24"/>
          <w:szCs w:val="24"/>
        </w:rPr>
        <w:t>a</w:t>
      </w:r>
      <w:r w:rsidR="00351642" w:rsidRPr="009575BA">
        <w:rPr>
          <w:rFonts w:ascii="Arial" w:hAnsi="Arial" w:cs="Arial"/>
          <w:sz w:val="24"/>
          <w:szCs w:val="24"/>
        </w:rPr>
        <w:t>s</w:t>
      </w:r>
      <w:r w:rsidRPr="009575BA">
        <w:rPr>
          <w:rFonts w:ascii="Arial" w:hAnsi="Arial" w:cs="Arial"/>
          <w:sz w:val="24"/>
          <w:szCs w:val="24"/>
        </w:rPr>
        <w:t xml:space="preserve"> crise</w:t>
      </w:r>
      <w:r w:rsidR="00351642" w:rsidRPr="009575BA">
        <w:rPr>
          <w:rFonts w:ascii="Arial" w:hAnsi="Arial" w:cs="Arial"/>
          <w:sz w:val="24"/>
          <w:szCs w:val="24"/>
        </w:rPr>
        <w:t>s</w:t>
      </w:r>
      <w:r w:rsidRPr="009575BA">
        <w:rPr>
          <w:rFonts w:ascii="Arial" w:hAnsi="Arial" w:cs="Arial"/>
          <w:sz w:val="24"/>
          <w:szCs w:val="24"/>
        </w:rPr>
        <w:t xml:space="preserve"> fiscal e </w:t>
      </w:r>
      <w:r w:rsidR="009575BA" w:rsidRPr="009575BA">
        <w:rPr>
          <w:rFonts w:ascii="Arial" w:hAnsi="Arial" w:cs="Arial"/>
          <w:sz w:val="24"/>
          <w:szCs w:val="24"/>
        </w:rPr>
        <w:t>econômica</w:t>
      </w:r>
      <w:r w:rsidRPr="009575BA">
        <w:rPr>
          <w:rFonts w:ascii="Arial" w:hAnsi="Arial" w:cs="Arial"/>
          <w:sz w:val="24"/>
          <w:szCs w:val="24"/>
        </w:rPr>
        <w:t xml:space="preserve"> </w:t>
      </w:r>
      <w:r>
        <w:rPr>
          <w:rFonts w:ascii="Arial" w:hAnsi="Arial" w:cs="Arial"/>
          <w:sz w:val="24"/>
          <w:szCs w:val="24"/>
        </w:rPr>
        <w:t>permeiam o passado recente e</w:t>
      </w:r>
      <w:r w:rsidR="002D23FE">
        <w:rPr>
          <w:rFonts w:ascii="Arial" w:hAnsi="Arial" w:cs="Arial"/>
          <w:sz w:val="24"/>
          <w:szCs w:val="24"/>
        </w:rPr>
        <w:t xml:space="preserve"> o passado</w:t>
      </w:r>
      <w:r>
        <w:rPr>
          <w:rFonts w:ascii="Arial" w:hAnsi="Arial" w:cs="Arial"/>
          <w:sz w:val="24"/>
          <w:szCs w:val="24"/>
        </w:rPr>
        <w:t xml:space="preserve"> remoto do Estado, o qual já sofre os desdobramentos mais recentes desse</w:t>
      </w:r>
      <w:r w:rsidR="00B27F05">
        <w:rPr>
          <w:rFonts w:ascii="Arial" w:hAnsi="Arial" w:cs="Arial"/>
          <w:sz w:val="24"/>
          <w:szCs w:val="24"/>
        </w:rPr>
        <w:t>s</w:t>
      </w:r>
      <w:r>
        <w:rPr>
          <w:rFonts w:ascii="Arial" w:hAnsi="Arial" w:cs="Arial"/>
          <w:sz w:val="24"/>
          <w:szCs w:val="24"/>
        </w:rPr>
        <w:t xml:space="preserve"> fenômenos </w:t>
      </w:r>
      <w:r w:rsidR="002D23FE">
        <w:rPr>
          <w:rFonts w:ascii="Arial" w:hAnsi="Arial" w:cs="Arial"/>
          <w:sz w:val="24"/>
          <w:szCs w:val="24"/>
        </w:rPr>
        <w:t>na</w:t>
      </w:r>
      <w:r>
        <w:rPr>
          <w:rFonts w:ascii="Arial" w:hAnsi="Arial" w:cs="Arial"/>
          <w:sz w:val="24"/>
          <w:szCs w:val="24"/>
        </w:rPr>
        <w:t xml:space="preserve"> atual conjuntura política</w:t>
      </w:r>
      <w:r w:rsidR="00B27F05">
        <w:rPr>
          <w:rFonts w:ascii="Arial" w:hAnsi="Arial" w:cs="Arial"/>
          <w:sz w:val="24"/>
          <w:szCs w:val="24"/>
        </w:rPr>
        <w:t>, social</w:t>
      </w:r>
      <w:r>
        <w:rPr>
          <w:rFonts w:ascii="Arial" w:hAnsi="Arial" w:cs="Arial"/>
          <w:sz w:val="24"/>
          <w:szCs w:val="24"/>
        </w:rPr>
        <w:t xml:space="preserve"> e econômica.</w:t>
      </w:r>
    </w:p>
    <w:p w14:paraId="708BE764" w14:textId="263FED7C" w:rsidR="00046871" w:rsidRDefault="002D23FE" w:rsidP="00713208">
      <w:pPr>
        <w:spacing w:line="360" w:lineRule="auto"/>
        <w:ind w:firstLine="851"/>
        <w:jc w:val="both"/>
        <w:rPr>
          <w:rFonts w:ascii="Arial" w:hAnsi="Arial" w:cs="Arial"/>
          <w:sz w:val="24"/>
          <w:szCs w:val="24"/>
        </w:rPr>
      </w:pPr>
      <w:r>
        <w:rPr>
          <w:rFonts w:ascii="Arial" w:hAnsi="Arial" w:cs="Arial"/>
          <w:sz w:val="24"/>
          <w:szCs w:val="24"/>
        </w:rPr>
        <w:t>De outro lado, p</w:t>
      </w:r>
      <w:r w:rsidR="00046871" w:rsidRPr="006E07C6">
        <w:rPr>
          <w:rFonts w:ascii="Arial" w:hAnsi="Arial" w:cs="Arial"/>
          <w:sz w:val="24"/>
          <w:szCs w:val="24"/>
        </w:rPr>
        <w:t>ode</w:t>
      </w:r>
      <w:r w:rsidR="007F01FC" w:rsidRPr="006E07C6">
        <w:rPr>
          <w:rFonts w:ascii="Arial" w:hAnsi="Arial" w:cs="Arial"/>
          <w:sz w:val="24"/>
          <w:szCs w:val="24"/>
        </w:rPr>
        <w:t xml:space="preserve">-se dizer, com relativa tranquilidade, que </w:t>
      </w:r>
      <w:r w:rsidR="007F01FC" w:rsidRPr="002D23FE">
        <w:rPr>
          <w:rFonts w:ascii="Arial" w:hAnsi="Arial" w:cs="Arial"/>
          <w:b/>
          <w:sz w:val="24"/>
          <w:szCs w:val="24"/>
        </w:rPr>
        <w:t xml:space="preserve">até 2014 não havia uma preocupação </w:t>
      </w:r>
      <w:r w:rsidRPr="002D23FE">
        <w:rPr>
          <w:rFonts w:ascii="Arial" w:hAnsi="Arial" w:cs="Arial"/>
          <w:b/>
          <w:sz w:val="24"/>
          <w:szCs w:val="24"/>
        </w:rPr>
        <w:t>crítica</w:t>
      </w:r>
      <w:r w:rsidR="007F01FC" w:rsidRPr="002D23FE">
        <w:rPr>
          <w:rFonts w:ascii="Arial" w:hAnsi="Arial" w:cs="Arial"/>
          <w:b/>
          <w:sz w:val="24"/>
          <w:szCs w:val="24"/>
        </w:rPr>
        <w:t>, pelos órgão</w:t>
      </w:r>
      <w:r w:rsidRPr="002D23FE">
        <w:rPr>
          <w:rFonts w:ascii="Arial" w:hAnsi="Arial" w:cs="Arial"/>
          <w:b/>
          <w:sz w:val="24"/>
          <w:szCs w:val="24"/>
        </w:rPr>
        <w:t>s e Poderes do Estado, acerca dos rumos da</w:t>
      </w:r>
      <w:r w:rsidR="007F01FC" w:rsidRPr="002D23FE">
        <w:rPr>
          <w:rFonts w:ascii="Arial" w:hAnsi="Arial" w:cs="Arial"/>
          <w:b/>
          <w:sz w:val="24"/>
          <w:szCs w:val="24"/>
        </w:rPr>
        <w:t xml:space="preserve"> política estadual de concessão de incentivos fiscais</w:t>
      </w:r>
      <w:r w:rsidR="006E3200">
        <w:rPr>
          <w:rFonts w:ascii="Arial" w:hAnsi="Arial" w:cs="Arial"/>
          <w:sz w:val="24"/>
          <w:szCs w:val="24"/>
        </w:rPr>
        <w:t xml:space="preserve"> ou, ao menos, </w:t>
      </w:r>
      <w:r>
        <w:rPr>
          <w:rFonts w:ascii="Arial" w:hAnsi="Arial" w:cs="Arial"/>
          <w:sz w:val="24"/>
          <w:szCs w:val="24"/>
        </w:rPr>
        <w:t>com</w:t>
      </w:r>
      <w:r w:rsidR="006E3200">
        <w:rPr>
          <w:rFonts w:ascii="Arial" w:hAnsi="Arial" w:cs="Arial"/>
          <w:sz w:val="24"/>
          <w:szCs w:val="24"/>
        </w:rPr>
        <w:t xml:space="preserve"> </w:t>
      </w:r>
      <w:r>
        <w:rPr>
          <w:rFonts w:ascii="Arial" w:hAnsi="Arial" w:cs="Arial"/>
          <w:sz w:val="24"/>
          <w:szCs w:val="24"/>
        </w:rPr>
        <w:t>os</w:t>
      </w:r>
      <w:r w:rsidR="006E3200">
        <w:rPr>
          <w:rFonts w:ascii="Arial" w:hAnsi="Arial" w:cs="Arial"/>
          <w:sz w:val="24"/>
          <w:szCs w:val="24"/>
        </w:rPr>
        <w:t xml:space="preserve"> reflexos dessa política para a arrecadação estadual</w:t>
      </w:r>
      <w:r>
        <w:rPr>
          <w:rFonts w:ascii="Arial" w:hAnsi="Arial" w:cs="Arial"/>
          <w:sz w:val="24"/>
          <w:szCs w:val="24"/>
        </w:rPr>
        <w:t>, à luz da tradicional relação custo/benefício</w:t>
      </w:r>
      <w:r w:rsidR="007F01FC" w:rsidRPr="006E07C6">
        <w:rPr>
          <w:rFonts w:ascii="Arial" w:hAnsi="Arial" w:cs="Arial"/>
          <w:sz w:val="24"/>
          <w:szCs w:val="24"/>
        </w:rPr>
        <w:t>. Incentiv</w:t>
      </w:r>
      <w:r w:rsidR="008D2164" w:rsidRPr="006E07C6">
        <w:rPr>
          <w:rFonts w:ascii="Arial" w:hAnsi="Arial" w:cs="Arial"/>
          <w:sz w:val="24"/>
          <w:szCs w:val="24"/>
        </w:rPr>
        <w:t xml:space="preserve">os </w:t>
      </w:r>
      <w:r>
        <w:rPr>
          <w:rFonts w:ascii="Arial" w:hAnsi="Arial" w:cs="Arial"/>
          <w:sz w:val="24"/>
          <w:szCs w:val="24"/>
        </w:rPr>
        <w:t>fiscais</w:t>
      </w:r>
      <w:r w:rsidR="008D2164" w:rsidRPr="006E07C6">
        <w:rPr>
          <w:rFonts w:ascii="Arial" w:hAnsi="Arial" w:cs="Arial"/>
          <w:sz w:val="24"/>
          <w:szCs w:val="24"/>
        </w:rPr>
        <w:t xml:space="preserve"> eram concedidos, unilateralmente, à revelia de deliberação do Confaz, assim como procediam também outros Estados-membros</w:t>
      </w:r>
      <w:r w:rsidR="00B84DC0">
        <w:rPr>
          <w:rFonts w:ascii="Arial" w:hAnsi="Arial" w:cs="Arial"/>
          <w:sz w:val="24"/>
          <w:szCs w:val="24"/>
        </w:rPr>
        <w:t xml:space="preserve"> num contexto de guerra fiscal de ICMS</w:t>
      </w:r>
      <w:r>
        <w:rPr>
          <w:rFonts w:ascii="Arial" w:hAnsi="Arial" w:cs="Arial"/>
          <w:sz w:val="24"/>
          <w:szCs w:val="24"/>
        </w:rPr>
        <w:t xml:space="preserve">, sem que os demais órgãos e Poderes do Estado </w:t>
      </w:r>
      <w:r w:rsidR="0002714E">
        <w:rPr>
          <w:rFonts w:ascii="Arial" w:hAnsi="Arial" w:cs="Arial"/>
          <w:sz w:val="24"/>
          <w:szCs w:val="24"/>
        </w:rPr>
        <w:t xml:space="preserve">tenham censurado de forma </w:t>
      </w:r>
      <w:r>
        <w:rPr>
          <w:rFonts w:ascii="Arial" w:hAnsi="Arial" w:cs="Arial"/>
          <w:sz w:val="24"/>
          <w:szCs w:val="24"/>
        </w:rPr>
        <w:t xml:space="preserve">destacada </w:t>
      </w:r>
      <w:r w:rsidR="0002714E">
        <w:rPr>
          <w:rFonts w:ascii="Arial" w:hAnsi="Arial" w:cs="Arial"/>
          <w:sz w:val="24"/>
          <w:szCs w:val="24"/>
        </w:rPr>
        <w:t>essa praxe até então</w:t>
      </w:r>
      <w:r w:rsidR="00B84DC0">
        <w:rPr>
          <w:rFonts w:ascii="Arial" w:hAnsi="Arial" w:cs="Arial"/>
          <w:sz w:val="24"/>
          <w:szCs w:val="24"/>
        </w:rPr>
        <w:t>, tampouco mensurado seus efeitos</w:t>
      </w:r>
      <w:r w:rsidR="00AD4696" w:rsidRPr="006E07C6">
        <w:rPr>
          <w:rFonts w:ascii="Arial" w:hAnsi="Arial" w:cs="Arial"/>
          <w:sz w:val="24"/>
          <w:szCs w:val="24"/>
        </w:rPr>
        <w:t>.</w:t>
      </w:r>
    </w:p>
    <w:p w14:paraId="557BADCA" w14:textId="54671F7B" w:rsidR="00B8097D" w:rsidRDefault="00B8097D" w:rsidP="00713208">
      <w:pPr>
        <w:spacing w:line="360" w:lineRule="auto"/>
        <w:ind w:firstLine="851"/>
        <w:jc w:val="both"/>
        <w:rPr>
          <w:rFonts w:ascii="Arial" w:hAnsi="Arial" w:cs="Arial"/>
          <w:sz w:val="24"/>
          <w:szCs w:val="24"/>
        </w:rPr>
      </w:pPr>
      <w:r>
        <w:rPr>
          <w:rFonts w:ascii="Arial" w:hAnsi="Arial" w:cs="Arial"/>
          <w:sz w:val="24"/>
          <w:szCs w:val="24"/>
        </w:rPr>
        <w:t xml:space="preserve">Contudo, </w:t>
      </w:r>
      <w:r w:rsidR="005F1657">
        <w:rPr>
          <w:rFonts w:ascii="Arial" w:hAnsi="Arial" w:cs="Arial"/>
          <w:sz w:val="24"/>
          <w:szCs w:val="24"/>
        </w:rPr>
        <w:t xml:space="preserve">observa-se que, </w:t>
      </w:r>
      <w:r>
        <w:rPr>
          <w:rFonts w:ascii="Arial" w:hAnsi="Arial" w:cs="Arial"/>
          <w:sz w:val="24"/>
          <w:szCs w:val="24"/>
        </w:rPr>
        <w:t xml:space="preserve">nos últimos 5 (cinco) anos, tanto os Poderes como os órgãos constitucionais autônomos do Estado de Goiás passaram a encarar a questão dos incentivos fiscais de uma forma mais crítica </w:t>
      </w:r>
      <w:r w:rsidR="005F1657">
        <w:rPr>
          <w:rFonts w:ascii="Arial" w:hAnsi="Arial" w:cs="Arial"/>
          <w:sz w:val="24"/>
          <w:szCs w:val="24"/>
        </w:rPr>
        <w:t>em seus respectivos âmbitos de</w:t>
      </w:r>
      <w:r>
        <w:rPr>
          <w:rFonts w:ascii="Arial" w:hAnsi="Arial" w:cs="Arial"/>
          <w:sz w:val="24"/>
          <w:szCs w:val="24"/>
        </w:rPr>
        <w:t xml:space="preserve"> atuação, notadamente o </w:t>
      </w:r>
      <w:r w:rsidRPr="00B8097D">
        <w:rPr>
          <w:rFonts w:ascii="Arial" w:hAnsi="Arial" w:cs="Arial"/>
          <w:sz w:val="24"/>
          <w:szCs w:val="24"/>
        </w:rPr>
        <w:t>Tribunal de Contas do Estado de Goiás (TCE/GO)</w:t>
      </w:r>
      <w:r>
        <w:rPr>
          <w:rFonts w:ascii="Arial" w:hAnsi="Arial" w:cs="Arial"/>
          <w:sz w:val="24"/>
          <w:szCs w:val="24"/>
        </w:rPr>
        <w:t>, o Ministério Público do Estado de Goiás (MPGO) e os próprios Poderes Executivo e Legislativo.</w:t>
      </w:r>
    </w:p>
    <w:p w14:paraId="6E6ADC46" w14:textId="06B85764" w:rsidR="00E93441" w:rsidRDefault="00E93441" w:rsidP="00713208">
      <w:pPr>
        <w:spacing w:line="360" w:lineRule="auto"/>
        <w:ind w:firstLine="851"/>
        <w:jc w:val="both"/>
        <w:rPr>
          <w:rFonts w:ascii="Arial" w:hAnsi="Arial" w:cs="Arial"/>
          <w:sz w:val="24"/>
          <w:szCs w:val="24"/>
        </w:rPr>
      </w:pPr>
      <w:r>
        <w:rPr>
          <w:rFonts w:ascii="Arial" w:hAnsi="Arial" w:cs="Arial"/>
          <w:sz w:val="24"/>
          <w:szCs w:val="24"/>
        </w:rPr>
        <w:lastRenderedPageBreak/>
        <w:t>Desse modo, nas linhas seguintes se destaca a atuação dos principais atores nesse processo de maior reflexão</w:t>
      </w:r>
      <w:r w:rsidR="00094BF2">
        <w:rPr>
          <w:rFonts w:ascii="Arial" w:hAnsi="Arial" w:cs="Arial"/>
          <w:sz w:val="24"/>
          <w:szCs w:val="24"/>
        </w:rPr>
        <w:t xml:space="preserve"> política e jurídica</w:t>
      </w:r>
      <w:r>
        <w:rPr>
          <w:rFonts w:ascii="Arial" w:hAnsi="Arial" w:cs="Arial"/>
          <w:sz w:val="24"/>
          <w:szCs w:val="24"/>
        </w:rPr>
        <w:t xml:space="preserve"> acerca da política de</w:t>
      </w:r>
      <w:r w:rsidR="003332C7">
        <w:rPr>
          <w:rFonts w:ascii="Arial" w:hAnsi="Arial" w:cs="Arial"/>
          <w:sz w:val="24"/>
          <w:szCs w:val="24"/>
        </w:rPr>
        <w:t xml:space="preserve"> concessão de </w:t>
      </w:r>
      <w:r>
        <w:rPr>
          <w:rFonts w:ascii="Arial" w:hAnsi="Arial" w:cs="Arial"/>
          <w:sz w:val="24"/>
          <w:szCs w:val="24"/>
        </w:rPr>
        <w:t>incentivos fiscais</w:t>
      </w:r>
      <w:r w:rsidR="003332C7">
        <w:rPr>
          <w:rFonts w:ascii="Arial" w:hAnsi="Arial" w:cs="Arial"/>
          <w:sz w:val="24"/>
          <w:szCs w:val="24"/>
        </w:rPr>
        <w:t xml:space="preserve"> no Estado de Goiás</w:t>
      </w:r>
      <w:r w:rsidR="002F1234">
        <w:rPr>
          <w:rFonts w:ascii="Arial" w:hAnsi="Arial" w:cs="Arial"/>
          <w:sz w:val="24"/>
          <w:szCs w:val="24"/>
        </w:rPr>
        <w:t>.</w:t>
      </w:r>
    </w:p>
    <w:p w14:paraId="2B2F7613" w14:textId="270E3A21" w:rsidR="00ED3A74" w:rsidRDefault="00ED3A74" w:rsidP="00713208">
      <w:pPr>
        <w:spacing w:line="360" w:lineRule="auto"/>
        <w:ind w:firstLine="851"/>
        <w:jc w:val="both"/>
        <w:rPr>
          <w:rFonts w:ascii="Arial" w:hAnsi="Arial" w:cs="Arial"/>
          <w:sz w:val="24"/>
          <w:szCs w:val="24"/>
        </w:rPr>
      </w:pPr>
    </w:p>
    <w:p w14:paraId="67D8BD62" w14:textId="7BE5D9EB" w:rsidR="00ED3A74" w:rsidRPr="00ED3A74" w:rsidRDefault="008C73C0" w:rsidP="00713208">
      <w:pPr>
        <w:spacing w:line="360" w:lineRule="auto"/>
        <w:ind w:firstLine="851"/>
        <w:jc w:val="both"/>
        <w:rPr>
          <w:rFonts w:ascii="Arial" w:hAnsi="Arial" w:cs="Arial"/>
          <w:b/>
          <w:sz w:val="24"/>
          <w:szCs w:val="24"/>
          <w:u w:val="single"/>
        </w:rPr>
      </w:pPr>
      <w:r>
        <w:rPr>
          <w:rFonts w:ascii="Arial" w:hAnsi="Arial" w:cs="Arial"/>
          <w:b/>
          <w:sz w:val="24"/>
          <w:szCs w:val="24"/>
          <w:u w:val="single"/>
        </w:rPr>
        <w:t>3.3</w:t>
      </w:r>
      <w:r w:rsidR="00ED3A74" w:rsidRPr="00ED3A74">
        <w:rPr>
          <w:rFonts w:ascii="Arial" w:hAnsi="Arial" w:cs="Arial"/>
          <w:b/>
          <w:sz w:val="24"/>
          <w:szCs w:val="24"/>
          <w:u w:val="single"/>
        </w:rPr>
        <w:t xml:space="preserve">.1 </w:t>
      </w:r>
      <w:r w:rsidR="007C6A53" w:rsidRPr="007C6A53">
        <w:rPr>
          <w:rFonts w:ascii="Arial" w:hAnsi="Arial" w:cs="Arial"/>
          <w:b/>
          <w:sz w:val="24"/>
          <w:szCs w:val="24"/>
          <w:u w:val="single"/>
        </w:rPr>
        <w:t xml:space="preserve">– </w:t>
      </w:r>
      <w:r w:rsidR="003332C7">
        <w:rPr>
          <w:rFonts w:ascii="Arial" w:hAnsi="Arial" w:cs="Arial"/>
          <w:b/>
          <w:sz w:val="24"/>
          <w:szCs w:val="24"/>
          <w:u w:val="single"/>
        </w:rPr>
        <w:t>Determinações e r</w:t>
      </w:r>
      <w:r w:rsidR="00F229E0">
        <w:rPr>
          <w:rFonts w:ascii="Arial" w:hAnsi="Arial" w:cs="Arial"/>
          <w:b/>
          <w:sz w:val="24"/>
          <w:szCs w:val="24"/>
          <w:u w:val="single"/>
        </w:rPr>
        <w:t>ecomendações</w:t>
      </w:r>
      <w:r w:rsidR="00ED3A74" w:rsidRPr="00ED3A74">
        <w:rPr>
          <w:rFonts w:ascii="Arial" w:hAnsi="Arial" w:cs="Arial"/>
          <w:b/>
          <w:sz w:val="24"/>
          <w:szCs w:val="24"/>
          <w:u w:val="single"/>
        </w:rPr>
        <w:t xml:space="preserve"> do TCE/GO</w:t>
      </w:r>
      <w:r w:rsidR="004A5DEB">
        <w:rPr>
          <w:rFonts w:ascii="Arial" w:hAnsi="Arial" w:cs="Arial"/>
          <w:b/>
          <w:sz w:val="24"/>
          <w:szCs w:val="24"/>
          <w:u w:val="single"/>
        </w:rPr>
        <w:t xml:space="preserve"> nos pareceres prévios de an</w:t>
      </w:r>
      <w:r w:rsidR="003332C7">
        <w:rPr>
          <w:rFonts w:ascii="Arial" w:hAnsi="Arial" w:cs="Arial"/>
          <w:b/>
          <w:sz w:val="24"/>
          <w:szCs w:val="24"/>
          <w:u w:val="single"/>
        </w:rPr>
        <w:t>álise das contas de governo</w:t>
      </w:r>
    </w:p>
    <w:p w14:paraId="58FFF9A5" w14:textId="543DB2E5" w:rsidR="00E93441" w:rsidRDefault="00E93441" w:rsidP="00713208">
      <w:pPr>
        <w:spacing w:line="360" w:lineRule="auto"/>
        <w:ind w:firstLine="851"/>
        <w:jc w:val="both"/>
        <w:rPr>
          <w:rFonts w:ascii="Arial" w:hAnsi="Arial" w:cs="Arial"/>
          <w:sz w:val="24"/>
          <w:szCs w:val="24"/>
        </w:rPr>
      </w:pPr>
    </w:p>
    <w:p w14:paraId="5E04D361" w14:textId="4AF5C065" w:rsidR="00E93441" w:rsidRDefault="00ED3A74" w:rsidP="00713208">
      <w:pPr>
        <w:spacing w:line="360" w:lineRule="auto"/>
        <w:ind w:firstLine="851"/>
        <w:jc w:val="both"/>
        <w:rPr>
          <w:rFonts w:ascii="Arial" w:hAnsi="Arial" w:cs="Arial"/>
          <w:sz w:val="24"/>
          <w:szCs w:val="24"/>
        </w:rPr>
      </w:pPr>
      <w:r>
        <w:rPr>
          <w:rFonts w:ascii="Arial" w:hAnsi="Arial" w:cs="Arial"/>
          <w:sz w:val="24"/>
          <w:szCs w:val="24"/>
        </w:rPr>
        <w:t>Na análise das contas do Governo do Estado, até 2013, o TCE/GO não dedicara maior atenção à política de incentivos fiscais. A partir da análise das contas daquele ano, a unidade técnica passou a recomendar as seguintes medidas sobre essa questão:</w:t>
      </w:r>
    </w:p>
    <w:p w14:paraId="50E2B736" w14:textId="77777777" w:rsidR="003C42E2" w:rsidRDefault="003C42E2" w:rsidP="00713208">
      <w:pPr>
        <w:spacing w:line="360" w:lineRule="auto"/>
        <w:ind w:firstLine="851"/>
        <w:jc w:val="both"/>
        <w:rPr>
          <w:rFonts w:ascii="Arial" w:hAnsi="Arial" w:cs="Arial"/>
          <w:sz w:val="24"/>
          <w:szCs w:val="24"/>
        </w:rPr>
      </w:pPr>
    </w:p>
    <w:p w14:paraId="72145908" w14:textId="3F427801" w:rsidR="00ED3A74" w:rsidRPr="00ED3A74" w:rsidRDefault="00ED3A74" w:rsidP="00E41EFD">
      <w:pPr>
        <w:pStyle w:val="PargrafodaLista"/>
        <w:numPr>
          <w:ilvl w:val="0"/>
          <w:numId w:val="2"/>
        </w:numPr>
        <w:spacing w:line="360" w:lineRule="auto"/>
        <w:jc w:val="both"/>
        <w:rPr>
          <w:rFonts w:ascii="Arial" w:hAnsi="Arial" w:cs="Arial"/>
          <w:sz w:val="24"/>
          <w:szCs w:val="24"/>
        </w:rPr>
      </w:pPr>
      <w:r w:rsidRPr="00ED3A74">
        <w:rPr>
          <w:rFonts w:ascii="Arial" w:hAnsi="Arial" w:cs="Arial"/>
          <w:b/>
          <w:sz w:val="24"/>
          <w:szCs w:val="24"/>
        </w:rPr>
        <w:t>disponibilização no Portal da Transparência</w:t>
      </w:r>
      <w:r>
        <w:rPr>
          <w:rFonts w:ascii="Arial" w:hAnsi="Arial" w:cs="Arial"/>
          <w:sz w:val="24"/>
          <w:szCs w:val="24"/>
        </w:rPr>
        <w:t xml:space="preserve">, pelo Poder Executivo, dos </w:t>
      </w:r>
      <w:r w:rsidRPr="00ED3A74">
        <w:rPr>
          <w:rFonts w:ascii="Arial" w:hAnsi="Arial" w:cs="Arial"/>
          <w:b/>
          <w:sz w:val="24"/>
          <w:szCs w:val="24"/>
        </w:rPr>
        <w:t>benefícios</w:t>
      </w:r>
      <w:r w:rsidRPr="00ED3A74">
        <w:rPr>
          <w:rFonts w:ascii="Arial" w:hAnsi="Arial" w:cs="Arial"/>
          <w:sz w:val="24"/>
          <w:szCs w:val="24"/>
        </w:rPr>
        <w:t xml:space="preserve"> </w:t>
      </w:r>
      <w:r w:rsidRPr="00ED3A74">
        <w:rPr>
          <w:rFonts w:ascii="Arial" w:hAnsi="Arial" w:cs="Arial"/>
          <w:sz w:val="24"/>
          <w:szCs w:val="24"/>
          <w:u w:val="single"/>
        </w:rPr>
        <w:t>fiscais</w:t>
      </w:r>
      <w:r w:rsidRPr="00ED3A74">
        <w:rPr>
          <w:rFonts w:ascii="Arial" w:hAnsi="Arial" w:cs="Arial"/>
          <w:sz w:val="24"/>
          <w:szCs w:val="24"/>
        </w:rPr>
        <w:t xml:space="preserve"> e </w:t>
      </w:r>
      <w:r w:rsidRPr="00ED3A74">
        <w:rPr>
          <w:rFonts w:ascii="Arial" w:hAnsi="Arial" w:cs="Arial"/>
          <w:sz w:val="24"/>
          <w:szCs w:val="24"/>
          <w:u w:val="single"/>
        </w:rPr>
        <w:t>econômicos</w:t>
      </w:r>
      <w:r w:rsidRPr="00ED3A74">
        <w:rPr>
          <w:rFonts w:ascii="Arial" w:hAnsi="Arial" w:cs="Arial"/>
          <w:sz w:val="24"/>
          <w:szCs w:val="24"/>
        </w:rPr>
        <w:t xml:space="preserve"> </w:t>
      </w:r>
      <w:r w:rsidRPr="00EB2422">
        <w:rPr>
          <w:rFonts w:ascii="Arial" w:hAnsi="Arial" w:cs="Arial"/>
          <w:sz w:val="24"/>
          <w:szCs w:val="24"/>
        </w:rPr>
        <w:t>por</w:t>
      </w:r>
      <w:r w:rsidRPr="00ED3A74">
        <w:rPr>
          <w:rFonts w:ascii="Arial" w:hAnsi="Arial" w:cs="Arial"/>
          <w:sz w:val="24"/>
          <w:szCs w:val="24"/>
        </w:rPr>
        <w:t xml:space="preserve"> tipo de </w:t>
      </w:r>
      <w:r w:rsidRPr="00ED3A74">
        <w:rPr>
          <w:rFonts w:ascii="Arial" w:hAnsi="Arial" w:cs="Arial"/>
          <w:b/>
          <w:sz w:val="24"/>
          <w:szCs w:val="24"/>
        </w:rPr>
        <w:t>setor</w:t>
      </w:r>
      <w:r>
        <w:rPr>
          <w:rFonts w:ascii="Arial" w:hAnsi="Arial" w:cs="Arial"/>
          <w:sz w:val="24"/>
          <w:szCs w:val="24"/>
        </w:rPr>
        <w:t xml:space="preserve"> (p. 178, penúltimo parágrafo)</w:t>
      </w:r>
      <w:r w:rsidRPr="00ED3A74">
        <w:rPr>
          <w:rFonts w:ascii="Arial" w:hAnsi="Arial" w:cs="Arial"/>
          <w:sz w:val="24"/>
          <w:szCs w:val="24"/>
        </w:rPr>
        <w:t>;</w:t>
      </w:r>
    </w:p>
    <w:p w14:paraId="06EBD49F" w14:textId="56E605BF" w:rsidR="00ED3A74" w:rsidRDefault="00ED3A74" w:rsidP="003C42E2">
      <w:pPr>
        <w:pStyle w:val="PargrafodaLista"/>
        <w:numPr>
          <w:ilvl w:val="0"/>
          <w:numId w:val="2"/>
        </w:numPr>
        <w:spacing w:line="360" w:lineRule="auto"/>
        <w:jc w:val="both"/>
        <w:rPr>
          <w:rFonts w:ascii="Arial" w:hAnsi="Arial" w:cs="Arial"/>
          <w:sz w:val="24"/>
          <w:szCs w:val="24"/>
        </w:rPr>
      </w:pPr>
      <w:r w:rsidRPr="00ED3A74">
        <w:rPr>
          <w:rFonts w:ascii="Arial" w:hAnsi="Arial" w:cs="Arial"/>
          <w:b/>
          <w:sz w:val="24"/>
          <w:szCs w:val="24"/>
        </w:rPr>
        <w:t>elaboração de demonstrativo que evidencie</w:t>
      </w:r>
      <w:r w:rsidRPr="00ED3A74">
        <w:rPr>
          <w:rFonts w:ascii="Arial" w:hAnsi="Arial" w:cs="Arial"/>
          <w:sz w:val="24"/>
          <w:szCs w:val="24"/>
        </w:rPr>
        <w:t xml:space="preserve"> o </w:t>
      </w:r>
      <w:r w:rsidRPr="00ED3A74">
        <w:rPr>
          <w:rFonts w:ascii="Arial" w:hAnsi="Arial" w:cs="Arial"/>
          <w:sz w:val="24"/>
          <w:szCs w:val="24"/>
          <w:u w:val="single"/>
        </w:rPr>
        <w:t>montante dos benefícios fiscais concedidos</w:t>
      </w:r>
      <w:r w:rsidRPr="00ED3A74">
        <w:rPr>
          <w:rFonts w:ascii="Arial" w:hAnsi="Arial" w:cs="Arial"/>
          <w:sz w:val="24"/>
          <w:szCs w:val="24"/>
        </w:rPr>
        <w:t xml:space="preserve"> em cada exercício e as </w:t>
      </w:r>
      <w:r w:rsidRPr="00ED3A74">
        <w:rPr>
          <w:rFonts w:ascii="Arial" w:hAnsi="Arial" w:cs="Arial"/>
          <w:sz w:val="24"/>
          <w:szCs w:val="24"/>
          <w:u w:val="single"/>
        </w:rPr>
        <w:t>respectivas ações adotadas para compensar tais renúncias</w:t>
      </w:r>
      <w:r w:rsidRPr="00ED3A74">
        <w:rPr>
          <w:rFonts w:ascii="Arial" w:hAnsi="Arial" w:cs="Arial"/>
          <w:sz w:val="24"/>
          <w:szCs w:val="24"/>
        </w:rPr>
        <w:t xml:space="preserve">, em conformidade com o </w:t>
      </w:r>
      <w:r>
        <w:rPr>
          <w:rFonts w:ascii="Arial" w:hAnsi="Arial" w:cs="Arial"/>
          <w:sz w:val="24"/>
          <w:szCs w:val="24"/>
        </w:rPr>
        <w:t>art. 5º, I</w:t>
      </w:r>
      <w:r w:rsidRPr="00ED3A74">
        <w:rPr>
          <w:rFonts w:ascii="Arial" w:hAnsi="Arial" w:cs="Arial"/>
          <w:sz w:val="24"/>
          <w:szCs w:val="24"/>
        </w:rPr>
        <w:t>I, e o art. 14</w:t>
      </w:r>
      <w:r>
        <w:rPr>
          <w:rFonts w:ascii="Arial" w:hAnsi="Arial" w:cs="Arial"/>
          <w:sz w:val="24"/>
          <w:szCs w:val="24"/>
        </w:rPr>
        <w:t>, ambos</w:t>
      </w:r>
      <w:r w:rsidRPr="00ED3A74">
        <w:rPr>
          <w:rFonts w:ascii="Arial" w:hAnsi="Arial" w:cs="Arial"/>
          <w:sz w:val="24"/>
          <w:szCs w:val="24"/>
        </w:rPr>
        <w:t xml:space="preserve"> da </w:t>
      </w:r>
      <w:r>
        <w:rPr>
          <w:rFonts w:ascii="Arial" w:hAnsi="Arial" w:cs="Arial"/>
          <w:sz w:val="24"/>
          <w:szCs w:val="24"/>
        </w:rPr>
        <w:t>LRF.</w:t>
      </w:r>
    </w:p>
    <w:p w14:paraId="6CCCA64C" w14:textId="77777777" w:rsidR="003C42E2" w:rsidRDefault="003C42E2" w:rsidP="00ED3A74">
      <w:pPr>
        <w:spacing w:line="360" w:lineRule="auto"/>
        <w:ind w:firstLine="851"/>
        <w:jc w:val="both"/>
        <w:rPr>
          <w:rFonts w:ascii="Arial" w:hAnsi="Arial" w:cs="Arial"/>
          <w:sz w:val="24"/>
          <w:szCs w:val="24"/>
        </w:rPr>
      </w:pPr>
    </w:p>
    <w:p w14:paraId="7ADF2961" w14:textId="6059B6F4" w:rsidR="00ED3A74" w:rsidRDefault="00ED3A74" w:rsidP="00ED3A74">
      <w:pPr>
        <w:spacing w:line="360" w:lineRule="auto"/>
        <w:ind w:firstLine="851"/>
        <w:jc w:val="both"/>
        <w:rPr>
          <w:rFonts w:ascii="Arial" w:hAnsi="Arial" w:cs="Arial"/>
          <w:sz w:val="24"/>
          <w:szCs w:val="24"/>
        </w:rPr>
      </w:pPr>
      <w:r>
        <w:rPr>
          <w:rFonts w:ascii="Arial" w:hAnsi="Arial" w:cs="Arial"/>
          <w:sz w:val="24"/>
          <w:szCs w:val="24"/>
        </w:rPr>
        <w:t xml:space="preserve">Porém, </w:t>
      </w:r>
      <w:r w:rsidRPr="00ED3A74">
        <w:rPr>
          <w:rFonts w:ascii="Arial" w:hAnsi="Arial" w:cs="Arial"/>
          <w:b/>
          <w:sz w:val="24"/>
          <w:szCs w:val="24"/>
        </w:rPr>
        <w:t>essas recomendações não constaram</w:t>
      </w:r>
      <w:r w:rsidR="005F0071">
        <w:rPr>
          <w:rFonts w:ascii="Arial" w:hAnsi="Arial" w:cs="Arial"/>
          <w:sz w:val="24"/>
          <w:szCs w:val="24"/>
        </w:rPr>
        <w:t xml:space="preserve"> d</w:t>
      </w:r>
      <w:r>
        <w:rPr>
          <w:rFonts w:ascii="Arial" w:hAnsi="Arial" w:cs="Arial"/>
          <w:sz w:val="24"/>
          <w:szCs w:val="24"/>
        </w:rPr>
        <w:t xml:space="preserve">a </w:t>
      </w:r>
      <w:r w:rsidRPr="00ED3A74">
        <w:rPr>
          <w:rFonts w:ascii="Arial" w:hAnsi="Arial" w:cs="Arial"/>
          <w:sz w:val="24"/>
          <w:szCs w:val="24"/>
          <w:u w:val="single"/>
        </w:rPr>
        <w:t>análise prévia do relator</w:t>
      </w:r>
      <w:r>
        <w:rPr>
          <w:rFonts w:ascii="Arial" w:hAnsi="Arial" w:cs="Arial"/>
          <w:sz w:val="24"/>
          <w:szCs w:val="24"/>
        </w:rPr>
        <w:t xml:space="preserve"> nem no </w:t>
      </w:r>
      <w:r w:rsidRPr="00ED3A74">
        <w:rPr>
          <w:rFonts w:ascii="Arial" w:hAnsi="Arial" w:cs="Arial"/>
          <w:sz w:val="24"/>
          <w:szCs w:val="24"/>
          <w:u w:val="single"/>
        </w:rPr>
        <w:t>parecer final</w:t>
      </w:r>
      <w:r w:rsidRPr="00ED3A74">
        <w:rPr>
          <w:rFonts w:ascii="Arial" w:hAnsi="Arial" w:cs="Arial"/>
          <w:sz w:val="24"/>
          <w:szCs w:val="24"/>
        </w:rPr>
        <w:t xml:space="preserve"> aprovado</w:t>
      </w:r>
      <w:r>
        <w:rPr>
          <w:rFonts w:ascii="Arial" w:hAnsi="Arial" w:cs="Arial"/>
          <w:sz w:val="24"/>
          <w:szCs w:val="24"/>
        </w:rPr>
        <w:t xml:space="preserve"> pelo TCE/GO</w:t>
      </w:r>
      <w:r w:rsidR="00385C47">
        <w:rPr>
          <w:rFonts w:ascii="Arial" w:hAnsi="Arial" w:cs="Arial"/>
          <w:sz w:val="24"/>
          <w:szCs w:val="24"/>
        </w:rPr>
        <w:t xml:space="preserve"> daquele ano</w:t>
      </w:r>
      <w:r>
        <w:rPr>
          <w:rFonts w:ascii="Arial" w:hAnsi="Arial" w:cs="Arial"/>
          <w:sz w:val="24"/>
          <w:szCs w:val="24"/>
        </w:rPr>
        <w:t>.</w:t>
      </w:r>
      <w:r w:rsidR="00385C47">
        <w:rPr>
          <w:rFonts w:ascii="Arial" w:hAnsi="Arial" w:cs="Arial"/>
          <w:sz w:val="24"/>
          <w:szCs w:val="24"/>
        </w:rPr>
        <w:t xml:space="preserve"> Apenas no parecer prévio das contas </w:t>
      </w:r>
      <w:r w:rsidR="00E240F2">
        <w:rPr>
          <w:rFonts w:ascii="Arial" w:hAnsi="Arial" w:cs="Arial"/>
          <w:sz w:val="24"/>
          <w:szCs w:val="24"/>
        </w:rPr>
        <w:t xml:space="preserve">de governo </w:t>
      </w:r>
      <w:r w:rsidR="00385C47">
        <w:rPr>
          <w:rFonts w:ascii="Arial" w:hAnsi="Arial" w:cs="Arial"/>
          <w:sz w:val="24"/>
          <w:szCs w:val="24"/>
        </w:rPr>
        <w:t>relativas ao ano de 2014 é que</w:t>
      </w:r>
      <w:r w:rsidR="005F0071">
        <w:rPr>
          <w:rFonts w:ascii="Arial" w:hAnsi="Arial" w:cs="Arial"/>
          <w:sz w:val="24"/>
          <w:szCs w:val="24"/>
        </w:rPr>
        <w:t xml:space="preserve"> </w:t>
      </w:r>
      <w:r w:rsidR="00606FFE">
        <w:rPr>
          <w:rFonts w:ascii="Arial" w:hAnsi="Arial" w:cs="Arial"/>
          <w:sz w:val="24"/>
          <w:szCs w:val="24"/>
        </w:rPr>
        <w:t>passaram a ser</w:t>
      </w:r>
      <w:r w:rsidR="00385C47">
        <w:rPr>
          <w:rFonts w:ascii="Arial" w:hAnsi="Arial" w:cs="Arial"/>
          <w:sz w:val="24"/>
          <w:szCs w:val="24"/>
        </w:rPr>
        <w:t xml:space="preserve"> mencionadas, nos termos das </w:t>
      </w:r>
      <w:r w:rsidR="005F0071">
        <w:rPr>
          <w:rFonts w:ascii="Arial" w:hAnsi="Arial" w:cs="Arial"/>
          <w:sz w:val="24"/>
          <w:szCs w:val="24"/>
        </w:rPr>
        <w:t xml:space="preserve">recomendações </w:t>
      </w:r>
      <w:r w:rsidR="00385C47">
        <w:rPr>
          <w:rFonts w:ascii="Arial" w:hAnsi="Arial" w:cs="Arial"/>
          <w:sz w:val="24"/>
          <w:szCs w:val="24"/>
        </w:rPr>
        <w:t xml:space="preserve">nºs </w:t>
      </w:r>
      <w:r w:rsidR="005F0071">
        <w:rPr>
          <w:rFonts w:ascii="Arial" w:hAnsi="Arial" w:cs="Arial"/>
          <w:sz w:val="24"/>
          <w:szCs w:val="24"/>
        </w:rPr>
        <w:t xml:space="preserve">15 e 22 </w:t>
      </w:r>
      <w:r w:rsidR="00885E3D">
        <w:rPr>
          <w:rFonts w:ascii="Arial" w:hAnsi="Arial" w:cs="Arial"/>
          <w:sz w:val="24"/>
          <w:szCs w:val="24"/>
        </w:rPr>
        <w:t>do respectivo</w:t>
      </w:r>
      <w:r w:rsidR="005F0071">
        <w:rPr>
          <w:rFonts w:ascii="Arial" w:hAnsi="Arial" w:cs="Arial"/>
          <w:sz w:val="24"/>
          <w:szCs w:val="24"/>
        </w:rPr>
        <w:t xml:space="preserve"> parecer</w:t>
      </w:r>
      <w:r w:rsidR="00606FFE">
        <w:rPr>
          <w:rStyle w:val="Refdenotaderodap"/>
          <w:rFonts w:ascii="Arial" w:hAnsi="Arial" w:cs="Arial"/>
          <w:sz w:val="24"/>
          <w:szCs w:val="24"/>
        </w:rPr>
        <w:footnoteReference w:id="13"/>
      </w:r>
      <w:r w:rsidR="00606FFE">
        <w:rPr>
          <w:rFonts w:ascii="Arial" w:hAnsi="Arial" w:cs="Arial"/>
          <w:sz w:val="24"/>
          <w:szCs w:val="24"/>
        </w:rPr>
        <w:t>, repetidas</w:t>
      </w:r>
      <w:r w:rsidR="00C97887">
        <w:rPr>
          <w:rFonts w:ascii="Arial" w:hAnsi="Arial" w:cs="Arial"/>
          <w:sz w:val="24"/>
          <w:szCs w:val="24"/>
        </w:rPr>
        <w:t xml:space="preserve"> também</w:t>
      </w:r>
      <w:r w:rsidR="00606FFE">
        <w:rPr>
          <w:rFonts w:ascii="Arial" w:hAnsi="Arial" w:cs="Arial"/>
          <w:sz w:val="24"/>
          <w:szCs w:val="24"/>
        </w:rPr>
        <w:t xml:space="preserve"> nas recomendações nº</w:t>
      </w:r>
      <w:r w:rsidR="00C97887">
        <w:rPr>
          <w:rFonts w:ascii="Arial" w:hAnsi="Arial" w:cs="Arial"/>
          <w:sz w:val="24"/>
          <w:szCs w:val="24"/>
        </w:rPr>
        <w:t>s</w:t>
      </w:r>
      <w:r w:rsidR="00606FFE">
        <w:rPr>
          <w:rFonts w:ascii="Arial" w:hAnsi="Arial" w:cs="Arial"/>
          <w:sz w:val="24"/>
          <w:szCs w:val="24"/>
        </w:rPr>
        <w:t xml:space="preserve"> 19 e 21 do parecer relativo às contas de </w:t>
      </w:r>
      <w:r w:rsidR="00E240F2">
        <w:rPr>
          <w:rFonts w:ascii="Arial" w:hAnsi="Arial" w:cs="Arial"/>
          <w:sz w:val="24"/>
          <w:szCs w:val="24"/>
        </w:rPr>
        <w:t xml:space="preserve">governo de </w:t>
      </w:r>
      <w:r w:rsidR="00606FFE">
        <w:rPr>
          <w:rFonts w:ascii="Arial" w:hAnsi="Arial" w:cs="Arial"/>
          <w:sz w:val="24"/>
          <w:szCs w:val="24"/>
        </w:rPr>
        <w:t>2015</w:t>
      </w:r>
      <w:r w:rsidR="005F0071">
        <w:rPr>
          <w:rFonts w:ascii="Arial" w:hAnsi="Arial" w:cs="Arial"/>
          <w:sz w:val="24"/>
          <w:szCs w:val="24"/>
        </w:rPr>
        <w:t>.</w:t>
      </w:r>
    </w:p>
    <w:p w14:paraId="314AC706" w14:textId="0459D176" w:rsidR="00606FFE" w:rsidRDefault="00606FFE" w:rsidP="00ED3A74">
      <w:pPr>
        <w:spacing w:line="360" w:lineRule="auto"/>
        <w:ind w:firstLine="851"/>
        <w:jc w:val="both"/>
        <w:rPr>
          <w:rFonts w:ascii="Arial" w:hAnsi="Arial" w:cs="Arial"/>
          <w:sz w:val="24"/>
          <w:szCs w:val="24"/>
        </w:rPr>
      </w:pPr>
      <w:r>
        <w:rPr>
          <w:rFonts w:ascii="Arial" w:hAnsi="Arial" w:cs="Arial"/>
          <w:sz w:val="24"/>
          <w:szCs w:val="24"/>
        </w:rPr>
        <w:t xml:space="preserve">No parecer prévio relativo às </w:t>
      </w:r>
      <w:r w:rsidRPr="009F67D3">
        <w:rPr>
          <w:rFonts w:ascii="Arial" w:hAnsi="Arial" w:cs="Arial"/>
          <w:b/>
          <w:sz w:val="24"/>
          <w:szCs w:val="24"/>
        </w:rPr>
        <w:t>contas</w:t>
      </w:r>
      <w:r w:rsidR="00E240F2">
        <w:rPr>
          <w:rFonts w:ascii="Arial" w:hAnsi="Arial" w:cs="Arial"/>
          <w:b/>
          <w:sz w:val="24"/>
          <w:szCs w:val="24"/>
        </w:rPr>
        <w:t xml:space="preserve"> de governo</w:t>
      </w:r>
      <w:r w:rsidRPr="009F67D3">
        <w:rPr>
          <w:rFonts w:ascii="Arial" w:hAnsi="Arial" w:cs="Arial"/>
          <w:b/>
          <w:sz w:val="24"/>
          <w:szCs w:val="24"/>
        </w:rPr>
        <w:t xml:space="preserve"> de 2016</w:t>
      </w:r>
      <w:r>
        <w:rPr>
          <w:rFonts w:ascii="Arial" w:hAnsi="Arial" w:cs="Arial"/>
          <w:sz w:val="24"/>
          <w:szCs w:val="24"/>
        </w:rPr>
        <w:t>, o TCE/GO avançou um pouco mais, nos termos da</w:t>
      </w:r>
      <w:r w:rsidR="000F20EE">
        <w:rPr>
          <w:rFonts w:ascii="Arial" w:hAnsi="Arial" w:cs="Arial"/>
          <w:sz w:val="24"/>
          <w:szCs w:val="24"/>
        </w:rPr>
        <w:t>s</w:t>
      </w:r>
      <w:r>
        <w:rPr>
          <w:rFonts w:ascii="Arial" w:hAnsi="Arial" w:cs="Arial"/>
          <w:sz w:val="24"/>
          <w:szCs w:val="24"/>
        </w:rPr>
        <w:t xml:space="preserve"> recomendaç</w:t>
      </w:r>
      <w:r w:rsidR="000F20EE">
        <w:rPr>
          <w:rFonts w:ascii="Arial" w:hAnsi="Arial" w:cs="Arial"/>
          <w:sz w:val="24"/>
          <w:szCs w:val="24"/>
        </w:rPr>
        <w:t>ões</w:t>
      </w:r>
      <w:r>
        <w:rPr>
          <w:rFonts w:ascii="Arial" w:hAnsi="Arial" w:cs="Arial"/>
          <w:sz w:val="24"/>
          <w:szCs w:val="24"/>
        </w:rPr>
        <w:t xml:space="preserve"> nºs 15 e 16, </w:t>
      </w:r>
      <w:r w:rsidRPr="00E760F2">
        <w:rPr>
          <w:rFonts w:ascii="Arial" w:hAnsi="Arial" w:cs="Arial"/>
          <w:i/>
          <w:sz w:val="24"/>
          <w:szCs w:val="24"/>
        </w:rPr>
        <w:t>in verbis</w:t>
      </w:r>
      <w:r>
        <w:rPr>
          <w:rFonts w:ascii="Arial" w:hAnsi="Arial" w:cs="Arial"/>
          <w:sz w:val="24"/>
          <w:szCs w:val="24"/>
        </w:rPr>
        <w:t>:</w:t>
      </w:r>
    </w:p>
    <w:p w14:paraId="031DC702" w14:textId="77777777" w:rsidR="00606FFE" w:rsidRDefault="00606FFE" w:rsidP="00ED3A74">
      <w:pPr>
        <w:spacing w:line="360" w:lineRule="auto"/>
        <w:ind w:firstLine="851"/>
        <w:jc w:val="both"/>
        <w:rPr>
          <w:rFonts w:ascii="Arial" w:hAnsi="Arial" w:cs="Arial"/>
          <w:sz w:val="24"/>
          <w:szCs w:val="24"/>
        </w:rPr>
      </w:pPr>
    </w:p>
    <w:p w14:paraId="12EA5BAB" w14:textId="2CE87E64" w:rsidR="00606FFE" w:rsidRPr="00606FFE" w:rsidRDefault="006D727E" w:rsidP="001A04C9">
      <w:pPr>
        <w:ind w:left="2268"/>
        <w:jc w:val="both"/>
        <w:rPr>
          <w:rFonts w:ascii="Arial" w:hAnsi="Arial" w:cs="Arial"/>
          <w:sz w:val="22"/>
          <w:szCs w:val="22"/>
        </w:rPr>
      </w:pPr>
      <w:r w:rsidRPr="00D80687">
        <w:rPr>
          <w:rFonts w:ascii="Arial" w:hAnsi="Arial" w:cs="Arial"/>
          <w:b/>
          <w:sz w:val="22"/>
          <w:szCs w:val="22"/>
        </w:rPr>
        <w:t xml:space="preserve">15) </w:t>
      </w:r>
      <w:r w:rsidR="00606FFE" w:rsidRPr="00D80687">
        <w:rPr>
          <w:rFonts w:ascii="Arial" w:hAnsi="Arial" w:cs="Arial"/>
          <w:b/>
          <w:sz w:val="22"/>
          <w:szCs w:val="22"/>
        </w:rPr>
        <w:t>Incluir na elaboração do projeto de lei orçamentária, o impacto</w:t>
      </w:r>
      <w:r w:rsidR="00606FFE" w:rsidRPr="00606FFE">
        <w:rPr>
          <w:rFonts w:ascii="Arial" w:hAnsi="Arial" w:cs="Arial"/>
          <w:sz w:val="22"/>
          <w:szCs w:val="22"/>
        </w:rPr>
        <w:t xml:space="preserve"> das receitas, renúncias, anistias, remissões, subsídios, isenções e benefícios de qualquer natureza, de forma mais aproximada possível, nos moldes do artigo 110, §</w:t>
      </w:r>
      <w:r>
        <w:rPr>
          <w:rFonts w:ascii="Arial" w:hAnsi="Arial" w:cs="Arial"/>
          <w:sz w:val="22"/>
          <w:szCs w:val="22"/>
        </w:rPr>
        <w:t xml:space="preserve"> </w:t>
      </w:r>
      <w:r w:rsidR="00606FFE" w:rsidRPr="00606FFE">
        <w:rPr>
          <w:rFonts w:ascii="Arial" w:hAnsi="Arial" w:cs="Arial"/>
          <w:sz w:val="22"/>
          <w:szCs w:val="22"/>
        </w:rPr>
        <w:t xml:space="preserve">6º, da Constituição Estadual; </w:t>
      </w:r>
    </w:p>
    <w:p w14:paraId="362F1F80" w14:textId="44382F67" w:rsidR="00606FFE" w:rsidRDefault="00606FFE" w:rsidP="001A04C9">
      <w:pPr>
        <w:ind w:left="2268"/>
        <w:jc w:val="both"/>
        <w:rPr>
          <w:rFonts w:ascii="Arial" w:hAnsi="Arial" w:cs="Arial"/>
          <w:sz w:val="22"/>
          <w:szCs w:val="22"/>
        </w:rPr>
      </w:pPr>
      <w:r w:rsidRPr="00D80687">
        <w:rPr>
          <w:rFonts w:ascii="Arial" w:hAnsi="Arial" w:cs="Arial"/>
          <w:b/>
          <w:sz w:val="22"/>
          <w:szCs w:val="22"/>
        </w:rPr>
        <w:t>16)</w:t>
      </w:r>
      <w:r w:rsidR="006D727E" w:rsidRPr="00D80687">
        <w:rPr>
          <w:rFonts w:ascii="Arial" w:hAnsi="Arial" w:cs="Arial"/>
          <w:b/>
          <w:sz w:val="22"/>
          <w:szCs w:val="22"/>
        </w:rPr>
        <w:t xml:space="preserve"> </w:t>
      </w:r>
      <w:r w:rsidRPr="00D80687">
        <w:rPr>
          <w:rFonts w:ascii="Arial" w:hAnsi="Arial" w:cs="Arial"/>
          <w:b/>
          <w:sz w:val="22"/>
          <w:szCs w:val="22"/>
        </w:rPr>
        <w:t>Realizar estudos acerca dos melhores métodos de avaliação para as estimativas de renúncias de receitas</w:t>
      </w:r>
      <w:r w:rsidRPr="00606FFE">
        <w:rPr>
          <w:rFonts w:ascii="Arial" w:hAnsi="Arial" w:cs="Arial"/>
          <w:sz w:val="22"/>
          <w:szCs w:val="22"/>
        </w:rPr>
        <w:t>, avaliando os impactos econômicos so</w:t>
      </w:r>
      <w:r w:rsidR="00D80687">
        <w:rPr>
          <w:rFonts w:ascii="Arial" w:hAnsi="Arial" w:cs="Arial"/>
          <w:sz w:val="22"/>
          <w:szCs w:val="22"/>
        </w:rPr>
        <w:t>ciais; [grifou-se]</w:t>
      </w:r>
    </w:p>
    <w:p w14:paraId="6BC093F7" w14:textId="4126F968" w:rsidR="009F67D3" w:rsidRDefault="009F67D3" w:rsidP="009F67D3">
      <w:pPr>
        <w:ind w:left="1701" w:firstLine="284"/>
        <w:jc w:val="both"/>
        <w:rPr>
          <w:rFonts w:ascii="Arial" w:hAnsi="Arial" w:cs="Arial"/>
          <w:b/>
          <w:bCs/>
          <w:sz w:val="22"/>
          <w:szCs w:val="22"/>
        </w:rPr>
      </w:pPr>
    </w:p>
    <w:p w14:paraId="1CAB424F" w14:textId="07914269" w:rsidR="009F67D3" w:rsidRDefault="009F67D3" w:rsidP="009F67D3">
      <w:pPr>
        <w:spacing w:line="360" w:lineRule="auto"/>
        <w:ind w:firstLine="851"/>
        <w:jc w:val="both"/>
        <w:rPr>
          <w:rFonts w:ascii="Arial" w:hAnsi="Arial" w:cs="Arial"/>
          <w:sz w:val="24"/>
          <w:szCs w:val="24"/>
        </w:rPr>
      </w:pPr>
      <w:r>
        <w:rPr>
          <w:rFonts w:ascii="Arial" w:hAnsi="Arial" w:cs="Arial"/>
          <w:sz w:val="24"/>
          <w:szCs w:val="24"/>
        </w:rPr>
        <w:t xml:space="preserve">No parecer prévio relativo às </w:t>
      </w:r>
      <w:r w:rsidRPr="009F67D3">
        <w:rPr>
          <w:rFonts w:ascii="Arial" w:hAnsi="Arial" w:cs="Arial"/>
          <w:b/>
          <w:sz w:val="24"/>
          <w:szCs w:val="24"/>
        </w:rPr>
        <w:t>contas de</w:t>
      </w:r>
      <w:r w:rsidR="003D19AE">
        <w:rPr>
          <w:rFonts w:ascii="Arial" w:hAnsi="Arial" w:cs="Arial"/>
          <w:b/>
          <w:sz w:val="24"/>
          <w:szCs w:val="24"/>
        </w:rPr>
        <w:t xml:space="preserve"> governo de</w:t>
      </w:r>
      <w:r w:rsidRPr="009F67D3">
        <w:rPr>
          <w:rFonts w:ascii="Arial" w:hAnsi="Arial" w:cs="Arial"/>
          <w:b/>
          <w:sz w:val="24"/>
          <w:szCs w:val="24"/>
        </w:rPr>
        <w:t xml:space="preserve"> 201</w:t>
      </w:r>
      <w:r>
        <w:rPr>
          <w:rFonts w:ascii="Arial" w:hAnsi="Arial" w:cs="Arial"/>
          <w:b/>
          <w:sz w:val="24"/>
          <w:szCs w:val="24"/>
        </w:rPr>
        <w:t>7</w:t>
      </w:r>
      <w:r>
        <w:rPr>
          <w:rFonts w:ascii="Arial" w:hAnsi="Arial" w:cs="Arial"/>
          <w:sz w:val="24"/>
          <w:szCs w:val="24"/>
        </w:rPr>
        <w:t xml:space="preserve">, </w:t>
      </w:r>
      <w:r w:rsidR="005A685E">
        <w:rPr>
          <w:rFonts w:ascii="Arial" w:hAnsi="Arial" w:cs="Arial"/>
          <w:sz w:val="24"/>
          <w:szCs w:val="24"/>
        </w:rPr>
        <w:t xml:space="preserve">exarado em abril de 2018, </w:t>
      </w:r>
      <w:r>
        <w:rPr>
          <w:rFonts w:ascii="Arial" w:hAnsi="Arial" w:cs="Arial"/>
          <w:sz w:val="24"/>
          <w:szCs w:val="24"/>
        </w:rPr>
        <w:t>o TCE/GO avançou ainda mais, ao deixar de editar apenas recomendações para determinar, de forma expressa</w:t>
      </w:r>
      <w:r w:rsidR="008617AC">
        <w:rPr>
          <w:rFonts w:ascii="Arial" w:hAnsi="Arial" w:cs="Arial"/>
          <w:sz w:val="24"/>
          <w:szCs w:val="24"/>
        </w:rPr>
        <w:t xml:space="preserve"> e taxativa</w:t>
      </w:r>
      <w:r>
        <w:rPr>
          <w:rFonts w:ascii="Arial" w:hAnsi="Arial" w:cs="Arial"/>
          <w:sz w:val="24"/>
          <w:szCs w:val="24"/>
        </w:rPr>
        <w:t>, as seguintes medidas relativamente às renúncias de receitas:</w:t>
      </w:r>
    </w:p>
    <w:p w14:paraId="0F3AF016" w14:textId="77777777" w:rsidR="009F67D3" w:rsidRDefault="009F67D3" w:rsidP="009F67D3">
      <w:pPr>
        <w:ind w:left="1701" w:firstLine="284"/>
        <w:jc w:val="both"/>
        <w:rPr>
          <w:rFonts w:ascii="Arial" w:hAnsi="Arial" w:cs="Arial"/>
          <w:b/>
          <w:bCs/>
          <w:sz w:val="22"/>
          <w:szCs w:val="22"/>
        </w:rPr>
      </w:pPr>
    </w:p>
    <w:p w14:paraId="6D594E25" w14:textId="33916446" w:rsidR="009F67D3" w:rsidRPr="009F67D3" w:rsidRDefault="009F67D3" w:rsidP="001A04C9">
      <w:pPr>
        <w:ind w:left="2268"/>
        <w:jc w:val="both"/>
        <w:rPr>
          <w:rFonts w:ascii="Arial" w:hAnsi="Arial" w:cs="Arial"/>
          <w:sz w:val="22"/>
          <w:szCs w:val="22"/>
        </w:rPr>
      </w:pPr>
      <w:r w:rsidRPr="009F67D3">
        <w:rPr>
          <w:rFonts w:ascii="Arial" w:hAnsi="Arial" w:cs="Arial"/>
          <w:b/>
          <w:bCs/>
          <w:sz w:val="22"/>
          <w:szCs w:val="22"/>
        </w:rPr>
        <w:t xml:space="preserve">7. Análise da renúncia fiscal no âmbito dos programas Fomentar e Produzir: </w:t>
      </w:r>
    </w:p>
    <w:p w14:paraId="1617E17F" w14:textId="77777777" w:rsidR="009F67D3" w:rsidRPr="009F67D3" w:rsidRDefault="009F67D3" w:rsidP="001A04C9">
      <w:pPr>
        <w:ind w:left="2268"/>
        <w:jc w:val="both"/>
        <w:rPr>
          <w:rFonts w:ascii="Arial" w:hAnsi="Arial" w:cs="Arial"/>
          <w:sz w:val="22"/>
          <w:szCs w:val="22"/>
        </w:rPr>
      </w:pPr>
      <w:r w:rsidRPr="009F67D3">
        <w:rPr>
          <w:rFonts w:ascii="Arial" w:hAnsi="Arial" w:cs="Arial"/>
          <w:sz w:val="22"/>
          <w:szCs w:val="22"/>
        </w:rPr>
        <w:t xml:space="preserve">7.1. Elaborar estudos propondo a revisão da legislação dos programas Produzir e Fomentar, a fim de compatibilizá-los ao disposto na Lei Complementar nº 160/2017 e no Convênio ICMS 190/17. </w:t>
      </w:r>
    </w:p>
    <w:p w14:paraId="5AD59A31" w14:textId="77777777" w:rsidR="009F67D3" w:rsidRDefault="009F67D3" w:rsidP="001A04C9">
      <w:pPr>
        <w:ind w:left="2268"/>
        <w:jc w:val="both"/>
        <w:rPr>
          <w:rFonts w:ascii="Arial" w:hAnsi="Arial" w:cs="Arial"/>
          <w:b/>
          <w:bCs/>
          <w:sz w:val="22"/>
          <w:szCs w:val="22"/>
        </w:rPr>
      </w:pPr>
    </w:p>
    <w:p w14:paraId="2D3288F3" w14:textId="3E97A65A" w:rsidR="009F67D3" w:rsidRPr="009F67D3" w:rsidRDefault="009F67D3" w:rsidP="001A04C9">
      <w:pPr>
        <w:ind w:left="2268"/>
        <w:jc w:val="both"/>
        <w:rPr>
          <w:rFonts w:ascii="Arial" w:hAnsi="Arial" w:cs="Arial"/>
          <w:sz w:val="22"/>
          <w:szCs w:val="22"/>
        </w:rPr>
      </w:pPr>
      <w:r w:rsidRPr="009F67D3">
        <w:rPr>
          <w:rFonts w:ascii="Arial" w:hAnsi="Arial" w:cs="Arial"/>
          <w:b/>
          <w:bCs/>
          <w:sz w:val="22"/>
          <w:szCs w:val="22"/>
        </w:rPr>
        <w:t xml:space="preserve">8. Controle do Tribunal de Contas sobre aspectos fiscais das renúncias de receita: </w:t>
      </w:r>
    </w:p>
    <w:p w14:paraId="06BC9485" w14:textId="77777777" w:rsidR="009F67D3" w:rsidRPr="009F67D3" w:rsidRDefault="009F67D3" w:rsidP="001A04C9">
      <w:pPr>
        <w:ind w:left="2268"/>
        <w:jc w:val="both"/>
        <w:rPr>
          <w:rFonts w:ascii="Arial" w:hAnsi="Arial" w:cs="Arial"/>
          <w:sz w:val="22"/>
          <w:szCs w:val="22"/>
        </w:rPr>
      </w:pPr>
      <w:r w:rsidRPr="009F67D3">
        <w:rPr>
          <w:rFonts w:ascii="Arial" w:hAnsi="Arial" w:cs="Arial"/>
          <w:sz w:val="22"/>
          <w:szCs w:val="22"/>
        </w:rPr>
        <w:t xml:space="preserve">8.1. Incluir os valores renunciados relativos ao Fomentar e Produzir quando da elaboração da estimativa e compensação da renúncia de receita para a Lei de Diretrizes Orçamentária - LDO, em atendimento ao art. 4º, parágrafo 2º, inciso V da Lei de Responsabilidade Fiscal - LRF; </w:t>
      </w:r>
    </w:p>
    <w:p w14:paraId="252E4E99" w14:textId="77777777" w:rsidR="009F67D3" w:rsidRPr="009F67D3" w:rsidRDefault="009F67D3" w:rsidP="001A04C9">
      <w:pPr>
        <w:ind w:left="2268"/>
        <w:jc w:val="both"/>
        <w:rPr>
          <w:rFonts w:ascii="Arial" w:hAnsi="Arial" w:cs="Arial"/>
          <w:sz w:val="22"/>
          <w:szCs w:val="22"/>
        </w:rPr>
      </w:pPr>
      <w:r w:rsidRPr="009F67D3">
        <w:rPr>
          <w:rFonts w:ascii="Arial" w:hAnsi="Arial" w:cs="Arial"/>
          <w:sz w:val="22"/>
          <w:szCs w:val="22"/>
        </w:rPr>
        <w:t>8.2. Elaborar demonstrativo regionalizado do efeito, sobre as receitas e despesas, decorrentes de isenções, anistias, remissões, subsídios e benefícios de natureza</w:t>
      </w:r>
      <w:r>
        <w:rPr>
          <w:rFonts w:ascii="Arial" w:hAnsi="Arial" w:cs="Arial"/>
          <w:sz w:val="22"/>
          <w:szCs w:val="22"/>
        </w:rPr>
        <w:t xml:space="preserve"> </w:t>
      </w:r>
      <w:r w:rsidRPr="009F67D3">
        <w:rPr>
          <w:rFonts w:ascii="Arial" w:hAnsi="Arial" w:cs="Arial"/>
          <w:sz w:val="22"/>
          <w:szCs w:val="22"/>
        </w:rPr>
        <w:t xml:space="preserve">financeira, tributária e creditícia, em atendimento ao estabelecido no art. 110, parágrafo 6º da Constituição Estadual, devendo o mesmo acompanhar o projeto de lei orçamentária, contendo indicativos sobre as medidas de compensação das renúncias de receitas ou estudos e dados que suficientemente corroborem a dispensa desta informação. </w:t>
      </w:r>
    </w:p>
    <w:p w14:paraId="39926142" w14:textId="77777777" w:rsidR="009F67D3" w:rsidRDefault="009F67D3" w:rsidP="001A04C9">
      <w:pPr>
        <w:ind w:left="2268"/>
        <w:jc w:val="both"/>
        <w:rPr>
          <w:rFonts w:ascii="Arial" w:hAnsi="Arial" w:cs="Arial"/>
          <w:b/>
          <w:bCs/>
          <w:sz w:val="22"/>
          <w:szCs w:val="22"/>
        </w:rPr>
      </w:pPr>
    </w:p>
    <w:p w14:paraId="7C8A0A16" w14:textId="48106F80" w:rsidR="009F67D3" w:rsidRPr="009F67D3" w:rsidRDefault="009F67D3" w:rsidP="001A04C9">
      <w:pPr>
        <w:ind w:left="2268"/>
        <w:jc w:val="both"/>
        <w:rPr>
          <w:rFonts w:ascii="Arial" w:hAnsi="Arial" w:cs="Arial"/>
          <w:sz w:val="22"/>
          <w:szCs w:val="22"/>
        </w:rPr>
      </w:pPr>
      <w:r w:rsidRPr="009F67D3">
        <w:rPr>
          <w:rFonts w:ascii="Arial" w:hAnsi="Arial" w:cs="Arial"/>
          <w:b/>
          <w:bCs/>
          <w:sz w:val="22"/>
          <w:szCs w:val="22"/>
        </w:rPr>
        <w:t xml:space="preserve">9. Processo de Fiscalização - Acompanhamento sobre as Renúncias de Receita no âmbito estadual: </w:t>
      </w:r>
    </w:p>
    <w:p w14:paraId="1FCB9FB4" w14:textId="4C47E732" w:rsidR="009F67D3" w:rsidRDefault="009F67D3" w:rsidP="001A04C9">
      <w:pPr>
        <w:ind w:left="2268"/>
        <w:jc w:val="both"/>
        <w:rPr>
          <w:rFonts w:ascii="Arial" w:hAnsi="Arial" w:cs="Arial"/>
          <w:sz w:val="22"/>
          <w:szCs w:val="22"/>
        </w:rPr>
      </w:pPr>
      <w:r w:rsidRPr="009F67D3">
        <w:rPr>
          <w:rFonts w:ascii="Arial" w:hAnsi="Arial" w:cs="Arial"/>
          <w:sz w:val="22"/>
          <w:szCs w:val="22"/>
        </w:rPr>
        <w:t>9.1. Realizar estudos para avaliar a correção da metodologia utilizada para elaboração da estimativa da renúncia de receita, utilizando-se das melhores técnicas aplicáveis, e caso se confirme o valor, pondere acerca da eficácia e efetividade da política de renúncia de receitas adotada no Estado de Goiás, avaliando os impactos econômicos sociais, tendo em vista a discrepância entre os valores aqui praticados em comparação com diversos Estados da Federação.</w:t>
      </w:r>
    </w:p>
    <w:p w14:paraId="69E4482F" w14:textId="30F4E5FE" w:rsidR="00ED3A74" w:rsidRDefault="00ED3A74" w:rsidP="00ED3A74">
      <w:pPr>
        <w:spacing w:line="360" w:lineRule="auto"/>
        <w:ind w:firstLine="851"/>
        <w:jc w:val="both"/>
        <w:rPr>
          <w:rFonts w:ascii="Arial" w:hAnsi="Arial" w:cs="Arial"/>
          <w:sz w:val="24"/>
          <w:szCs w:val="24"/>
        </w:rPr>
      </w:pPr>
    </w:p>
    <w:p w14:paraId="7F4AC84D" w14:textId="26EABD49" w:rsidR="0023788C" w:rsidRDefault="000E094B" w:rsidP="00713208">
      <w:pPr>
        <w:spacing w:line="360" w:lineRule="auto"/>
        <w:ind w:firstLine="851"/>
        <w:jc w:val="both"/>
        <w:rPr>
          <w:rFonts w:ascii="Arial" w:hAnsi="Arial" w:cs="Arial"/>
          <w:sz w:val="24"/>
          <w:szCs w:val="24"/>
        </w:rPr>
      </w:pPr>
      <w:r w:rsidRPr="000E094B">
        <w:rPr>
          <w:rFonts w:ascii="Arial" w:hAnsi="Arial" w:cs="Arial"/>
          <w:sz w:val="24"/>
          <w:szCs w:val="24"/>
        </w:rPr>
        <w:lastRenderedPageBreak/>
        <w:t xml:space="preserve">Por fim, </w:t>
      </w:r>
      <w:r w:rsidR="006144B0">
        <w:rPr>
          <w:rFonts w:ascii="Arial" w:hAnsi="Arial" w:cs="Arial"/>
          <w:sz w:val="24"/>
          <w:szCs w:val="24"/>
        </w:rPr>
        <w:t>o parecer prévio referente às</w:t>
      </w:r>
      <w:r w:rsidRPr="000E094B">
        <w:rPr>
          <w:rFonts w:ascii="Arial" w:hAnsi="Arial" w:cs="Arial"/>
          <w:sz w:val="24"/>
          <w:szCs w:val="24"/>
        </w:rPr>
        <w:t xml:space="preserve"> </w:t>
      </w:r>
      <w:r w:rsidRPr="00CC5FFC">
        <w:rPr>
          <w:rFonts w:ascii="Arial" w:hAnsi="Arial" w:cs="Arial"/>
          <w:b/>
          <w:sz w:val="24"/>
          <w:szCs w:val="24"/>
        </w:rPr>
        <w:t>contas de</w:t>
      </w:r>
      <w:r w:rsidR="00CC5FFC" w:rsidRPr="00CC5FFC">
        <w:rPr>
          <w:rFonts w:ascii="Arial" w:hAnsi="Arial" w:cs="Arial"/>
          <w:b/>
          <w:sz w:val="24"/>
          <w:szCs w:val="24"/>
        </w:rPr>
        <w:t xml:space="preserve"> governo de</w:t>
      </w:r>
      <w:r w:rsidRPr="00CC5FFC">
        <w:rPr>
          <w:rFonts w:ascii="Arial" w:hAnsi="Arial" w:cs="Arial"/>
          <w:b/>
          <w:sz w:val="24"/>
          <w:szCs w:val="24"/>
        </w:rPr>
        <w:t xml:space="preserve"> 2018</w:t>
      </w:r>
      <w:r w:rsidRPr="000E094B">
        <w:rPr>
          <w:rFonts w:ascii="Arial" w:hAnsi="Arial" w:cs="Arial"/>
          <w:sz w:val="24"/>
          <w:szCs w:val="24"/>
        </w:rPr>
        <w:t xml:space="preserve">, </w:t>
      </w:r>
      <w:r w:rsidR="00835C1D">
        <w:rPr>
          <w:rFonts w:ascii="Arial" w:hAnsi="Arial" w:cs="Arial"/>
          <w:sz w:val="24"/>
          <w:szCs w:val="24"/>
        </w:rPr>
        <w:t xml:space="preserve">exarado em junho de 2019, </w:t>
      </w:r>
      <w:r w:rsidRPr="000E094B">
        <w:rPr>
          <w:rFonts w:ascii="Arial" w:hAnsi="Arial" w:cs="Arial"/>
          <w:sz w:val="24"/>
          <w:szCs w:val="24"/>
        </w:rPr>
        <w:t xml:space="preserve">o </w:t>
      </w:r>
      <w:r w:rsidR="0023788C" w:rsidRPr="000E094B">
        <w:rPr>
          <w:rFonts w:ascii="Arial" w:hAnsi="Arial" w:cs="Arial"/>
          <w:sz w:val="24"/>
          <w:szCs w:val="24"/>
        </w:rPr>
        <w:t xml:space="preserve">TCE/GO </w:t>
      </w:r>
      <w:r w:rsidR="00B4017F">
        <w:rPr>
          <w:rFonts w:ascii="Arial" w:hAnsi="Arial" w:cs="Arial"/>
          <w:sz w:val="24"/>
          <w:szCs w:val="24"/>
        </w:rPr>
        <w:t>consignou o não atendimento integral das determinações exaradas nas contas de 2017 e as reiterou, nos seguintes termos</w:t>
      </w:r>
      <w:r w:rsidR="0023788C">
        <w:rPr>
          <w:rFonts w:ascii="Arial" w:hAnsi="Arial" w:cs="Arial"/>
          <w:sz w:val="24"/>
          <w:szCs w:val="24"/>
        </w:rPr>
        <w:t>:</w:t>
      </w:r>
    </w:p>
    <w:p w14:paraId="07502B01" w14:textId="0609930A" w:rsidR="0023788C" w:rsidRDefault="0023788C" w:rsidP="00713208">
      <w:pPr>
        <w:spacing w:line="360" w:lineRule="auto"/>
        <w:ind w:firstLine="851"/>
        <w:jc w:val="both"/>
        <w:rPr>
          <w:rFonts w:ascii="Arial" w:hAnsi="Arial" w:cs="Arial"/>
          <w:sz w:val="24"/>
          <w:szCs w:val="24"/>
        </w:rPr>
      </w:pPr>
    </w:p>
    <w:p w14:paraId="60AB9E61" w14:textId="4555E9D9" w:rsidR="005508AC" w:rsidRPr="005508AC" w:rsidRDefault="002B240D" w:rsidP="001A04C9">
      <w:pPr>
        <w:ind w:left="2268"/>
        <w:jc w:val="both"/>
        <w:rPr>
          <w:rFonts w:ascii="Arial" w:hAnsi="Arial" w:cs="Arial"/>
          <w:sz w:val="22"/>
          <w:szCs w:val="22"/>
        </w:rPr>
      </w:pPr>
      <w:r>
        <w:rPr>
          <w:rFonts w:ascii="Arial" w:hAnsi="Arial" w:cs="Arial"/>
          <w:sz w:val="22"/>
          <w:szCs w:val="22"/>
        </w:rPr>
        <w:t xml:space="preserve">17) </w:t>
      </w:r>
      <w:r w:rsidR="005508AC" w:rsidRPr="005508AC">
        <w:rPr>
          <w:rFonts w:ascii="Arial" w:hAnsi="Arial" w:cs="Arial"/>
          <w:sz w:val="22"/>
          <w:szCs w:val="22"/>
        </w:rPr>
        <w:t xml:space="preserve">Em razão do não atendimento de determinação anterior, </w:t>
      </w:r>
      <w:r w:rsidR="005508AC" w:rsidRPr="00B4017F">
        <w:rPr>
          <w:rFonts w:ascii="Arial" w:hAnsi="Arial" w:cs="Arial"/>
          <w:b/>
          <w:sz w:val="22"/>
          <w:szCs w:val="22"/>
        </w:rPr>
        <w:t>elaborar estudos propondo a revisão da legislação dos programas Produzir e Fomentar</w:t>
      </w:r>
      <w:r w:rsidR="005508AC" w:rsidRPr="005508AC">
        <w:rPr>
          <w:rFonts w:ascii="Arial" w:hAnsi="Arial" w:cs="Arial"/>
          <w:sz w:val="22"/>
          <w:szCs w:val="22"/>
        </w:rPr>
        <w:t xml:space="preserve">, a fim de compatibilizá-los ao disposto na LC federal n. 160/2017 e no Convênio ICMS 190/17; </w:t>
      </w:r>
    </w:p>
    <w:p w14:paraId="32E7EB2C" w14:textId="612C6E1A" w:rsidR="005508AC" w:rsidRPr="005508AC" w:rsidRDefault="005508AC" w:rsidP="001A04C9">
      <w:pPr>
        <w:ind w:left="2268"/>
        <w:jc w:val="both"/>
        <w:rPr>
          <w:rFonts w:ascii="Arial" w:hAnsi="Arial" w:cs="Arial"/>
          <w:sz w:val="22"/>
          <w:szCs w:val="22"/>
        </w:rPr>
      </w:pPr>
      <w:r w:rsidRPr="005508AC">
        <w:rPr>
          <w:rFonts w:ascii="Arial" w:hAnsi="Arial" w:cs="Arial"/>
          <w:sz w:val="22"/>
          <w:szCs w:val="22"/>
        </w:rPr>
        <w:t>18)</w:t>
      </w:r>
      <w:r w:rsidR="002B240D">
        <w:rPr>
          <w:rFonts w:ascii="Arial" w:hAnsi="Arial" w:cs="Arial"/>
          <w:sz w:val="22"/>
          <w:szCs w:val="22"/>
        </w:rPr>
        <w:t xml:space="preserve"> </w:t>
      </w:r>
      <w:r w:rsidRPr="005508AC">
        <w:rPr>
          <w:rFonts w:ascii="Arial" w:hAnsi="Arial" w:cs="Arial"/>
          <w:sz w:val="22"/>
          <w:szCs w:val="22"/>
        </w:rPr>
        <w:t xml:space="preserve">Em razão do atendimento parcial de determinação anterior, </w:t>
      </w:r>
      <w:r w:rsidRPr="00B4017F">
        <w:rPr>
          <w:rFonts w:ascii="Arial" w:hAnsi="Arial" w:cs="Arial"/>
          <w:b/>
          <w:sz w:val="22"/>
          <w:szCs w:val="22"/>
        </w:rPr>
        <w:t>elaborar demonstrativo regionalizado do efeito, sobre as receitas e despesas</w:t>
      </w:r>
      <w:r w:rsidRPr="005508AC">
        <w:rPr>
          <w:rFonts w:ascii="Arial" w:hAnsi="Arial" w:cs="Arial"/>
          <w:sz w:val="22"/>
          <w:szCs w:val="22"/>
        </w:rPr>
        <w:t xml:space="preserve">, decorrentes de isenções, anistias, remissões, subsídios e benefícios de natureza; </w:t>
      </w:r>
    </w:p>
    <w:p w14:paraId="0635BB19" w14:textId="0977E9E8" w:rsidR="005508AC" w:rsidRPr="005508AC" w:rsidRDefault="002B240D" w:rsidP="001A04C9">
      <w:pPr>
        <w:ind w:left="2268"/>
        <w:jc w:val="both"/>
        <w:rPr>
          <w:rFonts w:ascii="Arial" w:hAnsi="Arial" w:cs="Arial"/>
          <w:sz w:val="22"/>
          <w:szCs w:val="22"/>
        </w:rPr>
      </w:pPr>
      <w:r>
        <w:rPr>
          <w:rFonts w:ascii="Arial" w:hAnsi="Arial" w:cs="Arial"/>
          <w:sz w:val="22"/>
          <w:szCs w:val="22"/>
        </w:rPr>
        <w:t xml:space="preserve">19) </w:t>
      </w:r>
      <w:r w:rsidR="005508AC" w:rsidRPr="005508AC">
        <w:rPr>
          <w:rFonts w:ascii="Arial" w:hAnsi="Arial" w:cs="Arial"/>
          <w:sz w:val="22"/>
          <w:szCs w:val="22"/>
        </w:rPr>
        <w:t xml:space="preserve">Em razão do não atendimento de determinação anterior, </w:t>
      </w:r>
      <w:r w:rsidR="005508AC" w:rsidRPr="00B4017F">
        <w:rPr>
          <w:rFonts w:ascii="Arial" w:hAnsi="Arial" w:cs="Arial"/>
          <w:b/>
          <w:sz w:val="22"/>
          <w:szCs w:val="22"/>
        </w:rPr>
        <w:t>realizar estudos para corrigir a metodologia utilizada para elaboração da estimativa da renúncia de receita</w:t>
      </w:r>
      <w:r w:rsidR="005508AC" w:rsidRPr="005508AC">
        <w:rPr>
          <w:rFonts w:ascii="Arial" w:hAnsi="Arial" w:cs="Arial"/>
          <w:sz w:val="22"/>
          <w:szCs w:val="22"/>
        </w:rPr>
        <w:t xml:space="preserve">, ponderando acerca da eficácia e efetividade da política de renúncia de receitas adotada no Estado de Goiás e avaliando os impactos econômicos e sociais; </w:t>
      </w:r>
    </w:p>
    <w:p w14:paraId="385AA799" w14:textId="4337E07E" w:rsidR="0023788C" w:rsidRDefault="0023788C" w:rsidP="00713208">
      <w:pPr>
        <w:spacing w:line="360" w:lineRule="auto"/>
        <w:ind w:firstLine="851"/>
        <w:jc w:val="both"/>
        <w:rPr>
          <w:rFonts w:ascii="Arial" w:hAnsi="Arial" w:cs="Arial"/>
          <w:sz w:val="24"/>
          <w:szCs w:val="24"/>
        </w:rPr>
      </w:pPr>
    </w:p>
    <w:p w14:paraId="51AC21C1" w14:textId="4C16F378" w:rsidR="00326A43" w:rsidRDefault="00326A43" w:rsidP="00713208">
      <w:pPr>
        <w:spacing w:line="360" w:lineRule="auto"/>
        <w:ind w:firstLine="851"/>
        <w:jc w:val="both"/>
        <w:rPr>
          <w:rFonts w:ascii="Arial" w:hAnsi="Arial" w:cs="Arial"/>
          <w:sz w:val="24"/>
          <w:szCs w:val="24"/>
        </w:rPr>
      </w:pPr>
      <w:r>
        <w:rPr>
          <w:rFonts w:ascii="Arial" w:hAnsi="Arial" w:cs="Arial"/>
          <w:sz w:val="24"/>
          <w:szCs w:val="24"/>
        </w:rPr>
        <w:t xml:space="preserve">Paralelamente às análises das contas de governo, </w:t>
      </w:r>
      <w:r w:rsidRPr="00FD7065">
        <w:rPr>
          <w:rFonts w:ascii="Arial" w:hAnsi="Arial" w:cs="Arial"/>
          <w:b/>
          <w:sz w:val="24"/>
          <w:szCs w:val="24"/>
        </w:rPr>
        <w:t>o TCE/GO ainda instaurou o processo de fiscalização nº 201700047002218</w:t>
      </w:r>
      <w:r>
        <w:rPr>
          <w:rFonts w:ascii="Arial" w:hAnsi="Arial" w:cs="Arial"/>
          <w:sz w:val="24"/>
          <w:szCs w:val="24"/>
        </w:rPr>
        <w:t xml:space="preserve">, </w:t>
      </w:r>
      <w:r w:rsidR="00FD7065">
        <w:rPr>
          <w:rFonts w:ascii="Arial" w:hAnsi="Arial" w:cs="Arial"/>
          <w:sz w:val="24"/>
          <w:szCs w:val="24"/>
        </w:rPr>
        <w:t>decorrente d</w:t>
      </w:r>
      <w:r>
        <w:rPr>
          <w:rFonts w:ascii="Arial" w:hAnsi="Arial" w:cs="Arial"/>
          <w:sz w:val="24"/>
          <w:szCs w:val="24"/>
        </w:rPr>
        <w:t>a constatação</w:t>
      </w:r>
      <w:r w:rsidR="00FD7065">
        <w:rPr>
          <w:rFonts w:ascii="Arial" w:hAnsi="Arial" w:cs="Arial"/>
          <w:sz w:val="24"/>
          <w:szCs w:val="24"/>
        </w:rPr>
        <w:t>, a partir da análise das contas de governo de 2016,</w:t>
      </w:r>
      <w:r>
        <w:rPr>
          <w:rFonts w:ascii="Arial" w:hAnsi="Arial" w:cs="Arial"/>
          <w:sz w:val="24"/>
          <w:szCs w:val="24"/>
        </w:rPr>
        <w:t xml:space="preserve"> de que o percentual de renúncia de receitas no Estado</w:t>
      </w:r>
      <w:r w:rsidR="00FD7065">
        <w:rPr>
          <w:rFonts w:ascii="Arial" w:hAnsi="Arial" w:cs="Arial"/>
          <w:sz w:val="24"/>
          <w:szCs w:val="24"/>
        </w:rPr>
        <w:t xml:space="preserve"> de Goiás</w:t>
      </w:r>
      <w:r>
        <w:rPr>
          <w:rFonts w:ascii="Arial" w:hAnsi="Arial" w:cs="Arial"/>
          <w:sz w:val="24"/>
          <w:szCs w:val="24"/>
        </w:rPr>
        <w:t xml:space="preserve"> super</w:t>
      </w:r>
      <w:r w:rsidR="00FD7065">
        <w:rPr>
          <w:rFonts w:ascii="Arial" w:hAnsi="Arial" w:cs="Arial"/>
          <w:sz w:val="24"/>
          <w:szCs w:val="24"/>
        </w:rPr>
        <w:t>a</w:t>
      </w:r>
      <w:r>
        <w:rPr>
          <w:rFonts w:ascii="Arial" w:hAnsi="Arial" w:cs="Arial"/>
          <w:sz w:val="24"/>
          <w:szCs w:val="24"/>
        </w:rPr>
        <w:t xml:space="preserve"> muito a média nacional.</w:t>
      </w:r>
    </w:p>
    <w:p w14:paraId="398C8A20" w14:textId="5BB414FA" w:rsidR="00DF5D67" w:rsidRDefault="00D40DB6" w:rsidP="00DF5D67">
      <w:pPr>
        <w:spacing w:line="360" w:lineRule="auto"/>
        <w:ind w:firstLine="851"/>
        <w:jc w:val="both"/>
        <w:rPr>
          <w:rFonts w:ascii="Arial" w:hAnsi="Arial" w:cs="Arial"/>
          <w:sz w:val="24"/>
          <w:szCs w:val="24"/>
        </w:rPr>
      </w:pPr>
      <w:r>
        <w:rPr>
          <w:rFonts w:ascii="Arial" w:hAnsi="Arial" w:cs="Arial"/>
          <w:sz w:val="24"/>
          <w:szCs w:val="24"/>
        </w:rPr>
        <w:t xml:space="preserve">Por força do </w:t>
      </w:r>
      <w:r w:rsidRPr="00D40DB6">
        <w:rPr>
          <w:rFonts w:ascii="Arial" w:hAnsi="Arial" w:cs="Arial"/>
          <w:sz w:val="24"/>
          <w:szCs w:val="24"/>
          <w:u w:val="single"/>
        </w:rPr>
        <w:t>Despacho nº 1107/2017</w:t>
      </w:r>
      <w:r>
        <w:rPr>
          <w:rFonts w:ascii="Arial" w:hAnsi="Arial" w:cs="Arial"/>
          <w:sz w:val="24"/>
          <w:szCs w:val="24"/>
        </w:rPr>
        <w:t>, o relator, Conselheiro Sebastião Tejota, concedeu</w:t>
      </w:r>
      <w:r w:rsidRPr="00D40DB6">
        <w:rPr>
          <w:rFonts w:ascii="Arial" w:hAnsi="Arial" w:cs="Arial"/>
          <w:sz w:val="24"/>
          <w:szCs w:val="24"/>
        </w:rPr>
        <w:t xml:space="preserve"> medida cautelar</w:t>
      </w:r>
      <w:r>
        <w:rPr>
          <w:rFonts w:ascii="Arial" w:hAnsi="Arial" w:cs="Arial"/>
          <w:sz w:val="24"/>
          <w:szCs w:val="24"/>
        </w:rPr>
        <w:t>,</w:t>
      </w:r>
      <w:r w:rsidRPr="00D40DB6">
        <w:rPr>
          <w:rFonts w:ascii="Arial" w:hAnsi="Arial" w:cs="Arial"/>
          <w:sz w:val="24"/>
          <w:szCs w:val="24"/>
        </w:rPr>
        <w:t xml:space="preserve"> </w:t>
      </w:r>
      <w:r>
        <w:rPr>
          <w:rFonts w:ascii="Arial" w:hAnsi="Arial" w:cs="Arial"/>
          <w:i/>
          <w:iCs/>
          <w:sz w:val="24"/>
          <w:szCs w:val="24"/>
        </w:rPr>
        <w:t>inaudita altera pars</w:t>
      </w:r>
      <w:r w:rsidRPr="00D40DB6">
        <w:rPr>
          <w:rFonts w:ascii="Arial" w:hAnsi="Arial" w:cs="Arial"/>
          <w:iCs/>
          <w:sz w:val="24"/>
          <w:szCs w:val="24"/>
        </w:rPr>
        <w:t>,</w:t>
      </w:r>
      <w:r>
        <w:rPr>
          <w:rFonts w:ascii="Arial" w:hAnsi="Arial" w:cs="Arial"/>
          <w:sz w:val="24"/>
          <w:szCs w:val="24"/>
        </w:rPr>
        <w:t xml:space="preserve"> para determinar </w:t>
      </w:r>
      <w:r w:rsidR="00DF5D67">
        <w:rPr>
          <w:rFonts w:ascii="Arial" w:hAnsi="Arial" w:cs="Arial"/>
          <w:sz w:val="24"/>
          <w:szCs w:val="24"/>
        </w:rPr>
        <w:t>à Secretaria de Estado da Fazenda –</w:t>
      </w:r>
      <w:r w:rsidR="00DF5D67" w:rsidRPr="00DF5D67">
        <w:rPr>
          <w:rFonts w:ascii="Arial" w:hAnsi="Arial" w:cs="Arial"/>
          <w:sz w:val="24"/>
          <w:szCs w:val="24"/>
        </w:rPr>
        <w:t xml:space="preserve"> com fundamento nos arts. 1º, § 1°, 11, 12 e 14 da LRF e 1º, XIX, da Lei nº 16.168/</w:t>
      </w:r>
      <w:r w:rsidR="00DF5D67">
        <w:rPr>
          <w:rFonts w:ascii="Arial" w:hAnsi="Arial" w:cs="Arial"/>
          <w:sz w:val="24"/>
          <w:szCs w:val="24"/>
        </w:rPr>
        <w:t xml:space="preserve">2007 – que adotasse </w:t>
      </w:r>
      <w:r w:rsidR="00DF5D67" w:rsidRPr="00DF5D67">
        <w:rPr>
          <w:rFonts w:ascii="Arial" w:hAnsi="Arial" w:cs="Arial"/>
          <w:sz w:val="24"/>
          <w:szCs w:val="24"/>
        </w:rPr>
        <w:t>as</w:t>
      </w:r>
      <w:r w:rsidR="00DF5D67">
        <w:rPr>
          <w:rFonts w:ascii="Arial" w:hAnsi="Arial" w:cs="Arial"/>
          <w:sz w:val="24"/>
          <w:szCs w:val="24"/>
        </w:rPr>
        <w:t xml:space="preserve"> seguintes</w:t>
      </w:r>
      <w:r w:rsidR="00DF5D67" w:rsidRPr="00DF5D67">
        <w:rPr>
          <w:rFonts w:ascii="Arial" w:hAnsi="Arial" w:cs="Arial"/>
          <w:sz w:val="24"/>
          <w:szCs w:val="24"/>
        </w:rPr>
        <w:t xml:space="preserve"> pr</w:t>
      </w:r>
      <w:r w:rsidR="00DF5D67">
        <w:rPr>
          <w:rFonts w:ascii="Arial" w:hAnsi="Arial" w:cs="Arial"/>
          <w:sz w:val="24"/>
          <w:szCs w:val="24"/>
        </w:rPr>
        <w:t>ovidências iniciais</w:t>
      </w:r>
      <w:r w:rsidR="00DF5D67" w:rsidRPr="00DF5D67">
        <w:rPr>
          <w:rFonts w:ascii="Arial" w:hAnsi="Arial" w:cs="Arial"/>
          <w:sz w:val="24"/>
          <w:szCs w:val="24"/>
        </w:rPr>
        <w:t>:</w:t>
      </w:r>
    </w:p>
    <w:p w14:paraId="2695A080" w14:textId="77777777" w:rsidR="003C42E2" w:rsidRPr="00DF5D67" w:rsidRDefault="003C42E2" w:rsidP="00DF5D67">
      <w:pPr>
        <w:spacing w:line="360" w:lineRule="auto"/>
        <w:ind w:firstLine="851"/>
        <w:jc w:val="both"/>
        <w:rPr>
          <w:rFonts w:ascii="Arial" w:hAnsi="Arial" w:cs="Arial"/>
          <w:sz w:val="24"/>
          <w:szCs w:val="24"/>
        </w:rPr>
      </w:pPr>
    </w:p>
    <w:p w14:paraId="5F9BBCAC" w14:textId="0311C190" w:rsidR="00DF5D67" w:rsidRPr="00DF5D67" w:rsidRDefault="00DF5D67" w:rsidP="00DF5D67">
      <w:pPr>
        <w:spacing w:line="360" w:lineRule="auto"/>
        <w:ind w:firstLine="851"/>
        <w:jc w:val="both"/>
        <w:rPr>
          <w:rFonts w:ascii="Arial" w:hAnsi="Arial" w:cs="Arial"/>
          <w:sz w:val="24"/>
          <w:szCs w:val="24"/>
        </w:rPr>
      </w:pPr>
      <w:r w:rsidRPr="00DF5D67">
        <w:rPr>
          <w:rFonts w:ascii="Arial" w:hAnsi="Arial" w:cs="Arial"/>
          <w:sz w:val="24"/>
          <w:szCs w:val="24"/>
        </w:rPr>
        <w:t xml:space="preserve">a) </w:t>
      </w:r>
      <w:r>
        <w:rPr>
          <w:rFonts w:ascii="Arial" w:hAnsi="Arial" w:cs="Arial"/>
          <w:sz w:val="24"/>
          <w:szCs w:val="24"/>
        </w:rPr>
        <w:t>r</w:t>
      </w:r>
      <w:r w:rsidRPr="00DF5D67">
        <w:rPr>
          <w:rFonts w:ascii="Arial" w:hAnsi="Arial" w:cs="Arial"/>
          <w:sz w:val="24"/>
          <w:szCs w:val="24"/>
        </w:rPr>
        <w:t xml:space="preserve">evisar a política de Renúncia de Receitas adotada no Estado de Goiás, avaliando os impactos econômicos e sociais, tendo em vista a discrepância entre os valores aqui praticados em comparação com diversos Estados da Federação; </w:t>
      </w:r>
    </w:p>
    <w:p w14:paraId="74A20486" w14:textId="4FBC077D" w:rsidR="00DF5D67" w:rsidRPr="00DF5D67" w:rsidRDefault="00DF5D67" w:rsidP="00DF5D67">
      <w:pPr>
        <w:spacing w:line="360" w:lineRule="auto"/>
        <w:ind w:firstLine="851"/>
        <w:jc w:val="both"/>
        <w:rPr>
          <w:rFonts w:ascii="Arial" w:hAnsi="Arial" w:cs="Arial"/>
          <w:sz w:val="24"/>
          <w:szCs w:val="24"/>
        </w:rPr>
      </w:pPr>
      <w:r w:rsidRPr="00DF5D67">
        <w:rPr>
          <w:rFonts w:ascii="Arial" w:hAnsi="Arial" w:cs="Arial"/>
          <w:sz w:val="24"/>
          <w:szCs w:val="24"/>
        </w:rPr>
        <w:t xml:space="preserve">b) </w:t>
      </w:r>
      <w:r>
        <w:rPr>
          <w:rFonts w:ascii="Arial" w:hAnsi="Arial" w:cs="Arial"/>
          <w:sz w:val="24"/>
          <w:szCs w:val="24"/>
        </w:rPr>
        <w:t>r</w:t>
      </w:r>
      <w:r w:rsidRPr="00DF5D67">
        <w:rPr>
          <w:rFonts w:ascii="Arial" w:hAnsi="Arial" w:cs="Arial"/>
          <w:sz w:val="24"/>
          <w:szCs w:val="24"/>
        </w:rPr>
        <w:t xml:space="preserve">eduzir a Renúncia de Receita tributária total em, no mínimo, 12,5% (doze inteiros e cinco décimos por cento), especialmente em cadeias produtivas que tenham menor risco econômico ao Estado, de modo que atenda a eficiência na arrecadação e manutenção dos empregos, sem que isso implique, na medida do possível, aumento de alíquotas de produtos; </w:t>
      </w:r>
    </w:p>
    <w:p w14:paraId="0694740E" w14:textId="64FD91D1" w:rsidR="00DF5D67" w:rsidRPr="00DF5D67" w:rsidRDefault="00DF5D67" w:rsidP="00DF5D67">
      <w:pPr>
        <w:spacing w:line="360" w:lineRule="auto"/>
        <w:ind w:firstLine="851"/>
        <w:jc w:val="both"/>
        <w:rPr>
          <w:rFonts w:ascii="Arial" w:hAnsi="Arial" w:cs="Arial"/>
          <w:sz w:val="24"/>
          <w:szCs w:val="24"/>
        </w:rPr>
      </w:pPr>
      <w:r w:rsidRPr="00DF5D67">
        <w:rPr>
          <w:rFonts w:ascii="Arial" w:hAnsi="Arial" w:cs="Arial"/>
          <w:sz w:val="24"/>
          <w:szCs w:val="24"/>
        </w:rPr>
        <w:lastRenderedPageBreak/>
        <w:t xml:space="preserve">c) </w:t>
      </w:r>
      <w:r>
        <w:rPr>
          <w:rFonts w:ascii="Arial" w:hAnsi="Arial" w:cs="Arial"/>
          <w:sz w:val="24"/>
          <w:szCs w:val="24"/>
        </w:rPr>
        <w:t>r</w:t>
      </w:r>
      <w:r w:rsidRPr="00DF5D67">
        <w:rPr>
          <w:rFonts w:ascii="Arial" w:hAnsi="Arial" w:cs="Arial"/>
          <w:sz w:val="24"/>
          <w:szCs w:val="24"/>
        </w:rPr>
        <w:t xml:space="preserve">evogar ou modificar o ato concessivo ou reduzir o seu alcance ou o montante das isenções, dos incentivos e dos benefícios fiscais ou financeiros fiscais, nos termos estabelecidos e/ou permitidos pela Lei Complementar n° 160/2017; </w:t>
      </w:r>
    </w:p>
    <w:p w14:paraId="0834FBCE" w14:textId="1CE2830D" w:rsidR="00DF5D67" w:rsidRPr="00DF5D67" w:rsidRDefault="00DF5D67" w:rsidP="00DF5D67">
      <w:pPr>
        <w:spacing w:line="360" w:lineRule="auto"/>
        <w:ind w:firstLine="851"/>
        <w:jc w:val="both"/>
        <w:rPr>
          <w:rFonts w:ascii="Arial" w:hAnsi="Arial" w:cs="Arial"/>
          <w:sz w:val="24"/>
          <w:szCs w:val="24"/>
        </w:rPr>
      </w:pPr>
      <w:r>
        <w:rPr>
          <w:rFonts w:ascii="Arial" w:hAnsi="Arial" w:cs="Arial"/>
          <w:sz w:val="24"/>
          <w:szCs w:val="24"/>
        </w:rPr>
        <w:t>d) i</w:t>
      </w:r>
      <w:r w:rsidRPr="00DF5D67">
        <w:rPr>
          <w:rFonts w:ascii="Arial" w:hAnsi="Arial" w:cs="Arial"/>
          <w:sz w:val="24"/>
          <w:szCs w:val="24"/>
        </w:rPr>
        <w:t xml:space="preserve">dentificar, diminuir ou extinguir a renúncia de receita em setores que possuem grande volume de benefícios, nos segmentos de produtos supérfluos e artigos de luxo, bem como estabelecer mecanismos de controle que restrinjam a utilização cumulativa dos benefícios fiscais; </w:t>
      </w:r>
    </w:p>
    <w:p w14:paraId="2C1755AF" w14:textId="78313E7E" w:rsidR="00DF5D67" w:rsidRDefault="00DF5D67" w:rsidP="00DF5D67">
      <w:pPr>
        <w:spacing w:line="360" w:lineRule="auto"/>
        <w:ind w:firstLine="851"/>
        <w:jc w:val="both"/>
        <w:rPr>
          <w:rFonts w:ascii="Arial" w:hAnsi="Arial" w:cs="Arial"/>
          <w:sz w:val="24"/>
          <w:szCs w:val="24"/>
        </w:rPr>
      </w:pPr>
      <w:r w:rsidRPr="00DF5D67">
        <w:rPr>
          <w:rFonts w:ascii="Arial" w:hAnsi="Arial" w:cs="Arial"/>
          <w:sz w:val="24"/>
          <w:szCs w:val="24"/>
        </w:rPr>
        <w:t xml:space="preserve">e) </w:t>
      </w:r>
      <w:r>
        <w:rPr>
          <w:rFonts w:ascii="Arial" w:hAnsi="Arial" w:cs="Arial"/>
          <w:sz w:val="24"/>
          <w:szCs w:val="24"/>
        </w:rPr>
        <w:t>i</w:t>
      </w:r>
      <w:r w:rsidRPr="00DF5D67">
        <w:rPr>
          <w:rFonts w:ascii="Arial" w:hAnsi="Arial" w:cs="Arial"/>
          <w:sz w:val="24"/>
          <w:szCs w:val="24"/>
        </w:rPr>
        <w:t>ntensificar as ações de fiscalização sobre os contribuintes que usufruem de incentivos ou benefícios fiscais do Estado, com vistas a evitar situações de fr</w:t>
      </w:r>
      <w:r w:rsidR="00A77C9D">
        <w:rPr>
          <w:rFonts w:ascii="Arial" w:hAnsi="Arial" w:cs="Arial"/>
          <w:sz w:val="24"/>
          <w:szCs w:val="24"/>
        </w:rPr>
        <w:t>uição indevida dessas vantagens.</w:t>
      </w:r>
    </w:p>
    <w:p w14:paraId="31648833" w14:textId="77777777" w:rsidR="003C42E2" w:rsidRDefault="003C42E2" w:rsidP="00DF5D67">
      <w:pPr>
        <w:spacing w:line="360" w:lineRule="auto"/>
        <w:ind w:firstLine="851"/>
        <w:jc w:val="both"/>
        <w:rPr>
          <w:rFonts w:ascii="Arial" w:hAnsi="Arial" w:cs="Arial"/>
          <w:sz w:val="24"/>
          <w:szCs w:val="24"/>
          <w:u w:val="single"/>
        </w:rPr>
      </w:pPr>
    </w:p>
    <w:p w14:paraId="383BBB7D" w14:textId="498C9608" w:rsidR="00DF5D67" w:rsidRPr="00A97D00" w:rsidRDefault="005F1B75" w:rsidP="00DF5D67">
      <w:pPr>
        <w:spacing w:line="360" w:lineRule="auto"/>
        <w:ind w:firstLine="851"/>
        <w:jc w:val="both"/>
        <w:rPr>
          <w:rFonts w:ascii="Arial" w:hAnsi="Arial" w:cs="Arial"/>
          <w:sz w:val="24"/>
          <w:szCs w:val="24"/>
        </w:rPr>
      </w:pPr>
      <w:r w:rsidRPr="005F1B75">
        <w:rPr>
          <w:rFonts w:ascii="Arial" w:hAnsi="Arial" w:cs="Arial"/>
          <w:sz w:val="24"/>
          <w:szCs w:val="24"/>
          <w:u w:val="single"/>
        </w:rPr>
        <w:t xml:space="preserve">Referido despacho foi ratificado, </w:t>
      </w:r>
      <w:r w:rsidRPr="005F1B75">
        <w:rPr>
          <w:rFonts w:ascii="Arial" w:hAnsi="Arial" w:cs="Arial"/>
          <w:i/>
          <w:sz w:val="24"/>
          <w:szCs w:val="24"/>
          <w:u w:val="single"/>
        </w:rPr>
        <w:t>in totum</w:t>
      </w:r>
      <w:r w:rsidRPr="005F1B75">
        <w:rPr>
          <w:rFonts w:ascii="Arial" w:hAnsi="Arial" w:cs="Arial"/>
          <w:sz w:val="24"/>
          <w:szCs w:val="24"/>
          <w:u w:val="single"/>
        </w:rPr>
        <w:t>, pelo Plenário do TCE/GO no Acórdão nº 5.005/2017</w:t>
      </w:r>
      <w:r w:rsidR="00A97D00">
        <w:rPr>
          <w:rFonts w:ascii="Arial" w:hAnsi="Arial" w:cs="Arial"/>
          <w:sz w:val="24"/>
          <w:szCs w:val="24"/>
          <w:u w:val="single"/>
        </w:rPr>
        <w:t xml:space="preserve">, proferido em </w:t>
      </w:r>
      <w:r w:rsidR="00A97D00" w:rsidRPr="00A97D00">
        <w:rPr>
          <w:rFonts w:ascii="Arial" w:hAnsi="Arial" w:cs="Arial"/>
          <w:sz w:val="24"/>
          <w:szCs w:val="24"/>
          <w:u w:val="single"/>
        </w:rPr>
        <w:t>04/10/2017</w:t>
      </w:r>
      <w:r>
        <w:rPr>
          <w:rFonts w:ascii="Arial" w:hAnsi="Arial" w:cs="Arial"/>
          <w:sz w:val="24"/>
          <w:szCs w:val="24"/>
        </w:rPr>
        <w:t xml:space="preserve">, ainda com o acréscimo no dispositivo quanto à </w:t>
      </w:r>
      <w:r w:rsidRPr="005F1B75">
        <w:rPr>
          <w:rFonts w:ascii="Arial" w:hAnsi="Arial" w:cs="Arial"/>
          <w:sz w:val="24"/>
          <w:szCs w:val="24"/>
        </w:rPr>
        <w:t xml:space="preserve">necessidade de observância da aferição e manutenção da regularidade fiscal por partes das empresas beneficiária de incentivos fiscais durante sua fruição, sob pena de revisão, nos </w:t>
      </w:r>
      <w:r w:rsidRPr="00A97D00">
        <w:rPr>
          <w:rFonts w:ascii="Arial" w:hAnsi="Arial" w:cs="Arial"/>
          <w:sz w:val="24"/>
          <w:szCs w:val="24"/>
        </w:rPr>
        <w:t>termos do art. 95, § 2º, “b” da Lei federal nº 8.212/1991.</w:t>
      </w:r>
    </w:p>
    <w:p w14:paraId="36D8DC68" w14:textId="33903878" w:rsidR="005F1B75" w:rsidRDefault="00A97D00" w:rsidP="00DF5D67">
      <w:pPr>
        <w:spacing w:line="360" w:lineRule="auto"/>
        <w:ind w:firstLine="851"/>
        <w:jc w:val="both"/>
        <w:rPr>
          <w:rFonts w:ascii="Arial" w:hAnsi="Arial" w:cs="Arial"/>
          <w:sz w:val="24"/>
          <w:szCs w:val="24"/>
        </w:rPr>
      </w:pPr>
      <w:r w:rsidRPr="00BF7B3A">
        <w:rPr>
          <w:rFonts w:ascii="Arial" w:hAnsi="Arial" w:cs="Arial"/>
          <w:sz w:val="24"/>
          <w:szCs w:val="24"/>
          <w:u w:val="single"/>
        </w:rPr>
        <w:t>Por força do Acórdão nº 5.661/2017, proferido em 29/11/2017, alterou-se parcialmente o Acórdão nº 5.005/2017</w:t>
      </w:r>
      <w:r>
        <w:rPr>
          <w:rFonts w:ascii="Arial" w:hAnsi="Arial" w:cs="Arial"/>
          <w:sz w:val="24"/>
          <w:szCs w:val="24"/>
        </w:rPr>
        <w:t>, mais precisamente o disposto na respectiva alínea “b”, para reduzir de 12% (doze por cento) para 9% (nove por cento) o percentual mínimo de redução de renúncia de receita tributária, nos seguintes termos:</w:t>
      </w:r>
    </w:p>
    <w:p w14:paraId="3ED31AA0" w14:textId="77777777" w:rsidR="00A97D00" w:rsidRPr="00A97D00" w:rsidRDefault="00A97D00" w:rsidP="00DF5D67">
      <w:pPr>
        <w:spacing w:line="360" w:lineRule="auto"/>
        <w:ind w:firstLine="851"/>
        <w:jc w:val="both"/>
        <w:rPr>
          <w:rFonts w:ascii="Arial" w:hAnsi="Arial" w:cs="Arial"/>
          <w:sz w:val="24"/>
          <w:szCs w:val="24"/>
        </w:rPr>
      </w:pPr>
    </w:p>
    <w:p w14:paraId="797E830B" w14:textId="321245B1" w:rsidR="00A97D00" w:rsidRDefault="00A97D00" w:rsidP="001A04C9">
      <w:pPr>
        <w:ind w:left="2268"/>
        <w:jc w:val="both"/>
        <w:rPr>
          <w:rFonts w:ascii="Arial" w:eastAsia="MingLiU-ExtB" w:hAnsi="Arial" w:cs="Arial"/>
          <w:bCs/>
          <w:iCs/>
          <w:sz w:val="22"/>
          <w:szCs w:val="22"/>
        </w:rPr>
      </w:pPr>
      <w:r w:rsidRPr="00A97D00">
        <w:rPr>
          <w:rFonts w:ascii="Arial" w:eastAsia="MingLiU-ExtB" w:hAnsi="Arial" w:cs="Arial"/>
          <w:iCs/>
          <w:sz w:val="22"/>
          <w:szCs w:val="22"/>
        </w:rPr>
        <w:t xml:space="preserve">b) Reduzir a Renúncia de Receita tributária total em, no mínimo, </w:t>
      </w:r>
      <w:r w:rsidRPr="00A97D00">
        <w:rPr>
          <w:rFonts w:ascii="Arial" w:eastAsia="MingLiU-ExtB" w:hAnsi="Arial" w:cs="Arial"/>
          <w:b/>
          <w:bCs/>
          <w:iCs/>
          <w:sz w:val="22"/>
          <w:szCs w:val="22"/>
        </w:rPr>
        <w:t xml:space="preserve">9,00% (nove por cento), </w:t>
      </w:r>
      <w:r w:rsidRPr="00A97D00">
        <w:rPr>
          <w:rFonts w:ascii="Arial" w:eastAsia="MingLiU-ExtB" w:hAnsi="Arial" w:cs="Arial"/>
          <w:iCs/>
          <w:sz w:val="22"/>
          <w:szCs w:val="22"/>
        </w:rPr>
        <w:t xml:space="preserve">especialmente em cadeias produtivas que tenham menor risco econômico ao Estado, de modo que atenda a eficiência na arrecadação e manutenção dos empregos, sem que isso implique, na medida do possível, aumento de alíquotas de produtos, </w:t>
      </w:r>
      <w:r w:rsidRPr="00A97D00">
        <w:rPr>
          <w:rFonts w:ascii="Arial" w:eastAsia="MingLiU-ExtB" w:hAnsi="Arial" w:cs="Arial"/>
          <w:b/>
          <w:bCs/>
          <w:iCs/>
          <w:sz w:val="22"/>
          <w:szCs w:val="22"/>
        </w:rPr>
        <w:t>condicionada à apresentação pela SEFAZ em 60 (sessenta) dias de um cronograma gradual e progressivo de redução da renúncia para os próximos 05 (cinco) anos, a alcançar os patamares adotados pela média nacional</w:t>
      </w:r>
      <w:r w:rsidRPr="00FF790B">
        <w:rPr>
          <w:rFonts w:ascii="Arial" w:eastAsia="MingLiU-ExtB" w:hAnsi="Arial" w:cs="Arial"/>
          <w:bCs/>
          <w:iCs/>
          <w:sz w:val="22"/>
          <w:szCs w:val="22"/>
        </w:rPr>
        <w:t>.</w:t>
      </w:r>
      <w:r w:rsidR="00FF790B" w:rsidRPr="00FF790B">
        <w:rPr>
          <w:rFonts w:ascii="Arial" w:eastAsia="MingLiU-ExtB" w:hAnsi="Arial" w:cs="Arial"/>
          <w:bCs/>
          <w:iCs/>
          <w:sz w:val="22"/>
          <w:szCs w:val="22"/>
        </w:rPr>
        <w:t xml:space="preserve"> [grifou-se]</w:t>
      </w:r>
    </w:p>
    <w:p w14:paraId="70B1B3BB" w14:textId="05B45E46" w:rsidR="00326A43" w:rsidRDefault="00326A43" w:rsidP="00713208">
      <w:pPr>
        <w:spacing w:line="360" w:lineRule="auto"/>
        <w:ind w:firstLine="851"/>
        <w:jc w:val="both"/>
        <w:rPr>
          <w:rFonts w:ascii="Arial" w:hAnsi="Arial" w:cs="Arial"/>
          <w:sz w:val="24"/>
          <w:szCs w:val="24"/>
        </w:rPr>
      </w:pPr>
    </w:p>
    <w:p w14:paraId="3CE6C3EA" w14:textId="59645FCF" w:rsidR="00326A43" w:rsidRDefault="00BF7B3A" w:rsidP="00713208">
      <w:pPr>
        <w:spacing w:line="360" w:lineRule="auto"/>
        <w:ind w:firstLine="851"/>
        <w:jc w:val="both"/>
        <w:rPr>
          <w:rFonts w:ascii="Arial" w:hAnsi="Arial" w:cs="Arial"/>
          <w:sz w:val="24"/>
          <w:szCs w:val="24"/>
        </w:rPr>
      </w:pPr>
      <w:r>
        <w:rPr>
          <w:rFonts w:ascii="Arial" w:hAnsi="Arial" w:cs="Arial"/>
          <w:sz w:val="24"/>
          <w:szCs w:val="24"/>
        </w:rPr>
        <w:t xml:space="preserve">Por fim, no </w:t>
      </w:r>
      <w:r w:rsidRPr="00BF7B3A">
        <w:rPr>
          <w:rFonts w:ascii="Arial" w:hAnsi="Arial" w:cs="Arial"/>
          <w:sz w:val="24"/>
          <w:szCs w:val="24"/>
          <w:u w:val="single"/>
        </w:rPr>
        <w:t>Acórdão nº 944/2019</w:t>
      </w:r>
      <w:r>
        <w:rPr>
          <w:rFonts w:ascii="Arial" w:hAnsi="Arial" w:cs="Arial"/>
          <w:sz w:val="24"/>
          <w:szCs w:val="24"/>
        </w:rPr>
        <w:t>, considerando o descumprimento dos acórdãos anteriores, o TCE/GO determinou o seguinte</w:t>
      </w:r>
      <w:r w:rsidR="00A97D00">
        <w:rPr>
          <w:rFonts w:ascii="Arial" w:hAnsi="Arial" w:cs="Arial"/>
          <w:sz w:val="24"/>
          <w:szCs w:val="24"/>
        </w:rPr>
        <w:t>:</w:t>
      </w:r>
    </w:p>
    <w:p w14:paraId="395BF13D" w14:textId="498CCA96" w:rsidR="00BF7B3A" w:rsidRDefault="00BF7B3A" w:rsidP="00713208">
      <w:pPr>
        <w:spacing w:line="360" w:lineRule="auto"/>
        <w:ind w:firstLine="851"/>
        <w:jc w:val="both"/>
        <w:rPr>
          <w:rFonts w:ascii="Arial" w:hAnsi="Arial" w:cs="Arial"/>
          <w:sz w:val="24"/>
          <w:szCs w:val="24"/>
        </w:rPr>
      </w:pPr>
    </w:p>
    <w:p w14:paraId="318F9721" w14:textId="77777777" w:rsidR="00BF7B3A" w:rsidRPr="00BF7B3A" w:rsidRDefault="00BF7B3A" w:rsidP="001A04C9">
      <w:pPr>
        <w:ind w:left="2268"/>
        <w:jc w:val="both"/>
        <w:rPr>
          <w:rFonts w:ascii="Arial" w:eastAsia="MingLiU-ExtB" w:hAnsi="Arial" w:cs="Arial"/>
          <w:sz w:val="22"/>
          <w:szCs w:val="22"/>
        </w:rPr>
      </w:pPr>
      <w:r w:rsidRPr="00BF7B3A">
        <w:rPr>
          <w:rFonts w:ascii="Arial" w:eastAsia="MingLiU-ExtB" w:hAnsi="Arial" w:cs="Arial"/>
          <w:sz w:val="22"/>
          <w:szCs w:val="22"/>
        </w:rPr>
        <w:t xml:space="preserve">1. </w:t>
      </w:r>
      <w:r w:rsidRPr="00BF7B3A">
        <w:rPr>
          <w:rFonts w:ascii="Arial" w:eastAsia="MingLiU-ExtB" w:hAnsi="Arial" w:cs="Arial"/>
          <w:b/>
          <w:sz w:val="22"/>
          <w:szCs w:val="22"/>
        </w:rPr>
        <w:t>Assinar prazo para o Governador do Estado e o Secretário de Estado da Fazenda</w:t>
      </w:r>
      <w:r w:rsidRPr="00BF7B3A">
        <w:rPr>
          <w:rFonts w:ascii="Arial" w:eastAsia="MingLiU-ExtB" w:hAnsi="Arial" w:cs="Arial"/>
          <w:sz w:val="22"/>
          <w:szCs w:val="22"/>
        </w:rPr>
        <w:t xml:space="preserve"> comprovarem o cumprimento dos Acórdãos n.º 5005/2017 e nº 5661/2017 – Pleno, até 31 de dezembro de 2018, com a </w:t>
      </w:r>
      <w:r w:rsidRPr="00BF7B3A">
        <w:rPr>
          <w:rFonts w:ascii="Arial" w:eastAsia="MingLiU-ExtB" w:hAnsi="Arial" w:cs="Arial"/>
          <w:b/>
          <w:sz w:val="22"/>
          <w:szCs w:val="22"/>
        </w:rPr>
        <w:lastRenderedPageBreak/>
        <w:t>expedição dos atos administrativos e/ou iniciativas de lei visando assegurar o efetivo decréscimo dos incentivos fiscais</w:t>
      </w:r>
      <w:r w:rsidRPr="00BF7B3A">
        <w:rPr>
          <w:rFonts w:ascii="Arial" w:eastAsia="MingLiU-ExtB" w:hAnsi="Arial" w:cs="Arial"/>
          <w:sz w:val="22"/>
          <w:szCs w:val="22"/>
        </w:rPr>
        <w:t xml:space="preserve">, com fundamento no art. 1º, inciso XIX da Lei n.º 16.168/07 e suas alterações, para vigência em 2019; </w:t>
      </w:r>
    </w:p>
    <w:p w14:paraId="6CA5A22E" w14:textId="77777777" w:rsidR="00BF7B3A" w:rsidRPr="00BF7B3A" w:rsidRDefault="00BF7B3A" w:rsidP="001A04C9">
      <w:pPr>
        <w:ind w:left="2268"/>
        <w:jc w:val="both"/>
        <w:rPr>
          <w:rFonts w:ascii="Arial" w:eastAsia="MingLiU-ExtB" w:hAnsi="Arial" w:cs="Arial"/>
          <w:sz w:val="22"/>
          <w:szCs w:val="22"/>
        </w:rPr>
      </w:pPr>
      <w:r w:rsidRPr="00BF7B3A">
        <w:rPr>
          <w:rFonts w:ascii="Arial" w:eastAsia="MingLiU-ExtB" w:hAnsi="Arial" w:cs="Arial"/>
          <w:sz w:val="22"/>
          <w:szCs w:val="22"/>
        </w:rPr>
        <w:t xml:space="preserve">2. Em razão do descumprimento das decisões Plenárias (Acórdãos n.º 5005/2017 e nº 5661/2017), </w:t>
      </w:r>
      <w:r w:rsidRPr="00BF7B3A">
        <w:rPr>
          <w:rFonts w:ascii="Arial" w:eastAsia="MingLiU-ExtB" w:hAnsi="Arial" w:cs="Arial"/>
          <w:b/>
          <w:sz w:val="22"/>
          <w:szCs w:val="22"/>
        </w:rPr>
        <w:t>fixar multa de R$ 32.918,12 (trinta e dois mil novecentos e dezoito reais e doze centavos), correspondente a 50% (cinquenta) por cento do valor de alçada</w:t>
      </w:r>
      <w:r w:rsidRPr="00BF7B3A">
        <w:rPr>
          <w:rFonts w:ascii="Arial" w:eastAsia="MingLiU-ExtB" w:hAnsi="Arial" w:cs="Arial"/>
          <w:sz w:val="22"/>
          <w:szCs w:val="22"/>
        </w:rPr>
        <w:t xml:space="preserve">, com fundamento no art. 112, incisos VII e VIII da Lei n.º 16.168/07 e suas alterações, </w:t>
      </w:r>
      <w:r w:rsidRPr="00BF7B3A">
        <w:rPr>
          <w:rFonts w:ascii="Arial" w:eastAsia="MingLiU-ExtB" w:hAnsi="Arial" w:cs="Arial"/>
          <w:b/>
          <w:sz w:val="22"/>
          <w:szCs w:val="22"/>
        </w:rPr>
        <w:t>em caso de reiterado descumprimento</w:t>
      </w:r>
      <w:r w:rsidRPr="00BF7B3A">
        <w:rPr>
          <w:rFonts w:ascii="Arial" w:eastAsia="MingLiU-ExtB" w:hAnsi="Arial" w:cs="Arial"/>
          <w:sz w:val="22"/>
          <w:szCs w:val="22"/>
        </w:rPr>
        <w:t xml:space="preserve">; </w:t>
      </w:r>
    </w:p>
    <w:p w14:paraId="294BACB5" w14:textId="77777777" w:rsidR="00BF7B3A" w:rsidRPr="00BF7B3A" w:rsidRDefault="00BF7B3A" w:rsidP="001A04C9">
      <w:pPr>
        <w:ind w:left="2268"/>
        <w:jc w:val="both"/>
        <w:rPr>
          <w:rFonts w:ascii="Arial" w:eastAsia="MingLiU-ExtB" w:hAnsi="Arial" w:cs="Arial"/>
          <w:sz w:val="22"/>
          <w:szCs w:val="22"/>
        </w:rPr>
      </w:pPr>
      <w:r w:rsidRPr="00BF7B3A">
        <w:rPr>
          <w:rFonts w:ascii="Arial" w:eastAsia="MingLiU-ExtB" w:hAnsi="Arial" w:cs="Arial"/>
          <w:sz w:val="22"/>
          <w:szCs w:val="22"/>
        </w:rPr>
        <w:t xml:space="preserve">3. </w:t>
      </w:r>
      <w:r w:rsidRPr="00BF7B3A">
        <w:rPr>
          <w:rFonts w:ascii="Arial" w:eastAsia="MingLiU-ExtB" w:hAnsi="Arial" w:cs="Arial"/>
          <w:b/>
          <w:sz w:val="22"/>
          <w:szCs w:val="22"/>
        </w:rPr>
        <w:t xml:space="preserve">Intimar os responsáveis </w:t>
      </w:r>
      <w:r w:rsidRPr="00BF7B3A">
        <w:rPr>
          <w:rFonts w:ascii="Arial" w:eastAsia="MingLiU-ExtB" w:hAnsi="Arial" w:cs="Arial"/>
          <w:sz w:val="22"/>
          <w:szCs w:val="22"/>
        </w:rPr>
        <w:t xml:space="preserve">indicados no item 1 </w:t>
      </w:r>
      <w:r w:rsidRPr="00BF7B3A">
        <w:rPr>
          <w:rFonts w:ascii="Arial" w:eastAsia="MingLiU-ExtB" w:hAnsi="Arial" w:cs="Arial"/>
          <w:b/>
          <w:sz w:val="22"/>
          <w:szCs w:val="22"/>
        </w:rPr>
        <w:t>para conhecimento e cumprimento da decisão</w:t>
      </w:r>
      <w:r w:rsidRPr="00BF7B3A">
        <w:rPr>
          <w:rFonts w:ascii="Arial" w:eastAsia="MingLiU-ExtB" w:hAnsi="Arial" w:cs="Arial"/>
          <w:sz w:val="22"/>
          <w:szCs w:val="22"/>
        </w:rPr>
        <w:t xml:space="preserve">, bem como, no prazo de 15 (quinze) dias úteis, apresentar, caso queiram, suas razões de justificativa; </w:t>
      </w:r>
    </w:p>
    <w:p w14:paraId="572D681B" w14:textId="0EB2CEC2" w:rsidR="00BF7B3A" w:rsidRPr="00A97D00" w:rsidRDefault="00BF7B3A" w:rsidP="001A04C9">
      <w:pPr>
        <w:ind w:left="2268"/>
        <w:jc w:val="both"/>
        <w:rPr>
          <w:rFonts w:ascii="Arial" w:eastAsia="MingLiU-ExtB" w:hAnsi="Arial" w:cs="Arial"/>
          <w:sz w:val="22"/>
          <w:szCs w:val="22"/>
        </w:rPr>
      </w:pPr>
      <w:r w:rsidRPr="00BF7B3A">
        <w:rPr>
          <w:rFonts w:ascii="Arial" w:eastAsia="MingLiU-ExtB" w:hAnsi="Arial" w:cs="Arial"/>
          <w:sz w:val="22"/>
          <w:szCs w:val="22"/>
        </w:rPr>
        <w:t xml:space="preserve">4. </w:t>
      </w:r>
      <w:r w:rsidRPr="00BF7B3A">
        <w:rPr>
          <w:rFonts w:ascii="Arial" w:eastAsia="MingLiU-ExtB" w:hAnsi="Arial" w:cs="Arial"/>
          <w:b/>
          <w:sz w:val="22"/>
          <w:szCs w:val="22"/>
        </w:rPr>
        <w:t>Encaminhar cópia da decisão</w:t>
      </w:r>
      <w:r w:rsidRPr="00BF7B3A">
        <w:rPr>
          <w:rFonts w:ascii="Arial" w:eastAsia="MingLiU-ExtB" w:hAnsi="Arial" w:cs="Arial"/>
          <w:sz w:val="22"/>
          <w:szCs w:val="22"/>
        </w:rPr>
        <w:t xml:space="preserve"> ao </w:t>
      </w:r>
      <w:r w:rsidRPr="00BF7B3A">
        <w:rPr>
          <w:rFonts w:ascii="Arial" w:eastAsia="MingLiU-ExtB" w:hAnsi="Arial" w:cs="Arial"/>
          <w:sz w:val="22"/>
          <w:szCs w:val="22"/>
          <w:u w:val="single"/>
        </w:rPr>
        <w:t>Ministério Público Estadual</w:t>
      </w:r>
      <w:r w:rsidRPr="00BF7B3A">
        <w:rPr>
          <w:rFonts w:ascii="Arial" w:eastAsia="MingLiU-ExtB" w:hAnsi="Arial" w:cs="Arial"/>
          <w:sz w:val="22"/>
          <w:szCs w:val="22"/>
        </w:rPr>
        <w:t xml:space="preserve"> e à </w:t>
      </w:r>
      <w:r w:rsidRPr="00BF7B3A">
        <w:rPr>
          <w:rFonts w:ascii="Arial" w:eastAsia="MingLiU-ExtB" w:hAnsi="Arial" w:cs="Arial"/>
          <w:sz w:val="22"/>
          <w:szCs w:val="22"/>
          <w:u w:val="single"/>
        </w:rPr>
        <w:t>Assembleia Legislativa</w:t>
      </w:r>
      <w:r w:rsidRPr="00BF7B3A">
        <w:rPr>
          <w:rFonts w:ascii="Arial" w:eastAsia="MingLiU-ExtB" w:hAnsi="Arial" w:cs="Arial"/>
          <w:sz w:val="22"/>
          <w:szCs w:val="22"/>
        </w:rPr>
        <w:t>.</w:t>
      </w:r>
      <w:r>
        <w:rPr>
          <w:rFonts w:ascii="Arial" w:eastAsia="MingLiU-ExtB" w:hAnsi="Arial" w:cs="Arial"/>
          <w:sz w:val="22"/>
          <w:szCs w:val="22"/>
        </w:rPr>
        <w:t xml:space="preserve"> [grifou-se]</w:t>
      </w:r>
    </w:p>
    <w:p w14:paraId="470F5F51" w14:textId="398D6501" w:rsidR="00BF7B3A" w:rsidRDefault="00BF7B3A" w:rsidP="00713208">
      <w:pPr>
        <w:spacing w:line="360" w:lineRule="auto"/>
        <w:ind w:firstLine="851"/>
        <w:jc w:val="both"/>
        <w:rPr>
          <w:rFonts w:ascii="Arial" w:hAnsi="Arial" w:cs="Arial"/>
          <w:sz w:val="24"/>
          <w:szCs w:val="24"/>
        </w:rPr>
      </w:pPr>
    </w:p>
    <w:p w14:paraId="0068AD63" w14:textId="11268B8C" w:rsidR="00BF7B3A" w:rsidRDefault="00A11E5C" w:rsidP="00713208">
      <w:pPr>
        <w:spacing w:line="360" w:lineRule="auto"/>
        <w:ind w:firstLine="851"/>
        <w:jc w:val="both"/>
        <w:rPr>
          <w:rFonts w:ascii="Arial" w:hAnsi="Arial" w:cs="Arial"/>
          <w:sz w:val="24"/>
          <w:szCs w:val="24"/>
        </w:rPr>
      </w:pPr>
      <w:r>
        <w:rPr>
          <w:rFonts w:ascii="Arial" w:hAnsi="Arial" w:cs="Arial"/>
          <w:sz w:val="24"/>
          <w:szCs w:val="24"/>
        </w:rPr>
        <w:t>Percebe-se, nitidamente, que o TCE/GO vem envidando esforços no sentido de compelir o Estado de Goiás a revisar sua política de incentivos fiscais, e vê como alarmante o quadro de renúncia de receitas do Estado, se comparado com a média nacional e das maiores economias do país.</w:t>
      </w:r>
    </w:p>
    <w:p w14:paraId="6B09EB8B" w14:textId="22356929" w:rsidR="00D53F83" w:rsidRDefault="00D53F83" w:rsidP="00A11E5C">
      <w:pPr>
        <w:spacing w:line="360" w:lineRule="auto"/>
        <w:jc w:val="both"/>
        <w:rPr>
          <w:rFonts w:ascii="Arial" w:hAnsi="Arial" w:cs="Arial"/>
          <w:sz w:val="24"/>
          <w:szCs w:val="24"/>
        </w:rPr>
      </w:pPr>
    </w:p>
    <w:p w14:paraId="19EF0A80" w14:textId="3EC9F790" w:rsidR="008C73C0" w:rsidRPr="00ED3A74" w:rsidRDefault="008C73C0" w:rsidP="008C73C0">
      <w:pPr>
        <w:spacing w:line="360" w:lineRule="auto"/>
        <w:ind w:firstLine="851"/>
        <w:jc w:val="both"/>
        <w:rPr>
          <w:rFonts w:ascii="Arial" w:hAnsi="Arial" w:cs="Arial"/>
          <w:b/>
          <w:sz w:val="24"/>
          <w:szCs w:val="24"/>
          <w:u w:val="single"/>
        </w:rPr>
      </w:pPr>
      <w:r w:rsidRPr="00ED3A74">
        <w:rPr>
          <w:rFonts w:ascii="Arial" w:hAnsi="Arial" w:cs="Arial"/>
          <w:b/>
          <w:sz w:val="24"/>
          <w:szCs w:val="24"/>
          <w:u w:val="single"/>
        </w:rPr>
        <w:t>3.</w:t>
      </w:r>
      <w:r>
        <w:rPr>
          <w:rFonts w:ascii="Arial" w:hAnsi="Arial" w:cs="Arial"/>
          <w:b/>
          <w:sz w:val="24"/>
          <w:szCs w:val="24"/>
          <w:u w:val="single"/>
        </w:rPr>
        <w:t>3</w:t>
      </w:r>
      <w:r w:rsidRPr="00ED3A74">
        <w:rPr>
          <w:rFonts w:ascii="Arial" w:hAnsi="Arial" w:cs="Arial"/>
          <w:b/>
          <w:sz w:val="24"/>
          <w:szCs w:val="24"/>
          <w:u w:val="single"/>
        </w:rPr>
        <w:t>.</w:t>
      </w:r>
      <w:r>
        <w:rPr>
          <w:rFonts w:ascii="Arial" w:hAnsi="Arial" w:cs="Arial"/>
          <w:b/>
          <w:sz w:val="24"/>
          <w:szCs w:val="24"/>
          <w:u w:val="single"/>
        </w:rPr>
        <w:t>2</w:t>
      </w:r>
      <w:r w:rsidRPr="00ED3A74">
        <w:rPr>
          <w:rFonts w:ascii="Arial" w:hAnsi="Arial" w:cs="Arial"/>
          <w:b/>
          <w:sz w:val="24"/>
          <w:szCs w:val="24"/>
          <w:u w:val="single"/>
        </w:rPr>
        <w:t xml:space="preserve"> </w:t>
      </w:r>
      <w:r w:rsidR="00787572" w:rsidRPr="00787572">
        <w:rPr>
          <w:rFonts w:ascii="Arial" w:hAnsi="Arial" w:cs="Arial"/>
          <w:b/>
          <w:sz w:val="24"/>
          <w:szCs w:val="24"/>
          <w:u w:val="single"/>
        </w:rPr>
        <w:t xml:space="preserve">– </w:t>
      </w:r>
      <w:r>
        <w:rPr>
          <w:rFonts w:ascii="Arial" w:hAnsi="Arial" w:cs="Arial"/>
          <w:b/>
          <w:sz w:val="24"/>
          <w:szCs w:val="24"/>
          <w:u w:val="single"/>
        </w:rPr>
        <w:t>Esforços e medidas adotados pelos Poderes Executivo e Legislativo</w:t>
      </w:r>
    </w:p>
    <w:p w14:paraId="76100349" w14:textId="0B1B01E5" w:rsidR="008C73C0" w:rsidRDefault="008C73C0" w:rsidP="00A11E5C">
      <w:pPr>
        <w:spacing w:line="360" w:lineRule="auto"/>
        <w:jc w:val="both"/>
        <w:rPr>
          <w:rFonts w:ascii="Arial" w:hAnsi="Arial" w:cs="Arial"/>
          <w:sz w:val="24"/>
          <w:szCs w:val="24"/>
        </w:rPr>
      </w:pPr>
    </w:p>
    <w:p w14:paraId="11B3E132" w14:textId="7CA0422D" w:rsidR="008C73C0" w:rsidRDefault="001C51FD" w:rsidP="008C73C0">
      <w:pPr>
        <w:spacing w:line="360" w:lineRule="auto"/>
        <w:ind w:firstLine="851"/>
        <w:jc w:val="both"/>
        <w:rPr>
          <w:rFonts w:ascii="Arial" w:hAnsi="Arial" w:cs="Arial"/>
          <w:sz w:val="24"/>
          <w:szCs w:val="24"/>
        </w:rPr>
      </w:pPr>
      <w:r w:rsidRPr="00E44A98">
        <w:rPr>
          <w:rFonts w:ascii="Arial" w:hAnsi="Arial" w:cs="Arial"/>
          <w:sz w:val="24"/>
          <w:szCs w:val="24"/>
        </w:rPr>
        <w:t>A par da atuação do TCE/GO, e inclusive por sua determinação em alguns casos, os Poderes Executivo e Legislativo também têm adotado medidas para o aprimoramento da política de incentivos fiscais do Estado, dentre as quais destacamos os seguintes exemplos</w:t>
      </w:r>
      <w:r w:rsidR="008C73C0" w:rsidRPr="00E44A98">
        <w:rPr>
          <w:rFonts w:ascii="Arial" w:hAnsi="Arial" w:cs="Arial"/>
          <w:sz w:val="24"/>
          <w:szCs w:val="24"/>
        </w:rPr>
        <w:t>.</w:t>
      </w:r>
    </w:p>
    <w:p w14:paraId="262462CB" w14:textId="75DFCBF1" w:rsidR="008C73C0" w:rsidRDefault="008C73C0" w:rsidP="00A11E5C">
      <w:pPr>
        <w:spacing w:line="360" w:lineRule="auto"/>
        <w:jc w:val="both"/>
        <w:rPr>
          <w:rFonts w:ascii="Arial" w:hAnsi="Arial" w:cs="Arial"/>
          <w:sz w:val="24"/>
          <w:szCs w:val="24"/>
        </w:rPr>
      </w:pPr>
    </w:p>
    <w:p w14:paraId="595BF439" w14:textId="4EB3F638" w:rsidR="00E30146" w:rsidRPr="00E44A98" w:rsidRDefault="00E30146" w:rsidP="00E30146">
      <w:pPr>
        <w:spacing w:line="360" w:lineRule="auto"/>
        <w:ind w:firstLine="851"/>
        <w:jc w:val="both"/>
        <w:rPr>
          <w:rFonts w:ascii="Arial" w:hAnsi="Arial" w:cs="Arial"/>
          <w:b/>
          <w:sz w:val="24"/>
          <w:szCs w:val="24"/>
        </w:rPr>
      </w:pPr>
      <w:r w:rsidRPr="00E44A98">
        <w:rPr>
          <w:rFonts w:ascii="Arial" w:hAnsi="Arial" w:cs="Arial"/>
          <w:b/>
          <w:sz w:val="24"/>
          <w:szCs w:val="24"/>
        </w:rPr>
        <w:t xml:space="preserve">3.3.2.1 </w:t>
      </w:r>
      <w:r w:rsidR="00787572" w:rsidRPr="00E44A98">
        <w:rPr>
          <w:rFonts w:ascii="Arial" w:hAnsi="Arial" w:cs="Arial"/>
          <w:b/>
          <w:sz w:val="24"/>
          <w:szCs w:val="24"/>
        </w:rPr>
        <w:t xml:space="preserve">– </w:t>
      </w:r>
      <w:r w:rsidR="00C244D1" w:rsidRPr="00E44A98">
        <w:rPr>
          <w:rFonts w:ascii="Arial" w:hAnsi="Arial" w:cs="Arial"/>
          <w:b/>
          <w:sz w:val="24"/>
          <w:szCs w:val="24"/>
        </w:rPr>
        <w:t xml:space="preserve">Portal da </w:t>
      </w:r>
      <w:r w:rsidR="00E26879" w:rsidRPr="00E44A98">
        <w:rPr>
          <w:rFonts w:ascii="Arial" w:hAnsi="Arial" w:cs="Arial"/>
          <w:b/>
          <w:sz w:val="24"/>
          <w:szCs w:val="24"/>
        </w:rPr>
        <w:t>Transparência</w:t>
      </w:r>
    </w:p>
    <w:p w14:paraId="4F6819A4" w14:textId="4E2A38BA" w:rsidR="00E30146" w:rsidRDefault="00E30146" w:rsidP="00E30146">
      <w:pPr>
        <w:spacing w:line="360" w:lineRule="auto"/>
        <w:ind w:firstLine="851"/>
        <w:jc w:val="both"/>
        <w:rPr>
          <w:rFonts w:ascii="Arial" w:hAnsi="Arial" w:cs="Arial"/>
          <w:b/>
          <w:sz w:val="24"/>
          <w:szCs w:val="24"/>
        </w:rPr>
      </w:pPr>
    </w:p>
    <w:p w14:paraId="6CB8124C" w14:textId="437DBD3E" w:rsidR="00E26879" w:rsidRDefault="003A4013" w:rsidP="00E30146">
      <w:pPr>
        <w:spacing w:line="360" w:lineRule="auto"/>
        <w:ind w:firstLine="851"/>
        <w:jc w:val="both"/>
        <w:rPr>
          <w:rFonts w:ascii="Arial" w:hAnsi="Arial" w:cs="Arial"/>
          <w:sz w:val="24"/>
          <w:szCs w:val="24"/>
        </w:rPr>
      </w:pPr>
      <w:r w:rsidRPr="008C73C0">
        <w:rPr>
          <w:rFonts w:ascii="Arial" w:hAnsi="Arial" w:cs="Arial"/>
          <w:b/>
          <w:sz w:val="24"/>
          <w:szCs w:val="24"/>
        </w:rPr>
        <w:t>3.3.2.1</w:t>
      </w:r>
      <w:r>
        <w:rPr>
          <w:rFonts w:ascii="Arial" w:hAnsi="Arial" w:cs="Arial"/>
          <w:b/>
          <w:sz w:val="24"/>
          <w:szCs w:val="24"/>
        </w:rPr>
        <w:t>.1</w:t>
      </w:r>
      <w:r w:rsidR="00E44A98">
        <w:rPr>
          <w:rFonts w:ascii="Arial" w:hAnsi="Arial" w:cs="Arial"/>
          <w:b/>
          <w:sz w:val="24"/>
          <w:szCs w:val="24"/>
        </w:rPr>
        <w:t>.</w:t>
      </w:r>
      <w:r w:rsidRPr="008C73C0">
        <w:rPr>
          <w:rFonts w:ascii="Arial" w:hAnsi="Arial" w:cs="Arial"/>
          <w:b/>
          <w:sz w:val="24"/>
          <w:szCs w:val="24"/>
        </w:rPr>
        <w:t xml:space="preserve"> </w:t>
      </w:r>
      <w:r w:rsidR="00E26879">
        <w:rPr>
          <w:rFonts w:ascii="Arial" w:hAnsi="Arial" w:cs="Arial"/>
          <w:sz w:val="24"/>
          <w:szCs w:val="24"/>
        </w:rPr>
        <w:t xml:space="preserve">Atendendo às recomendações – e posteriormente determinações – do TCE/GO, </w:t>
      </w:r>
      <w:r w:rsidR="00721C36">
        <w:rPr>
          <w:rFonts w:ascii="Arial" w:hAnsi="Arial" w:cs="Arial"/>
          <w:sz w:val="24"/>
          <w:szCs w:val="24"/>
        </w:rPr>
        <w:t>nos processos relativos à análise de contas do governo estadual</w:t>
      </w:r>
      <w:r w:rsidR="00E26879">
        <w:rPr>
          <w:rFonts w:ascii="Arial" w:hAnsi="Arial" w:cs="Arial"/>
          <w:sz w:val="24"/>
          <w:szCs w:val="24"/>
        </w:rPr>
        <w:t xml:space="preserve">, </w:t>
      </w:r>
      <w:r w:rsidR="00721C36">
        <w:rPr>
          <w:rFonts w:ascii="Arial" w:hAnsi="Arial" w:cs="Arial"/>
          <w:sz w:val="24"/>
          <w:szCs w:val="24"/>
        </w:rPr>
        <w:t xml:space="preserve">o Poder Executivo </w:t>
      </w:r>
      <w:r w:rsidR="00F94176">
        <w:rPr>
          <w:rFonts w:ascii="Arial" w:hAnsi="Arial" w:cs="Arial"/>
          <w:sz w:val="24"/>
          <w:szCs w:val="24"/>
        </w:rPr>
        <w:t xml:space="preserve">vem </w:t>
      </w:r>
      <w:r w:rsidR="00721C36">
        <w:rPr>
          <w:rFonts w:ascii="Arial" w:hAnsi="Arial" w:cs="Arial"/>
          <w:sz w:val="24"/>
          <w:szCs w:val="24"/>
        </w:rPr>
        <w:t>public</w:t>
      </w:r>
      <w:r w:rsidR="00F94176">
        <w:rPr>
          <w:rFonts w:ascii="Arial" w:hAnsi="Arial" w:cs="Arial"/>
          <w:sz w:val="24"/>
          <w:szCs w:val="24"/>
        </w:rPr>
        <w:t>ando</w:t>
      </w:r>
      <w:r w:rsidR="00284C0A" w:rsidRPr="00284C0A">
        <w:rPr>
          <w:rFonts w:ascii="Arial" w:hAnsi="Arial" w:cs="Arial"/>
          <w:sz w:val="24"/>
          <w:szCs w:val="24"/>
        </w:rPr>
        <w:t xml:space="preserve"> </w:t>
      </w:r>
      <w:r w:rsidR="00284C0A">
        <w:rPr>
          <w:rFonts w:ascii="Arial" w:hAnsi="Arial" w:cs="Arial"/>
          <w:sz w:val="24"/>
          <w:szCs w:val="24"/>
        </w:rPr>
        <w:t>no respectivo Portal da Transparência</w:t>
      </w:r>
      <w:r w:rsidR="00721C36">
        <w:rPr>
          <w:rFonts w:ascii="Arial" w:hAnsi="Arial" w:cs="Arial"/>
          <w:sz w:val="24"/>
          <w:szCs w:val="24"/>
        </w:rPr>
        <w:t xml:space="preserve">, </w:t>
      </w:r>
      <w:r w:rsidR="00F94176">
        <w:rPr>
          <w:rFonts w:ascii="Arial" w:hAnsi="Arial" w:cs="Arial"/>
          <w:sz w:val="24"/>
          <w:szCs w:val="24"/>
        </w:rPr>
        <w:t>desde</w:t>
      </w:r>
      <w:r w:rsidR="00721C36">
        <w:rPr>
          <w:rFonts w:ascii="Arial" w:hAnsi="Arial" w:cs="Arial"/>
          <w:sz w:val="24"/>
          <w:szCs w:val="24"/>
        </w:rPr>
        <w:t xml:space="preserve"> 2016, </w:t>
      </w:r>
      <w:r w:rsidR="00284C0A">
        <w:rPr>
          <w:rFonts w:ascii="Arial" w:hAnsi="Arial" w:cs="Arial"/>
          <w:sz w:val="24"/>
          <w:szCs w:val="24"/>
        </w:rPr>
        <w:t xml:space="preserve">diversas </w:t>
      </w:r>
      <w:r w:rsidR="008742A7">
        <w:rPr>
          <w:rFonts w:ascii="Arial" w:hAnsi="Arial" w:cs="Arial"/>
          <w:sz w:val="24"/>
          <w:szCs w:val="24"/>
        </w:rPr>
        <w:t xml:space="preserve">informações, mais precisamente na </w:t>
      </w:r>
      <w:r w:rsidR="008742A7" w:rsidRPr="003A4013">
        <w:rPr>
          <w:rFonts w:ascii="Arial" w:hAnsi="Arial" w:cs="Arial"/>
          <w:b/>
          <w:sz w:val="24"/>
          <w:szCs w:val="24"/>
        </w:rPr>
        <w:t xml:space="preserve">última aba, denominada “Gestão Fiscal </w:t>
      </w:r>
      <w:r w:rsidR="00284C0A" w:rsidRPr="003A4013">
        <w:rPr>
          <w:rFonts w:ascii="Arial" w:hAnsi="Arial" w:cs="Arial"/>
          <w:b/>
          <w:sz w:val="24"/>
          <w:szCs w:val="24"/>
        </w:rPr>
        <w:t>e</w:t>
      </w:r>
      <w:r w:rsidR="008742A7" w:rsidRPr="003A4013">
        <w:rPr>
          <w:rFonts w:ascii="Arial" w:hAnsi="Arial" w:cs="Arial"/>
          <w:b/>
          <w:sz w:val="24"/>
          <w:szCs w:val="24"/>
        </w:rPr>
        <w:t xml:space="preserve"> Governamental”</w:t>
      </w:r>
      <w:r w:rsidR="001C51FD">
        <w:rPr>
          <w:rStyle w:val="Refdenotaderodap"/>
          <w:rFonts w:ascii="Arial" w:hAnsi="Arial" w:cs="Arial"/>
          <w:b/>
          <w:sz w:val="24"/>
          <w:szCs w:val="24"/>
        </w:rPr>
        <w:footnoteReference w:id="14"/>
      </w:r>
      <w:r w:rsidR="008742A7">
        <w:rPr>
          <w:rFonts w:ascii="Arial" w:hAnsi="Arial" w:cs="Arial"/>
          <w:sz w:val="24"/>
          <w:szCs w:val="24"/>
        </w:rPr>
        <w:t xml:space="preserve">, </w:t>
      </w:r>
      <w:r w:rsidR="00014689">
        <w:rPr>
          <w:rFonts w:ascii="Arial" w:hAnsi="Arial" w:cs="Arial"/>
          <w:sz w:val="24"/>
          <w:szCs w:val="24"/>
        </w:rPr>
        <w:t>sobre</w:t>
      </w:r>
      <w:r w:rsidR="008742A7">
        <w:rPr>
          <w:rFonts w:ascii="Arial" w:hAnsi="Arial" w:cs="Arial"/>
          <w:sz w:val="24"/>
          <w:szCs w:val="24"/>
        </w:rPr>
        <w:t xml:space="preserve"> a</w:t>
      </w:r>
      <w:r w:rsidR="00014689">
        <w:rPr>
          <w:rFonts w:ascii="Arial" w:hAnsi="Arial" w:cs="Arial"/>
          <w:sz w:val="24"/>
          <w:szCs w:val="24"/>
        </w:rPr>
        <w:t xml:space="preserve"> concessão de</w:t>
      </w:r>
      <w:r w:rsidR="008742A7">
        <w:rPr>
          <w:rFonts w:ascii="Arial" w:hAnsi="Arial" w:cs="Arial"/>
          <w:sz w:val="24"/>
          <w:szCs w:val="24"/>
        </w:rPr>
        <w:t xml:space="preserve"> </w:t>
      </w:r>
      <w:r w:rsidR="003A5E26">
        <w:rPr>
          <w:rFonts w:ascii="Arial" w:hAnsi="Arial" w:cs="Arial"/>
          <w:sz w:val="24"/>
          <w:szCs w:val="24"/>
        </w:rPr>
        <w:t>incentivos</w:t>
      </w:r>
      <w:r w:rsidR="008742A7">
        <w:rPr>
          <w:rFonts w:ascii="Arial" w:hAnsi="Arial" w:cs="Arial"/>
          <w:sz w:val="24"/>
          <w:szCs w:val="24"/>
        </w:rPr>
        <w:t xml:space="preserve"> fiscais,</w:t>
      </w:r>
      <w:r>
        <w:rPr>
          <w:rFonts w:ascii="Arial" w:hAnsi="Arial" w:cs="Arial"/>
          <w:sz w:val="24"/>
          <w:szCs w:val="24"/>
        </w:rPr>
        <w:t xml:space="preserve"> de benefícios econômicos e formalização de</w:t>
      </w:r>
      <w:r w:rsidR="008742A7">
        <w:rPr>
          <w:rFonts w:ascii="Arial" w:hAnsi="Arial" w:cs="Arial"/>
          <w:sz w:val="24"/>
          <w:szCs w:val="24"/>
        </w:rPr>
        <w:t xml:space="preserve"> Termos de Adesão de Regime </w:t>
      </w:r>
      <w:r w:rsidR="00284C0A">
        <w:rPr>
          <w:rFonts w:ascii="Arial" w:hAnsi="Arial" w:cs="Arial"/>
          <w:sz w:val="24"/>
          <w:szCs w:val="24"/>
        </w:rPr>
        <w:t>Especial</w:t>
      </w:r>
      <w:r w:rsidR="008742A7">
        <w:rPr>
          <w:rFonts w:ascii="Arial" w:hAnsi="Arial" w:cs="Arial"/>
          <w:sz w:val="24"/>
          <w:szCs w:val="24"/>
        </w:rPr>
        <w:t xml:space="preserve"> (TARE’s).</w:t>
      </w:r>
    </w:p>
    <w:p w14:paraId="07B95448" w14:textId="0E0E338A" w:rsidR="003B08B5" w:rsidRDefault="003B08B5" w:rsidP="003B08B5">
      <w:pPr>
        <w:spacing w:line="360" w:lineRule="auto"/>
        <w:ind w:firstLine="851"/>
        <w:jc w:val="both"/>
        <w:rPr>
          <w:rFonts w:ascii="Arial" w:hAnsi="Arial" w:cs="Arial"/>
          <w:sz w:val="24"/>
          <w:szCs w:val="24"/>
        </w:rPr>
      </w:pPr>
      <w:r>
        <w:rPr>
          <w:rFonts w:ascii="Arial" w:hAnsi="Arial" w:cs="Arial"/>
          <w:sz w:val="24"/>
          <w:szCs w:val="24"/>
        </w:rPr>
        <w:lastRenderedPageBreak/>
        <w:t xml:space="preserve">Essa iniciativa atendeu à </w:t>
      </w:r>
      <w:r w:rsidRPr="003B08B5">
        <w:rPr>
          <w:rFonts w:ascii="Arial" w:hAnsi="Arial" w:cs="Arial"/>
          <w:sz w:val="24"/>
          <w:szCs w:val="24"/>
          <w:u w:val="single"/>
        </w:rPr>
        <w:t>recomendação nº 15 do parecer prévio do TCE/GO relativo às contas do governador de 2014</w:t>
      </w:r>
      <w:r>
        <w:rPr>
          <w:rFonts w:ascii="Arial" w:hAnsi="Arial" w:cs="Arial"/>
          <w:sz w:val="24"/>
          <w:szCs w:val="24"/>
        </w:rPr>
        <w:t xml:space="preserve">, reiterada na recomendação nº 19 do parecer prévio relativo às contas do ano subsequente, </w:t>
      </w:r>
      <w:r w:rsidR="007E34E8">
        <w:rPr>
          <w:rFonts w:ascii="Arial" w:hAnsi="Arial" w:cs="Arial"/>
          <w:sz w:val="24"/>
          <w:szCs w:val="24"/>
        </w:rPr>
        <w:t xml:space="preserve">e se utilizou nos dados informados pelos próprios contribuintes por meio da respectiva </w:t>
      </w:r>
      <w:r w:rsidR="007E34E8" w:rsidRPr="007E34E8">
        <w:rPr>
          <w:rFonts w:ascii="Arial" w:hAnsi="Arial" w:cs="Arial"/>
          <w:sz w:val="24"/>
          <w:szCs w:val="24"/>
        </w:rPr>
        <w:t>Escrituração Fiscal Digital (EFD)</w:t>
      </w:r>
      <w:r w:rsidR="007E34E8">
        <w:rPr>
          <w:rFonts w:ascii="Arial" w:hAnsi="Arial" w:cs="Arial"/>
          <w:sz w:val="24"/>
          <w:szCs w:val="24"/>
        </w:rPr>
        <w:t xml:space="preserve">, sujeita a eventuais alterações e/ou retificações por parte do </w:t>
      </w:r>
      <w:r w:rsidR="001C51FD">
        <w:rPr>
          <w:rFonts w:ascii="Arial" w:hAnsi="Arial" w:cs="Arial"/>
          <w:sz w:val="24"/>
          <w:szCs w:val="24"/>
        </w:rPr>
        <w:t>Fisco</w:t>
      </w:r>
      <w:r>
        <w:rPr>
          <w:rFonts w:ascii="Arial" w:hAnsi="Arial" w:cs="Arial"/>
          <w:sz w:val="24"/>
          <w:szCs w:val="24"/>
        </w:rPr>
        <w:t>.</w:t>
      </w:r>
    </w:p>
    <w:p w14:paraId="33DD3B6C" w14:textId="17C6A1CA" w:rsidR="003B08B5" w:rsidRDefault="003A4013" w:rsidP="00E30146">
      <w:pPr>
        <w:spacing w:line="360" w:lineRule="auto"/>
        <w:ind w:firstLine="851"/>
        <w:jc w:val="both"/>
        <w:rPr>
          <w:rFonts w:ascii="Arial" w:hAnsi="Arial" w:cs="Arial"/>
          <w:sz w:val="24"/>
          <w:szCs w:val="24"/>
        </w:rPr>
      </w:pPr>
      <w:r w:rsidRPr="008C73C0">
        <w:rPr>
          <w:rFonts w:ascii="Arial" w:hAnsi="Arial" w:cs="Arial"/>
          <w:b/>
          <w:sz w:val="24"/>
          <w:szCs w:val="24"/>
        </w:rPr>
        <w:t>3.3.2.1</w:t>
      </w:r>
      <w:r>
        <w:rPr>
          <w:rFonts w:ascii="Arial" w:hAnsi="Arial" w:cs="Arial"/>
          <w:b/>
          <w:sz w:val="24"/>
          <w:szCs w:val="24"/>
        </w:rPr>
        <w:t>.2</w:t>
      </w:r>
      <w:r w:rsidR="00E44A98">
        <w:rPr>
          <w:rFonts w:ascii="Arial" w:hAnsi="Arial" w:cs="Arial"/>
          <w:b/>
          <w:sz w:val="24"/>
          <w:szCs w:val="24"/>
        </w:rPr>
        <w:t>.</w:t>
      </w:r>
      <w:r>
        <w:rPr>
          <w:rFonts w:ascii="Arial" w:hAnsi="Arial" w:cs="Arial"/>
          <w:b/>
          <w:sz w:val="24"/>
          <w:szCs w:val="24"/>
        </w:rPr>
        <w:t xml:space="preserve"> </w:t>
      </w:r>
      <w:r w:rsidR="00014689">
        <w:rPr>
          <w:rFonts w:ascii="Arial" w:hAnsi="Arial" w:cs="Arial"/>
          <w:sz w:val="24"/>
          <w:szCs w:val="24"/>
        </w:rPr>
        <w:t xml:space="preserve">As informações relativas aos </w:t>
      </w:r>
      <w:r w:rsidRPr="0019376E">
        <w:rPr>
          <w:rFonts w:ascii="Arial" w:hAnsi="Arial" w:cs="Arial"/>
          <w:b/>
          <w:sz w:val="24"/>
          <w:szCs w:val="24"/>
        </w:rPr>
        <w:t>incentivos</w:t>
      </w:r>
      <w:r w:rsidR="00014689" w:rsidRPr="0019376E">
        <w:rPr>
          <w:rFonts w:ascii="Arial" w:hAnsi="Arial" w:cs="Arial"/>
          <w:b/>
          <w:sz w:val="24"/>
          <w:szCs w:val="24"/>
        </w:rPr>
        <w:t xml:space="preserve"> fiscais</w:t>
      </w:r>
      <w:r w:rsidR="00050C51">
        <w:rPr>
          <w:rStyle w:val="Refdenotaderodap"/>
          <w:rFonts w:ascii="Arial" w:hAnsi="Arial" w:cs="Arial"/>
          <w:b/>
          <w:sz w:val="24"/>
          <w:szCs w:val="24"/>
        </w:rPr>
        <w:footnoteReference w:id="15"/>
      </w:r>
      <w:r w:rsidR="00014689">
        <w:rPr>
          <w:rFonts w:ascii="Arial" w:hAnsi="Arial" w:cs="Arial"/>
          <w:sz w:val="24"/>
          <w:szCs w:val="24"/>
        </w:rPr>
        <w:t xml:space="preserve"> </w:t>
      </w:r>
      <w:r>
        <w:rPr>
          <w:rFonts w:ascii="Arial" w:hAnsi="Arial" w:cs="Arial"/>
          <w:sz w:val="24"/>
          <w:szCs w:val="24"/>
        </w:rPr>
        <w:t xml:space="preserve">– denominados no Portal da Transparência de “benefícios fiscais” – discriminam </w:t>
      </w:r>
      <w:r w:rsidR="000E3170">
        <w:rPr>
          <w:rFonts w:ascii="Arial" w:hAnsi="Arial" w:cs="Arial"/>
          <w:sz w:val="24"/>
          <w:szCs w:val="24"/>
        </w:rPr>
        <w:t>os</w:t>
      </w:r>
      <w:r>
        <w:rPr>
          <w:rFonts w:ascii="Arial" w:hAnsi="Arial" w:cs="Arial"/>
          <w:sz w:val="24"/>
          <w:szCs w:val="24"/>
        </w:rPr>
        <w:t xml:space="preserve"> </w:t>
      </w:r>
      <w:r w:rsidRPr="0019376E">
        <w:rPr>
          <w:rFonts w:ascii="Arial" w:hAnsi="Arial" w:cs="Arial"/>
          <w:sz w:val="24"/>
          <w:szCs w:val="24"/>
          <w:u w:val="single"/>
        </w:rPr>
        <w:t>benefícios concedidos por grupo macro estratégico</w:t>
      </w:r>
      <w:r>
        <w:rPr>
          <w:rFonts w:ascii="Arial" w:hAnsi="Arial" w:cs="Arial"/>
          <w:sz w:val="24"/>
          <w:szCs w:val="24"/>
        </w:rPr>
        <w:t xml:space="preserve"> (</w:t>
      </w:r>
      <w:r w:rsidR="0019376E">
        <w:rPr>
          <w:rFonts w:ascii="Arial" w:hAnsi="Arial" w:cs="Arial"/>
          <w:sz w:val="24"/>
          <w:szCs w:val="24"/>
        </w:rPr>
        <w:t>produção agropecuária; prestação de serviço; indústria; extrator mineral ou fóssil; comércio varejista; comércio atacadista e distribuidor; comunicação; combustível; e atividades não sujeitas ao ICMS</w:t>
      </w:r>
      <w:r>
        <w:rPr>
          <w:rFonts w:ascii="Arial" w:hAnsi="Arial" w:cs="Arial"/>
          <w:sz w:val="24"/>
          <w:szCs w:val="24"/>
        </w:rPr>
        <w:t>)</w:t>
      </w:r>
      <w:r w:rsidR="00BA5E88">
        <w:rPr>
          <w:rFonts w:ascii="Arial" w:hAnsi="Arial" w:cs="Arial"/>
          <w:sz w:val="24"/>
          <w:szCs w:val="24"/>
        </w:rPr>
        <w:t xml:space="preserve">, com indicação dos respectivos </w:t>
      </w:r>
      <w:r w:rsidR="00BA5E88" w:rsidRPr="000E3170">
        <w:rPr>
          <w:rFonts w:ascii="Arial" w:hAnsi="Arial" w:cs="Arial"/>
          <w:sz w:val="24"/>
          <w:szCs w:val="24"/>
          <w:u w:val="single"/>
        </w:rPr>
        <w:t>percentuais</w:t>
      </w:r>
      <w:r w:rsidR="000E3170">
        <w:rPr>
          <w:rFonts w:ascii="Arial" w:hAnsi="Arial" w:cs="Arial"/>
          <w:sz w:val="24"/>
          <w:szCs w:val="24"/>
        </w:rPr>
        <w:t xml:space="preserve">, </w:t>
      </w:r>
      <w:r w:rsidR="00BA5E88" w:rsidRPr="000E3170">
        <w:rPr>
          <w:rFonts w:ascii="Arial" w:hAnsi="Arial" w:cs="Arial"/>
          <w:sz w:val="24"/>
          <w:szCs w:val="24"/>
          <w:u w:val="single"/>
        </w:rPr>
        <w:t>possibilidade de filtros</w:t>
      </w:r>
      <w:r w:rsidR="00BA5E88">
        <w:rPr>
          <w:rFonts w:ascii="Arial" w:hAnsi="Arial" w:cs="Arial"/>
          <w:sz w:val="24"/>
          <w:szCs w:val="24"/>
        </w:rPr>
        <w:t xml:space="preserve"> (ano e mês de referência; nome do benefício; </w:t>
      </w:r>
      <w:r w:rsidR="000E3170">
        <w:rPr>
          <w:rFonts w:ascii="Arial" w:hAnsi="Arial" w:cs="Arial"/>
          <w:sz w:val="24"/>
          <w:szCs w:val="24"/>
        </w:rPr>
        <w:t xml:space="preserve">seção e divisão segundo a </w:t>
      </w:r>
      <w:r w:rsidR="00BA5E88">
        <w:rPr>
          <w:rFonts w:ascii="Arial" w:hAnsi="Arial" w:cs="Arial"/>
          <w:sz w:val="24"/>
          <w:szCs w:val="24"/>
        </w:rPr>
        <w:t>Classificação Nacional de Atividades Econômicas – CNAE)</w:t>
      </w:r>
      <w:r w:rsidR="000E3170">
        <w:rPr>
          <w:rFonts w:ascii="Arial" w:hAnsi="Arial" w:cs="Arial"/>
          <w:sz w:val="24"/>
          <w:szCs w:val="24"/>
        </w:rPr>
        <w:t xml:space="preserve"> e </w:t>
      </w:r>
      <w:r w:rsidR="007F4E64">
        <w:rPr>
          <w:rFonts w:ascii="Arial" w:hAnsi="Arial" w:cs="Arial"/>
          <w:sz w:val="24"/>
          <w:szCs w:val="24"/>
        </w:rPr>
        <w:t>valores em espécie correspondentes</w:t>
      </w:r>
      <w:r w:rsidR="0019376E">
        <w:rPr>
          <w:rFonts w:ascii="Arial" w:hAnsi="Arial" w:cs="Arial"/>
          <w:sz w:val="24"/>
          <w:szCs w:val="24"/>
        </w:rPr>
        <w:t>.</w:t>
      </w:r>
      <w:r w:rsidR="003E1D02">
        <w:rPr>
          <w:rFonts w:ascii="Arial" w:hAnsi="Arial" w:cs="Arial"/>
          <w:sz w:val="24"/>
          <w:szCs w:val="24"/>
        </w:rPr>
        <w:t xml:space="preserve"> </w:t>
      </w:r>
    </w:p>
    <w:p w14:paraId="62B4B1E0" w14:textId="1DD516FE" w:rsidR="00F53B89" w:rsidRDefault="00F53B89" w:rsidP="00F53B89">
      <w:pPr>
        <w:spacing w:line="360" w:lineRule="auto"/>
        <w:ind w:firstLine="851"/>
        <w:jc w:val="both"/>
        <w:rPr>
          <w:rFonts w:ascii="Arial" w:hAnsi="Arial" w:cs="Arial"/>
          <w:sz w:val="24"/>
          <w:szCs w:val="24"/>
        </w:rPr>
      </w:pPr>
      <w:r w:rsidRPr="008C73C0">
        <w:rPr>
          <w:rFonts w:ascii="Arial" w:hAnsi="Arial" w:cs="Arial"/>
          <w:b/>
          <w:sz w:val="24"/>
          <w:szCs w:val="24"/>
        </w:rPr>
        <w:t>3.3.2.1</w:t>
      </w:r>
      <w:r>
        <w:rPr>
          <w:rFonts w:ascii="Arial" w:hAnsi="Arial" w:cs="Arial"/>
          <w:b/>
          <w:sz w:val="24"/>
          <w:szCs w:val="24"/>
        </w:rPr>
        <w:t>.3</w:t>
      </w:r>
      <w:r w:rsidR="00E44A98">
        <w:rPr>
          <w:rFonts w:ascii="Arial" w:hAnsi="Arial" w:cs="Arial"/>
          <w:b/>
          <w:sz w:val="24"/>
          <w:szCs w:val="24"/>
        </w:rPr>
        <w:t>.</w:t>
      </w:r>
      <w:r>
        <w:rPr>
          <w:rFonts w:ascii="Arial" w:hAnsi="Arial" w:cs="Arial"/>
          <w:b/>
          <w:sz w:val="24"/>
          <w:szCs w:val="24"/>
        </w:rPr>
        <w:t xml:space="preserve"> </w:t>
      </w:r>
      <w:r>
        <w:rPr>
          <w:rFonts w:ascii="Arial" w:hAnsi="Arial" w:cs="Arial"/>
          <w:sz w:val="24"/>
          <w:szCs w:val="24"/>
        </w:rPr>
        <w:t xml:space="preserve">As informações relativas aos </w:t>
      </w:r>
      <w:r w:rsidRPr="00F53B89">
        <w:rPr>
          <w:rFonts w:ascii="Arial" w:hAnsi="Arial" w:cs="Arial"/>
          <w:b/>
          <w:sz w:val="24"/>
          <w:szCs w:val="24"/>
        </w:rPr>
        <w:t>benefícios econômicos</w:t>
      </w:r>
      <w:r w:rsidR="00050C51">
        <w:rPr>
          <w:rStyle w:val="Refdenotaderodap"/>
          <w:rFonts w:ascii="Arial" w:hAnsi="Arial" w:cs="Arial"/>
          <w:b/>
          <w:sz w:val="24"/>
          <w:szCs w:val="24"/>
        </w:rPr>
        <w:footnoteReference w:id="16"/>
      </w:r>
      <w:r w:rsidRPr="00F53B89">
        <w:rPr>
          <w:rFonts w:ascii="Arial" w:hAnsi="Arial" w:cs="Arial"/>
          <w:b/>
          <w:sz w:val="24"/>
          <w:szCs w:val="24"/>
        </w:rPr>
        <w:t xml:space="preserve"> </w:t>
      </w:r>
      <w:r w:rsidR="00D06DA1">
        <w:rPr>
          <w:rFonts w:ascii="Arial" w:hAnsi="Arial" w:cs="Arial"/>
          <w:sz w:val="24"/>
          <w:szCs w:val="24"/>
        </w:rPr>
        <w:t>descrevem aquele</w:t>
      </w:r>
      <w:r w:rsidR="00437F86">
        <w:rPr>
          <w:rFonts w:ascii="Arial" w:hAnsi="Arial" w:cs="Arial"/>
          <w:sz w:val="24"/>
          <w:szCs w:val="24"/>
        </w:rPr>
        <w:t>s</w:t>
      </w:r>
      <w:r w:rsidR="00D06DA1">
        <w:rPr>
          <w:rFonts w:ascii="Arial" w:hAnsi="Arial" w:cs="Arial"/>
          <w:sz w:val="24"/>
          <w:szCs w:val="24"/>
        </w:rPr>
        <w:t xml:space="preserve"> concedidos por meio de crédito </w:t>
      </w:r>
      <w:r w:rsidR="00437F86">
        <w:rPr>
          <w:rFonts w:ascii="Arial" w:hAnsi="Arial" w:cs="Arial"/>
          <w:sz w:val="24"/>
          <w:szCs w:val="24"/>
        </w:rPr>
        <w:t xml:space="preserve">a pessoas físicas ou jurídicas </w:t>
      </w:r>
      <w:r w:rsidR="00D06DA1">
        <w:rPr>
          <w:rFonts w:ascii="Arial" w:hAnsi="Arial" w:cs="Arial"/>
          <w:sz w:val="24"/>
          <w:szCs w:val="24"/>
        </w:rPr>
        <w:t>via</w:t>
      </w:r>
      <w:r w:rsidR="00437F86">
        <w:rPr>
          <w:rFonts w:ascii="Arial" w:hAnsi="Arial" w:cs="Arial"/>
          <w:sz w:val="24"/>
          <w:szCs w:val="24"/>
        </w:rPr>
        <w:t xml:space="preserve"> Agência</w:t>
      </w:r>
      <w:r w:rsidR="00D06DA1">
        <w:rPr>
          <w:rFonts w:ascii="Arial" w:hAnsi="Arial" w:cs="Arial"/>
          <w:sz w:val="24"/>
          <w:szCs w:val="24"/>
        </w:rPr>
        <w:t xml:space="preserve"> </w:t>
      </w:r>
      <w:r w:rsidR="00437F86">
        <w:rPr>
          <w:rFonts w:ascii="Arial" w:hAnsi="Arial" w:cs="Arial"/>
          <w:sz w:val="24"/>
          <w:szCs w:val="24"/>
        </w:rPr>
        <w:t xml:space="preserve">de </w:t>
      </w:r>
      <w:r w:rsidR="00D06DA1">
        <w:rPr>
          <w:rFonts w:ascii="Arial" w:hAnsi="Arial" w:cs="Arial"/>
          <w:sz w:val="24"/>
          <w:szCs w:val="24"/>
        </w:rPr>
        <w:t>Fomento</w:t>
      </w:r>
      <w:r w:rsidR="00437F86">
        <w:rPr>
          <w:rFonts w:ascii="Arial" w:hAnsi="Arial" w:cs="Arial"/>
          <w:sz w:val="24"/>
          <w:szCs w:val="24"/>
        </w:rPr>
        <w:t xml:space="preserve"> de Goiás (Goiás Fomento)</w:t>
      </w:r>
      <w:r w:rsidR="00D06DA1">
        <w:rPr>
          <w:rFonts w:ascii="Arial" w:hAnsi="Arial" w:cs="Arial"/>
          <w:sz w:val="24"/>
          <w:szCs w:val="24"/>
        </w:rPr>
        <w:t xml:space="preserve">, </w:t>
      </w:r>
      <w:r w:rsidR="00437F86">
        <w:rPr>
          <w:rFonts w:ascii="Arial" w:hAnsi="Arial" w:cs="Arial"/>
          <w:sz w:val="24"/>
          <w:szCs w:val="24"/>
        </w:rPr>
        <w:t xml:space="preserve">com discriminação dos maiores benefícios concedidos por </w:t>
      </w:r>
      <w:r w:rsidR="00437F86" w:rsidRPr="007D04CA">
        <w:rPr>
          <w:rFonts w:ascii="Arial" w:hAnsi="Arial" w:cs="Arial"/>
          <w:sz w:val="24"/>
          <w:szCs w:val="24"/>
          <w:u w:val="single"/>
        </w:rPr>
        <w:t>divisões CNAE</w:t>
      </w:r>
      <w:r w:rsidR="00437F86">
        <w:rPr>
          <w:rFonts w:ascii="Arial" w:hAnsi="Arial" w:cs="Arial"/>
          <w:sz w:val="24"/>
          <w:szCs w:val="24"/>
        </w:rPr>
        <w:t xml:space="preserve"> (comércio atacadista, varejista, alimentação, atividades imobiliárias etc.)</w:t>
      </w:r>
      <w:r w:rsidR="007D04CA">
        <w:rPr>
          <w:rFonts w:ascii="Arial" w:hAnsi="Arial" w:cs="Arial"/>
          <w:sz w:val="24"/>
          <w:szCs w:val="24"/>
        </w:rPr>
        <w:t xml:space="preserve">, por </w:t>
      </w:r>
      <w:r w:rsidR="007D04CA" w:rsidRPr="007D04CA">
        <w:rPr>
          <w:rFonts w:ascii="Arial" w:hAnsi="Arial" w:cs="Arial"/>
          <w:sz w:val="24"/>
          <w:szCs w:val="24"/>
          <w:u w:val="single"/>
        </w:rPr>
        <w:t>municípios atendidos</w:t>
      </w:r>
      <w:r w:rsidR="007D04CA">
        <w:rPr>
          <w:rFonts w:ascii="Arial" w:hAnsi="Arial" w:cs="Arial"/>
          <w:sz w:val="24"/>
          <w:szCs w:val="24"/>
        </w:rPr>
        <w:t xml:space="preserve">; indicação das </w:t>
      </w:r>
      <w:r w:rsidR="007D04CA" w:rsidRPr="007D04CA">
        <w:rPr>
          <w:rFonts w:ascii="Arial" w:hAnsi="Arial" w:cs="Arial"/>
          <w:sz w:val="24"/>
          <w:szCs w:val="24"/>
          <w:u w:val="single"/>
        </w:rPr>
        <w:t>modalidades de créditos</w:t>
      </w:r>
      <w:r w:rsidR="007D04CA">
        <w:rPr>
          <w:rFonts w:ascii="Arial" w:hAnsi="Arial" w:cs="Arial"/>
          <w:sz w:val="24"/>
          <w:szCs w:val="24"/>
        </w:rPr>
        <w:t xml:space="preserve">, dos </w:t>
      </w:r>
      <w:r w:rsidR="007D04CA" w:rsidRPr="007D04CA">
        <w:rPr>
          <w:rFonts w:ascii="Arial" w:hAnsi="Arial" w:cs="Arial"/>
          <w:sz w:val="24"/>
          <w:szCs w:val="24"/>
          <w:u w:val="single"/>
        </w:rPr>
        <w:t>valores</w:t>
      </w:r>
      <w:r w:rsidR="007D04CA">
        <w:rPr>
          <w:rFonts w:ascii="Arial" w:hAnsi="Arial" w:cs="Arial"/>
          <w:sz w:val="24"/>
          <w:szCs w:val="24"/>
        </w:rPr>
        <w:t xml:space="preserve"> contratados e liberados, datas de início e término do contrato etc.</w:t>
      </w:r>
    </w:p>
    <w:p w14:paraId="7DC22B73" w14:textId="0E48086E" w:rsidR="00051051" w:rsidRDefault="00051051" w:rsidP="00051051">
      <w:pPr>
        <w:spacing w:line="360" w:lineRule="auto"/>
        <w:ind w:firstLine="851"/>
        <w:jc w:val="both"/>
        <w:rPr>
          <w:rFonts w:ascii="Arial" w:hAnsi="Arial" w:cs="Arial"/>
          <w:sz w:val="24"/>
          <w:szCs w:val="24"/>
        </w:rPr>
      </w:pPr>
      <w:r w:rsidRPr="008C73C0">
        <w:rPr>
          <w:rFonts w:ascii="Arial" w:hAnsi="Arial" w:cs="Arial"/>
          <w:b/>
          <w:sz w:val="24"/>
          <w:szCs w:val="24"/>
        </w:rPr>
        <w:t>3.3.2.1</w:t>
      </w:r>
      <w:r>
        <w:rPr>
          <w:rFonts w:ascii="Arial" w:hAnsi="Arial" w:cs="Arial"/>
          <w:b/>
          <w:sz w:val="24"/>
          <w:szCs w:val="24"/>
        </w:rPr>
        <w:t>.4</w:t>
      </w:r>
      <w:r w:rsidR="00E44A98">
        <w:rPr>
          <w:rFonts w:ascii="Arial" w:hAnsi="Arial" w:cs="Arial"/>
          <w:b/>
          <w:sz w:val="24"/>
          <w:szCs w:val="24"/>
        </w:rPr>
        <w:t>.</w:t>
      </w:r>
      <w:r>
        <w:rPr>
          <w:rFonts w:ascii="Arial" w:hAnsi="Arial" w:cs="Arial"/>
          <w:b/>
          <w:sz w:val="24"/>
          <w:szCs w:val="24"/>
        </w:rPr>
        <w:t xml:space="preserve"> </w:t>
      </w:r>
      <w:r>
        <w:rPr>
          <w:rFonts w:ascii="Arial" w:hAnsi="Arial" w:cs="Arial"/>
          <w:sz w:val="24"/>
          <w:szCs w:val="24"/>
        </w:rPr>
        <w:t xml:space="preserve">As informações relativas aos </w:t>
      </w:r>
      <w:r w:rsidRPr="00051051">
        <w:rPr>
          <w:rFonts w:ascii="Arial" w:hAnsi="Arial" w:cs="Arial"/>
          <w:b/>
          <w:sz w:val="24"/>
          <w:szCs w:val="24"/>
        </w:rPr>
        <w:t>TARE’s</w:t>
      </w:r>
      <w:r>
        <w:rPr>
          <w:rStyle w:val="Refdenotaderodap"/>
          <w:rFonts w:ascii="Arial" w:hAnsi="Arial" w:cs="Arial"/>
          <w:b/>
          <w:sz w:val="24"/>
          <w:szCs w:val="24"/>
        </w:rPr>
        <w:footnoteReference w:id="17"/>
      </w:r>
      <w:r w:rsidRPr="00F53B89">
        <w:rPr>
          <w:rFonts w:ascii="Arial" w:hAnsi="Arial" w:cs="Arial"/>
          <w:b/>
          <w:sz w:val="24"/>
          <w:szCs w:val="24"/>
        </w:rPr>
        <w:t xml:space="preserve"> </w:t>
      </w:r>
      <w:r>
        <w:rPr>
          <w:rFonts w:ascii="Arial" w:hAnsi="Arial" w:cs="Arial"/>
          <w:sz w:val="24"/>
          <w:szCs w:val="24"/>
        </w:rPr>
        <w:t xml:space="preserve">descrevem </w:t>
      </w:r>
      <w:r w:rsidR="00051219">
        <w:rPr>
          <w:rFonts w:ascii="Arial" w:hAnsi="Arial" w:cs="Arial"/>
          <w:sz w:val="24"/>
          <w:szCs w:val="24"/>
        </w:rPr>
        <w:t xml:space="preserve">a </w:t>
      </w:r>
      <w:r w:rsidR="00051219" w:rsidRPr="003B3139">
        <w:rPr>
          <w:rFonts w:ascii="Arial" w:hAnsi="Arial" w:cs="Arial"/>
          <w:sz w:val="24"/>
          <w:szCs w:val="24"/>
          <w:u w:val="single"/>
        </w:rPr>
        <w:t>quantidade de instrumentos dessa natureza formalizados por atividade econômica</w:t>
      </w:r>
      <w:r w:rsidR="00051219">
        <w:rPr>
          <w:rFonts w:ascii="Arial" w:hAnsi="Arial" w:cs="Arial"/>
          <w:sz w:val="24"/>
          <w:szCs w:val="24"/>
        </w:rPr>
        <w:t xml:space="preserve"> (indústrias de transformação; comércio; reparação de veículos automotores e motocicletas; indústrias extrativas etc)</w:t>
      </w:r>
      <w:r w:rsidR="003B3139">
        <w:rPr>
          <w:rFonts w:ascii="Arial" w:hAnsi="Arial" w:cs="Arial"/>
          <w:sz w:val="24"/>
          <w:szCs w:val="24"/>
        </w:rPr>
        <w:t xml:space="preserve">; respectivos </w:t>
      </w:r>
      <w:r w:rsidR="003B3139" w:rsidRPr="003B3139">
        <w:rPr>
          <w:rFonts w:ascii="Arial" w:hAnsi="Arial" w:cs="Arial"/>
          <w:sz w:val="24"/>
          <w:szCs w:val="24"/>
          <w:u w:val="single"/>
        </w:rPr>
        <w:t>percentuais</w:t>
      </w:r>
      <w:r w:rsidR="003B3139">
        <w:rPr>
          <w:rFonts w:ascii="Arial" w:hAnsi="Arial" w:cs="Arial"/>
          <w:sz w:val="24"/>
          <w:szCs w:val="24"/>
        </w:rPr>
        <w:t xml:space="preserve">; </w:t>
      </w:r>
      <w:r w:rsidR="00106A25" w:rsidRPr="00106A25">
        <w:rPr>
          <w:rFonts w:ascii="Arial" w:hAnsi="Arial" w:cs="Arial"/>
          <w:sz w:val="24"/>
          <w:szCs w:val="24"/>
        </w:rPr>
        <w:t>descrição sumária</w:t>
      </w:r>
      <w:r w:rsidR="00106A25">
        <w:rPr>
          <w:rFonts w:ascii="Arial" w:hAnsi="Arial" w:cs="Arial"/>
          <w:sz w:val="24"/>
          <w:szCs w:val="24"/>
        </w:rPr>
        <w:t xml:space="preserve"> dos respectivos </w:t>
      </w:r>
      <w:r w:rsidR="00106A25" w:rsidRPr="00106A25">
        <w:rPr>
          <w:rFonts w:ascii="Arial" w:hAnsi="Arial" w:cs="Arial"/>
          <w:sz w:val="24"/>
          <w:szCs w:val="24"/>
          <w:u w:val="single"/>
        </w:rPr>
        <w:t>conteúdos</w:t>
      </w:r>
      <w:r w:rsidR="00106A25">
        <w:rPr>
          <w:rFonts w:ascii="Arial" w:hAnsi="Arial" w:cs="Arial"/>
          <w:sz w:val="24"/>
          <w:szCs w:val="24"/>
        </w:rPr>
        <w:t xml:space="preserve">; </w:t>
      </w:r>
      <w:r w:rsidR="00106A25" w:rsidRPr="00106A25">
        <w:rPr>
          <w:rFonts w:ascii="Arial" w:hAnsi="Arial" w:cs="Arial"/>
          <w:sz w:val="24"/>
          <w:szCs w:val="24"/>
          <w:u w:val="single"/>
        </w:rPr>
        <w:t>data</w:t>
      </w:r>
      <w:r w:rsidR="00106A25">
        <w:rPr>
          <w:rFonts w:ascii="Arial" w:hAnsi="Arial" w:cs="Arial"/>
          <w:sz w:val="24"/>
          <w:szCs w:val="24"/>
        </w:rPr>
        <w:t xml:space="preserve"> de início e fim de cada TARE; dentre outros dados pertinentes</w:t>
      </w:r>
      <w:r>
        <w:rPr>
          <w:rFonts w:ascii="Arial" w:hAnsi="Arial" w:cs="Arial"/>
          <w:sz w:val="24"/>
          <w:szCs w:val="24"/>
        </w:rPr>
        <w:t>.</w:t>
      </w:r>
    </w:p>
    <w:p w14:paraId="2969ECBC" w14:textId="26D43FB4" w:rsidR="007D19E0" w:rsidRDefault="007E7CD9" w:rsidP="00051051">
      <w:pPr>
        <w:spacing w:line="360" w:lineRule="auto"/>
        <w:ind w:firstLine="851"/>
        <w:jc w:val="both"/>
        <w:rPr>
          <w:rFonts w:ascii="Arial" w:hAnsi="Arial" w:cs="Arial"/>
          <w:sz w:val="24"/>
          <w:szCs w:val="24"/>
        </w:rPr>
      </w:pPr>
      <w:r w:rsidRPr="007E7CD9">
        <w:rPr>
          <w:rFonts w:ascii="Arial" w:hAnsi="Arial" w:cs="Arial"/>
          <w:sz w:val="24"/>
          <w:szCs w:val="24"/>
        </w:rPr>
        <w:t>As regras gerais sobre o pedido e a concessão de regime especial</w:t>
      </w:r>
      <w:r>
        <w:rPr>
          <w:rFonts w:ascii="Arial" w:hAnsi="Arial" w:cs="Arial"/>
          <w:sz w:val="24"/>
          <w:szCs w:val="24"/>
        </w:rPr>
        <w:t xml:space="preserve"> a contribuintes se encontram disciplinadas </w:t>
      </w:r>
      <w:r w:rsidRPr="007E7CD9">
        <w:rPr>
          <w:rFonts w:ascii="Arial" w:hAnsi="Arial" w:cs="Arial"/>
          <w:sz w:val="24"/>
          <w:szCs w:val="24"/>
        </w:rPr>
        <w:t xml:space="preserve">nos arts. 464 a 470 do </w:t>
      </w:r>
      <w:r>
        <w:rPr>
          <w:rFonts w:ascii="Arial" w:hAnsi="Arial" w:cs="Arial"/>
          <w:sz w:val="24"/>
          <w:szCs w:val="24"/>
        </w:rPr>
        <w:t>Regulamento do Código Tributário do Estado de Goiás (</w:t>
      </w:r>
      <w:r w:rsidRPr="007E7CD9">
        <w:rPr>
          <w:rFonts w:ascii="Arial" w:hAnsi="Arial" w:cs="Arial"/>
          <w:sz w:val="24"/>
          <w:szCs w:val="24"/>
        </w:rPr>
        <w:t>RCTE/GO</w:t>
      </w:r>
      <w:r>
        <w:rPr>
          <w:rFonts w:ascii="Arial" w:hAnsi="Arial" w:cs="Arial"/>
          <w:sz w:val="24"/>
          <w:szCs w:val="24"/>
        </w:rPr>
        <w:t>)</w:t>
      </w:r>
      <w:r w:rsidRPr="007E7CD9">
        <w:rPr>
          <w:rFonts w:ascii="Arial" w:hAnsi="Arial" w:cs="Arial"/>
          <w:sz w:val="24"/>
          <w:szCs w:val="24"/>
        </w:rPr>
        <w:t>,</w:t>
      </w:r>
      <w:r w:rsidR="007D19E0">
        <w:rPr>
          <w:rFonts w:ascii="Arial" w:hAnsi="Arial" w:cs="Arial"/>
          <w:sz w:val="24"/>
          <w:szCs w:val="24"/>
        </w:rPr>
        <w:t xml:space="preserve"> nos seguintes termos:</w:t>
      </w:r>
    </w:p>
    <w:p w14:paraId="379C93FD" w14:textId="47A73E9C" w:rsidR="007D19E0" w:rsidRDefault="007D19E0" w:rsidP="00051051">
      <w:pPr>
        <w:spacing w:line="360" w:lineRule="auto"/>
        <w:ind w:firstLine="851"/>
        <w:jc w:val="both"/>
        <w:rPr>
          <w:rFonts w:ascii="Arial" w:hAnsi="Arial" w:cs="Arial"/>
          <w:sz w:val="24"/>
          <w:szCs w:val="24"/>
        </w:rPr>
      </w:pPr>
    </w:p>
    <w:p w14:paraId="3C5CDBD6" w14:textId="77777777" w:rsidR="007D19E0" w:rsidRPr="007D19E0" w:rsidRDefault="007D19E0" w:rsidP="001A04C9">
      <w:pPr>
        <w:ind w:left="2268"/>
        <w:jc w:val="center"/>
        <w:rPr>
          <w:rFonts w:ascii="Arial" w:hAnsi="Arial" w:cs="Arial"/>
          <w:sz w:val="22"/>
          <w:szCs w:val="22"/>
        </w:rPr>
      </w:pPr>
      <w:r w:rsidRPr="007D19E0">
        <w:rPr>
          <w:rFonts w:ascii="Arial" w:hAnsi="Arial" w:cs="Arial"/>
          <w:sz w:val="22"/>
          <w:szCs w:val="22"/>
        </w:rPr>
        <w:lastRenderedPageBreak/>
        <w:t>Seção I</w:t>
      </w:r>
    </w:p>
    <w:p w14:paraId="516A6693" w14:textId="28CA2E68" w:rsidR="007D19E0" w:rsidRDefault="007D19E0" w:rsidP="001A04C9">
      <w:pPr>
        <w:ind w:left="2268"/>
        <w:jc w:val="center"/>
        <w:rPr>
          <w:rFonts w:ascii="Arial" w:hAnsi="Arial" w:cs="Arial"/>
          <w:sz w:val="22"/>
          <w:szCs w:val="22"/>
        </w:rPr>
      </w:pPr>
      <w:r w:rsidRPr="007D19E0">
        <w:rPr>
          <w:rFonts w:ascii="Arial" w:hAnsi="Arial" w:cs="Arial"/>
          <w:sz w:val="22"/>
          <w:szCs w:val="22"/>
        </w:rPr>
        <w:t>Do Pedido e seu Encaminhamento</w:t>
      </w:r>
    </w:p>
    <w:p w14:paraId="6F631D87" w14:textId="77777777" w:rsidR="007D19E0" w:rsidRPr="007D19E0" w:rsidRDefault="007D19E0" w:rsidP="001A04C9">
      <w:pPr>
        <w:ind w:left="2268"/>
        <w:jc w:val="both"/>
        <w:rPr>
          <w:rFonts w:ascii="Arial" w:hAnsi="Arial" w:cs="Arial"/>
          <w:sz w:val="22"/>
          <w:szCs w:val="22"/>
        </w:rPr>
      </w:pPr>
    </w:p>
    <w:p w14:paraId="1AF97590" w14:textId="351F7551" w:rsidR="007D19E0" w:rsidRPr="007D19E0" w:rsidRDefault="007D19E0" w:rsidP="001A04C9">
      <w:pPr>
        <w:ind w:left="2268"/>
        <w:jc w:val="both"/>
        <w:rPr>
          <w:rFonts w:ascii="Arial" w:hAnsi="Arial" w:cs="Arial"/>
          <w:sz w:val="22"/>
          <w:szCs w:val="22"/>
        </w:rPr>
      </w:pPr>
      <w:r w:rsidRPr="00D07B15">
        <w:rPr>
          <w:rFonts w:ascii="Arial" w:hAnsi="Arial" w:cs="Arial"/>
          <w:b/>
          <w:sz w:val="22"/>
          <w:szCs w:val="22"/>
        </w:rPr>
        <w:t>Art. 464.</w:t>
      </w:r>
      <w:r w:rsidRPr="007D19E0">
        <w:rPr>
          <w:rFonts w:ascii="Arial" w:hAnsi="Arial" w:cs="Arial"/>
          <w:sz w:val="22"/>
          <w:szCs w:val="22"/>
        </w:rPr>
        <w:t xml:space="preserve"> O pedido de concessão de regime especial, devidamente instruído quanto à</w:t>
      </w:r>
      <w:r>
        <w:rPr>
          <w:rFonts w:ascii="Arial" w:hAnsi="Arial" w:cs="Arial"/>
          <w:sz w:val="22"/>
          <w:szCs w:val="22"/>
        </w:rPr>
        <w:t xml:space="preserve"> </w:t>
      </w:r>
      <w:r w:rsidRPr="007D19E0">
        <w:rPr>
          <w:rFonts w:ascii="Arial" w:hAnsi="Arial" w:cs="Arial"/>
          <w:sz w:val="22"/>
          <w:szCs w:val="22"/>
        </w:rPr>
        <w:t>identificação da empresa e de seus estabelecimentos, se houver, e com fac-símile dos modelos</w:t>
      </w:r>
      <w:r>
        <w:rPr>
          <w:rFonts w:ascii="Arial" w:hAnsi="Arial" w:cs="Arial"/>
          <w:sz w:val="22"/>
          <w:szCs w:val="22"/>
        </w:rPr>
        <w:t xml:space="preserve"> </w:t>
      </w:r>
      <w:r w:rsidRPr="007D19E0">
        <w:rPr>
          <w:rFonts w:ascii="Arial" w:hAnsi="Arial" w:cs="Arial"/>
          <w:sz w:val="22"/>
          <w:szCs w:val="22"/>
        </w:rPr>
        <w:t>e sistemas pretendidos, deve ser apresentado, pelo estabelecimento matriz, à repartição fiscal a</w:t>
      </w:r>
      <w:r>
        <w:rPr>
          <w:rFonts w:ascii="Arial" w:hAnsi="Arial" w:cs="Arial"/>
          <w:sz w:val="22"/>
          <w:szCs w:val="22"/>
        </w:rPr>
        <w:t xml:space="preserve"> </w:t>
      </w:r>
      <w:r w:rsidRPr="007D19E0">
        <w:rPr>
          <w:rFonts w:ascii="Arial" w:hAnsi="Arial" w:cs="Arial"/>
          <w:sz w:val="22"/>
          <w:szCs w:val="22"/>
        </w:rPr>
        <w:t>que estiver subordinado (Convênio AE-9/72, cláusula única, art. 1º).</w:t>
      </w:r>
    </w:p>
    <w:p w14:paraId="4EE88AE6" w14:textId="07B05FAD" w:rsidR="007D19E0" w:rsidRDefault="007D19E0" w:rsidP="001A04C9">
      <w:pPr>
        <w:ind w:left="2268"/>
        <w:jc w:val="both"/>
        <w:rPr>
          <w:rFonts w:ascii="Arial" w:hAnsi="Arial" w:cs="Arial"/>
          <w:sz w:val="22"/>
          <w:szCs w:val="22"/>
        </w:rPr>
      </w:pPr>
      <w:r w:rsidRPr="007D19E0">
        <w:rPr>
          <w:rFonts w:ascii="Arial" w:hAnsi="Arial" w:cs="Arial"/>
          <w:sz w:val="22"/>
          <w:szCs w:val="22"/>
        </w:rPr>
        <w:t>Parágrafo único. Quando o regime pleiteado abranger estabelecimento contribuinte do</w:t>
      </w:r>
      <w:r>
        <w:rPr>
          <w:rFonts w:ascii="Arial" w:hAnsi="Arial" w:cs="Arial"/>
          <w:sz w:val="22"/>
          <w:szCs w:val="22"/>
        </w:rPr>
        <w:t xml:space="preserve"> </w:t>
      </w:r>
      <w:r w:rsidRPr="007D19E0">
        <w:rPr>
          <w:rFonts w:ascii="Arial" w:hAnsi="Arial" w:cs="Arial"/>
          <w:sz w:val="22"/>
          <w:szCs w:val="22"/>
        </w:rPr>
        <w:t>Imposto sobre Produtos Industrializados, o fisco deve encaminhar o pedido, desde que favorável</w:t>
      </w:r>
      <w:r>
        <w:rPr>
          <w:rFonts w:ascii="Arial" w:hAnsi="Arial" w:cs="Arial"/>
          <w:sz w:val="22"/>
          <w:szCs w:val="22"/>
        </w:rPr>
        <w:t xml:space="preserve"> </w:t>
      </w:r>
      <w:r w:rsidRPr="007D19E0">
        <w:rPr>
          <w:rFonts w:ascii="Arial" w:hAnsi="Arial" w:cs="Arial"/>
          <w:sz w:val="22"/>
          <w:szCs w:val="22"/>
        </w:rPr>
        <w:t>à sua concessão, à Secretaria da Receita federal, por intermédio de sua Delegacia de Estado.</w:t>
      </w:r>
      <w:r>
        <w:rPr>
          <w:rFonts w:ascii="Arial" w:hAnsi="Arial" w:cs="Arial"/>
          <w:sz w:val="22"/>
          <w:szCs w:val="22"/>
        </w:rPr>
        <w:t xml:space="preserve"> </w:t>
      </w:r>
    </w:p>
    <w:p w14:paraId="145326D9" w14:textId="77777777" w:rsidR="007D19E0" w:rsidRPr="007D19E0" w:rsidRDefault="007D19E0" w:rsidP="001A04C9">
      <w:pPr>
        <w:ind w:left="2268"/>
        <w:jc w:val="both"/>
        <w:rPr>
          <w:rFonts w:ascii="Arial" w:hAnsi="Arial" w:cs="Arial"/>
          <w:sz w:val="22"/>
          <w:szCs w:val="22"/>
        </w:rPr>
      </w:pPr>
    </w:p>
    <w:p w14:paraId="4A256DEC" w14:textId="77777777" w:rsidR="007D19E0" w:rsidRPr="007D19E0" w:rsidRDefault="007D19E0" w:rsidP="001A04C9">
      <w:pPr>
        <w:ind w:left="2268"/>
        <w:jc w:val="center"/>
        <w:rPr>
          <w:rFonts w:ascii="Arial" w:hAnsi="Arial" w:cs="Arial"/>
          <w:sz w:val="22"/>
          <w:szCs w:val="22"/>
        </w:rPr>
      </w:pPr>
      <w:r w:rsidRPr="007D19E0">
        <w:rPr>
          <w:rFonts w:ascii="Arial" w:hAnsi="Arial" w:cs="Arial"/>
          <w:sz w:val="22"/>
          <w:szCs w:val="22"/>
        </w:rPr>
        <w:t>Seção II</w:t>
      </w:r>
    </w:p>
    <w:p w14:paraId="18F6E4CF" w14:textId="596286A6" w:rsidR="007D19E0" w:rsidRDefault="007D19E0" w:rsidP="001A04C9">
      <w:pPr>
        <w:ind w:left="2268"/>
        <w:jc w:val="center"/>
        <w:rPr>
          <w:rFonts w:ascii="Arial" w:hAnsi="Arial" w:cs="Arial"/>
          <w:sz w:val="22"/>
          <w:szCs w:val="22"/>
        </w:rPr>
      </w:pPr>
      <w:r w:rsidRPr="007D19E0">
        <w:rPr>
          <w:rFonts w:ascii="Arial" w:hAnsi="Arial" w:cs="Arial"/>
          <w:sz w:val="22"/>
          <w:szCs w:val="22"/>
        </w:rPr>
        <w:t>Do Exame e da Aprovação</w:t>
      </w:r>
    </w:p>
    <w:p w14:paraId="33D47748" w14:textId="77777777" w:rsidR="007D19E0" w:rsidRPr="007D19E0" w:rsidRDefault="007D19E0" w:rsidP="001A04C9">
      <w:pPr>
        <w:ind w:left="2268"/>
        <w:jc w:val="both"/>
        <w:rPr>
          <w:rFonts w:ascii="Arial" w:hAnsi="Arial" w:cs="Arial"/>
          <w:sz w:val="22"/>
          <w:szCs w:val="22"/>
        </w:rPr>
      </w:pPr>
    </w:p>
    <w:p w14:paraId="728B85C5" w14:textId="3AD064F3" w:rsidR="007D19E0" w:rsidRPr="007D19E0" w:rsidRDefault="007D19E0" w:rsidP="001A04C9">
      <w:pPr>
        <w:ind w:left="2268"/>
        <w:jc w:val="both"/>
        <w:rPr>
          <w:rFonts w:ascii="Arial" w:hAnsi="Arial" w:cs="Arial"/>
          <w:sz w:val="22"/>
          <w:szCs w:val="22"/>
        </w:rPr>
      </w:pPr>
      <w:r w:rsidRPr="00D07B15">
        <w:rPr>
          <w:rFonts w:ascii="Arial" w:hAnsi="Arial" w:cs="Arial"/>
          <w:b/>
          <w:sz w:val="22"/>
          <w:szCs w:val="22"/>
        </w:rPr>
        <w:t>Art. 465.</w:t>
      </w:r>
      <w:r w:rsidRPr="007D19E0">
        <w:rPr>
          <w:rFonts w:ascii="Arial" w:hAnsi="Arial" w:cs="Arial"/>
          <w:sz w:val="22"/>
          <w:szCs w:val="22"/>
        </w:rPr>
        <w:t xml:space="preserve"> Os pedidos de regimes especiais são examinados e aprovados pelo</w:t>
      </w:r>
      <w:r>
        <w:rPr>
          <w:rFonts w:ascii="Arial" w:hAnsi="Arial" w:cs="Arial"/>
          <w:sz w:val="22"/>
          <w:szCs w:val="22"/>
        </w:rPr>
        <w:t xml:space="preserve"> </w:t>
      </w:r>
      <w:r w:rsidRPr="007D19E0">
        <w:rPr>
          <w:rFonts w:ascii="Arial" w:hAnsi="Arial" w:cs="Arial"/>
          <w:sz w:val="22"/>
          <w:szCs w:val="22"/>
        </w:rPr>
        <w:t>Superintendente da Receita Estadual (Convênio AE-9/72, cláusula única, art. 2º).</w:t>
      </w:r>
    </w:p>
    <w:p w14:paraId="7142E17C" w14:textId="567252D1" w:rsidR="007D19E0" w:rsidRPr="007D19E0" w:rsidRDefault="007D19E0" w:rsidP="001A04C9">
      <w:pPr>
        <w:ind w:left="2268"/>
        <w:jc w:val="both"/>
        <w:rPr>
          <w:rFonts w:ascii="Arial" w:hAnsi="Arial" w:cs="Arial"/>
          <w:sz w:val="22"/>
          <w:szCs w:val="22"/>
        </w:rPr>
      </w:pPr>
      <w:r w:rsidRPr="007D19E0">
        <w:rPr>
          <w:rFonts w:ascii="Arial" w:hAnsi="Arial" w:cs="Arial"/>
          <w:sz w:val="22"/>
          <w:szCs w:val="22"/>
        </w:rPr>
        <w:t>Parágrafo único. A extensão a estabelecimento filial, situado em outro Estado, do regime</w:t>
      </w:r>
      <w:r>
        <w:rPr>
          <w:rFonts w:ascii="Arial" w:hAnsi="Arial" w:cs="Arial"/>
          <w:sz w:val="22"/>
          <w:szCs w:val="22"/>
        </w:rPr>
        <w:t xml:space="preserve"> </w:t>
      </w:r>
      <w:r w:rsidRPr="007D19E0">
        <w:rPr>
          <w:rFonts w:ascii="Arial" w:hAnsi="Arial" w:cs="Arial"/>
          <w:sz w:val="22"/>
          <w:szCs w:val="22"/>
        </w:rPr>
        <w:t>especial concedido, dependem da aprovação do fisco estadual respectivo.</w:t>
      </w:r>
    </w:p>
    <w:p w14:paraId="0476F1E0" w14:textId="75599484" w:rsidR="007D19E0" w:rsidRPr="007D19E0" w:rsidRDefault="007D19E0" w:rsidP="001A04C9">
      <w:pPr>
        <w:ind w:left="2268"/>
        <w:jc w:val="both"/>
        <w:rPr>
          <w:rFonts w:ascii="Arial" w:hAnsi="Arial" w:cs="Arial"/>
          <w:sz w:val="22"/>
          <w:szCs w:val="22"/>
        </w:rPr>
      </w:pPr>
      <w:r w:rsidRPr="00D07B15">
        <w:rPr>
          <w:rFonts w:ascii="Arial" w:hAnsi="Arial" w:cs="Arial"/>
          <w:b/>
          <w:sz w:val="22"/>
          <w:szCs w:val="22"/>
        </w:rPr>
        <w:t>Art. 466.</w:t>
      </w:r>
      <w:r w:rsidRPr="007D19E0">
        <w:rPr>
          <w:rFonts w:ascii="Arial" w:hAnsi="Arial" w:cs="Arial"/>
          <w:sz w:val="22"/>
          <w:szCs w:val="22"/>
        </w:rPr>
        <w:t xml:space="preserve"> Aprovado o regime especial pleiteado, são restituídas ao estabelecimento</w:t>
      </w:r>
      <w:r>
        <w:rPr>
          <w:rFonts w:ascii="Arial" w:hAnsi="Arial" w:cs="Arial"/>
          <w:sz w:val="22"/>
          <w:szCs w:val="22"/>
        </w:rPr>
        <w:t xml:space="preserve"> </w:t>
      </w:r>
      <w:r w:rsidRPr="007D19E0">
        <w:rPr>
          <w:rFonts w:ascii="Arial" w:hAnsi="Arial" w:cs="Arial"/>
          <w:sz w:val="22"/>
          <w:szCs w:val="22"/>
        </w:rPr>
        <w:t>requerente, devidamente autenticadas, vias dos modelos e sistemas aprovados e cópia do</w:t>
      </w:r>
      <w:r>
        <w:rPr>
          <w:rFonts w:ascii="Arial" w:hAnsi="Arial" w:cs="Arial"/>
          <w:sz w:val="22"/>
          <w:szCs w:val="22"/>
        </w:rPr>
        <w:t xml:space="preserve"> </w:t>
      </w:r>
      <w:r w:rsidRPr="007D19E0">
        <w:rPr>
          <w:rFonts w:ascii="Arial" w:hAnsi="Arial" w:cs="Arial"/>
          <w:sz w:val="22"/>
          <w:szCs w:val="22"/>
        </w:rPr>
        <w:t>despacho de aprovação (Convênio AE-9/72, cláusula única, art. 3º).</w:t>
      </w:r>
    </w:p>
    <w:p w14:paraId="6318523D" w14:textId="160FCD02" w:rsidR="007D19E0" w:rsidRPr="007D19E0" w:rsidRDefault="007D19E0" w:rsidP="001A04C9">
      <w:pPr>
        <w:ind w:left="2268"/>
        <w:jc w:val="both"/>
        <w:rPr>
          <w:rFonts w:ascii="Arial" w:hAnsi="Arial" w:cs="Arial"/>
          <w:sz w:val="22"/>
          <w:szCs w:val="22"/>
        </w:rPr>
      </w:pPr>
      <w:r w:rsidRPr="00D07B15">
        <w:rPr>
          <w:rFonts w:ascii="Arial" w:hAnsi="Arial" w:cs="Arial"/>
          <w:b/>
          <w:sz w:val="22"/>
          <w:szCs w:val="22"/>
        </w:rPr>
        <w:t>Art. 467.</w:t>
      </w:r>
      <w:r w:rsidRPr="007D19E0">
        <w:rPr>
          <w:rFonts w:ascii="Arial" w:hAnsi="Arial" w:cs="Arial"/>
          <w:sz w:val="22"/>
          <w:szCs w:val="22"/>
        </w:rPr>
        <w:t xml:space="preserve"> O estabelecimento beneficiário de regime especial aprovado dever encaminhar à</w:t>
      </w:r>
      <w:r>
        <w:rPr>
          <w:rFonts w:ascii="Arial" w:hAnsi="Arial" w:cs="Arial"/>
          <w:sz w:val="22"/>
          <w:szCs w:val="22"/>
        </w:rPr>
        <w:t xml:space="preserve"> </w:t>
      </w:r>
      <w:r w:rsidRPr="007D19E0">
        <w:rPr>
          <w:rFonts w:ascii="Arial" w:hAnsi="Arial" w:cs="Arial"/>
          <w:sz w:val="22"/>
          <w:szCs w:val="22"/>
        </w:rPr>
        <w:t>Delegacia Fiscal de sua circunscrição, para averbação, duas vias dos modelos e sistemas</w:t>
      </w:r>
      <w:r>
        <w:rPr>
          <w:rFonts w:ascii="Arial" w:hAnsi="Arial" w:cs="Arial"/>
          <w:sz w:val="22"/>
          <w:szCs w:val="22"/>
        </w:rPr>
        <w:t xml:space="preserve"> </w:t>
      </w:r>
      <w:r w:rsidRPr="007D19E0">
        <w:rPr>
          <w:rFonts w:ascii="Arial" w:hAnsi="Arial" w:cs="Arial"/>
          <w:sz w:val="22"/>
          <w:szCs w:val="22"/>
        </w:rPr>
        <w:t>especiais de emissão e escrituração de documento e livro fiscais aprovados (Convênio AE-9/72,</w:t>
      </w:r>
      <w:r>
        <w:rPr>
          <w:rFonts w:ascii="Arial" w:hAnsi="Arial" w:cs="Arial"/>
          <w:sz w:val="22"/>
          <w:szCs w:val="22"/>
        </w:rPr>
        <w:t xml:space="preserve"> </w:t>
      </w:r>
      <w:r w:rsidRPr="007D19E0">
        <w:rPr>
          <w:rFonts w:ascii="Arial" w:hAnsi="Arial" w:cs="Arial"/>
          <w:sz w:val="22"/>
          <w:szCs w:val="22"/>
        </w:rPr>
        <w:t>cláusula única, art. 4º).</w:t>
      </w:r>
    </w:p>
    <w:p w14:paraId="2AC746FA" w14:textId="6B1D16C3" w:rsidR="007D19E0" w:rsidRDefault="007D19E0" w:rsidP="001A04C9">
      <w:pPr>
        <w:ind w:left="2268"/>
        <w:jc w:val="both"/>
        <w:rPr>
          <w:rFonts w:ascii="Arial" w:hAnsi="Arial" w:cs="Arial"/>
          <w:sz w:val="22"/>
          <w:szCs w:val="22"/>
        </w:rPr>
      </w:pPr>
      <w:r w:rsidRPr="007D19E0">
        <w:rPr>
          <w:rFonts w:ascii="Arial" w:hAnsi="Arial" w:cs="Arial"/>
          <w:sz w:val="22"/>
          <w:szCs w:val="22"/>
        </w:rPr>
        <w:t>Parágrafo único. A utilização, pelos estabelecimentos beneficiários, dos regimes especiais</w:t>
      </w:r>
      <w:r>
        <w:rPr>
          <w:rFonts w:ascii="Arial" w:hAnsi="Arial" w:cs="Arial"/>
          <w:sz w:val="22"/>
          <w:szCs w:val="22"/>
        </w:rPr>
        <w:t xml:space="preserve"> </w:t>
      </w:r>
      <w:r w:rsidRPr="007D19E0">
        <w:rPr>
          <w:rFonts w:ascii="Arial" w:hAnsi="Arial" w:cs="Arial"/>
          <w:sz w:val="22"/>
          <w:szCs w:val="22"/>
        </w:rPr>
        <w:t>concedidos, fica condicionada à averbação de que trata este artigo.</w:t>
      </w:r>
    </w:p>
    <w:p w14:paraId="55FF1686" w14:textId="77777777" w:rsidR="007D19E0" w:rsidRPr="007D19E0" w:rsidRDefault="007D19E0" w:rsidP="001A04C9">
      <w:pPr>
        <w:ind w:left="2268"/>
        <w:jc w:val="both"/>
        <w:rPr>
          <w:rFonts w:ascii="Arial" w:hAnsi="Arial" w:cs="Arial"/>
          <w:sz w:val="22"/>
          <w:szCs w:val="22"/>
        </w:rPr>
      </w:pPr>
    </w:p>
    <w:p w14:paraId="39FABA04" w14:textId="77777777" w:rsidR="007D19E0" w:rsidRPr="007D19E0" w:rsidRDefault="007D19E0" w:rsidP="001A04C9">
      <w:pPr>
        <w:ind w:left="2268"/>
        <w:jc w:val="center"/>
        <w:rPr>
          <w:rFonts w:ascii="Arial" w:hAnsi="Arial" w:cs="Arial"/>
          <w:sz w:val="22"/>
          <w:szCs w:val="22"/>
        </w:rPr>
      </w:pPr>
      <w:r w:rsidRPr="007D19E0">
        <w:rPr>
          <w:rFonts w:ascii="Arial" w:hAnsi="Arial" w:cs="Arial"/>
          <w:sz w:val="22"/>
          <w:szCs w:val="22"/>
        </w:rPr>
        <w:t>Seção III</w:t>
      </w:r>
    </w:p>
    <w:p w14:paraId="62BEF315" w14:textId="0E7EC443" w:rsidR="007D19E0" w:rsidRDefault="007D19E0" w:rsidP="001A04C9">
      <w:pPr>
        <w:ind w:left="2268"/>
        <w:jc w:val="center"/>
        <w:rPr>
          <w:rFonts w:ascii="Arial" w:hAnsi="Arial" w:cs="Arial"/>
          <w:sz w:val="22"/>
          <w:szCs w:val="22"/>
        </w:rPr>
      </w:pPr>
      <w:r w:rsidRPr="007D19E0">
        <w:rPr>
          <w:rFonts w:ascii="Arial" w:hAnsi="Arial" w:cs="Arial"/>
          <w:sz w:val="22"/>
          <w:szCs w:val="22"/>
        </w:rPr>
        <w:t>Da Alteração e da Cassação</w:t>
      </w:r>
    </w:p>
    <w:p w14:paraId="303C090B" w14:textId="77777777" w:rsidR="007D19E0" w:rsidRPr="007D19E0" w:rsidRDefault="007D19E0" w:rsidP="001A04C9">
      <w:pPr>
        <w:ind w:left="2268"/>
        <w:jc w:val="both"/>
        <w:rPr>
          <w:rFonts w:ascii="Arial" w:hAnsi="Arial" w:cs="Arial"/>
          <w:sz w:val="22"/>
          <w:szCs w:val="22"/>
        </w:rPr>
      </w:pPr>
    </w:p>
    <w:p w14:paraId="21D69055" w14:textId="2D88E538" w:rsidR="007D19E0" w:rsidRPr="007D19E0" w:rsidRDefault="007D19E0" w:rsidP="001A04C9">
      <w:pPr>
        <w:ind w:left="2268"/>
        <w:jc w:val="both"/>
        <w:rPr>
          <w:rFonts w:ascii="Arial" w:hAnsi="Arial" w:cs="Arial"/>
          <w:sz w:val="22"/>
          <w:szCs w:val="22"/>
        </w:rPr>
      </w:pPr>
      <w:r w:rsidRPr="00D07B15">
        <w:rPr>
          <w:rFonts w:ascii="Arial" w:hAnsi="Arial" w:cs="Arial"/>
          <w:b/>
          <w:sz w:val="22"/>
          <w:szCs w:val="22"/>
        </w:rPr>
        <w:t>Art. 468.</w:t>
      </w:r>
      <w:r w:rsidRPr="007D19E0">
        <w:rPr>
          <w:rFonts w:ascii="Arial" w:hAnsi="Arial" w:cs="Arial"/>
          <w:sz w:val="22"/>
          <w:szCs w:val="22"/>
        </w:rPr>
        <w:t xml:space="preserve"> O regime especial concedido pode ser alterado ou cassado a qualquer tempo</w:t>
      </w:r>
      <w:r>
        <w:rPr>
          <w:rFonts w:ascii="Arial" w:hAnsi="Arial" w:cs="Arial"/>
          <w:sz w:val="22"/>
          <w:szCs w:val="22"/>
        </w:rPr>
        <w:t xml:space="preserve"> </w:t>
      </w:r>
      <w:r w:rsidRPr="007D19E0">
        <w:rPr>
          <w:rFonts w:ascii="Arial" w:hAnsi="Arial" w:cs="Arial"/>
          <w:sz w:val="22"/>
          <w:szCs w:val="22"/>
        </w:rPr>
        <w:t>(Convênio AE-9/72, cláusula única, arts. 5º e 6º).</w:t>
      </w:r>
    </w:p>
    <w:p w14:paraId="7AFF6D2B" w14:textId="110ED7C5" w:rsidR="007D19E0" w:rsidRPr="007D19E0" w:rsidRDefault="007D19E0" w:rsidP="001A04C9">
      <w:pPr>
        <w:ind w:left="2268"/>
        <w:jc w:val="both"/>
        <w:rPr>
          <w:rFonts w:ascii="Arial" w:hAnsi="Arial" w:cs="Arial"/>
          <w:sz w:val="22"/>
          <w:szCs w:val="22"/>
        </w:rPr>
      </w:pPr>
      <w:r w:rsidRPr="007D19E0">
        <w:rPr>
          <w:rFonts w:ascii="Arial" w:hAnsi="Arial" w:cs="Arial"/>
          <w:sz w:val="22"/>
          <w:szCs w:val="22"/>
        </w:rPr>
        <w:t>§ 1º No caso de alteração, o estabelecimento matriz deve apresentar, devidamente instruído,</w:t>
      </w:r>
      <w:r>
        <w:rPr>
          <w:rFonts w:ascii="Arial" w:hAnsi="Arial" w:cs="Arial"/>
          <w:sz w:val="22"/>
          <w:szCs w:val="22"/>
        </w:rPr>
        <w:t xml:space="preserve"> </w:t>
      </w:r>
      <w:r w:rsidRPr="007D19E0">
        <w:rPr>
          <w:rFonts w:ascii="Arial" w:hAnsi="Arial" w:cs="Arial"/>
          <w:sz w:val="22"/>
          <w:szCs w:val="22"/>
        </w:rPr>
        <w:t>pedido na forma prescrita na Seção II deste Capítulo, que deve seguir os trâmites da concessão</w:t>
      </w:r>
      <w:r>
        <w:rPr>
          <w:rFonts w:ascii="Arial" w:hAnsi="Arial" w:cs="Arial"/>
          <w:sz w:val="22"/>
          <w:szCs w:val="22"/>
        </w:rPr>
        <w:t xml:space="preserve"> </w:t>
      </w:r>
      <w:r w:rsidRPr="007D19E0">
        <w:rPr>
          <w:rFonts w:ascii="Arial" w:hAnsi="Arial" w:cs="Arial"/>
          <w:sz w:val="22"/>
          <w:szCs w:val="22"/>
        </w:rPr>
        <w:t>original.</w:t>
      </w:r>
    </w:p>
    <w:p w14:paraId="4EDC9D65" w14:textId="3E74E69B" w:rsidR="007D19E0" w:rsidRPr="007D19E0" w:rsidRDefault="007D19E0" w:rsidP="001A04C9">
      <w:pPr>
        <w:ind w:left="2268"/>
        <w:jc w:val="both"/>
        <w:rPr>
          <w:rFonts w:ascii="Arial" w:hAnsi="Arial" w:cs="Arial"/>
          <w:sz w:val="22"/>
          <w:szCs w:val="22"/>
        </w:rPr>
      </w:pPr>
      <w:r w:rsidRPr="007D19E0">
        <w:rPr>
          <w:rFonts w:ascii="Arial" w:hAnsi="Arial" w:cs="Arial"/>
          <w:sz w:val="22"/>
          <w:szCs w:val="22"/>
        </w:rPr>
        <w:t>§ 2º É competente para determinar a cassação ou alteração do regime especial a mesma</w:t>
      </w:r>
      <w:r>
        <w:rPr>
          <w:rFonts w:ascii="Arial" w:hAnsi="Arial" w:cs="Arial"/>
          <w:sz w:val="22"/>
          <w:szCs w:val="22"/>
        </w:rPr>
        <w:t xml:space="preserve"> </w:t>
      </w:r>
      <w:r w:rsidRPr="007D19E0">
        <w:rPr>
          <w:rFonts w:ascii="Arial" w:hAnsi="Arial" w:cs="Arial"/>
          <w:sz w:val="22"/>
          <w:szCs w:val="22"/>
        </w:rPr>
        <w:t>autoridade que o tiver concedido.</w:t>
      </w:r>
    </w:p>
    <w:p w14:paraId="08EB2E8F" w14:textId="080B5B98" w:rsidR="007D19E0" w:rsidRPr="007D19E0" w:rsidRDefault="007D19E0" w:rsidP="001A04C9">
      <w:pPr>
        <w:ind w:left="2268"/>
        <w:jc w:val="both"/>
        <w:rPr>
          <w:rFonts w:ascii="Arial" w:hAnsi="Arial" w:cs="Arial"/>
          <w:sz w:val="22"/>
          <w:szCs w:val="22"/>
        </w:rPr>
      </w:pPr>
      <w:r w:rsidRPr="007D19E0">
        <w:rPr>
          <w:rFonts w:ascii="Arial" w:hAnsi="Arial" w:cs="Arial"/>
          <w:sz w:val="22"/>
          <w:szCs w:val="22"/>
        </w:rPr>
        <w:t>§ 3º A cassação ou alteração do regime especial concedido pode ser solicitada à autoridade</w:t>
      </w:r>
      <w:r>
        <w:rPr>
          <w:rFonts w:ascii="Arial" w:hAnsi="Arial" w:cs="Arial"/>
          <w:sz w:val="22"/>
          <w:szCs w:val="22"/>
        </w:rPr>
        <w:t xml:space="preserve"> </w:t>
      </w:r>
      <w:r w:rsidRPr="007D19E0">
        <w:rPr>
          <w:rFonts w:ascii="Arial" w:hAnsi="Arial" w:cs="Arial"/>
          <w:sz w:val="22"/>
          <w:szCs w:val="22"/>
        </w:rPr>
        <w:t>concedente pelo fisco de outro Estado.</w:t>
      </w:r>
    </w:p>
    <w:p w14:paraId="793D4255" w14:textId="4952E860" w:rsidR="007D19E0" w:rsidRPr="007D19E0" w:rsidRDefault="007D19E0" w:rsidP="001A04C9">
      <w:pPr>
        <w:ind w:left="2268"/>
        <w:jc w:val="both"/>
        <w:rPr>
          <w:rFonts w:ascii="Arial" w:hAnsi="Arial" w:cs="Arial"/>
          <w:sz w:val="22"/>
          <w:szCs w:val="22"/>
        </w:rPr>
      </w:pPr>
      <w:r w:rsidRPr="007D19E0">
        <w:rPr>
          <w:rFonts w:ascii="Arial" w:hAnsi="Arial" w:cs="Arial"/>
          <w:sz w:val="22"/>
          <w:szCs w:val="22"/>
        </w:rPr>
        <w:t>§ 4º Ocorrendo a cassação ou alteração, deve ser dada ciência ao fisco do Estado onde</w:t>
      </w:r>
      <w:r>
        <w:rPr>
          <w:rFonts w:ascii="Arial" w:hAnsi="Arial" w:cs="Arial"/>
          <w:sz w:val="22"/>
          <w:szCs w:val="22"/>
        </w:rPr>
        <w:t xml:space="preserve"> </w:t>
      </w:r>
      <w:r w:rsidRPr="007D19E0">
        <w:rPr>
          <w:rFonts w:ascii="Arial" w:hAnsi="Arial" w:cs="Arial"/>
          <w:sz w:val="22"/>
          <w:szCs w:val="22"/>
        </w:rPr>
        <w:t>houver estabelecimento beneficiário do regime especial.</w:t>
      </w:r>
    </w:p>
    <w:p w14:paraId="6B22B6CA" w14:textId="668968DF" w:rsidR="007D19E0" w:rsidRPr="007D19E0" w:rsidRDefault="007D19E0" w:rsidP="001A04C9">
      <w:pPr>
        <w:ind w:left="2268"/>
        <w:jc w:val="both"/>
        <w:rPr>
          <w:rFonts w:ascii="Arial" w:hAnsi="Arial" w:cs="Arial"/>
          <w:sz w:val="22"/>
          <w:szCs w:val="22"/>
        </w:rPr>
      </w:pPr>
      <w:r w:rsidRPr="00D07B15">
        <w:rPr>
          <w:rFonts w:ascii="Arial" w:hAnsi="Arial" w:cs="Arial"/>
          <w:b/>
          <w:sz w:val="22"/>
          <w:szCs w:val="22"/>
        </w:rPr>
        <w:t>Art. 469.</w:t>
      </w:r>
      <w:r w:rsidRPr="007D19E0">
        <w:rPr>
          <w:rFonts w:ascii="Arial" w:hAnsi="Arial" w:cs="Arial"/>
          <w:sz w:val="22"/>
          <w:szCs w:val="22"/>
        </w:rPr>
        <w:t xml:space="preserve"> O beneficiário do regime especial pode renunciar a ele, mediante comunicação à</w:t>
      </w:r>
      <w:r>
        <w:rPr>
          <w:rFonts w:ascii="Arial" w:hAnsi="Arial" w:cs="Arial"/>
          <w:sz w:val="22"/>
          <w:szCs w:val="22"/>
        </w:rPr>
        <w:t xml:space="preserve"> </w:t>
      </w:r>
      <w:r w:rsidRPr="007D19E0">
        <w:rPr>
          <w:rFonts w:ascii="Arial" w:hAnsi="Arial" w:cs="Arial"/>
          <w:sz w:val="22"/>
          <w:szCs w:val="22"/>
        </w:rPr>
        <w:t>autoridade fiscal concedente (Convênio AE-9/72, cláusula única, art. 7º).</w:t>
      </w:r>
    </w:p>
    <w:p w14:paraId="7619B75E" w14:textId="0D40239C" w:rsidR="007D19E0" w:rsidRPr="007D19E0" w:rsidRDefault="007D19E0" w:rsidP="001A04C9">
      <w:pPr>
        <w:ind w:left="2268"/>
        <w:jc w:val="both"/>
        <w:rPr>
          <w:rFonts w:ascii="Arial" w:hAnsi="Arial" w:cs="Arial"/>
          <w:sz w:val="22"/>
          <w:szCs w:val="22"/>
        </w:rPr>
      </w:pPr>
      <w:r w:rsidRPr="00D07B15">
        <w:rPr>
          <w:rFonts w:ascii="Arial" w:hAnsi="Arial" w:cs="Arial"/>
          <w:b/>
          <w:sz w:val="22"/>
          <w:szCs w:val="22"/>
        </w:rPr>
        <w:lastRenderedPageBreak/>
        <w:t>Art. 470.</w:t>
      </w:r>
      <w:r w:rsidRPr="007D19E0">
        <w:rPr>
          <w:rFonts w:ascii="Arial" w:hAnsi="Arial" w:cs="Arial"/>
          <w:sz w:val="22"/>
          <w:szCs w:val="22"/>
        </w:rPr>
        <w:t xml:space="preserve"> Do ato que indeferir o pedido ou determinar a cassação do regime especial cabe</w:t>
      </w:r>
      <w:r>
        <w:rPr>
          <w:rFonts w:ascii="Arial" w:hAnsi="Arial" w:cs="Arial"/>
          <w:sz w:val="22"/>
          <w:szCs w:val="22"/>
        </w:rPr>
        <w:t xml:space="preserve"> </w:t>
      </w:r>
      <w:r w:rsidRPr="007D19E0">
        <w:rPr>
          <w:rFonts w:ascii="Arial" w:hAnsi="Arial" w:cs="Arial"/>
          <w:sz w:val="22"/>
          <w:szCs w:val="22"/>
        </w:rPr>
        <w:t>recurso, sem efeito suspensivo, ao Secretário da Fazenda (Convênio AE-9/72, cláusula única,</w:t>
      </w:r>
      <w:r>
        <w:rPr>
          <w:rFonts w:ascii="Arial" w:hAnsi="Arial" w:cs="Arial"/>
          <w:sz w:val="22"/>
          <w:szCs w:val="22"/>
        </w:rPr>
        <w:t xml:space="preserve"> </w:t>
      </w:r>
      <w:r w:rsidRPr="007D19E0">
        <w:rPr>
          <w:rFonts w:ascii="Arial" w:hAnsi="Arial" w:cs="Arial"/>
          <w:sz w:val="22"/>
          <w:szCs w:val="22"/>
        </w:rPr>
        <w:t>art. 8º).</w:t>
      </w:r>
    </w:p>
    <w:p w14:paraId="23C6B624" w14:textId="77777777" w:rsidR="007D19E0" w:rsidRDefault="007D19E0" w:rsidP="00051051">
      <w:pPr>
        <w:spacing w:line="360" w:lineRule="auto"/>
        <w:ind w:firstLine="851"/>
        <w:jc w:val="both"/>
        <w:rPr>
          <w:rFonts w:ascii="Arial" w:hAnsi="Arial" w:cs="Arial"/>
          <w:sz w:val="24"/>
          <w:szCs w:val="24"/>
        </w:rPr>
      </w:pPr>
    </w:p>
    <w:p w14:paraId="75A93B7B" w14:textId="148E5110" w:rsidR="0000169D" w:rsidRDefault="006206F1" w:rsidP="00051051">
      <w:pPr>
        <w:spacing w:line="360" w:lineRule="auto"/>
        <w:ind w:firstLine="851"/>
        <w:jc w:val="both"/>
        <w:rPr>
          <w:rFonts w:ascii="Arial" w:hAnsi="Arial" w:cs="Arial"/>
          <w:sz w:val="24"/>
          <w:szCs w:val="24"/>
        </w:rPr>
      </w:pPr>
      <w:r>
        <w:rPr>
          <w:rFonts w:ascii="Arial" w:hAnsi="Arial" w:cs="Arial"/>
          <w:sz w:val="24"/>
          <w:szCs w:val="24"/>
        </w:rPr>
        <w:t xml:space="preserve">Há também </w:t>
      </w:r>
      <w:r w:rsidR="007E7CD9" w:rsidRPr="007E7CD9">
        <w:rPr>
          <w:rFonts w:ascii="Arial" w:hAnsi="Arial" w:cs="Arial"/>
          <w:sz w:val="24"/>
          <w:szCs w:val="24"/>
        </w:rPr>
        <w:t xml:space="preserve">disposições esparsas na legislação </w:t>
      </w:r>
      <w:r>
        <w:rPr>
          <w:rFonts w:ascii="Arial" w:hAnsi="Arial" w:cs="Arial"/>
          <w:sz w:val="24"/>
          <w:szCs w:val="24"/>
        </w:rPr>
        <w:t>estadual</w:t>
      </w:r>
      <w:r w:rsidR="007E7CD9" w:rsidRPr="007E7CD9">
        <w:rPr>
          <w:rFonts w:ascii="Arial" w:hAnsi="Arial" w:cs="Arial"/>
          <w:sz w:val="24"/>
          <w:szCs w:val="24"/>
        </w:rPr>
        <w:t xml:space="preserve"> que tratam das hipóteses em que o regime especial é aplicado, </w:t>
      </w:r>
      <w:r>
        <w:rPr>
          <w:rFonts w:ascii="Arial" w:hAnsi="Arial" w:cs="Arial"/>
          <w:sz w:val="24"/>
          <w:szCs w:val="24"/>
        </w:rPr>
        <w:t>a</w:t>
      </w:r>
      <w:r w:rsidR="007E7CD9" w:rsidRPr="007E7CD9">
        <w:rPr>
          <w:rFonts w:ascii="Arial" w:hAnsi="Arial" w:cs="Arial"/>
          <w:sz w:val="24"/>
          <w:szCs w:val="24"/>
        </w:rPr>
        <w:t xml:space="preserve"> exemplo </w:t>
      </w:r>
      <w:r>
        <w:rPr>
          <w:rFonts w:ascii="Arial" w:hAnsi="Arial" w:cs="Arial"/>
          <w:sz w:val="24"/>
          <w:szCs w:val="24"/>
        </w:rPr>
        <w:t>d</w:t>
      </w:r>
      <w:r w:rsidR="007E7CD9" w:rsidRPr="007E7CD9">
        <w:rPr>
          <w:rFonts w:ascii="Arial" w:hAnsi="Arial" w:cs="Arial"/>
          <w:sz w:val="24"/>
          <w:szCs w:val="24"/>
        </w:rPr>
        <w:t>o art. 36 do RCTE/GO, que prevê as condições para concessão de regime especial a contribuinte que tenha interesse em figurar como contribuinte substituto tributário para efeito de retenção do ICMS.</w:t>
      </w:r>
    </w:p>
    <w:p w14:paraId="32C87DF9" w14:textId="333416A4" w:rsidR="00A84C82" w:rsidRDefault="009303BE" w:rsidP="00051051">
      <w:pPr>
        <w:spacing w:line="360" w:lineRule="auto"/>
        <w:ind w:firstLine="851"/>
        <w:jc w:val="both"/>
        <w:rPr>
          <w:rFonts w:ascii="Arial" w:hAnsi="Arial" w:cs="Arial"/>
          <w:sz w:val="24"/>
          <w:szCs w:val="24"/>
        </w:rPr>
      </w:pPr>
      <w:r>
        <w:rPr>
          <w:rFonts w:ascii="Arial" w:hAnsi="Arial" w:cs="Arial"/>
          <w:sz w:val="24"/>
          <w:szCs w:val="24"/>
        </w:rPr>
        <w:t>A</w:t>
      </w:r>
      <w:r w:rsidR="00A84C82">
        <w:rPr>
          <w:rFonts w:ascii="Arial" w:hAnsi="Arial" w:cs="Arial"/>
          <w:sz w:val="24"/>
          <w:szCs w:val="24"/>
        </w:rPr>
        <w:t xml:space="preserve">s consequências jurídicas à pessoa física/jurídica incluída no regime especial, cuja formalização ocorre por meio do instrumento próprio (TARE), </w:t>
      </w:r>
      <w:r>
        <w:rPr>
          <w:rFonts w:ascii="Arial" w:hAnsi="Arial" w:cs="Arial"/>
          <w:sz w:val="24"/>
          <w:szCs w:val="24"/>
        </w:rPr>
        <w:t>são definidas no próprio instrumento, não havendo uma regulamentação legal mais firme acerca do assunto, mas tão somente as disposições do regulamento do CTE/GO e os termos do próprio TARE firmado.</w:t>
      </w:r>
    </w:p>
    <w:p w14:paraId="08E942C7" w14:textId="33073BBD" w:rsidR="00EF3A9D" w:rsidRDefault="009303BE" w:rsidP="00051051">
      <w:pPr>
        <w:spacing w:line="360" w:lineRule="auto"/>
        <w:ind w:firstLine="851"/>
        <w:jc w:val="both"/>
        <w:rPr>
          <w:rFonts w:ascii="Arial" w:hAnsi="Arial" w:cs="Arial"/>
          <w:sz w:val="24"/>
          <w:szCs w:val="24"/>
        </w:rPr>
      </w:pPr>
      <w:r w:rsidRPr="008C73C0">
        <w:rPr>
          <w:rFonts w:ascii="Arial" w:hAnsi="Arial" w:cs="Arial"/>
          <w:b/>
          <w:sz w:val="24"/>
          <w:szCs w:val="24"/>
        </w:rPr>
        <w:t>3.3.2.1</w:t>
      </w:r>
      <w:r>
        <w:rPr>
          <w:rFonts w:ascii="Arial" w:hAnsi="Arial" w:cs="Arial"/>
          <w:b/>
          <w:sz w:val="24"/>
          <w:szCs w:val="24"/>
        </w:rPr>
        <w:t>.5</w:t>
      </w:r>
      <w:r w:rsidR="00E44A98">
        <w:rPr>
          <w:rFonts w:ascii="Arial" w:hAnsi="Arial" w:cs="Arial"/>
          <w:b/>
          <w:sz w:val="24"/>
          <w:szCs w:val="24"/>
        </w:rPr>
        <w:t>.</w:t>
      </w:r>
      <w:r>
        <w:rPr>
          <w:rFonts w:ascii="Arial" w:hAnsi="Arial" w:cs="Arial"/>
          <w:b/>
          <w:sz w:val="24"/>
          <w:szCs w:val="24"/>
        </w:rPr>
        <w:t xml:space="preserve"> </w:t>
      </w:r>
      <w:r w:rsidR="00B270B5">
        <w:rPr>
          <w:rFonts w:ascii="Arial" w:hAnsi="Arial" w:cs="Arial"/>
          <w:sz w:val="24"/>
          <w:szCs w:val="24"/>
        </w:rPr>
        <w:t xml:space="preserve">Apesar de ser um passo tímido, </w:t>
      </w:r>
      <w:r>
        <w:rPr>
          <w:rFonts w:ascii="Arial" w:hAnsi="Arial" w:cs="Arial"/>
          <w:sz w:val="24"/>
          <w:szCs w:val="24"/>
        </w:rPr>
        <w:t xml:space="preserve">a </w:t>
      </w:r>
      <w:r w:rsidRPr="00AF056F">
        <w:rPr>
          <w:rFonts w:ascii="Arial" w:hAnsi="Arial" w:cs="Arial"/>
          <w:b/>
          <w:sz w:val="24"/>
          <w:szCs w:val="24"/>
        </w:rPr>
        <w:t>divulgação, no Portal da Transparência, dos incentivos fiscais concedidos, inclusive informações referentes a</w:t>
      </w:r>
      <w:r w:rsidR="00AF056F" w:rsidRPr="00AF056F">
        <w:rPr>
          <w:rFonts w:ascii="Arial" w:hAnsi="Arial" w:cs="Arial"/>
          <w:b/>
          <w:sz w:val="24"/>
          <w:szCs w:val="24"/>
        </w:rPr>
        <w:t>os</w:t>
      </w:r>
      <w:r w:rsidRPr="00AF056F">
        <w:rPr>
          <w:rFonts w:ascii="Arial" w:hAnsi="Arial" w:cs="Arial"/>
          <w:b/>
          <w:sz w:val="24"/>
          <w:szCs w:val="24"/>
        </w:rPr>
        <w:t xml:space="preserve"> TARE’s formalizados, constitui um avanço histórico</w:t>
      </w:r>
      <w:r>
        <w:rPr>
          <w:rFonts w:ascii="Arial" w:hAnsi="Arial" w:cs="Arial"/>
          <w:sz w:val="24"/>
          <w:szCs w:val="24"/>
        </w:rPr>
        <w:t xml:space="preserve"> no Estado de Goiás e serve de exemplo até para outras unidades da federação. </w:t>
      </w:r>
    </w:p>
    <w:p w14:paraId="26606E19" w14:textId="4508E7EF" w:rsidR="009303BE" w:rsidRDefault="00EF3A9D" w:rsidP="00051051">
      <w:pPr>
        <w:spacing w:line="360" w:lineRule="auto"/>
        <w:ind w:firstLine="851"/>
        <w:jc w:val="both"/>
        <w:rPr>
          <w:rFonts w:ascii="Arial" w:hAnsi="Arial" w:cs="Arial"/>
          <w:sz w:val="24"/>
          <w:szCs w:val="24"/>
        </w:rPr>
      </w:pPr>
      <w:r>
        <w:rPr>
          <w:rFonts w:ascii="Arial" w:hAnsi="Arial" w:cs="Arial"/>
          <w:sz w:val="24"/>
          <w:szCs w:val="24"/>
        </w:rPr>
        <w:t xml:space="preserve">Embora a situação do Estado ainda seja crítica quanto à questão dos incentivos fiscais, a maior transparência já facilita o controle social e até mesmo o controle externo, realizado </w:t>
      </w:r>
      <w:r w:rsidRPr="00E44A98">
        <w:rPr>
          <w:rFonts w:ascii="Arial" w:hAnsi="Arial" w:cs="Arial"/>
          <w:sz w:val="24"/>
          <w:szCs w:val="24"/>
        </w:rPr>
        <w:t>por esta Casa de Leis</w:t>
      </w:r>
      <w:r w:rsidR="00A137B5" w:rsidRPr="00E44A98">
        <w:rPr>
          <w:rFonts w:ascii="Arial" w:hAnsi="Arial" w:cs="Arial"/>
          <w:sz w:val="24"/>
          <w:szCs w:val="24"/>
        </w:rPr>
        <w:t xml:space="preserve"> com </w:t>
      </w:r>
      <w:r w:rsidR="00E44A98" w:rsidRPr="00E44A98">
        <w:rPr>
          <w:rFonts w:ascii="Arial" w:hAnsi="Arial" w:cs="Arial"/>
          <w:sz w:val="24"/>
          <w:szCs w:val="24"/>
        </w:rPr>
        <w:t xml:space="preserve">auxílio do </w:t>
      </w:r>
      <w:r w:rsidR="00A137B5" w:rsidRPr="00E44A98">
        <w:rPr>
          <w:rFonts w:ascii="Arial" w:hAnsi="Arial" w:cs="Arial"/>
          <w:sz w:val="24"/>
          <w:szCs w:val="24"/>
        </w:rPr>
        <w:t>TCE/GO</w:t>
      </w:r>
      <w:r w:rsidRPr="00E44A98">
        <w:rPr>
          <w:rFonts w:ascii="Arial" w:hAnsi="Arial" w:cs="Arial"/>
          <w:sz w:val="24"/>
          <w:szCs w:val="24"/>
        </w:rPr>
        <w:t>, que</w:t>
      </w:r>
      <w:r>
        <w:rPr>
          <w:rFonts w:ascii="Arial" w:hAnsi="Arial" w:cs="Arial"/>
          <w:sz w:val="24"/>
          <w:szCs w:val="24"/>
        </w:rPr>
        <w:t xml:space="preserve"> até poucos anos atrás desconhecia por completo as empresas beneficiadas, o volume e o percentual de incentivos concedidos, bem como o número de TARE’s realizados.</w:t>
      </w:r>
    </w:p>
    <w:p w14:paraId="7495EFE4" w14:textId="3BA2E4A3" w:rsidR="00B270B5" w:rsidRDefault="009303BE" w:rsidP="00051051">
      <w:pPr>
        <w:spacing w:line="360" w:lineRule="auto"/>
        <w:ind w:firstLine="851"/>
        <w:jc w:val="both"/>
        <w:rPr>
          <w:rFonts w:ascii="Arial" w:hAnsi="Arial" w:cs="Arial"/>
          <w:sz w:val="24"/>
          <w:szCs w:val="24"/>
        </w:rPr>
      </w:pPr>
      <w:r>
        <w:rPr>
          <w:rFonts w:ascii="Arial" w:hAnsi="Arial" w:cs="Arial"/>
          <w:sz w:val="24"/>
          <w:szCs w:val="24"/>
        </w:rPr>
        <w:t xml:space="preserve">Cite-se, por exemplo, o </w:t>
      </w:r>
      <w:r w:rsidRPr="003B612B">
        <w:rPr>
          <w:rFonts w:ascii="Arial" w:hAnsi="Arial" w:cs="Arial"/>
          <w:b/>
          <w:sz w:val="24"/>
          <w:szCs w:val="24"/>
        </w:rPr>
        <w:t>Estado de São Paulo, a maior economia brasileira</w:t>
      </w:r>
      <w:r>
        <w:rPr>
          <w:rFonts w:ascii="Arial" w:hAnsi="Arial" w:cs="Arial"/>
          <w:sz w:val="24"/>
          <w:szCs w:val="24"/>
        </w:rPr>
        <w:t xml:space="preserve">, que só para 2019 estima uma renúncia de receitas da ordem de aproximadamente R$ 16.300.000.000,00 (dezesseis bilhões e trezentos milhões de reais) e </w:t>
      </w:r>
      <w:r w:rsidRPr="003B612B">
        <w:rPr>
          <w:rFonts w:ascii="Arial" w:hAnsi="Arial" w:cs="Arial"/>
          <w:sz w:val="24"/>
          <w:szCs w:val="24"/>
          <w:u w:val="single"/>
        </w:rPr>
        <w:t xml:space="preserve">até hoje não divulga as informações sobre as empresas agraciadas com incentivos fiscais, o que é objeto de </w:t>
      </w:r>
      <w:r w:rsidR="003B612B">
        <w:rPr>
          <w:rFonts w:ascii="Arial" w:hAnsi="Arial" w:cs="Arial"/>
          <w:sz w:val="24"/>
          <w:szCs w:val="24"/>
          <w:u w:val="single"/>
        </w:rPr>
        <w:t xml:space="preserve">ferrenha </w:t>
      </w:r>
      <w:r w:rsidRPr="003B612B">
        <w:rPr>
          <w:rFonts w:ascii="Arial" w:hAnsi="Arial" w:cs="Arial"/>
          <w:sz w:val="24"/>
          <w:szCs w:val="24"/>
          <w:u w:val="single"/>
        </w:rPr>
        <w:t>crítica da</w:t>
      </w:r>
      <w:r w:rsidR="003B612B">
        <w:rPr>
          <w:rFonts w:ascii="Arial" w:hAnsi="Arial" w:cs="Arial"/>
          <w:sz w:val="24"/>
          <w:szCs w:val="24"/>
          <w:u w:val="single"/>
        </w:rPr>
        <w:t xml:space="preserve"> respectiva</w:t>
      </w:r>
      <w:r w:rsidRPr="003B612B">
        <w:rPr>
          <w:rFonts w:ascii="Arial" w:hAnsi="Arial" w:cs="Arial"/>
          <w:sz w:val="24"/>
          <w:szCs w:val="24"/>
          <w:u w:val="single"/>
        </w:rPr>
        <w:t xml:space="preserve"> Assembleia Legislativa</w:t>
      </w:r>
      <w:r w:rsidR="003B612B">
        <w:rPr>
          <w:rFonts w:ascii="Arial" w:hAnsi="Arial" w:cs="Arial"/>
          <w:sz w:val="24"/>
          <w:szCs w:val="24"/>
          <w:u w:val="single"/>
        </w:rPr>
        <w:t xml:space="preserve"> do Estado</w:t>
      </w:r>
      <w:r w:rsidRPr="003B612B">
        <w:rPr>
          <w:rFonts w:ascii="Arial" w:hAnsi="Arial" w:cs="Arial"/>
          <w:sz w:val="24"/>
          <w:szCs w:val="24"/>
          <w:u w:val="single"/>
        </w:rPr>
        <w:t xml:space="preserve"> (ALESP)</w:t>
      </w:r>
      <w:r w:rsidR="003B612B">
        <w:rPr>
          <w:rFonts w:ascii="Arial" w:hAnsi="Arial" w:cs="Arial"/>
          <w:sz w:val="24"/>
          <w:szCs w:val="24"/>
          <w:u w:val="single"/>
        </w:rPr>
        <w:t xml:space="preserve"> e do Tribunal de Contas (TCE/SP)</w:t>
      </w:r>
      <w:r>
        <w:rPr>
          <w:rFonts w:ascii="Arial" w:hAnsi="Arial" w:cs="Arial"/>
          <w:sz w:val="24"/>
          <w:szCs w:val="24"/>
        </w:rPr>
        <w:t>.</w:t>
      </w:r>
      <w:r w:rsidR="00FC5F59">
        <w:rPr>
          <w:rFonts w:ascii="Arial" w:hAnsi="Arial" w:cs="Arial"/>
          <w:sz w:val="24"/>
          <w:szCs w:val="24"/>
        </w:rPr>
        <w:t xml:space="preserve"> Parlamentares recorreram ao Judiciário para conhecer os benefici</w:t>
      </w:r>
      <w:r w:rsidR="005473E7">
        <w:rPr>
          <w:rFonts w:ascii="Arial" w:hAnsi="Arial" w:cs="Arial"/>
          <w:sz w:val="24"/>
          <w:szCs w:val="24"/>
        </w:rPr>
        <w:t>ários dos incentivos fiscais, conforme revela a seguinte notícia do “Estadão”, publicada em 17/06/2019 no periódico on-line:</w:t>
      </w:r>
    </w:p>
    <w:p w14:paraId="732A1535" w14:textId="64760102" w:rsidR="005473E7" w:rsidRDefault="005473E7" w:rsidP="00051051">
      <w:pPr>
        <w:spacing w:line="360" w:lineRule="auto"/>
        <w:ind w:firstLine="851"/>
        <w:jc w:val="both"/>
        <w:rPr>
          <w:rFonts w:ascii="Arial" w:hAnsi="Arial" w:cs="Arial"/>
          <w:sz w:val="24"/>
          <w:szCs w:val="24"/>
        </w:rPr>
      </w:pPr>
    </w:p>
    <w:p w14:paraId="5CF98A66" w14:textId="77777777" w:rsidR="005473E7" w:rsidRPr="005473E7" w:rsidRDefault="005473E7" w:rsidP="001A04C9">
      <w:pPr>
        <w:ind w:left="2268"/>
        <w:jc w:val="both"/>
        <w:rPr>
          <w:rFonts w:ascii="Arial" w:hAnsi="Arial" w:cs="Arial"/>
          <w:sz w:val="22"/>
          <w:szCs w:val="22"/>
        </w:rPr>
      </w:pPr>
      <w:r w:rsidRPr="005473E7">
        <w:rPr>
          <w:rFonts w:ascii="Arial" w:hAnsi="Arial" w:cs="Arial"/>
          <w:sz w:val="22"/>
          <w:szCs w:val="22"/>
        </w:rPr>
        <w:t xml:space="preserve">Os deputados estaduais Paulo Fiorilo e Teonílio Barba, ambos do PT, moveram uma ação na Justiça paulista com pedido de liminar para que o </w:t>
      </w:r>
      <w:r w:rsidRPr="005473E7">
        <w:rPr>
          <w:rFonts w:ascii="Arial" w:hAnsi="Arial" w:cs="Arial"/>
          <w:sz w:val="22"/>
          <w:szCs w:val="22"/>
        </w:rPr>
        <w:lastRenderedPageBreak/>
        <w:t>governo João Doria (PSDB) revele quais são as empresas beneficiadas com isenções fiscais no Estado de São Paulo. O governo tem alegado sigilo fiscal para não divulgar as informações.</w:t>
      </w:r>
    </w:p>
    <w:p w14:paraId="02EC3384" w14:textId="6EB58464" w:rsidR="005473E7" w:rsidRPr="005473E7" w:rsidRDefault="005473E7" w:rsidP="001A04C9">
      <w:pPr>
        <w:ind w:left="2268"/>
        <w:jc w:val="both"/>
        <w:rPr>
          <w:rFonts w:ascii="Arial" w:hAnsi="Arial" w:cs="Arial"/>
          <w:sz w:val="22"/>
          <w:szCs w:val="22"/>
        </w:rPr>
      </w:pPr>
      <w:r w:rsidRPr="005473E7">
        <w:rPr>
          <w:rFonts w:ascii="Arial" w:hAnsi="Arial" w:cs="Arial"/>
          <w:sz w:val="22"/>
          <w:szCs w:val="22"/>
        </w:rPr>
        <w:t>Só neste ano, o governo estima uma perda de receita de R$ 16,3 bilhões com isenções ou reduções de alíquotas e concessões de créditos de ICMS. O valor equivale a 11% de toda a arrecadação prevista para o ano. Para 2020, a estimativa de benefícios fiscais prevista na Lei de Diretrizes Orçamentárias (LDO) enviada por Doria à Assembleia Legislativa (Alesp) em abril é de R$ 17,4 bilhões.</w:t>
      </w:r>
    </w:p>
    <w:p w14:paraId="660095E1" w14:textId="6C13051A" w:rsidR="005473E7" w:rsidRDefault="005473E7" w:rsidP="001A04C9">
      <w:pPr>
        <w:ind w:left="2268"/>
        <w:jc w:val="both"/>
        <w:rPr>
          <w:rFonts w:ascii="Arial" w:hAnsi="Arial" w:cs="Arial"/>
          <w:sz w:val="22"/>
          <w:szCs w:val="22"/>
        </w:rPr>
      </w:pPr>
      <w:r w:rsidRPr="005473E7">
        <w:rPr>
          <w:rFonts w:ascii="Arial" w:hAnsi="Arial" w:cs="Arial"/>
          <w:sz w:val="22"/>
          <w:szCs w:val="22"/>
        </w:rPr>
        <w:t>A ação foi distribuída na última sexta-feira, 14, ao juiz Antonio Augusto Galvão de França, da 4ª Vara da Fazenda Pública na capital paulista. Ainda não houve decisão a respeito. A Procuradoria-Geral do Estado informou que não irá se manifestar porque ainda não foi notificada da ação.</w:t>
      </w:r>
    </w:p>
    <w:p w14:paraId="1D4D1451" w14:textId="1CDACFAD" w:rsidR="005473E7" w:rsidRDefault="005473E7" w:rsidP="001A04C9">
      <w:pPr>
        <w:ind w:left="2268"/>
        <w:jc w:val="both"/>
        <w:rPr>
          <w:rFonts w:ascii="Arial" w:hAnsi="Arial" w:cs="Arial"/>
          <w:sz w:val="22"/>
          <w:szCs w:val="22"/>
        </w:rPr>
      </w:pPr>
      <w:r w:rsidRPr="005473E7">
        <w:rPr>
          <w:rFonts w:ascii="Arial" w:hAnsi="Arial" w:cs="Arial"/>
          <w:sz w:val="22"/>
          <w:szCs w:val="22"/>
        </w:rPr>
        <w:t>Na ação, os parlamentares pedem, além da divulgação dos nomes das empresas beneficiadas, que o governo encaminhe para a Alesp um novo anexo de metas e projeções fiscais com um estudo completo do impacto orçamentário-financeiro dos benefícios previstos, uma explicação sobre a motivação e o interesse público na medida e sobre a metodologia usada para embasar cada isenção.</w:t>
      </w:r>
    </w:p>
    <w:p w14:paraId="31112DEF" w14:textId="71C3A467" w:rsidR="005473E7" w:rsidRDefault="005473E7" w:rsidP="001A04C9">
      <w:pPr>
        <w:ind w:left="2268"/>
        <w:jc w:val="both"/>
        <w:rPr>
          <w:rFonts w:ascii="Arial" w:hAnsi="Arial" w:cs="Arial"/>
          <w:sz w:val="22"/>
          <w:szCs w:val="22"/>
        </w:rPr>
      </w:pPr>
      <w:r w:rsidRPr="005473E7">
        <w:rPr>
          <w:rFonts w:ascii="Arial" w:hAnsi="Arial" w:cs="Arial"/>
          <w:sz w:val="22"/>
          <w:szCs w:val="22"/>
        </w:rPr>
        <w:t>"Já passou da hora do governo do Estado dar transparência política às desonerações implantadas ao longo de anos pelos governos tucanos", disse o deputado Para Paulo Fiorilo. Para ele, a falta de informação sobre os incentivos fiscais impede uma análise sobre a eficácia da medida no fomento da economia paulista e na geração de empregos.</w:t>
      </w:r>
    </w:p>
    <w:p w14:paraId="4D7810A8" w14:textId="368BDB4D" w:rsidR="005473E7" w:rsidRPr="005473E7" w:rsidRDefault="005473E7" w:rsidP="001A04C9">
      <w:pPr>
        <w:ind w:left="2268"/>
        <w:jc w:val="both"/>
        <w:rPr>
          <w:rFonts w:ascii="Arial" w:hAnsi="Arial" w:cs="Arial"/>
          <w:sz w:val="22"/>
          <w:szCs w:val="22"/>
        </w:rPr>
      </w:pPr>
      <w:r w:rsidRPr="005473E7">
        <w:rPr>
          <w:rFonts w:ascii="Arial" w:hAnsi="Arial" w:cs="Arial"/>
          <w:sz w:val="22"/>
          <w:szCs w:val="22"/>
        </w:rPr>
        <w:t>Em maio, o </w:t>
      </w:r>
      <w:r w:rsidRPr="005473E7">
        <w:rPr>
          <w:rFonts w:ascii="Arial" w:hAnsi="Arial" w:cs="Arial"/>
          <w:b/>
          <w:bCs/>
          <w:sz w:val="22"/>
          <w:szCs w:val="22"/>
        </w:rPr>
        <w:t>procurador-geral do Ministério Público de Contas em exercício, Rafael Neubern Demarchi Costa, opinou pela reprovação das contas de 2018 </w:t>
      </w:r>
      <w:r w:rsidRPr="005473E7">
        <w:rPr>
          <w:rFonts w:ascii="Arial" w:hAnsi="Arial" w:cs="Arial"/>
          <w:sz w:val="22"/>
          <w:szCs w:val="22"/>
        </w:rPr>
        <w:t>do governo do Estado questionando a falta de transparência na concessão dos benefícios fiscais e afirmando que a "indevida alegação de sigilo"’ prejudicou a análise das renúncias de receitas. O relatório será apreciado pelos conselheiros do </w:t>
      </w:r>
      <w:r w:rsidRPr="005473E7">
        <w:rPr>
          <w:rFonts w:ascii="Arial" w:hAnsi="Arial" w:cs="Arial"/>
          <w:b/>
          <w:bCs/>
          <w:sz w:val="22"/>
          <w:szCs w:val="22"/>
        </w:rPr>
        <w:t>Tribunal de Contas do Estado (TCE)</w:t>
      </w:r>
      <w:r w:rsidRPr="005473E7">
        <w:rPr>
          <w:rFonts w:ascii="Arial" w:hAnsi="Arial" w:cs="Arial"/>
          <w:sz w:val="22"/>
          <w:szCs w:val="22"/>
        </w:rPr>
        <w:t>, encarregados de votar as contas do governador.  </w:t>
      </w:r>
    </w:p>
    <w:p w14:paraId="1223EEA0" w14:textId="77777777" w:rsidR="005473E7" w:rsidRPr="005473E7" w:rsidRDefault="005473E7" w:rsidP="001A04C9">
      <w:pPr>
        <w:ind w:left="2268"/>
        <w:jc w:val="both"/>
        <w:rPr>
          <w:rFonts w:ascii="Arial" w:hAnsi="Arial" w:cs="Arial"/>
          <w:sz w:val="22"/>
          <w:szCs w:val="22"/>
        </w:rPr>
      </w:pPr>
      <w:r w:rsidRPr="005473E7">
        <w:rPr>
          <w:rFonts w:ascii="Arial" w:hAnsi="Arial" w:cs="Arial"/>
          <w:sz w:val="22"/>
          <w:szCs w:val="22"/>
        </w:rPr>
        <w:t>"A Administração insiste em alegar sigilo de dados, com base em sua interpretação do artigo 198 do Código Tributário Nacional, para não fornecer informações a respeito das renúncias de receitas”, afirmou o procurador do MP de Contas em seu relatório.</w:t>
      </w:r>
    </w:p>
    <w:p w14:paraId="078631B1" w14:textId="4AE6C5E0" w:rsidR="005473E7" w:rsidRPr="005473E7" w:rsidRDefault="005473E7" w:rsidP="001A04C9">
      <w:pPr>
        <w:ind w:left="2268"/>
        <w:jc w:val="both"/>
        <w:rPr>
          <w:rFonts w:ascii="Arial" w:hAnsi="Arial" w:cs="Arial"/>
          <w:sz w:val="22"/>
          <w:szCs w:val="22"/>
        </w:rPr>
      </w:pPr>
      <w:r w:rsidRPr="005473E7">
        <w:rPr>
          <w:rFonts w:ascii="Arial" w:hAnsi="Arial" w:cs="Arial"/>
          <w:sz w:val="22"/>
          <w:szCs w:val="22"/>
        </w:rPr>
        <w:t>Em 2018, o TCE já aprovou, com ressalvas, as contas de 2017 do ex-governador </w:t>
      </w:r>
      <w:r w:rsidRPr="005473E7">
        <w:rPr>
          <w:rFonts w:ascii="Arial" w:hAnsi="Arial" w:cs="Arial"/>
          <w:b/>
          <w:bCs/>
          <w:sz w:val="22"/>
          <w:szCs w:val="22"/>
        </w:rPr>
        <w:t>Geraldo Alckmin </w:t>
      </w:r>
      <w:r w:rsidRPr="005473E7">
        <w:rPr>
          <w:rFonts w:ascii="Arial" w:hAnsi="Arial" w:cs="Arial"/>
          <w:sz w:val="22"/>
          <w:szCs w:val="22"/>
        </w:rPr>
        <w:t>(PSDB), recomendando que a Secretaria da Fazenda seja mais transparente nas desonerações de ICMS, usadas na guerra fiscal entre os Estados para atrair investimentos.</w:t>
      </w:r>
      <w:r w:rsidR="00D817D4">
        <w:rPr>
          <w:rStyle w:val="Refdenotaderodap"/>
          <w:rFonts w:ascii="Arial" w:hAnsi="Arial" w:cs="Arial"/>
          <w:sz w:val="22"/>
          <w:szCs w:val="22"/>
        </w:rPr>
        <w:footnoteReference w:id="18"/>
      </w:r>
    </w:p>
    <w:p w14:paraId="21B4322C" w14:textId="77777777" w:rsidR="005473E7" w:rsidRPr="005473E7" w:rsidRDefault="005473E7" w:rsidP="005473E7">
      <w:pPr>
        <w:ind w:left="2268" w:firstLine="284"/>
        <w:jc w:val="both"/>
        <w:rPr>
          <w:rFonts w:ascii="Arial" w:hAnsi="Arial" w:cs="Arial"/>
          <w:sz w:val="22"/>
          <w:szCs w:val="22"/>
        </w:rPr>
      </w:pPr>
    </w:p>
    <w:p w14:paraId="32AFCA7A" w14:textId="77777777" w:rsidR="005473E7" w:rsidRPr="005473E7" w:rsidRDefault="005473E7" w:rsidP="005473E7">
      <w:pPr>
        <w:ind w:left="2268" w:firstLine="284"/>
        <w:jc w:val="both"/>
        <w:rPr>
          <w:rFonts w:ascii="Arial" w:hAnsi="Arial" w:cs="Arial"/>
          <w:sz w:val="22"/>
          <w:szCs w:val="22"/>
        </w:rPr>
      </w:pPr>
    </w:p>
    <w:p w14:paraId="02575CAA" w14:textId="142414A6" w:rsidR="006A2C81" w:rsidRDefault="006A2C81" w:rsidP="006A2C81">
      <w:pPr>
        <w:spacing w:line="360" w:lineRule="auto"/>
        <w:ind w:firstLine="851"/>
        <w:jc w:val="both"/>
        <w:rPr>
          <w:rFonts w:ascii="Arial" w:hAnsi="Arial" w:cs="Arial"/>
          <w:sz w:val="24"/>
          <w:szCs w:val="24"/>
        </w:rPr>
      </w:pPr>
      <w:r w:rsidRPr="006A2C81">
        <w:rPr>
          <w:rFonts w:ascii="Arial" w:hAnsi="Arial" w:cs="Arial"/>
          <w:sz w:val="24"/>
          <w:szCs w:val="24"/>
        </w:rPr>
        <w:t>Não se desconhece que o Estado de Goiás ainda precisa avançar muito em</w:t>
      </w:r>
      <w:r>
        <w:rPr>
          <w:rFonts w:ascii="Arial" w:hAnsi="Arial" w:cs="Arial"/>
          <w:sz w:val="24"/>
          <w:szCs w:val="24"/>
        </w:rPr>
        <w:t xml:space="preserve"> </w:t>
      </w:r>
      <w:r w:rsidRPr="006A2C81">
        <w:rPr>
          <w:rFonts w:ascii="Arial" w:hAnsi="Arial" w:cs="Arial"/>
          <w:sz w:val="24"/>
          <w:szCs w:val="24"/>
        </w:rPr>
        <w:t>matéria de transparência referente aos incentivos fiscais, e isso será objeto de um</w:t>
      </w:r>
      <w:r>
        <w:rPr>
          <w:rFonts w:ascii="Arial" w:hAnsi="Arial" w:cs="Arial"/>
          <w:sz w:val="24"/>
          <w:szCs w:val="24"/>
        </w:rPr>
        <w:t xml:space="preserve"> </w:t>
      </w:r>
      <w:r w:rsidRPr="006A2C81">
        <w:rPr>
          <w:rFonts w:ascii="Arial" w:hAnsi="Arial" w:cs="Arial"/>
          <w:sz w:val="24"/>
          <w:szCs w:val="24"/>
        </w:rPr>
        <w:t>tópico próprio no qual se demonstrarão as deficiências que ainda devem ser superadas</w:t>
      </w:r>
      <w:r>
        <w:rPr>
          <w:rFonts w:ascii="Arial" w:hAnsi="Arial" w:cs="Arial"/>
          <w:sz w:val="24"/>
          <w:szCs w:val="24"/>
        </w:rPr>
        <w:t xml:space="preserve"> </w:t>
      </w:r>
      <w:r w:rsidRPr="006A2C81">
        <w:rPr>
          <w:rFonts w:ascii="Arial" w:hAnsi="Arial" w:cs="Arial"/>
          <w:sz w:val="24"/>
          <w:szCs w:val="24"/>
        </w:rPr>
        <w:t>para que os órgãos de controle e toda a sociedade conheçam, com maior clareza, as</w:t>
      </w:r>
      <w:r>
        <w:rPr>
          <w:rFonts w:ascii="Arial" w:hAnsi="Arial" w:cs="Arial"/>
          <w:sz w:val="24"/>
          <w:szCs w:val="24"/>
        </w:rPr>
        <w:t xml:space="preserve"> </w:t>
      </w:r>
      <w:r w:rsidRPr="006A2C81">
        <w:rPr>
          <w:rFonts w:ascii="Arial" w:hAnsi="Arial" w:cs="Arial"/>
          <w:sz w:val="24"/>
          <w:szCs w:val="24"/>
        </w:rPr>
        <w:lastRenderedPageBreak/>
        <w:t>empresas beneficiárias e todos os detalhes que envolvem a concessão e a fruição</w:t>
      </w:r>
      <w:r>
        <w:rPr>
          <w:rFonts w:ascii="Arial" w:hAnsi="Arial" w:cs="Arial"/>
          <w:sz w:val="24"/>
          <w:szCs w:val="24"/>
        </w:rPr>
        <w:t xml:space="preserve"> </w:t>
      </w:r>
      <w:r w:rsidRPr="006A2C81">
        <w:rPr>
          <w:rFonts w:ascii="Arial" w:hAnsi="Arial" w:cs="Arial"/>
          <w:sz w:val="24"/>
          <w:szCs w:val="24"/>
        </w:rPr>
        <w:t>daqueles benefícios concedidos pelo Estado.</w:t>
      </w:r>
    </w:p>
    <w:p w14:paraId="0C371160" w14:textId="620F5C5E" w:rsidR="005473E7" w:rsidRDefault="00D817D4" w:rsidP="00051051">
      <w:pPr>
        <w:spacing w:line="360" w:lineRule="auto"/>
        <w:ind w:firstLine="851"/>
        <w:jc w:val="both"/>
        <w:rPr>
          <w:rFonts w:ascii="Arial" w:hAnsi="Arial" w:cs="Arial"/>
          <w:sz w:val="24"/>
          <w:szCs w:val="24"/>
        </w:rPr>
      </w:pPr>
      <w:r>
        <w:rPr>
          <w:rFonts w:ascii="Arial" w:hAnsi="Arial" w:cs="Arial"/>
          <w:sz w:val="24"/>
          <w:szCs w:val="24"/>
        </w:rPr>
        <w:t xml:space="preserve">Portanto, entende-se que a </w:t>
      </w:r>
      <w:r w:rsidR="001C4B2B">
        <w:rPr>
          <w:rFonts w:ascii="Arial" w:hAnsi="Arial" w:cs="Arial"/>
          <w:sz w:val="24"/>
          <w:szCs w:val="24"/>
        </w:rPr>
        <w:t>transparência</w:t>
      </w:r>
      <w:r w:rsidR="002145CC">
        <w:rPr>
          <w:rFonts w:ascii="Arial" w:hAnsi="Arial" w:cs="Arial"/>
          <w:sz w:val="24"/>
          <w:szCs w:val="24"/>
        </w:rPr>
        <w:t xml:space="preserve"> na divulgação de incentivos fiscais</w:t>
      </w:r>
      <w:r w:rsidR="001C4B2B">
        <w:rPr>
          <w:rFonts w:ascii="Arial" w:hAnsi="Arial" w:cs="Arial"/>
          <w:sz w:val="24"/>
          <w:szCs w:val="24"/>
        </w:rPr>
        <w:t xml:space="preserve"> constitui um dos pilares </w:t>
      </w:r>
      <w:r w:rsidR="002145CC">
        <w:rPr>
          <w:rFonts w:ascii="Arial" w:hAnsi="Arial" w:cs="Arial"/>
          <w:sz w:val="24"/>
          <w:szCs w:val="24"/>
        </w:rPr>
        <w:t>essenciais para conhecer a realidade do Estado de Goiás ness</w:t>
      </w:r>
      <w:r w:rsidR="00DE70AB">
        <w:rPr>
          <w:rFonts w:ascii="Arial" w:hAnsi="Arial" w:cs="Arial"/>
          <w:sz w:val="24"/>
          <w:szCs w:val="24"/>
        </w:rPr>
        <w:t>a</w:t>
      </w:r>
      <w:r w:rsidR="002145CC">
        <w:rPr>
          <w:rFonts w:ascii="Arial" w:hAnsi="Arial" w:cs="Arial"/>
          <w:sz w:val="24"/>
          <w:szCs w:val="24"/>
        </w:rPr>
        <w:t xml:space="preserve"> matéria e, a partir daí, </w:t>
      </w:r>
      <w:r w:rsidR="00CE0627">
        <w:rPr>
          <w:rFonts w:ascii="Arial" w:hAnsi="Arial" w:cs="Arial"/>
          <w:sz w:val="24"/>
          <w:szCs w:val="24"/>
        </w:rPr>
        <w:t>redefinir a política estadual de concessão dos aludidos incentivos</w:t>
      </w:r>
      <w:r w:rsidR="002145CC">
        <w:rPr>
          <w:rFonts w:ascii="Arial" w:hAnsi="Arial" w:cs="Arial"/>
          <w:sz w:val="24"/>
          <w:szCs w:val="24"/>
        </w:rPr>
        <w:t>.</w:t>
      </w:r>
      <w:r w:rsidR="002E4582">
        <w:rPr>
          <w:rFonts w:ascii="Arial" w:hAnsi="Arial" w:cs="Arial"/>
          <w:sz w:val="24"/>
          <w:szCs w:val="24"/>
        </w:rPr>
        <w:t xml:space="preserve"> </w:t>
      </w:r>
    </w:p>
    <w:p w14:paraId="5EABFFD5" w14:textId="77777777" w:rsidR="00F53B89" w:rsidRDefault="00F53B89" w:rsidP="00E30146">
      <w:pPr>
        <w:spacing w:line="360" w:lineRule="auto"/>
        <w:ind w:firstLine="851"/>
        <w:jc w:val="both"/>
        <w:rPr>
          <w:rFonts w:ascii="Arial" w:hAnsi="Arial" w:cs="Arial"/>
          <w:sz w:val="24"/>
          <w:szCs w:val="24"/>
        </w:rPr>
      </w:pPr>
    </w:p>
    <w:p w14:paraId="44CF17B4" w14:textId="40563508" w:rsidR="00E30146" w:rsidRPr="00C22FB2" w:rsidRDefault="006206F1" w:rsidP="006206F1">
      <w:pPr>
        <w:spacing w:line="360" w:lineRule="auto"/>
        <w:ind w:firstLine="851"/>
        <w:jc w:val="both"/>
        <w:rPr>
          <w:rFonts w:ascii="Arial" w:hAnsi="Arial" w:cs="Arial"/>
          <w:b/>
          <w:sz w:val="24"/>
          <w:szCs w:val="24"/>
        </w:rPr>
      </w:pPr>
      <w:r w:rsidRPr="00C22FB2">
        <w:rPr>
          <w:rFonts w:ascii="Arial" w:hAnsi="Arial" w:cs="Arial"/>
          <w:b/>
          <w:sz w:val="24"/>
          <w:szCs w:val="24"/>
        </w:rPr>
        <w:t xml:space="preserve">3.3.2.2 </w:t>
      </w:r>
      <w:r w:rsidR="00E52766" w:rsidRPr="00C22FB2">
        <w:rPr>
          <w:rFonts w:ascii="Arial" w:hAnsi="Arial" w:cs="Arial"/>
          <w:b/>
          <w:sz w:val="24"/>
          <w:szCs w:val="24"/>
        </w:rPr>
        <w:t xml:space="preserve">– </w:t>
      </w:r>
      <w:r w:rsidR="00E30146" w:rsidRPr="00C22FB2">
        <w:rPr>
          <w:rFonts w:ascii="Arial" w:hAnsi="Arial" w:cs="Arial"/>
          <w:b/>
          <w:sz w:val="24"/>
          <w:szCs w:val="24"/>
        </w:rPr>
        <w:t>Nota Técnica</w:t>
      </w:r>
      <w:r w:rsidR="00FD1DCD" w:rsidRPr="00C22FB2">
        <w:rPr>
          <w:rFonts w:ascii="Arial" w:hAnsi="Arial" w:cs="Arial"/>
          <w:sz w:val="24"/>
          <w:szCs w:val="24"/>
        </w:rPr>
        <w:t xml:space="preserve"> </w:t>
      </w:r>
      <w:r w:rsidR="00FD1DCD" w:rsidRPr="00C22FB2">
        <w:rPr>
          <w:rFonts w:ascii="Arial" w:hAnsi="Arial" w:cs="Arial"/>
          <w:b/>
          <w:sz w:val="24"/>
          <w:szCs w:val="24"/>
        </w:rPr>
        <w:t>nº</w:t>
      </w:r>
      <w:r w:rsidR="00E30146" w:rsidRPr="00C22FB2">
        <w:rPr>
          <w:rFonts w:ascii="Arial" w:hAnsi="Arial" w:cs="Arial"/>
          <w:b/>
          <w:sz w:val="24"/>
          <w:szCs w:val="24"/>
        </w:rPr>
        <w:t xml:space="preserve"> 001/2017</w:t>
      </w:r>
    </w:p>
    <w:p w14:paraId="259FC57D" w14:textId="45BBA3AA" w:rsidR="00E30146" w:rsidRDefault="00E30146" w:rsidP="00A11E5C">
      <w:pPr>
        <w:spacing w:line="360" w:lineRule="auto"/>
        <w:jc w:val="both"/>
        <w:rPr>
          <w:rFonts w:ascii="Arial" w:hAnsi="Arial" w:cs="Arial"/>
          <w:sz w:val="24"/>
          <w:szCs w:val="24"/>
        </w:rPr>
      </w:pPr>
    </w:p>
    <w:p w14:paraId="1358B9D6" w14:textId="77777777" w:rsidR="005146B3" w:rsidRDefault="00FD1DCD" w:rsidP="00FD1DCD">
      <w:pPr>
        <w:spacing w:line="360" w:lineRule="auto"/>
        <w:ind w:firstLine="851"/>
        <w:jc w:val="both"/>
        <w:rPr>
          <w:rFonts w:ascii="Arial" w:hAnsi="Arial" w:cs="Arial"/>
          <w:b/>
          <w:sz w:val="24"/>
          <w:szCs w:val="24"/>
        </w:rPr>
      </w:pPr>
      <w:r>
        <w:rPr>
          <w:rFonts w:ascii="Arial" w:hAnsi="Arial" w:cs="Arial"/>
          <w:sz w:val="24"/>
          <w:szCs w:val="24"/>
        </w:rPr>
        <w:t xml:space="preserve">Por meio da </w:t>
      </w:r>
      <w:r w:rsidRPr="005146B3">
        <w:rPr>
          <w:rFonts w:ascii="Arial" w:hAnsi="Arial" w:cs="Arial"/>
          <w:b/>
          <w:sz w:val="24"/>
          <w:szCs w:val="24"/>
        </w:rPr>
        <w:t>Portaria-</w:t>
      </w:r>
      <w:r w:rsidR="00115FF7" w:rsidRPr="005146B3">
        <w:rPr>
          <w:rFonts w:ascii="Arial" w:hAnsi="Arial" w:cs="Arial"/>
          <w:b/>
          <w:sz w:val="24"/>
          <w:szCs w:val="24"/>
        </w:rPr>
        <w:t>S</w:t>
      </w:r>
      <w:r w:rsidRPr="005146B3">
        <w:rPr>
          <w:rFonts w:ascii="Arial" w:hAnsi="Arial" w:cs="Arial"/>
          <w:b/>
          <w:sz w:val="24"/>
          <w:szCs w:val="24"/>
        </w:rPr>
        <w:t>R</w:t>
      </w:r>
      <w:r w:rsidR="00115FF7" w:rsidRPr="005146B3">
        <w:rPr>
          <w:rFonts w:ascii="Arial" w:hAnsi="Arial" w:cs="Arial"/>
          <w:b/>
          <w:sz w:val="24"/>
          <w:szCs w:val="24"/>
        </w:rPr>
        <w:t>E</w:t>
      </w:r>
      <w:r w:rsidRPr="005146B3">
        <w:rPr>
          <w:rFonts w:ascii="Arial" w:hAnsi="Arial" w:cs="Arial"/>
          <w:b/>
          <w:sz w:val="24"/>
          <w:szCs w:val="24"/>
        </w:rPr>
        <w:t xml:space="preserve"> nº 005/2017</w:t>
      </w:r>
      <w:r w:rsidRPr="0039198C">
        <w:rPr>
          <w:rFonts w:ascii="Arial" w:hAnsi="Arial" w:cs="Arial"/>
          <w:sz w:val="24"/>
          <w:szCs w:val="24"/>
        </w:rPr>
        <w:t>, da Superintendência</w:t>
      </w:r>
      <w:r>
        <w:rPr>
          <w:rFonts w:ascii="Arial" w:hAnsi="Arial" w:cs="Arial"/>
          <w:sz w:val="24"/>
          <w:szCs w:val="24"/>
        </w:rPr>
        <w:t xml:space="preserve"> da Receita Estadual, </w:t>
      </w:r>
      <w:r w:rsidR="005146B3">
        <w:rPr>
          <w:rFonts w:ascii="Arial" w:hAnsi="Arial" w:cs="Arial"/>
          <w:sz w:val="24"/>
          <w:szCs w:val="24"/>
        </w:rPr>
        <w:t xml:space="preserve">constituiu-se Grupo de Trabalho, formado por auditores da receita estadual, destinado a </w:t>
      </w:r>
      <w:r>
        <w:rPr>
          <w:rFonts w:ascii="Arial" w:hAnsi="Arial" w:cs="Arial"/>
          <w:sz w:val="24"/>
          <w:szCs w:val="24"/>
        </w:rPr>
        <w:t>determin</w:t>
      </w:r>
      <w:r w:rsidR="005146B3">
        <w:rPr>
          <w:rFonts w:ascii="Arial" w:hAnsi="Arial" w:cs="Arial"/>
          <w:sz w:val="24"/>
          <w:szCs w:val="24"/>
        </w:rPr>
        <w:t xml:space="preserve">ar </w:t>
      </w:r>
      <w:r>
        <w:rPr>
          <w:rFonts w:ascii="Arial" w:hAnsi="Arial" w:cs="Arial"/>
          <w:sz w:val="24"/>
          <w:szCs w:val="24"/>
        </w:rPr>
        <w:t xml:space="preserve">o </w:t>
      </w:r>
      <w:r w:rsidRPr="005146B3">
        <w:rPr>
          <w:rFonts w:ascii="Arial" w:hAnsi="Arial" w:cs="Arial"/>
          <w:sz w:val="24"/>
          <w:szCs w:val="24"/>
          <w:u w:val="single"/>
        </w:rPr>
        <w:t>cálculo da renúncia de receita correspondente aos impostos de competência do Estado de Goiás, relativamente ao exercício de 2016</w:t>
      </w:r>
      <w:r w:rsidR="005146B3" w:rsidRPr="005146B3">
        <w:rPr>
          <w:rFonts w:ascii="Arial" w:hAnsi="Arial" w:cs="Arial"/>
          <w:sz w:val="24"/>
          <w:szCs w:val="24"/>
        </w:rPr>
        <w:t>.</w:t>
      </w:r>
    </w:p>
    <w:p w14:paraId="2AB99F0E" w14:textId="4F46DEC1" w:rsidR="008A380C" w:rsidRDefault="005146B3" w:rsidP="00FD1DCD">
      <w:pPr>
        <w:spacing w:line="360" w:lineRule="auto"/>
        <w:ind w:firstLine="851"/>
        <w:jc w:val="both"/>
        <w:rPr>
          <w:rFonts w:ascii="Arial" w:hAnsi="Arial" w:cs="Arial"/>
          <w:sz w:val="24"/>
          <w:szCs w:val="24"/>
        </w:rPr>
      </w:pPr>
      <w:r w:rsidRPr="005146B3">
        <w:rPr>
          <w:rFonts w:ascii="Arial" w:hAnsi="Arial" w:cs="Arial"/>
          <w:sz w:val="24"/>
          <w:szCs w:val="24"/>
        </w:rPr>
        <w:t>Esse</w:t>
      </w:r>
      <w:r>
        <w:rPr>
          <w:rFonts w:ascii="Arial" w:hAnsi="Arial" w:cs="Arial"/>
          <w:sz w:val="24"/>
          <w:szCs w:val="24"/>
        </w:rPr>
        <w:t xml:space="preserve"> trabalho</w:t>
      </w:r>
      <w:r w:rsidR="00FD1DCD">
        <w:rPr>
          <w:rFonts w:ascii="Arial" w:hAnsi="Arial" w:cs="Arial"/>
          <w:sz w:val="24"/>
          <w:szCs w:val="24"/>
        </w:rPr>
        <w:t xml:space="preserve"> </w:t>
      </w:r>
      <w:r>
        <w:rPr>
          <w:rFonts w:ascii="Arial" w:hAnsi="Arial" w:cs="Arial"/>
          <w:sz w:val="24"/>
          <w:szCs w:val="24"/>
        </w:rPr>
        <w:t xml:space="preserve">resultou na elaboração </w:t>
      </w:r>
      <w:r w:rsidR="00FD1DCD">
        <w:rPr>
          <w:rFonts w:ascii="Arial" w:hAnsi="Arial" w:cs="Arial"/>
          <w:sz w:val="24"/>
          <w:szCs w:val="24"/>
        </w:rPr>
        <w:t xml:space="preserve">da </w:t>
      </w:r>
      <w:r w:rsidR="00FD1DCD" w:rsidRPr="005146B3">
        <w:rPr>
          <w:rFonts w:ascii="Arial" w:hAnsi="Arial" w:cs="Arial"/>
          <w:b/>
          <w:sz w:val="24"/>
          <w:szCs w:val="24"/>
        </w:rPr>
        <w:t>Nota Técnica nº 001/2017</w:t>
      </w:r>
      <w:r w:rsidR="00FD1DCD">
        <w:rPr>
          <w:rFonts w:ascii="Arial" w:hAnsi="Arial" w:cs="Arial"/>
          <w:sz w:val="24"/>
          <w:szCs w:val="24"/>
        </w:rPr>
        <w:t xml:space="preserve">, </w:t>
      </w:r>
      <w:r w:rsidR="0039198C" w:rsidRPr="0039198C">
        <w:rPr>
          <w:rFonts w:ascii="Arial" w:hAnsi="Arial" w:cs="Arial"/>
          <w:sz w:val="24"/>
          <w:szCs w:val="24"/>
        </w:rPr>
        <w:t>constituída</w:t>
      </w:r>
      <w:r>
        <w:rPr>
          <w:rFonts w:ascii="Arial" w:hAnsi="Arial" w:cs="Arial"/>
          <w:sz w:val="24"/>
          <w:szCs w:val="24"/>
        </w:rPr>
        <w:t xml:space="preserve"> de 20 (vinte) laudas de texto, </w:t>
      </w:r>
      <w:r w:rsidRPr="0039198C">
        <w:rPr>
          <w:rFonts w:ascii="Arial" w:hAnsi="Arial" w:cs="Arial"/>
          <w:sz w:val="24"/>
          <w:szCs w:val="24"/>
        </w:rPr>
        <w:t>que detalham a metodologia de cálculo</w:t>
      </w:r>
      <w:r>
        <w:rPr>
          <w:rFonts w:ascii="Arial" w:hAnsi="Arial" w:cs="Arial"/>
          <w:sz w:val="24"/>
          <w:szCs w:val="24"/>
        </w:rPr>
        <w:t xml:space="preserve"> utilizada, além de 21 (vinte e uma) folhas de anexo que contém </w:t>
      </w:r>
      <w:r w:rsidR="0039198C" w:rsidRPr="0039198C">
        <w:rPr>
          <w:rFonts w:ascii="Arial" w:hAnsi="Arial" w:cs="Arial"/>
          <w:sz w:val="24"/>
          <w:szCs w:val="24"/>
        </w:rPr>
        <w:t>29 (vinte e nove) tabelas,</w:t>
      </w:r>
      <w:r>
        <w:rPr>
          <w:rFonts w:ascii="Arial" w:hAnsi="Arial" w:cs="Arial"/>
          <w:sz w:val="24"/>
          <w:szCs w:val="24"/>
        </w:rPr>
        <w:t xml:space="preserve"> as quais indicam os valores apurados relativamente a cada imposto estadual e os montantes líquido e bruto finais</w:t>
      </w:r>
      <w:r w:rsidR="008A380C">
        <w:rPr>
          <w:rFonts w:ascii="Arial" w:hAnsi="Arial" w:cs="Arial"/>
          <w:sz w:val="24"/>
          <w:szCs w:val="24"/>
        </w:rPr>
        <w:t>.</w:t>
      </w:r>
      <w:r w:rsidR="0039198C">
        <w:rPr>
          <w:rFonts w:ascii="Arial" w:hAnsi="Arial" w:cs="Arial"/>
          <w:sz w:val="24"/>
          <w:szCs w:val="24"/>
        </w:rPr>
        <w:t xml:space="preserve"> Referida </w:t>
      </w:r>
      <w:r w:rsidR="0039198C" w:rsidRPr="0039198C">
        <w:rPr>
          <w:rFonts w:ascii="Arial" w:hAnsi="Arial" w:cs="Arial"/>
          <w:sz w:val="24"/>
          <w:szCs w:val="24"/>
        </w:rPr>
        <w:t xml:space="preserve">nota, </w:t>
      </w:r>
      <w:r w:rsidR="0039198C" w:rsidRPr="0039198C">
        <w:rPr>
          <w:rFonts w:ascii="Arial" w:hAnsi="Arial" w:cs="Arial"/>
          <w:sz w:val="24"/>
          <w:szCs w:val="24"/>
          <w:u w:val="single"/>
        </w:rPr>
        <w:t>subscrita em 07/06/2017</w:t>
      </w:r>
      <w:r w:rsidR="0039198C">
        <w:rPr>
          <w:rFonts w:ascii="Arial" w:hAnsi="Arial" w:cs="Arial"/>
          <w:sz w:val="24"/>
          <w:szCs w:val="24"/>
        </w:rPr>
        <w:t xml:space="preserve"> foi devidamente </w:t>
      </w:r>
      <w:r w:rsidR="0039198C" w:rsidRPr="0039198C">
        <w:rPr>
          <w:rFonts w:ascii="Arial" w:hAnsi="Arial" w:cs="Arial"/>
          <w:sz w:val="24"/>
          <w:szCs w:val="24"/>
          <w:u w:val="single"/>
        </w:rPr>
        <w:t>aprovada pelo superintendente da receita estadual</w:t>
      </w:r>
      <w:r w:rsidR="0039198C">
        <w:rPr>
          <w:rFonts w:ascii="Arial" w:hAnsi="Arial" w:cs="Arial"/>
          <w:sz w:val="24"/>
          <w:szCs w:val="24"/>
        </w:rPr>
        <w:t xml:space="preserve"> na época, Adonídio Net</w:t>
      </w:r>
      <w:r w:rsidR="00FC6115">
        <w:rPr>
          <w:rFonts w:ascii="Arial" w:hAnsi="Arial" w:cs="Arial"/>
          <w:sz w:val="24"/>
          <w:szCs w:val="24"/>
        </w:rPr>
        <w:t>o Vieira Junior</w:t>
      </w:r>
      <w:r w:rsidR="0039198C" w:rsidRPr="0039198C">
        <w:rPr>
          <w:rFonts w:ascii="Arial" w:hAnsi="Arial" w:cs="Arial"/>
          <w:sz w:val="24"/>
          <w:szCs w:val="24"/>
        </w:rPr>
        <w:t>.</w:t>
      </w:r>
    </w:p>
    <w:p w14:paraId="30BA3915" w14:textId="74D1B86C" w:rsidR="0039198C" w:rsidRDefault="00B07704" w:rsidP="00FD1DCD">
      <w:pPr>
        <w:spacing w:line="360" w:lineRule="auto"/>
        <w:ind w:firstLine="851"/>
        <w:jc w:val="both"/>
        <w:rPr>
          <w:rFonts w:ascii="Arial" w:hAnsi="Arial" w:cs="Arial"/>
          <w:sz w:val="24"/>
          <w:szCs w:val="24"/>
        </w:rPr>
      </w:pPr>
      <w:r>
        <w:rPr>
          <w:rFonts w:ascii="Arial" w:hAnsi="Arial" w:cs="Arial"/>
          <w:sz w:val="24"/>
          <w:szCs w:val="24"/>
        </w:rPr>
        <w:t xml:space="preserve">Na </w:t>
      </w:r>
      <w:r w:rsidR="005146B3">
        <w:rPr>
          <w:rFonts w:ascii="Arial" w:hAnsi="Arial" w:cs="Arial"/>
          <w:sz w:val="24"/>
          <w:szCs w:val="24"/>
        </w:rPr>
        <w:t>mencionada</w:t>
      </w:r>
      <w:r w:rsidR="00D26583">
        <w:rPr>
          <w:rFonts w:ascii="Arial" w:hAnsi="Arial" w:cs="Arial"/>
          <w:sz w:val="24"/>
          <w:szCs w:val="24"/>
        </w:rPr>
        <w:t xml:space="preserve"> nota</w:t>
      </w:r>
      <w:r>
        <w:rPr>
          <w:rFonts w:ascii="Arial" w:hAnsi="Arial" w:cs="Arial"/>
          <w:sz w:val="24"/>
          <w:szCs w:val="24"/>
        </w:rPr>
        <w:t xml:space="preserve"> </w:t>
      </w:r>
      <w:r w:rsidRPr="00B07704">
        <w:rPr>
          <w:rFonts w:ascii="Arial" w:hAnsi="Arial" w:cs="Arial"/>
          <w:b/>
          <w:sz w:val="24"/>
          <w:szCs w:val="24"/>
        </w:rPr>
        <w:t>reconheceu-se expressamente</w:t>
      </w:r>
      <w:r>
        <w:rPr>
          <w:rFonts w:ascii="Arial" w:hAnsi="Arial" w:cs="Arial"/>
          <w:sz w:val="24"/>
          <w:szCs w:val="24"/>
        </w:rPr>
        <w:t xml:space="preserve"> a </w:t>
      </w:r>
      <w:r w:rsidRPr="00B07704">
        <w:rPr>
          <w:rFonts w:ascii="Arial" w:hAnsi="Arial" w:cs="Arial"/>
          <w:sz w:val="24"/>
          <w:szCs w:val="24"/>
          <w:u w:val="single"/>
        </w:rPr>
        <w:t xml:space="preserve">existência de limitações da </w:t>
      </w:r>
      <w:r w:rsidR="00A137B5" w:rsidRPr="00B07704">
        <w:rPr>
          <w:rFonts w:ascii="Arial" w:hAnsi="Arial" w:cs="Arial"/>
          <w:sz w:val="24"/>
          <w:szCs w:val="24"/>
          <w:u w:val="single"/>
        </w:rPr>
        <w:t>Secretaria</w:t>
      </w:r>
      <w:r w:rsidR="00A137B5">
        <w:rPr>
          <w:rFonts w:ascii="Arial" w:hAnsi="Arial" w:cs="Arial"/>
          <w:sz w:val="24"/>
          <w:szCs w:val="24"/>
        </w:rPr>
        <w:t xml:space="preserve"> </w:t>
      </w:r>
      <w:r>
        <w:rPr>
          <w:rFonts w:ascii="Arial" w:hAnsi="Arial" w:cs="Arial"/>
          <w:sz w:val="24"/>
          <w:szCs w:val="24"/>
        </w:rPr>
        <w:t xml:space="preserve">e a </w:t>
      </w:r>
      <w:r w:rsidRPr="00B07704">
        <w:rPr>
          <w:rFonts w:ascii="Arial" w:hAnsi="Arial" w:cs="Arial"/>
          <w:sz w:val="24"/>
          <w:szCs w:val="24"/>
          <w:u w:val="single"/>
        </w:rPr>
        <w:t>ausência de bases de dados sistematizados</w:t>
      </w:r>
      <w:r>
        <w:rPr>
          <w:rFonts w:ascii="Arial" w:hAnsi="Arial" w:cs="Arial"/>
          <w:sz w:val="24"/>
          <w:szCs w:val="24"/>
        </w:rPr>
        <w:t xml:space="preserve"> para a finalidade à qual os técnicos foram incumbidos de esclarecer. Ne</w:t>
      </w:r>
      <w:r w:rsidR="007C63FC">
        <w:rPr>
          <w:rFonts w:ascii="Arial" w:hAnsi="Arial" w:cs="Arial"/>
          <w:sz w:val="24"/>
          <w:szCs w:val="24"/>
        </w:rPr>
        <w:t>sse contexto, apresent</w:t>
      </w:r>
      <w:r w:rsidR="0039198C">
        <w:rPr>
          <w:rFonts w:ascii="Arial" w:hAnsi="Arial" w:cs="Arial"/>
          <w:sz w:val="24"/>
          <w:szCs w:val="24"/>
        </w:rPr>
        <w:t>ou</w:t>
      </w:r>
      <w:r>
        <w:rPr>
          <w:rFonts w:ascii="Arial" w:hAnsi="Arial" w:cs="Arial"/>
          <w:sz w:val="24"/>
          <w:szCs w:val="24"/>
        </w:rPr>
        <w:t xml:space="preserve">-se </w:t>
      </w:r>
      <w:r w:rsidR="0039198C">
        <w:rPr>
          <w:rFonts w:ascii="Arial" w:hAnsi="Arial" w:cs="Arial"/>
          <w:sz w:val="24"/>
          <w:szCs w:val="24"/>
        </w:rPr>
        <w:t xml:space="preserve">a seguinte conclusão acerca dos montantes bruto e </w:t>
      </w:r>
      <w:r>
        <w:rPr>
          <w:rFonts w:ascii="Arial" w:hAnsi="Arial" w:cs="Arial"/>
          <w:sz w:val="24"/>
          <w:szCs w:val="24"/>
        </w:rPr>
        <w:t>líquid</w:t>
      </w:r>
      <w:r w:rsidR="0039198C">
        <w:rPr>
          <w:rFonts w:ascii="Arial" w:hAnsi="Arial" w:cs="Arial"/>
          <w:sz w:val="24"/>
          <w:szCs w:val="24"/>
        </w:rPr>
        <w:t>o de renúncia de receita:</w:t>
      </w:r>
    </w:p>
    <w:p w14:paraId="6B2787EC" w14:textId="497AF8F4" w:rsidR="0039198C" w:rsidRDefault="0039198C" w:rsidP="00A137B5">
      <w:pPr>
        <w:spacing w:line="360" w:lineRule="auto"/>
        <w:ind w:firstLine="142"/>
        <w:jc w:val="both"/>
        <w:rPr>
          <w:rFonts w:ascii="Arial" w:hAnsi="Arial" w:cs="Arial"/>
          <w:sz w:val="24"/>
          <w:szCs w:val="24"/>
        </w:rPr>
      </w:pPr>
      <w:r w:rsidRPr="00B07704">
        <w:rPr>
          <w:rFonts w:ascii="Arial" w:hAnsi="Arial" w:cs="Arial"/>
          <w:noProof/>
          <w:sz w:val="24"/>
          <w:szCs w:val="24"/>
        </w:rPr>
        <w:drawing>
          <wp:inline distT="0" distB="0" distL="0" distR="0" wp14:anchorId="0DAD82C8" wp14:editId="3D508FA4">
            <wp:extent cx="5935980" cy="2114550"/>
            <wp:effectExtent l="0" t="0" r="762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5980" cy="2114550"/>
                    </a:xfrm>
                    <a:prstGeom prst="rect">
                      <a:avLst/>
                    </a:prstGeom>
                    <a:noFill/>
                    <a:ln>
                      <a:noFill/>
                    </a:ln>
                  </pic:spPr>
                </pic:pic>
              </a:graphicData>
            </a:graphic>
          </wp:inline>
        </w:drawing>
      </w:r>
    </w:p>
    <w:p w14:paraId="5DE39BD7" w14:textId="41DB2227" w:rsidR="00A0728D" w:rsidRDefault="0039198C" w:rsidP="00FD1DCD">
      <w:pPr>
        <w:spacing w:line="360" w:lineRule="auto"/>
        <w:ind w:firstLine="851"/>
        <w:jc w:val="both"/>
        <w:rPr>
          <w:rFonts w:ascii="Arial" w:hAnsi="Arial" w:cs="Arial"/>
          <w:sz w:val="24"/>
          <w:szCs w:val="24"/>
        </w:rPr>
      </w:pPr>
      <w:r>
        <w:rPr>
          <w:rFonts w:ascii="Arial" w:hAnsi="Arial" w:cs="Arial"/>
          <w:sz w:val="24"/>
          <w:szCs w:val="24"/>
        </w:rPr>
        <w:lastRenderedPageBreak/>
        <w:t xml:space="preserve">As </w:t>
      </w:r>
      <w:r w:rsidRPr="00013727">
        <w:rPr>
          <w:rFonts w:ascii="Arial" w:hAnsi="Arial" w:cs="Arial"/>
          <w:b/>
          <w:sz w:val="24"/>
          <w:szCs w:val="24"/>
        </w:rPr>
        <w:t>tabelas nºs 27 e 28 da referida nota bem resumem a conclusão do trabalho</w:t>
      </w:r>
      <w:r>
        <w:rPr>
          <w:rFonts w:ascii="Arial" w:hAnsi="Arial" w:cs="Arial"/>
          <w:sz w:val="24"/>
          <w:szCs w:val="24"/>
        </w:rPr>
        <w:t xml:space="preserve"> levado a efeito pelos técnicos do fisco para o cálculo da renúncia de receita relativamente aos impostos estaduais no exercício financeiro de 2016:</w:t>
      </w:r>
    </w:p>
    <w:p w14:paraId="13FCA928" w14:textId="1ED7CAC4" w:rsidR="0039198C" w:rsidRDefault="00013727" w:rsidP="00013727">
      <w:pPr>
        <w:spacing w:line="360" w:lineRule="auto"/>
        <w:jc w:val="both"/>
        <w:rPr>
          <w:rFonts w:ascii="Arial" w:hAnsi="Arial" w:cs="Arial"/>
          <w:sz w:val="24"/>
          <w:szCs w:val="24"/>
        </w:rPr>
      </w:pPr>
      <w:r w:rsidRPr="00013727">
        <w:rPr>
          <w:rFonts w:ascii="Arial" w:hAnsi="Arial" w:cs="Arial"/>
          <w:noProof/>
          <w:sz w:val="24"/>
          <w:szCs w:val="24"/>
        </w:rPr>
        <w:drawing>
          <wp:inline distT="0" distB="0" distL="0" distR="0" wp14:anchorId="73D022B0" wp14:editId="69ED5037">
            <wp:extent cx="5935980" cy="2782254"/>
            <wp:effectExtent l="0" t="0" r="762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5980" cy="2782254"/>
                    </a:xfrm>
                    <a:prstGeom prst="rect">
                      <a:avLst/>
                    </a:prstGeom>
                    <a:noFill/>
                    <a:ln>
                      <a:noFill/>
                    </a:ln>
                  </pic:spPr>
                </pic:pic>
              </a:graphicData>
            </a:graphic>
          </wp:inline>
        </w:drawing>
      </w:r>
    </w:p>
    <w:p w14:paraId="08B0223C" w14:textId="5FE14360" w:rsidR="00B07704" w:rsidRDefault="00B07704" w:rsidP="00FD1DCD">
      <w:pPr>
        <w:spacing w:line="360" w:lineRule="auto"/>
        <w:ind w:firstLine="851"/>
        <w:jc w:val="both"/>
        <w:rPr>
          <w:rFonts w:ascii="Arial" w:hAnsi="Arial" w:cs="Arial"/>
          <w:sz w:val="24"/>
          <w:szCs w:val="24"/>
        </w:rPr>
      </w:pPr>
    </w:p>
    <w:p w14:paraId="5FE29656" w14:textId="6432C763" w:rsidR="00013727" w:rsidRDefault="000827CD" w:rsidP="00FD1DCD">
      <w:pPr>
        <w:spacing w:line="360" w:lineRule="auto"/>
        <w:ind w:firstLine="851"/>
        <w:jc w:val="both"/>
        <w:rPr>
          <w:rFonts w:ascii="Arial" w:hAnsi="Arial" w:cs="Arial"/>
          <w:sz w:val="24"/>
          <w:szCs w:val="24"/>
        </w:rPr>
      </w:pPr>
      <w:r>
        <w:rPr>
          <w:rFonts w:ascii="Arial" w:hAnsi="Arial" w:cs="Arial"/>
          <w:sz w:val="24"/>
          <w:szCs w:val="24"/>
        </w:rPr>
        <w:t xml:space="preserve">Mesmo considerando a </w:t>
      </w:r>
      <w:r w:rsidRPr="00CF7D93">
        <w:rPr>
          <w:rFonts w:ascii="Arial" w:hAnsi="Arial" w:cs="Arial"/>
          <w:b/>
          <w:sz w:val="24"/>
          <w:szCs w:val="24"/>
        </w:rPr>
        <w:t>renúncia líquida</w:t>
      </w:r>
      <w:r>
        <w:rPr>
          <w:rFonts w:ascii="Arial" w:hAnsi="Arial" w:cs="Arial"/>
          <w:sz w:val="24"/>
          <w:szCs w:val="24"/>
        </w:rPr>
        <w:t xml:space="preserve"> do ano de 2016, </w:t>
      </w:r>
      <w:r w:rsidR="00CF7D93">
        <w:rPr>
          <w:rFonts w:ascii="Arial" w:hAnsi="Arial" w:cs="Arial"/>
          <w:sz w:val="24"/>
          <w:szCs w:val="24"/>
        </w:rPr>
        <w:t xml:space="preserve">de quase R$ 8.000.000.000,00 (oito bilhões de reais), </w:t>
      </w:r>
      <w:r>
        <w:rPr>
          <w:rFonts w:ascii="Arial" w:hAnsi="Arial" w:cs="Arial"/>
          <w:sz w:val="24"/>
          <w:szCs w:val="24"/>
        </w:rPr>
        <w:t xml:space="preserve">constata-se que esta </w:t>
      </w:r>
      <w:r w:rsidRPr="00CF7D93">
        <w:rPr>
          <w:rFonts w:ascii="Arial" w:hAnsi="Arial" w:cs="Arial"/>
          <w:sz w:val="24"/>
          <w:szCs w:val="24"/>
          <w:u w:val="single"/>
        </w:rPr>
        <w:t>corresponde a cerca de 30% (trinta por cento) do total da receita arrecadada pelo Estado de Goiás</w:t>
      </w:r>
      <w:r>
        <w:rPr>
          <w:rFonts w:ascii="Arial" w:hAnsi="Arial" w:cs="Arial"/>
          <w:sz w:val="24"/>
          <w:szCs w:val="24"/>
        </w:rPr>
        <w:t xml:space="preserve"> naquele exercício, </w:t>
      </w:r>
      <w:r w:rsidR="00CF7D93">
        <w:rPr>
          <w:rFonts w:ascii="Arial" w:hAnsi="Arial" w:cs="Arial"/>
          <w:sz w:val="24"/>
          <w:szCs w:val="24"/>
        </w:rPr>
        <w:t>média</w:t>
      </w:r>
      <w:r>
        <w:rPr>
          <w:rFonts w:ascii="Arial" w:hAnsi="Arial" w:cs="Arial"/>
          <w:sz w:val="24"/>
          <w:szCs w:val="24"/>
        </w:rPr>
        <w:t xml:space="preserve"> </w:t>
      </w:r>
      <w:r w:rsidR="00CF7D93">
        <w:rPr>
          <w:rFonts w:ascii="Arial" w:hAnsi="Arial" w:cs="Arial"/>
          <w:sz w:val="24"/>
          <w:szCs w:val="24"/>
        </w:rPr>
        <w:t xml:space="preserve">percentual </w:t>
      </w:r>
      <w:r>
        <w:rPr>
          <w:rFonts w:ascii="Arial" w:hAnsi="Arial" w:cs="Arial"/>
          <w:sz w:val="24"/>
          <w:szCs w:val="24"/>
        </w:rPr>
        <w:t>ess</w:t>
      </w:r>
      <w:r w:rsidR="00CF7D93">
        <w:rPr>
          <w:rFonts w:ascii="Arial" w:hAnsi="Arial" w:cs="Arial"/>
          <w:sz w:val="24"/>
          <w:szCs w:val="24"/>
        </w:rPr>
        <w:t>a</w:t>
      </w:r>
      <w:r>
        <w:rPr>
          <w:rFonts w:ascii="Arial" w:hAnsi="Arial" w:cs="Arial"/>
          <w:sz w:val="24"/>
          <w:szCs w:val="24"/>
        </w:rPr>
        <w:t xml:space="preserve"> que vem se mantendo nos anos subsequentes e que se manteve também em exercícios anteriores</w:t>
      </w:r>
      <w:r w:rsidR="00E91894">
        <w:rPr>
          <w:rFonts w:ascii="Arial" w:hAnsi="Arial" w:cs="Arial"/>
          <w:sz w:val="24"/>
          <w:szCs w:val="24"/>
        </w:rPr>
        <w:t>, conforme apontado pelo TCE/GO</w:t>
      </w:r>
      <w:r w:rsidR="00CF7D93">
        <w:rPr>
          <w:rFonts w:ascii="Arial" w:hAnsi="Arial" w:cs="Arial"/>
          <w:sz w:val="24"/>
          <w:szCs w:val="24"/>
        </w:rPr>
        <w:t xml:space="preserve"> nos relatórios da unidade técnica e em alguns pareceres prévios de análise das contas de governo (a exemplo do parecer sobre as contas de 2018)</w:t>
      </w:r>
      <w:r>
        <w:rPr>
          <w:rFonts w:ascii="Arial" w:hAnsi="Arial" w:cs="Arial"/>
          <w:sz w:val="24"/>
          <w:szCs w:val="24"/>
        </w:rPr>
        <w:t>.</w:t>
      </w:r>
    </w:p>
    <w:p w14:paraId="180397A4" w14:textId="77777777" w:rsidR="000F4F3A" w:rsidRDefault="000F4F3A" w:rsidP="00FD1DCD">
      <w:pPr>
        <w:spacing w:line="360" w:lineRule="auto"/>
        <w:ind w:firstLine="851"/>
        <w:jc w:val="both"/>
        <w:rPr>
          <w:rFonts w:ascii="Arial" w:hAnsi="Arial" w:cs="Arial"/>
          <w:sz w:val="24"/>
          <w:szCs w:val="24"/>
        </w:rPr>
      </w:pPr>
    </w:p>
    <w:p w14:paraId="740658AF" w14:textId="54648830" w:rsidR="00530EC8" w:rsidRPr="00C22FB2" w:rsidRDefault="00530EC8" w:rsidP="00530EC8">
      <w:pPr>
        <w:spacing w:line="360" w:lineRule="auto"/>
        <w:ind w:firstLine="851"/>
        <w:jc w:val="both"/>
        <w:rPr>
          <w:rFonts w:ascii="Arial" w:hAnsi="Arial" w:cs="Arial"/>
          <w:b/>
          <w:sz w:val="24"/>
          <w:szCs w:val="24"/>
        </w:rPr>
      </w:pPr>
      <w:r w:rsidRPr="00C22FB2">
        <w:rPr>
          <w:rFonts w:ascii="Arial" w:hAnsi="Arial" w:cs="Arial"/>
          <w:b/>
          <w:sz w:val="24"/>
          <w:szCs w:val="24"/>
        </w:rPr>
        <w:t>3.3.2.</w:t>
      </w:r>
      <w:r w:rsidR="00A84C82" w:rsidRPr="00C22FB2">
        <w:rPr>
          <w:rFonts w:ascii="Arial" w:hAnsi="Arial" w:cs="Arial"/>
          <w:b/>
          <w:sz w:val="24"/>
          <w:szCs w:val="24"/>
        </w:rPr>
        <w:t>3</w:t>
      </w:r>
      <w:r w:rsidRPr="00C22FB2">
        <w:rPr>
          <w:rFonts w:ascii="Arial" w:hAnsi="Arial" w:cs="Arial"/>
          <w:b/>
          <w:sz w:val="24"/>
          <w:szCs w:val="24"/>
        </w:rPr>
        <w:t xml:space="preserve"> </w:t>
      </w:r>
      <w:r w:rsidR="00B93860" w:rsidRPr="00C22FB2">
        <w:rPr>
          <w:rFonts w:ascii="Arial" w:hAnsi="Arial" w:cs="Arial"/>
          <w:b/>
          <w:sz w:val="24"/>
          <w:szCs w:val="24"/>
        </w:rPr>
        <w:t xml:space="preserve">– </w:t>
      </w:r>
      <w:r w:rsidRPr="00C22FB2">
        <w:rPr>
          <w:rFonts w:ascii="Arial" w:hAnsi="Arial" w:cs="Arial"/>
          <w:b/>
          <w:sz w:val="24"/>
          <w:szCs w:val="24"/>
        </w:rPr>
        <w:t>Anexos da LDO e da LOA (2018</w:t>
      </w:r>
      <w:r w:rsidR="00EC5B75" w:rsidRPr="00C22FB2">
        <w:rPr>
          <w:rFonts w:ascii="Arial" w:hAnsi="Arial" w:cs="Arial"/>
          <w:b/>
          <w:sz w:val="24"/>
          <w:szCs w:val="24"/>
        </w:rPr>
        <w:t>,</w:t>
      </w:r>
      <w:r w:rsidRPr="00C22FB2">
        <w:rPr>
          <w:rFonts w:ascii="Arial" w:hAnsi="Arial" w:cs="Arial"/>
          <w:b/>
          <w:sz w:val="24"/>
          <w:szCs w:val="24"/>
        </w:rPr>
        <w:t xml:space="preserve"> 2019</w:t>
      </w:r>
      <w:r w:rsidR="00EC5B75" w:rsidRPr="00C22FB2">
        <w:rPr>
          <w:rFonts w:ascii="Arial" w:hAnsi="Arial" w:cs="Arial"/>
          <w:b/>
          <w:sz w:val="24"/>
          <w:szCs w:val="24"/>
        </w:rPr>
        <w:t xml:space="preserve"> e 2020</w:t>
      </w:r>
      <w:r w:rsidRPr="00C22FB2">
        <w:rPr>
          <w:rFonts w:ascii="Arial" w:hAnsi="Arial" w:cs="Arial"/>
          <w:b/>
          <w:sz w:val="24"/>
          <w:szCs w:val="24"/>
        </w:rPr>
        <w:t>)</w:t>
      </w:r>
    </w:p>
    <w:p w14:paraId="1C91804B" w14:textId="77777777" w:rsidR="00530EC8" w:rsidRDefault="00530EC8" w:rsidP="008C73C0">
      <w:pPr>
        <w:spacing w:line="360" w:lineRule="auto"/>
        <w:ind w:firstLine="851"/>
        <w:jc w:val="both"/>
        <w:rPr>
          <w:rFonts w:ascii="Arial" w:hAnsi="Arial" w:cs="Arial"/>
          <w:b/>
          <w:sz w:val="24"/>
          <w:szCs w:val="24"/>
        </w:rPr>
      </w:pPr>
    </w:p>
    <w:p w14:paraId="19F9A274" w14:textId="068BB7A0" w:rsidR="00530EC8" w:rsidRDefault="00765146" w:rsidP="00C9010F">
      <w:pPr>
        <w:spacing w:line="360" w:lineRule="auto"/>
        <w:ind w:firstLine="851"/>
        <w:jc w:val="both"/>
        <w:rPr>
          <w:rFonts w:ascii="Arial" w:hAnsi="Arial" w:cs="Arial"/>
          <w:sz w:val="24"/>
          <w:szCs w:val="24"/>
        </w:rPr>
      </w:pPr>
      <w:r w:rsidRPr="00C22FB2">
        <w:rPr>
          <w:rFonts w:ascii="Arial" w:hAnsi="Arial" w:cs="Arial"/>
          <w:sz w:val="24"/>
          <w:szCs w:val="24"/>
        </w:rPr>
        <w:t>Cumprindo o que determina o ordenamento jurídico e também</w:t>
      </w:r>
      <w:r>
        <w:rPr>
          <w:rFonts w:ascii="Arial" w:hAnsi="Arial" w:cs="Arial"/>
          <w:sz w:val="24"/>
          <w:szCs w:val="24"/>
        </w:rPr>
        <w:t xml:space="preserve"> </w:t>
      </w:r>
      <w:r w:rsidR="00C9010F">
        <w:rPr>
          <w:rFonts w:ascii="Arial" w:hAnsi="Arial" w:cs="Arial"/>
          <w:sz w:val="24"/>
          <w:szCs w:val="24"/>
        </w:rPr>
        <w:t>em atendimento a recomendações/determinações do TCE/GO,</w:t>
      </w:r>
      <w:r w:rsidR="00C9010F" w:rsidRPr="00C9010F">
        <w:rPr>
          <w:rFonts w:ascii="Arial" w:hAnsi="Arial" w:cs="Arial"/>
          <w:sz w:val="24"/>
          <w:szCs w:val="24"/>
        </w:rPr>
        <w:t xml:space="preserve"> </w:t>
      </w:r>
      <w:r w:rsidR="00C9010F" w:rsidRPr="007B2986">
        <w:rPr>
          <w:rFonts w:ascii="Arial" w:hAnsi="Arial" w:cs="Arial"/>
          <w:b/>
          <w:sz w:val="24"/>
          <w:szCs w:val="24"/>
        </w:rPr>
        <w:t>os projetos de lei de diretrizes orçamentárias (LDO) e de lei orçamentária anual (LOA)</w:t>
      </w:r>
      <w:r w:rsidR="00C9010F">
        <w:rPr>
          <w:rFonts w:ascii="Arial" w:hAnsi="Arial" w:cs="Arial"/>
          <w:sz w:val="24"/>
          <w:szCs w:val="24"/>
        </w:rPr>
        <w:t xml:space="preserve"> começaram a ser </w:t>
      </w:r>
      <w:r w:rsidR="00C9010F" w:rsidRPr="007B2986">
        <w:rPr>
          <w:rFonts w:ascii="Arial" w:hAnsi="Arial" w:cs="Arial"/>
          <w:b/>
          <w:sz w:val="24"/>
          <w:szCs w:val="24"/>
        </w:rPr>
        <w:t>instruídos com anexo referentes a</w:t>
      </w:r>
      <w:r w:rsidR="00C9010F">
        <w:rPr>
          <w:rFonts w:ascii="Arial" w:hAnsi="Arial" w:cs="Arial"/>
          <w:sz w:val="24"/>
          <w:szCs w:val="24"/>
        </w:rPr>
        <w:t xml:space="preserve">: </w:t>
      </w:r>
      <w:r w:rsidR="00C9010F" w:rsidRPr="00C9010F">
        <w:rPr>
          <w:rFonts w:ascii="Arial" w:hAnsi="Arial" w:cs="Arial"/>
          <w:sz w:val="24"/>
          <w:szCs w:val="24"/>
          <w:u w:val="single"/>
        </w:rPr>
        <w:t>a) demonstrativo regionalizado do efeito</w:t>
      </w:r>
      <w:r w:rsidR="00C9010F" w:rsidRPr="00C9010F">
        <w:rPr>
          <w:rFonts w:ascii="Arial" w:hAnsi="Arial" w:cs="Arial"/>
          <w:sz w:val="24"/>
          <w:szCs w:val="24"/>
        </w:rPr>
        <w:t>, sobre as receitas e despesas, decorrente de isenções, anistias, remissões, subsídios e benefícios de natureza financeira, tributária e creditícia</w:t>
      </w:r>
      <w:r w:rsidR="00C9010F">
        <w:rPr>
          <w:rFonts w:ascii="Arial" w:hAnsi="Arial" w:cs="Arial"/>
          <w:sz w:val="24"/>
          <w:szCs w:val="24"/>
        </w:rPr>
        <w:t xml:space="preserve"> (CE/GO, art. 110, § 6º; CRFB, art. 165, § 6º); </w:t>
      </w:r>
      <w:r w:rsidR="00C9010F" w:rsidRPr="00C9010F">
        <w:rPr>
          <w:rFonts w:ascii="Arial" w:hAnsi="Arial" w:cs="Arial"/>
          <w:sz w:val="24"/>
          <w:szCs w:val="24"/>
          <w:u w:val="single"/>
        </w:rPr>
        <w:lastRenderedPageBreak/>
        <w:t>b) demonstrativo da estimativa e compensação da renúncia de receita</w:t>
      </w:r>
      <w:r w:rsidR="00C9010F" w:rsidRPr="00C9010F">
        <w:rPr>
          <w:rFonts w:ascii="Arial" w:hAnsi="Arial" w:cs="Arial"/>
          <w:sz w:val="24"/>
          <w:szCs w:val="24"/>
        </w:rPr>
        <w:t> (LRF, art. 4º, § 2º, V)</w:t>
      </w:r>
      <w:r w:rsidR="00C9010F">
        <w:rPr>
          <w:rFonts w:ascii="Arial" w:hAnsi="Arial" w:cs="Arial"/>
          <w:sz w:val="24"/>
          <w:szCs w:val="24"/>
        </w:rPr>
        <w:t>.</w:t>
      </w:r>
    </w:p>
    <w:p w14:paraId="71EA8F0B" w14:textId="208BCD1F" w:rsidR="00D53F83" w:rsidRDefault="00C9010F" w:rsidP="00C9010F">
      <w:pPr>
        <w:spacing w:line="360" w:lineRule="auto"/>
        <w:ind w:firstLine="851"/>
        <w:jc w:val="both"/>
        <w:rPr>
          <w:rFonts w:ascii="Arial" w:hAnsi="Arial" w:cs="Arial"/>
          <w:sz w:val="24"/>
          <w:szCs w:val="24"/>
        </w:rPr>
        <w:sectPr w:rsidR="00D53F83" w:rsidSect="00CA1C22">
          <w:headerReference w:type="even" r:id="rId10"/>
          <w:headerReference w:type="default" r:id="rId11"/>
          <w:footerReference w:type="even" r:id="rId12"/>
          <w:footerReference w:type="default" r:id="rId13"/>
          <w:headerReference w:type="first" r:id="rId14"/>
          <w:pgSz w:w="11900" w:h="16840"/>
          <w:pgMar w:top="2268" w:right="851" w:bottom="1134" w:left="1701" w:header="567" w:footer="284" w:gutter="0"/>
          <w:cols w:space="708"/>
          <w:docGrid w:linePitch="360"/>
        </w:sectPr>
      </w:pPr>
      <w:r>
        <w:rPr>
          <w:rFonts w:ascii="Arial" w:hAnsi="Arial" w:cs="Arial"/>
          <w:sz w:val="24"/>
          <w:szCs w:val="24"/>
        </w:rPr>
        <w:t xml:space="preserve">Essas estimativas podem ser constatados, mais recentemente, no âmbito da </w:t>
      </w:r>
      <w:r w:rsidRPr="007B2986">
        <w:rPr>
          <w:rFonts w:ascii="Arial" w:hAnsi="Arial" w:cs="Arial"/>
          <w:b/>
          <w:sz w:val="24"/>
          <w:szCs w:val="24"/>
        </w:rPr>
        <w:t>LDO</w:t>
      </w:r>
      <w:r>
        <w:rPr>
          <w:rFonts w:ascii="Arial" w:hAnsi="Arial" w:cs="Arial"/>
          <w:sz w:val="24"/>
          <w:szCs w:val="24"/>
        </w:rPr>
        <w:t xml:space="preserve"> e da </w:t>
      </w:r>
      <w:r w:rsidRPr="007B2986">
        <w:rPr>
          <w:rFonts w:ascii="Arial" w:hAnsi="Arial" w:cs="Arial"/>
          <w:b/>
          <w:sz w:val="24"/>
          <w:szCs w:val="24"/>
        </w:rPr>
        <w:t>LOA</w:t>
      </w:r>
      <w:r>
        <w:rPr>
          <w:rFonts w:ascii="Arial" w:hAnsi="Arial" w:cs="Arial"/>
          <w:sz w:val="24"/>
          <w:szCs w:val="24"/>
        </w:rPr>
        <w:t xml:space="preserve"> referente aos exercícios de </w:t>
      </w:r>
      <w:r w:rsidRPr="007B2986">
        <w:rPr>
          <w:rFonts w:ascii="Arial" w:hAnsi="Arial" w:cs="Arial"/>
          <w:sz w:val="24"/>
          <w:szCs w:val="24"/>
          <w:u w:val="single"/>
        </w:rPr>
        <w:t>2018</w:t>
      </w:r>
      <w:r w:rsidR="00765146" w:rsidRPr="00765146">
        <w:rPr>
          <w:rFonts w:ascii="Arial" w:hAnsi="Arial" w:cs="Arial"/>
          <w:sz w:val="24"/>
          <w:szCs w:val="24"/>
        </w:rPr>
        <w:t>,</w:t>
      </w:r>
      <w:r>
        <w:rPr>
          <w:rFonts w:ascii="Arial" w:hAnsi="Arial" w:cs="Arial"/>
          <w:sz w:val="24"/>
          <w:szCs w:val="24"/>
        </w:rPr>
        <w:t xml:space="preserve"> </w:t>
      </w:r>
      <w:r w:rsidRPr="007B2986">
        <w:rPr>
          <w:rFonts w:ascii="Arial" w:hAnsi="Arial" w:cs="Arial"/>
          <w:sz w:val="24"/>
          <w:szCs w:val="24"/>
          <w:u w:val="single"/>
        </w:rPr>
        <w:t>2019</w:t>
      </w:r>
      <w:r w:rsidR="00765146" w:rsidRPr="00765146">
        <w:rPr>
          <w:rFonts w:ascii="Arial" w:hAnsi="Arial" w:cs="Arial"/>
          <w:sz w:val="24"/>
          <w:szCs w:val="24"/>
        </w:rPr>
        <w:t xml:space="preserve"> </w:t>
      </w:r>
      <w:r w:rsidR="00765146">
        <w:rPr>
          <w:rFonts w:ascii="Arial" w:hAnsi="Arial" w:cs="Arial"/>
          <w:sz w:val="24"/>
          <w:szCs w:val="24"/>
        </w:rPr>
        <w:t xml:space="preserve">e </w:t>
      </w:r>
      <w:r w:rsidR="00765146" w:rsidRPr="00765146">
        <w:rPr>
          <w:rFonts w:ascii="Arial" w:hAnsi="Arial" w:cs="Arial"/>
          <w:sz w:val="24"/>
          <w:szCs w:val="24"/>
          <w:u w:val="single"/>
        </w:rPr>
        <w:t>2020</w:t>
      </w:r>
      <w:r>
        <w:rPr>
          <w:rFonts w:ascii="Arial" w:hAnsi="Arial" w:cs="Arial"/>
          <w:sz w:val="24"/>
          <w:szCs w:val="24"/>
        </w:rPr>
        <w:t>, conforme ilustrado a seguir:</w:t>
      </w:r>
    </w:p>
    <w:p w14:paraId="2D2F9657" w14:textId="37D870B0" w:rsidR="0028320F" w:rsidRPr="005B1289" w:rsidRDefault="005B1289" w:rsidP="0080053F">
      <w:pPr>
        <w:spacing w:line="360" w:lineRule="auto"/>
        <w:jc w:val="center"/>
        <w:rPr>
          <w:rFonts w:ascii="Arial" w:hAnsi="Arial" w:cs="Arial"/>
          <w:b/>
          <w:sz w:val="24"/>
          <w:szCs w:val="24"/>
          <w:u w:val="single"/>
        </w:rPr>
      </w:pPr>
      <w:r w:rsidRPr="005B1289">
        <w:rPr>
          <w:rFonts w:ascii="Arial" w:hAnsi="Arial" w:cs="Arial"/>
          <w:b/>
          <w:sz w:val="24"/>
          <w:szCs w:val="24"/>
          <w:u w:val="single"/>
        </w:rPr>
        <w:lastRenderedPageBreak/>
        <w:t>LEI Nº 19.801/2017 (LDO 2018 – ANEXO)</w:t>
      </w:r>
    </w:p>
    <w:p w14:paraId="419682CF" w14:textId="2EA41BF1" w:rsidR="00A95A91" w:rsidRDefault="00A95A91" w:rsidP="0080053F">
      <w:pPr>
        <w:spacing w:line="360" w:lineRule="auto"/>
        <w:jc w:val="center"/>
        <w:rPr>
          <w:rFonts w:ascii="Arial" w:hAnsi="Arial" w:cs="Arial"/>
          <w:b/>
          <w:sz w:val="24"/>
          <w:szCs w:val="24"/>
        </w:rPr>
      </w:pPr>
      <w:r w:rsidRPr="00A95A91">
        <w:rPr>
          <w:rFonts w:ascii="Arial" w:hAnsi="Arial" w:cs="Arial"/>
          <w:b/>
          <w:noProof/>
          <w:sz w:val="24"/>
          <w:szCs w:val="24"/>
        </w:rPr>
        <w:drawing>
          <wp:inline distT="0" distB="0" distL="0" distR="0" wp14:anchorId="5F648C65" wp14:editId="3BF9C0D7">
            <wp:extent cx="9277350" cy="49149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77350" cy="4914900"/>
                    </a:xfrm>
                    <a:prstGeom prst="rect">
                      <a:avLst/>
                    </a:prstGeom>
                    <a:noFill/>
                    <a:ln>
                      <a:noFill/>
                    </a:ln>
                  </pic:spPr>
                </pic:pic>
              </a:graphicData>
            </a:graphic>
          </wp:inline>
        </w:drawing>
      </w:r>
    </w:p>
    <w:p w14:paraId="287D745D" w14:textId="1F78155F" w:rsidR="00A95A91" w:rsidRDefault="00A95A91" w:rsidP="0080053F">
      <w:pPr>
        <w:spacing w:line="360" w:lineRule="auto"/>
        <w:jc w:val="center"/>
        <w:rPr>
          <w:rFonts w:ascii="Arial" w:hAnsi="Arial" w:cs="Arial"/>
          <w:b/>
          <w:noProof/>
          <w:sz w:val="24"/>
          <w:szCs w:val="24"/>
        </w:rPr>
      </w:pPr>
    </w:p>
    <w:p w14:paraId="1C13FE8C" w14:textId="7C26B345" w:rsidR="00A95A91" w:rsidRPr="005B1289" w:rsidRDefault="005B1289" w:rsidP="00A95A91">
      <w:pPr>
        <w:spacing w:line="360" w:lineRule="auto"/>
        <w:jc w:val="center"/>
        <w:rPr>
          <w:rFonts w:ascii="Arial" w:hAnsi="Arial" w:cs="Arial"/>
          <w:b/>
          <w:sz w:val="24"/>
          <w:szCs w:val="24"/>
          <w:u w:val="single"/>
        </w:rPr>
      </w:pPr>
      <w:r w:rsidRPr="005B1289">
        <w:rPr>
          <w:rFonts w:ascii="Arial" w:hAnsi="Arial" w:cs="Arial"/>
          <w:b/>
          <w:sz w:val="24"/>
          <w:szCs w:val="24"/>
          <w:u w:val="single"/>
        </w:rPr>
        <w:lastRenderedPageBreak/>
        <w:t>LEI Nº 19.801/2017 (LDO 2018 – ANEXO)</w:t>
      </w:r>
    </w:p>
    <w:p w14:paraId="64BA481E" w14:textId="56F5AF14" w:rsidR="00A95A91" w:rsidRDefault="00A95A91" w:rsidP="0080053F">
      <w:pPr>
        <w:spacing w:line="360" w:lineRule="auto"/>
        <w:jc w:val="center"/>
        <w:rPr>
          <w:rFonts w:ascii="Arial" w:hAnsi="Arial" w:cs="Arial"/>
          <w:b/>
          <w:sz w:val="24"/>
          <w:szCs w:val="24"/>
        </w:rPr>
      </w:pPr>
      <w:r w:rsidRPr="00A95A91">
        <w:rPr>
          <w:rFonts w:ascii="Arial" w:hAnsi="Arial" w:cs="Arial"/>
          <w:b/>
          <w:noProof/>
          <w:sz w:val="24"/>
          <w:szCs w:val="24"/>
        </w:rPr>
        <w:drawing>
          <wp:inline distT="0" distB="0" distL="0" distR="0" wp14:anchorId="2A4A86DB" wp14:editId="2382AF52">
            <wp:extent cx="9358630" cy="512445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79022" cy="5135616"/>
                    </a:xfrm>
                    <a:prstGeom prst="rect">
                      <a:avLst/>
                    </a:prstGeom>
                    <a:noFill/>
                    <a:ln>
                      <a:noFill/>
                    </a:ln>
                  </pic:spPr>
                </pic:pic>
              </a:graphicData>
            </a:graphic>
          </wp:inline>
        </w:drawing>
      </w:r>
    </w:p>
    <w:p w14:paraId="6E2478A4" w14:textId="5B4E9F34" w:rsidR="00D53F83" w:rsidRPr="005B1289" w:rsidRDefault="005B1289" w:rsidP="0080053F">
      <w:pPr>
        <w:spacing w:line="360" w:lineRule="auto"/>
        <w:jc w:val="center"/>
        <w:rPr>
          <w:rFonts w:ascii="Arial" w:hAnsi="Arial" w:cs="Arial"/>
          <w:b/>
          <w:sz w:val="24"/>
          <w:szCs w:val="24"/>
          <w:u w:val="single"/>
        </w:rPr>
      </w:pPr>
      <w:r w:rsidRPr="005B1289">
        <w:rPr>
          <w:rFonts w:ascii="Arial" w:hAnsi="Arial" w:cs="Arial"/>
          <w:b/>
          <w:sz w:val="24"/>
          <w:szCs w:val="24"/>
          <w:u w:val="single"/>
        </w:rPr>
        <w:lastRenderedPageBreak/>
        <w:t>LEI Nº 19.989/2017 (LOA 2018 – ANEXO)</w:t>
      </w:r>
    </w:p>
    <w:p w14:paraId="0CA66A03" w14:textId="5913373F" w:rsidR="00326A43" w:rsidRDefault="00A95A91" w:rsidP="00A95A91">
      <w:pPr>
        <w:spacing w:line="360" w:lineRule="auto"/>
        <w:ind w:firstLine="851"/>
        <w:jc w:val="both"/>
        <w:rPr>
          <w:rFonts w:ascii="Arial" w:hAnsi="Arial" w:cs="Arial"/>
          <w:sz w:val="24"/>
          <w:szCs w:val="24"/>
        </w:rPr>
      </w:pPr>
      <w:r w:rsidRPr="00326A43">
        <w:rPr>
          <w:rFonts w:ascii="Arial" w:hAnsi="Arial" w:cs="Arial"/>
          <w:noProof/>
          <w:sz w:val="24"/>
          <w:szCs w:val="24"/>
        </w:rPr>
        <w:drawing>
          <wp:inline distT="0" distB="0" distL="0" distR="0" wp14:anchorId="513B4EB7" wp14:editId="70359B1F">
            <wp:extent cx="8873490" cy="5257800"/>
            <wp:effectExtent l="0" t="0" r="381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79819" cy="5261550"/>
                    </a:xfrm>
                    <a:prstGeom prst="rect">
                      <a:avLst/>
                    </a:prstGeom>
                    <a:noFill/>
                    <a:ln>
                      <a:noFill/>
                    </a:ln>
                  </pic:spPr>
                </pic:pic>
              </a:graphicData>
            </a:graphic>
          </wp:inline>
        </w:drawing>
      </w:r>
    </w:p>
    <w:p w14:paraId="2CE87141" w14:textId="77777777" w:rsidR="00AF3F0E" w:rsidRPr="005B1289" w:rsidRDefault="00AF3F0E" w:rsidP="00AF3F0E">
      <w:pPr>
        <w:spacing w:line="360" w:lineRule="auto"/>
        <w:jc w:val="center"/>
        <w:rPr>
          <w:rFonts w:ascii="Arial" w:hAnsi="Arial" w:cs="Arial"/>
          <w:b/>
          <w:sz w:val="24"/>
          <w:szCs w:val="24"/>
          <w:u w:val="single"/>
        </w:rPr>
      </w:pPr>
      <w:r w:rsidRPr="005B1289">
        <w:rPr>
          <w:rFonts w:ascii="Arial" w:hAnsi="Arial" w:cs="Arial"/>
          <w:b/>
          <w:sz w:val="24"/>
          <w:szCs w:val="24"/>
          <w:u w:val="single"/>
        </w:rPr>
        <w:lastRenderedPageBreak/>
        <w:t>LEI Nº 19.989/2017 (LOA 2018 – ANEXO)</w:t>
      </w:r>
    </w:p>
    <w:p w14:paraId="18877104" w14:textId="0856BC19" w:rsidR="00AF3F0E" w:rsidRDefault="00AF3F0E" w:rsidP="00A95A91">
      <w:pPr>
        <w:spacing w:line="360" w:lineRule="auto"/>
        <w:jc w:val="center"/>
        <w:rPr>
          <w:rFonts w:ascii="Arial" w:hAnsi="Arial" w:cs="Arial"/>
          <w:b/>
          <w:sz w:val="24"/>
          <w:szCs w:val="24"/>
          <w:u w:val="single"/>
        </w:rPr>
      </w:pPr>
      <w:r w:rsidRPr="00AF3F0E">
        <w:rPr>
          <w:rFonts w:ascii="Arial" w:hAnsi="Arial" w:cs="Arial"/>
          <w:b/>
          <w:noProof/>
          <w:sz w:val="24"/>
          <w:szCs w:val="24"/>
          <w:u w:val="single"/>
        </w:rPr>
        <w:drawing>
          <wp:inline distT="0" distB="0" distL="0" distR="0" wp14:anchorId="48B6B073" wp14:editId="46C0C181">
            <wp:extent cx="9359955" cy="4718649"/>
            <wp:effectExtent l="0" t="0" r="0" b="635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368507" cy="4722961"/>
                    </a:xfrm>
                    <a:prstGeom prst="rect">
                      <a:avLst/>
                    </a:prstGeom>
                    <a:noFill/>
                    <a:ln>
                      <a:noFill/>
                    </a:ln>
                  </pic:spPr>
                </pic:pic>
              </a:graphicData>
            </a:graphic>
          </wp:inline>
        </w:drawing>
      </w:r>
    </w:p>
    <w:p w14:paraId="0ED76EF5" w14:textId="77777777" w:rsidR="00AF3F0E" w:rsidRDefault="00AF3F0E" w:rsidP="00A95A91">
      <w:pPr>
        <w:spacing w:line="360" w:lineRule="auto"/>
        <w:jc w:val="center"/>
        <w:rPr>
          <w:rFonts w:ascii="Arial" w:hAnsi="Arial" w:cs="Arial"/>
          <w:b/>
          <w:sz w:val="24"/>
          <w:szCs w:val="24"/>
          <w:u w:val="single"/>
        </w:rPr>
      </w:pPr>
    </w:p>
    <w:p w14:paraId="7E193159" w14:textId="77777777" w:rsidR="00A673D9" w:rsidRDefault="00A673D9" w:rsidP="00A95A91">
      <w:pPr>
        <w:spacing w:line="360" w:lineRule="auto"/>
        <w:jc w:val="center"/>
        <w:rPr>
          <w:rFonts w:ascii="Arial" w:hAnsi="Arial" w:cs="Arial"/>
          <w:b/>
          <w:sz w:val="24"/>
          <w:szCs w:val="24"/>
          <w:u w:val="single"/>
        </w:rPr>
      </w:pPr>
    </w:p>
    <w:p w14:paraId="2ECCE1B4" w14:textId="25C47DC2" w:rsidR="00A95A91" w:rsidRPr="005B1289" w:rsidRDefault="005B1289" w:rsidP="00A95A91">
      <w:pPr>
        <w:spacing w:line="360" w:lineRule="auto"/>
        <w:jc w:val="center"/>
        <w:rPr>
          <w:rFonts w:ascii="Arial" w:hAnsi="Arial" w:cs="Arial"/>
          <w:b/>
          <w:sz w:val="24"/>
          <w:szCs w:val="24"/>
          <w:u w:val="single"/>
        </w:rPr>
      </w:pPr>
      <w:r w:rsidRPr="005B1289">
        <w:rPr>
          <w:rFonts w:ascii="Arial" w:hAnsi="Arial" w:cs="Arial"/>
          <w:b/>
          <w:sz w:val="24"/>
          <w:szCs w:val="24"/>
          <w:u w:val="single"/>
        </w:rPr>
        <w:lastRenderedPageBreak/>
        <w:t>LEI Nº 20.245/2018 (LDO 2019 – ANEXO)</w:t>
      </w:r>
    </w:p>
    <w:p w14:paraId="2B7F1D51" w14:textId="3736BECE" w:rsidR="000522F3" w:rsidRDefault="000522F3" w:rsidP="00A95A91">
      <w:pPr>
        <w:spacing w:line="360" w:lineRule="auto"/>
        <w:jc w:val="center"/>
        <w:rPr>
          <w:rFonts w:ascii="Arial" w:hAnsi="Arial" w:cs="Arial"/>
          <w:b/>
          <w:sz w:val="24"/>
          <w:szCs w:val="24"/>
        </w:rPr>
      </w:pPr>
      <w:r w:rsidRPr="000522F3">
        <w:rPr>
          <w:rFonts w:ascii="Arial" w:hAnsi="Arial" w:cs="Arial"/>
          <w:b/>
          <w:noProof/>
          <w:sz w:val="24"/>
          <w:szCs w:val="24"/>
        </w:rPr>
        <w:drawing>
          <wp:inline distT="0" distB="0" distL="0" distR="0" wp14:anchorId="4A42A44D" wp14:editId="476F167F">
            <wp:extent cx="8972550" cy="52578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72550" cy="5257800"/>
                    </a:xfrm>
                    <a:prstGeom prst="rect">
                      <a:avLst/>
                    </a:prstGeom>
                    <a:noFill/>
                    <a:ln>
                      <a:noFill/>
                    </a:ln>
                  </pic:spPr>
                </pic:pic>
              </a:graphicData>
            </a:graphic>
          </wp:inline>
        </w:drawing>
      </w:r>
    </w:p>
    <w:p w14:paraId="44134C20" w14:textId="14592048" w:rsidR="000522F3" w:rsidRPr="005B1289" w:rsidRDefault="005B1289" w:rsidP="000522F3">
      <w:pPr>
        <w:spacing w:line="360" w:lineRule="auto"/>
        <w:jc w:val="center"/>
        <w:rPr>
          <w:rFonts w:ascii="Arial" w:hAnsi="Arial" w:cs="Arial"/>
          <w:b/>
          <w:sz w:val="24"/>
          <w:szCs w:val="24"/>
          <w:u w:val="single"/>
        </w:rPr>
      </w:pPr>
      <w:r w:rsidRPr="005B1289">
        <w:rPr>
          <w:rFonts w:ascii="Arial" w:hAnsi="Arial" w:cs="Arial"/>
          <w:b/>
          <w:sz w:val="24"/>
          <w:szCs w:val="24"/>
          <w:u w:val="single"/>
        </w:rPr>
        <w:lastRenderedPageBreak/>
        <w:t>LEI Nº 20.245/2018 (LDO 2019 – ANEXO)</w:t>
      </w:r>
    </w:p>
    <w:p w14:paraId="5CA965B3" w14:textId="7970660E" w:rsidR="000522F3" w:rsidRDefault="000522F3" w:rsidP="00A95A91">
      <w:pPr>
        <w:spacing w:line="360" w:lineRule="auto"/>
        <w:jc w:val="center"/>
        <w:rPr>
          <w:rFonts w:ascii="Arial" w:hAnsi="Arial" w:cs="Arial"/>
          <w:b/>
          <w:sz w:val="24"/>
          <w:szCs w:val="24"/>
        </w:rPr>
      </w:pPr>
    </w:p>
    <w:p w14:paraId="68082BEF" w14:textId="61B42BEB" w:rsidR="000522F3" w:rsidRDefault="000522F3" w:rsidP="00A95A91">
      <w:pPr>
        <w:spacing w:line="360" w:lineRule="auto"/>
        <w:jc w:val="center"/>
        <w:rPr>
          <w:rFonts w:ascii="Arial" w:hAnsi="Arial" w:cs="Arial"/>
          <w:b/>
          <w:sz w:val="24"/>
          <w:szCs w:val="24"/>
        </w:rPr>
      </w:pPr>
      <w:r w:rsidRPr="000522F3">
        <w:rPr>
          <w:rFonts w:ascii="Arial" w:hAnsi="Arial" w:cs="Arial"/>
          <w:b/>
          <w:noProof/>
          <w:sz w:val="24"/>
          <w:szCs w:val="24"/>
        </w:rPr>
        <w:drawing>
          <wp:inline distT="0" distB="0" distL="0" distR="0" wp14:anchorId="6607598D" wp14:editId="2C283FA3">
            <wp:extent cx="9359265" cy="5000309"/>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71265" cy="5006720"/>
                    </a:xfrm>
                    <a:prstGeom prst="rect">
                      <a:avLst/>
                    </a:prstGeom>
                    <a:noFill/>
                    <a:ln>
                      <a:noFill/>
                    </a:ln>
                  </pic:spPr>
                </pic:pic>
              </a:graphicData>
            </a:graphic>
          </wp:inline>
        </w:drawing>
      </w:r>
    </w:p>
    <w:p w14:paraId="72ED4B94" w14:textId="257725BC" w:rsidR="000522F3" w:rsidRPr="005B1289" w:rsidRDefault="005B1289" w:rsidP="000522F3">
      <w:pPr>
        <w:spacing w:line="360" w:lineRule="auto"/>
        <w:jc w:val="center"/>
        <w:rPr>
          <w:rFonts w:ascii="Arial" w:hAnsi="Arial" w:cs="Arial"/>
          <w:b/>
          <w:sz w:val="24"/>
          <w:szCs w:val="24"/>
          <w:u w:val="single"/>
        </w:rPr>
      </w:pPr>
      <w:r w:rsidRPr="005B1289">
        <w:rPr>
          <w:rFonts w:ascii="Arial" w:hAnsi="Arial" w:cs="Arial"/>
          <w:b/>
          <w:sz w:val="24"/>
          <w:szCs w:val="24"/>
          <w:u w:val="single"/>
        </w:rPr>
        <w:lastRenderedPageBreak/>
        <w:t>LEI Nº 20.419/2018 (LOA 2019 – ANEXO)</w:t>
      </w:r>
    </w:p>
    <w:p w14:paraId="2DAF5D65" w14:textId="49E15AE0" w:rsidR="00AA5EA7" w:rsidRDefault="00AA5EA7" w:rsidP="00A95A91">
      <w:pPr>
        <w:spacing w:line="360" w:lineRule="auto"/>
        <w:jc w:val="center"/>
        <w:rPr>
          <w:rFonts w:ascii="Arial" w:hAnsi="Arial" w:cs="Arial"/>
          <w:b/>
          <w:sz w:val="24"/>
          <w:szCs w:val="24"/>
        </w:rPr>
      </w:pPr>
      <w:r w:rsidRPr="00AA5EA7">
        <w:rPr>
          <w:rFonts w:ascii="Arial" w:hAnsi="Arial" w:cs="Arial"/>
          <w:b/>
          <w:noProof/>
          <w:sz w:val="24"/>
          <w:szCs w:val="24"/>
        </w:rPr>
        <w:drawing>
          <wp:inline distT="0" distB="0" distL="0" distR="0" wp14:anchorId="4E6DDAA5" wp14:editId="21B4C646">
            <wp:extent cx="9360535" cy="5267325"/>
            <wp:effectExtent l="0" t="0" r="0"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64479" cy="5269544"/>
                    </a:xfrm>
                    <a:prstGeom prst="rect">
                      <a:avLst/>
                    </a:prstGeom>
                    <a:noFill/>
                    <a:ln>
                      <a:noFill/>
                    </a:ln>
                  </pic:spPr>
                </pic:pic>
              </a:graphicData>
            </a:graphic>
          </wp:inline>
        </w:drawing>
      </w:r>
    </w:p>
    <w:p w14:paraId="377BFE8F" w14:textId="16C115A5" w:rsidR="005B1289" w:rsidRPr="005B1289" w:rsidRDefault="005B1289" w:rsidP="005B1289">
      <w:pPr>
        <w:spacing w:line="360" w:lineRule="auto"/>
        <w:jc w:val="center"/>
        <w:rPr>
          <w:rFonts w:ascii="Arial" w:hAnsi="Arial" w:cs="Arial"/>
          <w:b/>
          <w:sz w:val="24"/>
          <w:szCs w:val="24"/>
          <w:u w:val="single"/>
        </w:rPr>
      </w:pPr>
      <w:r w:rsidRPr="005B1289">
        <w:rPr>
          <w:rFonts w:ascii="Arial" w:hAnsi="Arial" w:cs="Arial"/>
          <w:b/>
          <w:sz w:val="24"/>
          <w:szCs w:val="24"/>
          <w:u w:val="single"/>
        </w:rPr>
        <w:lastRenderedPageBreak/>
        <w:t>LEI Nº 20.419/2018 (LOA 2019 – ANEXO)</w:t>
      </w:r>
    </w:p>
    <w:p w14:paraId="6BA6A4E7" w14:textId="595EC7EF" w:rsidR="00A95A91" w:rsidRDefault="00A95A91" w:rsidP="00A95A91">
      <w:pPr>
        <w:spacing w:line="360" w:lineRule="auto"/>
        <w:jc w:val="center"/>
        <w:rPr>
          <w:rFonts w:ascii="Arial" w:hAnsi="Arial" w:cs="Arial"/>
          <w:b/>
          <w:sz w:val="24"/>
          <w:szCs w:val="24"/>
        </w:rPr>
      </w:pPr>
    </w:p>
    <w:p w14:paraId="242913DD" w14:textId="6FDCA394" w:rsidR="00A95A91" w:rsidRDefault="005B1289" w:rsidP="00A95A91">
      <w:pPr>
        <w:spacing w:line="360" w:lineRule="auto"/>
        <w:jc w:val="center"/>
        <w:rPr>
          <w:rFonts w:ascii="Arial" w:hAnsi="Arial" w:cs="Arial"/>
          <w:b/>
          <w:sz w:val="24"/>
          <w:szCs w:val="24"/>
        </w:rPr>
      </w:pPr>
      <w:r w:rsidRPr="005B1289">
        <w:rPr>
          <w:rFonts w:ascii="Arial" w:hAnsi="Arial" w:cs="Arial"/>
          <w:b/>
          <w:noProof/>
          <w:sz w:val="24"/>
          <w:szCs w:val="24"/>
        </w:rPr>
        <w:drawing>
          <wp:inline distT="0" distB="0" distL="0" distR="0" wp14:anchorId="36A9F3D6" wp14:editId="2216BB01">
            <wp:extent cx="9358630" cy="449580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388733" cy="4510261"/>
                    </a:xfrm>
                    <a:prstGeom prst="rect">
                      <a:avLst/>
                    </a:prstGeom>
                    <a:noFill/>
                    <a:ln>
                      <a:noFill/>
                    </a:ln>
                  </pic:spPr>
                </pic:pic>
              </a:graphicData>
            </a:graphic>
          </wp:inline>
        </w:drawing>
      </w:r>
    </w:p>
    <w:p w14:paraId="7FD9FB0C" w14:textId="77777777" w:rsidR="00A95A91" w:rsidRDefault="00A95A91" w:rsidP="00713208">
      <w:pPr>
        <w:spacing w:line="360" w:lineRule="auto"/>
        <w:ind w:firstLine="851"/>
        <w:jc w:val="both"/>
        <w:rPr>
          <w:rFonts w:ascii="Arial" w:hAnsi="Arial" w:cs="Arial"/>
          <w:sz w:val="24"/>
          <w:szCs w:val="24"/>
        </w:rPr>
      </w:pPr>
    </w:p>
    <w:p w14:paraId="144C2C7D" w14:textId="044DF9C3" w:rsidR="00851652" w:rsidRDefault="00851652" w:rsidP="00C9010F">
      <w:pPr>
        <w:spacing w:line="360" w:lineRule="auto"/>
        <w:ind w:firstLine="851"/>
        <w:jc w:val="both"/>
        <w:rPr>
          <w:rFonts w:ascii="Arial" w:hAnsi="Arial" w:cs="Arial"/>
          <w:b/>
          <w:i/>
          <w:sz w:val="24"/>
          <w:szCs w:val="24"/>
        </w:rPr>
      </w:pPr>
    </w:p>
    <w:p w14:paraId="00AD38E4" w14:textId="77777777" w:rsidR="00275047" w:rsidRDefault="00A84ADB" w:rsidP="00A84ADB">
      <w:pPr>
        <w:spacing w:line="360" w:lineRule="auto"/>
        <w:jc w:val="center"/>
        <w:rPr>
          <w:rFonts w:ascii="Arial" w:hAnsi="Arial" w:cs="Arial"/>
          <w:b/>
          <w:sz w:val="24"/>
          <w:szCs w:val="24"/>
          <w:u w:val="single"/>
        </w:rPr>
      </w:pPr>
      <w:r w:rsidRPr="005B1289">
        <w:rPr>
          <w:rFonts w:ascii="Arial" w:hAnsi="Arial" w:cs="Arial"/>
          <w:b/>
          <w:sz w:val="24"/>
          <w:szCs w:val="24"/>
          <w:u w:val="single"/>
        </w:rPr>
        <w:lastRenderedPageBreak/>
        <w:t>LEI Nº 20.</w:t>
      </w:r>
      <w:r>
        <w:rPr>
          <w:rFonts w:ascii="Arial" w:hAnsi="Arial" w:cs="Arial"/>
          <w:b/>
          <w:sz w:val="24"/>
          <w:szCs w:val="24"/>
          <w:u w:val="single"/>
        </w:rPr>
        <w:t>539</w:t>
      </w:r>
      <w:r w:rsidRPr="005B1289">
        <w:rPr>
          <w:rFonts w:ascii="Arial" w:hAnsi="Arial" w:cs="Arial"/>
          <w:b/>
          <w:sz w:val="24"/>
          <w:szCs w:val="24"/>
          <w:u w:val="single"/>
        </w:rPr>
        <w:t>/201</w:t>
      </w:r>
      <w:r>
        <w:rPr>
          <w:rFonts w:ascii="Arial" w:hAnsi="Arial" w:cs="Arial"/>
          <w:b/>
          <w:sz w:val="24"/>
          <w:szCs w:val="24"/>
          <w:u w:val="single"/>
        </w:rPr>
        <w:t>9</w:t>
      </w:r>
      <w:r w:rsidRPr="005B1289">
        <w:rPr>
          <w:rFonts w:ascii="Arial" w:hAnsi="Arial" w:cs="Arial"/>
          <w:b/>
          <w:sz w:val="24"/>
          <w:szCs w:val="24"/>
          <w:u w:val="single"/>
        </w:rPr>
        <w:t xml:space="preserve"> (</w:t>
      </w:r>
      <w:r>
        <w:rPr>
          <w:rFonts w:ascii="Arial" w:hAnsi="Arial" w:cs="Arial"/>
          <w:b/>
          <w:sz w:val="24"/>
          <w:szCs w:val="24"/>
          <w:u w:val="single"/>
        </w:rPr>
        <w:t>LDO 2020</w:t>
      </w:r>
      <w:r w:rsidRPr="005B1289">
        <w:rPr>
          <w:rFonts w:ascii="Arial" w:hAnsi="Arial" w:cs="Arial"/>
          <w:b/>
          <w:sz w:val="24"/>
          <w:szCs w:val="24"/>
          <w:u w:val="single"/>
        </w:rPr>
        <w:t xml:space="preserve"> – ANEXO)</w:t>
      </w:r>
    </w:p>
    <w:p w14:paraId="4913941B" w14:textId="04565FFE" w:rsidR="00275047" w:rsidRDefault="00275047" w:rsidP="00A84ADB">
      <w:pPr>
        <w:spacing w:line="360" w:lineRule="auto"/>
        <w:jc w:val="center"/>
        <w:rPr>
          <w:rFonts w:ascii="Arial" w:hAnsi="Arial" w:cs="Arial"/>
          <w:b/>
          <w:noProof/>
          <w:sz w:val="24"/>
          <w:szCs w:val="24"/>
          <w:u w:val="single"/>
        </w:rPr>
      </w:pPr>
      <w:r w:rsidRPr="00275047">
        <w:rPr>
          <w:rFonts w:ascii="Arial" w:hAnsi="Arial" w:cs="Arial"/>
          <w:b/>
          <w:noProof/>
          <w:sz w:val="24"/>
          <w:szCs w:val="24"/>
          <w:u w:val="single"/>
        </w:rPr>
        <w:drawing>
          <wp:inline distT="0" distB="0" distL="0" distR="0" wp14:anchorId="203D0D81" wp14:editId="207CB887">
            <wp:extent cx="7341235" cy="4960284"/>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348375" cy="4965108"/>
                    </a:xfrm>
                    <a:prstGeom prst="rect">
                      <a:avLst/>
                    </a:prstGeom>
                    <a:noFill/>
                    <a:ln>
                      <a:noFill/>
                    </a:ln>
                  </pic:spPr>
                </pic:pic>
              </a:graphicData>
            </a:graphic>
          </wp:inline>
        </w:drawing>
      </w:r>
    </w:p>
    <w:p w14:paraId="3D639F94" w14:textId="07D7F149" w:rsidR="00275047" w:rsidRDefault="00275047" w:rsidP="00A84ADB">
      <w:pPr>
        <w:spacing w:line="360" w:lineRule="auto"/>
        <w:jc w:val="center"/>
        <w:rPr>
          <w:rFonts w:ascii="Arial" w:hAnsi="Arial" w:cs="Arial"/>
          <w:b/>
          <w:noProof/>
          <w:sz w:val="24"/>
          <w:szCs w:val="24"/>
          <w:u w:val="single"/>
        </w:rPr>
      </w:pPr>
    </w:p>
    <w:p w14:paraId="7417B3B7" w14:textId="77777777" w:rsidR="00275047" w:rsidRDefault="00275047" w:rsidP="00275047">
      <w:pPr>
        <w:spacing w:line="360" w:lineRule="auto"/>
        <w:jc w:val="center"/>
        <w:rPr>
          <w:rFonts w:ascii="Arial" w:hAnsi="Arial" w:cs="Arial"/>
          <w:b/>
          <w:sz w:val="24"/>
          <w:szCs w:val="24"/>
          <w:u w:val="single"/>
        </w:rPr>
      </w:pPr>
      <w:r w:rsidRPr="005B1289">
        <w:rPr>
          <w:rFonts w:ascii="Arial" w:hAnsi="Arial" w:cs="Arial"/>
          <w:b/>
          <w:sz w:val="24"/>
          <w:szCs w:val="24"/>
          <w:u w:val="single"/>
        </w:rPr>
        <w:lastRenderedPageBreak/>
        <w:t>LEI Nº 20.</w:t>
      </w:r>
      <w:r>
        <w:rPr>
          <w:rFonts w:ascii="Arial" w:hAnsi="Arial" w:cs="Arial"/>
          <w:b/>
          <w:sz w:val="24"/>
          <w:szCs w:val="24"/>
          <w:u w:val="single"/>
        </w:rPr>
        <w:t>539</w:t>
      </w:r>
      <w:r w:rsidRPr="005B1289">
        <w:rPr>
          <w:rFonts w:ascii="Arial" w:hAnsi="Arial" w:cs="Arial"/>
          <w:b/>
          <w:sz w:val="24"/>
          <w:szCs w:val="24"/>
          <w:u w:val="single"/>
        </w:rPr>
        <w:t>/201</w:t>
      </w:r>
      <w:r>
        <w:rPr>
          <w:rFonts w:ascii="Arial" w:hAnsi="Arial" w:cs="Arial"/>
          <w:b/>
          <w:sz w:val="24"/>
          <w:szCs w:val="24"/>
          <w:u w:val="single"/>
        </w:rPr>
        <w:t>9</w:t>
      </w:r>
      <w:r w:rsidRPr="005B1289">
        <w:rPr>
          <w:rFonts w:ascii="Arial" w:hAnsi="Arial" w:cs="Arial"/>
          <w:b/>
          <w:sz w:val="24"/>
          <w:szCs w:val="24"/>
          <w:u w:val="single"/>
        </w:rPr>
        <w:t xml:space="preserve"> (</w:t>
      </w:r>
      <w:r>
        <w:rPr>
          <w:rFonts w:ascii="Arial" w:hAnsi="Arial" w:cs="Arial"/>
          <w:b/>
          <w:sz w:val="24"/>
          <w:szCs w:val="24"/>
          <w:u w:val="single"/>
        </w:rPr>
        <w:t>LDO 2020</w:t>
      </w:r>
      <w:r w:rsidRPr="005B1289">
        <w:rPr>
          <w:rFonts w:ascii="Arial" w:hAnsi="Arial" w:cs="Arial"/>
          <w:b/>
          <w:sz w:val="24"/>
          <w:szCs w:val="24"/>
          <w:u w:val="single"/>
        </w:rPr>
        <w:t xml:space="preserve"> – ANEXO)</w:t>
      </w:r>
    </w:p>
    <w:p w14:paraId="09E2B0DD" w14:textId="60BD95A3" w:rsidR="00275047" w:rsidRDefault="00275047" w:rsidP="00A84ADB">
      <w:pPr>
        <w:spacing w:line="360" w:lineRule="auto"/>
        <w:jc w:val="center"/>
        <w:rPr>
          <w:rFonts w:ascii="Arial" w:hAnsi="Arial" w:cs="Arial"/>
          <w:b/>
          <w:noProof/>
          <w:sz w:val="24"/>
          <w:szCs w:val="24"/>
          <w:u w:val="single"/>
        </w:rPr>
      </w:pPr>
    </w:p>
    <w:p w14:paraId="64227A8F" w14:textId="0FD536D7" w:rsidR="00275047" w:rsidRDefault="003F3203" w:rsidP="00A84ADB">
      <w:pPr>
        <w:spacing w:line="360" w:lineRule="auto"/>
        <w:jc w:val="center"/>
        <w:rPr>
          <w:rFonts w:ascii="Arial" w:hAnsi="Arial" w:cs="Arial"/>
          <w:b/>
          <w:noProof/>
          <w:sz w:val="24"/>
          <w:szCs w:val="24"/>
          <w:u w:val="single"/>
        </w:rPr>
      </w:pPr>
      <w:r w:rsidRPr="00275047">
        <w:rPr>
          <w:rFonts w:ascii="Arial" w:hAnsi="Arial" w:cs="Arial"/>
          <w:b/>
          <w:noProof/>
          <w:sz w:val="24"/>
          <w:szCs w:val="24"/>
          <w:u w:val="single"/>
        </w:rPr>
        <w:drawing>
          <wp:inline distT="0" distB="0" distL="0" distR="0" wp14:anchorId="01A58CCF" wp14:editId="4717853D">
            <wp:extent cx="8090167" cy="4614545"/>
            <wp:effectExtent l="0" t="0" r="635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134857" cy="4640036"/>
                    </a:xfrm>
                    <a:prstGeom prst="rect">
                      <a:avLst/>
                    </a:prstGeom>
                    <a:noFill/>
                    <a:ln>
                      <a:noFill/>
                    </a:ln>
                  </pic:spPr>
                </pic:pic>
              </a:graphicData>
            </a:graphic>
          </wp:inline>
        </w:drawing>
      </w:r>
    </w:p>
    <w:p w14:paraId="7407B13D" w14:textId="288EBE7C" w:rsidR="003F3203" w:rsidRDefault="003F3203" w:rsidP="00A84ADB">
      <w:pPr>
        <w:spacing w:line="360" w:lineRule="auto"/>
        <w:jc w:val="center"/>
        <w:rPr>
          <w:rFonts w:ascii="Arial" w:hAnsi="Arial" w:cs="Arial"/>
          <w:b/>
          <w:noProof/>
          <w:sz w:val="24"/>
          <w:szCs w:val="24"/>
          <w:u w:val="single"/>
        </w:rPr>
      </w:pPr>
    </w:p>
    <w:p w14:paraId="0175B3D3" w14:textId="640E1F9D" w:rsidR="00A84ADB" w:rsidRDefault="003F3203" w:rsidP="005D6B46">
      <w:pPr>
        <w:spacing w:line="360" w:lineRule="auto"/>
        <w:jc w:val="center"/>
        <w:rPr>
          <w:rFonts w:ascii="Arial" w:hAnsi="Arial" w:cs="Arial"/>
          <w:b/>
          <w:sz w:val="24"/>
          <w:szCs w:val="24"/>
          <w:u w:val="single"/>
        </w:rPr>
      </w:pPr>
      <w:r w:rsidRPr="00A57769">
        <w:rPr>
          <w:rFonts w:ascii="Arial" w:hAnsi="Arial" w:cs="Arial"/>
          <w:b/>
          <w:sz w:val="24"/>
          <w:szCs w:val="24"/>
          <w:u w:val="single"/>
        </w:rPr>
        <w:lastRenderedPageBreak/>
        <w:t>LEI Nº 20.7</w:t>
      </w:r>
      <w:r w:rsidR="00A57769" w:rsidRPr="00A57769">
        <w:rPr>
          <w:rFonts w:ascii="Arial" w:hAnsi="Arial" w:cs="Arial"/>
          <w:b/>
          <w:sz w:val="24"/>
          <w:szCs w:val="24"/>
          <w:u w:val="single"/>
        </w:rPr>
        <w:t>54</w:t>
      </w:r>
      <w:r w:rsidRPr="00A57769">
        <w:rPr>
          <w:rFonts w:ascii="Arial" w:hAnsi="Arial" w:cs="Arial"/>
          <w:b/>
          <w:sz w:val="24"/>
          <w:szCs w:val="24"/>
          <w:u w:val="single"/>
        </w:rPr>
        <w:t>/2019 (LOA 2020 – ANEXO)</w:t>
      </w:r>
    </w:p>
    <w:p w14:paraId="17BED7D5" w14:textId="5B51B800" w:rsidR="0025144C" w:rsidRPr="005D6B46" w:rsidRDefault="0025144C" w:rsidP="005D6B46">
      <w:pPr>
        <w:spacing w:line="360" w:lineRule="auto"/>
        <w:jc w:val="center"/>
        <w:rPr>
          <w:rFonts w:ascii="Arial" w:hAnsi="Arial" w:cs="Arial"/>
          <w:b/>
          <w:sz w:val="24"/>
          <w:szCs w:val="24"/>
          <w:u w:val="single"/>
        </w:rPr>
        <w:sectPr w:rsidR="0025144C" w:rsidRPr="005D6B46" w:rsidSect="00CA1C22">
          <w:pgSz w:w="16840" w:h="11900" w:orient="landscape"/>
          <w:pgMar w:top="2268" w:right="964" w:bottom="851" w:left="1134" w:header="567" w:footer="284" w:gutter="0"/>
          <w:cols w:space="708"/>
          <w:docGrid w:linePitch="360"/>
        </w:sectPr>
      </w:pPr>
      <w:r w:rsidRPr="0025144C">
        <w:rPr>
          <w:rFonts w:ascii="Arial" w:hAnsi="Arial" w:cs="Arial"/>
          <w:b/>
          <w:noProof/>
          <w:sz w:val="24"/>
          <w:szCs w:val="24"/>
          <w:u w:val="single"/>
        </w:rPr>
        <w:drawing>
          <wp:inline distT="0" distB="0" distL="0" distR="0" wp14:anchorId="122797BE" wp14:editId="243322FA">
            <wp:extent cx="9358116" cy="5279366"/>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79797" cy="5291597"/>
                    </a:xfrm>
                    <a:prstGeom prst="rect">
                      <a:avLst/>
                    </a:prstGeom>
                    <a:noFill/>
                    <a:ln>
                      <a:noFill/>
                    </a:ln>
                  </pic:spPr>
                </pic:pic>
              </a:graphicData>
            </a:graphic>
          </wp:inline>
        </w:drawing>
      </w:r>
    </w:p>
    <w:p w14:paraId="1B3BF4AC" w14:textId="684570C8" w:rsidR="00C9010F" w:rsidRPr="00F04A89" w:rsidRDefault="00C9010F" w:rsidP="00C9010F">
      <w:pPr>
        <w:spacing w:line="360" w:lineRule="auto"/>
        <w:ind w:firstLine="851"/>
        <w:jc w:val="both"/>
        <w:rPr>
          <w:rFonts w:ascii="Arial" w:hAnsi="Arial" w:cs="Arial"/>
          <w:b/>
          <w:sz w:val="24"/>
          <w:szCs w:val="24"/>
        </w:rPr>
      </w:pPr>
      <w:r w:rsidRPr="00F04A89">
        <w:rPr>
          <w:rFonts w:ascii="Arial" w:hAnsi="Arial" w:cs="Arial"/>
          <w:b/>
          <w:sz w:val="24"/>
          <w:szCs w:val="24"/>
        </w:rPr>
        <w:lastRenderedPageBreak/>
        <w:t xml:space="preserve">3.3.2.4 </w:t>
      </w:r>
      <w:r w:rsidR="00B93860" w:rsidRPr="00F04A89">
        <w:rPr>
          <w:rFonts w:ascii="Arial" w:hAnsi="Arial" w:cs="Arial"/>
          <w:b/>
          <w:sz w:val="24"/>
          <w:szCs w:val="24"/>
        </w:rPr>
        <w:t xml:space="preserve">– </w:t>
      </w:r>
      <w:r w:rsidRPr="00F04A89">
        <w:rPr>
          <w:rFonts w:ascii="Arial" w:hAnsi="Arial" w:cs="Arial"/>
          <w:b/>
          <w:sz w:val="24"/>
          <w:szCs w:val="24"/>
        </w:rPr>
        <w:t>Reinstituição e remissão de incentivos fiscais (LC nº 160/2017)</w:t>
      </w:r>
    </w:p>
    <w:p w14:paraId="66263BEE" w14:textId="77777777" w:rsidR="00C9010F" w:rsidRDefault="00C9010F" w:rsidP="00C9010F">
      <w:pPr>
        <w:spacing w:line="360" w:lineRule="auto"/>
        <w:jc w:val="both"/>
        <w:rPr>
          <w:rFonts w:ascii="Arial" w:hAnsi="Arial" w:cs="Arial"/>
          <w:sz w:val="24"/>
          <w:szCs w:val="24"/>
        </w:rPr>
      </w:pPr>
    </w:p>
    <w:p w14:paraId="4FE00F68" w14:textId="74F7D78D" w:rsidR="00A668C3" w:rsidRDefault="00A668C3" w:rsidP="00A668C3">
      <w:pPr>
        <w:spacing w:line="360" w:lineRule="auto"/>
        <w:ind w:firstLine="851"/>
        <w:jc w:val="both"/>
        <w:rPr>
          <w:rFonts w:ascii="Arial" w:hAnsi="Arial" w:cs="Arial"/>
          <w:sz w:val="24"/>
          <w:szCs w:val="24"/>
        </w:rPr>
      </w:pPr>
      <w:r>
        <w:rPr>
          <w:rFonts w:ascii="Arial" w:hAnsi="Arial" w:cs="Arial"/>
          <w:sz w:val="24"/>
          <w:szCs w:val="24"/>
        </w:rPr>
        <w:t xml:space="preserve">Outra medida relevante, agora decorrente de esforço conjunto entre Executivo e Legislativo, ocorreu com a </w:t>
      </w:r>
      <w:r w:rsidRPr="008C239E">
        <w:rPr>
          <w:rFonts w:ascii="Arial" w:hAnsi="Arial" w:cs="Arial"/>
          <w:b/>
          <w:sz w:val="24"/>
          <w:szCs w:val="24"/>
        </w:rPr>
        <w:t>publicação das Leis nº</w:t>
      </w:r>
      <w:r w:rsidR="00C9010F" w:rsidRPr="008C239E">
        <w:rPr>
          <w:rFonts w:ascii="Arial" w:hAnsi="Arial" w:cs="Arial"/>
          <w:b/>
          <w:sz w:val="24"/>
          <w:szCs w:val="24"/>
        </w:rPr>
        <w:t>s 20.367</w:t>
      </w:r>
      <w:r w:rsidRPr="008C239E">
        <w:rPr>
          <w:rFonts w:ascii="Arial" w:hAnsi="Arial" w:cs="Arial"/>
          <w:b/>
          <w:sz w:val="24"/>
          <w:szCs w:val="24"/>
        </w:rPr>
        <w:t>/2018</w:t>
      </w:r>
      <w:r w:rsidR="00C9010F" w:rsidRPr="008C239E">
        <w:rPr>
          <w:rFonts w:ascii="Arial" w:hAnsi="Arial" w:cs="Arial"/>
          <w:b/>
          <w:sz w:val="24"/>
          <w:szCs w:val="24"/>
        </w:rPr>
        <w:t xml:space="preserve"> e 20.368/2018</w:t>
      </w:r>
      <w:r>
        <w:rPr>
          <w:rFonts w:ascii="Arial" w:hAnsi="Arial" w:cs="Arial"/>
          <w:sz w:val="24"/>
          <w:szCs w:val="24"/>
        </w:rPr>
        <w:t xml:space="preserve">, que dispõem, respectivamente, sobre </w:t>
      </w:r>
      <w:r w:rsidRPr="00A668C3">
        <w:rPr>
          <w:rFonts w:ascii="Arial" w:hAnsi="Arial" w:cs="Arial"/>
          <w:sz w:val="24"/>
          <w:szCs w:val="24"/>
        </w:rPr>
        <w:t xml:space="preserve">a </w:t>
      </w:r>
      <w:r w:rsidRPr="008C239E">
        <w:rPr>
          <w:rFonts w:ascii="Arial" w:hAnsi="Arial" w:cs="Arial"/>
          <w:sz w:val="24"/>
          <w:szCs w:val="24"/>
          <w:u w:val="single"/>
        </w:rPr>
        <w:t>reinstituição</w:t>
      </w:r>
      <w:r w:rsidRPr="00A668C3">
        <w:rPr>
          <w:rFonts w:ascii="Arial" w:hAnsi="Arial" w:cs="Arial"/>
          <w:sz w:val="24"/>
          <w:szCs w:val="24"/>
        </w:rPr>
        <w:t xml:space="preserve"> e a </w:t>
      </w:r>
      <w:r w:rsidRPr="008C239E">
        <w:rPr>
          <w:rFonts w:ascii="Arial" w:hAnsi="Arial" w:cs="Arial"/>
          <w:sz w:val="24"/>
          <w:szCs w:val="24"/>
          <w:u w:val="single"/>
        </w:rPr>
        <w:t>remissão/anistia</w:t>
      </w:r>
      <w:r w:rsidR="00C9010F" w:rsidRPr="006E07C6">
        <w:rPr>
          <w:rFonts w:ascii="Arial" w:hAnsi="Arial" w:cs="Arial"/>
          <w:sz w:val="24"/>
          <w:szCs w:val="24"/>
        </w:rPr>
        <w:t xml:space="preserve"> </w:t>
      </w:r>
      <w:r w:rsidRPr="00C9010F">
        <w:rPr>
          <w:rFonts w:ascii="Arial" w:hAnsi="Arial" w:cs="Arial"/>
          <w:sz w:val="24"/>
          <w:szCs w:val="24"/>
        </w:rPr>
        <w:t>dos benefícios fiscais ou financeiro-fiscais e das isenções relativos ao ICMS</w:t>
      </w:r>
      <w:r w:rsidR="008C239E">
        <w:rPr>
          <w:rFonts w:ascii="Arial" w:hAnsi="Arial" w:cs="Arial"/>
          <w:sz w:val="24"/>
          <w:szCs w:val="24"/>
        </w:rPr>
        <w:t>.</w:t>
      </w:r>
    </w:p>
    <w:p w14:paraId="3A46DB64" w14:textId="14055AF4" w:rsidR="008C239E" w:rsidRDefault="008C239E" w:rsidP="00A668C3">
      <w:pPr>
        <w:spacing w:line="360" w:lineRule="auto"/>
        <w:ind w:firstLine="851"/>
        <w:jc w:val="both"/>
        <w:rPr>
          <w:rFonts w:ascii="Arial" w:hAnsi="Arial" w:cs="Arial"/>
          <w:sz w:val="24"/>
          <w:szCs w:val="24"/>
        </w:rPr>
      </w:pPr>
      <w:r>
        <w:rPr>
          <w:rFonts w:ascii="Arial" w:hAnsi="Arial" w:cs="Arial"/>
          <w:sz w:val="24"/>
          <w:szCs w:val="24"/>
        </w:rPr>
        <w:t xml:space="preserve">Esses diplomas legais atenderam ao previsto na </w:t>
      </w:r>
      <w:r w:rsidRPr="008C239E">
        <w:rPr>
          <w:rFonts w:ascii="Arial" w:hAnsi="Arial" w:cs="Arial"/>
          <w:b/>
          <w:sz w:val="24"/>
          <w:szCs w:val="24"/>
        </w:rPr>
        <w:t>LC nº 160/2017</w:t>
      </w:r>
      <w:r>
        <w:rPr>
          <w:rFonts w:ascii="Arial" w:hAnsi="Arial" w:cs="Arial"/>
          <w:sz w:val="24"/>
          <w:szCs w:val="24"/>
        </w:rPr>
        <w:t xml:space="preserve">, cujo art. 1º </w:t>
      </w:r>
      <w:r w:rsidRPr="008C239E">
        <w:rPr>
          <w:rFonts w:ascii="Arial" w:hAnsi="Arial" w:cs="Arial"/>
          <w:sz w:val="24"/>
          <w:szCs w:val="24"/>
          <w:u w:val="single"/>
        </w:rPr>
        <w:t>autorizou a remissão dos créditos tributários</w:t>
      </w:r>
      <w:r w:rsidRPr="008C239E">
        <w:rPr>
          <w:rFonts w:ascii="Arial" w:hAnsi="Arial" w:cs="Arial"/>
          <w:sz w:val="24"/>
          <w:szCs w:val="24"/>
        </w:rPr>
        <w:t>, cons</w:t>
      </w:r>
      <w:r>
        <w:rPr>
          <w:rFonts w:ascii="Arial" w:hAnsi="Arial" w:cs="Arial"/>
          <w:sz w:val="24"/>
          <w:szCs w:val="24"/>
        </w:rPr>
        <w:t xml:space="preserve">tituídos ou não, decorrentes dos </w:t>
      </w:r>
      <w:r w:rsidRPr="008C239E">
        <w:rPr>
          <w:rFonts w:ascii="Arial" w:hAnsi="Arial" w:cs="Arial"/>
          <w:sz w:val="24"/>
          <w:szCs w:val="24"/>
        </w:rPr>
        <w:t xml:space="preserve">incentivos </w:t>
      </w:r>
      <w:r>
        <w:rPr>
          <w:rFonts w:ascii="Arial" w:hAnsi="Arial" w:cs="Arial"/>
          <w:sz w:val="24"/>
          <w:szCs w:val="24"/>
        </w:rPr>
        <w:t xml:space="preserve">fiscais </w:t>
      </w:r>
      <w:r w:rsidRPr="008C239E">
        <w:rPr>
          <w:rFonts w:ascii="Arial" w:hAnsi="Arial" w:cs="Arial"/>
          <w:sz w:val="24"/>
          <w:szCs w:val="24"/>
        </w:rPr>
        <w:t>instituídos em desacordo com o disposto na alínea “g” do inciso XII do § 2</w:t>
      </w:r>
      <w:r>
        <w:rPr>
          <w:rFonts w:ascii="Arial" w:hAnsi="Arial" w:cs="Arial"/>
          <w:sz w:val="24"/>
          <w:szCs w:val="24"/>
        </w:rPr>
        <w:t xml:space="preserve">º </w:t>
      </w:r>
      <w:r w:rsidRPr="008C239E">
        <w:rPr>
          <w:rFonts w:ascii="Arial" w:hAnsi="Arial" w:cs="Arial"/>
          <w:sz w:val="24"/>
          <w:szCs w:val="24"/>
        </w:rPr>
        <w:t xml:space="preserve">do art. 155 da </w:t>
      </w:r>
      <w:r>
        <w:rPr>
          <w:rFonts w:ascii="Arial" w:hAnsi="Arial" w:cs="Arial"/>
          <w:sz w:val="24"/>
          <w:szCs w:val="24"/>
        </w:rPr>
        <w:t xml:space="preserve">CRFB, bem como a </w:t>
      </w:r>
      <w:r w:rsidRPr="008C239E">
        <w:rPr>
          <w:rFonts w:ascii="Arial" w:hAnsi="Arial" w:cs="Arial"/>
          <w:sz w:val="24"/>
          <w:szCs w:val="24"/>
          <w:u w:val="single"/>
        </w:rPr>
        <w:t>reinstituição desses incentivos ainda em vigor</w:t>
      </w:r>
      <w:r w:rsidR="00654A55">
        <w:rPr>
          <w:rFonts w:ascii="Arial" w:hAnsi="Arial" w:cs="Arial"/>
          <w:sz w:val="24"/>
          <w:szCs w:val="24"/>
        </w:rPr>
        <w:t>, mediante convênio específico celebrado no âmbito do Confaz</w:t>
      </w:r>
      <w:r>
        <w:rPr>
          <w:rFonts w:ascii="Arial" w:hAnsi="Arial" w:cs="Arial"/>
          <w:sz w:val="24"/>
          <w:szCs w:val="24"/>
        </w:rPr>
        <w:t>. Os arts. 2º e 3º da referida lei complementar menciona</w:t>
      </w:r>
      <w:r w:rsidR="00765146">
        <w:rPr>
          <w:rFonts w:ascii="Arial" w:hAnsi="Arial" w:cs="Arial"/>
          <w:sz w:val="24"/>
          <w:szCs w:val="24"/>
        </w:rPr>
        <w:t>m</w:t>
      </w:r>
      <w:r>
        <w:rPr>
          <w:rFonts w:ascii="Arial" w:hAnsi="Arial" w:cs="Arial"/>
          <w:sz w:val="24"/>
          <w:szCs w:val="24"/>
        </w:rPr>
        <w:t xml:space="preserve"> os requisitos e o procedimento para edição válida do </w:t>
      </w:r>
      <w:r w:rsidR="00654A55">
        <w:rPr>
          <w:rFonts w:ascii="Arial" w:hAnsi="Arial" w:cs="Arial"/>
          <w:sz w:val="24"/>
          <w:szCs w:val="24"/>
        </w:rPr>
        <w:t xml:space="preserve">mencionado convênio, </w:t>
      </w:r>
      <w:r w:rsidR="00765146" w:rsidRPr="00C22FB2">
        <w:rPr>
          <w:rFonts w:ascii="Arial" w:hAnsi="Arial" w:cs="Arial"/>
          <w:sz w:val="24"/>
          <w:szCs w:val="24"/>
        </w:rPr>
        <w:t xml:space="preserve">o </w:t>
      </w:r>
      <w:r w:rsidR="00654A55" w:rsidRPr="00C22FB2">
        <w:rPr>
          <w:rFonts w:ascii="Arial" w:hAnsi="Arial" w:cs="Arial"/>
          <w:sz w:val="24"/>
          <w:szCs w:val="24"/>
        </w:rPr>
        <w:t xml:space="preserve">que veio a se </w:t>
      </w:r>
      <w:r w:rsidR="00765146" w:rsidRPr="00C22FB2">
        <w:rPr>
          <w:rFonts w:ascii="Arial" w:hAnsi="Arial" w:cs="Arial"/>
          <w:sz w:val="24"/>
          <w:szCs w:val="24"/>
        </w:rPr>
        <w:t>c</w:t>
      </w:r>
      <w:r w:rsidR="00654A55" w:rsidRPr="00C22FB2">
        <w:rPr>
          <w:rFonts w:ascii="Arial" w:hAnsi="Arial" w:cs="Arial"/>
          <w:sz w:val="24"/>
          <w:szCs w:val="24"/>
        </w:rPr>
        <w:t>o</w:t>
      </w:r>
      <w:r w:rsidR="00765146" w:rsidRPr="00C22FB2">
        <w:rPr>
          <w:rFonts w:ascii="Arial" w:hAnsi="Arial" w:cs="Arial"/>
          <w:sz w:val="24"/>
          <w:szCs w:val="24"/>
        </w:rPr>
        <w:t>nc</w:t>
      </w:r>
      <w:r w:rsidR="00654A55" w:rsidRPr="00C22FB2">
        <w:rPr>
          <w:rFonts w:ascii="Arial" w:hAnsi="Arial" w:cs="Arial"/>
          <w:sz w:val="24"/>
          <w:szCs w:val="24"/>
        </w:rPr>
        <w:t>r</w:t>
      </w:r>
      <w:r w:rsidR="00765146" w:rsidRPr="00C22FB2">
        <w:rPr>
          <w:rFonts w:ascii="Arial" w:hAnsi="Arial" w:cs="Arial"/>
          <w:sz w:val="24"/>
          <w:szCs w:val="24"/>
        </w:rPr>
        <w:t>etiz</w:t>
      </w:r>
      <w:r w:rsidR="00654A55" w:rsidRPr="00C22FB2">
        <w:rPr>
          <w:rFonts w:ascii="Arial" w:hAnsi="Arial" w:cs="Arial"/>
          <w:sz w:val="24"/>
          <w:szCs w:val="24"/>
        </w:rPr>
        <w:t xml:space="preserve">ar </w:t>
      </w:r>
      <w:r w:rsidR="00C22FB2" w:rsidRPr="00C22FB2">
        <w:rPr>
          <w:rFonts w:ascii="Arial" w:hAnsi="Arial" w:cs="Arial"/>
          <w:sz w:val="24"/>
          <w:szCs w:val="24"/>
        </w:rPr>
        <w:t>por meio d</w:t>
      </w:r>
      <w:r w:rsidR="00654A55" w:rsidRPr="00C22FB2">
        <w:rPr>
          <w:rFonts w:ascii="Arial" w:hAnsi="Arial" w:cs="Arial"/>
          <w:sz w:val="24"/>
          <w:szCs w:val="24"/>
        </w:rPr>
        <w:t xml:space="preserve">o </w:t>
      </w:r>
      <w:r w:rsidRPr="00C22FB2">
        <w:rPr>
          <w:rFonts w:ascii="Arial" w:hAnsi="Arial" w:cs="Arial"/>
          <w:sz w:val="24"/>
          <w:szCs w:val="24"/>
        </w:rPr>
        <w:t>Convênio</w:t>
      </w:r>
      <w:r>
        <w:rPr>
          <w:rFonts w:ascii="Arial" w:hAnsi="Arial" w:cs="Arial"/>
          <w:sz w:val="24"/>
          <w:szCs w:val="24"/>
        </w:rPr>
        <w:t>-Confaz nº 190/2017</w:t>
      </w:r>
      <w:r w:rsidR="00654A55">
        <w:rPr>
          <w:rFonts w:ascii="Arial" w:hAnsi="Arial" w:cs="Arial"/>
          <w:sz w:val="24"/>
          <w:szCs w:val="24"/>
        </w:rPr>
        <w:t>.</w:t>
      </w:r>
    </w:p>
    <w:p w14:paraId="58534847" w14:textId="24788B3E" w:rsidR="00B50040" w:rsidRDefault="00B50040" w:rsidP="0036226F">
      <w:pPr>
        <w:spacing w:line="360" w:lineRule="auto"/>
        <w:ind w:firstLine="851"/>
        <w:jc w:val="both"/>
        <w:rPr>
          <w:rFonts w:ascii="Arial" w:hAnsi="Arial" w:cs="Arial"/>
          <w:sz w:val="24"/>
          <w:szCs w:val="24"/>
        </w:rPr>
      </w:pPr>
      <w:r>
        <w:rPr>
          <w:rFonts w:ascii="Arial" w:hAnsi="Arial" w:cs="Arial"/>
          <w:sz w:val="24"/>
          <w:szCs w:val="24"/>
        </w:rPr>
        <w:t xml:space="preserve">A </w:t>
      </w:r>
      <w:r w:rsidRPr="00B50040">
        <w:rPr>
          <w:rFonts w:ascii="Arial" w:hAnsi="Arial" w:cs="Arial"/>
          <w:b/>
          <w:sz w:val="24"/>
          <w:szCs w:val="24"/>
        </w:rPr>
        <w:t>cláusula segunda desse convênio estabeleceu as seguintes condicionantes às unidades federadas</w:t>
      </w:r>
      <w:r>
        <w:rPr>
          <w:rFonts w:ascii="Arial" w:hAnsi="Arial" w:cs="Arial"/>
          <w:sz w:val="24"/>
          <w:szCs w:val="24"/>
        </w:rPr>
        <w:t xml:space="preserve"> para a reinstituição e a remissão/anistia de benefícios fiscais relativos ao ICMS irregularmente concedidos: </w:t>
      </w:r>
      <w:r w:rsidRPr="00B50040">
        <w:rPr>
          <w:rFonts w:ascii="Arial" w:hAnsi="Arial" w:cs="Arial"/>
          <w:sz w:val="24"/>
          <w:szCs w:val="24"/>
          <w:u w:val="single"/>
        </w:rPr>
        <w:t>a) publicação, em seus respectivos diários oficiais, de relação com a identificação de todos os atos normativos relativos aos benefícios fiscais</w:t>
      </w:r>
      <w:r w:rsidRPr="00B50040">
        <w:rPr>
          <w:rFonts w:ascii="Arial" w:hAnsi="Arial" w:cs="Arial"/>
          <w:sz w:val="24"/>
          <w:szCs w:val="24"/>
        </w:rPr>
        <w:t xml:space="preserve">, instituídos por legislação estadual ou distrital publicada até </w:t>
      </w:r>
      <w:r>
        <w:rPr>
          <w:rFonts w:ascii="Arial" w:hAnsi="Arial" w:cs="Arial"/>
          <w:sz w:val="24"/>
          <w:szCs w:val="24"/>
        </w:rPr>
        <w:t>0</w:t>
      </w:r>
      <w:r w:rsidRPr="00B50040">
        <w:rPr>
          <w:rFonts w:ascii="Arial" w:hAnsi="Arial" w:cs="Arial"/>
          <w:sz w:val="24"/>
          <w:szCs w:val="24"/>
        </w:rPr>
        <w:t>8</w:t>
      </w:r>
      <w:r>
        <w:rPr>
          <w:rFonts w:ascii="Arial" w:hAnsi="Arial" w:cs="Arial"/>
          <w:sz w:val="24"/>
          <w:szCs w:val="24"/>
        </w:rPr>
        <w:t>/08/</w:t>
      </w:r>
      <w:r w:rsidRPr="00B50040">
        <w:rPr>
          <w:rFonts w:ascii="Arial" w:hAnsi="Arial" w:cs="Arial"/>
          <w:sz w:val="24"/>
          <w:szCs w:val="24"/>
        </w:rPr>
        <w:t xml:space="preserve">2017, em desacordo com o disposto na alínea “g” do inciso XII do § 2º do art. 155 da </w:t>
      </w:r>
      <w:r>
        <w:rPr>
          <w:rFonts w:ascii="Arial" w:hAnsi="Arial" w:cs="Arial"/>
          <w:sz w:val="24"/>
          <w:szCs w:val="24"/>
        </w:rPr>
        <w:t xml:space="preserve">CRFB; </w:t>
      </w:r>
      <w:r w:rsidRPr="0036226F">
        <w:rPr>
          <w:rFonts w:ascii="Arial" w:hAnsi="Arial" w:cs="Arial"/>
          <w:sz w:val="24"/>
          <w:szCs w:val="24"/>
          <w:u w:val="single"/>
        </w:rPr>
        <w:t xml:space="preserve">b) </w:t>
      </w:r>
      <w:r w:rsidR="0036226F" w:rsidRPr="0036226F">
        <w:rPr>
          <w:rFonts w:ascii="Arial" w:hAnsi="Arial" w:cs="Arial"/>
          <w:sz w:val="24"/>
          <w:szCs w:val="24"/>
          <w:u w:val="single"/>
        </w:rPr>
        <w:t>efetuar o registro e o depósito, na Secretaria Executiva do Confaz</w:t>
      </w:r>
      <w:r w:rsidR="0036226F" w:rsidRPr="0036226F">
        <w:rPr>
          <w:rFonts w:ascii="Arial" w:hAnsi="Arial" w:cs="Arial"/>
          <w:sz w:val="24"/>
          <w:szCs w:val="24"/>
        </w:rPr>
        <w:t xml:space="preserve">, da documentação comprobatória correspondente aos atos concessivos dos benefícios fiscais </w:t>
      </w:r>
      <w:r w:rsidR="0036226F">
        <w:rPr>
          <w:rFonts w:ascii="Arial" w:hAnsi="Arial" w:cs="Arial"/>
          <w:sz w:val="24"/>
          <w:szCs w:val="24"/>
        </w:rPr>
        <w:t>anteriormente mencionados</w:t>
      </w:r>
      <w:r w:rsidR="0036226F" w:rsidRPr="0036226F">
        <w:rPr>
          <w:rFonts w:ascii="Arial" w:hAnsi="Arial" w:cs="Arial"/>
          <w:sz w:val="24"/>
          <w:szCs w:val="24"/>
        </w:rPr>
        <w:t>, inclusive os correspondentes atos normativos, que devem ser publicados no Portal Nacional da Transparência Tributária instituído nos termos da cláusula sétima e disponibilizado no sítio eletrônico do Confaz</w:t>
      </w:r>
      <w:r w:rsidR="0036226F">
        <w:rPr>
          <w:rFonts w:ascii="Arial" w:hAnsi="Arial" w:cs="Arial"/>
          <w:sz w:val="24"/>
          <w:szCs w:val="24"/>
        </w:rPr>
        <w:t>.</w:t>
      </w:r>
    </w:p>
    <w:p w14:paraId="6E4D7413" w14:textId="40C7449D" w:rsidR="00874F5C" w:rsidRDefault="0036226F" w:rsidP="009D6263">
      <w:pPr>
        <w:spacing w:line="360" w:lineRule="auto"/>
        <w:ind w:firstLine="851"/>
        <w:jc w:val="both"/>
        <w:rPr>
          <w:rFonts w:ascii="Arial" w:hAnsi="Arial" w:cs="Arial"/>
          <w:sz w:val="24"/>
          <w:szCs w:val="24"/>
        </w:rPr>
      </w:pPr>
      <w:r>
        <w:rPr>
          <w:rFonts w:ascii="Arial" w:hAnsi="Arial" w:cs="Arial"/>
          <w:sz w:val="24"/>
          <w:szCs w:val="24"/>
        </w:rPr>
        <w:t xml:space="preserve">Em </w:t>
      </w:r>
      <w:r w:rsidRPr="0036226F">
        <w:rPr>
          <w:rFonts w:ascii="Arial" w:hAnsi="Arial" w:cs="Arial"/>
          <w:sz w:val="24"/>
          <w:szCs w:val="24"/>
        </w:rPr>
        <w:t>dezembro de 2018</w:t>
      </w:r>
      <w:r>
        <w:rPr>
          <w:rFonts w:ascii="Arial" w:hAnsi="Arial" w:cs="Arial"/>
          <w:sz w:val="24"/>
          <w:szCs w:val="24"/>
        </w:rPr>
        <w:t xml:space="preserve">, atendendo aos parâmetros estabelecidos na legislação federal mencionada, foram publicadas no </w:t>
      </w:r>
      <w:r w:rsidRPr="0036226F">
        <w:rPr>
          <w:rFonts w:ascii="Arial" w:hAnsi="Arial" w:cs="Arial"/>
          <w:b/>
          <w:sz w:val="24"/>
          <w:szCs w:val="24"/>
        </w:rPr>
        <w:t>Diário Oficial do Estado de Goiás (11/12/2018)</w:t>
      </w:r>
      <w:r>
        <w:rPr>
          <w:rFonts w:ascii="Arial" w:hAnsi="Arial" w:cs="Arial"/>
          <w:sz w:val="24"/>
          <w:szCs w:val="24"/>
        </w:rPr>
        <w:t xml:space="preserve"> as </w:t>
      </w:r>
      <w:r w:rsidRPr="0036226F">
        <w:rPr>
          <w:rFonts w:ascii="Arial" w:hAnsi="Arial" w:cs="Arial"/>
          <w:b/>
          <w:sz w:val="24"/>
          <w:szCs w:val="24"/>
        </w:rPr>
        <w:t>Leis nºs 20.367</w:t>
      </w:r>
      <w:r>
        <w:rPr>
          <w:rFonts w:ascii="Arial" w:hAnsi="Arial" w:cs="Arial"/>
          <w:sz w:val="24"/>
          <w:szCs w:val="24"/>
        </w:rPr>
        <w:t xml:space="preserve"> (reinstituição) </w:t>
      </w:r>
      <w:r w:rsidRPr="0036226F">
        <w:rPr>
          <w:rFonts w:ascii="Arial" w:hAnsi="Arial" w:cs="Arial"/>
          <w:b/>
          <w:sz w:val="24"/>
          <w:szCs w:val="24"/>
        </w:rPr>
        <w:t>e 20.368</w:t>
      </w:r>
      <w:r>
        <w:rPr>
          <w:rFonts w:ascii="Arial" w:hAnsi="Arial" w:cs="Arial"/>
          <w:sz w:val="24"/>
          <w:szCs w:val="24"/>
        </w:rPr>
        <w:t xml:space="preserve"> (remissão/anistia)</w:t>
      </w:r>
      <w:r w:rsidR="00FB3C05">
        <w:rPr>
          <w:rFonts w:ascii="Arial" w:hAnsi="Arial" w:cs="Arial"/>
          <w:sz w:val="24"/>
          <w:szCs w:val="24"/>
        </w:rPr>
        <w:t xml:space="preserve">. A situação “passada” restou disciplinada na </w:t>
      </w:r>
      <w:r w:rsidR="00FB3C05" w:rsidRPr="00FB3C05">
        <w:rPr>
          <w:rFonts w:ascii="Arial" w:hAnsi="Arial" w:cs="Arial"/>
          <w:sz w:val="24"/>
          <w:szCs w:val="24"/>
          <w:u w:val="single"/>
        </w:rPr>
        <w:t>Lei nº 20.368/2018</w:t>
      </w:r>
      <w:r w:rsidR="00FB3C05">
        <w:rPr>
          <w:rFonts w:ascii="Arial" w:hAnsi="Arial" w:cs="Arial"/>
          <w:sz w:val="24"/>
          <w:szCs w:val="24"/>
        </w:rPr>
        <w:t xml:space="preserve">, mediante remissão e anistia de créditos tributários, constituídos ou não, em decorrência da concessão irregular de benefícios de ICMS. Porém, a maior inovação se deu com a </w:t>
      </w:r>
      <w:r w:rsidR="00FB3C05" w:rsidRPr="00CA1C22">
        <w:rPr>
          <w:rFonts w:ascii="Arial" w:hAnsi="Arial" w:cs="Arial"/>
          <w:sz w:val="24"/>
          <w:szCs w:val="24"/>
          <w:u w:val="single"/>
        </w:rPr>
        <w:t>Lei nº 20.367/2018, que não se limitou a reinstituir os incentivos fiscais</w:t>
      </w:r>
      <w:r w:rsidR="00E84391" w:rsidRPr="00CA1C22">
        <w:rPr>
          <w:rFonts w:ascii="Arial" w:hAnsi="Arial" w:cs="Arial"/>
          <w:sz w:val="24"/>
          <w:szCs w:val="24"/>
          <w:u w:val="single"/>
        </w:rPr>
        <w:t>, mas de alterar a forma de concessão e fruição</w:t>
      </w:r>
      <w:r w:rsidR="009D6263" w:rsidRPr="00CA1C22">
        <w:rPr>
          <w:rFonts w:ascii="Arial" w:hAnsi="Arial" w:cs="Arial"/>
          <w:sz w:val="24"/>
          <w:szCs w:val="24"/>
          <w:u w:val="single"/>
        </w:rPr>
        <w:t xml:space="preserve"> </w:t>
      </w:r>
      <w:r w:rsidR="00E84391" w:rsidRPr="00CA1C22">
        <w:rPr>
          <w:rFonts w:ascii="Arial" w:hAnsi="Arial" w:cs="Arial"/>
          <w:sz w:val="24"/>
          <w:szCs w:val="24"/>
          <w:u w:val="single"/>
        </w:rPr>
        <w:lastRenderedPageBreak/>
        <w:t>para o futuro em relação a alguns desses incentivos</w:t>
      </w:r>
      <w:r w:rsidR="00E84391">
        <w:rPr>
          <w:rFonts w:ascii="Arial" w:hAnsi="Arial" w:cs="Arial"/>
          <w:sz w:val="24"/>
          <w:szCs w:val="24"/>
        </w:rPr>
        <w:t>, sobretudo pela criação</w:t>
      </w:r>
      <w:r w:rsidR="00992218">
        <w:rPr>
          <w:rFonts w:ascii="Arial" w:hAnsi="Arial" w:cs="Arial"/>
          <w:sz w:val="24"/>
          <w:szCs w:val="24"/>
        </w:rPr>
        <w:t xml:space="preserve"> ou ampliação</w:t>
      </w:r>
      <w:r w:rsidR="00E84391">
        <w:rPr>
          <w:rFonts w:ascii="Arial" w:hAnsi="Arial" w:cs="Arial"/>
          <w:sz w:val="24"/>
          <w:szCs w:val="24"/>
        </w:rPr>
        <w:t xml:space="preserve"> do dever de contribuição ao </w:t>
      </w:r>
      <w:r w:rsidR="009D6263" w:rsidRPr="009D6263">
        <w:rPr>
          <w:rFonts w:ascii="Arial" w:hAnsi="Arial" w:cs="Arial"/>
          <w:sz w:val="24"/>
          <w:szCs w:val="24"/>
        </w:rPr>
        <w:t>Fundo de Proteção Social do Estado de Goiás – PROTEGE GOIÁS, instituído pela Lei nº 14.469</w:t>
      </w:r>
      <w:r w:rsidR="009D6263">
        <w:rPr>
          <w:rFonts w:ascii="Arial" w:hAnsi="Arial" w:cs="Arial"/>
          <w:sz w:val="24"/>
          <w:szCs w:val="24"/>
        </w:rPr>
        <w:t>/</w:t>
      </w:r>
      <w:r w:rsidR="009D6263" w:rsidRPr="009D6263">
        <w:rPr>
          <w:rFonts w:ascii="Arial" w:hAnsi="Arial" w:cs="Arial"/>
          <w:sz w:val="24"/>
          <w:szCs w:val="24"/>
        </w:rPr>
        <w:t>2003</w:t>
      </w:r>
      <w:r w:rsidR="00E84391">
        <w:rPr>
          <w:rFonts w:ascii="Arial" w:hAnsi="Arial" w:cs="Arial"/>
          <w:sz w:val="24"/>
          <w:szCs w:val="24"/>
        </w:rPr>
        <w:t>.</w:t>
      </w:r>
      <w:r w:rsidR="00CA1C22">
        <w:rPr>
          <w:rFonts w:ascii="Arial" w:hAnsi="Arial" w:cs="Arial"/>
          <w:sz w:val="24"/>
          <w:szCs w:val="24"/>
        </w:rPr>
        <w:t xml:space="preserve"> </w:t>
      </w:r>
    </w:p>
    <w:p w14:paraId="616D99E9" w14:textId="010EF47C" w:rsidR="00CA1C22" w:rsidRDefault="00CA1C22" w:rsidP="009D6263">
      <w:pPr>
        <w:spacing w:line="360" w:lineRule="auto"/>
        <w:ind w:firstLine="851"/>
        <w:jc w:val="both"/>
        <w:rPr>
          <w:rFonts w:ascii="Arial" w:hAnsi="Arial" w:cs="Arial"/>
          <w:sz w:val="24"/>
          <w:szCs w:val="24"/>
        </w:rPr>
      </w:pPr>
      <w:r>
        <w:rPr>
          <w:rFonts w:ascii="Arial" w:hAnsi="Arial" w:cs="Arial"/>
          <w:sz w:val="24"/>
          <w:szCs w:val="24"/>
        </w:rPr>
        <w:t xml:space="preserve">Para melhor visualização, transcreve-se abaixo o </w:t>
      </w:r>
      <w:r w:rsidRPr="003B7FE4">
        <w:rPr>
          <w:rFonts w:ascii="Arial" w:hAnsi="Arial" w:cs="Arial"/>
          <w:b/>
          <w:sz w:val="24"/>
          <w:szCs w:val="24"/>
        </w:rPr>
        <w:t>art. 3º da Lei nº 20.367/2018</w:t>
      </w:r>
      <w:r w:rsidR="00874F5C">
        <w:rPr>
          <w:rFonts w:ascii="Arial" w:hAnsi="Arial" w:cs="Arial"/>
          <w:sz w:val="24"/>
          <w:szCs w:val="24"/>
        </w:rPr>
        <w:t>, que detalham os termos em que foram reinstituídos alguns incentivos fiscais de forma distinta de sua instituição original</w:t>
      </w:r>
      <w:r>
        <w:rPr>
          <w:rFonts w:ascii="Arial" w:hAnsi="Arial" w:cs="Arial"/>
          <w:sz w:val="24"/>
          <w:szCs w:val="24"/>
        </w:rPr>
        <w:t>:</w:t>
      </w:r>
    </w:p>
    <w:p w14:paraId="2B03B41E" w14:textId="20EE0F2D" w:rsidR="00CA1C22" w:rsidRDefault="00CA1C22" w:rsidP="009D6263">
      <w:pPr>
        <w:spacing w:line="360" w:lineRule="auto"/>
        <w:ind w:firstLine="851"/>
        <w:jc w:val="both"/>
        <w:rPr>
          <w:rFonts w:ascii="Arial" w:hAnsi="Arial" w:cs="Arial"/>
          <w:sz w:val="24"/>
          <w:szCs w:val="24"/>
        </w:rPr>
      </w:pPr>
    </w:p>
    <w:p w14:paraId="35BC0A62" w14:textId="77777777" w:rsidR="00CA1C22" w:rsidRPr="00CA1C22" w:rsidRDefault="00CA1C22" w:rsidP="001A04C9">
      <w:pPr>
        <w:ind w:left="2268"/>
        <w:jc w:val="both"/>
        <w:rPr>
          <w:rFonts w:ascii="Arial" w:hAnsi="Arial" w:cs="Arial"/>
          <w:sz w:val="22"/>
          <w:szCs w:val="22"/>
        </w:rPr>
      </w:pPr>
      <w:r w:rsidRPr="00CA1C22">
        <w:rPr>
          <w:rFonts w:ascii="Arial" w:hAnsi="Arial" w:cs="Arial"/>
          <w:sz w:val="22"/>
          <w:szCs w:val="22"/>
        </w:rPr>
        <w:t xml:space="preserve">Art. 3º Os </w:t>
      </w:r>
      <w:r w:rsidRPr="00134526">
        <w:rPr>
          <w:rFonts w:ascii="Arial" w:hAnsi="Arial" w:cs="Arial"/>
          <w:b/>
          <w:sz w:val="22"/>
          <w:szCs w:val="22"/>
          <w:u w:val="single"/>
        </w:rPr>
        <w:t>benefícios fiscais ou financeiro-fiscais</w:t>
      </w:r>
      <w:r w:rsidRPr="00CA1C22">
        <w:rPr>
          <w:rFonts w:ascii="Arial" w:hAnsi="Arial" w:cs="Arial"/>
          <w:sz w:val="22"/>
          <w:szCs w:val="22"/>
        </w:rPr>
        <w:t xml:space="preserve">, com fundamento no disposto no § 4º do art. 3º da Lei Complementar nº 160, de 7 de agosto de 2017, e no Convênio ICMS 190/17, de 15 de dezembro de 2017, </w:t>
      </w:r>
      <w:r w:rsidRPr="00134526">
        <w:rPr>
          <w:rFonts w:ascii="Arial" w:hAnsi="Arial" w:cs="Arial"/>
          <w:b/>
          <w:sz w:val="22"/>
          <w:szCs w:val="22"/>
          <w:u w:val="single"/>
        </w:rPr>
        <w:t>especificados</w:t>
      </w:r>
      <w:r w:rsidRPr="00CA1C22">
        <w:rPr>
          <w:rFonts w:ascii="Arial" w:hAnsi="Arial" w:cs="Arial"/>
          <w:sz w:val="22"/>
          <w:szCs w:val="22"/>
        </w:rPr>
        <w:t>:</w:t>
      </w:r>
    </w:p>
    <w:p w14:paraId="09E70F6C" w14:textId="77777777" w:rsidR="00CA1C22" w:rsidRPr="00CA1C22" w:rsidRDefault="00CA1C22" w:rsidP="001A04C9">
      <w:pPr>
        <w:ind w:left="2268"/>
        <w:jc w:val="both"/>
        <w:rPr>
          <w:rFonts w:ascii="Arial" w:hAnsi="Arial" w:cs="Arial"/>
          <w:sz w:val="22"/>
          <w:szCs w:val="22"/>
        </w:rPr>
      </w:pPr>
      <w:r w:rsidRPr="00134526">
        <w:rPr>
          <w:rFonts w:ascii="Arial" w:hAnsi="Arial" w:cs="Arial"/>
          <w:b/>
          <w:sz w:val="22"/>
          <w:szCs w:val="22"/>
        </w:rPr>
        <w:t>I – na Lei nº 13.246, de 13 de janeiro de 1998</w:t>
      </w:r>
      <w:r w:rsidRPr="00CA1C22">
        <w:rPr>
          <w:rFonts w:ascii="Arial" w:hAnsi="Arial" w:cs="Arial"/>
          <w:sz w:val="22"/>
          <w:szCs w:val="22"/>
        </w:rPr>
        <w:t>, ficam reinstituídos, com alterações, ficando a fruição condicionada à contribuição para o Fundo de Proteção Social do Estado de Goiás – PROTEGE GOIÁS, instituído pela Lei nº 14.469, de 16 de julho de 2003, no percentual até 15% (quinze por cento) aplicado sobre o valor do benefício;</w:t>
      </w:r>
    </w:p>
    <w:p w14:paraId="00475018" w14:textId="183A90CC" w:rsidR="00CA1C22" w:rsidRPr="00CA1C22" w:rsidRDefault="00CA1C22" w:rsidP="001A04C9">
      <w:pPr>
        <w:ind w:left="2268"/>
        <w:jc w:val="both"/>
        <w:rPr>
          <w:rFonts w:ascii="Arial" w:hAnsi="Arial" w:cs="Arial"/>
          <w:sz w:val="22"/>
          <w:szCs w:val="22"/>
        </w:rPr>
      </w:pPr>
      <w:r w:rsidRPr="00134526">
        <w:rPr>
          <w:rFonts w:ascii="Arial" w:hAnsi="Arial" w:cs="Arial"/>
          <w:b/>
          <w:sz w:val="22"/>
          <w:szCs w:val="22"/>
        </w:rPr>
        <w:t>II – nos Programas FOMENTAR, PRODUZIR e seus subprogramas, previstos nas Leis n</w:t>
      </w:r>
      <w:r w:rsidRPr="00134526">
        <w:rPr>
          <w:rFonts w:ascii="Arial" w:hAnsi="Arial" w:cs="Arial"/>
          <w:b/>
          <w:sz w:val="22"/>
          <w:szCs w:val="22"/>
          <w:vertAlign w:val="superscript"/>
        </w:rPr>
        <w:t>os</w:t>
      </w:r>
      <w:r w:rsidRPr="00134526">
        <w:rPr>
          <w:rFonts w:ascii="Arial" w:hAnsi="Arial" w:cs="Arial"/>
          <w:b/>
          <w:sz w:val="22"/>
          <w:szCs w:val="22"/>
        </w:rPr>
        <w:t> 11.180, de 19 de abril de 1990; 13.591, de 18 de janeiro de 2000; 13.844, de 1º de junho de 2001; 14.244, de 29 de julho de 2002; 15.939, de 29 de dezembro de 2006; e legislação complementar</w:t>
      </w:r>
      <w:r w:rsidRPr="00CA1C22">
        <w:rPr>
          <w:rFonts w:ascii="Arial" w:hAnsi="Arial" w:cs="Arial"/>
          <w:sz w:val="22"/>
          <w:szCs w:val="22"/>
        </w:rPr>
        <w:t>, ficam reinstituídos, com alterações, ficando a fruição condicionada à contribuição para o Fundo de Proteção Social do Estado de Goiás – PROTEGE GOIÁS, instituído pela Lei nº 14.469, de 16 de julho de 2003, no percentual até 15% (quinze por cento) aplicado sobre o valor do incentivo;</w:t>
      </w:r>
    </w:p>
    <w:p w14:paraId="4AD8627D" w14:textId="6A735E13" w:rsidR="00CA1C22" w:rsidRPr="00CA1C22" w:rsidRDefault="00CA1C22" w:rsidP="001A04C9">
      <w:pPr>
        <w:ind w:left="2268"/>
        <w:jc w:val="both"/>
        <w:rPr>
          <w:rFonts w:ascii="Arial" w:hAnsi="Arial" w:cs="Arial"/>
          <w:sz w:val="22"/>
          <w:szCs w:val="22"/>
        </w:rPr>
      </w:pPr>
      <w:r w:rsidRPr="00134526">
        <w:rPr>
          <w:rFonts w:ascii="Arial" w:hAnsi="Arial" w:cs="Arial"/>
          <w:b/>
          <w:sz w:val="22"/>
          <w:szCs w:val="22"/>
        </w:rPr>
        <w:t>III – na Lei nº 16.671, de 23 de julho de 2009, na Lei nº 14.244, de 29 de julho de 2002, na Lei nº 12.462, de 08 de novembro de 1994, na Lei nº 17.441, de 21 de outubro de 2011, na Lei nº 17.442, de 21 de outubro de 2011</w:t>
      </w:r>
      <w:r w:rsidRPr="00CA1C22">
        <w:rPr>
          <w:rFonts w:ascii="Arial" w:hAnsi="Arial" w:cs="Arial"/>
          <w:sz w:val="22"/>
          <w:szCs w:val="22"/>
        </w:rPr>
        <w:t>, ficam reinstituídos, conforme publicados no Diário Oficial do Estado de Goiás até o dia 8 de agosto de 2017 e ressalvas do § 3º deste artigo;</w:t>
      </w:r>
    </w:p>
    <w:p w14:paraId="6A4730F9" w14:textId="4D93A1C9" w:rsidR="00CA1C22" w:rsidRPr="00CA1C22" w:rsidRDefault="00CA1C22" w:rsidP="001A04C9">
      <w:pPr>
        <w:ind w:left="2268"/>
        <w:jc w:val="both"/>
        <w:rPr>
          <w:rFonts w:ascii="Arial" w:hAnsi="Arial" w:cs="Arial"/>
          <w:sz w:val="22"/>
          <w:szCs w:val="22"/>
        </w:rPr>
      </w:pPr>
      <w:r w:rsidRPr="00134526">
        <w:rPr>
          <w:rFonts w:ascii="Arial" w:hAnsi="Arial" w:cs="Arial"/>
          <w:b/>
          <w:sz w:val="22"/>
          <w:szCs w:val="22"/>
        </w:rPr>
        <w:t>IV – na Lei nº 13.194, de 26 de dezembro de 1997</w:t>
      </w:r>
      <w:r w:rsidRPr="00CA1C22">
        <w:rPr>
          <w:rFonts w:ascii="Arial" w:hAnsi="Arial" w:cs="Arial"/>
          <w:sz w:val="22"/>
          <w:szCs w:val="22"/>
        </w:rPr>
        <w:t>, ficam reinstituídos, com alteração do crédito outorgado previsto na alínea a.c. do inciso II do art. 2º, com redução para 3% (três por cento).</w:t>
      </w:r>
    </w:p>
    <w:p w14:paraId="482EA755" w14:textId="43F24E3C" w:rsidR="00CA1C22" w:rsidRPr="00CA1C22" w:rsidRDefault="00CA1C22" w:rsidP="001A04C9">
      <w:pPr>
        <w:ind w:left="2268"/>
        <w:jc w:val="both"/>
        <w:rPr>
          <w:rFonts w:ascii="Arial" w:hAnsi="Arial" w:cs="Arial"/>
          <w:sz w:val="22"/>
          <w:szCs w:val="22"/>
        </w:rPr>
      </w:pPr>
      <w:r w:rsidRPr="00CA1C22">
        <w:rPr>
          <w:rFonts w:ascii="Arial" w:hAnsi="Arial" w:cs="Arial"/>
          <w:sz w:val="22"/>
          <w:szCs w:val="22"/>
        </w:rPr>
        <w:t xml:space="preserve">§ 1º Para os períodos de apuração </w:t>
      </w:r>
      <w:r w:rsidRPr="00134526">
        <w:rPr>
          <w:rFonts w:ascii="Arial" w:hAnsi="Arial" w:cs="Arial"/>
          <w:b/>
          <w:sz w:val="22"/>
          <w:szCs w:val="22"/>
        </w:rPr>
        <w:t>de abril de 2019 a março de 2020</w:t>
      </w:r>
      <w:r w:rsidRPr="00CA1C22">
        <w:rPr>
          <w:rFonts w:ascii="Arial" w:hAnsi="Arial" w:cs="Arial"/>
          <w:sz w:val="22"/>
          <w:szCs w:val="22"/>
        </w:rPr>
        <w:t xml:space="preserve">, o percentual da </w:t>
      </w:r>
      <w:r w:rsidRPr="00134526">
        <w:rPr>
          <w:rFonts w:ascii="Arial" w:hAnsi="Arial" w:cs="Arial"/>
          <w:b/>
          <w:sz w:val="22"/>
          <w:szCs w:val="22"/>
        </w:rPr>
        <w:t>contribuição para o Fundo de Proteção Social do Estado de Goiás – PROTEGE GOIÁS</w:t>
      </w:r>
      <w:r w:rsidRPr="00CA1C22">
        <w:rPr>
          <w:rFonts w:ascii="Arial" w:hAnsi="Arial" w:cs="Arial"/>
          <w:sz w:val="22"/>
          <w:szCs w:val="22"/>
        </w:rPr>
        <w:t xml:space="preserve">, condicionante à fruição dos Programas e Benefícios previstos nos incisos I e II deste artigo, instituído pela Lei nº 14.469, de 16 de julho de 2003, será </w:t>
      </w:r>
      <w:r w:rsidRPr="00134526">
        <w:rPr>
          <w:rFonts w:ascii="Arial" w:hAnsi="Arial" w:cs="Arial"/>
          <w:sz w:val="22"/>
          <w:szCs w:val="22"/>
          <w:u w:val="single"/>
        </w:rPr>
        <w:t>de 15% (quinze por cento) do primeiro até o sexto mês da produção dos efeitos financeiros desta Lei e 14% (quatorze por cento) a partir do sétimo mês</w:t>
      </w:r>
      <w:r w:rsidRPr="00CA1C22">
        <w:rPr>
          <w:rFonts w:ascii="Arial" w:hAnsi="Arial" w:cs="Arial"/>
          <w:sz w:val="22"/>
          <w:szCs w:val="22"/>
        </w:rPr>
        <w:t xml:space="preserve"> da produção dos efeitos financeiros desta Lei, decrescendo 1% (um ponto percentual) a cada mês.</w:t>
      </w:r>
    </w:p>
    <w:p w14:paraId="40D650C7" w14:textId="77777777" w:rsidR="00CA1C22" w:rsidRPr="00CA1C22" w:rsidRDefault="00CA1C22" w:rsidP="001A04C9">
      <w:pPr>
        <w:ind w:left="2268"/>
        <w:jc w:val="both"/>
        <w:rPr>
          <w:rFonts w:ascii="Arial" w:hAnsi="Arial" w:cs="Arial"/>
          <w:sz w:val="22"/>
          <w:szCs w:val="22"/>
        </w:rPr>
      </w:pPr>
      <w:r w:rsidRPr="00CA1C22">
        <w:rPr>
          <w:rFonts w:ascii="Arial" w:hAnsi="Arial" w:cs="Arial"/>
          <w:sz w:val="22"/>
          <w:szCs w:val="22"/>
        </w:rPr>
        <w:t xml:space="preserve">§ 2º Fica o </w:t>
      </w:r>
      <w:r w:rsidRPr="00B73E3C">
        <w:rPr>
          <w:rFonts w:ascii="Arial" w:hAnsi="Arial" w:cs="Arial"/>
          <w:b/>
          <w:sz w:val="22"/>
          <w:szCs w:val="22"/>
        </w:rPr>
        <w:t>Estado de Goiás autorizado</w:t>
      </w:r>
      <w:r w:rsidRPr="00CA1C22">
        <w:rPr>
          <w:rFonts w:ascii="Arial" w:hAnsi="Arial" w:cs="Arial"/>
          <w:sz w:val="22"/>
          <w:szCs w:val="22"/>
        </w:rPr>
        <w:t xml:space="preserve">, no interesse da Administração Fazendária, para preservar a competitividade do contribuinte do ICMS estabelecido em território goiano, </w:t>
      </w:r>
      <w:r w:rsidRPr="00134526">
        <w:rPr>
          <w:rFonts w:ascii="Arial" w:hAnsi="Arial" w:cs="Arial"/>
          <w:b/>
          <w:sz w:val="22"/>
          <w:szCs w:val="22"/>
        </w:rPr>
        <w:t xml:space="preserve">a reduzir ou extinguir, por Lei, o percentual da contribuição para o Fundo de Proteção Social do </w:t>
      </w:r>
      <w:r w:rsidRPr="00134526">
        <w:rPr>
          <w:rFonts w:ascii="Arial" w:hAnsi="Arial" w:cs="Arial"/>
          <w:b/>
          <w:sz w:val="22"/>
          <w:szCs w:val="22"/>
        </w:rPr>
        <w:lastRenderedPageBreak/>
        <w:t>Estado de Goiás – PROTEGE GOIÁS</w:t>
      </w:r>
      <w:r w:rsidRPr="00CA1C22">
        <w:rPr>
          <w:rFonts w:ascii="Arial" w:hAnsi="Arial" w:cs="Arial"/>
          <w:sz w:val="22"/>
          <w:szCs w:val="22"/>
        </w:rPr>
        <w:t>, condicionante à fruição dos Programas e Benefícios previstos nos incisos I e II deste artigo.</w:t>
      </w:r>
    </w:p>
    <w:p w14:paraId="78E5C785" w14:textId="77777777" w:rsidR="00CA1C22" w:rsidRPr="00CA1C22" w:rsidRDefault="00CA1C22" w:rsidP="001A04C9">
      <w:pPr>
        <w:ind w:left="2268"/>
        <w:jc w:val="both"/>
        <w:rPr>
          <w:rFonts w:ascii="Arial" w:hAnsi="Arial" w:cs="Arial"/>
          <w:sz w:val="22"/>
          <w:szCs w:val="22"/>
        </w:rPr>
      </w:pPr>
      <w:r w:rsidRPr="00134526">
        <w:rPr>
          <w:rFonts w:ascii="Arial" w:hAnsi="Arial" w:cs="Arial"/>
          <w:b/>
          <w:sz w:val="22"/>
          <w:szCs w:val="22"/>
          <w:u w:val="single"/>
        </w:rPr>
        <w:t>§ 3º Ficam os benefícios fiscais ou financeiro-fiscais, nos períodos de apuração de abril de 2019 a março de 2020, previstos</w:t>
      </w:r>
      <w:r w:rsidRPr="00CA1C22">
        <w:rPr>
          <w:rFonts w:ascii="Arial" w:hAnsi="Arial" w:cs="Arial"/>
          <w:sz w:val="22"/>
          <w:szCs w:val="22"/>
        </w:rPr>
        <w:t>:</w:t>
      </w:r>
    </w:p>
    <w:p w14:paraId="2224225E" w14:textId="0505A656" w:rsidR="00CA1C22" w:rsidRPr="00CA1C22" w:rsidRDefault="00700107" w:rsidP="001A04C9">
      <w:pPr>
        <w:ind w:left="2268"/>
        <w:jc w:val="both"/>
        <w:rPr>
          <w:rFonts w:ascii="Arial" w:hAnsi="Arial" w:cs="Arial"/>
          <w:sz w:val="22"/>
          <w:szCs w:val="22"/>
        </w:rPr>
      </w:pPr>
      <w:r>
        <w:rPr>
          <w:rFonts w:ascii="Arial" w:hAnsi="Arial" w:cs="Arial"/>
          <w:b/>
          <w:sz w:val="22"/>
          <w:szCs w:val="22"/>
        </w:rPr>
        <w:t xml:space="preserve">I - </w:t>
      </w:r>
      <w:r w:rsidR="00CA1C22" w:rsidRPr="00134526">
        <w:rPr>
          <w:rFonts w:ascii="Arial" w:hAnsi="Arial" w:cs="Arial"/>
          <w:b/>
          <w:sz w:val="22"/>
          <w:szCs w:val="22"/>
        </w:rPr>
        <w:t>Lei nº 16.671, de 23 de julho de 2009</w:t>
      </w:r>
      <w:r w:rsidR="00CA1C22" w:rsidRPr="00CA1C22">
        <w:rPr>
          <w:rFonts w:ascii="Arial" w:hAnsi="Arial" w:cs="Arial"/>
          <w:sz w:val="22"/>
          <w:szCs w:val="22"/>
        </w:rPr>
        <w:t>, limitados os seus percentuais relativos ao valor do crédito outorgado de ICMS, com limitação na alínea "a" do inciso I do art. 3º e alínea "a" do inciso I do art. 4º, em 85% (oitenta e cinco por cento), na alínea "b" do inciso I do art. 3º, em 44,44% (quarenta e quatro inteiros e quarenta e quatro centésimos por cento) e na alínea "b" do inciso I do art. 4º, em 50% (cinquenta por cento);</w:t>
      </w:r>
    </w:p>
    <w:p w14:paraId="5F473D19" w14:textId="7765A90D" w:rsidR="00CA1C22" w:rsidRPr="00CA1C22" w:rsidRDefault="00CA1C22" w:rsidP="001A04C9">
      <w:pPr>
        <w:ind w:left="2268"/>
        <w:jc w:val="both"/>
        <w:rPr>
          <w:rFonts w:ascii="Arial" w:hAnsi="Arial" w:cs="Arial"/>
          <w:sz w:val="22"/>
          <w:szCs w:val="22"/>
        </w:rPr>
      </w:pPr>
      <w:r w:rsidRPr="00134526">
        <w:rPr>
          <w:rFonts w:ascii="Arial" w:hAnsi="Arial" w:cs="Arial"/>
          <w:b/>
          <w:sz w:val="22"/>
          <w:szCs w:val="22"/>
        </w:rPr>
        <w:t>II – na Lei nº 14.244, de 29 de julho de 2002</w:t>
      </w:r>
      <w:r w:rsidRPr="00CA1C22">
        <w:rPr>
          <w:rFonts w:ascii="Arial" w:hAnsi="Arial" w:cs="Arial"/>
          <w:sz w:val="22"/>
          <w:szCs w:val="22"/>
        </w:rPr>
        <w:t>, limitados os percentuais relativos ao valor do crédito outorgado de ICMS, previstos nos incisos I, II e III do art. 2º, ficando reduzidos para 25% (vinte e cinco por cento), 36% (trinta e seis por cento) e 40% (quarenta por cento), respectivamente;</w:t>
      </w:r>
    </w:p>
    <w:p w14:paraId="4AFFD6D3" w14:textId="77777777" w:rsidR="00CA1C22" w:rsidRPr="00CA1C22" w:rsidRDefault="00CA1C22" w:rsidP="001A04C9">
      <w:pPr>
        <w:ind w:left="2268"/>
        <w:jc w:val="both"/>
        <w:rPr>
          <w:rFonts w:ascii="Arial" w:hAnsi="Arial" w:cs="Arial"/>
          <w:sz w:val="22"/>
          <w:szCs w:val="22"/>
        </w:rPr>
      </w:pPr>
      <w:r w:rsidRPr="00134526">
        <w:rPr>
          <w:rFonts w:ascii="Arial" w:hAnsi="Arial" w:cs="Arial"/>
          <w:b/>
          <w:sz w:val="22"/>
          <w:szCs w:val="22"/>
        </w:rPr>
        <w:t>III – na Lei nº 12.462, de 08 de novembro de 1994</w:t>
      </w:r>
      <w:r w:rsidRPr="00CA1C22">
        <w:rPr>
          <w:rFonts w:ascii="Arial" w:hAnsi="Arial" w:cs="Arial"/>
          <w:sz w:val="22"/>
          <w:szCs w:val="22"/>
        </w:rPr>
        <w:t>, ficam limitados os percentuais relativos ao valor do crédito outorgado previsto no inciso II do § 4º do art. 1º, para não se aplicar na operação interestadual realizada por contribuinte industrial;</w:t>
      </w:r>
    </w:p>
    <w:p w14:paraId="53E14853" w14:textId="742BD103" w:rsidR="00CA1C22" w:rsidRPr="00CA1C22" w:rsidRDefault="00CA1C22" w:rsidP="001A04C9">
      <w:pPr>
        <w:ind w:left="2268"/>
        <w:jc w:val="both"/>
        <w:rPr>
          <w:rFonts w:ascii="Arial" w:hAnsi="Arial" w:cs="Arial"/>
          <w:sz w:val="22"/>
          <w:szCs w:val="22"/>
        </w:rPr>
      </w:pPr>
      <w:r w:rsidRPr="00134526">
        <w:rPr>
          <w:rFonts w:ascii="Arial" w:hAnsi="Arial" w:cs="Arial"/>
          <w:b/>
          <w:sz w:val="22"/>
          <w:szCs w:val="22"/>
        </w:rPr>
        <w:t>IV – na Lei nº 17.441, de 21 de outubro de 2011</w:t>
      </w:r>
      <w:r w:rsidRPr="00CA1C22">
        <w:rPr>
          <w:rFonts w:ascii="Arial" w:hAnsi="Arial" w:cs="Arial"/>
          <w:sz w:val="22"/>
          <w:szCs w:val="22"/>
        </w:rPr>
        <w:t>, ficam limitados os percentuais relativos ao valor do crédito outorgado de ICMS, no inciso I do art. 5º, com limite de 85% (oitenta e cinco por cento) e no inciso II do art. 5º, com limite de 44,44% (quarenta e quatro inteiros e quarenta e quatro centésimos por cento);</w:t>
      </w:r>
    </w:p>
    <w:p w14:paraId="04A072AB" w14:textId="447915A7" w:rsidR="00CA1C22" w:rsidRPr="00CA1C22" w:rsidRDefault="00CA1C22" w:rsidP="001A04C9">
      <w:pPr>
        <w:ind w:left="2268"/>
        <w:jc w:val="both"/>
        <w:rPr>
          <w:rFonts w:ascii="Arial" w:hAnsi="Arial" w:cs="Arial"/>
          <w:sz w:val="22"/>
          <w:szCs w:val="22"/>
        </w:rPr>
      </w:pPr>
      <w:r w:rsidRPr="00134526">
        <w:rPr>
          <w:rFonts w:ascii="Arial" w:hAnsi="Arial" w:cs="Arial"/>
          <w:b/>
          <w:sz w:val="22"/>
          <w:szCs w:val="22"/>
        </w:rPr>
        <w:t>V – na Lei nº 17.442, de 21 de outubro de 2011</w:t>
      </w:r>
      <w:r w:rsidRPr="00CA1C22">
        <w:rPr>
          <w:rFonts w:ascii="Arial" w:hAnsi="Arial" w:cs="Arial"/>
          <w:sz w:val="22"/>
          <w:szCs w:val="22"/>
        </w:rPr>
        <w:t>, com revisão das metas de arrecadação do Imposto sobre Operações Relativas à Circulação de Mercadorias e sobre Prestações de Serviços de Transporte Interestadual e Intermunicipal e de Comunicação –ICMS– pelos contribuintes beneficiados.</w:t>
      </w:r>
    </w:p>
    <w:p w14:paraId="1A5BCDC9" w14:textId="4CE128FD" w:rsidR="00CA1C22" w:rsidRDefault="00CA1C22" w:rsidP="001A04C9">
      <w:pPr>
        <w:ind w:left="2268"/>
        <w:jc w:val="both"/>
        <w:rPr>
          <w:rFonts w:ascii="Arial" w:hAnsi="Arial" w:cs="Arial"/>
          <w:sz w:val="22"/>
          <w:szCs w:val="22"/>
        </w:rPr>
      </w:pPr>
      <w:r w:rsidRPr="00CA1C22">
        <w:rPr>
          <w:rFonts w:ascii="Arial" w:hAnsi="Arial" w:cs="Arial"/>
          <w:sz w:val="22"/>
          <w:szCs w:val="22"/>
        </w:rPr>
        <w:t xml:space="preserve">§ 4º Os benefícios fiscais ou financeiro-fiscais da atividade de </w:t>
      </w:r>
      <w:r w:rsidRPr="00B73E3C">
        <w:rPr>
          <w:rFonts w:ascii="Arial" w:hAnsi="Arial" w:cs="Arial"/>
          <w:b/>
          <w:sz w:val="22"/>
          <w:szCs w:val="22"/>
          <w:u w:val="single"/>
        </w:rPr>
        <w:t>abate e processamento de carne de aves</w:t>
      </w:r>
      <w:r w:rsidRPr="00CA1C22">
        <w:rPr>
          <w:rFonts w:ascii="Arial" w:hAnsi="Arial" w:cs="Arial"/>
          <w:sz w:val="22"/>
          <w:szCs w:val="22"/>
        </w:rPr>
        <w:t xml:space="preserve">, para beneficiários do FOMENTAR ou PRODUZIR, ficam reinstituídos </w:t>
      </w:r>
      <w:r w:rsidRPr="00B73E3C">
        <w:rPr>
          <w:rFonts w:ascii="Arial" w:hAnsi="Arial" w:cs="Arial"/>
          <w:b/>
          <w:sz w:val="22"/>
          <w:szCs w:val="22"/>
          <w:u w:val="single"/>
        </w:rPr>
        <w:t>sem a obrigação de contribuição ao PROTEGE</w:t>
      </w:r>
      <w:r w:rsidRPr="00CA1C22">
        <w:rPr>
          <w:rFonts w:ascii="Arial" w:hAnsi="Arial" w:cs="Arial"/>
          <w:sz w:val="22"/>
          <w:szCs w:val="22"/>
        </w:rPr>
        <w:t>.</w:t>
      </w:r>
    </w:p>
    <w:p w14:paraId="67C8F2AF" w14:textId="77777777" w:rsidR="00CA1C22" w:rsidRDefault="00CA1C22" w:rsidP="009D6263">
      <w:pPr>
        <w:spacing w:line="360" w:lineRule="auto"/>
        <w:ind w:firstLine="851"/>
        <w:jc w:val="both"/>
        <w:rPr>
          <w:rFonts w:ascii="Arial" w:hAnsi="Arial" w:cs="Arial"/>
          <w:sz w:val="24"/>
          <w:szCs w:val="24"/>
        </w:rPr>
      </w:pPr>
    </w:p>
    <w:p w14:paraId="3A63A9B9" w14:textId="2FDAB672" w:rsidR="008C239E" w:rsidRDefault="00874F5C" w:rsidP="00A668C3">
      <w:pPr>
        <w:spacing w:line="360" w:lineRule="auto"/>
        <w:ind w:firstLine="851"/>
        <w:jc w:val="both"/>
        <w:rPr>
          <w:rFonts w:ascii="Arial" w:hAnsi="Arial" w:cs="Arial"/>
          <w:sz w:val="24"/>
          <w:szCs w:val="24"/>
        </w:rPr>
      </w:pPr>
      <w:r w:rsidRPr="00874F5C">
        <w:rPr>
          <w:rFonts w:ascii="Arial" w:hAnsi="Arial" w:cs="Arial"/>
          <w:sz w:val="24"/>
          <w:szCs w:val="24"/>
        </w:rPr>
        <w:t>Ainda,</w:t>
      </w:r>
      <w:r w:rsidR="00F206EC">
        <w:rPr>
          <w:rFonts w:ascii="Arial" w:hAnsi="Arial" w:cs="Arial"/>
          <w:sz w:val="24"/>
          <w:szCs w:val="24"/>
        </w:rPr>
        <w:t xml:space="preserve"> os</w:t>
      </w:r>
      <w:r w:rsidRPr="00874F5C">
        <w:rPr>
          <w:rFonts w:ascii="Arial" w:hAnsi="Arial" w:cs="Arial"/>
          <w:sz w:val="24"/>
          <w:szCs w:val="24"/>
        </w:rPr>
        <w:t xml:space="preserve"> </w:t>
      </w:r>
      <w:r w:rsidRPr="00F206EC">
        <w:rPr>
          <w:rFonts w:ascii="Arial" w:hAnsi="Arial" w:cs="Arial"/>
          <w:b/>
          <w:sz w:val="24"/>
          <w:szCs w:val="24"/>
        </w:rPr>
        <w:t>arts. 4º e 5º da Lei nº 20.367/2018</w:t>
      </w:r>
      <w:r w:rsidR="00A00395">
        <w:rPr>
          <w:rFonts w:ascii="Arial" w:hAnsi="Arial" w:cs="Arial"/>
          <w:sz w:val="24"/>
          <w:szCs w:val="24"/>
        </w:rPr>
        <w:t xml:space="preserve"> preveem, como regra, a necessidade de celebração de TARE para fruição dos incentivos fiscais</w:t>
      </w:r>
      <w:r w:rsidR="00F206EC">
        <w:rPr>
          <w:rFonts w:ascii="Arial" w:hAnsi="Arial" w:cs="Arial"/>
          <w:sz w:val="24"/>
          <w:szCs w:val="24"/>
        </w:rPr>
        <w:t xml:space="preserve"> </w:t>
      </w:r>
      <w:r w:rsidR="00A00395">
        <w:rPr>
          <w:rFonts w:ascii="Arial" w:hAnsi="Arial" w:cs="Arial"/>
          <w:sz w:val="24"/>
          <w:szCs w:val="24"/>
        </w:rPr>
        <w:t>reinstituídos</w:t>
      </w:r>
      <w:r w:rsidR="004679CC">
        <w:rPr>
          <w:rFonts w:ascii="Arial" w:hAnsi="Arial" w:cs="Arial"/>
          <w:sz w:val="24"/>
          <w:szCs w:val="24"/>
        </w:rPr>
        <w:t xml:space="preserve"> nos termos do art. 3º, supra transcrito</w:t>
      </w:r>
      <w:r w:rsidR="00F206EC">
        <w:rPr>
          <w:rFonts w:ascii="Arial" w:hAnsi="Arial" w:cs="Arial"/>
          <w:sz w:val="24"/>
          <w:szCs w:val="24"/>
        </w:rPr>
        <w:t xml:space="preserve">, enquanto o </w:t>
      </w:r>
      <w:r w:rsidR="00F206EC" w:rsidRPr="00F206EC">
        <w:rPr>
          <w:rFonts w:ascii="Arial" w:hAnsi="Arial" w:cs="Arial"/>
          <w:b/>
          <w:sz w:val="24"/>
          <w:szCs w:val="24"/>
        </w:rPr>
        <w:t>art. 6º</w:t>
      </w:r>
      <w:r w:rsidR="00F206EC">
        <w:rPr>
          <w:rFonts w:ascii="Arial" w:hAnsi="Arial" w:cs="Arial"/>
          <w:sz w:val="24"/>
          <w:szCs w:val="24"/>
        </w:rPr>
        <w:t xml:space="preserve"> prevê a possibilidade de </w:t>
      </w:r>
      <w:r w:rsidR="00F206EC" w:rsidRPr="00F206EC">
        <w:rPr>
          <w:rFonts w:ascii="Arial" w:hAnsi="Arial" w:cs="Arial"/>
          <w:sz w:val="24"/>
          <w:szCs w:val="24"/>
        </w:rPr>
        <w:t>revoga</w:t>
      </w:r>
      <w:r w:rsidR="00F206EC">
        <w:rPr>
          <w:rFonts w:ascii="Arial" w:hAnsi="Arial" w:cs="Arial"/>
          <w:sz w:val="24"/>
          <w:szCs w:val="24"/>
        </w:rPr>
        <w:t xml:space="preserve">ção </w:t>
      </w:r>
      <w:r w:rsidR="00F206EC" w:rsidRPr="00F206EC">
        <w:rPr>
          <w:rFonts w:ascii="Arial" w:hAnsi="Arial" w:cs="Arial"/>
          <w:sz w:val="24"/>
          <w:szCs w:val="24"/>
        </w:rPr>
        <w:t>ou modifica</w:t>
      </w:r>
      <w:r w:rsidR="00F206EC">
        <w:rPr>
          <w:rFonts w:ascii="Arial" w:hAnsi="Arial" w:cs="Arial"/>
          <w:sz w:val="24"/>
          <w:szCs w:val="24"/>
        </w:rPr>
        <w:t>ção</w:t>
      </w:r>
      <w:r w:rsidR="00F206EC" w:rsidRPr="00F206EC">
        <w:rPr>
          <w:rFonts w:ascii="Arial" w:hAnsi="Arial" w:cs="Arial"/>
          <w:sz w:val="24"/>
          <w:szCs w:val="24"/>
        </w:rPr>
        <w:t xml:space="preserve"> </w:t>
      </w:r>
      <w:r w:rsidR="00F206EC">
        <w:rPr>
          <w:rFonts w:ascii="Arial" w:hAnsi="Arial" w:cs="Arial"/>
          <w:sz w:val="24"/>
          <w:szCs w:val="24"/>
        </w:rPr>
        <w:t>d</w:t>
      </w:r>
      <w:r w:rsidR="00F206EC" w:rsidRPr="00F206EC">
        <w:rPr>
          <w:rFonts w:ascii="Arial" w:hAnsi="Arial" w:cs="Arial"/>
          <w:sz w:val="24"/>
          <w:szCs w:val="24"/>
        </w:rPr>
        <w:t>o ato concessivo ou</w:t>
      </w:r>
      <w:r w:rsidR="00F206EC">
        <w:rPr>
          <w:rFonts w:ascii="Arial" w:hAnsi="Arial" w:cs="Arial"/>
          <w:sz w:val="24"/>
          <w:szCs w:val="24"/>
        </w:rPr>
        <w:t>, ainda, a</w:t>
      </w:r>
      <w:r w:rsidR="00F206EC" w:rsidRPr="00F206EC">
        <w:rPr>
          <w:rFonts w:ascii="Arial" w:hAnsi="Arial" w:cs="Arial"/>
          <w:sz w:val="24"/>
          <w:szCs w:val="24"/>
        </w:rPr>
        <w:t xml:space="preserve"> redu</w:t>
      </w:r>
      <w:r w:rsidR="00F206EC">
        <w:rPr>
          <w:rFonts w:ascii="Arial" w:hAnsi="Arial" w:cs="Arial"/>
          <w:sz w:val="24"/>
          <w:szCs w:val="24"/>
        </w:rPr>
        <w:t>ção de</w:t>
      </w:r>
      <w:r w:rsidR="00F206EC" w:rsidRPr="00F206EC">
        <w:rPr>
          <w:rFonts w:ascii="Arial" w:hAnsi="Arial" w:cs="Arial"/>
          <w:sz w:val="24"/>
          <w:szCs w:val="24"/>
        </w:rPr>
        <w:t xml:space="preserve"> seu alcance ou </w:t>
      </w:r>
      <w:r w:rsidR="00F206EC">
        <w:rPr>
          <w:rFonts w:ascii="Arial" w:hAnsi="Arial" w:cs="Arial"/>
          <w:sz w:val="24"/>
          <w:szCs w:val="24"/>
        </w:rPr>
        <w:t>d</w:t>
      </w:r>
      <w:r w:rsidR="00F206EC" w:rsidRPr="00F206EC">
        <w:rPr>
          <w:rFonts w:ascii="Arial" w:hAnsi="Arial" w:cs="Arial"/>
          <w:sz w:val="24"/>
          <w:szCs w:val="24"/>
        </w:rPr>
        <w:t>o montante</w:t>
      </w:r>
      <w:r w:rsidR="00A00395">
        <w:rPr>
          <w:rFonts w:ascii="Arial" w:hAnsi="Arial" w:cs="Arial"/>
          <w:sz w:val="24"/>
          <w:szCs w:val="24"/>
        </w:rPr>
        <w:t xml:space="preserve"> </w:t>
      </w:r>
      <w:r w:rsidR="00F206EC">
        <w:rPr>
          <w:rFonts w:ascii="Arial" w:hAnsi="Arial" w:cs="Arial"/>
          <w:sz w:val="24"/>
          <w:szCs w:val="24"/>
        </w:rPr>
        <w:t>dos incentivos fiscais antes do termo final de fruição previsto no § 3º do art. 3º da LC nº 160/2017:</w:t>
      </w:r>
    </w:p>
    <w:p w14:paraId="3408C585" w14:textId="6AA223E1" w:rsidR="00F206EC" w:rsidRDefault="00F206EC" w:rsidP="00A668C3">
      <w:pPr>
        <w:spacing w:line="360" w:lineRule="auto"/>
        <w:ind w:firstLine="851"/>
        <w:jc w:val="both"/>
        <w:rPr>
          <w:rFonts w:ascii="Arial" w:hAnsi="Arial" w:cs="Arial"/>
          <w:sz w:val="24"/>
          <w:szCs w:val="24"/>
        </w:rPr>
      </w:pPr>
    </w:p>
    <w:p w14:paraId="78EB228B" w14:textId="77777777" w:rsidR="00F206EC" w:rsidRPr="00F206EC" w:rsidRDefault="00F206EC" w:rsidP="001A04C9">
      <w:pPr>
        <w:ind w:left="2268"/>
        <w:jc w:val="both"/>
        <w:rPr>
          <w:rFonts w:ascii="Arial" w:hAnsi="Arial" w:cs="Arial"/>
          <w:sz w:val="22"/>
          <w:szCs w:val="22"/>
        </w:rPr>
      </w:pPr>
      <w:r w:rsidRPr="00F206EC">
        <w:rPr>
          <w:rFonts w:ascii="Arial" w:hAnsi="Arial" w:cs="Arial"/>
          <w:b/>
          <w:sz w:val="22"/>
          <w:szCs w:val="22"/>
        </w:rPr>
        <w:t>Art. 4º</w:t>
      </w:r>
      <w:r w:rsidRPr="00F206EC">
        <w:rPr>
          <w:rFonts w:ascii="Arial" w:hAnsi="Arial" w:cs="Arial"/>
          <w:sz w:val="22"/>
          <w:szCs w:val="22"/>
        </w:rPr>
        <w:t xml:space="preserve"> A celebração de novos Termos de Acordo de Regime Especial – TARE, para as hipóteses especificadas no art. 3º desta Lei, é condição para fruição dos incentivos ou benefícios fiscais ou financeiro-fiscais ora reinstituídos.</w:t>
      </w:r>
    </w:p>
    <w:p w14:paraId="6F9923C2" w14:textId="77777777" w:rsidR="00F206EC" w:rsidRPr="00F206EC" w:rsidRDefault="00F206EC" w:rsidP="001A04C9">
      <w:pPr>
        <w:ind w:left="2268"/>
        <w:jc w:val="both"/>
        <w:rPr>
          <w:rFonts w:ascii="Arial" w:hAnsi="Arial" w:cs="Arial"/>
          <w:sz w:val="22"/>
          <w:szCs w:val="22"/>
        </w:rPr>
      </w:pPr>
      <w:r w:rsidRPr="00F206EC">
        <w:rPr>
          <w:rFonts w:ascii="Arial" w:hAnsi="Arial" w:cs="Arial"/>
          <w:sz w:val="22"/>
          <w:szCs w:val="22"/>
        </w:rPr>
        <w:t>Parágrafo único. O Chefe do Poder Executivo disciplinará o disposto neste artigo, podendo, inclusive, dispensar a obrigatoriedade de celebração de novo TARE, nas situações que especificar.</w:t>
      </w:r>
    </w:p>
    <w:p w14:paraId="60FDADA7" w14:textId="00D6A566" w:rsidR="00F206EC" w:rsidRPr="00F206EC" w:rsidRDefault="00F206EC" w:rsidP="001A04C9">
      <w:pPr>
        <w:ind w:left="2268"/>
        <w:jc w:val="both"/>
        <w:rPr>
          <w:rFonts w:ascii="Arial" w:hAnsi="Arial" w:cs="Arial"/>
          <w:sz w:val="22"/>
          <w:szCs w:val="22"/>
        </w:rPr>
      </w:pPr>
      <w:r w:rsidRPr="00F206EC">
        <w:rPr>
          <w:rFonts w:ascii="Arial" w:hAnsi="Arial" w:cs="Arial"/>
          <w:b/>
          <w:sz w:val="22"/>
          <w:szCs w:val="22"/>
        </w:rPr>
        <w:lastRenderedPageBreak/>
        <w:t>Art. 5º</w:t>
      </w:r>
      <w:r w:rsidRPr="00F206EC">
        <w:rPr>
          <w:rFonts w:ascii="Arial" w:hAnsi="Arial" w:cs="Arial"/>
          <w:sz w:val="22"/>
          <w:szCs w:val="22"/>
        </w:rPr>
        <w:t xml:space="preserve"> A fruição dos incentivos ou benefícios fiscais ou financeiro-fiscais mencionados no artigo 3º desta Lei, a partir de abril de 2020, é condicionada à celebração de novos Termos de Acordo de Regime Especial – TARE.</w:t>
      </w:r>
    </w:p>
    <w:p w14:paraId="7EFBDA52" w14:textId="77777777" w:rsidR="00F206EC" w:rsidRPr="00F206EC" w:rsidRDefault="00F206EC" w:rsidP="001A04C9">
      <w:pPr>
        <w:ind w:left="2268"/>
        <w:jc w:val="both"/>
        <w:rPr>
          <w:rFonts w:ascii="Arial" w:hAnsi="Arial" w:cs="Arial"/>
          <w:sz w:val="22"/>
          <w:szCs w:val="22"/>
        </w:rPr>
      </w:pPr>
      <w:r w:rsidRPr="00F206EC">
        <w:rPr>
          <w:rFonts w:ascii="Arial" w:hAnsi="Arial" w:cs="Arial"/>
          <w:sz w:val="22"/>
          <w:szCs w:val="22"/>
        </w:rPr>
        <w:t>Parágrafo único. O Chefe do Poder Executivo disciplinará o disposto neste artigo, podendo, inclusive, dispensar a obrigatoriedade de celebração de novo TARE, nas situações que especificar.</w:t>
      </w:r>
    </w:p>
    <w:p w14:paraId="1EF38942" w14:textId="52B515C5" w:rsidR="00F206EC" w:rsidRDefault="00F206EC" w:rsidP="001A04C9">
      <w:pPr>
        <w:ind w:left="2268"/>
        <w:jc w:val="both"/>
        <w:rPr>
          <w:rFonts w:ascii="Arial" w:hAnsi="Arial" w:cs="Arial"/>
          <w:sz w:val="22"/>
          <w:szCs w:val="22"/>
        </w:rPr>
      </w:pPr>
      <w:r w:rsidRPr="00DF5C6D">
        <w:rPr>
          <w:rFonts w:ascii="Arial" w:hAnsi="Arial" w:cs="Arial"/>
          <w:b/>
          <w:sz w:val="22"/>
          <w:szCs w:val="22"/>
        </w:rPr>
        <w:t>Art. 6º</w:t>
      </w:r>
      <w:r w:rsidRPr="00F206EC">
        <w:rPr>
          <w:rFonts w:ascii="Arial" w:hAnsi="Arial" w:cs="Arial"/>
          <w:sz w:val="22"/>
          <w:szCs w:val="22"/>
        </w:rPr>
        <w:t xml:space="preserve"> O Estado de Goiás poderá revogar ou modificar o ato concessivo ou reduzir o seu alcance ou o montante das isenções, dos incentivos e dos benefícios fiscais ou financeiro-fiscais antes do termo final de fruição, nos termos da previsão constante no § 4º do artigo 3º da Lei Complementar federal nº 160, de 7 de agosto de 2017.</w:t>
      </w:r>
    </w:p>
    <w:p w14:paraId="694755FD" w14:textId="77777777" w:rsidR="00F206EC" w:rsidRDefault="00F206EC" w:rsidP="00A668C3">
      <w:pPr>
        <w:spacing w:line="360" w:lineRule="auto"/>
        <w:ind w:firstLine="851"/>
        <w:jc w:val="both"/>
        <w:rPr>
          <w:rFonts w:ascii="Arial" w:hAnsi="Arial" w:cs="Arial"/>
          <w:sz w:val="24"/>
          <w:szCs w:val="24"/>
        </w:rPr>
      </w:pPr>
    </w:p>
    <w:p w14:paraId="32D422BC" w14:textId="282AEF27" w:rsidR="00F206EC" w:rsidRDefault="00004D36" w:rsidP="00A668C3">
      <w:pPr>
        <w:spacing w:line="360" w:lineRule="auto"/>
        <w:ind w:firstLine="851"/>
        <w:jc w:val="both"/>
        <w:rPr>
          <w:rFonts w:ascii="Arial" w:hAnsi="Arial" w:cs="Arial"/>
          <w:sz w:val="24"/>
          <w:szCs w:val="24"/>
        </w:rPr>
      </w:pPr>
      <w:r w:rsidRPr="0084367D">
        <w:rPr>
          <w:rFonts w:ascii="Arial" w:hAnsi="Arial" w:cs="Arial"/>
          <w:b/>
          <w:sz w:val="24"/>
          <w:szCs w:val="24"/>
        </w:rPr>
        <w:t>Essas medidas</w:t>
      </w:r>
      <w:r>
        <w:rPr>
          <w:rFonts w:ascii="Arial" w:hAnsi="Arial" w:cs="Arial"/>
          <w:sz w:val="24"/>
          <w:szCs w:val="24"/>
        </w:rPr>
        <w:t xml:space="preserve">, em especial aquelas especificadas nos arts. 2º e 3º </w:t>
      </w:r>
      <w:r w:rsidR="00334F28">
        <w:rPr>
          <w:rFonts w:ascii="Arial" w:hAnsi="Arial" w:cs="Arial"/>
          <w:sz w:val="24"/>
          <w:szCs w:val="24"/>
        </w:rPr>
        <w:t xml:space="preserve">e no Anexo Único </w:t>
      </w:r>
      <w:r>
        <w:rPr>
          <w:rFonts w:ascii="Arial" w:hAnsi="Arial" w:cs="Arial"/>
          <w:sz w:val="24"/>
          <w:szCs w:val="24"/>
        </w:rPr>
        <w:t xml:space="preserve">da </w:t>
      </w:r>
      <w:r w:rsidRPr="00C9010F">
        <w:rPr>
          <w:rFonts w:ascii="Arial" w:hAnsi="Arial" w:cs="Arial"/>
          <w:sz w:val="24"/>
          <w:szCs w:val="24"/>
        </w:rPr>
        <w:t>20.367/2018</w:t>
      </w:r>
      <w:r>
        <w:rPr>
          <w:rFonts w:ascii="Arial" w:hAnsi="Arial" w:cs="Arial"/>
          <w:sz w:val="24"/>
          <w:szCs w:val="24"/>
        </w:rPr>
        <w:t xml:space="preserve">, </w:t>
      </w:r>
      <w:r w:rsidRPr="0084367D">
        <w:rPr>
          <w:rFonts w:ascii="Arial" w:hAnsi="Arial" w:cs="Arial"/>
          <w:b/>
          <w:sz w:val="24"/>
          <w:szCs w:val="24"/>
        </w:rPr>
        <w:t xml:space="preserve">resultarão </w:t>
      </w:r>
      <w:r w:rsidR="00700107" w:rsidRPr="00C22FB2">
        <w:rPr>
          <w:rFonts w:ascii="Arial" w:hAnsi="Arial" w:cs="Arial"/>
          <w:b/>
          <w:sz w:val="24"/>
          <w:szCs w:val="24"/>
        </w:rPr>
        <w:t>em significativo</w:t>
      </w:r>
      <w:r w:rsidRPr="00C22FB2">
        <w:rPr>
          <w:rFonts w:ascii="Arial" w:hAnsi="Arial" w:cs="Arial"/>
          <w:b/>
          <w:sz w:val="24"/>
          <w:szCs w:val="24"/>
        </w:rPr>
        <w:t xml:space="preserve"> </w:t>
      </w:r>
      <w:r w:rsidR="00700107" w:rsidRPr="00C22FB2">
        <w:rPr>
          <w:rFonts w:ascii="Arial" w:hAnsi="Arial" w:cs="Arial"/>
          <w:b/>
          <w:sz w:val="24"/>
          <w:szCs w:val="24"/>
        </w:rPr>
        <w:t>ganho</w:t>
      </w:r>
      <w:r w:rsidRPr="00C22FB2">
        <w:rPr>
          <w:rFonts w:ascii="Arial" w:hAnsi="Arial" w:cs="Arial"/>
          <w:b/>
          <w:sz w:val="24"/>
          <w:szCs w:val="24"/>
        </w:rPr>
        <w:t xml:space="preserve"> </w:t>
      </w:r>
      <w:r w:rsidR="009A2BF2" w:rsidRPr="00C22FB2">
        <w:rPr>
          <w:rFonts w:ascii="Arial" w:hAnsi="Arial" w:cs="Arial"/>
          <w:b/>
          <w:sz w:val="24"/>
          <w:szCs w:val="24"/>
        </w:rPr>
        <w:t>aos</w:t>
      </w:r>
      <w:r w:rsidR="009A2BF2" w:rsidRPr="005D7050">
        <w:rPr>
          <w:rFonts w:ascii="Arial" w:hAnsi="Arial" w:cs="Arial"/>
          <w:b/>
          <w:sz w:val="24"/>
          <w:szCs w:val="24"/>
        </w:rPr>
        <w:t xml:space="preserve"> cofres públicos estaduais</w:t>
      </w:r>
      <w:r w:rsidR="009A2BF2">
        <w:rPr>
          <w:rFonts w:ascii="Arial" w:hAnsi="Arial" w:cs="Arial"/>
          <w:sz w:val="24"/>
          <w:szCs w:val="24"/>
        </w:rPr>
        <w:t>, tendo em vista que não houve a reinstituição pura e simples de todos os incentivos fiscais: alguns nem sequer foram reinstituídos, e alguns dos que foram reinstituídos sofreram alterações (mais precisamente, redução no montante do benefício)</w:t>
      </w:r>
      <w:r w:rsidR="00AC042A">
        <w:rPr>
          <w:rFonts w:ascii="Arial" w:hAnsi="Arial" w:cs="Arial"/>
          <w:sz w:val="24"/>
          <w:szCs w:val="24"/>
        </w:rPr>
        <w:t>, principalmente no tocante aos denominados “créditos outorgados”,</w:t>
      </w:r>
      <w:r w:rsidR="009A2BF2">
        <w:rPr>
          <w:rFonts w:ascii="Arial" w:hAnsi="Arial" w:cs="Arial"/>
          <w:sz w:val="24"/>
          <w:szCs w:val="24"/>
        </w:rPr>
        <w:t xml:space="preserve"> de modo a incrementar a arrecadação de receitas tributárias.</w:t>
      </w:r>
    </w:p>
    <w:p w14:paraId="1245DC5F" w14:textId="242C052E" w:rsidR="00D3613E" w:rsidRDefault="00D3613E" w:rsidP="00A668C3">
      <w:pPr>
        <w:spacing w:line="360" w:lineRule="auto"/>
        <w:ind w:firstLine="851"/>
        <w:jc w:val="both"/>
        <w:rPr>
          <w:rFonts w:ascii="Arial" w:hAnsi="Arial" w:cs="Arial"/>
          <w:sz w:val="24"/>
          <w:szCs w:val="24"/>
        </w:rPr>
      </w:pPr>
      <w:r>
        <w:rPr>
          <w:rFonts w:ascii="Arial" w:hAnsi="Arial" w:cs="Arial"/>
          <w:sz w:val="24"/>
          <w:szCs w:val="24"/>
        </w:rPr>
        <w:t xml:space="preserve">O </w:t>
      </w:r>
      <w:r w:rsidRPr="00F63B84">
        <w:rPr>
          <w:rFonts w:ascii="Arial" w:hAnsi="Arial" w:cs="Arial"/>
          <w:b/>
          <w:sz w:val="24"/>
          <w:szCs w:val="24"/>
        </w:rPr>
        <w:t>relatório</w:t>
      </w:r>
      <w:r>
        <w:rPr>
          <w:rFonts w:ascii="Arial" w:hAnsi="Arial" w:cs="Arial"/>
          <w:sz w:val="24"/>
          <w:szCs w:val="24"/>
        </w:rPr>
        <w:t xml:space="preserve"> do então Deputado Lívio Luciano, relator do </w:t>
      </w:r>
      <w:r w:rsidRPr="00F63B84">
        <w:rPr>
          <w:rFonts w:ascii="Arial" w:hAnsi="Arial" w:cs="Arial"/>
          <w:b/>
          <w:sz w:val="24"/>
          <w:szCs w:val="24"/>
        </w:rPr>
        <w:t>projeto de lei</w:t>
      </w:r>
      <w:r>
        <w:rPr>
          <w:rFonts w:ascii="Arial" w:hAnsi="Arial" w:cs="Arial"/>
          <w:sz w:val="24"/>
          <w:szCs w:val="24"/>
        </w:rPr>
        <w:t xml:space="preserve"> que deu origem àquele diploma legal (</w:t>
      </w:r>
      <w:r w:rsidRPr="00F63B84">
        <w:rPr>
          <w:rFonts w:ascii="Arial" w:hAnsi="Arial" w:cs="Arial"/>
          <w:b/>
          <w:sz w:val="24"/>
          <w:szCs w:val="24"/>
        </w:rPr>
        <w:t xml:space="preserve">nº </w:t>
      </w:r>
      <w:r w:rsidR="005D5FA5" w:rsidRPr="00F63B84">
        <w:rPr>
          <w:rFonts w:ascii="Arial" w:hAnsi="Arial" w:cs="Arial"/>
          <w:b/>
          <w:sz w:val="24"/>
          <w:szCs w:val="24"/>
        </w:rPr>
        <w:t>2018005070</w:t>
      </w:r>
      <w:r>
        <w:rPr>
          <w:rFonts w:ascii="Arial" w:hAnsi="Arial" w:cs="Arial"/>
          <w:sz w:val="24"/>
          <w:szCs w:val="24"/>
        </w:rPr>
        <w:t>)</w:t>
      </w:r>
      <w:r w:rsidR="005D5FA5">
        <w:rPr>
          <w:rFonts w:ascii="Arial" w:hAnsi="Arial" w:cs="Arial"/>
          <w:sz w:val="24"/>
          <w:szCs w:val="24"/>
        </w:rPr>
        <w:t xml:space="preserve">, bem contextualiza </w:t>
      </w:r>
      <w:r w:rsidR="00F63B84">
        <w:rPr>
          <w:rFonts w:ascii="Arial" w:hAnsi="Arial" w:cs="Arial"/>
          <w:sz w:val="24"/>
          <w:szCs w:val="24"/>
        </w:rPr>
        <w:t xml:space="preserve">o cenário econômico e financeiro do Estado e </w:t>
      </w:r>
      <w:r w:rsidR="005D5FA5">
        <w:rPr>
          <w:rFonts w:ascii="Arial" w:hAnsi="Arial" w:cs="Arial"/>
          <w:sz w:val="24"/>
          <w:szCs w:val="24"/>
        </w:rPr>
        <w:t>as mudanças efetuadas na legislação goiana a respeito</w:t>
      </w:r>
      <w:r w:rsidR="00334F28">
        <w:rPr>
          <w:rFonts w:ascii="Arial" w:hAnsi="Arial" w:cs="Arial"/>
          <w:sz w:val="24"/>
          <w:szCs w:val="24"/>
        </w:rPr>
        <w:t>:</w:t>
      </w:r>
    </w:p>
    <w:p w14:paraId="5F2C68EF" w14:textId="1BF7654A" w:rsidR="00334F28" w:rsidRDefault="00334F28" w:rsidP="00A668C3">
      <w:pPr>
        <w:spacing w:line="360" w:lineRule="auto"/>
        <w:ind w:firstLine="851"/>
        <w:jc w:val="both"/>
        <w:rPr>
          <w:rFonts w:ascii="Arial" w:hAnsi="Arial" w:cs="Arial"/>
          <w:sz w:val="24"/>
          <w:szCs w:val="24"/>
        </w:rPr>
      </w:pPr>
    </w:p>
    <w:p w14:paraId="7967FECD" w14:textId="706A32F2" w:rsidR="005D5FA5" w:rsidRPr="005D5FA5" w:rsidRDefault="005D5FA5" w:rsidP="001A04C9">
      <w:pPr>
        <w:ind w:left="2268"/>
        <w:jc w:val="both"/>
        <w:rPr>
          <w:rFonts w:ascii="Arial" w:hAnsi="Arial" w:cs="Arial"/>
          <w:sz w:val="22"/>
          <w:szCs w:val="22"/>
        </w:rPr>
      </w:pPr>
      <w:r w:rsidRPr="005D5FA5">
        <w:rPr>
          <w:rFonts w:ascii="Arial" w:hAnsi="Arial" w:cs="Arial"/>
          <w:sz w:val="22"/>
          <w:szCs w:val="22"/>
        </w:rPr>
        <w:t xml:space="preserve">Quanto ao </w:t>
      </w:r>
      <w:r w:rsidRPr="005D5FA5">
        <w:rPr>
          <w:rFonts w:ascii="Arial" w:hAnsi="Arial" w:cs="Arial"/>
          <w:b/>
          <w:sz w:val="22"/>
          <w:szCs w:val="22"/>
        </w:rPr>
        <w:t>mérito</w:t>
      </w:r>
      <w:r w:rsidRPr="005D5FA5">
        <w:rPr>
          <w:rFonts w:ascii="Arial" w:hAnsi="Arial" w:cs="Arial"/>
          <w:sz w:val="22"/>
          <w:szCs w:val="22"/>
        </w:rPr>
        <w:t>, percebe-se que esta propositura pretende reinstituir</w:t>
      </w:r>
      <w:r>
        <w:rPr>
          <w:rFonts w:ascii="Arial" w:hAnsi="Arial" w:cs="Arial"/>
          <w:sz w:val="22"/>
          <w:szCs w:val="22"/>
        </w:rPr>
        <w:t xml:space="preserve"> </w:t>
      </w:r>
      <w:r w:rsidRPr="005D5FA5">
        <w:rPr>
          <w:rFonts w:ascii="Arial" w:hAnsi="Arial" w:cs="Arial"/>
          <w:sz w:val="22"/>
          <w:szCs w:val="22"/>
        </w:rPr>
        <w:t>benefícios ou incentivos fiscais relativos ao ICMS, outrora instituídos em desacordo com a Lei</w:t>
      </w:r>
      <w:r>
        <w:rPr>
          <w:rFonts w:ascii="Arial" w:hAnsi="Arial" w:cs="Arial"/>
          <w:sz w:val="22"/>
          <w:szCs w:val="22"/>
        </w:rPr>
        <w:t xml:space="preserve"> Complementar Federal (LCF) nº </w:t>
      </w:r>
      <w:r w:rsidRPr="005D5FA5">
        <w:rPr>
          <w:rFonts w:ascii="Arial" w:hAnsi="Arial" w:cs="Arial"/>
          <w:iCs/>
          <w:sz w:val="22"/>
          <w:szCs w:val="22"/>
        </w:rPr>
        <w:t>24/1975</w:t>
      </w:r>
      <w:r w:rsidRPr="005D5FA5">
        <w:rPr>
          <w:rFonts w:ascii="Arial" w:hAnsi="Arial" w:cs="Arial"/>
          <w:i/>
          <w:iCs/>
          <w:sz w:val="22"/>
          <w:szCs w:val="22"/>
        </w:rPr>
        <w:t xml:space="preserve">, </w:t>
      </w:r>
      <w:r w:rsidRPr="005D5FA5">
        <w:rPr>
          <w:rFonts w:ascii="Arial" w:hAnsi="Arial" w:cs="Arial"/>
          <w:sz w:val="22"/>
          <w:szCs w:val="22"/>
        </w:rPr>
        <w:t>os quais se encontram exaustivamente listados no</w:t>
      </w:r>
      <w:r>
        <w:rPr>
          <w:rFonts w:ascii="Arial" w:hAnsi="Arial" w:cs="Arial"/>
          <w:sz w:val="22"/>
          <w:szCs w:val="22"/>
        </w:rPr>
        <w:t xml:space="preserve"> </w:t>
      </w:r>
      <w:r w:rsidRPr="005D5FA5">
        <w:rPr>
          <w:rFonts w:ascii="Arial" w:hAnsi="Arial" w:cs="Arial"/>
          <w:sz w:val="22"/>
          <w:szCs w:val="22"/>
        </w:rPr>
        <w:t>Anexo Único constante deste projeto de lei, que arrola 428 (quatrocentos e vinte e oito) atos</w:t>
      </w:r>
      <w:r>
        <w:rPr>
          <w:rFonts w:ascii="Arial" w:hAnsi="Arial" w:cs="Arial"/>
          <w:sz w:val="22"/>
          <w:szCs w:val="22"/>
        </w:rPr>
        <w:t xml:space="preserve"> </w:t>
      </w:r>
      <w:r w:rsidRPr="005D5FA5">
        <w:rPr>
          <w:rFonts w:ascii="Arial" w:hAnsi="Arial" w:cs="Arial"/>
          <w:sz w:val="22"/>
          <w:szCs w:val="22"/>
        </w:rPr>
        <w:t>normativos, dentre leis e decretos, que concederam referidos benefícios e incentivos fiscais.</w:t>
      </w:r>
    </w:p>
    <w:p w14:paraId="4A2BDBEC" w14:textId="616ED044" w:rsidR="005D5FA5" w:rsidRPr="000F2BEF" w:rsidRDefault="005D5FA5" w:rsidP="001A04C9">
      <w:pPr>
        <w:ind w:left="2268"/>
        <w:jc w:val="both"/>
        <w:rPr>
          <w:rFonts w:ascii="Arial" w:hAnsi="Arial" w:cs="Arial"/>
          <w:b/>
          <w:sz w:val="22"/>
          <w:szCs w:val="22"/>
        </w:rPr>
      </w:pPr>
      <w:r w:rsidRPr="005D5FA5">
        <w:rPr>
          <w:rFonts w:ascii="Arial" w:hAnsi="Arial" w:cs="Arial"/>
          <w:sz w:val="22"/>
          <w:szCs w:val="22"/>
        </w:rPr>
        <w:t xml:space="preserve">Analisando a proposta </w:t>
      </w:r>
      <w:r w:rsidRPr="000F2BEF">
        <w:rPr>
          <w:rFonts w:ascii="Arial" w:hAnsi="Arial" w:cs="Arial"/>
          <w:sz w:val="22"/>
          <w:szCs w:val="22"/>
          <w:u w:val="single"/>
        </w:rPr>
        <w:t>verifica-se a necessidade de proceder a ajustes ao projeto de forma a adequá-lo à realidade financeira do Estado, possibilitando o aumento da receita estadual e, consequentemente, a redução do déficit orçamentário, situação esta que impõe a revisão dos benefícios tributários</w:t>
      </w:r>
      <w:r w:rsidR="000F2BEF">
        <w:rPr>
          <w:rFonts w:ascii="Arial" w:hAnsi="Arial" w:cs="Arial"/>
          <w:sz w:val="22"/>
          <w:szCs w:val="22"/>
        </w:rPr>
        <w:t>.</w:t>
      </w:r>
    </w:p>
    <w:p w14:paraId="380E2B46" w14:textId="4A71B648" w:rsidR="005D5FA5" w:rsidRPr="005D5FA5" w:rsidRDefault="005D5FA5" w:rsidP="001A04C9">
      <w:pPr>
        <w:ind w:left="2268"/>
        <w:jc w:val="both"/>
        <w:rPr>
          <w:rFonts w:ascii="Arial" w:hAnsi="Arial" w:cs="Arial"/>
          <w:sz w:val="22"/>
          <w:szCs w:val="22"/>
        </w:rPr>
      </w:pPr>
      <w:r w:rsidRPr="000F2BEF">
        <w:rPr>
          <w:rFonts w:ascii="Arial" w:hAnsi="Arial" w:cs="Arial"/>
          <w:sz w:val="22"/>
          <w:szCs w:val="22"/>
          <w:u w:val="single"/>
        </w:rPr>
        <w:t>Um primeiro aspecto da proposta trata da revisão dos percentuais a serem aplicados sobre os Créditos Outorgados</w:t>
      </w:r>
      <w:r w:rsidRPr="005D5FA5">
        <w:rPr>
          <w:rFonts w:ascii="Arial" w:hAnsi="Arial" w:cs="Arial"/>
          <w:sz w:val="22"/>
          <w:szCs w:val="22"/>
        </w:rPr>
        <w:t>, ou seja, o valor que o contribuinte pode escriturar</w:t>
      </w:r>
      <w:r>
        <w:rPr>
          <w:rFonts w:ascii="Arial" w:hAnsi="Arial" w:cs="Arial"/>
          <w:sz w:val="22"/>
          <w:szCs w:val="22"/>
        </w:rPr>
        <w:t xml:space="preserve"> </w:t>
      </w:r>
      <w:r w:rsidRPr="005D5FA5">
        <w:rPr>
          <w:rFonts w:ascii="Arial" w:hAnsi="Arial" w:cs="Arial"/>
          <w:sz w:val="22"/>
          <w:szCs w:val="22"/>
        </w:rPr>
        <w:t>como crédito a ser compensado com o débito do imposto referente às suas operações, em</w:t>
      </w:r>
      <w:r>
        <w:rPr>
          <w:rFonts w:ascii="Arial" w:hAnsi="Arial" w:cs="Arial"/>
          <w:sz w:val="22"/>
          <w:szCs w:val="22"/>
        </w:rPr>
        <w:t xml:space="preserve"> </w:t>
      </w:r>
      <w:r w:rsidRPr="005D5FA5">
        <w:rPr>
          <w:rFonts w:ascii="Arial" w:hAnsi="Arial" w:cs="Arial"/>
          <w:sz w:val="22"/>
          <w:szCs w:val="22"/>
        </w:rPr>
        <w:t>adição aos créditos relacionados à não-cumulatividade do imposto. Nesse caso é calculada a</w:t>
      </w:r>
      <w:r>
        <w:rPr>
          <w:rFonts w:ascii="Arial" w:hAnsi="Arial" w:cs="Arial"/>
          <w:sz w:val="22"/>
          <w:szCs w:val="22"/>
        </w:rPr>
        <w:t xml:space="preserve"> </w:t>
      </w:r>
      <w:r w:rsidRPr="005D5FA5">
        <w:rPr>
          <w:rFonts w:ascii="Arial" w:hAnsi="Arial" w:cs="Arial"/>
          <w:sz w:val="22"/>
          <w:szCs w:val="22"/>
        </w:rPr>
        <w:t>aplicação de uma alíquota sobre a base de cálculo do imposto devido na operação ou na</w:t>
      </w:r>
      <w:r>
        <w:rPr>
          <w:rFonts w:ascii="Arial" w:hAnsi="Arial" w:cs="Arial"/>
          <w:sz w:val="22"/>
          <w:szCs w:val="22"/>
        </w:rPr>
        <w:t xml:space="preserve"> </w:t>
      </w:r>
      <w:r w:rsidRPr="005D5FA5">
        <w:rPr>
          <w:rFonts w:ascii="Arial" w:hAnsi="Arial" w:cs="Arial"/>
          <w:sz w:val="22"/>
          <w:szCs w:val="22"/>
        </w:rPr>
        <w:t>forma de montante fixo.</w:t>
      </w:r>
    </w:p>
    <w:p w14:paraId="4014D525" w14:textId="612EE048" w:rsidR="005D5FA5" w:rsidRPr="005D5FA5" w:rsidRDefault="005D5FA5" w:rsidP="001A04C9">
      <w:pPr>
        <w:ind w:left="2268"/>
        <w:jc w:val="both"/>
        <w:rPr>
          <w:rFonts w:ascii="Arial" w:hAnsi="Arial" w:cs="Arial"/>
          <w:sz w:val="22"/>
          <w:szCs w:val="22"/>
        </w:rPr>
      </w:pPr>
      <w:r w:rsidRPr="000F2BEF">
        <w:rPr>
          <w:rFonts w:ascii="Arial" w:hAnsi="Arial" w:cs="Arial"/>
          <w:sz w:val="22"/>
          <w:szCs w:val="22"/>
          <w:u w:val="single"/>
        </w:rPr>
        <w:t xml:space="preserve">Com o intuito de ajustar o volume de créditos outorgados estão sendo propostos novos limites para esses descontos, bem como, corrigidas </w:t>
      </w:r>
      <w:r w:rsidRPr="000F2BEF">
        <w:rPr>
          <w:rFonts w:ascii="Arial" w:hAnsi="Arial" w:cs="Arial"/>
          <w:sz w:val="22"/>
          <w:szCs w:val="22"/>
          <w:u w:val="single"/>
        </w:rPr>
        <w:lastRenderedPageBreak/>
        <w:t>distorções relativas à base de cálculo do ICMS, que possibilitavam a acumulação de créditos e por consequência a redução da arrecadação tributária do Estado</w:t>
      </w:r>
      <w:r w:rsidRPr="005D5FA5">
        <w:rPr>
          <w:rFonts w:ascii="Arial" w:hAnsi="Arial" w:cs="Arial"/>
          <w:sz w:val="22"/>
          <w:szCs w:val="22"/>
        </w:rPr>
        <w:t>.</w:t>
      </w:r>
    </w:p>
    <w:p w14:paraId="2666F660" w14:textId="16991EFD" w:rsidR="005D5FA5" w:rsidRDefault="005D5FA5" w:rsidP="001A04C9">
      <w:pPr>
        <w:ind w:left="2268"/>
        <w:jc w:val="both"/>
        <w:rPr>
          <w:rFonts w:ascii="Arial" w:hAnsi="Arial" w:cs="Arial"/>
          <w:sz w:val="22"/>
          <w:szCs w:val="22"/>
        </w:rPr>
      </w:pPr>
      <w:r w:rsidRPr="005D5FA5">
        <w:rPr>
          <w:rFonts w:ascii="Arial" w:hAnsi="Arial" w:cs="Arial"/>
          <w:sz w:val="22"/>
          <w:szCs w:val="22"/>
        </w:rPr>
        <w:t>A tabela abaixo resume os principais ajustes propostos e correspondentes</w:t>
      </w:r>
      <w:r>
        <w:rPr>
          <w:rFonts w:ascii="Arial" w:hAnsi="Arial" w:cs="Arial"/>
          <w:sz w:val="22"/>
          <w:szCs w:val="22"/>
        </w:rPr>
        <w:t xml:space="preserve"> </w:t>
      </w:r>
      <w:r w:rsidRPr="005D5FA5">
        <w:rPr>
          <w:rFonts w:ascii="Arial" w:hAnsi="Arial" w:cs="Arial"/>
          <w:sz w:val="22"/>
          <w:szCs w:val="22"/>
        </w:rPr>
        <w:t>alterações nos percentuais do valor do crédito outorgado concedido.</w:t>
      </w:r>
    </w:p>
    <w:p w14:paraId="0B469B24" w14:textId="31E66621" w:rsidR="005D5FA5" w:rsidRDefault="005D5FA5" w:rsidP="001A04C9">
      <w:pPr>
        <w:ind w:left="2268"/>
        <w:jc w:val="both"/>
        <w:rPr>
          <w:rFonts w:ascii="Arial" w:hAnsi="Arial" w:cs="Arial"/>
          <w:sz w:val="22"/>
          <w:szCs w:val="22"/>
        </w:rPr>
      </w:pPr>
      <w:r>
        <w:rPr>
          <w:rFonts w:ascii="Arial" w:hAnsi="Arial" w:cs="Arial"/>
          <w:sz w:val="22"/>
          <w:szCs w:val="22"/>
        </w:rPr>
        <w:t>[...].</w:t>
      </w:r>
    </w:p>
    <w:p w14:paraId="25D341E6" w14:textId="71C674B6" w:rsidR="005D5FA5" w:rsidRDefault="005D5FA5" w:rsidP="001A04C9">
      <w:pPr>
        <w:ind w:left="2268"/>
        <w:jc w:val="both"/>
        <w:rPr>
          <w:rFonts w:ascii="Arial" w:hAnsi="Arial" w:cs="Arial"/>
          <w:sz w:val="22"/>
          <w:szCs w:val="22"/>
        </w:rPr>
      </w:pPr>
      <w:r w:rsidRPr="000F2BEF">
        <w:rPr>
          <w:rFonts w:ascii="Arial" w:hAnsi="Arial" w:cs="Arial"/>
          <w:sz w:val="22"/>
          <w:szCs w:val="22"/>
          <w:u w:val="single"/>
        </w:rPr>
        <w:t>A maior parcela dos incentivos tributários decorre dos créditos outorgados, que atingiram R$ 3,89 bilhões, em 2017, aproximadamente 26% da receita efetivamente arrecadada com o ICMS no mesmo período</w:t>
      </w:r>
      <w:r w:rsidRPr="005D5FA5">
        <w:rPr>
          <w:rFonts w:ascii="Arial" w:hAnsi="Arial" w:cs="Arial"/>
          <w:sz w:val="22"/>
          <w:szCs w:val="22"/>
        </w:rPr>
        <w:t>. Nesse ponto, os créditos outorgados se</w:t>
      </w:r>
      <w:r>
        <w:rPr>
          <w:rFonts w:ascii="Arial" w:hAnsi="Arial" w:cs="Arial"/>
          <w:sz w:val="22"/>
          <w:szCs w:val="22"/>
        </w:rPr>
        <w:t xml:space="preserve"> </w:t>
      </w:r>
      <w:r w:rsidRPr="005D5FA5">
        <w:rPr>
          <w:rFonts w:ascii="Arial" w:hAnsi="Arial" w:cs="Arial"/>
          <w:sz w:val="22"/>
          <w:szCs w:val="22"/>
        </w:rPr>
        <w:t>diferenciam dos benefícios financeiros do FOMENTAR/PRODUZIR, por não estabelecerem,</w:t>
      </w:r>
      <w:r>
        <w:rPr>
          <w:rFonts w:ascii="Arial" w:hAnsi="Arial" w:cs="Arial"/>
          <w:sz w:val="22"/>
          <w:szCs w:val="22"/>
        </w:rPr>
        <w:t xml:space="preserve"> </w:t>
      </w:r>
      <w:r w:rsidRPr="005D5FA5">
        <w:rPr>
          <w:rFonts w:ascii="Arial" w:hAnsi="Arial" w:cs="Arial"/>
          <w:sz w:val="22"/>
          <w:szCs w:val="22"/>
        </w:rPr>
        <w:t>salvo raras exceções, compromissos ou contrapartidas empresariais voltadas à realização de</w:t>
      </w:r>
      <w:r>
        <w:rPr>
          <w:rFonts w:ascii="Arial" w:hAnsi="Arial" w:cs="Arial"/>
          <w:sz w:val="22"/>
          <w:szCs w:val="22"/>
        </w:rPr>
        <w:t xml:space="preserve"> </w:t>
      </w:r>
      <w:r w:rsidRPr="005D5FA5">
        <w:rPr>
          <w:rFonts w:ascii="Arial" w:hAnsi="Arial" w:cs="Arial"/>
          <w:sz w:val="22"/>
          <w:szCs w:val="22"/>
        </w:rPr>
        <w:t>investimentos ou geração de emprego e renda.</w:t>
      </w:r>
    </w:p>
    <w:p w14:paraId="657854E3" w14:textId="000D6C4D" w:rsidR="00287EDB" w:rsidRDefault="00287EDB" w:rsidP="001A04C9">
      <w:pPr>
        <w:ind w:left="2268"/>
        <w:jc w:val="both"/>
        <w:rPr>
          <w:rFonts w:ascii="Arial" w:hAnsi="Arial" w:cs="Arial"/>
          <w:sz w:val="22"/>
          <w:szCs w:val="22"/>
        </w:rPr>
      </w:pPr>
      <w:r>
        <w:rPr>
          <w:rFonts w:ascii="Arial" w:hAnsi="Arial" w:cs="Arial"/>
          <w:sz w:val="22"/>
          <w:szCs w:val="22"/>
        </w:rPr>
        <w:t>[...].</w:t>
      </w:r>
    </w:p>
    <w:p w14:paraId="0F468184" w14:textId="53827159" w:rsidR="00287EDB" w:rsidRPr="00287EDB" w:rsidRDefault="00287EDB" w:rsidP="001A04C9">
      <w:pPr>
        <w:ind w:left="2268"/>
        <w:jc w:val="both"/>
        <w:rPr>
          <w:rFonts w:ascii="Arial" w:hAnsi="Arial" w:cs="Arial"/>
          <w:sz w:val="22"/>
          <w:szCs w:val="22"/>
        </w:rPr>
      </w:pPr>
      <w:r w:rsidRPr="000F2BEF">
        <w:rPr>
          <w:rFonts w:ascii="Arial" w:hAnsi="Arial" w:cs="Arial"/>
          <w:sz w:val="22"/>
          <w:szCs w:val="22"/>
          <w:u w:val="single"/>
        </w:rPr>
        <w:t>A prática tributária adotada ao longo dos últimos anos estabeleceu um razoável volume de benefícios para determinados setores econômicos ou produtos</w:t>
      </w:r>
      <w:r w:rsidRPr="00287EDB">
        <w:rPr>
          <w:rFonts w:ascii="Arial" w:hAnsi="Arial" w:cs="Arial"/>
          <w:sz w:val="22"/>
          <w:szCs w:val="22"/>
        </w:rPr>
        <w:t>. Devendo resultar</w:t>
      </w:r>
      <w:r>
        <w:rPr>
          <w:rFonts w:ascii="Arial" w:hAnsi="Arial" w:cs="Arial"/>
          <w:sz w:val="22"/>
          <w:szCs w:val="22"/>
        </w:rPr>
        <w:t xml:space="preserve"> </w:t>
      </w:r>
      <w:r w:rsidRPr="00287EDB">
        <w:rPr>
          <w:rFonts w:ascii="Arial" w:hAnsi="Arial" w:cs="Arial"/>
          <w:sz w:val="22"/>
          <w:szCs w:val="22"/>
        </w:rPr>
        <w:t>dessa política a expansão, diversificação ou modernização de setores econômicos, o aumento</w:t>
      </w:r>
      <w:r>
        <w:rPr>
          <w:rFonts w:ascii="Arial" w:hAnsi="Arial" w:cs="Arial"/>
          <w:sz w:val="22"/>
          <w:szCs w:val="22"/>
        </w:rPr>
        <w:t xml:space="preserve"> </w:t>
      </w:r>
      <w:r w:rsidRPr="00287EDB">
        <w:rPr>
          <w:rFonts w:ascii="Arial" w:hAnsi="Arial" w:cs="Arial"/>
          <w:sz w:val="22"/>
          <w:szCs w:val="22"/>
        </w:rPr>
        <w:t>da competividade em relação a outras unidades da Federação, a geração de emprego e renda</w:t>
      </w:r>
      <w:r>
        <w:rPr>
          <w:rFonts w:ascii="Arial" w:hAnsi="Arial" w:cs="Arial"/>
          <w:sz w:val="22"/>
          <w:szCs w:val="22"/>
        </w:rPr>
        <w:t xml:space="preserve"> </w:t>
      </w:r>
      <w:r w:rsidRPr="00287EDB">
        <w:rPr>
          <w:rFonts w:ascii="Arial" w:hAnsi="Arial" w:cs="Arial"/>
          <w:sz w:val="22"/>
          <w:szCs w:val="22"/>
        </w:rPr>
        <w:t>e o adensamento das cadeias produtivas.</w:t>
      </w:r>
    </w:p>
    <w:p w14:paraId="1E007FE5" w14:textId="4A35C0E6" w:rsidR="00287EDB" w:rsidRDefault="00287EDB" w:rsidP="001A04C9">
      <w:pPr>
        <w:ind w:left="2268"/>
        <w:jc w:val="both"/>
        <w:rPr>
          <w:rFonts w:ascii="Arial" w:hAnsi="Arial" w:cs="Arial"/>
          <w:sz w:val="22"/>
          <w:szCs w:val="22"/>
        </w:rPr>
      </w:pPr>
      <w:r w:rsidRPr="000F2BEF">
        <w:rPr>
          <w:rFonts w:ascii="Arial" w:hAnsi="Arial" w:cs="Arial"/>
          <w:sz w:val="22"/>
          <w:szCs w:val="22"/>
          <w:u w:val="single"/>
        </w:rPr>
        <w:t>Entretanto, o lado mais evidente desta política foi a perda da receita estadual</w:t>
      </w:r>
      <w:r w:rsidRPr="00287EDB">
        <w:rPr>
          <w:rFonts w:ascii="Arial" w:hAnsi="Arial" w:cs="Arial"/>
          <w:sz w:val="22"/>
          <w:szCs w:val="22"/>
        </w:rPr>
        <w:t>.</w:t>
      </w:r>
      <w:r>
        <w:rPr>
          <w:rFonts w:ascii="Arial" w:hAnsi="Arial" w:cs="Arial"/>
          <w:sz w:val="22"/>
          <w:szCs w:val="22"/>
        </w:rPr>
        <w:t xml:space="preserve"> </w:t>
      </w:r>
      <w:r w:rsidRPr="00287EDB">
        <w:rPr>
          <w:rFonts w:ascii="Arial" w:hAnsi="Arial" w:cs="Arial"/>
          <w:sz w:val="22"/>
          <w:szCs w:val="22"/>
        </w:rPr>
        <w:t>Se tomadas as renúncias tributárias totais de ICMS praticadas pelos estados e a sua</w:t>
      </w:r>
      <w:r>
        <w:rPr>
          <w:rFonts w:ascii="Arial" w:hAnsi="Arial" w:cs="Arial"/>
          <w:sz w:val="22"/>
          <w:szCs w:val="22"/>
        </w:rPr>
        <w:t xml:space="preserve"> </w:t>
      </w:r>
      <w:r w:rsidRPr="00287EDB">
        <w:rPr>
          <w:rFonts w:ascii="Arial" w:hAnsi="Arial" w:cs="Arial"/>
          <w:sz w:val="22"/>
          <w:szCs w:val="22"/>
        </w:rPr>
        <w:t xml:space="preserve">participação sobre a receita total arrecadada, conforme </w:t>
      </w:r>
      <w:r w:rsidRPr="000F2BEF">
        <w:rPr>
          <w:rFonts w:ascii="Arial" w:hAnsi="Arial" w:cs="Arial"/>
          <w:sz w:val="22"/>
          <w:szCs w:val="22"/>
          <w:u w:val="single"/>
        </w:rPr>
        <w:t>estudo realizado pela Federação, Brasileira de Associações de Fiscais de Tributos - FEBRACITE</w:t>
      </w:r>
      <w:r w:rsidRPr="00287EDB">
        <w:rPr>
          <w:rFonts w:ascii="Arial" w:hAnsi="Arial" w:cs="Arial"/>
          <w:sz w:val="22"/>
          <w:szCs w:val="22"/>
        </w:rPr>
        <w:t>, com base em dados de 2012,</w:t>
      </w:r>
      <w:r>
        <w:rPr>
          <w:rFonts w:ascii="Arial" w:hAnsi="Arial" w:cs="Arial"/>
          <w:sz w:val="22"/>
          <w:szCs w:val="22"/>
        </w:rPr>
        <w:t xml:space="preserve"> </w:t>
      </w:r>
      <w:r w:rsidRPr="00287EDB">
        <w:rPr>
          <w:rFonts w:ascii="Arial" w:hAnsi="Arial" w:cs="Arial"/>
          <w:sz w:val="22"/>
          <w:szCs w:val="22"/>
        </w:rPr>
        <w:t>Goiás se apresenta como o segundo estado brasileiro no ranking das renuncias tributárias em</w:t>
      </w:r>
      <w:r>
        <w:rPr>
          <w:rFonts w:ascii="Arial" w:hAnsi="Arial" w:cs="Arial"/>
          <w:sz w:val="22"/>
          <w:szCs w:val="22"/>
        </w:rPr>
        <w:t xml:space="preserve"> </w:t>
      </w:r>
      <w:r w:rsidRPr="00287EDB">
        <w:rPr>
          <w:rFonts w:ascii="Arial" w:hAnsi="Arial" w:cs="Arial"/>
          <w:sz w:val="22"/>
          <w:szCs w:val="22"/>
        </w:rPr>
        <w:t>relação à arrecadação de ICMS, atrás apenas do Amazonas, onde se situa a Zona Franca de</w:t>
      </w:r>
      <w:r>
        <w:rPr>
          <w:rFonts w:ascii="Arial" w:hAnsi="Arial" w:cs="Arial"/>
          <w:sz w:val="22"/>
          <w:szCs w:val="22"/>
        </w:rPr>
        <w:t xml:space="preserve"> </w:t>
      </w:r>
      <w:r w:rsidRPr="00287EDB">
        <w:rPr>
          <w:rFonts w:ascii="Arial" w:hAnsi="Arial" w:cs="Arial"/>
          <w:sz w:val="22"/>
          <w:szCs w:val="22"/>
        </w:rPr>
        <w:t>Manaus, que possui regime diferenciado de tributação. A média nacional apurada foi de 16,6%</w:t>
      </w:r>
      <w:r>
        <w:rPr>
          <w:rFonts w:ascii="Arial" w:hAnsi="Arial" w:cs="Arial"/>
          <w:sz w:val="22"/>
          <w:szCs w:val="22"/>
        </w:rPr>
        <w:t xml:space="preserve"> </w:t>
      </w:r>
      <w:r w:rsidRPr="00287EDB">
        <w:rPr>
          <w:rFonts w:ascii="Arial" w:hAnsi="Arial" w:cs="Arial"/>
          <w:sz w:val="22"/>
          <w:szCs w:val="22"/>
        </w:rPr>
        <w:t>de renúncias tributárias em relação à arrecadação do ICMS.</w:t>
      </w:r>
    </w:p>
    <w:p w14:paraId="4F7E00F2" w14:textId="3F0B3398" w:rsidR="005D5FA5" w:rsidRDefault="00287EDB" w:rsidP="001A04C9">
      <w:pPr>
        <w:ind w:left="2268"/>
        <w:jc w:val="both"/>
        <w:rPr>
          <w:rFonts w:ascii="Arial" w:hAnsi="Arial" w:cs="Arial"/>
          <w:sz w:val="22"/>
          <w:szCs w:val="22"/>
        </w:rPr>
      </w:pPr>
      <w:r>
        <w:rPr>
          <w:rFonts w:ascii="Arial" w:hAnsi="Arial" w:cs="Arial"/>
          <w:sz w:val="22"/>
          <w:szCs w:val="22"/>
        </w:rPr>
        <w:t>[...].</w:t>
      </w:r>
    </w:p>
    <w:p w14:paraId="2BC72A9B" w14:textId="7681BB71" w:rsidR="002539A2" w:rsidRDefault="002539A2" w:rsidP="001A04C9">
      <w:pPr>
        <w:ind w:left="2268"/>
        <w:jc w:val="both"/>
        <w:rPr>
          <w:rFonts w:ascii="Arial" w:hAnsi="Arial" w:cs="Arial"/>
          <w:sz w:val="22"/>
          <w:szCs w:val="22"/>
        </w:rPr>
      </w:pPr>
      <w:r w:rsidRPr="000F2BEF">
        <w:rPr>
          <w:rFonts w:ascii="Arial" w:hAnsi="Arial" w:cs="Arial"/>
          <w:sz w:val="22"/>
          <w:szCs w:val="22"/>
          <w:u w:val="single"/>
        </w:rPr>
        <w:t>Outro levantamento, com base em dados do Conselho Nacional de Política Fazendária - CONFAZ</w:t>
      </w:r>
      <w:r w:rsidRPr="002539A2">
        <w:rPr>
          <w:rFonts w:ascii="Arial" w:hAnsi="Arial" w:cs="Arial"/>
          <w:sz w:val="22"/>
          <w:szCs w:val="22"/>
        </w:rPr>
        <w:t>, considerando os estados que se situam na mesma faixa do PIS (6° ao</w:t>
      </w:r>
      <w:r>
        <w:rPr>
          <w:rFonts w:ascii="Arial" w:hAnsi="Arial" w:cs="Arial"/>
          <w:sz w:val="22"/>
          <w:szCs w:val="22"/>
        </w:rPr>
        <w:t xml:space="preserve"> </w:t>
      </w:r>
      <w:r w:rsidRPr="002539A2">
        <w:rPr>
          <w:rFonts w:ascii="Arial" w:hAnsi="Arial" w:cs="Arial"/>
          <w:sz w:val="22"/>
          <w:szCs w:val="22"/>
        </w:rPr>
        <w:t>14° colocado), aponta que, em 2014, Goiás ainda continuava em destaque pelo conjunto de</w:t>
      </w:r>
      <w:r>
        <w:rPr>
          <w:rFonts w:ascii="Arial" w:hAnsi="Arial" w:cs="Arial"/>
          <w:sz w:val="22"/>
          <w:szCs w:val="22"/>
        </w:rPr>
        <w:t xml:space="preserve"> incentivos fiscais oferecidos. Dentre esses estados, Goiás fica em primeiro lugar no volume, valor </w:t>
      </w:r>
      <w:r w:rsidRPr="002539A2">
        <w:rPr>
          <w:rFonts w:ascii="Arial" w:hAnsi="Arial" w:cs="Arial"/>
          <w:i/>
          <w:sz w:val="22"/>
          <w:szCs w:val="22"/>
        </w:rPr>
        <w:t>per capita</w:t>
      </w:r>
      <w:r>
        <w:rPr>
          <w:rFonts w:ascii="Arial" w:hAnsi="Arial" w:cs="Arial"/>
          <w:sz w:val="22"/>
          <w:szCs w:val="22"/>
        </w:rPr>
        <w:t>, e percentuais de renúncias fiscais sobre o Produto Interno Bruto – PIB.</w:t>
      </w:r>
    </w:p>
    <w:p w14:paraId="6A00CEE4" w14:textId="4F955E25" w:rsidR="00B81BE0" w:rsidRDefault="00B81BE0" w:rsidP="001A04C9">
      <w:pPr>
        <w:ind w:left="2268"/>
        <w:jc w:val="both"/>
        <w:rPr>
          <w:rFonts w:ascii="Arial" w:hAnsi="Arial" w:cs="Arial"/>
          <w:sz w:val="22"/>
          <w:szCs w:val="22"/>
        </w:rPr>
      </w:pPr>
      <w:r>
        <w:rPr>
          <w:rFonts w:ascii="Arial" w:hAnsi="Arial" w:cs="Arial"/>
          <w:sz w:val="22"/>
          <w:szCs w:val="22"/>
        </w:rPr>
        <w:t>[...].</w:t>
      </w:r>
    </w:p>
    <w:p w14:paraId="304986B6" w14:textId="288507C5" w:rsidR="00B81BE0" w:rsidRDefault="00B81BE0" w:rsidP="001A04C9">
      <w:pPr>
        <w:ind w:left="2268"/>
        <w:jc w:val="both"/>
        <w:rPr>
          <w:rFonts w:ascii="Arial" w:hAnsi="Arial" w:cs="Arial"/>
          <w:sz w:val="22"/>
          <w:szCs w:val="22"/>
        </w:rPr>
      </w:pPr>
      <w:r w:rsidRPr="000F2BEF">
        <w:rPr>
          <w:rFonts w:ascii="Arial" w:hAnsi="Arial" w:cs="Arial"/>
          <w:sz w:val="22"/>
          <w:szCs w:val="22"/>
          <w:u w:val="single"/>
        </w:rPr>
        <w:t>A presente proposta também atenua o déficit orçamentário do Estado</w:t>
      </w:r>
      <w:r>
        <w:rPr>
          <w:rFonts w:ascii="Arial" w:hAnsi="Arial" w:cs="Arial"/>
          <w:sz w:val="22"/>
          <w:szCs w:val="22"/>
        </w:rPr>
        <w:t xml:space="preserve"> e </w:t>
      </w:r>
      <w:r w:rsidRPr="00B81BE0">
        <w:rPr>
          <w:rFonts w:ascii="Arial" w:hAnsi="Arial" w:cs="Arial"/>
          <w:sz w:val="22"/>
          <w:szCs w:val="22"/>
        </w:rPr>
        <w:t>proporciona condições para a recuperação da sua capacidade financeira para honrar</w:t>
      </w:r>
      <w:r>
        <w:rPr>
          <w:rFonts w:ascii="Arial" w:hAnsi="Arial" w:cs="Arial"/>
          <w:sz w:val="22"/>
          <w:szCs w:val="22"/>
        </w:rPr>
        <w:t xml:space="preserve"> </w:t>
      </w:r>
      <w:r w:rsidRPr="00B81BE0">
        <w:rPr>
          <w:rFonts w:ascii="Arial" w:hAnsi="Arial" w:cs="Arial"/>
          <w:sz w:val="22"/>
          <w:szCs w:val="22"/>
        </w:rPr>
        <w:t>obrigações e realizar investimentos necessários ao bem estar da população.</w:t>
      </w:r>
    </w:p>
    <w:p w14:paraId="1287D2F5" w14:textId="23A041A3" w:rsidR="000F2BEF" w:rsidRDefault="000F2BEF" w:rsidP="001A04C9">
      <w:pPr>
        <w:ind w:left="2268"/>
        <w:jc w:val="both"/>
        <w:rPr>
          <w:rFonts w:ascii="Arial" w:hAnsi="Arial" w:cs="Arial"/>
          <w:sz w:val="22"/>
          <w:szCs w:val="22"/>
        </w:rPr>
      </w:pPr>
      <w:r>
        <w:rPr>
          <w:rFonts w:ascii="Arial" w:hAnsi="Arial" w:cs="Arial"/>
          <w:sz w:val="22"/>
          <w:szCs w:val="22"/>
        </w:rPr>
        <w:t>[...].</w:t>
      </w:r>
    </w:p>
    <w:p w14:paraId="74EC3B31" w14:textId="2E84596A" w:rsidR="00334F28" w:rsidRDefault="007F0444" w:rsidP="001A04C9">
      <w:pPr>
        <w:ind w:left="2268"/>
        <w:jc w:val="both"/>
        <w:rPr>
          <w:rFonts w:ascii="Arial" w:hAnsi="Arial" w:cs="Arial"/>
          <w:sz w:val="22"/>
          <w:szCs w:val="22"/>
        </w:rPr>
      </w:pPr>
      <w:r w:rsidRPr="000B4189">
        <w:rPr>
          <w:rFonts w:ascii="Arial" w:hAnsi="Arial" w:cs="Arial"/>
          <w:sz w:val="22"/>
          <w:szCs w:val="22"/>
          <w:u w:val="single"/>
        </w:rPr>
        <w:t>Os investimentos em relação ao volume dos créditos outorgados representam tão somente 22% dessa renúncia, prevista para 2019</w:t>
      </w:r>
      <w:r w:rsidRPr="007F0444">
        <w:rPr>
          <w:rFonts w:ascii="Arial" w:hAnsi="Arial" w:cs="Arial"/>
          <w:sz w:val="22"/>
          <w:szCs w:val="22"/>
        </w:rPr>
        <w:t>. A recuperação da capacidade de</w:t>
      </w:r>
      <w:r>
        <w:rPr>
          <w:rFonts w:ascii="Arial" w:hAnsi="Arial" w:cs="Arial"/>
          <w:sz w:val="22"/>
          <w:szCs w:val="22"/>
        </w:rPr>
        <w:t xml:space="preserve"> </w:t>
      </w:r>
      <w:r w:rsidRPr="007F0444">
        <w:rPr>
          <w:rFonts w:ascii="Arial" w:hAnsi="Arial" w:cs="Arial"/>
          <w:sz w:val="22"/>
          <w:szCs w:val="22"/>
        </w:rPr>
        <w:t>investir pelo Estado é premente e prescinde de novos ingressos. Assim a redução dos créditos</w:t>
      </w:r>
      <w:r>
        <w:rPr>
          <w:rFonts w:ascii="Arial" w:hAnsi="Arial" w:cs="Arial"/>
          <w:sz w:val="22"/>
          <w:szCs w:val="22"/>
        </w:rPr>
        <w:t xml:space="preserve"> </w:t>
      </w:r>
      <w:r w:rsidRPr="007F0444">
        <w:rPr>
          <w:rFonts w:ascii="Arial" w:hAnsi="Arial" w:cs="Arial"/>
          <w:sz w:val="22"/>
          <w:szCs w:val="22"/>
        </w:rPr>
        <w:t>outorgados,</w:t>
      </w:r>
      <w:r>
        <w:rPr>
          <w:rFonts w:ascii="Arial" w:hAnsi="Arial" w:cs="Arial"/>
          <w:sz w:val="22"/>
          <w:szCs w:val="22"/>
        </w:rPr>
        <w:t xml:space="preserve"> </w:t>
      </w:r>
      <w:r w:rsidRPr="007F0444">
        <w:rPr>
          <w:rFonts w:ascii="Arial" w:hAnsi="Arial" w:cs="Arial"/>
          <w:sz w:val="22"/>
          <w:szCs w:val="22"/>
        </w:rPr>
        <w:t>atualmente renunciados, e o seu retorno na forma originária, como receita</w:t>
      </w:r>
      <w:r>
        <w:rPr>
          <w:rFonts w:ascii="Arial" w:hAnsi="Arial" w:cs="Arial"/>
          <w:sz w:val="22"/>
          <w:szCs w:val="22"/>
        </w:rPr>
        <w:t xml:space="preserve"> </w:t>
      </w:r>
      <w:r w:rsidRPr="007F0444">
        <w:rPr>
          <w:rFonts w:ascii="Arial" w:hAnsi="Arial" w:cs="Arial"/>
          <w:sz w:val="22"/>
          <w:szCs w:val="22"/>
        </w:rPr>
        <w:t>pública, é fundamental para que o Estado possa financiar outras políticas públicas, em</w:t>
      </w:r>
      <w:r>
        <w:rPr>
          <w:rFonts w:ascii="Arial" w:hAnsi="Arial" w:cs="Arial"/>
          <w:sz w:val="22"/>
          <w:szCs w:val="22"/>
        </w:rPr>
        <w:t xml:space="preserve"> </w:t>
      </w:r>
      <w:r w:rsidRPr="007F0444">
        <w:rPr>
          <w:rFonts w:ascii="Arial" w:hAnsi="Arial" w:cs="Arial"/>
          <w:sz w:val="22"/>
          <w:szCs w:val="22"/>
        </w:rPr>
        <w:t>benefício da coletividade.</w:t>
      </w:r>
    </w:p>
    <w:p w14:paraId="36339372" w14:textId="0BFC9BA8" w:rsidR="00334F28" w:rsidRDefault="00334F28" w:rsidP="001A04C9">
      <w:pPr>
        <w:ind w:left="2268"/>
        <w:jc w:val="both"/>
        <w:rPr>
          <w:rFonts w:ascii="Arial" w:hAnsi="Arial" w:cs="Arial"/>
          <w:sz w:val="22"/>
          <w:szCs w:val="22"/>
        </w:rPr>
      </w:pPr>
      <w:r>
        <w:rPr>
          <w:rFonts w:ascii="Arial" w:hAnsi="Arial" w:cs="Arial"/>
          <w:sz w:val="22"/>
          <w:szCs w:val="22"/>
        </w:rPr>
        <w:t>[...].</w:t>
      </w:r>
    </w:p>
    <w:p w14:paraId="4A127B7A" w14:textId="747B97BE" w:rsidR="00334F28" w:rsidRPr="00F206EC" w:rsidRDefault="00334F28" w:rsidP="001A04C9">
      <w:pPr>
        <w:ind w:left="2268"/>
        <w:jc w:val="both"/>
        <w:rPr>
          <w:rFonts w:ascii="Arial" w:hAnsi="Arial" w:cs="Arial"/>
          <w:sz w:val="22"/>
          <w:szCs w:val="22"/>
        </w:rPr>
      </w:pPr>
      <w:r w:rsidRPr="00334F28">
        <w:rPr>
          <w:rFonts w:ascii="Arial" w:hAnsi="Arial" w:cs="Arial"/>
          <w:sz w:val="22"/>
          <w:szCs w:val="22"/>
        </w:rPr>
        <w:lastRenderedPageBreak/>
        <w:t xml:space="preserve">Pelos mesmos motivos acima expostos, </w:t>
      </w:r>
      <w:r w:rsidRPr="00711609">
        <w:rPr>
          <w:rFonts w:ascii="Arial" w:hAnsi="Arial" w:cs="Arial"/>
          <w:sz w:val="22"/>
          <w:szCs w:val="22"/>
          <w:u w:val="single"/>
        </w:rPr>
        <w:t>também está sendo proposto o estabelecimento da contribuição para o Fundo de Proteção Social do Estado de Goiás – PROTEGE GOIÁS</w:t>
      </w:r>
      <w:r w:rsidRPr="00334F28">
        <w:rPr>
          <w:rFonts w:ascii="Arial" w:hAnsi="Arial" w:cs="Arial"/>
          <w:sz w:val="22"/>
          <w:szCs w:val="22"/>
        </w:rPr>
        <w:t>, no equivalente a 15% do aplicado sobre o valor dos incentivos dos</w:t>
      </w:r>
      <w:r>
        <w:rPr>
          <w:rFonts w:ascii="Arial" w:hAnsi="Arial" w:cs="Arial"/>
          <w:sz w:val="22"/>
          <w:szCs w:val="22"/>
        </w:rPr>
        <w:t xml:space="preserve"> </w:t>
      </w:r>
      <w:r w:rsidRPr="00334F28">
        <w:rPr>
          <w:rFonts w:ascii="Arial" w:hAnsi="Arial" w:cs="Arial"/>
          <w:sz w:val="22"/>
          <w:szCs w:val="22"/>
        </w:rPr>
        <w:t>Programas FOMENTAR E PRODUZIR, previstos nas Leis n</w:t>
      </w:r>
      <w:r>
        <w:rPr>
          <w:rFonts w:ascii="Arial" w:hAnsi="Arial" w:cs="Arial"/>
          <w:sz w:val="22"/>
          <w:szCs w:val="22"/>
        </w:rPr>
        <w:t>º</w:t>
      </w:r>
      <w:r w:rsidRPr="00334F28">
        <w:rPr>
          <w:rFonts w:ascii="Arial" w:hAnsi="Arial" w:cs="Arial"/>
          <w:sz w:val="22"/>
          <w:szCs w:val="22"/>
        </w:rPr>
        <w:t xml:space="preserve"> 11.180/1990, 13.591/2000,</w:t>
      </w:r>
      <w:r>
        <w:rPr>
          <w:rFonts w:ascii="Arial" w:hAnsi="Arial" w:cs="Arial"/>
          <w:sz w:val="22"/>
          <w:szCs w:val="22"/>
        </w:rPr>
        <w:t xml:space="preserve"> </w:t>
      </w:r>
      <w:r w:rsidRPr="00334F28">
        <w:rPr>
          <w:rFonts w:ascii="Arial" w:hAnsi="Arial" w:cs="Arial"/>
          <w:sz w:val="22"/>
          <w:szCs w:val="22"/>
        </w:rPr>
        <w:t>13.844/2001, 14.244/2002, 15.939/2006 e legislação complementar.</w:t>
      </w:r>
      <w:r w:rsidR="000F2BEF">
        <w:rPr>
          <w:rFonts w:ascii="Arial" w:hAnsi="Arial" w:cs="Arial"/>
          <w:sz w:val="22"/>
          <w:szCs w:val="22"/>
        </w:rPr>
        <w:t xml:space="preserve"> [</w:t>
      </w:r>
      <w:r w:rsidR="00711609">
        <w:rPr>
          <w:rFonts w:ascii="Arial" w:hAnsi="Arial" w:cs="Arial"/>
          <w:sz w:val="22"/>
          <w:szCs w:val="22"/>
        </w:rPr>
        <w:t>sublinhou-se</w:t>
      </w:r>
      <w:r w:rsidR="000F2BEF">
        <w:rPr>
          <w:rFonts w:ascii="Arial" w:hAnsi="Arial" w:cs="Arial"/>
          <w:sz w:val="22"/>
          <w:szCs w:val="22"/>
        </w:rPr>
        <w:t>]</w:t>
      </w:r>
    </w:p>
    <w:p w14:paraId="7CF577C2" w14:textId="77777777" w:rsidR="00334F28" w:rsidRDefault="00334F28" w:rsidP="00A668C3">
      <w:pPr>
        <w:spacing w:line="360" w:lineRule="auto"/>
        <w:ind w:firstLine="851"/>
        <w:jc w:val="both"/>
        <w:rPr>
          <w:rFonts w:ascii="Arial" w:hAnsi="Arial" w:cs="Arial"/>
          <w:sz w:val="24"/>
          <w:szCs w:val="24"/>
        </w:rPr>
      </w:pPr>
    </w:p>
    <w:p w14:paraId="04338FB3" w14:textId="2E50540C" w:rsidR="00334F28" w:rsidRDefault="00F63B84" w:rsidP="00A668C3">
      <w:pPr>
        <w:spacing w:line="360" w:lineRule="auto"/>
        <w:ind w:firstLine="851"/>
        <w:jc w:val="both"/>
        <w:rPr>
          <w:rFonts w:ascii="Arial" w:hAnsi="Arial" w:cs="Arial"/>
          <w:sz w:val="24"/>
          <w:szCs w:val="24"/>
        </w:rPr>
      </w:pPr>
      <w:r>
        <w:rPr>
          <w:rFonts w:ascii="Arial" w:hAnsi="Arial" w:cs="Arial"/>
          <w:sz w:val="24"/>
          <w:szCs w:val="24"/>
        </w:rPr>
        <w:t xml:space="preserve">Portanto, à luz das considerações supramencionadas, considera-se que </w:t>
      </w:r>
      <w:r w:rsidRPr="00D37CD3">
        <w:rPr>
          <w:rFonts w:ascii="Arial" w:hAnsi="Arial" w:cs="Arial"/>
          <w:b/>
          <w:sz w:val="24"/>
          <w:szCs w:val="24"/>
        </w:rPr>
        <w:t>a aprovação da Lei nº 20.367/2018 consistiu num dos mais relevantes passos dados pelo Estado de Goiás</w:t>
      </w:r>
      <w:r>
        <w:rPr>
          <w:rFonts w:ascii="Arial" w:hAnsi="Arial" w:cs="Arial"/>
          <w:sz w:val="24"/>
          <w:szCs w:val="24"/>
        </w:rPr>
        <w:t xml:space="preserve"> </w:t>
      </w:r>
      <w:r w:rsidR="00D37CD3">
        <w:rPr>
          <w:rFonts w:ascii="Arial" w:hAnsi="Arial" w:cs="Arial"/>
          <w:sz w:val="24"/>
          <w:szCs w:val="24"/>
        </w:rPr>
        <w:t xml:space="preserve">no sentido de </w:t>
      </w:r>
      <w:r>
        <w:rPr>
          <w:rFonts w:ascii="Arial" w:hAnsi="Arial" w:cs="Arial"/>
          <w:sz w:val="24"/>
          <w:szCs w:val="24"/>
        </w:rPr>
        <w:t>revis</w:t>
      </w:r>
      <w:r w:rsidR="00D37CD3">
        <w:rPr>
          <w:rFonts w:ascii="Arial" w:hAnsi="Arial" w:cs="Arial"/>
          <w:sz w:val="24"/>
          <w:szCs w:val="24"/>
        </w:rPr>
        <w:t xml:space="preserve">ar </w:t>
      </w:r>
      <w:r>
        <w:rPr>
          <w:rFonts w:ascii="Arial" w:hAnsi="Arial" w:cs="Arial"/>
          <w:sz w:val="24"/>
          <w:szCs w:val="24"/>
        </w:rPr>
        <w:t xml:space="preserve">sua política </w:t>
      </w:r>
      <w:r w:rsidR="00D37CD3">
        <w:rPr>
          <w:rFonts w:ascii="Arial" w:hAnsi="Arial" w:cs="Arial"/>
          <w:sz w:val="24"/>
          <w:szCs w:val="24"/>
        </w:rPr>
        <w:t>de concessão de incentivos fiscais, de modo a contribuir à arrecadação estadual e equacionar algumas das graves distorções que acometiam o sistema de incentivos fiscais no Estado</w:t>
      </w:r>
      <w:r>
        <w:rPr>
          <w:rFonts w:ascii="Arial" w:hAnsi="Arial" w:cs="Arial"/>
          <w:sz w:val="24"/>
          <w:szCs w:val="24"/>
        </w:rPr>
        <w:t>.</w:t>
      </w:r>
    </w:p>
    <w:p w14:paraId="06E995D3" w14:textId="77777777" w:rsidR="00334F28" w:rsidRDefault="00334F28" w:rsidP="00A668C3">
      <w:pPr>
        <w:spacing w:line="360" w:lineRule="auto"/>
        <w:ind w:firstLine="851"/>
        <w:jc w:val="both"/>
        <w:rPr>
          <w:rFonts w:ascii="Arial" w:hAnsi="Arial" w:cs="Arial"/>
          <w:sz w:val="24"/>
          <w:szCs w:val="24"/>
        </w:rPr>
      </w:pPr>
    </w:p>
    <w:p w14:paraId="2E2D5993" w14:textId="367B8278" w:rsidR="008E5A95" w:rsidRPr="00C22FB2" w:rsidRDefault="00C9010F" w:rsidP="00C9010F">
      <w:pPr>
        <w:spacing w:line="360" w:lineRule="auto"/>
        <w:ind w:firstLine="851"/>
        <w:jc w:val="both"/>
        <w:rPr>
          <w:rFonts w:ascii="Arial" w:hAnsi="Arial" w:cs="Arial"/>
          <w:b/>
          <w:sz w:val="24"/>
          <w:szCs w:val="24"/>
        </w:rPr>
      </w:pPr>
      <w:r w:rsidRPr="00C22FB2">
        <w:rPr>
          <w:rFonts w:ascii="Arial" w:hAnsi="Arial" w:cs="Arial"/>
          <w:b/>
          <w:sz w:val="24"/>
          <w:szCs w:val="24"/>
        </w:rPr>
        <w:t>3.3.2.</w:t>
      </w:r>
      <w:r w:rsidR="008E5A95" w:rsidRPr="00C22FB2">
        <w:rPr>
          <w:rFonts w:ascii="Arial" w:hAnsi="Arial" w:cs="Arial"/>
          <w:b/>
          <w:sz w:val="24"/>
          <w:szCs w:val="24"/>
        </w:rPr>
        <w:t xml:space="preserve">5 </w:t>
      </w:r>
      <w:r w:rsidR="00B93860" w:rsidRPr="00C22FB2">
        <w:rPr>
          <w:rFonts w:ascii="Arial" w:hAnsi="Arial" w:cs="Arial"/>
          <w:b/>
          <w:sz w:val="24"/>
          <w:szCs w:val="24"/>
        </w:rPr>
        <w:t xml:space="preserve">– </w:t>
      </w:r>
      <w:r w:rsidR="008E5A95" w:rsidRPr="00C22FB2">
        <w:rPr>
          <w:rFonts w:ascii="Arial" w:hAnsi="Arial" w:cs="Arial"/>
          <w:b/>
          <w:sz w:val="24"/>
          <w:szCs w:val="24"/>
        </w:rPr>
        <w:t xml:space="preserve">Revogação de benefícios fiscais no setor </w:t>
      </w:r>
      <w:r w:rsidR="00796C5F" w:rsidRPr="00C22FB2">
        <w:rPr>
          <w:rFonts w:ascii="Arial" w:hAnsi="Arial" w:cs="Arial"/>
          <w:b/>
          <w:sz w:val="24"/>
          <w:szCs w:val="24"/>
        </w:rPr>
        <w:t>de energia elétrica</w:t>
      </w:r>
    </w:p>
    <w:p w14:paraId="7F0FB017" w14:textId="77777777" w:rsidR="008E5A95" w:rsidRDefault="008E5A95" w:rsidP="00C9010F">
      <w:pPr>
        <w:spacing w:line="360" w:lineRule="auto"/>
        <w:ind w:firstLine="851"/>
        <w:jc w:val="both"/>
        <w:rPr>
          <w:rFonts w:ascii="Arial" w:hAnsi="Arial" w:cs="Arial"/>
          <w:b/>
          <w:i/>
          <w:sz w:val="24"/>
          <w:szCs w:val="24"/>
        </w:rPr>
      </w:pPr>
    </w:p>
    <w:p w14:paraId="1614332F" w14:textId="3B15B73A" w:rsidR="00C9010F" w:rsidRDefault="0071543D" w:rsidP="00C9010F">
      <w:pPr>
        <w:spacing w:line="360" w:lineRule="auto"/>
        <w:ind w:firstLine="851"/>
        <w:jc w:val="both"/>
        <w:rPr>
          <w:rFonts w:ascii="Arial" w:hAnsi="Arial" w:cs="Arial"/>
          <w:sz w:val="24"/>
          <w:szCs w:val="24"/>
        </w:rPr>
      </w:pPr>
      <w:r w:rsidRPr="0071543D">
        <w:rPr>
          <w:rFonts w:ascii="Arial" w:hAnsi="Arial" w:cs="Arial"/>
          <w:b/>
          <w:sz w:val="24"/>
          <w:szCs w:val="24"/>
        </w:rPr>
        <w:t>3.3.2.5.1</w:t>
      </w:r>
      <w:r w:rsidR="00841D6A">
        <w:rPr>
          <w:rFonts w:ascii="Arial" w:hAnsi="Arial" w:cs="Arial"/>
          <w:b/>
          <w:sz w:val="24"/>
          <w:szCs w:val="24"/>
        </w:rPr>
        <w:t>.</w:t>
      </w:r>
      <w:r>
        <w:rPr>
          <w:rFonts w:ascii="Arial" w:hAnsi="Arial" w:cs="Arial"/>
          <w:b/>
          <w:i/>
          <w:sz w:val="24"/>
          <w:szCs w:val="24"/>
        </w:rPr>
        <w:t xml:space="preserve"> </w:t>
      </w:r>
      <w:r w:rsidR="008E5A95" w:rsidRPr="008E5A95">
        <w:rPr>
          <w:rFonts w:ascii="Arial" w:hAnsi="Arial" w:cs="Arial"/>
          <w:sz w:val="24"/>
          <w:szCs w:val="24"/>
        </w:rPr>
        <w:t xml:space="preserve">Outra medida relevante </w:t>
      </w:r>
      <w:r>
        <w:rPr>
          <w:rFonts w:ascii="Arial" w:hAnsi="Arial" w:cs="Arial"/>
          <w:sz w:val="24"/>
          <w:szCs w:val="24"/>
        </w:rPr>
        <w:t>quanto</w:t>
      </w:r>
      <w:r w:rsidR="008E5A95" w:rsidRPr="008E5A95">
        <w:rPr>
          <w:rFonts w:ascii="Arial" w:hAnsi="Arial" w:cs="Arial"/>
          <w:sz w:val="24"/>
          <w:szCs w:val="24"/>
        </w:rPr>
        <w:t xml:space="preserve"> à revisão dos incentivos fiscais</w:t>
      </w:r>
      <w:r w:rsidR="00C9010F" w:rsidRPr="008E5A95">
        <w:rPr>
          <w:rFonts w:ascii="Arial" w:hAnsi="Arial" w:cs="Arial"/>
          <w:sz w:val="24"/>
          <w:szCs w:val="24"/>
        </w:rPr>
        <w:t xml:space="preserve"> </w:t>
      </w:r>
      <w:r w:rsidR="008E5A95">
        <w:rPr>
          <w:rFonts w:ascii="Arial" w:hAnsi="Arial" w:cs="Arial"/>
          <w:sz w:val="24"/>
          <w:szCs w:val="24"/>
        </w:rPr>
        <w:t xml:space="preserve">consiste na recente aprovação, sanção e publicação da </w:t>
      </w:r>
      <w:r w:rsidR="008E5A95" w:rsidRPr="00555D3D">
        <w:rPr>
          <w:rFonts w:ascii="Arial" w:hAnsi="Arial" w:cs="Arial"/>
          <w:b/>
          <w:sz w:val="24"/>
          <w:szCs w:val="24"/>
        </w:rPr>
        <w:t>Lei nº 20.468/2019, a qual r</w:t>
      </w:r>
      <w:r w:rsidR="00C9010F" w:rsidRPr="00555D3D">
        <w:rPr>
          <w:rFonts w:ascii="Arial" w:hAnsi="Arial" w:cs="Arial"/>
          <w:b/>
          <w:sz w:val="24"/>
          <w:szCs w:val="24"/>
        </w:rPr>
        <w:t>evoga a Lei nº 19.473</w:t>
      </w:r>
      <w:r w:rsidR="008E5A95" w:rsidRPr="00555D3D">
        <w:rPr>
          <w:rFonts w:ascii="Arial" w:hAnsi="Arial" w:cs="Arial"/>
          <w:b/>
          <w:sz w:val="24"/>
          <w:szCs w:val="24"/>
        </w:rPr>
        <w:t>/</w:t>
      </w:r>
      <w:r w:rsidR="00C9010F" w:rsidRPr="00555D3D">
        <w:rPr>
          <w:rFonts w:ascii="Arial" w:hAnsi="Arial" w:cs="Arial"/>
          <w:b/>
          <w:sz w:val="24"/>
          <w:szCs w:val="24"/>
        </w:rPr>
        <w:t>2016</w:t>
      </w:r>
      <w:r w:rsidR="00C9010F" w:rsidRPr="006E07C6">
        <w:rPr>
          <w:rFonts w:ascii="Arial" w:hAnsi="Arial" w:cs="Arial"/>
          <w:sz w:val="24"/>
          <w:szCs w:val="24"/>
        </w:rPr>
        <w:t>, que</w:t>
      </w:r>
      <w:r w:rsidR="008E5A95">
        <w:rPr>
          <w:rFonts w:ascii="Arial" w:hAnsi="Arial" w:cs="Arial"/>
          <w:sz w:val="24"/>
          <w:szCs w:val="24"/>
        </w:rPr>
        <w:t>, por sua vez,</w:t>
      </w:r>
      <w:r w:rsidR="00C9010F" w:rsidRPr="006E07C6">
        <w:rPr>
          <w:rFonts w:ascii="Arial" w:hAnsi="Arial" w:cs="Arial"/>
          <w:sz w:val="24"/>
          <w:szCs w:val="24"/>
        </w:rPr>
        <w:t xml:space="preserve"> institui a política estadual para manutenção, melhoria e ampliação da distribuição de energ</w:t>
      </w:r>
      <w:r w:rsidR="008E5A95">
        <w:rPr>
          <w:rFonts w:ascii="Arial" w:hAnsi="Arial" w:cs="Arial"/>
          <w:sz w:val="24"/>
          <w:szCs w:val="24"/>
        </w:rPr>
        <w:t>ia elétrica no Estado de Goiás.</w:t>
      </w:r>
    </w:p>
    <w:p w14:paraId="4A53872F" w14:textId="5CE669B7" w:rsidR="00B97A59" w:rsidRDefault="00555D3D" w:rsidP="00B97A59">
      <w:pPr>
        <w:spacing w:line="360" w:lineRule="auto"/>
        <w:ind w:firstLine="851"/>
        <w:jc w:val="both"/>
        <w:rPr>
          <w:rFonts w:ascii="Arial" w:hAnsi="Arial" w:cs="Arial"/>
          <w:sz w:val="24"/>
          <w:szCs w:val="24"/>
        </w:rPr>
      </w:pPr>
      <w:r w:rsidRPr="00B97A59">
        <w:rPr>
          <w:rFonts w:ascii="Arial" w:hAnsi="Arial" w:cs="Arial"/>
          <w:b/>
          <w:sz w:val="24"/>
          <w:szCs w:val="24"/>
        </w:rPr>
        <w:t xml:space="preserve">A </w:t>
      </w:r>
      <w:r w:rsidR="00490261" w:rsidRPr="00B97A59">
        <w:rPr>
          <w:rFonts w:ascii="Arial" w:hAnsi="Arial" w:cs="Arial"/>
          <w:b/>
          <w:sz w:val="24"/>
          <w:szCs w:val="24"/>
        </w:rPr>
        <w:t xml:space="preserve">lei revogada </w:t>
      </w:r>
      <w:r w:rsidR="00B97A59" w:rsidRPr="00B97A59">
        <w:rPr>
          <w:rFonts w:ascii="Arial" w:hAnsi="Arial" w:cs="Arial"/>
          <w:b/>
          <w:sz w:val="24"/>
          <w:szCs w:val="24"/>
        </w:rPr>
        <w:t>tinha como objetivos</w:t>
      </w:r>
      <w:r w:rsidR="00B97A59">
        <w:rPr>
          <w:rFonts w:ascii="Arial" w:hAnsi="Arial" w:cs="Arial"/>
          <w:sz w:val="24"/>
          <w:szCs w:val="24"/>
        </w:rPr>
        <w:t xml:space="preserve">: </w:t>
      </w:r>
      <w:r w:rsidR="00B97A59" w:rsidRPr="00B97A59">
        <w:rPr>
          <w:rFonts w:ascii="Arial" w:hAnsi="Arial" w:cs="Arial"/>
          <w:sz w:val="24"/>
          <w:szCs w:val="24"/>
          <w:u w:val="single"/>
        </w:rPr>
        <w:t>a) garantir a adequada prestação do serviço de distribuição de energia elétrica</w:t>
      </w:r>
      <w:r w:rsidR="00B97A59" w:rsidRPr="00B97A59">
        <w:rPr>
          <w:rFonts w:ascii="Arial" w:hAnsi="Arial" w:cs="Arial"/>
          <w:sz w:val="24"/>
          <w:szCs w:val="24"/>
        </w:rPr>
        <w:t>, assegurando o desenvolvimento econômico e a atração de novos investimentos no Estado de Goiás</w:t>
      </w:r>
      <w:r w:rsidR="00B97A59">
        <w:rPr>
          <w:rFonts w:ascii="Arial" w:hAnsi="Arial" w:cs="Arial"/>
          <w:sz w:val="24"/>
          <w:szCs w:val="24"/>
        </w:rPr>
        <w:t xml:space="preserve"> (art. 1º, I)</w:t>
      </w:r>
      <w:r w:rsidR="00B97A59" w:rsidRPr="00B97A59">
        <w:rPr>
          <w:rFonts w:ascii="Arial" w:hAnsi="Arial" w:cs="Arial"/>
          <w:sz w:val="24"/>
          <w:szCs w:val="24"/>
        </w:rPr>
        <w:t>;</w:t>
      </w:r>
      <w:r w:rsidR="00B97A59">
        <w:rPr>
          <w:rFonts w:ascii="Arial" w:hAnsi="Arial" w:cs="Arial"/>
          <w:sz w:val="24"/>
          <w:szCs w:val="24"/>
        </w:rPr>
        <w:t xml:space="preserve"> </w:t>
      </w:r>
      <w:r w:rsidR="00B97A59" w:rsidRPr="00B97A59">
        <w:rPr>
          <w:rFonts w:ascii="Arial" w:hAnsi="Arial" w:cs="Arial"/>
          <w:sz w:val="24"/>
          <w:szCs w:val="24"/>
          <w:u w:val="single"/>
        </w:rPr>
        <w:t>b) assegurar o desenvolvimento da infraestrutura</w:t>
      </w:r>
      <w:r w:rsidR="00B97A59" w:rsidRPr="00B97A59">
        <w:rPr>
          <w:rFonts w:ascii="Arial" w:hAnsi="Arial" w:cs="Arial"/>
          <w:sz w:val="24"/>
          <w:szCs w:val="24"/>
        </w:rPr>
        <w:t xml:space="preserve"> de distribuição de energia elétrica no Estado de Goiás</w:t>
      </w:r>
      <w:r w:rsidR="00B97A59">
        <w:rPr>
          <w:rFonts w:ascii="Arial" w:hAnsi="Arial" w:cs="Arial"/>
          <w:sz w:val="24"/>
          <w:szCs w:val="24"/>
        </w:rPr>
        <w:t xml:space="preserve"> (art. 1º, II)</w:t>
      </w:r>
      <w:r w:rsidR="00B97A59" w:rsidRPr="00B97A59">
        <w:rPr>
          <w:rFonts w:ascii="Arial" w:hAnsi="Arial" w:cs="Arial"/>
          <w:sz w:val="24"/>
          <w:szCs w:val="24"/>
        </w:rPr>
        <w:t>;</w:t>
      </w:r>
      <w:r w:rsidR="00B97A59">
        <w:rPr>
          <w:rFonts w:ascii="Arial" w:hAnsi="Arial" w:cs="Arial"/>
          <w:sz w:val="24"/>
          <w:szCs w:val="24"/>
        </w:rPr>
        <w:t xml:space="preserve"> </w:t>
      </w:r>
      <w:r w:rsidR="00B97A59" w:rsidRPr="00B97A59">
        <w:rPr>
          <w:rFonts w:ascii="Arial" w:hAnsi="Arial" w:cs="Arial"/>
          <w:sz w:val="24"/>
          <w:szCs w:val="24"/>
          <w:u w:val="single"/>
        </w:rPr>
        <w:t>e c) proteger os interesses do consumidor</w:t>
      </w:r>
      <w:r w:rsidR="00B97A59" w:rsidRPr="00B97A59">
        <w:rPr>
          <w:rFonts w:ascii="Arial" w:hAnsi="Arial" w:cs="Arial"/>
          <w:sz w:val="24"/>
          <w:szCs w:val="24"/>
        </w:rPr>
        <w:t xml:space="preserve"> quanto à qualidade e oferta do produto</w:t>
      </w:r>
      <w:r w:rsidR="00B97A59">
        <w:rPr>
          <w:rFonts w:ascii="Arial" w:hAnsi="Arial" w:cs="Arial"/>
          <w:sz w:val="24"/>
          <w:szCs w:val="24"/>
        </w:rPr>
        <w:t xml:space="preserve"> (art. 1º, III)</w:t>
      </w:r>
      <w:r w:rsidR="00B97A59" w:rsidRPr="00B97A59">
        <w:rPr>
          <w:rFonts w:ascii="Arial" w:hAnsi="Arial" w:cs="Arial"/>
          <w:sz w:val="24"/>
          <w:szCs w:val="24"/>
        </w:rPr>
        <w:t>.</w:t>
      </w:r>
    </w:p>
    <w:p w14:paraId="0E727211" w14:textId="1469DAF4" w:rsidR="001151A4" w:rsidRDefault="001151A4" w:rsidP="00B97A59">
      <w:pPr>
        <w:spacing w:line="360" w:lineRule="auto"/>
        <w:ind w:firstLine="851"/>
        <w:jc w:val="both"/>
        <w:rPr>
          <w:rFonts w:ascii="Arial" w:hAnsi="Arial" w:cs="Arial"/>
          <w:sz w:val="24"/>
          <w:szCs w:val="24"/>
        </w:rPr>
      </w:pPr>
      <w:r w:rsidRPr="001151A4">
        <w:rPr>
          <w:rFonts w:ascii="Arial" w:hAnsi="Arial" w:cs="Arial"/>
          <w:b/>
          <w:sz w:val="24"/>
          <w:szCs w:val="24"/>
        </w:rPr>
        <w:t>Como incentivo à empresa que aderisse à política instituída por aquele diploma legal, o respectivo art. 2º concedia crédito outorgado do ICMS</w:t>
      </w:r>
      <w:r w:rsidRPr="001151A4">
        <w:rPr>
          <w:rFonts w:ascii="Arial" w:hAnsi="Arial" w:cs="Arial"/>
          <w:sz w:val="24"/>
          <w:szCs w:val="24"/>
        </w:rPr>
        <w:t>, a ser apropriado na escrita fiscal e compensado com os débitos de ICMS do contribuinte aderente, conforme autorizado pelo Convênio ICMS</w:t>
      </w:r>
      <w:r>
        <w:rPr>
          <w:rFonts w:ascii="Arial" w:hAnsi="Arial" w:cs="Arial"/>
          <w:sz w:val="24"/>
          <w:szCs w:val="24"/>
        </w:rPr>
        <w:t xml:space="preserve"> nº</w:t>
      </w:r>
      <w:r w:rsidRPr="001151A4">
        <w:rPr>
          <w:rFonts w:ascii="Arial" w:hAnsi="Arial" w:cs="Arial"/>
          <w:sz w:val="24"/>
          <w:szCs w:val="24"/>
        </w:rPr>
        <w:t xml:space="preserve"> 85/</w:t>
      </w:r>
      <w:r>
        <w:rPr>
          <w:rFonts w:ascii="Arial" w:hAnsi="Arial" w:cs="Arial"/>
          <w:sz w:val="24"/>
          <w:szCs w:val="24"/>
        </w:rPr>
        <w:t>20</w:t>
      </w:r>
      <w:r w:rsidRPr="001151A4">
        <w:rPr>
          <w:rFonts w:ascii="Arial" w:hAnsi="Arial" w:cs="Arial"/>
          <w:sz w:val="24"/>
          <w:szCs w:val="24"/>
        </w:rPr>
        <w:t xml:space="preserve">04, mediante </w:t>
      </w:r>
      <w:r>
        <w:rPr>
          <w:rFonts w:ascii="Arial" w:hAnsi="Arial" w:cs="Arial"/>
          <w:sz w:val="24"/>
          <w:szCs w:val="24"/>
        </w:rPr>
        <w:t>TARE</w:t>
      </w:r>
      <w:r w:rsidRPr="001151A4">
        <w:rPr>
          <w:rFonts w:ascii="Arial" w:hAnsi="Arial" w:cs="Arial"/>
          <w:sz w:val="24"/>
          <w:szCs w:val="24"/>
        </w:rPr>
        <w:t xml:space="preserve"> a ser celebrado com a</w:t>
      </w:r>
      <w:r>
        <w:rPr>
          <w:rFonts w:ascii="Arial" w:hAnsi="Arial" w:cs="Arial"/>
          <w:sz w:val="24"/>
          <w:szCs w:val="24"/>
        </w:rPr>
        <w:t xml:space="preserve"> então</w:t>
      </w:r>
      <w:r w:rsidRPr="001151A4">
        <w:rPr>
          <w:rFonts w:ascii="Arial" w:hAnsi="Arial" w:cs="Arial"/>
          <w:sz w:val="24"/>
          <w:szCs w:val="24"/>
        </w:rPr>
        <w:t xml:space="preserve"> Secretaria de Estado da Fazenda</w:t>
      </w:r>
      <w:r>
        <w:rPr>
          <w:rFonts w:ascii="Arial" w:hAnsi="Arial" w:cs="Arial"/>
          <w:sz w:val="24"/>
          <w:szCs w:val="24"/>
        </w:rPr>
        <w:t xml:space="preserve"> (hoje Secretaria de Estado da Economia). O </w:t>
      </w:r>
      <w:r w:rsidRPr="001151A4">
        <w:rPr>
          <w:rFonts w:ascii="Arial" w:hAnsi="Arial" w:cs="Arial"/>
          <w:b/>
          <w:sz w:val="24"/>
          <w:szCs w:val="24"/>
        </w:rPr>
        <w:t>art. 5º da Lei nº 19.473/2016</w:t>
      </w:r>
      <w:r>
        <w:rPr>
          <w:rFonts w:ascii="Arial" w:hAnsi="Arial" w:cs="Arial"/>
          <w:sz w:val="24"/>
          <w:szCs w:val="24"/>
        </w:rPr>
        <w:t xml:space="preserve"> estabelec</w:t>
      </w:r>
      <w:r w:rsidR="00493DFC">
        <w:rPr>
          <w:rFonts w:ascii="Arial" w:hAnsi="Arial" w:cs="Arial"/>
          <w:sz w:val="24"/>
          <w:szCs w:val="24"/>
        </w:rPr>
        <w:t>ia</w:t>
      </w:r>
      <w:r>
        <w:rPr>
          <w:rFonts w:ascii="Arial" w:hAnsi="Arial" w:cs="Arial"/>
          <w:sz w:val="24"/>
          <w:szCs w:val="24"/>
        </w:rPr>
        <w:t xml:space="preserve"> o </w:t>
      </w:r>
      <w:r w:rsidRPr="001151A4">
        <w:rPr>
          <w:rFonts w:ascii="Arial" w:hAnsi="Arial" w:cs="Arial"/>
          <w:sz w:val="24"/>
          <w:szCs w:val="24"/>
        </w:rPr>
        <w:t xml:space="preserve">prazo para o aproveitamento do crédito outorgado em questão será até o dia </w:t>
      </w:r>
      <w:r>
        <w:rPr>
          <w:rFonts w:ascii="Arial" w:hAnsi="Arial" w:cs="Arial"/>
          <w:sz w:val="24"/>
          <w:szCs w:val="24"/>
        </w:rPr>
        <w:t>0</w:t>
      </w:r>
      <w:r w:rsidRPr="001151A4">
        <w:rPr>
          <w:rFonts w:ascii="Arial" w:hAnsi="Arial" w:cs="Arial"/>
          <w:sz w:val="24"/>
          <w:szCs w:val="24"/>
        </w:rPr>
        <w:t>7</w:t>
      </w:r>
      <w:r>
        <w:rPr>
          <w:rFonts w:ascii="Arial" w:hAnsi="Arial" w:cs="Arial"/>
          <w:sz w:val="24"/>
          <w:szCs w:val="24"/>
        </w:rPr>
        <w:t>/07/</w:t>
      </w:r>
      <w:r w:rsidRPr="001151A4">
        <w:rPr>
          <w:rFonts w:ascii="Arial" w:hAnsi="Arial" w:cs="Arial"/>
          <w:sz w:val="24"/>
          <w:szCs w:val="24"/>
        </w:rPr>
        <w:t>2045</w:t>
      </w:r>
      <w:r>
        <w:rPr>
          <w:rFonts w:ascii="Arial" w:hAnsi="Arial" w:cs="Arial"/>
          <w:sz w:val="24"/>
          <w:szCs w:val="24"/>
        </w:rPr>
        <w:t>.</w:t>
      </w:r>
    </w:p>
    <w:p w14:paraId="21E9CD38" w14:textId="3DD915FD" w:rsidR="00431821" w:rsidRDefault="00431821" w:rsidP="00B97A59">
      <w:pPr>
        <w:spacing w:line="360" w:lineRule="auto"/>
        <w:ind w:firstLine="851"/>
        <w:jc w:val="both"/>
        <w:rPr>
          <w:rFonts w:ascii="Arial" w:hAnsi="Arial" w:cs="Arial"/>
          <w:sz w:val="24"/>
          <w:szCs w:val="24"/>
        </w:rPr>
      </w:pPr>
      <w:r>
        <w:rPr>
          <w:rFonts w:ascii="Arial" w:hAnsi="Arial" w:cs="Arial"/>
          <w:sz w:val="24"/>
          <w:szCs w:val="24"/>
        </w:rPr>
        <w:lastRenderedPageBreak/>
        <w:t xml:space="preserve">A lei revogadora (Lei nº </w:t>
      </w:r>
      <w:r w:rsidR="00493DFC" w:rsidRPr="00493DFC">
        <w:rPr>
          <w:rFonts w:ascii="Arial" w:hAnsi="Arial" w:cs="Arial"/>
          <w:sz w:val="24"/>
          <w:szCs w:val="24"/>
        </w:rPr>
        <w:t>20.468</w:t>
      </w:r>
      <w:r w:rsidR="003C42E2">
        <w:rPr>
          <w:rFonts w:ascii="Arial" w:hAnsi="Arial" w:cs="Arial"/>
          <w:sz w:val="24"/>
          <w:szCs w:val="24"/>
        </w:rPr>
        <w:t xml:space="preserve">, de </w:t>
      </w:r>
      <w:r>
        <w:rPr>
          <w:rFonts w:ascii="Arial" w:hAnsi="Arial" w:cs="Arial"/>
          <w:sz w:val="24"/>
          <w:szCs w:val="24"/>
        </w:rPr>
        <w:t xml:space="preserve">2019) resultou da aprovação de projeto de lei de iniciativa do Deputado Paulo Cézar Martins (nº </w:t>
      </w:r>
      <w:r w:rsidR="00924DB3" w:rsidRPr="00924DB3">
        <w:rPr>
          <w:rFonts w:ascii="Arial" w:hAnsi="Arial" w:cs="Arial"/>
          <w:sz w:val="24"/>
          <w:szCs w:val="24"/>
        </w:rPr>
        <w:t>2019000757</w:t>
      </w:r>
      <w:r>
        <w:rPr>
          <w:rFonts w:ascii="Arial" w:hAnsi="Arial" w:cs="Arial"/>
          <w:sz w:val="24"/>
          <w:szCs w:val="24"/>
        </w:rPr>
        <w:t>), em cuja justificativa consignou os seguintes motivos:</w:t>
      </w:r>
    </w:p>
    <w:p w14:paraId="45E06A58" w14:textId="5242AE04" w:rsidR="00431821" w:rsidRDefault="00431821" w:rsidP="00B97A59">
      <w:pPr>
        <w:spacing w:line="360" w:lineRule="auto"/>
        <w:ind w:firstLine="851"/>
        <w:jc w:val="both"/>
        <w:rPr>
          <w:rFonts w:ascii="Arial" w:hAnsi="Arial" w:cs="Arial"/>
          <w:sz w:val="24"/>
          <w:szCs w:val="24"/>
        </w:rPr>
      </w:pPr>
    </w:p>
    <w:p w14:paraId="18A5D07D" w14:textId="77777777" w:rsidR="00431821" w:rsidRDefault="00431821" w:rsidP="001A04C9">
      <w:pPr>
        <w:ind w:left="2268"/>
        <w:jc w:val="both"/>
        <w:rPr>
          <w:rFonts w:ascii="Arial" w:hAnsi="Arial" w:cs="Arial"/>
          <w:sz w:val="22"/>
          <w:szCs w:val="22"/>
        </w:rPr>
      </w:pPr>
      <w:r w:rsidRPr="00431821">
        <w:rPr>
          <w:rFonts w:ascii="Arial" w:hAnsi="Arial" w:cs="Arial"/>
          <w:b/>
          <w:sz w:val="22"/>
          <w:szCs w:val="22"/>
        </w:rPr>
        <w:t>Esta lei concedeu benefício de ICMS, até 7 de julho de 2045</w:t>
      </w:r>
      <w:r w:rsidRPr="00431821">
        <w:rPr>
          <w:rFonts w:ascii="Arial" w:hAnsi="Arial" w:cs="Arial"/>
          <w:sz w:val="22"/>
          <w:szCs w:val="22"/>
        </w:rPr>
        <w:t xml:space="preserve">, </w:t>
      </w:r>
      <w:r w:rsidRPr="00431821">
        <w:rPr>
          <w:rFonts w:ascii="Arial" w:hAnsi="Arial" w:cs="Arial"/>
          <w:sz w:val="22"/>
          <w:szCs w:val="22"/>
          <w:u w:val="single"/>
        </w:rPr>
        <w:t>quase 30 anos, à ENEL Distribuição Goiás, empresa que adquiriu a CELG</w:t>
      </w:r>
      <w:r w:rsidRPr="00431821">
        <w:rPr>
          <w:rFonts w:ascii="Arial" w:hAnsi="Arial" w:cs="Arial"/>
          <w:sz w:val="22"/>
          <w:szCs w:val="22"/>
        </w:rPr>
        <w:t xml:space="preserve">. </w:t>
      </w:r>
    </w:p>
    <w:p w14:paraId="66F9D7CF" w14:textId="77777777" w:rsidR="00431821" w:rsidRDefault="00431821" w:rsidP="001A04C9">
      <w:pPr>
        <w:ind w:left="2268"/>
        <w:jc w:val="both"/>
        <w:rPr>
          <w:rFonts w:ascii="Arial" w:hAnsi="Arial" w:cs="Arial"/>
          <w:sz w:val="22"/>
          <w:szCs w:val="22"/>
        </w:rPr>
      </w:pPr>
      <w:r w:rsidRPr="00431821">
        <w:rPr>
          <w:rFonts w:ascii="Arial" w:hAnsi="Arial" w:cs="Arial"/>
          <w:b/>
          <w:sz w:val="22"/>
          <w:szCs w:val="22"/>
        </w:rPr>
        <w:t>Tendo em vista a presente crise financeira, tal renúncia de receita é inaceitável. O Estado deveria estar arrecadando, e não abrindo mão de recursos em benefício de empresas</w:t>
      </w:r>
      <w:r w:rsidRPr="00431821">
        <w:rPr>
          <w:rFonts w:ascii="Arial" w:hAnsi="Arial" w:cs="Arial"/>
          <w:sz w:val="22"/>
          <w:szCs w:val="22"/>
        </w:rPr>
        <w:t xml:space="preserve">. </w:t>
      </w:r>
    </w:p>
    <w:p w14:paraId="041063AA" w14:textId="77777777" w:rsidR="00431821" w:rsidRPr="00431821" w:rsidRDefault="00431821" w:rsidP="001A04C9">
      <w:pPr>
        <w:ind w:left="2268"/>
        <w:jc w:val="both"/>
        <w:rPr>
          <w:rFonts w:ascii="Arial" w:hAnsi="Arial" w:cs="Arial"/>
          <w:sz w:val="22"/>
          <w:szCs w:val="22"/>
        </w:rPr>
      </w:pPr>
      <w:r w:rsidRPr="00431821">
        <w:rPr>
          <w:rFonts w:ascii="Arial" w:hAnsi="Arial" w:cs="Arial"/>
          <w:b/>
          <w:sz w:val="22"/>
          <w:szCs w:val="22"/>
        </w:rPr>
        <w:t>Tal situação é ainda mais grave por se tratar da ENEL</w:t>
      </w:r>
      <w:r w:rsidRPr="00431821">
        <w:rPr>
          <w:rFonts w:ascii="Arial" w:hAnsi="Arial" w:cs="Arial"/>
          <w:sz w:val="22"/>
          <w:szCs w:val="22"/>
        </w:rPr>
        <w:t xml:space="preserve">, uma distribuidora de energia elétrica que atua praticamente em </w:t>
      </w:r>
      <w:r w:rsidRPr="00431821">
        <w:rPr>
          <w:rFonts w:ascii="Arial" w:hAnsi="Arial" w:cs="Arial"/>
          <w:sz w:val="22"/>
          <w:szCs w:val="22"/>
          <w:u w:val="single"/>
        </w:rPr>
        <w:t>regime de monopólio</w:t>
      </w:r>
      <w:r w:rsidRPr="00431821">
        <w:rPr>
          <w:rFonts w:ascii="Arial" w:hAnsi="Arial" w:cs="Arial"/>
          <w:sz w:val="22"/>
          <w:szCs w:val="22"/>
        </w:rPr>
        <w:t xml:space="preserve">. Essa empresa que adquiriu a CELG </w:t>
      </w:r>
      <w:r w:rsidRPr="00431821">
        <w:rPr>
          <w:rFonts w:ascii="Arial" w:hAnsi="Arial" w:cs="Arial"/>
          <w:sz w:val="22"/>
          <w:szCs w:val="22"/>
          <w:u w:val="single"/>
        </w:rPr>
        <w:t>desfruta das benesses de um mercado sem concorrência, tendo com isso lucros altíssimos</w:t>
      </w:r>
      <w:r w:rsidRPr="00431821">
        <w:rPr>
          <w:rFonts w:ascii="Arial" w:hAnsi="Arial" w:cs="Arial"/>
          <w:sz w:val="22"/>
          <w:szCs w:val="22"/>
        </w:rPr>
        <w:t xml:space="preserve">. </w:t>
      </w:r>
    </w:p>
    <w:p w14:paraId="5A63FB12" w14:textId="77777777" w:rsidR="00431821" w:rsidRDefault="00431821" w:rsidP="001A04C9">
      <w:pPr>
        <w:ind w:left="2268"/>
        <w:jc w:val="both"/>
        <w:rPr>
          <w:rFonts w:ascii="Arial" w:hAnsi="Arial" w:cs="Arial"/>
          <w:sz w:val="22"/>
          <w:szCs w:val="22"/>
        </w:rPr>
      </w:pPr>
      <w:r w:rsidRPr="00431821">
        <w:rPr>
          <w:rFonts w:ascii="Arial" w:hAnsi="Arial" w:cs="Arial"/>
          <w:b/>
          <w:sz w:val="22"/>
          <w:szCs w:val="22"/>
        </w:rPr>
        <w:t>Sabe-se que o descontentamento com essa concessionária de energia elétrica é generalizado em Goiás</w:t>
      </w:r>
      <w:r w:rsidRPr="00431821">
        <w:rPr>
          <w:rFonts w:ascii="Arial" w:hAnsi="Arial" w:cs="Arial"/>
          <w:sz w:val="22"/>
          <w:szCs w:val="22"/>
        </w:rPr>
        <w:t xml:space="preserve">. A empresa não tem feito os investimentos que são necessários para melhorar a qualidade de distribuição de energia elétrica. O segmento de produção rural e a área de indústrias são os únicos que têm feito investimentos e não são atendidos pela ENEL. </w:t>
      </w:r>
    </w:p>
    <w:p w14:paraId="631AA7DE" w14:textId="7CDE9A2B" w:rsidR="00431821" w:rsidRDefault="00431821" w:rsidP="001A04C9">
      <w:pPr>
        <w:ind w:left="2268"/>
        <w:jc w:val="both"/>
        <w:rPr>
          <w:rFonts w:ascii="Arial" w:hAnsi="Arial" w:cs="Arial"/>
          <w:sz w:val="22"/>
          <w:szCs w:val="22"/>
        </w:rPr>
      </w:pPr>
      <w:r w:rsidRPr="00431821">
        <w:rPr>
          <w:rFonts w:ascii="Arial" w:hAnsi="Arial" w:cs="Arial"/>
          <w:b/>
          <w:sz w:val="22"/>
          <w:szCs w:val="22"/>
        </w:rPr>
        <w:t>A Enel completa dois anos longe de atingir as metas as quais se propôs assim que comprou a CELG</w:t>
      </w:r>
      <w:r w:rsidRPr="00431821">
        <w:rPr>
          <w:rFonts w:ascii="Arial" w:hAnsi="Arial" w:cs="Arial"/>
          <w:sz w:val="22"/>
          <w:szCs w:val="22"/>
        </w:rPr>
        <w:t>. Goianos ficaram 26 horas no escuro em 2018, quase o dobro do limite da Aneel (Agência Nacional de Energia Elétrica). A empresa previa melhorar índices em 40%, mas só chegou a 10%. O avanço em qualidade foi muito pouco. Com a venda da CELG para essa empresa italiana, a expectativa era de melhorias por causa dos investimentos, contudo, há grande descontentamento dos consumidores goianos pela baixa qualidade dos serviços prestados e poucos investimentos realizados para expandir a rede</w:t>
      </w:r>
      <w:r>
        <w:rPr>
          <w:rFonts w:ascii="Arial" w:hAnsi="Arial" w:cs="Arial"/>
          <w:sz w:val="22"/>
          <w:szCs w:val="22"/>
        </w:rPr>
        <w:t>. [grifou-se]</w:t>
      </w:r>
    </w:p>
    <w:p w14:paraId="02CD4F86" w14:textId="17C04C96" w:rsidR="00091712" w:rsidRDefault="00091712" w:rsidP="00431821">
      <w:pPr>
        <w:ind w:left="2268" w:firstLine="284"/>
        <w:jc w:val="both"/>
        <w:rPr>
          <w:rFonts w:ascii="Arial" w:hAnsi="Arial" w:cs="Arial"/>
          <w:sz w:val="22"/>
          <w:szCs w:val="22"/>
        </w:rPr>
      </w:pPr>
    </w:p>
    <w:p w14:paraId="5336624E" w14:textId="25CCCF65" w:rsidR="00091712" w:rsidRDefault="00091712" w:rsidP="00C30C86">
      <w:pPr>
        <w:spacing w:line="360" w:lineRule="auto"/>
        <w:ind w:firstLine="851"/>
        <w:jc w:val="both"/>
        <w:rPr>
          <w:rFonts w:ascii="Arial" w:hAnsi="Arial" w:cs="Arial"/>
          <w:sz w:val="24"/>
          <w:szCs w:val="24"/>
        </w:rPr>
      </w:pPr>
      <w:r>
        <w:rPr>
          <w:rFonts w:ascii="Arial" w:hAnsi="Arial" w:cs="Arial"/>
          <w:sz w:val="24"/>
          <w:szCs w:val="24"/>
        </w:rPr>
        <w:t xml:space="preserve">Em adição aos argumentos apresentados pelo autor do projeto de lei, o respectivo </w:t>
      </w:r>
      <w:r w:rsidRPr="00C304A0">
        <w:rPr>
          <w:rFonts w:ascii="Arial" w:hAnsi="Arial" w:cs="Arial"/>
          <w:b/>
          <w:sz w:val="24"/>
          <w:szCs w:val="24"/>
        </w:rPr>
        <w:t>relator, Deputado Vinícius Cirqueira, também destacou</w:t>
      </w:r>
      <w:r>
        <w:rPr>
          <w:rFonts w:ascii="Arial" w:hAnsi="Arial" w:cs="Arial"/>
          <w:sz w:val="24"/>
          <w:szCs w:val="24"/>
        </w:rPr>
        <w:t xml:space="preserve"> a </w:t>
      </w:r>
      <w:r w:rsidRPr="00C304A0">
        <w:rPr>
          <w:rFonts w:ascii="Arial" w:hAnsi="Arial" w:cs="Arial"/>
          <w:sz w:val="24"/>
          <w:szCs w:val="24"/>
          <w:u w:val="single"/>
        </w:rPr>
        <w:t>ausência de compromisso formal assumido pelo Estado de Goiás</w:t>
      </w:r>
      <w:r>
        <w:rPr>
          <w:rFonts w:ascii="Arial" w:hAnsi="Arial" w:cs="Arial"/>
          <w:sz w:val="24"/>
          <w:szCs w:val="24"/>
        </w:rPr>
        <w:t xml:space="preserve"> no sentido de conceder qualquer benefício fiscal à ENEEL, bem como a </w:t>
      </w:r>
      <w:r w:rsidRPr="00C304A0">
        <w:rPr>
          <w:rFonts w:ascii="Arial" w:hAnsi="Arial" w:cs="Arial"/>
          <w:sz w:val="24"/>
          <w:szCs w:val="24"/>
          <w:u w:val="single"/>
        </w:rPr>
        <w:t>ausência de contrapartidas</w:t>
      </w:r>
      <w:r>
        <w:rPr>
          <w:rFonts w:ascii="Arial" w:hAnsi="Arial" w:cs="Arial"/>
          <w:sz w:val="24"/>
          <w:szCs w:val="24"/>
        </w:rPr>
        <w:t>, nos seguintes termos:</w:t>
      </w:r>
    </w:p>
    <w:p w14:paraId="3A45C127" w14:textId="3D283B27" w:rsidR="00091712" w:rsidRDefault="00091712" w:rsidP="00C30C86">
      <w:pPr>
        <w:spacing w:line="360" w:lineRule="auto"/>
        <w:ind w:firstLine="851"/>
        <w:jc w:val="both"/>
        <w:rPr>
          <w:rFonts w:ascii="Arial" w:hAnsi="Arial" w:cs="Arial"/>
          <w:sz w:val="24"/>
          <w:szCs w:val="24"/>
        </w:rPr>
      </w:pPr>
    </w:p>
    <w:p w14:paraId="0863D75E" w14:textId="77777777" w:rsidR="00C304A0" w:rsidRDefault="00091712" w:rsidP="001A04C9">
      <w:pPr>
        <w:ind w:left="2268"/>
        <w:jc w:val="both"/>
        <w:rPr>
          <w:rFonts w:ascii="Arial" w:hAnsi="Arial" w:cs="Arial"/>
          <w:sz w:val="22"/>
          <w:szCs w:val="22"/>
        </w:rPr>
      </w:pPr>
      <w:r w:rsidRPr="00091712">
        <w:rPr>
          <w:rFonts w:ascii="Arial" w:hAnsi="Arial" w:cs="Arial"/>
          <w:sz w:val="22"/>
          <w:szCs w:val="22"/>
        </w:rPr>
        <w:t xml:space="preserve">Não bastasse a ineficiência da ENEL na prestação de um serviço público de altíssima relevância social e grande impacto em todas as cadeias produtivas, importa trazer à baila o fato de que o Edital PND de Leilão n° 02/2016/CELG-D, publicado em conjunto pela CELG-D e pelo Programa Nacional de Desestatização do Banco Nacional do Desenvolvimento Econômico e Social/BNDES, responsável pela alienação de ações ordinárias da CELG Distribuição S.A. — CELG-D, nada dispôs acerca da concessão de benefícios fiscais como obrigação do Estado de Goiás a título de incentivo à desestatização ou mesmo como medida compensatória ou algo do gênero. </w:t>
      </w:r>
    </w:p>
    <w:p w14:paraId="663533F9" w14:textId="43DE2730" w:rsidR="00C304A0" w:rsidRDefault="00091712" w:rsidP="001A04C9">
      <w:pPr>
        <w:ind w:left="2268"/>
        <w:jc w:val="both"/>
        <w:rPr>
          <w:rFonts w:ascii="Arial" w:hAnsi="Arial" w:cs="Arial"/>
          <w:sz w:val="22"/>
          <w:szCs w:val="22"/>
        </w:rPr>
      </w:pPr>
      <w:r w:rsidRPr="00091712">
        <w:rPr>
          <w:rFonts w:ascii="Arial" w:hAnsi="Arial" w:cs="Arial"/>
          <w:sz w:val="22"/>
          <w:szCs w:val="22"/>
        </w:rPr>
        <w:t xml:space="preserve">Leitura atenta do referido edital e seus anexos, inclusive da minuta do instrumento contratual, revela a inexistência de compromisso por parte do Estado de Goiás, de aprovar medida legislativa de incentivo fiscal ou </w:t>
      </w:r>
      <w:r w:rsidRPr="00091712">
        <w:rPr>
          <w:rFonts w:ascii="Arial" w:hAnsi="Arial" w:cs="Arial"/>
          <w:sz w:val="22"/>
          <w:szCs w:val="22"/>
        </w:rPr>
        <w:lastRenderedPageBreak/>
        <w:t xml:space="preserve">tributário. Ou seja, a aprovação da Lei n° 19.473/2016 foi medida espontânea e voluntária, que estabeleceu renúncia fiscal sem as contrapartidas necessárias por parte da empresa beneficiada, resultando no lamentável quadro que ora se observa: por um lado, a ineficiência da concessionária, com graves impactos na economia e na vida das pessoas, por outro, a maximização de lucros pelos créditos outorgados de ICMS, até o ano de 2045!!! </w:t>
      </w:r>
    </w:p>
    <w:p w14:paraId="34C12C71" w14:textId="2F979B7F" w:rsidR="00091712" w:rsidRPr="00431821" w:rsidRDefault="00091712" w:rsidP="001A04C9">
      <w:pPr>
        <w:ind w:left="2268"/>
        <w:jc w:val="both"/>
        <w:rPr>
          <w:rFonts w:ascii="Arial" w:hAnsi="Arial" w:cs="Arial"/>
          <w:sz w:val="22"/>
          <w:szCs w:val="22"/>
        </w:rPr>
      </w:pPr>
      <w:r w:rsidRPr="00091712">
        <w:rPr>
          <w:rFonts w:ascii="Arial" w:hAnsi="Arial" w:cs="Arial"/>
          <w:sz w:val="22"/>
          <w:szCs w:val="22"/>
        </w:rPr>
        <w:t>Assim, tenho por justo, adequado e oportuno o projeto de lei apresentado pelo ilustre Deputado Paulo Cézar Martins, no sentido de permitir que esta Casa de representação popular promova a revogação da Lei n° 19.473/2016, tendo em vista a natureza nefasta dos benefícios fiscais ali previstos, bem como sua desnecessidade ante a ausência de previsão contratual e o péssimo serviço que vem sendo prestado pela concessionária à população de nosso Estado, com impactos negativos em nosso produto interno bruto.</w:t>
      </w:r>
    </w:p>
    <w:p w14:paraId="4B720C40" w14:textId="10864654" w:rsidR="00091712" w:rsidRDefault="00091712" w:rsidP="00C30C86">
      <w:pPr>
        <w:spacing w:line="360" w:lineRule="auto"/>
        <w:ind w:firstLine="851"/>
        <w:jc w:val="both"/>
        <w:rPr>
          <w:rFonts w:ascii="Arial" w:hAnsi="Arial" w:cs="Arial"/>
          <w:sz w:val="24"/>
          <w:szCs w:val="24"/>
        </w:rPr>
      </w:pPr>
    </w:p>
    <w:p w14:paraId="7543EA99" w14:textId="75F7E9C9" w:rsidR="00487D34" w:rsidRDefault="00C304A0" w:rsidP="00C30C86">
      <w:pPr>
        <w:spacing w:line="360" w:lineRule="auto"/>
        <w:ind w:firstLine="851"/>
        <w:jc w:val="both"/>
        <w:rPr>
          <w:rFonts w:ascii="Arial" w:hAnsi="Arial" w:cs="Arial"/>
          <w:sz w:val="24"/>
          <w:szCs w:val="24"/>
        </w:rPr>
      </w:pPr>
      <w:r>
        <w:rPr>
          <w:rFonts w:ascii="Arial" w:hAnsi="Arial" w:cs="Arial"/>
          <w:sz w:val="24"/>
          <w:szCs w:val="24"/>
        </w:rPr>
        <w:t xml:space="preserve">O caso da </w:t>
      </w:r>
      <w:r w:rsidR="00C569CF">
        <w:rPr>
          <w:rFonts w:ascii="Arial" w:hAnsi="Arial" w:cs="Arial"/>
          <w:sz w:val="24"/>
          <w:szCs w:val="24"/>
        </w:rPr>
        <w:t xml:space="preserve">Eneel </w:t>
      </w:r>
      <w:r>
        <w:rPr>
          <w:rFonts w:ascii="Arial" w:hAnsi="Arial" w:cs="Arial"/>
          <w:sz w:val="24"/>
          <w:szCs w:val="24"/>
        </w:rPr>
        <w:t xml:space="preserve">pode ser tranquilamente citado como um dos exemplos que mais evidenciam </w:t>
      </w:r>
      <w:r w:rsidRPr="00C304A0">
        <w:rPr>
          <w:rFonts w:ascii="Arial" w:hAnsi="Arial" w:cs="Arial"/>
          <w:b/>
          <w:sz w:val="24"/>
          <w:szCs w:val="24"/>
        </w:rPr>
        <w:t>o quão longe a irresponsabilidade fiscal pode chegar no sentido de conceder benefícios tributários relativos ao ICMS sem a necessária contrapartida econômica e social</w:t>
      </w:r>
      <w:r>
        <w:rPr>
          <w:rFonts w:ascii="Arial" w:hAnsi="Arial" w:cs="Arial"/>
          <w:sz w:val="24"/>
          <w:szCs w:val="24"/>
        </w:rPr>
        <w:t>; pelo contrário, acompanhado d</w:t>
      </w:r>
      <w:r w:rsidR="00493DFC">
        <w:rPr>
          <w:rFonts w:ascii="Arial" w:hAnsi="Arial" w:cs="Arial"/>
          <w:sz w:val="24"/>
          <w:szCs w:val="24"/>
        </w:rPr>
        <w:t>a péssima prestação de serviço público, o qual</w:t>
      </w:r>
      <w:r>
        <w:rPr>
          <w:rFonts w:ascii="Arial" w:hAnsi="Arial" w:cs="Arial"/>
          <w:sz w:val="24"/>
          <w:szCs w:val="24"/>
        </w:rPr>
        <w:t xml:space="preserve">, aliás, </w:t>
      </w:r>
      <w:r w:rsidR="00493DFC">
        <w:rPr>
          <w:rFonts w:ascii="Arial" w:hAnsi="Arial" w:cs="Arial"/>
          <w:sz w:val="24"/>
          <w:szCs w:val="24"/>
        </w:rPr>
        <w:t>possui</w:t>
      </w:r>
      <w:r>
        <w:rPr>
          <w:rFonts w:ascii="Arial" w:hAnsi="Arial" w:cs="Arial"/>
          <w:sz w:val="24"/>
          <w:szCs w:val="24"/>
        </w:rPr>
        <w:t xml:space="preserve"> natureza essencial: o fornecimento e a distribuição de energia elétrica.</w:t>
      </w:r>
      <w:r w:rsidR="00924213">
        <w:rPr>
          <w:rFonts w:ascii="Arial" w:hAnsi="Arial" w:cs="Arial"/>
          <w:sz w:val="24"/>
          <w:szCs w:val="24"/>
        </w:rPr>
        <w:t xml:space="preserve"> As deficiências quanto ao serviço prestado pela </w:t>
      </w:r>
      <w:r w:rsidR="00C569CF">
        <w:rPr>
          <w:rFonts w:ascii="Arial" w:hAnsi="Arial" w:cs="Arial"/>
          <w:sz w:val="24"/>
          <w:szCs w:val="24"/>
        </w:rPr>
        <w:t xml:space="preserve">Eneel </w:t>
      </w:r>
      <w:r w:rsidR="003C42E2">
        <w:rPr>
          <w:rFonts w:ascii="Arial" w:hAnsi="Arial" w:cs="Arial"/>
          <w:sz w:val="24"/>
          <w:szCs w:val="24"/>
        </w:rPr>
        <w:t xml:space="preserve">foi </w:t>
      </w:r>
      <w:r w:rsidR="00924213">
        <w:rPr>
          <w:rFonts w:ascii="Arial" w:hAnsi="Arial" w:cs="Arial"/>
          <w:sz w:val="24"/>
          <w:szCs w:val="24"/>
        </w:rPr>
        <w:t>objeto de apuração específica em outra CPI que tramit</w:t>
      </w:r>
      <w:r w:rsidR="003C42E2">
        <w:rPr>
          <w:rFonts w:ascii="Arial" w:hAnsi="Arial" w:cs="Arial"/>
          <w:sz w:val="24"/>
          <w:szCs w:val="24"/>
        </w:rPr>
        <w:t>ou</w:t>
      </w:r>
      <w:r w:rsidR="00924213">
        <w:rPr>
          <w:rFonts w:ascii="Arial" w:hAnsi="Arial" w:cs="Arial"/>
          <w:sz w:val="24"/>
          <w:szCs w:val="24"/>
        </w:rPr>
        <w:t xml:space="preserve"> nesta Casa Legislativa (processo nº </w:t>
      </w:r>
      <w:r w:rsidR="00924213" w:rsidRPr="00505254">
        <w:rPr>
          <w:rFonts w:ascii="Arial" w:hAnsi="Arial" w:cs="Arial"/>
          <w:sz w:val="24"/>
          <w:szCs w:val="24"/>
        </w:rPr>
        <w:t>201900</w:t>
      </w:r>
      <w:r w:rsidR="00505254" w:rsidRPr="00505254">
        <w:rPr>
          <w:rFonts w:ascii="Arial" w:hAnsi="Arial" w:cs="Arial"/>
          <w:sz w:val="24"/>
          <w:szCs w:val="24"/>
        </w:rPr>
        <w:t>1082</w:t>
      </w:r>
      <w:r w:rsidR="00924213">
        <w:rPr>
          <w:rFonts w:ascii="Arial" w:hAnsi="Arial" w:cs="Arial"/>
          <w:sz w:val="24"/>
          <w:szCs w:val="24"/>
        </w:rPr>
        <w:t>).</w:t>
      </w:r>
    </w:p>
    <w:p w14:paraId="3D4D23D6" w14:textId="77777777" w:rsidR="00DA08EB" w:rsidRDefault="00DA08EB" w:rsidP="00C30C86">
      <w:pPr>
        <w:spacing w:line="360" w:lineRule="auto"/>
        <w:ind w:firstLine="851"/>
        <w:jc w:val="both"/>
        <w:rPr>
          <w:rFonts w:ascii="Arial" w:hAnsi="Arial" w:cs="Arial"/>
          <w:sz w:val="24"/>
          <w:szCs w:val="24"/>
        </w:rPr>
      </w:pPr>
    </w:p>
    <w:p w14:paraId="0ABA7C3F" w14:textId="52D6BF9B" w:rsidR="00C569CF" w:rsidRDefault="0071543D" w:rsidP="00C30C86">
      <w:pPr>
        <w:spacing w:line="360" w:lineRule="auto"/>
        <w:ind w:firstLine="851"/>
        <w:jc w:val="both"/>
        <w:rPr>
          <w:rFonts w:ascii="Arial" w:hAnsi="Arial" w:cs="Arial"/>
          <w:sz w:val="24"/>
          <w:szCs w:val="24"/>
        </w:rPr>
      </w:pPr>
      <w:r w:rsidRPr="0071543D">
        <w:rPr>
          <w:rFonts w:ascii="Arial" w:hAnsi="Arial" w:cs="Arial"/>
          <w:b/>
          <w:sz w:val="24"/>
          <w:szCs w:val="24"/>
        </w:rPr>
        <w:t>3.3.2.5.</w:t>
      </w:r>
      <w:r>
        <w:rPr>
          <w:rFonts w:ascii="Arial" w:hAnsi="Arial" w:cs="Arial"/>
          <w:b/>
          <w:sz w:val="24"/>
          <w:szCs w:val="24"/>
        </w:rPr>
        <w:t>2</w:t>
      </w:r>
      <w:r w:rsidR="006555D1">
        <w:rPr>
          <w:rFonts w:ascii="Arial" w:hAnsi="Arial" w:cs="Arial"/>
          <w:b/>
          <w:sz w:val="24"/>
          <w:szCs w:val="24"/>
        </w:rPr>
        <w:t>.</w:t>
      </w:r>
      <w:r>
        <w:rPr>
          <w:rFonts w:ascii="Arial" w:hAnsi="Arial" w:cs="Arial"/>
          <w:b/>
          <w:i/>
          <w:sz w:val="24"/>
          <w:szCs w:val="24"/>
        </w:rPr>
        <w:t xml:space="preserve"> </w:t>
      </w:r>
      <w:r w:rsidR="00924213">
        <w:rPr>
          <w:rFonts w:ascii="Arial" w:hAnsi="Arial" w:cs="Arial"/>
          <w:sz w:val="24"/>
          <w:szCs w:val="24"/>
        </w:rPr>
        <w:t xml:space="preserve">Além disso, </w:t>
      </w:r>
      <w:r w:rsidR="006F2593" w:rsidRPr="004A716D">
        <w:rPr>
          <w:rFonts w:ascii="Arial" w:hAnsi="Arial" w:cs="Arial"/>
          <w:b/>
          <w:sz w:val="24"/>
          <w:szCs w:val="24"/>
        </w:rPr>
        <w:t>encontra-se em questionamento junto ao TCE/GO</w:t>
      </w:r>
      <w:r w:rsidR="004A716D">
        <w:rPr>
          <w:rFonts w:ascii="Arial" w:hAnsi="Arial" w:cs="Arial"/>
          <w:b/>
          <w:sz w:val="24"/>
          <w:szCs w:val="24"/>
        </w:rPr>
        <w:t xml:space="preserve"> (processo nº </w:t>
      </w:r>
      <w:r w:rsidR="00AF73AA" w:rsidRPr="00AF73AA">
        <w:rPr>
          <w:rFonts w:ascii="Arial" w:hAnsi="Arial" w:cs="Arial"/>
          <w:b/>
          <w:sz w:val="24"/>
          <w:szCs w:val="24"/>
        </w:rPr>
        <w:t>201800047000995</w:t>
      </w:r>
      <w:r w:rsidR="004A716D">
        <w:rPr>
          <w:rFonts w:ascii="Arial" w:hAnsi="Arial" w:cs="Arial"/>
          <w:b/>
          <w:sz w:val="24"/>
          <w:szCs w:val="24"/>
        </w:rPr>
        <w:t>)</w:t>
      </w:r>
      <w:r w:rsidR="006F2593" w:rsidRPr="004A716D">
        <w:rPr>
          <w:rFonts w:ascii="Arial" w:hAnsi="Arial" w:cs="Arial"/>
          <w:b/>
          <w:sz w:val="24"/>
          <w:szCs w:val="24"/>
        </w:rPr>
        <w:t xml:space="preserve"> a aplicação da Lei nº 20.</w:t>
      </w:r>
      <w:r w:rsidR="00453194" w:rsidRPr="004A716D">
        <w:rPr>
          <w:rFonts w:ascii="Arial" w:hAnsi="Arial" w:cs="Arial"/>
          <w:b/>
          <w:sz w:val="24"/>
          <w:szCs w:val="24"/>
        </w:rPr>
        <w:t>051</w:t>
      </w:r>
      <w:r w:rsidR="006F2593" w:rsidRPr="004A716D">
        <w:rPr>
          <w:rFonts w:ascii="Arial" w:hAnsi="Arial" w:cs="Arial"/>
          <w:b/>
          <w:sz w:val="24"/>
          <w:szCs w:val="24"/>
        </w:rPr>
        <w:t>/2018</w:t>
      </w:r>
      <w:r w:rsidR="006E635B">
        <w:rPr>
          <w:rFonts w:ascii="Arial" w:hAnsi="Arial" w:cs="Arial"/>
          <w:sz w:val="24"/>
          <w:szCs w:val="24"/>
        </w:rPr>
        <w:t xml:space="preserve">, resultante da aprovação por esta Casa de Leis de projeto de iniciativa </w:t>
      </w:r>
      <w:r w:rsidR="00FA0CD9">
        <w:rPr>
          <w:rFonts w:ascii="Arial" w:hAnsi="Arial" w:cs="Arial"/>
          <w:sz w:val="24"/>
          <w:szCs w:val="24"/>
        </w:rPr>
        <w:t>do Chefe do Poder Executivo</w:t>
      </w:r>
      <w:r w:rsidR="00453194">
        <w:rPr>
          <w:rFonts w:ascii="Arial" w:hAnsi="Arial" w:cs="Arial"/>
          <w:sz w:val="24"/>
          <w:szCs w:val="24"/>
        </w:rPr>
        <w:t xml:space="preserve"> anterior</w:t>
      </w:r>
      <w:r w:rsidR="006E635B">
        <w:rPr>
          <w:rFonts w:ascii="Arial" w:hAnsi="Arial" w:cs="Arial"/>
          <w:sz w:val="24"/>
          <w:szCs w:val="24"/>
        </w:rPr>
        <w:t xml:space="preserve"> (PL nº </w:t>
      </w:r>
      <w:r w:rsidR="006E635B" w:rsidRPr="006E635B">
        <w:rPr>
          <w:rFonts w:ascii="Arial" w:hAnsi="Arial" w:cs="Arial"/>
          <w:sz w:val="24"/>
          <w:szCs w:val="24"/>
        </w:rPr>
        <w:t>2018000568</w:t>
      </w:r>
      <w:r w:rsidR="006E635B">
        <w:rPr>
          <w:rFonts w:ascii="Arial" w:hAnsi="Arial" w:cs="Arial"/>
          <w:sz w:val="24"/>
          <w:szCs w:val="24"/>
        </w:rPr>
        <w:t>)</w:t>
      </w:r>
      <w:r w:rsidR="004A716D">
        <w:rPr>
          <w:rFonts w:ascii="Arial" w:hAnsi="Arial" w:cs="Arial"/>
          <w:sz w:val="24"/>
          <w:szCs w:val="24"/>
        </w:rPr>
        <w:t xml:space="preserve">. </w:t>
      </w:r>
    </w:p>
    <w:p w14:paraId="43817A22" w14:textId="35DDCBB6" w:rsidR="0071543D" w:rsidRDefault="004A716D" w:rsidP="00C30C86">
      <w:pPr>
        <w:spacing w:line="360" w:lineRule="auto"/>
        <w:ind w:firstLine="851"/>
        <w:jc w:val="both"/>
        <w:rPr>
          <w:rFonts w:ascii="Arial" w:hAnsi="Arial" w:cs="Arial"/>
          <w:sz w:val="24"/>
          <w:szCs w:val="24"/>
        </w:rPr>
      </w:pPr>
      <w:r w:rsidRPr="00C569CF">
        <w:rPr>
          <w:rFonts w:ascii="Arial" w:hAnsi="Arial" w:cs="Arial"/>
          <w:b/>
          <w:sz w:val="24"/>
          <w:szCs w:val="24"/>
        </w:rPr>
        <w:t xml:space="preserve">Referida lei </w:t>
      </w:r>
      <w:r w:rsidR="00A16BAA" w:rsidRPr="00C569CF">
        <w:rPr>
          <w:rFonts w:ascii="Arial" w:hAnsi="Arial" w:cs="Arial"/>
          <w:b/>
          <w:sz w:val="24"/>
          <w:szCs w:val="24"/>
        </w:rPr>
        <w:t>concede remissão e anistia de créditos tributários constituídos ou não do ICMS</w:t>
      </w:r>
      <w:r w:rsidR="00A16BAA" w:rsidRPr="00A16BAA">
        <w:rPr>
          <w:rFonts w:ascii="Arial" w:hAnsi="Arial" w:cs="Arial"/>
          <w:sz w:val="24"/>
          <w:szCs w:val="24"/>
        </w:rPr>
        <w:t xml:space="preserve">, inscritos ou não em dívida ativa, inclusive ajuizados, da contribuinte CELG Distribuição S.A </w:t>
      </w:r>
      <w:r w:rsidR="00CA6655">
        <w:rPr>
          <w:rFonts w:ascii="Arial" w:hAnsi="Arial" w:cs="Arial"/>
          <w:sz w:val="24"/>
          <w:szCs w:val="24"/>
        </w:rPr>
        <w:t>(CELG D)</w:t>
      </w:r>
      <w:r w:rsidR="00A16BAA" w:rsidRPr="00A16BAA">
        <w:rPr>
          <w:rFonts w:ascii="Arial" w:hAnsi="Arial" w:cs="Arial"/>
          <w:sz w:val="24"/>
          <w:szCs w:val="24"/>
        </w:rPr>
        <w:t>, inscrita no CNPJ sob o número 01.543.032/0001-04, referentes a fatos geradores ocorridos até 27</w:t>
      </w:r>
      <w:r w:rsidR="00CA6655">
        <w:rPr>
          <w:rFonts w:ascii="Arial" w:hAnsi="Arial" w:cs="Arial"/>
          <w:sz w:val="24"/>
          <w:szCs w:val="24"/>
        </w:rPr>
        <w:t>/01/</w:t>
      </w:r>
      <w:r w:rsidR="00A16BAA" w:rsidRPr="00A16BAA">
        <w:rPr>
          <w:rFonts w:ascii="Arial" w:hAnsi="Arial" w:cs="Arial"/>
          <w:sz w:val="24"/>
          <w:szCs w:val="24"/>
        </w:rPr>
        <w:t>2015, nos limites e condições estabelecidos no art. 2º</w:t>
      </w:r>
      <w:r w:rsidR="00453194">
        <w:rPr>
          <w:rFonts w:ascii="Arial" w:hAnsi="Arial" w:cs="Arial"/>
          <w:sz w:val="24"/>
          <w:szCs w:val="24"/>
        </w:rPr>
        <w:t xml:space="preserve"> </w:t>
      </w:r>
      <w:r w:rsidR="003F66CC">
        <w:rPr>
          <w:rFonts w:ascii="Arial" w:hAnsi="Arial" w:cs="Arial"/>
          <w:sz w:val="24"/>
          <w:szCs w:val="24"/>
        </w:rPr>
        <w:t>daquela Lei.</w:t>
      </w:r>
      <w:r w:rsidR="0071543D">
        <w:rPr>
          <w:rFonts w:ascii="Arial" w:hAnsi="Arial" w:cs="Arial"/>
          <w:sz w:val="24"/>
          <w:szCs w:val="24"/>
        </w:rPr>
        <w:t xml:space="preserve"> </w:t>
      </w:r>
      <w:r w:rsidR="0071543D" w:rsidRPr="00C569CF">
        <w:rPr>
          <w:rFonts w:ascii="Arial" w:hAnsi="Arial" w:cs="Arial"/>
          <w:sz w:val="24"/>
          <w:szCs w:val="24"/>
          <w:u w:val="single"/>
        </w:rPr>
        <w:t xml:space="preserve">Evidentemente, a real beneficiária dessa medida legislativa seria, mais uma vez, a </w:t>
      </w:r>
      <w:r w:rsidR="00C569CF" w:rsidRPr="00C569CF">
        <w:rPr>
          <w:rFonts w:ascii="Arial" w:hAnsi="Arial" w:cs="Arial"/>
          <w:sz w:val="24"/>
          <w:szCs w:val="24"/>
          <w:u w:val="single"/>
        </w:rPr>
        <w:t>Eneel</w:t>
      </w:r>
      <w:r w:rsidR="0071543D">
        <w:rPr>
          <w:rFonts w:ascii="Arial" w:hAnsi="Arial" w:cs="Arial"/>
          <w:sz w:val="24"/>
          <w:szCs w:val="24"/>
        </w:rPr>
        <w:t xml:space="preserve">. </w:t>
      </w:r>
    </w:p>
    <w:p w14:paraId="54D250E0" w14:textId="5C640298" w:rsidR="00620A33" w:rsidRDefault="0071543D" w:rsidP="00F41C72">
      <w:pPr>
        <w:spacing w:line="360" w:lineRule="auto"/>
        <w:ind w:firstLine="851"/>
        <w:jc w:val="both"/>
        <w:rPr>
          <w:rFonts w:ascii="Arial" w:hAnsi="Arial" w:cs="Arial"/>
          <w:sz w:val="24"/>
          <w:szCs w:val="24"/>
        </w:rPr>
      </w:pPr>
      <w:r w:rsidRPr="00F41C72">
        <w:rPr>
          <w:rFonts w:ascii="Arial" w:hAnsi="Arial" w:cs="Arial"/>
          <w:b/>
          <w:sz w:val="24"/>
          <w:szCs w:val="24"/>
        </w:rPr>
        <w:t>Argumenta-se, junto ao TCE/GO, principalmente o descumprimento dos requisitos estabelecidos pelo art. 14 da LRF</w:t>
      </w:r>
      <w:r>
        <w:rPr>
          <w:rFonts w:ascii="Arial" w:hAnsi="Arial" w:cs="Arial"/>
          <w:sz w:val="24"/>
          <w:szCs w:val="24"/>
        </w:rPr>
        <w:t>, o que foi acolhido pela Corte de Contas</w:t>
      </w:r>
      <w:r w:rsidR="00111C55">
        <w:rPr>
          <w:rFonts w:ascii="Arial" w:hAnsi="Arial" w:cs="Arial"/>
          <w:sz w:val="24"/>
          <w:szCs w:val="24"/>
        </w:rPr>
        <w:t xml:space="preserve"> ao </w:t>
      </w:r>
      <w:r w:rsidR="00F41C72">
        <w:rPr>
          <w:rFonts w:ascii="Arial" w:hAnsi="Arial" w:cs="Arial"/>
          <w:sz w:val="24"/>
          <w:szCs w:val="24"/>
        </w:rPr>
        <w:t>reformar</w:t>
      </w:r>
      <w:r w:rsidR="00111C55">
        <w:rPr>
          <w:rFonts w:ascii="Arial" w:hAnsi="Arial" w:cs="Arial"/>
          <w:sz w:val="24"/>
          <w:szCs w:val="24"/>
        </w:rPr>
        <w:t>, em sede de agravo</w:t>
      </w:r>
      <w:r w:rsidR="00F41C72">
        <w:rPr>
          <w:rFonts w:ascii="Arial" w:hAnsi="Arial" w:cs="Arial"/>
          <w:sz w:val="24"/>
          <w:szCs w:val="24"/>
        </w:rPr>
        <w:t xml:space="preserve"> interposto pelo Ministério Público Especial de Contas</w:t>
      </w:r>
      <w:r w:rsidR="00111C55">
        <w:rPr>
          <w:rFonts w:ascii="Arial" w:hAnsi="Arial" w:cs="Arial"/>
          <w:sz w:val="24"/>
          <w:szCs w:val="24"/>
        </w:rPr>
        <w:t>,</w:t>
      </w:r>
      <w:r w:rsidR="00F41C72">
        <w:rPr>
          <w:rFonts w:ascii="Arial" w:hAnsi="Arial" w:cs="Arial"/>
          <w:sz w:val="24"/>
          <w:szCs w:val="24"/>
        </w:rPr>
        <w:t xml:space="preserve"> </w:t>
      </w:r>
      <w:r w:rsidR="00F41C72">
        <w:rPr>
          <w:rFonts w:ascii="Arial" w:hAnsi="Arial" w:cs="Arial"/>
          <w:sz w:val="24"/>
          <w:szCs w:val="24"/>
        </w:rPr>
        <w:lastRenderedPageBreak/>
        <w:t>decisão monocrática para conceder</w:t>
      </w:r>
      <w:r>
        <w:rPr>
          <w:rFonts w:ascii="Arial" w:hAnsi="Arial" w:cs="Arial"/>
          <w:sz w:val="24"/>
          <w:szCs w:val="24"/>
        </w:rPr>
        <w:t xml:space="preserve"> </w:t>
      </w:r>
      <w:r w:rsidR="00F41C72">
        <w:rPr>
          <w:rFonts w:ascii="Arial" w:hAnsi="Arial" w:cs="Arial"/>
          <w:sz w:val="24"/>
          <w:szCs w:val="24"/>
        </w:rPr>
        <w:t xml:space="preserve">medida cautelar no sentido de </w:t>
      </w:r>
      <w:r w:rsidR="00F41C72" w:rsidRPr="00F41C72">
        <w:rPr>
          <w:rFonts w:ascii="Arial" w:hAnsi="Arial" w:cs="Arial"/>
          <w:sz w:val="24"/>
          <w:szCs w:val="24"/>
        </w:rPr>
        <w:t>determina</w:t>
      </w:r>
      <w:r w:rsidR="00F41C72">
        <w:rPr>
          <w:rFonts w:ascii="Arial" w:hAnsi="Arial" w:cs="Arial"/>
          <w:sz w:val="24"/>
          <w:szCs w:val="24"/>
        </w:rPr>
        <w:t>r</w:t>
      </w:r>
      <w:r w:rsidR="00F41C72" w:rsidRPr="00F41C72">
        <w:rPr>
          <w:rFonts w:ascii="Arial" w:hAnsi="Arial" w:cs="Arial"/>
          <w:sz w:val="24"/>
          <w:szCs w:val="24"/>
        </w:rPr>
        <w:t xml:space="preserve"> à Secretária de Estado da Economia que se abstenha de</w:t>
      </w:r>
      <w:r w:rsidR="00F41C72">
        <w:rPr>
          <w:rFonts w:ascii="Arial" w:hAnsi="Arial" w:cs="Arial"/>
          <w:sz w:val="24"/>
          <w:szCs w:val="24"/>
        </w:rPr>
        <w:t xml:space="preserve"> </w:t>
      </w:r>
      <w:r w:rsidR="00F41C72" w:rsidRPr="00F41C72">
        <w:rPr>
          <w:rFonts w:ascii="Arial" w:hAnsi="Arial" w:cs="Arial"/>
          <w:sz w:val="24"/>
          <w:szCs w:val="24"/>
        </w:rPr>
        <w:t>praticar qualquer ato administrativo com fundamento na Lei n. 20.051/2018, até</w:t>
      </w:r>
      <w:r w:rsidR="00F41C72">
        <w:rPr>
          <w:rFonts w:ascii="Arial" w:hAnsi="Arial" w:cs="Arial"/>
          <w:sz w:val="24"/>
          <w:szCs w:val="24"/>
        </w:rPr>
        <w:t xml:space="preserve"> </w:t>
      </w:r>
      <w:r w:rsidR="00F41C72" w:rsidRPr="00F41C72">
        <w:rPr>
          <w:rFonts w:ascii="Arial" w:hAnsi="Arial" w:cs="Arial"/>
          <w:sz w:val="24"/>
          <w:szCs w:val="24"/>
        </w:rPr>
        <w:t xml:space="preserve">que o mérito da </w:t>
      </w:r>
      <w:r w:rsidR="00F41C72">
        <w:rPr>
          <w:rFonts w:ascii="Arial" w:hAnsi="Arial" w:cs="Arial"/>
          <w:sz w:val="24"/>
          <w:szCs w:val="24"/>
        </w:rPr>
        <w:t>r</w:t>
      </w:r>
      <w:r w:rsidR="00F41C72" w:rsidRPr="00F41C72">
        <w:rPr>
          <w:rFonts w:ascii="Arial" w:hAnsi="Arial" w:cs="Arial"/>
          <w:sz w:val="24"/>
          <w:szCs w:val="24"/>
        </w:rPr>
        <w:t>epresentação</w:t>
      </w:r>
      <w:r w:rsidR="00F41C72">
        <w:rPr>
          <w:rFonts w:ascii="Arial" w:hAnsi="Arial" w:cs="Arial"/>
          <w:sz w:val="24"/>
          <w:szCs w:val="24"/>
        </w:rPr>
        <w:t xml:space="preserve"> seja julgado pelo Tribunal.</w:t>
      </w:r>
      <w:r w:rsidR="009A6D5E">
        <w:rPr>
          <w:rFonts w:ascii="Arial" w:hAnsi="Arial" w:cs="Arial"/>
          <w:sz w:val="24"/>
          <w:szCs w:val="24"/>
        </w:rPr>
        <w:t xml:space="preserve"> </w:t>
      </w:r>
      <w:r w:rsidR="00620A33">
        <w:rPr>
          <w:rFonts w:ascii="Arial" w:hAnsi="Arial" w:cs="Arial"/>
          <w:sz w:val="24"/>
          <w:szCs w:val="24"/>
        </w:rPr>
        <w:t>Extraem-se os seguintes fundamentos do voto do relator:</w:t>
      </w:r>
    </w:p>
    <w:p w14:paraId="03C4785C" w14:textId="77777777" w:rsidR="00FB1ED5" w:rsidRDefault="00FB1ED5" w:rsidP="00F41C72">
      <w:pPr>
        <w:spacing w:line="360" w:lineRule="auto"/>
        <w:ind w:firstLine="851"/>
        <w:jc w:val="both"/>
        <w:rPr>
          <w:rFonts w:ascii="Arial" w:hAnsi="Arial" w:cs="Arial"/>
          <w:sz w:val="24"/>
          <w:szCs w:val="24"/>
        </w:rPr>
      </w:pPr>
    </w:p>
    <w:p w14:paraId="0FF07B69" w14:textId="28077F73" w:rsidR="00620A33" w:rsidRDefault="00620A33" w:rsidP="001A04C9">
      <w:pPr>
        <w:ind w:left="2268"/>
        <w:jc w:val="both"/>
        <w:rPr>
          <w:rFonts w:ascii="Arial" w:hAnsi="Arial" w:cs="Arial"/>
          <w:sz w:val="22"/>
          <w:szCs w:val="22"/>
        </w:rPr>
      </w:pPr>
      <w:r w:rsidRPr="00620A33">
        <w:rPr>
          <w:rFonts w:ascii="Arial" w:hAnsi="Arial" w:cs="Arial"/>
          <w:b/>
          <w:sz w:val="22"/>
          <w:szCs w:val="22"/>
        </w:rPr>
        <w:t xml:space="preserve">O </w:t>
      </w:r>
      <w:r w:rsidRPr="00620A33">
        <w:rPr>
          <w:rFonts w:ascii="Arial" w:hAnsi="Arial" w:cs="Arial"/>
          <w:b/>
          <w:i/>
          <w:sz w:val="22"/>
          <w:szCs w:val="22"/>
        </w:rPr>
        <w:t>fumus boni iuris</w:t>
      </w:r>
      <w:r w:rsidRPr="00620A33">
        <w:rPr>
          <w:rFonts w:ascii="Arial" w:hAnsi="Arial" w:cs="Arial"/>
          <w:b/>
          <w:sz w:val="22"/>
          <w:szCs w:val="22"/>
        </w:rPr>
        <w:t xml:space="preserve"> se afigura presente, pois há elementos suficientes a demonstrar que a Lei n. 20.051/18 acarretou renúncia de receita, em princípio, em descompasso com os ditames do artigo 14, da Lei de Responsabilidade Fiscal, c/c artigo 18, da Lei Estadual n. 19.801/17 (LDO)</w:t>
      </w:r>
      <w:r w:rsidRPr="00620A33">
        <w:rPr>
          <w:rFonts w:ascii="Arial" w:hAnsi="Arial" w:cs="Arial"/>
          <w:sz w:val="22"/>
          <w:szCs w:val="22"/>
        </w:rPr>
        <w:t xml:space="preserve">. </w:t>
      </w:r>
    </w:p>
    <w:p w14:paraId="47AFF4BD" w14:textId="77777777" w:rsidR="00620A33" w:rsidRDefault="00620A33" w:rsidP="001A04C9">
      <w:pPr>
        <w:ind w:left="2268"/>
        <w:jc w:val="both"/>
        <w:rPr>
          <w:rFonts w:ascii="Arial" w:hAnsi="Arial" w:cs="Arial"/>
          <w:sz w:val="22"/>
          <w:szCs w:val="22"/>
        </w:rPr>
      </w:pPr>
      <w:r w:rsidRPr="00620A33">
        <w:rPr>
          <w:rFonts w:ascii="Arial" w:hAnsi="Arial" w:cs="Arial"/>
          <w:b/>
          <w:sz w:val="22"/>
          <w:szCs w:val="22"/>
        </w:rPr>
        <w:t>Nesse sentido, não há, até o momento, provas de que a remissão e a anistia de créditos tributários operada em favor da CELG D tenha sido precedida da demonstração de que a renúncia</w:t>
      </w:r>
      <w:r w:rsidRPr="00620A33">
        <w:rPr>
          <w:rFonts w:ascii="Arial" w:hAnsi="Arial" w:cs="Arial"/>
          <w:sz w:val="22"/>
          <w:szCs w:val="22"/>
        </w:rPr>
        <w:t xml:space="preserve"> foi </w:t>
      </w:r>
      <w:r w:rsidRPr="00620A33">
        <w:rPr>
          <w:rFonts w:ascii="Arial" w:hAnsi="Arial" w:cs="Arial"/>
          <w:sz w:val="22"/>
          <w:szCs w:val="22"/>
          <w:u w:val="single"/>
        </w:rPr>
        <w:t>considerada na estimativa de receita da lei orçamentária e de que não afetaria as metas de resultados fiscais</w:t>
      </w:r>
      <w:r w:rsidRPr="00620A33">
        <w:rPr>
          <w:rFonts w:ascii="Arial" w:hAnsi="Arial" w:cs="Arial"/>
          <w:sz w:val="22"/>
          <w:szCs w:val="22"/>
        </w:rPr>
        <w:t xml:space="preserve"> previstas no anexo próprio da Lei de Diretrizes Orçamentárias (inciso I) </w:t>
      </w:r>
      <w:r w:rsidRPr="00620A33">
        <w:rPr>
          <w:rFonts w:ascii="Arial" w:hAnsi="Arial" w:cs="Arial"/>
          <w:sz w:val="22"/>
          <w:szCs w:val="22"/>
          <w:u w:val="single"/>
        </w:rPr>
        <w:t>ou, ainda, de que se fez acompanhar de medidas de compensação</w:t>
      </w:r>
      <w:r w:rsidRPr="00620A33">
        <w:rPr>
          <w:rFonts w:ascii="Arial" w:hAnsi="Arial" w:cs="Arial"/>
          <w:sz w:val="22"/>
          <w:szCs w:val="22"/>
        </w:rPr>
        <w:t xml:space="preserve"> por meio do aumento de receita, proveniente da elevação de alíquotas, ampliação da base de cálculo, majoração ou criação de tributo ou contribuição (inciso II). Quanto ao tema, não se pode olvidar que a Lei de Diretrizes Orçamentárias para o exercício de 2.018 expressamente determinou que a concessão de benefício tributário deveria observar as exigências do artigo 14, da Lei de Responsabilidade Fiscal. </w:t>
      </w:r>
    </w:p>
    <w:p w14:paraId="23FDF404" w14:textId="77777777" w:rsidR="00620A33" w:rsidRDefault="00620A33" w:rsidP="001A04C9">
      <w:pPr>
        <w:ind w:left="2268"/>
        <w:jc w:val="both"/>
        <w:rPr>
          <w:rFonts w:ascii="Arial" w:hAnsi="Arial" w:cs="Arial"/>
          <w:sz w:val="22"/>
          <w:szCs w:val="22"/>
        </w:rPr>
      </w:pPr>
      <w:r w:rsidRPr="00620A33">
        <w:rPr>
          <w:rFonts w:ascii="Arial" w:hAnsi="Arial" w:cs="Arial"/>
          <w:sz w:val="22"/>
          <w:szCs w:val="22"/>
        </w:rPr>
        <w:t xml:space="preserve">Além disso, é curial observar que a Gerência de Fiscalização, no bojo da Instrução Técnica n. 15/2018, lavrada nos autos da Representação (Evento 13), salientou que "há contradição entre o procedimento adotado e a justificativa apresentada pela Secretaria da Fazenda, uma vez que a compensação de contas não exige, necessariamente, a edição de Lei concedendo remissão e anistia de créditos". De fato, se o Estado de Goiás assumiu o passivo tributário da CELG D, tornando-se ao mesmo tempo devedor e credor daquelas obrigações, não se afiguraria necessária a edição de lei determinando a remissão e anistia operada, uma vez que, em tese, não seria a CELG D o sujeito passivo dos correspondentes créditos tributários. Essa contradição é cristalina, pois </w:t>
      </w:r>
      <w:r w:rsidRPr="00620A33">
        <w:rPr>
          <w:rFonts w:ascii="Arial" w:hAnsi="Arial" w:cs="Arial"/>
          <w:b/>
          <w:sz w:val="22"/>
          <w:szCs w:val="22"/>
        </w:rPr>
        <w:t>a alegação de que não houve perdão de dívidas, mas sim compensação, não subsiste diante dos termos em que redigida a Lei, a qual menciona expressamente a remissão e a anistia de créditos tributários em favor da empresa</w:t>
      </w:r>
      <w:r w:rsidRPr="00620A33">
        <w:rPr>
          <w:rFonts w:ascii="Arial" w:hAnsi="Arial" w:cs="Arial"/>
          <w:sz w:val="22"/>
          <w:szCs w:val="22"/>
        </w:rPr>
        <w:t xml:space="preserve">. </w:t>
      </w:r>
    </w:p>
    <w:p w14:paraId="1D5EBDED" w14:textId="07CF5DA9" w:rsidR="00620A33" w:rsidRPr="00620A33" w:rsidRDefault="00620A33" w:rsidP="001A04C9">
      <w:pPr>
        <w:ind w:left="2268"/>
        <w:jc w:val="both"/>
        <w:rPr>
          <w:rFonts w:ascii="Arial" w:hAnsi="Arial" w:cs="Arial"/>
          <w:b/>
          <w:sz w:val="22"/>
          <w:szCs w:val="22"/>
        </w:rPr>
      </w:pPr>
      <w:r w:rsidRPr="00620A33">
        <w:rPr>
          <w:rFonts w:ascii="Arial" w:hAnsi="Arial" w:cs="Arial"/>
          <w:sz w:val="22"/>
          <w:szCs w:val="22"/>
        </w:rPr>
        <w:t xml:space="preserve">Acresçam-se, ainda, os questionamentos da Unidade Técnica a respeito da </w:t>
      </w:r>
      <w:r w:rsidRPr="00620A33">
        <w:rPr>
          <w:rFonts w:ascii="Arial" w:hAnsi="Arial" w:cs="Arial"/>
          <w:b/>
          <w:sz w:val="22"/>
          <w:szCs w:val="22"/>
        </w:rPr>
        <w:t>fragilidade do procedimento que ensejou a renúncia, não havendo elementos precisos quanto ao valor dos respectivos créditos e sua origem</w:t>
      </w:r>
      <w:r w:rsidRPr="00620A33">
        <w:rPr>
          <w:rFonts w:ascii="Arial" w:hAnsi="Arial" w:cs="Arial"/>
          <w:sz w:val="22"/>
          <w:szCs w:val="22"/>
        </w:rPr>
        <w:t xml:space="preserve">. Em razão de tais deficiências, a Unidade Técnica sugeriu, nos autos da Representação, a instauração de procedimento de inspeção. </w:t>
      </w:r>
      <w:r w:rsidRPr="00620A33">
        <w:rPr>
          <w:rFonts w:ascii="Arial" w:hAnsi="Arial" w:cs="Arial"/>
          <w:b/>
          <w:sz w:val="22"/>
          <w:szCs w:val="22"/>
        </w:rPr>
        <w:t>Tais argumentos reforçam a plausibilidade jurídica para a concessão da cautelar, o que é possível exatamente por se tratar de lei de feitos concretos, correspondente a verdadeiro ato administrativo</w:t>
      </w:r>
      <w:r w:rsidRPr="00620A33">
        <w:rPr>
          <w:rFonts w:ascii="Arial" w:hAnsi="Arial" w:cs="Arial"/>
          <w:sz w:val="22"/>
          <w:szCs w:val="22"/>
        </w:rPr>
        <w:t>.</w:t>
      </w:r>
      <w:r>
        <w:rPr>
          <w:rFonts w:ascii="Arial" w:hAnsi="Arial" w:cs="Arial"/>
          <w:sz w:val="22"/>
          <w:szCs w:val="22"/>
        </w:rPr>
        <w:t xml:space="preserve"> [grifou-se]</w:t>
      </w:r>
    </w:p>
    <w:p w14:paraId="00B19D61" w14:textId="77777777" w:rsidR="00620A33" w:rsidRDefault="00620A33" w:rsidP="00F41C72">
      <w:pPr>
        <w:spacing w:line="360" w:lineRule="auto"/>
        <w:ind w:firstLine="851"/>
        <w:jc w:val="both"/>
        <w:rPr>
          <w:rFonts w:ascii="Arial" w:hAnsi="Arial" w:cs="Arial"/>
          <w:sz w:val="24"/>
          <w:szCs w:val="24"/>
        </w:rPr>
      </w:pPr>
    </w:p>
    <w:p w14:paraId="2921BC7F" w14:textId="031BB861" w:rsidR="00C87D7D" w:rsidRDefault="00C87D7D" w:rsidP="00C30C86">
      <w:pPr>
        <w:spacing w:line="360" w:lineRule="auto"/>
        <w:ind w:firstLine="851"/>
        <w:jc w:val="both"/>
        <w:rPr>
          <w:rFonts w:ascii="Arial" w:hAnsi="Arial" w:cs="Arial"/>
          <w:sz w:val="24"/>
          <w:szCs w:val="24"/>
        </w:rPr>
      </w:pPr>
      <w:r>
        <w:rPr>
          <w:rFonts w:ascii="Arial" w:hAnsi="Arial" w:cs="Arial"/>
          <w:sz w:val="24"/>
          <w:szCs w:val="24"/>
        </w:rPr>
        <w:lastRenderedPageBreak/>
        <w:t>Por fim, esta Casa Legislativa também aprovou projeto de lei que deu origem à recentíssima Lei nº 20.740 (D.O. 20-01-2020), a qual revoga integramente a Lei nº 20.051/2018, questionada junto ao TCE/GO.</w:t>
      </w:r>
    </w:p>
    <w:p w14:paraId="03BCC308" w14:textId="71C05351" w:rsidR="00A113FF" w:rsidRDefault="009A6D5E" w:rsidP="00C30C86">
      <w:pPr>
        <w:spacing w:line="360" w:lineRule="auto"/>
        <w:ind w:firstLine="851"/>
        <w:jc w:val="both"/>
        <w:rPr>
          <w:rFonts w:ascii="Arial" w:hAnsi="Arial" w:cs="Arial"/>
          <w:sz w:val="24"/>
          <w:szCs w:val="24"/>
        </w:rPr>
      </w:pPr>
      <w:r>
        <w:rPr>
          <w:rFonts w:ascii="Arial" w:hAnsi="Arial" w:cs="Arial"/>
          <w:sz w:val="24"/>
          <w:szCs w:val="24"/>
        </w:rPr>
        <w:t>Portanto, verifica-se que, aos poucos, tem havido uma leitura mais crítica, por parte dos Poderes e órgão de controle,</w:t>
      </w:r>
      <w:r w:rsidR="00DB2A0A">
        <w:rPr>
          <w:rFonts w:ascii="Arial" w:hAnsi="Arial" w:cs="Arial"/>
          <w:sz w:val="24"/>
          <w:szCs w:val="24"/>
        </w:rPr>
        <w:t xml:space="preserve"> inclusive da própria Assembleia Legislativa,</w:t>
      </w:r>
      <w:r>
        <w:rPr>
          <w:rFonts w:ascii="Arial" w:hAnsi="Arial" w:cs="Arial"/>
          <w:sz w:val="24"/>
          <w:szCs w:val="24"/>
        </w:rPr>
        <w:t xml:space="preserve"> acerca dos incentivos fiscais concedidos ao setor de energia elétrica, antes representado pela Celg</w:t>
      </w:r>
      <w:r w:rsidR="00DB2A0A">
        <w:rPr>
          <w:rFonts w:ascii="Arial" w:hAnsi="Arial" w:cs="Arial"/>
          <w:sz w:val="24"/>
          <w:szCs w:val="24"/>
        </w:rPr>
        <w:t>-D</w:t>
      </w:r>
      <w:r>
        <w:rPr>
          <w:rFonts w:ascii="Arial" w:hAnsi="Arial" w:cs="Arial"/>
          <w:sz w:val="24"/>
          <w:szCs w:val="24"/>
        </w:rPr>
        <w:t xml:space="preserve"> e hoje pela Eneel, </w:t>
      </w:r>
      <w:r w:rsidR="00DB2A0A" w:rsidRPr="00DB2A0A">
        <w:rPr>
          <w:rFonts w:ascii="Arial" w:hAnsi="Arial" w:cs="Arial"/>
          <w:sz w:val="24"/>
          <w:szCs w:val="24"/>
        </w:rPr>
        <w:t xml:space="preserve">como evidenciado pela recente publicação </w:t>
      </w:r>
      <w:r w:rsidRPr="00DB2A0A">
        <w:rPr>
          <w:rFonts w:ascii="Arial" w:hAnsi="Arial" w:cs="Arial"/>
          <w:sz w:val="24"/>
          <w:szCs w:val="24"/>
        </w:rPr>
        <w:t>da</w:t>
      </w:r>
      <w:r w:rsidR="00DB2A0A" w:rsidRPr="00DB2A0A">
        <w:rPr>
          <w:rFonts w:ascii="Arial" w:hAnsi="Arial" w:cs="Arial"/>
          <w:sz w:val="24"/>
          <w:szCs w:val="24"/>
        </w:rPr>
        <w:t>s</w:t>
      </w:r>
      <w:r w:rsidRPr="00DB2A0A">
        <w:rPr>
          <w:rFonts w:ascii="Arial" w:hAnsi="Arial" w:cs="Arial"/>
          <w:sz w:val="24"/>
          <w:szCs w:val="24"/>
        </w:rPr>
        <w:t xml:space="preserve"> Lei</w:t>
      </w:r>
      <w:r w:rsidR="00DB2A0A" w:rsidRPr="00DB2A0A">
        <w:rPr>
          <w:rFonts w:ascii="Arial" w:hAnsi="Arial" w:cs="Arial"/>
          <w:sz w:val="24"/>
          <w:szCs w:val="24"/>
        </w:rPr>
        <w:t>s</w:t>
      </w:r>
      <w:r w:rsidRPr="00DB2A0A">
        <w:rPr>
          <w:rFonts w:ascii="Arial" w:hAnsi="Arial" w:cs="Arial"/>
          <w:sz w:val="24"/>
          <w:szCs w:val="24"/>
        </w:rPr>
        <w:t xml:space="preserve"> nº</w:t>
      </w:r>
      <w:r w:rsidR="00DB2A0A" w:rsidRPr="00DB2A0A">
        <w:rPr>
          <w:rFonts w:ascii="Arial" w:hAnsi="Arial" w:cs="Arial"/>
          <w:sz w:val="24"/>
          <w:szCs w:val="24"/>
        </w:rPr>
        <w:t>s</w:t>
      </w:r>
      <w:r w:rsidRPr="00DB2A0A">
        <w:rPr>
          <w:rFonts w:ascii="Arial" w:hAnsi="Arial" w:cs="Arial"/>
          <w:sz w:val="24"/>
          <w:szCs w:val="24"/>
        </w:rPr>
        <w:t xml:space="preserve"> 20.4</w:t>
      </w:r>
      <w:r w:rsidR="00121151" w:rsidRPr="00DB2A0A">
        <w:rPr>
          <w:rFonts w:ascii="Arial" w:hAnsi="Arial" w:cs="Arial"/>
          <w:sz w:val="24"/>
          <w:szCs w:val="24"/>
        </w:rPr>
        <w:t>68</w:t>
      </w:r>
      <w:r w:rsidRPr="00DB2A0A">
        <w:rPr>
          <w:rFonts w:ascii="Arial" w:hAnsi="Arial" w:cs="Arial"/>
          <w:sz w:val="24"/>
          <w:szCs w:val="24"/>
        </w:rPr>
        <w:t>/2019</w:t>
      </w:r>
      <w:r w:rsidR="00DB2A0A" w:rsidRPr="00DB2A0A">
        <w:rPr>
          <w:rFonts w:ascii="Arial" w:hAnsi="Arial" w:cs="Arial"/>
          <w:sz w:val="24"/>
          <w:szCs w:val="24"/>
        </w:rPr>
        <w:t xml:space="preserve"> e 20.740/2020, e pelo</w:t>
      </w:r>
      <w:r w:rsidRPr="00DB2A0A">
        <w:rPr>
          <w:rFonts w:ascii="Arial" w:hAnsi="Arial" w:cs="Arial"/>
          <w:sz w:val="24"/>
          <w:szCs w:val="24"/>
        </w:rPr>
        <w:t xml:space="preserve"> processo nº </w:t>
      </w:r>
      <w:r w:rsidR="00634878" w:rsidRPr="00DB2A0A">
        <w:rPr>
          <w:rFonts w:ascii="Arial" w:hAnsi="Arial" w:cs="Arial"/>
          <w:sz w:val="24"/>
          <w:szCs w:val="24"/>
        </w:rPr>
        <w:t>201800047000995</w:t>
      </w:r>
      <w:r w:rsidR="00801448" w:rsidRPr="00DB2A0A">
        <w:rPr>
          <w:rFonts w:ascii="Arial" w:hAnsi="Arial" w:cs="Arial"/>
          <w:sz w:val="24"/>
          <w:szCs w:val="24"/>
        </w:rPr>
        <w:t xml:space="preserve"> junto ao TCE/GO.</w:t>
      </w:r>
    </w:p>
    <w:p w14:paraId="131C1E0F" w14:textId="1F193989" w:rsidR="001964CE" w:rsidRDefault="001964CE" w:rsidP="00C30C86">
      <w:pPr>
        <w:spacing w:line="360" w:lineRule="auto"/>
        <w:ind w:firstLine="851"/>
        <w:jc w:val="both"/>
        <w:rPr>
          <w:rFonts w:ascii="Arial" w:hAnsi="Arial" w:cs="Arial"/>
          <w:sz w:val="24"/>
          <w:szCs w:val="24"/>
        </w:rPr>
      </w:pPr>
    </w:p>
    <w:p w14:paraId="19DDA895" w14:textId="15B99FC6" w:rsidR="000F3914" w:rsidRPr="00DD464D" w:rsidRDefault="000F3914" w:rsidP="000F3914">
      <w:pPr>
        <w:spacing w:line="360" w:lineRule="auto"/>
        <w:ind w:firstLine="851"/>
        <w:jc w:val="both"/>
        <w:rPr>
          <w:rFonts w:ascii="Arial" w:hAnsi="Arial" w:cs="Arial"/>
          <w:b/>
          <w:sz w:val="24"/>
          <w:szCs w:val="24"/>
        </w:rPr>
      </w:pPr>
      <w:r w:rsidRPr="00DD464D">
        <w:rPr>
          <w:rFonts w:ascii="Arial" w:hAnsi="Arial" w:cs="Arial"/>
          <w:b/>
          <w:sz w:val="24"/>
          <w:szCs w:val="24"/>
        </w:rPr>
        <w:t>3.3.2.6 – Revisão parcial da legislação referente aos incentivos fiscais, fruto dos trabalhos desta CPI, inclusive mediante proposituras de iniciativa parlamentar</w:t>
      </w:r>
    </w:p>
    <w:p w14:paraId="5639E445" w14:textId="595F086A" w:rsidR="000F3914" w:rsidRDefault="000F3914" w:rsidP="00121151">
      <w:pPr>
        <w:spacing w:line="360" w:lineRule="auto"/>
        <w:ind w:firstLine="851"/>
        <w:jc w:val="both"/>
        <w:rPr>
          <w:rFonts w:ascii="Arial" w:hAnsi="Arial" w:cs="Arial"/>
          <w:b/>
          <w:sz w:val="24"/>
          <w:szCs w:val="24"/>
          <w:u w:val="single"/>
        </w:rPr>
      </w:pPr>
    </w:p>
    <w:p w14:paraId="6F44584E" w14:textId="4EB620AB" w:rsidR="000F3914" w:rsidRDefault="00C572F8" w:rsidP="00121151">
      <w:pPr>
        <w:spacing w:line="360" w:lineRule="auto"/>
        <w:ind w:firstLine="851"/>
        <w:jc w:val="both"/>
        <w:rPr>
          <w:rFonts w:ascii="Arial" w:hAnsi="Arial" w:cs="Arial"/>
          <w:sz w:val="24"/>
          <w:szCs w:val="24"/>
        </w:rPr>
      </w:pPr>
      <w:r>
        <w:rPr>
          <w:rFonts w:ascii="Arial" w:hAnsi="Arial" w:cs="Arial"/>
          <w:sz w:val="24"/>
          <w:szCs w:val="24"/>
        </w:rPr>
        <w:t xml:space="preserve">À </w:t>
      </w:r>
      <w:r w:rsidR="000F3914">
        <w:rPr>
          <w:rFonts w:ascii="Arial" w:hAnsi="Arial" w:cs="Arial"/>
          <w:sz w:val="24"/>
          <w:szCs w:val="24"/>
        </w:rPr>
        <w:t>medida que</w:t>
      </w:r>
      <w:r>
        <w:rPr>
          <w:rFonts w:ascii="Arial" w:hAnsi="Arial" w:cs="Arial"/>
          <w:sz w:val="24"/>
          <w:szCs w:val="24"/>
        </w:rPr>
        <w:t xml:space="preserve"> os</w:t>
      </w:r>
      <w:r w:rsidRPr="00C572F8">
        <w:rPr>
          <w:rFonts w:ascii="Arial" w:hAnsi="Arial" w:cs="Arial"/>
          <w:b/>
          <w:sz w:val="24"/>
          <w:szCs w:val="24"/>
        </w:rPr>
        <w:t xml:space="preserve"> </w:t>
      </w:r>
      <w:r w:rsidRPr="00C572F8">
        <w:rPr>
          <w:rFonts w:ascii="Arial" w:hAnsi="Arial" w:cs="Arial"/>
          <w:sz w:val="24"/>
          <w:szCs w:val="24"/>
        </w:rPr>
        <w:t>trabalhos desta CPI</w:t>
      </w:r>
      <w:r w:rsidR="000F3914" w:rsidRPr="00C572F8">
        <w:rPr>
          <w:rFonts w:ascii="Arial" w:hAnsi="Arial" w:cs="Arial"/>
          <w:sz w:val="24"/>
          <w:szCs w:val="24"/>
        </w:rPr>
        <w:t xml:space="preserve"> foram avançando</w:t>
      </w:r>
      <w:r w:rsidR="000F3914">
        <w:rPr>
          <w:rFonts w:ascii="Arial" w:hAnsi="Arial" w:cs="Arial"/>
          <w:sz w:val="24"/>
          <w:szCs w:val="24"/>
        </w:rPr>
        <w:t xml:space="preserve">, mediante oitiva dos técnicos do governo e dos representantes dos segmentos interessados, </w:t>
      </w:r>
      <w:r w:rsidR="000F3914" w:rsidRPr="007D3F03">
        <w:rPr>
          <w:rFonts w:ascii="Arial" w:hAnsi="Arial" w:cs="Arial"/>
          <w:b/>
          <w:sz w:val="24"/>
          <w:szCs w:val="24"/>
        </w:rPr>
        <w:t>foram constatadas graves distorções na legislação estadual referente aos incentivos fiscais</w:t>
      </w:r>
      <w:r w:rsidR="000F3914">
        <w:rPr>
          <w:rFonts w:ascii="Arial" w:hAnsi="Arial" w:cs="Arial"/>
          <w:sz w:val="24"/>
          <w:szCs w:val="24"/>
        </w:rPr>
        <w:t>, o que ensejou a apresentação de vários projetos de lei visando à correção ou aprimoramento do sistema.</w:t>
      </w:r>
    </w:p>
    <w:p w14:paraId="2DD2C29F" w14:textId="36197FE7" w:rsidR="000F3914" w:rsidRDefault="000F3914" w:rsidP="00121151">
      <w:pPr>
        <w:spacing w:line="360" w:lineRule="auto"/>
        <w:ind w:firstLine="851"/>
        <w:jc w:val="both"/>
        <w:rPr>
          <w:rFonts w:ascii="Arial" w:hAnsi="Arial" w:cs="Arial"/>
          <w:sz w:val="24"/>
          <w:szCs w:val="24"/>
        </w:rPr>
      </w:pPr>
      <w:r>
        <w:rPr>
          <w:rFonts w:ascii="Arial" w:hAnsi="Arial" w:cs="Arial"/>
          <w:sz w:val="24"/>
          <w:szCs w:val="24"/>
        </w:rPr>
        <w:t xml:space="preserve">Desse modo, </w:t>
      </w:r>
      <w:r w:rsidRPr="007D3F03">
        <w:rPr>
          <w:rFonts w:ascii="Arial" w:hAnsi="Arial" w:cs="Arial"/>
          <w:b/>
          <w:sz w:val="24"/>
          <w:szCs w:val="24"/>
        </w:rPr>
        <w:t xml:space="preserve">no final da legislatura, foram aprovadas por esta Casa de Leis – e sancionadas pelo Chefe do Poder Executivo – ao menos 3 (três) leis que merecem </w:t>
      </w:r>
      <w:r w:rsidR="00CE2262" w:rsidRPr="007D3F03">
        <w:rPr>
          <w:rFonts w:ascii="Arial" w:hAnsi="Arial" w:cs="Arial"/>
          <w:b/>
          <w:sz w:val="24"/>
          <w:szCs w:val="24"/>
        </w:rPr>
        <w:t>destaque</w:t>
      </w:r>
      <w:r>
        <w:rPr>
          <w:rFonts w:ascii="Arial" w:hAnsi="Arial" w:cs="Arial"/>
          <w:sz w:val="24"/>
          <w:szCs w:val="24"/>
        </w:rPr>
        <w:t xml:space="preserve">, </w:t>
      </w:r>
      <w:r w:rsidR="00CE2262">
        <w:rPr>
          <w:rFonts w:ascii="Arial" w:hAnsi="Arial" w:cs="Arial"/>
          <w:sz w:val="24"/>
          <w:szCs w:val="24"/>
        </w:rPr>
        <w:t>as quais constituem</w:t>
      </w:r>
      <w:r>
        <w:rPr>
          <w:rFonts w:ascii="Arial" w:hAnsi="Arial" w:cs="Arial"/>
          <w:sz w:val="24"/>
          <w:szCs w:val="24"/>
        </w:rPr>
        <w:t>, até o momento, as principais contribuições</w:t>
      </w:r>
      <w:r w:rsidR="00CE2262">
        <w:rPr>
          <w:rFonts w:ascii="Arial" w:hAnsi="Arial" w:cs="Arial"/>
          <w:sz w:val="24"/>
          <w:szCs w:val="24"/>
        </w:rPr>
        <w:t xml:space="preserve"> concretas</w:t>
      </w:r>
      <w:r>
        <w:rPr>
          <w:rFonts w:ascii="Arial" w:hAnsi="Arial" w:cs="Arial"/>
          <w:sz w:val="24"/>
          <w:szCs w:val="24"/>
        </w:rPr>
        <w:t xml:space="preserve"> desta CPI</w:t>
      </w:r>
      <w:r w:rsidR="00CE2262">
        <w:rPr>
          <w:rFonts w:ascii="Arial" w:hAnsi="Arial" w:cs="Arial"/>
          <w:sz w:val="24"/>
          <w:szCs w:val="24"/>
        </w:rPr>
        <w:t xml:space="preserve"> à população goiana</w:t>
      </w:r>
      <w:r>
        <w:rPr>
          <w:rFonts w:ascii="Arial" w:hAnsi="Arial" w:cs="Arial"/>
          <w:sz w:val="24"/>
          <w:szCs w:val="24"/>
        </w:rPr>
        <w:t xml:space="preserve">, consubstanciadas nas </w:t>
      </w:r>
      <w:r w:rsidRPr="007D3F03">
        <w:rPr>
          <w:rFonts w:ascii="Arial" w:hAnsi="Arial" w:cs="Arial"/>
          <w:b/>
          <w:sz w:val="24"/>
          <w:szCs w:val="24"/>
        </w:rPr>
        <w:t>Leis nº</w:t>
      </w:r>
      <w:r w:rsidR="007D3F03" w:rsidRPr="007D3F03">
        <w:rPr>
          <w:rFonts w:ascii="Arial" w:hAnsi="Arial" w:cs="Arial"/>
          <w:b/>
          <w:sz w:val="24"/>
          <w:szCs w:val="24"/>
        </w:rPr>
        <w:t>s</w:t>
      </w:r>
      <w:r w:rsidRPr="007D3F03">
        <w:rPr>
          <w:rFonts w:ascii="Arial" w:hAnsi="Arial" w:cs="Arial"/>
          <w:b/>
          <w:sz w:val="24"/>
          <w:szCs w:val="24"/>
        </w:rPr>
        <w:t xml:space="preserve"> 20.590, 20.672 e 20.676/2019</w:t>
      </w:r>
      <w:r w:rsidR="0078190F">
        <w:rPr>
          <w:rFonts w:ascii="Arial" w:hAnsi="Arial" w:cs="Arial"/>
          <w:sz w:val="24"/>
          <w:szCs w:val="24"/>
        </w:rPr>
        <w:t>, todas oriundas de projetos de lei de autoria</w:t>
      </w:r>
      <w:r w:rsidR="00CE2262">
        <w:rPr>
          <w:rFonts w:ascii="Arial" w:hAnsi="Arial" w:cs="Arial"/>
          <w:sz w:val="24"/>
          <w:szCs w:val="24"/>
        </w:rPr>
        <w:t xml:space="preserve"> deste relator</w:t>
      </w:r>
      <w:r w:rsidR="0078190F">
        <w:rPr>
          <w:rFonts w:ascii="Arial" w:hAnsi="Arial" w:cs="Arial"/>
          <w:sz w:val="24"/>
          <w:szCs w:val="24"/>
        </w:rPr>
        <w:t xml:space="preserve"> (respectivamente, processos nºs </w:t>
      </w:r>
      <w:r w:rsidR="0078190F" w:rsidRPr="0078190F">
        <w:rPr>
          <w:rFonts w:ascii="Arial" w:hAnsi="Arial" w:cs="Arial"/>
          <w:sz w:val="24"/>
          <w:szCs w:val="24"/>
        </w:rPr>
        <w:t>2019004783</w:t>
      </w:r>
      <w:r w:rsidR="0078190F">
        <w:rPr>
          <w:rFonts w:ascii="Arial" w:hAnsi="Arial" w:cs="Arial"/>
          <w:sz w:val="24"/>
          <w:szCs w:val="24"/>
        </w:rPr>
        <w:t xml:space="preserve">, </w:t>
      </w:r>
      <w:r w:rsidR="0078190F" w:rsidRPr="0078190F">
        <w:rPr>
          <w:rFonts w:ascii="Arial" w:hAnsi="Arial" w:cs="Arial"/>
          <w:sz w:val="24"/>
          <w:szCs w:val="24"/>
        </w:rPr>
        <w:t>201900</w:t>
      </w:r>
      <w:r w:rsidR="0078190F">
        <w:rPr>
          <w:rFonts w:ascii="Arial" w:hAnsi="Arial" w:cs="Arial"/>
          <w:sz w:val="24"/>
          <w:szCs w:val="24"/>
        </w:rPr>
        <w:t xml:space="preserve">6847 e </w:t>
      </w:r>
      <w:r w:rsidR="0078190F" w:rsidRPr="0078190F">
        <w:rPr>
          <w:rFonts w:ascii="Arial" w:hAnsi="Arial" w:cs="Arial"/>
          <w:sz w:val="24"/>
          <w:szCs w:val="24"/>
        </w:rPr>
        <w:t>2019004782</w:t>
      </w:r>
      <w:r w:rsidR="004E2D02">
        <w:rPr>
          <w:rFonts w:ascii="Arial" w:hAnsi="Arial" w:cs="Arial"/>
          <w:sz w:val="24"/>
          <w:szCs w:val="24"/>
        </w:rPr>
        <w:t>), sobre as quais se discorre abaixo:</w:t>
      </w:r>
    </w:p>
    <w:p w14:paraId="0B4C8E06" w14:textId="1C46983B" w:rsidR="004E2D02" w:rsidRDefault="004E2D02" w:rsidP="00121151">
      <w:pPr>
        <w:spacing w:line="360" w:lineRule="auto"/>
        <w:ind w:firstLine="851"/>
        <w:jc w:val="both"/>
        <w:rPr>
          <w:rFonts w:ascii="Arial" w:hAnsi="Arial" w:cs="Arial"/>
          <w:sz w:val="24"/>
          <w:szCs w:val="24"/>
        </w:rPr>
      </w:pPr>
    </w:p>
    <w:p w14:paraId="5B4ADE7B" w14:textId="331343A3" w:rsidR="004E2D02" w:rsidRPr="007D7C1E" w:rsidRDefault="004E2D02" w:rsidP="00121151">
      <w:pPr>
        <w:spacing w:line="360" w:lineRule="auto"/>
        <w:ind w:firstLine="851"/>
        <w:jc w:val="both"/>
        <w:rPr>
          <w:rFonts w:ascii="Arial" w:hAnsi="Arial" w:cs="Arial"/>
          <w:sz w:val="24"/>
          <w:szCs w:val="24"/>
          <w:u w:val="single"/>
        </w:rPr>
      </w:pPr>
      <w:r w:rsidRPr="007D7C1E">
        <w:rPr>
          <w:rFonts w:ascii="Arial" w:hAnsi="Arial" w:cs="Arial"/>
          <w:sz w:val="24"/>
          <w:szCs w:val="24"/>
          <w:u w:val="single"/>
        </w:rPr>
        <w:t>3.3.2.6.1 – Lei nº 20.590/2019: tratamento tributário dispensado a grupos econômicos</w:t>
      </w:r>
    </w:p>
    <w:p w14:paraId="05169D29" w14:textId="77777777" w:rsidR="004E2D02" w:rsidRDefault="004E2D02" w:rsidP="00121151">
      <w:pPr>
        <w:spacing w:line="360" w:lineRule="auto"/>
        <w:ind w:firstLine="851"/>
        <w:jc w:val="both"/>
        <w:rPr>
          <w:rFonts w:ascii="Arial" w:hAnsi="Arial" w:cs="Arial"/>
          <w:sz w:val="24"/>
          <w:szCs w:val="24"/>
        </w:rPr>
      </w:pPr>
    </w:p>
    <w:p w14:paraId="0ECCC5DC" w14:textId="5003334A" w:rsidR="00103B7E" w:rsidRDefault="00605C75" w:rsidP="00103B7E">
      <w:pPr>
        <w:spacing w:line="360" w:lineRule="auto"/>
        <w:ind w:firstLine="851"/>
        <w:jc w:val="both"/>
        <w:rPr>
          <w:rFonts w:ascii="Arial" w:hAnsi="Arial" w:cs="Arial"/>
          <w:sz w:val="24"/>
          <w:szCs w:val="24"/>
        </w:rPr>
      </w:pPr>
      <w:r w:rsidRPr="007D7C1E">
        <w:rPr>
          <w:rFonts w:ascii="Arial" w:hAnsi="Arial" w:cs="Arial"/>
          <w:sz w:val="24"/>
          <w:szCs w:val="24"/>
        </w:rPr>
        <w:t>A Lei nº 20.590/2019 promoveu alterações pontuais, porém relevantes, na Lei nº 17.442/2011, que dispõe sobre o tratamento tributário do ICMS dispensado a grupos econômicos</w:t>
      </w:r>
      <w:r w:rsidRPr="00DD464D">
        <w:rPr>
          <w:rFonts w:ascii="Arial" w:hAnsi="Arial" w:cs="Arial"/>
          <w:sz w:val="24"/>
          <w:szCs w:val="24"/>
        </w:rPr>
        <w:t>.</w:t>
      </w:r>
      <w:r w:rsidR="00615D7F" w:rsidRPr="00DD464D">
        <w:rPr>
          <w:rFonts w:ascii="Arial" w:hAnsi="Arial" w:cs="Arial"/>
          <w:sz w:val="24"/>
          <w:szCs w:val="24"/>
        </w:rPr>
        <w:t xml:space="preserve"> </w:t>
      </w:r>
      <w:r w:rsidR="00103B7E" w:rsidRPr="00DD464D">
        <w:rPr>
          <w:rFonts w:ascii="Arial" w:hAnsi="Arial" w:cs="Arial"/>
          <w:sz w:val="24"/>
          <w:szCs w:val="24"/>
        </w:rPr>
        <w:t>Referido</w:t>
      </w:r>
      <w:r w:rsidR="00103B7E">
        <w:rPr>
          <w:rFonts w:ascii="Arial" w:hAnsi="Arial" w:cs="Arial"/>
          <w:sz w:val="24"/>
          <w:szCs w:val="24"/>
        </w:rPr>
        <w:t xml:space="preserve"> tratamento tributário confere ao grupo econômico</w:t>
      </w:r>
      <w:r w:rsidR="009149AC">
        <w:rPr>
          <w:rFonts w:ascii="Arial" w:hAnsi="Arial" w:cs="Arial"/>
          <w:sz w:val="24"/>
          <w:szCs w:val="24"/>
        </w:rPr>
        <w:t xml:space="preserve"> diversos </w:t>
      </w:r>
      <w:r w:rsidR="009149AC">
        <w:rPr>
          <w:rFonts w:ascii="Arial" w:hAnsi="Arial" w:cs="Arial"/>
          <w:sz w:val="24"/>
          <w:szCs w:val="24"/>
        </w:rPr>
        <w:lastRenderedPageBreak/>
        <w:t xml:space="preserve">benefícios, dos quais se podem destacar aqueles previstos </w:t>
      </w:r>
      <w:r w:rsidR="003B35C5">
        <w:rPr>
          <w:rFonts w:ascii="Arial" w:hAnsi="Arial" w:cs="Arial"/>
          <w:sz w:val="24"/>
          <w:szCs w:val="24"/>
        </w:rPr>
        <w:t>nos incisos I a III d</w:t>
      </w:r>
      <w:r w:rsidR="00103B7E">
        <w:rPr>
          <w:rFonts w:ascii="Arial" w:hAnsi="Arial" w:cs="Arial"/>
          <w:sz w:val="24"/>
          <w:szCs w:val="24"/>
        </w:rPr>
        <w:t xml:space="preserve">o art. 3º da </w:t>
      </w:r>
      <w:r w:rsidR="00103B7E" w:rsidRPr="00605C75">
        <w:rPr>
          <w:rFonts w:ascii="Arial" w:hAnsi="Arial" w:cs="Arial"/>
          <w:sz w:val="24"/>
          <w:szCs w:val="24"/>
        </w:rPr>
        <w:t>Lei nº 17.442</w:t>
      </w:r>
      <w:r w:rsidR="00103B7E">
        <w:rPr>
          <w:rFonts w:ascii="Arial" w:hAnsi="Arial" w:cs="Arial"/>
          <w:sz w:val="24"/>
          <w:szCs w:val="24"/>
        </w:rPr>
        <w:t>/</w:t>
      </w:r>
      <w:r w:rsidR="00103B7E" w:rsidRPr="00605C75">
        <w:rPr>
          <w:rFonts w:ascii="Arial" w:hAnsi="Arial" w:cs="Arial"/>
          <w:sz w:val="24"/>
          <w:szCs w:val="24"/>
        </w:rPr>
        <w:t>2011</w:t>
      </w:r>
      <w:r w:rsidR="003B35C5">
        <w:rPr>
          <w:rFonts w:ascii="Arial" w:hAnsi="Arial" w:cs="Arial"/>
          <w:sz w:val="24"/>
          <w:szCs w:val="24"/>
        </w:rPr>
        <w:t xml:space="preserve">, </w:t>
      </w:r>
      <w:r w:rsidR="003B35C5" w:rsidRPr="003B35C5">
        <w:rPr>
          <w:rFonts w:ascii="Arial" w:hAnsi="Arial" w:cs="Arial"/>
          <w:i/>
          <w:sz w:val="24"/>
          <w:szCs w:val="24"/>
        </w:rPr>
        <w:t>in verbis</w:t>
      </w:r>
      <w:r w:rsidR="00103B7E">
        <w:rPr>
          <w:rFonts w:ascii="Arial" w:hAnsi="Arial" w:cs="Arial"/>
          <w:sz w:val="24"/>
          <w:szCs w:val="24"/>
        </w:rPr>
        <w:t>:</w:t>
      </w:r>
    </w:p>
    <w:p w14:paraId="5802181E" w14:textId="77777777" w:rsidR="00103B7E" w:rsidRDefault="00103B7E" w:rsidP="00103B7E">
      <w:pPr>
        <w:spacing w:line="360" w:lineRule="auto"/>
        <w:ind w:firstLine="851"/>
        <w:jc w:val="both"/>
        <w:rPr>
          <w:rFonts w:ascii="Arial" w:hAnsi="Arial" w:cs="Arial"/>
          <w:sz w:val="24"/>
          <w:szCs w:val="24"/>
        </w:rPr>
      </w:pPr>
    </w:p>
    <w:p w14:paraId="633582A8" w14:textId="77777777" w:rsidR="00103B7E" w:rsidRPr="00103B7E" w:rsidRDefault="00103B7E" w:rsidP="001A04C9">
      <w:pPr>
        <w:ind w:left="2268"/>
        <w:jc w:val="both"/>
        <w:rPr>
          <w:rFonts w:ascii="Arial" w:hAnsi="Arial" w:cs="Arial"/>
          <w:sz w:val="22"/>
          <w:szCs w:val="22"/>
        </w:rPr>
      </w:pPr>
      <w:r w:rsidRPr="004502AA">
        <w:rPr>
          <w:rFonts w:ascii="Arial" w:hAnsi="Arial" w:cs="Arial"/>
          <w:b/>
          <w:sz w:val="22"/>
          <w:szCs w:val="22"/>
        </w:rPr>
        <w:t>Art. 3º</w:t>
      </w:r>
      <w:r w:rsidRPr="00103B7E">
        <w:rPr>
          <w:rFonts w:ascii="Arial" w:hAnsi="Arial" w:cs="Arial"/>
          <w:sz w:val="22"/>
          <w:szCs w:val="22"/>
        </w:rPr>
        <w:t xml:space="preserve"> O tratamento tributário conferido ao grupo econômico compreende:</w:t>
      </w:r>
    </w:p>
    <w:p w14:paraId="16E24E96" w14:textId="77777777" w:rsidR="00103B7E" w:rsidRPr="00103B7E" w:rsidRDefault="00103B7E" w:rsidP="001A04C9">
      <w:pPr>
        <w:ind w:left="2268"/>
        <w:jc w:val="both"/>
        <w:rPr>
          <w:rFonts w:ascii="Arial" w:hAnsi="Arial" w:cs="Arial"/>
          <w:sz w:val="22"/>
          <w:szCs w:val="22"/>
        </w:rPr>
      </w:pPr>
      <w:r w:rsidRPr="00103B7E">
        <w:rPr>
          <w:rFonts w:ascii="Arial" w:hAnsi="Arial" w:cs="Arial"/>
          <w:sz w:val="22"/>
          <w:szCs w:val="22"/>
        </w:rPr>
        <w:t>I - a aplicação sucessiva da substituição tributária pelas operações anteriores;</w:t>
      </w:r>
    </w:p>
    <w:p w14:paraId="02ED8505" w14:textId="77777777" w:rsidR="00103B7E" w:rsidRPr="00103B7E" w:rsidRDefault="00103B7E" w:rsidP="001A04C9">
      <w:pPr>
        <w:ind w:left="2268"/>
        <w:jc w:val="both"/>
        <w:rPr>
          <w:rFonts w:ascii="Arial" w:hAnsi="Arial" w:cs="Arial"/>
          <w:sz w:val="22"/>
          <w:szCs w:val="22"/>
        </w:rPr>
      </w:pPr>
      <w:r w:rsidRPr="00103B7E">
        <w:rPr>
          <w:rFonts w:ascii="Arial" w:hAnsi="Arial" w:cs="Arial"/>
          <w:sz w:val="22"/>
          <w:szCs w:val="22"/>
        </w:rPr>
        <w:t>II - a concessão dos seguintes benefícios fiscais relativos ao Imposto sobre Operações Relativas à Circulação de Mercadorias e sobre Prestações de Serviços de Transporte Interestadual e Intermunicipal e de Comunicação –ICMS–:</w:t>
      </w:r>
    </w:p>
    <w:p w14:paraId="4D72C0D3" w14:textId="77777777" w:rsidR="00103B7E" w:rsidRDefault="00103B7E" w:rsidP="001A04C9">
      <w:pPr>
        <w:ind w:left="2268"/>
        <w:jc w:val="both"/>
        <w:rPr>
          <w:rFonts w:ascii="Arial" w:hAnsi="Arial" w:cs="Arial"/>
          <w:sz w:val="22"/>
          <w:szCs w:val="22"/>
        </w:rPr>
      </w:pPr>
      <w:r w:rsidRPr="00103B7E">
        <w:rPr>
          <w:rFonts w:ascii="Arial" w:hAnsi="Arial" w:cs="Arial"/>
          <w:sz w:val="22"/>
          <w:szCs w:val="22"/>
        </w:rPr>
        <w:t>a) crédito outorgado nas oper</w:t>
      </w:r>
      <w:r>
        <w:rPr>
          <w:rFonts w:ascii="Arial" w:hAnsi="Arial" w:cs="Arial"/>
          <w:sz w:val="22"/>
          <w:szCs w:val="22"/>
        </w:rPr>
        <w:t>ações internas e interestaduais;</w:t>
      </w:r>
    </w:p>
    <w:p w14:paraId="077F094A" w14:textId="1571E534" w:rsidR="00103B7E" w:rsidRPr="00103B7E" w:rsidRDefault="00103B7E" w:rsidP="001A04C9">
      <w:pPr>
        <w:ind w:left="2268"/>
        <w:jc w:val="both"/>
        <w:rPr>
          <w:rFonts w:ascii="Arial" w:hAnsi="Arial" w:cs="Arial"/>
          <w:sz w:val="22"/>
          <w:szCs w:val="22"/>
        </w:rPr>
      </w:pPr>
      <w:r w:rsidRPr="00103B7E">
        <w:rPr>
          <w:rFonts w:ascii="Arial" w:hAnsi="Arial" w:cs="Arial"/>
          <w:sz w:val="22"/>
          <w:szCs w:val="22"/>
        </w:rPr>
        <w:t>b) redução da base de cálculo nas operações internas;</w:t>
      </w:r>
    </w:p>
    <w:p w14:paraId="2F9413A1" w14:textId="0985305B" w:rsidR="00103B7E" w:rsidRDefault="00103B7E" w:rsidP="001A04C9">
      <w:pPr>
        <w:ind w:left="2268"/>
        <w:jc w:val="both"/>
        <w:rPr>
          <w:rFonts w:ascii="Arial" w:hAnsi="Arial" w:cs="Arial"/>
          <w:sz w:val="22"/>
          <w:szCs w:val="22"/>
        </w:rPr>
      </w:pPr>
      <w:r w:rsidRPr="00103B7E">
        <w:rPr>
          <w:rFonts w:ascii="Arial" w:hAnsi="Arial" w:cs="Arial"/>
          <w:sz w:val="22"/>
          <w:szCs w:val="22"/>
        </w:rPr>
        <w:t>III - o pagamento do imposto devido na importação do exterior mediante lançamento a débito na escrituração fiscal.</w:t>
      </w:r>
    </w:p>
    <w:p w14:paraId="5DA91C67" w14:textId="77777777" w:rsidR="00103B7E" w:rsidRDefault="00103B7E" w:rsidP="00121151">
      <w:pPr>
        <w:spacing w:line="360" w:lineRule="auto"/>
        <w:ind w:firstLine="851"/>
        <w:jc w:val="both"/>
        <w:rPr>
          <w:rFonts w:ascii="Arial" w:hAnsi="Arial" w:cs="Arial"/>
          <w:sz w:val="24"/>
          <w:szCs w:val="24"/>
        </w:rPr>
      </w:pPr>
    </w:p>
    <w:p w14:paraId="5BC8E19C" w14:textId="209B1B12" w:rsidR="004502AA" w:rsidRDefault="004502AA" w:rsidP="00121151">
      <w:pPr>
        <w:spacing w:line="360" w:lineRule="auto"/>
        <w:ind w:firstLine="851"/>
        <w:jc w:val="both"/>
        <w:rPr>
          <w:rFonts w:ascii="Arial" w:hAnsi="Arial" w:cs="Arial"/>
          <w:sz w:val="24"/>
          <w:szCs w:val="24"/>
        </w:rPr>
      </w:pPr>
      <w:r w:rsidRPr="00DD464D">
        <w:rPr>
          <w:rFonts w:ascii="Arial" w:hAnsi="Arial" w:cs="Arial"/>
          <w:sz w:val="24"/>
          <w:szCs w:val="24"/>
        </w:rPr>
        <w:t>A Lei nº 20.590/2019 acrescentou a esse artigo os §§ 1º e 2º</w:t>
      </w:r>
      <w:r w:rsidR="00D44E9B" w:rsidRPr="00DD464D">
        <w:rPr>
          <w:rFonts w:ascii="Arial" w:hAnsi="Arial" w:cs="Arial"/>
          <w:sz w:val="24"/>
          <w:szCs w:val="24"/>
        </w:rPr>
        <w:t>, a fim de</w:t>
      </w:r>
      <w:r w:rsidRPr="00DD464D">
        <w:rPr>
          <w:rFonts w:ascii="Arial" w:hAnsi="Arial" w:cs="Arial"/>
          <w:sz w:val="24"/>
          <w:szCs w:val="24"/>
        </w:rPr>
        <w:t xml:space="preserve"> instituir</w:t>
      </w:r>
      <w:r>
        <w:rPr>
          <w:rFonts w:ascii="Arial" w:hAnsi="Arial" w:cs="Arial"/>
          <w:sz w:val="24"/>
          <w:szCs w:val="24"/>
        </w:rPr>
        <w:t xml:space="preserve"> condicionantes para</w:t>
      </w:r>
      <w:r w:rsidR="00D44E9B">
        <w:rPr>
          <w:rFonts w:ascii="Arial" w:hAnsi="Arial" w:cs="Arial"/>
          <w:sz w:val="24"/>
          <w:szCs w:val="24"/>
        </w:rPr>
        <w:t xml:space="preserve"> fruição benefícios previstos acima, mais precisamente a não apropriação de créditos relativos bens ou serviços vinculados às operações </w:t>
      </w:r>
      <w:r w:rsidR="00D44E9B" w:rsidRPr="00D44E9B">
        <w:rPr>
          <w:rFonts w:ascii="Arial" w:hAnsi="Arial" w:cs="Arial"/>
          <w:sz w:val="24"/>
          <w:szCs w:val="24"/>
        </w:rPr>
        <w:t xml:space="preserve">alcançadas pelo tratamento tributário de que trata </w:t>
      </w:r>
      <w:r w:rsidR="00D44E9B">
        <w:rPr>
          <w:rFonts w:ascii="Arial" w:hAnsi="Arial" w:cs="Arial"/>
          <w:sz w:val="24"/>
          <w:szCs w:val="24"/>
        </w:rPr>
        <w:t>a Lei nº 17.441/2011</w:t>
      </w:r>
      <w:r>
        <w:rPr>
          <w:rFonts w:ascii="Arial" w:hAnsi="Arial" w:cs="Arial"/>
          <w:sz w:val="24"/>
          <w:szCs w:val="24"/>
        </w:rPr>
        <w:t>, nos seguintes termos:</w:t>
      </w:r>
    </w:p>
    <w:p w14:paraId="615BCEA8" w14:textId="20723897" w:rsidR="004502AA" w:rsidRDefault="004502AA" w:rsidP="00121151">
      <w:pPr>
        <w:spacing w:line="360" w:lineRule="auto"/>
        <w:ind w:firstLine="851"/>
        <w:jc w:val="both"/>
        <w:rPr>
          <w:rFonts w:ascii="Arial" w:hAnsi="Arial" w:cs="Arial"/>
          <w:sz w:val="24"/>
          <w:szCs w:val="24"/>
        </w:rPr>
      </w:pPr>
    </w:p>
    <w:p w14:paraId="36CBDBDC" w14:textId="096D61E8" w:rsidR="001910FD" w:rsidRDefault="001910FD" w:rsidP="001A04C9">
      <w:pPr>
        <w:ind w:left="2268"/>
        <w:jc w:val="both"/>
        <w:rPr>
          <w:rFonts w:ascii="Arial" w:hAnsi="Arial" w:cs="Arial"/>
          <w:sz w:val="22"/>
          <w:szCs w:val="22"/>
        </w:rPr>
      </w:pPr>
      <w:r w:rsidRPr="004502AA">
        <w:rPr>
          <w:rFonts w:ascii="Arial" w:hAnsi="Arial" w:cs="Arial"/>
          <w:b/>
          <w:sz w:val="22"/>
          <w:szCs w:val="22"/>
        </w:rPr>
        <w:t>Art. 3º</w:t>
      </w:r>
      <w:r>
        <w:rPr>
          <w:rFonts w:ascii="Arial" w:hAnsi="Arial" w:cs="Arial"/>
          <w:b/>
          <w:sz w:val="22"/>
          <w:szCs w:val="22"/>
        </w:rPr>
        <w:t xml:space="preserve"> </w:t>
      </w:r>
      <w:r w:rsidRPr="001910FD">
        <w:rPr>
          <w:rFonts w:ascii="Arial" w:hAnsi="Arial" w:cs="Arial"/>
          <w:sz w:val="22"/>
          <w:szCs w:val="22"/>
        </w:rPr>
        <w:t>[...].</w:t>
      </w:r>
    </w:p>
    <w:p w14:paraId="3B24F255" w14:textId="77777777" w:rsidR="001910FD" w:rsidRDefault="001910FD" w:rsidP="001A04C9">
      <w:pPr>
        <w:ind w:left="2268"/>
        <w:jc w:val="both"/>
        <w:rPr>
          <w:rFonts w:ascii="Arial" w:hAnsi="Arial" w:cs="Arial"/>
          <w:sz w:val="22"/>
          <w:szCs w:val="22"/>
        </w:rPr>
      </w:pPr>
      <w:r w:rsidRPr="001910FD">
        <w:rPr>
          <w:rFonts w:ascii="Arial" w:hAnsi="Arial" w:cs="Arial"/>
          <w:sz w:val="22"/>
          <w:szCs w:val="22"/>
        </w:rPr>
        <w:t>[...].</w:t>
      </w:r>
    </w:p>
    <w:p w14:paraId="3833BED8" w14:textId="5F1170E5" w:rsidR="004502AA" w:rsidRDefault="004502AA" w:rsidP="001A04C9">
      <w:pPr>
        <w:ind w:left="2268"/>
        <w:jc w:val="both"/>
        <w:rPr>
          <w:rFonts w:ascii="Arial" w:hAnsi="Arial" w:cs="Arial"/>
          <w:sz w:val="22"/>
          <w:szCs w:val="22"/>
        </w:rPr>
      </w:pPr>
      <w:r w:rsidRPr="004502AA">
        <w:rPr>
          <w:rFonts w:ascii="Arial" w:hAnsi="Arial" w:cs="Arial"/>
          <w:sz w:val="22"/>
          <w:szCs w:val="22"/>
        </w:rPr>
        <w:t>§</w:t>
      </w:r>
      <w:r w:rsidR="001910FD">
        <w:rPr>
          <w:rFonts w:ascii="Arial" w:hAnsi="Arial" w:cs="Arial"/>
          <w:sz w:val="22"/>
          <w:szCs w:val="22"/>
        </w:rPr>
        <w:t xml:space="preserve"> </w:t>
      </w:r>
      <w:r w:rsidRPr="004502AA">
        <w:rPr>
          <w:rFonts w:ascii="Arial" w:hAnsi="Arial" w:cs="Arial"/>
          <w:sz w:val="22"/>
          <w:szCs w:val="22"/>
        </w:rPr>
        <w:t xml:space="preserve">1º O tratamento tributário de que tratam os incisos I e II deste artigo é </w:t>
      </w:r>
      <w:r w:rsidRPr="00D44E9B">
        <w:rPr>
          <w:rFonts w:ascii="Arial" w:hAnsi="Arial" w:cs="Arial"/>
          <w:b/>
          <w:sz w:val="22"/>
          <w:szCs w:val="22"/>
        </w:rPr>
        <w:t>condicionado a que não haja apropriação, pelos estabelecimentos integrantes do grupo econômico localizados neste Estado, de quaisquer créditos de ICMS</w:t>
      </w:r>
      <w:r w:rsidRPr="004502AA">
        <w:rPr>
          <w:rFonts w:ascii="Arial" w:hAnsi="Arial" w:cs="Arial"/>
          <w:sz w:val="22"/>
          <w:szCs w:val="22"/>
        </w:rPr>
        <w:t xml:space="preserve"> relativos à </w:t>
      </w:r>
      <w:r w:rsidRPr="00D44E9B">
        <w:rPr>
          <w:rFonts w:ascii="Arial" w:hAnsi="Arial" w:cs="Arial"/>
          <w:sz w:val="22"/>
          <w:szCs w:val="22"/>
          <w:u w:val="single"/>
        </w:rPr>
        <w:t>aquisição de bem, mercadoria</w:t>
      </w:r>
      <w:r w:rsidRPr="004502AA">
        <w:rPr>
          <w:rFonts w:ascii="Arial" w:hAnsi="Arial" w:cs="Arial"/>
          <w:sz w:val="22"/>
          <w:szCs w:val="22"/>
        </w:rPr>
        <w:t xml:space="preserve"> ou à </w:t>
      </w:r>
      <w:r w:rsidRPr="00D44E9B">
        <w:rPr>
          <w:rFonts w:ascii="Arial" w:hAnsi="Arial" w:cs="Arial"/>
          <w:sz w:val="22"/>
          <w:szCs w:val="22"/>
          <w:u w:val="single"/>
        </w:rPr>
        <w:t>utilização de serviço de transporte ou de comunicação</w:t>
      </w:r>
      <w:r w:rsidRPr="004502AA">
        <w:rPr>
          <w:rFonts w:ascii="Arial" w:hAnsi="Arial" w:cs="Arial"/>
          <w:sz w:val="22"/>
          <w:szCs w:val="22"/>
        </w:rPr>
        <w:t>, vinculados às operações alcançadas pelo tratamento tributário de que trata esta Lei.</w:t>
      </w:r>
    </w:p>
    <w:p w14:paraId="63F51039" w14:textId="586D1BAC" w:rsidR="004502AA" w:rsidRPr="004502AA" w:rsidRDefault="004502AA" w:rsidP="001A04C9">
      <w:pPr>
        <w:ind w:left="2268"/>
        <w:jc w:val="both"/>
        <w:rPr>
          <w:rFonts w:ascii="Arial" w:hAnsi="Arial" w:cs="Arial"/>
          <w:sz w:val="22"/>
          <w:szCs w:val="22"/>
        </w:rPr>
      </w:pPr>
      <w:r w:rsidRPr="004502AA">
        <w:rPr>
          <w:rFonts w:ascii="Arial" w:hAnsi="Arial" w:cs="Arial"/>
          <w:sz w:val="22"/>
          <w:szCs w:val="22"/>
        </w:rPr>
        <w:t>§</w:t>
      </w:r>
      <w:r w:rsidR="001910FD">
        <w:rPr>
          <w:rFonts w:ascii="Arial" w:hAnsi="Arial" w:cs="Arial"/>
          <w:sz w:val="22"/>
          <w:szCs w:val="22"/>
        </w:rPr>
        <w:t xml:space="preserve"> </w:t>
      </w:r>
      <w:r w:rsidRPr="004502AA">
        <w:rPr>
          <w:rFonts w:ascii="Arial" w:hAnsi="Arial" w:cs="Arial"/>
          <w:sz w:val="22"/>
          <w:szCs w:val="22"/>
        </w:rPr>
        <w:t xml:space="preserve">2º </w:t>
      </w:r>
      <w:r w:rsidRPr="00D44E9B">
        <w:rPr>
          <w:rFonts w:ascii="Arial" w:hAnsi="Arial" w:cs="Arial"/>
          <w:b/>
          <w:sz w:val="22"/>
          <w:szCs w:val="22"/>
        </w:rPr>
        <w:t>Excetua-se do disposto no §1º o crédito de ICMS correspondente à importação do exterior</w:t>
      </w:r>
      <w:r w:rsidRPr="004502AA">
        <w:rPr>
          <w:rFonts w:ascii="Arial" w:hAnsi="Arial" w:cs="Arial"/>
          <w:sz w:val="22"/>
          <w:szCs w:val="22"/>
        </w:rPr>
        <w:t xml:space="preserve">, de </w:t>
      </w:r>
      <w:r w:rsidRPr="00D44E9B">
        <w:rPr>
          <w:rFonts w:ascii="Arial" w:hAnsi="Arial" w:cs="Arial"/>
          <w:sz w:val="22"/>
          <w:szCs w:val="22"/>
          <w:u w:val="single"/>
        </w:rPr>
        <w:t>matéria-prima</w:t>
      </w:r>
      <w:r w:rsidRPr="004502AA">
        <w:rPr>
          <w:rFonts w:ascii="Arial" w:hAnsi="Arial" w:cs="Arial"/>
          <w:sz w:val="22"/>
          <w:szCs w:val="22"/>
        </w:rPr>
        <w:t xml:space="preserve">, de </w:t>
      </w:r>
      <w:r w:rsidRPr="00D44E9B">
        <w:rPr>
          <w:rFonts w:ascii="Arial" w:hAnsi="Arial" w:cs="Arial"/>
          <w:sz w:val="22"/>
          <w:szCs w:val="22"/>
          <w:u w:val="single"/>
        </w:rPr>
        <w:t>produto intermediário</w:t>
      </w:r>
      <w:r w:rsidRPr="004502AA">
        <w:rPr>
          <w:rFonts w:ascii="Arial" w:hAnsi="Arial" w:cs="Arial"/>
          <w:sz w:val="22"/>
          <w:szCs w:val="22"/>
        </w:rPr>
        <w:t xml:space="preserve">, de </w:t>
      </w:r>
      <w:r w:rsidRPr="00D44E9B">
        <w:rPr>
          <w:rFonts w:ascii="Arial" w:hAnsi="Arial" w:cs="Arial"/>
          <w:sz w:val="22"/>
          <w:szCs w:val="22"/>
          <w:u w:val="single"/>
        </w:rPr>
        <w:t>material de embalagem</w:t>
      </w:r>
      <w:r w:rsidRPr="004502AA">
        <w:rPr>
          <w:rFonts w:ascii="Arial" w:hAnsi="Arial" w:cs="Arial"/>
          <w:sz w:val="22"/>
          <w:szCs w:val="22"/>
        </w:rPr>
        <w:t xml:space="preserve"> e de </w:t>
      </w:r>
      <w:r w:rsidRPr="00D44E9B">
        <w:rPr>
          <w:rFonts w:ascii="Arial" w:hAnsi="Arial" w:cs="Arial"/>
          <w:sz w:val="22"/>
          <w:szCs w:val="22"/>
          <w:u w:val="single"/>
        </w:rPr>
        <w:t>bem para integração ao ativo imobilizado</w:t>
      </w:r>
      <w:r w:rsidRPr="004502AA">
        <w:rPr>
          <w:rFonts w:ascii="Arial" w:hAnsi="Arial" w:cs="Arial"/>
          <w:sz w:val="22"/>
          <w:szCs w:val="22"/>
        </w:rPr>
        <w:t>, desde que o ICMS incidente na importação tenha sido liquidado de acordo com o art. 6º.</w:t>
      </w:r>
    </w:p>
    <w:p w14:paraId="58F1BCD0" w14:textId="77777777" w:rsidR="004502AA" w:rsidRDefault="004502AA" w:rsidP="00121151">
      <w:pPr>
        <w:spacing w:line="360" w:lineRule="auto"/>
        <w:ind w:firstLine="851"/>
        <w:jc w:val="both"/>
        <w:rPr>
          <w:rFonts w:ascii="Arial" w:hAnsi="Arial" w:cs="Arial"/>
          <w:sz w:val="24"/>
          <w:szCs w:val="24"/>
        </w:rPr>
      </w:pPr>
    </w:p>
    <w:p w14:paraId="057C81EA" w14:textId="74161AA1" w:rsidR="00605C75" w:rsidRDefault="00C33757" w:rsidP="00121151">
      <w:pPr>
        <w:spacing w:line="360" w:lineRule="auto"/>
        <w:ind w:firstLine="851"/>
        <w:jc w:val="both"/>
        <w:rPr>
          <w:rFonts w:ascii="Arial" w:hAnsi="Arial" w:cs="Arial"/>
          <w:sz w:val="24"/>
          <w:szCs w:val="24"/>
        </w:rPr>
      </w:pPr>
      <w:r w:rsidRPr="007D7C1E">
        <w:rPr>
          <w:rFonts w:ascii="Arial" w:hAnsi="Arial" w:cs="Arial"/>
          <w:sz w:val="24"/>
          <w:szCs w:val="24"/>
        </w:rPr>
        <w:t>Outro ponto a ser observado é que</w:t>
      </w:r>
      <w:r w:rsidR="00D44E9B" w:rsidRPr="007D7C1E">
        <w:rPr>
          <w:rFonts w:ascii="Arial" w:hAnsi="Arial" w:cs="Arial"/>
          <w:sz w:val="24"/>
          <w:szCs w:val="24"/>
        </w:rPr>
        <w:t xml:space="preserve"> a redação até então vigente do § 1º do art. 1º da Lei nº 17.441/2011 </w:t>
      </w:r>
      <w:r w:rsidRPr="007D7C1E">
        <w:rPr>
          <w:rFonts w:ascii="Arial" w:hAnsi="Arial" w:cs="Arial"/>
          <w:sz w:val="24"/>
          <w:szCs w:val="24"/>
        </w:rPr>
        <w:t>(dada</w:t>
      </w:r>
      <w:r>
        <w:rPr>
          <w:rFonts w:ascii="Arial" w:hAnsi="Arial" w:cs="Arial"/>
          <w:sz w:val="24"/>
          <w:szCs w:val="24"/>
        </w:rPr>
        <w:t xml:space="preserve"> pela Lei nº 18.667/2014) </w:t>
      </w:r>
      <w:r w:rsidR="00D44E9B">
        <w:rPr>
          <w:rFonts w:ascii="Arial" w:hAnsi="Arial" w:cs="Arial"/>
          <w:sz w:val="24"/>
          <w:szCs w:val="24"/>
        </w:rPr>
        <w:t>estabelecia, como exigências para fruição do correspondente tratamento tributário</w:t>
      </w:r>
      <w:r>
        <w:rPr>
          <w:rFonts w:ascii="Arial" w:hAnsi="Arial" w:cs="Arial"/>
          <w:sz w:val="24"/>
          <w:szCs w:val="24"/>
        </w:rPr>
        <w:t>,</w:t>
      </w:r>
      <w:r w:rsidR="004502AA">
        <w:rPr>
          <w:rFonts w:ascii="Arial" w:hAnsi="Arial" w:cs="Arial"/>
          <w:sz w:val="24"/>
          <w:szCs w:val="24"/>
        </w:rPr>
        <w:t xml:space="preserve"> </w:t>
      </w:r>
      <w:r w:rsidR="00D44E9B">
        <w:rPr>
          <w:rFonts w:ascii="Arial" w:hAnsi="Arial" w:cs="Arial"/>
          <w:sz w:val="24"/>
          <w:szCs w:val="24"/>
        </w:rPr>
        <w:t xml:space="preserve">a </w:t>
      </w:r>
      <w:r w:rsidR="00615D7F" w:rsidRPr="00615D7F">
        <w:rPr>
          <w:rFonts w:ascii="Arial" w:hAnsi="Arial" w:cs="Arial"/>
          <w:sz w:val="24"/>
          <w:szCs w:val="24"/>
        </w:rPr>
        <w:t>realiza</w:t>
      </w:r>
      <w:r w:rsidR="00D44E9B">
        <w:rPr>
          <w:rFonts w:ascii="Arial" w:hAnsi="Arial" w:cs="Arial"/>
          <w:sz w:val="24"/>
          <w:szCs w:val="24"/>
        </w:rPr>
        <w:t xml:space="preserve">ção, pelo </w:t>
      </w:r>
      <w:r w:rsidR="00D44E9B" w:rsidRPr="00615D7F">
        <w:rPr>
          <w:rFonts w:ascii="Arial" w:hAnsi="Arial" w:cs="Arial"/>
          <w:sz w:val="24"/>
          <w:szCs w:val="24"/>
        </w:rPr>
        <w:t>grupo econômico</w:t>
      </w:r>
      <w:r w:rsidR="00D44E9B">
        <w:rPr>
          <w:rFonts w:ascii="Arial" w:hAnsi="Arial" w:cs="Arial"/>
          <w:sz w:val="24"/>
          <w:szCs w:val="24"/>
        </w:rPr>
        <w:t>, de</w:t>
      </w:r>
      <w:r w:rsidR="00615D7F" w:rsidRPr="00615D7F">
        <w:rPr>
          <w:rFonts w:ascii="Arial" w:hAnsi="Arial" w:cs="Arial"/>
          <w:sz w:val="24"/>
          <w:szCs w:val="24"/>
        </w:rPr>
        <w:t xml:space="preserve"> novos investimentos</w:t>
      </w:r>
      <w:r>
        <w:rPr>
          <w:rFonts w:ascii="Arial" w:hAnsi="Arial" w:cs="Arial"/>
          <w:sz w:val="24"/>
          <w:szCs w:val="24"/>
        </w:rPr>
        <w:t xml:space="preserve"> e</w:t>
      </w:r>
      <w:r w:rsidR="00615D7F" w:rsidRPr="00615D7F">
        <w:rPr>
          <w:rFonts w:ascii="Arial" w:hAnsi="Arial" w:cs="Arial"/>
          <w:sz w:val="24"/>
          <w:szCs w:val="24"/>
        </w:rPr>
        <w:t xml:space="preserve"> implanta</w:t>
      </w:r>
      <w:r>
        <w:rPr>
          <w:rFonts w:ascii="Arial" w:hAnsi="Arial" w:cs="Arial"/>
          <w:sz w:val="24"/>
          <w:szCs w:val="24"/>
        </w:rPr>
        <w:t>ção de</w:t>
      </w:r>
      <w:r w:rsidR="00615D7F" w:rsidRPr="00615D7F">
        <w:rPr>
          <w:rFonts w:ascii="Arial" w:hAnsi="Arial" w:cs="Arial"/>
          <w:sz w:val="24"/>
          <w:szCs w:val="24"/>
        </w:rPr>
        <w:t>, pelo menos, uma unidade industrial no Estado de Goiás</w:t>
      </w:r>
      <w:r>
        <w:rPr>
          <w:rFonts w:ascii="Arial" w:hAnsi="Arial" w:cs="Arial"/>
          <w:sz w:val="24"/>
          <w:szCs w:val="24"/>
        </w:rPr>
        <w:t>, bem como a</w:t>
      </w:r>
      <w:r w:rsidR="00615D7F" w:rsidRPr="00615D7F">
        <w:rPr>
          <w:rFonts w:ascii="Arial" w:hAnsi="Arial" w:cs="Arial"/>
          <w:sz w:val="24"/>
          <w:szCs w:val="24"/>
        </w:rPr>
        <w:t xml:space="preserve"> gera</w:t>
      </w:r>
      <w:r>
        <w:rPr>
          <w:rFonts w:ascii="Arial" w:hAnsi="Arial" w:cs="Arial"/>
          <w:sz w:val="24"/>
          <w:szCs w:val="24"/>
        </w:rPr>
        <w:t>ção de</w:t>
      </w:r>
      <w:r w:rsidR="00615D7F" w:rsidRPr="00615D7F">
        <w:rPr>
          <w:rFonts w:ascii="Arial" w:hAnsi="Arial" w:cs="Arial"/>
          <w:sz w:val="24"/>
          <w:szCs w:val="24"/>
        </w:rPr>
        <w:t>, no mínimo, 2.000 (dois mil) empregos diretos ao final do projeto, mesmo que em mais de um estabelecimento</w:t>
      </w:r>
      <w:r>
        <w:rPr>
          <w:rFonts w:ascii="Arial" w:hAnsi="Arial" w:cs="Arial"/>
          <w:sz w:val="24"/>
          <w:szCs w:val="24"/>
        </w:rPr>
        <w:t>.</w:t>
      </w:r>
    </w:p>
    <w:p w14:paraId="0F089877" w14:textId="3B7BBA62" w:rsidR="00C33757" w:rsidRDefault="00C33757" w:rsidP="00121151">
      <w:pPr>
        <w:spacing w:line="360" w:lineRule="auto"/>
        <w:ind w:firstLine="851"/>
        <w:jc w:val="both"/>
        <w:rPr>
          <w:rFonts w:ascii="Arial" w:hAnsi="Arial" w:cs="Arial"/>
          <w:sz w:val="24"/>
          <w:szCs w:val="24"/>
        </w:rPr>
      </w:pPr>
      <w:r>
        <w:rPr>
          <w:rFonts w:ascii="Arial" w:hAnsi="Arial" w:cs="Arial"/>
          <w:sz w:val="24"/>
          <w:szCs w:val="24"/>
        </w:rPr>
        <w:lastRenderedPageBreak/>
        <w:t xml:space="preserve">A Lei nº 20.590/2019 alterou a redação desse § 1º para desdobrá-lo em 2 (dois) incisos, de modo a exigir, no inciso I, que esses 2.000 (dois mil) empregos diretos sejam gerados no Estado de Goiás, além de estabelecer, no inciso II, outra condicionante, a de que o referido tratamento tributário </w:t>
      </w:r>
      <w:r w:rsidRPr="00C33757">
        <w:rPr>
          <w:rFonts w:ascii="Arial" w:hAnsi="Arial" w:cs="Arial"/>
          <w:sz w:val="24"/>
          <w:szCs w:val="24"/>
        </w:rPr>
        <w:t>somente se aplica às operações com produto de fabricação própria efetuada no Estado de Goiás e com produto resultante de industrialização por encomenda e ordem do estabelecimento beneficiário, em outro estabelecimento próprio ou de terceiros, localizados neste Estado.</w:t>
      </w:r>
      <w:r>
        <w:rPr>
          <w:rFonts w:ascii="Arial" w:hAnsi="Arial" w:cs="Arial"/>
          <w:sz w:val="24"/>
          <w:szCs w:val="24"/>
        </w:rPr>
        <w:t xml:space="preserve"> Com essas singelas alterações, privilegia-se a geração de emprego e renda no Estado de Goiás.</w:t>
      </w:r>
    </w:p>
    <w:p w14:paraId="14E73143" w14:textId="55442AA7" w:rsidR="00845503" w:rsidRPr="007D7C1E" w:rsidRDefault="008403B8" w:rsidP="00121151">
      <w:pPr>
        <w:spacing w:line="360" w:lineRule="auto"/>
        <w:ind w:firstLine="851"/>
        <w:jc w:val="both"/>
        <w:rPr>
          <w:rFonts w:ascii="Arial" w:hAnsi="Arial" w:cs="Arial"/>
          <w:sz w:val="24"/>
          <w:szCs w:val="24"/>
        </w:rPr>
      </w:pPr>
      <w:r>
        <w:rPr>
          <w:rFonts w:ascii="Arial" w:hAnsi="Arial" w:cs="Arial"/>
          <w:sz w:val="24"/>
          <w:szCs w:val="24"/>
        </w:rPr>
        <w:t xml:space="preserve">Cumpre observar, ainda, que o art. 5º, inciso I, da Lei nº </w:t>
      </w:r>
      <w:r w:rsidRPr="008403B8">
        <w:rPr>
          <w:rFonts w:ascii="Arial" w:hAnsi="Arial" w:cs="Arial"/>
          <w:sz w:val="24"/>
          <w:szCs w:val="24"/>
        </w:rPr>
        <w:t>17.441/2011</w:t>
      </w:r>
      <w:r>
        <w:rPr>
          <w:rFonts w:ascii="Arial" w:hAnsi="Arial" w:cs="Arial"/>
          <w:sz w:val="24"/>
          <w:szCs w:val="24"/>
        </w:rPr>
        <w:t xml:space="preserve"> prevê que o regime de substituição tributária previsto nesse diploma legal pode s</w:t>
      </w:r>
      <w:r w:rsidRPr="008403B8">
        <w:rPr>
          <w:rFonts w:ascii="Arial" w:hAnsi="Arial" w:cs="Arial"/>
          <w:sz w:val="24"/>
          <w:szCs w:val="24"/>
        </w:rPr>
        <w:t>er estendido às saídas de uma para outra pessoa jurídica integrantes ao grupo econômico</w:t>
      </w:r>
      <w:r w:rsidR="00441578">
        <w:rPr>
          <w:rFonts w:ascii="Arial" w:hAnsi="Arial" w:cs="Arial"/>
          <w:sz w:val="24"/>
          <w:szCs w:val="24"/>
        </w:rPr>
        <w:t xml:space="preserve">; e seu parágrafo único, ainda, permitia que eventual </w:t>
      </w:r>
      <w:r w:rsidR="00441578" w:rsidRPr="00845503">
        <w:rPr>
          <w:rFonts w:ascii="Arial" w:hAnsi="Arial" w:cs="Arial"/>
          <w:sz w:val="24"/>
          <w:szCs w:val="24"/>
        </w:rPr>
        <w:t>saldo credor existente na escrituração fiscal da pessoa jurídica remetente, em virtude d</w:t>
      </w:r>
      <w:r w:rsidR="00441578">
        <w:rPr>
          <w:rFonts w:ascii="Arial" w:hAnsi="Arial" w:cs="Arial"/>
          <w:sz w:val="24"/>
          <w:szCs w:val="24"/>
        </w:rPr>
        <w:t>essa sistemática, pudesse</w:t>
      </w:r>
      <w:r w:rsidR="00441578" w:rsidRPr="00845503">
        <w:rPr>
          <w:rFonts w:ascii="Arial" w:hAnsi="Arial" w:cs="Arial"/>
          <w:sz w:val="24"/>
          <w:szCs w:val="24"/>
        </w:rPr>
        <w:t xml:space="preserve"> ser </w:t>
      </w:r>
      <w:r w:rsidR="00441578" w:rsidRPr="007D7C1E">
        <w:rPr>
          <w:rFonts w:ascii="Arial" w:hAnsi="Arial" w:cs="Arial"/>
          <w:sz w:val="24"/>
          <w:szCs w:val="24"/>
        </w:rPr>
        <w:t>transferido para a pessoa jurídica adquirente do mesmo grupo econômico.</w:t>
      </w:r>
      <w:r w:rsidR="00756202" w:rsidRPr="007D7C1E">
        <w:rPr>
          <w:rFonts w:ascii="Arial" w:hAnsi="Arial" w:cs="Arial"/>
          <w:sz w:val="24"/>
          <w:szCs w:val="24"/>
        </w:rPr>
        <w:t xml:space="preserve"> A </w:t>
      </w:r>
      <w:r w:rsidR="00845503" w:rsidRPr="007D7C1E">
        <w:rPr>
          <w:rFonts w:ascii="Arial" w:hAnsi="Arial" w:cs="Arial"/>
          <w:sz w:val="24"/>
          <w:szCs w:val="24"/>
        </w:rPr>
        <w:t>Lei nº 20.590/2019</w:t>
      </w:r>
      <w:r w:rsidR="00756202" w:rsidRPr="007D7C1E">
        <w:rPr>
          <w:rFonts w:ascii="Arial" w:hAnsi="Arial" w:cs="Arial"/>
          <w:sz w:val="24"/>
          <w:szCs w:val="24"/>
        </w:rPr>
        <w:t xml:space="preserve"> revogou esse parágrafo único, de modo a proibir a transferência de saldo credor para pessoa jurídica adquirente do mesmo grupo econômico na hipótese de substituição tributária.</w:t>
      </w:r>
    </w:p>
    <w:p w14:paraId="1BEFABFB" w14:textId="77777777" w:rsidR="00A765FD" w:rsidRPr="007D7C1E" w:rsidRDefault="006162C8" w:rsidP="00121151">
      <w:pPr>
        <w:spacing w:line="360" w:lineRule="auto"/>
        <w:ind w:firstLine="851"/>
        <w:jc w:val="both"/>
        <w:rPr>
          <w:rFonts w:ascii="Arial" w:hAnsi="Arial" w:cs="Arial"/>
          <w:sz w:val="24"/>
          <w:szCs w:val="24"/>
        </w:rPr>
      </w:pPr>
      <w:r w:rsidRPr="007D7C1E">
        <w:rPr>
          <w:rFonts w:ascii="Arial" w:hAnsi="Arial" w:cs="Arial"/>
          <w:sz w:val="24"/>
          <w:szCs w:val="24"/>
        </w:rPr>
        <w:t xml:space="preserve">Por fim, merece registro que a anterior redação do </w:t>
      </w:r>
      <w:r w:rsidR="008C743E" w:rsidRPr="007D7C1E">
        <w:rPr>
          <w:rFonts w:ascii="Arial" w:hAnsi="Arial" w:cs="Arial"/>
          <w:i/>
          <w:sz w:val="24"/>
          <w:szCs w:val="24"/>
        </w:rPr>
        <w:t>caput</w:t>
      </w:r>
      <w:r w:rsidR="008C743E" w:rsidRPr="007D7C1E">
        <w:rPr>
          <w:rFonts w:ascii="Arial" w:hAnsi="Arial" w:cs="Arial"/>
          <w:sz w:val="24"/>
          <w:szCs w:val="24"/>
        </w:rPr>
        <w:t xml:space="preserve"> do </w:t>
      </w:r>
      <w:r w:rsidRPr="007D7C1E">
        <w:rPr>
          <w:rFonts w:ascii="Arial" w:hAnsi="Arial" w:cs="Arial"/>
          <w:sz w:val="24"/>
          <w:szCs w:val="24"/>
        </w:rPr>
        <w:t>art. 7º da Lei nº 17.514/2011 previa que a concessão do benefício fiscal da redução da base de cálculo e do crédito outorgado não poderia resultar em carga tributária efetiva inferior a 2% (dois por cento).</w:t>
      </w:r>
      <w:r w:rsidR="002D5005" w:rsidRPr="007D7C1E">
        <w:rPr>
          <w:rFonts w:ascii="Arial" w:hAnsi="Arial" w:cs="Arial"/>
          <w:sz w:val="24"/>
          <w:szCs w:val="24"/>
        </w:rPr>
        <w:t xml:space="preserve"> Porém, o dispositivo não esclarecia</w:t>
      </w:r>
      <w:r w:rsidR="008C743E" w:rsidRPr="007D7C1E">
        <w:rPr>
          <w:rFonts w:ascii="Arial" w:hAnsi="Arial" w:cs="Arial"/>
          <w:sz w:val="24"/>
          <w:szCs w:val="24"/>
        </w:rPr>
        <w:t xml:space="preserve"> se esse percentual deveria ser considerado em relação ao total de operações realizadas pelo grupo econômico ou apenas aquelas abrangidas pelo tratamento tributário previsto naquela Lei. </w:t>
      </w:r>
    </w:p>
    <w:p w14:paraId="332529B4" w14:textId="0F37237C" w:rsidR="006162C8" w:rsidRPr="007D7C1E" w:rsidRDefault="008C743E" w:rsidP="00121151">
      <w:pPr>
        <w:spacing w:line="360" w:lineRule="auto"/>
        <w:ind w:firstLine="851"/>
        <w:jc w:val="both"/>
        <w:rPr>
          <w:rFonts w:ascii="Arial" w:hAnsi="Arial" w:cs="Arial"/>
          <w:sz w:val="24"/>
          <w:szCs w:val="24"/>
        </w:rPr>
      </w:pPr>
      <w:r w:rsidRPr="007D7C1E">
        <w:rPr>
          <w:rFonts w:ascii="Arial" w:hAnsi="Arial" w:cs="Arial"/>
          <w:sz w:val="24"/>
          <w:szCs w:val="24"/>
        </w:rPr>
        <w:t>Para corrigir mais es</w:t>
      </w:r>
      <w:r w:rsidR="00BD6A5A" w:rsidRPr="007D7C1E">
        <w:rPr>
          <w:rFonts w:ascii="Arial" w:hAnsi="Arial" w:cs="Arial"/>
          <w:sz w:val="24"/>
          <w:szCs w:val="24"/>
        </w:rPr>
        <w:t>s</w:t>
      </w:r>
      <w:r w:rsidRPr="007D7C1E">
        <w:rPr>
          <w:rFonts w:ascii="Arial" w:hAnsi="Arial" w:cs="Arial"/>
          <w:sz w:val="24"/>
          <w:szCs w:val="24"/>
        </w:rPr>
        <w:t xml:space="preserve">a distorção, a Lei nº 20.520/2019 conferiu nova redação àquele </w:t>
      </w:r>
      <w:r w:rsidR="00A765FD" w:rsidRPr="007D7C1E">
        <w:rPr>
          <w:rFonts w:ascii="Arial" w:hAnsi="Arial" w:cs="Arial"/>
          <w:sz w:val="24"/>
          <w:szCs w:val="24"/>
        </w:rPr>
        <w:t>dispositivo, para esclarecer que a concessão, cumulada ou não, dos benefícios fiscais da redução da base de cálculo e do crédito outorgado não pode resultar em carga tributária efetiva inferior a 2% (dois por cento) aplicado sobre o valor das operações e prestações abrangidas pelo tratamento tributário a que se refere a Lei nº 17.514/2011, assim entendido o percentual obtido por meio da divisão do valor do ICMS efetivamente recolhido pelo valor das referidas operações e prestações, em determinado período de apuração</w:t>
      </w:r>
      <w:r w:rsidR="009C72FC" w:rsidRPr="007D7C1E">
        <w:rPr>
          <w:rFonts w:ascii="Arial" w:hAnsi="Arial" w:cs="Arial"/>
          <w:sz w:val="24"/>
          <w:szCs w:val="24"/>
        </w:rPr>
        <w:t>. Desse modo, resta claro na lei que mencionado percentual só incide sobre o valor das operações objeto do tratamento tributário especial de que trata a lei.</w:t>
      </w:r>
    </w:p>
    <w:p w14:paraId="5159072A" w14:textId="5F10F5EB" w:rsidR="001E0EC0" w:rsidRDefault="001E0EC0" w:rsidP="00121151">
      <w:pPr>
        <w:spacing w:line="360" w:lineRule="auto"/>
        <w:ind w:firstLine="851"/>
        <w:jc w:val="both"/>
        <w:rPr>
          <w:rFonts w:ascii="Arial" w:hAnsi="Arial" w:cs="Arial"/>
          <w:sz w:val="24"/>
          <w:szCs w:val="24"/>
        </w:rPr>
      </w:pPr>
      <w:r w:rsidRPr="007D7C1E">
        <w:rPr>
          <w:rFonts w:ascii="Arial" w:hAnsi="Arial" w:cs="Arial"/>
          <w:sz w:val="24"/>
          <w:szCs w:val="24"/>
        </w:rPr>
        <w:lastRenderedPageBreak/>
        <w:t>Portanto, diversas foram as contribuições da Lei nº 20.520/2019 no tocante ao tratamento tributário relativo ao ICMS dispensado</w:t>
      </w:r>
      <w:r>
        <w:rPr>
          <w:rFonts w:ascii="Arial" w:hAnsi="Arial" w:cs="Arial"/>
          <w:sz w:val="24"/>
          <w:szCs w:val="24"/>
        </w:rPr>
        <w:t xml:space="preserve"> aos grupos econômicos.</w:t>
      </w:r>
    </w:p>
    <w:p w14:paraId="28B71DE7" w14:textId="4EB8C8C0" w:rsidR="00B528FF" w:rsidRDefault="00B528FF" w:rsidP="00121151">
      <w:pPr>
        <w:spacing w:line="360" w:lineRule="auto"/>
        <w:ind w:firstLine="851"/>
        <w:jc w:val="both"/>
        <w:rPr>
          <w:rFonts w:ascii="Arial" w:hAnsi="Arial" w:cs="Arial"/>
          <w:sz w:val="24"/>
          <w:szCs w:val="24"/>
        </w:rPr>
      </w:pPr>
    </w:p>
    <w:p w14:paraId="225EDE29" w14:textId="26B5ACE4" w:rsidR="00B528FF" w:rsidRPr="007D7C1E" w:rsidRDefault="00B528FF" w:rsidP="00B528FF">
      <w:pPr>
        <w:spacing w:line="360" w:lineRule="auto"/>
        <w:ind w:firstLine="851"/>
        <w:jc w:val="both"/>
        <w:rPr>
          <w:rFonts w:ascii="Arial" w:hAnsi="Arial" w:cs="Arial"/>
          <w:sz w:val="24"/>
          <w:szCs w:val="24"/>
          <w:u w:val="single"/>
        </w:rPr>
      </w:pPr>
      <w:r w:rsidRPr="007D7C1E">
        <w:rPr>
          <w:rFonts w:ascii="Arial" w:hAnsi="Arial" w:cs="Arial"/>
          <w:sz w:val="24"/>
          <w:szCs w:val="24"/>
          <w:u w:val="single"/>
        </w:rPr>
        <w:t>3.3.2.6.2 – Lei nº 20.6</w:t>
      </w:r>
      <w:r w:rsidR="001A04C9" w:rsidRPr="007D7C1E">
        <w:rPr>
          <w:rFonts w:ascii="Arial" w:hAnsi="Arial" w:cs="Arial"/>
          <w:sz w:val="24"/>
          <w:szCs w:val="24"/>
          <w:u w:val="single"/>
        </w:rPr>
        <w:t>54</w:t>
      </w:r>
      <w:r w:rsidR="006356F1" w:rsidRPr="007D7C1E">
        <w:rPr>
          <w:rFonts w:ascii="Arial" w:hAnsi="Arial" w:cs="Arial"/>
          <w:sz w:val="24"/>
          <w:szCs w:val="24"/>
          <w:u w:val="single"/>
        </w:rPr>
        <w:t>/</w:t>
      </w:r>
      <w:r w:rsidRPr="007D7C1E">
        <w:rPr>
          <w:rFonts w:ascii="Arial" w:hAnsi="Arial" w:cs="Arial"/>
          <w:sz w:val="24"/>
          <w:szCs w:val="24"/>
          <w:u w:val="single"/>
        </w:rPr>
        <w:t>2019: fim do chamado “crédito moeda”</w:t>
      </w:r>
      <w:r w:rsidR="005433FB" w:rsidRPr="007D7C1E">
        <w:rPr>
          <w:rFonts w:ascii="Arial" w:hAnsi="Arial" w:cs="Arial"/>
          <w:sz w:val="24"/>
          <w:szCs w:val="24"/>
          <w:u w:val="single"/>
        </w:rPr>
        <w:t xml:space="preserve"> e de</w:t>
      </w:r>
      <w:r w:rsidR="0035434F" w:rsidRPr="007D7C1E">
        <w:rPr>
          <w:rFonts w:ascii="Arial" w:hAnsi="Arial" w:cs="Arial"/>
          <w:sz w:val="24"/>
          <w:szCs w:val="24"/>
          <w:u w:val="single"/>
        </w:rPr>
        <w:t xml:space="preserve"> determinados </w:t>
      </w:r>
      <w:r w:rsidR="005433FB" w:rsidRPr="007D7C1E">
        <w:rPr>
          <w:rFonts w:ascii="Arial" w:hAnsi="Arial" w:cs="Arial"/>
          <w:sz w:val="24"/>
          <w:szCs w:val="24"/>
          <w:u w:val="single"/>
        </w:rPr>
        <w:t>incentivos fiscais</w:t>
      </w:r>
    </w:p>
    <w:p w14:paraId="3BC9F38A" w14:textId="77777777" w:rsidR="00103B7E" w:rsidRPr="000F3914" w:rsidRDefault="00103B7E" w:rsidP="00121151">
      <w:pPr>
        <w:spacing w:line="360" w:lineRule="auto"/>
        <w:ind w:firstLine="851"/>
        <w:jc w:val="both"/>
        <w:rPr>
          <w:rFonts w:ascii="Arial" w:hAnsi="Arial" w:cs="Arial"/>
          <w:sz w:val="24"/>
          <w:szCs w:val="24"/>
        </w:rPr>
      </w:pPr>
    </w:p>
    <w:p w14:paraId="64A7F512" w14:textId="77777777" w:rsidR="00AD47E5" w:rsidRDefault="0069460F" w:rsidP="00121151">
      <w:pPr>
        <w:spacing w:line="360" w:lineRule="auto"/>
        <w:ind w:firstLine="851"/>
        <w:jc w:val="both"/>
        <w:rPr>
          <w:rFonts w:ascii="Arial" w:hAnsi="Arial" w:cs="Arial"/>
          <w:sz w:val="24"/>
          <w:szCs w:val="24"/>
        </w:rPr>
      </w:pPr>
      <w:r>
        <w:rPr>
          <w:rFonts w:ascii="Arial" w:hAnsi="Arial" w:cs="Arial"/>
          <w:sz w:val="24"/>
          <w:szCs w:val="24"/>
        </w:rPr>
        <w:t xml:space="preserve">Diversas leis instituíram, no Estado de Goiás, créditos outorgados, popularmente designados de “créditos moeda”, em razão de possibilitarem a “troca” ou “comercialização” entre empresas de créditos de ICMS concedidos pelo poder público, em razão de muitas vezes a empresa ter um volume de créditos muito superior à sua necessidade de apropriação na escrita fiscal. </w:t>
      </w:r>
    </w:p>
    <w:p w14:paraId="25073C42" w14:textId="094232DF" w:rsidR="000F3914" w:rsidRDefault="0069460F" w:rsidP="00121151">
      <w:pPr>
        <w:spacing w:line="360" w:lineRule="auto"/>
        <w:ind w:firstLine="851"/>
        <w:jc w:val="both"/>
        <w:rPr>
          <w:rFonts w:ascii="Arial" w:hAnsi="Arial" w:cs="Arial"/>
          <w:sz w:val="24"/>
          <w:szCs w:val="24"/>
        </w:rPr>
      </w:pPr>
      <w:r>
        <w:rPr>
          <w:rFonts w:ascii="Arial" w:hAnsi="Arial" w:cs="Arial"/>
          <w:sz w:val="24"/>
          <w:szCs w:val="24"/>
        </w:rPr>
        <w:t>Nesse sentido, o art. 1º da Lei nº 20.6</w:t>
      </w:r>
      <w:r w:rsidR="001A04C9">
        <w:rPr>
          <w:rFonts w:ascii="Arial" w:hAnsi="Arial" w:cs="Arial"/>
          <w:sz w:val="24"/>
          <w:szCs w:val="24"/>
        </w:rPr>
        <w:t xml:space="preserve">54, de 18 de dezembro de </w:t>
      </w:r>
      <w:r>
        <w:rPr>
          <w:rFonts w:ascii="Arial" w:hAnsi="Arial" w:cs="Arial"/>
          <w:sz w:val="24"/>
          <w:szCs w:val="24"/>
        </w:rPr>
        <w:t>2019</w:t>
      </w:r>
      <w:r w:rsidR="001A04C9">
        <w:rPr>
          <w:rFonts w:ascii="Arial" w:hAnsi="Arial" w:cs="Arial"/>
          <w:sz w:val="24"/>
          <w:szCs w:val="24"/>
        </w:rPr>
        <w:t>,</w:t>
      </w:r>
      <w:r>
        <w:rPr>
          <w:rFonts w:ascii="Arial" w:hAnsi="Arial" w:cs="Arial"/>
          <w:sz w:val="24"/>
          <w:szCs w:val="24"/>
        </w:rPr>
        <w:t xml:space="preserve"> revogou diversos dispositivos que franqueavam esse direito às empresas</w:t>
      </w:r>
      <w:r w:rsidR="0035434F">
        <w:rPr>
          <w:rFonts w:ascii="Arial" w:hAnsi="Arial" w:cs="Arial"/>
          <w:sz w:val="24"/>
          <w:szCs w:val="24"/>
        </w:rPr>
        <w:t>, além de outros incentivos fiscais cuja manutenção</w:t>
      </w:r>
      <w:r w:rsidR="00D75722">
        <w:rPr>
          <w:rFonts w:ascii="Arial" w:hAnsi="Arial" w:cs="Arial"/>
          <w:sz w:val="24"/>
          <w:szCs w:val="24"/>
        </w:rPr>
        <w:t xml:space="preserve"> se considerou desnecessária no Estado</w:t>
      </w:r>
      <w:r>
        <w:rPr>
          <w:rFonts w:ascii="Arial" w:hAnsi="Arial" w:cs="Arial"/>
          <w:sz w:val="24"/>
          <w:szCs w:val="24"/>
        </w:rPr>
        <w:t>, a saber:</w:t>
      </w:r>
    </w:p>
    <w:p w14:paraId="1E8763D1" w14:textId="47FB434B" w:rsidR="0069460F" w:rsidRDefault="0069460F" w:rsidP="00121151">
      <w:pPr>
        <w:spacing w:line="360" w:lineRule="auto"/>
        <w:ind w:firstLine="851"/>
        <w:jc w:val="both"/>
        <w:rPr>
          <w:rFonts w:ascii="Arial" w:hAnsi="Arial" w:cs="Arial"/>
          <w:sz w:val="24"/>
          <w:szCs w:val="24"/>
        </w:rPr>
      </w:pPr>
    </w:p>
    <w:tbl>
      <w:tblPr>
        <w:tblStyle w:val="Tabelacomgrade"/>
        <w:tblW w:w="9351" w:type="dxa"/>
        <w:tblLook w:val="04A0" w:firstRow="1" w:lastRow="0" w:firstColumn="1" w:lastColumn="0" w:noHBand="0" w:noVBand="1"/>
      </w:tblPr>
      <w:tblGrid>
        <w:gridCol w:w="2835"/>
        <w:gridCol w:w="6516"/>
      </w:tblGrid>
      <w:tr w:rsidR="00841D6A" w:rsidRPr="006A6A93" w14:paraId="22B13CB5" w14:textId="77777777" w:rsidTr="00315659">
        <w:tc>
          <w:tcPr>
            <w:tcW w:w="2835" w:type="dxa"/>
            <w:shd w:val="clear" w:color="auto" w:fill="D9D9D9" w:themeFill="background1" w:themeFillShade="D9"/>
          </w:tcPr>
          <w:p w14:paraId="537B41D4" w14:textId="00F67144" w:rsidR="00841D6A" w:rsidRPr="00841D6A" w:rsidRDefault="00841D6A" w:rsidP="00AD47E5">
            <w:pPr>
              <w:spacing w:line="360" w:lineRule="auto"/>
              <w:jc w:val="center"/>
              <w:rPr>
                <w:rFonts w:ascii="Arial" w:hAnsi="Arial" w:cs="Arial"/>
                <w:b/>
                <w:sz w:val="24"/>
                <w:szCs w:val="24"/>
              </w:rPr>
            </w:pPr>
            <w:r w:rsidRPr="00841D6A">
              <w:rPr>
                <w:rFonts w:ascii="Arial" w:hAnsi="Arial" w:cs="Arial"/>
                <w:b/>
                <w:sz w:val="24"/>
                <w:szCs w:val="24"/>
              </w:rPr>
              <w:t>DIPLOMAS LEGAIS E DISPOSITIVOS REVOGADOS</w:t>
            </w:r>
          </w:p>
        </w:tc>
        <w:tc>
          <w:tcPr>
            <w:tcW w:w="6516" w:type="dxa"/>
            <w:shd w:val="clear" w:color="auto" w:fill="D9D9D9" w:themeFill="background1" w:themeFillShade="D9"/>
          </w:tcPr>
          <w:p w14:paraId="3A9935C9" w14:textId="53C21C1D" w:rsidR="00841D6A" w:rsidRPr="00841D6A" w:rsidRDefault="00841D6A" w:rsidP="00AD47E5">
            <w:pPr>
              <w:spacing w:line="360" w:lineRule="auto"/>
              <w:jc w:val="center"/>
              <w:rPr>
                <w:rFonts w:ascii="Arial" w:hAnsi="Arial" w:cs="Arial"/>
                <w:b/>
                <w:sz w:val="24"/>
                <w:szCs w:val="24"/>
              </w:rPr>
            </w:pPr>
            <w:r w:rsidRPr="00841D6A">
              <w:rPr>
                <w:rFonts w:ascii="Arial" w:hAnsi="Arial" w:cs="Arial"/>
                <w:b/>
                <w:sz w:val="24"/>
                <w:szCs w:val="24"/>
              </w:rPr>
              <w:t>DO QUE TRATAVAM</w:t>
            </w:r>
          </w:p>
        </w:tc>
      </w:tr>
      <w:tr w:rsidR="0092763B" w:rsidRPr="006A6A93" w14:paraId="71416CA8" w14:textId="77777777" w:rsidTr="00315659">
        <w:tc>
          <w:tcPr>
            <w:tcW w:w="2835" w:type="dxa"/>
            <w:vMerge w:val="restart"/>
            <w:shd w:val="clear" w:color="auto" w:fill="FFFFFF" w:themeFill="background1"/>
          </w:tcPr>
          <w:p w14:paraId="6A26C780" w14:textId="77777777" w:rsidR="0092763B" w:rsidRDefault="0092763B" w:rsidP="00B96A4B">
            <w:pPr>
              <w:spacing w:line="360" w:lineRule="auto"/>
              <w:jc w:val="center"/>
              <w:rPr>
                <w:rFonts w:ascii="Arial" w:hAnsi="Arial" w:cs="Arial"/>
                <w:b/>
                <w:sz w:val="24"/>
                <w:szCs w:val="24"/>
                <w:u w:val="single"/>
              </w:rPr>
            </w:pPr>
          </w:p>
          <w:p w14:paraId="4494F0E9" w14:textId="77777777" w:rsidR="00D75722" w:rsidRDefault="00D75722" w:rsidP="00B96A4B">
            <w:pPr>
              <w:spacing w:line="360" w:lineRule="auto"/>
              <w:jc w:val="center"/>
              <w:rPr>
                <w:rFonts w:ascii="Arial" w:hAnsi="Arial" w:cs="Arial"/>
                <w:b/>
                <w:sz w:val="24"/>
                <w:szCs w:val="24"/>
                <w:u w:val="single"/>
              </w:rPr>
            </w:pPr>
          </w:p>
          <w:p w14:paraId="130874A8" w14:textId="5A81E758" w:rsidR="0092763B" w:rsidRPr="009C618C" w:rsidRDefault="0092763B" w:rsidP="00B96A4B">
            <w:pPr>
              <w:spacing w:line="360" w:lineRule="auto"/>
              <w:jc w:val="center"/>
              <w:rPr>
                <w:rFonts w:ascii="Arial" w:hAnsi="Arial" w:cs="Arial"/>
                <w:b/>
                <w:sz w:val="24"/>
                <w:szCs w:val="24"/>
                <w:u w:val="single"/>
              </w:rPr>
            </w:pPr>
            <w:r w:rsidRPr="009C618C">
              <w:rPr>
                <w:rFonts w:ascii="Arial" w:hAnsi="Arial" w:cs="Arial"/>
                <w:b/>
                <w:sz w:val="24"/>
                <w:szCs w:val="24"/>
                <w:u w:val="single"/>
              </w:rPr>
              <w:t xml:space="preserve">Lei nº 13.194/1997, </w:t>
            </w:r>
          </w:p>
          <w:p w14:paraId="5DA39C8B" w14:textId="77777777" w:rsidR="0092763B" w:rsidRPr="00841D6A" w:rsidRDefault="0092763B" w:rsidP="0092763B">
            <w:pPr>
              <w:spacing w:line="360" w:lineRule="auto"/>
              <w:jc w:val="center"/>
              <w:rPr>
                <w:rFonts w:ascii="Arial" w:hAnsi="Arial" w:cs="Arial"/>
                <w:b/>
                <w:sz w:val="24"/>
                <w:szCs w:val="24"/>
              </w:rPr>
            </w:pPr>
            <w:r w:rsidRPr="00841D6A">
              <w:rPr>
                <w:rFonts w:ascii="Arial" w:hAnsi="Arial" w:cs="Arial"/>
                <w:b/>
                <w:sz w:val="24"/>
                <w:szCs w:val="24"/>
              </w:rPr>
              <w:t>art. 2º</w:t>
            </w:r>
            <w:r>
              <w:rPr>
                <w:rFonts w:ascii="Arial" w:hAnsi="Arial" w:cs="Arial"/>
                <w:b/>
                <w:sz w:val="24"/>
                <w:szCs w:val="24"/>
              </w:rPr>
              <w:t xml:space="preserve">, </w:t>
            </w:r>
            <w:r w:rsidRPr="00841D6A">
              <w:rPr>
                <w:rFonts w:ascii="Arial" w:hAnsi="Arial" w:cs="Arial"/>
                <w:b/>
                <w:sz w:val="24"/>
                <w:szCs w:val="24"/>
              </w:rPr>
              <w:t>II</w:t>
            </w:r>
            <w:r>
              <w:rPr>
                <w:rFonts w:ascii="Arial" w:hAnsi="Arial" w:cs="Arial"/>
                <w:b/>
                <w:sz w:val="24"/>
                <w:szCs w:val="24"/>
              </w:rPr>
              <w:t>,</w:t>
            </w:r>
            <w:r w:rsidRPr="00841D6A">
              <w:rPr>
                <w:rFonts w:ascii="Arial" w:hAnsi="Arial" w:cs="Arial"/>
                <w:b/>
                <w:sz w:val="24"/>
                <w:szCs w:val="24"/>
              </w:rPr>
              <w:t xml:space="preserve"> </w:t>
            </w:r>
            <w:r>
              <w:rPr>
                <w:rFonts w:ascii="Arial" w:hAnsi="Arial" w:cs="Arial"/>
                <w:b/>
                <w:sz w:val="24"/>
                <w:szCs w:val="24"/>
              </w:rPr>
              <w:t>"f"</w:t>
            </w:r>
          </w:p>
          <w:p w14:paraId="70374602" w14:textId="77777777" w:rsidR="0092763B" w:rsidRDefault="0092763B" w:rsidP="0092763B">
            <w:pPr>
              <w:spacing w:line="360" w:lineRule="auto"/>
              <w:jc w:val="center"/>
              <w:rPr>
                <w:rFonts w:ascii="Arial" w:hAnsi="Arial" w:cs="Arial"/>
                <w:b/>
                <w:sz w:val="24"/>
                <w:szCs w:val="24"/>
                <w:u w:val="single"/>
              </w:rPr>
            </w:pPr>
          </w:p>
          <w:p w14:paraId="56E3E62F" w14:textId="77777777" w:rsidR="0092763B" w:rsidRDefault="0092763B" w:rsidP="0092763B">
            <w:pPr>
              <w:spacing w:line="360" w:lineRule="auto"/>
              <w:jc w:val="center"/>
              <w:rPr>
                <w:rFonts w:ascii="Arial" w:hAnsi="Arial" w:cs="Arial"/>
                <w:b/>
                <w:sz w:val="24"/>
                <w:szCs w:val="24"/>
                <w:u w:val="single"/>
              </w:rPr>
            </w:pPr>
          </w:p>
          <w:p w14:paraId="170D3C5D" w14:textId="77777777" w:rsidR="0092763B" w:rsidRDefault="0092763B" w:rsidP="0092763B">
            <w:pPr>
              <w:spacing w:line="360" w:lineRule="auto"/>
              <w:jc w:val="center"/>
              <w:rPr>
                <w:rFonts w:ascii="Arial" w:hAnsi="Arial" w:cs="Arial"/>
                <w:b/>
                <w:sz w:val="24"/>
                <w:szCs w:val="24"/>
                <w:u w:val="single"/>
              </w:rPr>
            </w:pPr>
          </w:p>
          <w:p w14:paraId="0A279253" w14:textId="77777777" w:rsidR="0092763B" w:rsidRDefault="0092763B" w:rsidP="0092763B">
            <w:pPr>
              <w:spacing w:line="360" w:lineRule="auto"/>
              <w:jc w:val="center"/>
              <w:rPr>
                <w:rFonts w:ascii="Arial" w:hAnsi="Arial" w:cs="Arial"/>
                <w:b/>
                <w:sz w:val="24"/>
                <w:szCs w:val="24"/>
                <w:u w:val="single"/>
              </w:rPr>
            </w:pPr>
          </w:p>
          <w:p w14:paraId="0286B9FF" w14:textId="77777777" w:rsidR="0092763B" w:rsidRDefault="0092763B" w:rsidP="0092763B">
            <w:pPr>
              <w:spacing w:line="360" w:lineRule="auto"/>
              <w:jc w:val="center"/>
              <w:rPr>
                <w:rFonts w:ascii="Arial" w:hAnsi="Arial" w:cs="Arial"/>
                <w:b/>
                <w:sz w:val="24"/>
                <w:szCs w:val="24"/>
                <w:u w:val="single"/>
              </w:rPr>
            </w:pPr>
          </w:p>
          <w:p w14:paraId="68B97229" w14:textId="2FE86C12" w:rsidR="0092763B" w:rsidRPr="009C618C" w:rsidRDefault="0092763B" w:rsidP="0092763B">
            <w:pPr>
              <w:spacing w:line="360" w:lineRule="auto"/>
              <w:jc w:val="center"/>
              <w:rPr>
                <w:rFonts w:ascii="Arial" w:hAnsi="Arial" w:cs="Arial"/>
                <w:b/>
                <w:sz w:val="24"/>
                <w:szCs w:val="24"/>
                <w:u w:val="single"/>
              </w:rPr>
            </w:pPr>
            <w:r w:rsidRPr="009C618C">
              <w:rPr>
                <w:rFonts w:ascii="Arial" w:hAnsi="Arial" w:cs="Arial"/>
                <w:b/>
                <w:sz w:val="24"/>
                <w:szCs w:val="24"/>
                <w:u w:val="single"/>
              </w:rPr>
              <w:t xml:space="preserve">Lei nº 13.194/1997, </w:t>
            </w:r>
          </w:p>
          <w:p w14:paraId="29D7A5DC" w14:textId="2D5D7DCA" w:rsidR="0092763B" w:rsidRPr="00841D6A" w:rsidRDefault="0092763B" w:rsidP="0092763B">
            <w:pPr>
              <w:spacing w:line="360" w:lineRule="auto"/>
              <w:jc w:val="center"/>
              <w:rPr>
                <w:rFonts w:ascii="Arial" w:hAnsi="Arial" w:cs="Arial"/>
                <w:b/>
                <w:sz w:val="24"/>
                <w:szCs w:val="24"/>
              </w:rPr>
            </w:pPr>
            <w:r w:rsidRPr="00841D6A">
              <w:rPr>
                <w:rFonts w:ascii="Arial" w:hAnsi="Arial" w:cs="Arial"/>
                <w:b/>
                <w:sz w:val="24"/>
                <w:szCs w:val="24"/>
              </w:rPr>
              <w:t>art. 2º</w:t>
            </w:r>
            <w:r>
              <w:rPr>
                <w:rFonts w:ascii="Arial" w:hAnsi="Arial" w:cs="Arial"/>
                <w:b/>
                <w:sz w:val="24"/>
                <w:szCs w:val="24"/>
              </w:rPr>
              <w:t xml:space="preserve">, </w:t>
            </w:r>
            <w:r w:rsidRPr="00841D6A">
              <w:rPr>
                <w:rFonts w:ascii="Arial" w:hAnsi="Arial" w:cs="Arial"/>
                <w:b/>
                <w:sz w:val="24"/>
                <w:szCs w:val="24"/>
              </w:rPr>
              <w:t>II</w:t>
            </w:r>
            <w:r>
              <w:rPr>
                <w:rFonts w:ascii="Arial" w:hAnsi="Arial" w:cs="Arial"/>
                <w:b/>
                <w:sz w:val="24"/>
                <w:szCs w:val="24"/>
              </w:rPr>
              <w:t>,</w:t>
            </w:r>
            <w:r w:rsidRPr="00841D6A">
              <w:rPr>
                <w:rFonts w:ascii="Arial" w:hAnsi="Arial" w:cs="Arial"/>
                <w:b/>
                <w:sz w:val="24"/>
                <w:szCs w:val="24"/>
              </w:rPr>
              <w:t xml:space="preserve"> </w:t>
            </w:r>
            <w:r>
              <w:rPr>
                <w:rFonts w:ascii="Arial" w:hAnsi="Arial" w:cs="Arial"/>
                <w:b/>
                <w:sz w:val="24"/>
                <w:szCs w:val="24"/>
              </w:rPr>
              <w:t>"x"</w:t>
            </w:r>
          </w:p>
        </w:tc>
        <w:tc>
          <w:tcPr>
            <w:tcW w:w="6516" w:type="dxa"/>
          </w:tcPr>
          <w:p w14:paraId="5102BE0A" w14:textId="412B2FCF" w:rsidR="0092763B" w:rsidRPr="00841D6A" w:rsidRDefault="0092763B" w:rsidP="00B96A4B">
            <w:pPr>
              <w:spacing w:line="360" w:lineRule="auto"/>
              <w:jc w:val="both"/>
              <w:rPr>
                <w:rFonts w:ascii="Arial" w:hAnsi="Arial" w:cs="Arial"/>
                <w:b/>
                <w:sz w:val="24"/>
                <w:szCs w:val="24"/>
              </w:rPr>
            </w:pPr>
            <w:r w:rsidRPr="00B96A4B">
              <w:rPr>
                <w:rFonts w:ascii="Arial" w:hAnsi="Arial" w:cs="Arial"/>
                <w:b/>
                <w:color w:val="000000"/>
                <w:sz w:val="24"/>
                <w:szCs w:val="24"/>
                <w:shd w:val="clear" w:color="auto" w:fill="FFFFFF"/>
              </w:rPr>
              <w:t>Crédito outorgado</w:t>
            </w:r>
            <w:r>
              <w:rPr>
                <w:rFonts w:ascii="Arial" w:hAnsi="Arial" w:cs="Arial"/>
                <w:color w:val="000000"/>
                <w:sz w:val="24"/>
                <w:szCs w:val="24"/>
                <w:shd w:val="clear" w:color="auto" w:fill="FFFFFF"/>
              </w:rPr>
              <w:t xml:space="preserve"> </w:t>
            </w:r>
            <w:r w:rsidRPr="00B96A4B">
              <w:rPr>
                <w:rFonts w:ascii="Arial" w:hAnsi="Arial" w:cs="Arial"/>
                <w:color w:val="000000"/>
                <w:sz w:val="24"/>
                <w:szCs w:val="24"/>
                <w:shd w:val="clear" w:color="auto" w:fill="FFFFFF"/>
              </w:rPr>
              <w:t xml:space="preserve">equivalente a até o valor da aquisição de equipamento medidor eletrônico de vazão para uso específico por estabelecimento fabricante ou revendedor de </w:t>
            </w:r>
            <w:r w:rsidRPr="00B96A4B">
              <w:rPr>
                <w:rFonts w:ascii="Arial" w:hAnsi="Arial" w:cs="Arial"/>
                <w:b/>
                <w:color w:val="000000"/>
                <w:sz w:val="24"/>
                <w:szCs w:val="24"/>
                <w:shd w:val="clear" w:color="auto" w:fill="FFFFFF"/>
              </w:rPr>
              <w:t>combustível</w:t>
            </w:r>
            <w:r>
              <w:rPr>
                <w:rFonts w:ascii="Arial" w:hAnsi="Arial" w:cs="Arial"/>
                <w:color w:val="000000"/>
                <w:sz w:val="24"/>
                <w:szCs w:val="24"/>
                <w:shd w:val="clear" w:color="auto" w:fill="FFFFFF"/>
              </w:rPr>
              <w:t xml:space="preserve"> (essa previsão, contudo, já havia sido revogada pela Lei nº 17.154/2010)</w:t>
            </w:r>
            <w:r w:rsidRPr="00B96A4B">
              <w:rPr>
                <w:rFonts w:ascii="Arial" w:hAnsi="Arial" w:cs="Arial"/>
                <w:color w:val="000000"/>
                <w:sz w:val="24"/>
                <w:szCs w:val="24"/>
                <w:shd w:val="clear" w:color="auto" w:fill="FFFFFF"/>
              </w:rPr>
              <w:t>.</w:t>
            </w:r>
          </w:p>
        </w:tc>
      </w:tr>
      <w:tr w:rsidR="0092763B" w:rsidRPr="006A6A93" w14:paraId="697693E9" w14:textId="77777777" w:rsidTr="00315659">
        <w:tc>
          <w:tcPr>
            <w:tcW w:w="2835" w:type="dxa"/>
            <w:vMerge/>
            <w:shd w:val="clear" w:color="auto" w:fill="FFFFFF" w:themeFill="background1"/>
          </w:tcPr>
          <w:p w14:paraId="5B69511B" w14:textId="038698E1" w:rsidR="0092763B" w:rsidRPr="0092763B" w:rsidRDefault="0092763B" w:rsidP="0092763B">
            <w:pPr>
              <w:spacing w:line="360" w:lineRule="auto"/>
              <w:jc w:val="center"/>
              <w:rPr>
                <w:rFonts w:ascii="Arial" w:hAnsi="Arial" w:cs="Arial"/>
                <w:b/>
                <w:sz w:val="24"/>
                <w:szCs w:val="24"/>
              </w:rPr>
            </w:pPr>
          </w:p>
        </w:tc>
        <w:tc>
          <w:tcPr>
            <w:tcW w:w="6516" w:type="dxa"/>
          </w:tcPr>
          <w:p w14:paraId="72595DF6" w14:textId="6BA73BE4" w:rsidR="0092763B" w:rsidRPr="00B96A4B" w:rsidRDefault="0092763B" w:rsidP="00B96A4B">
            <w:pPr>
              <w:spacing w:line="360" w:lineRule="auto"/>
              <w:jc w:val="both"/>
              <w:rPr>
                <w:rFonts w:ascii="Arial" w:hAnsi="Arial" w:cs="Arial"/>
                <w:b/>
                <w:color w:val="000000"/>
                <w:sz w:val="24"/>
                <w:szCs w:val="24"/>
                <w:shd w:val="clear" w:color="auto" w:fill="FFFFFF"/>
              </w:rPr>
            </w:pPr>
            <w:r w:rsidRPr="00B96A4B">
              <w:rPr>
                <w:rFonts w:ascii="Arial" w:hAnsi="Arial" w:cs="Arial"/>
                <w:b/>
                <w:color w:val="000000"/>
                <w:sz w:val="24"/>
                <w:szCs w:val="24"/>
              </w:rPr>
              <w:t>Crédito outorgado</w:t>
            </w:r>
            <w:r>
              <w:rPr>
                <w:rFonts w:ascii="Arial" w:hAnsi="Arial" w:cs="Arial"/>
                <w:color w:val="000000"/>
                <w:sz w:val="24"/>
                <w:szCs w:val="24"/>
              </w:rPr>
              <w:t xml:space="preserve"> do ICMS</w:t>
            </w:r>
            <w:r w:rsidRPr="00841D6A">
              <w:rPr>
                <w:rFonts w:ascii="Arial" w:hAnsi="Arial" w:cs="Arial"/>
                <w:color w:val="000000"/>
                <w:sz w:val="24"/>
                <w:szCs w:val="24"/>
              </w:rPr>
              <w:t xml:space="preserve"> </w:t>
            </w:r>
            <w:bookmarkStart w:id="2" w:name="A2IIt"/>
            <w:r w:rsidRPr="00841D6A">
              <w:rPr>
                <w:rFonts w:ascii="Arial" w:hAnsi="Arial" w:cs="Arial"/>
                <w:color w:val="000000"/>
                <w:sz w:val="24"/>
                <w:szCs w:val="24"/>
              </w:rPr>
              <w:t>para o estabelecimento beneficiário do </w:t>
            </w:r>
            <w:bookmarkEnd w:id="2"/>
            <w:r w:rsidRPr="00841D6A">
              <w:rPr>
                <w:rFonts w:ascii="Arial" w:hAnsi="Arial" w:cs="Arial"/>
                <w:color w:val="000000"/>
                <w:sz w:val="24"/>
                <w:szCs w:val="24"/>
              </w:rPr>
              <w:t xml:space="preserve">Programa de Desenvolvimento Industrial de Goiás – PRODUZIR – ou do Fundo de Participação e Fomento à Industrialização do Estado de Goiás - FOMENTAR – que promover a </w:t>
            </w:r>
            <w:r w:rsidRPr="001913AF">
              <w:rPr>
                <w:rFonts w:ascii="Arial" w:hAnsi="Arial" w:cs="Arial"/>
                <w:b/>
                <w:color w:val="000000"/>
                <w:sz w:val="24"/>
                <w:szCs w:val="24"/>
              </w:rPr>
              <w:t>industrialização de produto comestível resultante de abate de aves, no valor de até R$ 36.500.000,00 (trinta e seis milhões e quinhentos mil reais)</w:t>
            </w:r>
            <w:r w:rsidRPr="00841D6A">
              <w:rPr>
                <w:rFonts w:ascii="Arial" w:hAnsi="Arial" w:cs="Arial"/>
                <w:color w:val="000000"/>
                <w:sz w:val="24"/>
                <w:szCs w:val="24"/>
              </w:rPr>
              <w:t xml:space="preserve">, para ser efetivamente investido em projeto de implantação ou ampliação de complexo industrial </w:t>
            </w:r>
            <w:r w:rsidRPr="00841D6A">
              <w:rPr>
                <w:rFonts w:ascii="Arial" w:hAnsi="Arial" w:cs="Arial"/>
                <w:color w:val="000000"/>
                <w:sz w:val="24"/>
                <w:szCs w:val="24"/>
              </w:rPr>
              <w:lastRenderedPageBreak/>
              <w:t>situado no Estado de Goiás, nos termos e condições estabelecidos em termo de acordo de regime especial celebrado com a Secretaria de Estado da Fazenda.</w:t>
            </w:r>
          </w:p>
        </w:tc>
      </w:tr>
      <w:tr w:rsidR="003E0DF8" w:rsidRPr="006A6A93" w14:paraId="6650974B" w14:textId="77777777" w:rsidTr="00315659">
        <w:trPr>
          <w:trHeight w:val="1627"/>
        </w:trPr>
        <w:tc>
          <w:tcPr>
            <w:tcW w:w="2835" w:type="dxa"/>
            <w:vMerge w:val="restart"/>
            <w:shd w:val="clear" w:color="auto" w:fill="FFFFFF" w:themeFill="background1"/>
          </w:tcPr>
          <w:p w14:paraId="6005ACCD" w14:textId="77777777" w:rsidR="003E0DF8" w:rsidRDefault="003E0DF8" w:rsidP="00D75722">
            <w:pPr>
              <w:spacing w:line="360" w:lineRule="auto"/>
              <w:jc w:val="center"/>
              <w:rPr>
                <w:rFonts w:ascii="Arial" w:hAnsi="Arial" w:cs="Arial"/>
                <w:b/>
                <w:sz w:val="24"/>
                <w:szCs w:val="24"/>
                <w:u w:val="single"/>
              </w:rPr>
            </w:pPr>
          </w:p>
          <w:p w14:paraId="6B9344A5" w14:textId="7DD4F33C" w:rsidR="003E0DF8" w:rsidRPr="00D75722" w:rsidRDefault="003E0DF8" w:rsidP="00D75722">
            <w:pPr>
              <w:spacing w:line="360" w:lineRule="auto"/>
              <w:jc w:val="center"/>
              <w:rPr>
                <w:rFonts w:ascii="Arial" w:hAnsi="Arial" w:cs="Arial"/>
                <w:b/>
                <w:sz w:val="24"/>
                <w:szCs w:val="24"/>
                <w:u w:val="single"/>
              </w:rPr>
            </w:pPr>
            <w:r w:rsidRPr="00D75722">
              <w:rPr>
                <w:rFonts w:ascii="Arial" w:hAnsi="Arial" w:cs="Arial"/>
                <w:b/>
                <w:sz w:val="24"/>
                <w:szCs w:val="24"/>
                <w:u w:val="single"/>
              </w:rPr>
              <w:t>Lei nº 16.671/2009</w:t>
            </w:r>
          </w:p>
          <w:p w14:paraId="55BDF596" w14:textId="77777777" w:rsidR="003E0DF8" w:rsidRPr="000A1EEA" w:rsidRDefault="003E0DF8" w:rsidP="00E71CCA">
            <w:pPr>
              <w:spacing w:line="360" w:lineRule="auto"/>
              <w:jc w:val="center"/>
              <w:rPr>
                <w:rFonts w:ascii="Arial" w:hAnsi="Arial" w:cs="Arial"/>
                <w:b/>
                <w:sz w:val="24"/>
                <w:szCs w:val="24"/>
              </w:rPr>
            </w:pPr>
          </w:p>
          <w:p w14:paraId="44F20BBF" w14:textId="5C21886F" w:rsidR="003E0DF8" w:rsidRPr="000A1EEA" w:rsidRDefault="003E0DF8" w:rsidP="00E71CCA">
            <w:pPr>
              <w:spacing w:line="360" w:lineRule="auto"/>
              <w:jc w:val="center"/>
              <w:rPr>
                <w:rFonts w:ascii="Arial" w:hAnsi="Arial" w:cs="Arial"/>
                <w:b/>
                <w:sz w:val="24"/>
                <w:szCs w:val="24"/>
              </w:rPr>
            </w:pPr>
          </w:p>
          <w:p w14:paraId="0D7BE4C4" w14:textId="77777777" w:rsidR="003E0DF8" w:rsidRPr="000A1EEA" w:rsidRDefault="003E0DF8" w:rsidP="00E71CCA">
            <w:pPr>
              <w:spacing w:line="360" w:lineRule="auto"/>
              <w:jc w:val="center"/>
              <w:rPr>
                <w:rFonts w:ascii="Arial" w:hAnsi="Arial" w:cs="Arial"/>
                <w:b/>
                <w:sz w:val="24"/>
                <w:szCs w:val="24"/>
              </w:rPr>
            </w:pPr>
          </w:p>
          <w:p w14:paraId="2977D7BA" w14:textId="77777777" w:rsidR="003E0DF8" w:rsidRPr="000A1EEA" w:rsidRDefault="003E0DF8" w:rsidP="00E71CCA">
            <w:pPr>
              <w:spacing w:line="360" w:lineRule="auto"/>
              <w:jc w:val="center"/>
              <w:rPr>
                <w:rFonts w:ascii="Arial" w:hAnsi="Arial" w:cs="Arial"/>
                <w:b/>
                <w:sz w:val="24"/>
                <w:szCs w:val="24"/>
              </w:rPr>
            </w:pPr>
          </w:p>
          <w:p w14:paraId="59FDFB97" w14:textId="752F0FA3" w:rsidR="003E0DF8" w:rsidRPr="000A1EEA" w:rsidRDefault="003E0DF8" w:rsidP="00E71CCA">
            <w:pPr>
              <w:spacing w:line="360" w:lineRule="auto"/>
              <w:jc w:val="center"/>
              <w:rPr>
                <w:rFonts w:ascii="Arial" w:hAnsi="Arial" w:cs="Arial"/>
                <w:b/>
                <w:sz w:val="24"/>
                <w:szCs w:val="24"/>
              </w:rPr>
            </w:pPr>
            <w:r w:rsidRPr="000A1EEA">
              <w:rPr>
                <w:rFonts w:ascii="Arial" w:hAnsi="Arial" w:cs="Arial"/>
                <w:b/>
                <w:sz w:val="24"/>
                <w:szCs w:val="24"/>
              </w:rPr>
              <w:t>Art. 3º, I, “c”</w:t>
            </w:r>
          </w:p>
          <w:p w14:paraId="7FC75AA8" w14:textId="09A1E9B4" w:rsidR="003E0DF8" w:rsidRPr="000A1EEA" w:rsidRDefault="003E0DF8" w:rsidP="00E71CCA">
            <w:pPr>
              <w:spacing w:line="360" w:lineRule="auto"/>
              <w:jc w:val="center"/>
              <w:rPr>
                <w:rFonts w:ascii="Arial" w:hAnsi="Arial" w:cs="Arial"/>
                <w:b/>
                <w:sz w:val="24"/>
                <w:szCs w:val="24"/>
              </w:rPr>
            </w:pPr>
          </w:p>
          <w:p w14:paraId="238F48E1" w14:textId="282159D5" w:rsidR="003E0DF8" w:rsidRPr="000A1EEA" w:rsidRDefault="003E0DF8" w:rsidP="00E71CCA">
            <w:pPr>
              <w:spacing w:line="360" w:lineRule="auto"/>
              <w:jc w:val="center"/>
              <w:rPr>
                <w:rFonts w:ascii="Arial" w:hAnsi="Arial" w:cs="Arial"/>
                <w:b/>
                <w:sz w:val="24"/>
                <w:szCs w:val="24"/>
              </w:rPr>
            </w:pPr>
          </w:p>
          <w:p w14:paraId="227FFC40" w14:textId="70AF0E3F" w:rsidR="003E0DF8" w:rsidRPr="000A1EEA" w:rsidRDefault="003E0DF8" w:rsidP="00E71CCA">
            <w:pPr>
              <w:spacing w:line="360" w:lineRule="auto"/>
              <w:jc w:val="center"/>
              <w:rPr>
                <w:rFonts w:ascii="Arial" w:hAnsi="Arial" w:cs="Arial"/>
                <w:b/>
                <w:sz w:val="24"/>
                <w:szCs w:val="24"/>
              </w:rPr>
            </w:pPr>
          </w:p>
          <w:p w14:paraId="06C281FF" w14:textId="77777777" w:rsidR="003E0DF8" w:rsidRPr="000A1EEA" w:rsidRDefault="003E0DF8" w:rsidP="00E71CCA">
            <w:pPr>
              <w:spacing w:line="360" w:lineRule="auto"/>
              <w:jc w:val="center"/>
              <w:rPr>
                <w:rFonts w:ascii="Arial" w:hAnsi="Arial" w:cs="Arial"/>
                <w:b/>
                <w:sz w:val="24"/>
                <w:szCs w:val="24"/>
              </w:rPr>
            </w:pPr>
          </w:p>
          <w:p w14:paraId="616E662A" w14:textId="703FFBF2" w:rsidR="003E0DF8" w:rsidRPr="00E71CCA" w:rsidRDefault="003E0DF8" w:rsidP="00E71CCA">
            <w:pPr>
              <w:spacing w:line="360" w:lineRule="auto"/>
              <w:jc w:val="center"/>
              <w:rPr>
                <w:rFonts w:ascii="Arial" w:hAnsi="Arial" w:cs="Arial"/>
                <w:b/>
                <w:sz w:val="24"/>
                <w:szCs w:val="24"/>
                <w:lang w:val="en-US"/>
              </w:rPr>
            </w:pPr>
            <w:r w:rsidRPr="00E71CCA">
              <w:rPr>
                <w:rFonts w:ascii="Arial" w:hAnsi="Arial" w:cs="Arial"/>
                <w:b/>
                <w:sz w:val="24"/>
                <w:szCs w:val="24"/>
                <w:lang w:val="en-US"/>
              </w:rPr>
              <w:t>Art. 4º, I, “c”</w:t>
            </w:r>
          </w:p>
        </w:tc>
        <w:tc>
          <w:tcPr>
            <w:tcW w:w="6516" w:type="dxa"/>
          </w:tcPr>
          <w:p w14:paraId="635245E7" w14:textId="1BDB2EF5" w:rsidR="003E0DF8" w:rsidRPr="003E0DF8" w:rsidRDefault="003E0DF8" w:rsidP="00E71CCA">
            <w:pPr>
              <w:spacing w:line="360" w:lineRule="auto"/>
              <w:jc w:val="both"/>
              <w:rPr>
                <w:rFonts w:ascii="Arial" w:hAnsi="Arial" w:cs="Arial"/>
                <w:color w:val="000000"/>
                <w:sz w:val="24"/>
                <w:szCs w:val="24"/>
                <w:shd w:val="clear" w:color="auto" w:fill="FFFFFF"/>
              </w:rPr>
            </w:pPr>
            <w:r w:rsidRPr="00841D6A">
              <w:rPr>
                <w:rFonts w:ascii="Arial" w:hAnsi="Arial" w:cs="Arial"/>
                <w:color w:val="000000"/>
                <w:sz w:val="24"/>
                <w:szCs w:val="24"/>
                <w:shd w:val="clear" w:color="auto" w:fill="FFFFFF"/>
              </w:rPr>
              <w:t xml:space="preserve">Dispõe sobre a concessão de incentivo fiscal destinado à </w:t>
            </w:r>
            <w:r w:rsidRPr="003E0DF8">
              <w:rPr>
                <w:rFonts w:ascii="Arial" w:hAnsi="Arial" w:cs="Arial"/>
                <w:b/>
                <w:color w:val="000000"/>
                <w:sz w:val="24"/>
                <w:szCs w:val="24"/>
                <w:shd w:val="clear" w:color="auto" w:fill="FFFFFF"/>
              </w:rPr>
              <w:t>implantação ou ampliação de empreendimento industrial de veículo automotor no Estado de Goiás</w:t>
            </w:r>
            <w:r w:rsidR="00325314">
              <w:rPr>
                <w:rFonts w:ascii="Arial" w:hAnsi="Arial" w:cs="Arial"/>
                <w:color w:val="000000"/>
                <w:sz w:val="24"/>
                <w:szCs w:val="24"/>
                <w:shd w:val="clear" w:color="auto" w:fill="FFFFFF"/>
              </w:rPr>
              <w:t>.</w:t>
            </w:r>
          </w:p>
        </w:tc>
      </w:tr>
      <w:tr w:rsidR="003E0DF8" w:rsidRPr="006A6A93" w14:paraId="5DD0AC58" w14:textId="77777777" w:rsidTr="00315659">
        <w:trPr>
          <w:trHeight w:val="1625"/>
        </w:trPr>
        <w:tc>
          <w:tcPr>
            <w:tcW w:w="2835" w:type="dxa"/>
            <w:vMerge/>
            <w:shd w:val="clear" w:color="auto" w:fill="FFFFFF" w:themeFill="background1"/>
          </w:tcPr>
          <w:p w14:paraId="31DBD098" w14:textId="77777777" w:rsidR="003E0DF8" w:rsidRDefault="003E0DF8" w:rsidP="00D75722">
            <w:pPr>
              <w:spacing w:line="360" w:lineRule="auto"/>
              <w:jc w:val="center"/>
              <w:rPr>
                <w:rFonts w:ascii="Arial" w:hAnsi="Arial" w:cs="Arial"/>
                <w:b/>
                <w:sz w:val="24"/>
                <w:szCs w:val="24"/>
                <w:u w:val="single"/>
              </w:rPr>
            </w:pPr>
          </w:p>
        </w:tc>
        <w:tc>
          <w:tcPr>
            <w:tcW w:w="6516" w:type="dxa"/>
          </w:tcPr>
          <w:p w14:paraId="58DE28D1" w14:textId="05A576D4" w:rsidR="003E0DF8" w:rsidRPr="00841D6A" w:rsidRDefault="003E0DF8" w:rsidP="003E0DF8">
            <w:pPr>
              <w:spacing w:line="360" w:lineRule="auto"/>
              <w:jc w:val="both"/>
              <w:rPr>
                <w:rFonts w:ascii="Arial" w:hAnsi="Arial" w:cs="Arial"/>
                <w:color w:val="000000"/>
                <w:sz w:val="24"/>
                <w:szCs w:val="24"/>
                <w:shd w:val="clear" w:color="auto" w:fill="FFFFFF"/>
              </w:rPr>
            </w:pPr>
            <w:r w:rsidRPr="003E0DF8">
              <w:rPr>
                <w:rFonts w:ascii="Arial" w:hAnsi="Arial" w:cs="Arial"/>
                <w:b/>
                <w:color w:val="000000"/>
                <w:sz w:val="24"/>
                <w:szCs w:val="24"/>
                <w:shd w:val="clear" w:color="auto" w:fill="FFFFFF"/>
              </w:rPr>
              <w:t>Crédito outorgado</w:t>
            </w:r>
            <w:r w:rsidRPr="00841D6A">
              <w:rPr>
                <w:rFonts w:ascii="Arial" w:hAnsi="Arial" w:cs="Arial"/>
                <w:color w:val="000000"/>
                <w:sz w:val="24"/>
                <w:szCs w:val="24"/>
                <w:shd w:val="clear" w:color="auto" w:fill="FFFFFF"/>
              </w:rPr>
              <w:t xml:space="preserve"> do ICMS</w:t>
            </w:r>
            <w:r w:rsidRPr="00841D6A">
              <w:rPr>
                <w:rFonts w:ascii="Arial" w:hAnsi="Arial" w:cs="Arial"/>
                <w:color w:val="000000"/>
                <w:sz w:val="24"/>
                <w:szCs w:val="24"/>
              </w:rPr>
              <w:t xml:space="preserve"> </w:t>
            </w:r>
            <w:r w:rsidRPr="00841D6A">
              <w:rPr>
                <w:rFonts w:ascii="Arial" w:hAnsi="Arial" w:cs="Arial"/>
                <w:color w:val="000000"/>
                <w:sz w:val="24"/>
                <w:szCs w:val="24"/>
                <w:shd w:val="clear" w:color="auto" w:fill="FFFFFF"/>
              </w:rPr>
              <w:t>at</w:t>
            </w:r>
            <w:r>
              <w:rPr>
                <w:rFonts w:ascii="Arial" w:hAnsi="Arial" w:cs="Arial"/>
                <w:color w:val="000000"/>
                <w:sz w:val="24"/>
                <w:szCs w:val="24"/>
                <w:shd w:val="clear" w:color="auto" w:fill="FFFFFF"/>
              </w:rPr>
              <w:t>é o limite do valor equivalente</w:t>
            </w:r>
            <w:r w:rsidRPr="00841D6A">
              <w:rPr>
                <w:rFonts w:ascii="Arial" w:hAnsi="Arial" w:cs="Arial"/>
                <w:color w:val="000000"/>
                <w:sz w:val="24"/>
                <w:szCs w:val="24"/>
              </w:rPr>
              <w:t xml:space="preserve"> a </w:t>
            </w:r>
            <w:r w:rsidRPr="003E0DF8">
              <w:rPr>
                <w:rFonts w:ascii="Arial" w:hAnsi="Arial" w:cs="Arial"/>
                <w:color w:val="000000"/>
                <w:sz w:val="24"/>
                <w:szCs w:val="24"/>
                <w:u w:val="single"/>
              </w:rPr>
              <w:t>R$ 90.000.000,00</w:t>
            </w:r>
            <w:r w:rsidRPr="00841D6A">
              <w:rPr>
                <w:rFonts w:ascii="Arial" w:hAnsi="Arial" w:cs="Arial"/>
                <w:color w:val="000000"/>
                <w:sz w:val="24"/>
                <w:szCs w:val="24"/>
              </w:rPr>
              <w:t xml:space="preserve"> (noventa milhões de reais), em até 60 (sessenta) parcelas mensais, iguais e sucessivas</w:t>
            </w:r>
            <w:r>
              <w:rPr>
                <w:rFonts w:ascii="Arial" w:hAnsi="Arial" w:cs="Arial"/>
                <w:color w:val="000000"/>
                <w:sz w:val="24"/>
                <w:szCs w:val="24"/>
              </w:rPr>
              <w:t xml:space="preserve">, para </w:t>
            </w:r>
            <w:r w:rsidRPr="00841D6A">
              <w:rPr>
                <w:rFonts w:ascii="Arial" w:hAnsi="Arial" w:cs="Arial"/>
                <w:color w:val="000000"/>
                <w:sz w:val="24"/>
                <w:szCs w:val="24"/>
                <w:shd w:val="clear" w:color="auto" w:fill="FFFFFF"/>
              </w:rPr>
              <w:t xml:space="preserve">o industrial de veículo automotor beneficiário do </w:t>
            </w:r>
            <w:r w:rsidRPr="00E01E45">
              <w:rPr>
                <w:rFonts w:ascii="Arial" w:hAnsi="Arial" w:cs="Arial"/>
                <w:color w:val="000000"/>
                <w:sz w:val="24"/>
                <w:szCs w:val="24"/>
                <w:u w:val="single"/>
                <w:shd w:val="clear" w:color="auto" w:fill="FFFFFF"/>
              </w:rPr>
              <w:t>PRODUZIR</w:t>
            </w:r>
            <w:r>
              <w:rPr>
                <w:rFonts w:ascii="Arial" w:hAnsi="Arial" w:cs="Arial"/>
                <w:color w:val="000000"/>
                <w:sz w:val="24"/>
                <w:szCs w:val="24"/>
              </w:rPr>
              <w:t>.</w:t>
            </w:r>
          </w:p>
        </w:tc>
      </w:tr>
      <w:tr w:rsidR="003E0DF8" w:rsidRPr="006A6A93" w14:paraId="4BBADA5B" w14:textId="77777777" w:rsidTr="00315659">
        <w:trPr>
          <w:trHeight w:val="1625"/>
        </w:trPr>
        <w:tc>
          <w:tcPr>
            <w:tcW w:w="2835" w:type="dxa"/>
            <w:vMerge/>
            <w:shd w:val="clear" w:color="auto" w:fill="FFFFFF" w:themeFill="background1"/>
          </w:tcPr>
          <w:p w14:paraId="2970A4AE" w14:textId="77777777" w:rsidR="003E0DF8" w:rsidRDefault="003E0DF8" w:rsidP="00D75722">
            <w:pPr>
              <w:spacing w:line="360" w:lineRule="auto"/>
              <w:jc w:val="center"/>
              <w:rPr>
                <w:rFonts w:ascii="Arial" w:hAnsi="Arial" w:cs="Arial"/>
                <w:b/>
                <w:sz w:val="24"/>
                <w:szCs w:val="24"/>
                <w:u w:val="single"/>
              </w:rPr>
            </w:pPr>
          </w:p>
        </w:tc>
        <w:tc>
          <w:tcPr>
            <w:tcW w:w="6516" w:type="dxa"/>
          </w:tcPr>
          <w:p w14:paraId="616A7296" w14:textId="31603B70" w:rsidR="003E0DF8" w:rsidRPr="00841D6A" w:rsidRDefault="003E0DF8" w:rsidP="001A04C9">
            <w:pPr>
              <w:spacing w:line="360" w:lineRule="auto"/>
              <w:jc w:val="both"/>
              <w:rPr>
                <w:rFonts w:ascii="Arial" w:hAnsi="Arial" w:cs="Arial"/>
                <w:color w:val="000000"/>
                <w:sz w:val="24"/>
                <w:szCs w:val="24"/>
                <w:shd w:val="clear" w:color="auto" w:fill="FFFFFF"/>
              </w:rPr>
            </w:pPr>
            <w:r w:rsidRPr="003E0DF8">
              <w:rPr>
                <w:rFonts w:ascii="Arial" w:hAnsi="Arial" w:cs="Arial"/>
                <w:b/>
                <w:color w:val="000000"/>
                <w:sz w:val="24"/>
                <w:szCs w:val="24"/>
                <w:shd w:val="clear" w:color="auto" w:fill="FFFFFF"/>
              </w:rPr>
              <w:t>Crédito outorgado</w:t>
            </w:r>
            <w:r w:rsidRPr="00841D6A">
              <w:rPr>
                <w:rFonts w:ascii="Arial" w:hAnsi="Arial" w:cs="Arial"/>
                <w:color w:val="000000"/>
                <w:sz w:val="24"/>
                <w:szCs w:val="24"/>
                <w:shd w:val="clear" w:color="auto" w:fill="FFFFFF"/>
              </w:rPr>
              <w:t xml:space="preserve"> do ICMS</w:t>
            </w:r>
            <w:r w:rsidRPr="00841D6A">
              <w:rPr>
                <w:rFonts w:ascii="Arial" w:hAnsi="Arial" w:cs="Arial"/>
                <w:color w:val="000000"/>
                <w:sz w:val="24"/>
                <w:szCs w:val="24"/>
              </w:rPr>
              <w:t xml:space="preserve"> </w:t>
            </w:r>
            <w:r w:rsidRPr="00841D6A">
              <w:rPr>
                <w:rFonts w:ascii="Arial" w:hAnsi="Arial" w:cs="Arial"/>
                <w:color w:val="000000"/>
                <w:sz w:val="24"/>
                <w:szCs w:val="24"/>
                <w:shd w:val="clear" w:color="auto" w:fill="FFFFFF"/>
              </w:rPr>
              <w:t>at</w:t>
            </w:r>
            <w:r>
              <w:rPr>
                <w:rFonts w:ascii="Arial" w:hAnsi="Arial" w:cs="Arial"/>
                <w:color w:val="000000"/>
                <w:sz w:val="24"/>
                <w:szCs w:val="24"/>
                <w:shd w:val="clear" w:color="auto" w:fill="FFFFFF"/>
              </w:rPr>
              <w:t>é o limite do valor equivalente</w:t>
            </w:r>
            <w:r w:rsidRPr="00841D6A">
              <w:rPr>
                <w:rFonts w:ascii="Arial" w:hAnsi="Arial" w:cs="Arial"/>
                <w:color w:val="000000"/>
                <w:sz w:val="24"/>
                <w:szCs w:val="24"/>
              </w:rPr>
              <w:t xml:space="preserve"> </w:t>
            </w:r>
            <w:r w:rsidRPr="003E0DF8">
              <w:rPr>
                <w:rFonts w:ascii="Arial" w:hAnsi="Arial" w:cs="Arial"/>
                <w:color w:val="000000"/>
                <w:sz w:val="24"/>
                <w:szCs w:val="24"/>
                <w:u w:val="single"/>
                <w:shd w:val="clear" w:color="auto" w:fill="FFFFFF"/>
              </w:rPr>
              <w:t>R$ 120.000.000,00</w:t>
            </w:r>
            <w:r w:rsidRPr="00841D6A">
              <w:rPr>
                <w:rFonts w:ascii="Arial" w:hAnsi="Arial" w:cs="Arial"/>
                <w:color w:val="000000"/>
                <w:sz w:val="24"/>
                <w:szCs w:val="24"/>
                <w:shd w:val="clear" w:color="auto" w:fill="FFFFFF"/>
              </w:rPr>
              <w:t xml:space="preserve"> (cento e vinte milhões de reais), </w:t>
            </w:r>
            <w:r w:rsidRPr="00841D6A">
              <w:rPr>
                <w:rFonts w:ascii="Arial" w:hAnsi="Arial" w:cs="Arial"/>
                <w:color w:val="000000"/>
                <w:sz w:val="24"/>
                <w:szCs w:val="24"/>
              </w:rPr>
              <w:t>em até 60 (sessenta) parcelas mensais, iguais e sucessivas</w:t>
            </w:r>
            <w:r>
              <w:rPr>
                <w:rFonts w:ascii="Arial" w:hAnsi="Arial" w:cs="Arial"/>
                <w:color w:val="000000"/>
                <w:sz w:val="24"/>
                <w:szCs w:val="24"/>
              </w:rPr>
              <w:t xml:space="preserve">, para </w:t>
            </w:r>
            <w:r w:rsidRPr="00841D6A">
              <w:rPr>
                <w:rFonts w:ascii="Arial" w:hAnsi="Arial" w:cs="Arial"/>
                <w:color w:val="000000"/>
                <w:sz w:val="24"/>
                <w:szCs w:val="24"/>
                <w:shd w:val="clear" w:color="auto" w:fill="FFFFFF"/>
              </w:rPr>
              <w:t xml:space="preserve">o industrial de veículo automotor beneficiário do </w:t>
            </w:r>
            <w:r w:rsidRPr="00E01E45">
              <w:rPr>
                <w:rFonts w:ascii="Arial" w:hAnsi="Arial" w:cs="Arial"/>
                <w:color w:val="000000"/>
                <w:sz w:val="24"/>
                <w:szCs w:val="24"/>
                <w:u w:val="single"/>
                <w:shd w:val="clear" w:color="auto" w:fill="FFFFFF"/>
              </w:rPr>
              <w:t>FOMENTAR</w:t>
            </w:r>
            <w:r w:rsidRPr="00841D6A">
              <w:rPr>
                <w:rFonts w:ascii="Arial" w:hAnsi="Arial" w:cs="Arial"/>
                <w:color w:val="000000"/>
                <w:sz w:val="24"/>
                <w:szCs w:val="24"/>
                <w:shd w:val="clear" w:color="auto" w:fill="FFFFFF"/>
              </w:rPr>
              <w:t>.</w:t>
            </w:r>
          </w:p>
        </w:tc>
      </w:tr>
      <w:tr w:rsidR="00841D6A" w:rsidRPr="006A6A93" w14:paraId="74248DF1" w14:textId="77777777" w:rsidTr="00315659">
        <w:tc>
          <w:tcPr>
            <w:tcW w:w="2835" w:type="dxa"/>
            <w:shd w:val="clear" w:color="auto" w:fill="FFFFFF" w:themeFill="background1"/>
          </w:tcPr>
          <w:p w14:paraId="2D9E12A7" w14:textId="77777777" w:rsidR="00AD148E" w:rsidRDefault="00AD148E" w:rsidP="00AD148E">
            <w:pPr>
              <w:spacing w:line="360" w:lineRule="auto"/>
              <w:jc w:val="center"/>
              <w:rPr>
                <w:rFonts w:ascii="Arial" w:hAnsi="Arial" w:cs="Arial"/>
                <w:b/>
                <w:sz w:val="24"/>
                <w:szCs w:val="24"/>
                <w:u w:val="single"/>
              </w:rPr>
            </w:pPr>
          </w:p>
          <w:p w14:paraId="6EFFDE18" w14:textId="77777777" w:rsidR="002C7F5C" w:rsidRDefault="002C7F5C" w:rsidP="00AD148E">
            <w:pPr>
              <w:spacing w:line="360" w:lineRule="auto"/>
              <w:jc w:val="center"/>
              <w:rPr>
                <w:rFonts w:ascii="Arial" w:hAnsi="Arial" w:cs="Arial"/>
                <w:b/>
                <w:sz w:val="24"/>
                <w:szCs w:val="24"/>
                <w:u w:val="single"/>
              </w:rPr>
            </w:pPr>
          </w:p>
          <w:p w14:paraId="7E3EABDF" w14:textId="77777777" w:rsidR="002C7F5C" w:rsidRDefault="002C7F5C" w:rsidP="00AD148E">
            <w:pPr>
              <w:spacing w:line="360" w:lineRule="auto"/>
              <w:jc w:val="center"/>
              <w:rPr>
                <w:rFonts w:ascii="Arial" w:hAnsi="Arial" w:cs="Arial"/>
                <w:b/>
                <w:sz w:val="24"/>
                <w:szCs w:val="24"/>
                <w:u w:val="single"/>
              </w:rPr>
            </w:pPr>
          </w:p>
          <w:p w14:paraId="38017FF1" w14:textId="77777777" w:rsidR="002C7F5C" w:rsidRDefault="002C7F5C" w:rsidP="00AD148E">
            <w:pPr>
              <w:spacing w:line="360" w:lineRule="auto"/>
              <w:jc w:val="center"/>
              <w:rPr>
                <w:rFonts w:ascii="Arial" w:hAnsi="Arial" w:cs="Arial"/>
                <w:b/>
                <w:sz w:val="24"/>
                <w:szCs w:val="24"/>
                <w:u w:val="single"/>
              </w:rPr>
            </w:pPr>
          </w:p>
          <w:p w14:paraId="389483A2" w14:textId="77777777" w:rsidR="002C7F5C" w:rsidRDefault="002C7F5C" w:rsidP="00AD148E">
            <w:pPr>
              <w:spacing w:line="360" w:lineRule="auto"/>
              <w:jc w:val="center"/>
              <w:rPr>
                <w:rFonts w:ascii="Arial" w:hAnsi="Arial" w:cs="Arial"/>
                <w:b/>
                <w:sz w:val="24"/>
                <w:szCs w:val="24"/>
                <w:u w:val="single"/>
              </w:rPr>
            </w:pPr>
          </w:p>
          <w:p w14:paraId="290DEDAB" w14:textId="77777777" w:rsidR="002C7F5C" w:rsidRDefault="002C7F5C" w:rsidP="00AD148E">
            <w:pPr>
              <w:spacing w:line="360" w:lineRule="auto"/>
              <w:jc w:val="center"/>
              <w:rPr>
                <w:rFonts w:ascii="Arial" w:hAnsi="Arial" w:cs="Arial"/>
                <w:b/>
                <w:sz w:val="24"/>
                <w:szCs w:val="24"/>
                <w:u w:val="single"/>
              </w:rPr>
            </w:pPr>
          </w:p>
          <w:p w14:paraId="5487046D" w14:textId="641587F7" w:rsidR="00AD148E" w:rsidRPr="00AD148E" w:rsidRDefault="00AD148E" w:rsidP="00AD148E">
            <w:pPr>
              <w:spacing w:line="360" w:lineRule="auto"/>
              <w:jc w:val="center"/>
              <w:rPr>
                <w:rFonts w:ascii="Arial" w:hAnsi="Arial" w:cs="Arial"/>
                <w:b/>
                <w:sz w:val="24"/>
                <w:szCs w:val="24"/>
                <w:u w:val="single"/>
              </w:rPr>
            </w:pPr>
            <w:r w:rsidRPr="00AD148E">
              <w:rPr>
                <w:rFonts w:ascii="Arial" w:hAnsi="Arial" w:cs="Arial"/>
                <w:b/>
                <w:sz w:val="24"/>
                <w:szCs w:val="24"/>
                <w:u w:val="single"/>
              </w:rPr>
              <w:t>Lei nº 17.441/2011</w:t>
            </w:r>
          </w:p>
          <w:p w14:paraId="1712918B" w14:textId="64DAC37F" w:rsidR="00841D6A" w:rsidRPr="000A1EEA" w:rsidRDefault="00AD148E" w:rsidP="00AD148E">
            <w:pPr>
              <w:spacing w:line="360" w:lineRule="auto"/>
              <w:jc w:val="center"/>
              <w:rPr>
                <w:rFonts w:ascii="Arial" w:hAnsi="Arial" w:cs="Arial"/>
                <w:b/>
                <w:sz w:val="24"/>
                <w:szCs w:val="24"/>
              </w:rPr>
            </w:pPr>
            <w:r w:rsidRPr="000A1EEA">
              <w:rPr>
                <w:rFonts w:ascii="Arial" w:hAnsi="Arial" w:cs="Arial"/>
                <w:b/>
                <w:sz w:val="24"/>
                <w:szCs w:val="24"/>
              </w:rPr>
              <w:t>art. 5º, III e IV</w:t>
            </w:r>
          </w:p>
        </w:tc>
        <w:tc>
          <w:tcPr>
            <w:tcW w:w="6516" w:type="dxa"/>
          </w:tcPr>
          <w:p w14:paraId="15E0E273" w14:textId="77777777" w:rsidR="002C7F5C" w:rsidRDefault="00841D6A" w:rsidP="001A04C9">
            <w:pPr>
              <w:spacing w:line="360" w:lineRule="auto"/>
              <w:jc w:val="both"/>
              <w:rPr>
                <w:rFonts w:ascii="Arial" w:hAnsi="Arial" w:cs="Arial"/>
                <w:color w:val="000000"/>
                <w:sz w:val="24"/>
                <w:szCs w:val="24"/>
              </w:rPr>
            </w:pPr>
            <w:r w:rsidRPr="00841D6A">
              <w:rPr>
                <w:rFonts w:ascii="Arial" w:hAnsi="Arial" w:cs="Arial"/>
                <w:color w:val="000000"/>
                <w:sz w:val="24"/>
                <w:szCs w:val="24"/>
              </w:rPr>
              <w:t xml:space="preserve">Art. 5º Para o </w:t>
            </w:r>
            <w:r w:rsidRPr="002C7F5C">
              <w:rPr>
                <w:rFonts w:ascii="Arial" w:hAnsi="Arial" w:cs="Arial"/>
                <w:b/>
                <w:color w:val="000000"/>
                <w:sz w:val="24"/>
                <w:szCs w:val="24"/>
              </w:rPr>
              <w:t>industrial de grupos geradores de energia elétrica, beneficiário do PRODUZIR</w:t>
            </w:r>
            <w:r w:rsidRPr="00841D6A">
              <w:rPr>
                <w:rFonts w:ascii="Arial" w:hAnsi="Arial" w:cs="Arial"/>
                <w:color w:val="000000"/>
                <w:sz w:val="24"/>
                <w:szCs w:val="24"/>
              </w:rPr>
              <w:t xml:space="preserve">, o </w:t>
            </w:r>
            <w:r w:rsidRPr="002C7F5C">
              <w:rPr>
                <w:rFonts w:ascii="Arial" w:hAnsi="Arial" w:cs="Arial"/>
                <w:b/>
                <w:color w:val="000000"/>
                <w:sz w:val="24"/>
                <w:szCs w:val="24"/>
              </w:rPr>
              <w:t>crédito outorgado</w:t>
            </w:r>
            <w:r w:rsidRPr="00841D6A">
              <w:rPr>
                <w:rFonts w:ascii="Arial" w:hAnsi="Arial" w:cs="Arial"/>
                <w:color w:val="000000"/>
                <w:sz w:val="24"/>
                <w:szCs w:val="24"/>
              </w:rPr>
              <w:t xml:space="preserve"> do ICMS será concedido até o limite do valor equivalente:</w:t>
            </w:r>
          </w:p>
          <w:p w14:paraId="082D574F" w14:textId="15061EDD" w:rsidR="00F941C4" w:rsidRDefault="002C7F5C" w:rsidP="001A04C9">
            <w:pPr>
              <w:spacing w:line="360" w:lineRule="auto"/>
              <w:jc w:val="both"/>
              <w:rPr>
                <w:rFonts w:ascii="Arial" w:hAnsi="Arial" w:cs="Arial"/>
                <w:color w:val="000000"/>
                <w:sz w:val="24"/>
                <w:szCs w:val="24"/>
              </w:rPr>
            </w:pPr>
            <w:r>
              <w:rPr>
                <w:rFonts w:ascii="Arial" w:hAnsi="Arial" w:cs="Arial"/>
                <w:color w:val="000000"/>
                <w:sz w:val="24"/>
                <w:szCs w:val="24"/>
              </w:rPr>
              <w:t>[...].</w:t>
            </w:r>
            <w:r w:rsidR="00841D6A" w:rsidRPr="00841D6A">
              <w:rPr>
                <w:rFonts w:ascii="Arial" w:hAnsi="Arial" w:cs="Arial"/>
                <w:color w:val="000000"/>
                <w:sz w:val="24"/>
                <w:szCs w:val="24"/>
              </w:rPr>
              <w:t xml:space="preserve"> </w:t>
            </w:r>
          </w:p>
          <w:p w14:paraId="7F0C6381" w14:textId="6B21392A" w:rsidR="00F941C4" w:rsidRDefault="002C7F5C" w:rsidP="001A04C9">
            <w:pPr>
              <w:spacing w:line="360" w:lineRule="auto"/>
              <w:jc w:val="both"/>
              <w:rPr>
                <w:rFonts w:ascii="Arial" w:hAnsi="Arial" w:cs="Arial"/>
                <w:color w:val="000000"/>
                <w:sz w:val="24"/>
                <w:szCs w:val="24"/>
              </w:rPr>
            </w:pPr>
            <w:r w:rsidRPr="002C7F5C">
              <w:rPr>
                <w:rFonts w:ascii="Arial" w:hAnsi="Arial" w:cs="Arial"/>
                <w:color w:val="000000"/>
                <w:sz w:val="24"/>
                <w:szCs w:val="24"/>
                <w:u w:val="single"/>
              </w:rPr>
              <w:t>II</w:t>
            </w:r>
            <w:r w:rsidR="00F941C4" w:rsidRPr="002C7F5C">
              <w:rPr>
                <w:rFonts w:ascii="Arial" w:hAnsi="Arial" w:cs="Arial"/>
                <w:color w:val="000000"/>
                <w:sz w:val="24"/>
                <w:szCs w:val="24"/>
                <w:u w:val="single"/>
              </w:rPr>
              <w:t xml:space="preserve">I – </w:t>
            </w:r>
            <w:r w:rsidR="00841D6A" w:rsidRPr="002C7F5C">
              <w:rPr>
                <w:rFonts w:ascii="Arial" w:hAnsi="Arial" w:cs="Arial"/>
                <w:color w:val="000000"/>
                <w:sz w:val="24"/>
                <w:szCs w:val="24"/>
                <w:u w:val="single"/>
              </w:rPr>
              <w:t>a R$ 9.100.000,00 (nove milhões e cem mil reais)</w:t>
            </w:r>
            <w:r w:rsidR="00841D6A" w:rsidRPr="00841D6A">
              <w:rPr>
                <w:rFonts w:ascii="Arial" w:hAnsi="Arial" w:cs="Arial"/>
                <w:color w:val="000000"/>
                <w:sz w:val="24"/>
                <w:szCs w:val="24"/>
              </w:rPr>
              <w:t xml:space="preserve">, que pode ser apropriado após o prazo de que trata o § 4º, hipótese em que o valor será corrigido conforme dispuser ato do Secretário de Estado da Fazenda; </w:t>
            </w:r>
          </w:p>
          <w:p w14:paraId="59EF42D5" w14:textId="5DBE8838" w:rsidR="00841D6A" w:rsidRDefault="00F941C4" w:rsidP="001A04C9">
            <w:pPr>
              <w:spacing w:line="360" w:lineRule="auto"/>
              <w:jc w:val="both"/>
              <w:rPr>
                <w:rFonts w:ascii="Arial" w:hAnsi="Arial" w:cs="Arial"/>
                <w:color w:val="000000"/>
                <w:sz w:val="24"/>
                <w:szCs w:val="24"/>
              </w:rPr>
            </w:pPr>
            <w:r w:rsidRPr="002C7F5C">
              <w:rPr>
                <w:rFonts w:ascii="Arial" w:hAnsi="Arial" w:cs="Arial"/>
                <w:color w:val="000000"/>
                <w:sz w:val="24"/>
                <w:szCs w:val="24"/>
                <w:u w:val="single"/>
              </w:rPr>
              <w:t>I</w:t>
            </w:r>
            <w:r w:rsidR="002C7F5C" w:rsidRPr="002C7F5C">
              <w:rPr>
                <w:rFonts w:ascii="Arial" w:hAnsi="Arial" w:cs="Arial"/>
                <w:color w:val="000000"/>
                <w:sz w:val="24"/>
                <w:szCs w:val="24"/>
                <w:u w:val="single"/>
              </w:rPr>
              <w:t>V</w:t>
            </w:r>
            <w:r w:rsidRPr="002C7F5C">
              <w:rPr>
                <w:rFonts w:ascii="Arial" w:hAnsi="Arial" w:cs="Arial"/>
                <w:color w:val="000000"/>
                <w:sz w:val="24"/>
                <w:szCs w:val="24"/>
                <w:u w:val="single"/>
              </w:rPr>
              <w:t xml:space="preserve"> – </w:t>
            </w:r>
            <w:r w:rsidR="00841D6A" w:rsidRPr="002C7F5C">
              <w:rPr>
                <w:rFonts w:ascii="Arial" w:hAnsi="Arial" w:cs="Arial"/>
                <w:color w:val="000000"/>
                <w:sz w:val="24"/>
                <w:szCs w:val="24"/>
                <w:u w:val="single"/>
              </w:rPr>
              <w:t>a R$ 30.000.000,00 (trinta milhões de reais)</w:t>
            </w:r>
            <w:r w:rsidR="00841D6A" w:rsidRPr="00841D6A">
              <w:rPr>
                <w:rFonts w:ascii="Arial" w:hAnsi="Arial" w:cs="Arial"/>
                <w:color w:val="000000"/>
                <w:sz w:val="24"/>
                <w:szCs w:val="24"/>
              </w:rPr>
              <w:t xml:space="preserve">, para ser investido na execução de obras de engenharia de acesso do estabelecimento à rodovia, bem como na construção ou adequação de linhas de transmissão de energia elétrica, necessárias ao funcionamento do empreendimento industrial, observadas as condições estabelecidas em </w:t>
            </w:r>
            <w:r w:rsidR="00841D6A" w:rsidRPr="00841D6A">
              <w:rPr>
                <w:rFonts w:ascii="Arial" w:hAnsi="Arial" w:cs="Arial"/>
                <w:color w:val="000000"/>
                <w:sz w:val="24"/>
                <w:szCs w:val="24"/>
              </w:rPr>
              <w:lastRenderedPageBreak/>
              <w:t>termo de acordo de regime especial celebrado com Secretaria de Estado da Fazenda.</w:t>
            </w:r>
          </w:p>
          <w:p w14:paraId="3E6642FC" w14:textId="54432A51" w:rsidR="002C7F5C" w:rsidRPr="00841D6A" w:rsidRDefault="002C7F5C" w:rsidP="001A04C9">
            <w:pPr>
              <w:spacing w:line="360" w:lineRule="auto"/>
              <w:jc w:val="both"/>
              <w:rPr>
                <w:rFonts w:ascii="Arial" w:hAnsi="Arial" w:cs="Arial"/>
                <w:sz w:val="24"/>
                <w:szCs w:val="24"/>
              </w:rPr>
            </w:pPr>
            <w:r>
              <w:rPr>
                <w:rFonts w:ascii="Arial" w:hAnsi="Arial" w:cs="Arial"/>
                <w:color w:val="000000"/>
                <w:sz w:val="24"/>
                <w:szCs w:val="24"/>
              </w:rPr>
              <w:t>[...].</w:t>
            </w:r>
          </w:p>
        </w:tc>
      </w:tr>
      <w:tr w:rsidR="00841D6A" w:rsidRPr="006A6A93" w14:paraId="4F7820EF" w14:textId="77777777" w:rsidTr="00315659">
        <w:tc>
          <w:tcPr>
            <w:tcW w:w="2835" w:type="dxa"/>
            <w:shd w:val="clear" w:color="auto" w:fill="FFFFFF" w:themeFill="background1"/>
          </w:tcPr>
          <w:p w14:paraId="53C62BC0" w14:textId="1C129EA8" w:rsidR="00841D6A" w:rsidRPr="00192F0F" w:rsidRDefault="00841D6A" w:rsidP="00192F0F">
            <w:pPr>
              <w:spacing w:line="360" w:lineRule="auto"/>
              <w:jc w:val="center"/>
              <w:rPr>
                <w:rFonts w:ascii="Arial" w:hAnsi="Arial" w:cs="Arial"/>
                <w:b/>
                <w:sz w:val="24"/>
                <w:szCs w:val="24"/>
              </w:rPr>
            </w:pPr>
            <w:r w:rsidRPr="00192F0F">
              <w:rPr>
                <w:rFonts w:ascii="Arial" w:hAnsi="Arial" w:cs="Arial"/>
                <w:b/>
                <w:sz w:val="24"/>
                <w:szCs w:val="24"/>
              </w:rPr>
              <w:lastRenderedPageBreak/>
              <w:t>Lei nº 18.295/2013</w:t>
            </w:r>
          </w:p>
        </w:tc>
        <w:tc>
          <w:tcPr>
            <w:tcW w:w="6516" w:type="dxa"/>
          </w:tcPr>
          <w:p w14:paraId="748939B7" w14:textId="48DE97D1" w:rsidR="00841D6A" w:rsidRPr="00841D6A" w:rsidRDefault="00841D6A" w:rsidP="00331E39">
            <w:pPr>
              <w:spacing w:line="360" w:lineRule="auto"/>
              <w:jc w:val="both"/>
              <w:rPr>
                <w:rFonts w:ascii="Arial" w:hAnsi="Arial" w:cs="Arial"/>
                <w:sz w:val="24"/>
                <w:szCs w:val="24"/>
              </w:rPr>
            </w:pPr>
            <w:r w:rsidRPr="00841D6A">
              <w:rPr>
                <w:rFonts w:ascii="Arial" w:hAnsi="Arial" w:cs="Arial"/>
                <w:sz w:val="24"/>
                <w:szCs w:val="24"/>
                <w:shd w:val="clear" w:color="auto" w:fill="FFFFFF"/>
              </w:rPr>
              <w:t>Dispõe sobre a concessão de incentivo fiscal destinado à ampliação de indústria fabricante de cervejas e chopes.</w:t>
            </w:r>
          </w:p>
        </w:tc>
      </w:tr>
      <w:tr w:rsidR="00841D6A" w:rsidRPr="006A6A93" w14:paraId="0ABD2E22" w14:textId="77777777" w:rsidTr="00315659">
        <w:tc>
          <w:tcPr>
            <w:tcW w:w="2835" w:type="dxa"/>
            <w:shd w:val="clear" w:color="auto" w:fill="FFFFFF" w:themeFill="background1"/>
          </w:tcPr>
          <w:p w14:paraId="028B8FDF" w14:textId="0CBFEF7B" w:rsidR="00841D6A" w:rsidRPr="00192F0F" w:rsidRDefault="00841D6A" w:rsidP="00192F0F">
            <w:pPr>
              <w:spacing w:line="360" w:lineRule="auto"/>
              <w:jc w:val="center"/>
              <w:rPr>
                <w:rFonts w:ascii="Arial" w:hAnsi="Arial" w:cs="Arial"/>
                <w:b/>
                <w:sz w:val="24"/>
                <w:szCs w:val="24"/>
              </w:rPr>
            </w:pPr>
            <w:r w:rsidRPr="00192F0F">
              <w:rPr>
                <w:rFonts w:ascii="Arial" w:hAnsi="Arial" w:cs="Arial"/>
                <w:b/>
                <w:sz w:val="24"/>
                <w:szCs w:val="24"/>
              </w:rPr>
              <w:t>Lei nº 19.143/2015</w:t>
            </w:r>
          </w:p>
        </w:tc>
        <w:tc>
          <w:tcPr>
            <w:tcW w:w="6516" w:type="dxa"/>
          </w:tcPr>
          <w:p w14:paraId="3F1B05E0" w14:textId="3BB0D7B5" w:rsidR="00841D6A" w:rsidRPr="00841D6A" w:rsidRDefault="00841D6A" w:rsidP="00331E39">
            <w:pPr>
              <w:spacing w:line="360" w:lineRule="auto"/>
              <w:jc w:val="both"/>
              <w:rPr>
                <w:rFonts w:ascii="Arial" w:hAnsi="Arial" w:cs="Arial"/>
                <w:sz w:val="24"/>
                <w:szCs w:val="24"/>
              </w:rPr>
            </w:pPr>
            <w:r w:rsidRPr="00841D6A">
              <w:rPr>
                <w:rFonts w:ascii="Arial" w:hAnsi="Arial" w:cs="Arial"/>
                <w:sz w:val="24"/>
                <w:szCs w:val="24"/>
                <w:shd w:val="clear" w:color="auto" w:fill="FFFFFF"/>
              </w:rPr>
              <w:t xml:space="preserve">Dispõe sobre a concessão de incentivo fiscal destinado à implantação de empreendimento industrial de atomatados </w:t>
            </w:r>
            <w:r w:rsidR="00331E39">
              <w:rPr>
                <w:rFonts w:ascii="Arial" w:hAnsi="Arial" w:cs="Arial"/>
                <w:sz w:val="24"/>
                <w:szCs w:val="24"/>
                <w:shd w:val="clear" w:color="auto" w:fill="FFFFFF"/>
              </w:rPr>
              <w:t>no Estado de Goiás (o art. 3º, parágrafo único, da lei previa a possibilidade de transferência do crédito a contribuinte estabelecido no Estado).</w:t>
            </w:r>
          </w:p>
        </w:tc>
      </w:tr>
      <w:tr w:rsidR="00841D6A" w:rsidRPr="006A6A93" w14:paraId="794134FA" w14:textId="77777777" w:rsidTr="00315659">
        <w:tc>
          <w:tcPr>
            <w:tcW w:w="2835" w:type="dxa"/>
            <w:shd w:val="clear" w:color="auto" w:fill="FFFFFF" w:themeFill="background1"/>
          </w:tcPr>
          <w:p w14:paraId="5F9BEAD9" w14:textId="2483B378" w:rsidR="00841D6A" w:rsidRPr="00192F0F" w:rsidRDefault="00841D6A" w:rsidP="00192F0F">
            <w:pPr>
              <w:spacing w:line="360" w:lineRule="auto"/>
              <w:jc w:val="center"/>
              <w:rPr>
                <w:rFonts w:ascii="Arial" w:hAnsi="Arial" w:cs="Arial"/>
                <w:b/>
                <w:sz w:val="24"/>
                <w:szCs w:val="24"/>
              </w:rPr>
            </w:pPr>
            <w:r w:rsidRPr="00192F0F">
              <w:rPr>
                <w:rFonts w:ascii="Arial" w:hAnsi="Arial" w:cs="Arial"/>
                <w:b/>
                <w:sz w:val="24"/>
                <w:szCs w:val="24"/>
              </w:rPr>
              <w:t>Lei nº 19.226/2016</w:t>
            </w:r>
          </w:p>
        </w:tc>
        <w:tc>
          <w:tcPr>
            <w:tcW w:w="6516" w:type="dxa"/>
          </w:tcPr>
          <w:p w14:paraId="7B8D5D4C" w14:textId="33EE31E0" w:rsidR="00841D6A" w:rsidRPr="00841D6A" w:rsidRDefault="00841D6A" w:rsidP="009302F4">
            <w:pPr>
              <w:spacing w:line="360" w:lineRule="auto"/>
              <w:jc w:val="both"/>
              <w:rPr>
                <w:rFonts w:ascii="Arial" w:hAnsi="Arial" w:cs="Arial"/>
                <w:sz w:val="24"/>
                <w:szCs w:val="24"/>
              </w:rPr>
            </w:pPr>
            <w:r w:rsidRPr="00841D6A">
              <w:rPr>
                <w:rFonts w:ascii="Arial" w:hAnsi="Arial" w:cs="Arial"/>
                <w:sz w:val="24"/>
                <w:szCs w:val="24"/>
                <w:shd w:val="clear" w:color="auto" w:fill="FFFFFF"/>
              </w:rPr>
              <w:t>Dispõe sobre a concessão de incentivo fiscal destinado à implantação de empreendimento industrial fabricante de cerveja e chope</w:t>
            </w:r>
            <w:r w:rsidR="009302F4">
              <w:rPr>
                <w:rFonts w:ascii="Arial" w:hAnsi="Arial" w:cs="Arial"/>
                <w:sz w:val="24"/>
                <w:szCs w:val="24"/>
                <w:shd w:val="clear" w:color="auto" w:fill="FFFFFF"/>
              </w:rPr>
              <w:t xml:space="preserve"> (o art. 1º-A, V, da lei previa a possibilidade de transferência do crédito a contribuinte estabelecido no Estado, mediante autorização da</w:t>
            </w:r>
            <w:r w:rsidR="00544588">
              <w:rPr>
                <w:rFonts w:ascii="Arial" w:hAnsi="Arial" w:cs="Arial"/>
                <w:sz w:val="24"/>
                <w:szCs w:val="24"/>
                <w:shd w:val="clear" w:color="auto" w:fill="FFFFFF"/>
              </w:rPr>
              <w:t xml:space="preserve"> então</w:t>
            </w:r>
            <w:r w:rsidR="009302F4">
              <w:rPr>
                <w:rFonts w:ascii="Arial" w:hAnsi="Arial" w:cs="Arial"/>
                <w:sz w:val="24"/>
                <w:szCs w:val="24"/>
                <w:shd w:val="clear" w:color="auto" w:fill="FFFFFF"/>
              </w:rPr>
              <w:t xml:space="preserve"> Secretaria de Estado da Fazenda)</w:t>
            </w:r>
            <w:r w:rsidRPr="00841D6A">
              <w:rPr>
                <w:rFonts w:ascii="Arial" w:hAnsi="Arial" w:cs="Arial"/>
                <w:sz w:val="24"/>
                <w:szCs w:val="24"/>
                <w:shd w:val="clear" w:color="auto" w:fill="FFFFFF"/>
              </w:rPr>
              <w:t xml:space="preserve">. </w:t>
            </w:r>
          </w:p>
        </w:tc>
      </w:tr>
      <w:tr w:rsidR="00841D6A" w14:paraId="3205EA2E" w14:textId="77777777" w:rsidTr="00315659">
        <w:tc>
          <w:tcPr>
            <w:tcW w:w="2835" w:type="dxa"/>
            <w:shd w:val="clear" w:color="auto" w:fill="FFFFFF" w:themeFill="background1"/>
          </w:tcPr>
          <w:p w14:paraId="4EE1C686" w14:textId="0737E78F" w:rsidR="00841D6A" w:rsidRPr="00192F0F" w:rsidRDefault="00841D6A" w:rsidP="00192F0F">
            <w:pPr>
              <w:spacing w:line="360" w:lineRule="auto"/>
              <w:jc w:val="center"/>
              <w:rPr>
                <w:rFonts w:ascii="Arial" w:hAnsi="Arial" w:cs="Arial"/>
                <w:b/>
                <w:sz w:val="24"/>
                <w:szCs w:val="24"/>
              </w:rPr>
            </w:pPr>
            <w:r w:rsidRPr="00192F0F">
              <w:rPr>
                <w:rFonts w:ascii="Arial" w:hAnsi="Arial" w:cs="Arial"/>
                <w:b/>
                <w:sz w:val="24"/>
                <w:szCs w:val="24"/>
              </w:rPr>
              <w:t>Lei nº 19.732/2017</w:t>
            </w:r>
          </w:p>
        </w:tc>
        <w:tc>
          <w:tcPr>
            <w:tcW w:w="6516" w:type="dxa"/>
          </w:tcPr>
          <w:p w14:paraId="4689DD91" w14:textId="52E68B9A" w:rsidR="00841D6A" w:rsidRPr="00841D6A" w:rsidRDefault="00841D6A" w:rsidP="001A04C9">
            <w:pPr>
              <w:spacing w:line="360" w:lineRule="auto"/>
              <w:jc w:val="both"/>
              <w:rPr>
                <w:rFonts w:ascii="Arial" w:hAnsi="Arial" w:cs="Arial"/>
                <w:sz w:val="24"/>
                <w:szCs w:val="24"/>
              </w:rPr>
            </w:pPr>
            <w:r w:rsidRPr="00841D6A">
              <w:rPr>
                <w:rFonts w:ascii="Arial" w:hAnsi="Arial" w:cs="Arial"/>
                <w:sz w:val="24"/>
                <w:szCs w:val="24"/>
                <w:shd w:val="clear" w:color="auto" w:fill="FFFFFF"/>
              </w:rPr>
              <w:t>Dispõe sobre a concessão de incentivo fiscal destinado à implantação ou expansão de empreendimento industrial fabricante de conservas, atomatados e alimentos.</w:t>
            </w:r>
          </w:p>
        </w:tc>
      </w:tr>
    </w:tbl>
    <w:p w14:paraId="5CB42C56" w14:textId="61738741" w:rsidR="0069460F" w:rsidRDefault="0069460F" w:rsidP="00121151">
      <w:pPr>
        <w:spacing w:line="360" w:lineRule="auto"/>
        <w:ind w:firstLine="851"/>
        <w:jc w:val="both"/>
        <w:rPr>
          <w:rFonts w:ascii="Arial" w:hAnsi="Arial" w:cs="Arial"/>
          <w:sz w:val="24"/>
          <w:szCs w:val="24"/>
        </w:rPr>
      </w:pPr>
    </w:p>
    <w:p w14:paraId="643677BC" w14:textId="77777777" w:rsidR="008C5951" w:rsidRDefault="00AD47E5" w:rsidP="00121151">
      <w:pPr>
        <w:spacing w:line="360" w:lineRule="auto"/>
        <w:ind w:firstLine="851"/>
        <w:jc w:val="both"/>
        <w:rPr>
          <w:rFonts w:ascii="Arial" w:hAnsi="Arial" w:cs="Arial"/>
          <w:sz w:val="24"/>
          <w:szCs w:val="24"/>
        </w:rPr>
      </w:pPr>
      <w:r>
        <w:rPr>
          <w:rFonts w:ascii="Arial" w:hAnsi="Arial" w:cs="Arial"/>
          <w:sz w:val="24"/>
          <w:szCs w:val="24"/>
        </w:rPr>
        <w:t xml:space="preserve">O art. 2º, na versão original do projeto, </w:t>
      </w:r>
      <w:r w:rsidR="008C5951">
        <w:rPr>
          <w:rFonts w:ascii="Arial" w:hAnsi="Arial" w:cs="Arial"/>
          <w:sz w:val="24"/>
          <w:szCs w:val="24"/>
        </w:rPr>
        <w:t>previa que:</w:t>
      </w:r>
    </w:p>
    <w:p w14:paraId="3AF65000" w14:textId="77777777" w:rsidR="008C5951" w:rsidRDefault="008C5951" w:rsidP="00121151">
      <w:pPr>
        <w:spacing w:line="360" w:lineRule="auto"/>
        <w:ind w:firstLine="851"/>
        <w:jc w:val="both"/>
        <w:rPr>
          <w:rFonts w:ascii="Arial" w:hAnsi="Arial" w:cs="Arial"/>
          <w:sz w:val="24"/>
          <w:szCs w:val="24"/>
        </w:rPr>
      </w:pPr>
    </w:p>
    <w:p w14:paraId="009E91AC" w14:textId="77777777" w:rsidR="008C5951" w:rsidRPr="008C5951" w:rsidRDefault="008C5951" w:rsidP="008C5951">
      <w:pPr>
        <w:ind w:left="2268"/>
        <w:jc w:val="both"/>
        <w:rPr>
          <w:rFonts w:ascii="Arial" w:hAnsi="Arial" w:cs="Arial"/>
          <w:sz w:val="22"/>
        </w:rPr>
      </w:pPr>
      <w:r w:rsidRPr="008C5951">
        <w:rPr>
          <w:rFonts w:ascii="Arial" w:hAnsi="Arial" w:cs="Arial"/>
          <w:sz w:val="22"/>
        </w:rPr>
        <w:t>Art. 2° Fica suspensa, pelo prazo de 48 (quarenta e oito) meses, contado a partir da publicação desta Lei, a fruição do benefício fiscal do crédito outorgado de que trata o art. 1°, já concedido, não podendo o correspondente saldo remanescente do crédito outorgado ser utilizado, durante o período em que vigorar a suspensão, para dedução do ICMS a recolher ou para transferência a outro contribuinte.</w:t>
      </w:r>
    </w:p>
    <w:p w14:paraId="15E35465" w14:textId="3B98AE4D" w:rsidR="008C5951" w:rsidRPr="008C5951" w:rsidRDefault="008C5951" w:rsidP="008C5951">
      <w:pPr>
        <w:ind w:left="2268"/>
        <w:jc w:val="both"/>
        <w:rPr>
          <w:rFonts w:ascii="Arial" w:hAnsi="Arial" w:cs="Arial"/>
          <w:sz w:val="20"/>
          <w:szCs w:val="24"/>
        </w:rPr>
      </w:pPr>
      <w:r w:rsidRPr="008C5951">
        <w:rPr>
          <w:rFonts w:ascii="Arial" w:hAnsi="Arial" w:cs="Arial"/>
          <w:sz w:val="22"/>
        </w:rPr>
        <w:t>Parágrafo único. Ato de Secretário de Estado da Economia disciplinará os procedimentos de estorno do crédito outorgado já apropriado na escrituração fiscal do contribuinte e, ainda, não utilizado na dedução do ICMS a recolher</w:t>
      </w:r>
      <w:r w:rsidR="006401AB">
        <w:rPr>
          <w:rFonts w:ascii="Arial" w:hAnsi="Arial" w:cs="Arial"/>
          <w:sz w:val="22"/>
        </w:rPr>
        <w:t>.</w:t>
      </w:r>
    </w:p>
    <w:p w14:paraId="02987E84" w14:textId="77777777" w:rsidR="008C5951" w:rsidRDefault="008C5951" w:rsidP="00121151">
      <w:pPr>
        <w:spacing w:line="360" w:lineRule="auto"/>
        <w:ind w:firstLine="851"/>
        <w:jc w:val="both"/>
        <w:rPr>
          <w:rFonts w:ascii="Arial" w:hAnsi="Arial" w:cs="Arial"/>
          <w:sz w:val="24"/>
          <w:szCs w:val="24"/>
        </w:rPr>
      </w:pPr>
    </w:p>
    <w:p w14:paraId="2818BBB4" w14:textId="73E63926" w:rsidR="00AD47E5" w:rsidRDefault="00AD47E5" w:rsidP="00121151">
      <w:pPr>
        <w:spacing w:line="360" w:lineRule="auto"/>
        <w:ind w:firstLine="851"/>
        <w:jc w:val="both"/>
        <w:rPr>
          <w:rFonts w:ascii="Arial" w:hAnsi="Arial" w:cs="Arial"/>
          <w:sz w:val="24"/>
          <w:szCs w:val="24"/>
        </w:rPr>
      </w:pPr>
      <w:r>
        <w:rPr>
          <w:rFonts w:ascii="Arial" w:hAnsi="Arial" w:cs="Arial"/>
          <w:sz w:val="24"/>
          <w:szCs w:val="24"/>
        </w:rPr>
        <w:t xml:space="preserve">Contudo, na CCJR, ofereceu-se emenda modificativa para ressalvar situações de direito adquirido, </w:t>
      </w:r>
      <w:r w:rsidR="008228EE">
        <w:rPr>
          <w:rFonts w:ascii="Arial" w:hAnsi="Arial" w:cs="Arial"/>
          <w:sz w:val="24"/>
          <w:szCs w:val="24"/>
        </w:rPr>
        <w:t>a fim de manter</w:t>
      </w:r>
      <w:r w:rsidRPr="00AD47E5">
        <w:rPr>
          <w:rFonts w:ascii="Arial" w:hAnsi="Arial" w:cs="Arial"/>
          <w:sz w:val="24"/>
          <w:szCs w:val="24"/>
        </w:rPr>
        <w:t xml:space="preserve"> os créditos outorgados</w:t>
      </w:r>
      <w:r w:rsidR="008228EE">
        <w:rPr>
          <w:rFonts w:ascii="Arial" w:hAnsi="Arial" w:cs="Arial"/>
          <w:sz w:val="24"/>
          <w:szCs w:val="24"/>
        </w:rPr>
        <w:t xml:space="preserve"> acima</w:t>
      </w:r>
      <w:r w:rsidRPr="00AD47E5">
        <w:rPr>
          <w:rFonts w:ascii="Arial" w:hAnsi="Arial" w:cs="Arial"/>
          <w:sz w:val="24"/>
          <w:szCs w:val="24"/>
        </w:rPr>
        <w:t xml:space="preserve"> referidos,</w:t>
      </w:r>
      <w:r w:rsidR="008228EE">
        <w:rPr>
          <w:rFonts w:ascii="Arial" w:hAnsi="Arial" w:cs="Arial"/>
          <w:sz w:val="24"/>
          <w:szCs w:val="24"/>
        </w:rPr>
        <w:t xml:space="preserve"> que</w:t>
      </w:r>
      <w:r w:rsidRPr="00AD47E5">
        <w:rPr>
          <w:rFonts w:ascii="Arial" w:hAnsi="Arial" w:cs="Arial"/>
          <w:sz w:val="24"/>
          <w:szCs w:val="24"/>
        </w:rPr>
        <w:t xml:space="preserve"> já </w:t>
      </w:r>
      <w:r w:rsidR="008228EE">
        <w:rPr>
          <w:rFonts w:ascii="Arial" w:hAnsi="Arial" w:cs="Arial"/>
          <w:sz w:val="24"/>
          <w:szCs w:val="24"/>
        </w:rPr>
        <w:t xml:space="preserve">tenham sido </w:t>
      </w:r>
      <w:r w:rsidRPr="00AD47E5">
        <w:rPr>
          <w:rFonts w:ascii="Arial" w:hAnsi="Arial" w:cs="Arial"/>
          <w:sz w:val="24"/>
          <w:szCs w:val="24"/>
        </w:rPr>
        <w:t xml:space="preserve">concedidos até a data de publicação </w:t>
      </w:r>
      <w:r w:rsidR="008228EE">
        <w:rPr>
          <w:rFonts w:ascii="Arial" w:hAnsi="Arial" w:cs="Arial"/>
          <w:sz w:val="24"/>
          <w:szCs w:val="24"/>
        </w:rPr>
        <w:t>da</w:t>
      </w:r>
      <w:r w:rsidRPr="00AD47E5">
        <w:rPr>
          <w:rFonts w:ascii="Arial" w:hAnsi="Arial" w:cs="Arial"/>
          <w:sz w:val="24"/>
          <w:szCs w:val="24"/>
        </w:rPr>
        <w:t xml:space="preserve"> Lei</w:t>
      </w:r>
      <w:r w:rsidR="008228EE">
        <w:rPr>
          <w:rFonts w:ascii="Arial" w:hAnsi="Arial" w:cs="Arial"/>
          <w:sz w:val="24"/>
          <w:szCs w:val="24"/>
        </w:rPr>
        <w:t xml:space="preserve"> nº 20.</w:t>
      </w:r>
      <w:r w:rsidR="008228EE" w:rsidRPr="008228EE">
        <w:rPr>
          <w:rFonts w:ascii="Arial" w:hAnsi="Arial" w:cs="Arial"/>
          <w:sz w:val="24"/>
          <w:szCs w:val="24"/>
        </w:rPr>
        <w:t>6</w:t>
      </w:r>
      <w:r w:rsidR="008C5951">
        <w:rPr>
          <w:rFonts w:ascii="Arial" w:hAnsi="Arial" w:cs="Arial"/>
          <w:sz w:val="24"/>
          <w:szCs w:val="24"/>
        </w:rPr>
        <w:t xml:space="preserve">54, de </w:t>
      </w:r>
      <w:r w:rsidR="008228EE" w:rsidRPr="008228EE">
        <w:rPr>
          <w:rFonts w:ascii="Arial" w:hAnsi="Arial" w:cs="Arial"/>
          <w:sz w:val="24"/>
          <w:szCs w:val="24"/>
        </w:rPr>
        <w:t>2019</w:t>
      </w:r>
      <w:r w:rsidRPr="00AD47E5">
        <w:rPr>
          <w:rFonts w:ascii="Arial" w:hAnsi="Arial" w:cs="Arial"/>
          <w:sz w:val="24"/>
          <w:szCs w:val="24"/>
        </w:rPr>
        <w:t xml:space="preserve">, cujos </w:t>
      </w:r>
      <w:r w:rsidRPr="00AD47E5">
        <w:rPr>
          <w:rFonts w:ascii="Arial" w:hAnsi="Arial" w:cs="Arial"/>
          <w:sz w:val="24"/>
          <w:szCs w:val="24"/>
        </w:rPr>
        <w:lastRenderedPageBreak/>
        <w:t>regimes especiais estejam em vigor na data de sua publicação, mantidos os limites, prazos e demais condições previst</w:t>
      </w:r>
      <w:r w:rsidR="008228EE">
        <w:rPr>
          <w:rFonts w:ascii="Arial" w:hAnsi="Arial" w:cs="Arial"/>
          <w:sz w:val="24"/>
          <w:szCs w:val="24"/>
        </w:rPr>
        <w:t>a</w:t>
      </w:r>
      <w:r w:rsidRPr="00AD47E5">
        <w:rPr>
          <w:rFonts w:ascii="Arial" w:hAnsi="Arial" w:cs="Arial"/>
          <w:sz w:val="24"/>
          <w:szCs w:val="24"/>
        </w:rPr>
        <w:t>s nos referidos regimes especiais</w:t>
      </w:r>
      <w:r>
        <w:rPr>
          <w:rFonts w:ascii="Arial" w:hAnsi="Arial" w:cs="Arial"/>
          <w:sz w:val="24"/>
          <w:szCs w:val="24"/>
        </w:rPr>
        <w:t>.</w:t>
      </w:r>
      <w:r w:rsidR="008228EE">
        <w:rPr>
          <w:rFonts w:ascii="Arial" w:hAnsi="Arial" w:cs="Arial"/>
          <w:sz w:val="24"/>
          <w:szCs w:val="24"/>
        </w:rPr>
        <w:t xml:space="preserve"> Não obstante, já se corrigiu a distorção para as futuras situações.</w:t>
      </w:r>
    </w:p>
    <w:p w14:paraId="547794B7" w14:textId="104988A0" w:rsidR="00A270F3" w:rsidRDefault="00A270F3" w:rsidP="00121151">
      <w:pPr>
        <w:spacing w:line="360" w:lineRule="auto"/>
        <w:ind w:firstLine="851"/>
        <w:jc w:val="both"/>
        <w:rPr>
          <w:rFonts w:ascii="Arial" w:hAnsi="Arial" w:cs="Arial"/>
          <w:sz w:val="24"/>
          <w:szCs w:val="24"/>
        </w:rPr>
      </w:pPr>
      <w:r>
        <w:rPr>
          <w:rFonts w:ascii="Arial" w:hAnsi="Arial" w:cs="Arial"/>
          <w:sz w:val="24"/>
          <w:szCs w:val="24"/>
        </w:rPr>
        <w:t xml:space="preserve">Portanto, a </w:t>
      </w:r>
      <w:r w:rsidRPr="00AD47E5">
        <w:rPr>
          <w:rFonts w:ascii="Arial" w:hAnsi="Arial" w:cs="Arial"/>
          <w:sz w:val="24"/>
          <w:szCs w:val="24"/>
        </w:rPr>
        <w:t>Lei</w:t>
      </w:r>
      <w:r>
        <w:rPr>
          <w:rFonts w:ascii="Arial" w:hAnsi="Arial" w:cs="Arial"/>
          <w:sz w:val="24"/>
          <w:szCs w:val="24"/>
        </w:rPr>
        <w:t xml:space="preserve"> nº 20.</w:t>
      </w:r>
      <w:r w:rsidRPr="008228EE">
        <w:rPr>
          <w:rFonts w:ascii="Arial" w:hAnsi="Arial" w:cs="Arial"/>
          <w:sz w:val="24"/>
          <w:szCs w:val="24"/>
        </w:rPr>
        <w:t>6</w:t>
      </w:r>
      <w:r w:rsidR="008C5951">
        <w:rPr>
          <w:rFonts w:ascii="Arial" w:hAnsi="Arial" w:cs="Arial"/>
          <w:sz w:val="24"/>
          <w:szCs w:val="24"/>
        </w:rPr>
        <w:t xml:space="preserve">54, de </w:t>
      </w:r>
      <w:r w:rsidRPr="008228EE">
        <w:rPr>
          <w:rFonts w:ascii="Arial" w:hAnsi="Arial" w:cs="Arial"/>
          <w:sz w:val="24"/>
          <w:szCs w:val="24"/>
        </w:rPr>
        <w:t>2019</w:t>
      </w:r>
      <w:r>
        <w:rPr>
          <w:rFonts w:ascii="Arial" w:hAnsi="Arial" w:cs="Arial"/>
          <w:sz w:val="24"/>
          <w:szCs w:val="24"/>
        </w:rPr>
        <w:t>, ao revogar diversos benefícios de “crédito moeda”, representou um marco histórico na revisão de leis sobre incentivos fiscais no Estado de Goiás.</w:t>
      </w:r>
    </w:p>
    <w:p w14:paraId="40DEDB89" w14:textId="19FFD302" w:rsidR="00CA76F6" w:rsidRDefault="00CA76F6" w:rsidP="00121151">
      <w:pPr>
        <w:spacing w:line="360" w:lineRule="auto"/>
        <w:ind w:firstLine="851"/>
        <w:jc w:val="both"/>
        <w:rPr>
          <w:rFonts w:ascii="Arial" w:hAnsi="Arial" w:cs="Arial"/>
          <w:sz w:val="24"/>
          <w:szCs w:val="24"/>
        </w:rPr>
      </w:pPr>
    </w:p>
    <w:p w14:paraId="688C7031" w14:textId="6FAF04A8" w:rsidR="00CA76F6" w:rsidRPr="00315659" w:rsidRDefault="00CA76F6" w:rsidP="00CA76F6">
      <w:pPr>
        <w:spacing w:line="360" w:lineRule="auto"/>
        <w:ind w:firstLine="851"/>
        <w:jc w:val="both"/>
        <w:rPr>
          <w:rFonts w:ascii="Arial" w:hAnsi="Arial" w:cs="Arial"/>
          <w:sz w:val="24"/>
          <w:szCs w:val="24"/>
          <w:u w:val="single"/>
        </w:rPr>
      </w:pPr>
      <w:r w:rsidRPr="00315659">
        <w:rPr>
          <w:rFonts w:ascii="Arial" w:hAnsi="Arial" w:cs="Arial"/>
          <w:sz w:val="24"/>
          <w:szCs w:val="24"/>
          <w:u w:val="single"/>
        </w:rPr>
        <w:t>3.3.2.6.3 – Lei nº 20.67</w:t>
      </w:r>
      <w:r w:rsidR="00A5579F" w:rsidRPr="00315659">
        <w:rPr>
          <w:rFonts w:ascii="Arial" w:hAnsi="Arial" w:cs="Arial"/>
          <w:sz w:val="24"/>
          <w:szCs w:val="24"/>
          <w:u w:val="single"/>
        </w:rPr>
        <w:t>6</w:t>
      </w:r>
      <w:r w:rsidRPr="00315659">
        <w:rPr>
          <w:rFonts w:ascii="Arial" w:hAnsi="Arial" w:cs="Arial"/>
          <w:sz w:val="24"/>
          <w:szCs w:val="24"/>
          <w:u w:val="single"/>
        </w:rPr>
        <w:t xml:space="preserve">/2019: </w:t>
      </w:r>
      <w:r w:rsidR="00A5579F" w:rsidRPr="00315659">
        <w:rPr>
          <w:rFonts w:ascii="Arial" w:hAnsi="Arial" w:cs="Arial"/>
          <w:sz w:val="24"/>
          <w:szCs w:val="24"/>
          <w:u w:val="single"/>
        </w:rPr>
        <w:t>revisão do benefício de crédito outorgado do setor sucroalcooleiro</w:t>
      </w:r>
    </w:p>
    <w:p w14:paraId="064EB00C" w14:textId="70BD990B" w:rsidR="00CA76F6" w:rsidRDefault="00CA76F6" w:rsidP="00121151">
      <w:pPr>
        <w:spacing w:line="360" w:lineRule="auto"/>
        <w:ind w:firstLine="851"/>
        <w:jc w:val="both"/>
        <w:rPr>
          <w:rFonts w:ascii="Arial" w:hAnsi="Arial" w:cs="Arial"/>
          <w:sz w:val="24"/>
          <w:szCs w:val="24"/>
        </w:rPr>
      </w:pPr>
    </w:p>
    <w:p w14:paraId="34A530DC" w14:textId="37953AD4" w:rsidR="00714535" w:rsidRDefault="0073566A" w:rsidP="00121151">
      <w:pPr>
        <w:spacing w:line="360" w:lineRule="auto"/>
        <w:ind w:firstLine="851"/>
        <w:jc w:val="both"/>
        <w:rPr>
          <w:rFonts w:ascii="Arial" w:hAnsi="Arial" w:cs="Arial"/>
          <w:sz w:val="24"/>
          <w:szCs w:val="24"/>
        </w:rPr>
      </w:pPr>
      <w:r w:rsidRPr="00730E8D">
        <w:rPr>
          <w:rFonts w:ascii="Arial" w:hAnsi="Arial" w:cs="Arial"/>
          <w:sz w:val="24"/>
          <w:szCs w:val="24"/>
        </w:rPr>
        <w:t xml:space="preserve">Este relator, quando apresentou o projeto de lei referente a essa matéria, havia proposto a revogação integral do art. 3º da Lei nº 13.246/1998, o qual autoriza o </w:t>
      </w:r>
      <w:r w:rsidR="00730E8D" w:rsidRPr="00730E8D">
        <w:rPr>
          <w:rFonts w:ascii="Arial" w:hAnsi="Arial" w:cs="Arial"/>
          <w:sz w:val="24"/>
          <w:szCs w:val="24"/>
        </w:rPr>
        <w:t xml:space="preserve">Chefe do Poder Executivo </w:t>
      </w:r>
      <w:r w:rsidRPr="00730E8D">
        <w:rPr>
          <w:rFonts w:ascii="Arial" w:hAnsi="Arial" w:cs="Arial"/>
          <w:sz w:val="24"/>
          <w:szCs w:val="24"/>
        </w:rPr>
        <w:t>a con</w:t>
      </w:r>
      <w:r w:rsidR="00730E8D" w:rsidRPr="00730E8D">
        <w:rPr>
          <w:rFonts w:ascii="Arial" w:hAnsi="Arial" w:cs="Arial"/>
          <w:sz w:val="24"/>
          <w:szCs w:val="24"/>
        </w:rPr>
        <w:t>ceder crédito outorgado do ICMS para os industriais do setor alcooleiro enquadrados no programa FOMENTAR ou PRODUZIR, em percentual a ser estabelecido no regulamento, observadas as demais condições previstas naquele artigo.</w:t>
      </w:r>
    </w:p>
    <w:p w14:paraId="72FEB75F" w14:textId="6B78D124" w:rsidR="004009EC" w:rsidRDefault="004009EC" w:rsidP="00121151">
      <w:pPr>
        <w:spacing w:line="360" w:lineRule="auto"/>
        <w:ind w:firstLine="851"/>
        <w:jc w:val="both"/>
        <w:rPr>
          <w:rFonts w:ascii="Arial" w:hAnsi="Arial" w:cs="Arial"/>
          <w:sz w:val="24"/>
          <w:szCs w:val="24"/>
        </w:rPr>
      </w:pPr>
      <w:r>
        <w:rPr>
          <w:rFonts w:ascii="Arial" w:hAnsi="Arial" w:cs="Arial"/>
          <w:sz w:val="24"/>
          <w:szCs w:val="24"/>
        </w:rPr>
        <w:t>Na justificativa do projeto de lei, este relator consignou o seguinte:</w:t>
      </w:r>
    </w:p>
    <w:p w14:paraId="14FC3BE1" w14:textId="7AE79269" w:rsidR="004322C2" w:rsidRDefault="004322C2" w:rsidP="00121151">
      <w:pPr>
        <w:spacing w:line="360" w:lineRule="auto"/>
        <w:ind w:firstLine="851"/>
        <w:jc w:val="both"/>
        <w:rPr>
          <w:rFonts w:ascii="Arial" w:hAnsi="Arial" w:cs="Arial"/>
          <w:sz w:val="24"/>
          <w:szCs w:val="24"/>
        </w:rPr>
      </w:pPr>
    </w:p>
    <w:p w14:paraId="12CBFF29" w14:textId="77777777" w:rsidR="004322C2" w:rsidRDefault="004322C2" w:rsidP="008C5951">
      <w:pPr>
        <w:ind w:left="2268"/>
        <w:jc w:val="both"/>
        <w:rPr>
          <w:rFonts w:ascii="Arial" w:hAnsi="Arial" w:cs="Arial"/>
          <w:sz w:val="22"/>
          <w:szCs w:val="22"/>
        </w:rPr>
      </w:pPr>
      <w:r w:rsidRPr="004322C2">
        <w:rPr>
          <w:rFonts w:ascii="Arial" w:hAnsi="Arial" w:cs="Arial"/>
          <w:sz w:val="22"/>
          <w:szCs w:val="22"/>
        </w:rPr>
        <w:t>A Lei n. 13.246, de 1998, na sua origem concedeu In</w:t>
      </w:r>
      <w:r>
        <w:rPr>
          <w:rFonts w:ascii="Arial" w:hAnsi="Arial" w:cs="Arial"/>
          <w:sz w:val="22"/>
          <w:szCs w:val="22"/>
        </w:rPr>
        <w:t>c</w:t>
      </w:r>
      <w:r w:rsidRPr="004322C2">
        <w:rPr>
          <w:rFonts w:ascii="Arial" w:hAnsi="Arial" w:cs="Arial"/>
          <w:sz w:val="22"/>
          <w:szCs w:val="22"/>
        </w:rPr>
        <w:t xml:space="preserve">entivos para indústrias do setor automotivo e do setor têxtil. Posteriormente, esta lei foi modificada, de modo a conceder crédito outorgado ao setor sucroalcooleiro. </w:t>
      </w:r>
    </w:p>
    <w:p w14:paraId="42382569" w14:textId="77777777" w:rsidR="004322C2" w:rsidRDefault="004322C2" w:rsidP="008C5951">
      <w:pPr>
        <w:ind w:left="2268"/>
        <w:jc w:val="both"/>
        <w:rPr>
          <w:rFonts w:ascii="Arial" w:hAnsi="Arial" w:cs="Arial"/>
          <w:sz w:val="22"/>
          <w:szCs w:val="22"/>
        </w:rPr>
      </w:pPr>
      <w:r w:rsidRPr="004322C2">
        <w:rPr>
          <w:rFonts w:ascii="Arial" w:hAnsi="Arial" w:cs="Arial"/>
          <w:sz w:val="22"/>
          <w:szCs w:val="22"/>
        </w:rPr>
        <w:t xml:space="preserve">O benefício do álcool anidro foi instituído sob a justificativa de preservar a situação das usinas de álcool beneficiadas pelo Fomentar após a instituição da substituição tributária, que concentrou toda a responsabilidade e cobrança do ICMS devido na refinaria de petróleo. </w:t>
      </w:r>
    </w:p>
    <w:p w14:paraId="7D575D3D" w14:textId="77777777" w:rsidR="004322C2" w:rsidRDefault="004322C2" w:rsidP="008C5951">
      <w:pPr>
        <w:ind w:left="2268"/>
        <w:jc w:val="both"/>
        <w:rPr>
          <w:rFonts w:ascii="Arial" w:hAnsi="Arial" w:cs="Arial"/>
          <w:sz w:val="22"/>
          <w:szCs w:val="22"/>
        </w:rPr>
      </w:pPr>
      <w:r w:rsidRPr="004322C2">
        <w:rPr>
          <w:rFonts w:ascii="Arial" w:hAnsi="Arial" w:cs="Arial"/>
          <w:sz w:val="22"/>
          <w:szCs w:val="22"/>
        </w:rPr>
        <w:t xml:space="preserve">A opção viabilizada foi a concessão de crédito outorgado em montante equivalente a até 60% do ICMS que seria devido pelo industrial de álcool anidro caso o imposto correspondente à operação fosse de sua responsabilidade. </w:t>
      </w:r>
    </w:p>
    <w:p w14:paraId="2D926DAE" w14:textId="77777777" w:rsidR="004322C2" w:rsidRDefault="004322C2" w:rsidP="008C5951">
      <w:pPr>
        <w:ind w:left="2268"/>
        <w:jc w:val="both"/>
        <w:rPr>
          <w:rFonts w:ascii="Arial" w:hAnsi="Arial" w:cs="Arial"/>
          <w:sz w:val="22"/>
          <w:szCs w:val="22"/>
        </w:rPr>
      </w:pPr>
      <w:r w:rsidRPr="004322C2">
        <w:rPr>
          <w:rFonts w:ascii="Arial" w:hAnsi="Arial" w:cs="Arial"/>
          <w:sz w:val="22"/>
          <w:szCs w:val="22"/>
        </w:rPr>
        <w:t xml:space="preserve">Outrossim, após 20 anos, o papel de incentivador do Estado desse segmento há muito se esgotou, ainda mais se considerarmos que o prazo de fruição do Fomentar à época era de 5 anos, sendo prorrogado sucessivamente. O setor alcooleiro passa atualmente por um momento muito favorável, conforme amplamente divulgado pela imprensa. Houve, inclusive, aumento substancial nos preços do álcool combustível. Dessa forma, torna-se oportuna e recomendável revisão na tributação dos combustíveis derivados da cana-de-açúcar. </w:t>
      </w:r>
    </w:p>
    <w:p w14:paraId="17558805" w14:textId="77777777" w:rsidR="004322C2" w:rsidRDefault="004322C2" w:rsidP="008C5951">
      <w:pPr>
        <w:ind w:left="2268"/>
        <w:jc w:val="both"/>
        <w:rPr>
          <w:rFonts w:ascii="Arial" w:hAnsi="Arial" w:cs="Arial"/>
          <w:sz w:val="22"/>
          <w:szCs w:val="22"/>
        </w:rPr>
      </w:pPr>
      <w:r w:rsidRPr="004322C2">
        <w:rPr>
          <w:rFonts w:ascii="Arial" w:hAnsi="Arial" w:cs="Arial"/>
          <w:sz w:val="22"/>
          <w:szCs w:val="22"/>
        </w:rPr>
        <w:t xml:space="preserve">Ademais, receber benefício fiscal por aquilo </w:t>
      </w:r>
      <w:r>
        <w:rPr>
          <w:rFonts w:ascii="Arial" w:hAnsi="Arial" w:cs="Arial"/>
          <w:sz w:val="22"/>
          <w:szCs w:val="22"/>
        </w:rPr>
        <w:t xml:space="preserve">que não se recolhe do ICMS é </w:t>
      </w:r>
      <w:r w:rsidRPr="004322C2">
        <w:rPr>
          <w:rFonts w:ascii="Arial" w:hAnsi="Arial" w:cs="Arial"/>
          <w:sz w:val="22"/>
          <w:szCs w:val="22"/>
        </w:rPr>
        <w:t xml:space="preserve">incongruência tão evidente ao ponto de os empresários do setor sucroalcooleiro reclamarem quando há redução de alíquotas do ICMS no produto. Tal protesto ocorre porque a comercialização do álcool anidro rende créditos fiscais "de verdade", tendo por base um imposto devido </w:t>
      </w:r>
      <w:r w:rsidRPr="004322C2">
        <w:rPr>
          <w:rFonts w:ascii="Arial" w:hAnsi="Arial" w:cs="Arial"/>
          <w:sz w:val="22"/>
          <w:szCs w:val="22"/>
        </w:rPr>
        <w:lastRenderedPageBreak/>
        <w:t xml:space="preserve">"de mentira". Assim sendo, quanto maior o preço ou a alíquota do produto, maior o valor do crédito outorgado a ser apropriado pelas usinas. </w:t>
      </w:r>
    </w:p>
    <w:p w14:paraId="20E8C167" w14:textId="49F000A5" w:rsidR="004322C2" w:rsidRPr="004322C2" w:rsidRDefault="004322C2" w:rsidP="008C5951">
      <w:pPr>
        <w:ind w:left="2268"/>
        <w:jc w:val="both"/>
        <w:rPr>
          <w:rFonts w:ascii="Arial" w:hAnsi="Arial" w:cs="Arial"/>
          <w:sz w:val="22"/>
          <w:szCs w:val="22"/>
        </w:rPr>
      </w:pPr>
      <w:r w:rsidRPr="004322C2">
        <w:rPr>
          <w:rFonts w:ascii="Arial" w:hAnsi="Arial" w:cs="Arial"/>
          <w:sz w:val="22"/>
          <w:szCs w:val="22"/>
        </w:rPr>
        <w:t>Consentâneo destacar que o benefício do crédito outorgado do álcool anidro é atualmente cumulado com o financiamento público de 73% do saldo devedor do ICMS devido pelas usinas na comercialização de outros produtos, através dos programas Fomentar/Produzir, potencializando a perda de receita estadual, estimada em cerca de R$ 180 milhões por ano caso a distorção não seja corrigida.</w:t>
      </w:r>
    </w:p>
    <w:p w14:paraId="7AB887B8" w14:textId="6B0D9EAD" w:rsidR="004009EC" w:rsidRDefault="004009EC" w:rsidP="00121151">
      <w:pPr>
        <w:spacing w:line="360" w:lineRule="auto"/>
        <w:ind w:firstLine="851"/>
        <w:jc w:val="both"/>
        <w:rPr>
          <w:rFonts w:ascii="Arial" w:hAnsi="Arial" w:cs="Arial"/>
          <w:sz w:val="24"/>
          <w:szCs w:val="24"/>
        </w:rPr>
      </w:pPr>
    </w:p>
    <w:p w14:paraId="5C254889" w14:textId="7F79F4E0" w:rsidR="00730E8D" w:rsidRDefault="00730E8D" w:rsidP="00121151">
      <w:pPr>
        <w:spacing w:line="360" w:lineRule="auto"/>
        <w:ind w:firstLine="851"/>
        <w:jc w:val="both"/>
        <w:rPr>
          <w:rFonts w:ascii="Arial" w:hAnsi="Arial" w:cs="Arial"/>
          <w:sz w:val="24"/>
          <w:szCs w:val="24"/>
        </w:rPr>
      </w:pPr>
      <w:r>
        <w:rPr>
          <w:rFonts w:ascii="Arial" w:hAnsi="Arial" w:cs="Arial"/>
          <w:sz w:val="24"/>
          <w:szCs w:val="24"/>
        </w:rPr>
        <w:t>Contudo</w:t>
      </w:r>
      <w:r w:rsidR="004009EC">
        <w:rPr>
          <w:rFonts w:ascii="Arial" w:hAnsi="Arial" w:cs="Arial"/>
          <w:sz w:val="24"/>
          <w:szCs w:val="24"/>
        </w:rPr>
        <w:t xml:space="preserve">, </w:t>
      </w:r>
      <w:r w:rsidR="004322C2">
        <w:rPr>
          <w:rFonts w:ascii="Arial" w:hAnsi="Arial" w:cs="Arial"/>
          <w:sz w:val="24"/>
          <w:szCs w:val="24"/>
        </w:rPr>
        <w:t>no decorrer das discussões, tanto no âmbito das comissões pelas quais tramitou o projeto como da própria CPI, e atendendo a um apelo do segmento econômico em conjunto com os órgãos governamentais competentes, este parlamento optou apenas por alterar mencionado art. 3º da Lei nº 13.246/1998, da seguinte forma:</w:t>
      </w:r>
    </w:p>
    <w:p w14:paraId="04B44039" w14:textId="77777777" w:rsidR="003C42E2" w:rsidRDefault="003C42E2" w:rsidP="00121151">
      <w:pPr>
        <w:spacing w:line="360" w:lineRule="auto"/>
        <w:ind w:firstLine="851"/>
        <w:jc w:val="both"/>
        <w:rPr>
          <w:rFonts w:ascii="Arial" w:hAnsi="Arial" w:cs="Arial"/>
          <w:sz w:val="24"/>
          <w:szCs w:val="24"/>
        </w:rPr>
      </w:pPr>
    </w:p>
    <w:p w14:paraId="7C2BC703" w14:textId="39192453" w:rsidR="004322C2" w:rsidRDefault="004322C2" w:rsidP="00282B87">
      <w:pPr>
        <w:pStyle w:val="PargrafodaLista"/>
        <w:numPr>
          <w:ilvl w:val="0"/>
          <w:numId w:val="7"/>
        </w:numPr>
        <w:spacing w:line="360" w:lineRule="auto"/>
        <w:jc w:val="both"/>
        <w:rPr>
          <w:rFonts w:ascii="Arial" w:hAnsi="Arial" w:cs="Arial"/>
          <w:sz w:val="24"/>
          <w:szCs w:val="24"/>
        </w:rPr>
      </w:pPr>
      <w:r>
        <w:rPr>
          <w:rFonts w:ascii="Arial" w:hAnsi="Arial" w:cs="Arial"/>
          <w:sz w:val="24"/>
          <w:szCs w:val="24"/>
        </w:rPr>
        <w:t>a base de cálculo do crédito outorgado deixou de ser 29% (vinte e nove por cento) e passou a ser 23% (vinte e três por cento), em caráter permanente;</w:t>
      </w:r>
    </w:p>
    <w:p w14:paraId="04CE4468" w14:textId="77777777" w:rsidR="004322C2" w:rsidRDefault="004322C2" w:rsidP="00282B87">
      <w:pPr>
        <w:pStyle w:val="PargrafodaLista"/>
        <w:numPr>
          <w:ilvl w:val="0"/>
          <w:numId w:val="7"/>
        </w:numPr>
        <w:spacing w:line="360" w:lineRule="auto"/>
        <w:jc w:val="both"/>
        <w:rPr>
          <w:rFonts w:ascii="Arial" w:hAnsi="Arial" w:cs="Arial"/>
          <w:sz w:val="24"/>
          <w:szCs w:val="24"/>
        </w:rPr>
      </w:pPr>
      <w:r>
        <w:rPr>
          <w:rFonts w:ascii="Arial" w:hAnsi="Arial" w:cs="Arial"/>
          <w:sz w:val="24"/>
          <w:szCs w:val="24"/>
        </w:rPr>
        <w:t xml:space="preserve">o valor do crédito outorgado foi reduzido provisoriamente de 60% (sessenta por cento) para outros percentuais, consoante o seguinte escalonamento: b.1) de 1º/06/2020 a 31/12/2020, </w:t>
      </w:r>
      <w:r w:rsidRPr="004322C2">
        <w:rPr>
          <w:rFonts w:ascii="Arial" w:hAnsi="Arial" w:cs="Arial"/>
          <w:sz w:val="24"/>
          <w:szCs w:val="24"/>
        </w:rPr>
        <w:t>50% (cinquenta por cento)</w:t>
      </w:r>
      <w:r>
        <w:rPr>
          <w:rFonts w:ascii="Arial" w:hAnsi="Arial" w:cs="Arial"/>
          <w:sz w:val="24"/>
          <w:szCs w:val="24"/>
        </w:rPr>
        <w:t xml:space="preserve">; b.2) </w:t>
      </w:r>
      <w:r w:rsidRPr="004322C2">
        <w:rPr>
          <w:rFonts w:ascii="Arial" w:hAnsi="Arial" w:cs="Arial"/>
          <w:sz w:val="24"/>
          <w:szCs w:val="24"/>
        </w:rPr>
        <w:t>de 1</w:t>
      </w:r>
      <w:r w:rsidRPr="004322C2">
        <w:rPr>
          <w:rFonts w:ascii="Arial" w:hAnsi="Arial" w:cs="Arial"/>
          <w:sz w:val="24"/>
          <w:szCs w:val="24"/>
          <w:u w:val="single"/>
          <w:vertAlign w:val="superscript"/>
        </w:rPr>
        <w:t>o</w:t>
      </w:r>
      <w:r>
        <w:rPr>
          <w:rFonts w:ascii="Arial" w:hAnsi="Arial" w:cs="Arial"/>
          <w:sz w:val="24"/>
          <w:szCs w:val="24"/>
        </w:rPr>
        <w:t>/01/2021 a 31/12/</w:t>
      </w:r>
      <w:r w:rsidRPr="004322C2">
        <w:rPr>
          <w:rFonts w:ascii="Arial" w:hAnsi="Arial" w:cs="Arial"/>
          <w:sz w:val="24"/>
          <w:szCs w:val="24"/>
        </w:rPr>
        <w:t>2021, 55% (cinquenta e cinco por cento)</w:t>
      </w:r>
      <w:r>
        <w:rPr>
          <w:rFonts w:ascii="Arial" w:hAnsi="Arial" w:cs="Arial"/>
          <w:sz w:val="24"/>
          <w:szCs w:val="24"/>
        </w:rPr>
        <w:t xml:space="preserve">; b.3) </w:t>
      </w:r>
      <w:r w:rsidRPr="004322C2">
        <w:rPr>
          <w:rFonts w:ascii="Arial" w:hAnsi="Arial" w:cs="Arial"/>
          <w:sz w:val="24"/>
          <w:szCs w:val="24"/>
        </w:rPr>
        <w:t xml:space="preserve">a partir de janeiro de 2022, </w:t>
      </w:r>
      <w:r>
        <w:rPr>
          <w:rFonts w:ascii="Arial" w:hAnsi="Arial" w:cs="Arial"/>
          <w:sz w:val="24"/>
          <w:szCs w:val="24"/>
        </w:rPr>
        <w:t xml:space="preserve">retornaria aos atuais </w:t>
      </w:r>
      <w:r w:rsidRPr="004322C2">
        <w:rPr>
          <w:rFonts w:ascii="Arial" w:hAnsi="Arial" w:cs="Arial"/>
          <w:sz w:val="24"/>
          <w:szCs w:val="24"/>
        </w:rPr>
        <w:t>60% (sessenta por cento)</w:t>
      </w:r>
      <w:r>
        <w:rPr>
          <w:rFonts w:ascii="Arial" w:hAnsi="Arial" w:cs="Arial"/>
          <w:sz w:val="24"/>
          <w:szCs w:val="24"/>
        </w:rPr>
        <w:t>.</w:t>
      </w:r>
    </w:p>
    <w:p w14:paraId="7A122DE3" w14:textId="77777777" w:rsidR="003C42E2" w:rsidRDefault="003C42E2" w:rsidP="004322C2">
      <w:pPr>
        <w:spacing w:line="360" w:lineRule="auto"/>
        <w:ind w:firstLine="851"/>
        <w:jc w:val="both"/>
        <w:rPr>
          <w:rFonts w:ascii="Arial" w:hAnsi="Arial" w:cs="Arial"/>
          <w:sz w:val="24"/>
          <w:szCs w:val="24"/>
        </w:rPr>
      </w:pPr>
    </w:p>
    <w:p w14:paraId="60706EC7" w14:textId="26DCA77D" w:rsidR="004322C2" w:rsidRPr="004322C2" w:rsidRDefault="004322C2" w:rsidP="004322C2">
      <w:pPr>
        <w:spacing w:line="360" w:lineRule="auto"/>
        <w:ind w:firstLine="851"/>
        <w:jc w:val="both"/>
        <w:rPr>
          <w:rFonts w:ascii="Arial" w:hAnsi="Arial" w:cs="Arial"/>
          <w:sz w:val="24"/>
          <w:szCs w:val="24"/>
        </w:rPr>
      </w:pPr>
      <w:r>
        <w:rPr>
          <w:rFonts w:ascii="Arial" w:hAnsi="Arial" w:cs="Arial"/>
          <w:sz w:val="24"/>
          <w:szCs w:val="24"/>
        </w:rPr>
        <w:t>Portanto, a Lei nº 20.676/2019, embora tenha se distanciado do propósito original do respectivo projeto de lei, já constitui importante contribuição na revisão da legislação de incentivos fiscais do setor sucroalcooleiro.</w:t>
      </w:r>
    </w:p>
    <w:p w14:paraId="63AF3884" w14:textId="77777777" w:rsidR="000F3914" w:rsidRDefault="000F3914" w:rsidP="00121151">
      <w:pPr>
        <w:spacing w:line="360" w:lineRule="auto"/>
        <w:ind w:firstLine="851"/>
        <w:jc w:val="both"/>
        <w:rPr>
          <w:rFonts w:ascii="Arial" w:hAnsi="Arial" w:cs="Arial"/>
          <w:b/>
          <w:sz w:val="24"/>
          <w:szCs w:val="24"/>
          <w:u w:val="single"/>
        </w:rPr>
      </w:pPr>
    </w:p>
    <w:p w14:paraId="64E13AEF" w14:textId="062263E2" w:rsidR="00121151" w:rsidRPr="00121151" w:rsidRDefault="00121151" w:rsidP="00121151">
      <w:pPr>
        <w:spacing w:line="360" w:lineRule="auto"/>
        <w:ind w:firstLine="851"/>
        <w:jc w:val="both"/>
        <w:rPr>
          <w:rFonts w:ascii="Arial" w:hAnsi="Arial" w:cs="Arial"/>
          <w:b/>
          <w:sz w:val="24"/>
          <w:szCs w:val="24"/>
          <w:u w:val="single"/>
        </w:rPr>
      </w:pPr>
      <w:r w:rsidRPr="00121151">
        <w:rPr>
          <w:rFonts w:ascii="Arial" w:hAnsi="Arial" w:cs="Arial"/>
          <w:b/>
          <w:sz w:val="24"/>
          <w:szCs w:val="24"/>
          <w:u w:val="single"/>
        </w:rPr>
        <w:t xml:space="preserve">3.3.3 </w:t>
      </w:r>
      <w:r w:rsidR="001F157F" w:rsidRPr="001F157F">
        <w:rPr>
          <w:rFonts w:ascii="Arial" w:hAnsi="Arial" w:cs="Arial"/>
          <w:b/>
          <w:sz w:val="24"/>
          <w:szCs w:val="24"/>
          <w:u w:val="single"/>
        </w:rPr>
        <w:t xml:space="preserve">– </w:t>
      </w:r>
      <w:r w:rsidRPr="00121151">
        <w:rPr>
          <w:rFonts w:ascii="Arial" w:hAnsi="Arial" w:cs="Arial"/>
          <w:b/>
          <w:sz w:val="24"/>
          <w:szCs w:val="24"/>
          <w:u w:val="single"/>
        </w:rPr>
        <w:t>Atuação do Judiciário</w:t>
      </w:r>
    </w:p>
    <w:p w14:paraId="25C10321" w14:textId="226120FB" w:rsidR="00121151" w:rsidRDefault="00121151" w:rsidP="00C30C86">
      <w:pPr>
        <w:spacing w:line="360" w:lineRule="auto"/>
        <w:ind w:firstLine="851"/>
        <w:jc w:val="both"/>
        <w:rPr>
          <w:rFonts w:ascii="Arial" w:hAnsi="Arial" w:cs="Arial"/>
          <w:sz w:val="24"/>
          <w:szCs w:val="24"/>
        </w:rPr>
      </w:pPr>
    </w:p>
    <w:p w14:paraId="62697D73" w14:textId="77777777" w:rsidR="009E4949" w:rsidRDefault="002F40BA" w:rsidP="002F40BA">
      <w:pPr>
        <w:spacing w:line="360" w:lineRule="auto"/>
        <w:ind w:firstLine="851"/>
        <w:jc w:val="both"/>
        <w:rPr>
          <w:rFonts w:ascii="Arial" w:hAnsi="Arial" w:cs="Arial"/>
          <w:sz w:val="24"/>
          <w:szCs w:val="24"/>
        </w:rPr>
      </w:pPr>
      <w:r w:rsidRPr="002F40BA">
        <w:rPr>
          <w:rFonts w:ascii="Arial" w:hAnsi="Arial" w:cs="Arial"/>
          <w:sz w:val="24"/>
          <w:szCs w:val="24"/>
        </w:rPr>
        <w:t>O</w:t>
      </w:r>
      <w:r>
        <w:rPr>
          <w:rFonts w:ascii="Arial" w:hAnsi="Arial" w:cs="Arial"/>
          <w:sz w:val="24"/>
          <w:szCs w:val="24"/>
        </w:rPr>
        <w:t xml:space="preserve"> </w:t>
      </w:r>
      <w:r w:rsidRPr="009E4949">
        <w:rPr>
          <w:rFonts w:ascii="Arial" w:hAnsi="Arial" w:cs="Arial"/>
          <w:b/>
          <w:sz w:val="24"/>
          <w:szCs w:val="24"/>
        </w:rPr>
        <w:t>Judiciário</w:t>
      </w:r>
      <w:r>
        <w:rPr>
          <w:rFonts w:ascii="Arial" w:hAnsi="Arial" w:cs="Arial"/>
          <w:sz w:val="24"/>
          <w:szCs w:val="24"/>
        </w:rPr>
        <w:t xml:space="preserve"> não tem se mostrado indiferente a todo esse processo. </w:t>
      </w:r>
    </w:p>
    <w:p w14:paraId="0F7F2764" w14:textId="57F94B50" w:rsidR="002F40BA" w:rsidRDefault="002F40BA" w:rsidP="002F40BA">
      <w:pPr>
        <w:spacing w:line="360" w:lineRule="auto"/>
        <w:ind w:firstLine="851"/>
        <w:jc w:val="both"/>
        <w:rPr>
          <w:rFonts w:ascii="Arial" w:hAnsi="Arial" w:cs="Arial"/>
          <w:sz w:val="24"/>
          <w:szCs w:val="24"/>
        </w:rPr>
      </w:pPr>
      <w:r>
        <w:rPr>
          <w:rFonts w:ascii="Arial" w:hAnsi="Arial" w:cs="Arial"/>
          <w:sz w:val="24"/>
          <w:szCs w:val="24"/>
        </w:rPr>
        <w:t xml:space="preserve">Como já mencionado, </w:t>
      </w:r>
      <w:r w:rsidRPr="009E4949">
        <w:rPr>
          <w:rFonts w:ascii="Arial" w:hAnsi="Arial" w:cs="Arial"/>
          <w:b/>
          <w:sz w:val="24"/>
          <w:szCs w:val="24"/>
        </w:rPr>
        <w:t>o STF tem sido o palco de grandes discussões referentes aos incentivos fiscais</w:t>
      </w:r>
      <w:r>
        <w:rPr>
          <w:rFonts w:ascii="Arial" w:hAnsi="Arial" w:cs="Arial"/>
          <w:sz w:val="24"/>
          <w:szCs w:val="24"/>
        </w:rPr>
        <w:t xml:space="preserve">, </w:t>
      </w:r>
      <w:r w:rsidR="004A370D">
        <w:rPr>
          <w:rFonts w:ascii="Arial" w:hAnsi="Arial" w:cs="Arial"/>
          <w:sz w:val="24"/>
          <w:szCs w:val="24"/>
        </w:rPr>
        <w:t>tais</w:t>
      </w:r>
      <w:r>
        <w:rPr>
          <w:rFonts w:ascii="Arial" w:hAnsi="Arial" w:cs="Arial"/>
          <w:sz w:val="24"/>
          <w:szCs w:val="24"/>
        </w:rPr>
        <w:t xml:space="preserve"> como</w:t>
      </w:r>
      <w:r w:rsidR="009E4949">
        <w:rPr>
          <w:rFonts w:ascii="Arial" w:hAnsi="Arial" w:cs="Arial"/>
          <w:sz w:val="24"/>
          <w:szCs w:val="24"/>
        </w:rPr>
        <w:t xml:space="preserve"> a</w:t>
      </w:r>
      <w:r w:rsidR="004A370D">
        <w:rPr>
          <w:rFonts w:ascii="Arial" w:hAnsi="Arial" w:cs="Arial"/>
          <w:sz w:val="24"/>
          <w:szCs w:val="24"/>
        </w:rPr>
        <w:t xml:space="preserve">: </w:t>
      </w:r>
      <w:r w:rsidR="004A370D" w:rsidRPr="004A370D">
        <w:rPr>
          <w:rFonts w:ascii="Arial" w:hAnsi="Arial" w:cs="Arial"/>
          <w:sz w:val="24"/>
          <w:szCs w:val="24"/>
          <w:u w:val="single"/>
        </w:rPr>
        <w:t>a)</w:t>
      </w:r>
      <w:r w:rsidRPr="004A370D">
        <w:rPr>
          <w:rFonts w:ascii="Arial" w:hAnsi="Arial" w:cs="Arial"/>
          <w:sz w:val="24"/>
          <w:szCs w:val="24"/>
          <w:u w:val="single"/>
        </w:rPr>
        <w:t xml:space="preserve"> declaração de inconstitucionalidade de leis estaduais sem modulação de efeitos</w:t>
      </w:r>
      <w:r>
        <w:rPr>
          <w:rFonts w:ascii="Arial" w:hAnsi="Arial" w:cs="Arial"/>
          <w:sz w:val="24"/>
          <w:szCs w:val="24"/>
        </w:rPr>
        <w:t>, por descumprimento da exigência de prévio convênio do Confaz (</w:t>
      </w:r>
      <w:r w:rsidR="004A370D" w:rsidRPr="004A370D">
        <w:rPr>
          <w:rFonts w:ascii="Arial" w:hAnsi="Arial" w:cs="Arial"/>
          <w:sz w:val="24"/>
          <w:szCs w:val="24"/>
        </w:rPr>
        <w:t>ADI</w:t>
      </w:r>
      <w:r w:rsidR="004A370D">
        <w:rPr>
          <w:rFonts w:ascii="Arial" w:hAnsi="Arial" w:cs="Arial"/>
          <w:sz w:val="24"/>
          <w:szCs w:val="24"/>
        </w:rPr>
        <w:t xml:space="preserve"> nºs</w:t>
      </w:r>
      <w:r w:rsidR="004A370D" w:rsidRPr="004A370D">
        <w:rPr>
          <w:rFonts w:ascii="Arial" w:hAnsi="Arial" w:cs="Arial"/>
          <w:sz w:val="24"/>
          <w:szCs w:val="24"/>
        </w:rPr>
        <w:t xml:space="preserve"> 3.794/PR</w:t>
      </w:r>
      <w:r w:rsidR="004A370D">
        <w:rPr>
          <w:rFonts w:ascii="Arial" w:hAnsi="Arial" w:cs="Arial"/>
          <w:sz w:val="24"/>
          <w:szCs w:val="24"/>
        </w:rPr>
        <w:t xml:space="preserve">, </w:t>
      </w:r>
      <w:r w:rsidR="004A370D" w:rsidRPr="004A370D">
        <w:rPr>
          <w:rFonts w:ascii="Arial" w:hAnsi="Arial" w:cs="Arial"/>
          <w:sz w:val="24"/>
          <w:szCs w:val="24"/>
        </w:rPr>
        <w:t xml:space="preserve">3.674/RJ, 2.376/RJ, 3.664/RJ, 1.247/PA, 3.803/PR, </w:t>
      </w:r>
      <w:r w:rsidR="004A370D" w:rsidRPr="004A370D">
        <w:rPr>
          <w:rFonts w:ascii="Arial" w:hAnsi="Arial" w:cs="Arial"/>
          <w:bCs/>
          <w:sz w:val="24"/>
          <w:szCs w:val="24"/>
        </w:rPr>
        <w:t>2.688/PR</w:t>
      </w:r>
      <w:r w:rsidR="004A370D" w:rsidRPr="004A370D">
        <w:rPr>
          <w:rFonts w:ascii="Arial" w:hAnsi="Arial" w:cs="Arial"/>
          <w:sz w:val="24"/>
          <w:szCs w:val="24"/>
        </w:rPr>
        <w:t xml:space="preserve">, 4.152/SP, 2.549/DF, </w:t>
      </w:r>
      <w:r w:rsidR="004A370D" w:rsidRPr="004A370D">
        <w:rPr>
          <w:rFonts w:ascii="Arial" w:hAnsi="Arial" w:cs="Arial"/>
          <w:bCs/>
          <w:sz w:val="24"/>
          <w:szCs w:val="24"/>
        </w:rPr>
        <w:t>e 3.702/ES</w:t>
      </w:r>
      <w:r>
        <w:rPr>
          <w:rFonts w:ascii="Arial" w:hAnsi="Arial" w:cs="Arial"/>
          <w:sz w:val="24"/>
          <w:szCs w:val="24"/>
        </w:rPr>
        <w:t xml:space="preserve">); </w:t>
      </w:r>
      <w:r w:rsidR="004A370D" w:rsidRPr="009E4949">
        <w:rPr>
          <w:rFonts w:ascii="Arial" w:hAnsi="Arial" w:cs="Arial"/>
          <w:sz w:val="24"/>
          <w:szCs w:val="24"/>
          <w:u w:val="single"/>
        </w:rPr>
        <w:t xml:space="preserve">b) </w:t>
      </w:r>
      <w:r w:rsidRPr="009E4949">
        <w:rPr>
          <w:rFonts w:ascii="Arial" w:hAnsi="Arial" w:cs="Arial"/>
          <w:sz w:val="24"/>
          <w:szCs w:val="24"/>
          <w:u w:val="single"/>
        </w:rPr>
        <w:t xml:space="preserve">(im)possibilidade de </w:t>
      </w:r>
      <w:r w:rsidR="004A370D" w:rsidRPr="009E4949">
        <w:rPr>
          <w:rFonts w:ascii="Arial" w:hAnsi="Arial" w:cs="Arial"/>
          <w:sz w:val="24"/>
          <w:szCs w:val="24"/>
          <w:u w:val="single"/>
        </w:rPr>
        <w:t>as unidades federadas concederem-se remissão recíproca</w:t>
      </w:r>
      <w:r w:rsidR="009E4949">
        <w:rPr>
          <w:rFonts w:ascii="Arial" w:hAnsi="Arial" w:cs="Arial"/>
          <w:sz w:val="24"/>
          <w:szCs w:val="24"/>
          <w:u w:val="single"/>
        </w:rPr>
        <w:t xml:space="preserve"> mediante posterior convênio do </w:t>
      </w:r>
      <w:r w:rsidR="009E4949">
        <w:rPr>
          <w:rFonts w:ascii="Arial" w:hAnsi="Arial" w:cs="Arial"/>
          <w:sz w:val="24"/>
          <w:szCs w:val="24"/>
          <w:u w:val="single"/>
        </w:rPr>
        <w:lastRenderedPageBreak/>
        <w:t>Confaz</w:t>
      </w:r>
      <w:r w:rsidR="009E4949">
        <w:rPr>
          <w:rFonts w:ascii="Arial" w:hAnsi="Arial" w:cs="Arial"/>
          <w:sz w:val="24"/>
          <w:szCs w:val="24"/>
        </w:rPr>
        <w:t>,</w:t>
      </w:r>
      <w:r w:rsidR="004A370D">
        <w:rPr>
          <w:rFonts w:ascii="Arial" w:hAnsi="Arial" w:cs="Arial"/>
          <w:sz w:val="24"/>
          <w:szCs w:val="24"/>
        </w:rPr>
        <w:t xml:space="preserve"> em razão d</w:t>
      </w:r>
      <w:r w:rsidR="009E4949">
        <w:rPr>
          <w:rFonts w:ascii="Arial" w:hAnsi="Arial" w:cs="Arial"/>
          <w:sz w:val="24"/>
          <w:szCs w:val="24"/>
        </w:rPr>
        <w:t>a declaração judicial de inconstitucionalidade d</w:t>
      </w:r>
      <w:r w:rsidR="004A370D">
        <w:rPr>
          <w:rFonts w:ascii="Arial" w:hAnsi="Arial" w:cs="Arial"/>
          <w:sz w:val="24"/>
          <w:szCs w:val="24"/>
        </w:rPr>
        <w:t>e incentivos fiscais concedidos à revelia de prévio convênio do Confaz (</w:t>
      </w:r>
      <w:r w:rsidR="004A370D" w:rsidRPr="004A370D">
        <w:rPr>
          <w:rFonts w:ascii="Arial" w:hAnsi="Arial" w:cs="Arial"/>
          <w:sz w:val="24"/>
          <w:szCs w:val="24"/>
        </w:rPr>
        <w:t>RE</w:t>
      </w:r>
      <w:r w:rsidR="004A370D">
        <w:rPr>
          <w:rFonts w:ascii="Arial" w:hAnsi="Arial" w:cs="Arial"/>
          <w:sz w:val="24"/>
          <w:szCs w:val="24"/>
        </w:rPr>
        <w:t xml:space="preserve"> nº</w:t>
      </w:r>
      <w:r w:rsidR="004A370D" w:rsidRPr="004A370D">
        <w:rPr>
          <w:rFonts w:ascii="Arial" w:hAnsi="Arial" w:cs="Arial"/>
          <w:sz w:val="24"/>
          <w:szCs w:val="24"/>
        </w:rPr>
        <w:t xml:space="preserve"> 851.421/DF</w:t>
      </w:r>
      <w:r w:rsidR="004A370D">
        <w:rPr>
          <w:rFonts w:ascii="Arial" w:hAnsi="Arial" w:cs="Arial"/>
          <w:sz w:val="24"/>
          <w:szCs w:val="24"/>
        </w:rPr>
        <w:t>, com repercussão geral reconhecida)</w:t>
      </w:r>
      <w:r>
        <w:rPr>
          <w:rFonts w:ascii="Arial" w:hAnsi="Arial" w:cs="Arial"/>
          <w:sz w:val="24"/>
          <w:szCs w:val="24"/>
        </w:rPr>
        <w:t xml:space="preserve">; </w:t>
      </w:r>
      <w:r w:rsidR="004A370D" w:rsidRPr="009E4949">
        <w:rPr>
          <w:rFonts w:ascii="Arial" w:hAnsi="Arial" w:cs="Arial"/>
          <w:sz w:val="24"/>
          <w:szCs w:val="24"/>
          <w:u w:val="single"/>
        </w:rPr>
        <w:t xml:space="preserve">c) </w:t>
      </w:r>
      <w:r w:rsidR="009E4949" w:rsidRPr="009E4949">
        <w:rPr>
          <w:rFonts w:ascii="Arial" w:hAnsi="Arial" w:cs="Arial"/>
          <w:sz w:val="24"/>
          <w:szCs w:val="24"/>
          <w:u w:val="single"/>
        </w:rPr>
        <w:t>constitucionalidade da própria LC nº 160/2019 e do correlato Convênio nº 190/2017 do Confaz</w:t>
      </w:r>
      <w:r w:rsidR="009E4949">
        <w:rPr>
          <w:rFonts w:ascii="Arial" w:hAnsi="Arial" w:cs="Arial"/>
          <w:sz w:val="24"/>
          <w:szCs w:val="24"/>
        </w:rPr>
        <w:t>, que a regulamenta, por permitir que as unidades federadas contornem, pela via legislativa</w:t>
      </w:r>
      <w:r w:rsidR="001E7BE1">
        <w:rPr>
          <w:rFonts w:ascii="Arial" w:hAnsi="Arial" w:cs="Arial"/>
          <w:sz w:val="24"/>
          <w:szCs w:val="24"/>
        </w:rPr>
        <w:t xml:space="preserve"> e normativa</w:t>
      </w:r>
      <w:r w:rsidR="009E4949">
        <w:rPr>
          <w:rFonts w:ascii="Arial" w:hAnsi="Arial" w:cs="Arial"/>
          <w:sz w:val="24"/>
          <w:szCs w:val="24"/>
        </w:rPr>
        <w:t>, a concessão irregular de incentivos fiscais relativos ao ICMS</w:t>
      </w:r>
      <w:r w:rsidR="001E7BE1">
        <w:rPr>
          <w:rFonts w:ascii="Arial" w:hAnsi="Arial" w:cs="Arial"/>
          <w:sz w:val="24"/>
          <w:szCs w:val="24"/>
        </w:rPr>
        <w:t xml:space="preserve"> (ADI </w:t>
      </w:r>
      <w:r w:rsidR="00546556">
        <w:rPr>
          <w:rFonts w:ascii="Arial" w:hAnsi="Arial" w:cs="Arial"/>
          <w:sz w:val="24"/>
          <w:szCs w:val="24"/>
        </w:rPr>
        <w:t xml:space="preserve">nº </w:t>
      </w:r>
      <w:r w:rsidR="001E7BE1">
        <w:rPr>
          <w:rFonts w:ascii="Arial" w:hAnsi="Arial" w:cs="Arial"/>
          <w:sz w:val="24"/>
          <w:szCs w:val="24"/>
        </w:rPr>
        <w:t>5902/AM)</w:t>
      </w:r>
      <w:r w:rsidR="009E4949">
        <w:rPr>
          <w:rFonts w:ascii="Arial" w:hAnsi="Arial" w:cs="Arial"/>
          <w:sz w:val="24"/>
          <w:szCs w:val="24"/>
        </w:rPr>
        <w:t>.</w:t>
      </w:r>
    </w:p>
    <w:p w14:paraId="1AA270A9" w14:textId="77777777" w:rsidR="00C4631F" w:rsidRDefault="001E7BE1" w:rsidP="002F40BA">
      <w:pPr>
        <w:spacing w:line="360" w:lineRule="auto"/>
        <w:ind w:firstLine="851"/>
        <w:jc w:val="both"/>
        <w:rPr>
          <w:rFonts w:ascii="Arial" w:hAnsi="Arial" w:cs="Arial"/>
          <w:sz w:val="24"/>
          <w:szCs w:val="24"/>
        </w:rPr>
      </w:pPr>
      <w:r>
        <w:rPr>
          <w:rFonts w:ascii="Arial" w:hAnsi="Arial" w:cs="Arial"/>
          <w:sz w:val="24"/>
          <w:szCs w:val="24"/>
        </w:rPr>
        <w:t xml:space="preserve">Especificamente no que se refere </w:t>
      </w:r>
      <w:r w:rsidR="003C416A">
        <w:rPr>
          <w:rFonts w:ascii="Arial" w:hAnsi="Arial" w:cs="Arial"/>
          <w:sz w:val="24"/>
          <w:szCs w:val="24"/>
        </w:rPr>
        <w:t>à realidade estadual</w:t>
      </w:r>
      <w:r>
        <w:rPr>
          <w:rFonts w:ascii="Arial" w:hAnsi="Arial" w:cs="Arial"/>
          <w:sz w:val="24"/>
          <w:szCs w:val="24"/>
        </w:rPr>
        <w:t xml:space="preserve">, encontra-se em </w:t>
      </w:r>
      <w:r w:rsidRPr="003C416A">
        <w:rPr>
          <w:rFonts w:ascii="Arial" w:hAnsi="Arial" w:cs="Arial"/>
          <w:b/>
          <w:sz w:val="24"/>
          <w:szCs w:val="24"/>
        </w:rPr>
        <w:t>discussão no STF, há quase 2 (duas) décadas, uma ação de extrema relevância para o Estado</w:t>
      </w:r>
      <w:r w:rsidR="003C416A">
        <w:rPr>
          <w:rFonts w:ascii="Arial" w:hAnsi="Arial" w:cs="Arial"/>
          <w:b/>
          <w:sz w:val="24"/>
          <w:szCs w:val="24"/>
        </w:rPr>
        <w:t xml:space="preserve"> de Goiás – e também uma das mais antigas – </w:t>
      </w:r>
      <w:r w:rsidRPr="003C416A">
        <w:rPr>
          <w:rFonts w:ascii="Arial" w:hAnsi="Arial" w:cs="Arial"/>
          <w:b/>
          <w:sz w:val="24"/>
          <w:szCs w:val="24"/>
        </w:rPr>
        <w:t xml:space="preserve"> que é a </w:t>
      </w:r>
      <w:r w:rsidR="002F40BA" w:rsidRPr="003C416A">
        <w:rPr>
          <w:rFonts w:ascii="Arial" w:hAnsi="Arial" w:cs="Arial"/>
          <w:b/>
          <w:sz w:val="24"/>
          <w:szCs w:val="24"/>
        </w:rPr>
        <w:t>ADI</w:t>
      </w:r>
      <w:r w:rsidR="003C416A">
        <w:rPr>
          <w:rFonts w:ascii="Arial" w:hAnsi="Arial" w:cs="Arial"/>
          <w:b/>
          <w:sz w:val="24"/>
          <w:szCs w:val="24"/>
        </w:rPr>
        <w:t xml:space="preserve"> nº</w:t>
      </w:r>
      <w:r w:rsidR="002F40BA" w:rsidRPr="003C416A">
        <w:rPr>
          <w:rFonts w:ascii="Arial" w:hAnsi="Arial" w:cs="Arial"/>
          <w:b/>
          <w:sz w:val="24"/>
          <w:szCs w:val="24"/>
        </w:rPr>
        <w:t xml:space="preserve"> 2</w:t>
      </w:r>
      <w:r w:rsidR="003C416A">
        <w:rPr>
          <w:rFonts w:ascii="Arial" w:hAnsi="Arial" w:cs="Arial"/>
          <w:b/>
          <w:sz w:val="24"/>
          <w:szCs w:val="24"/>
        </w:rPr>
        <w:t>.</w:t>
      </w:r>
      <w:r w:rsidR="002F40BA" w:rsidRPr="003C416A">
        <w:rPr>
          <w:rFonts w:ascii="Arial" w:hAnsi="Arial" w:cs="Arial"/>
          <w:b/>
          <w:sz w:val="24"/>
          <w:szCs w:val="24"/>
        </w:rPr>
        <w:t>441/GO</w:t>
      </w:r>
      <w:r w:rsidRPr="001E7BE1">
        <w:rPr>
          <w:rFonts w:ascii="Arial" w:hAnsi="Arial" w:cs="Arial"/>
          <w:sz w:val="24"/>
          <w:szCs w:val="24"/>
        </w:rPr>
        <w:t>, atualmente sob a relatoria da Ministra Rosa Weber</w:t>
      </w:r>
      <w:r w:rsidR="003C416A">
        <w:rPr>
          <w:rFonts w:ascii="Arial" w:hAnsi="Arial" w:cs="Arial"/>
          <w:sz w:val="24"/>
          <w:szCs w:val="24"/>
        </w:rPr>
        <w:t xml:space="preserve">. </w:t>
      </w:r>
    </w:p>
    <w:p w14:paraId="3EBE398A" w14:textId="7C676C79" w:rsidR="003C416A" w:rsidRDefault="003C416A" w:rsidP="00DC3E41">
      <w:pPr>
        <w:spacing w:line="360" w:lineRule="auto"/>
        <w:ind w:firstLine="851"/>
        <w:jc w:val="both"/>
        <w:rPr>
          <w:rFonts w:ascii="Arial" w:hAnsi="Arial" w:cs="Arial"/>
          <w:sz w:val="24"/>
          <w:szCs w:val="24"/>
        </w:rPr>
      </w:pPr>
      <w:r w:rsidRPr="00260ABB">
        <w:rPr>
          <w:rFonts w:ascii="Arial" w:hAnsi="Arial" w:cs="Arial"/>
          <w:b/>
          <w:sz w:val="24"/>
          <w:szCs w:val="24"/>
        </w:rPr>
        <w:t xml:space="preserve">Referida ação foi ajuizada </w:t>
      </w:r>
      <w:r w:rsidR="00C4631F" w:rsidRPr="00260ABB">
        <w:rPr>
          <w:rFonts w:ascii="Arial" w:hAnsi="Arial" w:cs="Arial"/>
          <w:b/>
          <w:sz w:val="24"/>
          <w:szCs w:val="24"/>
        </w:rPr>
        <w:t xml:space="preserve">pelo Estado de São Paulo </w:t>
      </w:r>
      <w:r w:rsidR="00CF26FC" w:rsidRPr="00260ABB">
        <w:rPr>
          <w:rFonts w:ascii="Arial" w:hAnsi="Arial" w:cs="Arial"/>
          <w:b/>
          <w:sz w:val="24"/>
          <w:szCs w:val="24"/>
        </w:rPr>
        <w:t xml:space="preserve">e questiona a constitucionalidade de diversas leis </w:t>
      </w:r>
      <w:r w:rsidR="00C4631F" w:rsidRPr="00260ABB">
        <w:rPr>
          <w:rFonts w:ascii="Arial" w:hAnsi="Arial" w:cs="Arial"/>
          <w:b/>
          <w:sz w:val="24"/>
          <w:szCs w:val="24"/>
        </w:rPr>
        <w:t xml:space="preserve">do Estado de Goiás </w:t>
      </w:r>
      <w:r w:rsidR="00C4631F" w:rsidRPr="00260ABB">
        <w:rPr>
          <w:rFonts w:ascii="Arial" w:hAnsi="Arial" w:cs="Arial"/>
          <w:sz w:val="24"/>
          <w:szCs w:val="24"/>
        </w:rPr>
        <w:t>relativas a incentivos fiscais de ICMS concedidos sem</w:t>
      </w:r>
      <w:r w:rsidR="00CF26FC" w:rsidRPr="00260ABB">
        <w:rPr>
          <w:rFonts w:ascii="Arial" w:hAnsi="Arial" w:cs="Arial"/>
          <w:sz w:val="24"/>
          <w:szCs w:val="24"/>
        </w:rPr>
        <w:t xml:space="preserve"> </w:t>
      </w:r>
      <w:r w:rsidR="00C4631F" w:rsidRPr="00260ABB">
        <w:rPr>
          <w:rFonts w:ascii="Arial" w:hAnsi="Arial" w:cs="Arial"/>
          <w:sz w:val="24"/>
          <w:szCs w:val="24"/>
        </w:rPr>
        <w:t>autorização do Confaz</w:t>
      </w:r>
      <w:r w:rsidR="00D15822" w:rsidRPr="00260ABB">
        <w:rPr>
          <w:rFonts w:ascii="Arial" w:hAnsi="Arial" w:cs="Arial"/>
          <w:sz w:val="24"/>
          <w:szCs w:val="24"/>
        </w:rPr>
        <w:t>, a saber</w:t>
      </w:r>
      <w:r w:rsidR="00D15822">
        <w:rPr>
          <w:rFonts w:ascii="Arial" w:hAnsi="Arial" w:cs="Arial"/>
          <w:sz w:val="24"/>
          <w:szCs w:val="24"/>
        </w:rPr>
        <w:t xml:space="preserve">, </w:t>
      </w:r>
      <w:r w:rsidR="00DC3E41">
        <w:rPr>
          <w:rFonts w:ascii="Arial" w:hAnsi="Arial" w:cs="Arial"/>
          <w:sz w:val="24"/>
          <w:szCs w:val="24"/>
        </w:rPr>
        <w:t xml:space="preserve">as </w:t>
      </w:r>
      <w:r w:rsidR="00DC3E41" w:rsidRPr="00DC3E41">
        <w:rPr>
          <w:rFonts w:ascii="Arial" w:hAnsi="Arial" w:cs="Arial"/>
          <w:sz w:val="24"/>
          <w:szCs w:val="24"/>
        </w:rPr>
        <w:t xml:space="preserve">Leis </w:t>
      </w:r>
      <w:r w:rsidR="00DC3E41">
        <w:rPr>
          <w:rFonts w:ascii="Arial" w:hAnsi="Arial" w:cs="Arial"/>
          <w:sz w:val="24"/>
          <w:szCs w:val="24"/>
        </w:rPr>
        <w:t xml:space="preserve">nºs </w:t>
      </w:r>
      <w:r w:rsidR="00DC3E41" w:rsidRPr="00DC3E41">
        <w:rPr>
          <w:rFonts w:ascii="Arial" w:hAnsi="Arial" w:cs="Arial"/>
          <w:sz w:val="24"/>
          <w:szCs w:val="24"/>
        </w:rPr>
        <w:t>9.489/1984, 11.180/1990,</w:t>
      </w:r>
      <w:r w:rsidR="00DC3E41">
        <w:rPr>
          <w:rFonts w:ascii="Arial" w:hAnsi="Arial" w:cs="Arial"/>
          <w:sz w:val="24"/>
          <w:szCs w:val="24"/>
        </w:rPr>
        <w:t xml:space="preserve"> </w:t>
      </w:r>
      <w:r w:rsidR="00DC3E41" w:rsidRPr="00DC3E41">
        <w:rPr>
          <w:rFonts w:ascii="Arial" w:hAnsi="Arial" w:cs="Arial"/>
          <w:sz w:val="24"/>
          <w:szCs w:val="24"/>
        </w:rPr>
        <w:t>11.660/1991, 12.181/1993</w:t>
      </w:r>
      <w:r w:rsidR="00DC3E41" w:rsidRPr="00CF60F2">
        <w:rPr>
          <w:rFonts w:ascii="Arial" w:hAnsi="Arial" w:cs="Arial"/>
          <w:sz w:val="24"/>
          <w:szCs w:val="24"/>
        </w:rPr>
        <w:t>, 12.425/1994, 12.855/1996, 13.213/1997, 13.246/1998, 13.436/1998, 13.533/1999, 13.581/2000 e 13.591/2000, e dos Decretos estaduais nºs 3.822/1992, 4.419/1995, 4.756/1997, 4.989/1998,</w:t>
      </w:r>
      <w:r w:rsidR="00DC3E41" w:rsidRPr="00DC3E41">
        <w:rPr>
          <w:rFonts w:ascii="Arial" w:hAnsi="Arial" w:cs="Arial"/>
          <w:sz w:val="24"/>
          <w:szCs w:val="24"/>
        </w:rPr>
        <w:t xml:space="preserve"> 5.036/1999 e 5.265/2000, que versam sobre o Fundo de Participação e Fomento à Industrialização do</w:t>
      </w:r>
      <w:r w:rsidR="00DC3E41">
        <w:rPr>
          <w:rFonts w:ascii="Arial" w:hAnsi="Arial" w:cs="Arial"/>
          <w:sz w:val="24"/>
          <w:szCs w:val="24"/>
        </w:rPr>
        <w:t xml:space="preserve"> </w:t>
      </w:r>
      <w:r w:rsidR="00DC3E41" w:rsidRPr="00DC3E41">
        <w:rPr>
          <w:rFonts w:ascii="Arial" w:hAnsi="Arial" w:cs="Arial"/>
          <w:sz w:val="24"/>
          <w:szCs w:val="24"/>
        </w:rPr>
        <w:t xml:space="preserve">Estado de Goiás – </w:t>
      </w:r>
      <w:r w:rsidR="00DC3E41" w:rsidRPr="00260ABB">
        <w:rPr>
          <w:rFonts w:ascii="Arial" w:hAnsi="Arial" w:cs="Arial"/>
          <w:sz w:val="24"/>
          <w:szCs w:val="24"/>
          <w:u w:val="single"/>
        </w:rPr>
        <w:t>FOMENTAR</w:t>
      </w:r>
      <w:r w:rsidR="00DC3E41" w:rsidRPr="00DC3E41">
        <w:rPr>
          <w:rFonts w:ascii="Arial" w:hAnsi="Arial" w:cs="Arial"/>
          <w:sz w:val="24"/>
          <w:szCs w:val="24"/>
        </w:rPr>
        <w:t xml:space="preserve"> e sobre o Programa de Desenvolvimento Industrial do</w:t>
      </w:r>
      <w:r w:rsidR="00DC3E41">
        <w:rPr>
          <w:rFonts w:ascii="Arial" w:hAnsi="Arial" w:cs="Arial"/>
          <w:sz w:val="24"/>
          <w:szCs w:val="24"/>
        </w:rPr>
        <w:t xml:space="preserve"> </w:t>
      </w:r>
      <w:r w:rsidR="00DC3E41" w:rsidRPr="00DC3E41">
        <w:rPr>
          <w:rFonts w:ascii="Arial" w:hAnsi="Arial" w:cs="Arial"/>
          <w:sz w:val="24"/>
          <w:szCs w:val="24"/>
        </w:rPr>
        <w:t xml:space="preserve">Estado de Goiás – </w:t>
      </w:r>
      <w:r w:rsidR="00DC3E41" w:rsidRPr="00260ABB">
        <w:rPr>
          <w:rFonts w:ascii="Arial" w:hAnsi="Arial" w:cs="Arial"/>
          <w:sz w:val="24"/>
          <w:szCs w:val="24"/>
          <w:u w:val="single"/>
        </w:rPr>
        <w:t>PRODUZIR</w:t>
      </w:r>
      <w:r w:rsidR="00DC3E41" w:rsidRPr="00DC3E41">
        <w:rPr>
          <w:rFonts w:ascii="Arial" w:hAnsi="Arial" w:cs="Arial"/>
          <w:sz w:val="24"/>
          <w:szCs w:val="24"/>
        </w:rPr>
        <w:t>.</w:t>
      </w:r>
      <w:r w:rsidR="00CF60F2">
        <w:rPr>
          <w:rStyle w:val="Refdenotaderodap"/>
          <w:rFonts w:ascii="Arial" w:hAnsi="Arial" w:cs="Arial"/>
          <w:sz w:val="24"/>
          <w:szCs w:val="24"/>
        </w:rPr>
        <w:footnoteReference w:id="19"/>
      </w:r>
    </w:p>
    <w:p w14:paraId="4BF804DE" w14:textId="272C13DB" w:rsidR="00546556" w:rsidRDefault="00546556" w:rsidP="002F40BA">
      <w:pPr>
        <w:spacing w:line="360" w:lineRule="auto"/>
        <w:ind w:firstLine="851"/>
        <w:jc w:val="both"/>
        <w:rPr>
          <w:rFonts w:ascii="Arial" w:hAnsi="Arial" w:cs="Arial"/>
          <w:sz w:val="24"/>
          <w:szCs w:val="24"/>
        </w:rPr>
      </w:pPr>
      <w:r>
        <w:rPr>
          <w:rFonts w:ascii="Arial" w:hAnsi="Arial" w:cs="Arial"/>
          <w:sz w:val="24"/>
          <w:szCs w:val="24"/>
        </w:rPr>
        <w:t xml:space="preserve">Ante a </w:t>
      </w:r>
      <w:r w:rsidRPr="00546556">
        <w:rPr>
          <w:rFonts w:ascii="Arial" w:hAnsi="Arial" w:cs="Arial"/>
          <w:b/>
          <w:sz w:val="24"/>
          <w:szCs w:val="24"/>
        </w:rPr>
        <w:t xml:space="preserve">superveniência das Leis nºs 20.367/2018 e 20.368/2018, o caminho natural </w:t>
      </w:r>
      <w:r w:rsidR="00FA790A">
        <w:rPr>
          <w:rFonts w:ascii="Arial" w:hAnsi="Arial" w:cs="Arial"/>
          <w:b/>
          <w:sz w:val="24"/>
          <w:szCs w:val="24"/>
        </w:rPr>
        <w:t>para</w:t>
      </w:r>
      <w:r w:rsidRPr="00546556">
        <w:rPr>
          <w:rFonts w:ascii="Arial" w:hAnsi="Arial" w:cs="Arial"/>
          <w:b/>
          <w:sz w:val="24"/>
          <w:szCs w:val="24"/>
        </w:rPr>
        <w:t xml:space="preserve"> referida ADI seria a decisão no sentido da prejudicialidade por perda de objeto</w:t>
      </w:r>
      <w:r>
        <w:rPr>
          <w:rFonts w:ascii="Arial" w:hAnsi="Arial" w:cs="Arial"/>
          <w:sz w:val="24"/>
          <w:szCs w:val="24"/>
        </w:rPr>
        <w:t xml:space="preserve">, uma vez que todas as leis questionadas foram convalidadas e remitidos/anistiados os efeitos pretéritos referentes aos benefícios concedidos, nos termos da LC nº 160/2017, do Convênio nº 190/2017 do Confaz. </w:t>
      </w:r>
      <w:r w:rsidRPr="00546556">
        <w:rPr>
          <w:rFonts w:ascii="Arial" w:hAnsi="Arial" w:cs="Arial"/>
          <w:sz w:val="24"/>
          <w:szCs w:val="24"/>
          <w:u w:val="single"/>
        </w:rPr>
        <w:t>Contudo, ante o questionamento acerca da constitucionalidade desse último diploma legal</w:t>
      </w:r>
      <w:r>
        <w:rPr>
          <w:rFonts w:ascii="Arial" w:hAnsi="Arial" w:cs="Arial"/>
          <w:sz w:val="24"/>
          <w:szCs w:val="24"/>
        </w:rPr>
        <w:t xml:space="preserve"> – e, por conseguinte, do respectivo convênio regulamentador – tanto a Procuradoria-Geral da República (PGR) como o próprio autor da ação (Estado de São Paulo) peticionaram nos autos da aludida ADI </w:t>
      </w:r>
      <w:r w:rsidR="002A7C01">
        <w:rPr>
          <w:rFonts w:ascii="Arial" w:hAnsi="Arial" w:cs="Arial"/>
          <w:sz w:val="24"/>
          <w:szCs w:val="24"/>
        </w:rPr>
        <w:t xml:space="preserve">para pleitearem </w:t>
      </w:r>
      <w:r>
        <w:rPr>
          <w:rFonts w:ascii="Arial" w:hAnsi="Arial" w:cs="Arial"/>
          <w:sz w:val="24"/>
          <w:szCs w:val="24"/>
        </w:rPr>
        <w:t xml:space="preserve">a </w:t>
      </w:r>
      <w:r w:rsidRPr="00546556">
        <w:rPr>
          <w:rFonts w:ascii="Arial" w:hAnsi="Arial" w:cs="Arial"/>
          <w:sz w:val="24"/>
          <w:szCs w:val="24"/>
          <w:u w:val="single"/>
        </w:rPr>
        <w:t xml:space="preserve">suspensão do julgamento até a decisão final </w:t>
      </w:r>
      <w:r>
        <w:rPr>
          <w:rFonts w:ascii="Arial" w:hAnsi="Arial" w:cs="Arial"/>
          <w:sz w:val="24"/>
          <w:szCs w:val="24"/>
          <w:u w:val="single"/>
        </w:rPr>
        <w:t xml:space="preserve">a ser </w:t>
      </w:r>
      <w:r w:rsidRPr="00546556">
        <w:rPr>
          <w:rFonts w:ascii="Arial" w:hAnsi="Arial" w:cs="Arial"/>
          <w:sz w:val="24"/>
          <w:szCs w:val="24"/>
          <w:u w:val="single"/>
        </w:rPr>
        <w:t>proferida na ADI nº 5</w:t>
      </w:r>
      <w:r w:rsidR="00FD1056">
        <w:rPr>
          <w:rFonts w:ascii="Arial" w:hAnsi="Arial" w:cs="Arial"/>
          <w:sz w:val="24"/>
          <w:szCs w:val="24"/>
          <w:u w:val="single"/>
        </w:rPr>
        <w:t>.</w:t>
      </w:r>
      <w:r w:rsidRPr="00546556">
        <w:rPr>
          <w:rFonts w:ascii="Arial" w:hAnsi="Arial" w:cs="Arial"/>
          <w:sz w:val="24"/>
          <w:szCs w:val="24"/>
          <w:u w:val="single"/>
        </w:rPr>
        <w:t>902/AM</w:t>
      </w:r>
      <w:r w:rsidR="001F1D0A">
        <w:rPr>
          <w:rFonts w:ascii="Arial" w:hAnsi="Arial" w:cs="Arial"/>
          <w:sz w:val="24"/>
          <w:szCs w:val="24"/>
        </w:rPr>
        <w:t>, na qual questionada referida lei complementar federal</w:t>
      </w:r>
      <w:r>
        <w:rPr>
          <w:rFonts w:ascii="Arial" w:hAnsi="Arial" w:cs="Arial"/>
          <w:sz w:val="24"/>
          <w:szCs w:val="24"/>
        </w:rPr>
        <w:t>.</w:t>
      </w:r>
      <w:r w:rsidR="00FD1056">
        <w:rPr>
          <w:rFonts w:ascii="Arial" w:hAnsi="Arial" w:cs="Arial"/>
          <w:sz w:val="24"/>
          <w:szCs w:val="24"/>
        </w:rPr>
        <w:t xml:space="preserve"> </w:t>
      </w:r>
      <w:r w:rsidR="00FD1056">
        <w:rPr>
          <w:rFonts w:ascii="Arial" w:hAnsi="Arial" w:cs="Arial"/>
          <w:sz w:val="24"/>
          <w:szCs w:val="24"/>
        </w:rPr>
        <w:lastRenderedPageBreak/>
        <w:t>Em despacho datado de 01/08/2019, o relator da ADI 2.441/GO atendeu àqueles pedidos e suspendeu a respectiva tramitação</w:t>
      </w:r>
      <w:r w:rsidR="00FD1056" w:rsidRPr="00FD1056">
        <w:rPr>
          <w:rFonts w:ascii="Arial" w:hAnsi="Arial" w:cs="Arial"/>
          <w:sz w:val="24"/>
          <w:szCs w:val="24"/>
        </w:rPr>
        <w:t xml:space="preserve"> até </w:t>
      </w:r>
      <w:r w:rsidR="00FD1056">
        <w:rPr>
          <w:rFonts w:ascii="Arial" w:hAnsi="Arial" w:cs="Arial"/>
          <w:sz w:val="24"/>
          <w:szCs w:val="24"/>
        </w:rPr>
        <w:t xml:space="preserve">o </w:t>
      </w:r>
      <w:r w:rsidR="00FD1056" w:rsidRPr="00FD1056">
        <w:rPr>
          <w:rFonts w:ascii="Arial" w:hAnsi="Arial" w:cs="Arial"/>
          <w:sz w:val="24"/>
          <w:szCs w:val="24"/>
        </w:rPr>
        <w:t>final julgamento da citada ADI 5.902/</w:t>
      </w:r>
      <w:r w:rsidR="00246D11">
        <w:rPr>
          <w:rFonts w:ascii="Arial" w:hAnsi="Arial" w:cs="Arial"/>
          <w:sz w:val="24"/>
          <w:szCs w:val="24"/>
        </w:rPr>
        <w:t>AM</w:t>
      </w:r>
      <w:r w:rsidR="00FD1056" w:rsidRPr="00FD1056">
        <w:rPr>
          <w:rFonts w:ascii="Arial" w:hAnsi="Arial" w:cs="Arial"/>
          <w:sz w:val="24"/>
          <w:szCs w:val="24"/>
        </w:rPr>
        <w:t>. </w:t>
      </w:r>
    </w:p>
    <w:p w14:paraId="473575AC" w14:textId="77777777" w:rsidR="00121151" w:rsidRDefault="00121151" w:rsidP="00C30C86">
      <w:pPr>
        <w:spacing w:line="360" w:lineRule="auto"/>
        <w:ind w:firstLine="851"/>
        <w:jc w:val="both"/>
        <w:rPr>
          <w:rFonts w:ascii="Arial" w:hAnsi="Arial" w:cs="Arial"/>
          <w:sz w:val="24"/>
          <w:szCs w:val="24"/>
        </w:rPr>
      </w:pPr>
    </w:p>
    <w:p w14:paraId="6E853919" w14:textId="562C4876" w:rsidR="001964CE" w:rsidRPr="00121151" w:rsidRDefault="001964CE" w:rsidP="001964CE">
      <w:pPr>
        <w:spacing w:line="360" w:lineRule="auto"/>
        <w:ind w:firstLine="851"/>
        <w:jc w:val="both"/>
        <w:rPr>
          <w:rFonts w:ascii="Arial" w:hAnsi="Arial" w:cs="Arial"/>
          <w:b/>
          <w:sz w:val="24"/>
          <w:szCs w:val="24"/>
          <w:u w:val="single"/>
        </w:rPr>
      </w:pPr>
      <w:r w:rsidRPr="00121151">
        <w:rPr>
          <w:rFonts w:ascii="Arial" w:hAnsi="Arial" w:cs="Arial"/>
          <w:b/>
          <w:sz w:val="24"/>
          <w:szCs w:val="24"/>
          <w:u w:val="single"/>
        </w:rPr>
        <w:t>3.3.</w:t>
      </w:r>
      <w:r w:rsidR="00121151" w:rsidRPr="00121151">
        <w:rPr>
          <w:rFonts w:ascii="Arial" w:hAnsi="Arial" w:cs="Arial"/>
          <w:b/>
          <w:sz w:val="24"/>
          <w:szCs w:val="24"/>
          <w:u w:val="single"/>
        </w:rPr>
        <w:t>4</w:t>
      </w:r>
      <w:r w:rsidRPr="00121151">
        <w:rPr>
          <w:rFonts w:ascii="Arial" w:hAnsi="Arial" w:cs="Arial"/>
          <w:b/>
          <w:sz w:val="24"/>
          <w:szCs w:val="24"/>
          <w:u w:val="single"/>
        </w:rPr>
        <w:t xml:space="preserve"> </w:t>
      </w:r>
      <w:r w:rsidR="00AE6E05" w:rsidRPr="00AE6E05">
        <w:rPr>
          <w:rFonts w:ascii="Arial" w:hAnsi="Arial" w:cs="Arial"/>
          <w:b/>
          <w:sz w:val="24"/>
          <w:szCs w:val="24"/>
          <w:u w:val="single"/>
        </w:rPr>
        <w:t xml:space="preserve">– </w:t>
      </w:r>
      <w:r w:rsidR="00100CEE" w:rsidRPr="00121151">
        <w:rPr>
          <w:rFonts w:ascii="Arial" w:hAnsi="Arial" w:cs="Arial"/>
          <w:b/>
          <w:sz w:val="24"/>
          <w:szCs w:val="24"/>
          <w:u w:val="single"/>
        </w:rPr>
        <w:t>Atuação do Ministério Público do Estado de Goiás (MPGO)</w:t>
      </w:r>
    </w:p>
    <w:p w14:paraId="32DDAF67" w14:textId="77777777" w:rsidR="001964CE" w:rsidRDefault="001964CE" w:rsidP="00C30C86">
      <w:pPr>
        <w:spacing w:line="360" w:lineRule="auto"/>
        <w:ind w:firstLine="851"/>
        <w:jc w:val="both"/>
        <w:rPr>
          <w:rFonts w:ascii="Arial" w:hAnsi="Arial" w:cs="Arial"/>
          <w:sz w:val="24"/>
          <w:szCs w:val="24"/>
        </w:rPr>
      </w:pPr>
    </w:p>
    <w:p w14:paraId="114C0AA3" w14:textId="10C846C2" w:rsidR="00D31056" w:rsidRDefault="00A914E8" w:rsidP="00100CEE">
      <w:pPr>
        <w:spacing w:line="360" w:lineRule="auto"/>
        <w:ind w:firstLine="851"/>
        <w:jc w:val="both"/>
        <w:rPr>
          <w:rFonts w:ascii="Arial" w:hAnsi="Arial" w:cs="Arial"/>
          <w:sz w:val="24"/>
          <w:szCs w:val="24"/>
        </w:rPr>
      </w:pPr>
      <w:r w:rsidRPr="00146D8D">
        <w:rPr>
          <w:rFonts w:ascii="Arial" w:hAnsi="Arial" w:cs="Arial"/>
          <w:b/>
          <w:sz w:val="24"/>
          <w:szCs w:val="24"/>
        </w:rPr>
        <w:t>3.3.</w:t>
      </w:r>
      <w:r w:rsidR="00121151">
        <w:rPr>
          <w:rFonts w:ascii="Arial" w:hAnsi="Arial" w:cs="Arial"/>
          <w:b/>
          <w:sz w:val="24"/>
          <w:szCs w:val="24"/>
        </w:rPr>
        <w:t>4</w:t>
      </w:r>
      <w:r w:rsidR="00AE6E05">
        <w:rPr>
          <w:rFonts w:ascii="Arial" w:hAnsi="Arial" w:cs="Arial"/>
          <w:b/>
          <w:sz w:val="24"/>
          <w:szCs w:val="24"/>
        </w:rPr>
        <w:t>.1</w:t>
      </w:r>
      <w:r w:rsidR="00F143F0">
        <w:rPr>
          <w:rFonts w:ascii="Arial" w:hAnsi="Arial" w:cs="Arial"/>
          <w:b/>
          <w:sz w:val="24"/>
          <w:szCs w:val="24"/>
        </w:rPr>
        <w:t>.</w:t>
      </w:r>
      <w:r>
        <w:rPr>
          <w:rFonts w:ascii="Arial" w:hAnsi="Arial" w:cs="Arial"/>
          <w:b/>
          <w:i/>
          <w:sz w:val="24"/>
          <w:szCs w:val="24"/>
        </w:rPr>
        <w:t xml:space="preserve"> </w:t>
      </w:r>
      <w:r w:rsidR="00100CEE">
        <w:rPr>
          <w:rFonts w:ascii="Arial" w:hAnsi="Arial" w:cs="Arial"/>
          <w:sz w:val="24"/>
          <w:szCs w:val="24"/>
        </w:rPr>
        <w:t xml:space="preserve">Dentre os denominados órgãos de controle, </w:t>
      </w:r>
      <w:r w:rsidR="00100CEE" w:rsidRPr="00E6134F">
        <w:rPr>
          <w:rFonts w:ascii="Arial" w:hAnsi="Arial" w:cs="Arial"/>
          <w:b/>
          <w:sz w:val="24"/>
          <w:szCs w:val="24"/>
        </w:rPr>
        <w:t>o MPGO também passou recentemente a questionar determinadas leis concessivas de incentivos fiscais no Estado de Goiás</w:t>
      </w:r>
      <w:r w:rsidR="00100CEE">
        <w:rPr>
          <w:rFonts w:ascii="Arial" w:hAnsi="Arial" w:cs="Arial"/>
          <w:sz w:val="24"/>
          <w:szCs w:val="24"/>
        </w:rPr>
        <w:t xml:space="preserve">, </w:t>
      </w:r>
      <w:r w:rsidR="00E6134F">
        <w:rPr>
          <w:rFonts w:ascii="Arial" w:hAnsi="Arial" w:cs="Arial"/>
          <w:sz w:val="24"/>
          <w:szCs w:val="24"/>
        </w:rPr>
        <w:t>por meio de ações civis públicas por ato de improbidade administrativa</w:t>
      </w:r>
      <w:r w:rsidR="00D31056">
        <w:rPr>
          <w:rFonts w:ascii="Arial" w:hAnsi="Arial" w:cs="Arial"/>
          <w:sz w:val="24"/>
          <w:szCs w:val="24"/>
        </w:rPr>
        <w:t>,</w:t>
      </w:r>
      <w:r w:rsidR="00E6134F">
        <w:rPr>
          <w:rFonts w:ascii="Arial" w:hAnsi="Arial" w:cs="Arial"/>
          <w:sz w:val="24"/>
          <w:szCs w:val="24"/>
        </w:rPr>
        <w:t xml:space="preserve"> </w:t>
      </w:r>
      <w:r w:rsidR="00100CEE">
        <w:rPr>
          <w:rFonts w:ascii="Arial" w:hAnsi="Arial" w:cs="Arial"/>
          <w:sz w:val="24"/>
          <w:szCs w:val="24"/>
        </w:rPr>
        <w:t>ao argumento de afronta ao art. 14 da LRF</w:t>
      </w:r>
      <w:r w:rsidR="00D31056">
        <w:rPr>
          <w:rFonts w:ascii="Arial" w:hAnsi="Arial" w:cs="Arial"/>
          <w:sz w:val="24"/>
          <w:szCs w:val="24"/>
        </w:rPr>
        <w:t xml:space="preserve"> e desvio de finalidade.</w:t>
      </w:r>
      <w:r>
        <w:rPr>
          <w:rFonts w:ascii="Arial" w:hAnsi="Arial" w:cs="Arial"/>
          <w:sz w:val="24"/>
          <w:szCs w:val="24"/>
        </w:rPr>
        <w:t xml:space="preserve"> </w:t>
      </w:r>
      <w:r w:rsidR="00D31056">
        <w:rPr>
          <w:rFonts w:ascii="Arial" w:hAnsi="Arial" w:cs="Arial"/>
          <w:sz w:val="24"/>
          <w:szCs w:val="24"/>
        </w:rPr>
        <w:t xml:space="preserve">Até o momento, verifica-se o ajuizamento de </w:t>
      </w:r>
      <w:r w:rsidR="00D31056" w:rsidRPr="006B0D93">
        <w:rPr>
          <w:rFonts w:ascii="Arial" w:hAnsi="Arial" w:cs="Arial"/>
          <w:b/>
          <w:sz w:val="24"/>
          <w:szCs w:val="24"/>
        </w:rPr>
        <w:t>2 (duas) ações judiciais</w:t>
      </w:r>
      <w:r>
        <w:rPr>
          <w:rFonts w:ascii="Arial" w:hAnsi="Arial" w:cs="Arial"/>
          <w:sz w:val="24"/>
          <w:szCs w:val="24"/>
        </w:rPr>
        <w:t xml:space="preserve"> sobre o tema</w:t>
      </w:r>
      <w:r w:rsidR="00D31056">
        <w:rPr>
          <w:rFonts w:ascii="Arial" w:hAnsi="Arial" w:cs="Arial"/>
          <w:sz w:val="24"/>
          <w:szCs w:val="24"/>
        </w:rPr>
        <w:t>.</w:t>
      </w:r>
    </w:p>
    <w:p w14:paraId="13E53F8E" w14:textId="57379AE4" w:rsidR="00487D64" w:rsidRPr="00C12421" w:rsidRDefault="00A914E8" w:rsidP="00D31056">
      <w:pPr>
        <w:spacing w:line="360" w:lineRule="auto"/>
        <w:ind w:firstLine="851"/>
        <w:jc w:val="both"/>
        <w:rPr>
          <w:rFonts w:ascii="Arial" w:hAnsi="Arial" w:cs="Arial"/>
          <w:sz w:val="24"/>
          <w:szCs w:val="24"/>
        </w:rPr>
      </w:pPr>
      <w:r w:rsidRPr="00C12421">
        <w:rPr>
          <w:rFonts w:ascii="Arial" w:hAnsi="Arial" w:cs="Arial"/>
          <w:b/>
          <w:sz w:val="24"/>
          <w:szCs w:val="24"/>
        </w:rPr>
        <w:t>3.3.</w:t>
      </w:r>
      <w:r w:rsidR="00121151" w:rsidRPr="00C12421">
        <w:rPr>
          <w:rFonts w:ascii="Arial" w:hAnsi="Arial" w:cs="Arial"/>
          <w:b/>
          <w:sz w:val="24"/>
          <w:szCs w:val="24"/>
        </w:rPr>
        <w:t>4</w:t>
      </w:r>
      <w:r w:rsidRPr="00C12421">
        <w:rPr>
          <w:rFonts w:ascii="Arial" w:hAnsi="Arial" w:cs="Arial"/>
          <w:b/>
          <w:sz w:val="24"/>
          <w:szCs w:val="24"/>
        </w:rPr>
        <w:t>.2</w:t>
      </w:r>
      <w:r w:rsidR="00F143F0" w:rsidRPr="00C12421">
        <w:rPr>
          <w:rFonts w:ascii="Arial" w:hAnsi="Arial" w:cs="Arial"/>
          <w:b/>
          <w:sz w:val="24"/>
          <w:szCs w:val="24"/>
        </w:rPr>
        <w:t>.</w:t>
      </w:r>
      <w:r w:rsidRPr="00C12421">
        <w:rPr>
          <w:rFonts w:ascii="Arial" w:hAnsi="Arial" w:cs="Arial"/>
          <w:b/>
          <w:i/>
          <w:sz w:val="24"/>
          <w:szCs w:val="24"/>
        </w:rPr>
        <w:t xml:space="preserve"> </w:t>
      </w:r>
      <w:r w:rsidR="00D31056" w:rsidRPr="00C12421">
        <w:rPr>
          <w:rFonts w:ascii="Arial" w:hAnsi="Arial" w:cs="Arial"/>
          <w:sz w:val="24"/>
          <w:szCs w:val="24"/>
        </w:rPr>
        <w:t xml:space="preserve">A </w:t>
      </w:r>
      <w:r w:rsidR="00D31056" w:rsidRPr="00C12421">
        <w:rPr>
          <w:rFonts w:ascii="Arial" w:hAnsi="Arial" w:cs="Arial"/>
          <w:b/>
          <w:sz w:val="24"/>
          <w:szCs w:val="24"/>
        </w:rPr>
        <w:t xml:space="preserve">primeira (nº </w:t>
      </w:r>
      <w:r w:rsidR="009E47E5" w:rsidRPr="00C12421">
        <w:rPr>
          <w:rFonts w:ascii="Arial" w:hAnsi="Arial" w:cs="Arial"/>
          <w:b/>
          <w:sz w:val="24"/>
          <w:szCs w:val="24"/>
        </w:rPr>
        <w:t>5050049.14.2019.8.09.0051</w:t>
      </w:r>
      <w:r w:rsidR="00D31056" w:rsidRPr="00C12421">
        <w:rPr>
          <w:rFonts w:ascii="Arial" w:hAnsi="Arial" w:cs="Arial"/>
          <w:b/>
          <w:sz w:val="24"/>
          <w:szCs w:val="24"/>
        </w:rPr>
        <w:t>)</w:t>
      </w:r>
      <w:r w:rsidR="00D31056" w:rsidRPr="00C12421">
        <w:rPr>
          <w:rFonts w:ascii="Arial" w:hAnsi="Arial" w:cs="Arial"/>
          <w:sz w:val="24"/>
          <w:szCs w:val="24"/>
        </w:rPr>
        <w:t xml:space="preserve">, proposta em </w:t>
      </w:r>
      <w:r w:rsidR="0094082E" w:rsidRPr="00C12421">
        <w:rPr>
          <w:rFonts w:ascii="Arial" w:hAnsi="Arial" w:cs="Arial"/>
          <w:sz w:val="24"/>
          <w:szCs w:val="24"/>
        </w:rPr>
        <w:t>04/06</w:t>
      </w:r>
      <w:r w:rsidR="00D31056" w:rsidRPr="00C12421">
        <w:rPr>
          <w:rFonts w:ascii="Arial" w:hAnsi="Arial" w:cs="Arial"/>
          <w:sz w:val="24"/>
          <w:szCs w:val="24"/>
        </w:rPr>
        <w:t>/</w:t>
      </w:r>
      <w:r w:rsidR="006B0D93" w:rsidRPr="00C12421">
        <w:rPr>
          <w:rFonts w:ascii="Arial" w:hAnsi="Arial" w:cs="Arial"/>
          <w:sz w:val="24"/>
          <w:szCs w:val="24"/>
        </w:rPr>
        <w:t>2019</w:t>
      </w:r>
      <w:r w:rsidR="00D31056" w:rsidRPr="00C12421">
        <w:rPr>
          <w:rFonts w:ascii="Arial" w:hAnsi="Arial" w:cs="Arial"/>
          <w:sz w:val="24"/>
          <w:szCs w:val="24"/>
        </w:rPr>
        <w:t xml:space="preserve"> pela </w:t>
      </w:r>
      <w:r w:rsidR="00D31056" w:rsidRPr="00C12421">
        <w:rPr>
          <w:rFonts w:ascii="Arial" w:hAnsi="Arial" w:cs="Arial"/>
          <w:bCs/>
          <w:sz w:val="24"/>
          <w:szCs w:val="24"/>
        </w:rPr>
        <w:t>57ª Promotoria de Justiça de Goiânia</w:t>
      </w:r>
      <w:r w:rsidR="006B0D93" w:rsidRPr="00C12421">
        <w:rPr>
          <w:rFonts w:ascii="Arial" w:hAnsi="Arial" w:cs="Arial"/>
          <w:bCs/>
          <w:sz w:val="24"/>
          <w:szCs w:val="24"/>
        </w:rPr>
        <w:t>/GO</w:t>
      </w:r>
      <w:r w:rsidR="00443EB3" w:rsidRPr="00C12421">
        <w:rPr>
          <w:rFonts w:ascii="Arial" w:hAnsi="Arial" w:cs="Arial"/>
          <w:bCs/>
          <w:sz w:val="24"/>
          <w:szCs w:val="24"/>
        </w:rPr>
        <w:t xml:space="preserve"> (promotor Fernando Aurvalle Krebs)</w:t>
      </w:r>
      <w:r w:rsidR="006B0D93" w:rsidRPr="00C12421">
        <w:rPr>
          <w:rFonts w:ascii="Arial" w:hAnsi="Arial" w:cs="Arial"/>
          <w:bCs/>
          <w:sz w:val="24"/>
          <w:szCs w:val="24"/>
        </w:rPr>
        <w:t xml:space="preserve">, questiona a </w:t>
      </w:r>
      <w:r w:rsidR="006B0D93" w:rsidRPr="00C12421">
        <w:rPr>
          <w:rFonts w:ascii="Arial" w:hAnsi="Arial" w:cs="Arial"/>
          <w:bCs/>
          <w:sz w:val="24"/>
          <w:szCs w:val="24"/>
          <w:u w:val="single"/>
        </w:rPr>
        <w:t xml:space="preserve">renúncia de receita de </w:t>
      </w:r>
      <w:r w:rsidR="00340E74" w:rsidRPr="00C12421">
        <w:rPr>
          <w:rFonts w:ascii="Arial" w:hAnsi="Arial" w:cs="Arial"/>
          <w:bCs/>
          <w:sz w:val="24"/>
          <w:szCs w:val="24"/>
          <w:u w:val="single"/>
        </w:rPr>
        <w:t xml:space="preserve">cerca de </w:t>
      </w:r>
      <w:r w:rsidR="006B0D93" w:rsidRPr="00C12421">
        <w:rPr>
          <w:rFonts w:ascii="Arial" w:hAnsi="Arial" w:cs="Arial"/>
          <w:bCs/>
          <w:sz w:val="24"/>
          <w:szCs w:val="24"/>
          <w:u w:val="single"/>
        </w:rPr>
        <w:t>R$ 23.000.000,00 (vinte e três milhões de reais)</w:t>
      </w:r>
      <w:r w:rsidR="006B0D93" w:rsidRPr="00C12421">
        <w:rPr>
          <w:rFonts w:ascii="Arial" w:hAnsi="Arial" w:cs="Arial"/>
          <w:bCs/>
          <w:sz w:val="24"/>
          <w:szCs w:val="24"/>
        </w:rPr>
        <w:t xml:space="preserve"> concedido por meio da Lei nº 19.954/2017</w:t>
      </w:r>
      <w:r w:rsidR="00C14F88" w:rsidRPr="00C12421">
        <w:rPr>
          <w:rFonts w:ascii="Arial" w:hAnsi="Arial" w:cs="Arial"/>
          <w:sz w:val="24"/>
          <w:szCs w:val="24"/>
        </w:rPr>
        <w:t>.</w:t>
      </w:r>
    </w:p>
    <w:p w14:paraId="1056F2AF" w14:textId="31593C9C" w:rsidR="00487D64" w:rsidRPr="00C12421" w:rsidRDefault="00487D64" w:rsidP="00D31056">
      <w:pPr>
        <w:spacing w:line="360" w:lineRule="auto"/>
        <w:ind w:firstLine="851"/>
        <w:jc w:val="both"/>
        <w:rPr>
          <w:rFonts w:ascii="Arial" w:hAnsi="Arial" w:cs="Arial"/>
          <w:sz w:val="24"/>
          <w:szCs w:val="24"/>
        </w:rPr>
      </w:pPr>
      <w:r w:rsidRPr="00C12421">
        <w:rPr>
          <w:rFonts w:ascii="Arial" w:hAnsi="Arial" w:cs="Arial"/>
          <w:sz w:val="24"/>
          <w:szCs w:val="24"/>
          <w:u w:val="single"/>
        </w:rPr>
        <w:t>Referida lei revigorou crédito outorgado com vigência já expirada e, ainda, majorou seu limite de aproveitamento até o valor de R$ 35.000.000,00</w:t>
      </w:r>
      <w:r w:rsidRPr="00C12421">
        <w:rPr>
          <w:rFonts w:ascii="Arial" w:hAnsi="Arial" w:cs="Arial"/>
          <w:sz w:val="24"/>
          <w:szCs w:val="24"/>
        </w:rPr>
        <w:t xml:space="preserve"> (trinta e cinco milhões de reais), para ser efetivamente investido em obras civis, aquisição de veículos e colocação das máquinas, dos equipamentos e das instalações correspondentes à implantação ou ampliação de seus estabelecimentos, sob as condições e limites estabelecidos em TARE celebrado com a </w:t>
      </w:r>
      <w:r w:rsidR="00320620" w:rsidRPr="00C12421">
        <w:rPr>
          <w:rFonts w:ascii="Arial" w:hAnsi="Arial" w:cs="Arial"/>
          <w:sz w:val="24"/>
          <w:szCs w:val="24"/>
        </w:rPr>
        <w:t xml:space="preserve">então </w:t>
      </w:r>
      <w:r w:rsidRPr="00C12421">
        <w:rPr>
          <w:rFonts w:ascii="Arial" w:hAnsi="Arial" w:cs="Arial"/>
          <w:sz w:val="24"/>
          <w:szCs w:val="24"/>
        </w:rPr>
        <w:t>Secretaria de Estado da Fazenda</w:t>
      </w:r>
      <w:r w:rsidR="00685AED" w:rsidRPr="00C12421">
        <w:rPr>
          <w:rFonts w:ascii="Arial" w:hAnsi="Arial" w:cs="Arial"/>
          <w:sz w:val="24"/>
          <w:szCs w:val="24"/>
        </w:rPr>
        <w:t>.</w:t>
      </w:r>
    </w:p>
    <w:p w14:paraId="67F25476" w14:textId="00D399FA" w:rsidR="00A914E8" w:rsidRPr="00C12421" w:rsidRDefault="00A914E8" w:rsidP="00A914E8">
      <w:pPr>
        <w:spacing w:line="360" w:lineRule="auto"/>
        <w:ind w:firstLine="851"/>
        <w:jc w:val="both"/>
        <w:rPr>
          <w:rFonts w:ascii="Arial" w:hAnsi="Arial" w:cs="Arial"/>
          <w:sz w:val="24"/>
          <w:szCs w:val="24"/>
        </w:rPr>
      </w:pPr>
      <w:r w:rsidRPr="00C12421">
        <w:rPr>
          <w:rFonts w:ascii="Arial" w:hAnsi="Arial" w:cs="Arial"/>
          <w:b/>
          <w:sz w:val="24"/>
          <w:szCs w:val="24"/>
        </w:rPr>
        <w:t>3.3.</w:t>
      </w:r>
      <w:r w:rsidR="00121151" w:rsidRPr="00C12421">
        <w:rPr>
          <w:rFonts w:ascii="Arial" w:hAnsi="Arial" w:cs="Arial"/>
          <w:b/>
          <w:sz w:val="24"/>
          <w:szCs w:val="24"/>
        </w:rPr>
        <w:t>4</w:t>
      </w:r>
      <w:r w:rsidRPr="00C12421">
        <w:rPr>
          <w:rFonts w:ascii="Arial" w:hAnsi="Arial" w:cs="Arial"/>
          <w:b/>
          <w:sz w:val="24"/>
          <w:szCs w:val="24"/>
        </w:rPr>
        <w:t>.3</w:t>
      </w:r>
      <w:r w:rsidR="00F143F0" w:rsidRPr="00C12421">
        <w:rPr>
          <w:rFonts w:ascii="Arial" w:hAnsi="Arial" w:cs="Arial"/>
          <w:b/>
          <w:sz w:val="24"/>
          <w:szCs w:val="24"/>
        </w:rPr>
        <w:t>.</w:t>
      </w:r>
      <w:r w:rsidRPr="00C12421">
        <w:rPr>
          <w:rFonts w:ascii="Arial" w:hAnsi="Arial" w:cs="Arial"/>
          <w:b/>
          <w:i/>
          <w:sz w:val="24"/>
          <w:szCs w:val="24"/>
        </w:rPr>
        <w:t xml:space="preserve"> </w:t>
      </w:r>
      <w:r w:rsidR="00DD03C8" w:rsidRPr="00C12421">
        <w:rPr>
          <w:rFonts w:ascii="Arial" w:hAnsi="Arial" w:cs="Arial"/>
          <w:sz w:val="24"/>
          <w:szCs w:val="24"/>
        </w:rPr>
        <w:t xml:space="preserve">A </w:t>
      </w:r>
      <w:r w:rsidR="00DD03C8" w:rsidRPr="00C12421">
        <w:rPr>
          <w:rFonts w:ascii="Arial" w:hAnsi="Arial" w:cs="Arial"/>
          <w:b/>
          <w:sz w:val="24"/>
          <w:szCs w:val="24"/>
        </w:rPr>
        <w:t xml:space="preserve">segunda (nº </w:t>
      </w:r>
      <w:r w:rsidR="0072161E" w:rsidRPr="00C12421">
        <w:rPr>
          <w:rFonts w:ascii="Arial" w:hAnsi="Arial" w:cs="Arial"/>
          <w:b/>
          <w:sz w:val="24"/>
          <w:szCs w:val="24"/>
        </w:rPr>
        <w:t>5070484.09.2019.8.09.0051</w:t>
      </w:r>
      <w:r w:rsidR="00DD03C8" w:rsidRPr="00C12421">
        <w:rPr>
          <w:rFonts w:ascii="Arial" w:hAnsi="Arial" w:cs="Arial"/>
          <w:b/>
          <w:sz w:val="24"/>
          <w:szCs w:val="24"/>
        </w:rPr>
        <w:t>)</w:t>
      </w:r>
      <w:r w:rsidR="00DD03C8" w:rsidRPr="00C12421">
        <w:rPr>
          <w:rFonts w:ascii="Arial" w:hAnsi="Arial" w:cs="Arial"/>
          <w:sz w:val="24"/>
          <w:szCs w:val="24"/>
        </w:rPr>
        <w:t xml:space="preserve">, proposta em </w:t>
      </w:r>
      <w:r w:rsidR="0072161E" w:rsidRPr="00C12421">
        <w:rPr>
          <w:rFonts w:ascii="Arial" w:hAnsi="Arial" w:cs="Arial"/>
          <w:sz w:val="24"/>
          <w:szCs w:val="24"/>
        </w:rPr>
        <w:t>12</w:t>
      </w:r>
      <w:r w:rsidR="00DD03C8" w:rsidRPr="00C12421">
        <w:rPr>
          <w:rFonts w:ascii="Arial" w:hAnsi="Arial" w:cs="Arial"/>
          <w:sz w:val="24"/>
          <w:szCs w:val="24"/>
        </w:rPr>
        <w:t>/</w:t>
      </w:r>
      <w:r w:rsidR="0072161E" w:rsidRPr="00C12421">
        <w:rPr>
          <w:rFonts w:ascii="Arial" w:hAnsi="Arial" w:cs="Arial"/>
          <w:sz w:val="24"/>
          <w:szCs w:val="24"/>
        </w:rPr>
        <w:t>02</w:t>
      </w:r>
      <w:r w:rsidR="00DD03C8" w:rsidRPr="00C12421">
        <w:rPr>
          <w:rFonts w:ascii="Arial" w:hAnsi="Arial" w:cs="Arial"/>
          <w:sz w:val="24"/>
          <w:szCs w:val="24"/>
        </w:rPr>
        <w:t xml:space="preserve">/2019 pela </w:t>
      </w:r>
      <w:r w:rsidR="00DD03C8" w:rsidRPr="00C12421">
        <w:rPr>
          <w:rFonts w:ascii="Arial" w:hAnsi="Arial" w:cs="Arial"/>
          <w:bCs/>
          <w:sz w:val="24"/>
          <w:szCs w:val="24"/>
        </w:rPr>
        <w:t>5</w:t>
      </w:r>
      <w:r w:rsidR="00443EB3" w:rsidRPr="00C12421">
        <w:rPr>
          <w:rFonts w:ascii="Arial" w:hAnsi="Arial" w:cs="Arial"/>
          <w:bCs/>
          <w:sz w:val="24"/>
          <w:szCs w:val="24"/>
        </w:rPr>
        <w:t>0</w:t>
      </w:r>
      <w:r w:rsidR="00DD03C8" w:rsidRPr="00C12421">
        <w:rPr>
          <w:rFonts w:ascii="Arial" w:hAnsi="Arial" w:cs="Arial"/>
          <w:bCs/>
          <w:sz w:val="24"/>
          <w:szCs w:val="24"/>
        </w:rPr>
        <w:t>ª Promotoria de Justiça de Goiânia/GO</w:t>
      </w:r>
      <w:r w:rsidR="005950B3" w:rsidRPr="00C12421">
        <w:rPr>
          <w:rFonts w:ascii="Arial" w:hAnsi="Arial" w:cs="Arial"/>
          <w:bCs/>
          <w:sz w:val="24"/>
          <w:szCs w:val="24"/>
        </w:rPr>
        <w:t xml:space="preserve"> (promotora Leila Maria de Oliveira)</w:t>
      </w:r>
      <w:r w:rsidR="00DD03C8" w:rsidRPr="00C12421">
        <w:rPr>
          <w:rFonts w:ascii="Arial" w:hAnsi="Arial" w:cs="Arial"/>
          <w:bCs/>
          <w:sz w:val="24"/>
          <w:szCs w:val="24"/>
        </w:rPr>
        <w:t xml:space="preserve">, questiona a </w:t>
      </w:r>
      <w:r w:rsidR="00DD03C8" w:rsidRPr="00C12421">
        <w:rPr>
          <w:rFonts w:ascii="Arial" w:hAnsi="Arial" w:cs="Arial"/>
          <w:bCs/>
          <w:sz w:val="24"/>
          <w:szCs w:val="24"/>
          <w:u w:val="single"/>
        </w:rPr>
        <w:t>renúncia de receita de</w:t>
      </w:r>
      <w:r w:rsidR="00340E74" w:rsidRPr="00C12421">
        <w:rPr>
          <w:rFonts w:ascii="Arial" w:hAnsi="Arial" w:cs="Arial"/>
          <w:bCs/>
          <w:sz w:val="24"/>
          <w:szCs w:val="24"/>
          <w:u w:val="single"/>
        </w:rPr>
        <w:t xml:space="preserve"> aproximadamente</w:t>
      </w:r>
      <w:r w:rsidR="00DD03C8" w:rsidRPr="00C12421">
        <w:rPr>
          <w:rFonts w:ascii="Arial" w:hAnsi="Arial" w:cs="Arial"/>
          <w:bCs/>
          <w:sz w:val="24"/>
          <w:szCs w:val="24"/>
          <w:u w:val="single"/>
        </w:rPr>
        <w:t xml:space="preserve"> R$ </w:t>
      </w:r>
      <w:r w:rsidR="00340E74" w:rsidRPr="00C12421">
        <w:rPr>
          <w:rFonts w:ascii="Arial" w:hAnsi="Arial" w:cs="Arial"/>
          <w:bCs/>
          <w:sz w:val="24"/>
          <w:szCs w:val="24"/>
          <w:u w:val="single"/>
        </w:rPr>
        <w:t>1.300.000.000,00</w:t>
      </w:r>
      <w:r w:rsidR="00340E74" w:rsidRPr="00C12421">
        <w:rPr>
          <w:rFonts w:ascii="Arial" w:hAnsi="Arial" w:cs="Arial"/>
          <w:bCs/>
          <w:sz w:val="24"/>
          <w:szCs w:val="24"/>
        </w:rPr>
        <w:t xml:space="preserve"> (um bilhão e trezentos milhões de reais) </w:t>
      </w:r>
      <w:r w:rsidR="00DD03C8" w:rsidRPr="00C12421">
        <w:rPr>
          <w:rFonts w:ascii="Arial" w:hAnsi="Arial" w:cs="Arial"/>
          <w:bCs/>
          <w:sz w:val="24"/>
          <w:szCs w:val="24"/>
        </w:rPr>
        <w:t xml:space="preserve">concedido </w:t>
      </w:r>
      <w:r w:rsidR="00340E74" w:rsidRPr="00C12421">
        <w:rPr>
          <w:rFonts w:ascii="Arial" w:hAnsi="Arial" w:cs="Arial"/>
          <w:bCs/>
          <w:sz w:val="24"/>
          <w:szCs w:val="24"/>
        </w:rPr>
        <w:t xml:space="preserve">a diversas empresas </w:t>
      </w:r>
      <w:r w:rsidR="00DD03C8" w:rsidRPr="00C12421">
        <w:rPr>
          <w:rFonts w:ascii="Arial" w:hAnsi="Arial" w:cs="Arial"/>
          <w:bCs/>
          <w:sz w:val="24"/>
          <w:szCs w:val="24"/>
        </w:rPr>
        <w:t>por meio da Lei nº 1</w:t>
      </w:r>
      <w:r w:rsidR="00340E74" w:rsidRPr="00C12421">
        <w:rPr>
          <w:rFonts w:ascii="Arial" w:hAnsi="Arial" w:cs="Arial"/>
          <w:bCs/>
          <w:sz w:val="24"/>
          <w:szCs w:val="24"/>
        </w:rPr>
        <w:t>8</w:t>
      </w:r>
      <w:r w:rsidR="00DD03C8" w:rsidRPr="00C12421">
        <w:rPr>
          <w:rFonts w:ascii="Arial" w:hAnsi="Arial" w:cs="Arial"/>
          <w:bCs/>
          <w:sz w:val="24"/>
          <w:szCs w:val="24"/>
        </w:rPr>
        <w:t>.</w:t>
      </w:r>
      <w:r w:rsidR="00340E74" w:rsidRPr="00C12421">
        <w:rPr>
          <w:rFonts w:ascii="Arial" w:hAnsi="Arial" w:cs="Arial"/>
          <w:bCs/>
          <w:sz w:val="24"/>
          <w:szCs w:val="24"/>
        </w:rPr>
        <w:t>709</w:t>
      </w:r>
      <w:r w:rsidR="00DD03C8" w:rsidRPr="00C12421">
        <w:rPr>
          <w:rFonts w:ascii="Arial" w:hAnsi="Arial" w:cs="Arial"/>
          <w:bCs/>
          <w:sz w:val="24"/>
          <w:szCs w:val="24"/>
        </w:rPr>
        <w:t>/201</w:t>
      </w:r>
      <w:r w:rsidR="00340E74" w:rsidRPr="00C12421">
        <w:rPr>
          <w:rFonts w:ascii="Arial" w:hAnsi="Arial" w:cs="Arial"/>
          <w:bCs/>
          <w:sz w:val="24"/>
          <w:szCs w:val="24"/>
        </w:rPr>
        <w:t>4</w:t>
      </w:r>
      <w:r w:rsidR="0011714E" w:rsidRPr="00C12421">
        <w:rPr>
          <w:rFonts w:ascii="Arial" w:hAnsi="Arial" w:cs="Arial"/>
          <w:bCs/>
          <w:sz w:val="24"/>
          <w:szCs w:val="24"/>
        </w:rPr>
        <w:t>, que promoveu alterações na Lei nº 18.459/2014 (Programa Regulariza)</w:t>
      </w:r>
      <w:r w:rsidR="00DD03C8" w:rsidRPr="00C12421">
        <w:rPr>
          <w:rFonts w:ascii="Arial" w:hAnsi="Arial" w:cs="Arial"/>
          <w:sz w:val="24"/>
          <w:szCs w:val="24"/>
        </w:rPr>
        <w:t>.</w:t>
      </w:r>
      <w:r w:rsidRPr="00C12421">
        <w:rPr>
          <w:rFonts w:ascii="Arial" w:hAnsi="Arial" w:cs="Arial"/>
          <w:sz w:val="24"/>
          <w:szCs w:val="24"/>
        </w:rPr>
        <w:t xml:space="preserve"> </w:t>
      </w:r>
    </w:p>
    <w:p w14:paraId="78B28FB2" w14:textId="178E2E11" w:rsidR="00DD03C8" w:rsidRDefault="00A914E8" w:rsidP="00A914E8">
      <w:pPr>
        <w:spacing w:line="360" w:lineRule="auto"/>
        <w:ind w:firstLine="851"/>
        <w:jc w:val="both"/>
        <w:rPr>
          <w:rFonts w:ascii="Arial" w:hAnsi="Arial" w:cs="Arial"/>
          <w:sz w:val="24"/>
          <w:szCs w:val="24"/>
        </w:rPr>
      </w:pPr>
      <w:r w:rsidRPr="00C12421">
        <w:rPr>
          <w:rFonts w:ascii="Arial" w:hAnsi="Arial" w:cs="Arial"/>
          <w:sz w:val="24"/>
          <w:szCs w:val="24"/>
        </w:rPr>
        <w:t xml:space="preserve">Essa última lei ficou conhecida como </w:t>
      </w:r>
      <w:r w:rsidRPr="00C12421">
        <w:rPr>
          <w:rFonts w:ascii="Arial" w:hAnsi="Arial" w:cs="Arial"/>
          <w:sz w:val="24"/>
          <w:szCs w:val="24"/>
          <w:u w:val="single"/>
        </w:rPr>
        <w:t xml:space="preserve">“Lei JBS”, porquanto 4 (quatro) das </w:t>
      </w:r>
      <w:r w:rsidR="001D1882" w:rsidRPr="00C12421">
        <w:rPr>
          <w:rFonts w:ascii="Arial" w:hAnsi="Arial" w:cs="Arial"/>
          <w:sz w:val="24"/>
          <w:szCs w:val="24"/>
          <w:u w:val="single"/>
        </w:rPr>
        <w:t xml:space="preserve">maiores </w:t>
      </w:r>
      <w:r w:rsidRPr="00C12421">
        <w:rPr>
          <w:rFonts w:ascii="Arial" w:hAnsi="Arial" w:cs="Arial"/>
          <w:sz w:val="24"/>
          <w:szCs w:val="24"/>
          <w:u w:val="single"/>
        </w:rPr>
        <w:t>empresas beneficiadas pela Lei Estadual nº 18.709/2014 são filiais do Grupo JBS</w:t>
      </w:r>
      <w:r w:rsidRPr="00C12421">
        <w:rPr>
          <w:rFonts w:ascii="Arial" w:hAnsi="Arial" w:cs="Arial"/>
          <w:sz w:val="24"/>
          <w:szCs w:val="24"/>
        </w:rPr>
        <w:t xml:space="preserve"> (CNPJ’s nº 02.916.265/0083-06; 02.916.265/0078-49; 02.916.265/0058-03; e 02.916.265/0005-93), as quais não poderiam ser beneficiadas com anistia e remissão por terem cometidos crimes contra a ordem tributária (Código Tributário Nacional – CTN, art. 180).</w:t>
      </w:r>
      <w:r w:rsidR="00DD03C8" w:rsidRPr="00C12421">
        <w:rPr>
          <w:rFonts w:ascii="Arial" w:hAnsi="Arial" w:cs="Arial"/>
          <w:sz w:val="24"/>
          <w:szCs w:val="24"/>
        </w:rPr>
        <w:t xml:space="preserve"> </w:t>
      </w:r>
      <w:r w:rsidRPr="00C12421">
        <w:rPr>
          <w:rFonts w:ascii="Arial" w:hAnsi="Arial" w:cs="Arial"/>
          <w:sz w:val="24"/>
          <w:szCs w:val="24"/>
        </w:rPr>
        <w:t xml:space="preserve">Consignou-se, ademais, que </w:t>
      </w:r>
      <w:r w:rsidRPr="00C12421">
        <w:rPr>
          <w:rFonts w:ascii="Arial" w:hAnsi="Arial" w:cs="Arial"/>
          <w:bCs/>
          <w:sz w:val="24"/>
          <w:szCs w:val="24"/>
          <w:u w:val="single"/>
        </w:rPr>
        <w:t>73% (setenta e três por cento)</w:t>
      </w:r>
      <w:r w:rsidRPr="00C12421">
        <w:rPr>
          <w:rFonts w:ascii="Arial" w:hAnsi="Arial" w:cs="Arial"/>
          <w:b/>
          <w:bCs/>
          <w:sz w:val="24"/>
          <w:szCs w:val="24"/>
          <w:u w:val="single"/>
        </w:rPr>
        <w:t xml:space="preserve"> </w:t>
      </w:r>
      <w:r w:rsidRPr="00C12421">
        <w:rPr>
          <w:rFonts w:ascii="Arial" w:hAnsi="Arial" w:cs="Arial"/>
          <w:sz w:val="24"/>
          <w:szCs w:val="24"/>
          <w:u w:val="single"/>
        </w:rPr>
        <w:t xml:space="preserve">do valor das dívidas </w:t>
      </w:r>
      <w:r w:rsidRPr="00C12421">
        <w:rPr>
          <w:rFonts w:ascii="Arial" w:hAnsi="Arial" w:cs="Arial"/>
          <w:sz w:val="24"/>
          <w:szCs w:val="24"/>
          <w:u w:val="single"/>
        </w:rPr>
        <w:lastRenderedPageBreak/>
        <w:t>amortizadas por força daquela lei correspondem ao benefício fiscal concedido às referidas empresas</w:t>
      </w:r>
      <w:r w:rsidRPr="00C12421">
        <w:rPr>
          <w:rFonts w:ascii="Arial" w:hAnsi="Arial" w:cs="Arial"/>
          <w:sz w:val="24"/>
          <w:szCs w:val="24"/>
        </w:rPr>
        <w:t>, as quais não reuniam os requisitos para usufruir do benefício fiscal.</w:t>
      </w:r>
    </w:p>
    <w:p w14:paraId="20960285" w14:textId="416A738A" w:rsidR="00525DF1" w:rsidRDefault="00525DF1" w:rsidP="00A914E8">
      <w:pPr>
        <w:spacing w:line="360" w:lineRule="auto"/>
        <w:ind w:firstLine="851"/>
        <w:jc w:val="both"/>
        <w:rPr>
          <w:rFonts w:ascii="Arial" w:hAnsi="Arial" w:cs="Arial"/>
          <w:sz w:val="24"/>
          <w:szCs w:val="24"/>
        </w:rPr>
      </w:pPr>
      <w:r w:rsidRPr="00525DF1">
        <w:rPr>
          <w:rFonts w:ascii="Arial" w:hAnsi="Arial" w:cs="Arial"/>
          <w:b/>
          <w:sz w:val="24"/>
          <w:szCs w:val="24"/>
        </w:rPr>
        <w:t>Diversas questões jurídicas relevantes estão em debate nessas</w:t>
      </w:r>
      <w:r>
        <w:rPr>
          <w:rFonts w:ascii="Arial" w:hAnsi="Arial" w:cs="Arial"/>
          <w:b/>
          <w:sz w:val="24"/>
          <w:szCs w:val="24"/>
        </w:rPr>
        <w:t xml:space="preserve"> </w:t>
      </w:r>
      <w:r w:rsidRPr="00525DF1">
        <w:rPr>
          <w:rFonts w:ascii="Arial" w:hAnsi="Arial" w:cs="Arial"/>
          <w:b/>
          <w:sz w:val="24"/>
          <w:szCs w:val="24"/>
        </w:rPr>
        <w:t>ações</w:t>
      </w:r>
      <w:r>
        <w:rPr>
          <w:rFonts w:ascii="Arial" w:hAnsi="Arial" w:cs="Arial"/>
          <w:sz w:val="24"/>
          <w:szCs w:val="24"/>
        </w:rPr>
        <w:t>, notadamente se</w:t>
      </w:r>
      <w:r w:rsidR="00A82E8F">
        <w:rPr>
          <w:rFonts w:ascii="Arial" w:hAnsi="Arial" w:cs="Arial"/>
          <w:sz w:val="24"/>
          <w:szCs w:val="24"/>
        </w:rPr>
        <w:t xml:space="preserve">: </w:t>
      </w:r>
      <w:r w:rsidR="00A82E8F" w:rsidRPr="00C114BE">
        <w:rPr>
          <w:rFonts w:ascii="Arial" w:hAnsi="Arial" w:cs="Arial"/>
          <w:sz w:val="24"/>
          <w:szCs w:val="24"/>
          <w:u w:val="single"/>
        </w:rPr>
        <w:t>a)</w:t>
      </w:r>
      <w:r w:rsidR="004E7F76" w:rsidRPr="00C114BE">
        <w:rPr>
          <w:rFonts w:ascii="Arial" w:hAnsi="Arial" w:cs="Arial"/>
          <w:sz w:val="24"/>
          <w:szCs w:val="24"/>
          <w:u w:val="single"/>
        </w:rPr>
        <w:t xml:space="preserve"> </w:t>
      </w:r>
      <w:r w:rsidRPr="00C114BE">
        <w:rPr>
          <w:rFonts w:ascii="Arial" w:hAnsi="Arial" w:cs="Arial"/>
          <w:sz w:val="24"/>
          <w:szCs w:val="24"/>
          <w:u w:val="single"/>
        </w:rPr>
        <w:t>o descumprimento do art. 14 da LRF por lei estadual concessiva de incentivo fiscal relativo ao ICMS constitui condição suficiente</w:t>
      </w:r>
      <w:r>
        <w:rPr>
          <w:rFonts w:ascii="Arial" w:hAnsi="Arial" w:cs="Arial"/>
          <w:sz w:val="24"/>
          <w:szCs w:val="24"/>
        </w:rPr>
        <w:t xml:space="preserve"> para</w:t>
      </w:r>
      <w:r w:rsidR="00A82E8F">
        <w:rPr>
          <w:rFonts w:ascii="Arial" w:hAnsi="Arial" w:cs="Arial"/>
          <w:sz w:val="24"/>
          <w:szCs w:val="24"/>
        </w:rPr>
        <w:t xml:space="preserve"> </w:t>
      </w:r>
      <w:r w:rsidRPr="00C114BE">
        <w:rPr>
          <w:rFonts w:ascii="Arial" w:hAnsi="Arial" w:cs="Arial"/>
          <w:i/>
          <w:sz w:val="24"/>
          <w:szCs w:val="24"/>
        </w:rPr>
        <w:t>anula</w:t>
      </w:r>
      <w:r w:rsidR="004E7F76" w:rsidRPr="00C114BE">
        <w:rPr>
          <w:rFonts w:ascii="Arial" w:hAnsi="Arial" w:cs="Arial"/>
          <w:i/>
          <w:sz w:val="24"/>
          <w:szCs w:val="24"/>
        </w:rPr>
        <w:t>ção</w:t>
      </w:r>
      <w:r w:rsidRPr="00C114BE">
        <w:rPr>
          <w:rFonts w:ascii="Arial" w:hAnsi="Arial" w:cs="Arial"/>
          <w:i/>
          <w:sz w:val="24"/>
          <w:szCs w:val="24"/>
        </w:rPr>
        <w:t xml:space="preserve"> </w:t>
      </w:r>
      <w:r w:rsidR="004E7F76" w:rsidRPr="00C114BE">
        <w:rPr>
          <w:rFonts w:ascii="Arial" w:hAnsi="Arial" w:cs="Arial"/>
          <w:i/>
          <w:sz w:val="24"/>
          <w:szCs w:val="24"/>
        </w:rPr>
        <w:t>d</w:t>
      </w:r>
      <w:r w:rsidRPr="00C114BE">
        <w:rPr>
          <w:rFonts w:ascii="Arial" w:hAnsi="Arial" w:cs="Arial"/>
          <w:i/>
          <w:sz w:val="24"/>
          <w:szCs w:val="24"/>
        </w:rPr>
        <w:t xml:space="preserve">o incentivo </w:t>
      </w:r>
      <w:r w:rsidR="00C114BE" w:rsidRPr="00C114BE">
        <w:rPr>
          <w:rFonts w:ascii="Arial" w:hAnsi="Arial" w:cs="Arial"/>
          <w:i/>
          <w:sz w:val="24"/>
          <w:szCs w:val="24"/>
        </w:rPr>
        <w:t xml:space="preserve">fiscal </w:t>
      </w:r>
      <w:r w:rsidRPr="00C114BE">
        <w:rPr>
          <w:rFonts w:ascii="Arial" w:hAnsi="Arial" w:cs="Arial"/>
          <w:i/>
          <w:sz w:val="24"/>
          <w:szCs w:val="24"/>
        </w:rPr>
        <w:t>irregularmente concedido</w:t>
      </w:r>
      <w:r w:rsidR="00A82E8F">
        <w:rPr>
          <w:rFonts w:ascii="Arial" w:hAnsi="Arial" w:cs="Arial"/>
          <w:sz w:val="24"/>
          <w:szCs w:val="24"/>
        </w:rPr>
        <w:t xml:space="preserve"> (a.1)</w:t>
      </w:r>
      <w:r w:rsidR="004E7F76">
        <w:rPr>
          <w:rFonts w:ascii="Arial" w:hAnsi="Arial" w:cs="Arial"/>
          <w:sz w:val="24"/>
          <w:szCs w:val="24"/>
        </w:rPr>
        <w:t>,</w:t>
      </w:r>
      <w:r w:rsidR="00A82E8F">
        <w:rPr>
          <w:rFonts w:ascii="Arial" w:hAnsi="Arial" w:cs="Arial"/>
          <w:sz w:val="24"/>
          <w:szCs w:val="24"/>
        </w:rPr>
        <w:t xml:space="preserve"> </w:t>
      </w:r>
      <w:r w:rsidRPr="00C114BE">
        <w:rPr>
          <w:rFonts w:ascii="Arial" w:hAnsi="Arial" w:cs="Arial"/>
          <w:i/>
          <w:sz w:val="24"/>
          <w:szCs w:val="24"/>
        </w:rPr>
        <w:t>responsabilização do Chefe do Executivo e dos gestores da pessoa jurídica beneficiad</w:t>
      </w:r>
      <w:r w:rsidR="004E7F76" w:rsidRPr="00C114BE">
        <w:rPr>
          <w:rFonts w:ascii="Arial" w:hAnsi="Arial" w:cs="Arial"/>
          <w:i/>
          <w:sz w:val="24"/>
          <w:szCs w:val="24"/>
        </w:rPr>
        <w:t>a</w:t>
      </w:r>
      <w:r w:rsidR="004E7F76">
        <w:rPr>
          <w:rFonts w:ascii="Arial" w:hAnsi="Arial" w:cs="Arial"/>
          <w:sz w:val="24"/>
          <w:szCs w:val="24"/>
        </w:rPr>
        <w:t xml:space="preserve"> </w:t>
      </w:r>
      <w:r w:rsidR="00A82E8F">
        <w:rPr>
          <w:rFonts w:ascii="Arial" w:hAnsi="Arial" w:cs="Arial"/>
          <w:sz w:val="24"/>
          <w:szCs w:val="24"/>
        </w:rPr>
        <w:t xml:space="preserve">(a.2), </w:t>
      </w:r>
      <w:r w:rsidR="004E7F76" w:rsidRPr="00C114BE">
        <w:rPr>
          <w:rFonts w:ascii="Arial" w:hAnsi="Arial" w:cs="Arial"/>
          <w:i/>
          <w:sz w:val="24"/>
          <w:szCs w:val="24"/>
        </w:rPr>
        <w:t>determinação de ressarcimento ao erário</w:t>
      </w:r>
      <w:r w:rsidR="00A82E8F" w:rsidRPr="00C114BE">
        <w:rPr>
          <w:rFonts w:ascii="Arial" w:hAnsi="Arial" w:cs="Arial"/>
          <w:i/>
          <w:sz w:val="24"/>
          <w:szCs w:val="24"/>
        </w:rPr>
        <w:t xml:space="preserve"> e/ou de indenização por dano moral coletivo</w:t>
      </w:r>
      <w:r w:rsidR="00A82E8F">
        <w:rPr>
          <w:rFonts w:ascii="Arial" w:hAnsi="Arial" w:cs="Arial"/>
          <w:sz w:val="24"/>
          <w:szCs w:val="24"/>
        </w:rPr>
        <w:t xml:space="preserve"> (a.3); </w:t>
      </w:r>
      <w:r w:rsidR="00C114BE">
        <w:rPr>
          <w:rFonts w:ascii="Arial" w:hAnsi="Arial" w:cs="Arial"/>
          <w:sz w:val="24"/>
          <w:szCs w:val="24"/>
        </w:rPr>
        <w:t xml:space="preserve">e </w:t>
      </w:r>
      <w:r w:rsidR="00A82E8F" w:rsidRPr="00711C35">
        <w:rPr>
          <w:rFonts w:ascii="Arial" w:hAnsi="Arial" w:cs="Arial"/>
          <w:sz w:val="24"/>
          <w:szCs w:val="24"/>
          <w:u w:val="single"/>
        </w:rPr>
        <w:t xml:space="preserve">b) a concessão de incentivo fiscal em ano eleitoral </w:t>
      </w:r>
      <w:r w:rsidR="00ED1474">
        <w:rPr>
          <w:rFonts w:ascii="Arial" w:hAnsi="Arial" w:cs="Arial"/>
          <w:sz w:val="24"/>
          <w:szCs w:val="24"/>
          <w:u w:val="single"/>
        </w:rPr>
        <w:t xml:space="preserve">encontra-se vedada pelo </w:t>
      </w:r>
      <w:r w:rsidR="00A82E8F" w:rsidRPr="00711C35">
        <w:rPr>
          <w:rFonts w:ascii="Arial" w:hAnsi="Arial" w:cs="Arial"/>
          <w:sz w:val="24"/>
          <w:szCs w:val="24"/>
          <w:u w:val="single"/>
        </w:rPr>
        <w:t>§ 10</w:t>
      </w:r>
      <w:r w:rsidR="00C114BE" w:rsidRPr="00711C35">
        <w:rPr>
          <w:rFonts w:ascii="Arial" w:hAnsi="Arial" w:cs="Arial"/>
          <w:sz w:val="24"/>
          <w:szCs w:val="24"/>
          <w:u w:val="single"/>
        </w:rPr>
        <w:t xml:space="preserve"> do art. 73 da Lei federal nº 9.504/1997</w:t>
      </w:r>
      <w:r w:rsidR="00C114BE">
        <w:rPr>
          <w:rFonts w:ascii="Arial" w:hAnsi="Arial" w:cs="Arial"/>
          <w:sz w:val="24"/>
          <w:szCs w:val="24"/>
        </w:rPr>
        <w:t xml:space="preserve"> (Lei das Eleições).</w:t>
      </w:r>
    </w:p>
    <w:p w14:paraId="46802399" w14:textId="55CDBBF6" w:rsidR="00C30C86" w:rsidRDefault="00121151" w:rsidP="00713208">
      <w:pPr>
        <w:spacing w:line="360" w:lineRule="auto"/>
        <w:ind w:firstLine="851"/>
        <w:jc w:val="both"/>
        <w:rPr>
          <w:rFonts w:ascii="Arial" w:hAnsi="Arial" w:cs="Arial"/>
          <w:sz w:val="24"/>
          <w:szCs w:val="24"/>
        </w:rPr>
      </w:pPr>
      <w:r>
        <w:rPr>
          <w:rFonts w:ascii="Arial" w:hAnsi="Arial" w:cs="Arial"/>
          <w:sz w:val="24"/>
          <w:szCs w:val="24"/>
        </w:rPr>
        <w:t>Certamente, o Judiciário deverá debater com profundidade todas essas questões, que possuem repercussão não só no Estado de Goiás, mas em todo o país. Enquanto restam essas pendências jurídicas, cabe aos Poderes constituídos estarem atentos, doravante, aos critérios e à forma para concessão de benefícios fiscais</w:t>
      </w:r>
      <w:r w:rsidR="002F40BA">
        <w:rPr>
          <w:rFonts w:ascii="Arial" w:hAnsi="Arial" w:cs="Arial"/>
          <w:sz w:val="24"/>
          <w:szCs w:val="24"/>
        </w:rPr>
        <w:t xml:space="preserve"> e, preferencialmente, evitá-los nas condições objeto de questionamento</w:t>
      </w:r>
      <w:r>
        <w:rPr>
          <w:rFonts w:ascii="Arial" w:hAnsi="Arial" w:cs="Arial"/>
          <w:sz w:val="24"/>
          <w:szCs w:val="24"/>
        </w:rPr>
        <w:t>.</w:t>
      </w:r>
    </w:p>
    <w:p w14:paraId="50B0B9FD" w14:textId="77777777" w:rsidR="00D718D2" w:rsidRDefault="00D718D2" w:rsidP="00713208">
      <w:pPr>
        <w:spacing w:line="360" w:lineRule="auto"/>
        <w:ind w:firstLine="851"/>
        <w:jc w:val="both"/>
        <w:rPr>
          <w:rFonts w:ascii="Arial" w:hAnsi="Arial" w:cs="Arial"/>
          <w:b/>
          <w:sz w:val="24"/>
          <w:szCs w:val="24"/>
          <w:u w:val="single"/>
        </w:rPr>
      </w:pPr>
    </w:p>
    <w:p w14:paraId="44E9D0CC" w14:textId="77777777" w:rsidR="005762E4" w:rsidRDefault="005762E4" w:rsidP="00713208">
      <w:pPr>
        <w:spacing w:line="360" w:lineRule="auto"/>
        <w:ind w:firstLine="851"/>
        <w:jc w:val="both"/>
        <w:rPr>
          <w:rFonts w:ascii="Arial" w:hAnsi="Arial" w:cs="Arial"/>
          <w:b/>
          <w:sz w:val="24"/>
          <w:szCs w:val="24"/>
          <w:u w:val="single"/>
        </w:rPr>
      </w:pPr>
    </w:p>
    <w:p w14:paraId="1750B7E7" w14:textId="77777777" w:rsidR="00F143F0" w:rsidRDefault="00EF57A2" w:rsidP="00892819">
      <w:pPr>
        <w:spacing w:line="360" w:lineRule="auto"/>
        <w:ind w:firstLine="851"/>
        <w:rPr>
          <w:rFonts w:ascii="Arial" w:hAnsi="Arial" w:cs="Arial"/>
          <w:b/>
          <w:sz w:val="24"/>
          <w:szCs w:val="24"/>
          <w:u w:val="single"/>
        </w:rPr>
      </w:pPr>
      <w:r>
        <w:rPr>
          <w:rFonts w:ascii="Arial" w:hAnsi="Arial" w:cs="Arial"/>
          <w:b/>
          <w:sz w:val="24"/>
          <w:szCs w:val="24"/>
          <w:u w:val="single"/>
        </w:rPr>
        <w:br w:type="page"/>
      </w:r>
    </w:p>
    <w:p w14:paraId="67AF7174" w14:textId="77777777" w:rsidR="00F143F0" w:rsidRDefault="00F143F0" w:rsidP="00892819">
      <w:pPr>
        <w:spacing w:line="360" w:lineRule="auto"/>
        <w:ind w:firstLine="851"/>
        <w:rPr>
          <w:rFonts w:ascii="Arial" w:hAnsi="Arial" w:cs="Arial"/>
          <w:b/>
          <w:sz w:val="24"/>
          <w:szCs w:val="24"/>
          <w:u w:val="single"/>
        </w:rPr>
      </w:pPr>
    </w:p>
    <w:p w14:paraId="0CF888EF" w14:textId="5AC23671" w:rsidR="006261E9" w:rsidRPr="006E07C6" w:rsidRDefault="00C30C86" w:rsidP="00892819">
      <w:pPr>
        <w:spacing w:line="360" w:lineRule="auto"/>
        <w:ind w:firstLine="851"/>
        <w:rPr>
          <w:rFonts w:ascii="Arial" w:hAnsi="Arial" w:cs="Arial"/>
          <w:b/>
          <w:sz w:val="24"/>
          <w:szCs w:val="24"/>
          <w:u w:val="single"/>
        </w:rPr>
      </w:pPr>
      <w:r w:rsidRPr="006E07C6">
        <w:rPr>
          <w:rFonts w:ascii="Arial" w:hAnsi="Arial" w:cs="Arial"/>
          <w:b/>
          <w:sz w:val="24"/>
          <w:szCs w:val="24"/>
          <w:u w:val="single"/>
        </w:rPr>
        <w:t>4</w:t>
      </w:r>
      <w:r w:rsidR="006261E9" w:rsidRPr="006E07C6">
        <w:rPr>
          <w:rFonts w:ascii="Arial" w:hAnsi="Arial" w:cs="Arial"/>
          <w:b/>
          <w:sz w:val="24"/>
          <w:szCs w:val="24"/>
          <w:u w:val="single"/>
        </w:rPr>
        <w:t xml:space="preserve"> –</w:t>
      </w:r>
      <w:r w:rsidR="001439E4" w:rsidRPr="006E07C6">
        <w:rPr>
          <w:rFonts w:ascii="Arial" w:hAnsi="Arial" w:cs="Arial"/>
          <w:b/>
          <w:sz w:val="24"/>
          <w:szCs w:val="24"/>
          <w:u w:val="single"/>
        </w:rPr>
        <w:t xml:space="preserve"> </w:t>
      </w:r>
      <w:r w:rsidR="00AE6E05">
        <w:rPr>
          <w:rFonts w:ascii="Arial" w:hAnsi="Arial" w:cs="Arial"/>
          <w:b/>
          <w:sz w:val="24"/>
          <w:szCs w:val="24"/>
          <w:u w:val="single"/>
        </w:rPr>
        <w:t xml:space="preserve">ORGANIZAÇÃO E </w:t>
      </w:r>
      <w:r w:rsidR="001439E4" w:rsidRPr="006E07C6">
        <w:rPr>
          <w:rFonts w:ascii="Arial" w:hAnsi="Arial" w:cs="Arial"/>
          <w:b/>
          <w:sz w:val="24"/>
          <w:szCs w:val="24"/>
          <w:u w:val="single"/>
        </w:rPr>
        <w:t>METODOLOGIA DE TRABALHO: INFORMAÇÕES E DADOS SOLICITADOS</w:t>
      </w:r>
      <w:r w:rsidR="00C65DE9">
        <w:rPr>
          <w:rFonts w:ascii="Arial" w:hAnsi="Arial" w:cs="Arial"/>
          <w:b/>
          <w:sz w:val="24"/>
          <w:szCs w:val="24"/>
          <w:u w:val="single"/>
        </w:rPr>
        <w:t xml:space="preserve"> E</w:t>
      </w:r>
      <w:r w:rsidR="004422C5">
        <w:rPr>
          <w:rFonts w:ascii="Arial" w:hAnsi="Arial" w:cs="Arial"/>
          <w:b/>
          <w:sz w:val="24"/>
          <w:szCs w:val="24"/>
          <w:u w:val="single"/>
        </w:rPr>
        <w:t xml:space="preserve"> </w:t>
      </w:r>
      <w:r w:rsidR="001439E4" w:rsidRPr="006E07C6">
        <w:rPr>
          <w:rFonts w:ascii="Arial" w:hAnsi="Arial" w:cs="Arial"/>
          <w:b/>
          <w:sz w:val="24"/>
          <w:szCs w:val="24"/>
          <w:u w:val="single"/>
        </w:rPr>
        <w:t>RECEBIDOS</w:t>
      </w:r>
      <w:r w:rsidR="004F3C2E">
        <w:rPr>
          <w:rFonts w:ascii="Arial" w:hAnsi="Arial" w:cs="Arial"/>
          <w:b/>
          <w:sz w:val="24"/>
          <w:szCs w:val="24"/>
          <w:u w:val="single"/>
        </w:rPr>
        <w:t>, BEM COMO</w:t>
      </w:r>
      <w:r w:rsidR="004422C5">
        <w:rPr>
          <w:rFonts w:ascii="Arial" w:hAnsi="Arial" w:cs="Arial"/>
          <w:b/>
          <w:sz w:val="24"/>
          <w:szCs w:val="24"/>
          <w:u w:val="single"/>
        </w:rPr>
        <w:t xml:space="preserve"> </w:t>
      </w:r>
      <w:r w:rsidR="00C65DE9">
        <w:rPr>
          <w:rFonts w:ascii="Arial" w:hAnsi="Arial" w:cs="Arial"/>
          <w:b/>
          <w:sz w:val="24"/>
          <w:szCs w:val="24"/>
          <w:u w:val="single"/>
        </w:rPr>
        <w:t>OITIVAS REALIZADAS</w:t>
      </w:r>
    </w:p>
    <w:p w14:paraId="24509140" w14:textId="3ED513F4" w:rsidR="006261E9" w:rsidRPr="006E07C6" w:rsidRDefault="006261E9" w:rsidP="00892819">
      <w:pPr>
        <w:spacing w:line="360" w:lineRule="auto"/>
        <w:ind w:firstLine="851"/>
        <w:jc w:val="both"/>
        <w:rPr>
          <w:rFonts w:ascii="Arial" w:hAnsi="Arial" w:cs="Arial"/>
          <w:b/>
          <w:sz w:val="24"/>
          <w:szCs w:val="24"/>
          <w:u w:val="single"/>
        </w:rPr>
      </w:pPr>
    </w:p>
    <w:p w14:paraId="7F36CA57" w14:textId="7216FC25" w:rsidR="001B47DA" w:rsidRPr="001B47DA" w:rsidRDefault="001B47DA" w:rsidP="00892819">
      <w:pPr>
        <w:spacing w:line="360" w:lineRule="auto"/>
        <w:ind w:firstLine="851"/>
        <w:jc w:val="both"/>
        <w:rPr>
          <w:rFonts w:ascii="Arial" w:hAnsi="Arial" w:cs="Arial"/>
          <w:b/>
          <w:sz w:val="24"/>
          <w:szCs w:val="24"/>
        </w:rPr>
      </w:pPr>
      <w:r w:rsidRPr="001B47DA">
        <w:rPr>
          <w:rFonts w:ascii="Arial" w:hAnsi="Arial" w:cs="Arial"/>
          <w:b/>
          <w:sz w:val="24"/>
          <w:szCs w:val="24"/>
        </w:rPr>
        <w:t>4.1</w:t>
      </w:r>
      <w:r w:rsidR="006A007E">
        <w:rPr>
          <w:rFonts w:ascii="Arial" w:hAnsi="Arial" w:cs="Arial"/>
          <w:b/>
          <w:sz w:val="24"/>
          <w:szCs w:val="24"/>
        </w:rPr>
        <w:t xml:space="preserve"> –</w:t>
      </w:r>
      <w:r w:rsidRPr="001B47DA">
        <w:rPr>
          <w:rFonts w:ascii="Arial" w:hAnsi="Arial" w:cs="Arial"/>
          <w:b/>
          <w:sz w:val="24"/>
          <w:szCs w:val="24"/>
        </w:rPr>
        <w:t xml:space="preserve"> </w:t>
      </w:r>
      <w:r w:rsidR="006A007E">
        <w:rPr>
          <w:rFonts w:ascii="Arial" w:hAnsi="Arial" w:cs="Arial"/>
          <w:b/>
          <w:sz w:val="24"/>
          <w:szCs w:val="24"/>
        </w:rPr>
        <w:t>PODERES DA CPI</w:t>
      </w:r>
      <w:r w:rsidR="00EE1118">
        <w:rPr>
          <w:rFonts w:ascii="Arial" w:hAnsi="Arial" w:cs="Arial"/>
          <w:b/>
          <w:sz w:val="24"/>
          <w:szCs w:val="24"/>
        </w:rPr>
        <w:t xml:space="preserve"> (ÓTICA CONSTITUCIONAL E REGIMENTAL)</w:t>
      </w:r>
    </w:p>
    <w:p w14:paraId="7ECD6218" w14:textId="77777777" w:rsidR="001B47DA" w:rsidRDefault="001B47DA" w:rsidP="00892819">
      <w:pPr>
        <w:spacing w:line="360" w:lineRule="auto"/>
        <w:ind w:firstLine="851"/>
        <w:jc w:val="both"/>
        <w:rPr>
          <w:rFonts w:ascii="Arial" w:hAnsi="Arial" w:cs="Arial"/>
          <w:sz w:val="24"/>
          <w:szCs w:val="24"/>
        </w:rPr>
      </w:pPr>
    </w:p>
    <w:p w14:paraId="6CC783DC" w14:textId="4EF0E0AA" w:rsidR="00F317E5" w:rsidRDefault="00F317E5" w:rsidP="001439E4">
      <w:pPr>
        <w:spacing w:line="360" w:lineRule="auto"/>
        <w:ind w:firstLine="851"/>
        <w:jc w:val="both"/>
        <w:rPr>
          <w:rFonts w:ascii="Arial" w:hAnsi="Arial" w:cs="Arial"/>
          <w:sz w:val="24"/>
          <w:szCs w:val="24"/>
        </w:rPr>
      </w:pPr>
      <w:r>
        <w:rPr>
          <w:rFonts w:ascii="Arial" w:hAnsi="Arial" w:cs="Arial"/>
          <w:sz w:val="24"/>
          <w:szCs w:val="24"/>
        </w:rPr>
        <w:t xml:space="preserve">Inicialmente, convém destacar </w:t>
      </w:r>
      <w:r w:rsidR="00B51A70">
        <w:rPr>
          <w:rFonts w:ascii="Arial" w:hAnsi="Arial" w:cs="Arial"/>
          <w:sz w:val="24"/>
          <w:szCs w:val="24"/>
        </w:rPr>
        <w:t xml:space="preserve">que a </w:t>
      </w:r>
      <w:r w:rsidR="00B51A70" w:rsidRPr="009170C3">
        <w:rPr>
          <w:rFonts w:ascii="Arial" w:hAnsi="Arial" w:cs="Arial"/>
          <w:b/>
          <w:sz w:val="24"/>
          <w:szCs w:val="24"/>
          <w:u w:val="single"/>
        </w:rPr>
        <w:t>CPI</w:t>
      </w:r>
      <w:r w:rsidR="002F0E74">
        <w:rPr>
          <w:rFonts w:ascii="Arial" w:hAnsi="Arial" w:cs="Arial"/>
          <w:sz w:val="24"/>
          <w:szCs w:val="24"/>
        </w:rPr>
        <w:t>, por expressa previsão constitucional,</w:t>
      </w:r>
      <w:r w:rsidR="00B51A70">
        <w:rPr>
          <w:rFonts w:ascii="Arial" w:hAnsi="Arial" w:cs="Arial"/>
          <w:sz w:val="24"/>
          <w:szCs w:val="24"/>
        </w:rPr>
        <w:t xml:space="preserve"> </w:t>
      </w:r>
      <w:r w:rsidR="006E07C5">
        <w:rPr>
          <w:rFonts w:ascii="Arial" w:hAnsi="Arial" w:cs="Arial"/>
          <w:sz w:val="24"/>
          <w:szCs w:val="24"/>
        </w:rPr>
        <w:t>tem</w:t>
      </w:r>
      <w:r w:rsidR="00B51A70" w:rsidRPr="00B51A70">
        <w:rPr>
          <w:rFonts w:ascii="Arial" w:hAnsi="Arial" w:cs="Arial"/>
          <w:sz w:val="24"/>
          <w:szCs w:val="24"/>
        </w:rPr>
        <w:t xml:space="preserve"> </w:t>
      </w:r>
      <w:r w:rsidR="00B51A70" w:rsidRPr="009170C3">
        <w:rPr>
          <w:rFonts w:ascii="Arial" w:hAnsi="Arial" w:cs="Arial"/>
          <w:b/>
          <w:sz w:val="24"/>
          <w:szCs w:val="24"/>
        </w:rPr>
        <w:t>poderes de investigação próprios das autoridades judiciais</w:t>
      </w:r>
      <w:r w:rsidR="00B51A70" w:rsidRPr="00B51A70">
        <w:rPr>
          <w:rFonts w:ascii="Arial" w:hAnsi="Arial" w:cs="Arial"/>
          <w:sz w:val="24"/>
          <w:szCs w:val="24"/>
        </w:rPr>
        <w:t xml:space="preserve">, além de outros previstos no </w:t>
      </w:r>
      <w:r w:rsidR="00B51A70" w:rsidRPr="009170C3">
        <w:rPr>
          <w:rFonts w:ascii="Arial" w:hAnsi="Arial" w:cs="Arial"/>
          <w:b/>
          <w:sz w:val="24"/>
          <w:szCs w:val="24"/>
        </w:rPr>
        <w:t>regimento interno</w:t>
      </w:r>
      <w:r w:rsidR="00B51A70" w:rsidRPr="00B51A70">
        <w:rPr>
          <w:rFonts w:ascii="Arial" w:hAnsi="Arial" w:cs="Arial"/>
          <w:sz w:val="24"/>
          <w:szCs w:val="24"/>
        </w:rPr>
        <w:t xml:space="preserve"> </w:t>
      </w:r>
      <w:r w:rsidR="004A713E">
        <w:rPr>
          <w:rFonts w:ascii="Arial" w:hAnsi="Arial" w:cs="Arial"/>
          <w:sz w:val="24"/>
          <w:szCs w:val="24"/>
        </w:rPr>
        <w:t>(</w:t>
      </w:r>
      <w:r>
        <w:rPr>
          <w:rFonts w:ascii="Arial" w:hAnsi="Arial" w:cs="Arial"/>
          <w:sz w:val="24"/>
          <w:szCs w:val="24"/>
        </w:rPr>
        <w:t>CRFB</w:t>
      </w:r>
      <w:r w:rsidR="004A713E">
        <w:rPr>
          <w:rFonts w:ascii="Arial" w:hAnsi="Arial" w:cs="Arial"/>
          <w:sz w:val="24"/>
          <w:szCs w:val="24"/>
        </w:rPr>
        <w:t xml:space="preserve">, art. 58; </w:t>
      </w:r>
      <w:r>
        <w:rPr>
          <w:rFonts w:ascii="Arial" w:hAnsi="Arial" w:cs="Arial"/>
          <w:sz w:val="24"/>
          <w:szCs w:val="24"/>
        </w:rPr>
        <w:t>CE/GO,</w:t>
      </w:r>
      <w:r w:rsidR="00D40EE3">
        <w:rPr>
          <w:rFonts w:ascii="Arial" w:hAnsi="Arial" w:cs="Arial"/>
          <w:sz w:val="24"/>
          <w:szCs w:val="24"/>
        </w:rPr>
        <w:t xml:space="preserve"> art. 17, </w:t>
      </w:r>
      <w:r w:rsidR="00D40EE3" w:rsidRPr="00D40EE3">
        <w:rPr>
          <w:rFonts w:ascii="Arial" w:hAnsi="Arial" w:cs="Arial"/>
          <w:sz w:val="24"/>
          <w:szCs w:val="24"/>
        </w:rPr>
        <w:t>§ 3º</w:t>
      </w:r>
      <w:r w:rsidR="00203DEF">
        <w:rPr>
          <w:rFonts w:ascii="Arial" w:hAnsi="Arial" w:cs="Arial"/>
          <w:sz w:val="24"/>
          <w:szCs w:val="24"/>
        </w:rPr>
        <w:t>),</w:t>
      </w:r>
      <w:r>
        <w:rPr>
          <w:rFonts w:ascii="Arial" w:hAnsi="Arial" w:cs="Arial"/>
          <w:sz w:val="24"/>
          <w:szCs w:val="24"/>
        </w:rPr>
        <w:t xml:space="preserve"> </w:t>
      </w:r>
      <w:r w:rsidR="00112914" w:rsidRPr="00112914">
        <w:rPr>
          <w:rFonts w:ascii="Arial" w:hAnsi="Arial" w:cs="Arial"/>
          <w:i/>
          <w:sz w:val="24"/>
          <w:szCs w:val="24"/>
        </w:rPr>
        <w:t>in verbis</w:t>
      </w:r>
      <w:r>
        <w:rPr>
          <w:rFonts w:ascii="Arial" w:hAnsi="Arial" w:cs="Arial"/>
          <w:sz w:val="24"/>
          <w:szCs w:val="24"/>
        </w:rPr>
        <w:t>:</w:t>
      </w:r>
    </w:p>
    <w:p w14:paraId="43CAEF82" w14:textId="77777777" w:rsidR="00F317E5" w:rsidRDefault="00F317E5" w:rsidP="001439E4">
      <w:pPr>
        <w:spacing w:line="360" w:lineRule="auto"/>
        <w:ind w:firstLine="851"/>
        <w:jc w:val="both"/>
        <w:rPr>
          <w:rFonts w:ascii="Arial" w:hAnsi="Arial" w:cs="Arial"/>
          <w:b/>
          <w:sz w:val="24"/>
          <w:szCs w:val="24"/>
        </w:rPr>
      </w:pPr>
    </w:p>
    <w:p w14:paraId="68D3F3B3" w14:textId="27FF8B03" w:rsidR="00F317E5" w:rsidRPr="00F317E5" w:rsidRDefault="00F317E5" w:rsidP="008C5951">
      <w:pPr>
        <w:ind w:left="2268"/>
        <w:jc w:val="both"/>
        <w:rPr>
          <w:rFonts w:ascii="Arial" w:hAnsi="Arial" w:cs="Arial"/>
          <w:b/>
          <w:sz w:val="22"/>
          <w:szCs w:val="22"/>
          <w:u w:val="single"/>
        </w:rPr>
      </w:pPr>
      <w:r w:rsidRPr="00F317E5">
        <w:rPr>
          <w:rFonts w:ascii="Arial" w:hAnsi="Arial" w:cs="Arial"/>
          <w:b/>
          <w:sz w:val="22"/>
          <w:szCs w:val="22"/>
          <w:u w:val="single"/>
        </w:rPr>
        <w:t>CRFB</w:t>
      </w:r>
    </w:p>
    <w:p w14:paraId="6C470B39" w14:textId="17CA05BA" w:rsidR="009C7211" w:rsidRDefault="00F317E5" w:rsidP="008C5951">
      <w:pPr>
        <w:ind w:left="2268"/>
        <w:jc w:val="both"/>
        <w:rPr>
          <w:rFonts w:ascii="Arial" w:hAnsi="Arial" w:cs="Arial"/>
          <w:b/>
          <w:sz w:val="22"/>
          <w:szCs w:val="22"/>
        </w:rPr>
      </w:pPr>
      <w:r w:rsidRPr="00F317E5">
        <w:rPr>
          <w:rFonts w:ascii="Arial" w:hAnsi="Arial" w:cs="Arial"/>
          <w:b/>
          <w:sz w:val="22"/>
          <w:szCs w:val="22"/>
        </w:rPr>
        <w:t>Art. 58. </w:t>
      </w:r>
      <w:r w:rsidR="009C7211" w:rsidRPr="009C7211">
        <w:rPr>
          <w:rFonts w:ascii="Arial" w:hAnsi="Arial" w:cs="Arial"/>
          <w:sz w:val="22"/>
          <w:szCs w:val="22"/>
        </w:rPr>
        <w:t>O Congresso Nacional e suas Casas terão comissões permanentes e temporárias, constituídas na forma e com as atribuições previstas no respectivo regimento ou no ato de que resultar sua criação.</w:t>
      </w:r>
    </w:p>
    <w:p w14:paraId="59054C15" w14:textId="5065CBC4" w:rsidR="00F317E5" w:rsidRPr="00F317E5" w:rsidRDefault="00F317E5" w:rsidP="008C5951">
      <w:pPr>
        <w:ind w:left="2268"/>
        <w:jc w:val="both"/>
        <w:rPr>
          <w:rFonts w:ascii="Arial" w:hAnsi="Arial" w:cs="Arial"/>
          <w:b/>
          <w:sz w:val="22"/>
          <w:szCs w:val="22"/>
        </w:rPr>
      </w:pPr>
      <w:r w:rsidRPr="00F317E5">
        <w:rPr>
          <w:rFonts w:ascii="Arial" w:hAnsi="Arial" w:cs="Arial"/>
          <w:sz w:val="22"/>
          <w:szCs w:val="22"/>
        </w:rPr>
        <w:t>[...].</w:t>
      </w:r>
    </w:p>
    <w:p w14:paraId="2B74667A" w14:textId="75A51436" w:rsidR="00F317E5" w:rsidRPr="00605BD0" w:rsidRDefault="00F317E5" w:rsidP="008C5951">
      <w:pPr>
        <w:ind w:left="2268"/>
        <w:jc w:val="both"/>
        <w:rPr>
          <w:rFonts w:ascii="Arial" w:hAnsi="Arial" w:cs="Arial"/>
          <w:sz w:val="22"/>
          <w:szCs w:val="22"/>
        </w:rPr>
      </w:pPr>
      <w:r w:rsidRPr="00F317E5">
        <w:rPr>
          <w:rFonts w:ascii="Arial" w:hAnsi="Arial" w:cs="Arial"/>
          <w:sz w:val="22"/>
          <w:szCs w:val="22"/>
        </w:rPr>
        <w:t xml:space="preserve">§ 3º As </w:t>
      </w:r>
      <w:r w:rsidRPr="00B51A70">
        <w:rPr>
          <w:rFonts w:ascii="Arial" w:hAnsi="Arial" w:cs="Arial"/>
          <w:sz w:val="22"/>
          <w:szCs w:val="22"/>
        </w:rPr>
        <w:t>comissões parlamentares de inquérito</w:t>
      </w:r>
      <w:r w:rsidRPr="00F317E5">
        <w:rPr>
          <w:rFonts w:ascii="Arial" w:hAnsi="Arial" w:cs="Arial"/>
          <w:sz w:val="22"/>
          <w:szCs w:val="22"/>
        </w:rPr>
        <w:t>, que terão poderes de investigação próprios das autoridades judiciais, além de outros previstos nos regimentos das respectivas Casas, serão criadas pela Câmara dos Deputados e pelo Senado Federal, em conjunto ou separadamente, mediante requerimento de um terço de seus membros, para a apuração de fato determinado e por prazo certo, sendo suas conclusões, se for o caso, encaminhadas ao Ministério Público, para que promova a responsabilidade civil ou criminal dos infratores.</w:t>
      </w:r>
    </w:p>
    <w:p w14:paraId="020E0DBD" w14:textId="4B023BFF" w:rsidR="00F317E5" w:rsidRDefault="00F317E5" w:rsidP="008C5951">
      <w:pPr>
        <w:ind w:left="2268"/>
        <w:jc w:val="both"/>
        <w:rPr>
          <w:rFonts w:ascii="Arial" w:hAnsi="Arial" w:cs="Arial"/>
          <w:b/>
          <w:sz w:val="22"/>
          <w:szCs w:val="22"/>
        </w:rPr>
      </w:pPr>
    </w:p>
    <w:p w14:paraId="0600A093" w14:textId="79F3DA9C" w:rsidR="00764563" w:rsidRDefault="00764563" w:rsidP="008C5951">
      <w:pPr>
        <w:ind w:left="2268"/>
        <w:jc w:val="both"/>
        <w:rPr>
          <w:rFonts w:ascii="Arial" w:hAnsi="Arial" w:cs="Arial"/>
          <w:b/>
          <w:sz w:val="22"/>
          <w:szCs w:val="22"/>
          <w:u w:val="single"/>
        </w:rPr>
      </w:pPr>
      <w:r w:rsidRPr="00F317E5">
        <w:rPr>
          <w:rFonts w:ascii="Arial" w:hAnsi="Arial" w:cs="Arial"/>
          <w:b/>
          <w:sz w:val="22"/>
          <w:szCs w:val="22"/>
          <w:u w:val="single"/>
        </w:rPr>
        <w:t>C</w:t>
      </w:r>
      <w:r>
        <w:rPr>
          <w:rFonts w:ascii="Arial" w:hAnsi="Arial" w:cs="Arial"/>
          <w:b/>
          <w:sz w:val="22"/>
          <w:szCs w:val="22"/>
          <w:u w:val="single"/>
        </w:rPr>
        <w:t>E/GO</w:t>
      </w:r>
    </w:p>
    <w:p w14:paraId="230E1FB9" w14:textId="1B978239" w:rsidR="0009551E" w:rsidRDefault="0009551E" w:rsidP="008C5951">
      <w:pPr>
        <w:ind w:left="2268"/>
        <w:jc w:val="both"/>
        <w:rPr>
          <w:rFonts w:ascii="Arial" w:hAnsi="Arial" w:cs="Arial"/>
          <w:sz w:val="22"/>
          <w:szCs w:val="22"/>
        </w:rPr>
      </w:pPr>
      <w:r w:rsidRPr="00EF3426">
        <w:rPr>
          <w:rFonts w:ascii="Arial" w:hAnsi="Arial" w:cs="Arial"/>
          <w:b/>
          <w:sz w:val="22"/>
          <w:szCs w:val="22"/>
        </w:rPr>
        <w:t>Art. 17</w:t>
      </w:r>
      <w:r w:rsidR="00EF3426" w:rsidRPr="00EF3426">
        <w:rPr>
          <w:rFonts w:ascii="Arial" w:hAnsi="Arial" w:cs="Arial"/>
          <w:b/>
          <w:sz w:val="22"/>
          <w:szCs w:val="22"/>
        </w:rPr>
        <w:t>.</w:t>
      </w:r>
      <w:r w:rsidRPr="0009551E">
        <w:rPr>
          <w:rFonts w:ascii="Arial" w:hAnsi="Arial" w:cs="Arial"/>
          <w:sz w:val="22"/>
          <w:szCs w:val="22"/>
        </w:rPr>
        <w:t xml:space="preserve"> A Assembleia Legislativa terá comissões permanentes e temporárias na forma e com as atribuições previstas no regimento interno ou no ato de que resultar sua criação.</w:t>
      </w:r>
    </w:p>
    <w:p w14:paraId="5A215AE1" w14:textId="07FAC6D4" w:rsidR="0009551E" w:rsidRDefault="0009551E" w:rsidP="008C5951">
      <w:pPr>
        <w:ind w:left="2268"/>
        <w:jc w:val="both"/>
        <w:rPr>
          <w:rFonts w:ascii="Arial" w:hAnsi="Arial" w:cs="Arial"/>
          <w:sz w:val="22"/>
          <w:szCs w:val="22"/>
        </w:rPr>
      </w:pPr>
      <w:r>
        <w:rPr>
          <w:rFonts w:ascii="Arial" w:hAnsi="Arial" w:cs="Arial"/>
          <w:sz w:val="22"/>
          <w:szCs w:val="22"/>
        </w:rPr>
        <w:t>[...].</w:t>
      </w:r>
    </w:p>
    <w:p w14:paraId="1B167954" w14:textId="7301B1C7" w:rsidR="00764563" w:rsidRPr="0009551E" w:rsidRDefault="0009551E" w:rsidP="008C5951">
      <w:pPr>
        <w:ind w:left="2268"/>
        <w:jc w:val="both"/>
        <w:rPr>
          <w:rFonts w:ascii="Arial" w:hAnsi="Arial" w:cs="Arial"/>
          <w:sz w:val="22"/>
          <w:szCs w:val="22"/>
        </w:rPr>
      </w:pPr>
      <w:r w:rsidRPr="0009551E">
        <w:rPr>
          <w:rFonts w:ascii="Arial" w:hAnsi="Arial" w:cs="Arial"/>
          <w:sz w:val="22"/>
          <w:szCs w:val="22"/>
        </w:rPr>
        <w:t>§ 3º - As comissões parlamentares de inquérito, que terão poderes de investigação próprios das autoridades judiciais, além de outros previstos no regimento interno, serão criadas pela Assembleia, a requerimento de um terço de seus membros, para a apuração de fato determinado e por prazo certo, sendo suas conclusões, se for o caso, encaminhadas ao Ministério Público, para promoção da responsabilidade civil ou criminal dos infratores.</w:t>
      </w:r>
    </w:p>
    <w:p w14:paraId="770F4DB7" w14:textId="77777777" w:rsidR="00B51A70" w:rsidRDefault="00B51A70" w:rsidP="00B51A70">
      <w:pPr>
        <w:spacing w:line="360" w:lineRule="auto"/>
        <w:ind w:firstLine="851"/>
        <w:jc w:val="both"/>
        <w:rPr>
          <w:rFonts w:ascii="Arial" w:hAnsi="Arial" w:cs="Arial"/>
          <w:sz w:val="24"/>
          <w:szCs w:val="24"/>
        </w:rPr>
      </w:pPr>
    </w:p>
    <w:p w14:paraId="00075EB1" w14:textId="2482E8E0" w:rsidR="00B51A70" w:rsidRDefault="00567861" w:rsidP="00B51A70">
      <w:pPr>
        <w:spacing w:line="360" w:lineRule="auto"/>
        <w:ind w:firstLine="851"/>
        <w:jc w:val="both"/>
        <w:rPr>
          <w:rFonts w:ascii="Arial" w:hAnsi="Arial" w:cs="Arial"/>
          <w:sz w:val="24"/>
          <w:szCs w:val="24"/>
        </w:rPr>
      </w:pPr>
      <w:r>
        <w:rPr>
          <w:rFonts w:ascii="Arial" w:hAnsi="Arial" w:cs="Arial"/>
          <w:sz w:val="24"/>
          <w:szCs w:val="24"/>
        </w:rPr>
        <w:t xml:space="preserve">O </w:t>
      </w:r>
      <w:r w:rsidRPr="00B40A25">
        <w:rPr>
          <w:rFonts w:ascii="Arial" w:hAnsi="Arial" w:cs="Arial"/>
          <w:b/>
          <w:sz w:val="24"/>
          <w:szCs w:val="24"/>
        </w:rPr>
        <w:t>Regimento Interno da Assembleia Legislativa do Estado de Goiás (</w:t>
      </w:r>
      <w:r w:rsidR="00DC5BE2">
        <w:rPr>
          <w:rFonts w:ascii="Arial" w:hAnsi="Arial" w:cs="Arial"/>
          <w:b/>
          <w:sz w:val="24"/>
          <w:szCs w:val="24"/>
        </w:rPr>
        <w:t>RI-</w:t>
      </w:r>
      <w:r w:rsidRPr="00B40A25">
        <w:rPr>
          <w:rFonts w:ascii="Arial" w:hAnsi="Arial" w:cs="Arial"/>
          <w:b/>
          <w:sz w:val="24"/>
          <w:szCs w:val="24"/>
        </w:rPr>
        <w:t>ALEGO)</w:t>
      </w:r>
      <w:r>
        <w:rPr>
          <w:rFonts w:ascii="Arial" w:hAnsi="Arial" w:cs="Arial"/>
          <w:sz w:val="24"/>
          <w:szCs w:val="24"/>
        </w:rPr>
        <w:t>,</w:t>
      </w:r>
      <w:r w:rsidR="00683624">
        <w:rPr>
          <w:rFonts w:ascii="Arial" w:hAnsi="Arial" w:cs="Arial"/>
          <w:sz w:val="24"/>
          <w:szCs w:val="24"/>
        </w:rPr>
        <w:t xml:space="preserve"> em seu art. 5</w:t>
      </w:r>
      <w:r w:rsidR="001B46A6">
        <w:rPr>
          <w:rFonts w:ascii="Arial" w:hAnsi="Arial" w:cs="Arial"/>
          <w:sz w:val="24"/>
          <w:szCs w:val="24"/>
        </w:rPr>
        <w:t>4</w:t>
      </w:r>
      <w:r w:rsidR="00683624">
        <w:rPr>
          <w:rFonts w:ascii="Arial" w:hAnsi="Arial" w:cs="Arial"/>
          <w:sz w:val="24"/>
          <w:szCs w:val="24"/>
        </w:rPr>
        <w:t>,</w:t>
      </w:r>
      <w:r>
        <w:rPr>
          <w:rFonts w:ascii="Arial" w:hAnsi="Arial" w:cs="Arial"/>
          <w:sz w:val="24"/>
          <w:szCs w:val="24"/>
        </w:rPr>
        <w:t xml:space="preserve"> por sua vez, </w:t>
      </w:r>
      <w:r w:rsidR="00683624">
        <w:rPr>
          <w:rFonts w:ascii="Arial" w:hAnsi="Arial" w:cs="Arial"/>
          <w:sz w:val="24"/>
          <w:szCs w:val="24"/>
        </w:rPr>
        <w:t xml:space="preserve">prevê em que poderá consistir o trabalho da </w:t>
      </w:r>
      <w:r w:rsidR="00B51A70">
        <w:rPr>
          <w:rFonts w:ascii="Arial" w:hAnsi="Arial" w:cs="Arial"/>
          <w:sz w:val="24"/>
          <w:szCs w:val="24"/>
        </w:rPr>
        <w:t>CPI:</w:t>
      </w:r>
    </w:p>
    <w:p w14:paraId="2FC48BC4" w14:textId="77777777" w:rsidR="00764563" w:rsidRDefault="00764563" w:rsidP="00605BD0">
      <w:pPr>
        <w:ind w:left="2268" w:firstLine="284"/>
        <w:jc w:val="both"/>
        <w:rPr>
          <w:rFonts w:ascii="Arial" w:hAnsi="Arial" w:cs="Arial"/>
          <w:b/>
          <w:sz w:val="22"/>
          <w:szCs w:val="22"/>
        </w:rPr>
      </w:pPr>
    </w:p>
    <w:p w14:paraId="12B69FD2" w14:textId="77777777" w:rsidR="005075CC" w:rsidRPr="005075CC" w:rsidRDefault="005075CC" w:rsidP="008C5951">
      <w:pPr>
        <w:ind w:left="2268"/>
        <w:jc w:val="both"/>
        <w:rPr>
          <w:rFonts w:ascii="Arial" w:hAnsi="Arial" w:cs="Arial"/>
          <w:b/>
          <w:sz w:val="22"/>
          <w:szCs w:val="22"/>
          <w:u w:val="single"/>
        </w:rPr>
      </w:pPr>
      <w:r w:rsidRPr="005075CC">
        <w:rPr>
          <w:rFonts w:ascii="Arial" w:hAnsi="Arial" w:cs="Arial"/>
          <w:b/>
          <w:sz w:val="22"/>
          <w:szCs w:val="22"/>
          <w:u w:val="single"/>
        </w:rPr>
        <w:t>RI-ALEGO</w:t>
      </w:r>
    </w:p>
    <w:p w14:paraId="7014151C" w14:textId="6DA585E1" w:rsidR="001439E4" w:rsidRPr="00605BD0" w:rsidRDefault="001439E4" w:rsidP="008C5951">
      <w:pPr>
        <w:ind w:left="2268"/>
        <w:jc w:val="both"/>
        <w:rPr>
          <w:rFonts w:ascii="Arial" w:hAnsi="Arial" w:cs="Arial"/>
          <w:sz w:val="22"/>
          <w:szCs w:val="22"/>
        </w:rPr>
      </w:pPr>
      <w:r w:rsidRPr="00605BD0">
        <w:rPr>
          <w:rFonts w:ascii="Arial" w:hAnsi="Arial" w:cs="Arial"/>
          <w:b/>
          <w:sz w:val="22"/>
          <w:szCs w:val="22"/>
        </w:rPr>
        <w:t>Art. 54.</w:t>
      </w:r>
      <w:r w:rsidRPr="00605BD0">
        <w:rPr>
          <w:rFonts w:ascii="Arial" w:hAnsi="Arial" w:cs="Arial"/>
          <w:sz w:val="22"/>
          <w:szCs w:val="22"/>
        </w:rPr>
        <w:t xml:space="preserve"> No exercício de suas atribuições, a Comissão Parlamentar de Inquérito realizará as diligências que julgar necessárias, podendo convocar Secretários de Estado ou autoridades equivalentes, tomar </w:t>
      </w:r>
      <w:r w:rsidRPr="00605BD0">
        <w:rPr>
          <w:rFonts w:ascii="Arial" w:hAnsi="Arial" w:cs="Arial"/>
          <w:sz w:val="22"/>
          <w:szCs w:val="22"/>
        </w:rPr>
        <w:lastRenderedPageBreak/>
        <w:t xml:space="preserve">depoimento de qualquer autoridade, inquirir testemunhas sob compromisso, ouvir indiciados, requisitar de órgãos públicos informações ou documentos de qualquer natureza, bem como requerer ao Tribunal de Contas do Estado a realização de inspeções e auditorias que entender necessárias. </w:t>
      </w:r>
    </w:p>
    <w:p w14:paraId="4D7AC31D" w14:textId="6132D795" w:rsidR="001439E4" w:rsidRPr="00605BD0" w:rsidRDefault="001439E4" w:rsidP="008C5951">
      <w:pPr>
        <w:ind w:left="2268"/>
        <w:jc w:val="both"/>
        <w:rPr>
          <w:rFonts w:ascii="Arial" w:hAnsi="Arial" w:cs="Arial"/>
          <w:sz w:val="22"/>
          <w:szCs w:val="22"/>
        </w:rPr>
      </w:pPr>
      <w:r w:rsidRPr="00605BD0">
        <w:rPr>
          <w:rFonts w:ascii="Arial" w:hAnsi="Arial" w:cs="Arial"/>
          <w:sz w:val="22"/>
          <w:szCs w:val="22"/>
        </w:rPr>
        <w:t>§ 1</w:t>
      </w:r>
      <w:r w:rsidR="00544036">
        <w:rPr>
          <w:rFonts w:ascii="Arial" w:hAnsi="Arial" w:cs="Arial"/>
          <w:sz w:val="22"/>
          <w:szCs w:val="22"/>
        </w:rPr>
        <w:t>º</w:t>
      </w:r>
      <w:r w:rsidRPr="00605BD0">
        <w:rPr>
          <w:rFonts w:ascii="Arial" w:hAnsi="Arial" w:cs="Arial"/>
          <w:sz w:val="22"/>
          <w:szCs w:val="22"/>
        </w:rPr>
        <w:t xml:space="preserve"> No dia previamente designado, se não houver número para deliberar, a Comissão poderá tomar depoimento das testemunhas ou autoridades convocadas, desde que estejam presentes o Presidente e o Relator. </w:t>
      </w:r>
    </w:p>
    <w:p w14:paraId="0F6B4831" w14:textId="48C98477" w:rsidR="006261E9" w:rsidRDefault="001439E4" w:rsidP="008C5951">
      <w:pPr>
        <w:ind w:left="2268"/>
        <w:jc w:val="both"/>
        <w:rPr>
          <w:rFonts w:ascii="Arial" w:hAnsi="Arial" w:cs="Arial"/>
          <w:sz w:val="22"/>
          <w:szCs w:val="22"/>
        </w:rPr>
      </w:pPr>
      <w:r w:rsidRPr="00605BD0">
        <w:rPr>
          <w:rFonts w:ascii="Arial" w:hAnsi="Arial" w:cs="Arial"/>
          <w:sz w:val="22"/>
          <w:szCs w:val="22"/>
        </w:rPr>
        <w:t>§ 2</w:t>
      </w:r>
      <w:r w:rsidR="00544036">
        <w:rPr>
          <w:rFonts w:ascii="Arial" w:hAnsi="Arial" w:cs="Arial"/>
          <w:sz w:val="22"/>
          <w:szCs w:val="22"/>
        </w:rPr>
        <w:t>º</w:t>
      </w:r>
      <w:r w:rsidRPr="00605BD0">
        <w:rPr>
          <w:rFonts w:ascii="Arial" w:hAnsi="Arial" w:cs="Arial"/>
          <w:sz w:val="22"/>
          <w:szCs w:val="22"/>
        </w:rPr>
        <w:t xml:space="preserve"> Os indiciados e testemunhas serão intimados de acordo com as prescrições estabelecidas na legislação processual penal, aplicando-se, no que couber, a mesma legislação, na inquirição de testemunhas e autoridades.</w:t>
      </w:r>
    </w:p>
    <w:p w14:paraId="1A5BDA1B" w14:textId="5A0A63E7" w:rsidR="006261E9" w:rsidRDefault="006261E9" w:rsidP="00713208">
      <w:pPr>
        <w:spacing w:line="360" w:lineRule="auto"/>
        <w:ind w:firstLine="851"/>
        <w:jc w:val="both"/>
        <w:rPr>
          <w:rFonts w:ascii="Arial" w:hAnsi="Arial" w:cs="Arial"/>
          <w:b/>
          <w:sz w:val="24"/>
          <w:szCs w:val="24"/>
          <w:u w:val="single"/>
        </w:rPr>
      </w:pPr>
    </w:p>
    <w:p w14:paraId="1669AA9C" w14:textId="6C4D28D1" w:rsidR="00BF6EB0" w:rsidRDefault="00BF6EB0" w:rsidP="00713208">
      <w:pPr>
        <w:spacing w:line="360" w:lineRule="auto"/>
        <w:ind w:firstLine="851"/>
        <w:jc w:val="both"/>
        <w:rPr>
          <w:rFonts w:ascii="Arial" w:hAnsi="Arial" w:cs="Arial"/>
          <w:sz w:val="24"/>
          <w:szCs w:val="24"/>
        </w:rPr>
      </w:pPr>
      <w:r w:rsidRPr="00BF6EB0">
        <w:rPr>
          <w:rFonts w:ascii="Arial" w:hAnsi="Arial" w:cs="Arial"/>
          <w:sz w:val="24"/>
          <w:szCs w:val="24"/>
        </w:rPr>
        <w:t xml:space="preserve">No uso de suas </w:t>
      </w:r>
      <w:r w:rsidR="008F2B27" w:rsidRPr="009D3E82">
        <w:rPr>
          <w:rFonts w:ascii="Arial" w:hAnsi="Arial" w:cs="Arial"/>
          <w:b/>
          <w:sz w:val="24"/>
          <w:szCs w:val="24"/>
        </w:rPr>
        <w:t>prerrogativas institucionais</w:t>
      </w:r>
      <w:r w:rsidR="008F2B27">
        <w:rPr>
          <w:rFonts w:ascii="Arial" w:hAnsi="Arial" w:cs="Arial"/>
          <w:sz w:val="24"/>
          <w:szCs w:val="24"/>
        </w:rPr>
        <w:t xml:space="preserve">, </w:t>
      </w:r>
      <w:r w:rsidR="00DD6547">
        <w:rPr>
          <w:rFonts w:ascii="Arial" w:hAnsi="Arial" w:cs="Arial"/>
          <w:sz w:val="24"/>
          <w:szCs w:val="24"/>
        </w:rPr>
        <w:t xml:space="preserve">esta CPI requisitou documentos e informações de vários órgãos públicos, além de ter ouvido </w:t>
      </w:r>
      <w:r w:rsidR="008F5CEA">
        <w:rPr>
          <w:rFonts w:ascii="Arial" w:hAnsi="Arial" w:cs="Arial"/>
          <w:sz w:val="24"/>
          <w:szCs w:val="24"/>
        </w:rPr>
        <w:t>representantes de diversos segmentos econômicos, a fim de amadurecer e aprofundar o</w:t>
      </w:r>
      <w:r w:rsidR="008407FA">
        <w:rPr>
          <w:rFonts w:ascii="Arial" w:hAnsi="Arial" w:cs="Arial"/>
          <w:sz w:val="24"/>
          <w:szCs w:val="24"/>
        </w:rPr>
        <w:t>s trabalhos</w:t>
      </w:r>
      <w:r w:rsidR="008F5CEA">
        <w:rPr>
          <w:rFonts w:ascii="Arial" w:hAnsi="Arial" w:cs="Arial"/>
          <w:sz w:val="24"/>
          <w:szCs w:val="24"/>
        </w:rPr>
        <w:t xml:space="preserve"> desta Comissão.</w:t>
      </w:r>
      <w:r w:rsidR="009D3E82">
        <w:rPr>
          <w:rFonts w:ascii="Arial" w:hAnsi="Arial" w:cs="Arial"/>
          <w:sz w:val="24"/>
          <w:szCs w:val="24"/>
        </w:rPr>
        <w:t xml:space="preserve"> Passa-se, a seguir, a descrever</w:t>
      </w:r>
      <w:r w:rsidR="00D3644D">
        <w:rPr>
          <w:rFonts w:ascii="Arial" w:hAnsi="Arial" w:cs="Arial"/>
          <w:sz w:val="24"/>
          <w:szCs w:val="24"/>
        </w:rPr>
        <w:t xml:space="preserve"> </w:t>
      </w:r>
      <w:r w:rsidR="004B3037">
        <w:rPr>
          <w:rFonts w:ascii="Arial" w:hAnsi="Arial" w:cs="Arial"/>
          <w:sz w:val="24"/>
          <w:szCs w:val="24"/>
        </w:rPr>
        <w:t>sumariamente</w:t>
      </w:r>
      <w:r w:rsidR="009D3E82">
        <w:rPr>
          <w:rFonts w:ascii="Arial" w:hAnsi="Arial" w:cs="Arial"/>
          <w:sz w:val="24"/>
          <w:szCs w:val="24"/>
        </w:rPr>
        <w:t xml:space="preserve"> </w:t>
      </w:r>
      <w:r w:rsidR="00567E04">
        <w:rPr>
          <w:rFonts w:ascii="Arial" w:hAnsi="Arial" w:cs="Arial"/>
          <w:sz w:val="24"/>
          <w:szCs w:val="24"/>
        </w:rPr>
        <w:t>a</w:t>
      </w:r>
      <w:r w:rsidR="008E3138">
        <w:rPr>
          <w:rFonts w:ascii="Arial" w:hAnsi="Arial" w:cs="Arial"/>
          <w:sz w:val="24"/>
          <w:szCs w:val="24"/>
        </w:rPr>
        <w:t xml:space="preserve">s diligências efetuadas por </w:t>
      </w:r>
      <w:r w:rsidR="003E12DA">
        <w:rPr>
          <w:rFonts w:ascii="Arial" w:hAnsi="Arial" w:cs="Arial"/>
          <w:sz w:val="24"/>
          <w:szCs w:val="24"/>
        </w:rPr>
        <w:t>esta</w:t>
      </w:r>
      <w:r w:rsidR="008E3138">
        <w:rPr>
          <w:rFonts w:ascii="Arial" w:hAnsi="Arial" w:cs="Arial"/>
          <w:sz w:val="24"/>
          <w:szCs w:val="24"/>
        </w:rPr>
        <w:t xml:space="preserve"> </w:t>
      </w:r>
      <w:r w:rsidR="007F027A">
        <w:rPr>
          <w:rFonts w:ascii="Arial" w:hAnsi="Arial" w:cs="Arial"/>
          <w:sz w:val="24"/>
          <w:szCs w:val="24"/>
        </w:rPr>
        <w:t>CPI.</w:t>
      </w:r>
    </w:p>
    <w:p w14:paraId="6723C0CD" w14:textId="1E92C8CD" w:rsidR="00452B5C" w:rsidRDefault="00452B5C" w:rsidP="00713208">
      <w:pPr>
        <w:spacing w:line="360" w:lineRule="auto"/>
        <w:ind w:firstLine="851"/>
        <w:jc w:val="both"/>
        <w:rPr>
          <w:rFonts w:ascii="Arial" w:hAnsi="Arial" w:cs="Arial"/>
          <w:sz w:val="24"/>
          <w:szCs w:val="24"/>
        </w:rPr>
      </w:pPr>
    </w:p>
    <w:p w14:paraId="62338815" w14:textId="4DF603E7" w:rsidR="00452B5C" w:rsidRPr="00452B5C" w:rsidRDefault="00452B5C" w:rsidP="00452B5C">
      <w:pPr>
        <w:spacing w:line="360" w:lineRule="auto"/>
        <w:ind w:firstLine="851"/>
        <w:jc w:val="both"/>
        <w:rPr>
          <w:rFonts w:ascii="Arial" w:hAnsi="Arial" w:cs="Arial"/>
          <w:b/>
          <w:sz w:val="24"/>
          <w:szCs w:val="24"/>
        </w:rPr>
      </w:pPr>
      <w:r w:rsidRPr="00452B5C">
        <w:rPr>
          <w:rFonts w:ascii="Arial" w:hAnsi="Arial" w:cs="Arial"/>
          <w:b/>
          <w:sz w:val="24"/>
          <w:szCs w:val="24"/>
        </w:rPr>
        <w:t>4.</w:t>
      </w:r>
      <w:r>
        <w:rPr>
          <w:rFonts w:ascii="Arial" w:hAnsi="Arial" w:cs="Arial"/>
          <w:b/>
          <w:sz w:val="24"/>
          <w:szCs w:val="24"/>
        </w:rPr>
        <w:t>2</w:t>
      </w:r>
      <w:r w:rsidRPr="00452B5C">
        <w:rPr>
          <w:rFonts w:ascii="Arial" w:hAnsi="Arial" w:cs="Arial"/>
          <w:b/>
          <w:sz w:val="24"/>
          <w:szCs w:val="24"/>
        </w:rPr>
        <w:t xml:space="preserve"> – DOCUMENTOS E INFORMAÇÕES REQUISITADOS</w:t>
      </w:r>
    </w:p>
    <w:p w14:paraId="002E35BF" w14:textId="77777777" w:rsidR="00452B5C" w:rsidRDefault="00452B5C" w:rsidP="00713208">
      <w:pPr>
        <w:spacing w:line="360" w:lineRule="auto"/>
        <w:ind w:firstLine="851"/>
        <w:jc w:val="both"/>
        <w:rPr>
          <w:rFonts w:ascii="Arial" w:hAnsi="Arial" w:cs="Arial"/>
          <w:sz w:val="24"/>
          <w:szCs w:val="24"/>
        </w:rPr>
      </w:pPr>
    </w:p>
    <w:p w14:paraId="5AB3E5EA" w14:textId="3781048C" w:rsidR="009170C3" w:rsidRDefault="009170C3" w:rsidP="00713208">
      <w:pPr>
        <w:spacing w:line="360" w:lineRule="auto"/>
        <w:ind w:firstLine="851"/>
        <w:jc w:val="both"/>
        <w:rPr>
          <w:rFonts w:ascii="Arial" w:hAnsi="Arial" w:cs="Arial"/>
          <w:sz w:val="24"/>
          <w:szCs w:val="24"/>
        </w:rPr>
      </w:pPr>
      <w:r>
        <w:rPr>
          <w:rFonts w:ascii="Arial" w:hAnsi="Arial" w:cs="Arial"/>
          <w:sz w:val="24"/>
          <w:szCs w:val="24"/>
        </w:rPr>
        <w:t xml:space="preserve">A CPI requisitou </w:t>
      </w:r>
      <w:r w:rsidRPr="009170C3">
        <w:rPr>
          <w:rFonts w:ascii="Arial" w:hAnsi="Arial" w:cs="Arial"/>
          <w:b/>
          <w:sz w:val="24"/>
          <w:szCs w:val="24"/>
        </w:rPr>
        <w:t>documentos e informações</w:t>
      </w:r>
      <w:r>
        <w:rPr>
          <w:rFonts w:ascii="Arial" w:hAnsi="Arial" w:cs="Arial"/>
          <w:sz w:val="24"/>
          <w:szCs w:val="24"/>
        </w:rPr>
        <w:t xml:space="preserve"> d</w:t>
      </w:r>
      <w:r w:rsidR="00BB5789">
        <w:rPr>
          <w:rFonts w:ascii="Arial" w:hAnsi="Arial" w:cs="Arial"/>
          <w:sz w:val="24"/>
          <w:szCs w:val="24"/>
        </w:rPr>
        <w:t>o</w:t>
      </w:r>
      <w:r>
        <w:rPr>
          <w:rFonts w:ascii="Arial" w:hAnsi="Arial" w:cs="Arial"/>
          <w:sz w:val="24"/>
          <w:szCs w:val="24"/>
        </w:rPr>
        <w:t>s seguintes órgãos:</w:t>
      </w:r>
    </w:p>
    <w:p w14:paraId="6B9851B0" w14:textId="77777777" w:rsidR="00EF4DB8" w:rsidRDefault="00EF4DB8" w:rsidP="00713208">
      <w:pPr>
        <w:spacing w:line="360" w:lineRule="auto"/>
        <w:ind w:firstLine="851"/>
        <w:jc w:val="both"/>
        <w:rPr>
          <w:rFonts w:ascii="Arial" w:hAnsi="Arial" w:cs="Arial"/>
          <w:sz w:val="24"/>
          <w:szCs w:val="24"/>
        </w:rPr>
      </w:pPr>
    </w:p>
    <w:p w14:paraId="5000C0D6" w14:textId="496C82BF" w:rsidR="000B0E67" w:rsidRDefault="000B0E67" w:rsidP="00282B87">
      <w:pPr>
        <w:pStyle w:val="PargrafodaLista"/>
        <w:numPr>
          <w:ilvl w:val="0"/>
          <w:numId w:val="3"/>
        </w:numPr>
        <w:spacing w:line="360" w:lineRule="auto"/>
        <w:jc w:val="both"/>
        <w:rPr>
          <w:rFonts w:ascii="Arial" w:hAnsi="Arial" w:cs="Arial"/>
          <w:sz w:val="24"/>
          <w:szCs w:val="24"/>
        </w:rPr>
      </w:pPr>
      <w:r w:rsidRPr="00D12DD5">
        <w:rPr>
          <w:rFonts w:ascii="Arial" w:hAnsi="Arial" w:cs="Arial"/>
          <w:sz w:val="24"/>
          <w:szCs w:val="24"/>
          <w:u w:val="single"/>
        </w:rPr>
        <w:t xml:space="preserve">Secretaria de Estado da Economia – </w:t>
      </w:r>
      <w:r w:rsidRPr="004E0001">
        <w:rPr>
          <w:rFonts w:ascii="Arial" w:hAnsi="Arial" w:cs="Arial"/>
          <w:sz w:val="24"/>
          <w:szCs w:val="24"/>
          <w:u w:val="single"/>
        </w:rPr>
        <w:t xml:space="preserve">SEE (Ofícios </w:t>
      </w:r>
      <w:r w:rsidRPr="00C03979">
        <w:rPr>
          <w:rFonts w:ascii="Arial" w:hAnsi="Arial" w:cs="Arial"/>
          <w:sz w:val="24"/>
          <w:szCs w:val="24"/>
          <w:u w:val="single"/>
        </w:rPr>
        <w:t xml:space="preserve">nºs 02/2019-CPI, 09/2019-CPI, 12/2019-CPI, 16/2019-CPI, </w:t>
      </w:r>
      <w:r w:rsidR="0002057B">
        <w:rPr>
          <w:rFonts w:ascii="Arial" w:hAnsi="Arial" w:cs="Arial"/>
          <w:sz w:val="24"/>
          <w:szCs w:val="24"/>
          <w:u w:val="single"/>
        </w:rPr>
        <w:t xml:space="preserve">23/2019-CPI, </w:t>
      </w:r>
      <w:r w:rsidRPr="00C03979">
        <w:rPr>
          <w:rFonts w:ascii="Arial" w:hAnsi="Arial" w:cs="Arial"/>
          <w:sz w:val="24"/>
          <w:szCs w:val="24"/>
          <w:u w:val="single"/>
        </w:rPr>
        <w:t>26/2019-CPI, 27/2019-CPI e 31/2019-CPI</w:t>
      </w:r>
      <w:r w:rsidRPr="004E0001">
        <w:rPr>
          <w:rFonts w:ascii="Arial" w:hAnsi="Arial" w:cs="Arial"/>
          <w:sz w:val="24"/>
          <w:szCs w:val="24"/>
          <w:u w:val="single"/>
        </w:rPr>
        <w:t>)</w:t>
      </w:r>
      <w:r>
        <w:rPr>
          <w:rFonts w:ascii="Arial" w:hAnsi="Arial" w:cs="Arial"/>
          <w:sz w:val="24"/>
          <w:szCs w:val="24"/>
        </w:rPr>
        <w:t xml:space="preserve">, a fim de compreender melhor a sistemática de concessão de incentivos fiscais e empresas beneficiárias e </w:t>
      </w:r>
      <w:r w:rsidRPr="000B0E67">
        <w:rPr>
          <w:rFonts w:ascii="Arial" w:hAnsi="Arial" w:cs="Arial"/>
          <w:sz w:val="24"/>
          <w:szCs w:val="24"/>
        </w:rPr>
        <w:t xml:space="preserve">outras questões pertinentes. As respostas </w:t>
      </w:r>
      <w:r w:rsidR="004D0992">
        <w:rPr>
          <w:rFonts w:ascii="Arial" w:hAnsi="Arial" w:cs="Arial"/>
          <w:sz w:val="24"/>
          <w:szCs w:val="24"/>
        </w:rPr>
        <w:t>aportaram</w:t>
      </w:r>
      <w:r w:rsidR="004D0992" w:rsidRPr="0007166B">
        <w:rPr>
          <w:rFonts w:ascii="Arial" w:hAnsi="Arial" w:cs="Arial"/>
          <w:sz w:val="24"/>
          <w:szCs w:val="24"/>
        </w:rPr>
        <w:t xml:space="preserve"> </w:t>
      </w:r>
      <w:r w:rsidRPr="000B0E67">
        <w:rPr>
          <w:rFonts w:ascii="Arial" w:hAnsi="Arial" w:cs="Arial"/>
          <w:sz w:val="24"/>
          <w:szCs w:val="24"/>
        </w:rPr>
        <w:t xml:space="preserve">a esta CPI por meio dos </w:t>
      </w:r>
      <w:r w:rsidR="00124CD7" w:rsidRPr="000B0E67">
        <w:rPr>
          <w:rFonts w:ascii="Arial" w:hAnsi="Arial" w:cs="Arial"/>
          <w:sz w:val="24"/>
          <w:szCs w:val="24"/>
        </w:rPr>
        <w:t xml:space="preserve">Ofícios </w:t>
      </w:r>
      <w:r w:rsidR="00124CD7">
        <w:rPr>
          <w:rFonts w:ascii="Arial" w:hAnsi="Arial" w:cs="Arial"/>
          <w:sz w:val="24"/>
          <w:szCs w:val="24"/>
        </w:rPr>
        <w:t xml:space="preserve">nºs </w:t>
      </w:r>
      <w:r w:rsidRPr="000B0E67">
        <w:rPr>
          <w:rFonts w:ascii="Arial" w:hAnsi="Arial" w:cs="Arial"/>
          <w:sz w:val="24"/>
          <w:szCs w:val="24"/>
        </w:rPr>
        <w:t>001/2019-CGAB, de 24/04/2019 (fl. 70), 2.500/2019-</w:t>
      </w:r>
      <w:r w:rsidR="001A0CA8" w:rsidRPr="000B0E67">
        <w:rPr>
          <w:rFonts w:ascii="Arial" w:hAnsi="Arial" w:cs="Arial"/>
          <w:sz w:val="24"/>
          <w:szCs w:val="24"/>
        </w:rPr>
        <w:t xml:space="preserve">Economia </w:t>
      </w:r>
      <w:r w:rsidRPr="000B0E67">
        <w:rPr>
          <w:rFonts w:ascii="Arial" w:hAnsi="Arial" w:cs="Arial"/>
          <w:sz w:val="24"/>
          <w:szCs w:val="24"/>
        </w:rPr>
        <w:t>(fl. 94),</w:t>
      </w:r>
      <w:r w:rsidR="0077338E">
        <w:rPr>
          <w:rFonts w:ascii="Arial" w:hAnsi="Arial" w:cs="Arial"/>
          <w:sz w:val="24"/>
          <w:szCs w:val="24"/>
        </w:rPr>
        <w:t xml:space="preserve"> 2.756/2019-Economia</w:t>
      </w:r>
      <w:r w:rsidRPr="000B0E67">
        <w:rPr>
          <w:rFonts w:ascii="Arial" w:hAnsi="Arial" w:cs="Arial"/>
          <w:sz w:val="24"/>
          <w:szCs w:val="24"/>
        </w:rPr>
        <w:t xml:space="preserve"> 3.262/2019–</w:t>
      </w:r>
      <w:r w:rsidR="001A0CA8" w:rsidRPr="000B0E67">
        <w:rPr>
          <w:rFonts w:ascii="Arial" w:hAnsi="Arial" w:cs="Arial"/>
          <w:sz w:val="24"/>
          <w:szCs w:val="24"/>
        </w:rPr>
        <w:t xml:space="preserve">Economia </w:t>
      </w:r>
      <w:r w:rsidRPr="000B0E67">
        <w:rPr>
          <w:rFonts w:ascii="Arial" w:hAnsi="Arial" w:cs="Arial"/>
          <w:sz w:val="24"/>
          <w:szCs w:val="24"/>
        </w:rPr>
        <w:t>(fl. 118), 3.564/2019-</w:t>
      </w:r>
      <w:r w:rsidR="001A0CA8" w:rsidRPr="000B0E67">
        <w:rPr>
          <w:rFonts w:ascii="Arial" w:hAnsi="Arial" w:cs="Arial"/>
          <w:sz w:val="24"/>
          <w:szCs w:val="24"/>
        </w:rPr>
        <w:t xml:space="preserve">Economia </w:t>
      </w:r>
      <w:r w:rsidRPr="000B0E67">
        <w:rPr>
          <w:rFonts w:ascii="Arial" w:hAnsi="Arial" w:cs="Arial"/>
          <w:sz w:val="24"/>
          <w:szCs w:val="24"/>
        </w:rPr>
        <w:t>(fl. 125), 4.825/2019-</w:t>
      </w:r>
      <w:r w:rsidR="001A0CA8" w:rsidRPr="000B0E67">
        <w:rPr>
          <w:rFonts w:ascii="Arial" w:hAnsi="Arial" w:cs="Arial"/>
          <w:sz w:val="24"/>
          <w:szCs w:val="24"/>
        </w:rPr>
        <w:t xml:space="preserve">Economia </w:t>
      </w:r>
      <w:r w:rsidRPr="000B0E67">
        <w:rPr>
          <w:rFonts w:ascii="Arial" w:hAnsi="Arial" w:cs="Arial"/>
          <w:sz w:val="24"/>
          <w:szCs w:val="24"/>
        </w:rPr>
        <w:t>(fl. 15</w:t>
      </w:r>
      <w:r w:rsidR="0007166B">
        <w:rPr>
          <w:rFonts w:ascii="Arial" w:hAnsi="Arial" w:cs="Arial"/>
          <w:sz w:val="24"/>
          <w:szCs w:val="24"/>
        </w:rPr>
        <w:t>8</w:t>
      </w:r>
      <w:r w:rsidRPr="000B0E67">
        <w:rPr>
          <w:rFonts w:ascii="Arial" w:hAnsi="Arial" w:cs="Arial"/>
          <w:sz w:val="24"/>
          <w:szCs w:val="24"/>
        </w:rPr>
        <w:t>), 7.923/2019-</w:t>
      </w:r>
      <w:r w:rsidR="001A0CA8" w:rsidRPr="000B0E67">
        <w:rPr>
          <w:rFonts w:ascii="Arial" w:hAnsi="Arial" w:cs="Arial"/>
          <w:sz w:val="24"/>
          <w:szCs w:val="24"/>
        </w:rPr>
        <w:t xml:space="preserve">Economia </w:t>
      </w:r>
      <w:r w:rsidRPr="000B0E67">
        <w:rPr>
          <w:rFonts w:ascii="Arial" w:hAnsi="Arial" w:cs="Arial"/>
          <w:sz w:val="24"/>
          <w:szCs w:val="24"/>
        </w:rPr>
        <w:t>(fl. 327), 8.112/2019-</w:t>
      </w:r>
      <w:r w:rsidR="001A0CA8" w:rsidRPr="000B0E67">
        <w:rPr>
          <w:rFonts w:ascii="Arial" w:hAnsi="Arial" w:cs="Arial"/>
          <w:sz w:val="24"/>
          <w:szCs w:val="24"/>
        </w:rPr>
        <w:t xml:space="preserve">Economia </w:t>
      </w:r>
      <w:r w:rsidRPr="000B0E67">
        <w:rPr>
          <w:rFonts w:ascii="Arial" w:hAnsi="Arial" w:cs="Arial"/>
          <w:sz w:val="24"/>
          <w:szCs w:val="24"/>
        </w:rPr>
        <w:t>(fl. 338) e 8.315/2019-</w:t>
      </w:r>
      <w:r w:rsidR="001A0CA8" w:rsidRPr="000B0E67">
        <w:rPr>
          <w:rFonts w:ascii="Arial" w:hAnsi="Arial" w:cs="Arial"/>
          <w:sz w:val="24"/>
          <w:szCs w:val="24"/>
        </w:rPr>
        <w:t>Economia</w:t>
      </w:r>
      <w:r w:rsidRPr="000B0E67">
        <w:rPr>
          <w:rFonts w:ascii="Arial" w:hAnsi="Arial" w:cs="Arial"/>
          <w:sz w:val="24"/>
          <w:szCs w:val="24"/>
        </w:rPr>
        <w:t>);</w:t>
      </w:r>
    </w:p>
    <w:p w14:paraId="47F2BF4A" w14:textId="55738419" w:rsidR="000B0E67" w:rsidRDefault="000B0E67" w:rsidP="00282B87">
      <w:pPr>
        <w:pStyle w:val="PargrafodaLista"/>
        <w:numPr>
          <w:ilvl w:val="0"/>
          <w:numId w:val="3"/>
        </w:numPr>
        <w:spacing w:line="360" w:lineRule="auto"/>
        <w:jc w:val="both"/>
        <w:rPr>
          <w:rFonts w:ascii="Arial" w:hAnsi="Arial" w:cs="Arial"/>
          <w:sz w:val="24"/>
          <w:szCs w:val="24"/>
        </w:rPr>
      </w:pPr>
      <w:r w:rsidRPr="00D12DD5">
        <w:rPr>
          <w:rFonts w:ascii="Arial" w:hAnsi="Arial" w:cs="Arial"/>
          <w:sz w:val="24"/>
          <w:szCs w:val="24"/>
          <w:u w:val="single"/>
        </w:rPr>
        <w:t>Secretaria de Estado d</w:t>
      </w:r>
      <w:r w:rsidR="00392FAB">
        <w:rPr>
          <w:rFonts w:ascii="Arial" w:hAnsi="Arial" w:cs="Arial"/>
          <w:sz w:val="24"/>
          <w:szCs w:val="24"/>
          <w:u w:val="single"/>
        </w:rPr>
        <w:t>e</w:t>
      </w:r>
      <w:r w:rsidRPr="00D12DD5">
        <w:rPr>
          <w:rFonts w:ascii="Arial" w:hAnsi="Arial" w:cs="Arial"/>
          <w:sz w:val="24"/>
          <w:szCs w:val="24"/>
          <w:u w:val="single"/>
        </w:rPr>
        <w:t xml:space="preserve"> Indústria e Comércio </w:t>
      </w:r>
      <w:r w:rsidRPr="004E0001">
        <w:rPr>
          <w:rFonts w:ascii="Arial" w:hAnsi="Arial" w:cs="Arial"/>
          <w:sz w:val="24"/>
          <w:szCs w:val="24"/>
          <w:u w:val="single"/>
        </w:rPr>
        <w:t>– SIC (</w:t>
      </w:r>
      <w:r w:rsidRPr="001A0CA8">
        <w:rPr>
          <w:rFonts w:ascii="Arial" w:hAnsi="Arial" w:cs="Arial"/>
          <w:sz w:val="24"/>
          <w:szCs w:val="24"/>
          <w:u w:val="single"/>
        </w:rPr>
        <w:t>Ofícios nºs 01/2019-CPI, 20/2019-CPI</w:t>
      </w:r>
      <w:r w:rsidR="001A0CA8">
        <w:rPr>
          <w:rFonts w:ascii="Arial" w:hAnsi="Arial" w:cs="Arial"/>
          <w:sz w:val="24"/>
          <w:szCs w:val="24"/>
          <w:u w:val="single"/>
        </w:rPr>
        <w:t xml:space="preserve"> e 29/2019-CPI</w:t>
      </w:r>
      <w:r w:rsidRPr="004E0001">
        <w:rPr>
          <w:rFonts w:ascii="Arial" w:hAnsi="Arial" w:cs="Arial"/>
          <w:sz w:val="24"/>
          <w:szCs w:val="24"/>
          <w:u w:val="single"/>
        </w:rPr>
        <w:t>)</w:t>
      </w:r>
      <w:r>
        <w:rPr>
          <w:rFonts w:ascii="Arial" w:hAnsi="Arial" w:cs="Arial"/>
          <w:sz w:val="24"/>
          <w:szCs w:val="24"/>
        </w:rPr>
        <w:t>,</w:t>
      </w:r>
      <w:r w:rsidRPr="00F22EBB">
        <w:rPr>
          <w:rFonts w:ascii="Arial" w:hAnsi="Arial" w:cs="Arial"/>
          <w:sz w:val="24"/>
          <w:szCs w:val="24"/>
        </w:rPr>
        <w:t xml:space="preserve"> </w:t>
      </w:r>
      <w:r>
        <w:rPr>
          <w:rFonts w:ascii="Arial" w:hAnsi="Arial" w:cs="Arial"/>
          <w:sz w:val="24"/>
          <w:szCs w:val="24"/>
        </w:rPr>
        <w:t xml:space="preserve">a fim de compreender melhor a sistemática dos Programas </w:t>
      </w:r>
      <w:r w:rsidRPr="0007166B">
        <w:rPr>
          <w:rFonts w:ascii="Arial" w:hAnsi="Arial" w:cs="Arial"/>
          <w:sz w:val="24"/>
          <w:szCs w:val="24"/>
        </w:rPr>
        <w:t>FOMENTAR/PRODUZIR, bem como respectivos subprogramas, empresas beneficiárias e outras questões pertinentes</w:t>
      </w:r>
      <w:r w:rsidR="001A0CA8" w:rsidRPr="0007166B">
        <w:rPr>
          <w:rFonts w:ascii="Arial" w:hAnsi="Arial" w:cs="Arial"/>
          <w:sz w:val="24"/>
          <w:szCs w:val="24"/>
        </w:rPr>
        <w:t>.</w:t>
      </w:r>
      <w:r w:rsidRPr="0007166B">
        <w:rPr>
          <w:rFonts w:ascii="Arial" w:hAnsi="Arial" w:cs="Arial"/>
          <w:sz w:val="24"/>
          <w:szCs w:val="24"/>
        </w:rPr>
        <w:t xml:space="preserve"> A resposta </w:t>
      </w:r>
      <w:r w:rsidR="004D0992">
        <w:rPr>
          <w:rFonts w:ascii="Arial" w:hAnsi="Arial" w:cs="Arial"/>
          <w:sz w:val="24"/>
          <w:szCs w:val="24"/>
        </w:rPr>
        <w:t>aportou</w:t>
      </w:r>
      <w:r w:rsidR="004D0992" w:rsidRPr="0007166B">
        <w:rPr>
          <w:rFonts w:ascii="Arial" w:hAnsi="Arial" w:cs="Arial"/>
          <w:sz w:val="24"/>
          <w:szCs w:val="24"/>
        </w:rPr>
        <w:t xml:space="preserve"> </w:t>
      </w:r>
      <w:r w:rsidR="001A0CA8" w:rsidRPr="0007166B">
        <w:rPr>
          <w:rFonts w:ascii="Arial" w:hAnsi="Arial" w:cs="Arial"/>
          <w:sz w:val="24"/>
          <w:szCs w:val="24"/>
        </w:rPr>
        <w:t>a esta CPI</w:t>
      </w:r>
      <w:r w:rsidRPr="0007166B">
        <w:rPr>
          <w:rFonts w:ascii="Arial" w:hAnsi="Arial" w:cs="Arial"/>
          <w:sz w:val="24"/>
          <w:szCs w:val="24"/>
        </w:rPr>
        <w:t xml:space="preserve"> por meio do </w:t>
      </w:r>
      <w:r w:rsidR="001A0CA8" w:rsidRPr="0007166B">
        <w:rPr>
          <w:rFonts w:ascii="Arial" w:hAnsi="Arial" w:cs="Arial"/>
          <w:sz w:val="24"/>
          <w:szCs w:val="24"/>
        </w:rPr>
        <w:t xml:space="preserve">Ofício </w:t>
      </w:r>
      <w:r w:rsidR="00124CD7">
        <w:rPr>
          <w:rFonts w:ascii="Arial" w:hAnsi="Arial" w:cs="Arial"/>
          <w:sz w:val="24"/>
          <w:szCs w:val="24"/>
        </w:rPr>
        <w:t xml:space="preserve">nºs </w:t>
      </w:r>
      <w:r w:rsidRPr="0007166B">
        <w:rPr>
          <w:rFonts w:ascii="Arial" w:hAnsi="Arial" w:cs="Arial"/>
          <w:sz w:val="24"/>
          <w:szCs w:val="24"/>
        </w:rPr>
        <w:t xml:space="preserve">86/2019-SIC </w:t>
      </w:r>
      <w:r w:rsidR="001A0CA8" w:rsidRPr="0007166B">
        <w:rPr>
          <w:rFonts w:ascii="Arial" w:hAnsi="Arial" w:cs="Arial"/>
          <w:sz w:val="24"/>
          <w:szCs w:val="24"/>
        </w:rPr>
        <w:t>(</w:t>
      </w:r>
      <w:r w:rsidRPr="0007166B">
        <w:rPr>
          <w:rFonts w:ascii="Arial" w:hAnsi="Arial" w:cs="Arial"/>
          <w:sz w:val="24"/>
          <w:szCs w:val="24"/>
        </w:rPr>
        <w:t>fl.</w:t>
      </w:r>
      <w:r w:rsidR="001A0CA8" w:rsidRPr="0007166B">
        <w:rPr>
          <w:rFonts w:ascii="Arial" w:hAnsi="Arial" w:cs="Arial"/>
          <w:sz w:val="24"/>
          <w:szCs w:val="24"/>
        </w:rPr>
        <w:t xml:space="preserve"> </w:t>
      </w:r>
      <w:r w:rsidRPr="0007166B">
        <w:rPr>
          <w:rFonts w:ascii="Arial" w:hAnsi="Arial" w:cs="Arial"/>
          <w:sz w:val="24"/>
          <w:szCs w:val="24"/>
        </w:rPr>
        <w:t>57</w:t>
      </w:r>
      <w:r w:rsidR="001A0CA8" w:rsidRPr="0007166B">
        <w:rPr>
          <w:rFonts w:ascii="Arial" w:hAnsi="Arial" w:cs="Arial"/>
          <w:sz w:val="24"/>
          <w:szCs w:val="24"/>
        </w:rPr>
        <w:t>)</w:t>
      </w:r>
      <w:r w:rsidRPr="0007166B">
        <w:rPr>
          <w:rFonts w:ascii="Arial" w:hAnsi="Arial" w:cs="Arial"/>
          <w:sz w:val="24"/>
          <w:szCs w:val="24"/>
        </w:rPr>
        <w:t>, 1</w:t>
      </w:r>
      <w:r w:rsidR="001A0CA8" w:rsidRPr="0007166B">
        <w:rPr>
          <w:rFonts w:ascii="Arial" w:hAnsi="Arial" w:cs="Arial"/>
          <w:sz w:val="24"/>
          <w:szCs w:val="24"/>
        </w:rPr>
        <w:t>.</w:t>
      </w:r>
      <w:r w:rsidRPr="0007166B">
        <w:rPr>
          <w:rFonts w:ascii="Arial" w:hAnsi="Arial" w:cs="Arial"/>
          <w:sz w:val="24"/>
          <w:szCs w:val="24"/>
        </w:rPr>
        <w:t xml:space="preserve">076/2019-SIC </w:t>
      </w:r>
      <w:r w:rsidR="001A0CA8" w:rsidRPr="0007166B">
        <w:rPr>
          <w:rFonts w:ascii="Arial" w:hAnsi="Arial" w:cs="Arial"/>
          <w:sz w:val="24"/>
          <w:szCs w:val="24"/>
        </w:rPr>
        <w:t>(</w:t>
      </w:r>
      <w:r w:rsidRPr="0007166B">
        <w:rPr>
          <w:rFonts w:ascii="Arial" w:hAnsi="Arial" w:cs="Arial"/>
          <w:sz w:val="24"/>
          <w:szCs w:val="24"/>
        </w:rPr>
        <w:t>fl.</w:t>
      </w:r>
      <w:r w:rsidR="001A0CA8" w:rsidRPr="0007166B">
        <w:rPr>
          <w:rFonts w:ascii="Arial" w:hAnsi="Arial" w:cs="Arial"/>
          <w:sz w:val="24"/>
          <w:szCs w:val="24"/>
        </w:rPr>
        <w:t xml:space="preserve"> </w:t>
      </w:r>
      <w:r w:rsidRPr="0007166B">
        <w:rPr>
          <w:rFonts w:ascii="Arial" w:hAnsi="Arial" w:cs="Arial"/>
          <w:sz w:val="24"/>
          <w:szCs w:val="24"/>
        </w:rPr>
        <w:t>248</w:t>
      </w:r>
      <w:r w:rsidR="001A0CA8" w:rsidRPr="0007166B">
        <w:rPr>
          <w:rFonts w:ascii="Arial" w:hAnsi="Arial" w:cs="Arial"/>
          <w:sz w:val="24"/>
          <w:szCs w:val="24"/>
        </w:rPr>
        <w:t>)</w:t>
      </w:r>
      <w:r w:rsidRPr="0007166B">
        <w:rPr>
          <w:rFonts w:ascii="Arial" w:hAnsi="Arial" w:cs="Arial"/>
          <w:sz w:val="24"/>
          <w:szCs w:val="24"/>
        </w:rPr>
        <w:t xml:space="preserve"> e 1</w:t>
      </w:r>
      <w:r w:rsidR="001A0CA8" w:rsidRPr="0007166B">
        <w:rPr>
          <w:rFonts w:ascii="Arial" w:hAnsi="Arial" w:cs="Arial"/>
          <w:sz w:val="24"/>
          <w:szCs w:val="24"/>
        </w:rPr>
        <w:t>.</w:t>
      </w:r>
      <w:r w:rsidRPr="0007166B">
        <w:rPr>
          <w:rFonts w:ascii="Arial" w:hAnsi="Arial" w:cs="Arial"/>
          <w:sz w:val="24"/>
          <w:szCs w:val="24"/>
        </w:rPr>
        <w:t xml:space="preserve">531/2019-SIC </w:t>
      </w:r>
      <w:r w:rsidR="001A0CA8" w:rsidRPr="0007166B">
        <w:rPr>
          <w:rFonts w:ascii="Arial" w:hAnsi="Arial" w:cs="Arial"/>
          <w:sz w:val="24"/>
          <w:szCs w:val="24"/>
        </w:rPr>
        <w:t>(</w:t>
      </w:r>
      <w:r w:rsidRPr="0007166B">
        <w:rPr>
          <w:rFonts w:ascii="Arial" w:hAnsi="Arial" w:cs="Arial"/>
          <w:sz w:val="24"/>
          <w:szCs w:val="24"/>
        </w:rPr>
        <w:t>fl.</w:t>
      </w:r>
      <w:r w:rsidR="001A0CA8" w:rsidRPr="0007166B">
        <w:rPr>
          <w:rFonts w:ascii="Arial" w:hAnsi="Arial" w:cs="Arial"/>
          <w:sz w:val="24"/>
          <w:szCs w:val="24"/>
        </w:rPr>
        <w:t xml:space="preserve"> </w:t>
      </w:r>
      <w:r w:rsidRPr="0007166B">
        <w:rPr>
          <w:rFonts w:ascii="Arial" w:hAnsi="Arial" w:cs="Arial"/>
          <w:sz w:val="24"/>
          <w:szCs w:val="24"/>
        </w:rPr>
        <w:t>334)</w:t>
      </w:r>
      <w:r w:rsidR="001A0CA8" w:rsidRPr="0007166B">
        <w:rPr>
          <w:rFonts w:ascii="Arial" w:hAnsi="Arial" w:cs="Arial"/>
          <w:sz w:val="24"/>
          <w:szCs w:val="24"/>
        </w:rPr>
        <w:t>;</w:t>
      </w:r>
    </w:p>
    <w:p w14:paraId="46A142CA" w14:textId="1848701D" w:rsidR="000B0E67" w:rsidRPr="00F830E0" w:rsidRDefault="000B0E67" w:rsidP="00282B87">
      <w:pPr>
        <w:pStyle w:val="PargrafodaLista"/>
        <w:numPr>
          <w:ilvl w:val="0"/>
          <w:numId w:val="3"/>
        </w:numPr>
        <w:spacing w:line="360" w:lineRule="auto"/>
        <w:jc w:val="both"/>
        <w:rPr>
          <w:rFonts w:ascii="Arial" w:hAnsi="Arial" w:cs="Arial"/>
          <w:sz w:val="24"/>
          <w:szCs w:val="24"/>
        </w:rPr>
      </w:pPr>
      <w:r w:rsidRPr="00B7597E">
        <w:rPr>
          <w:rFonts w:ascii="Arial" w:hAnsi="Arial" w:cs="Arial"/>
          <w:sz w:val="24"/>
          <w:szCs w:val="24"/>
          <w:u w:val="single"/>
        </w:rPr>
        <w:lastRenderedPageBreak/>
        <w:t xml:space="preserve">Secretaria </w:t>
      </w:r>
      <w:r w:rsidRPr="008777E1">
        <w:rPr>
          <w:rFonts w:ascii="Arial" w:hAnsi="Arial" w:cs="Arial"/>
          <w:sz w:val="24"/>
          <w:szCs w:val="24"/>
          <w:u w:val="single"/>
        </w:rPr>
        <w:t xml:space="preserve">de </w:t>
      </w:r>
      <w:r w:rsidRPr="008777E1">
        <w:rPr>
          <w:rFonts w:ascii="Arial" w:hAnsi="Arial" w:cs="Arial"/>
          <w:bCs/>
          <w:sz w:val="24"/>
          <w:szCs w:val="24"/>
          <w:u w:val="single"/>
        </w:rPr>
        <w:t xml:space="preserve">Meio Ambiente e Desenvolvimento Sustentável – SEMAD </w:t>
      </w:r>
      <w:r w:rsidRPr="008777E1">
        <w:rPr>
          <w:rFonts w:ascii="Arial" w:hAnsi="Arial" w:cs="Arial"/>
          <w:sz w:val="24"/>
          <w:szCs w:val="24"/>
          <w:u w:val="single"/>
        </w:rPr>
        <w:t>(Ofício nº 24/2019-CPI)</w:t>
      </w:r>
      <w:r w:rsidRPr="008777E1">
        <w:rPr>
          <w:rFonts w:ascii="Arial" w:hAnsi="Arial" w:cs="Arial"/>
          <w:bCs/>
          <w:sz w:val="24"/>
          <w:szCs w:val="24"/>
        </w:rPr>
        <w:t xml:space="preserve">, </w:t>
      </w:r>
      <w:r w:rsidRPr="008777E1">
        <w:rPr>
          <w:rFonts w:ascii="Arial" w:hAnsi="Arial" w:cs="Arial"/>
          <w:sz w:val="24"/>
          <w:szCs w:val="24"/>
        </w:rPr>
        <w:t xml:space="preserve">a </w:t>
      </w:r>
      <w:r>
        <w:rPr>
          <w:rFonts w:ascii="Arial" w:hAnsi="Arial" w:cs="Arial"/>
          <w:sz w:val="24"/>
          <w:szCs w:val="24"/>
        </w:rPr>
        <w:t xml:space="preserve">fim de perquirir acerca da efetividade ou violação do § 4º do art. 132 da Constituição Estadual e do inciso III do art. 25 da Lei nº </w:t>
      </w:r>
      <w:r w:rsidR="008777E1">
        <w:rPr>
          <w:rFonts w:ascii="Arial" w:hAnsi="Arial" w:cs="Arial"/>
          <w:sz w:val="24"/>
          <w:szCs w:val="24"/>
        </w:rPr>
        <w:t>18.102/2013</w:t>
      </w:r>
      <w:r w:rsidR="008777E1" w:rsidRPr="008777E1">
        <w:rPr>
          <w:rFonts w:ascii="Arial" w:hAnsi="Arial" w:cs="Arial"/>
          <w:sz w:val="24"/>
          <w:szCs w:val="24"/>
        </w:rPr>
        <w:t>.</w:t>
      </w:r>
      <w:r w:rsidRPr="008777E1">
        <w:rPr>
          <w:rFonts w:ascii="Arial" w:hAnsi="Arial" w:cs="Arial"/>
          <w:sz w:val="24"/>
          <w:szCs w:val="24"/>
        </w:rPr>
        <w:t xml:space="preserve"> A resposta </w:t>
      </w:r>
      <w:r w:rsidR="004D0992">
        <w:rPr>
          <w:rFonts w:ascii="Arial" w:hAnsi="Arial" w:cs="Arial"/>
          <w:sz w:val="24"/>
          <w:szCs w:val="24"/>
        </w:rPr>
        <w:t>aportou</w:t>
      </w:r>
      <w:r w:rsidR="004D0992" w:rsidRPr="0007166B">
        <w:rPr>
          <w:rFonts w:ascii="Arial" w:hAnsi="Arial" w:cs="Arial"/>
          <w:sz w:val="24"/>
          <w:szCs w:val="24"/>
        </w:rPr>
        <w:t xml:space="preserve"> </w:t>
      </w:r>
      <w:r w:rsidR="009F02CD" w:rsidRPr="0007166B">
        <w:rPr>
          <w:rFonts w:ascii="Arial" w:hAnsi="Arial" w:cs="Arial"/>
          <w:sz w:val="24"/>
          <w:szCs w:val="24"/>
        </w:rPr>
        <w:t xml:space="preserve">a esta CPI </w:t>
      </w:r>
      <w:r w:rsidRPr="008777E1">
        <w:rPr>
          <w:rFonts w:ascii="Arial" w:hAnsi="Arial" w:cs="Arial"/>
          <w:sz w:val="24"/>
          <w:szCs w:val="24"/>
        </w:rPr>
        <w:t xml:space="preserve">por meio do </w:t>
      </w:r>
      <w:r w:rsidR="008777E1" w:rsidRPr="008777E1">
        <w:rPr>
          <w:rFonts w:ascii="Arial" w:hAnsi="Arial" w:cs="Arial"/>
          <w:sz w:val="24"/>
          <w:szCs w:val="24"/>
        </w:rPr>
        <w:t xml:space="preserve">Ofício </w:t>
      </w:r>
      <w:r w:rsidR="00124CD7">
        <w:rPr>
          <w:rFonts w:ascii="Arial" w:hAnsi="Arial" w:cs="Arial"/>
          <w:sz w:val="24"/>
          <w:szCs w:val="24"/>
        </w:rPr>
        <w:t xml:space="preserve">nº </w:t>
      </w:r>
      <w:r w:rsidRPr="008777E1">
        <w:rPr>
          <w:rFonts w:ascii="Arial" w:hAnsi="Arial" w:cs="Arial"/>
          <w:sz w:val="24"/>
          <w:szCs w:val="24"/>
        </w:rPr>
        <w:t xml:space="preserve">4498/2019-SEMAD </w:t>
      </w:r>
      <w:r w:rsidR="008777E1" w:rsidRPr="008777E1">
        <w:rPr>
          <w:rFonts w:ascii="Arial" w:hAnsi="Arial" w:cs="Arial"/>
          <w:sz w:val="24"/>
          <w:szCs w:val="24"/>
        </w:rPr>
        <w:t>(</w:t>
      </w:r>
      <w:r w:rsidRPr="008777E1">
        <w:rPr>
          <w:rFonts w:ascii="Arial" w:hAnsi="Arial" w:cs="Arial"/>
          <w:sz w:val="24"/>
          <w:szCs w:val="24"/>
        </w:rPr>
        <w:t>fl.</w:t>
      </w:r>
      <w:r w:rsidR="008777E1" w:rsidRPr="008777E1">
        <w:rPr>
          <w:rFonts w:ascii="Arial" w:hAnsi="Arial" w:cs="Arial"/>
          <w:sz w:val="24"/>
          <w:szCs w:val="24"/>
        </w:rPr>
        <w:t xml:space="preserve"> </w:t>
      </w:r>
      <w:r w:rsidRPr="008777E1">
        <w:rPr>
          <w:rFonts w:ascii="Arial" w:hAnsi="Arial" w:cs="Arial"/>
          <w:sz w:val="24"/>
          <w:szCs w:val="24"/>
        </w:rPr>
        <w:t>349</w:t>
      </w:r>
      <w:r w:rsidR="008777E1" w:rsidRPr="008777E1">
        <w:rPr>
          <w:rFonts w:ascii="Arial" w:hAnsi="Arial" w:cs="Arial"/>
          <w:sz w:val="24"/>
          <w:szCs w:val="24"/>
        </w:rPr>
        <w:t>)</w:t>
      </w:r>
      <w:r w:rsidR="009F02CD">
        <w:rPr>
          <w:rFonts w:ascii="Arial" w:hAnsi="Arial" w:cs="Arial"/>
          <w:sz w:val="24"/>
          <w:szCs w:val="24"/>
        </w:rPr>
        <w:t>;</w:t>
      </w:r>
    </w:p>
    <w:p w14:paraId="338C0F1C" w14:textId="357F2E84" w:rsidR="000B0E67" w:rsidRPr="009F02CD" w:rsidRDefault="000B0E67" w:rsidP="00282B87">
      <w:pPr>
        <w:pStyle w:val="PargrafodaLista"/>
        <w:numPr>
          <w:ilvl w:val="0"/>
          <w:numId w:val="3"/>
        </w:numPr>
        <w:spacing w:line="360" w:lineRule="auto"/>
        <w:jc w:val="both"/>
        <w:rPr>
          <w:rFonts w:ascii="Arial" w:hAnsi="Arial" w:cs="Arial"/>
          <w:sz w:val="24"/>
          <w:szCs w:val="24"/>
        </w:rPr>
      </w:pPr>
      <w:r w:rsidRPr="00603F2C">
        <w:rPr>
          <w:rFonts w:ascii="Arial" w:hAnsi="Arial" w:cs="Arial"/>
          <w:sz w:val="24"/>
          <w:szCs w:val="24"/>
          <w:u w:val="single"/>
        </w:rPr>
        <w:t xml:space="preserve">Delegacia Regional </w:t>
      </w:r>
      <w:r w:rsidRPr="009F02CD">
        <w:rPr>
          <w:rFonts w:ascii="Arial" w:hAnsi="Arial" w:cs="Arial"/>
          <w:sz w:val="24"/>
          <w:szCs w:val="24"/>
          <w:u w:val="single"/>
        </w:rPr>
        <w:t>do Trabalho de Goiás – DRT/GO (Ofício nº 25/2019-CPI)</w:t>
      </w:r>
      <w:r w:rsidRPr="009F02CD">
        <w:rPr>
          <w:rFonts w:ascii="Arial" w:hAnsi="Arial" w:cs="Arial"/>
          <w:sz w:val="24"/>
          <w:szCs w:val="24"/>
        </w:rPr>
        <w:t>, com cópia em anexo das empresas beneficiárias do FOMENTAR/PRODUZIR, a fim de perquirir acerca da efetividade ou violação do § 2º do art. 136 da Constituição Estadual</w:t>
      </w:r>
      <w:r w:rsidR="00D402C6">
        <w:rPr>
          <w:rFonts w:ascii="Arial" w:hAnsi="Arial" w:cs="Arial"/>
          <w:sz w:val="24"/>
          <w:szCs w:val="24"/>
        </w:rPr>
        <w:t xml:space="preserve">. </w:t>
      </w:r>
      <w:r w:rsidR="00D402C6" w:rsidRPr="008777E1">
        <w:rPr>
          <w:rFonts w:ascii="Arial" w:hAnsi="Arial" w:cs="Arial"/>
          <w:sz w:val="24"/>
          <w:szCs w:val="24"/>
        </w:rPr>
        <w:t xml:space="preserve">A resposta </w:t>
      </w:r>
      <w:r w:rsidR="004D0992">
        <w:rPr>
          <w:rFonts w:ascii="Arial" w:hAnsi="Arial" w:cs="Arial"/>
          <w:sz w:val="24"/>
          <w:szCs w:val="24"/>
        </w:rPr>
        <w:t>aportou</w:t>
      </w:r>
      <w:r w:rsidR="00D402C6" w:rsidRPr="0007166B">
        <w:rPr>
          <w:rFonts w:ascii="Arial" w:hAnsi="Arial" w:cs="Arial"/>
          <w:sz w:val="24"/>
          <w:szCs w:val="24"/>
        </w:rPr>
        <w:t xml:space="preserve"> a esta CPI </w:t>
      </w:r>
      <w:r w:rsidR="00BC75B8">
        <w:rPr>
          <w:rFonts w:ascii="Arial" w:hAnsi="Arial" w:cs="Arial"/>
          <w:sz w:val="24"/>
          <w:szCs w:val="24"/>
        </w:rPr>
        <w:t>por meio da entrega direta a esta Casa de Leis, via sistema eletrônico de informação (SEI), do despacho proferido no processo nº 10162.103501/2019-66, de 03/12/2019</w:t>
      </w:r>
      <w:r w:rsidRPr="009F02CD">
        <w:rPr>
          <w:rFonts w:ascii="Arial" w:hAnsi="Arial" w:cs="Arial"/>
          <w:sz w:val="24"/>
          <w:szCs w:val="24"/>
        </w:rPr>
        <w:t>;</w:t>
      </w:r>
    </w:p>
    <w:p w14:paraId="37ED0DAF" w14:textId="77777777" w:rsidR="00423617" w:rsidRDefault="000B0E67" w:rsidP="00423617">
      <w:pPr>
        <w:pStyle w:val="PargrafodaLista"/>
        <w:numPr>
          <w:ilvl w:val="0"/>
          <w:numId w:val="3"/>
        </w:numPr>
        <w:spacing w:line="360" w:lineRule="auto"/>
        <w:jc w:val="both"/>
        <w:rPr>
          <w:rFonts w:ascii="Arial" w:hAnsi="Arial" w:cs="Arial"/>
          <w:color w:val="000000" w:themeColor="text1"/>
          <w:sz w:val="24"/>
          <w:szCs w:val="24"/>
        </w:rPr>
      </w:pPr>
      <w:r w:rsidRPr="009F02CD">
        <w:rPr>
          <w:rFonts w:ascii="Arial" w:hAnsi="Arial" w:cs="Arial"/>
          <w:sz w:val="24"/>
          <w:szCs w:val="24"/>
          <w:u w:val="single"/>
        </w:rPr>
        <w:t>Ministério Público do Estado de Goiás – MP/GO (Ofícios nº 03/2019-CPI</w:t>
      </w:r>
      <w:r w:rsidR="009F02CD" w:rsidRPr="009F02CD">
        <w:rPr>
          <w:rFonts w:ascii="Arial" w:hAnsi="Arial" w:cs="Arial"/>
          <w:sz w:val="24"/>
          <w:szCs w:val="24"/>
          <w:u w:val="single"/>
        </w:rPr>
        <w:t>,</w:t>
      </w:r>
      <w:r w:rsidRPr="009F02CD">
        <w:rPr>
          <w:rFonts w:ascii="Arial" w:hAnsi="Arial" w:cs="Arial"/>
          <w:sz w:val="24"/>
          <w:szCs w:val="24"/>
          <w:u w:val="single"/>
        </w:rPr>
        <w:t xml:space="preserve"> </w:t>
      </w:r>
      <w:r w:rsidR="009F02CD" w:rsidRPr="009F02CD">
        <w:rPr>
          <w:rFonts w:ascii="Arial" w:hAnsi="Arial" w:cs="Arial"/>
          <w:sz w:val="24"/>
          <w:szCs w:val="24"/>
          <w:u w:val="single"/>
        </w:rPr>
        <w:t xml:space="preserve">de </w:t>
      </w:r>
      <w:r w:rsidRPr="009F02CD">
        <w:rPr>
          <w:rFonts w:ascii="Arial" w:hAnsi="Arial" w:cs="Arial"/>
          <w:sz w:val="24"/>
          <w:szCs w:val="24"/>
          <w:u w:val="single"/>
        </w:rPr>
        <w:t>02/04/2019)</w:t>
      </w:r>
      <w:r w:rsidRPr="009F02CD">
        <w:rPr>
          <w:rFonts w:ascii="Arial" w:hAnsi="Arial" w:cs="Arial"/>
          <w:sz w:val="24"/>
          <w:szCs w:val="24"/>
        </w:rPr>
        <w:t xml:space="preserve">, a fim de </w:t>
      </w:r>
      <w:r>
        <w:rPr>
          <w:rFonts w:ascii="Arial" w:hAnsi="Arial" w:cs="Arial"/>
          <w:sz w:val="24"/>
          <w:szCs w:val="24"/>
        </w:rPr>
        <w:t xml:space="preserve">conhecer as investigações em curso e ações ajuizadas relativamente à concessão de incentivos </w:t>
      </w:r>
      <w:r w:rsidRPr="00C45631">
        <w:rPr>
          <w:rFonts w:ascii="Arial" w:hAnsi="Arial" w:cs="Arial"/>
          <w:color w:val="000000" w:themeColor="text1"/>
          <w:sz w:val="24"/>
          <w:szCs w:val="24"/>
        </w:rPr>
        <w:t>fiscais considerados irregulares</w:t>
      </w:r>
      <w:r w:rsidR="009F02CD" w:rsidRPr="00C45631">
        <w:rPr>
          <w:rFonts w:ascii="Arial" w:hAnsi="Arial" w:cs="Arial"/>
          <w:color w:val="000000" w:themeColor="text1"/>
          <w:sz w:val="24"/>
          <w:szCs w:val="24"/>
        </w:rPr>
        <w:t>.</w:t>
      </w:r>
      <w:r w:rsidRPr="00C45631">
        <w:rPr>
          <w:rFonts w:ascii="Arial" w:hAnsi="Arial" w:cs="Arial"/>
          <w:color w:val="000000" w:themeColor="text1"/>
          <w:sz w:val="24"/>
          <w:szCs w:val="24"/>
        </w:rPr>
        <w:t xml:space="preserve"> A</w:t>
      </w:r>
      <w:r w:rsidR="00F47277" w:rsidRPr="00C45631">
        <w:rPr>
          <w:rFonts w:ascii="Arial" w:hAnsi="Arial" w:cs="Arial"/>
          <w:color w:val="000000" w:themeColor="text1"/>
          <w:sz w:val="24"/>
          <w:szCs w:val="24"/>
        </w:rPr>
        <w:t>s</w:t>
      </w:r>
      <w:r w:rsidRPr="00C45631">
        <w:rPr>
          <w:rFonts w:ascii="Arial" w:hAnsi="Arial" w:cs="Arial"/>
          <w:color w:val="000000" w:themeColor="text1"/>
          <w:sz w:val="24"/>
          <w:szCs w:val="24"/>
        </w:rPr>
        <w:t xml:space="preserve"> </w:t>
      </w:r>
      <w:r w:rsidRPr="00423617">
        <w:rPr>
          <w:rFonts w:ascii="Arial" w:hAnsi="Arial" w:cs="Arial"/>
          <w:color w:val="000000" w:themeColor="text1"/>
          <w:sz w:val="24"/>
          <w:szCs w:val="24"/>
        </w:rPr>
        <w:t>resposta</w:t>
      </w:r>
      <w:r w:rsidR="004D0992" w:rsidRPr="00423617">
        <w:rPr>
          <w:rFonts w:ascii="Arial" w:hAnsi="Arial" w:cs="Arial"/>
          <w:color w:val="000000" w:themeColor="text1"/>
          <w:sz w:val="24"/>
          <w:szCs w:val="24"/>
        </w:rPr>
        <w:t>s</w:t>
      </w:r>
      <w:r w:rsidRPr="00C45631">
        <w:rPr>
          <w:rFonts w:ascii="Arial" w:hAnsi="Arial" w:cs="Arial"/>
          <w:color w:val="000000" w:themeColor="text1"/>
          <w:sz w:val="24"/>
          <w:szCs w:val="24"/>
        </w:rPr>
        <w:t xml:space="preserve"> </w:t>
      </w:r>
      <w:r w:rsidR="004D0992" w:rsidRPr="00C45631">
        <w:rPr>
          <w:rFonts w:ascii="Arial" w:hAnsi="Arial" w:cs="Arial"/>
          <w:color w:val="000000" w:themeColor="text1"/>
          <w:sz w:val="24"/>
          <w:szCs w:val="24"/>
        </w:rPr>
        <w:t>aportaram</w:t>
      </w:r>
      <w:r w:rsidR="00F47277" w:rsidRPr="00C45631">
        <w:rPr>
          <w:rFonts w:ascii="Arial" w:hAnsi="Arial" w:cs="Arial"/>
          <w:color w:val="000000" w:themeColor="text1"/>
          <w:sz w:val="24"/>
          <w:szCs w:val="24"/>
        </w:rPr>
        <w:t xml:space="preserve"> a esta CPI</w:t>
      </w:r>
      <w:r w:rsidR="004D0992" w:rsidRPr="00C45631">
        <w:rPr>
          <w:rFonts w:ascii="Arial" w:hAnsi="Arial" w:cs="Arial"/>
          <w:color w:val="000000" w:themeColor="text1"/>
          <w:sz w:val="24"/>
          <w:szCs w:val="24"/>
        </w:rPr>
        <w:t xml:space="preserve"> </w:t>
      </w:r>
      <w:r w:rsidRPr="00C45631">
        <w:rPr>
          <w:rFonts w:ascii="Arial" w:hAnsi="Arial" w:cs="Arial"/>
          <w:color w:val="000000" w:themeColor="text1"/>
          <w:sz w:val="24"/>
          <w:szCs w:val="24"/>
        </w:rPr>
        <w:t>por meio do</w:t>
      </w:r>
      <w:r w:rsidR="004D0992" w:rsidRPr="00C45631">
        <w:rPr>
          <w:rFonts w:ascii="Arial" w:hAnsi="Arial" w:cs="Arial"/>
          <w:color w:val="000000" w:themeColor="text1"/>
          <w:sz w:val="24"/>
          <w:szCs w:val="24"/>
        </w:rPr>
        <w:t>s</w:t>
      </w:r>
      <w:r w:rsidRPr="00C45631">
        <w:rPr>
          <w:rFonts w:ascii="Arial" w:hAnsi="Arial" w:cs="Arial"/>
          <w:color w:val="000000" w:themeColor="text1"/>
          <w:sz w:val="24"/>
          <w:szCs w:val="24"/>
        </w:rPr>
        <w:t xml:space="preserve"> </w:t>
      </w:r>
      <w:r w:rsidR="00D402C6" w:rsidRPr="00C45631">
        <w:rPr>
          <w:rFonts w:ascii="Arial" w:hAnsi="Arial" w:cs="Arial"/>
          <w:color w:val="000000" w:themeColor="text1"/>
          <w:sz w:val="24"/>
          <w:szCs w:val="24"/>
        </w:rPr>
        <w:t>Ofício</w:t>
      </w:r>
      <w:r w:rsidR="004D0992" w:rsidRPr="00C45631">
        <w:rPr>
          <w:rFonts w:ascii="Arial" w:hAnsi="Arial" w:cs="Arial"/>
          <w:color w:val="000000" w:themeColor="text1"/>
          <w:sz w:val="24"/>
          <w:szCs w:val="24"/>
        </w:rPr>
        <w:t>s nºs</w:t>
      </w:r>
      <w:r w:rsidR="00D402C6" w:rsidRPr="00C45631">
        <w:rPr>
          <w:rFonts w:ascii="Arial" w:hAnsi="Arial" w:cs="Arial"/>
          <w:color w:val="000000" w:themeColor="text1"/>
          <w:sz w:val="24"/>
          <w:szCs w:val="24"/>
        </w:rPr>
        <w:t xml:space="preserve"> </w:t>
      </w:r>
      <w:r w:rsidRPr="00C45631">
        <w:rPr>
          <w:rFonts w:ascii="Arial" w:hAnsi="Arial" w:cs="Arial"/>
          <w:color w:val="000000" w:themeColor="text1"/>
          <w:sz w:val="24"/>
          <w:szCs w:val="24"/>
        </w:rPr>
        <w:t xml:space="preserve">482/2019-GP </w:t>
      </w:r>
      <w:r w:rsidR="00D402C6" w:rsidRPr="00C45631">
        <w:rPr>
          <w:rFonts w:ascii="Arial" w:hAnsi="Arial" w:cs="Arial"/>
          <w:color w:val="000000" w:themeColor="text1"/>
          <w:sz w:val="24"/>
          <w:szCs w:val="24"/>
        </w:rPr>
        <w:t>(</w:t>
      </w:r>
      <w:r w:rsidRPr="00C45631">
        <w:rPr>
          <w:rFonts w:ascii="Arial" w:hAnsi="Arial" w:cs="Arial"/>
          <w:color w:val="000000" w:themeColor="text1"/>
          <w:sz w:val="24"/>
          <w:szCs w:val="24"/>
        </w:rPr>
        <w:t>fl</w:t>
      </w:r>
      <w:r w:rsidR="00C45631" w:rsidRPr="00C45631">
        <w:rPr>
          <w:rFonts w:ascii="Arial" w:hAnsi="Arial" w:cs="Arial"/>
          <w:color w:val="000000" w:themeColor="text1"/>
          <w:sz w:val="24"/>
          <w:szCs w:val="24"/>
        </w:rPr>
        <w:t>s</w:t>
      </w:r>
      <w:r w:rsidRPr="00C45631">
        <w:rPr>
          <w:rFonts w:ascii="Arial" w:hAnsi="Arial" w:cs="Arial"/>
          <w:color w:val="000000" w:themeColor="text1"/>
          <w:sz w:val="24"/>
          <w:szCs w:val="24"/>
        </w:rPr>
        <w:t>.</w:t>
      </w:r>
      <w:r w:rsidR="00D402C6" w:rsidRPr="00C45631">
        <w:rPr>
          <w:rFonts w:ascii="Arial" w:hAnsi="Arial" w:cs="Arial"/>
          <w:color w:val="000000" w:themeColor="text1"/>
          <w:sz w:val="24"/>
          <w:szCs w:val="24"/>
        </w:rPr>
        <w:t xml:space="preserve"> </w:t>
      </w:r>
      <w:r w:rsidRPr="00423617">
        <w:rPr>
          <w:rFonts w:ascii="Arial" w:hAnsi="Arial" w:cs="Arial"/>
          <w:color w:val="000000" w:themeColor="text1"/>
          <w:sz w:val="24"/>
          <w:szCs w:val="24"/>
        </w:rPr>
        <w:t>61</w:t>
      </w:r>
      <w:r w:rsidR="00C45631" w:rsidRPr="00423617">
        <w:rPr>
          <w:rFonts w:ascii="Arial" w:hAnsi="Arial" w:cs="Arial"/>
          <w:color w:val="000000" w:themeColor="text1"/>
          <w:sz w:val="24"/>
          <w:szCs w:val="24"/>
        </w:rPr>
        <w:t>/62</w:t>
      </w:r>
      <w:r w:rsidR="00D402C6" w:rsidRPr="00423617">
        <w:rPr>
          <w:rFonts w:ascii="Arial" w:hAnsi="Arial" w:cs="Arial"/>
          <w:color w:val="000000" w:themeColor="text1"/>
          <w:sz w:val="24"/>
          <w:szCs w:val="24"/>
        </w:rPr>
        <w:t>)</w:t>
      </w:r>
      <w:r w:rsidR="004D0992" w:rsidRPr="00423617">
        <w:rPr>
          <w:rFonts w:ascii="Arial" w:hAnsi="Arial" w:cs="Arial"/>
          <w:color w:val="000000" w:themeColor="text1"/>
          <w:sz w:val="24"/>
          <w:szCs w:val="24"/>
        </w:rPr>
        <w:t xml:space="preserve"> e </w:t>
      </w:r>
      <w:r w:rsidRPr="00423617">
        <w:rPr>
          <w:rFonts w:ascii="Arial" w:hAnsi="Arial" w:cs="Arial"/>
          <w:color w:val="000000" w:themeColor="text1"/>
          <w:sz w:val="24"/>
          <w:szCs w:val="24"/>
        </w:rPr>
        <w:t>491/2019-GP</w:t>
      </w:r>
      <w:r w:rsidR="004D0992" w:rsidRPr="00423617">
        <w:rPr>
          <w:rFonts w:ascii="Arial" w:hAnsi="Arial" w:cs="Arial"/>
          <w:color w:val="000000" w:themeColor="text1"/>
          <w:sz w:val="24"/>
          <w:szCs w:val="24"/>
        </w:rPr>
        <w:t xml:space="preserve"> </w:t>
      </w:r>
      <w:r w:rsidR="00D402C6" w:rsidRPr="00423617">
        <w:rPr>
          <w:rFonts w:ascii="Arial" w:hAnsi="Arial" w:cs="Arial"/>
          <w:color w:val="000000" w:themeColor="text1"/>
          <w:sz w:val="24"/>
          <w:szCs w:val="24"/>
        </w:rPr>
        <w:t>(</w:t>
      </w:r>
      <w:r w:rsidRPr="00423617">
        <w:rPr>
          <w:rFonts w:ascii="Arial" w:hAnsi="Arial" w:cs="Arial"/>
          <w:color w:val="000000" w:themeColor="text1"/>
          <w:sz w:val="24"/>
          <w:szCs w:val="24"/>
        </w:rPr>
        <w:t>fl.</w:t>
      </w:r>
      <w:r w:rsidR="00D402C6" w:rsidRPr="00423617">
        <w:rPr>
          <w:rFonts w:ascii="Arial" w:hAnsi="Arial" w:cs="Arial"/>
          <w:color w:val="000000" w:themeColor="text1"/>
          <w:sz w:val="24"/>
          <w:szCs w:val="24"/>
        </w:rPr>
        <w:t xml:space="preserve"> </w:t>
      </w:r>
      <w:r w:rsidRPr="00423617">
        <w:rPr>
          <w:rFonts w:ascii="Arial" w:hAnsi="Arial" w:cs="Arial"/>
          <w:color w:val="000000" w:themeColor="text1"/>
          <w:sz w:val="24"/>
          <w:szCs w:val="24"/>
        </w:rPr>
        <w:t>83</w:t>
      </w:r>
      <w:r w:rsidR="00D402C6" w:rsidRPr="00423617">
        <w:rPr>
          <w:rFonts w:ascii="Arial" w:hAnsi="Arial" w:cs="Arial"/>
          <w:color w:val="000000" w:themeColor="text1"/>
          <w:sz w:val="24"/>
          <w:szCs w:val="24"/>
        </w:rPr>
        <w:t>)</w:t>
      </w:r>
      <w:r w:rsidR="004D0992" w:rsidRPr="00423617">
        <w:rPr>
          <w:rFonts w:ascii="Arial" w:hAnsi="Arial" w:cs="Arial"/>
          <w:color w:val="000000" w:themeColor="text1"/>
          <w:sz w:val="24"/>
          <w:szCs w:val="24"/>
        </w:rPr>
        <w:t>;</w:t>
      </w:r>
    </w:p>
    <w:p w14:paraId="04D89864" w14:textId="0EADADB1" w:rsidR="000B0E67" w:rsidRPr="00423617" w:rsidRDefault="000B0E67" w:rsidP="00423617">
      <w:pPr>
        <w:pStyle w:val="PargrafodaLista"/>
        <w:numPr>
          <w:ilvl w:val="0"/>
          <w:numId w:val="3"/>
        </w:numPr>
        <w:spacing w:line="360" w:lineRule="auto"/>
        <w:jc w:val="both"/>
        <w:rPr>
          <w:rFonts w:ascii="Arial" w:hAnsi="Arial" w:cs="Arial"/>
          <w:color w:val="000000" w:themeColor="text1"/>
          <w:sz w:val="24"/>
          <w:szCs w:val="24"/>
        </w:rPr>
      </w:pPr>
      <w:r w:rsidRPr="00423617">
        <w:rPr>
          <w:rFonts w:ascii="Arial" w:hAnsi="Arial" w:cs="Arial"/>
          <w:sz w:val="24"/>
          <w:szCs w:val="24"/>
          <w:u w:val="single"/>
        </w:rPr>
        <w:t xml:space="preserve">Tribunal de Contas do Estado de Goiás – TCE/GO (Ofício </w:t>
      </w:r>
      <w:r w:rsidRPr="00423617">
        <w:rPr>
          <w:rFonts w:ascii="Arial" w:hAnsi="Arial" w:cs="Arial"/>
          <w:color w:val="000000" w:themeColor="text1"/>
          <w:sz w:val="24"/>
          <w:szCs w:val="24"/>
          <w:u w:val="single"/>
        </w:rPr>
        <w:t>nº 04/2019-CPI)</w:t>
      </w:r>
      <w:r w:rsidRPr="00423617">
        <w:rPr>
          <w:rFonts w:ascii="Arial" w:hAnsi="Arial" w:cs="Arial"/>
          <w:color w:val="000000" w:themeColor="text1"/>
          <w:sz w:val="24"/>
          <w:szCs w:val="24"/>
        </w:rPr>
        <w:t xml:space="preserve">, </w:t>
      </w:r>
      <w:r w:rsidRPr="00423617">
        <w:rPr>
          <w:rFonts w:ascii="Arial" w:hAnsi="Arial" w:cs="Arial"/>
          <w:sz w:val="24"/>
          <w:szCs w:val="24"/>
        </w:rPr>
        <w:t xml:space="preserve">a fim de conhecer os relatórios de auditoria (e respectivos acórdãos, caso existentes) relativamente à </w:t>
      </w:r>
      <w:r w:rsidRPr="00423617">
        <w:rPr>
          <w:rFonts w:ascii="Arial" w:hAnsi="Arial" w:cs="Arial"/>
          <w:color w:val="000000" w:themeColor="text1"/>
          <w:sz w:val="24"/>
          <w:szCs w:val="24"/>
        </w:rPr>
        <w:t>concessão e à u</w:t>
      </w:r>
      <w:r w:rsidR="00F47277" w:rsidRPr="00423617">
        <w:rPr>
          <w:rFonts w:ascii="Arial" w:hAnsi="Arial" w:cs="Arial"/>
          <w:color w:val="000000" w:themeColor="text1"/>
          <w:sz w:val="24"/>
          <w:szCs w:val="24"/>
        </w:rPr>
        <w:t xml:space="preserve">tilização de incentivos fiscais. </w:t>
      </w:r>
      <w:r w:rsidRPr="00423617">
        <w:rPr>
          <w:rFonts w:ascii="Arial" w:hAnsi="Arial" w:cs="Arial"/>
          <w:color w:val="000000" w:themeColor="text1"/>
          <w:sz w:val="24"/>
          <w:szCs w:val="24"/>
        </w:rPr>
        <w:t xml:space="preserve">A resposta </w:t>
      </w:r>
      <w:r w:rsidR="00F47277" w:rsidRPr="00423617">
        <w:rPr>
          <w:rFonts w:ascii="Arial" w:hAnsi="Arial" w:cs="Arial"/>
          <w:color w:val="000000" w:themeColor="text1"/>
          <w:sz w:val="24"/>
          <w:szCs w:val="24"/>
        </w:rPr>
        <w:t>aportou a esta CPI</w:t>
      </w:r>
      <w:r w:rsidRPr="00423617">
        <w:rPr>
          <w:rFonts w:ascii="Arial" w:hAnsi="Arial" w:cs="Arial"/>
          <w:color w:val="000000" w:themeColor="text1"/>
          <w:sz w:val="24"/>
          <w:szCs w:val="24"/>
        </w:rPr>
        <w:t xml:space="preserve"> por meio do </w:t>
      </w:r>
      <w:r w:rsidR="00F47277" w:rsidRPr="00423617">
        <w:rPr>
          <w:rFonts w:ascii="Arial" w:hAnsi="Arial" w:cs="Arial"/>
          <w:color w:val="000000" w:themeColor="text1"/>
          <w:sz w:val="24"/>
          <w:szCs w:val="24"/>
        </w:rPr>
        <w:t xml:space="preserve">Ofício nº </w:t>
      </w:r>
      <w:r w:rsidRPr="00423617">
        <w:rPr>
          <w:rFonts w:ascii="Arial" w:hAnsi="Arial" w:cs="Arial"/>
          <w:color w:val="000000" w:themeColor="text1"/>
          <w:sz w:val="24"/>
          <w:szCs w:val="24"/>
        </w:rPr>
        <w:t xml:space="preserve">118/2019-GPRES </w:t>
      </w:r>
      <w:r w:rsidR="00F47277" w:rsidRPr="00423617">
        <w:rPr>
          <w:rFonts w:ascii="Arial" w:hAnsi="Arial" w:cs="Arial"/>
          <w:color w:val="000000" w:themeColor="text1"/>
          <w:sz w:val="24"/>
          <w:szCs w:val="24"/>
        </w:rPr>
        <w:t>(</w:t>
      </w:r>
      <w:r w:rsidRPr="00423617">
        <w:rPr>
          <w:rFonts w:ascii="Arial" w:hAnsi="Arial" w:cs="Arial"/>
          <w:color w:val="000000" w:themeColor="text1"/>
          <w:sz w:val="24"/>
          <w:szCs w:val="24"/>
        </w:rPr>
        <w:t>fl.</w:t>
      </w:r>
      <w:r w:rsidR="00F47277" w:rsidRPr="00423617">
        <w:rPr>
          <w:rFonts w:ascii="Arial" w:hAnsi="Arial" w:cs="Arial"/>
          <w:color w:val="000000" w:themeColor="text1"/>
          <w:sz w:val="24"/>
          <w:szCs w:val="24"/>
        </w:rPr>
        <w:t xml:space="preserve"> </w:t>
      </w:r>
      <w:r w:rsidRPr="00423617">
        <w:rPr>
          <w:rFonts w:ascii="Arial" w:hAnsi="Arial" w:cs="Arial"/>
          <w:color w:val="000000" w:themeColor="text1"/>
          <w:sz w:val="24"/>
          <w:szCs w:val="24"/>
        </w:rPr>
        <w:t>48</w:t>
      </w:r>
      <w:r w:rsidR="00F47277" w:rsidRPr="00423617">
        <w:rPr>
          <w:rFonts w:ascii="Arial" w:hAnsi="Arial" w:cs="Arial"/>
          <w:color w:val="000000" w:themeColor="text1"/>
          <w:sz w:val="24"/>
          <w:szCs w:val="24"/>
        </w:rPr>
        <w:t>)</w:t>
      </w:r>
      <w:r w:rsidRPr="00423617">
        <w:rPr>
          <w:rFonts w:ascii="Arial" w:hAnsi="Arial" w:cs="Arial"/>
          <w:color w:val="000000" w:themeColor="text1"/>
          <w:sz w:val="24"/>
          <w:szCs w:val="24"/>
        </w:rPr>
        <w:t xml:space="preserve">, </w:t>
      </w:r>
      <w:r w:rsidR="00F47277" w:rsidRPr="00423617">
        <w:rPr>
          <w:rFonts w:ascii="Arial" w:hAnsi="Arial" w:cs="Arial"/>
          <w:color w:val="000000" w:themeColor="text1"/>
          <w:sz w:val="24"/>
          <w:szCs w:val="24"/>
        </w:rPr>
        <w:t xml:space="preserve">Ofício nº </w:t>
      </w:r>
      <w:r w:rsidRPr="00423617">
        <w:rPr>
          <w:rFonts w:ascii="Arial" w:hAnsi="Arial" w:cs="Arial"/>
          <w:color w:val="000000" w:themeColor="text1"/>
          <w:sz w:val="24"/>
          <w:szCs w:val="24"/>
        </w:rPr>
        <w:t xml:space="preserve">143/2019-GPRES </w:t>
      </w:r>
      <w:r w:rsidR="00F47277" w:rsidRPr="00423617">
        <w:rPr>
          <w:rFonts w:ascii="Arial" w:hAnsi="Arial" w:cs="Arial"/>
          <w:color w:val="000000" w:themeColor="text1"/>
          <w:sz w:val="24"/>
          <w:szCs w:val="24"/>
        </w:rPr>
        <w:t>(</w:t>
      </w:r>
      <w:r w:rsidRPr="00423617">
        <w:rPr>
          <w:rFonts w:ascii="Arial" w:hAnsi="Arial" w:cs="Arial"/>
          <w:color w:val="000000" w:themeColor="text1"/>
          <w:sz w:val="24"/>
          <w:szCs w:val="24"/>
        </w:rPr>
        <w:t>fl.</w:t>
      </w:r>
      <w:r w:rsidR="00F47277" w:rsidRPr="00423617">
        <w:rPr>
          <w:rFonts w:ascii="Arial" w:hAnsi="Arial" w:cs="Arial"/>
          <w:color w:val="000000" w:themeColor="text1"/>
          <w:sz w:val="24"/>
          <w:szCs w:val="24"/>
        </w:rPr>
        <w:t xml:space="preserve"> </w:t>
      </w:r>
      <w:r w:rsidRPr="00423617">
        <w:rPr>
          <w:rFonts w:ascii="Arial" w:hAnsi="Arial" w:cs="Arial"/>
          <w:color w:val="000000" w:themeColor="text1"/>
          <w:sz w:val="24"/>
          <w:szCs w:val="24"/>
        </w:rPr>
        <w:t>65</w:t>
      </w:r>
      <w:r w:rsidR="00F47277" w:rsidRPr="00423617">
        <w:rPr>
          <w:rFonts w:ascii="Arial" w:hAnsi="Arial" w:cs="Arial"/>
          <w:color w:val="000000" w:themeColor="text1"/>
          <w:sz w:val="24"/>
          <w:szCs w:val="24"/>
        </w:rPr>
        <w:t>)</w:t>
      </w:r>
      <w:r w:rsidRPr="00423617">
        <w:rPr>
          <w:rFonts w:ascii="Arial" w:hAnsi="Arial" w:cs="Arial"/>
          <w:color w:val="000000" w:themeColor="text1"/>
          <w:sz w:val="24"/>
          <w:szCs w:val="24"/>
        </w:rPr>
        <w:t xml:space="preserve"> </w:t>
      </w:r>
      <w:r w:rsidRPr="00423617">
        <w:rPr>
          <w:rFonts w:ascii="Arial" w:hAnsi="Arial" w:cs="Arial"/>
          <w:sz w:val="24"/>
          <w:szCs w:val="24"/>
        </w:rPr>
        <w:t xml:space="preserve">e </w:t>
      </w:r>
      <w:r w:rsidR="00F47277" w:rsidRPr="00423617">
        <w:rPr>
          <w:rFonts w:ascii="Arial" w:hAnsi="Arial" w:cs="Arial"/>
          <w:sz w:val="24"/>
          <w:szCs w:val="24"/>
        </w:rPr>
        <w:t xml:space="preserve">Ofício nº </w:t>
      </w:r>
      <w:r w:rsidRPr="00423617">
        <w:rPr>
          <w:rFonts w:ascii="Arial" w:hAnsi="Arial" w:cs="Arial"/>
          <w:sz w:val="24"/>
          <w:szCs w:val="24"/>
        </w:rPr>
        <w:t>008/2019-TCU</w:t>
      </w:r>
      <w:r w:rsidR="00317E02" w:rsidRPr="00423617">
        <w:rPr>
          <w:rFonts w:ascii="Arial" w:hAnsi="Arial" w:cs="Arial"/>
          <w:sz w:val="24"/>
          <w:szCs w:val="24"/>
        </w:rPr>
        <w:t xml:space="preserve"> (</w:t>
      </w:r>
      <w:r w:rsidR="00FC0CD2" w:rsidRPr="00423617">
        <w:rPr>
          <w:rFonts w:ascii="Arial" w:hAnsi="Arial" w:cs="Arial"/>
          <w:sz w:val="24"/>
          <w:szCs w:val="24"/>
        </w:rPr>
        <w:t>fl. 85</w:t>
      </w:r>
      <w:r w:rsidR="00317E02" w:rsidRPr="00423617">
        <w:rPr>
          <w:rFonts w:ascii="Arial" w:hAnsi="Arial" w:cs="Arial"/>
          <w:sz w:val="24"/>
          <w:szCs w:val="24"/>
        </w:rPr>
        <w:t>)</w:t>
      </w:r>
      <w:r w:rsidRPr="00423617">
        <w:rPr>
          <w:rFonts w:ascii="Arial" w:hAnsi="Arial" w:cs="Arial"/>
          <w:sz w:val="24"/>
          <w:szCs w:val="24"/>
        </w:rPr>
        <w:t>.</w:t>
      </w:r>
    </w:p>
    <w:p w14:paraId="045AF658" w14:textId="77777777" w:rsidR="000B0E67" w:rsidRDefault="000B0E67" w:rsidP="00282B87">
      <w:pPr>
        <w:pStyle w:val="PargrafodaLista"/>
        <w:numPr>
          <w:ilvl w:val="0"/>
          <w:numId w:val="3"/>
        </w:numPr>
        <w:spacing w:line="360" w:lineRule="auto"/>
        <w:jc w:val="both"/>
        <w:rPr>
          <w:rFonts w:ascii="Arial" w:hAnsi="Arial" w:cs="Arial"/>
          <w:sz w:val="24"/>
          <w:szCs w:val="24"/>
        </w:rPr>
      </w:pPr>
      <w:r w:rsidRPr="000A3E59">
        <w:rPr>
          <w:rFonts w:ascii="Arial" w:hAnsi="Arial" w:cs="Arial"/>
          <w:sz w:val="24"/>
          <w:szCs w:val="24"/>
          <w:u w:val="single"/>
        </w:rPr>
        <w:t xml:space="preserve">Controladoria-Geral do Estado de Goiás – CGE/GO </w:t>
      </w:r>
      <w:r w:rsidRPr="00C45631">
        <w:rPr>
          <w:rFonts w:ascii="Arial" w:hAnsi="Arial" w:cs="Arial"/>
          <w:color w:val="000000" w:themeColor="text1"/>
          <w:sz w:val="24"/>
          <w:szCs w:val="24"/>
          <w:u w:val="single"/>
        </w:rPr>
        <w:t>(Ofício nº 30/2019-CPI)</w:t>
      </w:r>
      <w:r w:rsidRPr="00C45631">
        <w:rPr>
          <w:rFonts w:ascii="Arial" w:hAnsi="Arial" w:cs="Arial"/>
          <w:color w:val="000000" w:themeColor="text1"/>
          <w:sz w:val="24"/>
          <w:szCs w:val="24"/>
        </w:rPr>
        <w:t xml:space="preserve">, </w:t>
      </w:r>
      <w:r>
        <w:rPr>
          <w:rFonts w:ascii="Arial" w:hAnsi="Arial" w:cs="Arial"/>
          <w:sz w:val="24"/>
          <w:szCs w:val="24"/>
        </w:rPr>
        <w:t xml:space="preserve">para conhecer os </w:t>
      </w:r>
      <w:r w:rsidRPr="00274468">
        <w:rPr>
          <w:rFonts w:ascii="Arial" w:hAnsi="Arial" w:cs="Arial"/>
          <w:sz w:val="24"/>
          <w:szCs w:val="24"/>
        </w:rPr>
        <w:t xml:space="preserve">informes de auditorias já realizadas pelo órgão relativamente a </w:t>
      </w:r>
      <w:r>
        <w:rPr>
          <w:rFonts w:ascii="Arial" w:hAnsi="Arial" w:cs="Arial"/>
          <w:sz w:val="24"/>
          <w:szCs w:val="24"/>
        </w:rPr>
        <w:t>incentiv</w:t>
      </w:r>
      <w:r w:rsidRPr="00274468">
        <w:rPr>
          <w:rFonts w:ascii="Arial" w:hAnsi="Arial" w:cs="Arial"/>
          <w:sz w:val="24"/>
          <w:szCs w:val="24"/>
        </w:rPr>
        <w:t>os fiscais e as providências adotadas pela CGE/GO</w:t>
      </w:r>
      <w:r>
        <w:rPr>
          <w:rFonts w:ascii="Arial" w:hAnsi="Arial" w:cs="Arial"/>
          <w:sz w:val="24"/>
          <w:szCs w:val="24"/>
        </w:rPr>
        <w:t xml:space="preserve"> e órgãos competentes</w:t>
      </w:r>
      <w:r w:rsidRPr="00274468">
        <w:rPr>
          <w:rFonts w:ascii="Arial" w:hAnsi="Arial" w:cs="Arial"/>
          <w:sz w:val="24"/>
          <w:szCs w:val="24"/>
        </w:rPr>
        <w:t xml:space="preserve"> a partir da conclusão desses relatórios</w:t>
      </w:r>
      <w:r>
        <w:rPr>
          <w:rFonts w:ascii="Arial" w:hAnsi="Arial" w:cs="Arial"/>
          <w:sz w:val="24"/>
          <w:szCs w:val="24"/>
        </w:rPr>
        <w:t>.</w:t>
      </w:r>
    </w:p>
    <w:p w14:paraId="345BC43F" w14:textId="77777777" w:rsidR="00EF4DB8" w:rsidRDefault="00EF4DB8" w:rsidP="008D2C77">
      <w:pPr>
        <w:spacing w:line="360" w:lineRule="auto"/>
        <w:ind w:firstLine="851"/>
        <w:jc w:val="both"/>
        <w:rPr>
          <w:rFonts w:ascii="Arial" w:hAnsi="Arial" w:cs="Arial"/>
          <w:sz w:val="24"/>
          <w:szCs w:val="24"/>
        </w:rPr>
      </w:pPr>
    </w:p>
    <w:p w14:paraId="5174219C" w14:textId="47AC181F" w:rsidR="00D04231" w:rsidRDefault="003C0964" w:rsidP="008D2C77">
      <w:pPr>
        <w:spacing w:line="360" w:lineRule="auto"/>
        <w:ind w:firstLine="851"/>
        <w:jc w:val="both"/>
        <w:rPr>
          <w:rFonts w:ascii="Arial" w:hAnsi="Arial" w:cs="Arial"/>
          <w:sz w:val="24"/>
          <w:szCs w:val="24"/>
        </w:rPr>
      </w:pPr>
      <w:r>
        <w:rPr>
          <w:rFonts w:ascii="Arial" w:hAnsi="Arial" w:cs="Arial"/>
          <w:sz w:val="24"/>
          <w:szCs w:val="24"/>
        </w:rPr>
        <w:t>Ressalte-se</w:t>
      </w:r>
      <w:r w:rsidR="00743694">
        <w:rPr>
          <w:rFonts w:ascii="Arial" w:hAnsi="Arial" w:cs="Arial"/>
          <w:sz w:val="24"/>
          <w:szCs w:val="24"/>
        </w:rPr>
        <w:t xml:space="preserve"> que </w:t>
      </w:r>
      <w:r w:rsidR="00743694" w:rsidRPr="00452B5C">
        <w:rPr>
          <w:rFonts w:ascii="Arial" w:hAnsi="Arial" w:cs="Arial"/>
          <w:b/>
          <w:sz w:val="24"/>
          <w:szCs w:val="24"/>
        </w:rPr>
        <w:t>grande parte da documentação acima recebida por esta CPI continha informações</w:t>
      </w:r>
      <w:r w:rsidR="004B256A" w:rsidRPr="00452B5C">
        <w:rPr>
          <w:rFonts w:ascii="Arial" w:hAnsi="Arial" w:cs="Arial"/>
          <w:b/>
          <w:sz w:val="24"/>
          <w:szCs w:val="24"/>
        </w:rPr>
        <w:t xml:space="preserve"> </w:t>
      </w:r>
      <w:r w:rsidR="00BD7088" w:rsidRPr="00452B5C">
        <w:rPr>
          <w:rFonts w:ascii="Arial" w:hAnsi="Arial" w:cs="Arial"/>
          <w:b/>
          <w:sz w:val="24"/>
          <w:szCs w:val="24"/>
        </w:rPr>
        <w:t>e números individualizado</w:t>
      </w:r>
      <w:r w:rsidR="004B256A" w:rsidRPr="00452B5C">
        <w:rPr>
          <w:rFonts w:ascii="Arial" w:hAnsi="Arial" w:cs="Arial"/>
          <w:b/>
          <w:sz w:val="24"/>
          <w:szCs w:val="24"/>
        </w:rPr>
        <w:t>s por empresas</w:t>
      </w:r>
      <w:r w:rsidR="00D04231">
        <w:rPr>
          <w:rFonts w:ascii="Arial" w:hAnsi="Arial" w:cs="Arial"/>
          <w:sz w:val="24"/>
          <w:szCs w:val="24"/>
        </w:rPr>
        <w:t>,</w:t>
      </w:r>
      <w:r w:rsidR="004B256A">
        <w:rPr>
          <w:rFonts w:ascii="Arial" w:hAnsi="Arial" w:cs="Arial"/>
          <w:sz w:val="24"/>
          <w:szCs w:val="24"/>
        </w:rPr>
        <w:t xml:space="preserve"> referente aos</w:t>
      </w:r>
      <w:r w:rsidR="004B7E13">
        <w:rPr>
          <w:rFonts w:ascii="Arial" w:hAnsi="Arial" w:cs="Arial"/>
          <w:sz w:val="24"/>
          <w:szCs w:val="24"/>
        </w:rPr>
        <w:t xml:space="preserve"> valores de</w:t>
      </w:r>
      <w:r w:rsidR="004B256A">
        <w:rPr>
          <w:rFonts w:ascii="Arial" w:hAnsi="Arial" w:cs="Arial"/>
          <w:sz w:val="24"/>
          <w:szCs w:val="24"/>
        </w:rPr>
        <w:t xml:space="preserve"> incentivos fiscais por elas recebidos</w:t>
      </w:r>
      <w:r w:rsidR="007619EF">
        <w:rPr>
          <w:rFonts w:ascii="Arial" w:hAnsi="Arial" w:cs="Arial"/>
          <w:sz w:val="24"/>
          <w:szCs w:val="24"/>
        </w:rPr>
        <w:t>,</w:t>
      </w:r>
      <w:r w:rsidR="00871227">
        <w:rPr>
          <w:rFonts w:ascii="Arial" w:hAnsi="Arial" w:cs="Arial"/>
          <w:sz w:val="24"/>
          <w:szCs w:val="24"/>
        </w:rPr>
        <w:t xml:space="preserve"> </w:t>
      </w:r>
      <w:r w:rsidR="007619EF">
        <w:rPr>
          <w:rFonts w:ascii="Arial" w:hAnsi="Arial" w:cs="Arial"/>
          <w:sz w:val="24"/>
          <w:szCs w:val="24"/>
        </w:rPr>
        <w:t>TARE’s por elas firmados com a Secretaria de Estado da Fazenda/Economia</w:t>
      </w:r>
      <w:r w:rsidR="00762AB6">
        <w:rPr>
          <w:rFonts w:ascii="Arial" w:hAnsi="Arial" w:cs="Arial"/>
          <w:sz w:val="24"/>
          <w:szCs w:val="24"/>
        </w:rPr>
        <w:t>, dados sobre faturamento, projetos</w:t>
      </w:r>
      <w:r w:rsidR="00871227">
        <w:rPr>
          <w:rFonts w:ascii="Arial" w:hAnsi="Arial" w:cs="Arial"/>
          <w:sz w:val="24"/>
          <w:szCs w:val="24"/>
        </w:rPr>
        <w:t xml:space="preserve"> e </w:t>
      </w:r>
      <w:r w:rsidR="00871227">
        <w:rPr>
          <w:rFonts w:ascii="Arial" w:hAnsi="Arial" w:cs="Arial"/>
          <w:sz w:val="24"/>
          <w:szCs w:val="24"/>
        </w:rPr>
        <w:lastRenderedPageBreak/>
        <w:t>investimentos realizados</w:t>
      </w:r>
      <w:r w:rsidR="004F09A4">
        <w:rPr>
          <w:rFonts w:ascii="Arial" w:hAnsi="Arial" w:cs="Arial"/>
          <w:sz w:val="24"/>
          <w:szCs w:val="24"/>
        </w:rPr>
        <w:t>, auditorias e fiscalizações</w:t>
      </w:r>
      <w:r w:rsidR="00BD7088">
        <w:rPr>
          <w:rFonts w:ascii="Arial" w:hAnsi="Arial" w:cs="Arial"/>
          <w:sz w:val="24"/>
          <w:szCs w:val="24"/>
        </w:rPr>
        <w:t xml:space="preserve"> e outras informações </w:t>
      </w:r>
      <w:r w:rsidR="00032D08">
        <w:rPr>
          <w:rFonts w:ascii="Arial" w:hAnsi="Arial" w:cs="Arial"/>
          <w:sz w:val="24"/>
          <w:szCs w:val="24"/>
        </w:rPr>
        <w:t>similares</w:t>
      </w:r>
      <w:r w:rsidR="00D04231">
        <w:rPr>
          <w:rFonts w:ascii="Arial" w:hAnsi="Arial" w:cs="Arial"/>
          <w:sz w:val="24"/>
          <w:szCs w:val="24"/>
        </w:rPr>
        <w:t xml:space="preserve">, </w:t>
      </w:r>
      <w:r w:rsidR="00762AB6">
        <w:rPr>
          <w:rFonts w:ascii="Arial" w:hAnsi="Arial" w:cs="Arial"/>
          <w:sz w:val="24"/>
          <w:szCs w:val="24"/>
        </w:rPr>
        <w:t>razão pela qual</w:t>
      </w:r>
      <w:r w:rsidR="00D04231">
        <w:rPr>
          <w:rFonts w:ascii="Arial" w:hAnsi="Arial" w:cs="Arial"/>
          <w:sz w:val="24"/>
          <w:szCs w:val="24"/>
        </w:rPr>
        <w:t xml:space="preserve"> foram mantidas sob sigilo</w:t>
      </w:r>
      <w:r w:rsidR="0035322E">
        <w:rPr>
          <w:rFonts w:ascii="Arial" w:hAnsi="Arial" w:cs="Arial"/>
          <w:sz w:val="24"/>
          <w:szCs w:val="24"/>
        </w:rPr>
        <w:t xml:space="preserve"> (CTN, art. 198</w:t>
      </w:r>
      <w:r w:rsidR="00917358">
        <w:rPr>
          <w:rFonts w:ascii="Arial" w:hAnsi="Arial" w:cs="Arial"/>
          <w:sz w:val="24"/>
          <w:szCs w:val="24"/>
        </w:rPr>
        <w:t xml:space="preserve">, </w:t>
      </w:r>
      <w:r w:rsidR="00917358" w:rsidRPr="00917358">
        <w:rPr>
          <w:rFonts w:ascii="Arial" w:hAnsi="Arial" w:cs="Arial"/>
          <w:i/>
          <w:sz w:val="24"/>
          <w:szCs w:val="24"/>
        </w:rPr>
        <w:t>caput</w:t>
      </w:r>
      <w:r w:rsidR="0035322E">
        <w:rPr>
          <w:rFonts w:ascii="Arial" w:hAnsi="Arial" w:cs="Arial"/>
          <w:sz w:val="24"/>
          <w:szCs w:val="24"/>
        </w:rPr>
        <w:t>)</w:t>
      </w:r>
      <w:r w:rsidR="0069775A">
        <w:rPr>
          <w:rStyle w:val="Refdenotaderodap"/>
          <w:rFonts w:ascii="Arial" w:hAnsi="Arial" w:cs="Arial"/>
          <w:sz w:val="24"/>
          <w:szCs w:val="24"/>
        </w:rPr>
        <w:footnoteReference w:id="20"/>
      </w:r>
      <w:r w:rsidR="004B256A">
        <w:rPr>
          <w:rFonts w:ascii="Arial" w:hAnsi="Arial" w:cs="Arial"/>
          <w:sz w:val="24"/>
          <w:szCs w:val="24"/>
        </w:rPr>
        <w:t>.</w:t>
      </w:r>
    </w:p>
    <w:p w14:paraId="0AB14A6D" w14:textId="6DB9C86E" w:rsidR="00F01ED2" w:rsidRPr="004D4880" w:rsidRDefault="004F09A4" w:rsidP="004A2177">
      <w:pPr>
        <w:spacing w:line="360" w:lineRule="auto"/>
        <w:ind w:firstLine="851"/>
        <w:jc w:val="both"/>
        <w:rPr>
          <w:rFonts w:ascii="Arial" w:hAnsi="Arial" w:cs="Arial"/>
          <w:b/>
          <w:sz w:val="24"/>
          <w:szCs w:val="24"/>
          <w:highlight w:val="cyan"/>
        </w:rPr>
      </w:pPr>
      <w:r w:rsidRPr="004F09A4">
        <w:rPr>
          <w:rFonts w:ascii="Arial" w:hAnsi="Arial" w:cs="Arial"/>
          <w:sz w:val="24"/>
          <w:szCs w:val="24"/>
        </w:rPr>
        <w:t>Aqui cabe um parêntese, porquanto</w:t>
      </w:r>
      <w:r>
        <w:rPr>
          <w:rFonts w:ascii="Arial" w:hAnsi="Arial" w:cs="Arial"/>
          <w:b/>
          <w:sz w:val="24"/>
          <w:szCs w:val="24"/>
        </w:rPr>
        <w:t xml:space="preserve"> e</w:t>
      </w:r>
      <w:r w:rsidR="004B256A" w:rsidRPr="0034531F">
        <w:rPr>
          <w:rFonts w:ascii="Arial" w:hAnsi="Arial" w:cs="Arial"/>
          <w:b/>
          <w:sz w:val="24"/>
          <w:szCs w:val="24"/>
        </w:rPr>
        <w:t>mbora este relator</w:t>
      </w:r>
      <w:r w:rsidR="004B256A">
        <w:rPr>
          <w:rFonts w:ascii="Arial" w:hAnsi="Arial" w:cs="Arial"/>
          <w:sz w:val="24"/>
          <w:szCs w:val="24"/>
        </w:rPr>
        <w:t>, pessoalmente, entenda que não deva haver qual</w:t>
      </w:r>
      <w:r w:rsidR="006859D2">
        <w:rPr>
          <w:rFonts w:ascii="Arial" w:hAnsi="Arial" w:cs="Arial"/>
          <w:sz w:val="24"/>
          <w:szCs w:val="24"/>
        </w:rPr>
        <w:t>quer tipo de sigilo em relação à maioria de</w:t>
      </w:r>
      <w:r w:rsidR="004B256A">
        <w:rPr>
          <w:rFonts w:ascii="Arial" w:hAnsi="Arial" w:cs="Arial"/>
          <w:sz w:val="24"/>
          <w:szCs w:val="24"/>
        </w:rPr>
        <w:t>s</w:t>
      </w:r>
      <w:r w:rsidR="006859D2">
        <w:rPr>
          <w:rFonts w:ascii="Arial" w:hAnsi="Arial" w:cs="Arial"/>
          <w:sz w:val="24"/>
          <w:szCs w:val="24"/>
        </w:rPr>
        <w:t>sas</w:t>
      </w:r>
      <w:r w:rsidR="004B256A">
        <w:rPr>
          <w:rFonts w:ascii="Arial" w:hAnsi="Arial" w:cs="Arial"/>
          <w:sz w:val="24"/>
          <w:szCs w:val="24"/>
        </w:rPr>
        <w:t xml:space="preserve"> informaç</w:t>
      </w:r>
      <w:r w:rsidR="006859D2">
        <w:rPr>
          <w:rFonts w:ascii="Arial" w:hAnsi="Arial" w:cs="Arial"/>
          <w:sz w:val="24"/>
          <w:szCs w:val="24"/>
        </w:rPr>
        <w:t>ões</w:t>
      </w:r>
      <w:r w:rsidR="00871227">
        <w:rPr>
          <w:rFonts w:ascii="Arial" w:hAnsi="Arial" w:cs="Arial"/>
          <w:sz w:val="24"/>
          <w:szCs w:val="24"/>
        </w:rPr>
        <w:t xml:space="preserve"> –</w:t>
      </w:r>
      <w:r w:rsidR="0034531F">
        <w:rPr>
          <w:rFonts w:ascii="Arial" w:hAnsi="Arial" w:cs="Arial"/>
          <w:sz w:val="24"/>
          <w:szCs w:val="24"/>
        </w:rPr>
        <w:t xml:space="preserve"> porque quem recebe incentivos fiscais deve mostrar à sociedade o que está recebendo e sob quais condições e termos</w:t>
      </w:r>
      <w:r w:rsidR="00871227">
        <w:rPr>
          <w:rFonts w:ascii="Arial" w:hAnsi="Arial" w:cs="Arial"/>
          <w:sz w:val="24"/>
          <w:szCs w:val="24"/>
        </w:rPr>
        <w:t xml:space="preserve"> – </w:t>
      </w:r>
      <w:r w:rsidR="0034531F" w:rsidRPr="0034531F">
        <w:rPr>
          <w:rFonts w:ascii="Arial" w:hAnsi="Arial" w:cs="Arial"/>
          <w:b/>
          <w:sz w:val="24"/>
          <w:szCs w:val="24"/>
        </w:rPr>
        <w:t xml:space="preserve">preferiu-se, por razões de cautela, manter sob sigilo a documentação que faça menção individualizada a </w:t>
      </w:r>
      <w:r>
        <w:rPr>
          <w:rFonts w:ascii="Arial" w:hAnsi="Arial" w:cs="Arial"/>
          <w:b/>
          <w:sz w:val="24"/>
          <w:szCs w:val="24"/>
        </w:rPr>
        <w:t>pessoas jurídicas</w:t>
      </w:r>
      <w:r w:rsidR="004D4880" w:rsidRPr="004D4880">
        <w:rPr>
          <w:rFonts w:ascii="Arial" w:hAnsi="Arial" w:cs="Arial"/>
          <w:sz w:val="24"/>
          <w:szCs w:val="24"/>
        </w:rPr>
        <w:t>.</w:t>
      </w:r>
    </w:p>
    <w:p w14:paraId="3932737A" w14:textId="4801931C" w:rsidR="00DC4AAB" w:rsidRDefault="005C5F0C" w:rsidP="008D2C77">
      <w:pPr>
        <w:spacing w:line="360" w:lineRule="auto"/>
        <w:ind w:firstLine="851"/>
        <w:jc w:val="both"/>
        <w:rPr>
          <w:rFonts w:ascii="Arial" w:hAnsi="Arial" w:cs="Arial"/>
          <w:sz w:val="24"/>
          <w:szCs w:val="24"/>
        </w:rPr>
      </w:pPr>
      <w:r w:rsidRPr="004D4880">
        <w:rPr>
          <w:rFonts w:ascii="Arial" w:hAnsi="Arial" w:cs="Arial"/>
          <w:sz w:val="24"/>
          <w:szCs w:val="24"/>
        </w:rPr>
        <w:t xml:space="preserve">Por essa razão, neste relatório </w:t>
      </w:r>
      <w:r w:rsidRPr="004D4880">
        <w:rPr>
          <w:rFonts w:ascii="Arial" w:hAnsi="Arial" w:cs="Arial"/>
          <w:b/>
          <w:sz w:val="24"/>
          <w:szCs w:val="24"/>
        </w:rPr>
        <w:t>se adotou a cautela de expor as conclusões de forma geral ou por segmento econômico</w:t>
      </w:r>
      <w:r w:rsidR="004B7E13" w:rsidRPr="004D4880">
        <w:rPr>
          <w:rFonts w:ascii="Arial" w:hAnsi="Arial" w:cs="Arial"/>
          <w:b/>
          <w:sz w:val="24"/>
          <w:szCs w:val="24"/>
        </w:rPr>
        <w:t>;</w:t>
      </w:r>
      <w:r w:rsidRPr="004D4880">
        <w:rPr>
          <w:rFonts w:ascii="Arial" w:hAnsi="Arial" w:cs="Arial"/>
          <w:b/>
          <w:sz w:val="24"/>
          <w:szCs w:val="24"/>
        </w:rPr>
        <w:t xml:space="preserve"> ou, quando feita menção</w:t>
      </w:r>
      <w:r w:rsidR="00871227" w:rsidRPr="004D4880">
        <w:rPr>
          <w:rFonts w:ascii="Arial" w:hAnsi="Arial" w:cs="Arial"/>
          <w:b/>
          <w:sz w:val="24"/>
          <w:szCs w:val="24"/>
        </w:rPr>
        <w:t xml:space="preserve"> específica a determinada empresa, procedeu-se da seguinte forma</w:t>
      </w:r>
      <w:r w:rsidR="00871227" w:rsidRPr="004D4880">
        <w:rPr>
          <w:rFonts w:ascii="Arial" w:hAnsi="Arial" w:cs="Arial"/>
          <w:sz w:val="24"/>
          <w:szCs w:val="24"/>
        </w:rPr>
        <w:t xml:space="preserve">, a fim de evitar qualquer discussão sobre o sigilo fiscal: </w:t>
      </w:r>
      <w:r w:rsidR="00871227" w:rsidRPr="001C721C">
        <w:rPr>
          <w:rFonts w:ascii="Arial" w:hAnsi="Arial" w:cs="Arial"/>
          <w:sz w:val="24"/>
          <w:szCs w:val="24"/>
          <w:u w:val="single"/>
        </w:rPr>
        <w:t>a) menção ao fato de a pessoa jurídica ser ou não beneficiária de incentivos fiscais do Estado de Goiás</w:t>
      </w:r>
      <w:r w:rsidR="00AD0589" w:rsidRPr="001C721C">
        <w:rPr>
          <w:rFonts w:ascii="Arial" w:hAnsi="Arial" w:cs="Arial"/>
          <w:sz w:val="24"/>
          <w:szCs w:val="24"/>
          <w:u w:val="single"/>
        </w:rPr>
        <w:t xml:space="preserve"> ou signatária de TARE</w:t>
      </w:r>
      <w:r w:rsidR="004A1264" w:rsidRPr="001C721C">
        <w:rPr>
          <w:rFonts w:ascii="Arial" w:hAnsi="Arial" w:cs="Arial"/>
          <w:sz w:val="24"/>
          <w:szCs w:val="24"/>
        </w:rPr>
        <w:t>, em determinado período de tempo</w:t>
      </w:r>
      <w:r w:rsidR="00871227" w:rsidRPr="001C721C">
        <w:rPr>
          <w:rFonts w:ascii="Arial" w:hAnsi="Arial" w:cs="Arial"/>
          <w:sz w:val="24"/>
          <w:szCs w:val="24"/>
        </w:rPr>
        <w:t>, sem precisar o respectivo valor</w:t>
      </w:r>
      <w:r w:rsidR="00AD0589" w:rsidRPr="001C721C">
        <w:rPr>
          <w:rFonts w:ascii="Arial" w:hAnsi="Arial" w:cs="Arial"/>
          <w:sz w:val="24"/>
          <w:szCs w:val="24"/>
        </w:rPr>
        <w:t xml:space="preserve"> fruído mensal ou anualmente</w:t>
      </w:r>
      <w:r w:rsidR="00144D9F" w:rsidRPr="001C721C">
        <w:rPr>
          <w:rFonts w:ascii="Arial" w:hAnsi="Arial" w:cs="Arial"/>
          <w:sz w:val="24"/>
          <w:szCs w:val="24"/>
        </w:rPr>
        <w:t xml:space="preserve"> ou número de empregos</w:t>
      </w:r>
      <w:r w:rsidR="00871227" w:rsidRPr="001C721C">
        <w:rPr>
          <w:rFonts w:ascii="Arial" w:hAnsi="Arial" w:cs="Arial"/>
          <w:sz w:val="24"/>
          <w:szCs w:val="24"/>
        </w:rPr>
        <w:t>;</w:t>
      </w:r>
      <w:r w:rsidR="002C4CEC" w:rsidRPr="001C721C">
        <w:rPr>
          <w:rFonts w:ascii="Arial" w:hAnsi="Arial" w:cs="Arial"/>
          <w:sz w:val="24"/>
          <w:szCs w:val="24"/>
        </w:rPr>
        <w:t xml:space="preserve"> </w:t>
      </w:r>
      <w:r w:rsidR="000A4301" w:rsidRPr="001C721C">
        <w:rPr>
          <w:rFonts w:ascii="Arial" w:hAnsi="Arial" w:cs="Arial"/>
          <w:sz w:val="24"/>
          <w:szCs w:val="24"/>
          <w:u w:val="single"/>
        </w:rPr>
        <w:t>b</w:t>
      </w:r>
      <w:r w:rsidR="00871227" w:rsidRPr="001C721C">
        <w:rPr>
          <w:rFonts w:ascii="Arial" w:hAnsi="Arial" w:cs="Arial"/>
          <w:sz w:val="24"/>
          <w:szCs w:val="24"/>
          <w:u w:val="single"/>
        </w:rPr>
        <w:t>)</w:t>
      </w:r>
      <w:r w:rsidR="00952001" w:rsidRPr="001C721C">
        <w:rPr>
          <w:rFonts w:ascii="Arial" w:hAnsi="Arial" w:cs="Arial"/>
          <w:sz w:val="24"/>
          <w:szCs w:val="24"/>
          <w:u w:val="single"/>
        </w:rPr>
        <w:t xml:space="preserve"> </w:t>
      </w:r>
      <w:r w:rsidR="000A4301" w:rsidRPr="001C721C">
        <w:rPr>
          <w:rFonts w:ascii="Arial" w:hAnsi="Arial" w:cs="Arial"/>
          <w:sz w:val="24"/>
          <w:szCs w:val="24"/>
          <w:u w:val="single"/>
        </w:rPr>
        <w:t xml:space="preserve">cruzamento dessas informações com outras </w:t>
      </w:r>
      <w:r w:rsidR="00952001" w:rsidRPr="001C721C">
        <w:rPr>
          <w:rFonts w:ascii="Arial" w:hAnsi="Arial" w:cs="Arial"/>
          <w:sz w:val="24"/>
          <w:szCs w:val="24"/>
          <w:u w:val="single"/>
        </w:rPr>
        <w:t>extraídas de bancos de dados d</w:t>
      </w:r>
      <w:r w:rsidR="005B0E09" w:rsidRPr="001C721C">
        <w:rPr>
          <w:rFonts w:ascii="Arial" w:hAnsi="Arial" w:cs="Arial"/>
          <w:sz w:val="24"/>
          <w:szCs w:val="24"/>
          <w:u w:val="single"/>
        </w:rPr>
        <w:t>e caráter público</w:t>
      </w:r>
      <w:r w:rsidR="005B0E09" w:rsidRPr="001C721C">
        <w:rPr>
          <w:rFonts w:ascii="Arial" w:hAnsi="Arial" w:cs="Arial"/>
          <w:sz w:val="24"/>
          <w:szCs w:val="24"/>
        </w:rPr>
        <w:t xml:space="preserve">, </w:t>
      </w:r>
      <w:r w:rsidR="004F09A4" w:rsidRPr="001C721C">
        <w:rPr>
          <w:rFonts w:ascii="Arial" w:hAnsi="Arial" w:cs="Arial"/>
          <w:sz w:val="24"/>
          <w:szCs w:val="24"/>
        </w:rPr>
        <w:t xml:space="preserve">como aquelas referentes à situação fiscal e ambiental das pessoas jurídicas, aquelas </w:t>
      </w:r>
      <w:r w:rsidR="002C4CEC" w:rsidRPr="001C721C">
        <w:rPr>
          <w:rFonts w:ascii="Arial" w:hAnsi="Arial" w:cs="Arial"/>
          <w:sz w:val="24"/>
          <w:szCs w:val="24"/>
        </w:rPr>
        <w:t>publicadas</w:t>
      </w:r>
      <w:r w:rsidR="004F09A4" w:rsidRPr="001C721C">
        <w:rPr>
          <w:rFonts w:ascii="Arial" w:hAnsi="Arial" w:cs="Arial"/>
          <w:sz w:val="24"/>
          <w:szCs w:val="24"/>
        </w:rPr>
        <w:t xml:space="preserve"> no Portal da Transparência do Estado de Goiás</w:t>
      </w:r>
      <w:r w:rsidR="002C4CEC" w:rsidRPr="001C721C">
        <w:rPr>
          <w:rFonts w:ascii="Arial" w:hAnsi="Arial" w:cs="Arial"/>
          <w:sz w:val="24"/>
          <w:szCs w:val="24"/>
        </w:rPr>
        <w:t xml:space="preserve"> (que inclusive descrevem o conteúdo resumido de TARE e todos os dados de identificação da pessoa jurídica signatária) </w:t>
      </w:r>
      <w:r w:rsidR="004F09A4" w:rsidRPr="001C721C">
        <w:rPr>
          <w:rFonts w:ascii="Arial" w:hAnsi="Arial" w:cs="Arial"/>
          <w:sz w:val="24"/>
          <w:szCs w:val="24"/>
        </w:rPr>
        <w:t xml:space="preserve">e outras fontes de domínio público e de interesse </w:t>
      </w:r>
      <w:r w:rsidR="002C4CEC" w:rsidRPr="001C721C">
        <w:rPr>
          <w:rFonts w:ascii="Arial" w:hAnsi="Arial" w:cs="Arial"/>
          <w:sz w:val="24"/>
          <w:szCs w:val="24"/>
        </w:rPr>
        <w:t xml:space="preserve">desta CPI </w:t>
      </w:r>
      <w:r w:rsidR="004F09A4" w:rsidRPr="001C721C">
        <w:rPr>
          <w:rFonts w:ascii="Arial" w:hAnsi="Arial" w:cs="Arial"/>
          <w:sz w:val="24"/>
          <w:szCs w:val="24"/>
        </w:rPr>
        <w:t xml:space="preserve">para </w:t>
      </w:r>
      <w:r w:rsidR="004A1264" w:rsidRPr="001C721C">
        <w:rPr>
          <w:rFonts w:ascii="Arial" w:hAnsi="Arial" w:cs="Arial"/>
          <w:sz w:val="24"/>
          <w:szCs w:val="24"/>
        </w:rPr>
        <w:t>apontar</w:t>
      </w:r>
      <w:r w:rsidR="004F09A4" w:rsidRPr="001C721C">
        <w:rPr>
          <w:rFonts w:ascii="Arial" w:hAnsi="Arial" w:cs="Arial"/>
          <w:sz w:val="24"/>
          <w:szCs w:val="24"/>
        </w:rPr>
        <w:t xml:space="preserve"> indício</w:t>
      </w:r>
      <w:r w:rsidR="004A1264" w:rsidRPr="001C721C">
        <w:rPr>
          <w:rFonts w:ascii="Arial" w:hAnsi="Arial" w:cs="Arial"/>
          <w:sz w:val="24"/>
          <w:szCs w:val="24"/>
        </w:rPr>
        <w:t>s</w:t>
      </w:r>
      <w:r w:rsidR="004F09A4" w:rsidRPr="001C721C">
        <w:rPr>
          <w:rFonts w:ascii="Arial" w:hAnsi="Arial" w:cs="Arial"/>
          <w:sz w:val="24"/>
          <w:szCs w:val="24"/>
        </w:rPr>
        <w:t xml:space="preserve"> de irregularidades</w:t>
      </w:r>
      <w:r w:rsidR="000A4301" w:rsidRPr="001C721C">
        <w:rPr>
          <w:rFonts w:ascii="Arial" w:hAnsi="Arial" w:cs="Arial"/>
          <w:sz w:val="24"/>
          <w:szCs w:val="24"/>
        </w:rPr>
        <w:t xml:space="preserve">; </w:t>
      </w:r>
      <w:r w:rsidR="000A4301" w:rsidRPr="001C721C">
        <w:rPr>
          <w:rFonts w:ascii="Arial" w:hAnsi="Arial" w:cs="Arial"/>
          <w:sz w:val="24"/>
          <w:szCs w:val="24"/>
          <w:u w:val="single"/>
        </w:rPr>
        <w:t>c) menção a aspectos pontuais de determinados TARE’s</w:t>
      </w:r>
      <w:r w:rsidR="000A4301" w:rsidRPr="001C721C">
        <w:rPr>
          <w:rFonts w:ascii="Arial" w:hAnsi="Arial" w:cs="Arial"/>
          <w:sz w:val="24"/>
          <w:szCs w:val="24"/>
        </w:rPr>
        <w:t xml:space="preserve">, a fim de expor à sociedade as impropriedades ou críticas desta CPI, no uso de suas prerrogativas fiscalizatórias; e </w:t>
      </w:r>
      <w:r w:rsidR="000A4301" w:rsidRPr="001C721C">
        <w:rPr>
          <w:rFonts w:ascii="Arial" w:hAnsi="Arial" w:cs="Arial"/>
          <w:sz w:val="24"/>
          <w:szCs w:val="24"/>
          <w:u w:val="single"/>
        </w:rPr>
        <w:t>d) omissão ou codificação do respectivo nome</w:t>
      </w:r>
      <w:r w:rsidR="000A4301" w:rsidRPr="001C721C">
        <w:rPr>
          <w:rFonts w:ascii="Arial" w:hAnsi="Arial" w:cs="Arial"/>
          <w:sz w:val="24"/>
          <w:szCs w:val="24"/>
        </w:rPr>
        <w:t>, quando feita alguma referência a valor de incentivos por ela escriturados ou ao número de empregos</w:t>
      </w:r>
      <w:r w:rsidRPr="001C721C">
        <w:rPr>
          <w:rFonts w:ascii="Arial" w:hAnsi="Arial" w:cs="Arial"/>
          <w:sz w:val="24"/>
          <w:szCs w:val="24"/>
        </w:rPr>
        <w:t>.</w:t>
      </w:r>
      <w:r w:rsidR="002C4CEC" w:rsidRPr="004D4880">
        <w:rPr>
          <w:rFonts w:ascii="Arial" w:hAnsi="Arial" w:cs="Arial"/>
          <w:sz w:val="24"/>
          <w:szCs w:val="24"/>
        </w:rPr>
        <w:t xml:space="preserve"> Assim, eventual menção a essas informações é o mínimo que se pode assegurar para que esta CPI exerça sua relevante missão fiscalizatória, por imperativo constitucional.</w:t>
      </w:r>
    </w:p>
    <w:p w14:paraId="23DD0864" w14:textId="21DDDA1B" w:rsidR="005C5F0C" w:rsidRDefault="00ED4BEF" w:rsidP="008D2C77">
      <w:pPr>
        <w:spacing w:line="360" w:lineRule="auto"/>
        <w:ind w:firstLine="851"/>
        <w:jc w:val="both"/>
        <w:rPr>
          <w:rFonts w:ascii="Arial" w:hAnsi="Arial" w:cs="Arial"/>
          <w:sz w:val="24"/>
          <w:szCs w:val="24"/>
        </w:rPr>
      </w:pPr>
      <w:r>
        <w:rPr>
          <w:rFonts w:ascii="Arial" w:hAnsi="Arial" w:cs="Arial"/>
          <w:sz w:val="24"/>
          <w:szCs w:val="24"/>
        </w:rPr>
        <w:t xml:space="preserve">Ainda, </w:t>
      </w:r>
      <w:r w:rsidRPr="009357DD">
        <w:rPr>
          <w:rFonts w:ascii="Arial" w:hAnsi="Arial" w:cs="Arial"/>
          <w:b/>
          <w:sz w:val="24"/>
          <w:szCs w:val="24"/>
        </w:rPr>
        <w:t xml:space="preserve">tendo em vista que esta CPI recebeu vasta documentação, tanto em meio físico como digital, </w:t>
      </w:r>
      <w:r w:rsidR="009357DD" w:rsidRPr="009357DD">
        <w:rPr>
          <w:rFonts w:ascii="Arial" w:hAnsi="Arial" w:cs="Arial"/>
          <w:b/>
          <w:sz w:val="24"/>
          <w:szCs w:val="24"/>
        </w:rPr>
        <w:t>relevante</w:t>
      </w:r>
      <w:r w:rsidRPr="009357DD">
        <w:rPr>
          <w:rFonts w:ascii="Arial" w:hAnsi="Arial" w:cs="Arial"/>
          <w:b/>
          <w:sz w:val="24"/>
          <w:szCs w:val="24"/>
        </w:rPr>
        <w:t xml:space="preserve"> fazer </w:t>
      </w:r>
      <w:r w:rsidR="009357DD" w:rsidRPr="009357DD">
        <w:rPr>
          <w:rFonts w:ascii="Arial" w:hAnsi="Arial" w:cs="Arial"/>
          <w:b/>
          <w:sz w:val="24"/>
          <w:szCs w:val="24"/>
        </w:rPr>
        <w:t>o seguinte</w:t>
      </w:r>
      <w:r w:rsidRPr="009357DD">
        <w:rPr>
          <w:rFonts w:ascii="Arial" w:hAnsi="Arial" w:cs="Arial"/>
          <w:b/>
          <w:sz w:val="24"/>
          <w:szCs w:val="24"/>
        </w:rPr>
        <w:t xml:space="preserve"> registro metodológico</w:t>
      </w:r>
      <w:r>
        <w:rPr>
          <w:rFonts w:ascii="Arial" w:hAnsi="Arial" w:cs="Arial"/>
          <w:sz w:val="24"/>
          <w:szCs w:val="24"/>
        </w:rPr>
        <w:t>: quando</w:t>
      </w:r>
      <w:r w:rsidR="009357DD">
        <w:rPr>
          <w:rFonts w:ascii="Arial" w:hAnsi="Arial" w:cs="Arial"/>
          <w:sz w:val="24"/>
          <w:szCs w:val="24"/>
        </w:rPr>
        <w:t xml:space="preserve"> feita referência a folhas dos autos da </w:t>
      </w:r>
      <w:r w:rsidR="009357DD" w:rsidRPr="00CD57E9">
        <w:rPr>
          <w:rFonts w:ascii="Arial" w:hAnsi="Arial" w:cs="Arial"/>
          <w:sz w:val="24"/>
          <w:szCs w:val="24"/>
        </w:rPr>
        <w:t>CPI</w:t>
      </w:r>
      <w:r w:rsidR="00CD57E9" w:rsidRPr="00CD57E9">
        <w:rPr>
          <w:rFonts w:ascii="Arial" w:hAnsi="Arial" w:cs="Arial"/>
          <w:sz w:val="24"/>
          <w:szCs w:val="24"/>
        </w:rPr>
        <w:t xml:space="preserve"> </w:t>
      </w:r>
      <w:r w:rsidR="00CD57E9" w:rsidRPr="004D4880">
        <w:rPr>
          <w:rFonts w:ascii="Arial" w:hAnsi="Arial" w:cs="Arial"/>
          <w:sz w:val="24"/>
          <w:szCs w:val="24"/>
        </w:rPr>
        <w:t xml:space="preserve">ou de </w:t>
      </w:r>
      <w:r w:rsidR="004D4880" w:rsidRPr="004D4880">
        <w:rPr>
          <w:rFonts w:ascii="Arial" w:hAnsi="Arial" w:cs="Arial"/>
          <w:sz w:val="24"/>
          <w:szCs w:val="24"/>
        </w:rPr>
        <w:t>trabalhos técnicos</w:t>
      </w:r>
      <w:r w:rsidR="00CD57E9" w:rsidRPr="004D4880">
        <w:rPr>
          <w:rFonts w:ascii="Arial" w:hAnsi="Arial" w:cs="Arial"/>
          <w:sz w:val="24"/>
          <w:szCs w:val="24"/>
        </w:rPr>
        <w:t xml:space="preserve"> citad</w:t>
      </w:r>
      <w:r w:rsidR="004D4880" w:rsidRPr="004D4880">
        <w:rPr>
          <w:rFonts w:ascii="Arial" w:hAnsi="Arial" w:cs="Arial"/>
          <w:sz w:val="24"/>
          <w:szCs w:val="24"/>
        </w:rPr>
        <w:t>os</w:t>
      </w:r>
      <w:r w:rsidR="00CD57E9" w:rsidRPr="004D4880">
        <w:rPr>
          <w:rFonts w:ascii="Arial" w:hAnsi="Arial" w:cs="Arial"/>
          <w:sz w:val="24"/>
          <w:szCs w:val="24"/>
        </w:rPr>
        <w:t xml:space="preserve">, </w:t>
      </w:r>
      <w:r w:rsidR="009357DD">
        <w:rPr>
          <w:rFonts w:ascii="Arial" w:hAnsi="Arial" w:cs="Arial"/>
          <w:sz w:val="24"/>
          <w:szCs w:val="24"/>
        </w:rPr>
        <w:t xml:space="preserve">utiliza-se a fórmula “fl.” ou “fls.”; quando a páginas, indica-se o número do ofício pelo qual a </w:t>
      </w:r>
      <w:r w:rsidR="009357DD">
        <w:rPr>
          <w:rFonts w:ascii="Arial" w:hAnsi="Arial" w:cs="Arial"/>
          <w:sz w:val="24"/>
          <w:szCs w:val="24"/>
        </w:rPr>
        <w:lastRenderedPageBreak/>
        <w:t xml:space="preserve">informação chegou a esta CPI, seguido de “p.” (v.g. </w:t>
      </w:r>
      <w:r w:rsidR="004A1C78">
        <w:rPr>
          <w:rFonts w:ascii="Arial" w:hAnsi="Arial" w:cs="Arial"/>
          <w:sz w:val="24"/>
          <w:szCs w:val="24"/>
        </w:rPr>
        <w:t>“</w:t>
      </w:r>
      <w:r w:rsidR="009357DD">
        <w:rPr>
          <w:rFonts w:ascii="Arial" w:hAnsi="Arial" w:cs="Arial"/>
          <w:sz w:val="24"/>
          <w:szCs w:val="24"/>
        </w:rPr>
        <w:t>Ofício n. 2.500/2019-Economia, p. 128</w:t>
      </w:r>
      <w:r w:rsidR="004A1C78">
        <w:rPr>
          <w:rFonts w:ascii="Arial" w:hAnsi="Arial" w:cs="Arial"/>
          <w:sz w:val="24"/>
          <w:szCs w:val="24"/>
        </w:rPr>
        <w:t>”</w:t>
      </w:r>
      <w:r w:rsidR="009357DD">
        <w:rPr>
          <w:rFonts w:ascii="Arial" w:hAnsi="Arial" w:cs="Arial"/>
          <w:sz w:val="24"/>
          <w:szCs w:val="24"/>
        </w:rPr>
        <w:t>)</w:t>
      </w:r>
      <w:r w:rsidR="003A1FA2">
        <w:rPr>
          <w:rFonts w:ascii="Arial" w:hAnsi="Arial" w:cs="Arial"/>
          <w:sz w:val="24"/>
          <w:szCs w:val="24"/>
        </w:rPr>
        <w:t>.</w:t>
      </w:r>
      <w:r w:rsidR="009357DD">
        <w:rPr>
          <w:rFonts w:ascii="Arial" w:hAnsi="Arial" w:cs="Arial"/>
          <w:sz w:val="24"/>
          <w:szCs w:val="24"/>
        </w:rPr>
        <w:t xml:space="preserve"> As informações cobertas por sigilo ou com grande volume de documentos que chegaram eletronicamente a esta CPI encontram-se, assim, armazenadas digitalmente em pen-drive acostado aos autos.</w:t>
      </w:r>
    </w:p>
    <w:p w14:paraId="217153F9" w14:textId="2108B9A1" w:rsidR="003C6616" w:rsidRDefault="00373B1A" w:rsidP="008D2C77">
      <w:pPr>
        <w:spacing w:line="360" w:lineRule="auto"/>
        <w:ind w:firstLine="851"/>
        <w:jc w:val="both"/>
        <w:rPr>
          <w:rFonts w:ascii="Arial" w:hAnsi="Arial" w:cs="Arial"/>
          <w:sz w:val="24"/>
          <w:szCs w:val="24"/>
        </w:rPr>
      </w:pPr>
      <w:r>
        <w:rPr>
          <w:rFonts w:ascii="Arial" w:hAnsi="Arial" w:cs="Arial"/>
          <w:sz w:val="24"/>
          <w:szCs w:val="24"/>
        </w:rPr>
        <w:t xml:space="preserve">A CPI também requisitou </w:t>
      </w:r>
      <w:r w:rsidRPr="003A504C">
        <w:rPr>
          <w:rFonts w:ascii="Arial" w:hAnsi="Arial" w:cs="Arial"/>
          <w:b/>
          <w:sz w:val="24"/>
          <w:szCs w:val="24"/>
        </w:rPr>
        <w:t xml:space="preserve">informações </w:t>
      </w:r>
      <w:r w:rsidR="00842BFF" w:rsidRPr="003A504C">
        <w:rPr>
          <w:rFonts w:ascii="Arial" w:hAnsi="Arial" w:cs="Arial"/>
          <w:b/>
          <w:sz w:val="24"/>
          <w:szCs w:val="24"/>
        </w:rPr>
        <w:t>das 100 (cem) empresas</w:t>
      </w:r>
      <w:r w:rsidR="00842BFF">
        <w:rPr>
          <w:rFonts w:ascii="Arial" w:hAnsi="Arial" w:cs="Arial"/>
          <w:sz w:val="24"/>
          <w:szCs w:val="24"/>
        </w:rPr>
        <w:t xml:space="preserve"> que mais recebem </w:t>
      </w:r>
      <w:r w:rsidR="00834EA7">
        <w:rPr>
          <w:rFonts w:ascii="Arial" w:hAnsi="Arial" w:cs="Arial"/>
          <w:sz w:val="24"/>
          <w:szCs w:val="24"/>
        </w:rPr>
        <w:t>incentivo</w:t>
      </w:r>
      <w:r w:rsidR="00842BFF">
        <w:rPr>
          <w:rFonts w:ascii="Arial" w:hAnsi="Arial" w:cs="Arial"/>
          <w:sz w:val="24"/>
          <w:szCs w:val="24"/>
        </w:rPr>
        <w:t>s f</w:t>
      </w:r>
      <w:r w:rsidR="009E6E0E">
        <w:rPr>
          <w:rFonts w:ascii="Arial" w:hAnsi="Arial" w:cs="Arial"/>
          <w:sz w:val="24"/>
          <w:szCs w:val="24"/>
        </w:rPr>
        <w:t>iscais</w:t>
      </w:r>
      <w:r w:rsidR="004D4880">
        <w:rPr>
          <w:rFonts w:ascii="Arial" w:hAnsi="Arial" w:cs="Arial"/>
          <w:sz w:val="24"/>
          <w:szCs w:val="24"/>
        </w:rPr>
        <w:t xml:space="preserve"> do Estado de Goiás no período de 2014 a 2018</w:t>
      </w:r>
      <w:r w:rsidR="009E6E0E">
        <w:rPr>
          <w:rFonts w:ascii="Arial" w:hAnsi="Arial" w:cs="Arial"/>
          <w:sz w:val="24"/>
          <w:szCs w:val="24"/>
        </w:rPr>
        <w:t xml:space="preserve"> acerca do cumprimento de eventuais</w:t>
      </w:r>
      <w:r w:rsidR="00842BFF">
        <w:rPr>
          <w:rFonts w:ascii="Arial" w:hAnsi="Arial" w:cs="Arial"/>
          <w:sz w:val="24"/>
          <w:szCs w:val="24"/>
        </w:rPr>
        <w:t xml:space="preserve"> contrapartidas</w:t>
      </w:r>
      <w:r w:rsidR="009E6E0E">
        <w:rPr>
          <w:rFonts w:ascii="Arial" w:hAnsi="Arial" w:cs="Arial"/>
          <w:sz w:val="24"/>
          <w:szCs w:val="24"/>
        </w:rPr>
        <w:t xml:space="preserve"> exigidas</w:t>
      </w:r>
      <w:r w:rsidR="00842BFF">
        <w:rPr>
          <w:rFonts w:ascii="Arial" w:hAnsi="Arial" w:cs="Arial"/>
          <w:sz w:val="24"/>
          <w:szCs w:val="24"/>
        </w:rPr>
        <w:t>,</w:t>
      </w:r>
      <w:r w:rsidR="007C64FF">
        <w:rPr>
          <w:rFonts w:ascii="Arial" w:hAnsi="Arial" w:cs="Arial"/>
          <w:sz w:val="24"/>
          <w:szCs w:val="24"/>
        </w:rPr>
        <w:t xml:space="preserve"> </w:t>
      </w:r>
      <w:r w:rsidR="00C10244">
        <w:rPr>
          <w:rFonts w:ascii="Arial" w:hAnsi="Arial" w:cs="Arial"/>
          <w:sz w:val="24"/>
          <w:szCs w:val="24"/>
        </w:rPr>
        <w:t xml:space="preserve">as quais apresentaram </w:t>
      </w:r>
      <w:r w:rsidR="003C6616">
        <w:rPr>
          <w:rFonts w:ascii="Arial" w:hAnsi="Arial" w:cs="Arial"/>
          <w:sz w:val="24"/>
          <w:szCs w:val="24"/>
        </w:rPr>
        <w:t>vasta documentação</w:t>
      </w:r>
      <w:r w:rsidR="00EB6F37">
        <w:rPr>
          <w:rFonts w:ascii="Arial" w:hAnsi="Arial" w:cs="Arial"/>
          <w:sz w:val="24"/>
          <w:szCs w:val="24"/>
        </w:rPr>
        <w:t xml:space="preserve"> armazenada na forma de </w:t>
      </w:r>
      <w:r w:rsidR="00EB6F37" w:rsidRPr="003F5648">
        <w:rPr>
          <w:rFonts w:ascii="Arial" w:hAnsi="Arial" w:cs="Arial"/>
          <w:sz w:val="24"/>
          <w:szCs w:val="24"/>
        </w:rPr>
        <w:t>anexos dos autos do processo</w:t>
      </w:r>
      <w:r w:rsidR="003C6616">
        <w:rPr>
          <w:rFonts w:ascii="Arial" w:hAnsi="Arial" w:cs="Arial"/>
          <w:sz w:val="24"/>
          <w:szCs w:val="24"/>
        </w:rPr>
        <w:t>.</w:t>
      </w:r>
      <w:r w:rsidR="00B30F4A">
        <w:rPr>
          <w:rFonts w:ascii="Arial" w:hAnsi="Arial" w:cs="Arial"/>
          <w:sz w:val="24"/>
          <w:szCs w:val="24"/>
        </w:rPr>
        <w:t xml:space="preserve"> Não se analisou efetivamente</w:t>
      </w:r>
    </w:p>
    <w:p w14:paraId="6E4B1FFD" w14:textId="693AF969" w:rsidR="00451DD2" w:rsidRDefault="00255D4F" w:rsidP="008D2C77">
      <w:pPr>
        <w:spacing w:line="360" w:lineRule="auto"/>
        <w:ind w:firstLine="851"/>
        <w:jc w:val="both"/>
        <w:rPr>
          <w:rFonts w:ascii="Arial" w:hAnsi="Arial" w:cs="Arial"/>
          <w:sz w:val="24"/>
          <w:szCs w:val="24"/>
        </w:rPr>
      </w:pPr>
      <w:r>
        <w:rPr>
          <w:rFonts w:ascii="Arial" w:hAnsi="Arial" w:cs="Arial"/>
          <w:sz w:val="24"/>
          <w:szCs w:val="24"/>
        </w:rPr>
        <w:t>Por razões didáticas, os trabalhos desta CPI ao longo de suas 22 (vinte e duas) reuniões podem ser sintetizadas na forma do seguinte quadro</w:t>
      </w:r>
      <w:r w:rsidR="007C64FF">
        <w:rPr>
          <w:rFonts w:ascii="Arial" w:hAnsi="Arial" w:cs="Arial"/>
          <w:sz w:val="24"/>
          <w:szCs w:val="24"/>
        </w:rPr>
        <w:t>:</w:t>
      </w:r>
    </w:p>
    <w:p w14:paraId="167F2343" w14:textId="77777777" w:rsidR="0006164F" w:rsidRDefault="0006164F" w:rsidP="008D2C77">
      <w:pPr>
        <w:spacing w:line="360" w:lineRule="auto"/>
        <w:ind w:firstLine="851"/>
        <w:jc w:val="both"/>
        <w:rPr>
          <w:rFonts w:ascii="Arial" w:hAnsi="Arial" w:cs="Arial"/>
          <w:sz w:val="24"/>
          <w:szCs w:val="24"/>
        </w:rPr>
      </w:pPr>
    </w:p>
    <w:tbl>
      <w:tblPr>
        <w:tblStyle w:val="Tabelacomgrade1"/>
        <w:tblW w:w="9351" w:type="dxa"/>
        <w:tblLook w:val="04A0" w:firstRow="1" w:lastRow="0" w:firstColumn="1" w:lastColumn="0" w:noHBand="0" w:noVBand="1"/>
      </w:tblPr>
      <w:tblGrid>
        <w:gridCol w:w="1817"/>
        <w:gridCol w:w="1418"/>
        <w:gridCol w:w="6116"/>
      </w:tblGrid>
      <w:tr w:rsidR="005762E4" w:rsidRPr="003F5648" w14:paraId="6B3F19ED" w14:textId="77777777" w:rsidTr="00255D4F">
        <w:tc>
          <w:tcPr>
            <w:tcW w:w="1817" w:type="dxa"/>
          </w:tcPr>
          <w:p w14:paraId="1C28A21C" w14:textId="77777777" w:rsidR="005762E4" w:rsidRPr="003F5648" w:rsidRDefault="005762E4" w:rsidP="00883FE2">
            <w:pPr>
              <w:spacing w:before="120" w:after="120"/>
              <w:jc w:val="center"/>
              <w:rPr>
                <w:rFonts w:ascii="Arial" w:eastAsia="Calibri" w:hAnsi="Arial" w:cs="Arial"/>
                <w:b/>
                <w:sz w:val="24"/>
                <w:szCs w:val="24"/>
                <w:lang w:eastAsia="en-US"/>
              </w:rPr>
            </w:pPr>
            <w:r w:rsidRPr="003F5648">
              <w:rPr>
                <w:rFonts w:ascii="Arial" w:eastAsia="Calibri" w:hAnsi="Arial" w:cs="Arial"/>
                <w:b/>
                <w:sz w:val="24"/>
                <w:szCs w:val="24"/>
                <w:lang w:eastAsia="en-US"/>
              </w:rPr>
              <w:t>Reunião</w:t>
            </w:r>
          </w:p>
        </w:tc>
        <w:tc>
          <w:tcPr>
            <w:tcW w:w="1418" w:type="dxa"/>
          </w:tcPr>
          <w:p w14:paraId="5DDFDDFE" w14:textId="77777777" w:rsidR="005762E4" w:rsidRPr="003F5648" w:rsidRDefault="005762E4" w:rsidP="00883FE2">
            <w:pPr>
              <w:spacing w:before="120" w:after="120"/>
              <w:jc w:val="center"/>
              <w:rPr>
                <w:rFonts w:ascii="Arial" w:eastAsia="Calibri" w:hAnsi="Arial" w:cs="Arial"/>
                <w:b/>
                <w:sz w:val="24"/>
                <w:szCs w:val="24"/>
                <w:lang w:eastAsia="en-US"/>
              </w:rPr>
            </w:pPr>
            <w:r w:rsidRPr="003F5648">
              <w:rPr>
                <w:rFonts w:ascii="Arial" w:eastAsia="Calibri" w:hAnsi="Arial" w:cs="Arial"/>
                <w:b/>
                <w:sz w:val="24"/>
                <w:szCs w:val="24"/>
                <w:lang w:eastAsia="en-US"/>
              </w:rPr>
              <w:t>Data</w:t>
            </w:r>
          </w:p>
        </w:tc>
        <w:tc>
          <w:tcPr>
            <w:tcW w:w="6116" w:type="dxa"/>
          </w:tcPr>
          <w:p w14:paraId="70544099" w14:textId="77777777" w:rsidR="005762E4" w:rsidRPr="003F5648" w:rsidRDefault="005762E4" w:rsidP="00883FE2">
            <w:pPr>
              <w:spacing w:before="120" w:after="120"/>
              <w:jc w:val="center"/>
              <w:rPr>
                <w:rFonts w:ascii="Arial" w:eastAsia="Calibri" w:hAnsi="Arial" w:cs="Arial"/>
                <w:b/>
                <w:sz w:val="24"/>
                <w:szCs w:val="24"/>
                <w:lang w:eastAsia="en-US"/>
              </w:rPr>
            </w:pPr>
            <w:r w:rsidRPr="003F5648">
              <w:rPr>
                <w:rFonts w:ascii="Arial" w:eastAsia="Calibri" w:hAnsi="Arial" w:cs="Arial"/>
                <w:b/>
                <w:sz w:val="24"/>
                <w:szCs w:val="24"/>
                <w:lang w:eastAsia="en-US"/>
              </w:rPr>
              <w:t>Conteúdo</w:t>
            </w:r>
          </w:p>
        </w:tc>
      </w:tr>
      <w:tr w:rsidR="005762E4" w:rsidRPr="003F5648" w14:paraId="2857882E" w14:textId="77777777" w:rsidTr="00255D4F">
        <w:tc>
          <w:tcPr>
            <w:tcW w:w="1817" w:type="dxa"/>
          </w:tcPr>
          <w:p w14:paraId="6ED28C1C" w14:textId="0E8B680E" w:rsidR="005762E4" w:rsidRPr="003F5648" w:rsidRDefault="005762E4" w:rsidP="00A75626">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1ª </w:t>
            </w:r>
            <w:r w:rsidR="00A75626">
              <w:rPr>
                <w:rFonts w:ascii="Arial" w:eastAsia="Calibri" w:hAnsi="Arial" w:cs="Arial"/>
                <w:sz w:val="24"/>
                <w:szCs w:val="24"/>
                <w:lang w:eastAsia="en-US"/>
              </w:rPr>
              <w:t>Reunião</w:t>
            </w:r>
          </w:p>
        </w:tc>
        <w:tc>
          <w:tcPr>
            <w:tcW w:w="1418" w:type="dxa"/>
          </w:tcPr>
          <w:p w14:paraId="1E56077C"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14/03/2019</w:t>
            </w:r>
          </w:p>
        </w:tc>
        <w:tc>
          <w:tcPr>
            <w:tcW w:w="6116" w:type="dxa"/>
          </w:tcPr>
          <w:p w14:paraId="6569D685"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Instalação.</w:t>
            </w:r>
          </w:p>
        </w:tc>
      </w:tr>
      <w:tr w:rsidR="005762E4" w:rsidRPr="003F5648" w14:paraId="76E19682" w14:textId="77777777" w:rsidTr="00255D4F">
        <w:tc>
          <w:tcPr>
            <w:tcW w:w="1817" w:type="dxa"/>
          </w:tcPr>
          <w:p w14:paraId="41101AB6" w14:textId="6DF8DE6D"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2ª </w:t>
            </w:r>
            <w:r w:rsidR="00A75626">
              <w:rPr>
                <w:rFonts w:ascii="Arial" w:eastAsia="Calibri" w:hAnsi="Arial" w:cs="Arial"/>
                <w:sz w:val="24"/>
                <w:szCs w:val="24"/>
                <w:lang w:eastAsia="en-US"/>
              </w:rPr>
              <w:t>Reunião</w:t>
            </w:r>
          </w:p>
        </w:tc>
        <w:tc>
          <w:tcPr>
            <w:tcW w:w="1418" w:type="dxa"/>
          </w:tcPr>
          <w:p w14:paraId="21DD9555"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25/03/2019</w:t>
            </w:r>
          </w:p>
        </w:tc>
        <w:tc>
          <w:tcPr>
            <w:tcW w:w="6116" w:type="dxa"/>
          </w:tcPr>
          <w:p w14:paraId="4CB68FDB"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Deputados aprovam quatro requerimentos solicitando documentos à Secretaria da Economia, à Secretaria da Indústria e Comércio, ao TCE e ao Ministério Público;</w:t>
            </w:r>
          </w:p>
          <w:p w14:paraId="12B9A452"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Sr. Luciano Roque, auditor do TCE, é brevemente ouvido.</w:t>
            </w:r>
          </w:p>
        </w:tc>
      </w:tr>
      <w:tr w:rsidR="005762E4" w:rsidRPr="003F5648" w14:paraId="5DE202B2" w14:textId="77777777" w:rsidTr="00255D4F">
        <w:tc>
          <w:tcPr>
            <w:tcW w:w="1817" w:type="dxa"/>
          </w:tcPr>
          <w:p w14:paraId="4757E652" w14:textId="3995A74B"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3ª </w:t>
            </w:r>
            <w:r w:rsidR="00A75626">
              <w:rPr>
                <w:rFonts w:ascii="Arial" w:eastAsia="Calibri" w:hAnsi="Arial" w:cs="Arial"/>
                <w:sz w:val="24"/>
                <w:szCs w:val="24"/>
                <w:lang w:eastAsia="en-US"/>
              </w:rPr>
              <w:t>Reunião</w:t>
            </w:r>
          </w:p>
        </w:tc>
        <w:tc>
          <w:tcPr>
            <w:tcW w:w="1418" w:type="dxa"/>
          </w:tcPr>
          <w:p w14:paraId="122BC39D"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07/05/2019</w:t>
            </w:r>
          </w:p>
        </w:tc>
        <w:tc>
          <w:tcPr>
            <w:tcW w:w="6116" w:type="dxa"/>
          </w:tcPr>
          <w:p w14:paraId="33FC201F"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Conversas sobre quem ouvir no futuro;</w:t>
            </w:r>
          </w:p>
          <w:p w14:paraId="6A69270A"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de documentos à Secretaria de Economia;</w:t>
            </w:r>
          </w:p>
          <w:p w14:paraId="5F0BAC68"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Convites a Cícero e Adonídio, da Receita estadual.</w:t>
            </w:r>
          </w:p>
        </w:tc>
      </w:tr>
      <w:tr w:rsidR="005762E4" w:rsidRPr="003F5648" w14:paraId="5075C228" w14:textId="77777777" w:rsidTr="00255D4F">
        <w:tc>
          <w:tcPr>
            <w:tcW w:w="1817" w:type="dxa"/>
          </w:tcPr>
          <w:p w14:paraId="428E5C9A" w14:textId="3D429B1F"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4ª </w:t>
            </w:r>
            <w:r w:rsidR="00A75626">
              <w:rPr>
                <w:rFonts w:ascii="Arial" w:eastAsia="Calibri" w:hAnsi="Arial" w:cs="Arial"/>
                <w:sz w:val="24"/>
                <w:szCs w:val="24"/>
                <w:lang w:eastAsia="en-US"/>
              </w:rPr>
              <w:t>Reunião</w:t>
            </w:r>
          </w:p>
        </w:tc>
        <w:tc>
          <w:tcPr>
            <w:tcW w:w="1418" w:type="dxa"/>
          </w:tcPr>
          <w:p w14:paraId="6A835609"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13/05/2019</w:t>
            </w:r>
          </w:p>
        </w:tc>
        <w:tc>
          <w:tcPr>
            <w:tcW w:w="6116" w:type="dxa"/>
          </w:tcPr>
          <w:p w14:paraId="4B888C28"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Adonídio Vieira Júnior, ex-superintendente da Receita estadual.</w:t>
            </w:r>
          </w:p>
        </w:tc>
      </w:tr>
      <w:tr w:rsidR="005762E4" w:rsidRPr="003F5648" w14:paraId="12F99528" w14:textId="77777777" w:rsidTr="00255D4F">
        <w:tc>
          <w:tcPr>
            <w:tcW w:w="1817" w:type="dxa"/>
          </w:tcPr>
          <w:p w14:paraId="50A65A63" w14:textId="63B90120"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5ª </w:t>
            </w:r>
            <w:r w:rsidR="00A75626">
              <w:rPr>
                <w:rFonts w:ascii="Arial" w:eastAsia="Calibri" w:hAnsi="Arial" w:cs="Arial"/>
                <w:sz w:val="24"/>
                <w:szCs w:val="24"/>
                <w:lang w:eastAsia="en-US"/>
              </w:rPr>
              <w:t>Reunião</w:t>
            </w:r>
          </w:p>
        </w:tc>
        <w:tc>
          <w:tcPr>
            <w:tcW w:w="1418" w:type="dxa"/>
          </w:tcPr>
          <w:p w14:paraId="18E66A59"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20/05/2019</w:t>
            </w:r>
          </w:p>
        </w:tc>
        <w:tc>
          <w:tcPr>
            <w:tcW w:w="6116" w:type="dxa"/>
          </w:tcPr>
          <w:p w14:paraId="5A8A9EC3"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à Secretaria de Economia, de relação de empresas que de 2014 a 2018 receberam ou transferiram crédito outorgado, ou anteciparam ICMS do Tesouro.</w:t>
            </w:r>
          </w:p>
        </w:tc>
      </w:tr>
      <w:tr w:rsidR="005762E4" w:rsidRPr="003F5648" w14:paraId="4EFFC68A" w14:textId="77777777" w:rsidTr="00255D4F">
        <w:tc>
          <w:tcPr>
            <w:tcW w:w="1817" w:type="dxa"/>
          </w:tcPr>
          <w:p w14:paraId="0BDBCBBE" w14:textId="6C438D3E"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6ª </w:t>
            </w:r>
            <w:r w:rsidR="00A75626">
              <w:rPr>
                <w:rFonts w:ascii="Arial" w:eastAsia="Calibri" w:hAnsi="Arial" w:cs="Arial"/>
                <w:sz w:val="24"/>
                <w:szCs w:val="24"/>
                <w:lang w:eastAsia="en-US"/>
              </w:rPr>
              <w:t>Reunião</w:t>
            </w:r>
          </w:p>
        </w:tc>
        <w:tc>
          <w:tcPr>
            <w:tcW w:w="1418" w:type="dxa"/>
          </w:tcPr>
          <w:p w14:paraId="0A23F1F2"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03/06/2019</w:t>
            </w:r>
          </w:p>
        </w:tc>
        <w:tc>
          <w:tcPr>
            <w:tcW w:w="6116" w:type="dxa"/>
          </w:tcPr>
          <w:p w14:paraId="2005940D"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de convocação das 20 empresas que mais receberam crédito outorgado de 2014 a 2018;</w:t>
            </w:r>
          </w:p>
          <w:p w14:paraId="110D86F9"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lastRenderedPageBreak/>
              <w:t>- Apresentação e aprovação de requerimento de oitiva dos advogados Alessandra Virgínia e João Gabriel de Andrade e do ex-auditor fiscal Sandro Costa.</w:t>
            </w:r>
          </w:p>
        </w:tc>
      </w:tr>
      <w:tr w:rsidR="005762E4" w:rsidRPr="003F5648" w14:paraId="3BD3164B" w14:textId="77777777" w:rsidTr="00255D4F">
        <w:tc>
          <w:tcPr>
            <w:tcW w:w="1817" w:type="dxa"/>
          </w:tcPr>
          <w:p w14:paraId="45706BEE" w14:textId="048CC522"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lastRenderedPageBreak/>
              <w:t xml:space="preserve">7ª </w:t>
            </w:r>
            <w:r w:rsidR="00A75626">
              <w:rPr>
                <w:rFonts w:ascii="Arial" w:eastAsia="Calibri" w:hAnsi="Arial" w:cs="Arial"/>
                <w:sz w:val="24"/>
                <w:szCs w:val="24"/>
                <w:lang w:eastAsia="en-US"/>
              </w:rPr>
              <w:t>Reunião</w:t>
            </w:r>
          </w:p>
        </w:tc>
        <w:tc>
          <w:tcPr>
            <w:tcW w:w="1418" w:type="dxa"/>
          </w:tcPr>
          <w:p w14:paraId="04E97476"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12/06/2019</w:t>
            </w:r>
          </w:p>
        </w:tc>
        <w:tc>
          <w:tcPr>
            <w:tcW w:w="6116" w:type="dxa"/>
          </w:tcPr>
          <w:p w14:paraId="0B259508"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da Srª. Alessandra Virgínia Costa Pinto, advogada tributarista.</w:t>
            </w:r>
          </w:p>
        </w:tc>
      </w:tr>
      <w:tr w:rsidR="005762E4" w:rsidRPr="003F5648" w14:paraId="1479BF8E" w14:textId="77777777" w:rsidTr="00255D4F">
        <w:tc>
          <w:tcPr>
            <w:tcW w:w="1817" w:type="dxa"/>
          </w:tcPr>
          <w:p w14:paraId="2C0B128A" w14:textId="74A18A9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8ª </w:t>
            </w:r>
            <w:r w:rsidR="00A75626">
              <w:rPr>
                <w:rFonts w:ascii="Arial" w:eastAsia="Calibri" w:hAnsi="Arial" w:cs="Arial"/>
                <w:sz w:val="24"/>
                <w:szCs w:val="24"/>
                <w:lang w:eastAsia="en-US"/>
              </w:rPr>
              <w:t>Reunião</w:t>
            </w:r>
          </w:p>
        </w:tc>
        <w:tc>
          <w:tcPr>
            <w:tcW w:w="1418" w:type="dxa"/>
          </w:tcPr>
          <w:p w14:paraId="3FD30310"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25/06/2019</w:t>
            </w:r>
          </w:p>
        </w:tc>
        <w:tc>
          <w:tcPr>
            <w:tcW w:w="6116" w:type="dxa"/>
          </w:tcPr>
          <w:p w14:paraId="1D2948DE"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para entrega de “alguns documentos para iniciar as oitivas dos empresários”;</w:t>
            </w:r>
          </w:p>
          <w:p w14:paraId="53DD2E23"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Requerimento para prorrogar a CPI por 60 (sessenta) dias, “até 10 de outubro”;</w:t>
            </w:r>
          </w:p>
          <w:p w14:paraId="673FC51C"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à Delegacia Regional do Trabalho de Caged, eSocial e Rais de 2014-2018 das 100 maiores empresas em Goiás.</w:t>
            </w:r>
          </w:p>
        </w:tc>
      </w:tr>
      <w:tr w:rsidR="005762E4" w:rsidRPr="003F5648" w14:paraId="5896AB1A" w14:textId="77777777" w:rsidTr="00255D4F">
        <w:tc>
          <w:tcPr>
            <w:tcW w:w="1817" w:type="dxa"/>
          </w:tcPr>
          <w:p w14:paraId="1DB67225" w14:textId="045B495E"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9ª </w:t>
            </w:r>
            <w:r w:rsidR="00A75626">
              <w:rPr>
                <w:rFonts w:ascii="Arial" w:eastAsia="Calibri" w:hAnsi="Arial" w:cs="Arial"/>
                <w:sz w:val="24"/>
                <w:szCs w:val="24"/>
                <w:lang w:eastAsia="en-US"/>
              </w:rPr>
              <w:t>Reunião</w:t>
            </w:r>
          </w:p>
        </w:tc>
        <w:tc>
          <w:tcPr>
            <w:tcW w:w="1418" w:type="dxa"/>
          </w:tcPr>
          <w:p w14:paraId="7B45BAD2"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13/08/2019</w:t>
            </w:r>
          </w:p>
        </w:tc>
        <w:tc>
          <w:tcPr>
            <w:tcW w:w="6116" w:type="dxa"/>
          </w:tcPr>
          <w:p w14:paraId="3D1D1222"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de projeto de lei para revogar o art. 3º da Lei nº 13.246, de 13 de maio de 1998, sobre créditos outorgados ao setor sucroalcooleiro;</w:t>
            </w:r>
          </w:p>
          <w:p w14:paraId="1F4D8855"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de projeto de lei para alterar a Lei nº 17.442, que dispõe sobre o tratamento tributário do ICMS, permitindo que o benefício seja concedido apenas ao grupo econômico que realizar industrialização em território goiano, investindo e implementando pelo menos uma unidade industrial no estado de Goiás, gerando no mínimo dois mil empregos diretos ao final do projeto;</w:t>
            </w:r>
          </w:p>
          <w:p w14:paraId="7C73E085"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xml:space="preserve">- Apresentação e aprovação de requerimento à Secretaria de Economia para que forneça à CPI a relação de alguns beneficiados fiscais específicos nos últimos 5 anos, juntamente com os respectivos valores e atos concessivos; </w:t>
            </w:r>
          </w:p>
          <w:p w14:paraId="04793EA3"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convidando a Srª. Renata Lacerda Noleto, Superintendente de Política Tributária da Secretaria de Estado da Economia, para ser ouvida;</w:t>
            </w:r>
          </w:p>
          <w:p w14:paraId="3A64B17B"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convocando o Sr. André Rocha, Presidente-Executivo do Sindicato da Indústria de Fabricação de Etanol do Estado de Goiás (SIFAEG);</w:t>
            </w:r>
          </w:p>
          <w:p w14:paraId="43F9935A"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de oitiva do representante da CAOA, Sr. Carlos Alberto de Oliveira Andrade.</w:t>
            </w:r>
          </w:p>
        </w:tc>
      </w:tr>
      <w:tr w:rsidR="005762E4" w:rsidRPr="003F5648" w14:paraId="671FBD51" w14:textId="77777777" w:rsidTr="00255D4F">
        <w:tc>
          <w:tcPr>
            <w:tcW w:w="1817" w:type="dxa"/>
          </w:tcPr>
          <w:p w14:paraId="272EE242" w14:textId="44B7B066"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lastRenderedPageBreak/>
              <w:t xml:space="preserve">10ª </w:t>
            </w:r>
            <w:r w:rsidR="00A75626">
              <w:rPr>
                <w:rFonts w:ascii="Arial" w:eastAsia="Calibri" w:hAnsi="Arial" w:cs="Arial"/>
                <w:sz w:val="24"/>
                <w:szCs w:val="24"/>
                <w:lang w:eastAsia="en-US"/>
              </w:rPr>
              <w:t>Reunião</w:t>
            </w:r>
          </w:p>
        </w:tc>
        <w:tc>
          <w:tcPr>
            <w:tcW w:w="1418" w:type="dxa"/>
          </w:tcPr>
          <w:p w14:paraId="4CAAC156"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19/08/2019</w:t>
            </w:r>
          </w:p>
        </w:tc>
        <w:tc>
          <w:tcPr>
            <w:tcW w:w="6116" w:type="dxa"/>
          </w:tcPr>
          <w:p w14:paraId="4DC7E565"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para notificar as 100 (cem) maiores beneficiárias de incentivos fiscais de ICMS em Goiás a apresentarem, no prazo de 20 (vinte) dias os documentos comprobatórios do cumprimento das obrigações constantes nos respectivos TAREs, e os documentos emitidos pelo Estado de Goiás atestando o cumprimento das referidas obrigações;</w:t>
            </w:r>
          </w:p>
          <w:p w14:paraId="08B835C7"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Requerimento convocando o Diretor Executivo da Associação Pró-desenvolvimento Industrial do Estado de Goiás – ADIAL, Sr. Edwal Freitas Portilho;</w:t>
            </w:r>
          </w:p>
          <w:p w14:paraId="1DF3BDDB"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Requerimento de informações ao Procurador-Chefe do Ministério Público do Trabalho em Goiás, sobre a geração de empregos das empresas CAOA; JBS; CARGILL AGRICOLA; FALCON DISTRIBUIÇÃO, ARMAZENAMENTO E TRANSPORTE e COTY BRASIL COMÉRCIO LTDA, para que se saiba se estão cumprindo as contrapartidas do PRODUZIR e do FOMENTAR;</w:t>
            </w:r>
          </w:p>
          <w:p w14:paraId="2AC734A1"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André Luiz Baptista Lins Rocha, Presidente do SIFAEG - Sindicato da Indústria de Fabricação de Etanol do Estado de Goiás;</w:t>
            </w:r>
          </w:p>
          <w:p w14:paraId="373AD590"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da Superintendente de Política Tributária da Secretaria da Economia, Renata Lacerda Noleto.</w:t>
            </w:r>
          </w:p>
        </w:tc>
      </w:tr>
      <w:tr w:rsidR="005762E4" w:rsidRPr="003F5648" w14:paraId="5C364E4B" w14:textId="77777777" w:rsidTr="00255D4F">
        <w:tc>
          <w:tcPr>
            <w:tcW w:w="1817" w:type="dxa"/>
          </w:tcPr>
          <w:p w14:paraId="47AEBB9F" w14:textId="1CC12970"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11ª </w:t>
            </w:r>
            <w:r w:rsidR="00A75626">
              <w:rPr>
                <w:rFonts w:ascii="Arial" w:eastAsia="Calibri" w:hAnsi="Arial" w:cs="Arial"/>
                <w:sz w:val="24"/>
                <w:szCs w:val="24"/>
                <w:lang w:eastAsia="en-US"/>
              </w:rPr>
              <w:t>Reunião</w:t>
            </w:r>
          </w:p>
        </w:tc>
        <w:tc>
          <w:tcPr>
            <w:tcW w:w="1418" w:type="dxa"/>
          </w:tcPr>
          <w:p w14:paraId="15608B85"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26/08/2019</w:t>
            </w:r>
          </w:p>
        </w:tc>
        <w:tc>
          <w:tcPr>
            <w:tcW w:w="6116" w:type="dxa"/>
          </w:tcPr>
          <w:p w14:paraId="33D52F1B"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Recebimento de ofício sobre impossibilidade de comparecimento do convocado Sr. Carlos Alberto de Oliveira Andrade;</w:t>
            </w:r>
          </w:p>
          <w:p w14:paraId="147CE4B8"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de convocação do Sr. Carlos Luciano Ribeiro, presidente do Grupo Novo Mundo, da Sra. Dayse Christina Guelman, da Rio Branco Alimentos – Pif Paf, do Sr. Armando Luis Ferreira, diretor tributário da Hypera S/A, e do Sr. Mauro Francisco Batista, gerente de tributação da CAOA;</w:t>
            </w:r>
          </w:p>
          <w:p w14:paraId="165F2C61"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Edwal Freitas Portilho, Diretor Executivo da ADIAL – Associação Pró-Desenvolvimento Industrial do Estado de Goiás.</w:t>
            </w:r>
          </w:p>
        </w:tc>
      </w:tr>
      <w:tr w:rsidR="005762E4" w:rsidRPr="003F5648" w14:paraId="4205D746" w14:textId="77777777" w:rsidTr="00255D4F">
        <w:tc>
          <w:tcPr>
            <w:tcW w:w="1817" w:type="dxa"/>
          </w:tcPr>
          <w:p w14:paraId="2A6670E8" w14:textId="40B88518"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12ª </w:t>
            </w:r>
            <w:r w:rsidR="00A75626">
              <w:rPr>
                <w:rFonts w:ascii="Arial" w:eastAsia="Calibri" w:hAnsi="Arial" w:cs="Arial"/>
                <w:sz w:val="24"/>
                <w:szCs w:val="24"/>
                <w:lang w:eastAsia="en-US"/>
              </w:rPr>
              <w:t>Reunião</w:t>
            </w:r>
          </w:p>
        </w:tc>
        <w:tc>
          <w:tcPr>
            <w:tcW w:w="1418" w:type="dxa"/>
          </w:tcPr>
          <w:p w14:paraId="37065012"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09/09/2019</w:t>
            </w:r>
          </w:p>
        </w:tc>
        <w:tc>
          <w:tcPr>
            <w:tcW w:w="6116" w:type="dxa"/>
          </w:tcPr>
          <w:p w14:paraId="083A8993"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xml:space="preserve">- Apresentação e aprovação de requerimentos de convocações para as próximas reuniões: Sr. César Helou, da empresa Laticínios Bela Vista Ltda; Sr. Otávio Lage de Siqueira Filho, da Empresa Jalles Machado S/A; Sr. Luiz Carlos Mendes Costa, da empresa Rio Branco Alimentos – Pif Paf; Sr. Luiz Alberto Lyra </w:t>
            </w:r>
            <w:r w:rsidRPr="003F5648">
              <w:rPr>
                <w:rFonts w:ascii="Arial" w:eastAsia="Calibri" w:hAnsi="Arial" w:cs="Arial"/>
                <w:sz w:val="24"/>
                <w:szCs w:val="24"/>
                <w:lang w:eastAsia="en-US"/>
              </w:rPr>
              <w:lastRenderedPageBreak/>
              <w:t>Pinheiro, da empresa Laboratório Teuto Brasileiro S/A; Sra. Liliana Pereira dos Anjos Tomé Silva, da empresa Cargill Agrícola S/A; Sr. Ricardo Gonçalves de Melo, da Ambev S/A ; Sr. Alberto Borges de Souza, da Caramuru Alimentos S/A; Sr. Osmar Albertini, da Granol Indústria Comércio e Exportação S/A; Sr. Wesley Mendonça Batista Filho, da JBS S/A; Sr. José Carlos Garrote de Souza, da São Salvador Alimentos S/A;</w:t>
            </w:r>
          </w:p>
          <w:p w14:paraId="48BC875F"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Carlos Luciano Ribeiro, Presidente do Grupo Novo Mundo;</w:t>
            </w:r>
          </w:p>
          <w:p w14:paraId="03A21F7B"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Mauro Francisco Batista, Gerente de Tributação da CAOA;</w:t>
            </w:r>
          </w:p>
          <w:p w14:paraId="7D9E6E99"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Diretor Tributário da Hypera S.A., Sr. Armando Luis Ferreira.</w:t>
            </w:r>
          </w:p>
        </w:tc>
      </w:tr>
      <w:tr w:rsidR="005762E4" w:rsidRPr="003F5648" w14:paraId="488265FD" w14:textId="77777777" w:rsidTr="00255D4F">
        <w:tc>
          <w:tcPr>
            <w:tcW w:w="1817" w:type="dxa"/>
          </w:tcPr>
          <w:p w14:paraId="75205D49" w14:textId="40DED85A" w:rsidR="005762E4" w:rsidRPr="003F5648" w:rsidRDefault="00A75626" w:rsidP="00883FE2">
            <w:pPr>
              <w:spacing w:before="120" w:after="120"/>
              <w:jc w:val="center"/>
              <w:rPr>
                <w:rFonts w:ascii="Arial" w:eastAsia="Calibri" w:hAnsi="Arial" w:cs="Arial"/>
                <w:sz w:val="24"/>
                <w:szCs w:val="24"/>
                <w:lang w:eastAsia="en-US"/>
              </w:rPr>
            </w:pPr>
            <w:r w:rsidRPr="00A75626">
              <w:rPr>
                <w:rFonts w:ascii="Arial" w:eastAsia="Calibri" w:hAnsi="Arial" w:cs="Arial"/>
                <w:sz w:val="24"/>
                <w:szCs w:val="24"/>
                <w:lang w:eastAsia="en-US"/>
              </w:rPr>
              <w:lastRenderedPageBreak/>
              <w:t xml:space="preserve">13ª </w:t>
            </w:r>
            <w:r>
              <w:rPr>
                <w:rFonts w:ascii="Arial" w:eastAsia="Calibri" w:hAnsi="Arial" w:cs="Arial"/>
                <w:sz w:val="24"/>
                <w:szCs w:val="24"/>
                <w:lang w:eastAsia="en-US"/>
              </w:rPr>
              <w:t>Reunião</w:t>
            </w:r>
          </w:p>
        </w:tc>
        <w:tc>
          <w:tcPr>
            <w:tcW w:w="1418" w:type="dxa"/>
          </w:tcPr>
          <w:p w14:paraId="75A7B6F2"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17/09/2019</w:t>
            </w:r>
          </w:p>
        </w:tc>
        <w:tc>
          <w:tcPr>
            <w:tcW w:w="6116" w:type="dxa"/>
          </w:tcPr>
          <w:p w14:paraId="3E2264D0"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2 (dois) requerimentos de solicitação de informações à Secretaria de Estado da Indústria e Comércio e Secretaria de Estado da Economia, contendo a relação de empresas em fruição nos programas FOMENTAR e/ou PRODUZIR, com data de início e fim da fruição; total do benefício concedido; total de empregos previstos a serem gerados e investimentos a serem realizados em projeto conforme tipo de projeto, se implantação, readequação ou expansão; projetado e a ser recolhido no período de fruição, também em projeto; valor e percentual do investimento comprovado; faturamento anual dessas empresas; valores de ICMS financiado e não financiado; valor do ICMS recolhido com operações não abrangidas pelos programas.</w:t>
            </w:r>
          </w:p>
        </w:tc>
      </w:tr>
      <w:tr w:rsidR="005762E4" w:rsidRPr="003F5648" w14:paraId="75528D40" w14:textId="77777777" w:rsidTr="00255D4F">
        <w:tc>
          <w:tcPr>
            <w:tcW w:w="1817" w:type="dxa"/>
          </w:tcPr>
          <w:p w14:paraId="4D8F805D" w14:textId="68061E7A"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14ª </w:t>
            </w:r>
            <w:r w:rsidR="00A75626">
              <w:rPr>
                <w:rFonts w:ascii="Arial" w:eastAsia="Calibri" w:hAnsi="Arial" w:cs="Arial"/>
                <w:sz w:val="24"/>
                <w:szCs w:val="24"/>
                <w:lang w:eastAsia="en-US"/>
              </w:rPr>
              <w:t>Reunião</w:t>
            </w:r>
          </w:p>
        </w:tc>
        <w:tc>
          <w:tcPr>
            <w:tcW w:w="1418" w:type="dxa"/>
          </w:tcPr>
          <w:p w14:paraId="153C4761"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23/09/19</w:t>
            </w:r>
          </w:p>
        </w:tc>
        <w:tc>
          <w:tcPr>
            <w:tcW w:w="6116" w:type="dxa"/>
          </w:tcPr>
          <w:p w14:paraId="448B14AD"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Otávio Lage de Siqueira Filho, presidente da Jalles Machado;</w:t>
            </w:r>
          </w:p>
          <w:p w14:paraId="26A512C8"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Luiz Carlos Mendes Costa, da Rio Branco Alimentos – Pif Paf;</w:t>
            </w:r>
          </w:p>
          <w:p w14:paraId="25CE45A5"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César Helou, da empresa Laticínios Bela Vista.</w:t>
            </w:r>
          </w:p>
        </w:tc>
      </w:tr>
      <w:tr w:rsidR="005762E4" w:rsidRPr="003F5648" w14:paraId="5A098C98" w14:textId="77777777" w:rsidTr="00255D4F">
        <w:tc>
          <w:tcPr>
            <w:tcW w:w="1817" w:type="dxa"/>
          </w:tcPr>
          <w:p w14:paraId="7B01C6EF" w14:textId="4308739D"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15ª </w:t>
            </w:r>
            <w:r w:rsidR="00A75626">
              <w:rPr>
                <w:rFonts w:ascii="Arial" w:eastAsia="Calibri" w:hAnsi="Arial" w:cs="Arial"/>
                <w:sz w:val="24"/>
                <w:szCs w:val="24"/>
                <w:lang w:eastAsia="en-US"/>
              </w:rPr>
              <w:t>Reunião</w:t>
            </w:r>
          </w:p>
        </w:tc>
        <w:tc>
          <w:tcPr>
            <w:tcW w:w="1418" w:type="dxa"/>
          </w:tcPr>
          <w:p w14:paraId="0E39B43D"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30/09/2019</w:t>
            </w:r>
          </w:p>
        </w:tc>
        <w:tc>
          <w:tcPr>
            <w:tcW w:w="6116" w:type="dxa"/>
          </w:tcPr>
          <w:p w14:paraId="56C453E9"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José Carlos Garrote de Souza, do grupo São Salvador Alimentos;</w:t>
            </w:r>
          </w:p>
          <w:p w14:paraId="44D403FC"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de convocação do empresário Sr. Sando Mabel, presidente da Federação das Indústrias do Estado de Goiás – FIEG, depois retirado a pedido do próprio requerente (Coronel Adailton);</w:t>
            </w:r>
          </w:p>
          <w:p w14:paraId="14A9BB6F"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lastRenderedPageBreak/>
              <w:t>- Oitiva do Sr. Ricardo Gonçalves de Melo, da AMBEV S/A;</w:t>
            </w:r>
          </w:p>
          <w:p w14:paraId="4E883F7B"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da Sra. Liliana Pereira dos Anjos Tomé Silva, representante da empresa Cargill Agrícola S/A;</w:t>
            </w:r>
          </w:p>
          <w:p w14:paraId="5BF82753"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Luiz Alberto Lyra Pinheiro, diretor financeiro do Laboratório Teuto S/A.</w:t>
            </w:r>
          </w:p>
        </w:tc>
      </w:tr>
      <w:tr w:rsidR="005762E4" w:rsidRPr="003F5648" w14:paraId="77F141D9" w14:textId="77777777" w:rsidTr="00255D4F">
        <w:tc>
          <w:tcPr>
            <w:tcW w:w="1817" w:type="dxa"/>
          </w:tcPr>
          <w:p w14:paraId="3B637D35" w14:textId="01691F94"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lastRenderedPageBreak/>
              <w:t xml:space="preserve">16ª </w:t>
            </w:r>
            <w:r w:rsidR="00A75626">
              <w:rPr>
                <w:rFonts w:ascii="Arial" w:eastAsia="Calibri" w:hAnsi="Arial" w:cs="Arial"/>
                <w:sz w:val="24"/>
                <w:szCs w:val="24"/>
                <w:lang w:eastAsia="en-US"/>
              </w:rPr>
              <w:t>Reunião</w:t>
            </w:r>
          </w:p>
        </w:tc>
        <w:tc>
          <w:tcPr>
            <w:tcW w:w="1418" w:type="dxa"/>
          </w:tcPr>
          <w:p w14:paraId="72C739DC"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07/10/2019</w:t>
            </w:r>
          </w:p>
        </w:tc>
        <w:tc>
          <w:tcPr>
            <w:tcW w:w="6116" w:type="dxa"/>
          </w:tcPr>
          <w:p w14:paraId="6003A46E"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Transferência da oitiva do Sr. Wesley Mendonça Batista Filho, da JBS, para a próxima reunião;</w:t>
            </w:r>
          </w:p>
          <w:p w14:paraId="06C80561"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Alberto Borges de Souza, diretor-presidente da Caramuru Alimentos S/A;</w:t>
            </w:r>
          </w:p>
          <w:p w14:paraId="4282FF8E"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Sebastião Osmar Albertini, representante da Granol Indústria e Comércio de Exportação S/A;</w:t>
            </w:r>
          </w:p>
          <w:p w14:paraId="3692AF99"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5 (cinco) requerimentos de listagem de todos os TAREs dos últimos cinco anos das empresas Santa Marta Distribuidora de Drogas LTDA, Profarma Distribuidora de Produtos Farmacêuticos S/A, Raia Drogasil S/A, Empreendimentos Pague Menos S/A e Drogaria São Paulo S/A;</w:t>
            </w:r>
          </w:p>
          <w:p w14:paraId="34673F39"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Reapresentado e rejeitado o requerimento de oitiva do empresário e presidente da FIEG, Sr. Sandro Antônio Scodro (Sandro Mabel).</w:t>
            </w:r>
          </w:p>
        </w:tc>
      </w:tr>
      <w:tr w:rsidR="005762E4" w:rsidRPr="003F5648" w14:paraId="3BF12F05" w14:textId="77777777" w:rsidTr="00255D4F">
        <w:tc>
          <w:tcPr>
            <w:tcW w:w="1817" w:type="dxa"/>
          </w:tcPr>
          <w:p w14:paraId="7D78215B" w14:textId="32B3455C"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17ª </w:t>
            </w:r>
            <w:r w:rsidR="00A75626">
              <w:rPr>
                <w:rFonts w:ascii="Arial" w:eastAsia="Calibri" w:hAnsi="Arial" w:cs="Arial"/>
                <w:sz w:val="24"/>
                <w:szCs w:val="24"/>
                <w:lang w:eastAsia="en-US"/>
              </w:rPr>
              <w:t>Reunião</w:t>
            </w:r>
          </w:p>
        </w:tc>
        <w:tc>
          <w:tcPr>
            <w:tcW w:w="1418" w:type="dxa"/>
          </w:tcPr>
          <w:p w14:paraId="04A4A642"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14/10/2019</w:t>
            </w:r>
          </w:p>
        </w:tc>
        <w:tc>
          <w:tcPr>
            <w:tcW w:w="6116" w:type="dxa"/>
          </w:tcPr>
          <w:p w14:paraId="3B8AF1BE"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Recebimento pela CPI de notificação do Tribunal de Justiça do Estado de Goiás concedendo liminar para que o Sr. Wesley Mendonça Batista Filho não comparecesse; decisão da Comissão de recorrer da liminar;</w:t>
            </w:r>
          </w:p>
          <w:p w14:paraId="5C68CF9A"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3 (três) requerimentos: solicitação à Secretaria de Economia dos TAREs de todo o setor de mineração do Estado de Goiás; convocação do Sr. Ailton Coimbra Bonfim, diretor da Mitsubishi;  reconvocação do presidente da CAOA, Sr. Carlos Alberto de Oliveira Andrade.</w:t>
            </w:r>
          </w:p>
        </w:tc>
      </w:tr>
      <w:tr w:rsidR="005762E4" w:rsidRPr="003F5648" w14:paraId="7ED62938" w14:textId="77777777" w:rsidTr="00255D4F">
        <w:tc>
          <w:tcPr>
            <w:tcW w:w="1817" w:type="dxa"/>
          </w:tcPr>
          <w:p w14:paraId="2EA5B81F" w14:textId="3E0945E1"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18ª </w:t>
            </w:r>
            <w:r w:rsidR="00A75626">
              <w:rPr>
                <w:rFonts w:ascii="Arial" w:eastAsia="Calibri" w:hAnsi="Arial" w:cs="Arial"/>
                <w:sz w:val="24"/>
                <w:szCs w:val="24"/>
                <w:lang w:eastAsia="en-US"/>
              </w:rPr>
              <w:t>Reunião</w:t>
            </w:r>
          </w:p>
        </w:tc>
        <w:tc>
          <w:tcPr>
            <w:tcW w:w="1418" w:type="dxa"/>
          </w:tcPr>
          <w:p w14:paraId="269546EB"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04/11/2019</w:t>
            </w:r>
          </w:p>
        </w:tc>
        <w:tc>
          <w:tcPr>
            <w:tcW w:w="6116" w:type="dxa"/>
          </w:tcPr>
          <w:p w14:paraId="47CE6E0D"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Notícia do ofício e atestado médico encaminhados pelo Presidente da empresa CAOA, Sr. Carlos Alberto de Oliveira Andrade, dando conta da impossibilidade, por motivos de saúde, de comparecer à reunião. Decisão de que o Sr. Carlos Alberto deverá comparecer à reunião de 18 de novembro;</w:t>
            </w:r>
          </w:p>
          <w:p w14:paraId="5560C9E7"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xml:space="preserve">- Apresentação e aprovação de requerimento de oitiva dos senhores Marcelo Zanatta Estevam e Fábio </w:t>
            </w:r>
            <w:r w:rsidRPr="003F5648">
              <w:rPr>
                <w:rFonts w:ascii="Arial" w:eastAsia="Calibri" w:hAnsi="Arial" w:cs="Arial"/>
                <w:sz w:val="24"/>
                <w:szCs w:val="24"/>
                <w:lang w:eastAsia="en-US"/>
              </w:rPr>
              <w:lastRenderedPageBreak/>
              <w:t>Augusto Chilo, executivos da JBS S.A; decisão de possível futura intimação do Sr. Wesley Batista Filho;</w:t>
            </w:r>
          </w:p>
          <w:p w14:paraId="7D2E934F"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Ailton Bonfim, Vice-Presidente/Diretor Jurídico da SVB Automotores/HPE.</w:t>
            </w:r>
          </w:p>
        </w:tc>
      </w:tr>
      <w:tr w:rsidR="005762E4" w:rsidRPr="003F5648" w14:paraId="3FB48A8F" w14:textId="77777777" w:rsidTr="00255D4F">
        <w:tc>
          <w:tcPr>
            <w:tcW w:w="1817" w:type="dxa"/>
          </w:tcPr>
          <w:p w14:paraId="78F83C5B" w14:textId="61807775"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lastRenderedPageBreak/>
              <w:t xml:space="preserve">19ª </w:t>
            </w:r>
            <w:r w:rsidR="00A75626">
              <w:rPr>
                <w:rFonts w:ascii="Arial" w:eastAsia="Calibri" w:hAnsi="Arial" w:cs="Arial"/>
                <w:sz w:val="24"/>
                <w:szCs w:val="24"/>
                <w:lang w:eastAsia="en-US"/>
              </w:rPr>
              <w:t>Reunião</w:t>
            </w:r>
          </w:p>
        </w:tc>
        <w:tc>
          <w:tcPr>
            <w:tcW w:w="1418" w:type="dxa"/>
          </w:tcPr>
          <w:p w14:paraId="6630685E"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18/11/2019</w:t>
            </w:r>
          </w:p>
        </w:tc>
        <w:tc>
          <w:tcPr>
            <w:tcW w:w="6116" w:type="dxa"/>
          </w:tcPr>
          <w:p w14:paraId="6A20BAFB"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dos senhores Marcelo Zanatta Estevam, Diretor Industrial da JBS S.A., e Fábio Augusto Chilo, Diretor Jurídico Tributário da mesma empresa;</w:t>
            </w:r>
          </w:p>
          <w:p w14:paraId="04B2316A"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requisitando à Secretaria da Economia informação sobre autos de infração dos últimos cinco anos de empresas que não provaram exportação ou desrespeitaram os TAREs;</w:t>
            </w:r>
          </w:p>
          <w:p w14:paraId="431E5725"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Requerimento de convocação do Sr. José Alves Filho, da Refrescos Bandeirantes;</w:t>
            </w:r>
          </w:p>
          <w:p w14:paraId="7E0203A6"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requerimentos de solicitação de informações às Secretarias de Estado da Economia e do Meio Ambiente; e à Delegacia Regional do Trabalho solicitando o rol de empresas incentivadas e autuadas por discriminação contra o trabalhador;</w:t>
            </w:r>
          </w:p>
          <w:p w14:paraId="2E52F603"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convidando o Sr. Jerry Alexandre de Oliveira Paula, presidente do Sindicato das Indústrias de Arroz, SIAGO.</w:t>
            </w:r>
          </w:p>
        </w:tc>
      </w:tr>
      <w:tr w:rsidR="005762E4" w:rsidRPr="003F5648" w14:paraId="745813C1" w14:textId="77777777" w:rsidTr="00255D4F">
        <w:tc>
          <w:tcPr>
            <w:tcW w:w="1817" w:type="dxa"/>
          </w:tcPr>
          <w:p w14:paraId="0C347601" w14:textId="0EBD3B26"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20ª </w:t>
            </w:r>
            <w:r w:rsidR="00A75626">
              <w:rPr>
                <w:rFonts w:ascii="Arial" w:eastAsia="Calibri" w:hAnsi="Arial" w:cs="Arial"/>
                <w:sz w:val="24"/>
                <w:szCs w:val="24"/>
                <w:lang w:eastAsia="en-US"/>
              </w:rPr>
              <w:t>Reunião</w:t>
            </w:r>
          </w:p>
        </w:tc>
        <w:tc>
          <w:tcPr>
            <w:tcW w:w="1418" w:type="dxa"/>
          </w:tcPr>
          <w:p w14:paraId="539FC6F9"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25/11/2019</w:t>
            </w:r>
          </w:p>
        </w:tc>
        <w:tc>
          <w:tcPr>
            <w:tcW w:w="6116" w:type="dxa"/>
          </w:tcPr>
          <w:p w14:paraId="33A12AA8"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Apresentação e aprovação de requerimento de convite, para futura reunião, da Secretária da Economia de Goiás, Srª. Cristiane Schmidt;</w:t>
            </w:r>
          </w:p>
          <w:p w14:paraId="48EE2D99"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Jerry Alexandre de Oliveira Paula, Presidente do Sindicato da Indústria de Arroz de Goiás – SIAGO.</w:t>
            </w:r>
          </w:p>
        </w:tc>
      </w:tr>
      <w:tr w:rsidR="005762E4" w:rsidRPr="003F5648" w14:paraId="6639D7E4" w14:textId="77777777" w:rsidTr="00255D4F">
        <w:tc>
          <w:tcPr>
            <w:tcW w:w="1817" w:type="dxa"/>
          </w:tcPr>
          <w:p w14:paraId="71FAD6C2" w14:textId="2CBA3FBD"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21ª </w:t>
            </w:r>
            <w:r w:rsidR="00A75626">
              <w:rPr>
                <w:rFonts w:ascii="Arial" w:eastAsia="Calibri" w:hAnsi="Arial" w:cs="Arial"/>
                <w:sz w:val="24"/>
                <w:szCs w:val="24"/>
                <w:lang w:eastAsia="en-US"/>
              </w:rPr>
              <w:t>Reunião</w:t>
            </w:r>
          </w:p>
        </w:tc>
        <w:tc>
          <w:tcPr>
            <w:tcW w:w="1418" w:type="dxa"/>
          </w:tcPr>
          <w:p w14:paraId="3F0DD639"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02/12/2019</w:t>
            </w:r>
          </w:p>
        </w:tc>
        <w:tc>
          <w:tcPr>
            <w:tcW w:w="6116" w:type="dxa"/>
          </w:tcPr>
          <w:p w14:paraId="10E02B64"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do Sr. José Alves Filho, Diretor Presidente da empresa Refrescos Bandeirantes;</w:t>
            </w:r>
          </w:p>
          <w:p w14:paraId="02ED5746"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Requerimentos de convites à Secretária da Economia, Srª. Cristiane Schmidt, e aos servidores Sr. Aubirlan Borges Vitoi, Srª. Renata Lacerda Noleto e Srª. Maria Carneiro Correia Silva, todos da Secretaria da Economia de Goiás.</w:t>
            </w:r>
          </w:p>
        </w:tc>
      </w:tr>
      <w:tr w:rsidR="005762E4" w:rsidRPr="003F5648" w14:paraId="6A85B693" w14:textId="77777777" w:rsidTr="00255D4F">
        <w:tc>
          <w:tcPr>
            <w:tcW w:w="1817" w:type="dxa"/>
          </w:tcPr>
          <w:p w14:paraId="541C4043" w14:textId="7142780F"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 xml:space="preserve">22ª </w:t>
            </w:r>
            <w:r w:rsidR="00A75626">
              <w:rPr>
                <w:rFonts w:ascii="Arial" w:eastAsia="Calibri" w:hAnsi="Arial" w:cs="Arial"/>
                <w:sz w:val="24"/>
                <w:szCs w:val="24"/>
                <w:lang w:eastAsia="en-US"/>
              </w:rPr>
              <w:t>Reunião</w:t>
            </w:r>
          </w:p>
        </w:tc>
        <w:tc>
          <w:tcPr>
            <w:tcW w:w="1418" w:type="dxa"/>
          </w:tcPr>
          <w:p w14:paraId="5ADA338A" w14:textId="77777777" w:rsidR="005762E4" w:rsidRPr="003F5648" w:rsidRDefault="005762E4" w:rsidP="00883FE2">
            <w:pPr>
              <w:spacing w:before="120" w:after="120"/>
              <w:jc w:val="center"/>
              <w:rPr>
                <w:rFonts w:ascii="Arial" w:eastAsia="Calibri" w:hAnsi="Arial" w:cs="Arial"/>
                <w:sz w:val="24"/>
                <w:szCs w:val="24"/>
                <w:lang w:eastAsia="en-US"/>
              </w:rPr>
            </w:pPr>
            <w:r w:rsidRPr="003F5648">
              <w:rPr>
                <w:rFonts w:ascii="Arial" w:eastAsia="Calibri" w:hAnsi="Arial" w:cs="Arial"/>
                <w:sz w:val="24"/>
                <w:szCs w:val="24"/>
                <w:lang w:eastAsia="en-US"/>
              </w:rPr>
              <w:t>09/12/2019</w:t>
            </w:r>
          </w:p>
        </w:tc>
        <w:tc>
          <w:tcPr>
            <w:tcW w:w="6116" w:type="dxa"/>
          </w:tcPr>
          <w:p w14:paraId="7FF80FDE" w14:textId="77777777" w:rsidR="005762E4" w:rsidRPr="003F5648" w:rsidRDefault="005762E4" w:rsidP="00883FE2">
            <w:pPr>
              <w:spacing w:before="120" w:after="120"/>
              <w:jc w:val="both"/>
              <w:rPr>
                <w:rFonts w:ascii="Arial" w:eastAsia="Calibri" w:hAnsi="Arial" w:cs="Arial"/>
                <w:sz w:val="24"/>
                <w:szCs w:val="24"/>
                <w:lang w:eastAsia="en-US"/>
              </w:rPr>
            </w:pPr>
            <w:r w:rsidRPr="003F5648">
              <w:rPr>
                <w:rFonts w:ascii="Arial" w:eastAsia="Calibri" w:hAnsi="Arial" w:cs="Arial"/>
                <w:sz w:val="24"/>
                <w:szCs w:val="24"/>
                <w:lang w:eastAsia="en-US"/>
              </w:rPr>
              <w:t>- Oitiva da Srª. Cristiane Schmidt, Secretária; do Sr. Aubirlan Vitoi, Subsecretário; da Srª. Renata Noleto, Superintendente de Política Tributária; e da Srª. Maria Carneiro Silva, Assessora Tributária  - todas da Secretaria da Economia de Goiás.</w:t>
            </w:r>
          </w:p>
        </w:tc>
      </w:tr>
    </w:tbl>
    <w:p w14:paraId="2894BE61" w14:textId="57EBE20B" w:rsidR="00527EF9" w:rsidRPr="00F143F0" w:rsidRDefault="00527EF9" w:rsidP="00AE260C">
      <w:pPr>
        <w:spacing w:line="360" w:lineRule="auto"/>
        <w:ind w:firstLine="851"/>
        <w:jc w:val="both"/>
        <w:rPr>
          <w:rFonts w:ascii="Arial" w:hAnsi="Arial" w:cs="Arial"/>
          <w:sz w:val="24"/>
          <w:szCs w:val="24"/>
        </w:rPr>
      </w:pPr>
      <w:r w:rsidRPr="00F143F0">
        <w:rPr>
          <w:rFonts w:ascii="Arial" w:hAnsi="Arial" w:cs="Arial"/>
          <w:sz w:val="24"/>
          <w:szCs w:val="24"/>
        </w:rPr>
        <w:lastRenderedPageBreak/>
        <w:t>Da relação de acima, observamos que durante os trabalhos desta Comissão, democraticamente, foram ouvidos diversos segmentos econômicos:</w:t>
      </w:r>
    </w:p>
    <w:p w14:paraId="7203EBE2" w14:textId="75888CDD" w:rsidR="00527EF9" w:rsidRPr="00F143F0" w:rsidRDefault="00527EF9" w:rsidP="00282B87">
      <w:pPr>
        <w:spacing w:line="360" w:lineRule="auto"/>
        <w:ind w:left="1985" w:firstLine="851"/>
        <w:jc w:val="both"/>
        <w:rPr>
          <w:rFonts w:ascii="Arial" w:hAnsi="Arial" w:cs="Arial"/>
          <w:sz w:val="24"/>
          <w:szCs w:val="24"/>
        </w:rPr>
      </w:pPr>
    </w:p>
    <w:p w14:paraId="79855800" w14:textId="77777777" w:rsidR="00282B87" w:rsidRPr="00F143F0" w:rsidRDefault="00282B87" w:rsidP="00502615">
      <w:pPr>
        <w:pStyle w:val="PargrafodaLista"/>
        <w:numPr>
          <w:ilvl w:val="0"/>
          <w:numId w:val="48"/>
        </w:numPr>
        <w:spacing w:line="360" w:lineRule="auto"/>
        <w:ind w:left="1985" w:hanging="357"/>
        <w:jc w:val="both"/>
        <w:rPr>
          <w:rFonts w:ascii="Arial" w:hAnsi="Arial" w:cs="Arial"/>
          <w:sz w:val="24"/>
          <w:szCs w:val="24"/>
          <w:shd w:val="clear" w:color="auto" w:fill="FFFFFF"/>
        </w:rPr>
      </w:pPr>
      <w:r w:rsidRPr="00F143F0">
        <w:rPr>
          <w:rFonts w:ascii="Arial" w:hAnsi="Arial" w:cs="Arial"/>
          <w:sz w:val="24"/>
          <w:szCs w:val="24"/>
          <w:shd w:val="clear" w:color="auto" w:fill="FFFFFF"/>
        </w:rPr>
        <w:t>Sucroalcooleiro</w:t>
      </w:r>
    </w:p>
    <w:p w14:paraId="0B8DF9A1" w14:textId="77777777" w:rsidR="00282B87" w:rsidRPr="00F143F0" w:rsidRDefault="00282B87" w:rsidP="00502615">
      <w:pPr>
        <w:pStyle w:val="PargrafodaLista"/>
        <w:numPr>
          <w:ilvl w:val="0"/>
          <w:numId w:val="48"/>
        </w:numPr>
        <w:spacing w:line="360" w:lineRule="auto"/>
        <w:ind w:left="1985" w:hanging="357"/>
        <w:jc w:val="both"/>
        <w:rPr>
          <w:rFonts w:ascii="Arial" w:hAnsi="Arial" w:cs="Arial"/>
          <w:sz w:val="24"/>
          <w:szCs w:val="24"/>
          <w:shd w:val="clear" w:color="auto" w:fill="FFFFFF"/>
        </w:rPr>
      </w:pPr>
      <w:r w:rsidRPr="00F143F0">
        <w:rPr>
          <w:rFonts w:ascii="Arial" w:hAnsi="Arial" w:cs="Arial"/>
          <w:sz w:val="24"/>
          <w:szCs w:val="24"/>
          <w:shd w:val="clear" w:color="auto" w:fill="FFFFFF"/>
        </w:rPr>
        <w:t>Industrial</w:t>
      </w:r>
    </w:p>
    <w:p w14:paraId="60AE5241" w14:textId="77777777" w:rsidR="00282B87" w:rsidRPr="00F143F0" w:rsidRDefault="00282B87" w:rsidP="00502615">
      <w:pPr>
        <w:pStyle w:val="Ttulo1"/>
        <w:keepNext w:val="0"/>
        <w:keepLines w:val="0"/>
        <w:numPr>
          <w:ilvl w:val="0"/>
          <w:numId w:val="48"/>
        </w:numPr>
        <w:spacing w:before="0" w:line="360" w:lineRule="auto"/>
        <w:ind w:left="1985" w:hanging="357"/>
        <w:jc w:val="both"/>
        <w:rPr>
          <w:rFonts w:ascii="Arial" w:hAnsi="Arial" w:cs="Arial"/>
          <w:bCs/>
          <w:color w:val="auto"/>
          <w:sz w:val="24"/>
          <w:szCs w:val="24"/>
        </w:rPr>
      </w:pPr>
      <w:r w:rsidRPr="00F143F0">
        <w:rPr>
          <w:rFonts w:ascii="Arial" w:hAnsi="Arial" w:cs="Arial"/>
          <w:bCs/>
          <w:color w:val="auto"/>
          <w:sz w:val="24"/>
          <w:szCs w:val="24"/>
        </w:rPr>
        <w:t>Varejista de móveis</w:t>
      </w:r>
    </w:p>
    <w:p w14:paraId="1A966D5E" w14:textId="77777777" w:rsidR="00282B87" w:rsidRPr="00F143F0" w:rsidRDefault="00282B87" w:rsidP="00502615">
      <w:pPr>
        <w:pStyle w:val="Ttulo1"/>
        <w:keepNext w:val="0"/>
        <w:keepLines w:val="0"/>
        <w:numPr>
          <w:ilvl w:val="0"/>
          <w:numId w:val="48"/>
        </w:numPr>
        <w:spacing w:before="0" w:line="360" w:lineRule="auto"/>
        <w:ind w:left="1985" w:hanging="357"/>
        <w:jc w:val="both"/>
        <w:rPr>
          <w:rFonts w:ascii="Arial" w:hAnsi="Arial" w:cs="Arial"/>
          <w:color w:val="auto"/>
          <w:sz w:val="24"/>
          <w:szCs w:val="24"/>
        </w:rPr>
      </w:pPr>
      <w:r w:rsidRPr="00F143F0">
        <w:rPr>
          <w:rFonts w:ascii="Arial" w:hAnsi="Arial" w:cs="Arial"/>
          <w:color w:val="auto"/>
          <w:sz w:val="24"/>
          <w:szCs w:val="24"/>
        </w:rPr>
        <w:t>Fabricação de automóveis</w:t>
      </w:r>
    </w:p>
    <w:p w14:paraId="17EE7C41" w14:textId="77777777" w:rsidR="00282B87" w:rsidRPr="00F143F0" w:rsidRDefault="00282B87" w:rsidP="00502615">
      <w:pPr>
        <w:pStyle w:val="Ttulo1"/>
        <w:keepNext w:val="0"/>
        <w:keepLines w:val="0"/>
        <w:numPr>
          <w:ilvl w:val="0"/>
          <w:numId w:val="48"/>
        </w:numPr>
        <w:spacing w:before="0" w:line="360" w:lineRule="auto"/>
        <w:ind w:left="1985" w:hanging="357"/>
        <w:jc w:val="both"/>
        <w:rPr>
          <w:rFonts w:ascii="Arial" w:hAnsi="Arial" w:cs="Arial"/>
          <w:color w:val="auto"/>
          <w:sz w:val="24"/>
          <w:szCs w:val="24"/>
        </w:rPr>
      </w:pPr>
      <w:r w:rsidRPr="00F143F0">
        <w:rPr>
          <w:rFonts w:ascii="Arial" w:hAnsi="Arial" w:cs="Arial"/>
          <w:color w:val="auto"/>
          <w:sz w:val="24"/>
          <w:szCs w:val="24"/>
        </w:rPr>
        <w:t>Farmacêutico</w:t>
      </w:r>
    </w:p>
    <w:p w14:paraId="33217992" w14:textId="77777777" w:rsidR="00282B87" w:rsidRPr="00F143F0" w:rsidRDefault="00282B87" w:rsidP="00502615">
      <w:pPr>
        <w:pStyle w:val="Ttulo1"/>
        <w:keepNext w:val="0"/>
        <w:keepLines w:val="0"/>
        <w:numPr>
          <w:ilvl w:val="0"/>
          <w:numId w:val="48"/>
        </w:numPr>
        <w:spacing w:before="0" w:line="360" w:lineRule="auto"/>
        <w:ind w:left="1985" w:hanging="357"/>
        <w:jc w:val="both"/>
        <w:rPr>
          <w:rFonts w:ascii="Arial" w:hAnsi="Arial" w:cs="Arial"/>
          <w:color w:val="auto"/>
          <w:sz w:val="24"/>
          <w:szCs w:val="24"/>
        </w:rPr>
      </w:pPr>
      <w:r w:rsidRPr="00F143F0">
        <w:rPr>
          <w:rFonts w:ascii="Arial" w:hAnsi="Arial" w:cs="Arial"/>
          <w:color w:val="auto"/>
          <w:sz w:val="24"/>
          <w:szCs w:val="24"/>
        </w:rPr>
        <w:t>Frigoríficos</w:t>
      </w:r>
    </w:p>
    <w:p w14:paraId="2641931C" w14:textId="77777777" w:rsidR="00282B87" w:rsidRPr="00F143F0" w:rsidRDefault="00282B87" w:rsidP="00502615">
      <w:pPr>
        <w:pStyle w:val="Ttulo1"/>
        <w:keepNext w:val="0"/>
        <w:keepLines w:val="0"/>
        <w:numPr>
          <w:ilvl w:val="0"/>
          <w:numId w:val="48"/>
        </w:numPr>
        <w:spacing w:before="0" w:line="360" w:lineRule="auto"/>
        <w:ind w:left="1985" w:hanging="357"/>
        <w:jc w:val="both"/>
        <w:rPr>
          <w:rFonts w:ascii="Arial" w:hAnsi="Arial" w:cs="Arial"/>
          <w:color w:val="auto"/>
          <w:sz w:val="24"/>
          <w:szCs w:val="24"/>
        </w:rPr>
      </w:pPr>
      <w:r w:rsidRPr="00F143F0">
        <w:rPr>
          <w:rFonts w:ascii="Arial" w:hAnsi="Arial" w:cs="Arial"/>
          <w:color w:val="auto"/>
          <w:sz w:val="24"/>
          <w:szCs w:val="24"/>
        </w:rPr>
        <w:t>Laticínios</w:t>
      </w:r>
    </w:p>
    <w:p w14:paraId="3CB54E12" w14:textId="77777777" w:rsidR="00282B87" w:rsidRPr="00F143F0" w:rsidRDefault="00282B87" w:rsidP="00502615">
      <w:pPr>
        <w:pStyle w:val="Ttulo1"/>
        <w:keepNext w:val="0"/>
        <w:keepLines w:val="0"/>
        <w:numPr>
          <w:ilvl w:val="0"/>
          <w:numId w:val="48"/>
        </w:numPr>
        <w:spacing w:before="0" w:line="360" w:lineRule="auto"/>
        <w:ind w:left="1985" w:hanging="357"/>
        <w:jc w:val="both"/>
        <w:rPr>
          <w:rFonts w:ascii="Arial" w:hAnsi="Arial" w:cs="Arial"/>
          <w:color w:val="auto"/>
          <w:sz w:val="24"/>
          <w:szCs w:val="24"/>
        </w:rPr>
      </w:pPr>
      <w:r w:rsidRPr="00F143F0">
        <w:rPr>
          <w:rFonts w:ascii="Arial" w:hAnsi="Arial" w:cs="Arial"/>
          <w:color w:val="auto"/>
          <w:sz w:val="24"/>
          <w:szCs w:val="24"/>
        </w:rPr>
        <w:t>Fabricação de bebidas</w:t>
      </w:r>
    </w:p>
    <w:p w14:paraId="1280EB86" w14:textId="77777777" w:rsidR="00282B87" w:rsidRPr="00F143F0" w:rsidRDefault="00282B87" w:rsidP="00502615">
      <w:pPr>
        <w:pStyle w:val="Ttulo1"/>
        <w:keepNext w:val="0"/>
        <w:keepLines w:val="0"/>
        <w:numPr>
          <w:ilvl w:val="0"/>
          <w:numId w:val="48"/>
        </w:numPr>
        <w:spacing w:before="0" w:line="360" w:lineRule="auto"/>
        <w:ind w:left="1985" w:hanging="357"/>
        <w:jc w:val="both"/>
        <w:rPr>
          <w:rFonts w:ascii="Arial" w:hAnsi="Arial" w:cs="Arial"/>
          <w:color w:val="auto"/>
          <w:sz w:val="24"/>
          <w:szCs w:val="24"/>
        </w:rPr>
      </w:pPr>
      <w:r w:rsidRPr="00F143F0">
        <w:rPr>
          <w:rFonts w:ascii="Arial" w:hAnsi="Arial" w:cs="Arial"/>
          <w:color w:val="auto"/>
          <w:sz w:val="24"/>
          <w:szCs w:val="24"/>
        </w:rPr>
        <w:t>Fabricação de produtos alimentícios</w:t>
      </w:r>
    </w:p>
    <w:p w14:paraId="76D82521" w14:textId="77777777" w:rsidR="00282B87" w:rsidRPr="00F143F0" w:rsidRDefault="00282B87" w:rsidP="00502615">
      <w:pPr>
        <w:pStyle w:val="Ttulo1"/>
        <w:keepNext w:val="0"/>
        <w:keepLines w:val="0"/>
        <w:numPr>
          <w:ilvl w:val="0"/>
          <w:numId w:val="48"/>
        </w:numPr>
        <w:spacing w:before="0" w:line="360" w:lineRule="auto"/>
        <w:ind w:left="1985" w:hanging="357"/>
        <w:jc w:val="both"/>
        <w:rPr>
          <w:rFonts w:ascii="Arial" w:hAnsi="Arial" w:cs="Arial"/>
          <w:color w:val="auto"/>
          <w:sz w:val="24"/>
          <w:szCs w:val="24"/>
        </w:rPr>
      </w:pPr>
      <w:r w:rsidRPr="00F143F0">
        <w:rPr>
          <w:rFonts w:ascii="Arial" w:hAnsi="Arial" w:cs="Arial"/>
          <w:color w:val="auto"/>
          <w:sz w:val="24"/>
          <w:szCs w:val="24"/>
        </w:rPr>
        <w:t>Produtores agrícolas</w:t>
      </w:r>
    </w:p>
    <w:p w14:paraId="4865FA00" w14:textId="77777777" w:rsidR="00527EF9" w:rsidRDefault="00527EF9" w:rsidP="00282B87">
      <w:pPr>
        <w:spacing w:line="360" w:lineRule="auto"/>
        <w:ind w:left="1985" w:firstLine="851"/>
        <w:jc w:val="both"/>
        <w:rPr>
          <w:rFonts w:ascii="Arial" w:hAnsi="Arial" w:cs="Arial"/>
          <w:sz w:val="24"/>
          <w:szCs w:val="24"/>
        </w:rPr>
      </w:pPr>
    </w:p>
    <w:p w14:paraId="111BE25E" w14:textId="4F0D463B" w:rsidR="00F143F0" w:rsidRDefault="00F143F0" w:rsidP="00AE260C">
      <w:pPr>
        <w:spacing w:line="360" w:lineRule="auto"/>
        <w:ind w:firstLine="851"/>
        <w:jc w:val="both"/>
        <w:rPr>
          <w:rFonts w:ascii="Arial" w:hAnsi="Arial" w:cs="Arial"/>
          <w:sz w:val="24"/>
          <w:szCs w:val="24"/>
        </w:rPr>
      </w:pPr>
      <w:r w:rsidRPr="00F143F0">
        <w:rPr>
          <w:rFonts w:ascii="Arial" w:hAnsi="Arial" w:cs="Arial"/>
          <w:sz w:val="24"/>
          <w:szCs w:val="24"/>
        </w:rPr>
        <w:t>A fim de avaliar, sob a perspectiva do ente arrecadador, as questões abordadas pelos representantes dos diversos segmentos econômicos ouvidos, esta Comissão também teve o cuidado de ouvir representantes da equipe técnica da Secretaria de Estado da Economia.</w:t>
      </w:r>
    </w:p>
    <w:p w14:paraId="0523B27D" w14:textId="47548916" w:rsidR="00AE260C" w:rsidRPr="00E2257A" w:rsidRDefault="005762E4" w:rsidP="00AE260C">
      <w:pPr>
        <w:spacing w:line="360" w:lineRule="auto"/>
        <w:ind w:firstLine="851"/>
        <w:jc w:val="both"/>
        <w:rPr>
          <w:rFonts w:ascii="Arial" w:hAnsi="Arial" w:cs="Arial"/>
          <w:sz w:val="24"/>
          <w:szCs w:val="24"/>
        </w:rPr>
      </w:pPr>
      <w:r w:rsidRPr="00255D4F">
        <w:rPr>
          <w:rFonts w:ascii="Arial" w:hAnsi="Arial" w:cs="Arial"/>
          <w:sz w:val="24"/>
          <w:szCs w:val="24"/>
        </w:rPr>
        <w:t>Além disso, ressalte-se que esta CPI</w:t>
      </w:r>
      <w:r w:rsidR="00255D4F" w:rsidRPr="00255D4F">
        <w:rPr>
          <w:rFonts w:ascii="Arial" w:hAnsi="Arial" w:cs="Arial"/>
          <w:sz w:val="24"/>
          <w:szCs w:val="24"/>
        </w:rPr>
        <w:t xml:space="preserve"> tentou ouvir</w:t>
      </w:r>
      <w:r>
        <w:rPr>
          <w:rFonts w:ascii="Arial" w:hAnsi="Arial" w:cs="Arial"/>
          <w:sz w:val="24"/>
          <w:szCs w:val="24"/>
        </w:rPr>
        <w:t>:</w:t>
      </w:r>
      <w:r w:rsidR="00255D4F">
        <w:rPr>
          <w:rFonts w:ascii="Arial" w:hAnsi="Arial" w:cs="Arial"/>
          <w:sz w:val="24"/>
          <w:szCs w:val="24"/>
        </w:rPr>
        <w:t xml:space="preserve"> </w:t>
      </w:r>
      <w:r w:rsidR="00AE260C" w:rsidRPr="005762E4">
        <w:rPr>
          <w:rFonts w:ascii="Arial" w:hAnsi="Arial" w:cs="Arial"/>
          <w:b/>
          <w:sz w:val="24"/>
          <w:szCs w:val="24"/>
        </w:rPr>
        <w:t>a) o ex-Diretor da empresa JBS</w:t>
      </w:r>
      <w:r w:rsidR="00AE260C" w:rsidRPr="006C21C6">
        <w:rPr>
          <w:rFonts w:ascii="Arial" w:hAnsi="Arial" w:cs="Arial"/>
          <w:sz w:val="24"/>
          <w:szCs w:val="24"/>
        </w:rPr>
        <w:t xml:space="preserve">, Wesley Mendonça Batista Filho, o qual, porém, obteve liminar em </w:t>
      </w:r>
      <w:r w:rsidR="00AE260C" w:rsidRPr="006C21C6">
        <w:rPr>
          <w:rFonts w:ascii="Arial" w:hAnsi="Arial" w:cs="Arial"/>
          <w:i/>
          <w:sz w:val="24"/>
          <w:szCs w:val="24"/>
        </w:rPr>
        <w:t>habeas corpus</w:t>
      </w:r>
      <w:r w:rsidR="00AE260C" w:rsidRPr="006C21C6">
        <w:rPr>
          <w:rFonts w:ascii="Arial" w:hAnsi="Arial" w:cs="Arial"/>
          <w:sz w:val="24"/>
          <w:szCs w:val="24"/>
        </w:rPr>
        <w:t xml:space="preserve"> para não ser ouvido (fls. 267/269 – HC nº 5598297.10.2019.8.09.0000), razão pela qual a CPI tomou o depoimento de outros representantes da empresa, a saber, Marcelo Zanatta Estevem e Fabio Augusto Chilo, ocupantes respectivamente dos cargos de Diretor Executivo e Direto Jurídico Tributário da JBS (fls. 254/255);</w:t>
      </w:r>
      <w:r w:rsidR="00255D4F">
        <w:rPr>
          <w:rFonts w:ascii="Arial" w:hAnsi="Arial" w:cs="Arial"/>
          <w:sz w:val="24"/>
          <w:szCs w:val="24"/>
        </w:rPr>
        <w:t xml:space="preserve"> </w:t>
      </w:r>
      <w:r w:rsidR="00AE260C" w:rsidRPr="005762E4">
        <w:rPr>
          <w:rFonts w:ascii="Arial" w:hAnsi="Arial" w:cs="Arial"/>
          <w:b/>
          <w:sz w:val="24"/>
          <w:szCs w:val="24"/>
        </w:rPr>
        <w:t>b) o presidente da empresa CAOA</w:t>
      </w:r>
      <w:r w:rsidR="00AE260C">
        <w:rPr>
          <w:rFonts w:ascii="Arial" w:hAnsi="Arial" w:cs="Arial"/>
          <w:sz w:val="24"/>
          <w:szCs w:val="24"/>
        </w:rPr>
        <w:t xml:space="preserve">, Carlos Alberto de Oliveira Andrade, porém este igualmente obteve liminar em </w:t>
      </w:r>
      <w:r w:rsidR="00AE260C" w:rsidRPr="00A12EA8">
        <w:rPr>
          <w:rFonts w:ascii="Arial" w:hAnsi="Arial" w:cs="Arial"/>
          <w:i/>
          <w:sz w:val="24"/>
          <w:szCs w:val="24"/>
        </w:rPr>
        <w:t>habeas corpus</w:t>
      </w:r>
      <w:r w:rsidR="00AE260C">
        <w:rPr>
          <w:rFonts w:ascii="Arial" w:hAnsi="Arial" w:cs="Arial"/>
          <w:sz w:val="24"/>
          <w:szCs w:val="24"/>
        </w:rPr>
        <w:t xml:space="preserve"> para não ser </w:t>
      </w:r>
      <w:r w:rsidR="00AE260C" w:rsidRPr="00E2257A">
        <w:rPr>
          <w:rFonts w:ascii="Arial" w:hAnsi="Arial" w:cs="Arial"/>
          <w:sz w:val="24"/>
          <w:szCs w:val="24"/>
        </w:rPr>
        <w:t>ouvido (fls. 262/265 – H</w:t>
      </w:r>
      <w:r w:rsidR="00255D4F">
        <w:rPr>
          <w:rFonts w:ascii="Arial" w:hAnsi="Arial" w:cs="Arial"/>
          <w:sz w:val="24"/>
          <w:szCs w:val="24"/>
        </w:rPr>
        <w:t>C nº 5645948.38.2019.8.09.0000).</w:t>
      </w:r>
    </w:p>
    <w:p w14:paraId="6467AEDA" w14:textId="77777777" w:rsidR="007F74BA" w:rsidRDefault="007F74BA" w:rsidP="007F74BA">
      <w:pPr>
        <w:spacing w:line="360" w:lineRule="auto"/>
        <w:ind w:firstLine="851"/>
        <w:jc w:val="both"/>
        <w:rPr>
          <w:rFonts w:ascii="Arial" w:hAnsi="Arial" w:cs="Arial"/>
          <w:b/>
          <w:sz w:val="24"/>
          <w:szCs w:val="24"/>
        </w:rPr>
      </w:pPr>
    </w:p>
    <w:p w14:paraId="445EBC7D" w14:textId="77777777" w:rsidR="00F04A89" w:rsidRDefault="00F04A89" w:rsidP="007F74BA">
      <w:pPr>
        <w:spacing w:line="360" w:lineRule="auto"/>
        <w:ind w:firstLine="851"/>
        <w:jc w:val="both"/>
        <w:rPr>
          <w:rFonts w:ascii="Arial" w:hAnsi="Arial" w:cs="Arial"/>
          <w:b/>
          <w:sz w:val="24"/>
          <w:szCs w:val="24"/>
        </w:rPr>
      </w:pPr>
    </w:p>
    <w:p w14:paraId="10EB9B98" w14:textId="77777777" w:rsidR="00F04A89" w:rsidRDefault="00F04A89" w:rsidP="007F74BA">
      <w:pPr>
        <w:spacing w:line="360" w:lineRule="auto"/>
        <w:ind w:firstLine="851"/>
        <w:jc w:val="both"/>
        <w:rPr>
          <w:rFonts w:ascii="Arial" w:hAnsi="Arial" w:cs="Arial"/>
          <w:b/>
          <w:sz w:val="24"/>
          <w:szCs w:val="24"/>
        </w:rPr>
      </w:pPr>
    </w:p>
    <w:p w14:paraId="30D0AFAC" w14:textId="77777777" w:rsidR="00F04A89" w:rsidRDefault="00F04A89" w:rsidP="007F74BA">
      <w:pPr>
        <w:spacing w:line="360" w:lineRule="auto"/>
        <w:ind w:firstLine="851"/>
        <w:jc w:val="both"/>
        <w:rPr>
          <w:rFonts w:ascii="Arial" w:hAnsi="Arial" w:cs="Arial"/>
          <w:b/>
          <w:sz w:val="24"/>
          <w:szCs w:val="24"/>
        </w:rPr>
      </w:pPr>
    </w:p>
    <w:p w14:paraId="228EFE4E" w14:textId="606C2B94" w:rsidR="007F74BA" w:rsidRPr="00452B5C" w:rsidRDefault="007F74BA" w:rsidP="007F74BA">
      <w:pPr>
        <w:spacing w:line="360" w:lineRule="auto"/>
        <w:ind w:firstLine="851"/>
        <w:jc w:val="both"/>
        <w:rPr>
          <w:rFonts w:ascii="Arial" w:hAnsi="Arial" w:cs="Arial"/>
          <w:b/>
          <w:sz w:val="24"/>
          <w:szCs w:val="24"/>
        </w:rPr>
      </w:pPr>
      <w:r w:rsidRPr="00452B5C">
        <w:rPr>
          <w:rFonts w:ascii="Arial" w:hAnsi="Arial" w:cs="Arial"/>
          <w:b/>
          <w:sz w:val="24"/>
          <w:szCs w:val="24"/>
        </w:rPr>
        <w:lastRenderedPageBreak/>
        <w:t>4.</w:t>
      </w:r>
      <w:r w:rsidR="00255D4F">
        <w:rPr>
          <w:rFonts w:ascii="Arial" w:hAnsi="Arial" w:cs="Arial"/>
          <w:b/>
          <w:sz w:val="24"/>
          <w:szCs w:val="24"/>
        </w:rPr>
        <w:t>3</w:t>
      </w:r>
      <w:r w:rsidRPr="00452B5C">
        <w:rPr>
          <w:rFonts w:ascii="Arial" w:hAnsi="Arial" w:cs="Arial"/>
          <w:b/>
          <w:sz w:val="24"/>
          <w:szCs w:val="24"/>
        </w:rPr>
        <w:t xml:space="preserve"> – </w:t>
      </w:r>
      <w:r>
        <w:rPr>
          <w:rFonts w:ascii="Arial" w:hAnsi="Arial" w:cs="Arial"/>
          <w:b/>
          <w:sz w:val="24"/>
          <w:szCs w:val="24"/>
        </w:rPr>
        <w:t>ATUAÇÃO DOS PRÓPRIOS DEPUTADOS E ACOMPANHAMENTO DE OUTROS ÓRGÃOS</w:t>
      </w:r>
    </w:p>
    <w:p w14:paraId="2D7E1D39" w14:textId="77777777" w:rsidR="007F74BA" w:rsidRDefault="007F74BA" w:rsidP="00AE260C">
      <w:pPr>
        <w:spacing w:line="360" w:lineRule="auto"/>
        <w:ind w:firstLine="851"/>
        <w:jc w:val="both"/>
        <w:rPr>
          <w:rFonts w:ascii="Arial" w:hAnsi="Arial" w:cs="Arial"/>
          <w:b/>
          <w:sz w:val="24"/>
          <w:szCs w:val="24"/>
        </w:rPr>
      </w:pPr>
    </w:p>
    <w:p w14:paraId="4583179D" w14:textId="256A09D7" w:rsidR="00AE260C" w:rsidRPr="000D6210" w:rsidRDefault="007F74BA" w:rsidP="00AE260C">
      <w:pPr>
        <w:spacing w:line="360" w:lineRule="auto"/>
        <w:ind w:firstLine="851"/>
        <w:jc w:val="both"/>
        <w:rPr>
          <w:rFonts w:ascii="Arial" w:hAnsi="Arial" w:cs="Arial"/>
          <w:sz w:val="24"/>
          <w:szCs w:val="24"/>
        </w:rPr>
      </w:pPr>
      <w:r w:rsidRPr="007F74BA">
        <w:rPr>
          <w:rFonts w:ascii="Arial" w:hAnsi="Arial" w:cs="Arial"/>
          <w:b/>
          <w:sz w:val="24"/>
          <w:szCs w:val="24"/>
        </w:rPr>
        <w:t>Esta CPI</w:t>
      </w:r>
      <w:r w:rsidRPr="00DC19BF">
        <w:rPr>
          <w:rFonts w:ascii="Arial" w:hAnsi="Arial" w:cs="Arial"/>
          <w:sz w:val="24"/>
          <w:szCs w:val="24"/>
        </w:rPr>
        <w:t xml:space="preserve">, </w:t>
      </w:r>
      <w:r w:rsidR="00AE260C" w:rsidRPr="00DC19BF">
        <w:rPr>
          <w:rFonts w:ascii="Arial" w:hAnsi="Arial" w:cs="Arial"/>
          <w:sz w:val="24"/>
          <w:szCs w:val="24"/>
        </w:rPr>
        <w:t xml:space="preserve">durante o curso dos trabalhos, e a partir dos elementos colhidos das oitivas e da documentação que foi sendo recebida, </w:t>
      </w:r>
      <w:r w:rsidR="00AE260C" w:rsidRPr="00DC19BF">
        <w:rPr>
          <w:rFonts w:ascii="Arial" w:hAnsi="Arial" w:cs="Arial"/>
          <w:sz w:val="24"/>
          <w:szCs w:val="24"/>
          <w:u w:val="single"/>
        </w:rPr>
        <w:t>por intermédio de seus membros apresentaram diversos projetos de lei visando a aperfeiçoar o ordenamento estadual no tocante a incentivos fiscais</w:t>
      </w:r>
      <w:r w:rsidR="00AE260C">
        <w:rPr>
          <w:rFonts w:ascii="Arial" w:hAnsi="Arial" w:cs="Arial"/>
          <w:sz w:val="24"/>
          <w:szCs w:val="24"/>
        </w:rPr>
        <w:t>, a exemplo das já mencionadas Leis nºs 20.590, 20.654 e 20.676, todas de 2019.</w:t>
      </w:r>
    </w:p>
    <w:p w14:paraId="67066E2D" w14:textId="6C27FF2D" w:rsidR="00645C9B" w:rsidRDefault="00645C9B" w:rsidP="00645C9B">
      <w:pPr>
        <w:spacing w:line="360" w:lineRule="auto"/>
        <w:ind w:firstLine="851"/>
        <w:jc w:val="both"/>
        <w:rPr>
          <w:rFonts w:ascii="Arial" w:hAnsi="Arial" w:cs="Arial"/>
          <w:sz w:val="24"/>
          <w:szCs w:val="24"/>
        </w:rPr>
      </w:pPr>
      <w:r w:rsidRPr="00645C9B">
        <w:rPr>
          <w:rFonts w:ascii="Arial" w:hAnsi="Arial" w:cs="Arial"/>
          <w:sz w:val="24"/>
          <w:szCs w:val="24"/>
        </w:rPr>
        <w:t xml:space="preserve">Importante ressaltar que </w:t>
      </w:r>
      <w:r w:rsidRPr="00743694">
        <w:rPr>
          <w:rFonts w:ascii="Arial" w:hAnsi="Arial" w:cs="Arial"/>
          <w:b/>
          <w:sz w:val="24"/>
          <w:szCs w:val="24"/>
        </w:rPr>
        <w:t>esta CPI contou com a colaboração da CGE/GO</w:t>
      </w:r>
      <w:r w:rsidRPr="00645C9B">
        <w:rPr>
          <w:rFonts w:ascii="Arial" w:hAnsi="Arial" w:cs="Arial"/>
          <w:sz w:val="24"/>
          <w:szCs w:val="24"/>
        </w:rPr>
        <w:t>, por</w:t>
      </w:r>
      <w:r>
        <w:rPr>
          <w:rFonts w:ascii="Arial" w:hAnsi="Arial" w:cs="Arial"/>
          <w:sz w:val="24"/>
          <w:szCs w:val="24"/>
        </w:rPr>
        <w:t xml:space="preserve"> </w:t>
      </w:r>
      <w:r w:rsidRPr="00645C9B">
        <w:rPr>
          <w:rFonts w:ascii="Arial" w:hAnsi="Arial" w:cs="Arial"/>
          <w:sz w:val="24"/>
          <w:szCs w:val="24"/>
        </w:rPr>
        <w:t xml:space="preserve">meio do servidor Edigues </w:t>
      </w:r>
      <w:r w:rsidRPr="00702A60">
        <w:rPr>
          <w:rFonts w:ascii="Arial" w:hAnsi="Arial" w:cs="Arial"/>
          <w:sz w:val="24"/>
          <w:szCs w:val="24"/>
        </w:rPr>
        <w:t>Romanato (</w:t>
      </w:r>
      <w:r w:rsidR="00702A60" w:rsidRPr="00702A60">
        <w:rPr>
          <w:rFonts w:ascii="Arial" w:hAnsi="Arial" w:cs="Arial"/>
          <w:sz w:val="24"/>
          <w:szCs w:val="24"/>
        </w:rPr>
        <w:t>Ofício 1.299/2019-CGE, em resposta ao Ofício nº 018/2019-CPI</w:t>
      </w:r>
      <w:r w:rsidRPr="00702A60">
        <w:rPr>
          <w:rFonts w:ascii="Arial" w:hAnsi="Arial" w:cs="Arial"/>
          <w:sz w:val="24"/>
          <w:szCs w:val="24"/>
        </w:rPr>
        <w:t>), que elaborou</w:t>
      </w:r>
      <w:r w:rsidRPr="00645C9B">
        <w:rPr>
          <w:rFonts w:ascii="Arial" w:hAnsi="Arial" w:cs="Arial"/>
          <w:sz w:val="24"/>
          <w:szCs w:val="24"/>
        </w:rPr>
        <w:t xml:space="preserve"> trabalhos específicos</w:t>
      </w:r>
      <w:r>
        <w:rPr>
          <w:rFonts w:ascii="Arial" w:hAnsi="Arial" w:cs="Arial"/>
          <w:sz w:val="24"/>
          <w:szCs w:val="24"/>
        </w:rPr>
        <w:t xml:space="preserve"> </w:t>
      </w:r>
      <w:r w:rsidRPr="00645C9B">
        <w:rPr>
          <w:rFonts w:ascii="Arial" w:hAnsi="Arial" w:cs="Arial"/>
          <w:sz w:val="24"/>
          <w:szCs w:val="24"/>
        </w:rPr>
        <w:t>que serão mencionados ao longo deste relatório. Registre-se também que</w:t>
      </w:r>
      <w:r>
        <w:rPr>
          <w:rFonts w:ascii="Arial" w:hAnsi="Arial" w:cs="Arial"/>
          <w:sz w:val="24"/>
          <w:szCs w:val="24"/>
        </w:rPr>
        <w:t xml:space="preserve"> </w:t>
      </w:r>
      <w:r w:rsidRPr="00743694">
        <w:rPr>
          <w:rFonts w:ascii="Arial" w:hAnsi="Arial" w:cs="Arial"/>
          <w:b/>
          <w:sz w:val="24"/>
          <w:szCs w:val="24"/>
        </w:rPr>
        <w:t>acompanharam as reuniões realizadas pela CPI</w:t>
      </w:r>
      <w:r w:rsidRPr="00645C9B">
        <w:rPr>
          <w:rFonts w:ascii="Arial" w:hAnsi="Arial" w:cs="Arial"/>
          <w:sz w:val="24"/>
          <w:szCs w:val="24"/>
        </w:rPr>
        <w:t xml:space="preserve">: a) do </w:t>
      </w:r>
      <w:r w:rsidRPr="00743694">
        <w:rPr>
          <w:rFonts w:ascii="Arial" w:hAnsi="Arial" w:cs="Arial"/>
          <w:sz w:val="24"/>
          <w:szCs w:val="24"/>
          <w:u w:val="single"/>
        </w:rPr>
        <w:t>MPGO</w:t>
      </w:r>
      <w:r w:rsidRPr="00645C9B">
        <w:rPr>
          <w:rFonts w:ascii="Arial" w:hAnsi="Arial" w:cs="Arial"/>
          <w:sz w:val="24"/>
          <w:szCs w:val="24"/>
        </w:rPr>
        <w:t>, a promotora Leila Maria</w:t>
      </w:r>
      <w:r>
        <w:rPr>
          <w:rFonts w:ascii="Arial" w:hAnsi="Arial" w:cs="Arial"/>
          <w:sz w:val="24"/>
          <w:szCs w:val="24"/>
        </w:rPr>
        <w:t xml:space="preserve"> </w:t>
      </w:r>
      <w:r w:rsidRPr="00645C9B">
        <w:rPr>
          <w:rFonts w:ascii="Arial" w:hAnsi="Arial" w:cs="Arial"/>
          <w:sz w:val="24"/>
          <w:szCs w:val="24"/>
        </w:rPr>
        <w:t xml:space="preserve">de Oliveira; b) </w:t>
      </w:r>
      <w:r w:rsidRPr="00743694">
        <w:rPr>
          <w:rFonts w:ascii="Arial" w:hAnsi="Arial" w:cs="Arial"/>
          <w:sz w:val="24"/>
          <w:szCs w:val="24"/>
          <w:u w:val="single"/>
        </w:rPr>
        <w:t>TCE/GO</w:t>
      </w:r>
      <w:r w:rsidRPr="00645C9B">
        <w:rPr>
          <w:rFonts w:ascii="Arial" w:hAnsi="Arial" w:cs="Arial"/>
          <w:sz w:val="24"/>
          <w:szCs w:val="24"/>
        </w:rPr>
        <w:t>, o servidor Luciano Roque (</w:t>
      </w:r>
      <w:r w:rsidR="00982417" w:rsidRPr="00982417">
        <w:rPr>
          <w:rFonts w:ascii="Arial" w:hAnsi="Arial" w:cs="Arial"/>
          <w:sz w:val="24"/>
          <w:szCs w:val="24"/>
        </w:rPr>
        <w:t>Ofício 171/2019-GPRES</w:t>
      </w:r>
      <w:r w:rsidR="00982417">
        <w:rPr>
          <w:rFonts w:ascii="Arial" w:hAnsi="Arial" w:cs="Arial"/>
          <w:sz w:val="24"/>
          <w:szCs w:val="24"/>
        </w:rPr>
        <w:t>,</w:t>
      </w:r>
      <w:r w:rsidR="00982417" w:rsidRPr="00982417">
        <w:rPr>
          <w:rFonts w:ascii="Arial" w:hAnsi="Arial" w:cs="Arial"/>
          <w:sz w:val="24"/>
          <w:szCs w:val="24"/>
        </w:rPr>
        <w:t xml:space="preserve"> fl.</w:t>
      </w:r>
      <w:r w:rsidR="00982417">
        <w:rPr>
          <w:rFonts w:ascii="Arial" w:hAnsi="Arial" w:cs="Arial"/>
          <w:sz w:val="24"/>
          <w:szCs w:val="24"/>
        </w:rPr>
        <w:t xml:space="preserve"> </w:t>
      </w:r>
      <w:r w:rsidR="00982417" w:rsidRPr="00982417">
        <w:rPr>
          <w:rFonts w:ascii="Arial" w:hAnsi="Arial" w:cs="Arial"/>
          <w:sz w:val="24"/>
          <w:szCs w:val="24"/>
        </w:rPr>
        <w:t>100</w:t>
      </w:r>
      <w:r w:rsidR="00982417">
        <w:rPr>
          <w:rFonts w:ascii="Arial" w:hAnsi="Arial" w:cs="Arial"/>
          <w:sz w:val="24"/>
          <w:szCs w:val="24"/>
        </w:rPr>
        <w:t xml:space="preserve">, em resposta ao </w:t>
      </w:r>
      <w:r w:rsidRPr="00645C9B">
        <w:rPr>
          <w:rFonts w:ascii="Arial" w:hAnsi="Arial" w:cs="Arial"/>
          <w:sz w:val="24"/>
          <w:szCs w:val="24"/>
        </w:rPr>
        <w:t xml:space="preserve">Ofício nº </w:t>
      </w:r>
      <w:r w:rsidR="00982417" w:rsidRPr="00982417">
        <w:rPr>
          <w:rFonts w:ascii="Arial" w:hAnsi="Arial" w:cs="Arial"/>
          <w:sz w:val="24"/>
          <w:szCs w:val="24"/>
        </w:rPr>
        <w:t>06/2019-CPI</w:t>
      </w:r>
      <w:r w:rsidRPr="00645C9B">
        <w:rPr>
          <w:rFonts w:ascii="Arial" w:hAnsi="Arial" w:cs="Arial"/>
          <w:sz w:val="24"/>
          <w:szCs w:val="24"/>
        </w:rPr>
        <w:t xml:space="preserve">); e c) do </w:t>
      </w:r>
      <w:r w:rsidRPr="00743694">
        <w:rPr>
          <w:rFonts w:ascii="Arial" w:hAnsi="Arial" w:cs="Arial"/>
          <w:sz w:val="24"/>
          <w:szCs w:val="24"/>
          <w:u w:val="single"/>
        </w:rPr>
        <w:t>TCM/GO</w:t>
      </w:r>
      <w:r w:rsidRPr="00645C9B">
        <w:rPr>
          <w:rFonts w:ascii="Arial" w:hAnsi="Arial" w:cs="Arial"/>
          <w:sz w:val="24"/>
          <w:szCs w:val="24"/>
        </w:rPr>
        <w:t>, o</w:t>
      </w:r>
      <w:r>
        <w:rPr>
          <w:rFonts w:ascii="Arial" w:hAnsi="Arial" w:cs="Arial"/>
          <w:sz w:val="24"/>
          <w:szCs w:val="24"/>
        </w:rPr>
        <w:t xml:space="preserve"> </w:t>
      </w:r>
      <w:r w:rsidRPr="00645C9B">
        <w:rPr>
          <w:rFonts w:ascii="Arial" w:hAnsi="Arial" w:cs="Arial"/>
          <w:sz w:val="24"/>
          <w:szCs w:val="24"/>
        </w:rPr>
        <w:t>servidor Rubens Pereira (</w:t>
      </w:r>
      <w:r w:rsidR="00456BDB">
        <w:rPr>
          <w:rFonts w:ascii="Arial" w:hAnsi="Arial" w:cs="Arial"/>
          <w:sz w:val="24"/>
          <w:szCs w:val="24"/>
        </w:rPr>
        <w:t>O</w:t>
      </w:r>
      <w:r w:rsidR="00456BDB" w:rsidRPr="00456BDB">
        <w:rPr>
          <w:rFonts w:ascii="Arial" w:hAnsi="Arial" w:cs="Arial"/>
          <w:sz w:val="24"/>
          <w:szCs w:val="24"/>
        </w:rPr>
        <w:t>fício 344/2019-PRES</w:t>
      </w:r>
      <w:r w:rsidR="00456BDB">
        <w:rPr>
          <w:rFonts w:ascii="Arial" w:hAnsi="Arial" w:cs="Arial"/>
          <w:sz w:val="24"/>
          <w:szCs w:val="24"/>
        </w:rPr>
        <w:t>.,</w:t>
      </w:r>
      <w:r w:rsidR="00456BDB" w:rsidRPr="00456BDB">
        <w:rPr>
          <w:rFonts w:ascii="Arial" w:hAnsi="Arial" w:cs="Arial"/>
          <w:sz w:val="24"/>
          <w:szCs w:val="24"/>
        </w:rPr>
        <w:t xml:space="preserve"> fl.</w:t>
      </w:r>
      <w:r w:rsidR="00456BDB">
        <w:rPr>
          <w:rFonts w:ascii="Arial" w:hAnsi="Arial" w:cs="Arial"/>
          <w:sz w:val="24"/>
          <w:szCs w:val="24"/>
        </w:rPr>
        <w:t xml:space="preserve"> </w:t>
      </w:r>
      <w:r w:rsidR="00456BDB" w:rsidRPr="00456BDB">
        <w:rPr>
          <w:rFonts w:ascii="Arial" w:hAnsi="Arial" w:cs="Arial"/>
          <w:sz w:val="24"/>
          <w:szCs w:val="24"/>
        </w:rPr>
        <w:t>20</w:t>
      </w:r>
      <w:r w:rsidR="00456BDB">
        <w:rPr>
          <w:rFonts w:ascii="Arial" w:hAnsi="Arial" w:cs="Arial"/>
          <w:sz w:val="24"/>
          <w:szCs w:val="24"/>
        </w:rPr>
        <w:t xml:space="preserve">, em resposta ao </w:t>
      </w:r>
      <w:r w:rsidR="00456BDB" w:rsidRPr="00456BDB">
        <w:rPr>
          <w:rFonts w:ascii="Arial" w:hAnsi="Arial" w:cs="Arial"/>
          <w:sz w:val="24"/>
          <w:szCs w:val="24"/>
        </w:rPr>
        <w:t>Ofício nº 03/2019-CPI</w:t>
      </w:r>
      <w:r w:rsidR="00456BDB">
        <w:rPr>
          <w:rFonts w:ascii="Arial" w:hAnsi="Arial" w:cs="Arial"/>
          <w:sz w:val="24"/>
          <w:szCs w:val="24"/>
        </w:rPr>
        <w:t>, de</w:t>
      </w:r>
      <w:r w:rsidR="00456BDB" w:rsidRPr="00456BDB">
        <w:rPr>
          <w:rFonts w:ascii="Arial" w:hAnsi="Arial" w:cs="Arial"/>
          <w:sz w:val="24"/>
          <w:szCs w:val="24"/>
        </w:rPr>
        <w:t xml:space="preserve"> 03/03/2019</w:t>
      </w:r>
      <w:r w:rsidRPr="00645C9B">
        <w:rPr>
          <w:rFonts w:ascii="Arial" w:hAnsi="Arial" w:cs="Arial"/>
          <w:sz w:val="24"/>
          <w:szCs w:val="24"/>
        </w:rPr>
        <w:t>).</w:t>
      </w:r>
    </w:p>
    <w:p w14:paraId="44799424" w14:textId="47435FA4" w:rsidR="00707ED9" w:rsidRDefault="00707ED9" w:rsidP="00645C9B">
      <w:pPr>
        <w:spacing w:line="360" w:lineRule="auto"/>
        <w:ind w:firstLine="851"/>
        <w:jc w:val="both"/>
        <w:rPr>
          <w:rFonts w:ascii="Arial" w:hAnsi="Arial" w:cs="Arial"/>
          <w:sz w:val="24"/>
          <w:szCs w:val="24"/>
        </w:rPr>
      </w:pPr>
      <w:r>
        <w:rPr>
          <w:rFonts w:ascii="Arial" w:hAnsi="Arial" w:cs="Arial"/>
          <w:sz w:val="24"/>
          <w:szCs w:val="24"/>
        </w:rPr>
        <w:t xml:space="preserve">Por fim, registre-se que </w:t>
      </w:r>
      <w:r w:rsidRPr="00887A03">
        <w:rPr>
          <w:rFonts w:ascii="Arial" w:hAnsi="Arial" w:cs="Arial"/>
          <w:b/>
          <w:sz w:val="24"/>
          <w:szCs w:val="24"/>
        </w:rPr>
        <w:t>o escopo d</w:t>
      </w:r>
      <w:r w:rsidR="00645C9B">
        <w:rPr>
          <w:rFonts w:ascii="Arial" w:hAnsi="Arial" w:cs="Arial"/>
          <w:b/>
          <w:sz w:val="24"/>
          <w:szCs w:val="24"/>
        </w:rPr>
        <w:t>a</w:t>
      </w:r>
      <w:r w:rsidRPr="00887A03">
        <w:rPr>
          <w:rFonts w:ascii="Arial" w:hAnsi="Arial" w:cs="Arial"/>
          <w:b/>
          <w:sz w:val="24"/>
          <w:szCs w:val="24"/>
        </w:rPr>
        <w:t xml:space="preserve"> CPI foi fazer um levantamento geral da sistemática de concessão e utilização dos incentivos fiscais no Estado de Goiás</w:t>
      </w:r>
      <w:r w:rsidR="004D4880">
        <w:rPr>
          <w:rFonts w:ascii="Arial" w:hAnsi="Arial" w:cs="Arial"/>
          <w:b/>
          <w:sz w:val="24"/>
          <w:szCs w:val="24"/>
        </w:rPr>
        <w:t xml:space="preserve"> e irregularidades gerais</w:t>
      </w:r>
      <w:r>
        <w:rPr>
          <w:rFonts w:ascii="Arial" w:hAnsi="Arial" w:cs="Arial"/>
          <w:sz w:val="24"/>
          <w:szCs w:val="24"/>
        </w:rPr>
        <w:t xml:space="preserve">, sem focar empresas específicas, embora os resultados colhidos ao longo dos trabalhos </w:t>
      </w:r>
      <w:r w:rsidR="00DC19BF">
        <w:rPr>
          <w:rFonts w:ascii="Arial" w:hAnsi="Arial" w:cs="Arial"/>
          <w:sz w:val="24"/>
          <w:szCs w:val="24"/>
        </w:rPr>
        <w:t xml:space="preserve">possam trazer contribuições mais amplas a ensejar </w:t>
      </w:r>
      <w:r>
        <w:rPr>
          <w:rFonts w:ascii="Arial" w:hAnsi="Arial" w:cs="Arial"/>
          <w:sz w:val="24"/>
          <w:szCs w:val="24"/>
        </w:rPr>
        <w:t>investigações mais direcionadas e específicas pelos órgãos competentes, conforme se encaminhará</w:t>
      </w:r>
      <w:r w:rsidR="00255D4F">
        <w:rPr>
          <w:rFonts w:ascii="Arial" w:hAnsi="Arial" w:cs="Arial"/>
          <w:sz w:val="24"/>
          <w:szCs w:val="24"/>
        </w:rPr>
        <w:t xml:space="preserve"> ao final</w:t>
      </w:r>
      <w:r>
        <w:rPr>
          <w:rFonts w:ascii="Arial" w:hAnsi="Arial" w:cs="Arial"/>
          <w:sz w:val="24"/>
          <w:szCs w:val="24"/>
        </w:rPr>
        <w:t xml:space="preserve"> neste relatório.</w:t>
      </w:r>
    </w:p>
    <w:p w14:paraId="4CF4351E" w14:textId="77777777" w:rsidR="00255D4F" w:rsidRDefault="00255D4F" w:rsidP="004B54B9">
      <w:pPr>
        <w:spacing w:line="360" w:lineRule="auto"/>
        <w:ind w:firstLine="851"/>
        <w:jc w:val="both"/>
        <w:rPr>
          <w:rFonts w:ascii="Arial" w:hAnsi="Arial" w:cs="Arial"/>
          <w:b/>
          <w:sz w:val="24"/>
          <w:szCs w:val="24"/>
          <w:u w:val="single"/>
        </w:rPr>
      </w:pPr>
    </w:p>
    <w:p w14:paraId="1413525C" w14:textId="711EFD9C" w:rsidR="00A95F82" w:rsidRDefault="00DD61DD" w:rsidP="004B54B9">
      <w:pPr>
        <w:spacing w:line="360" w:lineRule="auto"/>
        <w:ind w:firstLine="851"/>
        <w:jc w:val="both"/>
        <w:rPr>
          <w:rFonts w:ascii="Arial" w:hAnsi="Arial" w:cs="Arial"/>
          <w:sz w:val="24"/>
          <w:szCs w:val="24"/>
        </w:rPr>
      </w:pPr>
      <w:r w:rsidRPr="00255D4F">
        <w:rPr>
          <w:rFonts w:ascii="Arial" w:hAnsi="Arial" w:cs="Arial"/>
          <w:b/>
          <w:sz w:val="24"/>
          <w:szCs w:val="24"/>
          <w:u w:val="single"/>
        </w:rPr>
        <w:t>UMA VEZ APRESENTADOS E CONTEXTUALIZADOS OS TRABALHOS DESTA CPI, PASSA-SE À ANÁLISE DE MÉRITO OBJETO DAS INVESTIGAÇÕES</w:t>
      </w:r>
      <w:r>
        <w:rPr>
          <w:rFonts w:ascii="Arial" w:hAnsi="Arial" w:cs="Arial"/>
          <w:sz w:val="24"/>
          <w:szCs w:val="24"/>
        </w:rPr>
        <w:t>.</w:t>
      </w:r>
    </w:p>
    <w:p w14:paraId="5EFCD405" w14:textId="61FFCC59" w:rsidR="006261E9" w:rsidRDefault="006261E9" w:rsidP="00713208">
      <w:pPr>
        <w:spacing w:line="360" w:lineRule="auto"/>
        <w:ind w:firstLine="851"/>
        <w:jc w:val="both"/>
        <w:rPr>
          <w:rFonts w:ascii="Arial" w:hAnsi="Arial" w:cs="Arial"/>
          <w:b/>
          <w:sz w:val="24"/>
          <w:szCs w:val="24"/>
          <w:u w:val="single"/>
        </w:rPr>
      </w:pPr>
    </w:p>
    <w:p w14:paraId="2B5F206F" w14:textId="77777777" w:rsidR="00255D4F" w:rsidRDefault="00255D4F" w:rsidP="00713208">
      <w:pPr>
        <w:spacing w:line="360" w:lineRule="auto"/>
        <w:ind w:firstLine="851"/>
        <w:jc w:val="both"/>
        <w:rPr>
          <w:rFonts w:ascii="Arial" w:hAnsi="Arial" w:cs="Arial"/>
          <w:b/>
          <w:sz w:val="24"/>
          <w:szCs w:val="24"/>
          <w:u w:val="single"/>
        </w:rPr>
      </w:pPr>
    </w:p>
    <w:p w14:paraId="43F4D164" w14:textId="413D7DE9" w:rsidR="00EF57A2" w:rsidRDefault="00EF57A2">
      <w:pPr>
        <w:rPr>
          <w:rFonts w:ascii="Arial" w:hAnsi="Arial" w:cs="Arial"/>
          <w:b/>
          <w:sz w:val="24"/>
          <w:szCs w:val="24"/>
          <w:u w:val="single"/>
        </w:rPr>
      </w:pPr>
      <w:r>
        <w:rPr>
          <w:rFonts w:ascii="Arial" w:hAnsi="Arial" w:cs="Arial"/>
          <w:b/>
          <w:sz w:val="24"/>
          <w:szCs w:val="24"/>
          <w:u w:val="single"/>
        </w:rPr>
        <w:br w:type="page"/>
      </w:r>
    </w:p>
    <w:p w14:paraId="6F141A26" w14:textId="77777777" w:rsidR="00255D4F" w:rsidRDefault="00255D4F" w:rsidP="00713208">
      <w:pPr>
        <w:spacing w:line="360" w:lineRule="auto"/>
        <w:ind w:firstLine="851"/>
        <w:jc w:val="both"/>
        <w:rPr>
          <w:rFonts w:ascii="Arial" w:hAnsi="Arial" w:cs="Arial"/>
          <w:b/>
          <w:sz w:val="24"/>
          <w:szCs w:val="24"/>
          <w:u w:val="single"/>
        </w:rPr>
      </w:pPr>
    </w:p>
    <w:p w14:paraId="4782D738" w14:textId="2B19551F" w:rsidR="00E634D4" w:rsidRPr="007A561D" w:rsidRDefault="00E634D4" w:rsidP="00713208">
      <w:pPr>
        <w:spacing w:line="360" w:lineRule="auto"/>
        <w:ind w:firstLine="851"/>
        <w:jc w:val="both"/>
        <w:rPr>
          <w:rFonts w:ascii="Arial" w:hAnsi="Arial" w:cs="Arial"/>
          <w:b/>
          <w:sz w:val="24"/>
          <w:szCs w:val="24"/>
          <w:u w:val="single"/>
        </w:rPr>
      </w:pPr>
      <w:r w:rsidRPr="007A561D">
        <w:rPr>
          <w:rFonts w:ascii="Arial" w:hAnsi="Arial" w:cs="Arial"/>
          <w:b/>
          <w:sz w:val="24"/>
          <w:szCs w:val="24"/>
          <w:u w:val="single"/>
        </w:rPr>
        <w:t>5</w:t>
      </w:r>
      <w:r w:rsidR="007A561D">
        <w:rPr>
          <w:rFonts w:ascii="Arial" w:hAnsi="Arial" w:cs="Arial"/>
          <w:b/>
          <w:sz w:val="24"/>
          <w:szCs w:val="24"/>
          <w:u w:val="single"/>
        </w:rPr>
        <w:t xml:space="preserve"> – </w:t>
      </w:r>
      <w:r w:rsidRPr="007A561D">
        <w:rPr>
          <w:rFonts w:ascii="Arial" w:hAnsi="Arial" w:cs="Arial"/>
          <w:b/>
          <w:sz w:val="24"/>
          <w:szCs w:val="24"/>
          <w:u w:val="single"/>
        </w:rPr>
        <w:t>PRINCÍPIO DA LEGALIDADE</w:t>
      </w:r>
    </w:p>
    <w:p w14:paraId="15766104" w14:textId="46D72255" w:rsidR="00E634D4" w:rsidRDefault="00E634D4" w:rsidP="00713208">
      <w:pPr>
        <w:spacing w:line="360" w:lineRule="auto"/>
        <w:ind w:firstLine="851"/>
        <w:jc w:val="both"/>
        <w:rPr>
          <w:rFonts w:ascii="Arial" w:hAnsi="Arial" w:cs="Arial"/>
          <w:b/>
          <w:sz w:val="24"/>
          <w:szCs w:val="24"/>
        </w:rPr>
      </w:pPr>
    </w:p>
    <w:p w14:paraId="464CF4B0" w14:textId="2AE5E19B" w:rsidR="00E634D4" w:rsidRDefault="007A561D" w:rsidP="00713208">
      <w:pPr>
        <w:spacing w:line="360" w:lineRule="auto"/>
        <w:ind w:firstLine="851"/>
        <w:jc w:val="both"/>
        <w:rPr>
          <w:rFonts w:ascii="Arial" w:hAnsi="Arial" w:cs="Arial"/>
          <w:b/>
          <w:sz w:val="24"/>
          <w:szCs w:val="24"/>
        </w:rPr>
      </w:pPr>
      <w:r>
        <w:rPr>
          <w:rFonts w:ascii="Arial" w:hAnsi="Arial" w:cs="Arial"/>
          <w:b/>
          <w:sz w:val="24"/>
          <w:szCs w:val="24"/>
        </w:rPr>
        <w:t xml:space="preserve">5.1 </w:t>
      </w:r>
      <w:r w:rsidR="004C1B4A">
        <w:rPr>
          <w:rFonts w:ascii="Arial" w:hAnsi="Arial" w:cs="Arial"/>
          <w:b/>
          <w:sz w:val="24"/>
          <w:szCs w:val="24"/>
        </w:rPr>
        <w:t>COMPREENSÃO GERAL DO INSTITUTO</w:t>
      </w:r>
      <w:r w:rsidR="000C4919">
        <w:rPr>
          <w:rFonts w:ascii="Arial" w:hAnsi="Arial" w:cs="Arial"/>
          <w:b/>
          <w:sz w:val="24"/>
          <w:szCs w:val="24"/>
        </w:rPr>
        <w:t xml:space="preserve"> E ESPECIFICIDADES</w:t>
      </w:r>
      <w:r w:rsidR="004C1B4A">
        <w:rPr>
          <w:rFonts w:ascii="Arial" w:hAnsi="Arial" w:cs="Arial"/>
          <w:b/>
          <w:sz w:val="24"/>
          <w:szCs w:val="24"/>
        </w:rPr>
        <w:t xml:space="preserve"> EM MATÉRIA</w:t>
      </w:r>
      <w:r w:rsidR="000C4919">
        <w:rPr>
          <w:rFonts w:ascii="Arial" w:hAnsi="Arial" w:cs="Arial"/>
          <w:b/>
          <w:sz w:val="24"/>
          <w:szCs w:val="24"/>
        </w:rPr>
        <w:t xml:space="preserve"> TRIBUTÁRIA E DE</w:t>
      </w:r>
      <w:r w:rsidR="004C1B4A">
        <w:rPr>
          <w:rFonts w:ascii="Arial" w:hAnsi="Arial" w:cs="Arial"/>
          <w:b/>
          <w:sz w:val="24"/>
          <w:szCs w:val="24"/>
        </w:rPr>
        <w:t xml:space="preserve"> INCENTIVOS FISCAIS</w:t>
      </w:r>
    </w:p>
    <w:p w14:paraId="008F9F60" w14:textId="57B5D921" w:rsidR="00E634D4" w:rsidRDefault="00E634D4" w:rsidP="00713208">
      <w:pPr>
        <w:spacing w:line="360" w:lineRule="auto"/>
        <w:ind w:firstLine="851"/>
        <w:jc w:val="both"/>
        <w:rPr>
          <w:rFonts w:ascii="Arial" w:hAnsi="Arial" w:cs="Arial"/>
          <w:b/>
          <w:sz w:val="24"/>
          <w:szCs w:val="24"/>
        </w:rPr>
      </w:pPr>
    </w:p>
    <w:p w14:paraId="7657AA7E" w14:textId="7DFDE836" w:rsidR="00D30127" w:rsidRDefault="00D30127" w:rsidP="00713208">
      <w:pPr>
        <w:spacing w:line="360" w:lineRule="auto"/>
        <w:ind w:firstLine="851"/>
        <w:jc w:val="both"/>
        <w:rPr>
          <w:rFonts w:ascii="Arial" w:hAnsi="Arial" w:cs="Arial"/>
          <w:sz w:val="24"/>
          <w:szCs w:val="24"/>
        </w:rPr>
      </w:pPr>
      <w:r>
        <w:rPr>
          <w:rFonts w:ascii="Arial" w:hAnsi="Arial" w:cs="Arial"/>
          <w:sz w:val="24"/>
          <w:szCs w:val="24"/>
        </w:rPr>
        <w:t xml:space="preserve">O </w:t>
      </w:r>
      <w:r w:rsidRPr="000C4919">
        <w:rPr>
          <w:rFonts w:ascii="Arial" w:hAnsi="Arial" w:cs="Arial"/>
          <w:sz w:val="24"/>
          <w:szCs w:val="24"/>
        </w:rPr>
        <w:t>princípio da legalidade</w:t>
      </w:r>
      <w:r>
        <w:rPr>
          <w:rFonts w:ascii="Arial" w:hAnsi="Arial" w:cs="Arial"/>
          <w:sz w:val="24"/>
          <w:szCs w:val="24"/>
        </w:rPr>
        <w:t xml:space="preserve"> constitui uma das principais garantias do Estado Democrático de Direito e pode ser compreendido</w:t>
      </w:r>
      <w:r w:rsidR="00F81343">
        <w:rPr>
          <w:rFonts w:ascii="Arial" w:hAnsi="Arial" w:cs="Arial"/>
          <w:sz w:val="24"/>
          <w:szCs w:val="24"/>
        </w:rPr>
        <w:t xml:space="preserve"> sob diferentes e</w:t>
      </w:r>
      <w:r w:rsidR="00F332DA">
        <w:rPr>
          <w:rFonts w:ascii="Arial" w:hAnsi="Arial" w:cs="Arial"/>
          <w:sz w:val="24"/>
          <w:szCs w:val="24"/>
        </w:rPr>
        <w:t>nfoques, como a legalidade comum, a administrativa e a tribut</w:t>
      </w:r>
      <w:r w:rsidR="00921007">
        <w:rPr>
          <w:rFonts w:ascii="Arial" w:hAnsi="Arial" w:cs="Arial"/>
          <w:sz w:val="24"/>
          <w:szCs w:val="24"/>
        </w:rPr>
        <w:t>ária</w:t>
      </w:r>
      <w:r w:rsidR="00F332DA">
        <w:rPr>
          <w:rFonts w:ascii="Arial" w:hAnsi="Arial" w:cs="Arial"/>
          <w:sz w:val="24"/>
          <w:szCs w:val="24"/>
        </w:rPr>
        <w:t>.</w:t>
      </w:r>
    </w:p>
    <w:p w14:paraId="0DA99C59" w14:textId="7383417B" w:rsidR="00DC31C0" w:rsidRDefault="00F81343" w:rsidP="00713208">
      <w:pPr>
        <w:spacing w:line="360" w:lineRule="auto"/>
        <w:ind w:firstLine="851"/>
        <w:jc w:val="both"/>
        <w:rPr>
          <w:rFonts w:ascii="Arial" w:hAnsi="Arial" w:cs="Arial"/>
          <w:sz w:val="24"/>
          <w:szCs w:val="24"/>
        </w:rPr>
      </w:pPr>
      <w:r>
        <w:rPr>
          <w:rFonts w:ascii="Arial" w:hAnsi="Arial" w:cs="Arial"/>
          <w:sz w:val="24"/>
          <w:szCs w:val="24"/>
        </w:rPr>
        <w:t xml:space="preserve">A </w:t>
      </w:r>
      <w:r w:rsidRPr="000C4919">
        <w:rPr>
          <w:rFonts w:ascii="Arial" w:hAnsi="Arial" w:cs="Arial"/>
          <w:b/>
          <w:sz w:val="24"/>
          <w:szCs w:val="24"/>
        </w:rPr>
        <w:t>legalidade geral</w:t>
      </w:r>
      <w:r>
        <w:rPr>
          <w:rFonts w:ascii="Arial" w:hAnsi="Arial" w:cs="Arial"/>
          <w:sz w:val="24"/>
          <w:szCs w:val="24"/>
        </w:rPr>
        <w:t xml:space="preserve"> encontra suporte normativo no inciso II do art. 5º da CRFB, </w:t>
      </w:r>
      <w:r w:rsidR="008B032E">
        <w:rPr>
          <w:rFonts w:ascii="Arial" w:hAnsi="Arial" w:cs="Arial"/>
          <w:sz w:val="24"/>
          <w:szCs w:val="24"/>
        </w:rPr>
        <w:t xml:space="preserve">o qual prevê, como direito </w:t>
      </w:r>
      <w:r w:rsidR="008B032E" w:rsidRPr="008B032E">
        <w:rPr>
          <w:rFonts w:ascii="Arial" w:hAnsi="Arial" w:cs="Arial"/>
          <w:sz w:val="24"/>
          <w:szCs w:val="24"/>
        </w:rPr>
        <w:t>e garantia fundamenta</w:t>
      </w:r>
      <w:r w:rsidR="008B032E">
        <w:rPr>
          <w:rFonts w:ascii="Arial" w:hAnsi="Arial" w:cs="Arial"/>
          <w:sz w:val="24"/>
          <w:szCs w:val="24"/>
        </w:rPr>
        <w:t>l</w:t>
      </w:r>
      <w:r w:rsidR="00F06AD8">
        <w:rPr>
          <w:rFonts w:ascii="Arial" w:hAnsi="Arial" w:cs="Arial"/>
          <w:sz w:val="24"/>
          <w:szCs w:val="24"/>
        </w:rPr>
        <w:t xml:space="preserve"> do cidadão,</w:t>
      </w:r>
      <w:r w:rsidR="008B032E" w:rsidRPr="008B032E">
        <w:rPr>
          <w:rFonts w:ascii="Arial" w:hAnsi="Arial" w:cs="Arial"/>
          <w:sz w:val="24"/>
          <w:szCs w:val="24"/>
        </w:rPr>
        <w:t xml:space="preserve"> </w:t>
      </w:r>
      <w:r w:rsidR="00D25069">
        <w:rPr>
          <w:rFonts w:ascii="Arial" w:hAnsi="Arial" w:cs="Arial"/>
          <w:sz w:val="24"/>
          <w:szCs w:val="24"/>
        </w:rPr>
        <w:t>que</w:t>
      </w:r>
      <w:r>
        <w:rPr>
          <w:rFonts w:ascii="Arial" w:hAnsi="Arial" w:cs="Arial"/>
          <w:sz w:val="24"/>
          <w:szCs w:val="24"/>
        </w:rPr>
        <w:t xml:space="preserve"> “</w:t>
      </w:r>
      <w:r w:rsidR="00AB228A" w:rsidRPr="00AB228A">
        <w:rPr>
          <w:rFonts w:ascii="Arial" w:hAnsi="Arial" w:cs="Arial"/>
          <w:sz w:val="24"/>
          <w:szCs w:val="24"/>
        </w:rPr>
        <w:t>ninguém será obrigado a fazer ou deixar de fazer alguma coisa senão em virtude de lei</w:t>
      </w:r>
      <w:r>
        <w:rPr>
          <w:rFonts w:ascii="Arial" w:hAnsi="Arial" w:cs="Arial"/>
          <w:sz w:val="24"/>
          <w:szCs w:val="24"/>
        </w:rPr>
        <w:t>”</w:t>
      </w:r>
      <w:r w:rsidR="00AB228A">
        <w:rPr>
          <w:rFonts w:ascii="Arial" w:hAnsi="Arial" w:cs="Arial"/>
          <w:sz w:val="24"/>
          <w:szCs w:val="24"/>
        </w:rPr>
        <w:t>.</w:t>
      </w:r>
      <w:r w:rsidR="00DC31C0">
        <w:rPr>
          <w:rFonts w:ascii="Arial" w:hAnsi="Arial" w:cs="Arial"/>
          <w:sz w:val="24"/>
          <w:szCs w:val="24"/>
        </w:rPr>
        <w:t xml:space="preserve"> A </w:t>
      </w:r>
      <w:r w:rsidR="00DC31C0" w:rsidRPr="00DC31C0">
        <w:rPr>
          <w:rFonts w:ascii="Arial" w:hAnsi="Arial" w:cs="Arial"/>
          <w:b/>
          <w:sz w:val="24"/>
          <w:szCs w:val="24"/>
        </w:rPr>
        <w:t>legalidade administrativa</w:t>
      </w:r>
      <w:r w:rsidR="00DC31C0">
        <w:rPr>
          <w:rFonts w:ascii="Arial" w:hAnsi="Arial" w:cs="Arial"/>
          <w:sz w:val="24"/>
          <w:szCs w:val="24"/>
        </w:rPr>
        <w:t xml:space="preserve">, por sua vez, encontra-se estampada no </w:t>
      </w:r>
      <w:r w:rsidR="00DC31C0" w:rsidRPr="00DC31C0">
        <w:rPr>
          <w:rFonts w:ascii="Arial" w:hAnsi="Arial" w:cs="Arial"/>
          <w:i/>
          <w:sz w:val="24"/>
          <w:szCs w:val="24"/>
        </w:rPr>
        <w:t>caput</w:t>
      </w:r>
      <w:r w:rsidR="00DC31C0">
        <w:rPr>
          <w:rFonts w:ascii="Arial" w:hAnsi="Arial" w:cs="Arial"/>
          <w:sz w:val="24"/>
          <w:szCs w:val="24"/>
        </w:rPr>
        <w:t xml:space="preserve"> do art. 37 da CRFB, segundo o qual o Poder Público observará, dentre outras disposições, “</w:t>
      </w:r>
      <w:r w:rsidR="00DC31C0" w:rsidRPr="00DC31C0">
        <w:rPr>
          <w:rFonts w:ascii="Arial" w:hAnsi="Arial" w:cs="Arial"/>
          <w:sz w:val="24"/>
          <w:szCs w:val="24"/>
        </w:rPr>
        <w:t>aos princípios de legalidade, impessoalidade, moralidade, publicidade e eficiência</w:t>
      </w:r>
      <w:r w:rsidR="00DC31C0">
        <w:rPr>
          <w:rFonts w:ascii="Arial" w:hAnsi="Arial" w:cs="Arial"/>
          <w:sz w:val="24"/>
          <w:szCs w:val="24"/>
        </w:rPr>
        <w:t>”.</w:t>
      </w:r>
    </w:p>
    <w:p w14:paraId="6F0E2B64" w14:textId="6B973338" w:rsidR="007579B5" w:rsidRDefault="0084368E" w:rsidP="00713208">
      <w:pPr>
        <w:spacing w:line="360" w:lineRule="auto"/>
        <w:ind w:firstLine="851"/>
        <w:jc w:val="both"/>
        <w:rPr>
          <w:rFonts w:ascii="Arial" w:hAnsi="Arial" w:cs="Arial"/>
          <w:sz w:val="24"/>
          <w:szCs w:val="24"/>
        </w:rPr>
      </w:pPr>
      <w:r>
        <w:rPr>
          <w:rFonts w:ascii="Arial" w:hAnsi="Arial" w:cs="Arial"/>
          <w:sz w:val="24"/>
          <w:szCs w:val="24"/>
        </w:rPr>
        <w:t>A</w:t>
      </w:r>
      <w:r w:rsidR="0019176F">
        <w:rPr>
          <w:rFonts w:ascii="Arial" w:hAnsi="Arial" w:cs="Arial"/>
          <w:sz w:val="24"/>
          <w:szCs w:val="24"/>
        </w:rPr>
        <w:t xml:space="preserve"> </w:t>
      </w:r>
      <w:r w:rsidR="0019176F" w:rsidRPr="00317B6B">
        <w:rPr>
          <w:rFonts w:ascii="Arial" w:hAnsi="Arial" w:cs="Arial"/>
          <w:b/>
          <w:sz w:val="24"/>
          <w:szCs w:val="24"/>
        </w:rPr>
        <w:t>principal distinção entre referidas concepções de legalidade</w:t>
      </w:r>
      <w:r w:rsidR="0019176F">
        <w:rPr>
          <w:rFonts w:ascii="Arial" w:hAnsi="Arial" w:cs="Arial"/>
          <w:sz w:val="24"/>
          <w:szCs w:val="24"/>
        </w:rPr>
        <w:t xml:space="preserve"> pode ser resumida nos termos de</w:t>
      </w:r>
      <w:r>
        <w:rPr>
          <w:rFonts w:ascii="Arial" w:hAnsi="Arial" w:cs="Arial"/>
          <w:sz w:val="24"/>
          <w:szCs w:val="24"/>
        </w:rPr>
        <w:t xml:space="preserve"> célebre brocardo jurídico, </w:t>
      </w:r>
      <w:r w:rsidR="0019176F">
        <w:rPr>
          <w:rFonts w:ascii="Arial" w:hAnsi="Arial" w:cs="Arial"/>
          <w:sz w:val="24"/>
          <w:szCs w:val="24"/>
        </w:rPr>
        <w:t>segundo o qual</w:t>
      </w:r>
      <w:r>
        <w:rPr>
          <w:rFonts w:ascii="Arial" w:hAnsi="Arial" w:cs="Arial"/>
          <w:sz w:val="24"/>
          <w:szCs w:val="24"/>
        </w:rPr>
        <w:t xml:space="preserve"> ao particular é lícito fazer tudo aquilo que a lei não proíba</w:t>
      </w:r>
      <w:r w:rsidR="00317B6B">
        <w:rPr>
          <w:rFonts w:ascii="Arial" w:hAnsi="Arial" w:cs="Arial"/>
          <w:sz w:val="24"/>
          <w:szCs w:val="24"/>
        </w:rPr>
        <w:t xml:space="preserve"> (legalidade comum)</w:t>
      </w:r>
      <w:r>
        <w:rPr>
          <w:rFonts w:ascii="Arial" w:hAnsi="Arial" w:cs="Arial"/>
          <w:sz w:val="24"/>
          <w:szCs w:val="24"/>
        </w:rPr>
        <w:t>, enquanto ao agente público</w:t>
      </w:r>
      <w:r w:rsidR="0019176F">
        <w:rPr>
          <w:rFonts w:ascii="Arial" w:hAnsi="Arial" w:cs="Arial"/>
          <w:sz w:val="24"/>
          <w:szCs w:val="24"/>
        </w:rPr>
        <w:t>, diversamente,</w:t>
      </w:r>
      <w:r>
        <w:rPr>
          <w:rFonts w:ascii="Arial" w:hAnsi="Arial" w:cs="Arial"/>
          <w:sz w:val="24"/>
          <w:szCs w:val="24"/>
        </w:rPr>
        <w:t xml:space="preserve"> só é lícito aut</w:t>
      </w:r>
      <w:r w:rsidR="000E310D">
        <w:rPr>
          <w:rFonts w:ascii="Arial" w:hAnsi="Arial" w:cs="Arial"/>
          <w:sz w:val="24"/>
          <w:szCs w:val="24"/>
        </w:rPr>
        <w:t>u</w:t>
      </w:r>
      <w:r>
        <w:rPr>
          <w:rFonts w:ascii="Arial" w:hAnsi="Arial" w:cs="Arial"/>
          <w:sz w:val="24"/>
          <w:szCs w:val="24"/>
        </w:rPr>
        <w:t xml:space="preserve">ar nos limites em que a lei </w:t>
      </w:r>
      <w:r w:rsidR="0019176F">
        <w:rPr>
          <w:rFonts w:ascii="Arial" w:hAnsi="Arial" w:cs="Arial"/>
          <w:sz w:val="24"/>
          <w:szCs w:val="24"/>
        </w:rPr>
        <w:t>expressamente o autorize</w:t>
      </w:r>
      <w:r w:rsidR="00317B6B">
        <w:rPr>
          <w:rFonts w:ascii="Arial" w:hAnsi="Arial" w:cs="Arial"/>
          <w:sz w:val="24"/>
          <w:szCs w:val="24"/>
        </w:rPr>
        <w:t xml:space="preserve"> (legalidade administrativa)</w:t>
      </w:r>
      <w:r>
        <w:rPr>
          <w:rFonts w:ascii="Arial" w:hAnsi="Arial" w:cs="Arial"/>
          <w:sz w:val="24"/>
          <w:szCs w:val="24"/>
        </w:rPr>
        <w:t>.</w:t>
      </w:r>
    </w:p>
    <w:p w14:paraId="22E21CC8" w14:textId="51EC6E05" w:rsidR="00F81343" w:rsidRDefault="00FB6D21" w:rsidP="00713208">
      <w:pPr>
        <w:spacing w:line="360" w:lineRule="auto"/>
        <w:ind w:firstLine="851"/>
        <w:jc w:val="both"/>
        <w:rPr>
          <w:rFonts w:ascii="Arial" w:hAnsi="Arial" w:cs="Arial"/>
          <w:sz w:val="24"/>
          <w:szCs w:val="24"/>
        </w:rPr>
      </w:pPr>
      <w:r>
        <w:rPr>
          <w:rFonts w:ascii="Arial" w:hAnsi="Arial" w:cs="Arial"/>
          <w:sz w:val="24"/>
          <w:szCs w:val="24"/>
        </w:rPr>
        <w:t>A título de exemplo, apenas para esclarecer mencionada distinção</w:t>
      </w:r>
      <w:r w:rsidR="00317B6B">
        <w:rPr>
          <w:rFonts w:ascii="Arial" w:hAnsi="Arial" w:cs="Arial"/>
          <w:sz w:val="24"/>
          <w:szCs w:val="24"/>
        </w:rPr>
        <w:t>, pode o particular, com recursos do próprio</w:t>
      </w:r>
      <w:r>
        <w:rPr>
          <w:rFonts w:ascii="Arial" w:hAnsi="Arial" w:cs="Arial"/>
          <w:sz w:val="24"/>
          <w:szCs w:val="24"/>
        </w:rPr>
        <w:t>s, contratar quem quiser para lhe prestar serviços</w:t>
      </w:r>
      <w:r w:rsidR="008834BF">
        <w:rPr>
          <w:rFonts w:ascii="Arial" w:hAnsi="Arial" w:cs="Arial"/>
          <w:sz w:val="24"/>
          <w:szCs w:val="24"/>
        </w:rPr>
        <w:t xml:space="preserve"> na reforma de sua própria casa, independentemente do valor contratado; porém, gestor público que pretenda reformar a sede do órgão de que é titular deverá observar o tipo de licitação conforme o valor do contrato a ser firmado, e só pode dispensá-la nas hipóteses expressamente previstas em lei, por sofrer os influxos da legislação referente à licitação e aos contratos administrativos, em especial da Lei nº 8.666/1993.</w:t>
      </w:r>
    </w:p>
    <w:p w14:paraId="5EFB76BB" w14:textId="77777777" w:rsidR="0041696D" w:rsidRDefault="00B80853" w:rsidP="00713208">
      <w:pPr>
        <w:spacing w:line="360" w:lineRule="auto"/>
        <w:ind w:firstLine="851"/>
        <w:jc w:val="both"/>
        <w:rPr>
          <w:rFonts w:ascii="Arial" w:hAnsi="Arial" w:cs="Arial"/>
          <w:sz w:val="24"/>
          <w:szCs w:val="24"/>
        </w:rPr>
      </w:pPr>
      <w:r>
        <w:rPr>
          <w:rFonts w:ascii="Arial" w:hAnsi="Arial" w:cs="Arial"/>
          <w:sz w:val="24"/>
          <w:szCs w:val="24"/>
        </w:rPr>
        <w:t xml:space="preserve">A </w:t>
      </w:r>
      <w:r w:rsidRPr="00B80853">
        <w:rPr>
          <w:rFonts w:ascii="Arial" w:hAnsi="Arial" w:cs="Arial"/>
          <w:b/>
          <w:sz w:val="24"/>
          <w:szCs w:val="24"/>
        </w:rPr>
        <w:t>legalidade tributária</w:t>
      </w:r>
      <w:r>
        <w:rPr>
          <w:rFonts w:ascii="Arial" w:hAnsi="Arial" w:cs="Arial"/>
          <w:sz w:val="24"/>
          <w:szCs w:val="24"/>
        </w:rPr>
        <w:t xml:space="preserve">, por sua vez, nada mais é que desdobramento da própria legalidade administrativa, na medida em que o tributo, como uma das mais expressivas formas de arrecadação do Estado, é cobrado mediante atividade </w:t>
      </w:r>
      <w:r w:rsidR="004F1010">
        <w:rPr>
          <w:rFonts w:ascii="Arial" w:hAnsi="Arial" w:cs="Arial"/>
          <w:sz w:val="24"/>
          <w:szCs w:val="24"/>
        </w:rPr>
        <w:t>plenamente vinculada</w:t>
      </w:r>
      <w:r w:rsidR="00314CDD">
        <w:rPr>
          <w:rFonts w:ascii="Arial" w:hAnsi="Arial" w:cs="Arial"/>
          <w:sz w:val="24"/>
          <w:szCs w:val="24"/>
        </w:rPr>
        <w:t>, sob pena inclusive de responsabilidade funcional do agente público omisso</w:t>
      </w:r>
      <w:r>
        <w:rPr>
          <w:rFonts w:ascii="Arial" w:hAnsi="Arial" w:cs="Arial"/>
          <w:sz w:val="24"/>
          <w:szCs w:val="24"/>
        </w:rPr>
        <w:t>.</w:t>
      </w:r>
      <w:r w:rsidR="00D22EE7">
        <w:rPr>
          <w:rFonts w:ascii="Arial" w:hAnsi="Arial" w:cs="Arial"/>
          <w:sz w:val="24"/>
          <w:szCs w:val="24"/>
        </w:rPr>
        <w:t xml:space="preserve"> </w:t>
      </w:r>
    </w:p>
    <w:p w14:paraId="5FCCB684" w14:textId="57F7F83F" w:rsidR="00B80853" w:rsidRDefault="00D22D42" w:rsidP="00713208">
      <w:pPr>
        <w:spacing w:line="360" w:lineRule="auto"/>
        <w:ind w:firstLine="851"/>
        <w:jc w:val="both"/>
        <w:rPr>
          <w:rFonts w:ascii="Arial" w:hAnsi="Arial" w:cs="Arial"/>
          <w:sz w:val="24"/>
          <w:szCs w:val="24"/>
        </w:rPr>
      </w:pPr>
      <w:r>
        <w:rPr>
          <w:rFonts w:ascii="Arial" w:hAnsi="Arial" w:cs="Arial"/>
          <w:sz w:val="24"/>
          <w:szCs w:val="24"/>
        </w:rPr>
        <w:lastRenderedPageBreak/>
        <w:t xml:space="preserve">Essa concepção encontra-se claramente plasmada nos seguintes </w:t>
      </w:r>
      <w:r w:rsidRPr="0041696D">
        <w:rPr>
          <w:rFonts w:ascii="Arial" w:hAnsi="Arial" w:cs="Arial"/>
          <w:b/>
          <w:sz w:val="24"/>
          <w:szCs w:val="24"/>
        </w:rPr>
        <w:t>dispositivos constitucionais e legais</w:t>
      </w:r>
      <w:r>
        <w:rPr>
          <w:rFonts w:ascii="Arial" w:hAnsi="Arial" w:cs="Arial"/>
          <w:sz w:val="24"/>
          <w:szCs w:val="24"/>
        </w:rPr>
        <w:t>:</w:t>
      </w:r>
    </w:p>
    <w:p w14:paraId="79130655" w14:textId="541EACD3" w:rsidR="00D035CE" w:rsidRDefault="00D035CE" w:rsidP="00713208">
      <w:pPr>
        <w:spacing w:line="360" w:lineRule="auto"/>
        <w:ind w:firstLine="851"/>
        <w:jc w:val="both"/>
        <w:rPr>
          <w:rFonts w:ascii="Arial" w:hAnsi="Arial" w:cs="Arial"/>
          <w:sz w:val="24"/>
          <w:szCs w:val="24"/>
        </w:rPr>
      </w:pPr>
    </w:p>
    <w:p w14:paraId="2362E6D5" w14:textId="6A091BF0" w:rsidR="004C5D0B" w:rsidRPr="00D22D42" w:rsidRDefault="004C5D0B" w:rsidP="003C42E2">
      <w:pPr>
        <w:ind w:left="2268"/>
        <w:jc w:val="both"/>
        <w:rPr>
          <w:rFonts w:ascii="Arial" w:hAnsi="Arial" w:cs="Arial"/>
          <w:b/>
          <w:sz w:val="22"/>
          <w:szCs w:val="22"/>
          <w:u w:val="single"/>
        </w:rPr>
      </w:pPr>
      <w:r>
        <w:rPr>
          <w:rFonts w:ascii="Arial" w:hAnsi="Arial" w:cs="Arial"/>
          <w:b/>
          <w:sz w:val="22"/>
          <w:szCs w:val="22"/>
          <w:u w:val="single"/>
        </w:rPr>
        <w:t>Constituição Federal</w:t>
      </w:r>
      <w:r w:rsidRPr="00D22D42">
        <w:rPr>
          <w:rFonts w:ascii="Arial" w:hAnsi="Arial" w:cs="Arial"/>
          <w:b/>
          <w:sz w:val="22"/>
          <w:szCs w:val="22"/>
          <w:u w:val="single"/>
        </w:rPr>
        <w:t xml:space="preserve"> (</w:t>
      </w:r>
      <w:r w:rsidR="003009E1">
        <w:rPr>
          <w:rFonts w:ascii="Arial" w:hAnsi="Arial" w:cs="Arial"/>
          <w:b/>
          <w:sz w:val="22"/>
          <w:szCs w:val="22"/>
          <w:u w:val="single"/>
        </w:rPr>
        <w:t>CRFB</w:t>
      </w:r>
      <w:r w:rsidRPr="00D22D42">
        <w:rPr>
          <w:rFonts w:ascii="Arial" w:hAnsi="Arial" w:cs="Arial"/>
          <w:b/>
          <w:sz w:val="22"/>
          <w:szCs w:val="22"/>
          <w:u w:val="single"/>
        </w:rPr>
        <w:t>)</w:t>
      </w:r>
    </w:p>
    <w:p w14:paraId="061AFC6D" w14:textId="77777777" w:rsidR="005B7A3F" w:rsidRPr="005B7A3F" w:rsidRDefault="005B7A3F" w:rsidP="003C42E2">
      <w:pPr>
        <w:ind w:left="2268"/>
        <w:jc w:val="both"/>
        <w:rPr>
          <w:rFonts w:ascii="Arial" w:hAnsi="Arial" w:cs="Arial"/>
          <w:sz w:val="22"/>
          <w:szCs w:val="22"/>
        </w:rPr>
      </w:pPr>
      <w:r w:rsidRPr="005B7A3F">
        <w:rPr>
          <w:rFonts w:ascii="Arial" w:hAnsi="Arial" w:cs="Arial"/>
          <w:sz w:val="22"/>
          <w:szCs w:val="22"/>
        </w:rPr>
        <w:t>Art. 150. Sem prejuízo de outras garantias asseguradas ao contribuinte, é vedado à União, aos Estados, ao Distrito Federal e aos Municípios:</w:t>
      </w:r>
    </w:p>
    <w:p w14:paraId="545295D2" w14:textId="38DAB604" w:rsidR="005B7A3F" w:rsidRDefault="005B7A3F" w:rsidP="003C42E2">
      <w:pPr>
        <w:ind w:left="2268"/>
        <w:jc w:val="both"/>
        <w:rPr>
          <w:rFonts w:ascii="Arial" w:hAnsi="Arial" w:cs="Arial"/>
          <w:sz w:val="22"/>
          <w:szCs w:val="22"/>
        </w:rPr>
      </w:pPr>
      <w:bookmarkStart w:id="3" w:name="art150i"/>
      <w:bookmarkEnd w:id="3"/>
      <w:r w:rsidRPr="005B7A3F">
        <w:rPr>
          <w:rFonts w:ascii="Arial" w:hAnsi="Arial" w:cs="Arial"/>
          <w:b/>
          <w:sz w:val="22"/>
          <w:szCs w:val="22"/>
        </w:rPr>
        <w:t>I - exigir ou aumentar tributo sem lei que o estabeleça</w:t>
      </w:r>
      <w:r w:rsidRPr="005B7A3F">
        <w:rPr>
          <w:rFonts w:ascii="Arial" w:hAnsi="Arial" w:cs="Arial"/>
          <w:sz w:val="22"/>
          <w:szCs w:val="22"/>
        </w:rPr>
        <w:t>;</w:t>
      </w:r>
    </w:p>
    <w:p w14:paraId="7D745FC3" w14:textId="1547EC89" w:rsidR="004C5D0B" w:rsidRDefault="005B7A3F" w:rsidP="003C42E2">
      <w:pPr>
        <w:ind w:left="2268"/>
        <w:jc w:val="both"/>
        <w:rPr>
          <w:rFonts w:ascii="Arial" w:hAnsi="Arial" w:cs="Arial"/>
          <w:b/>
          <w:sz w:val="22"/>
          <w:szCs w:val="22"/>
          <w:u w:val="single"/>
        </w:rPr>
      </w:pPr>
      <w:r>
        <w:rPr>
          <w:rFonts w:ascii="Arial" w:hAnsi="Arial" w:cs="Arial"/>
          <w:sz w:val="22"/>
          <w:szCs w:val="22"/>
        </w:rPr>
        <w:t>[...].</w:t>
      </w:r>
    </w:p>
    <w:p w14:paraId="400B233D" w14:textId="77777777" w:rsidR="005B7A3F" w:rsidRDefault="005B7A3F" w:rsidP="003C42E2">
      <w:pPr>
        <w:ind w:left="2268"/>
        <w:jc w:val="both"/>
        <w:rPr>
          <w:rFonts w:ascii="Arial" w:hAnsi="Arial" w:cs="Arial"/>
          <w:b/>
          <w:sz w:val="22"/>
          <w:szCs w:val="22"/>
          <w:u w:val="single"/>
        </w:rPr>
      </w:pPr>
    </w:p>
    <w:p w14:paraId="093FDAF2" w14:textId="16BA2043" w:rsidR="00D22D42" w:rsidRPr="00D22D42" w:rsidRDefault="00D22D42" w:rsidP="003C42E2">
      <w:pPr>
        <w:ind w:left="2268"/>
        <w:jc w:val="both"/>
        <w:rPr>
          <w:rFonts w:ascii="Arial" w:hAnsi="Arial" w:cs="Arial"/>
          <w:b/>
          <w:sz w:val="22"/>
          <w:szCs w:val="22"/>
          <w:u w:val="single"/>
        </w:rPr>
      </w:pPr>
      <w:r w:rsidRPr="00D22D42">
        <w:rPr>
          <w:rFonts w:ascii="Arial" w:hAnsi="Arial" w:cs="Arial"/>
          <w:b/>
          <w:sz w:val="22"/>
          <w:szCs w:val="22"/>
          <w:u w:val="single"/>
        </w:rPr>
        <w:t>Código Tributário Nacional (CTN)</w:t>
      </w:r>
    </w:p>
    <w:p w14:paraId="37D8EC06" w14:textId="71A805C0" w:rsidR="00D035CE" w:rsidRDefault="00D035CE" w:rsidP="003C42E2">
      <w:pPr>
        <w:ind w:left="2268"/>
        <w:jc w:val="both"/>
        <w:rPr>
          <w:rFonts w:ascii="Arial" w:hAnsi="Arial" w:cs="Arial"/>
          <w:sz w:val="22"/>
          <w:szCs w:val="22"/>
        </w:rPr>
      </w:pPr>
      <w:r w:rsidRPr="00D035CE">
        <w:rPr>
          <w:rFonts w:ascii="Arial" w:hAnsi="Arial" w:cs="Arial"/>
          <w:b/>
          <w:sz w:val="22"/>
          <w:szCs w:val="22"/>
        </w:rPr>
        <w:t>Art. 3º</w:t>
      </w:r>
      <w:r w:rsidRPr="00D035CE">
        <w:rPr>
          <w:rFonts w:ascii="Arial" w:hAnsi="Arial" w:cs="Arial"/>
          <w:sz w:val="22"/>
          <w:szCs w:val="22"/>
        </w:rPr>
        <w:t xml:space="preserve"> </w:t>
      </w:r>
      <w:r w:rsidRPr="00C23B10">
        <w:rPr>
          <w:rFonts w:ascii="Arial" w:hAnsi="Arial" w:cs="Arial"/>
          <w:b/>
          <w:sz w:val="22"/>
          <w:szCs w:val="22"/>
        </w:rPr>
        <w:t>Tributo é toda prestação pecuniária compulsória</w:t>
      </w:r>
      <w:r w:rsidRPr="00D035CE">
        <w:rPr>
          <w:rFonts w:ascii="Arial" w:hAnsi="Arial" w:cs="Arial"/>
          <w:sz w:val="22"/>
          <w:szCs w:val="22"/>
        </w:rPr>
        <w:t xml:space="preserve">, em moeda ou cujo valor nela se possa exprimir, que não constitua sanção de ato ilícito, </w:t>
      </w:r>
      <w:r w:rsidRPr="00C23B10">
        <w:rPr>
          <w:rFonts w:ascii="Arial" w:hAnsi="Arial" w:cs="Arial"/>
          <w:sz w:val="22"/>
          <w:szCs w:val="22"/>
          <w:u w:val="single"/>
        </w:rPr>
        <w:t>instituída em lei e cobrada mediante atividade administrativa plenamente vinculada</w:t>
      </w:r>
      <w:r w:rsidRPr="00D035CE">
        <w:rPr>
          <w:rFonts w:ascii="Arial" w:hAnsi="Arial" w:cs="Arial"/>
          <w:sz w:val="22"/>
          <w:szCs w:val="22"/>
        </w:rPr>
        <w:t>.</w:t>
      </w:r>
    </w:p>
    <w:p w14:paraId="55F17ED3" w14:textId="29287F1D" w:rsidR="002B4DC0" w:rsidRDefault="002B4DC0" w:rsidP="003C42E2">
      <w:pPr>
        <w:ind w:left="2268"/>
        <w:jc w:val="both"/>
        <w:rPr>
          <w:rFonts w:ascii="Arial" w:hAnsi="Arial" w:cs="Arial"/>
          <w:sz w:val="22"/>
          <w:szCs w:val="22"/>
        </w:rPr>
      </w:pPr>
    </w:p>
    <w:p w14:paraId="5D530DB2" w14:textId="77777777" w:rsidR="002B4DC0" w:rsidRPr="004C5D0B" w:rsidRDefault="002B4DC0" w:rsidP="003C42E2">
      <w:pPr>
        <w:ind w:left="2268"/>
        <w:jc w:val="both"/>
        <w:rPr>
          <w:rFonts w:ascii="Arial" w:hAnsi="Arial" w:cs="Arial"/>
          <w:sz w:val="22"/>
          <w:szCs w:val="22"/>
        </w:rPr>
      </w:pPr>
      <w:r w:rsidRPr="00B90B77">
        <w:rPr>
          <w:rFonts w:ascii="Arial" w:hAnsi="Arial" w:cs="Arial"/>
          <w:b/>
          <w:sz w:val="22"/>
          <w:szCs w:val="22"/>
        </w:rPr>
        <w:t>Art. 97. Somente a lei pode estabelecer</w:t>
      </w:r>
      <w:r w:rsidRPr="004C5D0B">
        <w:rPr>
          <w:rFonts w:ascii="Arial" w:hAnsi="Arial" w:cs="Arial"/>
          <w:sz w:val="22"/>
          <w:szCs w:val="22"/>
        </w:rPr>
        <w:t>:</w:t>
      </w:r>
    </w:p>
    <w:p w14:paraId="56413D7B" w14:textId="77777777" w:rsidR="002B4DC0" w:rsidRPr="004C5D0B" w:rsidRDefault="002B4DC0" w:rsidP="003C42E2">
      <w:pPr>
        <w:ind w:left="2268"/>
        <w:jc w:val="both"/>
        <w:rPr>
          <w:rFonts w:ascii="Arial" w:hAnsi="Arial" w:cs="Arial"/>
          <w:sz w:val="22"/>
          <w:szCs w:val="22"/>
        </w:rPr>
      </w:pPr>
      <w:bookmarkStart w:id="4" w:name="art97i"/>
      <w:bookmarkEnd w:id="4"/>
      <w:r w:rsidRPr="004C5D0B">
        <w:rPr>
          <w:rFonts w:ascii="Arial" w:hAnsi="Arial" w:cs="Arial"/>
          <w:sz w:val="22"/>
          <w:szCs w:val="22"/>
        </w:rPr>
        <w:t xml:space="preserve">I </w:t>
      </w:r>
      <w:r>
        <w:rPr>
          <w:rFonts w:ascii="Arial" w:hAnsi="Arial" w:cs="Arial"/>
          <w:sz w:val="22"/>
          <w:szCs w:val="22"/>
        </w:rPr>
        <w:t>–</w:t>
      </w:r>
      <w:r w:rsidRPr="004C5D0B">
        <w:rPr>
          <w:rFonts w:ascii="Arial" w:hAnsi="Arial" w:cs="Arial"/>
          <w:sz w:val="22"/>
          <w:szCs w:val="22"/>
        </w:rPr>
        <w:t xml:space="preserve"> a </w:t>
      </w:r>
      <w:r w:rsidRPr="00B90B77">
        <w:rPr>
          <w:rFonts w:ascii="Arial" w:hAnsi="Arial" w:cs="Arial"/>
          <w:sz w:val="22"/>
          <w:szCs w:val="22"/>
          <w:u w:val="single"/>
        </w:rPr>
        <w:t>instituição</w:t>
      </w:r>
      <w:r w:rsidRPr="004C5D0B">
        <w:rPr>
          <w:rFonts w:ascii="Arial" w:hAnsi="Arial" w:cs="Arial"/>
          <w:sz w:val="22"/>
          <w:szCs w:val="22"/>
        </w:rPr>
        <w:t xml:space="preserve"> de tributos, ou a sua </w:t>
      </w:r>
      <w:r w:rsidRPr="00B90B77">
        <w:rPr>
          <w:rFonts w:ascii="Arial" w:hAnsi="Arial" w:cs="Arial"/>
          <w:sz w:val="22"/>
          <w:szCs w:val="22"/>
          <w:u w:val="single"/>
        </w:rPr>
        <w:t>extinção</w:t>
      </w:r>
      <w:r w:rsidRPr="004C5D0B">
        <w:rPr>
          <w:rFonts w:ascii="Arial" w:hAnsi="Arial" w:cs="Arial"/>
          <w:sz w:val="22"/>
          <w:szCs w:val="22"/>
        </w:rPr>
        <w:t>;</w:t>
      </w:r>
    </w:p>
    <w:p w14:paraId="1FE06D07" w14:textId="77777777" w:rsidR="002B4DC0" w:rsidRPr="004C5D0B" w:rsidRDefault="002B4DC0" w:rsidP="003C42E2">
      <w:pPr>
        <w:ind w:left="2268"/>
        <w:jc w:val="both"/>
        <w:rPr>
          <w:rFonts w:ascii="Arial" w:hAnsi="Arial" w:cs="Arial"/>
          <w:sz w:val="22"/>
          <w:szCs w:val="22"/>
        </w:rPr>
      </w:pPr>
      <w:bookmarkStart w:id="5" w:name="art97ii"/>
      <w:bookmarkEnd w:id="5"/>
      <w:r w:rsidRPr="004C5D0B">
        <w:rPr>
          <w:rFonts w:ascii="Arial" w:hAnsi="Arial" w:cs="Arial"/>
          <w:sz w:val="22"/>
          <w:szCs w:val="22"/>
        </w:rPr>
        <w:t xml:space="preserve">II </w:t>
      </w:r>
      <w:r>
        <w:rPr>
          <w:rFonts w:ascii="Arial" w:hAnsi="Arial" w:cs="Arial"/>
          <w:sz w:val="22"/>
          <w:szCs w:val="22"/>
        </w:rPr>
        <w:t>–</w:t>
      </w:r>
      <w:r w:rsidRPr="004C5D0B">
        <w:rPr>
          <w:rFonts w:ascii="Arial" w:hAnsi="Arial" w:cs="Arial"/>
          <w:sz w:val="22"/>
          <w:szCs w:val="22"/>
        </w:rPr>
        <w:t xml:space="preserve"> a </w:t>
      </w:r>
      <w:r w:rsidRPr="00B90B77">
        <w:rPr>
          <w:rFonts w:ascii="Arial" w:hAnsi="Arial" w:cs="Arial"/>
          <w:sz w:val="22"/>
          <w:szCs w:val="22"/>
          <w:u w:val="single"/>
        </w:rPr>
        <w:t>majoração</w:t>
      </w:r>
      <w:r w:rsidRPr="004C5D0B">
        <w:rPr>
          <w:rFonts w:ascii="Arial" w:hAnsi="Arial" w:cs="Arial"/>
          <w:sz w:val="22"/>
          <w:szCs w:val="22"/>
        </w:rPr>
        <w:t xml:space="preserve"> de tributos, ou sua </w:t>
      </w:r>
      <w:r w:rsidRPr="00B90B77">
        <w:rPr>
          <w:rFonts w:ascii="Arial" w:hAnsi="Arial" w:cs="Arial"/>
          <w:sz w:val="22"/>
          <w:szCs w:val="22"/>
          <w:u w:val="single"/>
        </w:rPr>
        <w:t>redução</w:t>
      </w:r>
      <w:r w:rsidRPr="004C5D0B">
        <w:rPr>
          <w:rFonts w:ascii="Arial" w:hAnsi="Arial" w:cs="Arial"/>
          <w:sz w:val="22"/>
          <w:szCs w:val="22"/>
        </w:rPr>
        <w:t>, ressalvado o disposto nos artigos 21, 26, 39, 57 e 65;</w:t>
      </w:r>
    </w:p>
    <w:p w14:paraId="7FC37B1C" w14:textId="77777777" w:rsidR="002B4DC0" w:rsidRPr="004C5D0B" w:rsidRDefault="002B4DC0" w:rsidP="003C42E2">
      <w:pPr>
        <w:ind w:left="2268"/>
        <w:jc w:val="both"/>
        <w:rPr>
          <w:rFonts w:ascii="Arial" w:hAnsi="Arial" w:cs="Arial"/>
          <w:sz w:val="22"/>
          <w:szCs w:val="22"/>
        </w:rPr>
      </w:pPr>
      <w:bookmarkStart w:id="6" w:name="art97iii"/>
      <w:bookmarkEnd w:id="6"/>
      <w:r w:rsidRPr="004C5D0B">
        <w:rPr>
          <w:rFonts w:ascii="Arial" w:hAnsi="Arial" w:cs="Arial"/>
          <w:sz w:val="22"/>
          <w:szCs w:val="22"/>
        </w:rPr>
        <w:t xml:space="preserve">III </w:t>
      </w:r>
      <w:r>
        <w:rPr>
          <w:rFonts w:ascii="Arial" w:hAnsi="Arial" w:cs="Arial"/>
          <w:sz w:val="22"/>
          <w:szCs w:val="22"/>
        </w:rPr>
        <w:t>–</w:t>
      </w:r>
      <w:r w:rsidRPr="004C5D0B">
        <w:rPr>
          <w:rFonts w:ascii="Arial" w:hAnsi="Arial" w:cs="Arial"/>
          <w:sz w:val="22"/>
          <w:szCs w:val="22"/>
        </w:rPr>
        <w:t xml:space="preserve"> a </w:t>
      </w:r>
      <w:r w:rsidRPr="00B90B77">
        <w:rPr>
          <w:rFonts w:ascii="Arial" w:hAnsi="Arial" w:cs="Arial"/>
          <w:sz w:val="22"/>
          <w:szCs w:val="22"/>
          <w:u w:val="single"/>
        </w:rPr>
        <w:t>definição do fato gerador da obrigação tributária principal</w:t>
      </w:r>
      <w:r w:rsidRPr="004C5D0B">
        <w:rPr>
          <w:rFonts w:ascii="Arial" w:hAnsi="Arial" w:cs="Arial"/>
          <w:sz w:val="22"/>
          <w:szCs w:val="22"/>
        </w:rPr>
        <w:t>, ressalvado o disposto no inciso I do § 3º do artigo 52, e do seu sujeito passivo;</w:t>
      </w:r>
    </w:p>
    <w:p w14:paraId="0956CBA6" w14:textId="77777777" w:rsidR="002B4DC0" w:rsidRPr="004C5D0B" w:rsidRDefault="002B4DC0" w:rsidP="003C42E2">
      <w:pPr>
        <w:ind w:left="2268"/>
        <w:jc w:val="both"/>
        <w:rPr>
          <w:rFonts w:ascii="Arial" w:hAnsi="Arial" w:cs="Arial"/>
          <w:sz w:val="22"/>
          <w:szCs w:val="22"/>
        </w:rPr>
      </w:pPr>
      <w:bookmarkStart w:id="7" w:name="art97iv"/>
      <w:bookmarkEnd w:id="7"/>
      <w:r w:rsidRPr="004C5D0B">
        <w:rPr>
          <w:rFonts w:ascii="Arial" w:hAnsi="Arial" w:cs="Arial"/>
          <w:sz w:val="22"/>
          <w:szCs w:val="22"/>
        </w:rPr>
        <w:t xml:space="preserve">IV </w:t>
      </w:r>
      <w:r>
        <w:rPr>
          <w:rFonts w:ascii="Arial" w:hAnsi="Arial" w:cs="Arial"/>
          <w:sz w:val="22"/>
          <w:szCs w:val="22"/>
        </w:rPr>
        <w:t>–</w:t>
      </w:r>
      <w:r w:rsidRPr="004C5D0B">
        <w:rPr>
          <w:rFonts w:ascii="Arial" w:hAnsi="Arial" w:cs="Arial"/>
          <w:sz w:val="22"/>
          <w:szCs w:val="22"/>
        </w:rPr>
        <w:t xml:space="preserve"> a </w:t>
      </w:r>
      <w:r w:rsidRPr="00B90B77">
        <w:rPr>
          <w:rFonts w:ascii="Arial" w:hAnsi="Arial" w:cs="Arial"/>
          <w:sz w:val="22"/>
          <w:szCs w:val="22"/>
          <w:u w:val="single"/>
        </w:rPr>
        <w:t>fixação de alíquota do tributo e da sua base de cálculo</w:t>
      </w:r>
      <w:r w:rsidRPr="004C5D0B">
        <w:rPr>
          <w:rFonts w:ascii="Arial" w:hAnsi="Arial" w:cs="Arial"/>
          <w:sz w:val="22"/>
          <w:szCs w:val="22"/>
        </w:rPr>
        <w:t>, ressalvado o disposto nos artigos 21, 26, 39, 57 e 65;</w:t>
      </w:r>
    </w:p>
    <w:p w14:paraId="61CF5720" w14:textId="77777777" w:rsidR="002B4DC0" w:rsidRPr="004C5D0B" w:rsidRDefault="002B4DC0" w:rsidP="003C42E2">
      <w:pPr>
        <w:ind w:left="2268"/>
        <w:jc w:val="both"/>
        <w:rPr>
          <w:rFonts w:ascii="Arial" w:hAnsi="Arial" w:cs="Arial"/>
          <w:sz w:val="22"/>
          <w:szCs w:val="22"/>
        </w:rPr>
      </w:pPr>
      <w:bookmarkStart w:id="8" w:name="art97v"/>
      <w:bookmarkEnd w:id="8"/>
      <w:r w:rsidRPr="004C5D0B">
        <w:rPr>
          <w:rFonts w:ascii="Arial" w:hAnsi="Arial" w:cs="Arial"/>
          <w:sz w:val="22"/>
          <w:szCs w:val="22"/>
        </w:rPr>
        <w:t xml:space="preserve">V </w:t>
      </w:r>
      <w:r>
        <w:rPr>
          <w:rFonts w:ascii="Arial" w:hAnsi="Arial" w:cs="Arial"/>
          <w:sz w:val="22"/>
          <w:szCs w:val="22"/>
        </w:rPr>
        <w:t>–</w:t>
      </w:r>
      <w:r w:rsidRPr="004C5D0B">
        <w:rPr>
          <w:rFonts w:ascii="Arial" w:hAnsi="Arial" w:cs="Arial"/>
          <w:sz w:val="22"/>
          <w:szCs w:val="22"/>
        </w:rPr>
        <w:t xml:space="preserve"> a</w:t>
      </w:r>
      <w:r>
        <w:rPr>
          <w:rFonts w:ascii="Arial" w:hAnsi="Arial" w:cs="Arial"/>
          <w:sz w:val="22"/>
          <w:szCs w:val="22"/>
        </w:rPr>
        <w:t xml:space="preserve"> </w:t>
      </w:r>
      <w:r w:rsidRPr="00B90B77">
        <w:rPr>
          <w:rFonts w:ascii="Arial" w:hAnsi="Arial" w:cs="Arial"/>
          <w:sz w:val="22"/>
          <w:szCs w:val="22"/>
          <w:u w:val="single"/>
        </w:rPr>
        <w:t>cominação de penalidades</w:t>
      </w:r>
      <w:r w:rsidRPr="004C5D0B">
        <w:rPr>
          <w:rFonts w:ascii="Arial" w:hAnsi="Arial" w:cs="Arial"/>
          <w:sz w:val="22"/>
          <w:szCs w:val="22"/>
        </w:rPr>
        <w:t xml:space="preserve"> para as ações ou omissões contrárias a seus dispositivos, ou para outras infrações nela definidas;</w:t>
      </w:r>
    </w:p>
    <w:p w14:paraId="6A4E4CD3" w14:textId="77777777" w:rsidR="002B4DC0" w:rsidRPr="004C5D0B" w:rsidRDefault="002B4DC0" w:rsidP="003C42E2">
      <w:pPr>
        <w:ind w:left="2268"/>
        <w:jc w:val="both"/>
        <w:rPr>
          <w:rFonts w:ascii="Arial" w:hAnsi="Arial" w:cs="Arial"/>
          <w:sz w:val="22"/>
          <w:szCs w:val="22"/>
        </w:rPr>
      </w:pPr>
      <w:bookmarkStart w:id="9" w:name="art97vi"/>
      <w:bookmarkEnd w:id="9"/>
      <w:r w:rsidRPr="004C5D0B">
        <w:rPr>
          <w:rFonts w:ascii="Arial" w:hAnsi="Arial" w:cs="Arial"/>
          <w:sz w:val="22"/>
          <w:szCs w:val="22"/>
        </w:rPr>
        <w:t xml:space="preserve">VI </w:t>
      </w:r>
      <w:r>
        <w:rPr>
          <w:rFonts w:ascii="Arial" w:hAnsi="Arial" w:cs="Arial"/>
          <w:sz w:val="22"/>
          <w:szCs w:val="22"/>
        </w:rPr>
        <w:t>–</w:t>
      </w:r>
      <w:r w:rsidRPr="004C5D0B">
        <w:rPr>
          <w:rFonts w:ascii="Arial" w:hAnsi="Arial" w:cs="Arial"/>
          <w:sz w:val="22"/>
          <w:szCs w:val="22"/>
        </w:rPr>
        <w:t xml:space="preserve"> as </w:t>
      </w:r>
      <w:r w:rsidRPr="00B90B77">
        <w:rPr>
          <w:rFonts w:ascii="Arial" w:hAnsi="Arial" w:cs="Arial"/>
          <w:sz w:val="22"/>
          <w:szCs w:val="22"/>
          <w:u w:val="single"/>
        </w:rPr>
        <w:t>hipóteses de exclusão, suspensão e extinção de créditos tributários, ou de dispensa ou redução de penalidades</w:t>
      </w:r>
      <w:r w:rsidRPr="004C5D0B">
        <w:rPr>
          <w:rFonts w:ascii="Arial" w:hAnsi="Arial" w:cs="Arial"/>
          <w:sz w:val="22"/>
          <w:szCs w:val="22"/>
        </w:rPr>
        <w:t>.</w:t>
      </w:r>
    </w:p>
    <w:p w14:paraId="58E63190" w14:textId="77777777" w:rsidR="002B4DC0" w:rsidRPr="004C5D0B" w:rsidRDefault="002B4DC0" w:rsidP="003C42E2">
      <w:pPr>
        <w:ind w:left="2268"/>
        <w:jc w:val="both"/>
        <w:rPr>
          <w:rFonts w:ascii="Arial" w:hAnsi="Arial" w:cs="Arial"/>
          <w:sz w:val="22"/>
          <w:szCs w:val="22"/>
        </w:rPr>
      </w:pPr>
      <w:bookmarkStart w:id="10" w:name="art97§1"/>
      <w:bookmarkEnd w:id="10"/>
      <w:r w:rsidRPr="004C5D0B">
        <w:rPr>
          <w:rFonts w:ascii="Arial" w:hAnsi="Arial" w:cs="Arial"/>
          <w:sz w:val="22"/>
          <w:szCs w:val="22"/>
        </w:rPr>
        <w:t>§ 1º Equipara-se à majoração do tributo a modificação da sua base de cálculo, que importe em torná-lo mais oneroso.</w:t>
      </w:r>
    </w:p>
    <w:p w14:paraId="12084545" w14:textId="77777777" w:rsidR="002B4DC0" w:rsidRPr="004C5D0B" w:rsidRDefault="002B4DC0" w:rsidP="003C42E2">
      <w:pPr>
        <w:ind w:left="2268"/>
        <w:jc w:val="both"/>
        <w:rPr>
          <w:rFonts w:ascii="Arial" w:hAnsi="Arial" w:cs="Arial"/>
          <w:sz w:val="22"/>
          <w:szCs w:val="22"/>
        </w:rPr>
      </w:pPr>
      <w:bookmarkStart w:id="11" w:name="art97§2"/>
      <w:bookmarkEnd w:id="11"/>
      <w:r w:rsidRPr="004C5D0B">
        <w:rPr>
          <w:rFonts w:ascii="Arial" w:hAnsi="Arial" w:cs="Arial"/>
          <w:sz w:val="22"/>
          <w:szCs w:val="22"/>
        </w:rPr>
        <w:t>§ 2º Não constitui majoração de tributo, para os fins do disposto no inciso II deste artigo, a atualização do valor monetário da respectiva base de cálculo.</w:t>
      </w:r>
    </w:p>
    <w:p w14:paraId="50D5ED10" w14:textId="77777777" w:rsidR="00D035CE" w:rsidRDefault="00D035CE" w:rsidP="003C42E2">
      <w:pPr>
        <w:ind w:left="2268"/>
        <w:jc w:val="both"/>
        <w:rPr>
          <w:rFonts w:ascii="Arial" w:hAnsi="Arial" w:cs="Arial"/>
          <w:sz w:val="22"/>
          <w:szCs w:val="22"/>
        </w:rPr>
      </w:pPr>
    </w:p>
    <w:p w14:paraId="55440EB6" w14:textId="77777777" w:rsidR="00D035CE" w:rsidRPr="00D035CE" w:rsidRDefault="00D035CE" w:rsidP="003C42E2">
      <w:pPr>
        <w:ind w:left="2268"/>
        <w:jc w:val="both"/>
        <w:rPr>
          <w:rFonts w:ascii="Arial" w:hAnsi="Arial" w:cs="Arial"/>
          <w:sz w:val="22"/>
          <w:szCs w:val="22"/>
        </w:rPr>
      </w:pPr>
      <w:r w:rsidRPr="00780006">
        <w:rPr>
          <w:rFonts w:ascii="Arial" w:hAnsi="Arial" w:cs="Arial"/>
          <w:b/>
          <w:sz w:val="22"/>
          <w:szCs w:val="22"/>
        </w:rPr>
        <w:t>Art. 142.</w:t>
      </w:r>
      <w:r w:rsidRPr="00D035CE">
        <w:rPr>
          <w:rFonts w:ascii="Arial" w:hAnsi="Arial" w:cs="Arial"/>
          <w:sz w:val="22"/>
          <w:szCs w:val="22"/>
        </w:rPr>
        <w:t xml:space="preserve"> Compete privativamente à autoridade administrativa constituir o crédito tributário pelo lançamento, assim entendido o procedimento administrativo tendente a verificar a ocorrência do fato gerador da obrigação correspondente, determinar a matéria tributável, calcular o montante do tributo devido, identificar o sujeito passivo e, sendo caso, propor a aplicação da penalidade cabível.</w:t>
      </w:r>
    </w:p>
    <w:p w14:paraId="2EF533DC" w14:textId="77777777" w:rsidR="00D035CE" w:rsidRPr="00D035CE" w:rsidRDefault="00D035CE" w:rsidP="003C42E2">
      <w:pPr>
        <w:ind w:left="2268"/>
        <w:jc w:val="both"/>
        <w:rPr>
          <w:rFonts w:ascii="Arial" w:hAnsi="Arial" w:cs="Arial"/>
          <w:sz w:val="22"/>
          <w:szCs w:val="22"/>
        </w:rPr>
      </w:pPr>
      <w:bookmarkStart w:id="12" w:name="art142p"/>
      <w:bookmarkEnd w:id="12"/>
      <w:r w:rsidRPr="00D035CE">
        <w:rPr>
          <w:rFonts w:ascii="Arial" w:hAnsi="Arial" w:cs="Arial"/>
          <w:sz w:val="22"/>
          <w:szCs w:val="22"/>
        </w:rPr>
        <w:t> </w:t>
      </w:r>
      <w:r w:rsidRPr="00C23B10">
        <w:rPr>
          <w:rFonts w:ascii="Arial" w:hAnsi="Arial" w:cs="Arial"/>
          <w:b/>
          <w:sz w:val="22"/>
          <w:szCs w:val="22"/>
        </w:rPr>
        <w:t>Parágrafo único. A atividade administrativa de lançamento é vinculada e obrigatória, sob pena de responsabilidade funcional</w:t>
      </w:r>
      <w:r w:rsidRPr="00D035CE">
        <w:rPr>
          <w:rFonts w:ascii="Arial" w:hAnsi="Arial" w:cs="Arial"/>
          <w:sz w:val="22"/>
          <w:szCs w:val="22"/>
        </w:rPr>
        <w:t>.</w:t>
      </w:r>
    </w:p>
    <w:p w14:paraId="0ACA9348" w14:textId="77777777" w:rsidR="008476CD" w:rsidRDefault="008476CD" w:rsidP="0041696D">
      <w:pPr>
        <w:spacing w:line="360" w:lineRule="auto"/>
        <w:ind w:firstLine="851"/>
        <w:jc w:val="both"/>
        <w:rPr>
          <w:rFonts w:ascii="Arial" w:hAnsi="Arial" w:cs="Arial"/>
          <w:sz w:val="24"/>
          <w:szCs w:val="24"/>
        </w:rPr>
      </w:pPr>
    </w:p>
    <w:p w14:paraId="3E2DEB0B" w14:textId="3296AB0C" w:rsidR="0041696D" w:rsidRDefault="002F3555" w:rsidP="0041696D">
      <w:pPr>
        <w:spacing w:line="360" w:lineRule="auto"/>
        <w:ind w:firstLine="851"/>
        <w:jc w:val="both"/>
        <w:rPr>
          <w:rFonts w:ascii="Arial" w:hAnsi="Arial" w:cs="Arial"/>
          <w:sz w:val="24"/>
          <w:szCs w:val="24"/>
        </w:rPr>
      </w:pPr>
      <w:r>
        <w:rPr>
          <w:rFonts w:ascii="Arial" w:hAnsi="Arial" w:cs="Arial"/>
          <w:sz w:val="24"/>
          <w:szCs w:val="24"/>
        </w:rPr>
        <w:t>Em síntese, é a lei</w:t>
      </w:r>
      <w:r w:rsidR="0041696D">
        <w:rPr>
          <w:rFonts w:ascii="Arial" w:hAnsi="Arial" w:cs="Arial"/>
          <w:sz w:val="24"/>
          <w:szCs w:val="24"/>
        </w:rPr>
        <w:t xml:space="preserve"> que pode instituir ou extinguir tributos; majorá-los e reduzi-los; definir o fato gerador da obrigação tributária principal; </w:t>
      </w:r>
      <w:r w:rsidR="0041696D" w:rsidRPr="00D22EE7">
        <w:rPr>
          <w:rFonts w:ascii="Arial" w:hAnsi="Arial" w:cs="Arial"/>
          <w:sz w:val="24"/>
          <w:szCs w:val="24"/>
        </w:rPr>
        <w:t>fixa</w:t>
      </w:r>
      <w:r w:rsidR="0041696D">
        <w:rPr>
          <w:rFonts w:ascii="Arial" w:hAnsi="Arial" w:cs="Arial"/>
          <w:sz w:val="24"/>
          <w:szCs w:val="24"/>
        </w:rPr>
        <w:t>r a a</w:t>
      </w:r>
      <w:r w:rsidR="0041696D" w:rsidRPr="00D22EE7">
        <w:rPr>
          <w:rFonts w:ascii="Arial" w:hAnsi="Arial" w:cs="Arial"/>
          <w:sz w:val="24"/>
          <w:szCs w:val="24"/>
        </w:rPr>
        <w:t xml:space="preserve">líquota </w:t>
      </w:r>
      <w:r w:rsidR="0041696D">
        <w:rPr>
          <w:rFonts w:ascii="Arial" w:hAnsi="Arial" w:cs="Arial"/>
          <w:sz w:val="24"/>
          <w:szCs w:val="24"/>
        </w:rPr>
        <w:t xml:space="preserve">e a </w:t>
      </w:r>
      <w:r w:rsidR="0041696D" w:rsidRPr="00D22EE7">
        <w:rPr>
          <w:rFonts w:ascii="Arial" w:hAnsi="Arial" w:cs="Arial"/>
          <w:sz w:val="24"/>
          <w:szCs w:val="24"/>
        </w:rPr>
        <w:t>base de cálculo</w:t>
      </w:r>
      <w:r w:rsidR="0041696D">
        <w:rPr>
          <w:rFonts w:ascii="Arial" w:hAnsi="Arial" w:cs="Arial"/>
          <w:sz w:val="24"/>
          <w:szCs w:val="24"/>
        </w:rPr>
        <w:t xml:space="preserve">; cominar penalidades; estabelecer as </w:t>
      </w:r>
      <w:r w:rsidR="0041696D" w:rsidRPr="006B7AD9">
        <w:rPr>
          <w:rFonts w:ascii="Arial" w:hAnsi="Arial" w:cs="Arial"/>
          <w:sz w:val="24"/>
          <w:szCs w:val="24"/>
        </w:rPr>
        <w:t>hipóteses de exclusão, suspensão e extinção de créditos tributários, ou de dispensa ou redução de penalidades</w:t>
      </w:r>
      <w:r w:rsidR="0041696D">
        <w:rPr>
          <w:rFonts w:ascii="Arial" w:hAnsi="Arial" w:cs="Arial"/>
          <w:sz w:val="24"/>
          <w:szCs w:val="24"/>
        </w:rPr>
        <w:t>.</w:t>
      </w:r>
    </w:p>
    <w:p w14:paraId="13F0BE2D" w14:textId="71CB7CB9" w:rsidR="004F1010" w:rsidRDefault="00340EB8" w:rsidP="00713208">
      <w:pPr>
        <w:spacing w:line="360" w:lineRule="auto"/>
        <w:ind w:firstLine="851"/>
        <w:jc w:val="both"/>
        <w:rPr>
          <w:rFonts w:ascii="Arial" w:hAnsi="Arial" w:cs="Arial"/>
          <w:sz w:val="24"/>
          <w:szCs w:val="24"/>
        </w:rPr>
      </w:pPr>
      <w:r>
        <w:rPr>
          <w:rFonts w:ascii="Arial" w:hAnsi="Arial" w:cs="Arial"/>
          <w:sz w:val="24"/>
          <w:szCs w:val="24"/>
        </w:rPr>
        <w:lastRenderedPageBreak/>
        <w:t xml:space="preserve">Dentro da concepção de legalidade tributária, encontra-se uma </w:t>
      </w:r>
      <w:r w:rsidRPr="00340EB8">
        <w:rPr>
          <w:rFonts w:ascii="Arial" w:hAnsi="Arial" w:cs="Arial"/>
          <w:b/>
          <w:sz w:val="24"/>
          <w:szCs w:val="24"/>
        </w:rPr>
        <w:t>faceta extremamente pertinente aos incentivos fiscais</w:t>
      </w:r>
      <w:r>
        <w:rPr>
          <w:rFonts w:ascii="Arial" w:hAnsi="Arial" w:cs="Arial"/>
          <w:sz w:val="24"/>
          <w:szCs w:val="24"/>
        </w:rPr>
        <w:t xml:space="preserve">, visto que </w:t>
      </w:r>
      <w:r w:rsidR="004F1010" w:rsidRPr="00444619">
        <w:rPr>
          <w:rFonts w:ascii="Arial" w:hAnsi="Arial" w:cs="Arial"/>
          <w:b/>
          <w:sz w:val="24"/>
          <w:szCs w:val="24"/>
        </w:rPr>
        <w:t xml:space="preserve">o Poder Público não pode dispor </w:t>
      </w:r>
      <w:r w:rsidR="009D7037" w:rsidRPr="00444619">
        <w:rPr>
          <w:rFonts w:ascii="Arial" w:hAnsi="Arial" w:cs="Arial"/>
          <w:b/>
          <w:sz w:val="24"/>
          <w:szCs w:val="24"/>
        </w:rPr>
        <w:t>d</w:t>
      </w:r>
      <w:r w:rsidR="004F1010" w:rsidRPr="00444619">
        <w:rPr>
          <w:rFonts w:ascii="Arial" w:hAnsi="Arial" w:cs="Arial"/>
          <w:b/>
          <w:sz w:val="24"/>
          <w:szCs w:val="24"/>
        </w:rPr>
        <w:t>a cobrança</w:t>
      </w:r>
      <w:r w:rsidR="009D7037" w:rsidRPr="00444619">
        <w:rPr>
          <w:rFonts w:ascii="Arial" w:hAnsi="Arial" w:cs="Arial"/>
          <w:b/>
          <w:sz w:val="24"/>
          <w:szCs w:val="24"/>
        </w:rPr>
        <w:t xml:space="preserve"> de tributos sem que</w:t>
      </w:r>
      <w:r w:rsidR="005238F2" w:rsidRPr="00444619">
        <w:rPr>
          <w:rFonts w:ascii="Arial" w:hAnsi="Arial" w:cs="Arial"/>
          <w:b/>
          <w:sz w:val="24"/>
          <w:szCs w:val="24"/>
        </w:rPr>
        <w:t>,</w:t>
      </w:r>
      <w:r w:rsidR="009D7037" w:rsidRPr="00444619">
        <w:rPr>
          <w:rFonts w:ascii="Arial" w:hAnsi="Arial" w:cs="Arial"/>
          <w:b/>
          <w:sz w:val="24"/>
          <w:szCs w:val="24"/>
        </w:rPr>
        <w:t xml:space="preserve"> por lei ou pelo</w:t>
      </w:r>
      <w:r w:rsidR="004F1010" w:rsidRPr="00444619">
        <w:rPr>
          <w:rFonts w:ascii="Arial" w:hAnsi="Arial" w:cs="Arial"/>
          <w:b/>
          <w:sz w:val="24"/>
          <w:szCs w:val="24"/>
        </w:rPr>
        <w:t xml:space="preserve"> </w:t>
      </w:r>
      <w:r w:rsidR="009D7037" w:rsidRPr="00444619">
        <w:rPr>
          <w:rFonts w:ascii="Arial" w:hAnsi="Arial" w:cs="Arial"/>
          <w:b/>
          <w:sz w:val="24"/>
          <w:szCs w:val="24"/>
        </w:rPr>
        <w:t>próprio texto constitucional</w:t>
      </w:r>
      <w:r w:rsidR="005238F2" w:rsidRPr="00444619">
        <w:rPr>
          <w:rFonts w:ascii="Arial" w:hAnsi="Arial" w:cs="Arial"/>
          <w:b/>
          <w:sz w:val="24"/>
          <w:szCs w:val="24"/>
        </w:rPr>
        <w:t>,</w:t>
      </w:r>
      <w:r w:rsidR="009D7037" w:rsidRPr="00444619">
        <w:rPr>
          <w:rFonts w:ascii="Arial" w:hAnsi="Arial" w:cs="Arial"/>
          <w:b/>
          <w:sz w:val="24"/>
          <w:szCs w:val="24"/>
        </w:rPr>
        <w:t xml:space="preserve"> </w:t>
      </w:r>
      <w:r w:rsidR="004F1010" w:rsidRPr="00444619">
        <w:rPr>
          <w:rFonts w:ascii="Arial" w:hAnsi="Arial" w:cs="Arial"/>
          <w:b/>
          <w:sz w:val="24"/>
          <w:szCs w:val="24"/>
        </w:rPr>
        <w:t xml:space="preserve">esteja autorizado a </w:t>
      </w:r>
      <w:r w:rsidR="009D7037" w:rsidRPr="00444619">
        <w:rPr>
          <w:rFonts w:ascii="Arial" w:hAnsi="Arial" w:cs="Arial"/>
          <w:b/>
          <w:sz w:val="24"/>
          <w:szCs w:val="24"/>
        </w:rPr>
        <w:t>dispensá</w:t>
      </w:r>
      <w:r w:rsidR="004F1010" w:rsidRPr="00444619">
        <w:rPr>
          <w:rFonts w:ascii="Arial" w:hAnsi="Arial" w:cs="Arial"/>
          <w:b/>
          <w:sz w:val="24"/>
          <w:szCs w:val="24"/>
        </w:rPr>
        <w:t>-lo</w:t>
      </w:r>
      <w:r w:rsidR="009D7037">
        <w:rPr>
          <w:rFonts w:ascii="Arial" w:hAnsi="Arial" w:cs="Arial"/>
          <w:sz w:val="24"/>
          <w:szCs w:val="24"/>
        </w:rPr>
        <w:t>.</w:t>
      </w:r>
      <w:r w:rsidR="008E5B8E">
        <w:rPr>
          <w:rFonts w:ascii="Arial" w:hAnsi="Arial" w:cs="Arial"/>
          <w:sz w:val="24"/>
          <w:szCs w:val="24"/>
        </w:rPr>
        <w:t xml:space="preserve"> </w:t>
      </w:r>
      <w:r w:rsidR="008E5B8E" w:rsidRPr="00442848">
        <w:rPr>
          <w:rFonts w:ascii="Arial" w:hAnsi="Arial" w:cs="Arial"/>
          <w:sz w:val="24"/>
          <w:szCs w:val="24"/>
          <w:u w:val="single"/>
        </w:rPr>
        <w:t>Quando a dispensa ocorre por imperativo constitucional</w:t>
      </w:r>
      <w:r w:rsidR="008E5B8E">
        <w:rPr>
          <w:rFonts w:ascii="Arial" w:hAnsi="Arial" w:cs="Arial"/>
          <w:sz w:val="24"/>
          <w:szCs w:val="24"/>
        </w:rPr>
        <w:t xml:space="preserve">, </w:t>
      </w:r>
      <w:r w:rsidR="00442848">
        <w:rPr>
          <w:rFonts w:ascii="Arial" w:hAnsi="Arial" w:cs="Arial"/>
          <w:sz w:val="24"/>
          <w:szCs w:val="24"/>
        </w:rPr>
        <w:t xml:space="preserve">trata-se de imunidade; </w:t>
      </w:r>
      <w:r w:rsidR="00442848" w:rsidRPr="00442848">
        <w:rPr>
          <w:rFonts w:ascii="Arial" w:hAnsi="Arial" w:cs="Arial"/>
          <w:sz w:val="24"/>
          <w:szCs w:val="24"/>
          <w:u w:val="single"/>
        </w:rPr>
        <w:t>quando por lei</w:t>
      </w:r>
      <w:r w:rsidR="00442848">
        <w:rPr>
          <w:rFonts w:ascii="Arial" w:hAnsi="Arial" w:cs="Arial"/>
          <w:sz w:val="24"/>
          <w:szCs w:val="24"/>
        </w:rPr>
        <w:t>, essa dispensa pode se concretizar das mais variadas formas, como isenção, redução de alíquota ou de base de cálculo, concessão de crédito presumido</w:t>
      </w:r>
      <w:r w:rsidR="00496587">
        <w:rPr>
          <w:rFonts w:ascii="Arial" w:hAnsi="Arial" w:cs="Arial"/>
          <w:sz w:val="24"/>
          <w:szCs w:val="24"/>
        </w:rPr>
        <w:t>, dentre outros institutos correlatos</w:t>
      </w:r>
      <w:r w:rsidR="00867E68">
        <w:rPr>
          <w:rFonts w:ascii="Arial" w:hAnsi="Arial" w:cs="Arial"/>
          <w:sz w:val="24"/>
          <w:szCs w:val="24"/>
        </w:rPr>
        <w:t xml:space="preserve"> que podem ser compreendidos, </w:t>
      </w:r>
      <w:r w:rsidR="00867E68" w:rsidRPr="00867E68">
        <w:rPr>
          <w:rFonts w:ascii="Arial" w:hAnsi="Arial" w:cs="Arial"/>
          <w:i/>
          <w:sz w:val="24"/>
          <w:szCs w:val="24"/>
        </w:rPr>
        <w:t>latu senso</w:t>
      </w:r>
      <w:r w:rsidR="00867E68">
        <w:rPr>
          <w:rFonts w:ascii="Arial" w:hAnsi="Arial" w:cs="Arial"/>
          <w:sz w:val="24"/>
          <w:szCs w:val="24"/>
        </w:rPr>
        <w:t>, como incentivos fiscais</w:t>
      </w:r>
      <w:r w:rsidR="00E3744A">
        <w:rPr>
          <w:rFonts w:ascii="Arial" w:hAnsi="Arial" w:cs="Arial"/>
          <w:sz w:val="24"/>
          <w:szCs w:val="24"/>
        </w:rPr>
        <w:t>, que dependem de uma atuação positiva do Estado</w:t>
      </w:r>
      <w:r w:rsidR="00442848">
        <w:rPr>
          <w:rFonts w:ascii="Arial" w:hAnsi="Arial" w:cs="Arial"/>
          <w:sz w:val="24"/>
          <w:szCs w:val="24"/>
        </w:rPr>
        <w:t>.</w:t>
      </w:r>
    </w:p>
    <w:p w14:paraId="53584C18" w14:textId="1EB32A7E" w:rsidR="00E634D4" w:rsidRDefault="00F25704" w:rsidP="00F25704">
      <w:pPr>
        <w:spacing w:line="360" w:lineRule="auto"/>
        <w:ind w:firstLine="851"/>
        <w:jc w:val="both"/>
        <w:rPr>
          <w:rFonts w:ascii="Arial" w:hAnsi="Arial" w:cs="Arial"/>
          <w:sz w:val="24"/>
          <w:szCs w:val="24"/>
        </w:rPr>
      </w:pPr>
      <w:r>
        <w:rPr>
          <w:rFonts w:ascii="Arial" w:hAnsi="Arial" w:cs="Arial"/>
          <w:sz w:val="24"/>
          <w:szCs w:val="24"/>
        </w:rPr>
        <w:t xml:space="preserve">Desse modo, </w:t>
      </w:r>
      <w:r w:rsidRPr="00E915FA">
        <w:rPr>
          <w:rFonts w:ascii="Arial" w:hAnsi="Arial" w:cs="Arial"/>
          <w:b/>
          <w:sz w:val="24"/>
          <w:szCs w:val="24"/>
        </w:rPr>
        <w:t>o princípio da legalidade assume especial relevo em matéria de incentivos fiscais</w:t>
      </w:r>
      <w:r>
        <w:rPr>
          <w:rFonts w:ascii="Arial" w:hAnsi="Arial" w:cs="Arial"/>
          <w:sz w:val="24"/>
          <w:szCs w:val="24"/>
        </w:rPr>
        <w:t xml:space="preserve">, posto que a dispensa de tributos, fora das hipóteses de imunidade previstas expressamente no texto constitucional, pode se dar apenas mediante lei específica, nos termos do </w:t>
      </w:r>
      <w:r w:rsidRPr="00246C5C">
        <w:rPr>
          <w:rFonts w:ascii="Arial" w:hAnsi="Arial" w:cs="Arial"/>
          <w:sz w:val="24"/>
          <w:szCs w:val="24"/>
          <w:u w:val="single"/>
        </w:rPr>
        <w:t>art. 150, § 6º, da CRFB e art. 102, § 5º, CE/GO</w:t>
      </w:r>
      <w:r>
        <w:rPr>
          <w:rFonts w:ascii="Arial" w:hAnsi="Arial" w:cs="Arial"/>
          <w:sz w:val="24"/>
          <w:szCs w:val="24"/>
        </w:rPr>
        <w:t>:</w:t>
      </w:r>
    </w:p>
    <w:p w14:paraId="5A71EACE" w14:textId="77777777" w:rsidR="006C3E1F" w:rsidRDefault="006C3E1F" w:rsidP="00F25704">
      <w:pPr>
        <w:spacing w:line="360" w:lineRule="auto"/>
        <w:ind w:firstLine="851"/>
        <w:jc w:val="both"/>
        <w:rPr>
          <w:rFonts w:ascii="Arial" w:hAnsi="Arial" w:cs="Arial"/>
          <w:sz w:val="24"/>
          <w:szCs w:val="24"/>
        </w:rPr>
      </w:pPr>
    </w:p>
    <w:p w14:paraId="66CEAFA3" w14:textId="77777777" w:rsidR="00C715C5" w:rsidRDefault="001900B5" w:rsidP="003C42E2">
      <w:pPr>
        <w:ind w:left="2268"/>
        <w:jc w:val="both"/>
        <w:rPr>
          <w:rFonts w:ascii="Arial" w:hAnsi="Arial" w:cs="Arial"/>
          <w:b/>
          <w:sz w:val="22"/>
          <w:szCs w:val="22"/>
          <w:u w:val="single"/>
        </w:rPr>
      </w:pPr>
      <w:r w:rsidRPr="001900B5">
        <w:rPr>
          <w:rFonts w:ascii="Arial" w:hAnsi="Arial" w:cs="Arial"/>
          <w:b/>
          <w:sz w:val="22"/>
          <w:szCs w:val="22"/>
          <w:u w:val="single"/>
        </w:rPr>
        <w:t>CRFB</w:t>
      </w:r>
    </w:p>
    <w:p w14:paraId="794A6BA3" w14:textId="3F245DA6" w:rsidR="006C3E1F" w:rsidRPr="00C715C5" w:rsidRDefault="00C715C5" w:rsidP="003C42E2">
      <w:pPr>
        <w:ind w:left="2268"/>
        <w:jc w:val="both"/>
        <w:rPr>
          <w:rFonts w:ascii="Arial" w:hAnsi="Arial" w:cs="Arial"/>
          <w:b/>
          <w:sz w:val="22"/>
          <w:szCs w:val="22"/>
        </w:rPr>
      </w:pPr>
      <w:r w:rsidRPr="00C715C5">
        <w:rPr>
          <w:rFonts w:ascii="Arial" w:hAnsi="Arial" w:cs="Arial"/>
          <w:b/>
          <w:sz w:val="22"/>
          <w:szCs w:val="22"/>
        </w:rPr>
        <w:t>A</w:t>
      </w:r>
      <w:r w:rsidR="006C3E1F" w:rsidRPr="00C715C5">
        <w:rPr>
          <w:rFonts w:ascii="Arial" w:hAnsi="Arial" w:cs="Arial"/>
          <w:b/>
          <w:sz w:val="22"/>
          <w:szCs w:val="22"/>
        </w:rPr>
        <w:t xml:space="preserve">rt. </w:t>
      </w:r>
      <w:r w:rsidR="003212E8" w:rsidRPr="00C715C5">
        <w:rPr>
          <w:rFonts w:ascii="Arial" w:hAnsi="Arial" w:cs="Arial"/>
          <w:b/>
          <w:sz w:val="22"/>
          <w:szCs w:val="22"/>
        </w:rPr>
        <w:t>150</w:t>
      </w:r>
      <w:r w:rsidR="006C3E1F" w:rsidRPr="00C715C5">
        <w:rPr>
          <w:rFonts w:ascii="Arial" w:hAnsi="Arial" w:cs="Arial"/>
          <w:sz w:val="22"/>
          <w:szCs w:val="22"/>
        </w:rPr>
        <w:t xml:space="preserve">. </w:t>
      </w:r>
      <w:r w:rsidR="001900B5" w:rsidRPr="00C715C5">
        <w:rPr>
          <w:rFonts w:ascii="Arial" w:hAnsi="Arial" w:cs="Arial"/>
          <w:sz w:val="22"/>
          <w:szCs w:val="22"/>
        </w:rPr>
        <w:t>[...]</w:t>
      </w:r>
    </w:p>
    <w:p w14:paraId="50648C48" w14:textId="77777777" w:rsidR="001900B5" w:rsidRDefault="001900B5" w:rsidP="003C42E2">
      <w:pPr>
        <w:ind w:left="2268"/>
        <w:jc w:val="both"/>
        <w:rPr>
          <w:rFonts w:ascii="Arial" w:hAnsi="Arial" w:cs="Arial"/>
          <w:sz w:val="22"/>
          <w:szCs w:val="22"/>
        </w:rPr>
      </w:pPr>
      <w:r w:rsidRPr="003212E8">
        <w:rPr>
          <w:rFonts w:ascii="Arial" w:hAnsi="Arial" w:cs="Arial"/>
          <w:sz w:val="22"/>
          <w:szCs w:val="22"/>
        </w:rPr>
        <w:t>[...].</w:t>
      </w:r>
    </w:p>
    <w:p w14:paraId="2D5C0667" w14:textId="5C790864" w:rsidR="006C3E1F" w:rsidRDefault="001D50AB" w:rsidP="003C42E2">
      <w:pPr>
        <w:ind w:left="2268"/>
        <w:jc w:val="both"/>
        <w:rPr>
          <w:rFonts w:ascii="Arial" w:hAnsi="Arial" w:cs="Arial"/>
          <w:sz w:val="22"/>
          <w:szCs w:val="22"/>
        </w:rPr>
      </w:pPr>
      <w:r w:rsidRPr="00C80D5E">
        <w:rPr>
          <w:rFonts w:ascii="Arial" w:hAnsi="Arial" w:cs="Arial"/>
          <w:sz w:val="22"/>
          <w:szCs w:val="22"/>
        </w:rPr>
        <w:t xml:space="preserve">§ 6º Qualquer </w:t>
      </w:r>
      <w:r w:rsidRPr="00C80D5E">
        <w:rPr>
          <w:rFonts w:ascii="Arial" w:hAnsi="Arial" w:cs="Arial"/>
          <w:b/>
          <w:sz w:val="22"/>
          <w:szCs w:val="22"/>
        </w:rPr>
        <w:t>subsídio ou isenção, redução de base de cálculo, concessão de crédito presumido, anistia ou remissão</w:t>
      </w:r>
      <w:r w:rsidRPr="00C80D5E">
        <w:rPr>
          <w:rFonts w:ascii="Arial" w:hAnsi="Arial" w:cs="Arial"/>
          <w:sz w:val="22"/>
          <w:szCs w:val="22"/>
        </w:rPr>
        <w:t>, relativos a impostos, taxas ou contribuições</w:t>
      </w:r>
      <w:r w:rsidRPr="001D50AB">
        <w:rPr>
          <w:rFonts w:ascii="Arial" w:hAnsi="Arial" w:cs="Arial"/>
          <w:sz w:val="22"/>
          <w:szCs w:val="22"/>
        </w:rPr>
        <w:t>, só poderá ser concedido mediante lei específica, federal, estadual ou municipal, que regule exclusivamente as matérias acima enumeradas ou o correspondente tributo ou contribuição, sem prejuízo do disposto no art. 155, § 2.º, XII, g. (Redação dada pela Emenda Constitucional nº 3, de 1993)</w:t>
      </w:r>
    </w:p>
    <w:p w14:paraId="2A43D94B" w14:textId="24B08164" w:rsidR="001900B5" w:rsidRDefault="001900B5" w:rsidP="003C42E2">
      <w:pPr>
        <w:ind w:left="2268"/>
        <w:jc w:val="both"/>
        <w:rPr>
          <w:rFonts w:ascii="Arial" w:hAnsi="Arial" w:cs="Arial"/>
          <w:sz w:val="22"/>
          <w:szCs w:val="22"/>
        </w:rPr>
      </w:pPr>
      <w:r w:rsidRPr="003212E8">
        <w:rPr>
          <w:rFonts w:ascii="Arial" w:hAnsi="Arial" w:cs="Arial"/>
          <w:sz w:val="22"/>
          <w:szCs w:val="22"/>
        </w:rPr>
        <w:t>[...].</w:t>
      </w:r>
    </w:p>
    <w:p w14:paraId="2260A0F6" w14:textId="71681564" w:rsidR="00971C0E" w:rsidRDefault="00971C0E" w:rsidP="003C42E2">
      <w:pPr>
        <w:ind w:left="2268"/>
        <w:jc w:val="both"/>
        <w:rPr>
          <w:rFonts w:ascii="Arial" w:hAnsi="Arial" w:cs="Arial"/>
          <w:sz w:val="22"/>
          <w:szCs w:val="22"/>
        </w:rPr>
      </w:pPr>
    </w:p>
    <w:p w14:paraId="7B165FAA" w14:textId="7473425C" w:rsidR="00971C0E" w:rsidRDefault="00971C0E" w:rsidP="003C42E2">
      <w:pPr>
        <w:ind w:left="2268"/>
        <w:jc w:val="both"/>
        <w:rPr>
          <w:rFonts w:ascii="Arial" w:hAnsi="Arial" w:cs="Arial"/>
          <w:b/>
          <w:sz w:val="22"/>
          <w:szCs w:val="22"/>
          <w:u w:val="single"/>
        </w:rPr>
      </w:pPr>
      <w:r w:rsidRPr="00971C0E">
        <w:rPr>
          <w:rFonts w:ascii="Arial" w:hAnsi="Arial" w:cs="Arial"/>
          <w:b/>
          <w:sz w:val="22"/>
          <w:szCs w:val="22"/>
          <w:u w:val="single"/>
        </w:rPr>
        <w:t>CE/GO</w:t>
      </w:r>
    </w:p>
    <w:p w14:paraId="3BCB2E52" w14:textId="006D1C34" w:rsidR="00410D03" w:rsidRDefault="00410D03" w:rsidP="003C42E2">
      <w:pPr>
        <w:ind w:left="2268"/>
        <w:jc w:val="both"/>
        <w:rPr>
          <w:rFonts w:ascii="Arial" w:hAnsi="Arial" w:cs="Arial"/>
          <w:sz w:val="22"/>
          <w:szCs w:val="22"/>
        </w:rPr>
      </w:pPr>
      <w:r w:rsidRPr="00C715C5">
        <w:rPr>
          <w:rFonts w:ascii="Arial" w:hAnsi="Arial" w:cs="Arial"/>
          <w:b/>
          <w:sz w:val="22"/>
          <w:szCs w:val="22"/>
        </w:rPr>
        <w:t>Art. 102</w:t>
      </w:r>
      <w:r>
        <w:rPr>
          <w:rFonts w:ascii="Arial" w:hAnsi="Arial" w:cs="Arial"/>
          <w:sz w:val="22"/>
          <w:szCs w:val="22"/>
        </w:rPr>
        <w:t>. [...].</w:t>
      </w:r>
    </w:p>
    <w:p w14:paraId="74DFB993" w14:textId="63281325" w:rsidR="00410D03" w:rsidRDefault="00410D03" w:rsidP="003C42E2">
      <w:pPr>
        <w:ind w:left="2268"/>
        <w:jc w:val="both"/>
        <w:rPr>
          <w:rFonts w:ascii="Arial" w:hAnsi="Arial" w:cs="Arial"/>
          <w:sz w:val="22"/>
          <w:szCs w:val="22"/>
        </w:rPr>
      </w:pPr>
      <w:r>
        <w:rPr>
          <w:rFonts w:ascii="Arial" w:hAnsi="Arial" w:cs="Arial"/>
          <w:sz w:val="22"/>
          <w:szCs w:val="22"/>
        </w:rPr>
        <w:t>[...].</w:t>
      </w:r>
    </w:p>
    <w:p w14:paraId="6DAC70BE" w14:textId="4A586298" w:rsidR="00452FCA" w:rsidRDefault="00452FCA" w:rsidP="003C42E2">
      <w:pPr>
        <w:ind w:left="2268"/>
        <w:jc w:val="both"/>
        <w:rPr>
          <w:rFonts w:ascii="Arial" w:hAnsi="Arial" w:cs="Arial"/>
          <w:sz w:val="22"/>
          <w:szCs w:val="22"/>
        </w:rPr>
      </w:pPr>
      <w:r w:rsidRPr="00452FCA">
        <w:rPr>
          <w:rFonts w:ascii="Arial" w:hAnsi="Arial" w:cs="Arial"/>
          <w:sz w:val="22"/>
          <w:szCs w:val="22"/>
        </w:rPr>
        <w:t xml:space="preserve">§ 5º Qualquer </w:t>
      </w:r>
      <w:r w:rsidRPr="00C80D5E">
        <w:rPr>
          <w:rFonts w:ascii="Arial" w:hAnsi="Arial" w:cs="Arial"/>
          <w:b/>
          <w:sz w:val="22"/>
          <w:szCs w:val="22"/>
        </w:rPr>
        <w:t>subsídio ou isenção, redução de base de cálculo, concessão de crédito presumido, anistia ou remissão</w:t>
      </w:r>
      <w:r w:rsidRPr="00452FCA">
        <w:rPr>
          <w:rFonts w:ascii="Arial" w:hAnsi="Arial" w:cs="Arial"/>
          <w:sz w:val="22"/>
          <w:szCs w:val="22"/>
        </w:rPr>
        <w:t>, relativas a impostos, taxas ou contribuições, só poderá ser concedido mediante lei específica, estadual ou municipal, que regule exclusivamente as matérias acima enumeradas ou o correspondente tributo ou contribuição, sem prejuízo do disposto no artigo 104, § 2º, inciso X, alínea “g”.</w:t>
      </w:r>
    </w:p>
    <w:p w14:paraId="04C5BE62" w14:textId="37E09E7B" w:rsidR="00452FCA" w:rsidRDefault="00452FCA" w:rsidP="003C42E2">
      <w:pPr>
        <w:ind w:left="2268"/>
        <w:jc w:val="both"/>
        <w:rPr>
          <w:rFonts w:ascii="Arial" w:hAnsi="Arial" w:cs="Arial"/>
          <w:sz w:val="22"/>
          <w:szCs w:val="22"/>
        </w:rPr>
      </w:pPr>
      <w:r w:rsidRPr="00452FCA">
        <w:rPr>
          <w:rFonts w:ascii="Arial" w:hAnsi="Arial" w:cs="Arial"/>
          <w:sz w:val="22"/>
          <w:szCs w:val="22"/>
        </w:rPr>
        <w:t>- Redação dada pela Emenda Constitucional nº 46, de 09-09-2010, D.A. de 09-09-2010.</w:t>
      </w:r>
    </w:p>
    <w:p w14:paraId="4A2A4FD6" w14:textId="120D134C" w:rsidR="00DA7EE5" w:rsidRDefault="00DA7EE5" w:rsidP="003C42E2">
      <w:pPr>
        <w:ind w:left="2268"/>
        <w:jc w:val="both"/>
        <w:rPr>
          <w:rFonts w:ascii="Arial" w:hAnsi="Arial" w:cs="Arial"/>
          <w:sz w:val="22"/>
          <w:szCs w:val="22"/>
        </w:rPr>
      </w:pPr>
      <w:r>
        <w:rPr>
          <w:rFonts w:ascii="Arial" w:hAnsi="Arial" w:cs="Arial"/>
          <w:sz w:val="22"/>
          <w:szCs w:val="22"/>
        </w:rPr>
        <w:t>[...].</w:t>
      </w:r>
    </w:p>
    <w:p w14:paraId="4718775E" w14:textId="77777777" w:rsidR="00220416" w:rsidRDefault="00220416" w:rsidP="00F25704">
      <w:pPr>
        <w:spacing w:line="360" w:lineRule="auto"/>
        <w:ind w:firstLine="851"/>
        <w:jc w:val="both"/>
        <w:rPr>
          <w:rFonts w:ascii="Arial" w:hAnsi="Arial" w:cs="Arial"/>
          <w:sz w:val="24"/>
          <w:szCs w:val="24"/>
        </w:rPr>
      </w:pPr>
    </w:p>
    <w:p w14:paraId="03EFF9C5" w14:textId="0A29CD5F" w:rsidR="00F25704" w:rsidRDefault="00384EB1" w:rsidP="00F25704">
      <w:pPr>
        <w:spacing w:line="360" w:lineRule="auto"/>
        <w:ind w:firstLine="851"/>
        <w:jc w:val="both"/>
        <w:rPr>
          <w:rFonts w:ascii="Arial" w:hAnsi="Arial" w:cs="Arial"/>
          <w:sz w:val="24"/>
          <w:szCs w:val="24"/>
        </w:rPr>
      </w:pPr>
      <w:r>
        <w:rPr>
          <w:rFonts w:ascii="Arial" w:hAnsi="Arial" w:cs="Arial"/>
          <w:sz w:val="24"/>
          <w:szCs w:val="24"/>
        </w:rPr>
        <w:t xml:space="preserve">Ambos os dispositivos constitucionais acima transcritos podem ser desdobrados nos </w:t>
      </w:r>
      <w:r w:rsidRPr="005D3CC7">
        <w:rPr>
          <w:rFonts w:ascii="Arial" w:hAnsi="Arial" w:cs="Arial"/>
          <w:b/>
          <w:sz w:val="24"/>
          <w:szCs w:val="24"/>
        </w:rPr>
        <w:t>seguintes elementos normativos essenciais</w:t>
      </w:r>
      <w:r w:rsidR="00FD1561">
        <w:rPr>
          <w:rFonts w:ascii="Arial" w:hAnsi="Arial" w:cs="Arial"/>
          <w:b/>
          <w:sz w:val="24"/>
          <w:szCs w:val="24"/>
        </w:rPr>
        <w:t xml:space="preserve"> sobre incentivos fiscais</w:t>
      </w:r>
      <w:r w:rsidR="00EF4DB8">
        <w:rPr>
          <w:rFonts w:ascii="Arial" w:hAnsi="Arial" w:cs="Arial"/>
          <w:sz w:val="24"/>
          <w:szCs w:val="24"/>
        </w:rPr>
        <w:t>:</w:t>
      </w:r>
    </w:p>
    <w:p w14:paraId="00B86013" w14:textId="77777777" w:rsidR="00EF4DB8" w:rsidRDefault="00EF4DB8" w:rsidP="00F25704">
      <w:pPr>
        <w:spacing w:line="360" w:lineRule="auto"/>
        <w:ind w:firstLine="851"/>
        <w:jc w:val="both"/>
        <w:rPr>
          <w:rFonts w:ascii="Arial" w:hAnsi="Arial" w:cs="Arial"/>
          <w:sz w:val="24"/>
          <w:szCs w:val="24"/>
        </w:rPr>
      </w:pPr>
    </w:p>
    <w:p w14:paraId="6E672AE8" w14:textId="0D3AEC4A" w:rsidR="00750CAF" w:rsidRPr="00750CAF" w:rsidRDefault="00750CAF" w:rsidP="00282B87">
      <w:pPr>
        <w:pStyle w:val="PargrafodaLista"/>
        <w:numPr>
          <w:ilvl w:val="0"/>
          <w:numId w:val="4"/>
        </w:numPr>
        <w:spacing w:line="360" w:lineRule="auto"/>
        <w:jc w:val="both"/>
        <w:rPr>
          <w:rFonts w:ascii="Arial" w:hAnsi="Arial" w:cs="Arial"/>
          <w:sz w:val="24"/>
          <w:szCs w:val="24"/>
          <w:u w:val="single"/>
        </w:rPr>
      </w:pPr>
      <w:r w:rsidRPr="00750CAF">
        <w:rPr>
          <w:rFonts w:ascii="Arial" w:hAnsi="Arial" w:cs="Arial"/>
          <w:sz w:val="24"/>
          <w:szCs w:val="24"/>
          <w:u w:val="single"/>
        </w:rPr>
        <w:lastRenderedPageBreak/>
        <w:t>tipo</w:t>
      </w:r>
      <w:r w:rsidR="00FD1561">
        <w:rPr>
          <w:rFonts w:ascii="Arial" w:hAnsi="Arial" w:cs="Arial"/>
          <w:sz w:val="24"/>
          <w:szCs w:val="24"/>
          <w:u w:val="single"/>
        </w:rPr>
        <w:t>s</w:t>
      </w:r>
      <w:r w:rsidRPr="00750CAF">
        <w:rPr>
          <w:rFonts w:ascii="Arial" w:hAnsi="Arial" w:cs="Arial"/>
          <w:sz w:val="24"/>
          <w:szCs w:val="24"/>
          <w:u w:val="single"/>
        </w:rPr>
        <w:t xml:space="preserve"> de incentivo</w:t>
      </w:r>
      <w:r w:rsidR="00FD1561">
        <w:rPr>
          <w:rFonts w:ascii="Arial" w:hAnsi="Arial" w:cs="Arial"/>
          <w:sz w:val="24"/>
          <w:szCs w:val="24"/>
          <w:u w:val="single"/>
        </w:rPr>
        <w:t>s fiscais</w:t>
      </w:r>
      <w:r>
        <w:rPr>
          <w:rFonts w:ascii="Arial" w:hAnsi="Arial" w:cs="Arial"/>
          <w:sz w:val="24"/>
          <w:szCs w:val="24"/>
        </w:rPr>
        <w:t xml:space="preserve">, a saber, </w:t>
      </w:r>
      <w:r w:rsidRPr="00750CAF">
        <w:rPr>
          <w:rFonts w:ascii="Arial" w:hAnsi="Arial" w:cs="Arial"/>
          <w:sz w:val="24"/>
          <w:szCs w:val="24"/>
        </w:rPr>
        <w:t>subsídio ou isenção, redução de base de cálculo, concessão de crédito presumido, anistia ou remissão</w:t>
      </w:r>
      <w:r>
        <w:rPr>
          <w:rFonts w:ascii="Arial" w:hAnsi="Arial" w:cs="Arial"/>
          <w:sz w:val="24"/>
          <w:szCs w:val="24"/>
        </w:rPr>
        <w:t>;</w:t>
      </w:r>
    </w:p>
    <w:p w14:paraId="03737A72" w14:textId="5FBEC9C8" w:rsidR="00750CAF" w:rsidRPr="005D3CC7" w:rsidRDefault="00750CAF" w:rsidP="00282B87">
      <w:pPr>
        <w:pStyle w:val="PargrafodaLista"/>
        <w:numPr>
          <w:ilvl w:val="0"/>
          <w:numId w:val="4"/>
        </w:numPr>
        <w:spacing w:line="360" w:lineRule="auto"/>
        <w:jc w:val="both"/>
        <w:rPr>
          <w:rFonts w:ascii="Arial" w:hAnsi="Arial" w:cs="Arial"/>
          <w:sz w:val="24"/>
          <w:szCs w:val="24"/>
          <w:u w:val="single"/>
        </w:rPr>
      </w:pPr>
      <w:r>
        <w:rPr>
          <w:rFonts w:ascii="Arial" w:hAnsi="Arial" w:cs="Arial"/>
          <w:sz w:val="24"/>
          <w:szCs w:val="24"/>
          <w:u w:val="single"/>
        </w:rPr>
        <w:t>espécie</w:t>
      </w:r>
      <w:r w:rsidR="00FD1561">
        <w:rPr>
          <w:rFonts w:ascii="Arial" w:hAnsi="Arial" w:cs="Arial"/>
          <w:sz w:val="24"/>
          <w:szCs w:val="24"/>
          <w:u w:val="single"/>
        </w:rPr>
        <w:t>s</w:t>
      </w:r>
      <w:r>
        <w:rPr>
          <w:rFonts w:ascii="Arial" w:hAnsi="Arial" w:cs="Arial"/>
          <w:sz w:val="24"/>
          <w:szCs w:val="24"/>
          <w:u w:val="single"/>
        </w:rPr>
        <w:t xml:space="preserve"> tributária</w:t>
      </w:r>
      <w:r w:rsidR="00FD1561">
        <w:rPr>
          <w:rFonts w:ascii="Arial" w:hAnsi="Arial" w:cs="Arial"/>
          <w:sz w:val="24"/>
          <w:szCs w:val="24"/>
          <w:u w:val="single"/>
        </w:rPr>
        <w:t>s</w:t>
      </w:r>
      <w:r>
        <w:rPr>
          <w:rFonts w:ascii="Arial" w:hAnsi="Arial" w:cs="Arial"/>
          <w:sz w:val="24"/>
          <w:szCs w:val="24"/>
        </w:rPr>
        <w:t xml:space="preserve">, </w:t>
      </w:r>
      <w:r w:rsidR="00D97155">
        <w:rPr>
          <w:rFonts w:ascii="Arial" w:hAnsi="Arial" w:cs="Arial"/>
          <w:sz w:val="24"/>
          <w:szCs w:val="24"/>
        </w:rPr>
        <w:t>ou seja</w:t>
      </w:r>
      <w:r>
        <w:rPr>
          <w:rFonts w:ascii="Arial" w:hAnsi="Arial" w:cs="Arial"/>
          <w:sz w:val="24"/>
          <w:szCs w:val="24"/>
        </w:rPr>
        <w:t>, impostos, taxas e contribuições</w:t>
      </w:r>
      <w:r w:rsidR="005D3CC7">
        <w:rPr>
          <w:rFonts w:ascii="Arial" w:hAnsi="Arial" w:cs="Arial"/>
          <w:sz w:val="24"/>
          <w:szCs w:val="24"/>
        </w:rPr>
        <w:t>;</w:t>
      </w:r>
    </w:p>
    <w:p w14:paraId="04D55283" w14:textId="6DB9355A" w:rsidR="005D3CC7" w:rsidRPr="00BA3830" w:rsidRDefault="00D97155" w:rsidP="00282B87">
      <w:pPr>
        <w:pStyle w:val="PargrafodaLista"/>
        <w:numPr>
          <w:ilvl w:val="0"/>
          <w:numId w:val="4"/>
        </w:numPr>
        <w:spacing w:line="360" w:lineRule="auto"/>
        <w:jc w:val="both"/>
        <w:rPr>
          <w:rFonts w:ascii="Arial" w:hAnsi="Arial" w:cs="Arial"/>
          <w:sz w:val="24"/>
          <w:szCs w:val="24"/>
          <w:u w:val="single"/>
        </w:rPr>
      </w:pPr>
      <w:r>
        <w:rPr>
          <w:rFonts w:ascii="Arial" w:hAnsi="Arial" w:cs="Arial"/>
          <w:sz w:val="24"/>
          <w:szCs w:val="24"/>
          <w:u w:val="single"/>
        </w:rPr>
        <w:t>exig</w:t>
      </w:r>
      <w:r w:rsidR="00FD1561">
        <w:rPr>
          <w:rFonts w:ascii="Arial" w:hAnsi="Arial" w:cs="Arial"/>
          <w:sz w:val="24"/>
          <w:szCs w:val="24"/>
          <w:u w:val="single"/>
        </w:rPr>
        <w:t>ência</w:t>
      </w:r>
      <w:r w:rsidR="00BA3830">
        <w:rPr>
          <w:rFonts w:ascii="Arial" w:hAnsi="Arial" w:cs="Arial"/>
          <w:sz w:val="24"/>
          <w:szCs w:val="24"/>
          <w:u w:val="single"/>
        </w:rPr>
        <w:t xml:space="preserve"> fundamental </w:t>
      </w:r>
      <w:r w:rsidR="00FD1561" w:rsidRPr="00FD1561">
        <w:rPr>
          <w:rFonts w:ascii="Arial" w:hAnsi="Arial" w:cs="Arial"/>
          <w:sz w:val="24"/>
          <w:szCs w:val="24"/>
          <w:u w:val="single"/>
        </w:rPr>
        <w:t>para</w:t>
      </w:r>
      <w:r w:rsidR="00BA3830">
        <w:rPr>
          <w:rFonts w:ascii="Arial" w:hAnsi="Arial" w:cs="Arial"/>
          <w:sz w:val="24"/>
          <w:szCs w:val="24"/>
          <w:u w:val="single"/>
        </w:rPr>
        <w:t xml:space="preserve"> sua</w:t>
      </w:r>
      <w:r w:rsidRPr="00FD1561">
        <w:rPr>
          <w:rFonts w:ascii="Arial" w:hAnsi="Arial" w:cs="Arial"/>
          <w:sz w:val="24"/>
          <w:szCs w:val="24"/>
          <w:u w:val="single"/>
        </w:rPr>
        <w:t xml:space="preserve"> </w:t>
      </w:r>
      <w:r w:rsidR="00FD1561" w:rsidRPr="00FD1561">
        <w:rPr>
          <w:rFonts w:ascii="Arial" w:hAnsi="Arial" w:cs="Arial"/>
          <w:sz w:val="24"/>
          <w:szCs w:val="24"/>
          <w:u w:val="single"/>
        </w:rPr>
        <w:t>concessão</w:t>
      </w:r>
      <w:r w:rsidR="00FD1561">
        <w:rPr>
          <w:rFonts w:ascii="Arial" w:hAnsi="Arial" w:cs="Arial"/>
          <w:sz w:val="24"/>
          <w:szCs w:val="24"/>
        </w:rPr>
        <w:t xml:space="preserve">, a saber, </w:t>
      </w:r>
      <w:r w:rsidR="00BA3830">
        <w:rPr>
          <w:rFonts w:ascii="Arial" w:hAnsi="Arial" w:cs="Arial"/>
          <w:sz w:val="24"/>
          <w:szCs w:val="24"/>
        </w:rPr>
        <w:t>lei específica do ente tributante (federal, distrital,</w:t>
      </w:r>
      <w:r w:rsidR="00FD1561" w:rsidRPr="00FD1561">
        <w:rPr>
          <w:rFonts w:ascii="Arial" w:hAnsi="Arial" w:cs="Arial"/>
          <w:sz w:val="24"/>
          <w:szCs w:val="24"/>
        </w:rPr>
        <w:t xml:space="preserve"> estadual ou municipal</w:t>
      </w:r>
      <w:r w:rsidR="00BA3830">
        <w:rPr>
          <w:rFonts w:ascii="Arial" w:hAnsi="Arial" w:cs="Arial"/>
          <w:sz w:val="24"/>
          <w:szCs w:val="24"/>
        </w:rPr>
        <w:t>), que regule exclusivamente a</w:t>
      </w:r>
      <w:r w:rsidR="00FD1561" w:rsidRPr="00FD1561">
        <w:rPr>
          <w:rFonts w:ascii="Arial" w:hAnsi="Arial" w:cs="Arial"/>
          <w:sz w:val="24"/>
          <w:szCs w:val="24"/>
        </w:rPr>
        <w:t xml:space="preserve"> matéria</w:t>
      </w:r>
      <w:r w:rsidR="00BA3830">
        <w:rPr>
          <w:rFonts w:ascii="Arial" w:hAnsi="Arial" w:cs="Arial"/>
          <w:sz w:val="24"/>
          <w:szCs w:val="24"/>
        </w:rPr>
        <w:t xml:space="preserve"> concernente a incentivos </w:t>
      </w:r>
      <w:r w:rsidR="00BA3830" w:rsidRPr="002F32A1">
        <w:rPr>
          <w:rFonts w:ascii="Arial" w:hAnsi="Arial" w:cs="Arial"/>
          <w:sz w:val="24"/>
          <w:szCs w:val="24"/>
        </w:rPr>
        <w:t>fiscais</w:t>
      </w:r>
      <w:r w:rsidR="00444619" w:rsidRPr="002F32A1">
        <w:rPr>
          <w:rFonts w:ascii="Arial" w:hAnsi="Arial" w:cs="Arial"/>
          <w:sz w:val="24"/>
          <w:szCs w:val="24"/>
        </w:rPr>
        <w:t xml:space="preserve"> ou ao tributo em questão</w:t>
      </w:r>
      <w:r w:rsidR="00BA3830" w:rsidRPr="002F32A1">
        <w:rPr>
          <w:rFonts w:ascii="Arial" w:hAnsi="Arial" w:cs="Arial"/>
          <w:sz w:val="24"/>
          <w:szCs w:val="24"/>
        </w:rPr>
        <w:t xml:space="preserve"> e, em se tratando de ICMS, a exigência adicion</w:t>
      </w:r>
      <w:r w:rsidR="00444619" w:rsidRPr="002F32A1">
        <w:rPr>
          <w:rFonts w:ascii="Arial" w:hAnsi="Arial" w:cs="Arial"/>
          <w:sz w:val="24"/>
          <w:szCs w:val="24"/>
        </w:rPr>
        <w:t>al de prévio convênio autorizativo</w:t>
      </w:r>
      <w:r w:rsidR="00BA3830" w:rsidRPr="002F32A1">
        <w:rPr>
          <w:rFonts w:ascii="Arial" w:hAnsi="Arial" w:cs="Arial"/>
          <w:sz w:val="24"/>
          <w:szCs w:val="24"/>
        </w:rPr>
        <w:t xml:space="preserve"> aprovado</w:t>
      </w:r>
      <w:r w:rsidR="00BA3830">
        <w:rPr>
          <w:rFonts w:ascii="Arial" w:hAnsi="Arial" w:cs="Arial"/>
          <w:sz w:val="24"/>
          <w:szCs w:val="24"/>
        </w:rPr>
        <w:t xml:space="preserve"> pelas unidades federadas no âmbito do CONFAZ (LC nº 24/1975);</w:t>
      </w:r>
    </w:p>
    <w:p w14:paraId="06F08694" w14:textId="77777777" w:rsidR="00EF4DB8" w:rsidRDefault="00EF4DB8" w:rsidP="00AC46E6">
      <w:pPr>
        <w:spacing w:line="360" w:lineRule="auto"/>
        <w:ind w:firstLine="851"/>
        <w:jc w:val="both"/>
        <w:rPr>
          <w:rFonts w:ascii="Arial" w:hAnsi="Arial" w:cs="Arial"/>
          <w:sz w:val="24"/>
          <w:szCs w:val="24"/>
        </w:rPr>
      </w:pPr>
    </w:p>
    <w:p w14:paraId="49C70550" w14:textId="0FC5548D" w:rsidR="00B357A1" w:rsidRDefault="00A024D6" w:rsidP="00AC46E6">
      <w:pPr>
        <w:spacing w:line="360" w:lineRule="auto"/>
        <w:ind w:firstLine="851"/>
        <w:jc w:val="both"/>
        <w:rPr>
          <w:rFonts w:ascii="Arial" w:hAnsi="Arial" w:cs="Arial"/>
          <w:sz w:val="24"/>
          <w:szCs w:val="24"/>
        </w:rPr>
      </w:pPr>
      <w:r>
        <w:rPr>
          <w:rFonts w:ascii="Arial" w:hAnsi="Arial" w:cs="Arial"/>
          <w:sz w:val="24"/>
          <w:szCs w:val="24"/>
        </w:rPr>
        <w:t xml:space="preserve">Nesse contexto, pode-se dizer que </w:t>
      </w:r>
      <w:r w:rsidRPr="00CD0902">
        <w:rPr>
          <w:rFonts w:ascii="Arial" w:hAnsi="Arial" w:cs="Arial"/>
          <w:b/>
          <w:sz w:val="24"/>
          <w:szCs w:val="24"/>
        </w:rPr>
        <w:t>a exigência prevista no § 6º do art. 150 da CRFB possui finalidade</w:t>
      </w:r>
      <w:r w:rsidR="00E03D1D">
        <w:rPr>
          <w:rFonts w:ascii="Arial" w:hAnsi="Arial" w:cs="Arial"/>
          <w:b/>
          <w:sz w:val="24"/>
          <w:szCs w:val="24"/>
        </w:rPr>
        <w:t xml:space="preserve"> tríplice</w:t>
      </w:r>
      <w:r w:rsidR="00EF4DB8">
        <w:rPr>
          <w:rFonts w:ascii="Arial" w:hAnsi="Arial" w:cs="Arial"/>
          <w:sz w:val="24"/>
          <w:szCs w:val="24"/>
        </w:rPr>
        <w:t>:</w:t>
      </w:r>
    </w:p>
    <w:p w14:paraId="20496417" w14:textId="77777777" w:rsidR="00EF4DB8" w:rsidRDefault="00EF4DB8" w:rsidP="00AC46E6">
      <w:pPr>
        <w:spacing w:line="360" w:lineRule="auto"/>
        <w:ind w:firstLine="851"/>
        <w:jc w:val="both"/>
        <w:rPr>
          <w:rFonts w:ascii="Arial" w:hAnsi="Arial" w:cs="Arial"/>
          <w:sz w:val="24"/>
          <w:szCs w:val="24"/>
        </w:rPr>
      </w:pPr>
    </w:p>
    <w:p w14:paraId="0EDD0CC7" w14:textId="77777777" w:rsidR="00B357A1" w:rsidRDefault="00A024D6" w:rsidP="00AC46E6">
      <w:pPr>
        <w:spacing w:line="360" w:lineRule="auto"/>
        <w:ind w:firstLine="851"/>
        <w:jc w:val="both"/>
        <w:rPr>
          <w:rFonts w:ascii="Arial" w:hAnsi="Arial" w:cs="Arial"/>
          <w:sz w:val="24"/>
          <w:szCs w:val="24"/>
          <w:u w:val="single"/>
        </w:rPr>
      </w:pPr>
      <w:r w:rsidRPr="00F415F5">
        <w:rPr>
          <w:rFonts w:ascii="Arial" w:hAnsi="Arial" w:cs="Arial"/>
          <w:sz w:val="24"/>
          <w:szCs w:val="24"/>
          <w:u w:val="single"/>
        </w:rPr>
        <w:t xml:space="preserve">a) </w:t>
      </w:r>
      <w:r w:rsidR="00CD0902" w:rsidRPr="00F415F5">
        <w:rPr>
          <w:rFonts w:ascii="Arial" w:hAnsi="Arial" w:cs="Arial"/>
          <w:sz w:val="24"/>
          <w:szCs w:val="24"/>
          <w:u w:val="single"/>
        </w:rPr>
        <w:t>proibir o Chefe do Poder Executivo de cada ente tributante a conceder unilateralmente incentivos fiscais</w:t>
      </w:r>
      <w:r w:rsidR="00CD0902">
        <w:rPr>
          <w:rFonts w:ascii="Arial" w:hAnsi="Arial" w:cs="Arial"/>
          <w:sz w:val="24"/>
          <w:szCs w:val="24"/>
        </w:rPr>
        <w:t>, sem submetê-los previamente ao exame do parlamento, por meio dos representantes do povo eleitos por sufrágio</w:t>
      </w:r>
      <w:r w:rsidR="00CD0902" w:rsidRPr="00B357A1">
        <w:rPr>
          <w:rFonts w:ascii="Arial" w:hAnsi="Arial" w:cs="Arial"/>
          <w:sz w:val="24"/>
          <w:szCs w:val="24"/>
        </w:rPr>
        <w:t xml:space="preserve">; </w:t>
      </w:r>
    </w:p>
    <w:p w14:paraId="5E46AE9A" w14:textId="5CB9A2E2" w:rsidR="00A024D6" w:rsidRDefault="004E6772" w:rsidP="00AC46E6">
      <w:pPr>
        <w:spacing w:line="360" w:lineRule="auto"/>
        <w:ind w:firstLine="851"/>
        <w:jc w:val="both"/>
        <w:rPr>
          <w:rFonts w:ascii="Arial" w:hAnsi="Arial" w:cs="Arial"/>
          <w:sz w:val="24"/>
          <w:szCs w:val="24"/>
        </w:rPr>
      </w:pPr>
      <w:r>
        <w:rPr>
          <w:rFonts w:ascii="Arial" w:hAnsi="Arial" w:cs="Arial"/>
          <w:sz w:val="24"/>
          <w:szCs w:val="24"/>
          <w:u w:val="single"/>
        </w:rPr>
        <w:t>b</w:t>
      </w:r>
      <w:r w:rsidR="00B357A1" w:rsidRPr="00B357A1">
        <w:rPr>
          <w:rFonts w:ascii="Arial" w:hAnsi="Arial" w:cs="Arial"/>
          <w:sz w:val="24"/>
          <w:szCs w:val="24"/>
          <w:u w:val="single"/>
        </w:rPr>
        <w:t>) impedir também a chamada “delegação legislativa”</w:t>
      </w:r>
      <w:r w:rsidR="00B357A1">
        <w:rPr>
          <w:rFonts w:ascii="Arial" w:hAnsi="Arial" w:cs="Arial"/>
          <w:sz w:val="24"/>
          <w:szCs w:val="24"/>
        </w:rPr>
        <w:t xml:space="preserve">, hipótese velada de legalidade em que lei </w:t>
      </w:r>
      <w:r w:rsidR="005D453B">
        <w:rPr>
          <w:rFonts w:ascii="Arial" w:hAnsi="Arial" w:cs="Arial"/>
          <w:sz w:val="24"/>
          <w:szCs w:val="24"/>
        </w:rPr>
        <w:t xml:space="preserve">meramente </w:t>
      </w:r>
      <w:r w:rsidR="00B357A1">
        <w:rPr>
          <w:rFonts w:ascii="Arial" w:hAnsi="Arial" w:cs="Arial"/>
          <w:sz w:val="24"/>
          <w:szCs w:val="24"/>
        </w:rPr>
        <w:t>genérica (e não específica, como exige o texto constitucional)</w:t>
      </w:r>
      <w:r w:rsidR="005D453B">
        <w:rPr>
          <w:rFonts w:ascii="Arial" w:hAnsi="Arial" w:cs="Arial"/>
          <w:sz w:val="24"/>
          <w:szCs w:val="24"/>
        </w:rPr>
        <w:t xml:space="preserve"> delega ao Poder Executivo a possibilidade de conceder incentivos fiscais</w:t>
      </w:r>
      <w:r w:rsidR="005B7396">
        <w:rPr>
          <w:rFonts w:ascii="Arial" w:hAnsi="Arial" w:cs="Arial"/>
          <w:sz w:val="24"/>
          <w:szCs w:val="24"/>
        </w:rPr>
        <w:t xml:space="preserve"> por ato infralegal</w:t>
      </w:r>
      <w:r>
        <w:rPr>
          <w:rFonts w:ascii="Arial" w:hAnsi="Arial" w:cs="Arial"/>
          <w:sz w:val="24"/>
          <w:szCs w:val="24"/>
        </w:rPr>
        <w:t>; e</w:t>
      </w:r>
    </w:p>
    <w:p w14:paraId="2EB99F67" w14:textId="46129015" w:rsidR="004E6772" w:rsidRDefault="004E6772" w:rsidP="004E6772">
      <w:pPr>
        <w:spacing w:line="360" w:lineRule="auto"/>
        <w:ind w:firstLine="851"/>
        <w:jc w:val="both"/>
        <w:rPr>
          <w:rFonts w:ascii="Arial" w:hAnsi="Arial" w:cs="Arial"/>
          <w:sz w:val="24"/>
          <w:szCs w:val="24"/>
        </w:rPr>
      </w:pPr>
      <w:r>
        <w:rPr>
          <w:rFonts w:ascii="Arial" w:hAnsi="Arial" w:cs="Arial"/>
          <w:sz w:val="24"/>
          <w:szCs w:val="24"/>
          <w:u w:val="single"/>
        </w:rPr>
        <w:t>c</w:t>
      </w:r>
      <w:r w:rsidRPr="00EB6882">
        <w:rPr>
          <w:rFonts w:ascii="Arial" w:hAnsi="Arial" w:cs="Arial"/>
          <w:sz w:val="24"/>
          <w:szCs w:val="24"/>
          <w:u w:val="single"/>
        </w:rPr>
        <w:t>) impedir as chamadas “caudas legais”</w:t>
      </w:r>
      <w:r>
        <w:rPr>
          <w:rFonts w:ascii="Arial" w:hAnsi="Arial" w:cs="Arial"/>
          <w:sz w:val="24"/>
          <w:szCs w:val="24"/>
        </w:rPr>
        <w:t>, isto é, a inserção de dispositivos que tratem de incentivos fiscais em leis que em nada se relacionem com a matéria tratada originalmente no projeto de lei original, à semelhança da vedação existente para as leis orçamentárias (CRFB, art. 165, § 8º; CE/GO, art. 110, § 8º).</w:t>
      </w:r>
    </w:p>
    <w:p w14:paraId="04B5899E" w14:textId="77777777" w:rsidR="00EF4DB8" w:rsidRPr="00EF4DB8" w:rsidRDefault="00EF4DB8" w:rsidP="00AC46E6">
      <w:pPr>
        <w:spacing w:line="360" w:lineRule="auto"/>
        <w:ind w:firstLine="851"/>
        <w:jc w:val="both"/>
        <w:rPr>
          <w:rFonts w:ascii="Arial" w:hAnsi="Arial" w:cs="Arial"/>
          <w:sz w:val="24"/>
          <w:szCs w:val="24"/>
        </w:rPr>
      </w:pPr>
    </w:p>
    <w:p w14:paraId="327A1956" w14:textId="1D1D3636" w:rsidR="00CD0902" w:rsidRDefault="00CD0902" w:rsidP="00AC46E6">
      <w:pPr>
        <w:spacing w:line="360" w:lineRule="auto"/>
        <w:ind w:firstLine="851"/>
        <w:jc w:val="both"/>
        <w:rPr>
          <w:rFonts w:ascii="Arial" w:hAnsi="Arial" w:cs="Arial"/>
          <w:sz w:val="24"/>
          <w:szCs w:val="24"/>
        </w:rPr>
      </w:pPr>
      <w:r w:rsidRPr="00CF744B">
        <w:rPr>
          <w:rFonts w:ascii="Arial" w:hAnsi="Arial" w:cs="Arial"/>
          <w:b/>
          <w:sz w:val="24"/>
          <w:szCs w:val="24"/>
        </w:rPr>
        <w:t>O STF</w:t>
      </w:r>
      <w:r w:rsidR="008B6ECF" w:rsidRPr="00CF744B">
        <w:rPr>
          <w:rFonts w:ascii="Arial" w:hAnsi="Arial" w:cs="Arial"/>
          <w:b/>
          <w:sz w:val="24"/>
          <w:szCs w:val="24"/>
        </w:rPr>
        <w:t xml:space="preserve"> corrobora essa finalidade e alcance tríplice do dispositivo constitucional</w:t>
      </w:r>
      <w:r>
        <w:rPr>
          <w:rFonts w:ascii="Arial" w:hAnsi="Arial" w:cs="Arial"/>
          <w:sz w:val="24"/>
          <w:szCs w:val="24"/>
        </w:rPr>
        <w:t>, conforme se infere dos seguintes precedentes, a seguir ementados:</w:t>
      </w:r>
    </w:p>
    <w:p w14:paraId="08899E92" w14:textId="20D68DDF" w:rsidR="0022039F" w:rsidRDefault="0022039F" w:rsidP="00AC46E6">
      <w:pPr>
        <w:spacing w:line="360" w:lineRule="auto"/>
        <w:ind w:firstLine="851"/>
        <w:jc w:val="both"/>
        <w:rPr>
          <w:rFonts w:ascii="Arial" w:hAnsi="Arial" w:cs="Arial"/>
          <w:sz w:val="24"/>
          <w:szCs w:val="24"/>
        </w:rPr>
      </w:pPr>
    </w:p>
    <w:p w14:paraId="74036D21" w14:textId="77777777" w:rsidR="00866DED" w:rsidRDefault="0022039F" w:rsidP="00EF4DB8">
      <w:pPr>
        <w:ind w:left="2268"/>
        <w:jc w:val="both"/>
        <w:rPr>
          <w:rFonts w:ascii="Arial" w:hAnsi="Arial" w:cs="Arial"/>
          <w:sz w:val="22"/>
          <w:szCs w:val="22"/>
        </w:rPr>
      </w:pPr>
      <w:r w:rsidRPr="00220416">
        <w:rPr>
          <w:rFonts w:ascii="Arial" w:hAnsi="Arial" w:cs="Arial"/>
          <w:sz w:val="22"/>
          <w:szCs w:val="22"/>
        </w:rPr>
        <w:t xml:space="preserve">AÇÃO DIRETA DE INCONSTITUCIONALIDADE. ICMS. GUERRA FISCAL. DISPOSITIVOS REVOGADOS. PREJUÍZO. </w:t>
      </w:r>
      <w:r w:rsidRPr="005700AE">
        <w:rPr>
          <w:rFonts w:ascii="Arial" w:hAnsi="Arial" w:cs="Arial"/>
          <w:b/>
          <w:sz w:val="22"/>
          <w:szCs w:val="22"/>
          <w:u w:val="single"/>
        </w:rPr>
        <w:t>ARTIGO 2º DA LEI 10.689/1993, DO ESTADO DO PARANÁ, QUE AUTORIZA O PODER EXECUTIVO A ADOTAR MEDIDAS SIMILARES NA HIPÓTESE DE CONCESSÃO DE BENEFÍCIOS FISCAIS RELATIVOS AO ICMS POR OUTRO ESTADO DE FORMA IRREGULAR</w:t>
      </w:r>
      <w:r w:rsidRPr="00220416">
        <w:rPr>
          <w:rFonts w:ascii="Arial" w:hAnsi="Arial" w:cs="Arial"/>
          <w:sz w:val="22"/>
          <w:szCs w:val="22"/>
        </w:rPr>
        <w:t xml:space="preserve">. ARTIGOS 150, § 6º, E 155, § 2º, XII, g, DA CARTA POLÍTICA. INCONSTITUCIONALIDADE. </w:t>
      </w:r>
    </w:p>
    <w:p w14:paraId="73C8140F" w14:textId="77777777" w:rsidR="005700AE" w:rsidRDefault="005700AE" w:rsidP="00EF4DB8">
      <w:pPr>
        <w:ind w:left="2268"/>
        <w:jc w:val="both"/>
        <w:rPr>
          <w:rFonts w:ascii="Arial" w:hAnsi="Arial" w:cs="Arial"/>
          <w:sz w:val="22"/>
          <w:szCs w:val="22"/>
        </w:rPr>
      </w:pPr>
      <w:r>
        <w:rPr>
          <w:rFonts w:ascii="Arial" w:hAnsi="Arial" w:cs="Arial"/>
          <w:sz w:val="22"/>
          <w:szCs w:val="22"/>
        </w:rPr>
        <w:lastRenderedPageBreak/>
        <w:t>[...].</w:t>
      </w:r>
    </w:p>
    <w:p w14:paraId="31BE7512" w14:textId="77777777" w:rsidR="005700AE" w:rsidRDefault="0022039F" w:rsidP="00EF4DB8">
      <w:pPr>
        <w:ind w:left="2268"/>
        <w:jc w:val="both"/>
        <w:rPr>
          <w:rFonts w:ascii="Arial" w:hAnsi="Arial" w:cs="Arial"/>
          <w:sz w:val="22"/>
          <w:szCs w:val="22"/>
        </w:rPr>
      </w:pPr>
      <w:r w:rsidRPr="005700AE">
        <w:rPr>
          <w:rFonts w:ascii="Arial" w:hAnsi="Arial" w:cs="Arial"/>
          <w:b/>
          <w:sz w:val="22"/>
          <w:szCs w:val="22"/>
        </w:rPr>
        <w:t>2. O artigo 2º da Lei 10.689/1993 do Estado do Paraná, com vigência suspensa pela concessão da medida cautelar em 19 de setembro de 2007, padece de inconstitucionalidade porque autoriza o Executivo do aludido Estado-Membro a conceder, de forma unilateral, benefícios fiscais relativos ao ICMS, violando o princípio da legalidade específica das exonerações tribunais (art. 150, § 6º, da Constituição)</w:t>
      </w:r>
      <w:r w:rsidRPr="00220416">
        <w:rPr>
          <w:rFonts w:ascii="Arial" w:hAnsi="Arial" w:cs="Arial"/>
          <w:sz w:val="22"/>
          <w:szCs w:val="22"/>
        </w:rPr>
        <w:t xml:space="preserve"> e a exigência de deliberação prévia dos Estados e do Distrito Federal estabelecida no art. 155, § 2º, XII, g, da Constituição. </w:t>
      </w:r>
    </w:p>
    <w:p w14:paraId="1534F2C8" w14:textId="606C2E0D" w:rsidR="0022039F" w:rsidRDefault="0022039F" w:rsidP="00EF4DB8">
      <w:pPr>
        <w:ind w:left="2268"/>
        <w:jc w:val="both"/>
        <w:rPr>
          <w:rFonts w:ascii="Arial" w:hAnsi="Arial" w:cs="Arial"/>
          <w:sz w:val="22"/>
          <w:szCs w:val="22"/>
        </w:rPr>
      </w:pPr>
      <w:r w:rsidRPr="00220416">
        <w:rPr>
          <w:rFonts w:ascii="Arial" w:hAnsi="Arial" w:cs="Arial"/>
          <w:sz w:val="22"/>
          <w:szCs w:val="22"/>
        </w:rPr>
        <w:t xml:space="preserve">3. Ação julgada prejudicada quanto aos incisos XXXII e XXXIII e aos §§ 36, 37 e 38 do Decreto 5.141/2001, incluídos pelo Decreto 986/2007, e, </w:t>
      </w:r>
      <w:r w:rsidRPr="003C5335">
        <w:rPr>
          <w:rFonts w:ascii="Arial" w:hAnsi="Arial" w:cs="Arial"/>
          <w:b/>
          <w:sz w:val="22"/>
          <w:szCs w:val="22"/>
        </w:rPr>
        <w:t>no mérito, parcialmente procedente para declarar a</w:t>
      </w:r>
      <w:r w:rsidR="005700AE" w:rsidRPr="003C5335">
        <w:rPr>
          <w:rFonts w:ascii="Arial" w:hAnsi="Arial" w:cs="Arial"/>
          <w:b/>
          <w:sz w:val="22"/>
          <w:szCs w:val="22"/>
        </w:rPr>
        <w:t xml:space="preserve"> </w:t>
      </w:r>
      <w:r w:rsidRPr="003C5335">
        <w:rPr>
          <w:rFonts w:ascii="Arial" w:hAnsi="Arial" w:cs="Arial"/>
          <w:b/>
          <w:sz w:val="22"/>
          <w:szCs w:val="22"/>
        </w:rPr>
        <w:t>inconstitucionalidade do artigo 2º da Lei nº 10.689/1993, do Estado do Paraná</w:t>
      </w:r>
      <w:r>
        <w:rPr>
          <w:rFonts w:ascii="Arial" w:hAnsi="Arial" w:cs="Arial"/>
          <w:sz w:val="22"/>
          <w:szCs w:val="22"/>
        </w:rPr>
        <w:t>.</w:t>
      </w:r>
      <w:r>
        <w:rPr>
          <w:rStyle w:val="Refdenotaderodap"/>
          <w:rFonts w:ascii="Arial" w:hAnsi="Arial" w:cs="Arial"/>
          <w:sz w:val="22"/>
          <w:szCs w:val="22"/>
        </w:rPr>
        <w:footnoteReference w:id="21"/>
      </w:r>
    </w:p>
    <w:p w14:paraId="312FA421" w14:textId="55BEB04C" w:rsidR="00CD0902" w:rsidRDefault="00CD0902" w:rsidP="00EF4DB8">
      <w:pPr>
        <w:ind w:left="2268"/>
        <w:jc w:val="both"/>
        <w:rPr>
          <w:rFonts w:ascii="Arial" w:hAnsi="Arial" w:cs="Arial"/>
          <w:sz w:val="22"/>
          <w:szCs w:val="22"/>
        </w:rPr>
      </w:pPr>
    </w:p>
    <w:p w14:paraId="0F7E4654" w14:textId="11B85C1A" w:rsidR="00CD0902" w:rsidRDefault="00CD0902" w:rsidP="00EF4DB8">
      <w:pPr>
        <w:ind w:left="2268"/>
        <w:jc w:val="both"/>
        <w:rPr>
          <w:rFonts w:ascii="Arial" w:hAnsi="Arial" w:cs="Arial"/>
          <w:sz w:val="22"/>
          <w:szCs w:val="22"/>
        </w:rPr>
      </w:pPr>
      <w:r>
        <w:rPr>
          <w:rFonts w:ascii="Arial" w:hAnsi="Arial" w:cs="Arial"/>
          <w:sz w:val="22"/>
          <w:szCs w:val="22"/>
        </w:rPr>
        <w:t xml:space="preserve">[...] </w:t>
      </w:r>
      <w:r w:rsidRPr="005D453B">
        <w:rPr>
          <w:rFonts w:ascii="Arial" w:hAnsi="Arial" w:cs="Arial"/>
          <w:b/>
          <w:sz w:val="22"/>
          <w:szCs w:val="22"/>
        </w:rPr>
        <w:t>a exigência de lei específica tem por finalidade evitar as chamadas “caudas legais” ou “contrabandos legislativos”</w:t>
      </w:r>
      <w:r w:rsidRPr="00CD0902">
        <w:rPr>
          <w:rFonts w:ascii="Arial" w:hAnsi="Arial" w:cs="Arial"/>
          <w:sz w:val="22"/>
          <w:szCs w:val="22"/>
        </w:rPr>
        <w:t>, consistentes na inserção de benefícios fiscais em diplomas sobre matérias completamente distintas, como forma de chantagem e diminuição da transparência no debate público</w:t>
      </w:r>
      <w:r>
        <w:rPr>
          <w:rFonts w:ascii="Arial" w:hAnsi="Arial" w:cs="Arial"/>
          <w:sz w:val="22"/>
          <w:szCs w:val="22"/>
        </w:rPr>
        <w:t xml:space="preserve"> [...].</w:t>
      </w:r>
      <w:r>
        <w:rPr>
          <w:rStyle w:val="Refdenotaderodap"/>
          <w:rFonts w:ascii="Arial" w:hAnsi="Arial" w:cs="Arial"/>
          <w:sz w:val="22"/>
          <w:szCs w:val="22"/>
        </w:rPr>
        <w:footnoteReference w:id="22"/>
      </w:r>
    </w:p>
    <w:p w14:paraId="68B20BE3" w14:textId="14D819BE" w:rsidR="005D453B" w:rsidRDefault="005D453B" w:rsidP="00EF4DB8">
      <w:pPr>
        <w:ind w:left="2268"/>
        <w:jc w:val="both"/>
        <w:rPr>
          <w:rFonts w:ascii="Arial" w:hAnsi="Arial" w:cs="Arial"/>
          <w:sz w:val="22"/>
          <w:szCs w:val="22"/>
        </w:rPr>
      </w:pPr>
    </w:p>
    <w:p w14:paraId="6A2E20A5" w14:textId="3B049A5A" w:rsidR="003F0786" w:rsidRDefault="005D453B" w:rsidP="00EF4DB8">
      <w:pPr>
        <w:ind w:left="2268"/>
        <w:jc w:val="both"/>
        <w:rPr>
          <w:rFonts w:ascii="Arial" w:hAnsi="Arial" w:cs="Arial"/>
          <w:sz w:val="22"/>
          <w:szCs w:val="22"/>
        </w:rPr>
      </w:pPr>
      <w:r w:rsidRPr="005D453B">
        <w:rPr>
          <w:rFonts w:ascii="Arial" w:hAnsi="Arial" w:cs="Arial"/>
          <w:sz w:val="22"/>
          <w:szCs w:val="22"/>
        </w:rPr>
        <w:t xml:space="preserve">TRIBUTÁRIO. AGRAVO REGIMENTAL NO RECURSO EXTRAORDINÁRIO. REPERCUSSÃO GERAL PRESUMIDA. DECRETO 13.402/97 DO ESTADO DO RIO GRANDE DO NORTE. </w:t>
      </w:r>
      <w:r w:rsidRPr="005B7396">
        <w:rPr>
          <w:rFonts w:ascii="Arial" w:hAnsi="Arial" w:cs="Arial"/>
          <w:b/>
          <w:sz w:val="22"/>
          <w:szCs w:val="22"/>
          <w:u w:val="single"/>
        </w:rPr>
        <w:t>REMISSÃO DE DÉBITOS DE ICMS NÃO PREVISTA EM LEI. IMPOSSIBILIDADE. ARTIGO 150, § 6º, DA CF/88</w:t>
      </w:r>
      <w:r w:rsidRPr="005B7396">
        <w:rPr>
          <w:rFonts w:ascii="Arial" w:hAnsi="Arial" w:cs="Arial"/>
          <w:b/>
          <w:sz w:val="22"/>
          <w:szCs w:val="22"/>
        </w:rPr>
        <w:t>. AGRAVO REGIMENTAL A QUE SE NEGA PROVIMENTO</w:t>
      </w:r>
      <w:r w:rsidRPr="005D453B">
        <w:rPr>
          <w:rFonts w:ascii="Arial" w:hAnsi="Arial" w:cs="Arial"/>
          <w:sz w:val="22"/>
          <w:szCs w:val="22"/>
        </w:rPr>
        <w:t xml:space="preserve">. </w:t>
      </w:r>
    </w:p>
    <w:p w14:paraId="297E5C4B" w14:textId="7A34F375" w:rsidR="003F0786" w:rsidRDefault="003F0786" w:rsidP="00EF4DB8">
      <w:pPr>
        <w:ind w:left="2268"/>
        <w:jc w:val="both"/>
        <w:rPr>
          <w:rFonts w:ascii="Arial" w:hAnsi="Arial" w:cs="Arial"/>
          <w:sz w:val="22"/>
          <w:szCs w:val="22"/>
        </w:rPr>
      </w:pPr>
      <w:r>
        <w:rPr>
          <w:rFonts w:ascii="Arial" w:hAnsi="Arial" w:cs="Arial"/>
          <w:sz w:val="22"/>
          <w:szCs w:val="22"/>
        </w:rPr>
        <w:t>[...].</w:t>
      </w:r>
    </w:p>
    <w:p w14:paraId="77693D7C" w14:textId="672FA29D" w:rsidR="003F0786" w:rsidRDefault="003F0786" w:rsidP="00EF4DB8">
      <w:pPr>
        <w:ind w:left="2268"/>
        <w:jc w:val="both"/>
        <w:rPr>
          <w:rFonts w:ascii="Arial" w:hAnsi="Arial" w:cs="Arial"/>
          <w:sz w:val="22"/>
          <w:szCs w:val="22"/>
        </w:rPr>
      </w:pPr>
      <w:r>
        <w:rPr>
          <w:rFonts w:ascii="Arial" w:hAnsi="Arial" w:cs="Arial"/>
          <w:sz w:val="22"/>
          <w:szCs w:val="22"/>
        </w:rPr>
        <w:t>2</w:t>
      </w:r>
      <w:r w:rsidR="005D453B" w:rsidRPr="005D453B">
        <w:rPr>
          <w:rFonts w:ascii="Arial" w:hAnsi="Arial" w:cs="Arial"/>
          <w:sz w:val="22"/>
          <w:szCs w:val="22"/>
        </w:rPr>
        <w:t xml:space="preserve">. “A outorga de qualquer subsídio, isenção ou crédito presumido, a redução de base de cálculo e a concessão de anistia ou remissão em matéria tributária só podem ser deferidas mediante lei específica, sendo </w:t>
      </w:r>
      <w:r w:rsidR="005D453B" w:rsidRPr="005B7396">
        <w:rPr>
          <w:rFonts w:ascii="Arial" w:hAnsi="Arial" w:cs="Arial"/>
          <w:b/>
          <w:sz w:val="22"/>
          <w:szCs w:val="22"/>
        </w:rPr>
        <w:t>vedado ao Poder Legislativo conferir ao Chefe do Executivo a prerrogativa extraordinária de dispor, normativamente, sobre tais categorias temáticas, sob pena de ofensa ao postulado nuclear da separação de poderes e de transgressão ao princípio da reserva constitucional de competência legislativa</w:t>
      </w:r>
      <w:r w:rsidR="005D453B" w:rsidRPr="005D453B">
        <w:rPr>
          <w:rFonts w:ascii="Arial" w:hAnsi="Arial" w:cs="Arial"/>
          <w:sz w:val="22"/>
          <w:szCs w:val="22"/>
        </w:rPr>
        <w:t xml:space="preserve">” (ADI 1.247, Pleno, Relator o Ministro Celso de Mello, DJ de 8.9.95). No mesmo sentido: ADI 2.688, Pleno, Relator o Ministro Joaquim Barbosa, DJ de 26.08.11. </w:t>
      </w:r>
    </w:p>
    <w:p w14:paraId="416056DB" w14:textId="72846503" w:rsidR="005D453B" w:rsidRDefault="003F0786" w:rsidP="00EF4DB8">
      <w:pPr>
        <w:ind w:left="2268"/>
        <w:jc w:val="both"/>
        <w:rPr>
          <w:rFonts w:ascii="Arial" w:hAnsi="Arial" w:cs="Arial"/>
          <w:sz w:val="22"/>
          <w:szCs w:val="22"/>
        </w:rPr>
      </w:pPr>
      <w:r>
        <w:rPr>
          <w:rFonts w:ascii="Arial" w:hAnsi="Arial" w:cs="Arial"/>
          <w:sz w:val="22"/>
          <w:szCs w:val="22"/>
        </w:rPr>
        <w:t>[...]</w:t>
      </w:r>
      <w:r w:rsidR="005D453B" w:rsidRPr="005D453B">
        <w:rPr>
          <w:rFonts w:ascii="Arial" w:hAnsi="Arial" w:cs="Arial"/>
          <w:sz w:val="22"/>
          <w:szCs w:val="22"/>
        </w:rPr>
        <w:t>.</w:t>
      </w:r>
      <w:r w:rsidR="005D453B">
        <w:rPr>
          <w:rStyle w:val="Refdenotaderodap"/>
          <w:rFonts w:ascii="Arial" w:hAnsi="Arial" w:cs="Arial"/>
          <w:sz w:val="22"/>
          <w:szCs w:val="22"/>
        </w:rPr>
        <w:footnoteReference w:id="23"/>
      </w:r>
    </w:p>
    <w:p w14:paraId="5C241F6C" w14:textId="77777777" w:rsidR="00967F95" w:rsidRDefault="00967F95" w:rsidP="0022039F">
      <w:pPr>
        <w:ind w:left="2268" w:firstLine="284"/>
        <w:jc w:val="both"/>
        <w:rPr>
          <w:rFonts w:ascii="Arial" w:hAnsi="Arial" w:cs="Arial"/>
          <w:sz w:val="22"/>
          <w:szCs w:val="22"/>
        </w:rPr>
      </w:pPr>
    </w:p>
    <w:p w14:paraId="3DBDF374" w14:textId="0081FF5D" w:rsidR="00A024D6" w:rsidRDefault="00A024D6" w:rsidP="00A024D6">
      <w:pPr>
        <w:ind w:left="2268" w:firstLine="284"/>
        <w:jc w:val="both"/>
        <w:rPr>
          <w:rFonts w:ascii="Arial" w:hAnsi="Arial" w:cs="Arial"/>
          <w:sz w:val="22"/>
          <w:szCs w:val="22"/>
        </w:rPr>
      </w:pPr>
    </w:p>
    <w:p w14:paraId="7E9518FE" w14:textId="494DF139" w:rsidR="004C1B4A" w:rsidRDefault="00967F95" w:rsidP="00713208">
      <w:pPr>
        <w:spacing w:line="360" w:lineRule="auto"/>
        <w:ind w:firstLine="851"/>
        <w:jc w:val="both"/>
        <w:rPr>
          <w:rFonts w:ascii="Arial" w:hAnsi="Arial" w:cs="Arial"/>
          <w:sz w:val="24"/>
          <w:szCs w:val="24"/>
        </w:rPr>
      </w:pPr>
      <w:r>
        <w:rPr>
          <w:rFonts w:ascii="Arial" w:hAnsi="Arial" w:cs="Arial"/>
          <w:sz w:val="24"/>
          <w:szCs w:val="24"/>
        </w:rPr>
        <w:t xml:space="preserve">Portanto, </w:t>
      </w:r>
      <w:r w:rsidRPr="00967F95">
        <w:rPr>
          <w:rFonts w:ascii="Arial" w:hAnsi="Arial" w:cs="Arial"/>
          <w:b/>
          <w:sz w:val="24"/>
          <w:szCs w:val="24"/>
        </w:rPr>
        <w:t>em se tratando de incentivos fiscais, o ordenamento jurídico prevê que sua concessão deva constar de lei específica</w:t>
      </w:r>
      <w:r>
        <w:rPr>
          <w:rFonts w:ascii="Arial" w:hAnsi="Arial" w:cs="Arial"/>
          <w:sz w:val="24"/>
          <w:szCs w:val="24"/>
        </w:rPr>
        <w:t xml:space="preserve">, de modo a conferir maior transparência e oportunizar um debate mais aprofundado pelos agentes políticos, </w:t>
      </w:r>
      <w:r>
        <w:rPr>
          <w:rFonts w:ascii="Arial" w:hAnsi="Arial" w:cs="Arial"/>
          <w:sz w:val="24"/>
          <w:szCs w:val="24"/>
        </w:rPr>
        <w:lastRenderedPageBreak/>
        <w:t>segmentos econômicos afetados e sociedade em geral</w:t>
      </w:r>
      <w:r w:rsidR="00517C0D">
        <w:rPr>
          <w:rFonts w:ascii="Arial" w:hAnsi="Arial" w:cs="Arial"/>
          <w:sz w:val="24"/>
          <w:szCs w:val="24"/>
        </w:rPr>
        <w:t>, acerca da dispensa de tributação as hipóteses postas em discussão</w:t>
      </w:r>
      <w:r>
        <w:rPr>
          <w:rFonts w:ascii="Arial" w:hAnsi="Arial" w:cs="Arial"/>
          <w:sz w:val="24"/>
          <w:szCs w:val="24"/>
        </w:rPr>
        <w:t>.</w:t>
      </w:r>
    </w:p>
    <w:p w14:paraId="0E6DBD0F" w14:textId="77777777" w:rsidR="0003062F" w:rsidRPr="00E634D4" w:rsidRDefault="0003062F" w:rsidP="0003062F">
      <w:pPr>
        <w:spacing w:line="360" w:lineRule="auto"/>
        <w:ind w:firstLine="851"/>
        <w:jc w:val="both"/>
        <w:rPr>
          <w:rFonts w:ascii="Arial" w:hAnsi="Arial" w:cs="Arial"/>
          <w:sz w:val="24"/>
          <w:szCs w:val="24"/>
        </w:rPr>
      </w:pPr>
    </w:p>
    <w:p w14:paraId="49047AE9" w14:textId="42620089" w:rsidR="004C1B4A" w:rsidRDefault="007A561D" w:rsidP="00E634D4">
      <w:pPr>
        <w:spacing w:line="360" w:lineRule="auto"/>
        <w:ind w:firstLine="851"/>
        <w:jc w:val="both"/>
        <w:rPr>
          <w:rFonts w:ascii="Arial" w:hAnsi="Arial" w:cs="Arial"/>
          <w:b/>
          <w:sz w:val="24"/>
          <w:szCs w:val="24"/>
        </w:rPr>
      </w:pPr>
      <w:r>
        <w:rPr>
          <w:rFonts w:ascii="Arial" w:hAnsi="Arial" w:cs="Arial"/>
          <w:b/>
          <w:sz w:val="24"/>
          <w:szCs w:val="24"/>
        </w:rPr>
        <w:t>5</w:t>
      </w:r>
      <w:r w:rsidR="00E634D4">
        <w:rPr>
          <w:rFonts w:ascii="Arial" w:hAnsi="Arial" w:cs="Arial"/>
          <w:b/>
          <w:sz w:val="24"/>
          <w:szCs w:val="24"/>
        </w:rPr>
        <w:t xml:space="preserve">.2 </w:t>
      </w:r>
      <w:r w:rsidR="00AD7B8E">
        <w:rPr>
          <w:rFonts w:ascii="Arial" w:hAnsi="Arial" w:cs="Arial"/>
          <w:b/>
          <w:sz w:val="24"/>
          <w:szCs w:val="24"/>
        </w:rPr>
        <w:t xml:space="preserve">– </w:t>
      </w:r>
      <w:r w:rsidR="004C1B4A">
        <w:rPr>
          <w:rFonts w:ascii="Arial" w:hAnsi="Arial" w:cs="Arial"/>
          <w:b/>
          <w:sz w:val="24"/>
          <w:szCs w:val="24"/>
        </w:rPr>
        <w:t>PROBLEMÁTICA</w:t>
      </w:r>
      <w:r w:rsidR="008927D2">
        <w:rPr>
          <w:rFonts w:ascii="Arial" w:hAnsi="Arial" w:cs="Arial"/>
          <w:b/>
          <w:sz w:val="24"/>
          <w:szCs w:val="24"/>
        </w:rPr>
        <w:t xml:space="preserve"> DOS DECRETO</w:t>
      </w:r>
      <w:r w:rsidR="005F53D5">
        <w:rPr>
          <w:rFonts w:ascii="Arial" w:hAnsi="Arial" w:cs="Arial"/>
          <w:b/>
          <w:sz w:val="24"/>
          <w:szCs w:val="24"/>
        </w:rPr>
        <w:t>S</w:t>
      </w:r>
      <w:r w:rsidR="008927D2">
        <w:rPr>
          <w:rFonts w:ascii="Arial" w:hAnsi="Arial" w:cs="Arial"/>
          <w:b/>
          <w:sz w:val="24"/>
          <w:szCs w:val="24"/>
        </w:rPr>
        <w:t xml:space="preserve"> DO PODER EXECUTIVO</w:t>
      </w:r>
    </w:p>
    <w:p w14:paraId="12EA004B" w14:textId="77777777" w:rsidR="004C1B4A" w:rsidRPr="00EF4DB8" w:rsidRDefault="004C1B4A" w:rsidP="00E634D4">
      <w:pPr>
        <w:spacing w:line="360" w:lineRule="auto"/>
        <w:ind w:firstLine="851"/>
        <w:jc w:val="both"/>
        <w:rPr>
          <w:rFonts w:ascii="Arial" w:hAnsi="Arial" w:cs="Arial"/>
          <w:sz w:val="24"/>
          <w:szCs w:val="24"/>
        </w:rPr>
      </w:pPr>
    </w:p>
    <w:p w14:paraId="6EEFDF02" w14:textId="420C0633" w:rsidR="008D544F" w:rsidRDefault="008D544F" w:rsidP="00E634D4">
      <w:pPr>
        <w:spacing w:line="360" w:lineRule="auto"/>
        <w:ind w:firstLine="851"/>
        <w:jc w:val="both"/>
        <w:rPr>
          <w:rFonts w:ascii="Arial" w:hAnsi="Arial" w:cs="Arial"/>
          <w:sz w:val="24"/>
          <w:szCs w:val="24"/>
        </w:rPr>
      </w:pPr>
      <w:r>
        <w:rPr>
          <w:rFonts w:ascii="Arial" w:hAnsi="Arial" w:cs="Arial"/>
          <w:sz w:val="24"/>
          <w:szCs w:val="24"/>
        </w:rPr>
        <w:t xml:space="preserve">Não obstante as considerações tecidas no subtópico anterior, </w:t>
      </w:r>
      <w:r w:rsidRPr="004603E4">
        <w:rPr>
          <w:rFonts w:ascii="Arial" w:hAnsi="Arial" w:cs="Arial"/>
          <w:b/>
          <w:sz w:val="24"/>
          <w:szCs w:val="24"/>
        </w:rPr>
        <w:t>historicamente no Estado de Goiás o Chefe do Poder Executivo sempre protagonizou a concessão</w:t>
      </w:r>
      <w:r w:rsidR="003C4A94" w:rsidRPr="004603E4">
        <w:rPr>
          <w:rFonts w:ascii="Arial" w:hAnsi="Arial" w:cs="Arial"/>
          <w:b/>
          <w:sz w:val="24"/>
          <w:szCs w:val="24"/>
        </w:rPr>
        <w:t xml:space="preserve"> </w:t>
      </w:r>
      <w:r w:rsidR="00CE6AD6" w:rsidRPr="004603E4">
        <w:rPr>
          <w:rFonts w:ascii="Arial" w:hAnsi="Arial" w:cs="Arial"/>
          <w:b/>
          <w:sz w:val="24"/>
          <w:szCs w:val="24"/>
        </w:rPr>
        <w:t xml:space="preserve">e a efetiva implementação </w:t>
      </w:r>
      <w:r w:rsidR="003C4A94" w:rsidRPr="004603E4">
        <w:rPr>
          <w:rFonts w:ascii="Arial" w:hAnsi="Arial" w:cs="Arial"/>
          <w:b/>
          <w:sz w:val="24"/>
          <w:szCs w:val="24"/>
        </w:rPr>
        <w:t>d</w:t>
      </w:r>
      <w:r w:rsidR="00CE6AD6" w:rsidRPr="004603E4">
        <w:rPr>
          <w:rFonts w:ascii="Arial" w:hAnsi="Arial" w:cs="Arial"/>
          <w:b/>
          <w:sz w:val="24"/>
          <w:szCs w:val="24"/>
        </w:rPr>
        <w:t>os</w:t>
      </w:r>
      <w:r w:rsidR="003C4A94" w:rsidRPr="004603E4">
        <w:rPr>
          <w:rFonts w:ascii="Arial" w:hAnsi="Arial" w:cs="Arial"/>
          <w:b/>
          <w:sz w:val="24"/>
          <w:szCs w:val="24"/>
        </w:rPr>
        <w:t xml:space="preserve"> incentivos fiscais</w:t>
      </w:r>
      <w:r w:rsidR="003C4A94">
        <w:rPr>
          <w:rFonts w:ascii="Arial" w:hAnsi="Arial" w:cs="Arial"/>
          <w:sz w:val="24"/>
          <w:szCs w:val="24"/>
        </w:rPr>
        <w:t>,</w:t>
      </w:r>
      <w:r w:rsidR="0004523A">
        <w:rPr>
          <w:rFonts w:ascii="Arial" w:hAnsi="Arial" w:cs="Arial"/>
          <w:sz w:val="24"/>
          <w:szCs w:val="24"/>
        </w:rPr>
        <w:t xml:space="preserve"> muitas vezes concedidos </w:t>
      </w:r>
      <w:r w:rsidR="00BB6338">
        <w:rPr>
          <w:rFonts w:ascii="Arial" w:hAnsi="Arial" w:cs="Arial"/>
          <w:sz w:val="24"/>
          <w:szCs w:val="24"/>
        </w:rPr>
        <w:t xml:space="preserve">via decretos </w:t>
      </w:r>
      <w:r w:rsidR="00BB6338" w:rsidRPr="00E146D6">
        <w:rPr>
          <w:rFonts w:ascii="Arial" w:hAnsi="Arial" w:cs="Arial"/>
          <w:sz w:val="24"/>
          <w:szCs w:val="24"/>
        </w:rPr>
        <w:t xml:space="preserve">governamentais, </w:t>
      </w:r>
      <w:r w:rsidR="003C4A94" w:rsidRPr="00E146D6">
        <w:rPr>
          <w:rFonts w:ascii="Arial" w:hAnsi="Arial" w:cs="Arial"/>
          <w:sz w:val="24"/>
          <w:szCs w:val="24"/>
        </w:rPr>
        <w:t xml:space="preserve">sem </w:t>
      </w:r>
      <w:r w:rsidR="00BB6338" w:rsidRPr="00E146D6">
        <w:rPr>
          <w:rFonts w:ascii="Arial" w:hAnsi="Arial" w:cs="Arial"/>
          <w:sz w:val="24"/>
          <w:szCs w:val="24"/>
        </w:rPr>
        <w:t xml:space="preserve">qualquer apreciação prévia </w:t>
      </w:r>
      <w:r w:rsidR="003C4A94" w:rsidRPr="00E146D6">
        <w:rPr>
          <w:rFonts w:ascii="Arial" w:hAnsi="Arial" w:cs="Arial"/>
          <w:sz w:val="24"/>
          <w:szCs w:val="24"/>
        </w:rPr>
        <w:t>pelo Poder Legislativo</w:t>
      </w:r>
      <w:r w:rsidR="002F2114">
        <w:rPr>
          <w:rFonts w:ascii="Arial" w:hAnsi="Arial" w:cs="Arial"/>
          <w:sz w:val="24"/>
          <w:szCs w:val="24"/>
        </w:rPr>
        <w:t xml:space="preserve">; ou, muitas vezes, apenas </w:t>
      </w:r>
      <w:r w:rsidR="00F67CEF">
        <w:rPr>
          <w:rFonts w:ascii="Arial" w:hAnsi="Arial" w:cs="Arial"/>
          <w:sz w:val="24"/>
          <w:szCs w:val="24"/>
        </w:rPr>
        <w:t>com autorização legal genérica, mas com grande espaço para regulamentação via decreto e outros atos infralegais</w:t>
      </w:r>
      <w:r w:rsidR="003C4A94" w:rsidRPr="00E146D6">
        <w:rPr>
          <w:rFonts w:ascii="Arial" w:hAnsi="Arial" w:cs="Arial"/>
          <w:sz w:val="24"/>
          <w:szCs w:val="24"/>
        </w:rPr>
        <w:t>.</w:t>
      </w:r>
    </w:p>
    <w:p w14:paraId="517AE750" w14:textId="43CA8E73" w:rsidR="000D6AC8" w:rsidRDefault="000D6AC8" w:rsidP="00E634D4">
      <w:pPr>
        <w:spacing w:line="360" w:lineRule="auto"/>
        <w:ind w:firstLine="851"/>
        <w:jc w:val="both"/>
        <w:rPr>
          <w:rFonts w:ascii="Arial" w:hAnsi="Arial" w:cs="Arial"/>
          <w:sz w:val="24"/>
          <w:szCs w:val="24"/>
        </w:rPr>
      </w:pPr>
    </w:p>
    <w:p w14:paraId="4CC7A180" w14:textId="4CE29792" w:rsidR="000D6AC8" w:rsidRDefault="000D6AC8" w:rsidP="00E634D4">
      <w:pPr>
        <w:spacing w:line="360" w:lineRule="auto"/>
        <w:ind w:firstLine="851"/>
        <w:jc w:val="both"/>
        <w:rPr>
          <w:rFonts w:ascii="Arial" w:hAnsi="Arial" w:cs="Arial"/>
          <w:b/>
          <w:sz w:val="24"/>
          <w:szCs w:val="24"/>
          <w:u w:val="single"/>
        </w:rPr>
      </w:pPr>
      <w:r w:rsidRPr="000D6AC8">
        <w:rPr>
          <w:rFonts w:ascii="Arial" w:hAnsi="Arial" w:cs="Arial"/>
          <w:b/>
          <w:sz w:val="24"/>
          <w:szCs w:val="24"/>
          <w:u w:val="single"/>
        </w:rPr>
        <w:t xml:space="preserve">5.2.1 – </w:t>
      </w:r>
      <w:r w:rsidR="00884257">
        <w:rPr>
          <w:rFonts w:ascii="Arial" w:hAnsi="Arial" w:cs="Arial"/>
          <w:b/>
          <w:sz w:val="24"/>
          <w:szCs w:val="24"/>
          <w:u w:val="single"/>
        </w:rPr>
        <w:t>P</w:t>
      </w:r>
      <w:r w:rsidR="00F86F03">
        <w:rPr>
          <w:rFonts w:ascii="Arial" w:hAnsi="Arial" w:cs="Arial"/>
          <w:b/>
          <w:sz w:val="24"/>
          <w:szCs w:val="24"/>
          <w:u w:val="single"/>
        </w:rPr>
        <w:t>rincipais d</w:t>
      </w:r>
      <w:r>
        <w:rPr>
          <w:rFonts w:ascii="Arial" w:hAnsi="Arial" w:cs="Arial"/>
          <w:b/>
          <w:sz w:val="24"/>
          <w:szCs w:val="24"/>
          <w:u w:val="single"/>
        </w:rPr>
        <w:t xml:space="preserve">ecretos </w:t>
      </w:r>
      <w:r w:rsidR="00F04A4B">
        <w:rPr>
          <w:rFonts w:ascii="Arial" w:hAnsi="Arial" w:cs="Arial"/>
          <w:b/>
          <w:sz w:val="24"/>
          <w:szCs w:val="24"/>
          <w:u w:val="single"/>
        </w:rPr>
        <w:t>g</w:t>
      </w:r>
      <w:r>
        <w:rPr>
          <w:rFonts w:ascii="Arial" w:hAnsi="Arial" w:cs="Arial"/>
          <w:b/>
          <w:sz w:val="24"/>
          <w:szCs w:val="24"/>
          <w:u w:val="single"/>
        </w:rPr>
        <w:t>overnamentais publicados</w:t>
      </w:r>
      <w:r w:rsidRPr="000D6AC8">
        <w:rPr>
          <w:rFonts w:ascii="Arial" w:hAnsi="Arial" w:cs="Arial"/>
          <w:b/>
          <w:sz w:val="24"/>
          <w:szCs w:val="24"/>
          <w:u w:val="single"/>
        </w:rPr>
        <w:t xml:space="preserve"> até 2018</w:t>
      </w:r>
      <w:r w:rsidR="00F86F03">
        <w:rPr>
          <w:rFonts w:ascii="Arial" w:hAnsi="Arial" w:cs="Arial"/>
          <w:b/>
          <w:sz w:val="24"/>
          <w:szCs w:val="24"/>
          <w:u w:val="single"/>
        </w:rPr>
        <w:t xml:space="preserve"> em matéria de incentivos fiscais</w:t>
      </w:r>
      <w:r w:rsidR="004F28B0" w:rsidRPr="004F28B0">
        <w:rPr>
          <w:rFonts w:ascii="Arial" w:hAnsi="Arial" w:cs="Arial"/>
          <w:b/>
          <w:sz w:val="24"/>
          <w:szCs w:val="24"/>
          <w:u w:val="single"/>
        </w:rPr>
        <w:t xml:space="preserve"> </w:t>
      </w:r>
      <w:r w:rsidR="004F28B0">
        <w:rPr>
          <w:rFonts w:ascii="Arial" w:hAnsi="Arial" w:cs="Arial"/>
          <w:b/>
          <w:sz w:val="24"/>
          <w:szCs w:val="24"/>
          <w:u w:val="single"/>
        </w:rPr>
        <w:t>em desacordo com o princípio da legalidade</w:t>
      </w:r>
    </w:p>
    <w:p w14:paraId="7BB28CF1" w14:textId="77777777" w:rsidR="000D6AC8" w:rsidRPr="000D6AC8" w:rsidRDefault="000D6AC8" w:rsidP="00E634D4">
      <w:pPr>
        <w:spacing w:line="360" w:lineRule="auto"/>
        <w:ind w:firstLine="851"/>
        <w:jc w:val="both"/>
        <w:rPr>
          <w:rFonts w:ascii="Arial" w:hAnsi="Arial" w:cs="Arial"/>
          <w:b/>
          <w:sz w:val="24"/>
          <w:szCs w:val="24"/>
          <w:u w:val="single"/>
        </w:rPr>
      </w:pPr>
    </w:p>
    <w:p w14:paraId="1BCC510C" w14:textId="652E0828" w:rsidR="003C4A94" w:rsidRDefault="00E146D6" w:rsidP="00E634D4">
      <w:pPr>
        <w:spacing w:line="360" w:lineRule="auto"/>
        <w:ind w:firstLine="851"/>
        <w:jc w:val="both"/>
        <w:rPr>
          <w:rFonts w:ascii="Arial" w:hAnsi="Arial" w:cs="Arial"/>
          <w:sz w:val="24"/>
          <w:szCs w:val="24"/>
        </w:rPr>
      </w:pPr>
      <w:r w:rsidRPr="00E146D6">
        <w:rPr>
          <w:rFonts w:ascii="Arial" w:hAnsi="Arial" w:cs="Arial"/>
          <w:sz w:val="24"/>
          <w:szCs w:val="24"/>
        </w:rPr>
        <w:t>Apenas para evidenciar essa premissa, ressalte-se que, a</w:t>
      </w:r>
      <w:r w:rsidR="00A81444" w:rsidRPr="00E146D6">
        <w:rPr>
          <w:rFonts w:ascii="Arial" w:hAnsi="Arial" w:cs="Arial"/>
          <w:sz w:val="24"/>
          <w:szCs w:val="24"/>
        </w:rPr>
        <w:t>té 2018, diversos d</w:t>
      </w:r>
      <w:r w:rsidR="003C4A94" w:rsidRPr="00E146D6">
        <w:rPr>
          <w:rFonts w:ascii="Arial" w:hAnsi="Arial" w:cs="Arial"/>
          <w:sz w:val="24"/>
          <w:szCs w:val="24"/>
        </w:rPr>
        <w:t>ecretos</w:t>
      </w:r>
      <w:r w:rsidR="00666933">
        <w:rPr>
          <w:rStyle w:val="Refdenotaderodap"/>
          <w:rFonts w:ascii="Arial" w:hAnsi="Arial" w:cs="Arial"/>
          <w:sz w:val="24"/>
          <w:szCs w:val="24"/>
        </w:rPr>
        <w:footnoteReference w:id="24"/>
      </w:r>
      <w:r w:rsidR="003C4A94" w:rsidRPr="00E146D6">
        <w:rPr>
          <w:rFonts w:ascii="Arial" w:hAnsi="Arial" w:cs="Arial"/>
          <w:sz w:val="24"/>
          <w:szCs w:val="24"/>
        </w:rPr>
        <w:t xml:space="preserve"> </w:t>
      </w:r>
      <w:r w:rsidR="00A81444" w:rsidRPr="00E146D6">
        <w:rPr>
          <w:rFonts w:ascii="Arial" w:hAnsi="Arial" w:cs="Arial"/>
          <w:sz w:val="24"/>
          <w:szCs w:val="24"/>
        </w:rPr>
        <w:t>tratavam sobre</w:t>
      </w:r>
      <w:r w:rsidR="00867C9F">
        <w:rPr>
          <w:rFonts w:ascii="Arial" w:hAnsi="Arial" w:cs="Arial"/>
          <w:sz w:val="24"/>
          <w:szCs w:val="24"/>
        </w:rPr>
        <w:t xml:space="preserve"> inúmeras questões referentes a</w:t>
      </w:r>
      <w:r w:rsidR="00A81444" w:rsidRPr="00E146D6">
        <w:rPr>
          <w:rFonts w:ascii="Arial" w:hAnsi="Arial" w:cs="Arial"/>
          <w:sz w:val="24"/>
          <w:szCs w:val="24"/>
        </w:rPr>
        <w:t xml:space="preserve"> incentivos fiscais, </w:t>
      </w:r>
      <w:r w:rsidR="00A60894">
        <w:rPr>
          <w:rFonts w:ascii="Arial" w:hAnsi="Arial" w:cs="Arial"/>
          <w:sz w:val="24"/>
          <w:szCs w:val="24"/>
        </w:rPr>
        <w:t>dos quais se destacam os</w:t>
      </w:r>
      <w:r w:rsidR="00A81444" w:rsidRPr="00E146D6">
        <w:rPr>
          <w:rFonts w:ascii="Arial" w:hAnsi="Arial" w:cs="Arial"/>
          <w:sz w:val="24"/>
          <w:szCs w:val="24"/>
        </w:rPr>
        <w:t xml:space="preserve"> seguintes:</w:t>
      </w:r>
    </w:p>
    <w:p w14:paraId="0D4345C5" w14:textId="77777777" w:rsidR="008D1DB2" w:rsidRPr="00E146D6" w:rsidRDefault="008D1DB2" w:rsidP="00E634D4">
      <w:pPr>
        <w:spacing w:line="360" w:lineRule="auto"/>
        <w:ind w:firstLine="851"/>
        <w:jc w:val="both"/>
        <w:rPr>
          <w:rFonts w:ascii="Arial" w:hAnsi="Arial" w:cs="Arial"/>
          <w:sz w:val="24"/>
          <w:szCs w:val="24"/>
        </w:rPr>
      </w:pPr>
    </w:p>
    <w:tbl>
      <w:tblPr>
        <w:tblStyle w:val="Tabelacomgrade"/>
        <w:tblW w:w="9351" w:type="dxa"/>
        <w:tblLook w:val="04A0" w:firstRow="1" w:lastRow="0" w:firstColumn="1" w:lastColumn="0" w:noHBand="0" w:noVBand="1"/>
      </w:tblPr>
      <w:tblGrid>
        <w:gridCol w:w="1406"/>
        <w:gridCol w:w="1816"/>
        <w:gridCol w:w="6129"/>
      </w:tblGrid>
      <w:tr w:rsidR="008D1DB2" w:rsidRPr="00480726" w14:paraId="6F68F81D" w14:textId="77777777" w:rsidTr="00F67CEF">
        <w:tc>
          <w:tcPr>
            <w:tcW w:w="1406" w:type="dxa"/>
          </w:tcPr>
          <w:p w14:paraId="33A09C4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 xml:space="preserve">DECRETO </w:t>
            </w:r>
          </w:p>
          <w:p w14:paraId="3398260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Nº</w:t>
            </w:r>
          </w:p>
        </w:tc>
        <w:tc>
          <w:tcPr>
            <w:tcW w:w="1816" w:type="dxa"/>
          </w:tcPr>
          <w:p w14:paraId="6EF803B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 xml:space="preserve">PUBLICAÇÃO </w:t>
            </w:r>
          </w:p>
          <w:p w14:paraId="3BB3FC5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DOE</w:t>
            </w:r>
          </w:p>
        </w:tc>
        <w:tc>
          <w:tcPr>
            <w:tcW w:w="6129" w:type="dxa"/>
          </w:tcPr>
          <w:p w14:paraId="02E3921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EMENTA</w:t>
            </w:r>
          </w:p>
        </w:tc>
      </w:tr>
      <w:tr w:rsidR="008D1DB2" w:rsidRPr="00480726" w14:paraId="509BCC5A" w14:textId="77777777" w:rsidTr="00F67CEF">
        <w:tc>
          <w:tcPr>
            <w:tcW w:w="1406" w:type="dxa"/>
          </w:tcPr>
          <w:p w14:paraId="2903565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5.515</w:t>
            </w:r>
          </w:p>
        </w:tc>
        <w:tc>
          <w:tcPr>
            <w:tcW w:w="1816" w:type="dxa"/>
          </w:tcPr>
          <w:p w14:paraId="001518D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23/11/2001</w:t>
            </w:r>
          </w:p>
        </w:tc>
        <w:tc>
          <w:tcPr>
            <w:tcW w:w="6129" w:type="dxa"/>
          </w:tcPr>
          <w:p w14:paraId="4467790D"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Regulamenta o incentivo Apoio à Instalação de Central Única de Distribuição de Produtos no Estado de Goiás - CENTROPRODUZIR, subprograma do Programa de Desenvolvimento Industrial de Goiás – PRODUZIR.</w:t>
            </w:r>
          </w:p>
        </w:tc>
      </w:tr>
      <w:tr w:rsidR="008D1DB2" w:rsidRPr="00480726" w14:paraId="27186F4D" w14:textId="77777777" w:rsidTr="00F67CEF">
        <w:tc>
          <w:tcPr>
            <w:tcW w:w="1406" w:type="dxa"/>
          </w:tcPr>
          <w:p w14:paraId="03FB7E0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5.567</w:t>
            </w:r>
          </w:p>
        </w:tc>
        <w:tc>
          <w:tcPr>
            <w:tcW w:w="1816" w:type="dxa"/>
          </w:tcPr>
          <w:p w14:paraId="621D8FA7" w14:textId="77777777" w:rsidR="008D1DB2" w:rsidRPr="00480726" w:rsidRDefault="008D1DB2" w:rsidP="008A5E51">
            <w:pPr>
              <w:jc w:val="center"/>
              <w:rPr>
                <w:rFonts w:ascii="Arial" w:hAnsi="Arial" w:cs="Arial"/>
                <w:b/>
                <w:sz w:val="24"/>
                <w:szCs w:val="24"/>
              </w:rPr>
            </w:pPr>
            <w:r w:rsidRPr="00480726">
              <w:rPr>
                <w:rFonts w:ascii="Arial" w:hAnsi="Arial" w:cs="Arial"/>
                <w:b/>
                <w:sz w:val="24"/>
                <w:szCs w:val="24"/>
              </w:rPr>
              <w:t>25/03/2002</w:t>
            </w:r>
          </w:p>
        </w:tc>
        <w:tc>
          <w:tcPr>
            <w:tcW w:w="6129" w:type="dxa"/>
          </w:tcPr>
          <w:p w14:paraId="231CE8B7"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Regulamento do Programa de Desenvolvimento  Industrial de Goiás – PRODUZIR, aprovado pelo Decreto n.º 5.265, de 31 de julho de 2000.</w:t>
            </w:r>
          </w:p>
        </w:tc>
      </w:tr>
      <w:tr w:rsidR="008D1DB2" w:rsidRPr="00480726" w14:paraId="57CA12C0" w14:textId="77777777" w:rsidTr="00F67CEF">
        <w:tc>
          <w:tcPr>
            <w:tcW w:w="1406" w:type="dxa"/>
          </w:tcPr>
          <w:p w14:paraId="6F72A70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5.587</w:t>
            </w:r>
          </w:p>
        </w:tc>
        <w:tc>
          <w:tcPr>
            <w:tcW w:w="1816" w:type="dxa"/>
          </w:tcPr>
          <w:p w14:paraId="1C7D968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22/04/2002</w:t>
            </w:r>
          </w:p>
        </w:tc>
        <w:tc>
          <w:tcPr>
            <w:tcW w:w="6129" w:type="dxa"/>
          </w:tcPr>
          <w:p w14:paraId="19045F56"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Aprova e ratifica os Convênios ICMS 01/02 a 08/02 e altera o Decreto nº 4.852, de 29 de dezembro de 1997, Regulamento do Código Tributário do Estado de Goiás.</w:t>
            </w:r>
          </w:p>
        </w:tc>
      </w:tr>
      <w:tr w:rsidR="008D1DB2" w:rsidRPr="00480726" w14:paraId="073E189B" w14:textId="77777777" w:rsidTr="00F67CEF">
        <w:tc>
          <w:tcPr>
            <w:tcW w:w="1406" w:type="dxa"/>
          </w:tcPr>
          <w:p w14:paraId="7E3E258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5.645</w:t>
            </w:r>
          </w:p>
        </w:tc>
        <w:tc>
          <w:tcPr>
            <w:tcW w:w="1816" w:type="dxa"/>
          </w:tcPr>
          <w:p w14:paraId="31331E8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30/08/2002</w:t>
            </w:r>
          </w:p>
        </w:tc>
        <w:tc>
          <w:tcPr>
            <w:tcW w:w="6129" w:type="dxa"/>
          </w:tcPr>
          <w:p w14:paraId="11265957"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Introduz alterações no Decreto nº 5.036, de 16 de abril de 1999 e dá outras providências.</w:t>
            </w:r>
          </w:p>
        </w:tc>
      </w:tr>
      <w:tr w:rsidR="008D1DB2" w:rsidRPr="00480726" w14:paraId="0910B5F3" w14:textId="77777777" w:rsidTr="00F67CEF">
        <w:tc>
          <w:tcPr>
            <w:tcW w:w="1406" w:type="dxa"/>
          </w:tcPr>
          <w:p w14:paraId="7442960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5.649</w:t>
            </w:r>
          </w:p>
        </w:tc>
        <w:tc>
          <w:tcPr>
            <w:tcW w:w="1816" w:type="dxa"/>
          </w:tcPr>
          <w:p w14:paraId="39833CD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06/09/2002</w:t>
            </w:r>
          </w:p>
        </w:tc>
        <w:tc>
          <w:tcPr>
            <w:tcW w:w="6129" w:type="dxa"/>
          </w:tcPr>
          <w:p w14:paraId="7AC23FA6"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Regulamento do Código Tributário do Estado de Goiás, Decreto nº 4.852, de 29 de dezembro de 1997.</w:t>
            </w:r>
          </w:p>
        </w:tc>
      </w:tr>
      <w:tr w:rsidR="008D1DB2" w:rsidRPr="00480726" w14:paraId="7DCD9472" w14:textId="77777777" w:rsidTr="00F67CEF">
        <w:tc>
          <w:tcPr>
            <w:tcW w:w="1406" w:type="dxa"/>
          </w:tcPr>
          <w:p w14:paraId="6120DB7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5.655</w:t>
            </w:r>
          </w:p>
        </w:tc>
        <w:tc>
          <w:tcPr>
            <w:tcW w:w="1816" w:type="dxa"/>
          </w:tcPr>
          <w:p w14:paraId="448FE97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20/09/2002</w:t>
            </w:r>
          </w:p>
        </w:tc>
        <w:tc>
          <w:tcPr>
            <w:tcW w:w="6129" w:type="dxa"/>
          </w:tcPr>
          <w:p w14:paraId="5FFCBC38"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Regulamento do Incentivo Apoio à Instalação de Central Única de Distribuição de Produtos no Estado de Goiás – CENTROPRODUZIR, Subprograma do Programa de Desenvolvimento Industrial de Goiás – PRODUZIR.</w:t>
            </w:r>
          </w:p>
        </w:tc>
      </w:tr>
      <w:tr w:rsidR="008D1DB2" w:rsidRPr="00480726" w14:paraId="4774B383" w14:textId="77777777" w:rsidTr="00F67CEF">
        <w:tc>
          <w:tcPr>
            <w:tcW w:w="1406" w:type="dxa"/>
          </w:tcPr>
          <w:p w14:paraId="52C4CD0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5.686</w:t>
            </w:r>
          </w:p>
        </w:tc>
        <w:tc>
          <w:tcPr>
            <w:tcW w:w="1816" w:type="dxa"/>
          </w:tcPr>
          <w:p w14:paraId="62FA69D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05/12/2002</w:t>
            </w:r>
          </w:p>
        </w:tc>
        <w:tc>
          <w:tcPr>
            <w:tcW w:w="6129" w:type="dxa"/>
          </w:tcPr>
          <w:p w14:paraId="3BBC722B"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Regulamenta o incentivo Apoio ao Comércio Exterior no Estado de Goiás – COMEXPRODUZIR, Subprograma do Programa de Desenvolvimento Industrial de Goiás – PRODUZIR.</w:t>
            </w:r>
          </w:p>
        </w:tc>
      </w:tr>
      <w:tr w:rsidR="008D1DB2" w:rsidRPr="00480726" w14:paraId="39090E71" w14:textId="77777777" w:rsidTr="00F67CEF">
        <w:tc>
          <w:tcPr>
            <w:tcW w:w="1406" w:type="dxa"/>
          </w:tcPr>
          <w:p w14:paraId="631784E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5.707</w:t>
            </w:r>
          </w:p>
        </w:tc>
        <w:tc>
          <w:tcPr>
            <w:tcW w:w="1816" w:type="dxa"/>
          </w:tcPr>
          <w:p w14:paraId="1852635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27/12/2002</w:t>
            </w:r>
          </w:p>
        </w:tc>
        <w:tc>
          <w:tcPr>
            <w:tcW w:w="6129" w:type="dxa"/>
          </w:tcPr>
          <w:p w14:paraId="2BBAD1A2"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Aprova e ratifica os Convênios ECF 2/02 e 3/02, os Convênios ICMS 53/02 a 134/02 e os Protocolos ICMS 29/02, 38/02, 42/02, 44/02, 47/02 a 49/02 e altera o Decreto n. 4.852, de 29 de dezembro de 1997, Regulamento do Código Tributário do Estado de Goiás.</w:t>
            </w:r>
          </w:p>
        </w:tc>
      </w:tr>
      <w:tr w:rsidR="008D1DB2" w:rsidRPr="00480726" w14:paraId="3E231CE4" w14:textId="77777777" w:rsidTr="00F67CEF">
        <w:tc>
          <w:tcPr>
            <w:tcW w:w="1406" w:type="dxa"/>
          </w:tcPr>
          <w:p w14:paraId="2B7BCFA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5.739</w:t>
            </w:r>
          </w:p>
        </w:tc>
        <w:tc>
          <w:tcPr>
            <w:tcW w:w="1816" w:type="dxa"/>
          </w:tcPr>
          <w:p w14:paraId="47DB1CC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03/04/2003</w:t>
            </w:r>
          </w:p>
        </w:tc>
        <w:tc>
          <w:tcPr>
            <w:tcW w:w="6129" w:type="dxa"/>
          </w:tcPr>
          <w:p w14:paraId="3BEAEA16"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w:t>
            </w:r>
          </w:p>
        </w:tc>
      </w:tr>
      <w:tr w:rsidR="008D1DB2" w:rsidRPr="00480726" w14:paraId="1573B2B9" w14:textId="77777777" w:rsidTr="00F67CEF">
        <w:tc>
          <w:tcPr>
            <w:tcW w:w="1406" w:type="dxa"/>
          </w:tcPr>
          <w:p w14:paraId="64183AE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5.804</w:t>
            </w:r>
          </w:p>
        </w:tc>
        <w:tc>
          <w:tcPr>
            <w:tcW w:w="1816" w:type="dxa"/>
          </w:tcPr>
          <w:p w14:paraId="1099B01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24/07/2003</w:t>
            </w:r>
          </w:p>
        </w:tc>
        <w:tc>
          <w:tcPr>
            <w:tcW w:w="6129" w:type="dxa"/>
          </w:tcPr>
          <w:p w14:paraId="7304AD27"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Introduz alterações no Regulamento aprovado pelo Decreto nº 3.822, de 10 de julho de 1992.</w:t>
            </w:r>
          </w:p>
        </w:tc>
      </w:tr>
      <w:tr w:rsidR="008D1DB2" w:rsidRPr="00480726" w14:paraId="6E20CB19" w14:textId="77777777" w:rsidTr="00F67CEF">
        <w:tc>
          <w:tcPr>
            <w:tcW w:w="1406" w:type="dxa"/>
          </w:tcPr>
          <w:p w14:paraId="129C18E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5.821</w:t>
            </w:r>
          </w:p>
        </w:tc>
        <w:tc>
          <w:tcPr>
            <w:tcW w:w="1816" w:type="dxa"/>
          </w:tcPr>
          <w:p w14:paraId="0975455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03/09/2003</w:t>
            </w:r>
          </w:p>
        </w:tc>
        <w:tc>
          <w:tcPr>
            <w:tcW w:w="6129" w:type="dxa"/>
          </w:tcPr>
          <w:p w14:paraId="72F2F7FE"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os Regulamentos do Fundo de Participação e Fomento à Industrialização do Estado de Goiás - FOMENTAR, e do Programa de Desenvolvimento Industrial de Goiás - PRODUZIR, aprovados pelos Decretos nos 3.822, de 10 de julho de 1992, e 5.265, de 31 de junho de 2000, respectivamente.</w:t>
            </w:r>
          </w:p>
        </w:tc>
      </w:tr>
      <w:tr w:rsidR="008D1DB2" w:rsidRPr="00480726" w14:paraId="2AF6389F" w14:textId="77777777" w:rsidTr="00F67CEF">
        <w:tc>
          <w:tcPr>
            <w:tcW w:w="1406" w:type="dxa"/>
          </w:tcPr>
          <w:p w14:paraId="7B1C79C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5.833</w:t>
            </w:r>
          </w:p>
        </w:tc>
        <w:tc>
          <w:tcPr>
            <w:tcW w:w="1816" w:type="dxa"/>
          </w:tcPr>
          <w:p w14:paraId="0E79100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30/09/2003</w:t>
            </w:r>
          </w:p>
        </w:tc>
        <w:tc>
          <w:tcPr>
            <w:tcW w:w="6129" w:type="dxa"/>
          </w:tcPr>
          <w:p w14:paraId="5568A7B2"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os Decretos nºs 5.265, de 31 de julho de 2000, 5.515, de 20 de novembro de 2001, e 5.686, de 02 de dezembro de 2002.</w:t>
            </w:r>
          </w:p>
        </w:tc>
      </w:tr>
      <w:tr w:rsidR="008D1DB2" w:rsidRPr="00480726" w14:paraId="3F8D8C12" w14:textId="77777777" w:rsidTr="00F67CEF">
        <w:tc>
          <w:tcPr>
            <w:tcW w:w="1406" w:type="dxa"/>
          </w:tcPr>
          <w:p w14:paraId="42E7074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5.834</w:t>
            </w:r>
          </w:p>
        </w:tc>
        <w:tc>
          <w:tcPr>
            <w:tcW w:w="1816" w:type="dxa"/>
          </w:tcPr>
          <w:p w14:paraId="340DF3C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30/09/2003</w:t>
            </w:r>
          </w:p>
        </w:tc>
        <w:tc>
          <w:tcPr>
            <w:tcW w:w="6129" w:type="dxa"/>
          </w:tcPr>
          <w:p w14:paraId="164DBE63"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w:t>
            </w:r>
          </w:p>
        </w:tc>
      </w:tr>
      <w:tr w:rsidR="008D1DB2" w:rsidRPr="00480726" w14:paraId="0BF7055A" w14:textId="77777777" w:rsidTr="00F67CEF">
        <w:tc>
          <w:tcPr>
            <w:tcW w:w="1406" w:type="dxa"/>
          </w:tcPr>
          <w:p w14:paraId="3443598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5.835</w:t>
            </w:r>
          </w:p>
        </w:tc>
        <w:tc>
          <w:tcPr>
            <w:tcW w:w="1816" w:type="dxa"/>
          </w:tcPr>
          <w:p w14:paraId="16CEFC85"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01/10/2003</w:t>
            </w:r>
          </w:p>
        </w:tc>
        <w:tc>
          <w:tcPr>
            <w:tcW w:w="6129" w:type="dxa"/>
          </w:tcPr>
          <w:p w14:paraId="1DBA37AF"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Regulamenta o incentivo Apoio à Instalação e Expansão de Empresas Operadoras de Logística de Distribuição de Produtos no Estado de Goiás – LOGPRODUZIR -, subprograma do Programa de Desenvolvimento Industrial de Goiás – PRODUZIR.</w:t>
            </w:r>
          </w:p>
        </w:tc>
      </w:tr>
      <w:tr w:rsidR="008D1DB2" w:rsidRPr="00480726" w14:paraId="1C0DED97" w14:textId="77777777" w:rsidTr="00F67CEF">
        <w:tc>
          <w:tcPr>
            <w:tcW w:w="1406" w:type="dxa"/>
          </w:tcPr>
          <w:p w14:paraId="1E94F9D5"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5.836</w:t>
            </w:r>
          </w:p>
        </w:tc>
        <w:tc>
          <w:tcPr>
            <w:tcW w:w="1816" w:type="dxa"/>
          </w:tcPr>
          <w:p w14:paraId="5441135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01/10/2003</w:t>
            </w:r>
          </w:p>
        </w:tc>
        <w:tc>
          <w:tcPr>
            <w:tcW w:w="6129" w:type="dxa"/>
          </w:tcPr>
          <w:p w14:paraId="5F8F6B22"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w:t>
            </w:r>
          </w:p>
        </w:tc>
      </w:tr>
      <w:tr w:rsidR="008D1DB2" w:rsidRPr="00480726" w14:paraId="3D85A78D" w14:textId="77777777" w:rsidTr="00F67CEF">
        <w:tc>
          <w:tcPr>
            <w:tcW w:w="1406" w:type="dxa"/>
          </w:tcPr>
          <w:p w14:paraId="5D608575"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5.884</w:t>
            </w:r>
          </w:p>
        </w:tc>
        <w:tc>
          <w:tcPr>
            <w:tcW w:w="1816" w:type="dxa"/>
          </w:tcPr>
          <w:p w14:paraId="5AECBDE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30/12/2003</w:t>
            </w:r>
          </w:p>
        </w:tc>
        <w:tc>
          <w:tcPr>
            <w:tcW w:w="6129" w:type="dxa"/>
          </w:tcPr>
          <w:p w14:paraId="473E5668"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Aprova e ratifica os Convênios ICMS 70/03 a 104/03, o Convênio Arrecadação 1/03 e os Ajustes SINIEF 6/03 a 10/03 e altera o Decreto nº 4.852, de 29 de dezembro de 1997, Regulamento do Código Tributário do Estado de Goiás.</w:t>
            </w:r>
          </w:p>
        </w:tc>
      </w:tr>
      <w:tr w:rsidR="008D1DB2" w:rsidRPr="00480726" w14:paraId="75CDE19D" w14:textId="77777777" w:rsidTr="00F67CEF">
        <w:tc>
          <w:tcPr>
            <w:tcW w:w="1406" w:type="dxa"/>
          </w:tcPr>
          <w:p w14:paraId="4B79A8E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5.885</w:t>
            </w:r>
          </w:p>
        </w:tc>
        <w:tc>
          <w:tcPr>
            <w:tcW w:w="1816" w:type="dxa"/>
          </w:tcPr>
          <w:p w14:paraId="1551C09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30/12/2003</w:t>
            </w:r>
          </w:p>
        </w:tc>
        <w:tc>
          <w:tcPr>
            <w:tcW w:w="6129" w:type="dxa"/>
            <w:vMerge w:val="restart"/>
          </w:tcPr>
          <w:p w14:paraId="7C557747"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w:t>
            </w:r>
          </w:p>
        </w:tc>
      </w:tr>
      <w:tr w:rsidR="008D1DB2" w:rsidRPr="00480726" w14:paraId="465F51F7" w14:textId="77777777" w:rsidTr="00F67CEF">
        <w:tc>
          <w:tcPr>
            <w:tcW w:w="1406" w:type="dxa"/>
          </w:tcPr>
          <w:p w14:paraId="765549E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5.937</w:t>
            </w:r>
          </w:p>
        </w:tc>
        <w:tc>
          <w:tcPr>
            <w:tcW w:w="1816" w:type="dxa"/>
          </w:tcPr>
          <w:p w14:paraId="4102201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30/04/2004</w:t>
            </w:r>
          </w:p>
        </w:tc>
        <w:tc>
          <w:tcPr>
            <w:tcW w:w="6129" w:type="dxa"/>
            <w:vMerge/>
          </w:tcPr>
          <w:p w14:paraId="09957968" w14:textId="77777777" w:rsidR="008D1DB2" w:rsidRPr="00480726" w:rsidRDefault="008D1DB2" w:rsidP="00BB1F4F">
            <w:pPr>
              <w:spacing w:line="360" w:lineRule="auto"/>
              <w:jc w:val="both"/>
              <w:rPr>
                <w:rFonts w:ascii="Arial" w:hAnsi="Arial" w:cs="Arial"/>
                <w:sz w:val="24"/>
                <w:szCs w:val="24"/>
              </w:rPr>
            </w:pPr>
          </w:p>
        </w:tc>
      </w:tr>
      <w:tr w:rsidR="008D1DB2" w:rsidRPr="00480726" w14:paraId="4E9FF2B3" w14:textId="77777777" w:rsidTr="00F67CEF">
        <w:tc>
          <w:tcPr>
            <w:tcW w:w="1406" w:type="dxa"/>
          </w:tcPr>
          <w:p w14:paraId="51D839A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5.956</w:t>
            </w:r>
          </w:p>
        </w:tc>
        <w:tc>
          <w:tcPr>
            <w:tcW w:w="1816" w:type="dxa"/>
          </w:tcPr>
          <w:p w14:paraId="6F27F1F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09/06/2004</w:t>
            </w:r>
          </w:p>
        </w:tc>
        <w:tc>
          <w:tcPr>
            <w:tcW w:w="6129" w:type="dxa"/>
            <w:vMerge/>
          </w:tcPr>
          <w:p w14:paraId="6A796837" w14:textId="77777777" w:rsidR="008D1DB2" w:rsidRPr="00480726" w:rsidRDefault="008D1DB2" w:rsidP="00BB1F4F">
            <w:pPr>
              <w:spacing w:line="360" w:lineRule="auto"/>
              <w:jc w:val="both"/>
              <w:rPr>
                <w:rFonts w:ascii="Arial" w:hAnsi="Arial" w:cs="Arial"/>
                <w:sz w:val="24"/>
                <w:szCs w:val="24"/>
              </w:rPr>
            </w:pPr>
          </w:p>
        </w:tc>
      </w:tr>
      <w:tr w:rsidR="008D1DB2" w:rsidRPr="00480726" w14:paraId="3D7B8821" w14:textId="77777777" w:rsidTr="00F67CEF">
        <w:tc>
          <w:tcPr>
            <w:tcW w:w="1406" w:type="dxa"/>
          </w:tcPr>
          <w:p w14:paraId="692EAC5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6.002</w:t>
            </w:r>
          </w:p>
        </w:tc>
        <w:tc>
          <w:tcPr>
            <w:tcW w:w="1816" w:type="dxa"/>
          </w:tcPr>
          <w:p w14:paraId="3E978F3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02/09/2004</w:t>
            </w:r>
          </w:p>
        </w:tc>
        <w:tc>
          <w:tcPr>
            <w:tcW w:w="6129" w:type="dxa"/>
          </w:tcPr>
          <w:p w14:paraId="575D9DCC"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Introduz alterações no texto do Regulamento do Programa de Desenvolvimento Industrial de Goiás - PRODUZIR, aprovado pelo Decreto no 5.265, de 31 de julho de 2000.</w:t>
            </w:r>
          </w:p>
        </w:tc>
      </w:tr>
      <w:tr w:rsidR="008D1DB2" w:rsidRPr="00480726" w14:paraId="7EE3EC8B" w14:textId="77777777" w:rsidTr="00F67CEF">
        <w:tc>
          <w:tcPr>
            <w:tcW w:w="1406" w:type="dxa"/>
          </w:tcPr>
          <w:p w14:paraId="47223ED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6.028</w:t>
            </w:r>
          </w:p>
        </w:tc>
        <w:tc>
          <w:tcPr>
            <w:tcW w:w="1816" w:type="dxa"/>
          </w:tcPr>
          <w:p w14:paraId="07D1AAA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04/11/2004</w:t>
            </w:r>
          </w:p>
        </w:tc>
        <w:tc>
          <w:tcPr>
            <w:tcW w:w="6129" w:type="dxa"/>
            <w:vMerge w:val="restart"/>
          </w:tcPr>
          <w:p w14:paraId="118D9042"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w:t>
            </w:r>
          </w:p>
        </w:tc>
      </w:tr>
      <w:tr w:rsidR="008D1DB2" w:rsidRPr="00480726" w14:paraId="1249F96D" w14:textId="77777777" w:rsidTr="00F67CEF">
        <w:tc>
          <w:tcPr>
            <w:tcW w:w="1406" w:type="dxa"/>
          </w:tcPr>
          <w:p w14:paraId="08F6960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6.090</w:t>
            </w:r>
          </w:p>
        </w:tc>
        <w:tc>
          <w:tcPr>
            <w:tcW w:w="1816" w:type="dxa"/>
          </w:tcPr>
          <w:p w14:paraId="76E60BA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28/02/2005</w:t>
            </w:r>
          </w:p>
        </w:tc>
        <w:tc>
          <w:tcPr>
            <w:tcW w:w="6129" w:type="dxa"/>
            <w:vMerge/>
          </w:tcPr>
          <w:p w14:paraId="725A6E64" w14:textId="77777777" w:rsidR="008D1DB2" w:rsidRPr="00480726" w:rsidRDefault="008D1DB2" w:rsidP="00BB1F4F">
            <w:pPr>
              <w:spacing w:line="360" w:lineRule="auto"/>
              <w:jc w:val="both"/>
              <w:rPr>
                <w:rFonts w:ascii="Arial" w:hAnsi="Arial" w:cs="Arial"/>
                <w:sz w:val="24"/>
                <w:szCs w:val="24"/>
              </w:rPr>
            </w:pPr>
          </w:p>
        </w:tc>
      </w:tr>
      <w:tr w:rsidR="008D1DB2" w:rsidRPr="00480726" w14:paraId="0961BDE2" w14:textId="77777777" w:rsidTr="00F67CEF">
        <w:tc>
          <w:tcPr>
            <w:tcW w:w="1406" w:type="dxa"/>
          </w:tcPr>
          <w:p w14:paraId="3AF2914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6.121</w:t>
            </w:r>
          </w:p>
        </w:tc>
        <w:tc>
          <w:tcPr>
            <w:tcW w:w="1816" w:type="dxa"/>
          </w:tcPr>
          <w:p w14:paraId="06BB4F7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14/04/2005</w:t>
            </w:r>
          </w:p>
        </w:tc>
        <w:tc>
          <w:tcPr>
            <w:tcW w:w="6129" w:type="dxa"/>
          </w:tcPr>
          <w:p w14:paraId="5AE474CD"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Regulamenta o art. 3º da Lei no 14.806, de 09 de junho de 2004, altera o Regulamento do Fundo de Participação e Fomento à Industrialização do Estado de Goiás - FOMENTAR, baixado pelo Decreto no 3.822, de 10 de julho de 1992, e dá outras providências.</w:t>
            </w:r>
          </w:p>
        </w:tc>
      </w:tr>
      <w:tr w:rsidR="008D1DB2" w:rsidRPr="00480726" w14:paraId="28E94E5B" w14:textId="77777777" w:rsidTr="00F67CEF">
        <w:tc>
          <w:tcPr>
            <w:tcW w:w="1406" w:type="dxa"/>
          </w:tcPr>
          <w:p w14:paraId="05BE3FA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6.179</w:t>
            </w:r>
          </w:p>
        </w:tc>
        <w:tc>
          <w:tcPr>
            <w:tcW w:w="1816" w:type="dxa"/>
          </w:tcPr>
          <w:p w14:paraId="6E9D88A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24/06/2005</w:t>
            </w:r>
          </w:p>
        </w:tc>
        <w:tc>
          <w:tcPr>
            <w:tcW w:w="6129" w:type="dxa"/>
            <w:vMerge w:val="restart"/>
          </w:tcPr>
          <w:p w14:paraId="2C8FEFA5"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w:t>
            </w:r>
          </w:p>
        </w:tc>
      </w:tr>
      <w:tr w:rsidR="008D1DB2" w:rsidRPr="00480726" w14:paraId="7B696DD5" w14:textId="77777777" w:rsidTr="00F67CEF">
        <w:tc>
          <w:tcPr>
            <w:tcW w:w="1406" w:type="dxa"/>
          </w:tcPr>
          <w:p w14:paraId="196FC27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6.180</w:t>
            </w:r>
          </w:p>
        </w:tc>
        <w:tc>
          <w:tcPr>
            <w:tcW w:w="1816" w:type="dxa"/>
          </w:tcPr>
          <w:p w14:paraId="6F850F8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24/06/2005</w:t>
            </w:r>
          </w:p>
        </w:tc>
        <w:tc>
          <w:tcPr>
            <w:tcW w:w="6129" w:type="dxa"/>
            <w:vMerge/>
          </w:tcPr>
          <w:p w14:paraId="5EB25B67" w14:textId="77777777" w:rsidR="008D1DB2" w:rsidRPr="00480726" w:rsidRDefault="008D1DB2" w:rsidP="00BB1F4F">
            <w:pPr>
              <w:spacing w:line="360" w:lineRule="auto"/>
              <w:jc w:val="both"/>
              <w:rPr>
                <w:rFonts w:ascii="Arial" w:hAnsi="Arial" w:cs="Arial"/>
                <w:sz w:val="24"/>
                <w:szCs w:val="24"/>
              </w:rPr>
            </w:pPr>
          </w:p>
        </w:tc>
      </w:tr>
      <w:tr w:rsidR="008D1DB2" w:rsidRPr="00480726" w14:paraId="6E9708A1" w14:textId="77777777" w:rsidTr="00F67CEF">
        <w:tc>
          <w:tcPr>
            <w:tcW w:w="1406" w:type="dxa"/>
          </w:tcPr>
          <w:p w14:paraId="16A7886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6.182</w:t>
            </w:r>
          </w:p>
        </w:tc>
        <w:tc>
          <w:tcPr>
            <w:tcW w:w="1816" w:type="dxa"/>
          </w:tcPr>
          <w:p w14:paraId="3428B35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27/06/2005</w:t>
            </w:r>
          </w:p>
        </w:tc>
        <w:tc>
          <w:tcPr>
            <w:tcW w:w="6129" w:type="dxa"/>
            <w:vMerge/>
          </w:tcPr>
          <w:p w14:paraId="18757F08" w14:textId="77777777" w:rsidR="008D1DB2" w:rsidRPr="00480726" w:rsidRDefault="008D1DB2" w:rsidP="00BB1F4F">
            <w:pPr>
              <w:spacing w:line="360" w:lineRule="auto"/>
              <w:jc w:val="both"/>
              <w:rPr>
                <w:rFonts w:ascii="Arial" w:hAnsi="Arial" w:cs="Arial"/>
                <w:sz w:val="24"/>
                <w:szCs w:val="24"/>
              </w:rPr>
            </w:pPr>
          </w:p>
        </w:tc>
      </w:tr>
      <w:tr w:rsidR="008D1DB2" w:rsidRPr="00480726" w14:paraId="7960FC03" w14:textId="77777777" w:rsidTr="00F67CEF">
        <w:tc>
          <w:tcPr>
            <w:tcW w:w="1406" w:type="dxa"/>
          </w:tcPr>
          <w:p w14:paraId="3333079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6.204</w:t>
            </w:r>
          </w:p>
        </w:tc>
        <w:tc>
          <w:tcPr>
            <w:tcW w:w="1816" w:type="dxa"/>
          </w:tcPr>
          <w:p w14:paraId="47B621E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01/08/2005</w:t>
            </w:r>
          </w:p>
        </w:tc>
        <w:tc>
          <w:tcPr>
            <w:tcW w:w="6129" w:type="dxa"/>
          </w:tcPr>
          <w:p w14:paraId="313FD87D"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Decreto nº 5.686/02, que regulamenta o incentivo Apoio ao Comércio Exterior no Estado de Goiás – COMEXPRODUZIR, Subprograma do Programa de Desenvolvimento Industrial de Goiás – PRODUZIR.</w:t>
            </w:r>
          </w:p>
        </w:tc>
      </w:tr>
      <w:tr w:rsidR="008D1DB2" w:rsidRPr="00480726" w14:paraId="18636115" w14:textId="77777777" w:rsidTr="00F67CEF">
        <w:tc>
          <w:tcPr>
            <w:tcW w:w="1406" w:type="dxa"/>
          </w:tcPr>
          <w:p w14:paraId="18B0FFA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6.206</w:t>
            </w:r>
          </w:p>
        </w:tc>
        <w:tc>
          <w:tcPr>
            <w:tcW w:w="1816" w:type="dxa"/>
          </w:tcPr>
          <w:p w14:paraId="594D1145"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01/08/2005</w:t>
            </w:r>
          </w:p>
        </w:tc>
        <w:tc>
          <w:tcPr>
            <w:tcW w:w="6129" w:type="dxa"/>
          </w:tcPr>
          <w:p w14:paraId="7C9C6F36"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Regulamento do Programa de Desenvolvimento Industrial de Goiás - PRODUZIR, aprovado pelo Decreto nº 5.265/2000.</w:t>
            </w:r>
          </w:p>
        </w:tc>
      </w:tr>
      <w:tr w:rsidR="008D1DB2" w:rsidRPr="00480726" w14:paraId="2257F461" w14:textId="77777777" w:rsidTr="00F67CEF">
        <w:tc>
          <w:tcPr>
            <w:tcW w:w="1406" w:type="dxa"/>
          </w:tcPr>
          <w:p w14:paraId="37901CD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6.324</w:t>
            </w:r>
          </w:p>
        </w:tc>
        <w:tc>
          <w:tcPr>
            <w:tcW w:w="1816" w:type="dxa"/>
          </w:tcPr>
          <w:p w14:paraId="2EAF8FD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15/12/2005</w:t>
            </w:r>
          </w:p>
        </w:tc>
        <w:tc>
          <w:tcPr>
            <w:tcW w:w="6129" w:type="dxa"/>
          </w:tcPr>
          <w:p w14:paraId="202E113C" w14:textId="77777777" w:rsidR="008D1DB2" w:rsidRPr="00480726" w:rsidRDefault="008D1DB2" w:rsidP="00BB1F4F">
            <w:pPr>
              <w:spacing w:line="360" w:lineRule="auto"/>
              <w:jc w:val="both"/>
              <w:rPr>
                <w:rFonts w:ascii="Arial" w:hAnsi="Arial" w:cs="Arial"/>
                <w:sz w:val="24"/>
                <w:szCs w:val="24"/>
              </w:rPr>
            </w:pPr>
            <w:r w:rsidRPr="00480726">
              <w:rPr>
                <w:rFonts w:ascii="Arial" w:hAnsi="Arial" w:cs="Arial"/>
                <w:sz w:val="24"/>
                <w:szCs w:val="24"/>
              </w:rPr>
              <w:t>Altera o art. 42 do Regulamento do Fundo de Participação e Fomento à Industrialização do Estado de Goiás – FOMENTAR, aprovado pelo Decreto nº 3.822/1992.</w:t>
            </w:r>
          </w:p>
        </w:tc>
      </w:tr>
      <w:tr w:rsidR="008D1DB2" w:rsidRPr="00480726" w14:paraId="23971DC7" w14:textId="77777777" w:rsidTr="00F67CEF">
        <w:tc>
          <w:tcPr>
            <w:tcW w:w="1406" w:type="dxa"/>
          </w:tcPr>
          <w:p w14:paraId="2346EEF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6.460</w:t>
            </w:r>
          </w:p>
        </w:tc>
        <w:tc>
          <w:tcPr>
            <w:tcW w:w="1816" w:type="dxa"/>
          </w:tcPr>
          <w:p w14:paraId="7349C59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29/05/2006</w:t>
            </w:r>
          </w:p>
        </w:tc>
        <w:tc>
          <w:tcPr>
            <w:tcW w:w="6129" w:type="dxa"/>
          </w:tcPr>
          <w:p w14:paraId="702DAEC8"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w:t>
            </w:r>
          </w:p>
        </w:tc>
      </w:tr>
      <w:tr w:rsidR="008D1DB2" w:rsidRPr="00480726" w14:paraId="082E5433" w14:textId="77777777" w:rsidTr="00F67CEF">
        <w:tc>
          <w:tcPr>
            <w:tcW w:w="1406" w:type="dxa"/>
          </w:tcPr>
          <w:p w14:paraId="775E1D2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6.480</w:t>
            </w:r>
          </w:p>
        </w:tc>
        <w:tc>
          <w:tcPr>
            <w:tcW w:w="1816" w:type="dxa"/>
          </w:tcPr>
          <w:p w14:paraId="7091546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27/06/2006</w:t>
            </w:r>
          </w:p>
        </w:tc>
        <w:tc>
          <w:tcPr>
            <w:tcW w:w="6129" w:type="dxa"/>
          </w:tcPr>
          <w:p w14:paraId="126001B6"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Introduz alterações no Regulamento do Programa de Desenvolvimento Industrial de Goiás – PRODUZIR – aprovado pelo Decreto nº 5.265, de 31 de julho de 2000, e dá outras providências.</w:t>
            </w:r>
          </w:p>
        </w:tc>
      </w:tr>
      <w:tr w:rsidR="008D1DB2" w:rsidRPr="00480726" w14:paraId="7DE81CDA" w14:textId="77777777" w:rsidTr="00F67CEF">
        <w:tc>
          <w:tcPr>
            <w:tcW w:w="1406" w:type="dxa"/>
          </w:tcPr>
          <w:p w14:paraId="7460DB0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6.484</w:t>
            </w:r>
          </w:p>
        </w:tc>
        <w:tc>
          <w:tcPr>
            <w:tcW w:w="1816" w:type="dxa"/>
          </w:tcPr>
          <w:p w14:paraId="42BF85B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03/07/2006</w:t>
            </w:r>
          </w:p>
        </w:tc>
        <w:tc>
          <w:tcPr>
            <w:tcW w:w="6129" w:type="dxa"/>
          </w:tcPr>
          <w:p w14:paraId="4879A628"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Regulamento do Programa de Desenvolvimento Industrial de Goiás – PRODUZIR –, aprovado pelo Decreto n.º 5.265/00 e os Decretos nº 5.515/01 e 5.686/02 que tratam dos subprogramas CENTROPRODUZIR e COMEXPRODUZIR.</w:t>
            </w:r>
          </w:p>
        </w:tc>
      </w:tr>
      <w:tr w:rsidR="008D1DB2" w:rsidRPr="00480726" w14:paraId="5A276D49" w14:textId="77777777" w:rsidTr="00F67CEF">
        <w:tc>
          <w:tcPr>
            <w:tcW w:w="1406" w:type="dxa"/>
          </w:tcPr>
          <w:p w14:paraId="4CA7CC9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6.537</w:t>
            </w:r>
          </w:p>
        </w:tc>
        <w:tc>
          <w:tcPr>
            <w:tcW w:w="1816" w:type="dxa"/>
          </w:tcPr>
          <w:p w14:paraId="5C61486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23/08/2006</w:t>
            </w:r>
          </w:p>
        </w:tc>
        <w:tc>
          <w:tcPr>
            <w:tcW w:w="6129" w:type="dxa"/>
          </w:tcPr>
          <w:p w14:paraId="1B244994"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w:t>
            </w:r>
          </w:p>
        </w:tc>
      </w:tr>
      <w:tr w:rsidR="008D1DB2" w:rsidRPr="00480726" w14:paraId="3A70CE00" w14:textId="77777777" w:rsidTr="00F67CEF">
        <w:tc>
          <w:tcPr>
            <w:tcW w:w="1406" w:type="dxa"/>
          </w:tcPr>
          <w:p w14:paraId="35985E0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6.547</w:t>
            </w:r>
          </w:p>
        </w:tc>
        <w:tc>
          <w:tcPr>
            <w:tcW w:w="1816" w:type="dxa"/>
          </w:tcPr>
          <w:p w14:paraId="315C7B4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18/09/2006</w:t>
            </w:r>
          </w:p>
        </w:tc>
        <w:tc>
          <w:tcPr>
            <w:tcW w:w="6129" w:type="dxa"/>
          </w:tcPr>
          <w:p w14:paraId="43F21DDF"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w:t>
            </w:r>
          </w:p>
        </w:tc>
      </w:tr>
      <w:tr w:rsidR="008D1DB2" w:rsidRPr="00480726" w14:paraId="5EC0C269" w14:textId="77777777" w:rsidTr="00F67CEF">
        <w:tc>
          <w:tcPr>
            <w:tcW w:w="1406" w:type="dxa"/>
          </w:tcPr>
          <w:p w14:paraId="149BB59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6.551</w:t>
            </w:r>
          </w:p>
        </w:tc>
        <w:tc>
          <w:tcPr>
            <w:tcW w:w="1816" w:type="dxa"/>
          </w:tcPr>
          <w:p w14:paraId="3492F2D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03/10/2006</w:t>
            </w:r>
          </w:p>
        </w:tc>
        <w:tc>
          <w:tcPr>
            <w:tcW w:w="6129" w:type="dxa"/>
          </w:tcPr>
          <w:p w14:paraId="047A3144"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Aprova e ratifica os Convênios ECF 3/06 e ICMS 30/06 a 70/06, os Protocolos ICMS 12/06, 19/06 e 26/06, o Ajuste SINIEF 4/06 e altera o Decreto nº 4.852, de 29 de dezembro de 1997, Regulamento do Código Tributário do Estado de Goiás.</w:t>
            </w:r>
          </w:p>
        </w:tc>
      </w:tr>
      <w:tr w:rsidR="008D1DB2" w:rsidRPr="00480726" w14:paraId="042FF620" w14:textId="77777777" w:rsidTr="00F67CEF">
        <w:tc>
          <w:tcPr>
            <w:tcW w:w="1406" w:type="dxa"/>
          </w:tcPr>
          <w:p w14:paraId="23EF25A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6.629</w:t>
            </w:r>
          </w:p>
        </w:tc>
        <w:tc>
          <w:tcPr>
            <w:tcW w:w="1816" w:type="dxa"/>
          </w:tcPr>
          <w:p w14:paraId="2883C2D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11/06/2007</w:t>
            </w:r>
          </w:p>
        </w:tc>
        <w:tc>
          <w:tcPr>
            <w:tcW w:w="6129" w:type="dxa"/>
          </w:tcPr>
          <w:p w14:paraId="61D6B022"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Aprova e ratifica os Convênios ICMS 78/06 a 124/06, 126/06 a 148, 150 a 167/06, 1/07 e 5/07, o Convênio ECF 4/06, os Protocolos ICMS 31/06, 32/06, 34/06 a 38/06, 41/06 e 49/06, os Ajustes SINIEF 5/06 a 8/06, e altera o Decreto nº 4.852, de 29 de dezembro de 1997, Regulamento do Código Tributário do Estado de Goiás.</w:t>
            </w:r>
          </w:p>
        </w:tc>
      </w:tr>
      <w:tr w:rsidR="008D1DB2" w:rsidRPr="00480726" w14:paraId="292D77DB" w14:textId="77777777" w:rsidTr="00F67CEF">
        <w:tc>
          <w:tcPr>
            <w:tcW w:w="1406" w:type="dxa"/>
          </w:tcPr>
          <w:p w14:paraId="3F01E11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6.634</w:t>
            </w:r>
          </w:p>
        </w:tc>
        <w:tc>
          <w:tcPr>
            <w:tcW w:w="1816" w:type="dxa"/>
          </w:tcPr>
          <w:p w14:paraId="4624594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14/06/2007</w:t>
            </w:r>
          </w:p>
        </w:tc>
        <w:tc>
          <w:tcPr>
            <w:tcW w:w="6129" w:type="dxa"/>
          </w:tcPr>
          <w:p w14:paraId="7B81447D"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Aprova e ratifica os Convênios ICMS 2/07 a 4/07, 6/07 e 7/7 e o Protocolo ICMS 3/07 e altera o Decreto nº 4.852, de 29 de dezembro de 1997, Regulamento do Código Tributário do Estado de Goiás.</w:t>
            </w:r>
          </w:p>
        </w:tc>
      </w:tr>
      <w:tr w:rsidR="008D1DB2" w:rsidRPr="00480726" w14:paraId="5CDD73BD" w14:textId="77777777" w:rsidTr="00F67CEF">
        <w:tc>
          <w:tcPr>
            <w:tcW w:w="1406" w:type="dxa"/>
          </w:tcPr>
          <w:p w14:paraId="505BDD8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6.659</w:t>
            </w:r>
          </w:p>
        </w:tc>
        <w:tc>
          <w:tcPr>
            <w:tcW w:w="1816" w:type="dxa"/>
          </w:tcPr>
          <w:p w14:paraId="6F4F77F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21/08/2007</w:t>
            </w:r>
          </w:p>
        </w:tc>
        <w:tc>
          <w:tcPr>
            <w:tcW w:w="6129" w:type="dxa"/>
          </w:tcPr>
          <w:p w14:paraId="56BAF1DC"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Aprova e ratifica os Convênios ICMS 8/07 a 43/07, 45/07 a 84/07 e 86/07 a 101/07, os Protocolos ICMS 42/05, 7/07, 10/07, 20/07, 25/07, 30/07, 32/07 e 33/07, o Protocolo ECF 1/07, os Ajustes SINIEF 2/07 a 7/07 e altera o Decreto nº 4.852, de 29 de dezembro de 1997, Regulamento do Código Tributário do Estado de Goiás.</w:t>
            </w:r>
          </w:p>
        </w:tc>
      </w:tr>
      <w:tr w:rsidR="008D1DB2" w:rsidRPr="00480726" w14:paraId="43FAB037" w14:textId="77777777" w:rsidTr="00F67CEF">
        <w:tc>
          <w:tcPr>
            <w:tcW w:w="1406" w:type="dxa"/>
          </w:tcPr>
          <w:p w14:paraId="36AE0C4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6.717</w:t>
            </w:r>
          </w:p>
        </w:tc>
        <w:tc>
          <w:tcPr>
            <w:tcW w:w="1816" w:type="dxa"/>
          </w:tcPr>
          <w:p w14:paraId="4E1ABC5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06/02/2008</w:t>
            </w:r>
          </w:p>
        </w:tc>
        <w:tc>
          <w:tcPr>
            <w:tcW w:w="6129" w:type="dxa"/>
          </w:tcPr>
          <w:p w14:paraId="72B9262E"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Aprova e ratifica os Convênios ICMS 110/07 a 150/07, os Protocolos ICMS 46/07, 72/07 a 75/07, 85/07, 86/07, 88/07 e 96/07 e os Ajustes SINIEF 8/07 a 14/07 e altera o Decreto nº 4.852, de 29 de dezembro de 1997, Regulamento do Código Tributário do Estado de Goiás.</w:t>
            </w:r>
          </w:p>
        </w:tc>
      </w:tr>
      <w:tr w:rsidR="008D1DB2" w:rsidRPr="00480726" w14:paraId="54EAA3A8" w14:textId="77777777" w:rsidTr="00F67CEF">
        <w:tc>
          <w:tcPr>
            <w:tcW w:w="1406" w:type="dxa"/>
          </w:tcPr>
          <w:p w14:paraId="0347116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6.755</w:t>
            </w:r>
          </w:p>
        </w:tc>
        <w:tc>
          <w:tcPr>
            <w:tcW w:w="1816" w:type="dxa"/>
          </w:tcPr>
          <w:p w14:paraId="5873C46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30/06/2008</w:t>
            </w:r>
          </w:p>
        </w:tc>
        <w:tc>
          <w:tcPr>
            <w:tcW w:w="6129" w:type="dxa"/>
            <w:vMerge w:val="restart"/>
          </w:tcPr>
          <w:p w14:paraId="6C42ACC3"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w:t>
            </w:r>
          </w:p>
        </w:tc>
      </w:tr>
      <w:tr w:rsidR="008D1DB2" w:rsidRPr="00480726" w14:paraId="1332AC47" w14:textId="77777777" w:rsidTr="00F67CEF">
        <w:tc>
          <w:tcPr>
            <w:tcW w:w="1406" w:type="dxa"/>
          </w:tcPr>
          <w:p w14:paraId="489556B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6.769</w:t>
            </w:r>
          </w:p>
        </w:tc>
        <w:tc>
          <w:tcPr>
            <w:tcW w:w="1816" w:type="dxa"/>
          </w:tcPr>
          <w:p w14:paraId="242DBAC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30/07/2008</w:t>
            </w:r>
          </w:p>
        </w:tc>
        <w:tc>
          <w:tcPr>
            <w:tcW w:w="6129" w:type="dxa"/>
            <w:vMerge/>
          </w:tcPr>
          <w:p w14:paraId="096217AB" w14:textId="77777777" w:rsidR="008D1DB2" w:rsidRPr="00480726" w:rsidRDefault="008D1DB2" w:rsidP="00A558D3">
            <w:pPr>
              <w:spacing w:line="360" w:lineRule="auto"/>
              <w:jc w:val="both"/>
              <w:rPr>
                <w:rFonts w:ascii="Arial" w:hAnsi="Arial" w:cs="Arial"/>
                <w:sz w:val="24"/>
                <w:szCs w:val="24"/>
              </w:rPr>
            </w:pPr>
          </w:p>
        </w:tc>
      </w:tr>
      <w:tr w:rsidR="008D1DB2" w:rsidRPr="00480726" w14:paraId="5B1A542B" w14:textId="77777777" w:rsidTr="00F67CEF">
        <w:tc>
          <w:tcPr>
            <w:tcW w:w="1406" w:type="dxa"/>
          </w:tcPr>
          <w:p w14:paraId="1A07D94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6.776</w:t>
            </w:r>
          </w:p>
        </w:tc>
        <w:tc>
          <w:tcPr>
            <w:tcW w:w="1816" w:type="dxa"/>
          </w:tcPr>
          <w:p w14:paraId="3A26C565"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12/08/2008</w:t>
            </w:r>
          </w:p>
        </w:tc>
        <w:tc>
          <w:tcPr>
            <w:tcW w:w="6129" w:type="dxa"/>
          </w:tcPr>
          <w:p w14:paraId="7C6F764D"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 xml:space="preserve">Aprova e ratifica os Convênios ICMS 1/08 a 95/08, o Convênio ECF 1/08, os Protocolos ICMS 27/08, 31/08 a 35/08, 42 a 44/08, 53/08 a 56/08, 64/08, 68/08 e 69/08, </w:t>
            </w:r>
            <w:r w:rsidRPr="00480726">
              <w:rPr>
                <w:rFonts w:ascii="Arial" w:hAnsi="Arial" w:cs="Arial"/>
                <w:sz w:val="24"/>
                <w:szCs w:val="24"/>
              </w:rPr>
              <w:lastRenderedPageBreak/>
              <w:t>os Ajustes SINIEF 2/08 a 9/08 e altera o Decreto nº 4.852, de 29 de dezembro de 1997, Regulamento do Código Tributário do Estado de Goiás</w:t>
            </w:r>
          </w:p>
        </w:tc>
      </w:tr>
      <w:tr w:rsidR="008D1DB2" w:rsidRPr="00480726" w14:paraId="0B2CD6FE" w14:textId="77777777" w:rsidTr="00F67CEF">
        <w:tc>
          <w:tcPr>
            <w:tcW w:w="1406" w:type="dxa"/>
          </w:tcPr>
          <w:p w14:paraId="1C1BDA8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6.812</w:t>
            </w:r>
          </w:p>
        </w:tc>
        <w:tc>
          <w:tcPr>
            <w:tcW w:w="1816" w:type="dxa"/>
          </w:tcPr>
          <w:p w14:paraId="739C2065"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06/11/2008</w:t>
            </w:r>
          </w:p>
        </w:tc>
        <w:tc>
          <w:tcPr>
            <w:tcW w:w="6129" w:type="dxa"/>
          </w:tcPr>
          <w:p w14:paraId="4793C657"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Regulamento do Fundo de Participação e Fomento à Industrialização do Estado de Goiás – FOMENTAR, instituído pelo Decreto nº 3.822/1992.</w:t>
            </w:r>
          </w:p>
        </w:tc>
      </w:tr>
      <w:tr w:rsidR="008D1DB2" w:rsidRPr="00480726" w14:paraId="49EE6C13" w14:textId="77777777" w:rsidTr="00F67CEF">
        <w:tc>
          <w:tcPr>
            <w:tcW w:w="1406" w:type="dxa"/>
          </w:tcPr>
          <w:p w14:paraId="52408A8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6.837</w:t>
            </w:r>
          </w:p>
        </w:tc>
        <w:tc>
          <w:tcPr>
            <w:tcW w:w="1816" w:type="dxa"/>
          </w:tcPr>
          <w:p w14:paraId="110EC54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17/12/2008</w:t>
            </w:r>
          </w:p>
        </w:tc>
        <w:tc>
          <w:tcPr>
            <w:tcW w:w="6129" w:type="dxa"/>
          </w:tcPr>
          <w:p w14:paraId="7EB391D4"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 – RCTE.</w:t>
            </w:r>
          </w:p>
        </w:tc>
      </w:tr>
      <w:tr w:rsidR="008D1DB2" w:rsidRPr="00480726" w14:paraId="72BB6A5C" w14:textId="77777777" w:rsidTr="00F67CEF">
        <w:tc>
          <w:tcPr>
            <w:tcW w:w="1406" w:type="dxa"/>
          </w:tcPr>
          <w:p w14:paraId="5AB4EAB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6.928</w:t>
            </w:r>
          </w:p>
        </w:tc>
        <w:tc>
          <w:tcPr>
            <w:tcW w:w="1816" w:type="dxa"/>
          </w:tcPr>
          <w:p w14:paraId="699C87A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10/06/2009</w:t>
            </w:r>
          </w:p>
        </w:tc>
        <w:tc>
          <w:tcPr>
            <w:tcW w:w="6129" w:type="dxa"/>
          </w:tcPr>
          <w:p w14:paraId="350DEFF5"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 – e dispõe sobre o estoque de lâmpadas classificadas no código 8539.2 da Nomenclatura Comum do Mercosul - NCM - submetidas ao regime de substituição tributária.</w:t>
            </w:r>
          </w:p>
        </w:tc>
      </w:tr>
      <w:tr w:rsidR="008D1DB2" w:rsidRPr="00480726" w14:paraId="066C550A" w14:textId="77777777" w:rsidTr="00F67CEF">
        <w:tc>
          <w:tcPr>
            <w:tcW w:w="1406" w:type="dxa"/>
          </w:tcPr>
          <w:p w14:paraId="1AEC3BE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6.938</w:t>
            </w:r>
          </w:p>
        </w:tc>
        <w:tc>
          <w:tcPr>
            <w:tcW w:w="1816" w:type="dxa"/>
          </w:tcPr>
          <w:p w14:paraId="73C2660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06/07/2009</w:t>
            </w:r>
          </w:p>
        </w:tc>
        <w:tc>
          <w:tcPr>
            <w:tcW w:w="6129" w:type="dxa"/>
          </w:tcPr>
          <w:p w14:paraId="03D11056"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Aprova e ratifica os Ajustes SINIEF 2/09 a 4/09, os Convênios ICMS 3/09 a 38/09 e os Protocolos ICMS 4/09 a 9/09, 12/09 a 14/09 e 16/09 e altera o Decreto nº 4.852, de 29 de dezembro de 1997, Regulamento do Código Tributário do Estado de Goiás – RCTE</w:t>
            </w:r>
          </w:p>
        </w:tc>
      </w:tr>
      <w:tr w:rsidR="008D1DB2" w:rsidRPr="00480726" w14:paraId="52E1A7D5" w14:textId="77777777" w:rsidTr="00F67CEF">
        <w:tc>
          <w:tcPr>
            <w:tcW w:w="1406" w:type="dxa"/>
          </w:tcPr>
          <w:p w14:paraId="0507110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6.939</w:t>
            </w:r>
          </w:p>
        </w:tc>
        <w:tc>
          <w:tcPr>
            <w:tcW w:w="1816" w:type="dxa"/>
          </w:tcPr>
          <w:p w14:paraId="7B256D25"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06/07/2009</w:t>
            </w:r>
          </w:p>
        </w:tc>
        <w:tc>
          <w:tcPr>
            <w:tcW w:w="6129" w:type="dxa"/>
          </w:tcPr>
          <w:p w14:paraId="65D90D57"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w:t>
            </w:r>
          </w:p>
        </w:tc>
      </w:tr>
      <w:tr w:rsidR="008D1DB2" w:rsidRPr="00480726" w14:paraId="7736C5DA" w14:textId="77777777" w:rsidTr="00F67CEF">
        <w:tc>
          <w:tcPr>
            <w:tcW w:w="1406" w:type="dxa"/>
          </w:tcPr>
          <w:p w14:paraId="35F07F6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6.979</w:t>
            </w:r>
          </w:p>
        </w:tc>
        <w:tc>
          <w:tcPr>
            <w:tcW w:w="1816" w:type="dxa"/>
          </w:tcPr>
          <w:p w14:paraId="66556BC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11/09/2009</w:t>
            </w:r>
          </w:p>
        </w:tc>
        <w:tc>
          <w:tcPr>
            <w:tcW w:w="6129" w:type="dxa"/>
          </w:tcPr>
          <w:p w14:paraId="7613F8A5"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Regulamento do Programa de Desenvolvimento Industrial de Goiás – PRODUZIR –, aprovado pelo Decreto nº 5.265/00, e o Regulamento do Fundo de Participação e Fomento à Industrialização do Estado de Goiás – FOMENTAR –, aprovado pelo Decreto nº 3.822/92.</w:t>
            </w:r>
          </w:p>
        </w:tc>
      </w:tr>
      <w:tr w:rsidR="008D1DB2" w:rsidRPr="00480726" w14:paraId="044B837D" w14:textId="77777777" w:rsidTr="00F67CEF">
        <w:tc>
          <w:tcPr>
            <w:tcW w:w="1406" w:type="dxa"/>
          </w:tcPr>
          <w:p w14:paraId="0B513C6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7.012</w:t>
            </w:r>
          </w:p>
        </w:tc>
        <w:tc>
          <w:tcPr>
            <w:tcW w:w="1816" w:type="dxa"/>
          </w:tcPr>
          <w:p w14:paraId="4686E6C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28/10/2009</w:t>
            </w:r>
          </w:p>
        </w:tc>
        <w:tc>
          <w:tcPr>
            <w:tcW w:w="6129" w:type="dxa"/>
          </w:tcPr>
          <w:p w14:paraId="405126D5"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 – RCTE.</w:t>
            </w:r>
          </w:p>
        </w:tc>
      </w:tr>
      <w:tr w:rsidR="008D1DB2" w:rsidRPr="00480726" w14:paraId="5D525C13" w14:textId="77777777" w:rsidTr="00F67CEF">
        <w:tc>
          <w:tcPr>
            <w:tcW w:w="1406" w:type="dxa"/>
          </w:tcPr>
          <w:p w14:paraId="5FFFF82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7.013</w:t>
            </w:r>
          </w:p>
        </w:tc>
        <w:tc>
          <w:tcPr>
            <w:tcW w:w="1816" w:type="dxa"/>
          </w:tcPr>
          <w:p w14:paraId="79E09EC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28/10/2009</w:t>
            </w:r>
          </w:p>
        </w:tc>
        <w:tc>
          <w:tcPr>
            <w:tcW w:w="6129" w:type="dxa"/>
          </w:tcPr>
          <w:p w14:paraId="3939111D"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w:t>
            </w:r>
          </w:p>
        </w:tc>
      </w:tr>
      <w:tr w:rsidR="008D1DB2" w:rsidRPr="00480726" w14:paraId="6D4EC7D6" w14:textId="77777777" w:rsidTr="00F67CEF">
        <w:tc>
          <w:tcPr>
            <w:tcW w:w="1406" w:type="dxa"/>
          </w:tcPr>
          <w:p w14:paraId="3BA33D3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7.020</w:t>
            </w:r>
          </w:p>
        </w:tc>
        <w:tc>
          <w:tcPr>
            <w:tcW w:w="1816" w:type="dxa"/>
          </w:tcPr>
          <w:p w14:paraId="00711C1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05/11/2009</w:t>
            </w:r>
          </w:p>
        </w:tc>
        <w:tc>
          <w:tcPr>
            <w:tcW w:w="6129" w:type="dxa"/>
          </w:tcPr>
          <w:p w14:paraId="0E4E4F8F"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Regulamenta o Incentivo à Instalação de Empresas Industriais Montadoras no Estado de Goiás – PROGREDIR – Subprograma do Programa de Desenvolvimento Industrial de Goiás – PRODUZIR –, instituído pela Lei no 15.939, de 29 de dezembro de 2006.</w:t>
            </w:r>
          </w:p>
        </w:tc>
      </w:tr>
      <w:tr w:rsidR="008D1DB2" w:rsidRPr="00480726" w14:paraId="291FA3C5" w14:textId="77777777" w:rsidTr="00F67CEF">
        <w:tc>
          <w:tcPr>
            <w:tcW w:w="1406" w:type="dxa"/>
          </w:tcPr>
          <w:p w14:paraId="02554C8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7.026</w:t>
            </w:r>
          </w:p>
        </w:tc>
        <w:tc>
          <w:tcPr>
            <w:tcW w:w="1816" w:type="dxa"/>
          </w:tcPr>
          <w:p w14:paraId="1D648E0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16/11/2009</w:t>
            </w:r>
          </w:p>
        </w:tc>
        <w:tc>
          <w:tcPr>
            <w:tcW w:w="6129" w:type="dxa"/>
          </w:tcPr>
          <w:p w14:paraId="35A8D5D2"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Regulamenta a aplicação da Lei nº 16.675, de 28 de julho de 2009, que dispõe sobre a transação e o parcelamento tributários em âmbito judicial.</w:t>
            </w:r>
          </w:p>
        </w:tc>
      </w:tr>
      <w:tr w:rsidR="008D1DB2" w:rsidRPr="00480726" w14:paraId="321B5D00" w14:textId="77777777" w:rsidTr="00F67CEF">
        <w:tc>
          <w:tcPr>
            <w:tcW w:w="1406" w:type="dxa"/>
          </w:tcPr>
          <w:p w14:paraId="3DDA852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7.027</w:t>
            </w:r>
          </w:p>
        </w:tc>
        <w:tc>
          <w:tcPr>
            <w:tcW w:w="1816" w:type="dxa"/>
          </w:tcPr>
          <w:p w14:paraId="0333C33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27/11/2009</w:t>
            </w:r>
          </w:p>
        </w:tc>
        <w:tc>
          <w:tcPr>
            <w:tcW w:w="6129" w:type="dxa"/>
          </w:tcPr>
          <w:p w14:paraId="73D449AD"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 – RCTE –; e dispõe sobre os procedimentos relativos à Escrituração Fiscal Digital – EFD – e ao estoque de mercadorias submetidas à substituição tributária, nas situações que especifica.</w:t>
            </w:r>
          </w:p>
        </w:tc>
      </w:tr>
      <w:tr w:rsidR="008D1DB2" w:rsidRPr="00480726" w14:paraId="4503BE13" w14:textId="77777777" w:rsidTr="00F67CEF">
        <w:tc>
          <w:tcPr>
            <w:tcW w:w="1406" w:type="dxa"/>
          </w:tcPr>
          <w:p w14:paraId="5ECB89D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7.029</w:t>
            </w:r>
          </w:p>
        </w:tc>
        <w:tc>
          <w:tcPr>
            <w:tcW w:w="1816" w:type="dxa"/>
          </w:tcPr>
          <w:p w14:paraId="4172CEF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23/11/2009</w:t>
            </w:r>
          </w:p>
        </w:tc>
        <w:tc>
          <w:tcPr>
            <w:tcW w:w="6129" w:type="dxa"/>
          </w:tcPr>
          <w:p w14:paraId="6C7AFB33"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Regulamento do Programa de Desenvolvimento Industrial de Goiás – PRODUZIR –, aprovado pelo Decreto nº 5.265/2000.</w:t>
            </w:r>
          </w:p>
        </w:tc>
      </w:tr>
      <w:tr w:rsidR="008D1DB2" w:rsidRPr="00480726" w14:paraId="6A89E634" w14:textId="77777777" w:rsidTr="00F67CEF">
        <w:tc>
          <w:tcPr>
            <w:tcW w:w="1406" w:type="dxa"/>
          </w:tcPr>
          <w:p w14:paraId="3B9FC42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7.078</w:t>
            </w:r>
          </w:p>
        </w:tc>
        <w:tc>
          <w:tcPr>
            <w:tcW w:w="1816" w:type="dxa"/>
          </w:tcPr>
          <w:p w14:paraId="7B340F0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17/03/2010</w:t>
            </w:r>
          </w:p>
        </w:tc>
        <w:tc>
          <w:tcPr>
            <w:tcW w:w="6129" w:type="dxa"/>
          </w:tcPr>
          <w:p w14:paraId="1731BF70"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Aprova e ratifica os Convênios ICMS 93/09 a 121/09, 1/10 e 2/10, Convênios ECF 1/09 e 2/09, os Ajustes SINIEF 14/09 e 15/09 e os Protocolos ICMS 182/09, 186/09, 187/09, 201/09, 225/09 e 1/10; e altera o Decreto nº 4.852, de 29 de dezembro de 1997, Regulamento do Código Tributário do Estado de Goiás.</w:t>
            </w:r>
          </w:p>
        </w:tc>
      </w:tr>
      <w:tr w:rsidR="008D1DB2" w:rsidRPr="00480726" w14:paraId="6CFC7AAC" w14:textId="77777777" w:rsidTr="00F67CEF">
        <w:tc>
          <w:tcPr>
            <w:tcW w:w="1406" w:type="dxa"/>
          </w:tcPr>
          <w:p w14:paraId="475153C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7.150</w:t>
            </w:r>
          </w:p>
        </w:tc>
        <w:tc>
          <w:tcPr>
            <w:tcW w:w="1816" w:type="dxa"/>
          </w:tcPr>
          <w:p w14:paraId="1607A89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21/09/2010</w:t>
            </w:r>
          </w:p>
        </w:tc>
        <w:tc>
          <w:tcPr>
            <w:tcW w:w="6129" w:type="dxa"/>
          </w:tcPr>
          <w:p w14:paraId="3EDADA7B"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 xml:space="preserve">Aprova e ratifica os Convênios ICMS 3/10 a 15/10, 17/10 a 83/10, Convênio ECF 1/10, Convênio Arrecadação 1/10, os Ajustes SINIEF 1/10 e 2/10 e os Protocolos ICMS 72/10, 73/10, 75/10, 79/10, 82/10 e 83/10; e altera o Decreto nº 4.852, de 29 de dezembro de 1997, </w:t>
            </w:r>
            <w:r w:rsidRPr="00480726">
              <w:rPr>
                <w:rFonts w:ascii="Arial" w:hAnsi="Arial" w:cs="Arial"/>
                <w:sz w:val="24"/>
                <w:szCs w:val="24"/>
              </w:rPr>
              <w:lastRenderedPageBreak/>
              <w:t>Regulamento do Código Tributário do Estado de Goiás – RCTE.</w:t>
            </w:r>
          </w:p>
        </w:tc>
      </w:tr>
      <w:tr w:rsidR="008D1DB2" w:rsidRPr="00480726" w14:paraId="60C1EED5" w14:textId="77777777" w:rsidTr="00F67CEF">
        <w:tc>
          <w:tcPr>
            <w:tcW w:w="1406" w:type="dxa"/>
          </w:tcPr>
          <w:p w14:paraId="2CFAF81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7.195</w:t>
            </w:r>
          </w:p>
        </w:tc>
        <w:tc>
          <w:tcPr>
            <w:tcW w:w="1816" w:type="dxa"/>
          </w:tcPr>
          <w:p w14:paraId="330C81D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29/12/2010</w:t>
            </w:r>
          </w:p>
        </w:tc>
        <w:tc>
          <w:tcPr>
            <w:tcW w:w="6129" w:type="dxa"/>
          </w:tcPr>
          <w:p w14:paraId="01DEF0A1"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Aprova e ratifica os Convênios ICMS 126/10 a 166/10, os Ajustes SINIEF 10/10 a 13/10 e os Protocolos ICMS 149/10, 150/10, 166/10 e 167/10; altera o Decreto nº 4.852, de 29 de dezembro de 1997, Regulamento do Código Tributário do Estado de Goiás – RCTE e dá outras providências.</w:t>
            </w:r>
          </w:p>
        </w:tc>
      </w:tr>
      <w:tr w:rsidR="008D1DB2" w:rsidRPr="00480726" w14:paraId="41F5AABA" w14:textId="77777777" w:rsidTr="00F67CEF">
        <w:tc>
          <w:tcPr>
            <w:tcW w:w="1406" w:type="dxa"/>
          </w:tcPr>
          <w:p w14:paraId="0AF450E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7.200</w:t>
            </w:r>
          </w:p>
        </w:tc>
        <w:tc>
          <w:tcPr>
            <w:tcW w:w="1816" w:type="dxa"/>
          </w:tcPr>
          <w:p w14:paraId="59CF76A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30/12/2010</w:t>
            </w:r>
          </w:p>
        </w:tc>
        <w:tc>
          <w:tcPr>
            <w:tcW w:w="6129" w:type="dxa"/>
          </w:tcPr>
          <w:p w14:paraId="0707668C"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7.020, de 29 de outubro de 2009 que regulamenta o Incentivo à Instalação de Empresas Industriais Montadoras no Estado de Goiás – PROGREDIR.</w:t>
            </w:r>
          </w:p>
        </w:tc>
      </w:tr>
      <w:tr w:rsidR="008D1DB2" w:rsidRPr="00480726" w14:paraId="08D3F733" w14:textId="77777777" w:rsidTr="00F67CEF">
        <w:tc>
          <w:tcPr>
            <w:tcW w:w="1406" w:type="dxa"/>
          </w:tcPr>
          <w:p w14:paraId="08A37F4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7.203</w:t>
            </w:r>
          </w:p>
        </w:tc>
        <w:tc>
          <w:tcPr>
            <w:tcW w:w="1816" w:type="dxa"/>
          </w:tcPr>
          <w:p w14:paraId="0357B61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30/12/2010</w:t>
            </w:r>
          </w:p>
        </w:tc>
        <w:tc>
          <w:tcPr>
            <w:tcW w:w="6129" w:type="dxa"/>
          </w:tcPr>
          <w:p w14:paraId="56F179A1"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 – RCTE.</w:t>
            </w:r>
          </w:p>
        </w:tc>
      </w:tr>
      <w:tr w:rsidR="008D1DB2" w:rsidRPr="00480726" w14:paraId="471DD405" w14:textId="77777777" w:rsidTr="00F67CEF">
        <w:tc>
          <w:tcPr>
            <w:tcW w:w="1406" w:type="dxa"/>
          </w:tcPr>
          <w:p w14:paraId="46BF0D9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7.227</w:t>
            </w:r>
          </w:p>
        </w:tc>
        <w:tc>
          <w:tcPr>
            <w:tcW w:w="1816" w:type="dxa"/>
          </w:tcPr>
          <w:p w14:paraId="2A79E85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25/02/2011</w:t>
            </w:r>
          </w:p>
        </w:tc>
        <w:tc>
          <w:tcPr>
            <w:tcW w:w="6129" w:type="dxa"/>
          </w:tcPr>
          <w:p w14:paraId="21D36D89"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w:t>
            </w:r>
          </w:p>
        </w:tc>
      </w:tr>
      <w:tr w:rsidR="008D1DB2" w:rsidRPr="00480726" w14:paraId="2B91691A" w14:textId="77777777" w:rsidTr="00F67CEF">
        <w:tc>
          <w:tcPr>
            <w:tcW w:w="1406" w:type="dxa"/>
          </w:tcPr>
          <w:p w14:paraId="5E5BA6F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7.243</w:t>
            </w:r>
          </w:p>
        </w:tc>
        <w:tc>
          <w:tcPr>
            <w:tcW w:w="1816" w:type="dxa"/>
          </w:tcPr>
          <w:p w14:paraId="7D2077A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04/03/2011</w:t>
            </w:r>
          </w:p>
        </w:tc>
        <w:tc>
          <w:tcPr>
            <w:tcW w:w="6129" w:type="dxa"/>
          </w:tcPr>
          <w:p w14:paraId="619BA838"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Decreto nº 4.852, de 29 de dezembro de 1997, Regulamento do Código Tributário do Estado de Goiás – RCTE.</w:t>
            </w:r>
          </w:p>
        </w:tc>
      </w:tr>
      <w:tr w:rsidR="008D1DB2" w:rsidRPr="00480726" w14:paraId="7B538E05" w14:textId="77777777" w:rsidTr="00F67CEF">
        <w:tc>
          <w:tcPr>
            <w:tcW w:w="1406" w:type="dxa"/>
          </w:tcPr>
          <w:p w14:paraId="0479CE7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7.249</w:t>
            </w:r>
          </w:p>
        </w:tc>
        <w:tc>
          <w:tcPr>
            <w:tcW w:w="1816" w:type="dxa"/>
          </w:tcPr>
          <w:p w14:paraId="4FF31BD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11/03/2011</w:t>
            </w:r>
          </w:p>
        </w:tc>
        <w:tc>
          <w:tcPr>
            <w:tcW w:w="6129" w:type="dxa"/>
          </w:tcPr>
          <w:p w14:paraId="3C7F5102"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Anexo IX do Decreto nº 4.852, de 29 de dezembro de 1997, Regulamento do Código Tributário do Estado de Goiás.</w:t>
            </w:r>
          </w:p>
        </w:tc>
      </w:tr>
      <w:tr w:rsidR="008D1DB2" w:rsidRPr="00480726" w14:paraId="5810DDEB" w14:textId="77777777" w:rsidTr="00F67CEF">
        <w:tc>
          <w:tcPr>
            <w:tcW w:w="1406" w:type="dxa"/>
          </w:tcPr>
          <w:p w14:paraId="4F7C3CE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7.345</w:t>
            </w:r>
          </w:p>
        </w:tc>
        <w:tc>
          <w:tcPr>
            <w:tcW w:w="1816" w:type="dxa"/>
          </w:tcPr>
          <w:p w14:paraId="6C39DAC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19/05/2011</w:t>
            </w:r>
          </w:p>
        </w:tc>
        <w:tc>
          <w:tcPr>
            <w:tcW w:w="6129" w:type="dxa"/>
          </w:tcPr>
          <w:p w14:paraId="028C366E"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w:t>
            </w:r>
          </w:p>
        </w:tc>
      </w:tr>
      <w:tr w:rsidR="008D1DB2" w:rsidRPr="00480726" w14:paraId="1F5E28C0" w14:textId="77777777" w:rsidTr="00F67CEF">
        <w:tc>
          <w:tcPr>
            <w:tcW w:w="1406" w:type="dxa"/>
          </w:tcPr>
          <w:p w14:paraId="1A1E76E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7.412</w:t>
            </w:r>
          </w:p>
        </w:tc>
        <w:tc>
          <w:tcPr>
            <w:tcW w:w="1816" w:type="dxa"/>
          </w:tcPr>
          <w:p w14:paraId="1DC4A0C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29/07/2011</w:t>
            </w:r>
          </w:p>
        </w:tc>
        <w:tc>
          <w:tcPr>
            <w:tcW w:w="6129" w:type="dxa"/>
          </w:tcPr>
          <w:p w14:paraId="1B5823B2"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 xml:space="preserve">Altera os Regulamentos do Fundo de Participação e Fomento à Industrialização do Estado de Goiás - FOMENTAR -, baixado pelo Decreto nº 3.822, de 10 de julho de 1992, e do Programa de Desenvolvimento </w:t>
            </w:r>
            <w:r w:rsidRPr="00480726">
              <w:rPr>
                <w:rFonts w:ascii="Arial" w:hAnsi="Arial" w:cs="Arial"/>
                <w:sz w:val="24"/>
                <w:szCs w:val="24"/>
              </w:rPr>
              <w:lastRenderedPageBreak/>
              <w:t>Industrial de Goiás – PRODUZIR -, aprovado pelo Decreto nº 5.265, de 31 de julho de 2000.</w:t>
            </w:r>
          </w:p>
        </w:tc>
      </w:tr>
      <w:tr w:rsidR="008D1DB2" w:rsidRPr="00480726" w14:paraId="039A62CE" w14:textId="77777777" w:rsidTr="00F67CEF">
        <w:tc>
          <w:tcPr>
            <w:tcW w:w="1406" w:type="dxa"/>
          </w:tcPr>
          <w:p w14:paraId="7A4E135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7.451</w:t>
            </w:r>
          </w:p>
        </w:tc>
        <w:tc>
          <w:tcPr>
            <w:tcW w:w="1816" w:type="dxa"/>
          </w:tcPr>
          <w:p w14:paraId="2049807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19/09/2011</w:t>
            </w:r>
          </w:p>
        </w:tc>
        <w:tc>
          <w:tcPr>
            <w:tcW w:w="6129" w:type="dxa"/>
          </w:tcPr>
          <w:p w14:paraId="3ED16EF4"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Decreto nº 4.852, de 29 de dezembro de 1997, Regulamento do Código Tributário do Estado de Goiás - RCTE.</w:t>
            </w:r>
          </w:p>
        </w:tc>
      </w:tr>
      <w:tr w:rsidR="008D1DB2" w:rsidRPr="00480726" w14:paraId="5088A48E" w14:textId="77777777" w:rsidTr="00F67CEF">
        <w:tc>
          <w:tcPr>
            <w:tcW w:w="1406" w:type="dxa"/>
          </w:tcPr>
          <w:p w14:paraId="54CD3C5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7.452</w:t>
            </w:r>
          </w:p>
        </w:tc>
        <w:tc>
          <w:tcPr>
            <w:tcW w:w="1816" w:type="dxa"/>
          </w:tcPr>
          <w:p w14:paraId="6090EF0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19/09/2011</w:t>
            </w:r>
          </w:p>
        </w:tc>
        <w:tc>
          <w:tcPr>
            <w:tcW w:w="6129" w:type="dxa"/>
          </w:tcPr>
          <w:p w14:paraId="332FEC4A"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Regulamento do Programa de Desenvolvimento Industrial de Goiás - PRODUZIR, aprovado pelo Decreto nº 5.265/00.</w:t>
            </w:r>
          </w:p>
        </w:tc>
      </w:tr>
      <w:tr w:rsidR="008D1DB2" w:rsidRPr="00480726" w14:paraId="568C0D96" w14:textId="77777777" w:rsidTr="00F67CEF">
        <w:tc>
          <w:tcPr>
            <w:tcW w:w="1406" w:type="dxa"/>
          </w:tcPr>
          <w:p w14:paraId="251DB4F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7.472</w:t>
            </w:r>
          </w:p>
        </w:tc>
        <w:tc>
          <w:tcPr>
            <w:tcW w:w="1816" w:type="dxa"/>
          </w:tcPr>
          <w:p w14:paraId="7FB4A90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26/10/2011</w:t>
            </w:r>
          </w:p>
        </w:tc>
        <w:tc>
          <w:tcPr>
            <w:tcW w:w="6129" w:type="dxa"/>
          </w:tcPr>
          <w:p w14:paraId="50C5FD1C"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Apêndice XII do Anexo IX do Decreto nº 4.852, de 29 de dezembro de 1997, Regulamento do Código Tributário do Estado de Goiás.</w:t>
            </w:r>
          </w:p>
        </w:tc>
      </w:tr>
      <w:tr w:rsidR="008D1DB2" w:rsidRPr="00480726" w14:paraId="001F7C2F" w14:textId="77777777" w:rsidTr="00F67CEF">
        <w:tc>
          <w:tcPr>
            <w:tcW w:w="1406" w:type="dxa"/>
          </w:tcPr>
          <w:p w14:paraId="55F21B5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7.520</w:t>
            </w:r>
          </w:p>
        </w:tc>
        <w:tc>
          <w:tcPr>
            <w:tcW w:w="1816" w:type="dxa"/>
          </w:tcPr>
          <w:p w14:paraId="440FCF5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22/12/2011</w:t>
            </w:r>
          </w:p>
        </w:tc>
        <w:tc>
          <w:tcPr>
            <w:tcW w:w="6129" w:type="dxa"/>
          </w:tcPr>
          <w:p w14:paraId="2D931F2B"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Anexo IX do Decreto nº 4.852, de 29 de dezembro de 1997, Regulamento do Código Tributário do Estado de Goiás - RCTE.</w:t>
            </w:r>
          </w:p>
        </w:tc>
      </w:tr>
      <w:tr w:rsidR="008D1DB2" w:rsidRPr="00480726" w14:paraId="3703B82B" w14:textId="77777777" w:rsidTr="00F67CEF">
        <w:tc>
          <w:tcPr>
            <w:tcW w:w="1406" w:type="dxa"/>
          </w:tcPr>
          <w:p w14:paraId="52EBB61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7.526</w:t>
            </w:r>
          </w:p>
        </w:tc>
        <w:tc>
          <w:tcPr>
            <w:tcW w:w="1816" w:type="dxa"/>
          </w:tcPr>
          <w:p w14:paraId="37B5983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28/12/2011</w:t>
            </w:r>
          </w:p>
        </w:tc>
        <w:tc>
          <w:tcPr>
            <w:tcW w:w="6129" w:type="dxa"/>
          </w:tcPr>
          <w:p w14:paraId="4C9CD0D1"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os Anexos VIII e IX do Decreto nº 4.852/97, Regulamento do Código Tributário do Estado – RCTE.</w:t>
            </w:r>
          </w:p>
        </w:tc>
      </w:tr>
      <w:tr w:rsidR="008D1DB2" w:rsidRPr="00480726" w14:paraId="07441401" w14:textId="77777777" w:rsidTr="00F67CEF">
        <w:tc>
          <w:tcPr>
            <w:tcW w:w="1406" w:type="dxa"/>
          </w:tcPr>
          <w:p w14:paraId="24BD261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7.527</w:t>
            </w:r>
          </w:p>
        </w:tc>
        <w:tc>
          <w:tcPr>
            <w:tcW w:w="1816" w:type="dxa"/>
          </w:tcPr>
          <w:p w14:paraId="076AD30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28/12/2011</w:t>
            </w:r>
          </w:p>
        </w:tc>
        <w:tc>
          <w:tcPr>
            <w:tcW w:w="6129" w:type="dxa"/>
            <w:vMerge w:val="restart"/>
          </w:tcPr>
          <w:p w14:paraId="282DFCB2"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Decreto nº 4.852, de 29 de dezembro de 1997, Regulamento do Código Tributário do Estado de Goiás - RCTE.</w:t>
            </w:r>
          </w:p>
        </w:tc>
      </w:tr>
      <w:tr w:rsidR="008D1DB2" w:rsidRPr="00480726" w14:paraId="1F8A2465" w14:textId="77777777" w:rsidTr="00F67CEF">
        <w:tc>
          <w:tcPr>
            <w:tcW w:w="1406" w:type="dxa"/>
          </w:tcPr>
          <w:p w14:paraId="59C02DF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7.568</w:t>
            </w:r>
          </w:p>
        </w:tc>
        <w:tc>
          <w:tcPr>
            <w:tcW w:w="1816" w:type="dxa"/>
          </w:tcPr>
          <w:p w14:paraId="3CAF96F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15/03/2012</w:t>
            </w:r>
          </w:p>
        </w:tc>
        <w:tc>
          <w:tcPr>
            <w:tcW w:w="6129" w:type="dxa"/>
            <w:vMerge/>
          </w:tcPr>
          <w:p w14:paraId="373FA42D" w14:textId="77777777" w:rsidR="008D1DB2" w:rsidRPr="00480726" w:rsidRDefault="008D1DB2" w:rsidP="00A558D3">
            <w:pPr>
              <w:tabs>
                <w:tab w:val="left" w:pos="900"/>
              </w:tabs>
              <w:spacing w:line="360" w:lineRule="auto"/>
              <w:jc w:val="both"/>
              <w:rPr>
                <w:rFonts w:ascii="Arial" w:hAnsi="Arial" w:cs="Arial"/>
                <w:sz w:val="24"/>
                <w:szCs w:val="24"/>
              </w:rPr>
            </w:pPr>
          </w:p>
        </w:tc>
      </w:tr>
      <w:tr w:rsidR="008D1DB2" w:rsidRPr="00480726" w14:paraId="64923382" w14:textId="77777777" w:rsidTr="00F67CEF">
        <w:tc>
          <w:tcPr>
            <w:tcW w:w="1406" w:type="dxa"/>
          </w:tcPr>
          <w:p w14:paraId="11A30C9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7.601</w:t>
            </w:r>
          </w:p>
        </w:tc>
        <w:tc>
          <w:tcPr>
            <w:tcW w:w="1816" w:type="dxa"/>
          </w:tcPr>
          <w:p w14:paraId="3725A9E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16/04/2012</w:t>
            </w:r>
          </w:p>
        </w:tc>
        <w:tc>
          <w:tcPr>
            <w:tcW w:w="6129" w:type="dxa"/>
          </w:tcPr>
          <w:p w14:paraId="3AF50373"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5.686, de 2 de dezembro de 2002, que regulamenta o incentivo Apoio ao Comércio Exterior no Estado de Goiás - COMEXPRODUZIR -, Subprograma do Programa de Desenvolvimento Industrial de Goiás - PRODUZIR.</w:t>
            </w:r>
          </w:p>
        </w:tc>
      </w:tr>
      <w:tr w:rsidR="008D1DB2" w:rsidRPr="00480726" w14:paraId="202BB3A4" w14:textId="77777777" w:rsidTr="00F67CEF">
        <w:tc>
          <w:tcPr>
            <w:tcW w:w="1406" w:type="dxa"/>
          </w:tcPr>
          <w:p w14:paraId="57CEEF2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7.620</w:t>
            </w:r>
          </w:p>
        </w:tc>
        <w:tc>
          <w:tcPr>
            <w:tcW w:w="1816" w:type="dxa"/>
          </w:tcPr>
          <w:p w14:paraId="38BA48D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16/05/2012</w:t>
            </w:r>
          </w:p>
        </w:tc>
        <w:tc>
          <w:tcPr>
            <w:tcW w:w="6129" w:type="dxa"/>
          </w:tcPr>
          <w:p w14:paraId="5D8A5D57"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 - e o Decreto nº 7.516/11.</w:t>
            </w:r>
          </w:p>
        </w:tc>
      </w:tr>
      <w:tr w:rsidR="008D1DB2" w:rsidRPr="00480726" w14:paraId="69EEB931" w14:textId="77777777" w:rsidTr="00F67CEF">
        <w:tc>
          <w:tcPr>
            <w:tcW w:w="1406" w:type="dxa"/>
          </w:tcPr>
          <w:p w14:paraId="479756A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7.677</w:t>
            </w:r>
          </w:p>
        </w:tc>
        <w:tc>
          <w:tcPr>
            <w:tcW w:w="1816" w:type="dxa"/>
          </w:tcPr>
          <w:p w14:paraId="13E4D1E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25/07/2012</w:t>
            </w:r>
          </w:p>
        </w:tc>
        <w:tc>
          <w:tcPr>
            <w:tcW w:w="6129" w:type="dxa"/>
          </w:tcPr>
          <w:p w14:paraId="4C54BD4B"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Decreto nº 4.852, de 29 de dezembro de 1997, Regulamento do Código Tributário do Estado de Goiás.</w:t>
            </w:r>
          </w:p>
        </w:tc>
      </w:tr>
      <w:tr w:rsidR="008D1DB2" w:rsidRPr="00480726" w14:paraId="677A94B6" w14:textId="77777777" w:rsidTr="00F67CEF">
        <w:tc>
          <w:tcPr>
            <w:tcW w:w="1406" w:type="dxa"/>
          </w:tcPr>
          <w:p w14:paraId="0643699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7.697</w:t>
            </w:r>
          </w:p>
        </w:tc>
        <w:tc>
          <w:tcPr>
            <w:tcW w:w="1816" w:type="dxa"/>
          </w:tcPr>
          <w:p w14:paraId="63358E3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17/08/2012</w:t>
            </w:r>
          </w:p>
        </w:tc>
        <w:tc>
          <w:tcPr>
            <w:tcW w:w="6129" w:type="dxa"/>
          </w:tcPr>
          <w:p w14:paraId="189D5961"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Anexo IX do Decreto nº 4.852, de 29 de dezembro de 1997, Regulamento do Código Tributário do Estado de Goiás - RCTE.</w:t>
            </w:r>
          </w:p>
        </w:tc>
      </w:tr>
      <w:tr w:rsidR="008D1DB2" w:rsidRPr="00480726" w14:paraId="2F878CDC" w14:textId="77777777" w:rsidTr="00F67CEF">
        <w:tc>
          <w:tcPr>
            <w:tcW w:w="1406" w:type="dxa"/>
          </w:tcPr>
          <w:p w14:paraId="64A7E5F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7.720</w:t>
            </w:r>
          </w:p>
        </w:tc>
        <w:tc>
          <w:tcPr>
            <w:tcW w:w="1816" w:type="dxa"/>
          </w:tcPr>
          <w:p w14:paraId="182E9C3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14/09/2012</w:t>
            </w:r>
          </w:p>
        </w:tc>
        <w:tc>
          <w:tcPr>
            <w:tcW w:w="6129" w:type="dxa"/>
          </w:tcPr>
          <w:p w14:paraId="4F2A9449"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Dá nova redação aos §§ 1º e 2º do art. 3º do Regulamento do Fundo de Participação e Fomento à Industrialização do Estado de Goiás – FOMENTAR –, baixado pelo Decreto nº 3.822, de 10 de julho de 1992.</w:t>
            </w:r>
          </w:p>
        </w:tc>
      </w:tr>
      <w:tr w:rsidR="008D1DB2" w:rsidRPr="00480726" w14:paraId="0D38984D" w14:textId="77777777" w:rsidTr="00F67CEF">
        <w:tc>
          <w:tcPr>
            <w:tcW w:w="1406" w:type="dxa"/>
          </w:tcPr>
          <w:p w14:paraId="7E33B3A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7.758</w:t>
            </w:r>
          </w:p>
        </w:tc>
        <w:tc>
          <w:tcPr>
            <w:tcW w:w="1816" w:type="dxa"/>
          </w:tcPr>
          <w:p w14:paraId="2080F94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12/11/2012</w:t>
            </w:r>
          </w:p>
        </w:tc>
        <w:tc>
          <w:tcPr>
            <w:tcW w:w="6129" w:type="dxa"/>
          </w:tcPr>
          <w:p w14:paraId="0EE89F6C"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Introduz alterações nos textos do Decreto nº 6.121, de 08 de abril de 2005, e do Regulamento do FOMENTAR baixado pelo Decreto nº 3.822, de 10 de julho de 1992, e dá outras providências.</w:t>
            </w:r>
          </w:p>
        </w:tc>
      </w:tr>
      <w:tr w:rsidR="008D1DB2" w:rsidRPr="00480726" w14:paraId="35893B3C" w14:textId="77777777" w:rsidTr="00F67CEF">
        <w:tc>
          <w:tcPr>
            <w:tcW w:w="1406" w:type="dxa"/>
          </w:tcPr>
          <w:p w14:paraId="4F377FF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7.777</w:t>
            </w:r>
          </w:p>
        </w:tc>
        <w:tc>
          <w:tcPr>
            <w:tcW w:w="1816" w:type="dxa"/>
          </w:tcPr>
          <w:p w14:paraId="1F33FC5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27/12/2012</w:t>
            </w:r>
          </w:p>
        </w:tc>
        <w:tc>
          <w:tcPr>
            <w:tcW w:w="6129" w:type="dxa"/>
            <w:vMerge w:val="restart"/>
          </w:tcPr>
          <w:p w14:paraId="286493DD"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4.852, de 29 de dezembro de 1997, Regulamento do Código Tributário do Estado de Goiás - RCTE.</w:t>
            </w:r>
          </w:p>
        </w:tc>
      </w:tr>
      <w:tr w:rsidR="008D1DB2" w:rsidRPr="00480726" w14:paraId="27D39DD1" w14:textId="77777777" w:rsidTr="00F67CEF">
        <w:tc>
          <w:tcPr>
            <w:tcW w:w="1406" w:type="dxa"/>
          </w:tcPr>
          <w:p w14:paraId="6CB23E3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7.806</w:t>
            </w:r>
          </w:p>
        </w:tc>
        <w:tc>
          <w:tcPr>
            <w:tcW w:w="1816" w:type="dxa"/>
          </w:tcPr>
          <w:p w14:paraId="0D0ABB6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25/02/2013</w:t>
            </w:r>
          </w:p>
        </w:tc>
        <w:tc>
          <w:tcPr>
            <w:tcW w:w="6129" w:type="dxa"/>
            <w:vMerge/>
          </w:tcPr>
          <w:p w14:paraId="6FC3063F" w14:textId="77777777" w:rsidR="008D1DB2" w:rsidRPr="00480726" w:rsidRDefault="008D1DB2" w:rsidP="00A558D3">
            <w:pPr>
              <w:spacing w:line="360" w:lineRule="auto"/>
              <w:jc w:val="both"/>
              <w:rPr>
                <w:rFonts w:ascii="Arial" w:hAnsi="Arial" w:cs="Arial"/>
                <w:sz w:val="24"/>
                <w:szCs w:val="24"/>
              </w:rPr>
            </w:pPr>
          </w:p>
        </w:tc>
      </w:tr>
      <w:tr w:rsidR="008D1DB2" w:rsidRPr="00480726" w14:paraId="756B8459" w14:textId="77777777" w:rsidTr="00F67CEF">
        <w:tc>
          <w:tcPr>
            <w:tcW w:w="1406" w:type="dxa"/>
          </w:tcPr>
          <w:p w14:paraId="7C5A295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7.815</w:t>
            </w:r>
          </w:p>
        </w:tc>
        <w:tc>
          <w:tcPr>
            <w:tcW w:w="1816" w:type="dxa"/>
          </w:tcPr>
          <w:p w14:paraId="29F2288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27/02/2013</w:t>
            </w:r>
          </w:p>
        </w:tc>
        <w:tc>
          <w:tcPr>
            <w:tcW w:w="6129" w:type="dxa"/>
            <w:vMerge/>
          </w:tcPr>
          <w:p w14:paraId="4A09CF89" w14:textId="77777777" w:rsidR="008D1DB2" w:rsidRPr="00480726" w:rsidRDefault="008D1DB2" w:rsidP="00A558D3">
            <w:pPr>
              <w:spacing w:line="360" w:lineRule="auto"/>
              <w:jc w:val="both"/>
              <w:rPr>
                <w:rFonts w:ascii="Arial" w:hAnsi="Arial" w:cs="Arial"/>
                <w:sz w:val="24"/>
                <w:szCs w:val="24"/>
              </w:rPr>
            </w:pPr>
          </w:p>
        </w:tc>
      </w:tr>
      <w:tr w:rsidR="008D1DB2" w:rsidRPr="00480726" w14:paraId="176340E1" w14:textId="77777777" w:rsidTr="00F67CEF">
        <w:tc>
          <w:tcPr>
            <w:tcW w:w="1406" w:type="dxa"/>
          </w:tcPr>
          <w:p w14:paraId="38C1326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7.817</w:t>
            </w:r>
          </w:p>
        </w:tc>
        <w:tc>
          <w:tcPr>
            <w:tcW w:w="1816" w:type="dxa"/>
          </w:tcPr>
          <w:p w14:paraId="66B7A52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27/02/2013</w:t>
            </w:r>
          </w:p>
        </w:tc>
        <w:tc>
          <w:tcPr>
            <w:tcW w:w="6129" w:type="dxa"/>
          </w:tcPr>
          <w:p w14:paraId="2E47E685"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4.852, de 29 de dezembro de 1997, Regulamento do Código Tributário do Estado de Goiás - RCTE - e o Decreto nº 7.345, de 18 de maio de 2012.</w:t>
            </w:r>
          </w:p>
        </w:tc>
      </w:tr>
      <w:tr w:rsidR="008D1DB2" w:rsidRPr="00480726" w14:paraId="6EA8D08F" w14:textId="77777777" w:rsidTr="00F67CEF">
        <w:tc>
          <w:tcPr>
            <w:tcW w:w="1406" w:type="dxa"/>
          </w:tcPr>
          <w:p w14:paraId="55BCB2E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7.891</w:t>
            </w:r>
          </w:p>
        </w:tc>
        <w:tc>
          <w:tcPr>
            <w:tcW w:w="1816" w:type="dxa"/>
          </w:tcPr>
          <w:p w14:paraId="43294155"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23/05/2013</w:t>
            </w:r>
          </w:p>
        </w:tc>
        <w:tc>
          <w:tcPr>
            <w:tcW w:w="6129" w:type="dxa"/>
          </w:tcPr>
          <w:p w14:paraId="20BC30CC"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Decreto nº 4.852, de 29 de dezembro de 1997, Regulamento do Código Tributário do Estado de Goiás.</w:t>
            </w:r>
          </w:p>
        </w:tc>
      </w:tr>
      <w:tr w:rsidR="008D1DB2" w:rsidRPr="00480726" w14:paraId="159B98C8" w14:textId="77777777" w:rsidTr="00F67CEF">
        <w:tc>
          <w:tcPr>
            <w:tcW w:w="1406" w:type="dxa"/>
          </w:tcPr>
          <w:p w14:paraId="5D55DE9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7.936</w:t>
            </w:r>
          </w:p>
        </w:tc>
        <w:tc>
          <w:tcPr>
            <w:tcW w:w="1816" w:type="dxa"/>
          </w:tcPr>
          <w:p w14:paraId="4249C67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18/07/2013</w:t>
            </w:r>
          </w:p>
        </w:tc>
        <w:tc>
          <w:tcPr>
            <w:tcW w:w="6129" w:type="dxa"/>
          </w:tcPr>
          <w:p w14:paraId="234E8045"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Decreto nº 4.852, de 29 de dezembro de 1997, Regulamento do Código Tributário do Estado de Goiás.</w:t>
            </w:r>
          </w:p>
        </w:tc>
      </w:tr>
      <w:tr w:rsidR="008D1DB2" w:rsidRPr="00480726" w14:paraId="634E2F49" w14:textId="77777777" w:rsidTr="00F67CEF">
        <w:tc>
          <w:tcPr>
            <w:tcW w:w="1406" w:type="dxa"/>
          </w:tcPr>
          <w:p w14:paraId="0D40EF9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7.937</w:t>
            </w:r>
          </w:p>
        </w:tc>
        <w:tc>
          <w:tcPr>
            <w:tcW w:w="1816" w:type="dxa"/>
          </w:tcPr>
          <w:p w14:paraId="0F348A3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18/07/2013</w:t>
            </w:r>
          </w:p>
        </w:tc>
        <w:tc>
          <w:tcPr>
            <w:tcW w:w="6129" w:type="dxa"/>
          </w:tcPr>
          <w:p w14:paraId="6DA80ED7"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Anexo IX do Decreto nº 4.852, de 29 de dezembro de 1997, Regulamento do Código Tributário do Estado de Goiás - RCTE.</w:t>
            </w:r>
          </w:p>
        </w:tc>
      </w:tr>
      <w:tr w:rsidR="008D1DB2" w:rsidRPr="00480726" w14:paraId="59540BA2" w14:textId="77777777" w:rsidTr="00F67CEF">
        <w:tc>
          <w:tcPr>
            <w:tcW w:w="1406" w:type="dxa"/>
          </w:tcPr>
          <w:p w14:paraId="4978F3F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7.980</w:t>
            </w:r>
          </w:p>
        </w:tc>
        <w:tc>
          <w:tcPr>
            <w:tcW w:w="1816" w:type="dxa"/>
          </w:tcPr>
          <w:p w14:paraId="4034FD0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28/08/2013</w:t>
            </w:r>
          </w:p>
        </w:tc>
        <w:tc>
          <w:tcPr>
            <w:tcW w:w="6129" w:type="dxa"/>
            <w:vMerge w:val="restart"/>
          </w:tcPr>
          <w:p w14:paraId="4BDC3117"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Decreto no 4.852, de 29 de dezembro de 1997, Regulamento do Código Tributário do Estado de Goiás – RCTE.</w:t>
            </w:r>
          </w:p>
        </w:tc>
      </w:tr>
      <w:tr w:rsidR="008D1DB2" w:rsidRPr="00480726" w14:paraId="23A7B8BB" w14:textId="77777777" w:rsidTr="00F67CEF">
        <w:tc>
          <w:tcPr>
            <w:tcW w:w="1406" w:type="dxa"/>
          </w:tcPr>
          <w:p w14:paraId="084F1C3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7.983</w:t>
            </w:r>
          </w:p>
        </w:tc>
        <w:tc>
          <w:tcPr>
            <w:tcW w:w="1816" w:type="dxa"/>
          </w:tcPr>
          <w:p w14:paraId="5DFB60E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28/08/2013</w:t>
            </w:r>
          </w:p>
        </w:tc>
        <w:tc>
          <w:tcPr>
            <w:tcW w:w="6129" w:type="dxa"/>
            <w:vMerge/>
          </w:tcPr>
          <w:p w14:paraId="0FC214E1" w14:textId="77777777" w:rsidR="008D1DB2" w:rsidRPr="00480726" w:rsidRDefault="008D1DB2" w:rsidP="00A558D3">
            <w:pPr>
              <w:spacing w:line="360" w:lineRule="auto"/>
              <w:jc w:val="both"/>
              <w:rPr>
                <w:rFonts w:ascii="Arial" w:hAnsi="Arial" w:cs="Arial"/>
                <w:sz w:val="24"/>
                <w:szCs w:val="24"/>
              </w:rPr>
            </w:pPr>
          </w:p>
        </w:tc>
      </w:tr>
      <w:tr w:rsidR="008D1DB2" w:rsidRPr="00480726" w14:paraId="27E45377" w14:textId="77777777" w:rsidTr="00F67CEF">
        <w:tc>
          <w:tcPr>
            <w:tcW w:w="1406" w:type="dxa"/>
          </w:tcPr>
          <w:p w14:paraId="7466B23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8.017</w:t>
            </w:r>
          </w:p>
        </w:tc>
        <w:tc>
          <w:tcPr>
            <w:tcW w:w="1816" w:type="dxa"/>
          </w:tcPr>
          <w:p w14:paraId="22D0422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08/10/2013</w:t>
            </w:r>
          </w:p>
        </w:tc>
        <w:tc>
          <w:tcPr>
            <w:tcW w:w="6129" w:type="dxa"/>
            <w:vMerge/>
          </w:tcPr>
          <w:p w14:paraId="2A87696D" w14:textId="77777777" w:rsidR="008D1DB2" w:rsidRPr="00480726" w:rsidRDefault="008D1DB2" w:rsidP="00A558D3">
            <w:pPr>
              <w:spacing w:line="360" w:lineRule="auto"/>
              <w:jc w:val="both"/>
              <w:rPr>
                <w:rFonts w:ascii="Arial" w:hAnsi="Arial" w:cs="Arial"/>
                <w:sz w:val="24"/>
                <w:szCs w:val="24"/>
              </w:rPr>
            </w:pPr>
          </w:p>
        </w:tc>
      </w:tr>
      <w:tr w:rsidR="008D1DB2" w:rsidRPr="00480726" w14:paraId="7F8B5E56" w14:textId="77777777" w:rsidTr="00F67CEF">
        <w:tc>
          <w:tcPr>
            <w:tcW w:w="1406" w:type="dxa"/>
          </w:tcPr>
          <w:p w14:paraId="7D62C00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8.018</w:t>
            </w:r>
          </w:p>
        </w:tc>
        <w:tc>
          <w:tcPr>
            <w:tcW w:w="1816" w:type="dxa"/>
          </w:tcPr>
          <w:p w14:paraId="506E283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08/10/2013</w:t>
            </w:r>
          </w:p>
        </w:tc>
        <w:tc>
          <w:tcPr>
            <w:tcW w:w="6129" w:type="dxa"/>
          </w:tcPr>
          <w:p w14:paraId="2D0A4F27"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5.686, de 2 de dezembro de 2002, que regulamenta o incentivo Apoio ao Comércio Exterior no Estado de Goiás - COMEXPRODUZIR-, Subprograma do Programa de Desenvolvimento Industrial de Goiás - PRODUZIR.</w:t>
            </w:r>
          </w:p>
        </w:tc>
      </w:tr>
      <w:tr w:rsidR="008D1DB2" w:rsidRPr="00480726" w14:paraId="48611D61" w14:textId="77777777" w:rsidTr="00F67CEF">
        <w:tc>
          <w:tcPr>
            <w:tcW w:w="1406" w:type="dxa"/>
          </w:tcPr>
          <w:p w14:paraId="20AEFAE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8.042</w:t>
            </w:r>
          </w:p>
        </w:tc>
        <w:tc>
          <w:tcPr>
            <w:tcW w:w="1816" w:type="dxa"/>
          </w:tcPr>
          <w:p w14:paraId="73DC853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03/12/2013</w:t>
            </w:r>
          </w:p>
        </w:tc>
        <w:tc>
          <w:tcPr>
            <w:tcW w:w="6129" w:type="dxa"/>
            <w:vMerge w:val="restart"/>
          </w:tcPr>
          <w:p w14:paraId="6DF0C276"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4.852, de 29 de dezembro de 1997, Regulamento do Código Tributário do Estado de Goiás.</w:t>
            </w:r>
          </w:p>
        </w:tc>
      </w:tr>
      <w:tr w:rsidR="008D1DB2" w:rsidRPr="00480726" w14:paraId="23B62709" w14:textId="77777777" w:rsidTr="00F67CEF">
        <w:tc>
          <w:tcPr>
            <w:tcW w:w="1406" w:type="dxa"/>
          </w:tcPr>
          <w:p w14:paraId="50B0FD7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8.055</w:t>
            </w:r>
          </w:p>
        </w:tc>
        <w:tc>
          <w:tcPr>
            <w:tcW w:w="1816" w:type="dxa"/>
          </w:tcPr>
          <w:p w14:paraId="30F86EE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18/12/2013</w:t>
            </w:r>
          </w:p>
        </w:tc>
        <w:tc>
          <w:tcPr>
            <w:tcW w:w="6129" w:type="dxa"/>
            <w:vMerge/>
          </w:tcPr>
          <w:p w14:paraId="45C4A336" w14:textId="77777777" w:rsidR="008D1DB2" w:rsidRPr="00480726" w:rsidRDefault="008D1DB2" w:rsidP="00A558D3">
            <w:pPr>
              <w:spacing w:line="360" w:lineRule="auto"/>
              <w:jc w:val="both"/>
              <w:rPr>
                <w:rFonts w:ascii="Arial" w:hAnsi="Arial" w:cs="Arial"/>
                <w:sz w:val="24"/>
                <w:szCs w:val="24"/>
              </w:rPr>
            </w:pPr>
          </w:p>
        </w:tc>
      </w:tr>
      <w:tr w:rsidR="008D1DB2" w:rsidRPr="00480726" w14:paraId="55826D35" w14:textId="77777777" w:rsidTr="00F67CEF">
        <w:tc>
          <w:tcPr>
            <w:tcW w:w="1406" w:type="dxa"/>
          </w:tcPr>
          <w:p w14:paraId="1E0444A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8.066</w:t>
            </w:r>
          </w:p>
        </w:tc>
        <w:tc>
          <w:tcPr>
            <w:tcW w:w="1816" w:type="dxa"/>
          </w:tcPr>
          <w:p w14:paraId="24C9D5D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30/12/2013</w:t>
            </w:r>
          </w:p>
        </w:tc>
        <w:tc>
          <w:tcPr>
            <w:tcW w:w="6129" w:type="dxa"/>
          </w:tcPr>
          <w:p w14:paraId="6E1C7A08"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5.265, de 31 de julho de 2000, que aprova o Regulamento do Programa de Desenvolvimento Industrial de Goiás - PRODUZIR.</w:t>
            </w:r>
          </w:p>
        </w:tc>
      </w:tr>
      <w:tr w:rsidR="008D1DB2" w:rsidRPr="00480726" w14:paraId="0284DFDA" w14:textId="77777777" w:rsidTr="00F67CEF">
        <w:tc>
          <w:tcPr>
            <w:tcW w:w="1406" w:type="dxa"/>
          </w:tcPr>
          <w:p w14:paraId="07A45E1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8.124</w:t>
            </w:r>
          </w:p>
        </w:tc>
        <w:tc>
          <w:tcPr>
            <w:tcW w:w="1816" w:type="dxa"/>
          </w:tcPr>
          <w:p w14:paraId="47BAC8B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26/03/2014</w:t>
            </w:r>
          </w:p>
        </w:tc>
        <w:tc>
          <w:tcPr>
            <w:tcW w:w="6129" w:type="dxa"/>
          </w:tcPr>
          <w:p w14:paraId="63B3C476"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4.852, de 29 de dezembro de 1997, Regulamento do Código Tributário do Estado de Goiás.</w:t>
            </w:r>
          </w:p>
        </w:tc>
      </w:tr>
      <w:tr w:rsidR="008D1DB2" w:rsidRPr="00480726" w14:paraId="27DC39D3" w14:textId="77777777" w:rsidTr="00F67CEF">
        <w:tc>
          <w:tcPr>
            <w:tcW w:w="1406" w:type="dxa"/>
          </w:tcPr>
          <w:p w14:paraId="3E8C60C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8.127</w:t>
            </w:r>
          </w:p>
        </w:tc>
        <w:tc>
          <w:tcPr>
            <w:tcW w:w="1816" w:type="dxa"/>
          </w:tcPr>
          <w:p w14:paraId="2A6956B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25/03/2014</w:t>
            </w:r>
          </w:p>
        </w:tc>
        <w:tc>
          <w:tcPr>
            <w:tcW w:w="6129" w:type="dxa"/>
          </w:tcPr>
          <w:p w14:paraId="2630593D"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Regulamenta a Lei nº 18.360, de 30 de dezembro de 2013, que prorroga o prazo de fruição dos incentivos dos Programas FOMENTAR e PRODUZIR e de subprogramas deste.</w:t>
            </w:r>
          </w:p>
        </w:tc>
      </w:tr>
      <w:tr w:rsidR="008D1DB2" w:rsidRPr="00480726" w14:paraId="7D7E65B6" w14:textId="77777777" w:rsidTr="00F67CEF">
        <w:tc>
          <w:tcPr>
            <w:tcW w:w="1406" w:type="dxa"/>
          </w:tcPr>
          <w:p w14:paraId="46A3242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8.143</w:t>
            </w:r>
          </w:p>
        </w:tc>
        <w:tc>
          <w:tcPr>
            <w:tcW w:w="1816" w:type="dxa"/>
          </w:tcPr>
          <w:p w14:paraId="7BADBC9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14/04/2014</w:t>
            </w:r>
          </w:p>
        </w:tc>
        <w:tc>
          <w:tcPr>
            <w:tcW w:w="6129" w:type="dxa"/>
            <w:vMerge w:val="restart"/>
          </w:tcPr>
          <w:p w14:paraId="53299678"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w:t>
            </w:r>
          </w:p>
        </w:tc>
      </w:tr>
      <w:tr w:rsidR="008D1DB2" w:rsidRPr="00480726" w14:paraId="23450F02" w14:textId="77777777" w:rsidTr="00F67CEF">
        <w:tc>
          <w:tcPr>
            <w:tcW w:w="1406" w:type="dxa"/>
          </w:tcPr>
          <w:p w14:paraId="7510FB7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8.148</w:t>
            </w:r>
          </w:p>
        </w:tc>
        <w:tc>
          <w:tcPr>
            <w:tcW w:w="1816" w:type="dxa"/>
          </w:tcPr>
          <w:p w14:paraId="278AEF8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14/04/2014</w:t>
            </w:r>
          </w:p>
        </w:tc>
        <w:tc>
          <w:tcPr>
            <w:tcW w:w="6129" w:type="dxa"/>
            <w:vMerge/>
          </w:tcPr>
          <w:p w14:paraId="1812C610" w14:textId="77777777" w:rsidR="008D1DB2" w:rsidRPr="00480726" w:rsidRDefault="008D1DB2" w:rsidP="00A558D3">
            <w:pPr>
              <w:spacing w:line="360" w:lineRule="auto"/>
              <w:jc w:val="both"/>
              <w:rPr>
                <w:rFonts w:ascii="Arial" w:hAnsi="Arial" w:cs="Arial"/>
                <w:sz w:val="24"/>
                <w:szCs w:val="24"/>
              </w:rPr>
            </w:pPr>
          </w:p>
        </w:tc>
      </w:tr>
      <w:tr w:rsidR="008D1DB2" w:rsidRPr="00480726" w14:paraId="5A94AF1E" w14:textId="77777777" w:rsidTr="00F67CEF">
        <w:tc>
          <w:tcPr>
            <w:tcW w:w="1406" w:type="dxa"/>
          </w:tcPr>
          <w:p w14:paraId="2B5D863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8.199</w:t>
            </w:r>
          </w:p>
        </w:tc>
        <w:tc>
          <w:tcPr>
            <w:tcW w:w="1816" w:type="dxa"/>
          </w:tcPr>
          <w:p w14:paraId="3DF382B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26/06/2014</w:t>
            </w:r>
          </w:p>
        </w:tc>
        <w:tc>
          <w:tcPr>
            <w:tcW w:w="6129" w:type="dxa"/>
            <w:vMerge/>
          </w:tcPr>
          <w:p w14:paraId="41EA74EE" w14:textId="77777777" w:rsidR="008D1DB2" w:rsidRPr="00480726" w:rsidRDefault="008D1DB2" w:rsidP="00A558D3">
            <w:pPr>
              <w:spacing w:line="360" w:lineRule="auto"/>
              <w:jc w:val="both"/>
              <w:rPr>
                <w:rFonts w:ascii="Arial" w:hAnsi="Arial" w:cs="Arial"/>
                <w:sz w:val="24"/>
                <w:szCs w:val="24"/>
              </w:rPr>
            </w:pPr>
          </w:p>
        </w:tc>
      </w:tr>
      <w:tr w:rsidR="008D1DB2" w:rsidRPr="00480726" w14:paraId="26B53F37" w14:textId="77777777" w:rsidTr="00F67CEF">
        <w:tc>
          <w:tcPr>
            <w:tcW w:w="1406" w:type="dxa"/>
          </w:tcPr>
          <w:p w14:paraId="150EF7E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8.224</w:t>
            </w:r>
          </w:p>
        </w:tc>
        <w:tc>
          <w:tcPr>
            <w:tcW w:w="1816" w:type="dxa"/>
          </w:tcPr>
          <w:p w14:paraId="7A482E6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12/08/2014</w:t>
            </w:r>
          </w:p>
        </w:tc>
        <w:tc>
          <w:tcPr>
            <w:tcW w:w="6129" w:type="dxa"/>
          </w:tcPr>
          <w:p w14:paraId="3E282F8E" w14:textId="77777777" w:rsidR="008D1DB2" w:rsidRPr="00480726" w:rsidRDefault="008D1DB2" w:rsidP="00A558D3">
            <w:pPr>
              <w:tabs>
                <w:tab w:val="left" w:pos="1290"/>
              </w:tabs>
              <w:spacing w:line="360" w:lineRule="auto"/>
              <w:jc w:val="both"/>
              <w:rPr>
                <w:rFonts w:ascii="Arial" w:hAnsi="Arial" w:cs="Arial"/>
                <w:sz w:val="24"/>
                <w:szCs w:val="24"/>
              </w:rPr>
            </w:pPr>
            <w:r w:rsidRPr="00480726">
              <w:rPr>
                <w:rFonts w:ascii="Arial" w:hAnsi="Arial" w:cs="Arial"/>
                <w:sz w:val="24"/>
                <w:szCs w:val="24"/>
              </w:rPr>
              <w:t>Altera o Decreto nº 8.127, de 25 de março de 2014, que regulamenta a Lei nº 18.360, de 30 de dezembro de 2013, que prorroga o prazo de fruição dos incentivos dos Programas FOMENTAR e PRODUZIR e de subprogramas deste.</w:t>
            </w:r>
          </w:p>
        </w:tc>
      </w:tr>
      <w:tr w:rsidR="008D1DB2" w:rsidRPr="00480726" w14:paraId="58F51BD2" w14:textId="77777777" w:rsidTr="00F67CEF">
        <w:tc>
          <w:tcPr>
            <w:tcW w:w="1406" w:type="dxa"/>
          </w:tcPr>
          <w:p w14:paraId="1246F8A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8.284</w:t>
            </w:r>
          </w:p>
        </w:tc>
        <w:tc>
          <w:tcPr>
            <w:tcW w:w="1816" w:type="dxa"/>
          </w:tcPr>
          <w:p w14:paraId="47BDBFB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05/12/2014</w:t>
            </w:r>
          </w:p>
        </w:tc>
        <w:tc>
          <w:tcPr>
            <w:tcW w:w="6129" w:type="dxa"/>
          </w:tcPr>
          <w:p w14:paraId="557086ED"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Introduz alterações no texto do Regulamento do Programa de Desenvolvimento Industrial de Goiás – PRODUZIR – aprovado pelo Decreto nº 5.265, de 31 de julho de 2000, e dá outras providências.</w:t>
            </w:r>
          </w:p>
        </w:tc>
      </w:tr>
      <w:tr w:rsidR="008D1DB2" w:rsidRPr="00480726" w14:paraId="4B62F7DD" w14:textId="77777777" w:rsidTr="00F67CEF">
        <w:tc>
          <w:tcPr>
            <w:tcW w:w="1406" w:type="dxa"/>
          </w:tcPr>
          <w:p w14:paraId="4E392C7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8.299</w:t>
            </w:r>
          </w:p>
        </w:tc>
        <w:tc>
          <w:tcPr>
            <w:tcW w:w="1816" w:type="dxa"/>
          </w:tcPr>
          <w:p w14:paraId="026ACD2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26/12/2014</w:t>
            </w:r>
          </w:p>
        </w:tc>
        <w:tc>
          <w:tcPr>
            <w:tcW w:w="6129" w:type="dxa"/>
            <w:vMerge w:val="restart"/>
          </w:tcPr>
          <w:p w14:paraId="564C6246"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4.852, de 29 de dezembro de 1997, Regulamento do Código Tributário do Estado de Goiás – RCTE.</w:t>
            </w:r>
          </w:p>
        </w:tc>
      </w:tr>
      <w:tr w:rsidR="008D1DB2" w:rsidRPr="00480726" w14:paraId="7A1C41BF" w14:textId="77777777" w:rsidTr="00F67CEF">
        <w:tc>
          <w:tcPr>
            <w:tcW w:w="1406" w:type="dxa"/>
          </w:tcPr>
          <w:p w14:paraId="2ECBC15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8.304</w:t>
            </w:r>
          </w:p>
        </w:tc>
        <w:tc>
          <w:tcPr>
            <w:tcW w:w="1816" w:type="dxa"/>
          </w:tcPr>
          <w:p w14:paraId="59C5CBB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30/12/2014</w:t>
            </w:r>
          </w:p>
        </w:tc>
        <w:tc>
          <w:tcPr>
            <w:tcW w:w="6129" w:type="dxa"/>
            <w:vMerge/>
          </w:tcPr>
          <w:p w14:paraId="1425683A" w14:textId="77777777" w:rsidR="008D1DB2" w:rsidRPr="00480726" w:rsidRDefault="008D1DB2" w:rsidP="00A558D3">
            <w:pPr>
              <w:spacing w:line="360" w:lineRule="auto"/>
              <w:jc w:val="both"/>
              <w:rPr>
                <w:rFonts w:ascii="Arial" w:hAnsi="Arial" w:cs="Arial"/>
                <w:sz w:val="24"/>
                <w:szCs w:val="24"/>
              </w:rPr>
            </w:pPr>
          </w:p>
        </w:tc>
      </w:tr>
      <w:tr w:rsidR="008D1DB2" w:rsidRPr="00480726" w14:paraId="60D5804F" w14:textId="77777777" w:rsidTr="00F67CEF">
        <w:tc>
          <w:tcPr>
            <w:tcW w:w="1406" w:type="dxa"/>
          </w:tcPr>
          <w:p w14:paraId="291343E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8.309</w:t>
            </w:r>
          </w:p>
        </w:tc>
        <w:tc>
          <w:tcPr>
            <w:tcW w:w="1816" w:type="dxa"/>
          </w:tcPr>
          <w:p w14:paraId="6321F1E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29/01/2015</w:t>
            </w:r>
          </w:p>
        </w:tc>
        <w:tc>
          <w:tcPr>
            <w:tcW w:w="6129" w:type="dxa"/>
            <w:vMerge/>
          </w:tcPr>
          <w:p w14:paraId="284B0397" w14:textId="77777777" w:rsidR="008D1DB2" w:rsidRPr="00480726" w:rsidRDefault="008D1DB2" w:rsidP="00A558D3">
            <w:pPr>
              <w:spacing w:line="360" w:lineRule="auto"/>
              <w:jc w:val="both"/>
              <w:rPr>
                <w:rFonts w:ascii="Arial" w:hAnsi="Arial" w:cs="Arial"/>
                <w:sz w:val="24"/>
                <w:szCs w:val="24"/>
              </w:rPr>
            </w:pPr>
          </w:p>
        </w:tc>
      </w:tr>
      <w:tr w:rsidR="008D1DB2" w:rsidRPr="00480726" w14:paraId="59CE9148" w14:textId="77777777" w:rsidTr="00F67CEF">
        <w:tc>
          <w:tcPr>
            <w:tcW w:w="1406" w:type="dxa"/>
          </w:tcPr>
          <w:p w14:paraId="79A8495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8.347</w:t>
            </w:r>
          </w:p>
        </w:tc>
        <w:tc>
          <w:tcPr>
            <w:tcW w:w="1816" w:type="dxa"/>
          </w:tcPr>
          <w:p w14:paraId="481264F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27/03/2015</w:t>
            </w:r>
          </w:p>
        </w:tc>
        <w:tc>
          <w:tcPr>
            <w:tcW w:w="6129" w:type="dxa"/>
            <w:vMerge/>
          </w:tcPr>
          <w:p w14:paraId="04B9751D" w14:textId="77777777" w:rsidR="008D1DB2" w:rsidRPr="00480726" w:rsidRDefault="008D1DB2" w:rsidP="00A558D3">
            <w:pPr>
              <w:spacing w:line="360" w:lineRule="auto"/>
              <w:jc w:val="both"/>
              <w:rPr>
                <w:rFonts w:ascii="Arial" w:hAnsi="Arial" w:cs="Arial"/>
                <w:sz w:val="24"/>
                <w:szCs w:val="24"/>
              </w:rPr>
            </w:pPr>
          </w:p>
        </w:tc>
      </w:tr>
      <w:tr w:rsidR="008D1DB2" w:rsidRPr="00480726" w14:paraId="7061972D" w14:textId="77777777" w:rsidTr="00F67CEF">
        <w:tc>
          <w:tcPr>
            <w:tcW w:w="1406" w:type="dxa"/>
          </w:tcPr>
          <w:p w14:paraId="64A8566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8.388</w:t>
            </w:r>
          </w:p>
        </w:tc>
        <w:tc>
          <w:tcPr>
            <w:tcW w:w="1816" w:type="dxa"/>
          </w:tcPr>
          <w:p w14:paraId="29070F0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15/06/2015</w:t>
            </w:r>
          </w:p>
        </w:tc>
        <w:tc>
          <w:tcPr>
            <w:tcW w:w="6129" w:type="dxa"/>
          </w:tcPr>
          <w:p w14:paraId="0ED73038"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5.686, de 02 de dezembro de 2002, que regulamenta o incentivo  Apoio ao Comércio Exterior no Estado de Goiás - COMEXPRODUZIR -, e dá outra providência.</w:t>
            </w:r>
          </w:p>
        </w:tc>
      </w:tr>
      <w:tr w:rsidR="008D1DB2" w:rsidRPr="00480726" w14:paraId="6DEF6F8C" w14:textId="77777777" w:rsidTr="00F67CEF">
        <w:tc>
          <w:tcPr>
            <w:tcW w:w="1406" w:type="dxa"/>
          </w:tcPr>
          <w:p w14:paraId="6AF19A7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8.406</w:t>
            </w:r>
          </w:p>
        </w:tc>
        <w:tc>
          <w:tcPr>
            <w:tcW w:w="1816" w:type="dxa"/>
          </w:tcPr>
          <w:p w14:paraId="51BF066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10/07/2015</w:t>
            </w:r>
          </w:p>
        </w:tc>
        <w:tc>
          <w:tcPr>
            <w:tcW w:w="6129" w:type="dxa"/>
            <w:vMerge w:val="restart"/>
          </w:tcPr>
          <w:p w14:paraId="28660C37"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4.852, de 29 de dezembro de 1997, Regulamento do Código Tributário do Estado de Goiás – RCTE.</w:t>
            </w:r>
          </w:p>
        </w:tc>
      </w:tr>
      <w:tr w:rsidR="008D1DB2" w:rsidRPr="00480726" w14:paraId="4021D100" w14:textId="77777777" w:rsidTr="00F67CEF">
        <w:tc>
          <w:tcPr>
            <w:tcW w:w="1406" w:type="dxa"/>
          </w:tcPr>
          <w:p w14:paraId="1597385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8.433</w:t>
            </w:r>
          </w:p>
        </w:tc>
        <w:tc>
          <w:tcPr>
            <w:tcW w:w="1816" w:type="dxa"/>
          </w:tcPr>
          <w:p w14:paraId="6558F31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20/08/2015</w:t>
            </w:r>
          </w:p>
        </w:tc>
        <w:tc>
          <w:tcPr>
            <w:tcW w:w="6129" w:type="dxa"/>
            <w:vMerge/>
          </w:tcPr>
          <w:p w14:paraId="20719304" w14:textId="77777777" w:rsidR="008D1DB2" w:rsidRPr="00480726" w:rsidRDefault="008D1DB2" w:rsidP="00A558D3">
            <w:pPr>
              <w:spacing w:line="360" w:lineRule="auto"/>
              <w:jc w:val="both"/>
              <w:rPr>
                <w:rFonts w:ascii="Arial" w:hAnsi="Arial" w:cs="Arial"/>
                <w:sz w:val="24"/>
                <w:szCs w:val="24"/>
              </w:rPr>
            </w:pPr>
          </w:p>
        </w:tc>
      </w:tr>
      <w:tr w:rsidR="008D1DB2" w:rsidRPr="00480726" w14:paraId="5BC6410B" w14:textId="77777777" w:rsidTr="00F67CEF">
        <w:tc>
          <w:tcPr>
            <w:tcW w:w="1406" w:type="dxa"/>
          </w:tcPr>
          <w:p w14:paraId="6C5BD0F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8.460</w:t>
            </w:r>
          </w:p>
        </w:tc>
        <w:tc>
          <w:tcPr>
            <w:tcW w:w="1816" w:type="dxa"/>
          </w:tcPr>
          <w:p w14:paraId="196C065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29/09/2015</w:t>
            </w:r>
          </w:p>
        </w:tc>
        <w:tc>
          <w:tcPr>
            <w:tcW w:w="6129" w:type="dxa"/>
            <w:vMerge/>
          </w:tcPr>
          <w:p w14:paraId="603B3DFF" w14:textId="77777777" w:rsidR="008D1DB2" w:rsidRPr="00480726" w:rsidRDefault="008D1DB2" w:rsidP="00A558D3">
            <w:pPr>
              <w:spacing w:line="360" w:lineRule="auto"/>
              <w:jc w:val="both"/>
              <w:rPr>
                <w:rFonts w:ascii="Arial" w:hAnsi="Arial" w:cs="Arial"/>
                <w:sz w:val="24"/>
                <w:szCs w:val="24"/>
              </w:rPr>
            </w:pPr>
          </w:p>
        </w:tc>
      </w:tr>
      <w:tr w:rsidR="008D1DB2" w:rsidRPr="00480726" w14:paraId="47FE4992" w14:textId="77777777" w:rsidTr="00F67CEF">
        <w:tc>
          <w:tcPr>
            <w:tcW w:w="1406" w:type="dxa"/>
          </w:tcPr>
          <w:p w14:paraId="5FBA21E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8.512</w:t>
            </w:r>
          </w:p>
        </w:tc>
        <w:tc>
          <w:tcPr>
            <w:tcW w:w="1816" w:type="dxa"/>
          </w:tcPr>
          <w:p w14:paraId="02B486A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28/12/2015</w:t>
            </w:r>
          </w:p>
        </w:tc>
        <w:tc>
          <w:tcPr>
            <w:tcW w:w="6129" w:type="dxa"/>
            <w:vMerge/>
          </w:tcPr>
          <w:p w14:paraId="629D4F76" w14:textId="77777777" w:rsidR="008D1DB2" w:rsidRPr="00480726" w:rsidRDefault="008D1DB2" w:rsidP="00A558D3">
            <w:pPr>
              <w:spacing w:line="360" w:lineRule="auto"/>
              <w:jc w:val="both"/>
              <w:rPr>
                <w:rFonts w:ascii="Arial" w:hAnsi="Arial" w:cs="Arial"/>
                <w:sz w:val="24"/>
                <w:szCs w:val="24"/>
              </w:rPr>
            </w:pPr>
          </w:p>
        </w:tc>
      </w:tr>
      <w:tr w:rsidR="008D1DB2" w:rsidRPr="00480726" w14:paraId="38C8BD72" w14:textId="77777777" w:rsidTr="00F67CEF">
        <w:tc>
          <w:tcPr>
            <w:tcW w:w="1406" w:type="dxa"/>
          </w:tcPr>
          <w:p w14:paraId="01593F8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8.519</w:t>
            </w:r>
          </w:p>
        </w:tc>
        <w:tc>
          <w:tcPr>
            <w:tcW w:w="1816" w:type="dxa"/>
          </w:tcPr>
          <w:p w14:paraId="57E60D0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30/12/2015</w:t>
            </w:r>
          </w:p>
        </w:tc>
        <w:tc>
          <w:tcPr>
            <w:tcW w:w="6129" w:type="dxa"/>
          </w:tcPr>
          <w:p w14:paraId="2F8FC015"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Regulamento do Código Tributário do Estado de Goiás - RCTE e dispõe sobre o pagamento do diferencial de alíquotas nas aquisições interestaduais de bens, mercadorias ou serviços por consumidor final não contribuinte do ICMS, localizado no Estado de Goiás.</w:t>
            </w:r>
          </w:p>
        </w:tc>
      </w:tr>
      <w:tr w:rsidR="008D1DB2" w:rsidRPr="00480726" w14:paraId="794B30B3" w14:textId="77777777" w:rsidTr="00F67CEF">
        <w:tc>
          <w:tcPr>
            <w:tcW w:w="1406" w:type="dxa"/>
          </w:tcPr>
          <w:p w14:paraId="081893C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8.522</w:t>
            </w:r>
          </w:p>
        </w:tc>
        <w:tc>
          <w:tcPr>
            <w:tcW w:w="1816" w:type="dxa"/>
          </w:tcPr>
          <w:p w14:paraId="31E94F0C" w14:textId="77777777" w:rsidR="008D1DB2" w:rsidRPr="00480726" w:rsidRDefault="008D1DB2" w:rsidP="008A5E51">
            <w:pPr>
              <w:tabs>
                <w:tab w:val="left" w:pos="475"/>
                <w:tab w:val="center" w:pos="1097"/>
              </w:tabs>
              <w:spacing w:line="360" w:lineRule="auto"/>
              <w:jc w:val="center"/>
              <w:rPr>
                <w:rFonts w:ascii="Arial" w:hAnsi="Arial" w:cs="Arial"/>
                <w:b/>
                <w:sz w:val="24"/>
                <w:szCs w:val="24"/>
              </w:rPr>
            </w:pPr>
            <w:r w:rsidRPr="00480726">
              <w:rPr>
                <w:rFonts w:ascii="Arial" w:hAnsi="Arial" w:cs="Arial"/>
                <w:b/>
                <w:sz w:val="24"/>
                <w:szCs w:val="24"/>
              </w:rPr>
              <w:t>30/12/2015</w:t>
            </w:r>
          </w:p>
        </w:tc>
        <w:tc>
          <w:tcPr>
            <w:tcW w:w="6129" w:type="dxa"/>
          </w:tcPr>
          <w:p w14:paraId="5E8A4378"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Dispõe sobre a execução da Lei nº 18.360, de 30 de dezembro de 2013, que prorroga o prazo de fruição dos incentivos dos Programas FOMENTAR e PRODUZIR, cria obrigações para a empresa beneficiária e dá outras providências.</w:t>
            </w:r>
          </w:p>
        </w:tc>
      </w:tr>
      <w:tr w:rsidR="008D1DB2" w:rsidRPr="00480726" w14:paraId="7B0A9C64" w14:textId="77777777" w:rsidTr="00F67CEF">
        <w:tc>
          <w:tcPr>
            <w:tcW w:w="1406" w:type="dxa"/>
          </w:tcPr>
          <w:p w14:paraId="549848A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8.548</w:t>
            </w:r>
          </w:p>
        </w:tc>
        <w:tc>
          <w:tcPr>
            <w:tcW w:w="1816" w:type="dxa"/>
          </w:tcPr>
          <w:p w14:paraId="7126F6D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29/01/2016</w:t>
            </w:r>
          </w:p>
        </w:tc>
        <w:tc>
          <w:tcPr>
            <w:tcW w:w="6129" w:type="dxa"/>
            <w:vMerge w:val="restart"/>
          </w:tcPr>
          <w:p w14:paraId="7ED98D31"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4.852, de 29 de dezembro de 1997, Regulamento do Código Tributário do Estado de Goiás – RCTE.</w:t>
            </w:r>
          </w:p>
        </w:tc>
      </w:tr>
      <w:tr w:rsidR="008D1DB2" w:rsidRPr="00480726" w14:paraId="6DFEB1D8" w14:textId="77777777" w:rsidTr="00F67CEF">
        <w:tc>
          <w:tcPr>
            <w:tcW w:w="1406" w:type="dxa"/>
          </w:tcPr>
          <w:p w14:paraId="611E917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8.567</w:t>
            </w:r>
          </w:p>
        </w:tc>
        <w:tc>
          <w:tcPr>
            <w:tcW w:w="1816" w:type="dxa"/>
          </w:tcPr>
          <w:p w14:paraId="6CBEE2F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24/02/2016</w:t>
            </w:r>
          </w:p>
        </w:tc>
        <w:tc>
          <w:tcPr>
            <w:tcW w:w="6129" w:type="dxa"/>
            <w:vMerge/>
          </w:tcPr>
          <w:p w14:paraId="7216C133" w14:textId="77777777" w:rsidR="008D1DB2" w:rsidRPr="00480726" w:rsidRDefault="008D1DB2" w:rsidP="00A558D3">
            <w:pPr>
              <w:spacing w:line="360" w:lineRule="auto"/>
              <w:jc w:val="both"/>
              <w:rPr>
                <w:rFonts w:ascii="Arial" w:hAnsi="Arial" w:cs="Arial"/>
                <w:sz w:val="24"/>
                <w:szCs w:val="24"/>
              </w:rPr>
            </w:pPr>
          </w:p>
        </w:tc>
      </w:tr>
      <w:tr w:rsidR="008D1DB2" w:rsidRPr="00480726" w14:paraId="7E83153B" w14:textId="77777777" w:rsidTr="00F67CEF">
        <w:tc>
          <w:tcPr>
            <w:tcW w:w="1406" w:type="dxa"/>
          </w:tcPr>
          <w:p w14:paraId="5EF9901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8.598</w:t>
            </w:r>
          </w:p>
        </w:tc>
        <w:tc>
          <w:tcPr>
            <w:tcW w:w="1816" w:type="dxa"/>
          </w:tcPr>
          <w:p w14:paraId="2719E6D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14/03/2016</w:t>
            </w:r>
          </w:p>
        </w:tc>
        <w:tc>
          <w:tcPr>
            <w:tcW w:w="6129" w:type="dxa"/>
          </w:tcPr>
          <w:p w14:paraId="27B8FB07"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dispositivos do Regulamento do Programa de Desenvolvimento Industrial de Goiás - PRODUZIR -, aprovado pelo Decreto nº 5.265, de 31 de julho de 2000, e dá outras providências.</w:t>
            </w:r>
          </w:p>
        </w:tc>
      </w:tr>
      <w:tr w:rsidR="008D1DB2" w:rsidRPr="00480726" w14:paraId="26F1831F" w14:textId="77777777" w:rsidTr="00F67CEF">
        <w:tc>
          <w:tcPr>
            <w:tcW w:w="1406" w:type="dxa"/>
          </w:tcPr>
          <w:p w14:paraId="05D2628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8.629</w:t>
            </w:r>
          </w:p>
        </w:tc>
        <w:tc>
          <w:tcPr>
            <w:tcW w:w="1816" w:type="dxa"/>
          </w:tcPr>
          <w:p w14:paraId="731ADD0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18/04/2016</w:t>
            </w:r>
          </w:p>
        </w:tc>
        <w:tc>
          <w:tcPr>
            <w:tcW w:w="6129" w:type="dxa"/>
            <w:vMerge w:val="restart"/>
          </w:tcPr>
          <w:p w14:paraId="689E961B"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Anexo IX do Decreto nº 4.852, de 29 de dezembro de 1997, Regulamento do Código Tributário do Estado de Goiás - RCTE.</w:t>
            </w:r>
          </w:p>
        </w:tc>
      </w:tr>
      <w:tr w:rsidR="008D1DB2" w:rsidRPr="00480726" w14:paraId="421FCA33" w14:textId="77777777" w:rsidTr="00F67CEF">
        <w:tc>
          <w:tcPr>
            <w:tcW w:w="1406" w:type="dxa"/>
          </w:tcPr>
          <w:p w14:paraId="1A3FF2A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8.655</w:t>
            </w:r>
          </w:p>
        </w:tc>
        <w:tc>
          <w:tcPr>
            <w:tcW w:w="1816" w:type="dxa"/>
          </w:tcPr>
          <w:p w14:paraId="224D124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25/05/2016</w:t>
            </w:r>
          </w:p>
        </w:tc>
        <w:tc>
          <w:tcPr>
            <w:tcW w:w="6129" w:type="dxa"/>
            <w:vMerge/>
          </w:tcPr>
          <w:p w14:paraId="01C37302" w14:textId="77777777" w:rsidR="008D1DB2" w:rsidRPr="00480726" w:rsidRDefault="008D1DB2" w:rsidP="00A558D3">
            <w:pPr>
              <w:spacing w:line="360" w:lineRule="auto"/>
              <w:jc w:val="both"/>
              <w:rPr>
                <w:rFonts w:ascii="Arial" w:hAnsi="Arial" w:cs="Arial"/>
                <w:sz w:val="24"/>
                <w:szCs w:val="24"/>
              </w:rPr>
            </w:pPr>
          </w:p>
        </w:tc>
      </w:tr>
      <w:tr w:rsidR="008D1DB2" w:rsidRPr="00480726" w14:paraId="0D7E7F59" w14:textId="77777777" w:rsidTr="00F67CEF">
        <w:tc>
          <w:tcPr>
            <w:tcW w:w="1406" w:type="dxa"/>
          </w:tcPr>
          <w:p w14:paraId="589CE26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8.663</w:t>
            </w:r>
          </w:p>
        </w:tc>
        <w:tc>
          <w:tcPr>
            <w:tcW w:w="1816" w:type="dxa"/>
          </w:tcPr>
          <w:p w14:paraId="15A5FB5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15/06/2016</w:t>
            </w:r>
          </w:p>
        </w:tc>
        <w:tc>
          <w:tcPr>
            <w:tcW w:w="6129" w:type="dxa"/>
            <w:vMerge w:val="restart"/>
          </w:tcPr>
          <w:p w14:paraId="1BA7C007"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4.852, de 29 de dezembro de 1997, Regulamento do Código Tributário do Estado de Goiás – RCTE.</w:t>
            </w:r>
          </w:p>
        </w:tc>
      </w:tr>
      <w:tr w:rsidR="008D1DB2" w:rsidRPr="00480726" w14:paraId="49954375" w14:textId="77777777" w:rsidTr="00F67CEF">
        <w:tc>
          <w:tcPr>
            <w:tcW w:w="1406" w:type="dxa"/>
          </w:tcPr>
          <w:p w14:paraId="48E832A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8.689</w:t>
            </w:r>
          </w:p>
        </w:tc>
        <w:tc>
          <w:tcPr>
            <w:tcW w:w="1816" w:type="dxa"/>
          </w:tcPr>
          <w:p w14:paraId="0EEC08C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14/07/2016</w:t>
            </w:r>
          </w:p>
        </w:tc>
        <w:tc>
          <w:tcPr>
            <w:tcW w:w="6129" w:type="dxa"/>
            <w:vMerge/>
          </w:tcPr>
          <w:p w14:paraId="1019D1E0" w14:textId="77777777" w:rsidR="008D1DB2" w:rsidRPr="00480726" w:rsidRDefault="008D1DB2" w:rsidP="00A558D3">
            <w:pPr>
              <w:spacing w:line="360" w:lineRule="auto"/>
              <w:jc w:val="both"/>
              <w:rPr>
                <w:rFonts w:ascii="Arial" w:hAnsi="Arial" w:cs="Arial"/>
                <w:sz w:val="24"/>
                <w:szCs w:val="24"/>
              </w:rPr>
            </w:pPr>
          </w:p>
        </w:tc>
      </w:tr>
      <w:tr w:rsidR="008D1DB2" w:rsidRPr="00480726" w14:paraId="68166B76" w14:textId="77777777" w:rsidTr="00F67CEF">
        <w:tc>
          <w:tcPr>
            <w:tcW w:w="1406" w:type="dxa"/>
          </w:tcPr>
          <w:p w14:paraId="7E49CB7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8.705</w:t>
            </w:r>
          </w:p>
        </w:tc>
        <w:tc>
          <w:tcPr>
            <w:tcW w:w="1816" w:type="dxa"/>
          </w:tcPr>
          <w:p w14:paraId="700FD75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27/07/2016</w:t>
            </w:r>
          </w:p>
        </w:tc>
        <w:tc>
          <w:tcPr>
            <w:tcW w:w="6129" w:type="dxa"/>
          </w:tcPr>
          <w:p w14:paraId="2AC52482"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5.686, de 02 de dezembro de 2002, que regulamenta o incentivo Apoio ao Comércio Exterior no Estado de Goiás -COMEXPRODUZIR-, Subprograma do Programa de Desenvolvimento Industrial de Goiás -PRODUZIR.</w:t>
            </w:r>
          </w:p>
        </w:tc>
      </w:tr>
      <w:tr w:rsidR="008D1DB2" w:rsidRPr="00480726" w14:paraId="35A0D863" w14:textId="77777777" w:rsidTr="00F67CEF">
        <w:tc>
          <w:tcPr>
            <w:tcW w:w="1406" w:type="dxa"/>
          </w:tcPr>
          <w:p w14:paraId="3F257EB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8.706</w:t>
            </w:r>
          </w:p>
        </w:tc>
        <w:tc>
          <w:tcPr>
            <w:tcW w:w="1816" w:type="dxa"/>
          </w:tcPr>
          <w:p w14:paraId="1C7AD4B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27/07/2016</w:t>
            </w:r>
          </w:p>
        </w:tc>
        <w:tc>
          <w:tcPr>
            <w:tcW w:w="6129" w:type="dxa"/>
          </w:tcPr>
          <w:p w14:paraId="2F3F976C"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5.265, de 31 de julho de 2000, Regulamento do Programa de Desenvolvimento Industrial de Goiás - PRODUZIR -.</w:t>
            </w:r>
          </w:p>
        </w:tc>
      </w:tr>
      <w:tr w:rsidR="008D1DB2" w:rsidRPr="00480726" w14:paraId="6E51C984" w14:textId="77777777" w:rsidTr="00F67CEF">
        <w:tc>
          <w:tcPr>
            <w:tcW w:w="1406" w:type="dxa"/>
          </w:tcPr>
          <w:p w14:paraId="769A12B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8.710</w:t>
            </w:r>
          </w:p>
        </w:tc>
        <w:tc>
          <w:tcPr>
            <w:tcW w:w="1816" w:type="dxa"/>
          </w:tcPr>
          <w:p w14:paraId="0FCE1FD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01/08/2016</w:t>
            </w:r>
          </w:p>
        </w:tc>
        <w:tc>
          <w:tcPr>
            <w:tcW w:w="6129" w:type="dxa"/>
          </w:tcPr>
          <w:p w14:paraId="71A8A869"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4.852, de 29 de dezembro de 1997, Regulamento do Código Tributário do Estado de Goiás – RCTE.</w:t>
            </w:r>
          </w:p>
        </w:tc>
      </w:tr>
      <w:tr w:rsidR="008D1DB2" w:rsidRPr="00480726" w14:paraId="5E55E0B5" w14:textId="77777777" w:rsidTr="00F67CEF">
        <w:tc>
          <w:tcPr>
            <w:tcW w:w="1406" w:type="dxa"/>
          </w:tcPr>
          <w:p w14:paraId="52ACB31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8.715</w:t>
            </w:r>
          </w:p>
        </w:tc>
        <w:tc>
          <w:tcPr>
            <w:tcW w:w="1816" w:type="dxa"/>
          </w:tcPr>
          <w:p w14:paraId="465EF64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05/08/2016</w:t>
            </w:r>
          </w:p>
        </w:tc>
        <w:tc>
          <w:tcPr>
            <w:tcW w:w="6129" w:type="dxa"/>
          </w:tcPr>
          <w:p w14:paraId="441B1733"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8.514, de 23 de dezembro de 2015.</w:t>
            </w:r>
          </w:p>
        </w:tc>
      </w:tr>
      <w:tr w:rsidR="008D1DB2" w:rsidRPr="00480726" w14:paraId="6332089A" w14:textId="77777777" w:rsidTr="00F67CEF">
        <w:tc>
          <w:tcPr>
            <w:tcW w:w="1406" w:type="dxa"/>
          </w:tcPr>
          <w:p w14:paraId="1F9A702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8.751</w:t>
            </w:r>
          </w:p>
        </w:tc>
        <w:tc>
          <w:tcPr>
            <w:tcW w:w="1816" w:type="dxa"/>
          </w:tcPr>
          <w:p w14:paraId="02CD26F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14/09/2016</w:t>
            </w:r>
          </w:p>
        </w:tc>
        <w:tc>
          <w:tcPr>
            <w:tcW w:w="6129" w:type="dxa"/>
            <w:vMerge w:val="restart"/>
          </w:tcPr>
          <w:p w14:paraId="135C9E4F"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4.852, de 29 de dezembro de 1997, Regulamento do Código Tributário do Estado de Goiás – RCTE.</w:t>
            </w:r>
          </w:p>
        </w:tc>
      </w:tr>
      <w:tr w:rsidR="008D1DB2" w:rsidRPr="00480726" w14:paraId="6D31EEFA" w14:textId="77777777" w:rsidTr="00F67CEF">
        <w:tc>
          <w:tcPr>
            <w:tcW w:w="1406" w:type="dxa"/>
          </w:tcPr>
          <w:p w14:paraId="1180ECD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8.752</w:t>
            </w:r>
          </w:p>
        </w:tc>
        <w:tc>
          <w:tcPr>
            <w:tcW w:w="1816" w:type="dxa"/>
          </w:tcPr>
          <w:p w14:paraId="1A0BA9D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16/09/2016</w:t>
            </w:r>
          </w:p>
        </w:tc>
        <w:tc>
          <w:tcPr>
            <w:tcW w:w="6129" w:type="dxa"/>
            <w:vMerge/>
          </w:tcPr>
          <w:p w14:paraId="4C803304" w14:textId="77777777" w:rsidR="008D1DB2" w:rsidRPr="00480726" w:rsidRDefault="008D1DB2" w:rsidP="00A558D3">
            <w:pPr>
              <w:spacing w:line="360" w:lineRule="auto"/>
              <w:jc w:val="both"/>
              <w:rPr>
                <w:rFonts w:ascii="Arial" w:hAnsi="Arial" w:cs="Arial"/>
                <w:sz w:val="24"/>
                <w:szCs w:val="24"/>
              </w:rPr>
            </w:pPr>
          </w:p>
        </w:tc>
      </w:tr>
      <w:tr w:rsidR="008D1DB2" w:rsidRPr="00480726" w14:paraId="5E1D3419" w14:textId="77777777" w:rsidTr="00F67CEF">
        <w:tc>
          <w:tcPr>
            <w:tcW w:w="1406" w:type="dxa"/>
          </w:tcPr>
          <w:p w14:paraId="2FA9D47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8.841</w:t>
            </w:r>
          </w:p>
        </w:tc>
        <w:tc>
          <w:tcPr>
            <w:tcW w:w="1816" w:type="dxa"/>
          </w:tcPr>
          <w:p w14:paraId="2147FB5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06/12/2016</w:t>
            </w:r>
          </w:p>
        </w:tc>
        <w:tc>
          <w:tcPr>
            <w:tcW w:w="6129" w:type="dxa"/>
          </w:tcPr>
          <w:p w14:paraId="61824851"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Regulamenta o tratamento tributário do ICMS dispensado ao grupo econômico de que trata a Lei nº 17.442, de 21 de outubro de 2011. (Revogado pelo Decreto nº 9.447, de 04-06-2019).</w:t>
            </w:r>
          </w:p>
        </w:tc>
      </w:tr>
      <w:tr w:rsidR="008D1DB2" w:rsidRPr="00480726" w14:paraId="7B04AA45" w14:textId="77777777" w:rsidTr="00F67CEF">
        <w:tc>
          <w:tcPr>
            <w:tcW w:w="1406" w:type="dxa"/>
          </w:tcPr>
          <w:p w14:paraId="216499C5"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8.844</w:t>
            </w:r>
          </w:p>
        </w:tc>
        <w:tc>
          <w:tcPr>
            <w:tcW w:w="1816" w:type="dxa"/>
          </w:tcPr>
          <w:p w14:paraId="2B6BE99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15/12/2016</w:t>
            </w:r>
          </w:p>
        </w:tc>
        <w:tc>
          <w:tcPr>
            <w:tcW w:w="6129" w:type="dxa"/>
          </w:tcPr>
          <w:p w14:paraId="65EE1E13" w14:textId="77777777" w:rsidR="008D1DB2" w:rsidRPr="00480726" w:rsidRDefault="008D1DB2" w:rsidP="00A558D3">
            <w:pPr>
              <w:tabs>
                <w:tab w:val="left" w:pos="1005"/>
              </w:tabs>
              <w:spacing w:line="360" w:lineRule="auto"/>
              <w:jc w:val="both"/>
              <w:rPr>
                <w:rFonts w:ascii="Arial" w:hAnsi="Arial" w:cs="Arial"/>
                <w:sz w:val="24"/>
                <w:szCs w:val="24"/>
              </w:rPr>
            </w:pPr>
            <w:r w:rsidRPr="00480726">
              <w:rPr>
                <w:rFonts w:ascii="Arial" w:hAnsi="Arial" w:cs="Arial"/>
                <w:sz w:val="24"/>
                <w:szCs w:val="24"/>
              </w:rPr>
              <w:t>Acresce dispositivo ao Decreto nº 8.349, de 1º de abril de 2015.</w:t>
            </w:r>
          </w:p>
        </w:tc>
      </w:tr>
      <w:tr w:rsidR="008D1DB2" w:rsidRPr="00480726" w14:paraId="3E513008" w14:textId="77777777" w:rsidTr="00F67CEF">
        <w:tc>
          <w:tcPr>
            <w:tcW w:w="1406" w:type="dxa"/>
          </w:tcPr>
          <w:p w14:paraId="7D05246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8.845</w:t>
            </w:r>
          </w:p>
        </w:tc>
        <w:tc>
          <w:tcPr>
            <w:tcW w:w="1816" w:type="dxa"/>
          </w:tcPr>
          <w:p w14:paraId="49538A7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16/12/2016</w:t>
            </w:r>
          </w:p>
        </w:tc>
        <w:tc>
          <w:tcPr>
            <w:tcW w:w="6129" w:type="dxa"/>
          </w:tcPr>
          <w:p w14:paraId="24F3F6D6"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no 4.852, de 29 de dezembro de 1997, Regulamento do Código Tributário do Estado de Goiás – RCTE –, e convalida procedimentos fiscais.</w:t>
            </w:r>
          </w:p>
        </w:tc>
      </w:tr>
      <w:tr w:rsidR="008D1DB2" w:rsidRPr="00480726" w14:paraId="562D7384" w14:textId="77777777" w:rsidTr="00F67CEF">
        <w:tc>
          <w:tcPr>
            <w:tcW w:w="1406" w:type="dxa"/>
          </w:tcPr>
          <w:p w14:paraId="4BAC76E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8.862</w:t>
            </w:r>
          </w:p>
        </w:tc>
        <w:tc>
          <w:tcPr>
            <w:tcW w:w="1816" w:type="dxa"/>
          </w:tcPr>
          <w:p w14:paraId="325A472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08/02/2017</w:t>
            </w:r>
          </w:p>
        </w:tc>
        <w:tc>
          <w:tcPr>
            <w:tcW w:w="6129" w:type="dxa"/>
          </w:tcPr>
          <w:p w14:paraId="4C683E5E"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Introduz alterações nos textos do Regulamento do Programa de Desenvolvimento Industrial de Goiás - PRODUZIR -, aprovado pelo Decreto nº 5.265, de 31 de julho de 2000, e do Decreto de 5.515, de 20 de novembro de 2001, que regulamenta o incentivo da Lei nº 13.844, de 1º de junho de 2001, denominado Apoio à Instalação de Central Única de Distribuição de Produtos no Estado de Goiás - CENTROPRODUZIR - e dá outras providências.</w:t>
            </w:r>
          </w:p>
        </w:tc>
      </w:tr>
      <w:tr w:rsidR="008D1DB2" w:rsidRPr="00480726" w14:paraId="614EAA12" w14:textId="77777777" w:rsidTr="00F67CEF">
        <w:tc>
          <w:tcPr>
            <w:tcW w:w="1406" w:type="dxa"/>
          </w:tcPr>
          <w:p w14:paraId="28B560D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8.870</w:t>
            </w:r>
          </w:p>
        </w:tc>
        <w:tc>
          <w:tcPr>
            <w:tcW w:w="1816" w:type="dxa"/>
          </w:tcPr>
          <w:p w14:paraId="5151532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20/01/2017</w:t>
            </w:r>
          </w:p>
        </w:tc>
        <w:tc>
          <w:tcPr>
            <w:tcW w:w="6129" w:type="dxa"/>
          </w:tcPr>
          <w:p w14:paraId="37EEDADA"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rPr>
              <w:t>Altera o Decreto nº 4.852, de 29 de dezembro de 1997, Regulamento do Código Tributário do Estado de Goiás – RCTE.</w:t>
            </w:r>
          </w:p>
        </w:tc>
      </w:tr>
      <w:tr w:rsidR="008D1DB2" w:rsidRPr="00480726" w14:paraId="002AD137" w14:textId="77777777" w:rsidTr="00F67CEF">
        <w:tc>
          <w:tcPr>
            <w:tcW w:w="1406" w:type="dxa"/>
          </w:tcPr>
          <w:p w14:paraId="21DF5C5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8.912</w:t>
            </w:r>
          </w:p>
        </w:tc>
        <w:tc>
          <w:tcPr>
            <w:tcW w:w="1816" w:type="dxa"/>
          </w:tcPr>
          <w:p w14:paraId="10E558D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14/03/2017</w:t>
            </w:r>
          </w:p>
        </w:tc>
        <w:tc>
          <w:tcPr>
            <w:tcW w:w="6129" w:type="dxa"/>
          </w:tcPr>
          <w:p w14:paraId="498EA3B2"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8.127, de 25 de março de 2014, que regulamenta a Lei nº 18.360/13, dispondo sobre a prorrogação do prazo de fruição dos incentivos dos Programas FOMENTAR e PRODUZIR e de seus subprogramas.</w:t>
            </w:r>
          </w:p>
        </w:tc>
      </w:tr>
      <w:tr w:rsidR="008D1DB2" w:rsidRPr="00480726" w14:paraId="4F7C8B49" w14:textId="77777777" w:rsidTr="00F67CEF">
        <w:tc>
          <w:tcPr>
            <w:tcW w:w="1406" w:type="dxa"/>
          </w:tcPr>
          <w:p w14:paraId="05A8CD8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8.926</w:t>
            </w:r>
          </w:p>
        </w:tc>
        <w:tc>
          <w:tcPr>
            <w:tcW w:w="1816" w:type="dxa"/>
          </w:tcPr>
          <w:p w14:paraId="37E15D6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04/04/2017</w:t>
            </w:r>
          </w:p>
        </w:tc>
        <w:tc>
          <w:tcPr>
            <w:tcW w:w="6129" w:type="dxa"/>
          </w:tcPr>
          <w:p w14:paraId="5BC92AD1"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Dá nova redação ao § 14 do art. 23 do Regulamento do PRODUZIR, aprovado pelo Decreto nº 5.265, de 31 de julho de 2000, acrescido pelo Decreto nº 8.706, de 26 de julho de 2016, permite a quitação, em até 10 (dez) parcelas mensais iguais e sucessivas, de débito contraído com o Fundo Protege Goiás e dá outras providências.</w:t>
            </w:r>
          </w:p>
        </w:tc>
      </w:tr>
      <w:tr w:rsidR="008D1DB2" w:rsidRPr="00480726" w14:paraId="43221EF8" w14:textId="77777777" w:rsidTr="00F67CEF">
        <w:tc>
          <w:tcPr>
            <w:tcW w:w="1406" w:type="dxa"/>
          </w:tcPr>
          <w:p w14:paraId="77F856E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8.928</w:t>
            </w:r>
          </w:p>
        </w:tc>
        <w:tc>
          <w:tcPr>
            <w:tcW w:w="1816" w:type="dxa"/>
          </w:tcPr>
          <w:p w14:paraId="0D2B68B0"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04/04/2017</w:t>
            </w:r>
          </w:p>
        </w:tc>
        <w:tc>
          <w:tcPr>
            <w:tcW w:w="6129" w:type="dxa"/>
          </w:tcPr>
          <w:p w14:paraId="555BF064"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 - RCTE.</w:t>
            </w:r>
          </w:p>
        </w:tc>
      </w:tr>
      <w:tr w:rsidR="008D1DB2" w:rsidRPr="00480726" w14:paraId="146D1BF2" w14:textId="77777777" w:rsidTr="00F67CEF">
        <w:tc>
          <w:tcPr>
            <w:tcW w:w="1406" w:type="dxa"/>
          </w:tcPr>
          <w:p w14:paraId="0F0AE67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8.941</w:t>
            </w:r>
          </w:p>
        </w:tc>
        <w:tc>
          <w:tcPr>
            <w:tcW w:w="1816" w:type="dxa"/>
          </w:tcPr>
          <w:p w14:paraId="30390D7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19/04/2017</w:t>
            </w:r>
          </w:p>
        </w:tc>
        <w:tc>
          <w:tcPr>
            <w:tcW w:w="6129" w:type="dxa"/>
          </w:tcPr>
          <w:p w14:paraId="17C5A58F"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color w:val="000000"/>
                <w:sz w:val="24"/>
                <w:szCs w:val="24"/>
                <w:shd w:val="clear" w:color="auto" w:fill="FFFFFF"/>
              </w:rPr>
              <w:t>Altera o Decreto nº 4.852, de 29 de dezembro de 1997, Regulamento do Código Tributário do Estado de Goiás - RCTE.</w:t>
            </w:r>
          </w:p>
        </w:tc>
      </w:tr>
      <w:tr w:rsidR="008D1DB2" w:rsidRPr="00480726" w14:paraId="35B50CA0" w14:textId="77777777" w:rsidTr="00F67CEF">
        <w:tc>
          <w:tcPr>
            <w:tcW w:w="1406" w:type="dxa"/>
          </w:tcPr>
          <w:p w14:paraId="38D5C0D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8.957</w:t>
            </w:r>
          </w:p>
        </w:tc>
        <w:tc>
          <w:tcPr>
            <w:tcW w:w="1816" w:type="dxa"/>
          </w:tcPr>
          <w:p w14:paraId="7B54059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25/05/2017</w:t>
            </w:r>
          </w:p>
        </w:tc>
        <w:tc>
          <w:tcPr>
            <w:tcW w:w="6129" w:type="dxa"/>
          </w:tcPr>
          <w:p w14:paraId="6166897B"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Dá nova redação ao § 11 do art. 42 do Regulamento do Fundo de Participação e Fomento à Industrialização do Estado de Goiás – FOMENTAR – baixado pelo Decreto nº 3.822, de 10 de julho de 1992.</w:t>
            </w:r>
          </w:p>
        </w:tc>
      </w:tr>
      <w:tr w:rsidR="008D1DB2" w:rsidRPr="00480726" w14:paraId="05CE0A8B" w14:textId="77777777" w:rsidTr="00F67CEF">
        <w:tc>
          <w:tcPr>
            <w:tcW w:w="1406" w:type="dxa"/>
          </w:tcPr>
          <w:p w14:paraId="7DB220E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8.973</w:t>
            </w:r>
          </w:p>
        </w:tc>
        <w:tc>
          <w:tcPr>
            <w:tcW w:w="1816" w:type="dxa"/>
          </w:tcPr>
          <w:p w14:paraId="35A5226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12/06/2017</w:t>
            </w:r>
          </w:p>
        </w:tc>
        <w:tc>
          <w:tcPr>
            <w:tcW w:w="6129" w:type="dxa"/>
          </w:tcPr>
          <w:p w14:paraId="1B256CDD"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3.822, de 10 de julho de 1992, Regulamento do Fundo de Participação e Fomento à Industrialização do Estado de Goiás - FOMENTAR.</w:t>
            </w:r>
          </w:p>
        </w:tc>
      </w:tr>
      <w:tr w:rsidR="008D1DB2" w:rsidRPr="00480726" w14:paraId="09F2D309" w14:textId="77777777" w:rsidTr="00F67CEF">
        <w:tc>
          <w:tcPr>
            <w:tcW w:w="1406" w:type="dxa"/>
          </w:tcPr>
          <w:p w14:paraId="4C77291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8.994</w:t>
            </w:r>
          </w:p>
        </w:tc>
        <w:tc>
          <w:tcPr>
            <w:tcW w:w="1816" w:type="dxa"/>
          </w:tcPr>
          <w:p w14:paraId="126F88A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19/07/2017</w:t>
            </w:r>
          </w:p>
        </w:tc>
        <w:tc>
          <w:tcPr>
            <w:tcW w:w="6129" w:type="dxa"/>
          </w:tcPr>
          <w:p w14:paraId="5BDB5FB0"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w:t>
            </w:r>
          </w:p>
        </w:tc>
      </w:tr>
      <w:tr w:rsidR="008D1DB2" w:rsidRPr="00480726" w14:paraId="3E6E5AC1" w14:textId="77777777" w:rsidTr="00F67CEF">
        <w:tc>
          <w:tcPr>
            <w:tcW w:w="1406" w:type="dxa"/>
          </w:tcPr>
          <w:p w14:paraId="4396A98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9.002</w:t>
            </w:r>
          </w:p>
        </w:tc>
        <w:tc>
          <w:tcPr>
            <w:tcW w:w="1816" w:type="dxa"/>
          </w:tcPr>
          <w:p w14:paraId="05F389A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21/07/2017</w:t>
            </w:r>
          </w:p>
        </w:tc>
        <w:tc>
          <w:tcPr>
            <w:tcW w:w="6129" w:type="dxa"/>
          </w:tcPr>
          <w:p w14:paraId="6AF46FB5"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 - RCTE.</w:t>
            </w:r>
          </w:p>
        </w:tc>
      </w:tr>
      <w:tr w:rsidR="008D1DB2" w:rsidRPr="00480726" w14:paraId="7CF0FF87" w14:textId="77777777" w:rsidTr="00F67CEF">
        <w:tc>
          <w:tcPr>
            <w:tcW w:w="1406" w:type="dxa"/>
          </w:tcPr>
          <w:p w14:paraId="2A9C7C7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9.007</w:t>
            </w:r>
          </w:p>
        </w:tc>
        <w:tc>
          <w:tcPr>
            <w:tcW w:w="1816" w:type="dxa"/>
          </w:tcPr>
          <w:p w14:paraId="505F158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28/07/2017</w:t>
            </w:r>
          </w:p>
        </w:tc>
        <w:tc>
          <w:tcPr>
            <w:tcW w:w="6129" w:type="dxa"/>
          </w:tcPr>
          <w:p w14:paraId="6ACAB0E4"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w:t>
            </w:r>
          </w:p>
        </w:tc>
      </w:tr>
      <w:tr w:rsidR="008D1DB2" w:rsidRPr="00480726" w14:paraId="35BD41B3" w14:textId="77777777" w:rsidTr="00F67CEF">
        <w:tc>
          <w:tcPr>
            <w:tcW w:w="1406" w:type="dxa"/>
          </w:tcPr>
          <w:p w14:paraId="4487E30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9.008</w:t>
            </w:r>
          </w:p>
        </w:tc>
        <w:tc>
          <w:tcPr>
            <w:tcW w:w="1816" w:type="dxa"/>
          </w:tcPr>
          <w:p w14:paraId="2C1DE05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28/07/2017</w:t>
            </w:r>
          </w:p>
        </w:tc>
        <w:tc>
          <w:tcPr>
            <w:tcW w:w="6129" w:type="dxa"/>
            <w:vMerge w:val="restart"/>
          </w:tcPr>
          <w:p w14:paraId="1134E837" w14:textId="4C3937D1" w:rsidR="008D1DB2" w:rsidRPr="00480726" w:rsidRDefault="00F86F03"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 – RCTE.</w:t>
            </w:r>
          </w:p>
        </w:tc>
      </w:tr>
      <w:tr w:rsidR="008D1DB2" w:rsidRPr="00480726" w14:paraId="5C2AD4CE" w14:textId="77777777" w:rsidTr="00F67CEF">
        <w:tc>
          <w:tcPr>
            <w:tcW w:w="1406" w:type="dxa"/>
          </w:tcPr>
          <w:p w14:paraId="388E40F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9.019</w:t>
            </w:r>
          </w:p>
        </w:tc>
        <w:tc>
          <w:tcPr>
            <w:tcW w:w="1816" w:type="dxa"/>
          </w:tcPr>
          <w:p w14:paraId="445E8AB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04/08/2017</w:t>
            </w:r>
          </w:p>
        </w:tc>
        <w:tc>
          <w:tcPr>
            <w:tcW w:w="6129" w:type="dxa"/>
            <w:vMerge/>
          </w:tcPr>
          <w:p w14:paraId="79FC3930" w14:textId="77777777" w:rsidR="008D1DB2" w:rsidRPr="00480726" w:rsidRDefault="008D1DB2" w:rsidP="00A558D3">
            <w:pPr>
              <w:spacing w:line="360" w:lineRule="auto"/>
              <w:jc w:val="both"/>
              <w:rPr>
                <w:rFonts w:ascii="Arial" w:hAnsi="Arial" w:cs="Arial"/>
                <w:sz w:val="24"/>
                <w:szCs w:val="24"/>
              </w:rPr>
            </w:pPr>
          </w:p>
        </w:tc>
      </w:tr>
      <w:tr w:rsidR="008D1DB2" w:rsidRPr="00480726" w14:paraId="026AACF9" w14:textId="77777777" w:rsidTr="00F67CEF">
        <w:tc>
          <w:tcPr>
            <w:tcW w:w="1406" w:type="dxa"/>
          </w:tcPr>
          <w:p w14:paraId="7232D21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9.038</w:t>
            </w:r>
          </w:p>
        </w:tc>
        <w:tc>
          <w:tcPr>
            <w:tcW w:w="1816" w:type="dxa"/>
          </w:tcPr>
          <w:p w14:paraId="22B3258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05/09/2017</w:t>
            </w:r>
          </w:p>
        </w:tc>
        <w:tc>
          <w:tcPr>
            <w:tcW w:w="6129" w:type="dxa"/>
          </w:tcPr>
          <w:p w14:paraId="4DB3B66F"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Regulamenta o art. 4º, inciso I, da Lei nº 19.700, de 23 de junho de 2017, referente à participação de estudantes de ensino médio no Programa Goiás Sem Fronteiras.</w:t>
            </w:r>
          </w:p>
        </w:tc>
      </w:tr>
      <w:tr w:rsidR="008D1DB2" w:rsidRPr="00480726" w14:paraId="4AC8B2E7" w14:textId="77777777" w:rsidTr="00F67CEF">
        <w:tc>
          <w:tcPr>
            <w:tcW w:w="1406" w:type="dxa"/>
          </w:tcPr>
          <w:p w14:paraId="517A8E7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9.055</w:t>
            </w:r>
          </w:p>
        </w:tc>
        <w:tc>
          <w:tcPr>
            <w:tcW w:w="1816" w:type="dxa"/>
          </w:tcPr>
          <w:p w14:paraId="65B86C6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25/09/2017</w:t>
            </w:r>
          </w:p>
        </w:tc>
        <w:tc>
          <w:tcPr>
            <w:tcW w:w="6129" w:type="dxa"/>
          </w:tcPr>
          <w:p w14:paraId="6F23C851"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5.686, de 02 de dezembro de 2002, regulamento do incentivo Apoio ao Comércio Exterior no Estado de Goiás -COMEXPRODUZIR-, Subprograma do Programa de Desenvolvimento Industrial de Goiás - PRODUZIR.</w:t>
            </w:r>
          </w:p>
        </w:tc>
      </w:tr>
      <w:tr w:rsidR="008D1DB2" w:rsidRPr="00480726" w14:paraId="4CC70493" w14:textId="77777777" w:rsidTr="00F67CEF">
        <w:tc>
          <w:tcPr>
            <w:tcW w:w="1406" w:type="dxa"/>
          </w:tcPr>
          <w:p w14:paraId="10841BE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9.075</w:t>
            </w:r>
          </w:p>
        </w:tc>
        <w:tc>
          <w:tcPr>
            <w:tcW w:w="1816" w:type="dxa"/>
          </w:tcPr>
          <w:p w14:paraId="372FAB3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26/10/2017</w:t>
            </w:r>
          </w:p>
        </w:tc>
        <w:tc>
          <w:tcPr>
            <w:tcW w:w="6129" w:type="dxa"/>
            <w:vMerge w:val="restart"/>
          </w:tcPr>
          <w:p w14:paraId="3AC904B9" w14:textId="77777777" w:rsidR="008D1DB2" w:rsidRPr="00480726" w:rsidRDefault="008D1DB2" w:rsidP="00A558D3">
            <w:pPr>
              <w:tabs>
                <w:tab w:val="left" w:pos="1845"/>
              </w:tabs>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 – RCTE.</w:t>
            </w:r>
          </w:p>
        </w:tc>
      </w:tr>
      <w:tr w:rsidR="008D1DB2" w:rsidRPr="00480726" w14:paraId="0F6B2052" w14:textId="77777777" w:rsidTr="00F67CEF">
        <w:tc>
          <w:tcPr>
            <w:tcW w:w="1406" w:type="dxa"/>
          </w:tcPr>
          <w:p w14:paraId="0A074D4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9.079</w:t>
            </w:r>
          </w:p>
        </w:tc>
        <w:tc>
          <w:tcPr>
            <w:tcW w:w="1816" w:type="dxa"/>
          </w:tcPr>
          <w:p w14:paraId="552D4AE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01/11/2017</w:t>
            </w:r>
          </w:p>
        </w:tc>
        <w:tc>
          <w:tcPr>
            <w:tcW w:w="6129" w:type="dxa"/>
            <w:vMerge/>
          </w:tcPr>
          <w:p w14:paraId="459F6825" w14:textId="77777777" w:rsidR="008D1DB2" w:rsidRPr="00480726" w:rsidRDefault="008D1DB2" w:rsidP="00A558D3">
            <w:pPr>
              <w:spacing w:line="360" w:lineRule="auto"/>
              <w:jc w:val="both"/>
              <w:rPr>
                <w:rFonts w:ascii="Arial" w:hAnsi="Arial" w:cs="Arial"/>
                <w:sz w:val="24"/>
                <w:szCs w:val="24"/>
              </w:rPr>
            </w:pPr>
          </w:p>
        </w:tc>
      </w:tr>
      <w:tr w:rsidR="008D1DB2" w:rsidRPr="00480726" w14:paraId="685AB3A4" w14:textId="77777777" w:rsidTr="00F67CEF">
        <w:tc>
          <w:tcPr>
            <w:tcW w:w="1406" w:type="dxa"/>
          </w:tcPr>
          <w:p w14:paraId="1BC3AB3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9.089</w:t>
            </w:r>
          </w:p>
        </w:tc>
        <w:tc>
          <w:tcPr>
            <w:tcW w:w="1816" w:type="dxa"/>
          </w:tcPr>
          <w:p w14:paraId="3C8BB35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14/11/2017</w:t>
            </w:r>
          </w:p>
        </w:tc>
        <w:tc>
          <w:tcPr>
            <w:tcW w:w="6129" w:type="dxa"/>
          </w:tcPr>
          <w:p w14:paraId="566B2AED"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Regulamento do Programa de Desenvolvimento Industrial de Goiás - PRODUZIR-, aprovado pelo Decreto nº 5.265, de 31 de julho de 2000, nas partes que especifica.</w:t>
            </w:r>
          </w:p>
        </w:tc>
      </w:tr>
      <w:tr w:rsidR="008D1DB2" w:rsidRPr="00480726" w14:paraId="0DE7B3C2" w14:textId="77777777" w:rsidTr="00F67CEF">
        <w:tc>
          <w:tcPr>
            <w:tcW w:w="1406" w:type="dxa"/>
          </w:tcPr>
          <w:p w14:paraId="7AAA89D8"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9.103</w:t>
            </w:r>
          </w:p>
        </w:tc>
        <w:tc>
          <w:tcPr>
            <w:tcW w:w="1816" w:type="dxa"/>
          </w:tcPr>
          <w:p w14:paraId="7B77198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05/12/2017</w:t>
            </w:r>
          </w:p>
        </w:tc>
        <w:tc>
          <w:tcPr>
            <w:tcW w:w="6129" w:type="dxa"/>
          </w:tcPr>
          <w:p w14:paraId="231C409E"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 - RCTE.</w:t>
            </w:r>
          </w:p>
        </w:tc>
      </w:tr>
      <w:tr w:rsidR="008D1DB2" w:rsidRPr="00480726" w14:paraId="3E7CC68F" w14:textId="77777777" w:rsidTr="00F67CEF">
        <w:tc>
          <w:tcPr>
            <w:tcW w:w="1406" w:type="dxa"/>
          </w:tcPr>
          <w:p w14:paraId="0CE7E276"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9.109</w:t>
            </w:r>
          </w:p>
        </w:tc>
        <w:tc>
          <w:tcPr>
            <w:tcW w:w="1816" w:type="dxa"/>
          </w:tcPr>
          <w:p w14:paraId="36E7793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21/12/2017</w:t>
            </w:r>
          </w:p>
        </w:tc>
        <w:tc>
          <w:tcPr>
            <w:tcW w:w="6129" w:type="dxa"/>
          </w:tcPr>
          <w:p w14:paraId="69215312"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no 9.067, de 09 de outubro de 2017, e dá outras providências.</w:t>
            </w:r>
          </w:p>
        </w:tc>
      </w:tr>
      <w:tr w:rsidR="008D1DB2" w:rsidRPr="00480726" w14:paraId="25C6265B" w14:textId="77777777" w:rsidTr="00F67CEF">
        <w:tc>
          <w:tcPr>
            <w:tcW w:w="1406" w:type="dxa"/>
          </w:tcPr>
          <w:p w14:paraId="53DA40CD"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9.116</w:t>
            </w:r>
          </w:p>
        </w:tc>
        <w:tc>
          <w:tcPr>
            <w:tcW w:w="1816" w:type="dxa"/>
          </w:tcPr>
          <w:p w14:paraId="76F4E50A"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27/12/2017</w:t>
            </w:r>
          </w:p>
        </w:tc>
        <w:tc>
          <w:tcPr>
            <w:tcW w:w="6129" w:type="dxa"/>
          </w:tcPr>
          <w:p w14:paraId="2C03B868"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nº 4.852, de 29 de dezembro de 1997, Regulamento do Código Tributário do Estado de Goiás - RCTE.</w:t>
            </w:r>
          </w:p>
        </w:tc>
      </w:tr>
      <w:tr w:rsidR="008D1DB2" w:rsidRPr="00480726" w14:paraId="6A7038AC" w14:textId="77777777" w:rsidTr="00F67CEF">
        <w:tc>
          <w:tcPr>
            <w:tcW w:w="1406" w:type="dxa"/>
          </w:tcPr>
          <w:p w14:paraId="3DBA29DB"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9.120</w:t>
            </w:r>
          </w:p>
        </w:tc>
        <w:tc>
          <w:tcPr>
            <w:tcW w:w="1816" w:type="dxa"/>
          </w:tcPr>
          <w:p w14:paraId="29E4844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29/12/2017</w:t>
            </w:r>
          </w:p>
        </w:tc>
        <w:tc>
          <w:tcPr>
            <w:tcW w:w="6129" w:type="dxa"/>
            <w:vMerge w:val="restart"/>
          </w:tcPr>
          <w:p w14:paraId="3EB2BFAD"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w:t>
            </w:r>
          </w:p>
        </w:tc>
      </w:tr>
      <w:tr w:rsidR="008D1DB2" w:rsidRPr="00480726" w14:paraId="6257490E" w14:textId="77777777" w:rsidTr="00F67CEF">
        <w:tc>
          <w:tcPr>
            <w:tcW w:w="1406" w:type="dxa"/>
          </w:tcPr>
          <w:p w14:paraId="6E3AFCBE"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lastRenderedPageBreak/>
              <w:t>9.127</w:t>
            </w:r>
          </w:p>
        </w:tc>
        <w:tc>
          <w:tcPr>
            <w:tcW w:w="1816" w:type="dxa"/>
          </w:tcPr>
          <w:p w14:paraId="67FEF23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29/12/2017</w:t>
            </w:r>
          </w:p>
        </w:tc>
        <w:tc>
          <w:tcPr>
            <w:tcW w:w="6129" w:type="dxa"/>
            <w:vMerge/>
          </w:tcPr>
          <w:p w14:paraId="3A9E34AB" w14:textId="77777777" w:rsidR="008D1DB2" w:rsidRPr="00480726" w:rsidRDefault="008D1DB2" w:rsidP="00A558D3">
            <w:pPr>
              <w:spacing w:line="360" w:lineRule="auto"/>
              <w:jc w:val="both"/>
              <w:rPr>
                <w:rFonts w:ascii="Arial" w:hAnsi="Arial" w:cs="Arial"/>
                <w:sz w:val="24"/>
                <w:szCs w:val="24"/>
              </w:rPr>
            </w:pPr>
          </w:p>
        </w:tc>
      </w:tr>
      <w:tr w:rsidR="008D1DB2" w:rsidRPr="00480726" w14:paraId="20EB4696" w14:textId="77777777" w:rsidTr="00F67CEF">
        <w:tc>
          <w:tcPr>
            <w:tcW w:w="1406" w:type="dxa"/>
          </w:tcPr>
          <w:p w14:paraId="499A7C1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9.129</w:t>
            </w:r>
          </w:p>
        </w:tc>
        <w:tc>
          <w:tcPr>
            <w:tcW w:w="1816" w:type="dxa"/>
          </w:tcPr>
          <w:p w14:paraId="46988987"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29/12/2017</w:t>
            </w:r>
          </w:p>
        </w:tc>
        <w:tc>
          <w:tcPr>
            <w:tcW w:w="6129" w:type="dxa"/>
          </w:tcPr>
          <w:p w14:paraId="64E0D8D5"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Introduz alterações no Anexo II do Regulamento do Programa de Desenvolvimento Industrial de Goiás – PRODUZIR –, aprovado pelo Decreto nº 5.265, de 31 de julho de 2000, com alterações posteriores, e dá outras providências.</w:t>
            </w:r>
          </w:p>
        </w:tc>
      </w:tr>
      <w:tr w:rsidR="008D1DB2" w:rsidRPr="00480726" w14:paraId="6591BA5B" w14:textId="77777777" w:rsidTr="00F67CEF">
        <w:tc>
          <w:tcPr>
            <w:tcW w:w="1406" w:type="dxa"/>
          </w:tcPr>
          <w:p w14:paraId="7CFFAED9"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9.147</w:t>
            </w:r>
          </w:p>
        </w:tc>
        <w:tc>
          <w:tcPr>
            <w:tcW w:w="1816" w:type="dxa"/>
          </w:tcPr>
          <w:p w14:paraId="77E3AA2C"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31/01/2018</w:t>
            </w:r>
          </w:p>
        </w:tc>
        <w:tc>
          <w:tcPr>
            <w:tcW w:w="6129" w:type="dxa"/>
          </w:tcPr>
          <w:p w14:paraId="74045730"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Adia os efeitos do Decreto nº 9.108, de 20 de dezembro de 2017, que exclui mercadorias do Apêndice II do Anexo VIII do RCTE e revigora o benefício fiscal que especifica.</w:t>
            </w:r>
          </w:p>
        </w:tc>
      </w:tr>
      <w:tr w:rsidR="008D1DB2" w:rsidRPr="00480726" w14:paraId="2E3166C2" w14:textId="77777777" w:rsidTr="00F67CEF">
        <w:tc>
          <w:tcPr>
            <w:tcW w:w="1406" w:type="dxa"/>
          </w:tcPr>
          <w:p w14:paraId="22A720E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9.187</w:t>
            </w:r>
          </w:p>
        </w:tc>
        <w:tc>
          <w:tcPr>
            <w:tcW w:w="1816" w:type="dxa"/>
          </w:tcPr>
          <w:p w14:paraId="00A54031"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20/03/2018</w:t>
            </w:r>
          </w:p>
        </w:tc>
        <w:tc>
          <w:tcPr>
            <w:tcW w:w="6129" w:type="dxa"/>
          </w:tcPr>
          <w:p w14:paraId="5E9C5338" w14:textId="77777777" w:rsidR="008D1DB2" w:rsidRPr="00480726" w:rsidRDefault="008D1DB2" w:rsidP="00A558D3">
            <w:pPr>
              <w:tabs>
                <w:tab w:val="left" w:pos="1455"/>
              </w:tabs>
              <w:spacing w:line="360" w:lineRule="auto"/>
              <w:jc w:val="both"/>
              <w:rPr>
                <w:rFonts w:ascii="Arial" w:hAnsi="Arial" w:cs="Arial"/>
                <w:sz w:val="24"/>
                <w:szCs w:val="24"/>
              </w:rPr>
            </w:pPr>
            <w:r w:rsidRPr="00480726">
              <w:rPr>
                <w:rFonts w:ascii="Arial" w:hAnsi="Arial" w:cs="Arial"/>
                <w:sz w:val="24"/>
                <w:szCs w:val="24"/>
              </w:rPr>
              <w:t>Altera o Decreto nº 4.852, de 29 de dezembro de 1997, Regulamento do Código Tributário do Estado de Goiás – RCTE.</w:t>
            </w:r>
          </w:p>
        </w:tc>
      </w:tr>
      <w:tr w:rsidR="008D1DB2" w:rsidRPr="00480726" w14:paraId="5F8B6CD7" w14:textId="77777777" w:rsidTr="00F67CEF">
        <w:tc>
          <w:tcPr>
            <w:tcW w:w="1406" w:type="dxa"/>
          </w:tcPr>
          <w:p w14:paraId="383FF67F"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9.220</w:t>
            </w:r>
          </w:p>
        </w:tc>
        <w:tc>
          <w:tcPr>
            <w:tcW w:w="1816" w:type="dxa"/>
          </w:tcPr>
          <w:p w14:paraId="08E02DB2"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11/05/2018</w:t>
            </w:r>
          </w:p>
        </w:tc>
        <w:tc>
          <w:tcPr>
            <w:tcW w:w="6129" w:type="dxa"/>
          </w:tcPr>
          <w:p w14:paraId="1B45CB0D"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Anexo IX do Decreto n° 4.852, de 29 de dezembro de 1997, Regulamento do Código Tributário do Estado de Goiás – RCTE.</w:t>
            </w:r>
          </w:p>
        </w:tc>
      </w:tr>
      <w:tr w:rsidR="008D1DB2" w:rsidRPr="00480726" w14:paraId="62CF58F9" w14:textId="77777777" w:rsidTr="00F67CEF">
        <w:tc>
          <w:tcPr>
            <w:tcW w:w="1406" w:type="dxa"/>
          </w:tcPr>
          <w:p w14:paraId="02DB5A03"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9.235</w:t>
            </w:r>
          </w:p>
        </w:tc>
        <w:tc>
          <w:tcPr>
            <w:tcW w:w="1816" w:type="dxa"/>
          </w:tcPr>
          <w:p w14:paraId="3418D9C4" w14:textId="77777777" w:rsidR="008D1DB2" w:rsidRPr="00480726" w:rsidRDefault="008D1DB2" w:rsidP="008A5E51">
            <w:pPr>
              <w:spacing w:line="360" w:lineRule="auto"/>
              <w:jc w:val="center"/>
              <w:rPr>
                <w:rFonts w:ascii="Arial" w:hAnsi="Arial" w:cs="Arial"/>
                <w:b/>
                <w:sz w:val="24"/>
                <w:szCs w:val="24"/>
              </w:rPr>
            </w:pPr>
            <w:r w:rsidRPr="00480726">
              <w:rPr>
                <w:rFonts w:ascii="Arial" w:hAnsi="Arial" w:cs="Arial"/>
                <w:b/>
                <w:sz w:val="24"/>
                <w:szCs w:val="24"/>
              </w:rPr>
              <w:t>30/05/2018</w:t>
            </w:r>
          </w:p>
        </w:tc>
        <w:tc>
          <w:tcPr>
            <w:tcW w:w="6129" w:type="dxa"/>
          </w:tcPr>
          <w:p w14:paraId="38670248" w14:textId="77777777" w:rsidR="008D1DB2" w:rsidRPr="00480726" w:rsidRDefault="008D1DB2" w:rsidP="00A558D3">
            <w:pPr>
              <w:spacing w:line="360" w:lineRule="auto"/>
              <w:jc w:val="both"/>
              <w:rPr>
                <w:rFonts w:ascii="Arial" w:hAnsi="Arial" w:cs="Arial"/>
                <w:sz w:val="24"/>
                <w:szCs w:val="24"/>
              </w:rPr>
            </w:pPr>
            <w:r w:rsidRPr="00480726">
              <w:rPr>
                <w:rFonts w:ascii="Arial" w:hAnsi="Arial" w:cs="Arial"/>
                <w:sz w:val="24"/>
                <w:szCs w:val="24"/>
              </w:rPr>
              <w:t>Altera o Decreto nº 9.104, de 05 de dezembro de 2017, e dá outras providências.</w:t>
            </w:r>
          </w:p>
        </w:tc>
      </w:tr>
    </w:tbl>
    <w:p w14:paraId="7978D058" w14:textId="77777777" w:rsidR="007D5CA4" w:rsidRDefault="007D5CA4" w:rsidP="00E634D4">
      <w:pPr>
        <w:spacing w:line="360" w:lineRule="auto"/>
        <w:ind w:firstLine="851"/>
        <w:jc w:val="both"/>
        <w:rPr>
          <w:rFonts w:ascii="Arial" w:hAnsi="Arial" w:cs="Arial"/>
          <w:sz w:val="24"/>
          <w:szCs w:val="24"/>
        </w:rPr>
      </w:pPr>
    </w:p>
    <w:p w14:paraId="2F66092E" w14:textId="583E67CD" w:rsidR="00F35001" w:rsidRDefault="005525BF" w:rsidP="005525BF">
      <w:pPr>
        <w:spacing w:line="360" w:lineRule="auto"/>
        <w:ind w:firstLine="851"/>
        <w:jc w:val="both"/>
        <w:rPr>
          <w:rFonts w:ascii="Arial" w:hAnsi="Arial" w:cs="Arial"/>
          <w:sz w:val="24"/>
          <w:szCs w:val="24"/>
        </w:rPr>
      </w:pPr>
      <w:r>
        <w:rPr>
          <w:rFonts w:ascii="Arial" w:hAnsi="Arial" w:cs="Arial"/>
          <w:sz w:val="24"/>
          <w:szCs w:val="24"/>
        </w:rPr>
        <w:t xml:space="preserve">Da tabela acima, percebe-se que </w:t>
      </w:r>
      <w:r w:rsidRPr="005525BF">
        <w:rPr>
          <w:rFonts w:ascii="Arial" w:hAnsi="Arial" w:cs="Arial"/>
          <w:b/>
          <w:sz w:val="24"/>
          <w:szCs w:val="24"/>
        </w:rPr>
        <w:t>os decretos governamentais podem ser classificados em 3 (três) categorias básicas</w:t>
      </w:r>
      <w:r>
        <w:rPr>
          <w:rFonts w:ascii="Arial" w:hAnsi="Arial" w:cs="Arial"/>
          <w:sz w:val="24"/>
          <w:szCs w:val="24"/>
        </w:rPr>
        <w:t xml:space="preserve">: </w:t>
      </w:r>
      <w:r w:rsidRPr="005525BF">
        <w:rPr>
          <w:rFonts w:ascii="Arial" w:hAnsi="Arial" w:cs="Arial"/>
          <w:sz w:val="24"/>
          <w:szCs w:val="24"/>
          <w:u w:val="single"/>
        </w:rPr>
        <w:t>a) os que alteram o Decreto nº 4.852/1997,</w:t>
      </w:r>
      <w:r w:rsidR="00A81444" w:rsidRPr="005525BF">
        <w:rPr>
          <w:rFonts w:ascii="Arial" w:hAnsi="Arial" w:cs="Arial"/>
          <w:sz w:val="24"/>
          <w:szCs w:val="24"/>
          <w:u w:val="single"/>
        </w:rPr>
        <w:t xml:space="preserve"> que regulamenta </w:t>
      </w:r>
      <w:r w:rsidR="00867C9F">
        <w:rPr>
          <w:rFonts w:ascii="Arial" w:hAnsi="Arial" w:cs="Arial"/>
          <w:sz w:val="24"/>
          <w:szCs w:val="24"/>
          <w:u w:val="single"/>
        </w:rPr>
        <w:t>o</w:t>
      </w:r>
      <w:r w:rsidR="00A81444" w:rsidRPr="005525BF">
        <w:rPr>
          <w:rFonts w:ascii="Arial" w:hAnsi="Arial" w:cs="Arial"/>
          <w:sz w:val="24"/>
          <w:szCs w:val="24"/>
          <w:u w:val="single"/>
        </w:rPr>
        <w:t xml:space="preserve"> CTE/GO</w:t>
      </w:r>
      <w:r w:rsidR="001E7F7E">
        <w:rPr>
          <w:rFonts w:ascii="Arial" w:hAnsi="Arial" w:cs="Arial"/>
          <w:sz w:val="24"/>
          <w:szCs w:val="24"/>
          <w:u w:val="single"/>
        </w:rPr>
        <w:t xml:space="preserve"> (RCTE/GO)</w:t>
      </w:r>
      <w:r w:rsidR="00A81444">
        <w:rPr>
          <w:rFonts w:ascii="Arial" w:hAnsi="Arial" w:cs="Arial"/>
          <w:sz w:val="24"/>
          <w:szCs w:val="24"/>
        </w:rPr>
        <w:t>,</w:t>
      </w:r>
      <w:r w:rsidR="00EA50A0">
        <w:rPr>
          <w:rFonts w:ascii="Arial" w:hAnsi="Arial" w:cs="Arial"/>
          <w:sz w:val="24"/>
          <w:szCs w:val="24"/>
        </w:rPr>
        <w:t xml:space="preserve"> que pode ser considerado o ato infralegal mais </w:t>
      </w:r>
      <w:r w:rsidR="003165B2">
        <w:rPr>
          <w:rFonts w:ascii="Arial" w:hAnsi="Arial" w:cs="Arial"/>
          <w:sz w:val="24"/>
          <w:szCs w:val="24"/>
        </w:rPr>
        <w:t>relevante</w:t>
      </w:r>
      <w:r w:rsidR="00EA50A0">
        <w:rPr>
          <w:rFonts w:ascii="Arial" w:hAnsi="Arial" w:cs="Arial"/>
          <w:sz w:val="24"/>
          <w:szCs w:val="24"/>
        </w:rPr>
        <w:t xml:space="preserve"> em matéria de incentivos fiscais, notadamente seu Anexo IX</w:t>
      </w:r>
      <w:r>
        <w:rPr>
          <w:rFonts w:ascii="Arial" w:hAnsi="Arial" w:cs="Arial"/>
          <w:sz w:val="24"/>
          <w:szCs w:val="24"/>
        </w:rPr>
        <w:t xml:space="preserve">; </w:t>
      </w:r>
      <w:r w:rsidR="00F35001" w:rsidRPr="00F35001">
        <w:rPr>
          <w:rFonts w:ascii="Arial" w:hAnsi="Arial" w:cs="Arial"/>
          <w:sz w:val="24"/>
          <w:szCs w:val="24"/>
          <w:u w:val="single"/>
        </w:rPr>
        <w:t>b</w:t>
      </w:r>
      <w:r w:rsidRPr="00F35001">
        <w:rPr>
          <w:rFonts w:ascii="Arial" w:hAnsi="Arial" w:cs="Arial"/>
          <w:sz w:val="24"/>
          <w:szCs w:val="24"/>
          <w:u w:val="single"/>
        </w:rPr>
        <w:t xml:space="preserve">) </w:t>
      </w:r>
      <w:r w:rsidR="003165B2">
        <w:rPr>
          <w:rFonts w:ascii="Arial" w:hAnsi="Arial" w:cs="Arial"/>
          <w:sz w:val="24"/>
          <w:szCs w:val="24"/>
          <w:u w:val="single"/>
        </w:rPr>
        <w:t xml:space="preserve">os que </w:t>
      </w:r>
      <w:r w:rsidR="00EF326D" w:rsidRPr="00F35001">
        <w:rPr>
          <w:rFonts w:ascii="Arial" w:hAnsi="Arial" w:cs="Arial"/>
          <w:sz w:val="24"/>
          <w:szCs w:val="24"/>
          <w:u w:val="single"/>
        </w:rPr>
        <w:t>alteram outros decretos</w:t>
      </w:r>
      <w:r w:rsidR="00EF326D">
        <w:rPr>
          <w:rFonts w:ascii="Arial" w:hAnsi="Arial" w:cs="Arial"/>
          <w:sz w:val="24"/>
          <w:szCs w:val="24"/>
        </w:rPr>
        <w:t>, notadamente regulamentos dos Programas FOMENTAR/PRODUZIR</w:t>
      </w:r>
      <w:r w:rsidR="001C1DA4">
        <w:rPr>
          <w:rFonts w:ascii="Arial" w:hAnsi="Arial" w:cs="Arial"/>
          <w:sz w:val="24"/>
          <w:szCs w:val="24"/>
        </w:rPr>
        <w:t xml:space="preserve"> e respectivos subprogramas</w:t>
      </w:r>
      <w:r w:rsidR="00F35001">
        <w:rPr>
          <w:rFonts w:ascii="Arial" w:hAnsi="Arial" w:cs="Arial"/>
          <w:sz w:val="24"/>
          <w:szCs w:val="24"/>
        </w:rPr>
        <w:t xml:space="preserve">; e </w:t>
      </w:r>
      <w:r w:rsidR="00F35001" w:rsidRPr="00F35001">
        <w:rPr>
          <w:rFonts w:ascii="Arial" w:hAnsi="Arial" w:cs="Arial"/>
          <w:sz w:val="24"/>
          <w:szCs w:val="24"/>
          <w:u w:val="single"/>
        </w:rPr>
        <w:t>c</w:t>
      </w:r>
      <w:r w:rsidR="00F35001" w:rsidRPr="00EF326D">
        <w:rPr>
          <w:rFonts w:ascii="Arial" w:hAnsi="Arial" w:cs="Arial"/>
          <w:sz w:val="24"/>
          <w:szCs w:val="24"/>
          <w:u w:val="single"/>
        </w:rPr>
        <w:t>) os que aprovam e ratificam convênios autorizativos celebrados no âmbito do Confaz</w:t>
      </w:r>
      <w:r w:rsidR="00F35001">
        <w:rPr>
          <w:rFonts w:ascii="Arial" w:hAnsi="Arial" w:cs="Arial"/>
          <w:sz w:val="24"/>
          <w:szCs w:val="24"/>
        </w:rPr>
        <w:t>, nos termos do art. 155, § 2º, II, “g”, da CRFB</w:t>
      </w:r>
      <w:r w:rsidR="003F0D96">
        <w:rPr>
          <w:rFonts w:ascii="Arial" w:hAnsi="Arial" w:cs="Arial"/>
          <w:sz w:val="24"/>
          <w:szCs w:val="24"/>
        </w:rPr>
        <w:t xml:space="preserve"> e art. 104, § 2º, II, “g”, da CE/GO</w:t>
      </w:r>
      <w:r w:rsidR="00A81444">
        <w:rPr>
          <w:rFonts w:ascii="Arial" w:hAnsi="Arial" w:cs="Arial"/>
          <w:sz w:val="24"/>
          <w:szCs w:val="24"/>
        </w:rPr>
        <w:t>.</w:t>
      </w:r>
    </w:p>
    <w:p w14:paraId="08A0B5B3" w14:textId="40E2BC0A" w:rsidR="00EA50A0" w:rsidRDefault="009B74FB" w:rsidP="005525BF">
      <w:pPr>
        <w:spacing w:line="360" w:lineRule="auto"/>
        <w:ind w:firstLine="851"/>
        <w:jc w:val="both"/>
        <w:rPr>
          <w:rFonts w:ascii="Arial" w:hAnsi="Arial" w:cs="Arial"/>
          <w:sz w:val="24"/>
          <w:szCs w:val="24"/>
        </w:rPr>
      </w:pPr>
      <w:r>
        <w:rPr>
          <w:rFonts w:ascii="Arial" w:hAnsi="Arial" w:cs="Arial"/>
          <w:sz w:val="24"/>
          <w:szCs w:val="24"/>
        </w:rPr>
        <w:t xml:space="preserve">Em relação à </w:t>
      </w:r>
      <w:r w:rsidRPr="00F42D9A">
        <w:rPr>
          <w:rFonts w:ascii="Arial" w:hAnsi="Arial" w:cs="Arial"/>
          <w:b/>
          <w:sz w:val="24"/>
          <w:szCs w:val="24"/>
        </w:rPr>
        <w:t>primeira categoria</w:t>
      </w:r>
      <w:r>
        <w:rPr>
          <w:rFonts w:ascii="Arial" w:hAnsi="Arial" w:cs="Arial"/>
          <w:sz w:val="24"/>
          <w:szCs w:val="24"/>
        </w:rPr>
        <w:t>, ressalte-se que o</w:t>
      </w:r>
      <w:r w:rsidR="001E7F7E" w:rsidRPr="00D441FA">
        <w:rPr>
          <w:rFonts w:ascii="Arial" w:hAnsi="Arial" w:cs="Arial"/>
          <w:sz w:val="24"/>
          <w:szCs w:val="24"/>
        </w:rPr>
        <w:t xml:space="preserve"> </w:t>
      </w:r>
      <w:r w:rsidR="00F943C2" w:rsidRPr="00D441FA">
        <w:rPr>
          <w:rFonts w:ascii="Arial" w:hAnsi="Arial" w:cs="Arial"/>
          <w:sz w:val="24"/>
          <w:szCs w:val="24"/>
        </w:rPr>
        <w:t xml:space="preserve">RCTE/GO </w:t>
      </w:r>
      <w:r w:rsidR="003A403B" w:rsidRPr="00D441FA">
        <w:rPr>
          <w:rFonts w:ascii="Arial" w:hAnsi="Arial" w:cs="Arial"/>
          <w:sz w:val="24"/>
          <w:szCs w:val="24"/>
        </w:rPr>
        <w:t>consistiu, durante anos, o instrumento</w:t>
      </w:r>
      <w:r w:rsidR="008B33D0" w:rsidRPr="00D441FA">
        <w:rPr>
          <w:rFonts w:ascii="Arial" w:hAnsi="Arial" w:cs="Arial"/>
          <w:sz w:val="24"/>
          <w:szCs w:val="24"/>
        </w:rPr>
        <w:t xml:space="preserve"> que verdadeiramente institu</w:t>
      </w:r>
      <w:r w:rsidR="003A403B" w:rsidRPr="00D441FA">
        <w:rPr>
          <w:rFonts w:ascii="Arial" w:hAnsi="Arial" w:cs="Arial"/>
          <w:sz w:val="24"/>
          <w:szCs w:val="24"/>
        </w:rPr>
        <w:t xml:space="preserve">iu diversos </w:t>
      </w:r>
      <w:r w:rsidR="00D441FA">
        <w:rPr>
          <w:rFonts w:ascii="Arial" w:hAnsi="Arial" w:cs="Arial"/>
          <w:sz w:val="24"/>
          <w:szCs w:val="24"/>
        </w:rPr>
        <w:t>incentivos</w:t>
      </w:r>
      <w:r w:rsidR="008B33D0" w:rsidRPr="00D441FA">
        <w:rPr>
          <w:rFonts w:ascii="Arial" w:hAnsi="Arial" w:cs="Arial"/>
          <w:sz w:val="24"/>
          <w:szCs w:val="24"/>
        </w:rPr>
        <w:t xml:space="preserve"> fiscais</w:t>
      </w:r>
      <w:r w:rsidR="00D441FA">
        <w:rPr>
          <w:rFonts w:ascii="Arial" w:hAnsi="Arial" w:cs="Arial"/>
          <w:sz w:val="24"/>
          <w:szCs w:val="24"/>
        </w:rPr>
        <w:t xml:space="preserve"> relativos ao ICMS</w:t>
      </w:r>
      <w:r w:rsidR="003A403B" w:rsidRPr="00D441FA">
        <w:rPr>
          <w:rFonts w:ascii="Arial" w:hAnsi="Arial" w:cs="Arial"/>
          <w:sz w:val="24"/>
          <w:szCs w:val="24"/>
        </w:rPr>
        <w:t>.</w:t>
      </w:r>
      <w:r w:rsidR="00F42D9A">
        <w:rPr>
          <w:rFonts w:ascii="Arial" w:hAnsi="Arial" w:cs="Arial"/>
          <w:sz w:val="24"/>
          <w:szCs w:val="24"/>
        </w:rPr>
        <w:t xml:space="preserve"> Com efeito, o art. 41 do CTE/GO apenas </w:t>
      </w:r>
      <w:r w:rsidR="00166B24">
        <w:rPr>
          <w:rFonts w:ascii="Arial" w:hAnsi="Arial" w:cs="Arial"/>
          <w:sz w:val="24"/>
          <w:szCs w:val="24"/>
        </w:rPr>
        <w:t>prevê</w:t>
      </w:r>
      <w:r w:rsidR="007846C0">
        <w:rPr>
          <w:rFonts w:ascii="Arial" w:hAnsi="Arial" w:cs="Arial"/>
          <w:sz w:val="24"/>
          <w:szCs w:val="24"/>
        </w:rPr>
        <w:t xml:space="preserve"> 5 (cinco)</w:t>
      </w:r>
      <w:r w:rsidR="00F42D9A">
        <w:rPr>
          <w:rFonts w:ascii="Arial" w:hAnsi="Arial" w:cs="Arial"/>
          <w:sz w:val="24"/>
          <w:szCs w:val="24"/>
        </w:rPr>
        <w:t xml:space="preserve"> espécies </w:t>
      </w:r>
      <w:r w:rsidR="00166B24">
        <w:rPr>
          <w:rFonts w:ascii="Arial" w:hAnsi="Arial" w:cs="Arial"/>
          <w:sz w:val="24"/>
          <w:szCs w:val="24"/>
        </w:rPr>
        <w:t>de</w:t>
      </w:r>
      <w:r w:rsidR="00F42D9A">
        <w:rPr>
          <w:rFonts w:ascii="Arial" w:hAnsi="Arial" w:cs="Arial"/>
          <w:sz w:val="24"/>
          <w:szCs w:val="24"/>
        </w:rPr>
        <w:t xml:space="preserve"> in</w:t>
      </w:r>
      <w:r w:rsidR="007846C0">
        <w:rPr>
          <w:rFonts w:ascii="Arial" w:hAnsi="Arial" w:cs="Arial"/>
          <w:sz w:val="24"/>
          <w:szCs w:val="24"/>
        </w:rPr>
        <w:t xml:space="preserve">centivos </w:t>
      </w:r>
      <w:r w:rsidR="007846C0">
        <w:rPr>
          <w:rFonts w:ascii="Arial" w:hAnsi="Arial" w:cs="Arial"/>
          <w:sz w:val="24"/>
          <w:szCs w:val="24"/>
        </w:rPr>
        <w:lastRenderedPageBreak/>
        <w:t>que podem ser concedido</w:t>
      </w:r>
      <w:r w:rsidR="00F42D9A">
        <w:rPr>
          <w:rFonts w:ascii="Arial" w:hAnsi="Arial" w:cs="Arial"/>
          <w:sz w:val="24"/>
          <w:szCs w:val="24"/>
        </w:rPr>
        <w:t xml:space="preserve">s relativamente </w:t>
      </w:r>
      <w:r w:rsidR="007846C0">
        <w:rPr>
          <w:rFonts w:ascii="Arial" w:hAnsi="Arial" w:cs="Arial"/>
          <w:sz w:val="24"/>
          <w:szCs w:val="24"/>
        </w:rPr>
        <w:t>àquele tributo, a saber</w:t>
      </w:r>
      <w:r w:rsidR="00F42D9A">
        <w:rPr>
          <w:rFonts w:ascii="Arial" w:hAnsi="Arial" w:cs="Arial"/>
          <w:sz w:val="24"/>
          <w:szCs w:val="24"/>
        </w:rPr>
        <w:t xml:space="preserve">: a) isenção; b) </w:t>
      </w:r>
      <w:bookmarkStart w:id="13" w:name="A41"/>
      <w:r w:rsidR="00F42D9A" w:rsidRPr="00F42D9A">
        <w:rPr>
          <w:rFonts w:ascii="Arial" w:hAnsi="Arial" w:cs="Arial"/>
          <w:sz w:val="24"/>
          <w:szCs w:val="24"/>
        </w:rPr>
        <w:t>redução da base de cálculo</w:t>
      </w:r>
      <w:bookmarkEnd w:id="13"/>
      <w:r w:rsidR="00F42D9A">
        <w:rPr>
          <w:rFonts w:ascii="Arial" w:hAnsi="Arial" w:cs="Arial"/>
          <w:sz w:val="24"/>
          <w:szCs w:val="24"/>
        </w:rPr>
        <w:t xml:space="preserve">; c) </w:t>
      </w:r>
      <w:bookmarkStart w:id="14" w:name="A41III"/>
      <w:r w:rsidR="00F42D9A" w:rsidRPr="00F42D9A">
        <w:rPr>
          <w:rFonts w:ascii="Arial" w:hAnsi="Arial" w:cs="Arial"/>
          <w:sz w:val="24"/>
          <w:szCs w:val="24"/>
        </w:rPr>
        <w:t>crédito outorgado</w:t>
      </w:r>
      <w:bookmarkEnd w:id="14"/>
      <w:r w:rsidR="00F42D9A">
        <w:rPr>
          <w:rFonts w:ascii="Arial" w:hAnsi="Arial" w:cs="Arial"/>
          <w:sz w:val="24"/>
          <w:szCs w:val="24"/>
        </w:rPr>
        <w:t xml:space="preserve">; d) </w:t>
      </w:r>
      <w:r w:rsidR="001053C7" w:rsidRPr="001053C7">
        <w:rPr>
          <w:rFonts w:ascii="Arial" w:hAnsi="Arial" w:cs="Arial"/>
          <w:sz w:val="24"/>
          <w:szCs w:val="24"/>
        </w:rPr>
        <w:t>manutenção de crédito</w:t>
      </w:r>
      <w:r w:rsidR="001053C7">
        <w:rPr>
          <w:rFonts w:ascii="Arial" w:hAnsi="Arial" w:cs="Arial"/>
          <w:sz w:val="24"/>
          <w:szCs w:val="24"/>
        </w:rPr>
        <w:t xml:space="preserve">; e e) </w:t>
      </w:r>
      <w:r w:rsidR="001053C7" w:rsidRPr="001053C7">
        <w:rPr>
          <w:rFonts w:ascii="Arial" w:hAnsi="Arial" w:cs="Arial"/>
          <w:sz w:val="24"/>
          <w:szCs w:val="24"/>
        </w:rPr>
        <w:t>devolução total ou parcial do imposto</w:t>
      </w:r>
      <w:r w:rsidR="001053C7">
        <w:rPr>
          <w:rFonts w:ascii="Arial" w:hAnsi="Arial" w:cs="Arial"/>
          <w:sz w:val="24"/>
          <w:szCs w:val="24"/>
        </w:rPr>
        <w:t xml:space="preserve">. </w:t>
      </w:r>
    </w:p>
    <w:p w14:paraId="43C55E8C" w14:textId="50E9D45D" w:rsidR="00EA50A0" w:rsidRDefault="00682D9E" w:rsidP="00682D9E">
      <w:pPr>
        <w:spacing w:line="360" w:lineRule="auto"/>
        <w:ind w:firstLine="851"/>
        <w:jc w:val="both"/>
        <w:rPr>
          <w:rFonts w:ascii="Arial" w:hAnsi="Arial" w:cs="Arial"/>
          <w:sz w:val="24"/>
          <w:szCs w:val="24"/>
        </w:rPr>
      </w:pPr>
      <w:r>
        <w:rPr>
          <w:rFonts w:ascii="Arial" w:hAnsi="Arial" w:cs="Arial"/>
          <w:sz w:val="24"/>
          <w:szCs w:val="24"/>
        </w:rPr>
        <w:t xml:space="preserve">Contudo, </w:t>
      </w:r>
      <w:r w:rsidRPr="00245147">
        <w:rPr>
          <w:rFonts w:ascii="Arial" w:hAnsi="Arial" w:cs="Arial"/>
          <w:sz w:val="24"/>
          <w:szCs w:val="24"/>
          <w:u w:val="single"/>
        </w:rPr>
        <w:t xml:space="preserve">o RCTE/GO não trata apenas de </w:t>
      </w:r>
      <w:r w:rsidR="00EA50A0" w:rsidRPr="00245147">
        <w:rPr>
          <w:rFonts w:ascii="Arial" w:hAnsi="Arial" w:cs="Arial"/>
          <w:sz w:val="24"/>
          <w:szCs w:val="24"/>
          <w:u w:val="single"/>
        </w:rPr>
        <w:t xml:space="preserve">obrigações acessórias, mas </w:t>
      </w:r>
      <w:r w:rsidR="00166B24">
        <w:rPr>
          <w:rFonts w:ascii="Arial" w:hAnsi="Arial" w:cs="Arial"/>
          <w:sz w:val="24"/>
          <w:szCs w:val="24"/>
          <w:u w:val="single"/>
        </w:rPr>
        <w:t>também das hipóteses</w:t>
      </w:r>
      <w:r w:rsidR="00EA50A0" w:rsidRPr="00245147">
        <w:rPr>
          <w:rFonts w:ascii="Arial" w:hAnsi="Arial" w:cs="Arial"/>
          <w:sz w:val="24"/>
          <w:szCs w:val="24"/>
          <w:u w:val="single"/>
        </w:rPr>
        <w:t xml:space="preserve"> </w:t>
      </w:r>
      <w:r w:rsidR="00166B24">
        <w:rPr>
          <w:rFonts w:ascii="Arial" w:hAnsi="Arial" w:cs="Arial"/>
          <w:sz w:val="24"/>
          <w:szCs w:val="24"/>
          <w:u w:val="single"/>
        </w:rPr>
        <w:t xml:space="preserve">de </w:t>
      </w:r>
      <w:r w:rsidR="00EA50A0" w:rsidRPr="00245147">
        <w:rPr>
          <w:rFonts w:ascii="Arial" w:hAnsi="Arial" w:cs="Arial"/>
          <w:sz w:val="24"/>
          <w:szCs w:val="24"/>
          <w:u w:val="single"/>
        </w:rPr>
        <w:t>concessão de incentivos fiscais e requisitos para sua fruição</w:t>
      </w:r>
      <w:r w:rsidR="00245147" w:rsidRPr="00166B24">
        <w:rPr>
          <w:rFonts w:ascii="Arial" w:hAnsi="Arial" w:cs="Arial"/>
          <w:sz w:val="24"/>
          <w:szCs w:val="24"/>
        </w:rPr>
        <w:t xml:space="preserve">, </w:t>
      </w:r>
      <w:r w:rsidR="003E04A3">
        <w:rPr>
          <w:rFonts w:ascii="Arial" w:hAnsi="Arial" w:cs="Arial"/>
          <w:sz w:val="24"/>
          <w:szCs w:val="24"/>
        </w:rPr>
        <w:t>em relação</w:t>
      </w:r>
      <w:r w:rsidRPr="006635BA">
        <w:rPr>
          <w:rFonts w:ascii="Arial" w:hAnsi="Arial" w:cs="Arial"/>
          <w:sz w:val="24"/>
          <w:szCs w:val="24"/>
        </w:rPr>
        <w:t xml:space="preserve"> </w:t>
      </w:r>
      <w:r w:rsidR="003E04A3">
        <w:rPr>
          <w:rFonts w:ascii="Arial" w:hAnsi="Arial" w:cs="Arial"/>
          <w:sz w:val="24"/>
          <w:szCs w:val="24"/>
        </w:rPr>
        <w:t>a</w:t>
      </w:r>
      <w:r w:rsidRPr="006635BA">
        <w:rPr>
          <w:rFonts w:ascii="Arial" w:hAnsi="Arial" w:cs="Arial"/>
          <w:sz w:val="24"/>
          <w:szCs w:val="24"/>
        </w:rPr>
        <w:t xml:space="preserve"> cada uma</w:t>
      </w:r>
      <w:r>
        <w:rPr>
          <w:rFonts w:ascii="Arial" w:hAnsi="Arial" w:cs="Arial"/>
          <w:sz w:val="24"/>
          <w:szCs w:val="24"/>
        </w:rPr>
        <w:t xml:space="preserve"> das espécies acima destacadas, conforme sintetizado a seguir:</w:t>
      </w:r>
    </w:p>
    <w:p w14:paraId="3584D02C" w14:textId="77777777" w:rsidR="00EF4DB8" w:rsidRDefault="00EF4DB8" w:rsidP="00682D9E">
      <w:pPr>
        <w:spacing w:line="360" w:lineRule="auto"/>
        <w:ind w:firstLine="851"/>
        <w:jc w:val="both"/>
        <w:rPr>
          <w:rFonts w:ascii="Arial" w:hAnsi="Arial" w:cs="Arial"/>
          <w:sz w:val="24"/>
          <w:szCs w:val="24"/>
        </w:rPr>
      </w:pPr>
    </w:p>
    <w:p w14:paraId="7B1DD96F" w14:textId="4ECA0AF7" w:rsidR="009D29C8" w:rsidRDefault="0095011D" w:rsidP="00282B87">
      <w:pPr>
        <w:pStyle w:val="PargrafodaLista"/>
        <w:numPr>
          <w:ilvl w:val="0"/>
          <w:numId w:val="5"/>
        </w:numPr>
        <w:spacing w:line="360" w:lineRule="auto"/>
        <w:jc w:val="both"/>
        <w:rPr>
          <w:rFonts w:ascii="Arial" w:hAnsi="Arial" w:cs="Arial"/>
          <w:sz w:val="24"/>
          <w:szCs w:val="24"/>
        </w:rPr>
      </w:pPr>
      <w:r w:rsidRPr="009863A5">
        <w:rPr>
          <w:rFonts w:ascii="Arial" w:hAnsi="Arial" w:cs="Arial"/>
          <w:i/>
          <w:sz w:val="24"/>
          <w:szCs w:val="24"/>
        </w:rPr>
        <w:t>isenção</w:t>
      </w:r>
      <w:r w:rsidR="009D29C8">
        <w:rPr>
          <w:rFonts w:ascii="Arial" w:hAnsi="Arial" w:cs="Arial"/>
          <w:sz w:val="24"/>
          <w:szCs w:val="24"/>
        </w:rPr>
        <w:t>, tanto por prazo determinado</w:t>
      </w:r>
      <w:r>
        <w:rPr>
          <w:rFonts w:ascii="Arial" w:hAnsi="Arial" w:cs="Arial"/>
          <w:sz w:val="24"/>
          <w:szCs w:val="24"/>
        </w:rPr>
        <w:t xml:space="preserve"> (</w:t>
      </w:r>
      <w:bookmarkStart w:id="15" w:name="A6CLVI"/>
      <w:bookmarkStart w:id="16" w:name="_Toc338404894"/>
      <w:bookmarkStart w:id="17" w:name="A4"/>
      <w:bookmarkStart w:id="18" w:name="A3"/>
      <w:r w:rsidR="003E04A3">
        <w:rPr>
          <w:rFonts w:ascii="Arial" w:hAnsi="Arial" w:cs="Arial"/>
          <w:sz w:val="24"/>
          <w:szCs w:val="24"/>
        </w:rPr>
        <w:t xml:space="preserve">art. 6º, incisos I a </w:t>
      </w:r>
      <w:r w:rsidRPr="0095011D">
        <w:rPr>
          <w:rFonts w:ascii="Arial" w:hAnsi="Arial" w:cs="Arial"/>
          <w:sz w:val="24"/>
          <w:szCs w:val="24"/>
        </w:rPr>
        <w:t>CLVI</w:t>
      </w:r>
      <w:bookmarkEnd w:id="15"/>
      <w:bookmarkEnd w:id="16"/>
      <w:bookmarkEnd w:id="17"/>
      <w:bookmarkEnd w:id="18"/>
      <w:r>
        <w:rPr>
          <w:rFonts w:ascii="Arial" w:hAnsi="Arial" w:cs="Arial"/>
          <w:sz w:val="24"/>
          <w:szCs w:val="24"/>
        </w:rPr>
        <w:t>)</w:t>
      </w:r>
      <w:r w:rsidR="009D29C8">
        <w:rPr>
          <w:rFonts w:ascii="Arial" w:hAnsi="Arial" w:cs="Arial"/>
          <w:sz w:val="24"/>
          <w:szCs w:val="24"/>
        </w:rPr>
        <w:t xml:space="preserve"> como por prazo indeterminado (art. </w:t>
      </w:r>
      <w:r w:rsidR="005216E2">
        <w:rPr>
          <w:rFonts w:ascii="Arial" w:hAnsi="Arial" w:cs="Arial"/>
          <w:sz w:val="24"/>
          <w:szCs w:val="24"/>
        </w:rPr>
        <w:t>7</w:t>
      </w:r>
      <w:r w:rsidR="009D29C8">
        <w:rPr>
          <w:rFonts w:ascii="Arial" w:hAnsi="Arial" w:cs="Arial"/>
          <w:sz w:val="24"/>
          <w:szCs w:val="24"/>
        </w:rPr>
        <w:t>º</w:t>
      </w:r>
      <w:r w:rsidR="005216E2">
        <w:rPr>
          <w:rFonts w:ascii="Arial" w:hAnsi="Arial" w:cs="Arial"/>
          <w:sz w:val="24"/>
          <w:szCs w:val="24"/>
        </w:rPr>
        <w:t>, incisos</w:t>
      </w:r>
      <w:r w:rsidR="009D29C8">
        <w:rPr>
          <w:rFonts w:ascii="Arial" w:hAnsi="Arial" w:cs="Arial"/>
          <w:sz w:val="24"/>
          <w:szCs w:val="24"/>
        </w:rPr>
        <w:t xml:space="preserve"> </w:t>
      </w:r>
      <w:r w:rsidR="00914352">
        <w:rPr>
          <w:rFonts w:ascii="Arial" w:hAnsi="Arial" w:cs="Arial"/>
          <w:sz w:val="24"/>
          <w:szCs w:val="24"/>
        </w:rPr>
        <w:t>I a LXX c/c §§ 1º a 4º</w:t>
      </w:r>
      <w:r w:rsidR="009D29C8">
        <w:rPr>
          <w:rFonts w:ascii="Arial" w:hAnsi="Arial" w:cs="Arial"/>
          <w:sz w:val="24"/>
          <w:szCs w:val="24"/>
        </w:rPr>
        <w:t>)</w:t>
      </w:r>
      <w:r w:rsidR="00E4512D">
        <w:rPr>
          <w:rFonts w:ascii="Arial" w:hAnsi="Arial" w:cs="Arial"/>
          <w:sz w:val="24"/>
          <w:szCs w:val="24"/>
        </w:rPr>
        <w:t xml:space="preserve">, </w:t>
      </w:r>
      <w:r w:rsidR="007070FA">
        <w:rPr>
          <w:rFonts w:ascii="Arial" w:hAnsi="Arial" w:cs="Arial"/>
          <w:sz w:val="24"/>
          <w:szCs w:val="24"/>
        </w:rPr>
        <w:t xml:space="preserve">de modo a </w:t>
      </w:r>
      <w:r w:rsidR="00E4512D">
        <w:rPr>
          <w:rFonts w:ascii="Arial" w:hAnsi="Arial" w:cs="Arial"/>
          <w:sz w:val="24"/>
          <w:szCs w:val="24"/>
        </w:rPr>
        <w:t>contempla</w:t>
      </w:r>
      <w:r w:rsidR="007070FA">
        <w:rPr>
          <w:rFonts w:ascii="Arial" w:hAnsi="Arial" w:cs="Arial"/>
          <w:sz w:val="24"/>
          <w:szCs w:val="24"/>
        </w:rPr>
        <w:t>r,</w:t>
      </w:r>
      <w:r w:rsidR="00E4512D">
        <w:rPr>
          <w:rFonts w:ascii="Arial" w:hAnsi="Arial" w:cs="Arial"/>
          <w:sz w:val="24"/>
          <w:szCs w:val="24"/>
        </w:rPr>
        <w:t xml:space="preserve"> ao to</w:t>
      </w:r>
      <w:r w:rsidR="007070FA">
        <w:rPr>
          <w:rFonts w:ascii="Arial" w:hAnsi="Arial" w:cs="Arial"/>
          <w:sz w:val="24"/>
          <w:szCs w:val="24"/>
        </w:rPr>
        <w:t>do,</w:t>
      </w:r>
      <w:r w:rsidR="00E4512D">
        <w:rPr>
          <w:rFonts w:ascii="Arial" w:hAnsi="Arial" w:cs="Arial"/>
          <w:sz w:val="24"/>
          <w:szCs w:val="24"/>
        </w:rPr>
        <w:t xml:space="preserve"> mais de 200 (duzentas) hipóteses de incentivo</w:t>
      </w:r>
      <w:r w:rsidR="00164E80">
        <w:rPr>
          <w:rFonts w:ascii="Arial" w:hAnsi="Arial" w:cs="Arial"/>
          <w:sz w:val="24"/>
          <w:szCs w:val="24"/>
        </w:rPr>
        <w:t>s</w:t>
      </w:r>
      <w:r w:rsidR="00E4512D">
        <w:rPr>
          <w:rFonts w:ascii="Arial" w:hAnsi="Arial" w:cs="Arial"/>
          <w:sz w:val="24"/>
          <w:szCs w:val="24"/>
        </w:rPr>
        <w:t xml:space="preserve"> fisca</w:t>
      </w:r>
      <w:r w:rsidR="00164E80">
        <w:rPr>
          <w:rFonts w:ascii="Arial" w:hAnsi="Arial" w:cs="Arial"/>
          <w:sz w:val="24"/>
          <w:szCs w:val="24"/>
        </w:rPr>
        <w:t>is</w:t>
      </w:r>
      <w:r w:rsidR="00E4512D">
        <w:rPr>
          <w:rFonts w:ascii="Arial" w:hAnsi="Arial" w:cs="Arial"/>
          <w:sz w:val="24"/>
          <w:szCs w:val="24"/>
        </w:rPr>
        <w:t xml:space="preserve"> dessa espécie</w:t>
      </w:r>
      <w:r w:rsidR="00914352">
        <w:rPr>
          <w:rFonts w:ascii="Arial" w:hAnsi="Arial" w:cs="Arial"/>
          <w:sz w:val="24"/>
          <w:szCs w:val="24"/>
        </w:rPr>
        <w:t>;</w:t>
      </w:r>
    </w:p>
    <w:p w14:paraId="420B3082" w14:textId="4F049D99" w:rsidR="003E04A3" w:rsidRDefault="00E4512D" w:rsidP="00282B87">
      <w:pPr>
        <w:pStyle w:val="PargrafodaLista"/>
        <w:numPr>
          <w:ilvl w:val="0"/>
          <w:numId w:val="5"/>
        </w:numPr>
        <w:spacing w:line="360" w:lineRule="auto"/>
        <w:jc w:val="both"/>
        <w:rPr>
          <w:rFonts w:ascii="Arial" w:hAnsi="Arial" w:cs="Arial"/>
          <w:sz w:val="24"/>
          <w:szCs w:val="24"/>
        </w:rPr>
      </w:pPr>
      <w:r w:rsidRPr="009863A5">
        <w:rPr>
          <w:rFonts w:ascii="Arial" w:hAnsi="Arial" w:cs="Arial"/>
          <w:i/>
          <w:sz w:val="24"/>
          <w:szCs w:val="24"/>
        </w:rPr>
        <w:t>redução da base de cálculo</w:t>
      </w:r>
      <w:r w:rsidR="00342DE0">
        <w:rPr>
          <w:rFonts w:ascii="Arial" w:hAnsi="Arial" w:cs="Arial"/>
          <w:sz w:val="24"/>
          <w:szCs w:val="24"/>
        </w:rPr>
        <w:t>,</w:t>
      </w:r>
      <w:r w:rsidR="009863A5" w:rsidRPr="009863A5">
        <w:rPr>
          <w:rFonts w:ascii="Arial" w:hAnsi="Arial" w:cs="Arial"/>
          <w:sz w:val="24"/>
          <w:szCs w:val="24"/>
        </w:rPr>
        <w:t xml:space="preserve"> </w:t>
      </w:r>
      <w:r w:rsidR="009863A5">
        <w:rPr>
          <w:rFonts w:ascii="Arial" w:hAnsi="Arial" w:cs="Arial"/>
          <w:sz w:val="24"/>
          <w:szCs w:val="24"/>
        </w:rPr>
        <w:t xml:space="preserve">tanto por prazo </w:t>
      </w:r>
      <w:r w:rsidR="001F70C8">
        <w:rPr>
          <w:rFonts w:ascii="Arial" w:hAnsi="Arial" w:cs="Arial"/>
          <w:sz w:val="24"/>
          <w:szCs w:val="24"/>
        </w:rPr>
        <w:t>in</w:t>
      </w:r>
      <w:r w:rsidR="009863A5">
        <w:rPr>
          <w:rFonts w:ascii="Arial" w:hAnsi="Arial" w:cs="Arial"/>
          <w:sz w:val="24"/>
          <w:szCs w:val="24"/>
        </w:rPr>
        <w:t xml:space="preserve">determinado (art. 8º, incisos I a </w:t>
      </w:r>
      <w:r w:rsidR="00FF0410">
        <w:rPr>
          <w:rFonts w:ascii="Arial" w:hAnsi="Arial" w:cs="Arial"/>
          <w:sz w:val="24"/>
          <w:szCs w:val="24"/>
        </w:rPr>
        <w:t>LX</w:t>
      </w:r>
      <w:r w:rsidR="00FF0410" w:rsidRPr="00FF0410">
        <w:rPr>
          <w:rFonts w:ascii="Arial" w:hAnsi="Arial" w:cs="Arial"/>
          <w:sz w:val="24"/>
          <w:szCs w:val="24"/>
        </w:rPr>
        <w:t xml:space="preserve"> </w:t>
      </w:r>
      <w:r w:rsidR="00FF0410">
        <w:rPr>
          <w:rFonts w:ascii="Arial" w:hAnsi="Arial" w:cs="Arial"/>
          <w:sz w:val="24"/>
          <w:szCs w:val="24"/>
        </w:rPr>
        <w:t>c/c §§ 1º a 5º</w:t>
      </w:r>
      <w:r w:rsidR="009863A5">
        <w:rPr>
          <w:rFonts w:ascii="Arial" w:hAnsi="Arial" w:cs="Arial"/>
          <w:sz w:val="24"/>
          <w:szCs w:val="24"/>
        </w:rPr>
        <w:t xml:space="preserve">) como por prazo determinado (art. 9º, incisos I a </w:t>
      </w:r>
      <w:r w:rsidR="00A6251E">
        <w:rPr>
          <w:rFonts w:ascii="Arial" w:hAnsi="Arial" w:cs="Arial"/>
          <w:sz w:val="24"/>
          <w:szCs w:val="24"/>
        </w:rPr>
        <w:t>XXXVII</w:t>
      </w:r>
      <w:r w:rsidR="009863A5">
        <w:rPr>
          <w:rFonts w:ascii="Arial" w:hAnsi="Arial" w:cs="Arial"/>
          <w:sz w:val="24"/>
          <w:szCs w:val="24"/>
        </w:rPr>
        <w:t xml:space="preserve"> c/c §§ 1º a 4º), </w:t>
      </w:r>
      <w:r w:rsidR="0005400B">
        <w:rPr>
          <w:rFonts w:ascii="Arial" w:hAnsi="Arial" w:cs="Arial"/>
          <w:sz w:val="24"/>
          <w:szCs w:val="24"/>
        </w:rPr>
        <w:t xml:space="preserve">de sorte a </w:t>
      </w:r>
      <w:r w:rsidR="009863A5">
        <w:rPr>
          <w:rFonts w:ascii="Arial" w:hAnsi="Arial" w:cs="Arial"/>
          <w:sz w:val="24"/>
          <w:szCs w:val="24"/>
        </w:rPr>
        <w:t>contempla</w:t>
      </w:r>
      <w:r w:rsidR="0005400B">
        <w:rPr>
          <w:rFonts w:ascii="Arial" w:hAnsi="Arial" w:cs="Arial"/>
          <w:sz w:val="24"/>
          <w:szCs w:val="24"/>
        </w:rPr>
        <w:t xml:space="preserve">r, </w:t>
      </w:r>
      <w:r w:rsidR="009863A5">
        <w:rPr>
          <w:rFonts w:ascii="Arial" w:hAnsi="Arial" w:cs="Arial"/>
          <w:sz w:val="24"/>
          <w:szCs w:val="24"/>
        </w:rPr>
        <w:t>ao to</w:t>
      </w:r>
      <w:r w:rsidR="0005400B">
        <w:rPr>
          <w:rFonts w:ascii="Arial" w:hAnsi="Arial" w:cs="Arial"/>
          <w:sz w:val="24"/>
          <w:szCs w:val="24"/>
        </w:rPr>
        <w:t>do,</w:t>
      </w:r>
      <w:r w:rsidR="009863A5">
        <w:rPr>
          <w:rFonts w:ascii="Arial" w:hAnsi="Arial" w:cs="Arial"/>
          <w:sz w:val="24"/>
          <w:szCs w:val="24"/>
        </w:rPr>
        <w:t xml:space="preserve"> </w:t>
      </w:r>
      <w:r w:rsidR="0005400B">
        <w:rPr>
          <w:rFonts w:ascii="Arial" w:hAnsi="Arial" w:cs="Arial"/>
          <w:sz w:val="24"/>
          <w:szCs w:val="24"/>
        </w:rPr>
        <w:t>quase 1</w:t>
      </w:r>
      <w:r w:rsidR="009863A5">
        <w:rPr>
          <w:rFonts w:ascii="Arial" w:hAnsi="Arial" w:cs="Arial"/>
          <w:sz w:val="24"/>
          <w:szCs w:val="24"/>
        </w:rPr>
        <w:t>00 (</w:t>
      </w:r>
      <w:r w:rsidR="0005400B">
        <w:rPr>
          <w:rFonts w:ascii="Arial" w:hAnsi="Arial" w:cs="Arial"/>
          <w:sz w:val="24"/>
          <w:szCs w:val="24"/>
        </w:rPr>
        <w:t>cem</w:t>
      </w:r>
      <w:r w:rsidR="009863A5">
        <w:rPr>
          <w:rFonts w:ascii="Arial" w:hAnsi="Arial" w:cs="Arial"/>
          <w:sz w:val="24"/>
          <w:szCs w:val="24"/>
        </w:rPr>
        <w:t>) hipóteses de incentivo fiscal dessa espécie</w:t>
      </w:r>
      <w:r w:rsidR="0005400B">
        <w:rPr>
          <w:rFonts w:ascii="Arial" w:hAnsi="Arial" w:cs="Arial"/>
          <w:sz w:val="24"/>
          <w:szCs w:val="24"/>
        </w:rPr>
        <w:t>;</w:t>
      </w:r>
    </w:p>
    <w:p w14:paraId="1BB123BE" w14:textId="45273377" w:rsidR="00796E83" w:rsidRDefault="00796E83" w:rsidP="00282B87">
      <w:pPr>
        <w:pStyle w:val="PargrafodaLista"/>
        <w:numPr>
          <w:ilvl w:val="0"/>
          <w:numId w:val="5"/>
        </w:numPr>
        <w:spacing w:line="360" w:lineRule="auto"/>
        <w:jc w:val="both"/>
        <w:rPr>
          <w:rFonts w:ascii="Arial" w:hAnsi="Arial" w:cs="Arial"/>
          <w:sz w:val="24"/>
          <w:szCs w:val="24"/>
        </w:rPr>
      </w:pPr>
      <w:r w:rsidRPr="00796E83">
        <w:rPr>
          <w:rFonts w:ascii="Arial" w:hAnsi="Arial" w:cs="Arial"/>
          <w:i/>
          <w:sz w:val="24"/>
          <w:szCs w:val="24"/>
        </w:rPr>
        <w:t>crédito outorgado</w:t>
      </w:r>
      <w:r>
        <w:rPr>
          <w:rFonts w:ascii="Arial" w:hAnsi="Arial" w:cs="Arial"/>
          <w:sz w:val="24"/>
          <w:szCs w:val="24"/>
        </w:rPr>
        <w:t>,</w:t>
      </w:r>
      <w:r w:rsidRPr="009863A5">
        <w:rPr>
          <w:rFonts w:ascii="Arial" w:hAnsi="Arial" w:cs="Arial"/>
          <w:sz w:val="24"/>
          <w:szCs w:val="24"/>
        </w:rPr>
        <w:t xml:space="preserve"> </w:t>
      </w:r>
      <w:r>
        <w:rPr>
          <w:rFonts w:ascii="Arial" w:hAnsi="Arial" w:cs="Arial"/>
          <w:sz w:val="24"/>
          <w:szCs w:val="24"/>
        </w:rPr>
        <w:t>tanto por prazo indeterminado (art</w:t>
      </w:r>
      <w:r w:rsidR="00CC34A0">
        <w:rPr>
          <w:rFonts w:ascii="Arial" w:hAnsi="Arial" w:cs="Arial"/>
          <w:sz w:val="24"/>
          <w:szCs w:val="24"/>
        </w:rPr>
        <w:t>s</w:t>
      </w:r>
      <w:r>
        <w:rPr>
          <w:rFonts w:ascii="Arial" w:hAnsi="Arial" w:cs="Arial"/>
          <w:sz w:val="24"/>
          <w:szCs w:val="24"/>
        </w:rPr>
        <w:t xml:space="preserve">. </w:t>
      </w:r>
      <w:r w:rsidR="00D46856">
        <w:rPr>
          <w:rFonts w:ascii="Arial" w:hAnsi="Arial" w:cs="Arial"/>
          <w:sz w:val="24"/>
          <w:szCs w:val="24"/>
        </w:rPr>
        <w:t>11</w:t>
      </w:r>
      <w:r>
        <w:rPr>
          <w:rFonts w:ascii="Arial" w:hAnsi="Arial" w:cs="Arial"/>
          <w:sz w:val="24"/>
          <w:szCs w:val="24"/>
        </w:rPr>
        <w:t xml:space="preserve">, incisos I a </w:t>
      </w:r>
      <w:r w:rsidR="00D46856" w:rsidRPr="00D46856">
        <w:rPr>
          <w:rFonts w:ascii="Arial" w:hAnsi="Arial" w:cs="Arial"/>
          <w:sz w:val="24"/>
          <w:szCs w:val="24"/>
        </w:rPr>
        <w:t xml:space="preserve">LXXIV </w:t>
      </w:r>
      <w:r>
        <w:rPr>
          <w:rFonts w:ascii="Arial" w:hAnsi="Arial" w:cs="Arial"/>
          <w:sz w:val="24"/>
          <w:szCs w:val="24"/>
        </w:rPr>
        <w:t xml:space="preserve">c/c §§ 1º a </w:t>
      </w:r>
      <w:r w:rsidR="00D46856">
        <w:rPr>
          <w:rFonts w:ascii="Arial" w:hAnsi="Arial" w:cs="Arial"/>
          <w:sz w:val="24"/>
          <w:szCs w:val="24"/>
        </w:rPr>
        <w:t>31</w:t>
      </w:r>
      <w:r w:rsidR="00CC34A0">
        <w:rPr>
          <w:rFonts w:ascii="Arial" w:hAnsi="Arial" w:cs="Arial"/>
          <w:sz w:val="24"/>
          <w:szCs w:val="24"/>
        </w:rPr>
        <w:t>, e 11-A, incisos I e II c/c §§ 1º e 2º</w:t>
      </w:r>
      <w:r>
        <w:rPr>
          <w:rFonts w:ascii="Arial" w:hAnsi="Arial" w:cs="Arial"/>
          <w:sz w:val="24"/>
          <w:szCs w:val="24"/>
        </w:rPr>
        <w:t xml:space="preserve">) como por prazo determinado (art. </w:t>
      </w:r>
      <w:r w:rsidR="00DF638F">
        <w:rPr>
          <w:rFonts w:ascii="Arial" w:hAnsi="Arial" w:cs="Arial"/>
          <w:sz w:val="24"/>
          <w:szCs w:val="24"/>
        </w:rPr>
        <w:t>12</w:t>
      </w:r>
      <w:r>
        <w:rPr>
          <w:rFonts w:ascii="Arial" w:hAnsi="Arial" w:cs="Arial"/>
          <w:sz w:val="24"/>
          <w:szCs w:val="24"/>
        </w:rPr>
        <w:t>, incisos I a XVI</w:t>
      </w:r>
      <w:r w:rsidR="00DF638F">
        <w:rPr>
          <w:rFonts w:ascii="Arial" w:hAnsi="Arial" w:cs="Arial"/>
          <w:sz w:val="24"/>
          <w:szCs w:val="24"/>
        </w:rPr>
        <w:t>I</w:t>
      </w:r>
      <w:r>
        <w:rPr>
          <w:rFonts w:ascii="Arial" w:hAnsi="Arial" w:cs="Arial"/>
          <w:sz w:val="24"/>
          <w:szCs w:val="24"/>
        </w:rPr>
        <w:t xml:space="preserve">I c/c §§ 1º a </w:t>
      </w:r>
      <w:r w:rsidR="00DF638F">
        <w:rPr>
          <w:rFonts w:ascii="Arial" w:hAnsi="Arial" w:cs="Arial"/>
          <w:sz w:val="24"/>
          <w:szCs w:val="24"/>
        </w:rPr>
        <w:t>6</w:t>
      </w:r>
      <w:r>
        <w:rPr>
          <w:rFonts w:ascii="Arial" w:hAnsi="Arial" w:cs="Arial"/>
          <w:sz w:val="24"/>
          <w:szCs w:val="24"/>
        </w:rPr>
        <w:t>º), de sorte a contemplar, ao todo, quase 100 (cem) hipóteses de incentivo</w:t>
      </w:r>
      <w:r w:rsidR="00164E80">
        <w:rPr>
          <w:rFonts w:ascii="Arial" w:hAnsi="Arial" w:cs="Arial"/>
          <w:sz w:val="24"/>
          <w:szCs w:val="24"/>
        </w:rPr>
        <w:t>s</w:t>
      </w:r>
      <w:r>
        <w:rPr>
          <w:rFonts w:ascii="Arial" w:hAnsi="Arial" w:cs="Arial"/>
          <w:sz w:val="24"/>
          <w:szCs w:val="24"/>
        </w:rPr>
        <w:t xml:space="preserve"> fisca</w:t>
      </w:r>
      <w:r w:rsidR="00164E80">
        <w:rPr>
          <w:rFonts w:ascii="Arial" w:hAnsi="Arial" w:cs="Arial"/>
          <w:sz w:val="24"/>
          <w:szCs w:val="24"/>
        </w:rPr>
        <w:t>is</w:t>
      </w:r>
      <w:r>
        <w:rPr>
          <w:rFonts w:ascii="Arial" w:hAnsi="Arial" w:cs="Arial"/>
          <w:sz w:val="24"/>
          <w:szCs w:val="24"/>
        </w:rPr>
        <w:t xml:space="preserve"> dessa espécie</w:t>
      </w:r>
      <w:r w:rsidR="006A3342">
        <w:rPr>
          <w:rFonts w:ascii="Arial" w:hAnsi="Arial" w:cs="Arial"/>
          <w:sz w:val="24"/>
          <w:szCs w:val="24"/>
        </w:rPr>
        <w:t xml:space="preserve">, além de um artigo em caráter geral </w:t>
      </w:r>
      <w:r w:rsidR="008F1F73">
        <w:rPr>
          <w:rFonts w:ascii="Arial" w:hAnsi="Arial" w:cs="Arial"/>
          <w:sz w:val="24"/>
          <w:szCs w:val="24"/>
        </w:rPr>
        <w:t xml:space="preserve">sobre o benefício </w:t>
      </w:r>
      <w:r w:rsidR="006A3342">
        <w:rPr>
          <w:rFonts w:ascii="Arial" w:hAnsi="Arial" w:cs="Arial"/>
          <w:sz w:val="24"/>
          <w:szCs w:val="24"/>
        </w:rPr>
        <w:t>(art. 10)</w:t>
      </w:r>
      <w:r>
        <w:rPr>
          <w:rFonts w:ascii="Arial" w:hAnsi="Arial" w:cs="Arial"/>
          <w:sz w:val="24"/>
          <w:szCs w:val="24"/>
        </w:rPr>
        <w:t>;</w:t>
      </w:r>
      <w:r w:rsidR="008F1F73">
        <w:rPr>
          <w:rFonts w:ascii="Arial" w:hAnsi="Arial" w:cs="Arial"/>
          <w:sz w:val="24"/>
          <w:szCs w:val="24"/>
        </w:rPr>
        <w:t xml:space="preserve"> e</w:t>
      </w:r>
    </w:p>
    <w:p w14:paraId="7F1EC554" w14:textId="3FA4983E" w:rsidR="0005400B" w:rsidRPr="00682D9E" w:rsidRDefault="00AC580B" w:rsidP="00282B87">
      <w:pPr>
        <w:pStyle w:val="PargrafodaLista"/>
        <w:numPr>
          <w:ilvl w:val="0"/>
          <w:numId w:val="5"/>
        </w:numPr>
        <w:spacing w:line="360" w:lineRule="auto"/>
        <w:jc w:val="both"/>
        <w:rPr>
          <w:rFonts w:ascii="Arial" w:hAnsi="Arial" w:cs="Arial"/>
          <w:sz w:val="24"/>
          <w:szCs w:val="24"/>
        </w:rPr>
      </w:pPr>
      <w:r w:rsidRPr="00AC580B">
        <w:rPr>
          <w:rFonts w:ascii="Arial" w:hAnsi="Arial" w:cs="Arial"/>
          <w:i/>
          <w:sz w:val="24"/>
          <w:szCs w:val="24"/>
        </w:rPr>
        <w:t>outros benefícios fiscais</w:t>
      </w:r>
      <w:r>
        <w:rPr>
          <w:rFonts w:ascii="Arial" w:hAnsi="Arial" w:cs="Arial"/>
          <w:sz w:val="24"/>
          <w:szCs w:val="24"/>
        </w:rPr>
        <w:t xml:space="preserve">, </w:t>
      </w:r>
      <w:bookmarkStart w:id="19" w:name="_Toc338404913"/>
      <w:bookmarkStart w:id="20" w:name="A12P1"/>
      <w:bookmarkStart w:id="21" w:name="A11P9"/>
      <w:bookmarkStart w:id="22" w:name="CAPIV"/>
      <w:bookmarkStart w:id="23" w:name="A9XXIV"/>
      <w:bookmarkStart w:id="24" w:name="A9Xh"/>
      <w:bookmarkStart w:id="25" w:name="A9VIIIB"/>
      <w:bookmarkStart w:id="26" w:name="A9VIIg"/>
      <w:bookmarkStart w:id="27" w:name="A9VIIB"/>
      <w:bookmarkStart w:id="28" w:name="A9VC"/>
      <w:bookmarkStart w:id="29" w:name="A9V"/>
      <w:bookmarkStart w:id="30" w:name="A8IB"/>
      <w:bookmarkStart w:id="31" w:name="A9XXVN"/>
      <w:bookmarkStart w:id="32" w:name="A9VIIN"/>
      <w:bookmarkStart w:id="33" w:name="A9VIIL"/>
      <w:bookmarkStart w:id="34" w:name="A7XXVINCI"/>
      <w:bookmarkStart w:id="35" w:name="A7XXVINI"/>
      <w:bookmarkStart w:id="36" w:name="APVIIG"/>
      <w:bookmarkStart w:id="37" w:name="A7XXVG"/>
      <w:bookmarkStart w:id="38" w:name="A7XXVE1"/>
      <w:bookmarkStart w:id="39" w:name="A9VIID"/>
      <w:bookmarkStart w:id="40" w:name="A7XXIV"/>
      <w:bookmarkStart w:id="41" w:name="A7XXIIIB2"/>
      <w:bookmarkStart w:id="42" w:name="A7XX"/>
      <w:r w:rsidR="00286297">
        <w:rPr>
          <w:rFonts w:ascii="Arial" w:hAnsi="Arial" w:cs="Arial"/>
          <w:sz w:val="24"/>
          <w:szCs w:val="24"/>
        </w:rPr>
        <w:t>como</w:t>
      </w:r>
      <w:r w:rsidR="00D3361B">
        <w:rPr>
          <w:rFonts w:ascii="Arial" w:hAnsi="Arial" w:cs="Arial"/>
          <w:sz w:val="24"/>
          <w:szCs w:val="24"/>
        </w:rPr>
        <w:t xml:space="preserve"> o</w:t>
      </w:r>
      <w:r w:rsidR="00286297">
        <w:rPr>
          <w:rFonts w:ascii="Arial" w:hAnsi="Arial" w:cs="Arial"/>
          <w:sz w:val="24"/>
          <w:szCs w:val="24"/>
        </w:rPr>
        <w:t xml:space="preserve"> </w:t>
      </w:r>
      <w:r w:rsidR="00286297" w:rsidRPr="00286297">
        <w:rPr>
          <w:rFonts w:ascii="Arial" w:hAnsi="Arial" w:cs="Arial"/>
          <w:sz w:val="24"/>
          <w:szCs w:val="24"/>
        </w:rPr>
        <w:t>parcelamento de crédito tributário</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rsidR="00286297">
        <w:rPr>
          <w:rFonts w:ascii="Arial" w:hAnsi="Arial" w:cs="Arial"/>
          <w:sz w:val="24"/>
          <w:szCs w:val="24"/>
        </w:rPr>
        <w:t xml:space="preserve"> (arts. 13 a 18), inclusive para empresas em recuperação judicial (arts. 18-A a 18-D), </w:t>
      </w:r>
      <w:r w:rsidR="0063708C">
        <w:rPr>
          <w:rFonts w:ascii="Arial" w:hAnsi="Arial" w:cs="Arial"/>
          <w:sz w:val="24"/>
          <w:szCs w:val="24"/>
        </w:rPr>
        <w:t xml:space="preserve">e </w:t>
      </w:r>
      <w:r w:rsidR="00D3361B">
        <w:rPr>
          <w:rFonts w:ascii="Arial" w:hAnsi="Arial" w:cs="Arial"/>
          <w:sz w:val="24"/>
          <w:szCs w:val="24"/>
        </w:rPr>
        <w:t xml:space="preserve">o </w:t>
      </w:r>
      <w:r w:rsidR="0063708C" w:rsidRPr="0063708C">
        <w:rPr>
          <w:rFonts w:ascii="Arial" w:hAnsi="Arial" w:cs="Arial"/>
          <w:sz w:val="24"/>
          <w:szCs w:val="24"/>
        </w:rPr>
        <w:t>crédito especial para investimento</w:t>
      </w:r>
      <w:r w:rsidR="0063708C">
        <w:rPr>
          <w:rFonts w:ascii="Arial" w:hAnsi="Arial" w:cs="Arial"/>
          <w:sz w:val="24"/>
          <w:szCs w:val="24"/>
        </w:rPr>
        <w:t xml:space="preserve"> (arts. 19 a </w:t>
      </w:r>
      <w:r w:rsidR="00850C80">
        <w:rPr>
          <w:rFonts w:ascii="Arial" w:hAnsi="Arial" w:cs="Arial"/>
          <w:sz w:val="24"/>
          <w:szCs w:val="24"/>
        </w:rPr>
        <w:t>29), os quais, embora não previstos no rol do art. 41 do CTE/GO, consideram-se benefícios fiscais, com o mesmo tratamento a estes dispensado, por força do art. 42 do CTE/GO</w:t>
      </w:r>
      <w:r w:rsidR="00850C80">
        <w:rPr>
          <w:rStyle w:val="Refdenotaderodap"/>
          <w:rFonts w:ascii="Arial" w:hAnsi="Arial" w:cs="Arial"/>
          <w:sz w:val="24"/>
          <w:szCs w:val="24"/>
        </w:rPr>
        <w:footnoteReference w:id="25"/>
      </w:r>
      <w:r w:rsidR="00850C80">
        <w:rPr>
          <w:rFonts w:ascii="Arial" w:hAnsi="Arial" w:cs="Arial"/>
          <w:sz w:val="24"/>
          <w:szCs w:val="24"/>
        </w:rPr>
        <w:t>.</w:t>
      </w:r>
    </w:p>
    <w:p w14:paraId="00A00738" w14:textId="77777777" w:rsidR="00EF4DB8" w:rsidRDefault="00EF4DB8" w:rsidP="005525BF">
      <w:pPr>
        <w:spacing w:line="360" w:lineRule="auto"/>
        <w:ind w:firstLine="851"/>
        <w:jc w:val="both"/>
        <w:rPr>
          <w:rFonts w:ascii="Arial" w:hAnsi="Arial" w:cs="Arial"/>
          <w:sz w:val="24"/>
          <w:szCs w:val="24"/>
        </w:rPr>
      </w:pPr>
    </w:p>
    <w:p w14:paraId="7F156230" w14:textId="374C2E7B" w:rsidR="00370A26" w:rsidRDefault="00C836C8" w:rsidP="005525BF">
      <w:pPr>
        <w:spacing w:line="360" w:lineRule="auto"/>
        <w:ind w:firstLine="851"/>
        <w:jc w:val="both"/>
        <w:rPr>
          <w:rFonts w:ascii="Arial" w:hAnsi="Arial" w:cs="Arial"/>
          <w:sz w:val="24"/>
          <w:szCs w:val="24"/>
        </w:rPr>
      </w:pPr>
      <w:r>
        <w:rPr>
          <w:rFonts w:ascii="Arial" w:hAnsi="Arial" w:cs="Arial"/>
          <w:sz w:val="24"/>
          <w:szCs w:val="24"/>
        </w:rPr>
        <w:t xml:space="preserve">Embora o RCTE/GO não tenha dado relevo à </w:t>
      </w:r>
      <w:r w:rsidRPr="001053C7">
        <w:rPr>
          <w:rFonts w:ascii="Arial" w:hAnsi="Arial" w:cs="Arial"/>
          <w:sz w:val="24"/>
          <w:szCs w:val="24"/>
        </w:rPr>
        <w:t>manutenção de crédito</w:t>
      </w:r>
      <w:r>
        <w:rPr>
          <w:rFonts w:ascii="Arial" w:hAnsi="Arial" w:cs="Arial"/>
          <w:sz w:val="24"/>
          <w:szCs w:val="24"/>
        </w:rPr>
        <w:t xml:space="preserve"> nem à </w:t>
      </w:r>
      <w:r w:rsidRPr="001053C7">
        <w:rPr>
          <w:rFonts w:ascii="Arial" w:hAnsi="Arial" w:cs="Arial"/>
          <w:sz w:val="24"/>
          <w:szCs w:val="24"/>
        </w:rPr>
        <w:t>devolução total ou parcial do imposto</w:t>
      </w:r>
      <w:r>
        <w:rPr>
          <w:rFonts w:ascii="Arial" w:hAnsi="Arial" w:cs="Arial"/>
          <w:sz w:val="24"/>
          <w:szCs w:val="24"/>
        </w:rPr>
        <w:t xml:space="preserve"> (CTE/GO, art. 41, IV e V) – espécies nem sequer </w:t>
      </w:r>
      <w:r>
        <w:rPr>
          <w:rFonts w:ascii="Arial" w:hAnsi="Arial" w:cs="Arial"/>
          <w:sz w:val="24"/>
          <w:szCs w:val="24"/>
        </w:rPr>
        <w:lastRenderedPageBreak/>
        <w:t xml:space="preserve">utilizadas no Estado de Goiás – referido decreto revela-se extremamente minucioso ao tratar das isenções, reduções de base de cálculo e créditos outorgados. </w:t>
      </w:r>
    </w:p>
    <w:p w14:paraId="6A6DFEAE" w14:textId="0BAE863A" w:rsidR="00EA50A0" w:rsidRDefault="00C836C8" w:rsidP="005525BF">
      <w:pPr>
        <w:spacing w:line="360" w:lineRule="auto"/>
        <w:ind w:firstLine="851"/>
        <w:jc w:val="both"/>
        <w:rPr>
          <w:rFonts w:ascii="Arial" w:hAnsi="Arial" w:cs="Arial"/>
          <w:sz w:val="24"/>
          <w:szCs w:val="24"/>
        </w:rPr>
      </w:pPr>
      <w:r>
        <w:rPr>
          <w:rFonts w:ascii="Arial" w:hAnsi="Arial" w:cs="Arial"/>
          <w:sz w:val="24"/>
          <w:szCs w:val="24"/>
        </w:rPr>
        <w:t>Pode-se dizer</w:t>
      </w:r>
      <w:r w:rsidR="00370A26">
        <w:rPr>
          <w:rFonts w:ascii="Arial" w:hAnsi="Arial" w:cs="Arial"/>
          <w:sz w:val="24"/>
          <w:szCs w:val="24"/>
        </w:rPr>
        <w:t xml:space="preserve"> então</w:t>
      </w:r>
      <w:r>
        <w:rPr>
          <w:rFonts w:ascii="Arial" w:hAnsi="Arial" w:cs="Arial"/>
          <w:sz w:val="24"/>
          <w:szCs w:val="24"/>
        </w:rPr>
        <w:t xml:space="preserve">, sem </w:t>
      </w:r>
      <w:r w:rsidR="00D042F7">
        <w:rPr>
          <w:rFonts w:ascii="Arial" w:hAnsi="Arial" w:cs="Arial"/>
          <w:sz w:val="24"/>
          <w:szCs w:val="24"/>
        </w:rPr>
        <w:t>sombra de dúvidas</w:t>
      </w:r>
      <w:r>
        <w:rPr>
          <w:rFonts w:ascii="Arial" w:hAnsi="Arial" w:cs="Arial"/>
          <w:sz w:val="24"/>
          <w:szCs w:val="24"/>
        </w:rPr>
        <w:t xml:space="preserve">, que as centenas de casos de incentivos previstos nos dispositivos </w:t>
      </w:r>
      <w:r w:rsidR="00D042F7">
        <w:rPr>
          <w:rFonts w:ascii="Arial" w:hAnsi="Arial" w:cs="Arial"/>
          <w:sz w:val="24"/>
          <w:szCs w:val="24"/>
        </w:rPr>
        <w:t>antes</w:t>
      </w:r>
      <w:r>
        <w:rPr>
          <w:rFonts w:ascii="Arial" w:hAnsi="Arial" w:cs="Arial"/>
          <w:sz w:val="24"/>
          <w:szCs w:val="24"/>
        </w:rPr>
        <w:t xml:space="preserve"> mencionados foram verdadeiramente concedidos por decreto,</w:t>
      </w:r>
      <w:r w:rsidR="00370A26">
        <w:rPr>
          <w:rFonts w:ascii="Arial" w:hAnsi="Arial" w:cs="Arial"/>
          <w:sz w:val="24"/>
          <w:szCs w:val="24"/>
        </w:rPr>
        <w:t xml:space="preserve"> sem qualquer sombra de discussão legislativa prévia,</w:t>
      </w:r>
      <w:r>
        <w:rPr>
          <w:rFonts w:ascii="Arial" w:hAnsi="Arial" w:cs="Arial"/>
          <w:sz w:val="24"/>
          <w:szCs w:val="24"/>
        </w:rPr>
        <w:t xml:space="preserve"> em violação aos mandamentos constitucionais (</w:t>
      </w:r>
      <w:r w:rsidR="007A094F">
        <w:rPr>
          <w:rFonts w:ascii="Arial" w:hAnsi="Arial" w:cs="Arial"/>
          <w:sz w:val="24"/>
          <w:szCs w:val="24"/>
        </w:rPr>
        <w:t xml:space="preserve">CRFB, art. 150, § 6º; CE/GO, art. </w:t>
      </w:r>
      <w:r w:rsidR="00563F68">
        <w:rPr>
          <w:rFonts w:ascii="Arial" w:hAnsi="Arial" w:cs="Arial"/>
          <w:sz w:val="24"/>
          <w:szCs w:val="24"/>
        </w:rPr>
        <w:t>102, § 5º</w:t>
      </w:r>
      <w:r>
        <w:rPr>
          <w:rFonts w:ascii="Arial" w:hAnsi="Arial" w:cs="Arial"/>
          <w:sz w:val="24"/>
          <w:szCs w:val="24"/>
        </w:rPr>
        <w:t>)</w:t>
      </w:r>
      <w:r w:rsidR="00563F68">
        <w:rPr>
          <w:rFonts w:ascii="Arial" w:hAnsi="Arial" w:cs="Arial"/>
          <w:sz w:val="24"/>
          <w:szCs w:val="24"/>
        </w:rPr>
        <w:t>.</w:t>
      </w:r>
      <w:r w:rsidR="00370A26">
        <w:rPr>
          <w:rFonts w:ascii="Arial" w:hAnsi="Arial" w:cs="Arial"/>
          <w:sz w:val="24"/>
          <w:szCs w:val="24"/>
        </w:rPr>
        <w:t xml:space="preserve"> Desse modo, diversos decretos que alteraram o RCTE/GO certamente padeciam do mesmo vício, por.</w:t>
      </w:r>
    </w:p>
    <w:p w14:paraId="637C5196" w14:textId="245E9019" w:rsidR="00815FCE" w:rsidRDefault="00815FCE" w:rsidP="00815FCE">
      <w:pPr>
        <w:spacing w:line="360" w:lineRule="auto"/>
        <w:ind w:firstLine="851"/>
        <w:jc w:val="both"/>
        <w:rPr>
          <w:rFonts w:ascii="Arial" w:hAnsi="Arial" w:cs="Arial"/>
          <w:sz w:val="24"/>
          <w:szCs w:val="24"/>
        </w:rPr>
      </w:pPr>
      <w:r>
        <w:rPr>
          <w:rFonts w:ascii="Arial" w:hAnsi="Arial" w:cs="Arial"/>
          <w:sz w:val="24"/>
          <w:szCs w:val="24"/>
        </w:rPr>
        <w:t xml:space="preserve">Em relação à </w:t>
      </w:r>
      <w:r>
        <w:rPr>
          <w:rFonts w:ascii="Arial" w:hAnsi="Arial" w:cs="Arial"/>
          <w:b/>
          <w:sz w:val="24"/>
          <w:szCs w:val="24"/>
        </w:rPr>
        <w:t>segunda</w:t>
      </w:r>
      <w:r w:rsidRPr="00F42D9A">
        <w:rPr>
          <w:rFonts w:ascii="Arial" w:hAnsi="Arial" w:cs="Arial"/>
          <w:b/>
          <w:sz w:val="24"/>
          <w:szCs w:val="24"/>
        </w:rPr>
        <w:t xml:space="preserve"> categoria</w:t>
      </w:r>
      <w:r>
        <w:rPr>
          <w:rFonts w:ascii="Arial" w:hAnsi="Arial" w:cs="Arial"/>
          <w:sz w:val="24"/>
          <w:szCs w:val="24"/>
        </w:rPr>
        <w:t xml:space="preserve">, registre-se que diversos decretos alteraram os regulamentos dos </w:t>
      </w:r>
      <w:r w:rsidR="0065213E">
        <w:rPr>
          <w:rFonts w:ascii="Arial" w:hAnsi="Arial" w:cs="Arial"/>
          <w:sz w:val="24"/>
          <w:szCs w:val="24"/>
        </w:rPr>
        <w:t xml:space="preserve">programas FOMENTAR </w:t>
      </w:r>
      <w:r w:rsidR="009222A7">
        <w:rPr>
          <w:rFonts w:ascii="Arial" w:hAnsi="Arial" w:cs="Arial"/>
          <w:sz w:val="24"/>
          <w:szCs w:val="24"/>
        </w:rPr>
        <w:t xml:space="preserve">e </w:t>
      </w:r>
      <w:r w:rsidR="0065213E">
        <w:rPr>
          <w:rFonts w:ascii="Arial" w:hAnsi="Arial" w:cs="Arial"/>
          <w:sz w:val="24"/>
          <w:szCs w:val="24"/>
        </w:rPr>
        <w:t xml:space="preserve">PRODUZIR </w:t>
      </w:r>
      <w:r w:rsidR="009222A7">
        <w:rPr>
          <w:rFonts w:ascii="Arial" w:hAnsi="Arial" w:cs="Arial"/>
          <w:sz w:val="24"/>
          <w:szCs w:val="24"/>
        </w:rPr>
        <w:t>(</w:t>
      </w:r>
      <w:r w:rsidR="009222A7" w:rsidRPr="00DF1F68">
        <w:rPr>
          <w:rFonts w:ascii="Arial" w:hAnsi="Arial" w:cs="Arial"/>
          <w:sz w:val="24"/>
          <w:szCs w:val="24"/>
        </w:rPr>
        <w:t>Decreto</w:t>
      </w:r>
      <w:r w:rsidR="009222A7">
        <w:rPr>
          <w:rFonts w:ascii="Arial" w:hAnsi="Arial" w:cs="Arial"/>
          <w:sz w:val="24"/>
          <w:szCs w:val="24"/>
        </w:rPr>
        <w:t>s</w:t>
      </w:r>
      <w:r w:rsidR="009222A7" w:rsidRPr="00DF1F68">
        <w:rPr>
          <w:rFonts w:ascii="Arial" w:hAnsi="Arial" w:cs="Arial"/>
          <w:sz w:val="24"/>
          <w:szCs w:val="24"/>
        </w:rPr>
        <w:t xml:space="preserve"> n</w:t>
      </w:r>
      <w:r w:rsidR="0065213E" w:rsidRPr="0065213E">
        <w:rPr>
          <w:rFonts w:ascii="Arial" w:hAnsi="Arial" w:cs="Arial"/>
          <w:sz w:val="24"/>
          <w:szCs w:val="24"/>
          <w:vertAlign w:val="superscript"/>
        </w:rPr>
        <w:t>o</w:t>
      </w:r>
      <w:r w:rsidR="009222A7" w:rsidRPr="0065213E">
        <w:rPr>
          <w:rFonts w:ascii="Arial" w:hAnsi="Arial" w:cs="Arial"/>
          <w:sz w:val="24"/>
          <w:szCs w:val="24"/>
          <w:vertAlign w:val="superscript"/>
        </w:rPr>
        <w:t>s</w:t>
      </w:r>
      <w:r w:rsidR="009222A7" w:rsidRPr="00DF1F68">
        <w:rPr>
          <w:rFonts w:ascii="Arial" w:hAnsi="Arial" w:cs="Arial"/>
          <w:sz w:val="24"/>
          <w:szCs w:val="24"/>
        </w:rPr>
        <w:t xml:space="preserve"> </w:t>
      </w:r>
      <w:r w:rsidR="009222A7" w:rsidRPr="00A843FB">
        <w:rPr>
          <w:rFonts w:ascii="Arial" w:hAnsi="Arial" w:cs="Arial"/>
          <w:sz w:val="24"/>
          <w:szCs w:val="24"/>
        </w:rPr>
        <w:t>3.822</w:t>
      </w:r>
      <w:r w:rsidR="009222A7">
        <w:rPr>
          <w:rFonts w:ascii="Arial" w:hAnsi="Arial" w:cs="Arial"/>
          <w:sz w:val="24"/>
          <w:szCs w:val="24"/>
        </w:rPr>
        <w:t xml:space="preserve">/1992 e </w:t>
      </w:r>
      <w:r w:rsidR="009222A7" w:rsidRPr="00DF1F68">
        <w:rPr>
          <w:rFonts w:ascii="Arial" w:hAnsi="Arial" w:cs="Arial"/>
          <w:sz w:val="24"/>
          <w:szCs w:val="24"/>
        </w:rPr>
        <w:t>5.265</w:t>
      </w:r>
      <w:r w:rsidR="009222A7">
        <w:rPr>
          <w:rFonts w:ascii="Arial" w:hAnsi="Arial" w:cs="Arial"/>
          <w:sz w:val="24"/>
          <w:szCs w:val="24"/>
        </w:rPr>
        <w:t>/2000), além de outros decretos vinculados a esses programas e respectivos subprogramas</w:t>
      </w:r>
      <w:r>
        <w:rPr>
          <w:rFonts w:ascii="Arial" w:hAnsi="Arial" w:cs="Arial"/>
          <w:sz w:val="24"/>
          <w:szCs w:val="24"/>
        </w:rPr>
        <w:t xml:space="preserve">. </w:t>
      </w:r>
      <w:r w:rsidR="00C86A5F">
        <w:rPr>
          <w:rFonts w:ascii="Arial" w:hAnsi="Arial" w:cs="Arial"/>
          <w:sz w:val="24"/>
          <w:szCs w:val="24"/>
        </w:rPr>
        <w:t>Não se pretende, neste momento, adentrar no m</w:t>
      </w:r>
      <w:r w:rsidR="001579C6">
        <w:rPr>
          <w:rFonts w:ascii="Arial" w:hAnsi="Arial" w:cs="Arial"/>
          <w:sz w:val="24"/>
          <w:szCs w:val="24"/>
        </w:rPr>
        <w:t>érito desses programas</w:t>
      </w:r>
      <w:r w:rsidR="00596CE2">
        <w:rPr>
          <w:rFonts w:ascii="Arial" w:hAnsi="Arial" w:cs="Arial"/>
          <w:sz w:val="24"/>
          <w:szCs w:val="24"/>
        </w:rPr>
        <w:t xml:space="preserve">; </w:t>
      </w:r>
      <w:r w:rsidR="001579C6">
        <w:rPr>
          <w:rFonts w:ascii="Arial" w:hAnsi="Arial" w:cs="Arial"/>
          <w:sz w:val="24"/>
          <w:szCs w:val="24"/>
        </w:rPr>
        <w:t>porém</w:t>
      </w:r>
      <w:r w:rsidR="00D01B61">
        <w:rPr>
          <w:rFonts w:ascii="Arial" w:hAnsi="Arial" w:cs="Arial"/>
          <w:sz w:val="24"/>
          <w:szCs w:val="24"/>
        </w:rPr>
        <w:t>,</w:t>
      </w:r>
      <w:r w:rsidR="00596CE2">
        <w:rPr>
          <w:rFonts w:ascii="Arial" w:hAnsi="Arial" w:cs="Arial"/>
          <w:sz w:val="24"/>
          <w:szCs w:val="24"/>
        </w:rPr>
        <w:t xml:space="preserve"> desde logo</w:t>
      </w:r>
      <w:r w:rsidR="00D01B61">
        <w:rPr>
          <w:rFonts w:ascii="Arial" w:hAnsi="Arial" w:cs="Arial"/>
          <w:sz w:val="24"/>
          <w:szCs w:val="24"/>
        </w:rPr>
        <w:t>,</w:t>
      </w:r>
      <w:r w:rsidR="00596CE2">
        <w:rPr>
          <w:rFonts w:ascii="Arial" w:hAnsi="Arial" w:cs="Arial"/>
          <w:sz w:val="24"/>
          <w:szCs w:val="24"/>
        </w:rPr>
        <w:t xml:space="preserve"> adiant</w:t>
      </w:r>
      <w:r w:rsidR="00D01B61">
        <w:rPr>
          <w:rFonts w:ascii="Arial" w:hAnsi="Arial" w:cs="Arial"/>
          <w:sz w:val="24"/>
          <w:szCs w:val="24"/>
        </w:rPr>
        <w:t>e-se</w:t>
      </w:r>
      <w:r w:rsidR="00596CE2">
        <w:rPr>
          <w:rFonts w:ascii="Arial" w:hAnsi="Arial" w:cs="Arial"/>
          <w:sz w:val="24"/>
          <w:szCs w:val="24"/>
        </w:rPr>
        <w:t xml:space="preserve"> que </w:t>
      </w:r>
      <w:r w:rsidR="001579C6" w:rsidRPr="00F7772D">
        <w:rPr>
          <w:rFonts w:ascii="Arial" w:hAnsi="Arial" w:cs="Arial"/>
          <w:sz w:val="24"/>
          <w:szCs w:val="24"/>
          <w:u w:val="single"/>
        </w:rPr>
        <w:t>sempre houve grande espaço ao Poder Executivo na correspondente regulamentação</w:t>
      </w:r>
      <w:r w:rsidR="00BA203F">
        <w:rPr>
          <w:rFonts w:ascii="Arial" w:hAnsi="Arial" w:cs="Arial"/>
          <w:sz w:val="24"/>
          <w:szCs w:val="24"/>
        </w:rPr>
        <w:t>.</w:t>
      </w:r>
    </w:p>
    <w:p w14:paraId="4BA9DE8D" w14:textId="2254B141" w:rsidR="00861313" w:rsidRDefault="00861313" w:rsidP="00815FCE">
      <w:pPr>
        <w:spacing w:line="360" w:lineRule="auto"/>
        <w:ind w:firstLine="851"/>
        <w:jc w:val="both"/>
        <w:rPr>
          <w:rFonts w:ascii="Arial" w:hAnsi="Arial" w:cs="Arial"/>
          <w:sz w:val="24"/>
          <w:szCs w:val="24"/>
        </w:rPr>
      </w:pPr>
      <w:r>
        <w:rPr>
          <w:rFonts w:ascii="Arial" w:hAnsi="Arial" w:cs="Arial"/>
          <w:sz w:val="24"/>
          <w:szCs w:val="24"/>
        </w:rPr>
        <w:t xml:space="preserve">Nesse ínterim, apenas a título meramente exemplificativo, ressalte-se que a Lei nº </w:t>
      </w:r>
      <w:r w:rsidRPr="00861313">
        <w:rPr>
          <w:rFonts w:ascii="Arial" w:hAnsi="Arial" w:cs="Arial"/>
          <w:sz w:val="24"/>
          <w:szCs w:val="24"/>
        </w:rPr>
        <w:t>13.591</w:t>
      </w:r>
      <w:r>
        <w:rPr>
          <w:rFonts w:ascii="Arial" w:hAnsi="Arial" w:cs="Arial"/>
          <w:sz w:val="24"/>
          <w:szCs w:val="24"/>
        </w:rPr>
        <w:t>/2000 (</w:t>
      </w:r>
      <w:r w:rsidR="0065213E">
        <w:rPr>
          <w:rFonts w:ascii="Arial" w:hAnsi="Arial" w:cs="Arial"/>
          <w:sz w:val="24"/>
          <w:szCs w:val="24"/>
        </w:rPr>
        <w:t>PRODUZIR</w:t>
      </w:r>
      <w:r>
        <w:rPr>
          <w:rFonts w:ascii="Arial" w:hAnsi="Arial" w:cs="Arial"/>
          <w:sz w:val="24"/>
          <w:szCs w:val="24"/>
        </w:rPr>
        <w:t>) expressamente delegou ao regulamento a disciplina de vários aspectos do programa, a saber: a) cálculo da média</w:t>
      </w:r>
      <w:r w:rsidR="0027017D">
        <w:rPr>
          <w:rFonts w:ascii="Arial" w:hAnsi="Arial" w:cs="Arial"/>
          <w:sz w:val="24"/>
          <w:szCs w:val="24"/>
        </w:rPr>
        <w:t xml:space="preserve"> de</w:t>
      </w:r>
      <w:r w:rsidR="00C6777B">
        <w:rPr>
          <w:rFonts w:ascii="Arial" w:hAnsi="Arial" w:cs="Arial"/>
          <w:sz w:val="24"/>
          <w:szCs w:val="24"/>
        </w:rPr>
        <w:t xml:space="preserve"> ICMS </w:t>
      </w:r>
      <w:r w:rsidR="00C6777B" w:rsidRPr="00861313">
        <w:rPr>
          <w:rFonts w:ascii="Arial" w:hAnsi="Arial" w:cs="Arial"/>
          <w:sz w:val="24"/>
          <w:szCs w:val="24"/>
        </w:rPr>
        <w:t>dos últimos 12 (doze) meses anteriores à apresentação do projeto</w:t>
      </w:r>
      <w:r w:rsidR="00C6777B">
        <w:rPr>
          <w:rFonts w:ascii="Arial" w:hAnsi="Arial" w:cs="Arial"/>
          <w:sz w:val="24"/>
          <w:szCs w:val="24"/>
        </w:rPr>
        <w:t xml:space="preserve"> pela empresa, </w:t>
      </w:r>
      <w:r w:rsidR="0027017D">
        <w:rPr>
          <w:rFonts w:ascii="Arial" w:hAnsi="Arial" w:cs="Arial"/>
          <w:sz w:val="24"/>
          <w:szCs w:val="24"/>
        </w:rPr>
        <w:t>acima da qual</w:t>
      </w:r>
      <w:r w:rsidR="00C6777B">
        <w:rPr>
          <w:rFonts w:ascii="Arial" w:hAnsi="Arial" w:cs="Arial"/>
          <w:sz w:val="24"/>
          <w:szCs w:val="24"/>
        </w:rPr>
        <w:t xml:space="preserve"> incide o</w:t>
      </w:r>
      <w:r w:rsidRPr="00861313">
        <w:rPr>
          <w:rFonts w:ascii="Arial" w:hAnsi="Arial" w:cs="Arial"/>
          <w:sz w:val="24"/>
          <w:szCs w:val="24"/>
        </w:rPr>
        <w:t xml:space="preserve"> benefício do </w:t>
      </w:r>
      <w:r w:rsidR="0065213E" w:rsidRPr="00861313">
        <w:rPr>
          <w:rFonts w:ascii="Arial" w:hAnsi="Arial" w:cs="Arial"/>
          <w:sz w:val="24"/>
          <w:szCs w:val="24"/>
        </w:rPr>
        <w:t xml:space="preserve">PRODUZIR </w:t>
      </w:r>
      <w:r w:rsidR="0027017D">
        <w:rPr>
          <w:rFonts w:ascii="Arial" w:hAnsi="Arial" w:cs="Arial"/>
          <w:sz w:val="24"/>
          <w:szCs w:val="24"/>
        </w:rPr>
        <w:t xml:space="preserve">(art. 4º-D); b) </w:t>
      </w:r>
      <w:r w:rsidR="00524F1A">
        <w:rPr>
          <w:rFonts w:ascii="Arial" w:hAnsi="Arial" w:cs="Arial"/>
          <w:sz w:val="24"/>
          <w:szCs w:val="24"/>
        </w:rPr>
        <w:t>critérios para</w:t>
      </w:r>
      <w:r w:rsidR="0065213E">
        <w:rPr>
          <w:rFonts w:ascii="Arial" w:hAnsi="Arial" w:cs="Arial"/>
          <w:sz w:val="24"/>
          <w:szCs w:val="24"/>
        </w:rPr>
        <w:t xml:space="preserve"> </w:t>
      </w:r>
      <w:r w:rsidR="00524F1A" w:rsidRPr="00524F1A">
        <w:rPr>
          <w:rFonts w:ascii="Arial" w:hAnsi="Arial" w:cs="Arial"/>
          <w:sz w:val="24"/>
          <w:szCs w:val="24"/>
        </w:rPr>
        <w:t xml:space="preserve">enquadramento diferenciado e privilegiado </w:t>
      </w:r>
      <w:r w:rsidR="00524F1A">
        <w:rPr>
          <w:rFonts w:ascii="Arial" w:hAnsi="Arial" w:cs="Arial"/>
          <w:sz w:val="24"/>
          <w:szCs w:val="24"/>
        </w:rPr>
        <w:t xml:space="preserve">de </w:t>
      </w:r>
      <w:r w:rsidR="00524F1A" w:rsidRPr="00524F1A">
        <w:rPr>
          <w:rFonts w:ascii="Arial" w:hAnsi="Arial" w:cs="Arial"/>
          <w:sz w:val="24"/>
          <w:szCs w:val="24"/>
        </w:rPr>
        <w:t>empresas beneficiárias do MICROPRODUZIR</w:t>
      </w:r>
      <w:r w:rsidR="00524F1A">
        <w:rPr>
          <w:rFonts w:ascii="Arial" w:hAnsi="Arial" w:cs="Arial"/>
          <w:sz w:val="24"/>
          <w:szCs w:val="24"/>
        </w:rPr>
        <w:t xml:space="preserve"> (art. 7º, § 1º)</w:t>
      </w:r>
      <w:r w:rsidR="001579C6">
        <w:rPr>
          <w:rFonts w:ascii="Arial" w:hAnsi="Arial" w:cs="Arial"/>
          <w:sz w:val="24"/>
          <w:szCs w:val="24"/>
        </w:rPr>
        <w:t>; c) integração</w:t>
      </w:r>
      <w:r w:rsidR="001579C6" w:rsidRPr="001579C6">
        <w:rPr>
          <w:rFonts w:ascii="Arial" w:hAnsi="Arial" w:cs="Arial"/>
          <w:sz w:val="24"/>
          <w:szCs w:val="24"/>
        </w:rPr>
        <w:t xml:space="preserve"> e compatibiliza</w:t>
      </w:r>
      <w:r w:rsidR="001579C6">
        <w:rPr>
          <w:rFonts w:ascii="Arial" w:hAnsi="Arial" w:cs="Arial"/>
          <w:sz w:val="24"/>
          <w:szCs w:val="24"/>
        </w:rPr>
        <w:t>ção</w:t>
      </w:r>
      <w:r w:rsidR="001579C6" w:rsidRPr="001579C6">
        <w:rPr>
          <w:rFonts w:ascii="Arial" w:hAnsi="Arial" w:cs="Arial"/>
          <w:sz w:val="24"/>
          <w:szCs w:val="24"/>
        </w:rPr>
        <w:t xml:space="preserve"> </w:t>
      </w:r>
      <w:r w:rsidR="001579C6">
        <w:rPr>
          <w:rFonts w:ascii="Arial" w:hAnsi="Arial" w:cs="Arial"/>
          <w:sz w:val="24"/>
          <w:szCs w:val="24"/>
        </w:rPr>
        <w:t>d</w:t>
      </w:r>
      <w:r w:rsidR="001579C6" w:rsidRPr="001579C6">
        <w:rPr>
          <w:rFonts w:ascii="Arial" w:hAnsi="Arial" w:cs="Arial"/>
          <w:sz w:val="24"/>
          <w:szCs w:val="24"/>
        </w:rPr>
        <w:t xml:space="preserve">as atribuições e funções dos diversos órgãos responsáveis e envolvidos pela administração do </w:t>
      </w:r>
      <w:r w:rsidR="001579C6">
        <w:rPr>
          <w:rFonts w:ascii="Arial" w:hAnsi="Arial" w:cs="Arial"/>
          <w:sz w:val="24"/>
          <w:szCs w:val="24"/>
        </w:rPr>
        <w:t>programa (art. 14, caput), bem como</w:t>
      </w:r>
      <w:r w:rsidR="001579C6" w:rsidRPr="001579C6">
        <w:rPr>
          <w:rFonts w:ascii="Arial" w:hAnsi="Arial" w:cs="Arial"/>
          <w:sz w:val="24"/>
          <w:szCs w:val="24"/>
        </w:rPr>
        <w:t xml:space="preserve"> defini</w:t>
      </w:r>
      <w:r w:rsidR="001579C6">
        <w:rPr>
          <w:rFonts w:ascii="Arial" w:hAnsi="Arial" w:cs="Arial"/>
          <w:sz w:val="24"/>
          <w:szCs w:val="24"/>
        </w:rPr>
        <w:t>ção d</w:t>
      </w:r>
      <w:r w:rsidR="001579C6" w:rsidRPr="001579C6">
        <w:rPr>
          <w:rFonts w:ascii="Arial" w:hAnsi="Arial" w:cs="Arial"/>
          <w:sz w:val="24"/>
          <w:szCs w:val="24"/>
        </w:rPr>
        <w:t>os procedimentos operacionais da Auditoria Interna de Controle</w:t>
      </w:r>
      <w:r w:rsidR="001579C6">
        <w:rPr>
          <w:rFonts w:ascii="Arial" w:hAnsi="Arial" w:cs="Arial"/>
          <w:sz w:val="24"/>
          <w:szCs w:val="24"/>
        </w:rPr>
        <w:t xml:space="preserve"> (art. 14, § 2º).</w:t>
      </w:r>
    </w:p>
    <w:p w14:paraId="6048DD2E" w14:textId="23DFE27F" w:rsidR="002A7235" w:rsidRDefault="0035099D" w:rsidP="001579C6">
      <w:pPr>
        <w:spacing w:line="360" w:lineRule="auto"/>
        <w:ind w:firstLine="851"/>
        <w:jc w:val="both"/>
        <w:rPr>
          <w:rFonts w:ascii="Arial" w:hAnsi="Arial" w:cs="Arial"/>
          <w:sz w:val="24"/>
          <w:szCs w:val="24"/>
        </w:rPr>
      </w:pPr>
      <w:r>
        <w:rPr>
          <w:rFonts w:ascii="Arial" w:hAnsi="Arial" w:cs="Arial"/>
          <w:sz w:val="24"/>
          <w:szCs w:val="24"/>
        </w:rPr>
        <w:t xml:space="preserve">Poderiam ser citados dezenas de dispositivos da mencionada lei que delegam ao regulamento a disciplina de várias outras questões relativas ao </w:t>
      </w:r>
      <w:r w:rsidR="0065213E">
        <w:rPr>
          <w:rFonts w:ascii="Arial" w:hAnsi="Arial" w:cs="Arial"/>
          <w:sz w:val="24"/>
          <w:szCs w:val="24"/>
        </w:rPr>
        <w:t xml:space="preserve">PRODUZIR </w:t>
      </w:r>
      <w:r>
        <w:rPr>
          <w:rFonts w:ascii="Arial" w:hAnsi="Arial" w:cs="Arial"/>
          <w:sz w:val="24"/>
          <w:szCs w:val="24"/>
        </w:rPr>
        <w:t xml:space="preserve">e também ao </w:t>
      </w:r>
      <w:r w:rsidR="0065213E">
        <w:rPr>
          <w:rFonts w:ascii="Arial" w:hAnsi="Arial" w:cs="Arial"/>
          <w:sz w:val="24"/>
          <w:szCs w:val="24"/>
        </w:rPr>
        <w:t>FOMENTAR</w:t>
      </w:r>
      <w:r>
        <w:rPr>
          <w:rFonts w:ascii="Arial" w:hAnsi="Arial" w:cs="Arial"/>
          <w:sz w:val="24"/>
          <w:szCs w:val="24"/>
        </w:rPr>
        <w:t xml:space="preserve">; o que, embora possa não constituir, </w:t>
      </w:r>
      <w:r w:rsidRPr="0035099D">
        <w:rPr>
          <w:rFonts w:ascii="Arial" w:hAnsi="Arial" w:cs="Arial"/>
          <w:i/>
          <w:sz w:val="24"/>
          <w:szCs w:val="24"/>
        </w:rPr>
        <w:t>a priori</w:t>
      </w:r>
      <w:r>
        <w:rPr>
          <w:rFonts w:ascii="Arial" w:hAnsi="Arial" w:cs="Arial"/>
          <w:sz w:val="24"/>
          <w:szCs w:val="24"/>
        </w:rPr>
        <w:t>, uma violação explícita ao princípio da legalidade, evidencia</w:t>
      </w:r>
      <w:r w:rsidR="001579C6">
        <w:rPr>
          <w:rFonts w:ascii="Arial" w:hAnsi="Arial" w:cs="Arial"/>
          <w:sz w:val="24"/>
          <w:szCs w:val="24"/>
        </w:rPr>
        <w:t xml:space="preserve">, no mínimo, a </w:t>
      </w:r>
      <w:r w:rsidRPr="00F7772D">
        <w:rPr>
          <w:rFonts w:ascii="Arial" w:hAnsi="Arial" w:cs="Arial"/>
          <w:sz w:val="24"/>
          <w:szCs w:val="24"/>
          <w:u w:val="single"/>
        </w:rPr>
        <w:t>proeminência</w:t>
      </w:r>
      <w:r w:rsidR="001579C6" w:rsidRPr="00F7772D">
        <w:rPr>
          <w:rFonts w:ascii="Arial" w:hAnsi="Arial" w:cs="Arial"/>
          <w:sz w:val="24"/>
          <w:szCs w:val="24"/>
          <w:u w:val="single"/>
        </w:rPr>
        <w:t xml:space="preserve"> do Poder Executivo </w:t>
      </w:r>
      <w:r w:rsidRPr="00F7772D">
        <w:rPr>
          <w:rFonts w:ascii="Arial" w:hAnsi="Arial" w:cs="Arial"/>
          <w:sz w:val="24"/>
          <w:szCs w:val="24"/>
          <w:u w:val="single"/>
        </w:rPr>
        <w:t>em</w:t>
      </w:r>
      <w:r w:rsidR="001579C6" w:rsidRPr="00F7772D">
        <w:rPr>
          <w:rFonts w:ascii="Arial" w:hAnsi="Arial" w:cs="Arial"/>
          <w:sz w:val="24"/>
          <w:szCs w:val="24"/>
          <w:u w:val="single"/>
        </w:rPr>
        <w:t xml:space="preserve"> alterar unilateralmente </w:t>
      </w:r>
      <w:r w:rsidRPr="00F7772D">
        <w:rPr>
          <w:rFonts w:ascii="Arial" w:hAnsi="Arial" w:cs="Arial"/>
          <w:sz w:val="24"/>
          <w:szCs w:val="24"/>
          <w:u w:val="single"/>
        </w:rPr>
        <w:t>aspectos sensíveis relativos à efetividade desses programas</w:t>
      </w:r>
      <w:r w:rsidR="00FC2A38">
        <w:rPr>
          <w:rFonts w:ascii="Arial" w:hAnsi="Arial" w:cs="Arial"/>
          <w:sz w:val="24"/>
          <w:szCs w:val="24"/>
        </w:rPr>
        <w:t>.</w:t>
      </w:r>
      <w:r w:rsidR="002A7235">
        <w:rPr>
          <w:rFonts w:ascii="Arial" w:hAnsi="Arial" w:cs="Arial"/>
          <w:sz w:val="24"/>
          <w:szCs w:val="24"/>
        </w:rPr>
        <w:t xml:space="preserve"> </w:t>
      </w:r>
    </w:p>
    <w:p w14:paraId="6669BDB1" w14:textId="2AE7F4BF" w:rsidR="001579C6" w:rsidRDefault="002A7235" w:rsidP="001579C6">
      <w:pPr>
        <w:spacing w:line="360" w:lineRule="auto"/>
        <w:ind w:firstLine="851"/>
        <w:jc w:val="both"/>
        <w:rPr>
          <w:rFonts w:ascii="Arial" w:hAnsi="Arial" w:cs="Arial"/>
          <w:sz w:val="24"/>
          <w:szCs w:val="24"/>
        </w:rPr>
      </w:pPr>
      <w:r>
        <w:rPr>
          <w:rFonts w:ascii="Arial" w:hAnsi="Arial" w:cs="Arial"/>
          <w:sz w:val="24"/>
          <w:szCs w:val="24"/>
        </w:rPr>
        <w:t xml:space="preserve">Não se quer insinuar que </w:t>
      </w:r>
      <w:r w:rsidR="001579C6">
        <w:rPr>
          <w:rFonts w:ascii="Arial" w:hAnsi="Arial" w:cs="Arial"/>
          <w:sz w:val="24"/>
          <w:szCs w:val="24"/>
        </w:rPr>
        <w:t xml:space="preserve">todos os decretos </w:t>
      </w:r>
      <w:r>
        <w:rPr>
          <w:rFonts w:ascii="Arial" w:hAnsi="Arial" w:cs="Arial"/>
          <w:sz w:val="24"/>
          <w:szCs w:val="24"/>
        </w:rPr>
        <w:t>pertencentes a essa categoria sejam</w:t>
      </w:r>
      <w:r w:rsidR="002F44C8">
        <w:rPr>
          <w:rFonts w:ascii="Arial" w:hAnsi="Arial" w:cs="Arial"/>
          <w:sz w:val="24"/>
          <w:szCs w:val="24"/>
        </w:rPr>
        <w:t xml:space="preserve"> necessariamente</w:t>
      </w:r>
      <w:r>
        <w:rPr>
          <w:rFonts w:ascii="Arial" w:hAnsi="Arial" w:cs="Arial"/>
          <w:sz w:val="24"/>
          <w:szCs w:val="24"/>
        </w:rPr>
        <w:t xml:space="preserve"> ilegais, </w:t>
      </w:r>
      <w:r w:rsidR="001579C6">
        <w:rPr>
          <w:rFonts w:ascii="Arial" w:hAnsi="Arial" w:cs="Arial"/>
          <w:sz w:val="24"/>
          <w:szCs w:val="24"/>
        </w:rPr>
        <w:t>mas</w:t>
      </w:r>
      <w:r>
        <w:rPr>
          <w:rFonts w:ascii="Arial" w:hAnsi="Arial" w:cs="Arial"/>
          <w:sz w:val="24"/>
          <w:szCs w:val="24"/>
        </w:rPr>
        <w:t xml:space="preserve"> </w:t>
      </w:r>
      <w:r w:rsidR="002F44C8">
        <w:rPr>
          <w:rFonts w:ascii="Arial" w:hAnsi="Arial" w:cs="Arial"/>
          <w:sz w:val="24"/>
          <w:szCs w:val="24"/>
        </w:rPr>
        <w:t>estes</w:t>
      </w:r>
      <w:r>
        <w:rPr>
          <w:rFonts w:ascii="Arial" w:hAnsi="Arial" w:cs="Arial"/>
          <w:sz w:val="24"/>
          <w:szCs w:val="24"/>
        </w:rPr>
        <w:t xml:space="preserve"> reforçam a premissa</w:t>
      </w:r>
      <w:r w:rsidR="00F7772D">
        <w:rPr>
          <w:rFonts w:ascii="Arial" w:hAnsi="Arial" w:cs="Arial"/>
          <w:sz w:val="24"/>
          <w:szCs w:val="24"/>
        </w:rPr>
        <w:t xml:space="preserve"> já lançada</w:t>
      </w:r>
      <w:r>
        <w:rPr>
          <w:rFonts w:ascii="Arial" w:hAnsi="Arial" w:cs="Arial"/>
          <w:sz w:val="24"/>
          <w:szCs w:val="24"/>
        </w:rPr>
        <w:t xml:space="preserve"> de que </w:t>
      </w:r>
      <w:r w:rsidR="001579C6">
        <w:rPr>
          <w:rFonts w:ascii="Arial" w:hAnsi="Arial" w:cs="Arial"/>
          <w:sz w:val="24"/>
          <w:szCs w:val="24"/>
        </w:rPr>
        <w:t>o Poder Executivo</w:t>
      </w:r>
      <w:r>
        <w:rPr>
          <w:rFonts w:ascii="Arial" w:hAnsi="Arial" w:cs="Arial"/>
          <w:sz w:val="24"/>
          <w:szCs w:val="24"/>
        </w:rPr>
        <w:t xml:space="preserve"> </w:t>
      </w:r>
      <w:r w:rsidR="002F44C8">
        <w:rPr>
          <w:rFonts w:ascii="Arial" w:hAnsi="Arial" w:cs="Arial"/>
          <w:sz w:val="24"/>
          <w:szCs w:val="24"/>
        </w:rPr>
        <w:t>sempre possuiu</w:t>
      </w:r>
      <w:r>
        <w:rPr>
          <w:rFonts w:ascii="Arial" w:hAnsi="Arial" w:cs="Arial"/>
          <w:sz w:val="24"/>
          <w:szCs w:val="24"/>
        </w:rPr>
        <w:t xml:space="preserve"> grande margem para m</w:t>
      </w:r>
      <w:r w:rsidR="002F44C8">
        <w:rPr>
          <w:rFonts w:ascii="Arial" w:hAnsi="Arial" w:cs="Arial"/>
          <w:sz w:val="24"/>
          <w:szCs w:val="24"/>
        </w:rPr>
        <w:t>odifica</w:t>
      </w:r>
      <w:r w:rsidR="00F7772D">
        <w:rPr>
          <w:rFonts w:ascii="Arial" w:hAnsi="Arial" w:cs="Arial"/>
          <w:sz w:val="24"/>
          <w:szCs w:val="24"/>
        </w:rPr>
        <w:t>r</w:t>
      </w:r>
      <w:r w:rsidR="002F44C8">
        <w:rPr>
          <w:rFonts w:ascii="Arial" w:hAnsi="Arial" w:cs="Arial"/>
          <w:sz w:val="24"/>
          <w:szCs w:val="24"/>
        </w:rPr>
        <w:t xml:space="preserve"> a </w:t>
      </w:r>
      <w:r>
        <w:rPr>
          <w:rFonts w:ascii="Arial" w:hAnsi="Arial" w:cs="Arial"/>
          <w:sz w:val="24"/>
          <w:szCs w:val="24"/>
        </w:rPr>
        <w:t>disciplina</w:t>
      </w:r>
      <w:r w:rsidR="001579C6">
        <w:rPr>
          <w:rFonts w:ascii="Arial" w:hAnsi="Arial" w:cs="Arial"/>
          <w:sz w:val="24"/>
          <w:szCs w:val="24"/>
        </w:rPr>
        <w:t xml:space="preserve"> d</w:t>
      </w:r>
      <w:r>
        <w:rPr>
          <w:rFonts w:ascii="Arial" w:hAnsi="Arial" w:cs="Arial"/>
          <w:sz w:val="24"/>
          <w:szCs w:val="24"/>
        </w:rPr>
        <w:t>os mencionados</w:t>
      </w:r>
      <w:r w:rsidR="001579C6">
        <w:rPr>
          <w:rFonts w:ascii="Arial" w:hAnsi="Arial" w:cs="Arial"/>
          <w:sz w:val="24"/>
          <w:szCs w:val="24"/>
        </w:rPr>
        <w:t xml:space="preserve"> programas</w:t>
      </w:r>
      <w:r w:rsidR="002F44C8">
        <w:rPr>
          <w:rFonts w:ascii="Arial" w:hAnsi="Arial" w:cs="Arial"/>
          <w:sz w:val="24"/>
          <w:szCs w:val="24"/>
        </w:rPr>
        <w:t>, ainda que respaldado em autorização legislativa genérica</w:t>
      </w:r>
      <w:r w:rsidR="001579C6">
        <w:rPr>
          <w:rFonts w:ascii="Arial" w:hAnsi="Arial" w:cs="Arial"/>
          <w:sz w:val="24"/>
          <w:szCs w:val="24"/>
        </w:rPr>
        <w:t>.</w:t>
      </w:r>
    </w:p>
    <w:p w14:paraId="75687B4F" w14:textId="0D3AFFE6" w:rsidR="00A477EF" w:rsidRDefault="00675093" w:rsidP="009168EF">
      <w:pPr>
        <w:spacing w:line="360" w:lineRule="auto"/>
        <w:ind w:firstLine="851"/>
        <w:jc w:val="both"/>
        <w:rPr>
          <w:rFonts w:ascii="Arial" w:hAnsi="Arial" w:cs="Arial"/>
          <w:sz w:val="24"/>
          <w:szCs w:val="24"/>
        </w:rPr>
      </w:pPr>
      <w:r>
        <w:rPr>
          <w:rFonts w:ascii="Arial" w:hAnsi="Arial" w:cs="Arial"/>
          <w:sz w:val="24"/>
          <w:szCs w:val="24"/>
        </w:rPr>
        <w:lastRenderedPageBreak/>
        <w:t xml:space="preserve">Por fim, </w:t>
      </w:r>
      <w:r w:rsidR="002C1960">
        <w:rPr>
          <w:rFonts w:ascii="Arial" w:hAnsi="Arial" w:cs="Arial"/>
          <w:sz w:val="24"/>
          <w:szCs w:val="24"/>
        </w:rPr>
        <w:t xml:space="preserve">a </w:t>
      </w:r>
      <w:r w:rsidR="002C1960" w:rsidRPr="002C1960">
        <w:rPr>
          <w:rFonts w:ascii="Arial" w:hAnsi="Arial" w:cs="Arial"/>
          <w:b/>
          <w:sz w:val="24"/>
          <w:szCs w:val="24"/>
        </w:rPr>
        <w:t>terceira categoria</w:t>
      </w:r>
      <w:r w:rsidR="002C1960">
        <w:rPr>
          <w:rFonts w:ascii="Arial" w:hAnsi="Arial" w:cs="Arial"/>
          <w:sz w:val="24"/>
          <w:szCs w:val="24"/>
        </w:rPr>
        <w:t xml:space="preserve"> </w:t>
      </w:r>
      <w:r w:rsidR="009168EF">
        <w:rPr>
          <w:rFonts w:ascii="Arial" w:hAnsi="Arial" w:cs="Arial"/>
          <w:sz w:val="24"/>
          <w:szCs w:val="24"/>
        </w:rPr>
        <w:t>contempla</w:t>
      </w:r>
      <w:r w:rsidR="009168EF" w:rsidRPr="009168EF">
        <w:rPr>
          <w:rFonts w:ascii="Arial" w:hAnsi="Arial" w:cs="Arial"/>
          <w:sz w:val="24"/>
          <w:szCs w:val="24"/>
        </w:rPr>
        <w:t xml:space="preserve"> os decretos que aprova</w:t>
      </w:r>
      <w:r w:rsidR="004D5446">
        <w:rPr>
          <w:rFonts w:ascii="Arial" w:hAnsi="Arial" w:cs="Arial"/>
          <w:sz w:val="24"/>
          <w:szCs w:val="24"/>
        </w:rPr>
        <w:t>ra</w:t>
      </w:r>
      <w:r w:rsidR="009168EF" w:rsidRPr="009168EF">
        <w:rPr>
          <w:rFonts w:ascii="Arial" w:hAnsi="Arial" w:cs="Arial"/>
          <w:sz w:val="24"/>
          <w:szCs w:val="24"/>
        </w:rPr>
        <w:t>m e ratifica</w:t>
      </w:r>
      <w:r w:rsidR="004D5446">
        <w:rPr>
          <w:rFonts w:ascii="Arial" w:hAnsi="Arial" w:cs="Arial"/>
          <w:sz w:val="24"/>
          <w:szCs w:val="24"/>
        </w:rPr>
        <w:t>ra</w:t>
      </w:r>
      <w:r w:rsidR="009168EF" w:rsidRPr="009168EF">
        <w:rPr>
          <w:rFonts w:ascii="Arial" w:hAnsi="Arial" w:cs="Arial"/>
          <w:sz w:val="24"/>
          <w:szCs w:val="24"/>
        </w:rPr>
        <w:t>m convênios autorizativos celebrados no âmbito do Confaz, nos termos do art. 155, § 2º, II, “g”, da CRFB e art. 104, § 2º, II, “g”, da CE/GO</w:t>
      </w:r>
      <w:r w:rsidR="00A477EF">
        <w:rPr>
          <w:rFonts w:ascii="Arial" w:hAnsi="Arial" w:cs="Arial"/>
          <w:sz w:val="24"/>
          <w:szCs w:val="24"/>
        </w:rPr>
        <w:t>;</w:t>
      </w:r>
      <w:r w:rsidR="002B7654">
        <w:rPr>
          <w:rFonts w:ascii="Arial" w:hAnsi="Arial" w:cs="Arial"/>
          <w:sz w:val="24"/>
          <w:szCs w:val="24"/>
        </w:rPr>
        <w:t xml:space="preserve"> </w:t>
      </w:r>
      <w:r w:rsidR="00A477EF">
        <w:rPr>
          <w:rFonts w:ascii="Arial" w:hAnsi="Arial" w:cs="Arial"/>
          <w:sz w:val="24"/>
          <w:szCs w:val="24"/>
        </w:rPr>
        <w:t>n</w:t>
      </w:r>
      <w:r w:rsidR="002B7654">
        <w:rPr>
          <w:rFonts w:ascii="Arial" w:hAnsi="Arial" w:cs="Arial"/>
          <w:sz w:val="24"/>
          <w:szCs w:val="24"/>
        </w:rPr>
        <w:t xml:space="preserve">esse aspecto, </w:t>
      </w:r>
      <w:r w:rsidR="00EA3BD0">
        <w:rPr>
          <w:rFonts w:ascii="Arial" w:hAnsi="Arial" w:cs="Arial"/>
          <w:sz w:val="24"/>
          <w:szCs w:val="24"/>
        </w:rPr>
        <w:t xml:space="preserve">assim como na primeira categoria de decretos, </w:t>
      </w:r>
      <w:r w:rsidR="002B7654">
        <w:rPr>
          <w:rFonts w:ascii="Arial" w:hAnsi="Arial" w:cs="Arial"/>
          <w:sz w:val="24"/>
          <w:szCs w:val="24"/>
        </w:rPr>
        <w:t xml:space="preserve">a inconstitucionalidade </w:t>
      </w:r>
      <w:r w:rsidR="00A477EF">
        <w:rPr>
          <w:rFonts w:ascii="Arial" w:hAnsi="Arial" w:cs="Arial"/>
          <w:sz w:val="24"/>
          <w:szCs w:val="24"/>
        </w:rPr>
        <w:t>resta evidente.</w:t>
      </w:r>
    </w:p>
    <w:p w14:paraId="7AFBE3FE" w14:textId="19E09A26" w:rsidR="006B5F7B" w:rsidRDefault="00A477EF" w:rsidP="009168EF">
      <w:pPr>
        <w:spacing w:line="360" w:lineRule="auto"/>
        <w:ind w:firstLine="851"/>
        <w:jc w:val="both"/>
        <w:rPr>
          <w:rFonts w:ascii="Arial" w:hAnsi="Arial" w:cs="Arial"/>
          <w:sz w:val="24"/>
          <w:szCs w:val="24"/>
        </w:rPr>
      </w:pPr>
      <w:r>
        <w:rPr>
          <w:rFonts w:ascii="Arial" w:hAnsi="Arial" w:cs="Arial"/>
          <w:sz w:val="24"/>
          <w:szCs w:val="24"/>
        </w:rPr>
        <w:t xml:space="preserve">Isso porque </w:t>
      </w:r>
      <w:r w:rsidR="00106ACD">
        <w:rPr>
          <w:rFonts w:ascii="Arial" w:hAnsi="Arial" w:cs="Arial"/>
          <w:sz w:val="24"/>
          <w:szCs w:val="24"/>
        </w:rPr>
        <w:t xml:space="preserve">a internalização de incentivos fiscais </w:t>
      </w:r>
      <w:r w:rsidR="00B56BB8">
        <w:rPr>
          <w:rFonts w:ascii="Arial" w:hAnsi="Arial" w:cs="Arial"/>
          <w:sz w:val="24"/>
          <w:szCs w:val="24"/>
        </w:rPr>
        <w:t>objeto de deliberação do Confaz</w:t>
      </w:r>
      <w:r w:rsidR="00230A81">
        <w:rPr>
          <w:rFonts w:ascii="Arial" w:hAnsi="Arial" w:cs="Arial"/>
          <w:sz w:val="24"/>
          <w:szCs w:val="24"/>
        </w:rPr>
        <w:t xml:space="preserve"> deve ser previamente aprovada por lei</w:t>
      </w:r>
      <w:r w:rsidR="0065213E">
        <w:rPr>
          <w:rFonts w:ascii="Arial" w:hAnsi="Arial" w:cs="Arial"/>
          <w:sz w:val="24"/>
          <w:szCs w:val="24"/>
        </w:rPr>
        <w:t xml:space="preserve"> </w:t>
      </w:r>
      <w:r w:rsidR="0065213E" w:rsidRPr="002F32A1">
        <w:rPr>
          <w:rFonts w:ascii="Arial" w:hAnsi="Arial" w:cs="Arial"/>
          <w:sz w:val="24"/>
          <w:szCs w:val="24"/>
        </w:rPr>
        <w:t>ou decreto legislativo</w:t>
      </w:r>
      <w:r w:rsidR="00230A81">
        <w:rPr>
          <w:rFonts w:ascii="Arial" w:hAnsi="Arial" w:cs="Arial"/>
          <w:sz w:val="24"/>
          <w:szCs w:val="24"/>
        </w:rPr>
        <w:t xml:space="preserve"> estadual do ente público, e não mero decreto govern</w:t>
      </w:r>
      <w:r w:rsidR="004D5446">
        <w:rPr>
          <w:rFonts w:ascii="Arial" w:hAnsi="Arial" w:cs="Arial"/>
          <w:sz w:val="24"/>
          <w:szCs w:val="24"/>
        </w:rPr>
        <w:t>amental editado</w:t>
      </w:r>
      <w:r w:rsidR="006A2D9F">
        <w:rPr>
          <w:rFonts w:ascii="Arial" w:hAnsi="Arial" w:cs="Arial"/>
          <w:sz w:val="24"/>
          <w:szCs w:val="24"/>
        </w:rPr>
        <w:t xml:space="preserve"> unilateralmente, conforme preveem</w:t>
      </w:r>
      <w:r w:rsidR="004D5446">
        <w:rPr>
          <w:rFonts w:ascii="Arial" w:hAnsi="Arial" w:cs="Arial"/>
          <w:sz w:val="24"/>
          <w:szCs w:val="24"/>
        </w:rPr>
        <w:t xml:space="preserve"> o</w:t>
      </w:r>
      <w:r w:rsidR="005A53A9">
        <w:rPr>
          <w:rFonts w:ascii="Arial" w:hAnsi="Arial" w:cs="Arial"/>
          <w:sz w:val="24"/>
          <w:szCs w:val="24"/>
        </w:rPr>
        <w:t>s</w:t>
      </w:r>
      <w:r w:rsidR="004D5446">
        <w:rPr>
          <w:rFonts w:ascii="Arial" w:hAnsi="Arial" w:cs="Arial"/>
          <w:sz w:val="24"/>
          <w:szCs w:val="24"/>
        </w:rPr>
        <w:t xml:space="preserve"> mandamento</w:t>
      </w:r>
      <w:r w:rsidR="005A53A9">
        <w:rPr>
          <w:rFonts w:ascii="Arial" w:hAnsi="Arial" w:cs="Arial"/>
          <w:sz w:val="24"/>
          <w:szCs w:val="24"/>
        </w:rPr>
        <w:t>s</w:t>
      </w:r>
      <w:r w:rsidR="004D5446">
        <w:rPr>
          <w:rFonts w:ascii="Arial" w:hAnsi="Arial" w:cs="Arial"/>
          <w:sz w:val="24"/>
          <w:szCs w:val="24"/>
        </w:rPr>
        <w:t xml:space="preserve"> </w:t>
      </w:r>
      <w:r w:rsidR="005A53A9">
        <w:rPr>
          <w:rFonts w:ascii="Arial" w:hAnsi="Arial" w:cs="Arial"/>
          <w:sz w:val="24"/>
          <w:szCs w:val="24"/>
        </w:rPr>
        <w:t>constitucionais</w:t>
      </w:r>
      <w:r w:rsidR="004D5446">
        <w:rPr>
          <w:rFonts w:ascii="Arial" w:hAnsi="Arial" w:cs="Arial"/>
          <w:sz w:val="24"/>
          <w:szCs w:val="24"/>
        </w:rPr>
        <w:t xml:space="preserve"> (</w:t>
      </w:r>
      <w:r>
        <w:rPr>
          <w:rFonts w:ascii="Arial" w:hAnsi="Arial" w:cs="Arial"/>
          <w:sz w:val="24"/>
          <w:szCs w:val="24"/>
        </w:rPr>
        <w:t>CRFB</w:t>
      </w:r>
      <w:r w:rsidR="004D5446">
        <w:rPr>
          <w:rFonts w:ascii="Arial" w:hAnsi="Arial" w:cs="Arial"/>
          <w:sz w:val="24"/>
          <w:szCs w:val="24"/>
        </w:rPr>
        <w:t>, art. 150, § 6º</w:t>
      </w:r>
      <w:r w:rsidR="00CD1518">
        <w:rPr>
          <w:rFonts w:ascii="Arial" w:hAnsi="Arial" w:cs="Arial"/>
          <w:sz w:val="24"/>
          <w:szCs w:val="24"/>
        </w:rPr>
        <w:t>; CE/GO, art. 102, § 5º</w:t>
      </w:r>
      <w:r w:rsidR="004D5446">
        <w:rPr>
          <w:rFonts w:ascii="Arial" w:hAnsi="Arial" w:cs="Arial"/>
          <w:sz w:val="24"/>
          <w:szCs w:val="24"/>
        </w:rPr>
        <w:t>)</w:t>
      </w:r>
      <w:r w:rsidR="005A53A9">
        <w:rPr>
          <w:rFonts w:ascii="Arial" w:hAnsi="Arial" w:cs="Arial"/>
          <w:sz w:val="24"/>
          <w:szCs w:val="24"/>
        </w:rPr>
        <w:t>.</w:t>
      </w:r>
      <w:r w:rsidR="008A0C0A">
        <w:rPr>
          <w:rFonts w:ascii="Arial" w:hAnsi="Arial" w:cs="Arial"/>
          <w:sz w:val="24"/>
          <w:szCs w:val="24"/>
        </w:rPr>
        <w:t xml:space="preserve"> </w:t>
      </w:r>
      <w:r w:rsidR="006B5F7B">
        <w:rPr>
          <w:rFonts w:ascii="Arial" w:hAnsi="Arial" w:cs="Arial"/>
          <w:sz w:val="24"/>
          <w:szCs w:val="24"/>
        </w:rPr>
        <w:t>Sobre essa questão, convém destacar o seguinte escólio doutrinário</w:t>
      </w:r>
      <w:r w:rsidR="008E37BA">
        <w:rPr>
          <w:rFonts w:ascii="Arial" w:hAnsi="Arial" w:cs="Arial"/>
          <w:sz w:val="24"/>
          <w:szCs w:val="24"/>
        </w:rPr>
        <w:t xml:space="preserve"> extraído de artigo publicado por </w:t>
      </w:r>
      <w:r w:rsidR="00E7298D" w:rsidRPr="00E7298D">
        <w:rPr>
          <w:rFonts w:ascii="Arial" w:hAnsi="Arial" w:cs="Arial"/>
          <w:sz w:val="24"/>
          <w:szCs w:val="24"/>
        </w:rPr>
        <w:t>Ruth Barros Pettersen da Costa</w:t>
      </w:r>
      <w:r w:rsidR="00E7298D">
        <w:rPr>
          <w:rFonts w:ascii="Arial" w:hAnsi="Arial" w:cs="Arial"/>
          <w:sz w:val="24"/>
          <w:szCs w:val="24"/>
        </w:rPr>
        <w:t>, Procuradora aposentada desta Casa de Leis</w:t>
      </w:r>
      <w:r w:rsidR="006B5F7B">
        <w:rPr>
          <w:rFonts w:ascii="Arial" w:hAnsi="Arial" w:cs="Arial"/>
          <w:sz w:val="24"/>
          <w:szCs w:val="24"/>
        </w:rPr>
        <w:t>:</w:t>
      </w:r>
    </w:p>
    <w:p w14:paraId="3870170A" w14:textId="15ECFD41" w:rsidR="009B2BFC" w:rsidRDefault="009B2BFC" w:rsidP="009168EF">
      <w:pPr>
        <w:spacing w:line="360" w:lineRule="auto"/>
        <w:ind w:firstLine="851"/>
        <w:jc w:val="both"/>
        <w:rPr>
          <w:rFonts w:ascii="Arial" w:hAnsi="Arial" w:cs="Arial"/>
          <w:sz w:val="24"/>
          <w:szCs w:val="24"/>
        </w:rPr>
      </w:pPr>
    </w:p>
    <w:p w14:paraId="78667695" w14:textId="46CECEF4" w:rsidR="00E7298D" w:rsidRPr="009B2BFC" w:rsidRDefault="00E7298D" w:rsidP="00022A57">
      <w:pPr>
        <w:ind w:left="2268"/>
        <w:jc w:val="both"/>
        <w:rPr>
          <w:rFonts w:ascii="Arial" w:hAnsi="Arial" w:cs="Arial"/>
          <w:sz w:val="22"/>
          <w:szCs w:val="22"/>
        </w:rPr>
      </w:pPr>
      <w:r>
        <w:rPr>
          <w:rFonts w:ascii="Arial" w:hAnsi="Arial" w:cs="Arial"/>
          <w:sz w:val="22"/>
          <w:szCs w:val="22"/>
        </w:rPr>
        <w:t>Quanto ao processo legislativo que cui</w:t>
      </w:r>
      <w:r w:rsidR="00AA0288">
        <w:rPr>
          <w:rFonts w:ascii="Arial" w:hAnsi="Arial" w:cs="Arial"/>
          <w:sz w:val="22"/>
          <w:szCs w:val="22"/>
        </w:rPr>
        <w:t>d</w:t>
      </w:r>
      <w:r>
        <w:rPr>
          <w:rFonts w:ascii="Arial" w:hAnsi="Arial" w:cs="Arial"/>
          <w:sz w:val="22"/>
          <w:szCs w:val="22"/>
        </w:rPr>
        <w:t>a de norma exonerativ</w:t>
      </w:r>
      <w:r w:rsidR="00AA0288">
        <w:rPr>
          <w:rFonts w:ascii="Arial" w:hAnsi="Arial" w:cs="Arial"/>
          <w:sz w:val="22"/>
          <w:szCs w:val="22"/>
        </w:rPr>
        <w:t>a</w:t>
      </w:r>
      <w:r>
        <w:rPr>
          <w:rFonts w:ascii="Arial" w:hAnsi="Arial" w:cs="Arial"/>
          <w:sz w:val="22"/>
          <w:szCs w:val="22"/>
        </w:rPr>
        <w:t xml:space="preserve"> do ICMS, integra o iter legislativo, conforme visto, a prévia aprovação mediante convênio do Confaz, do qual fazem parte todos os Secretários Estaduais da Fazenda ou cargo equivalente, demandando, ainda, ratificação mediante decreto do Chefe do Poder Executivo. Significa dizer, há ampla participação do Poder Executivo na elaboração das normas exonerativas do ICMS, não sendo esta indispensável, a posteriori, para sancionar o projeto de lei. Contudo, o fato de o Confaz não ter representantes do povo, reforça o entendimento de que as suas decisões devem ser submetidas à deliberação do Poder Legislativo local.</w:t>
      </w:r>
      <w:r>
        <w:rPr>
          <w:rStyle w:val="Refdenotaderodap"/>
          <w:rFonts w:ascii="Arial" w:hAnsi="Arial" w:cs="Arial"/>
          <w:sz w:val="22"/>
          <w:szCs w:val="22"/>
        </w:rPr>
        <w:footnoteReference w:id="26"/>
      </w:r>
    </w:p>
    <w:p w14:paraId="7ECB224A" w14:textId="196BCFD4" w:rsidR="00E7298D" w:rsidRDefault="00E7298D" w:rsidP="009B2BFC">
      <w:pPr>
        <w:ind w:left="2268" w:firstLine="284"/>
        <w:jc w:val="both"/>
        <w:rPr>
          <w:rFonts w:ascii="Arial" w:hAnsi="Arial" w:cs="Arial"/>
          <w:sz w:val="22"/>
          <w:szCs w:val="22"/>
        </w:rPr>
      </w:pPr>
    </w:p>
    <w:p w14:paraId="5810C56A" w14:textId="77777777" w:rsidR="008A0C0A" w:rsidRDefault="008A0C0A" w:rsidP="009B2BFC">
      <w:pPr>
        <w:ind w:left="2268" w:firstLine="284"/>
        <w:jc w:val="both"/>
        <w:rPr>
          <w:rFonts w:ascii="Arial" w:hAnsi="Arial" w:cs="Arial"/>
          <w:sz w:val="22"/>
          <w:szCs w:val="22"/>
        </w:rPr>
      </w:pPr>
    </w:p>
    <w:p w14:paraId="0F475C57" w14:textId="0410BD88" w:rsidR="000D6AC8" w:rsidRDefault="008A0C0A" w:rsidP="005525BF">
      <w:pPr>
        <w:spacing w:line="360" w:lineRule="auto"/>
        <w:ind w:firstLine="851"/>
        <w:jc w:val="both"/>
        <w:rPr>
          <w:rFonts w:ascii="Arial" w:hAnsi="Arial" w:cs="Arial"/>
          <w:sz w:val="24"/>
          <w:szCs w:val="24"/>
        </w:rPr>
      </w:pPr>
      <w:r>
        <w:rPr>
          <w:rFonts w:ascii="Arial" w:hAnsi="Arial" w:cs="Arial"/>
          <w:sz w:val="24"/>
          <w:szCs w:val="24"/>
        </w:rPr>
        <w:t>Esse já era o entendimento tradicional do STF a respeito da matéria:</w:t>
      </w:r>
    </w:p>
    <w:p w14:paraId="7FE9CE67" w14:textId="77777777" w:rsidR="008A0C0A" w:rsidRDefault="008A0C0A" w:rsidP="005525BF">
      <w:pPr>
        <w:spacing w:line="360" w:lineRule="auto"/>
        <w:ind w:firstLine="851"/>
        <w:jc w:val="both"/>
        <w:rPr>
          <w:rFonts w:ascii="Arial" w:hAnsi="Arial" w:cs="Arial"/>
          <w:sz w:val="24"/>
          <w:szCs w:val="24"/>
        </w:rPr>
      </w:pPr>
    </w:p>
    <w:p w14:paraId="3B300729" w14:textId="77777777" w:rsidR="009625E1" w:rsidRDefault="008A0C0A" w:rsidP="00022A57">
      <w:pPr>
        <w:ind w:left="2268"/>
        <w:jc w:val="both"/>
        <w:rPr>
          <w:rFonts w:ascii="Arial" w:hAnsi="Arial" w:cs="Arial"/>
          <w:sz w:val="22"/>
          <w:szCs w:val="22"/>
        </w:rPr>
      </w:pPr>
      <w:r w:rsidRPr="009B2BFC">
        <w:rPr>
          <w:rFonts w:ascii="Arial" w:hAnsi="Arial" w:cs="Arial"/>
          <w:sz w:val="22"/>
          <w:szCs w:val="22"/>
        </w:rPr>
        <w:t xml:space="preserve">Agravo regimental no recurso extraordinário. ICMS. </w:t>
      </w:r>
      <w:r w:rsidRPr="009625E1">
        <w:rPr>
          <w:rFonts w:ascii="Arial" w:hAnsi="Arial" w:cs="Arial"/>
          <w:b/>
          <w:sz w:val="22"/>
          <w:szCs w:val="22"/>
          <w:u w:val="single"/>
        </w:rPr>
        <w:t>Benefício fiscal. Ausência de lei específica internalizando o convênio firmado pelo Confaz. Jurisprudência desta Corte reconhecendo a imprescindibilidade de lei em sentido formal para dispor sobre a matéria</w:t>
      </w:r>
      <w:r w:rsidRPr="009B2BFC">
        <w:rPr>
          <w:rFonts w:ascii="Arial" w:hAnsi="Arial" w:cs="Arial"/>
          <w:sz w:val="22"/>
          <w:szCs w:val="22"/>
        </w:rPr>
        <w:t xml:space="preserve">. </w:t>
      </w:r>
    </w:p>
    <w:p w14:paraId="061D6167" w14:textId="77777777" w:rsidR="009625E1" w:rsidRDefault="008A0C0A" w:rsidP="00022A57">
      <w:pPr>
        <w:ind w:left="2268"/>
        <w:jc w:val="both"/>
        <w:rPr>
          <w:rFonts w:ascii="Arial" w:hAnsi="Arial" w:cs="Arial"/>
          <w:sz w:val="22"/>
          <w:szCs w:val="22"/>
        </w:rPr>
      </w:pPr>
      <w:r w:rsidRPr="009B2BFC">
        <w:rPr>
          <w:rFonts w:ascii="Arial" w:hAnsi="Arial" w:cs="Arial"/>
          <w:sz w:val="22"/>
          <w:szCs w:val="22"/>
        </w:rPr>
        <w:t xml:space="preserve">1. As razões deduzidas pela agravante equivocam-se quanto às razões de decidir do juízo monocrático. Não ficara assentada naquela decisão a impossibilidade de o convênio autorizar a manutenção dos créditos escriturais. </w:t>
      </w:r>
      <w:r w:rsidRPr="00AA0288">
        <w:rPr>
          <w:rFonts w:ascii="Arial" w:hAnsi="Arial" w:cs="Arial"/>
          <w:b/>
          <w:sz w:val="22"/>
          <w:szCs w:val="22"/>
        </w:rPr>
        <w:t>O que se reconhecera fora a impossibilidade de o benefício fiscal ser implementado à margem da participação do Poder Legislativo</w:t>
      </w:r>
      <w:r w:rsidRPr="009B2BFC">
        <w:rPr>
          <w:rFonts w:ascii="Arial" w:hAnsi="Arial" w:cs="Arial"/>
          <w:sz w:val="22"/>
          <w:szCs w:val="22"/>
        </w:rPr>
        <w:t xml:space="preserve">. </w:t>
      </w:r>
    </w:p>
    <w:p w14:paraId="141BBB0F" w14:textId="77777777" w:rsidR="009625E1" w:rsidRDefault="008A0C0A" w:rsidP="00022A57">
      <w:pPr>
        <w:ind w:left="2268"/>
        <w:jc w:val="both"/>
        <w:rPr>
          <w:rFonts w:ascii="Arial" w:hAnsi="Arial" w:cs="Arial"/>
          <w:sz w:val="22"/>
          <w:szCs w:val="22"/>
        </w:rPr>
      </w:pPr>
      <w:r w:rsidRPr="009625E1">
        <w:rPr>
          <w:rFonts w:ascii="Arial" w:hAnsi="Arial" w:cs="Arial"/>
          <w:b/>
          <w:sz w:val="22"/>
          <w:szCs w:val="22"/>
        </w:rPr>
        <w:t xml:space="preserve">2. Os convênios são autorizações para que o Estado possa implementar um benefício fiscal. Efetivar o beneplácito no ordenamento interno é mera faculdade, e não obrigação. A </w:t>
      </w:r>
      <w:r w:rsidRPr="009625E1">
        <w:rPr>
          <w:rFonts w:ascii="Arial" w:hAnsi="Arial" w:cs="Arial"/>
          <w:b/>
          <w:sz w:val="22"/>
          <w:szCs w:val="22"/>
        </w:rPr>
        <w:lastRenderedPageBreak/>
        <w:t>participação do Poder Legislativo legitima e confirma a intenção do Estado, além de manter hígido o postulado da separação de poderes concebido pelo constituinte originário</w:t>
      </w:r>
      <w:r w:rsidRPr="009B2BFC">
        <w:rPr>
          <w:rFonts w:ascii="Arial" w:hAnsi="Arial" w:cs="Arial"/>
          <w:sz w:val="22"/>
          <w:szCs w:val="22"/>
        </w:rPr>
        <w:t xml:space="preserve">. </w:t>
      </w:r>
    </w:p>
    <w:p w14:paraId="3E25BF81" w14:textId="1F838897" w:rsidR="008A0C0A" w:rsidRDefault="008A0C0A" w:rsidP="00022A57">
      <w:pPr>
        <w:ind w:left="2268"/>
        <w:jc w:val="both"/>
        <w:rPr>
          <w:rFonts w:ascii="Arial" w:hAnsi="Arial" w:cs="Arial"/>
          <w:sz w:val="22"/>
          <w:szCs w:val="22"/>
        </w:rPr>
      </w:pPr>
      <w:r w:rsidRPr="009B2BFC">
        <w:rPr>
          <w:rFonts w:ascii="Arial" w:hAnsi="Arial" w:cs="Arial"/>
          <w:sz w:val="22"/>
          <w:szCs w:val="22"/>
        </w:rPr>
        <w:t>3. Agravo regimental não provido.</w:t>
      </w:r>
      <w:r w:rsidR="008D0A93">
        <w:rPr>
          <w:rStyle w:val="Refdenotaderodap"/>
          <w:rFonts w:ascii="Arial" w:hAnsi="Arial" w:cs="Arial"/>
          <w:sz w:val="22"/>
          <w:szCs w:val="22"/>
        </w:rPr>
        <w:footnoteReference w:id="27"/>
      </w:r>
    </w:p>
    <w:p w14:paraId="2C98CBC8" w14:textId="77777777" w:rsidR="008A0C0A" w:rsidRPr="00D441FA" w:rsidRDefault="008A0C0A" w:rsidP="005525BF">
      <w:pPr>
        <w:spacing w:line="360" w:lineRule="auto"/>
        <w:ind w:firstLine="851"/>
        <w:jc w:val="both"/>
        <w:rPr>
          <w:rFonts w:ascii="Arial" w:hAnsi="Arial" w:cs="Arial"/>
          <w:sz w:val="24"/>
          <w:szCs w:val="24"/>
        </w:rPr>
      </w:pPr>
    </w:p>
    <w:p w14:paraId="5C34D12D" w14:textId="0539CFCB" w:rsidR="0029571D" w:rsidRDefault="00A81444" w:rsidP="00E634D4">
      <w:pPr>
        <w:spacing w:line="360" w:lineRule="auto"/>
        <w:ind w:firstLine="851"/>
        <w:jc w:val="both"/>
        <w:rPr>
          <w:rFonts w:ascii="Arial" w:hAnsi="Arial" w:cs="Arial"/>
          <w:sz w:val="24"/>
          <w:szCs w:val="24"/>
        </w:rPr>
      </w:pPr>
      <w:r w:rsidRPr="00D441FA">
        <w:rPr>
          <w:rFonts w:ascii="Arial" w:hAnsi="Arial" w:cs="Arial"/>
          <w:sz w:val="24"/>
          <w:szCs w:val="24"/>
        </w:rPr>
        <w:t>Não obstante, todo</w:t>
      </w:r>
      <w:r w:rsidR="00EF6F23" w:rsidRPr="00D441FA">
        <w:rPr>
          <w:rFonts w:ascii="Arial" w:hAnsi="Arial" w:cs="Arial"/>
          <w:sz w:val="24"/>
          <w:szCs w:val="24"/>
        </w:rPr>
        <w:t>s</w:t>
      </w:r>
      <w:r w:rsidRPr="00D441FA">
        <w:rPr>
          <w:rFonts w:ascii="Arial" w:hAnsi="Arial" w:cs="Arial"/>
          <w:sz w:val="24"/>
          <w:szCs w:val="24"/>
        </w:rPr>
        <w:t xml:space="preserve"> </w:t>
      </w:r>
      <w:r w:rsidR="00134C2A">
        <w:rPr>
          <w:rFonts w:ascii="Arial" w:hAnsi="Arial" w:cs="Arial"/>
          <w:sz w:val="24"/>
          <w:szCs w:val="24"/>
        </w:rPr>
        <w:t>os</w:t>
      </w:r>
      <w:r w:rsidRPr="00D441FA">
        <w:rPr>
          <w:rFonts w:ascii="Arial" w:hAnsi="Arial" w:cs="Arial"/>
          <w:sz w:val="24"/>
          <w:szCs w:val="24"/>
        </w:rPr>
        <w:t xml:space="preserve"> decretos</w:t>
      </w:r>
      <w:r w:rsidR="00134C2A">
        <w:rPr>
          <w:rFonts w:ascii="Arial" w:hAnsi="Arial" w:cs="Arial"/>
          <w:sz w:val="24"/>
          <w:szCs w:val="24"/>
        </w:rPr>
        <w:t xml:space="preserve"> mencionados, das 3 (três) categorias,</w:t>
      </w:r>
      <w:r w:rsidRPr="00D441FA">
        <w:rPr>
          <w:rFonts w:ascii="Arial" w:hAnsi="Arial" w:cs="Arial"/>
          <w:sz w:val="24"/>
          <w:szCs w:val="24"/>
        </w:rPr>
        <w:t xml:space="preserve"> foram convalidados pela Lei nº 20.367/2018</w:t>
      </w:r>
      <w:r>
        <w:rPr>
          <w:rFonts w:ascii="Arial" w:hAnsi="Arial" w:cs="Arial"/>
          <w:sz w:val="24"/>
          <w:szCs w:val="24"/>
        </w:rPr>
        <w:t>, editada por força da Lei Complementar federal nº 160/2017</w:t>
      </w:r>
      <w:r w:rsidR="003A403B">
        <w:rPr>
          <w:rFonts w:ascii="Arial" w:hAnsi="Arial" w:cs="Arial"/>
          <w:sz w:val="24"/>
          <w:szCs w:val="24"/>
        </w:rPr>
        <w:t>. A princípio, aquela lei estadual fora edita</w:t>
      </w:r>
      <w:r w:rsidR="00AA0288">
        <w:rPr>
          <w:rFonts w:ascii="Arial" w:hAnsi="Arial" w:cs="Arial"/>
          <w:sz w:val="24"/>
          <w:szCs w:val="24"/>
        </w:rPr>
        <w:t>da</w:t>
      </w:r>
      <w:r w:rsidR="003A403B">
        <w:rPr>
          <w:rFonts w:ascii="Arial" w:hAnsi="Arial" w:cs="Arial"/>
          <w:sz w:val="24"/>
          <w:szCs w:val="24"/>
        </w:rPr>
        <w:t xml:space="preserve"> para convalidar incentivos fiscais relativamente ao ICMS concedidos irregularmente por ausência de prévio convênio autorizativo do CONFAZ, porém se aproveitou o ensejo para regularizar uma série de incentivos fiscais também sob o aspecto da legalidade, </w:t>
      </w:r>
      <w:r w:rsidR="00134C2A">
        <w:rPr>
          <w:rFonts w:ascii="Arial" w:hAnsi="Arial" w:cs="Arial"/>
          <w:sz w:val="24"/>
          <w:szCs w:val="24"/>
        </w:rPr>
        <w:t>porquanto</w:t>
      </w:r>
      <w:r w:rsidR="003A403B">
        <w:rPr>
          <w:rFonts w:ascii="Arial" w:hAnsi="Arial" w:cs="Arial"/>
          <w:sz w:val="24"/>
          <w:szCs w:val="24"/>
        </w:rPr>
        <w:t xml:space="preserve"> </w:t>
      </w:r>
      <w:r w:rsidR="00134C2A">
        <w:rPr>
          <w:rFonts w:ascii="Arial" w:hAnsi="Arial" w:cs="Arial"/>
          <w:sz w:val="24"/>
          <w:szCs w:val="24"/>
        </w:rPr>
        <w:t>vários deles</w:t>
      </w:r>
      <w:r w:rsidR="003A403B">
        <w:rPr>
          <w:rFonts w:ascii="Arial" w:hAnsi="Arial" w:cs="Arial"/>
          <w:sz w:val="24"/>
          <w:szCs w:val="24"/>
        </w:rPr>
        <w:t xml:space="preserve"> </w:t>
      </w:r>
      <w:r w:rsidR="00134C2A">
        <w:rPr>
          <w:rFonts w:ascii="Arial" w:hAnsi="Arial" w:cs="Arial"/>
          <w:sz w:val="24"/>
          <w:szCs w:val="24"/>
        </w:rPr>
        <w:t xml:space="preserve">haviam sido </w:t>
      </w:r>
      <w:r w:rsidR="003A403B">
        <w:rPr>
          <w:rFonts w:ascii="Arial" w:hAnsi="Arial" w:cs="Arial"/>
          <w:sz w:val="24"/>
          <w:szCs w:val="24"/>
        </w:rPr>
        <w:t>concedidos por mero decreto</w:t>
      </w:r>
      <w:r w:rsidR="00134C2A">
        <w:rPr>
          <w:rFonts w:ascii="Arial" w:hAnsi="Arial" w:cs="Arial"/>
          <w:sz w:val="24"/>
          <w:szCs w:val="24"/>
        </w:rPr>
        <w:t xml:space="preserve"> governamental</w:t>
      </w:r>
      <w:r w:rsidR="003A403B">
        <w:rPr>
          <w:rFonts w:ascii="Arial" w:hAnsi="Arial" w:cs="Arial"/>
          <w:sz w:val="24"/>
          <w:szCs w:val="24"/>
        </w:rPr>
        <w:t xml:space="preserve">. </w:t>
      </w:r>
    </w:p>
    <w:p w14:paraId="55B9E9B6" w14:textId="77777777" w:rsidR="007E7B8A" w:rsidRDefault="007E7B8A" w:rsidP="007E7B8A">
      <w:pPr>
        <w:spacing w:line="360" w:lineRule="auto"/>
        <w:ind w:firstLine="851"/>
        <w:jc w:val="both"/>
        <w:rPr>
          <w:rFonts w:ascii="Arial" w:hAnsi="Arial" w:cs="Arial"/>
          <w:b/>
          <w:sz w:val="24"/>
          <w:szCs w:val="24"/>
          <w:u w:val="single"/>
        </w:rPr>
      </w:pPr>
    </w:p>
    <w:p w14:paraId="1CE875EA" w14:textId="12FCFF21" w:rsidR="007E7B8A" w:rsidRDefault="007E7B8A" w:rsidP="007E7B8A">
      <w:pPr>
        <w:spacing w:line="360" w:lineRule="auto"/>
        <w:ind w:firstLine="851"/>
        <w:jc w:val="both"/>
        <w:rPr>
          <w:rFonts w:ascii="Arial" w:hAnsi="Arial" w:cs="Arial"/>
          <w:b/>
          <w:sz w:val="24"/>
          <w:szCs w:val="24"/>
          <w:u w:val="single"/>
        </w:rPr>
      </w:pPr>
      <w:r w:rsidRPr="000D6AC8">
        <w:rPr>
          <w:rFonts w:ascii="Arial" w:hAnsi="Arial" w:cs="Arial"/>
          <w:b/>
          <w:sz w:val="24"/>
          <w:szCs w:val="24"/>
          <w:u w:val="single"/>
        </w:rPr>
        <w:t>5.2.</w:t>
      </w:r>
      <w:r w:rsidR="00701956">
        <w:rPr>
          <w:rFonts w:ascii="Arial" w:hAnsi="Arial" w:cs="Arial"/>
          <w:b/>
          <w:sz w:val="24"/>
          <w:szCs w:val="24"/>
          <w:u w:val="single"/>
        </w:rPr>
        <w:t>2</w:t>
      </w:r>
      <w:r w:rsidRPr="000D6AC8">
        <w:rPr>
          <w:rFonts w:ascii="Arial" w:hAnsi="Arial" w:cs="Arial"/>
          <w:b/>
          <w:sz w:val="24"/>
          <w:szCs w:val="24"/>
          <w:u w:val="single"/>
        </w:rPr>
        <w:t xml:space="preserve"> –</w:t>
      </w:r>
      <w:r w:rsidR="00884257">
        <w:rPr>
          <w:rFonts w:ascii="Arial" w:hAnsi="Arial" w:cs="Arial"/>
          <w:b/>
          <w:sz w:val="24"/>
          <w:szCs w:val="24"/>
          <w:u w:val="single"/>
        </w:rPr>
        <w:t xml:space="preserve"> P</w:t>
      </w:r>
      <w:r>
        <w:rPr>
          <w:rFonts w:ascii="Arial" w:hAnsi="Arial" w:cs="Arial"/>
          <w:b/>
          <w:sz w:val="24"/>
          <w:szCs w:val="24"/>
          <w:u w:val="single"/>
        </w:rPr>
        <w:t>rincipais decretos governamentais publicados</w:t>
      </w:r>
      <w:r w:rsidRPr="000D6AC8">
        <w:rPr>
          <w:rFonts w:ascii="Arial" w:hAnsi="Arial" w:cs="Arial"/>
          <w:b/>
          <w:sz w:val="24"/>
          <w:szCs w:val="24"/>
          <w:u w:val="single"/>
        </w:rPr>
        <w:t xml:space="preserve"> </w:t>
      </w:r>
      <w:r>
        <w:rPr>
          <w:rFonts w:ascii="Arial" w:hAnsi="Arial" w:cs="Arial"/>
          <w:b/>
          <w:sz w:val="24"/>
          <w:szCs w:val="24"/>
          <w:u w:val="single"/>
        </w:rPr>
        <w:t>em</w:t>
      </w:r>
      <w:r w:rsidRPr="000D6AC8">
        <w:rPr>
          <w:rFonts w:ascii="Arial" w:hAnsi="Arial" w:cs="Arial"/>
          <w:b/>
          <w:sz w:val="24"/>
          <w:szCs w:val="24"/>
          <w:u w:val="single"/>
        </w:rPr>
        <w:t xml:space="preserve"> 201</w:t>
      </w:r>
      <w:r>
        <w:rPr>
          <w:rFonts w:ascii="Arial" w:hAnsi="Arial" w:cs="Arial"/>
          <w:b/>
          <w:sz w:val="24"/>
          <w:szCs w:val="24"/>
          <w:u w:val="single"/>
        </w:rPr>
        <w:t>9 em matéria de incentivos fiscais em desacordo com o princípio da legalidade</w:t>
      </w:r>
    </w:p>
    <w:p w14:paraId="2F5B4238" w14:textId="77777777" w:rsidR="00043A6C" w:rsidRDefault="00043A6C" w:rsidP="00E634D4">
      <w:pPr>
        <w:spacing w:line="360" w:lineRule="auto"/>
        <w:ind w:firstLine="851"/>
        <w:jc w:val="both"/>
        <w:rPr>
          <w:rFonts w:ascii="Arial" w:hAnsi="Arial" w:cs="Arial"/>
          <w:sz w:val="24"/>
          <w:szCs w:val="24"/>
        </w:rPr>
      </w:pPr>
    </w:p>
    <w:p w14:paraId="2819A989" w14:textId="7BD2D202" w:rsidR="00A81444" w:rsidRDefault="003A403B" w:rsidP="00E634D4">
      <w:pPr>
        <w:spacing w:line="360" w:lineRule="auto"/>
        <w:ind w:firstLine="851"/>
        <w:jc w:val="both"/>
        <w:rPr>
          <w:rFonts w:ascii="Arial" w:hAnsi="Arial" w:cs="Arial"/>
          <w:sz w:val="24"/>
          <w:szCs w:val="24"/>
        </w:rPr>
      </w:pPr>
      <w:r w:rsidRPr="0014127A">
        <w:rPr>
          <w:rFonts w:ascii="Arial" w:hAnsi="Arial" w:cs="Arial"/>
          <w:b/>
          <w:sz w:val="24"/>
          <w:szCs w:val="24"/>
        </w:rPr>
        <w:t xml:space="preserve">A Lei nº 20.367/2018 </w:t>
      </w:r>
      <w:r w:rsidR="004F28B0" w:rsidRPr="0014127A">
        <w:rPr>
          <w:rFonts w:ascii="Arial" w:hAnsi="Arial" w:cs="Arial"/>
          <w:b/>
          <w:sz w:val="24"/>
          <w:szCs w:val="24"/>
        </w:rPr>
        <w:t>acabou por</w:t>
      </w:r>
      <w:r w:rsidRPr="0014127A">
        <w:rPr>
          <w:rFonts w:ascii="Arial" w:hAnsi="Arial" w:cs="Arial"/>
          <w:b/>
          <w:sz w:val="24"/>
          <w:szCs w:val="24"/>
        </w:rPr>
        <w:t xml:space="preserve"> convalidar, </w:t>
      </w:r>
      <w:r w:rsidR="004F28B0" w:rsidRPr="0014127A">
        <w:rPr>
          <w:rFonts w:ascii="Arial" w:hAnsi="Arial" w:cs="Arial"/>
          <w:b/>
          <w:sz w:val="24"/>
          <w:szCs w:val="24"/>
        </w:rPr>
        <w:t>como mencionado</w:t>
      </w:r>
      <w:r w:rsidRPr="0014127A">
        <w:rPr>
          <w:rFonts w:ascii="Arial" w:hAnsi="Arial" w:cs="Arial"/>
          <w:b/>
          <w:sz w:val="24"/>
          <w:szCs w:val="24"/>
        </w:rPr>
        <w:t>, v</w:t>
      </w:r>
      <w:r w:rsidR="000936B8" w:rsidRPr="0014127A">
        <w:rPr>
          <w:rFonts w:ascii="Arial" w:hAnsi="Arial" w:cs="Arial"/>
          <w:b/>
          <w:sz w:val="24"/>
          <w:szCs w:val="24"/>
        </w:rPr>
        <w:t>ícios de 2 (duas) ordens</w:t>
      </w:r>
      <w:r w:rsidR="000936B8">
        <w:rPr>
          <w:rFonts w:ascii="Arial" w:hAnsi="Arial" w:cs="Arial"/>
          <w:sz w:val="24"/>
          <w:szCs w:val="24"/>
        </w:rPr>
        <w:t xml:space="preserve">, a saber, </w:t>
      </w:r>
      <w:r w:rsidR="0029571D">
        <w:rPr>
          <w:rFonts w:ascii="Arial" w:hAnsi="Arial" w:cs="Arial"/>
          <w:sz w:val="24"/>
          <w:szCs w:val="24"/>
        </w:rPr>
        <w:t xml:space="preserve">a </w:t>
      </w:r>
      <w:r w:rsidR="000936B8" w:rsidRPr="0014127A">
        <w:rPr>
          <w:rFonts w:ascii="Arial" w:hAnsi="Arial" w:cs="Arial"/>
          <w:sz w:val="24"/>
          <w:szCs w:val="24"/>
          <w:u w:val="single"/>
        </w:rPr>
        <w:t>ausência de lei específica</w:t>
      </w:r>
      <w:r w:rsidR="000936B8">
        <w:rPr>
          <w:rFonts w:ascii="Arial" w:hAnsi="Arial" w:cs="Arial"/>
          <w:sz w:val="24"/>
          <w:szCs w:val="24"/>
        </w:rPr>
        <w:t xml:space="preserve"> e </w:t>
      </w:r>
      <w:r w:rsidR="0029571D">
        <w:rPr>
          <w:rFonts w:ascii="Arial" w:hAnsi="Arial" w:cs="Arial"/>
          <w:sz w:val="24"/>
          <w:szCs w:val="24"/>
        </w:rPr>
        <w:t xml:space="preserve">também </w:t>
      </w:r>
      <w:r w:rsidR="000936B8">
        <w:rPr>
          <w:rFonts w:ascii="Arial" w:hAnsi="Arial" w:cs="Arial"/>
          <w:sz w:val="24"/>
          <w:szCs w:val="24"/>
        </w:rPr>
        <w:t>de</w:t>
      </w:r>
      <w:r w:rsidR="0029571D">
        <w:rPr>
          <w:rFonts w:ascii="Arial" w:hAnsi="Arial" w:cs="Arial"/>
          <w:sz w:val="24"/>
          <w:szCs w:val="24"/>
        </w:rPr>
        <w:t xml:space="preserve"> </w:t>
      </w:r>
      <w:r w:rsidR="0029571D" w:rsidRPr="0014127A">
        <w:rPr>
          <w:rFonts w:ascii="Arial" w:hAnsi="Arial" w:cs="Arial"/>
          <w:sz w:val="24"/>
          <w:szCs w:val="24"/>
          <w:u w:val="single"/>
        </w:rPr>
        <w:t>prévio</w:t>
      </w:r>
      <w:r w:rsidR="000936B8" w:rsidRPr="0014127A">
        <w:rPr>
          <w:rFonts w:ascii="Arial" w:hAnsi="Arial" w:cs="Arial"/>
          <w:sz w:val="24"/>
          <w:szCs w:val="24"/>
          <w:u w:val="single"/>
        </w:rPr>
        <w:t xml:space="preserve"> convênio </w:t>
      </w:r>
      <w:r w:rsidR="0029571D" w:rsidRPr="0014127A">
        <w:rPr>
          <w:rFonts w:ascii="Arial" w:hAnsi="Arial" w:cs="Arial"/>
          <w:sz w:val="24"/>
          <w:szCs w:val="24"/>
          <w:u w:val="single"/>
        </w:rPr>
        <w:t xml:space="preserve">autorizativo celebrado no âmbito do </w:t>
      </w:r>
      <w:r w:rsidR="000936B8" w:rsidRPr="0014127A">
        <w:rPr>
          <w:rFonts w:ascii="Arial" w:hAnsi="Arial" w:cs="Arial"/>
          <w:sz w:val="24"/>
          <w:szCs w:val="24"/>
          <w:u w:val="single"/>
        </w:rPr>
        <w:t>Confaz</w:t>
      </w:r>
      <w:r w:rsidR="0014127A">
        <w:rPr>
          <w:rFonts w:ascii="Arial" w:hAnsi="Arial" w:cs="Arial"/>
          <w:sz w:val="24"/>
          <w:szCs w:val="24"/>
        </w:rPr>
        <w:t>, nesse último caso por autorização da LC nº 160/2017</w:t>
      </w:r>
      <w:r w:rsidR="000936B8">
        <w:rPr>
          <w:rFonts w:ascii="Arial" w:hAnsi="Arial" w:cs="Arial"/>
          <w:sz w:val="24"/>
          <w:szCs w:val="24"/>
        </w:rPr>
        <w:t>.</w:t>
      </w:r>
      <w:r w:rsidR="0029571D">
        <w:rPr>
          <w:rFonts w:ascii="Arial" w:hAnsi="Arial" w:cs="Arial"/>
          <w:sz w:val="24"/>
          <w:szCs w:val="24"/>
        </w:rPr>
        <w:t xml:space="preserve"> Essa extensa legislação ora convalidada estava em situação de manifesta irregularidade, sob a ótica constitucional, e sobre ela repousa a grande parte dos incentivos fiscais </w:t>
      </w:r>
      <w:r w:rsidR="00F36BAD">
        <w:rPr>
          <w:rFonts w:ascii="Arial" w:hAnsi="Arial" w:cs="Arial"/>
          <w:sz w:val="24"/>
          <w:szCs w:val="24"/>
        </w:rPr>
        <w:t xml:space="preserve">até </w:t>
      </w:r>
      <w:r w:rsidR="0029571D">
        <w:rPr>
          <w:rFonts w:ascii="Arial" w:hAnsi="Arial" w:cs="Arial"/>
          <w:sz w:val="24"/>
          <w:szCs w:val="24"/>
        </w:rPr>
        <w:t>hoje vigentes no Estado de Goiás.</w:t>
      </w:r>
    </w:p>
    <w:p w14:paraId="6E7A56BB" w14:textId="30D12063" w:rsidR="00232B8F" w:rsidRDefault="00893048" w:rsidP="00E634D4">
      <w:pPr>
        <w:spacing w:line="360" w:lineRule="auto"/>
        <w:ind w:firstLine="851"/>
        <w:jc w:val="both"/>
        <w:rPr>
          <w:rFonts w:ascii="Arial" w:hAnsi="Arial" w:cs="Arial"/>
          <w:sz w:val="24"/>
          <w:szCs w:val="24"/>
        </w:rPr>
      </w:pPr>
      <w:r>
        <w:rPr>
          <w:rFonts w:ascii="Arial" w:hAnsi="Arial" w:cs="Arial"/>
          <w:sz w:val="24"/>
          <w:szCs w:val="24"/>
        </w:rPr>
        <w:t xml:space="preserve">Poder-se-ia dizer, após referida convalidação, </w:t>
      </w:r>
      <w:r w:rsidR="000E257B">
        <w:rPr>
          <w:rFonts w:ascii="Arial" w:hAnsi="Arial" w:cs="Arial"/>
          <w:sz w:val="24"/>
          <w:szCs w:val="24"/>
        </w:rPr>
        <w:t xml:space="preserve">que </w:t>
      </w:r>
      <w:r>
        <w:rPr>
          <w:rFonts w:ascii="Arial" w:hAnsi="Arial" w:cs="Arial"/>
          <w:sz w:val="24"/>
          <w:szCs w:val="24"/>
        </w:rPr>
        <w:t>os vícios até então existentes foram definitivamente sanados,</w:t>
      </w:r>
      <w:r w:rsidR="000A372C">
        <w:rPr>
          <w:rFonts w:ascii="Arial" w:hAnsi="Arial" w:cs="Arial"/>
          <w:sz w:val="24"/>
          <w:szCs w:val="24"/>
        </w:rPr>
        <w:t xml:space="preserve"> e que se iniciaria, portanto, uma nova prática em matéria de concessão de incentivos fiscais à luz do princípio da legalidade; porém,</w:t>
      </w:r>
      <w:r w:rsidR="00D505EA">
        <w:rPr>
          <w:rFonts w:ascii="Arial" w:hAnsi="Arial" w:cs="Arial"/>
          <w:sz w:val="24"/>
          <w:szCs w:val="24"/>
        </w:rPr>
        <w:t xml:space="preserve"> não é isso que se observa.</w:t>
      </w:r>
    </w:p>
    <w:p w14:paraId="74DE9B15" w14:textId="3C5C1593" w:rsidR="00893048" w:rsidRDefault="00893048" w:rsidP="00E634D4">
      <w:pPr>
        <w:spacing w:line="360" w:lineRule="auto"/>
        <w:ind w:firstLine="851"/>
        <w:jc w:val="both"/>
        <w:rPr>
          <w:rFonts w:ascii="Arial" w:hAnsi="Arial" w:cs="Arial"/>
          <w:sz w:val="24"/>
          <w:szCs w:val="24"/>
        </w:rPr>
      </w:pPr>
      <w:r w:rsidRPr="005074A0">
        <w:rPr>
          <w:rFonts w:ascii="Arial" w:hAnsi="Arial" w:cs="Arial"/>
          <w:b/>
          <w:sz w:val="24"/>
          <w:szCs w:val="24"/>
        </w:rPr>
        <w:t xml:space="preserve">Em pleno ano de 2019, </w:t>
      </w:r>
      <w:r w:rsidR="009461A3" w:rsidRPr="005074A0">
        <w:rPr>
          <w:rFonts w:ascii="Arial" w:hAnsi="Arial" w:cs="Arial"/>
          <w:b/>
          <w:sz w:val="24"/>
          <w:szCs w:val="24"/>
        </w:rPr>
        <w:t xml:space="preserve">o </w:t>
      </w:r>
      <w:r w:rsidR="00043A6C" w:rsidRPr="005074A0">
        <w:rPr>
          <w:rFonts w:ascii="Arial" w:hAnsi="Arial" w:cs="Arial"/>
          <w:b/>
          <w:sz w:val="24"/>
          <w:szCs w:val="24"/>
        </w:rPr>
        <w:t xml:space="preserve">Chefe do Poder </w:t>
      </w:r>
      <w:r w:rsidR="009461A3" w:rsidRPr="005074A0">
        <w:rPr>
          <w:rFonts w:ascii="Arial" w:hAnsi="Arial" w:cs="Arial"/>
          <w:b/>
          <w:sz w:val="24"/>
          <w:szCs w:val="24"/>
        </w:rPr>
        <w:t xml:space="preserve">Executivo continua a editar decretos </w:t>
      </w:r>
      <w:r w:rsidR="00CD709B" w:rsidRPr="005074A0">
        <w:rPr>
          <w:rFonts w:ascii="Arial" w:hAnsi="Arial" w:cs="Arial"/>
          <w:b/>
          <w:sz w:val="24"/>
          <w:szCs w:val="24"/>
        </w:rPr>
        <w:t>com conteúdo autônomo de concessão de incentivos fiscais</w:t>
      </w:r>
      <w:r w:rsidR="00CD709B" w:rsidRPr="005074A0">
        <w:rPr>
          <w:rFonts w:ascii="Arial" w:hAnsi="Arial" w:cs="Arial"/>
          <w:sz w:val="24"/>
          <w:szCs w:val="24"/>
        </w:rPr>
        <w:t xml:space="preserve">, </w:t>
      </w:r>
      <w:r w:rsidR="00232B8F" w:rsidRPr="005074A0">
        <w:rPr>
          <w:rFonts w:ascii="Arial" w:hAnsi="Arial" w:cs="Arial"/>
          <w:sz w:val="24"/>
          <w:szCs w:val="24"/>
        </w:rPr>
        <w:t>sobretudo com a finalidade de internalizar incentivos fiscais objeto de recentes convênios autorizativos celebrados no âmbito do Confaz, c</w:t>
      </w:r>
      <w:r w:rsidR="00CD709B" w:rsidRPr="005074A0">
        <w:rPr>
          <w:rFonts w:ascii="Arial" w:hAnsi="Arial" w:cs="Arial"/>
          <w:sz w:val="24"/>
          <w:szCs w:val="24"/>
        </w:rPr>
        <w:t>onforme se infere de rápida consulta ao sítio eletrônico da Casa Civil</w:t>
      </w:r>
      <w:r w:rsidR="00232B8F" w:rsidRPr="005074A0">
        <w:rPr>
          <w:rFonts w:ascii="Arial" w:hAnsi="Arial" w:cs="Arial"/>
          <w:sz w:val="24"/>
          <w:szCs w:val="24"/>
        </w:rPr>
        <w:t xml:space="preserve"> do Estado de Goiás</w:t>
      </w:r>
      <w:r w:rsidR="00CD709B" w:rsidRPr="005074A0">
        <w:rPr>
          <w:rFonts w:ascii="Arial" w:hAnsi="Arial" w:cs="Arial"/>
          <w:sz w:val="24"/>
          <w:szCs w:val="24"/>
        </w:rPr>
        <w:t>.</w:t>
      </w:r>
    </w:p>
    <w:p w14:paraId="38468A7B" w14:textId="40CD6048" w:rsidR="00B32CD6" w:rsidRDefault="002D426E" w:rsidP="00B32CD6">
      <w:pPr>
        <w:spacing w:line="360" w:lineRule="auto"/>
        <w:ind w:firstLine="851"/>
        <w:jc w:val="both"/>
        <w:rPr>
          <w:rFonts w:ascii="Arial" w:hAnsi="Arial" w:cs="Arial"/>
          <w:sz w:val="24"/>
          <w:szCs w:val="24"/>
        </w:rPr>
      </w:pPr>
      <w:r>
        <w:rPr>
          <w:rFonts w:ascii="Arial" w:hAnsi="Arial" w:cs="Arial"/>
          <w:sz w:val="24"/>
          <w:szCs w:val="24"/>
        </w:rPr>
        <w:lastRenderedPageBreak/>
        <w:t xml:space="preserve">Em razão dessa “cultura dos decretos”, por assim dizer, que vem persistindo ao longo de anos e governos, inclusive no atual, o Procurador do Ministério Público de Contas do Estado de Goiás (MPC/GO), </w:t>
      </w:r>
      <w:r w:rsidRPr="002D426E">
        <w:rPr>
          <w:rFonts w:ascii="Arial" w:hAnsi="Arial" w:cs="Arial"/>
          <w:sz w:val="24"/>
          <w:szCs w:val="24"/>
        </w:rPr>
        <w:t>Carlos Gustavo Silva Rodrigues</w:t>
      </w:r>
      <w:r>
        <w:rPr>
          <w:rFonts w:ascii="Arial" w:hAnsi="Arial" w:cs="Arial"/>
          <w:sz w:val="24"/>
          <w:szCs w:val="24"/>
        </w:rPr>
        <w:t xml:space="preserve">, expediu a </w:t>
      </w:r>
      <w:r w:rsidRPr="00CE2C7C">
        <w:rPr>
          <w:rFonts w:ascii="Arial" w:hAnsi="Arial" w:cs="Arial"/>
          <w:b/>
          <w:sz w:val="24"/>
          <w:szCs w:val="24"/>
        </w:rPr>
        <w:t>Recomendação nº 001/2019</w:t>
      </w:r>
      <w:r>
        <w:rPr>
          <w:rFonts w:ascii="Arial" w:hAnsi="Arial" w:cs="Arial"/>
          <w:sz w:val="24"/>
          <w:szCs w:val="24"/>
        </w:rPr>
        <w:t>, por meio do Ofício nº 009/2019-GPCR</w:t>
      </w:r>
      <w:r w:rsidR="00B32CD6">
        <w:rPr>
          <w:rStyle w:val="Refdenotaderodap"/>
          <w:rFonts w:ascii="Arial" w:hAnsi="Arial" w:cs="Arial"/>
          <w:sz w:val="24"/>
          <w:szCs w:val="24"/>
        </w:rPr>
        <w:footnoteReference w:id="28"/>
      </w:r>
      <w:r w:rsidR="00B32CD6">
        <w:rPr>
          <w:rFonts w:ascii="Arial" w:hAnsi="Arial" w:cs="Arial"/>
          <w:sz w:val="24"/>
          <w:szCs w:val="24"/>
        </w:rPr>
        <w:t>, no qual recomenda</w:t>
      </w:r>
      <w:r w:rsidR="00B84181">
        <w:rPr>
          <w:rFonts w:ascii="Arial" w:hAnsi="Arial" w:cs="Arial"/>
          <w:sz w:val="24"/>
          <w:szCs w:val="24"/>
        </w:rPr>
        <w:t xml:space="preserve"> </w:t>
      </w:r>
      <w:r w:rsidR="00B84181" w:rsidRPr="00B84181">
        <w:rPr>
          <w:rFonts w:ascii="Arial" w:hAnsi="Arial" w:cs="Arial"/>
          <w:sz w:val="24"/>
          <w:szCs w:val="24"/>
        </w:rPr>
        <w:t>ao Excelentíssimo Senhor Governador do Estado de Goiás e à Excelentíssima Senhora Secretária de Estado da Economia</w:t>
      </w:r>
      <w:r w:rsidR="00B32CD6">
        <w:rPr>
          <w:rFonts w:ascii="Arial" w:hAnsi="Arial" w:cs="Arial"/>
          <w:sz w:val="24"/>
          <w:szCs w:val="24"/>
        </w:rPr>
        <w:t>:</w:t>
      </w:r>
    </w:p>
    <w:p w14:paraId="194E25A0" w14:textId="77777777" w:rsidR="00B32CD6" w:rsidRDefault="00B32CD6" w:rsidP="00B32CD6">
      <w:pPr>
        <w:spacing w:line="360" w:lineRule="auto"/>
        <w:ind w:firstLine="851"/>
        <w:jc w:val="both"/>
        <w:rPr>
          <w:rFonts w:ascii="Arial" w:hAnsi="Arial" w:cs="Arial"/>
          <w:sz w:val="24"/>
          <w:szCs w:val="24"/>
        </w:rPr>
      </w:pPr>
    </w:p>
    <w:p w14:paraId="42961ECE" w14:textId="4FDFC058" w:rsidR="002D426E" w:rsidRDefault="00B84181" w:rsidP="00EF4DB8">
      <w:pPr>
        <w:ind w:left="2268"/>
        <w:jc w:val="both"/>
        <w:rPr>
          <w:rFonts w:ascii="Arial" w:hAnsi="Arial" w:cs="Arial"/>
          <w:sz w:val="22"/>
          <w:szCs w:val="22"/>
        </w:rPr>
      </w:pPr>
      <w:r>
        <w:rPr>
          <w:rFonts w:ascii="Arial" w:hAnsi="Arial" w:cs="Arial"/>
          <w:sz w:val="22"/>
          <w:szCs w:val="22"/>
        </w:rPr>
        <w:t xml:space="preserve">[...] </w:t>
      </w:r>
      <w:r w:rsidR="00B32CD6" w:rsidRPr="00B32CD6">
        <w:rPr>
          <w:rFonts w:ascii="Arial" w:hAnsi="Arial" w:cs="Arial"/>
          <w:sz w:val="22"/>
          <w:szCs w:val="22"/>
        </w:rPr>
        <w:t xml:space="preserve">que se abstenham de propor e editar decretos que versem sobre a concessão, ampliação ou prorrogação de incentivos ou benefícios fiscais do ICMS aprovados em convênios celebrados no âmbito do Conselho Nacional de Política Fazendária (Confaz), </w:t>
      </w:r>
      <w:r w:rsidR="00B32CD6" w:rsidRPr="00105247">
        <w:rPr>
          <w:rFonts w:ascii="Arial" w:hAnsi="Arial" w:cs="Arial"/>
          <w:b/>
          <w:sz w:val="22"/>
          <w:szCs w:val="22"/>
        </w:rPr>
        <w:t>sem prévia lei específica, admitido o decreto legislativo para conferir aplicabilidade local às disposições dos referidos convênios</w:t>
      </w:r>
      <w:r w:rsidR="00B32CD6" w:rsidRPr="00B32CD6">
        <w:rPr>
          <w:rFonts w:ascii="Arial" w:hAnsi="Arial" w:cs="Arial"/>
          <w:sz w:val="22"/>
          <w:szCs w:val="22"/>
        </w:rPr>
        <w:t>, e sem a estrita observância dos demais preceitos constitucionais e legais aplicáveis à matéria, incluindo a necessidade de demonstração do cumprimento dos requisitos e condições delineadas no art. 14 da LRF</w:t>
      </w:r>
      <w:r w:rsidR="00F61B0C">
        <w:rPr>
          <w:rFonts w:ascii="Arial" w:hAnsi="Arial" w:cs="Arial"/>
          <w:sz w:val="22"/>
          <w:szCs w:val="22"/>
        </w:rPr>
        <w:t>.</w:t>
      </w:r>
    </w:p>
    <w:p w14:paraId="55E2CE87" w14:textId="46CBB6E9" w:rsidR="005B5DD1" w:rsidRDefault="005B5DD1" w:rsidP="00EF4DB8">
      <w:pPr>
        <w:ind w:left="2268"/>
        <w:jc w:val="both"/>
        <w:rPr>
          <w:rFonts w:ascii="Arial" w:hAnsi="Arial" w:cs="Arial"/>
          <w:sz w:val="22"/>
          <w:szCs w:val="22"/>
        </w:rPr>
      </w:pPr>
      <w:r>
        <w:rPr>
          <w:rFonts w:ascii="Arial" w:hAnsi="Arial" w:cs="Arial"/>
          <w:sz w:val="22"/>
          <w:szCs w:val="22"/>
        </w:rPr>
        <w:t>[...].</w:t>
      </w:r>
      <w:r w:rsidR="009931C3">
        <w:rPr>
          <w:rFonts w:ascii="Arial" w:hAnsi="Arial" w:cs="Arial"/>
          <w:sz w:val="22"/>
          <w:szCs w:val="22"/>
        </w:rPr>
        <w:t xml:space="preserve"> (fl. 6 da Recomendação nº 001/2019</w:t>
      </w:r>
      <w:r w:rsidR="00105247">
        <w:rPr>
          <w:rFonts w:ascii="Arial" w:hAnsi="Arial" w:cs="Arial"/>
          <w:sz w:val="22"/>
          <w:szCs w:val="22"/>
        </w:rPr>
        <w:t>, grifou-se</w:t>
      </w:r>
      <w:r w:rsidR="009931C3">
        <w:rPr>
          <w:rFonts w:ascii="Arial" w:hAnsi="Arial" w:cs="Arial"/>
          <w:sz w:val="22"/>
          <w:szCs w:val="22"/>
        </w:rPr>
        <w:t>)</w:t>
      </w:r>
    </w:p>
    <w:p w14:paraId="174A6E16" w14:textId="77777777" w:rsidR="00B32CD6" w:rsidRDefault="00B32CD6" w:rsidP="00E634D4">
      <w:pPr>
        <w:spacing w:line="360" w:lineRule="auto"/>
        <w:ind w:firstLine="851"/>
        <w:jc w:val="both"/>
        <w:rPr>
          <w:rFonts w:ascii="Arial" w:hAnsi="Arial" w:cs="Arial"/>
          <w:sz w:val="24"/>
          <w:szCs w:val="24"/>
        </w:rPr>
      </w:pPr>
    </w:p>
    <w:p w14:paraId="56566CA6" w14:textId="470EC343" w:rsidR="00F61B0C" w:rsidRDefault="00CE2C7C" w:rsidP="00E634D4">
      <w:pPr>
        <w:spacing w:line="360" w:lineRule="auto"/>
        <w:ind w:firstLine="851"/>
        <w:jc w:val="both"/>
        <w:rPr>
          <w:rFonts w:ascii="Arial" w:hAnsi="Arial" w:cs="Arial"/>
          <w:sz w:val="24"/>
          <w:szCs w:val="24"/>
        </w:rPr>
      </w:pPr>
      <w:r>
        <w:rPr>
          <w:rFonts w:ascii="Arial" w:hAnsi="Arial" w:cs="Arial"/>
          <w:sz w:val="24"/>
          <w:szCs w:val="24"/>
        </w:rPr>
        <w:t>Mencionada recomendação destaca,</w:t>
      </w:r>
      <w:r w:rsidR="00F61B0C">
        <w:rPr>
          <w:rFonts w:ascii="Arial" w:hAnsi="Arial" w:cs="Arial"/>
          <w:sz w:val="24"/>
          <w:szCs w:val="24"/>
        </w:rPr>
        <w:t xml:space="preserve"> ainda, </w:t>
      </w:r>
      <w:r>
        <w:rPr>
          <w:rFonts w:ascii="Arial" w:hAnsi="Arial" w:cs="Arial"/>
          <w:sz w:val="24"/>
          <w:szCs w:val="24"/>
        </w:rPr>
        <w:t>que seu</w:t>
      </w:r>
      <w:r w:rsidR="00F61B0C">
        <w:rPr>
          <w:rFonts w:ascii="Arial" w:hAnsi="Arial" w:cs="Arial"/>
          <w:sz w:val="24"/>
          <w:szCs w:val="24"/>
        </w:rPr>
        <w:t xml:space="preserve"> </w:t>
      </w:r>
      <w:r w:rsidR="00F61B0C" w:rsidRPr="00CE2C7C">
        <w:rPr>
          <w:rFonts w:ascii="Arial" w:hAnsi="Arial" w:cs="Arial"/>
          <w:b/>
          <w:sz w:val="24"/>
          <w:szCs w:val="24"/>
        </w:rPr>
        <w:t>desatendimento</w:t>
      </w:r>
      <w:r w:rsidR="00F61B0C">
        <w:rPr>
          <w:rFonts w:ascii="Arial" w:hAnsi="Arial" w:cs="Arial"/>
          <w:sz w:val="24"/>
          <w:szCs w:val="24"/>
        </w:rPr>
        <w:t xml:space="preserve"> da “</w:t>
      </w:r>
      <w:r w:rsidR="00F61B0C" w:rsidRPr="00F61B0C">
        <w:rPr>
          <w:rFonts w:ascii="Arial" w:hAnsi="Arial" w:cs="Arial"/>
          <w:sz w:val="24"/>
          <w:szCs w:val="24"/>
        </w:rPr>
        <w:t>poderá ensejar a propositura de representação ao Tribunal de Contas do Estado de Goiás, nos termos do ar</w:t>
      </w:r>
      <w:r w:rsidR="00F61B0C">
        <w:rPr>
          <w:rFonts w:ascii="Arial" w:hAnsi="Arial" w:cs="Arial"/>
          <w:sz w:val="24"/>
          <w:szCs w:val="24"/>
        </w:rPr>
        <w:t>t. 91, V, da Lei n° 16.168/07 (L</w:t>
      </w:r>
      <w:r w:rsidR="00F61B0C" w:rsidRPr="00F61B0C">
        <w:rPr>
          <w:rFonts w:ascii="Arial" w:hAnsi="Arial" w:cs="Arial"/>
          <w:sz w:val="24"/>
          <w:szCs w:val="24"/>
        </w:rPr>
        <w:t>ei Orgânica do TCE/GO), e/ou ao Ministério Público competente pa</w:t>
      </w:r>
      <w:r w:rsidR="002D0D21">
        <w:rPr>
          <w:rFonts w:ascii="Arial" w:hAnsi="Arial" w:cs="Arial"/>
          <w:sz w:val="24"/>
          <w:szCs w:val="24"/>
        </w:rPr>
        <w:t>r</w:t>
      </w:r>
      <w:r w:rsidR="00F61B0C" w:rsidRPr="00F61B0C">
        <w:rPr>
          <w:rFonts w:ascii="Arial" w:hAnsi="Arial" w:cs="Arial"/>
          <w:sz w:val="24"/>
          <w:szCs w:val="24"/>
        </w:rPr>
        <w:t>a a propositura de ações judiciais cabíveis</w:t>
      </w:r>
      <w:r w:rsidR="00F61B0C">
        <w:rPr>
          <w:rFonts w:ascii="Arial" w:hAnsi="Arial" w:cs="Arial"/>
          <w:sz w:val="24"/>
          <w:szCs w:val="24"/>
        </w:rPr>
        <w:t>”.</w:t>
      </w:r>
    </w:p>
    <w:p w14:paraId="42DD3B75" w14:textId="28A80091" w:rsidR="000729EE" w:rsidRDefault="000729EE" w:rsidP="00E634D4">
      <w:pPr>
        <w:spacing w:line="360" w:lineRule="auto"/>
        <w:ind w:firstLine="851"/>
        <w:jc w:val="both"/>
        <w:rPr>
          <w:rFonts w:ascii="Arial" w:hAnsi="Arial" w:cs="Arial"/>
          <w:sz w:val="24"/>
          <w:szCs w:val="24"/>
        </w:rPr>
      </w:pPr>
      <w:r>
        <w:rPr>
          <w:rFonts w:ascii="Arial" w:hAnsi="Arial" w:cs="Arial"/>
          <w:sz w:val="24"/>
          <w:szCs w:val="24"/>
        </w:rPr>
        <w:t>A seguir, passa-se a mencionar os principais decretos</w:t>
      </w:r>
      <w:r w:rsidR="000913B3">
        <w:rPr>
          <w:rFonts w:ascii="Arial" w:hAnsi="Arial" w:cs="Arial"/>
          <w:sz w:val="24"/>
          <w:szCs w:val="24"/>
        </w:rPr>
        <w:t xml:space="preserve"> publicados em 2019 (ou a ele relacionados, ainda que publicados em anos anteriores)</w:t>
      </w:r>
      <w:r>
        <w:rPr>
          <w:rFonts w:ascii="Arial" w:hAnsi="Arial" w:cs="Arial"/>
          <w:sz w:val="24"/>
          <w:szCs w:val="24"/>
        </w:rPr>
        <w:t xml:space="preserve"> que</w:t>
      </w:r>
      <w:r w:rsidR="00921C01">
        <w:rPr>
          <w:rFonts w:ascii="Arial" w:hAnsi="Arial" w:cs="Arial"/>
          <w:sz w:val="24"/>
          <w:szCs w:val="24"/>
        </w:rPr>
        <w:t>, na avaliação desta CPI</w:t>
      </w:r>
      <w:r w:rsidR="0000792E">
        <w:rPr>
          <w:rFonts w:ascii="Arial" w:hAnsi="Arial" w:cs="Arial"/>
          <w:sz w:val="24"/>
          <w:szCs w:val="24"/>
        </w:rPr>
        <w:t xml:space="preserve"> – em consonância com referida </w:t>
      </w:r>
      <w:r w:rsidR="0000792E" w:rsidRPr="0000792E">
        <w:rPr>
          <w:rFonts w:ascii="Arial" w:hAnsi="Arial" w:cs="Arial"/>
          <w:sz w:val="24"/>
          <w:szCs w:val="24"/>
        </w:rPr>
        <w:t>Recomendação nº 001/2019</w:t>
      </w:r>
      <w:r w:rsidR="0000792E">
        <w:rPr>
          <w:rFonts w:ascii="Arial" w:hAnsi="Arial" w:cs="Arial"/>
          <w:sz w:val="24"/>
          <w:szCs w:val="24"/>
        </w:rPr>
        <w:t xml:space="preserve"> – </w:t>
      </w:r>
      <w:r>
        <w:rPr>
          <w:rFonts w:ascii="Arial" w:hAnsi="Arial" w:cs="Arial"/>
          <w:sz w:val="24"/>
          <w:szCs w:val="24"/>
        </w:rPr>
        <w:t>concederam ou prorrogaram incentivos fiscais em desacordo com o princípio da legalidade (CRFB, art. 150, § 6º; CE/GO, art. 102, § 5º).</w:t>
      </w:r>
    </w:p>
    <w:p w14:paraId="41FCF21A" w14:textId="63157128" w:rsidR="00A86C47" w:rsidRDefault="00A86C47" w:rsidP="00E634D4">
      <w:pPr>
        <w:spacing w:line="360" w:lineRule="auto"/>
        <w:ind w:firstLine="851"/>
        <w:jc w:val="both"/>
        <w:rPr>
          <w:rFonts w:ascii="Arial" w:hAnsi="Arial" w:cs="Arial"/>
          <w:sz w:val="24"/>
          <w:szCs w:val="24"/>
        </w:rPr>
      </w:pPr>
    </w:p>
    <w:p w14:paraId="48A30284" w14:textId="123A3927" w:rsidR="00A86C47" w:rsidRPr="00A86C47" w:rsidRDefault="00701956" w:rsidP="00E634D4">
      <w:pPr>
        <w:spacing w:line="360" w:lineRule="auto"/>
        <w:ind w:firstLine="851"/>
        <w:jc w:val="both"/>
        <w:rPr>
          <w:rFonts w:ascii="Arial" w:hAnsi="Arial" w:cs="Arial"/>
          <w:b/>
          <w:sz w:val="24"/>
          <w:szCs w:val="24"/>
        </w:rPr>
      </w:pPr>
      <w:r>
        <w:rPr>
          <w:rFonts w:ascii="Arial" w:hAnsi="Arial" w:cs="Arial"/>
          <w:b/>
          <w:sz w:val="24"/>
          <w:szCs w:val="24"/>
        </w:rPr>
        <w:t>5.2.2</w:t>
      </w:r>
      <w:r w:rsidR="00A86C47" w:rsidRPr="00A86C47">
        <w:rPr>
          <w:rFonts w:ascii="Arial" w:hAnsi="Arial" w:cs="Arial"/>
          <w:b/>
          <w:sz w:val="24"/>
          <w:szCs w:val="24"/>
        </w:rPr>
        <w:t xml:space="preserve">.1 – </w:t>
      </w:r>
      <w:r w:rsidR="007D137A">
        <w:rPr>
          <w:rFonts w:ascii="Arial" w:hAnsi="Arial" w:cs="Arial"/>
          <w:b/>
          <w:sz w:val="24"/>
          <w:szCs w:val="24"/>
        </w:rPr>
        <w:t xml:space="preserve">Operações de importação com determinados produtos – </w:t>
      </w:r>
      <w:r w:rsidR="00A86C47">
        <w:rPr>
          <w:rFonts w:ascii="Arial" w:hAnsi="Arial" w:cs="Arial"/>
          <w:b/>
          <w:sz w:val="24"/>
          <w:szCs w:val="24"/>
        </w:rPr>
        <w:t>Decreto</w:t>
      </w:r>
      <w:r w:rsidR="001A1632">
        <w:rPr>
          <w:rFonts w:ascii="Arial" w:hAnsi="Arial" w:cs="Arial"/>
          <w:b/>
          <w:sz w:val="24"/>
          <w:szCs w:val="24"/>
        </w:rPr>
        <w:t>s</w:t>
      </w:r>
      <w:r w:rsidR="00A86C47">
        <w:rPr>
          <w:rFonts w:ascii="Arial" w:hAnsi="Arial" w:cs="Arial"/>
          <w:b/>
          <w:sz w:val="24"/>
          <w:szCs w:val="24"/>
        </w:rPr>
        <w:t xml:space="preserve"> n</w:t>
      </w:r>
      <w:r w:rsidR="00AA0288" w:rsidRPr="00AA0288">
        <w:rPr>
          <w:rFonts w:ascii="Arial" w:hAnsi="Arial" w:cs="Arial"/>
          <w:b/>
          <w:sz w:val="24"/>
          <w:szCs w:val="24"/>
          <w:vertAlign w:val="superscript"/>
        </w:rPr>
        <w:t>o</w:t>
      </w:r>
      <w:r w:rsidR="001A1632" w:rsidRPr="00AA0288">
        <w:rPr>
          <w:rFonts w:ascii="Arial" w:hAnsi="Arial" w:cs="Arial"/>
          <w:b/>
          <w:sz w:val="24"/>
          <w:szCs w:val="24"/>
          <w:vertAlign w:val="superscript"/>
        </w:rPr>
        <w:t>s</w:t>
      </w:r>
      <w:r w:rsidR="00A86C47">
        <w:rPr>
          <w:rFonts w:ascii="Arial" w:hAnsi="Arial" w:cs="Arial"/>
          <w:b/>
          <w:sz w:val="24"/>
          <w:szCs w:val="24"/>
        </w:rPr>
        <w:t xml:space="preserve"> </w:t>
      </w:r>
      <w:r w:rsidR="007D137A">
        <w:rPr>
          <w:rFonts w:ascii="Arial" w:hAnsi="Arial" w:cs="Arial"/>
          <w:b/>
          <w:sz w:val="24"/>
          <w:szCs w:val="24"/>
        </w:rPr>
        <w:t>9.493</w:t>
      </w:r>
      <w:r w:rsidR="001A1632">
        <w:rPr>
          <w:rFonts w:ascii="Arial" w:hAnsi="Arial" w:cs="Arial"/>
          <w:b/>
          <w:sz w:val="24"/>
          <w:szCs w:val="24"/>
        </w:rPr>
        <w:t xml:space="preserve"> (</w:t>
      </w:r>
      <w:r w:rsidR="001A1632" w:rsidRPr="00A86C47">
        <w:rPr>
          <w:rFonts w:ascii="Arial" w:hAnsi="Arial" w:cs="Arial"/>
          <w:b/>
          <w:sz w:val="24"/>
          <w:szCs w:val="24"/>
        </w:rPr>
        <w:t xml:space="preserve">D.O. </w:t>
      </w:r>
      <w:r w:rsidR="001A1632">
        <w:rPr>
          <w:rFonts w:ascii="Arial" w:hAnsi="Arial" w:cs="Arial"/>
          <w:b/>
          <w:sz w:val="24"/>
          <w:szCs w:val="24"/>
        </w:rPr>
        <w:t>12-08</w:t>
      </w:r>
      <w:r w:rsidR="001A1632" w:rsidRPr="00A86C47">
        <w:rPr>
          <w:rFonts w:ascii="Arial" w:hAnsi="Arial" w:cs="Arial"/>
          <w:b/>
          <w:sz w:val="24"/>
          <w:szCs w:val="24"/>
        </w:rPr>
        <w:t>-2019)</w:t>
      </w:r>
      <w:r w:rsidR="001A1632">
        <w:rPr>
          <w:rFonts w:ascii="Arial" w:hAnsi="Arial" w:cs="Arial"/>
          <w:b/>
          <w:sz w:val="24"/>
          <w:szCs w:val="24"/>
        </w:rPr>
        <w:t xml:space="preserve"> e 9.588 (</w:t>
      </w:r>
      <w:r w:rsidR="001A1632" w:rsidRPr="00A86C47">
        <w:rPr>
          <w:rFonts w:ascii="Arial" w:hAnsi="Arial" w:cs="Arial"/>
          <w:b/>
          <w:sz w:val="24"/>
          <w:szCs w:val="24"/>
        </w:rPr>
        <w:t>D.O. 27-12-2019)</w:t>
      </w:r>
    </w:p>
    <w:p w14:paraId="0A1CA91C" w14:textId="793149E3" w:rsidR="00A86C47" w:rsidRDefault="00A86C47" w:rsidP="00E634D4">
      <w:pPr>
        <w:spacing w:line="360" w:lineRule="auto"/>
        <w:ind w:firstLine="851"/>
        <w:jc w:val="both"/>
        <w:rPr>
          <w:rFonts w:ascii="Arial" w:hAnsi="Arial" w:cs="Arial"/>
          <w:sz w:val="24"/>
          <w:szCs w:val="24"/>
        </w:rPr>
      </w:pPr>
    </w:p>
    <w:p w14:paraId="72EC8611" w14:textId="0E141690" w:rsidR="00921C01" w:rsidRDefault="00921C01" w:rsidP="00E634D4">
      <w:pPr>
        <w:spacing w:line="360" w:lineRule="auto"/>
        <w:ind w:firstLine="851"/>
        <w:jc w:val="both"/>
        <w:rPr>
          <w:rFonts w:ascii="Arial" w:hAnsi="Arial" w:cs="Arial"/>
          <w:sz w:val="24"/>
          <w:szCs w:val="24"/>
        </w:rPr>
      </w:pPr>
      <w:r w:rsidRPr="00885124">
        <w:rPr>
          <w:rFonts w:ascii="Arial" w:hAnsi="Arial" w:cs="Arial"/>
          <w:sz w:val="24"/>
          <w:szCs w:val="24"/>
          <w:u w:val="single"/>
        </w:rPr>
        <w:t>O</w:t>
      </w:r>
      <w:r w:rsidR="001A1632" w:rsidRPr="00885124">
        <w:rPr>
          <w:rFonts w:ascii="Arial" w:hAnsi="Arial" w:cs="Arial"/>
          <w:sz w:val="24"/>
          <w:szCs w:val="24"/>
          <w:u w:val="single"/>
        </w:rPr>
        <w:t xml:space="preserve"> Decreto nº 9.493/2019 inseriu no</w:t>
      </w:r>
      <w:r w:rsidRPr="00885124">
        <w:rPr>
          <w:rFonts w:ascii="Arial" w:hAnsi="Arial" w:cs="Arial"/>
          <w:sz w:val="24"/>
          <w:szCs w:val="24"/>
          <w:u w:val="single"/>
        </w:rPr>
        <w:t xml:space="preserve"> art. 7º</w:t>
      </w:r>
      <w:r w:rsidR="001A1632" w:rsidRPr="00885124">
        <w:rPr>
          <w:rFonts w:ascii="Arial" w:hAnsi="Arial" w:cs="Arial"/>
          <w:sz w:val="24"/>
          <w:szCs w:val="24"/>
          <w:u w:val="single"/>
        </w:rPr>
        <w:t xml:space="preserve"> </w:t>
      </w:r>
      <w:r w:rsidRPr="00885124">
        <w:rPr>
          <w:rFonts w:ascii="Arial" w:hAnsi="Arial" w:cs="Arial"/>
          <w:sz w:val="24"/>
          <w:szCs w:val="24"/>
          <w:u w:val="single"/>
        </w:rPr>
        <w:t xml:space="preserve">do RTCE </w:t>
      </w:r>
      <w:r w:rsidR="001A1632" w:rsidRPr="00885124">
        <w:rPr>
          <w:rFonts w:ascii="Arial" w:hAnsi="Arial" w:cs="Arial"/>
          <w:sz w:val="24"/>
          <w:szCs w:val="24"/>
          <w:u w:val="single"/>
        </w:rPr>
        <w:t>nova hipótese</w:t>
      </w:r>
      <w:r w:rsidRPr="00885124">
        <w:rPr>
          <w:rFonts w:ascii="Arial" w:hAnsi="Arial" w:cs="Arial"/>
          <w:sz w:val="24"/>
          <w:szCs w:val="24"/>
          <w:u w:val="single"/>
        </w:rPr>
        <w:t xml:space="preserve"> </w:t>
      </w:r>
      <w:r w:rsidR="001A1632" w:rsidRPr="00885124">
        <w:rPr>
          <w:rFonts w:ascii="Arial" w:hAnsi="Arial" w:cs="Arial"/>
          <w:sz w:val="24"/>
          <w:szCs w:val="24"/>
          <w:u w:val="single"/>
        </w:rPr>
        <w:t xml:space="preserve">de </w:t>
      </w:r>
      <w:r w:rsidRPr="00885124">
        <w:rPr>
          <w:rFonts w:ascii="Arial" w:hAnsi="Arial" w:cs="Arial"/>
          <w:sz w:val="24"/>
          <w:szCs w:val="24"/>
          <w:u w:val="single"/>
        </w:rPr>
        <w:t>isenção</w:t>
      </w:r>
      <w:r w:rsidR="001A1632" w:rsidRPr="00885124">
        <w:rPr>
          <w:rFonts w:ascii="Arial" w:hAnsi="Arial" w:cs="Arial"/>
          <w:sz w:val="24"/>
          <w:szCs w:val="24"/>
          <w:u w:val="single"/>
        </w:rPr>
        <w:t xml:space="preserve"> por prazo determinado, mediante a inclusão do inciso LXVIII</w:t>
      </w:r>
      <w:r w:rsidR="001A1632">
        <w:rPr>
          <w:rFonts w:ascii="Arial" w:hAnsi="Arial" w:cs="Arial"/>
          <w:sz w:val="24"/>
          <w:szCs w:val="24"/>
        </w:rPr>
        <w:t xml:space="preserve">, e definiu, no § 1º do mesmo </w:t>
      </w:r>
      <w:r w:rsidR="001A1632">
        <w:rPr>
          <w:rFonts w:ascii="Arial" w:hAnsi="Arial" w:cs="Arial"/>
          <w:sz w:val="24"/>
          <w:szCs w:val="24"/>
        </w:rPr>
        <w:lastRenderedPageBreak/>
        <w:t xml:space="preserve">artigo, a vigência do benefício </w:t>
      </w:r>
      <w:r>
        <w:rPr>
          <w:rFonts w:ascii="Arial" w:hAnsi="Arial" w:cs="Arial"/>
          <w:sz w:val="24"/>
          <w:szCs w:val="24"/>
        </w:rPr>
        <w:t>até 30/09/2019, para determinadas operações de importação do exterior, nos seguintes termos:</w:t>
      </w:r>
    </w:p>
    <w:p w14:paraId="6009424F" w14:textId="77777777" w:rsidR="00921C01" w:rsidRDefault="00921C01" w:rsidP="00E634D4">
      <w:pPr>
        <w:spacing w:line="360" w:lineRule="auto"/>
        <w:ind w:firstLine="851"/>
        <w:jc w:val="both"/>
        <w:rPr>
          <w:rFonts w:ascii="Arial" w:hAnsi="Arial" w:cs="Arial"/>
          <w:sz w:val="24"/>
          <w:szCs w:val="24"/>
        </w:rPr>
      </w:pPr>
    </w:p>
    <w:p w14:paraId="664CDA47" w14:textId="4136ED89" w:rsidR="00921C01" w:rsidRDefault="00921C01" w:rsidP="00EF4DB8">
      <w:pPr>
        <w:ind w:left="2268"/>
        <w:jc w:val="both"/>
        <w:rPr>
          <w:rFonts w:ascii="Arial" w:hAnsi="Arial" w:cs="Arial"/>
          <w:sz w:val="22"/>
          <w:szCs w:val="22"/>
        </w:rPr>
      </w:pPr>
      <w:bookmarkStart w:id="44" w:name="A7"/>
      <w:bookmarkStart w:id="45" w:name="A7LXVIII"/>
      <w:r w:rsidRPr="00921C01">
        <w:rPr>
          <w:rFonts w:ascii="Arial" w:hAnsi="Arial" w:cs="Arial"/>
          <w:b/>
          <w:sz w:val="22"/>
          <w:szCs w:val="22"/>
        </w:rPr>
        <w:t xml:space="preserve">Art. 7º </w:t>
      </w:r>
      <w:r w:rsidRPr="00921C01">
        <w:rPr>
          <w:rFonts w:ascii="Arial" w:hAnsi="Arial" w:cs="Arial"/>
          <w:sz w:val="22"/>
          <w:szCs w:val="22"/>
        </w:rPr>
        <w:t>São isentos de ICMS, observado o § 1º quanto ao término de vigência do benefício:</w:t>
      </w:r>
      <w:bookmarkEnd w:id="44"/>
    </w:p>
    <w:p w14:paraId="73438266" w14:textId="11738052" w:rsidR="00921C01" w:rsidRPr="00921C01" w:rsidRDefault="00921C01" w:rsidP="00EF4DB8">
      <w:pPr>
        <w:ind w:left="2268"/>
        <w:jc w:val="both"/>
        <w:rPr>
          <w:rFonts w:ascii="Arial" w:hAnsi="Arial" w:cs="Arial"/>
          <w:sz w:val="22"/>
          <w:szCs w:val="22"/>
        </w:rPr>
      </w:pPr>
      <w:r w:rsidRPr="00921C01">
        <w:rPr>
          <w:rFonts w:ascii="Arial" w:hAnsi="Arial" w:cs="Arial"/>
          <w:sz w:val="22"/>
          <w:szCs w:val="22"/>
        </w:rPr>
        <w:t>[...].</w:t>
      </w:r>
    </w:p>
    <w:p w14:paraId="5D6B23BD" w14:textId="15868FF1" w:rsidR="00A86C47" w:rsidRPr="00A86C47" w:rsidRDefault="00A86C47" w:rsidP="00EF4DB8">
      <w:pPr>
        <w:ind w:left="2268"/>
        <w:jc w:val="both"/>
        <w:rPr>
          <w:rFonts w:ascii="Arial" w:hAnsi="Arial" w:cs="Arial"/>
          <w:sz w:val="22"/>
          <w:szCs w:val="22"/>
        </w:rPr>
      </w:pPr>
      <w:r w:rsidRPr="00A86C47">
        <w:rPr>
          <w:rFonts w:ascii="Arial" w:hAnsi="Arial" w:cs="Arial"/>
          <w:sz w:val="22"/>
          <w:szCs w:val="22"/>
        </w:rPr>
        <w:t xml:space="preserve">LXVIII - mediante despacho individual concedido pelo Secretário da Economia, a operação de importação do exterior, inclusive em doação, dos bens a seguir relacionados, sem similar produzido no País, ou mesmo com similar para a entrada decorrente de doação, quando destinados a atividade de ensino, pesquisa ou prestação de serviço médico-hospitalar, adquiridos por pessoa natural ou jurídica (Convênio ICMS 19/19): </w:t>
      </w:r>
      <w:bookmarkEnd w:id="45"/>
    </w:p>
    <w:p w14:paraId="6550FBF4" w14:textId="77777777" w:rsidR="00A86C47" w:rsidRPr="00A86C47" w:rsidRDefault="00A86C47" w:rsidP="00EF4DB8">
      <w:pPr>
        <w:ind w:left="2268"/>
        <w:jc w:val="both"/>
        <w:rPr>
          <w:rFonts w:ascii="Arial" w:hAnsi="Arial" w:cs="Arial"/>
          <w:sz w:val="22"/>
          <w:szCs w:val="22"/>
        </w:rPr>
      </w:pPr>
      <w:bookmarkStart w:id="46" w:name="A7LXVIIIa"/>
      <w:r w:rsidRPr="00A86C47">
        <w:rPr>
          <w:rFonts w:ascii="Arial" w:hAnsi="Arial" w:cs="Arial"/>
          <w:sz w:val="22"/>
          <w:szCs w:val="22"/>
        </w:rPr>
        <w:t xml:space="preserve">a) aparelho, máquina, equipamento ou instrumento médico-hospitalar ou técnico-científico laboratorial; </w:t>
      </w:r>
      <w:bookmarkEnd w:id="46"/>
    </w:p>
    <w:p w14:paraId="6EDEBF3E" w14:textId="77777777" w:rsidR="00A86C47" w:rsidRPr="00A86C47" w:rsidRDefault="00A86C47" w:rsidP="00EF4DB8">
      <w:pPr>
        <w:ind w:left="2268"/>
        <w:jc w:val="both"/>
        <w:rPr>
          <w:rFonts w:ascii="Arial" w:hAnsi="Arial" w:cs="Arial"/>
          <w:sz w:val="22"/>
          <w:szCs w:val="22"/>
        </w:rPr>
      </w:pPr>
      <w:bookmarkStart w:id="47" w:name="A7LXVIIIb"/>
      <w:r w:rsidRPr="00A86C47">
        <w:rPr>
          <w:rFonts w:ascii="Arial" w:hAnsi="Arial" w:cs="Arial"/>
          <w:sz w:val="22"/>
          <w:szCs w:val="22"/>
        </w:rPr>
        <w:t xml:space="preserve">b) partes e peças para aplicação nos bens citados na alínea anterior; </w:t>
      </w:r>
      <w:bookmarkEnd w:id="47"/>
    </w:p>
    <w:p w14:paraId="725B942C" w14:textId="29423ED8" w:rsidR="00A86C47" w:rsidRDefault="00A86C47" w:rsidP="00EF4DB8">
      <w:pPr>
        <w:ind w:left="2268"/>
        <w:jc w:val="both"/>
        <w:rPr>
          <w:rFonts w:ascii="Arial" w:hAnsi="Arial" w:cs="Arial"/>
          <w:sz w:val="22"/>
          <w:szCs w:val="22"/>
        </w:rPr>
      </w:pPr>
      <w:bookmarkStart w:id="48" w:name="A7LXVIIIc"/>
      <w:r w:rsidRPr="00A86C47">
        <w:rPr>
          <w:rFonts w:ascii="Arial" w:hAnsi="Arial" w:cs="Arial"/>
          <w:sz w:val="22"/>
          <w:szCs w:val="22"/>
        </w:rPr>
        <w:t xml:space="preserve">c) reagentes químicos destinados a pesquisas médico-hospitalares. </w:t>
      </w:r>
      <w:bookmarkEnd w:id="48"/>
    </w:p>
    <w:p w14:paraId="3A941C4E" w14:textId="5C641EA2" w:rsidR="00BD5866" w:rsidRDefault="00BD5866" w:rsidP="00EF4DB8">
      <w:pPr>
        <w:ind w:left="2268"/>
        <w:jc w:val="both"/>
        <w:rPr>
          <w:rFonts w:ascii="Arial" w:hAnsi="Arial" w:cs="Arial"/>
          <w:sz w:val="22"/>
          <w:szCs w:val="22"/>
        </w:rPr>
      </w:pPr>
      <w:r>
        <w:rPr>
          <w:rFonts w:ascii="Arial" w:hAnsi="Arial" w:cs="Arial"/>
          <w:sz w:val="22"/>
          <w:szCs w:val="22"/>
        </w:rPr>
        <w:t>[...].</w:t>
      </w:r>
    </w:p>
    <w:p w14:paraId="65BD3029" w14:textId="77777777" w:rsidR="00A81444" w:rsidRDefault="00A81444" w:rsidP="00E634D4">
      <w:pPr>
        <w:spacing w:line="360" w:lineRule="auto"/>
        <w:ind w:firstLine="851"/>
        <w:jc w:val="both"/>
        <w:rPr>
          <w:rFonts w:ascii="Arial" w:hAnsi="Arial" w:cs="Arial"/>
          <w:sz w:val="24"/>
          <w:szCs w:val="24"/>
        </w:rPr>
      </w:pPr>
    </w:p>
    <w:p w14:paraId="55009F43" w14:textId="0C88348F" w:rsidR="00E634D4" w:rsidRDefault="009477CD" w:rsidP="00713208">
      <w:pPr>
        <w:spacing w:line="360" w:lineRule="auto"/>
        <w:ind w:firstLine="851"/>
        <w:jc w:val="both"/>
        <w:rPr>
          <w:rFonts w:ascii="Arial" w:hAnsi="Arial" w:cs="Arial"/>
          <w:sz w:val="24"/>
          <w:szCs w:val="24"/>
        </w:rPr>
      </w:pPr>
      <w:r>
        <w:rPr>
          <w:rFonts w:ascii="Arial" w:hAnsi="Arial" w:cs="Arial"/>
          <w:sz w:val="24"/>
          <w:szCs w:val="24"/>
        </w:rPr>
        <w:t xml:space="preserve">O </w:t>
      </w:r>
      <w:r w:rsidRPr="00885124">
        <w:rPr>
          <w:rFonts w:ascii="Arial" w:hAnsi="Arial" w:cs="Arial"/>
          <w:sz w:val="24"/>
          <w:szCs w:val="24"/>
          <w:u w:val="single"/>
        </w:rPr>
        <w:t>Decreto nº 9.588/2019</w:t>
      </w:r>
      <w:r>
        <w:rPr>
          <w:rFonts w:ascii="Arial" w:hAnsi="Arial" w:cs="Arial"/>
          <w:sz w:val="24"/>
          <w:szCs w:val="24"/>
        </w:rPr>
        <w:t xml:space="preserve"> prorrogou </w:t>
      </w:r>
      <w:r w:rsidR="00954E60">
        <w:rPr>
          <w:rFonts w:ascii="Arial" w:hAnsi="Arial" w:cs="Arial"/>
          <w:sz w:val="24"/>
          <w:szCs w:val="24"/>
        </w:rPr>
        <w:t>a</w:t>
      </w:r>
      <w:r>
        <w:rPr>
          <w:rFonts w:ascii="Arial" w:hAnsi="Arial" w:cs="Arial"/>
          <w:sz w:val="24"/>
          <w:szCs w:val="24"/>
        </w:rPr>
        <w:t xml:space="preserve"> vigência para 31/12/2019</w:t>
      </w:r>
      <w:r w:rsidR="00954E60">
        <w:rPr>
          <w:rFonts w:ascii="Arial" w:hAnsi="Arial" w:cs="Arial"/>
          <w:sz w:val="24"/>
          <w:szCs w:val="24"/>
        </w:rPr>
        <w:t xml:space="preserve"> (art. 1º)</w:t>
      </w:r>
      <w:r>
        <w:rPr>
          <w:rFonts w:ascii="Arial" w:hAnsi="Arial" w:cs="Arial"/>
          <w:sz w:val="24"/>
          <w:szCs w:val="24"/>
        </w:rPr>
        <w:t xml:space="preserve"> e, como fora editado em dezembro, isto é, após o encerramento do prazo de vigência inicial, ainda convalidou os incentivos fiscais fruídos nesse interregno</w:t>
      </w:r>
      <w:r w:rsidR="00954E60">
        <w:rPr>
          <w:rFonts w:ascii="Arial" w:hAnsi="Arial" w:cs="Arial"/>
          <w:sz w:val="24"/>
          <w:szCs w:val="24"/>
        </w:rPr>
        <w:t xml:space="preserve"> (art. 2º)</w:t>
      </w:r>
      <w:r>
        <w:rPr>
          <w:rFonts w:ascii="Arial" w:hAnsi="Arial" w:cs="Arial"/>
          <w:sz w:val="24"/>
          <w:szCs w:val="24"/>
        </w:rPr>
        <w:t>.</w:t>
      </w:r>
    </w:p>
    <w:p w14:paraId="60550B7E" w14:textId="45A74096" w:rsidR="00E32116" w:rsidRDefault="001A1632" w:rsidP="00713208">
      <w:pPr>
        <w:spacing w:line="360" w:lineRule="auto"/>
        <w:ind w:firstLine="851"/>
        <w:jc w:val="both"/>
        <w:rPr>
          <w:rFonts w:ascii="Arial" w:hAnsi="Arial" w:cs="Arial"/>
          <w:sz w:val="24"/>
          <w:szCs w:val="24"/>
        </w:rPr>
      </w:pPr>
      <w:r>
        <w:rPr>
          <w:rFonts w:ascii="Arial" w:hAnsi="Arial" w:cs="Arial"/>
          <w:sz w:val="24"/>
          <w:szCs w:val="24"/>
        </w:rPr>
        <w:t xml:space="preserve">Percebe-se, desse modo, a nítida </w:t>
      </w:r>
      <w:r w:rsidR="00E32116">
        <w:rPr>
          <w:rFonts w:ascii="Arial" w:hAnsi="Arial" w:cs="Arial"/>
          <w:sz w:val="24"/>
          <w:szCs w:val="24"/>
        </w:rPr>
        <w:t>violação ao princípio da legalidade</w:t>
      </w:r>
      <w:r>
        <w:rPr>
          <w:rFonts w:ascii="Arial" w:hAnsi="Arial" w:cs="Arial"/>
          <w:sz w:val="24"/>
          <w:szCs w:val="24"/>
        </w:rPr>
        <w:t>, tanto na previsão inicial de concessão do benefício como em sua prorrogação, visto que ausente qualquer lei que respaldasse a criação de nova isenção tampouco sua prorrogação</w:t>
      </w:r>
      <w:r w:rsidR="00885124">
        <w:rPr>
          <w:rFonts w:ascii="Arial" w:hAnsi="Arial" w:cs="Arial"/>
          <w:sz w:val="24"/>
          <w:szCs w:val="24"/>
        </w:rPr>
        <w:t xml:space="preserve"> até o final do exercício anterior</w:t>
      </w:r>
      <w:r>
        <w:rPr>
          <w:rFonts w:ascii="Arial" w:hAnsi="Arial" w:cs="Arial"/>
          <w:sz w:val="24"/>
          <w:szCs w:val="24"/>
        </w:rPr>
        <w:t>.</w:t>
      </w:r>
    </w:p>
    <w:p w14:paraId="734AD2A0" w14:textId="026AD346" w:rsidR="00AE4984" w:rsidRDefault="00AE4984" w:rsidP="00AE4984">
      <w:pPr>
        <w:spacing w:line="360" w:lineRule="auto"/>
        <w:ind w:firstLine="851"/>
        <w:jc w:val="both"/>
        <w:rPr>
          <w:rFonts w:ascii="Arial" w:hAnsi="Arial" w:cs="Arial"/>
          <w:sz w:val="24"/>
          <w:szCs w:val="24"/>
        </w:rPr>
      </w:pPr>
      <w:r>
        <w:rPr>
          <w:rFonts w:ascii="Arial" w:hAnsi="Arial" w:cs="Arial"/>
          <w:sz w:val="24"/>
          <w:szCs w:val="24"/>
        </w:rPr>
        <w:t xml:space="preserve">Portanto, </w:t>
      </w:r>
      <w:r w:rsidR="00093CF7">
        <w:rPr>
          <w:rFonts w:ascii="Arial" w:hAnsi="Arial" w:cs="Arial"/>
          <w:sz w:val="24"/>
          <w:szCs w:val="24"/>
        </w:rPr>
        <w:t>inconstitucionais</w:t>
      </w:r>
      <w:r>
        <w:rPr>
          <w:rFonts w:ascii="Arial" w:hAnsi="Arial" w:cs="Arial"/>
          <w:sz w:val="24"/>
          <w:szCs w:val="24"/>
        </w:rPr>
        <w:t xml:space="preserve"> os Decretos nº </w:t>
      </w:r>
      <w:r w:rsidRPr="00AE4984">
        <w:rPr>
          <w:rFonts w:ascii="Arial" w:hAnsi="Arial" w:cs="Arial"/>
          <w:sz w:val="24"/>
          <w:szCs w:val="24"/>
        </w:rPr>
        <w:t>9.493</w:t>
      </w:r>
      <w:r>
        <w:rPr>
          <w:rFonts w:ascii="Arial" w:hAnsi="Arial" w:cs="Arial"/>
          <w:sz w:val="24"/>
          <w:szCs w:val="24"/>
        </w:rPr>
        <w:t xml:space="preserve">/2019, ao criar nova hipótese de </w:t>
      </w:r>
      <w:r w:rsidR="009D1CAA">
        <w:rPr>
          <w:rFonts w:ascii="Arial" w:hAnsi="Arial" w:cs="Arial"/>
          <w:sz w:val="24"/>
          <w:szCs w:val="24"/>
        </w:rPr>
        <w:t>isenção</w:t>
      </w:r>
      <w:r w:rsidR="008904C4">
        <w:rPr>
          <w:rFonts w:ascii="Arial" w:hAnsi="Arial" w:cs="Arial"/>
          <w:sz w:val="24"/>
          <w:szCs w:val="24"/>
        </w:rPr>
        <w:t xml:space="preserve"> por prazo determinado</w:t>
      </w:r>
      <w:r>
        <w:rPr>
          <w:rFonts w:ascii="Arial" w:hAnsi="Arial" w:cs="Arial"/>
          <w:sz w:val="24"/>
          <w:szCs w:val="24"/>
        </w:rPr>
        <w:t xml:space="preserve">, e o de nº 9.588/2018, ao prorrogar de 30/09/2019 para 31/12/2019 </w:t>
      </w:r>
      <w:r w:rsidR="00FF61E7">
        <w:rPr>
          <w:rFonts w:ascii="Arial" w:hAnsi="Arial" w:cs="Arial"/>
          <w:sz w:val="24"/>
          <w:szCs w:val="24"/>
        </w:rPr>
        <w:t>a isenção</w:t>
      </w:r>
      <w:r>
        <w:rPr>
          <w:rFonts w:ascii="Arial" w:hAnsi="Arial" w:cs="Arial"/>
          <w:sz w:val="24"/>
          <w:szCs w:val="24"/>
        </w:rPr>
        <w:t xml:space="preserve"> introduzid</w:t>
      </w:r>
      <w:r w:rsidR="00FF61E7">
        <w:rPr>
          <w:rFonts w:ascii="Arial" w:hAnsi="Arial" w:cs="Arial"/>
          <w:sz w:val="24"/>
          <w:szCs w:val="24"/>
        </w:rPr>
        <w:t>a</w:t>
      </w:r>
      <w:r>
        <w:rPr>
          <w:rFonts w:ascii="Arial" w:hAnsi="Arial" w:cs="Arial"/>
          <w:sz w:val="24"/>
          <w:szCs w:val="24"/>
        </w:rPr>
        <w:t xml:space="preserve"> pelo primeiro decreto.</w:t>
      </w:r>
    </w:p>
    <w:p w14:paraId="1A676714" w14:textId="77777777" w:rsidR="00AE4984" w:rsidRDefault="00AE4984" w:rsidP="00AE4984">
      <w:pPr>
        <w:spacing w:line="360" w:lineRule="auto"/>
        <w:ind w:firstLine="851"/>
        <w:jc w:val="both"/>
        <w:rPr>
          <w:rFonts w:ascii="Arial" w:hAnsi="Arial" w:cs="Arial"/>
          <w:sz w:val="24"/>
          <w:szCs w:val="24"/>
        </w:rPr>
      </w:pPr>
    </w:p>
    <w:p w14:paraId="488699E2" w14:textId="0F77F062" w:rsidR="00C22C34" w:rsidRPr="00A86C47" w:rsidRDefault="00701956" w:rsidP="00C22C34">
      <w:pPr>
        <w:spacing w:line="360" w:lineRule="auto"/>
        <w:ind w:firstLine="851"/>
        <w:jc w:val="both"/>
        <w:rPr>
          <w:rFonts w:ascii="Arial" w:hAnsi="Arial" w:cs="Arial"/>
          <w:b/>
          <w:sz w:val="24"/>
          <w:szCs w:val="24"/>
        </w:rPr>
      </w:pPr>
      <w:r>
        <w:rPr>
          <w:rFonts w:ascii="Arial" w:hAnsi="Arial" w:cs="Arial"/>
          <w:b/>
          <w:sz w:val="24"/>
          <w:szCs w:val="24"/>
        </w:rPr>
        <w:t>5.2.2</w:t>
      </w:r>
      <w:r w:rsidR="001F6720">
        <w:rPr>
          <w:rFonts w:ascii="Arial" w:hAnsi="Arial" w:cs="Arial"/>
          <w:b/>
          <w:sz w:val="24"/>
          <w:szCs w:val="24"/>
        </w:rPr>
        <w:t>.2</w:t>
      </w:r>
      <w:r w:rsidR="00C22C34" w:rsidRPr="00A86C47">
        <w:rPr>
          <w:rFonts w:ascii="Arial" w:hAnsi="Arial" w:cs="Arial"/>
          <w:b/>
          <w:sz w:val="24"/>
          <w:szCs w:val="24"/>
        </w:rPr>
        <w:t xml:space="preserve"> – </w:t>
      </w:r>
      <w:r w:rsidR="006B1324">
        <w:rPr>
          <w:rFonts w:ascii="Arial" w:hAnsi="Arial" w:cs="Arial"/>
          <w:b/>
          <w:sz w:val="24"/>
          <w:szCs w:val="24"/>
        </w:rPr>
        <w:t xml:space="preserve">Investimento em infraestrutura na obra da ponte sobre o Rio Versão – </w:t>
      </w:r>
      <w:r w:rsidR="00C22C34">
        <w:rPr>
          <w:rFonts w:ascii="Arial" w:hAnsi="Arial" w:cs="Arial"/>
          <w:b/>
          <w:sz w:val="24"/>
          <w:szCs w:val="24"/>
        </w:rPr>
        <w:t>Decreto</w:t>
      </w:r>
      <w:r w:rsidR="00BD6514">
        <w:rPr>
          <w:rFonts w:ascii="Arial" w:hAnsi="Arial" w:cs="Arial"/>
          <w:b/>
          <w:sz w:val="24"/>
          <w:szCs w:val="24"/>
        </w:rPr>
        <w:t>s</w:t>
      </w:r>
      <w:r w:rsidR="00C22C34">
        <w:rPr>
          <w:rFonts w:ascii="Arial" w:hAnsi="Arial" w:cs="Arial"/>
          <w:b/>
          <w:sz w:val="24"/>
          <w:szCs w:val="24"/>
        </w:rPr>
        <w:t xml:space="preserve"> n</w:t>
      </w:r>
      <w:r w:rsidR="00423BA6" w:rsidRPr="00423BA6">
        <w:rPr>
          <w:rFonts w:ascii="Arial" w:hAnsi="Arial" w:cs="Arial"/>
          <w:b/>
          <w:sz w:val="24"/>
          <w:szCs w:val="24"/>
          <w:vertAlign w:val="superscript"/>
        </w:rPr>
        <w:t>o</w:t>
      </w:r>
      <w:r w:rsidR="00BD6514" w:rsidRPr="00423BA6">
        <w:rPr>
          <w:rFonts w:ascii="Arial" w:hAnsi="Arial" w:cs="Arial"/>
          <w:b/>
          <w:sz w:val="24"/>
          <w:szCs w:val="24"/>
          <w:vertAlign w:val="superscript"/>
        </w:rPr>
        <w:t>s</w:t>
      </w:r>
      <w:r w:rsidR="00BD6514">
        <w:rPr>
          <w:rFonts w:ascii="Arial" w:hAnsi="Arial" w:cs="Arial"/>
          <w:b/>
          <w:sz w:val="24"/>
          <w:szCs w:val="24"/>
        </w:rPr>
        <w:t xml:space="preserve"> 9.185 (D.O. 16-03-2018) e</w:t>
      </w:r>
      <w:r w:rsidR="00C22C34">
        <w:rPr>
          <w:rFonts w:ascii="Arial" w:hAnsi="Arial" w:cs="Arial"/>
          <w:b/>
          <w:sz w:val="24"/>
          <w:szCs w:val="24"/>
        </w:rPr>
        <w:t xml:space="preserve"> 9.5</w:t>
      </w:r>
      <w:r w:rsidR="001F6720">
        <w:rPr>
          <w:rFonts w:ascii="Arial" w:hAnsi="Arial" w:cs="Arial"/>
          <w:b/>
          <w:sz w:val="24"/>
          <w:szCs w:val="24"/>
        </w:rPr>
        <w:t>79</w:t>
      </w:r>
      <w:r w:rsidR="00C22C34">
        <w:rPr>
          <w:rFonts w:ascii="Arial" w:hAnsi="Arial" w:cs="Arial"/>
          <w:b/>
          <w:sz w:val="24"/>
          <w:szCs w:val="24"/>
        </w:rPr>
        <w:t xml:space="preserve"> (</w:t>
      </w:r>
      <w:r w:rsidR="00C22C34" w:rsidRPr="00A86C47">
        <w:rPr>
          <w:rFonts w:ascii="Arial" w:hAnsi="Arial" w:cs="Arial"/>
          <w:b/>
          <w:sz w:val="24"/>
          <w:szCs w:val="24"/>
        </w:rPr>
        <w:t xml:space="preserve">D.O. </w:t>
      </w:r>
      <w:r w:rsidR="001F6720">
        <w:rPr>
          <w:rFonts w:ascii="Arial" w:hAnsi="Arial" w:cs="Arial"/>
          <w:b/>
          <w:sz w:val="24"/>
          <w:szCs w:val="24"/>
        </w:rPr>
        <w:t>12</w:t>
      </w:r>
      <w:r w:rsidR="00C22C34" w:rsidRPr="00A86C47">
        <w:rPr>
          <w:rFonts w:ascii="Arial" w:hAnsi="Arial" w:cs="Arial"/>
          <w:b/>
          <w:sz w:val="24"/>
          <w:szCs w:val="24"/>
        </w:rPr>
        <w:t>-12-2019)</w:t>
      </w:r>
    </w:p>
    <w:p w14:paraId="3D331847" w14:textId="6A7807BE" w:rsidR="00C22C34" w:rsidRDefault="00C22C34" w:rsidP="00713208">
      <w:pPr>
        <w:spacing w:line="360" w:lineRule="auto"/>
        <w:ind w:firstLine="851"/>
        <w:jc w:val="both"/>
        <w:rPr>
          <w:rFonts w:ascii="Arial" w:hAnsi="Arial" w:cs="Arial"/>
          <w:sz w:val="24"/>
          <w:szCs w:val="24"/>
        </w:rPr>
      </w:pPr>
    </w:p>
    <w:p w14:paraId="19CDF5D8" w14:textId="4B3FAC37" w:rsidR="001F6720" w:rsidRDefault="002E06C0" w:rsidP="00713208">
      <w:pPr>
        <w:spacing w:line="360" w:lineRule="auto"/>
        <w:ind w:firstLine="851"/>
        <w:jc w:val="both"/>
        <w:rPr>
          <w:rFonts w:ascii="Arial" w:hAnsi="Arial" w:cs="Arial"/>
          <w:sz w:val="24"/>
          <w:szCs w:val="24"/>
        </w:rPr>
      </w:pPr>
      <w:r w:rsidRPr="002E06C0">
        <w:rPr>
          <w:rFonts w:ascii="Arial" w:hAnsi="Arial" w:cs="Arial"/>
          <w:sz w:val="24"/>
          <w:szCs w:val="24"/>
          <w:u w:val="single"/>
        </w:rPr>
        <w:t>O Decreto nº 9.185 (</w:t>
      </w:r>
      <w:r w:rsidR="00655F5B">
        <w:rPr>
          <w:rFonts w:ascii="Arial" w:hAnsi="Arial" w:cs="Arial"/>
          <w:sz w:val="24"/>
          <w:szCs w:val="24"/>
          <w:u w:val="single"/>
        </w:rPr>
        <w:t xml:space="preserve">D.O. </w:t>
      </w:r>
      <w:r w:rsidRPr="002E06C0">
        <w:rPr>
          <w:rFonts w:ascii="Arial" w:hAnsi="Arial" w:cs="Arial"/>
          <w:sz w:val="24"/>
          <w:szCs w:val="24"/>
          <w:u w:val="single"/>
        </w:rPr>
        <w:t xml:space="preserve">16-03-2018) acrescentou o inciso XVI ao art. </w:t>
      </w:r>
      <w:r w:rsidR="00BD5866" w:rsidRPr="002E06C0">
        <w:rPr>
          <w:rFonts w:ascii="Arial" w:hAnsi="Arial" w:cs="Arial"/>
          <w:sz w:val="24"/>
          <w:szCs w:val="24"/>
          <w:u w:val="single"/>
        </w:rPr>
        <w:t xml:space="preserve">12 do </w:t>
      </w:r>
      <w:r w:rsidRPr="002E06C0">
        <w:rPr>
          <w:rFonts w:ascii="Arial" w:hAnsi="Arial" w:cs="Arial"/>
          <w:sz w:val="24"/>
          <w:szCs w:val="24"/>
          <w:u w:val="single"/>
        </w:rPr>
        <w:t>RCTE/GO para incluir nova hipótese de concessão de crédito outorgado por prazo determinado</w:t>
      </w:r>
      <w:r>
        <w:rPr>
          <w:rFonts w:ascii="Arial" w:hAnsi="Arial" w:cs="Arial"/>
          <w:sz w:val="24"/>
          <w:szCs w:val="24"/>
        </w:rPr>
        <w:t>, a contribuinte que investir em infraestrutura, nos seguintes termos</w:t>
      </w:r>
      <w:r w:rsidR="00BD5866">
        <w:rPr>
          <w:rFonts w:ascii="Arial" w:hAnsi="Arial" w:cs="Arial"/>
          <w:sz w:val="24"/>
          <w:szCs w:val="24"/>
        </w:rPr>
        <w:t>:</w:t>
      </w:r>
    </w:p>
    <w:p w14:paraId="0D8C09A9" w14:textId="20C97753" w:rsidR="00BD5866" w:rsidRDefault="00BD5866" w:rsidP="00713208">
      <w:pPr>
        <w:spacing w:line="360" w:lineRule="auto"/>
        <w:ind w:firstLine="851"/>
        <w:jc w:val="both"/>
        <w:rPr>
          <w:rFonts w:ascii="Arial" w:hAnsi="Arial" w:cs="Arial"/>
          <w:sz w:val="24"/>
          <w:szCs w:val="24"/>
        </w:rPr>
      </w:pPr>
    </w:p>
    <w:p w14:paraId="633B6167" w14:textId="2C3D7001" w:rsidR="00BD5866" w:rsidRDefault="00BD5866" w:rsidP="00EF4DB8">
      <w:pPr>
        <w:ind w:left="2268"/>
        <w:jc w:val="both"/>
        <w:rPr>
          <w:rFonts w:ascii="Arial" w:hAnsi="Arial" w:cs="Arial"/>
          <w:sz w:val="22"/>
          <w:szCs w:val="22"/>
        </w:rPr>
      </w:pPr>
      <w:bookmarkStart w:id="49" w:name="A12"/>
      <w:bookmarkStart w:id="50" w:name="A12XVI"/>
      <w:bookmarkStart w:id="51" w:name="A12V"/>
      <w:r w:rsidRPr="00BD5866">
        <w:rPr>
          <w:rFonts w:ascii="Arial" w:hAnsi="Arial" w:cs="Arial"/>
          <w:sz w:val="22"/>
          <w:szCs w:val="22"/>
        </w:rPr>
        <w:lastRenderedPageBreak/>
        <w:t>Art. 12. Constitui crédito outorgado para efeito de compensação com o ICMS devido, observado o § 4º quanto ao término da - vigência do benefício:</w:t>
      </w:r>
      <w:bookmarkEnd w:id="49"/>
    </w:p>
    <w:p w14:paraId="4BFE9D78" w14:textId="5117BCE6" w:rsidR="00BD5866" w:rsidRPr="00BD5866" w:rsidRDefault="00BD5866" w:rsidP="00EF4DB8">
      <w:pPr>
        <w:ind w:left="2268"/>
        <w:jc w:val="both"/>
        <w:rPr>
          <w:rFonts w:ascii="Arial" w:hAnsi="Arial" w:cs="Arial"/>
          <w:sz w:val="22"/>
          <w:szCs w:val="22"/>
        </w:rPr>
      </w:pPr>
      <w:r>
        <w:rPr>
          <w:rFonts w:ascii="Arial" w:hAnsi="Arial" w:cs="Arial"/>
          <w:sz w:val="22"/>
          <w:szCs w:val="22"/>
        </w:rPr>
        <w:t>[...].</w:t>
      </w:r>
    </w:p>
    <w:p w14:paraId="7FB6047B" w14:textId="4EF9E10C" w:rsidR="00BD5866" w:rsidRDefault="00BD5866" w:rsidP="00EF4DB8">
      <w:pPr>
        <w:ind w:left="2268"/>
        <w:jc w:val="both"/>
        <w:rPr>
          <w:rFonts w:ascii="Arial" w:hAnsi="Arial" w:cs="Arial"/>
          <w:sz w:val="22"/>
          <w:szCs w:val="22"/>
        </w:rPr>
      </w:pPr>
      <w:r w:rsidRPr="00BD5866">
        <w:rPr>
          <w:rFonts w:ascii="Arial" w:hAnsi="Arial" w:cs="Arial"/>
          <w:b/>
          <w:sz w:val="22"/>
          <w:szCs w:val="22"/>
        </w:rPr>
        <w:t>XVI - para o contribuinte que investir em infraestrutura, não podendo o valor global, exceder, em cada ano, a 5% (cinco por cento) da arrecadação anual do ICMS relativa ao exercício imediatamente anterior, observado, ainda, o seguinte (Convênio ICMS 85/2011)</w:t>
      </w:r>
      <w:r w:rsidRPr="00BD5866">
        <w:rPr>
          <w:rFonts w:ascii="Arial" w:hAnsi="Arial" w:cs="Arial"/>
          <w:sz w:val="22"/>
          <w:szCs w:val="22"/>
        </w:rPr>
        <w:t>:</w:t>
      </w:r>
      <w:bookmarkEnd w:id="50"/>
      <w:bookmarkEnd w:id="51"/>
    </w:p>
    <w:p w14:paraId="62A990F2" w14:textId="77777777" w:rsidR="00BD5866" w:rsidRPr="00BD5866" w:rsidRDefault="00BD5866" w:rsidP="00EF4DB8">
      <w:pPr>
        <w:ind w:left="2268"/>
        <w:jc w:val="both"/>
        <w:rPr>
          <w:rFonts w:ascii="Arial" w:hAnsi="Arial" w:cs="Arial"/>
          <w:sz w:val="22"/>
          <w:szCs w:val="22"/>
        </w:rPr>
      </w:pPr>
      <w:r w:rsidRPr="00BD5866">
        <w:rPr>
          <w:rFonts w:ascii="Arial" w:hAnsi="Arial" w:cs="Arial"/>
          <w:sz w:val="22"/>
          <w:szCs w:val="22"/>
        </w:rPr>
        <w:t>a) o valor do crédito outorgado fica limitado ao valor dos investimentos realizados em infraestrutura necessários à instalação ou ampliação do empreendimento;</w:t>
      </w:r>
    </w:p>
    <w:p w14:paraId="1E2A7E3D" w14:textId="77777777" w:rsidR="00BD5866" w:rsidRPr="00BD5866" w:rsidRDefault="00BD5866" w:rsidP="00EF4DB8">
      <w:pPr>
        <w:ind w:left="2268"/>
        <w:jc w:val="both"/>
        <w:rPr>
          <w:rFonts w:ascii="Arial" w:hAnsi="Arial" w:cs="Arial"/>
          <w:sz w:val="22"/>
          <w:szCs w:val="22"/>
        </w:rPr>
      </w:pPr>
      <w:r w:rsidRPr="00BD5866">
        <w:rPr>
          <w:rFonts w:ascii="Arial" w:hAnsi="Arial" w:cs="Arial"/>
          <w:sz w:val="22"/>
          <w:szCs w:val="22"/>
        </w:rPr>
        <w:t>b) dependerá de termo de compromisso firmado com o Estado, bem como da celebração de termo de acordo de regime especial com a Secretaria de Estado da Fazenda, no qual devem constar metas de arrecadação de ICMS, bem como as condições para apropriação do crédito outorgado;</w:t>
      </w:r>
    </w:p>
    <w:p w14:paraId="5F39BA55" w14:textId="77777777" w:rsidR="00BD5866" w:rsidRPr="00BD5866" w:rsidRDefault="00BD5866" w:rsidP="00EF4DB8">
      <w:pPr>
        <w:ind w:left="2268"/>
        <w:jc w:val="both"/>
        <w:rPr>
          <w:rFonts w:ascii="Arial" w:hAnsi="Arial" w:cs="Arial"/>
          <w:sz w:val="22"/>
          <w:szCs w:val="22"/>
        </w:rPr>
      </w:pPr>
      <w:r w:rsidRPr="00BD5866">
        <w:rPr>
          <w:rFonts w:ascii="Arial" w:hAnsi="Arial" w:cs="Arial"/>
          <w:sz w:val="22"/>
          <w:szCs w:val="22"/>
        </w:rPr>
        <w:t>c) o contribuinte deverá apresentar projeto específico à Secretaria de Estado da Fazenda, do qual constará no mínimo:</w:t>
      </w:r>
    </w:p>
    <w:p w14:paraId="44AE365B" w14:textId="77777777" w:rsidR="00BD5866" w:rsidRPr="00BD5866" w:rsidRDefault="00BD5866" w:rsidP="00EF4DB8">
      <w:pPr>
        <w:ind w:left="2268"/>
        <w:jc w:val="both"/>
        <w:rPr>
          <w:rFonts w:ascii="Arial" w:hAnsi="Arial" w:cs="Arial"/>
          <w:sz w:val="22"/>
          <w:szCs w:val="22"/>
        </w:rPr>
      </w:pPr>
      <w:r w:rsidRPr="00BD5866">
        <w:rPr>
          <w:rFonts w:ascii="Arial" w:hAnsi="Arial" w:cs="Arial"/>
          <w:sz w:val="22"/>
          <w:szCs w:val="22"/>
        </w:rPr>
        <w:t>1. valor dos investimentos a serem realizados em obra de infraestrutura;</w:t>
      </w:r>
    </w:p>
    <w:p w14:paraId="6A6814FA" w14:textId="77777777" w:rsidR="00BD5866" w:rsidRPr="00BD5866" w:rsidRDefault="00BD5866" w:rsidP="00EF4DB8">
      <w:pPr>
        <w:ind w:left="2268"/>
        <w:jc w:val="both"/>
        <w:rPr>
          <w:rFonts w:ascii="Arial" w:hAnsi="Arial" w:cs="Arial"/>
          <w:sz w:val="22"/>
          <w:szCs w:val="22"/>
        </w:rPr>
      </w:pPr>
      <w:r w:rsidRPr="00BD5866">
        <w:rPr>
          <w:rFonts w:ascii="Arial" w:hAnsi="Arial" w:cs="Arial"/>
          <w:sz w:val="22"/>
          <w:szCs w:val="22"/>
        </w:rPr>
        <w:t>2. data de início e data prevista para o término das obras de infraestrutura;</w:t>
      </w:r>
    </w:p>
    <w:p w14:paraId="35F9A572" w14:textId="77777777" w:rsidR="00BD5866" w:rsidRPr="00BD5866" w:rsidRDefault="00BD5866" w:rsidP="00EF4DB8">
      <w:pPr>
        <w:ind w:left="2268"/>
        <w:jc w:val="both"/>
        <w:rPr>
          <w:rFonts w:ascii="Arial" w:hAnsi="Arial" w:cs="Arial"/>
          <w:sz w:val="22"/>
          <w:szCs w:val="22"/>
        </w:rPr>
      </w:pPr>
      <w:r w:rsidRPr="00BD5866">
        <w:rPr>
          <w:rFonts w:ascii="Arial" w:hAnsi="Arial" w:cs="Arial"/>
          <w:sz w:val="22"/>
          <w:szCs w:val="22"/>
        </w:rPr>
        <w:t>3. cronograma físico-financeiro das obras de infraestrutura;</w:t>
      </w:r>
    </w:p>
    <w:p w14:paraId="454CCC19" w14:textId="77777777" w:rsidR="00BD5866" w:rsidRPr="00BD5866" w:rsidRDefault="00BD5866" w:rsidP="00EF4DB8">
      <w:pPr>
        <w:ind w:left="2268"/>
        <w:jc w:val="both"/>
        <w:rPr>
          <w:rFonts w:ascii="Arial" w:hAnsi="Arial" w:cs="Arial"/>
          <w:sz w:val="22"/>
          <w:szCs w:val="22"/>
        </w:rPr>
      </w:pPr>
      <w:r w:rsidRPr="00BD5866">
        <w:rPr>
          <w:rFonts w:ascii="Arial" w:hAnsi="Arial" w:cs="Arial"/>
          <w:sz w:val="22"/>
          <w:szCs w:val="22"/>
        </w:rPr>
        <w:t>d) cabe à Agência Goiana de Transporte o Obras - AGETOP -, mediante análise de projeto e documentação idônea, a apuração do valor relativo aos investimentos realizados, na hipótese de o contribuinte realizar obra de infraestrutura cuja responsabilidade seria do Estado;</w:t>
      </w:r>
    </w:p>
    <w:p w14:paraId="2E3EB213" w14:textId="77777777" w:rsidR="00BD5866" w:rsidRPr="00BD5866" w:rsidRDefault="00BD5866" w:rsidP="00EF4DB8">
      <w:pPr>
        <w:ind w:left="2268"/>
        <w:jc w:val="both"/>
        <w:rPr>
          <w:rFonts w:ascii="Arial" w:hAnsi="Arial" w:cs="Arial"/>
          <w:sz w:val="22"/>
          <w:szCs w:val="22"/>
        </w:rPr>
      </w:pPr>
      <w:r w:rsidRPr="00BD5866">
        <w:rPr>
          <w:rFonts w:ascii="Arial" w:hAnsi="Arial" w:cs="Arial"/>
          <w:sz w:val="22"/>
          <w:szCs w:val="22"/>
        </w:rPr>
        <w:t>e) impedem a fruição do crédito outorgado e obrigam o beneficiário a pagar os valores do crédito outorgado efetivamente utilizados, atualizados nos termos da legislação tributária, a falta de comprovação do início das obras, a falta de comprovação dos investimentos, a desistência do projeto ou a infração insanável às disposições do regime especial;</w:t>
      </w:r>
    </w:p>
    <w:p w14:paraId="36425852" w14:textId="32ABFDDD" w:rsidR="00BD5866" w:rsidRDefault="00BD5866" w:rsidP="00EF4DB8">
      <w:pPr>
        <w:ind w:left="2268"/>
        <w:jc w:val="both"/>
        <w:rPr>
          <w:rFonts w:ascii="Arial" w:hAnsi="Arial" w:cs="Arial"/>
          <w:sz w:val="22"/>
          <w:szCs w:val="22"/>
        </w:rPr>
      </w:pPr>
      <w:bookmarkStart w:id="52" w:name="A12XVIf"/>
      <w:bookmarkStart w:id="53" w:name="A12XVIa"/>
      <w:r w:rsidRPr="00BD5866">
        <w:rPr>
          <w:rFonts w:ascii="Arial" w:hAnsi="Arial" w:cs="Arial"/>
          <w:sz w:val="22"/>
          <w:szCs w:val="22"/>
          <w:u w:val="single"/>
        </w:rPr>
        <w:t>f) o Poder Executivo editará ato no qual constarão as obras de infraestrutura consideradas prioritárias, para efeito de concessão do crédito outorgado</w:t>
      </w:r>
      <w:r w:rsidRPr="00BD5866">
        <w:rPr>
          <w:rFonts w:ascii="Arial" w:hAnsi="Arial" w:cs="Arial"/>
          <w:sz w:val="22"/>
          <w:szCs w:val="22"/>
        </w:rPr>
        <w:t>;</w:t>
      </w:r>
      <w:bookmarkEnd w:id="52"/>
      <w:bookmarkEnd w:id="53"/>
    </w:p>
    <w:p w14:paraId="1484CFD9" w14:textId="77777777" w:rsidR="002E06C0" w:rsidRPr="002E06C0" w:rsidRDefault="002E06C0" w:rsidP="00EF4DB8">
      <w:pPr>
        <w:ind w:left="2268"/>
        <w:jc w:val="both"/>
        <w:rPr>
          <w:rFonts w:ascii="Arial" w:hAnsi="Arial" w:cs="Arial"/>
          <w:sz w:val="22"/>
          <w:szCs w:val="22"/>
        </w:rPr>
      </w:pPr>
      <w:bookmarkStart w:id="54" w:name="A12XVIg"/>
      <w:r w:rsidRPr="002E06C0">
        <w:rPr>
          <w:rFonts w:ascii="Arial" w:hAnsi="Arial" w:cs="Arial"/>
          <w:sz w:val="22"/>
          <w:szCs w:val="22"/>
        </w:rPr>
        <w:t>g) o crédito outorgado poderá ser concedido, também, para o contribuinte que adquirir área ou empreendimento da Companhia de Desenvolvimento Econômico de Goiás - CODEGO, inclusive aquele que mantenha em regime de parceria, observado o seguinte:</w:t>
      </w:r>
      <w:bookmarkEnd w:id="54"/>
    </w:p>
    <w:p w14:paraId="46267666" w14:textId="77777777" w:rsidR="002E06C0" w:rsidRPr="002E06C0" w:rsidRDefault="002E06C0" w:rsidP="00EF4DB8">
      <w:pPr>
        <w:ind w:left="2268"/>
        <w:jc w:val="both"/>
        <w:rPr>
          <w:rFonts w:ascii="Arial" w:hAnsi="Arial" w:cs="Arial"/>
          <w:sz w:val="22"/>
          <w:szCs w:val="22"/>
        </w:rPr>
      </w:pPr>
      <w:r w:rsidRPr="002E06C0">
        <w:rPr>
          <w:rFonts w:ascii="Arial" w:hAnsi="Arial" w:cs="Arial"/>
          <w:sz w:val="22"/>
          <w:szCs w:val="22"/>
        </w:rPr>
        <w:t>1. o valor do crédito fica limitado ao montante equivalente ao valor efetivamente investido para aquisição da área ou do empreendimento;</w:t>
      </w:r>
    </w:p>
    <w:p w14:paraId="4C98F43B" w14:textId="77777777" w:rsidR="002E06C0" w:rsidRPr="002E06C0" w:rsidRDefault="002E06C0" w:rsidP="00EF4DB8">
      <w:pPr>
        <w:ind w:left="2268"/>
        <w:jc w:val="both"/>
        <w:rPr>
          <w:rFonts w:ascii="Arial" w:hAnsi="Arial" w:cs="Arial"/>
          <w:sz w:val="22"/>
          <w:szCs w:val="22"/>
        </w:rPr>
      </w:pPr>
      <w:r w:rsidRPr="002E06C0">
        <w:rPr>
          <w:rFonts w:ascii="Arial" w:hAnsi="Arial" w:cs="Arial"/>
          <w:sz w:val="22"/>
          <w:szCs w:val="22"/>
        </w:rPr>
        <w:t>2. a fruição do benefício fica condicionada:</w:t>
      </w:r>
    </w:p>
    <w:p w14:paraId="22DE58B9" w14:textId="77777777" w:rsidR="002E06C0" w:rsidRPr="002E06C0" w:rsidRDefault="002E06C0" w:rsidP="00EF4DB8">
      <w:pPr>
        <w:ind w:left="2268"/>
        <w:jc w:val="both"/>
        <w:rPr>
          <w:rFonts w:ascii="Arial" w:hAnsi="Arial" w:cs="Arial"/>
          <w:sz w:val="22"/>
          <w:szCs w:val="22"/>
        </w:rPr>
      </w:pPr>
      <w:r w:rsidRPr="002E06C0">
        <w:rPr>
          <w:rFonts w:ascii="Arial" w:hAnsi="Arial" w:cs="Arial"/>
          <w:sz w:val="22"/>
          <w:szCs w:val="22"/>
        </w:rPr>
        <w:t>2.1. à apresentação de projeto específico à Secretaria de Estado da Fazenda, que deve conter no mínimo:</w:t>
      </w:r>
    </w:p>
    <w:p w14:paraId="46FE6A27" w14:textId="77777777" w:rsidR="002E06C0" w:rsidRPr="002E06C0" w:rsidRDefault="002E06C0" w:rsidP="00EF4DB8">
      <w:pPr>
        <w:ind w:left="2268"/>
        <w:jc w:val="both"/>
        <w:rPr>
          <w:rFonts w:ascii="Arial" w:hAnsi="Arial" w:cs="Arial"/>
          <w:sz w:val="22"/>
          <w:szCs w:val="22"/>
        </w:rPr>
      </w:pPr>
      <w:r w:rsidRPr="002E06C0">
        <w:rPr>
          <w:rFonts w:ascii="Arial" w:hAnsi="Arial" w:cs="Arial"/>
          <w:sz w:val="22"/>
          <w:szCs w:val="22"/>
        </w:rPr>
        <w:t>2.1.1. a escritura de compra e venda;</w:t>
      </w:r>
    </w:p>
    <w:p w14:paraId="293B35CF" w14:textId="77777777" w:rsidR="002E06C0" w:rsidRPr="002E06C0" w:rsidRDefault="002E06C0" w:rsidP="00EF4DB8">
      <w:pPr>
        <w:ind w:left="2268"/>
        <w:jc w:val="both"/>
        <w:rPr>
          <w:rFonts w:ascii="Arial" w:hAnsi="Arial" w:cs="Arial"/>
          <w:sz w:val="22"/>
          <w:szCs w:val="22"/>
        </w:rPr>
      </w:pPr>
      <w:r w:rsidRPr="002E06C0">
        <w:rPr>
          <w:rFonts w:ascii="Arial" w:hAnsi="Arial" w:cs="Arial"/>
          <w:sz w:val="22"/>
          <w:szCs w:val="22"/>
        </w:rPr>
        <w:t>2.1.2. o valor dos investimentos a serem realizados pelo contribuinte, não podendo ser inferior a 3 (três) vezes o valor do terreno ou empreendimento adquirido;</w:t>
      </w:r>
    </w:p>
    <w:p w14:paraId="5F8BFF4B" w14:textId="77777777" w:rsidR="002E06C0" w:rsidRPr="002E06C0" w:rsidRDefault="002E06C0" w:rsidP="00EF4DB8">
      <w:pPr>
        <w:ind w:left="2268"/>
        <w:jc w:val="both"/>
        <w:rPr>
          <w:rFonts w:ascii="Arial" w:hAnsi="Arial" w:cs="Arial"/>
          <w:sz w:val="22"/>
          <w:szCs w:val="22"/>
        </w:rPr>
      </w:pPr>
      <w:r w:rsidRPr="002E06C0">
        <w:rPr>
          <w:rFonts w:ascii="Arial" w:hAnsi="Arial" w:cs="Arial"/>
          <w:sz w:val="22"/>
          <w:szCs w:val="22"/>
        </w:rPr>
        <w:t>2.1.3. o cronograma físico-financeiro das obras;</w:t>
      </w:r>
    </w:p>
    <w:p w14:paraId="18CDC9D3" w14:textId="77777777" w:rsidR="002E06C0" w:rsidRPr="002E06C0" w:rsidRDefault="002E06C0" w:rsidP="00EF4DB8">
      <w:pPr>
        <w:ind w:left="2268"/>
        <w:jc w:val="both"/>
        <w:rPr>
          <w:rFonts w:ascii="Arial" w:hAnsi="Arial" w:cs="Arial"/>
          <w:sz w:val="22"/>
          <w:szCs w:val="22"/>
        </w:rPr>
      </w:pPr>
      <w:r w:rsidRPr="002E06C0">
        <w:rPr>
          <w:rFonts w:ascii="Arial" w:hAnsi="Arial" w:cs="Arial"/>
          <w:sz w:val="22"/>
          <w:szCs w:val="22"/>
        </w:rPr>
        <w:t>3. comprovação da efetiva utilização do imóvel nos termos exigíveis pela CODEGO;</w:t>
      </w:r>
    </w:p>
    <w:p w14:paraId="29C45482" w14:textId="77777777" w:rsidR="002E06C0" w:rsidRPr="002E06C0" w:rsidRDefault="002E06C0" w:rsidP="00EF4DB8">
      <w:pPr>
        <w:ind w:left="2268"/>
        <w:jc w:val="both"/>
        <w:rPr>
          <w:rFonts w:ascii="Arial" w:hAnsi="Arial" w:cs="Arial"/>
          <w:sz w:val="22"/>
          <w:szCs w:val="22"/>
        </w:rPr>
      </w:pPr>
      <w:r w:rsidRPr="002E06C0">
        <w:rPr>
          <w:rFonts w:ascii="Arial" w:hAnsi="Arial" w:cs="Arial"/>
          <w:sz w:val="22"/>
          <w:szCs w:val="22"/>
        </w:rPr>
        <w:t xml:space="preserve">4. em caso de aquisição de áreas ou empreendimentos que contenham benfeitorias existentes, diretamente da CODEGO, o valor do crédito fica </w:t>
      </w:r>
      <w:r w:rsidRPr="002E06C0">
        <w:rPr>
          <w:rFonts w:ascii="Arial" w:hAnsi="Arial" w:cs="Arial"/>
          <w:sz w:val="22"/>
          <w:szCs w:val="22"/>
        </w:rPr>
        <w:lastRenderedPageBreak/>
        <w:t>limitado ao valor do terreno, conforme tabela oficial aprovada pelo Conselho de Administração da Companhia, descontado o incentivo concedido nos termos do art. 3º, inciso I, da Lei nº 19.064, de 14 de outubro de 2015;</w:t>
      </w:r>
    </w:p>
    <w:p w14:paraId="6BEAC32F" w14:textId="77777777" w:rsidR="002E06C0" w:rsidRPr="002E06C0" w:rsidRDefault="002E06C0" w:rsidP="00EF4DB8">
      <w:pPr>
        <w:ind w:left="2268"/>
        <w:jc w:val="both"/>
        <w:rPr>
          <w:rFonts w:ascii="Arial" w:hAnsi="Arial" w:cs="Arial"/>
          <w:sz w:val="22"/>
          <w:szCs w:val="22"/>
        </w:rPr>
      </w:pPr>
      <w:r w:rsidRPr="002E06C0">
        <w:rPr>
          <w:rFonts w:ascii="Arial" w:hAnsi="Arial" w:cs="Arial"/>
          <w:sz w:val="22"/>
          <w:szCs w:val="22"/>
        </w:rPr>
        <w:t>5. para apropriação do crédito outorgado o contribuinte deve celebrar termo de acordo de regime especial com a Secretaria de Estado da Fazenda, no qual devem constar metas de arrecadação de ICMS por empresa, bem como as demais condições para apropriação do crédito outorgado.</w:t>
      </w:r>
    </w:p>
    <w:p w14:paraId="7ABCFC80" w14:textId="77B237DF" w:rsidR="00BD5866" w:rsidRPr="00BD5866" w:rsidRDefault="00BD5866" w:rsidP="00EF4DB8">
      <w:pPr>
        <w:ind w:left="2268"/>
        <w:jc w:val="both"/>
        <w:rPr>
          <w:rFonts w:ascii="Arial" w:hAnsi="Arial" w:cs="Arial"/>
          <w:sz w:val="22"/>
          <w:szCs w:val="22"/>
        </w:rPr>
      </w:pPr>
      <w:r>
        <w:rPr>
          <w:rFonts w:ascii="Arial" w:hAnsi="Arial" w:cs="Arial"/>
          <w:sz w:val="22"/>
          <w:szCs w:val="22"/>
        </w:rPr>
        <w:t>[...].</w:t>
      </w:r>
    </w:p>
    <w:p w14:paraId="24E80F58" w14:textId="77777777" w:rsidR="00BD5866" w:rsidRPr="00FF61E7" w:rsidRDefault="00BD5866" w:rsidP="00EF4DB8">
      <w:pPr>
        <w:ind w:left="2268"/>
        <w:jc w:val="both"/>
        <w:rPr>
          <w:rFonts w:ascii="Arial" w:hAnsi="Arial" w:cs="Arial"/>
          <w:sz w:val="24"/>
          <w:szCs w:val="24"/>
        </w:rPr>
      </w:pPr>
    </w:p>
    <w:p w14:paraId="190CDEAD" w14:textId="0BF5110F" w:rsidR="002E06C0" w:rsidRPr="00FF61E7" w:rsidRDefault="002E06C0" w:rsidP="00713208">
      <w:pPr>
        <w:spacing w:line="360" w:lineRule="auto"/>
        <w:ind w:firstLine="851"/>
        <w:jc w:val="both"/>
        <w:rPr>
          <w:rFonts w:ascii="Arial" w:hAnsi="Arial" w:cs="Arial"/>
          <w:sz w:val="24"/>
          <w:szCs w:val="24"/>
        </w:rPr>
      </w:pPr>
      <w:r w:rsidRPr="00FF61E7">
        <w:rPr>
          <w:rFonts w:ascii="Arial" w:hAnsi="Arial" w:cs="Arial"/>
          <w:sz w:val="24"/>
          <w:szCs w:val="24"/>
        </w:rPr>
        <w:t>Referido decreto ainda alterou o § 4º do mesmo art. 12 do Anexo IX do RCTE/GO para instituir a vigência do benefício até 30/09/2019, isto é, por aproximadamente um ano e meio.</w:t>
      </w:r>
    </w:p>
    <w:p w14:paraId="013DEFC4" w14:textId="77777777" w:rsidR="005C068E" w:rsidRPr="00F3130D" w:rsidRDefault="002E06C0" w:rsidP="00713208">
      <w:pPr>
        <w:spacing w:line="360" w:lineRule="auto"/>
        <w:ind w:firstLine="851"/>
        <w:jc w:val="both"/>
        <w:rPr>
          <w:rFonts w:ascii="Arial" w:hAnsi="Arial" w:cs="Arial"/>
          <w:sz w:val="24"/>
          <w:szCs w:val="24"/>
        </w:rPr>
      </w:pPr>
      <w:r w:rsidRPr="00F3130D">
        <w:rPr>
          <w:rFonts w:ascii="Arial" w:hAnsi="Arial" w:cs="Arial"/>
          <w:sz w:val="24"/>
          <w:szCs w:val="24"/>
        </w:rPr>
        <w:t xml:space="preserve">Apesar de a Lei nº 20.367/2018 (publicada em dezembro) ter sido posterior ao Decreto nº 9.185/2018 (publicado em março), </w:t>
      </w:r>
      <w:r w:rsidR="00517311" w:rsidRPr="00F3130D">
        <w:rPr>
          <w:rFonts w:ascii="Arial" w:hAnsi="Arial" w:cs="Arial"/>
          <w:sz w:val="24"/>
          <w:szCs w:val="24"/>
        </w:rPr>
        <w:t xml:space="preserve">esse último não consta no Anexo Único daquela lei, o que leva à compreensão, na ótica desta CPI, de que </w:t>
      </w:r>
      <w:r w:rsidRPr="00F3130D">
        <w:rPr>
          <w:rFonts w:ascii="Arial" w:hAnsi="Arial" w:cs="Arial"/>
          <w:sz w:val="24"/>
          <w:szCs w:val="24"/>
        </w:rPr>
        <w:t xml:space="preserve">não houve convalidação dos incentivos fiscais trazidos por esse </w:t>
      </w:r>
      <w:r w:rsidR="00517311" w:rsidRPr="00F3130D">
        <w:rPr>
          <w:rFonts w:ascii="Arial" w:hAnsi="Arial" w:cs="Arial"/>
          <w:sz w:val="24"/>
          <w:szCs w:val="24"/>
        </w:rPr>
        <w:t>último ato normativo.</w:t>
      </w:r>
      <w:r w:rsidR="00DD1038" w:rsidRPr="00F3130D">
        <w:rPr>
          <w:rFonts w:ascii="Arial" w:hAnsi="Arial" w:cs="Arial"/>
          <w:sz w:val="24"/>
          <w:szCs w:val="24"/>
        </w:rPr>
        <w:t xml:space="preserve"> </w:t>
      </w:r>
    </w:p>
    <w:p w14:paraId="1C64C06F" w14:textId="3B9E3265" w:rsidR="00517311" w:rsidRPr="00F3130D" w:rsidRDefault="005C068E" w:rsidP="00713208">
      <w:pPr>
        <w:spacing w:line="360" w:lineRule="auto"/>
        <w:ind w:firstLine="851"/>
        <w:jc w:val="both"/>
        <w:rPr>
          <w:rFonts w:ascii="Arial" w:hAnsi="Arial" w:cs="Arial"/>
          <w:sz w:val="24"/>
          <w:szCs w:val="24"/>
        </w:rPr>
      </w:pPr>
      <w:r w:rsidRPr="00F3130D">
        <w:rPr>
          <w:rFonts w:ascii="Arial" w:hAnsi="Arial" w:cs="Arial"/>
          <w:sz w:val="24"/>
          <w:szCs w:val="24"/>
        </w:rPr>
        <w:t>Ainda, embora</w:t>
      </w:r>
      <w:r w:rsidR="00DD1038" w:rsidRPr="00F3130D">
        <w:rPr>
          <w:rFonts w:ascii="Arial" w:hAnsi="Arial" w:cs="Arial"/>
          <w:sz w:val="24"/>
          <w:szCs w:val="24"/>
        </w:rPr>
        <w:t xml:space="preserve"> </w:t>
      </w:r>
      <w:r w:rsidRPr="00F3130D">
        <w:rPr>
          <w:rFonts w:ascii="Arial" w:hAnsi="Arial" w:cs="Arial"/>
          <w:sz w:val="24"/>
          <w:szCs w:val="24"/>
        </w:rPr>
        <w:t>mencionad</w:t>
      </w:r>
      <w:r w:rsidR="00DD1038" w:rsidRPr="00F3130D">
        <w:rPr>
          <w:rFonts w:ascii="Arial" w:hAnsi="Arial" w:cs="Arial"/>
          <w:sz w:val="24"/>
          <w:szCs w:val="24"/>
        </w:rPr>
        <w:t>a lei te</w:t>
      </w:r>
      <w:r w:rsidRPr="00F3130D">
        <w:rPr>
          <w:rFonts w:ascii="Arial" w:hAnsi="Arial" w:cs="Arial"/>
          <w:sz w:val="24"/>
          <w:szCs w:val="24"/>
        </w:rPr>
        <w:t>nha</w:t>
      </w:r>
      <w:r w:rsidR="00DD1038" w:rsidRPr="00F3130D">
        <w:rPr>
          <w:rFonts w:ascii="Arial" w:hAnsi="Arial" w:cs="Arial"/>
          <w:sz w:val="24"/>
          <w:szCs w:val="24"/>
        </w:rPr>
        <w:t xml:space="preserve"> convalidado de forma geral o decreto que institui o RCTE/GO (nº 4.852/1997)</w:t>
      </w:r>
      <w:r w:rsidR="00517311" w:rsidRPr="00F3130D">
        <w:rPr>
          <w:rFonts w:ascii="Arial" w:hAnsi="Arial" w:cs="Arial"/>
          <w:sz w:val="24"/>
          <w:szCs w:val="24"/>
        </w:rPr>
        <w:t>, houve</w:t>
      </w:r>
      <w:r w:rsidRPr="00F3130D">
        <w:rPr>
          <w:rFonts w:ascii="Arial" w:hAnsi="Arial" w:cs="Arial"/>
          <w:sz w:val="24"/>
          <w:szCs w:val="24"/>
        </w:rPr>
        <w:t xml:space="preserve"> também</w:t>
      </w:r>
      <w:r w:rsidR="00517311" w:rsidRPr="00F3130D">
        <w:rPr>
          <w:rFonts w:ascii="Arial" w:hAnsi="Arial" w:cs="Arial"/>
          <w:sz w:val="24"/>
          <w:szCs w:val="24"/>
        </w:rPr>
        <w:t xml:space="preserve"> convalidação expressa em relação a diversos decretos que alteraram o respectivo Anexo IX, a exemplo do</w:t>
      </w:r>
      <w:r w:rsidRPr="00F3130D">
        <w:rPr>
          <w:rFonts w:ascii="Arial" w:hAnsi="Arial" w:cs="Arial"/>
          <w:sz w:val="24"/>
          <w:szCs w:val="24"/>
        </w:rPr>
        <w:t>s</w:t>
      </w:r>
      <w:r w:rsidR="00517311" w:rsidRPr="00F3130D">
        <w:rPr>
          <w:rFonts w:ascii="Arial" w:hAnsi="Arial" w:cs="Arial"/>
          <w:sz w:val="24"/>
          <w:szCs w:val="24"/>
        </w:rPr>
        <w:t xml:space="preserve"> Decreto nºs </w:t>
      </w:r>
      <w:r w:rsidR="00517311" w:rsidRPr="00F3130D">
        <w:rPr>
          <w:rFonts w:ascii="Arial" w:hAnsi="Arial" w:cs="Arial"/>
          <w:color w:val="000000"/>
          <w:sz w:val="24"/>
          <w:szCs w:val="24"/>
        </w:rPr>
        <w:t>9.075/2017</w:t>
      </w:r>
      <w:r w:rsidRPr="00F3130D">
        <w:rPr>
          <w:rFonts w:ascii="Arial" w:hAnsi="Arial" w:cs="Arial"/>
          <w:color w:val="000000"/>
          <w:sz w:val="24"/>
          <w:szCs w:val="24"/>
        </w:rPr>
        <w:t xml:space="preserve"> e 9.220/2018, apenas para citar alguns. Isso indica que o legislador, quando quis convalidar determinada alteração normativa no Anexo IX do RCTE/GO, o fez de forma expressa, o que não houve em relação ao </w:t>
      </w:r>
      <w:r w:rsidRPr="00F3130D">
        <w:rPr>
          <w:rFonts w:ascii="Arial" w:hAnsi="Arial" w:cs="Arial"/>
          <w:sz w:val="24"/>
          <w:szCs w:val="24"/>
        </w:rPr>
        <w:t>Decreto nº 9.185/2018.</w:t>
      </w:r>
    </w:p>
    <w:p w14:paraId="3A7D9BD0" w14:textId="2BA5FA96" w:rsidR="001F6720" w:rsidRDefault="005C068E" w:rsidP="00713208">
      <w:pPr>
        <w:spacing w:line="360" w:lineRule="auto"/>
        <w:ind w:firstLine="851"/>
        <w:jc w:val="both"/>
        <w:rPr>
          <w:rFonts w:ascii="Arial" w:hAnsi="Arial" w:cs="Arial"/>
          <w:sz w:val="24"/>
          <w:szCs w:val="24"/>
        </w:rPr>
      </w:pPr>
      <w:r w:rsidRPr="00F3130D">
        <w:rPr>
          <w:rFonts w:ascii="Arial" w:hAnsi="Arial" w:cs="Arial"/>
          <w:sz w:val="24"/>
          <w:szCs w:val="24"/>
        </w:rPr>
        <w:t xml:space="preserve">Não obstante essa irregularidade, </w:t>
      </w:r>
      <w:r w:rsidRPr="00F3130D">
        <w:rPr>
          <w:rFonts w:ascii="Arial" w:hAnsi="Arial" w:cs="Arial"/>
          <w:sz w:val="24"/>
          <w:szCs w:val="24"/>
          <w:u w:val="single"/>
        </w:rPr>
        <w:t xml:space="preserve">o recente </w:t>
      </w:r>
      <w:r w:rsidR="00A14D11" w:rsidRPr="00F3130D">
        <w:rPr>
          <w:rFonts w:ascii="Arial" w:hAnsi="Arial" w:cs="Arial"/>
          <w:sz w:val="24"/>
          <w:szCs w:val="24"/>
          <w:u w:val="single"/>
        </w:rPr>
        <w:t>Decreto nº 9.</w:t>
      </w:r>
      <w:r w:rsidRPr="00F3130D">
        <w:rPr>
          <w:rFonts w:ascii="Arial" w:hAnsi="Arial" w:cs="Arial"/>
          <w:sz w:val="24"/>
          <w:szCs w:val="24"/>
          <w:u w:val="single"/>
        </w:rPr>
        <w:t>579/2019 agrava</w:t>
      </w:r>
      <w:r w:rsidRPr="00AE4984">
        <w:rPr>
          <w:rFonts w:ascii="Arial" w:hAnsi="Arial" w:cs="Arial"/>
          <w:sz w:val="24"/>
          <w:szCs w:val="24"/>
          <w:u w:val="single"/>
        </w:rPr>
        <w:t xml:space="preserve"> ainda mais esse quadro, ao estender a possibilidade de concessão de crédito outorgado – constante do já viciado inciso XVI do art. 12 do Anexo IX do RCTE/GO –  a contribuintes que invistam em infraestrutura </w:t>
      </w:r>
      <w:r w:rsidR="002E06C0" w:rsidRPr="00AE4984">
        <w:rPr>
          <w:rFonts w:ascii="Arial" w:hAnsi="Arial" w:cs="Arial"/>
          <w:sz w:val="24"/>
          <w:szCs w:val="24"/>
          <w:u w:val="single"/>
        </w:rPr>
        <w:t>na continuidade da construção da ponte sobre o Rio Verdão, na rodovia GO-409, no Município de Maurilândia-GO (art. 1º)</w:t>
      </w:r>
      <w:r w:rsidR="002E06C0">
        <w:rPr>
          <w:rFonts w:ascii="Arial" w:hAnsi="Arial" w:cs="Arial"/>
          <w:sz w:val="24"/>
          <w:szCs w:val="24"/>
        </w:rPr>
        <w:t>.</w:t>
      </w:r>
      <w:r>
        <w:rPr>
          <w:rFonts w:ascii="Arial" w:hAnsi="Arial" w:cs="Arial"/>
          <w:sz w:val="24"/>
          <w:szCs w:val="24"/>
        </w:rPr>
        <w:t xml:space="preserve"> </w:t>
      </w:r>
      <w:r w:rsidR="002E0CDB">
        <w:rPr>
          <w:rFonts w:ascii="Arial" w:hAnsi="Arial" w:cs="Arial"/>
          <w:sz w:val="24"/>
          <w:szCs w:val="24"/>
        </w:rPr>
        <w:t>Ainda, o D</w:t>
      </w:r>
      <w:r w:rsidR="00AE4984">
        <w:rPr>
          <w:rFonts w:ascii="Arial" w:hAnsi="Arial" w:cs="Arial"/>
          <w:sz w:val="24"/>
          <w:szCs w:val="24"/>
        </w:rPr>
        <w:t xml:space="preserve">ecreto </w:t>
      </w:r>
      <w:r w:rsidR="002E0CDB">
        <w:rPr>
          <w:rFonts w:ascii="Arial" w:hAnsi="Arial" w:cs="Arial"/>
          <w:sz w:val="24"/>
          <w:szCs w:val="24"/>
        </w:rPr>
        <w:t xml:space="preserve">nº 9.560/2019 </w:t>
      </w:r>
      <w:r w:rsidR="00AE4984">
        <w:rPr>
          <w:rFonts w:ascii="Arial" w:hAnsi="Arial" w:cs="Arial"/>
          <w:sz w:val="24"/>
          <w:szCs w:val="24"/>
        </w:rPr>
        <w:t>prorroga para 31/10/2020 a fruição do benefício</w:t>
      </w:r>
      <w:r w:rsidR="002E0CDB">
        <w:rPr>
          <w:rFonts w:ascii="Arial" w:hAnsi="Arial" w:cs="Arial"/>
          <w:sz w:val="24"/>
          <w:szCs w:val="24"/>
        </w:rPr>
        <w:t>, consoante estabelecido no respectivo Anexo II, que altera o § 4º do art. 12 do Anexo IX do RCTE/GO para esse propósito.</w:t>
      </w:r>
    </w:p>
    <w:p w14:paraId="50F39BBA" w14:textId="149A5AD7" w:rsidR="00B84127" w:rsidRDefault="00B84127" w:rsidP="00713208">
      <w:pPr>
        <w:spacing w:line="360" w:lineRule="auto"/>
        <w:ind w:firstLine="851"/>
        <w:jc w:val="both"/>
        <w:rPr>
          <w:rFonts w:ascii="Arial" w:hAnsi="Arial" w:cs="Arial"/>
          <w:sz w:val="24"/>
          <w:szCs w:val="24"/>
        </w:rPr>
      </w:pPr>
      <w:r>
        <w:rPr>
          <w:rFonts w:ascii="Arial" w:hAnsi="Arial" w:cs="Arial"/>
          <w:sz w:val="24"/>
          <w:szCs w:val="24"/>
        </w:rPr>
        <w:t xml:space="preserve">Portanto, </w:t>
      </w:r>
      <w:r w:rsidR="00E8721E">
        <w:rPr>
          <w:rFonts w:ascii="Arial" w:hAnsi="Arial" w:cs="Arial"/>
          <w:sz w:val="24"/>
          <w:szCs w:val="24"/>
        </w:rPr>
        <w:t>inconstitucionais</w:t>
      </w:r>
      <w:r>
        <w:rPr>
          <w:rFonts w:ascii="Arial" w:hAnsi="Arial" w:cs="Arial"/>
          <w:sz w:val="24"/>
          <w:szCs w:val="24"/>
        </w:rPr>
        <w:t xml:space="preserve"> o</w:t>
      </w:r>
      <w:r w:rsidR="00D83427">
        <w:rPr>
          <w:rFonts w:ascii="Arial" w:hAnsi="Arial" w:cs="Arial"/>
          <w:sz w:val="24"/>
          <w:szCs w:val="24"/>
        </w:rPr>
        <w:t>s</w:t>
      </w:r>
      <w:r>
        <w:rPr>
          <w:rFonts w:ascii="Arial" w:hAnsi="Arial" w:cs="Arial"/>
          <w:sz w:val="24"/>
          <w:szCs w:val="24"/>
        </w:rPr>
        <w:t xml:space="preserve"> Decreto</w:t>
      </w:r>
      <w:r w:rsidR="00D83427">
        <w:rPr>
          <w:rFonts w:ascii="Arial" w:hAnsi="Arial" w:cs="Arial"/>
          <w:sz w:val="24"/>
          <w:szCs w:val="24"/>
        </w:rPr>
        <w:t>s</w:t>
      </w:r>
      <w:r>
        <w:rPr>
          <w:rFonts w:ascii="Arial" w:hAnsi="Arial" w:cs="Arial"/>
          <w:sz w:val="24"/>
          <w:szCs w:val="24"/>
        </w:rPr>
        <w:t xml:space="preserve"> nº 9.579/2019</w:t>
      </w:r>
      <w:r w:rsidR="00D83427">
        <w:rPr>
          <w:rFonts w:ascii="Arial" w:hAnsi="Arial" w:cs="Arial"/>
          <w:sz w:val="24"/>
          <w:szCs w:val="24"/>
        </w:rPr>
        <w:t>, ao criar nova hipótese de crédito outorgado</w:t>
      </w:r>
      <w:r w:rsidR="00666166" w:rsidRPr="00666166">
        <w:rPr>
          <w:rFonts w:ascii="Arial" w:hAnsi="Arial" w:cs="Arial"/>
          <w:sz w:val="24"/>
          <w:szCs w:val="24"/>
        </w:rPr>
        <w:t xml:space="preserve"> </w:t>
      </w:r>
      <w:r w:rsidR="00666166">
        <w:rPr>
          <w:rFonts w:ascii="Arial" w:hAnsi="Arial" w:cs="Arial"/>
          <w:sz w:val="24"/>
          <w:szCs w:val="24"/>
        </w:rPr>
        <w:t>por prazo determinado</w:t>
      </w:r>
      <w:r w:rsidR="00D83427">
        <w:rPr>
          <w:rFonts w:ascii="Arial" w:hAnsi="Arial" w:cs="Arial"/>
          <w:sz w:val="24"/>
          <w:szCs w:val="24"/>
        </w:rPr>
        <w:t>,</w:t>
      </w:r>
      <w:r>
        <w:rPr>
          <w:rFonts w:ascii="Arial" w:hAnsi="Arial" w:cs="Arial"/>
          <w:sz w:val="24"/>
          <w:szCs w:val="24"/>
        </w:rPr>
        <w:t xml:space="preserve"> o de nº 9.185/2018</w:t>
      </w:r>
      <w:r w:rsidR="00D86F02">
        <w:rPr>
          <w:rFonts w:ascii="Arial" w:hAnsi="Arial" w:cs="Arial"/>
          <w:sz w:val="24"/>
          <w:szCs w:val="24"/>
        </w:rPr>
        <w:t xml:space="preserve">, que primeiro </w:t>
      </w:r>
      <w:r w:rsidR="001B25FB">
        <w:rPr>
          <w:rFonts w:ascii="Arial" w:hAnsi="Arial" w:cs="Arial"/>
          <w:sz w:val="24"/>
          <w:szCs w:val="24"/>
        </w:rPr>
        <w:t>incluiu o inciso XVI no art. 12 do Anexo IX do RCTE/GO</w:t>
      </w:r>
      <w:r w:rsidR="002E0CDB">
        <w:rPr>
          <w:rFonts w:ascii="Arial" w:hAnsi="Arial" w:cs="Arial"/>
          <w:sz w:val="24"/>
          <w:szCs w:val="24"/>
        </w:rPr>
        <w:t>, e também o de nº 9.560/2019, ao ampliar o prazo de fruição do benefício para 31/10/2019</w:t>
      </w:r>
      <w:r>
        <w:rPr>
          <w:rFonts w:ascii="Arial" w:hAnsi="Arial" w:cs="Arial"/>
          <w:sz w:val="24"/>
          <w:szCs w:val="24"/>
        </w:rPr>
        <w:t>.</w:t>
      </w:r>
    </w:p>
    <w:p w14:paraId="78565273" w14:textId="68299AC5" w:rsidR="00C22C34" w:rsidRDefault="00C22C34" w:rsidP="00713208">
      <w:pPr>
        <w:spacing w:line="360" w:lineRule="auto"/>
        <w:ind w:firstLine="851"/>
        <w:jc w:val="both"/>
        <w:rPr>
          <w:rFonts w:ascii="Arial" w:hAnsi="Arial" w:cs="Arial"/>
          <w:sz w:val="24"/>
          <w:szCs w:val="24"/>
        </w:rPr>
      </w:pPr>
    </w:p>
    <w:p w14:paraId="76DEF592" w14:textId="7EC4EB3D" w:rsidR="00C858D7" w:rsidRPr="00A86C47" w:rsidRDefault="00C858D7" w:rsidP="00C858D7">
      <w:pPr>
        <w:spacing w:line="360" w:lineRule="auto"/>
        <w:ind w:firstLine="851"/>
        <w:jc w:val="both"/>
        <w:rPr>
          <w:rFonts w:ascii="Arial" w:hAnsi="Arial" w:cs="Arial"/>
          <w:b/>
          <w:sz w:val="24"/>
          <w:szCs w:val="24"/>
        </w:rPr>
      </w:pPr>
      <w:r>
        <w:rPr>
          <w:rFonts w:ascii="Arial" w:hAnsi="Arial" w:cs="Arial"/>
          <w:b/>
          <w:sz w:val="24"/>
          <w:szCs w:val="24"/>
        </w:rPr>
        <w:lastRenderedPageBreak/>
        <w:t>5.2.</w:t>
      </w:r>
      <w:r w:rsidR="00701956">
        <w:rPr>
          <w:rFonts w:ascii="Arial" w:hAnsi="Arial" w:cs="Arial"/>
          <w:b/>
          <w:sz w:val="24"/>
          <w:szCs w:val="24"/>
        </w:rPr>
        <w:t>2</w:t>
      </w:r>
      <w:r>
        <w:rPr>
          <w:rFonts w:ascii="Arial" w:hAnsi="Arial" w:cs="Arial"/>
          <w:b/>
          <w:sz w:val="24"/>
          <w:szCs w:val="24"/>
        </w:rPr>
        <w:t>.3</w:t>
      </w:r>
      <w:r w:rsidRPr="00A86C47">
        <w:rPr>
          <w:rFonts w:ascii="Arial" w:hAnsi="Arial" w:cs="Arial"/>
          <w:b/>
          <w:sz w:val="24"/>
          <w:szCs w:val="24"/>
        </w:rPr>
        <w:t xml:space="preserve"> – </w:t>
      </w:r>
      <w:r w:rsidR="006F3FB8">
        <w:rPr>
          <w:rFonts w:ascii="Arial" w:hAnsi="Arial" w:cs="Arial"/>
          <w:b/>
          <w:sz w:val="24"/>
          <w:szCs w:val="24"/>
        </w:rPr>
        <w:t xml:space="preserve">Roboque e semirreboque – </w:t>
      </w:r>
      <w:r>
        <w:rPr>
          <w:rFonts w:ascii="Arial" w:hAnsi="Arial" w:cs="Arial"/>
          <w:b/>
          <w:sz w:val="24"/>
          <w:szCs w:val="24"/>
        </w:rPr>
        <w:t>Decreto nº 9.5</w:t>
      </w:r>
      <w:r w:rsidR="005E02C5">
        <w:rPr>
          <w:rFonts w:ascii="Arial" w:hAnsi="Arial" w:cs="Arial"/>
          <w:b/>
          <w:sz w:val="24"/>
          <w:szCs w:val="24"/>
        </w:rPr>
        <w:t>76</w:t>
      </w:r>
      <w:r>
        <w:rPr>
          <w:rFonts w:ascii="Arial" w:hAnsi="Arial" w:cs="Arial"/>
          <w:b/>
          <w:sz w:val="24"/>
          <w:szCs w:val="24"/>
        </w:rPr>
        <w:t xml:space="preserve"> (</w:t>
      </w:r>
      <w:r w:rsidRPr="00A86C47">
        <w:rPr>
          <w:rFonts w:ascii="Arial" w:hAnsi="Arial" w:cs="Arial"/>
          <w:b/>
          <w:sz w:val="24"/>
          <w:szCs w:val="24"/>
        </w:rPr>
        <w:t xml:space="preserve">D.O. </w:t>
      </w:r>
      <w:r w:rsidR="005E02C5">
        <w:rPr>
          <w:rFonts w:ascii="Arial" w:hAnsi="Arial" w:cs="Arial"/>
          <w:b/>
          <w:sz w:val="24"/>
          <w:szCs w:val="24"/>
        </w:rPr>
        <w:t>06</w:t>
      </w:r>
      <w:r w:rsidRPr="00A86C47">
        <w:rPr>
          <w:rFonts w:ascii="Arial" w:hAnsi="Arial" w:cs="Arial"/>
          <w:b/>
          <w:sz w:val="24"/>
          <w:szCs w:val="24"/>
        </w:rPr>
        <w:t>-12-2019)</w:t>
      </w:r>
    </w:p>
    <w:p w14:paraId="1F236E08" w14:textId="1E21C958" w:rsidR="00C858D7" w:rsidRDefault="00C858D7" w:rsidP="00713208">
      <w:pPr>
        <w:spacing w:line="360" w:lineRule="auto"/>
        <w:ind w:firstLine="851"/>
        <w:jc w:val="both"/>
        <w:rPr>
          <w:rFonts w:ascii="Arial" w:hAnsi="Arial" w:cs="Arial"/>
          <w:sz w:val="24"/>
          <w:szCs w:val="24"/>
        </w:rPr>
      </w:pPr>
    </w:p>
    <w:p w14:paraId="422337CA" w14:textId="50BDC0BB" w:rsidR="00C575F8" w:rsidRDefault="008D26A3" w:rsidP="00C575F8">
      <w:pPr>
        <w:spacing w:line="360" w:lineRule="auto"/>
        <w:ind w:firstLine="851"/>
        <w:jc w:val="both"/>
        <w:rPr>
          <w:rFonts w:ascii="Arial" w:hAnsi="Arial" w:cs="Arial"/>
          <w:sz w:val="24"/>
          <w:szCs w:val="24"/>
        </w:rPr>
      </w:pPr>
      <w:r w:rsidRPr="008D26A3">
        <w:rPr>
          <w:rFonts w:ascii="Arial" w:hAnsi="Arial" w:cs="Arial"/>
          <w:sz w:val="24"/>
          <w:szCs w:val="24"/>
        </w:rPr>
        <w:t>Ref</w:t>
      </w:r>
      <w:r>
        <w:rPr>
          <w:rFonts w:ascii="Arial" w:hAnsi="Arial" w:cs="Arial"/>
          <w:sz w:val="24"/>
          <w:szCs w:val="24"/>
        </w:rPr>
        <w:t>erido decreto inseriu o inciso LXX ao art. 7º do Anexo IX do RCTE/GO</w:t>
      </w:r>
      <w:r w:rsidR="00115CFD">
        <w:rPr>
          <w:rFonts w:ascii="Arial" w:hAnsi="Arial" w:cs="Arial"/>
          <w:sz w:val="24"/>
          <w:szCs w:val="24"/>
        </w:rPr>
        <w:t>, bem como no § 1º do mesmo artigo,</w:t>
      </w:r>
      <w:r>
        <w:rPr>
          <w:rFonts w:ascii="Arial" w:hAnsi="Arial" w:cs="Arial"/>
          <w:sz w:val="24"/>
          <w:szCs w:val="24"/>
        </w:rPr>
        <w:t xml:space="preserve"> para instituir nova isenção por prazo determinado, até 31/12/2019, </w:t>
      </w:r>
      <w:r w:rsidR="00115CFD">
        <w:rPr>
          <w:rFonts w:ascii="Arial" w:hAnsi="Arial" w:cs="Arial"/>
          <w:sz w:val="24"/>
          <w:szCs w:val="24"/>
        </w:rPr>
        <w:t xml:space="preserve">qual seja, </w:t>
      </w:r>
      <w:r w:rsidRPr="008D26A3">
        <w:rPr>
          <w:rFonts w:ascii="Arial" w:hAnsi="Arial" w:cs="Arial"/>
          <w:sz w:val="24"/>
          <w:szCs w:val="24"/>
        </w:rPr>
        <w:t>a aquisição interestadual de reboque e de semirreboque, classificados na posição 8716 da NCM e destinados a empresa prestadora de serviços de transporte rodoviário de cargas (Lei nº 16.271/2008, art. 3º, e Convênio ICMS 19/2019)</w:t>
      </w:r>
      <w:r w:rsidR="00115CFD">
        <w:rPr>
          <w:rFonts w:ascii="Arial" w:hAnsi="Arial" w:cs="Arial"/>
          <w:sz w:val="24"/>
          <w:szCs w:val="24"/>
        </w:rPr>
        <w:t xml:space="preserve">, </w:t>
      </w:r>
      <w:r w:rsidR="00115CFD" w:rsidRPr="008D26A3">
        <w:rPr>
          <w:rFonts w:ascii="Arial" w:hAnsi="Arial" w:cs="Arial"/>
          <w:sz w:val="24"/>
          <w:szCs w:val="24"/>
        </w:rPr>
        <w:t>relativamente ao diferencial de alíquotas</w:t>
      </w:r>
      <w:r w:rsidRPr="008D26A3">
        <w:rPr>
          <w:rFonts w:ascii="Arial" w:hAnsi="Arial" w:cs="Arial"/>
          <w:sz w:val="24"/>
          <w:szCs w:val="24"/>
        </w:rPr>
        <w:t>.</w:t>
      </w:r>
    </w:p>
    <w:p w14:paraId="1A979429" w14:textId="5DD11B96" w:rsidR="00A451AF" w:rsidRPr="008D26A3" w:rsidRDefault="00A451AF" w:rsidP="00C575F8">
      <w:pPr>
        <w:spacing w:line="360" w:lineRule="auto"/>
        <w:ind w:firstLine="851"/>
        <w:jc w:val="both"/>
        <w:rPr>
          <w:rFonts w:ascii="Arial" w:hAnsi="Arial" w:cs="Arial"/>
          <w:sz w:val="24"/>
          <w:szCs w:val="24"/>
        </w:rPr>
      </w:pPr>
      <w:r>
        <w:rPr>
          <w:rFonts w:ascii="Arial" w:hAnsi="Arial" w:cs="Arial"/>
          <w:sz w:val="24"/>
          <w:szCs w:val="24"/>
        </w:rPr>
        <w:t xml:space="preserve">Portanto, em se tratando de nova hipótese de isenção sem respaldo legal, verifica-se a </w:t>
      </w:r>
      <w:r w:rsidR="007570C9">
        <w:rPr>
          <w:rFonts w:ascii="Arial" w:hAnsi="Arial" w:cs="Arial"/>
          <w:sz w:val="24"/>
          <w:szCs w:val="24"/>
        </w:rPr>
        <w:t xml:space="preserve">inconstitucionalidade </w:t>
      </w:r>
      <w:r w:rsidR="00515703">
        <w:rPr>
          <w:rFonts w:ascii="Arial" w:hAnsi="Arial" w:cs="Arial"/>
          <w:sz w:val="24"/>
          <w:szCs w:val="24"/>
        </w:rPr>
        <w:t>do</w:t>
      </w:r>
      <w:r>
        <w:rPr>
          <w:rFonts w:ascii="Arial" w:hAnsi="Arial" w:cs="Arial"/>
          <w:sz w:val="24"/>
          <w:szCs w:val="24"/>
        </w:rPr>
        <w:t xml:space="preserve"> </w:t>
      </w:r>
      <w:r w:rsidRPr="00A451AF">
        <w:rPr>
          <w:rFonts w:ascii="Arial" w:hAnsi="Arial" w:cs="Arial"/>
          <w:sz w:val="24"/>
          <w:szCs w:val="24"/>
        </w:rPr>
        <w:t>Decreto nº 9.576</w:t>
      </w:r>
      <w:r>
        <w:rPr>
          <w:rFonts w:ascii="Arial" w:hAnsi="Arial" w:cs="Arial"/>
          <w:sz w:val="24"/>
          <w:szCs w:val="24"/>
        </w:rPr>
        <w:t>/2019.</w:t>
      </w:r>
    </w:p>
    <w:p w14:paraId="010C4F7E" w14:textId="77777777" w:rsidR="00CF5164" w:rsidRDefault="00CF5164" w:rsidP="00CF5164">
      <w:pPr>
        <w:ind w:left="2268" w:firstLine="284"/>
        <w:jc w:val="both"/>
        <w:rPr>
          <w:rFonts w:ascii="Arial" w:hAnsi="Arial" w:cs="Arial"/>
          <w:sz w:val="22"/>
          <w:szCs w:val="22"/>
        </w:rPr>
      </w:pPr>
    </w:p>
    <w:p w14:paraId="631CAA38" w14:textId="3B63E740" w:rsidR="00CF5164" w:rsidRPr="00A86C47" w:rsidRDefault="00CF5164" w:rsidP="00CF5164">
      <w:pPr>
        <w:spacing w:line="360" w:lineRule="auto"/>
        <w:ind w:firstLine="851"/>
        <w:jc w:val="both"/>
        <w:rPr>
          <w:rFonts w:ascii="Arial" w:hAnsi="Arial" w:cs="Arial"/>
          <w:b/>
          <w:sz w:val="24"/>
          <w:szCs w:val="24"/>
        </w:rPr>
      </w:pPr>
      <w:r>
        <w:rPr>
          <w:rFonts w:ascii="Arial" w:hAnsi="Arial" w:cs="Arial"/>
          <w:b/>
          <w:sz w:val="24"/>
          <w:szCs w:val="24"/>
        </w:rPr>
        <w:t>5.2.</w:t>
      </w:r>
      <w:r w:rsidR="00ED38B3">
        <w:rPr>
          <w:rFonts w:ascii="Arial" w:hAnsi="Arial" w:cs="Arial"/>
          <w:b/>
          <w:sz w:val="24"/>
          <w:szCs w:val="24"/>
        </w:rPr>
        <w:t>2</w:t>
      </w:r>
      <w:r>
        <w:rPr>
          <w:rFonts w:ascii="Arial" w:hAnsi="Arial" w:cs="Arial"/>
          <w:b/>
          <w:sz w:val="24"/>
          <w:szCs w:val="24"/>
        </w:rPr>
        <w:t>.4</w:t>
      </w:r>
      <w:r w:rsidRPr="00A86C47">
        <w:rPr>
          <w:rFonts w:ascii="Arial" w:hAnsi="Arial" w:cs="Arial"/>
          <w:b/>
          <w:sz w:val="24"/>
          <w:szCs w:val="24"/>
        </w:rPr>
        <w:t xml:space="preserve"> – </w:t>
      </w:r>
      <w:r w:rsidR="006F3FB8">
        <w:rPr>
          <w:rFonts w:ascii="Arial" w:hAnsi="Arial" w:cs="Arial"/>
          <w:b/>
          <w:sz w:val="24"/>
          <w:szCs w:val="24"/>
        </w:rPr>
        <w:t xml:space="preserve">Produtos alimentícios – </w:t>
      </w:r>
      <w:r>
        <w:rPr>
          <w:rFonts w:ascii="Arial" w:hAnsi="Arial" w:cs="Arial"/>
          <w:b/>
          <w:sz w:val="24"/>
          <w:szCs w:val="24"/>
        </w:rPr>
        <w:t>Decreto n</w:t>
      </w:r>
      <w:r w:rsidR="0015416A">
        <w:rPr>
          <w:rFonts w:ascii="Arial" w:hAnsi="Arial" w:cs="Arial"/>
          <w:b/>
          <w:sz w:val="24"/>
          <w:szCs w:val="24"/>
        </w:rPr>
        <w:t>º 9.560</w:t>
      </w:r>
      <w:r>
        <w:rPr>
          <w:rFonts w:ascii="Arial" w:hAnsi="Arial" w:cs="Arial"/>
          <w:b/>
          <w:sz w:val="24"/>
          <w:szCs w:val="24"/>
        </w:rPr>
        <w:t xml:space="preserve"> (</w:t>
      </w:r>
      <w:r w:rsidRPr="00A86C47">
        <w:rPr>
          <w:rFonts w:ascii="Arial" w:hAnsi="Arial" w:cs="Arial"/>
          <w:b/>
          <w:sz w:val="24"/>
          <w:szCs w:val="24"/>
        </w:rPr>
        <w:t xml:space="preserve">D.O. </w:t>
      </w:r>
      <w:r w:rsidR="0015416A">
        <w:rPr>
          <w:rFonts w:ascii="Arial" w:hAnsi="Arial" w:cs="Arial"/>
          <w:b/>
          <w:sz w:val="24"/>
          <w:szCs w:val="24"/>
        </w:rPr>
        <w:t>22</w:t>
      </w:r>
      <w:r w:rsidRPr="00A86C47">
        <w:rPr>
          <w:rFonts w:ascii="Arial" w:hAnsi="Arial" w:cs="Arial"/>
          <w:b/>
          <w:sz w:val="24"/>
          <w:szCs w:val="24"/>
        </w:rPr>
        <w:t>-1</w:t>
      </w:r>
      <w:r w:rsidR="0015416A">
        <w:rPr>
          <w:rFonts w:ascii="Arial" w:hAnsi="Arial" w:cs="Arial"/>
          <w:b/>
          <w:sz w:val="24"/>
          <w:szCs w:val="24"/>
        </w:rPr>
        <w:t>1</w:t>
      </w:r>
      <w:r w:rsidRPr="00A86C47">
        <w:rPr>
          <w:rFonts w:ascii="Arial" w:hAnsi="Arial" w:cs="Arial"/>
          <w:b/>
          <w:sz w:val="24"/>
          <w:szCs w:val="24"/>
        </w:rPr>
        <w:t>-2019)</w:t>
      </w:r>
    </w:p>
    <w:p w14:paraId="57A78332" w14:textId="59259236" w:rsidR="00CF5164" w:rsidRDefault="00CF5164" w:rsidP="00545DA5">
      <w:pPr>
        <w:jc w:val="both"/>
        <w:rPr>
          <w:rFonts w:ascii="Arial" w:hAnsi="Arial" w:cs="Arial"/>
          <w:sz w:val="22"/>
          <w:szCs w:val="22"/>
        </w:rPr>
      </w:pPr>
    </w:p>
    <w:p w14:paraId="4E3BDDD6" w14:textId="3EDCF97D" w:rsidR="00545DA5" w:rsidRPr="008D26A3" w:rsidRDefault="00545DA5" w:rsidP="00545DA5">
      <w:pPr>
        <w:spacing w:line="360" w:lineRule="auto"/>
        <w:ind w:firstLine="851"/>
        <w:jc w:val="both"/>
        <w:rPr>
          <w:rFonts w:ascii="Arial" w:hAnsi="Arial" w:cs="Arial"/>
          <w:sz w:val="24"/>
          <w:szCs w:val="24"/>
        </w:rPr>
      </w:pPr>
      <w:r>
        <w:rPr>
          <w:rFonts w:ascii="Arial" w:hAnsi="Arial" w:cs="Arial"/>
          <w:sz w:val="24"/>
          <w:szCs w:val="24"/>
        </w:rPr>
        <w:t xml:space="preserve">Referido ato </w:t>
      </w:r>
      <w:r w:rsidRPr="00A11ECC">
        <w:rPr>
          <w:rFonts w:ascii="Arial" w:hAnsi="Arial" w:cs="Arial"/>
          <w:sz w:val="24"/>
          <w:szCs w:val="24"/>
        </w:rPr>
        <w:t>normativo</w:t>
      </w:r>
      <w:r w:rsidR="00647132" w:rsidRPr="00A11ECC">
        <w:rPr>
          <w:rFonts w:ascii="Arial" w:hAnsi="Arial" w:cs="Arial"/>
          <w:sz w:val="24"/>
          <w:szCs w:val="24"/>
        </w:rPr>
        <w:t xml:space="preserve"> também</w:t>
      </w:r>
      <w:r w:rsidRPr="00A11ECC">
        <w:rPr>
          <w:rFonts w:ascii="Arial" w:hAnsi="Arial" w:cs="Arial"/>
          <w:sz w:val="24"/>
          <w:szCs w:val="24"/>
        </w:rPr>
        <w:t xml:space="preserve"> alterou a red</w:t>
      </w:r>
      <w:r>
        <w:rPr>
          <w:rFonts w:ascii="Arial" w:hAnsi="Arial" w:cs="Arial"/>
          <w:sz w:val="24"/>
          <w:szCs w:val="24"/>
        </w:rPr>
        <w:t>ação e incluiu diversos incisos em variados artigos do Anexo IX do RCTE/GO, o que resultou na instituição de novos tipos de isenção por prazo indeterminado (art. 6º) e determinado (art. 7º), além de</w:t>
      </w:r>
      <w:r w:rsidR="00D374DF">
        <w:rPr>
          <w:rFonts w:ascii="Arial" w:hAnsi="Arial" w:cs="Arial"/>
          <w:sz w:val="24"/>
          <w:szCs w:val="24"/>
        </w:rPr>
        <w:t xml:space="preserve"> redução da base de cálculo na hipótese que especifica</w:t>
      </w:r>
      <w:r w:rsidR="00214E26">
        <w:rPr>
          <w:rFonts w:ascii="Arial" w:hAnsi="Arial" w:cs="Arial"/>
          <w:sz w:val="24"/>
          <w:szCs w:val="24"/>
        </w:rPr>
        <w:t xml:space="preserve"> (art. 9º)</w:t>
      </w:r>
      <w:r w:rsidR="00D374DF">
        <w:rPr>
          <w:rFonts w:ascii="Arial" w:hAnsi="Arial" w:cs="Arial"/>
          <w:sz w:val="24"/>
          <w:szCs w:val="24"/>
        </w:rPr>
        <w:t>, consoante se infere das normas transcritas abaixo (em negrito se destacam as inovações trazidas pelo decreto):</w:t>
      </w:r>
    </w:p>
    <w:p w14:paraId="1166FED5" w14:textId="77777777" w:rsidR="00545DA5" w:rsidRDefault="00545DA5" w:rsidP="00545DA5">
      <w:pPr>
        <w:jc w:val="both"/>
        <w:rPr>
          <w:rFonts w:ascii="Arial" w:hAnsi="Arial" w:cs="Arial"/>
          <w:sz w:val="22"/>
          <w:szCs w:val="22"/>
        </w:rPr>
      </w:pPr>
    </w:p>
    <w:p w14:paraId="5E3BB18A" w14:textId="77777777" w:rsidR="003C413D" w:rsidRDefault="003C413D" w:rsidP="00EF4DB8">
      <w:pPr>
        <w:ind w:left="2268"/>
        <w:jc w:val="both"/>
        <w:rPr>
          <w:rFonts w:ascii="Arial" w:hAnsi="Arial" w:cs="Arial"/>
          <w:sz w:val="22"/>
          <w:szCs w:val="22"/>
        </w:rPr>
      </w:pPr>
      <w:bookmarkStart w:id="55" w:name="A6"/>
      <w:bookmarkEnd w:id="55"/>
      <w:r w:rsidRPr="003C413D">
        <w:rPr>
          <w:rFonts w:ascii="Arial" w:hAnsi="Arial" w:cs="Arial"/>
          <w:b/>
          <w:sz w:val="22"/>
          <w:szCs w:val="22"/>
        </w:rPr>
        <w:t xml:space="preserve">Art. 6º </w:t>
      </w:r>
      <w:r w:rsidRPr="003C413D">
        <w:rPr>
          <w:rFonts w:ascii="Arial" w:hAnsi="Arial" w:cs="Arial"/>
          <w:sz w:val="22"/>
          <w:szCs w:val="22"/>
        </w:rPr>
        <w:t>São isentos do ICMS:</w:t>
      </w:r>
    </w:p>
    <w:p w14:paraId="47FD4E04" w14:textId="77777777" w:rsidR="003C413D" w:rsidRPr="003C413D" w:rsidRDefault="003C413D" w:rsidP="00EF4DB8">
      <w:pPr>
        <w:ind w:left="2268"/>
        <w:jc w:val="both"/>
        <w:rPr>
          <w:rFonts w:ascii="Arial" w:hAnsi="Arial" w:cs="Arial"/>
          <w:sz w:val="22"/>
          <w:szCs w:val="22"/>
        </w:rPr>
      </w:pPr>
      <w:r w:rsidRPr="003C413D">
        <w:rPr>
          <w:rFonts w:ascii="Arial" w:hAnsi="Arial" w:cs="Arial"/>
          <w:sz w:val="22"/>
          <w:szCs w:val="22"/>
        </w:rPr>
        <w:t>[...].</w:t>
      </w:r>
    </w:p>
    <w:p w14:paraId="1BBB0DD5" w14:textId="1529FCDB" w:rsidR="00CF5164" w:rsidRPr="00CF5164" w:rsidRDefault="00CF5164" w:rsidP="00EF4DB8">
      <w:pPr>
        <w:ind w:left="2268"/>
        <w:jc w:val="both"/>
        <w:rPr>
          <w:rFonts w:ascii="Arial" w:hAnsi="Arial" w:cs="Arial"/>
          <w:sz w:val="22"/>
          <w:szCs w:val="22"/>
        </w:rPr>
      </w:pPr>
      <w:r w:rsidRPr="0025246B">
        <w:rPr>
          <w:rFonts w:ascii="Arial" w:hAnsi="Arial" w:cs="Arial"/>
          <w:b/>
          <w:sz w:val="22"/>
          <w:szCs w:val="22"/>
        </w:rPr>
        <w:t xml:space="preserve">LII </w:t>
      </w:r>
      <w:r w:rsidR="0025246B">
        <w:rPr>
          <w:rFonts w:ascii="Arial" w:hAnsi="Arial" w:cs="Arial"/>
          <w:b/>
          <w:sz w:val="22"/>
          <w:szCs w:val="22"/>
        </w:rPr>
        <w:t>–</w:t>
      </w:r>
      <w:r w:rsidRPr="0025246B">
        <w:rPr>
          <w:rFonts w:ascii="Arial" w:hAnsi="Arial" w:cs="Arial"/>
          <w:b/>
          <w:sz w:val="22"/>
          <w:szCs w:val="22"/>
        </w:rPr>
        <w:t xml:space="preserve"> a saída dos seguintes produtos alimentícios, com destino a estabelecimento do Banco de Alimentos (‘Food Bank’), do Instituto de Integração e de Promoção da Cidadania (INTEGRA) e do Mesa Brasil SESC, sociedades civis sem fins lucrativos, em razão de doação que lhes for feita, com a finalidade, após a necessária industrialização ou reacondicionamento, ou ambos, de distribuição a entidade, associação e fundação que os entreguem a pessoa carente (Convênio ICMS 136/94)</w:t>
      </w:r>
      <w:r w:rsidRPr="00CF5164">
        <w:rPr>
          <w:rFonts w:ascii="Arial" w:hAnsi="Arial" w:cs="Arial"/>
          <w:sz w:val="22"/>
          <w:szCs w:val="22"/>
        </w:rPr>
        <w:t>:</w:t>
      </w:r>
    </w:p>
    <w:p w14:paraId="1A655A28" w14:textId="77777777" w:rsidR="00D0202D" w:rsidRPr="003C413D" w:rsidRDefault="00D0202D" w:rsidP="00EF4DB8">
      <w:pPr>
        <w:ind w:left="2268"/>
        <w:jc w:val="both"/>
        <w:rPr>
          <w:rFonts w:ascii="Arial" w:hAnsi="Arial" w:cs="Arial"/>
          <w:sz w:val="22"/>
          <w:szCs w:val="22"/>
        </w:rPr>
      </w:pPr>
      <w:r w:rsidRPr="003C413D">
        <w:rPr>
          <w:rFonts w:ascii="Arial" w:hAnsi="Arial" w:cs="Arial"/>
          <w:sz w:val="22"/>
          <w:szCs w:val="22"/>
        </w:rPr>
        <w:t>[...].</w:t>
      </w:r>
    </w:p>
    <w:p w14:paraId="7DE002B4" w14:textId="77777777" w:rsidR="0025246B" w:rsidRDefault="0025246B" w:rsidP="00EF4DB8">
      <w:pPr>
        <w:ind w:left="2268"/>
        <w:jc w:val="both"/>
        <w:rPr>
          <w:rFonts w:ascii="Arial" w:hAnsi="Arial" w:cs="Arial"/>
          <w:sz w:val="22"/>
          <w:szCs w:val="22"/>
        </w:rPr>
      </w:pPr>
      <w:r w:rsidRPr="0025246B">
        <w:rPr>
          <w:rFonts w:ascii="Arial" w:hAnsi="Arial" w:cs="Arial"/>
          <w:sz w:val="22"/>
          <w:szCs w:val="22"/>
        </w:rPr>
        <w:t>b) recuperados, quando a remessa for promovida por:</w:t>
      </w:r>
    </w:p>
    <w:p w14:paraId="17B00025" w14:textId="0FBEFE66" w:rsidR="00CF5164" w:rsidRPr="00545DA5" w:rsidRDefault="00CF5164" w:rsidP="00EF4DB8">
      <w:pPr>
        <w:ind w:left="2268"/>
        <w:jc w:val="both"/>
        <w:rPr>
          <w:rFonts w:ascii="Arial" w:hAnsi="Arial" w:cs="Arial"/>
          <w:b/>
          <w:sz w:val="22"/>
          <w:szCs w:val="22"/>
        </w:rPr>
      </w:pPr>
      <w:r w:rsidRPr="0025246B">
        <w:rPr>
          <w:rFonts w:ascii="Arial" w:hAnsi="Arial" w:cs="Arial"/>
          <w:b/>
          <w:sz w:val="22"/>
          <w:szCs w:val="22"/>
        </w:rPr>
        <w:t xml:space="preserve">1. estabelecimento do Banco de Alimentos (‘Food Bank’), do Instituto de Integração e de Promoção da Cidadania (INTEGRA) ou do Mesa Brasil SESC com destino a entidade, associação e fundação, para distribuição a pessoa </w:t>
      </w:r>
      <w:r w:rsidRPr="00545DA5">
        <w:rPr>
          <w:rFonts w:ascii="Arial" w:hAnsi="Arial" w:cs="Arial"/>
          <w:b/>
          <w:sz w:val="22"/>
          <w:szCs w:val="22"/>
        </w:rPr>
        <w:t>carente;</w:t>
      </w:r>
    </w:p>
    <w:p w14:paraId="2A73C8AC" w14:textId="77777777" w:rsidR="0025246B" w:rsidRPr="003C413D" w:rsidRDefault="0025246B" w:rsidP="00EF4DB8">
      <w:pPr>
        <w:ind w:left="2268"/>
        <w:jc w:val="both"/>
        <w:rPr>
          <w:rFonts w:ascii="Arial" w:hAnsi="Arial" w:cs="Arial"/>
          <w:sz w:val="22"/>
          <w:szCs w:val="22"/>
        </w:rPr>
      </w:pPr>
      <w:r w:rsidRPr="003C413D">
        <w:rPr>
          <w:rFonts w:ascii="Arial" w:hAnsi="Arial" w:cs="Arial"/>
          <w:sz w:val="22"/>
          <w:szCs w:val="22"/>
        </w:rPr>
        <w:t>[...].</w:t>
      </w:r>
    </w:p>
    <w:p w14:paraId="31C6D16E" w14:textId="76FB526C" w:rsidR="00CF5164" w:rsidRPr="00CF5164" w:rsidRDefault="00CF5164" w:rsidP="00EF4DB8">
      <w:pPr>
        <w:ind w:left="2268"/>
        <w:jc w:val="both"/>
        <w:rPr>
          <w:rFonts w:ascii="Arial" w:hAnsi="Arial" w:cs="Arial"/>
          <w:sz w:val="22"/>
          <w:szCs w:val="22"/>
        </w:rPr>
      </w:pPr>
      <w:r w:rsidRPr="0025246B">
        <w:rPr>
          <w:rFonts w:ascii="Arial" w:hAnsi="Arial" w:cs="Arial"/>
          <w:b/>
          <w:sz w:val="22"/>
          <w:szCs w:val="22"/>
        </w:rPr>
        <w:t xml:space="preserve">CI </w:t>
      </w:r>
      <w:r w:rsidR="0025246B">
        <w:rPr>
          <w:rFonts w:ascii="Arial" w:hAnsi="Arial" w:cs="Arial"/>
          <w:b/>
          <w:sz w:val="22"/>
          <w:szCs w:val="22"/>
        </w:rPr>
        <w:t>–</w:t>
      </w:r>
      <w:r w:rsidRPr="0025246B">
        <w:rPr>
          <w:rFonts w:ascii="Arial" w:hAnsi="Arial" w:cs="Arial"/>
          <w:b/>
          <w:sz w:val="22"/>
          <w:szCs w:val="22"/>
        </w:rPr>
        <w:t xml:space="preserve"> operação interna com produto vegetal destinado à produção de biodiesel e de querosene de aviação alternativo (Convênio ICMS 105/03</w:t>
      </w:r>
      <w:r w:rsidRPr="00545DA5">
        <w:rPr>
          <w:rFonts w:ascii="Arial" w:hAnsi="Arial" w:cs="Arial"/>
          <w:sz w:val="22"/>
          <w:szCs w:val="22"/>
        </w:rPr>
        <w:t>);</w:t>
      </w:r>
    </w:p>
    <w:p w14:paraId="3FF4A2E0" w14:textId="77777777" w:rsidR="0025246B" w:rsidRPr="003C413D" w:rsidRDefault="0025246B" w:rsidP="00EF4DB8">
      <w:pPr>
        <w:ind w:left="2268"/>
        <w:jc w:val="both"/>
        <w:rPr>
          <w:rFonts w:ascii="Arial" w:hAnsi="Arial" w:cs="Arial"/>
          <w:sz w:val="22"/>
          <w:szCs w:val="22"/>
        </w:rPr>
      </w:pPr>
      <w:r w:rsidRPr="003C413D">
        <w:rPr>
          <w:rFonts w:ascii="Arial" w:hAnsi="Arial" w:cs="Arial"/>
          <w:sz w:val="22"/>
          <w:szCs w:val="22"/>
        </w:rPr>
        <w:t>[...].</w:t>
      </w:r>
    </w:p>
    <w:p w14:paraId="1854CCA0" w14:textId="77777777" w:rsidR="00CF5164" w:rsidRPr="00545DA5" w:rsidRDefault="00CF5164" w:rsidP="00EF4DB8">
      <w:pPr>
        <w:ind w:left="2268"/>
        <w:jc w:val="both"/>
        <w:rPr>
          <w:rFonts w:ascii="Arial" w:hAnsi="Arial" w:cs="Arial"/>
          <w:b/>
          <w:sz w:val="22"/>
          <w:szCs w:val="22"/>
        </w:rPr>
      </w:pPr>
      <w:r w:rsidRPr="00545DA5">
        <w:rPr>
          <w:rFonts w:ascii="Arial" w:hAnsi="Arial" w:cs="Arial"/>
          <w:b/>
          <w:sz w:val="22"/>
          <w:szCs w:val="22"/>
        </w:rPr>
        <w:t xml:space="preserve">CLVII - as operações com aceleradores lineares, classificados no código 9022.21.90 da Nomenclatura Comum do Mercosul – </w:t>
      </w:r>
      <w:r w:rsidRPr="00545DA5">
        <w:rPr>
          <w:rFonts w:ascii="Arial" w:hAnsi="Arial" w:cs="Arial"/>
          <w:b/>
          <w:sz w:val="22"/>
          <w:szCs w:val="22"/>
        </w:rPr>
        <w:lastRenderedPageBreak/>
        <w:t>NCM,  ficando mantido o crédito, e observado o seguinte (Convênio ICMS 66/19):</w:t>
      </w:r>
    </w:p>
    <w:p w14:paraId="083AE10F" w14:textId="77777777" w:rsidR="00CF5164" w:rsidRPr="00545DA5" w:rsidRDefault="00CF5164" w:rsidP="00EF4DB8">
      <w:pPr>
        <w:ind w:left="2268"/>
        <w:jc w:val="both"/>
        <w:rPr>
          <w:rFonts w:ascii="Arial" w:hAnsi="Arial" w:cs="Arial"/>
          <w:b/>
          <w:sz w:val="22"/>
          <w:szCs w:val="22"/>
        </w:rPr>
      </w:pPr>
      <w:r w:rsidRPr="00545DA5">
        <w:rPr>
          <w:rFonts w:ascii="Arial" w:hAnsi="Arial" w:cs="Arial"/>
          <w:b/>
          <w:sz w:val="22"/>
          <w:szCs w:val="22"/>
        </w:rPr>
        <w:t>a) a isenção de que trata este inciso aplica-se às operações:</w:t>
      </w:r>
    </w:p>
    <w:p w14:paraId="55D8A223" w14:textId="77777777" w:rsidR="00CF5164" w:rsidRPr="00545DA5" w:rsidRDefault="00CF5164" w:rsidP="00EF4DB8">
      <w:pPr>
        <w:ind w:left="2268"/>
        <w:jc w:val="both"/>
        <w:rPr>
          <w:rFonts w:ascii="Arial" w:hAnsi="Arial" w:cs="Arial"/>
          <w:b/>
          <w:sz w:val="22"/>
          <w:szCs w:val="22"/>
        </w:rPr>
      </w:pPr>
      <w:r w:rsidRPr="00545DA5">
        <w:rPr>
          <w:rFonts w:ascii="Arial" w:hAnsi="Arial" w:cs="Arial"/>
          <w:b/>
          <w:sz w:val="22"/>
          <w:szCs w:val="22"/>
        </w:rPr>
        <w:t>1. realizadas no âmbito do Programa Nacional de Oncologia do Ministério da Saúde;</w:t>
      </w:r>
    </w:p>
    <w:p w14:paraId="72D10090" w14:textId="77777777" w:rsidR="00CF5164" w:rsidRPr="00545DA5" w:rsidRDefault="00CF5164" w:rsidP="00EF4DB8">
      <w:pPr>
        <w:ind w:left="2268"/>
        <w:jc w:val="both"/>
        <w:rPr>
          <w:rFonts w:ascii="Arial" w:hAnsi="Arial" w:cs="Arial"/>
          <w:b/>
          <w:sz w:val="22"/>
          <w:szCs w:val="22"/>
        </w:rPr>
      </w:pPr>
      <w:r w:rsidRPr="00545DA5">
        <w:rPr>
          <w:rFonts w:ascii="Arial" w:hAnsi="Arial" w:cs="Arial"/>
          <w:b/>
          <w:sz w:val="22"/>
          <w:szCs w:val="22"/>
        </w:rPr>
        <w:t>2. com mercadoria destinada a entidade beneficente de assistência social, nos termos da Lei federal n° 12.101, de 27 de novembro de 2009;</w:t>
      </w:r>
    </w:p>
    <w:p w14:paraId="570F8B13" w14:textId="77777777" w:rsidR="00CF5164" w:rsidRPr="00545DA5" w:rsidRDefault="00CF5164" w:rsidP="00EF4DB8">
      <w:pPr>
        <w:ind w:left="2268"/>
        <w:jc w:val="both"/>
        <w:rPr>
          <w:rFonts w:ascii="Arial" w:hAnsi="Arial" w:cs="Arial"/>
          <w:b/>
          <w:sz w:val="22"/>
          <w:szCs w:val="22"/>
        </w:rPr>
      </w:pPr>
      <w:r w:rsidRPr="00545DA5">
        <w:rPr>
          <w:rFonts w:ascii="Arial" w:hAnsi="Arial" w:cs="Arial"/>
          <w:b/>
          <w:sz w:val="22"/>
          <w:szCs w:val="22"/>
        </w:rPr>
        <w:t>3. de importações com peças e partes, sem similar nacional, utilizadas na produção de aceleradores lineares pelo próprio importador, desde que a saída posterior seja destinada à entidade beneficente a que se refere o item 2 da alínea “a” deste inciso;</w:t>
      </w:r>
    </w:p>
    <w:p w14:paraId="0A572E00" w14:textId="0451BA1F" w:rsidR="00CF5164" w:rsidRPr="00545DA5" w:rsidRDefault="00CF5164" w:rsidP="00EF4DB8">
      <w:pPr>
        <w:ind w:left="2268"/>
        <w:jc w:val="both"/>
        <w:rPr>
          <w:rFonts w:ascii="Arial" w:hAnsi="Arial" w:cs="Arial"/>
          <w:b/>
          <w:sz w:val="22"/>
          <w:szCs w:val="22"/>
        </w:rPr>
      </w:pPr>
      <w:r w:rsidRPr="00545DA5">
        <w:rPr>
          <w:rFonts w:ascii="Arial" w:hAnsi="Arial" w:cs="Arial"/>
          <w:b/>
          <w:sz w:val="22"/>
          <w:szCs w:val="22"/>
        </w:rPr>
        <w:t>b) na hipótese de que trata o item 3 da alínea “a” deste inciso, a inexistência de produto similar produzido no país será atestada por entidade representativa do setor produtivo de máquinas, aparelhos e equipamentos com abrangência em todo território nacional ou por órgão federal competente</w:t>
      </w:r>
      <w:r w:rsidR="00545DA5" w:rsidRPr="00545DA5">
        <w:rPr>
          <w:rFonts w:ascii="Arial" w:hAnsi="Arial" w:cs="Arial"/>
          <w:b/>
          <w:sz w:val="22"/>
          <w:szCs w:val="22"/>
        </w:rPr>
        <w:t>.</w:t>
      </w:r>
    </w:p>
    <w:p w14:paraId="4E5DED36" w14:textId="77777777" w:rsidR="00545DA5" w:rsidRPr="00CF5164" w:rsidRDefault="00545DA5" w:rsidP="00EF4DB8">
      <w:pPr>
        <w:ind w:left="2268"/>
        <w:jc w:val="both"/>
        <w:rPr>
          <w:rFonts w:ascii="Arial" w:hAnsi="Arial" w:cs="Arial"/>
          <w:sz w:val="22"/>
          <w:szCs w:val="22"/>
        </w:rPr>
      </w:pPr>
    </w:p>
    <w:p w14:paraId="4D8C5E29" w14:textId="5C73FB8B" w:rsidR="00CF5164" w:rsidRDefault="00CF5164" w:rsidP="00EF4DB8">
      <w:pPr>
        <w:ind w:left="2268"/>
        <w:jc w:val="both"/>
        <w:rPr>
          <w:rFonts w:ascii="Arial" w:hAnsi="Arial" w:cs="Arial"/>
          <w:sz w:val="22"/>
          <w:szCs w:val="22"/>
        </w:rPr>
      </w:pPr>
      <w:r w:rsidRPr="00545DA5">
        <w:rPr>
          <w:rFonts w:ascii="Arial" w:hAnsi="Arial" w:cs="Arial"/>
          <w:b/>
          <w:sz w:val="22"/>
          <w:szCs w:val="22"/>
        </w:rPr>
        <w:t>Art. 7º</w:t>
      </w:r>
      <w:r w:rsidRPr="00CF5164">
        <w:rPr>
          <w:rFonts w:ascii="Arial" w:hAnsi="Arial" w:cs="Arial"/>
          <w:sz w:val="22"/>
          <w:szCs w:val="22"/>
        </w:rPr>
        <w:t xml:space="preserve"> </w:t>
      </w:r>
      <w:r w:rsidR="00545DA5" w:rsidRPr="00545DA5">
        <w:rPr>
          <w:rFonts w:ascii="Arial" w:hAnsi="Arial" w:cs="Arial"/>
          <w:sz w:val="22"/>
          <w:szCs w:val="22"/>
        </w:rPr>
        <w:t>São isentos de ICMS, observado o § 1º quanto ao término de vigência do benefício:</w:t>
      </w:r>
    </w:p>
    <w:p w14:paraId="451E2617" w14:textId="5F571313" w:rsidR="00545DA5" w:rsidRPr="00CF5164" w:rsidRDefault="00545DA5" w:rsidP="00EF4DB8">
      <w:pPr>
        <w:ind w:left="2268"/>
        <w:jc w:val="both"/>
        <w:rPr>
          <w:rFonts w:ascii="Arial" w:hAnsi="Arial" w:cs="Arial"/>
          <w:sz w:val="22"/>
          <w:szCs w:val="22"/>
        </w:rPr>
      </w:pPr>
      <w:r>
        <w:rPr>
          <w:rFonts w:ascii="Arial" w:hAnsi="Arial" w:cs="Arial"/>
          <w:sz w:val="22"/>
          <w:szCs w:val="22"/>
        </w:rPr>
        <w:t>[...].</w:t>
      </w:r>
    </w:p>
    <w:p w14:paraId="6B6FFA2C" w14:textId="77777777" w:rsidR="00CF5164" w:rsidRPr="00545DA5" w:rsidRDefault="00CF5164" w:rsidP="00EF4DB8">
      <w:pPr>
        <w:ind w:left="2268"/>
        <w:jc w:val="both"/>
        <w:rPr>
          <w:rFonts w:ascii="Arial" w:hAnsi="Arial" w:cs="Arial"/>
          <w:b/>
          <w:sz w:val="22"/>
          <w:szCs w:val="22"/>
        </w:rPr>
      </w:pPr>
      <w:r w:rsidRPr="00545DA5">
        <w:rPr>
          <w:rFonts w:ascii="Arial" w:hAnsi="Arial" w:cs="Arial"/>
          <w:b/>
          <w:sz w:val="22"/>
          <w:szCs w:val="22"/>
        </w:rPr>
        <w:t>LXIX - as operações internas destinadas à Associação para Cuidado de Câncer em Goiás – ACCEG ou ao Hospital de Câncer de Inhumas, inscrito sob o CNPJ nº 20.827.343/0002-12, com as mercadorias relacionadas nas tabelas A, B, C e D do Apêndice XLVI deste anexo e com as máquinas, os aparelhos e os equipamentos necessários à operação e ao funcionamento das atividades do referido hospital, relacionados nas tabelas E e F também do Apêndice XLVI deste anexo, ficando mantido o crédito, e observado o seguinte (Convênio ICMS 124/19):</w:t>
      </w:r>
    </w:p>
    <w:p w14:paraId="41DD4C5E" w14:textId="77777777" w:rsidR="00CF5164" w:rsidRPr="00545DA5" w:rsidRDefault="00CF5164" w:rsidP="00EF4DB8">
      <w:pPr>
        <w:ind w:left="2268"/>
        <w:jc w:val="both"/>
        <w:rPr>
          <w:rFonts w:ascii="Arial" w:hAnsi="Arial" w:cs="Arial"/>
          <w:b/>
          <w:sz w:val="22"/>
          <w:szCs w:val="22"/>
        </w:rPr>
      </w:pPr>
      <w:r w:rsidRPr="00545DA5">
        <w:rPr>
          <w:rFonts w:ascii="Arial" w:hAnsi="Arial" w:cs="Arial"/>
          <w:b/>
          <w:sz w:val="22"/>
          <w:szCs w:val="22"/>
        </w:rPr>
        <w:t>a) a isenção prevista neste inciso alcança a operação de importação de máquinas, aparelhos e equipamentos hospitalares, sem similar produzido no país, destinado exclusivamente à utilização nas atividades hospitalares da ACCEG;</w:t>
      </w:r>
    </w:p>
    <w:p w14:paraId="61C778A7" w14:textId="77777777" w:rsidR="00CF5164" w:rsidRPr="00545DA5" w:rsidRDefault="00CF5164" w:rsidP="00EF4DB8">
      <w:pPr>
        <w:ind w:left="2268"/>
        <w:jc w:val="both"/>
        <w:rPr>
          <w:rFonts w:ascii="Arial" w:hAnsi="Arial" w:cs="Arial"/>
          <w:b/>
          <w:sz w:val="22"/>
          <w:szCs w:val="22"/>
        </w:rPr>
      </w:pPr>
      <w:r w:rsidRPr="00545DA5">
        <w:rPr>
          <w:rFonts w:ascii="Arial" w:hAnsi="Arial" w:cs="Arial"/>
          <w:b/>
          <w:sz w:val="22"/>
          <w:szCs w:val="22"/>
        </w:rPr>
        <w:t>b) a ausência de similaridade será atestada por órgão federal competente ou por entidade representativa do setor produtivo de máquinas, aparelhos e equipamentos com abrangência em todo território nacional;</w:t>
      </w:r>
    </w:p>
    <w:p w14:paraId="3C6C9BF3" w14:textId="12856700" w:rsidR="00CF5164" w:rsidRDefault="00CF5164" w:rsidP="00EF4DB8">
      <w:pPr>
        <w:ind w:left="2268"/>
        <w:jc w:val="both"/>
        <w:rPr>
          <w:rFonts w:ascii="Arial" w:hAnsi="Arial" w:cs="Arial"/>
          <w:b/>
          <w:sz w:val="22"/>
          <w:szCs w:val="22"/>
        </w:rPr>
      </w:pPr>
      <w:r w:rsidRPr="00545DA5">
        <w:rPr>
          <w:rFonts w:ascii="Arial" w:hAnsi="Arial" w:cs="Arial"/>
          <w:b/>
          <w:sz w:val="22"/>
          <w:szCs w:val="22"/>
        </w:rPr>
        <w:t>c) as máquinas, aparelhos e equipamentos, com ou sem similares, devem ser integralmente empregadas e incorporadas ao ativo imobilizado da ACCEG.</w:t>
      </w:r>
    </w:p>
    <w:p w14:paraId="7061DAD2" w14:textId="77777777" w:rsidR="00545DA5" w:rsidRDefault="00545DA5" w:rsidP="00EF4DB8">
      <w:pPr>
        <w:ind w:left="2268"/>
        <w:jc w:val="both"/>
        <w:rPr>
          <w:rFonts w:ascii="Arial" w:hAnsi="Arial" w:cs="Arial"/>
          <w:sz w:val="22"/>
          <w:szCs w:val="22"/>
        </w:rPr>
      </w:pPr>
    </w:p>
    <w:p w14:paraId="3FEA7AD1" w14:textId="6B77B6B2" w:rsidR="00545DA5" w:rsidRDefault="00545DA5" w:rsidP="00EF4DB8">
      <w:pPr>
        <w:ind w:left="2268"/>
        <w:jc w:val="both"/>
        <w:rPr>
          <w:rFonts w:ascii="Arial" w:hAnsi="Arial" w:cs="Arial"/>
          <w:b/>
          <w:sz w:val="22"/>
          <w:szCs w:val="22"/>
        </w:rPr>
      </w:pPr>
      <w:r w:rsidRPr="00545DA5">
        <w:rPr>
          <w:rFonts w:ascii="Arial" w:hAnsi="Arial" w:cs="Arial"/>
          <w:b/>
          <w:sz w:val="22"/>
          <w:szCs w:val="22"/>
        </w:rPr>
        <w:t xml:space="preserve">Art. </w:t>
      </w:r>
      <w:r w:rsidR="00035BCE" w:rsidRPr="00035BCE">
        <w:rPr>
          <w:rFonts w:ascii="Arial" w:hAnsi="Arial" w:cs="Arial"/>
          <w:b/>
          <w:sz w:val="22"/>
          <w:szCs w:val="22"/>
        </w:rPr>
        <w:t xml:space="preserve">9º </w:t>
      </w:r>
      <w:r w:rsidR="00035BCE" w:rsidRPr="00035BCE">
        <w:rPr>
          <w:rFonts w:ascii="Arial" w:hAnsi="Arial" w:cs="Arial"/>
          <w:sz w:val="22"/>
          <w:szCs w:val="22"/>
        </w:rPr>
        <w:t>A base de cálculo do ICMS é reduzida, observado o § 1º quanto ao término de - vigência do benefício:</w:t>
      </w:r>
    </w:p>
    <w:p w14:paraId="2D744014" w14:textId="664819EC" w:rsidR="00545DA5" w:rsidRPr="00545DA5" w:rsidRDefault="00545DA5" w:rsidP="00EF4DB8">
      <w:pPr>
        <w:ind w:left="2268"/>
        <w:jc w:val="both"/>
        <w:rPr>
          <w:rFonts w:ascii="Arial" w:hAnsi="Arial" w:cs="Arial"/>
          <w:sz w:val="22"/>
          <w:szCs w:val="22"/>
        </w:rPr>
      </w:pPr>
      <w:r w:rsidRPr="00545DA5">
        <w:rPr>
          <w:rFonts w:ascii="Arial" w:hAnsi="Arial" w:cs="Arial"/>
          <w:sz w:val="22"/>
          <w:szCs w:val="22"/>
        </w:rPr>
        <w:t>[...].</w:t>
      </w:r>
    </w:p>
    <w:p w14:paraId="59703DA0" w14:textId="68B843F4" w:rsidR="00545DA5" w:rsidRPr="006C02CF" w:rsidRDefault="00545DA5" w:rsidP="00EF4DB8">
      <w:pPr>
        <w:ind w:left="2268"/>
        <w:jc w:val="both"/>
        <w:rPr>
          <w:rFonts w:ascii="Arial" w:hAnsi="Arial" w:cs="Arial"/>
          <w:b/>
          <w:sz w:val="22"/>
          <w:szCs w:val="22"/>
        </w:rPr>
      </w:pPr>
      <w:r w:rsidRPr="006C02CF">
        <w:rPr>
          <w:rFonts w:ascii="Arial" w:hAnsi="Arial" w:cs="Arial"/>
          <w:b/>
          <w:sz w:val="22"/>
          <w:szCs w:val="22"/>
        </w:rPr>
        <w:t xml:space="preserve">XXXVII </w:t>
      </w:r>
      <w:r w:rsidR="006E0B0A">
        <w:rPr>
          <w:rFonts w:ascii="Arial" w:hAnsi="Arial" w:cs="Arial"/>
          <w:b/>
          <w:sz w:val="22"/>
          <w:szCs w:val="22"/>
        </w:rPr>
        <w:t>–</w:t>
      </w:r>
      <w:r w:rsidRPr="006C02CF">
        <w:rPr>
          <w:rFonts w:ascii="Arial" w:hAnsi="Arial" w:cs="Arial"/>
          <w:b/>
          <w:sz w:val="22"/>
          <w:szCs w:val="22"/>
        </w:rPr>
        <w:t xml:space="preserve"> na saída interna de querosene de aviação - QAV-, promovida por distribuidora de combustível com destino a consumo de empresa de transporte aéreo de carga ou de pessoas, de forma que a carga tributária seja equivalente a 7% (sete por cento) (Convênio ICMS 188/17).</w:t>
      </w:r>
    </w:p>
    <w:p w14:paraId="038D7320" w14:textId="71A8BB56" w:rsidR="00545DA5" w:rsidRDefault="00545DA5" w:rsidP="00EF4DB8">
      <w:pPr>
        <w:ind w:left="2268"/>
        <w:jc w:val="both"/>
        <w:rPr>
          <w:rFonts w:ascii="Arial" w:hAnsi="Arial" w:cs="Arial"/>
          <w:sz w:val="22"/>
          <w:szCs w:val="22"/>
        </w:rPr>
      </w:pPr>
      <w:r w:rsidRPr="00545DA5">
        <w:rPr>
          <w:rFonts w:ascii="Arial" w:hAnsi="Arial" w:cs="Arial"/>
          <w:sz w:val="22"/>
          <w:szCs w:val="22"/>
        </w:rPr>
        <w:t>[...].</w:t>
      </w:r>
    </w:p>
    <w:p w14:paraId="09879E61" w14:textId="1C25C0AF" w:rsidR="00CF5164" w:rsidRDefault="00CF5164" w:rsidP="00713208">
      <w:pPr>
        <w:spacing w:line="360" w:lineRule="auto"/>
        <w:ind w:firstLine="851"/>
        <w:jc w:val="both"/>
        <w:rPr>
          <w:rFonts w:ascii="Arial" w:hAnsi="Arial" w:cs="Arial"/>
          <w:sz w:val="24"/>
          <w:szCs w:val="24"/>
        </w:rPr>
      </w:pPr>
    </w:p>
    <w:p w14:paraId="6F5DACBF" w14:textId="3906D4A6" w:rsidR="00545DA5" w:rsidRDefault="00AF7BEB" w:rsidP="00713208">
      <w:pPr>
        <w:spacing w:line="360" w:lineRule="auto"/>
        <w:ind w:firstLine="851"/>
        <w:jc w:val="both"/>
        <w:rPr>
          <w:rFonts w:ascii="Arial" w:hAnsi="Arial" w:cs="Arial"/>
          <w:sz w:val="24"/>
          <w:szCs w:val="24"/>
        </w:rPr>
      </w:pPr>
      <w:r>
        <w:rPr>
          <w:rFonts w:ascii="Arial" w:hAnsi="Arial" w:cs="Arial"/>
          <w:sz w:val="24"/>
          <w:szCs w:val="24"/>
        </w:rPr>
        <w:lastRenderedPageBreak/>
        <w:t>Além disso, o Decreto nº 9.560/2019, em seu Anexo II, também prorroga diversos prazos para fruição de benefícios, ao alterar o § 1º do art. 7º, o § 1º do art. 9º e o § 4º do art. 12 do Anexo IX do RCTE/GO.</w:t>
      </w:r>
    </w:p>
    <w:p w14:paraId="1EA2BF8A" w14:textId="030643FB" w:rsidR="00513C60" w:rsidRDefault="00513C60" w:rsidP="00513C60">
      <w:pPr>
        <w:spacing w:line="360" w:lineRule="auto"/>
        <w:ind w:firstLine="851"/>
        <w:jc w:val="both"/>
        <w:rPr>
          <w:rFonts w:ascii="Arial" w:hAnsi="Arial" w:cs="Arial"/>
          <w:sz w:val="24"/>
          <w:szCs w:val="24"/>
        </w:rPr>
      </w:pPr>
      <w:r>
        <w:rPr>
          <w:rFonts w:ascii="Arial" w:hAnsi="Arial" w:cs="Arial"/>
          <w:sz w:val="24"/>
          <w:szCs w:val="24"/>
        </w:rPr>
        <w:t xml:space="preserve">Portanto, em se tratando de inúmeros incentivos fiscais novos criados e prorrogados, sem autorização legislativa, verifica-se a </w:t>
      </w:r>
      <w:r w:rsidR="00C14F73">
        <w:rPr>
          <w:rFonts w:ascii="Arial" w:hAnsi="Arial" w:cs="Arial"/>
          <w:sz w:val="24"/>
          <w:szCs w:val="24"/>
        </w:rPr>
        <w:t xml:space="preserve">inconstitucionalidade </w:t>
      </w:r>
      <w:r>
        <w:rPr>
          <w:rFonts w:ascii="Arial" w:hAnsi="Arial" w:cs="Arial"/>
          <w:sz w:val="24"/>
          <w:szCs w:val="24"/>
        </w:rPr>
        <w:t xml:space="preserve">do </w:t>
      </w:r>
      <w:r w:rsidRPr="00A451AF">
        <w:rPr>
          <w:rFonts w:ascii="Arial" w:hAnsi="Arial" w:cs="Arial"/>
          <w:sz w:val="24"/>
          <w:szCs w:val="24"/>
        </w:rPr>
        <w:t>Decreto nº 9.5</w:t>
      </w:r>
      <w:r>
        <w:rPr>
          <w:rFonts w:ascii="Arial" w:hAnsi="Arial" w:cs="Arial"/>
          <w:sz w:val="24"/>
          <w:szCs w:val="24"/>
        </w:rPr>
        <w:t>60/2019 no tocante aos pontos supratranscritos.</w:t>
      </w:r>
    </w:p>
    <w:p w14:paraId="03BF34AA" w14:textId="76C7B555" w:rsidR="00870037" w:rsidRDefault="00870037" w:rsidP="00513C60">
      <w:pPr>
        <w:spacing w:line="360" w:lineRule="auto"/>
        <w:ind w:firstLine="851"/>
        <w:jc w:val="both"/>
        <w:rPr>
          <w:rFonts w:ascii="Arial" w:hAnsi="Arial" w:cs="Arial"/>
          <w:sz w:val="24"/>
          <w:szCs w:val="24"/>
        </w:rPr>
      </w:pPr>
    </w:p>
    <w:p w14:paraId="0B518F3A" w14:textId="4EBBBD24" w:rsidR="00870037" w:rsidRPr="00A86C47" w:rsidRDefault="00870037" w:rsidP="00870037">
      <w:pPr>
        <w:spacing w:line="360" w:lineRule="auto"/>
        <w:ind w:firstLine="851"/>
        <w:jc w:val="both"/>
        <w:rPr>
          <w:rFonts w:ascii="Arial" w:hAnsi="Arial" w:cs="Arial"/>
          <w:b/>
          <w:sz w:val="24"/>
          <w:szCs w:val="24"/>
        </w:rPr>
      </w:pPr>
      <w:r>
        <w:rPr>
          <w:rFonts w:ascii="Arial" w:hAnsi="Arial" w:cs="Arial"/>
          <w:b/>
          <w:sz w:val="24"/>
          <w:szCs w:val="24"/>
        </w:rPr>
        <w:t>5.2.</w:t>
      </w:r>
      <w:r w:rsidR="00ED38B3">
        <w:rPr>
          <w:rFonts w:ascii="Arial" w:hAnsi="Arial" w:cs="Arial"/>
          <w:b/>
          <w:sz w:val="24"/>
          <w:szCs w:val="24"/>
        </w:rPr>
        <w:t>2</w:t>
      </w:r>
      <w:r>
        <w:rPr>
          <w:rFonts w:ascii="Arial" w:hAnsi="Arial" w:cs="Arial"/>
          <w:b/>
          <w:sz w:val="24"/>
          <w:szCs w:val="24"/>
        </w:rPr>
        <w:t>.5</w:t>
      </w:r>
      <w:r w:rsidRPr="00A86C47">
        <w:rPr>
          <w:rFonts w:ascii="Arial" w:hAnsi="Arial" w:cs="Arial"/>
          <w:b/>
          <w:sz w:val="24"/>
          <w:szCs w:val="24"/>
        </w:rPr>
        <w:t xml:space="preserve"> – </w:t>
      </w:r>
      <w:r w:rsidR="006F3FB8">
        <w:rPr>
          <w:rFonts w:ascii="Arial" w:hAnsi="Arial" w:cs="Arial"/>
          <w:b/>
          <w:sz w:val="24"/>
          <w:szCs w:val="24"/>
        </w:rPr>
        <w:t xml:space="preserve">Água mineral – </w:t>
      </w:r>
      <w:r>
        <w:rPr>
          <w:rFonts w:ascii="Arial" w:hAnsi="Arial" w:cs="Arial"/>
          <w:b/>
          <w:sz w:val="24"/>
          <w:szCs w:val="24"/>
        </w:rPr>
        <w:t>Decreto nº 9.559 (</w:t>
      </w:r>
      <w:r w:rsidRPr="00A86C47">
        <w:rPr>
          <w:rFonts w:ascii="Arial" w:hAnsi="Arial" w:cs="Arial"/>
          <w:b/>
          <w:sz w:val="24"/>
          <w:szCs w:val="24"/>
        </w:rPr>
        <w:t xml:space="preserve">D.O. </w:t>
      </w:r>
      <w:r>
        <w:rPr>
          <w:rFonts w:ascii="Arial" w:hAnsi="Arial" w:cs="Arial"/>
          <w:b/>
          <w:sz w:val="24"/>
          <w:szCs w:val="24"/>
        </w:rPr>
        <w:t>22</w:t>
      </w:r>
      <w:r w:rsidRPr="00A86C47">
        <w:rPr>
          <w:rFonts w:ascii="Arial" w:hAnsi="Arial" w:cs="Arial"/>
          <w:b/>
          <w:sz w:val="24"/>
          <w:szCs w:val="24"/>
        </w:rPr>
        <w:t>-1</w:t>
      </w:r>
      <w:r>
        <w:rPr>
          <w:rFonts w:ascii="Arial" w:hAnsi="Arial" w:cs="Arial"/>
          <w:b/>
          <w:sz w:val="24"/>
          <w:szCs w:val="24"/>
        </w:rPr>
        <w:t>1</w:t>
      </w:r>
      <w:r w:rsidRPr="00A86C47">
        <w:rPr>
          <w:rFonts w:ascii="Arial" w:hAnsi="Arial" w:cs="Arial"/>
          <w:b/>
          <w:sz w:val="24"/>
          <w:szCs w:val="24"/>
        </w:rPr>
        <w:t>-2019)</w:t>
      </w:r>
    </w:p>
    <w:p w14:paraId="668487E5" w14:textId="2C446BC2" w:rsidR="00870037" w:rsidRDefault="00870037" w:rsidP="00513C60">
      <w:pPr>
        <w:spacing w:line="360" w:lineRule="auto"/>
        <w:ind w:firstLine="851"/>
        <w:jc w:val="both"/>
        <w:rPr>
          <w:rFonts w:ascii="Arial" w:hAnsi="Arial" w:cs="Arial"/>
          <w:sz w:val="24"/>
          <w:szCs w:val="24"/>
        </w:rPr>
      </w:pPr>
    </w:p>
    <w:p w14:paraId="57E6BC8E" w14:textId="47D7C49D" w:rsidR="00870037" w:rsidRDefault="001024F0" w:rsidP="00513C60">
      <w:pPr>
        <w:spacing w:line="360" w:lineRule="auto"/>
        <w:ind w:firstLine="851"/>
        <w:jc w:val="both"/>
        <w:rPr>
          <w:rFonts w:ascii="Arial" w:hAnsi="Arial" w:cs="Arial"/>
          <w:sz w:val="24"/>
          <w:szCs w:val="24"/>
        </w:rPr>
      </w:pPr>
      <w:r w:rsidRPr="0051741E">
        <w:rPr>
          <w:rFonts w:ascii="Arial" w:hAnsi="Arial" w:cs="Arial"/>
          <w:sz w:val="24"/>
          <w:szCs w:val="24"/>
          <w:u w:val="single"/>
        </w:rPr>
        <w:t>Referido decreto incluiu o inciso LXXIII no art. 11 do Anexo IX do RCTE/GO</w:t>
      </w:r>
      <w:r w:rsidR="005754E7" w:rsidRPr="0051741E">
        <w:rPr>
          <w:rFonts w:ascii="Arial" w:hAnsi="Arial" w:cs="Arial"/>
          <w:sz w:val="24"/>
          <w:szCs w:val="24"/>
          <w:u w:val="single"/>
        </w:rPr>
        <w:t xml:space="preserve"> para instituir nova hipótese de crédito outorgado por prazo indeterminado</w:t>
      </w:r>
      <w:r w:rsidR="005754E7" w:rsidRPr="0051741E">
        <w:rPr>
          <w:rFonts w:ascii="Arial" w:hAnsi="Arial" w:cs="Arial"/>
          <w:sz w:val="24"/>
          <w:szCs w:val="24"/>
        </w:rPr>
        <w:t>, para o estabelecimento fabricante de água mineral</w:t>
      </w:r>
      <w:r w:rsidR="005754E7" w:rsidRPr="005754E7">
        <w:rPr>
          <w:rFonts w:ascii="Arial" w:hAnsi="Arial" w:cs="Arial"/>
          <w:sz w:val="24"/>
          <w:szCs w:val="24"/>
        </w:rPr>
        <w:t>, natural ou artificial, inclusive o estabelecido em outra unidade da federação</w:t>
      </w:r>
      <w:r w:rsidR="005754E7">
        <w:rPr>
          <w:rFonts w:ascii="Arial" w:hAnsi="Arial" w:cs="Arial"/>
          <w:sz w:val="24"/>
          <w:szCs w:val="24"/>
        </w:rPr>
        <w:t>, nos seguintes termos:</w:t>
      </w:r>
    </w:p>
    <w:p w14:paraId="512B27D0" w14:textId="77777777" w:rsidR="005754E7" w:rsidRDefault="005754E7" w:rsidP="00513C60">
      <w:pPr>
        <w:spacing w:line="360" w:lineRule="auto"/>
        <w:ind w:firstLine="851"/>
        <w:jc w:val="both"/>
        <w:rPr>
          <w:rFonts w:ascii="Arial" w:hAnsi="Arial" w:cs="Arial"/>
          <w:sz w:val="24"/>
          <w:szCs w:val="24"/>
        </w:rPr>
      </w:pPr>
    </w:p>
    <w:p w14:paraId="320C3711" w14:textId="2993EABD" w:rsidR="00F53F97" w:rsidRDefault="00F53F97" w:rsidP="00EF4DB8">
      <w:pPr>
        <w:ind w:left="2268"/>
        <w:jc w:val="both"/>
        <w:rPr>
          <w:rFonts w:ascii="Arial" w:hAnsi="Arial" w:cs="Arial"/>
          <w:sz w:val="22"/>
          <w:szCs w:val="22"/>
        </w:rPr>
      </w:pPr>
      <w:r w:rsidRPr="00F53F97">
        <w:rPr>
          <w:rFonts w:ascii="Arial" w:hAnsi="Arial" w:cs="Arial"/>
          <w:sz w:val="22"/>
          <w:szCs w:val="22"/>
        </w:rPr>
        <w:t xml:space="preserve">Art. 11. </w:t>
      </w:r>
      <w:bookmarkStart w:id="56" w:name="a11"/>
      <w:r w:rsidR="00214E26" w:rsidRPr="00214E26">
        <w:rPr>
          <w:rFonts w:ascii="Arial" w:hAnsi="Arial" w:cs="Arial"/>
          <w:sz w:val="22"/>
          <w:szCs w:val="22"/>
        </w:rPr>
        <w:t>Constituem créditos outorgados para efeito de compensação com o ICMS devido:</w:t>
      </w:r>
      <w:bookmarkEnd w:id="56"/>
    </w:p>
    <w:p w14:paraId="2BE66AB7" w14:textId="69B671E8" w:rsidR="00547540" w:rsidRPr="00F53F97" w:rsidRDefault="00547540" w:rsidP="00EF4DB8">
      <w:pPr>
        <w:ind w:left="2268"/>
        <w:jc w:val="both"/>
        <w:rPr>
          <w:rFonts w:ascii="Arial" w:hAnsi="Arial" w:cs="Arial"/>
          <w:sz w:val="22"/>
          <w:szCs w:val="22"/>
        </w:rPr>
      </w:pPr>
      <w:r>
        <w:rPr>
          <w:rFonts w:ascii="Arial" w:hAnsi="Arial" w:cs="Arial"/>
          <w:sz w:val="22"/>
          <w:szCs w:val="22"/>
        </w:rPr>
        <w:t>[...].</w:t>
      </w:r>
    </w:p>
    <w:p w14:paraId="12E47DA7" w14:textId="77777777" w:rsidR="00F53F97" w:rsidRPr="00B43909" w:rsidRDefault="00F53F97" w:rsidP="00EF4DB8">
      <w:pPr>
        <w:ind w:left="2268"/>
        <w:jc w:val="both"/>
        <w:rPr>
          <w:rFonts w:ascii="Arial" w:hAnsi="Arial" w:cs="Arial"/>
          <w:b/>
          <w:sz w:val="22"/>
          <w:szCs w:val="22"/>
        </w:rPr>
      </w:pPr>
      <w:r w:rsidRPr="00B43909">
        <w:rPr>
          <w:rFonts w:ascii="Arial" w:hAnsi="Arial" w:cs="Arial"/>
          <w:b/>
          <w:sz w:val="22"/>
          <w:szCs w:val="22"/>
        </w:rPr>
        <w:t>LXXIII – para o estabelecimento fabricante de água mineral, natural ou artificial, inclusive o estabelecido em outra unidade da federação, desde que possua inscrição no Cadastro de Contribuintes do Estado de Goiás – CCE/GO, quanto às operações destinadas a este Estado, no valor correspondente ao da aquisição de Selos Fiscais de Controle e Selos Fiscais Eletrônicos efetivamente utilizados em cada período de apuração, observado o seguinte:</w:t>
      </w:r>
    </w:p>
    <w:p w14:paraId="62B52E28" w14:textId="77777777" w:rsidR="00F53F97" w:rsidRPr="00B43909" w:rsidRDefault="00F53F97" w:rsidP="00EF4DB8">
      <w:pPr>
        <w:ind w:left="2268"/>
        <w:jc w:val="both"/>
        <w:rPr>
          <w:rFonts w:ascii="Arial" w:hAnsi="Arial" w:cs="Arial"/>
          <w:b/>
          <w:sz w:val="22"/>
          <w:szCs w:val="22"/>
        </w:rPr>
      </w:pPr>
      <w:r w:rsidRPr="00B43909">
        <w:rPr>
          <w:rFonts w:ascii="Arial" w:hAnsi="Arial" w:cs="Arial"/>
          <w:b/>
          <w:sz w:val="22"/>
          <w:szCs w:val="22"/>
        </w:rPr>
        <w:t>a) o crédito fica limitado aos valores máximos de R$ 0,07 (sete centavos de real) por unidade de Selo Fiscal de Controle e de R$ 0,03 (três centavos de real) por unidade de Selo Fiscal Eletrônico;</w:t>
      </w:r>
    </w:p>
    <w:p w14:paraId="5BB8A11A" w14:textId="77777777" w:rsidR="00F53F97" w:rsidRPr="00B43909" w:rsidRDefault="00F53F97" w:rsidP="00EF4DB8">
      <w:pPr>
        <w:ind w:left="2268"/>
        <w:jc w:val="both"/>
        <w:rPr>
          <w:rFonts w:ascii="Arial" w:hAnsi="Arial" w:cs="Arial"/>
          <w:b/>
          <w:sz w:val="22"/>
          <w:szCs w:val="22"/>
        </w:rPr>
      </w:pPr>
      <w:r w:rsidRPr="00B43909">
        <w:rPr>
          <w:rFonts w:ascii="Arial" w:hAnsi="Arial" w:cs="Arial"/>
          <w:b/>
          <w:sz w:val="22"/>
          <w:szCs w:val="22"/>
        </w:rPr>
        <w:t>b) o substituto tributário estabelecido em outra unidade da Federação pode utilizar o valor do crédito como dedução do montante de ICMS substituição tributária devido ao Estado de Goiás;</w:t>
      </w:r>
    </w:p>
    <w:p w14:paraId="550943DA" w14:textId="3147C399" w:rsidR="00F53F97" w:rsidRDefault="00F53F97" w:rsidP="00EF4DB8">
      <w:pPr>
        <w:ind w:left="2268"/>
        <w:jc w:val="both"/>
        <w:rPr>
          <w:rFonts w:ascii="Arial" w:hAnsi="Arial" w:cs="Arial"/>
          <w:b/>
          <w:sz w:val="22"/>
          <w:szCs w:val="22"/>
        </w:rPr>
      </w:pPr>
      <w:r w:rsidRPr="00B43909">
        <w:rPr>
          <w:rFonts w:ascii="Arial" w:hAnsi="Arial" w:cs="Arial"/>
          <w:b/>
          <w:sz w:val="22"/>
          <w:szCs w:val="22"/>
        </w:rPr>
        <w:t>c) a apropriação do crédito tributário de que trata a alínea ‘b’ deve ser efetuada mediante lançamento de ajuste a crédito no Registro E220 da Escrituração Fiscal Digital – EFD relativo à apuração do ICMS – Substituição Tributária para Goiás, no próprio arquivo entregue à unidade federada onde o substituto seja estabelecido.</w:t>
      </w:r>
    </w:p>
    <w:p w14:paraId="24B06C6B" w14:textId="6CF8D1B2" w:rsidR="00870037" w:rsidRDefault="00870037" w:rsidP="00513C60">
      <w:pPr>
        <w:spacing w:line="360" w:lineRule="auto"/>
        <w:ind w:firstLine="851"/>
        <w:jc w:val="both"/>
        <w:rPr>
          <w:rFonts w:ascii="Arial" w:hAnsi="Arial" w:cs="Arial"/>
          <w:b/>
          <w:sz w:val="24"/>
          <w:szCs w:val="24"/>
          <w:u w:val="single"/>
        </w:rPr>
      </w:pPr>
    </w:p>
    <w:p w14:paraId="760933F4" w14:textId="70FC2951" w:rsidR="00D240CC" w:rsidRDefault="00D240CC" w:rsidP="00D240CC">
      <w:pPr>
        <w:spacing w:line="360" w:lineRule="auto"/>
        <w:ind w:firstLine="851"/>
        <w:jc w:val="both"/>
        <w:rPr>
          <w:rFonts w:ascii="Arial" w:hAnsi="Arial" w:cs="Arial"/>
          <w:sz w:val="24"/>
          <w:szCs w:val="24"/>
        </w:rPr>
      </w:pPr>
      <w:r>
        <w:rPr>
          <w:rFonts w:ascii="Arial" w:hAnsi="Arial" w:cs="Arial"/>
          <w:sz w:val="24"/>
          <w:szCs w:val="24"/>
        </w:rPr>
        <w:t xml:space="preserve">Portanto, em se tratando de novo incentivo fiscal sem autorização legislativa, verifica-se a </w:t>
      </w:r>
      <w:r w:rsidR="00692545">
        <w:rPr>
          <w:rFonts w:ascii="Arial" w:hAnsi="Arial" w:cs="Arial"/>
          <w:sz w:val="24"/>
          <w:szCs w:val="24"/>
        </w:rPr>
        <w:t xml:space="preserve">inconstitucionalidade </w:t>
      </w:r>
      <w:r>
        <w:rPr>
          <w:rFonts w:ascii="Arial" w:hAnsi="Arial" w:cs="Arial"/>
          <w:sz w:val="24"/>
          <w:szCs w:val="24"/>
        </w:rPr>
        <w:t xml:space="preserve">do </w:t>
      </w:r>
      <w:r w:rsidRPr="00A451AF">
        <w:rPr>
          <w:rFonts w:ascii="Arial" w:hAnsi="Arial" w:cs="Arial"/>
          <w:sz w:val="24"/>
          <w:szCs w:val="24"/>
        </w:rPr>
        <w:t>Decreto nº 9.5</w:t>
      </w:r>
      <w:r>
        <w:rPr>
          <w:rFonts w:ascii="Arial" w:hAnsi="Arial" w:cs="Arial"/>
          <w:sz w:val="24"/>
          <w:szCs w:val="24"/>
        </w:rPr>
        <w:t>59/2019 no tocante aos pontos supratranscritos.</w:t>
      </w:r>
    </w:p>
    <w:p w14:paraId="318572B1" w14:textId="75D1C734" w:rsidR="0097554F" w:rsidRDefault="0097554F" w:rsidP="00D240CC">
      <w:pPr>
        <w:spacing w:line="360" w:lineRule="auto"/>
        <w:ind w:firstLine="851"/>
        <w:jc w:val="both"/>
        <w:rPr>
          <w:rFonts w:ascii="Arial" w:hAnsi="Arial" w:cs="Arial"/>
          <w:sz w:val="24"/>
          <w:szCs w:val="24"/>
        </w:rPr>
      </w:pPr>
    </w:p>
    <w:p w14:paraId="2728063D" w14:textId="33C6C929" w:rsidR="0097554F" w:rsidRPr="00A86C47" w:rsidRDefault="0097554F" w:rsidP="0097554F">
      <w:pPr>
        <w:spacing w:line="360" w:lineRule="auto"/>
        <w:ind w:firstLine="851"/>
        <w:jc w:val="both"/>
        <w:rPr>
          <w:rFonts w:ascii="Arial" w:hAnsi="Arial" w:cs="Arial"/>
          <w:b/>
          <w:sz w:val="24"/>
          <w:szCs w:val="24"/>
        </w:rPr>
      </w:pPr>
      <w:r>
        <w:rPr>
          <w:rFonts w:ascii="Arial" w:hAnsi="Arial" w:cs="Arial"/>
          <w:b/>
          <w:sz w:val="24"/>
          <w:szCs w:val="24"/>
        </w:rPr>
        <w:lastRenderedPageBreak/>
        <w:t>5.2.</w:t>
      </w:r>
      <w:r w:rsidR="00ED38B3">
        <w:rPr>
          <w:rFonts w:ascii="Arial" w:hAnsi="Arial" w:cs="Arial"/>
          <w:b/>
          <w:sz w:val="24"/>
          <w:szCs w:val="24"/>
        </w:rPr>
        <w:t>2</w:t>
      </w:r>
      <w:r>
        <w:rPr>
          <w:rFonts w:ascii="Arial" w:hAnsi="Arial" w:cs="Arial"/>
          <w:b/>
          <w:sz w:val="24"/>
          <w:szCs w:val="24"/>
        </w:rPr>
        <w:t>.6</w:t>
      </w:r>
      <w:r w:rsidRPr="00A86C47">
        <w:rPr>
          <w:rFonts w:ascii="Arial" w:hAnsi="Arial" w:cs="Arial"/>
          <w:b/>
          <w:sz w:val="24"/>
          <w:szCs w:val="24"/>
        </w:rPr>
        <w:t xml:space="preserve"> – </w:t>
      </w:r>
      <w:r w:rsidR="006F3FB8">
        <w:rPr>
          <w:rFonts w:ascii="Arial" w:hAnsi="Arial" w:cs="Arial"/>
          <w:b/>
          <w:sz w:val="24"/>
          <w:szCs w:val="24"/>
        </w:rPr>
        <w:t xml:space="preserve">Arroz e feijão – </w:t>
      </w:r>
      <w:r>
        <w:rPr>
          <w:rFonts w:ascii="Arial" w:hAnsi="Arial" w:cs="Arial"/>
          <w:b/>
          <w:sz w:val="24"/>
          <w:szCs w:val="24"/>
        </w:rPr>
        <w:t>Decreto nº</w:t>
      </w:r>
      <w:r w:rsidR="007D137A">
        <w:rPr>
          <w:rFonts w:ascii="Arial" w:hAnsi="Arial" w:cs="Arial"/>
          <w:b/>
          <w:sz w:val="24"/>
          <w:szCs w:val="24"/>
        </w:rPr>
        <w:t xml:space="preserve"> </w:t>
      </w:r>
      <w:r>
        <w:rPr>
          <w:rFonts w:ascii="Arial" w:hAnsi="Arial" w:cs="Arial"/>
          <w:b/>
          <w:sz w:val="24"/>
          <w:szCs w:val="24"/>
        </w:rPr>
        <w:t>9.547 (</w:t>
      </w:r>
      <w:r w:rsidRPr="00A86C47">
        <w:rPr>
          <w:rFonts w:ascii="Arial" w:hAnsi="Arial" w:cs="Arial"/>
          <w:b/>
          <w:sz w:val="24"/>
          <w:szCs w:val="24"/>
        </w:rPr>
        <w:t xml:space="preserve">D.O. </w:t>
      </w:r>
      <w:r w:rsidR="00457858">
        <w:rPr>
          <w:rFonts w:ascii="Arial" w:hAnsi="Arial" w:cs="Arial"/>
          <w:b/>
          <w:sz w:val="24"/>
          <w:szCs w:val="24"/>
        </w:rPr>
        <w:t>04</w:t>
      </w:r>
      <w:r w:rsidRPr="00A86C47">
        <w:rPr>
          <w:rFonts w:ascii="Arial" w:hAnsi="Arial" w:cs="Arial"/>
          <w:b/>
          <w:sz w:val="24"/>
          <w:szCs w:val="24"/>
        </w:rPr>
        <w:t>-1</w:t>
      </w:r>
      <w:r>
        <w:rPr>
          <w:rFonts w:ascii="Arial" w:hAnsi="Arial" w:cs="Arial"/>
          <w:b/>
          <w:sz w:val="24"/>
          <w:szCs w:val="24"/>
        </w:rPr>
        <w:t>1</w:t>
      </w:r>
      <w:r w:rsidRPr="00A86C47">
        <w:rPr>
          <w:rFonts w:ascii="Arial" w:hAnsi="Arial" w:cs="Arial"/>
          <w:b/>
          <w:sz w:val="24"/>
          <w:szCs w:val="24"/>
        </w:rPr>
        <w:t>-2019)</w:t>
      </w:r>
    </w:p>
    <w:p w14:paraId="0BD414D3" w14:textId="29CA0893" w:rsidR="0097554F" w:rsidRDefault="0097554F" w:rsidP="00D240CC">
      <w:pPr>
        <w:spacing w:line="360" w:lineRule="auto"/>
        <w:ind w:firstLine="851"/>
        <w:jc w:val="both"/>
        <w:rPr>
          <w:rFonts w:ascii="Arial" w:hAnsi="Arial" w:cs="Arial"/>
          <w:sz w:val="24"/>
          <w:szCs w:val="24"/>
        </w:rPr>
      </w:pPr>
    </w:p>
    <w:p w14:paraId="3AB2F8E9" w14:textId="186AF525" w:rsidR="00961450" w:rsidRDefault="00A64647" w:rsidP="00961450">
      <w:pPr>
        <w:spacing w:line="360" w:lineRule="auto"/>
        <w:ind w:firstLine="851"/>
        <w:jc w:val="both"/>
        <w:rPr>
          <w:rFonts w:ascii="Arial" w:hAnsi="Arial" w:cs="Arial"/>
          <w:sz w:val="24"/>
          <w:szCs w:val="24"/>
        </w:rPr>
      </w:pPr>
      <w:r>
        <w:rPr>
          <w:rFonts w:ascii="Arial" w:hAnsi="Arial" w:cs="Arial"/>
          <w:sz w:val="24"/>
          <w:szCs w:val="24"/>
        </w:rPr>
        <w:t>No Estado de Goiás, a lei previa a alíquota de 12% (doze por cento)</w:t>
      </w:r>
      <w:bookmarkStart w:id="57" w:name="a27ii"/>
      <w:bookmarkStart w:id="58" w:name="A27"/>
      <w:r w:rsidRPr="00A64647">
        <w:t xml:space="preserve"> </w:t>
      </w:r>
      <w:r w:rsidRPr="00A64647">
        <w:rPr>
          <w:rFonts w:ascii="Arial" w:hAnsi="Arial" w:cs="Arial"/>
          <w:sz w:val="24"/>
          <w:szCs w:val="24"/>
        </w:rPr>
        <w:t xml:space="preserve">nas operações internas com </w:t>
      </w:r>
      <w:bookmarkEnd w:id="57"/>
      <w:bookmarkEnd w:id="58"/>
      <w:r>
        <w:rPr>
          <w:rFonts w:ascii="Arial" w:hAnsi="Arial" w:cs="Arial"/>
          <w:sz w:val="24"/>
          <w:szCs w:val="24"/>
        </w:rPr>
        <w:t xml:space="preserve">determinados produtos, inclusive arroz e feijão, nos termos da alínea “a” do inciso II do art. 27 do CTE/GO disciplina essa que persistiu mesmo com as alterações promovidas pelas </w:t>
      </w:r>
      <w:r w:rsidR="00576CB1">
        <w:rPr>
          <w:rFonts w:ascii="Arial" w:hAnsi="Arial" w:cs="Arial"/>
          <w:sz w:val="24"/>
          <w:szCs w:val="24"/>
        </w:rPr>
        <w:t>Leis n</w:t>
      </w:r>
      <w:r w:rsidR="00647132" w:rsidRPr="00647132">
        <w:rPr>
          <w:rFonts w:ascii="Arial" w:hAnsi="Arial" w:cs="Arial"/>
          <w:sz w:val="24"/>
          <w:szCs w:val="24"/>
          <w:vertAlign w:val="superscript"/>
        </w:rPr>
        <w:t>o</w:t>
      </w:r>
      <w:r w:rsidR="00576CB1" w:rsidRPr="00647132">
        <w:rPr>
          <w:rFonts w:ascii="Arial" w:hAnsi="Arial" w:cs="Arial"/>
          <w:sz w:val="24"/>
          <w:szCs w:val="24"/>
          <w:vertAlign w:val="superscript"/>
        </w:rPr>
        <w:t>s</w:t>
      </w:r>
      <w:r w:rsidR="00576CB1">
        <w:rPr>
          <w:rFonts w:ascii="Arial" w:hAnsi="Arial" w:cs="Arial"/>
          <w:sz w:val="24"/>
          <w:szCs w:val="24"/>
        </w:rPr>
        <w:t xml:space="preserve"> 12.972/1996 e 13.453/1999.</w:t>
      </w:r>
      <w:r w:rsidR="00961450">
        <w:rPr>
          <w:rFonts w:ascii="Arial" w:hAnsi="Arial" w:cs="Arial"/>
          <w:sz w:val="24"/>
          <w:szCs w:val="24"/>
        </w:rPr>
        <w:t xml:space="preserve"> </w:t>
      </w:r>
    </w:p>
    <w:p w14:paraId="00363650" w14:textId="39F9AEC8" w:rsidR="00961450" w:rsidRDefault="00961450" w:rsidP="00961450">
      <w:pPr>
        <w:spacing w:line="360" w:lineRule="auto"/>
        <w:ind w:firstLine="851"/>
        <w:jc w:val="both"/>
        <w:rPr>
          <w:rFonts w:ascii="Arial" w:hAnsi="Arial" w:cs="Arial"/>
          <w:sz w:val="24"/>
          <w:szCs w:val="24"/>
        </w:rPr>
      </w:pPr>
      <w:r>
        <w:rPr>
          <w:rFonts w:ascii="Arial" w:hAnsi="Arial" w:cs="Arial"/>
          <w:sz w:val="24"/>
          <w:szCs w:val="24"/>
        </w:rPr>
        <w:t xml:space="preserve">Por força da Lei nº </w:t>
      </w:r>
      <w:r w:rsidRPr="007F5EF4">
        <w:rPr>
          <w:rFonts w:ascii="Arial" w:hAnsi="Arial" w:cs="Arial"/>
          <w:sz w:val="24"/>
          <w:szCs w:val="24"/>
        </w:rPr>
        <w:t>19.930</w:t>
      </w:r>
      <w:r>
        <w:rPr>
          <w:rFonts w:ascii="Arial" w:hAnsi="Arial" w:cs="Arial"/>
          <w:sz w:val="24"/>
          <w:szCs w:val="24"/>
        </w:rPr>
        <w:t xml:space="preserve">/2017, o arroz e o feijão foram retirados da redação da mencionada alínea, de modo que sobre esses produtos passou a incidir a alíquota geral de 17% (dezessete por cento). </w:t>
      </w:r>
    </w:p>
    <w:p w14:paraId="7FE465A1" w14:textId="459A1E27" w:rsidR="00C70175" w:rsidRDefault="00C70175" w:rsidP="00D240CC">
      <w:pPr>
        <w:spacing w:line="360" w:lineRule="auto"/>
        <w:ind w:firstLine="851"/>
        <w:jc w:val="both"/>
        <w:rPr>
          <w:rFonts w:ascii="Arial" w:hAnsi="Arial" w:cs="Arial"/>
          <w:sz w:val="24"/>
          <w:szCs w:val="24"/>
        </w:rPr>
      </w:pPr>
      <w:r>
        <w:rPr>
          <w:rFonts w:ascii="Arial" w:hAnsi="Arial" w:cs="Arial"/>
          <w:sz w:val="24"/>
          <w:szCs w:val="24"/>
        </w:rPr>
        <w:t xml:space="preserve">Não obstante, historicamente </w:t>
      </w:r>
      <w:r w:rsidR="000476F3">
        <w:rPr>
          <w:rFonts w:ascii="Arial" w:hAnsi="Arial" w:cs="Arial"/>
          <w:sz w:val="24"/>
          <w:szCs w:val="24"/>
        </w:rPr>
        <w:t>vários</w:t>
      </w:r>
      <w:r>
        <w:rPr>
          <w:rFonts w:ascii="Arial" w:hAnsi="Arial" w:cs="Arial"/>
          <w:sz w:val="24"/>
          <w:szCs w:val="24"/>
        </w:rPr>
        <w:t xml:space="preserve"> decretos</w:t>
      </w:r>
      <w:r w:rsidR="00961450">
        <w:rPr>
          <w:rFonts w:ascii="Arial" w:hAnsi="Arial" w:cs="Arial"/>
          <w:sz w:val="24"/>
          <w:szCs w:val="24"/>
        </w:rPr>
        <w:t xml:space="preserve"> – que agregaram significativa complexidade à forma de tributação daqueles produtos, sobretudo em razão da inflação normativa via atos unilaterais do Poder Executivo nesse segmento, verificada a partir principalmente de 2017 –</w:t>
      </w:r>
      <w:r>
        <w:rPr>
          <w:rFonts w:ascii="Arial" w:hAnsi="Arial" w:cs="Arial"/>
          <w:sz w:val="24"/>
          <w:szCs w:val="24"/>
        </w:rPr>
        <w:t xml:space="preserve"> concederam incentivos fiscais às operações envolvendo arroz e feijão</w:t>
      </w:r>
      <w:r w:rsidR="00DB27E6">
        <w:rPr>
          <w:rFonts w:ascii="Arial" w:hAnsi="Arial" w:cs="Arial"/>
          <w:sz w:val="24"/>
          <w:szCs w:val="24"/>
        </w:rPr>
        <w:t>, bem como modificaram sua sistemática e percentuais,</w:t>
      </w:r>
      <w:r>
        <w:rPr>
          <w:rFonts w:ascii="Arial" w:hAnsi="Arial" w:cs="Arial"/>
          <w:sz w:val="24"/>
          <w:szCs w:val="24"/>
        </w:rPr>
        <w:t xml:space="preserve"> seja na forma de redução da base de cálculo </w:t>
      </w:r>
      <w:r w:rsidR="00DC63A4">
        <w:rPr>
          <w:rFonts w:ascii="Arial" w:hAnsi="Arial" w:cs="Arial"/>
          <w:sz w:val="24"/>
          <w:szCs w:val="24"/>
        </w:rPr>
        <w:t xml:space="preserve">ou na concessão de crédito outorgado </w:t>
      </w:r>
      <w:r>
        <w:rPr>
          <w:rFonts w:ascii="Arial" w:hAnsi="Arial" w:cs="Arial"/>
          <w:sz w:val="24"/>
          <w:szCs w:val="24"/>
        </w:rPr>
        <w:t>(Decreto</w:t>
      </w:r>
      <w:r w:rsidR="00152630">
        <w:rPr>
          <w:rFonts w:ascii="Arial" w:hAnsi="Arial" w:cs="Arial"/>
          <w:sz w:val="24"/>
          <w:szCs w:val="24"/>
        </w:rPr>
        <w:t>s</w:t>
      </w:r>
      <w:r>
        <w:rPr>
          <w:rFonts w:ascii="Arial" w:hAnsi="Arial" w:cs="Arial"/>
          <w:sz w:val="24"/>
          <w:szCs w:val="24"/>
        </w:rPr>
        <w:t xml:space="preserve"> n</w:t>
      </w:r>
      <w:r w:rsidR="00647132" w:rsidRPr="00647132">
        <w:rPr>
          <w:rFonts w:ascii="Arial" w:hAnsi="Arial" w:cs="Arial"/>
          <w:sz w:val="24"/>
          <w:szCs w:val="24"/>
          <w:vertAlign w:val="superscript"/>
        </w:rPr>
        <w:t>os</w:t>
      </w:r>
      <w:r>
        <w:rPr>
          <w:rFonts w:ascii="Arial" w:hAnsi="Arial" w:cs="Arial"/>
          <w:sz w:val="24"/>
          <w:szCs w:val="24"/>
        </w:rPr>
        <w:t xml:space="preserve"> </w:t>
      </w:r>
      <w:r w:rsidR="0079529B" w:rsidRPr="0079529B">
        <w:rPr>
          <w:rFonts w:ascii="Arial" w:hAnsi="Arial" w:cs="Arial"/>
          <w:sz w:val="24"/>
          <w:szCs w:val="24"/>
        </w:rPr>
        <w:t>5.272</w:t>
      </w:r>
      <w:r w:rsidR="00DB27E6">
        <w:rPr>
          <w:rFonts w:ascii="Arial" w:hAnsi="Arial" w:cs="Arial"/>
          <w:sz w:val="24"/>
          <w:szCs w:val="24"/>
        </w:rPr>
        <w:t>/2000</w:t>
      </w:r>
      <w:r w:rsidR="0079529B">
        <w:rPr>
          <w:rFonts w:ascii="Arial" w:hAnsi="Arial" w:cs="Arial"/>
          <w:sz w:val="24"/>
          <w:szCs w:val="24"/>
        </w:rPr>
        <w:t>,</w:t>
      </w:r>
      <w:r w:rsidR="00AB38A1">
        <w:rPr>
          <w:rFonts w:ascii="Arial" w:hAnsi="Arial" w:cs="Arial"/>
          <w:sz w:val="24"/>
          <w:szCs w:val="24"/>
        </w:rPr>
        <w:t xml:space="preserve"> 6.090/</w:t>
      </w:r>
      <w:r w:rsidR="00DB27E6">
        <w:rPr>
          <w:rFonts w:ascii="Arial" w:hAnsi="Arial" w:cs="Arial"/>
          <w:sz w:val="24"/>
          <w:szCs w:val="24"/>
        </w:rPr>
        <w:t>2005</w:t>
      </w:r>
      <w:r w:rsidR="00AB38A1">
        <w:rPr>
          <w:rFonts w:ascii="Arial" w:hAnsi="Arial" w:cs="Arial"/>
          <w:sz w:val="24"/>
          <w:szCs w:val="24"/>
        </w:rPr>
        <w:t>,</w:t>
      </w:r>
      <w:r w:rsidR="0079529B" w:rsidRPr="0079529B">
        <w:rPr>
          <w:rFonts w:ascii="Arial" w:hAnsi="Arial" w:cs="Arial"/>
          <w:sz w:val="24"/>
          <w:szCs w:val="24"/>
        </w:rPr>
        <w:t xml:space="preserve"> </w:t>
      </w:r>
      <w:r w:rsidR="00DB27E6">
        <w:rPr>
          <w:rFonts w:ascii="Arial" w:hAnsi="Arial" w:cs="Arial"/>
          <w:sz w:val="24"/>
          <w:szCs w:val="24"/>
        </w:rPr>
        <w:t xml:space="preserve">9.075/2017, </w:t>
      </w:r>
      <w:r>
        <w:rPr>
          <w:rFonts w:ascii="Arial" w:hAnsi="Arial" w:cs="Arial"/>
          <w:sz w:val="24"/>
          <w:szCs w:val="24"/>
        </w:rPr>
        <w:t>9.103/2017</w:t>
      </w:r>
      <w:r w:rsidR="00EA7C9C">
        <w:rPr>
          <w:rFonts w:ascii="Arial" w:hAnsi="Arial" w:cs="Arial"/>
          <w:sz w:val="24"/>
          <w:szCs w:val="24"/>
        </w:rPr>
        <w:t>,</w:t>
      </w:r>
      <w:r w:rsidR="00152630">
        <w:rPr>
          <w:rFonts w:ascii="Arial" w:hAnsi="Arial" w:cs="Arial"/>
          <w:sz w:val="24"/>
          <w:szCs w:val="24"/>
        </w:rPr>
        <w:t xml:space="preserve"> 9.</w:t>
      </w:r>
      <w:r w:rsidR="00D72364">
        <w:rPr>
          <w:rFonts w:ascii="Arial" w:hAnsi="Arial" w:cs="Arial"/>
          <w:sz w:val="24"/>
          <w:szCs w:val="24"/>
        </w:rPr>
        <w:t>116/201</w:t>
      </w:r>
      <w:r w:rsidR="00602066">
        <w:rPr>
          <w:rFonts w:ascii="Arial" w:hAnsi="Arial" w:cs="Arial"/>
          <w:sz w:val="24"/>
          <w:szCs w:val="24"/>
        </w:rPr>
        <w:t xml:space="preserve"> e</w:t>
      </w:r>
      <w:r w:rsidR="00EA7C9C">
        <w:rPr>
          <w:rFonts w:ascii="Arial" w:hAnsi="Arial" w:cs="Arial"/>
          <w:sz w:val="24"/>
          <w:szCs w:val="24"/>
        </w:rPr>
        <w:t xml:space="preserve"> 9.220/2018</w:t>
      </w:r>
      <w:r>
        <w:rPr>
          <w:rFonts w:ascii="Arial" w:hAnsi="Arial" w:cs="Arial"/>
          <w:sz w:val="24"/>
          <w:szCs w:val="24"/>
        </w:rPr>
        <w:t>).</w:t>
      </w:r>
    </w:p>
    <w:p w14:paraId="46B7A5A6" w14:textId="1386DC94" w:rsidR="0097554F" w:rsidRDefault="00D72364" w:rsidP="007600A1">
      <w:pPr>
        <w:spacing w:line="360" w:lineRule="auto"/>
        <w:ind w:firstLine="851"/>
        <w:jc w:val="both"/>
        <w:rPr>
          <w:rFonts w:ascii="Arial" w:hAnsi="Arial" w:cs="Arial"/>
          <w:sz w:val="24"/>
          <w:szCs w:val="24"/>
        </w:rPr>
      </w:pPr>
      <w:r>
        <w:rPr>
          <w:rFonts w:ascii="Arial" w:hAnsi="Arial" w:cs="Arial"/>
          <w:sz w:val="24"/>
          <w:szCs w:val="24"/>
        </w:rPr>
        <w:t>No cenário</w:t>
      </w:r>
      <w:r w:rsidR="0008102D">
        <w:rPr>
          <w:rFonts w:ascii="Arial" w:hAnsi="Arial" w:cs="Arial"/>
          <w:sz w:val="24"/>
          <w:szCs w:val="24"/>
        </w:rPr>
        <w:t xml:space="preserve"> normativo</w:t>
      </w:r>
      <w:r>
        <w:rPr>
          <w:rFonts w:ascii="Arial" w:hAnsi="Arial" w:cs="Arial"/>
          <w:sz w:val="24"/>
          <w:szCs w:val="24"/>
        </w:rPr>
        <w:t xml:space="preserve"> mais recente</w:t>
      </w:r>
      <w:r w:rsidR="0008102D">
        <w:rPr>
          <w:rFonts w:ascii="Arial" w:hAnsi="Arial" w:cs="Arial"/>
          <w:sz w:val="24"/>
          <w:szCs w:val="24"/>
        </w:rPr>
        <w:t>,</w:t>
      </w:r>
      <w:r w:rsidR="007600A1">
        <w:rPr>
          <w:rFonts w:ascii="Arial" w:hAnsi="Arial" w:cs="Arial"/>
          <w:sz w:val="24"/>
          <w:szCs w:val="24"/>
        </w:rPr>
        <w:t xml:space="preserve"> a principal alteração na tributação do arroz e feijão foi promovida pelo Decreto nº 9.547/2019, que </w:t>
      </w:r>
      <w:r w:rsidR="00042289">
        <w:rPr>
          <w:rFonts w:ascii="Arial" w:hAnsi="Arial" w:cs="Arial"/>
          <w:sz w:val="24"/>
          <w:szCs w:val="24"/>
        </w:rPr>
        <w:t>alterou o art. 8º do Anexo IX do RCTE/GO para conferir nova redação ao</w:t>
      </w:r>
      <w:r w:rsidR="007600A1">
        <w:rPr>
          <w:rFonts w:ascii="Arial" w:hAnsi="Arial" w:cs="Arial"/>
          <w:sz w:val="24"/>
          <w:szCs w:val="24"/>
        </w:rPr>
        <w:t xml:space="preserve"> respectivo</w:t>
      </w:r>
      <w:r w:rsidR="00042289">
        <w:rPr>
          <w:rFonts w:ascii="Arial" w:hAnsi="Arial" w:cs="Arial"/>
          <w:sz w:val="24"/>
          <w:szCs w:val="24"/>
        </w:rPr>
        <w:t xml:space="preserve"> inciso XXXIII, nos seguintes termos:</w:t>
      </w:r>
    </w:p>
    <w:p w14:paraId="3A6324CC" w14:textId="77777777" w:rsidR="00042289" w:rsidRDefault="00042289" w:rsidP="00D240CC">
      <w:pPr>
        <w:spacing w:line="360" w:lineRule="auto"/>
        <w:ind w:firstLine="851"/>
        <w:jc w:val="both"/>
        <w:rPr>
          <w:rFonts w:ascii="Arial" w:hAnsi="Arial" w:cs="Arial"/>
          <w:sz w:val="24"/>
          <w:szCs w:val="24"/>
        </w:rPr>
      </w:pPr>
    </w:p>
    <w:p w14:paraId="1C290325" w14:textId="213DB101" w:rsidR="001C26E7" w:rsidRDefault="001C26E7" w:rsidP="00EF4DB8">
      <w:pPr>
        <w:ind w:left="2268"/>
        <w:jc w:val="both"/>
        <w:rPr>
          <w:rFonts w:ascii="Arial" w:hAnsi="Arial" w:cs="Arial"/>
          <w:sz w:val="22"/>
          <w:szCs w:val="22"/>
        </w:rPr>
      </w:pPr>
      <w:bookmarkStart w:id="59" w:name="A8"/>
      <w:r w:rsidRPr="001C26E7">
        <w:rPr>
          <w:rFonts w:ascii="Arial" w:hAnsi="Arial" w:cs="Arial"/>
          <w:b/>
          <w:sz w:val="22"/>
          <w:szCs w:val="22"/>
        </w:rPr>
        <w:t xml:space="preserve">Art. 8º </w:t>
      </w:r>
      <w:r w:rsidRPr="001C26E7">
        <w:rPr>
          <w:rFonts w:ascii="Arial" w:hAnsi="Arial" w:cs="Arial"/>
          <w:sz w:val="22"/>
          <w:szCs w:val="22"/>
        </w:rPr>
        <w:t>A base de cálculo do ICMS é reduzida:</w:t>
      </w:r>
      <w:bookmarkEnd w:id="59"/>
    </w:p>
    <w:p w14:paraId="56BC3DFE" w14:textId="0ECCA825" w:rsidR="001C26E7" w:rsidRPr="001C26E7" w:rsidRDefault="001C26E7" w:rsidP="00EF4DB8">
      <w:pPr>
        <w:ind w:left="2268"/>
        <w:jc w:val="both"/>
        <w:rPr>
          <w:rFonts w:ascii="Arial" w:hAnsi="Arial" w:cs="Arial"/>
          <w:sz w:val="22"/>
          <w:szCs w:val="22"/>
        </w:rPr>
      </w:pPr>
      <w:r w:rsidRPr="001C26E7">
        <w:rPr>
          <w:rFonts w:ascii="Arial" w:hAnsi="Arial" w:cs="Arial"/>
          <w:sz w:val="22"/>
          <w:szCs w:val="22"/>
        </w:rPr>
        <w:t>[...].</w:t>
      </w:r>
    </w:p>
    <w:p w14:paraId="6FD1C160" w14:textId="2A0EFDBD" w:rsidR="0097554F" w:rsidRPr="0097554F" w:rsidRDefault="0097554F" w:rsidP="00EF4DB8">
      <w:pPr>
        <w:ind w:left="2268"/>
        <w:jc w:val="both"/>
        <w:rPr>
          <w:rFonts w:ascii="Arial" w:hAnsi="Arial" w:cs="Arial"/>
          <w:sz w:val="22"/>
          <w:szCs w:val="22"/>
        </w:rPr>
      </w:pPr>
      <w:r w:rsidRPr="00042289">
        <w:rPr>
          <w:rFonts w:ascii="Arial" w:hAnsi="Arial" w:cs="Arial"/>
          <w:b/>
          <w:sz w:val="22"/>
          <w:szCs w:val="22"/>
        </w:rPr>
        <w:t xml:space="preserve">XXXIII - de tal forma que resulte a aplicação sobre o valor da operação do equivalente ao percentual de 7% (sete por cento) na operação interna com açúcar, </w:t>
      </w:r>
      <w:r w:rsidRPr="0028529C">
        <w:rPr>
          <w:rFonts w:ascii="Arial" w:hAnsi="Arial" w:cs="Arial"/>
          <w:b/>
          <w:sz w:val="22"/>
          <w:szCs w:val="22"/>
          <w:u w:val="single"/>
        </w:rPr>
        <w:t>arroz</w:t>
      </w:r>
      <w:r w:rsidRPr="00042289">
        <w:rPr>
          <w:rFonts w:ascii="Arial" w:hAnsi="Arial" w:cs="Arial"/>
          <w:b/>
          <w:sz w:val="22"/>
          <w:szCs w:val="22"/>
        </w:rPr>
        <w:t xml:space="preserve">, café torrado ou moído, farinha de arroz, farinha de milho, farinha de mandioca, farinha de trigo industrializada no Estado de Goiás, </w:t>
      </w:r>
      <w:r w:rsidRPr="0028529C">
        <w:rPr>
          <w:rFonts w:ascii="Arial" w:hAnsi="Arial" w:cs="Arial"/>
          <w:b/>
          <w:sz w:val="22"/>
          <w:szCs w:val="22"/>
          <w:u w:val="single"/>
        </w:rPr>
        <w:t>feijão</w:t>
      </w:r>
      <w:r w:rsidRPr="00042289">
        <w:rPr>
          <w:rFonts w:ascii="Arial" w:hAnsi="Arial" w:cs="Arial"/>
          <w:b/>
          <w:sz w:val="22"/>
          <w:szCs w:val="22"/>
        </w:rPr>
        <w:t>, fubá, macarrão, margarina vegetal, manteiga de leite, rapadura, pão francês, polvilho, queijo tipo minas, queijo frescal, requeijão, óleo vegetal comestível, exceto o de oliva, vinagre, fósforo, sal iodado, absorvente higiênico, dentifrício, escova de dente, exceto a elétrica, papel higiênico, sabonete, água sanitária, desinfetante de uso doméstico, sabão em barra e vassoura, exceto a elétrica (Convênio ICMS 128/94, cláusula primeira)</w:t>
      </w:r>
      <w:r w:rsidRPr="0097554F">
        <w:rPr>
          <w:rFonts w:ascii="Arial" w:hAnsi="Arial" w:cs="Arial"/>
          <w:sz w:val="22"/>
          <w:szCs w:val="22"/>
        </w:rPr>
        <w:t>; </w:t>
      </w:r>
    </w:p>
    <w:p w14:paraId="64EFE403" w14:textId="325C65FC" w:rsidR="001C26E7" w:rsidRDefault="001C26E7" w:rsidP="00EF4DB8">
      <w:pPr>
        <w:ind w:left="2268"/>
        <w:jc w:val="both"/>
        <w:rPr>
          <w:rFonts w:ascii="Arial" w:hAnsi="Arial" w:cs="Arial"/>
          <w:sz w:val="22"/>
          <w:szCs w:val="22"/>
        </w:rPr>
      </w:pPr>
      <w:r w:rsidRPr="001C26E7">
        <w:rPr>
          <w:rFonts w:ascii="Arial" w:hAnsi="Arial" w:cs="Arial"/>
          <w:sz w:val="22"/>
          <w:szCs w:val="22"/>
        </w:rPr>
        <w:t>[...].</w:t>
      </w:r>
    </w:p>
    <w:p w14:paraId="3E4B4A4D" w14:textId="02EC3CA1" w:rsidR="0097554F" w:rsidRDefault="0097554F" w:rsidP="00D240CC">
      <w:pPr>
        <w:spacing w:line="360" w:lineRule="auto"/>
        <w:ind w:firstLine="851"/>
        <w:jc w:val="both"/>
        <w:rPr>
          <w:rFonts w:ascii="Arial" w:hAnsi="Arial" w:cs="Arial"/>
          <w:sz w:val="24"/>
          <w:szCs w:val="24"/>
        </w:rPr>
      </w:pPr>
    </w:p>
    <w:p w14:paraId="3BDE8FDB" w14:textId="5AA37FBD" w:rsidR="00994D33" w:rsidRDefault="00994D33" w:rsidP="00D240CC">
      <w:pPr>
        <w:spacing w:line="360" w:lineRule="auto"/>
        <w:ind w:firstLine="851"/>
        <w:jc w:val="both"/>
        <w:rPr>
          <w:rFonts w:ascii="Arial" w:hAnsi="Arial" w:cs="Arial"/>
          <w:sz w:val="24"/>
          <w:szCs w:val="24"/>
        </w:rPr>
      </w:pPr>
      <w:r>
        <w:rPr>
          <w:rFonts w:ascii="Arial" w:hAnsi="Arial" w:cs="Arial"/>
          <w:sz w:val="24"/>
          <w:szCs w:val="24"/>
        </w:rPr>
        <w:t>Importante destacar que as principais alterações foram a</w:t>
      </w:r>
      <w:r w:rsidR="00FA13E7">
        <w:rPr>
          <w:rFonts w:ascii="Arial" w:hAnsi="Arial" w:cs="Arial"/>
          <w:sz w:val="24"/>
          <w:szCs w:val="24"/>
        </w:rPr>
        <w:t xml:space="preserve"> </w:t>
      </w:r>
      <w:r>
        <w:rPr>
          <w:rFonts w:ascii="Arial" w:hAnsi="Arial" w:cs="Arial"/>
          <w:sz w:val="24"/>
          <w:szCs w:val="24"/>
        </w:rPr>
        <w:t xml:space="preserve">substituição da expressão “feijão produzido no Estado de Goiás”, constante da redação anterior, </w:t>
      </w:r>
      <w:r>
        <w:rPr>
          <w:rFonts w:ascii="Arial" w:hAnsi="Arial" w:cs="Arial"/>
          <w:sz w:val="24"/>
          <w:szCs w:val="24"/>
        </w:rPr>
        <w:lastRenderedPageBreak/>
        <w:t>conferida pelo Decreto nº 9.282/2018, simplesmente por “feijão”</w:t>
      </w:r>
      <w:r w:rsidR="00FA13E7">
        <w:rPr>
          <w:rFonts w:ascii="Arial" w:hAnsi="Arial" w:cs="Arial"/>
          <w:sz w:val="24"/>
          <w:szCs w:val="24"/>
        </w:rPr>
        <w:t xml:space="preserve">, além da </w:t>
      </w:r>
      <w:r>
        <w:rPr>
          <w:rFonts w:ascii="Arial" w:hAnsi="Arial" w:cs="Arial"/>
          <w:sz w:val="24"/>
          <w:szCs w:val="24"/>
        </w:rPr>
        <w:t>inclusão do termo “arroz”</w:t>
      </w:r>
      <w:r w:rsidR="00FA13E7">
        <w:rPr>
          <w:rFonts w:ascii="Arial" w:hAnsi="Arial" w:cs="Arial"/>
          <w:sz w:val="24"/>
          <w:szCs w:val="24"/>
        </w:rPr>
        <w:t>, de modo a sujeitar as respectivas operações internas à alíquota efetiva de 7% (sete por cento)</w:t>
      </w:r>
      <w:r w:rsidR="00CE1B95">
        <w:rPr>
          <w:rFonts w:ascii="Arial" w:hAnsi="Arial" w:cs="Arial"/>
          <w:sz w:val="24"/>
          <w:szCs w:val="24"/>
        </w:rPr>
        <w:t>, independentemente de terem sido industrializadas no Estado</w:t>
      </w:r>
      <w:r w:rsidR="00FA13E7">
        <w:rPr>
          <w:rFonts w:ascii="Arial" w:hAnsi="Arial" w:cs="Arial"/>
          <w:sz w:val="24"/>
          <w:szCs w:val="24"/>
        </w:rPr>
        <w:t>.</w:t>
      </w:r>
    </w:p>
    <w:p w14:paraId="2FFBAD96" w14:textId="15E87881" w:rsidR="00D50913" w:rsidRDefault="00D50913" w:rsidP="00DC688C">
      <w:pPr>
        <w:spacing w:line="360" w:lineRule="auto"/>
        <w:ind w:firstLine="851"/>
        <w:jc w:val="both"/>
        <w:rPr>
          <w:rFonts w:ascii="Arial" w:hAnsi="Arial" w:cs="Arial"/>
          <w:sz w:val="24"/>
          <w:szCs w:val="24"/>
        </w:rPr>
      </w:pPr>
      <w:r>
        <w:rPr>
          <w:rFonts w:ascii="Arial" w:hAnsi="Arial" w:cs="Arial"/>
          <w:sz w:val="24"/>
          <w:szCs w:val="24"/>
        </w:rPr>
        <w:t xml:space="preserve">Ao eliminar a distinção, relativamente ao arroz e ao feijão, quanto à produção no </w:t>
      </w:r>
      <w:r w:rsidR="00F73CB3">
        <w:rPr>
          <w:rFonts w:ascii="Arial" w:hAnsi="Arial" w:cs="Arial"/>
          <w:sz w:val="24"/>
          <w:szCs w:val="24"/>
        </w:rPr>
        <w:t xml:space="preserve">Estado de Goiás, as empresas </w:t>
      </w:r>
      <w:r>
        <w:rPr>
          <w:rFonts w:ascii="Arial" w:hAnsi="Arial" w:cs="Arial"/>
          <w:sz w:val="24"/>
          <w:szCs w:val="24"/>
        </w:rPr>
        <w:t xml:space="preserve">que os produzissem fora do Estado de Goiás e apenas revendessem para nosso mercado interno teriam a mesma carga tributária </w:t>
      </w:r>
      <w:r w:rsidR="00F73CB3">
        <w:rPr>
          <w:rFonts w:ascii="Arial" w:hAnsi="Arial" w:cs="Arial"/>
          <w:sz w:val="24"/>
          <w:szCs w:val="24"/>
        </w:rPr>
        <w:t>imposta ao</w:t>
      </w:r>
      <w:r>
        <w:rPr>
          <w:rFonts w:ascii="Arial" w:hAnsi="Arial" w:cs="Arial"/>
          <w:sz w:val="24"/>
          <w:szCs w:val="24"/>
        </w:rPr>
        <w:t xml:space="preserve"> produtor goiano, o que o colocaria em manifesta desvantagem</w:t>
      </w:r>
      <w:r w:rsidR="00F73CB3">
        <w:rPr>
          <w:rFonts w:ascii="Arial" w:hAnsi="Arial" w:cs="Arial"/>
          <w:sz w:val="24"/>
          <w:szCs w:val="24"/>
        </w:rPr>
        <w:t xml:space="preserve">, segundo o </w:t>
      </w:r>
      <w:r w:rsidR="00F73CB3" w:rsidRPr="00EF4DB8">
        <w:rPr>
          <w:rFonts w:ascii="Arial" w:hAnsi="Arial" w:cs="Arial"/>
          <w:sz w:val="24"/>
          <w:szCs w:val="24"/>
        </w:rPr>
        <w:t xml:space="preserve">Sindicato </w:t>
      </w:r>
      <w:r w:rsidR="00EF4DB8" w:rsidRPr="00EF4DB8">
        <w:rPr>
          <w:rFonts w:ascii="Arial" w:hAnsi="Arial" w:cs="Arial"/>
          <w:sz w:val="24"/>
          <w:szCs w:val="24"/>
        </w:rPr>
        <w:t>da Indústria do Arroz de Goiás</w:t>
      </w:r>
      <w:r w:rsidR="00DC688C">
        <w:rPr>
          <w:rFonts w:ascii="Arial" w:hAnsi="Arial" w:cs="Arial"/>
          <w:sz w:val="24"/>
          <w:szCs w:val="24"/>
        </w:rPr>
        <w:t xml:space="preserve">. </w:t>
      </w:r>
      <w:r w:rsidR="00066069">
        <w:rPr>
          <w:rFonts w:ascii="Arial" w:hAnsi="Arial" w:cs="Arial"/>
          <w:sz w:val="24"/>
          <w:szCs w:val="24"/>
        </w:rPr>
        <w:t xml:space="preserve">Em outras palavras, com essa medida, o governo estadual acabou </w:t>
      </w:r>
      <w:r w:rsidR="001C5907">
        <w:rPr>
          <w:rFonts w:ascii="Arial" w:hAnsi="Arial" w:cs="Arial"/>
          <w:sz w:val="24"/>
          <w:szCs w:val="24"/>
        </w:rPr>
        <w:t>concedendo incentivos fiscais a empresas não goianas, com claro prejuízo ao produtor local.</w:t>
      </w:r>
    </w:p>
    <w:p w14:paraId="22EC86E2" w14:textId="601E0044" w:rsidR="00AB7A5D" w:rsidRDefault="00AB7A5D" w:rsidP="00D240CC">
      <w:pPr>
        <w:spacing w:line="360" w:lineRule="auto"/>
        <w:ind w:firstLine="851"/>
        <w:jc w:val="both"/>
        <w:rPr>
          <w:rFonts w:ascii="Arial" w:hAnsi="Arial" w:cs="Arial"/>
          <w:sz w:val="24"/>
          <w:szCs w:val="24"/>
        </w:rPr>
      </w:pPr>
      <w:r>
        <w:rPr>
          <w:rFonts w:ascii="Arial" w:hAnsi="Arial" w:cs="Arial"/>
          <w:sz w:val="24"/>
          <w:szCs w:val="24"/>
        </w:rPr>
        <w:t>Isso provocou, inclusive, intenso debate nesta CPI, com a participação do Presidente do Sindicato do Arroz e Feijão do Estado de Goiás</w:t>
      </w:r>
      <w:r w:rsidRPr="00A9194C">
        <w:rPr>
          <w:rFonts w:ascii="Arial" w:hAnsi="Arial" w:cs="Arial"/>
          <w:sz w:val="24"/>
          <w:szCs w:val="24"/>
        </w:rPr>
        <w:t xml:space="preserve">, Jerry </w:t>
      </w:r>
      <w:r w:rsidR="00A9194C">
        <w:rPr>
          <w:rFonts w:ascii="Arial" w:hAnsi="Arial" w:cs="Arial"/>
          <w:sz w:val="24"/>
          <w:szCs w:val="24"/>
        </w:rPr>
        <w:t>Alexandre de Oliveira Paula</w:t>
      </w:r>
      <w:r>
        <w:rPr>
          <w:rFonts w:ascii="Arial" w:hAnsi="Arial" w:cs="Arial"/>
          <w:sz w:val="24"/>
          <w:szCs w:val="24"/>
        </w:rPr>
        <w:t>, que demonstrou grande preocupação com a medida toma</w:t>
      </w:r>
      <w:r w:rsidR="00DC688C">
        <w:rPr>
          <w:rFonts w:ascii="Arial" w:hAnsi="Arial" w:cs="Arial"/>
          <w:sz w:val="24"/>
          <w:szCs w:val="24"/>
        </w:rPr>
        <w:t>da unilateralmente pelo governo:</w:t>
      </w:r>
    </w:p>
    <w:p w14:paraId="45E2919F" w14:textId="2B7CEE6D" w:rsidR="00E90F10" w:rsidRDefault="00E90F10" w:rsidP="00D240CC">
      <w:pPr>
        <w:spacing w:line="360" w:lineRule="auto"/>
        <w:ind w:firstLine="851"/>
        <w:jc w:val="both"/>
        <w:rPr>
          <w:rFonts w:ascii="Arial" w:hAnsi="Arial" w:cs="Arial"/>
          <w:sz w:val="24"/>
          <w:szCs w:val="24"/>
        </w:rPr>
      </w:pPr>
    </w:p>
    <w:p w14:paraId="2F88C620" w14:textId="77777777" w:rsidR="00DC688C" w:rsidRPr="00DC688C" w:rsidRDefault="00DC688C" w:rsidP="00DC688C">
      <w:pPr>
        <w:ind w:left="2268"/>
        <w:jc w:val="both"/>
        <w:rPr>
          <w:rFonts w:ascii="Arial" w:hAnsi="Arial" w:cs="Arial"/>
          <w:sz w:val="22"/>
          <w:szCs w:val="28"/>
        </w:rPr>
      </w:pPr>
      <w:r w:rsidRPr="00DC688C">
        <w:rPr>
          <w:rFonts w:ascii="Arial" w:hAnsi="Arial" w:cs="Arial"/>
          <w:sz w:val="22"/>
          <w:szCs w:val="28"/>
        </w:rPr>
        <w:t>Sou Presidente do Sindicato da Indústria do Arroz de Goiás. O que me traz aqui hoje é uma mudança proposta pelo Governo do Estado, através do Decreto nº 9.547, que passa a surtir efeitos a partir do dia primeiro de dezembro deste ano. Essa mudança vem de encontro aos interesses do povo de Goiás, uma vez que o Sindicato da Indústria do Arroz tem, hoje, 16 filiados atuando no mercado, empresas cujas idades fariam de 55 a 31 anos. São empresas remanescentes dos tempos áureos do arroz em Goiás. Essas empresas não estão aqui por acaso. Não estão aqui há poucos anos. São remanescentes de uma época de ouro, em que Goiás foi o segundo maior produtor de arroz do Brasil, perdendo só para o Rio Grande do Sul.</w:t>
      </w:r>
    </w:p>
    <w:p w14:paraId="2D25750B" w14:textId="77777777" w:rsidR="00DC688C" w:rsidRPr="00DC688C" w:rsidRDefault="00DC688C" w:rsidP="00DC688C">
      <w:pPr>
        <w:ind w:left="2268"/>
        <w:jc w:val="both"/>
        <w:rPr>
          <w:rFonts w:ascii="Arial" w:hAnsi="Arial" w:cs="Arial"/>
          <w:sz w:val="22"/>
          <w:szCs w:val="28"/>
        </w:rPr>
      </w:pPr>
      <w:r w:rsidRPr="00DC688C">
        <w:rPr>
          <w:rFonts w:ascii="Arial" w:hAnsi="Arial" w:cs="Arial"/>
          <w:b/>
          <w:sz w:val="22"/>
          <w:szCs w:val="28"/>
        </w:rPr>
        <w:t>Fomos surpreendidos pela publicação desse Decreto</w:t>
      </w:r>
      <w:r w:rsidRPr="00DC688C">
        <w:rPr>
          <w:rFonts w:ascii="Arial" w:hAnsi="Arial" w:cs="Arial"/>
          <w:sz w:val="22"/>
          <w:szCs w:val="28"/>
        </w:rPr>
        <w:t>. Ele traz uma alteração que inviabiliza a atividade industrial com arroz em Goiás. Como eu disse, essa atividade vem desde os anos 60. O senhor mesmo vai lembrar que, nessa época, Goiás tinha mais de 300 cerealistas trabalhando e exportando o arroz goiano para outros Estados.</w:t>
      </w:r>
    </w:p>
    <w:p w14:paraId="34633429" w14:textId="40C62DB2" w:rsidR="00E90F10" w:rsidRDefault="00E90F10" w:rsidP="00DC688C">
      <w:pPr>
        <w:spacing w:line="360" w:lineRule="auto"/>
        <w:jc w:val="both"/>
        <w:rPr>
          <w:rFonts w:ascii="Arial" w:hAnsi="Arial" w:cs="Arial"/>
          <w:sz w:val="24"/>
          <w:szCs w:val="24"/>
        </w:rPr>
      </w:pPr>
    </w:p>
    <w:p w14:paraId="644454BF" w14:textId="77777777" w:rsidR="00CD1078" w:rsidRDefault="00AB7A5D" w:rsidP="00D240CC">
      <w:pPr>
        <w:spacing w:line="360" w:lineRule="auto"/>
        <w:ind w:firstLine="851"/>
        <w:jc w:val="both"/>
        <w:rPr>
          <w:rFonts w:ascii="Arial" w:hAnsi="Arial" w:cs="Arial"/>
          <w:sz w:val="24"/>
          <w:szCs w:val="24"/>
        </w:rPr>
      </w:pPr>
      <w:r>
        <w:rPr>
          <w:rFonts w:ascii="Arial" w:hAnsi="Arial" w:cs="Arial"/>
          <w:sz w:val="24"/>
          <w:szCs w:val="24"/>
        </w:rPr>
        <w:t xml:space="preserve">Aqui a violação ao princípio da legalidade revelou as </w:t>
      </w:r>
      <w:r w:rsidRPr="00647132">
        <w:rPr>
          <w:rFonts w:ascii="Arial" w:hAnsi="Arial" w:cs="Arial"/>
          <w:sz w:val="24"/>
          <w:szCs w:val="24"/>
          <w:u w:val="single"/>
        </w:rPr>
        <w:t>consequências de se reformular a política de incentivos fiscais no Estado sem travar a devida discussão nesta Casa de Leis, que possui a prerrogativa constitucional de ouvir as partes interessadas e conduzir um amplo debate antes de qualquer proposta se tornar efetivamente lei</w:t>
      </w:r>
      <w:r>
        <w:rPr>
          <w:rFonts w:ascii="Arial" w:hAnsi="Arial" w:cs="Arial"/>
          <w:sz w:val="24"/>
          <w:szCs w:val="24"/>
        </w:rPr>
        <w:t xml:space="preserve">. </w:t>
      </w:r>
    </w:p>
    <w:p w14:paraId="5AD2E500" w14:textId="38B61730" w:rsidR="00AB7A5D" w:rsidRDefault="00CD1078" w:rsidP="00D240CC">
      <w:pPr>
        <w:spacing w:line="360" w:lineRule="auto"/>
        <w:ind w:firstLine="851"/>
        <w:jc w:val="both"/>
        <w:rPr>
          <w:rFonts w:ascii="Arial" w:hAnsi="Arial" w:cs="Arial"/>
          <w:sz w:val="24"/>
          <w:szCs w:val="24"/>
        </w:rPr>
      </w:pPr>
      <w:r>
        <w:rPr>
          <w:rFonts w:ascii="Arial" w:hAnsi="Arial" w:cs="Arial"/>
          <w:sz w:val="24"/>
          <w:szCs w:val="24"/>
        </w:rPr>
        <w:t xml:space="preserve">Independentemente do mérito da alteração normativa, o fato é que a discussão a esse respeito deveria ter sido conduzida na forma do devido processo legislativo, como </w:t>
      </w:r>
      <w:r>
        <w:rPr>
          <w:rFonts w:ascii="Arial" w:hAnsi="Arial" w:cs="Arial"/>
          <w:sz w:val="24"/>
          <w:szCs w:val="24"/>
        </w:rPr>
        <w:lastRenderedPageBreak/>
        <w:t>preveem os mandamentos constitucionais, e não</w:t>
      </w:r>
      <w:r w:rsidR="00F7321E">
        <w:rPr>
          <w:rFonts w:ascii="Arial" w:hAnsi="Arial" w:cs="Arial"/>
          <w:sz w:val="24"/>
          <w:szCs w:val="24"/>
        </w:rPr>
        <w:t xml:space="preserve"> no curso dos trabalhos desta </w:t>
      </w:r>
      <w:r>
        <w:rPr>
          <w:rFonts w:ascii="Arial" w:hAnsi="Arial" w:cs="Arial"/>
          <w:sz w:val="24"/>
          <w:szCs w:val="24"/>
        </w:rPr>
        <w:t>CPI</w:t>
      </w:r>
      <w:r w:rsidR="003805D0">
        <w:rPr>
          <w:rFonts w:ascii="Arial" w:hAnsi="Arial" w:cs="Arial"/>
          <w:sz w:val="24"/>
          <w:szCs w:val="24"/>
        </w:rPr>
        <w:t xml:space="preserve">, </w:t>
      </w:r>
      <w:r w:rsidR="00255117">
        <w:rPr>
          <w:rFonts w:ascii="Arial" w:hAnsi="Arial" w:cs="Arial"/>
          <w:sz w:val="24"/>
          <w:szCs w:val="24"/>
        </w:rPr>
        <w:t>como de fato ocorreu.</w:t>
      </w:r>
    </w:p>
    <w:p w14:paraId="22CBE09E" w14:textId="5B517D03" w:rsidR="00AB7A5D" w:rsidRDefault="00AB7A5D" w:rsidP="00D240CC">
      <w:pPr>
        <w:spacing w:line="360" w:lineRule="auto"/>
        <w:ind w:firstLine="851"/>
        <w:jc w:val="both"/>
        <w:rPr>
          <w:rFonts w:ascii="Arial" w:hAnsi="Arial" w:cs="Arial"/>
          <w:sz w:val="24"/>
          <w:szCs w:val="24"/>
        </w:rPr>
      </w:pPr>
      <w:r>
        <w:rPr>
          <w:rFonts w:ascii="Arial" w:hAnsi="Arial" w:cs="Arial"/>
          <w:sz w:val="24"/>
          <w:szCs w:val="24"/>
        </w:rPr>
        <w:t>É justamente para evitar situações como a</w:t>
      </w:r>
      <w:r w:rsidR="004E0F0F">
        <w:rPr>
          <w:rFonts w:ascii="Arial" w:hAnsi="Arial" w:cs="Arial"/>
          <w:sz w:val="24"/>
          <w:szCs w:val="24"/>
        </w:rPr>
        <w:t xml:space="preserve"> causada pel</w:t>
      </w:r>
      <w:r>
        <w:rPr>
          <w:rFonts w:ascii="Arial" w:hAnsi="Arial" w:cs="Arial"/>
          <w:sz w:val="24"/>
          <w:szCs w:val="24"/>
        </w:rPr>
        <w:t>o Decreto nº 9.547/2019 que o princípio da legalidade deve ser observado estritamente em matéria de concessão de incentivos fiscais, a fim de que toda e qualquer medida com impacto na economia estadual seja amplamente discutida com os segmentos econômicos interessados e a sociedade em geral.</w:t>
      </w:r>
    </w:p>
    <w:p w14:paraId="77A51397" w14:textId="62406080" w:rsidR="00AB7A5D" w:rsidRDefault="00AB7A5D" w:rsidP="003B6F06">
      <w:pPr>
        <w:spacing w:line="360" w:lineRule="auto"/>
        <w:ind w:firstLine="851"/>
        <w:jc w:val="both"/>
        <w:rPr>
          <w:rFonts w:ascii="Arial" w:hAnsi="Arial" w:cs="Arial"/>
          <w:sz w:val="24"/>
          <w:szCs w:val="24"/>
        </w:rPr>
      </w:pPr>
      <w:r>
        <w:rPr>
          <w:rFonts w:ascii="Arial" w:hAnsi="Arial" w:cs="Arial"/>
          <w:sz w:val="24"/>
          <w:szCs w:val="24"/>
        </w:rPr>
        <w:t xml:space="preserve">Portanto, em se tratando da reformulação de incentivo fiscal referente ao arroz e ao feijão sem autorização legislativa, verifica-se a </w:t>
      </w:r>
      <w:r w:rsidR="002B5A46">
        <w:rPr>
          <w:rFonts w:ascii="Arial" w:hAnsi="Arial" w:cs="Arial"/>
          <w:sz w:val="24"/>
          <w:szCs w:val="24"/>
        </w:rPr>
        <w:t xml:space="preserve">inconstitucionalidade </w:t>
      </w:r>
      <w:r>
        <w:rPr>
          <w:rFonts w:ascii="Arial" w:hAnsi="Arial" w:cs="Arial"/>
          <w:sz w:val="24"/>
          <w:szCs w:val="24"/>
        </w:rPr>
        <w:t xml:space="preserve">do </w:t>
      </w:r>
      <w:r w:rsidRPr="00A451AF">
        <w:rPr>
          <w:rFonts w:ascii="Arial" w:hAnsi="Arial" w:cs="Arial"/>
          <w:sz w:val="24"/>
          <w:szCs w:val="24"/>
        </w:rPr>
        <w:t>Decreto nº 9.5</w:t>
      </w:r>
      <w:r>
        <w:rPr>
          <w:rFonts w:ascii="Arial" w:hAnsi="Arial" w:cs="Arial"/>
          <w:sz w:val="24"/>
          <w:szCs w:val="24"/>
        </w:rPr>
        <w:t>47/2019 no tocante à alteração promovida na redação do inciso XXXIII do art. 8º do Anexo IX do RCTE/GO.</w:t>
      </w:r>
    </w:p>
    <w:p w14:paraId="68EF6F92" w14:textId="0D77B409" w:rsidR="00BD5388" w:rsidRDefault="00BD5388" w:rsidP="003B6F06">
      <w:pPr>
        <w:spacing w:line="360" w:lineRule="auto"/>
        <w:ind w:firstLine="851"/>
        <w:jc w:val="both"/>
        <w:rPr>
          <w:rFonts w:ascii="Arial" w:hAnsi="Arial" w:cs="Arial"/>
          <w:sz w:val="24"/>
          <w:szCs w:val="24"/>
        </w:rPr>
      </w:pPr>
    </w:p>
    <w:p w14:paraId="71B27B98" w14:textId="376594BC" w:rsidR="00F82D59" w:rsidRPr="00A86C47" w:rsidRDefault="00F82D59" w:rsidP="003B6F06">
      <w:pPr>
        <w:spacing w:line="360" w:lineRule="auto"/>
        <w:ind w:firstLine="851"/>
        <w:jc w:val="both"/>
        <w:rPr>
          <w:rFonts w:ascii="Arial" w:hAnsi="Arial" w:cs="Arial"/>
          <w:b/>
          <w:sz w:val="24"/>
          <w:szCs w:val="24"/>
        </w:rPr>
      </w:pPr>
      <w:r>
        <w:rPr>
          <w:rFonts w:ascii="Arial" w:hAnsi="Arial" w:cs="Arial"/>
          <w:b/>
          <w:sz w:val="24"/>
          <w:szCs w:val="24"/>
        </w:rPr>
        <w:t>5.2.</w:t>
      </w:r>
      <w:r w:rsidR="00ED38B3">
        <w:rPr>
          <w:rFonts w:ascii="Arial" w:hAnsi="Arial" w:cs="Arial"/>
          <w:b/>
          <w:sz w:val="24"/>
          <w:szCs w:val="24"/>
        </w:rPr>
        <w:t>2</w:t>
      </w:r>
      <w:r>
        <w:rPr>
          <w:rFonts w:ascii="Arial" w:hAnsi="Arial" w:cs="Arial"/>
          <w:b/>
          <w:sz w:val="24"/>
          <w:szCs w:val="24"/>
        </w:rPr>
        <w:t>.</w:t>
      </w:r>
      <w:r w:rsidR="00A23A4D">
        <w:rPr>
          <w:rFonts w:ascii="Arial" w:hAnsi="Arial" w:cs="Arial"/>
          <w:b/>
          <w:sz w:val="24"/>
          <w:szCs w:val="24"/>
        </w:rPr>
        <w:t>7</w:t>
      </w:r>
      <w:r w:rsidRPr="00A86C47">
        <w:rPr>
          <w:rFonts w:ascii="Arial" w:hAnsi="Arial" w:cs="Arial"/>
          <w:b/>
          <w:sz w:val="24"/>
          <w:szCs w:val="24"/>
        </w:rPr>
        <w:t xml:space="preserve"> – </w:t>
      </w:r>
      <w:r w:rsidR="006F3FB8">
        <w:rPr>
          <w:rFonts w:ascii="Arial" w:hAnsi="Arial" w:cs="Arial"/>
          <w:b/>
          <w:sz w:val="24"/>
          <w:szCs w:val="24"/>
        </w:rPr>
        <w:t xml:space="preserve">Fármacos e medicamentos – </w:t>
      </w:r>
      <w:r>
        <w:rPr>
          <w:rFonts w:ascii="Arial" w:hAnsi="Arial" w:cs="Arial"/>
          <w:b/>
          <w:sz w:val="24"/>
          <w:szCs w:val="24"/>
        </w:rPr>
        <w:t>Decreto nº 9.477 (</w:t>
      </w:r>
      <w:r w:rsidRPr="00A86C47">
        <w:rPr>
          <w:rFonts w:ascii="Arial" w:hAnsi="Arial" w:cs="Arial"/>
          <w:b/>
          <w:sz w:val="24"/>
          <w:szCs w:val="24"/>
        </w:rPr>
        <w:t xml:space="preserve">D.O. </w:t>
      </w:r>
      <w:r>
        <w:rPr>
          <w:rFonts w:ascii="Arial" w:hAnsi="Arial" w:cs="Arial"/>
          <w:b/>
          <w:sz w:val="24"/>
          <w:szCs w:val="24"/>
        </w:rPr>
        <w:t>22</w:t>
      </w:r>
      <w:r w:rsidRPr="00A86C47">
        <w:rPr>
          <w:rFonts w:ascii="Arial" w:hAnsi="Arial" w:cs="Arial"/>
          <w:b/>
          <w:sz w:val="24"/>
          <w:szCs w:val="24"/>
        </w:rPr>
        <w:t>-</w:t>
      </w:r>
      <w:r>
        <w:rPr>
          <w:rFonts w:ascii="Arial" w:hAnsi="Arial" w:cs="Arial"/>
          <w:b/>
          <w:sz w:val="24"/>
          <w:szCs w:val="24"/>
        </w:rPr>
        <w:t>07</w:t>
      </w:r>
      <w:r w:rsidRPr="00A86C47">
        <w:rPr>
          <w:rFonts w:ascii="Arial" w:hAnsi="Arial" w:cs="Arial"/>
          <w:b/>
          <w:sz w:val="24"/>
          <w:szCs w:val="24"/>
        </w:rPr>
        <w:t>-2019)</w:t>
      </w:r>
    </w:p>
    <w:p w14:paraId="084EDA97" w14:textId="2444E836" w:rsidR="008A73AB" w:rsidRDefault="008A73AB" w:rsidP="003B6F06">
      <w:pPr>
        <w:spacing w:line="360" w:lineRule="auto"/>
        <w:ind w:firstLine="851"/>
        <w:jc w:val="both"/>
        <w:rPr>
          <w:rFonts w:ascii="Arial" w:hAnsi="Arial" w:cs="Arial"/>
          <w:sz w:val="24"/>
          <w:szCs w:val="24"/>
        </w:rPr>
      </w:pPr>
    </w:p>
    <w:p w14:paraId="67FAE0A1" w14:textId="637EF6C8" w:rsidR="00E11CBE" w:rsidRDefault="008A73AB" w:rsidP="003B6F06">
      <w:pPr>
        <w:spacing w:line="360" w:lineRule="auto"/>
        <w:ind w:firstLine="851"/>
        <w:jc w:val="both"/>
        <w:rPr>
          <w:rFonts w:ascii="Arial" w:hAnsi="Arial" w:cs="Arial"/>
          <w:sz w:val="24"/>
          <w:szCs w:val="24"/>
        </w:rPr>
      </w:pPr>
      <w:r>
        <w:rPr>
          <w:rFonts w:ascii="Arial" w:hAnsi="Arial" w:cs="Arial"/>
          <w:sz w:val="24"/>
          <w:szCs w:val="24"/>
        </w:rPr>
        <w:t>O art. 6º</w:t>
      </w:r>
      <w:r w:rsidR="00E11CBE">
        <w:rPr>
          <w:rFonts w:ascii="Arial" w:hAnsi="Arial" w:cs="Arial"/>
          <w:sz w:val="24"/>
          <w:szCs w:val="24"/>
        </w:rPr>
        <w:t xml:space="preserve">, </w:t>
      </w:r>
      <w:r w:rsidR="00F32051">
        <w:rPr>
          <w:rFonts w:ascii="Arial" w:hAnsi="Arial" w:cs="Arial"/>
          <w:sz w:val="24"/>
          <w:szCs w:val="24"/>
        </w:rPr>
        <w:t xml:space="preserve">inciso </w:t>
      </w:r>
      <w:r w:rsidR="00E11CBE">
        <w:rPr>
          <w:rFonts w:ascii="Arial" w:hAnsi="Arial" w:cs="Arial"/>
          <w:sz w:val="24"/>
          <w:szCs w:val="24"/>
        </w:rPr>
        <w:t>L,</w:t>
      </w:r>
      <w:r>
        <w:rPr>
          <w:rFonts w:ascii="Arial" w:hAnsi="Arial" w:cs="Arial"/>
          <w:sz w:val="24"/>
          <w:szCs w:val="24"/>
        </w:rPr>
        <w:t xml:space="preserve"> do Anexo IX do RCTE/GO</w:t>
      </w:r>
      <w:r w:rsidR="003B6F06">
        <w:rPr>
          <w:rFonts w:ascii="Arial" w:hAnsi="Arial" w:cs="Arial"/>
          <w:sz w:val="24"/>
          <w:szCs w:val="24"/>
        </w:rPr>
        <w:t xml:space="preserve"> prevê isenção por prazo indeterminado a uma série de operações</w:t>
      </w:r>
      <w:r w:rsidR="005470EE">
        <w:rPr>
          <w:rFonts w:ascii="Arial" w:hAnsi="Arial" w:cs="Arial"/>
          <w:sz w:val="24"/>
          <w:szCs w:val="24"/>
        </w:rPr>
        <w:t xml:space="preserve">, </w:t>
      </w:r>
      <w:r w:rsidR="005470EE" w:rsidRPr="005470EE">
        <w:rPr>
          <w:rFonts w:ascii="Arial" w:hAnsi="Arial" w:cs="Arial"/>
          <w:sz w:val="24"/>
          <w:szCs w:val="24"/>
        </w:rPr>
        <w:t>enumeradas com respectivos produtos e códigos da NBM</w:t>
      </w:r>
      <w:r w:rsidR="005470EE">
        <w:rPr>
          <w:rFonts w:ascii="Arial" w:hAnsi="Arial" w:cs="Arial"/>
          <w:sz w:val="24"/>
          <w:szCs w:val="24"/>
        </w:rPr>
        <w:t>,</w:t>
      </w:r>
      <w:r w:rsidR="005470EE" w:rsidRPr="005470EE">
        <w:rPr>
          <w:rFonts w:ascii="Arial" w:hAnsi="Arial" w:cs="Arial"/>
          <w:sz w:val="24"/>
          <w:szCs w:val="24"/>
        </w:rPr>
        <w:t xml:space="preserve"> desde que contemplados com isenção ou alíquota zero</w:t>
      </w:r>
      <w:r w:rsidR="005470EE">
        <w:rPr>
          <w:rFonts w:ascii="Arial" w:hAnsi="Arial" w:cs="Arial"/>
          <w:sz w:val="24"/>
          <w:szCs w:val="24"/>
        </w:rPr>
        <w:t xml:space="preserve"> do Imposto sobre Produtos Industrializados (IPI)</w:t>
      </w:r>
      <w:r w:rsidR="00E11CBE">
        <w:rPr>
          <w:rFonts w:ascii="Arial" w:hAnsi="Arial" w:cs="Arial"/>
          <w:sz w:val="24"/>
          <w:szCs w:val="24"/>
        </w:rPr>
        <w:t xml:space="preserve">. </w:t>
      </w:r>
    </w:p>
    <w:p w14:paraId="7E1E27FB" w14:textId="71273463" w:rsidR="00427231" w:rsidRDefault="00E11CBE" w:rsidP="003B6F06">
      <w:pPr>
        <w:spacing w:line="360" w:lineRule="auto"/>
        <w:ind w:firstLine="851"/>
        <w:jc w:val="both"/>
        <w:rPr>
          <w:rFonts w:ascii="Arial" w:hAnsi="Arial" w:cs="Arial"/>
          <w:sz w:val="24"/>
          <w:szCs w:val="24"/>
        </w:rPr>
      </w:pPr>
      <w:r>
        <w:rPr>
          <w:rFonts w:ascii="Arial" w:hAnsi="Arial" w:cs="Arial"/>
          <w:sz w:val="24"/>
          <w:szCs w:val="24"/>
        </w:rPr>
        <w:t xml:space="preserve">Uma dessas situações consiste no </w:t>
      </w:r>
      <w:r w:rsidRPr="00E11CBE">
        <w:rPr>
          <w:rFonts w:ascii="Arial" w:hAnsi="Arial" w:cs="Arial"/>
          <w:sz w:val="24"/>
          <w:szCs w:val="24"/>
        </w:rPr>
        <w:t>recebimento pelo importador</w:t>
      </w:r>
      <w:r>
        <w:rPr>
          <w:rFonts w:ascii="Arial" w:hAnsi="Arial" w:cs="Arial"/>
          <w:sz w:val="24"/>
          <w:szCs w:val="24"/>
        </w:rPr>
        <w:t xml:space="preserve">, ou nas saídas internas e interestaduais, </w:t>
      </w:r>
      <w:r w:rsidRPr="00E11CBE">
        <w:rPr>
          <w:rFonts w:ascii="Arial" w:hAnsi="Arial" w:cs="Arial"/>
          <w:sz w:val="24"/>
          <w:szCs w:val="24"/>
        </w:rPr>
        <w:t>d</w:t>
      </w:r>
      <w:r>
        <w:rPr>
          <w:rFonts w:ascii="Arial" w:hAnsi="Arial" w:cs="Arial"/>
          <w:sz w:val="24"/>
          <w:szCs w:val="24"/>
        </w:rPr>
        <w:t>e determinado</w:t>
      </w:r>
      <w:r w:rsidRPr="00E11CBE">
        <w:rPr>
          <w:rFonts w:ascii="Arial" w:hAnsi="Arial" w:cs="Arial"/>
          <w:sz w:val="24"/>
          <w:szCs w:val="24"/>
        </w:rPr>
        <w:t>s medicamentos de uso humano para o tratamento de portadores do vírus da AIDS</w:t>
      </w:r>
      <w:r>
        <w:rPr>
          <w:rFonts w:ascii="Arial" w:hAnsi="Arial" w:cs="Arial"/>
          <w:sz w:val="24"/>
          <w:szCs w:val="24"/>
        </w:rPr>
        <w:t>, espec</w:t>
      </w:r>
      <w:r w:rsidR="00427231">
        <w:rPr>
          <w:rFonts w:ascii="Arial" w:hAnsi="Arial" w:cs="Arial"/>
          <w:sz w:val="24"/>
          <w:szCs w:val="24"/>
        </w:rPr>
        <w:t>ificados nas alíneas “a” e “b” e respectivos itens, do mencionado inciso L do art. 6º, inciso L, do Anexo IX do RCTE/GO.</w:t>
      </w:r>
      <w:r w:rsidR="00EB2A47">
        <w:rPr>
          <w:rFonts w:ascii="Arial" w:hAnsi="Arial" w:cs="Arial"/>
          <w:sz w:val="24"/>
          <w:szCs w:val="24"/>
        </w:rPr>
        <w:t xml:space="preserve"> </w:t>
      </w:r>
      <w:r w:rsidR="00427231">
        <w:rPr>
          <w:rFonts w:ascii="Arial" w:hAnsi="Arial" w:cs="Arial"/>
          <w:sz w:val="24"/>
          <w:szCs w:val="24"/>
        </w:rPr>
        <w:t>O Decreto nº 9.477/2019</w:t>
      </w:r>
      <w:r w:rsidR="00EE74E5">
        <w:rPr>
          <w:rFonts w:ascii="Arial" w:hAnsi="Arial" w:cs="Arial"/>
          <w:sz w:val="24"/>
          <w:szCs w:val="24"/>
        </w:rPr>
        <w:t xml:space="preserve"> estenda</w:t>
      </w:r>
      <w:r w:rsidR="00812E45">
        <w:rPr>
          <w:rFonts w:ascii="Arial" w:hAnsi="Arial" w:cs="Arial"/>
          <w:sz w:val="24"/>
          <w:szCs w:val="24"/>
        </w:rPr>
        <w:t xml:space="preserve"> essa isenç</w:t>
      </w:r>
      <w:r w:rsidR="00EB2A47">
        <w:rPr>
          <w:rFonts w:ascii="Arial" w:hAnsi="Arial" w:cs="Arial"/>
          <w:sz w:val="24"/>
          <w:szCs w:val="24"/>
        </w:rPr>
        <w:t>ão a</w:t>
      </w:r>
      <w:r w:rsidR="00812E45">
        <w:rPr>
          <w:rFonts w:ascii="Arial" w:hAnsi="Arial" w:cs="Arial"/>
          <w:sz w:val="24"/>
          <w:szCs w:val="24"/>
        </w:rPr>
        <w:t xml:space="preserve"> medicamentos</w:t>
      </w:r>
      <w:r w:rsidR="00EB2A47">
        <w:rPr>
          <w:rFonts w:ascii="Arial" w:hAnsi="Arial" w:cs="Arial"/>
          <w:sz w:val="24"/>
          <w:szCs w:val="24"/>
        </w:rPr>
        <w:t xml:space="preserve"> à base de </w:t>
      </w:r>
      <w:r w:rsidR="00EB2A47" w:rsidRPr="00EB2A47">
        <w:rPr>
          <w:rFonts w:ascii="Arial" w:hAnsi="Arial" w:cs="Arial"/>
          <w:sz w:val="24"/>
          <w:szCs w:val="24"/>
        </w:rPr>
        <w:t>Enfurvitida</w:t>
      </w:r>
      <w:r w:rsidR="00EB2A47">
        <w:rPr>
          <w:rFonts w:ascii="Arial" w:hAnsi="Arial" w:cs="Arial"/>
          <w:sz w:val="24"/>
          <w:szCs w:val="24"/>
        </w:rPr>
        <w:t xml:space="preserve">, </w:t>
      </w:r>
      <w:r w:rsidR="00EB2A47" w:rsidRPr="00EB2A47">
        <w:rPr>
          <w:rFonts w:ascii="Arial" w:hAnsi="Arial" w:cs="Arial"/>
          <w:sz w:val="24"/>
          <w:szCs w:val="24"/>
        </w:rPr>
        <w:t>Fosamprenavir</w:t>
      </w:r>
      <w:r w:rsidR="00EB2A47">
        <w:rPr>
          <w:rFonts w:ascii="Arial" w:hAnsi="Arial" w:cs="Arial"/>
          <w:sz w:val="24"/>
          <w:szCs w:val="24"/>
        </w:rPr>
        <w:t xml:space="preserve">, </w:t>
      </w:r>
      <w:r w:rsidR="00EB2A47" w:rsidRPr="00EB2A47">
        <w:rPr>
          <w:rFonts w:ascii="Arial" w:hAnsi="Arial" w:cs="Arial"/>
          <w:sz w:val="24"/>
          <w:szCs w:val="24"/>
        </w:rPr>
        <w:t>Raltegravir</w:t>
      </w:r>
      <w:r w:rsidR="00EB2A47">
        <w:rPr>
          <w:rFonts w:ascii="Arial" w:hAnsi="Arial" w:cs="Arial"/>
          <w:sz w:val="24"/>
          <w:szCs w:val="24"/>
        </w:rPr>
        <w:t xml:space="preserve">, </w:t>
      </w:r>
      <w:r w:rsidR="00EB2A47" w:rsidRPr="00EB2A47">
        <w:rPr>
          <w:rFonts w:ascii="Arial" w:hAnsi="Arial" w:cs="Arial"/>
          <w:sz w:val="24"/>
          <w:szCs w:val="24"/>
        </w:rPr>
        <w:t>Tipranavir</w:t>
      </w:r>
      <w:r w:rsidR="00EB2A47">
        <w:rPr>
          <w:rFonts w:ascii="Arial" w:hAnsi="Arial" w:cs="Arial"/>
          <w:sz w:val="24"/>
          <w:szCs w:val="24"/>
        </w:rPr>
        <w:t xml:space="preserve"> e </w:t>
      </w:r>
      <w:r w:rsidR="00EB2A47" w:rsidRPr="00EB2A47">
        <w:rPr>
          <w:rFonts w:ascii="Arial" w:hAnsi="Arial" w:cs="Arial"/>
          <w:sz w:val="24"/>
          <w:szCs w:val="24"/>
        </w:rPr>
        <w:t>Maraviroque</w:t>
      </w:r>
      <w:r w:rsidR="00812E45">
        <w:rPr>
          <w:rFonts w:ascii="Arial" w:hAnsi="Arial" w:cs="Arial"/>
          <w:sz w:val="24"/>
          <w:szCs w:val="24"/>
        </w:rPr>
        <w:t>, conforme transcrito a seguir:</w:t>
      </w:r>
    </w:p>
    <w:p w14:paraId="0C2E03FE" w14:textId="77777777" w:rsidR="008A73AB" w:rsidRDefault="008A73AB" w:rsidP="003B6F06">
      <w:pPr>
        <w:spacing w:line="360" w:lineRule="auto"/>
        <w:ind w:firstLine="851"/>
        <w:jc w:val="both"/>
        <w:rPr>
          <w:rFonts w:ascii="Arial" w:hAnsi="Arial" w:cs="Arial"/>
          <w:sz w:val="22"/>
          <w:szCs w:val="22"/>
        </w:rPr>
      </w:pPr>
    </w:p>
    <w:p w14:paraId="6A439432" w14:textId="22BEEC3E" w:rsidR="00F82D59" w:rsidRPr="00F82D59" w:rsidRDefault="00812E45" w:rsidP="00DC688C">
      <w:pPr>
        <w:ind w:left="2268"/>
        <w:jc w:val="both"/>
        <w:rPr>
          <w:rFonts w:ascii="Arial" w:hAnsi="Arial" w:cs="Arial"/>
          <w:sz w:val="22"/>
          <w:szCs w:val="22"/>
        </w:rPr>
      </w:pPr>
      <w:r w:rsidRPr="00812E45">
        <w:rPr>
          <w:rFonts w:ascii="Arial" w:hAnsi="Arial" w:cs="Arial"/>
          <w:b/>
          <w:sz w:val="22"/>
          <w:szCs w:val="22"/>
        </w:rPr>
        <w:t xml:space="preserve">Art. 6º </w:t>
      </w:r>
      <w:r w:rsidRPr="00812E45">
        <w:rPr>
          <w:rFonts w:ascii="Arial" w:hAnsi="Arial" w:cs="Arial"/>
          <w:sz w:val="22"/>
          <w:szCs w:val="22"/>
        </w:rPr>
        <w:t>São isentos do ICMS:</w:t>
      </w:r>
    </w:p>
    <w:p w14:paraId="3D9930AF" w14:textId="7DDDD0A2" w:rsidR="00F82D59" w:rsidRPr="00F82D59" w:rsidRDefault="00812E45" w:rsidP="00DC688C">
      <w:pPr>
        <w:ind w:left="2268"/>
        <w:jc w:val="both"/>
        <w:rPr>
          <w:rFonts w:ascii="Arial" w:hAnsi="Arial" w:cs="Arial"/>
          <w:sz w:val="22"/>
          <w:szCs w:val="22"/>
        </w:rPr>
      </w:pPr>
      <w:r>
        <w:rPr>
          <w:rFonts w:ascii="Arial" w:hAnsi="Arial" w:cs="Arial"/>
          <w:sz w:val="22"/>
          <w:szCs w:val="22"/>
        </w:rPr>
        <w:t>[...].</w:t>
      </w:r>
    </w:p>
    <w:p w14:paraId="0A61707C" w14:textId="44E3FE5B" w:rsidR="00F82D59" w:rsidRPr="00F82D59" w:rsidRDefault="00F82D59" w:rsidP="00DC688C">
      <w:pPr>
        <w:ind w:left="2268"/>
        <w:jc w:val="both"/>
        <w:rPr>
          <w:rFonts w:ascii="Arial" w:hAnsi="Arial" w:cs="Arial"/>
          <w:sz w:val="22"/>
          <w:szCs w:val="22"/>
        </w:rPr>
      </w:pPr>
      <w:r w:rsidRPr="00F82D59">
        <w:rPr>
          <w:rFonts w:ascii="Arial" w:hAnsi="Arial" w:cs="Arial"/>
          <w:sz w:val="22"/>
          <w:szCs w:val="22"/>
        </w:rPr>
        <w:t>L </w:t>
      </w:r>
      <w:r w:rsidR="00D02A0D">
        <w:rPr>
          <w:rFonts w:ascii="Arial" w:hAnsi="Arial" w:cs="Arial"/>
          <w:sz w:val="22"/>
          <w:szCs w:val="22"/>
        </w:rPr>
        <w:t>–</w:t>
      </w:r>
      <w:r w:rsidRPr="00F82D59">
        <w:rPr>
          <w:rFonts w:ascii="Arial" w:hAnsi="Arial" w:cs="Arial"/>
          <w:sz w:val="22"/>
          <w:szCs w:val="22"/>
        </w:rPr>
        <w:t xml:space="preserve"> </w:t>
      </w:r>
      <w:bookmarkStart w:id="60" w:name="A6L"/>
      <w:r w:rsidR="00EC7837" w:rsidRPr="00EC7837">
        <w:rPr>
          <w:rFonts w:ascii="Arial" w:hAnsi="Arial" w:cs="Arial"/>
          <w:sz w:val="22"/>
          <w:szCs w:val="22"/>
        </w:rPr>
        <w:t>as operações, a seguir enumeradas com respectivos produtos e códigos da NBM, desde que contemplados com isenção ou alíquota zero dos Impostos de Importação ou sobre Produtos Industrializados, ficando mantido o crédito (Convênio ICMS 10/02):</w:t>
      </w:r>
      <w:bookmarkEnd w:id="60"/>
    </w:p>
    <w:p w14:paraId="57250795" w14:textId="2D1C407A" w:rsidR="00F82D59" w:rsidRDefault="00F82D59" w:rsidP="00DC688C">
      <w:pPr>
        <w:ind w:left="2268"/>
        <w:jc w:val="both"/>
        <w:rPr>
          <w:rFonts w:ascii="Arial" w:hAnsi="Arial" w:cs="Arial"/>
          <w:sz w:val="22"/>
          <w:szCs w:val="22"/>
        </w:rPr>
      </w:pPr>
      <w:r w:rsidRPr="00F82D59">
        <w:rPr>
          <w:rFonts w:ascii="Arial" w:hAnsi="Arial" w:cs="Arial"/>
          <w:sz w:val="22"/>
          <w:szCs w:val="22"/>
        </w:rPr>
        <w:t xml:space="preserve">a) </w:t>
      </w:r>
      <w:r w:rsidR="00EC7837" w:rsidRPr="00EC7837">
        <w:rPr>
          <w:rFonts w:ascii="Arial" w:hAnsi="Arial" w:cs="Arial"/>
          <w:sz w:val="22"/>
          <w:szCs w:val="22"/>
        </w:rPr>
        <w:t>recebimento pelo importador de:</w:t>
      </w:r>
    </w:p>
    <w:p w14:paraId="2FE26010" w14:textId="4D4207EC" w:rsidR="00EC7837" w:rsidRDefault="00EC7837" w:rsidP="00DC688C">
      <w:pPr>
        <w:ind w:left="2268"/>
        <w:jc w:val="both"/>
        <w:rPr>
          <w:rFonts w:ascii="Arial" w:hAnsi="Arial" w:cs="Arial"/>
          <w:sz w:val="22"/>
          <w:szCs w:val="22"/>
        </w:rPr>
      </w:pPr>
      <w:r>
        <w:rPr>
          <w:rFonts w:ascii="Arial" w:hAnsi="Arial" w:cs="Arial"/>
          <w:sz w:val="22"/>
          <w:szCs w:val="22"/>
        </w:rPr>
        <w:t>[...].</w:t>
      </w:r>
    </w:p>
    <w:p w14:paraId="2C99C01C" w14:textId="720D18A2" w:rsidR="00F82D59" w:rsidRDefault="00F82D59" w:rsidP="00DC688C">
      <w:pPr>
        <w:ind w:left="2268"/>
        <w:jc w:val="both"/>
        <w:rPr>
          <w:rFonts w:ascii="Arial" w:hAnsi="Arial" w:cs="Arial"/>
          <w:sz w:val="22"/>
          <w:szCs w:val="22"/>
        </w:rPr>
      </w:pPr>
      <w:r w:rsidRPr="00F82D59">
        <w:rPr>
          <w:rFonts w:ascii="Arial" w:hAnsi="Arial" w:cs="Arial"/>
          <w:sz w:val="22"/>
          <w:szCs w:val="22"/>
        </w:rPr>
        <w:t xml:space="preserve">3. </w:t>
      </w:r>
      <w:r w:rsidR="00EC7837" w:rsidRPr="00EC7837">
        <w:rPr>
          <w:rFonts w:ascii="Arial" w:hAnsi="Arial" w:cs="Arial"/>
          <w:sz w:val="22"/>
          <w:szCs w:val="22"/>
        </w:rPr>
        <w:t>dos medicamentos de uso humano para o tratamento de portadores do vírus da AIDS, a base de:</w:t>
      </w:r>
    </w:p>
    <w:p w14:paraId="7B76FDDA" w14:textId="32E56E3B" w:rsidR="00EC7837" w:rsidRPr="00F82D59" w:rsidRDefault="00EC7837" w:rsidP="00DC688C">
      <w:pPr>
        <w:ind w:left="2268"/>
        <w:jc w:val="both"/>
        <w:rPr>
          <w:rFonts w:ascii="Arial" w:hAnsi="Arial" w:cs="Arial"/>
          <w:sz w:val="22"/>
          <w:szCs w:val="22"/>
        </w:rPr>
      </w:pPr>
      <w:r>
        <w:rPr>
          <w:rFonts w:ascii="Arial" w:hAnsi="Arial" w:cs="Arial"/>
          <w:sz w:val="22"/>
          <w:szCs w:val="22"/>
        </w:rPr>
        <w:t>[...].</w:t>
      </w:r>
    </w:p>
    <w:p w14:paraId="3D8A3744" w14:textId="77777777" w:rsidR="00F82D59" w:rsidRPr="008A73AB" w:rsidRDefault="00F82D59" w:rsidP="00DC688C">
      <w:pPr>
        <w:ind w:left="2268"/>
        <w:jc w:val="both"/>
        <w:rPr>
          <w:rFonts w:ascii="Arial" w:hAnsi="Arial" w:cs="Arial"/>
          <w:b/>
          <w:sz w:val="22"/>
          <w:szCs w:val="22"/>
        </w:rPr>
      </w:pPr>
      <w:r w:rsidRPr="008A73AB">
        <w:rPr>
          <w:rFonts w:ascii="Arial" w:hAnsi="Arial" w:cs="Arial"/>
          <w:b/>
          <w:sz w:val="22"/>
          <w:szCs w:val="22"/>
        </w:rPr>
        <w:t>3.8. Enfurvitida - T - 20, 3004.90.68; </w:t>
      </w:r>
    </w:p>
    <w:p w14:paraId="7A76F940" w14:textId="77777777" w:rsidR="00F82D59" w:rsidRPr="008A73AB" w:rsidRDefault="00F82D59" w:rsidP="00DC688C">
      <w:pPr>
        <w:ind w:left="2268"/>
        <w:jc w:val="both"/>
        <w:rPr>
          <w:rFonts w:ascii="Arial" w:hAnsi="Arial" w:cs="Arial"/>
          <w:b/>
          <w:sz w:val="22"/>
          <w:szCs w:val="22"/>
        </w:rPr>
      </w:pPr>
      <w:r w:rsidRPr="008A73AB">
        <w:rPr>
          <w:rFonts w:ascii="Arial" w:hAnsi="Arial" w:cs="Arial"/>
          <w:b/>
          <w:sz w:val="22"/>
          <w:szCs w:val="22"/>
        </w:rPr>
        <w:lastRenderedPageBreak/>
        <w:t>3.9. Fosamprenavir, 3003.90.88 e 3004.90.78; </w:t>
      </w:r>
    </w:p>
    <w:p w14:paraId="41450C61" w14:textId="77777777" w:rsidR="00F82D59" w:rsidRPr="008A73AB" w:rsidRDefault="00F82D59" w:rsidP="00DC688C">
      <w:pPr>
        <w:ind w:left="2268"/>
        <w:jc w:val="both"/>
        <w:rPr>
          <w:rFonts w:ascii="Arial" w:hAnsi="Arial" w:cs="Arial"/>
          <w:b/>
          <w:sz w:val="22"/>
          <w:szCs w:val="22"/>
        </w:rPr>
      </w:pPr>
      <w:r w:rsidRPr="008A73AB">
        <w:rPr>
          <w:rFonts w:ascii="Arial" w:hAnsi="Arial" w:cs="Arial"/>
          <w:b/>
          <w:sz w:val="22"/>
          <w:szCs w:val="22"/>
        </w:rPr>
        <w:t>3.10. Raltegravir, 3004.90.79; </w:t>
      </w:r>
    </w:p>
    <w:p w14:paraId="10F8B018" w14:textId="77777777" w:rsidR="00F82D59" w:rsidRPr="008A73AB" w:rsidRDefault="00F82D59" w:rsidP="00DC688C">
      <w:pPr>
        <w:ind w:left="2268"/>
        <w:jc w:val="both"/>
        <w:rPr>
          <w:rFonts w:ascii="Arial" w:hAnsi="Arial" w:cs="Arial"/>
          <w:b/>
          <w:sz w:val="22"/>
          <w:szCs w:val="22"/>
        </w:rPr>
      </w:pPr>
      <w:r w:rsidRPr="008A73AB">
        <w:rPr>
          <w:rFonts w:ascii="Arial" w:hAnsi="Arial" w:cs="Arial"/>
          <w:b/>
          <w:sz w:val="22"/>
          <w:szCs w:val="22"/>
        </w:rPr>
        <w:t>3.11.Tipranavir, 3004.90.79; </w:t>
      </w:r>
    </w:p>
    <w:p w14:paraId="2F884DCE" w14:textId="77777777" w:rsidR="00F82D59" w:rsidRPr="008A73AB" w:rsidRDefault="00F82D59" w:rsidP="00DC688C">
      <w:pPr>
        <w:ind w:left="2268"/>
        <w:jc w:val="both"/>
        <w:rPr>
          <w:rFonts w:ascii="Arial" w:hAnsi="Arial" w:cs="Arial"/>
          <w:b/>
          <w:sz w:val="22"/>
          <w:szCs w:val="22"/>
        </w:rPr>
      </w:pPr>
      <w:r w:rsidRPr="008A73AB">
        <w:rPr>
          <w:rFonts w:ascii="Arial" w:hAnsi="Arial" w:cs="Arial"/>
          <w:b/>
          <w:sz w:val="22"/>
          <w:szCs w:val="22"/>
        </w:rPr>
        <w:t>3.12. Maraviroque,3004.90.69; </w:t>
      </w:r>
    </w:p>
    <w:p w14:paraId="1516E509" w14:textId="77777777" w:rsidR="00EC7837" w:rsidRPr="00F82D59" w:rsidRDefault="00EC7837" w:rsidP="00DC688C">
      <w:pPr>
        <w:ind w:left="2268"/>
        <w:jc w:val="both"/>
        <w:rPr>
          <w:rFonts w:ascii="Arial" w:hAnsi="Arial" w:cs="Arial"/>
          <w:sz w:val="22"/>
          <w:szCs w:val="22"/>
        </w:rPr>
      </w:pPr>
      <w:r>
        <w:rPr>
          <w:rFonts w:ascii="Arial" w:hAnsi="Arial" w:cs="Arial"/>
          <w:sz w:val="22"/>
          <w:szCs w:val="22"/>
        </w:rPr>
        <w:t>[...].</w:t>
      </w:r>
    </w:p>
    <w:p w14:paraId="5A2DEE70" w14:textId="77777777" w:rsidR="00F82D59" w:rsidRPr="00F82D59" w:rsidRDefault="00F82D59" w:rsidP="00DC688C">
      <w:pPr>
        <w:ind w:left="2268"/>
        <w:jc w:val="both"/>
        <w:rPr>
          <w:rFonts w:ascii="Arial" w:hAnsi="Arial" w:cs="Arial"/>
          <w:sz w:val="22"/>
          <w:szCs w:val="22"/>
        </w:rPr>
      </w:pPr>
      <w:r w:rsidRPr="00F82D59">
        <w:rPr>
          <w:rFonts w:ascii="Arial" w:hAnsi="Arial" w:cs="Arial"/>
          <w:sz w:val="22"/>
          <w:szCs w:val="22"/>
        </w:rPr>
        <w:t> </w:t>
      </w:r>
    </w:p>
    <w:p w14:paraId="2F21183A" w14:textId="66645650" w:rsidR="00F82D59" w:rsidRPr="008A73AB" w:rsidRDefault="00F82D59" w:rsidP="00DC688C">
      <w:pPr>
        <w:ind w:left="2268"/>
        <w:jc w:val="both"/>
        <w:rPr>
          <w:rFonts w:ascii="Arial" w:hAnsi="Arial" w:cs="Arial"/>
          <w:sz w:val="22"/>
          <w:szCs w:val="22"/>
        </w:rPr>
      </w:pPr>
      <w:r w:rsidRPr="008A73AB">
        <w:rPr>
          <w:rFonts w:ascii="Arial" w:hAnsi="Arial" w:cs="Arial"/>
          <w:sz w:val="22"/>
          <w:szCs w:val="22"/>
        </w:rPr>
        <w:t xml:space="preserve">b) </w:t>
      </w:r>
      <w:r w:rsidR="005D5142" w:rsidRPr="008A73AB">
        <w:rPr>
          <w:rFonts w:ascii="Arial" w:hAnsi="Arial" w:cs="Arial"/>
          <w:sz w:val="22"/>
          <w:szCs w:val="22"/>
        </w:rPr>
        <w:t>saídas interna e interestadual:</w:t>
      </w:r>
    </w:p>
    <w:p w14:paraId="23AB453C" w14:textId="401B01C5" w:rsidR="00F82D59" w:rsidRPr="008A73AB" w:rsidRDefault="005D5142" w:rsidP="00DC688C">
      <w:pPr>
        <w:ind w:left="2268"/>
        <w:jc w:val="both"/>
        <w:rPr>
          <w:rFonts w:ascii="Arial" w:hAnsi="Arial" w:cs="Arial"/>
          <w:sz w:val="22"/>
          <w:szCs w:val="22"/>
        </w:rPr>
      </w:pPr>
      <w:r w:rsidRPr="008A73AB">
        <w:rPr>
          <w:rFonts w:ascii="Arial" w:hAnsi="Arial" w:cs="Arial"/>
          <w:sz w:val="22"/>
          <w:szCs w:val="22"/>
        </w:rPr>
        <w:t>[...].</w:t>
      </w:r>
    </w:p>
    <w:p w14:paraId="7C8BD24E" w14:textId="60B9D481" w:rsidR="00F82D59" w:rsidRPr="008A73AB" w:rsidRDefault="00F82D59" w:rsidP="00DC688C">
      <w:pPr>
        <w:ind w:left="2268"/>
        <w:jc w:val="both"/>
        <w:rPr>
          <w:rFonts w:ascii="Arial" w:hAnsi="Arial" w:cs="Arial"/>
          <w:sz w:val="22"/>
          <w:szCs w:val="22"/>
        </w:rPr>
      </w:pPr>
      <w:r w:rsidRPr="008A73AB">
        <w:rPr>
          <w:rFonts w:ascii="Arial" w:hAnsi="Arial" w:cs="Arial"/>
          <w:sz w:val="22"/>
          <w:szCs w:val="22"/>
        </w:rPr>
        <w:t xml:space="preserve">2 </w:t>
      </w:r>
      <w:r w:rsidR="005D5142" w:rsidRPr="008A73AB">
        <w:rPr>
          <w:rFonts w:ascii="Arial" w:hAnsi="Arial" w:cs="Arial"/>
          <w:sz w:val="22"/>
          <w:szCs w:val="22"/>
        </w:rPr>
        <w:t>dos medicamentos de uso humano, destinados ao tratamento dos portadores do vírus da AIDS, a base de:</w:t>
      </w:r>
    </w:p>
    <w:p w14:paraId="1B0FED6E" w14:textId="5867C5D1" w:rsidR="00F82D59" w:rsidRPr="00F82D59" w:rsidRDefault="005D5142" w:rsidP="00DC688C">
      <w:pPr>
        <w:ind w:left="2268"/>
        <w:jc w:val="both"/>
        <w:rPr>
          <w:rFonts w:ascii="Arial" w:hAnsi="Arial" w:cs="Arial"/>
          <w:sz w:val="22"/>
          <w:szCs w:val="22"/>
        </w:rPr>
      </w:pPr>
      <w:r>
        <w:rPr>
          <w:rFonts w:ascii="Arial" w:hAnsi="Arial" w:cs="Arial"/>
          <w:sz w:val="22"/>
          <w:szCs w:val="22"/>
        </w:rPr>
        <w:t>[...].</w:t>
      </w:r>
    </w:p>
    <w:p w14:paraId="4D144870" w14:textId="77777777" w:rsidR="00F82D59" w:rsidRPr="008A73AB" w:rsidRDefault="00F82D59" w:rsidP="00DC688C">
      <w:pPr>
        <w:ind w:left="2268"/>
        <w:jc w:val="both"/>
        <w:rPr>
          <w:rFonts w:ascii="Arial" w:hAnsi="Arial" w:cs="Arial"/>
          <w:b/>
          <w:sz w:val="22"/>
          <w:szCs w:val="22"/>
        </w:rPr>
      </w:pPr>
      <w:r w:rsidRPr="008A73AB">
        <w:rPr>
          <w:rFonts w:ascii="Arial" w:hAnsi="Arial" w:cs="Arial"/>
          <w:b/>
          <w:sz w:val="22"/>
          <w:szCs w:val="22"/>
        </w:rPr>
        <w:t>2.10. Enfurvitida - T - 20, 3004.90.68; </w:t>
      </w:r>
    </w:p>
    <w:p w14:paraId="1E2BC25D" w14:textId="77777777" w:rsidR="00F82D59" w:rsidRPr="008A73AB" w:rsidRDefault="00F82D59" w:rsidP="00DC688C">
      <w:pPr>
        <w:ind w:left="2268"/>
        <w:jc w:val="both"/>
        <w:rPr>
          <w:rFonts w:ascii="Arial" w:hAnsi="Arial" w:cs="Arial"/>
          <w:b/>
          <w:sz w:val="22"/>
          <w:szCs w:val="22"/>
        </w:rPr>
      </w:pPr>
      <w:r w:rsidRPr="008A73AB">
        <w:rPr>
          <w:rFonts w:ascii="Arial" w:hAnsi="Arial" w:cs="Arial"/>
          <w:b/>
          <w:sz w:val="22"/>
          <w:szCs w:val="22"/>
        </w:rPr>
        <w:t>2.11. Fosamprenavir, 3003.90.88 e 3004.90.78; </w:t>
      </w:r>
    </w:p>
    <w:p w14:paraId="0FCC1CD1" w14:textId="77777777" w:rsidR="00F82D59" w:rsidRPr="008A73AB" w:rsidRDefault="00F82D59" w:rsidP="00DC688C">
      <w:pPr>
        <w:ind w:left="2268"/>
        <w:jc w:val="both"/>
        <w:rPr>
          <w:rFonts w:ascii="Arial" w:hAnsi="Arial" w:cs="Arial"/>
          <w:b/>
          <w:sz w:val="22"/>
          <w:szCs w:val="22"/>
        </w:rPr>
      </w:pPr>
      <w:r w:rsidRPr="008A73AB">
        <w:rPr>
          <w:rFonts w:ascii="Arial" w:hAnsi="Arial" w:cs="Arial"/>
          <w:b/>
          <w:sz w:val="22"/>
          <w:szCs w:val="22"/>
        </w:rPr>
        <w:t>2.12. Raltegravir, 3004.90.79; </w:t>
      </w:r>
    </w:p>
    <w:p w14:paraId="247A25CA" w14:textId="0C36EC20" w:rsidR="00F82D59" w:rsidRPr="008A73AB" w:rsidRDefault="00F82D59" w:rsidP="00DC688C">
      <w:pPr>
        <w:ind w:left="2268"/>
        <w:jc w:val="both"/>
        <w:rPr>
          <w:rFonts w:ascii="Arial" w:hAnsi="Arial" w:cs="Arial"/>
          <w:b/>
          <w:sz w:val="22"/>
          <w:szCs w:val="22"/>
        </w:rPr>
      </w:pPr>
      <w:r w:rsidRPr="008A73AB">
        <w:rPr>
          <w:rFonts w:ascii="Arial" w:hAnsi="Arial" w:cs="Arial"/>
          <w:b/>
          <w:sz w:val="22"/>
          <w:szCs w:val="22"/>
        </w:rPr>
        <w:t>2.13.</w:t>
      </w:r>
      <w:r w:rsidR="00CF06E1">
        <w:rPr>
          <w:rFonts w:ascii="Arial" w:hAnsi="Arial" w:cs="Arial"/>
          <w:b/>
          <w:sz w:val="22"/>
          <w:szCs w:val="22"/>
        </w:rPr>
        <w:t xml:space="preserve"> </w:t>
      </w:r>
      <w:r w:rsidRPr="008A73AB">
        <w:rPr>
          <w:rFonts w:ascii="Arial" w:hAnsi="Arial" w:cs="Arial"/>
          <w:b/>
          <w:sz w:val="22"/>
          <w:szCs w:val="22"/>
        </w:rPr>
        <w:t>Tipranavir, 3004.90.79; </w:t>
      </w:r>
    </w:p>
    <w:p w14:paraId="7D088222" w14:textId="77777777" w:rsidR="00F82D59" w:rsidRPr="008A73AB" w:rsidRDefault="00F82D59" w:rsidP="00DC688C">
      <w:pPr>
        <w:ind w:left="2268"/>
        <w:jc w:val="both"/>
        <w:rPr>
          <w:rFonts w:ascii="Arial" w:hAnsi="Arial" w:cs="Arial"/>
          <w:b/>
          <w:sz w:val="22"/>
          <w:szCs w:val="22"/>
        </w:rPr>
      </w:pPr>
      <w:r w:rsidRPr="008A73AB">
        <w:rPr>
          <w:rFonts w:ascii="Arial" w:hAnsi="Arial" w:cs="Arial"/>
          <w:b/>
          <w:sz w:val="22"/>
          <w:szCs w:val="22"/>
        </w:rPr>
        <w:t>2.14. Maraviroque,3004.90.69;</w:t>
      </w:r>
    </w:p>
    <w:p w14:paraId="6B292954" w14:textId="4DA4F7B5" w:rsidR="005D5142" w:rsidRDefault="005D5142" w:rsidP="00DC688C">
      <w:pPr>
        <w:ind w:left="2268"/>
        <w:jc w:val="both"/>
        <w:rPr>
          <w:rFonts w:ascii="Arial" w:hAnsi="Arial" w:cs="Arial"/>
          <w:sz w:val="22"/>
          <w:szCs w:val="22"/>
        </w:rPr>
      </w:pPr>
      <w:r>
        <w:rPr>
          <w:rFonts w:ascii="Arial" w:hAnsi="Arial" w:cs="Arial"/>
          <w:sz w:val="22"/>
          <w:szCs w:val="22"/>
        </w:rPr>
        <w:t>[...].</w:t>
      </w:r>
    </w:p>
    <w:p w14:paraId="3E6B8E85" w14:textId="77777777" w:rsidR="00820040" w:rsidRDefault="00820040" w:rsidP="0049123A">
      <w:pPr>
        <w:spacing w:line="360" w:lineRule="auto"/>
        <w:ind w:firstLine="851"/>
        <w:jc w:val="both"/>
        <w:rPr>
          <w:rFonts w:ascii="Arial" w:hAnsi="Arial" w:cs="Arial"/>
          <w:sz w:val="24"/>
          <w:szCs w:val="24"/>
        </w:rPr>
      </w:pPr>
    </w:p>
    <w:p w14:paraId="19471F19" w14:textId="259E212D" w:rsidR="00974B87" w:rsidRDefault="002C3830" w:rsidP="0049123A">
      <w:pPr>
        <w:spacing w:line="360" w:lineRule="auto"/>
        <w:ind w:firstLine="851"/>
        <w:jc w:val="both"/>
        <w:rPr>
          <w:rFonts w:ascii="Arial" w:hAnsi="Arial" w:cs="Arial"/>
          <w:sz w:val="24"/>
          <w:szCs w:val="24"/>
        </w:rPr>
      </w:pPr>
      <w:r w:rsidRPr="002C3830">
        <w:rPr>
          <w:rFonts w:ascii="Arial" w:hAnsi="Arial" w:cs="Arial"/>
          <w:sz w:val="24"/>
          <w:szCs w:val="24"/>
        </w:rPr>
        <w:t xml:space="preserve">Além disso, referido decreto </w:t>
      </w:r>
      <w:r w:rsidR="008951EB">
        <w:rPr>
          <w:rFonts w:ascii="Arial" w:hAnsi="Arial" w:cs="Arial"/>
          <w:sz w:val="24"/>
          <w:szCs w:val="24"/>
        </w:rPr>
        <w:t>também</w:t>
      </w:r>
      <w:r w:rsidR="003E3E76">
        <w:rPr>
          <w:rFonts w:ascii="Arial" w:hAnsi="Arial" w:cs="Arial"/>
          <w:sz w:val="24"/>
          <w:szCs w:val="24"/>
        </w:rPr>
        <w:t xml:space="preserve"> alter</w:t>
      </w:r>
      <w:r w:rsidR="00786956">
        <w:rPr>
          <w:rFonts w:ascii="Arial" w:hAnsi="Arial" w:cs="Arial"/>
          <w:sz w:val="24"/>
          <w:szCs w:val="24"/>
        </w:rPr>
        <w:t>a</w:t>
      </w:r>
      <w:r w:rsidR="003E3E76">
        <w:rPr>
          <w:rFonts w:ascii="Arial" w:hAnsi="Arial" w:cs="Arial"/>
          <w:sz w:val="24"/>
          <w:szCs w:val="24"/>
        </w:rPr>
        <w:t xml:space="preserve"> o Apêndice XVII do Anexo IX do RCTE/GO, </w:t>
      </w:r>
      <w:r w:rsidR="002E438A">
        <w:rPr>
          <w:rFonts w:ascii="Arial" w:hAnsi="Arial" w:cs="Arial"/>
          <w:sz w:val="24"/>
          <w:szCs w:val="24"/>
        </w:rPr>
        <w:t xml:space="preserve">que prevê os fármacos e medicamentos cujas operações destinadas a órgãos da </w:t>
      </w:r>
      <w:bookmarkStart w:id="61" w:name="A7XXXVII"/>
      <w:r w:rsidR="002E438A" w:rsidRPr="002E438A">
        <w:rPr>
          <w:rFonts w:ascii="Arial" w:hAnsi="Arial" w:cs="Arial"/>
          <w:sz w:val="24"/>
          <w:szCs w:val="24"/>
        </w:rPr>
        <w:t>Administração Pública Direta e Indireta Federal, Estadual e Municipal e a suas fundações</w:t>
      </w:r>
      <w:bookmarkEnd w:id="61"/>
      <w:r w:rsidR="00311E5E">
        <w:rPr>
          <w:rFonts w:ascii="Arial" w:hAnsi="Arial" w:cs="Arial"/>
          <w:sz w:val="24"/>
          <w:szCs w:val="24"/>
        </w:rPr>
        <w:t>, são contempladas com isenções por prazo determinado, observadas as condições e prazos previstos no inciso XXXVII c/c § 1º do art. 7º daquele Anexo.</w:t>
      </w:r>
      <w:r w:rsidR="0049123A">
        <w:rPr>
          <w:rFonts w:ascii="Arial" w:hAnsi="Arial" w:cs="Arial"/>
          <w:sz w:val="24"/>
          <w:szCs w:val="24"/>
        </w:rPr>
        <w:t xml:space="preserve"> </w:t>
      </w:r>
    </w:p>
    <w:p w14:paraId="4E48FCD2" w14:textId="2F9599D0" w:rsidR="0049123A" w:rsidRDefault="00974B87" w:rsidP="0049123A">
      <w:pPr>
        <w:spacing w:line="360" w:lineRule="auto"/>
        <w:ind w:firstLine="851"/>
        <w:jc w:val="both"/>
        <w:rPr>
          <w:rFonts w:ascii="Arial" w:hAnsi="Arial" w:cs="Arial"/>
          <w:sz w:val="24"/>
          <w:szCs w:val="24"/>
        </w:rPr>
      </w:pPr>
      <w:r>
        <w:rPr>
          <w:rFonts w:ascii="Arial" w:hAnsi="Arial" w:cs="Arial"/>
          <w:sz w:val="24"/>
          <w:szCs w:val="24"/>
        </w:rPr>
        <w:t>Em outras palavras,</w:t>
      </w:r>
      <w:r w:rsidR="00FB4CFD">
        <w:rPr>
          <w:rFonts w:ascii="Arial" w:hAnsi="Arial" w:cs="Arial"/>
          <w:sz w:val="24"/>
          <w:szCs w:val="24"/>
        </w:rPr>
        <w:t xml:space="preserve"> foi alterada a previsão</w:t>
      </w:r>
      <w:r w:rsidR="00D33033">
        <w:rPr>
          <w:rFonts w:ascii="Arial" w:hAnsi="Arial" w:cs="Arial"/>
          <w:sz w:val="24"/>
          <w:szCs w:val="24"/>
        </w:rPr>
        <w:t xml:space="preserve"> de alguns fármacos e medicamentos (itens n</w:t>
      </w:r>
      <w:r w:rsidR="00872EFC" w:rsidRPr="00872EFC">
        <w:rPr>
          <w:rFonts w:ascii="Arial" w:hAnsi="Arial" w:cs="Arial"/>
          <w:sz w:val="24"/>
          <w:szCs w:val="24"/>
          <w:vertAlign w:val="superscript"/>
        </w:rPr>
        <w:t>o</w:t>
      </w:r>
      <w:r w:rsidR="00D33033" w:rsidRPr="00872EFC">
        <w:rPr>
          <w:rFonts w:ascii="Arial" w:hAnsi="Arial" w:cs="Arial"/>
          <w:sz w:val="24"/>
          <w:szCs w:val="24"/>
          <w:vertAlign w:val="superscript"/>
        </w:rPr>
        <w:t>s</w:t>
      </w:r>
      <w:r w:rsidR="00D33033">
        <w:rPr>
          <w:rFonts w:ascii="Arial" w:hAnsi="Arial" w:cs="Arial"/>
          <w:sz w:val="24"/>
          <w:szCs w:val="24"/>
        </w:rPr>
        <w:t xml:space="preserve"> 174, 185, 187 e 195), e </w:t>
      </w:r>
      <w:r w:rsidR="00DE566A">
        <w:rPr>
          <w:rFonts w:ascii="Arial" w:hAnsi="Arial" w:cs="Arial"/>
          <w:sz w:val="24"/>
          <w:szCs w:val="24"/>
        </w:rPr>
        <w:t xml:space="preserve">estendida a isenção a </w:t>
      </w:r>
      <w:r w:rsidR="00D33033">
        <w:rPr>
          <w:rFonts w:ascii="Arial" w:hAnsi="Arial" w:cs="Arial"/>
          <w:sz w:val="24"/>
          <w:szCs w:val="24"/>
        </w:rPr>
        <w:t xml:space="preserve">outros (nº </w:t>
      </w:r>
      <w:r w:rsidR="00DE566A">
        <w:rPr>
          <w:rFonts w:ascii="Arial" w:hAnsi="Arial" w:cs="Arial"/>
          <w:sz w:val="24"/>
          <w:szCs w:val="24"/>
        </w:rPr>
        <w:t>197)</w:t>
      </w:r>
      <w:r w:rsidR="00573649">
        <w:rPr>
          <w:rFonts w:ascii="Arial" w:hAnsi="Arial" w:cs="Arial"/>
          <w:sz w:val="24"/>
          <w:szCs w:val="24"/>
        </w:rPr>
        <w:t>. Para melhor compreensão, t</w:t>
      </w:r>
      <w:r w:rsidR="0049123A">
        <w:rPr>
          <w:rFonts w:ascii="Arial" w:hAnsi="Arial" w:cs="Arial"/>
          <w:sz w:val="24"/>
          <w:szCs w:val="24"/>
        </w:rPr>
        <w:t>ranscreve</w:t>
      </w:r>
      <w:r w:rsidR="00573649">
        <w:rPr>
          <w:rFonts w:ascii="Arial" w:hAnsi="Arial" w:cs="Arial"/>
          <w:sz w:val="24"/>
          <w:szCs w:val="24"/>
        </w:rPr>
        <w:t>m</w:t>
      </w:r>
      <w:r w:rsidR="0049123A">
        <w:rPr>
          <w:rFonts w:ascii="Arial" w:hAnsi="Arial" w:cs="Arial"/>
          <w:sz w:val="24"/>
          <w:szCs w:val="24"/>
        </w:rPr>
        <w:t>-se abaixo as alterações levada</w:t>
      </w:r>
      <w:r w:rsidR="00573649">
        <w:rPr>
          <w:rFonts w:ascii="Arial" w:hAnsi="Arial" w:cs="Arial"/>
          <w:sz w:val="24"/>
          <w:szCs w:val="24"/>
        </w:rPr>
        <w:t>s</w:t>
      </w:r>
      <w:r w:rsidR="0049123A">
        <w:rPr>
          <w:rFonts w:ascii="Arial" w:hAnsi="Arial" w:cs="Arial"/>
          <w:sz w:val="24"/>
          <w:szCs w:val="24"/>
        </w:rPr>
        <w:t xml:space="preserve"> a efeito pelo Decreto nº 9.477/2019 nesse particular</w:t>
      </w:r>
      <w:r w:rsidR="00FB4CFD">
        <w:rPr>
          <w:rFonts w:ascii="Arial" w:hAnsi="Arial" w:cs="Arial"/>
          <w:sz w:val="24"/>
          <w:szCs w:val="24"/>
        </w:rPr>
        <w:t>, destacadas em amarelo</w:t>
      </w:r>
      <w:r w:rsidR="0049123A">
        <w:rPr>
          <w:rFonts w:ascii="Arial" w:hAnsi="Arial" w:cs="Arial"/>
          <w:sz w:val="24"/>
          <w:szCs w:val="24"/>
        </w:rPr>
        <w:t>:</w:t>
      </w:r>
    </w:p>
    <w:p w14:paraId="707B8016" w14:textId="77777777" w:rsidR="00DC688C" w:rsidRDefault="00DC688C" w:rsidP="0049123A">
      <w:pPr>
        <w:spacing w:line="360" w:lineRule="auto"/>
        <w:ind w:firstLine="851"/>
        <w:jc w:val="both"/>
        <w:rPr>
          <w:rFonts w:ascii="Arial" w:hAnsi="Arial" w:cs="Arial"/>
          <w:sz w:val="24"/>
          <w:szCs w:val="24"/>
        </w:rPr>
      </w:pPr>
    </w:p>
    <w:tbl>
      <w:tblPr>
        <w:tblW w:w="9318" w:type="dxa"/>
        <w:tblInd w:w="28" w:type="dxa"/>
        <w:tblCellMar>
          <w:left w:w="0" w:type="dxa"/>
          <w:right w:w="0" w:type="dxa"/>
        </w:tblCellMar>
        <w:tblLook w:val="04A0" w:firstRow="1" w:lastRow="0" w:firstColumn="1" w:lastColumn="0" w:noHBand="0" w:noVBand="1"/>
      </w:tblPr>
      <w:tblGrid>
        <w:gridCol w:w="754"/>
        <w:gridCol w:w="2217"/>
        <w:gridCol w:w="1443"/>
        <w:gridCol w:w="2569"/>
        <w:gridCol w:w="2335"/>
      </w:tblGrid>
      <w:tr w:rsidR="00611CD1" w:rsidRPr="00611CD1" w14:paraId="56847336" w14:textId="77777777" w:rsidTr="00611CD1">
        <w:tc>
          <w:tcPr>
            <w:tcW w:w="754" w:type="dxa"/>
            <w:vMerge w:val="restart"/>
            <w:tcBorders>
              <w:top w:val="single" w:sz="8" w:space="0" w:color="auto"/>
              <w:left w:val="single" w:sz="8" w:space="0" w:color="auto"/>
              <w:bottom w:val="single" w:sz="8" w:space="0" w:color="auto"/>
              <w:right w:val="single" w:sz="8" w:space="0" w:color="auto"/>
            </w:tcBorders>
            <w:tcMar>
              <w:top w:w="28" w:type="dxa"/>
              <w:left w:w="28" w:type="dxa"/>
              <w:bottom w:w="28" w:type="dxa"/>
              <w:right w:w="28" w:type="dxa"/>
            </w:tcMar>
            <w:hideMark/>
          </w:tcPr>
          <w:p w14:paraId="7ED042C6"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b/>
                <w:bCs/>
                <w:sz w:val="24"/>
                <w:szCs w:val="24"/>
                <w:shd w:val="clear" w:color="auto" w:fill="FFFFFF"/>
              </w:rPr>
              <w:t>N</w:t>
            </w:r>
            <w:r w:rsidRPr="00611CD1">
              <w:rPr>
                <w:rFonts w:ascii="Arial" w:hAnsi="Arial" w:cs="Arial"/>
                <w:b/>
                <w:bCs/>
                <w:sz w:val="24"/>
                <w:szCs w:val="24"/>
                <w:u w:val="single"/>
                <w:shd w:val="clear" w:color="auto" w:fill="FFFFFF"/>
                <w:vertAlign w:val="superscript"/>
              </w:rPr>
              <w:t>o</w:t>
            </w:r>
            <w:r w:rsidRPr="00611CD1">
              <w:rPr>
                <w:rFonts w:ascii="Arial" w:hAnsi="Arial" w:cs="Arial"/>
                <w:b/>
                <w:bCs/>
                <w:sz w:val="24"/>
                <w:szCs w:val="24"/>
                <w:shd w:val="clear" w:color="auto" w:fill="FFFFFF"/>
              </w:rPr>
              <w:t> DO ITEM</w:t>
            </w:r>
          </w:p>
        </w:tc>
        <w:tc>
          <w:tcPr>
            <w:tcW w:w="2217" w:type="dxa"/>
            <w:vMerge w:val="restart"/>
            <w:tcBorders>
              <w:top w:val="single" w:sz="8" w:space="0" w:color="auto"/>
              <w:left w:val="nil"/>
              <w:bottom w:val="single" w:sz="8" w:space="0" w:color="auto"/>
              <w:right w:val="single" w:sz="8" w:space="0" w:color="auto"/>
            </w:tcBorders>
            <w:tcMar>
              <w:top w:w="28" w:type="dxa"/>
              <w:left w:w="28" w:type="dxa"/>
              <w:bottom w:w="28" w:type="dxa"/>
              <w:right w:w="28" w:type="dxa"/>
            </w:tcMar>
            <w:hideMark/>
          </w:tcPr>
          <w:p w14:paraId="169E9D12"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b/>
                <w:bCs/>
                <w:sz w:val="24"/>
                <w:szCs w:val="24"/>
                <w:shd w:val="clear" w:color="auto" w:fill="FFFFFF"/>
              </w:rPr>
              <w:t>FÁRMACOS</w:t>
            </w:r>
          </w:p>
        </w:tc>
        <w:tc>
          <w:tcPr>
            <w:tcW w:w="1443" w:type="dxa"/>
            <w:tcBorders>
              <w:top w:val="single" w:sz="8" w:space="0" w:color="auto"/>
              <w:left w:val="nil"/>
              <w:bottom w:val="single" w:sz="8" w:space="0" w:color="auto"/>
              <w:right w:val="single" w:sz="8" w:space="0" w:color="auto"/>
            </w:tcBorders>
            <w:tcMar>
              <w:top w:w="28" w:type="dxa"/>
              <w:left w:w="28" w:type="dxa"/>
              <w:bottom w:w="28" w:type="dxa"/>
              <w:right w:w="28" w:type="dxa"/>
            </w:tcMar>
            <w:hideMark/>
          </w:tcPr>
          <w:p w14:paraId="5DFC67D2"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b/>
                <w:bCs/>
                <w:sz w:val="24"/>
                <w:szCs w:val="24"/>
                <w:shd w:val="clear" w:color="auto" w:fill="FFFFFF"/>
              </w:rPr>
              <w:t>NCM</w:t>
            </w:r>
          </w:p>
        </w:tc>
        <w:tc>
          <w:tcPr>
            <w:tcW w:w="2569" w:type="dxa"/>
            <w:vMerge w:val="restart"/>
            <w:tcBorders>
              <w:top w:val="single" w:sz="8" w:space="0" w:color="auto"/>
              <w:left w:val="nil"/>
              <w:bottom w:val="single" w:sz="8" w:space="0" w:color="auto"/>
              <w:right w:val="single" w:sz="8" w:space="0" w:color="auto"/>
            </w:tcBorders>
            <w:tcMar>
              <w:top w:w="28" w:type="dxa"/>
              <w:left w:w="28" w:type="dxa"/>
              <w:bottom w:w="28" w:type="dxa"/>
              <w:right w:w="28" w:type="dxa"/>
            </w:tcMar>
            <w:hideMark/>
          </w:tcPr>
          <w:p w14:paraId="3727CA8B"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b/>
                <w:bCs/>
                <w:sz w:val="24"/>
                <w:szCs w:val="24"/>
                <w:shd w:val="clear" w:color="auto" w:fill="FFFFFF"/>
              </w:rPr>
              <w:t>MEDICAMENTOS</w:t>
            </w:r>
          </w:p>
        </w:tc>
        <w:tc>
          <w:tcPr>
            <w:tcW w:w="2335" w:type="dxa"/>
            <w:tcBorders>
              <w:top w:val="single" w:sz="8" w:space="0" w:color="auto"/>
              <w:left w:val="nil"/>
              <w:bottom w:val="single" w:sz="8" w:space="0" w:color="auto"/>
              <w:right w:val="single" w:sz="8" w:space="0" w:color="auto"/>
            </w:tcBorders>
            <w:tcMar>
              <w:top w:w="28" w:type="dxa"/>
              <w:left w:w="28" w:type="dxa"/>
              <w:bottom w:w="28" w:type="dxa"/>
              <w:right w:w="28" w:type="dxa"/>
            </w:tcMar>
            <w:hideMark/>
          </w:tcPr>
          <w:p w14:paraId="0C91F584"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b/>
                <w:bCs/>
                <w:sz w:val="24"/>
                <w:szCs w:val="24"/>
                <w:shd w:val="clear" w:color="auto" w:fill="FFFFFF"/>
              </w:rPr>
              <w:t>NCM</w:t>
            </w:r>
          </w:p>
        </w:tc>
      </w:tr>
      <w:tr w:rsidR="00611CD1" w:rsidRPr="00611CD1" w14:paraId="6E0A3C10" w14:textId="77777777" w:rsidTr="00611CD1">
        <w:tc>
          <w:tcPr>
            <w:tcW w:w="0" w:type="auto"/>
            <w:vMerge/>
            <w:tcBorders>
              <w:top w:val="single" w:sz="8" w:space="0" w:color="auto"/>
              <w:left w:val="single" w:sz="8" w:space="0" w:color="auto"/>
              <w:bottom w:val="single" w:sz="8" w:space="0" w:color="auto"/>
              <w:right w:val="single" w:sz="8" w:space="0" w:color="auto"/>
            </w:tcBorders>
            <w:vAlign w:val="center"/>
            <w:hideMark/>
          </w:tcPr>
          <w:p w14:paraId="3244C98B" w14:textId="77777777" w:rsidR="00611CD1" w:rsidRPr="00611CD1" w:rsidRDefault="00611CD1" w:rsidP="00276EC6">
            <w:pPr>
              <w:rPr>
                <w:rFonts w:ascii="Arial" w:hAnsi="Arial" w:cs="Arial"/>
                <w:sz w:val="24"/>
                <w:szCs w:val="24"/>
              </w:rPr>
            </w:pPr>
          </w:p>
        </w:tc>
        <w:tc>
          <w:tcPr>
            <w:tcW w:w="2217" w:type="dxa"/>
            <w:vMerge/>
            <w:tcBorders>
              <w:top w:val="single" w:sz="8" w:space="0" w:color="auto"/>
              <w:left w:val="nil"/>
              <w:bottom w:val="single" w:sz="8" w:space="0" w:color="auto"/>
              <w:right w:val="single" w:sz="8" w:space="0" w:color="auto"/>
            </w:tcBorders>
            <w:vAlign w:val="center"/>
            <w:hideMark/>
          </w:tcPr>
          <w:p w14:paraId="13F494B1" w14:textId="77777777" w:rsidR="00611CD1" w:rsidRPr="00611CD1" w:rsidRDefault="00611CD1" w:rsidP="00276EC6">
            <w:pPr>
              <w:rPr>
                <w:rFonts w:ascii="Arial" w:hAnsi="Arial" w:cs="Arial"/>
                <w:sz w:val="24"/>
                <w:szCs w:val="24"/>
              </w:rPr>
            </w:pPr>
          </w:p>
        </w:tc>
        <w:tc>
          <w:tcPr>
            <w:tcW w:w="1443" w:type="dxa"/>
            <w:tcBorders>
              <w:top w:val="nil"/>
              <w:left w:val="nil"/>
              <w:bottom w:val="single" w:sz="8" w:space="0" w:color="auto"/>
              <w:right w:val="single" w:sz="8" w:space="0" w:color="auto"/>
            </w:tcBorders>
            <w:tcMar>
              <w:top w:w="28" w:type="dxa"/>
              <w:left w:w="28" w:type="dxa"/>
              <w:bottom w:w="28" w:type="dxa"/>
              <w:right w:w="28" w:type="dxa"/>
            </w:tcMar>
            <w:hideMark/>
          </w:tcPr>
          <w:p w14:paraId="28F910CF"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b/>
                <w:bCs/>
                <w:sz w:val="24"/>
                <w:szCs w:val="24"/>
                <w:shd w:val="clear" w:color="auto" w:fill="FFFFFF"/>
              </w:rPr>
              <w:t>FÁRMACOS</w:t>
            </w:r>
          </w:p>
        </w:tc>
        <w:tc>
          <w:tcPr>
            <w:tcW w:w="2569" w:type="dxa"/>
            <w:vMerge/>
            <w:tcBorders>
              <w:top w:val="single" w:sz="8" w:space="0" w:color="auto"/>
              <w:left w:val="nil"/>
              <w:bottom w:val="single" w:sz="8" w:space="0" w:color="auto"/>
              <w:right w:val="single" w:sz="8" w:space="0" w:color="auto"/>
            </w:tcBorders>
            <w:vAlign w:val="center"/>
            <w:hideMark/>
          </w:tcPr>
          <w:p w14:paraId="7606AC1D" w14:textId="77777777" w:rsidR="00611CD1" w:rsidRPr="00611CD1" w:rsidRDefault="00611CD1" w:rsidP="00276EC6">
            <w:pPr>
              <w:rPr>
                <w:rFonts w:ascii="Arial" w:hAnsi="Arial" w:cs="Arial"/>
                <w:sz w:val="24"/>
                <w:szCs w:val="24"/>
              </w:rPr>
            </w:pP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7905C958"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b/>
                <w:bCs/>
                <w:spacing w:val="-10"/>
                <w:sz w:val="24"/>
                <w:szCs w:val="24"/>
                <w:shd w:val="clear" w:color="auto" w:fill="FFFFFF"/>
              </w:rPr>
              <w:t>MEDICAMENTOS</w:t>
            </w:r>
          </w:p>
        </w:tc>
      </w:tr>
      <w:tr w:rsidR="00611CD1" w:rsidRPr="00611CD1" w14:paraId="4CEDD5AE" w14:textId="77777777" w:rsidTr="00611CD1">
        <w:tc>
          <w:tcPr>
            <w:tcW w:w="754" w:type="dxa"/>
            <w:tcBorders>
              <w:top w:val="nil"/>
              <w:left w:val="single" w:sz="8" w:space="0" w:color="auto"/>
              <w:bottom w:val="single" w:sz="8" w:space="0" w:color="auto"/>
              <w:right w:val="single" w:sz="8" w:space="0" w:color="auto"/>
            </w:tcBorders>
            <w:tcMar>
              <w:top w:w="28" w:type="dxa"/>
              <w:left w:w="28" w:type="dxa"/>
              <w:bottom w:w="28" w:type="dxa"/>
              <w:right w:w="28" w:type="dxa"/>
            </w:tcMar>
            <w:hideMark/>
          </w:tcPr>
          <w:p w14:paraId="19AF1ED6"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217" w:type="dxa"/>
            <w:tcBorders>
              <w:top w:val="nil"/>
              <w:left w:val="nil"/>
              <w:bottom w:val="single" w:sz="8" w:space="0" w:color="auto"/>
              <w:right w:val="single" w:sz="8" w:space="0" w:color="auto"/>
            </w:tcBorders>
            <w:tcMar>
              <w:top w:w="28" w:type="dxa"/>
              <w:left w:w="28" w:type="dxa"/>
              <w:bottom w:w="28" w:type="dxa"/>
              <w:right w:w="28" w:type="dxa"/>
            </w:tcMar>
            <w:hideMark/>
          </w:tcPr>
          <w:p w14:paraId="6E3EB64E"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1443" w:type="dxa"/>
            <w:tcBorders>
              <w:top w:val="nil"/>
              <w:left w:val="nil"/>
              <w:bottom w:val="single" w:sz="8" w:space="0" w:color="auto"/>
              <w:right w:val="single" w:sz="8" w:space="0" w:color="auto"/>
            </w:tcBorders>
            <w:tcMar>
              <w:top w:w="28" w:type="dxa"/>
              <w:left w:w="28" w:type="dxa"/>
              <w:bottom w:w="28" w:type="dxa"/>
              <w:right w:w="28" w:type="dxa"/>
            </w:tcMar>
            <w:hideMark/>
          </w:tcPr>
          <w:p w14:paraId="76E4C1DF"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40EE8BD0"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1A767186"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r>
      <w:tr w:rsidR="00611CD1" w:rsidRPr="00611CD1" w14:paraId="67969A3B" w14:textId="77777777" w:rsidTr="00611CD1">
        <w:tc>
          <w:tcPr>
            <w:tcW w:w="754" w:type="dxa"/>
            <w:tcBorders>
              <w:top w:val="nil"/>
              <w:left w:val="single" w:sz="8" w:space="0" w:color="auto"/>
              <w:bottom w:val="single" w:sz="8" w:space="0" w:color="auto"/>
              <w:right w:val="single" w:sz="8" w:space="0" w:color="auto"/>
            </w:tcBorders>
            <w:tcMar>
              <w:top w:w="28" w:type="dxa"/>
              <w:left w:w="28" w:type="dxa"/>
              <w:bottom w:w="28" w:type="dxa"/>
              <w:right w:w="28" w:type="dxa"/>
            </w:tcMar>
            <w:hideMark/>
          </w:tcPr>
          <w:p w14:paraId="5B2B504C"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174</w:t>
            </w:r>
          </w:p>
        </w:tc>
        <w:tc>
          <w:tcPr>
            <w:tcW w:w="2217" w:type="dxa"/>
            <w:tcBorders>
              <w:top w:val="nil"/>
              <w:left w:val="nil"/>
              <w:bottom w:val="single" w:sz="8" w:space="0" w:color="auto"/>
              <w:right w:val="single" w:sz="8" w:space="0" w:color="auto"/>
            </w:tcBorders>
            <w:tcMar>
              <w:top w:w="28" w:type="dxa"/>
              <w:left w:w="28" w:type="dxa"/>
              <w:bottom w:w="28" w:type="dxa"/>
              <w:right w:w="28" w:type="dxa"/>
            </w:tcMar>
            <w:hideMark/>
          </w:tcPr>
          <w:p w14:paraId="27B45684" w14:textId="77777777" w:rsidR="00611CD1" w:rsidRPr="00611CD1" w:rsidRDefault="00611CD1" w:rsidP="00276EC6">
            <w:pPr>
              <w:spacing w:before="100" w:beforeAutospacing="1"/>
              <w:jc w:val="both"/>
              <w:rPr>
                <w:rFonts w:ascii="Arial" w:hAnsi="Arial" w:cs="Arial"/>
                <w:sz w:val="24"/>
                <w:szCs w:val="24"/>
              </w:rPr>
            </w:pPr>
            <w:r w:rsidRPr="00611CD1">
              <w:rPr>
                <w:rFonts w:ascii="Arial" w:hAnsi="Arial" w:cs="Arial"/>
                <w:spacing w:val="-8"/>
                <w:sz w:val="24"/>
                <w:szCs w:val="24"/>
                <w:shd w:val="clear" w:color="auto" w:fill="FFFFFF"/>
              </w:rPr>
              <w:t>DIPROPIONATO</w:t>
            </w:r>
            <w:r w:rsidRPr="00611CD1">
              <w:rPr>
                <w:rFonts w:ascii="Arial" w:hAnsi="Arial" w:cs="Arial"/>
                <w:sz w:val="24"/>
                <w:szCs w:val="24"/>
                <w:shd w:val="clear" w:color="auto" w:fill="FFFFFF"/>
              </w:rPr>
              <w:t> DE BECLOMETASONA</w:t>
            </w:r>
          </w:p>
        </w:tc>
        <w:tc>
          <w:tcPr>
            <w:tcW w:w="1443" w:type="dxa"/>
            <w:tcBorders>
              <w:top w:val="nil"/>
              <w:left w:val="nil"/>
              <w:bottom w:val="single" w:sz="8" w:space="0" w:color="auto"/>
              <w:right w:val="single" w:sz="8" w:space="0" w:color="auto"/>
            </w:tcBorders>
            <w:tcMar>
              <w:top w:w="28" w:type="dxa"/>
              <w:left w:w="28" w:type="dxa"/>
              <w:bottom w:w="28" w:type="dxa"/>
              <w:right w:w="28" w:type="dxa"/>
            </w:tcMar>
            <w:hideMark/>
          </w:tcPr>
          <w:p w14:paraId="4C67D6CD"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2937.22.90</w:t>
            </w: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46A84FF0" w14:textId="77777777" w:rsidR="00611CD1" w:rsidRPr="00611CD1" w:rsidRDefault="00611CD1" w:rsidP="00276EC6">
            <w:pPr>
              <w:spacing w:before="100" w:beforeAutospacing="1"/>
              <w:jc w:val="both"/>
              <w:rPr>
                <w:rFonts w:ascii="Arial" w:hAnsi="Arial" w:cs="Arial"/>
                <w:sz w:val="24"/>
                <w:szCs w:val="24"/>
              </w:rPr>
            </w:pPr>
            <w:r w:rsidRPr="00611CD1">
              <w:rPr>
                <w:rFonts w:ascii="Arial" w:hAnsi="Arial" w:cs="Arial"/>
                <w:spacing w:val="-8"/>
                <w:sz w:val="24"/>
                <w:szCs w:val="24"/>
                <w:shd w:val="clear" w:color="auto" w:fill="FFFFFF"/>
              </w:rPr>
              <w:t>DIPROPIONATO DE BECLOMETASONA</w:t>
            </w:r>
            <w:r w:rsidRPr="00611CD1">
              <w:rPr>
                <w:rFonts w:ascii="Arial" w:hAnsi="Arial" w:cs="Arial"/>
                <w:sz w:val="24"/>
                <w:szCs w:val="24"/>
                <w:shd w:val="clear" w:color="auto" w:fill="FFFFFF"/>
              </w:rPr>
              <w:t> 50 MCG</w:t>
            </w: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420F7F62"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3004.</w:t>
            </w:r>
            <w:r w:rsidRPr="00611CD1">
              <w:rPr>
                <w:rFonts w:ascii="Arial" w:hAnsi="Arial" w:cs="Arial"/>
                <w:sz w:val="24"/>
                <w:szCs w:val="24"/>
                <w:highlight w:val="yellow"/>
                <w:shd w:val="clear" w:color="auto" w:fill="FFFFFF"/>
              </w:rPr>
              <w:t>32.90</w:t>
            </w:r>
          </w:p>
        </w:tc>
      </w:tr>
      <w:tr w:rsidR="00611CD1" w:rsidRPr="00611CD1" w14:paraId="03A849C0" w14:textId="77777777" w:rsidTr="00611CD1">
        <w:tc>
          <w:tcPr>
            <w:tcW w:w="754" w:type="dxa"/>
            <w:tcBorders>
              <w:top w:val="nil"/>
              <w:left w:val="single" w:sz="8" w:space="0" w:color="auto"/>
              <w:bottom w:val="single" w:sz="8" w:space="0" w:color="auto"/>
              <w:right w:val="single" w:sz="8" w:space="0" w:color="auto"/>
            </w:tcBorders>
            <w:tcMar>
              <w:top w:w="28" w:type="dxa"/>
              <w:left w:w="28" w:type="dxa"/>
              <w:bottom w:w="28" w:type="dxa"/>
              <w:right w:w="28" w:type="dxa"/>
            </w:tcMar>
            <w:hideMark/>
          </w:tcPr>
          <w:p w14:paraId="17A7BC27"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217" w:type="dxa"/>
            <w:tcBorders>
              <w:top w:val="nil"/>
              <w:left w:val="nil"/>
              <w:bottom w:val="single" w:sz="8" w:space="0" w:color="auto"/>
              <w:right w:val="single" w:sz="8" w:space="0" w:color="auto"/>
            </w:tcBorders>
            <w:tcMar>
              <w:top w:w="28" w:type="dxa"/>
              <w:left w:w="28" w:type="dxa"/>
              <w:bottom w:w="28" w:type="dxa"/>
              <w:right w:w="28" w:type="dxa"/>
            </w:tcMar>
            <w:hideMark/>
          </w:tcPr>
          <w:p w14:paraId="18E9DB2B"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1443" w:type="dxa"/>
            <w:tcBorders>
              <w:top w:val="nil"/>
              <w:left w:val="nil"/>
              <w:bottom w:val="single" w:sz="8" w:space="0" w:color="auto"/>
              <w:right w:val="single" w:sz="8" w:space="0" w:color="auto"/>
            </w:tcBorders>
            <w:tcMar>
              <w:top w:w="28" w:type="dxa"/>
              <w:left w:w="28" w:type="dxa"/>
              <w:bottom w:w="28" w:type="dxa"/>
              <w:right w:w="28" w:type="dxa"/>
            </w:tcMar>
            <w:hideMark/>
          </w:tcPr>
          <w:p w14:paraId="5E89C089"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65AC1F49"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1739135B"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r>
      <w:tr w:rsidR="00611CD1" w:rsidRPr="00611CD1" w14:paraId="3BA3B3CD" w14:textId="77777777" w:rsidTr="00611CD1">
        <w:tc>
          <w:tcPr>
            <w:tcW w:w="754" w:type="dxa"/>
            <w:vMerge w:val="restart"/>
            <w:tcBorders>
              <w:top w:val="nil"/>
              <w:left w:val="single" w:sz="8" w:space="0" w:color="auto"/>
              <w:bottom w:val="single" w:sz="8" w:space="0" w:color="auto"/>
              <w:right w:val="single" w:sz="8" w:space="0" w:color="auto"/>
            </w:tcBorders>
            <w:tcMar>
              <w:top w:w="28" w:type="dxa"/>
              <w:left w:w="28" w:type="dxa"/>
              <w:bottom w:w="28" w:type="dxa"/>
              <w:right w:w="28" w:type="dxa"/>
            </w:tcMar>
            <w:hideMark/>
          </w:tcPr>
          <w:p w14:paraId="6A220D5C"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185</w:t>
            </w:r>
          </w:p>
        </w:tc>
        <w:tc>
          <w:tcPr>
            <w:tcW w:w="2217" w:type="dxa"/>
            <w:vMerge w:val="restart"/>
            <w:tcBorders>
              <w:top w:val="nil"/>
              <w:left w:val="nil"/>
              <w:bottom w:val="single" w:sz="8" w:space="0" w:color="auto"/>
              <w:right w:val="single" w:sz="8" w:space="0" w:color="auto"/>
            </w:tcBorders>
            <w:tcMar>
              <w:top w:w="28" w:type="dxa"/>
              <w:left w:w="28" w:type="dxa"/>
              <w:bottom w:w="28" w:type="dxa"/>
              <w:right w:w="28" w:type="dxa"/>
            </w:tcMar>
            <w:hideMark/>
          </w:tcPr>
          <w:p w14:paraId="37676E9F"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sz w:val="24"/>
                <w:szCs w:val="24"/>
                <w:shd w:val="clear" w:color="auto" w:fill="FFFFFF"/>
              </w:rPr>
              <w:t>PALIVIZUMABE</w:t>
            </w:r>
          </w:p>
        </w:tc>
        <w:tc>
          <w:tcPr>
            <w:tcW w:w="1443" w:type="dxa"/>
            <w:vMerge w:val="restart"/>
            <w:tcBorders>
              <w:top w:val="nil"/>
              <w:left w:val="nil"/>
              <w:bottom w:val="single" w:sz="8" w:space="0" w:color="auto"/>
              <w:right w:val="single" w:sz="8" w:space="0" w:color="auto"/>
            </w:tcBorders>
            <w:tcMar>
              <w:top w:w="28" w:type="dxa"/>
              <w:left w:w="28" w:type="dxa"/>
              <w:bottom w:w="28" w:type="dxa"/>
              <w:right w:w="28" w:type="dxa"/>
            </w:tcMar>
            <w:hideMark/>
          </w:tcPr>
          <w:p w14:paraId="160B8854"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sz w:val="24"/>
                <w:szCs w:val="24"/>
                <w:shd w:val="clear" w:color="auto" w:fill="FFFFFF"/>
              </w:rPr>
              <w:t>3002.15.90</w:t>
            </w: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5379CBB1" w14:textId="77777777" w:rsidR="00611CD1" w:rsidRPr="00611CD1" w:rsidRDefault="00611CD1" w:rsidP="00276EC6">
            <w:pPr>
              <w:spacing w:before="100" w:beforeAutospacing="1"/>
              <w:jc w:val="both"/>
              <w:rPr>
                <w:rFonts w:ascii="Arial" w:hAnsi="Arial" w:cs="Arial"/>
                <w:sz w:val="24"/>
                <w:szCs w:val="24"/>
              </w:rPr>
            </w:pPr>
            <w:r w:rsidRPr="00611CD1">
              <w:rPr>
                <w:rFonts w:ascii="Arial" w:hAnsi="Arial" w:cs="Arial"/>
                <w:sz w:val="24"/>
                <w:szCs w:val="24"/>
                <w:shd w:val="clear" w:color="auto" w:fill="FFFFFF"/>
              </w:rPr>
              <w:t>PALIVIZUMABE 100 MG PÓ LIOF CX FA VD INC</w:t>
            </w: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02882297" w14:textId="77777777" w:rsidR="00611CD1" w:rsidRPr="00611CD1" w:rsidRDefault="00611CD1" w:rsidP="00276EC6">
            <w:pPr>
              <w:spacing w:before="100" w:beforeAutospacing="1"/>
              <w:jc w:val="center"/>
              <w:rPr>
                <w:rFonts w:ascii="Arial" w:hAnsi="Arial" w:cs="Arial"/>
                <w:sz w:val="24"/>
                <w:szCs w:val="24"/>
                <w:highlight w:val="yellow"/>
              </w:rPr>
            </w:pPr>
            <w:r w:rsidRPr="00611CD1">
              <w:rPr>
                <w:rFonts w:ascii="Arial" w:hAnsi="Arial" w:cs="Arial"/>
                <w:sz w:val="24"/>
                <w:szCs w:val="24"/>
                <w:highlight w:val="yellow"/>
                <w:shd w:val="clear" w:color="auto" w:fill="FFFFFF"/>
              </w:rPr>
              <w:t>3002.15.90</w:t>
            </w:r>
          </w:p>
        </w:tc>
      </w:tr>
      <w:tr w:rsidR="00611CD1" w:rsidRPr="00611CD1" w14:paraId="566A3B91" w14:textId="77777777" w:rsidTr="00611CD1">
        <w:tc>
          <w:tcPr>
            <w:tcW w:w="0" w:type="auto"/>
            <w:vMerge/>
            <w:tcBorders>
              <w:top w:val="nil"/>
              <w:left w:val="single" w:sz="8" w:space="0" w:color="auto"/>
              <w:bottom w:val="single" w:sz="8" w:space="0" w:color="auto"/>
              <w:right w:val="single" w:sz="8" w:space="0" w:color="auto"/>
            </w:tcBorders>
            <w:vAlign w:val="center"/>
            <w:hideMark/>
          </w:tcPr>
          <w:p w14:paraId="12359B1E" w14:textId="77777777" w:rsidR="00611CD1" w:rsidRPr="00611CD1" w:rsidRDefault="00611CD1" w:rsidP="00276EC6">
            <w:pPr>
              <w:rPr>
                <w:rFonts w:ascii="Arial" w:hAnsi="Arial" w:cs="Arial"/>
                <w:sz w:val="24"/>
                <w:szCs w:val="24"/>
              </w:rPr>
            </w:pPr>
          </w:p>
        </w:tc>
        <w:tc>
          <w:tcPr>
            <w:tcW w:w="2217" w:type="dxa"/>
            <w:vMerge/>
            <w:tcBorders>
              <w:top w:val="nil"/>
              <w:left w:val="nil"/>
              <w:bottom w:val="single" w:sz="8" w:space="0" w:color="auto"/>
              <w:right w:val="single" w:sz="8" w:space="0" w:color="auto"/>
            </w:tcBorders>
            <w:vAlign w:val="center"/>
            <w:hideMark/>
          </w:tcPr>
          <w:p w14:paraId="2D8C77A3" w14:textId="77777777" w:rsidR="00611CD1" w:rsidRPr="00611CD1" w:rsidRDefault="00611CD1" w:rsidP="00276EC6">
            <w:pPr>
              <w:rPr>
                <w:rFonts w:ascii="Arial" w:hAnsi="Arial" w:cs="Arial"/>
                <w:sz w:val="24"/>
                <w:szCs w:val="24"/>
              </w:rPr>
            </w:pPr>
          </w:p>
        </w:tc>
        <w:tc>
          <w:tcPr>
            <w:tcW w:w="1443" w:type="dxa"/>
            <w:vMerge/>
            <w:tcBorders>
              <w:top w:val="nil"/>
              <w:left w:val="nil"/>
              <w:bottom w:val="single" w:sz="8" w:space="0" w:color="auto"/>
              <w:right w:val="single" w:sz="8" w:space="0" w:color="auto"/>
            </w:tcBorders>
            <w:vAlign w:val="center"/>
            <w:hideMark/>
          </w:tcPr>
          <w:p w14:paraId="00D6625D" w14:textId="77777777" w:rsidR="00611CD1" w:rsidRPr="00611CD1" w:rsidRDefault="00611CD1" w:rsidP="00276EC6">
            <w:pPr>
              <w:rPr>
                <w:rFonts w:ascii="Arial" w:hAnsi="Arial" w:cs="Arial"/>
                <w:sz w:val="24"/>
                <w:szCs w:val="24"/>
              </w:rPr>
            </w:pP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3B883B77" w14:textId="77777777" w:rsidR="00611CD1" w:rsidRPr="00611CD1" w:rsidRDefault="00611CD1" w:rsidP="00276EC6">
            <w:pPr>
              <w:spacing w:before="100" w:beforeAutospacing="1"/>
              <w:jc w:val="both"/>
              <w:rPr>
                <w:rFonts w:ascii="Arial" w:hAnsi="Arial" w:cs="Arial"/>
                <w:sz w:val="24"/>
                <w:szCs w:val="24"/>
              </w:rPr>
            </w:pPr>
            <w:r w:rsidRPr="00611CD1">
              <w:rPr>
                <w:rFonts w:ascii="Arial" w:hAnsi="Arial" w:cs="Arial"/>
                <w:sz w:val="24"/>
                <w:szCs w:val="24"/>
                <w:shd w:val="clear" w:color="auto" w:fill="FFFFFF"/>
              </w:rPr>
              <w:t xml:space="preserve">PALIVIZUMABE 100 MG PÓ LIOF INJ CT FA VD INC + AMP DIL X 1 ML; </w:t>
            </w:r>
            <w:r w:rsidRPr="00611CD1">
              <w:rPr>
                <w:rFonts w:ascii="Arial" w:hAnsi="Arial" w:cs="Arial"/>
                <w:sz w:val="24"/>
                <w:szCs w:val="24"/>
                <w:highlight w:val="yellow"/>
                <w:shd w:val="clear" w:color="auto" w:fill="FFFFFF"/>
              </w:rPr>
              <w:t xml:space="preserve">OU SOLUÇÃO </w:t>
            </w:r>
            <w:r w:rsidRPr="00611CD1">
              <w:rPr>
                <w:rFonts w:ascii="Arial" w:hAnsi="Arial" w:cs="Arial"/>
                <w:sz w:val="24"/>
                <w:szCs w:val="24"/>
                <w:highlight w:val="yellow"/>
                <w:shd w:val="clear" w:color="auto" w:fill="FFFFFF"/>
              </w:rPr>
              <w:lastRenderedPageBreak/>
              <w:t>LÍQUIDA INJETÁVEL EM FRASCO AMPOLA</w:t>
            </w: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745E081D" w14:textId="77777777" w:rsidR="00611CD1" w:rsidRPr="00611CD1" w:rsidRDefault="00611CD1" w:rsidP="00276EC6">
            <w:pPr>
              <w:spacing w:before="100" w:beforeAutospacing="1"/>
              <w:jc w:val="center"/>
              <w:rPr>
                <w:rFonts w:ascii="Arial" w:hAnsi="Arial" w:cs="Arial"/>
                <w:sz w:val="24"/>
                <w:szCs w:val="24"/>
                <w:highlight w:val="yellow"/>
              </w:rPr>
            </w:pPr>
            <w:r w:rsidRPr="00611CD1">
              <w:rPr>
                <w:rFonts w:ascii="Arial" w:hAnsi="Arial" w:cs="Arial"/>
                <w:sz w:val="24"/>
                <w:szCs w:val="24"/>
                <w:highlight w:val="yellow"/>
                <w:shd w:val="clear" w:color="auto" w:fill="FFFFFF"/>
              </w:rPr>
              <w:lastRenderedPageBreak/>
              <w:t>3002.15.90</w:t>
            </w:r>
          </w:p>
        </w:tc>
      </w:tr>
      <w:tr w:rsidR="00611CD1" w:rsidRPr="00611CD1" w14:paraId="1332A5DC" w14:textId="77777777" w:rsidTr="00611CD1">
        <w:tc>
          <w:tcPr>
            <w:tcW w:w="754" w:type="dxa"/>
            <w:tcBorders>
              <w:top w:val="nil"/>
              <w:left w:val="single" w:sz="8" w:space="0" w:color="auto"/>
              <w:bottom w:val="single" w:sz="8" w:space="0" w:color="auto"/>
              <w:right w:val="single" w:sz="8" w:space="0" w:color="auto"/>
            </w:tcBorders>
            <w:tcMar>
              <w:top w:w="28" w:type="dxa"/>
              <w:left w:w="28" w:type="dxa"/>
              <w:bottom w:w="28" w:type="dxa"/>
              <w:right w:w="28" w:type="dxa"/>
            </w:tcMar>
            <w:hideMark/>
          </w:tcPr>
          <w:p w14:paraId="447C0D68"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217" w:type="dxa"/>
            <w:tcBorders>
              <w:top w:val="nil"/>
              <w:left w:val="nil"/>
              <w:bottom w:val="single" w:sz="8" w:space="0" w:color="auto"/>
              <w:right w:val="single" w:sz="8" w:space="0" w:color="auto"/>
            </w:tcBorders>
            <w:tcMar>
              <w:top w:w="28" w:type="dxa"/>
              <w:left w:w="28" w:type="dxa"/>
              <w:bottom w:w="28" w:type="dxa"/>
              <w:right w:w="28" w:type="dxa"/>
            </w:tcMar>
            <w:hideMark/>
          </w:tcPr>
          <w:p w14:paraId="661B1F8D"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1443" w:type="dxa"/>
            <w:tcBorders>
              <w:top w:val="nil"/>
              <w:left w:val="nil"/>
              <w:bottom w:val="single" w:sz="8" w:space="0" w:color="auto"/>
              <w:right w:val="single" w:sz="8" w:space="0" w:color="auto"/>
            </w:tcBorders>
            <w:tcMar>
              <w:top w:w="28" w:type="dxa"/>
              <w:left w:w="28" w:type="dxa"/>
              <w:bottom w:w="28" w:type="dxa"/>
              <w:right w:w="28" w:type="dxa"/>
            </w:tcMar>
            <w:hideMark/>
          </w:tcPr>
          <w:p w14:paraId="39965D15"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587DC7F1"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6C6C562B"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r>
      <w:tr w:rsidR="00611CD1" w:rsidRPr="00611CD1" w14:paraId="4EC2C0C0" w14:textId="77777777" w:rsidTr="00611CD1">
        <w:tc>
          <w:tcPr>
            <w:tcW w:w="754" w:type="dxa"/>
            <w:vMerge w:val="restart"/>
            <w:tcBorders>
              <w:top w:val="nil"/>
              <w:left w:val="single" w:sz="8" w:space="0" w:color="auto"/>
              <w:bottom w:val="single" w:sz="8" w:space="0" w:color="auto"/>
              <w:right w:val="single" w:sz="8" w:space="0" w:color="auto"/>
            </w:tcBorders>
            <w:tcMar>
              <w:top w:w="28" w:type="dxa"/>
              <w:left w:w="28" w:type="dxa"/>
              <w:bottom w:w="28" w:type="dxa"/>
              <w:right w:w="28" w:type="dxa"/>
            </w:tcMar>
            <w:hideMark/>
          </w:tcPr>
          <w:p w14:paraId="1911B4AD"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sz w:val="24"/>
                <w:szCs w:val="24"/>
                <w:shd w:val="clear" w:color="auto" w:fill="FFFFFF"/>
              </w:rPr>
              <w:t>187</w:t>
            </w:r>
          </w:p>
        </w:tc>
        <w:tc>
          <w:tcPr>
            <w:tcW w:w="2217" w:type="dxa"/>
            <w:vMerge w:val="restart"/>
            <w:tcBorders>
              <w:top w:val="nil"/>
              <w:left w:val="nil"/>
              <w:bottom w:val="single" w:sz="8" w:space="0" w:color="auto"/>
              <w:right w:val="single" w:sz="8" w:space="0" w:color="auto"/>
            </w:tcBorders>
            <w:tcMar>
              <w:top w:w="28" w:type="dxa"/>
              <w:left w:w="28" w:type="dxa"/>
              <w:bottom w:w="28" w:type="dxa"/>
              <w:right w:w="28" w:type="dxa"/>
            </w:tcMar>
            <w:hideMark/>
          </w:tcPr>
          <w:p w14:paraId="574D1CD3"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sz w:val="24"/>
                <w:szCs w:val="24"/>
                <w:shd w:val="clear" w:color="auto" w:fill="FFFFFF"/>
              </w:rPr>
              <w:t>ABATACEPTE</w:t>
            </w:r>
          </w:p>
        </w:tc>
        <w:tc>
          <w:tcPr>
            <w:tcW w:w="1443" w:type="dxa"/>
            <w:vMerge w:val="restart"/>
            <w:tcBorders>
              <w:top w:val="nil"/>
              <w:left w:val="nil"/>
              <w:bottom w:val="single" w:sz="8" w:space="0" w:color="auto"/>
              <w:right w:val="single" w:sz="8" w:space="0" w:color="auto"/>
            </w:tcBorders>
            <w:tcMar>
              <w:top w:w="28" w:type="dxa"/>
              <w:left w:w="28" w:type="dxa"/>
              <w:bottom w:w="28" w:type="dxa"/>
              <w:right w:w="28" w:type="dxa"/>
            </w:tcMar>
            <w:hideMark/>
          </w:tcPr>
          <w:p w14:paraId="4457AB89"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sz w:val="24"/>
                <w:szCs w:val="24"/>
                <w:shd w:val="clear" w:color="auto" w:fill="FFFFFF"/>
              </w:rPr>
              <w:t> </w:t>
            </w:r>
          </w:p>
          <w:p w14:paraId="725C7B49"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sz w:val="24"/>
                <w:szCs w:val="24"/>
                <w:shd w:val="clear" w:color="auto" w:fill="FFFFFF"/>
              </w:rPr>
              <w:t>3002.10.29</w:t>
            </w: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60F29B86" w14:textId="77777777" w:rsidR="00611CD1" w:rsidRPr="00611CD1" w:rsidRDefault="00611CD1" w:rsidP="00276EC6">
            <w:pPr>
              <w:spacing w:before="100" w:beforeAutospacing="1"/>
              <w:jc w:val="both"/>
              <w:rPr>
                <w:rFonts w:ascii="Arial" w:hAnsi="Arial" w:cs="Arial"/>
                <w:sz w:val="24"/>
                <w:szCs w:val="24"/>
              </w:rPr>
            </w:pPr>
            <w:r w:rsidRPr="00611CD1">
              <w:rPr>
                <w:rFonts w:ascii="Arial" w:hAnsi="Arial" w:cs="Arial"/>
                <w:sz w:val="24"/>
                <w:szCs w:val="24"/>
                <w:shd w:val="clear" w:color="auto" w:fill="FFFFFF"/>
              </w:rPr>
              <w:t>ABATACEPTE 250 MG PO LIOF INJ CT FA + SER DESC</w:t>
            </w: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3CE2401F"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sz w:val="24"/>
                <w:szCs w:val="24"/>
                <w:shd w:val="clear" w:color="auto" w:fill="FFFFFF"/>
              </w:rPr>
              <w:t>3002.10.29</w:t>
            </w:r>
          </w:p>
        </w:tc>
      </w:tr>
      <w:tr w:rsidR="00611CD1" w:rsidRPr="00611CD1" w14:paraId="133BBCDA" w14:textId="77777777" w:rsidTr="00611CD1">
        <w:tc>
          <w:tcPr>
            <w:tcW w:w="0" w:type="auto"/>
            <w:vMerge/>
            <w:tcBorders>
              <w:top w:val="nil"/>
              <w:left w:val="single" w:sz="8" w:space="0" w:color="auto"/>
              <w:bottom w:val="single" w:sz="8" w:space="0" w:color="auto"/>
              <w:right w:val="single" w:sz="8" w:space="0" w:color="auto"/>
            </w:tcBorders>
            <w:vAlign w:val="center"/>
            <w:hideMark/>
          </w:tcPr>
          <w:p w14:paraId="20695746" w14:textId="77777777" w:rsidR="00611CD1" w:rsidRPr="00611CD1" w:rsidRDefault="00611CD1" w:rsidP="00276EC6">
            <w:pPr>
              <w:rPr>
                <w:rFonts w:ascii="Arial" w:hAnsi="Arial" w:cs="Arial"/>
                <w:sz w:val="24"/>
                <w:szCs w:val="24"/>
              </w:rPr>
            </w:pPr>
          </w:p>
        </w:tc>
        <w:tc>
          <w:tcPr>
            <w:tcW w:w="2217" w:type="dxa"/>
            <w:vMerge/>
            <w:tcBorders>
              <w:top w:val="nil"/>
              <w:left w:val="nil"/>
              <w:bottom w:val="single" w:sz="8" w:space="0" w:color="auto"/>
              <w:right w:val="single" w:sz="8" w:space="0" w:color="auto"/>
            </w:tcBorders>
            <w:vAlign w:val="center"/>
            <w:hideMark/>
          </w:tcPr>
          <w:p w14:paraId="0445E3E3" w14:textId="77777777" w:rsidR="00611CD1" w:rsidRPr="00611CD1" w:rsidRDefault="00611CD1" w:rsidP="00276EC6">
            <w:pPr>
              <w:rPr>
                <w:rFonts w:ascii="Arial" w:hAnsi="Arial" w:cs="Arial"/>
                <w:sz w:val="24"/>
                <w:szCs w:val="24"/>
              </w:rPr>
            </w:pPr>
          </w:p>
        </w:tc>
        <w:tc>
          <w:tcPr>
            <w:tcW w:w="1443" w:type="dxa"/>
            <w:vMerge/>
            <w:tcBorders>
              <w:top w:val="nil"/>
              <w:left w:val="nil"/>
              <w:bottom w:val="single" w:sz="8" w:space="0" w:color="auto"/>
              <w:right w:val="single" w:sz="8" w:space="0" w:color="auto"/>
            </w:tcBorders>
            <w:vAlign w:val="center"/>
            <w:hideMark/>
          </w:tcPr>
          <w:p w14:paraId="08442B93" w14:textId="77777777" w:rsidR="00611CD1" w:rsidRPr="00611CD1" w:rsidRDefault="00611CD1" w:rsidP="00276EC6">
            <w:pPr>
              <w:rPr>
                <w:rFonts w:ascii="Arial" w:hAnsi="Arial" w:cs="Arial"/>
                <w:sz w:val="24"/>
                <w:szCs w:val="24"/>
              </w:rPr>
            </w:pP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3A484B0B" w14:textId="77777777" w:rsidR="00611CD1" w:rsidRPr="00611CD1" w:rsidRDefault="00611CD1" w:rsidP="00276EC6">
            <w:pPr>
              <w:spacing w:before="100" w:beforeAutospacing="1"/>
              <w:jc w:val="both"/>
              <w:rPr>
                <w:rFonts w:ascii="Arial" w:hAnsi="Arial" w:cs="Arial"/>
                <w:sz w:val="24"/>
                <w:szCs w:val="24"/>
                <w:highlight w:val="yellow"/>
              </w:rPr>
            </w:pPr>
            <w:r w:rsidRPr="00611CD1">
              <w:rPr>
                <w:rFonts w:ascii="Arial" w:hAnsi="Arial" w:cs="Arial"/>
                <w:sz w:val="24"/>
                <w:szCs w:val="24"/>
                <w:highlight w:val="yellow"/>
                <w:shd w:val="clear" w:color="auto" w:fill="FFFFFF"/>
              </w:rPr>
              <w:t>ABATACEPTE SC INJ 125 MG 4 SER PRÉ + DISP + EXT</w:t>
            </w: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2C67552F" w14:textId="77777777" w:rsidR="00611CD1" w:rsidRPr="00611CD1" w:rsidRDefault="00611CD1" w:rsidP="00276EC6">
            <w:pPr>
              <w:spacing w:before="100" w:beforeAutospacing="1"/>
              <w:jc w:val="center"/>
              <w:textAlignment w:val="baseline"/>
              <w:rPr>
                <w:rFonts w:ascii="Arial" w:hAnsi="Arial" w:cs="Arial"/>
                <w:sz w:val="24"/>
                <w:szCs w:val="24"/>
                <w:highlight w:val="yellow"/>
              </w:rPr>
            </w:pPr>
            <w:r w:rsidRPr="00611CD1">
              <w:rPr>
                <w:rFonts w:ascii="Arial" w:hAnsi="Arial" w:cs="Arial"/>
                <w:sz w:val="24"/>
                <w:szCs w:val="24"/>
                <w:highlight w:val="yellow"/>
                <w:shd w:val="clear" w:color="auto" w:fill="FFFFFF"/>
              </w:rPr>
              <w:t>3002.10.29</w:t>
            </w:r>
          </w:p>
        </w:tc>
      </w:tr>
      <w:tr w:rsidR="00611CD1" w:rsidRPr="00611CD1" w14:paraId="112935E4" w14:textId="77777777" w:rsidTr="00611CD1">
        <w:tc>
          <w:tcPr>
            <w:tcW w:w="754" w:type="dxa"/>
            <w:tcBorders>
              <w:top w:val="nil"/>
              <w:left w:val="single" w:sz="8" w:space="0" w:color="auto"/>
              <w:bottom w:val="single" w:sz="8" w:space="0" w:color="auto"/>
              <w:right w:val="single" w:sz="8" w:space="0" w:color="auto"/>
            </w:tcBorders>
            <w:tcMar>
              <w:top w:w="28" w:type="dxa"/>
              <w:left w:w="28" w:type="dxa"/>
              <w:bottom w:w="28" w:type="dxa"/>
              <w:right w:w="28" w:type="dxa"/>
            </w:tcMar>
            <w:hideMark/>
          </w:tcPr>
          <w:p w14:paraId="75C8BA54"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217" w:type="dxa"/>
            <w:tcBorders>
              <w:top w:val="nil"/>
              <w:left w:val="nil"/>
              <w:bottom w:val="single" w:sz="8" w:space="0" w:color="auto"/>
              <w:right w:val="single" w:sz="8" w:space="0" w:color="auto"/>
            </w:tcBorders>
            <w:tcMar>
              <w:top w:w="28" w:type="dxa"/>
              <w:left w:w="28" w:type="dxa"/>
              <w:bottom w:w="28" w:type="dxa"/>
              <w:right w:w="28" w:type="dxa"/>
            </w:tcMar>
            <w:hideMark/>
          </w:tcPr>
          <w:p w14:paraId="30A11F21"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1443" w:type="dxa"/>
            <w:tcBorders>
              <w:top w:val="nil"/>
              <w:left w:val="nil"/>
              <w:bottom w:val="single" w:sz="8" w:space="0" w:color="auto"/>
              <w:right w:val="single" w:sz="8" w:space="0" w:color="auto"/>
            </w:tcBorders>
            <w:tcMar>
              <w:top w:w="28" w:type="dxa"/>
              <w:left w:w="28" w:type="dxa"/>
              <w:bottom w:w="28" w:type="dxa"/>
              <w:right w:w="28" w:type="dxa"/>
            </w:tcMar>
            <w:hideMark/>
          </w:tcPr>
          <w:p w14:paraId="3033FD25"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55834B35"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28E91722"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r>
      <w:tr w:rsidR="00611CD1" w:rsidRPr="00611CD1" w14:paraId="0E6B9267" w14:textId="77777777" w:rsidTr="00611CD1">
        <w:tc>
          <w:tcPr>
            <w:tcW w:w="754" w:type="dxa"/>
            <w:tcBorders>
              <w:top w:val="nil"/>
              <w:left w:val="single" w:sz="8" w:space="0" w:color="auto"/>
              <w:bottom w:val="single" w:sz="8" w:space="0" w:color="auto"/>
              <w:right w:val="single" w:sz="8" w:space="0" w:color="auto"/>
            </w:tcBorders>
            <w:tcMar>
              <w:top w:w="28" w:type="dxa"/>
              <w:left w:w="28" w:type="dxa"/>
              <w:bottom w:w="28" w:type="dxa"/>
              <w:right w:w="28" w:type="dxa"/>
            </w:tcMar>
            <w:hideMark/>
          </w:tcPr>
          <w:p w14:paraId="75052AB1"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195</w:t>
            </w:r>
          </w:p>
        </w:tc>
        <w:tc>
          <w:tcPr>
            <w:tcW w:w="2217" w:type="dxa"/>
            <w:tcBorders>
              <w:top w:val="nil"/>
              <w:left w:val="nil"/>
              <w:bottom w:val="single" w:sz="8" w:space="0" w:color="auto"/>
              <w:right w:val="single" w:sz="8" w:space="0" w:color="auto"/>
            </w:tcBorders>
            <w:tcMar>
              <w:top w:w="28" w:type="dxa"/>
              <w:left w:w="28" w:type="dxa"/>
              <w:bottom w:w="28" w:type="dxa"/>
              <w:right w:w="28" w:type="dxa"/>
            </w:tcMar>
            <w:hideMark/>
          </w:tcPr>
          <w:p w14:paraId="6243B159"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sz w:val="24"/>
                <w:szCs w:val="24"/>
                <w:shd w:val="clear" w:color="auto" w:fill="FFFFFF"/>
              </w:rPr>
              <w:t>PALIVIZUMABE</w:t>
            </w:r>
          </w:p>
        </w:tc>
        <w:tc>
          <w:tcPr>
            <w:tcW w:w="1443" w:type="dxa"/>
            <w:tcBorders>
              <w:top w:val="nil"/>
              <w:left w:val="nil"/>
              <w:bottom w:val="single" w:sz="8" w:space="0" w:color="auto"/>
              <w:right w:val="single" w:sz="8" w:space="0" w:color="auto"/>
            </w:tcBorders>
            <w:tcMar>
              <w:top w:w="28" w:type="dxa"/>
              <w:left w:w="28" w:type="dxa"/>
              <w:bottom w:w="28" w:type="dxa"/>
              <w:right w:w="28" w:type="dxa"/>
            </w:tcMar>
            <w:hideMark/>
          </w:tcPr>
          <w:p w14:paraId="59F796A5"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sz w:val="24"/>
                <w:szCs w:val="24"/>
                <w:shd w:val="clear" w:color="auto" w:fill="FFFFFF"/>
              </w:rPr>
              <w:t>3002.</w:t>
            </w:r>
            <w:r w:rsidRPr="00611CD1">
              <w:rPr>
                <w:rFonts w:ascii="Arial" w:hAnsi="Arial" w:cs="Arial"/>
                <w:sz w:val="24"/>
                <w:szCs w:val="24"/>
                <w:highlight w:val="yellow"/>
                <w:shd w:val="clear" w:color="auto" w:fill="FFFFFF"/>
              </w:rPr>
              <w:t>15.90</w:t>
            </w: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0A5B26B0" w14:textId="77777777" w:rsidR="00611CD1" w:rsidRPr="00611CD1" w:rsidRDefault="00611CD1" w:rsidP="00276EC6">
            <w:pPr>
              <w:spacing w:before="100" w:beforeAutospacing="1"/>
              <w:jc w:val="both"/>
              <w:rPr>
                <w:rFonts w:ascii="Arial" w:hAnsi="Arial" w:cs="Arial"/>
                <w:sz w:val="24"/>
                <w:szCs w:val="24"/>
              </w:rPr>
            </w:pPr>
            <w:r w:rsidRPr="00611CD1">
              <w:rPr>
                <w:rFonts w:ascii="Arial" w:hAnsi="Arial" w:cs="Arial"/>
                <w:spacing w:val="14"/>
                <w:sz w:val="24"/>
                <w:szCs w:val="24"/>
                <w:shd w:val="clear" w:color="auto" w:fill="FFFFFF"/>
              </w:rPr>
              <w:t>PALIVIZUMABE 50 MG. - PÓ - </w:t>
            </w:r>
            <w:r w:rsidRPr="00611CD1">
              <w:rPr>
                <w:rFonts w:ascii="Arial" w:hAnsi="Arial" w:cs="Arial"/>
                <w:spacing w:val="-4"/>
                <w:sz w:val="24"/>
                <w:szCs w:val="24"/>
                <w:shd w:val="clear" w:color="auto" w:fill="FFFFFF"/>
              </w:rPr>
              <w:t>LIOFILIZADO INJETÁVEL CT FRASCO</w:t>
            </w:r>
            <w:r w:rsidRPr="00611CD1">
              <w:rPr>
                <w:rFonts w:ascii="Arial" w:hAnsi="Arial" w:cs="Arial"/>
                <w:sz w:val="24"/>
                <w:szCs w:val="24"/>
                <w:shd w:val="clear" w:color="auto" w:fill="FFFFFF"/>
              </w:rPr>
              <w:t> </w:t>
            </w:r>
            <w:r w:rsidRPr="00611CD1">
              <w:rPr>
                <w:rFonts w:ascii="Arial" w:hAnsi="Arial" w:cs="Arial"/>
                <w:spacing w:val="-8"/>
                <w:sz w:val="24"/>
                <w:szCs w:val="24"/>
                <w:shd w:val="clear" w:color="auto" w:fill="FFFFFF"/>
              </w:rPr>
              <w:t>AMPOLA VD INC + AMPOLA DILUENTE</w:t>
            </w:r>
            <w:r w:rsidRPr="00611CD1">
              <w:rPr>
                <w:rFonts w:ascii="Arial" w:hAnsi="Arial" w:cs="Arial"/>
                <w:sz w:val="24"/>
                <w:szCs w:val="24"/>
                <w:shd w:val="clear" w:color="auto" w:fill="FFFFFF"/>
              </w:rPr>
              <w:t> </w:t>
            </w:r>
            <w:r w:rsidRPr="00611CD1">
              <w:rPr>
                <w:rFonts w:ascii="Arial" w:hAnsi="Arial" w:cs="Arial"/>
                <w:spacing w:val="12"/>
                <w:sz w:val="24"/>
                <w:szCs w:val="24"/>
                <w:shd w:val="clear" w:color="auto" w:fill="FFFFFF"/>
              </w:rPr>
              <w:t>X 1 ML; OU SOLUÇÃO LÍQUIDA </w:t>
            </w:r>
            <w:r w:rsidRPr="00611CD1">
              <w:rPr>
                <w:rFonts w:ascii="Arial" w:hAnsi="Arial" w:cs="Arial"/>
                <w:sz w:val="24"/>
                <w:szCs w:val="24"/>
                <w:shd w:val="clear" w:color="auto" w:fill="FFFFFF"/>
              </w:rPr>
              <w:t>INJETÁVEL EM FRASCO AMPOLA</w:t>
            </w: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65E7F33F" w14:textId="77777777" w:rsidR="00611CD1" w:rsidRPr="00611CD1" w:rsidRDefault="00611CD1" w:rsidP="00276EC6">
            <w:pPr>
              <w:spacing w:before="100" w:beforeAutospacing="1"/>
              <w:jc w:val="center"/>
              <w:textAlignment w:val="baseline"/>
              <w:rPr>
                <w:rFonts w:ascii="Arial" w:hAnsi="Arial" w:cs="Arial"/>
                <w:sz w:val="24"/>
                <w:szCs w:val="24"/>
              </w:rPr>
            </w:pPr>
            <w:r w:rsidRPr="00611CD1">
              <w:rPr>
                <w:rFonts w:ascii="Arial" w:hAnsi="Arial" w:cs="Arial"/>
                <w:sz w:val="24"/>
                <w:szCs w:val="24"/>
                <w:shd w:val="clear" w:color="auto" w:fill="FFFFFF"/>
              </w:rPr>
              <w:t>3002.</w:t>
            </w:r>
            <w:r w:rsidRPr="00611CD1">
              <w:rPr>
                <w:rFonts w:ascii="Arial" w:hAnsi="Arial" w:cs="Arial"/>
                <w:sz w:val="24"/>
                <w:szCs w:val="24"/>
                <w:highlight w:val="yellow"/>
                <w:shd w:val="clear" w:color="auto" w:fill="FFFFFF"/>
              </w:rPr>
              <w:t>15.90</w:t>
            </w:r>
          </w:p>
        </w:tc>
      </w:tr>
      <w:tr w:rsidR="00611CD1" w:rsidRPr="00611CD1" w14:paraId="3C1824E0" w14:textId="77777777" w:rsidTr="00611CD1">
        <w:tc>
          <w:tcPr>
            <w:tcW w:w="754" w:type="dxa"/>
            <w:tcBorders>
              <w:top w:val="nil"/>
              <w:left w:val="single" w:sz="8" w:space="0" w:color="auto"/>
              <w:bottom w:val="single" w:sz="8" w:space="0" w:color="auto"/>
              <w:right w:val="single" w:sz="8" w:space="0" w:color="auto"/>
            </w:tcBorders>
            <w:tcMar>
              <w:top w:w="28" w:type="dxa"/>
              <w:left w:w="28" w:type="dxa"/>
              <w:bottom w:w="28" w:type="dxa"/>
              <w:right w:w="28" w:type="dxa"/>
            </w:tcMar>
            <w:hideMark/>
          </w:tcPr>
          <w:p w14:paraId="4FDC3D14"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217" w:type="dxa"/>
            <w:tcBorders>
              <w:top w:val="nil"/>
              <w:left w:val="nil"/>
              <w:bottom w:val="single" w:sz="8" w:space="0" w:color="auto"/>
              <w:right w:val="single" w:sz="8" w:space="0" w:color="auto"/>
            </w:tcBorders>
            <w:tcMar>
              <w:top w:w="28" w:type="dxa"/>
              <w:left w:w="28" w:type="dxa"/>
              <w:bottom w:w="28" w:type="dxa"/>
              <w:right w:w="28" w:type="dxa"/>
            </w:tcMar>
            <w:hideMark/>
          </w:tcPr>
          <w:p w14:paraId="4F2002EE"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1443" w:type="dxa"/>
            <w:tcBorders>
              <w:top w:val="nil"/>
              <w:left w:val="nil"/>
              <w:bottom w:val="single" w:sz="8" w:space="0" w:color="auto"/>
              <w:right w:val="single" w:sz="8" w:space="0" w:color="auto"/>
            </w:tcBorders>
            <w:tcMar>
              <w:top w:w="28" w:type="dxa"/>
              <w:left w:w="28" w:type="dxa"/>
              <w:bottom w:w="28" w:type="dxa"/>
              <w:right w:w="28" w:type="dxa"/>
            </w:tcMar>
            <w:hideMark/>
          </w:tcPr>
          <w:p w14:paraId="1A1D360F"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6DAFAFDE"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c>
          <w:tcPr>
            <w:tcW w:w="2335" w:type="dxa"/>
            <w:tcBorders>
              <w:top w:val="nil"/>
              <w:left w:val="nil"/>
              <w:bottom w:val="single" w:sz="8" w:space="0" w:color="auto"/>
              <w:right w:val="single" w:sz="8" w:space="0" w:color="auto"/>
            </w:tcBorders>
            <w:tcMar>
              <w:top w:w="28" w:type="dxa"/>
              <w:left w:w="28" w:type="dxa"/>
              <w:bottom w:w="28" w:type="dxa"/>
              <w:right w:w="28" w:type="dxa"/>
            </w:tcMar>
            <w:hideMark/>
          </w:tcPr>
          <w:p w14:paraId="07FAD05D"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shd w:val="clear" w:color="auto" w:fill="FFFFFF"/>
              </w:rPr>
              <w:t>.........</w:t>
            </w:r>
          </w:p>
        </w:tc>
      </w:tr>
      <w:tr w:rsidR="00611CD1" w:rsidRPr="00611CD1" w14:paraId="6A155C21" w14:textId="77777777" w:rsidTr="00611CD1">
        <w:tc>
          <w:tcPr>
            <w:tcW w:w="754" w:type="dxa"/>
            <w:vMerge w:val="restart"/>
            <w:tcBorders>
              <w:top w:val="nil"/>
              <w:left w:val="single" w:sz="8" w:space="0" w:color="auto"/>
              <w:bottom w:val="single" w:sz="8" w:space="0" w:color="auto"/>
              <w:right w:val="single" w:sz="8" w:space="0" w:color="auto"/>
            </w:tcBorders>
            <w:tcMar>
              <w:top w:w="28" w:type="dxa"/>
              <w:left w:w="28" w:type="dxa"/>
              <w:bottom w:w="28" w:type="dxa"/>
              <w:right w:w="28" w:type="dxa"/>
            </w:tcMar>
            <w:hideMark/>
          </w:tcPr>
          <w:p w14:paraId="054B7BD9" w14:textId="77777777" w:rsidR="00611CD1" w:rsidRPr="00611CD1" w:rsidRDefault="00611CD1" w:rsidP="00276EC6">
            <w:pPr>
              <w:spacing w:before="100" w:beforeAutospacing="1"/>
              <w:jc w:val="center"/>
              <w:rPr>
                <w:rFonts w:ascii="Arial" w:hAnsi="Arial" w:cs="Arial"/>
                <w:sz w:val="24"/>
                <w:szCs w:val="24"/>
                <w:highlight w:val="yellow"/>
              </w:rPr>
            </w:pPr>
            <w:r w:rsidRPr="00611CD1">
              <w:rPr>
                <w:rFonts w:ascii="Arial" w:hAnsi="Arial" w:cs="Arial"/>
                <w:sz w:val="24"/>
                <w:szCs w:val="24"/>
                <w:highlight w:val="yellow"/>
                <w:shd w:val="clear" w:color="auto" w:fill="FFFFFF"/>
                <w:lang w:val="en-US"/>
              </w:rPr>
              <w:t>197</w:t>
            </w:r>
          </w:p>
        </w:tc>
        <w:tc>
          <w:tcPr>
            <w:tcW w:w="2217" w:type="dxa"/>
            <w:vMerge w:val="restart"/>
            <w:tcBorders>
              <w:top w:val="nil"/>
              <w:left w:val="nil"/>
              <w:bottom w:val="single" w:sz="8" w:space="0" w:color="auto"/>
              <w:right w:val="single" w:sz="8" w:space="0" w:color="auto"/>
            </w:tcBorders>
            <w:tcMar>
              <w:top w:w="28" w:type="dxa"/>
              <w:left w:w="28" w:type="dxa"/>
              <w:bottom w:w="28" w:type="dxa"/>
              <w:right w:w="28" w:type="dxa"/>
            </w:tcMar>
            <w:hideMark/>
          </w:tcPr>
          <w:p w14:paraId="3BDAD879" w14:textId="77777777" w:rsidR="00611CD1" w:rsidRPr="00611CD1" w:rsidRDefault="00611CD1" w:rsidP="00276EC6">
            <w:pPr>
              <w:spacing w:before="100" w:beforeAutospacing="1"/>
              <w:jc w:val="center"/>
              <w:rPr>
                <w:rFonts w:ascii="Arial" w:hAnsi="Arial" w:cs="Arial"/>
                <w:sz w:val="24"/>
                <w:szCs w:val="24"/>
                <w:highlight w:val="yellow"/>
              </w:rPr>
            </w:pPr>
            <w:r w:rsidRPr="00611CD1">
              <w:rPr>
                <w:rFonts w:ascii="Arial" w:hAnsi="Arial" w:cs="Arial"/>
                <w:sz w:val="24"/>
                <w:szCs w:val="24"/>
                <w:highlight w:val="yellow"/>
                <w:shd w:val="clear" w:color="auto" w:fill="FFFFFF"/>
                <w:lang w:val="en-US"/>
              </w:rPr>
              <w:t>INSULINA ASPARTE</w:t>
            </w:r>
          </w:p>
        </w:tc>
        <w:tc>
          <w:tcPr>
            <w:tcW w:w="1443" w:type="dxa"/>
            <w:vMerge w:val="restart"/>
            <w:tcBorders>
              <w:top w:val="nil"/>
              <w:left w:val="nil"/>
              <w:bottom w:val="single" w:sz="8" w:space="0" w:color="auto"/>
              <w:right w:val="single" w:sz="8" w:space="0" w:color="auto"/>
            </w:tcBorders>
            <w:tcMar>
              <w:top w:w="28" w:type="dxa"/>
              <w:left w:w="28" w:type="dxa"/>
              <w:bottom w:w="28" w:type="dxa"/>
              <w:right w:w="28" w:type="dxa"/>
            </w:tcMar>
            <w:hideMark/>
          </w:tcPr>
          <w:p w14:paraId="55AF6CFA" w14:textId="77777777" w:rsidR="00611CD1" w:rsidRPr="00611CD1" w:rsidRDefault="00611CD1" w:rsidP="00276EC6">
            <w:pPr>
              <w:spacing w:before="100" w:beforeAutospacing="1"/>
              <w:jc w:val="center"/>
              <w:rPr>
                <w:rFonts w:ascii="Arial" w:hAnsi="Arial" w:cs="Arial"/>
                <w:sz w:val="24"/>
                <w:szCs w:val="24"/>
                <w:highlight w:val="yellow"/>
              </w:rPr>
            </w:pPr>
            <w:r w:rsidRPr="00611CD1">
              <w:rPr>
                <w:rFonts w:ascii="Arial" w:hAnsi="Arial" w:cs="Arial"/>
                <w:sz w:val="24"/>
                <w:szCs w:val="24"/>
                <w:highlight w:val="yellow"/>
                <w:shd w:val="clear" w:color="auto" w:fill="FFFFFF"/>
                <w:lang w:val="en-US"/>
              </w:rPr>
              <w:t>2937.19.90</w:t>
            </w: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45F4968D" w14:textId="77777777" w:rsidR="00611CD1" w:rsidRPr="00611CD1" w:rsidRDefault="00611CD1" w:rsidP="00276EC6">
            <w:pPr>
              <w:spacing w:before="100" w:beforeAutospacing="1"/>
              <w:jc w:val="both"/>
              <w:rPr>
                <w:rFonts w:ascii="Arial" w:hAnsi="Arial" w:cs="Arial"/>
                <w:sz w:val="24"/>
                <w:szCs w:val="24"/>
                <w:highlight w:val="yellow"/>
                <w:lang w:val="en-US"/>
              </w:rPr>
            </w:pPr>
            <w:r w:rsidRPr="00611CD1">
              <w:rPr>
                <w:rFonts w:ascii="Arial" w:hAnsi="Arial" w:cs="Arial"/>
                <w:sz w:val="24"/>
                <w:szCs w:val="24"/>
                <w:highlight w:val="yellow"/>
                <w:shd w:val="clear" w:color="auto" w:fill="FFFFFF"/>
                <w:lang w:val="en-US"/>
              </w:rPr>
              <w:t>100 U/ML SOL INJ CT 5 CARP VD INC X 3 ML (PEN FILL)</w:t>
            </w:r>
          </w:p>
        </w:tc>
        <w:tc>
          <w:tcPr>
            <w:tcW w:w="2335" w:type="dxa"/>
            <w:vMerge w:val="restart"/>
            <w:tcBorders>
              <w:top w:val="nil"/>
              <w:left w:val="nil"/>
              <w:bottom w:val="single" w:sz="8" w:space="0" w:color="auto"/>
              <w:right w:val="single" w:sz="8" w:space="0" w:color="auto"/>
            </w:tcBorders>
            <w:tcMar>
              <w:top w:w="28" w:type="dxa"/>
              <w:left w:w="28" w:type="dxa"/>
              <w:bottom w:w="28" w:type="dxa"/>
              <w:right w:w="28" w:type="dxa"/>
            </w:tcMar>
            <w:hideMark/>
          </w:tcPr>
          <w:p w14:paraId="53406FFF" w14:textId="77777777" w:rsidR="00611CD1" w:rsidRPr="00611CD1" w:rsidRDefault="00611CD1" w:rsidP="00276EC6">
            <w:pPr>
              <w:spacing w:before="100" w:beforeAutospacing="1"/>
              <w:jc w:val="center"/>
              <w:rPr>
                <w:rFonts w:ascii="Arial" w:hAnsi="Arial" w:cs="Arial"/>
                <w:sz w:val="24"/>
                <w:szCs w:val="24"/>
              </w:rPr>
            </w:pPr>
            <w:r w:rsidRPr="00611CD1">
              <w:rPr>
                <w:rFonts w:ascii="Arial" w:hAnsi="Arial" w:cs="Arial"/>
                <w:sz w:val="24"/>
                <w:szCs w:val="24"/>
                <w:highlight w:val="yellow"/>
                <w:shd w:val="clear" w:color="auto" w:fill="FFFFFF"/>
              </w:rPr>
              <w:t>3004.39.29</w:t>
            </w:r>
          </w:p>
        </w:tc>
      </w:tr>
      <w:tr w:rsidR="00611CD1" w:rsidRPr="00611CD1" w14:paraId="312D5006" w14:textId="77777777" w:rsidTr="00611CD1">
        <w:tc>
          <w:tcPr>
            <w:tcW w:w="0" w:type="auto"/>
            <w:vMerge/>
            <w:tcBorders>
              <w:top w:val="nil"/>
              <w:left w:val="single" w:sz="8" w:space="0" w:color="auto"/>
              <w:bottom w:val="single" w:sz="8" w:space="0" w:color="auto"/>
              <w:right w:val="single" w:sz="8" w:space="0" w:color="auto"/>
            </w:tcBorders>
            <w:vAlign w:val="center"/>
            <w:hideMark/>
          </w:tcPr>
          <w:p w14:paraId="507C5DAA" w14:textId="77777777" w:rsidR="00611CD1" w:rsidRPr="00611CD1" w:rsidRDefault="00611CD1" w:rsidP="00276EC6">
            <w:pPr>
              <w:rPr>
                <w:rFonts w:ascii="Arial" w:hAnsi="Arial" w:cs="Arial"/>
                <w:sz w:val="24"/>
                <w:szCs w:val="24"/>
                <w:highlight w:val="yellow"/>
              </w:rPr>
            </w:pPr>
          </w:p>
        </w:tc>
        <w:tc>
          <w:tcPr>
            <w:tcW w:w="2217" w:type="dxa"/>
            <w:vMerge/>
            <w:tcBorders>
              <w:top w:val="nil"/>
              <w:left w:val="nil"/>
              <w:bottom w:val="single" w:sz="8" w:space="0" w:color="auto"/>
              <w:right w:val="single" w:sz="8" w:space="0" w:color="auto"/>
            </w:tcBorders>
            <w:vAlign w:val="center"/>
            <w:hideMark/>
          </w:tcPr>
          <w:p w14:paraId="4E223061" w14:textId="77777777" w:rsidR="00611CD1" w:rsidRPr="00611CD1" w:rsidRDefault="00611CD1" w:rsidP="00276EC6">
            <w:pPr>
              <w:rPr>
                <w:rFonts w:ascii="Arial" w:hAnsi="Arial" w:cs="Arial"/>
                <w:sz w:val="24"/>
                <w:szCs w:val="24"/>
                <w:highlight w:val="yellow"/>
              </w:rPr>
            </w:pPr>
          </w:p>
        </w:tc>
        <w:tc>
          <w:tcPr>
            <w:tcW w:w="1443" w:type="dxa"/>
            <w:vMerge/>
            <w:tcBorders>
              <w:top w:val="nil"/>
              <w:left w:val="nil"/>
              <w:bottom w:val="single" w:sz="8" w:space="0" w:color="auto"/>
              <w:right w:val="single" w:sz="8" w:space="0" w:color="auto"/>
            </w:tcBorders>
            <w:vAlign w:val="center"/>
            <w:hideMark/>
          </w:tcPr>
          <w:p w14:paraId="10A6C91D" w14:textId="77777777" w:rsidR="00611CD1" w:rsidRPr="00611CD1" w:rsidRDefault="00611CD1" w:rsidP="00276EC6">
            <w:pPr>
              <w:rPr>
                <w:rFonts w:ascii="Arial" w:hAnsi="Arial" w:cs="Arial"/>
                <w:sz w:val="24"/>
                <w:szCs w:val="24"/>
                <w:highlight w:val="yellow"/>
              </w:rPr>
            </w:pP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697E2923" w14:textId="77777777" w:rsidR="00611CD1" w:rsidRPr="00611CD1" w:rsidRDefault="00611CD1" w:rsidP="00276EC6">
            <w:pPr>
              <w:spacing w:before="100" w:beforeAutospacing="1"/>
              <w:jc w:val="both"/>
              <w:rPr>
                <w:rFonts w:ascii="Arial" w:hAnsi="Arial" w:cs="Arial"/>
                <w:sz w:val="24"/>
                <w:szCs w:val="24"/>
                <w:highlight w:val="yellow"/>
              </w:rPr>
            </w:pPr>
            <w:r w:rsidRPr="00611CD1">
              <w:rPr>
                <w:rFonts w:ascii="Arial" w:hAnsi="Arial" w:cs="Arial"/>
                <w:sz w:val="24"/>
                <w:szCs w:val="24"/>
                <w:highlight w:val="yellow"/>
                <w:shd w:val="clear" w:color="auto" w:fill="FFFFFF"/>
              </w:rPr>
              <w:t>100 U/ML SOL INJ CX5 CARP VD INC X 3 ML + 5 APLIC PLAS</w:t>
            </w:r>
          </w:p>
        </w:tc>
        <w:tc>
          <w:tcPr>
            <w:tcW w:w="2335" w:type="dxa"/>
            <w:vMerge/>
            <w:tcBorders>
              <w:top w:val="nil"/>
              <w:left w:val="nil"/>
              <w:bottom w:val="single" w:sz="8" w:space="0" w:color="auto"/>
              <w:right w:val="single" w:sz="8" w:space="0" w:color="auto"/>
            </w:tcBorders>
            <w:vAlign w:val="center"/>
            <w:hideMark/>
          </w:tcPr>
          <w:p w14:paraId="27FD081F" w14:textId="77777777" w:rsidR="00611CD1" w:rsidRPr="00611CD1" w:rsidRDefault="00611CD1" w:rsidP="00276EC6">
            <w:pPr>
              <w:rPr>
                <w:rFonts w:ascii="Arial" w:hAnsi="Arial" w:cs="Arial"/>
                <w:sz w:val="24"/>
                <w:szCs w:val="24"/>
              </w:rPr>
            </w:pPr>
          </w:p>
        </w:tc>
      </w:tr>
      <w:tr w:rsidR="00611CD1" w:rsidRPr="00D9482C" w14:paraId="1094EA29" w14:textId="77777777" w:rsidTr="00611CD1">
        <w:tc>
          <w:tcPr>
            <w:tcW w:w="0" w:type="auto"/>
            <w:vMerge/>
            <w:tcBorders>
              <w:top w:val="nil"/>
              <w:left w:val="single" w:sz="8" w:space="0" w:color="auto"/>
              <w:bottom w:val="single" w:sz="8" w:space="0" w:color="auto"/>
              <w:right w:val="single" w:sz="8" w:space="0" w:color="auto"/>
            </w:tcBorders>
            <w:vAlign w:val="center"/>
            <w:hideMark/>
          </w:tcPr>
          <w:p w14:paraId="3263C9F3" w14:textId="77777777" w:rsidR="00611CD1" w:rsidRPr="00611CD1" w:rsidRDefault="00611CD1" w:rsidP="00276EC6">
            <w:pPr>
              <w:rPr>
                <w:rFonts w:ascii="Arial" w:hAnsi="Arial" w:cs="Arial"/>
                <w:sz w:val="24"/>
                <w:szCs w:val="24"/>
                <w:highlight w:val="yellow"/>
              </w:rPr>
            </w:pPr>
          </w:p>
        </w:tc>
        <w:tc>
          <w:tcPr>
            <w:tcW w:w="2217" w:type="dxa"/>
            <w:vMerge/>
            <w:tcBorders>
              <w:top w:val="nil"/>
              <w:left w:val="nil"/>
              <w:bottom w:val="single" w:sz="8" w:space="0" w:color="auto"/>
              <w:right w:val="single" w:sz="8" w:space="0" w:color="auto"/>
            </w:tcBorders>
            <w:vAlign w:val="center"/>
            <w:hideMark/>
          </w:tcPr>
          <w:p w14:paraId="39474BF7" w14:textId="77777777" w:rsidR="00611CD1" w:rsidRPr="00611CD1" w:rsidRDefault="00611CD1" w:rsidP="00276EC6">
            <w:pPr>
              <w:rPr>
                <w:rFonts w:ascii="Arial" w:hAnsi="Arial" w:cs="Arial"/>
                <w:sz w:val="24"/>
                <w:szCs w:val="24"/>
                <w:highlight w:val="yellow"/>
              </w:rPr>
            </w:pPr>
          </w:p>
        </w:tc>
        <w:tc>
          <w:tcPr>
            <w:tcW w:w="1443" w:type="dxa"/>
            <w:vMerge/>
            <w:tcBorders>
              <w:top w:val="nil"/>
              <w:left w:val="nil"/>
              <w:bottom w:val="single" w:sz="8" w:space="0" w:color="auto"/>
              <w:right w:val="single" w:sz="8" w:space="0" w:color="auto"/>
            </w:tcBorders>
            <w:vAlign w:val="center"/>
            <w:hideMark/>
          </w:tcPr>
          <w:p w14:paraId="7F3A10A7" w14:textId="77777777" w:rsidR="00611CD1" w:rsidRPr="00611CD1" w:rsidRDefault="00611CD1" w:rsidP="00276EC6">
            <w:pPr>
              <w:rPr>
                <w:rFonts w:ascii="Arial" w:hAnsi="Arial" w:cs="Arial"/>
                <w:sz w:val="24"/>
                <w:szCs w:val="24"/>
                <w:highlight w:val="yellow"/>
              </w:rPr>
            </w:pP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719DD345" w14:textId="77777777" w:rsidR="00611CD1" w:rsidRPr="00611CD1" w:rsidRDefault="00611CD1" w:rsidP="00276EC6">
            <w:pPr>
              <w:spacing w:before="100" w:beforeAutospacing="1"/>
              <w:jc w:val="both"/>
              <w:rPr>
                <w:rFonts w:ascii="Arial" w:hAnsi="Arial" w:cs="Arial"/>
                <w:sz w:val="24"/>
                <w:szCs w:val="24"/>
                <w:highlight w:val="yellow"/>
                <w:lang w:val="en-US"/>
              </w:rPr>
            </w:pPr>
            <w:r w:rsidRPr="00611CD1">
              <w:rPr>
                <w:rFonts w:ascii="Arial" w:hAnsi="Arial" w:cs="Arial"/>
                <w:sz w:val="24"/>
                <w:szCs w:val="24"/>
                <w:highlight w:val="yellow"/>
                <w:shd w:val="clear" w:color="auto" w:fill="FFFFFF"/>
                <w:lang w:val="en-US"/>
              </w:rPr>
              <w:t>100 U/ML SOL INJ CT 5 CARP VD INC X 3 ML + 5 SIST APLIC PLAST (FLEXPEN)</w:t>
            </w:r>
          </w:p>
        </w:tc>
        <w:tc>
          <w:tcPr>
            <w:tcW w:w="2335" w:type="dxa"/>
            <w:vMerge/>
            <w:tcBorders>
              <w:top w:val="nil"/>
              <w:left w:val="nil"/>
              <w:bottom w:val="single" w:sz="8" w:space="0" w:color="auto"/>
              <w:right w:val="single" w:sz="8" w:space="0" w:color="auto"/>
            </w:tcBorders>
            <w:vAlign w:val="center"/>
            <w:hideMark/>
          </w:tcPr>
          <w:p w14:paraId="4EBF00F7" w14:textId="77777777" w:rsidR="00611CD1" w:rsidRPr="00611CD1" w:rsidRDefault="00611CD1" w:rsidP="00276EC6">
            <w:pPr>
              <w:rPr>
                <w:rFonts w:ascii="Arial" w:hAnsi="Arial" w:cs="Arial"/>
                <w:sz w:val="24"/>
                <w:szCs w:val="24"/>
                <w:lang w:val="en-US"/>
              </w:rPr>
            </w:pPr>
          </w:p>
        </w:tc>
      </w:tr>
      <w:tr w:rsidR="00611CD1" w:rsidRPr="00D9482C" w14:paraId="78DB6573" w14:textId="77777777" w:rsidTr="00611CD1">
        <w:tc>
          <w:tcPr>
            <w:tcW w:w="0" w:type="auto"/>
            <w:vMerge/>
            <w:tcBorders>
              <w:top w:val="nil"/>
              <w:left w:val="single" w:sz="8" w:space="0" w:color="auto"/>
              <w:bottom w:val="single" w:sz="8" w:space="0" w:color="auto"/>
              <w:right w:val="single" w:sz="8" w:space="0" w:color="auto"/>
            </w:tcBorders>
            <w:vAlign w:val="center"/>
            <w:hideMark/>
          </w:tcPr>
          <w:p w14:paraId="3BE7E5FC" w14:textId="77777777" w:rsidR="00611CD1" w:rsidRPr="00611CD1" w:rsidRDefault="00611CD1" w:rsidP="00276EC6">
            <w:pPr>
              <w:rPr>
                <w:rFonts w:ascii="Arial" w:hAnsi="Arial" w:cs="Arial"/>
                <w:sz w:val="24"/>
                <w:szCs w:val="24"/>
                <w:highlight w:val="yellow"/>
                <w:lang w:val="en-US"/>
              </w:rPr>
            </w:pPr>
          </w:p>
        </w:tc>
        <w:tc>
          <w:tcPr>
            <w:tcW w:w="2217" w:type="dxa"/>
            <w:vMerge/>
            <w:tcBorders>
              <w:top w:val="nil"/>
              <w:left w:val="nil"/>
              <w:bottom w:val="single" w:sz="8" w:space="0" w:color="auto"/>
              <w:right w:val="single" w:sz="8" w:space="0" w:color="auto"/>
            </w:tcBorders>
            <w:vAlign w:val="center"/>
            <w:hideMark/>
          </w:tcPr>
          <w:p w14:paraId="4A6ECC23" w14:textId="77777777" w:rsidR="00611CD1" w:rsidRPr="00611CD1" w:rsidRDefault="00611CD1" w:rsidP="00276EC6">
            <w:pPr>
              <w:rPr>
                <w:rFonts w:ascii="Arial" w:hAnsi="Arial" w:cs="Arial"/>
                <w:sz w:val="24"/>
                <w:szCs w:val="24"/>
                <w:highlight w:val="yellow"/>
                <w:lang w:val="en-US"/>
              </w:rPr>
            </w:pPr>
          </w:p>
        </w:tc>
        <w:tc>
          <w:tcPr>
            <w:tcW w:w="1443" w:type="dxa"/>
            <w:vMerge/>
            <w:tcBorders>
              <w:top w:val="nil"/>
              <w:left w:val="nil"/>
              <w:bottom w:val="single" w:sz="8" w:space="0" w:color="auto"/>
              <w:right w:val="single" w:sz="8" w:space="0" w:color="auto"/>
            </w:tcBorders>
            <w:vAlign w:val="center"/>
            <w:hideMark/>
          </w:tcPr>
          <w:p w14:paraId="179A4185" w14:textId="77777777" w:rsidR="00611CD1" w:rsidRPr="00611CD1" w:rsidRDefault="00611CD1" w:rsidP="00276EC6">
            <w:pPr>
              <w:rPr>
                <w:rFonts w:ascii="Arial" w:hAnsi="Arial" w:cs="Arial"/>
                <w:sz w:val="24"/>
                <w:szCs w:val="24"/>
                <w:highlight w:val="yellow"/>
                <w:lang w:val="en-US"/>
              </w:rPr>
            </w:pP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13D046E3" w14:textId="77777777" w:rsidR="00611CD1" w:rsidRPr="00611CD1" w:rsidRDefault="00611CD1" w:rsidP="00276EC6">
            <w:pPr>
              <w:spacing w:before="100" w:beforeAutospacing="1"/>
              <w:jc w:val="both"/>
              <w:rPr>
                <w:rFonts w:ascii="Arial" w:hAnsi="Arial" w:cs="Arial"/>
                <w:sz w:val="24"/>
                <w:szCs w:val="24"/>
                <w:highlight w:val="yellow"/>
                <w:lang w:val="en-US"/>
              </w:rPr>
            </w:pPr>
            <w:r w:rsidRPr="00611CD1">
              <w:rPr>
                <w:rFonts w:ascii="Arial" w:hAnsi="Arial" w:cs="Arial"/>
                <w:sz w:val="24"/>
                <w:szCs w:val="24"/>
                <w:highlight w:val="yellow"/>
                <w:shd w:val="clear" w:color="auto" w:fill="FFFFFF"/>
                <w:lang w:val="en-US"/>
              </w:rPr>
              <w:t>100 U/ML SOL INJ CT CARP VD INC X 3 ML (PENFILL)</w:t>
            </w:r>
          </w:p>
        </w:tc>
        <w:tc>
          <w:tcPr>
            <w:tcW w:w="2335" w:type="dxa"/>
            <w:vMerge/>
            <w:tcBorders>
              <w:top w:val="nil"/>
              <w:left w:val="nil"/>
              <w:bottom w:val="single" w:sz="8" w:space="0" w:color="auto"/>
              <w:right w:val="single" w:sz="8" w:space="0" w:color="auto"/>
            </w:tcBorders>
            <w:vAlign w:val="center"/>
            <w:hideMark/>
          </w:tcPr>
          <w:p w14:paraId="383C3574" w14:textId="77777777" w:rsidR="00611CD1" w:rsidRPr="00611CD1" w:rsidRDefault="00611CD1" w:rsidP="00276EC6">
            <w:pPr>
              <w:rPr>
                <w:rFonts w:ascii="Arial" w:hAnsi="Arial" w:cs="Arial"/>
                <w:sz w:val="24"/>
                <w:szCs w:val="24"/>
                <w:lang w:val="en-US"/>
              </w:rPr>
            </w:pPr>
          </w:p>
        </w:tc>
      </w:tr>
      <w:tr w:rsidR="00611CD1" w:rsidRPr="00D9482C" w14:paraId="49C17C42" w14:textId="77777777" w:rsidTr="00611CD1">
        <w:tc>
          <w:tcPr>
            <w:tcW w:w="0" w:type="auto"/>
            <w:vMerge/>
            <w:tcBorders>
              <w:top w:val="nil"/>
              <w:left w:val="single" w:sz="8" w:space="0" w:color="auto"/>
              <w:bottom w:val="single" w:sz="8" w:space="0" w:color="auto"/>
              <w:right w:val="single" w:sz="8" w:space="0" w:color="auto"/>
            </w:tcBorders>
            <w:vAlign w:val="center"/>
            <w:hideMark/>
          </w:tcPr>
          <w:p w14:paraId="13CFE377" w14:textId="77777777" w:rsidR="00611CD1" w:rsidRPr="00611CD1" w:rsidRDefault="00611CD1" w:rsidP="00276EC6">
            <w:pPr>
              <w:rPr>
                <w:rFonts w:ascii="Arial" w:hAnsi="Arial" w:cs="Arial"/>
                <w:sz w:val="24"/>
                <w:szCs w:val="24"/>
                <w:highlight w:val="yellow"/>
                <w:lang w:val="en-US"/>
              </w:rPr>
            </w:pPr>
          </w:p>
        </w:tc>
        <w:tc>
          <w:tcPr>
            <w:tcW w:w="2217" w:type="dxa"/>
            <w:vMerge/>
            <w:tcBorders>
              <w:top w:val="nil"/>
              <w:left w:val="nil"/>
              <w:bottom w:val="single" w:sz="8" w:space="0" w:color="auto"/>
              <w:right w:val="single" w:sz="8" w:space="0" w:color="auto"/>
            </w:tcBorders>
            <w:vAlign w:val="center"/>
            <w:hideMark/>
          </w:tcPr>
          <w:p w14:paraId="29561B48" w14:textId="77777777" w:rsidR="00611CD1" w:rsidRPr="00611CD1" w:rsidRDefault="00611CD1" w:rsidP="00276EC6">
            <w:pPr>
              <w:rPr>
                <w:rFonts w:ascii="Arial" w:hAnsi="Arial" w:cs="Arial"/>
                <w:sz w:val="24"/>
                <w:szCs w:val="24"/>
                <w:highlight w:val="yellow"/>
                <w:lang w:val="en-US"/>
              </w:rPr>
            </w:pPr>
          </w:p>
        </w:tc>
        <w:tc>
          <w:tcPr>
            <w:tcW w:w="1443" w:type="dxa"/>
            <w:vMerge/>
            <w:tcBorders>
              <w:top w:val="nil"/>
              <w:left w:val="nil"/>
              <w:bottom w:val="single" w:sz="8" w:space="0" w:color="auto"/>
              <w:right w:val="single" w:sz="8" w:space="0" w:color="auto"/>
            </w:tcBorders>
            <w:vAlign w:val="center"/>
            <w:hideMark/>
          </w:tcPr>
          <w:p w14:paraId="676164D5" w14:textId="77777777" w:rsidR="00611CD1" w:rsidRPr="00611CD1" w:rsidRDefault="00611CD1" w:rsidP="00276EC6">
            <w:pPr>
              <w:rPr>
                <w:rFonts w:ascii="Arial" w:hAnsi="Arial" w:cs="Arial"/>
                <w:sz w:val="24"/>
                <w:szCs w:val="24"/>
                <w:highlight w:val="yellow"/>
                <w:lang w:val="en-US"/>
              </w:rPr>
            </w:pP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1E662AC1" w14:textId="77777777" w:rsidR="00611CD1" w:rsidRPr="00611CD1" w:rsidRDefault="00611CD1" w:rsidP="00276EC6">
            <w:pPr>
              <w:spacing w:before="100" w:beforeAutospacing="1"/>
              <w:jc w:val="both"/>
              <w:rPr>
                <w:rFonts w:ascii="Arial" w:hAnsi="Arial" w:cs="Arial"/>
                <w:sz w:val="24"/>
                <w:szCs w:val="24"/>
                <w:highlight w:val="yellow"/>
                <w:lang w:val="en-US"/>
              </w:rPr>
            </w:pPr>
            <w:r w:rsidRPr="00611CD1">
              <w:rPr>
                <w:rFonts w:ascii="Arial" w:hAnsi="Arial" w:cs="Arial"/>
                <w:sz w:val="24"/>
                <w:szCs w:val="24"/>
                <w:highlight w:val="yellow"/>
                <w:shd w:val="clear" w:color="auto" w:fill="FFFFFF"/>
                <w:lang w:val="en-US"/>
              </w:rPr>
              <w:t>100 U/ML SOL INJ CT 10 CARP VD INC X 3 ML + 10 SIST APL PLAS (FLEXPEN)</w:t>
            </w:r>
          </w:p>
        </w:tc>
        <w:tc>
          <w:tcPr>
            <w:tcW w:w="2335" w:type="dxa"/>
            <w:vMerge/>
            <w:tcBorders>
              <w:top w:val="nil"/>
              <w:left w:val="nil"/>
              <w:bottom w:val="single" w:sz="8" w:space="0" w:color="auto"/>
              <w:right w:val="single" w:sz="8" w:space="0" w:color="auto"/>
            </w:tcBorders>
            <w:vAlign w:val="center"/>
            <w:hideMark/>
          </w:tcPr>
          <w:p w14:paraId="5082ECC1" w14:textId="77777777" w:rsidR="00611CD1" w:rsidRPr="00611CD1" w:rsidRDefault="00611CD1" w:rsidP="00276EC6">
            <w:pPr>
              <w:rPr>
                <w:rFonts w:ascii="Arial" w:hAnsi="Arial" w:cs="Arial"/>
                <w:sz w:val="24"/>
                <w:szCs w:val="24"/>
                <w:lang w:val="en-US"/>
              </w:rPr>
            </w:pPr>
          </w:p>
        </w:tc>
      </w:tr>
      <w:tr w:rsidR="00611CD1" w:rsidRPr="00D9482C" w14:paraId="02E9ED57" w14:textId="77777777" w:rsidTr="00611CD1">
        <w:tc>
          <w:tcPr>
            <w:tcW w:w="0" w:type="auto"/>
            <w:vMerge/>
            <w:tcBorders>
              <w:top w:val="nil"/>
              <w:left w:val="single" w:sz="8" w:space="0" w:color="auto"/>
              <w:bottom w:val="single" w:sz="8" w:space="0" w:color="auto"/>
              <w:right w:val="single" w:sz="8" w:space="0" w:color="auto"/>
            </w:tcBorders>
            <w:vAlign w:val="center"/>
            <w:hideMark/>
          </w:tcPr>
          <w:p w14:paraId="1EC8C925" w14:textId="77777777" w:rsidR="00611CD1" w:rsidRPr="00611CD1" w:rsidRDefault="00611CD1" w:rsidP="00276EC6">
            <w:pPr>
              <w:rPr>
                <w:rFonts w:ascii="Arial" w:hAnsi="Arial" w:cs="Arial"/>
                <w:sz w:val="24"/>
                <w:szCs w:val="24"/>
                <w:highlight w:val="yellow"/>
                <w:lang w:val="en-US"/>
              </w:rPr>
            </w:pPr>
          </w:p>
        </w:tc>
        <w:tc>
          <w:tcPr>
            <w:tcW w:w="2217" w:type="dxa"/>
            <w:vMerge/>
            <w:tcBorders>
              <w:top w:val="nil"/>
              <w:left w:val="nil"/>
              <w:bottom w:val="single" w:sz="8" w:space="0" w:color="auto"/>
              <w:right w:val="single" w:sz="8" w:space="0" w:color="auto"/>
            </w:tcBorders>
            <w:vAlign w:val="center"/>
            <w:hideMark/>
          </w:tcPr>
          <w:p w14:paraId="17D949C4" w14:textId="77777777" w:rsidR="00611CD1" w:rsidRPr="00611CD1" w:rsidRDefault="00611CD1" w:rsidP="00276EC6">
            <w:pPr>
              <w:rPr>
                <w:rFonts w:ascii="Arial" w:hAnsi="Arial" w:cs="Arial"/>
                <w:sz w:val="24"/>
                <w:szCs w:val="24"/>
                <w:highlight w:val="yellow"/>
                <w:lang w:val="en-US"/>
              </w:rPr>
            </w:pPr>
          </w:p>
        </w:tc>
        <w:tc>
          <w:tcPr>
            <w:tcW w:w="1443" w:type="dxa"/>
            <w:vMerge/>
            <w:tcBorders>
              <w:top w:val="nil"/>
              <w:left w:val="nil"/>
              <w:bottom w:val="single" w:sz="8" w:space="0" w:color="auto"/>
              <w:right w:val="single" w:sz="8" w:space="0" w:color="auto"/>
            </w:tcBorders>
            <w:vAlign w:val="center"/>
            <w:hideMark/>
          </w:tcPr>
          <w:p w14:paraId="05EF95F6" w14:textId="77777777" w:rsidR="00611CD1" w:rsidRPr="00611CD1" w:rsidRDefault="00611CD1" w:rsidP="00276EC6">
            <w:pPr>
              <w:rPr>
                <w:rFonts w:ascii="Arial" w:hAnsi="Arial" w:cs="Arial"/>
                <w:sz w:val="24"/>
                <w:szCs w:val="24"/>
                <w:highlight w:val="yellow"/>
                <w:lang w:val="en-US"/>
              </w:rPr>
            </w:pP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5358A2DB" w14:textId="77777777" w:rsidR="00611CD1" w:rsidRPr="00611CD1" w:rsidRDefault="00611CD1" w:rsidP="00276EC6">
            <w:pPr>
              <w:spacing w:before="100" w:beforeAutospacing="1"/>
              <w:jc w:val="both"/>
              <w:rPr>
                <w:rFonts w:ascii="Arial" w:hAnsi="Arial" w:cs="Arial"/>
                <w:sz w:val="24"/>
                <w:szCs w:val="24"/>
                <w:highlight w:val="yellow"/>
                <w:lang w:val="en-US"/>
              </w:rPr>
            </w:pPr>
            <w:r w:rsidRPr="00611CD1">
              <w:rPr>
                <w:rFonts w:ascii="Arial" w:hAnsi="Arial" w:cs="Arial"/>
                <w:sz w:val="24"/>
                <w:szCs w:val="24"/>
                <w:highlight w:val="yellow"/>
                <w:shd w:val="clear" w:color="auto" w:fill="FFFFFF"/>
                <w:lang w:val="en-US"/>
              </w:rPr>
              <w:t>100 U/ML SOL INJ CT 10 CARP VD INC X 3 ML + 10 SIST APLIC PLAST (FLEXPEN)</w:t>
            </w:r>
          </w:p>
        </w:tc>
        <w:tc>
          <w:tcPr>
            <w:tcW w:w="2335" w:type="dxa"/>
            <w:vMerge/>
            <w:tcBorders>
              <w:top w:val="nil"/>
              <w:left w:val="nil"/>
              <w:bottom w:val="single" w:sz="8" w:space="0" w:color="auto"/>
              <w:right w:val="single" w:sz="8" w:space="0" w:color="auto"/>
            </w:tcBorders>
            <w:vAlign w:val="center"/>
            <w:hideMark/>
          </w:tcPr>
          <w:p w14:paraId="0A6C9702" w14:textId="77777777" w:rsidR="00611CD1" w:rsidRPr="00611CD1" w:rsidRDefault="00611CD1" w:rsidP="00276EC6">
            <w:pPr>
              <w:rPr>
                <w:rFonts w:ascii="Arial" w:hAnsi="Arial" w:cs="Arial"/>
                <w:sz w:val="24"/>
                <w:szCs w:val="24"/>
                <w:lang w:val="en-US"/>
              </w:rPr>
            </w:pPr>
          </w:p>
        </w:tc>
      </w:tr>
      <w:tr w:rsidR="00611CD1" w:rsidRPr="00D9482C" w14:paraId="16E983F4" w14:textId="77777777" w:rsidTr="00611CD1">
        <w:tc>
          <w:tcPr>
            <w:tcW w:w="0" w:type="auto"/>
            <w:vMerge/>
            <w:tcBorders>
              <w:top w:val="nil"/>
              <w:left w:val="single" w:sz="8" w:space="0" w:color="auto"/>
              <w:bottom w:val="single" w:sz="8" w:space="0" w:color="auto"/>
              <w:right w:val="single" w:sz="8" w:space="0" w:color="auto"/>
            </w:tcBorders>
            <w:vAlign w:val="center"/>
            <w:hideMark/>
          </w:tcPr>
          <w:p w14:paraId="6342CC44" w14:textId="77777777" w:rsidR="00611CD1" w:rsidRPr="00611CD1" w:rsidRDefault="00611CD1" w:rsidP="00276EC6">
            <w:pPr>
              <w:rPr>
                <w:rFonts w:ascii="Arial" w:hAnsi="Arial" w:cs="Arial"/>
                <w:sz w:val="24"/>
                <w:szCs w:val="24"/>
                <w:highlight w:val="yellow"/>
                <w:lang w:val="en-US"/>
              </w:rPr>
            </w:pPr>
          </w:p>
        </w:tc>
        <w:tc>
          <w:tcPr>
            <w:tcW w:w="2217" w:type="dxa"/>
            <w:vMerge/>
            <w:tcBorders>
              <w:top w:val="nil"/>
              <w:left w:val="nil"/>
              <w:bottom w:val="single" w:sz="8" w:space="0" w:color="auto"/>
              <w:right w:val="single" w:sz="8" w:space="0" w:color="auto"/>
            </w:tcBorders>
            <w:vAlign w:val="center"/>
            <w:hideMark/>
          </w:tcPr>
          <w:p w14:paraId="14A3263F" w14:textId="77777777" w:rsidR="00611CD1" w:rsidRPr="00611CD1" w:rsidRDefault="00611CD1" w:rsidP="00276EC6">
            <w:pPr>
              <w:rPr>
                <w:rFonts w:ascii="Arial" w:hAnsi="Arial" w:cs="Arial"/>
                <w:sz w:val="24"/>
                <w:szCs w:val="24"/>
                <w:highlight w:val="yellow"/>
                <w:lang w:val="en-US"/>
              </w:rPr>
            </w:pPr>
          </w:p>
        </w:tc>
        <w:tc>
          <w:tcPr>
            <w:tcW w:w="1443" w:type="dxa"/>
            <w:vMerge/>
            <w:tcBorders>
              <w:top w:val="nil"/>
              <w:left w:val="nil"/>
              <w:bottom w:val="single" w:sz="8" w:space="0" w:color="auto"/>
              <w:right w:val="single" w:sz="8" w:space="0" w:color="auto"/>
            </w:tcBorders>
            <w:vAlign w:val="center"/>
            <w:hideMark/>
          </w:tcPr>
          <w:p w14:paraId="51FF0BB0" w14:textId="77777777" w:rsidR="00611CD1" w:rsidRPr="00611CD1" w:rsidRDefault="00611CD1" w:rsidP="00276EC6">
            <w:pPr>
              <w:rPr>
                <w:rFonts w:ascii="Arial" w:hAnsi="Arial" w:cs="Arial"/>
                <w:sz w:val="24"/>
                <w:szCs w:val="24"/>
                <w:highlight w:val="yellow"/>
                <w:lang w:val="en-US"/>
              </w:rPr>
            </w:pP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40703FBF" w14:textId="77777777" w:rsidR="00611CD1" w:rsidRPr="00611CD1" w:rsidRDefault="00611CD1" w:rsidP="00276EC6">
            <w:pPr>
              <w:spacing w:before="100" w:beforeAutospacing="1"/>
              <w:jc w:val="both"/>
              <w:rPr>
                <w:rFonts w:ascii="Arial" w:hAnsi="Arial" w:cs="Arial"/>
                <w:sz w:val="24"/>
                <w:szCs w:val="24"/>
                <w:highlight w:val="yellow"/>
                <w:lang w:val="en-US"/>
              </w:rPr>
            </w:pPr>
            <w:r w:rsidRPr="00611CD1">
              <w:rPr>
                <w:rFonts w:ascii="Arial" w:hAnsi="Arial" w:cs="Arial"/>
                <w:sz w:val="24"/>
                <w:szCs w:val="24"/>
                <w:highlight w:val="yellow"/>
                <w:shd w:val="clear" w:color="auto" w:fill="FFFFFF"/>
                <w:lang w:val="en-US"/>
              </w:rPr>
              <w:t xml:space="preserve">100 U/ML SOL INJ CT 1 CARP VD INC X 3 ML </w:t>
            </w:r>
            <w:r w:rsidRPr="00611CD1">
              <w:rPr>
                <w:rFonts w:ascii="Arial" w:hAnsi="Arial" w:cs="Arial"/>
                <w:sz w:val="24"/>
                <w:szCs w:val="24"/>
                <w:highlight w:val="yellow"/>
                <w:shd w:val="clear" w:color="auto" w:fill="FFFFFF"/>
                <w:lang w:val="en-US"/>
              </w:rPr>
              <w:lastRenderedPageBreak/>
              <w:t>+ 1 SIST APLIC PLAST (FLEXPEN)</w:t>
            </w:r>
          </w:p>
        </w:tc>
        <w:tc>
          <w:tcPr>
            <w:tcW w:w="2335" w:type="dxa"/>
            <w:vMerge/>
            <w:tcBorders>
              <w:top w:val="nil"/>
              <w:left w:val="nil"/>
              <w:bottom w:val="single" w:sz="8" w:space="0" w:color="auto"/>
              <w:right w:val="single" w:sz="8" w:space="0" w:color="auto"/>
            </w:tcBorders>
            <w:vAlign w:val="center"/>
            <w:hideMark/>
          </w:tcPr>
          <w:p w14:paraId="2D4A4FF0" w14:textId="77777777" w:rsidR="00611CD1" w:rsidRPr="00611CD1" w:rsidRDefault="00611CD1" w:rsidP="00276EC6">
            <w:pPr>
              <w:rPr>
                <w:rFonts w:ascii="Arial" w:hAnsi="Arial" w:cs="Arial"/>
                <w:sz w:val="24"/>
                <w:szCs w:val="24"/>
                <w:lang w:val="en-US"/>
              </w:rPr>
            </w:pPr>
          </w:p>
        </w:tc>
      </w:tr>
      <w:tr w:rsidR="00611CD1" w:rsidRPr="00D9482C" w14:paraId="42BB46D1" w14:textId="77777777" w:rsidTr="00611CD1">
        <w:tc>
          <w:tcPr>
            <w:tcW w:w="0" w:type="auto"/>
            <w:vMerge/>
            <w:tcBorders>
              <w:top w:val="nil"/>
              <w:left w:val="single" w:sz="8" w:space="0" w:color="auto"/>
              <w:bottom w:val="single" w:sz="8" w:space="0" w:color="auto"/>
              <w:right w:val="single" w:sz="8" w:space="0" w:color="auto"/>
            </w:tcBorders>
            <w:vAlign w:val="center"/>
            <w:hideMark/>
          </w:tcPr>
          <w:p w14:paraId="1777F259" w14:textId="77777777" w:rsidR="00611CD1" w:rsidRPr="00611CD1" w:rsidRDefault="00611CD1" w:rsidP="00276EC6">
            <w:pPr>
              <w:rPr>
                <w:rFonts w:ascii="Arial" w:hAnsi="Arial" w:cs="Arial"/>
                <w:sz w:val="24"/>
                <w:szCs w:val="24"/>
                <w:highlight w:val="yellow"/>
                <w:lang w:val="en-US"/>
              </w:rPr>
            </w:pPr>
          </w:p>
        </w:tc>
        <w:tc>
          <w:tcPr>
            <w:tcW w:w="2217" w:type="dxa"/>
            <w:vMerge/>
            <w:tcBorders>
              <w:top w:val="nil"/>
              <w:left w:val="nil"/>
              <w:bottom w:val="single" w:sz="8" w:space="0" w:color="auto"/>
              <w:right w:val="single" w:sz="8" w:space="0" w:color="auto"/>
            </w:tcBorders>
            <w:vAlign w:val="center"/>
            <w:hideMark/>
          </w:tcPr>
          <w:p w14:paraId="6F98F77A" w14:textId="77777777" w:rsidR="00611CD1" w:rsidRPr="00611CD1" w:rsidRDefault="00611CD1" w:rsidP="00276EC6">
            <w:pPr>
              <w:rPr>
                <w:rFonts w:ascii="Arial" w:hAnsi="Arial" w:cs="Arial"/>
                <w:sz w:val="24"/>
                <w:szCs w:val="24"/>
                <w:highlight w:val="yellow"/>
                <w:lang w:val="en-US"/>
              </w:rPr>
            </w:pPr>
          </w:p>
        </w:tc>
        <w:tc>
          <w:tcPr>
            <w:tcW w:w="1443" w:type="dxa"/>
            <w:vMerge/>
            <w:tcBorders>
              <w:top w:val="nil"/>
              <w:left w:val="nil"/>
              <w:bottom w:val="single" w:sz="8" w:space="0" w:color="auto"/>
              <w:right w:val="single" w:sz="8" w:space="0" w:color="auto"/>
            </w:tcBorders>
            <w:vAlign w:val="center"/>
            <w:hideMark/>
          </w:tcPr>
          <w:p w14:paraId="5A5AF788" w14:textId="77777777" w:rsidR="00611CD1" w:rsidRPr="00611CD1" w:rsidRDefault="00611CD1" w:rsidP="00276EC6">
            <w:pPr>
              <w:rPr>
                <w:rFonts w:ascii="Arial" w:hAnsi="Arial" w:cs="Arial"/>
                <w:sz w:val="24"/>
                <w:szCs w:val="24"/>
                <w:highlight w:val="yellow"/>
                <w:lang w:val="en-US"/>
              </w:rPr>
            </w:pP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6ED7121E" w14:textId="77777777" w:rsidR="00611CD1" w:rsidRPr="00611CD1" w:rsidRDefault="00611CD1" w:rsidP="00276EC6">
            <w:pPr>
              <w:spacing w:before="100" w:beforeAutospacing="1"/>
              <w:jc w:val="both"/>
              <w:rPr>
                <w:rFonts w:ascii="Arial" w:hAnsi="Arial" w:cs="Arial"/>
                <w:sz w:val="24"/>
                <w:szCs w:val="24"/>
                <w:highlight w:val="yellow"/>
                <w:lang w:val="en-US"/>
              </w:rPr>
            </w:pPr>
            <w:r w:rsidRPr="00611CD1">
              <w:rPr>
                <w:rFonts w:ascii="Arial" w:hAnsi="Arial" w:cs="Arial"/>
                <w:sz w:val="24"/>
                <w:szCs w:val="24"/>
                <w:highlight w:val="yellow"/>
                <w:shd w:val="clear" w:color="auto" w:fill="FFFFFF"/>
                <w:lang w:val="en-US"/>
              </w:rPr>
              <w:t>100 U/ML SOL INJ CT 1 CARP VD INC X 3 ML + 1 SIST APLIC PLAST (FLEXTOUCH)</w:t>
            </w:r>
          </w:p>
        </w:tc>
        <w:tc>
          <w:tcPr>
            <w:tcW w:w="2335" w:type="dxa"/>
            <w:vMerge/>
            <w:tcBorders>
              <w:top w:val="nil"/>
              <w:left w:val="nil"/>
              <w:bottom w:val="single" w:sz="8" w:space="0" w:color="auto"/>
              <w:right w:val="single" w:sz="8" w:space="0" w:color="auto"/>
            </w:tcBorders>
            <w:vAlign w:val="center"/>
            <w:hideMark/>
          </w:tcPr>
          <w:p w14:paraId="4BDEF073" w14:textId="77777777" w:rsidR="00611CD1" w:rsidRPr="00611CD1" w:rsidRDefault="00611CD1" w:rsidP="00276EC6">
            <w:pPr>
              <w:rPr>
                <w:rFonts w:ascii="Arial" w:hAnsi="Arial" w:cs="Arial"/>
                <w:sz w:val="24"/>
                <w:szCs w:val="24"/>
                <w:lang w:val="en-US"/>
              </w:rPr>
            </w:pPr>
          </w:p>
        </w:tc>
      </w:tr>
      <w:tr w:rsidR="00611CD1" w:rsidRPr="00D9482C" w14:paraId="1D121705" w14:textId="77777777" w:rsidTr="00611CD1">
        <w:tc>
          <w:tcPr>
            <w:tcW w:w="0" w:type="auto"/>
            <w:vMerge/>
            <w:tcBorders>
              <w:top w:val="nil"/>
              <w:left w:val="single" w:sz="8" w:space="0" w:color="auto"/>
              <w:bottom w:val="single" w:sz="8" w:space="0" w:color="auto"/>
              <w:right w:val="single" w:sz="8" w:space="0" w:color="auto"/>
            </w:tcBorders>
            <w:vAlign w:val="center"/>
            <w:hideMark/>
          </w:tcPr>
          <w:p w14:paraId="25988E01" w14:textId="77777777" w:rsidR="00611CD1" w:rsidRPr="00611CD1" w:rsidRDefault="00611CD1" w:rsidP="00276EC6">
            <w:pPr>
              <w:rPr>
                <w:rFonts w:ascii="Arial" w:hAnsi="Arial" w:cs="Arial"/>
                <w:sz w:val="24"/>
                <w:szCs w:val="24"/>
                <w:highlight w:val="yellow"/>
                <w:lang w:val="en-US"/>
              </w:rPr>
            </w:pPr>
          </w:p>
        </w:tc>
        <w:tc>
          <w:tcPr>
            <w:tcW w:w="2217" w:type="dxa"/>
            <w:vMerge/>
            <w:tcBorders>
              <w:top w:val="nil"/>
              <w:left w:val="nil"/>
              <w:bottom w:val="single" w:sz="8" w:space="0" w:color="auto"/>
              <w:right w:val="single" w:sz="8" w:space="0" w:color="auto"/>
            </w:tcBorders>
            <w:vAlign w:val="center"/>
            <w:hideMark/>
          </w:tcPr>
          <w:p w14:paraId="688C7A2D" w14:textId="77777777" w:rsidR="00611CD1" w:rsidRPr="00611CD1" w:rsidRDefault="00611CD1" w:rsidP="00276EC6">
            <w:pPr>
              <w:rPr>
                <w:rFonts w:ascii="Arial" w:hAnsi="Arial" w:cs="Arial"/>
                <w:sz w:val="24"/>
                <w:szCs w:val="24"/>
                <w:highlight w:val="yellow"/>
                <w:lang w:val="en-US"/>
              </w:rPr>
            </w:pPr>
          </w:p>
        </w:tc>
        <w:tc>
          <w:tcPr>
            <w:tcW w:w="1443" w:type="dxa"/>
            <w:vMerge/>
            <w:tcBorders>
              <w:top w:val="nil"/>
              <w:left w:val="nil"/>
              <w:bottom w:val="single" w:sz="8" w:space="0" w:color="auto"/>
              <w:right w:val="single" w:sz="8" w:space="0" w:color="auto"/>
            </w:tcBorders>
            <w:vAlign w:val="center"/>
            <w:hideMark/>
          </w:tcPr>
          <w:p w14:paraId="70380AED" w14:textId="77777777" w:rsidR="00611CD1" w:rsidRPr="00611CD1" w:rsidRDefault="00611CD1" w:rsidP="00276EC6">
            <w:pPr>
              <w:rPr>
                <w:rFonts w:ascii="Arial" w:hAnsi="Arial" w:cs="Arial"/>
                <w:sz w:val="24"/>
                <w:szCs w:val="24"/>
                <w:highlight w:val="yellow"/>
                <w:lang w:val="en-US"/>
              </w:rPr>
            </w:pPr>
          </w:p>
        </w:tc>
        <w:tc>
          <w:tcPr>
            <w:tcW w:w="2569" w:type="dxa"/>
            <w:tcBorders>
              <w:top w:val="nil"/>
              <w:left w:val="nil"/>
              <w:bottom w:val="single" w:sz="8" w:space="0" w:color="auto"/>
              <w:right w:val="single" w:sz="8" w:space="0" w:color="auto"/>
            </w:tcBorders>
            <w:tcMar>
              <w:top w:w="28" w:type="dxa"/>
              <w:left w:w="28" w:type="dxa"/>
              <w:bottom w:w="28" w:type="dxa"/>
              <w:right w:w="28" w:type="dxa"/>
            </w:tcMar>
            <w:hideMark/>
          </w:tcPr>
          <w:p w14:paraId="31082C98" w14:textId="77777777" w:rsidR="00611CD1" w:rsidRPr="00611CD1" w:rsidRDefault="00611CD1" w:rsidP="00276EC6">
            <w:pPr>
              <w:spacing w:before="100" w:beforeAutospacing="1"/>
              <w:jc w:val="both"/>
              <w:rPr>
                <w:rFonts w:ascii="Arial" w:hAnsi="Arial" w:cs="Arial"/>
                <w:sz w:val="24"/>
                <w:szCs w:val="24"/>
                <w:highlight w:val="yellow"/>
                <w:lang w:val="en-US"/>
              </w:rPr>
            </w:pPr>
            <w:r w:rsidRPr="00611CD1">
              <w:rPr>
                <w:rFonts w:ascii="Arial" w:hAnsi="Arial" w:cs="Arial"/>
                <w:sz w:val="24"/>
                <w:szCs w:val="24"/>
                <w:highlight w:val="yellow"/>
                <w:shd w:val="clear" w:color="auto" w:fill="FFFFFF"/>
                <w:lang w:val="en-US"/>
              </w:rPr>
              <w:t>100 U/ML SOL INJ CT 5 CARP VD INC X 3 ML + 5 SIST APLIC PLAST (FLEXTOUCH)</w:t>
            </w:r>
          </w:p>
        </w:tc>
        <w:tc>
          <w:tcPr>
            <w:tcW w:w="2335" w:type="dxa"/>
            <w:vMerge/>
            <w:tcBorders>
              <w:top w:val="nil"/>
              <w:left w:val="nil"/>
              <w:bottom w:val="single" w:sz="8" w:space="0" w:color="auto"/>
              <w:right w:val="single" w:sz="8" w:space="0" w:color="auto"/>
            </w:tcBorders>
            <w:vAlign w:val="center"/>
            <w:hideMark/>
          </w:tcPr>
          <w:p w14:paraId="21A39EDC" w14:textId="77777777" w:rsidR="00611CD1" w:rsidRPr="00611CD1" w:rsidRDefault="00611CD1" w:rsidP="00276EC6">
            <w:pPr>
              <w:rPr>
                <w:rFonts w:ascii="Arial" w:hAnsi="Arial" w:cs="Arial"/>
                <w:sz w:val="24"/>
                <w:szCs w:val="24"/>
                <w:lang w:val="en-US"/>
              </w:rPr>
            </w:pPr>
          </w:p>
        </w:tc>
      </w:tr>
    </w:tbl>
    <w:p w14:paraId="5C4F42DD" w14:textId="069D0651" w:rsidR="00A974D4" w:rsidRDefault="00A974D4" w:rsidP="003E3E76">
      <w:pPr>
        <w:spacing w:line="360" w:lineRule="auto"/>
        <w:ind w:firstLine="851"/>
        <w:jc w:val="both"/>
        <w:rPr>
          <w:rFonts w:ascii="Arial" w:hAnsi="Arial" w:cs="Arial"/>
          <w:sz w:val="24"/>
          <w:szCs w:val="24"/>
          <w:lang w:val="en-US"/>
        </w:rPr>
      </w:pPr>
    </w:p>
    <w:p w14:paraId="510800C8" w14:textId="6D4AF15E" w:rsidR="00573649" w:rsidRDefault="00573649" w:rsidP="003E3E76">
      <w:pPr>
        <w:spacing w:line="360" w:lineRule="auto"/>
        <w:ind w:firstLine="851"/>
        <w:jc w:val="both"/>
        <w:rPr>
          <w:rFonts w:ascii="Arial" w:hAnsi="Arial" w:cs="Arial"/>
          <w:sz w:val="24"/>
          <w:szCs w:val="24"/>
        </w:rPr>
      </w:pPr>
      <w:r w:rsidRPr="00573649">
        <w:rPr>
          <w:rFonts w:ascii="Arial" w:hAnsi="Arial" w:cs="Arial"/>
          <w:sz w:val="24"/>
          <w:szCs w:val="24"/>
        </w:rPr>
        <w:t>Por fim, o Decreto n</w:t>
      </w:r>
      <w:r>
        <w:rPr>
          <w:rFonts w:ascii="Arial" w:hAnsi="Arial" w:cs="Arial"/>
          <w:sz w:val="24"/>
          <w:szCs w:val="24"/>
        </w:rPr>
        <w:t>º 9.477</w:t>
      </w:r>
      <w:r w:rsidRPr="00573649">
        <w:rPr>
          <w:rFonts w:ascii="Arial" w:hAnsi="Arial" w:cs="Arial"/>
          <w:sz w:val="24"/>
          <w:szCs w:val="24"/>
        </w:rPr>
        <w:t xml:space="preserve">, publicado em </w:t>
      </w:r>
      <w:r w:rsidR="00380F42">
        <w:rPr>
          <w:rFonts w:ascii="Arial" w:hAnsi="Arial" w:cs="Arial"/>
          <w:sz w:val="24"/>
          <w:szCs w:val="24"/>
        </w:rPr>
        <w:t>22/07/2019</w:t>
      </w:r>
      <w:r>
        <w:rPr>
          <w:rFonts w:ascii="Arial" w:hAnsi="Arial" w:cs="Arial"/>
          <w:sz w:val="24"/>
          <w:szCs w:val="24"/>
        </w:rPr>
        <w:t xml:space="preserve">, </w:t>
      </w:r>
      <w:r w:rsidR="00FF49C9">
        <w:rPr>
          <w:rFonts w:ascii="Arial" w:hAnsi="Arial" w:cs="Arial"/>
          <w:sz w:val="24"/>
          <w:szCs w:val="24"/>
        </w:rPr>
        <w:t xml:space="preserve">teve efeitos retroativos </w:t>
      </w:r>
      <w:r>
        <w:rPr>
          <w:rFonts w:ascii="Arial" w:hAnsi="Arial" w:cs="Arial"/>
          <w:sz w:val="24"/>
          <w:szCs w:val="24"/>
        </w:rPr>
        <w:t xml:space="preserve">a </w:t>
      </w:r>
      <w:r w:rsidR="00380F42">
        <w:rPr>
          <w:rFonts w:ascii="Arial" w:hAnsi="Arial" w:cs="Arial"/>
          <w:sz w:val="24"/>
          <w:szCs w:val="24"/>
        </w:rPr>
        <w:t xml:space="preserve">1º de </w:t>
      </w:r>
      <w:r>
        <w:rPr>
          <w:rFonts w:ascii="Arial" w:hAnsi="Arial" w:cs="Arial"/>
          <w:sz w:val="24"/>
          <w:szCs w:val="24"/>
        </w:rPr>
        <w:t>abril, quanto às alterações no inciso L do art. 6º</w:t>
      </w:r>
      <w:r w:rsidR="00380F42">
        <w:rPr>
          <w:rFonts w:ascii="Arial" w:hAnsi="Arial" w:cs="Arial"/>
          <w:sz w:val="24"/>
          <w:szCs w:val="24"/>
        </w:rPr>
        <w:t xml:space="preserve">, e a 1º de junho, no tocante às modificações no </w:t>
      </w:r>
      <w:r w:rsidR="00380F42" w:rsidRPr="00380F42">
        <w:rPr>
          <w:rFonts w:ascii="Arial" w:hAnsi="Arial" w:cs="Arial"/>
          <w:sz w:val="24"/>
          <w:szCs w:val="24"/>
        </w:rPr>
        <w:t>Apêndice XVII</w:t>
      </w:r>
      <w:r w:rsidR="00380F42">
        <w:rPr>
          <w:rFonts w:ascii="Arial" w:hAnsi="Arial" w:cs="Arial"/>
          <w:sz w:val="24"/>
          <w:szCs w:val="24"/>
        </w:rPr>
        <w:t>, todos do Anexo IX do RCTE/GO</w:t>
      </w:r>
      <w:r w:rsidR="00A70C2C">
        <w:rPr>
          <w:rFonts w:ascii="Arial" w:hAnsi="Arial" w:cs="Arial"/>
          <w:sz w:val="24"/>
          <w:szCs w:val="24"/>
        </w:rPr>
        <w:t>, por força do art. 2º do aludido decreto</w:t>
      </w:r>
      <w:r w:rsidR="00380F42">
        <w:rPr>
          <w:rFonts w:ascii="Arial" w:hAnsi="Arial" w:cs="Arial"/>
          <w:sz w:val="24"/>
          <w:szCs w:val="24"/>
        </w:rPr>
        <w:t>.</w:t>
      </w:r>
    </w:p>
    <w:p w14:paraId="6F1A99D5" w14:textId="41B74A79" w:rsidR="00A70C2C" w:rsidRPr="00573649" w:rsidRDefault="00A70C2C" w:rsidP="003E3E76">
      <w:pPr>
        <w:spacing w:line="360" w:lineRule="auto"/>
        <w:ind w:firstLine="851"/>
        <w:jc w:val="both"/>
        <w:rPr>
          <w:rFonts w:ascii="Arial" w:hAnsi="Arial" w:cs="Arial"/>
          <w:sz w:val="24"/>
          <w:szCs w:val="24"/>
        </w:rPr>
      </w:pPr>
      <w:r>
        <w:rPr>
          <w:rFonts w:ascii="Arial" w:hAnsi="Arial" w:cs="Arial"/>
          <w:sz w:val="24"/>
          <w:szCs w:val="24"/>
        </w:rPr>
        <w:t xml:space="preserve">Portanto, </w:t>
      </w:r>
      <w:r w:rsidRPr="00573649">
        <w:rPr>
          <w:rFonts w:ascii="Arial" w:hAnsi="Arial" w:cs="Arial"/>
          <w:sz w:val="24"/>
          <w:szCs w:val="24"/>
        </w:rPr>
        <w:t>o Decreto n</w:t>
      </w:r>
      <w:r>
        <w:rPr>
          <w:rFonts w:ascii="Arial" w:hAnsi="Arial" w:cs="Arial"/>
          <w:sz w:val="24"/>
          <w:szCs w:val="24"/>
        </w:rPr>
        <w:t xml:space="preserve">º 9.477 também </w:t>
      </w:r>
      <w:r w:rsidR="006B0B24">
        <w:rPr>
          <w:rFonts w:ascii="Arial" w:hAnsi="Arial" w:cs="Arial"/>
          <w:sz w:val="24"/>
          <w:szCs w:val="24"/>
        </w:rPr>
        <w:t>se encontra</w:t>
      </w:r>
      <w:r>
        <w:rPr>
          <w:rFonts w:ascii="Arial" w:hAnsi="Arial" w:cs="Arial"/>
          <w:sz w:val="24"/>
          <w:szCs w:val="24"/>
        </w:rPr>
        <w:t xml:space="preserve"> eivado de inconstitucionalidade por </w:t>
      </w:r>
      <w:r w:rsidR="001E45C4">
        <w:rPr>
          <w:rFonts w:ascii="Arial" w:hAnsi="Arial" w:cs="Arial"/>
          <w:sz w:val="24"/>
          <w:szCs w:val="24"/>
        </w:rPr>
        <w:t>ter invadido a seara de lei específica</w:t>
      </w:r>
      <w:r>
        <w:rPr>
          <w:rFonts w:ascii="Arial" w:hAnsi="Arial" w:cs="Arial"/>
          <w:sz w:val="24"/>
          <w:szCs w:val="24"/>
        </w:rPr>
        <w:t>.</w:t>
      </w:r>
    </w:p>
    <w:p w14:paraId="3F0064DD" w14:textId="0CCB5AFE" w:rsidR="00A974D4" w:rsidRDefault="00A974D4" w:rsidP="003E3E76">
      <w:pPr>
        <w:spacing w:line="360" w:lineRule="auto"/>
        <w:ind w:firstLine="851"/>
        <w:jc w:val="both"/>
        <w:rPr>
          <w:rFonts w:ascii="Arial" w:hAnsi="Arial" w:cs="Arial"/>
          <w:sz w:val="24"/>
          <w:szCs w:val="24"/>
        </w:rPr>
      </w:pPr>
    </w:p>
    <w:p w14:paraId="0D7390F4" w14:textId="66857D24" w:rsidR="00EE370F" w:rsidRPr="00A86C47" w:rsidRDefault="00EE370F" w:rsidP="00EE370F">
      <w:pPr>
        <w:spacing w:line="360" w:lineRule="auto"/>
        <w:ind w:firstLine="851"/>
        <w:jc w:val="both"/>
        <w:rPr>
          <w:rFonts w:ascii="Arial" w:hAnsi="Arial" w:cs="Arial"/>
          <w:b/>
          <w:sz w:val="24"/>
          <w:szCs w:val="24"/>
        </w:rPr>
      </w:pPr>
      <w:r>
        <w:rPr>
          <w:rFonts w:ascii="Arial" w:hAnsi="Arial" w:cs="Arial"/>
          <w:b/>
          <w:sz w:val="24"/>
          <w:szCs w:val="24"/>
        </w:rPr>
        <w:t>5.2.</w:t>
      </w:r>
      <w:r w:rsidR="00ED38B3">
        <w:rPr>
          <w:rFonts w:ascii="Arial" w:hAnsi="Arial" w:cs="Arial"/>
          <w:b/>
          <w:sz w:val="24"/>
          <w:szCs w:val="24"/>
        </w:rPr>
        <w:t>2</w:t>
      </w:r>
      <w:r>
        <w:rPr>
          <w:rFonts w:ascii="Arial" w:hAnsi="Arial" w:cs="Arial"/>
          <w:b/>
          <w:sz w:val="24"/>
          <w:szCs w:val="24"/>
        </w:rPr>
        <w:t>.8</w:t>
      </w:r>
      <w:r w:rsidRPr="00A86C47">
        <w:rPr>
          <w:rFonts w:ascii="Arial" w:hAnsi="Arial" w:cs="Arial"/>
          <w:b/>
          <w:sz w:val="24"/>
          <w:szCs w:val="24"/>
        </w:rPr>
        <w:t xml:space="preserve"> – </w:t>
      </w:r>
      <w:r>
        <w:rPr>
          <w:rFonts w:ascii="Arial" w:hAnsi="Arial" w:cs="Arial"/>
          <w:b/>
          <w:sz w:val="24"/>
          <w:szCs w:val="24"/>
        </w:rPr>
        <w:t>Decreto nº 9.475 (</w:t>
      </w:r>
      <w:r w:rsidRPr="00A86C47">
        <w:rPr>
          <w:rFonts w:ascii="Arial" w:hAnsi="Arial" w:cs="Arial"/>
          <w:b/>
          <w:sz w:val="24"/>
          <w:szCs w:val="24"/>
        </w:rPr>
        <w:t xml:space="preserve">D.O. </w:t>
      </w:r>
      <w:r w:rsidR="001C3D3A" w:rsidRPr="001C3D3A">
        <w:rPr>
          <w:rFonts w:ascii="Arial" w:hAnsi="Arial" w:cs="Arial"/>
          <w:b/>
          <w:sz w:val="24"/>
          <w:szCs w:val="24"/>
        </w:rPr>
        <w:t>22-07-2019</w:t>
      </w:r>
      <w:r w:rsidRPr="00A86C47">
        <w:rPr>
          <w:rFonts w:ascii="Arial" w:hAnsi="Arial" w:cs="Arial"/>
          <w:b/>
          <w:sz w:val="24"/>
          <w:szCs w:val="24"/>
        </w:rPr>
        <w:t>)</w:t>
      </w:r>
    </w:p>
    <w:p w14:paraId="706E7838" w14:textId="20F9FA3C" w:rsidR="00EE370F" w:rsidRDefault="00EE370F" w:rsidP="003E3E76">
      <w:pPr>
        <w:spacing w:line="360" w:lineRule="auto"/>
        <w:ind w:firstLine="851"/>
        <w:jc w:val="both"/>
        <w:rPr>
          <w:rFonts w:ascii="Arial" w:hAnsi="Arial" w:cs="Arial"/>
          <w:sz w:val="24"/>
          <w:szCs w:val="24"/>
        </w:rPr>
      </w:pPr>
    </w:p>
    <w:p w14:paraId="31018AD7" w14:textId="69B15BFC" w:rsidR="001C3D3A" w:rsidRDefault="001C3D3A" w:rsidP="003E3E76">
      <w:pPr>
        <w:spacing w:line="360" w:lineRule="auto"/>
        <w:ind w:firstLine="851"/>
        <w:jc w:val="both"/>
        <w:rPr>
          <w:rFonts w:ascii="Arial" w:hAnsi="Arial" w:cs="Arial"/>
          <w:sz w:val="24"/>
          <w:szCs w:val="24"/>
        </w:rPr>
      </w:pPr>
      <w:r>
        <w:rPr>
          <w:rFonts w:ascii="Arial" w:hAnsi="Arial" w:cs="Arial"/>
          <w:sz w:val="24"/>
          <w:szCs w:val="24"/>
        </w:rPr>
        <w:t>Aludido decreto prorrogou para 30/04/2020 o prazo de fruição de diversos incentivos fiscais concedidos por decretos anteriores</w:t>
      </w:r>
      <w:r w:rsidR="00645B49">
        <w:rPr>
          <w:rFonts w:ascii="Arial" w:hAnsi="Arial" w:cs="Arial"/>
          <w:sz w:val="24"/>
          <w:szCs w:val="24"/>
        </w:rPr>
        <w:t xml:space="preserve"> (art. 1º)</w:t>
      </w:r>
      <w:r>
        <w:rPr>
          <w:rFonts w:ascii="Arial" w:hAnsi="Arial" w:cs="Arial"/>
          <w:sz w:val="24"/>
          <w:szCs w:val="24"/>
        </w:rPr>
        <w:t>, a saber, isenções, reduções da base de cálculo e créditos outorgados por prazo determinado (arts. 7º, 9º e 12). Ainda, referido decreto, publicado</w:t>
      </w:r>
      <w:r w:rsidR="00645B49">
        <w:rPr>
          <w:rFonts w:ascii="Arial" w:hAnsi="Arial" w:cs="Arial"/>
          <w:sz w:val="24"/>
          <w:szCs w:val="24"/>
        </w:rPr>
        <w:t xml:space="preserve"> somente em julho de 2019, teve efeitos retroativos a 24/04/2019, de modo a evitar a interrupção da fruição do benefício (art. 3º, II).</w:t>
      </w:r>
    </w:p>
    <w:p w14:paraId="5422B587" w14:textId="7610550D" w:rsidR="00E76D8A" w:rsidRDefault="00E76D8A" w:rsidP="003E3E76">
      <w:pPr>
        <w:spacing w:line="360" w:lineRule="auto"/>
        <w:ind w:firstLine="851"/>
        <w:jc w:val="both"/>
        <w:rPr>
          <w:rFonts w:ascii="Arial" w:hAnsi="Arial" w:cs="Arial"/>
          <w:sz w:val="24"/>
          <w:szCs w:val="24"/>
        </w:rPr>
      </w:pPr>
      <w:r>
        <w:rPr>
          <w:rFonts w:ascii="Arial" w:hAnsi="Arial" w:cs="Arial"/>
          <w:sz w:val="24"/>
          <w:szCs w:val="24"/>
        </w:rPr>
        <w:t xml:space="preserve">Portanto, também inconstitucional o </w:t>
      </w:r>
      <w:r w:rsidRPr="00E76D8A">
        <w:rPr>
          <w:rFonts w:ascii="Arial" w:hAnsi="Arial" w:cs="Arial"/>
          <w:sz w:val="24"/>
          <w:szCs w:val="24"/>
        </w:rPr>
        <w:t>Decreto nº 9.475</w:t>
      </w:r>
      <w:r w:rsidR="00FF1D18">
        <w:rPr>
          <w:rFonts w:ascii="Arial" w:hAnsi="Arial" w:cs="Arial"/>
          <w:sz w:val="24"/>
          <w:szCs w:val="24"/>
        </w:rPr>
        <w:t>/2019</w:t>
      </w:r>
      <w:r w:rsidR="000D56A5">
        <w:rPr>
          <w:rFonts w:ascii="Arial" w:hAnsi="Arial" w:cs="Arial"/>
          <w:sz w:val="24"/>
          <w:szCs w:val="24"/>
        </w:rPr>
        <w:t xml:space="preserve"> ao prorrogar a fruição de diversos incentivos fiscais anteriormente concedidos por prazo determinado</w:t>
      </w:r>
      <w:r w:rsidR="00FF1D18">
        <w:rPr>
          <w:rFonts w:ascii="Arial" w:hAnsi="Arial" w:cs="Arial"/>
          <w:sz w:val="24"/>
          <w:szCs w:val="24"/>
        </w:rPr>
        <w:t>.</w:t>
      </w:r>
    </w:p>
    <w:p w14:paraId="414EB7EB" w14:textId="6EB03F22" w:rsidR="00EE370F" w:rsidRDefault="00EE370F" w:rsidP="003E3E76">
      <w:pPr>
        <w:spacing w:line="360" w:lineRule="auto"/>
        <w:ind w:firstLine="851"/>
        <w:jc w:val="both"/>
        <w:rPr>
          <w:rFonts w:ascii="Arial" w:hAnsi="Arial" w:cs="Arial"/>
          <w:sz w:val="24"/>
          <w:szCs w:val="24"/>
        </w:rPr>
      </w:pPr>
    </w:p>
    <w:p w14:paraId="6EBC12EB" w14:textId="498AEE35" w:rsidR="00640A60" w:rsidRPr="00A86C47" w:rsidRDefault="00640A60" w:rsidP="00640A60">
      <w:pPr>
        <w:spacing w:line="360" w:lineRule="auto"/>
        <w:ind w:firstLine="851"/>
        <w:jc w:val="both"/>
        <w:rPr>
          <w:rFonts w:ascii="Arial" w:hAnsi="Arial" w:cs="Arial"/>
          <w:b/>
          <w:sz w:val="24"/>
          <w:szCs w:val="24"/>
        </w:rPr>
      </w:pPr>
      <w:r>
        <w:rPr>
          <w:rFonts w:ascii="Arial" w:hAnsi="Arial" w:cs="Arial"/>
          <w:b/>
          <w:sz w:val="24"/>
          <w:szCs w:val="24"/>
        </w:rPr>
        <w:t>5.2.</w:t>
      </w:r>
      <w:r w:rsidR="00ED38B3">
        <w:rPr>
          <w:rFonts w:ascii="Arial" w:hAnsi="Arial" w:cs="Arial"/>
          <w:b/>
          <w:sz w:val="24"/>
          <w:szCs w:val="24"/>
        </w:rPr>
        <w:t>2</w:t>
      </w:r>
      <w:r>
        <w:rPr>
          <w:rFonts w:ascii="Arial" w:hAnsi="Arial" w:cs="Arial"/>
          <w:b/>
          <w:sz w:val="24"/>
          <w:szCs w:val="24"/>
        </w:rPr>
        <w:t>.9</w:t>
      </w:r>
      <w:r w:rsidRPr="00A86C47">
        <w:rPr>
          <w:rFonts w:ascii="Arial" w:hAnsi="Arial" w:cs="Arial"/>
          <w:b/>
          <w:sz w:val="24"/>
          <w:szCs w:val="24"/>
        </w:rPr>
        <w:t xml:space="preserve"> – </w:t>
      </w:r>
      <w:r>
        <w:rPr>
          <w:rFonts w:ascii="Arial" w:hAnsi="Arial" w:cs="Arial"/>
          <w:b/>
          <w:sz w:val="24"/>
          <w:szCs w:val="24"/>
        </w:rPr>
        <w:t>Decreto nº 9.45</w:t>
      </w:r>
      <w:r w:rsidR="00820040">
        <w:rPr>
          <w:rFonts w:ascii="Arial" w:hAnsi="Arial" w:cs="Arial"/>
          <w:b/>
          <w:sz w:val="24"/>
          <w:szCs w:val="24"/>
        </w:rPr>
        <w:t>0</w:t>
      </w:r>
      <w:r>
        <w:rPr>
          <w:rFonts w:ascii="Arial" w:hAnsi="Arial" w:cs="Arial"/>
          <w:b/>
          <w:sz w:val="24"/>
          <w:szCs w:val="24"/>
        </w:rPr>
        <w:t xml:space="preserve"> (</w:t>
      </w:r>
      <w:r w:rsidRPr="00A86C47">
        <w:rPr>
          <w:rFonts w:ascii="Arial" w:hAnsi="Arial" w:cs="Arial"/>
          <w:b/>
          <w:sz w:val="24"/>
          <w:szCs w:val="24"/>
        </w:rPr>
        <w:t xml:space="preserve">D.O. </w:t>
      </w:r>
      <w:r w:rsidRPr="001C3D3A">
        <w:rPr>
          <w:rFonts w:ascii="Arial" w:hAnsi="Arial" w:cs="Arial"/>
          <w:b/>
          <w:sz w:val="24"/>
          <w:szCs w:val="24"/>
        </w:rPr>
        <w:t>22-07-2019</w:t>
      </w:r>
      <w:r w:rsidRPr="00A86C47">
        <w:rPr>
          <w:rFonts w:ascii="Arial" w:hAnsi="Arial" w:cs="Arial"/>
          <w:b/>
          <w:sz w:val="24"/>
          <w:szCs w:val="24"/>
        </w:rPr>
        <w:t>)</w:t>
      </w:r>
    </w:p>
    <w:p w14:paraId="7A72ED04" w14:textId="0DF36004" w:rsidR="00640A60" w:rsidRDefault="00640A60" w:rsidP="003E3E76">
      <w:pPr>
        <w:spacing w:line="360" w:lineRule="auto"/>
        <w:ind w:firstLine="851"/>
        <w:jc w:val="both"/>
        <w:rPr>
          <w:rFonts w:ascii="Arial" w:hAnsi="Arial" w:cs="Arial"/>
          <w:sz w:val="24"/>
          <w:szCs w:val="24"/>
        </w:rPr>
      </w:pPr>
    </w:p>
    <w:p w14:paraId="4CB732FF" w14:textId="2C958959" w:rsidR="00820040" w:rsidRDefault="00820040" w:rsidP="003E3E76">
      <w:pPr>
        <w:spacing w:line="360" w:lineRule="auto"/>
        <w:ind w:firstLine="851"/>
        <w:jc w:val="both"/>
        <w:rPr>
          <w:rFonts w:ascii="Arial" w:hAnsi="Arial" w:cs="Arial"/>
          <w:sz w:val="24"/>
          <w:szCs w:val="24"/>
        </w:rPr>
      </w:pPr>
      <w:r>
        <w:rPr>
          <w:rFonts w:ascii="Arial" w:hAnsi="Arial" w:cs="Arial"/>
          <w:sz w:val="24"/>
          <w:szCs w:val="24"/>
        </w:rPr>
        <w:t>Referido decreto instituiu nova hipótese de crédito outorgado</w:t>
      </w:r>
      <w:r w:rsidR="00836B6D">
        <w:rPr>
          <w:rFonts w:ascii="Arial" w:hAnsi="Arial" w:cs="Arial"/>
          <w:sz w:val="24"/>
          <w:szCs w:val="24"/>
        </w:rPr>
        <w:t>, destinado a projetos culturais ou artísticos, mediante a inclusão do inciso XVIII ao art. 12 do Anexo IX do RCTE/GO, nos seguintes termos:</w:t>
      </w:r>
    </w:p>
    <w:p w14:paraId="7FC2DBFE" w14:textId="102DD99C" w:rsidR="00836B6D" w:rsidRDefault="00836B6D" w:rsidP="003E3E76">
      <w:pPr>
        <w:spacing w:line="360" w:lineRule="auto"/>
        <w:ind w:firstLine="851"/>
        <w:jc w:val="both"/>
        <w:rPr>
          <w:rFonts w:ascii="Arial" w:hAnsi="Arial" w:cs="Arial"/>
          <w:sz w:val="24"/>
          <w:szCs w:val="24"/>
        </w:rPr>
      </w:pPr>
    </w:p>
    <w:p w14:paraId="139B8FCF" w14:textId="69865EB0" w:rsidR="00836B6D" w:rsidRDefault="00836B6D" w:rsidP="00DC688C">
      <w:pPr>
        <w:ind w:left="2268"/>
        <w:jc w:val="both"/>
        <w:rPr>
          <w:rFonts w:ascii="Arial" w:hAnsi="Arial" w:cs="Arial"/>
          <w:sz w:val="22"/>
          <w:szCs w:val="22"/>
        </w:rPr>
      </w:pPr>
      <w:bookmarkStart w:id="62" w:name="A12XVIII"/>
      <w:r w:rsidRPr="00836B6D">
        <w:rPr>
          <w:rFonts w:ascii="Arial" w:hAnsi="Arial" w:cs="Arial"/>
          <w:sz w:val="22"/>
          <w:szCs w:val="22"/>
        </w:rPr>
        <w:lastRenderedPageBreak/>
        <w:t>Art. 12. Constitui crédito outorgado para efeito de compensação com o ICMS devido, observado o § 4º quanto ao término da - vigência do benefício:</w:t>
      </w:r>
    </w:p>
    <w:p w14:paraId="62EB719C" w14:textId="7ED2D8E4" w:rsidR="00836B6D" w:rsidRDefault="00836B6D" w:rsidP="00DC688C">
      <w:pPr>
        <w:ind w:left="2268"/>
        <w:jc w:val="both"/>
        <w:rPr>
          <w:rFonts w:ascii="Arial" w:hAnsi="Arial" w:cs="Arial"/>
          <w:sz w:val="22"/>
          <w:szCs w:val="22"/>
        </w:rPr>
      </w:pPr>
      <w:r>
        <w:rPr>
          <w:rFonts w:ascii="Arial" w:hAnsi="Arial" w:cs="Arial"/>
          <w:sz w:val="22"/>
          <w:szCs w:val="22"/>
        </w:rPr>
        <w:t>[...].</w:t>
      </w:r>
    </w:p>
    <w:p w14:paraId="19E131FD" w14:textId="1948A982" w:rsidR="00836B6D" w:rsidRPr="009D1DB8" w:rsidRDefault="00836B6D" w:rsidP="00DC688C">
      <w:pPr>
        <w:ind w:left="2268"/>
        <w:jc w:val="both"/>
        <w:rPr>
          <w:rFonts w:ascii="Arial" w:hAnsi="Arial" w:cs="Arial"/>
          <w:b/>
          <w:sz w:val="22"/>
          <w:szCs w:val="22"/>
        </w:rPr>
      </w:pPr>
      <w:r w:rsidRPr="009D1DB8">
        <w:rPr>
          <w:rFonts w:ascii="Arial" w:hAnsi="Arial" w:cs="Arial"/>
          <w:b/>
          <w:sz w:val="22"/>
          <w:szCs w:val="22"/>
        </w:rPr>
        <w:t xml:space="preserve">XVIII - para o contribuinte do ICMS que participar, sob a forma de mecenato, de projeto cultural ou artístico aprovado, nos termos da Instrução Normativa nº 05, de 16 de novembro de 2016, pela então Secretaria de Estado da Educação, Cultura e Esporte, observado o seguinte (Convênio ICMS nº 19/19): </w:t>
      </w:r>
      <w:bookmarkEnd w:id="62"/>
    </w:p>
    <w:p w14:paraId="214D8F33" w14:textId="77777777" w:rsidR="00836B6D" w:rsidRPr="009D1DB8" w:rsidRDefault="00836B6D" w:rsidP="00DC688C">
      <w:pPr>
        <w:ind w:left="2268"/>
        <w:jc w:val="both"/>
        <w:rPr>
          <w:rFonts w:ascii="Arial" w:hAnsi="Arial" w:cs="Arial"/>
          <w:b/>
          <w:sz w:val="22"/>
          <w:szCs w:val="22"/>
        </w:rPr>
      </w:pPr>
      <w:bookmarkStart w:id="63" w:name="A12XVIIIa"/>
      <w:r w:rsidRPr="009D1DB8">
        <w:rPr>
          <w:rFonts w:ascii="Arial" w:hAnsi="Arial" w:cs="Arial"/>
          <w:b/>
          <w:sz w:val="22"/>
          <w:szCs w:val="22"/>
        </w:rPr>
        <w:t xml:space="preserve">a) o projeto deve ser relacionado à preservação do patrimônio cultural, histórico e artístico do Estado de Goiás e à ação, produção e difusão cultural e artística; </w:t>
      </w:r>
      <w:bookmarkEnd w:id="63"/>
    </w:p>
    <w:p w14:paraId="377B6262" w14:textId="77777777" w:rsidR="00836B6D" w:rsidRPr="009D1DB8" w:rsidRDefault="00836B6D" w:rsidP="00DC688C">
      <w:pPr>
        <w:ind w:left="2268"/>
        <w:jc w:val="both"/>
        <w:rPr>
          <w:rFonts w:ascii="Arial" w:hAnsi="Arial" w:cs="Arial"/>
          <w:b/>
          <w:sz w:val="22"/>
          <w:szCs w:val="22"/>
        </w:rPr>
      </w:pPr>
      <w:bookmarkStart w:id="64" w:name="A12XVIIIb"/>
      <w:bookmarkStart w:id="65" w:name="A12XVIIIab"/>
      <w:r w:rsidRPr="009D1DB8">
        <w:rPr>
          <w:rFonts w:ascii="Arial" w:hAnsi="Arial" w:cs="Arial"/>
          <w:b/>
          <w:sz w:val="22"/>
          <w:szCs w:val="22"/>
        </w:rPr>
        <w:t xml:space="preserve">b) o recurso deve ser destinado à complementação da captação parcial dos recursos previstos nos projetos de que trata o </w:t>
      </w:r>
      <w:r w:rsidRPr="009D1DB8">
        <w:rPr>
          <w:rFonts w:ascii="Arial" w:hAnsi="Arial" w:cs="Arial"/>
          <w:b/>
          <w:i/>
          <w:sz w:val="22"/>
          <w:szCs w:val="22"/>
        </w:rPr>
        <w:t>caput</w:t>
      </w:r>
      <w:r w:rsidRPr="009D1DB8">
        <w:rPr>
          <w:rFonts w:ascii="Arial" w:hAnsi="Arial" w:cs="Arial"/>
          <w:b/>
          <w:sz w:val="22"/>
          <w:szCs w:val="22"/>
        </w:rPr>
        <w:t xml:space="preserve"> deste inciso; </w:t>
      </w:r>
      <w:bookmarkEnd w:id="64"/>
      <w:bookmarkEnd w:id="65"/>
    </w:p>
    <w:p w14:paraId="137A0EB0" w14:textId="77777777" w:rsidR="00836B6D" w:rsidRPr="009D1DB8" w:rsidRDefault="00836B6D" w:rsidP="00DC688C">
      <w:pPr>
        <w:ind w:left="2268"/>
        <w:jc w:val="both"/>
        <w:rPr>
          <w:rFonts w:ascii="Arial" w:hAnsi="Arial" w:cs="Arial"/>
          <w:b/>
          <w:sz w:val="22"/>
          <w:szCs w:val="22"/>
        </w:rPr>
      </w:pPr>
      <w:bookmarkStart w:id="66" w:name="A12XVIIIc"/>
      <w:r w:rsidRPr="009D1DB8">
        <w:rPr>
          <w:rFonts w:ascii="Arial" w:hAnsi="Arial" w:cs="Arial"/>
          <w:b/>
          <w:sz w:val="22"/>
          <w:szCs w:val="22"/>
        </w:rPr>
        <w:t xml:space="preserve">c) a fruição do benefício, solicitado por meio de requerimento do interessado, pode ocorrer a partir da data do parecer referido no item 1 da alínea “d” deste inciso, sob condição resolutória da autorização, mediante despacho do Secretário da Economia; </w:t>
      </w:r>
      <w:bookmarkEnd w:id="66"/>
    </w:p>
    <w:p w14:paraId="4C923B8C" w14:textId="77777777" w:rsidR="00836B6D" w:rsidRPr="009D1DB8" w:rsidRDefault="00836B6D" w:rsidP="00DC688C">
      <w:pPr>
        <w:ind w:left="2268"/>
        <w:jc w:val="both"/>
        <w:rPr>
          <w:rFonts w:ascii="Arial" w:hAnsi="Arial" w:cs="Arial"/>
          <w:b/>
          <w:sz w:val="22"/>
          <w:szCs w:val="22"/>
        </w:rPr>
      </w:pPr>
      <w:bookmarkStart w:id="67" w:name="A12XVIIId"/>
      <w:r w:rsidRPr="009D1DB8">
        <w:rPr>
          <w:rFonts w:ascii="Arial" w:hAnsi="Arial" w:cs="Arial"/>
          <w:b/>
          <w:sz w:val="22"/>
          <w:szCs w:val="22"/>
        </w:rPr>
        <w:t xml:space="preserve">d) o valor do crédito outorgado deve: </w:t>
      </w:r>
      <w:bookmarkEnd w:id="67"/>
    </w:p>
    <w:p w14:paraId="210339E3" w14:textId="77777777" w:rsidR="00836B6D" w:rsidRPr="009D1DB8" w:rsidRDefault="00836B6D" w:rsidP="00DC688C">
      <w:pPr>
        <w:ind w:left="2268"/>
        <w:jc w:val="both"/>
        <w:rPr>
          <w:rFonts w:ascii="Arial" w:hAnsi="Arial" w:cs="Arial"/>
          <w:b/>
          <w:sz w:val="22"/>
          <w:szCs w:val="22"/>
        </w:rPr>
      </w:pPr>
      <w:bookmarkStart w:id="68" w:name="A12XVIIId1"/>
      <w:r w:rsidRPr="009D1DB8">
        <w:rPr>
          <w:rFonts w:ascii="Arial" w:hAnsi="Arial" w:cs="Arial"/>
          <w:b/>
          <w:sz w:val="22"/>
          <w:szCs w:val="22"/>
        </w:rPr>
        <w:t xml:space="preserve">1. ser fixado em parecer da Superintendência de Controle e Fiscalização, considerando: </w:t>
      </w:r>
      <w:bookmarkEnd w:id="68"/>
    </w:p>
    <w:p w14:paraId="13D06CA5" w14:textId="77777777" w:rsidR="00836B6D" w:rsidRPr="009D1DB8" w:rsidRDefault="00836B6D" w:rsidP="00DC688C">
      <w:pPr>
        <w:ind w:left="2268"/>
        <w:jc w:val="both"/>
        <w:rPr>
          <w:rFonts w:ascii="Arial" w:hAnsi="Arial" w:cs="Arial"/>
          <w:b/>
          <w:sz w:val="22"/>
          <w:szCs w:val="22"/>
        </w:rPr>
      </w:pPr>
      <w:bookmarkStart w:id="69" w:name="A12XVIIId1_1"/>
      <w:r w:rsidRPr="009D1DB8">
        <w:rPr>
          <w:rFonts w:ascii="Arial" w:hAnsi="Arial" w:cs="Arial"/>
          <w:b/>
          <w:sz w:val="22"/>
          <w:szCs w:val="22"/>
        </w:rPr>
        <w:t xml:space="preserve">1.1. o limite, para o exercício de 2019, de R$1.540.000,00 (um milhão, quinhentos e quarenta mil reais), para o conjunto das empresas que patrocinarem projeto cultural ou artístico; </w:t>
      </w:r>
      <w:bookmarkEnd w:id="69"/>
    </w:p>
    <w:p w14:paraId="3DE4ABBE" w14:textId="77777777" w:rsidR="00836B6D" w:rsidRPr="009D1DB8" w:rsidRDefault="00836B6D" w:rsidP="00DC688C">
      <w:pPr>
        <w:ind w:left="2268"/>
        <w:jc w:val="both"/>
        <w:rPr>
          <w:rFonts w:ascii="Arial" w:hAnsi="Arial" w:cs="Arial"/>
          <w:b/>
          <w:sz w:val="22"/>
          <w:szCs w:val="22"/>
        </w:rPr>
      </w:pPr>
      <w:bookmarkStart w:id="70" w:name="A12XVIIId1_2"/>
      <w:r w:rsidRPr="009D1DB8">
        <w:rPr>
          <w:rFonts w:ascii="Arial" w:hAnsi="Arial" w:cs="Arial"/>
          <w:b/>
          <w:sz w:val="22"/>
          <w:szCs w:val="22"/>
        </w:rPr>
        <w:t xml:space="preserve">1.2. o limite individual correspondente ao valor total do recurso monetário comprovadamente aplicado pelo contribuinte no projeto; </w:t>
      </w:r>
      <w:bookmarkEnd w:id="70"/>
    </w:p>
    <w:p w14:paraId="089D5B8A" w14:textId="77777777" w:rsidR="00836B6D" w:rsidRPr="009D1DB8" w:rsidRDefault="00836B6D" w:rsidP="00DC688C">
      <w:pPr>
        <w:ind w:left="2268"/>
        <w:jc w:val="both"/>
        <w:rPr>
          <w:rFonts w:ascii="Arial" w:hAnsi="Arial" w:cs="Arial"/>
          <w:b/>
          <w:sz w:val="22"/>
          <w:szCs w:val="22"/>
        </w:rPr>
      </w:pPr>
      <w:bookmarkStart w:id="71" w:name="A12XVIIId2"/>
      <w:r w:rsidRPr="009D1DB8">
        <w:rPr>
          <w:rFonts w:ascii="Arial" w:hAnsi="Arial" w:cs="Arial"/>
          <w:b/>
          <w:sz w:val="22"/>
          <w:szCs w:val="22"/>
        </w:rPr>
        <w:t xml:space="preserve">2. ser acrescido ao valor do ICMS pago pelo contribuinte, para fins de aferição de cumprimento de meta de arrecadação, tratando-se de contribuinte signatário de termo de acordo de regime especial que condicione a fruição de benefício fiscal ao cumprimento de meta de arrecadação de ICMS; </w:t>
      </w:r>
      <w:bookmarkEnd w:id="71"/>
    </w:p>
    <w:p w14:paraId="17CD6380" w14:textId="77777777" w:rsidR="00836B6D" w:rsidRPr="009D1DB8" w:rsidRDefault="00836B6D" w:rsidP="00DC688C">
      <w:pPr>
        <w:ind w:left="2268"/>
        <w:jc w:val="both"/>
        <w:rPr>
          <w:rFonts w:ascii="Arial" w:hAnsi="Arial" w:cs="Arial"/>
          <w:b/>
          <w:sz w:val="22"/>
          <w:szCs w:val="22"/>
        </w:rPr>
      </w:pPr>
      <w:bookmarkStart w:id="72" w:name="A12XVIIIe"/>
      <w:r w:rsidRPr="009D1DB8">
        <w:rPr>
          <w:rFonts w:ascii="Arial" w:hAnsi="Arial" w:cs="Arial"/>
          <w:b/>
          <w:sz w:val="22"/>
          <w:szCs w:val="22"/>
        </w:rPr>
        <w:t xml:space="preserve">e) a Secretaria da Economia, isoladamente ou em conjunto com a Secretaria de Cultura, deve fazer o controle do recurso disponível para concessão do benefício, relativamente ao limite de que trata o item 1 da alínea “d” deste inciso; </w:t>
      </w:r>
      <w:bookmarkEnd w:id="72"/>
    </w:p>
    <w:p w14:paraId="3D6ED8FA" w14:textId="77777777" w:rsidR="00836B6D" w:rsidRPr="009D1DB8" w:rsidRDefault="00836B6D" w:rsidP="00DC688C">
      <w:pPr>
        <w:ind w:left="2268"/>
        <w:jc w:val="both"/>
        <w:rPr>
          <w:rFonts w:ascii="Arial" w:hAnsi="Arial" w:cs="Arial"/>
          <w:b/>
          <w:sz w:val="22"/>
          <w:szCs w:val="22"/>
        </w:rPr>
      </w:pPr>
      <w:bookmarkStart w:id="73" w:name="A12XVIIIf"/>
      <w:r w:rsidRPr="009D1DB8">
        <w:rPr>
          <w:rFonts w:ascii="Arial" w:hAnsi="Arial" w:cs="Arial"/>
          <w:b/>
          <w:sz w:val="22"/>
          <w:szCs w:val="22"/>
        </w:rPr>
        <w:t xml:space="preserve">f) o crédito outorgado deve ser registrado na Escrituração Fiscal Digital (EFD), com menções ao parecer da Superintendência de Controle e Fiscalização e ao registro do projeto no Programa GOYAZES, no registro: </w:t>
      </w:r>
      <w:bookmarkEnd w:id="73"/>
    </w:p>
    <w:p w14:paraId="6086C07E" w14:textId="77777777" w:rsidR="00836B6D" w:rsidRPr="009D1DB8" w:rsidRDefault="00836B6D" w:rsidP="00DC688C">
      <w:pPr>
        <w:ind w:left="2268"/>
        <w:jc w:val="both"/>
        <w:rPr>
          <w:rFonts w:ascii="Arial" w:hAnsi="Arial" w:cs="Arial"/>
          <w:b/>
          <w:sz w:val="22"/>
          <w:szCs w:val="22"/>
        </w:rPr>
      </w:pPr>
      <w:bookmarkStart w:id="74" w:name="A12XVIIIf1"/>
      <w:r w:rsidRPr="009D1DB8">
        <w:rPr>
          <w:rFonts w:ascii="Arial" w:hAnsi="Arial" w:cs="Arial"/>
          <w:b/>
          <w:sz w:val="22"/>
          <w:szCs w:val="22"/>
        </w:rPr>
        <w:t xml:space="preserve">1. “1200”, na hipótese de contribuinte beneficiário de programa de incentivo financeiro concedido pelo Estado de Goiás, que pode utilizá-lo para subtração do valor a pagar relativo ao ICMS, excluída a parte incentivada pelo Fomentar ou Produzir; </w:t>
      </w:r>
      <w:bookmarkEnd w:id="74"/>
    </w:p>
    <w:p w14:paraId="2C937B2A" w14:textId="77777777" w:rsidR="00836B6D" w:rsidRPr="009D1DB8" w:rsidRDefault="00836B6D" w:rsidP="00DC688C">
      <w:pPr>
        <w:ind w:left="2268"/>
        <w:jc w:val="both"/>
        <w:rPr>
          <w:rFonts w:ascii="Arial" w:hAnsi="Arial" w:cs="Arial"/>
          <w:b/>
          <w:sz w:val="22"/>
          <w:szCs w:val="22"/>
        </w:rPr>
      </w:pPr>
      <w:bookmarkStart w:id="75" w:name="A12XVIIIf2"/>
      <w:r w:rsidRPr="009D1DB8">
        <w:rPr>
          <w:rFonts w:ascii="Arial" w:hAnsi="Arial" w:cs="Arial"/>
          <w:b/>
          <w:sz w:val="22"/>
          <w:szCs w:val="22"/>
        </w:rPr>
        <w:t xml:space="preserve">2. “E111”, nas demais hipóteses; </w:t>
      </w:r>
      <w:bookmarkEnd w:id="75"/>
    </w:p>
    <w:p w14:paraId="30E8C87C" w14:textId="77777777" w:rsidR="00836B6D" w:rsidRPr="009D1DB8" w:rsidRDefault="00836B6D" w:rsidP="00DC688C">
      <w:pPr>
        <w:ind w:left="2268"/>
        <w:jc w:val="both"/>
        <w:rPr>
          <w:rFonts w:ascii="Arial" w:hAnsi="Arial" w:cs="Arial"/>
          <w:b/>
          <w:sz w:val="22"/>
          <w:szCs w:val="22"/>
        </w:rPr>
      </w:pPr>
      <w:bookmarkStart w:id="76" w:name="A12XVIIIg"/>
      <w:r w:rsidRPr="009D1DB8">
        <w:rPr>
          <w:rFonts w:ascii="Arial" w:hAnsi="Arial" w:cs="Arial"/>
          <w:b/>
          <w:sz w:val="22"/>
          <w:szCs w:val="22"/>
        </w:rPr>
        <w:t xml:space="preserve">g) ato do Secretário da Economia pode estabelecer ao contribuinte outras obrigações tributárias acessórias ou regras de controle para a fruição do benefício; </w:t>
      </w:r>
      <w:bookmarkEnd w:id="76"/>
    </w:p>
    <w:p w14:paraId="6D6008CC" w14:textId="77777777" w:rsidR="00836B6D" w:rsidRPr="00820040" w:rsidRDefault="00836B6D" w:rsidP="00DC688C">
      <w:pPr>
        <w:ind w:left="2268"/>
        <w:jc w:val="both"/>
        <w:rPr>
          <w:rFonts w:ascii="Arial" w:hAnsi="Arial" w:cs="Arial"/>
          <w:sz w:val="22"/>
          <w:szCs w:val="22"/>
        </w:rPr>
      </w:pPr>
      <w:bookmarkStart w:id="77" w:name="A12XVIIIh"/>
      <w:r w:rsidRPr="009D1DB8">
        <w:rPr>
          <w:rFonts w:ascii="Arial" w:hAnsi="Arial" w:cs="Arial"/>
          <w:b/>
          <w:sz w:val="22"/>
          <w:szCs w:val="22"/>
        </w:rPr>
        <w:t>h) previamente ao depósito do recurso na conta bancária específica vinculada ao projeto, o contribuinte, para fazer jus ao crédito outorgado, deve obter da Secretaria da Economia a manifestação favorável sobre a viabilidade financeira da concessão do benefício;</w:t>
      </w:r>
      <w:bookmarkEnd w:id="77"/>
    </w:p>
    <w:p w14:paraId="4A01E7B9" w14:textId="03698C5D" w:rsidR="00836B6D" w:rsidRDefault="00836B6D" w:rsidP="003E3E76">
      <w:pPr>
        <w:spacing w:line="360" w:lineRule="auto"/>
        <w:ind w:firstLine="851"/>
        <w:jc w:val="both"/>
        <w:rPr>
          <w:rFonts w:ascii="Arial" w:hAnsi="Arial" w:cs="Arial"/>
          <w:sz w:val="24"/>
          <w:szCs w:val="24"/>
        </w:rPr>
      </w:pPr>
    </w:p>
    <w:p w14:paraId="42A6F6B2" w14:textId="0D1556EE" w:rsidR="00D5018D" w:rsidRDefault="0088700D" w:rsidP="0088700D">
      <w:pPr>
        <w:spacing w:line="360" w:lineRule="auto"/>
        <w:ind w:firstLine="851"/>
        <w:jc w:val="both"/>
        <w:rPr>
          <w:rFonts w:ascii="Arial" w:hAnsi="Arial" w:cs="Arial"/>
          <w:sz w:val="24"/>
          <w:szCs w:val="24"/>
        </w:rPr>
      </w:pPr>
      <w:r w:rsidRPr="0088700D">
        <w:rPr>
          <w:rFonts w:ascii="Arial" w:hAnsi="Arial" w:cs="Arial"/>
          <w:sz w:val="24"/>
          <w:szCs w:val="24"/>
        </w:rPr>
        <w:lastRenderedPageBreak/>
        <w:t xml:space="preserve">O prazo estabelecido para fruição desse benefício </w:t>
      </w:r>
      <w:r w:rsidR="00E01C17">
        <w:rPr>
          <w:rFonts w:ascii="Arial" w:hAnsi="Arial" w:cs="Arial"/>
          <w:sz w:val="24"/>
          <w:szCs w:val="24"/>
        </w:rPr>
        <w:t>se encerrou em</w:t>
      </w:r>
      <w:r w:rsidRPr="0088700D">
        <w:rPr>
          <w:rFonts w:ascii="Arial" w:hAnsi="Arial" w:cs="Arial"/>
          <w:sz w:val="24"/>
          <w:szCs w:val="24"/>
        </w:rPr>
        <w:t xml:space="preserve"> </w:t>
      </w:r>
      <w:r w:rsidR="00D5018D" w:rsidRPr="0088700D">
        <w:rPr>
          <w:rFonts w:ascii="Arial" w:hAnsi="Arial" w:cs="Arial"/>
          <w:sz w:val="24"/>
          <w:szCs w:val="24"/>
        </w:rPr>
        <w:t>30</w:t>
      </w:r>
      <w:r w:rsidRPr="0088700D">
        <w:rPr>
          <w:rFonts w:ascii="Arial" w:hAnsi="Arial" w:cs="Arial"/>
          <w:sz w:val="24"/>
          <w:szCs w:val="24"/>
        </w:rPr>
        <w:t>/</w:t>
      </w:r>
      <w:r w:rsidR="00D5018D" w:rsidRPr="0088700D">
        <w:rPr>
          <w:rFonts w:ascii="Arial" w:hAnsi="Arial" w:cs="Arial"/>
          <w:sz w:val="24"/>
          <w:szCs w:val="24"/>
        </w:rPr>
        <w:t>09</w:t>
      </w:r>
      <w:r w:rsidRPr="0088700D">
        <w:rPr>
          <w:rFonts w:ascii="Arial" w:hAnsi="Arial" w:cs="Arial"/>
          <w:sz w:val="24"/>
          <w:szCs w:val="24"/>
        </w:rPr>
        <w:t>/20</w:t>
      </w:r>
      <w:r w:rsidR="00D5018D" w:rsidRPr="0088700D">
        <w:rPr>
          <w:rFonts w:ascii="Arial" w:hAnsi="Arial" w:cs="Arial"/>
          <w:sz w:val="24"/>
          <w:szCs w:val="24"/>
        </w:rPr>
        <w:t>19</w:t>
      </w:r>
      <w:r w:rsidRPr="0088700D">
        <w:rPr>
          <w:rFonts w:ascii="Arial" w:hAnsi="Arial" w:cs="Arial"/>
          <w:sz w:val="24"/>
          <w:szCs w:val="24"/>
        </w:rPr>
        <w:t>, nos termos da alteração também promovida pelo decreto no § 4º do mesmo artigo.</w:t>
      </w:r>
      <w:r w:rsidR="00996426">
        <w:rPr>
          <w:rFonts w:ascii="Arial" w:hAnsi="Arial" w:cs="Arial"/>
          <w:sz w:val="24"/>
          <w:szCs w:val="24"/>
        </w:rPr>
        <w:t xml:space="preserve"> Trata-se</w:t>
      </w:r>
      <w:r w:rsidR="000123A6">
        <w:rPr>
          <w:rFonts w:ascii="Arial" w:hAnsi="Arial" w:cs="Arial"/>
          <w:sz w:val="24"/>
          <w:szCs w:val="24"/>
        </w:rPr>
        <w:t>, portanto, de incentivos fiscais</w:t>
      </w:r>
      <w:r w:rsidR="00996426">
        <w:rPr>
          <w:rFonts w:ascii="Arial" w:hAnsi="Arial" w:cs="Arial"/>
          <w:sz w:val="24"/>
          <w:szCs w:val="24"/>
        </w:rPr>
        <w:t xml:space="preserve"> com vigência já exaurida, o que nem por isso retira sua pecha de inconstitucionalidade que a inquinara desde o início.</w:t>
      </w:r>
    </w:p>
    <w:p w14:paraId="17DA59DC" w14:textId="244BA4B2" w:rsidR="00BC0807" w:rsidRPr="0088700D" w:rsidRDefault="00BC0807" w:rsidP="0088700D">
      <w:pPr>
        <w:spacing w:line="360" w:lineRule="auto"/>
        <w:ind w:firstLine="851"/>
        <w:jc w:val="both"/>
        <w:rPr>
          <w:rFonts w:ascii="Arial" w:hAnsi="Arial" w:cs="Arial"/>
          <w:sz w:val="24"/>
          <w:szCs w:val="24"/>
        </w:rPr>
      </w:pPr>
      <w:r>
        <w:rPr>
          <w:rFonts w:ascii="Arial" w:hAnsi="Arial" w:cs="Arial"/>
          <w:sz w:val="24"/>
          <w:szCs w:val="24"/>
        </w:rPr>
        <w:t>Portanto, inconstitu</w:t>
      </w:r>
      <w:r w:rsidRPr="00BC0807">
        <w:rPr>
          <w:rFonts w:ascii="Arial" w:hAnsi="Arial" w:cs="Arial"/>
          <w:sz w:val="24"/>
          <w:szCs w:val="24"/>
        </w:rPr>
        <w:t>cional o Decreto nº 9.450/2019</w:t>
      </w:r>
      <w:r w:rsidR="00E61766">
        <w:rPr>
          <w:rFonts w:ascii="Arial" w:hAnsi="Arial" w:cs="Arial"/>
          <w:sz w:val="24"/>
          <w:szCs w:val="24"/>
        </w:rPr>
        <w:t xml:space="preserve"> ao instituir nova hipótese de crédito outorgado ao</w:t>
      </w:r>
      <w:r w:rsidR="00E61766" w:rsidRPr="00E61766">
        <w:rPr>
          <w:rFonts w:ascii="Arial" w:hAnsi="Arial" w:cs="Arial"/>
          <w:sz w:val="24"/>
          <w:szCs w:val="24"/>
        </w:rPr>
        <w:t xml:space="preserve"> contribuinte do ICMS que participar, sob a forma de mecenato, de projeto cultural ou artístico </w:t>
      </w:r>
      <w:r w:rsidR="00E61766">
        <w:rPr>
          <w:rFonts w:ascii="Arial" w:hAnsi="Arial" w:cs="Arial"/>
          <w:sz w:val="24"/>
          <w:szCs w:val="24"/>
        </w:rPr>
        <w:t>nos termos especificados</w:t>
      </w:r>
      <w:r w:rsidRPr="00BC0807">
        <w:rPr>
          <w:rFonts w:ascii="Arial" w:hAnsi="Arial" w:cs="Arial"/>
          <w:sz w:val="24"/>
          <w:szCs w:val="24"/>
        </w:rPr>
        <w:t>.</w:t>
      </w:r>
    </w:p>
    <w:p w14:paraId="65D46B0E" w14:textId="77777777" w:rsidR="00836B6D" w:rsidRDefault="00836B6D" w:rsidP="003E3E76">
      <w:pPr>
        <w:spacing w:line="360" w:lineRule="auto"/>
        <w:ind w:firstLine="851"/>
        <w:jc w:val="both"/>
        <w:rPr>
          <w:rFonts w:ascii="Arial" w:hAnsi="Arial" w:cs="Arial"/>
          <w:sz w:val="24"/>
          <w:szCs w:val="24"/>
        </w:rPr>
      </w:pPr>
    </w:p>
    <w:p w14:paraId="225BF4BE" w14:textId="46A38183" w:rsidR="00EF4B96" w:rsidRPr="00A86C47" w:rsidRDefault="006E4FBC" w:rsidP="00EF4B96">
      <w:pPr>
        <w:spacing w:line="360" w:lineRule="auto"/>
        <w:ind w:firstLine="851"/>
        <w:jc w:val="both"/>
        <w:rPr>
          <w:rFonts w:ascii="Arial" w:hAnsi="Arial" w:cs="Arial"/>
          <w:b/>
          <w:sz w:val="24"/>
          <w:szCs w:val="24"/>
        </w:rPr>
      </w:pPr>
      <w:r>
        <w:rPr>
          <w:rFonts w:ascii="Arial" w:hAnsi="Arial" w:cs="Arial"/>
          <w:b/>
          <w:sz w:val="24"/>
          <w:szCs w:val="24"/>
        </w:rPr>
        <w:t>5.2.</w:t>
      </w:r>
      <w:r w:rsidR="00ED38B3">
        <w:rPr>
          <w:rFonts w:ascii="Arial" w:hAnsi="Arial" w:cs="Arial"/>
          <w:b/>
          <w:sz w:val="24"/>
          <w:szCs w:val="24"/>
        </w:rPr>
        <w:t>2</w:t>
      </w:r>
      <w:r w:rsidR="009F5408">
        <w:rPr>
          <w:rFonts w:ascii="Arial" w:hAnsi="Arial" w:cs="Arial"/>
          <w:b/>
          <w:sz w:val="24"/>
          <w:szCs w:val="24"/>
        </w:rPr>
        <w:t>.10</w:t>
      </w:r>
      <w:r w:rsidR="007B07F0" w:rsidRPr="00A86C47">
        <w:rPr>
          <w:rFonts w:ascii="Arial" w:hAnsi="Arial" w:cs="Arial"/>
          <w:b/>
          <w:sz w:val="24"/>
          <w:szCs w:val="24"/>
        </w:rPr>
        <w:t xml:space="preserve"> – </w:t>
      </w:r>
      <w:r w:rsidR="00EF4B96">
        <w:rPr>
          <w:rFonts w:ascii="Arial" w:hAnsi="Arial" w:cs="Arial"/>
          <w:b/>
          <w:sz w:val="24"/>
          <w:szCs w:val="24"/>
        </w:rPr>
        <w:t>Decreto</w:t>
      </w:r>
      <w:r w:rsidR="00073BE4">
        <w:rPr>
          <w:rFonts w:ascii="Arial" w:hAnsi="Arial" w:cs="Arial"/>
          <w:b/>
          <w:sz w:val="24"/>
          <w:szCs w:val="24"/>
        </w:rPr>
        <w:t>s</w:t>
      </w:r>
      <w:r w:rsidR="00EF4B96">
        <w:rPr>
          <w:rFonts w:ascii="Arial" w:hAnsi="Arial" w:cs="Arial"/>
          <w:b/>
          <w:sz w:val="24"/>
          <w:szCs w:val="24"/>
        </w:rPr>
        <w:t xml:space="preserve"> n</w:t>
      </w:r>
      <w:r w:rsidR="00B02414" w:rsidRPr="00B02414">
        <w:rPr>
          <w:rFonts w:ascii="Arial" w:hAnsi="Arial" w:cs="Arial"/>
          <w:b/>
          <w:sz w:val="24"/>
          <w:szCs w:val="24"/>
          <w:vertAlign w:val="superscript"/>
        </w:rPr>
        <w:t>o</w:t>
      </w:r>
      <w:r w:rsidR="00073BE4" w:rsidRPr="00B02414">
        <w:rPr>
          <w:rFonts w:ascii="Arial" w:hAnsi="Arial" w:cs="Arial"/>
          <w:b/>
          <w:sz w:val="24"/>
          <w:szCs w:val="24"/>
          <w:vertAlign w:val="superscript"/>
        </w:rPr>
        <w:t>s</w:t>
      </w:r>
      <w:r w:rsidR="00EF4B96">
        <w:rPr>
          <w:rFonts w:ascii="Arial" w:hAnsi="Arial" w:cs="Arial"/>
          <w:b/>
          <w:sz w:val="24"/>
          <w:szCs w:val="24"/>
        </w:rPr>
        <w:t xml:space="preserve"> 9.439 (</w:t>
      </w:r>
      <w:r w:rsidR="00EF4B96" w:rsidRPr="00A86C47">
        <w:rPr>
          <w:rFonts w:ascii="Arial" w:hAnsi="Arial" w:cs="Arial"/>
          <w:b/>
          <w:sz w:val="24"/>
          <w:szCs w:val="24"/>
        </w:rPr>
        <w:t xml:space="preserve">D.O. </w:t>
      </w:r>
      <w:r w:rsidR="00EF4B96">
        <w:rPr>
          <w:rFonts w:ascii="Arial" w:hAnsi="Arial" w:cs="Arial"/>
          <w:b/>
          <w:sz w:val="24"/>
          <w:szCs w:val="24"/>
        </w:rPr>
        <w:t>03</w:t>
      </w:r>
      <w:r w:rsidR="00EF4B96" w:rsidRPr="00A86C47">
        <w:rPr>
          <w:rFonts w:ascii="Arial" w:hAnsi="Arial" w:cs="Arial"/>
          <w:b/>
          <w:sz w:val="24"/>
          <w:szCs w:val="24"/>
        </w:rPr>
        <w:t>-</w:t>
      </w:r>
      <w:r w:rsidR="00EF4B96">
        <w:rPr>
          <w:rFonts w:ascii="Arial" w:hAnsi="Arial" w:cs="Arial"/>
          <w:b/>
          <w:sz w:val="24"/>
          <w:szCs w:val="24"/>
        </w:rPr>
        <w:t>05</w:t>
      </w:r>
      <w:r w:rsidR="00EF4B96" w:rsidRPr="00A86C47">
        <w:rPr>
          <w:rFonts w:ascii="Arial" w:hAnsi="Arial" w:cs="Arial"/>
          <w:b/>
          <w:sz w:val="24"/>
          <w:szCs w:val="24"/>
        </w:rPr>
        <w:t>-2019)</w:t>
      </w:r>
      <w:r w:rsidR="00B56E7F" w:rsidRPr="00B56E7F">
        <w:rPr>
          <w:rFonts w:ascii="Arial" w:hAnsi="Arial" w:cs="Arial"/>
          <w:sz w:val="24"/>
          <w:szCs w:val="24"/>
        </w:rPr>
        <w:t xml:space="preserve"> </w:t>
      </w:r>
      <w:r w:rsidR="00073BE4">
        <w:rPr>
          <w:rFonts w:ascii="Arial" w:hAnsi="Arial" w:cs="Arial"/>
          <w:b/>
          <w:sz w:val="24"/>
          <w:szCs w:val="24"/>
        </w:rPr>
        <w:t>e correlatos</w:t>
      </w:r>
    </w:p>
    <w:p w14:paraId="2DF0D175" w14:textId="7D6AB977" w:rsidR="00EF4B96" w:rsidRDefault="00EF4B96" w:rsidP="00713208">
      <w:pPr>
        <w:spacing w:line="360" w:lineRule="auto"/>
        <w:ind w:firstLine="851"/>
        <w:jc w:val="both"/>
        <w:rPr>
          <w:rFonts w:ascii="Arial" w:hAnsi="Arial" w:cs="Arial"/>
          <w:sz w:val="24"/>
          <w:szCs w:val="24"/>
        </w:rPr>
      </w:pPr>
    </w:p>
    <w:p w14:paraId="15FB7E09" w14:textId="1FDF0FDD" w:rsidR="00EC08A2" w:rsidRPr="00725E94" w:rsidRDefault="00EC08A2" w:rsidP="00EC08A2">
      <w:pPr>
        <w:spacing w:line="360" w:lineRule="auto"/>
        <w:ind w:firstLine="851"/>
        <w:jc w:val="both"/>
        <w:rPr>
          <w:rFonts w:ascii="Arial" w:hAnsi="Arial" w:cs="Arial"/>
          <w:sz w:val="24"/>
          <w:szCs w:val="24"/>
          <w:u w:val="single"/>
        </w:rPr>
      </w:pPr>
      <w:r w:rsidRPr="00725E94">
        <w:rPr>
          <w:rFonts w:ascii="Arial" w:hAnsi="Arial" w:cs="Arial"/>
          <w:sz w:val="24"/>
          <w:szCs w:val="24"/>
          <w:u w:val="single"/>
        </w:rPr>
        <w:t>5.2.1.</w:t>
      </w:r>
      <w:r w:rsidR="009F5408">
        <w:rPr>
          <w:rFonts w:ascii="Arial" w:hAnsi="Arial" w:cs="Arial"/>
          <w:sz w:val="24"/>
          <w:szCs w:val="24"/>
          <w:u w:val="single"/>
        </w:rPr>
        <w:t>10</w:t>
      </w:r>
      <w:r w:rsidRPr="00725E94">
        <w:rPr>
          <w:rFonts w:ascii="Arial" w:hAnsi="Arial" w:cs="Arial"/>
          <w:sz w:val="24"/>
          <w:szCs w:val="24"/>
          <w:u w:val="single"/>
        </w:rPr>
        <w:t>.1 – Indústria aeroespacial</w:t>
      </w:r>
    </w:p>
    <w:p w14:paraId="7DF69D8D" w14:textId="77777777" w:rsidR="00EC08A2" w:rsidRDefault="00EC08A2" w:rsidP="00713208">
      <w:pPr>
        <w:spacing w:line="360" w:lineRule="auto"/>
        <w:ind w:firstLine="851"/>
        <w:jc w:val="both"/>
        <w:rPr>
          <w:rFonts w:ascii="Arial" w:hAnsi="Arial" w:cs="Arial"/>
          <w:sz w:val="24"/>
          <w:szCs w:val="24"/>
        </w:rPr>
      </w:pPr>
    </w:p>
    <w:p w14:paraId="025A1095" w14:textId="481997F5" w:rsidR="00EF4B96" w:rsidRDefault="00ED16E7" w:rsidP="00713208">
      <w:pPr>
        <w:spacing w:line="360" w:lineRule="auto"/>
        <w:ind w:firstLine="851"/>
        <w:jc w:val="both"/>
        <w:rPr>
          <w:rFonts w:ascii="Arial" w:hAnsi="Arial" w:cs="Arial"/>
          <w:sz w:val="24"/>
          <w:szCs w:val="24"/>
        </w:rPr>
      </w:pPr>
      <w:r>
        <w:rPr>
          <w:rFonts w:ascii="Arial" w:hAnsi="Arial" w:cs="Arial"/>
          <w:sz w:val="24"/>
          <w:szCs w:val="24"/>
        </w:rPr>
        <w:t xml:space="preserve">O Decreto nº </w:t>
      </w:r>
      <w:r w:rsidR="008D178D">
        <w:rPr>
          <w:rFonts w:ascii="Arial" w:hAnsi="Arial" w:cs="Arial"/>
          <w:sz w:val="24"/>
          <w:szCs w:val="24"/>
        </w:rPr>
        <w:t>8.597/2015 alterou a redação do inciso III</w:t>
      </w:r>
      <w:r w:rsidR="008C25A4">
        <w:rPr>
          <w:rFonts w:ascii="Arial" w:hAnsi="Arial" w:cs="Arial"/>
          <w:sz w:val="24"/>
          <w:szCs w:val="24"/>
        </w:rPr>
        <w:t xml:space="preserve"> do </w:t>
      </w:r>
      <w:r w:rsidR="008C25A4" w:rsidRPr="008C25A4">
        <w:rPr>
          <w:rFonts w:ascii="Arial" w:hAnsi="Arial" w:cs="Arial"/>
          <w:i/>
          <w:sz w:val="24"/>
          <w:szCs w:val="24"/>
        </w:rPr>
        <w:t>caput</w:t>
      </w:r>
      <w:r w:rsidR="008D178D">
        <w:rPr>
          <w:rFonts w:ascii="Arial" w:hAnsi="Arial" w:cs="Arial"/>
          <w:sz w:val="24"/>
          <w:szCs w:val="24"/>
        </w:rPr>
        <w:t xml:space="preserve"> </w:t>
      </w:r>
      <w:r w:rsidR="004576F7">
        <w:rPr>
          <w:rFonts w:ascii="Arial" w:hAnsi="Arial" w:cs="Arial"/>
          <w:sz w:val="24"/>
          <w:szCs w:val="24"/>
        </w:rPr>
        <w:t>e do §</w:t>
      </w:r>
      <w:r w:rsidR="003D5DBC">
        <w:rPr>
          <w:rFonts w:ascii="Arial" w:hAnsi="Arial" w:cs="Arial"/>
          <w:sz w:val="24"/>
          <w:szCs w:val="24"/>
        </w:rPr>
        <w:t xml:space="preserve">§ </w:t>
      </w:r>
      <w:r w:rsidR="004576F7">
        <w:rPr>
          <w:rFonts w:ascii="Arial" w:hAnsi="Arial" w:cs="Arial"/>
          <w:sz w:val="24"/>
          <w:szCs w:val="24"/>
        </w:rPr>
        <w:t>2º</w:t>
      </w:r>
      <w:r w:rsidR="003D5DBC">
        <w:rPr>
          <w:rFonts w:ascii="Arial" w:hAnsi="Arial" w:cs="Arial"/>
          <w:sz w:val="24"/>
          <w:szCs w:val="24"/>
        </w:rPr>
        <w:t xml:space="preserve"> e 3º</w:t>
      </w:r>
      <w:r w:rsidR="004576F7">
        <w:rPr>
          <w:rFonts w:ascii="Arial" w:hAnsi="Arial" w:cs="Arial"/>
          <w:sz w:val="24"/>
          <w:szCs w:val="24"/>
        </w:rPr>
        <w:t xml:space="preserve"> </w:t>
      </w:r>
      <w:r w:rsidR="008D178D">
        <w:rPr>
          <w:rFonts w:ascii="Arial" w:hAnsi="Arial" w:cs="Arial"/>
          <w:sz w:val="24"/>
          <w:szCs w:val="24"/>
        </w:rPr>
        <w:t>do art. 9º do Anexo IX do RCTE/GO para adequar ao Convênio ICMS nº 75/1991 a sistemática de redução da base de cálculo na saída de produtos relacionados à indústria aeronáutica, nos seguintes termos:</w:t>
      </w:r>
    </w:p>
    <w:p w14:paraId="0D0160A7" w14:textId="3C629A46" w:rsidR="008D178D" w:rsidRDefault="008D178D" w:rsidP="00713208">
      <w:pPr>
        <w:spacing w:line="360" w:lineRule="auto"/>
        <w:ind w:firstLine="851"/>
        <w:jc w:val="both"/>
        <w:rPr>
          <w:rFonts w:ascii="Arial" w:hAnsi="Arial" w:cs="Arial"/>
          <w:sz w:val="24"/>
          <w:szCs w:val="24"/>
        </w:rPr>
      </w:pPr>
    </w:p>
    <w:p w14:paraId="35BACA54" w14:textId="6DDADB46" w:rsidR="00180F7A" w:rsidRDefault="00180F7A" w:rsidP="00DC688C">
      <w:pPr>
        <w:ind w:left="2268"/>
        <w:jc w:val="both"/>
        <w:rPr>
          <w:rFonts w:ascii="Arial" w:hAnsi="Arial" w:cs="Arial"/>
          <w:sz w:val="22"/>
          <w:szCs w:val="22"/>
        </w:rPr>
      </w:pPr>
      <w:r w:rsidRPr="00180F7A">
        <w:rPr>
          <w:rFonts w:ascii="Arial" w:hAnsi="Arial" w:cs="Arial"/>
          <w:sz w:val="22"/>
          <w:szCs w:val="22"/>
        </w:rPr>
        <w:t>Art. 9º A base de cálculo do ICMS é reduzida, observado o § 1º quanto ao término de - vigência do benefício:</w:t>
      </w:r>
    </w:p>
    <w:p w14:paraId="001B0CC9" w14:textId="7005869D" w:rsidR="00180F7A" w:rsidRDefault="00180F7A" w:rsidP="00DC688C">
      <w:pPr>
        <w:ind w:left="2268"/>
        <w:jc w:val="both"/>
        <w:rPr>
          <w:rFonts w:ascii="Arial" w:hAnsi="Arial" w:cs="Arial"/>
          <w:sz w:val="22"/>
          <w:szCs w:val="22"/>
        </w:rPr>
      </w:pPr>
      <w:r>
        <w:rPr>
          <w:rFonts w:ascii="Arial" w:hAnsi="Arial" w:cs="Arial"/>
          <w:sz w:val="22"/>
          <w:szCs w:val="22"/>
        </w:rPr>
        <w:t>[...].</w:t>
      </w:r>
    </w:p>
    <w:p w14:paraId="1F68A31E" w14:textId="6E57B4AA" w:rsidR="008D178D" w:rsidRPr="008D178D" w:rsidRDefault="008D178D" w:rsidP="00DC688C">
      <w:pPr>
        <w:ind w:left="2268"/>
        <w:jc w:val="both"/>
        <w:rPr>
          <w:rFonts w:ascii="Arial" w:hAnsi="Arial" w:cs="Arial"/>
          <w:sz w:val="22"/>
          <w:szCs w:val="22"/>
        </w:rPr>
      </w:pPr>
      <w:r w:rsidRPr="008D178D">
        <w:rPr>
          <w:rFonts w:ascii="Arial" w:hAnsi="Arial" w:cs="Arial"/>
          <w:sz w:val="22"/>
          <w:szCs w:val="22"/>
        </w:rPr>
        <w:t>III - de tal forma que resulte aplicação sobre o valor da operação do equivalente ao percentual de 4% (quatro por cento), na saída dos produtos a seguir indicados, observando-se, ainda, os §§ 2º, 3º, 3º-A, 3º-B e 3º-C deste artigo (Convênio ICMS 75/91):</w:t>
      </w:r>
    </w:p>
    <w:p w14:paraId="09168212" w14:textId="71DC6888" w:rsidR="008D178D" w:rsidRPr="008D178D" w:rsidRDefault="008D178D" w:rsidP="00DC688C">
      <w:pPr>
        <w:ind w:left="2268"/>
        <w:jc w:val="both"/>
        <w:rPr>
          <w:rFonts w:ascii="Arial" w:hAnsi="Arial" w:cs="Arial"/>
          <w:sz w:val="22"/>
          <w:szCs w:val="22"/>
        </w:rPr>
      </w:pPr>
      <w:r w:rsidRPr="008D178D">
        <w:rPr>
          <w:rFonts w:ascii="Arial" w:hAnsi="Arial" w:cs="Arial"/>
          <w:sz w:val="22"/>
          <w:szCs w:val="22"/>
        </w:rPr>
        <w:t>a) aeronaves, inclusive veículo aéreo não-tripulado (VANT);</w:t>
      </w:r>
    </w:p>
    <w:p w14:paraId="3F889C58" w14:textId="55008661" w:rsidR="008D178D" w:rsidRPr="008D178D" w:rsidRDefault="008D178D" w:rsidP="00DC688C">
      <w:pPr>
        <w:ind w:left="2268"/>
        <w:jc w:val="both"/>
        <w:rPr>
          <w:rFonts w:ascii="Arial" w:hAnsi="Arial" w:cs="Arial"/>
          <w:sz w:val="22"/>
          <w:szCs w:val="22"/>
        </w:rPr>
      </w:pPr>
      <w:r w:rsidRPr="008D178D">
        <w:rPr>
          <w:rFonts w:ascii="Arial" w:hAnsi="Arial" w:cs="Arial"/>
          <w:sz w:val="22"/>
          <w:szCs w:val="22"/>
        </w:rPr>
        <w:t>b) veículos espaciais;</w:t>
      </w:r>
    </w:p>
    <w:p w14:paraId="76E2B175" w14:textId="51675057" w:rsidR="008D178D" w:rsidRPr="008D178D" w:rsidRDefault="008D178D" w:rsidP="00DC688C">
      <w:pPr>
        <w:ind w:left="2268"/>
        <w:jc w:val="both"/>
        <w:rPr>
          <w:rFonts w:ascii="Arial" w:hAnsi="Arial" w:cs="Arial"/>
          <w:sz w:val="22"/>
          <w:szCs w:val="22"/>
        </w:rPr>
      </w:pPr>
      <w:r w:rsidRPr="008D178D">
        <w:rPr>
          <w:rFonts w:ascii="Arial" w:hAnsi="Arial" w:cs="Arial"/>
          <w:sz w:val="22"/>
          <w:szCs w:val="22"/>
        </w:rPr>
        <w:t xml:space="preserve">c) sistemas de aeronave não-tripulada (SANT); </w:t>
      </w:r>
    </w:p>
    <w:p w14:paraId="71BEDF5F" w14:textId="1C4F5B7C" w:rsidR="008D178D" w:rsidRPr="008D178D" w:rsidRDefault="008D178D" w:rsidP="00DC688C">
      <w:pPr>
        <w:ind w:left="2268"/>
        <w:jc w:val="both"/>
        <w:rPr>
          <w:rFonts w:ascii="Arial" w:hAnsi="Arial" w:cs="Arial"/>
          <w:sz w:val="22"/>
          <w:szCs w:val="22"/>
        </w:rPr>
      </w:pPr>
      <w:r w:rsidRPr="008D178D">
        <w:rPr>
          <w:rFonts w:ascii="Arial" w:hAnsi="Arial" w:cs="Arial"/>
          <w:sz w:val="22"/>
          <w:szCs w:val="22"/>
        </w:rPr>
        <w:t xml:space="preserve">d) paraquedas; </w:t>
      </w:r>
    </w:p>
    <w:p w14:paraId="428C21BE" w14:textId="3D7B209F" w:rsidR="008D178D" w:rsidRPr="008D178D" w:rsidRDefault="008D178D" w:rsidP="00DC688C">
      <w:pPr>
        <w:ind w:left="2268"/>
        <w:jc w:val="both"/>
        <w:rPr>
          <w:rFonts w:ascii="Arial" w:hAnsi="Arial" w:cs="Arial"/>
          <w:sz w:val="22"/>
          <w:szCs w:val="22"/>
        </w:rPr>
      </w:pPr>
      <w:r w:rsidRPr="008D178D">
        <w:rPr>
          <w:rFonts w:ascii="Arial" w:hAnsi="Arial" w:cs="Arial"/>
          <w:sz w:val="22"/>
          <w:szCs w:val="22"/>
        </w:rPr>
        <w:t>e) aparelhos e dispositivos para lançamento e aterrissagem de veículos aéreos e espaciais;</w:t>
      </w:r>
    </w:p>
    <w:p w14:paraId="14F754F6" w14:textId="0D5A8007" w:rsidR="008D178D" w:rsidRPr="008D178D" w:rsidRDefault="008D178D" w:rsidP="00DC688C">
      <w:pPr>
        <w:ind w:left="2268"/>
        <w:jc w:val="both"/>
        <w:rPr>
          <w:rFonts w:ascii="Arial" w:hAnsi="Arial" w:cs="Arial"/>
          <w:sz w:val="22"/>
          <w:szCs w:val="22"/>
        </w:rPr>
      </w:pPr>
      <w:r w:rsidRPr="008D178D">
        <w:rPr>
          <w:rFonts w:ascii="Arial" w:hAnsi="Arial" w:cs="Arial"/>
          <w:sz w:val="22"/>
          <w:szCs w:val="22"/>
        </w:rPr>
        <w:t>f) simuladores de voo e similares;</w:t>
      </w:r>
    </w:p>
    <w:p w14:paraId="6F831A29" w14:textId="7A5EF1B3" w:rsidR="008D178D" w:rsidRPr="008D178D" w:rsidRDefault="008D178D" w:rsidP="00DC688C">
      <w:pPr>
        <w:ind w:left="2268"/>
        <w:jc w:val="both"/>
        <w:rPr>
          <w:rFonts w:ascii="Arial" w:hAnsi="Arial" w:cs="Arial"/>
          <w:sz w:val="22"/>
          <w:szCs w:val="22"/>
        </w:rPr>
      </w:pPr>
      <w:r w:rsidRPr="008D178D">
        <w:rPr>
          <w:rFonts w:ascii="Arial" w:hAnsi="Arial" w:cs="Arial"/>
          <w:sz w:val="22"/>
          <w:szCs w:val="22"/>
        </w:rPr>
        <w:t>g) equipamentos de apoio no solo;</w:t>
      </w:r>
    </w:p>
    <w:p w14:paraId="138F8AF6" w14:textId="1698A09F" w:rsidR="008D178D" w:rsidRPr="008D178D" w:rsidRDefault="008D178D" w:rsidP="00DC688C">
      <w:pPr>
        <w:ind w:left="2268"/>
        <w:jc w:val="both"/>
        <w:rPr>
          <w:rFonts w:ascii="Arial" w:hAnsi="Arial" w:cs="Arial"/>
          <w:sz w:val="22"/>
          <w:szCs w:val="22"/>
        </w:rPr>
      </w:pPr>
      <w:r w:rsidRPr="008D178D">
        <w:rPr>
          <w:rFonts w:ascii="Arial" w:hAnsi="Arial" w:cs="Arial"/>
          <w:sz w:val="22"/>
          <w:szCs w:val="22"/>
        </w:rPr>
        <w:t xml:space="preserve">h) equipamentos de auxílio à comunicação, navegação e controle de tráfego aéreo; </w:t>
      </w:r>
    </w:p>
    <w:p w14:paraId="04D2C0C9" w14:textId="4382D22A" w:rsidR="008D178D" w:rsidRPr="008D178D" w:rsidRDefault="008D178D" w:rsidP="00DC688C">
      <w:pPr>
        <w:ind w:left="2268"/>
        <w:jc w:val="both"/>
        <w:rPr>
          <w:rFonts w:ascii="Arial" w:hAnsi="Arial" w:cs="Arial"/>
          <w:sz w:val="22"/>
          <w:szCs w:val="22"/>
        </w:rPr>
      </w:pPr>
      <w:r w:rsidRPr="008D178D">
        <w:rPr>
          <w:rFonts w:ascii="Arial" w:hAnsi="Arial" w:cs="Arial"/>
          <w:sz w:val="22"/>
          <w:szCs w:val="22"/>
        </w:rPr>
        <w:t>i) partes, peças, acessórios, sistemas ou componentes separados, incluindo aqueles destinados ao projeto e desenvolvimento, montagem, integração, testes e funcionamento dos produtos de que tratam as alíneas "a" a "h";</w:t>
      </w:r>
    </w:p>
    <w:p w14:paraId="243A8217" w14:textId="7A5AC684" w:rsidR="008D178D" w:rsidRPr="008D178D" w:rsidRDefault="008D178D" w:rsidP="00DC688C">
      <w:pPr>
        <w:ind w:left="2268"/>
        <w:jc w:val="both"/>
        <w:rPr>
          <w:rFonts w:ascii="Arial" w:hAnsi="Arial" w:cs="Arial"/>
          <w:sz w:val="22"/>
          <w:szCs w:val="22"/>
        </w:rPr>
      </w:pPr>
      <w:r w:rsidRPr="008D178D">
        <w:rPr>
          <w:rFonts w:ascii="Arial" w:hAnsi="Arial" w:cs="Arial"/>
          <w:sz w:val="22"/>
          <w:szCs w:val="22"/>
        </w:rPr>
        <w:t xml:space="preserve">j) equipamento, gabarito e ferramental, empregados no apoio ao processo produtivo e na manutenção, modificação e reparo dos produtos de que tratam as alíneas "a" a "i"; </w:t>
      </w:r>
    </w:p>
    <w:p w14:paraId="739D6021" w14:textId="339960F2" w:rsidR="008D178D" w:rsidRDefault="008D178D" w:rsidP="00DC688C">
      <w:pPr>
        <w:ind w:left="2268"/>
        <w:jc w:val="both"/>
        <w:rPr>
          <w:rFonts w:ascii="Arial" w:hAnsi="Arial" w:cs="Arial"/>
          <w:sz w:val="22"/>
          <w:szCs w:val="22"/>
        </w:rPr>
      </w:pPr>
      <w:r w:rsidRPr="008D178D">
        <w:rPr>
          <w:rFonts w:ascii="Arial" w:hAnsi="Arial" w:cs="Arial"/>
          <w:sz w:val="22"/>
          <w:szCs w:val="22"/>
        </w:rPr>
        <w:lastRenderedPageBreak/>
        <w:t xml:space="preserve">l) matérias-primas e materiais de uso e consumo utilizados na fabricação, manutenção, modificação e reparo dos produtos descritos nas alíneas "a" a "f", "h" e "j", e no funcionamento dos produtos da alínea "b"; </w:t>
      </w:r>
    </w:p>
    <w:p w14:paraId="1E28E33B" w14:textId="66E5DB2A" w:rsidR="00EC5CFB" w:rsidRDefault="00EC5CFB" w:rsidP="00DC688C">
      <w:pPr>
        <w:ind w:left="2268"/>
        <w:jc w:val="both"/>
        <w:rPr>
          <w:rFonts w:ascii="Arial" w:hAnsi="Arial" w:cs="Arial"/>
          <w:sz w:val="22"/>
          <w:szCs w:val="22"/>
        </w:rPr>
      </w:pPr>
      <w:r>
        <w:rPr>
          <w:rFonts w:ascii="Arial" w:hAnsi="Arial" w:cs="Arial"/>
          <w:sz w:val="22"/>
          <w:szCs w:val="22"/>
        </w:rPr>
        <w:t>[...].</w:t>
      </w:r>
    </w:p>
    <w:p w14:paraId="1B15CC27" w14:textId="742EB948" w:rsidR="004576F7" w:rsidRDefault="004576F7" w:rsidP="00DC688C">
      <w:pPr>
        <w:ind w:left="2268"/>
        <w:jc w:val="both"/>
        <w:rPr>
          <w:rFonts w:ascii="Arial" w:hAnsi="Arial" w:cs="Arial"/>
          <w:sz w:val="22"/>
          <w:szCs w:val="22"/>
        </w:rPr>
      </w:pPr>
      <w:r w:rsidRPr="004576F7">
        <w:rPr>
          <w:rFonts w:ascii="Arial" w:hAnsi="Arial" w:cs="Arial"/>
          <w:sz w:val="22"/>
          <w:szCs w:val="22"/>
        </w:rPr>
        <w:t xml:space="preserve">§ 2º O benefício previsto no inciso III do </w:t>
      </w:r>
      <w:r w:rsidRPr="00222B38">
        <w:rPr>
          <w:rFonts w:ascii="Arial" w:hAnsi="Arial" w:cs="Arial"/>
          <w:i/>
          <w:sz w:val="22"/>
          <w:szCs w:val="22"/>
        </w:rPr>
        <w:t>caput</w:t>
      </w:r>
      <w:r w:rsidRPr="004576F7">
        <w:rPr>
          <w:rFonts w:ascii="Arial" w:hAnsi="Arial" w:cs="Arial"/>
          <w:sz w:val="22"/>
          <w:szCs w:val="22"/>
        </w:rPr>
        <w:t xml:space="preserve"> deste artigo aplica-se exclusivamente às empresas goianas da indústria aeroespacial e seus fornecedores nacionais, às da rede de comercialização, às importadoras de material aeroespacial, às oficinas de manutenção, modificação e reparos em aeronaves, relacionadas em ato do Comando da Aeronáutica do Ministério da Defesa e constantes de Ato COTEPE/ICMS publicado no Diário Oficial da União, no qual deverão ser indicados, obrigatoriamente, </w:t>
      </w:r>
      <w:r w:rsidRPr="003D5DBC">
        <w:rPr>
          <w:rFonts w:ascii="Arial" w:hAnsi="Arial" w:cs="Arial"/>
          <w:b/>
          <w:sz w:val="22"/>
          <w:szCs w:val="22"/>
          <w:u w:val="single"/>
        </w:rPr>
        <w:t>o endereço</w:t>
      </w:r>
      <w:r w:rsidRPr="004576F7">
        <w:rPr>
          <w:rFonts w:ascii="Arial" w:hAnsi="Arial" w:cs="Arial"/>
          <w:sz w:val="22"/>
          <w:szCs w:val="22"/>
        </w:rPr>
        <w:t xml:space="preserve"> completo e os números de inscrição no Cadastro Nacional de Pessoa Jurídica </w:t>
      </w:r>
      <w:r w:rsidR="00C82D3B">
        <w:rPr>
          <w:rFonts w:ascii="Arial" w:hAnsi="Arial" w:cs="Arial"/>
          <w:sz w:val="22"/>
          <w:szCs w:val="22"/>
        </w:rPr>
        <w:t>–</w:t>
      </w:r>
      <w:r w:rsidRPr="004576F7">
        <w:rPr>
          <w:rFonts w:ascii="Arial" w:hAnsi="Arial" w:cs="Arial"/>
          <w:sz w:val="22"/>
          <w:szCs w:val="22"/>
        </w:rPr>
        <w:t xml:space="preserve"> CNPJ e no Cadastro de Contribuinte do Estado </w:t>
      </w:r>
      <w:r w:rsidR="00C82D3B">
        <w:rPr>
          <w:rFonts w:ascii="Arial" w:hAnsi="Arial" w:cs="Arial"/>
          <w:sz w:val="22"/>
          <w:szCs w:val="22"/>
        </w:rPr>
        <w:t>–</w:t>
      </w:r>
      <w:r w:rsidRPr="004576F7">
        <w:rPr>
          <w:rFonts w:ascii="Arial" w:hAnsi="Arial" w:cs="Arial"/>
          <w:sz w:val="22"/>
          <w:szCs w:val="22"/>
        </w:rPr>
        <w:t xml:space="preserve"> CCE (Convênio ICMS 75/91, caput da cláusula primeira- B, § 1º).</w:t>
      </w:r>
    </w:p>
    <w:p w14:paraId="7B5376DE" w14:textId="1C4DFB66" w:rsidR="003D5DBC" w:rsidRPr="003D5DBC" w:rsidRDefault="003D5DBC" w:rsidP="00DC688C">
      <w:pPr>
        <w:ind w:left="2268"/>
        <w:jc w:val="both"/>
        <w:rPr>
          <w:rFonts w:ascii="Arial" w:hAnsi="Arial" w:cs="Arial"/>
          <w:sz w:val="22"/>
          <w:szCs w:val="22"/>
        </w:rPr>
      </w:pPr>
      <w:r w:rsidRPr="003D5DBC">
        <w:rPr>
          <w:rFonts w:ascii="Arial" w:hAnsi="Arial" w:cs="Arial"/>
          <w:sz w:val="22"/>
          <w:szCs w:val="22"/>
        </w:rPr>
        <w:t xml:space="preserve">§ 3º O disposto nas alíneas "i", "j" e "l" do inciso III deste artigo só se aplica a operação efetuada pelos contribuintes a que se refere o § 2º e desde que os produtos se destinem a (Convênio ICMS 75/91, cláusula primeira-A): </w:t>
      </w:r>
    </w:p>
    <w:p w14:paraId="76B0F1BA" w14:textId="77777777" w:rsidR="003D5DBC" w:rsidRPr="003D5DBC" w:rsidRDefault="003D5DBC" w:rsidP="00DC688C">
      <w:pPr>
        <w:ind w:left="2268"/>
        <w:jc w:val="both"/>
        <w:rPr>
          <w:rFonts w:ascii="Arial" w:hAnsi="Arial" w:cs="Arial"/>
          <w:sz w:val="22"/>
          <w:szCs w:val="22"/>
        </w:rPr>
      </w:pPr>
      <w:r w:rsidRPr="003D5DBC">
        <w:rPr>
          <w:rFonts w:ascii="Arial" w:hAnsi="Arial" w:cs="Arial"/>
          <w:sz w:val="22"/>
          <w:szCs w:val="22"/>
        </w:rPr>
        <w:t>I - empresa nacional da indústria aeroespacial e seus fornecedores nacionais, ou estabelecimento da rede de comercialização de produtos aeroespaciais; (Redação conferida pelo Decreto nº 8.597 - vigência: 01.07.15)</w:t>
      </w:r>
    </w:p>
    <w:p w14:paraId="296B36F6" w14:textId="77777777" w:rsidR="003D5DBC" w:rsidRPr="003D5DBC" w:rsidRDefault="003D5DBC" w:rsidP="00DC688C">
      <w:pPr>
        <w:ind w:left="2268"/>
        <w:jc w:val="both"/>
        <w:rPr>
          <w:rFonts w:ascii="Arial" w:hAnsi="Arial" w:cs="Arial"/>
          <w:sz w:val="22"/>
          <w:szCs w:val="22"/>
        </w:rPr>
      </w:pPr>
      <w:r w:rsidRPr="003D5DBC">
        <w:rPr>
          <w:rFonts w:ascii="Arial" w:hAnsi="Arial" w:cs="Arial"/>
          <w:sz w:val="22"/>
          <w:szCs w:val="22"/>
        </w:rPr>
        <w:t>II - empresa de transporte ou de serviço aéreo, aeroclube e escola de aviação civil, identificados pelo registro na Agência Nacional de Aviação Civil; (Redação conferida pelo Decreto nº 8.597 - vigência: 01.07.15)</w:t>
      </w:r>
    </w:p>
    <w:p w14:paraId="3F86EA74" w14:textId="4FC1CD4F" w:rsidR="003D5DBC" w:rsidRDefault="003D5DBC" w:rsidP="00DC688C">
      <w:pPr>
        <w:ind w:left="2268"/>
        <w:jc w:val="both"/>
        <w:rPr>
          <w:rFonts w:ascii="Arial" w:hAnsi="Arial" w:cs="Arial"/>
          <w:sz w:val="22"/>
          <w:szCs w:val="22"/>
        </w:rPr>
      </w:pPr>
      <w:r w:rsidRPr="003D5DBC">
        <w:rPr>
          <w:rFonts w:ascii="Arial" w:hAnsi="Arial" w:cs="Arial"/>
          <w:sz w:val="22"/>
          <w:szCs w:val="22"/>
        </w:rPr>
        <w:t>III - oficinas de manutenção, modificação e reparo em aeronaves, identificadas pelo registro na Agência Nacional de Aviação Civil.</w:t>
      </w:r>
    </w:p>
    <w:p w14:paraId="27172F33" w14:textId="77777777" w:rsidR="008D178D" w:rsidRPr="00DC688C" w:rsidRDefault="008D178D" w:rsidP="00DC688C">
      <w:pPr>
        <w:spacing w:line="360" w:lineRule="auto"/>
        <w:ind w:left="2268"/>
        <w:jc w:val="both"/>
        <w:rPr>
          <w:rFonts w:ascii="Arial" w:hAnsi="Arial" w:cs="Arial"/>
          <w:bCs/>
          <w:sz w:val="22"/>
          <w:szCs w:val="22"/>
        </w:rPr>
      </w:pPr>
    </w:p>
    <w:p w14:paraId="5AED5D42" w14:textId="6D38A790" w:rsidR="008D178D" w:rsidRDefault="000F2389" w:rsidP="004576F7">
      <w:pPr>
        <w:spacing w:line="360" w:lineRule="auto"/>
        <w:ind w:firstLine="851"/>
        <w:jc w:val="both"/>
        <w:rPr>
          <w:rFonts w:ascii="Arial" w:hAnsi="Arial" w:cs="Arial"/>
          <w:bCs/>
          <w:sz w:val="24"/>
          <w:szCs w:val="24"/>
        </w:rPr>
      </w:pPr>
      <w:r w:rsidRPr="00725E94">
        <w:rPr>
          <w:rFonts w:ascii="Arial" w:hAnsi="Arial" w:cs="Arial"/>
          <w:bCs/>
          <w:sz w:val="24"/>
          <w:szCs w:val="24"/>
        </w:rPr>
        <w:t xml:space="preserve">De início, cumpre asseverar que </w:t>
      </w:r>
      <w:r w:rsidR="00EE4A27" w:rsidRPr="00725E94">
        <w:rPr>
          <w:rFonts w:ascii="Arial" w:hAnsi="Arial" w:cs="Arial"/>
          <w:bCs/>
          <w:sz w:val="24"/>
          <w:szCs w:val="24"/>
        </w:rPr>
        <w:t xml:space="preserve">referido </w:t>
      </w:r>
      <w:r w:rsidR="00EE4A27" w:rsidRPr="00725E94">
        <w:rPr>
          <w:rFonts w:ascii="Arial" w:hAnsi="Arial" w:cs="Arial"/>
          <w:bCs/>
          <w:sz w:val="24"/>
          <w:szCs w:val="24"/>
          <w:u w:val="single"/>
        </w:rPr>
        <w:t xml:space="preserve">decreto, </w:t>
      </w:r>
      <w:r w:rsidR="00801123" w:rsidRPr="00725E94">
        <w:rPr>
          <w:rFonts w:ascii="Arial" w:hAnsi="Arial" w:cs="Arial"/>
          <w:bCs/>
          <w:sz w:val="24"/>
          <w:szCs w:val="24"/>
          <w:u w:val="single"/>
        </w:rPr>
        <w:t>apesar de</w:t>
      </w:r>
      <w:r w:rsidR="00EE4A27" w:rsidRPr="00725E94">
        <w:rPr>
          <w:rFonts w:ascii="Arial" w:hAnsi="Arial" w:cs="Arial"/>
          <w:bCs/>
          <w:sz w:val="24"/>
          <w:szCs w:val="24"/>
          <w:u w:val="single"/>
        </w:rPr>
        <w:t xml:space="preserve"> te</w:t>
      </w:r>
      <w:r w:rsidR="00801123" w:rsidRPr="00725E94">
        <w:rPr>
          <w:rFonts w:ascii="Arial" w:hAnsi="Arial" w:cs="Arial"/>
          <w:bCs/>
          <w:sz w:val="24"/>
          <w:szCs w:val="24"/>
          <w:u w:val="single"/>
        </w:rPr>
        <w:t>r</w:t>
      </w:r>
      <w:r w:rsidR="00EE4A27" w:rsidRPr="00725E94">
        <w:rPr>
          <w:rFonts w:ascii="Arial" w:hAnsi="Arial" w:cs="Arial"/>
          <w:bCs/>
          <w:sz w:val="24"/>
          <w:szCs w:val="24"/>
          <w:u w:val="single"/>
        </w:rPr>
        <w:t xml:space="preserve"> alterado o </w:t>
      </w:r>
      <w:r w:rsidR="00801123" w:rsidRPr="00725E94">
        <w:rPr>
          <w:rFonts w:ascii="Arial" w:hAnsi="Arial" w:cs="Arial"/>
          <w:bCs/>
          <w:sz w:val="24"/>
          <w:szCs w:val="24"/>
          <w:u w:val="single"/>
        </w:rPr>
        <w:t xml:space="preserve">Anexo IX do </w:t>
      </w:r>
      <w:r w:rsidR="00EE4A27" w:rsidRPr="00725E94">
        <w:rPr>
          <w:rFonts w:ascii="Arial" w:hAnsi="Arial" w:cs="Arial"/>
          <w:bCs/>
          <w:sz w:val="24"/>
          <w:szCs w:val="24"/>
          <w:u w:val="single"/>
        </w:rPr>
        <w:t xml:space="preserve">RCTE/GO, </w:t>
      </w:r>
      <w:r w:rsidR="00801123" w:rsidRPr="00725E94">
        <w:rPr>
          <w:rFonts w:ascii="Arial" w:hAnsi="Arial" w:cs="Arial"/>
          <w:bCs/>
          <w:sz w:val="24"/>
          <w:szCs w:val="24"/>
          <w:u w:val="single"/>
        </w:rPr>
        <w:t>não foi objeto de convalidação expressa pela Lei nº 20.367/2018</w:t>
      </w:r>
      <w:r w:rsidR="00801123" w:rsidRPr="00725E94">
        <w:rPr>
          <w:rFonts w:ascii="Arial" w:hAnsi="Arial" w:cs="Arial"/>
          <w:bCs/>
          <w:sz w:val="24"/>
          <w:szCs w:val="24"/>
        </w:rPr>
        <w:t>, visto que o Anexo Único desta não contempla qualquer referência ao Decreto nº 8.597/2015, o que conduz esta CPI à conclusão de que referidos incentivos fiscais também estão inquinados de inconstitucionalidade só por esse motivo.</w:t>
      </w:r>
    </w:p>
    <w:p w14:paraId="164E2B0E" w14:textId="55C2CADB" w:rsidR="00944FE2" w:rsidRDefault="00176A64" w:rsidP="004576F7">
      <w:pPr>
        <w:spacing w:line="360" w:lineRule="auto"/>
        <w:ind w:firstLine="851"/>
        <w:jc w:val="both"/>
        <w:rPr>
          <w:rFonts w:ascii="Arial" w:hAnsi="Arial" w:cs="Arial"/>
          <w:bCs/>
          <w:sz w:val="24"/>
          <w:szCs w:val="24"/>
        </w:rPr>
      </w:pPr>
      <w:r>
        <w:rPr>
          <w:rFonts w:ascii="Arial" w:hAnsi="Arial" w:cs="Arial"/>
          <w:bCs/>
          <w:sz w:val="24"/>
          <w:szCs w:val="24"/>
        </w:rPr>
        <w:t>Contudo</w:t>
      </w:r>
      <w:r w:rsidR="004576F7">
        <w:rPr>
          <w:rFonts w:ascii="Arial" w:hAnsi="Arial" w:cs="Arial"/>
          <w:bCs/>
          <w:sz w:val="24"/>
          <w:szCs w:val="24"/>
        </w:rPr>
        <w:t xml:space="preserve">, </w:t>
      </w:r>
      <w:r w:rsidR="004576F7" w:rsidRPr="00810220">
        <w:rPr>
          <w:rFonts w:ascii="Arial" w:hAnsi="Arial" w:cs="Arial"/>
          <w:bCs/>
          <w:sz w:val="24"/>
          <w:szCs w:val="24"/>
          <w:u w:val="single"/>
        </w:rPr>
        <w:t>o</w:t>
      </w:r>
      <w:r w:rsidR="00810220">
        <w:rPr>
          <w:rFonts w:ascii="Arial" w:hAnsi="Arial" w:cs="Arial"/>
          <w:bCs/>
          <w:sz w:val="24"/>
          <w:szCs w:val="24"/>
          <w:u w:val="single"/>
        </w:rPr>
        <w:t xml:space="preserve"> recente</w:t>
      </w:r>
      <w:r w:rsidR="004576F7" w:rsidRPr="00810220">
        <w:rPr>
          <w:rFonts w:ascii="Arial" w:hAnsi="Arial" w:cs="Arial"/>
          <w:bCs/>
          <w:sz w:val="24"/>
          <w:szCs w:val="24"/>
          <w:u w:val="single"/>
        </w:rPr>
        <w:t xml:space="preserve"> Decreto nº 9.439/2019</w:t>
      </w:r>
      <w:r w:rsidR="003D5DBC">
        <w:rPr>
          <w:rFonts w:ascii="Arial" w:hAnsi="Arial" w:cs="Arial"/>
          <w:bCs/>
          <w:sz w:val="24"/>
          <w:szCs w:val="24"/>
        </w:rPr>
        <w:t xml:space="preserve">, além de ter alterado a redação do § 2º daquele art. 9º (nesse ponto apenas quanto a um aspecto de obrigação acessória, sem maior relevância e com respaldo no correspondente convênio autorizativo), </w:t>
      </w:r>
      <w:r w:rsidR="003D5DBC" w:rsidRPr="00810220">
        <w:rPr>
          <w:rFonts w:ascii="Arial" w:hAnsi="Arial" w:cs="Arial"/>
          <w:bCs/>
          <w:sz w:val="24"/>
          <w:szCs w:val="24"/>
          <w:u w:val="single"/>
        </w:rPr>
        <w:t>também</w:t>
      </w:r>
      <w:r w:rsidR="00D1294D" w:rsidRPr="00810220">
        <w:rPr>
          <w:rFonts w:ascii="Arial" w:hAnsi="Arial" w:cs="Arial"/>
          <w:bCs/>
          <w:sz w:val="24"/>
          <w:szCs w:val="24"/>
          <w:u w:val="single"/>
        </w:rPr>
        <w:t xml:space="preserve"> </w:t>
      </w:r>
      <w:r w:rsidR="003D5DBC" w:rsidRPr="00810220">
        <w:rPr>
          <w:rFonts w:ascii="Arial" w:hAnsi="Arial" w:cs="Arial"/>
          <w:bCs/>
          <w:sz w:val="24"/>
          <w:szCs w:val="24"/>
          <w:u w:val="single"/>
        </w:rPr>
        <w:t xml:space="preserve">acrescentou o inciso IV do § 3º do mesmo art. 9º, e nesse ponto específico ampliou o alcance dos incentivos fiscais do segmento aos proprietários ou arrendatários de aeronaves identificados como tais pela anotação da respectiva matrícula e prefixo no documento </w:t>
      </w:r>
      <w:r w:rsidR="003D5DBC" w:rsidRPr="0070292D">
        <w:rPr>
          <w:rFonts w:ascii="Arial" w:hAnsi="Arial" w:cs="Arial"/>
          <w:bCs/>
          <w:sz w:val="24"/>
          <w:szCs w:val="24"/>
          <w:u w:val="single"/>
        </w:rPr>
        <w:t>fiscal</w:t>
      </w:r>
      <w:r w:rsidR="00944FE2" w:rsidRPr="0070292D">
        <w:rPr>
          <w:rFonts w:ascii="Arial" w:hAnsi="Arial" w:cs="Arial"/>
          <w:bCs/>
          <w:sz w:val="24"/>
          <w:szCs w:val="24"/>
          <w:u w:val="single"/>
        </w:rPr>
        <w:t xml:space="preserve">, </w:t>
      </w:r>
      <w:r w:rsidR="00061048">
        <w:rPr>
          <w:rFonts w:ascii="Arial" w:hAnsi="Arial" w:cs="Arial"/>
          <w:bCs/>
          <w:sz w:val="24"/>
          <w:szCs w:val="24"/>
          <w:u w:val="single"/>
        </w:rPr>
        <w:t xml:space="preserve">inclusive </w:t>
      </w:r>
      <w:r w:rsidR="00944FE2" w:rsidRPr="0070292D">
        <w:rPr>
          <w:rFonts w:ascii="Arial" w:hAnsi="Arial" w:cs="Arial"/>
          <w:bCs/>
          <w:sz w:val="24"/>
          <w:szCs w:val="24"/>
          <w:u w:val="single"/>
        </w:rPr>
        <w:t>com eficácia retroativa a 1º/07/2015</w:t>
      </w:r>
      <w:r w:rsidR="00061048">
        <w:rPr>
          <w:rFonts w:ascii="Arial" w:hAnsi="Arial" w:cs="Arial"/>
          <w:bCs/>
          <w:sz w:val="24"/>
          <w:szCs w:val="24"/>
          <w:u w:val="single"/>
        </w:rPr>
        <w:t xml:space="preserve"> (art. 4º, I)</w:t>
      </w:r>
      <w:r w:rsidR="0070292D">
        <w:rPr>
          <w:rFonts w:ascii="Arial" w:hAnsi="Arial" w:cs="Arial"/>
          <w:bCs/>
          <w:sz w:val="24"/>
          <w:szCs w:val="24"/>
        </w:rPr>
        <w:t>.</w:t>
      </w:r>
    </w:p>
    <w:p w14:paraId="318132EE" w14:textId="2D95C7FE" w:rsidR="004576F7" w:rsidRDefault="003D5DBC" w:rsidP="004576F7">
      <w:pPr>
        <w:spacing w:line="360" w:lineRule="auto"/>
        <w:ind w:firstLine="851"/>
        <w:jc w:val="both"/>
        <w:rPr>
          <w:rFonts w:ascii="Arial" w:hAnsi="Arial" w:cs="Arial"/>
          <w:bCs/>
          <w:sz w:val="24"/>
          <w:szCs w:val="24"/>
        </w:rPr>
      </w:pPr>
      <w:r>
        <w:rPr>
          <w:rFonts w:ascii="Arial" w:hAnsi="Arial" w:cs="Arial"/>
          <w:bCs/>
          <w:sz w:val="24"/>
          <w:szCs w:val="24"/>
        </w:rPr>
        <w:t xml:space="preserve">Embora essa previsão seja autorizada </w:t>
      </w:r>
      <w:r w:rsidR="006023D0">
        <w:rPr>
          <w:rFonts w:ascii="Arial" w:hAnsi="Arial" w:cs="Arial"/>
          <w:bCs/>
          <w:sz w:val="24"/>
          <w:szCs w:val="24"/>
        </w:rPr>
        <w:t>desde o</w:t>
      </w:r>
      <w:r>
        <w:rPr>
          <w:rFonts w:ascii="Arial" w:hAnsi="Arial" w:cs="Arial"/>
          <w:bCs/>
          <w:sz w:val="24"/>
          <w:szCs w:val="24"/>
        </w:rPr>
        <w:t xml:space="preserve"> Convênio ICMS nº 28/2015</w:t>
      </w:r>
      <w:r w:rsidR="00A65D41">
        <w:rPr>
          <w:rFonts w:ascii="Arial" w:hAnsi="Arial" w:cs="Arial"/>
          <w:bCs/>
          <w:sz w:val="24"/>
          <w:szCs w:val="24"/>
        </w:rPr>
        <w:t xml:space="preserve"> (vigente desde 14/05/2015)</w:t>
      </w:r>
      <w:r w:rsidR="006023D0">
        <w:rPr>
          <w:rFonts w:ascii="Arial" w:hAnsi="Arial" w:cs="Arial"/>
          <w:bCs/>
          <w:sz w:val="24"/>
          <w:szCs w:val="24"/>
        </w:rPr>
        <w:t xml:space="preserve">, </w:t>
      </w:r>
      <w:r w:rsidR="00810220">
        <w:rPr>
          <w:rFonts w:ascii="Arial" w:hAnsi="Arial" w:cs="Arial"/>
          <w:bCs/>
          <w:sz w:val="24"/>
          <w:szCs w:val="24"/>
        </w:rPr>
        <w:t>houve ampliação</w:t>
      </w:r>
      <w:r w:rsidR="006023D0">
        <w:rPr>
          <w:rFonts w:ascii="Arial" w:hAnsi="Arial" w:cs="Arial"/>
          <w:bCs/>
          <w:sz w:val="24"/>
          <w:szCs w:val="24"/>
        </w:rPr>
        <w:t xml:space="preserve"> </w:t>
      </w:r>
      <w:r w:rsidR="00810220">
        <w:rPr>
          <w:rFonts w:ascii="Arial" w:hAnsi="Arial" w:cs="Arial"/>
          <w:bCs/>
          <w:sz w:val="24"/>
          <w:szCs w:val="24"/>
        </w:rPr>
        <w:t>d</w:t>
      </w:r>
      <w:r w:rsidR="006023D0">
        <w:rPr>
          <w:rFonts w:ascii="Arial" w:hAnsi="Arial" w:cs="Arial"/>
          <w:bCs/>
          <w:sz w:val="24"/>
          <w:szCs w:val="24"/>
        </w:rPr>
        <w:t xml:space="preserve">o benefício </w:t>
      </w:r>
      <w:r w:rsidR="006512E7">
        <w:rPr>
          <w:rFonts w:ascii="Arial" w:hAnsi="Arial" w:cs="Arial"/>
          <w:bCs/>
          <w:sz w:val="24"/>
          <w:szCs w:val="24"/>
        </w:rPr>
        <w:t xml:space="preserve">– na perspectiva daquilo que </w:t>
      </w:r>
      <w:r w:rsidR="006512E7">
        <w:rPr>
          <w:rFonts w:ascii="Arial" w:hAnsi="Arial" w:cs="Arial"/>
          <w:bCs/>
          <w:sz w:val="24"/>
          <w:szCs w:val="24"/>
        </w:rPr>
        <w:lastRenderedPageBreak/>
        <w:t xml:space="preserve">já estava normatizado internamente – </w:t>
      </w:r>
      <w:r w:rsidR="006023D0">
        <w:rPr>
          <w:rFonts w:ascii="Arial" w:hAnsi="Arial" w:cs="Arial"/>
          <w:bCs/>
          <w:sz w:val="24"/>
          <w:szCs w:val="24"/>
        </w:rPr>
        <w:t>de modo qu</w:t>
      </w:r>
      <w:r w:rsidR="00810220">
        <w:rPr>
          <w:rFonts w:ascii="Arial" w:hAnsi="Arial" w:cs="Arial"/>
          <w:bCs/>
          <w:sz w:val="24"/>
          <w:szCs w:val="24"/>
        </w:rPr>
        <w:t xml:space="preserve">e uma quarta e nova categoria de pessoas pudesse </w:t>
      </w:r>
      <w:r w:rsidR="006023D0">
        <w:rPr>
          <w:rFonts w:ascii="Arial" w:hAnsi="Arial" w:cs="Arial"/>
          <w:bCs/>
          <w:sz w:val="24"/>
          <w:szCs w:val="24"/>
        </w:rPr>
        <w:t>usufru</w:t>
      </w:r>
      <w:r w:rsidR="00810220">
        <w:rPr>
          <w:rFonts w:ascii="Arial" w:hAnsi="Arial" w:cs="Arial"/>
          <w:bCs/>
          <w:sz w:val="24"/>
          <w:szCs w:val="24"/>
        </w:rPr>
        <w:t xml:space="preserve">i-lo, além das </w:t>
      </w:r>
      <w:r w:rsidR="006023D0">
        <w:rPr>
          <w:rFonts w:ascii="Arial" w:hAnsi="Arial" w:cs="Arial"/>
          <w:bCs/>
          <w:sz w:val="24"/>
          <w:szCs w:val="24"/>
        </w:rPr>
        <w:t>3 (três) categorias de empresas</w:t>
      </w:r>
      <w:r w:rsidR="00810220">
        <w:rPr>
          <w:rFonts w:ascii="Arial" w:hAnsi="Arial" w:cs="Arial"/>
          <w:bCs/>
          <w:sz w:val="24"/>
          <w:szCs w:val="24"/>
        </w:rPr>
        <w:t xml:space="preserve"> que já eram</w:t>
      </w:r>
      <w:r w:rsidR="006023D0">
        <w:rPr>
          <w:rFonts w:ascii="Arial" w:hAnsi="Arial" w:cs="Arial"/>
          <w:bCs/>
          <w:sz w:val="24"/>
          <w:szCs w:val="24"/>
        </w:rPr>
        <w:t xml:space="preserve"> </w:t>
      </w:r>
      <w:r w:rsidR="001F12BE">
        <w:rPr>
          <w:rFonts w:ascii="Arial" w:hAnsi="Arial" w:cs="Arial"/>
          <w:bCs/>
          <w:sz w:val="24"/>
          <w:szCs w:val="24"/>
        </w:rPr>
        <w:t>contempladas</w:t>
      </w:r>
      <w:r w:rsidR="006023D0">
        <w:rPr>
          <w:rFonts w:ascii="Arial" w:hAnsi="Arial" w:cs="Arial"/>
          <w:bCs/>
          <w:sz w:val="24"/>
          <w:szCs w:val="24"/>
        </w:rPr>
        <w:t xml:space="preserve"> nos incisos I a III do § 3º do art. 9º do Anexo IX do RCTE/GO</w:t>
      </w:r>
      <w:r w:rsidR="00A65D41">
        <w:rPr>
          <w:rFonts w:ascii="Arial" w:hAnsi="Arial" w:cs="Arial"/>
          <w:bCs/>
          <w:sz w:val="24"/>
          <w:szCs w:val="24"/>
        </w:rPr>
        <w:t>, inclusive com eficácia retroativa, de modo a convalidar eventuais</w:t>
      </w:r>
      <w:r w:rsidR="0007154B">
        <w:rPr>
          <w:rFonts w:ascii="Arial" w:hAnsi="Arial" w:cs="Arial"/>
          <w:bCs/>
          <w:sz w:val="24"/>
          <w:szCs w:val="24"/>
        </w:rPr>
        <w:t xml:space="preserve"> fruições que tenham ocorrido sem qualquer respaldo normativo interno </w:t>
      </w:r>
      <w:r w:rsidR="00F60E59">
        <w:rPr>
          <w:rFonts w:ascii="Arial" w:hAnsi="Arial" w:cs="Arial"/>
          <w:bCs/>
          <w:sz w:val="24"/>
          <w:szCs w:val="24"/>
        </w:rPr>
        <w:t>desde</w:t>
      </w:r>
      <w:r w:rsidR="0007154B">
        <w:rPr>
          <w:rFonts w:ascii="Arial" w:hAnsi="Arial" w:cs="Arial"/>
          <w:bCs/>
          <w:sz w:val="24"/>
          <w:szCs w:val="24"/>
        </w:rPr>
        <w:t xml:space="preserve"> </w:t>
      </w:r>
      <w:r w:rsidR="00F60E59">
        <w:rPr>
          <w:rFonts w:ascii="Arial" w:hAnsi="Arial" w:cs="Arial"/>
          <w:bCs/>
          <w:sz w:val="24"/>
          <w:szCs w:val="24"/>
        </w:rPr>
        <w:t>julho</w:t>
      </w:r>
      <w:r w:rsidR="00A00342">
        <w:rPr>
          <w:rFonts w:ascii="Arial" w:hAnsi="Arial" w:cs="Arial"/>
          <w:bCs/>
          <w:sz w:val="24"/>
          <w:szCs w:val="24"/>
        </w:rPr>
        <w:t xml:space="preserve"> de</w:t>
      </w:r>
      <w:r w:rsidR="00F60E59">
        <w:rPr>
          <w:rFonts w:ascii="Arial" w:hAnsi="Arial" w:cs="Arial"/>
          <w:bCs/>
          <w:sz w:val="24"/>
          <w:szCs w:val="24"/>
        </w:rPr>
        <w:t xml:space="preserve"> 2015</w:t>
      </w:r>
      <w:r w:rsidR="006023D0">
        <w:rPr>
          <w:rFonts w:ascii="Arial" w:hAnsi="Arial" w:cs="Arial"/>
          <w:bCs/>
          <w:sz w:val="24"/>
          <w:szCs w:val="24"/>
        </w:rPr>
        <w:t>.</w:t>
      </w:r>
    </w:p>
    <w:p w14:paraId="66261989" w14:textId="75AC559B" w:rsidR="006512E7" w:rsidRDefault="006512E7" w:rsidP="00BC31FA">
      <w:pPr>
        <w:spacing w:line="360" w:lineRule="auto"/>
        <w:ind w:firstLine="851"/>
        <w:jc w:val="both"/>
        <w:rPr>
          <w:rFonts w:ascii="Arial" w:hAnsi="Arial" w:cs="Arial"/>
          <w:bCs/>
          <w:sz w:val="24"/>
          <w:szCs w:val="24"/>
        </w:rPr>
      </w:pPr>
      <w:r>
        <w:rPr>
          <w:rFonts w:ascii="Arial" w:hAnsi="Arial" w:cs="Arial"/>
          <w:bCs/>
          <w:sz w:val="24"/>
          <w:szCs w:val="24"/>
        </w:rPr>
        <w:t xml:space="preserve">Portanto, consideram-se inconstitucionais: </w:t>
      </w:r>
      <w:r w:rsidRPr="00D2591D">
        <w:rPr>
          <w:rFonts w:ascii="Arial" w:hAnsi="Arial" w:cs="Arial"/>
          <w:bCs/>
          <w:sz w:val="24"/>
          <w:szCs w:val="24"/>
          <w:u w:val="single"/>
        </w:rPr>
        <w:t>a) o Decreto n</w:t>
      </w:r>
      <w:r w:rsidR="00B02414" w:rsidRPr="00B02414">
        <w:rPr>
          <w:rFonts w:ascii="Arial" w:hAnsi="Arial" w:cs="Arial"/>
          <w:bCs/>
          <w:sz w:val="24"/>
          <w:szCs w:val="24"/>
          <w:u w:val="single"/>
          <w:vertAlign w:val="superscript"/>
        </w:rPr>
        <w:t>o</w:t>
      </w:r>
      <w:r w:rsidRPr="00B02414">
        <w:rPr>
          <w:rFonts w:ascii="Arial" w:hAnsi="Arial" w:cs="Arial"/>
          <w:bCs/>
          <w:sz w:val="24"/>
          <w:szCs w:val="24"/>
          <w:u w:val="single"/>
          <w:vertAlign w:val="superscript"/>
        </w:rPr>
        <w:t>s</w:t>
      </w:r>
      <w:r w:rsidRPr="00D2591D">
        <w:rPr>
          <w:rFonts w:ascii="Arial" w:hAnsi="Arial" w:cs="Arial"/>
          <w:bCs/>
          <w:sz w:val="24"/>
          <w:szCs w:val="24"/>
          <w:u w:val="single"/>
        </w:rPr>
        <w:t xml:space="preserve"> 8.597/2015</w:t>
      </w:r>
      <w:r w:rsidR="00D2591D">
        <w:rPr>
          <w:rFonts w:ascii="Arial" w:hAnsi="Arial" w:cs="Arial"/>
          <w:bCs/>
          <w:sz w:val="24"/>
          <w:szCs w:val="24"/>
          <w:u w:val="single"/>
        </w:rPr>
        <w:t>, por</w:t>
      </w:r>
      <w:r w:rsidRPr="00D2591D">
        <w:rPr>
          <w:rFonts w:ascii="Arial" w:hAnsi="Arial" w:cs="Arial"/>
          <w:bCs/>
          <w:sz w:val="24"/>
          <w:szCs w:val="24"/>
          <w:u w:val="single"/>
        </w:rPr>
        <w:t xml:space="preserve"> não </w:t>
      </w:r>
      <w:r w:rsidR="00D2591D">
        <w:rPr>
          <w:rFonts w:ascii="Arial" w:hAnsi="Arial" w:cs="Arial"/>
          <w:bCs/>
          <w:sz w:val="24"/>
          <w:szCs w:val="24"/>
          <w:u w:val="single"/>
        </w:rPr>
        <w:t>ter sido</w:t>
      </w:r>
      <w:r w:rsidRPr="00D2591D">
        <w:rPr>
          <w:rFonts w:ascii="Arial" w:hAnsi="Arial" w:cs="Arial"/>
          <w:bCs/>
          <w:sz w:val="24"/>
          <w:szCs w:val="24"/>
          <w:u w:val="single"/>
        </w:rPr>
        <w:t xml:space="preserve"> convalidado expressamente pela Lei nº 20.367/2018</w:t>
      </w:r>
      <w:r>
        <w:rPr>
          <w:rFonts w:ascii="Arial" w:hAnsi="Arial" w:cs="Arial"/>
          <w:bCs/>
          <w:sz w:val="24"/>
          <w:szCs w:val="24"/>
        </w:rPr>
        <w:t xml:space="preserve">, de modo a inquinar de inconstitucionalidade o inciso III e os §§ 2º e 3º, em sua totalidade de dispositivos, do art. 9º do Anexo IX do RCTE/GO; </w:t>
      </w:r>
      <w:r w:rsidRPr="00D2591D">
        <w:rPr>
          <w:rFonts w:ascii="Arial" w:hAnsi="Arial" w:cs="Arial"/>
          <w:bCs/>
          <w:sz w:val="24"/>
          <w:szCs w:val="24"/>
          <w:u w:val="single"/>
        </w:rPr>
        <w:t>b) o Decreto nº 9.</w:t>
      </w:r>
      <w:r w:rsidR="00D2591D" w:rsidRPr="00D2591D">
        <w:rPr>
          <w:rFonts w:ascii="Arial" w:hAnsi="Arial" w:cs="Arial"/>
          <w:bCs/>
          <w:sz w:val="24"/>
          <w:szCs w:val="24"/>
          <w:u w:val="single"/>
        </w:rPr>
        <w:t>439/2019</w:t>
      </w:r>
      <w:r w:rsidR="00D2591D">
        <w:rPr>
          <w:rFonts w:ascii="Arial" w:hAnsi="Arial" w:cs="Arial"/>
          <w:bCs/>
          <w:sz w:val="24"/>
          <w:szCs w:val="24"/>
        </w:rPr>
        <w:t>, por arrastamento, em função do tópico anterior e também por ter ampliado benefício fiscal até então vigente sem respaldo em lei específica</w:t>
      </w:r>
      <w:r w:rsidR="00E07B1B">
        <w:rPr>
          <w:rFonts w:ascii="Arial" w:hAnsi="Arial" w:cs="Arial"/>
          <w:bCs/>
          <w:sz w:val="24"/>
          <w:szCs w:val="24"/>
        </w:rPr>
        <w:t xml:space="preserve">, ao acrescentar o </w:t>
      </w:r>
      <w:r w:rsidR="00E07B1B" w:rsidRPr="00E07B1B">
        <w:rPr>
          <w:rFonts w:ascii="Arial" w:hAnsi="Arial" w:cs="Arial"/>
          <w:bCs/>
          <w:sz w:val="24"/>
          <w:szCs w:val="24"/>
        </w:rPr>
        <w:t xml:space="preserve">inciso IV </w:t>
      </w:r>
      <w:r w:rsidR="00643AAF">
        <w:rPr>
          <w:rFonts w:ascii="Arial" w:hAnsi="Arial" w:cs="Arial"/>
          <w:bCs/>
          <w:sz w:val="24"/>
          <w:szCs w:val="24"/>
        </w:rPr>
        <w:t>a</w:t>
      </w:r>
      <w:r w:rsidR="00E07B1B" w:rsidRPr="00E07B1B">
        <w:rPr>
          <w:rFonts w:ascii="Arial" w:hAnsi="Arial" w:cs="Arial"/>
          <w:bCs/>
          <w:sz w:val="24"/>
          <w:szCs w:val="24"/>
        </w:rPr>
        <w:t>o § 3º do mesmo art. 9º</w:t>
      </w:r>
      <w:r w:rsidR="00D2591D">
        <w:rPr>
          <w:rFonts w:ascii="Arial" w:hAnsi="Arial" w:cs="Arial"/>
          <w:bCs/>
          <w:sz w:val="24"/>
          <w:szCs w:val="24"/>
        </w:rPr>
        <w:t>.</w:t>
      </w:r>
    </w:p>
    <w:p w14:paraId="557BCC8B" w14:textId="77777777" w:rsidR="009A3305" w:rsidRDefault="009A3305" w:rsidP="00BC31FA">
      <w:pPr>
        <w:spacing w:line="360" w:lineRule="auto"/>
        <w:ind w:left="2268" w:firstLine="284"/>
        <w:jc w:val="both"/>
        <w:rPr>
          <w:rFonts w:ascii="Arial" w:hAnsi="Arial" w:cs="Arial"/>
          <w:sz w:val="22"/>
          <w:szCs w:val="22"/>
        </w:rPr>
      </w:pPr>
    </w:p>
    <w:p w14:paraId="50F6F8CD" w14:textId="7D2CCF67" w:rsidR="009A3305" w:rsidRPr="00725E94" w:rsidRDefault="009A3305" w:rsidP="00BC31FA">
      <w:pPr>
        <w:spacing w:line="360" w:lineRule="auto"/>
        <w:ind w:firstLine="851"/>
        <w:jc w:val="both"/>
        <w:rPr>
          <w:rFonts w:ascii="Arial" w:hAnsi="Arial" w:cs="Arial"/>
          <w:sz w:val="24"/>
          <w:szCs w:val="24"/>
          <w:u w:val="single"/>
        </w:rPr>
      </w:pPr>
      <w:r w:rsidRPr="00725E94">
        <w:rPr>
          <w:rFonts w:ascii="Arial" w:hAnsi="Arial" w:cs="Arial"/>
          <w:sz w:val="24"/>
          <w:szCs w:val="24"/>
          <w:u w:val="single"/>
        </w:rPr>
        <w:t>5.2.</w:t>
      </w:r>
      <w:r w:rsidR="00ED38B3" w:rsidRPr="00725E94">
        <w:rPr>
          <w:rFonts w:ascii="Arial" w:hAnsi="Arial" w:cs="Arial"/>
          <w:sz w:val="24"/>
          <w:szCs w:val="24"/>
          <w:u w:val="single"/>
        </w:rPr>
        <w:t>2</w:t>
      </w:r>
      <w:r w:rsidRPr="00725E94">
        <w:rPr>
          <w:rFonts w:ascii="Arial" w:hAnsi="Arial" w:cs="Arial"/>
          <w:sz w:val="24"/>
          <w:szCs w:val="24"/>
          <w:u w:val="single"/>
        </w:rPr>
        <w:t>.</w:t>
      </w:r>
      <w:r w:rsidR="00450E64">
        <w:rPr>
          <w:rFonts w:ascii="Arial" w:hAnsi="Arial" w:cs="Arial"/>
          <w:sz w:val="24"/>
          <w:szCs w:val="24"/>
          <w:u w:val="single"/>
        </w:rPr>
        <w:t>10</w:t>
      </w:r>
      <w:r w:rsidRPr="00725E94">
        <w:rPr>
          <w:rFonts w:ascii="Arial" w:hAnsi="Arial" w:cs="Arial"/>
          <w:sz w:val="24"/>
          <w:szCs w:val="24"/>
          <w:u w:val="single"/>
        </w:rPr>
        <w:t>.2 – Telecomunicações</w:t>
      </w:r>
    </w:p>
    <w:p w14:paraId="234A08B5" w14:textId="30258383" w:rsidR="009A3305" w:rsidRDefault="009A3305" w:rsidP="00BC31FA">
      <w:pPr>
        <w:spacing w:line="360" w:lineRule="auto"/>
        <w:jc w:val="both"/>
        <w:rPr>
          <w:rFonts w:ascii="Arial" w:hAnsi="Arial" w:cs="Arial"/>
          <w:sz w:val="22"/>
          <w:szCs w:val="22"/>
        </w:rPr>
      </w:pPr>
    </w:p>
    <w:p w14:paraId="437E5CAA" w14:textId="2FAE8B17" w:rsidR="000C412D" w:rsidRDefault="000C412D" w:rsidP="00BC31FA">
      <w:pPr>
        <w:spacing w:line="360" w:lineRule="auto"/>
        <w:ind w:firstLine="851"/>
        <w:jc w:val="both"/>
        <w:rPr>
          <w:rFonts w:ascii="Arial" w:hAnsi="Arial" w:cs="Arial"/>
          <w:sz w:val="24"/>
          <w:szCs w:val="24"/>
        </w:rPr>
      </w:pPr>
      <w:r>
        <w:rPr>
          <w:rFonts w:ascii="Arial" w:hAnsi="Arial" w:cs="Arial"/>
          <w:sz w:val="24"/>
          <w:szCs w:val="24"/>
        </w:rPr>
        <w:t>O Decreto nº 9.439/2019 acrescentou o inciso XVII ao art. 12 do Anexo IX do RCTE/GO para adequar instituir nova hipótese de crédito outorgado por prazo determinado a empresas de telecomunicação, nos seguintes termos:</w:t>
      </w:r>
    </w:p>
    <w:p w14:paraId="2A3304F2" w14:textId="77777777" w:rsidR="000C412D" w:rsidRDefault="000C412D" w:rsidP="000C412D">
      <w:pPr>
        <w:jc w:val="both"/>
        <w:rPr>
          <w:rFonts w:ascii="Arial" w:hAnsi="Arial" w:cs="Arial"/>
          <w:sz w:val="22"/>
          <w:szCs w:val="22"/>
        </w:rPr>
      </w:pPr>
    </w:p>
    <w:p w14:paraId="38A9A308" w14:textId="3873879A" w:rsidR="00EF4B96" w:rsidRDefault="00EF4B96" w:rsidP="00DC688C">
      <w:pPr>
        <w:ind w:left="2268"/>
        <w:jc w:val="both"/>
        <w:rPr>
          <w:rFonts w:ascii="Arial" w:hAnsi="Arial" w:cs="Arial"/>
          <w:sz w:val="22"/>
          <w:szCs w:val="22"/>
        </w:rPr>
      </w:pPr>
      <w:r w:rsidRPr="00EF4B96">
        <w:rPr>
          <w:rFonts w:ascii="Arial" w:hAnsi="Arial" w:cs="Arial"/>
          <w:sz w:val="22"/>
          <w:szCs w:val="22"/>
        </w:rPr>
        <w:t xml:space="preserve">Art. 12. </w:t>
      </w:r>
      <w:r w:rsidR="00D041A5" w:rsidRPr="00D041A5">
        <w:rPr>
          <w:rFonts w:ascii="Arial" w:hAnsi="Arial" w:cs="Arial"/>
          <w:sz w:val="22"/>
          <w:szCs w:val="22"/>
        </w:rPr>
        <w:t>Constitui crédito outorgado para efeito de compensação com o ICMS devido, observado o § 4º quanto ao término da - vigência do benefício:</w:t>
      </w:r>
    </w:p>
    <w:p w14:paraId="432603F3" w14:textId="2F3424DF" w:rsidR="006328ED" w:rsidRPr="00EF4B96" w:rsidRDefault="006328ED" w:rsidP="00DC688C">
      <w:pPr>
        <w:ind w:left="2268"/>
        <w:jc w:val="both"/>
        <w:rPr>
          <w:rFonts w:ascii="Arial" w:hAnsi="Arial" w:cs="Arial"/>
          <w:sz w:val="22"/>
          <w:szCs w:val="22"/>
        </w:rPr>
      </w:pPr>
      <w:r>
        <w:rPr>
          <w:rFonts w:ascii="Arial" w:hAnsi="Arial" w:cs="Arial"/>
          <w:sz w:val="22"/>
          <w:szCs w:val="22"/>
        </w:rPr>
        <w:t>[...].</w:t>
      </w:r>
    </w:p>
    <w:p w14:paraId="5EE02F37" w14:textId="08411FB6" w:rsidR="00EF4B96" w:rsidRPr="00EB6075" w:rsidRDefault="00EF4B96" w:rsidP="00DC688C">
      <w:pPr>
        <w:ind w:left="2268"/>
        <w:jc w:val="both"/>
        <w:rPr>
          <w:rFonts w:ascii="Arial" w:hAnsi="Arial" w:cs="Arial"/>
          <w:b/>
          <w:sz w:val="22"/>
          <w:szCs w:val="22"/>
        </w:rPr>
      </w:pPr>
      <w:r w:rsidRPr="00EB6075">
        <w:rPr>
          <w:rFonts w:ascii="Arial" w:hAnsi="Arial" w:cs="Arial"/>
          <w:b/>
          <w:sz w:val="22"/>
          <w:szCs w:val="22"/>
        </w:rPr>
        <w:t>XVII - para o estabelecimento prestador de serviço de telecomunicação, o equivalente ao percentual de até 1% (um por cento) do valor dos débitos de ICMS relacionados à prestação de serviços de telecomunicação, em substituição ao estorno de débito decorrente de situações em que não tenha ocorrido o fato gerador do ICMS, mediante termo de acordo de regime especial celebrado com a Secretaria da Economia, no qual serão estabelecidos a forma e o procedimento para apropriação do crédito, dispensada a apresentação de outros documentos que não os previstos na legislação tributária para a celebração do regime especial (Convênio ICMS 56/12);</w:t>
      </w:r>
    </w:p>
    <w:p w14:paraId="14FE18CA" w14:textId="77777777" w:rsidR="006328ED" w:rsidRPr="00EF4B96" w:rsidRDefault="006328ED" w:rsidP="00DC688C">
      <w:pPr>
        <w:ind w:left="2268"/>
        <w:jc w:val="both"/>
        <w:rPr>
          <w:rFonts w:ascii="Arial" w:hAnsi="Arial" w:cs="Arial"/>
          <w:sz w:val="22"/>
          <w:szCs w:val="22"/>
        </w:rPr>
      </w:pPr>
      <w:r>
        <w:rPr>
          <w:rFonts w:ascii="Arial" w:hAnsi="Arial" w:cs="Arial"/>
          <w:sz w:val="22"/>
          <w:szCs w:val="22"/>
        </w:rPr>
        <w:t>[...].</w:t>
      </w:r>
    </w:p>
    <w:p w14:paraId="4515A670" w14:textId="77777777" w:rsidR="00E377E3" w:rsidRPr="00EF4B96" w:rsidRDefault="00E377E3" w:rsidP="00DC688C">
      <w:pPr>
        <w:ind w:left="2268"/>
        <w:jc w:val="both"/>
        <w:rPr>
          <w:rFonts w:ascii="Arial" w:hAnsi="Arial" w:cs="Arial"/>
          <w:sz w:val="22"/>
          <w:szCs w:val="22"/>
        </w:rPr>
      </w:pPr>
    </w:p>
    <w:p w14:paraId="12F4D0DF" w14:textId="1A3300F3" w:rsidR="00C746A8" w:rsidRDefault="00571120" w:rsidP="00C746A8">
      <w:pPr>
        <w:spacing w:line="360" w:lineRule="auto"/>
        <w:ind w:firstLine="851"/>
        <w:jc w:val="both"/>
        <w:rPr>
          <w:rFonts w:ascii="Arial" w:hAnsi="Arial" w:cs="Arial"/>
          <w:sz w:val="24"/>
          <w:szCs w:val="24"/>
        </w:rPr>
      </w:pPr>
      <w:r>
        <w:rPr>
          <w:rFonts w:ascii="Arial" w:hAnsi="Arial" w:cs="Arial"/>
          <w:sz w:val="24"/>
          <w:szCs w:val="24"/>
        </w:rPr>
        <w:t>Além disso, referido d</w:t>
      </w:r>
      <w:r w:rsidR="00C746A8">
        <w:rPr>
          <w:rFonts w:ascii="Arial" w:hAnsi="Arial" w:cs="Arial"/>
          <w:sz w:val="24"/>
          <w:szCs w:val="24"/>
        </w:rPr>
        <w:t xml:space="preserve">ecreto </w:t>
      </w:r>
      <w:r>
        <w:rPr>
          <w:rFonts w:ascii="Arial" w:hAnsi="Arial" w:cs="Arial"/>
          <w:sz w:val="24"/>
          <w:szCs w:val="24"/>
        </w:rPr>
        <w:t>acrescentou o</w:t>
      </w:r>
      <w:r w:rsidRPr="00571120">
        <w:rPr>
          <w:rFonts w:ascii="Arial" w:hAnsi="Arial" w:cs="Arial"/>
          <w:sz w:val="24"/>
          <w:szCs w:val="24"/>
        </w:rPr>
        <w:t xml:space="preserve"> </w:t>
      </w:r>
      <w:r>
        <w:rPr>
          <w:rFonts w:ascii="Arial" w:hAnsi="Arial" w:cs="Arial"/>
          <w:sz w:val="24"/>
          <w:szCs w:val="24"/>
        </w:rPr>
        <w:t xml:space="preserve">inciso XVII ao § 4º do mesmo art. 12 para prever como data-limite de vigência do benefício o dia 30/09/2019; e, embora publicado em 03/05/2019, </w:t>
      </w:r>
      <w:r w:rsidR="00B62BE9">
        <w:rPr>
          <w:rFonts w:ascii="Arial" w:hAnsi="Arial" w:cs="Arial"/>
          <w:sz w:val="24"/>
          <w:szCs w:val="24"/>
        </w:rPr>
        <w:t>o art. 4º do Decreto nº 9.439/2019 ainda consignou eficácia retroativa a 1º/01/2019 quanto a esse ponto</w:t>
      </w:r>
      <w:r>
        <w:rPr>
          <w:rFonts w:ascii="Arial" w:hAnsi="Arial" w:cs="Arial"/>
          <w:sz w:val="24"/>
          <w:szCs w:val="24"/>
        </w:rPr>
        <w:t>.</w:t>
      </w:r>
    </w:p>
    <w:p w14:paraId="31B82ACB" w14:textId="5D8CE56E" w:rsidR="00B62BE9" w:rsidRPr="00630370" w:rsidRDefault="00B62BE9" w:rsidP="00C746A8">
      <w:pPr>
        <w:spacing w:line="360" w:lineRule="auto"/>
        <w:ind w:firstLine="851"/>
        <w:jc w:val="both"/>
        <w:rPr>
          <w:rFonts w:ascii="Arial" w:hAnsi="Arial" w:cs="Arial"/>
          <w:sz w:val="24"/>
          <w:szCs w:val="24"/>
        </w:rPr>
      </w:pPr>
      <w:r>
        <w:rPr>
          <w:rFonts w:ascii="Arial" w:hAnsi="Arial" w:cs="Arial"/>
          <w:sz w:val="24"/>
          <w:szCs w:val="24"/>
        </w:rPr>
        <w:lastRenderedPageBreak/>
        <w:t xml:space="preserve">Portanto, inconstitucional o </w:t>
      </w:r>
      <w:r w:rsidR="00C04376">
        <w:rPr>
          <w:rFonts w:ascii="Arial" w:hAnsi="Arial" w:cs="Arial"/>
          <w:sz w:val="24"/>
          <w:szCs w:val="24"/>
        </w:rPr>
        <w:t xml:space="preserve">Decreto nº 9.439/2019 também ao criar nova hipótese de crédito </w:t>
      </w:r>
      <w:r w:rsidR="00C04376" w:rsidRPr="00630370">
        <w:rPr>
          <w:rFonts w:ascii="Arial" w:hAnsi="Arial" w:cs="Arial"/>
          <w:sz w:val="24"/>
          <w:szCs w:val="24"/>
        </w:rPr>
        <w:t>outorgado</w:t>
      </w:r>
      <w:r w:rsidR="00BC31FA" w:rsidRPr="00630370">
        <w:rPr>
          <w:rFonts w:ascii="Arial" w:hAnsi="Arial" w:cs="Arial"/>
          <w:sz w:val="24"/>
          <w:szCs w:val="24"/>
        </w:rPr>
        <w:t xml:space="preserve"> no segmento das telecomunicações</w:t>
      </w:r>
      <w:r w:rsidR="00C04376" w:rsidRPr="00630370">
        <w:rPr>
          <w:rFonts w:ascii="Arial" w:hAnsi="Arial" w:cs="Arial"/>
          <w:sz w:val="24"/>
          <w:szCs w:val="24"/>
        </w:rPr>
        <w:t>, inclusive com efeitos retroativos, nos termos supracitados.</w:t>
      </w:r>
    </w:p>
    <w:p w14:paraId="79F9EDCF" w14:textId="77777777" w:rsidR="00C04376" w:rsidRPr="00630370" w:rsidRDefault="00C04376" w:rsidP="00C746A8">
      <w:pPr>
        <w:spacing w:line="360" w:lineRule="auto"/>
        <w:ind w:firstLine="851"/>
        <w:jc w:val="both"/>
        <w:rPr>
          <w:rFonts w:ascii="Arial" w:hAnsi="Arial" w:cs="Arial"/>
          <w:sz w:val="24"/>
          <w:szCs w:val="24"/>
        </w:rPr>
      </w:pPr>
    </w:p>
    <w:p w14:paraId="527652D1" w14:textId="22A45163" w:rsidR="00A03887" w:rsidRPr="00630370" w:rsidRDefault="005476D5" w:rsidP="00630370">
      <w:pPr>
        <w:spacing w:line="360" w:lineRule="auto"/>
        <w:ind w:firstLine="851"/>
        <w:jc w:val="both"/>
        <w:rPr>
          <w:rFonts w:ascii="Arial" w:hAnsi="Arial" w:cs="Arial"/>
          <w:b/>
          <w:sz w:val="24"/>
          <w:szCs w:val="24"/>
        </w:rPr>
      </w:pPr>
      <w:r w:rsidRPr="00630370">
        <w:rPr>
          <w:rFonts w:ascii="Arial" w:hAnsi="Arial" w:cs="Arial"/>
          <w:b/>
          <w:sz w:val="24"/>
          <w:szCs w:val="24"/>
        </w:rPr>
        <w:t>5.2.</w:t>
      </w:r>
      <w:r w:rsidR="00ED38B3">
        <w:rPr>
          <w:rFonts w:ascii="Arial" w:hAnsi="Arial" w:cs="Arial"/>
          <w:b/>
          <w:sz w:val="24"/>
          <w:szCs w:val="24"/>
        </w:rPr>
        <w:t>2</w:t>
      </w:r>
      <w:r w:rsidRPr="00630370">
        <w:rPr>
          <w:rFonts w:ascii="Arial" w:hAnsi="Arial" w:cs="Arial"/>
          <w:b/>
          <w:sz w:val="24"/>
          <w:szCs w:val="24"/>
        </w:rPr>
        <w:t>.</w:t>
      </w:r>
      <w:r w:rsidR="00450E64">
        <w:rPr>
          <w:rFonts w:ascii="Arial" w:hAnsi="Arial" w:cs="Arial"/>
          <w:b/>
          <w:sz w:val="24"/>
          <w:szCs w:val="24"/>
        </w:rPr>
        <w:t>11</w:t>
      </w:r>
      <w:r w:rsidRPr="00630370">
        <w:rPr>
          <w:rFonts w:ascii="Arial" w:hAnsi="Arial" w:cs="Arial"/>
          <w:b/>
          <w:sz w:val="24"/>
          <w:szCs w:val="24"/>
        </w:rPr>
        <w:t xml:space="preserve"> – </w:t>
      </w:r>
      <w:r w:rsidR="00E97078" w:rsidRPr="00630370">
        <w:rPr>
          <w:rFonts w:ascii="Arial" w:hAnsi="Arial" w:cs="Arial"/>
          <w:b/>
          <w:sz w:val="24"/>
          <w:szCs w:val="24"/>
        </w:rPr>
        <w:t xml:space="preserve">Bazar e medicamento Spinraza – </w:t>
      </w:r>
      <w:r w:rsidR="00A03887" w:rsidRPr="00630370">
        <w:rPr>
          <w:rFonts w:ascii="Arial" w:hAnsi="Arial" w:cs="Arial"/>
          <w:b/>
          <w:sz w:val="24"/>
          <w:szCs w:val="24"/>
        </w:rPr>
        <w:t>Decreto nº 9.411 (D.O. 1º-03-2019)</w:t>
      </w:r>
    </w:p>
    <w:p w14:paraId="2E7776F0" w14:textId="0AB4D8A3" w:rsidR="00A03887" w:rsidRDefault="00A03887" w:rsidP="00630370">
      <w:pPr>
        <w:spacing w:line="360" w:lineRule="auto"/>
        <w:ind w:firstLine="851"/>
        <w:jc w:val="both"/>
        <w:rPr>
          <w:rFonts w:ascii="Arial" w:hAnsi="Arial" w:cs="Arial"/>
          <w:sz w:val="24"/>
          <w:szCs w:val="24"/>
        </w:rPr>
      </w:pPr>
    </w:p>
    <w:p w14:paraId="56E78A4E" w14:textId="616C0777" w:rsidR="00630370" w:rsidRPr="00630370" w:rsidRDefault="00630370" w:rsidP="00630370">
      <w:pPr>
        <w:spacing w:line="360" w:lineRule="auto"/>
        <w:ind w:firstLine="851"/>
        <w:jc w:val="both"/>
        <w:rPr>
          <w:rFonts w:ascii="Arial" w:hAnsi="Arial" w:cs="Arial"/>
          <w:sz w:val="24"/>
          <w:szCs w:val="24"/>
        </w:rPr>
      </w:pPr>
      <w:r>
        <w:rPr>
          <w:rFonts w:ascii="Arial" w:hAnsi="Arial" w:cs="Arial"/>
          <w:sz w:val="24"/>
          <w:szCs w:val="24"/>
        </w:rPr>
        <w:t xml:space="preserve">O Decreto nº 9.411/2019 acrescentou os incisos CLV e CLVI </w:t>
      </w:r>
      <w:r w:rsidR="0019044F">
        <w:rPr>
          <w:rFonts w:ascii="Arial" w:hAnsi="Arial" w:cs="Arial"/>
          <w:sz w:val="24"/>
          <w:szCs w:val="24"/>
        </w:rPr>
        <w:t xml:space="preserve">ao art. 6º do Anexo IX do RCTE/GO </w:t>
      </w:r>
      <w:r>
        <w:rPr>
          <w:rFonts w:ascii="Arial" w:hAnsi="Arial" w:cs="Arial"/>
          <w:sz w:val="24"/>
          <w:szCs w:val="24"/>
        </w:rPr>
        <w:t>para instituir novas hipóteses de isenção por prazo indeterminado, nos seguintes termos</w:t>
      </w:r>
      <w:r w:rsidR="0019044F">
        <w:rPr>
          <w:rFonts w:ascii="Arial" w:hAnsi="Arial" w:cs="Arial"/>
          <w:sz w:val="24"/>
          <w:szCs w:val="24"/>
        </w:rPr>
        <w:t>:</w:t>
      </w:r>
    </w:p>
    <w:p w14:paraId="4A06A50D" w14:textId="0AA37B2D" w:rsidR="00A03887" w:rsidRPr="00630370" w:rsidRDefault="00A03887" w:rsidP="00DC688C">
      <w:pPr>
        <w:spacing w:line="360" w:lineRule="auto"/>
        <w:ind w:left="2268"/>
        <w:jc w:val="both"/>
        <w:rPr>
          <w:rFonts w:ascii="Arial" w:hAnsi="Arial" w:cs="Arial"/>
          <w:sz w:val="24"/>
          <w:szCs w:val="24"/>
        </w:rPr>
      </w:pPr>
    </w:p>
    <w:p w14:paraId="3E44A699" w14:textId="0D9FED66" w:rsidR="00A03887" w:rsidRDefault="00A03887" w:rsidP="00DC688C">
      <w:pPr>
        <w:ind w:left="2268"/>
        <w:jc w:val="both"/>
        <w:rPr>
          <w:rFonts w:ascii="Arial" w:hAnsi="Arial" w:cs="Arial"/>
          <w:sz w:val="22"/>
          <w:szCs w:val="22"/>
        </w:rPr>
      </w:pPr>
      <w:r w:rsidRPr="00A03887">
        <w:rPr>
          <w:rFonts w:ascii="Arial" w:hAnsi="Arial" w:cs="Arial"/>
          <w:sz w:val="22"/>
          <w:szCs w:val="22"/>
        </w:rPr>
        <w:t xml:space="preserve">Art. 6º </w:t>
      </w:r>
      <w:r w:rsidR="0019044F" w:rsidRPr="0019044F">
        <w:rPr>
          <w:rFonts w:ascii="Arial" w:hAnsi="Arial" w:cs="Arial"/>
          <w:sz w:val="22"/>
          <w:szCs w:val="22"/>
        </w:rPr>
        <w:t>São isentos do ICMS:</w:t>
      </w:r>
    </w:p>
    <w:p w14:paraId="4B6329C3" w14:textId="318FF57F" w:rsidR="0019044F" w:rsidRPr="00A03887" w:rsidRDefault="0019044F" w:rsidP="00DC688C">
      <w:pPr>
        <w:ind w:left="2268"/>
        <w:jc w:val="both"/>
        <w:rPr>
          <w:rFonts w:ascii="Arial" w:hAnsi="Arial" w:cs="Arial"/>
          <w:sz w:val="22"/>
          <w:szCs w:val="22"/>
        </w:rPr>
      </w:pPr>
      <w:r>
        <w:rPr>
          <w:rFonts w:ascii="Arial" w:hAnsi="Arial" w:cs="Arial"/>
          <w:sz w:val="22"/>
          <w:szCs w:val="22"/>
        </w:rPr>
        <w:t>[...].</w:t>
      </w:r>
    </w:p>
    <w:p w14:paraId="6AB8059C" w14:textId="6EC0DCDD" w:rsidR="00A03887" w:rsidRPr="0019044F" w:rsidRDefault="00A03887" w:rsidP="00DC688C">
      <w:pPr>
        <w:ind w:left="2268"/>
        <w:jc w:val="both"/>
        <w:rPr>
          <w:rFonts w:ascii="Arial" w:hAnsi="Arial" w:cs="Arial"/>
          <w:b/>
          <w:sz w:val="22"/>
          <w:szCs w:val="22"/>
        </w:rPr>
      </w:pPr>
      <w:r w:rsidRPr="0019044F">
        <w:rPr>
          <w:rFonts w:ascii="Arial" w:hAnsi="Arial" w:cs="Arial"/>
          <w:b/>
          <w:sz w:val="22"/>
          <w:szCs w:val="22"/>
        </w:rPr>
        <w:t xml:space="preserve">CLV - as saídas internas de mercadorias, novas ou usadas, comercializadas sob a forma de bazar, recebidas em doação de pessoas físicas ou jurídicas, contribuintes ou não do ICMS, promovidas pela entidade Obras Sociais do Centro Espírita Irmão Áureo </w:t>
      </w:r>
      <w:r w:rsidR="0019044F" w:rsidRPr="0019044F">
        <w:rPr>
          <w:rFonts w:ascii="Arial" w:hAnsi="Arial" w:cs="Arial"/>
          <w:b/>
          <w:sz w:val="22"/>
          <w:szCs w:val="22"/>
        </w:rPr>
        <w:t>–</w:t>
      </w:r>
      <w:r w:rsidRPr="0019044F">
        <w:rPr>
          <w:rFonts w:ascii="Arial" w:hAnsi="Arial" w:cs="Arial"/>
          <w:b/>
          <w:sz w:val="22"/>
          <w:szCs w:val="22"/>
        </w:rPr>
        <w:t xml:space="preserve"> OSCEIA, inscrita no CNPJ sob o nº 25.006.149/0001-09, credenciada nos termos da Lei nº 12.101, de 27 de novembro de 2009, podendo ato do Secretário de Estado da Fazenda estabelecer formas de controle em relação às referidas saídas (Convênio ICMS 92/18);</w:t>
      </w:r>
    </w:p>
    <w:p w14:paraId="30BC1D32" w14:textId="77777777" w:rsidR="00A03887" w:rsidRPr="0019044F" w:rsidRDefault="00A03887" w:rsidP="00DC688C">
      <w:pPr>
        <w:ind w:left="2268"/>
        <w:jc w:val="both"/>
        <w:rPr>
          <w:rFonts w:ascii="Arial" w:hAnsi="Arial" w:cs="Arial"/>
          <w:b/>
          <w:sz w:val="22"/>
          <w:szCs w:val="22"/>
        </w:rPr>
      </w:pPr>
      <w:r w:rsidRPr="0019044F">
        <w:rPr>
          <w:rFonts w:ascii="Arial" w:hAnsi="Arial" w:cs="Arial"/>
          <w:b/>
          <w:sz w:val="22"/>
          <w:szCs w:val="22"/>
        </w:rPr>
        <w:t>CLVI - as operações com o medicamento Spinraza (Nusinersena) injection 12 mg/5 ml, classificado no código 3004.90.79 da Nomenclatura Comum do Mercosul – NCM, destinado a tratamento da Atrofia Muscular Espinal – AME, ficando mantido o crédito e observado o seguinte (Convênio ICMS 96/18):</w:t>
      </w:r>
    </w:p>
    <w:p w14:paraId="3BB8D3BE" w14:textId="77777777" w:rsidR="00A03887" w:rsidRPr="0019044F" w:rsidRDefault="00A03887" w:rsidP="00DC688C">
      <w:pPr>
        <w:ind w:left="2268"/>
        <w:jc w:val="both"/>
        <w:rPr>
          <w:rFonts w:ascii="Arial" w:hAnsi="Arial" w:cs="Arial"/>
          <w:b/>
          <w:sz w:val="22"/>
          <w:szCs w:val="22"/>
        </w:rPr>
      </w:pPr>
      <w:r w:rsidRPr="0019044F">
        <w:rPr>
          <w:rFonts w:ascii="Arial" w:hAnsi="Arial" w:cs="Arial"/>
          <w:b/>
          <w:sz w:val="22"/>
          <w:szCs w:val="22"/>
        </w:rPr>
        <w:t>a) o benefício fiscal previsto neste inciso fica condicionado a que o medicamento tenha autorização para importação concedida pela Agência Nacional de Vigilância Sanitária - ANVISA;</w:t>
      </w:r>
    </w:p>
    <w:p w14:paraId="3C9FEBED" w14:textId="1430DD9E" w:rsidR="00A03887" w:rsidRPr="00A03887" w:rsidRDefault="00A03887" w:rsidP="00DC688C">
      <w:pPr>
        <w:ind w:left="2268"/>
        <w:jc w:val="both"/>
        <w:rPr>
          <w:rFonts w:ascii="Arial" w:hAnsi="Arial" w:cs="Arial"/>
          <w:sz w:val="22"/>
          <w:szCs w:val="22"/>
        </w:rPr>
      </w:pPr>
      <w:r w:rsidRPr="0019044F">
        <w:rPr>
          <w:rFonts w:ascii="Arial" w:hAnsi="Arial" w:cs="Arial"/>
          <w:b/>
          <w:sz w:val="22"/>
          <w:szCs w:val="22"/>
        </w:rPr>
        <w:t>b) o valor correspondente à isenção do ICMS deve ser deduzido do preço do respectivo produto, devendo o contribuinte demonstrar a dedução, expressamente, no documento fiscal</w:t>
      </w:r>
      <w:r w:rsidR="0019044F">
        <w:rPr>
          <w:rFonts w:ascii="Arial" w:hAnsi="Arial" w:cs="Arial"/>
          <w:sz w:val="22"/>
          <w:szCs w:val="22"/>
        </w:rPr>
        <w:t>.</w:t>
      </w:r>
    </w:p>
    <w:p w14:paraId="137CF0DB" w14:textId="77777777" w:rsidR="0019044F" w:rsidRDefault="0019044F" w:rsidP="00DC688C">
      <w:pPr>
        <w:ind w:left="2268"/>
        <w:jc w:val="both"/>
        <w:rPr>
          <w:rFonts w:ascii="Arial" w:hAnsi="Arial" w:cs="Arial"/>
          <w:sz w:val="22"/>
          <w:szCs w:val="22"/>
        </w:rPr>
      </w:pPr>
    </w:p>
    <w:p w14:paraId="63212D89" w14:textId="40554269" w:rsidR="0019044F" w:rsidRDefault="0019044F" w:rsidP="0019044F">
      <w:pPr>
        <w:spacing w:line="360" w:lineRule="auto"/>
        <w:ind w:firstLine="851"/>
        <w:jc w:val="both"/>
        <w:rPr>
          <w:rFonts w:ascii="Arial" w:hAnsi="Arial" w:cs="Arial"/>
          <w:sz w:val="24"/>
          <w:szCs w:val="24"/>
        </w:rPr>
      </w:pPr>
      <w:r w:rsidRPr="0019044F">
        <w:rPr>
          <w:rFonts w:ascii="Arial" w:hAnsi="Arial" w:cs="Arial"/>
          <w:sz w:val="24"/>
          <w:szCs w:val="24"/>
          <w:u w:val="single"/>
        </w:rPr>
        <w:t xml:space="preserve">Referido ato normativo, publicado em </w:t>
      </w:r>
      <w:r w:rsidR="00666A71">
        <w:rPr>
          <w:rFonts w:ascii="Arial" w:hAnsi="Arial" w:cs="Arial"/>
          <w:sz w:val="24"/>
          <w:szCs w:val="24"/>
          <w:u w:val="single"/>
        </w:rPr>
        <w:t>1º/03/</w:t>
      </w:r>
      <w:r w:rsidRPr="0019044F">
        <w:rPr>
          <w:rFonts w:ascii="Arial" w:hAnsi="Arial" w:cs="Arial"/>
          <w:sz w:val="24"/>
          <w:szCs w:val="24"/>
          <w:u w:val="single"/>
        </w:rPr>
        <w:t>2019, ainda estabeleceu, em seu art. 2º, cláusula de vigência retroativa a</w:t>
      </w:r>
      <w:r>
        <w:rPr>
          <w:rFonts w:ascii="Arial" w:hAnsi="Arial" w:cs="Arial"/>
          <w:sz w:val="24"/>
          <w:szCs w:val="24"/>
        </w:rPr>
        <w:t xml:space="preserve">: </w:t>
      </w:r>
      <w:r w:rsidRPr="0019044F">
        <w:rPr>
          <w:rFonts w:ascii="Arial" w:hAnsi="Arial" w:cs="Arial"/>
          <w:i/>
          <w:sz w:val="24"/>
          <w:szCs w:val="24"/>
        </w:rPr>
        <w:t>a) 1º/12/2018</w:t>
      </w:r>
      <w:r>
        <w:rPr>
          <w:rFonts w:ascii="Arial" w:hAnsi="Arial" w:cs="Arial"/>
          <w:sz w:val="24"/>
          <w:szCs w:val="24"/>
        </w:rPr>
        <w:t xml:space="preserve">, quanto ao benefício instituído em favor da entidade </w:t>
      </w:r>
      <w:r w:rsidRPr="0019044F">
        <w:rPr>
          <w:rFonts w:ascii="Arial" w:hAnsi="Arial" w:cs="Arial"/>
          <w:sz w:val="24"/>
          <w:szCs w:val="24"/>
        </w:rPr>
        <w:t>Obras Sociais do Centro Espírita Irmão Áureo – OSCEIA</w:t>
      </w:r>
      <w:r>
        <w:rPr>
          <w:rFonts w:ascii="Arial" w:hAnsi="Arial" w:cs="Arial"/>
          <w:sz w:val="24"/>
          <w:szCs w:val="24"/>
        </w:rPr>
        <w:t xml:space="preserve"> (inciso CLV); </w:t>
      </w:r>
      <w:r w:rsidRPr="0019044F">
        <w:rPr>
          <w:rFonts w:ascii="Arial" w:hAnsi="Arial" w:cs="Arial"/>
          <w:i/>
          <w:sz w:val="24"/>
          <w:szCs w:val="24"/>
        </w:rPr>
        <w:t>b) 1º/01/2019</w:t>
      </w:r>
      <w:r w:rsidRPr="0019044F">
        <w:rPr>
          <w:rFonts w:ascii="Arial" w:hAnsi="Arial" w:cs="Arial"/>
          <w:sz w:val="24"/>
          <w:szCs w:val="24"/>
        </w:rPr>
        <w:t xml:space="preserve">, </w:t>
      </w:r>
      <w:r>
        <w:rPr>
          <w:rFonts w:ascii="Arial" w:hAnsi="Arial" w:cs="Arial"/>
          <w:sz w:val="24"/>
          <w:szCs w:val="24"/>
        </w:rPr>
        <w:t>quanto ao benefício instituído para operações com o medicamento Spinraza (inciso CLVI).</w:t>
      </w:r>
    </w:p>
    <w:p w14:paraId="71D0AC85" w14:textId="70D01723" w:rsidR="000D70CB" w:rsidRPr="00630370" w:rsidRDefault="000D70CB" w:rsidP="000D70CB">
      <w:pPr>
        <w:spacing w:line="360" w:lineRule="auto"/>
        <w:ind w:firstLine="851"/>
        <w:jc w:val="both"/>
        <w:rPr>
          <w:rFonts w:ascii="Arial" w:hAnsi="Arial" w:cs="Arial"/>
          <w:sz w:val="24"/>
          <w:szCs w:val="24"/>
        </w:rPr>
      </w:pPr>
      <w:r>
        <w:rPr>
          <w:rFonts w:ascii="Arial" w:hAnsi="Arial" w:cs="Arial"/>
          <w:sz w:val="24"/>
          <w:szCs w:val="24"/>
        </w:rPr>
        <w:t>Portanto, inconstitucional o Decreto nº 9.411/2019 ao criar nova</w:t>
      </w:r>
      <w:r w:rsidR="002229F1">
        <w:rPr>
          <w:rFonts w:ascii="Arial" w:hAnsi="Arial" w:cs="Arial"/>
          <w:sz w:val="24"/>
          <w:szCs w:val="24"/>
        </w:rPr>
        <w:t>s</w:t>
      </w:r>
      <w:r>
        <w:rPr>
          <w:rFonts w:ascii="Arial" w:hAnsi="Arial" w:cs="Arial"/>
          <w:sz w:val="24"/>
          <w:szCs w:val="24"/>
        </w:rPr>
        <w:t xml:space="preserve"> hipótese</w:t>
      </w:r>
      <w:r w:rsidR="002229F1">
        <w:rPr>
          <w:rFonts w:ascii="Arial" w:hAnsi="Arial" w:cs="Arial"/>
          <w:sz w:val="24"/>
          <w:szCs w:val="24"/>
        </w:rPr>
        <w:t>s</w:t>
      </w:r>
      <w:r>
        <w:rPr>
          <w:rFonts w:ascii="Arial" w:hAnsi="Arial" w:cs="Arial"/>
          <w:sz w:val="24"/>
          <w:szCs w:val="24"/>
        </w:rPr>
        <w:t xml:space="preserve"> de </w:t>
      </w:r>
      <w:r w:rsidR="002229F1">
        <w:rPr>
          <w:rFonts w:ascii="Arial" w:hAnsi="Arial" w:cs="Arial"/>
          <w:sz w:val="24"/>
          <w:szCs w:val="24"/>
        </w:rPr>
        <w:t>isenção por prazo indeterminado</w:t>
      </w:r>
      <w:r w:rsidRPr="00630370">
        <w:rPr>
          <w:rFonts w:ascii="Arial" w:hAnsi="Arial" w:cs="Arial"/>
          <w:sz w:val="24"/>
          <w:szCs w:val="24"/>
        </w:rPr>
        <w:t xml:space="preserve">, nos termos </w:t>
      </w:r>
      <w:r w:rsidR="002229F1">
        <w:rPr>
          <w:rFonts w:ascii="Arial" w:hAnsi="Arial" w:cs="Arial"/>
          <w:sz w:val="24"/>
          <w:szCs w:val="24"/>
        </w:rPr>
        <w:t>retromencionados</w:t>
      </w:r>
      <w:r w:rsidRPr="00630370">
        <w:rPr>
          <w:rFonts w:ascii="Arial" w:hAnsi="Arial" w:cs="Arial"/>
          <w:sz w:val="24"/>
          <w:szCs w:val="24"/>
        </w:rPr>
        <w:t>.</w:t>
      </w:r>
    </w:p>
    <w:p w14:paraId="21E198E7" w14:textId="03A3968A" w:rsidR="00415754" w:rsidRDefault="00415754" w:rsidP="0019044F">
      <w:pPr>
        <w:spacing w:line="360" w:lineRule="auto"/>
        <w:ind w:firstLine="851"/>
        <w:jc w:val="both"/>
        <w:rPr>
          <w:rFonts w:ascii="Arial" w:hAnsi="Arial" w:cs="Arial"/>
          <w:sz w:val="24"/>
          <w:szCs w:val="24"/>
        </w:rPr>
      </w:pPr>
    </w:p>
    <w:p w14:paraId="02E44F70" w14:textId="25003953" w:rsidR="0039179D" w:rsidRDefault="0039179D" w:rsidP="00713208">
      <w:pPr>
        <w:spacing w:line="360" w:lineRule="auto"/>
        <w:ind w:firstLine="851"/>
        <w:jc w:val="both"/>
        <w:rPr>
          <w:rFonts w:ascii="Arial" w:hAnsi="Arial" w:cs="Arial"/>
          <w:b/>
          <w:sz w:val="24"/>
          <w:szCs w:val="24"/>
        </w:rPr>
      </w:pPr>
      <w:r w:rsidRPr="0039179D">
        <w:rPr>
          <w:rFonts w:ascii="Arial" w:hAnsi="Arial" w:cs="Arial"/>
          <w:b/>
          <w:sz w:val="24"/>
          <w:szCs w:val="24"/>
        </w:rPr>
        <w:t>5.3</w:t>
      </w:r>
      <w:r>
        <w:rPr>
          <w:rFonts w:ascii="Arial" w:hAnsi="Arial" w:cs="Arial"/>
          <w:b/>
          <w:sz w:val="24"/>
          <w:szCs w:val="24"/>
        </w:rPr>
        <w:t xml:space="preserve"> </w:t>
      </w:r>
      <w:r w:rsidR="00B94CD3">
        <w:rPr>
          <w:rFonts w:ascii="Arial" w:hAnsi="Arial" w:cs="Arial"/>
          <w:b/>
          <w:sz w:val="24"/>
          <w:szCs w:val="24"/>
        </w:rPr>
        <w:t xml:space="preserve">– </w:t>
      </w:r>
      <w:r w:rsidR="002F5003">
        <w:rPr>
          <w:rFonts w:ascii="Arial" w:hAnsi="Arial" w:cs="Arial"/>
          <w:b/>
          <w:sz w:val="24"/>
          <w:szCs w:val="24"/>
        </w:rPr>
        <w:t xml:space="preserve">ANÁLISE GERAL ACERCA DA </w:t>
      </w:r>
      <w:r w:rsidR="00B94CD3">
        <w:rPr>
          <w:rFonts w:ascii="Arial" w:hAnsi="Arial" w:cs="Arial"/>
          <w:b/>
          <w:sz w:val="24"/>
          <w:szCs w:val="24"/>
        </w:rPr>
        <w:t xml:space="preserve">SISTEMÁTICA </w:t>
      </w:r>
      <w:r w:rsidR="003B4761">
        <w:rPr>
          <w:rFonts w:ascii="Arial" w:hAnsi="Arial" w:cs="Arial"/>
          <w:b/>
          <w:sz w:val="24"/>
          <w:szCs w:val="24"/>
        </w:rPr>
        <w:t>DE CONCESSÃO DE INCENTIVOS FISCAIS NO ESTADO DE GOIÁS, TERMO DE ACORDO DE REGIME ESPECIAL</w:t>
      </w:r>
      <w:r w:rsidR="00EC3CC8">
        <w:rPr>
          <w:rFonts w:ascii="Arial" w:hAnsi="Arial" w:cs="Arial"/>
          <w:b/>
          <w:sz w:val="24"/>
          <w:szCs w:val="24"/>
        </w:rPr>
        <w:t xml:space="preserve"> (TARE)</w:t>
      </w:r>
      <w:r w:rsidR="003B4761">
        <w:rPr>
          <w:rFonts w:ascii="Arial" w:hAnsi="Arial" w:cs="Arial"/>
          <w:b/>
          <w:sz w:val="24"/>
          <w:szCs w:val="24"/>
        </w:rPr>
        <w:t xml:space="preserve"> E INSTRUMEN</w:t>
      </w:r>
      <w:r w:rsidR="00532631">
        <w:rPr>
          <w:rFonts w:ascii="Arial" w:hAnsi="Arial" w:cs="Arial"/>
          <w:b/>
          <w:sz w:val="24"/>
          <w:szCs w:val="24"/>
        </w:rPr>
        <w:t>T</w:t>
      </w:r>
      <w:r w:rsidR="003B4761">
        <w:rPr>
          <w:rFonts w:ascii="Arial" w:hAnsi="Arial" w:cs="Arial"/>
          <w:b/>
          <w:sz w:val="24"/>
          <w:szCs w:val="24"/>
        </w:rPr>
        <w:t>OS CONGÊNERES</w:t>
      </w:r>
    </w:p>
    <w:p w14:paraId="43485D13" w14:textId="7BE0953C" w:rsidR="0039179D" w:rsidRDefault="0039179D" w:rsidP="00713208">
      <w:pPr>
        <w:spacing w:line="360" w:lineRule="auto"/>
        <w:ind w:firstLine="851"/>
        <w:jc w:val="both"/>
        <w:rPr>
          <w:rFonts w:ascii="Arial" w:hAnsi="Arial" w:cs="Arial"/>
          <w:b/>
          <w:sz w:val="24"/>
          <w:szCs w:val="24"/>
        </w:rPr>
      </w:pPr>
    </w:p>
    <w:p w14:paraId="27B812B1" w14:textId="0FF81C9D" w:rsidR="00765BCB" w:rsidRDefault="00765BCB" w:rsidP="00713208">
      <w:pPr>
        <w:spacing w:line="360" w:lineRule="auto"/>
        <w:ind w:firstLine="851"/>
        <w:jc w:val="both"/>
        <w:rPr>
          <w:rFonts w:ascii="Arial" w:hAnsi="Arial" w:cs="Arial"/>
          <w:b/>
          <w:sz w:val="24"/>
          <w:szCs w:val="24"/>
          <w:u w:val="single"/>
        </w:rPr>
      </w:pPr>
      <w:r w:rsidRPr="00765BCB">
        <w:rPr>
          <w:rFonts w:ascii="Arial" w:hAnsi="Arial" w:cs="Arial"/>
          <w:b/>
          <w:sz w:val="24"/>
          <w:szCs w:val="24"/>
          <w:u w:val="single"/>
        </w:rPr>
        <w:t>5.3.1 – Introdução</w:t>
      </w:r>
    </w:p>
    <w:p w14:paraId="3C6E653D" w14:textId="77777777" w:rsidR="00765BCB" w:rsidRPr="00765BCB" w:rsidRDefault="00765BCB" w:rsidP="00713208">
      <w:pPr>
        <w:spacing w:line="360" w:lineRule="auto"/>
        <w:ind w:firstLine="851"/>
        <w:jc w:val="both"/>
        <w:rPr>
          <w:rFonts w:ascii="Arial" w:hAnsi="Arial" w:cs="Arial"/>
          <w:b/>
          <w:sz w:val="24"/>
          <w:szCs w:val="24"/>
          <w:u w:val="single"/>
        </w:rPr>
      </w:pPr>
    </w:p>
    <w:p w14:paraId="754815E3" w14:textId="72A7BAD9" w:rsidR="003B4761" w:rsidRDefault="003B4761" w:rsidP="00713208">
      <w:pPr>
        <w:spacing w:line="360" w:lineRule="auto"/>
        <w:ind w:firstLine="851"/>
        <w:jc w:val="both"/>
        <w:rPr>
          <w:rFonts w:ascii="Arial" w:hAnsi="Arial" w:cs="Arial"/>
          <w:sz w:val="24"/>
          <w:szCs w:val="24"/>
        </w:rPr>
      </w:pPr>
      <w:r>
        <w:rPr>
          <w:rFonts w:ascii="Arial" w:hAnsi="Arial" w:cs="Arial"/>
          <w:sz w:val="24"/>
          <w:szCs w:val="24"/>
        </w:rPr>
        <w:t>Importante compreender</w:t>
      </w:r>
      <w:r w:rsidR="00212AD7">
        <w:rPr>
          <w:rFonts w:ascii="Arial" w:hAnsi="Arial" w:cs="Arial"/>
          <w:sz w:val="24"/>
          <w:szCs w:val="24"/>
        </w:rPr>
        <w:t>, em linhas gerais e ainda nesse contexto sobre o princípio da legalidade,</w:t>
      </w:r>
      <w:r>
        <w:rPr>
          <w:rFonts w:ascii="Arial" w:hAnsi="Arial" w:cs="Arial"/>
          <w:sz w:val="24"/>
          <w:szCs w:val="24"/>
        </w:rPr>
        <w:t xml:space="preserve"> qual </w:t>
      </w:r>
      <w:r w:rsidRPr="00747098">
        <w:rPr>
          <w:rFonts w:ascii="Arial" w:hAnsi="Arial" w:cs="Arial"/>
          <w:sz w:val="24"/>
          <w:szCs w:val="24"/>
        </w:rPr>
        <w:t xml:space="preserve">a </w:t>
      </w:r>
      <w:r w:rsidRPr="00747098">
        <w:rPr>
          <w:rFonts w:ascii="Arial" w:hAnsi="Arial" w:cs="Arial"/>
          <w:b/>
          <w:sz w:val="24"/>
          <w:szCs w:val="24"/>
        </w:rPr>
        <w:t>sistemática de concessão de incentivos fiscais no Estado de Goiás</w:t>
      </w:r>
      <w:r w:rsidR="00212AD7" w:rsidRPr="00747098">
        <w:rPr>
          <w:rFonts w:ascii="Arial" w:hAnsi="Arial" w:cs="Arial"/>
          <w:b/>
          <w:sz w:val="24"/>
          <w:szCs w:val="24"/>
        </w:rPr>
        <w:t>, a fim de entender</w:t>
      </w:r>
      <w:r w:rsidR="00212AD7" w:rsidRPr="001713B7">
        <w:rPr>
          <w:rFonts w:ascii="Arial" w:hAnsi="Arial" w:cs="Arial"/>
          <w:b/>
          <w:sz w:val="24"/>
          <w:szCs w:val="24"/>
        </w:rPr>
        <w:t xml:space="preserve"> claramente qual o papel</w:t>
      </w:r>
      <w:r w:rsidR="00212AD7">
        <w:rPr>
          <w:rFonts w:ascii="Arial" w:hAnsi="Arial" w:cs="Arial"/>
          <w:sz w:val="24"/>
          <w:szCs w:val="24"/>
        </w:rPr>
        <w:t xml:space="preserve"> que a </w:t>
      </w:r>
      <w:r w:rsidR="00212AD7" w:rsidRPr="001713B7">
        <w:rPr>
          <w:rFonts w:ascii="Arial" w:hAnsi="Arial" w:cs="Arial"/>
          <w:sz w:val="24"/>
          <w:szCs w:val="24"/>
          <w:u w:val="single"/>
        </w:rPr>
        <w:t>lei</w:t>
      </w:r>
      <w:r w:rsidR="00A65207">
        <w:rPr>
          <w:rFonts w:ascii="Arial" w:hAnsi="Arial" w:cs="Arial"/>
          <w:sz w:val="24"/>
          <w:szCs w:val="24"/>
        </w:rPr>
        <w:t xml:space="preserve">, o </w:t>
      </w:r>
      <w:r w:rsidR="00A65207" w:rsidRPr="001713B7">
        <w:rPr>
          <w:rFonts w:ascii="Arial" w:hAnsi="Arial" w:cs="Arial"/>
          <w:sz w:val="24"/>
          <w:szCs w:val="24"/>
          <w:u w:val="single"/>
        </w:rPr>
        <w:t>regulamento</w:t>
      </w:r>
      <w:r w:rsidR="00212AD7">
        <w:rPr>
          <w:rFonts w:ascii="Arial" w:hAnsi="Arial" w:cs="Arial"/>
          <w:sz w:val="24"/>
          <w:szCs w:val="24"/>
        </w:rPr>
        <w:t xml:space="preserve"> e os </w:t>
      </w:r>
      <w:r w:rsidR="00212AD7" w:rsidRPr="001713B7">
        <w:rPr>
          <w:rFonts w:ascii="Arial" w:hAnsi="Arial" w:cs="Arial"/>
          <w:sz w:val="24"/>
          <w:szCs w:val="24"/>
          <w:u w:val="single"/>
        </w:rPr>
        <w:t>atos administrativos</w:t>
      </w:r>
      <w:r w:rsidR="00212AD7">
        <w:rPr>
          <w:rFonts w:ascii="Arial" w:hAnsi="Arial" w:cs="Arial"/>
          <w:sz w:val="24"/>
          <w:szCs w:val="24"/>
        </w:rPr>
        <w:t xml:space="preserve"> têm desempenhado</w:t>
      </w:r>
      <w:r w:rsidR="00A65207">
        <w:rPr>
          <w:rFonts w:ascii="Arial" w:hAnsi="Arial" w:cs="Arial"/>
          <w:sz w:val="24"/>
          <w:szCs w:val="24"/>
        </w:rPr>
        <w:t xml:space="preserve"> em matéria de incentivos fiscais, bem como </w:t>
      </w:r>
      <w:r w:rsidR="00212AD7">
        <w:rPr>
          <w:rFonts w:ascii="Arial" w:hAnsi="Arial" w:cs="Arial"/>
          <w:sz w:val="24"/>
          <w:szCs w:val="24"/>
        </w:rPr>
        <w:t xml:space="preserve">o </w:t>
      </w:r>
      <w:r w:rsidR="00AD0F19">
        <w:rPr>
          <w:rFonts w:ascii="Arial" w:hAnsi="Arial" w:cs="Arial"/>
          <w:sz w:val="24"/>
          <w:szCs w:val="24"/>
        </w:rPr>
        <w:t>famigerado</w:t>
      </w:r>
      <w:r w:rsidR="00212AD7">
        <w:rPr>
          <w:rFonts w:ascii="Arial" w:hAnsi="Arial" w:cs="Arial"/>
          <w:sz w:val="24"/>
          <w:szCs w:val="24"/>
        </w:rPr>
        <w:t xml:space="preserve"> </w:t>
      </w:r>
      <w:r w:rsidR="00510728" w:rsidRPr="001713B7">
        <w:rPr>
          <w:rFonts w:ascii="Arial" w:hAnsi="Arial" w:cs="Arial"/>
          <w:sz w:val="24"/>
          <w:szCs w:val="24"/>
          <w:u w:val="single"/>
        </w:rPr>
        <w:t>Termo de Acordo de Regime Especial (TARE)</w:t>
      </w:r>
      <w:r w:rsidR="00A65207">
        <w:rPr>
          <w:rFonts w:ascii="Arial" w:hAnsi="Arial" w:cs="Arial"/>
          <w:sz w:val="24"/>
          <w:szCs w:val="24"/>
        </w:rPr>
        <w:t xml:space="preserve"> </w:t>
      </w:r>
      <w:r w:rsidR="001713B7">
        <w:rPr>
          <w:rFonts w:ascii="Arial" w:hAnsi="Arial" w:cs="Arial"/>
          <w:sz w:val="24"/>
          <w:szCs w:val="24"/>
        </w:rPr>
        <w:t xml:space="preserve">e outros instrumentos congêneres </w:t>
      </w:r>
      <w:r w:rsidR="00A65207">
        <w:rPr>
          <w:rFonts w:ascii="Arial" w:hAnsi="Arial" w:cs="Arial"/>
          <w:sz w:val="24"/>
          <w:szCs w:val="24"/>
        </w:rPr>
        <w:t>e as principais controvérsias que o</w:t>
      </w:r>
      <w:r w:rsidR="001713B7">
        <w:rPr>
          <w:rFonts w:ascii="Arial" w:hAnsi="Arial" w:cs="Arial"/>
          <w:sz w:val="24"/>
          <w:szCs w:val="24"/>
        </w:rPr>
        <w:t>s</w:t>
      </w:r>
      <w:r w:rsidR="00A65207">
        <w:rPr>
          <w:rFonts w:ascii="Arial" w:hAnsi="Arial" w:cs="Arial"/>
          <w:sz w:val="24"/>
          <w:szCs w:val="24"/>
        </w:rPr>
        <w:t xml:space="preserve"> circundam</w:t>
      </w:r>
      <w:r w:rsidR="00212AD7">
        <w:rPr>
          <w:rFonts w:ascii="Arial" w:hAnsi="Arial" w:cs="Arial"/>
          <w:sz w:val="24"/>
          <w:szCs w:val="24"/>
        </w:rPr>
        <w:t>.</w:t>
      </w:r>
    </w:p>
    <w:p w14:paraId="6A4187A8" w14:textId="00A3A9BF" w:rsidR="00394FF2" w:rsidRDefault="0009573B" w:rsidP="00713208">
      <w:pPr>
        <w:spacing w:line="360" w:lineRule="auto"/>
        <w:ind w:firstLine="851"/>
        <w:jc w:val="both"/>
        <w:rPr>
          <w:rFonts w:ascii="Arial" w:hAnsi="Arial" w:cs="Arial"/>
          <w:sz w:val="24"/>
          <w:szCs w:val="24"/>
        </w:rPr>
      </w:pPr>
      <w:r>
        <w:rPr>
          <w:rFonts w:ascii="Arial" w:hAnsi="Arial" w:cs="Arial"/>
          <w:sz w:val="24"/>
          <w:szCs w:val="24"/>
        </w:rPr>
        <w:t xml:space="preserve">Em primeiro lugar, registre-se </w:t>
      </w:r>
      <w:r w:rsidRPr="00747098">
        <w:rPr>
          <w:rFonts w:ascii="Arial" w:hAnsi="Arial" w:cs="Arial"/>
          <w:sz w:val="24"/>
          <w:szCs w:val="24"/>
        </w:rPr>
        <w:t xml:space="preserve">que </w:t>
      </w:r>
      <w:r w:rsidRPr="00747098">
        <w:rPr>
          <w:rFonts w:ascii="Arial" w:hAnsi="Arial" w:cs="Arial"/>
          <w:b/>
          <w:sz w:val="24"/>
          <w:szCs w:val="24"/>
        </w:rPr>
        <w:t>não há, nem em nível nacional nem estadual, uma lei</w:t>
      </w:r>
      <w:r w:rsidR="00A00940" w:rsidRPr="00747098">
        <w:rPr>
          <w:rFonts w:ascii="Arial" w:hAnsi="Arial" w:cs="Arial"/>
          <w:b/>
          <w:sz w:val="24"/>
          <w:szCs w:val="24"/>
        </w:rPr>
        <w:t xml:space="preserve"> geral que estabeleça </w:t>
      </w:r>
      <w:r w:rsidR="00A00940" w:rsidRPr="00725E94">
        <w:rPr>
          <w:rFonts w:ascii="Arial" w:hAnsi="Arial" w:cs="Arial"/>
          <w:b/>
          <w:sz w:val="24"/>
          <w:szCs w:val="24"/>
        </w:rPr>
        <w:t>requisitos ou parâmetros para concessão ou fruição de incentivos fiscais relativos ao ICMS</w:t>
      </w:r>
      <w:r w:rsidR="00725E94">
        <w:rPr>
          <w:rStyle w:val="Refdenotaderodap"/>
          <w:rFonts w:ascii="Arial" w:hAnsi="Arial" w:cs="Arial"/>
          <w:b/>
          <w:sz w:val="24"/>
          <w:szCs w:val="24"/>
        </w:rPr>
        <w:footnoteReference w:id="29"/>
      </w:r>
      <w:r w:rsidR="00A00940" w:rsidRPr="00725E94">
        <w:rPr>
          <w:rFonts w:ascii="Arial" w:hAnsi="Arial" w:cs="Arial"/>
          <w:sz w:val="24"/>
          <w:szCs w:val="24"/>
        </w:rPr>
        <w:t>,</w:t>
      </w:r>
      <w:r w:rsidR="00A00940">
        <w:rPr>
          <w:rFonts w:ascii="Arial" w:hAnsi="Arial" w:cs="Arial"/>
          <w:sz w:val="24"/>
          <w:szCs w:val="24"/>
        </w:rPr>
        <w:t xml:space="preserve"> embora haja dispositivos constitucionais esparsos, tanto na CRFB/1988 como na CE-GO/1989</w:t>
      </w:r>
      <w:r w:rsidR="00506978">
        <w:rPr>
          <w:rFonts w:ascii="Arial" w:hAnsi="Arial" w:cs="Arial"/>
          <w:sz w:val="24"/>
          <w:szCs w:val="24"/>
        </w:rPr>
        <w:t>,</w:t>
      </w:r>
      <w:r w:rsidR="00A00940">
        <w:rPr>
          <w:rFonts w:ascii="Arial" w:hAnsi="Arial" w:cs="Arial"/>
          <w:sz w:val="24"/>
          <w:szCs w:val="24"/>
        </w:rPr>
        <w:t xml:space="preserve"> que proíbam a sua concessão em determinadas hipóteses, o que será mais bem explorado em tópico próprio deste relatório.</w:t>
      </w:r>
    </w:p>
    <w:p w14:paraId="458B1134" w14:textId="5EBC5451" w:rsidR="0009573B" w:rsidRDefault="001713B7" w:rsidP="00713208">
      <w:pPr>
        <w:spacing w:line="360" w:lineRule="auto"/>
        <w:ind w:firstLine="851"/>
        <w:jc w:val="both"/>
        <w:rPr>
          <w:rFonts w:ascii="Arial" w:hAnsi="Arial" w:cs="Arial"/>
          <w:sz w:val="24"/>
          <w:szCs w:val="24"/>
        </w:rPr>
      </w:pPr>
      <w:r>
        <w:rPr>
          <w:rFonts w:ascii="Arial" w:hAnsi="Arial" w:cs="Arial"/>
          <w:sz w:val="24"/>
          <w:szCs w:val="24"/>
        </w:rPr>
        <w:t xml:space="preserve">O fato é que a </w:t>
      </w:r>
      <w:r w:rsidRPr="00C8522A">
        <w:rPr>
          <w:rFonts w:ascii="Arial" w:hAnsi="Arial" w:cs="Arial"/>
          <w:b/>
          <w:sz w:val="24"/>
          <w:szCs w:val="24"/>
        </w:rPr>
        <w:t>ausência de uma legislação de caráter geral</w:t>
      </w:r>
      <w:r w:rsidR="00C8522A" w:rsidRPr="00C8522A">
        <w:rPr>
          <w:rFonts w:ascii="Arial" w:hAnsi="Arial" w:cs="Arial"/>
          <w:b/>
          <w:sz w:val="24"/>
          <w:szCs w:val="24"/>
        </w:rPr>
        <w:t>, que estabeleça critérios mínimos</w:t>
      </w:r>
      <w:r w:rsidRPr="00C8522A">
        <w:rPr>
          <w:rFonts w:ascii="Arial" w:hAnsi="Arial" w:cs="Arial"/>
          <w:b/>
          <w:sz w:val="24"/>
          <w:szCs w:val="24"/>
        </w:rPr>
        <w:t xml:space="preserve"> sobre a </w:t>
      </w:r>
      <w:r w:rsidR="001B7F2C">
        <w:rPr>
          <w:rFonts w:ascii="Arial" w:hAnsi="Arial" w:cs="Arial"/>
          <w:b/>
          <w:sz w:val="24"/>
          <w:szCs w:val="24"/>
        </w:rPr>
        <w:t>questão</w:t>
      </w:r>
      <w:r w:rsidR="00C8522A">
        <w:rPr>
          <w:rFonts w:ascii="Arial" w:hAnsi="Arial" w:cs="Arial"/>
          <w:sz w:val="24"/>
          <w:szCs w:val="24"/>
        </w:rPr>
        <w:t>,</w:t>
      </w:r>
      <w:r>
        <w:rPr>
          <w:rFonts w:ascii="Arial" w:hAnsi="Arial" w:cs="Arial"/>
          <w:sz w:val="24"/>
          <w:szCs w:val="24"/>
        </w:rPr>
        <w:t xml:space="preserve"> tem conduzido a que cada Estado-membro conceda e regulamente os incentivos fiscais da forma que reputar mais </w:t>
      </w:r>
      <w:r w:rsidR="00FF7F43">
        <w:rPr>
          <w:rFonts w:ascii="Arial" w:hAnsi="Arial" w:cs="Arial"/>
          <w:sz w:val="24"/>
          <w:szCs w:val="24"/>
        </w:rPr>
        <w:t>pertinente</w:t>
      </w:r>
      <w:r w:rsidR="00394FF2">
        <w:rPr>
          <w:rFonts w:ascii="Arial" w:hAnsi="Arial" w:cs="Arial"/>
          <w:sz w:val="24"/>
          <w:szCs w:val="24"/>
        </w:rPr>
        <w:t xml:space="preserve">, </w:t>
      </w:r>
      <w:r w:rsidR="00394FF2" w:rsidRPr="00C8522A">
        <w:rPr>
          <w:rFonts w:ascii="Arial" w:hAnsi="Arial" w:cs="Arial"/>
          <w:sz w:val="24"/>
          <w:szCs w:val="24"/>
          <w:u w:val="single"/>
        </w:rPr>
        <w:t>e isso pode ser considerado um</w:t>
      </w:r>
      <w:r w:rsidR="00C8522A" w:rsidRPr="00C8522A">
        <w:rPr>
          <w:rFonts w:ascii="Arial" w:hAnsi="Arial" w:cs="Arial"/>
          <w:sz w:val="24"/>
          <w:szCs w:val="24"/>
          <w:u w:val="single"/>
        </w:rPr>
        <w:t xml:space="preserve">a das principais dificuldades </w:t>
      </w:r>
      <w:r w:rsidR="00394FF2" w:rsidRPr="00C8522A">
        <w:rPr>
          <w:rFonts w:ascii="Arial" w:hAnsi="Arial" w:cs="Arial"/>
          <w:sz w:val="24"/>
          <w:szCs w:val="24"/>
          <w:u w:val="single"/>
        </w:rPr>
        <w:t>enfrenta</w:t>
      </w:r>
      <w:r w:rsidR="00C8522A">
        <w:rPr>
          <w:rFonts w:ascii="Arial" w:hAnsi="Arial" w:cs="Arial"/>
          <w:sz w:val="24"/>
          <w:szCs w:val="24"/>
          <w:u w:val="single"/>
        </w:rPr>
        <w:t>das</w:t>
      </w:r>
      <w:r w:rsidR="00394FF2" w:rsidRPr="00C8522A">
        <w:rPr>
          <w:rFonts w:ascii="Arial" w:hAnsi="Arial" w:cs="Arial"/>
          <w:sz w:val="24"/>
          <w:szCs w:val="24"/>
          <w:u w:val="single"/>
        </w:rPr>
        <w:t xml:space="preserve"> ao estudar a matéria</w:t>
      </w:r>
      <w:r w:rsidR="00C8522A">
        <w:rPr>
          <w:rFonts w:ascii="Arial" w:hAnsi="Arial" w:cs="Arial"/>
          <w:sz w:val="24"/>
          <w:szCs w:val="24"/>
        </w:rPr>
        <w:t>.</w:t>
      </w:r>
    </w:p>
    <w:p w14:paraId="498084EF" w14:textId="0349A5B2" w:rsidR="00FA316C" w:rsidRDefault="001713B7" w:rsidP="00713208">
      <w:pPr>
        <w:spacing w:line="360" w:lineRule="auto"/>
        <w:ind w:firstLine="851"/>
        <w:jc w:val="both"/>
        <w:rPr>
          <w:rFonts w:ascii="Arial" w:hAnsi="Arial" w:cs="Arial"/>
          <w:sz w:val="24"/>
          <w:szCs w:val="24"/>
        </w:rPr>
      </w:pPr>
      <w:r>
        <w:rPr>
          <w:rFonts w:ascii="Arial" w:hAnsi="Arial" w:cs="Arial"/>
          <w:sz w:val="24"/>
          <w:szCs w:val="24"/>
        </w:rPr>
        <w:t xml:space="preserve">No âmbito do Estado de Goiás, verifica-se que </w:t>
      </w:r>
      <w:r w:rsidRPr="00B5036B">
        <w:rPr>
          <w:rFonts w:ascii="Arial" w:hAnsi="Arial" w:cs="Arial"/>
          <w:b/>
          <w:sz w:val="24"/>
          <w:szCs w:val="24"/>
        </w:rPr>
        <w:t xml:space="preserve">diversas leis em sentido estrito que tratam de incentivos fiscais </w:t>
      </w:r>
      <w:r w:rsidR="00143DF9" w:rsidRPr="00747098">
        <w:rPr>
          <w:rFonts w:ascii="Arial" w:hAnsi="Arial" w:cs="Arial"/>
          <w:b/>
          <w:sz w:val="24"/>
          <w:szCs w:val="24"/>
        </w:rPr>
        <w:t xml:space="preserve">apenas </w:t>
      </w:r>
      <w:r w:rsidRPr="00747098">
        <w:rPr>
          <w:rFonts w:ascii="Arial" w:hAnsi="Arial" w:cs="Arial"/>
          <w:b/>
          <w:sz w:val="24"/>
          <w:szCs w:val="24"/>
        </w:rPr>
        <w:t>autorizam</w:t>
      </w:r>
      <w:r w:rsidRPr="00B5036B">
        <w:rPr>
          <w:rFonts w:ascii="Arial" w:hAnsi="Arial" w:cs="Arial"/>
          <w:b/>
          <w:sz w:val="24"/>
          <w:szCs w:val="24"/>
        </w:rPr>
        <w:t xml:space="preserve"> o Poder Executivo a conceder incentivos fiscais de determinada </w:t>
      </w:r>
      <w:r w:rsidRPr="003F5918">
        <w:rPr>
          <w:rFonts w:ascii="Arial" w:hAnsi="Arial" w:cs="Arial"/>
          <w:b/>
          <w:sz w:val="24"/>
          <w:szCs w:val="24"/>
        </w:rPr>
        <w:t>espécie nos termos que estabelecer</w:t>
      </w:r>
      <w:r>
        <w:rPr>
          <w:rFonts w:ascii="Arial" w:hAnsi="Arial" w:cs="Arial"/>
          <w:sz w:val="24"/>
          <w:szCs w:val="24"/>
        </w:rPr>
        <w:t>,</w:t>
      </w:r>
      <w:r w:rsidR="00AF36B2">
        <w:rPr>
          <w:rFonts w:ascii="Arial" w:hAnsi="Arial" w:cs="Arial"/>
          <w:sz w:val="24"/>
          <w:szCs w:val="24"/>
        </w:rPr>
        <w:t xml:space="preserve"> o que </w:t>
      </w:r>
      <w:r w:rsidR="00503B3C" w:rsidRPr="00363F24">
        <w:rPr>
          <w:rFonts w:ascii="Arial" w:hAnsi="Arial" w:cs="Arial"/>
          <w:sz w:val="24"/>
          <w:szCs w:val="24"/>
          <w:u w:val="single"/>
        </w:rPr>
        <w:t xml:space="preserve">evidencia </w:t>
      </w:r>
      <w:r w:rsidR="00AF36B2" w:rsidRPr="00363F24">
        <w:rPr>
          <w:rFonts w:ascii="Arial" w:hAnsi="Arial" w:cs="Arial"/>
          <w:sz w:val="24"/>
          <w:szCs w:val="24"/>
          <w:u w:val="single"/>
        </w:rPr>
        <w:t>imensa</w:t>
      </w:r>
      <w:r w:rsidR="00FA316C" w:rsidRPr="00363F24">
        <w:rPr>
          <w:rFonts w:ascii="Arial" w:hAnsi="Arial" w:cs="Arial"/>
          <w:sz w:val="24"/>
          <w:szCs w:val="24"/>
          <w:u w:val="single"/>
        </w:rPr>
        <w:t xml:space="preserve"> </w:t>
      </w:r>
      <w:r w:rsidR="003F5918" w:rsidRPr="00363F24">
        <w:rPr>
          <w:rFonts w:ascii="Arial" w:hAnsi="Arial" w:cs="Arial"/>
          <w:sz w:val="24"/>
          <w:szCs w:val="24"/>
          <w:u w:val="single"/>
        </w:rPr>
        <w:t xml:space="preserve">margem de discricionariedade </w:t>
      </w:r>
      <w:r w:rsidR="00AF36B2" w:rsidRPr="00363F24">
        <w:rPr>
          <w:rFonts w:ascii="Arial" w:hAnsi="Arial" w:cs="Arial"/>
          <w:sz w:val="24"/>
          <w:szCs w:val="24"/>
          <w:u w:val="single"/>
        </w:rPr>
        <w:t>d</w:t>
      </w:r>
      <w:r w:rsidR="003F5918" w:rsidRPr="00363F24">
        <w:rPr>
          <w:rFonts w:ascii="Arial" w:hAnsi="Arial" w:cs="Arial"/>
          <w:sz w:val="24"/>
          <w:szCs w:val="24"/>
          <w:u w:val="single"/>
        </w:rPr>
        <w:t>o</w:t>
      </w:r>
      <w:r w:rsidR="00503B3C" w:rsidRPr="00363F24">
        <w:rPr>
          <w:rFonts w:ascii="Arial" w:hAnsi="Arial" w:cs="Arial"/>
          <w:sz w:val="24"/>
          <w:szCs w:val="24"/>
          <w:u w:val="single"/>
        </w:rPr>
        <w:t xml:space="preserve"> </w:t>
      </w:r>
      <w:r w:rsidR="003F5918" w:rsidRPr="00363F24">
        <w:rPr>
          <w:rFonts w:ascii="Arial" w:hAnsi="Arial" w:cs="Arial"/>
          <w:sz w:val="24"/>
          <w:szCs w:val="24"/>
          <w:u w:val="single"/>
        </w:rPr>
        <w:t>Poder Executivo</w:t>
      </w:r>
      <w:r w:rsidR="00BA205D">
        <w:rPr>
          <w:rFonts w:ascii="Arial" w:hAnsi="Arial" w:cs="Arial"/>
          <w:sz w:val="24"/>
          <w:szCs w:val="24"/>
        </w:rPr>
        <w:t xml:space="preserve"> e seus técnicos, em especial o Secretário da Fazenda (atual Economia)</w:t>
      </w:r>
      <w:r w:rsidR="007E3C1E">
        <w:rPr>
          <w:rFonts w:ascii="Arial" w:hAnsi="Arial" w:cs="Arial"/>
          <w:sz w:val="24"/>
          <w:szCs w:val="24"/>
        </w:rPr>
        <w:t xml:space="preserve">, tanto no tocante à própria concessão </w:t>
      </w:r>
      <w:r w:rsidR="00BA205D">
        <w:rPr>
          <w:rFonts w:ascii="Arial" w:hAnsi="Arial" w:cs="Arial"/>
          <w:sz w:val="24"/>
          <w:szCs w:val="24"/>
        </w:rPr>
        <w:t xml:space="preserve">ou não </w:t>
      </w:r>
      <w:r w:rsidR="007E3C1E">
        <w:rPr>
          <w:rFonts w:ascii="Arial" w:hAnsi="Arial" w:cs="Arial"/>
          <w:sz w:val="24"/>
          <w:szCs w:val="24"/>
        </w:rPr>
        <w:t xml:space="preserve">do incentivo como a </w:t>
      </w:r>
      <w:r w:rsidR="003F3070">
        <w:rPr>
          <w:rFonts w:ascii="Arial" w:hAnsi="Arial" w:cs="Arial"/>
          <w:sz w:val="24"/>
          <w:szCs w:val="24"/>
        </w:rPr>
        <w:t>aspectos sensíveis</w:t>
      </w:r>
      <w:r w:rsidR="00055052">
        <w:rPr>
          <w:rFonts w:ascii="Arial" w:hAnsi="Arial" w:cs="Arial"/>
          <w:sz w:val="24"/>
          <w:szCs w:val="24"/>
        </w:rPr>
        <w:t xml:space="preserve"> da própria política de incentivo adotada</w:t>
      </w:r>
      <w:r w:rsidR="00A12B50">
        <w:rPr>
          <w:rFonts w:ascii="Arial" w:hAnsi="Arial" w:cs="Arial"/>
          <w:sz w:val="24"/>
          <w:szCs w:val="24"/>
        </w:rPr>
        <w:t>.</w:t>
      </w:r>
    </w:p>
    <w:p w14:paraId="61B3FB24" w14:textId="62FB2269" w:rsidR="00C64445" w:rsidRDefault="00C64445" w:rsidP="00713208">
      <w:pPr>
        <w:spacing w:line="360" w:lineRule="auto"/>
        <w:ind w:firstLine="851"/>
        <w:jc w:val="both"/>
        <w:rPr>
          <w:rFonts w:ascii="Arial" w:hAnsi="Arial" w:cs="Arial"/>
          <w:sz w:val="24"/>
          <w:szCs w:val="24"/>
        </w:rPr>
      </w:pPr>
      <w:r>
        <w:rPr>
          <w:rFonts w:ascii="Arial" w:hAnsi="Arial" w:cs="Arial"/>
          <w:sz w:val="24"/>
          <w:szCs w:val="24"/>
        </w:rPr>
        <w:lastRenderedPageBreak/>
        <w:t xml:space="preserve">Tendo em vista a generalidade da lei, </w:t>
      </w:r>
      <w:r w:rsidRPr="003420F6">
        <w:rPr>
          <w:rFonts w:ascii="Arial" w:hAnsi="Arial" w:cs="Arial"/>
          <w:b/>
          <w:sz w:val="24"/>
          <w:szCs w:val="24"/>
        </w:rPr>
        <w:t>abre-se amplo espaço para o regulamento</w:t>
      </w:r>
      <w:r w:rsidR="005B1916" w:rsidRPr="003420F6">
        <w:rPr>
          <w:rFonts w:ascii="Arial" w:hAnsi="Arial" w:cs="Arial"/>
          <w:b/>
          <w:sz w:val="24"/>
          <w:szCs w:val="24"/>
        </w:rPr>
        <w:t xml:space="preserve"> (em regra, o RCTE/GO) tratar de questões complementares</w:t>
      </w:r>
      <w:r w:rsidR="005B1916">
        <w:rPr>
          <w:rFonts w:ascii="Arial" w:hAnsi="Arial" w:cs="Arial"/>
          <w:sz w:val="24"/>
          <w:szCs w:val="24"/>
        </w:rPr>
        <w:t xml:space="preserve">, tais como os </w:t>
      </w:r>
      <w:r w:rsidR="005B1916" w:rsidRPr="008B7811">
        <w:rPr>
          <w:rFonts w:ascii="Arial" w:hAnsi="Arial" w:cs="Arial"/>
          <w:sz w:val="24"/>
          <w:szCs w:val="24"/>
          <w:u w:val="single"/>
        </w:rPr>
        <w:t>requisitos a serem observados</w:t>
      </w:r>
      <w:r w:rsidR="005B1916">
        <w:rPr>
          <w:rFonts w:ascii="Arial" w:hAnsi="Arial" w:cs="Arial"/>
          <w:sz w:val="24"/>
          <w:szCs w:val="24"/>
        </w:rPr>
        <w:t>, tanto gerais (</w:t>
      </w:r>
      <w:r w:rsidR="003E05EF">
        <w:rPr>
          <w:rFonts w:ascii="Arial" w:hAnsi="Arial" w:cs="Arial"/>
          <w:sz w:val="24"/>
          <w:szCs w:val="24"/>
        </w:rPr>
        <w:t>v.g.</w:t>
      </w:r>
      <w:r w:rsidR="005B1916">
        <w:rPr>
          <w:rFonts w:ascii="Arial" w:hAnsi="Arial" w:cs="Arial"/>
          <w:sz w:val="24"/>
          <w:szCs w:val="24"/>
        </w:rPr>
        <w:t xml:space="preserve"> </w:t>
      </w:r>
      <w:r w:rsidR="00004EA4">
        <w:rPr>
          <w:rFonts w:ascii="Arial" w:hAnsi="Arial" w:cs="Arial"/>
          <w:sz w:val="24"/>
          <w:szCs w:val="24"/>
        </w:rPr>
        <w:t>regularidade com o fisco estadual e previdenciária</w:t>
      </w:r>
      <w:r w:rsidR="005B1916">
        <w:rPr>
          <w:rFonts w:ascii="Arial" w:hAnsi="Arial" w:cs="Arial"/>
          <w:sz w:val="24"/>
          <w:szCs w:val="24"/>
        </w:rPr>
        <w:t>)</w:t>
      </w:r>
      <w:r w:rsidR="003E05EF">
        <w:rPr>
          <w:rFonts w:ascii="Arial" w:hAnsi="Arial" w:cs="Arial"/>
          <w:sz w:val="24"/>
          <w:szCs w:val="24"/>
        </w:rPr>
        <w:t xml:space="preserve"> </w:t>
      </w:r>
      <w:r w:rsidR="008B7811">
        <w:rPr>
          <w:rFonts w:ascii="Arial" w:hAnsi="Arial" w:cs="Arial"/>
          <w:sz w:val="24"/>
          <w:szCs w:val="24"/>
        </w:rPr>
        <w:t>como</w:t>
      </w:r>
      <w:r w:rsidR="005B1916">
        <w:rPr>
          <w:rFonts w:ascii="Arial" w:hAnsi="Arial" w:cs="Arial"/>
          <w:sz w:val="24"/>
          <w:szCs w:val="24"/>
        </w:rPr>
        <w:t xml:space="preserve"> específicos</w:t>
      </w:r>
      <w:r w:rsidR="008B7811">
        <w:rPr>
          <w:rFonts w:ascii="Arial" w:hAnsi="Arial" w:cs="Arial"/>
          <w:sz w:val="24"/>
          <w:szCs w:val="24"/>
        </w:rPr>
        <w:t xml:space="preserve"> (v.g. aprovação de projeto no órgão competente)</w:t>
      </w:r>
      <w:r w:rsidR="00A461AD">
        <w:rPr>
          <w:rFonts w:ascii="Arial" w:hAnsi="Arial" w:cs="Arial"/>
          <w:sz w:val="24"/>
          <w:szCs w:val="24"/>
        </w:rPr>
        <w:t xml:space="preserve">; </w:t>
      </w:r>
      <w:r w:rsidR="005B1916" w:rsidRPr="00A461AD">
        <w:rPr>
          <w:rFonts w:ascii="Arial" w:hAnsi="Arial" w:cs="Arial"/>
          <w:sz w:val="24"/>
          <w:szCs w:val="24"/>
          <w:u w:val="single"/>
        </w:rPr>
        <w:t xml:space="preserve">especificação </w:t>
      </w:r>
      <w:r w:rsidR="00A461AD" w:rsidRPr="00A461AD">
        <w:rPr>
          <w:rFonts w:ascii="Arial" w:hAnsi="Arial" w:cs="Arial"/>
          <w:sz w:val="24"/>
          <w:szCs w:val="24"/>
          <w:u w:val="single"/>
        </w:rPr>
        <w:t xml:space="preserve">técnica </w:t>
      </w:r>
      <w:r w:rsidR="005B1916" w:rsidRPr="00A461AD">
        <w:rPr>
          <w:rFonts w:ascii="Arial" w:hAnsi="Arial" w:cs="Arial"/>
          <w:sz w:val="24"/>
          <w:szCs w:val="24"/>
          <w:u w:val="single"/>
        </w:rPr>
        <w:t>de produtos</w:t>
      </w:r>
      <w:r w:rsidR="005B1916">
        <w:rPr>
          <w:rFonts w:ascii="Arial" w:hAnsi="Arial" w:cs="Arial"/>
          <w:sz w:val="24"/>
          <w:szCs w:val="24"/>
        </w:rPr>
        <w:t xml:space="preserve"> contemplados pelo incentivo fiscal</w:t>
      </w:r>
      <w:r w:rsidR="00A461AD">
        <w:rPr>
          <w:rFonts w:ascii="Arial" w:hAnsi="Arial" w:cs="Arial"/>
          <w:sz w:val="24"/>
          <w:szCs w:val="24"/>
        </w:rPr>
        <w:t xml:space="preserve">; e </w:t>
      </w:r>
      <w:r w:rsidR="00A461AD" w:rsidRPr="00A461AD">
        <w:rPr>
          <w:rFonts w:ascii="Arial" w:hAnsi="Arial" w:cs="Arial"/>
          <w:sz w:val="24"/>
          <w:szCs w:val="24"/>
          <w:u w:val="single"/>
        </w:rPr>
        <w:t>outros procedimentos para formalização do benefício</w:t>
      </w:r>
      <w:r w:rsidR="00A461AD">
        <w:rPr>
          <w:rFonts w:ascii="Arial" w:hAnsi="Arial" w:cs="Arial"/>
          <w:sz w:val="24"/>
          <w:szCs w:val="24"/>
        </w:rPr>
        <w:t xml:space="preserve"> (despacho autorizativo ou concessivo por parte da autoridade competente).</w:t>
      </w:r>
    </w:p>
    <w:p w14:paraId="57641466" w14:textId="2D3A3DE2" w:rsidR="00447871" w:rsidRDefault="00447871" w:rsidP="00713208">
      <w:pPr>
        <w:spacing w:line="360" w:lineRule="auto"/>
        <w:ind w:firstLine="851"/>
        <w:jc w:val="both"/>
        <w:rPr>
          <w:rFonts w:ascii="Arial" w:hAnsi="Arial" w:cs="Arial"/>
          <w:sz w:val="24"/>
          <w:szCs w:val="24"/>
        </w:rPr>
      </w:pPr>
      <w:r>
        <w:rPr>
          <w:rFonts w:ascii="Arial" w:hAnsi="Arial" w:cs="Arial"/>
          <w:sz w:val="24"/>
          <w:szCs w:val="24"/>
        </w:rPr>
        <w:t xml:space="preserve">Não </w:t>
      </w:r>
      <w:r w:rsidRPr="00725E94">
        <w:rPr>
          <w:rFonts w:ascii="Arial" w:hAnsi="Arial" w:cs="Arial"/>
          <w:sz w:val="24"/>
          <w:szCs w:val="24"/>
        </w:rPr>
        <w:t>bastante</w:t>
      </w:r>
      <w:r w:rsidR="009F7934" w:rsidRPr="00725E94">
        <w:rPr>
          <w:rFonts w:ascii="Arial" w:hAnsi="Arial" w:cs="Arial"/>
          <w:sz w:val="24"/>
          <w:szCs w:val="24"/>
        </w:rPr>
        <w:t xml:space="preserve"> isso</w:t>
      </w:r>
      <w:r w:rsidRPr="00725E94">
        <w:rPr>
          <w:rFonts w:ascii="Arial" w:hAnsi="Arial" w:cs="Arial"/>
          <w:sz w:val="24"/>
          <w:szCs w:val="24"/>
        </w:rPr>
        <w:t xml:space="preserve">, </w:t>
      </w:r>
      <w:r w:rsidRPr="00725E94">
        <w:rPr>
          <w:rFonts w:ascii="Arial" w:hAnsi="Arial" w:cs="Arial"/>
          <w:b/>
          <w:sz w:val="24"/>
          <w:szCs w:val="24"/>
        </w:rPr>
        <w:t>por vezes o próprio regulamento não esgota todos os aspectos relativos aos incentivos fiscais nele previstos</w:t>
      </w:r>
      <w:r w:rsidRPr="00725E94">
        <w:rPr>
          <w:rFonts w:ascii="Arial" w:hAnsi="Arial" w:cs="Arial"/>
          <w:sz w:val="24"/>
          <w:szCs w:val="24"/>
        </w:rPr>
        <w:t xml:space="preserve">, </w:t>
      </w:r>
      <w:r w:rsidR="00F40D12" w:rsidRPr="00725E94">
        <w:rPr>
          <w:rFonts w:ascii="Arial" w:hAnsi="Arial" w:cs="Arial"/>
          <w:sz w:val="24"/>
          <w:szCs w:val="24"/>
        </w:rPr>
        <w:t xml:space="preserve">de modo a restar espaço ainda para definição desses outros termos ao chamado TARE, o qual </w:t>
      </w:r>
      <w:r w:rsidR="00334B1C" w:rsidRPr="00725E94">
        <w:rPr>
          <w:rFonts w:ascii="Arial" w:hAnsi="Arial" w:cs="Arial"/>
          <w:sz w:val="24"/>
          <w:szCs w:val="24"/>
        </w:rPr>
        <w:t>geralmente</w:t>
      </w:r>
      <w:r w:rsidR="00F40D12" w:rsidRPr="00725E94">
        <w:rPr>
          <w:rFonts w:ascii="Arial" w:hAnsi="Arial" w:cs="Arial"/>
          <w:sz w:val="24"/>
          <w:szCs w:val="24"/>
        </w:rPr>
        <w:t xml:space="preserve"> tem veiculado </w:t>
      </w:r>
      <w:r w:rsidR="00137521" w:rsidRPr="00725E94">
        <w:rPr>
          <w:rFonts w:ascii="Arial" w:hAnsi="Arial" w:cs="Arial"/>
          <w:sz w:val="24"/>
          <w:szCs w:val="24"/>
        </w:rPr>
        <w:t>normas sobre substituição tributár</w:t>
      </w:r>
      <w:r w:rsidR="003F2AC4" w:rsidRPr="00725E94">
        <w:rPr>
          <w:rFonts w:ascii="Arial" w:hAnsi="Arial" w:cs="Arial"/>
          <w:sz w:val="24"/>
          <w:szCs w:val="24"/>
        </w:rPr>
        <w:t xml:space="preserve">ia; estipulação de metas de arrecadação de ICMS; </w:t>
      </w:r>
      <w:r w:rsidR="009953A7" w:rsidRPr="00725E94">
        <w:rPr>
          <w:rFonts w:ascii="Arial" w:hAnsi="Arial" w:cs="Arial"/>
          <w:sz w:val="24"/>
          <w:szCs w:val="24"/>
        </w:rPr>
        <w:t>realização de investimentos mínimos para expansão de empreendimentos, bem como definição de etapas e cronogramas físicos de execução</w:t>
      </w:r>
      <w:r w:rsidR="00957DD1" w:rsidRPr="00725E94">
        <w:rPr>
          <w:rFonts w:ascii="Arial" w:hAnsi="Arial" w:cs="Arial"/>
          <w:sz w:val="24"/>
          <w:szCs w:val="24"/>
        </w:rPr>
        <w:t>, dentre outros aspectos</w:t>
      </w:r>
      <w:r w:rsidR="009953A7" w:rsidRPr="00725E94">
        <w:rPr>
          <w:rFonts w:ascii="Arial" w:hAnsi="Arial" w:cs="Arial"/>
          <w:sz w:val="24"/>
          <w:szCs w:val="24"/>
        </w:rPr>
        <w:t>.</w:t>
      </w:r>
      <w:r w:rsidR="00747098" w:rsidRPr="00725E94">
        <w:rPr>
          <w:rFonts w:ascii="Arial" w:hAnsi="Arial" w:cs="Arial"/>
          <w:sz w:val="24"/>
          <w:szCs w:val="24"/>
        </w:rPr>
        <w:t xml:space="preserve"> </w:t>
      </w:r>
      <w:r w:rsidR="009F7934" w:rsidRPr="00725E94">
        <w:rPr>
          <w:rFonts w:ascii="Arial" w:hAnsi="Arial" w:cs="Arial"/>
          <w:sz w:val="24"/>
          <w:szCs w:val="24"/>
        </w:rPr>
        <w:t xml:space="preserve">Note-se, todavia, que o </w:t>
      </w:r>
      <w:r w:rsidR="00747098" w:rsidRPr="00725E94">
        <w:rPr>
          <w:rFonts w:ascii="Arial" w:hAnsi="Arial" w:cs="Arial"/>
          <w:sz w:val="24"/>
          <w:szCs w:val="24"/>
        </w:rPr>
        <w:t>TARE não constitui requisito para fruição de todo e qualquer benefício fiscal</w:t>
      </w:r>
      <w:r w:rsidR="009F7934" w:rsidRPr="00725E94">
        <w:rPr>
          <w:rFonts w:ascii="Arial" w:hAnsi="Arial" w:cs="Arial"/>
          <w:sz w:val="24"/>
          <w:szCs w:val="24"/>
        </w:rPr>
        <w:t>.</w:t>
      </w:r>
    </w:p>
    <w:p w14:paraId="7DA472F1" w14:textId="7BAC0C25" w:rsidR="00747098" w:rsidRDefault="00747098" w:rsidP="00713208">
      <w:pPr>
        <w:spacing w:line="360" w:lineRule="auto"/>
        <w:ind w:firstLine="851"/>
        <w:jc w:val="both"/>
        <w:rPr>
          <w:rFonts w:ascii="Arial" w:hAnsi="Arial" w:cs="Arial"/>
          <w:sz w:val="24"/>
          <w:szCs w:val="24"/>
        </w:rPr>
      </w:pPr>
    </w:p>
    <w:p w14:paraId="639AB4C8" w14:textId="294308D7" w:rsidR="00747098" w:rsidRPr="00765BCB" w:rsidRDefault="00747098" w:rsidP="00747098">
      <w:pPr>
        <w:spacing w:line="360" w:lineRule="auto"/>
        <w:ind w:firstLine="851"/>
        <w:jc w:val="both"/>
        <w:rPr>
          <w:rFonts w:ascii="Arial" w:hAnsi="Arial" w:cs="Arial"/>
          <w:b/>
          <w:sz w:val="24"/>
          <w:szCs w:val="24"/>
          <w:u w:val="single"/>
        </w:rPr>
      </w:pPr>
      <w:r w:rsidRPr="00765BCB">
        <w:rPr>
          <w:rFonts w:ascii="Arial" w:hAnsi="Arial" w:cs="Arial"/>
          <w:b/>
          <w:sz w:val="24"/>
          <w:szCs w:val="24"/>
          <w:u w:val="single"/>
        </w:rPr>
        <w:t>5.3.</w:t>
      </w:r>
      <w:r>
        <w:rPr>
          <w:rFonts w:ascii="Arial" w:hAnsi="Arial" w:cs="Arial"/>
          <w:b/>
          <w:sz w:val="24"/>
          <w:szCs w:val="24"/>
          <w:u w:val="single"/>
        </w:rPr>
        <w:t>2</w:t>
      </w:r>
      <w:r w:rsidRPr="00765BCB">
        <w:rPr>
          <w:rFonts w:ascii="Arial" w:hAnsi="Arial" w:cs="Arial"/>
          <w:b/>
          <w:sz w:val="24"/>
          <w:szCs w:val="24"/>
          <w:u w:val="single"/>
        </w:rPr>
        <w:t xml:space="preserve"> – </w:t>
      </w:r>
      <w:r>
        <w:rPr>
          <w:rFonts w:ascii="Arial" w:hAnsi="Arial" w:cs="Arial"/>
          <w:b/>
          <w:sz w:val="24"/>
          <w:szCs w:val="24"/>
          <w:u w:val="single"/>
        </w:rPr>
        <w:t>Requisitos gerais estabelecidos em regulamento</w:t>
      </w:r>
    </w:p>
    <w:p w14:paraId="125AECD1" w14:textId="77777777" w:rsidR="00747098" w:rsidRDefault="00747098" w:rsidP="00713208">
      <w:pPr>
        <w:spacing w:line="360" w:lineRule="auto"/>
        <w:ind w:firstLine="851"/>
        <w:jc w:val="both"/>
        <w:rPr>
          <w:rFonts w:ascii="Arial" w:hAnsi="Arial" w:cs="Arial"/>
          <w:sz w:val="24"/>
          <w:szCs w:val="24"/>
        </w:rPr>
      </w:pPr>
    </w:p>
    <w:p w14:paraId="23E6C175" w14:textId="66BB67B6" w:rsidR="00747098" w:rsidRDefault="00B52BC6" w:rsidP="00747098">
      <w:pPr>
        <w:spacing w:line="360" w:lineRule="auto"/>
        <w:ind w:firstLine="851"/>
        <w:jc w:val="both"/>
        <w:rPr>
          <w:rFonts w:ascii="Arial" w:hAnsi="Arial" w:cs="Arial"/>
          <w:sz w:val="24"/>
          <w:szCs w:val="24"/>
        </w:rPr>
      </w:pPr>
      <w:r w:rsidRPr="00D34B74">
        <w:rPr>
          <w:rFonts w:ascii="Arial" w:hAnsi="Arial" w:cs="Arial"/>
          <w:b/>
          <w:sz w:val="24"/>
          <w:szCs w:val="24"/>
        </w:rPr>
        <w:t>5.3.2.</w:t>
      </w:r>
      <w:r>
        <w:rPr>
          <w:rFonts w:ascii="Arial" w:hAnsi="Arial" w:cs="Arial"/>
          <w:b/>
          <w:sz w:val="24"/>
          <w:szCs w:val="24"/>
        </w:rPr>
        <w:t xml:space="preserve">1. </w:t>
      </w:r>
      <w:r w:rsidR="00747098">
        <w:rPr>
          <w:rFonts w:ascii="Arial" w:hAnsi="Arial" w:cs="Arial"/>
          <w:sz w:val="24"/>
          <w:szCs w:val="24"/>
        </w:rPr>
        <w:t xml:space="preserve">Colocados à parte os benefícios concedidos no âmbito dos Programas </w:t>
      </w:r>
      <w:r w:rsidR="00781141">
        <w:rPr>
          <w:rFonts w:ascii="Arial" w:hAnsi="Arial" w:cs="Arial"/>
          <w:sz w:val="24"/>
          <w:szCs w:val="24"/>
        </w:rPr>
        <w:t xml:space="preserve">FOMENTAR </w:t>
      </w:r>
      <w:r w:rsidR="00747098">
        <w:rPr>
          <w:rFonts w:ascii="Arial" w:hAnsi="Arial" w:cs="Arial"/>
          <w:sz w:val="24"/>
          <w:szCs w:val="24"/>
        </w:rPr>
        <w:t xml:space="preserve">e </w:t>
      </w:r>
      <w:r w:rsidR="00781141">
        <w:rPr>
          <w:rFonts w:ascii="Arial" w:hAnsi="Arial" w:cs="Arial"/>
          <w:sz w:val="24"/>
          <w:szCs w:val="24"/>
        </w:rPr>
        <w:t>PRODUZIR</w:t>
      </w:r>
      <w:r w:rsidR="00747098">
        <w:rPr>
          <w:rFonts w:ascii="Arial" w:hAnsi="Arial" w:cs="Arial"/>
          <w:sz w:val="24"/>
          <w:szCs w:val="24"/>
        </w:rPr>
        <w:t xml:space="preserve">, que possuem legislação e regulamentos próprios – os quais serão explorados no </w:t>
      </w:r>
      <w:r w:rsidR="000228DC">
        <w:rPr>
          <w:rFonts w:ascii="Arial" w:hAnsi="Arial" w:cs="Arial"/>
          <w:sz w:val="24"/>
          <w:szCs w:val="24"/>
        </w:rPr>
        <w:t xml:space="preserve">Capítulo </w:t>
      </w:r>
      <w:r w:rsidR="00747098">
        <w:rPr>
          <w:rFonts w:ascii="Arial" w:hAnsi="Arial" w:cs="Arial"/>
          <w:sz w:val="24"/>
          <w:szCs w:val="24"/>
        </w:rPr>
        <w:t xml:space="preserve">6 deste relatório – </w:t>
      </w:r>
      <w:r w:rsidR="00747098" w:rsidRPr="00B52BC6">
        <w:rPr>
          <w:rFonts w:ascii="Arial" w:hAnsi="Arial" w:cs="Arial"/>
          <w:b/>
          <w:sz w:val="24"/>
          <w:szCs w:val="24"/>
        </w:rPr>
        <w:t>a concessão dos incentivos fiscais relacionados ao ICMS sujeita-se, como regra, ao atendimento dos requisitos previstos nos arts.  1º a 5º do RCTE/GO</w:t>
      </w:r>
      <w:r w:rsidR="00747098">
        <w:rPr>
          <w:rFonts w:ascii="Arial" w:hAnsi="Arial" w:cs="Arial"/>
          <w:sz w:val="24"/>
          <w:szCs w:val="24"/>
        </w:rPr>
        <w:t xml:space="preserve">, </w:t>
      </w:r>
      <w:r w:rsidR="00747098" w:rsidRPr="002762B8">
        <w:rPr>
          <w:rFonts w:ascii="Arial" w:hAnsi="Arial" w:cs="Arial"/>
          <w:i/>
          <w:sz w:val="24"/>
          <w:szCs w:val="24"/>
        </w:rPr>
        <w:t>in verbis</w:t>
      </w:r>
      <w:r w:rsidR="00747098">
        <w:rPr>
          <w:rFonts w:ascii="Arial" w:hAnsi="Arial" w:cs="Arial"/>
          <w:sz w:val="24"/>
          <w:szCs w:val="24"/>
        </w:rPr>
        <w:t>:</w:t>
      </w:r>
    </w:p>
    <w:p w14:paraId="669866EA" w14:textId="77777777" w:rsidR="00747098" w:rsidRDefault="00747098" w:rsidP="00747098">
      <w:pPr>
        <w:spacing w:line="360" w:lineRule="auto"/>
        <w:ind w:firstLine="851"/>
        <w:jc w:val="both"/>
        <w:rPr>
          <w:rFonts w:ascii="Arial" w:hAnsi="Arial" w:cs="Arial"/>
          <w:sz w:val="24"/>
          <w:szCs w:val="24"/>
        </w:rPr>
      </w:pPr>
    </w:p>
    <w:p w14:paraId="7FB10ECC" w14:textId="77777777" w:rsidR="00747098" w:rsidRDefault="00747098" w:rsidP="00DC688C">
      <w:pPr>
        <w:ind w:left="2268"/>
        <w:jc w:val="both"/>
        <w:rPr>
          <w:rFonts w:ascii="Arial" w:hAnsi="Arial" w:cs="Arial"/>
          <w:sz w:val="22"/>
          <w:szCs w:val="22"/>
        </w:rPr>
      </w:pPr>
      <w:bookmarkStart w:id="78" w:name="a1"/>
      <w:r w:rsidRPr="00A12B50">
        <w:rPr>
          <w:rFonts w:ascii="Arial" w:hAnsi="Arial" w:cs="Arial"/>
          <w:b/>
          <w:sz w:val="22"/>
          <w:szCs w:val="22"/>
        </w:rPr>
        <w:t xml:space="preserve">Art. 1º </w:t>
      </w:r>
      <w:r w:rsidRPr="00A12B50">
        <w:rPr>
          <w:rFonts w:ascii="Arial" w:hAnsi="Arial" w:cs="Arial"/>
          <w:sz w:val="22"/>
          <w:szCs w:val="22"/>
        </w:rPr>
        <w:t xml:space="preserve">Os benefícios fiscais, a que se referem os arts. </w:t>
      </w:r>
      <w:r w:rsidRPr="00F66779">
        <w:rPr>
          <w:rFonts w:ascii="Arial" w:hAnsi="Arial" w:cs="Arial"/>
          <w:sz w:val="22"/>
          <w:szCs w:val="22"/>
        </w:rPr>
        <w:t>83 e 84</w:t>
      </w:r>
      <w:r w:rsidRPr="00A12B50">
        <w:rPr>
          <w:rFonts w:ascii="Arial" w:hAnsi="Arial" w:cs="Arial"/>
          <w:sz w:val="22"/>
          <w:szCs w:val="22"/>
        </w:rPr>
        <w:t xml:space="preserve"> deste regulamento, são disciplinados pelas normas contidas neste anexo. </w:t>
      </w:r>
    </w:p>
    <w:p w14:paraId="4691A89C" w14:textId="77777777" w:rsidR="00747098" w:rsidRDefault="00747098" w:rsidP="00DC688C">
      <w:pPr>
        <w:ind w:left="2268"/>
        <w:jc w:val="both"/>
        <w:rPr>
          <w:rFonts w:ascii="Arial" w:hAnsi="Arial" w:cs="Arial"/>
          <w:sz w:val="22"/>
          <w:szCs w:val="22"/>
        </w:rPr>
      </w:pPr>
      <w:bookmarkStart w:id="79" w:name="A1P1"/>
      <w:bookmarkEnd w:id="78"/>
      <w:r w:rsidRPr="00A12B50">
        <w:rPr>
          <w:rFonts w:ascii="Arial" w:hAnsi="Arial" w:cs="Arial"/>
          <w:sz w:val="22"/>
          <w:szCs w:val="22"/>
        </w:rPr>
        <w:t xml:space="preserve">§ 1º A utilização dos benefícios fiscais previstos neste anexo, cuja concessão tenha sido autorizada por lei estadual, fica condicionada a que o sujeito passivo: </w:t>
      </w:r>
      <w:bookmarkEnd w:id="79"/>
    </w:p>
    <w:p w14:paraId="5CFE564A" w14:textId="77777777" w:rsidR="00747098" w:rsidRPr="00A12B50" w:rsidRDefault="00747098" w:rsidP="00DC688C">
      <w:pPr>
        <w:ind w:left="2268"/>
        <w:jc w:val="both"/>
        <w:rPr>
          <w:rFonts w:ascii="Arial" w:hAnsi="Arial" w:cs="Arial"/>
          <w:sz w:val="22"/>
          <w:szCs w:val="22"/>
        </w:rPr>
      </w:pPr>
      <w:bookmarkStart w:id="80" w:name="A1P1I"/>
      <w:r w:rsidRPr="00A12B50">
        <w:rPr>
          <w:rFonts w:ascii="Arial" w:hAnsi="Arial" w:cs="Arial"/>
          <w:sz w:val="22"/>
          <w:szCs w:val="22"/>
        </w:rPr>
        <w:t xml:space="preserve">I - esteja adimplente com o ICMS relativo à obrigação tributária cujo pagamento deva ocorrer no mês correspondente à referida utilização; </w:t>
      </w:r>
      <w:bookmarkEnd w:id="80"/>
    </w:p>
    <w:p w14:paraId="24414B1F" w14:textId="77777777" w:rsidR="00747098" w:rsidRPr="00A12B50" w:rsidRDefault="00747098" w:rsidP="00DC688C">
      <w:pPr>
        <w:ind w:left="2268"/>
        <w:jc w:val="both"/>
        <w:rPr>
          <w:rFonts w:ascii="Arial" w:hAnsi="Arial" w:cs="Arial"/>
          <w:sz w:val="22"/>
          <w:szCs w:val="22"/>
        </w:rPr>
      </w:pPr>
      <w:bookmarkStart w:id="81" w:name="A1P1II"/>
      <w:r w:rsidRPr="00A12B50">
        <w:rPr>
          <w:rFonts w:ascii="Arial" w:hAnsi="Arial" w:cs="Arial"/>
          <w:sz w:val="22"/>
          <w:szCs w:val="22"/>
        </w:rPr>
        <w:t xml:space="preserve">II - não possua crédito tributário inscrito em dívida ativa. </w:t>
      </w:r>
      <w:bookmarkEnd w:id="81"/>
    </w:p>
    <w:p w14:paraId="77EBAFDC"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III - Revogado;</w:t>
      </w:r>
    </w:p>
    <w:p w14:paraId="27C695B1"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 1º-A A condição estabelecida no inciso II do § 1º aplica-se, também, ao crédito outorgado previsto neste anexo, cuja concessão decorra de convênio celebrado no âmbito do CONFAZ (Convênio </w:t>
      </w:r>
      <w:r w:rsidRPr="00F66779">
        <w:rPr>
          <w:rFonts w:ascii="Arial" w:hAnsi="Arial" w:cs="Arial"/>
          <w:sz w:val="22"/>
          <w:szCs w:val="22"/>
        </w:rPr>
        <w:t>ICMS 20/08</w:t>
      </w:r>
      <w:r w:rsidRPr="00A12B50">
        <w:rPr>
          <w:rFonts w:ascii="Arial" w:hAnsi="Arial" w:cs="Arial"/>
          <w:sz w:val="22"/>
          <w:szCs w:val="22"/>
        </w:rPr>
        <w:t xml:space="preserve">). </w:t>
      </w:r>
    </w:p>
    <w:p w14:paraId="08696A11"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lastRenderedPageBreak/>
        <w:t xml:space="preserve">§ 1º-B Na hipótese prevista no inciso I do § 1º, o pagamento em atraso do imposto devido, inclusive o devido por substituição tributária, implica perda definitiva, exclusivamente no mês da ocorrência do atraso, do direito de o contribuinte utilizar o benefício fiscal. </w:t>
      </w:r>
    </w:p>
    <w:p w14:paraId="4F16BB95"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 1º-C A existência de crédito tributário inscrito em dívida ativa, cuja exigibilidade esteja suspensa de acordo com o </w:t>
      </w:r>
      <w:r w:rsidRPr="00F66779">
        <w:rPr>
          <w:rFonts w:ascii="Arial" w:hAnsi="Arial" w:cs="Arial"/>
          <w:sz w:val="22"/>
          <w:szCs w:val="22"/>
        </w:rPr>
        <w:t>art. 503</w:t>
      </w:r>
      <w:r w:rsidRPr="00A12B50">
        <w:rPr>
          <w:rFonts w:ascii="Arial" w:hAnsi="Arial" w:cs="Arial"/>
          <w:sz w:val="22"/>
          <w:szCs w:val="22"/>
        </w:rPr>
        <w:t xml:space="preserve"> deste Decreto, ou para o qual tenha sido efetivada a penhora de bens suficientes para o pagamento do total da dívida, não constitui empecilho à utilização dos benefícios fiscais referidos nos §§ 1º e 1º-A. </w:t>
      </w:r>
    </w:p>
    <w:p w14:paraId="36271FD1"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 1º-D O disposto no § 1º não se aplica aos benefícios fiscais previstos no inciso </w:t>
      </w:r>
      <w:r w:rsidRPr="00F66779">
        <w:rPr>
          <w:rFonts w:ascii="Arial" w:hAnsi="Arial" w:cs="Arial"/>
          <w:sz w:val="22"/>
          <w:szCs w:val="22"/>
        </w:rPr>
        <w:t>XXII</w:t>
      </w:r>
      <w:r w:rsidRPr="00A12B50">
        <w:rPr>
          <w:rFonts w:ascii="Arial" w:hAnsi="Arial" w:cs="Arial"/>
          <w:sz w:val="22"/>
          <w:szCs w:val="22"/>
        </w:rPr>
        <w:t xml:space="preserve"> do </w:t>
      </w:r>
      <w:r w:rsidRPr="00F66779">
        <w:rPr>
          <w:rFonts w:ascii="Arial" w:hAnsi="Arial" w:cs="Arial"/>
          <w:sz w:val="22"/>
          <w:szCs w:val="22"/>
        </w:rPr>
        <w:t>art. 8º</w:t>
      </w:r>
      <w:r w:rsidRPr="00A12B50">
        <w:rPr>
          <w:rFonts w:ascii="Arial" w:hAnsi="Arial" w:cs="Arial"/>
          <w:sz w:val="22"/>
          <w:szCs w:val="22"/>
        </w:rPr>
        <w:t xml:space="preserve"> e nos incisos </w:t>
      </w:r>
      <w:r w:rsidRPr="00F66779">
        <w:rPr>
          <w:rFonts w:ascii="Arial" w:hAnsi="Arial" w:cs="Arial"/>
          <w:sz w:val="22"/>
          <w:szCs w:val="22"/>
        </w:rPr>
        <w:t>XXII</w:t>
      </w:r>
      <w:r w:rsidRPr="00A12B50">
        <w:rPr>
          <w:rFonts w:ascii="Arial" w:hAnsi="Arial" w:cs="Arial"/>
          <w:sz w:val="22"/>
          <w:szCs w:val="22"/>
        </w:rPr>
        <w:t xml:space="preserve">, </w:t>
      </w:r>
      <w:r w:rsidRPr="00F66779">
        <w:rPr>
          <w:rFonts w:ascii="Arial" w:hAnsi="Arial" w:cs="Arial"/>
          <w:sz w:val="22"/>
          <w:szCs w:val="22"/>
        </w:rPr>
        <w:t>XXVII</w:t>
      </w:r>
      <w:r w:rsidRPr="00A12B50">
        <w:rPr>
          <w:rFonts w:ascii="Arial" w:hAnsi="Arial" w:cs="Arial"/>
          <w:sz w:val="22"/>
          <w:szCs w:val="22"/>
        </w:rPr>
        <w:t xml:space="preserve">, </w:t>
      </w:r>
      <w:r w:rsidRPr="00F66779">
        <w:rPr>
          <w:rFonts w:ascii="Arial" w:hAnsi="Arial" w:cs="Arial"/>
          <w:sz w:val="22"/>
          <w:szCs w:val="22"/>
        </w:rPr>
        <w:t>XXXVI</w:t>
      </w:r>
      <w:r w:rsidRPr="00A12B50">
        <w:rPr>
          <w:rFonts w:ascii="Arial" w:hAnsi="Arial" w:cs="Arial"/>
          <w:sz w:val="22"/>
          <w:szCs w:val="22"/>
        </w:rPr>
        <w:t xml:space="preserve">, </w:t>
      </w:r>
      <w:r w:rsidRPr="00F66779">
        <w:rPr>
          <w:rFonts w:ascii="Arial" w:hAnsi="Arial" w:cs="Arial"/>
          <w:sz w:val="22"/>
          <w:szCs w:val="22"/>
        </w:rPr>
        <w:t>XXXVII</w:t>
      </w:r>
      <w:r w:rsidRPr="00A12B50">
        <w:rPr>
          <w:rFonts w:ascii="Arial" w:hAnsi="Arial" w:cs="Arial"/>
          <w:sz w:val="22"/>
          <w:szCs w:val="22"/>
        </w:rPr>
        <w:t xml:space="preserve"> e </w:t>
      </w:r>
      <w:r w:rsidRPr="00F66779">
        <w:rPr>
          <w:rFonts w:ascii="Arial" w:hAnsi="Arial" w:cs="Arial"/>
          <w:sz w:val="22"/>
          <w:szCs w:val="22"/>
        </w:rPr>
        <w:t>XLVII</w:t>
      </w:r>
      <w:r w:rsidRPr="00A12B50">
        <w:rPr>
          <w:rFonts w:ascii="Arial" w:hAnsi="Arial" w:cs="Arial"/>
          <w:sz w:val="22"/>
          <w:szCs w:val="22"/>
        </w:rPr>
        <w:t xml:space="preserve"> do </w:t>
      </w:r>
      <w:r w:rsidRPr="00F66779">
        <w:rPr>
          <w:rFonts w:ascii="Arial" w:hAnsi="Arial" w:cs="Arial"/>
          <w:sz w:val="22"/>
          <w:szCs w:val="22"/>
        </w:rPr>
        <w:t>art. 11</w:t>
      </w:r>
      <w:r w:rsidRPr="00A12B50">
        <w:rPr>
          <w:rFonts w:ascii="Arial" w:hAnsi="Arial" w:cs="Arial"/>
          <w:sz w:val="22"/>
          <w:szCs w:val="22"/>
        </w:rPr>
        <w:t xml:space="preserve">, todos deste Anexo. </w:t>
      </w:r>
    </w:p>
    <w:p w14:paraId="15FC62DB"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 1º-E Quando a mercadoria estiver sujeita à substituição tributária pela operação posterior a observância do disposto no § 1º se dá apenas em relação ao imposto correspondente à obrigação própria devido pelo substituto tributário. </w:t>
      </w:r>
    </w:p>
    <w:p w14:paraId="0E691B71"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2º Na hipótese prevista no inciso II do § 1º, o sujeito passivo perde definitivamente o direito à utilização do benefício, f</w:t>
      </w:r>
      <w:r>
        <w:rPr>
          <w:rFonts w:ascii="Arial" w:hAnsi="Arial" w:cs="Arial"/>
          <w:sz w:val="22"/>
          <w:szCs w:val="22"/>
        </w:rPr>
        <w:t>icando impedido de utilizá-lo:</w:t>
      </w:r>
    </w:p>
    <w:p w14:paraId="714E7425"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I - se o benefício for aplicável sobre o valor da operação ou prestação, na operação ou prestação que ocorrer a partir do dia seguinte à data da inscrição do crédito em dívida ativa até o dia em que for sanada a irregularidade; </w:t>
      </w:r>
    </w:p>
    <w:p w14:paraId="69CAB530"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II - se o benefício for aplicável sobre o valor do saldo devedor do imposto, na apuração do imposto correspondente ao mês em que o crédito for inscrito em dívida ativa até a apuração do imposto correspondente ao mês anterior ao que a irregularidade for sanada. </w:t>
      </w:r>
    </w:p>
    <w:p w14:paraId="2095D51F" w14:textId="77777777" w:rsidR="00747098" w:rsidRPr="00A12B50" w:rsidRDefault="00747098" w:rsidP="00DC688C">
      <w:pPr>
        <w:ind w:left="2268"/>
        <w:jc w:val="both"/>
        <w:rPr>
          <w:rFonts w:ascii="Arial" w:hAnsi="Arial" w:cs="Arial"/>
          <w:sz w:val="22"/>
          <w:szCs w:val="22"/>
        </w:rPr>
      </w:pPr>
      <w:bookmarkStart w:id="82" w:name="A1P3"/>
      <w:r w:rsidRPr="00A12B50">
        <w:rPr>
          <w:rFonts w:ascii="Arial" w:hAnsi="Arial" w:cs="Arial"/>
          <w:sz w:val="22"/>
          <w:szCs w:val="22"/>
        </w:rPr>
        <w:t xml:space="preserve">§ 3º A utilização dos benefícios fiscais contidos nos seguintes dispositivos deste Anexo é condicionada a que o contribuinte contribua para o Fundo de Proteção Social do Estado de Goiás </w:t>
      </w:r>
      <w:r>
        <w:rPr>
          <w:rFonts w:ascii="Arial" w:hAnsi="Arial" w:cs="Arial"/>
          <w:sz w:val="22"/>
          <w:szCs w:val="22"/>
        </w:rPr>
        <w:t>–</w:t>
      </w:r>
      <w:r w:rsidRPr="00A12B50">
        <w:rPr>
          <w:rFonts w:ascii="Arial" w:hAnsi="Arial" w:cs="Arial"/>
          <w:sz w:val="22"/>
          <w:szCs w:val="22"/>
        </w:rPr>
        <w:t xml:space="preserve"> PROTEGE GOIÁS, no valor correspondente ao percentual aplicado sobre o montante da diferença entre o valor do imposto calculado com aplicação da tributação integral e o calculado com utilização de benefício fiscal (Lei nº </w:t>
      </w:r>
      <w:r w:rsidRPr="00F66779">
        <w:rPr>
          <w:rFonts w:ascii="Arial" w:hAnsi="Arial" w:cs="Arial"/>
          <w:sz w:val="22"/>
          <w:szCs w:val="22"/>
        </w:rPr>
        <w:t>14.469/03</w:t>
      </w:r>
      <w:r w:rsidRPr="00A12B50">
        <w:rPr>
          <w:rFonts w:ascii="Arial" w:hAnsi="Arial" w:cs="Arial"/>
          <w:sz w:val="22"/>
          <w:szCs w:val="22"/>
        </w:rPr>
        <w:t xml:space="preserve">, </w:t>
      </w:r>
      <w:r w:rsidRPr="00F66779">
        <w:rPr>
          <w:rFonts w:ascii="Arial" w:hAnsi="Arial" w:cs="Arial"/>
          <w:sz w:val="22"/>
          <w:szCs w:val="22"/>
        </w:rPr>
        <w:t>art. 9º,</w:t>
      </w:r>
      <w:r w:rsidRPr="00A12B50">
        <w:rPr>
          <w:rFonts w:ascii="Arial" w:hAnsi="Arial" w:cs="Arial"/>
          <w:sz w:val="22"/>
          <w:szCs w:val="22"/>
        </w:rPr>
        <w:t xml:space="preserve"> </w:t>
      </w:r>
      <w:r w:rsidRPr="00F66779">
        <w:rPr>
          <w:rFonts w:ascii="Arial" w:hAnsi="Arial" w:cs="Arial"/>
          <w:sz w:val="22"/>
          <w:szCs w:val="22"/>
        </w:rPr>
        <w:t>II</w:t>
      </w:r>
      <w:r w:rsidRPr="00A12B50">
        <w:rPr>
          <w:rFonts w:ascii="Arial" w:hAnsi="Arial" w:cs="Arial"/>
          <w:sz w:val="22"/>
          <w:szCs w:val="22"/>
        </w:rPr>
        <w:t xml:space="preserve"> e </w:t>
      </w:r>
      <w:r w:rsidRPr="00F66779">
        <w:rPr>
          <w:rFonts w:ascii="Arial" w:hAnsi="Arial" w:cs="Arial"/>
          <w:sz w:val="22"/>
          <w:szCs w:val="22"/>
        </w:rPr>
        <w:t>§ 4º</w:t>
      </w:r>
      <w:r w:rsidRPr="00A12B50">
        <w:rPr>
          <w:rFonts w:ascii="Arial" w:hAnsi="Arial" w:cs="Arial"/>
          <w:sz w:val="22"/>
          <w:szCs w:val="22"/>
        </w:rPr>
        <w:t>):</w:t>
      </w:r>
      <w:bookmarkEnd w:id="82"/>
    </w:p>
    <w:p w14:paraId="2F1DC235"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I - 15% (quinze por cento), na situação prevista: (Redação conferida pelo </w:t>
      </w:r>
      <w:r w:rsidRPr="00F66779">
        <w:rPr>
          <w:rFonts w:ascii="Arial" w:hAnsi="Arial" w:cs="Arial"/>
          <w:sz w:val="22"/>
          <w:szCs w:val="22"/>
        </w:rPr>
        <w:t>Decreto nº 8.631</w:t>
      </w:r>
      <w:r w:rsidRPr="00A12B50">
        <w:rPr>
          <w:rFonts w:ascii="Arial" w:hAnsi="Arial" w:cs="Arial"/>
          <w:sz w:val="22"/>
          <w:szCs w:val="22"/>
        </w:rPr>
        <w:t xml:space="preserve"> - vigência: 01.03.16)</w:t>
      </w:r>
    </w:p>
    <w:p w14:paraId="23B02AB8"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a) revogada;</w:t>
      </w:r>
    </w:p>
    <w:p w14:paraId="3863A8EA"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a.1) nos incisos </w:t>
      </w:r>
      <w:r w:rsidRPr="00F66779">
        <w:rPr>
          <w:rFonts w:ascii="Arial" w:hAnsi="Arial" w:cs="Arial"/>
          <w:sz w:val="22"/>
          <w:szCs w:val="22"/>
        </w:rPr>
        <w:t>LXVIII</w:t>
      </w:r>
      <w:r w:rsidRPr="00A12B50">
        <w:rPr>
          <w:rFonts w:ascii="Arial" w:hAnsi="Arial" w:cs="Arial"/>
          <w:sz w:val="22"/>
          <w:szCs w:val="22"/>
        </w:rPr>
        <w:t xml:space="preserve"> e </w:t>
      </w:r>
      <w:r w:rsidRPr="00F66779">
        <w:rPr>
          <w:rFonts w:ascii="Arial" w:hAnsi="Arial" w:cs="Arial"/>
          <w:sz w:val="22"/>
          <w:szCs w:val="22"/>
        </w:rPr>
        <w:t>LXX</w:t>
      </w:r>
      <w:r w:rsidRPr="00A12B50">
        <w:rPr>
          <w:rFonts w:ascii="Arial" w:hAnsi="Arial" w:cs="Arial"/>
          <w:sz w:val="22"/>
          <w:szCs w:val="22"/>
        </w:rPr>
        <w:t xml:space="preserve">, ambos do </w:t>
      </w:r>
      <w:r w:rsidRPr="00F66779">
        <w:rPr>
          <w:rFonts w:ascii="Arial" w:hAnsi="Arial" w:cs="Arial"/>
          <w:sz w:val="22"/>
          <w:szCs w:val="22"/>
        </w:rPr>
        <w:t>art. 7º</w:t>
      </w:r>
      <w:r w:rsidRPr="00A12B50">
        <w:rPr>
          <w:rFonts w:ascii="Arial" w:hAnsi="Arial" w:cs="Arial"/>
          <w:sz w:val="22"/>
          <w:szCs w:val="22"/>
        </w:rPr>
        <w:t>;</w:t>
      </w:r>
    </w:p>
    <w:p w14:paraId="6253EB34"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b) nos incisos </w:t>
      </w:r>
      <w:r w:rsidRPr="00F66779">
        <w:rPr>
          <w:rFonts w:ascii="Arial" w:hAnsi="Arial" w:cs="Arial"/>
          <w:sz w:val="22"/>
          <w:szCs w:val="22"/>
        </w:rPr>
        <w:t>VIII</w:t>
      </w:r>
      <w:r w:rsidRPr="00A12B50">
        <w:rPr>
          <w:rFonts w:ascii="Arial" w:hAnsi="Arial" w:cs="Arial"/>
          <w:sz w:val="22"/>
          <w:szCs w:val="22"/>
        </w:rPr>
        <w:t xml:space="preserve">, </w:t>
      </w:r>
      <w:r w:rsidRPr="00F66779">
        <w:rPr>
          <w:rFonts w:ascii="Arial" w:hAnsi="Arial" w:cs="Arial"/>
          <w:sz w:val="22"/>
          <w:szCs w:val="22"/>
        </w:rPr>
        <w:t>XII-A</w:t>
      </w:r>
      <w:r w:rsidRPr="00A12B50">
        <w:rPr>
          <w:rFonts w:ascii="Arial" w:hAnsi="Arial" w:cs="Arial"/>
          <w:sz w:val="22"/>
          <w:szCs w:val="22"/>
        </w:rPr>
        <w:t xml:space="preserve">, </w:t>
      </w:r>
      <w:r w:rsidRPr="00F66779">
        <w:rPr>
          <w:rFonts w:ascii="Arial" w:hAnsi="Arial" w:cs="Arial"/>
          <w:sz w:val="22"/>
          <w:szCs w:val="22"/>
        </w:rPr>
        <w:t>XIII</w:t>
      </w:r>
      <w:r w:rsidRPr="00A12B50">
        <w:rPr>
          <w:rFonts w:ascii="Arial" w:hAnsi="Arial" w:cs="Arial"/>
          <w:sz w:val="22"/>
          <w:szCs w:val="22"/>
        </w:rPr>
        <w:t xml:space="preserve">, </w:t>
      </w:r>
      <w:r w:rsidRPr="00F66779">
        <w:rPr>
          <w:rFonts w:ascii="Arial" w:hAnsi="Arial" w:cs="Arial"/>
          <w:sz w:val="22"/>
          <w:szCs w:val="22"/>
        </w:rPr>
        <w:t>XXIII</w:t>
      </w:r>
      <w:r w:rsidRPr="00A12B50">
        <w:rPr>
          <w:rFonts w:ascii="Arial" w:hAnsi="Arial" w:cs="Arial"/>
          <w:sz w:val="22"/>
          <w:szCs w:val="22"/>
        </w:rPr>
        <w:t xml:space="preserve">, </w:t>
      </w:r>
      <w:r w:rsidRPr="00F66779">
        <w:rPr>
          <w:rFonts w:ascii="Arial" w:hAnsi="Arial" w:cs="Arial"/>
          <w:sz w:val="22"/>
          <w:szCs w:val="22"/>
        </w:rPr>
        <w:t>XXVII</w:t>
      </w:r>
      <w:r w:rsidRPr="00A12B50">
        <w:rPr>
          <w:rFonts w:ascii="Arial" w:hAnsi="Arial" w:cs="Arial"/>
          <w:sz w:val="22"/>
          <w:szCs w:val="22"/>
        </w:rPr>
        <w:t xml:space="preserve">, </w:t>
      </w:r>
      <w:r w:rsidRPr="00F66779">
        <w:rPr>
          <w:rFonts w:ascii="Arial" w:hAnsi="Arial" w:cs="Arial"/>
          <w:sz w:val="22"/>
          <w:szCs w:val="22"/>
        </w:rPr>
        <w:t>XXIX</w:t>
      </w:r>
      <w:r w:rsidRPr="00A12B50">
        <w:rPr>
          <w:rFonts w:ascii="Arial" w:hAnsi="Arial" w:cs="Arial"/>
          <w:sz w:val="22"/>
          <w:szCs w:val="22"/>
        </w:rPr>
        <w:t xml:space="preserve"> e </w:t>
      </w:r>
      <w:r w:rsidRPr="00F66779">
        <w:rPr>
          <w:rFonts w:ascii="Arial" w:hAnsi="Arial" w:cs="Arial"/>
          <w:sz w:val="22"/>
          <w:szCs w:val="22"/>
        </w:rPr>
        <w:t>LVI</w:t>
      </w:r>
      <w:r w:rsidRPr="00A12B50">
        <w:rPr>
          <w:rFonts w:ascii="Arial" w:hAnsi="Arial" w:cs="Arial"/>
          <w:sz w:val="22"/>
          <w:szCs w:val="22"/>
        </w:rPr>
        <w:t xml:space="preserve">, todos do </w:t>
      </w:r>
      <w:r w:rsidRPr="00F66779">
        <w:rPr>
          <w:rFonts w:ascii="Arial" w:hAnsi="Arial" w:cs="Arial"/>
          <w:sz w:val="22"/>
          <w:szCs w:val="22"/>
        </w:rPr>
        <w:t>art. 8º</w:t>
      </w:r>
      <w:r>
        <w:rPr>
          <w:rFonts w:ascii="Arial" w:hAnsi="Arial" w:cs="Arial"/>
          <w:sz w:val="22"/>
          <w:szCs w:val="22"/>
        </w:rPr>
        <w:t>;</w:t>
      </w:r>
    </w:p>
    <w:p w14:paraId="48730DB2"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c) nos incisos </w:t>
      </w:r>
      <w:r w:rsidRPr="00F66779">
        <w:rPr>
          <w:rFonts w:ascii="Arial" w:hAnsi="Arial" w:cs="Arial"/>
          <w:sz w:val="22"/>
          <w:szCs w:val="22"/>
        </w:rPr>
        <w:t>III</w:t>
      </w:r>
      <w:r w:rsidRPr="00A12B50">
        <w:rPr>
          <w:rFonts w:ascii="Arial" w:hAnsi="Arial" w:cs="Arial"/>
          <w:sz w:val="22"/>
          <w:szCs w:val="22"/>
        </w:rPr>
        <w:t xml:space="preserve">, </w:t>
      </w:r>
      <w:r w:rsidRPr="00F66779">
        <w:rPr>
          <w:rFonts w:ascii="Arial" w:hAnsi="Arial" w:cs="Arial"/>
          <w:sz w:val="22"/>
          <w:szCs w:val="22"/>
        </w:rPr>
        <w:t>V</w:t>
      </w:r>
      <w:r w:rsidRPr="00A12B50">
        <w:rPr>
          <w:rFonts w:ascii="Arial" w:hAnsi="Arial" w:cs="Arial"/>
          <w:sz w:val="22"/>
          <w:szCs w:val="22"/>
        </w:rPr>
        <w:t xml:space="preserve">, </w:t>
      </w:r>
      <w:r w:rsidRPr="00F66779">
        <w:rPr>
          <w:rFonts w:ascii="Arial" w:hAnsi="Arial" w:cs="Arial"/>
          <w:sz w:val="22"/>
          <w:szCs w:val="22"/>
        </w:rPr>
        <w:t>VIII</w:t>
      </w:r>
      <w:r w:rsidRPr="00A12B50">
        <w:rPr>
          <w:rFonts w:ascii="Arial" w:hAnsi="Arial" w:cs="Arial"/>
          <w:sz w:val="22"/>
          <w:szCs w:val="22"/>
        </w:rPr>
        <w:t xml:space="preserve">, </w:t>
      </w:r>
      <w:r w:rsidRPr="00F66779">
        <w:rPr>
          <w:rFonts w:ascii="Arial" w:hAnsi="Arial" w:cs="Arial"/>
          <w:sz w:val="22"/>
          <w:szCs w:val="22"/>
        </w:rPr>
        <w:t>IX</w:t>
      </w:r>
      <w:r w:rsidRPr="00A12B50">
        <w:rPr>
          <w:rFonts w:ascii="Arial" w:hAnsi="Arial" w:cs="Arial"/>
          <w:sz w:val="22"/>
          <w:szCs w:val="22"/>
        </w:rPr>
        <w:t xml:space="preserve">, </w:t>
      </w:r>
      <w:r w:rsidRPr="00F66779">
        <w:rPr>
          <w:rFonts w:ascii="Arial" w:hAnsi="Arial" w:cs="Arial"/>
          <w:sz w:val="22"/>
          <w:szCs w:val="22"/>
        </w:rPr>
        <w:t>XIII</w:t>
      </w:r>
      <w:r w:rsidRPr="00A12B50">
        <w:rPr>
          <w:rFonts w:ascii="Arial" w:hAnsi="Arial" w:cs="Arial"/>
          <w:sz w:val="22"/>
          <w:szCs w:val="22"/>
        </w:rPr>
        <w:t xml:space="preserve">, </w:t>
      </w:r>
      <w:r w:rsidRPr="00F66779">
        <w:rPr>
          <w:rFonts w:ascii="Arial" w:hAnsi="Arial" w:cs="Arial"/>
          <w:sz w:val="22"/>
          <w:szCs w:val="22"/>
        </w:rPr>
        <w:t>XV</w:t>
      </w:r>
      <w:r w:rsidRPr="00A12B50">
        <w:rPr>
          <w:rFonts w:ascii="Arial" w:hAnsi="Arial" w:cs="Arial"/>
          <w:sz w:val="22"/>
          <w:szCs w:val="22"/>
        </w:rPr>
        <w:t xml:space="preserve">, </w:t>
      </w:r>
      <w:r w:rsidRPr="00F66779">
        <w:rPr>
          <w:rFonts w:ascii="Arial" w:hAnsi="Arial" w:cs="Arial"/>
          <w:sz w:val="22"/>
          <w:szCs w:val="22"/>
        </w:rPr>
        <w:t>XVIII</w:t>
      </w:r>
      <w:r w:rsidRPr="00A12B50">
        <w:rPr>
          <w:rFonts w:ascii="Arial" w:hAnsi="Arial" w:cs="Arial"/>
          <w:sz w:val="22"/>
          <w:szCs w:val="22"/>
        </w:rPr>
        <w:t xml:space="preserve">, </w:t>
      </w:r>
      <w:r w:rsidRPr="00F66779">
        <w:rPr>
          <w:rFonts w:ascii="Arial" w:hAnsi="Arial" w:cs="Arial"/>
          <w:sz w:val="22"/>
          <w:szCs w:val="22"/>
        </w:rPr>
        <w:t>XIX</w:t>
      </w:r>
      <w:r w:rsidRPr="00A12B50">
        <w:rPr>
          <w:rFonts w:ascii="Arial" w:hAnsi="Arial" w:cs="Arial"/>
          <w:sz w:val="22"/>
          <w:szCs w:val="22"/>
        </w:rPr>
        <w:t xml:space="preserve">, </w:t>
      </w:r>
      <w:r w:rsidRPr="00F66779">
        <w:rPr>
          <w:rFonts w:ascii="Arial" w:hAnsi="Arial" w:cs="Arial"/>
          <w:sz w:val="22"/>
          <w:szCs w:val="22"/>
        </w:rPr>
        <w:t>XXIII</w:t>
      </w:r>
      <w:r w:rsidRPr="00A12B50">
        <w:rPr>
          <w:rFonts w:ascii="Arial" w:hAnsi="Arial" w:cs="Arial"/>
          <w:sz w:val="22"/>
          <w:szCs w:val="22"/>
        </w:rPr>
        <w:t xml:space="preserve">, </w:t>
      </w:r>
      <w:r w:rsidRPr="00F66779">
        <w:rPr>
          <w:rFonts w:ascii="Arial" w:hAnsi="Arial" w:cs="Arial"/>
          <w:sz w:val="22"/>
          <w:szCs w:val="22"/>
        </w:rPr>
        <w:t>XXV</w:t>
      </w:r>
      <w:r w:rsidRPr="00A12B50">
        <w:rPr>
          <w:rFonts w:ascii="Arial" w:hAnsi="Arial" w:cs="Arial"/>
          <w:sz w:val="22"/>
          <w:szCs w:val="22"/>
        </w:rPr>
        <w:t xml:space="preserve">, </w:t>
      </w:r>
      <w:r w:rsidRPr="00F66779">
        <w:rPr>
          <w:rFonts w:ascii="Arial" w:hAnsi="Arial" w:cs="Arial"/>
          <w:sz w:val="22"/>
          <w:szCs w:val="22"/>
        </w:rPr>
        <w:t>XXVIII</w:t>
      </w:r>
      <w:r w:rsidRPr="00A12B50">
        <w:rPr>
          <w:rFonts w:ascii="Arial" w:hAnsi="Arial" w:cs="Arial"/>
          <w:sz w:val="22"/>
          <w:szCs w:val="22"/>
        </w:rPr>
        <w:t xml:space="preserve">, </w:t>
      </w:r>
      <w:r w:rsidRPr="00F66779">
        <w:rPr>
          <w:rFonts w:ascii="Arial" w:hAnsi="Arial" w:cs="Arial"/>
          <w:sz w:val="22"/>
          <w:szCs w:val="22"/>
        </w:rPr>
        <w:t>XXXI</w:t>
      </w:r>
      <w:r w:rsidRPr="00A12B50">
        <w:rPr>
          <w:rFonts w:ascii="Arial" w:hAnsi="Arial" w:cs="Arial"/>
          <w:sz w:val="22"/>
          <w:szCs w:val="22"/>
        </w:rPr>
        <w:t xml:space="preserve">, </w:t>
      </w:r>
      <w:r w:rsidRPr="00F66779">
        <w:rPr>
          <w:rFonts w:ascii="Arial" w:hAnsi="Arial" w:cs="Arial"/>
          <w:sz w:val="22"/>
          <w:szCs w:val="22"/>
        </w:rPr>
        <w:t>XXXII</w:t>
      </w:r>
      <w:r w:rsidRPr="00A12B50">
        <w:rPr>
          <w:rFonts w:ascii="Arial" w:hAnsi="Arial" w:cs="Arial"/>
          <w:sz w:val="22"/>
          <w:szCs w:val="22"/>
        </w:rPr>
        <w:t xml:space="preserve">, </w:t>
      </w:r>
      <w:r w:rsidRPr="00F66779">
        <w:rPr>
          <w:rFonts w:ascii="Arial" w:hAnsi="Arial" w:cs="Arial"/>
          <w:sz w:val="22"/>
          <w:szCs w:val="22"/>
        </w:rPr>
        <w:t>XXXIV</w:t>
      </w:r>
      <w:r w:rsidRPr="00A12B50">
        <w:rPr>
          <w:rFonts w:ascii="Arial" w:hAnsi="Arial" w:cs="Arial"/>
          <w:sz w:val="22"/>
          <w:szCs w:val="22"/>
        </w:rPr>
        <w:t xml:space="preserve">, </w:t>
      </w:r>
      <w:r w:rsidRPr="00F66779">
        <w:rPr>
          <w:rFonts w:ascii="Arial" w:hAnsi="Arial" w:cs="Arial"/>
          <w:sz w:val="22"/>
          <w:szCs w:val="22"/>
        </w:rPr>
        <w:t>XXXV</w:t>
      </w:r>
      <w:r w:rsidRPr="00A12B50">
        <w:rPr>
          <w:rFonts w:ascii="Arial" w:hAnsi="Arial" w:cs="Arial"/>
          <w:sz w:val="22"/>
          <w:szCs w:val="22"/>
        </w:rPr>
        <w:t xml:space="preserve">, </w:t>
      </w:r>
      <w:r w:rsidRPr="00F66779">
        <w:rPr>
          <w:rFonts w:ascii="Arial" w:hAnsi="Arial" w:cs="Arial"/>
          <w:sz w:val="22"/>
          <w:szCs w:val="22"/>
        </w:rPr>
        <w:t>XL</w:t>
      </w:r>
      <w:r w:rsidRPr="00A12B50">
        <w:rPr>
          <w:rFonts w:ascii="Arial" w:hAnsi="Arial" w:cs="Arial"/>
          <w:sz w:val="22"/>
          <w:szCs w:val="22"/>
        </w:rPr>
        <w:t xml:space="preserve">, </w:t>
      </w:r>
      <w:r w:rsidRPr="00F66779">
        <w:rPr>
          <w:rFonts w:ascii="Arial" w:hAnsi="Arial" w:cs="Arial"/>
          <w:sz w:val="22"/>
          <w:szCs w:val="22"/>
        </w:rPr>
        <w:t>XLI</w:t>
      </w:r>
      <w:r w:rsidRPr="00A12B50">
        <w:rPr>
          <w:rFonts w:ascii="Arial" w:hAnsi="Arial" w:cs="Arial"/>
          <w:sz w:val="22"/>
          <w:szCs w:val="22"/>
        </w:rPr>
        <w:t xml:space="preserve">, </w:t>
      </w:r>
      <w:r w:rsidRPr="00F66779">
        <w:rPr>
          <w:rFonts w:ascii="Arial" w:hAnsi="Arial" w:cs="Arial"/>
          <w:sz w:val="22"/>
          <w:szCs w:val="22"/>
        </w:rPr>
        <w:t>LI</w:t>
      </w:r>
      <w:r w:rsidRPr="00A12B50">
        <w:rPr>
          <w:rFonts w:ascii="Arial" w:hAnsi="Arial" w:cs="Arial"/>
          <w:sz w:val="22"/>
          <w:szCs w:val="22"/>
        </w:rPr>
        <w:t xml:space="preserve">, </w:t>
      </w:r>
      <w:r w:rsidRPr="00F66779">
        <w:rPr>
          <w:rFonts w:ascii="Arial" w:hAnsi="Arial" w:cs="Arial"/>
          <w:sz w:val="22"/>
          <w:szCs w:val="22"/>
        </w:rPr>
        <w:t>LII</w:t>
      </w:r>
      <w:r w:rsidRPr="00A12B50">
        <w:rPr>
          <w:rFonts w:ascii="Arial" w:hAnsi="Arial" w:cs="Arial"/>
          <w:sz w:val="22"/>
          <w:szCs w:val="22"/>
        </w:rPr>
        <w:t xml:space="preserve">, </w:t>
      </w:r>
      <w:r w:rsidRPr="00F66779">
        <w:rPr>
          <w:rFonts w:ascii="Arial" w:hAnsi="Arial" w:cs="Arial"/>
          <w:sz w:val="22"/>
          <w:szCs w:val="22"/>
        </w:rPr>
        <w:t>LIII</w:t>
      </w:r>
      <w:r w:rsidRPr="00A12B50">
        <w:rPr>
          <w:rFonts w:ascii="Arial" w:hAnsi="Arial" w:cs="Arial"/>
          <w:sz w:val="22"/>
          <w:szCs w:val="22"/>
        </w:rPr>
        <w:t xml:space="preserve">, </w:t>
      </w:r>
      <w:r w:rsidRPr="00F66779">
        <w:rPr>
          <w:rFonts w:ascii="Arial" w:hAnsi="Arial" w:cs="Arial"/>
          <w:sz w:val="22"/>
          <w:szCs w:val="22"/>
        </w:rPr>
        <w:t>LIV</w:t>
      </w:r>
      <w:r w:rsidRPr="00A12B50">
        <w:rPr>
          <w:rFonts w:ascii="Arial" w:hAnsi="Arial" w:cs="Arial"/>
          <w:sz w:val="22"/>
          <w:szCs w:val="22"/>
        </w:rPr>
        <w:t>, nas alíneas “</w:t>
      </w:r>
      <w:r w:rsidRPr="00F66779">
        <w:rPr>
          <w:rFonts w:ascii="Arial" w:hAnsi="Arial" w:cs="Arial"/>
          <w:sz w:val="22"/>
          <w:szCs w:val="22"/>
        </w:rPr>
        <w:t>a</w:t>
      </w:r>
      <w:r w:rsidRPr="00A12B50">
        <w:rPr>
          <w:rFonts w:ascii="Arial" w:hAnsi="Arial" w:cs="Arial"/>
          <w:sz w:val="22"/>
          <w:szCs w:val="22"/>
        </w:rPr>
        <w:t>” e “</w:t>
      </w:r>
      <w:r w:rsidRPr="00F66779">
        <w:rPr>
          <w:rFonts w:ascii="Arial" w:hAnsi="Arial" w:cs="Arial"/>
          <w:sz w:val="22"/>
          <w:szCs w:val="22"/>
        </w:rPr>
        <w:t>b</w:t>
      </w:r>
      <w:r w:rsidRPr="00A12B50">
        <w:rPr>
          <w:rFonts w:ascii="Arial" w:hAnsi="Arial" w:cs="Arial"/>
          <w:sz w:val="22"/>
          <w:szCs w:val="22"/>
        </w:rPr>
        <w:t xml:space="preserve">” do inciso </w:t>
      </w:r>
      <w:r w:rsidRPr="00F66779">
        <w:rPr>
          <w:rFonts w:ascii="Arial" w:hAnsi="Arial" w:cs="Arial"/>
          <w:sz w:val="22"/>
          <w:szCs w:val="22"/>
        </w:rPr>
        <w:t>LX</w:t>
      </w:r>
      <w:r w:rsidRPr="00A12B50">
        <w:rPr>
          <w:rFonts w:ascii="Arial" w:hAnsi="Arial" w:cs="Arial"/>
          <w:sz w:val="22"/>
          <w:szCs w:val="22"/>
        </w:rPr>
        <w:t xml:space="preserve">, </w:t>
      </w:r>
      <w:r w:rsidRPr="00F66779">
        <w:rPr>
          <w:rFonts w:ascii="Arial" w:hAnsi="Arial" w:cs="Arial"/>
          <w:sz w:val="22"/>
          <w:szCs w:val="22"/>
        </w:rPr>
        <w:t>LXI</w:t>
      </w:r>
      <w:r w:rsidRPr="00A12B50">
        <w:rPr>
          <w:rFonts w:ascii="Arial" w:hAnsi="Arial" w:cs="Arial"/>
          <w:sz w:val="22"/>
          <w:szCs w:val="22"/>
        </w:rPr>
        <w:t xml:space="preserve">, </w:t>
      </w:r>
      <w:r w:rsidRPr="00F66779">
        <w:rPr>
          <w:rFonts w:ascii="Arial" w:hAnsi="Arial" w:cs="Arial"/>
          <w:sz w:val="22"/>
          <w:szCs w:val="22"/>
        </w:rPr>
        <w:t>LXIII</w:t>
      </w:r>
      <w:r w:rsidRPr="00A12B50">
        <w:rPr>
          <w:rFonts w:ascii="Arial" w:hAnsi="Arial" w:cs="Arial"/>
          <w:sz w:val="22"/>
          <w:szCs w:val="22"/>
        </w:rPr>
        <w:t xml:space="preserve">, </w:t>
      </w:r>
      <w:r w:rsidRPr="00F66779">
        <w:rPr>
          <w:rFonts w:ascii="Arial" w:hAnsi="Arial" w:cs="Arial"/>
          <w:sz w:val="22"/>
          <w:szCs w:val="22"/>
        </w:rPr>
        <w:t>LXV</w:t>
      </w:r>
      <w:r w:rsidRPr="00A12B50">
        <w:rPr>
          <w:rFonts w:ascii="Arial" w:hAnsi="Arial" w:cs="Arial"/>
          <w:sz w:val="22"/>
          <w:szCs w:val="22"/>
        </w:rPr>
        <w:t xml:space="preserve">, </w:t>
      </w:r>
      <w:r w:rsidRPr="00F66779">
        <w:rPr>
          <w:rFonts w:ascii="Arial" w:hAnsi="Arial" w:cs="Arial"/>
          <w:sz w:val="22"/>
          <w:szCs w:val="22"/>
        </w:rPr>
        <w:t>LXVI</w:t>
      </w:r>
      <w:r w:rsidRPr="00A12B50">
        <w:rPr>
          <w:rFonts w:ascii="Arial" w:hAnsi="Arial" w:cs="Arial"/>
          <w:sz w:val="22"/>
          <w:szCs w:val="22"/>
        </w:rPr>
        <w:t xml:space="preserve">, </w:t>
      </w:r>
      <w:r w:rsidRPr="00F66779">
        <w:rPr>
          <w:rFonts w:ascii="Arial" w:hAnsi="Arial" w:cs="Arial"/>
          <w:sz w:val="22"/>
          <w:szCs w:val="22"/>
        </w:rPr>
        <w:t>LXX</w:t>
      </w:r>
      <w:r w:rsidRPr="00A12B50">
        <w:rPr>
          <w:rFonts w:ascii="Arial" w:hAnsi="Arial" w:cs="Arial"/>
          <w:sz w:val="22"/>
          <w:szCs w:val="22"/>
        </w:rPr>
        <w:t xml:space="preserve">, </w:t>
      </w:r>
      <w:r w:rsidRPr="00F66779">
        <w:rPr>
          <w:rFonts w:ascii="Arial" w:hAnsi="Arial" w:cs="Arial"/>
          <w:sz w:val="22"/>
          <w:szCs w:val="22"/>
        </w:rPr>
        <w:t>LXXI</w:t>
      </w:r>
      <w:r w:rsidRPr="00A12B50">
        <w:rPr>
          <w:rFonts w:ascii="Arial" w:hAnsi="Arial" w:cs="Arial"/>
          <w:sz w:val="22"/>
          <w:szCs w:val="22"/>
        </w:rPr>
        <w:t xml:space="preserve"> e </w:t>
      </w:r>
      <w:r w:rsidRPr="00F66779">
        <w:rPr>
          <w:rFonts w:ascii="Arial" w:hAnsi="Arial" w:cs="Arial"/>
          <w:sz w:val="22"/>
          <w:szCs w:val="22"/>
        </w:rPr>
        <w:t>LXXII</w:t>
      </w:r>
      <w:r w:rsidRPr="00A12B50">
        <w:rPr>
          <w:rFonts w:ascii="Arial" w:hAnsi="Arial" w:cs="Arial"/>
          <w:sz w:val="22"/>
          <w:szCs w:val="22"/>
        </w:rPr>
        <w:t xml:space="preserve">, todos do </w:t>
      </w:r>
      <w:r w:rsidRPr="00F66779">
        <w:rPr>
          <w:rFonts w:ascii="Arial" w:hAnsi="Arial" w:cs="Arial"/>
          <w:sz w:val="22"/>
          <w:szCs w:val="22"/>
        </w:rPr>
        <w:t>art. 11</w:t>
      </w:r>
      <w:r w:rsidRPr="00A12B50">
        <w:rPr>
          <w:rFonts w:ascii="Arial" w:hAnsi="Arial" w:cs="Arial"/>
          <w:sz w:val="22"/>
          <w:szCs w:val="22"/>
        </w:rPr>
        <w:t>;</w:t>
      </w:r>
    </w:p>
    <w:p w14:paraId="00E13D69"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d) no </w:t>
      </w:r>
      <w:r w:rsidRPr="00F66779">
        <w:rPr>
          <w:rFonts w:ascii="Arial" w:hAnsi="Arial" w:cs="Arial"/>
          <w:bCs/>
          <w:sz w:val="22"/>
          <w:szCs w:val="22"/>
        </w:rPr>
        <w:t>inciso VIII</w:t>
      </w:r>
      <w:r w:rsidRPr="00A12B50">
        <w:rPr>
          <w:rFonts w:ascii="Arial" w:hAnsi="Arial" w:cs="Arial"/>
          <w:sz w:val="22"/>
          <w:szCs w:val="22"/>
        </w:rPr>
        <w:t xml:space="preserve"> do </w:t>
      </w:r>
      <w:r w:rsidRPr="00F66779">
        <w:rPr>
          <w:rFonts w:ascii="Arial" w:hAnsi="Arial" w:cs="Arial"/>
          <w:bCs/>
          <w:sz w:val="22"/>
          <w:szCs w:val="22"/>
        </w:rPr>
        <w:t>art. 12</w:t>
      </w:r>
      <w:r w:rsidRPr="00A12B50">
        <w:rPr>
          <w:rFonts w:ascii="Arial" w:hAnsi="Arial" w:cs="Arial"/>
          <w:sz w:val="22"/>
          <w:szCs w:val="22"/>
        </w:rPr>
        <w:t xml:space="preserve">; </w:t>
      </w:r>
    </w:p>
    <w:p w14:paraId="5BFD8D28"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II - Revogado;</w:t>
      </w:r>
    </w:p>
    <w:p w14:paraId="291D1139"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lang w:val="pt-PT"/>
        </w:rPr>
        <w:t>II-A - 10% (dez por cento) para:</w:t>
      </w:r>
    </w:p>
    <w:p w14:paraId="5B2A86E8" w14:textId="77777777" w:rsidR="00747098" w:rsidRPr="00A12B50" w:rsidRDefault="00747098" w:rsidP="00DC688C">
      <w:pPr>
        <w:ind w:left="2268"/>
        <w:jc w:val="both"/>
        <w:rPr>
          <w:rFonts w:ascii="Arial" w:hAnsi="Arial" w:cs="Arial"/>
          <w:bCs/>
          <w:sz w:val="22"/>
          <w:szCs w:val="22"/>
        </w:rPr>
      </w:pPr>
      <w:r w:rsidRPr="00A12B50">
        <w:rPr>
          <w:rFonts w:ascii="Arial" w:hAnsi="Arial" w:cs="Arial"/>
          <w:bCs/>
          <w:sz w:val="22"/>
          <w:szCs w:val="22"/>
        </w:rPr>
        <w:t xml:space="preserve">a) as situações previstas nos incisos </w:t>
      </w:r>
      <w:r w:rsidRPr="009E67F3">
        <w:rPr>
          <w:rFonts w:ascii="Arial" w:hAnsi="Arial" w:cs="Arial"/>
          <w:bCs/>
          <w:sz w:val="22"/>
          <w:szCs w:val="22"/>
        </w:rPr>
        <w:t>VI</w:t>
      </w:r>
      <w:r w:rsidRPr="00A12B50">
        <w:rPr>
          <w:rFonts w:ascii="Arial" w:hAnsi="Arial" w:cs="Arial"/>
          <w:bCs/>
          <w:sz w:val="22"/>
          <w:szCs w:val="22"/>
        </w:rPr>
        <w:t xml:space="preserve">, </w:t>
      </w:r>
      <w:r w:rsidRPr="009E67F3">
        <w:rPr>
          <w:rFonts w:ascii="Arial" w:hAnsi="Arial" w:cs="Arial"/>
          <w:bCs/>
          <w:sz w:val="22"/>
          <w:szCs w:val="22"/>
        </w:rPr>
        <w:t>XII</w:t>
      </w:r>
      <w:r w:rsidRPr="00A12B50">
        <w:rPr>
          <w:rFonts w:ascii="Arial" w:hAnsi="Arial" w:cs="Arial"/>
          <w:bCs/>
          <w:sz w:val="22"/>
          <w:szCs w:val="22"/>
        </w:rPr>
        <w:t xml:space="preserve">, </w:t>
      </w:r>
      <w:r w:rsidRPr="009E67F3">
        <w:rPr>
          <w:rFonts w:ascii="Arial" w:hAnsi="Arial" w:cs="Arial"/>
          <w:bCs/>
          <w:sz w:val="22"/>
          <w:szCs w:val="22"/>
        </w:rPr>
        <w:t>LV</w:t>
      </w:r>
      <w:r w:rsidRPr="00A12B50">
        <w:rPr>
          <w:rFonts w:ascii="Arial" w:hAnsi="Arial" w:cs="Arial"/>
          <w:bCs/>
          <w:sz w:val="22"/>
          <w:szCs w:val="22"/>
        </w:rPr>
        <w:t xml:space="preserve">, </w:t>
      </w:r>
      <w:r w:rsidRPr="009E67F3">
        <w:rPr>
          <w:rFonts w:ascii="Arial" w:hAnsi="Arial" w:cs="Arial"/>
          <w:bCs/>
          <w:sz w:val="22"/>
          <w:szCs w:val="22"/>
        </w:rPr>
        <w:t>LVI</w:t>
      </w:r>
      <w:r w:rsidRPr="00A12B50">
        <w:rPr>
          <w:rFonts w:ascii="Arial" w:hAnsi="Arial" w:cs="Arial"/>
          <w:bCs/>
          <w:sz w:val="22"/>
          <w:szCs w:val="22"/>
        </w:rPr>
        <w:t>, nas alíneas “</w:t>
      </w:r>
      <w:r w:rsidRPr="009E67F3">
        <w:rPr>
          <w:rFonts w:ascii="Arial" w:hAnsi="Arial" w:cs="Arial"/>
          <w:bCs/>
          <w:sz w:val="22"/>
          <w:szCs w:val="22"/>
        </w:rPr>
        <w:t>a</w:t>
      </w:r>
      <w:r w:rsidRPr="00A12B50">
        <w:rPr>
          <w:rFonts w:ascii="Arial" w:hAnsi="Arial" w:cs="Arial"/>
          <w:bCs/>
          <w:sz w:val="22"/>
          <w:szCs w:val="22"/>
        </w:rPr>
        <w:t>” e “</w:t>
      </w:r>
      <w:r w:rsidRPr="009E67F3">
        <w:rPr>
          <w:rFonts w:ascii="Arial" w:hAnsi="Arial" w:cs="Arial"/>
          <w:bCs/>
          <w:sz w:val="22"/>
          <w:szCs w:val="22"/>
        </w:rPr>
        <w:t>b</w:t>
      </w:r>
      <w:r w:rsidRPr="00A12B50">
        <w:rPr>
          <w:rFonts w:ascii="Arial" w:hAnsi="Arial" w:cs="Arial"/>
          <w:bCs/>
          <w:sz w:val="22"/>
          <w:szCs w:val="22"/>
        </w:rPr>
        <w:t xml:space="preserve">” do inciso </w:t>
      </w:r>
      <w:r w:rsidRPr="009E67F3">
        <w:rPr>
          <w:rFonts w:ascii="Arial" w:hAnsi="Arial" w:cs="Arial"/>
          <w:bCs/>
          <w:sz w:val="22"/>
          <w:szCs w:val="22"/>
        </w:rPr>
        <w:t>LVII</w:t>
      </w:r>
      <w:r w:rsidRPr="00A12B50">
        <w:rPr>
          <w:rFonts w:ascii="Arial" w:hAnsi="Arial" w:cs="Arial"/>
          <w:bCs/>
          <w:sz w:val="22"/>
          <w:szCs w:val="22"/>
        </w:rPr>
        <w:t xml:space="preserve"> e nas alíneas “</w:t>
      </w:r>
      <w:r w:rsidRPr="009E67F3">
        <w:rPr>
          <w:rFonts w:ascii="Arial" w:hAnsi="Arial" w:cs="Arial"/>
          <w:bCs/>
          <w:sz w:val="22"/>
          <w:szCs w:val="22"/>
        </w:rPr>
        <w:t>a</w:t>
      </w:r>
      <w:r w:rsidRPr="00A12B50">
        <w:rPr>
          <w:rFonts w:ascii="Arial" w:hAnsi="Arial" w:cs="Arial"/>
          <w:bCs/>
          <w:sz w:val="22"/>
          <w:szCs w:val="22"/>
        </w:rPr>
        <w:t>” e “</w:t>
      </w:r>
      <w:r w:rsidRPr="009E67F3">
        <w:rPr>
          <w:rFonts w:ascii="Arial" w:hAnsi="Arial" w:cs="Arial"/>
          <w:bCs/>
          <w:sz w:val="22"/>
          <w:szCs w:val="22"/>
        </w:rPr>
        <w:t>b</w:t>
      </w:r>
      <w:r w:rsidRPr="00A12B50">
        <w:rPr>
          <w:rFonts w:ascii="Arial" w:hAnsi="Arial" w:cs="Arial"/>
          <w:bCs/>
          <w:sz w:val="22"/>
          <w:szCs w:val="22"/>
        </w:rPr>
        <w:t xml:space="preserve">” do inciso </w:t>
      </w:r>
      <w:r w:rsidRPr="009E67F3">
        <w:rPr>
          <w:rFonts w:ascii="Arial" w:hAnsi="Arial" w:cs="Arial"/>
          <w:bCs/>
          <w:sz w:val="22"/>
          <w:szCs w:val="22"/>
        </w:rPr>
        <w:t>LVIII</w:t>
      </w:r>
      <w:r w:rsidRPr="00A12B50">
        <w:rPr>
          <w:rFonts w:ascii="Arial" w:hAnsi="Arial" w:cs="Arial"/>
          <w:bCs/>
          <w:sz w:val="22"/>
          <w:szCs w:val="22"/>
        </w:rPr>
        <w:t xml:space="preserve">, todos do </w:t>
      </w:r>
      <w:r w:rsidRPr="009E67F3">
        <w:rPr>
          <w:rFonts w:ascii="Arial" w:hAnsi="Arial" w:cs="Arial"/>
          <w:bCs/>
          <w:sz w:val="22"/>
          <w:szCs w:val="22"/>
        </w:rPr>
        <w:t>art. 11</w:t>
      </w:r>
      <w:r w:rsidRPr="00A12B50">
        <w:rPr>
          <w:rFonts w:ascii="Arial" w:hAnsi="Arial" w:cs="Arial"/>
          <w:bCs/>
          <w:sz w:val="22"/>
          <w:szCs w:val="22"/>
        </w:rPr>
        <w:t xml:space="preserve">; (Redação conferida pelo </w:t>
      </w:r>
      <w:r w:rsidRPr="009E67F3">
        <w:rPr>
          <w:rFonts w:ascii="Arial" w:hAnsi="Arial" w:cs="Arial"/>
          <w:bCs/>
          <w:sz w:val="22"/>
          <w:szCs w:val="22"/>
        </w:rPr>
        <w:t>Decreto nº 9.103</w:t>
      </w:r>
      <w:r w:rsidRPr="00A12B50">
        <w:rPr>
          <w:rFonts w:ascii="Arial" w:hAnsi="Arial" w:cs="Arial"/>
          <w:bCs/>
          <w:sz w:val="22"/>
          <w:szCs w:val="22"/>
        </w:rPr>
        <w:t xml:space="preserve"> - vigência: 01.12.17)</w:t>
      </w:r>
    </w:p>
    <w:p w14:paraId="09864BE6" w14:textId="77777777" w:rsidR="00747098" w:rsidRPr="00A12B50" w:rsidRDefault="00747098" w:rsidP="00DC688C">
      <w:pPr>
        <w:ind w:left="2268"/>
        <w:jc w:val="both"/>
        <w:rPr>
          <w:rFonts w:ascii="Arial" w:hAnsi="Arial" w:cs="Arial"/>
          <w:sz w:val="22"/>
          <w:szCs w:val="22"/>
        </w:rPr>
      </w:pPr>
      <w:bookmarkStart w:id="83" w:name="A1P3II_AB"/>
      <w:r w:rsidRPr="00A12B50">
        <w:rPr>
          <w:rFonts w:ascii="Arial" w:hAnsi="Arial" w:cs="Arial"/>
          <w:sz w:val="22"/>
          <w:szCs w:val="22"/>
        </w:rPr>
        <w:t>b) o industrializador de soja e milho, em relação às operações com a soja efetivamente esmagada e seus derivados, bem como com os derivados do milho, quando nessas operações seja aplicável benefício fiscal previsto no inciso I;</w:t>
      </w:r>
      <w:bookmarkEnd w:id="83"/>
      <w:r w:rsidRPr="00A12B50">
        <w:rPr>
          <w:rFonts w:ascii="Arial" w:hAnsi="Arial" w:cs="Arial"/>
          <w:sz w:val="22"/>
          <w:szCs w:val="22"/>
        </w:rPr>
        <w:t xml:space="preserve"> (Redação conferida pelo </w:t>
      </w:r>
      <w:r w:rsidRPr="009E67F3">
        <w:rPr>
          <w:rFonts w:ascii="Arial" w:hAnsi="Arial" w:cs="Arial"/>
          <w:sz w:val="22"/>
          <w:szCs w:val="22"/>
        </w:rPr>
        <w:t>Decreto nº 9.002</w:t>
      </w:r>
      <w:r w:rsidRPr="00A12B50">
        <w:rPr>
          <w:rFonts w:ascii="Arial" w:hAnsi="Arial" w:cs="Arial"/>
          <w:sz w:val="22"/>
          <w:szCs w:val="22"/>
        </w:rPr>
        <w:t xml:space="preserve"> - vigência: 21.07.17)</w:t>
      </w:r>
    </w:p>
    <w:p w14:paraId="001A7353" w14:textId="77777777" w:rsidR="00747098" w:rsidRPr="00A12B50" w:rsidRDefault="00747098" w:rsidP="00DC688C">
      <w:pPr>
        <w:ind w:left="2268"/>
        <w:jc w:val="both"/>
        <w:rPr>
          <w:rFonts w:ascii="Arial" w:hAnsi="Arial" w:cs="Arial"/>
          <w:sz w:val="22"/>
          <w:szCs w:val="22"/>
        </w:rPr>
      </w:pPr>
      <w:bookmarkStart w:id="84" w:name="A1P3II_AC"/>
      <w:r w:rsidRPr="00A12B50">
        <w:rPr>
          <w:rFonts w:ascii="Arial" w:hAnsi="Arial" w:cs="Arial"/>
          <w:sz w:val="22"/>
          <w:szCs w:val="22"/>
        </w:rPr>
        <w:lastRenderedPageBreak/>
        <w:t>c) o industrial nas operações com os produtos resultantes do abate de aves e suínos, bem como com os produtos resultantes de sua industrialização, quando nessas operações seja aplicável benefício fiscal previsto no inciso I;</w:t>
      </w:r>
      <w:bookmarkEnd w:id="84"/>
      <w:r w:rsidRPr="00A12B50">
        <w:rPr>
          <w:rFonts w:ascii="Arial" w:hAnsi="Arial" w:cs="Arial"/>
          <w:sz w:val="22"/>
          <w:szCs w:val="22"/>
        </w:rPr>
        <w:t xml:space="preserve"> </w:t>
      </w:r>
    </w:p>
    <w:p w14:paraId="11C6F68B" w14:textId="77777777" w:rsidR="00747098" w:rsidRPr="00A12B50" w:rsidRDefault="00747098" w:rsidP="00DC688C">
      <w:pPr>
        <w:ind w:left="2268"/>
        <w:jc w:val="both"/>
        <w:rPr>
          <w:rFonts w:ascii="Arial" w:hAnsi="Arial" w:cs="Arial"/>
          <w:sz w:val="22"/>
          <w:szCs w:val="22"/>
        </w:rPr>
      </w:pPr>
      <w:bookmarkStart w:id="85" w:name="A1P3II_AD"/>
      <w:r w:rsidRPr="00A12B50">
        <w:rPr>
          <w:rFonts w:ascii="Arial" w:hAnsi="Arial" w:cs="Arial"/>
          <w:sz w:val="22"/>
          <w:szCs w:val="22"/>
        </w:rPr>
        <w:t>d) o estabelecimento frigorífico ou abatedouro cujo faturamento mensal não ultrapassar R$ 36.000.000,00 (trinta e seis milhões de reais), quando em suas operações seja aplicável benefício fiscal previsto no inciso I, observado o disposto no § 10;</w:t>
      </w:r>
      <w:bookmarkEnd w:id="85"/>
    </w:p>
    <w:p w14:paraId="18ECFF9A"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III - 5% (cinco por cento) para: </w:t>
      </w:r>
    </w:p>
    <w:p w14:paraId="57167544" w14:textId="77777777" w:rsidR="00747098" w:rsidRPr="00A12B50" w:rsidRDefault="00747098" w:rsidP="00DC688C">
      <w:pPr>
        <w:ind w:left="2268"/>
        <w:jc w:val="both"/>
        <w:rPr>
          <w:rFonts w:ascii="Arial" w:hAnsi="Arial" w:cs="Arial"/>
          <w:sz w:val="22"/>
          <w:szCs w:val="22"/>
        </w:rPr>
      </w:pPr>
      <w:bookmarkStart w:id="86" w:name="A1P3IIIa"/>
      <w:bookmarkStart w:id="87" w:name="APXLV"/>
      <w:r w:rsidRPr="00A12B50">
        <w:rPr>
          <w:rFonts w:ascii="Arial" w:hAnsi="Arial" w:cs="Arial"/>
          <w:sz w:val="22"/>
          <w:szCs w:val="22"/>
        </w:rPr>
        <w:t xml:space="preserve">a) revogada; </w:t>
      </w:r>
      <w:bookmarkEnd w:id="86"/>
      <w:bookmarkEnd w:id="87"/>
    </w:p>
    <w:p w14:paraId="139D9830" w14:textId="77777777" w:rsidR="00747098" w:rsidRPr="00A12B50" w:rsidRDefault="00747098" w:rsidP="00DC688C">
      <w:pPr>
        <w:ind w:left="2268"/>
        <w:jc w:val="both"/>
        <w:rPr>
          <w:rFonts w:ascii="Arial" w:hAnsi="Arial" w:cs="Arial"/>
          <w:sz w:val="22"/>
          <w:szCs w:val="22"/>
        </w:rPr>
      </w:pPr>
      <w:bookmarkStart w:id="88" w:name="A1P3IIIB"/>
      <w:r w:rsidRPr="00A12B50">
        <w:rPr>
          <w:rFonts w:ascii="Arial" w:hAnsi="Arial" w:cs="Arial"/>
          <w:sz w:val="22"/>
          <w:szCs w:val="22"/>
        </w:rPr>
        <w:t>b) as empresas beneficiárias do Programa Produzir e seus subprogramas, cujos contratos tenham sido assinados a partir de 1º de janeiro de 2016, quando em suas operações seja aplicável benefício fiscal previsto nos incisos I e II-A.</w:t>
      </w:r>
      <w:bookmarkEnd w:id="88"/>
    </w:p>
    <w:p w14:paraId="1FE4375D"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IV - Revogado; </w:t>
      </w:r>
    </w:p>
    <w:p w14:paraId="112CC108"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 4º Na utilização dos benefícios mencionados no § 3º deve ser observado o seguinte: </w:t>
      </w:r>
    </w:p>
    <w:p w14:paraId="7CF60600"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I - quando o benefício fiscal for aplicável ao ICMS devido por substituição tributária, o substituto tributário é o responsável pelo pagamento da contribuição ao PROTEGE GOIÁS, ainda que o imposto devido por substituição tributária seja apurado juntamente com aquele devido pelas operações de saídas próprias do estabelecimento, resultando em um só débito por período; (Redação conferida pelo </w:t>
      </w:r>
      <w:r w:rsidRPr="009E67F3">
        <w:rPr>
          <w:rFonts w:ascii="Arial" w:hAnsi="Arial" w:cs="Arial"/>
          <w:sz w:val="22"/>
          <w:szCs w:val="22"/>
        </w:rPr>
        <w:t>Decreto nº 6.343</w:t>
      </w:r>
      <w:r w:rsidRPr="00A12B50">
        <w:rPr>
          <w:rFonts w:ascii="Arial" w:hAnsi="Arial" w:cs="Arial"/>
          <w:sz w:val="22"/>
          <w:szCs w:val="22"/>
        </w:rPr>
        <w:t xml:space="preserve"> - vigência: 01.01.06)</w:t>
      </w:r>
    </w:p>
    <w:p w14:paraId="055133C0"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II - havendo pagamento parcial da contribuição ao PROTEGE é permitida a utilização proporcional do benefício fiscal. (Redação acrescida pelo </w:t>
      </w:r>
      <w:r w:rsidRPr="009E67F3">
        <w:rPr>
          <w:rFonts w:ascii="Arial" w:hAnsi="Arial" w:cs="Arial"/>
          <w:sz w:val="22"/>
          <w:szCs w:val="22"/>
        </w:rPr>
        <w:t>Decreto nº 5.984</w:t>
      </w:r>
      <w:r w:rsidRPr="00A12B50">
        <w:rPr>
          <w:rFonts w:ascii="Arial" w:hAnsi="Arial" w:cs="Arial"/>
          <w:sz w:val="22"/>
          <w:szCs w:val="22"/>
        </w:rPr>
        <w:t xml:space="preserve"> - vigência: 01.05.04)</w:t>
      </w:r>
    </w:p>
    <w:p w14:paraId="173B0912" w14:textId="77777777" w:rsidR="00747098" w:rsidRPr="00A12B50" w:rsidRDefault="00747098" w:rsidP="00DC688C">
      <w:pPr>
        <w:ind w:left="2268"/>
        <w:jc w:val="both"/>
        <w:rPr>
          <w:rFonts w:ascii="Arial" w:hAnsi="Arial" w:cs="Arial"/>
          <w:sz w:val="22"/>
          <w:szCs w:val="22"/>
        </w:rPr>
      </w:pPr>
      <w:bookmarkStart w:id="89" w:name="A1P4III"/>
      <w:r w:rsidRPr="00A12B50">
        <w:rPr>
          <w:rFonts w:ascii="Arial" w:hAnsi="Arial" w:cs="Arial"/>
          <w:sz w:val="22"/>
          <w:szCs w:val="22"/>
          <w:lang w:val="pt-PT"/>
        </w:rPr>
        <w:t xml:space="preserve">III - a falta ou atraso no pagamento da contribuição ao PROTEGE GOIÁS implica perda definitiva do direito de utilizar o benefício fiscal, exclusivamente no mês de sua utilização, exceto se o contribuinte, antes do início da ação fiscal, efetuar o correspondente pagamento, observado o disposto no inciso II. (Redação revigorada pelo </w:t>
      </w:r>
      <w:r w:rsidRPr="009E67F3">
        <w:rPr>
          <w:rFonts w:ascii="Arial" w:hAnsi="Arial" w:cs="Arial"/>
          <w:sz w:val="22"/>
          <w:szCs w:val="22"/>
          <w:lang w:val="pt-PT"/>
        </w:rPr>
        <w:t>Decreto n° 8.928</w:t>
      </w:r>
      <w:r w:rsidRPr="00A12B50">
        <w:rPr>
          <w:rFonts w:ascii="Arial" w:hAnsi="Arial" w:cs="Arial"/>
          <w:sz w:val="22"/>
          <w:szCs w:val="22"/>
          <w:lang w:val="pt-PT"/>
        </w:rPr>
        <w:t xml:space="preserve"> - vigência: 01.12.16)</w:t>
      </w:r>
      <w:bookmarkEnd w:id="89"/>
    </w:p>
    <w:p w14:paraId="4ED7B37B" w14:textId="77777777" w:rsidR="00747098" w:rsidRPr="00A12B50" w:rsidRDefault="00747098" w:rsidP="00DC688C">
      <w:pPr>
        <w:ind w:left="2268"/>
        <w:jc w:val="both"/>
        <w:rPr>
          <w:rFonts w:ascii="Arial" w:hAnsi="Arial" w:cs="Arial"/>
          <w:sz w:val="22"/>
          <w:szCs w:val="22"/>
        </w:rPr>
      </w:pPr>
      <w:bookmarkStart w:id="90" w:name="A1P5"/>
      <w:r w:rsidRPr="00A12B50">
        <w:rPr>
          <w:rFonts w:ascii="Arial" w:hAnsi="Arial" w:cs="Arial"/>
          <w:sz w:val="22"/>
          <w:szCs w:val="22"/>
        </w:rPr>
        <w:t xml:space="preserve">§ 5º A transferência interna entre estabelecimentos do mesmo contribuinte, contemplada com qualquer dos benefícios mencionados no </w:t>
      </w:r>
      <w:hyperlink r:id="rId26" w:anchor="A1P3" w:history="1">
        <w:r w:rsidRPr="00A12B50">
          <w:rPr>
            <w:rStyle w:val="Hyperlink"/>
            <w:rFonts w:ascii="Arial" w:hAnsi="Arial" w:cs="Arial"/>
            <w:sz w:val="22"/>
            <w:szCs w:val="22"/>
          </w:rPr>
          <w:t>§ 3º</w:t>
        </w:r>
      </w:hyperlink>
      <w:r w:rsidRPr="00A12B50">
        <w:rPr>
          <w:rFonts w:ascii="Arial" w:hAnsi="Arial" w:cs="Arial"/>
          <w:sz w:val="22"/>
          <w:szCs w:val="22"/>
        </w:rPr>
        <w:t xml:space="preserve">, não está sujeita à contribuição ao PROTEGE, exceto se a operação posterior destinada a pessoa diversa ocorrer: (Redação conferida pelo </w:t>
      </w:r>
      <w:r w:rsidRPr="009E67F3">
        <w:rPr>
          <w:rFonts w:ascii="Arial" w:hAnsi="Arial" w:cs="Arial"/>
          <w:bCs/>
          <w:sz w:val="22"/>
          <w:szCs w:val="22"/>
        </w:rPr>
        <w:t>Decreto nº 8.858</w:t>
      </w:r>
      <w:r w:rsidRPr="00A12B50">
        <w:rPr>
          <w:rFonts w:ascii="Arial" w:hAnsi="Arial" w:cs="Arial"/>
          <w:sz w:val="22"/>
          <w:szCs w:val="22"/>
        </w:rPr>
        <w:t xml:space="preserve"> - vigência: 01.01.17)</w:t>
      </w:r>
      <w:bookmarkEnd w:id="90"/>
    </w:p>
    <w:p w14:paraId="440D5B83"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I - com aplicação de benefício diverso daquel</w:t>
      </w:r>
      <w:r>
        <w:rPr>
          <w:rFonts w:ascii="Arial" w:hAnsi="Arial" w:cs="Arial"/>
          <w:sz w:val="22"/>
          <w:szCs w:val="22"/>
        </w:rPr>
        <w:t>e aplicado à operação anterior;</w:t>
      </w:r>
    </w:p>
    <w:p w14:paraId="4F7C84A9"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II - sem aplicação de benefício. </w:t>
      </w:r>
    </w:p>
    <w:p w14:paraId="76FA1996" w14:textId="77777777" w:rsidR="00747098" w:rsidRPr="00A12B50" w:rsidRDefault="00747098" w:rsidP="00DC688C">
      <w:pPr>
        <w:ind w:left="2268"/>
        <w:jc w:val="both"/>
        <w:rPr>
          <w:rFonts w:ascii="Arial" w:hAnsi="Arial" w:cs="Arial"/>
          <w:sz w:val="22"/>
          <w:szCs w:val="22"/>
        </w:rPr>
      </w:pPr>
      <w:bookmarkStart w:id="91" w:name="A1P5B"/>
      <w:bookmarkStart w:id="92" w:name="A1PXIII"/>
      <w:r w:rsidRPr="00A12B50">
        <w:rPr>
          <w:rFonts w:ascii="Arial" w:hAnsi="Arial" w:cs="Arial"/>
          <w:sz w:val="22"/>
          <w:szCs w:val="22"/>
        </w:rPr>
        <w:t>§ 5º-A. Nas hipóteses em que a utilização dos benefícios fiscais da redução de base de cálculo ou do crédito outorgado for condicionada ao estorno do crédito das entradas ou ao pagamento da contribuição ao PROTEGE GOIÁS, para fins de cálculo dos valores do estorno e da contribuição ao PROTEGE GOIÁS, devem ser deduzidos das respectivas bases do estorno e da contribuição ao PROTEGE os valores correspondentes às devoluções de entradas ou de saídas, conforme o caso.</w:t>
      </w:r>
      <w:r w:rsidRPr="00A12B50">
        <w:rPr>
          <w:rFonts w:ascii="Arial" w:hAnsi="Arial" w:cs="Arial"/>
          <w:sz w:val="22"/>
          <w:szCs w:val="22"/>
          <w:lang w:val="pt-PT"/>
        </w:rPr>
        <w:t xml:space="preserve"> </w:t>
      </w:r>
    </w:p>
    <w:p w14:paraId="73B499A8"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 5º-B. O valor das devoluções, para as quais tenha sido utilizado o benefício do crédito outorgado nas correspondentes saídas, deve ser deduzido do valor das saídas do período de apuração em que ocorrer a devolução, para fins de cálculo do valor do crédito outorgado a ser </w:t>
      </w:r>
      <w:r w:rsidRPr="00A12B50">
        <w:rPr>
          <w:rFonts w:ascii="Arial" w:hAnsi="Arial" w:cs="Arial"/>
          <w:sz w:val="22"/>
          <w:szCs w:val="22"/>
        </w:rPr>
        <w:lastRenderedPageBreak/>
        <w:t>aproveitado, hipótese em que fica dispensado o estorno do crédito outorgado correspondente às devoluções.</w:t>
      </w:r>
      <w:bookmarkEnd w:id="91"/>
      <w:r w:rsidRPr="00A12B50">
        <w:rPr>
          <w:rFonts w:ascii="Arial" w:hAnsi="Arial" w:cs="Arial"/>
          <w:sz w:val="22"/>
          <w:szCs w:val="22"/>
        </w:rPr>
        <w:t xml:space="preserve"> </w:t>
      </w:r>
    </w:p>
    <w:p w14:paraId="7277C022"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lang w:val="pt-PT"/>
        </w:rPr>
        <w:t xml:space="preserve">§ 5º-C Nas hipóteses previstas no </w:t>
      </w:r>
      <w:r w:rsidRPr="009E67F3">
        <w:rPr>
          <w:rFonts w:ascii="Arial" w:hAnsi="Arial" w:cs="Arial"/>
          <w:sz w:val="22"/>
          <w:szCs w:val="22"/>
          <w:lang w:val="pt-PT"/>
        </w:rPr>
        <w:t>§ 5º</w:t>
      </w:r>
      <w:r w:rsidRPr="00A12B50">
        <w:rPr>
          <w:rFonts w:ascii="Arial" w:hAnsi="Arial" w:cs="Arial"/>
          <w:sz w:val="22"/>
          <w:szCs w:val="22"/>
          <w:lang w:val="pt-PT"/>
        </w:rPr>
        <w:t>, a contribuição ao PROTEGE é devida a partir do momento em que ocorra uma das hipóteses previstas em seus incisos.</w:t>
      </w:r>
    </w:p>
    <w:p w14:paraId="7712CD29"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 6º </w:t>
      </w:r>
      <w:bookmarkEnd w:id="92"/>
      <w:r w:rsidRPr="00A12B50">
        <w:rPr>
          <w:rFonts w:ascii="Arial" w:hAnsi="Arial" w:cs="Arial"/>
          <w:sz w:val="22"/>
          <w:szCs w:val="22"/>
        </w:rPr>
        <w:t xml:space="preserve">Fica vedada a utilização de mais de um benefício fiscal sobre uma mesma operação ou prestação, devendo o contribuinte, no caso de operação ou prestação em que for aplicável mais de um benefício fiscal, optar por apenas um deles, exceto nas hipóteses em que no próprio dispositivo correspondente ao benefício fiscal haja disposição em contrário. (Redação acrescida pelo </w:t>
      </w:r>
      <w:r w:rsidRPr="009E67F3">
        <w:rPr>
          <w:rFonts w:ascii="Arial" w:hAnsi="Arial" w:cs="Arial"/>
          <w:sz w:val="22"/>
          <w:szCs w:val="22"/>
        </w:rPr>
        <w:t>Decreto nº 6.769</w:t>
      </w:r>
      <w:r w:rsidRPr="00A12B50">
        <w:rPr>
          <w:rFonts w:ascii="Arial" w:hAnsi="Arial" w:cs="Arial"/>
          <w:sz w:val="22"/>
          <w:szCs w:val="22"/>
        </w:rPr>
        <w:t xml:space="preserve"> - vigência: 01.08.08)</w:t>
      </w:r>
    </w:p>
    <w:p w14:paraId="2755A4FE" w14:textId="77777777" w:rsidR="00747098" w:rsidRPr="00A12B50" w:rsidRDefault="00747098" w:rsidP="00DC688C">
      <w:pPr>
        <w:ind w:left="2268"/>
        <w:jc w:val="both"/>
        <w:rPr>
          <w:rFonts w:ascii="Arial" w:hAnsi="Arial" w:cs="Arial"/>
          <w:sz w:val="22"/>
          <w:szCs w:val="22"/>
        </w:rPr>
      </w:pPr>
      <w:bookmarkStart w:id="93" w:name="A1P6A"/>
      <w:r w:rsidRPr="00A12B50">
        <w:rPr>
          <w:rFonts w:ascii="Arial" w:hAnsi="Arial" w:cs="Arial"/>
          <w:sz w:val="22"/>
          <w:szCs w:val="22"/>
        </w:rPr>
        <w:t xml:space="preserve">§ 6º-A A opção pela utilização dos benefícios fiscais contidos nos incisos </w:t>
      </w:r>
      <w:r w:rsidRPr="009E67F3">
        <w:rPr>
          <w:rFonts w:ascii="Arial" w:hAnsi="Arial" w:cs="Arial"/>
          <w:sz w:val="22"/>
          <w:szCs w:val="22"/>
        </w:rPr>
        <w:t>CXXI</w:t>
      </w:r>
      <w:r w:rsidRPr="00A12B50">
        <w:rPr>
          <w:rFonts w:ascii="Arial" w:hAnsi="Arial" w:cs="Arial"/>
          <w:sz w:val="22"/>
          <w:szCs w:val="22"/>
        </w:rPr>
        <w:t xml:space="preserve">, </w:t>
      </w:r>
      <w:r w:rsidRPr="009E67F3">
        <w:rPr>
          <w:rFonts w:ascii="Arial" w:hAnsi="Arial" w:cs="Arial"/>
          <w:sz w:val="22"/>
          <w:szCs w:val="22"/>
        </w:rPr>
        <w:t>CXXII</w:t>
      </w:r>
      <w:r w:rsidRPr="00A12B50">
        <w:rPr>
          <w:rFonts w:ascii="Arial" w:hAnsi="Arial" w:cs="Arial"/>
          <w:sz w:val="22"/>
          <w:szCs w:val="22"/>
        </w:rPr>
        <w:t xml:space="preserve"> e </w:t>
      </w:r>
      <w:r w:rsidRPr="009E67F3">
        <w:rPr>
          <w:rFonts w:ascii="Arial" w:hAnsi="Arial" w:cs="Arial"/>
          <w:sz w:val="22"/>
          <w:szCs w:val="22"/>
        </w:rPr>
        <w:t>CXXIII</w:t>
      </w:r>
      <w:r w:rsidRPr="00A12B50">
        <w:rPr>
          <w:rFonts w:ascii="Arial" w:hAnsi="Arial" w:cs="Arial"/>
          <w:sz w:val="22"/>
          <w:szCs w:val="22"/>
        </w:rPr>
        <w:t xml:space="preserve"> do </w:t>
      </w:r>
      <w:r w:rsidRPr="009E67F3">
        <w:rPr>
          <w:rFonts w:ascii="Arial" w:hAnsi="Arial" w:cs="Arial"/>
          <w:sz w:val="22"/>
          <w:szCs w:val="22"/>
        </w:rPr>
        <w:t>art. 6º</w:t>
      </w:r>
      <w:r w:rsidRPr="00A12B50">
        <w:rPr>
          <w:rFonts w:ascii="Arial" w:hAnsi="Arial" w:cs="Arial"/>
          <w:sz w:val="22"/>
          <w:szCs w:val="22"/>
        </w:rPr>
        <w:t xml:space="preserve"> ou nos incisos </w:t>
      </w:r>
      <w:r w:rsidRPr="009E67F3">
        <w:rPr>
          <w:rFonts w:ascii="Arial" w:hAnsi="Arial" w:cs="Arial"/>
          <w:sz w:val="22"/>
          <w:szCs w:val="22"/>
        </w:rPr>
        <w:t>LII</w:t>
      </w:r>
      <w:r w:rsidRPr="00A12B50">
        <w:rPr>
          <w:rFonts w:ascii="Arial" w:hAnsi="Arial" w:cs="Arial"/>
          <w:sz w:val="22"/>
          <w:szCs w:val="22"/>
        </w:rPr>
        <w:t xml:space="preserve">, </w:t>
      </w:r>
      <w:r w:rsidRPr="009E67F3">
        <w:rPr>
          <w:rFonts w:ascii="Arial" w:hAnsi="Arial" w:cs="Arial"/>
          <w:sz w:val="22"/>
          <w:szCs w:val="22"/>
        </w:rPr>
        <w:t>LIII</w:t>
      </w:r>
      <w:r w:rsidRPr="00A12B50">
        <w:rPr>
          <w:rFonts w:ascii="Arial" w:hAnsi="Arial" w:cs="Arial"/>
          <w:sz w:val="22"/>
          <w:szCs w:val="22"/>
        </w:rPr>
        <w:t xml:space="preserve"> e </w:t>
      </w:r>
      <w:r w:rsidRPr="009E67F3">
        <w:rPr>
          <w:rFonts w:ascii="Arial" w:hAnsi="Arial" w:cs="Arial"/>
          <w:sz w:val="22"/>
          <w:szCs w:val="22"/>
        </w:rPr>
        <w:t>LIV</w:t>
      </w:r>
      <w:r w:rsidRPr="00A12B50">
        <w:rPr>
          <w:rFonts w:ascii="Arial" w:hAnsi="Arial" w:cs="Arial"/>
          <w:sz w:val="22"/>
          <w:szCs w:val="22"/>
        </w:rPr>
        <w:t xml:space="preserve"> do </w:t>
      </w:r>
      <w:r w:rsidRPr="009E67F3">
        <w:rPr>
          <w:rFonts w:ascii="Arial" w:hAnsi="Arial" w:cs="Arial"/>
          <w:sz w:val="22"/>
          <w:szCs w:val="22"/>
        </w:rPr>
        <w:t>art. 11</w:t>
      </w:r>
      <w:r w:rsidRPr="00A12B50">
        <w:rPr>
          <w:rFonts w:ascii="Arial" w:hAnsi="Arial" w:cs="Arial"/>
          <w:sz w:val="22"/>
          <w:szCs w:val="22"/>
        </w:rPr>
        <w:t xml:space="preserve"> abrange, necessariamente, o conjunto formado por todos eles, observado, ainda, o disposto no </w:t>
      </w:r>
      <w:r w:rsidRPr="009E67F3">
        <w:rPr>
          <w:rFonts w:ascii="Arial" w:hAnsi="Arial" w:cs="Arial"/>
          <w:sz w:val="22"/>
          <w:szCs w:val="22"/>
        </w:rPr>
        <w:t>art. 4º</w:t>
      </w:r>
      <w:r w:rsidRPr="00A12B50">
        <w:rPr>
          <w:rFonts w:ascii="Arial" w:hAnsi="Arial" w:cs="Arial"/>
          <w:sz w:val="22"/>
          <w:szCs w:val="22"/>
        </w:rPr>
        <w:t xml:space="preserve">. </w:t>
      </w:r>
    </w:p>
    <w:p w14:paraId="1BA76AEF" w14:textId="77777777" w:rsidR="00747098" w:rsidRPr="00A12B50" w:rsidRDefault="00747098" w:rsidP="00DC688C">
      <w:pPr>
        <w:ind w:left="2268"/>
        <w:jc w:val="both"/>
        <w:rPr>
          <w:rFonts w:ascii="Arial" w:hAnsi="Arial" w:cs="Arial"/>
          <w:sz w:val="22"/>
          <w:szCs w:val="22"/>
        </w:rPr>
      </w:pPr>
      <w:bookmarkStart w:id="94" w:name="A1P6B"/>
      <w:bookmarkEnd w:id="93"/>
      <w:r w:rsidRPr="00A12B50">
        <w:rPr>
          <w:rFonts w:ascii="Arial" w:hAnsi="Arial" w:cs="Arial"/>
          <w:sz w:val="22"/>
          <w:szCs w:val="22"/>
        </w:rPr>
        <w:t xml:space="preserve">§ 6º-B Fica vedada a utilização dos benefícios fiscais previstos nos incisos </w:t>
      </w:r>
      <w:r w:rsidRPr="009E67F3">
        <w:rPr>
          <w:rFonts w:ascii="Arial" w:hAnsi="Arial" w:cs="Arial"/>
          <w:sz w:val="22"/>
          <w:szCs w:val="22"/>
        </w:rPr>
        <w:t>XIX</w:t>
      </w:r>
      <w:r w:rsidRPr="00A12B50">
        <w:rPr>
          <w:rFonts w:ascii="Arial" w:hAnsi="Arial" w:cs="Arial"/>
          <w:sz w:val="22"/>
          <w:szCs w:val="22"/>
        </w:rPr>
        <w:t xml:space="preserve"> e </w:t>
      </w:r>
      <w:r w:rsidRPr="009E67F3">
        <w:rPr>
          <w:rFonts w:ascii="Arial" w:hAnsi="Arial" w:cs="Arial"/>
          <w:sz w:val="22"/>
          <w:szCs w:val="22"/>
        </w:rPr>
        <w:t>XXXIII</w:t>
      </w:r>
      <w:r w:rsidRPr="00A12B50">
        <w:rPr>
          <w:rFonts w:ascii="Arial" w:hAnsi="Arial" w:cs="Arial"/>
          <w:sz w:val="22"/>
          <w:szCs w:val="22"/>
        </w:rPr>
        <w:t xml:space="preserve"> do </w:t>
      </w:r>
      <w:r w:rsidRPr="009E67F3">
        <w:rPr>
          <w:rFonts w:ascii="Arial" w:hAnsi="Arial" w:cs="Arial"/>
          <w:sz w:val="22"/>
          <w:szCs w:val="22"/>
        </w:rPr>
        <w:t>art. 8º</w:t>
      </w:r>
      <w:r w:rsidRPr="00A12B50">
        <w:rPr>
          <w:rFonts w:ascii="Arial" w:hAnsi="Arial" w:cs="Arial"/>
          <w:sz w:val="22"/>
          <w:szCs w:val="22"/>
        </w:rPr>
        <w:t xml:space="preserve">, nos incisos </w:t>
      </w:r>
      <w:r w:rsidRPr="009E67F3">
        <w:rPr>
          <w:rFonts w:ascii="Arial" w:hAnsi="Arial" w:cs="Arial"/>
          <w:sz w:val="22"/>
          <w:szCs w:val="22"/>
        </w:rPr>
        <w:t>XVIII</w:t>
      </w:r>
      <w:r w:rsidRPr="00A12B50">
        <w:rPr>
          <w:rFonts w:ascii="Arial" w:hAnsi="Arial" w:cs="Arial"/>
          <w:sz w:val="22"/>
          <w:szCs w:val="22"/>
        </w:rPr>
        <w:t xml:space="preserve">, </w:t>
      </w:r>
      <w:r w:rsidRPr="009E67F3">
        <w:rPr>
          <w:rFonts w:ascii="Arial" w:hAnsi="Arial" w:cs="Arial"/>
          <w:sz w:val="22"/>
          <w:szCs w:val="22"/>
        </w:rPr>
        <w:t>XXXI</w:t>
      </w:r>
      <w:r w:rsidRPr="00A12B50">
        <w:rPr>
          <w:rFonts w:ascii="Arial" w:hAnsi="Arial" w:cs="Arial"/>
          <w:sz w:val="22"/>
          <w:szCs w:val="22"/>
        </w:rPr>
        <w:t xml:space="preserve"> e nos itens 1 e 2 da alínea "b" do inciso </w:t>
      </w:r>
      <w:r w:rsidRPr="009E67F3">
        <w:rPr>
          <w:rFonts w:ascii="Arial" w:hAnsi="Arial" w:cs="Arial"/>
          <w:sz w:val="22"/>
          <w:szCs w:val="22"/>
        </w:rPr>
        <w:t>XXXIV</w:t>
      </w:r>
      <w:r w:rsidRPr="00A12B50">
        <w:rPr>
          <w:rFonts w:ascii="Arial" w:hAnsi="Arial" w:cs="Arial"/>
          <w:sz w:val="22"/>
          <w:szCs w:val="22"/>
        </w:rPr>
        <w:t xml:space="preserve">, todos do </w:t>
      </w:r>
      <w:r w:rsidRPr="009E67F3">
        <w:rPr>
          <w:rFonts w:ascii="Arial" w:hAnsi="Arial" w:cs="Arial"/>
          <w:sz w:val="22"/>
          <w:szCs w:val="22"/>
        </w:rPr>
        <w:t>art. 11</w:t>
      </w:r>
      <w:r w:rsidRPr="00A12B50">
        <w:rPr>
          <w:rFonts w:ascii="Arial" w:hAnsi="Arial" w:cs="Arial"/>
          <w:sz w:val="22"/>
          <w:szCs w:val="22"/>
        </w:rPr>
        <w:t>, de forma cumulativa com os benefícios dos programas PRODUZIR ou FOMENTAR ou com o benefício do Crédito Especial para Investimento, facultada, ao contribuinte, alternativamente, a opção:</w:t>
      </w:r>
      <w:bookmarkEnd w:id="94"/>
    </w:p>
    <w:p w14:paraId="00BE1152" w14:textId="77777777" w:rsidR="00747098" w:rsidRPr="00A12B50" w:rsidRDefault="00747098" w:rsidP="00DC688C">
      <w:pPr>
        <w:ind w:left="2268"/>
        <w:jc w:val="both"/>
        <w:rPr>
          <w:rFonts w:ascii="Arial" w:hAnsi="Arial" w:cs="Arial"/>
          <w:sz w:val="22"/>
          <w:szCs w:val="22"/>
        </w:rPr>
      </w:pPr>
      <w:bookmarkStart w:id="95" w:name="A1P6BI"/>
      <w:r w:rsidRPr="00A12B50">
        <w:rPr>
          <w:rFonts w:ascii="Arial" w:hAnsi="Arial" w:cs="Arial"/>
          <w:sz w:val="22"/>
          <w:szCs w:val="22"/>
        </w:rPr>
        <w:t xml:space="preserve">I - pelos benefícios fiscais previstos nos incisos </w:t>
      </w:r>
      <w:r w:rsidRPr="009E67F3">
        <w:rPr>
          <w:rFonts w:ascii="Arial" w:hAnsi="Arial" w:cs="Arial"/>
          <w:sz w:val="22"/>
          <w:szCs w:val="22"/>
        </w:rPr>
        <w:t>XIX</w:t>
      </w:r>
      <w:r w:rsidRPr="00A12B50">
        <w:rPr>
          <w:rFonts w:ascii="Arial" w:hAnsi="Arial" w:cs="Arial"/>
          <w:sz w:val="22"/>
          <w:szCs w:val="22"/>
        </w:rPr>
        <w:t xml:space="preserve"> e </w:t>
      </w:r>
      <w:r w:rsidRPr="009E67F3">
        <w:rPr>
          <w:rFonts w:ascii="Arial" w:hAnsi="Arial" w:cs="Arial"/>
          <w:sz w:val="22"/>
          <w:szCs w:val="22"/>
        </w:rPr>
        <w:t>XXXIII</w:t>
      </w:r>
      <w:r w:rsidRPr="00A12B50">
        <w:rPr>
          <w:rFonts w:ascii="Arial" w:hAnsi="Arial" w:cs="Arial"/>
          <w:sz w:val="22"/>
          <w:szCs w:val="22"/>
        </w:rPr>
        <w:t xml:space="preserve"> do </w:t>
      </w:r>
      <w:r w:rsidRPr="009E67F3">
        <w:rPr>
          <w:rFonts w:ascii="Arial" w:hAnsi="Arial" w:cs="Arial"/>
          <w:sz w:val="22"/>
          <w:szCs w:val="22"/>
        </w:rPr>
        <w:t>art. 8º</w:t>
      </w:r>
      <w:r w:rsidRPr="00A12B50">
        <w:rPr>
          <w:rFonts w:ascii="Arial" w:hAnsi="Arial" w:cs="Arial"/>
          <w:sz w:val="22"/>
          <w:szCs w:val="22"/>
        </w:rPr>
        <w:t xml:space="preserve">, nos incisos </w:t>
      </w:r>
      <w:r w:rsidRPr="009E67F3">
        <w:rPr>
          <w:rFonts w:ascii="Arial" w:hAnsi="Arial" w:cs="Arial"/>
          <w:sz w:val="22"/>
          <w:szCs w:val="22"/>
        </w:rPr>
        <w:t>XVIII</w:t>
      </w:r>
      <w:r w:rsidRPr="00A12B50">
        <w:rPr>
          <w:rFonts w:ascii="Arial" w:hAnsi="Arial" w:cs="Arial"/>
          <w:sz w:val="22"/>
          <w:szCs w:val="22"/>
        </w:rPr>
        <w:t xml:space="preserve">, </w:t>
      </w:r>
      <w:r w:rsidRPr="009E67F3">
        <w:rPr>
          <w:rFonts w:ascii="Arial" w:hAnsi="Arial" w:cs="Arial"/>
          <w:sz w:val="22"/>
          <w:szCs w:val="22"/>
        </w:rPr>
        <w:t>XXXI</w:t>
      </w:r>
      <w:r w:rsidRPr="00A12B50">
        <w:rPr>
          <w:rFonts w:ascii="Arial" w:hAnsi="Arial" w:cs="Arial"/>
          <w:sz w:val="22"/>
          <w:szCs w:val="22"/>
        </w:rPr>
        <w:t xml:space="preserve"> e nos itens 1 e 2 da alínea "b" do inciso </w:t>
      </w:r>
      <w:r w:rsidRPr="009E67F3">
        <w:rPr>
          <w:rFonts w:ascii="Arial" w:hAnsi="Arial" w:cs="Arial"/>
          <w:sz w:val="22"/>
          <w:szCs w:val="22"/>
        </w:rPr>
        <w:t>XXXIV</w:t>
      </w:r>
      <w:r w:rsidRPr="00A12B50">
        <w:rPr>
          <w:rFonts w:ascii="Arial" w:hAnsi="Arial" w:cs="Arial"/>
          <w:sz w:val="22"/>
          <w:szCs w:val="22"/>
        </w:rPr>
        <w:t xml:space="preserve">, todos do </w:t>
      </w:r>
      <w:r w:rsidRPr="009E67F3">
        <w:rPr>
          <w:rFonts w:ascii="Arial" w:hAnsi="Arial" w:cs="Arial"/>
          <w:sz w:val="22"/>
          <w:szCs w:val="22"/>
        </w:rPr>
        <w:t>art. 11</w:t>
      </w:r>
      <w:r w:rsidRPr="00A12B50">
        <w:rPr>
          <w:rFonts w:ascii="Arial" w:hAnsi="Arial" w:cs="Arial"/>
          <w:sz w:val="22"/>
          <w:szCs w:val="22"/>
        </w:rPr>
        <w:t>, todos deste Anexo;</w:t>
      </w:r>
      <w:bookmarkEnd w:id="95"/>
    </w:p>
    <w:p w14:paraId="16AB16A3" w14:textId="77777777" w:rsidR="00747098" w:rsidRPr="00A12B50" w:rsidRDefault="00747098" w:rsidP="00DC688C">
      <w:pPr>
        <w:ind w:left="2268"/>
        <w:jc w:val="both"/>
        <w:rPr>
          <w:rFonts w:ascii="Arial" w:hAnsi="Arial" w:cs="Arial"/>
          <w:sz w:val="22"/>
          <w:szCs w:val="22"/>
        </w:rPr>
      </w:pPr>
      <w:bookmarkStart w:id="96" w:name="A1P6BII"/>
      <w:r w:rsidRPr="00A12B50">
        <w:rPr>
          <w:rFonts w:ascii="Arial" w:hAnsi="Arial" w:cs="Arial"/>
          <w:sz w:val="22"/>
          <w:szCs w:val="22"/>
        </w:rPr>
        <w:t>II - pelo benefício dos programas PRODUZIR, FOMENTAR ou Crédito Especial para Investimento;</w:t>
      </w:r>
      <w:bookmarkEnd w:id="96"/>
    </w:p>
    <w:p w14:paraId="3C902643" w14:textId="77777777" w:rsidR="00747098" w:rsidRPr="00A12B50" w:rsidRDefault="00747098" w:rsidP="00DC688C">
      <w:pPr>
        <w:ind w:left="2268"/>
        <w:jc w:val="both"/>
        <w:rPr>
          <w:rFonts w:ascii="Arial" w:hAnsi="Arial" w:cs="Arial"/>
          <w:sz w:val="22"/>
          <w:szCs w:val="22"/>
        </w:rPr>
      </w:pPr>
      <w:bookmarkStart w:id="97" w:name="A1P6C"/>
      <w:r w:rsidRPr="00A12B50">
        <w:rPr>
          <w:rFonts w:ascii="Arial" w:hAnsi="Arial" w:cs="Arial"/>
          <w:sz w:val="22"/>
          <w:szCs w:val="22"/>
        </w:rPr>
        <w:t xml:space="preserve">§ 6º-C A vedação a que se refere o </w:t>
      </w:r>
      <w:r w:rsidRPr="009E67F3">
        <w:rPr>
          <w:rFonts w:ascii="Arial" w:hAnsi="Arial" w:cs="Arial"/>
          <w:sz w:val="22"/>
          <w:szCs w:val="22"/>
        </w:rPr>
        <w:t>§ 6º-B</w:t>
      </w:r>
      <w:r w:rsidRPr="00A12B50">
        <w:rPr>
          <w:rFonts w:ascii="Arial" w:hAnsi="Arial" w:cs="Arial"/>
          <w:sz w:val="22"/>
          <w:szCs w:val="22"/>
        </w:rPr>
        <w:t xml:space="preserve">, relativamente ao inciso </w:t>
      </w:r>
      <w:r w:rsidRPr="009E67F3">
        <w:rPr>
          <w:rFonts w:ascii="Arial" w:hAnsi="Arial" w:cs="Arial"/>
          <w:sz w:val="22"/>
          <w:szCs w:val="22"/>
        </w:rPr>
        <w:t>XXXIII</w:t>
      </w:r>
      <w:r w:rsidRPr="00A12B50">
        <w:rPr>
          <w:rFonts w:ascii="Arial" w:hAnsi="Arial" w:cs="Arial"/>
          <w:sz w:val="22"/>
          <w:szCs w:val="22"/>
        </w:rPr>
        <w:t xml:space="preserve"> do </w:t>
      </w:r>
      <w:r w:rsidRPr="009E67F3">
        <w:rPr>
          <w:rFonts w:ascii="Arial" w:hAnsi="Arial" w:cs="Arial"/>
          <w:sz w:val="22"/>
          <w:szCs w:val="22"/>
        </w:rPr>
        <w:t>art. 8º</w:t>
      </w:r>
      <w:r w:rsidRPr="00A12B50">
        <w:rPr>
          <w:rFonts w:ascii="Arial" w:hAnsi="Arial" w:cs="Arial"/>
          <w:sz w:val="22"/>
          <w:szCs w:val="22"/>
        </w:rPr>
        <w:t>, aplica-se somente às operações com arroz e feijão.</w:t>
      </w:r>
      <w:bookmarkEnd w:id="97"/>
    </w:p>
    <w:p w14:paraId="01189C6B" w14:textId="77777777" w:rsidR="00747098" w:rsidRPr="00A12B50" w:rsidRDefault="00747098" w:rsidP="00DC688C">
      <w:pPr>
        <w:ind w:left="2268"/>
        <w:jc w:val="both"/>
        <w:rPr>
          <w:rFonts w:ascii="Arial" w:hAnsi="Arial" w:cs="Arial"/>
          <w:sz w:val="22"/>
          <w:szCs w:val="22"/>
        </w:rPr>
      </w:pPr>
      <w:bookmarkStart w:id="98" w:name="A1P6D"/>
      <w:r w:rsidRPr="00A12B50">
        <w:rPr>
          <w:rFonts w:ascii="Arial" w:hAnsi="Arial" w:cs="Arial"/>
          <w:sz w:val="22"/>
          <w:szCs w:val="22"/>
        </w:rPr>
        <w:t xml:space="preserve">§ 6º-D A opção referida no </w:t>
      </w:r>
      <w:r w:rsidRPr="009E67F3">
        <w:rPr>
          <w:rFonts w:ascii="Arial" w:hAnsi="Arial" w:cs="Arial"/>
          <w:sz w:val="22"/>
          <w:szCs w:val="22"/>
        </w:rPr>
        <w:t>§ 6º-B</w:t>
      </w:r>
      <w:r w:rsidRPr="00A12B50">
        <w:rPr>
          <w:rFonts w:ascii="Arial" w:hAnsi="Arial" w:cs="Arial"/>
          <w:sz w:val="22"/>
          <w:szCs w:val="22"/>
        </w:rPr>
        <w:t xml:space="preserve"> deve ser consignada no Livro Registro de Utilização de Documentos Fiscais e Termos de Ocorrências e praticada no exercício civil completo, exceto se a opção se der no exercício corrente, hipótese em que deve alcançar, no mínimo, o dia 31 de dezembro.</w:t>
      </w:r>
      <w:bookmarkEnd w:id="98"/>
    </w:p>
    <w:p w14:paraId="283555FE" w14:textId="77777777" w:rsidR="00747098" w:rsidRPr="00A12B50" w:rsidRDefault="00747098" w:rsidP="00DC688C">
      <w:pPr>
        <w:ind w:left="2268"/>
        <w:jc w:val="both"/>
        <w:rPr>
          <w:rFonts w:ascii="Arial" w:hAnsi="Arial" w:cs="Arial"/>
          <w:sz w:val="22"/>
          <w:szCs w:val="22"/>
        </w:rPr>
      </w:pPr>
      <w:bookmarkStart w:id="99" w:name="A1P6E"/>
      <w:r w:rsidRPr="00A12B50">
        <w:rPr>
          <w:rFonts w:ascii="Arial" w:hAnsi="Arial" w:cs="Arial"/>
          <w:sz w:val="22"/>
          <w:szCs w:val="22"/>
        </w:rPr>
        <w:t xml:space="preserve">§ 6º-E Se a opção do contribuinte for a prevista no </w:t>
      </w:r>
      <w:r w:rsidRPr="009E67F3">
        <w:rPr>
          <w:rFonts w:ascii="Arial" w:hAnsi="Arial" w:cs="Arial"/>
          <w:sz w:val="22"/>
          <w:szCs w:val="22"/>
        </w:rPr>
        <w:t>item II</w:t>
      </w:r>
      <w:r w:rsidRPr="00A12B50">
        <w:rPr>
          <w:rFonts w:ascii="Arial" w:hAnsi="Arial" w:cs="Arial"/>
          <w:sz w:val="22"/>
          <w:szCs w:val="22"/>
        </w:rPr>
        <w:t xml:space="preserve"> do </w:t>
      </w:r>
      <w:r w:rsidRPr="009E67F3">
        <w:rPr>
          <w:rFonts w:ascii="Arial" w:hAnsi="Arial" w:cs="Arial"/>
          <w:sz w:val="22"/>
          <w:szCs w:val="22"/>
        </w:rPr>
        <w:t>§ 6º-B</w:t>
      </w:r>
      <w:r w:rsidRPr="00A12B50">
        <w:rPr>
          <w:rFonts w:ascii="Arial" w:hAnsi="Arial" w:cs="Arial"/>
          <w:sz w:val="22"/>
          <w:szCs w:val="22"/>
        </w:rPr>
        <w:t xml:space="preserve">, a utilização do benefício dos programas PRODUZIR ou FOMENTAR pode ser cumulada com a utilização do Crédito Especial para Investimento, na forma prevista na </w:t>
      </w:r>
      <w:r w:rsidRPr="009E67F3">
        <w:rPr>
          <w:rFonts w:ascii="Arial" w:hAnsi="Arial" w:cs="Arial"/>
          <w:sz w:val="22"/>
          <w:szCs w:val="22"/>
        </w:rPr>
        <w:t>Seção II do Capítulo V</w:t>
      </w:r>
      <w:r w:rsidRPr="00A12B50">
        <w:rPr>
          <w:rFonts w:ascii="Arial" w:hAnsi="Arial" w:cs="Arial"/>
          <w:sz w:val="22"/>
          <w:szCs w:val="22"/>
        </w:rPr>
        <w:t xml:space="preserve"> deste Anexo.</w:t>
      </w:r>
      <w:bookmarkEnd w:id="99"/>
    </w:p>
    <w:p w14:paraId="2130AFB1"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 7º No caso de benefício fiscal concedido por meio de lei estadual, cuja fruição esteja condicionada à origem ou ao destino da mercadoria ou da operação, a origem ou o destino devem ser comprovados por meio de documento fiscal idôneo que acompanhe a mercadoria ou a operação, sendo que a ausência do referido documento fiscal impede a utilização do benefício, exceto nas situações em que a legislação tributária dispense a emissão de documento fiscal. </w:t>
      </w:r>
    </w:p>
    <w:p w14:paraId="63D0E40A" w14:textId="77777777" w:rsidR="00747098" w:rsidRPr="00A12B50" w:rsidRDefault="00747098" w:rsidP="00DC688C">
      <w:pPr>
        <w:ind w:left="2268"/>
        <w:jc w:val="both"/>
        <w:rPr>
          <w:rFonts w:ascii="Arial" w:hAnsi="Arial" w:cs="Arial"/>
          <w:sz w:val="22"/>
          <w:szCs w:val="22"/>
        </w:rPr>
      </w:pPr>
      <w:bookmarkStart w:id="100" w:name="A1P8"/>
      <w:r w:rsidRPr="00A12B50">
        <w:rPr>
          <w:rFonts w:ascii="Arial" w:hAnsi="Arial" w:cs="Arial"/>
          <w:sz w:val="22"/>
          <w:szCs w:val="22"/>
        </w:rPr>
        <w:t>§ 8º Na operação interestadual sujeita à alíquota de 4% (quatro por cento), nos termos da Resolução do Senado Federal nº 13, de 25 de abril de 2012, não se aplica o benefício da redução de base de cálculo ou do crédito outorgado incidente sobre o valor da operação, previstos neste anexo, exceto nos casos em que no dispositivo correspondente ao benefício fiscal haja disposição em contrário (</w:t>
      </w:r>
      <w:r w:rsidRPr="009E67F3">
        <w:rPr>
          <w:rFonts w:ascii="Arial" w:hAnsi="Arial" w:cs="Arial"/>
          <w:sz w:val="22"/>
          <w:szCs w:val="22"/>
        </w:rPr>
        <w:t>Convênio ICMS 123/12</w:t>
      </w:r>
      <w:r w:rsidRPr="00A12B50">
        <w:rPr>
          <w:rFonts w:ascii="Arial" w:hAnsi="Arial" w:cs="Arial"/>
          <w:sz w:val="22"/>
          <w:szCs w:val="22"/>
        </w:rPr>
        <w:t xml:space="preserve">). </w:t>
      </w:r>
    </w:p>
    <w:p w14:paraId="5FC947CF" w14:textId="77777777" w:rsidR="00747098" w:rsidRPr="00A12B50" w:rsidRDefault="00747098" w:rsidP="00DC688C">
      <w:pPr>
        <w:ind w:left="2268"/>
        <w:jc w:val="both"/>
        <w:rPr>
          <w:rFonts w:ascii="Arial" w:hAnsi="Arial" w:cs="Arial"/>
          <w:sz w:val="22"/>
          <w:szCs w:val="22"/>
        </w:rPr>
      </w:pPr>
      <w:bookmarkStart w:id="101" w:name="A1P9"/>
      <w:bookmarkStart w:id="102" w:name="a2"/>
      <w:bookmarkEnd w:id="100"/>
      <w:r w:rsidRPr="00A12B50">
        <w:rPr>
          <w:rFonts w:ascii="Arial" w:hAnsi="Arial" w:cs="Arial"/>
          <w:sz w:val="22"/>
          <w:szCs w:val="22"/>
        </w:rPr>
        <w:t xml:space="preserve">§ 9º Na operação com benefício fiscal, condicionado ao repasse no preço o valor do ICMS dispensado, o contribuinte quando da emissão do documento fiscal deve observar (Ajuste </w:t>
      </w:r>
      <w:r w:rsidRPr="009E67F3">
        <w:rPr>
          <w:rFonts w:ascii="Arial" w:hAnsi="Arial" w:cs="Arial"/>
          <w:sz w:val="22"/>
          <w:szCs w:val="22"/>
        </w:rPr>
        <w:t>SINIEF 10/12</w:t>
      </w:r>
      <w:r w:rsidRPr="00A12B50">
        <w:rPr>
          <w:rFonts w:ascii="Arial" w:hAnsi="Arial" w:cs="Arial"/>
          <w:sz w:val="22"/>
          <w:szCs w:val="22"/>
        </w:rPr>
        <w:t xml:space="preserve">): </w:t>
      </w:r>
    </w:p>
    <w:p w14:paraId="47D4AF35" w14:textId="77777777" w:rsidR="00747098" w:rsidRPr="00A12B50" w:rsidRDefault="00747098" w:rsidP="00DC688C">
      <w:pPr>
        <w:ind w:left="2268"/>
        <w:jc w:val="both"/>
        <w:rPr>
          <w:rFonts w:ascii="Arial" w:hAnsi="Arial" w:cs="Arial"/>
          <w:sz w:val="22"/>
          <w:szCs w:val="22"/>
        </w:rPr>
      </w:pPr>
      <w:bookmarkStart w:id="103" w:name="A1P9I"/>
      <w:bookmarkEnd w:id="101"/>
      <w:r w:rsidRPr="00A12B50">
        <w:rPr>
          <w:rFonts w:ascii="Arial" w:hAnsi="Arial" w:cs="Arial"/>
          <w:sz w:val="22"/>
          <w:szCs w:val="22"/>
        </w:rPr>
        <w:lastRenderedPageBreak/>
        <w:t>I - tratando-se de nota fiscal eletrônica, o valor dispensado deve ser informado nos campos "Desconto" e "Valor do ICMS" de cada item, preenchendo ainda o campo "Motivo da Desoneração do ICMS" do item com os códigos próprios especificados no Manual de Orientação do Contribuinte ou Nota Técnica da Nota Fiscal Eletrônica - NF-e;</w:t>
      </w:r>
    </w:p>
    <w:p w14:paraId="45526A62" w14:textId="77777777" w:rsidR="00747098" w:rsidRPr="00A12B50" w:rsidRDefault="00747098" w:rsidP="00DC688C">
      <w:pPr>
        <w:ind w:left="2268"/>
        <w:jc w:val="both"/>
        <w:rPr>
          <w:rFonts w:ascii="Arial" w:hAnsi="Arial" w:cs="Arial"/>
          <w:sz w:val="22"/>
          <w:szCs w:val="22"/>
        </w:rPr>
      </w:pPr>
      <w:bookmarkStart w:id="104" w:name="A1P9II"/>
      <w:bookmarkEnd w:id="103"/>
      <w:r w:rsidRPr="00A12B50">
        <w:rPr>
          <w:rFonts w:ascii="Arial" w:hAnsi="Arial" w:cs="Arial"/>
          <w:sz w:val="22"/>
          <w:szCs w:val="22"/>
        </w:rPr>
        <w:t xml:space="preserve">II - tratando-se de documento fiscal diverso do referido no inciso I, o valor dispensado deve ser informado em relação a cada mercadoria constante do documento fiscal, logo após a respectiva descrição, hipótese em que o valor total dispensado deve ser informado no campo "Informações Complementares". </w:t>
      </w:r>
    </w:p>
    <w:p w14:paraId="05C7FB2F" w14:textId="77777777" w:rsidR="00747098" w:rsidRPr="00A12B50" w:rsidRDefault="00747098" w:rsidP="00DC688C">
      <w:pPr>
        <w:ind w:left="2268"/>
        <w:jc w:val="both"/>
        <w:rPr>
          <w:rFonts w:ascii="Arial" w:hAnsi="Arial" w:cs="Arial"/>
          <w:sz w:val="22"/>
          <w:szCs w:val="22"/>
        </w:rPr>
      </w:pPr>
      <w:bookmarkStart w:id="105" w:name="A1P10"/>
      <w:bookmarkEnd w:id="104"/>
      <w:r w:rsidRPr="00A12B50">
        <w:rPr>
          <w:rFonts w:ascii="Arial" w:hAnsi="Arial" w:cs="Arial"/>
          <w:sz w:val="22"/>
          <w:szCs w:val="22"/>
        </w:rPr>
        <w:t>§ 10. Para apuração do faturamento de que trata a alínea “d” do inciso II-A, deve ser considerada a média mensal calculada no semestre imediatamente anterior, a qual deverá ser sistematicamente revista a cada semestre.</w:t>
      </w:r>
      <w:bookmarkEnd w:id="105"/>
      <w:r w:rsidRPr="00A12B50">
        <w:rPr>
          <w:rFonts w:ascii="Arial" w:hAnsi="Arial" w:cs="Arial"/>
          <w:sz w:val="22"/>
          <w:szCs w:val="22"/>
        </w:rPr>
        <w:t xml:space="preserve"> </w:t>
      </w:r>
    </w:p>
    <w:p w14:paraId="63FBFBC9" w14:textId="77777777" w:rsidR="00747098" w:rsidRDefault="00747098" w:rsidP="00DC688C">
      <w:pPr>
        <w:ind w:left="2268"/>
        <w:jc w:val="both"/>
        <w:rPr>
          <w:rFonts w:ascii="Arial" w:hAnsi="Arial" w:cs="Arial"/>
          <w:b/>
          <w:sz w:val="22"/>
          <w:szCs w:val="22"/>
        </w:rPr>
      </w:pPr>
    </w:p>
    <w:p w14:paraId="54F73352" w14:textId="77777777" w:rsidR="00747098" w:rsidRPr="00A12B50" w:rsidRDefault="00747098" w:rsidP="00DC688C">
      <w:pPr>
        <w:ind w:left="2268"/>
        <w:jc w:val="both"/>
        <w:rPr>
          <w:rFonts w:ascii="Arial" w:hAnsi="Arial" w:cs="Arial"/>
          <w:sz w:val="22"/>
          <w:szCs w:val="22"/>
        </w:rPr>
      </w:pPr>
      <w:r w:rsidRPr="00A12B50">
        <w:rPr>
          <w:rFonts w:ascii="Arial" w:hAnsi="Arial" w:cs="Arial"/>
          <w:b/>
          <w:sz w:val="22"/>
          <w:szCs w:val="22"/>
        </w:rPr>
        <w:t xml:space="preserve">Art. 2º </w:t>
      </w:r>
      <w:r w:rsidRPr="00A12B50">
        <w:rPr>
          <w:rFonts w:ascii="Arial" w:hAnsi="Arial" w:cs="Arial"/>
          <w:sz w:val="22"/>
          <w:szCs w:val="22"/>
        </w:rPr>
        <w:t>O benefício fiscal da manutenção do crédito quando concedido deve constar do mesmo dispositivo do regulamento que dispuser sobre a não-incidência, isenção ou redução da base de cálculo.</w:t>
      </w:r>
    </w:p>
    <w:bookmarkEnd w:id="102"/>
    <w:p w14:paraId="2A78C0CF"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Parágrafo único. Ocorrendo operação ou prestação com não-incidência, isenção ou redução da base de cálculo e havendo a manutenção do crédito, essa alcança todos os créditos regularmente apropriados, exceto os correspondentes ao ativo imobilizado e ao material de uso e consumo, para os quais devem ser observadas regras específicas previstas na legislação tributária.</w:t>
      </w:r>
    </w:p>
    <w:p w14:paraId="75898DE0" w14:textId="77777777" w:rsidR="00747098" w:rsidRDefault="00747098" w:rsidP="00DC688C">
      <w:pPr>
        <w:ind w:left="2268"/>
        <w:jc w:val="both"/>
        <w:rPr>
          <w:rFonts w:ascii="Arial" w:hAnsi="Arial" w:cs="Arial"/>
          <w:i/>
          <w:sz w:val="22"/>
          <w:szCs w:val="22"/>
        </w:rPr>
      </w:pPr>
    </w:p>
    <w:p w14:paraId="3914D1EC" w14:textId="77777777" w:rsidR="00747098" w:rsidRPr="00A12B50" w:rsidRDefault="00747098" w:rsidP="00DC688C">
      <w:pPr>
        <w:ind w:left="2268"/>
        <w:jc w:val="both"/>
        <w:rPr>
          <w:rFonts w:ascii="Arial" w:hAnsi="Arial" w:cs="Arial"/>
          <w:sz w:val="22"/>
          <w:szCs w:val="22"/>
        </w:rPr>
      </w:pPr>
      <w:r w:rsidRPr="00A12B50">
        <w:rPr>
          <w:rFonts w:ascii="Arial" w:hAnsi="Arial" w:cs="Arial"/>
          <w:b/>
          <w:sz w:val="22"/>
          <w:szCs w:val="22"/>
        </w:rPr>
        <w:t xml:space="preserve">Art. 3º </w:t>
      </w:r>
      <w:r w:rsidRPr="00A12B50">
        <w:rPr>
          <w:rFonts w:ascii="Arial" w:hAnsi="Arial" w:cs="Arial"/>
          <w:sz w:val="22"/>
          <w:szCs w:val="22"/>
        </w:rPr>
        <w:t>A comprovação de ausência de produto similar produzido no País, quando exigida para aplicação do benefício fiscal, deve ser feita por meio de atestado emitido por entidade representativa do setor produtivo, de abrangência nacional, ou por órgão federal especializado, ressalvados os casos em que o dispositivo que tratar do benefício dispuser de forma diferente.</w:t>
      </w:r>
    </w:p>
    <w:p w14:paraId="6EC614D6"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 1º Quando se tratar de partes, peças e reagentes químicos e sendo inaplicável o disposto no </w:t>
      </w:r>
      <w:r w:rsidRPr="00A12B50">
        <w:rPr>
          <w:rFonts w:ascii="Arial" w:hAnsi="Arial" w:cs="Arial"/>
          <w:i/>
          <w:sz w:val="22"/>
          <w:szCs w:val="22"/>
        </w:rPr>
        <w:t>caput</w:t>
      </w:r>
      <w:r w:rsidRPr="00A12B50">
        <w:rPr>
          <w:rFonts w:ascii="Arial" w:hAnsi="Arial" w:cs="Arial"/>
          <w:sz w:val="22"/>
          <w:szCs w:val="22"/>
        </w:rPr>
        <w:t xml:space="preserve"> deste artigo, o atestado de ausência de similaridade pode ser feito por órgão legitimado da correspondente secretaria de estado da unidade federada competente para exigir o ICMS relativo à importação.</w:t>
      </w:r>
    </w:p>
    <w:p w14:paraId="401A483C"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2º O atestado emitido nos termos deste artigo tem validade máxima de 6 (seis) meses contados da data de sua emissão.</w:t>
      </w:r>
    </w:p>
    <w:p w14:paraId="4B51EE41" w14:textId="77777777" w:rsidR="00747098" w:rsidRDefault="00747098" w:rsidP="00DC688C">
      <w:pPr>
        <w:ind w:left="2268"/>
        <w:jc w:val="both"/>
        <w:rPr>
          <w:rFonts w:ascii="Arial" w:hAnsi="Arial" w:cs="Arial"/>
          <w:b/>
          <w:sz w:val="22"/>
          <w:szCs w:val="22"/>
        </w:rPr>
      </w:pPr>
    </w:p>
    <w:p w14:paraId="212DFFE4" w14:textId="77777777" w:rsidR="00747098" w:rsidRPr="00A12B50" w:rsidRDefault="00747098" w:rsidP="00DC688C">
      <w:pPr>
        <w:ind w:left="2268"/>
        <w:jc w:val="both"/>
        <w:rPr>
          <w:rFonts w:ascii="Arial" w:hAnsi="Arial" w:cs="Arial"/>
          <w:sz w:val="22"/>
          <w:szCs w:val="22"/>
        </w:rPr>
      </w:pPr>
      <w:r w:rsidRPr="00A12B50">
        <w:rPr>
          <w:rFonts w:ascii="Arial" w:hAnsi="Arial" w:cs="Arial"/>
          <w:b/>
          <w:sz w:val="22"/>
          <w:szCs w:val="22"/>
        </w:rPr>
        <w:t xml:space="preserve">Art. 4º </w:t>
      </w:r>
      <w:r w:rsidRPr="00A12B50">
        <w:rPr>
          <w:rFonts w:ascii="Arial" w:hAnsi="Arial" w:cs="Arial"/>
          <w:sz w:val="22"/>
          <w:szCs w:val="22"/>
        </w:rPr>
        <w:t>Quando a utilização de benefício fiscal for facultada ao contribuinte, podendo este optar pela sua aplicação em substituição ao sistema normal de tributação do ICMS, essa opção deve ser consignada no livro Registro de Utilização de Documentos Fiscais e Termos de Ocorrências e ser praticada no exercício civil completo, exceto quando a legislação determinar de forma diferente ou a opção ocorrer em exercício corrente, devendo a mesma, neste último caso, alcançar, no mínimo, 31 de dezembro.</w:t>
      </w:r>
    </w:p>
    <w:p w14:paraId="7CBEA438"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 xml:space="preserve">Parágrafo único. Não são observados os limites para a aplicação da opção pelo benefício fiscal prevista no </w:t>
      </w:r>
      <w:r w:rsidRPr="00A12B50">
        <w:rPr>
          <w:rFonts w:ascii="Arial" w:hAnsi="Arial" w:cs="Arial"/>
          <w:i/>
          <w:sz w:val="22"/>
          <w:szCs w:val="22"/>
        </w:rPr>
        <w:t>caput</w:t>
      </w:r>
      <w:r w:rsidRPr="00A12B50">
        <w:rPr>
          <w:rFonts w:ascii="Arial" w:hAnsi="Arial" w:cs="Arial"/>
          <w:sz w:val="22"/>
          <w:szCs w:val="22"/>
        </w:rPr>
        <w:t xml:space="preserve"> quando esse exaurir-se em data diferente de 31 de dezembro, hipótese em que a opção extingue-se concomitantemente com o benefício concedido.</w:t>
      </w:r>
    </w:p>
    <w:p w14:paraId="38AEE2BE" w14:textId="77777777" w:rsidR="00747098" w:rsidRDefault="00747098" w:rsidP="00DC688C">
      <w:pPr>
        <w:ind w:left="2268"/>
        <w:jc w:val="both"/>
        <w:rPr>
          <w:rFonts w:ascii="Arial" w:hAnsi="Arial" w:cs="Arial"/>
          <w:b/>
          <w:sz w:val="22"/>
          <w:szCs w:val="22"/>
        </w:rPr>
      </w:pPr>
      <w:bookmarkStart w:id="106" w:name="A5"/>
    </w:p>
    <w:p w14:paraId="283D6A2B" w14:textId="77777777" w:rsidR="00747098" w:rsidRPr="00A12B50" w:rsidRDefault="00747098" w:rsidP="00DC688C">
      <w:pPr>
        <w:ind w:left="2268"/>
        <w:jc w:val="both"/>
        <w:rPr>
          <w:rFonts w:ascii="Arial" w:hAnsi="Arial" w:cs="Arial"/>
          <w:sz w:val="22"/>
          <w:szCs w:val="22"/>
        </w:rPr>
      </w:pPr>
      <w:r w:rsidRPr="00A12B50">
        <w:rPr>
          <w:rFonts w:ascii="Arial" w:hAnsi="Arial" w:cs="Arial"/>
          <w:b/>
          <w:sz w:val="22"/>
          <w:szCs w:val="22"/>
        </w:rPr>
        <w:lastRenderedPageBreak/>
        <w:t xml:space="preserve">Art. 5º </w:t>
      </w:r>
      <w:r w:rsidRPr="00A12B50">
        <w:rPr>
          <w:rFonts w:ascii="Arial" w:hAnsi="Arial" w:cs="Arial"/>
          <w:sz w:val="22"/>
          <w:szCs w:val="22"/>
        </w:rPr>
        <w:t>Constituindo a celebração de termo de acordo de regime especial com a Secretaria da Fazenda condição à aplicação de benefício fiscal, o termo deve ser firmado:</w:t>
      </w:r>
    </w:p>
    <w:p w14:paraId="571EB09D"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I - por intermédio do titular da Secretaria, a quem compete decidir sobre a sua conveniência, manutenção, revogação e prazo de vigência;</w:t>
      </w:r>
    </w:p>
    <w:p w14:paraId="4F6A4B54"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II - apenas quando o contribuinte não seja devedor da Fazenda Pública Estadual e prove sua regularidade fiscal para com a Seguridade Social;</w:t>
      </w:r>
    </w:p>
    <w:p w14:paraId="3BD8BC9E" w14:textId="77777777" w:rsidR="00747098" w:rsidRPr="00A12B50" w:rsidRDefault="00747098" w:rsidP="00DC688C">
      <w:pPr>
        <w:ind w:left="2268"/>
        <w:jc w:val="both"/>
        <w:rPr>
          <w:rFonts w:ascii="Arial" w:hAnsi="Arial" w:cs="Arial"/>
          <w:sz w:val="22"/>
          <w:szCs w:val="22"/>
        </w:rPr>
      </w:pPr>
      <w:r w:rsidRPr="00A12B50">
        <w:rPr>
          <w:rFonts w:ascii="Arial" w:hAnsi="Arial" w:cs="Arial"/>
          <w:sz w:val="22"/>
          <w:szCs w:val="22"/>
        </w:rPr>
        <w:t>III - revogado;</w:t>
      </w:r>
    </w:p>
    <w:p w14:paraId="04C8D0D8" w14:textId="77777777" w:rsidR="00747098" w:rsidRDefault="00747098" w:rsidP="00DC688C">
      <w:pPr>
        <w:ind w:left="2268"/>
        <w:jc w:val="both"/>
        <w:rPr>
          <w:rFonts w:ascii="Arial" w:hAnsi="Arial" w:cs="Arial"/>
          <w:sz w:val="22"/>
          <w:szCs w:val="22"/>
        </w:rPr>
      </w:pPr>
      <w:r w:rsidRPr="00A12B50">
        <w:rPr>
          <w:rFonts w:ascii="Arial" w:hAnsi="Arial" w:cs="Arial"/>
          <w:sz w:val="22"/>
          <w:szCs w:val="22"/>
        </w:rPr>
        <w:t>Parágrafo único. Mediante representação do titular da delegacia fiscal, a que estiver vinculado o contribuinte, e por despacho fundamentado, pode o Secretário da Fazenda denunciar o termo de acordo de regime especial, quando verificada a ocorrência de infração à legislação tributária estadual, que resulte falta de pagamento do ICMS, decorrente d</w:t>
      </w:r>
      <w:r>
        <w:rPr>
          <w:rFonts w:ascii="Arial" w:hAnsi="Arial" w:cs="Arial"/>
          <w:sz w:val="22"/>
          <w:szCs w:val="22"/>
        </w:rPr>
        <w:t>e ato praticado após a data de</w:t>
      </w:r>
      <w:r w:rsidRPr="00A12B50">
        <w:rPr>
          <w:rFonts w:ascii="Arial" w:hAnsi="Arial" w:cs="Arial"/>
          <w:sz w:val="22"/>
          <w:szCs w:val="22"/>
        </w:rPr>
        <w:t xml:space="preserve"> vigência do termo que trata este artigo.</w:t>
      </w:r>
    </w:p>
    <w:bookmarkEnd w:id="106"/>
    <w:p w14:paraId="2700A0F9" w14:textId="77777777" w:rsidR="00747098" w:rsidRDefault="00747098" w:rsidP="00747098">
      <w:pPr>
        <w:spacing w:line="360" w:lineRule="auto"/>
        <w:ind w:firstLine="851"/>
        <w:jc w:val="both"/>
        <w:rPr>
          <w:rFonts w:ascii="Arial" w:hAnsi="Arial" w:cs="Arial"/>
          <w:sz w:val="24"/>
          <w:szCs w:val="24"/>
        </w:rPr>
      </w:pPr>
    </w:p>
    <w:p w14:paraId="5E2C3444" w14:textId="7C4D9265" w:rsidR="00747098" w:rsidRDefault="0053247D" w:rsidP="00747098">
      <w:pPr>
        <w:spacing w:line="360" w:lineRule="auto"/>
        <w:ind w:firstLine="851"/>
        <w:jc w:val="both"/>
        <w:rPr>
          <w:rFonts w:ascii="Arial" w:hAnsi="Arial" w:cs="Arial"/>
          <w:b/>
          <w:sz w:val="24"/>
          <w:szCs w:val="24"/>
        </w:rPr>
      </w:pPr>
      <w:r>
        <w:rPr>
          <w:rFonts w:ascii="Arial" w:hAnsi="Arial" w:cs="Arial"/>
          <w:sz w:val="24"/>
          <w:szCs w:val="24"/>
        </w:rPr>
        <w:t xml:space="preserve">Apesar da extensão dos arts. 1º a 5º do RCTE/GO, acima transcritos, </w:t>
      </w:r>
      <w:r w:rsidR="00511519" w:rsidRPr="00A73848">
        <w:rPr>
          <w:rFonts w:ascii="Arial" w:hAnsi="Arial" w:cs="Arial"/>
          <w:b/>
          <w:sz w:val="24"/>
          <w:szCs w:val="24"/>
        </w:rPr>
        <w:t xml:space="preserve">os requisitos gerais </w:t>
      </w:r>
      <w:r w:rsidR="00B33E2B">
        <w:rPr>
          <w:rFonts w:ascii="Arial" w:hAnsi="Arial" w:cs="Arial"/>
          <w:b/>
          <w:sz w:val="24"/>
          <w:szCs w:val="24"/>
        </w:rPr>
        <w:t xml:space="preserve">neles previstos </w:t>
      </w:r>
      <w:r w:rsidR="00511519" w:rsidRPr="00A73848">
        <w:rPr>
          <w:rFonts w:ascii="Arial" w:hAnsi="Arial" w:cs="Arial"/>
          <w:b/>
          <w:sz w:val="24"/>
          <w:szCs w:val="24"/>
        </w:rPr>
        <w:t>podem ser sintetizados nos seguintes termos:</w:t>
      </w:r>
    </w:p>
    <w:p w14:paraId="46F63450" w14:textId="77777777" w:rsidR="00DC688C" w:rsidRDefault="00DC688C" w:rsidP="00747098">
      <w:pPr>
        <w:spacing w:line="360" w:lineRule="auto"/>
        <w:ind w:firstLine="851"/>
        <w:jc w:val="both"/>
        <w:rPr>
          <w:rFonts w:ascii="Arial" w:hAnsi="Arial" w:cs="Arial"/>
          <w:sz w:val="24"/>
          <w:szCs w:val="24"/>
        </w:rPr>
      </w:pPr>
    </w:p>
    <w:p w14:paraId="0DDF68AA" w14:textId="00D70571" w:rsidR="00972011" w:rsidRDefault="00A73848" w:rsidP="00282B87">
      <w:pPr>
        <w:pStyle w:val="PargrafodaLista"/>
        <w:numPr>
          <w:ilvl w:val="0"/>
          <w:numId w:val="9"/>
        </w:numPr>
        <w:spacing w:line="360" w:lineRule="auto"/>
        <w:jc w:val="both"/>
        <w:rPr>
          <w:rFonts w:ascii="Arial" w:hAnsi="Arial" w:cs="Arial"/>
          <w:sz w:val="24"/>
          <w:szCs w:val="24"/>
        </w:rPr>
      </w:pPr>
      <w:r w:rsidRPr="00154EA0">
        <w:rPr>
          <w:rFonts w:ascii="Arial" w:hAnsi="Arial" w:cs="Arial"/>
          <w:sz w:val="24"/>
          <w:szCs w:val="24"/>
          <w:u w:val="single"/>
        </w:rPr>
        <w:t xml:space="preserve">adimplência </w:t>
      </w:r>
      <w:r w:rsidR="00972011" w:rsidRPr="00154EA0">
        <w:rPr>
          <w:rFonts w:ascii="Arial" w:hAnsi="Arial" w:cs="Arial"/>
          <w:sz w:val="24"/>
          <w:szCs w:val="24"/>
          <w:u w:val="single"/>
        </w:rPr>
        <w:t>com o ICMS relativo à obrigação tributária cujo pagamento deva ocorrer no mês correspondente à referida utilização</w:t>
      </w:r>
      <w:r>
        <w:rPr>
          <w:rFonts w:ascii="Arial" w:hAnsi="Arial" w:cs="Arial"/>
          <w:sz w:val="24"/>
          <w:szCs w:val="24"/>
        </w:rPr>
        <w:t>, de modo que o</w:t>
      </w:r>
      <w:r w:rsidRPr="00A73848">
        <w:rPr>
          <w:rFonts w:ascii="Arial" w:hAnsi="Arial" w:cs="Arial"/>
          <w:sz w:val="24"/>
          <w:szCs w:val="24"/>
        </w:rPr>
        <w:t xml:space="preserve"> pagamento em atraso do imposto devido, inclusive o devido por substituição tributária, implica perda definitiva, exclusivamente no mês da ocorrência do atraso, do direito de o contribuinte utilizar o benefício fiscal</w:t>
      </w:r>
      <w:r>
        <w:rPr>
          <w:rFonts w:ascii="Arial" w:hAnsi="Arial" w:cs="Arial"/>
          <w:sz w:val="24"/>
          <w:szCs w:val="24"/>
        </w:rPr>
        <w:t xml:space="preserve"> (art. 1º,</w:t>
      </w:r>
      <w:r w:rsidR="00F92832" w:rsidRPr="00F92832">
        <w:rPr>
          <w:rFonts w:ascii="Arial" w:hAnsi="Arial" w:cs="Arial"/>
          <w:sz w:val="24"/>
          <w:szCs w:val="24"/>
        </w:rPr>
        <w:t xml:space="preserve"> § 1º, I</w:t>
      </w:r>
      <w:r w:rsidR="00F92832">
        <w:rPr>
          <w:rFonts w:ascii="Arial" w:hAnsi="Arial" w:cs="Arial"/>
          <w:sz w:val="24"/>
          <w:szCs w:val="24"/>
        </w:rPr>
        <w:t xml:space="preserve">, c/c </w:t>
      </w:r>
      <w:r>
        <w:rPr>
          <w:rFonts w:ascii="Arial" w:hAnsi="Arial" w:cs="Arial"/>
          <w:sz w:val="24"/>
          <w:szCs w:val="24"/>
        </w:rPr>
        <w:t>§ 1º-B)</w:t>
      </w:r>
      <w:r w:rsidR="00972011" w:rsidRPr="00972011">
        <w:rPr>
          <w:rFonts w:ascii="Arial" w:hAnsi="Arial" w:cs="Arial"/>
          <w:sz w:val="24"/>
          <w:szCs w:val="24"/>
        </w:rPr>
        <w:t xml:space="preserve">; </w:t>
      </w:r>
    </w:p>
    <w:p w14:paraId="26A86516" w14:textId="7D042279" w:rsidR="00972011" w:rsidRDefault="00F92832" w:rsidP="00282B87">
      <w:pPr>
        <w:pStyle w:val="PargrafodaLista"/>
        <w:numPr>
          <w:ilvl w:val="0"/>
          <w:numId w:val="9"/>
        </w:numPr>
        <w:spacing w:line="360" w:lineRule="auto"/>
        <w:jc w:val="both"/>
        <w:rPr>
          <w:rFonts w:ascii="Arial" w:hAnsi="Arial" w:cs="Arial"/>
          <w:sz w:val="24"/>
          <w:szCs w:val="24"/>
        </w:rPr>
      </w:pPr>
      <w:r w:rsidRPr="00F92832">
        <w:rPr>
          <w:rFonts w:ascii="Arial" w:hAnsi="Arial" w:cs="Arial"/>
          <w:sz w:val="24"/>
          <w:szCs w:val="24"/>
          <w:u w:val="single"/>
        </w:rPr>
        <w:t>inexistência de</w:t>
      </w:r>
      <w:r w:rsidR="00972011" w:rsidRPr="00F92832">
        <w:rPr>
          <w:rFonts w:ascii="Arial" w:hAnsi="Arial" w:cs="Arial"/>
          <w:sz w:val="24"/>
          <w:szCs w:val="24"/>
          <w:u w:val="single"/>
        </w:rPr>
        <w:t xml:space="preserve"> crédito tributário inscrito em dívida ativa</w:t>
      </w:r>
      <w:r>
        <w:rPr>
          <w:rFonts w:ascii="Arial" w:hAnsi="Arial" w:cs="Arial"/>
          <w:sz w:val="24"/>
          <w:szCs w:val="24"/>
        </w:rPr>
        <w:t>,</w:t>
      </w:r>
      <w:r w:rsidR="005B16F6">
        <w:rPr>
          <w:rFonts w:ascii="Arial" w:hAnsi="Arial" w:cs="Arial"/>
          <w:sz w:val="24"/>
          <w:szCs w:val="24"/>
        </w:rPr>
        <w:t xml:space="preserve"> embora seja ressalvado aquele cuja </w:t>
      </w:r>
      <w:r w:rsidR="005B16F6" w:rsidRPr="005B16F6">
        <w:rPr>
          <w:rFonts w:ascii="Arial" w:hAnsi="Arial" w:cs="Arial"/>
          <w:sz w:val="24"/>
          <w:szCs w:val="24"/>
        </w:rPr>
        <w:t xml:space="preserve">exigibilidade esteja suspensa ou para o qual tenha sido efetivada a penhora de bens suficientes para </w:t>
      </w:r>
      <w:r w:rsidR="005B16F6">
        <w:rPr>
          <w:rFonts w:ascii="Arial" w:hAnsi="Arial" w:cs="Arial"/>
          <w:sz w:val="24"/>
          <w:szCs w:val="24"/>
        </w:rPr>
        <w:t xml:space="preserve">o pagamento do total da dívida </w:t>
      </w:r>
      <w:r w:rsidR="005B16F6" w:rsidRPr="005B16F6">
        <w:rPr>
          <w:rFonts w:ascii="Arial" w:hAnsi="Arial" w:cs="Arial"/>
          <w:sz w:val="24"/>
          <w:szCs w:val="24"/>
        </w:rPr>
        <w:t>(art. 1º, § 1º, II, c/c § 1º-C)</w:t>
      </w:r>
      <w:r w:rsidR="005B16F6">
        <w:rPr>
          <w:rFonts w:ascii="Arial" w:hAnsi="Arial" w:cs="Arial"/>
          <w:sz w:val="24"/>
          <w:szCs w:val="24"/>
        </w:rPr>
        <w:t>;</w:t>
      </w:r>
    </w:p>
    <w:p w14:paraId="22AB738B" w14:textId="43C8667F" w:rsidR="00F14D9D" w:rsidRDefault="00D80E68" w:rsidP="00282B87">
      <w:pPr>
        <w:pStyle w:val="PargrafodaLista"/>
        <w:numPr>
          <w:ilvl w:val="0"/>
          <w:numId w:val="9"/>
        </w:numPr>
        <w:spacing w:line="360" w:lineRule="auto"/>
        <w:jc w:val="both"/>
        <w:rPr>
          <w:rFonts w:ascii="Arial" w:hAnsi="Arial" w:cs="Arial"/>
          <w:sz w:val="24"/>
          <w:szCs w:val="24"/>
        </w:rPr>
      </w:pPr>
      <w:r w:rsidRPr="009C0BC1">
        <w:rPr>
          <w:rFonts w:ascii="Arial" w:hAnsi="Arial" w:cs="Arial"/>
          <w:sz w:val="24"/>
          <w:szCs w:val="24"/>
          <w:u w:val="single"/>
        </w:rPr>
        <w:t xml:space="preserve">contribuição ao Fundo de Proteção Social do Estado de Goiás </w:t>
      </w:r>
      <w:r w:rsidR="00E42904" w:rsidRPr="009C0BC1">
        <w:rPr>
          <w:rFonts w:ascii="Arial" w:hAnsi="Arial" w:cs="Arial"/>
          <w:sz w:val="24"/>
          <w:szCs w:val="24"/>
          <w:u w:val="single"/>
        </w:rPr>
        <w:t>–</w:t>
      </w:r>
      <w:r w:rsidRPr="009C0BC1">
        <w:rPr>
          <w:rFonts w:ascii="Arial" w:hAnsi="Arial" w:cs="Arial"/>
          <w:sz w:val="24"/>
          <w:szCs w:val="24"/>
          <w:u w:val="single"/>
        </w:rPr>
        <w:t xml:space="preserve"> PROTEGE GOIÁS</w:t>
      </w:r>
      <w:r w:rsidRPr="00D80E68">
        <w:rPr>
          <w:rFonts w:ascii="Arial" w:hAnsi="Arial" w:cs="Arial"/>
          <w:sz w:val="24"/>
          <w:szCs w:val="24"/>
        </w:rPr>
        <w:t>, no valor correspondente ao percentual aplicado sobre o montante da diferença entre o valor do imposto calculado com aplicação da tributação integral e o calculado com utilização de benefício fiscal</w:t>
      </w:r>
      <w:r w:rsidR="003B2691">
        <w:rPr>
          <w:rFonts w:ascii="Arial" w:hAnsi="Arial" w:cs="Arial"/>
          <w:sz w:val="24"/>
          <w:szCs w:val="24"/>
        </w:rPr>
        <w:t>, nos percentuais de 15% (quinze por cento), 10% (dez por cento) e 5% (cinco por cento)</w:t>
      </w:r>
      <w:r w:rsidR="00E50B4F">
        <w:rPr>
          <w:rFonts w:ascii="Arial" w:hAnsi="Arial" w:cs="Arial"/>
          <w:sz w:val="24"/>
          <w:szCs w:val="24"/>
        </w:rPr>
        <w:t>, consoante os §§ 3, 4º, 5º, 5º-A, 5º-B e 5º-C</w:t>
      </w:r>
      <w:r w:rsidR="00D82373">
        <w:rPr>
          <w:rFonts w:ascii="Arial" w:hAnsi="Arial" w:cs="Arial"/>
          <w:sz w:val="24"/>
          <w:szCs w:val="24"/>
        </w:rPr>
        <w:t>;</w:t>
      </w:r>
    </w:p>
    <w:p w14:paraId="020E6109" w14:textId="56961C26" w:rsidR="004B464B" w:rsidRDefault="000C5ECE" w:rsidP="00282B87">
      <w:pPr>
        <w:pStyle w:val="PargrafodaLista"/>
        <w:numPr>
          <w:ilvl w:val="0"/>
          <w:numId w:val="9"/>
        </w:numPr>
        <w:spacing w:line="360" w:lineRule="auto"/>
        <w:jc w:val="both"/>
        <w:rPr>
          <w:rFonts w:ascii="Arial" w:hAnsi="Arial" w:cs="Arial"/>
          <w:sz w:val="24"/>
          <w:szCs w:val="24"/>
        </w:rPr>
      </w:pPr>
      <w:r w:rsidRPr="00E37971">
        <w:rPr>
          <w:rFonts w:ascii="Arial" w:hAnsi="Arial" w:cs="Arial"/>
          <w:sz w:val="24"/>
          <w:szCs w:val="24"/>
          <w:u w:val="single"/>
        </w:rPr>
        <w:t xml:space="preserve">vedação à fruição de mais de um benefício em função da mesma operação, bem como à percepção cumulada entre os incentivos fiscais previstos no </w:t>
      </w:r>
      <w:r w:rsidRPr="00E37971">
        <w:rPr>
          <w:rFonts w:ascii="Arial" w:hAnsi="Arial" w:cs="Arial"/>
          <w:sz w:val="24"/>
          <w:szCs w:val="24"/>
          <w:u w:val="single"/>
        </w:rPr>
        <w:lastRenderedPageBreak/>
        <w:t>RCTE/GO e os Programas Fomentar/Produzir</w:t>
      </w:r>
      <w:r w:rsidR="00E10C53">
        <w:rPr>
          <w:rStyle w:val="Refdenotaderodap"/>
          <w:rFonts w:ascii="Arial" w:hAnsi="Arial" w:cs="Arial"/>
          <w:sz w:val="24"/>
          <w:szCs w:val="24"/>
          <w:u w:val="single"/>
        </w:rPr>
        <w:footnoteReference w:id="30"/>
      </w:r>
      <w:r w:rsidR="00FF2E9C">
        <w:rPr>
          <w:rFonts w:ascii="Arial" w:hAnsi="Arial" w:cs="Arial"/>
          <w:sz w:val="24"/>
          <w:szCs w:val="24"/>
        </w:rPr>
        <w:t>, ressalva</w:t>
      </w:r>
      <w:r w:rsidR="00854B71">
        <w:rPr>
          <w:rFonts w:ascii="Arial" w:hAnsi="Arial" w:cs="Arial"/>
          <w:sz w:val="24"/>
          <w:szCs w:val="24"/>
        </w:rPr>
        <w:t>da</w:t>
      </w:r>
      <w:r w:rsidR="00FF2E9C">
        <w:rPr>
          <w:rFonts w:ascii="Arial" w:hAnsi="Arial" w:cs="Arial"/>
          <w:sz w:val="24"/>
          <w:szCs w:val="24"/>
        </w:rPr>
        <w:t>s as situações previstas no próprio RCTE/GO</w:t>
      </w:r>
      <w:r>
        <w:rPr>
          <w:rFonts w:ascii="Arial" w:hAnsi="Arial" w:cs="Arial"/>
          <w:sz w:val="24"/>
          <w:szCs w:val="24"/>
        </w:rPr>
        <w:t xml:space="preserve"> (art. 1º, §§ 6º a 6º-</w:t>
      </w:r>
      <w:r w:rsidR="00BD7D79">
        <w:rPr>
          <w:rFonts w:ascii="Arial" w:hAnsi="Arial" w:cs="Arial"/>
          <w:sz w:val="24"/>
          <w:szCs w:val="24"/>
        </w:rPr>
        <w:t>E</w:t>
      </w:r>
      <w:r>
        <w:rPr>
          <w:rFonts w:ascii="Arial" w:hAnsi="Arial" w:cs="Arial"/>
          <w:sz w:val="24"/>
          <w:szCs w:val="24"/>
        </w:rPr>
        <w:t>)</w:t>
      </w:r>
      <w:r w:rsidR="004B464B">
        <w:rPr>
          <w:rFonts w:ascii="Arial" w:hAnsi="Arial" w:cs="Arial"/>
          <w:sz w:val="24"/>
          <w:szCs w:val="24"/>
        </w:rPr>
        <w:t>;</w:t>
      </w:r>
    </w:p>
    <w:p w14:paraId="49DC47D6" w14:textId="4838F36B" w:rsidR="00F60160" w:rsidRPr="004B464B" w:rsidRDefault="004B464B" w:rsidP="00282B87">
      <w:pPr>
        <w:pStyle w:val="PargrafodaLista"/>
        <w:numPr>
          <w:ilvl w:val="0"/>
          <w:numId w:val="9"/>
        </w:numPr>
        <w:spacing w:line="360" w:lineRule="auto"/>
        <w:jc w:val="both"/>
        <w:rPr>
          <w:rFonts w:ascii="Arial" w:hAnsi="Arial" w:cs="Arial"/>
          <w:sz w:val="24"/>
          <w:szCs w:val="24"/>
        </w:rPr>
      </w:pPr>
      <w:r w:rsidRPr="00B33E2B">
        <w:rPr>
          <w:rFonts w:ascii="Arial" w:hAnsi="Arial" w:cs="Arial"/>
          <w:sz w:val="24"/>
          <w:szCs w:val="24"/>
          <w:u w:val="single"/>
        </w:rPr>
        <w:t>celebração de TARE, quando exigido para a aplicação do incentivo fiscal, a ser firmado pelo titular da Secretaria de Estado da Fazenda (hoje, Economia)</w:t>
      </w:r>
      <w:r>
        <w:rPr>
          <w:rFonts w:ascii="Arial" w:hAnsi="Arial" w:cs="Arial"/>
          <w:sz w:val="24"/>
          <w:szCs w:val="24"/>
        </w:rPr>
        <w:t xml:space="preserve">, a quem compete </w:t>
      </w:r>
      <w:r w:rsidRPr="004B464B">
        <w:rPr>
          <w:rFonts w:ascii="Arial" w:hAnsi="Arial" w:cs="Arial"/>
          <w:sz w:val="24"/>
          <w:szCs w:val="24"/>
        </w:rPr>
        <w:t>decidir sobre a sua conveniência, manutenção, revogação e prazo de vigência</w:t>
      </w:r>
      <w:r>
        <w:rPr>
          <w:rFonts w:ascii="Arial" w:hAnsi="Arial" w:cs="Arial"/>
          <w:sz w:val="24"/>
          <w:szCs w:val="24"/>
        </w:rPr>
        <w:t xml:space="preserve">, desde que o contribuinte não seja </w:t>
      </w:r>
      <w:r w:rsidRPr="004B464B">
        <w:rPr>
          <w:rFonts w:ascii="Arial" w:hAnsi="Arial" w:cs="Arial"/>
          <w:sz w:val="24"/>
          <w:szCs w:val="24"/>
        </w:rPr>
        <w:t>devedor da Fazenda Pública Estadual e prove sua regularidade fiscal para com a Seguridade Social</w:t>
      </w:r>
      <w:r w:rsidR="00B33E2B">
        <w:rPr>
          <w:rFonts w:ascii="Arial" w:hAnsi="Arial" w:cs="Arial"/>
          <w:sz w:val="24"/>
          <w:szCs w:val="24"/>
        </w:rPr>
        <w:t xml:space="preserve"> (art. 5º</w:t>
      </w:r>
      <w:r w:rsidR="00B015CC">
        <w:rPr>
          <w:rFonts w:ascii="Arial" w:hAnsi="Arial" w:cs="Arial"/>
          <w:sz w:val="24"/>
          <w:szCs w:val="24"/>
        </w:rPr>
        <w:t>, I e II</w:t>
      </w:r>
      <w:r w:rsidR="00B33E2B">
        <w:rPr>
          <w:rFonts w:ascii="Arial" w:hAnsi="Arial" w:cs="Arial"/>
          <w:sz w:val="24"/>
          <w:szCs w:val="24"/>
        </w:rPr>
        <w:t>)</w:t>
      </w:r>
      <w:r w:rsidR="00147517" w:rsidRPr="004B464B">
        <w:rPr>
          <w:rFonts w:ascii="Arial" w:hAnsi="Arial" w:cs="Arial"/>
          <w:sz w:val="24"/>
          <w:szCs w:val="24"/>
        </w:rPr>
        <w:t>.</w:t>
      </w:r>
    </w:p>
    <w:p w14:paraId="189DFFCA" w14:textId="77777777" w:rsidR="00DC688C" w:rsidRDefault="00DC688C" w:rsidP="00C74704">
      <w:pPr>
        <w:spacing w:line="360" w:lineRule="auto"/>
        <w:ind w:firstLine="851"/>
        <w:jc w:val="both"/>
        <w:rPr>
          <w:rFonts w:ascii="Arial" w:hAnsi="Arial" w:cs="Arial"/>
          <w:sz w:val="24"/>
          <w:szCs w:val="24"/>
        </w:rPr>
      </w:pPr>
    </w:p>
    <w:p w14:paraId="215CECE3" w14:textId="461B1914" w:rsidR="001D469D" w:rsidRDefault="008412A1" w:rsidP="00C74704">
      <w:pPr>
        <w:spacing w:line="360" w:lineRule="auto"/>
        <w:ind w:firstLine="851"/>
        <w:jc w:val="both"/>
        <w:rPr>
          <w:rFonts w:ascii="Arial" w:hAnsi="Arial" w:cs="Arial"/>
          <w:sz w:val="24"/>
          <w:szCs w:val="24"/>
        </w:rPr>
      </w:pPr>
      <w:r>
        <w:rPr>
          <w:rFonts w:ascii="Arial" w:hAnsi="Arial" w:cs="Arial"/>
          <w:sz w:val="24"/>
          <w:szCs w:val="24"/>
        </w:rPr>
        <w:t>Importante destacar que</w:t>
      </w:r>
      <w:r w:rsidR="00C74704">
        <w:rPr>
          <w:rFonts w:ascii="Arial" w:hAnsi="Arial" w:cs="Arial"/>
          <w:sz w:val="24"/>
          <w:szCs w:val="24"/>
        </w:rPr>
        <w:t xml:space="preserve"> </w:t>
      </w:r>
      <w:r w:rsidR="00C74704" w:rsidRPr="006B0968">
        <w:rPr>
          <w:rFonts w:ascii="Arial" w:hAnsi="Arial" w:cs="Arial"/>
          <w:b/>
          <w:sz w:val="24"/>
          <w:szCs w:val="24"/>
        </w:rPr>
        <w:t>o RCTE/GO dispensa os requisitos de regularidade fiscal</w:t>
      </w:r>
      <w:r w:rsidR="00F17517" w:rsidRPr="006B0968">
        <w:rPr>
          <w:rFonts w:ascii="Arial" w:hAnsi="Arial" w:cs="Arial"/>
          <w:b/>
          <w:sz w:val="24"/>
          <w:szCs w:val="24"/>
        </w:rPr>
        <w:t xml:space="preserve"> (art. 1º, § 1º, I </w:t>
      </w:r>
      <w:r w:rsidR="00F17517" w:rsidRPr="000E18B1">
        <w:rPr>
          <w:rFonts w:ascii="Arial" w:hAnsi="Arial" w:cs="Arial"/>
          <w:b/>
          <w:sz w:val="24"/>
          <w:szCs w:val="24"/>
        </w:rPr>
        <w:t>e II) para</w:t>
      </w:r>
      <w:r w:rsidR="00892D91" w:rsidRPr="000E18B1">
        <w:rPr>
          <w:rFonts w:ascii="Arial" w:hAnsi="Arial" w:cs="Arial"/>
          <w:b/>
          <w:sz w:val="24"/>
          <w:szCs w:val="24"/>
        </w:rPr>
        <w:t xml:space="preserve"> determinadas hipóteses de redução da base de cálculo e de </w:t>
      </w:r>
      <w:r w:rsidR="003B709C" w:rsidRPr="000E18B1">
        <w:rPr>
          <w:rFonts w:ascii="Arial" w:hAnsi="Arial" w:cs="Arial"/>
          <w:b/>
          <w:sz w:val="24"/>
          <w:szCs w:val="24"/>
        </w:rPr>
        <w:t>crédito outorgado (art. 1º, § 1º-D)</w:t>
      </w:r>
      <w:r w:rsidR="00293FE8">
        <w:rPr>
          <w:rFonts w:ascii="Arial" w:hAnsi="Arial" w:cs="Arial"/>
          <w:sz w:val="24"/>
          <w:szCs w:val="24"/>
        </w:rPr>
        <w:t xml:space="preserve">, como </w:t>
      </w:r>
      <w:r w:rsidR="00DC6DC1">
        <w:rPr>
          <w:rFonts w:ascii="Arial" w:hAnsi="Arial" w:cs="Arial"/>
          <w:sz w:val="24"/>
          <w:szCs w:val="24"/>
        </w:rPr>
        <w:t xml:space="preserve">ocorria até recentemente em relação aos </w:t>
      </w:r>
      <w:bookmarkStart w:id="107" w:name="A11XXXVI"/>
      <w:r w:rsidR="00293FE8" w:rsidRPr="000E18B1">
        <w:rPr>
          <w:rFonts w:ascii="Arial" w:hAnsi="Arial" w:cs="Arial" w:hint="cs"/>
          <w:sz w:val="24"/>
          <w:szCs w:val="24"/>
          <w:u w:val="single"/>
        </w:rPr>
        <w:t>contribuinte</w:t>
      </w:r>
      <w:r w:rsidR="00293FE8" w:rsidRPr="000E18B1">
        <w:rPr>
          <w:rFonts w:ascii="Arial" w:hAnsi="Arial" w:cs="Arial"/>
          <w:sz w:val="24"/>
          <w:szCs w:val="24"/>
          <w:u w:val="single"/>
        </w:rPr>
        <w:t>s</w:t>
      </w:r>
      <w:r w:rsidR="00293FE8" w:rsidRPr="000E18B1">
        <w:rPr>
          <w:rFonts w:ascii="Arial" w:hAnsi="Arial" w:cs="Arial" w:hint="cs"/>
          <w:sz w:val="24"/>
          <w:szCs w:val="24"/>
          <w:u w:val="single"/>
        </w:rPr>
        <w:t xml:space="preserve"> do ICMS que apoia</w:t>
      </w:r>
      <w:r w:rsidR="00CD09A1" w:rsidRPr="000E18B1">
        <w:rPr>
          <w:rFonts w:ascii="Arial" w:hAnsi="Arial" w:cs="Arial"/>
          <w:sz w:val="24"/>
          <w:szCs w:val="24"/>
          <w:u w:val="single"/>
        </w:rPr>
        <w:t>ssem</w:t>
      </w:r>
      <w:r w:rsidR="00293FE8" w:rsidRPr="000E18B1">
        <w:rPr>
          <w:rFonts w:ascii="Arial" w:hAnsi="Arial" w:cs="Arial" w:hint="cs"/>
          <w:sz w:val="24"/>
          <w:szCs w:val="24"/>
          <w:u w:val="single"/>
        </w:rPr>
        <w:t xml:space="preserve"> financeiramente o Fundo de Proteção Social do Estado de Goiás </w:t>
      </w:r>
      <w:r w:rsidR="00293FE8" w:rsidRPr="000E18B1">
        <w:rPr>
          <w:rFonts w:ascii="Arial" w:hAnsi="Arial" w:cs="Arial"/>
          <w:sz w:val="24"/>
          <w:szCs w:val="24"/>
          <w:u w:val="single"/>
        </w:rPr>
        <w:t>–</w:t>
      </w:r>
      <w:r w:rsidR="00293FE8" w:rsidRPr="000E18B1">
        <w:rPr>
          <w:rFonts w:ascii="Arial" w:hAnsi="Arial" w:cs="Arial" w:hint="cs"/>
          <w:sz w:val="24"/>
          <w:szCs w:val="24"/>
          <w:u w:val="single"/>
        </w:rPr>
        <w:t xml:space="preserve"> PROTEGE </w:t>
      </w:r>
      <w:r w:rsidR="00293FE8" w:rsidRPr="0008351C">
        <w:rPr>
          <w:rFonts w:ascii="Arial" w:hAnsi="Arial" w:cs="Arial" w:hint="cs"/>
          <w:sz w:val="24"/>
          <w:szCs w:val="24"/>
          <w:u w:val="single"/>
        </w:rPr>
        <w:t>GOIÁS</w:t>
      </w:r>
      <w:bookmarkEnd w:id="107"/>
      <w:r w:rsidR="00DC6DC1" w:rsidRPr="0008351C">
        <w:rPr>
          <w:rFonts w:ascii="Arial" w:hAnsi="Arial" w:cs="Arial"/>
          <w:sz w:val="24"/>
          <w:szCs w:val="24"/>
          <w:u w:val="single"/>
        </w:rPr>
        <w:t xml:space="preserve">, </w:t>
      </w:r>
      <w:r w:rsidR="00CC03AE" w:rsidRPr="0008351C">
        <w:rPr>
          <w:rFonts w:ascii="Arial" w:hAnsi="Arial" w:cs="Arial"/>
          <w:sz w:val="24"/>
          <w:szCs w:val="24"/>
          <w:u w:val="single"/>
        </w:rPr>
        <w:t>os quais poderiam usufruir de créditos outorgados até os limites fixados no regulamento</w:t>
      </w:r>
      <w:r w:rsidR="00CC03AE">
        <w:rPr>
          <w:rFonts w:ascii="Arial" w:hAnsi="Arial" w:cs="Arial"/>
          <w:sz w:val="24"/>
          <w:szCs w:val="24"/>
        </w:rPr>
        <w:t xml:space="preserve">, atendidas outras </w:t>
      </w:r>
      <w:r w:rsidR="00DC6DC1">
        <w:rPr>
          <w:rFonts w:ascii="Arial" w:hAnsi="Arial" w:cs="Arial"/>
          <w:sz w:val="24"/>
          <w:szCs w:val="24"/>
        </w:rPr>
        <w:t>condições e mediante despacho do titular da então Secretaria de Estado da Fazenda</w:t>
      </w:r>
      <w:r w:rsidR="006B0968">
        <w:rPr>
          <w:rFonts w:ascii="Arial" w:hAnsi="Arial" w:cs="Arial"/>
          <w:sz w:val="24"/>
          <w:szCs w:val="24"/>
        </w:rPr>
        <w:t>,</w:t>
      </w:r>
      <w:r w:rsidR="00DC6DC1">
        <w:rPr>
          <w:rFonts w:ascii="Arial" w:hAnsi="Arial" w:cs="Arial"/>
          <w:sz w:val="24"/>
          <w:szCs w:val="24"/>
        </w:rPr>
        <w:t xml:space="preserve"> caso a caso. </w:t>
      </w:r>
    </w:p>
    <w:p w14:paraId="5CD17E7C" w14:textId="62286AB4" w:rsidR="00C74704" w:rsidRDefault="006B0968" w:rsidP="00C74704">
      <w:pPr>
        <w:spacing w:line="360" w:lineRule="auto"/>
        <w:ind w:firstLine="851"/>
        <w:jc w:val="both"/>
        <w:rPr>
          <w:rFonts w:ascii="Arial" w:hAnsi="Arial" w:cs="Arial"/>
          <w:sz w:val="24"/>
          <w:szCs w:val="24"/>
        </w:rPr>
      </w:pPr>
      <w:r>
        <w:rPr>
          <w:rFonts w:ascii="Arial" w:hAnsi="Arial" w:cs="Arial"/>
          <w:sz w:val="24"/>
          <w:szCs w:val="24"/>
        </w:rPr>
        <w:t xml:space="preserve">Assim, </w:t>
      </w:r>
      <w:r w:rsidRPr="000E18B1">
        <w:rPr>
          <w:rFonts w:ascii="Arial" w:hAnsi="Arial" w:cs="Arial"/>
          <w:sz w:val="24"/>
          <w:szCs w:val="24"/>
          <w:u w:val="single"/>
        </w:rPr>
        <w:t>e</w:t>
      </w:r>
      <w:r w:rsidR="00DC6DC1" w:rsidRPr="000E18B1">
        <w:rPr>
          <w:rFonts w:ascii="Arial" w:hAnsi="Arial" w:cs="Arial"/>
          <w:sz w:val="24"/>
          <w:szCs w:val="24"/>
          <w:u w:val="single"/>
        </w:rPr>
        <w:t>ss</w:t>
      </w:r>
      <w:r w:rsidR="00CC03AE" w:rsidRPr="000E18B1">
        <w:rPr>
          <w:rFonts w:ascii="Arial" w:hAnsi="Arial" w:cs="Arial"/>
          <w:sz w:val="24"/>
          <w:szCs w:val="24"/>
          <w:u w:val="single"/>
        </w:rPr>
        <w:t>e crédito outorgado</w:t>
      </w:r>
      <w:r w:rsidR="00DC6DC1" w:rsidRPr="000E18B1">
        <w:rPr>
          <w:rFonts w:ascii="Arial" w:hAnsi="Arial" w:cs="Arial"/>
          <w:sz w:val="24"/>
          <w:szCs w:val="24"/>
          <w:u w:val="single"/>
        </w:rPr>
        <w:t xml:space="preserve"> vigorou desde 30/09/2003</w:t>
      </w:r>
      <w:r w:rsidR="009A7BF2" w:rsidRPr="000E18B1">
        <w:rPr>
          <w:rFonts w:ascii="Arial" w:hAnsi="Arial" w:cs="Arial"/>
          <w:sz w:val="24"/>
          <w:szCs w:val="24"/>
          <w:u w:val="single"/>
        </w:rPr>
        <w:t xml:space="preserve"> até </w:t>
      </w:r>
      <w:r w:rsidR="00CC03AE" w:rsidRPr="000E18B1">
        <w:rPr>
          <w:rFonts w:ascii="Arial" w:hAnsi="Arial" w:cs="Arial"/>
          <w:sz w:val="24"/>
          <w:szCs w:val="24"/>
          <w:u w:val="single"/>
        </w:rPr>
        <w:t>2018, e as empresas poderiam fazê-lo independentemente de regularidade fiscal</w:t>
      </w:r>
      <w:r w:rsidR="00CC03AE">
        <w:rPr>
          <w:rFonts w:ascii="Arial" w:hAnsi="Arial" w:cs="Arial"/>
          <w:sz w:val="24"/>
          <w:szCs w:val="24"/>
        </w:rPr>
        <w:t xml:space="preserve">, </w:t>
      </w:r>
      <w:r w:rsidR="0008351C">
        <w:rPr>
          <w:rFonts w:ascii="Arial" w:hAnsi="Arial" w:cs="Arial"/>
          <w:sz w:val="24"/>
          <w:szCs w:val="24"/>
        </w:rPr>
        <w:t>quadro</w:t>
      </w:r>
      <w:r w:rsidR="00CC03AE">
        <w:rPr>
          <w:rFonts w:ascii="Arial" w:hAnsi="Arial" w:cs="Arial"/>
          <w:sz w:val="24"/>
          <w:szCs w:val="24"/>
        </w:rPr>
        <w:t xml:space="preserve"> que só veio a ser alterado com a revogação do benefício a partir do exercício de 2019 (Decreto n</w:t>
      </w:r>
      <w:r w:rsidR="00876D3A">
        <w:rPr>
          <w:rFonts w:ascii="Arial" w:hAnsi="Arial" w:cs="Arial"/>
          <w:sz w:val="24"/>
          <w:szCs w:val="24"/>
        </w:rPr>
        <w:t>º 9.369</w:t>
      </w:r>
      <w:r w:rsidR="00CC03AE">
        <w:rPr>
          <w:rFonts w:ascii="Arial" w:hAnsi="Arial" w:cs="Arial"/>
          <w:sz w:val="24"/>
          <w:szCs w:val="24"/>
        </w:rPr>
        <w:t>)</w:t>
      </w:r>
      <w:r w:rsidR="00876D3A">
        <w:rPr>
          <w:rFonts w:ascii="Arial" w:hAnsi="Arial" w:cs="Arial"/>
          <w:sz w:val="24"/>
          <w:szCs w:val="24"/>
        </w:rPr>
        <w:t>.</w:t>
      </w:r>
      <w:r w:rsidR="001D469D">
        <w:rPr>
          <w:rFonts w:ascii="Arial" w:hAnsi="Arial" w:cs="Arial"/>
          <w:sz w:val="24"/>
          <w:szCs w:val="24"/>
        </w:rPr>
        <w:t xml:space="preserve"> Nada impede, porém, que amanhã o Governador decida dispensar novamente o requisito da regularidade fiscal ou mesmo estendê-lo para mais situações.</w:t>
      </w:r>
    </w:p>
    <w:p w14:paraId="67CF1D36" w14:textId="023A906B" w:rsidR="004B464B" w:rsidRDefault="004B464B" w:rsidP="004B464B">
      <w:pPr>
        <w:spacing w:line="360" w:lineRule="auto"/>
        <w:ind w:firstLine="851"/>
        <w:jc w:val="both"/>
        <w:rPr>
          <w:rFonts w:ascii="Arial" w:hAnsi="Arial" w:cs="Arial"/>
          <w:sz w:val="24"/>
          <w:szCs w:val="24"/>
        </w:rPr>
      </w:pPr>
      <w:r w:rsidRPr="001D469D">
        <w:rPr>
          <w:rFonts w:ascii="Arial" w:hAnsi="Arial" w:cs="Arial"/>
          <w:b/>
          <w:sz w:val="24"/>
          <w:szCs w:val="24"/>
        </w:rPr>
        <w:t xml:space="preserve">Essa parte geral do RCTE/GO </w:t>
      </w:r>
      <w:r w:rsidR="000F48D0">
        <w:rPr>
          <w:rFonts w:ascii="Arial" w:hAnsi="Arial" w:cs="Arial"/>
          <w:b/>
          <w:sz w:val="24"/>
          <w:szCs w:val="24"/>
        </w:rPr>
        <w:t>também</w:t>
      </w:r>
      <w:r w:rsidRPr="001D469D">
        <w:rPr>
          <w:rFonts w:ascii="Arial" w:hAnsi="Arial" w:cs="Arial"/>
          <w:b/>
          <w:sz w:val="24"/>
          <w:szCs w:val="24"/>
        </w:rPr>
        <w:t xml:space="preserve"> traz outras disposições específicas</w:t>
      </w:r>
      <w:r w:rsidRPr="00147517">
        <w:rPr>
          <w:rFonts w:ascii="Arial" w:hAnsi="Arial" w:cs="Arial"/>
          <w:sz w:val="24"/>
          <w:szCs w:val="24"/>
        </w:rPr>
        <w:t xml:space="preserve"> </w:t>
      </w:r>
      <w:r>
        <w:rPr>
          <w:rFonts w:ascii="Arial" w:hAnsi="Arial" w:cs="Arial"/>
          <w:sz w:val="24"/>
          <w:szCs w:val="24"/>
        </w:rPr>
        <w:t xml:space="preserve">a serem observadas no tocante a: </w:t>
      </w:r>
      <w:r w:rsidRPr="001D469D">
        <w:rPr>
          <w:rFonts w:ascii="Arial" w:hAnsi="Arial" w:cs="Arial"/>
          <w:sz w:val="24"/>
          <w:szCs w:val="24"/>
          <w:u w:val="single"/>
        </w:rPr>
        <w:t>a) incentivos fiscais condicionados à origem ou ao destino da mercadoria</w:t>
      </w:r>
      <w:r>
        <w:rPr>
          <w:rFonts w:ascii="Arial" w:hAnsi="Arial" w:cs="Arial"/>
          <w:sz w:val="24"/>
          <w:szCs w:val="24"/>
        </w:rPr>
        <w:t xml:space="preserve"> (art. 1º, § 7º); </w:t>
      </w:r>
      <w:r w:rsidRPr="001D469D">
        <w:rPr>
          <w:rFonts w:ascii="Arial" w:hAnsi="Arial" w:cs="Arial"/>
          <w:sz w:val="24"/>
          <w:szCs w:val="24"/>
          <w:u w:val="single"/>
        </w:rPr>
        <w:t>b) incidência ou não de incentivos fiscais nas operações interestaduais sujeitas à alíquota de 4%</w:t>
      </w:r>
      <w:r w:rsidRPr="0038069A">
        <w:rPr>
          <w:rFonts w:ascii="Arial" w:hAnsi="Arial" w:cs="Arial"/>
          <w:sz w:val="24"/>
          <w:szCs w:val="24"/>
        </w:rPr>
        <w:t xml:space="preserve"> (quatro por cento), nos termos da Res</w:t>
      </w:r>
      <w:r>
        <w:rPr>
          <w:rFonts w:ascii="Arial" w:hAnsi="Arial" w:cs="Arial"/>
          <w:sz w:val="24"/>
          <w:szCs w:val="24"/>
        </w:rPr>
        <w:t>olução do Senado Federal nº 13/</w:t>
      </w:r>
      <w:r w:rsidRPr="0038069A">
        <w:rPr>
          <w:rFonts w:ascii="Arial" w:hAnsi="Arial" w:cs="Arial"/>
          <w:sz w:val="24"/>
          <w:szCs w:val="24"/>
        </w:rPr>
        <w:t>2012</w:t>
      </w:r>
      <w:r>
        <w:rPr>
          <w:rFonts w:ascii="Arial" w:hAnsi="Arial" w:cs="Arial"/>
          <w:sz w:val="24"/>
          <w:szCs w:val="24"/>
        </w:rPr>
        <w:t xml:space="preserve"> (art. 1º, § 8º); </w:t>
      </w:r>
      <w:r w:rsidRPr="001D469D">
        <w:rPr>
          <w:rFonts w:ascii="Arial" w:hAnsi="Arial" w:cs="Arial"/>
          <w:sz w:val="24"/>
          <w:szCs w:val="24"/>
          <w:u w:val="single"/>
        </w:rPr>
        <w:t>c) incentivos fiscais condicionados ao repasse, no preço, do valor do ICMS dispensado</w:t>
      </w:r>
      <w:r>
        <w:rPr>
          <w:rFonts w:ascii="Arial" w:hAnsi="Arial" w:cs="Arial"/>
          <w:sz w:val="24"/>
          <w:szCs w:val="24"/>
        </w:rPr>
        <w:t xml:space="preserve"> (art. 1º, § 9º); </w:t>
      </w:r>
      <w:r w:rsidRPr="001D469D">
        <w:rPr>
          <w:rFonts w:ascii="Arial" w:hAnsi="Arial" w:cs="Arial"/>
          <w:sz w:val="24"/>
          <w:szCs w:val="24"/>
          <w:u w:val="single"/>
        </w:rPr>
        <w:t>d) operações de manutenção do crédito</w:t>
      </w:r>
      <w:r w:rsidRPr="00147517">
        <w:rPr>
          <w:rFonts w:ascii="Arial" w:hAnsi="Arial" w:cs="Arial"/>
          <w:sz w:val="24"/>
          <w:szCs w:val="24"/>
        </w:rPr>
        <w:t xml:space="preserve"> (arts. 2º)</w:t>
      </w:r>
      <w:r>
        <w:rPr>
          <w:rFonts w:ascii="Arial" w:hAnsi="Arial" w:cs="Arial"/>
          <w:sz w:val="24"/>
          <w:szCs w:val="24"/>
        </w:rPr>
        <w:t>;</w:t>
      </w:r>
      <w:r w:rsidRPr="00147517">
        <w:rPr>
          <w:rFonts w:ascii="Arial" w:hAnsi="Arial" w:cs="Arial"/>
          <w:sz w:val="24"/>
          <w:szCs w:val="24"/>
        </w:rPr>
        <w:t xml:space="preserve"> </w:t>
      </w:r>
      <w:r w:rsidRPr="001D469D">
        <w:rPr>
          <w:rFonts w:ascii="Arial" w:hAnsi="Arial" w:cs="Arial"/>
          <w:sz w:val="24"/>
          <w:szCs w:val="24"/>
          <w:u w:val="single"/>
        </w:rPr>
        <w:t>e) incentivos fiscais condicionados à comprovação de ausência de produto similar produzido no país</w:t>
      </w:r>
      <w:r w:rsidRPr="00147517">
        <w:rPr>
          <w:rFonts w:ascii="Arial" w:hAnsi="Arial" w:cs="Arial"/>
          <w:sz w:val="24"/>
          <w:szCs w:val="24"/>
        </w:rPr>
        <w:t xml:space="preserve"> (art. 3º)</w:t>
      </w:r>
      <w:r>
        <w:rPr>
          <w:rFonts w:ascii="Arial" w:hAnsi="Arial" w:cs="Arial"/>
          <w:sz w:val="24"/>
          <w:szCs w:val="24"/>
        </w:rPr>
        <w:t xml:space="preserve">; e </w:t>
      </w:r>
      <w:r w:rsidRPr="001D469D">
        <w:rPr>
          <w:rFonts w:ascii="Arial" w:hAnsi="Arial" w:cs="Arial"/>
          <w:sz w:val="24"/>
          <w:szCs w:val="24"/>
          <w:u w:val="single"/>
        </w:rPr>
        <w:t xml:space="preserve">f) opção do </w:t>
      </w:r>
      <w:r w:rsidRPr="001D469D">
        <w:rPr>
          <w:rFonts w:ascii="Arial" w:hAnsi="Arial" w:cs="Arial"/>
          <w:sz w:val="24"/>
          <w:szCs w:val="24"/>
          <w:u w:val="single"/>
        </w:rPr>
        <w:lastRenderedPageBreak/>
        <w:t>contribuinte à utilização de benefício fiscal</w:t>
      </w:r>
      <w:r w:rsidRPr="00147517">
        <w:rPr>
          <w:rFonts w:ascii="Arial" w:hAnsi="Arial" w:cs="Arial"/>
          <w:sz w:val="24"/>
          <w:szCs w:val="24"/>
        </w:rPr>
        <w:t xml:space="preserve"> em substituição ao sistema normal de tributação do ICMS (art. 4º)</w:t>
      </w:r>
      <w:r>
        <w:rPr>
          <w:rFonts w:ascii="Arial" w:hAnsi="Arial" w:cs="Arial"/>
          <w:sz w:val="24"/>
          <w:szCs w:val="24"/>
        </w:rPr>
        <w:t>.</w:t>
      </w:r>
    </w:p>
    <w:p w14:paraId="1576F504" w14:textId="540A3D9C" w:rsidR="00B52BC6" w:rsidRDefault="00B52BC6" w:rsidP="004B464B">
      <w:pPr>
        <w:spacing w:line="360" w:lineRule="auto"/>
        <w:ind w:firstLine="851"/>
        <w:jc w:val="both"/>
        <w:rPr>
          <w:rFonts w:ascii="Arial" w:hAnsi="Arial" w:cs="Arial"/>
          <w:sz w:val="24"/>
          <w:szCs w:val="24"/>
        </w:rPr>
      </w:pPr>
    </w:p>
    <w:p w14:paraId="5E1C59EA" w14:textId="7967ABAD" w:rsidR="00965569" w:rsidRDefault="00B52BC6" w:rsidP="004B464B">
      <w:pPr>
        <w:spacing w:line="360" w:lineRule="auto"/>
        <w:ind w:firstLine="851"/>
        <w:jc w:val="both"/>
        <w:rPr>
          <w:rFonts w:ascii="Arial" w:hAnsi="Arial" w:cs="Arial"/>
          <w:sz w:val="24"/>
          <w:szCs w:val="24"/>
        </w:rPr>
      </w:pPr>
      <w:r w:rsidRPr="00D34B74">
        <w:rPr>
          <w:rFonts w:ascii="Arial" w:hAnsi="Arial" w:cs="Arial"/>
          <w:b/>
          <w:sz w:val="24"/>
          <w:szCs w:val="24"/>
        </w:rPr>
        <w:t>5.3.2.</w:t>
      </w:r>
      <w:r>
        <w:rPr>
          <w:rFonts w:ascii="Arial" w:hAnsi="Arial" w:cs="Arial"/>
          <w:b/>
          <w:sz w:val="24"/>
          <w:szCs w:val="24"/>
        </w:rPr>
        <w:t xml:space="preserve">2. </w:t>
      </w:r>
      <w:r w:rsidR="00965569">
        <w:rPr>
          <w:rFonts w:ascii="Arial" w:hAnsi="Arial" w:cs="Arial"/>
          <w:sz w:val="24"/>
          <w:szCs w:val="24"/>
        </w:rPr>
        <w:t xml:space="preserve">Ressalte-se que, a despeito de sua extensão, </w:t>
      </w:r>
      <w:r w:rsidR="00965569" w:rsidRPr="00B52BC6">
        <w:rPr>
          <w:rFonts w:ascii="Arial" w:hAnsi="Arial" w:cs="Arial"/>
          <w:b/>
          <w:sz w:val="24"/>
          <w:szCs w:val="24"/>
        </w:rPr>
        <w:t xml:space="preserve">a parte geral do RCTE/GO não traz qualquer </w:t>
      </w:r>
      <w:r w:rsidR="00874FCE" w:rsidRPr="00B52BC6">
        <w:rPr>
          <w:rFonts w:ascii="Arial" w:hAnsi="Arial" w:cs="Arial"/>
          <w:b/>
          <w:sz w:val="24"/>
          <w:szCs w:val="24"/>
        </w:rPr>
        <w:t>previsão quanto</w:t>
      </w:r>
      <w:r w:rsidR="00965569" w:rsidRPr="00B52BC6">
        <w:rPr>
          <w:rFonts w:ascii="Arial" w:hAnsi="Arial" w:cs="Arial"/>
          <w:b/>
          <w:sz w:val="24"/>
          <w:szCs w:val="24"/>
        </w:rPr>
        <w:t xml:space="preserve"> às vedações constitucionais</w:t>
      </w:r>
      <w:r w:rsidR="00874FCE" w:rsidRPr="00B52BC6">
        <w:rPr>
          <w:rFonts w:ascii="Arial" w:hAnsi="Arial" w:cs="Arial"/>
          <w:b/>
          <w:sz w:val="24"/>
          <w:szCs w:val="24"/>
        </w:rPr>
        <w:t xml:space="preserve"> em matéria de incentivos fiscais</w:t>
      </w:r>
      <w:r w:rsidR="00874FCE">
        <w:rPr>
          <w:rFonts w:ascii="Arial" w:hAnsi="Arial" w:cs="Arial"/>
          <w:sz w:val="24"/>
          <w:szCs w:val="24"/>
        </w:rPr>
        <w:t xml:space="preserve">, </w:t>
      </w:r>
      <w:r w:rsidR="00F528B7">
        <w:rPr>
          <w:rFonts w:ascii="Arial" w:hAnsi="Arial" w:cs="Arial"/>
          <w:sz w:val="24"/>
          <w:szCs w:val="24"/>
        </w:rPr>
        <w:t xml:space="preserve">como a proibição de concedê-los </w:t>
      </w:r>
      <w:r w:rsidR="00965569">
        <w:rPr>
          <w:rFonts w:ascii="Arial" w:hAnsi="Arial" w:cs="Arial"/>
          <w:sz w:val="24"/>
          <w:szCs w:val="24"/>
        </w:rPr>
        <w:t xml:space="preserve">a empresas que cometam infrações ambientais </w:t>
      </w:r>
      <w:r w:rsidR="00C04527">
        <w:rPr>
          <w:rFonts w:ascii="Arial" w:hAnsi="Arial" w:cs="Arial"/>
          <w:sz w:val="24"/>
          <w:szCs w:val="24"/>
        </w:rPr>
        <w:t>(CE/GO, art. 132, § 4º) ou àquelas em relação às quais for comprovada qualquer forma de discriminação contra o trabalhador (CE/GO, art. 136, § 2º)</w:t>
      </w:r>
      <w:r w:rsidR="00D46AEA">
        <w:rPr>
          <w:rFonts w:ascii="Arial" w:hAnsi="Arial" w:cs="Arial"/>
          <w:sz w:val="24"/>
          <w:szCs w:val="24"/>
        </w:rPr>
        <w:t>. Tendo em vista que, a despeito da imposição constitucional, o RCTE/GO se revela completamente omisso a respeito, é de se presumir que</w:t>
      </w:r>
      <w:r w:rsidR="00C16A41">
        <w:rPr>
          <w:rFonts w:ascii="Arial" w:hAnsi="Arial" w:cs="Arial"/>
          <w:sz w:val="24"/>
          <w:szCs w:val="24"/>
        </w:rPr>
        <w:t xml:space="preserve"> </w:t>
      </w:r>
      <w:r w:rsidR="00D46AEA">
        <w:rPr>
          <w:rFonts w:ascii="Arial" w:hAnsi="Arial" w:cs="Arial"/>
          <w:sz w:val="24"/>
          <w:szCs w:val="24"/>
        </w:rPr>
        <w:t>não</w:t>
      </w:r>
      <w:r w:rsidR="00C16A41">
        <w:rPr>
          <w:rFonts w:ascii="Arial" w:hAnsi="Arial" w:cs="Arial"/>
          <w:sz w:val="24"/>
          <w:szCs w:val="24"/>
        </w:rPr>
        <w:t xml:space="preserve"> tenha havido qualquer </w:t>
      </w:r>
      <w:r w:rsidR="00D46AEA">
        <w:rPr>
          <w:rFonts w:ascii="Arial" w:hAnsi="Arial" w:cs="Arial"/>
          <w:sz w:val="24"/>
          <w:szCs w:val="24"/>
        </w:rPr>
        <w:t>tipo de fiscalização em relação a esses aspectos</w:t>
      </w:r>
      <w:r w:rsidR="004E38EC">
        <w:rPr>
          <w:rFonts w:ascii="Arial" w:hAnsi="Arial" w:cs="Arial"/>
          <w:sz w:val="24"/>
          <w:szCs w:val="24"/>
        </w:rPr>
        <w:t xml:space="preserve">, o que se demonstrará </w:t>
      </w:r>
      <w:r>
        <w:rPr>
          <w:rFonts w:ascii="Arial" w:hAnsi="Arial" w:cs="Arial"/>
          <w:sz w:val="24"/>
          <w:szCs w:val="24"/>
        </w:rPr>
        <w:t>melhor</w:t>
      </w:r>
      <w:r w:rsidR="004E38EC">
        <w:rPr>
          <w:rFonts w:ascii="Arial" w:hAnsi="Arial" w:cs="Arial"/>
          <w:sz w:val="24"/>
          <w:szCs w:val="24"/>
        </w:rPr>
        <w:t xml:space="preserve"> </w:t>
      </w:r>
      <w:r w:rsidR="000228DC">
        <w:rPr>
          <w:rFonts w:ascii="Arial" w:hAnsi="Arial" w:cs="Arial"/>
          <w:sz w:val="24"/>
          <w:szCs w:val="24"/>
        </w:rPr>
        <w:t>no</w:t>
      </w:r>
      <w:r w:rsidR="004E38EC">
        <w:rPr>
          <w:rFonts w:ascii="Arial" w:hAnsi="Arial" w:cs="Arial"/>
          <w:sz w:val="24"/>
          <w:szCs w:val="24"/>
        </w:rPr>
        <w:t xml:space="preserve"> </w:t>
      </w:r>
      <w:r w:rsidR="000228DC">
        <w:rPr>
          <w:rFonts w:ascii="Arial" w:hAnsi="Arial" w:cs="Arial"/>
          <w:sz w:val="24"/>
          <w:szCs w:val="24"/>
        </w:rPr>
        <w:t xml:space="preserve">Capítulo 8 </w:t>
      </w:r>
      <w:r w:rsidR="004E38EC">
        <w:rPr>
          <w:rFonts w:ascii="Arial" w:hAnsi="Arial" w:cs="Arial"/>
          <w:sz w:val="24"/>
          <w:szCs w:val="24"/>
        </w:rPr>
        <w:t>deste relatório</w:t>
      </w:r>
      <w:r w:rsidR="00C16A41">
        <w:rPr>
          <w:rFonts w:ascii="Arial" w:hAnsi="Arial" w:cs="Arial"/>
          <w:sz w:val="24"/>
          <w:szCs w:val="24"/>
        </w:rPr>
        <w:t>.</w:t>
      </w:r>
    </w:p>
    <w:p w14:paraId="43471A7D" w14:textId="64679A1D" w:rsidR="00C60AF1" w:rsidRDefault="00C60AF1" w:rsidP="004B464B">
      <w:pPr>
        <w:spacing w:line="360" w:lineRule="auto"/>
        <w:ind w:firstLine="851"/>
        <w:jc w:val="both"/>
        <w:rPr>
          <w:rFonts w:ascii="Arial" w:hAnsi="Arial" w:cs="Arial"/>
          <w:sz w:val="24"/>
          <w:szCs w:val="24"/>
        </w:rPr>
      </w:pPr>
      <w:r w:rsidRPr="00B52BC6">
        <w:rPr>
          <w:rFonts w:ascii="Arial" w:hAnsi="Arial" w:cs="Arial"/>
          <w:b/>
          <w:sz w:val="24"/>
          <w:szCs w:val="24"/>
        </w:rPr>
        <w:t xml:space="preserve">Outra </w:t>
      </w:r>
      <w:r w:rsidR="002F0DED" w:rsidRPr="00B52BC6">
        <w:rPr>
          <w:rFonts w:ascii="Arial" w:hAnsi="Arial" w:cs="Arial"/>
          <w:b/>
          <w:sz w:val="24"/>
          <w:szCs w:val="24"/>
        </w:rPr>
        <w:t>omissão</w:t>
      </w:r>
      <w:r w:rsidRPr="00B52BC6">
        <w:rPr>
          <w:rFonts w:ascii="Arial" w:hAnsi="Arial" w:cs="Arial"/>
          <w:b/>
          <w:sz w:val="24"/>
          <w:szCs w:val="24"/>
        </w:rPr>
        <w:t xml:space="preserve"> do RCTE/GO consiste na exigência de regularidade perante a seguridade social apenas de empresas sujeitas a regime especial (art. 5º, II)</w:t>
      </w:r>
      <w:r w:rsidR="00725E94">
        <w:rPr>
          <w:rFonts w:ascii="Arial" w:hAnsi="Arial" w:cs="Arial"/>
          <w:b/>
          <w:sz w:val="24"/>
          <w:szCs w:val="24"/>
        </w:rPr>
        <w:t xml:space="preserve"> e no momento da celebração do </w:t>
      </w:r>
      <w:r w:rsidR="00725E94" w:rsidRPr="00725E94">
        <w:rPr>
          <w:rFonts w:ascii="Arial" w:hAnsi="Arial" w:cs="Arial"/>
          <w:b/>
          <w:sz w:val="24"/>
          <w:szCs w:val="24"/>
        </w:rPr>
        <w:t>respectivo</w:t>
      </w:r>
      <w:r w:rsidR="00725E94">
        <w:rPr>
          <w:rFonts w:ascii="Arial" w:hAnsi="Arial" w:cs="Arial"/>
          <w:b/>
          <w:sz w:val="24"/>
          <w:szCs w:val="24"/>
        </w:rPr>
        <w:t xml:space="preserve"> TARE</w:t>
      </w:r>
      <w:r w:rsidR="00A441B0">
        <w:rPr>
          <w:rFonts w:ascii="Arial" w:hAnsi="Arial" w:cs="Arial"/>
          <w:sz w:val="24"/>
          <w:szCs w:val="24"/>
        </w:rPr>
        <w:t xml:space="preserve"> com a Secretaria de Estado da Fazenda (hoje, Economia), ao passo que o art. 195, § </w:t>
      </w:r>
      <w:r w:rsidR="002F0DED">
        <w:rPr>
          <w:rFonts w:ascii="Arial" w:hAnsi="Arial" w:cs="Arial"/>
          <w:sz w:val="24"/>
          <w:szCs w:val="24"/>
        </w:rPr>
        <w:t>3</w:t>
      </w:r>
      <w:r w:rsidR="00A441B0">
        <w:rPr>
          <w:rFonts w:ascii="Arial" w:hAnsi="Arial" w:cs="Arial"/>
          <w:sz w:val="24"/>
          <w:szCs w:val="24"/>
        </w:rPr>
        <w:t xml:space="preserve">º, da CRFB revela-se </w:t>
      </w:r>
      <w:r w:rsidR="002F0DED">
        <w:rPr>
          <w:rFonts w:ascii="Arial" w:hAnsi="Arial" w:cs="Arial"/>
          <w:sz w:val="24"/>
          <w:szCs w:val="24"/>
        </w:rPr>
        <w:t>bastante</w:t>
      </w:r>
      <w:r w:rsidR="00A441B0">
        <w:rPr>
          <w:rFonts w:ascii="Arial" w:hAnsi="Arial" w:cs="Arial"/>
          <w:sz w:val="24"/>
          <w:szCs w:val="24"/>
        </w:rPr>
        <w:t xml:space="preserve"> claro</w:t>
      </w:r>
      <w:r w:rsidR="00FD2F42">
        <w:rPr>
          <w:rFonts w:ascii="Arial" w:hAnsi="Arial" w:cs="Arial"/>
          <w:sz w:val="24"/>
          <w:szCs w:val="24"/>
        </w:rPr>
        <w:t xml:space="preserve"> em vedar </w:t>
      </w:r>
      <w:r w:rsidR="002F0DED">
        <w:rPr>
          <w:rFonts w:ascii="Arial" w:hAnsi="Arial" w:cs="Arial"/>
          <w:sz w:val="24"/>
          <w:szCs w:val="24"/>
        </w:rPr>
        <w:t>a concessão de incentivos fiscais – e também creditícios – a qualquer</w:t>
      </w:r>
      <w:r w:rsidR="002F0DED" w:rsidRPr="002F0DED">
        <w:rPr>
          <w:rFonts w:ascii="Arial" w:hAnsi="Arial" w:cs="Arial"/>
          <w:sz w:val="24"/>
          <w:szCs w:val="24"/>
        </w:rPr>
        <w:t xml:space="preserve"> pessoa jurídica em débito com o sistema da seguridade social</w:t>
      </w:r>
      <w:r w:rsidR="002F0DED">
        <w:rPr>
          <w:rFonts w:ascii="Arial" w:hAnsi="Arial" w:cs="Arial"/>
          <w:sz w:val="24"/>
          <w:szCs w:val="24"/>
        </w:rPr>
        <w:t>.</w:t>
      </w:r>
    </w:p>
    <w:p w14:paraId="3E23513E" w14:textId="77777777" w:rsidR="00B52BC6" w:rsidRDefault="00B52BC6" w:rsidP="00713208">
      <w:pPr>
        <w:spacing w:line="360" w:lineRule="auto"/>
        <w:ind w:firstLine="851"/>
        <w:jc w:val="both"/>
        <w:rPr>
          <w:rFonts w:ascii="Arial" w:hAnsi="Arial" w:cs="Arial"/>
          <w:sz w:val="24"/>
          <w:szCs w:val="24"/>
        </w:rPr>
      </w:pPr>
    </w:p>
    <w:p w14:paraId="592F367A" w14:textId="4D65FA7A" w:rsidR="00765BCB" w:rsidRDefault="00B52BC6" w:rsidP="00713208">
      <w:pPr>
        <w:spacing w:line="360" w:lineRule="auto"/>
        <w:ind w:firstLine="851"/>
        <w:jc w:val="both"/>
        <w:rPr>
          <w:rFonts w:ascii="Arial" w:hAnsi="Arial" w:cs="Arial"/>
          <w:sz w:val="24"/>
          <w:szCs w:val="24"/>
        </w:rPr>
      </w:pPr>
      <w:r w:rsidRPr="00D34B74">
        <w:rPr>
          <w:rFonts w:ascii="Arial" w:hAnsi="Arial" w:cs="Arial"/>
          <w:b/>
          <w:sz w:val="24"/>
          <w:szCs w:val="24"/>
        </w:rPr>
        <w:t>5.3.2.</w:t>
      </w:r>
      <w:r>
        <w:rPr>
          <w:rFonts w:ascii="Arial" w:hAnsi="Arial" w:cs="Arial"/>
          <w:b/>
          <w:sz w:val="24"/>
          <w:szCs w:val="24"/>
        </w:rPr>
        <w:t xml:space="preserve">3. </w:t>
      </w:r>
      <w:r w:rsidR="004C20E6">
        <w:rPr>
          <w:rFonts w:ascii="Arial" w:hAnsi="Arial" w:cs="Arial"/>
          <w:sz w:val="24"/>
          <w:szCs w:val="24"/>
        </w:rPr>
        <w:t>Portanto, compreendidos os principais critérios previstos na parte geral do RCTE/GO (arts. 1º a 5º) para concessão de incentivos fiscais no Estado de Goiás, percebe-se claramente</w:t>
      </w:r>
      <w:r w:rsidR="00D34B74">
        <w:rPr>
          <w:rFonts w:ascii="Arial" w:hAnsi="Arial" w:cs="Arial"/>
          <w:sz w:val="24"/>
          <w:szCs w:val="24"/>
        </w:rPr>
        <w:t xml:space="preserve"> o </w:t>
      </w:r>
      <w:r w:rsidR="00D34B74" w:rsidRPr="0010620D">
        <w:rPr>
          <w:rFonts w:ascii="Arial" w:hAnsi="Arial" w:cs="Arial"/>
          <w:b/>
          <w:sz w:val="24"/>
          <w:szCs w:val="24"/>
        </w:rPr>
        <w:t>grande espaço existente para o regulamento</w:t>
      </w:r>
      <w:r w:rsidR="003E278D">
        <w:rPr>
          <w:rFonts w:ascii="Arial" w:hAnsi="Arial" w:cs="Arial"/>
          <w:sz w:val="24"/>
          <w:szCs w:val="24"/>
        </w:rPr>
        <w:t xml:space="preserve">, a disciplinar questões de suma importância como </w:t>
      </w:r>
      <w:r w:rsidR="003E278D" w:rsidRPr="00AB25D5">
        <w:rPr>
          <w:rFonts w:ascii="Arial" w:hAnsi="Arial" w:cs="Arial"/>
          <w:sz w:val="24"/>
          <w:szCs w:val="24"/>
          <w:u w:val="single"/>
        </w:rPr>
        <w:t>requisitos para fruição de incentivos fiscais</w:t>
      </w:r>
      <w:r w:rsidR="003E278D">
        <w:rPr>
          <w:rFonts w:ascii="Arial" w:hAnsi="Arial" w:cs="Arial"/>
          <w:sz w:val="24"/>
          <w:szCs w:val="24"/>
        </w:rPr>
        <w:t xml:space="preserve"> e, inclusive, </w:t>
      </w:r>
      <w:r w:rsidR="003E278D" w:rsidRPr="00AB25D5">
        <w:rPr>
          <w:rFonts w:ascii="Arial" w:hAnsi="Arial" w:cs="Arial"/>
          <w:sz w:val="24"/>
          <w:szCs w:val="24"/>
          <w:u w:val="single"/>
        </w:rPr>
        <w:t>possibilidade de cumulação destes pelo mesmo contribuinte</w:t>
      </w:r>
      <w:r w:rsidR="003E278D">
        <w:rPr>
          <w:rFonts w:ascii="Arial" w:hAnsi="Arial" w:cs="Arial"/>
          <w:sz w:val="24"/>
          <w:szCs w:val="24"/>
        </w:rPr>
        <w:t>, além do</w:t>
      </w:r>
      <w:r w:rsidR="00D34B74">
        <w:rPr>
          <w:rFonts w:ascii="Arial" w:hAnsi="Arial" w:cs="Arial"/>
          <w:sz w:val="24"/>
          <w:szCs w:val="24"/>
        </w:rPr>
        <w:t xml:space="preserve"> completo </w:t>
      </w:r>
      <w:r w:rsidR="00D34B74" w:rsidRPr="00AB25D5">
        <w:rPr>
          <w:rFonts w:ascii="Arial" w:hAnsi="Arial" w:cs="Arial"/>
          <w:b/>
          <w:sz w:val="24"/>
          <w:szCs w:val="24"/>
        </w:rPr>
        <w:t>desprezo pelos requisitos constitucionais</w:t>
      </w:r>
      <w:r w:rsidR="00D34B74">
        <w:rPr>
          <w:rFonts w:ascii="Arial" w:hAnsi="Arial" w:cs="Arial"/>
          <w:sz w:val="24"/>
          <w:szCs w:val="24"/>
        </w:rPr>
        <w:t xml:space="preserve"> impostos nessa matéria (CRFB, art. 195, § 3º; CE/GO, arts. 132, § 4º e 136, § 2º)</w:t>
      </w:r>
      <w:r w:rsidR="009E4843">
        <w:rPr>
          <w:rFonts w:ascii="Arial" w:hAnsi="Arial" w:cs="Arial"/>
          <w:sz w:val="24"/>
          <w:szCs w:val="24"/>
        </w:rPr>
        <w:t>.</w:t>
      </w:r>
    </w:p>
    <w:p w14:paraId="7F457A48" w14:textId="77777777" w:rsidR="004C20E6" w:rsidRDefault="004C20E6" w:rsidP="00713208">
      <w:pPr>
        <w:spacing w:line="360" w:lineRule="auto"/>
        <w:ind w:firstLine="851"/>
        <w:jc w:val="both"/>
        <w:rPr>
          <w:rFonts w:ascii="Arial" w:hAnsi="Arial" w:cs="Arial"/>
          <w:sz w:val="24"/>
          <w:szCs w:val="24"/>
        </w:rPr>
      </w:pPr>
    </w:p>
    <w:p w14:paraId="4B34F998" w14:textId="77777777" w:rsidR="00450E64" w:rsidRDefault="00450E64" w:rsidP="00713208">
      <w:pPr>
        <w:spacing w:line="360" w:lineRule="auto"/>
        <w:ind w:firstLine="851"/>
        <w:jc w:val="both"/>
        <w:rPr>
          <w:rFonts w:ascii="Arial" w:hAnsi="Arial" w:cs="Arial"/>
          <w:b/>
          <w:sz w:val="24"/>
          <w:szCs w:val="24"/>
          <w:u w:val="single"/>
        </w:rPr>
      </w:pPr>
    </w:p>
    <w:p w14:paraId="2307203D" w14:textId="77777777" w:rsidR="00450E64" w:rsidRDefault="00450E64" w:rsidP="00713208">
      <w:pPr>
        <w:spacing w:line="360" w:lineRule="auto"/>
        <w:ind w:firstLine="851"/>
        <w:jc w:val="both"/>
        <w:rPr>
          <w:rFonts w:ascii="Arial" w:hAnsi="Arial" w:cs="Arial"/>
          <w:b/>
          <w:sz w:val="24"/>
          <w:szCs w:val="24"/>
          <w:u w:val="single"/>
        </w:rPr>
      </w:pPr>
    </w:p>
    <w:p w14:paraId="28DEDD13" w14:textId="77777777" w:rsidR="00450E64" w:rsidRDefault="00450E64" w:rsidP="00713208">
      <w:pPr>
        <w:spacing w:line="360" w:lineRule="auto"/>
        <w:ind w:firstLine="851"/>
        <w:jc w:val="both"/>
        <w:rPr>
          <w:rFonts w:ascii="Arial" w:hAnsi="Arial" w:cs="Arial"/>
          <w:b/>
          <w:sz w:val="24"/>
          <w:szCs w:val="24"/>
          <w:u w:val="single"/>
        </w:rPr>
      </w:pPr>
    </w:p>
    <w:p w14:paraId="019096C1" w14:textId="77777777" w:rsidR="00450E64" w:rsidRDefault="00450E64" w:rsidP="00713208">
      <w:pPr>
        <w:spacing w:line="360" w:lineRule="auto"/>
        <w:ind w:firstLine="851"/>
        <w:jc w:val="both"/>
        <w:rPr>
          <w:rFonts w:ascii="Arial" w:hAnsi="Arial" w:cs="Arial"/>
          <w:b/>
          <w:sz w:val="24"/>
          <w:szCs w:val="24"/>
          <w:u w:val="single"/>
        </w:rPr>
      </w:pPr>
    </w:p>
    <w:p w14:paraId="0F0DC0FC" w14:textId="58DBC139" w:rsidR="00765BCB" w:rsidRPr="00765BCB" w:rsidRDefault="00765BCB" w:rsidP="00713208">
      <w:pPr>
        <w:spacing w:line="360" w:lineRule="auto"/>
        <w:ind w:firstLine="851"/>
        <w:jc w:val="both"/>
        <w:rPr>
          <w:rFonts w:ascii="Arial" w:hAnsi="Arial" w:cs="Arial"/>
          <w:b/>
          <w:sz w:val="24"/>
          <w:szCs w:val="24"/>
          <w:u w:val="single"/>
        </w:rPr>
      </w:pPr>
      <w:r w:rsidRPr="00765BCB">
        <w:rPr>
          <w:rFonts w:ascii="Arial" w:hAnsi="Arial" w:cs="Arial"/>
          <w:b/>
          <w:sz w:val="24"/>
          <w:szCs w:val="24"/>
          <w:u w:val="single"/>
        </w:rPr>
        <w:lastRenderedPageBreak/>
        <w:t>5.3.</w:t>
      </w:r>
      <w:r w:rsidR="00747098">
        <w:rPr>
          <w:rFonts w:ascii="Arial" w:hAnsi="Arial" w:cs="Arial"/>
          <w:b/>
          <w:sz w:val="24"/>
          <w:szCs w:val="24"/>
          <w:u w:val="single"/>
        </w:rPr>
        <w:t>3</w:t>
      </w:r>
      <w:r w:rsidRPr="00765BCB">
        <w:rPr>
          <w:rFonts w:ascii="Arial" w:hAnsi="Arial" w:cs="Arial"/>
          <w:b/>
          <w:sz w:val="24"/>
          <w:szCs w:val="24"/>
          <w:u w:val="single"/>
        </w:rPr>
        <w:t xml:space="preserve"> – Exemplos que ilustram a dinâmica de concessão de incentivos fiscais no Estado de Goiás</w:t>
      </w:r>
    </w:p>
    <w:p w14:paraId="36660741" w14:textId="77777777" w:rsidR="00765BCB" w:rsidRDefault="00765BCB" w:rsidP="00713208">
      <w:pPr>
        <w:spacing w:line="360" w:lineRule="auto"/>
        <w:ind w:firstLine="851"/>
        <w:jc w:val="both"/>
        <w:rPr>
          <w:rFonts w:ascii="Arial" w:hAnsi="Arial" w:cs="Arial"/>
          <w:sz w:val="24"/>
          <w:szCs w:val="24"/>
        </w:rPr>
      </w:pPr>
    </w:p>
    <w:p w14:paraId="500651C3" w14:textId="2C8244FB" w:rsidR="00FA316C" w:rsidRDefault="00ED6A2F" w:rsidP="00713208">
      <w:pPr>
        <w:spacing w:line="360" w:lineRule="auto"/>
        <w:ind w:firstLine="851"/>
        <w:jc w:val="both"/>
        <w:rPr>
          <w:rFonts w:ascii="Arial" w:hAnsi="Arial" w:cs="Arial"/>
          <w:sz w:val="24"/>
          <w:szCs w:val="24"/>
        </w:rPr>
      </w:pPr>
      <w:r>
        <w:rPr>
          <w:rFonts w:ascii="Arial" w:hAnsi="Arial" w:cs="Arial"/>
          <w:b/>
          <w:sz w:val="24"/>
          <w:szCs w:val="24"/>
        </w:rPr>
        <w:t>5.3.2.1.</w:t>
      </w:r>
      <w:r>
        <w:rPr>
          <w:rFonts w:ascii="Arial" w:hAnsi="Arial" w:cs="Arial"/>
          <w:sz w:val="24"/>
          <w:szCs w:val="24"/>
        </w:rPr>
        <w:t xml:space="preserve"> </w:t>
      </w:r>
      <w:r w:rsidR="003F5918">
        <w:rPr>
          <w:rFonts w:ascii="Arial" w:hAnsi="Arial" w:cs="Arial"/>
          <w:sz w:val="24"/>
          <w:szCs w:val="24"/>
        </w:rPr>
        <w:t>Cite</w:t>
      </w:r>
      <w:r w:rsidR="00735081">
        <w:rPr>
          <w:rFonts w:ascii="Arial" w:hAnsi="Arial" w:cs="Arial"/>
          <w:sz w:val="24"/>
          <w:szCs w:val="24"/>
        </w:rPr>
        <w:t>m</w:t>
      </w:r>
      <w:r w:rsidR="003F5918">
        <w:rPr>
          <w:rFonts w:ascii="Arial" w:hAnsi="Arial" w:cs="Arial"/>
          <w:sz w:val="24"/>
          <w:szCs w:val="24"/>
        </w:rPr>
        <w:t xml:space="preserve">-se, como exemplo, </w:t>
      </w:r>
      <w:r w:rsidR="00735081">
        <w:rPr>
          <w:rFonts w:ascii="Arial" w:hAnsi="Arial" w:cs="Arial"/>
          <w:sz w:val="24"/>
          <w:szCs w:val="24"/>
        </w:rPr>
        <w:t>os seguintes excertos da</w:t>
      </w:r>
      <w:r w:rsidR="000A0099">
        <w:rPr>
          <w:rFonts w:ascii="Arial" w:hAnsi="Arial" w:cs="Arial"/>
          <w:sz w:val="24"/>
          <w:szCs w:val="24"/>
        </w:rPr>
        <w:t xml:space="preserve"> </w:t>
      </w:r>
      <w:r w:rsidR="000A0099" w:rsidRPr="00055052">
        <w:rPr>
          <w:rFonts w:ascii="Arial" w:hAnsi="Arial" w:cs="Arial"/>
          <w:b/>
          <w:sz w:val="24"/>
          <w:szCs w:val="24"/>
          <w:u w:val="single"/>
        </w:rPr>
        <w:t xml:space="preserve">Lei </w:t>
      </w:r>
      <w:r w:rsidR="004C2065" w:rsidRPr="00055052">
        <w:rPr>
          <w:rFonts w:ascii="Arial" w:hAnsi="Arial" w:cs="Arial"/>
          <w:b/>
          <w:sz w:val="24"/>
          <w:szCs w:val="24"/>
          <w:u w:val="single"/>
        </w:rPr>
        <w:t xml:space="preserve">nº </w:t>
      </w:r>
      <w:r w:rsidR="008C671A" w:rsidRPr="00055052">
        <w:rPr>
          <w:rFonts w:ascii="Arial" w:hAnsi="Arial" w:cs="Arial"/>
          <w:b/>
          <w:sz w:val="24"/>
          <w:szCs w:val="24"/>
          <w:u w:val="single"/>
        </w:rPr>
        <w:t>13.453/1999</w:t>
      </w:r>
      <w:r w:rsidR="008C671A">
        <w:rPr>
          <w:rFonts w:ascii="Arial" w:hAnsi="Arial" w:cs="Arial"/>
          <w:sz w:val="24"/>
          <w:szCs w:val="24"/>
        </w:rPr>
        <w:t xml:space="preserve">, que traz diversas hipóteses de crédito outorgado e </w:t>
      </w:r>
      <w:r w:rsidR="008C671A" w:rsidRPr="008C671A">
        <w:rPr>
          <w:rFonts w:ascii="Arial" w:hAnsi="Arial" w:cs="Arial"/>
          <w:sz w:val="24"/>
          <w:szCs w:val="24"/>
        </w:rPr>
        <w:t>de redu</w:t>
      </w:r>
      <w:r w:rsidR="008C671A">
        <w:rPr>
          <w:rFonts w:ascii="Arial" w:hAnsi="Arial" w:cs="Arial"/>
          <w:sz w:val="24"/>
          <w:szCs w:val="24"/>
        </w:rPr>
        <w:t>ção da base de cálculo do ICMS:</w:t>
      </w:r>
    </w:p>
    <w:p w14:paraId="061955F9" w14:textId="77777777" w:rsidR="008C671A" w:rsidRDefault="008C671A" w:rsidP="00713208">
      <w:pPr>
        <w:spacing w:line="360" w:lineRule="auto"/>
        <w:ind w:firstLine="851"/>
        <w:jc w:val="both"/>
        <w:rPr>
          <w:rFonts w:ascii="Arial" w:hAnsi="Arial" w:cs="Arial"/>
          <w:sz w:val="24"/>
          <w:szCs w:val="24"/>
        </w:rPr>
      </w:pPr>
    </w:p>
    <w:p w14:paraId="32E061DE" w14:textId="77777777" w:rsidR="003F5918" w:rsidRPr="00AC6B28" w:rsidRDefault="003F5918" w:rsidP="00DC688C">
      <w:pPr>
        <w:ind w:left="2268"/>
        <w:jc w:val="both"/>
        <w:rPr>
          <w:rFonts w:ascii="Arial" w:hAnsi="Arial" w:cs="Arial"/>
          <w:b/>
          <w:sz w:val="22"/>
          <w:szCs w:val="22"/>
        </w:rPr>
      </w:pPr>
      <w:r w:rsidRPr="00AC6B28">
        <w:rPr>
          <w:rFonts w:ascii="Arial" w:hAnsi="Arial" w:cs="Arial"/>
          <w:b/>
          <w:sz w:val="22"/>
          <w:szCs w:val="22"/>
        </w:rPr>
        <w:t>Art. 1º Fica o Chefe do Poder Executivo autorizado, na forma, limites e condições que estabelecer, a conceder, progressivamente:</w:t>
      </w:r>
    </w:p>
    <w:p w14:paraId="65174648" w14:textId="77777777" w:rsidR="003F5918" w:rsidRPr="003F5918" w:rsidRDefault="003F5918" w:rsidP="00DC688C">
      <w:pPr>
        <w:ind w:left="2268"/>
        <w:jc w:val="both"/>
        <w:rPr>
          <w:rFonts w:ascii="Arial" w:hAnsi="Arial" w:cs="Arial"/>
          <w:sz w:val="22"/>
          <w:szCs w:val="22"/>
        </w:rPr>
      </w:pPr>
      <w:r w:rsidRPr="00AC6B28">
        <w:rPr>
          <w:rFonts w:ascii="Arial" w:hAnsi="Arial" w:cs="Arial"/>
          <w:b/>
          <w:sz w:val="22"/>
          <w:szCs w:val="22"/>
        </w:rPr>
        <w:t>I - crédito outorgado do ICMS equivalente à aplicação de até</w:t>
      </w:r>
      <w:r w:rsidRPr="003F5918">
        <w:rPr>
          <w:rFonts w:ascii="Arial" w:hAnsi="Arial" w:cs="Arial"/>
          <w:sz w:val="22"/>
          <w:szCs w:val="22"/>
        </w:rPr>
        <w:t>:</w:t>
      </w:r>
    </w:p>
    <w:p w14:paraId="48F020AE" w14:textId="6D1A29C6" w:rsidR="003F5918" w:rsidRDefault="003F5918" w:rsidP="00DC688C">
      <w:pPr>
        <w:ind w:left="2268"/>
        <w:jc w:val="both"/>
        <w:rPr>
          <w:rFonts w:ascii="Arial" w:hAnsi="Arial" w:cs="Arial"/>
          <w:sz w:val="22"/>
          <w:szCs w:val="22"/>
        </w:rPr>
      </w:pPr>
      <w:r w:rsidRPr="003F5918">
        <w:rPr>
          <w:rFonts w:ascii="Arial" w:hAnsi="Arial" w:cs="Arial"/>
          <w:sz w:val="22"/>
          <w:szCs w:val="22"/>
        </w:rPr>
        <w:t>a) 5% (cinco por cento) sobre o valor da base de cálculo correspondente à:</w:t>
      </w:r>
    </w:p>
    <w:p w14:paraId="1FC171E4" w14:textId="199CA6F3" w:rsidR="003F5918" w:rsidRDefault="003F5918" w:rsidP="00DC688C">
      <w:pPr>
        <w:ind w:left="2268"/>
        <w:jc w:val="both"/>
        <w:rPr>
          <w:rFonts w:ascii="Arial" w:hAnsi="Arial" w:cs="Arial"/>
          <w:sz w:val="22"/>
          <w:szCs w:val="22"/>
        </w:rPr>
      </w:pPr>
      <w:r>
        <w:rPr>
          <w:rFonts w:ascii="Arial" w:hAnsi="Arial" w:cs="Arial"/>
          <w:sz w:val="22"/>
          <w:szCs w:val="22"/>
        </w:rPr>
        <w:t>1. (revogado)</w:t>
      </w:r>
    </w:p>
    <w:p w14:paraId="29BD6A55" w14:textId="6CD96ED9" w:rsidR="003F5918" w:rsidRDefault="003F5918" w:rsidP="00DC688C">
      <w:pPr>
        <w:ind w:left="2268"/>
        <w:jc w:val="both"/>
        <w:rPr>
          <w:rFonts w:ascii="Arial" w:hAnsi="Arial" w:cs="Arial"/>
          <w:sz w:val="22"/>
          <w:szCs w:val="22"/>
        </w:rPr>
      </w:pPr>
      <w:r>
        <w:rPr>
          <w:rFonts w:ascii="Arial" w:hAnsi="Arial" w:cs="Arial"/>
          <w:sz w:val="22"/>
          <w:szCs w:val="22"/>
        </w:rPr>
        <w:t xml:space="preserve">2. </w:t>
      </w:r>
      <w:r w:rsidRPr="003F5918">
        <w:rPr>
          <w:rFonts w:ascii="Arial" w:hAnsi="Arial" w:cs="Arial"/>
          <w:sz w:val="22"/>
          <w:szCs w:val="22"/>
        </w:rPr>
        <w:t>operação interna com leite em estado natural, pasteurizado ou esterilizado (UHT), sujeita à aplicação da alíquota de 12% (doze por cento);</w:t>
      </w:r>
    </w:p>
    <w:p w14:paraId="6C7E598A" w14:textId="1EAD16F9" w:rsidR="00AC6B28" w:rsidRDefault="00AC6B28" w:rsidP="00DC688C">
      <w:pPr>
        <w:ind w:left="2268"/>
        <w:jc w:val="both"/>
        <w:rPr>
          <w:rFonts w:ascii="Arial" w:hAnsi="Arial" w:cs="Arial"/>
          <w:sz w:val="22"/>
          <w:szCs w:val="22"/>
        </w:rPr>
      </w:pPr>
      <w:r w:rsidRPr="00AC6B28">
        <w:rPr>
          <w:rFonts w:ascii="Arial" w:hAnsi="Arial" w:cs="Arial"/>
          <w:sz w:val="22"/>
          <w:szCs w:val="22"/>
          <w:u w:val="single"/>
        </w:rPr>
        <w:t>6. operação interestadual com máquinas e equipamentos rodoviários, relacionados em regulamento</w:t>
      </w:r>
      <w:r w:rsidRPr="00AC6B28">
        <w:rPr>
          <w:rFonts w:ascii="Arial" w:hAnsi="Arial" w:cs="Arial"/>
          <w:sz w:val="22"/>
          <w:szCs w:val="22"/>
        </w:rPr>
        <w:t>;</w:t>
      </w:r>
    </w:p>
    <w:p w14:paraId="7157109E" w14:textId="22D29029" w:rsidR="00127527" w:rsidRDefault="00127527" w:rsidP="00DC688C">
      <w:pPr>
        <w:ind w:left="2268"/>
        <w:jc w:val="both"/>
        <w:rPr>
          <w:rFonts w:ascii="Arial" w:hAnsi="Arial" w:cs="Arial"/>
          <w:sz w:val="22"/>
          <w:szCs w:val="22"/>
        </w:rPr>
      </w:pPr>
      <w:r>
        <w:rPr>
          <w:rFonts w:ascii="Arial" w:hAnsi="Arial" w:cs="Arial"/>
          <w:sz w:val="22"/>
          <w:szCs w:val="22"/>
          <w:u w:val="single"/>
        </w:rPr>
        <w:t>[</w:t>
      </w:r>
      <w:r w:rsidRPr="00127527">
        <w:rPr>
          <w:rFonts w:ascii="Arial" w:hAnsi="Arial" w:cs="Arial"/>
          <w:sz w:val="22"/>
          <w:szCs w:val="22"/>
        </w:rPr>
        <w:t>.</w:t>
      </w:r>
      <w:r>
        <w:rPr>
          <w:rFonts w:ascii="Arial" w:hAnsi="Arial" w:cs="Arial"/>
          <w:sz w:val="22"/>
          <w:szCs w:val="22"/>
        </w:rPr>
        <w:t>..]</w:t>
      </w:r>
    </w:p>
    <w:p w14:paraId="73016DE1" w14:textId="77777777" w:rsidR="00FA316C" w:rsidRDefault="00FA316C" w:rsidP="00DC688C">
      <w:pPr>
        <w:ind w:left="2268"/>
        <w:jc w:val="both"/>
        <w:rPr>
          <w:rFonts w:ascii="Arial" w:hAnsi="Arial" w:cs="Arial"/>
          <w:sz w:val="22"/>
          <w:szCs w:val="22"/>
        </w:rPr>
      </w:pPr>
      <w:r w:rsidRPr="00FA316C">
        <w:rPr>
          <w:rFonts w:ascii="Arial" w:hAnsi="Arial" w:cs="Arial"/>
          <w:sz w:val="22"/>
          <w:szCs w:val="22"/>
          <w:u w:val="single"/>
        </w:rPr>
        <w:t>8. operação de saída, com fios e condutores elétricos realizada por atacadista, observado o seguinte</w:t>
      </w:r>
      <w:r w:rsidRPr="00FA316C">
        <w:rPr>
          <w:rFonts w:ascii="Arial" w:hAnsi="Arial" w:cs="Arial"/>
          <w:sz w:val="22"/>
          <w:szCs w:val="22"/>
        </w:rPr>
        <w:t>:</w:t>
      </w:r>
    </w:p>
    <w:p w14:paraId="00BBF445" w14:textId="77777777" w:rsidR="00FA316C" w:rsidRDefault="00FA316C" w:rsidP="00DC688C">
      <w:pPr>
        <w:ind w:left="2268"/>
        <w:jc w:val="both"/>
        <w:rPr>
          <w:rFonts w:ascii="Arial" w:hAnsi="Arial" w:cs="Arial"/>
          <w:sz w:val="22"/>
          <w:szCs w:val="22"/>
        </w:rPr>
      </w:pPr>
      <w:r w:rsidRPr="00FA316C">
        <w:rPr>
          <w:rFonts w:ascii="Arial" w:hAnsi="Arial" w:cs="Arial"/>
          <w:sz w:val="22"/>
          <w:szCs w:val="22"/>
        </w:rPr>
        <w:t>8.1 o benefício previsto neste item pode ser aplicado cumulativamente com a redução de base de cálculo de que trata o art. 1º da Lei nº 12.462, de 8 de novembro de 1994, e com o crédito outorgado previsto na alínea “h” do inciso II do art. 2º da Lei nº 13.194, de 26 de dezembro de 1997;</w:t>
      </w:r>
    </w:p>
    <w:p w14:paraId="538C4E84" w14:textId="77777777" w:rsidR="00FA316C" w:rsidRDefault="00FA316C" w:rsidP="00DC688C">
      <w:pPr>
        <w:ind w:left="2268"/>
        <w:jc w:val="both"/>
        <w:rPr>
          <w:rFonts w:ascii="Arial" w:hAnsi="Arial" w:cs="Arial"/>
          <w:sz w:val="22"/>
          <w:szCs w:val="22"/>
        </w:rPr>
      </w:pPr>
      <w:r w:rsidRPr="00FA316C">
        <w:rPr>
          <w:rFonts w:ascii="Arial" w:hAnsi="Arial" w:cs="Arial"/>
          <w:sz w:val="22"/>
          <w:szCs w:val="22"/>
        </w:rPr>
        <w:t>8.2 é vedado o aproveitamento de quaisquer créditos de ICMS relativos à entrada e ao serviço utilizado;</w:t>
      </w:r>
    </w:p>
    <w:p w14:paraId="0DFD2880" w14:textId="023242C4" w:rsidR="00FA316C" w:rsidRDefault="00FA316C" w:rsidP="00DC688C">
      <w:pPr>
        <w:ind w:left="2268"/>
        <w:jc w:val="both"/>
        <w:rPr>
          <w:rFonts w:ascii="Arial" w:hAnsi="Arial" w:cs="Arial"/>
          <w:sz w:val="22"/>
          <w:szCs w:val="22"/>
        </w:rPr>
      </w:pPr>
      <w:r w:rsidRPr="00FA316C">
        <w:rPr>
          <w:rFonts w:ascii="Arial" w:hAnsi="Arial" w:cs="Arial"/>
          <w:sz w:val="22"/>
          <w:szCs w:val="22"/>
        </w:rPr>
        <w:t xml:space="preserve">8.3 o beneficiário deve celebrar Termo de Acordo de Regime Especial - </w:t>
      </w:r>
      <w:r w:rsidRPr="00FA316C">
        <w:rPr>
          <w:rFonts w:ascii="Arial" w:hAnsi="Arial" w:cs="Arial"/>
          <w:sz w:val="22"/>
          <w:szCs w:val="22"/>
          <w:u w:val="single"/>
        </w:rPr>
        <w:t>TARE</w:t>
      </w:r>
      <w:r w:rsidRPr="00FA316C">
        <w:rPr>
          <w:rFonts w:ascii="Arial" w:hAnsi="Arial" w:cs="Arial"/>
          <w:sz w:val="22"/>
          <w:szCs w:val="22"/>
        </w:rPr>
        <w:t xml:space="preserve"> com a Secretaria de Estado da Fazenda, no qual devem ser estabelecidas </w:t>
      </w:r>
      <w:r w:rsidRPr="00FA316C">
        <w:rPr>
          <w:rFonts w:ascii="Arial" w:hAnsi="Arial" w:cs="Arial"/>
          <w:sz w:val="22"/>
          <w:szCs w:val="22"/>
          <w:u w:val="single"/>
        </w:rPr>
        <w:t>metas de arrecadação</w:t>
      </w:r>
      <w:r w:rsidRPr="00FA316C">
        <w:rPr>
          <w:rFonts w:ascii="Arial" w:hAnsi="Arial" w:cs="Arial"/>
          <w:sz w:val="22"/>
          <w:szCs w:val="22"/>
        </w:rPr>
        <w:t>.</w:t>
      </w:r>
    </w:p>
    <w:p w14:paraId="5D381704" w14:textId="0D7E14B4" w:rsidR="00F0714E" w:rsidRDefault="00F0714E" w:rsidP="00DC688C">
      <w:pPr>
        <w:ind w:left="2268"/>
        <w:jc w:val="both"/>
        <w:rPr>
          <w:rFonts w:ascii="Arial" w:hAnsi="Arial" w:cs="Arial"/>
          <w:sz w:val="22"/>
          <w:szCs w:val="22"/>
        </w:rPr>
      </w:pPr>
      <w:r>
        <w:rPr>
          <w:rFonts w:ascii="Arial" w:hAnsi="Arial" w:cs="Arial"/>
          <w:sz w:val="22"/>
          <w:szCs w:val="22"/>
        </w:rPr>
        <w:t>[...].</w:t>
      </w:r>
    </w:p>
    <w:p w14:paraId="61ADE9DC" w14:textId="77777777" w:rsidR="00BC2E87" w:rsidRDefault="00BC2E87" w:rsidP="00DC688C">
      <w:pPr>
        <w:ind w:left="2268"/>
        <w:jc w:val="both"/>
        <w:rPr>
          <w:rFonts w:ascii="Arial" w:hAnsi="Arial" w:cs="Arial"/>
          <w:sz w:val="22"/>
          <w:szCs w:val="22"/>
        </w:rPr>
      </w:pPr>
      <w:r w:rsidRPr="00BC2E87">
        <w:rPr>
          <w:rFonts w:ascii="Arial" w:hAnsi="Arial" w:cs="Arial"/>
          <w:sz w:val="22"/>
          <w:szCs w:val="22"/>
          <w:u w:val="single"/>
        </w:rPr>
        <w:t>i) os seguintes percentuais, sobre o valor da base de cálculo correspondente à operação interestadual</w:t>
      </w:r>
      <w:r w:rsidRPr="00B11421">
        <w:rPr>
          <w:rFonts w:ascii="Arial" w:hAnsi="Arial" w:cs="Arial"/>
          <w:sz w:val="22"/>
          <w:szCs w:val="22"/>
        </w:rPr>
        <w:t>:</w:t>
      </w:r>
    </w:p>
    <w:p w14:paraId="67F1799B" w14:textId="77777777" w:rsidR="00BC2E87" w:rsidRDefault="00BC2E87" w:rsidP="00DC688C">
      <w:pPr>
        <w:ind w:left="2268"/>
        <w:jc w:val="both"/>
        <w:rPr>
          <w:rFonts w:ascii="Arial" w:hAnsi="Arial" w:cs="Arial"/>
          <w:sz w:val="22"/>
          <w:szCs w:val="22"/>
        </w:rPr>
      </w:pPr>
      <w:r>
        <w:rPr>
          <w:rFonts w:ascii="Arial" w:hAnsi="Arial" w:cs="Arial"/>
          <w:sz w:val="22"/>
          <w:szCs w:val="22"/>
        </w:rPr>
        <w:t>[...].</w:t>
      </w:r>
    </w:p>
    <w:p w14:paraId="35D32399" w14:textId="77777777" w:rsidR="00BC2E87" w:rsidRDefault="00BC2E87" w:rsidP="00DC688C">
      <w:pPr>
        <w:ind w:left="2268"/>
        <w:jc w:val="both"/>
        <w:rPr>
          <w:rFonts w:ascii="Arial" w:hAnsi="Arial" w:cs="Arial"/>
          <w:sz w:val="22"/>
          <w:szCs w:val="22"/>
        </w:rPr>
      </w:pPr>
      <w:r w:rsidRPr="00BC2E87">
        <w:rPr>
          <w:rFonts w:ascii="Arial" w:hAnsi="Arial" w:cs="Arial"/>
          <w:sz w:val="22"/>
          <w:szCs w:val="22"/>
          <w:u w:val="single"/>
        </w:rPr>
        <w:t>4. 6% (seis por cento) na operação interestadual com milho</w:t>
      </w:r>
      <w:r w:rsidRPr="00B11421">
        <w:rPr>
          <w:rFonts w:ascii="Arial" w:hAnsi="Arial" w:cs="Arial"/>
          <w:sz w:val="22"/>
          <w:szCs w:val="22"/>
        </w:rPr>
        <w:t>.</w:t>
      </w:r>
    </w:p>
    <w:p w14:paraId="00097AD4" w14:textId="77777777" w:rsidR="00BC2E87" w:rsidRDefault="00BC2E87" w:rsidP="00DC688C">
      <w:pPr>
        <w:ind w:left="2268"/>
        <w:jc w:val="both"/>
        <w:rPr>
          <w:rFonts w:ascii="Arial" w:hAnsi="Arial" w:cs="Arial"/>
          <w:sz w:val="22"/>
          <w:szCs w:val="22"/>
        </w:rPr>
      </w:pPr>
      <w:r>
        <w:rPr>
          <w:rFonts w:ascii="Arial" w:hAnsi="Arial" w:cs="Arial"/>
          <w:sz w:val="22"/>
          <w:szCs w:val="22"/>
        </w:rPr>
        <w:t>[...].</w:t>
      </w:r>
    </w:p>
    <w:p w14:paraId="38ECFD61" w14:textId="0C2B48F9" w:rsidR="00F0714E" w:rsidRDefault="00F0714E" w:rsidP="00DC688C">
      <w:pPr>
        <w:ind w:left="2268"/>
        <w:jc w:val="both"/>
        <w:rPr>
          <w:rFonts w:ascii="Arial" w:hAnsi="Arial" w:cs="Arial"/>
          <w:sz w:val="22"/>
          <w:szCs w:val="22"/>
        </w:rPr>
      </w:pPr>
      <w:r w:rsidRPr="00F0714E">
        <w:rPr>
          <w:rFonts w:ascii="Arial" w:hAnsi="Arial" w:cs="Arial"/>
          <w:b/>
          <w:sz w:val="22"/>
          <w:szCs w:val="22"/>
        </w:rPr>
        <w:t>II - redução da base de cálculo do ICMS, inclusive quanto à manutenção de crédito</w:t>
      </w:r>
      <w:r w:rsidRPr="00F0714E">
        <w:rPr>
          <w:rFonts w:ascii="Arial" w:hAnsi="Arial" w:cs="Arial"/>
          <w:sz w:val="22"/>
          <w:szCs w:val="22"/>
        </w:rPr>
        <w:t>:</w:t>
      </w:r>
    </w:p>
    <w:p w14:paraId="739B1EBE" w14:textId="65B4AE62" w:rsidR="00F0714E" w:rsidRDefault="00F0714E" w:rsidP="00DC688C">
      <w:pPr>
        <w:ind w:left="2268"/>
        <w:jc w:val="both"/>
        <w:rPr>
          <w:rFonts w:ascii="Arial" w:hAnsi="Arial" w:cs="Arial"/>
          <w:sz w:val="22"/>
          <w:szCs w:val="22"/>
        </w:rPr>
      </w:pPr>
      <w:r>
        <w:rPr>
          <w:rFonts w:ascii="Arial" w:hAnsi="Arial" w:cs="Arial"/>
          <w:sz w:val="22"/>
          <w:szCs w:val="22"/>
        </w:rPr>
        <w:t>[...].</w:t>
      </w:r>
    </w:p>
    <w:p w14:paraId="2111F7A0" w14:textId="3C5BAFF7" w:rsidR="00F0714E" w:rsidRDefault="00A15AFB" w:rsidP="00DC688C">
      <w:pPr>
        <w:ind w:left="2268"/>
        <w:jc w:val="both"/>
        <w:rPr>
          <w:rFonts w:ascii="Arial" w:hAnsi="Arial" w:cs="Arial"/>
          <w:sz w:val="22"/>
          <w:szCs w:val="22"/>
        </w:rPr>
      </w:pPr>
      <w:r w:rsidRPr="00A15AFB">
        <w:rPr>
          <w:rFonts w:ascii="Arial" w:hAnsi="Arial" w:cs="Arial"/>
          <w:sz w:val="22"/>
          <w:szCs w:val="22"/>
        </w:rPr>
        <w:t>p) de tal forma que resulte a aplicação sobre o valor da operação do percentual equivalente a 7% (sete por cento), na saída de medicamento de uso humano destinada a órgão da administração pública direta ou indireta, hospital ou clínica de saúde, promovida por atacadista d</w:t>
      </w:r>
      <w:r>
        <w:rPr>
          <w:rFonts w:ascii="Arial" w:hAnsi="Arial" w:cs="Arial"/>
          <w:sz w:val="22"/>
          <w:szCs w:val="22"/>
        </w:rPr>
        <w:t>e medicamento, desde que</w:t>
      </w:r>
      <w:r w:rsidR="00F0714E" w:rsidRPr="00F0714E">
        <w:rPr>
          <w:rFonts w:ascii="Arial" w:hAnsi="Arial" w:cs="Arial"/>
          <w:sz w:val="22"/>
          <w:szCs w:val="22"/>
        </w:rPr>
        <w:t>:</w:t>
      </w:r>
    </w:p>
    <w:p w14:paraId="0F5F250E" w14:textId="58DC33B1" w:rsidR="00A15AFB" w:rsidRDefault="00A15AFB" w:rsidP="00DC688C">
      <w:pPr>
        <w:ind w:left="2268"/>
        <w:jc w:val="both"/>
        <w:rPr>
          <w:rFonts w:ascii="Arial" w:hAnsi="Arial" w:cs="Arial"/>
          <w:sz w:val="22"/>
          <w:szCs w:val="22"/>
        </w:rPr>
      </w:pPr>
      <w:r>
        <w:rPr>
          <w:rFonts w:ascii="Arial" w:hAnsi="Arial" w:cs="Arial"/>
          <w:sz w:val="22"/>
          <w:szCs w:val="22"/>
        </w:rPr>
        <w:t>[...].</w:t>
      </w:r>
    </w:p>
    <w:p w14:paraId="78764C2F" w14:textId="683DFC2A" w:rsidR="00A15AFB" w:rsidRPr="00FA316C" w:rsidRDefault="00A15AFB" w:rsidP="00DC688C">
      <w:pPr>
        <w:ind w:left="2268"/>
        <w:jc w:val="both"/>
        <w:rPr>
          <w:rFonts w:ascii="Arial" w:hAnsi="Arial" w:cs="Arial"/>
          <w:sz w:val="22"/>
          <w:szCs w:val="22"/>
        </w:rPr>
      </w:pPr>
      <w:r w:rsidRPr="00D52639">
        <w:rPr>
          <w:rFonts w:ascii="Arial" w:hAnsi="Arial" w:cs="Arial"/>
          <w:sz w:val="22"/>
          <w:szCs w:val="22"/>
          <w:u w:val="single"/>
        </w:rPr>
        <w:t xml:space="preserve">2. o atacadista de medicamento celebre termo de acordo de regime especial com a Secretaria de Estado da Fazenda, no qual devem ser </w:t>
      </w:r>
      <w:r w:rsidRPr="00D52639">
        <w:rPr>
          <w:rFonts w:ascii="Arial" w:hAnsi="Arial" w:cs="Arial"/>
          <w:sz w:val="22"/>
          <w:szCs w:val="22"/>
          <w:u w:val="single"/>
        </w:rPr>
        <w:lastRenderedPageBreak/>
        <w:t>estabelecidas metas de arrecadação a serem cumpridas pelo beneficiário</w:t>
      </w:r>
      <w:r w:rsidRPr="00A15AFB">
        <w:rPr>
          <w:rFonts w:ascii="Arial" w:hAnsi="Arial" w:cs="Arial"/>
          <w:sz w:val="22"/>
          <w:szCs w:val="22"/>
        </w:rPr>
        <w:t>;</w:t>
      </w:r>
    </w:p>
    <w:p w14:paraId="168C33A5" w14:textId="20CF1FF8" w:rsidR="00364B3B" w:rsidRDefault="00364B3B" w:rsidP="00DC688C">
      <w:pPr>
        <w:ind w:left="2268"/>
        <w:jc w:val="both"/>
        <w:rPr>
          <w:rFonts w:ascii="Arial" w:hAnsi="Arial" w:cs="Arial"/>
          <w:sz w:val="22"/>
          <w:szCs w:val="22"/>
        </w:rPr>
      </w:pPr>
      <w:r w:rsidRPr="00364B3B">
        <w:rPr>
          <w:rFonts w:ascii="Arial" w:hAnsi="Arial" w:cs="Arial"/>
          <w:sz w:val="22"/>
          <w:szCs w:val="22"/>
        </w:rPr>
        <w:t>3. na definição das metas de arrecadação deve ser considerada a média de arrecadação de todos os estabelecimentos da empresa situados no Estado de Goiás nos últimos 12 (doze) meses anteriores a 1</w:t>
      </w:r>
      <w:r w:rsidRPr="00364B3B">
        <w:rPr>
          <w:rFonts w:ascii="Arial" w:hAnsi="Arial" w:cs="Arial"/>
          <w:sz w:val="22"/>
          <w:szCs w:val="22"/>
          <w:vertAlign w:val="superscript"/>
        </w:rPr>
        <w:t>o</w:t>
      </w:r>
      <w:r w:rsidRPr="00364B3B">
        <w:rPr>
          <w:rFonts w:ascii="Arial" w:hAnsi="Arial" w:cs="Arial"/>
          <w:sz w:val="22"/>
          <w:szCs w:val="22"/>
        </w:rPr>
        <w:t> de janeiro de 2013, que corresponde ao início da vigência da Resolução n</w:t>
      </w:r>
      <w:r w:rsidRPr="00364B3B">
        <w:rPr>
          <w:rFonts w:ascii="Arial" w:hAnsi="Arial" w:cs="Arial"/>
          <w:sz w:val="22"/>
          <w:szCs w:val="22"/>
          <w:vertAlign w:val="superscript"/>
        </w:rPr>
        <w:t>o</w:t>
      </w:r>
      <w:r w:rsidRPr="00364B3B">
        <w:rPr>
          <w:rFonts w:ascii="Arial" w:hAnsi="Arial" w:cs="Arial"/>
          <w:sz w:val="22"/>
          <w:szCs w:val="22"/>
        </w:rPr>
        <w:t> 13, de 2012, do Senado Federal.</w:t>
      </w:r>
    </w:p>
    <w:p w14:paraId="7B3F0B1D" w14:textId="7A20F1D0" w:rsidR="00A15AFB" w:rsidRDefault="00A15AFB" w:rsidP="00DC688C">
      <w:pPr>
        <w:ind w:left="2268"/>
        <w:jc w:val="both"/>
        <w:rPr>
          <w:rFonts w:ascii="Arial" w:hAnsi="Arial" w:cs="Arial"/>
          <w:sz w:val="22"/>
          <w:szCs w:val="22"/>
        </w:rPr>
      </w:pPr>
      <w:r>
        <w:rPr>
          <w:rFonts w:ascii="Arial" w:hAnsi="Arial" w:cs="Arial"/>
          <w:sz w:val="22"/>
          <w:szCs w:val="22"/>
        </w:rPr>
        <w:t>[...].</w:t>
      </w:r>
    </w:p>
    <w:p w14:paraId="5CE9BFA8" w14:textId="7E911783" w:rsidR="00B11421" w:rsidRDefault="00B11421" w:rsidP="00DC688C">
      <w:pPr>
        <w:ind w:left="2268"/>
        <w:jc w:val="both"/>
        <w:rPr>
          <w:rFonts w:ascii="Arial" w:hAnsi="Arial" w:cs="Arial"/>
          <w:sz w:val="22"/>
          <w:szCs w:val="22"/>
        </w:rPr>
      </w:pPr>
      <w:r w:rsidRPr="00B11421">
        <w:rPr>
          <w:rFonts w:ascii="Arial" w:hAnsi="Arial" w:cs="Arial"/>
          <w:sz w:val="22"/>
          <w:szCs w:val="22"/>
        </w:rPr>
        <w:t>§ 2º-A O benefício previsto no item 4 da alínea “i” do inciso I do art. 1º fica sujeito ao cumprimento de metas de arrecadação, na forma, no prazo e nas condições estabelecidos em termo de acordo de regime especial celebrado com a Secretaria de Estado da Fazenda.</w:t>
      </w:r>
    </w:p>
    <w:p w14:paraId="1818D330" w14:textId="77777777" w:rsidR="00390E90" w:rsidRDefault="00390E90" w:rsidP="00713208">
      <w:pPr>
        <w:spacing w:line="360" w:lineRule="auto"/>
        <w:ind w:firstLine="851"/>
        <w:jc w:val="both"/>
        <w:rPr>
          <w:rFonts w:ascii="Arial" w:hAnsi="Arial" w:cs="Arial"/>
          <w:sz w:val="24"/>
          <w:szCs w:val="24"/>
        </w:rPr>
      </w:pPr>
    </w:p>
    <w:p w14:paraId="1327FD74" w14:textId="52299440" w:rsidR="003F5918" w:rsidRDefault="00390E90" w:rsidP="00713208">
      <w:pPr>
        <w:spacing w:line="360" w:lineRule="auto"/>
        <w:ind w:firstLine="851"/>
        <w:jc w:val="both"/>
        <w:rPr>
          <w:rFonts w:ascii="Arial" w:hAnsi="Arial" w:cs="Arial"/>
          <w:sz w:val="24"/>
          <w:szCs w:val="24"/>
        </w:rPr>
      </w:pPr>
      <w:r w:rsidRPr="00390E90">
        <w:rPr>
          <w:rFonts w:ascii="Arial" w:hAnsi="Arial" w:cs="Arial"/>
          <w:b/>
          <w:sz w:val="24"/>
          <w:szCs w:val="24"/>
        </w:rPr>
        <w:t>Apenas dos excertos acima transcritos já se antevê a proeminência do Chefe do Poder Executivo na política adotada por essa lei</w:t>
      </w:r>
      <w:r>
        <w:rPr>
          <w:rFonts w:ascii="Arial" w:hAnsi="Arial" w:cs="Arial"/>
          <w:sz w:val="24"/>
          <w:szCs w:val="24"/>
        </w:rPr>
        <w:t>, primeiro porque ele pode ou não conceder o benefício; e, segundo, porque há aspectos que a própria lei reserva ao regulamento ou ao TARE.</w:t>
      </w:r>
    </w:p>
    <w:p w14:paraId="74D32B92" w14:textId="0D9EF58C" w:rsidR="00390E90" w:rsidRDefault="00390E90" w:rsidP="00390E90">
      <w:pPr>
        <w:spacing w:line="360" w:lineRule="auto"/>
        <w:ind w:firstLine="851"/>
        <w:jc w:val="both"/>
        <w:rPr>
          <w:rFonts w:ascii="Arial" w:hAnsi="Arial" w:cs="Arial"/>
          <w:sz w:val="24"/>
          <w:szCs w:val="24"/>
        </w:rPr>
      </w:pPr>
      <w:r w:rsidRPr="00A8053F">
        <w:rPr>
          <w:rFonts w:ascii="Arial" w:hAnsi="Arial" w:cs="Arial"/>
          <w:b/>
          <w:sz w:val="24"/>
          <w:szCs w:val="24"/>
        </w:rPr>
        <w:t xml:space="preserve">Para tornar mais claro </w:t>
      </w:r>
      <w:r w:rsidR="00F948A3" w:rsidRPr="00A8053F">
        <w:rPr>
          <w:rFonts w:ascii="Arial" w:hAnsi="Arial" w:cs="Arial"/>
          <w:b/>
          <w:sz w:val="24"/>
          <w:szCs w:val="24"/>
        </w:rPr>
        <w:t>o</w:t>
      </w:r>
      <w:r w:rsidRPr="00A8053F">
        <w:rPr>
          <w:rFonts w:ascii="Arial" w:hAnsi="Arial" w:cs="Arial"/>
          <w:b/>
          <w:sz w:val="24"/>
          <w:szCs w:val="24"/>
        </w:rPr>
        <w:t xml:space="preserve"> exemplo, considere-se a hipótese</w:t>
      </w:r>
      <w:r w:rsidR="00B70647" w:rsidRPr="00A8053F">
        <w:rPr>
          <w:rFonts w:ascii="Arial" w:hAnsi="Arial" w:cs="Arial"/>
          <w:b/>
          <w:sz w:val="24"/>
          <w:szCs w:val="24"/>
        </w:rPr>
        <w:t xml:space="preserve"> prevista no art. </w:t>
      </w:r>
      <w:r w:rsidR="00DC688C">
        <w:rPr>
          <w:rFonts w:ascii="Arial" w:hAnsi="Arial" w:cs="Arial"/>
          <w:b/>
          <w:sz w:val="24"/>
          <w:szCs w:val="24"/>
        </w:rPr>
        <w:t xml:space="preserve">1º, I, “a”, 6, da Lei nº 13.453, de </w:t>
      </w:r>
      <w:r w:rsidR="00B70647" w:rsidRPr="00A8053F">
        <w:rPr>
          <w:rFonts w:ascii="Arial" w:hAnsi="Arial" w:cs="Arial"/>
          <w:b/>
          <w:sz w:val="24"/>
          <w:szCs w:val="24"/>
        </w:rPr>
        <w:t>1999</w:t>
      </w:r>
      <w:r w:rsidR="00B70647">
        <w:rPr>
          <w:rFonts w:ascii="Arial" w:hAnsi="Arial" w:cs="Arial"/>
          <w:sz w:val="24"/>
          <w:szCs w:val="24"/>
        </w:rPr>
        <w:t>, que autoriza o Chefe do Poder Executivo a conceder</w:t>
      </w:r>
      <w:r w:rsidRPr="00390E90">
        <w:rPr>
          <w:rFonts w:ascii="Arial" w:hAnsi="Arial" w:cs="Arial"/>
          <w:sz w:val="24"/>
          <w:szCs w:val="24"/>
        </w:rPr>
        <w:t xml:space="preserve"> crédito outorgado do ICMS equivalente à aplicação de até 5% (cinco por cento) sobre o valor da base de cálculo correspondente à operação interestadual com máquinas e equipamentos rodoviários, relacionados em regulamento.</w:t>
      </w:r>
    </w:p>
    <w:p w14:paraId="70E22ED3" w14:textId="1C69EEF0" w:rsidR="00C11951" w:rsidRDefault="00390E90" w:rsidP="00713208">
      <w:pPr>
        <w:spacing w:line="360" w:lineRule="auto"/>
        <w:ind w:firstLine="851"/>
        <w:jc w:val="both"/>
        <w:rPr>
          <w:rFonts w:ascii="Arial" w:hAnsi="Arial" w:cs="Arial"/>
          <w:sz w:val="24"/>
          <w:szCs w:val="24"/>
        </w:rPr>
      </w:pPr>
      <w:r w:rsidRPr="00390E90">
        <w:rPr>
          <w:rFonts w:ascii="Arial" w:hAnsi="Arial" w:cs="Arial"/>
          <w:b/>
          <w:sz w:val="24"/>
          <w:szCs w:val="24"/>
        </w:rPr>
        <w:t>Quanto ao poder de conceder ou não o benefício</w:t>
      </w:r>
      <w:r>
        <w:rPr>
          <w:rFonts w:ascii="Arial" w:hAnsi="Arial" w:cs="Arial"/>
          <w:sz w:val="24"/>
          <w:szCs w:val="24"/>
        </w:rPr>
        <w:t>, como referida lei possui cunho meramente autorizativo, o Chefe do Poder Executivo pode decidir</w:t>
      </w:r>
      <w:r w:rsidR="00503B3C">
        <w:rPr>
          <w:rFonts w:ascii="Arial" w:hAnsi="Arial" w:cs="Arial"/>
          <w:sz w:val="24"/>
          <w:szCs w:val="24"/>
        </w:rPr>
        <w:t xml:space="preserve"> simplesmente</w:t>
      </w:r>
      <w:r>
        <w:rPr>
          <w:rFonts w:ascii="Arial" w:hAnsi="Arial" w:cs="Arial"/>
          <w:sz w:val="24"/>
          <w:szCs w:val="24"/>
        </w:rPr>
        <w:t xml:space="preserve"> </w:t>
      </w:r>
      <w:r w:rsidR="00FD74EF">
        <w:rPr>
          <w:rFonts w:ascii="Arial" w:hAnsi="Arial" w:cs="Arial"/>
          <w:sz w:val="24"/>
          <w:szCs w:val="24"/>
        </w:rPr>
        <w:t>em</w:t>
      </w:r>
      <w:r w:rsidR="005C2C94">
        <w:rPr>
          <w:rFonts w:ascii="Arial" w:hAnsi="Arial" w:cs="Arial"/>
          <w:sz w:val="24"/>
          <w:szCs w:val="24"/>
        </w:rPr>
        <w:t xml:space="preserve"> </w:t>
      </w:r>
      <w:r>
        <w:rPr>
          <w:rFonts w:ascii="Arial" w:hAnsi="Arial" w:cs="Arial"/>
          <w:sz w:val="24"/>
          <w:szCs w:val="24"/>
        </w:rPr>
        <w:t>não conced</w:t>
      </w:r>
      <w:r w:rsidR="00A14C7C">
        <w:rPr>
          <w:rFonts w:ascii="Arial" w:hAnsi="Arial" w:cs="Arial"/>
          <w:sz w:val="24"/>
          <w:szCs w:val="24"/>
        </w:rPr>
        <w:t xml:space="preserve">ê-lo; </w:t>
      </w:r>
      <w:r>
        <w:rPr>
          <w:rFonts w:ascii="Arial" w:hAnsi="Arial" w:cs="Arial"/>
          <w:sz w:val="24"/>
          <w:szCs w:val="24"/>
        </w:rPr>
        <w:t>basta</w:t>
      </w:r>
      <w:r w:rsidR="00A14C7C">
        <w:rPr>
          <w:rFonts w:ascii="Arial" w:hAnsi="Arial" w:cs="Arial"/>
          <w:sz w:val="24"/>
          <w:szCs w:val="24"/>
        </w:rPr>
        <w:t xml:space="preserve">, </w:t>
      </w:r>
      <w:r>
        <w:rPr>
          <w:rFonts w:ascii="Arial" w:hAnsi="Arial" w:cs="Arial"/>
          <w:sz w:val="24"/>
          <w:szCs w:val="24"/>
        </w:rPr>
        <w:t>para tanto</w:t>
      </w:r>
      <w:r w:rsidR="00A14C7C">
        <w:rPr>
          <w:rFonts w:ascii="Arial" w:hAnsi="Arial" w:cs="Arial"/>
          <w:sz w:val="24"/>
          <w:szCs w:val="24"/>
        </w:rPr>
        <w:t>,</w:t>
      </w:r>
      <w:r>
        <w:rPr>
          <w:rFonts w:ascii="Arial" w:hAnsi="Arial" w:cs="Arial"/>
          <w:sz w:val="24"/>
          <w:szCs w:val="24"/>
        </w:rPr>
        <w:t xml:space="preserve"> que não contemple o benefício no art. </w:t>
      </w:r>
      <w:r w:rsidR="00A14C7C">
        <w:rPr>
          <w:rFonts w:ascii="Arial" w:hAnsi="Arial" w:cs="Arial"/>
          <w:sz w:val="24"/>
          <w:szCs w:val="24"/>
        </w:rPr>
        <w:t>11</w:t>
      </w:r>
      <w:r>
        <w:rPr>
          <w:rFonts w:ascii="Arial" w:hAnsi="Arial" w:cs="Arial"/>
          <w:sz w:val="24"/>
          <w:szCs w:val="24"/>
        </w:rPr>
        <w:t xml:space="preserve"> do </w:t>
      </w:r>
      <w:r w:rsidR="00356959">
        <w:rPr>
          <w:rFonts w:ascii="Arial" w:hAnsi="Arial" w:cs="Arial"/>
          <w:sz w:val="24"/>
          <w:szCs w:val="24"/>
        </w:rPr>
        <w:t>Anexo IX</w:t>
      </w:r>
      <w:r w:rsidR="00BC1D5D">
        <w:rPr>
          <w:rFonts w:ascii="Arial" w:hAnsi="Arial" w:cs="Arial"/>
          <w:sz w:val="24"/>
          <w:szCs w:val="24"/>
        </w:rPr>
        <w:t xml:space="preserve"> do</w:t>
      </w:r>
      <w:r w:rsidR="00356959">
        <w:rPr>
          <w:rFonts w:ascii="Arial" w:hAnsi="Arial" w:cs="Arial"/>
          <w:sz w:val="24"/>
          <w:szCs w:val="24"/>
        </w:rPr>
        <w:t xml:space="preserve"> </w:t>
      </w:r>
      <w:r>
        <w:rPr>
          <w:rFonts w:ascii="Arial" w:hAnsi="Arial" w:cs="Arial"/>
          <w:sz w:val="24"/>
          <w:szCs w:val="24"/>
        </w:rPr>
        <w:t xml:space="preserve">RCTE/GO, que trata das hipóteses de </w:t>
      </w:r>
      <w:r w:rsidR="00A14C7C">
        <w:rPr>
          <w:rFonts w:ascii="Arial" w:hAnsi="Arial" w:cs="Arial"/>
          <w:sz w:val="24"/>
          <w:szCs w:val="24"/>
        </w:rPr>
        <w:t>crédito outorgado</w:t>
      </w:r>
      <w:r>
        <w:rPr>
          <w:rFonts w:ascii="Arial" w:hAnsi="Arial" w:cs="Arial"/>
          <w:sz w:val="24"/>
          <w:szCs w:val="24"/>
        </w:rPr>
        <w:t xml:space="preserve"> por prazo indeterminado. </w:t>
      </w:r>
      <w:r w:rsidRPr="00597F5C">
        <w:rPr>
          <w:rFonts w:ascii="Arial" w:hAnsi="Arial" w:cs="Arial"/>
          <w:sz w:val="24"/>
          <w:szCs w:val="24"/>
          <w:u w:val="single"/>
        </w:rPr>
        <w:t>Na ótica do Poder Executivo</w:t>
      </w:r>
      <w:r w:rsidR="00A14C7C" w:rsidRPr="00597F5C">
        <w:rPr>
          <w:rFonts w:ascii="Arial" w:hAnsi="Arial" w:cs="Arial"/>
          <w:sz w:val="24"/>
          <w:szCs w:val="24"/>
          <w:u w:val="single"/>
        </w:rPr>
        <w:t xml:space="preserve">, </w:t>
      </w:r>
      <w:r w:rsidR="005C2C94">
        <w:rPr>
          <w:rFonts w:ascii="Arial" w:hAnsi="Arial" w:cs="Arial"/>
          <w:sz w:val="24"/>
          <w:szCs w:val="24"/>
          <w:u w:val="single"/>
        </w:rPr>
        <w:t xml:space="preserve">então, </w:t>
      </w:r>
      <w:r w:rsidR="00A14C7C" w:rsidRPr="00597F5C">
        <w:rPr>
          <w:rFonts w:ascii="Arial" w:hAnsi="Arial" w:cs="Arial"/>
          <w:sz w:val="24"/>
          <w:szCs w:val="24"/>
          <w:u w:val="single"/>
        </w:rPr>
        <w:t xml:space="preserve">o Legislativo apenas autoriza, mas a concessão </w:t>
      </w:r>
      <w:r w:rsidR="005C2C94">
        <w:rPr>
          <w:rFonts w:ascii="Arial" w:hAnsi="Arial" w:cs="Arial"/>
          <w:sz w:val="24"/>
          <w:szCs w:val="24"/>
          <w:u w:val="single"/>
        </w:rPr>
        <w:t xml:space="preserve">efetiva </w:t>
      </w:r>
      <w:r w:rsidR="00A14C7C" w:rsidRPr="00597F5C">
        <w:rPr>
          <w:rFonts w:ascii="Arial" w:hAnsi="Arial" w:cs="Arial"/>
          <w:sz w:val="24"/>
          <w:szCs w:val="24"/>
          <w:u w:val="single"/>
        </w:rPr>
        <w:t>depende de decreto governamental que insira o benefício no RCTE/GO</w:t>
      </w:r>
      <w:r w:rsidR="00C11951">
        <w:rPr>
          <w:rFonts w:ascii="Arial" w:hAnsi="Arial" w:cs="Arial"/>
          <w:sz w:val="24"/>
          <w:szCs w:val="24"/>
        </w:rPr>
        <w:t>.</w:t>
      </w:r>
      <w:r w:rsidR="00E90257">
        <w:rPr>
          <w:rFonts w:ascii="Arial" w:hAnsi="Arial" w:cs="Arial"/>
          <w:sz w:val="24"/>
          <w:szCs w:val="24"/>
        </w:rPr>
        <w:t xml:space="preserve"> </w:t>
      </w:r>
    </w:p>
    <w:p w14:paraId="73A9654F" w14:textId="4793B58D" w:rsidR="00C11951" w:rsidRDefault="00C11951" w:rsidP="00713208">
      <w:pPr>
        <w:spacing w:line="360" w:lineRule="auto"/>
        <w:ind w:firstLine="851"/>
        <w:jc w:val="both"/>
        <w:rPr>
          <w:rFonts w:ascii="Arial" w:hAnsi="Arial" w:cs="Arial"/>
          <w:sz w:val="24"/>
          <w:szCs w:val="24"/>
        </w:rPr>
      </w:pPr>
      <w:r>
        <w:rPr>
          <w:rFonts w:ascii="Arial" w:hAnsi="Arial" w:cs="Arial"/>
          <w:sz w:val="24"/>
          <w:szCs w:val="24"/>
        </w:rPr>
        <w:t xml:space="preserve">Ainda tomando o mesmo exemplo, lembre-se que </w:t>
      </w:r>
      <w:r w:rsidRPr="00356959">
        <w:rPr>
          <w:rFonts w:ascii="Arial" w:hAnsi="Arial" w:cs="Arial"/>
          <w:b/>
          <w:sz w:val="24"/>
          <w:szCs w:val="24"/>
        </w:rPr>
        <w:t>a própria lei prevê que as máquinas e equipamentos rodoviários, cujas operações podem ser incentivas, seriam relacionadas em regulamento</w:t>
      </w:r>
      <w:r>
        <w:rPr>
          <w:rFonts w:ascii="Arial" w:hAnsi="Arial" w:cs="Arial"/>
          <w:sz w:val="24"/>
          <w:szCs w:val="24"/>
        </w:rPr>
        <w:t xml:space="preserve">, o que hoje se encontra previsto no </w:t>
      </w:r>
      <w:r w:rsidR="00356959">
        <w:rPr>
          <w:rFonts w:ascii="Arial" w:hAnsi="Arial" w:cs="Arial"/>
          <w:sz w:val="24"/>
          <w:szCs w:val="24"/>
        </w:rPr>
        <w:t>Apêndice XII do Anexo IX do RCTE/GO</w:t>
      </w:r>
      <w:r w:rsidR="00804E23">
        <w:rPr>
          <w:rFonts w:ascii="Arial" w:hAnsi="Arial" w:cs="Arial"/>
          <w:sz w:val="24"/>
          <w:szCs w:val="24"/>
        </w:rPr>
        <w:t>, atualmente com a seguinte redação:</w:t>
      </w:r>
    </w:p>
    <w:p w14:paraId="08A8C967" w14:textId="1236D131" w:rsidR="00247115" w:rsidRDefault="00247115" w:rsidP="00713208">
      <w:pPr>
        <w:spacing w:line="360" w:lineRule="auto"/>
        <w:ind w:firstLine="851"/>
        <w:jc w:val="both"/>
        <w:rPr>
          <w:rFonts w:ascii="Arial" w:hAnsi="Arial" w:cs="Arial"/>
          <w:sz w:val="24"/>
          <w:szCs w:val="24"/>
        </w:rPr>
      </w:pPr>
    </w:p>
    <w:tbl>
      <w:tblPr>
        <w:tblW w:w="0" w:type="dxa"/>
        <w:tblInd w:w="70" w:type="dxa"/>
        <w:tblLayout w:type="fixed"/>
        <w:tblCellMar>
          <w:left w:w="70" w:type="dxa"/>
          <w:right w:w="70" w:type="dxa"/>
        </w:tblCellMar>
        <w:tblLook w:val="04A0" w:firstRow="1" w:lastRow="0" w:firstColumn="1" w:lastColumn="0" w:noHBand="0" w:noVBand="1"/>
      </w:tblPr>
      <w:tblGrid>
        <w:gridCol w:w="709"/>
        <w:gridCol w:w="6521"/>
        <w:gridCol w:w="2126"/>
      </w:tblGrid>
      <w:tr w:rsidR="00247115" w:rsidRPr="00247115" w14:paraId="533C095F" w14:textId="77777777" w:rsidTr="00247115">
        <w:tc>
          <w:tcPr>
            <w:tcW w:w="709" w:type="dxa"/>
            <w:tcBorders>
              <w:top w:val="single" w:sz="4" w:space="0" w:color="000000"/>
              <w:left w:val="single" w:sz="4" w:space="0" w:color="000000"/>
              <w:bottom w:val="single" w:sz="4" w:space="0" w:color="000000"/>
              <w:right w:val="nil"/>
            </w:tcBorders>
            <w:vAlign w:val="center"/>
            <w:hideMark/>
          </w:tcPr>
          <w:p w14:paraId="2FE5CCAD"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Item</w:t>
            </w:r>
          </w:p>
        </w:tc>
        <w:tc>
          <w:tcPr>
            <w:tcW w:w="6521" w:type="dxa"/>
            <w:tcBorders>
              <w:top w:val="single" w:sz="4" w:space="0" w:color="000000"/>
              <w:left w:val="single" w:sz="4" w:space="0" w:color="000000"/>
              <w:bottom w:val="single" w:sz="4" w:space="0" w:color="000000"/>
              <w:right w:val="nil"/>
            </w:tcBorders>
            <w:vAlign w:val="center"/>
            <w:hideMark/>
          </w:tcPr>
          <w:p w14:paraId="1DE9DCFF"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Descrição</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2FCFD570"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NBM/SH</w:t>
            </w:r>
          </w:p>
        </w:tc>
      </w:tr>
      <w:tr w:rsidR="00247115" w:rsidRPr="00247115" w14:paraId="1B201FB2" w14:textId="77777777" w:rsidTr="00247115">
        <w:tc>
          <w:tcPr>
            <w:tcW w:w="709" w:type="dxa"/>
            <w:tcBorders>
              <w:top w:val="single" w:sz="4" w:space="0" w:color="000000"/>
              <w:left w:val="single" w:sz="4" w:space="0" w:color="000000"/>
              <w:bottom w:val="single" w:sz="4" w:space="0" w:color="000000"/>
              <w:right w:val="nil"/>
            </w:tcBorders>
            <w:hideMark/>
          </w:tcPr>
          <w:p w14:paraId="414059A1"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01</w:t>
            </w:r>
          </w:p>
        </w:tc>
        <w:tc>
          <w:tcPr>
            <w:tcW w:w="6521" w:type="dxa"/>
            <w:tcBorders>
              <w:top w:val="single" w:sz="4" w:space="0" w:color="000000"/>
              <w:left w:val="single" w:sz="4" w:space="0" w:color="000000"/>
              <w:bottom w:val="single" w:sz="4" w:space="0" w:color="000000"/>
              <w:right w:val="nil"/>
            </w:tcBorders>
            <w:hideMark/>
          </w:tcPr>
          <w:p w14:paraId="5CBB4057"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ROLO COMPACTADOR</w:t>
            </w:r>
          </w:p>
        </w:tc>
        <w:tc>
          <w:tcPr>
            <w:tcW w:w="2126" w:type="dxa"/>
            <w:tcBorders>
              <w:top w:val="single" w:sz="4" w:space="0" w:color="000000"/>
              <w:left w:val="single" w:sz="4" w:space="0" w:color="000000"/>
              <w:bottom w:val="single" w:sz="4" w:space="0" w:color="000000"/>
              <w:right w:val="single" w:sz="4" w:space="0" w:color="000000"/>
            </w:tcBorders>
            <w:hideMark/>
          </w:tcPr>
          <w:p w14:paraId="16A0350E"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8429.40.00</w:t>
            </w:r>
          </w:p>
        </w:tc>
      </w:tr>
      <w:tr w:rsidR="00247115" w:rsidRPr="00247115" w14:paraId="68FFE8B4" w14:textId="77777777" w:rsidTr="00247115">
        <w:tc>
          <w:tcPr>
            <w:tcW w:w="709" w:type="dxa"/>
            <w:tcBorders>
              <w:top w:val="single" w:sz="4" w:space="0" w:color="000000"/>
              <w:left w:val="single" w:sz="4" w:space="0" w:color="000000"/>
              <w:bottom w:val="single" w:sz="4" w:space="0" w:color="000000"/>
              <w:right w:val="nil"/>
            </w:tcBorders>
            <w:hideMark/>
          </w:tcPr>
          <w:p w14:paraId="3A6CBFB0"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02</w:t>
            </w:r>
          </w:p>
        </w:tc>
        <w:tc>
          <w:tcPr>
            <w:tcW w:w="6521" w:type="dxa"/>
            <w:tcBorders>
              <w:top w:val="single" w:sz="4" w:space="0" w:color="000000"/>
              <w:left w:val="single" w:sz="4" w:space="0" w:color="000000"/>
              <w:bottom w:val="single" w:sz="4" w:space="0" w:color="000000"/>
              <w:right w:val="nil"/>
            </w:tcBorders>
            <w:hideMark/>
          </w:tcPr>
          <w:p w14:paraId="79029C79"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TRATOR DE ESTEIRA</w:t>
            </w:r>
          </w:p>
        </w:tc>
        <w:tc>
          <w:tcPr>
            <w:tcW w:w="2126" w:type="dxa"/>
            <w:tcBorders>
              <w:top w:val="single" w:sz="4" w:space="0" w:color="000000"/>
              <w:left w:val="single" w:sz="4" w:space="0" w:color="000000"/>
              <w:bottom w:val="single" w:sz="4" w:space="0" w:color="000000"/>
              <w:right w:val="single" w:sz="4" w:space="0" w:color="000000"/>
            </w:tcBorders>
            <w:hideMark/>
          </w:tcPr>
          <w:p w14:paraId="7439D07B"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8429.11.90</w:t>
            </w:r>
          </w:p>
        </w:tc>
      </w:tr>
      <w:tr w:rsidR="00247115" w:rsidRPr="00247115" w14:paraId="48140600" w14:textId="77777777" w:rsidTr="00247115">
        <w:tc>
          <w:tcPr>
            <w:tcW w:w="709" w:type="dxa"/>
            <w:tcBorders>
              <w:top w:val="single" w:sz="4" w:space="0" w:color="000000"/>
              <w:left w:val="single" w:sz="4" w:space="0" w:color="000000"/>
              <w:bottom w:val="single" w:sz="4" w:space="0" w:color="000000"/>
              <w:right w:val="nil"/>
            </w:tcBorders>
            <w:hideMark/>
          </w:tcPr>
          <w:p w14:paraId="3C8F427E"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03</w:t>
            </w:r>
          </w:p>
        </w:tc>
        <w:tc>
          <w:tcPr>
            <w:tcW w:w="6521" w:type="dxa"/>
            <w:tcBorders>
              <w:top w:val="single" w:sz="4" w:space="0" w:color="000000"/>
              <w:left w:val="single" w:sz="4" w:space="0" w:color="000000"/>
              <w:bottom w:val="single" w:sz="4" w:space="0" w:color="000000"/>
              <w:right w:val="nil"/>
            </w:tcBorders>
            <w:hideMark/>
          </w:tcPr>
          <w:p w14:paraId="5EF6B456"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PÁ CARREGADEIRA</w:t>
            </w:r>
          </w:p>
        </w:tc>
        <w:tc>
          <w:tcPr>
            <w:tcW w:w="2126" w:type="dxa"/>
            <w:tcBorders>
              <w:top w:val="single" w:sz="4" w:space="0" w:color="000000"/>
              <w:left w:val="single" w:sz="4" w:space="0" w:color="000000"/>
              <w:bottom w:val="single" w:sz="4" w:space="0" w:color="000000"/>
              <w:right w:val="single" w:sz="4" w:space="0" w:color="000000"/>
            </w:tcBorders>
            <w:hideMark/>
          </w:tcPr>
          <w:p w14:paraId="39713BE8"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8429.51.90</w:t>
            </w:r>
          </w:p>
        </w:tc>
      </w:tr>
      <w:tr w:rsidR="00247115" w:rsidRPr="00247115" w14:paraId="2FAA91F4" w14:textId="77777777" w:rsidTr="00247115">
        <w:tc>
          <w:tcPr>
            <w:tcW w:w="709" w:type="dxa"/>
            <w:tcBorders>
              <w:top w:val="single" w:sz="4" w:space="0" w:color="000000"/>
              <w:left w:val="single" w:sz="4" w:space="0" w:color="000000"/>
              <w:bottom w:val="single" w:sz="4" w:space="0" w:color="000000"/>
              <w:right w:val="nil"/>
            </w:tcBorders>
            <w:hideMark/>
          </w:tcPr>
          <w:p w14:paraId="43371C38"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04</w:t>
            </w:r>
          </w:p>
        </w:tc>
        <w:tc>
          <w:tcPr>
            <w:tcW w:w="6521" w:type="dxa"/>
            <w:tcBorders>
              <w:top w:val="single" w:sz="4" w:space="0" w:color="000000"/>
              <w:left w:val="single" w:sz="4" w:space="0" w:color="000000"/>
              <w:bottom w:val="single" w:sz="4" w:space="0" w:color="000000"/>
              <w:right w:val="nil"/>
            </w:tcBorders>
            <w:hideMark/>
          </w:tcPr>
          <w:p w14:paraId="3442719A"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MOTONIVELADORA</w:t>
            </w:r>
          </w:p>
        </w:tc>
        <w:tc>
          <w:tcPr>
            <w:tcW w:w="2126" w:type="dxa"/>
            <w:tcBorders>
              <w:top w:val="single" w:sz="4" w:space="0" w:color="000000"/>
              <w:left w:val="single" w:sz="4" w:space="0" w:color="000000"/>
              <w:bottom w:val="single" w:sz="4" w:space="0" w:color="000000"/>
              <w:right w:val="single" w:sz="4" w:space="0" w:color="000000"/>
            </w:tcBorders>
            <w:hideMark/>
          </w:tcPr>
          <w:p w14:paraId="740CF1F1"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8429.20.90</w:t>
            </w:r>
          </w:p>
        </w:tc>
      </w:tr>
      <w:tr w:rsidR="00247115" w:rsidRPr="00247115" w14:paraId="7406E620" w14:textId="77777777" w:rsidTr="00247115">
        <w:tc>
          <w:tcPr>
            <w:tcW w:w="709" w:type="dxa"/>
            <w:tcBorders>
              <w:top w:val="single" w:sz="4" w:space="0" w:color="000000"/>
              <w:left w:val="single" w:sz="4" w:space="0" w:color="000000"/>
              <w:bottom w:val="single" w:sz="4" w:space="0" w:color="000000"/>
              <w:right w:val="nil"/>
            </w:tcBorders>
            <w:hideMark/>
          </w:tcPr>
          <w:p w14:paraId="3DAE0A98" w14:textId="77777777" w:rsidR="00247115" w:rsidRPr="00247115" w:rsidRDefault="00247115" w:rsidP="00247115">
            <w:pPr>
              <w:suppressAutoHyphens/>
              <w:spacing w:before="80"/>
              <w:jc w:val="both"/>
              <w:rPr>
                <w:rFonts w:ascii="Arial" w:hAnsi="Arial" w:cs="Arial"/>
                <w:i/>
                <w:sz w:val="24"/>
                <w:szCs w:val="24"/>
                <w:lang w:eastAsia="ar-SA"/>
              </w:rPr>
            </w:pPr>
            <w:r w:rsidRPr="00247115">
              <w:rPr>
                <w:rFonts w:ascii="Arial" w:hAnsi="Arial" w:cs="Arial"/>
                <w:i/>
                <w:sz w:val="24"/>
                <w:szCs w:val="24"/>
                <w:lang w:eastAsia="ar-SA"/>
              </w:rPr>
              <w:lastRenderedPageBreak/>
              <w:t>05</w:t>
            </w:r>
          </w:p>
        </w:tc>
        <w:tc>
          <w:tcPr>
            <w:tcW w:w="6521" w:type="dxa"/>
            <w:tcBorders>
              <w:top w:val="single" w:sz="4" w:space="0" w:color="000000"/>
              <w:left w:val="single" w:sz="4" w:space="0" w:color="000000"/>
              <w:bottom w:val="single" w:sz="4" w:space="0" w:color="000000"/>
              <w:right w:val="nil"/>
            </w:tcBorders>
            <w:hideMark/>
          </w:tcPr>
          <w:p w14:paraId="58D93199" w14:textId="77777777" w:rsidR="00247115" w:rsidRPr="00247115" w:rsidRDefault="00247115" w:rsidP="00247115">
            <w:pPr>
              <w:suppressAutoHyphens/>
              <w:spacing w:before="80"/>
              <w:jc w:val="both"/>
              <w:rPr>
                <w:rFonts w:ascii="Arial" w:hAnsi="Arial" w:cs="Arial"/>
                <w:i/>
                <w:sz w:val="24"/>
                <w:szCs w:val="24"/>
                <w:lang w:eastAsia="ar-SA"/>
              </w:rPr>
            </w:pPr>
            <w:r w:rsidRPr="00247115">
              <w:rPr>
                <w:rFonts w:ascii="Arial" w:hAnsi="Arial" w:cs="Arial"/>
                <w:i/>
                <w:sz w:val="24"/>
                <w:szCs w:val="24"/>
                <w:lang w:eastAsia="ar-SA"/>
              </w:rPr>
              <w:t>ESCAVADEIRA HIDRÁULICA</w:t>
            </w:r>
          </w:p>
        </w:tc>
        <w:tc>
          <w:tcPr>
            <w:tcW w:w="2126" w:type="dxa"/>
            <w:tcBorders>
              <w:top w:val="single" w:sz="4" w:space="0" w:color="000000"/>
              <w:left w:val="single" w:sz="4" w:space="0" w:color="000000"/>
              <w:bottom w:val="single" w:sz="4" w:space="0" w:color="000000"/>
              <w:right w:val="single" w:sz="4" w:space="0" w:color="000000"/>
            </w:tcBorders>
            <w:hideMark/>
          </w:tcPr>
          <w:p w14:paraId="1F50A642" w14:textId="77777777" w:rsidR="00247115" w:rsidRPr="00247115" w:rsidRDefault="00247115" w:rsidP="00247115">
            <w:pPr>
              <w:suppressAutoHyphens/>
              <w:spacing w:before="80"/>
              <w:jc w:val="right"/>
              <w:rPr>
                <w:rFonts w:ascii="Arial" w:hAnsi="Arial" w:cs="Arial"/>
                <w:i/>
                <w:sz w:val="24"/>
                <w:szCs w:val="24"/>
                <w:lang w:eastAsia="ar-SA"/>
              </w:rPr>
            </w:pPr>
            <w:r w:rsidRPr="00247115">
              <w:rPr>
                <w:rFonts w:ascii="Arial" w:hAnsi="Arial" w:cs="Arial"/>
                <w:i/>
                <w:sz w:val="24"/>
                <w:szCs w:val="24"/>
                <w:lang w:eastAsia="ar-SA"/>
              </w:rPr>
              <w:t>8429.52.90</w:t>
            </w:r>
          </w:p>
        </w:tc>
      </w:tr>
      <w:tr w:rsidR="00247115" w:rsidRPr="00247115" w14:paraId="12B54A9E" w14:textId="77777777" w:rsidTr="00247115">
        <w:trPr>
          <w:cantSplit/>
        </w:trPr>
        <w:tc>
          <w:tcPr>
            <w:tcW w:w="9356" w:type="dxa"/>
            <w:gridSpan w:val="3"/>
            <w:tcBorders>
              <w:top w:val="single" w:sz="4" w:space="0" w:color="000000"/>
              <w:left w:val="single" w:sz="4" w:space="0" w:color="000000"/>
              <w:bottom w:val="single" w:sz="4" w:space="0" w:color="000000"/>
              <w:right w:val="single" w:sz="4" w:space="0" w:color="000000"/>
            </w:tcBorders>
          </w:tcPr>
          <w:p w14:paraId="47B743A6" w14:textId="77777777" w:rsidR="00247115" w:rsidRPr="00247115" w:rsidRDefault="00247115" w:rsidP="00247115">
            <w:pPr>
              <w:tabs>
                <w:tab w:val="left" w:pos="709"/>
              </w:tabs>
              <w:suppressAutoHyphens/>
              <w:ind w:left="567"/>
              <w:jc w:val="both"/>
              <w:rPr>
                <w:rFonts w:ascii="Arial" w:hAnsi="Arial" w:cs="Arial"/>
                <w:i/>
                <w:color w:val="FF0000"/>
                <w:sz w:val="24"/>
                <w:szCs w:val="24"/>
                <w:lang w:eastAsia="ar-SA"/>
              </w:rPr>
            </w:pPr>
            <w:r w:rsidRPr="00247115">
              <w:rPr>
                <w:rFonts w:ascii="Arial" w:hAnsi="Arial" w:cs="Arial"/>
                <w:i/>
                <w:color w:val="FF0000"/>
                <w:sz w:val="24"/>
                <w:szCs w:val="24"/>
                <w:lang w:eastAsia="ar-SA"/>
              </w:rPr>
              <w:t>NOTA: Redação com vigência de 10.01.02 a 11.08.08.</w:t>
            </w:r>
          </w:p>
          <w:p w14:paraId="5CAB120B" w14:textId="77777777" w:rsidR="00247115" w:rsidRPr="00247115" w:rsidRDefault="00247115" w:rsidP="00247115">
            <w:pPr>
              <w:tabs>
                <w:tab w:val="left" w:pos="709"/>
              </w:tabs>
              <w:suppressAutoHyphens/>
              <w:spacing w:before="120"/>
              <w:ind w:left="284"/>
              <w:jc w:val="both"/>
              <w:rPr>
                <w:rFonts w:ascii="Arial" w:hAnsi="Arial" w:cs="Arial"/>
                <w:caps/>
                <w:sz w:val="24"/>
                <w:szCs w:val="24"/>
                <w:lang w:eastAsia="ar-SA"/>
              </w:rPr>
            </w:pPr>
            <w:r w:rsidRPr="00247115">
              <w:rPr>
                <w:rFonts w:ascii="Arial" w:hAnsi="Arial" w:cs="Arial"/>
                <w:caps/>
                <w:sz w:val="24"/>
                <w:szCs w:val="24"/>
                <w:lang w:eastAsia="ar-SA"/>
              </w:rPr>
              <w:t>CONFERIDA NOVA REDAÇÃO AO ITEM 05 DO APÊNDICE XII pelo ART. 2º DO DECRETO Nº 6.776, DE 06.08.08 - vigência: 12.08.08.</w:t>
            </w:r>
          </w:p>
          <w:p w14:paraId="29E00890" w14:textId="77777777" w:rsidR="00247115" w:rsidRPr="00247115" w:rsidRDefault="00247115" w:rsidP="00247115">
            <w:pPr>
              <w:suppressAutoHyphens/>
              <w:spacing w:before="80"/>
              <w:jc w:val="both"/>
              <w:rPr>
                <w:rFonts w:ascii="Arial" w:hAnsi="Arial" w:cs="Arial"/>
                <w:i/>
                <w:sz w:val="24"/>
                <w:szCs w:val="24"/>
                <w:lang w:eastAsia="ar-SA"/>
              </w:rPr>
            </w:pPr>
          </w:p>
        </w:tc>
      </w:tr>
      <w:tr w:rsidR="00247115" w:rsidRPr="00247115" w14:paraId="427F1B85" w14:textId="77777777" w:rsidTr="00247115">
        <w:tc>
          <w:tcPr>
            <w:tcW w:w="709" w:type="dxa"/>
            <w:tcBorders>
              <w:top w:val="single" w:sz="4" w:space="0" w:color="000000"/>
              <w:left w:val="single" w:sz="4" w:space="0" w:color="000000"/>
              <w:bottom w:val="single" w:sz="4" w:space="0" w:color="000000"/>
              <w:right w:val="nil"/>
            </w:tcBorders>
            <w:hideMark/>
          </w:tcPr>
          <w:p w14:paraId="4FFC3BC1"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05</w:t>
            </w:r>
          </w:p>
        </w:tc>
        <w:tc>
          <w:tcPr>
            <w:tcW w:w="6521" w:type="dxa"/>
            <w:tcBorders>
              <w:top w:val="single" w:sz="4" w:space="0" w:color="000000"/>
              <w:left w:val="single" w:sz="4" w:space="0" w:color="000000"/>
              <w:bottom w:val="single" w:sz="4" w:space="0" w:color="000000"/>
              <w:right w:val="nil"/>
            </w:tcBorders>
            <w:hideMark/>
          </w:tcPr>
          <w:p w14:paraId="1A8D4956" w14:textId="77777777" w:rsidR="00247115" w:rsidRPr="00247115" w:rsidRDefault="00247115" w:rsidP="00247115">
            <w:pPr>
              <w:tabs>
                <w:tab w:val="left" w:pos="708"/>
                <w:tab w:val="center" w:pos="4419"/>
                <w:tab w:val="right" w:pos="8838"/>
              </w:tabs>
              <w:rPr>
                <w:rFonts w:ascii="Arial" w:hAnsi="Arial" w:cs="Arial"/>
                <w:sz w:val="24"/>
                <w:szCs w:val="24"/>
                <w:lang w:eastAsia="ar-SA"/>
              </w:rPr>
            </w:pPr>
            <w:r w:rsidRPr="00247115">
              <w:rPr>
                <w:rFonts w:ascii="Arial" w:hAnsi="Arial" w:cs="Arial"/>
                <w:sz w:val="24"/>
                <w:szCs w:val="24"/>
                <w:lang w:eastAsia="ar-SA"/>
              </w:rPr>
              <w:t>ESCAVADEIRA HIDRÁULICA</w:t>
            </w:r>
          </w:p>
        </w:tc>
        <w:tc>
          <w:tcPr>
            <w:tcW w:w="2126" w:type="dxa"/>
            <w:tcBorders>
              <w:top w:val="single" w:sz="4" w:space="0" w:color="000000"/>
              <w:left w:val="single" w:sz="4" w:space="0" w:color="000000"/>
              <w:bottom w:val="single" w:sz="4" w:space="0" w:color="000000"/>
              <w:right w:val="single" w:sz="4" w:space="0" w:color="000000"/>
            </w:tcBorders>
            <w:hideMark/>
          </w:tcPr>
          <w:p w14:paraId="39432323"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8429.52.19</w:t>
            </w:r>
          </w:p>
          <w:p w14:paraId="5FA7C6B6"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8429.52.90</w:t>
            </w:r>
          </w:p>
        </w:tc>
      </w:tr>
      <w:tr w:rsidR="00247115" w:rsidRPr="00247115" w14:paraId="69848C81" w14:textId="77777777" w:rsidTr="00247115">
        <w:tc>
          <w:tcPr>
            <w:tcW w:w="709" w:type="dxa"/>
            <w:tcBorders>
              <w:top w:val="single" w:sz="4" w:space="0" w:color="000000"/>
              <w:left w:val="single" w:sz="4" w:space="0" w:color="000000"/>
              <w:bottom w:val="single" w:sz="4" w:space="0" w:color="000000"/>
              <w:right w:val="nil"/>
            </w:tcBorders>
            <w:hideMark/>
          </w:tcPr>
          <w:p w14:paraId="214F8A45"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06</w:t>
            </w:r>
          </w:p>
        </w:tc>
        <w:tc>
          <w:tcPr>
            <w:tcW w:w="6521" w:type="dxa"/>
            <w:tcBorders>
              <w:top w:val="single" w:sz="4" w:space="0" w:color="000000"/>
              <w:left w:val="single" w:sz="4" w:space="0" w:color="000000"/>
              <w:bottom w:val="single" w:sz="4" w:space="0" w:color="000000"/>
              <w:right w:val="nil"/>
            </w:tcBorders>
            <w:hideMark/>
          </w:tcPr>
          <w:p w14:paraId="03784173" w14:textId="77777777" w:rsidR="00247115" w:rsidRPr="00247115" w:rsidRDefault="00247115" w:rsidP="00247115">
            <w:pPr>
              <w:tabs>
                <w:tab w:val="left" w:pos="708"/>
                <w:tab w:val="center" w:pos="4419"/>
                <w:tab w:val="right" w:pos="8838"/>
              </w:tabs>
              <w:rPr>
                <w:rFonts w:ascii="Arial" w:hAnsi="Arial" w:cs="Arial"/>
                <w:sz w:val="24"/>
                <w:szCs w:val="24"/>
                <w:lang w:eastAsia="ar-SA"/>
              </w:rPr>
            </w:pPr>
            <w:r w:rsidRPr="00247115">
              <w:rPr>
                <w:rFonts w:ascii="Arial" w:hAnsi="Arial" w:cs="Arial"/>
                <w:sz w:val="24"/>
                <w:szCs w:val="24"/>
                <w:lang w:eastAsia="ar-SA"/>
              </w:rPr>
              <w:t>RETRO-ESCAVADEIRA</w:t>
            </w:r>
          </w:p>
        </w:tc>
        <w:tc>
          <w:tcPr>
            <w:tcW w:w="2126" w:type="dxa"/>
            <w:tcBorders>
              <w:top w:val="single" w:sz="4" w:space="0" w:color="000000"/>
              <w:left w:val="single" w:sz="4" w:space="0" w:color="000000"/>
              <w:bottom w:val="single" w:sz="4" w:space="0" w:color="000000"/>
              <w:right w:val="single" w:sz="4" w:space="0" w:color="000000"/>
            </w:tcBorders>
            <w:hideMark/>
          </w:tcPr>
          <w:p w14:paraId="37739E16" w14:textId="77777777" w:rsidR="00247115" w:rsidRPr="00247115" w:rsidRDefault="00247115" w:rsidP="00247115">
            <w:pPr>
              <w:suppressAutoHyphens/>
              <w:jc w:val="right"/>
              <w:rPr>
                <w:rFonts w:ascii="Arial" w:hAnsi="Arial" w:cs="Arial"/>
                <w:sz w:val="24"/>
                <w:szCs w:val="24"/>
                <w:lang w:val="en-US" w:eastAsia="ar-SA"/>
              </w:rPr>
            </w:pPr>
            <w:r w:rsidRPr="00247115">
              <w:rPr>
                <w:rFonts w:ascii="Arial" w:hAnsi="Arial" w:cs="Arial"/>
                <w:sz w:val="24"/>
                <w:szCs w:val="24"/>
                <w:lang w:val="en-US" w:eastAsia="ar-SA"/>
              </w:rPr>
              <w:t>8429.59.00</w:t>
            </w:r>
          </w:p>
        </w:tc>
      </w:tr>
      <w:tr w:rsidR="00247115" w:rsidRPr="00247115" w14:paraId="3294BCEA" w14:textId="77777777" w:rsidTr="00247115">
        <w:tc>
          <w:tcPr>
            <w:tcW w:w="709" w:type="dxa"/>
            <w:tcBorders>
              <w:top w:val="single" w:sz="4" w:space="0" w:color="000000"/>
              <w:left w:val="single" w:sz="4" w:space="0" w:color="000000"/>
              <w:bottom w:val="single" w:sz="4" w:space="0" w:color="000000"/>
              <w:right w:val="nil"/>
            </w:tcBorders>
            <w:hideMark/>
          </w:tcPr>
          <w:p w14:paraId="1D0F1AE4" w14:textId="77777777" w:rsidR="00247115" w:rsidRPr="00247115" w:rsidRDefault="00247115" w:rsidP="00247115">
            <w:pPr>
              <w:suppressAutoHyphens/>
              <w:spacing w:before="80"/>
              <w:jc w:val="center"/>
              <w:rPr>
                <w:rFonts w:ascii="Arial" w:hAnsi="Arial" w:cs="Arial"/>
                <w:sz w:val="24"/>
                <w:szCs w:val="24"/>
                <w:lang w:val="en-US" w:eastAsia="ar-SA"/>
              </w:rPr>
            </w:pPr>
            <w:r w:rsidRPr="00247115">
              <w:rPr>
                <w:rFonts w:ascii="Arial" w:hAnsi="Arial" w:cs="Arial"/>
                <w:sz w:val="24"/>
                <w:szCs w:val="24"/>
                <w:lang w:val="en-US" w:eastAsia="ar-SA"/>
              </w:rPr>
              <w:t>07</w:t>
            </w:r>
          </w:p>
        </w:tc>
        <w:tc>
          <w:tcPr>
            <w:tcW w:w="6521" w:type="dxa"/>
            <w:tcBorders>
              <w:top w:val="single" w:sz="4" w:space="0" w:color="000000"/>
              <w:left w:val="single" w:sz="4" w:space="0" w:color="000000"/>
              <w:bottom w:val="single" w:sz="4" w:space="0" w:color="000000"/>
              <w:right w:val="nil"/>
            </w:tcBorders>
            <w:hideMark/>
          </w:tcPr>
          <w:p w14:paraId="67875120" w14:textId="77777777" w:rsidR="00247115" w:rsidRPr="00247115" w:rsidRDefault="00247115" w:rsidP="00247115">
            <w:pPr>
              <w:suppressAutoHyphens/>
              <w:spacing w:before="80"/>
              <w:jc w:val="both"/>
              <w:rPr>
                <w:rFonts w:ascii="Arial" w:hAnsi="Arial" w:cs="Arial"/>
                <w:i/>
                <w:sz w:val="24"/>
                <w:szCs w:val="24"/>
                <w:lang w:val="en-US" w:eastAsia="ar-SA"/>
              </w:rPr>
            </w:pPr>
            <w:r w:rsidRPr="00247115">
              <w:rPr>
                <w:rFonts w:ascii="Arial" w:hAnsi="Arial" w:cs="Arial"/>
                <w:i/>
                <w:sz w:val="24"/>
                <w:szCs w:val="24"/>
                <w:lang w:val="en-US" w:eastAsia="ar-SA"/>
              </w:rPr>
              <w:t>SKID STEER LOADERS</w:t>
            </w:r>
          </w:p>
        </w:tc>
        <w:tc>
          <w:tcPr>
            <w:tcW w:w="2126" w:type="dxa"/>
            <w:tcBorders>
              <w:top w:val="single" w:sz="4" w:space="0" w:color="000000"/>
              <w:left w:val="single" w:sz="4" w:space="0" w:color="000000"/>
              <w:bottom w:val="single" w:sz="4" w:space="0" w:color="000000"/>
              <w:right w:val="single" w:sz="4" w:space="0" w:color="000000"/>
            </w:tcBorders>
            <w:hideMark/>
          </w:tcPr>
          <w:p w14:paraId="4D403096" w14:textId="77777777" w:rsidR="00247115" w:rsidRPr="00247115" w:rsidRDefault="00247115" w:rsidP="00694A63">
            <w:pPr>
              <w:suppressAutoHyphens/>
              <w:spacing w:before="80"/>
              <w:jc w:val="right"/>
              <w:rPr>
                <w:rFonts w:ascii="Arial" w:hAnsi="Arial" w:cs="Arial"/>
                <w:i/>
                <w:sz w:val="24"/>
                <w:szCs w:val="24"/>
                <w:lang w:eastAsia="ar-SA"/>
              </w:rPr>
            </w:pPr>
            <w:r w:rsidRPr="00247115">
              <w:rPr>
                <w:rFonts w:ascii="Arial" w:hAnsi="Arial" w:cs="Arial"/>
                <w:i/>
                <w:sz w:val="24"/>
                <w:szCs w:val="24"/>
                <w:lang w:eastAsia="ar-SA"/>
              </w:rPr>
              <w:t>8429.51.90</w:t>
            </w:r>
          </w:p>
        </w:tc>
      </w:tr>
      <w:tr w:rsidR="00247115" w:rsidRPr="00247115" w14:paraId="63B3818F" w14:textId="77777777" w:rsidTr="00247115">
        <w:trPr>
          <w:cantSplit/>
        </w:trPr>
        <w:tc>
          <w:tcPr>
            <w:tcW w:w="9356" w:type="dxa"/>
            <w:gridSpan w:val="3"/>
            <w:tcBorders>
              <w:top w:val="single" w:sz="4" w:space="0" w:color="000000"/>
              <w:left w:val="single" w:sz="4" w:space="0" w:color="000000"/>
              <w:bottom w:val="single" w:sz="4" w:space="0" w:color="000000"/>
              <w:right w:val="single" w:sz="4" w:space="0" w:color="000000"/>
            </w:tcBorders>
          </w:tcPr>
          <w:p w14:paraId="0F202F5B" w14:textId="77777777" w:rsidR="00247115" w:rsidRPr="00247115" w:rsidRDefault="00247115" w:rsidP="00247115">
            <w:pPr>
              <w:tabs>
                <w:tab w:val="left" w:pos="709"/>
              </w:tabs>
              <w:suppressAutoHyphens/>
              <w:ind w:left="567"/>
              <w:jc w:val="both"/>
              <w:rPr>
                <w:rFonts w:ascii="Arial" w:hAnsi="Arial" w:cs="Arial"/>
                <w:i/>
                <w:color w:val="FF0000"/>
                <w:sz w:val="24"/>
                <w:szCs w:val="24"/>
                <w:lang w:eastAsia="ar-SA"/>
              </w:rPr>
            </w:pPr>
            <w:r w:rsidRPr="00247115">
              <w:rPr>
                <w:rFonts w:ascii="Arial" w:hAnsi="Arial" w:cs="Arial"/>
                <w:i/>
                <w:color w:val="FF0000"/>
                <w:sz w:val="24"/>
                <w:szCs w:val="24"/>
                <w:lang w:eastAsia="ar-SA"/>
              </w:rPr>
              <w:t>NOTA: Redação com vigência de 10.01.02 a 11.08.08.</w:t>
            </w:r>
          </w:p>
          <w:p w14:paraId="60C5816F" w14:textId="77777777" w:rsidR="00247115" w:rsidRPr="00247115" w:rsidRDefault="00247115" w:rsidP="00247115">
            <w:pPr>
              <w:tabs>
                <w:tab w:val="left" w:pos="709"/>
              </w:tabs>
              <w:suppressAutoHyphens/>
              <w:spacing w:before="120"/>
              <w:ind w:left="284"/>
              <w:jc w:val="both"/>
              <w:rPr>
                <w:rFonts w:ascii="Arial" w:hAnsi="Arial" w:cs="Arial"/>
                <w:caps/>
                <w:sz w:val="24"/>
                <w:szCs w:val="24"/>
                <w:lang w:eastAsia="ar-SA"/>
              </w:rPr>
            </w:pPr>
            <w:r w:rsidRPr="00247115">
              <w:rPr>
                <w:rFonts w:ascii="Arial" w:hAnsi="Arial" w:cs="Arial"/>
                <w:caps/>
                <w:sz w:val="24"/>
                <w:szCs w:val="24"/>
                <w:lang w:eastAsia="ar-SA"/>
              </w:rPr>
              <w:t>CONFERIDA NOVA REDAÇÃO AO ITEM 07 DO APÊNDICE XII pelo ART. 2º DO DECRETO Nº 6.776, DE 06.08.08 - vigência: 12.08.08.</w:t>
            </w:r>
          </w:p>
          <w:p w14:paraId="14037530" w14:textId="77777777" w:rsidR="00247115" w:rsidRPr="00247115" w:rsidRDefault="00247115" w:rsidP="00247115">
            <w:pPr>
              <w:suppressAutoHyphens/>
              <w:spacing w:before="80"/>
              <w:jc w:val="both"/>
              <w:rPr>
                <w:rFonts w:ascii="Arial" w:hAnsi="Arial" w:cs="Arial"/>
                <w:i/>
                <w:sz w:val="24"/>
                <w:szCs w:val="24"/>
                <w:lang w:eastAsia="ar-SA"/>
              </w:rPr>
            </w:pPr>
          </w:p>
        </w:tc>
      </w:tr>
      <w:tr w:rsidR="00247115" w:rsidRPr="00247115" w14:paraId="50486AE5" w14:textId="77777777" w:rsidTr="00247115">
        <w:tc>
          <w:tcPr>
            <w:tcW w:w="709" w:type="dxa"/>
            <w:tcBorders>
              <w:top w:val="single" w:sz="4" w:space="0" w:color="000000"/>
              <w:left w:val="single" w:sz="4" w:space="0" w:color="000000"/>
              <w:bottom w:val="single" w:sz="4" w:space="0" w:color="000000"/>
              <w:right w:val="nil"/>
            </w:tcBorders>
            <w:hideMark/>
          </w:tcPr>
          <w:p w14:paraId="787E43F5" w14:textId="77777777" w:rsidR="00247115" w:rsidRPr="00247115" w:rsidRDefault="00247115" w:rsidP="00247115">
            <w:pPr>
              <w:suppressAutoHyphens/>
              <w:jc w:val="center"/>
              <w:rPr>
                <w:rFonts w:ascii="Arial" w:hAnsi="Arial" w:cs="Arial"/>
                <w:sz w:val="24"/>
                <w:szCs w:val="24"/>
                <w:lang w:val="en-US" w:eastAsia="ar-SA"/>
              </w:rPr>
            </w:pPr>
            <w:r w:rsidRPr="00247115">
              <w:rPr>
                <w:rFonts w:ascii="Arial" w:hAnsi="Arial" w:cs="Arial"/>
                <w:sz w:val="24"/>
                <w:szCs w:val="24"/>
                <w:lang w:val="en-US" w:eastAsia="ar-SA"/>
              </w:rPr>
              <w:t>07</w:t>
            </w:r>
          </w:p>
        </w:tc>
        <w:tc>
          <w:tcPr>
            <w:tcW w:w="6521" w:type="dxa"/>
            <w:tcBorders>
              <w:top w:val="single" w:sz="4" w:space="0" w:color="000000"/>
              <w:left w:val="single" w:sz="4" w:space="0" w:color="000000"/>
              <w:bottom w:val="single" w:sz="4" w:space="0" w:color="000000"/>
              <w:right w:val="nil"/>
            </w:tcBorders>
            <w:hideMark/>
          </w:tcPr>
          <w:p w14:paraId="1F01F542" w14:textId="77777777" w:rsidR="00247115" w:rsidRPr="00247115" w:rsidRDefault="00247115" w:rsidP="00247115">
            <w:pPr>
              <w:tabs>
                <w:tab w:val="left" w:pos="708"/>
                <w:tab w:val="center" w:pos="4419"/>
                <w:tab w:val="right" w:pos="8838"/>
              </w:tabs>
              <w:rPr>
                <w:rFonts w:ascii="Arial" w:hAnsi="Arial" w:cs="Arial"/>
                <w:sz w:val="24"/>
                <w:szCs w:val="24"/>
                <w:lang w:val="en-US" w:eastAsia="ar-SA"/>
              </w:rPr>
            </w:pPr>
            <w:r w:rsidRPr="00247115">
              <w:rPr>
                <w:rFonts w:ascii="Arial" w:hAnsi="Arial" w:cs="Arial"/>
                <w:sz w:val="24"/>
                <w:szCs w:val="24"/>
                <w:lang w:val="en-US" w:eastAsia="ar-SA"/>
              </w:rPr>
              <w:t>SKID STEER LOADERS</w:t>
            </w:r>
          </w:p>
        </w:tc>
        <w:tc>
          <w:tcPr>
            <w:tcW w:w="2126" w:type="dxa"/>
            <w:tcBorders>
              <w:top w:val="single" w:sz="4" w:space="0" w:color="000000"/>
              <w:left w:val="single" w:sz="4" w:space="0" w:color="000000"/>
              <w:bottom w:val="single" w:sz="4" w:space="0" w:color="000000"/>
              <w:right w:val="single" w:sz="4" w:space="0" w:color="000000"/>
            </w:tcBorders>
            <w:hideMark/>
          </w:tcPr>
          <w:p w14:paraId="292AA425"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8429.51.90</w:t>
            </w:r>
          </w:p>
          <w:p w14:paraId="63E7D7A3"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8429.51.92</w:t>
            </w:r>
          </w:p>
        </w:tc>
      </w:tr>
      <w:tr w:rsidR="00247115" w:rsidRPr="00247115" w14:paraId="71C343AB" w14:textId="77777777" w:rsidTr="00247115">
        <w:tc>
          <w:tcPr>
            <w:tcW w:w="709" w:type="dxa"/>
            <w:tcBorders>
              <w:top w:val="single" w:sz="4" w:space="0" w:color="000000"/>
              <w:left w:val="single" w:sz="4" w:space="0" w:color="000000"/>
              <w:bottom w:val="single" w:sz="4" w:space="0" w:color="000000"/>
              <w:right w:val="nil"/>
            </w:tcBorders>
            <w:hideMark/>
          </w:tcPr>
          <w:p w14:paraId="0539B580"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08</w:t>
            </w:r>
          </w:p>
        </w:tc>
        <w:tc>
          <w:tcPr>
            <w:tcW w:w="6521" w:type="dxa"/>
            <w:tcBorders>
              <w:top w:val="single" w:sz="4" w:space="0" w:color="000000"/>
              <w:left w:val="single" w:sz="4" w:space="0" w:color="000000"/>
              <w:bottom w:val="single" w:sz="4" w:space="0" w:color="000000"/>
              <w:right w:val="nil"/>
            </w:tcBorders>
            <w:hideMark/>
          </w:tcPr>
          <w:p w14:paraId="11F4AEF8"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CAMINHÃO FORA DE ESTRADA</w:t>
            </w:r>
          </w:p>
        </w:tc>
        <w:tc>
          <w:tcPr>
            <w:tcW w:w="2126" w:type="dxa"/>
            <w:tcBorders>
              <w:top w:val="single" w:sz="4" w:space="0" w:color="000000"/>
              <w:left w:val="single" w:sz="4" w:space="0" w:color="000000"/>
              <w:bottom w:val="single" w:sz="4" w:space="0" w:color="000000"/>
              <w:right w:val="single" w:sz="4" w:space="0" w:color="000000"/>
            </w:tcBorders>
            <w:hideMark/>
          </w:tcPr>
          <w:p w14:paraId="72E90DCC"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8704.10.00</w:t>
            </w:r>
          </w:p>
        </w:tc>
      </w:tr>
      <w:tr w:rsidR="00247115" w:rsidRPr="00247115" w14:paraId="7391C556" w14:textId="77777777" w:rsidTr="00247115">
        <w:tc>
          <w:tcPr>
            <w:tcW w:w="709" w:type="dxa"/>
            <w:tcBorders>
              <w:top w:val="single" w:sz="4" w:space="0" w:color="000000"/>
              <w:left w:val="single" w:sz="4" w:space="0" w:color="000000"/>
              <w:bottom w:val="single" w:sz="4" w:space="0" w:color="000000"/>
              <w:right w:val="nil"/>
            </w:tcBorders>
            <w:hideMark/>
          </w:tcPr>
          <w:p w14:paraId="6B07DB00"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09</w:t>
            </w:r>
          </w:p>
        </w:tc>
        <w:tc>
          <w:tcPr>
            <w:tcW w:w="6521" w:type="dxa"/>
            <w:tcBorders>
              <w:top w:val="single" w:sz="4" w:space="0" w:color="000000"/>
              <w:left w:val="single" w:sz="4" w:space="0" w:color="000000"/>
              <w:bottom w:val="single" w:sz="4" w:space="0" w:color="000000"/>
              <w:right w:val="nil"/>
            </w:tcBorders>
            <w:hideMark/>
          </w:tcPr>
          <w:p w14:paraId="27696DC9"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TRATOR FLORESTAL</w:t>
            </w:r>
          </w:p>
        </w:tc>
        <w:tc>
          <w:tcPr>
            <w:tcW w:w="2126" w:type="dxa"/>
            <w:tcBorders>
              <w:top w:val="single" w:sz="4" w:space="0" w:color="000000"/>
              <w:left w:val="single" w:sz="4" w:space="0" w:color="000000"/>
              <w:bottom w:val="single" w:sz="4" w:space="0" w:color="000000"/>
              <w:right w:val="single" w:sz="4" w:space="0" w:color="000000"/>
            </w:tcBorders>
            <w:hideMark/>
          </w:tcPr>
          <w:p w14:paraId="12A58952"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8701.90.00</w:t>
            </w:r>
          </w:p>
        </w:tc>
      </w:tr>
      <w:tr w:rsidR="00247115" w:rsidRPr="00247115" w14:paraId="68062C3B" w14:textId="77777777" w:rsidTr="00247115">
        <w:tc>
          <w:tcPr>
            <w:tcW w:w="709" w:type="dxa"/>
            <w:tcBorders>
              <w:top w:val="single" w:sz="4" w:space="0" w:color="000000"/>
              <w:left w:val="single" w:sz="4" w:space="0" w:color="000000"/>
              <w:bottom w:val="single" w:sz="4" w:space="0" w:color="000000"/>
              <w:right w:val="nil"/>
            </w:tcBorders>
            <w:hideMark/>
          </w:tcPr>
          <w:p w14:paraId="3A4C5713"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10</w:t>
            </w:r>
          </w:p>
        </w:tc>
        <w:tc>
          <w:tcPr>
            <w:tcW w:w="6521" w:type="dxa"/>
            <w:tcBorders>
              <w:top w:val="single" w:sz="4" w:space="0" w:color="000000"/>
              <w:left w:val="single" w:sz="4" w:space="0" w:color="000000"/>
              <w:bottom w:val="single" w:sz="4" w:space="0" w:color="000000"/>
              <w:right w:val="nil"/>
            </w:tcBorders>
            <w:hideMark/>
          </w:tcPr>
          <w:p w14:paraId="1DB53DDC"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CABEÇOTES LOGMAX</w:t>
            </w:r>
          </w:p>
        </w:tc>
        <w:tc>
          <w:tcPr>
            <w:tcW w:w="2126" w:type="dxa"/>
            <w:tcBorders>
              <w:top w:val="single" w:sz="4" w:space="0" w:color="000000"/>
              <w:left w:val="single" w:sz="4" w:space="0" w:color="000000"/>
              <w:bottom w:val="single" w:sz="4" w:space="0" w:color="000000"/>
              <w:right w:val="single" w:sz="4" w:space="0" w:color="000000"/>
            </w:tcBorders>
            <w:hideMark/>
          </w:tcPr>
          <w:p w14:paraId="4D12DF1D"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8433.90.90</w:t>
            </w:r>
          </w:p>
        </w:tc>
      </w:tr>
      <w:tr w:rsidR="00247115" w:rsidRPr="00247115" w14:paraId="4038DF0E" w14:textId="77777777" w:rsidTr="00247115">
        <w:tc>
          <w:tcPr>
            <w:tcW w:w="709" w:type="dxa"/>
            <w:tcBorders>
              <w:top w:val="single" w:sz="4" w:space="0" w:color="000000"/>
              <w:left w:val="single" w:sz="4" w:space="0" w:color="000000"/>
              <w:bottom w:val="single" w:sz="4" w:space="0" w:color="000000"/>
              <w:right w:val="nil"/>
            </w:tcBorders>
            <w:hideMark/>
          </w:tcPr>
          <w:p w14:paraId="4FDBC553"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11</w:t>
            </w:r>
          </w:p>
        </w:tc>
        <w:tc>
          <w:tcPr>
            <w:tcW w:w="6521" w:type="dxa"/>
            <w:tcBorders>
              <w:top w:val="single" w:sz="4" w:space="0" w:color="000000"/>
              <w:left w:val="single" w:sz="4" w:space="0" w:color="000000"/>
              <w:bottom w:val="single" w:sz="4" w:space="0" w:color="000000"/>
              <w:right w:val="nil"/>
            </w:tcBorders>
            <w:hideMark/>
          </w:tcPr>
          <w:p w14:paraId="3D2DDE97"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USINA DE SOLOS</w:t>
            </w:r>
          </w:p>
        </w:tc>
        <w:tc>
          <w:tcPr>
            <w:tcW w:w="2126" w:type="dxa"/>
            <w:tcBorders>
              <w:top w:val="single" w:sz="4" w:space="0" w:color="000000"/>
              <w:left w:val="single" w:sz="4" w:space="0" w:color="000000"/>
              <w:bottom w:val="single" w:sz="4" w:space="0" w:color="000000"/>
              <w:right w:val="single" w:sz="4" w:space="0" w:color="000000"/>
            </w:tcBorders>
            <w:hideMark/>
          </w:tcPr>
          <w:p w14:paraId="23C10DBD"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8474.39.00</w:t>
            </w:r>
          </w:p>
        </w:tc>
      </w:tr>
      <w:tr w:rsidR="00247115" w:rsidRPr="00247115" w14:paraId="2915D29E" w14:textId="77777777" w:rsidTr="00247115">
        <w:tc>
          <w:tcPr>
            <w:tcW w:w="709" w:type="dxa"/>
            <w:tcBorders>
              <w:top w:val="single" w:sz="4" w:space="0" w:color="000000"/>
              <w:left w:val="single" w:sz="4" w:space="0" w:color="000000"/>
              <w:bottom w:val="single" w:sz="4" w:space="0" w:color="000000"/>
              <w:right w:val="nil"/>
            </w:tcBorders>
            <w:hideMark/>
          </w:tcPr>
          <w:p w14:paraId="60D1FC4B"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12</w:t>
            </w:r>
          </w:p>
        </w:tc>
        <w:tc>
          <w:tcPr>
            <w:tcW w:w="6521" w:type="dxa"/>
            <w:tcBorders>
              <w:top w:val="single" w:sz="4" w:space="0" w:color="000000"/>
              <w:left w:val="single" w:sz="4" w:space="0" w:color="000000"/>
              <w:bottom w:val="single" w:sz="4" w:space="0" w:color="000000"/>
              <w:right w:val="nil"/>
            </w:tcBorders>
            <w:hideMark/>
          </w:tcPr>
          <w:p w14:paraId="72C8ABC6"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USINA DE ASFALTO</w:t>
            </w:r>
          </w:p>
        </w:tc>
        <w:tc>
          <w:tcPr>
            <w:tcW w:w="2126" w:type="dxa"/>
            <w:tcBorders>
              <w:top w:val="single" w:sz="4" w:space="0" w:color="000000"/>
              <w:left w:val="single" w:sz="4" w:space="0" w:color="000000"/>
              <w:bottom w:val="single" w:sz="4" w:space="0" w:color="000000"/>
              <w:right w:val="single" w:sz="4" w:space="0" w:color="000000"/>
            </w:tcBorders>
            <w:hideMark/>
          </w:tcPr>
          <w:p w14:paraId="1772C5AA"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8474.32.00</w:t>
            </w:r>
          </w:p>
        </w:tc>
      </w:tr>
      <w:tr w:rsidR="00247115" w:rsidRPr="00247115" w14:paraId="7B03960C" w14:textId="77777777" w:rsidTr="00247115">
        <w:tc>
          <w:tcPr>
            <w:tcW w:w="709" w:type="dxa"/>
            <w:tcBorders>
              <w:top w:val="single" w:sz="4" w:space="0" w:color="000000"/>
              <w:left w:val="single" w:sz="4" w:space="0" w:color="000000"/>
              <w:bottom w:val="single" w:sz="4" w:space="0" w:color="000000"/>
              <w:right w:val="nil"/>
            </w:tcBorders>
            <w:hideMark/>
          </w:tcPr>
          <w:p w14:paraId="453DB24B"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13</w:t>
            </w:r>
          </w:p>
        </w:tc>
        <w:tc>
          <w:tcPr>
            <w:tcW w:w="6521" w:type="dxa"/>
            <w:tcBorders>
              <w:top w:val="single" w:sz="4" w:space="0" w:color="000000"/>
              <w:left w:val="single" w:sz="4" w:space="0" w:color="000000"/>
              <w:bottom w:val="single" w:sz="4" w:space="0" w:color="000000"/>
              <w:right w:val="nil"/>
            </w:tcBorders>
            <w:hideMark/>
          </w:tcPr>
          <w:p w14:paraId="6AEDB83E"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VIBRO ACABADORA DE ASFALTO</w:t>
            </w:r>
          </w:p>
        </w:tc>
        <w:tc>
          <w:tcPr>
            <w:tcW w:w="2126" w:type="dxa"/>
            <w:tcBorders>
              <w:top w:val="single" w:sz="4" w:space="0" w:color="000000"/>
              <w:left w:val="single" w:sz="4" w:space="0" w:color="000000"/>
              <w:bottom w:val="single" w:sz="4" w:space="0" w:color="000000"/>
              <w:right w:val="single" w:sz="4" w:space="0" w:color="000000"/>
            </w:tcBorders>
            <w:hideMark/>
          </w:tcPr>
          <w:p w14:paraId="3CC209ED"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8479.10.10</w:t>
            </w:r>
          </w:p>
        </w:tc>
      </w:tr>
      <w:tr w:rsidR="00247115" w:rsidRPr="00247115" w14:paraId="435704F3" w14:textId="77777777" w:rsidTr="00247115">
        <w:tc>
          <w:tcPr>
            <w:tcW w:w="709" w:type="dxa"/>
            <w:tcBorders>
              <w:top w:val="single" w:sz="4" w:space="0" w:color="000000"/>
              <w:left w:val="single" w:sz="4" w:space="0" w:color="000000"/>
              <w:bottom w:val="single" w:sz="4" w:space="0" w:color="000000"/>
              <w:right w:val="nil"/>
            </w:tcBorders>
            <w:hideMark/>
          </w:tcPr>
          <w:p w14:paraId="53A0391A"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14</w:t>
            </w:r>
          </w:p>
        </w:tc>
        <w:tc>
          <w:tcPr>
            <w:tcW w:w="6521" w:type="dxa"/>
            <w:tcBorders>
              <w:top w:val="single" w:sz="4" w:space="0" w:color="000000"/>
              <w:left w:val="single" w:sz="4" w:space="0" w:color="000000"/>
              <w:bottom w:val="single" w:sz="4" w:space="0" w:color="000000"/>
              <w:right w:val="nil"/>
            </w:tcBorders>
            <w:hideMark/>
          </w:tcPr>
          <w:p w14:paraId="44BB8644"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ESPARGIDOR DE ASFALTO</w:t>
            </w:r>
          </w:p>
        </w:tc>
        <w:tc>
          <w:tcPr>
            <w:tcW w:w="2126" w:type="dxa"/>
            <w:tcBorders>
              <w:top w:val="single" w:sz="4" w:space="0" w:color="000000"/>
              <w:left w:val="single" w:sz="4" w:space="0" w:color="000000"/>
              <w:bottom w:val="single" w:sz="4" w:space="0" w:color="000000"/>
              <w:right w:val="single" w:sz="4" w:space="0" w:color="000000"/>
            </w:tcBorders>
            <w:hideMark/>
          </w:tcPr>
          <w:p w14:paraId="691AC727"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8479.10.10</w:t>
            </w:r>
          </w:p>
        </w:tc>
      </w:tr>
      <w:tr w:rsidR="00247115" w:rsidRPr="00247115" w14:paraId="2A00B851" w14:textId="77777777" w:rsidTr="00247115">
        <w:tc>
          <w:tcPr>
            <w:tcW w:w="709" w:type="dxa"/>
            <w:tcBorders>
              <w:top w:val="single" w:sz="4" w:space="0" w:color="000000"/>
              <w:left w:val="single" w:sz="4" w:space="0" w:color="000000"/>
              <w:bottom w:val="single" w:sz="4" w:space="0" w:color="000000"/>
              <w:right w:val="nil"/>
            </w:tcBorders>
            <w:hideMark/>
          </w:tcPr>
          <w:p w14:paraId="7C65B9B0"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15</w:t>
            </w:r>
          </w:p>
        </w:tc>
        <w:tc>
          <w:tcPr>
            <w:tcW w:w="6521" w:type="dxa"/>
            <w:tcBorders>
              <w:top w:val="single" w:sz="4" w:space="0" w:color="000000"/>
              <w:left w:val="single" w:sz="4" w:space="0" w:color="000000"/>
              <w:bottom w:val="single" w:sz="4" w:space="0" w:color="000000"/>
              <w:right w:val="nil"/>
            </w:tcBorders>
            <w:hideMark/>
          </w:tcPr>
          <w:p w14:paraId="659185DA"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DISTRIBUIDOR DE AGREGADOS</w:t>
            </w:r>
          </w:p>
        </w:tc>
        <w:tc>
          <w:tcPr>
            <w:tcW w:w="2126" w:type="dxa"/>
            <w:tcBorders>
              <w:top w:val="single" w:sz="4" w:space="0" w:color="000000"/>
              <w:left w:val="single" w:sz="4" w:space="0" w:color="000000"/>
              <w:bottom w:val="single" w:sz="4" w:space="0" w:color="000000"/>
              <w:right w:val="single" w:sz="4" w:space="0" w:color="000000"/>
            </w:tcBorders>
            <w:hideMark/>
          </w:tcPr>
          <w:p w14:paraId="1AC8F236"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8479.10.90</w:t>
            </w:r>
          </w:p>
        </w:tc>
      </w:tr>
      <w:tr w:rsidR="00247115" w:rsidRPr="00247115" w14:paraId="3FC8FC3C" w14:textId="77777777" w:rsidTr="00247115">
        <w:tc>
          <w:tcPr>
            <w:tcW w:w="709" w:type="dxa"/>
            <w:tcBorders>
              <w:top w:val="single" w:sz="4" w:space="0" w:color="000000"/>
              <w:left w:val="single" w:sz="4" w:space="0" w:color="000000"/>
              <w:bottom w:val="single" w:sz="4" w:space="0" w:color="000000"/>
              <w:right w:val="nil"/>
            </w:tcBorders>
            <w:hideMark/>
          </w:tcPr>
          <w:p w14:paraId="78ABC5D4"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16</w:t>
            </w:r>
          </w:p>
        </w:tc>
        <w:tc>
          <w:tcPr>
            <w:tcW w:w="6521" w:type="dxa"/>
            <w:tcBorders>
              <w:top w:val="single" w:sz="4" w:space="0" w:color="000000"/>
              <w:left w:val="single" w:sz="4" w:space="0" w:color="000000"/>
              <w:bottom w:val="single" w:sz="4" w:space="0" w:color="000000"/>
              <w:right w:val="nil"/>
            </w:tcBorders>
            <w:hideMark/>
          </w:tcPr>
          <w:p w14:paraId="70D13E03"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CALDEIRA</w:t>
            </w:r>
          </w:p>
        </w:tc>
        <w:tc>
          <w:tcPr>
            <w:tcW w:w="2126" w:type="dxa"/>
            <w:tcBorders>
              <w:top w:val="single" w:sz="4" w:space="0" w:color="000000"/>
              <w:left w:val="single" w:sz="4" w:space="0" w:color="000000"/>
              <w:bottom w:val="single" w:sz="4" w:space="0" w:color="000000"/>
              <w:right w:val="single" w:sz="4" w:space="0" w:color="000000"/>
            </w:tcBorders>
            <w:hideMark/>
          </w:tcPr>
          <w:p w14:paraId="2644FDCA"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8419.50.21</w:t>
            </w:r>
          </w:p>
        </w:tc>
      </w:tr>
      <w:tr w:rsidR="00247115" w:rsidRPr="00247115" w14:paraId="6CDC5931" w14:textId="77777777" w:rsidTr="00247115">
        <w:tc>
          <w:tcPr>
            <w:tcW w:w="709" w:type="dxa"/>
            <w:tcBorders>
              <w:top w:val="single" w:sz="4" w:space="0" w:color="000000"/>
              <w:left w:val="single" w:sz="4" w:space="0" w:color="000000"/>
              <w:bottom w:val="single" w:sz="4" w:space="0" w:color="000000"/>
              <w:right w:val="nil"/>
            </w:tcBorders>
            <w:hideMark/>
          </w:tcPr>
          <w:p w14:paraId="1C815913"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17</w:t>
            </w:r>
          </w:p>
        </w:tc>
        <w:tc>
          <w:tcPr>
            <w:tcW w:w="6521" w:type="dxa"/>
            <w:tcBorders>
              <w:top w:val="single" w:sz="4" w:space="0" w:color="000000"/>
              <w:left w:val="single" w:sz="4" w:space="0" w:color="000000"/>
              <w:bottom w:val="single" w:sz="4" w:space="0" w:color="000000"/>
              <w:right w:val="nil"/>
            </w:tcBorders>
            <w:hideMark/>
          </w:tcPr>
          <w:p w14:paraId="2942E820"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QUEIMADOR CF04</w:t>
            </w:r>
          </w:p>
        </w:tc>
        <w:tc>
          <w:tcPr>
            <w:tcW w:w="2126" w:type="dxa"/>
            <w:tcBorders>
              <w:top w:val="single" w:sz="4" w:space="0" w:color="000000"/>
              <w:left w:val="single" w:sz="4" w:space="0" w:color="000000"/>
              <w:bottom w:val="single" w:sz="4" w:space="0" w:color="000000"/>
              <w:right w:val="single" w:sz="4" w:space="0" w:color="000000"/>
            </w:tcBorders>
            <w:hideMark/>
          </w:tcPr>
          <w:p w14:paraId="06CFCC46"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8416.10.00</w:t>
            </w:r>
          </w:p>
        </w:tc>
      </w:tr>
      <w:tr w:rsidR="00247115" w:rsidRPr="00247115" w14:paraId="0FB73C68" w14:textId="77777777" w:rsidTr="00247115">
        <w:tc>
          <w:tcPr>
            <w:tcW w:w="709" w:type="dxa"/>
            <w:tcBorders>
              <w:top w:val="single" w:sz="4" w:space="0" w:color="000000"/>
              <w:left w:val="single" w:sz="4" w:space="0" w:color="000000"/>
              <w:bottom w:val="single" w:sz="4" w:space="0" w:color="000000"/>
              <w:right w:val="nil"/>
            </w:tcBorders>
            <w:hideMark/>
          </w:tcPr>
          <w:p w14:paraId="5C569CBE"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18</w:t>
            </w:r>
          </w:p>
        </w:tc>
        <w:tc>
          <w:tcPr>
            <w:tcW w:w="6521" w:type="dxa"/>
            <w:tcBorders>
              <w:top w:val="single" w:sz="4" w:space="0" w:color="000000"/>
              <w:left w:val="single" w:sz="4" w:space="0" w:color="000000"/>
              <w:bottom w:val="single" w:sz="4" w:space="0" w:color="000000"/>
              <w:right w:val="nil"/>
            </w:tcBorders>
            <w:hideMark/>
          </w:tcPr>
          <w:p w14:paraId="01C80D41"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FILTRO DE MANGAS</w:t>
            </w:r>
          </w:p>
        </w:tc>
        <w:tc>
          <w:tcPr>
            <w:tcW w:w="2126" w:type="dxa"/>
            <w:tcBorders>
              <w:top w:val="single" w:sz="4" w:space="0" w:color="000000"/>
              <w:left w:val="single" w:sz="4" w:space="0" w:color="000000"/>
              <w:bottom w:val="single" w:sz="4" w:space="0" w:color="000000"/>
              <w:right w:val="single" w:sz="4" w:space="0" w:color="000000"/>
            </w:tcBorders>
            <w:hideMark/>
          </w:tcPr>
          <w:p w14:paraId="72B11D20"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8421.39.90</w:t>
            </w:r>
          </w:p>
        </w:tc>
      </w:tr>
      <w:tr w:rsidR="00247115" w:rsidRPr="00247115" w14:paraId="2053C7BC" w14:textId="77777777" w:rsidTr="00247115">
        <w:tc>
          <w:tcPr>
            <w:tcW w:w="709" w:type="dxa"/>
            <w:tcBorders>
              <w:top w:val="single" w:sz="4" w:space="0" w:color="000000"/>
              <w:left w:val="single" w:sz="4" w:space="0" w:color="000000"/>
              <w:bottom w:val="single" w:sz="4" w:space="0" w:color="000000"/>
              <w:right w:val="nil"/>
            </w:tcBorders>
            <w:hideMark/>
          </w:tcPr>
          <w:p w14:paraId="03951BDB"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19</w:t>
            </w:r>
          </w:p>
        </w:tc>
        <w:tc>
          <w:tcPr>
            <w:tcW w:w="6521" w:type="dxa"/>
            <w:tcBorders>
              <w:top w:val="single" w:sz="4" w:space="0" w:color="000000"/>
              <w:left w:val="single" w:sz="4" w:space="0" w:color="000000"/>
              <w:bottom w:val="single" w:sz="4" w:space="0" w:color="000000"/>
              <w:right w:val="nil"/>
            </w:tcBorders>
            <w:hideMark/>
          </w:tcPr>
          <w:p w14:paraId="0A5A4B45"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SEMI-REBOQUE(PLATAFORMA)</w:t>
            </w:r>
          </w:p>
        </w:tc>
        <w:tc>
          <w:tcPr>
            <w:tcW w:w="2126" w:type="dxa"/>
            <w:tcBorders>
              <w:top w:val="single" w:sz="4" w:space="0" w:color="000000"/>
              <w:left w:val="single" w:sz="4" w:space="0" w:color="000000"/>
              <w:bottom w:val="single" w:sz="4" w:space="0" w:color="000000"/>
              <w:right w:val="single" w:sz="4" w:space="0" w:color="000000"/>
            </w:tcBorders>
            <w:hideMark/>
          </w:tcPr>
          <w:p w14:paraId="45065E13"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8716.40.00</w:t>
            </w:r>
          </w:p>
        </w:tc>
      </w:tr>
      <w:tr w:rsidR="00247115" w:rsidRPr="00247115" w14:paraId="271DBB0E" w14:textId="77777777" w:rsidTr="00247115">
        <w:tc>
          <w:tcPr>
            <w:tcW w:w="709" w:type="dxa"/>
            <w:tcBorders>
              <w:top w:val="single" w:sz="4" w:space="0" w:color="000000"/>
              <w:left w:val="single" w:sz="4" w:space="0" w:color="000000"/>
              <w:bottom w:val="single" w:sz="4" w:space="0" w:color="000000"/>
              <w:right w:val="nil"/>
            </w:tcBorders>
            <w:hideMark/>
          </w:tcPr>
          <w:p w14:paraId="4922400D"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20</w:t>
            </w:r>
          </w:p>
        </w:tc>
        <w:tc>
          <w:tcPr>
            <w:tcW w:w="6521" w:type="dxa"/>
            <w:tcBorders>
              <w:top w:val="single" w:sz="4" w:space="0" w:color="000000"/>
              <w:left w:val="single" w:sz="4" w:space="0" w:color="000000"/>
              <w:bottom w:val="single" w:sz="4" w:space="0" w:color="000000"/>
              <w:right w:val="nil"/>
            </w:tcBorders>
            <w:hideMark/>
          </w:tcPr>
          <w:p w14:paraId="42001AE0"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SISTEMA DE AQUECIMENTO COM ESTOCAGEM</w:t>
            </w:r>
          </w:p>
        </w:tc>
        <w:tc>
          <w:tcPr>
            <w:tcW w:w="2126" w:type="dxa"/>
            <w:tcBorders>
              <w:top w:val="single" w:sz="4" w:space="0" w:color="000000"/>
              <w:left w:val="single" w:sz="4" w:space="0" w:color="000000"/>
              <w:bottom w:val="single" w:sz="4" w:space="0" w:color="000000"/>
              <w:right w:val="single" w:sz="4" w:space="0" w:color="000000"/>
            </w:tcBorders>
            <w:hideMark/>
          </w:tcPr>
          <w:p w14:paraId="1913C949"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8419.50.90</w:t>
            </w:r>
          </w:p>
        </w:tc>
      </w:tr>
      <w:tr w:rsidR="00247115" w:rsidRPr="00247115" w14:paraId="43549FCF" w14:textId="77777777" w:rsidTr="00247115">
        <w:tc>
          <w:tcPr>
            <w:tcW w:w="709" w:type="dxa"/>
            <w:tcBorders>
              <w:top w:val="single" w:sz="4" w:space="0" w:color="000000"/>
              <w:left w:val="single" w:sz="4" w:space="0" w:color="000000"/>
              <w:bottom w:val="single" w:sz="4" w:space="0" w:color="000000"/>
              <w:right w:val="nil"/>
            </w:tcBorders>
            <w:hideMark/>
          </w:tcPr>
          <w:p w14:paraId="3A9DD124"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21</w:t>
            </w:r>
          </w:p>
        </w:tc>
        <w:tc>
          <w:tcPr>
            <w:tcW w:w="6521" w:type="dxa"/>
            <w:tcBorders>
              <w:top w:val="single" w:sz="4" w:space="0" w:color="000000"/>
              <w:left w:val="single" w:sz="4" w:space="0" w:color="000000"/>
              <w:bottom w:val="single" w:sz="4" w:space="0" w:color="000000"/>
              <w:right w:val="nil"/>
            </w:tcBorders>
            <w:hideMark/>
          </w:tcPr>
          <w:p w14:paraId="536D2FBD"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SISTEMA DE AQUECIMENTO DE ASFALTO E COMBUSTÍVEL (TANCAGEM)</w:t>
            </w:r>
          </w:p>
        </w:tc>
        <w:tc>
          <w:tcPr>
            <w:tcW w:w="2126" w:type="dxa"/>
            <w:tcBorders>
              <w:top w:val="single" w:sz="4" w:space="0" w:color="000000"/>
              <w:left w:val="single" w:sz="4" w:space="0" w:color="000000"/>
              <w:bottom w:val="single" w:sz="4" w:space="0" w:color="000000"/>
              <w:right w:val="single" w:sz="4" w:space="0" w:color="000000"/>
            </w:tcBorders>
            <w:hideMark/>
          </w:tcPr>
          <w:p w14:paraId="1ECD4173"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7309.00.90</w:t>
            </w:r>
          </w:p>
        </w:tc>
      </w:tr>
      <w:tr w:rsidR="00247115" w:rsidRPr="00247115" w14:paraId="1F648A26" w14:textId="77777777" w:rsidTr="00247115">
        <w:tc>
          <w:tcPr>
            <w:tcW w:w="709" w:type="dxa"/>
            <w:tcBorders>
              <w:top w:val="single" w:sz="4" w:space="0" w:color="000000"/>
              <w:left w:val="single" w:sz="4" w:space="0" w:color="000000"/>
              <w:bottom w:val="single" w:sz="4" w:space="0" w:color="000000"/>
              <w:right w:val="nil"/>
            </w:tcBorders>
            <w:hideMark/>
          </w:tcPr>
          <w:p w14:paraId="2083A989"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22</w:t>
            </w:r>
          </w:p>
        </w:tc>
        <w:tc>
          <w:tcPr>
            <w:tcW w:w="6521" w:type="dxa"/>
            <w:tcBorders>
              <w:top w:val="single" w:sz="4" w:space="0" w:color="000000"/>
              <w:left w:val="single" w:sz="4" w:space="0" w:color="000000"/>
              <w:bottom w:val="single" w:sz="4" w:space="0" w:color="000000"/>
              <w:right w:val="nil"/>
            </w:tcBorders>
            <w:hideMark/>
          </w:tcPr>
          <w:p w14:paraId="760B9E5E"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QUEIMADOR</w:t>
            </w:r>
          </w:p>
        </w:tc>
        <w:tc>
          <w:tcPr>
            <w:tcW w:w="2126" w:type="dxa"/>
            <w:tcBorders>
              <w:top w:val="single" w:sz="4" w:space="0" w:color="000000"/>
              <w:left w:val="single" w:sz="4" w:space="0" w:color="000000"/>
              <w:bottom w:val="single" w:sz="4" w:space="0" w:color="000000"/>
              <w:right w:val="single" w:sz="4" w:space="0" w:color="000000"/>
            </w:tcBorders>
            <w:hideMark/>
          </w:tcPr>
          <w:p w14:paraId="36C785CB"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8416.10.00</w:t>
            </w:r>
          </w:p>
        </w:tc>
      </w:tr>
      <w:tr w:rsidR="00247115" w:rsidRPr="00247115" w14:paraId="053CDCCD" w14:textId="77777777" w:rsidTr="00247115">
        <w:trPr>
          <w:cantSplit/>
        </w:trPr>
        <w:tc>
          <w:tcPr>
            <w:tcW w:w="9356" w:type="dxa"/>
            <w:gridSpan w:val="3"/>
            <w:tcBorders>
              <w:top w:val="single" w:sz="4" w:space="0" w:color="000000"/>
              <w:left w:val="single" w:sz="4" w:space="0" w:color="000000"/>
              <w:bottom w:val="single" w:sz="4" w:space="0" w:color="000000"/>
              <w:right w:val="single" w:sz="4" w:space="0" w:color="000000"/>
            </w:tcBorders>
            <w:hideMark/>
          </w:tcPr>
          <w:p w14:paraId="6F149FA1" w14:textId="77777777" w:rsidR="00247115" w:rsidRPr="00247115" w:rsidRDefault="00247115" w:rsidP="00247115">
            <w:pPr>
              <w:tabs>
                <w:tab w:val="left" w:pos="709"/>
              </w:tabs>
              <w:suppressAutoHyphens/>
              <w:spacing w:before="120"/>
              <w:ind w:left="284"/>
              <w:jc w:val="both"/>
              <w:rPr>
                <w:rFonts w:ascii="Arial" w:hAnsi="Arial" w:cs="Arial"/>
                <w:caps/>
                <w:sz w:val="24"/>
                <w:szCs w:val="24"/>
                <w:lang w:eastAsia="ar-SA"/>
              </w:rPr>
            </w:pPr>
            <w:r w:rsidRPr="00247115">
              <w:rPr>
                <w:rFonts w:ascii="Arial" w:hAnsi="Arial" w:cs="Arial"/>
                <w:caps/>
                <w:sz w:val="24"/>
                <w:szCs w:val="24"/>
                <w:lang w:eastAsia="ar-SA"/>
              </w:rPr>
              <w:t>ACRESCIDO O ITEM 23 AO APÊNDICE XII PELO ART. 1º DO DECRETO Nº 7.013, DE 23.10.09 - vigência: 28.10.09.</w:t>
            </w:r>
          </w:p>
        </w:tc>
      </w:tr>
      <w:tr w:rsidR="00247115" w:rsidRPr="00247115" w14:paraId="6EC55374" w14:textId="77777777" w:rsidTr="00247115">
        <w:tc>
          <w:tcPr>
            <w:tcW w:w="709" w:type="dxa"/>
            <w:tcBorders>
              <w:top w:val="single" w:sz="4" w:space="0" w:color="000000"/>
              <w:left w:val="single" w:sz="4" w:space="0" w:color="000000"/>
              <w:bottom w:val="single" w:sz="4" w:space="0" w:color="000000"/>
              <w:right w:val="nil"/>
            </w:tcBorders>
            <w:hideMark/>
          </w:tcPr>
          <w:p w14:paraId="0AEF5AF3"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23</w:t>
            </w:r>
          </w:p>
        </w:tc>
        <w:tc>
          <w:tcPr>
            <w:tcW w:w="6521" w:type="dxa"/>
            <w:tcBorders>
              <w:top w:val="single" w:sz="4" w:space="0" w:color="000000"/>
              <w:left w:val="single" w:sz="4" w:space="0" w:color="000000"/>
              <w:bottom w:val="single" w:sz="4" w:space="0" w:color="000000"/>
              <w:right w:val="nil"/>
            </w:tcBorders>
            <w:hideMark/>
          </w:tcPr>
          <w:p w14:paraId="1B80D1C7" w14:textId="77777777" w:rsidR="00247115" w:rsidRPr="00247115" w:rsidRDefault="00247115" w:rsidP="00247115">
            <w:pPr>
              <w:tabs>
                <w:tab w:val="left" w:pos="708"/>
                <w:tab w:val="center" w:pos="4419"/>
                <w:tab w:val="right" w:pos="8838"/>
              </w:tabs>
              <w:suppressAutoHyphens/>
              <w:rPr>
                <w:rFonts w:ascii="Arial" w:hAnsi="Arial" w:cs="Arial"/>
                <w:sz w:val="24"/>
                <w:szCs w:val="24"/>
                <w:lang w:eastAsia="ar-SA"/>
              </w:rPr>
            </w:pPr>
            <w:r w:rsidRPr="00247115">
              <w:rPr>
                <w:rFonts w:ascii="Arial" w:hAnsi="Arial" w:cs="Arial"/>
                <w:sz w:val="24"/>
                <w:szCs w:val="24"/>
                <w:lang w:eastAsia="ar-SA"/>
              </w:rPr>
              <w:t>FRESADORA DE ASFALTO</w:t>
            </w:r>
          </w:p>
        </w:tc>
        <w:tc>
          <w:tcPr>
            <w:tcW w:w="2126" w:type="dxa"/>
            <w:tcBorders>
              <w:top w:val="single" w:sz="4" w:space="0" w:color="000000"/>
              <w:left w:val="single" w:sz="4" w:space="0" w:color="000000"/>
              <w:bottom w:val="single" w:sz="4" w:space="0" w:color="000000"/>
              <w:right w:val="single" w:sz="4" w:space="0" w:color="000000"/>
            </w:tcBorders>
            <w:hideMark/>
          </w:tcPr>
          <w:p w14:paraId="37FC8D4B"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8430.69.90</w:t>
            </w:r>
          </w:p>
        </w:tc>
      </w:tr>
      <w:tr w:rsidR="00247115" w:rsidRPr="00247115" w14:paraId="0BAB494E" w14:textId="77777777" w:rsidTr="00247115">
        <w:trPr>
          <w:cantSplit/>
        </w:trPr>
        <w:tc>
          <w:tcPr>
            <w:tcW w:w="9356" w:type="dxa"/>
            <w:gridSpan w:val="3"/>
            <w:tcBorders>
              <w:top w:val="single" w:sz="4" w:space="0" w:color="000000"/>
              <w:left w:val="single" w:sz="4" w:space="0" w:color="000000"/>
              <w:bottom w:val="single" w:sz="4" w:space="0" w:color="000000"/>
              <w:right w:val="single" w:sz="4" w:space="0" w:color="000000"/>
            </w:tcBorders>
            <w:hideMark/>
          </w:tcPr>
          <w:p w14:paraId="231F87D9" w14:textId="77777777" w:rsidR="00247115" w:rsidRPr="00247115" w:rsidRDefault="00247115" w:rsidP="00247115">
            <w:pPr>
              <w:tabs>
                <w:tab w:val="left" w:pos="709"/>
              </w:tabs>
              <w:suppressAutoHyphens/>
              <w:spacing w:before="120"/>
              <w:ind w:left="284"/>
              <w:jc w:val="both"/>
              <w:rPr>
                <w:rFonts w:ascii="Arial" w:hAnsi="Arial" w:cs="Arial"/>
                <w:caps/>
                <w:sz w:val="24"/>
                <w:szCs w:val="24"/>
                <w:lang w:eastAsia="ar-SA"/>
              </w:rPr>
            </w:pPr>
            <w:r w:rsidRPr="00247115">
              <w:rPr>
                <w:rFonts w:ascii="Arial" w:hAnsi="Arial" w:cs="Arial"/>
                <w:caps/>
                <w:sz w:val="24"/>
                <w:szCs w:val="24"/>
                <w:lang w:eastAsia="ar-SA"/>
              </w:rPr>
              <w:t>ACRESCIDO O ITEM 24 AO APÊNDICE XII PELO ART. 1º DO DECRETO Nº 7.472, DE 20.10.11 - vigência: 26.10.11.</w:t>
            </w:r>
          </w:p>
        </w:tc>
      </w:tr>
      <w:tr w:rsidR="00247115" w:rsidRPr="00247115" w14:paraId="1ADE58B7" w14:textId="77777777" w:rsidTr="00247115">
        <w:tc>
          <w:tcPr>
            <w:tcW w:w="709" w:type="dxa"/>
            <w:tcBorders>
              <w:top w:val="single" w:sz="4" w:space="0" w:color="auto"/>
              <w:left w:val="single" w:sz="4" w:space="0" w:color="auto"/>
              <w:bottom w:val="single" w:sz="4" w:space="0" w:color="auto"/>
              <w:right w:val="single" w:sz="4" w:space="0" w:color="auto"/>
            </w:tcBorders>
            <w:hideMark/>
          </w:tcPr>
          <w:p w14:paraId="4527F506"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24</w:t>
            </w:r>
          </w:p>
        </w:tc>
        <w:tc>
          <w:tcPr>
            <w:tcW w:w="6521" w:type="dxa"/>
            <w:tcBorders>
              <w:top w:val="single" w:sz="4" w:space="0" w:color="auto"/>
              <w:left w:val="single" w:sz="4" w:space="0" w:color="auto"/>
              <w:bottom w:val="single" w:sz="4" w:space="0" w:color="auto"/>
              <w:right w:val="single" w:sz="4" w:space="0" w:color="auto"/>
            </w:tcBorders>
            <w:hideMark/>
          </w:tcPr>
          <w:p w14:paraId="28EFD028"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EMPILHADEIRAS, EXCETO MÁQUINA APANHADORA E CARREGADORA DE CANA AUTOPROPULSADA, E VEÍCULOS PARA MOVIMENTAÇÃO DE CARGA E SEMELHANTES, EQUIPADOS COM DISPOSITIVOS DE ELEVAÇÃO</w:t>
            </w:r>
          </w:p>
        </w:tc>
        <w:tc>
          <w:tcPr>
            <w:tcW w:w="2126" w:type="dxa"/>
            <w:tcBorders>
              <w:top w:val="single" w:sz="4" w:space="0" w:color="auto"/>
              <w:left w:val="single" w:sz="4" w:space="0" w:color="auto"/>
              <w:bottom w:val="single" w:sz="4" w:space="0" w:color="auto"/>
              <w:right w:val="single" w:sz="4" w:space="0" w:color="auto"/>
            </w:tcBorders>
            <w:hideMark/>
          </w:tcPr>
          <w:p w14:paraId="1311545E"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8427.20.90</w:t>
            </w:r>
          </w:p>
        </w:tc>
      </w:tr>
      <w:tr w:rsidR="00247115" w:rsidRPr="00247115" w14:paraId="58C3D751" w14:textId="77777777" w:rsidTr="00247115">
        <w:trPr>
          <w:cantSplit/>
        </w:trPr>
        <w:tc>
          <w:tcPr>
            <w:tcW w:w="9356" w:type="dxa"/>
            <w:gridSpan w:val="3"/>
            <w:tcBorders>
              <w:top w:val="single" w:sz="4" w:space="0" w:color="000000"/>
              <w:left w:val="single" w:sz="4" w:space="0" w:color="000000"/>
              <w:bottom w:val="single" w:sz="4" w:space="0" w:color="000000"/>
              <w:right w:val="single" w:sz="4" w:space="0" w:color="000000"/>
            </w:tcBorders>
            <w:hideMark/>
          </w:tcPr>
          <w:p w14:paraId="5EFE31A8" w14:textId="77777777" w:rsidR="00247115" w:rsidRPr="00247115" w:rsidRDefault="00247115" w:rsidP="00247115">
            <w:pPr>
              <w:tabs>
                <w:tab w:val="left" w:pos="709"/>
              </w:tabs>
              <w:suppressAutoHyphens/>
              <w:spacing w:before="120"/>
              <w:ind w:left="284"/>
              <w:jc w:val="both"/>
              <w:rPr>
                <w:rFonts w:ascii="Arial" w:hAnsi="Arial" w:cs="Arial"/>
                <w:caps/>
                <w:sz w:val="24"/>
                <w:szCs w:val="24"/>
                <w:lang w:eastAsia="ar-SA"/>
              </w:rPr>
            </w:pPr>
            <w:r w:rsidRPr="00247115">
              <w:rPr>
                <w:rFonts w:ascii="Arial" w:hAnsi="Arial" w:cs="Arial"/>
                <w:caps/>
                <w:sz w:val="24"/>
                <w:szCs w:val="24"/>
                <w:lang w:eastAsia="ar-SA"/>
              </w:rPr>
              <w:t>ACRESCIDO O ITEM 25 AO APÊNDICE XII PELO ART. 1º DO DECRETO Nº 7.472, DE 20.10.11 - vigência: 26.10.11.</w:t>
            </w:r>
          </w:p>
        </w:tc>
      </w:tr>
      <w:tr w:rsidR="00247115" w:rsidRPr="00247115" w14:paraId="66BC9399" w14:textId="77777777" w:rsidTr="00247115">
        <w:tc>
          <w:tcPr>
            <w:tcW w:w="709" w:type="dxa"/>
            <w:tcBorders>
              <w:top w:val="single" w:sz="4" w:space="0" w:color="auto"/>
              <w:left w:val="single" w:sz="4" w:space="0" w:color="auto"/>
              <w:bottom w:val="single" w:sz="4" w:space="0" w:color="auto"/>
              <w:right w:val="single" w:sz="4" w:space="0" w:color="auto"/>
            </w:tcBorders>
            <w:hideMark/>
          </w:tcPr>
          <w:p w14:paraId="6C281DBB"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lastRenderedPageBreak/>
              <w:t>25</w:t>
            </w:r>
          </w:p>
        </w:tc>
        <w:tc>
          <w:tcPr>
            <w:tcW w:w="6521" w:type="dxa"/>
            <w:tcBorders>
              <w:top w:val="single" w:sz="4" w:space="0" w:color="auto"/>
              <w:left w:val="single" w:sz="4" w:space="0" w:color="auto"/>
              <w:bottom w:val="single" w:sz="4" w:space="0" w:color="auto"/>
              <w:right w:val="single" w:sz="4" w:space="0" w:color="auto"/>
            </w:tcBorders>
            <w:hideMark/>
          </w:tcPr>
          <w:p w14:paraId="5A0990EF"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CAÇAMBAS, MESMO DE MANDÍBULAS, PÁS, GANCHOS E TENAZES</w:t>
            </w:r>
          </w:p>
        </w:tc>
        <w:tc>
          <w:tcPr>
            <w:tcW w:w="2126" w:type="dxa"/>
            <w:tcBorders>
              <w:top w:val="single" w:sz="4" w:space="0" w:color="auto"/>
              <w:left w:val="single" w:sz="4" w:space="0" w:color="auto"/>
              <w:bottom w:val="single" w:sz="4" w:space="0" w:color="auto"/>
              <w:right w:val="single" w:sz="4" w:space="0" w:color="auto"/>
            </w:tcBorders>
            <w:hideMark/>
          </w:tcPr>
          <w:p w14:paraId="3C0A005C"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8431.41.00</w:t>
            </w:r>
          </w:p>
        </w:tc>
      </w:tr>
      <w:tr w:rsidR="00247115" w:rsidRPr="00247115" w14:paraId="5AF9C054" w14:textId="77777777" w:rsidTr="00247115">
        <w:trPr>
          <w:cantSplit/>
        </w:trPr>
        <w:tc>
          <w:tcPr>
            <w:tcW w:w="9356" w:type="dxa"/>
            <w:gridSpan w:val="3"/>
            <w:tcBorders>
              <w:top w:val="single" w:sz="4" w:space="0" w:color="000000"/>
              <w:left w:val="single" w:sz="4" w:space="0" w:color="000000"/>
              <w:bottom w:val="single" w:sz="4" w:space="0" w:color="000000"/>
              <w:right w:val="single" w:sz="4" w:space="0" w:color="000000"/>
            </w:tcBorders>
            <w:hideMark/>
          </w:tcPr>
          <w:p w14:paraId="6B774E0A" w14:textId="77777777" w:rsidR="00247115" w:rsidRPr="00247115" w:rsidRDefault="00247115" w:rsidP="00247115">
            <w:pPr>
              <w:tabs>
                <w:tab w:val="left" w:pos="709"/>
              </w:tabs>
              <w:suppressAutoHyphens/>
              <w:spacing w:before="120"/>
              <w:ind w:left="284"/>
              <w:jc w:val="both"/>
              <w:rPr>
                <w:rFonts w:ascii="Arial" w:hAnsi="Arial" w:cs="Arial"/>
                <w:caps/>
                <w:sz w:val="24"/>
                <w:szCs w:val="24"/>
                <w:lang w:eastAsia="ar-SA"/>
              </w:rPr>
            </w:pPr>
            <w:r w:rsidRPr="00247115">
              <w:rPr>
                <w:rFonts w:ascii="Arial" w:hAnsi="Arial" w:cs="Arial"/>
                <w:caps/>
                <w:sz w:val="24"/>
                <w:szCs w:val="24"/>
                <w:lang w:eastAsia="ar-SA"/>
              </w:rPr>
              <w:t>ACRESCIDO O ITEM 26 AO APÊNDICE XII PELO ART. 1º DO DECRETO Nº 7.472, DE 20.10.11 - vigência: 26.10.11.</w:t>
            </w:r>
          </w:p>
        </w:tc>
      </w:tr>
      <w:tr w:rsidR="00247115" w:rsidRPr="00247115" w14:paraId="32C38982" w14:textId="77777777" w:rsidTr="00247115">
        <w:tc>
          <w:tcPr>
            <w:tcW w:w="709" w:type="dxa"/>
            <w:tcBorders>
              <w:top w:val="single" w:sz="4" w:space="0" w:color="auto"/>
              <w:left w:val="single" w:sz="4" w:space="0" w:color="auto"/>
              <w:bottom w:val="single" w:sz="4" w:space="0" w:color="auto"/>
              <w:right w:val="single" w:sz="4" w:space="0" w:color="auto"/>
            </w:tcBorders>
            <w:hideMark/>
          </w:tcPr>
          <w:p w14:paraId="3A544988"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26</w:t>
            </w:r>
          </w:p>
        </w:tc>
        <w:tc>
          <w:tcPr>
            <w:tcW w:w="6521" w:type="dxa"/>
            <w:tcBorders>
              <w:top w:val="single" w:sz="4" w:space="0" w:color="auto"/>
              <w:left w:val="single" w:sz="4" w:space="0" w:color="auto"/>
              <w:bottom w:val="single" w:sz="4" w:space="0" w:color="auto"/>
              <w:right w:val="single" w:sz="4" w:space="0" w:color="auto"/>
            </w:tcBorders>
            <w:hideMark/>
          </w:tcPr>
          <w:p w14:paraId="4E95B947"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PARTES DAS MÁQUINAS E APARELHOS DAS POSIÇÕES 84.29 OU 84.30</w:t>
            </w:r>
          </w:p>
        </w:tc>
        <w:tc>
          <w:tcPr>
            <w:tcW w:w="2126" w:type="dxa"/>
            <w:tcBorders>
              <w:top w:val="single" w:sz="4" w:space="0" w:color="auto"/>
              <w:left w:val="single" w:sz="4" w:space="0" w:color="auto"/>
              <w:bottom w:val="single" w:sz="4" w:space="0" w:color="auto"/>
              <w:right w:val="single" w:sz="4" w:space="0" w:color="auto"/>
            </w:tcBorders>
            <w:hideMark/>
          </w:tcPr>
          <w:p w14:paraId="60F1AE96"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8431.49.29</w:t>
            </w:r>
          </w:p>
        </w:tc>
      </w:tr>
      <w:tr w:rsidR="00247115" w:rsidRPr="00247115" w14:paraId="2FE15DD1" w14:textId="77777777" w:rsidTr="00247115">
        <w:trPr>
          <w:cantSplit/>
        </w:trPr>
        <w:tc>
          <w:tcPr>
            <w:tcW w:w="9356" w:type="dxa"/>
            <w:gridSpan w:val="3"/>
            <w:tcBorders>
              <w:top w:val="single" w:sz="4" w:space="0" w:color="000000"/>
              <w:left w:val="single" w:sz="4" w:space="0" w:color="000000"/>
              <w:bottom w:val="single" w:sz="4" w:space="0" w:color="000000"/>
              <w:right w:val="single" w:sz="4" w:space="0" w:color="000000"/>
            </w:tcBorders>
            <w:hideMark/>
          </w:tcPr>
          <w:p w14:paraId="127F11FA" w14:textId="77777777" w:rsidR="00247115" w:rsidRPr="00247115" w:rsidRDefault="00247115" w:rsidP="00247115">
            <w:pPr>
              <w:tabs>
                <w:tab w:val="left" w:pos="709"/>
              </w:tabs>
              <w:suppressAutoHyphens/>
              <w:spacing w:before="120"/>
              <w:ind w:left="284"/>
              <w:jc w:val="both"/>
              <w:rPr>
                <w:rFonts w:ascii="Arial" w:hAnsi="Arial" w:cs="Arial"/>
                <w:caps/>
                <w:sz w:val="24"/>
                <w:szCs w:val="24"/>
                <w:lang w:eastAsia="ar-SA"/>
              </w:rPr>
            </w:pPr>
            <w:r w:rsidRPr="00247115">
              <w:rPr>
                <w:rFonts w:ascii="Arial" w:hAnsi="Arial" w:cs="Arial"/>
                <w:caps/>
                <w:sz w:val="24"/>
                <w:szCs w:val="24"/>
                <w:lang w:eastAsia="ar-SA"/>
              </w:rPr>
              <w:t>ACRESCIDO O ITEM 27 AO APÊNDICE XII PELO ART. 1º DO DECRETO Nº 7.472, DE 20.10.11 - vigência: 26.10.11.</w:t>
            </w:r>
          </w:p>
        </w:tc>
      </w:tr>
      <w:tr w:rsidR="00247115" w:rsidRPr="00247115" w14:paraId="519558D9" w14:textId="77777777" w:rsidTr="00247115">
        <w:tc>
          <w:tcPr>
            <w:tcW w:w="709" w:type="dxa"/>
            <w:tcBorders>
              <w:top w:val="single" w:sz="4" w:space="0" w:color="auto"/>
              <w:left w:val="single" w:sz="4" w:space="0" w:color="auto"/>
              <w:bottom w:val="single" w:sz="4" w:space="0" w:color="auto"/>
              <w:right w:val="single" w:sz="4" w:space="0" w:color="auto"/>
            </w:tcBorders>
            <w:hideMark/>
          </w:tcPr>
          <w:p w14:paraId="73D8E507"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27</w:t>
            </w:r>
          </w:p>
        </w:tc>
        <w:tc>
          <w:tcPr>
            <w:tcW w:w="6521" w:type="dxa"/>
            <w:tcBorders>
              <w:top w:val="single" w:sz="4" w:space="0" w:color="auto"/>
              <w:left w:val="single" w:sz="4" w:space="0" w:color="auto"/>
              <w:bottom w:val="single" w:sz="4" w:space="0" w:color="auto"/>
              <w:right w:val="single" w:sz="4" w:space="0" w:color="auto"/>
            </w:tcBorders>
            <w:hideMark/>
          </w:tcPr>
          <w:p w14:paraId="62D73008" w14:textId="77777777" w:rsidR="00247115" w:rsidRPr="00247115" w:rsidRDefault="00247115" w:rsidP="00247115">
            <w:pPr>
              <w:suppressAutoHyphens/>
              <w:rPr>
                <w:rFonts w:ascii="Arial" w:hAnsi="Arial" w:cs="Arial"/>
                <w:sz w:val="24"/>
                <w:szCs w:val="24"/>
                <w:lang w:eastAsia="ar-SA"/>
              </w:rPr>
            </w:pPr>
            <w:r w:rsidRPr="00247115">
              <w:rPr>
                <w:rFonts w:ascii="Arial" w:hAnsi="Arial" w:cs="Arial"/>
                <w:sz w:val="24"/>
                <w:szCs w:val="24"/>
                <w:lang w:eastAsia="ar-SA"/>
              </w:rPr>
              <w:t>CARREGADORAS E PÁS CARREGADORAS, DE CARREGAMENTO FRONTAL</w:t>
            </w:r>
          </w:p>
        </w:tc>
        <w:tc>
          <w:tcPr>
            <w:tcW w:w="2126" w:type="dxa"/>
            <w:tcBorders>
              <w:top w:val="single" w:sz="4" w:space="0" w:color="auto"/>
              <w:left w:val="single" w:sz="4" w:space="0" w:color="auto"/>
              <w:bottom w:val="single" w:sz="4" w:space="0" w:color="auto"/>
              <w:right w:val="single" w:sz="4" w:space="0" w:color="auto"/>
            </w:tcBorders>
            <w:hideMark/>
          </w:tcPr>
          <w:p w14:paraId="745A91B9"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8429.51.99</w:t>
            </w:r>
          </w:p>
        </w:tc>
      </w:tr>
      <w:tr w:rsidR="00247115" w:rsidRPr="00247115" w14:paraId="2E515BD9" w14:textId="77777777" w:rsidTr="00247115">
        <w:trPr>
          <w:cantSplit/>
        </w:trPr>
        <w:tc>
          <w:tcPr>
            <w:tcW w:w="9356" w:type="dxa"/>
            <w:gridSpan w:val="3"/>
            <w:tcBorders>
              <w:top w:val="single" w:sz="4" w:space="0" w:color="000000"/>
              <w:left w:val="single" w:sz="4" w:space="0" w:color="000000"/>
              <w:bottom w:val="single" w:sz="4" w:space="0" w:color="000000"/>
              <w:right w:val="single" w:sz="4" w:space="0" w:color="000000"/>
            </w:tcBorders>
            <w:hideMark/>
          </w:tcPr>
          <w:p w14:paraId="697E535F" w14:textId="77777777" w:rsidR="00247115" w:rsidRPr="00247115" w:rsidRDefault="00247115" w:rsidP="00247115">
            <w:pPr>
              <w:tabs>
                <w:tab w:val="left" w:pos="709"/>
              </w:tabs>
              <w:suppressAutoHyphens/>
              <w:spacing w:before="120"/>
              <w:ind w:left="284"/>
              <w:jc w:val="both"/>
              <w:rPr>
                <w:rFonts w:ascii="Arial" w:hAnsi="Arial" w:cs="Arial"/>
                <w:caps/>
                <w:sz w:val="24"/>
                <w:szCs w:val="24"/>
                <w:lang w:eastAsia="ar-SA"/>
              </w:rPr>
            </w:pPr>
            <w:r w:rsidRPr="00247115">
              <w:rPr>
                <w:rFonts w:ascii="Arial" w:hAnsi="Arial" w:cs="Arial"/>
                <w:caps/>
                <w:sz w:val="24"/>
                <w:szCs w:val="24"/>
                <w:lang w:eastAsia="ar-SA"/>
              </w:rPr>
              <w:t>ACRESCIDO O ITEM 28 AO APÊNDICE XII PELO ART. 1º DO DECRETO Nº 7.472, DE 20.10.11 - vigência: 26.10.11.</w:t>
            </w:r>
          </w:p>
        </w:tc>
      </w:tr>
      <w:tr w:rsidR="00247115" w:rsidRPr="00247115" w14:paraId="724D1959" w14:textId="77777777" w:rsidTr="00247115">
        <w:tc>
          <w:tcPr>
            <w:tcW w:w="709" w:type="dxa"/>
            <w:tcBorders>
              <w:top w:val="single" w:sz="4" w:space="0" w:color="auto"/>
              <w:left w:val="single" w:sz="4" w:space="0" w:color="auto"/>
              <w:bottom w:val="single" w:sz="4" w:space="0" w:color="auto"/>
              <w:right w:val="single" w:sz="4" w:space="0" w:color="auto"/>
            </w:tcBorders>
            <w:hideMark/>
          </w:tcPr>
          <w:p w14:paraId="023D62BC" w14:textId="77777777" w:rsidR="00247115" w:rsidRPr="00247115" w:rsidRDefault="00247115" w:rsidP="00247115">
            <w:pPr>
              <w:suppressAutoHyphens/>
              <w:jc w:val="center"/>
              <w:rPr>
                <w:rFonts w:ascii="Arial" w:hAnsi="Arial" w:cs="Arial"/>
                <w:sz w:val="24"/>
                <w:szCs w:val="24"/>
                <w:lang w:eastAsia="ar-SA"/>
              </w:rPr>
            </w:pPr>
            <w:r w:rsidRPr="00247115">
              <w:rPr>
                <w:rFonts w:ascii="Arial" w:hAnsi="Arial" w:cs="Arial"/>
                <w:sz w:val="24"/>
                <w:szCs w:val="24"/>
                <w:lang w:eastAsia="ar-SA"/>
              </w:rPr>
              <w:t>28</w:t>
            </w:r>
          </w:p>
        </w:tc>
        <w:tc>
          <w:tcPr>
            <w:tcW w:w="6521" w:type="dxa"/>
            <w:tcBorders>
              <w:top w:val="single" w:sz="4" w:space="0" w:color="auto"/>
              <w:left w:val="single" w:sz="4" w:space="0" w:color="auto"/>
              <w:bottom w:val="single" w:sz="4" w:space="0" w:color="auto"/>
              <w:right w:val="single" w:sz="4" w:space="0" w:color="auto"/>
            </w:tcBorders>
            <w:hideMark/>
          </w:tcPr>
          <w:p w14:paraId="0801840B" w14:textId="77777777" w:rsidR="00247115" w:rsidRPr="00247115" w:rsidRDefault="00247115" w:rsidP="00247115">
            <w:pPr>
              <w:suppressAutoHyphens/>
              <w:jc w:val="both"/>
              <w:rPr>
                <w:rFonts w:ascii="Arial" w:hAnsi="Arial" w:cs="Arial"/>
                <w:sz w:val="24"/>
                <w:szCs w:val="24"/>
                <w:lang w:eastAsia="ar-SA"/>
              </w:rPr>
            </w:pPr>
            <w:r w:rsidRPr="00247115">
              <w:rPr>
                <w:rFonts w:ascii="Arial" w:hAnsi="Arial" w:cs="Arial"/>
                <w:sz w:val="24"/>
                <w:szCs w:val="24"/>
                <w:lang w:eastAsia="ar-SA"/>
              </w:rPr>
              <w:t>MÁQUINA CUJA ESTRUTURA É CAPAZ DE EFETUAR UMA ROTAÇÃO DE 360º, DE POTÊNCIA DO VOLANTE INFERIOR OU IGUAL A 40,3KW (54HP)</w:t>
            </w:r>
          </w:p>
        </w:tc>
        <w:tc>
          <w:tcPr>
            <w:tcW w:w="2126" w:type="dxa"/>
            <w:tcBorders>
              <w:top w:val="single" w:sz="4" w:space="0" w:color="auto"/>
              <w:left w:val="single" w:sz="4" w:space="0" w:color="auto"/>
              <w:bottom w:val="single" w:sz="4" w:space="0" w:color="auto"/>
              <w:right w:val="single" w:sz="4" w:space="0" w:color="auto"/>
            </w:tcBorders>
            <w:hideMark/>
          </w:tcPr>
          <w:p w14:paraId="3D3340E3" w14:textId="77777777" w:rsidR="00247115" w:rsidRPr="00247115" w:rsidRDefault="00247115" w:rsidP="00247115">
            <w:pPr>
              <w:suppressAutoHyphens/>
              <w:jc w:val="right"/>
              <w:rPr>
                <w:rFonts w:ascii="Arial" w:hAnsi="Arial" w:cs="Arial"/>
                <w:sz w:val="24"/>
                <w:szCs w:val="24"/>
                <w:lang w:eastAsia="ar-SA"/>
              </w:rPr>
            </w:pPr>
            <w:r w:rsidRPr="00247115">
              <w:rPr>
                <w:rFonts w:ascii="Arial" w:hAnsi="Arial" w:cs="Arial"/>
                <w:sz w:val="24"/>
                <w:szCs w:val="24"/>
                <w:lang w:eastAsia="ar-SA"/>
              </w:rPr>
              <w:t>8429.52.12”</w:t>
            </w:r>
          </w:p>
        </w:tc>
      </w:tr>
    </w:tbl>
    <w:p w14:paraId="5C03FC52" w14:textId="77777777" w:rsidR="00247115" w:rsidRDefault="00247115" w:rsidP="00713208">
      <w:pPr>
        <w:spacing w:line="360" w:lineRule="auto"/>
        <w:ind w:firstLine="851"/>
        <w:jc w:val="both"/>
        <w:rPr>
          <w:rFonts w:ascii="Arial" w:hAnsi="Arial" w:cs="Arial"/>
          <w:sz w:val="24"/>
          <w:szCs w:val="24"/>
        </w:rPr>
      </w:pPr>
    </w:p>
    <w:p w14:paraId="3985E9BC" w14:textId="6ABB85C3" w:rsidR="00390E90" w:rsidRDefault="009773DA" w:rsidP="00713208">
      <w:pPr>
        <w:spacing w:line="360" w:lineRule="auto"/>
        <w:ind w:firstLine="851"/>
        <w:jc w:val="both"/>
        <w:rPr>
          <w:rFonts w:ascii="Arial" w:hAnsi="Arial" w:cs="Arial"/>
          <w:sz w:val="24"/>
          <w:szCs w:val="24"/>
        </w:rPr>
      </w:pPr>
      <w:r w:rsidRPr="008470C7">
        <w:rPr>
          <w:rFonts w:ascii="Arial" w:hAnsi="Arial" w:cs="Arial"/>
          <w:b/>
          <w:sz w:val="24"/>
          <w:szCs w:val="24"/>
        </w:rPr>
        <w:t>Na sistemática vigente, e</w:t>
      </w:r>
      <w:r w:rsidR="007A2A92" w:rsidRPr="008470C7">
        <w:rPr>
          <w:rFonts w:ascii="Arial" w:hAnsi="Arial" w:cs="Arial"/>
          <w:b/>
          <w:sz w:val="24"/>
          <w:szCs w:val="24"/>
        </w:rPr>
        <w:t xml:space="preserve">sse rol pode ser </w:t>
      </w:r>
      <w:r w:rsidRPr="008470C7">
        <w:rPr>
          <w:rFonts w:ascii="Arial" w:hAnsi="Arial" w:cs="Arial"/>
          <w:b/>
          <w:sz w:val="24"/>
          <w:szCs w:val="24"/>
        </w:rPr>
        <w:t>ampliado ou reduzido</w:t>
      </w:r>
      <w:r w:rsidR="007A2A92" w:rsidRPr="008470C7">
        <w:rPr>
          <w:rFonts w:ascii="Arial" w:hAnsi="Arial" w:cs="Arial"/>
          <w:b/>
          <w:sz w:val="24"/>
          <w:szCs w:val="24"/>
        </w:rPr>
        <w:t xml:space="preserve">, conforme o exclusivo critério do </w:t>
      </w:r>
      <w:r w:rsidRPr="008470C7">
        <w:rPr>
          <w:rFonts w:ascii="Arial" w:hAnsi="Arial" w:cs="Arial"/>
          <w:b/>
          <w:sz w:val="24"/>
          <w:szCs w:val="24"/>
        </w:rPr>
        <w:t xml:space="preserve">Governador </w:t>
      </w:r>
      <w:r w:rsidR="007A2A92" w:rsidRPr="008470C7">
        <w:rPr>
          <w:rFonts w:ascii="Arial" w:hAnsi="Arial" w:cs="Arial"/>
          <w:b/>
          <w:sz w:val="24"/>
          <w:szCs w:val="24"/>
        </w:rPr>
        <w:t>do Estado de Goiás</w:t>
      </w:r>
      <w:r w:rsidRPr="008470C7">
        <w:rPr>
          <w:rFonts w:ascii="Arial" w:hAnsi="Arial" w:cs="Arial"/>
          <w:b/>
          <w:sz w:val="24"/>
          <w:szCs w:val="24"/>
        </w:rPr>
        <w:t xml:space="preserve"> e </w:t>
      </w:r>
      <w:r w:rsidR="008470C7">
        <w:rPr>
          <w:rFonts w:ascii="Arial" w:hAnsi="Arial" w:cs="Arial"/>
          <w:b/>
          <w:sz w:val="24"/>
          <w:szCs w:val="24"/>
        </w:rPr>
        <w:t>sua equipe</w:t>
      </w:r>
      <w:r w:rsidRPr="008470C7">
        <w:rPr>
          <w:rFonts w:ascii="Arial" w:hAnsi="Arial" w:cs="Arial"/>
          <w:b/>
          <w:sz w:val="24"/>
          <w:szCs w:val="24"/>
        </w:rPr>
        <w:t xml:space="preserve"> técnic</w:t>
      </w:r>
      <w:r w:rsidR="008470C7">
        <w:rPr>
          <w:rFonts w:ascii="Arial" w:hAnsi="Arial" w:cs="Arial"/>
          <w:b/>
          <w:sz w:val="24"/>
          <w:szCs w:val="24"/>
        </w:rPr>
        <w:t>a</w:t>
      </w:r>
      <w:r w:rsidR="00D01040">
        <w:rPr>
          <w:rFonts w:ascii="Arial" w:hAnsi="Arial" w:cs="Arial"/>
          <w:sz w:val="24"/>
          <w:szCs w:val="24"/>
        </w:rPr>
        <w:t xml:space="preserve">, sem qualquer participação do Parlamento; </w:t>
      </w:r>
      <w:r w:rsidR="007A2A92">
        <w:rPr>
          <w:rFonts w:ascii="Arial" w:hAnsi="Arial" w:cs="Arial"/>
          <w:sz w:val="24"/>
          <w:szCs w:val="24"/>
        </w:rPr>
        <w:t>ou mesmo</w:t>
      </w:r>
      <w:r w:rsidR="00D01040">
        <w:rPr>
          <w:rFonts w:ascii="Arial" w:hAnsi="Arial" w:cs="Arial"/>
          <w:sz w:val="24"/>
          <w:szCs w:val="24"/>
        </w:rPr>
        <w:t xml:space="preserve"> o benefício como um todo</w:t>
      </w:r>
      <w:r w:rsidR="007A2A92">
        <w:rPr>
          <w:rFonts w:ascii="Arial" w:hAnsi="Arial" w:cs="Arial"/>
          <w:sz w:val="24"/>
          <w:szCs w:val="24"/>
        </w:rPr>
        <w:t xml:space="preserve"> poderia nem existir</w:t>
      </w:r>
      <w:r w:rsidR="00D01040">
        <w:rPr>
          <w:rFonts w:ascii="Arial" w:hAnsi="Arial" w:cs="Arial"/>
          <w:sz w:val="24"/>
          <w:szCs w:val="24"/>
        </w:rPr>
        <w:t xml:space="preserve"> na prática</w:t>
      </w:r>
      <w:r w:rsidR="007A2A92">
        <w:rPr>
          <w:rFonts w:ascii="Arial" w:hAnsi="Arial" w:cs="Arial"/>
          <w:sz w:val="24"/>
          <w:szCs w:val="24"/>
        </w:rPr>
        <w:t xml:space="preserve">, visto </w:t>
      </w:r>
      <w:r w:rsidR="00D01040">
        <w:rPr>
          <w:rFonts w:ascii="Arial" w:hAnsi="Arial" w:cs="Arial"/>
          <w:sz w:val="24"/>
          <w:szCs w:val="24"/>
        </w:rPr>
        <w:t xml:space="preserve">que seu </w:t>
      </w:r>
      <w:r w:rsidR="007A2A92">
        <w:rPr>
          <w:rFonts w:ascii="Arial" w:hAnsi="Arial" w:cs="Arial"/>
          <w:sz w:val="24"/>
          <w:szCs w:val="24"/>
        </w:rPr>
        <w:t xml:space="preserve">fundamento legal é meramente </w:t>
      </w:r>
      <w:r>
        <w:rPr>
          <w:rFonts w:ascii="Arial" w:hAnsi="Arial" w:cs="Arial"/>
          <w:sz w:val="24"/>
          <w:szCs w:val="24"/>
        </w:rPr>
        <w:t xml:space="preserve">autorizativo, </w:t>
      </w:r>
      <w:r w:rsidR="00E90257">
        <w:rPr>
          <w:rFonts w:ascii="Arial" w:hAnsi="Arial" w:cs="Arial"/>
          <w:sz w:val="24"/>
          <w:szCs w:val="24"/>
        </w:rPr>
        <w:t>o que coloca inclusive os segmentos econômicos</w:t>
      </w:r>
      <w:r w:rsidR="00D01040">
        <w:rPr>
          <w:rFonts w:ascii="Arial" w:hAnsi="Arial" w:cs="Arial"/>
          <w:sz w:val="24"/>
          <w:szCs w:val="24"/>
        </w:rPr>
        <w:t xml:space="preserve"> afetados</w:t>
      </w:r>
      <w:r w:rsidR="00E90257">
        <w:rPr>
          <w:rFonts w:ascii="Arial" w:hAnsi="Arial" w:cs="Arial"/>
          <w:sz w:val="24"/>
          <w:szCs w:val="24"/>
        </w:rPr>
        <w:t xml:space="preserve"> literalmente “na mão” do </w:t>
      </w:r>
      <w:r w:rsidR="009E4052">
        <w:rPr>
          <w:rFonts w:ascii="Arial" w:hAnsi="Arial" w:cs="Arial"/>
          <w:sz w:val="24"/>
          <w:szCs w:val="24"/>
        </w:rPr>
        <w:t>Governador do Estado</w:t>
      </w:r>
      <w:r w:rsidR="00E90257">
        <w:rPr>
          <w:rFonts w:ascii="Arial" w:hAnsi="Arial" w:cs="Arial"/>
          <w:sz w:val="24"/>
          <w:szCs w:val="24"/>
        </w:rPr>
        <w:t>.</w:t>
      </w:r>
      <w:r w:rsidR="00597F5C">
        <w:rPr>
          <w:rFonts w:ascii="Arial" w:hAnsi="Arial" w:cs="Arial"/>
          <w:sz w:val="24"/>
          <w:szCs w:val="24"/>
        </w:rPr>
        <w:t xml:space="preserve"> Essa prática, além de não republicana, encontra-se contrária ao</w:t>
      </w:r>
      <w:r w:rsidR="00C11951">
        <w:rPr>
          <w:rFonts w:ascii="Arial" w:hAnsi="Arial" w:cs="Arial"/>
          <w:sz w:val="24"/>
          <w:szCs w:val="24"/>
        </w:rPr>
        <w:t>s</w:t>
      </w:r>
      <w:r w:rsidR="00597F5C">
        <w:rPr>
          <w:rFonts w:ascii="Arial" w:hAnsi="Arial" w:cs="Arial"/>
          <w:sz w:val="24"/>
          <w:szCs w:val="24"/>
        </w:rPr>
        <w:t xml:space="preserve"> mandamento</w:t>
      </w:r>
      <w:r w:rsidR="00C11951">
        <w:rPr>
          <w:rFonts w:ascii="Arial" w:hAnsi="Arial" w:cs="Arial"/>
          <w:sz w:val="24"/>
          <w:szCs w:val="24"/>
        </w:rPr>
        <w:t>s</w:t>
      </w:r>
      <w:r w:rsidR="00597F5C">
        <w:rPr>
          <w:rFonts w:ascii="Arial" w:hAnsi="Arial" w:cs="Arial"/>
          <w:sz w:val="24"/>
          <w:szCs w:val="24"/>
        </w:rPr>
        <w:t xml:space="preserve"> constituciona</w:t>
      </w:r>
      <w:r w:rsidR="00C11951">
        <w:rPr>
          <w:rFonts w:ascii="Arial" w:hAnsi="Arial" w:cs="Arial"/>
          <w:sz w:val="24"/>
          <w:szCs w:val="24"/>
        </w:rPr>
        <w:t>is</w:t>
      </w:r>
      <w:r w:rsidR="00D01040">
        <w:rPr>
          <w:rFonts w:ascii="Arial" w:hAnsi="Arial" w:cs="Arial"/>
          <w:sz w:val="24"/>
          <w:szCs w:val="24"/>
        </w:rPr>
        <w:t xml:space="preserve"> que subordinam a concessão de incentivos fiscais à reserva de lei, vedada a delegação legislativa </w:t>
      </w:r>
      <w:r w:rsidR="00597F5C">
        <w:rPr>
          <w:rFonts w:ascii="Arial" w:hAnsi="Arial" w:cs="Arial"/>
          <w:sz w:val="24"/>
          <w:szCs w:val="24"/>
        </w:rPr>
        <w:t>(CRFB, art. 150, § 6º; CE/GO, art. 102, § 5º).</w:t>
      </w:r>
    </w:p>
    <w:p w14:paraId="324386FF" w14:textId="2C6E3FB4" w:rsidR="00127527" w:rsidRDefault="001E0F69" w:rsidP="00127527">
      <w:pPr>
        <w:spacing w:line="360" w:lineRule="auto"/>
        <w:ind w:firstLine="851"/>
        <w:jc w:val="both"/>
        <w:rPr>
          <w:rFonts w:ascii="Arial" w:hAnsi="Arial" w:cs="Arial"/>
          <w:sz w:val="24"/>
          <w:szCs w:val="24"/>
        </w:rPr>
      </w:pPr>
      <w:r w:rsidRPr="00C164EE">
        <w:rPr>
          <w:rFonts w:ascii="Arial" w:hAnsi="Arial" w:cs="Arial"/>
          <w:b/>
          <w:sz w:val="24"/>
          <w:szCs w:val="24"/>
        </w:rPr>
        <w:t>Outro aspecto que merece ser destacado é que a lei, por vezes, estabelece que determinado incentivo seja condicionado à celebração de TARE no qual sejam estabelecidas metas de arrecadação</w:t>
      </w:r>
      <w:r w:rsidRPr="00127527">
        <w:rPr>
          <w:rFonts w:ascii="Arial" w:hAnsi="Arial" w:cs="Arial"/>
          <w:sz w:val="24"/>
          <w:szCs w:val="24"/>
        </w:rPr>
        <w:t>, como se observa</w:t>
      </w:r>
      <w:r w:rsidR="00127527" w:rsidRPr="00127527">
        <w:rPr>
          <w:rFonts w:ascii="Arial" w:hAnsi="Arial" w:cs="Arial"/>
          <w:sz w:val="24"/>
          <w:szCs w:val="24"/>
        </w:rPr>
        <w:t xml:space="preserve"> nas hipóteses de:</w:t>
      </w:r>
    </w:p>
    <w:p w14:paraId="1C8E9A49" w14:textId="77777777" w:rsidR="00DC688C" w:rsidRPr="00127527" w:rsidRDefault="00DC688C" w:rsidP="00127527">
      <w:pPr>
        <w:spacing w:line="360" w:lineRule="auto"/>
        <w:ind w:firstLine="851"/>
        <w:jc w:val="both"/>
        <w:rPr>
          <w:rFonts w:ascii="Arial" w:hAnsi="Arial" w:cs="Arial"/>
          <w:sz w:val="24"/>
          <w:szCs w:val="24"/>
        </w:rPr>
      </w:pPr>
    </w:p>
    <w:p w14:paraId="670A29EF" w14:textId="111DF357" w:rsidR="00127527" w:rsidRDefault="001E0F69" w:rsidP="00282B87">
      <w:pPr>
        <w:pStyle w:val="PargrafodaLista"/>
        <w:numPr>
          <w:ilvl w:val="0"/>
          <w:numId w:val="8"/>
        </w:numPr>
        <w:spacing w:line="360" w:lineRule="auto"/>
        <w:jc w:val="both"/>
        <w:rPr>
          <w:rFonts w:ascii="Arial" w:hAnsi="Arial" w:cs="Arial"/>
          <w:sz w:val="24"/>
          <w:szCs w:val="24"/>
        </w:rPr>
      </w:pPr>
      <w:r w:rsidRPr="00C164EE">
        <w:rPr>
          <w:rFonts w:ascii="Arial" w:hAnsi="Arial" w:cs="Arial"/>
          <w:sz w:val="24"/>
          <w:szCs w:val="24"/>
          <w:u w:val="single"/>
        </w:rPr>
        <w:t>crédito outorgado de ICMS</w:t>
      </w:r>
      <w:r w:rsidR="00127527" w:rsidRPr="00C164EE">
        <w:rPr>
          <w:rFonts w:ascii="Arial" w:hAnsi="Arial" w:cs="Arial"/>
          <w:sz w:val="24"/>
          <w:szCs w:val="24"/>
          <w:u w:val="single"/>
        </w:rPr>
        <w:t xml:space="preserve"> equivalente à aplicação de até 5% (cinco por cento)</w:t>
      </w:r>
      <w:r w:rsidR="00127527" w:rsidRPr="00127527">
        <w:rPr>
          <w:rFonts w:ascii="Arial" w:hAnsi="Arial" w:cs="Arial"/>
          <w:sz w:val="24"/>
          <w:szCs w:val="24"/>
        </w:rPr>
        <w:t xml:space="preserve"> sobre o valor da base de cálculo correspondente à operação de saída com fios e condutores elétricos realizada por atacadista (Lei nº 13.453/1999, art. 1º, I, “a”, 8.3);</w:t>
      </w:r>
    </w:p>
    <w:p w14:paraId="56232207" w14:textId="3925A224" w:rsidR="005E7A76" w:rsidRDefault="005E7A76" w:rsidP="00282B87">
      <w:pPr>
        <w:pStyle w:val="PargrafodaLista"/>
        <w:numPr>
          <w:ilvl w:val="0"/>
          <w:numId w:val="8"/>
        </w:numPr>
        <w:spacing w:line="360" w:lineRule="auto"/>
        <w:jc w:val="both"/>
        <w:rPr>
          <w:rFonts w:ascii="Arial" w:hAnsi="Arial" w:cs="Arial"/>
          <w:sz w:val="24"/>
          <w:szCs w:val="24"/>
        </w:rPr>
      </w:pPr>
      <w:r w:rsidRPr="00C164EE">
        <w:rPr>
          <w:rFonts w:ascii="Arial" w:hAnsi="Arial" w:cs="Arial"/>
          <w:sz w:val="24"/>
          <w:szCs w:val="24"/>
          <w:u w:val="single"/>
        </w:rPr>
        <w:t xml:space="preserve">crédito outorgado de ICMS equivalente à aplicação de até </w:t>
      </w:r>
      <w:r>
        <w:rPr>
          <w:rFonts w:ascii="Arial" w:hAnsi="Arial" w:cs="Arial"/>
          <w:sz w:val="24"/>
          <w:szCs w:val="24"/>
          <w:u w:val="single"/>
        </w:rPr>
        <w:t>4,6</w:t>
      </w:r>
      <w:r w:rsidRPr="00C164EE">
        <w:rPr>
          <w:rFonts w:ascii="Arial" w:hAnsi="Arial" w:cs="Arial"/>
          <w:sz w:val="24"/>
          <w:szCs w:val="24"/>
          <w:u w:val="single"/>
        </w:rPr>
        <w:t>% (</w:t>
      </w:r>
      <w:r>
        <w:rPr>
          <w:rFonts w:ascii="Arial" w:hAnsi="Arial" w:cs="Arial"/>
          <w:sz w:val="24"/>
          <w:szCs w:val="24"/>
          <w:u w:val="single"/>
        </w:rPr>
        <w:t>quatro vírgula seis</w:t>
      </w:r>
      <w:r w:rsidRPr="00C164EE">
        <w:rPr>
          <w:rFonts w:ascii="Arial" w:hAnsi="Arial" w:cs="Arial"/>
          <w:sz w:val="24"/>
          <w:szCs w:val="24"/>
          <w:u w:val="single"/>
        </w:rPr>
        <w:t xml:space="preserve"> por cento)</w:t>
      </w:r>
      <w:r w:rsidRPr="00127527">
        <w:rPr>
          <w:rFonts w:ascii="Arial" w:hAnsi="Arial" w:cs="Arial"/>
          <w:sz w:val="24"/>
          <w:szCs w:val="24"/>
        </w:rPr>
        <w:t xml:space="preserve"> sobre o valor da base de cálculo correspondente à </w:t>
      </w:r>
      <w:r w:rsidRPr="005E7A76">
        <w:rPr>
          <w:rFonts w:ascii="Arial" w:hAnsi="Arial" w:cs="Arial"/>
          <w:sz w:val="24"/>
          <w:szCs w:val="24"/>
        </w:rPr>
        <w:t xml:space="preserve">operação interestadual com milho </w:t>
      </w:r>
      <w:r w:rsidRPr="00127527">
        <w:rPr>
          <w:rFonts w:ascii="Arial" w:hAnsi="Arial" w:cs="Arial"/>
          <w:sz w:val="24"/>
          <w:szCs w:val="24"/>
        </w:rPr>
        <w:t>(Lei nº 13.453/1999, art. 1º, I, “</w:t>
      </w:r>
      <w:r>
        <w:rPr>
          <w:rFonts w:ascii="Arial" w:hAnsi="Arial" w:cs="Arial"/>
          <w:sz w:val="24"/>
          <w:szCs w:val="24"/>
        </w:rPr>
        <w:t>i</w:t>
      </w:r>
      <w:r w:rsidRPr="00127527">
        <w:rPr>
          <w:rFonts w:ascii="Arial" w:hAnsi="Arial" w:cs="Arial"/>
          <w:sz w:val="24"/>
          <w:szCs w:val="24"/>
        </w:rPr>
        <w:t xml:space="preserve">”, </w:t>
      </w:r>
      <w:r>
        <w:rPr>
          <w:rFonts w:ascii="Arial" w:hAnsi="Arial" w:cs="Arial"/>
          <w:sz w:val="24"/>
          <w:szCs w:val="24"/>
        </w:rPr>
        <w:t>4)</w:t>
      </w:r>
      <w:r w:rsidRPr="00127527">
        <w:rPr>
          <w:rFonts w:ascii="Arial" w:hAnsi="Arial" w:cs="Arial"/>
          <w:sz w:val="24"/>
          <w:szCs w:val="24"/>
        </w:rPr>
        <w:t>;</w:t>
      </w:r>
    </w:p>
    <w:p w14:paraId="594A36F0" w14:textId="510CE19F" w:rsidR="001E0F69" w:rsidRDefault="00127527" w:rsidP="00282B87">
      <w:pPr>
        <w:pStyle w:val="PargrafodaLista"/>
        <w:numPr>
          <w:ilvl w:val="0"/>
          <w:numId w:val="8"/>
        </w:numPr>
        <w:spacing w:line="360" w:lineRule="auto"/>
        <w:jc w:val="both"/>
        <w:rPr>
          <w:rFonts w:ascii="Arial" w:hAnsi="Arial" w:cs="Arial"/>
          <w:sz w:val="24"/>
          <w:szCs w:val="24"/>
        </w:rPr>
      </w:pPr>
      <w:r w:rsidRPr="00C164EE">
        <w:rPr>
          <w:rFonts w:ascii="Arial" w:hAnsi="Arial" w:cs="Arial"/>
          <w:sz w:val="24"/>
          <w:szCs w:val="24"/>
          <w:u w:val="single"/>
        </w:rPr>
        <w:lastRenderedPageBreak/>
        <w:t>redução da base de cálculo do ICMS, inclusive quanto à manut</w:t>
      </w:r>
      <w:r w:rsidR="001E0F69" w:rsidRPr="00C164EE">
        <w:rPr>
          <w:rFonts w:ascii="Arial" w:hAnsi="Arial" w:cs="Arial"/>
          <w:sz w:val="24"/>
          <w:szCs w:val="24"/>
          <w:u w:val="single"/>
        </w:rPr>
        <w:t>enção de crédito</w:t>
      </w:r>
      <w:r w:rsidR="00DB72A0">
        <w:rPr>
          <w:rFonts w:ascii="Arial" w:hAnsi="Arial" w:cs="Arial"/>
          <w:sz w:val="24"/>
          <w:szCs w:val="24"/>
        </w:rPr>
        <w:t xml:space="preserve">, </w:t>
      </w:r>
      <w:r w:rsidR="00DB72A0" w:rsidRPr="00DB72A0">
        <w:rPr>
          <w:rFonts w:ascii="Arial" w:hAnsi="Arial" w:cs="Arial"/>
          <w:sz w:val="24"/>
          <w:szCs w:val="24"/>
        </w:rPr>
        <w:t xml:space="preserve">de </w:t>
      </w:r>
      <w:r w:rsidR="00C164EE">
        <w:rPr>
          <w:rFonts w:ascii="Arial" w:hAnsi="Arial" w:cs="Arial"/>
          <w:sz w:val="24"/>
          <w:szCs w:val="24"/>
        </w:rPr>
        <w:t>modo</w:t>
      </w:r>
      <w:r w:rsidR="00DB72A0" w:rsidRPr="00DB72A0">
        <w:rPr>
          <w:rFonts w:ascii="Arial" w:hAnsi="Arial" w:cs="Arial"/>
          <w:sz w:val="24"/>
          <w:szCs w:val="24"/>
        </w:rPr>
        <w:t xml:space="preserve"> que resulte a aplicação sobre o valor da operação do percentual equivalente a 7% (sete por cento), na saída de medicamento de uso humano destinada a órgão da administração pública direta ou indireta, hospital ou clínica de saúde, promovida por atacadista de medicament</w:t>
      </w:r>
      <w:r w:rsidR="00DB72A0">
        <w:rPr>
          <w:rFonts w:ascii="Arial" w:hAnsi="Arial" w:cs="Arial"/>
          <w:sz w:val="24"/>
          <w:szCs w:val="24"/>
        </w:rPr>
        <w:t>o (</w:t>
      </w:r>
      <w:r w:rsidR="00DB72A0" w:rsidRPr="00127527">
        <w:rPr>
          <w:rFonts w:ascii="Arial" w:hAnsi="Arial" w:cs="Arial"/>
          <w:sz w:val="24"/>
          <w:szCs w:val="24"/>
        </w:rPr>
        <w:t xml:space="preserve">Lei nº 13.453/1999, art. 1º, </w:t>
      </w:r>
      <w:r w:rsidR="00DB72A0">
        <w:rPr>
          <w:rFonts w:ascii="Arial" w:hAnsi="Arial" w:cs="Arial"/>
          <w:sz w:val="24"/>
          <w:szCs w:val="24"/>
        </w:rPr>
        <w:t>I</w:t>
      </w:r>
      <w:r w:rsidR="00DB72A0" w:rsidRPr="00127527">
        <w:rPr>
          <w:rFonts w:ascii="Arial" w:hAnsi="Arial" w:cs="Arial"/>
          <w:sz w:val="24"/>
          <w:szCs w:val="24"/>
        </w:rPr>
        <w:t>I, “</w:t>
      </w:r>
      <w:r w:rsidR="00DB72A0">
        <w:rPr>
          <w:rFonts w:ascii="Arial" w:hAnsi="Arial" w:cs="Arial"/>
          <w:sz w:val="24"/>
          <w:szCs w:val="24"/>
        </w:rPr>
        <w:t>p</w:t>
      </w:r>
      <w:r w:rsidR="00DB72A0" w:rsidRPr="00127527">
        <w:rPr>
          <w:rFonts w:ascii="Arial" w:hAnsi="Arial" w:cs="Arial"/>
          <w:sz w:val="24"/>
          <w:szCs w:val="24"/>
        </w:rPr>
        <w:t xml:space="preserve">”, </w:t>
      </w:r>
      <w:r w:rsidR="00DB72A0">
        <w:rPr>
          <w:rFonts w:ascii="Arial" w:hAnsi="Arial" w:cs="Arial"/>
          <w:sz w:val="24"/>
          <w:szCs w:val="24"/>
        </w:rPr>
        <w:t>2)</w:t>
      </w:r>
      <w:r w:rsidR="00C164EE">
        <w:rPr>
          <w:rFonts w:ascii="Arial" w:hAnsi="Arial" w:cs="Arial"/>
          <w:sz w:val="24"/>
          <w:szCs w:val="24"/>
        </w:rPr>
        <w:t>.</w:t>
      </w:r>
    </w:p>
    <w:p w14:paraId="2FAEF03B" w14:textId="77777777" w:rsidR="00DC688C" w:rsidRDefault="00DC688C" w:rsidP="00713208">
      <w:pPr>
        <w:spacing w:line="360" w:lineRule="auto"/>
        <w:ind w:firstLine="851"/>
        <w:jc w:val="both"/>
        <w:rPr>
          <w:rFonts w:ascii="Arial" w:hAnsi="Arial" w:cs="Arial"/>
          <w:sz w:val="24"/>
          <w:szCs w:val="24"/>
          <w:u w:val="single"/>
        </w:rPr>
      </w:pPr>
    </w:p>
    <w:p w14:paraId="0070BA9E" w14:textId="042C39B8" w:rsidR="003C0EFA" w:rsidRDefault="00F0037C" w:rsidP="00713208">
      <w:pPr>
        <w:spacing w:line="360" w:lineRule="auto"/>
        <w:ind w:firstLine="851"/>
        <w:jc w:val="both"/>
        <w:rPr>
          <w:rFonts w:ascii="Arial" w:hAnsi="Arial" w:cs="Arial"/>
          <w:sz w:val="24"/>
          <w:szCs w:val="24"/>
        </w:rPr>
      </w:pPr>
      <w:r w:rsidRPr="000A7523">
        <w:rPr>
          <w:rFonts w:ascii="Arial" w:hAnsi="Arial" w:cs="Arial"/>
          <w:sz w:val="24"/>
          <w:szCs w:val="24"/>
          <w:u w:val="single"/>
        </w:rPr>
        <w:t>E aí vem a pergunta: quem fixa as metas e sob quais critérios?</w:t>
      </w:r>
      <w:r>
        <w:rPr>
          <w:rFonts w:ascii="Arial" w:hAnsi="Arial" w:cs="Arial"/>
          <w:sz w:val="24"/>
          <w:szCs w:val="24"/>
        </w:rPr>
        <w:t xml:space="preserve"> Pode ser que para uma empresa seja exigida uma meta de 20% (vinte por cento) sobre sua arrecadação anterior; de outra, 30% (trinta por cento); de outra, 80% (oitenta por cento), enfim, fica totalmente à critério do Poder Executivo, nem falando aqui do Governador do Estado, e sim da </w:t>
      </w:r>
      <w:r w:rsidR="00EC1761">
        <w:rPr>
          <w:rFonts w:ascii="Arial" w:hAnsi="Arial" w:cs="Arial"/>
          <w:sz w:val="24"/>
          <w:szCs w:val="24"/>
        </w:rPr>
        <w:t>atual</w:t>
      </w:r>
      <w:r>
        <w:rPr>
          <w:rFonts w:ascii="Arial" w:hAnsi="Arial" w:cs="Arial"/>
          <w:sz w:val="24"/>
          <w:szCs w:val="24"/>
        </w:rPr>
        <w:t xml:space="preserve"> Secretaria de Estado da Economia, que firma os TARE’s. </w:t>
      </w:r>
    </w:p>
    <w:p w14:paraId="15E59F30" w14:textId="04A31BDE" w:rsidR="003F5918" w:rsidRDefault="00581C67" w:rsidP="00713208">
      <w:pPr>
        <w:spacing w:line="360" w:lineRule="auto"/>
        <w:ind w:firstLine="851"/>
        <w:jc w:val="both"/>
        <w:rPr>
          <w:rFonts w:ascii="Arial" w:hAnsi="Arial" w:cs="Arial"/>
          <w:sz w:val="24"/>
          <w:szCs w:val="24"/>
        </w:rPr>
      </w:pPr>
      <w:r>
        <w:rPr>
          <w:rFonts w:ascii="Arial" w:hAnsi="Arial" w:cs="Arial"/>
          <w:sz w:val="24"/>
          <w:szCs w:val="24"/>
        </w:rPr>
        <w:t>E em relação à hipótese da alínea “b”, retro (operações com milho), não é prevista na lei nem sequer</w:t>
      </w:r>
      <w:r w:rsidR="00601AFA">
        <w:rPr>
          <w:rFonts w:ascii="Arial" w:hAnsi="Arial" w:cs="Arial"/>
          <w:sz w:val="24"/>
          <w:szCs w:val="24"/>
        </w:rPr>
        <w:t xml:space="preserve"> um critério mais ou menos objetivo como o previsto para o atacadista de medicamento (em relação ao qual deve ser considerada a média </w:t>
      </w:r>
      <w:r w:rsidRPr="00581C67">
        <w:rPr>
          <w:rFonts w:ascii="Arial" w:hAnsi="Arial" w:cs="Arial"/>
          <w:sz w:val="24"/>
          <w:szCs w:val="24"/>
        </w:rPr>
        <w:t>últimos doze meses anteriores a 1</w:t>
      </w:r>
      <w:r w:rsidR="00601AFA">
        <w:rPr>
          <w:rFonts w:ascii="Arial" w:hAnsi="Arial" w:cs="Arial"/>
          <w:sz w:val="24"/>
          <w:szCs w:val="24"/>
        </w:rPr>
        <w:t>º/01/</w:t>
      </w:r>
      <w:r w:rsidRPr="00581C67">
        <w:rPr>
          <w:rFonts w:ascii="Arial" w:hAnsi="Arial" w:cs="Arial"/>
          <w:sz w:val="24"/>
          <w:szCs w:val="24"/>
        </w:rPr>
        <w:t>2013</w:t>
      </w:r>
      <w:r w:rsidR="00601AFA">
        <w:rPr>
          <w:rFonts w:ascii="Arial" w:hAnsi="Arial" w:cs="Arial"/>
          <w:sz w:val="24"/>
          <w:szCs w:val="24"/>
        </w:rPr>
        <w:t xml:space="preserve">). </w:t>
      </w:r>
      <w:r w:rsidRPr="000A7523">
        <w:rPr>
          <w:rFonts w:ascii="Arial" w:hAnsi="Arial" w:cs="Arial"/>
          <w:sz w:val="24"/>
          <w:szCs w:val="24"/>
          <w:u w:val="single"/>
        </w:rPr>
        <w:t>É o TARE, portanto, que dimensionará o quanto a empresa deve arrecadar de ICMS em contrapartida</w:t>
      </w:r>
      <w:r w:rsidR="0044337A">
        <w:rPr>
          <w:rFonts w:ascii="Arial" w:hAnsi="Arial" w:cs="Arial"/>
          <w:sz w:val="24"/>
          <w:szCs w:val="24"/>
          <w:u w:val="single"/>
        </w:rPr>
        <w:t xml:space="preserve"> para fruir esses incentivos fiscais</w:t>
      </w:r>
      <w:r>
        <w:rPr>
          <w:rFonts w:ascii="Arial" w:hAnsi="Arial" w:cs="Arial"/>
          <w:sz w:val="24"/>
          <w:szCs w:val="24"/>
        </w:rPr>
        <w:t>.</w:t>
      </w:r>
    </w:p>
    <w:p w14:paraId="119AB1E5" w14:textId="77777777" w:rsidR="00ED6A2F" w:rsidRDefault="00ED6A2F" w:rsidP="00713208">
      <w:pPr>
        <w:spacing w:line="360" w:lineRule="auto"/>
        <w:ind w:firstLine="851"/>
        <w:jc w:val="both"/>
        <w:rPr>
          <w:rFonts w:ascii="Arial" w:hAnsi="Arial" w:cs="Arial"/>
          <w:b/>
          <w:sz w:val="24"/>
          <w:szCs w:val="24"/>
        </w:rPr>
      </w:pPr>
    </w:p>
    <w:p w14:paraId="4110F076" w14:textId="464BBE64" w:rsidR="00CB3B82" w:rsidRDefault="00765BCB" w:rsidP="00CB3B82">
      <w:pPr>
        <w:spacing w:line="360" w:lineRule="auto"/>
        <w:ind w:firstLine="851"/>
        <w:jc w:val="both"/>
        <w:rPr>
          <w:rFonts w:ascii="Arial" w:hAnsi="Arial" w:cs="Arial"/>
          <w:sz w:val="24"/>
          <w:szCs w:val="24"/>
        </w:rPr>
      </w:pPr>
      <w:r w:rsidRPr="00CB3B82">
        <w:rPr>
          <w:rFonts w:ascii="Arial" w:hAnsi="Arial" w:cs="Arial"/>
          <w:b/>
          <w:sz w:val="24"/>
          <w:szCs w:val="24"/>
        </w:rPr>
        <w:t>5.3.2.2</w:t>
      </w:r>
      <w:r w:rsidR="00ED6A2F" w:rsidRPr="00CB3B82">
        <w:rPr>
          <w:rFonts w:ascii="Arial" w:hAnsi="Arial" w:cs="Arial"/>
          <w:b/>
          <w:sz w:val="24"/>
          <w:szCs w:val="24"/>
        </w:rPr>
        <w:t>.</w:t>
      </w:r>
      <w:r w:rsidRPr="00CB3B82">
        <w:rPr>
          <w:rFonts w:ascii="Arial" w:hAnsi="Arial" w:cs="Arial"/>
          <w:sz w:val="24"/>
          <w:szCs w:val="24"/>
        </w:rPr>
        <w:t xml:space="preserve"> </w:t>
      </w:r>
      <w:r w:rsidRPr="003C05B2">
        <w:rPr>
          <w:rFonts w:ascii="Arial" w:hAnsi="Arial" w:cs="Arial"/>
          <w:b/>
          <w:sz w:val="24"/>
          <w:szCs w:val="24"/>
        </w:rPr>
        <w:t xml:space="preserve">Outro </w:t>
      </w:r>
      <w:r w:rsidR="00CB3B82" w:rsidRPr="003C05B2">
        <w:rPr>
          <w:rFonts w:ascii="Arial" w:hAnsi="Arial" w:cs="Arial"/>
          <w:b/>
          <w:sz w:val="24"/>
          <w:szCs w:val="24"/>
        </w:rPr>
        <w:t>exemplo que bem ilustra essa dinâmica centralizadora, no Poder Executivo</w:t>
      </w:r>
      <w:r w:rsidR="00CB3B82" w:rsidRPr="00CB3B82">
        <w:rPr>
          <w:rFonts w:ascii="Arial" w:hAnsi="Arial" w:cs="Arial"/>
          <w:sz w:val="24"/>
          <w:szCs w:val="24"/>
        </w:rPr>
        <w:t xml:space="preserve">, de concessão de benefícios fiscais são os créditos outorgados concedidos no âmbito do </w:t>
      </w:r>
      <w:r w:rsidR="00CB3B82" w:rsidRPr="003C05B2">
        <w:rPr>
          <w:rFonts w:ascii="Arial" w:hAnsi="Arial" w:cs="Arial"/>
          <w:b/>
          <w:sz w:val="24"/>
          <w:szCs w:val="24"/>
        </w:rPr>
        <w:t>Programa Estadual de Incentivo à Cultura – GOYAZES</w:t>
      </w:r>
      <w:r w:rsidR="00CB3B82" w:rsidRPr="003C05B2">
        <w:rPr>
          <w:rFonts w:ascii="Arial" w:hAnsi="Arial" w:cs="Arial"/>
          <w:sz w:val="24"/>
          <w:szCs w:val="24"/>
        </w:rPr>
        <w:t>,</w:t>
      </w:r>
      <w:r w:rsidR="00CB3B82" w:rsidRPr="00CB3B82">
        <w:rPr>
          <w:rFonts w:ascii="Arial" w:hAnsi="Arial" w:cs="Arial"/>
          <w:sz w:val="24"/>
          <w:szCs w:val="24"/>
        </w:rPr>
        <w:t xml:space="preserve"> </w:t>
      </w:r>
      <w:r w:rsidR="00CB3B82">
        <w:rPr>
          <w:rFonts w:ascii="Arial" w:hAnsi="Arial" w:cs="Arial"/>
          <w:sz w:val="24"/>
          <w:szCs w:val="24"/>
        </w:rPr>
        <w:t xml:space="preserve">instituído pela Lei nº 13.613/2000, </w:t>
      </w:r>
      <w:r w:rsidR="00CB3B82" w:rsidRPr="00CB3B82">
        <w:rPr>
          <w:rFonts w:ascii="Arial" w:hAnsi="Arial" w:cs="Arial"/>
          <w:sz w:val="24"/>
          <w:szCs w:val="24"/>
        </w:rPr>
        <w:t>que possui como objetivos</w:t>
      </w:r>
      <w:r w:rsidR="00CB3B82">
        <w:rPr>
          <w:rFonts w:ascii="Arial" w:hAnsi="Arial" w:cs="Arial"/>
          <w:sz w:val="24"/>
          <w:szCs w:val="24"/>
        </w:rPr>
        <w:t xml:space="preserve">, conforme consta de seu art. 2º, </w:t>
      </w:r>
      <w:r w:rsidR="00CB3B82" w:rsidRPr="00CB3B82">
        <w:rPr>
          <w:rFonts w:ascii="Arial" w:hAnsi="Arial" w:cs="Arial"/>
          <w:sz w:val="24"/>
          <w:szCs w:val="24"/>
        </w:rPr>
        <w:t>preservar e divulgar o patrimônio cultural, histórico e artístico do Estado de Goiás; incentivar e apoiar a produção cultural e artística relevante para o Estado de Goiás; democratizar o acesso à cultura e o pleno exercício dos direitos culturais, garantindo a diversidade cultural; e incentivar e apoiar a formação cultural e artística.</w:t>
      </w:r>
    </w:p>
    <w:p w14:paraId="6F7BA6A7" w14:textId="57D3F6DC" w:rsidR="00765BCB" w:rsidRDefault="003C05B2" w:rsidP="00713208">
      <w:pPr>
        <w:spacing w:line="360" w:lineRule="auto"/>
        <w:ind w:firstLine="851"/>
        <w:jc w:val="both"/>
        <w:rPr>
          <w:rFonts w:ascii="Arial" w:hAnsi="Arial" w:cs="Arial"/>
          <w:sz w:val="24"/>
          <w:szCs w:val="24"/>
        </w:rPr>
      </w:pPr>
      <w:r>
        <w:rPr>
          <w:rFonts w:ascii="Arial" w:hAnsi="Arial" w:cs="Arial"/>
          <w:sz w:val="24"/>
          <w:szCs w:val="24"/>
        </w:rPr>
        <w:t xml:space="preserve">A Lei se utiliza de mecanismos de renúncia de receitas como um dos instrumentos de fomento àqueles objetivos, conforme se infere do respectivo art. 9º, </w:t>
      </w:r>
      <w:r w:rsidRPr="003C05B2">
        <w:rPr>
          <w:rFonts w:ascii="Arial" w:hAnsi="Arial" w:cs="Arial"/>
          <w:i/>
          <w:sz w:val="24"/>
          <w:szCs w:val="24"/>
        </w:rPr>
        <w:t>in verbis</w:t>
      </w:r>
      <w:r>
        <w:rPr>
          <w:rFonts w:ascii="Arial" w:hAnsi="Arial" w:cs="Arial"/>
          <w:sz w:val="24"/>
          <w:szCs w:val="24"/>
        </w:rPr>
        <w:t>:</w:t>
      </w:r>
    </w:p>
    <w:p w14:paraId="11335487" w14:textId="12D5E5D6" w:rsidR="00C70E3A" w:rsidRDefault="00C70E3A" w:rsidP="00713208">
      <w:pPr>
        <w:spacing w:line="360" w:lineRule="auto"/>
        <w:ind w:firstLine="851"/>
        <w:jc w:val="both"/>
        <w:rPr>
          <w:rFonts w:ascii="Arial" w:hAnsi="Arial" w:cs="Arial"/>
          <w:sz w:val="24"/>
          <w:szCs w:val="24"/>
        </w:rPr>
      </w:pPr>
    </w:p>
    <w:p w14:paraId="54C96650" w14:textId="007BD6B1" w:rsidR="00C70E3A" w:rsidRPr="00C70E3A" w:rsidRDefault="00C70E3A" w:rsidP="00DC688C">
      <w:pPr>
        <w:ind w:left="2268"/>
        <w:jc w:val="both"/>
        <w:rPr>
          <w:rFonts w:ascii="Arial" w:hAnsi="Arial" w:cs="Arial"/>
          <w:sz w:val="22"/>
          <w:szCs w:val="22"/>
        </w:rPr>
      </w:pPr>
      <w:r w:rsidRPr="00C70E3A">
        <w:rPr>
          <w:rFonts w:ascii="Arial" w:hAnsi="Arial" w:cs="Arial"/>
          <w:b/>
          <w:sz w:val="22"/>
          <w:szCs w:val="22"/>
        </w:rPr>
        <w:t>Art. 9º</w:t>
      </w:r>
      <w:r w:rsidRPr="00C70E3A">
        <w:rPr>
          <w:rFonts w:ascii="Arial" w:hAnsi="Arial" w:cs="Arial"/>
          <w:sz w:val="22"/>
          <w:szCs w:val="22"/>
        </w:rPr>
        <w:t xml:space="preserve"> </w:t>
      </w:r>
      <w:r w:rsidRPr="00047465">
        <w:rPr>
          <w:rFonts w:ascii="Arial" w:hAnsi="Arial" w:cs="Arial"/>
          <w:b/>
          <w:sz w:val="22"/>
          <w:szCs w:val="22"/>
          <w:u w:val="single"/>
        </w:rPr>
        <w:t>Fica o Chefe do Poder Executivo autorizado</w:t>
      </w:r>
      <w:r w:rsidRPr="00C70E3A">
        <w:rPr>
          <w:rFonts w:ascii="Arial" w:hAnsi="Arial" w:cs="Arial"/>
          <w:sz w:val="22"/>
          <w:szCs w:val="22"/>
        </w:rPr>
        <w:t>, nas formas, limites e condições estabelecidos na legislação tributária do Estado de Goiás, a conceder:</w:t>
      </w:r>
    </w:p>
    <w:p w14:paraId="4D66E700" w14:textId="77777777" w:rsidR="00C70E3A" w:rsidRPr="00C70E3A" w:rsidRDefault="00C70E3A" w:rsidP="00DC688C">
      <w:pPr>
        <w:ind w:left="2268"/>
        <w:jc w:val="both"/>
        <w:rPr>
          <w:rFonts w:ascii="Arial" w:hAnsi="Arial" w:cs="Arial"/>
          <w:sz w:val="22"/>
          <w:szCs w:val="22"/>
        </w:rPr>
      </w:pPr>
      <w:r w:rsidRPr="00047465">
        <w:rPr>
          <w:rFonts w:ascii="Arial" w:hAnsi="Arial" w:cs="Arial"/>
          <w:b/>
          <w:sz w:val="22"/>
          <w:szCs w:val="22"/>
        </w:rPr>
        <w:lastRenderedPageBreak/>
        <w:t>I – redução para até 50% (cinquenta por cento) do valor da base de cálculo do ICMS</w:t>
      </w:r>
      <w:r w:rsidRPr="00C70E3A">
        <w:rPr>
          <w:rFonts w:ascii="Arial" w:hAnsi="Arial" w:cs="Arial"/>
          <w:sz w:val="22"/>
          <w:szCs w:val="22"/>
        </w:rPr>
        <w:t>, nas importações de mercadorias e serviços que não possuam similar no território nacional e sejam destinados exclusivamente a projeto cultural ou artístico aprovado pela Agência Goiana de Cultura Pedro Ludovico Teixeira;</w:t>
      </w:r>
    </w:p>
    <w:p w14:paraId="7FB8BFF7" w14:textId="77777777" w:rsidR="00C70E3A" w:rsidRPr="00C70E3A" w:rsidRDefault="00C70E3A" w:rsidP="00DC688C">
      <w:pPr>
        <w:ind w:left="2268"/>
        <w:jc w:val="both"/>
        <w:rPr>
          <w:rFonts w:ascii="Arial" w:hAnsi="Arial" w:cs="Arial"/>
          <w:sz w:val="22"/>
          <w:szCs w:val="22"/>
        </w:rPr>
      </w:pPr>
      <w:r w:rsidRPr="00047465">
        <w:rPr>
          <w:rFonts w:ascii="Arial" w:hAnsi="Arial" w:cs="Arial"/>
          <w:b/>
          <w:sz w:val="22"/>
          <w:szCs w:val="22"/>
        </w:rPr>
        <w:t>II – crédito outorgado do ICMS, até o limite anual de R$ 10.000.000,00 (dez milhões de reais)</w:t>
      </w:r>
      <w:r w:rsidRPr="00C70E3A">
        <w:rPr>
          <w:rFonts w:ascii="Arial" w:hAnsi="Arial" w:cs="Arial"/>
          <w:sz w:val="22"/>
          <w:szCs w:val="22"/>
        </w:rPr>
        <w:t>, para o conjunto das empresas que participarem de projeto relacionado ao Programa Estadual de Incentivo à Cultura –GOYAZES–, sob forma de mecenato.</w:t>
      </w:r>
    </w:p>
    <w:p w14:paraId="32DEF8C4" w14:textId="77777777" w:rsidR="00C70E3A" w:rsidRDefault="00C70E3A" w:rsidP="00713208">
      <w:pPr>
        <w:spacing w:line="360" w:lineRule="auto"/>
        <w:ind w:firstLine="851"/>
        <w:jc w:val="both"/>
        <w:rPr>
          <w:rFonts w:ascii="Arial" w:hAnsi="Arial" w:cs="Arial"/>
          <w:sz w:val="24"/>
          <w:szCs w:val="24"/>
        </w:rPr>
      </w:pPr>
    </w:p>
    <w:p w14:paraId="7C004C30" w14:textId="77777777" w:rsidR="00617253" w:rsidRDefault="00C231A2" w:rsidP="00713208">
      <w:pPr>
        <w:spacing w:line="360" w:lineRule="auto"/>
        <w:ind w:firstLine="851"/>
        <w:jc w:val="both"/>
        <w:rPr>
          <w:rFonts w:ascii="Arial" w:hAnsi="Arial" w:cs="Arial"/>
          <w:sz w:val="24"/>
          <w:szCs w:val="24"/>
        </w:rPr>
      </w:pPr>
      <w:r w:rsidRPr="000A5387">
        <w:rPr>
          <w:rFonts w:ascii="Arial" w:hAnsi="Arial" w:cs="Arial"/>
          <w:sz w:val="24"/>
          <w:szCs w:val="24"/>
          <w:u w:val="single"/>
        </w:rPr>
        <w:t>Em relação à redução da base de cálculo do ICMS (inciso I)</w:t>
      </w:r>
      <w:r w:rsidRPr="000A5387">
        <w:rPr>
          <w:rFonts w:ascii="Arial" w:hAnsi="Arial" w:cs="Arial"/>
          <w:sz w:val="24"/>
          <w:szCs w:val="24"/>
        </w:rPr>
        <w:t xml:space="preserve">, </w:t>
      </w:r>
      <w:r w:rsidR="008E6A2B">
        <w:rPr>
          <w:rFonts w:ascii="Arial" w:hAnsi="Arial" w:cs="Arial"/>
          <w:sz w:val="24"/>
          <w:szCs w:val="24"/>
        </w:rPr>
        <w:t xml:space="preserve">o benefício foi reproduzido no inciso XXII do art. 8º </w:t>
      </w:r>
      <w:r w:rsidR="000A5387">
        <w:rPr>
          <w:rFonts w:ascii="Arial" w:hAnsi="Arial" w:cs="Arial"/>
          <w:sz w:val="24"/>
          <w:szCs w:val="24"/>
        </w:rPr>
        <w:t xml:space="preserve">do Anexo IX do RCTE/GO com o acréscimo normativo de que </w:t>
      </w:r>
      <w:r w:rsidR="000A5387" w:rsidRPr="000A5387">
        <w:rPr>
          <w:rFonts w:ascii="Arial" w:hAnsi="Arial" w:cs="Arial"/>
          <w:sz w:val="24"/>
          <w:szCs w:val="24"/>
        </w:rPr>
        <w:t>o benefício ser</w:t>
      </w:r>
      <w:r w:rsidR="000A5387">
        <w:rPr>
          <w:rFonts w:ascii="Arial" w:hAnsi="Arial" w:cs="Arial"/>
          <w:sz w:val="24"/>
          <w:szCs w:val="24"/>
        </w:rPr>
        <w:t>ia</w:t>
      </w:r>
      <w:r w:rsidR="000A5387" w:rsidRPr="000A5387">
        <w:rPr>
          <w:rFonts w:ascii="Arial" w:hAnsi="Arial" w:cs="Arial"/>
          <w:sz w:val="24"/>
          <w:szCs w:val="24"/>
        </w:rPr>
        <w:t xml:space="preserve"> implementado caso a caso, mediante despacho do Secretário da Fazenda, em requerimento do interessado</w:t>
      </w:r>
      <w:r w:rsidR="00617253">
        <w:rPr>
          <w:rFonts w:ascii="Arial" w:hAnsi="Arial" w:cs="Arial"/>
          <w:sz w:val="24"/>
          <w:szCs w:val="24"/>
        </w:rPr>
        <w:t xml:space="preserve">, o que revela inegável margem de discricionariedade do titular da então pasta da Fazenda, que definiria consoante seu critério quando e quanto conceder de benefício a cada interessado. </w:t>
      </w:r>
    </w:p>
    <w:p w14:paraId="5A74690A" w14:textId="30D90756" w:rsidR="00C70E3A" w:rsidRDefault="00617253" w:rsidP="00713208">
      <w:pPr>
        <w:spacing w:line="360" w:lineRule="auto"/>
        <w:ind w:firstLine="851"/>
        <w:jc w:val="both"/>
        <w:rPr>
          <w:rFonts w:ascii="Arial" w:hAnsi="Arial" w:cs="Arial"/>
          <w:sz w:val="24"/>
          <w:szCs w:val="24"/>
        </w:rPr>
      </w:pPr>
      <w:r>
        <w:rPr>
          <w:rFonts w:ascii="Arial" w:hAnsi="Arial" w:cs="Arial"/>
          <w:sz w:val="24"/>
          <w:szCs w:val="24"/>
        </w:rPr>
        <w:t>Registre-se, ainda, que referida previsão normativa foi revogada do RCTE/GO pelo Decreto nº 9.369/2019, de modo que o benefício deixou de ser concedido este ano pelo Poder Executivo sem nem sequer ter passado por esta Casa de Leis, visto que a lei é meramente autorizativa e dá margem a essa interpretação por parte do Governo do Estado de Goiás.</w:t>
      </w:r>
      <w:r w:rsidR="00D547D3">
        <w:rPr>
          <w:rFonts w:ascii="Arial" w:hAnsi="Arial" w:cs="Arial"/>
          <w:sz w:val="24"/>
          <w:szCs w:val="24"/>
        </w:rPr>
        <w:t xml:space="preserve"> Na prática, a Assembleia Legislativa aprovou um cheque em branco para o Governador do Estado conceder o benefício se quiser, quando quiser e quanto quiser, e atualmente optou por não conceder </w:t>
      </w:r>
      <w:r w:rsidR="00EE1089">
        <w:rPr>
          <w:rFonts w:ascii="Arial" w:hAnsi="Arial" w:cs="Arial"/>
          <w:sz w:val="24"/>
          <w:szCs w:val="24"/>
        </w:rPr>
        <w:t>mencionado incentivo fiscal</w:t>
      </w:r>
      <w:r w:rsidR="00194DE7">
        <w:rPr>
          <w:rFonts w:ascii="Arial" w:hAnsi="Arial" w:cs="Arial"/>
          <w:sz w:val="24"/>
          <w:szCs w:val="24"/>
        </w:rPr>
        <w:t xml:space="preserve"> partir do exercício de 2019</w:t>
      </w:r>
      <w:r w:rsidR="00D547D3">
        <w:rPr>
          <w:rFonts w:ascii="Arial" w:hAnsi="Arial" w:cs="Arial"/>
          <w:sz w:val="24"/>
          <w:szCs w:val="24"/>
        </w:rPr>
        <w:t>.</w:t>
      </w:r>
    </w:p>
    <w:p w14:paraId="1E12F95E" w14:textId="235FC9EC" w:rsidR="00E323C3" w:rsidRDefault="00E323C3" w:rsidP="00713208">
      <w:pPr>
        <w:spacing w:line="360" w:lineRule="auto"/>
        <w:ind w:firstLine="851"/>
        <w:jc w:val="both"/>
        <w:rPr>
          <w:rFonts w:ascii="Arial" w:hAnsi="Arial" w:cs="Arial"/>
          <w:sz w:val="24"/>
          <w:szCs w:val="24"/>
        </w:rPr>
      </w:pPr>
      <w:r w:rsidRPr="00126889">
        <w:rPr>
          <w:rFonts w:ascii="Arial" w:hAnsi="Arial" w:cs="Arial"/>
          <w:sz w:val="24"/>
          <w:szCs w:val="24"/>
          <w:u w:val="single"/>
        </w:rPr>
        <w:t xml:space="preserve">Quanto à </w:t>
      </w:r>
      <w:r w:rsidR="00252773" w:rsidRPr="00126889">
        <w:rPr>
          <w:rFonts w:ascii="Arial" w:hAnsi="Arial" w:cs="Arial"/>
          <w:sz w:val="24"/>
          <w:szCs w:val="24"/>
          <w:u w:val="single"/>
        </w:rPr>
        <w:t>segunda hipótese prevista na lei, de crédito outorgado (inciso II)</w:t>
      </w:r>
      <w:r w:rsidR="00252773">
        <w:rPr>
          <w:rFonts w:ascii="Arial" w:hAnsi="Arial" w:cs="Arial"/>
          <w:sz w:val="24"/>
          <w:szCs w:val="24"/>
        </w:rPr>
        <w:t xml:space="preserve">, </w:t>
      </w:r>
      <w:r w:rsidR="00DD7E46">
        <w:rPr>
          <w:rFonts w:ascii="Arial" w:hAnsi="Arial" w:cs="Arial"/>
          <w:sz w:val="24"/>
          <w:szCs w:val="24"/>
        </w:rPr>
        <w:t>a redação original do dispositivo previa o montante total de R$ 1.000.000,00 (um milhão) e sofreu 2 (duas) alterações antes da redação atual (conferida pela Lei nº 17.903/2012), a saber: a) uma promovida pela Lei nº 14.065/2001, que ampliou aquele montante para R$ 3.000.000,00 (três milhões); e b) outra promovida pela Lei nº 14.392/2003, que o majorou para R$ 5.000.000,00 (cinco milhões)</w:t>
      </w:r>
      <w:r w:rsidR="00013967">
        <w:rPr>
          <w:rFonts w:ascii="Arial" w:hAnsi="Arial" w:cs="Arial"/>
          <w:sz w:val="24"/>
          <w:szCs w:val="24"/>
        </w:rPr>
        <w:t>.</w:t>
      </w:r>
    </w:p>
    <w:p w14:paraId="2CD23705" w14:textId="5B36007C" w:rsidR="006C0586" w:rsidRDefault="006C0586" w:rsidP="00713208">
      <w:pPr>
        <w:spacing w:line="360" w:lineRule="auto"/>
        <w:ind w:firstLine="851"/>
        <w:jc w:val="both"/>
        <w:rPr>
          <w:rFonts w:ascii="Arial" w:hAnsi="Arial" w:cs="Arial"/>
          <w:sz w:val="24"/>
          <w:szCs w:val="24"/>
        </w:rPr>
      </w:pPr>
      <w:r>
        <w:rPr>
          <w:rFonts w:ascii="Arial" w:hAnsi="Arial" w:cs="Arial"/>
          <w:sz w:val="24"/>
          <w:szCs w:val="24"/>
        </w:rPr>
        <w:t>Referido benefício também se encontrava reproduzido</w:t>
      </w:r>
      <w:r w:rsidR="00FB58AC">
        <w:rPr>
          <w:rFonts w:ascii="Arial" w:hAnsi="Arial" w:cs="Arial"/>
          <w:sz w:val="24"/>
          <w:szCs w:val="24"/>
        </w:rPr>
        <w:t xml:space="preserve"> </w:t>
      </w:r>
      <w:r>
        <w:rPr>
          <w:rFonts w:ascii="Arial" w:hAnsi="Arial" w:cs="Arial"/>
          <w:sz w:val="24"/>
          <w:szCs w:val="24"/>
        </w:rPr>
        <w:t xml:space="preserve">até recentemente </w:t>
      </w:r>
      <w:r w:rsidR="00FB58AC">
        <w:rPr>
          <w:rFonts w:ascii="Arial" w:hAnsi="Arial" w:cs="Arial"/>
          <w:sz w:val="24"/>
          <w:szCs w:val="24"/>
        </w:rPr>
        <w:t>no inciso XXII d</w:t>
      </w:r>
      <w:r>
        <w:rPr>
          <w:rFonts w:ascii="Arial" w:hAnsi="Arial" w:cs="Arial"/>
          <w:sz w:val="24"/>
          <w:szCs w:val="24"/>
        </w:rPr>
        <w:t xml:space="preserve">o </w:t>
      </w:r>
      <w:r w:rsidR="00144436">
        <w:rPr>
          <w:rFonts w:ascii="Arial" w:hAnsi="Arial" w:cs="Arial"/>
          <w:sz w:val="24"/>
          <w:szCs w:val="24"/>
        </w:rPr>
        <w:t xml:space="preserve">art. 11 do RCTE/GO, </w:t>
      </w:r>
      <w:r w:rsidR="00B67B3C">
        <w:rPr>
          <w:rFonts w:ascii="Arial" w:hAnsi="Arial" w:cs="Arial"/>
          <w:sz w:val="24"/>
          <w:szCs w:val="24"/>
        </w:rPr>
        <w:t>nos seguintes termos:</w:t>
      </w:r>
    </w:p>
    <w:p w14:paraId="3B2773F3" w14:textId="59986D8E" w:rsidR="00C70E3A" w:rsidRDefault="00C70E3A" w:rsidP="00713208">
      <w:pPr>
        <w:spacing w:line="360" w:lineRule="auto"/>
        <w:ind w:firstLine="851"/>
        <w:jc w:val="both"/>
        <w:rPr>
          <w:rFonts w:ascii="Arial" w:hAnsi="Arial" w:cs="Arial"/>
          <w:sz w:val="24"/>
          <w:szCs w:val="24"/>
        </w:rPr>
      </w:pPr>
    </w:p>
    <w:p w14:paraId="4AA878B4" w14:textId="72B31F2E" w:rsidR="007312B2" w:rsidRDefault="007312B2" w:rsidP="00DC688C">
      <w:pPr>
        <w:ind w:left="2268"/>
        <w:jc w:val="both"/>
        <w:rPr>
          <w:rFonts w:ascii="Arial" w:hAnsi="Arial" w:cs="Arial"/>
          <w:sz w:val="22"/>
          <w:szCs w:val="22"/>
        </w:rPr>
      </w:pPr>
      <w:bookmarkStart w:id="108" w:name="a11xxii"/>
      <w:bookmarkStart w:id="109" w:name="A11XXIIA"/>
      <w:r w:rsidRPr="007312B2">
        <w:rPr>
          <w:rFonts w:ascii="Arial" w:hAnsi="Arial" w:cs="Arial"/>
          <w:b/>
          <w:sz w:val="22"/>
          <w:szCs w:val="22"/>
        </w:rPr>
        <w:t xml:space="preserve">Art. 11. </w:t>
      </w:r>
      <w:r w:rsidRPr="007312B2">
        <w:rPr>
          <w:rFonts w:ascii="Arial" w:hAnsi="Arial" w:cs="Arial"/>
          <w:sz w:val="22"/>
          <w:szCs w:val="22"/>
        </w:rPr>
        <w:t>Constituem créditos outorgados para efeito de compensação com o ICMS devido:</w:t>
      </w:r>
    </w:p>
    <w:p w14:paraId="5CC009CA" w14:textId="2937F224" w:rsidR="007312B2" w:rsidRDefault="007312B2" w:rsidP="00DC688C">
      <w:pPr>
        <w:ind w:left="2268"/>
        <w:jc w:val="both"/>
        <w:rPr>
          <w:rFonts w:ascii="Arial" w:hAnsi="Arial" w:cs="Arial"/>
          <w:sz w:val="22"/>
          <w:szCs w:val="22"/>
        </w:rPr>
      </w:pPr>
      <w:r w:rsidRPr="007312B2">
        <w:rPr>
          <w:rFonts w:ascii="Arial" w:hAnsi="Arial" w:cs="Arial"/>
          <w:sz w:val="22"/>
          <w:szCs w:val="22"/>
        </w:rPr>
        <w:t>[.</w:t>
      </w:r>
      <w:r>
        <w:rPr>
          <w:rFonts w:ascii="Arial" w:hAnsi="Arial" w:cs="Arial"/>
          <w:sz w:val="22"/>
          <w:szCs w:val="22"/>
        </w:rPr>
        <w:t>..].</w:t>
      </w:r>
    </w:p>
    <w:p w14:paraId="50898161" w14:textId="45EA5AC1" w:rsidR="000F371F" w:rsidRDefault="000F371F" w:rsidP="00DC688C">
      <w:pPr>
        <w:ind w:left="2268"/>
        <w:jc w:val="both"/>
        <w:rPr>
          <w:rFonts w:ascii="Arial" w:hAnsi="Arial" w:cs="Arial"/>
          <w:sz w:val="22"/>
          <w:szCs w:val="22"/>
        </w:rPr>
      </w:pPr>
      <w:r w:rsidRPr="000F371F">
        <w:rPr>
          <w:rFonts w:ascii="Arial" w:hAnsi="Arial" w:cs="Arial" w:hint="cs"/>
          <w:sz w:val="22"/>
          <w:szCs w:val="22"/>
        </w:rPr>
        <w:lastRenderedPageBreak/>
        <w:t xml:space="preserve">XXII </w:t>
      </w:r>
      <w:bookmarkEnd w:id="108"/>
      <w:r>
        <w:rPr>
          <w:rFonts w:ascii="Arial" w:hAnsi="Arial" w:cs="Arial"/>
          <w:sz w:val="22"/>
          <w:szCs w:val="22"/>
        </w:rPr>
        <w:t>–</w:t>
      </w:r>
      <w:r w:rsidRPr="000F371F">
        <w:rPr>
          <w:rFonts w:ascii="Arial" w:hAnsi="Arial" w:cs="Arial" w:hint="cs"/>
          <w:sz w:val="22"/>
          <w:szCs w:val="22"/>
        </w:rPr>
        <w:t xml:space="preserve"> para o contribuinte do ICMS que participar, sob a forma de mecenato, de projeto cultural ou artístico aprovado pela Agência Goiana da Cultura Pedro Ludovico Teixeira - AGEPEL, observado o seguinte (</w:t>
      </w:r>
      <w:r w:rsidRPr="004860BE">
        <w:rPr>
          <w:rFonts w:ascii="Arial" w:hAnsi="Arial" w:cs="Arial"/>
          <w:sz w:val="22"/>
          <w:szCs w:val="22"/>
        </w:rPr>
        <w:t>Lei nº 13.613/00, art. 9º</w:t>
      </w:r>
      <w:r w:rsidRPr="000F371F">
        <w:rPr>
          <w:rFonts w:ascii="Arial" w:hAnsi="Arial" w:cs="Arial" w:hint="cs"/>
          <w:sz w:val="22"/>
          <w:szCs w:val="22"/>
        </w:rPr>
        <w:t>, II):</w:t>
      </w:r>
    </w:p>
    <w:p w14:paraId="711E7AB2" w14:textId="737A6540" w:rsidR="000F371F" w:rsidRDefault="000F371F" w:rsidP="00DC688C">
      <w:pPr>
        <w:ind w:left="2268"/>
        <w:jc w:val="both"/>
        <w:rPr>
          <w:rFonts w:ascii="Arial" w:hAnsi="Arial" w:cs="Arial"/>
          <w:sz w:val="22"/>
          <w:szCs w:val="22"/>
        </w:rPr>
      </w:pPr>
      <w:r w:rsidRPr="000F371F">
        <w:rPr>
          <w:rFonts w:ascii="Arial" w:hAnsi="Arial" w:cs="Arial" w:hint="cs"/>
          <w:sz w:val="22"/>
          <w:szCs w:val="22"/>
        </w:rPr>
        <w:t>a)</w:t>
      </w:r>
      <w:bookmarkEnd w:id="109"/>
      <w:r w:rsidRPr="000F371F">
        <w:rPr>
          <w:rFonts w:ascii="Arial" w:hAnsi="Arial" w:cs="Arial" w:hint="cs"/>
          <w:sz w:val="22"/>
          <w:szCs w:val="22"/>
        </w:rPr>
        <w:t xml:space="preserve"> o projeto deve ser relacionado à preservação do patrimônio cultural, histórico e artístico do Estado de Goiás e à ação, produção e difusão cultural e artística;</w:t>
      </w:r>
    </w:p>
    <w:p w14:paraId="398B36D8" w14:textId="73FB46A1" w:rsidR="009A49B5" w:rsidRDefault="009A49B5" w:rsidP="00DC688C">
      <w:pPr>
        <w:ind w:left="2268"/>
        <w:jc w:val="both"/>
        <w:rPr>
          <w:rFonts w:ascii="Arial" w:hAnsi="Arial" w:cs="Arial"/>
          <w:sz w:val="22"/>
          <w:szCs w:val="22"/>
        </w:rPr>
      </w:pPr>
      <w:r w:rsidRPr="009A49B5">
        <w:rPr>
          <w:rFonts w:ascii="Arial" w:hAnsi="Arial" w:cs="Arial" w:hint="cs"/>
          <w:sz w:val="22"/>
          <w:szCs w:val="22"/>
        </w:rPr>
        <w:t>b) a fruição do benefício, solicitado por meio de requerimento do interessado, pode ocorrer a partir da data do parecer referido no item 1 da alínea “c” deste inciso, sob condição resolutória da autorização, mediante despacho, do Secretário da Fazenda;</w:t>
      </w:r>
    </w:p>
    <w:p w14:paraId="09D17B4A" w14:textId="40CA3C2C" w:rsidR="00804AE6" w:rsidRDefault="00804AE6" w:rsidP="00DC688C">
      <w:pPr>
        <w:ind w:left="2268"/>
        <w:jc w:val="both"/>
        <w:rPr>
          <w:rFonts w:ascii="Arial" w:hAnsi="Arial" w:cs="Arial"/>
          <w:sz w:val="22"/>
          <w:szCs w:val="22"/>
        </w:rPr>
      </w:pPr>
      <w:bookmarkStart w:id="110" w:name="A11XXIIC"/>
      <w:bookmarkStart w:id="111" w:name="A11XXIID"/>
      <w:r w:rsidRPr="00804AE6">
        <w:rPr>
          <w:rFonts w:ascii="Arial" w:hAnsi="Arial" w:cs="Arial" w:hint="cs"/>
          <w:sz w:val="22"/>
          <w:szCs w:val="22"/>
        </w:rPr>
        <w:t xml:space="preserve">c) </w:t>
      </w:r>
      <w:bookmarkEnd w:id="110"/>
      <w:r w:rsidRPr="00804AE6">
        <w:rPr>
          <w:rFonts w:ascii="Arial" w:hAnsi="Arial" w:cs="Arial" w:hint="cs"/>
          <w:sz w:val="22"/>
          <w:szCs w:val="22"/>
        </w:rPr>
        <w:t>o valor do crédito outorgado deve:</w:t>
      </w:r>
      <w:bookmarkEnd w:id="111"/>
    </w:p>
    <w:p w14:paraId="297329BF" w14:textId="45AA7FCE" w:rsidR="003247A9" w:rsidRDefault="003247A9" w:rsidP="00DC688C">
      <w:pPr>
        <w:ind w:left="2268"/>
        <w:jc w:val="both"/>
        <w:rPr>
          <w:rFonts w:ascii="Arial" w:hAnsi="Arial" w:cs="Arial"/>
          <w:sz w:val="22"/>
          <w:szCs w:val="22"/>
        </w:rPr>
      </w:pPr>
      <w:r w:rsidRPr="003247A9">
        <w:rPr>
          <w:rFonts w:ascii="Arial" w:hAnsi="Arial" w:cs="Arial" w:hint="cs"/>
          <w:sz w:val="22"/>
          <w:szCs w:val="22"/>
        </w:rPr>
        <w:t>1. ser fixado em parecer da Gerência de Controle de Incentivos Fiscais da Superintendência de Administração Tributária, considerando:</w:t>
      </w:r>
    </w:p>
    <w:p w14:paraId="38F5CBA4" w14:textId="7C5FCCCC" w:rsidR="00591803" w:rsidRDefault="00591803" w:rsidP="00DC688C">
      <w:pPr>
        <w:ind w:left="2268"/>
        <w:jc w:val="both"/>
        <w:rPr>
          <w:rFonts w:ascii="Arial" w:hAnsi="Arial" w:cs="Arial"/>
          <w:sz w:val="22"/>
          <w:szCs w:val="22"/>
        </w:rPr>
      </w:pPr>
      <w:r w:rsidRPr="00591803">
        <w:rPr>
          <w:rFonts w:ascii="Arial" w:hAnsi="Arial" w:cs="Arial" w:hint="cs"/>
          <w:sz w:val="22"/>
          <w:szCs w:val="22"/>
        </w:rPr>
        <w:t>1.1. o limite, por ano civil, de R$</w:t>
      </w:r>
      <w:r w:rsidR="0025591F">
        <w:rPr>
          <w:rFonts w:ascii="Arial" w:hAnsi="Arial" w:cs="Arial"/>
          <w:sz w:val="22"/>
          <w:szCs w:val="22"/>
        </w:rPr>
        <w:t xml:space="preserve"> </w:t>
      </w:r>
      <w:r w:rsidRPr="00591803">
        <w:rPr>
          <w:rFonts w:ascii="Arial" w:hAnsi="Arial" w:cs="Arial" w:hint="cs"/>
          <w:sz w:val="22"/>
          <w:szCs w:val="22"/>
        </w:rPr>
        <w:t>10.000.000,00 (dez milhões de reais), para o conjunto das empresas que patrocinarem projeto cultural ou artístico;</w:t>
      </w:r>
    </w:p>
    <w:p w14:paraId="64092A5E" w14:textId="6975CC72" w:rsidR="00C03942" w:rsidRDefault="00C03942" w:rsidP="00DC688C">
      <w:pPr>
        <w:ind w:left="2268"/>
        <w:jc w:val="both"/>
        <w:rPr>
          <w:rFonts w:ascii="Arial" w:hAnsi="Arial" w:cs="Arial"/>
          <w:sz w:val="22"/>
          <w:szCs w:val="22"/>
        </w:rPr>
      </w:pPr>
      <w:r w:rsidRPr="00C03942">
        <w:rPr>
          <w:rFonts w:ascii="Arial" w:hAnsi="Arial" w:cs="Arial" w:hint="cs"/>
          <w:sz w:val="22"/>
          <w:szCs w:val="22"/>
        </w:rPr>
        <w:t>1.2. o limite individual correspondente ao valor total do recurso monetário comprovadamente aplicado pelo contribuinte no projeto;</w:t>
      </w:r>
    </w:p>
    <w:p w14:paraId="67311AE9" w14:textId="113D7145" w:rsidR="00C03942" w:rsidRDefault="00C03942" w:rsidP="00DC688C">
      <w:pPr>
        <w:ind w:left="2268"/>
        <w:jc w:val="both"/>
        <w:rPr>
          <w:rFonts w:ascii="Arial" w:hAnsi="Arial" w:cs="Arial"/>
          <w:sz w:val="22"/>
          <w:szCs w:val="22"/>
        </w:rPr>
      </w:pPr>
      <w:r w:rsidRPr="00C03942">
        <w:rPr>
          <w:rFonts w:ascii="Arial" w:hAnsi="Arial" w:cs="Arial" w:hint="cs"/>
          <w:sz w:val="22"/>
          <w:szCs w:val="22"/>
        </w:rPr>
        <w:t>2. ser acrescido ao valor do ICMS pago pelo contribuinte, para fins de aferição de cumprimento de meta de arrecadação, tratando-se de contribuinte signatário de termo de acordo de regime especial que condicione a fruição de benefício fiscal ao cumprimento de meta de arrecadação de ICMS;</w:t>
      </w:r>
    </w:p>
    <w:p w14:paraId="7AF8F9DC" w14:textId="77777777" w:rsidR="001B61EF" w:rsidRPr="001B61EF" w:rsidRDefault="001B61EF" w:rsidP="00DC688C">
      <w:pPr>
        <w:ind w:left="2268"/>
        <w:jc w:val="both"/>
        <w:rPr>
          <w:rFonts w:ascii="Arial" w:hAnsi="Arial" w:cs="Arial"/>
          <w:sz w:val="22"/>
          <w:szCs w:val="22"/>
        </w:rPr>
      </w:pPr>
      <w:r w:rsidRPr="001B61EF">
        <w:rPr>
          <w:rFonts w:ascii="Arial" w:hAnsi="Arial" w:cs="Arial" w:hint="cs"/>
          <w:sz w:val="22"/>
          <w:szCs w:val="22"/>
        </w:rPr>
        <w:t>d) a Secretaria da Fazenda, isoladamente ou em conjunto com a AGEPEL, devem fazer o controle do recurso disponível para concessão do benefício, relativamente ao limite de que trata o item 1 da alínea anterior;</w:t>
      </w:r>
    </w:p>
    <w:p w14:paraId="3C965A9E" w14:textId="77777777" w:rsidR="001B61EF" w:rsidRPr="001B61EF" w:rsidRDefault="001B61EF" w:rsidP="00DC688C">
      <w:pPr>
        <w:ind w:left="2268"/>
        <w:jc w:val="both"/>
        <w:rPr>
          <w:rFonts w:ascii="Arial" w:hAnsi="Arial" w:cs="Arial"/>
          <w:sz w:val="22"/>
          <w:szCs w:val="22"/>
        </w:rPr>
      </w:pPr>
      <w:r w:rsidRPr="001B61EF">
        <w:rPr>
          <w:rFonts w:ascii="Arial" w:hAnsi="Arial" w:cs="Arial" w:hint="cs"/>
          <w:sz w:val="22"/>
          <w:szCs w:val="22"/>
        </w:rPr>
        <w:t>e) ao registrar o crédito outorgado no livro Registro de Apuração do ICMS no campo “Outros Créditos”, devem ser feitas menções ao despacho autorizativo do Secretário da Fazenda e ao registro do projeto no Programa GOYAZES;</w:t>
      </w:r>
    </w:p>
    <w:p w14:paraId="7A014669" w14:textId="2B506836" w:rsidR="002160E9" w:rsidRDefault="002160E9" w:rsidP="00DC688C">
      <w:pPr>
        <w:ind w:left="2268"/>
        <w:jc w:val="both"/>
        <w:rPr>
          <w:rFonts w:ascii="Arial" w:hAnsi="Arial" w:cs="Arial"/>
          <w:sz w:val="22"/>
          <w:szCs w:val="22"/>
        </w:rPr>
      </w:pPr>
      <w:r w:rsidRPr="002160E9">
        <w:rPr>
          <w:rFonts w:ascii="Arial" w:hAnsi="Arial" w:cs="Arial" w:hint="cs"/>
          <w:sz w:val="22"/>
          <w:szCs w:val="22"/>
        </w:rPr>
        <w:t>f) ato do Secretário da Fazenda pode estabelecer ao contribuinte outras obrigações tributárias acessórias ou regras de controles para a fruição do benefício.</w:t>
      </w:r>
    </w:p>
    <w:p w14:paraId="24CF31DB" w14:textId="13008894" w:rsidR="002160E9" w:rsidRDefault="002160E9" w:rsidP="00DC688C">
      <w:pPr>
        <w:ind w:left="2268"/>
        <w:jc w:val="both"/>
        <w:rPr>
          <w:rFonts w:ascii="Arial" w:hAnsi="Arial" w:cs="Arial"/>
          <w:sz w:val="22"/>
          <w:szCs w:val="22"/>
        </w:rPr>
      </w:pPr>
      <w:r w:rsidRPr="002160E9">
        <w:rPr>
          <w:rFonts w:ascii="Arial" w:hAnsi="Arial" w:cs="Arial" w:hint="cs"/>
          <w:sz w:val="22"/>
          <w:szCs w:val="22"/>
        </w:rPr>
        <w:t>g) previamente ao depósito do recurso na conta bancária específica vinculada ao projeto, o contribuinte, para fazer jus ao crédito outorgado, deve obter da Secretaria da Fazenda a manifestação favorável sobre a viabilidade financeira da concessão do benefício;</w:t>
      </w:r>
    </w:p>
    <w:p w14:paraId="51D4E4DA" w14:textId="77777777" w:rsidR="002B5FD2" w:rsidRDefault="002B5FD2" w:rsidP="00713208">
      <w:pPr>
        <w:spacing w:line="360" w:lineRule="auto"/>
        <w:ind w:firstLine="851"/>
        <w:jc w:val="both"/>
        <w:rPr>
          <w:rFonts w:ascii="Arial" w:hAnsi="Arial" w:cs="Arial"/>
          <w:sz w:val="24"/>
          <w:szCs w:val="24"/>
        </w:rPr>
      </w:pPr>
    </w:p>
    <w:p w14:paraId="0AB7249A" w14:textId="3029E221" w:rsidR="00696E80" w:rsidRDefault="008219DB" w:rsidP="00713208">
      <w:pPr>
        <w:spacing w:line="360" w:lineRule="auto"/>
        <w:ind w:firstLine="851"/>
        <w:jc w:val="both"/>
        <w:rPr>
          <w:rFonts w:ascii="Arial" w:hAnsi="Arial" w:cs="Arial"/>
          <w:sz w:val="24"/>
          <w:szCs w:val="24"/>
        </w:rPr>
      </w:pPr>
      <w:r>
        <w:rPr>
          <w:rFonts w:ascii="Arial" w:hAnsi="Arial" w:cs="Arial"/>
          <w:sz w:val="24"/>
          <w:szCs w:val="24"/>
        </w:rPr>
        <w:t xml:space="preserve">Nesse ponto o regulamento foi mais exaustivo ao traçar balizar mais concretas para fixação do valor a ser fixado individualmente em favor de cada interessado, qual seja, o valor total do recurso monetário </w:t>
      </w:r>
      <w:r w:rsidRPr="008219DB">
        <w:rPr>
          <w:rFonts w:ascii="Arial" w:hAnsi="Arial" w:cs="Arial" w:hint="cs"/>
          <w:sz w:val="24"/>
          <w:szCs w:val="24"/>
        </w:rPr>
        <w:t>comprovadamente aplicado pelo contribuinte no projeto</w:t>
      </w:r>
      <w:r>
        <w:rPr>
          <w:rFonts w:ascii="Arial" w:hAnsi="Arial" w:cs="Arial"/>
          <w:sz w:val="24"/>
          <w:szCs w:val="24"/>
        </w:rPr>
        <w:t xml:space="preserve">, embora a definição do valor exato coubesse ao </w:t>
      </w:r>
      <w:r w:rsidRPr="008219DB">
        <w:rPr>
          <w:rFonts w:ascii="Arial" w:hAnsi="Arial" w:cs="Arial"/>
          <w:sz w:val="24"/>
          <w:szCs w:val="24"/>
        </w:rPr>
        <w:t>parecer da Gerência de Controle de Incentivos Fiscais da Superintendência de Administração Tributária</w:t>
      </w:r>
      <w:r w:rsidR="00696E80">
        <w:rPr>
          <w:rFonts w:ascii="Arial" w:hAnsi="Arial" w:cs="Arial"/>
          <w:sz w:val="24"/>
          <w:szCs w:val="24"/>
        </w:rPr>
        <w:t xml:space="preserve"> e sua fruição dependesse de </w:t>
      </w:r>
      <w:r w:rsidR="00696E80" w:rsidRPr="00696E80">
        <w:rPr>
          <w:rFonts w:ascii="Arial" w:hAnsi="Arial" w:cs="Arial" w:hint="cs"/>
          <w:sz w:val="24"/>
          <w:szCs w:val="24"/>
        </w:rPr>
        <w:t>autorização, mediante despacho, do Secretário da Fazenda</w:t>
      </w:r>
      <w:r w:rsidR="00696E80">
        <w:rPr>
          <w:rFonts w:ascii="Arial" w:hAnsi="Arial" w:cs="Arial"/>
          <w:sz w:val="24"/>
          <w:szCs w:val="24"/>
        </w:rPr>
        <w:t>.</w:t>
      </w:r>
    </w:p>
    <w:p w14:paraId="47AFCC8F" w14:textId="01E3F000" w:rsidR="000F371F" w:rsidRDefault="008219DB" w:rsidP="00713208">
      <w:pPr>
        <w:spacing w:line="360" w:lineRule="auto"/>
        <w:ind w:firstLine="851"/>
        <w:jc w:val="both"/>
        <w:rPr>
          <w:rFonts w:ascii="Arial" w:hAnsi="Arial" w:cs="Arial"/>
          <w:sz w:val="24"/>
          <w:szCs w:val="24"/>
        </w:rPr>
      </w:pPr>
      <w:r>
        <w:rPr>
          <w:rFonts w:ascii="Arial" w:hAnsi="Arial" w:cs="Arial"/>
          <w:sz w:val="24"/>
          <w:szCs w:val="24"/>
        </w:rPr>
        <w:lastRenderedPageBreak/>
        <w:t>Porém, nada impediria que outro decreto simplesmente “afrouxasse” as regras e permitisse a fixação livre de valor, como ocorria em relação ao benefício da redução da base de cálculo previsto no inciso I do art. 9º do Anexo IX do RCTE/GO.</w:t>
      </w:r>
      <w:r w:rsidR="00B95133">
        <w:rPr>
          <w:rFonts w:ascii="Arial" w:hAnsi="Arial" w:cs="Arial"/>
          <w:sz w:val="24"/>
          <w:szCs w:val="24"/>
        </w:rPr>
        <w:t xml:space="preserve"> Ressalte-se, ainda, que</w:t>
      </w:r>
      <w:r w:rsidR="00A43897">
        <w:rPr>
          <w:rFonts w:ascii="Arial" w:hAnsi="Arial" w:cs="Arial"/>
          <w:sz w:val="24"/>
          <w:szCs w:val="24"/>
        </w:rPr>
        <w:t xml:space="preserve"> a previsão normativ</w:t>
      </w:r>
      <w:r w:rsidR="001237DE">
        <w:rPr>
          <w:rFonts w:ascii="Arial" w:hAnsi="Arial" w:cs="Arial"/>
          <w:sz w:val="24"/>
          <w:szCs w:val="24"/>
        </w:rPr>
        <w:t>a</w:t>
      </w:r>
      <w:r w:rsidR="00A43897">
        <w:rPr>
          <w:rFonts w:ascii="Arial" w:hAnsi="Arial" w:cs="Arial"/>
          <w:sz w:val="24"/>
          <w:szCs w:val="24"/>
        </w:rPr>
        <w:t xml:space="preserve"> de </w:t>
      </w:r>
      <w:r w:rsidR="00B95133">
        <w:rPr>
          <w:rFonts w:ascii="Arial" w:hAnsi="Arial" w:cs="Arial"/>
          <w:sz w:val="24"/>
          <w:szCs w:val="24"/>
        </w:rPr>
        <w:t>crédito outorgado também foi revogad</w:t>
      </w:r>
      <w:r w:rsidR="00366BF6">
        <w:rPr>
          <w:rFonts w:ascii="Arial" w:hAnsi="Arial" w:cs="Arial"/>
          <w:sz w:val="24"/>
          <w:szCs w:val="24"/>
        </w:rPr>
        <w:t>a</w:t>
      </w:r>
      <w:r w:rsidR="005B744E">
        <w:rPr>
          <w:rFonts w:ascii="Arial" w:hAnsi="Arial" w:cs="Arial"/>
          <w:sz w:val="24"/>
          <w:szCs w:val="24"/>
        </w:rPr>
        <w:t xml:space="preserve"> pelo</w:t>
      </w:r>
      <w:r w:rsidR="00A43897">
        <w:rPr>
          <w:rFonts w:ascii="Arial" w:hAnsi="Arial" w:cs="Arial"/>
          <w:sz w:val="24"/>
          <w:szCs w:val="24"/>
        </w:rPr>
        <w:t xml:space="preserve"> mesmo</w:t>
      </w:r>
      <w:r w:rsidR="005B744E">
        <w:rPr>
          <w:rFonts w:ascii="Arial" w:hAnsi="Arial" w:cs="Arial"/>
          <w:sz w:val="24"/>
          <w:szCs w:val="24"/>
        </w:rPr>
        <w:t xml:space="preserve"> Decreto nº 9.369/2019</w:t>
      </w:r>
      <w:r w:rsidR="00A43897">
        <w:rPr>
          <w:rFonts w:ascii="Arial" w:hAnsi="Arial" w:cs="Arial"/>
          <w:sz w:val="24"/>
          <w:szCs w:val="24"/>
        </w:rPr>
        <w:t>, que revogou o benefício da redução da base de cálculo, o que mais uma vez evidencia a concentração de poder no Governador do Estado</w:t>
      </w:r>
      <w:r w:rsidR="001237DE">
        <w:rPr>
          <w:rFonts w:ascii="Arial" w:hAnsi="Arial" w:cs="Arial"/>
          <w:sz w:val="24"/>
          <w:szCs w:val="24"/>
        </w:rPr>
        <w:t xml:space="preserve"> de Goiás</w:t>
      </w:r>
      <w:r w:rsidR="00194DE7">
        <w:rPr>
          <w:rFonts w:ascii="Arial" w:hAnsi="Arial" w:cs="Arial"/>
          <w:sz w:val="24"/>
          <w:szCs w:val="24"/>
        </w:rPr>
        <w:t xml:space="preserve">, </w:t>
      </w:r>
      <w:r w:rsidR="00C87234" w:rsidRPr="00446E0A">
        <w:rPr>
          <w:rFonts w:ascii="Arial" w:hAnsi="Arial" w:cs="Arial"/>
          <w:sz w:val="24"/>
          <w:szCs w:val="24"/>
        </w:rPr>
        <w:t xml:space="preserve">que </w:t>
      </w:r>
      <w:r w:rsidR="00194DE7" w:rsidRPr="00446E0A">
        <w:rPr>
          <w:rFonts w:ascii="Arial" w:hAnsi="Arial" w:cs="Arial"/>
          <w:sz w:val="24"/>
          <w:szCs w:val="24"/>
        </w:rPr>
        <w:t>atualmente</w:t>
      </w:r>
      <w:r w:rsidR="00194DE7">
        <w:rPr>
          <w:rFonts w:ascii="Arial" w:hAnsi="Arial" w:cs="Arial"/>
          <w:sz w:val="24"/>
          <w:szCs w:val="24"/>
        </w:rPr>
        <w:t xml:space="preserve"> optou</w:t>
      </w:r>
      <w:r w:rsidR="00366BF6">
        <w:rPr>
          <w:rFonts w:ascii="Arial" w:hAnsi="Arial" w:cs="Arial"/>
          <w:sz w:val="24"/>
          <w:szCs w:val="24"/>
        </w:rPr>
        <w:t xml:space="preserve"> por</w:t>
      </w:r>
      <w:r w:rsidR="00194DE7">
        <w:rPr>
          <w:rFonts w:ascii="Arial" w:hAnsi="Arial" w:cs="Arial"/>
          <w:sz w:val="24"/>
          <w:szCs w:val="24"/>
        </w:rPr>
        <w:t xml:space="preserve"> não concedê-lo a partir do exercício de 2019</w:t>
      </w:r>
      <w:r w:rsidR="005B744E">
        <w:rPr>
          <w:rFonts w:ascii="Arial" w:hAnsi="Arial" w:cs="Arial"/>
          <w:sz w:val="24"/>
          <w:szCs w:val="24"/>
        </w:rPr>
        <w:t>.</w:t>
      </w:r>
    </w:p>
    <w:p w14:paraId="6CD5672A" w14:textId="77777777" w:rsidR="00B95133" w:rsidRDefault="00B95133" w:rsidP="00713208">
      <w:pPr>
        <w:spacing w:line="360" w:lineRule="auto"/>
        <w:ind w:firstLine="851"/>
        <w:jc w:val="both"/>
        <w:rPr>
          <w:rFonts w:ascii="Arial" w:hAnsi="Arial" w:cs="Arial"/>
          <w:sz w:val="24"/>
          <w:szCs w:val="24"/>
        </w:rPr>
      </w:pPr>
    </w:p>
    <w:p w14:paraId="57352BB3" w14:textId="2F88E6DC" w:rsidR="00374AFC" w:rsidRDefault="000A345D" w:rsidP="00713208">
      <w:pPr>
        <w:spacing w:line="360" w:lineRule="auto"/>
        <w:ind w:firstLine="851"/>
        <w:jc w:val="both"/>
        <w:rPr>
          <w:rFonts w:ascii="Arial" w:hAnsi="Arial" w:cs="Arial"/>
          <w:sz w:val="24"/>
          <w:szCs w:val="24"/>
        </w:rPr>
      </w:pPr>
      <w:r w:rsidRPr="00CB3B82">
        <w:rPr>
          <w:rFonts w:ascii="Arial" w:hAnsi="Arial" w:cs="Arial"/>
          <w:b/>
          <w:sz w:val="24"/>
          <w:szCs w:val="24"/>
        </w:rPr>
        <w:t>5.3.2.</w:t>
      </w:r>
      <w:r>
        <w:rPr>
          <w:rFonts w:ascii="Arial" w:hAnsi="Arial" w:cs="Arial"/>
          <w:b/>
          <w:sz w:val="24"/>
          <w:szCs w:val="24"/>
        </w:rPr>
        <w:t>3</w:t>
      </w:r>
      <w:r w:rsidRPr="00CB3B82">
        <w:rPr>
          <w:rFonts w:ascii="Arial" w:hAnsi="Arial" w:cs="Arial"/>
          <w:b/>
          <w:sz w:val="24"/>
          <w:szCs w:val="24"/>
        </w:rPr>
        <w:t>.</w:t>
      </w:r>
      <w:r w:rsidR="00204AD7">
        <w:rPr>
          <w:rFonts w:ascii="Arial" w:hAnsi="Arial" w:cs="Arial"/>
          <w:b/>
          <w:sz w:val="24"/>
          <w:szCs w:val="24"/>
        </w:rPr>
        <w:t xml:space="preserve"> </w:t>
      </w:r>
      <w:r w:rsidR="00C26E82" w:rsidRPr="00C26E82">
        <w:rPr>
          <w:rFonts w:ascii="Arial" w:hAnsi="Arial" w:cs="Arial"/>
          <w:sz w:val="24"/>
          <w:szCs w:val="24"/>
        </w:rPr>
        <w:t xml:space="preserve">Por fim, </w:t>
      </w:r>
      <w:r w:rsidR="00F6058E">
        <w:rPr>
          <w:rFonts w:ascii="Arial" w:hAnsi="Arial" w:cs="Arial"/>
          <w:sz w:val="24"/>
          <w:szCs w:val="24"/>
        </w:rPr>
        <w:t xml:space="preserve">para demonstrar um último exemplo da dinâmica de concessão e fruição de incentivos fiscais relativas ao ICMS, </w:t>
      </w:r>
      <w:r w:rsidR="002202E9">
        <w:rPr>
          <w:rFonts w:ascii="Arial" w:hAnsi="Arial" w:cs="Arial"/>
          <w:sz w:val="24"/>
          <w:szCs w:val="24"/>
        </w:rPr>
        <w:t>cite</w:t>
      </w:r>
      <w:r w:rsidR="00C26E82">
        <w:rPr>
          <w:rFonts w:ascii="Arial" w:hAnsi="Arial" w:cs="Arial"/>
          <w:sz w:val="24"/>
          <w:szCs w:val="24"/>
        </w:rPr>
        <w:t xml:space="preserve">-se </w:t>
      </w:r>
      <w:r w:rsidR="00F6058E">
        <w:rPr>
          <w:rFonts w:ascii="Arial" w:hAnsi="Arial" w:cs="Arial"/>
          <w:sz w:val="24"/>
          <w:szCs w:val="24"/>
        </w:rPr>
        <w:t xml:space="preserve">a </w:t>
      </w:r>
      <w:r w:rsidR="00F6058E" w:rsidRPr="0061363E">
        <w:rPr>
          <w:rFonts w:ascii="Arial" w:hAnsi="Arial" w:cs="Arial"/>
          <w:b/>
          <w:sz w:val="24"/>
          <w:szCs w:val="24"/>
        </w:rPr>
        <w:t>L</w:t>
      </w:r>
      <w:r w:rsidR="000F7B58" w:rsidRPr="0061363E">
        <w:rPr>
          <w:rFonts w:ascii="Arial" w:hAnsi="Arial" w:cs="Arial"/>
          <w:b/>
          <w:sz w:val="24"/>
          <w:szCs w:val="24"/>
        </w:rPr>
        <w:t>ei nº 16.671</w:t>
      </w:r>
      <w:r w:rsidR="002202E9" w:rsidRPr="0061363E">
        <w:rPr>
          <w:rFonts w:ascii="Arial" w:hAnsi="Arial" w:cs="Arial"/>
          <w:b/>
          <w:sz w:val="24"/>
          <w:szCs w:val="24"/>
        </w:rPr>
        <w:t>/2009, que autoriza (mais uma vez!) o Chefe do Poder Executivo a conceder crédito outorgado de ICMS devido por empresa</w:t>
      </w:r>
      <w:r w:rsidR="002202E9" w:rsidRPr="0061363E">
        <w:rPr>
          <w:b/>
        </w:rPr>
        <w:t xml:space="preserve"> </w:t>
      </w:r>
      <w:r w:rsidR="002202E9" w:rsidRPr="0061363E">
        <w:rPr>
          <w:rFonts w:ascii="Arial" w:hAnsi="Arial" w:cs="Arial"/>
          <w:b/>
          <w:sz w:val="24"/>
          <w:szCs w:val="24"/>
        </w:rPr>
        <w:t>que implantar ou ampliar empreendimento industrial de veículo automotor</w:t>
      </w:r>
      <w:r w:rsidR="002202E9" w:rsidRPr="002202E9">
        <w:rPr>
          <w:rFonts w:ascii="Arial" w:hAnsi="Arial" w:cs="Arial"/>
          <w:sz w:val="24"/>
          <w:szCs w:val="24"/>
        </w:rPr>
        <w:t xml:space="preserve"> no Estado de Goiás</w:t>
      </w:r>
      <w:r w:rsidR="00CD6E89">
        <w:rPr>
          <w:rFonts w:ascii="Arial" w:hAnsi="Arial" w:cs="Arial"/>
          <w:sz w:val="24"/>
          <w:szCs w:val="24"/>
        </w:rPr>
        <w:t xml:space="preserve">, consoante </w:t>
      </w:r>
      <w:r w:rsidR="003267A7">
        <w:rPr>
          <w:rFonts w:ascii="Arial" w:hAnsi="Arial" w:cs="Arial"/>
          <w:sz w:val="24"/>
          <w:szCs w:val="24"/>
        </w:rPr>
        <w:t>estabelecem os seguintes dispositivos de maior relevância extraídos da Lei</w:t>
      </w:r>
      <w:r w:rsidR="00CD6E89">
        <w:rPr>
          <w:rFonts w:ascii="Arial" w:hAnsi="Arial" w:cs="Arial"/>
          <w:sz w:val="24"/>
          <w:szCs w:val="24"/>
        </w:rPr>
        <w:t>:</w:t>
      </w:r>
    </w:p>
    <w:p w14:paraId="585FCEE4" w14:textId="1FD74683" w:rsidR="00CD6E89" w:rsidRDefault="00CD6E89" w:rsidP="00713208">
      <w:pPr>
        <w:spacing w:line="360" w:lineRule="auto"/>
        <w:ind w:firstLine="851"/>
        <w:jc w:val="both"/>
        <w:rPr>
          <w:rFonts w:ascii="Arial" w:hAnsi="Arial" w:cs="Arial"/>
          <w:sz w:val="24"/>
          <w:szCs w:val="24"/>
        </w:rPr>
      </w:pPr>
    </w:p>
    <w:p w14:paraId="0D3B3CCE" w14:textId="77777777" w:rsidR="00CD6E89" w:rsidRPr="00CD6E89" w:rsidRDefault="00CD6E89" w:rsidP="00DC688C">
      <w:pPr>
        <w:ind w:left="2268"/>
        <w:jc w:val="both"/>
        <w:rPr>
          <w:rFonts w:ascii="Arial" w:hAnsi="Arial" w:cs="Arial"/>
          <w:sz w:val="22"/>
          <w:szCs w:val="22"/>
        </w:rPr>
      </w:pPr>
      <w:r w:rsidRPr="00CD6E89">
        <w:rPr>
          <w:rFonts w:ascii="Arial" w:hAnsi="Arial" w:cs="Arial"/>
          <w:sz w:val="22"/>
          <w:szCs w:val="22"/>
        </w:rPr>
        <w:t xml:space="preserve">Art. 1° </w:t>
      </w:r>
      <w:r w:rsidRPr="00A20DEF">
        <w:rPr>
          <w:rFonts w:ascii="Arial" w:hAnsi="Arial" w:cs="Arial"/>
          <w:b/>
          <w:sz w:val="22"/>
          <w:szCs w:val="22"/>
          <w:u w:val="single"/>
        </w:rPr>
        <w:t>Fica o Chefe do Poder Executivo</w:t>
      </w:r>
      <w:r w:rsidRPr="00CD6E89">
        <w:rPr>
          <w:rFonts w:ascii="Arial" w:hAnsi="Arial" w:cs="Arial"/>
          <w:sz w:val="22"/>
          <w:szCs w:val="22"/>
        </w:rPr>
        <w:t xml:space="preserve">, na forma, limite e condições que estabelecer, </w:t>
      </w:r>
      <w:r w:rsidRPr="00A20DEF">
        <w:rPr>
          <w:rFonts w:ascii="Arial" w:hAnsi="Arial" w:cs="Arial"/>
          <w:b/>
          <w:sz w:val="22"/>
          <w:szCs w:val="22"/>
          <w:u w:val="single"/>
        </w:rPr>
        <w:t>autorizado a conceder crédito outorgado</w:t>
      </w:r>
      <w:r w:rsidRPr="00CD6E89">
        <w:rPr>
          <w:rFonts w:ascii="Arial" w:hAnsi="Arial" w:cs="Arial"/>
          <w:sz w:val="22"/>
          <w:szCs w:val="22"/>
        </w:rPr>
        <w:t xml:space="preserve"> relativo ao Imposto sobre Operações Relativas à Circulação de Mercadorias e sobre Prestações de Serviços de Transporte Interestadual e Intermunicipal e de Comunicação -</w:t>
      </w:r>
      <w:r w:rsidRPr="00A20DEF">
        <w:rPr>
          <w:rFonts w:ascii="Arial" w:hAnsi="Arial" w:cs="Arial"/>
          <w:b/>
          <w:sz w:val="22"/>
          <w:szCs w:val="22"/>
        </w:rPr>
        <w:t>ICMS</w:t>
      </w:r>
      <w:r w:rsidRPr="00CD6E89">
        <w:rPr>
          <w:rFonts w:ascii="Arial" w:hAnsi="Arial" w:cs="Arial"/>
          <w:sz w:val="22"/>
          <w:szCs w:val="22"/>
        </w:rPr>
        <w:t xml:space="preserve">- devido por </w:t>
      </w:r>
      <w:r w:rsidRPr="00A20DEF">
        <w:rPr>
          <w:rFonts w:ascii="Arial" w:hAnsi="Arial" w:cs="Arial"/>
          <w:b/>
          <w:sz w:val="22"/>
          <w:szCs w:val="22"/>
        </w:rPr>
        <w:t>empresa que implantar ou ampliar empreendimento industrial de veículo automotor no Estado de Goiás</w:t>
      </w:r>
      <w:r w:rsidRPr="00CD6E89">
        <w:rPr>
          <w:rFonts w:ascii="Arial" w:hAnsi="Arial" w:cs="Arial"/>
          <w:sz w:val="22"/>
          <w:szCs w:val="22"/>
        </w:rPr>
        <w:t>.</w:t>
      </w:r>
    </w:p>
    <w:p w14:paraId="34985E2A" w14:textId="79ADD468" w:rsidR="00CD6E89" w:rsidRDefault="00CD6E89" w:rsidP="00DC688C">
      <w:pPr>
        <w:ind w:left="2268"/>
        <w:jc w:val="both"/>
        <w:rPr>
          <w:rFonts w:ascii="Arial" w:hAnsi="Arial" w:cs="Arial"/>
          <w:sz w:val="22"/>
          <w:szCs w:val="22"/>
        </w:rPr>
      </w:pPr>
      <w:r w:rsidRPr="00CD6E89">
        <w:rPr>
          <w:rFonts w:ascii="Arial" w:hAnsi="Arial" w:cs="Arial"/>
          <w:sz w:val="22"/>
          <w:szCs w:val="22"/>
        </w:rPr>
        <w:t xml:space="preserve">Parágrafo único. O disposto nesta Lei aplica-se inclusive ao industrial fabricante de extintores de incêndio descartáveis de polímero de engenharia de uso automotivo e cilindros em polímero para uso de GLP, desde que o </w:t>
      </w:r>
      <w:r w:rsidRPr="00A20DEF">
        <w:rPr>
          <w:rFonts w:ascii="Arial" w:hAnsi="Arial" w:cs="Arial"/>
          <w:b/>
          <w:sz w:val="22"/>
          <w:szCs w:val="22"/>
        </w:rPr>
        <w:t>beneficiário atenda aos requisitos previstos em regulamento específico e em termo de acordo de regime especial</w:t>
      </w:r>
      <w:r w:rsidRPr="00CD6E89">
        <w:rPr>
          <w:rFonts w:ascii="Arial" w:hAnsi="Arial" w:cs="Arial"/>
          <w:sz w:val="22"/>
          <w:szCs w:val="22"/>
        </w:rPr>
        <w:t>.</w:t>
      </w:r>
    </w:p>
    <w:p w14:paraId="1CBA9989" w14:textId="497AF9E0" w:rsidR="003267A7" w:rsidRDefault="003267A7" w:rsidP="00DC688C">
      <w:pPr>
        <w:ind w:left="2268"/>
        <w:jc w:val="both"/>
        <w:rPr>
          <w:rFonts w:ascii="Arial" w:hAnsi="Arial" w:cs="Arial"/>
          <w:sz w:val="22"/>
          <w:szCs w:val="22"/>
        </w:rPr>
      </w:pPr>
    </w:p>
    <w:p w14:paraId="0DD0E10B" w14:textId="67D21273" w:rsidR="003267A7" w:rsidRDefault="003267A7" w:rsidP="00DC688C">
      <w:pPr>
        <w:ind w:left="2268"/>
        <w:jc w:val="both"/>
        <w:rPr>
          <w:rFonts w:ascii="Arial" w:hAnsi="Arial" w:cs="Arial"/>
          <w:sz w:val="22"/>
          <w:szCs w:val="22"/>
        </w:rPr>
      </w:pPr>
      <w:r w:rsidRPr="003267A7">
        <w:rPr>
          <w:rFonts w:ascii="Arial" w:hAnsi="Arial" w:cs="Arial"/>
          <w:sz w:val="22"/>
          <w:szCs w:val="22"/>
        </w:rPr>
        <w:t xml:space="preserve">Art. 2º O </w:t>
      </w:r>
      <w:r w:rsidRPr="00A20DEF">
        <w:rPr>
          <w:rFonts w:ascii="Arial" w:hAnsi="Arial" w:cs="Arial"/>
          <w:b/>
          <w:sz w:val="22"/>
          <w:szCs w:val="22"/>
        </w:rPr>
        <w:t>crédito outorgado do ICMS será concedido ao industrial de veículo automotor beneficiário</w:t>
      </w:r>
      <w:r w:rsidRPr="003267A7">
        <w:rPr>
          <w:rFonts w:ascii="Arial" w:hAnsi="Arial" w:cs="Arial"/>
          <w:sz w:val="22"/>
          <w:szCs w:val="22"/>
        </w:rPr>
        <w:t xml:space="preserve"> do Programa de Desenvolvimento Industrial de Goiás -</w:t>
      </w:r>
      <w:r w:rsidRPr="00A20DEF">
        <w:rPr>
          <w:rFonts w:ascii="Arial" w:hAnsi="Arial" w:cs="Arial"/>
          <w:sz w:val="22"/>
          <w:szCs w:val="22"/>
          <w:u w:val="single"/>
        </w:rPr>
        <w:t>PRODUZIR</w:t>
      </w:r>
      <w:r w:rsidRPr="003267A7">
        <w:rPr>
          <w:rFonts w:ascii="Arial" w:hAnsi="Arial" w:cs="Arial"/>
          <w:sz w:val="22"/>
          <w:szCs w:val="22"/>
        </w:rPr>
        <w:t>- de que trata a Lei nº 13.591, de 18 de janeiro de 2000, ou do Fundo de Participação e Fomento Ã Industrialização do Estado de Goiás -</w:t>
      </w:r>
      <w:r w:rsidRPr="00A20DEF">
        <w:rPr>
          <w:rFonts w:ascii="Arial" w:hAnsi="Arial" w:cs="Arial"/>
          <w:sz w:val="22"/>
          <w:szCs w:val="22"/>
          <w:u w:val="single"/>
        </w:rPr>
        <w:t>FOMENTAR</w:t>
      </w:r>
      <w:r w:rsidRPr="003267A7">
        <w:rPr>
          <w:rFonts w:ascii="Arial" w:hAnsi="Arial" w:cs="Arial"/>
          <w:sz w:val="22"/>
          <w:szCs w:val="22"/>
        </w:rPr>
        <w:t>-, de que trata a Lei nº 9.489, de 19 de julho de 1984.</w:t>
      </w:r>
    </w:p>
    <w:p w14:paraId="011AC2E9" w14:textId="5676AA32" w:rsidR="003267A7" w:rsidRDefault="003267A7" w:rsidP="00DC688C">
      <w:pPr>
        <w:ind w:left="2268"/>
        <w:jc w:val="both"/>
        <w:rPr>
          <w:rFonts w:ascii="Arial" w:hAnsi="Arial" w:cs="Arial"/>
          <w:sz w:val="22"/>
          <w:szCs w:val="22"/>
        </w:rPr>
      </w:pPr>
      <w:r>
        <w:rPr>
          <w:rFonts w:ascii="Arial" w:hAnsi="Arial" w:cs="Arial"/>
          <w:sz w:val="22"/>
          <w:szCs w:val="22"/>
        </w:rPr>
        <w:t>[...].</w:t>
      </w:r>
    </w:p>
    <w:p w14:paraId="19FD7A16" w14:textId="603EB3B1" w:rsidR="003267A7" w:rsidRDefault="003267A7" w:rsidP="00DC688C">
      <w:pPr>
        <w:ind w:left="2268"/>
        <w:jc w:val="both"/>
        <w:rPr>
          <w:rFonts w:ascii="Arial" w:hAnsi="Arial" w:cs="Arial"/>
          <w:sz w:val="22"/>
          <w:szCs w:val="22"/>
        </w:rPr>
      </w:pPr>
      <w:r w:rsidRPr="003267A7">
        <w:rPr>
          <w:rFonts w:ascii="Arial" w:hAnsi="Arial" w:cs="Arial"/>
          <w:sz w:val="22"/>
          <w:szCs w:val="22"/>
        </w:rPr>
        <w:t>§ 3</w:t>
      </w:r>
      <w:r w:rsidRPr="003267A7">
        <w:rPr>
          <w:rFonts w:ascii="Arial" w:hAnsi="Arial" w:cs="Arial"/>
          <w:sz w:val="22"/>
          <w:szCs w:val="22"/>
          <w:vertAlign w:val="superscript"/>
        </w:rPr>
        <w:t>o</w:t>
      </w:r>
      <w:r w:rsidRPr="003267A7">
        <w:rPr>
          <w:rFonts w:ascii="Arial" w:hAnsi="Arial" w:cs="Arial"/>
          <w:sz w:val="22"/>
          <w:szCs w:val="22"/>
        </w:rPr>
        <w:t xml:space="preserve"> O industrial de veículo automotor, </w:t>
      </w:r>
      <w:r w:rsidRPr="00A20DEF">
        <w:rPr>
          <w:rFonts w:ascii="Arial" w:hAnsi="Arial" w:cs="Arial"/>
          <w:b/>
          <w:sz w:val="22"/>
          <w:szCs w:val="22"/>
        </w:rPr>
        <w:t>atendidas as normas fixadas em regime especial celebrado com a Secretaria de Estado da Fazenda</w:t>
      </w:r>
      <w:r w:rsidRPr="003267A7">
        <w:rPr>
          <w:rFonts w:ascii="Arial" w:hAnsi="Arial" w:cs="Arial"/>
          <w:sz w:val="22"/>
          <w:szCs w:val="22"/>
        </w:rPr>
        <w:t>, pode incluir, como abrangidas pelo crédito outorgado de que trata esta Lei, as operações com o produto resultante de industrialização efetuada neste Estado, por sua encomenda e ordem, em outro estabelecimento da mesma empresa ou de terceiro.</w:t>
      </w:r>
    </w:p>
    <w:p w14:paraId="6080650A" w14:textId="7FC2DBF5" w:rsidR="003267A7" w:rsidRDefault="003267A7" w:rsidP="00DC688C">
      <w:pPr>
        <w:ind w:left="2268"/>
        <w:jc w:val="both"/>
        <w:rPr>
          <w:rFonts w:ascii="Arial" w:hAnsi="Arial" w:cs="Arial"/>
          <w:sz w:val="22"/>
          <w:szCs w:val="22"/>
        </w:rPr>
      </w:pPr>
    </w:p>
    <w:p w14:paraId="3C10603A" w14:textId="77777777" w:rsidR="003267A7" w:rsidRPr="003267A7" w:rsidRDefault="003267A7" w:rsidP="00DC688C">
      <w:pPr>
        <w:ind w:left="2268"/>
        <w:jc w:val="both"/>
        <w:rPr>
          <w:rFonts w:ascii="Arial" w:hAnsi="Arial" w:cs="Arial"/>
          <w:sz w:val="22"/>
          <w:szCs w:val="22"/>
        </w:rPr>
      </w:pPr>
      <w:r w:rsidRPr="003267A7">
        <w:rPr>
          <w:rFonts w:ascii="Arial" w:hAnsi="Arial" w:cs="Arial"/>
          <w:sz w:val="22"/>
          <w:szCs w:val="22"/>
        </w:rPr>
        <w:lastRenderedPageBreak/>
        <w:t xml:space="preserve">Art. 3º Para o </w:t>
      </w:r>
      <w:r w:rsidRPr="00A20DEF">
        <w:rPr>
          <w:rFonts w:ascii="Arial" w:hAnsi="Arial" w:cs="Arial"/>
          <w:b/>
          <w:sz w:val="22"/>
          <w:szCs w:val="22"/>
        </w:rPr>
        <w:t>industrial de veículo automotor beneficiário do PRODUZIR</w:t>
      </w:r>
      <w:r w:rsidRPr="003267A7">
        <w:rPr>
          <w:rFonts w:ascii="Arial" w:hAnsi="Arial" w:cs="Arial"/>
          <w:sz w:val="22"/>
          <w:szCs w:val="22"/>
        </w:rPr>
        <w:t>, o crédito outorgado do ICMS:</w:t>
      </w:r>
    </w:p>
    <w:p w14:paraId="5B48771F" w14:textId="4D00A104" w:rsidR="003267A7" w:rsidRDefault="003267A7" w:rsidP="00DC688C">
      <w:pPr>
        <w:ind w:left="2268"/>
        <w:jc w:val="both"/>
        <w:rPr>
          <w:rFonts w:ascii="Arial" w:hAnsi="Arial" w:cs="Arial"/>
          <w:sz w:val="22"/>
          <w:szCs w:val="22"/>
        </w:rPr>
      </w:pPr>
      <w:r w:rsidRPr="003267A7">
        <w:rPr>
          <w:rFonts w:ascii="Arial" w:hAnsi="Arial" w:cs="Arial"/>
          <w:sz w:val="22"/>
          <w:szCs w:val="22"/>
        </w:rPr>
        <w:t>I - será concedido até o limite do valor equivalente:</w:t>
      </w:r>
    </w:p>
    <w:p w14:paraId="2C2DF131" w14:textId="3491473F" w:rsidR="003267A7" w:rsidRDefault="003267A7" w:rsidP="00DC688C">
      <w:pPr>
        <w:ind w:left="2268"/>
        <w:jc w:val="both"/>
        <w:rPr>
          <w:rFonts w:ascii="Arial" w:hAnsi="Arial" w:cs="Arial"/>
          <w:sz w:val="22"/>
          <w:szCs w:val="22"/>
        </w:rPr>
      </w:pPr>
      <w:r w:rsidRPr="003267A7">
        <w:rPr>
          <w:rFonts w:ascii="Arial" w:hAnsi="Arial" w:cs="Arial"/>
          <w:sz w:val="22"/>
          <w:szCs w:val="22"/>
        </w:rPr>
        <w:t>a) ao percentual de 98% (noventa e oito por cento) do valor do saldo devedor do imposto correspondente à saída de mercadorias não abrigada pela aplicação do incentivo do PRODUZIR;</w:t>
      </w:r>
    </w:p>
    <w:p w14:paraId="44670970" w14:textId="24A492DD" w:rsidR="003267A7" w:rsidRDefault="003267A7" w:rsidP="00DC688C">
      <w:pPr>
        <w:ind w:left="2268"/>
        <w:jc w:val="both"/>
        <w:rPr>
          <w:rFonts w:ascii="Arial" w:hAnsi="Arial" w:cs="Arial"/>
          <w:sz w:val="22"/>
          <w:szCs w:val="22"/>
        </w:rPr>
      </w:pPr>
      <w:r w:rsidRPr="003267A7">
        <w:rPr>
          <w:rFonts w:ascii="Arial" w:hAnsi="Arial" w:cs="Arial"/>
          <w:sz w:val="22"/>
          <w:szCs w:val="22"/>
        </w:rPr>
        <w:t>b) ao percentual de 92,593% (noventa e dois inteiros, quinhentos e noventa e três milésimos por cento) do valor da parcela não incentivada do imposto, correspondente à saída de veículos, suas partes e peças;</w:t>
      </w:r>
    </w:p>
    <w:p w14:paraId="58A3002D" w14:textId="575E1EDF" w:rsidR="00A20DEF" w:rsidRDefault="00A20DEF" w:rsidP="00DC688C">
      <w:pPr>
        <w:ind w:left="2268"/>
        <w:jc w:val="both"/>
        <w:rPr>
          <w:rFonts w:ascii="Arial" w:hAnsi="Arial" w:cs="Arial"/>
          <w:sz w:val="22"/>
          <w:szCs w:val="22"/>
        </w:rPr>
      </w:pPr>
      <w:r w:rsidRPr="00A20DEF">
        <w:rPr>
          <w:rFonts w:ascii="Arial" w:hAnsi="Arial" w:cs="Arial"/>
          <w:sz w:val="22"/>
          <w:szCs w:val="22"/>
        </w:rPr>
        <w:t>c) a R$ 90.000.000,00 (noventa milhões de reais), em até 60 (sessenta) parcelas mensais, iguais e sucessivas;</w:t>
      </w:r>
    </w:p>
    <w:p w14:paraId="25D7E38B" w14:textId="6C53238F" w:rsidR="00A20DEF" w:rsidRDefault="00A20DEF" w:rsidP="00DC688C">
      <w:pPr>
        <w:ind w:left="2268"/>
        <w:jc w:val="both"/>
        <w:rPr>
          <w:rFonts w:ascii="Arial" w:hAnsi="Arial" w:cs="Arial"/>
          <w:sz w:val="22"/>
          <w:szCs w:val="22"/>
        </w:rPr>
      </w:pPr>
      <w:r w:rsidRPr="00A20DEF">
        <w:rPr>
          <w:rFonts w:ascii="Arial" w:hAnsi="Arial" w:cs="Arial"/>
          <w:sz w:val="22"/>
          <w:szCs w:val="22"/>
        </w:rPr>
        <w:t>II – abrange apenas projetos de implantação e ampliação de empreendimento no Estado de Goiás.</w:t>
      </w:r>
    </w:p>
    <w:p w14:paraId="4C880BD3" w14:textId="33495F4A" w:rsidR="00A20DEF" w:rsidRDefault="00A20DEF" w:rsidP="00DC688C">
      <w:pPr>
        <w:ind w:left="2268"/>
        <w:jc w:val="both"/>
        <w:rPr>
          <w:rFonts w:ascii="Arial" w:hAnsi="Arial" w:cs="Arial"/>
          <w:sz w:val="22"/>
          <w:szCs w:val="22"/>
        </w:rPr>
      </w:pPr>
    </w:p>
    <w:p w14:paraId="1E8E0C09" w14:textId="1CF89B60" w:rsidR="00A20DEF" w:rsidRPr="00A20DEF" w:rsidRDefault="00A20DEF" w:rsidP="00DC688C">
      <w:pPr>
        <w:ind w:left="2268"/>
        <w:jc w:val="both"/>
        <w:rPr>
          <w:rFonts w:ascii="Arial" w:hAnsi="Arial" w:cs="Arial"/>
          <w:sz w:val="22"/>
          <w:szCs w:val="22"/>
        </w:rPr>
      </w:pPr>
      <w:r w:rsidRPr="00A20DEF">
        <w:rPr>
          <w:rFonts w:ascii="Arial" w:hAnsi="Arial" w:cs="Arial"/>
          <w:sz w:val="22"/>
          <w:szCs w:val="22"/>
        </w:rPr>
        <w:t>Art.</w:t>
      </w:r>
      <w:r w:rsidR="006916FC">
        <w:rPr>
          <w:rFonts w:ascii="Arial" w:hAnsi="Arial" w:cs="Arial"/>
          <w:sz w:val="22"/>
          <w:szCs w:val="22"/>
        </w:rPr>
        <w:t xml:space="preserve"> </w:t>
      </w:r>
      <w:r w:rsidRPr="00A20DEF">
        <w:rPr>
          <w:rFonts w:ascii="Arial" w:hAnsi="Arial" w:cs="Arial"/>
          <w:sz w:val="22"/>
          <w:szCs w:val="22"/>
        </w:rPr>
        <w:t xml:space="preserve">4º Para o </w:t>
      </w:r>
      <w:r w:rsidRPr="00A20DEF">
        <w:rPr>
          <w:rFonts w:ascii="Arial" w:hAnsi="Arial" w:cs="Arial"/>
          <w:b/>
          <w:sz w:val="22"/>
          <w:szCs w:val="22"/>
        </w:rPr>
        <w:t>industrial de veículo automotor beneficiário do FOMENTAR</w:t>
      </w:r>
      <w:r w:rsidRPr="00A20DEF">
        <w:rPr>
          <w:rFonts w:ascii="Arial" w:hAnsi="Arial" w:cs="Arial"/>
          <w:sz w:val="22"/>
          <w:szCs w:val="22"/>
        </w:rPr>
        <w:t>, o crédito outorgado do ICMS:</w:t>
      </w:r>
    </w:p>
    <w:p w14:paraId="12C28E01" w14:textId="77777777" w:rsidR="00A20DEF" w:rsidRDefault="00A20DEF" w:rsidP="00DC688C">
      <w:pPr>
        <w:ind w:left="2268"/>
        <w:jc w:val="both"/>
        <w:rPr>
          <w:rFonts w:ascii="Arial" w:hAnsi="Arial" w:cs="Arial"/>
          <w:sz w:val="22"/>
          <w:szCs w:val="22"/>
        </w:rPr>
      </w:pPr>
      <w:r w:rsidRPr="00A20DEF">
        <w:rPr>
          <w:rFonts w:ascii="Arial" w:hAnsi="Arial" w:cs="Arial"/>
          <w:sz w:val="22"/>
          <w:szCs w:val="22"/>
        </w:rPr>
        <w:t>I - será concedido até o limite do valor equivalente:</w:t>
      </w:r>
    </w:p>
    <w:p w14:paraId="5A00D661" w14:textId="77777777" w:rsidR="00A20DEF" w:rsidRDefault="00A20DEF" w:rsidP="00DC688C">
      <w:pPr>
        <w:ind w:left="2268"/>
        <w:jc w:val="both"/>
        <w:rPr>
          <w:rFonts w:ascii="Arial" w:hAnsi="Arial" w:cs="Arial"/>
          <w:sz w:val="22"/>
          <w:szCs w:val="22"/>
        </w:rPr>
      </w:pPr>
      <w:r w:rsidRPr="00A20DEF">
        <w:rPr>
          <w:rFonts w:ascii="Arial" w:hAnsi="Arial" w:cs="Arial"/>
          <w:sz w:val="22"/>
          <w:szCs w:val="22"/>
        </w:rPr>
        <w:t>a) ao percentual de 98% (noventa e oito por cento) do valor do saldo devedor do imposto correspondente à saída de mercadorias não abrigada pela aplicação do incentivo do FOMENTAR;</w:t>
      </w:r>
    </w:p>
    <w:p w14:paraId="7CC14A19" w14:textId="2EDB90BD" w:rsidR="00A20DEF" w:rsidRDefault="00A20DEF" w:rsidP="00DC688C">
      <w:pPr>
        <w:ind w:left="2268"/>
        <w:jc w:val="both"/>
        <w:rPr>
          <w:rFonts w:ascii="Arial" w:hAnsi="Arial" w:cs="Arial"/>
          <w:sz w:val="22"/>
          <w:szCs w:val="22"/>
        </w:rPr>
      </w:pPr>
      <w:r w:rsidRPr="00A20DEF">
        <w:rPr>
          <w:rFonts w:ascii="Arial" w:hAnsi="Arial" w:cs="Arial"/>
          <w:sz w:val="22"/>
          <w:szCs w:val="22"/>
        </w:rPr>
        <w:t>b) ao percentual de 93,333% (noventa e três inteiros, trezentos e trinta e três milésimos por cento) do valor da parcela não incentivada do imposto, correspondente à saída de veículos, suas partes e peças;</w:t>
      </w:r>
    </w:p>
    <w:p w14:paraId="384C5FA7" w14:textId="6A6CC49D" w:rsidR="00F03602" w:rsidRDefault="00F03602" w:rsidP="00DC688C">
      <w:pPr>
        <w:ind w:left="2268"/>
        <w:jc w:val="both"/>
        <w:rPr>
          <w:rFonts w:ascii="Arial" w:hAnsi="Arial" w:cs="Arial"/>
          <w:sz w:val="22"/>
          <w:szCs w:val="22"/>
        </w:rPr>
      </w:pPr>
      <w:r>
        <w:rPr>
          <w:rFonts w:ascii="Arial" w:hAnsi="Arial" w:cs="Arial"/>
          <w:sz w:val="22"/>
          <w:szCs w:val="22"/>
        </w:rPr>
        <w:t>c) revogado</w:t>
      </w:r>
    </w:p>
    <w:p w14:paraId="442CC256" w14:textId="42779A51" w:rsidR="00A20DEF" w:rsidRDefault="00A20DEF" w:rsidP="00DC688C">
      <w:pPr>
        <w:ind w:left="2268"/>
        <w:jc w:val="both"/>
        <w:rPr>
          <w:rFonts w:ascii="Arial" w:hAnsi="Arial" w:cs="Arial"/>
          <w:sz w:val="22"/>
          <w:szCs w:val="22"/>
        </w:rPr>
      </w:pPr>
      <w:r w:rsidRPr="00A20DEF">
        <w:rPr>
          <w:rFonts w:ascii="Arial" w:hAnsi="Arial" w:cs="Arial"/>
          <w:sz w:val="22"/>
          <w:szCs w:val="22"/>
        </w:rPr>
        <w:t>II - abrange apenas projetos de ampliação de empreendimento já existente no Estado de Goiás.</w:t>
      </w:r>
    </w:p>
    <w:p w14:paraId="0167EC46" w14:textId="706215CC" w:rsidR="007A5E4D" w:rsidRDefault="007A5E4D" w:rsidP="00DC688C">
      <w:pPr>
        <w:ind w:left="2268"/>
        <w:jc w:val="both"/>
        <w:rPr>
          <w:rFonts w:ascii="Arial" w:hAnsi="Arial" w:cs="Arial"/>
          <w:sz w:val="22"/>
          <w:szCs w:val="22"/>
        </w:rPr>
      </w:pPr>
    </w:p>
    <w:p w14:paraId="7DEB29B8" w14:textId="5669021C" w:rsidR="007A5E4D" w:rsidRDefault="007A5E4D" w:rsidP="00DC688C">
      <w:pPr>
        <w:ind w:left="2268"/>
        <w:jc w:val="both"/>
        <w:rPr>
          <w:rFonts w:ascii="Arial" w:hAnsi="Arial" w:cs="Arial"/>
          <w:sz w:val="22"/>
          <w:szCs w:val="22"/>
        </w:rPr>
      </w:pPr>
      <w:r w:rsidRPr="007A5E4D">
        <w:rPr>
          <w:rFonts w:ascii="Arial" w:hAnsi="Arial" w:cs="Arial"/>
          <w:sz w:val="22"/>
          <w:szCs w:val="22"/>
        </w:rPr>
        <w:t>Art. 5º O valor do crédito outorgado do ICMS deve ser utilizado diretamente na subtração do ICMS a pagar correspondente à saída de veículos, suas partes e peças, materiais institucionais, inclusive os importados do exterior, após a aplicação do incentivo PRODUZIR ou FOMENTAR, se for o caso.</w:t>
      </w:r>
    </w:p>
    <w:p w14:paraId="183CF1B2" w14:textId="77777777" w:rsidR="007A5E4D" w:rsidRDefault="007A5E4D" w:rsidP="00DC688C">
      <w:pPr>
        <w:ind w:left="2268"/>
        <w:jc w:val="both"/>
        <w:rPr>
          <w:rFonts w:ascii="Arial" w:hAnsi="Arial" w:cs="Arial"/>
          <w:sz w:val="22"/>
          <w:szCs w:val="22"/>
        </w:rPr>
      </w:pPr>
      <w:r w:rsidRPr="007A5E4D">
        <w:rPr>
          <w:rFonts w:ascii="Arial" w:hAnsi="Arial" w:cs="Arial"/>
          <w:sz w:val="22"/>
          <w:szCs w:val="22"/>
        </w:rPr>
        <w:t xml:space="preserve">Parágrafo único. </w:t>
      </w:r>
      <w:r w:rsidRPr="00F03602">
        <w:rPr>
          <w:rFonts w:ascii="Arial" w:hAnsi="Arial" w:cs="Arial"/>
          <w:b/>
          <w:sz w:val="22"/>
          <w:szCs w:val="22"/>
          <w:u w:val="single"/>
        </w:rPr>
        <w:t>O crédito outorgado previsto</w:t>
      </w:r>
      <w:r w:rsidRPr="007A5E4D">
        <w:rPr>
          <w:rFonts w:ascii="Arial" w:hAnsi="Arial" w:cs="Arial"/>
          <w:sz w:val="22"/>
          <w:szCs w:val="22"/>
        </w:rPr>
        <w:t>:</w:t>
      </w:r>
    </w:p>
    <w:p w14:paraId="0DA1295D" w14:textId="77777777" w:rsidR="007A5E4D" w:rsidRDefault="007A5E4D" w:rsidP="00DC688C">
      <w:pPr>
        <w:ind w:left="2268"/>
        <w:jc w:val="both"/>
        <w:rPr>
          <w:rFonts w:ascii="Arial" w:hAnsi="Arial" w:cs="Arial"/>
          <w:sz w:val="22"/>
          <w:szCs w:val="22"/>
        </w:rPr>
      </w:pPr>
      <w:r w:rsidRPr="007A5E4D">
        <w:rPr>
          <w:rFonts w:ascii="Arial" w:hAnsi="Arial" w:cs="Arial"/>
          <w:sz w:val="22"/>
          <w:szCs w:val="22"/>
        </w:rPr>
        <w:t xml:space="preserve">I - </w:t>
      </w:r>
      <w:r w:rsidRPr="00F03602">
        <w:rPr>
          <w:rFonts w:ascii="Arial" w:hAnsi="Arial" w:cs="Arial"/>
          <w:b/>
          <w:sz w:val="22"/>
          <w:szCs w:val="22"/>
        </w:rPr>
        <w:t>nas alíneas “a” e “b” do inciso I dos arts. 3º e 4º</w:t>
      </w:r>
      <w:r w:rsidRPr="007A5E4D">
        <w:rPr>
          <w:rFonts w:ascii="Arial" w:hAnsi="Arial" w:cs="Arial"/>
          <w:sz w:val="22"/>
          <w:szCs w:val="22"/>
        </w:rPr>
        <w:t xml:space="preserve"> deve ter o valor máximo de fruição estabelecido em termo de acordo de regime especial celebrado com a Secretaria da Fazenda;</w:t>
      </w:r>
    </w:p>
    <w:p w14:paraId="4B458F32" w14:textId="2DC8CD55" w:rsidR="007A5E4D" w:rsidRDefault="00B8414E" w:rsidP="00DC688C">
      <w:pPr>
        <w:ind w:left="2268"/>
        <w:jc w:val="both"/>
        <w:rPr>
          <w:rFonts w:ascii="Arial" w:hAnsi="Arial" w:cs="Arial"/>
          <w:sz w:val="22"/>
          <w:szCs w:val="22"/>
        </w:rPr>
      </w:pPr>
      <w:r>
        <w:rPr>
          <w:rFonts w:ascii="Arial" w:hAnsi="Arial" w:cs="Arial"/>
          <w:sz w:val="22"/>
          <w:szCs w:val="22"/>
        </w:rPr>
        <w:t>[...].</w:t>
      </w:r>
    </w:p>
    <w:p w14:paraId="3F26E017" w14:textId="0C558AAB" w:rsidR="006916FC" w:rsidRDefault="006916FC" w:rsidP="00DC688C">
      <w:pPr>
        <w:ind w:left="2268"/>
        <w:jc w:val="both"/>
        <w:rPr>
          <w:rFonts w:ascii="Arial" w:hAnsi="Arial" w:cs="Arial"/>
          <w:sz w:val="22"/>
          <w:szCs w:val="22"/>
        </w:rPr>
      </w:pPr>
    </w:p>
    <w:p w14:paraId="3B89E57D" w14:textId="77777777" w:rsidR="006916FC" w:rsidRPr="006916FC" w:rsidRDefault="006916FC" w:rsidP="00DC688C">
      <w:pPr>
        <w:ind w:left="2268"/>
        <w:jc w:val="both"/>
        <w:rPr>
          <w:rFonts w:ascii="Arial" w:hAnsi="Arial" w:cs="Arial"/>
          <w:sz w:val="22"/>
          <w:szCs w:val="22"/>
        </w:rPr>
      </w:pPr>
      <w:r w:rsidRPr="006916FC">
        <w:rPr>
          <w:rFonts w:ascii="Arial" w:hAnsi="Arial" w:cs="Arial"/>
          <w:sz w:val="22"/>
          <w:szCs w:val="22"/>
        </w:rPr>
        <w:t xml:space="preserve">Art. 6º </w:t>
      </w:r>
      <w:r w:rsidRPr="004A547F">
        <w:rPr>
          <w:rFonts w:ascii="Arial" w:hAnsi="Arial" w:cs="Arial"/>
          <w:b/>
          <w:sz w:val="22"/>
          <w:szCs w:val="22"/>
        </w:rPr>
        <w:t>Para ser beneficiário do crédito outorgado do ICMS, o industrial de veículo automotor deve ter aprovado seu projeto</w:t>
      </w:r>
      <w:r w:rsidRPr="006916FC">
        <w:rPr>
          <w:rFonts w:ascii="Arial" w:hAnsi="Arial" w:cs="Arial"/>
          <w:sz w:val="22"/>
          <w:szCs w:val="22"/>
        </w:rPr>
        <w:t xml:space="preserve"> de implantação ou ampliação junto ao </w:t>
      </w:r>
      <w:r w:rsidRPr="004A547F">
        <w:rPr>
          <w:rFonts w:ascii="Arial" w:hAnsi="Arial" w:cs="Arial"/>
          <w:sz w:val="22"/>
          <w:szCs w:val="22"/>
          <w:u w:val="single"/>
        </w:rPr>
        <w:t>Conselho Deliberativo do FOMENTAR</w:t>
      </w:r>
      <w:r w:rsidRPr="006916FC">
        <w:rPr>
          <w:rFonts w:ascii="Arial" w:hAnsi="Arial" w:cs="Arial"/>
          <w:sz w:val="22"/>
          <w:szCs w:val="22"/>
        </w:rPr>
        <w:t xml:space="preserve"> -CD/FOMENTAR- ou ao </w:t>
      </w:r>
      <w:r w:rsidRPr="004A547F">
        <w:rPr>
          <w:rFonts w:ascii="Arial" w:hAnsi="Arial" w:cs="Arial"/>
          <w:sz w:val="22"/>
          <w:szCs w:val="22"/>
          <w:u w:val="single"/>
        </w:rPr>
        <w:t>Conselho Deliberativo do PRODUZIR</w:t>
      </w:r>
      <w:r w:rsidRPr="006916FC">
        <w:rPr>
          <w:rFonts w:ascii="Arial" w:hAnsi="Arial" w:cs="Arial"/>
          <w:sz w:val="22"/>
          <w:szCs w:val="22"/>
        </w:rPr>
        <w:t xml:space="preserve"> -CD/PRODUZIR-, conforme o caso, </w:t>
      </w:r>
      <w:r w:rsidRPr="004A547F">
        <w:rPr>
          <w:rFonts w:ascii="Arial" w:hAnsi="Arial" w:cs="Arial"/>
          <w:b/>
          <w:sz w:val="22"/>
          <w:szCs w:val="22"/>
        </w:rPr>
        <w:t>o qual deve conter, no mínimo</w:t>
      </w:r>
      <w:r w:rsidRPr="006916FC">
        <w:rPr>
          <w:rFonts w:ascii="Arial" w:hAnsi="Arial" w:cs="Arial"/>
          <w:sz w:val="22"/>
          <w:szCs w:val="22"/>
        </w:rPr>
        <w:t>:</w:t>
      </w:r>
    </w:p>
    <w:p w14:paraId="74565A83" w14:textId="77777777" w:rsidR="006916FC" w:rsidRDefault="006916FC" w:rsidP="00DC688C">
      <w:pPr>
        <w:ind w:left="2268"/>
        <w:jc w:val="both"/>
        <w:rPr>
          <w:rFonts w:ascii="Arial" w:hAnsi="Arial" w:cs="Arial"/>
          <w:sz w:val="22"/>
          <w:szCs w:val="22"/>
        </w:rPr>
      </w:pPr>
      <w:r w:rsidRPr="006916FC">
        <w:rPr>
          <w:rFonts w:ascii="Arial" w:hAnsi="Arial" w:cs="Arial"/>
          <w:sz w:val="22"/>
          <w:szCs w:val="22"/>
        </w:rPr>
        <w:t>I - o valor total do investimento, podendo compreender ativo imobilizado, pesquisa e desenvolvimento, engenharia automotiva, logística, publicidade e propaganda e outros investimentos relacionados à atividade-fim do estabelecimento incentivado;</w:t>
      </w:r>
    </w:p>
    <w:p w14:paraId="1F32A4CE" w14:textId="77777777" w:rsidR="006916FC" w:rsidRPr="006916FC" w:rsidRDefault="006916FC" w:rsidP="00DC688C">
      <w:pPr>
        <w:ind w:left="2268"/>
        <w:jc w:val="both"/>
        <w:rPr>
          <w:rFonts w:ascii="Arial" w:hAnsi="Arial" w:cs="Arial"/>
          <w:sz w:val="22"/>
          <w:szCs w:val="22"/>
        </w:rPr>
      </w:pPr>
      <w:r w:rsidRPr="006916FC">
        <w:rPr>
          <w:rFonts w:ascii="Arial" w:hAnsi="Arial" w:cs="Arial"/>
          <w:sz w:val="22"/>
          <w:szCs w:val="22"/>
        </w:rPr>
        <w:t>II - o cronograma físico-financeiro das obras civis e da colocação das máquinas, dos equipamentos e das instalações;</w:t>
      </w:r>
    </w:p>
    <w:p w14:paraId="74E92569" w14:textId="77777777" w:rsidR="006916FC" w:rsidRPr="006916FC" w:rsidRDefault="006916FC" w:rsidP="00DC688C">
      <w:pPr>
        <w:ind w:left="2268"/>
        <w:jc w:val="both"/>
        <w:rPr>
          <w:rFonts w:ascii="Arial" w:hAnsi="Arial" w:cs="Arial"/>
          <w:sz w:val="22"/>
          <w:szCs w:val="22"/>
        </w:rPr>
      </w:pPr>
      <w:r w:rsidRPr="006916FC">
        <w:rPr>
          <w:rFonts w:ascii="Arial" w:hAnsi="Arial" w:cs="Arial"/>
          <w:sz w:val="22"/>
          <w:szCs w:val="22"/>
        </w:rPr>
        <w:t>III - a indicação do número de empregos diretos e indiretos a serem gerados pelo empreendimento;</w:t>
      </w:r>
    </w:p>
    <w:p w14:paraId="2F4D1E4A" w14:textId="77777777" w:rsidR="006916FC" w:rsidRPr="006916FC" w:rsidRDefault="006916FC" w:rsidP="00DC688C">
      <w:pPr>
        <w:ind w:left="2268"/>
        <w:jc w:val="both"/>
        <w:rPr>
          <w:rFonts w:ascii="Arial" w:hAnsi="Arial" w:cs="Arial"/>
          <w:sz w:val="22"/>
          <w:szCs w:val="22"/>
        </w:rPr>
      </w:pPr>
      <w:r w:rsidRPr="006916FC">
        <w:rPr>
          <w:rFonts w:ascii="Arial" w:hAnsi="Arial" w:cs="Arial"/>
          <w:sz w:val="22"/>
          <w:szCs w:val="22"/>
        </w:rPr>
        <w:lastRenderedPageBreak/>
        <w:t>IV - a data prevista para o início da atividade industrial correspondente à implantação ou ampliação do empreendimento.</w:t>
      </w:r>
    </w:p>
    <w:p w14:paraId="3C8FBB26" w14:textId="77777777" w:rsidR="006916FC" w:rsidRPr="006916FC" w:rsidRDefault="006916FC" w:rsidP="00DC688C">
      <w:pPr>
        <w:ind w:left="2268"/>
        <w:jc w:val="both"/>
        <w:rPr>
          <w:rFonts w:ascii="Arial" w:hAnsi="Arial" w:cs="Arial"/>
          <w:sz w:val="22"/>
          <w:szCs w:val="22"/>
        </w:rPr>
      </w:pPr>
      <w:r w:rsidRPr="006916FC">
        <w:rPr>
          <w:rFonts w:ascii="Arial" w:hAnsi="Arial" w:cs="Arial"/>
          <w:sz w:val="22"/>
          <w:szCs w:val="22"/>
        </w:rPr>
        <w:t xml:space="preserve">Parágrafo único. </w:t>
      </w:r>
      <w:r w:rsidRPr="004A547F">
        <w:rPr>
          <w:rFonts w:ascii="Arial" w:hAnsi="Arial" w:cs="Arial"/>
          <w:b/>
          <w:sz w:val="22"/>
          <w:szCs w:val="22"/>
        </w:rPr>
        <w:t>Para fruição dos benefícios desta Lei, o contribuinte deve celebrar termo de acordo de regime especial com a Secretaria da Fazenda, no qual devem ficar especificados os incentivos concedidos, o prazo de duração e as condições a serem observados pelo beneficiário, respeitados eventuais acordos firmados com o Estado</w:t>
      </w:r>
      <w:r w:rsidRPr="006916FC">
        <w:rPr>
          <w:rFonts w:ascii="Arial" w:hAnsi="Arial" w:cs="Arial"/>
          <w:sz w:val="22"/>
          <w:szCs w:val="22"/>
        </w:rPr>
        <w:t>.</w:t>
      </w:r>
    </w:p>
    <w:p w14:paraId="1582CE55" w14:textId="77777777" w:rsidR="007A5E4D" w:rsidRPr="002C0790" w:rsidRDefault="007A5E4D" w:rsidP="002C0790">
      <w:pPr>
        <w:spacing w:line="360" w:lineRule="auto"/>
        <w:ind w:left="2268" w:firstLine="284"/>
        <w:jc w:val="both"/>
        <w:rPr>
          <w:rFonts w:ascii="Arial" w:hAnsi="Arial" w:cs="Arial"/>
          <w:sz w:val="24"/>
          <w:szCs w:val="24"/>
        </w:rPr>
      </w:pPr>
    </w:p>
    <w:p w14:paraId="20D96257" w14:textId="61B141A1" w:rsidR="00A20DEF" w:rsidRDefault="002C0790" w:rsidP="002C0790">
      <w:pPr>
        <w:spacing w:line="360" w:lineRule="auto"/>
        <w:ind w:firstLine="851"/>
        <w:jc w:val="both"/>
        <w:rPr>
          <w:rFonts w:ascii="Arial" w:hAnsi="Arial" w:cs="Arial"/>
          <w:sz w:val="24"/>
          <w:szCs w:val="24"/>
        </w:rPr>
      </w:pPr>
      <w:r w:rsidRPr="002C0790">
        <w:rPr>
          <w:rFonts w:ascii="Arial" w:hAnsi="Arial" w:cs="Arial"/>
          <w:sz w:val="24"/>
          <w:szCs w:val="24"/>
        </w:rPr>
        <w:t xml:space="preserve">Conforme se infere claramente dos dispositivos supra transcritos, a lei, além de possuir cunho meramente autorizativo, </w:t>
      </w:r>
      <w:r>
        <w:rPr>
          <w:rFonts w:ascii="Arial" w:hAnsi="Arial" w:cs="Arial"/>
          <w:sz w:val="24"/>
          <w:szCs w:val="24"/>
        </w:rPr>
        <w:t>submete a concessão e a fruição do crédito outorgado nela previsto a diversas condições fixadas em TARE, a exemplo dos seguintes aspectos:</w:t>
      </w:r>
    </w:p>
    <w:p w14:paraId="682FAEC7" w14:textId="77777777" w:rsidR="00DC688C" w:rsidRDefault="00DC688C" w:rsidP="002C0790">
      <w:pPr>
        <w:spacing w:line="360" w:lineRule="auto"/>
        <w:ind w:firstLine="851"/>
        <w:jc w:val="both"/>
        <w:rPr>
          <w:rFonts w:ascii="Arial" w:hAnsi="Arial" w:cs="Arial"/>
          <w:sz w:val="24"/>
          <w:szCs w:val="24"/>
        </w:rPr>
      </w:pPr>
    </w:p>
    <w:p w14:paraId="1271AB90" w14:textId="1DBE8E26" w:rsidR="002C0790" w:rsidRDefault="002C0790" w:rsidP="00282B87">
      <w:pPr>
        <w:pStyle w:val="PargrafodaLista"/>
        <w:numPr>
          <w:ilvl w:val="0"/>
          <w:numId w:val="10"/>
        </w:numPr>
        <w:spacing w:line="360" w:lineRule="auto"/>
        <w:jc w:val="both"/>
        <w:rPr>
          <w:rFonts w:ascii="Arial" w:hAnsi="Arial" w:cs="Arial"/>
          <w:sz w:val="24"/>
          <w:szCs w:val="24"/>
        </w:rPr>
      </w:pPr>
      <w:r>
        <w:rPr>
          <w:rFonts w:ascii="Arial" w:hAnsi="Arial" w:cs="Arial"/>
          <w:sz w:val="24"/>
          <w:szCs w:val="24"/>
        </w:rPr>
        <w:t xml:space="preserve">estabelecer requisitos para que também possa se beneficiar do regime estabelecido na Lei nº 16.671/2009 </w:t>
      </w:r>
      <w:r w:rsidR="00AA1D9B">
        <w:rPr>
          <w:rFonts w:ascii="Arial" w:hAnsi="Arial" w:cs="Arial"/>
          <w:sz w:val="24"/>
          <w:szCs w:val="24"/>
        </w:rPr>
        <w:t xml:space="preserve">o </w:t>
      </w:r>
      <w:r w:rsidRPr="002C0790">
        <w:rPr>
          <w:rFonts w:ascii="Arial" w:hAnsi="Arial" w:cs="Arial"/>
          <w:sz w:val="24"/>
          <w:szCs w:val="24"/>
        </w:rPr>
        <w:t>industrial fabricante de extintores de incêndio descartáveis de polímero de engenharia de uso automotivo e cilindros em polímero para uso de GLP</w:t>
      </w:r>
      <w:r w:rsidR="00AA1D9B">
        <w:rPr>
          <w:rFonts w:ascii="Arial" w:hAnsi="Arial" w:cs="Arial"/>
          <w:sz w:val="24"/>
          <w:szCs w:val="24"/>
        </w:rPr>
        <w:t xml:space="preserve"> (art. 1º, parágrafo único);</w:t>
      </w:r>
    </w:p>
    <w:p w14:paraId="326003AC" w14:textId="0227CDF7" w:rsidR="00AA1D9B" w:rsidRDefault="00AA1D9B" w:rsidP="00282B87">
      <w:pPr>
        <w:pStyle w:val="PargrafodaLista"/>
        <w:numPr>
          <w:ilvl w:val="0"/>
          <w:numId w:val="10"/>
        </w:numPr>
        <w:spacing w:line="360" w:lineRule="auto"/>
        <w:jc w:val="both"/>
        <w:rPr>
          <w:rFonts w:ascii="Arial" w:hAnsi="Arial" w:cs="Arial"/>
          <w:sz w:val="24"/>
          <w:szCs w:val="24"/>
        </w:rPr>
      </w:pPr>
      <w:r>
        <w:rPr>
          <w:rFonts w:ascii="Arial" w:hAnsi="Arial" w:cs="Arial"/>
          <w:sz w:val="24"/>
          <w:szCs w:val="24"/>
        </w:rPr>
        <w:t xml:space="preserve">fixar normas para que o </w:t>
      </w:r>
      <w:r w:rsidRPr="00AA1D9B">
        <w:rPr>
          <w:rFonts w:ascii="Arial" w:hAnsi="Arial" w:cs="Arial"/>
          <w:sz w:val="24"/>
          <w:szCs w:val="24"/>
        </w:rPr>
        <w:t>industrial de veículo automotor</w:t>
      </w:r>
      <w:r>
        <w:rPr>
          <w:rFonts w:ascii="Arial" w:hAnsi="Arial" w:cs="Arial"/>
          <w:sz w:val="24"/>
          <w:szCs w:val="24"/>
        </w:rPr>
        <w:t xml:space="preserve"> possa </w:t>
      </w:r>
      <w:r w:rsidRPr="00AA1D9B">
        <w:rPr>
          <w:rFonts w:ascii="Arial" w:hAnsi="Arial" w:cs="Arial"/>
          <w:sz w:val="24"/>
          <w:szCs w:val="24"/>
        </w:rPr>
        <w:t>incluir, como abrangidas pelo crédito outorgado de que trata esta Lei, as operações com o produto resultante de industrialização efetuada neste Estado, por sua encomenda e ordem, em outro estabelecimento da mesma empresa ou de terceiro</w:t>
      </w:r>
      <w:r>
        <w:rPr>
          <w:rFonts w:ascii="Arial" w:hAnsi="Arial" w:cs="Arial"/>
          <w:sz w:val="24"/>
          <w:szCs w:val="24"/>
        </w:rPr>
        <w:t xml:space="preserve"> (art. 2º, § 3º);</w:t>
      </w:r>
    </w:p>
    <w:p w14:paraId="4C153CCB" w14:textId="4FEBC3DC" w:rsidR="00EC515D" w:rsidRDefault="00EC515D" w:rsidP="00282B87">
      <w:pPr>
        <w:pStyle w:val="PargrafodaLista"/>
        <w:numPr>
          <w:ilvl w:val="0"/>
          <w:numId w:val="10"/>
        </w:numPr>
        <w:spacing w:line="360" w:lineRule="auto"/>
        <w:jc w:val="both"/>
        <w:rPr>
          <w:rFonts w:ascii="Arial" w:hAnsi="Arial" w:cs="Arial"/>
          <w:sz w:val="24"/>
          <w:szCs w:val="24"/>
        </w:rPr>
      </w:pPr>
      <w:r>
        <w:rPr>
          <w:rFonts w:ascii="Arial" w:hAnsi="Arial" w:cs="Arial"/>
          <w:sz w:val="24"/>
          <w:szCs w:val="24"/>
        </w:rPr>
        <w:t xml:space="preserve">definir o valor </w:t>
      </w:r>
      <w:r w:rsidRPr="00EC515D">
        <w:rPr>
          <w:rFonts w:ascii="Arial" w:hAnsi="Arial" w:cs="Arial"/>
          <w:sz w:val="24"/>
          <w:szCs w:val="24"/>
        </w:rPr>
        <w:t>máximo de fruição</w:t>
      </w:r>
      <w:r w:rsidR="00B8414E">
        <w:rPr>
          <w:rFonts w:ascii="Arial" w:hAnsi="Arial" w:cs="Arial"/>
          <w:sz w:val="24"/>
          <w:szCs w:val="24"/>
        </w:rPr>
        <w:t xml:space="preserve"> para o</w:t>
      </w:r>
      <w:r w:rsidRPr="00EC515D">
        <w:rPr>
          <w:rFonts w:ascii="Arial" w:hAnsi="Arial" w:cs="Arial"/>
          <w:sz w:val="24"/>
          <w:szCs w:val="24"/>
        </w:rPr>
        <w:t xml:space="preserve"> </w:t>
      </w:r>
      <w:r w:rsidR="00B8414E" w:rsidRPr="00B8414E">
        <w:rPr>
          <w:rFonts w:ascii="Arial" w:hAnsi="Arial" w:cs="Arial"/>
          <w:sz w:val="24"/>
          <w:szCs w:val="24"/>
        </w:rPr>
        <w:t>crédito outorgado</w:t>
      </w:r>
      <w:r w:rsidR="00B8414E">
        <w:rPr>
          <w:rFonts w:ascii="Arial" w:hAnsi="Arial" w:cs="Arial"/>
          <w:sz w:val="24"/>
          <w:szCs w:val="24"/>
        </w:rPr>
        <w:t xml:space="preserve"> a ser concedido aos industriais de veículo automotor beneficiários do Produzir e Fomentar (art. 5º, parágrafo único, I);</w:t>
      </w:r>
    </w:p>
    <w:p w14:paraId="22C5ABE9" w14:textId="233E7ABA" w:rsidR="00B8414E" w:rsidRPr="002C0790" w:rsidRDefault="005E54CA" w:rsidP="00282B87">
      <w:pPr>
        <w:pStyle w:val="PargrafodaLista"/>
        <w:numPr>
          <w:ilvl w:val="0"/>
          <w:numId w:val="10"/>
        </w:numPr>
        <w:spacing w:line="360" w:lineRule="auto"/>
        <w:jc w:val="both"/>
        <w:rPr>
          <w:rFonts w:ascii="Arial" w:hAnsi="Arial" w:cs="Arial"/>
          <w:sz w:val="24"/>
          <w:szCs w:val="24"/>
        </w:rPr>
      </w:pPr>
      <w:r w:rsidRPr="005E54CA">
        <w:rPr>
          <w:rFonts w:ascii="Arial" w:hAnsi="Arial" w:cs="Arial"/>
          <w:sz w:val="24"/>
          <w:szCs w:val="24"/>
        </w:rPr>
        <w:t>especifica</w:t>
      </w:r>
      <w:r>
        <w:rPr>
          <w:rFonts w:ascii="Arial" w:hAnsi="Arial" w:cs="Arial"/>
          <w:sz w:val="24"/>
          <w:szCs w:val="24"/>
        </w:rPr>
        <w:t>r</w:t>
      </w:r>
      <w:r w:rsidRPr="005E54CA">
        <w:rPr>
          <w:rFonts w:ascii="Arial" w:hAnsi="Arial" w:cs="Arial"/>
          <w:sz w:val="24"/>
          <w:szCs w:val="24"/>
        </w:rPr>
        <w:t xml:space="preserve"> os incentivos concedidos, o prazo de duração e as condições a serem observados pelo beneficiário</w:t>
      </w:r>
      <w:r>
        <w:rPr>
          <w:rFonts w:ascii="Arial" w:hAnsi="Arial" w:cs="Arial"/>
          <w:sz w:val="24"/>
          <w:szCs w:val="24"/>
        </w:rPr>
        <w:t xml:space="preserve"> para que possa fruir dos benefícios previstos na Lei nº 16.671/2009 (art. 6º, parágrafo único).</w:t>
      </w:r>
    </w:p>
    <w:p w14:paraId="3027E9CD" w14:textId="77777777" w:rsidR="00DC688C" w:rsidRDefault="00DC688C" w:rsidP="00713208">
      <w:pPr>
        <w:spacing w:line="360" w:lineRule="auto"/>
        <w:ind w:firstLine="851"/>
        <w:jc w:val="both"/>
        <w:rPr>
          <w:rFonts w:ascii="Arial" w:hAnsi="Arial" w:cs="Arial"/>
          <w:sz w:val="24"/>
          <w:szCs w:val="24"/>
        </w:rPr>
      </w:pPr>
    </w:p>
    <w:p w14:paraId="5E4F80C6" w14:textId="6444995A" w:rsidR="00F428DB" w:rsidRDefault="005E54CA" w:rsidP="00713208">
      <w:pPr>
        <w:spacing w:line="360" w:lineRule="auto"/>
        <w:ind w:firstLine="851"/>
        <w:jc w:val="both"/>
        <w:rPr>
          <w:rFonts w:ascii="Arial" w:hAnsi="Arial" w:cs="Arial"/>
          <w:sz w:val="24"/>
          <w:szCs w:val="24"/>
        </w:rPr>
      </w:pPr>
      <w:r>
        <w:rPr>
          <w:rFonts w:ascii="Arial" w:hAnsi="Arial" w:cs="Arial"/>
          <w:sz w:val="24"/>
          <w:szCs w:val="24"/>
        </w:rPr>
        <w:t>Desse modo, revela-se claro e insofismável que o TARE, quando exigido por lei, constitui</w:t>
      </w:r>
      <w:r w:rsidR="000C5BA4">
        <w:rPr>
          <w:rFonts w:ascii="Arial" w:hAnsi="Arial" w:cs="Arial"/>
          <w:sz w:val="24"/>
          <w:szCs w:val="24"/>
        </w:rPr>
        <w:t>,</w:t>
      </w:r>
      <w:r>
        <w:rPr>
          <w:rFonts w:ascii="Arial" w:hAnsi="Arial" w:cs="Arial"/>
          <w:sz w:val="24"/>
          <w:szCs w:val="24"/>
        </w:rPr>
        <w:t xml:space="preserve"> sim</w:t>
      </w:r>
      <w:r w:rsidR="000C5BA4">
        <w:rPr>
          <w:rFonts w:ascii="Arial" w:hAnsi="Arial" w:cs="Arial"/>
          <w:sz w:val="24"/>
          <w:szCs w:val="24"/>
        </w:rPr>
        <w:t>,</w:t>
      </w:r>
      <w:r>
        <w:rPr>
          <w:rFonts w:ascii="Arial" w:hAnsi="Arial" w:cs="Arial"/>
          <w:sz w:val="24"/>
          <w:szCs w:val="24"/>
        </w:rPr>
        <w:t xml:space="preserve"> requisito e etapa necessária para concessão e fruição dos incentivos fiscais, nos quais </w:t>
      </w:r>
      <w:r w:rsidR="000C5BA4">
        <w:rPr>
          <w:rFonts w:ascii="Arial" w:hAnsi="Arial" w:cs="Arial"/>
          <w:sz w:val="24"/>
          <w:szCs w:val="24"/>
        </w:rPr>
        <w:t xml:space="preserve">reside ampla margem de discricionariedade do Poder Executivo </w:t>
      </w:r>
      <w:r>
        <w:rPr>
          <w:rFonts w:ascii="Arial" w:hAnsi="Arial" w:cs="Arial"/>
          <w:sz w:val="24"/>
          <w:szCs w:val="24"/>
        </w:rPr>
        <w:t>para definir uma série de aspectos sensíveis</w:t>
      </w:r>
      <w:r w:rsidR="000C5BA4">
        <w:rPr>
          <w:rFonts w:ascii="Arial" w:hAnsi="Arial" w:cs="Arial"/>
          <w:sz w:val="24"/>
          <w:szCs w:val="24"/>
        </w:rPr>
        <w:t xml:space="preserve">, notadamente </w:t>
      </w:r>
      <w:r w:rsidR="002B5FD2">
        <w:rPr>
          <w:rFonts w:ascii="Arial" w:hAnsi="Arial" w:cs="Arial"/>
          <w:sz w:val="24"/>
          <w:szCs w:val="24"/>
        </w:rPr>
        <w:t>o detalhamento quanto a eventuais</w:t>
      </w:r>
      <w:r w:rsidR="000C5BA4">
        <w:rPr>
          <w:rFonts w:ascii="Arial" w:hAnsi="Arial" w:cs="Arial"/>
          <w:sz w:val="24"/>
          <w:szCs w:val="24"/>
        </w:rPr>
        <w:t xml:space="preserve"> </w:t>
      </w:r>
      <w:r>
        <w:rPr>
          <w:rFonts w:ascii="Arial" w:hAnsi="Arial" w:cs="Arial"/>
          <w:sz w:val="24"/>
          <w:szCs w:val="24"/>
        </w:rPr>
        <w:t>contrapartidas econômicas e sociais</w:t>
      </w:r>
      <w:r w:rsidR="002B5FD2">
        <w:rPr>
          <w:rFonts w:ascii="Arial" w:hAnsi="Arial" w:cs="Arial"/>
          <w:sz w:val="24"/>
          <w:szCs w:val="24"/>
        </w:rPr>
        <w:t xml:space="preserve"> exigidas</w:t>
      </w:r>
      <w:r w:rsidR="00891F85">
        <w:rPr>
          <w:rFonts w:ascii="Arial" w:hAnsi="Arial" w:cs="Arial"/>
          <w:sz w:val="24"/>
          <w:szCs w:val="24"/>
        </w:rPr>
        <w:t>, cronogramas de execuç</w:t>
      </w:r>
      <w:r w:rsidR="002B5FD2">
        <w:rPr>
          <w:rFonts w:ascii="Arial" w:hAnsi="Arial" w:cs="Arial"/>
          <w:sz w:val="24"/>
          <w:szCs w:val="24"/>
        </w:rPr>
        <w:t xml:space="preserve">ão de </w:t>
      </w:r>
      <w:r w:rsidR="002B5FD2">
        <w:rPr>
          <w:rFonts w:ascii="Arial" w:hAnsi="Arial" w:cs="Arial"/>
          <w:sz w:val="24"/>
          <w:szCs w:val="24"/>
        </w:rPr>
        <w:lastRenderedPageBreak/>
        <w:t>investimentos</w:t>
      </w:r>
      <w:r w:rsidR="00891F85">
        <w:rPr>
          <w:rFonts w:ascii="Arial" w:hAnsi="Arial" w:cs="Arial"/>
          <w:sz w:val="24"/>
          <w:szCs w:val="24"/>
        </w:rPr>
        <w:t>, número efetivo de empregos a serem gerados (</w:t>
      </w:r>
      <w:r w:rsidR="002B5FD2">
        <w:rPr>
          <w:rFonts w:ascii="Arial" w:hAnsi="Arial" w:cs="Arial"/>
          <w:sz w:val="24"/>
          <w:szCs w:val="24"/>
        </w:rPr>
        <w:t>nem sempre</w:t>
      </w:r>
      <w:r w:rsidR="00891F85">
        <w:rPr>
          <w:rFonts w:ascii="Arial" w:hAnsi="Arial" w:cs="Arial"/>
          <w:sz w:val="24"/>
          <w:szCs w:val="24"/>
        </w:rPr>
        <w:t xml:space="preserve"> exigido</w:t>
      </w:r>
      <w:r w:rsidR="002B5FD2">
        <w:rPr>
          <w:rFonts w:ascii="Arial" w:hAnsi="Arial" w:cs="Arial"/>
          <w:sz w:val="24"/>
          <w:szCs w:val="24"/>
        </w:rPr>
        <w:t>!</w:t>
      </w:r>
      <w:r w:rsidR="00891F85">
        <w:rPr>
          <w:rFonts w:ascii="Arial" w:hAnsi="Arial" w:cs="Arial"/>
          <w:sz w:val="24"/>
          <w:szCs w:val="24"/>
        </w:rPr>
        <w:t>)</w:t>
      </w:r>
      <w:r w:rsidR="002B5FD2">
        <w:rPr>
          <w:rFonts w:ascii="Arial" w:hAnsi="Arial" w:cs="Arial"/>
          <w:sz w:val="24"/>
          <w:szCs w:val="24"/>
        </w:rPr>
        <w:t xml:space="preserve"> e outros aspectos relevantes</w:t>
      </w:r>
      <w:r>
        <w:rPr>
          <w:rFonts w:ascii="Arial" w:hAnsi="Arial" w:cs="Arial"/>
          <w:sz w:val="24"/>
          <w:szCs w:val="24"/>
        </w:rPr>
        <w:t>.</w:t>
      </w:r>
    </w:p>
    <w:p w14:paraId="4A864127" w14:textId="2DAC1A83" w:rsidR="00E609F2" w:rsidRDefault="00E609F2" w:rsidP="00E609F2">
      <w:pPr>
        <w:spacing w:line="360" w:lineRule="auto"/>
        <w:ind w:firstLine="851"/>
        <w:jc w:val="both"/>
        <w:rPr>
          <w:rFonts w:ascii="Arial" w:hAnsi="Arial" w:cs="Arial"/>
          <w:sz w:val="24"/>
          <w:szCs w:val="24"/>
        </w:rPr>
      </w:pPr>
      <w:r w:rsidRPr="000C5BA4">
        <w:rPr>
          <w:rFonts w:ascii="Arial" w:hAnsi="Arial" w:cs="Arial"/>
          <w:sz w:val="24"/>
          <w:szCs w:val="24"/>
        </w:rPr>
        <w:t xml:space="preserve">Portanto, </w:t>
      </w:r>
      <w:r>
        <w:rPr>
          <w:rFonts w:ascii="Arial" w:hAnsi="Arial" w:cs="Arial"/>
          <w:sz w:val="24"/>
          <w:szCs w:val="24"/>
        </w:rPr>
        <w:t>verifica-se que claramente, no Estado de Goiás, as leis possuem função meramente autorizativa no que tange à concessão de incentivos fiscais, havendo grande espaço para o regulamento e os TARE’s disciplinarem uma série de questões sensíveis e relevantes para a eficácia da política adotada, em especial as contrapartidas das empresas beneficiárias, sendo relevante que esses instrumentos passem por prévia e isenta análise da PGE/GO.</w:t>
      </w:r>
    </w:p>
    <w:p w14:paraId="543D5DA5" w14:textId="77777777" w:rsidR="00E609F2" w:rsidRPr="000C5BA4" w:rsidRDefault="00E609F2" w:rsidP="000C5BA4">
      <w:pPr>
        <w:spacing w:line="360" w:lineRule="auto"/>
        <w:ind w:left="2268" w:firstLine="284"/>
        <w:jc w:val="both"/>
        <w:rPr>
          <w:rFonts w:ascii="Arial" w:hAnsi="Arial" w:cs="Arial"/>
          <w:sz w:val="24"/>
          <w:szCs w:val="24"/>
        </w:rPr>
      </w:pPr>
    </w:p>
    <w:p w14:paraId="6BA5780D" w14:textId="25F0EB42" w:rsidR="002F1704" w:rsidRPr="000C5BA4" w:rsidRDefault="002F1704" w:rsidP="000C5BA4">
      <w:pPr>
        <w:spacing w:line="360" w:lineRule="auto"/>
        <w:ind w:firstLine="851"/>
        <w:jc w:val="both"/>
        <w:rPr>
          <w:rFonts w:ascii="Arial" w:hAnsi="Arial" w:cs="Arial"/>
          <w:b/>
          <w:sz w:val="24"/>
          <w:szCs w:val="24"/>
        </w:rPr>
      </w:pPr>
      <w:r w:rsidRPr="000C5BA4">
        <w:rPr>
          <w:rFonts w:ascii="Arial" w:hAnsi="Arial" w:cs="Arial"/>
          <w:b/>
          <w:sz w:val="24"/>
          <w:szCs w:val="24"/>
        </w:rPr>
        <w:t>5.4 – PERSPECTIVAS DE SOLUÇÃO DO IMPASSE</w:t>
      </w:r>
    </w:p>
    <w:p w14:paraId="0C349D39" w14:textId="77777777" w:rsidR="000C5BA4" w:rsidRDefault="000C5BA4" w:rsidP="002F1704">
      <w:pPr>
        <w:spacing w:line="360" w:lineRule="auto"/>
        <w:ind w:firstLine="851"/>
        <w:jc w:val="both"/>
        <w:rPr>
          <w:rFonts w:ascii="Arial" w:hAnsi="Arial" w:cs="Arial"/>
          <w:b/>
          <w:sz w:val="24"/>
          <w:szCs w:val="24"/>
        </w:rPr>
      </w:pPr>
    </w:p>
    <w:p w14:paraId="63D745AA" w14:textId="56AB2F03" w:rsidR="00916E71" w:rsidRDefault="004C68D7" w:rsidP="002F1704">
      <w:pPr>
        <w:spacing w:line="360" w:lineRule="auto"/>
        <w:ind w:firstLine="851"/>
        <w:jc w:val="both"/>
        <w:rPr>
          <w:rFonts w:ascii="Arial" w:hAnsi="Arial" w:cs="Arial"/>
          <w:sz w:val="24"/>
          <w:szCs w:val="24"/>
        </w:rPr>
      </w:pPr>
      <w:r w:rsidRPr="004C68D7">
        <w:rPr>
          <w:rFonts w:ascii="Arial" w:hAnsi="Arial" w:cs="Arial"/>
          <w:b/>
          <w:sz w:val="24"/>
          <w:szCs w:val="24"/>
        </w:rPr>
        <w:t>5.4.1.</w:t>
      </w:r>
      <w:r>
        <w:rPr>
          <w:rFonts w:ascii="Arial" w:hAnsi="Arial" w:cs="Arial"/>
          <w:sz w:val="24"/>
          <w:szCs w:val="24"/>
        </w:rPr>
        <w:t xml:space="preserve"> </w:t>
      </w:r>
      <w:r w:rsidR="00916E71">
        <w:rPr>
          <w:rFonts w:ascii="Arial" w:hAnsi="Arial" w:cs="Arial"/>
          <w:sz w:val="24"/>
          <w:szCs w:val="24"/>
        </w:rPr>
        <w:t xml:space="preserve">Percebe-se claramente, até aqui, </w:t>
      </w:r>
      <w:r w:rsidR="00AC79CE">
        <w:rPr>
          <w:rFonts w:ascii="Arial" w:hAnsi="Arial" w:cs="Arial"/>
          <w:b/>
          <w:sz w:val="24"/>
          <w:szCs w:val="24"/>
          <w:u w:val="single"/>
        </w:rPr>
        <w:t>2</w:t>
      </w:r>
      <w:r w:rsidR="00916E71" w:rsidRPr="00916E71">
        <w:rPr>
          <w:rFonts w:ascii="Arial" w:hAnsi="Arial" w:cs="Arial"/>
          <w:b/>
          <w:sz w:val="24"/>
          <w:szCs w:val="24"/>
          <w:u w:val="single"/>
        </w:rPr>
        <w:t xml:space="preserve"> (</w:t>
      </w:r>
      <w:r w:rsidR="00AC79CE">
        <w:rPr>
          <w:rFonts w:ascii="Arial" w:hAnsi="Arial" w:cs="Arial"/>
          <w:b/>
          <w:sz w:val="24"/>
          <w:szCs w:val="24"/>
          <w:u w:val="single"/>
        </w:rPr>
        <w:t>duas</w:t>
      </w:r>
      <w:r w:rsidR="00916E71" w:rsidRPr="00916E71">
        <w:rPr>
          <w:rFonts w:ascii="Arial" w:hAnsi="Arial" w:cs="Arial"/>
          <w:b/>
          <w:sz w:val="24"/>
          <w:szCs w:val="24"/>
          <w:u w:val="single"/>
        </w:rPr>
        <w:t xml:space="preserve">) </w:t>
      </w:r>
      <w:r w:rsidR="00AC79CE">
        <w:rPr>
          <w:rFonts w:ascii="Arial" w:hAnsi="Arial" w:cs="Arial"/>
          <w:b/>
          <w:sz w:val="24"/>
          <w:szCs w:val="24"/>
          <w:u w:val="single"/>
        </w:rPr>
        <w:t>principais irregularidades</w:t>
      </w:r>
      <w:r w:rsidR="00916E71">
        <w:rPr>
          <w:rFonts w:ascii="Arial" w:hAnsi="Arial" w:cs="Arial"/>
          <w:sz w:val="24"/>
          <w:szCs w:val="24"/>
        </w:rPr>
        <w:t xml:space="preserve"> em matéria de incentivos fiscais relativos ao ICMS no Estado de Goiás</w:t>
      </w:r>
      <w:r w:rsidR="00AC79CE">
        <w:rPr>
          <w:rFonts w:ascii="Arial" w:hAnsi="Arial" w:cs="Arial"/>
          <w:sz w:val="24"/>
          <w:szCs w:val="24"/>
        </w:rPr>
        <w:t>, frente ao princípio da legalidade específica a essa seara (CRFB, art. 150, § 6º; CE/GO, art. 102, § 5º)</w:t>
      </w:r>
      <w:r w:rsidR="00DC688C">
        <w:rPr>
          <w:rFonts w:ascii="Arial" w:hAnsi="Arial" w:cs="Arial"/>
          <w:sz w:val="24"/>
          <w:szCs w:val="24"/>
        </w:rPr>
        <w:t>:</w:t>
      </w:r>
    </w:p>
    <w:p w14:paraId="003775F6" w14:textId="77777777" w:rsidR="00DC688C" w:rsidRDefault="00DC688C" w:rsidP="002F1704">
      <w:pPr>
        <w:spacing w:line="360" w:lineRule="auto"/>
        <w:ind w:firstLine="851"/>
        <w:jc w:val="both"/>
        <w:rPr>
          <w:rFonts w:ascii="Arial" w:hAnsi="Arial" w:cs="Arial"/>
          <w:sz w:val="24"/>
          <w:szCs w:val="24"/>
        </w:rPr>
      </w:pPr>
    </w:p>
    <w:p w14:paraId="5CB4875D" w14:textId="35275FE5" w:rsidR="002F1704" w:rsidRDefault="00916E71" w:rsidP="002F1704">
      <w:pPr>
        <w:spacing w:line="360" w:lineRule="auto"/>
        <w:ind w:firstLine="851"/>
        <w:jc w:val="both"/>
        <w:rPr>
          <w:rFonts w:ascii="Arial" w:hAnsi="Arial" w:cs="Arial"/>
          <w:sz w:val="24"/>
          <w:szCs w:val="24"/>
        </w:rPr>
      </w:pPr>
      <w:r w:rsidRPr="007E454F">
        <w:rPr>
          <w:rFonts w:ascii="Arial" w:hAnsi="Arial" w:cs="Arial"/>
          <w:b/>
          <w:sz w:val="24"/>
          <w:szCs w:val="24"/>
        </w:rPr>
        <w:t xml:space="preserve">a) </w:t>
      </w:r>
      <w:r w:rsidR="002F1704" w:rsidRPr="007E454F">
        <w:rPr>
          <w:rFonts w:ascii="Arial" w:hAnsi="Arial" w:cs="Arial"/>
          <w:b/>
          <w:sz w:val="24"/>
          <w:szCs w:val="24"/>
        </w:rPr>
        <w:t>ainda persiste</w:t>
      </w:r>
      <w:r>
        <w:rPr>
          <w:rFonts w:ascii="Arial" w:hAnsi="Arial" w:cs="Arial"/>
          <w:sz w:val="24"/>
          <w:szCs w:val="24"/>
        </w:rPr>
        <w:t>, em pleno ano de 2019,</w:t>
      </w:r>
      <w:r w:rsidR="002F1704" w:rsidRPr="00916E71">
        <w:rPr>
          <w:rFonts w:ascii="Arial" w:hAnsi="Arial" w:cs="Arial"/>
          <w:sz w:val="24"/>
          <w:szCs w:val="24"/>
        </w:rPr>
        <w:t xml:space="preserve"> </w:t>
      </w:r>
      <w:r>
        <w:rPr>
          <w:rFonts w:ascii="Arial" w:hAnsi="Arial" w:cs="Arial"/>
          <w:sz w:val="24"/>
          <w:szCs w:val="24"/>
        </w:rPr>
        <w:t>a prática de</w:t>
      </w:r>
      <w:r w:rsidR="002F1704" w:rsidRPr="00D7036E">
        <w:rPr>
          <w:rFonts w:ascii="Arial" w:hAnsi="Arial" w:cs="Arial"/>
          <w:b/>
          <w:sz w:val="24"/>
          <w:szCs w:val="24"/>
        </w:rPr>
        <w:t xml:space="preserve"> publica</w:t>
      </w:r>
      <w:r>
        <w:rPr>
          <w:rFonts w:ascii="Arial" w:hAnsi="Arial" w:cs="Arial"/>
          <w:b/>
          <w:sz w:val="24"/>
          <w:szCs w:val="24"/>
        </w:rPr>
        <w:t>ção de</w:t>
      </w:r>
      <w:r w:rsidR="002F1704" w:rsidRPr="00D7036E">
        <w:rPr>
          <w:rFonts w:ascii="Arial" w:hAnsi="Arial" w:cs="Arial"/>
          <w:b/>
          <w:sz w:val="24"/>
          <w:szCs w:val="24"/>
        </w:rPr>
        <w:t xml:space="preserve"> diversos decretos autônomos que instituem novas hipóteses de incentivos fiscais</w:t>
      </w:r>
      <w:r w:rsidR="00AC79CE">
        <w:rPr>
          <w:rFonts w:ascii="Arial" w:hAnsi="Arial" w:cs="Arial"/>
          <w:sz w:val="24"/>
          <w:szCs w:val="24"/>
        </w:rPr>
        <w:t xml:space="preserve"> </w:t>
      </w:r>
      <w:r w:rsidR="002F1704">
        <w:rPr>
          <w:rFonts w:ascii="Arial" w:hAnsi="Arial" w:cs="Arial"/>
          <w:sz w:val="24"/>
          <w:szCs w:val="24"/>
        </w:rPr>
        <w:t xml:space="preserve">sem o necessário respaldo em </w:t>
      </w:r>
      <w:r>
        <w:rPr>
          <w:rFonts w:ascii="Arial" w:hAnsi="Arial" w:cs="Arial"/>
          <w:sz w:val="24"/>
          <w:szCs w:val="24"/>
        </w:rPr>
        <w:t xml:space="preserve">prévia </w:t>
      </w:r>
      <w:r w:rsidR="002F1704">
        <w:rPr>
          <w:rFonts w:ascii="Arial" w:hAnsi="Arial" w:cs="Arial"/>
          <w:sz w:val="24"/>
          <w:szCs w:val="24"/>
        </w:rPr>
        <w:t>lei</w:t>
      </w:r>
      <w:r>
        <w:rPr>
          <w:rFonts w:ascii="Arial" w:hAnsi="Arial" w:cs="Arial"/>
          <w:sz w:val="24"/>
          <w:szCs w:val="24"/>
        </w:rPr>
        <w:t xml:space="preserve"> específica</w:t>
      </w:r>
      <w:r w:rsidR="00AC79CE">
        <w:rPr>
          <w:rFonts w:ascii="Arial" w:hAnsi="Arial" w:cs="Arial"/>
          <w:sz w:val="24"/>
          <w:szCs w:val="24"/>
        </w:rPr>
        <w:t>, ainda que aprovado no âmbito do Confaz;</w:t>
      </w:r>
    </w:p>
    <w:p w14:paraId="5763D73C" w14:textId="7586FD07" w:rsidR="00AC79CE" w:rsidRDefault="00AC79CE" w:rsidP="002F1704">
      <w:pPr>
        <w:spacing w:line="360" w:lineRule="auto"/>
        <w:ind w:firstLine="851"/>
        <w:jc w:val="both"/>
        <w:rPr>
          <w:rFonts w:ascii="Arial" w:hAnsi="Arial" w:cs="Arial"/>
          <w:sz w:val="24"/>
          <w:szCs w:val="24"/>
        </w:rPr>
      </w:pPr>
      <w:r w:rsidRPr="007E454F">
        <w:rPr>
          <w:rFonts w:ascii="Arial" w:hAnsi="Arial" w:cs="Arial"/>
          <w:b/>
          <w:sz w:val="24"/>
          <w:szCs w:val="24"/>
        </w:rPr>
        <w:t xml:space="preserve">b) </w:t>
      </w:r>
      <w:r w:rsidR="004C68D7" w:rsidRPr="007E454F">
        <w:rPr>
          <w:rFonts w:ascii="Arial" w:hAnsi="Arial" w:cs="Arial"/>
          <w:b/>
          <w:sz w:val="24"/>
          <w:szCs w:val="24"/>
        </w:rPr>
        <w:t>a lei ocupa papel secundário no sistema de concessão desses incentivos fiscais, visto que na grande maioria das vezes assume função meramente autorizativa</w:t>
      </w:r>
      <w:r w:rsidR="004C68D7">
        <w:rPr>
          <w:rFonts w:ascii="Arial" w:hAnsi="Arial" w:cs="Arial"/>
          <w:sz w:val="24"/>
          <w:szCs w:val="24"/>
        </w:rPr>
        <w:t>, de modo que o benefício só é implementado efetivamente a partir de regulamentação levada a efeito pelo Chefe do Poder Executivo, cuja margem de discricionariedade é tão grande ao ponto de, se quiser, nem conceder ou posteriormente revogar o benefício, ainda que vigente a respectiva lei autorizativa.</w:t>
      </w:r>
    </w:p>
    <w:p w14:paraId="5EC00C58" w14:textId="77777777" w:rsidR="00DC688C" w:rsidRDefault="00DC688C" w:rsidP="002F1704">
      <w:pPr>
        <w:spacing w:line="360" w:lineRule="auto"/>
        <w:ind w:firstLine="851"/>
        <w:jc w:val="both"/>
        <w:rPr>
          <w:rFonts w:ascii="Arial" w:hAnsi="Arial" w:cs="Arial"/>
          <w:sz w:val="24"/>
          <w:szCs w:val="24"/>
        </w:rPr>
      </w:pPr>
    </w:p>
    <w:p w14:paraId="56A5F79E" w14:textId="0249CAD6" w:rsidR="004C68D7" w:rsidRPr="004C68D7" w:rsidRDefault="004C68D7" w:rsidP="002F1704">
      <w:pPr>
        <w:spacing w:line="360" w:lineRule="auto"/>
        <w:ind w:firstLine="851"/>
        <w:jc w:val="both"/>
        <w:rPr>
          <w:rFonts w:ascii="Arial" w:hAnsi="Arial" w:cs="Arial"/>
          <w:sz w:val="24"/>
          <w:szCs w:val="24"/>
        </w:rPr>
      </w:pPr>
      <w:r>
        <w:rPr>
          <w:rFonts w:ascii="Arial" w:hAnsi="Arial" w:cs="Arial"/>
          <w:sz w:val="24"/>
          <w:szCs w:val="24"/>
        </w:rPr>
        <w:t>Mesmo superando esses aspectos acima, e ainda que não houvesse qualquer irregularidade nesse tocante, depreende-se da leitura de várias leis e decretos estaduais sobre incentivos fiscais relativos ao ICMS que o Poder Executivo, sobretudo na pessoa do Governador do Estado e do titul</w:t>
      </w:r>
      <w:r w:rsidR="00022A57">
        <w:rPr>
          <w:rFonts w:ascii="Arial" w:hAnsi="Arial" w:cs="Arial"/>
          <w:sz w:val="24"/>
          <w:szCs w:val="24"/>
        </w:rPr>
        <w:t>ar da pasta da Economia, possui</w:t>
      </w:r>
      <w:r>
        <w:rPr>
          <w:rFonts w:ascii="Arial" w:hAnsi="Arial" w:cs="Arial"/>
          <w:sz w:val="24"/>
          <w:szCs w:val="24"/>
        </w:rPr>
        <w:t xml:space="preserve"> poderes muito amplos no que concerne à efetiva implementação desses incentivos, porque a eles cabe regulamentar aspectos sensíveis da política de cada incentivo.</w:t>
      </w:r>
    </w:p>
    <w:p w14:paraId="69B55BD6" w14:textId="77777777" w:rsidR="004C68D7" w:rsidRDefault="004C68D7" w:rsidP="002F1704">
      <w:pPr>
        <w:spacing w:line="360" w:lineRule="auto"/>
        <w:ind w:firstLine="851"/>
        <w:jc w:val="both"/>
        <w:rPr>
          <w:rFonts w:ascii="Arial" w:hAnsi="Arial" w:cs="Arial"/>
          <w:sz w:val="24"/>
          <w:szCs w:val="24"/>
        </w:rPr>
      </w:pPr>
    </w:p>
    <w:p w14:paraId="14B9D6F3" w14:textId="5869A277" w:rsidR="002F1704" w:rsidRDefault="004C68D7" w:rsidP="002F1704">
      <w:pPr>
        <w:spacing w:line="360" w:lineRule="auto"/>
        <w:ind w:firstLine="851"/>
        <w:jc w:val="both"/>
        <w:rPr>
          <w:rFonts w:ascii="Arial" w:hAnsi="Arial" w:cs="Arial"/>
          <w:sz w:val="24"/>
          <w:szCs w:val="24"/>
        </w:rPr>
      </w:pPr>
      <w:r>
        <w:rPr>
          <w:rFonts w:ascii="Arial" w:hAnsi="Arial" w:cs="Arial"/>
          <w:b/>
          <w:sz w:val="24"/>
          <w:szCs w:val="24"/>
        </w:rPr>
        <w:lastRenderedPageBreak/>
        <w:t>5.4.2</w:t>
      </w:r>
      <w:r w:rsidRPr="004C68D7">
        <w:rPr>
          <w:rFonts w:ascii="Arial" w:hAnsi="Arial" w:cs="Arial"/>
          <w:b/>
          <w:sz w:val="24"/>
          <w:szCs w:val="24"/>
        </w:rPr>
        <w:t>.</w:t>
      </w:r>
      <w:r>
        <w:rPr>
          <w:rFonts w:ascii="Arial" w:hAnsi="Arial" w:cs="Arial"/>
          <w:b/>
          <w:sz w:val="24"/>
          <w:szCs w:val="24"/>
        </w:rPr>
        <w:t xml:space="preserve"> </w:t>
      </w:r>
      <w:r w:rsidRPr="004C68D7">
        <w:rPr>
          <w:rFonts w:ascii="Arial" w:hAnsi="Arial" w:cs="Arial"/>
          <w:sz w:val="24"/>
          <w:szCs w:val="24"/>
        </w:rPr>
        <w:t xml:space="preserve">Em relação aos </w:t>
      </w:r>
      <w:r w:rsidRPr="00E4062E">
        <w:rPr>
          <w:rFonts w:ascii="Arial" w:hAnsi="Arial" w:cs="Arial"/>
          <w:b/>
          <w:sz w:val="24"/>
          <w:szCs w:val="24"/>
          <w:u w:val="single"/>
        </w:rPr>
        <w:t>decretos que internalizam, sem lei específica, incentivos fiscais aprovados no âmbito do Confaz</w:t>
      </w:r>
      <w:r>
        <w:rPr>
          <w:rFonts w:ascii="Arial" w:hAnsi="Arial" w:cs="Arial"/>
          <w:sz w:val="24"/>
          <w:szCs w:val="24"/>
        </w:rPr>
        <w:t>, t</w:t>
      </w:r>
      <w:r w:rsidR="002F1704" w:rsidRPr="004C68D7">
        <w:rPr>
          <w:rFonts w:ascii="Arial" w:hAnsi="Arial" w:cs="Arial"/>
          <w:sz w:val="24"/>
          <w:szCs w:val="24"/>
        </w:rPr>
        <w:t>rata</w:t>
      </w:r>
      <w:r w:rsidR="002F1704">
        <w:rPr>
          <w:rFonts w:ascii="Arial" w:hAnsi="Arial" w:cs="Arial"/>
          <w:sz w:val="24"/>
          <w:szCs w:val="24"/>
        </w:rPr>
        <w:t xml:space="preserve">-se de </w:t>
      </w:r>
      <w:r w:rsidR="002F1704" w:rsidRPr="00D7036E">
        <w:rPr>
          <w:rFonts w:ascii="Arial" w:hAnsi="Arial" w:cs="Arial"/>
          <w:b/>
          <w:sz w:val="24"/>
          <w:szCs w:val="24"/>
        </w:rPr>
        <w:t xml:space="preserve">situação </w:t>
      </w:r>
      <w:r>
        <w:rPr>
          <w:rFonts w:ascii="Arial" w:hAnsi="Arial" w:cs="Arial"/>
          <w:b/>
          <w:sz w:val="24"/>
          <w:szCs w:val="24"/>
        </w:rPr>
        <w:t>que não se pode mais tolerar</w:t>
      </w:r>
      <w:r w:rsidR="002F1704">
        <w:rPr>
          <w:rFonts w:ascii="Arial" w:hAnsi="Arial" w:cs="Arial"/>
          <w:sz w:val="24"/>
          <w:szCs w:val="24"/>
        </w:rPr>
        <w:t>, que inclusive sujeita às autoridades responsáveis às penas da lei e à devolução ao erário público do montante renunciado indevidamente, o que deve ser apurado pelo Ministério Público e demais órgãos de controle competentes.</w:t>
      </w:r>
    </w:p>
    <w:p w14:paraId="3877EBCA" w14:textId="77777777" w:rsidR="002F1704" w:rsidRDefault="002F1704" w:rsidP="002F1704">
      <w:pPr>
        <w:spacing w:line="360" w:lineRule="auto"/>
        <w:ind w:firstLine="851"/>
        <w:jc w:val="both"/>
        <w:rPr>
          <w:rFonts w:ascii="Arial" w:hAnsi="Arial" w:cs="Arial"/>
          <w:sz w:val="24"/>
          <w:szCs w:val="24"/>
        </w:rPr>
      </w:pPr>
      <w:r>
        <w:rPr>
          <w:rFonts w:ascii="Arial" w:hAnsi="Arial" w:cs="Arial"/>
          <w:sz w:val="24"/>
          <w:szCs w:val="24"/>
        </w:rPr>
        <w:t xml:space="preserve">Embora os textos constitucionais, federal e estadual, sejam absolutamente claros quanto à exigência de lei específica para concessão de incentivos fiscais, inclusive na forma de internalização de convênios autorizativos celebrados previamente no âmbito do Confaz, </w:t>
      </w:r>
      <w:r w:rsidRPr="00AA60A8">
        <w:rPr>
          <w:rFonts w:ascii="Arial" w:hAnsi="Arial" w:cs="Arial"/>
          <w:b/>
          <w:sz w:val="24"/>
          <w:szCs w:val="24"/>
        </w:rPr>
        <w:t>acredita-se que essa “cultura dos decretos” se apoia numa interpretação bastante equivocada do art. 40 do CTE/GO</w:t>
      </w:r>
      <w:r>
        <w:rPr>
          <w:rFonts w:ascii="Arial" w:hAnsi="Arial" w:cs="Arial"/>
          <w:sz w:val="24"/>
          <w:szCs w:val="24"/>
        </w:rPr>
        <w:t xml:space="preserve">, </w:t>
      </w:r>
      <w:r w:rsidRPr="00EB6399">
        <w:rPr>
          <w:rFonts w:ascii="Arial" w:hAnsi="Arial" w:cs="Arial"/>
          <w:i/>
          <w:sz w:val="24"/>
          <w:szCs w:val="24"/>
        </w:rPr>
        <w:t>in verbis</w:t>
      </w:r>
      <w:r>
        <w:rPr>
          <w:rFonts w:ascii="Arial" w:hAnsi="Arial" w:cs="Arial"/>
          <w:sz w:val="24"/>
          <w:szCs w:val="24"/>
        </w:rPr>
        <w:t>:</w:t>
      </w:r>
    </w:p>
    <w:p w14:paraId="6B9D711B" w14:textId="77777777" w:rsidR="002F1704" w:rsidRDefault="002F1704" w:rsidP="002F1704">
      <w:pPr>
        <w:spacing w:line="360" w:lineRule="auto"/>
        <w:ind w:firstLine="851"/>
        <w:jc w:val="both"/>
        <w:rPr>
          <w:rFonts w:ascii="Arial" w:hAnsi="Arial" w:cs="Arial"/>
          <w:sz w:val="24"/>
          <w:szCs w:val="24"/>
        </w:rPr>
      </w:pPr>
    </w:p>
    <w:p w14:paraId="12091904" w14:textId="77777777" w:rsidR="002F1704" w:rsidRPr="00EB6399" w:rsidRDefault="002F1704" w:rsidP="00DC688C">
      <w:pPr>
        <w:suppressAutoHyphens/>
        <w:autoSpaceDE w:val="0"/>
        <w:ind w:left="2268"/>
        <w:jc w:val="both"/>
        <w:rPr>
          <w:rFonts w:ascii="Arial" w:hAnsi="Arial" w:cs="Arial"/>
          <w:sz w:val="22"/>
          <w:szCs w:val="22"/>
          <w:lang w:eastAsia="ar-SA"/>
        </w:rPr>
      </w:pPr>
      <w:bookmarkStart w:id="112" w:name="A40"/>
      <w:r w:rsidRPr="00EB6399">
        <w:rPr>
          <w:rFonts w:ascii="Arial" w:hAnsi="Arial" w:cs="Arial"/>
          <w:b/>
          <w:sz w:val="24"/>
          <w:szCs w:val="22"/>
          <w:lang w:eastAsia="ar-SA"/>
        </w:rPr>
        <w:t xml:space="preserve">Art. 40. </w:t>
      </w:r>
      <w:r w:rsidRPr="00EB6399">
        <w:rPr>
          <w:rFonts w:ascii="Arial" w:hAnsi="Arial" w:cs="Arial"/>
          <w:sz w:val="22"/>
          <w:szCs w:val="22"/>
          <w:lang w:eastAsia="ar-SA"/>
        </w:rPr>
        <w:t>Os benefícios fiscais, com base no ICMS, são exclusivamente os previstos nesta Seção e são concedidos ou revogados mediante deliberação dos Estados e do Distrito Federal, nos termos do art. 155, § 2º, XII, “g”, da Constituição da República.</w:t>
      </w:r>
    </w:p>
    <w:p w14:paraId="021159D7" w14:textId="77777777" w:rsidR="002F1704" w:rsidRPr="00EB6399" w:rsidRDefault="002F1704" w:rsidP="00DC688C">
      <w:pPr>
        <w:suppressAutoHyphens/>
        <w:autoSpaceDE w:val="0"/>
        <w:ind w:left="2268"/>
        <w:jc w:val="both"/>
        <w:rPr>
          <w:rFonts w:ascii="Arial" w:hAnsi="Arial" w:cs="Arial"/>
          <w:sz w:val="22"/>
          <w:szCs w:val="22"/>
          <w:lang w:eastAsia="ar-SA"/>
        </w:rPr>
      </w:pPr>
      <w:r w:rsidRPr="00EB6399">
        <w:rPr>
          <w:rFonts w:ascii="Arial" w:hAnsi="Arial" w:cs="Arial"/>
          <w:sz w:val="22"/>
          <w:szCs w:val="22"/>
          <w:lang w:eastAsia="ar-SA"/>
        </w:rPr>
        <w:t>Parágrafo único. A deliberação a que se refere este artigo será objeto de ratificação pelo Chefe do Poder Executivo observado o disposto em lei complementar federal e no art. 11, inciso IX, da Constituição Estadual.</w:t>
      </w:r>
      <w:bookmarkEnd w:id="112"/>
    </w:p>
    <w:p w14:paraId="6EB04719" w14:textId="77777777" w:rsidR="002F1704" w:rsidRDefault="002F1704" w:rsidP="002F1704">
      <w:pPr>
        <w:spacing w:line="360" w:lineRule="auto"/>
        <w:ind w:firstLine="851"/>
        <w:jc w:val="both"/>
        <w:rPr>
          <w:rFonts w:ascii="Arial" w:hAnsi="Arial" w:cs="Arial"/>
          <w:sz w:val="24"/>
          <w:szCs w:val="24"/>
        </w:rPr>
      </w:pPr>
    </w:p>
    <w:p w14:paraId="7BA47A8C" w14:textId="53395750" w:rsidR="002F1704" w:rsidRDefault="002F1704" w:rsidP="002F1704">
      <w:pPr>
        <w:spacing w:line="360" w:lineRule="auto"/>
        <w:ind w:firstLine="851"/>
        <w:jc w:val="both"/>
        <w:rPr>
          <w:rFonts w:ascii="Arial" w:hAnsi="Arial" w:cs="Arial"/>
          <w:sz w:val="24"/>
          <w:szCs w:val="24"/>
        </w:rPr>
      </w:pPr>
      <w:r>
        <w:rPr>
          <w:rFonts w:ascii="Arial" w:hAnsi="Arial" w:cs="Arial"/>
          <w:sz w:val="24"/>
          <w:szCs w:val="24"/>
        </w:rPr>
        <w:t>A leitura que o Governo do Estado de Goiás tem realizado desse dispositivo</w:t>
      </w:r>
      <w:r w:rsidR="004C68D7">
        <w:rPr>
          <w:rFonts w:ascii="Arial" w:hAnsi="Arial" w:cs="Arial"/>
          <w:sz w:val="24"/>
          <w:szCs w:val="24"/>
        </w:rPr>
        <w:t>, historicamente,</w:t>
      </w:r>
      <w:r>
        <w:rPr>
          <w:rFonts w:ascii="Arial" w:hAnsi="Arial" w:cs="Arial"/>
          <w:sz w:val="24"/>
          <w:szCs w:val="24"/>
        </w:rPr>
        <w:t xml:space="preserve"> é que os benefícios são concedidos e revogados mediante a celebração de mencionados </w:t>
      </w:r>
      <w:r w:rsidRPr="00AA60A8">
        <w:rPr>
          <w:rFonts w:ascii="Arial" w:hAnsi="Arial" w:cs="Arial"/>
          <w:b/>
          <w:sz w:val="24"/>
          <w:szCs w:val="24"/>
        </w:rPr>
        <w:t>Convênios</w:t>
      </w:r>
      <w:r>
        <w:rPr>
          <w:rFonts w:ascii="Arial" w:hAnsi="Arial" w:cs="Arial"/>
          <w:sz w:val="24"/>
          <w:szCs w:val="24"/>
        </w:rPr>
        <w:t xml:space="preserve">, o que não é verdade, porquanto estes </w:t>
      </w:r>
      <w:r w:rsidRPr="00AA60A8">
        <w:rPr>
          <w:rFonts w:ascii="Arial" w:hAnsi="Arial" w:cs="Arial"/>
          <w:b/>
          <w:sz w:val="24"/>
          <w:szCs w:val="24"/>
        </w:rPr>
        <w:t>possuem natureza meramente autorizativa</w:t>
      </w:r>
      <w:r w:rsidR="004C68D7">
        <w:rPr>
          <w:rFonts w:ascii="Arial" w:hAnsi="Arial" w:cs="Arial"/>
          <w:b/>
          <w:sz w:val="24"/>
          <w:szCs w:val="24"/>
        </w:rPr>
        <w:t xml:space="preserve"> quando implicarem criação ou ampliação de incentivo fiscal de que decorra renúncia de receitas públicas</w:t>
      </w:r>
      <w:r>
        <w:rPr>
          <w:rFonts w:ascii="Arial" w:hAnsi="Arial" w:cs="Arial"/>
          <w:sz w:val="24"/>
          <w:szCs w:val="24"/>
        </w:rPr>
        <w:t xml:space="preserve">, de modo que dependem da internalização por lei específica </w:t>
      </w:r>
      <w:r w:rsidR="000E09A1">
        <w:rPr>
          <w:rFonts w:ascii="Arial" w:hAnsi="Arial" w:cs="Arial"/>
          <w:sz w:val="24"/>
          <w:szCs w:val="24"/>
        </w:rPr>
        <w:t>para serem incorporados à ordem jurídica interna</w:t>
      </w:r>
      <w:r>
        <w:rPr>
          <w:rFonts w:ascii="Arial" w:hAnsi="Arial" w:cs="Arial"/>
          <w:sz w:val="24"/>
          <w:szCs w:val="24"/>
        </w:rPr>
        <w:t>.</w:t>
      </w:r>
    </w:p>
    <w:p w14:paraId="76C41446" w14:textId="77777777" w:rsidR="004F4953" w:rsidRDefault="002F1704" w:rsidP="002F1704">
      <w:pPr>
        <w:spacing w:line="360" w:lineRule="auto"/>
        <w:ind w:firstLine="851"/>
        <w:jc w:val="both"/>
        <w:rPr>
          <w:rFonts w:ascii="Arial" w:hAnsi="Arial" w:cs="Arial"/>
          <w:sz w:val="24"/>
          <w:szCs w:val="24"/>
        </w:rPr>
      </w:pPr>
      <w:r>
        <w:rPr>
          <w:rFonts w:ascii="Arial" w:hAnsi="Arial" w:cs="Arial"/>
          <w:sz w:val="24"/>
          <w:szCs w:val="24"/>
        </w:rPr>
        <w:t xml:space="preserve">Na realidade, </w:t>
      </w:r>
      <w:r w:rsidR="00EC65E8">
        <w:rPr>
          <w:rFonts w:ascii="Arial" w:hAnsi="Arial" w:cs="Arial"/>
          <w:b/>
          <w:sz w:val="24"/>
          <w:szCs w:val="24"/>
        </w:rPr>
        <w:t>a</w:t>
      </w:r>
      <w:r w:rsidRPr="00AA60A8">
        <w:rPr>
          <w:rFonts w:ascii="Arial" w:hAnsi="Arial" w:cs="Arial"/>
          <w:b/>
          <w:sz w:val="24"/>
          <w:szCs w:val="24"/>
        </w:rPr>
        <w:t>quele art. 40 ainda se encontra em sua redação originária, que data de 1991</w:t>
      </w:r>
      <w:r>
        <w:rPr>
          <w:rFonts w:ascii="Arial" w:hAnsi="Arial" w:cs="Arial"/>
          <w:sz w:val="24"/>
          <w:szCs w:val="24"/>
        </w:rPr>
        <w:t xml:space="preserve">, ao passo que a exigência de prévia lei específica para concessão de incentivos fiscais foi incluída no art. 150, § 6º, CRFB/1988 em 1993, por força da Emenda Constitucional de Revisão (ECR) nº 03/1993; e no art. 102, § 5º, da CE-GO/1989, por força da Emenda Constitucional (EC) nº </w:t>
      </w:r>
      <w:r w:rsidRPr="00AA60A8">
        <w:rPr>
          <w:rFonts w:ascii="Arial" w:hAnsi="Arial" w:cs="Arial"/>
          <w:sz w:val="24"/>
          <w:szCs w:val="24"/>
        </w:rPr>
        <w:t>46</w:t>
      </w:r>
      <w:r>
        <w:rPr>
          <w:rFonts w:ascii="Arial" w:hAnsi="Arial" w:cs="Arial"/>
          <w:sz w:val="24"/>
          <w:szCs w:val="24"/>
        </w:rPr>
        <w:t>/</w:t>
      </w:r>
      <w:r w:rsidRPr="00AA60A8">
        <w:rPr>
          <w:rFonts w:ascii="Arial" w:hAnsi="Arial" w:cs="Arial"/>
          <w:sz w:val="24"/>
          <w:szCs w:val="24"/>
        </w:rPr>
        <w:t>2010</w:t>
      </w:r>
      <w:r>
        <w:rPr>
          <w:rFonts w:ascii="Arial" w:hAnsi="Arial" w:cs="Arial"/>
          <w:sz w:val="24"/>
          <w:szCs w:val="24"/>
        </w:rPr>
        <w:t xml:space="preserve">. </w:t>
      </w:r>
    </w:p>
    <w:p w14:paraId="0B43A087" w14:textId="0CD525BA" w:rsidR="002F1704" w:rsidRDefault="002F1704" w:rsidP="002F1704">
      <w:pPr>
        <w:spacing w:line="360" w:lineRule="auto"/>
        <w:ind w:firstLine="851"/>
        <w:jc w:val="both"/>
        <w:rPr>
          <w:rFonts w:ascii="Arial" w:hAnsi="Arial" w:cs="Arial"/>
          <w:sz w:val="24"/>
          <w:szCs w:val="24"/>
        </w:rPr>
      </w:pPr>
      <w:r>
        <w:rPr>
          <w:rFonts w:ascii="Arial" w:hAnsi="Arial" w:cs="Arial"/>
          <w:sz w:val="24"/>
          <w:szCs w:val="24"/>
        </w:rPr>
        <w:t xml:space="preserve">Dessa forma, </w:t>
      </w:r>
      <w:r w:rsidRPr="00BB0758">
        <w:rPr>
          <w:rFonts w:ascii="Arial" w:hAnsi="Arial" w:cs="Arial"/>
          <w:b/>
          <w:sz w:val="24"/>
          <w:szCs w:val="24"/>
        </w:rPr>
        <w:t>torna</w:t>
      </w:r>
      <w:r w:rsidRPr="00943E4D">
        <w:rPr>
          <w:rFonts w:ascii="Arial" w:hAnsi="Arial" w:cs="Arial"/>
          <w:b/>
          <w:sz w:val="24"/>
          <w:szCs w:val="24"/>
        </w:rPr>
        <w:t>-se imperativo adequar o CTE/GO à Constituição</w:t>
      </w:r>
      <w:r w:rsidR="00943E4D">
        <w:rPr>
          <w:rFonts w:ascii="Arial" w:hAnsi="Arial" w:cs="Arial"/>
          <w:b/>
          <w:sz w:val="24"/>
          <w:szCs w:val="24"/>
        </w:rPr>
        <w:t xml:space="preserve"> nesse aspecto</w:t>
      </w:r>
      <w:r>
        <w:rPr>
          <w:rFonts w:ascii="Arial" w:hAnsi="Arial" w:cs="Arial"/>
          <w:sz w:val="24"/>
          <w:szCs w:val="24"/>
        </w:rPr>
        <w:t>, embora essa “desatualização” não retire as irregularidades mencionadas, porquanto a Constituição possui força normativa própria e se revela plenamente autoaplicável quanto à exigência de lei específica para concessão de benefícios fiscais.</w:t>
      </w:r>
    </w:p>
    <w:p w14:paraId="49CE74F0" w14:textId="77777777" w:rsidR="00BB0758" w:rsidRDefault="00BB0758" w:rsidP="009B704B">
      <w:pPr>
        <w:spacing w:line="360" w:lineRule="auto"/>
        <w:ind w:firstLine="851"/>
        <w:jc w:val="both"/>
        <w:rPr>
          <w:rFonts w:ascii="Arial" w:hAnsi="Arial" w:cs="Arial"/>
          <w:sz w:val="24"/>
          <w:szCs w:val="24"/>
        </w:rPr>
      </w:pPr>
    </w:p>
    <w:p w14:paraId="3C7208D3" w14:textId="1F6268BB" w:rsidR="002F1704" w:rsidRDefault="003F43AD" w:rsidP="002F1704">
      <w:pPr>
        <w:spacing w:line="360" w:lineRule="auto"/>
        <w:ind w:firstLine="851"/>
        <w:jc w:val="both"/>
        <w:rPr>
          <w:rFonts w:ascii="Arial" w:hAnsi="Arial" w:cs="Arial"/>
          <w:sz w:val="24"/>
          <w:szCs w:val="24"/>
        </w:rPr>
      </w:pPr>
      <w:r>
        <w:rPr>
          <w:rFonts w:ascii="Arial" w:hAnsi="Arial" w:cs="Arial"/>
          <w:b/>
          <w:sz w:val="24"/>
          <w:szCs w:val="24"/>
        </w:rPr>
        <w:lastRenderedPageBreak/>
        <w:t>5.4.</w:t>
      </w:r>
      <w:r w:rsidR="00BB72D0">
        <w:rPr>
          <w:rFonts w:ascii="Arial" w:hAnsi="Arial" w:cs="Arial"/>
          <w:b/>
          <w:sz w:val="24"/>
          <w:szCs w:val="24"/>
        </w:rPr>
        <w:t>3</w:t>
      </w:r>
      <w:r w:rsidRPr="004C68D7">
        <w:rPr>
          <w:rFonts w:ascii="Arial" w:hAnsi="Arial" w:cs="Arial"/>
          <w:b/>
          <w:sz w:val="24"/>
          <w:szCs w:val="24"/>
        </w:rPr>
        <w:t>.</w:t>
      </w:r>
      <w:r>
        <w:rPr>
          <w:rFonts w:ascii="Arial" w:hAnsi="Arial" w:cs="Arial"/>
          <w:b/>
          <w:sz w:val="24"/>
          <w:szCs w:val="24"/>
        </w:rPr>
        <w:t xml:space="preserve"> </w:t>
      </w:r>
      <w:r w:rsidR="002F1704">
        <w:rPr>
          <w:rFonts w:ascii="Arial" w:hAnsi="Arial" w:cs="Arial"/>
          <w:sz w:val="24"/>
          <w:szCs w:val="24"/>
        </w:rPr>
        <w:t xml:space="preserve">Importante mencionar </w:t>
      </w:r>
      <w:r>
        <w:rPr>
          <w:rFonts w:ascii="Arial" w:hAnsi="Arial" w:cs="Arial"/>
          <w:sz w:val="24"/>
          <w:szCs w:val="24"/>
        </w:rPr>
        <w:t xml:space="preserve">também </w:t>
      </w:r>
      <w:r w:rsidR="002F1704">
        <w:rPr>
          <w:rFonts w:ascii="Arial" w:hAnsi="Arial" w:cs="Arial"/>
          <w:sz w:val="24"/>
          <w:szCs w:val="24"/>
        </w:rPr>
        <w:t xml:space="preserve">que </w:t>
      </w:r>
      <w:r w:rsidR="002F1704" w:rsidRPr="00E4062E">
        <w:rPr>
          <w:rFonts w:ascii="Arial" w:hAnsi="Arial" w:cs="Arial"/>
          <w:b/>
          <w:sz w:val="24"/>
          <w:szCs w:val="24"/>
          <w:u w:val="single"/>
        </w:rPr>
        <w:t>o Estado de Santa Catarina alterou em 2019 sua lei que trata do ICMS</w:t>
      </w:r>
      <w:r w:rsidR="002F1704">
        <w:rPr>
          <w:rFonts w:ascii="Arial" w:hAnsi="Arial" w:cs="Arial"/>
          <w:sz w:val="24"/>
          <w:szCs w:val="24"/>
        </w:rPr>
        <w:t>, para deixar expressamente consignada a necessidade de internalização por lei dos convênios celebrados no âmbito do Confaz, conforme se ilustra da tabela comparativa abaixo:</w:t>
      </w:r>
    </w:p>
    <w:p w14:paraId="7DC95FD0" w14:textId="77777777" w:rsidR="002F1704" w:rsidRDefault="002F1704" w:rsidP="002F1704">
      <w:pPr>
        <w:spacing w:line="360" w:lineRule="auto"/>
        <w:ind w:firstLine="851"/>
        <w:jc w:val="both"/>
        <w:rPr>
          <w:rFonts w:ascii="Arial" w:hAnsi="Arial" w:cs="Arial"/>
          <w:sz w:val="24"/>
          <w:szCs w:val="24"/>
        </w:rPr>
      </w:pPr>
    </w:p>
    <w:tbl>
      <w:tblPr>
        <w:tblStyle w:val="Tabelacomgrade"/>
        <w:tblW w:w="0" w:type="auto"/>
        <w:tblLook w:val="04A0" w:firstRow="1" w:lastRow="0" w:firstColumn="1" w:lastColumn="0" w:noHBand="0" w:noVBand="1"/>
      </w:tblPr>
      <w:tblGrid>
        <w:gridCol w:w="4669"/>
        <w:gridCol w:w="4669"/>
      </w:tblGrid>
      <w:tr w:rsidR="002F1704" w14:paraId="70AC9C1B" w14:textId="77777777" w:rsidTr="00EC65E8">
        <w:tc>
          <w:tcPr>
            <w:tcW w:w="4669" w:type="dxa"/>
          </w:tcPr>
          <w:p w14:paraId="316DB49C" w14:textId="77777777" w:rsidR="002F1704" w:rsidRPr="0080021B" w:rsidRDefault="002F1704" w:rsidP="00EC65E8">
            <w:pPr>
              <w:spacing w:line="360" w:lineRule="auto"/>
              <w:jc w:val="center"/>
              <w:rPr>
                <w:rFonts w:ascii="Arial" w:hAnsi="Arial" w:cs="Arial"/>
                <w:b/>
                <w:sz w:val="24"/>
                <w:szCs w:val="24"/>
              </w:rPr>
            </w:pPr>
            <w:r w:rsidRPr="0080021B">
              <w:rPr>
                <w:rFonts w:ascii="Arial" w:hAnsi="Arial" w:cs="Arial"/>
                <w:b/>
                <w:sz w:val="24"/>
                <w:szCs w:val="24"/>
              </w:rPr>
              <w:t>REDAÇÃO ANTERIOR</w:t>
            </w:r>
          </w:p>
        </w:tc>
        <w:tc>
          <w:tcPr>
            <w:tcW w:w="4669" w:type="dxa"/>
          </w:tcPr>
          <w:p w14:paraId="58B69CDC" w14:textId="77777777" w:rsidR="002F1704" w:rsidRDefault="002F1704" w:rsidP="00EC65E8">
            <w:pPr>
              <w:spacing w:line="360" w:lineRule="auto"/>
              <w:jc w:val="center"/>
              <w:rPr>
                <w:rFonts w:ascii="Arial" w:hAnsi="Arial" w:cs="Arial"/>
                <w:sz w:val="24"/>
                <w:szCs w:val="24"/>
              </w:rPr>
            </w:pPr>
            <w:r w:rsidRPr="0080021B">
              <w:rPr>
                <w:rFonts w:ascii="Arial" w:hAnsi="Arial" w:cs="Arial"/>
                <w:b/>
                <w:sz w:val="24"/>
                <w:szCs w:val="24"/>
              </w:rPr>
              <w:t xml:space="preserve">REDAÇÃO </w:t>
            </w:r>
            <w:r>
              <w:rPr>
                <w:rFonts w:ascii="Arial" w:hAnsi="Arial" w:cs="Arial"/>
                <w:b/>
                <w:sz w:val="24"/>
                <w:szCs w:val="24"/>
              </w:rPr>
              <w:t>CONFERIDA PELA LEI ESTADUAL Nº 17.737/2019</w:t>
            </w:r>
          </w:p>
        </w:tc>
      </w:tr>
      <w:tr w:rsidR="002F1704" w14:paraId="505B923B" w14:textId="77777777" w:rsidTr="00EC65E8">
        <w:tc>
          <w:tcPr>
            <w:tcW w:w="4669" w:type="dxa"/>
          </w:tcPr>
          <w:p w14:paraId="28ED9F23" w14:textId="77777777" w:rsidR="002F1704" w:rsidRDefault="002F1704" w:rsidP="00EC65E8">
            <w:pPr>
              <w:spacing w:line="360" w:lineRule="auto"/>
              <w:jc w:val="both"/>
              <w:rPr>
                <w:rFonts w:ascii="Arial" w:hAnsi="Arial" w:cs="Arial"/>
                <w:sz w:val="24"/>
                <w:szCs w:val="24"/>
              </w:rPr>
            </w:pPr>
            <w:r w:rsidRPr="0080021B">
              <w:rPr>
                <w:rFonts w:ascii="Arial" w:hAnsi="Arial" w:cs="Arial"/>
                <w:sz w:val="24"/>
                <w:szCs w:val="24"/>
              </w:rPr>
              <w:t>Art. 42. Ficam condicionadas a prévia autorização, mediante convênio celebrado nos termos da lei complementar de que trata o art. 155, § 2º, XII, “g”, da Constituição Federal, observado o disposto no art. 99:</w:t>
            </w:r>
          </w:p>
        </w:tc>
        <w:tc>
          <w:tcPr>
            <w:tcW w:w="4669" w:type="dxa"/>
          </w:tcPr>
          <w:p w14:paraId="3EFEC7C6" w14:textId="77777777" w:rsidR="002F1704" w:rsidRDefault="002F1704" w:rsidP="00EC65E8">
            <w:pPr>
              <w:tabs>
                <w:tab w:val="left" w:pos="1100"/>
              </w:tabs>
              <w:spacing w:line="360" w:lineRule="auto"/>
              <w:jc w:val="both"/>
              <w:rPr>
                <w:rFonts w:ascii="Arial" w:hAnsi="Arial" w:cs="Arial"/>
                <w:sz w:val="24"/>
                <w:szCs w:val="24"/>
              </w:rPr>
            </w:pPr>
            <w:r w:rsidRPr="0080021B">
              <w:rPr>
                <w:rFonts w:ascii="Arial" w:hAnsi="Arial" w:cs="Arial"/>
                <w:sz w:val="24"/>
                <w:szCs w:val="24"/>
              </w:rPr>
              <w:t xml:space="preserve">Art. 42. Ficam condicionadas a prévia autorização, mediante convênio celebrado nos termos da lei complementar de que trata </w:t>
            </w:r>
            <w:r w:rsidRPr="002136A7">
              <w:rPr>
                <w:rFonts w:ascii="Arial" w:hAnsi="Arial" w:cs="Arial"/>
                <w:b/>
                <w:sz w:val="24"/>
                <w:szCs w:val="24"/>
              </w:rPr>
              <w:t>a alínea “g” do inciso XII do § 2º do art. 155 da Constituição da República, observado o disposto no art. 99-A desta Lei</w:t>
            </w:r>
            <w:r w:rsidRPr="0080021B">
              <w:rPr>
                <w:rFonts w:ascii="Arial" w:hAnsi="Arial" w:cs="Arial"/>
                <w:sz w:val="24"/>
                <w:szCs w:val="24"/>
              </w:rPr>
              <w:t>:</w:t>
            </w:r>
          </w:p>
          <w:p w14:paraId="4F42CA66" w14:textId="77777777" w:rsidR="002F1704" w:rsidRDefault="002F1704" w:rsidP="00EC65E8">
            <w:pPr>
              <w:tabs>
                <w:tab w:val="left" w:pos="1100"/>
              </w:tabs>
              <w:spacing w:line="360" w:lineRule="auto"/>
              <w:jc w:val="both"/>
              <w:rPr>
                <w:rFonts w:ascii="Arial" w:hAnsi="Arial" w:cs="Arial"/>
                <w:sz w:val="24"/>
                <w:szCs w:val="24"/>
              </w:rPr>
            </w:pPr>
          </w:p>
        </w:tc>
      </w:tr>
      <w:tr w:rsidR="002F1704" w14:paraId="6E216564" w14:textId="77777777" w:rsidTr="00EC65E8">
        <w:tc>
          <w:tcPr>
            <w:tcW w:w="4669" w:type="dxa"/>
          </w:tcPr>
          <w:p w14:paraId="6405BFD7" w14:textId="77777777" w:rsidR="002F1704" w:rsidRPr="0080021B" w:rsidRDefault="002F1704" w:rsidP="00EC65E8">
            <w:pPr>
              <w:tabs>
                <w:tab w:val="left" w:pos="1100"/>
              </w:tabs>
              <w:spacing w:line="360" w:lineRule="auto"/>
              <w:jc w:val="both"/>
              <w:rPr>
                <w:rFonts w:ascii="Arial" w:hAnsi="Arial" w:cs="Arial"/>
                <w:sz w:val="24"/>
                <w:szCs w:val="24"/>
              </w:rPr>
            </w:pPr>
            <w:r w:rsidRPr="0080021B">
              <w:rPr>
                <w:rFonts w:ascii="Arial" w:hAnsi="Arial" w:cs="Arial"/>
                <w:sz w:val="24"/>
                <w:szCs w:val="24"/>
              </w:rPr>
              <w:t>I – a concessão ou revogação de isenções, incentivos e benefícios fiscais;</w:t>
            </w:r>
          </w:p>
          <w:p w14:paraId="4B9D9636" w14:textId="77777777" w:rsidR="002F1704" w:rsidRDefault="002F1704" w:rsidP="00EC65E8">
            <w:pPr>
              <w:spacing w:line="360" w:lineRule="auto"/>
              <w:jc w:val="both"/>
              <w:rPr>
                <w:rFonts w:ascii="Arial" w:hAnsi="Arial" w:cs="Arial"/>
                <w:sz w:val="24"/>
                <w:szCs w:val="24"/>
              </w:rPr>
            </w:pPr>
            <w:r w:rsidRPr="0080021B">
              <w:rPr>
                <w:rFonts w:ascii="Arial" w:hAnsi="Arial" w:cs="Arial"/>
                <w:sz w:val="24"/>
                <w:szCs w:val="24"/>
              </w:rPr>
              <w:t>II – a fixação de alíquotas internas inferiores às fixadas pelo Senado Federal para as operações e prestações interestaduais.</w:t>
            </w:r>
          </w:p>
        </w:tc>
        <w:tc>
          <w:tcPr>
            <w:tcW w:w="4669" w:type="dxa"/>
          </w:tcPr>
          <w:p w14:paraId="7798802A" w14:textId="77777777" w:rsidR="002F1704" w:rsidRDefault="002F1704" w:rsidP="00EC65E8">
            <w:pPr>
              <w:spacing w:line="360" w:lineRule="auto"/>
              <w:jc w:val="both"/>
              <w:rPr>
                <w:rFonts w:ascii="Arial" w:hAnsi="Arial" w:cs="Arial"/>
                <w:sz w:val="24"/>
                <w:szCs w:val="24"/>
              </w:rPr>
            </w:pPr>
          </w:p>
          <w:p w14:paraId="3079B056" w14:textId="77777777" w:rsidR="002F1704" w:rsidRDefault="002F1704" w:rsidP="00EC65E8">
            <w:pPr>
              <w:spacing w:line="360" w:lineRule="auto"/>
              <w:jc w:val="both"/>
              <w:rPr>
                <w:rFonts w:ascii="Arial" w:hAnsi="Arial" w:cs="Arial"/>
                <w:sz w:val="24"/>
                <w:szCs w:val="24"/>
              </w:rPr>
            </w:pPr>
          </w:p>
          <w:p w14:paraId="476EAE6E" w14:textId="77777777" w:rsidR="002F1704" w:rsidRDefault="002F1704" w:rsidP="00EC65E8">
            <w:pPr>
              <w:spacing w:line="360" w:lineRule="auto"/>
              <w:jc w:val="both"/>
              <w:rPr>
                <w:rFonts w:ascii="Arial" w:hAnsi="Arial" w:cs="Arial"/>
                <w:sz w:val="24"/>
                <w:szCs w:val="24"/>
              </w:rPr>
            </w:pPr>
          </w:p>
          <w:p w14:paraId="7C268DF8" w14:textId="77777777" w:rsidR="002F1704" w:rsidRDefault="002F1704" w:rsidP="00EC65E8">
            <w:pPr>
              <w:spacing w:line="360" w:lineRule="auto"/>
              <w:jc w:val="both"/>
              <w:rPr>
                <w:rFonts w:ascii="Arial" w:hAnsi="Arial" w:cs="Arial"/>
                <w:sz w:val="24"/>
                <w:szCs w:val="24"/>
              </w:rPr>
            </w:pPr>
            <w:r>
              <w:rPr>
                <w:rFonts w:ascii="Arial" w:hAnsi="Arial" w:cs="Arial"/>
                <w:sz w:val="24"/>
                <w:szCs w:val="24"/>
              </w:rPr>
              <w:t>..................................................................</w:t>
            </w:r>
          </w:p>
        </w:tc>
      </w:tr>
      <w:tr w:rsidR="002F1704" w14:paraId="4021A0A2" w14:textId="77777777" w:rsidTr="00EC65E8">
        <w:tc>
          <w:tcPr>
            <w:tcW w:w="4669" w:type="dxa"/>
          </w:tcPr>
          <w:p w14:paraId="123BA8BD" w14:textId="77777777" w:rsidR="002F1704" w:rsidRPr="00635D6C" w:rsidRDefault="002F1704" w:rsidP="00EC65E8">
            <w:pPr>
              <w:spacing w:line="360" w:lineRule="auto"/>
              <w:jc w:val="both"/>
              <w:rPr>
                <w:rFonts w:ascii="Arial" w:hAnsi="Arial" w:cs="Arial"/>
                <w:sz w:val="24"/>
                <w:szCs w:val="24"/>
              </w:rPr>
            </w:pPr>
            <w:r w:rsidRPr="00635D6C">
              <w:rPr>
                <w:rFonts w:ascii="Arial" w:hAnsi="Arial" w:cs="Arial"/>
                <w:sz w:val="24"/>
                <w:szCs w:val="24"/>
              </w:rPr>
              <w:t xml:space="preserve">Art. 99. Os convênios celebrados pelo Estado, na forma prevista na lei complementar de que trata o art. 155, § 2º, XII, “g”, da Constituição Federal, somente produzirão efeitos após homologados pela Assembléia Legislativa. </w:t>
            </w:r>
          </w:p>
          <w:p w14:paraId="15C5146F" w14:textId="77777777" w:rsidR="002F1704" w:rsidRDefault="002F1704" w:rsidP="00EC65E8">
            <w:pPr>
              <w:spacing w:line="360" w:lineRule="auto"/>
              <w:jc w:val="both"/>
              <w:rPr>
                <w:rFonts w:ascii="Arial" w:hAnsi="Arial" w:cs="Arial"/>
                <w:sz w:val="24"/>
                <w:szCs w:val="24"/>
              </w:rPr>
            </w:pPr>
          </w:p>
        </w:tc>
        <w:tc>
          <w:tcPr>
            <w:tcW w:w="4669" w:type="dxa"/>
          </w:tcPr>
          <w:p w14:paraId="44AD9B86" w14:textId="77777777" w:rsidR="002F1704" w:rsidRDefault="002F1704" w:rsidP="00EC65E8">
            <w:pPr>
              <w:spacing w:line="360" w:lineRule="auto"/>
              <w:jc w:val="center"/>
              <w:rPr>
                <w:rFonts w:ascii="Arial" w:hAnsi="Arial" w:cs="Arial"/>
                <w:b/>
                <w:sz w:val="24"/>
                <w:szCs w:val="24"/>
                <w:u w:val="single"/>
              </w:rPr>
            </w:pPr>
          </w:p>
          <w:p w14:paraId="53343C2B" w14:textId="77777777" w:rsidR="002F1704" w:rsidRDefault="002F1704" w:rsidP="00EC65E8">
            <w:pPr>
              <w:spacing w:line="360" w:lineRule="auto"/>
              <w:jc w:val="center"/>
              <w:rPr>
                <w:rFonts w:ascii="Arial" w:hAnsi="Arial" w:cs="Arial"/>
                <w:b/>
                <w:sz w:val="24"/>
                <w:szCs w:val="24"/>
                <w:u w:val="single"/>
              </w:rPr>
            </w:pPr>
          </w:p>
          <w:p w14:paraId="15F52B52" w14:textId="77777777" w:rsidR="002F1704" w:rsidRDefault="002F1704" w:rsidP="00EC65E8">
            <w:pPr>
              <w:spacing w:line="360" w:lineRule="auto"/>
              <w:jc w:val="center"/>
              <w:rPr>
                <w:rFonts w:ascii="Arial" w:hAnsi="Arial" w:cs="Arial"/>
                <w:b/>
                <w:sz w:val="24"/>
                <w:szCs w:val="24"/>
                <w:u w:val="single"/>
              </w:rPr>
            </w:pPr>
          </w:p>
          <w:p w14:paraId="798B9944" w14:textId="77777777" w:rsidR="002F1704" w:rsidRDefault="002F1704" w:rsidP="00EC65E8">
            <w:pPr>
              <w:spacing w:line="360" w:lineRule="auto"/>
              <w:jc w:val="center"/>
              <w:rPr>
                <w:rFonts w:ascii="Arial" w:hAnsi="Arial" w:cs="Arial"/>
                <w:b/>
                <w:sz w:val="24"/>
                <w:szCs w:val="24"/>
              </w:rPr>
            </w:pPr>
            <w:r w:rsidRPr="00635D6C">
              <w:rPr>
                <w:rFonts w:ascii="Arial" w:hAnsi="Arial" w:cs="Arial"/>
                <w:b/>
                <w:sz w:val="24"/>
                <w:szCs w:val="24"/>
                <w:u w:val="single"/>
              </w:rPr>
              <w:t>REVOGADO</w:t>
            </w:r>
          </w:p>
          <w:p w14:paraId="7B83B38B" w14:textId="77777777" w:rsidR="002F1704" w:rsidRDefault="002F1704" w:rsidP="00EC65E8">
            <w:pPr>
              <w:spacing w:line="360" w:lineRule="auto"/>
              <w:jc w:val="center"/>
              <w:rPr>
                <w:rFonts w:ascii="Arial" w:hAnsi="Arial" w:cs="Arial"/>
                <w:b/>
                <w:sz w:val="24"/>
                <w:szCs w:val="24"/>
              </w:rPr>
            </w:pPr>
          </w:p>
          <w:p w14:paraId="068BE6CB" w14:textId="77777777" w:rsidR="002F1704" w:rsidRPr="00635D6C" w:rsidRDefault="002F1704" w:rsidP="00EC65E8">
            <w:pPr>
              <w:spacing w:line="360" w:lineRule="auto"/>
              <w:jc w:val="both"/>
              <w:rPr>
                <w:rFonts w:ascii="Arial" w:hAnsi="Arial" w:cs="Arial"/>
                <w:sz w:val="24"/>
                <w:szCs w:val="24"/>
              </w:rPr>
            </w:pPr>
          </w:p>
        </w:tc>
      </w:tr>
      <w:tr w:rsidR="002F1704" w14:paraId="2E1083A6" w14:textId="77777777" w:rsidTr="00EC65E8">
        <w:tc>
          <w:tcPr>
            <w:tcW w:w="4669" w:type="dxa"/>
          </w:tcPr>
          <w:p w14:paraId="651C4B1B" w14:textId="77777777" w:rsidR="002F1704" w:rsidRDefault="002F1704" w:rsidP="00EC65E8">
            <w:pPr>
              <w:spacing w:line="360" w:lineRule="auto"/>
              <w:jc w:val="both"/>
              <w:rPr>
                <w:rFonts w:ascii="Arial" w:hAnsi="Arial" w:cs="Arial"/>
                <w:sz w:val="24"/>
                <w:szCs w:val="24"/>
              </w:rPr>
            </w:pPr>
            <w:r w:rsidRPr="00635D6C">
              <w:rPr>
                <w:rFonts w:ascii="Arial" w:hAnsi="Arial" w:cs="Arial"/>
                <w:sz w:val="24"/>
                <w:szCs w:val="24"/>
              </w:rPr>
              <w:t xml:space="preserve">Parágrafo único. Considera-se homologado o convênio se a Assembléia Legislativa não o rejeitar expressamente </w:t>
            </w:r>
            <w:r w:rsidRPr="00635D6C">
              <w:rPr>
                <w:rFonts w:ascii="Arial" w:hAnsi="Arial" w:cs="Arial"/>
                <w:sz w:val="24"/>
                <w:szCs w:val="24"/>
              </w:rPr>
              <w:lastRenderedPageBreak/>
              <w:t>no prazo previsto na legislação complementar para sua ratificação.</w:t>
            </w:r>
          </w:p>
        </w:tc>
        <w:tc>
          <w:tcPr>
            <w:tcW w:w="4669" w:type="dxa"/>
          </w:tcPr>
          <w:p w14:paraId="097A2600" w14:textId="77777777" w:rsidR="002F1704" w:rsidRPr="00635D6C" w:rsidRDefault="002F1704" w:rsidP="00EC65E8">
            <w:pPr>
              <w:spacing w:line="360" w:lineRule="auto"/>
              <w:jc w:val="center"/>
              <w:rPr>
                <w:rFonts w:ascii="Arial" w:hAnsi="Arial" w:cs="Arial"/>
                <w:sz w:val="24"/>
                <w:szCs w:val="24"/>
              </w:rPr>
            </w:pPr>
            <w:r>
              <w:rPr>
                <w:rFonts w:ascii="Arial" w:hAnsi="Arial" w:cs="Arial"/>
                <w:b/>
                <w:sz w:val="24"/>
                <w:szCs w:val="24"/>
                <w:u w:val="single"/>
              </w:rPr>
              <w:lastRenderedPageBreak/>
              <w:t>DISPOSITIVO DECLARADO</w:t>
            </w:r>
            <w:r w:rsidRPr="00635D6C">
              <w:rPr>
                <w:rFonts w:ascii="Arial" w:hAnsi="Arial" w:cs="Arial"/>
                <w:b/>
                <w:sz w:val="24"/>
                <w:szCs w:val="24"/>
                <w:u w:val="single"/>
              </w:rPr>
              <w:t xml:space="preserve"> INCONSTITUCIONAL</w:t>
            </w:r>
            <w:r>
              <w:rPr>
                <w:rFonts w:ascii="Arial" w:hAnsi="Arial" w:cs="Arial"/>
                <w:b/>
                <w:sz w:val="24"/>
                <w:szCs w:val="24"/>
                <w:u w:val="single"/>
              </w:rPr>
              <w:t xml:space="preserve"> </w:t>
            </w:r>
            <w:r w:rsidRPr="00635D6C">
              <w:rPr>
                <w:rFonts w:ascii="Arial" w:hAnsi="Arial" w:cs="Arial"/>
                <w:b/>
                <w:sz w:val="24"/>
                <w:szCs w:val="24"/>
                <w:u w:val="single"/>
              </w:rPr>
              <w:t>NOS AUTOS DA ADI Nº 8000014-09.2017.8.24.0000</w:t>
            </w:r>
            <w:r w:rsidRPr="00635D6C">
              <w:rPr>
                <w:rFonts w:ascii="Arial" w:hAnsi="Arial" w:cs="Arial"/>
                <w:sz w:val="24"/>
                <w:szCs w:val="24"/>
              </w:rPr>
              <w:t xml:space="preserve">, da </w:t>
            </w:r>
            <w:r w:rsidRPr="00635D6C">
              <w:rPr>
                <w:rFonts w:ascii="Arial" w:hAnsi="Arial" w:cs="Arial"/>
                <w:sz w:val="24"/>
                <w:szCs w:val="24"/>
              </w:rPr>
              <w:lastRenderedPageBreak/>
              <w:t>Capital, rel. Des. Cid Goulart, Órgão Especial, j. 20-11-2017</w:t>
            </w:r>
            <w:r>
              <w:rPr>
                <w:rFonts w:ascii="Arial" w:hAnsi="Arial" w:cs="Arial"/>
                <w:sz w:val="24"/>
                <w:szCs w:val="24"/>
              </w:rPr>
              <w:t xml:space="preserve"> – TJSC</w:t>
            </w:r>
            <w:r w:rsidRPr="00635D6C">
              <w:rPr>
                <w:rFonts w:ascii="Arial" w:hAnsi="Arial" w:cs="Arial"/>
                <w:sz w:val="24"/>
                <w:szCs w:val="24"/>
              </w:rPr>
              <w:t>.</w:t>
            </w:r>
          </w:p>
        </w:tc>
      </w:tr>
      <w:tr w:rsidR="002F1704" w14:paraId="7DA35F3F" w14:textId="77777777" w:rsidTr="00EC65E8">
        <w:tc>
          <w:tcPr>
            <w:tcW w:w="4669" w:type="dxa"/>
          </w:tcPr>
          <w:p w14:paraId="4A97533E" w14:textId="77777777" w:rsidR="002F1704" w:rsidRDefault="002F1704" w:rsidP="00EC65E8">
            <w:pPr>
              <w:spacing w:line="360" w:lineRule="auto"/>
              <w:jc w:val="both"/>
              <w:rPr>
                <w:rFonts w:ascii="Arial" w:hAnsi="Arial" w:cs="Arial"/>
                <w:sz w:val="24"/>
                <w:szCs w:val="24"/>
              </w:rPr>
            </w:pPr>
          </w:p>
          <w:p w14:paraId="2A61467E" w14:textId="77777777" w:rsidR="002F1704" w:rsidRDefault="002F1704" w:rsidP="00EC65E8">
            <w:pPr>
              <w:spacing w:line="360" w:lineRule="auto"/>
              <w:jc w:val="both"/>
              <w:rPr>
                <w:rFonts w:ascii="Arial" w:hAnsi="Arial" w:cs="Arial"/>
                <w:sz w:val="24"/>
                <w:szCs w:val="24"/>
              </w:rPr>
            </w:pPr>
          </w:p>
          <w:p w14:paraId="70DA28DC" w14:textId="77777777" w:rsidR="002F1704" w:rsidRDefault="002F1704" w:rsidP="00EC65E8">
            <w:pPr>
              <w:spacing w:line="360" w:lineRule="auto"/>
              <w:jc w:val="both"/>
              <w:rPr>
                <w:rFonts w:ascii="Arial" w:hAnsi="Arial" w:cs="Arial"/>
                <w:sz w:val="24"/>
                <w:szCs w:val="24"/>
              </w:rPr>
            </w:pPr>
          </w:p>
          <w:p w14:paraId="7C5E7EFF" w14:textId="77777777" w:rsidR="002F1704" w:rsidRDefault="002F1704" w:rsidP="00EC65E8">
            <w:pPr>
              <w:spacing w:line="360" w:lineRule="auto"/>
              <w:jc w:val="both"/>
              <w:rPr>
                <w:rFonts w:ascii="Arial" w:hAnsi="Arial" w:cs="Arial"/>
                <w:sz w:val="24"/>
                <w:szCs w:val="24"/>
              </w:rPr>
            </w:pPr>
          </w:p>
          <w:p w14:paraId="503AFF3C" w14:textId="77777777" w:rsidR="002F1704" w:rsidRDefault="002F1704" w:rsidP="00EC65E8">
            <w:pPr>
              <w:spacing w:line="360" w:lineRule="auto"/>
              <w:jc w:val="both"/>
              <w:rPr>
                <w:rFonts w:ascii="Arial" w:hAnsi="Arial" w:cs="Arial"/>
                <w:sz w:val="24"/>
                <w:szCs w:val="24"/>
              </w:rPr>
            </w:pPr>
            <w:r>
              <w:rPr>
                <w:rFonts w:ascii="Arial" w:hAnsi="Arial" w:cs="Arial"/>
                <w:sz w:val="24"/>
                <w:szCs w:val="24"/>
              </w:rPr>
              <w:t>..................................................................</w:t>
            </w:r>
          </w:p>
          <w:p w14:paraId="025E91B8" w14:textId="77777777" w:rsidR="002F1704" w:rsidRDefault="002F1704" w:rsidP="00EC65E8">
            <w:pPr>
              <w:spacing w:line="360" w:lineRule="auto"/>
              <w:jc w:val="both"/>
              <w:rPr>
                <w:rFonts w:ascii="Arial" w:hAnsi="Arial" w:cs="Arial"/>
                <w:sz w:val="24"/>
                <w:szCs w:val="24"/>
              </w:rPr>
            </w:pPr>
          </w:p>
          <w:p w14:paraId="0108E90F" w14:textId="77777777" w:rsidR="002F1704" w:rsidRDefault="002F1704" w:rsidP="00EC65E8">
            <w:pPr>
              <w:spacing w:line="360" w:lineRule="auto"/>
              <w:jc w:val="both"/>
              <w:rPr>
                <w:rFonts w:ascii="Arial" w:hAnsi="Arial" w:cs="Arial"/>
                <w:sz w:val="24"/>
                <w:szCs w:val="24"/>
              </w:rPr>
            </w:pPr>
          </w:p>
          <w:p w14:paraId="4DE1942E" w14:textId="77777777" w:rsidR="002F1704" w:rsidRDefault="002F1704" w:rsidP="00EC65E8">
            <w:pPr>
              <w:spacing w:line="360" w:lineRule="auto"/>
              <w:jc w:val="both"/>
              <w:rPr>
                <w:rFonts w:ascii="Arial" w:hAnsi="Arial" w:cs="Arial"/>
                <w:sz w:val="24"/>
                <w:szCs w:val="24"/>
              </w:rPr>
            </w:pPr>
          </w:p>
        </w:tc>
        <w:tc>
          <w:tcPr>
            <w:tcW w:w="4669" w:type="dxa"/>
          </w:tcPr>
          <w:p w14:paraId="61FE8E3B" w14:textId="77777777" w:rsidR="002F1704" w:rsidRPr="00F8377A" w:rsidRDefault="002F1704" w:rsidP="00EC65E8">
            <w:pPr>
              <w:spacing w:line="360" w:lineRule="auto"/>
              <w:jc w:val="both"/>
              <w:rPr>
                <w:rFonts w:ascii="Arial" w:hAnsi="Arial" w:cs="Arial"/>
                <w:b/>
                <w:sz w:val="24"/>
                <w:szCs w:val="24"/>
              </w:rPr>
            </w:pPr>
            <w:r w:rsidRPr="00F8377A">
              <w:rPr>
                <w:rFonts w:ascii="Arial" w:hAnsi="Arial" w:cs="Arial"/>
                <w:b/>
                <w:sz w:val="24"/>
                <w:szCs w:val="24"/>
              </w:rPr>
              <w:t>Art. 99-A. Os benefícios fiscais autorizados mediante convênios celebrados pelo Estado na forma prevista na lei complementar de que trata a alínea “g” do inciso XII do § 2º do art. 155 da Constituição da República somente passarão a produzir efeitos depois de internalizados por lei na legislação tributária estadual.</w:t>
            </w:r>
          </w:p>
        </w:tc>
      </w:tr>
      <w:tr w:rsidR="002F1704" w14:paraId="4223052B" w14:textId="77777777" w:rsidTr="00EC65E8">
        <w:tc>
          <w:tcPr>
            <w:tcW w:w="4669" w:type="dxa"/>
          </w:tcPr>
          <w:p w14:paraId="7F89F0B7" w14:textId="77777777" w:rsidR="002F1704" w:rsidRDefault="002F1704" w:rsidP="00EC65E8">
            <w:pPr>
              <w:spacing w:line="360" w:lineRule="auto"/>
              <w:jc w:val="both"/>
              <w:rPr>
                <w:rFonts w:ascii="Arial" w:hAnsi="Arial" w:cs="Arial"/>
                <w:sz w:val="24"/>
                <w:szCs w:val="24"/>
              </w:rPr>
            </w:pPr>
          </w:p>
          <w:p w14:paraId="69E48DFF" w14:textId="77777777" w:rsidR="002F1704" w:rsidRDefault="002F1704" w:rsidP="00EC65E8">
            <w:pPr>
              <w:spacing w:line="360" w:lineRule="auto"/>
              <w:jc w:val="both"/>
              <w:rPr>
                <w:rFonts w:ascii="Arial" w:hAnsi="Arial" w:cs="Arial"/>
                <w:sz w:val="24"/>
                <w:szCs w:val="24"/>
              </w:rPr>
            </w:pPr>
            <w:r>
              <w:rPr>
                <w:rFonts w:ascii="Arial" w:hAnsi="Arial" w:cs="Arial"/>
                <w:sz w:val="24"/>
                <w:szCs w:val="24"/>
              </w:rPr>
              <w:t>..................................................................</w:t>
            </w:r>
          </w:p>
          <w:p w14:paraId="002850AC" w14:textId="77777777" w:rsidR="002F1704" w:rsidRPr="009658C5" w:rsidRDefault="002F1704" w:rsidP="00EC65E8">
            <w:pPr>
              <w:spacing w:line="360" w:lineRule="auto"/>
              <w:jc w:val="both"/>
              <w:rPr>
                <w:rFonts w:ascii="Arial" w:hAnsi="Arial" w:cs="Arial"/>
                <w:sz w:val="24"/>
                <w:szCs w:val="24"/>
              </w:rPr>
            </w:pPr>
          </w:p>
        </w:tc>
        <w:tc>
          <w:tcPr>
            <w:tcW w:w="4669" w:type="dxa"/>
          </w:tcPr>
          <w:p w14:paraId="2BDCE9D5" w14:textId="011BE3E4" w:rsidR="00726FC5" w:rsidRDefault="00726FC5" w:rsidP="00EC65E8">
            <w:pPr>
              <w:spacing w:line="360" w:lineRule="auto"/>
              <w:jc w:val="both"/>
              <w:rPr>
                <w:rFonts w:ascii="Arial" w:hAnsi="Arial" w:cs="Arial"/>
                <w:b/>
                <w:sz w:val="24"/>
                <w:szCs w:val="24"/>
              </w:rPr>
            </w:pPr>
            <w:r w:rsidRPr="00331530">
              <w:rPr>
                <w:rFonts w:ascii="Arial" w:hAnsi="Arial" w:cs="Arial"/>
                <w:b/>
                <w:sz w:val="24"/>
                <w:szCs w:val="24"/>
              </w:rPr>
              <w:t>..................................................................</w:t>
            </w:r>
          </w:p>
          <w:p w14:paraId="25AB9294" w14:textId="6EB4DF06" w:rsidR="002F1704" w:rsidRPr="00F8377A" w:rsidRDefault="002F1704" w:rsidP="00EC65E8">
            <w:pPr>
              <w:spacing w:line="360" w:lineRule="auto"/>
              <w:jc w:val="both"/>
              <w:rPr>
                <w:rFonts w:ascii="Arial" w:hAnsi="Arial" w:cs="Arial"/>
                <w:b/>
                <w:sz w:val="24"/>
                <w:szCs w:val="24"/>
              </w:rPr>
            </w:pPr>
            <w:r w:rsidRPr="00F8377A">
              <w:rPr>
                <w:rFonts w:ascii="Arial" w:hAnsi="Arial" w:cs="Arial"/>
                <w:b/>
                <w:sz w:val="24"/>
                <w:szCs w:val="24"/>
              </w:rPr>
              <w:t>§ 3º O Anexo II desta Lei relacionará os benefícios fiscais de que trata o caput deste artigo. (NR) (Redação art. 99-A, incluída pela Lei 17.737, de 2019).</w:t>
            </w:r>
          </w:p>
        </w:tc>
      </w:tr>
    </w:tbl>
    <w:p w14:paraId="548A1CD5" w14:textId="77777777" w:rsidR="002F1704" w:rsidRDefault="002F1704" w:rsidP="002F1704">
      <w:pPr>
        <w:spacing w:line="360" w:lineRule="auto"/>
        <w:ind w:firstLine="851"/>
        <w:jc w:val="both"/>
        <w:rPr>
          <w:rFonts w:ascii="Arial" w:hAnsi="Arial" w:cs="Arial"/>
          <w:sz w:val="24"/>
          <w:szCs w:val="24"/>
        </w:rPr>
      </w:pPr>
    </w:p>
    <w:p w14:paraId="51810BE4" w14:textId="77777777" w:rsidR="002F1704" w:rsidRDefault="002F1704" w:rsidP="002F1704">
      <w:pPr>
        <w:spacing w:line="360" w:lineRule="auto"/>
        <w:ind w:firstLine="851"/>
        <w:jc w:val="both"/>
        <w:rPr>
          <w:rFonts w:ascii="Arial" w:hAnsi="Arial" w:cs="Arial"/>
          <w:sz w:val="24"/>
          <w:szCs w:val="24"/>
        </w:rPr>
      </w:pPr>
      <w:r>
        <w:rPr>
          <w:rFonts w:ascii="Arial" w:hAnsi="Arial" w:cs="Arial"/>
          <w:sz w:val="24"/>
          <w:szCs w:val="24"/>
        </w:rPr>
        <w:t xml:space="preserve">Interessante observar, ainda, que </w:t>
      </w:r>
      <w:r w:rsidRPr="00EC65E8">
        <w:rPr>
          <w:rFonts w:ascii="Arial" w:hAnsi="Arial" w:cs="Arial"/>
          <w:b/>
          <w:sz w:val="24"/>
          <w:szCs w:val="24"/>
        </w:rPr>
        <w:t>os incentivos fiscais relacionados ao ICMS no Estado de Santa Catarina passaram a constar na forma do Anexo II da própria Lei estadual nº 10.297/2001</w:t>
      </w:r>
      <w:r>
        <w:rPr>
          <w:rFonts w:ascii="Arial" w:hAnsi="Arial" w:cs="Arial"/>
          <w:sz w:val="24"/>
          <w:szCs w:val="24"/>
        </w:rPr>
        <w:t>, que possui o seguinte teor, por força do § 3º do seu art. 99-A daquela Lei:</w:t>
      </w:r>
    </w:p>
    <w:p w14:paraId="5EB214F9" w14:textId="77777777" w:rsidR="002F1704" w:rsidRDefault="002F1704" w:rsidP="002F1704">
      <w:pPr>
        <w:spacing w:line="360" w:lineRule="auto"/>
        <w:ind w:firstLine="851"/>
        <w:jc w:val="both"/>
        <w:rPr>
          <w:rFonts w:ascii="Arial" w:hAnsi="Arial" w:cs="Arial"/>
          <w:sz w:val="24"/>
          <w:szCs w:val="24"/>
        </w:rPr>
      </w:pPr>
    </w:p>
    <w:p w14:paraId="70DB8AEA"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r>
        <w:rPr>
          <w:rFonts w:ascii="Arial" w:hAnsi="Arial" w:cs="Arial"/>
          <w:caps/>
          <w:color w:val="000000"/>
          <w:sz w:val="22"/>
          <w:szCs w:val="22"/>
        </w:rPr>
        <w:t>ANEXO II</w:t>
      </w:r>
    </w:p>
    <w:p w14:paraId="316D39E1"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r>
        <w:rPr>
          <w:rFonts w:ascii="Arial" w:hAnsi="Arial" w:cs="Arial"/>
          <w:caps/>
          <w:color w:val="000000"/>
          <w:sz w:val="22"/>
          <w:szCs w:val="22"/>
        </w:rPr>
        <w:t>BENEFÍCIOS FISCAIS AUTORIZADOS POR CONVÊNIO CELEBRADO NOS TERMOS DA ALÍNEA ‘G’ DO INCISO XII DO § 2º DO ART. 155 DA CONSTITUIÇÃO DA REPÚBLICA</w:t>
      </w:r>
    </w:p>
    <w:p w14:paraId="465244C7"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p>
    <w:p w14:paraId="5D25708A"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r>
        <w:rPr>
          <w:rFonts w:ascii="Arial" w:hAnsi="Arial" w:cs="Arial"/>
          <w:caps/>
          <w:color w:val="000000"/>
          <w:sz w:val="22"/>
          <w:szCs w:val="22"/>
        </w:rPr>
        <w:t>CAPÍTULO I</w:t>
      </w:r>
    </w:p>
    <w:p w14:paraId="005B4DB5"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r>
        <w:rPr>
          <w:rFonts w:ascii="Arial" w:hAnsi="Arial" w:cs="Arial"/>
          <w:caps/>
          <w:color w:val="000000"/>
          <w:sz w:val="22"/>
          <w:szCs w:val="22"/>
        </w:rPr>
        <w:t>DAS ISENÇÕES</w:t>
      </w:r>
    </w:p>
    <w:p w14:paraId="49C0B7A0"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p>
    <w:p w14:paraId="015148AD"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r>
        <w:rPr>
          <w:rFonts w:ascii="Arial" w:hAnsi="Arial" w:cs="Arial"/>
          <w:caps/>
          <w:color w:val="000000"/>
          <w:sz w:val="22"/>
          <w:szCs w:val="22"/>
        </w:rPr>
        <w:t>SEÇÃO ÚNICA</w:t>
      </w:r>
    </w:p>
    <w:p w14:paraId="265DC4A7"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r>
        <w:rPr>
          <w:rFonts w:ascii="Arial" w:hAnsi="Arial" w:cs="Arial"/>
          <w:caps/>
          <w:color w:val="000000"/>
          <w:sz w:val="22"/>
          <w:szCs w:val="22"/>
        </w:rPr>
        <w:t>DAS OPERAÇÕES COM MERCADORIAS</w:t>
      </w:r>
    </w:p>
    <w:p w14:paraId="764E1029"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p>
    <w:p w14:paraId="2BCEE3E7"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 xml:space="preserve">Art. 1º Ficam isentas do Imposto sobre Operações Relativas à Circulação de Mercadorias e sobre Prestações de Serviços de Transporte Interestadual e Intermunicipal e de Comunicação (ICMS) as operações internas e interestaduais com o medicamento Spinraza (Nusinersena) </w:t>
      </w:r>
      <w:r>
        <w:rPr>
          <w:rFonts w:ascii="Arial" w:hAnsi="Arial" w:cs="Arial"/>
          <w:color w:val="000000"/>
          <w:sz w:val="22"/>
          <w:szCs w:val="22"/>
        </w:rPr>
        <w:lastRenderedPageBreak/>
        <w:t>Injection 12mg/5ml, destinado ao tratamento da Atrofia Muscular Espinal (AME) e classificado na Nomenclatura Comum do Mercosul (NCM) sob o código 3004.90.79, dispensando-se o estorno do crédito previsto no art. 30 desta Lei, previsto no Convênio ICMS 96/18, de 28 de setembro de 2018, do Conselho Nacional de Política Fazendária (CONFAZ), enquanto vigorar o referido convênio.</w:t>
      </w:r>
    </w:p>
    <w:p w14:paraId="3B09DF79"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 1º O benefício de que trata o caput deste artigo fica condicionado à autorização concedida pela Agência Nacional de Vigilância Sanitária (ANVISA) para a importação do medicamento.</w:t>
      </w:r>
    </w:p>
    <w:p w14:paraId="04CEF489"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 2º O valor correspondente à isenção do ICMS deverá ser deduzido do preço do respectivo produto, devendo o contribuinte demonstrar expressamente a dedução no documento fiscal.</w:t>
      </w:r>
    </w:p>
    <w:p w14:paraId="1287DB81"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(O disposto no art. 1º do Anexo II, desta Lei, passa a contar de 1º de janeiro de 2019, </w:t>
      </w:r>
      <w:r w:rsidRPr="000D4B70">
        <w:rPr>
          <w:rFonts w:ascii="Arial" w:hAnsi="Arial" w:cs="Arial"/>
          <w:color w:val="000000"/>
          <w:sz w:val="22"/>
          <w:szCs w:val="22"/>
        </w:rPr>
        <w:t>conforme Lei 17.737, de 2019</w:t>
      </w:r>
      <w:r>
        <w:rPr>
          <w:rFonts w:ascii="Arial" w:hAnsi="Arial" w:cs="Arial"/>
          <w:color w:val="000000"/>
          <w:sz w:val="22"/>
          <w:szCs w:val="22"/>
        </w:rPr>
        <w:t>).</w:t>
      </w:r>
    </w:p>
    <w:p w14:paraId="00FC8C07"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p>
    <w:p w14:paraId="7394A9CD"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r>
        <w:rPr>
          <w:rFonts w:ascii="Arial" w:hAnsi="Arial" w:cs="Arial"/>
          <w:caps/>
          <w:color w:val="000000"/>
          <w:sz w:val="22"/>
          <w:szCs w:val="22"/>
        </w:rPr>
        <w:t>CAPÍTULO II</w:t>
      </w:r>
    </w:p>
    <w:p w14:paraId="294325B2"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r>
        <w:rPr>
          <w:rFonts w:ascii="Arial" w:hAnsi="Arial" w:cs="Arial"/>
          <w:caps/>
          <w:color w:val="000000"/>
          <w:sz w:val="22"/>
          <w:szCs w:val="22"/>
        </w:rPr>
        <w:t>DAS REDUÇÕES DA BASE DE CÁLCULO</w:t>
      </w:r>
    </w:p>
    <w:p w14:paraId="1009E539"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r>
        <w:rPr>
          <w:rFonts w:ascii="Arial" w:hAnsi="Arial" w:cs="Arial"/>
          <w:caps/>
          <w:color w:val="000000"/>
          <w:sz w:val="22"/>
          <w:szCs w:val="22"/>
        </w:rPr>
        <w:t> </w:t>
      </w:r>
    </w:p>
    <w:p w14:paraId="66AB8117"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r>
        <w:rPr>
          <w:rFonts w:ascii="Arial" w:hAnsi="Arial" w:cs="Arial"/>
          <w:caps/>
          <w:color w:val="000000"/>
          <w:sz w:val="22"/>
          <w:szCs w:val="22"/>
        </w:rPr>
        <w:t>SEÇÃO ÚNICA</w:t>
      </w:r>
    </w:p>
    <w:p w14:paraId="5C8430D6"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r>
        <w:rPr>
          <w:rFonts w:ascii="Arial" w:hAnsi="Arial" w:cs="Arial"/>
          <w:caps/>
          <w:color w:val="000000"/>
          <w:sz w:val="22"/>
          <w:szCs w:val="22"/>
        </w:rPr>
        <w:t>DAS OPERAÇÕES COM MERCADORIAS</w:t>
      </w:r>
    </w:p>
    <w:p w14:paraId="565267A5" w14:textId="77777777" w:rsidR="002F1704" w:rsidRDefault="002F1704" w:rsidP="00DC688C">
      <w:pPr>
        <w:pStyle w:val="NormalWeb"/>
        <w:spacing w:before="0" w:beforeAutospacing="0" w:after="0" w:afterAutospacing="0"/>
        <w:ind w:left="2268"/>
        <w:jc w:val="center"/>
        <w:rPr>
          <w:rFonts w:ascii="Arial" w:hAnsi="Arial" w:cs="Arial"/>
          <w:caps/>
          <w:color w:val="000000"/>
          <w:sz w:val="22"/>
          <w:szCs w:val="22"/>
        </w:rPr>
      </w:pPr>
    </w:p>
    <w:p w14:paraId="325EFFFB"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Art. 2º Fica reduzida a base de cálculo do ICMS em 41,667% (quarenta e um inteiros e seiscentos e sessenta e sete milésimos por cento) nas operações internas dos produtos da cesta básica, previsto no Convênio ICMS 128/94, de 20 de outubro de 1994, do Conselho Nacional de Política Fazendária (CONFAZ) até 31 de dezembro de 2020, para os seguintes itens:</w:t>
      </w:r>
    </w:p>
    <w:p w14:paraId="018F0E43"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strike/>
          <w:color w:val="000000"/>
          <w:sz w:val="22"/>
          <w:szCs w:val="22"/>
        </w:rPr>
        <w:t>I – farinha de trigo, de milho, de mandioca e de arroz</w:t>
      </w:r>
      <w:r>
        <w:rPr>
          <w:rFonts w:ascii="Arial" w:hAnsi="Arial" w:cs="Arial"/>
          <w:color w:val="000000"/>
          <w:sz w:val="22"/>
          <w:szCs w:val="22"/>
        </w:rPr>
        <w:t>;</w:t>
      </w:r>
    </w:p>
    <w:p w14:paraId="6822DE27"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I – farinha de trigo, de milho e de mandioca;(</w:t>
      </w:r>
      <w:r w:rsidRPr="000D4B70">
        <w:rPr>
          <w:rFonts w:ascii="Arial" w:hAnsi="Arial" w:cs="Arial"/>
          <w:color w:val="000000"/>
          <w:sz w:val="22"/>
          <w:szCs w:val="22"/>
        </w:rPr>
        <w:t>Redação dada pela Lei 17.820, de 2019</w:t>
      </w:r>
      <w:r>
        <w:rPr>
          <w:rFonts w:ascii="Arial" w:hAnsi="Arial" w:cs="Arial"/>
          <w:color w:val="000000"/>
          <w:sz w:val="22"/>
          <w:szCs w:val="22"/>
        </w:rPr>
        <w:t>).</w:t>
      </w:r>
    </w:p>
    <w:p w14:paraId="1CB178C1"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II – massas alimentícias na forma seca, não cozidas, nem recheadas nem preparadas de outro modo, exceto as do tipo grano duro;</w:t>
      </w:r>
    </w:p>
    <w:p w14:paraId="5F724958"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III – pão francês, de trigo ou de sal obtido pela cocção de massa preparada com farinha de trigo, fermento biológico, água e sal e que não contenha ingrediente que venha a modificar o seu tipo, a sua característica ou a sua classificação;</w:t>
      </w:r>
    </w:p>
    <w:p w14:paraId="3E74AEE1"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strike/>
          <w:color w:val="000000"/>
          <w:sz w:val="22"/>
          <w:szCs w:val="22"/>
        </w:rPr>
        <w:t>IV – arroz polido, parboilizado polido, parboilizado integral e integral, exceto se adicionado a outros ingredientes ou temperos</w:t>
      </w:r>
      <w:r>
        <w:rPr>
          <w:rFonts w:ascii="Arial" w:hAnsi="Arial" w:cs="Arial"/>
          <w:color w:val="000000"/>
          <w:sz w:val="22"/>
          <w:szCs w:val="22"/>
        </w:rPr>
        <w:t>; (</w:t>
      </w:r>
      <w:r w:rsidRPr="000D4B70">
        <w:rPr>
          <w:rFonts w:ascii="Arial" w:hAnsi="Arial" w:cs="Arial"/>
          <w:color w:val="000000"/>
          <w:sz w:val="22"/>
          <w:szCs w:val="22"/>
        </w:rPr>
        <w:t>Redação revogada pela Lei 17.820, de 2019</w:t>
      </w:r>
      <w:r>
        <w:rPr>
          <w:rFonts w:ascii="Arial" w:hAnsi="Arial" w:cs="Arial"/>
          <w:color w:val="000000"/>
          <w:sz w:val="22"/>
          <w:szCs w:val="22"/>
        </w:rPr>
        <w:t>)</w:t>
      </w:r>
    </w:p>
    <w:p w14:paraId="1D65B586"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V – feijão;</w:t>
      </w:r>
    </w:p>
    <w:p w14:paraId="61F1899A"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VI – leite esterilizado longa vida;</w:t>
      </w:r>
    </w:p>
    <w:p w14:paraId="0A38D46E"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VII – mel;</w:t>
      </w:r>
    </w:p>
    <w:p w14:paraId="413A40A0"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VIII – farinha de arroz;</w:t>
      </w:r>
    </w:p>
    <w:p w14:paraId="72CE0A98"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IX – arroz polido, parboilizado polido, parboilizado integral e integral, exceto se adicionado a outros ingredientes ou temperos;</w:t>
      </w:r>
    </w:p>
    <w:p w14:paraId="65796C91"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X – carnes e miudezas comestíveis frescas, resfriadas ou congeladas de aves das espécies domésticas e de suíno; e</w:t>
      </w:r>
    </w:p>
    <w:p w14:paraId="7E46E08C"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XI – erva-mate beneficiada, inclusive com adição de açúcar, espécies vegetais ou aromas. (</w:t>
      </w:r>
      <w:r w:rsidRPr="000D4B70">
        <w:rPr>
          <w:rFonts w:ascii="Arial" w:hAnsi="Arial" w:cs="Arial"/>
          <w:color w:val="000000"/>
          <w:sz w:val="22"/>
          <w:szCs w:val="22"/>
        </w:rPr>
        <w:t>Redação dos incisos VIII, IX, X, e XI, acrescida pela Lei 17.820, de 2019</w:t>
      </w:r>
      <w:r>
        <w:rPr>
          <w:rFonts w:ascii="Arial" w:hAnsi="Arial" w:cs="Arial"/>
          <w:color w:val="000000"/>
          <w:sz w:val="22"/>
          <w:szCs w:val="22"/>
        </w:rPr>
        <w:t>).</w:t>
      </w:r>
    </w:p>
    <w:p w14:paraId="00214DF4"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Parágrafo único. O benefício de que trata o inciso I do </w:t>
      </w:r>
      <w:r>
        <w:rPr>
          <w:rStyle w:val="nfase"/>
          <w:rFonts w:ascii="Arial" w:hAnsi="Arial" w:cs="Arial"/>
          <w:color w:val="000000"/>
          <w:sz w:val="22"/>
          <w:szCs w:val="22"/>
        </w:rPr>
        <w:t>caput</w:t>
      </w:r>
      <w:r>
        <w:rPr>
          <w:rFonts w:ascii="Arial" w:hAnsi="Arial" w:cs="Arial"/>
          <w:color w:val="000000"/>
          <w:sz w:val="22"/>
          <w:szCs w:val="22"/>
        </w:rPr>
        <w:t xml:space="preserve"> deste artigo, relativo à farinha de trigo, não se aplica às operações realizadas por </w:t>
      </w:r>
      <w:r>
        <w:rPr>
          <w:rFonts w:ascii="Arial" w:hAnsi="Arial" w:cs="Arial"/>
          <w:color w:val="000000"/>
          <w:sz w:val="22"/>
          <w:szCs w:val="22"/>
        </w:rPr>
        <w:lastRenderedPageBreak/>
        <w:t>estabelecimento industrial. (NR) (</w:t>
      </w:r>
      <w:r w:rsidRPr="000D4B70">
        <w:rPr>
          <w:rFonts w:ascii="Arial" w:hAnsi="Arial" w:cs="Arial"/>
          <w:color w:val="000000"/>
          <w:sz w:val="22"/>
          <w:szCs w:val="22"/>
        </w:rPr>
        <w:t>Redação do Anexo II, acrescida pela Lei 17.737, de 2019</w:t>
      </w:r>
      <w:r>
        <w:rPr>
          <w:rFonts w:ascii="Arial" w:hAnsi="Arial" w:cs="Arial"/>
          <w:color w:val="000000"/>
          <w:sz w:val="22"/>
          <w:szCs w:val="22"/>
        </w:rPr>
        <w:t>).</w:t>
      </w:r>
    </w:p>
    <w:p w14:paraId="18B83D1E"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p>
    <w:p w14:paraId="6F0D7992"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Art. 3º Com fundamento no Convênio ICMS 128/94, de 1994, do CONFAZ, fica reduzida a base de cálculo do ICMS em 58,823% (cinquenta e oito inteiros e oitocentos e vinte e três milésimos por cento) nas operações internas dos produtos da cesta básica, até 31 de dezembro de 2020, para os seguintes itens:</w:t>
      </w:r>
    </w:p>
    <w:p w14:paraId="72FDBDCB"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I – farinha de arroz;</w:t>
      </w:r>
    </w:p>
    <w:p w14:paraId="0B670C69"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II – arroz polido, parboilizado polido, parboilizado integral e integral, exceto se adicionado a outros ingredientes ou temperos; e</w:t>
      </w:r>
    </w:p>
    <w:p w14:paraId="0B53CEC5" w14:textId="77777777" w:rsidR="002F1704" w:rsidRDefault="002F1704" w:rsidP="00DC688C">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III – erva-mate beneficiada com adição de açúcar, espécies vegetais ou aromas. (NR) (</w:t>
      </w:r>
      <w:r w:rsidRPr="000D4B70">
        <w:rPr>
          <w:rFonts w:ascii="Arial" w:hAnsi="Arial" w:cs="Arial"/>
          <w:color w:val="000000"/>
          <w:sz w:val="22"/>
          <w:szCs w:val="22"/>
        </w:rPr>
        <w:t>Redação do art. 3º, acrescida pela Lei 17.820, de 2019</w:t>
      </w:r>
      <w:r>
        <w:rPr>
          <w:rFonts w:ascii="Arial" w:hAnsi="Arial" w:cs="Arial"/>
          <w:color w:val="000000"/>
          <w:sz w:val="22"/>
          <w:szCs w:val="22"/>
        </w:rPr>
        <w:t>, com vigência até 31 de outubro de 2019, art. 6º, inciso II).</w:t>
      </w:r>
    </w:p>
    <w:p w14:paraId="29301F01" w14:textId="77777777" w:rsidR="002F1704" w:rsidRDefault="002F1704" w:rsidP="002F1704">
      <w:pPr>
        <w:spacing w:line="360" w:lineRule="auto"/>
        <w:ind w:firstLine="851"/>
        <w:jc w:val="both"/>
        <w:rPr>
          <w:rFonts w:ascii="Arial" w:hAnsi="Arial" w:cs="Arial"/>
          <w:sz w:val="24"/>
          <w:szCs w:val="24"/>
        </w:rPr>
      </w:pPr>
    </w:p>
    <w:p w14:paraId="7E8D2511" w14:textId="5E2514B9" w:rsidR="00007E6C" w:rsidRDefault="00007E6C" w:rsidP="002F1704">
      <w:pPr>
        <w:spacing w:line="360" w:lineRule="auto"/>
        <w:ind w:firstLine="851"/>
        <w:jc w:val="both"/>
        <w:rPr>
          <w:rFonts w:ascii="Arial" w:hAnsi="Arial" w:cs="Arial"/>
          <w:sz w:val="24"/>
          <w:szCs w:val="24"/>
        </w:rPr>
      </w:pPr>
      <w:r>
        <w:rPr>
          <w:rFonts w:ascii="Arial" w:hAnsi="Arial" w:cs="Arial"/>
          <w:sz w:val="24"/>
          <w:szCs w:val="24"/>
        </w:rPr>
        <w:t>Embora o Estado de Santa Catarina também tenha</w:t>
      </w:r>
      <w:r w:rsidR="008B7FB0">
        <w:rPr>
          <w:rFonts w:ascii="Arial" w:hAnsi="Arial" w:cs="Arial"/>
          <w:sz w:val="24"/>
          <w:szCs w:val="24"/>
        </w:rPr>
        <w:t xml:space="preserve"> diversos incentivos fiscais relativos ao ICMS previstos no RICMS e tenha também</w:t>
      </w:r>
      <w:r>
        <w:rPr>
          <w:rFonts w:ascii="Arial" w:hAnsi="Arial" w:cs="Arial"/>
          <w:sz w:val="24"/>
          <w:szCs w:val="24"/>
        </w:rPr>
        <w:t xml:space="preserve"> </w:t>
      </w:r>
      <w:r w:rsidR="008B7FB0">
        <w:rPr>
          <w:rFonts w:ascii="Arial" w:hAnsi="Arial" w:cs="Arial"/>
          <w:sz w:val="24"/>
          <w:szCs w:val="24"/>
        </w:rPr>
        <w:t>reinstituído vários deles com base no Convênio-Confaz nº 190/2017, por meio da Lei estadual nº 17.763 (D.O. 13/082019), o inciso I do art. 1º dessa Lei expressamente previu que esses incentivos seriam “</w:t>
      </w:r>
      <w:r w:rsidR="008B7FB0" w:rsidRPr="008B7FB0">
        <w:rPr>
          <w:rFonts w:ascii="Arial" w:hAnsi="Arial" w:cs="Arial"/>
          <w:sz w:val="24"/>
          <w:szCs w:val="24"/>
        </w:rPr>
        <w:t>reexaminados e remetidos até o dia 31 de agosto de 2020, sob a forma de projetos de lei ordinária, para a deliberação da Assembleia Legislativa do Estado de Santa Catarina, até o dia 31 de dezembro de 2020</w:t>
      </w:r>
      <w:r w:rsidR="008B7FB0">
        <w:rPr>
          <w:rFonts w:ascii="Arial" w:hAnsi="Arial" w:cs="Arial"/>
          <w:sz w:val="24"/>
          <w:szCs w:val="24"/>
        </w:rPr>
        <w:t>”.</w:t>
      </w:r>
    </w:p>
    <w:p w14:paraId="36222F1F" w14:textId="3E5EFFB2" w:rsidR="002F1704" w:rsidRDefault="008B7FB0" w:rsidP="002F1704">
      <w:pPr>
        <w:spacing w:line="360" w:lineRule="auto"/>
        <w:ind w:firstLine="851"/>
        <w:jc w:val="both"/>
        <w:rPr>
          <w:rFonts w:ascii="Arial" w:hAnsi="Arial" w:cs="Arial"/>
          <w:sz w:val="24"/>
          <w:szCs w:val="24"/>
        </w:rPr>
      </w:pPr>
      <w:r>
        <w:rPr>
          <w:rFonts w:ascii="Arial" w:hAnsi="Arial" w:cs="Arial"/>
          <w:sz w:val="24"/>
          <w:szCs w:val="24"/>
        </w:rPr>
        <w:t>Nesse contexto, c</w:t>
      </w:r>
      <w:r w:rsidR="002F1704">
        <w:rPr>
          <w:rFonts w:ascii="Arial" w:hAnsi="Arial" w:cs="Arial"/>
          <w:sz w:val="24"/>
          <w:szCs w:val="24"/>
        </w:rPr>
        <w:t xml:space="preserve">ausa </w:t>
      </w:r>
      <w:r w:rsidR="00EC65E8">
        <w:rPr>
          <w:rFonts w:ascii="Arial" w:hAnsi="Arial" w:cs="Arial"/>
          <w:sz w:val="24"/>
          <w:szCs w:val="24"/>
        </w:rPr>
        <w:t>tremenda perplexidade</w:t>
      </w:r>
      <w:r w:rsidR="002F1704">
        <w:rPr>
          <w:rFonts w:ascii="Arial" w:hAnsi="Arial" w:cs="Arial"/>
          <w:sz w:val="24"/>
          <w:szCs w:val="24"/>
        </w:rPr>
        <w:t xml:space="preserve"> </w:t>
      </w:r>
      <w:r w:rsidR="00E50C44">
        <w:rPr>
          <w:rFonts w:ascii="Arial" w:hAnsi="Arial" w:cs="Arial"/>
          <w:sz w:val="24"/>
          <w:szCs w:val="24"/>
        </w:rPr>
        <w:t>saber</w:t>
      </w:r>
      <w:r w:rsidR="002F1704">
        <w:rPr>
          <w:rFonts w:ascii="Arial" w:hAnsi="Arial" w:cs="Arial"/>
          <w:sz w:val="24"/>
          <w:szCs w:val="24"/>
        </w:rPr>
        <w:t xml:space="preserve"> que o Estado de Goiás</w:t>
      </w:r>
      <w:r>
        <w:rPr>
          <w:rFonts w:ascii="Arial" w:hAnsi="Arial" w:cs="Arial"/>
          <w:sz w:val="24"/>
          <w:szCs w:val="24"/>
        </w:rPr>
        <w:t>, em pleno ano de 2019, continue concedendo</w:t>
      </w:r>
      <w:r w:rsidR="00EC65E8">
        <w:rPr>
          <w:rFonts w:ascii="Arial" w:hAnsi="Arial" w:cs="Arial"/>
          <w:sz w:val="24"/>
          <w:szCs w:val="24"/>
        </w:rPr>
        <w:t xml:space="preserve"> incentivos fiscais </w:t>
      </w:r>
      <w:r>
        <w:rPr>
          <w:rFonts w:ascii="Arial" w:hAnsi="Arial" w:cs="Arial"/>
          <w:sz w:val="24"/>
          <w:szCs w:val="24"/>
        </w:rPr>
        <w:t xml:space="preserve">apenas </w:t>
      </w:r>
      <w:r w:rsidR="00EC65E8">
        <w:rPr>
          <w:rFonts w:ascii="Arial" w:hAnsi="Arial" w:cs="Arial"/>
          <w:sz w:val="24"/>
          <w:szCs w:val="24"/>
        </w:rPr>
        <w:t xml:space="preserve">se </w:t>
      </w:r>
      <w:r w:rsidR="002F1704">
        <w:rPr>
          <w:rFonts w:ascii="Arial" w:hAnsi="Arial" w:cs="Arial"/>
          <w:sz w:val="24"/>
          <w:szCs w:val="24"/>
        </w:rPr>
        <w:t xml:space="preserve">previstos no RCTE/GO, ato de natureza infralegal (embora com vários de seus dispositivos convalidados pela Lei nº 20.367/2017), </w:t>
      </w:r>
      <w:r w:rsidR="00E50C44">
        <w:rPr>
          <w:rFonts w:ascii="Arial" w:hAnsi="Arial" w:cs="Arial"/>
          <w:sz w:val="24"/>
          <w:szCs w:val="24"/>
        </w:rPr>
        <w:t>o que agrega significativa</w:t>
      </w:r>
      <w:r w:rsidR="002F1704">
        <w:rPr>
          <w:rFonts w:ascii="Arial" w:hAnsi="Arial" w:cs="Arial"/>
          <w:sz w:val="24"/>
          <w:szCs w:val="24"/>
        </w:rPr>
        <w:t xml:space="preserve"> complexidade </w:t>
      </w:r>
      <w:r w:rsidR="00E50C44">
        <w:rPr>
          <w:rFonts w:ascii="Arial" w:hAnsi="Arial" w:cs="Arial"/>
          <w:sz w:val="24"/>
          <w:szCs w:val="24"/>
        </w:rPr>
        <w:t>ao já caótico sistema tributário estadual</w:t>
      </w:r>
      <w:r w:rsidR="00575BDB">
        <w:rPr>
          <w:rFonts w:ascii="Arial" w:hAnsi="Arial" w:cs="Arial"/>
          <w:sz w:val="24"/>
          <w:szCs w:val="24"/>
        </w:rPr>
        <w:t>, além de ferir o disposto nos mandamentos constitucionais sobre a matéria</w:t>
      </w:r>
      <w:r w:rsidR="002F1704">
        <w:rPr>
          <w:rFonts w:ascii="Arial" w:hAnsi="Arial" w:cs="Arial"/>
          <w:sz w:val="24"/>
          <w:szCs w:val="24"/>
        </w:rPr>
        <w:t>.</w:t>
      </w:r>
    </w:p>
    <w:p w14:paraId="5D842F45" w14:textId="4F19B745" w:rsidR="00BB72D0" w:rsidRDefault="00BB72D0" w:rsidP="002F1704">
      <w:pPr>
        <w:spacing w:line="360" w:lineRule="auto"/>
        <w:ind w:firstLine="851"/>
        <w:jc w:val="both"/>
        <w:rPr>
          <w:rFonts w:ascii="Arial" w:hAnsi="Arial" w:cs="Arial"/>
          <w:sz w:val="24"/>
          <w:szCs w:val="24"/>
        </w:rPr>
      </w:pPr>
    </w:p>
    <w:p w14:paraId="1A1FDFA0" w14:textId="15A3EF95" w:rsidR="00167B66" w:rsidRDefault="00BB72D0" w:rsidP="00167B66">
      <w:pPr>
        <w:spacing w:line="360" w:lineRule="auto"/>
        <w:ind w:firstLine="851"/>
        <w:jc w:val="both"/>
        <w:rPr>
          <w:rFonts w:ascii="Arial" w:hAnsi="Arial" w:cs="Arial"/>
          <w:sz w:val="24"/>
          <w:szCs w:val="24"/>
        </w:rPr>
      </w:pPr>
      <w:r>
        <w:rPr>
          <w:rFonts w:ascii="Arial" w:hAnsi="Arial" w:cs="Arial"/>
          <w:b/>
          <w:sz w:val="24"/>
          <w:szCs w:val="24"/>
        </w:rPr>
        <w:t>5.4.4</w:t>
      </w:r>
      <w:r w:rsidRPr="004C68D7">
        <w:rPr>
          <w:rFonts w:ascii="Arial" w:hAnsi="Arial" w:cs="Arial"/>
          <w:b/>
          <w:sz w:val="24"/>
          <w:szCs w:val="24"/>
        </w:rPr>
        <w:t>.</w:t>
      </w:r>
      <w:r>
        <w:rPr>
          <w:rFonts w:ascii="Arial" w:hAnsi="Arial" w:cs="Arial"/>
          <w:b/>
          <w:sz w:val="24"/>
          <w:szCs w:val="24"/>
        </w:rPr>
        <w:t xml:space="preserve"> </w:t>
      </w:r>
      <w:r>
        <w:rPr>
          <w:rFonts w:ascii="Arial" w:hAnsi="Arial" w:cs="Arial"/>
          <w:sz w:val="24"/>
          <w:szCs w:val="24"/>
        </w:rPr>
        <w:t xml:space="preserve">Contribui para essa centralização normativa na figura do Chefe do Poder Executivo o disposto no recente </w:t>
      </w:r>
      <w:r w:rsidRPr="00E4062E">
        <w:rPr>
          <w:rFonts w:ascii="Arial" w:hAnsi="Arial" w:cs="Arial"/>
          <w:b/>
          <w:sz w:val="24"/>
          <w:szCs w:val="24"/>
          <w:u w:val="single"/>
        </w:rPr>
        <w:t>inciso I do art. 45 da Lei Complementar estadual nº 138/2018</w:t>
      </w:r>
      <w:r>
        <w:rPr>
          <w:rFonts w:ascii="Arial" w:hAnsi="Arial" w:cs="Arial"/>
          <w:sz w:val="24"/>
          <w:szCs w:val="24"/>
        </w:rPr>
        <w:t>, segundo o qual “</w:t>
      </w:r>
      <w:r w:rsidRPr="004F4953">
        <w:rPr>
          <w:rFonts w:ascii="Arial" w:hAnsi="Arial" w:cs="Arial"/>
          <w:sz w:val="24"/>
          <w:szCs w:val="24"/>
        </w:rPr>
        <w:t>os incentivos fiscais só poderão ser concedidos mediante regulamentação do Chefe do Poder Executivo</w:t>
      </w:r>
      <w:r>
        <w:rPr>
          <w:rFonts w:ascii="Arial" w:hAnsi="Arial" w:cs="Arial"/>
          <w:sz w:val="24"/>
          <w:szCs w:val="24"/>
        </w:rPr>
        <w:t xml:space="preserve">”, como se nenhum incentivo fiscal pudesse ser concedido sem antes estar “positivado” no RCTE/GO, como tem sido a tradição </w:t>
      </w:r>
      <w:r w:rsidR="002E042B">
        <w:rPr>
          <w:rFonts w:ascii="Arial" w:hAnsi="Arial" w:cs="Arial"/>
          <w:sz w:val="24"/>
          <w:szCs w:val="24"/>
        </w:rPr>
        <w:t>ao longo dos governos estaduais</w:t>
      </w:r>
      <w:r w:rsidR="00167B66">
        <w:rPr>
          <w:rFonts w:ascii="Arial" w:hAnsi="Arial" w:cs="Arial"/>
          <w:sz w:val="24"/>
          <w:szCs w:val="24"/>
        </w:rPr>
        <w:t>.</w:t>
      </w:r>
    </w:p>
    <w:p w14:paraId="4D2AF4E7" w14:textId="593B5435" w:rsidR="00167B66" w:rsidRPr="00167B66" w:rsidRDefault="00167B66" w:rsidP="00167B66">
      <w:pPr>
        <w:spacing w:line="360" w:lineRule="auto"/>
        <w:ind w:firstLine="851"/>
        <w:jc w:val="both"/>
        <w:rPr>
          <w:rFonts w:ascii="Arial" w:hAnsi="Arial" w:cs="Arial"/>
          <w:sz w:val="24"/>
        </w:rPr>
      </w:pPr>
      <w:r w:rsidRPr="00FF0B27">
        <w:rPr>
          <w:rFonts w:ascii="Arial" w:hAnsi="Arial" w:cs="Arial"/>
          <w:sz w:val="24"/>
          <w:szCs w:val="24"/>
        </w:rPr>
        <w:t xml:space="preserve">É manifesta a inconstitucionalidade do dispositivo, </w:t>
      </w:r>
      <w:r w:rsidR="00FF0B27" w:rsidRPr="00FF0B27">
        <w:rPr>
          <w:rFonts w:ascii="Arial" w:hAnsi="Arial" w:cs="Arial"/>
          <w:sz w:val="24"/>
          <w:szCs w:val="24"/>
        </w:rPr>
        <w:t xml:space="preserve">porquanto </w:t>
      </w:r>
      <w:r w:rsidRPr="00FF0B27">
        <w:rPr>
          <w:rFonts w:ascii="Arial" w:hAnsi="Arial" w:cs="Arial"/>
          <w:sz w:val="24"/>
          <w:szCs w:val="24"/>
        </w:rPr>
        <w:t>evidente a usurpaç</w:t>
      </w:r>
      <w:r w:rsidR="00AE2F04" w:rsidRPr="00FF0B27">
        <w:rPr>
          <w:rFonts w:ascii="Arial" w:hAnsi="Arial" w:cs="Arial"/>
          <w:sz w:val="24"/>
          <w:szCs w:val="24"/>
        </w:rPr>
        <w:t>ão do poder legiferante</w:t>
      </w:r>
      <w:r w:rsidRPr="00FF0B27">
        <w:rPr>
          <w:rFonts w:ascii="Arial" w:hAnsi="Arial" w:cs="Arial"/>
          <w:sz w:val="24"/>
          <w:szCs w:val="24"/>
        </w:rPr>
        <w:t xml:space="preserve"> do Parlamento pelo Executivo. Tal regra transfere a decisão sobre a concessão de incentivos fiscais da Assembleia Legislativa para o arbítrio </w:t>
      </w:r>
      <w:r w:rsidRPr="00FF0B27">
        <w:rPr>
          <w:rFonts w:ascii="Arial" w:hAnsi="Arial" w:cs="Arial"/>
          <w:sz w:val="24"/>
          <w:szCs w:val="24"/>
        </w:rPr>
        <w:lastRenderedPageBreak/>
        <w:t xml:space="preserve">do Governador, violando não só a separação de Poderes e os </w:t>
      </w:r>
      <w:r w:rsidRPr="00FF0B27">
        <w:rPr>
          <w:rFonts w:ascii="Arial" w:hAnsi="Arial" w:cs="Arial"/>
          <w:i/>
          <w:sz w:val="24"/>
          <w:szCs w:val="24"/>
        </w:rPr>
        <w:t>checks and balances</w:t>
      </w:r>
      <w:r w:rsidRPr="00FF0B27">
        <w:rPr>
          <w:rFonts w:ascii="Arial" w:hAnsi="Arial" w:cs="Arial"/>
          <w:sz w:val="24"/>
          <w:szCs w:val="24"/>
        </w:rPr>
        <w:t xml:space="preserve"> do sistema, mas também a própria semântica do termo “regulamento”.</w:t>
      </w:r>
    </w:p>
    <w:p w14:paraId="66B4E9F8" w14:textId="4090E56C" w:rsidR="00BB72D0" w:rsidRDefault="00BB72D0" w:rsidP="00BB72D0">
      <w:pPr>
        <w:spacing w:line="360" w:lineRule="auto"/>
        <w:ind w:firstLine="851"/>
        <w:jc w:val="both"/>
        <w:rPr>
          <w:rFonts w:ascii="Arial" w:hAnsi="Arial" w:cs="Arial"/>
          <w:sz w:val="24"/>
          <w:szCs w:val="24"/>
        </w:rPr>
      </w:pPr>
      <w:r w:rsidRPr="00E4062E">
        <w:rPr>
          <w:rFonts w:ascii="Arial" w:hAnsi="Arial" w:cs="Arial"/>
          <w:b/>
          <w:sz w:val="24"/>
          <w:szCs w:val="24"/>
        </w:rPr>
        <w:t>Assim, sugere-se a imediata revogação do mencionado dispositivo, devido ao caráter amplíssimo de seu conteúdo</w:t>
      </w:r>
      <w:r>
        <w:rPr>
          <w:rFonts w:ascii="Arial" w:hAnsi="Arial" w:cs="Arial"/>
          <w:sz w:val="24"/>
          <w:szCs w:val="24"/>
        </w:rPr>
        <w:t>, que praticamente inviabiliza a concessão de qualquer incentivo fiscal sem que haja sua prévia positivação em ato infralegal.</w:t>
      </w:r>
      <w:r w:rsidR="00A6141D">
        <w:rPr>
          <w:rFonts w:ascii="Arial" w:hAnsi="Arial" w:cs="Arial"/>
          <w:sz w:val="24"/>
          <w:szCs w:val="24"/>
        </w:rPr>
        <w:t xml:space="preserve"> Acredita-se que o parlamento deve resgatar seu papel nessa importante matéria e chamar para si, por meio de lei em sentido estrito, o dever d</w:t>
      </w:r>
      <w:r w:rsidR="00A6141D" w:rsidRPr="00FF0B27">
        <w:rPr>
          <w:rFonts w:ascii="Arial" w:hAnsi="Arial" w:cs="Arial"/>
          <w:sz w:val="24"/>
          <w:szCs w:val="24"/>
        </w:rPr>
        <w:t xml:space="preserve">e </w:t>
      </w:r>
      <w:r w:rsidR="00167B66" w:rsidRPr="00FF0B27">
        <w:rPr>
          <w:rFonts w:ascii="Arial" w:hAnsi="Arial" w:cs="Arial"/>
          <w:sz w:val="24"/>
          <w:szCs w:val="24"/>
        </w:rPr>
        <w:t xml:space="preserve">legislar sobre </w:t>
      </w:r>
      <w:r w:rsidR="00A6141D">
        <w:rPr>
          <w:rFonts w:ascii="Arial" w:hAnsi="Arial" w:cs="Arial"/>
          <w:sz w:val="24"/>
          <w:szCs w:val="24"/>
        </w:rPr>
        <w:t>aspectos importantíssimos que hoje se encontram a cargo de meros regulamentos do Poder Executivo</w:t>
      </w:r>
      <w:r w:rsidR="00E55A20">
        <w:rPr>
          <w:rFonts w:ascii="Arial" w:hAnsi="Arial" w:cs="Arial"/>
          <w:sz w:val="24"/>
          <w:szCs w:val="24"/>
        </w:rPr>
        <w:t>, que se alteram do dia para a noite sem que os parlamentares nem sequer tomem conhecimento</w:t>
      </w:r>
      <w:r w:rsidR="00A6141D">
        <w:rPr>
          <w:rFonts w:ascii="Arial" w:hAnsi="Arial" w:cs="Arial"/>
          <w:sz w:val="24"/>
          <w:szCs w:val="24"/>
        </w:rPr>
        <w:t>.</w:t>
      </w:r>
    </w:p>
    <w:p w14:paraId="2898AC82" w14:textId="77777777" w:rsidR="00BB72D0" w:rsidRDefault="00BB72D0" w:rsidP="002F1704">
      <w:pPr>
        <w:spacing w:line="360" w:lineRule="auto"/>
        <w:ind w:firstLine="851"/>
        <w:jc w:val="both"/>
        <w:rPr>
          <w:rFonts w:ascii="Arial" w:hAnsi="Arial" w:cs="Arial"/>
          <w:sz w:val="24"/>
          <w:szCs w:val="24"/>
        </w:rPr>
      </w:pPr>
    </w:p>
    <w:p w14:paraId="58769638" w14:textId="2C33B8E5" w:rsidR="002F1704" w:rsidRDefault="00BB72D0" w:rsidP="002F1704">
      <w:pPr>
        <w:spacing w:line="360" w:lineRule="auto"/>
        <w:ind w:firstLine="851"/>
        <w:jc w:val="both"/>
        <w:rPr>
          <w:rFonts w:ascii="Arial" w:hAnsi="Arial" w:cs="Arial"/>
          <w:sz w:val="24"/>
          <w:szCs w:val="24"/>
        </w:rPr>
      </w:pPr>
      <w:r>
        <w:rPr>
          <w:rFonts w:ascii="Arial" w:hAnsi="Arial" w:cs="Arial"/>
          <w:b/>
          <w:sz w:val="24"/>
          <w:szCs w:val="24"/>
        </w:rPr>
        <w:t>5.4.5</w:t>
      </w:r>
      <w:r w:rsidRPr="004C68D7">
        <w:rPr>
          <w:rFonts w:ascii="Arial" w:hAnsi="Arial" w:cs="Arial"/>
          <w:b/>
          <w:sz w:val="24"/>
          <w:szCs w:val="24"/>
        </w:rPr>
        <w:t>.</w:t>
      </w:r>
      <w:r>
        <w:rPr>
          <w:rFonts w:ascii="Arial" w:hAnsi="Arial" w:cs="Arial"/>
          <w:b/>
          <w:sz w:val="24"/>
          <w:szCs w:val="24"/>
        </w:rPr>
        <w:t xml:space="preserve"> </w:t>
      </w:r>
      <w:r w:rsidR="00E30F97">
        <w:rPr>
          <w:rFonts w:ascii="Arial" w:hAnsi="Arial" w:cs="Arial"/>
          <w:sz w:val="24"/>
          <w:szCs w:val="24"/>
        </w:rPr>
        <w:t>Assim</w:t>
      </w:r>
      <w:r w:rsidR="002F1704">
        <w:rPr>
          <w:rFonts w:ascii="Arial" w:hAnsi="Arial" w:cs="Arial"/>
          <w:sz w:val="24"/>
          <w:szCs w:val="24"/>
        </w:rPr>
        <w:t xml:space="preserve">, </w:t>
      </w:r>
      <w:r w:rsidR="00E30F97">
        <w:rPr>
          <w:rFonts w:ascii="Arial" w:hAnsi="Arial" w:cs="Arial"/>
          <w:sz w:val="24"/>
          <w:szCs w:val="24"/>
        </w:rPr>
        <w:t>entende</w:t>
      </w:r>
      <w:r w:rsidR="002F1704">
        <w:rPr>
          <w:rFonts w:ascii="Arial" w:hAnsi="Arial" w:cs="Arial"/>
          <w:sz w:val="24"/>
          <w:szCs w:val="24"/>
        </w:rPr>
        <w:t>-se que</w:t>
      </w:r>
      <w:r w:rsidR="00E30F97">
        <w:rPr>
          <w:rFonts w:ascii="Arial" w:hAnsi="Arial" w:cs="Arial"/>
          <w:sz w:val="24"/>
          <w:szCs w:val="24"/>
        </w:rPr>
        <w:t xml:space="preserve"> a correção das irregularidades retro mencionadas deva passar por uma ampla revisão da legislação estadual em matéria de incentivos fiscais, com vistas à maior transparência e clareza, com o que se recomenda</w:t>
      </w:r>
      <w:r w:rsidR="002F1704">
        <w:rPr>
          <w:rFonts w:ascii="Arial" w:hAnsi="Arial" w:cs="Arial"/>
          <w:sz w:val="24"/>
          <w:szCs w:val="24"/>
        </w:rPr>
        <w:t xml:space="preserve"> </w:t>
      </w:r>
      <w:r w:rsidR="00E30F97" w:rsidRPr="00E4062E">
        <w:rPr>
          <w:rFonts w:ascii="Arial" w:hAnsi="Arial" w:cs="Arial"/>
          <w:b/>
          <w:sz w:val="24"/>
          <w:szCs w:val="24"/>
          <w:u w:val="single"/>
        </w:rPr>
        <w:t>a</w:t>
      </w:r>
      <w:r w:rsidR="002F1704" w:rsidRPr="00E4062E">
        <w:rPr>
          <w:rFonts w:ascii="Arial" w:hAnsi="Arial" w:cs="Arial"/>
          <w:b/>
          <w:sz w:val="24"/>
          <w:szCs w:val="24"/>
          <w:u w:val="single"/>
        </w:rPr>
        <w:t xml:space="preserve">o Poder Executivo encaminhe projeto de lei </w:t>
      </w:r>
      <w:r w:rsidR="00E30F97" w:rsidRPr="00E4062E">
        <w:rPr>
          <w:rFonts w:ascii="Arial" w:hAnsi="Arial" w:cs="Arial"/>
          <w:b/>
          <w:sz w:val="24"/>
          <w:szCs w:val="24"/>
          <w:u w:val="single"/>
        </w:rPr>
        <w:t>a</w:t>
      </w:r>
      <w:r w:rsidR="002F1704" w:rsidRPr="00E4062E">
        <w:rPr>
          <w:rFonts w:ascii="Arial" w:hAnsi="Arial" w:cs="Arial"/>
          <w:b/>
          <w:sz w:val="24"/>
          <w:szCs w:val="24"/>
          <w:u w:val="single"/>
        </w:rPr>
        <w:t xml:space="preserve"> esta Casa Legislativa para consolidar todos incentivos fiscais num único diploma legal</w:t>
      </w:r>
      <w:r w:rsidR="00E30F97" w:rsidRPr="00E4062E">
        <w:rPr>
          <w:rFonts w:ascii="Arial" w:hAnsi="Arial" w:cs="Arial"/>
          <w:b/>
          <w:sz w:val="24"/>
          <w:szCs w:val="24"/>
          <w:u w:val="single"/>
        </w:rPr>
        <w:t xml:space="preserve"> ou em número reduzido de leis</w:t>
      </w:r>
      <w:r w:rsidR="002F1704" w:rsidRPr="00E4062E">
        <w:rPr>
          <w:rFonts w:ascii="Arial" w:hAnsi="Arial" w:cs="Arial"/>
          <w:b/>
          <w:sz w:val="24"/>
          <w:szCs w:val="24"/>
        </w:rPr>
        <w:t>, ao menos no que tange às centenas de incentivos fiscais consistentes em isenções, reduções da base de cálculo e créditos outorgados</w:t>
      </w:r>
      <w:r w:rsidR="002F1704">
        <w:rPr>
          <w:rFonts w:ascii="Arial" w:hAnsi="Arial" w:cs="Arial"/>
          <w:sz w:val="24"/>
          <w:szCs w:val="24"/>
        </w:rPr>
        <w:t>, previstos expressamente ao longo dos arts. 6º a 12 daquele Anexo, sob pena de o parlamento desempenhar esse papel.</w:t>
      </w:r>
    </w:p>
    <w:p w14:paraId="586DDA01" w14:textId="15545648" w:rsidR="002F1704" w:rsidRPr="00B81C65" w:rsidRDefault="002F1704" w:rsidP="002F1704">
      <w:pPr>
        <w:spacing w:line="360" w:lineRule="auto"/>
        <w:ind w:firstLine="851"/>
        <w:jc w:val="both"/>
        <w:rPr>
          <w:rFonts w:ascii="Arial" w:hAnsi="Arial" w:cs="Arial"/>
          <w:sz w:val="24"/>
          <w:szCs w:val="24"/>
        </w:rPr>
      </w:pPr>
      <w:r>
        <w:rPr>
          <w:rFonts w:ascii="Arial" w:hAnsi="Arial" w:cs="Arial"/>
          <w:sz w:val="24"/>
          <w:szCs w:val="24"/>
        </w:rPr>
        <w:t xml:space="preserve">Com efeito, </w:t>
      </w:r>
      <w:r w:rsidRPr="009C5E47">
        <w:rPr>
          <w:rFonts w:ascii="Arial" w:hAnsi="Arial" w:cs="Arial"/>
          <w:b/>
          <w:sz w:val="24"/>
          <w:szCs w:val="24"/>
        </w:rPr>
        <w:t>o Poder Legislati</w:t>
      </w:r>
      <w:r w:rsidRPr="00B81C65">
        <w:rPr>
          <w:rFonts w:ascii="Arial" w:hAnsi="Arial" w:cs="Arial"/>
          <w:b/>
          <w:sz w:val="24"/>
          <w:szCs w:val="24"/>
        </w:rPr>
        <w:t>vo possui a prerrogativa de, por iniciativa própria, apresentar projeto de lei com esse desiderato</w:t>
      </w:r>
      <w:r w:rsidRPr="00B81C65">
        <w:rPr>
          <w:rFonts w:ascii="Arial" w:hAnsi="Arial" w:cs="Arial"/>
          <w:sz w:val="24"/>
          <w:szCs w:val="24"/>
        </w:rPr>
        <w:t>, de modo a concentrar na lei daí resultante todas as informações sujeitas à reserva legal atualmente constantes do Anexo IX do RCTE/GO e de tornar sem efeito todas as disposições regulamentares em desacordo com a norma primária a ser aprovada.</w:t>
      </w:r>
      <w:r w:rsidR="006216D4">
        <w:rPr>
          <w:rFonts w:ascii="Arial" w:hAnsi="Arial" w:cs="Arial"/>
          <w:sz w:val="24"/>
          <w:szCs w:val="24"/>
        </w:rPr>
        <w:t xml:space="preserve"> Porém, em postura de diálogo, conceder-se-á ao Poder Executivo prazo razoável para fazê-lo.</w:t>
      </w:r>
    </w:p>
    <w:p w14:paraId="09513547" w14:textId="4F35C927" w:rsidR="002F1704" w:rsidRPr="006A4ACB" w:rsidRDefault="002F1704" w:rsidP="002F1704">
      <w:pPr>
        <w:spacing w:line="360" w:lineRule="auto"/>
        <w:ind w:firstLine="851"/>
        <w:jc w:val="both"/>
        <w:rPr>
          <w:rFonts w:ascii="Arial" w:hAnsi="Arial" w:cs="Arial"/>
          <w:sz w:val="24"/>
          <w:szCs w:val="24"/>
        </w:rPr>
      </w:pPr>
      <w:r w:rsidRPr="006A4ACB">
        <w:rPr>
          <w:rFonts w:ascii="Arial" w:hAnsi="Arial" w:cs="Arial"/>
          <w:sz w:val="24"/>
          <w:szCs w:val="24"/>
        </w:rPr>
        <w:t xml:space="preserve">Por isso, </w:t>
      </w:r>
      <w:r w:rsidRPr="006A4ACB">
        <w:rPr>
          <w:rFonts w:ascii="Arial" w:hAnsi="Arial" w:cs="Arial"/>
          <w:b/>
          <w:sz w:val="24"/>
          <w:szCs w:val="24"/>
        </w:rPr>
        <w:t>recomenda-se que essa restruturação do sistema de incentivos fiscais do Estado de Goiás seja feita mediante lei, e não via decreto legislativo</w:t>
      </w:r>
      <w:r w:rsidRPr="006A4ACB">
        <w:rPr>
          <w:rFonts w:ascii="Arial" w:hAnsi="Arial" w:cs="Arial"/>
          <w:sz w:val="24"/>
          <w:szCs w:val="24"/>
        </w:rPr>
        <w:t xml:space="preserve">, porquanto nessa última hipótese a concentração de normas e informações acerca dos incentivos fiscais continuará presente em ato de natureza infralegal, o RCTE/GO, embora com a aprovação prévia do Legislativo. </w:t>
      </w:r>
    </w:p>
    <w:p w14:paraId="0B75A143" w14:textId="08765D03" w:rsidR="002F1704" w:rsidRPr="00B81C65" w:rsidRDefault="002F1704" w:rsidP="002F1704">
      <w:pPr>
        <w:spacing w:line="360" w:lineRule="auto"/>
        <w:ind w:firstLine="851"/>
        <w:jc w:val="both"/>
        <w:rPr>
          <w:rFonts w:ascii="Arial" w:hAnsi="Arial" w:cs="Arial"/>
          <w:sz w:val="24"/>
          <w:szCs w:val="24"/>
        </w:rPr>
      </w:pPr>
      <w:r w:rsidRPr="006A4ACB">
        <w:rPr>
          <w:rFonts w:ascii="Arial" w:hAnsi="Arial" w:cs="Arial"/>
          <w:b/>
          <w:sz w:val="24"/>
          <w:szCs w:val="24"/>
        </w:rPr>
        <w:t>A fim de esclarecer essa questão, o processo, nessa perspectiva do decreto legislativo, funcionaria mais ou menos assim</w:t>
      </w:r>
      <w:r w:rsidRPr="006A4ACB">
        <w:rPr>
          <w:rFonts w:ascii="Arial" w:hAnsi="Arial" w:cs="Arial"/>
          <w:sz w:val="24"/>
          <w:szCs w:val="24"/>
        </w:rPr>
        <w:t xml:space="preserve">: aprovado o Convênio no </w:t>
      </w:r>
      <w:r w:rsidRPr="006A4ACB">
        <w:rPr>
          <w:rFonts w:ascii="Arial" w:hAnsi="Arial" w:cs="Arial"/>
          <w:sz w:val="24"/>
          <w:szCs w:val="24"/>
        </w:rPr>
        <w:lastRenderedPageBreak/>
        <w:t xml:space="preserve">âmbito do Confaz e posteriormente ratificado pelo parlamento via decreto legislativo, o Chefe do Poder Executivo publicaria decreto governamental para internalizar o incentivo fiscal no RCTE/GO. </w:t>
      </w:r>
      <w:r w:rsidRPr="006A4ACB">
        <w:rPr>
          <w:rFonts w:ascii="Arial" w:hAnsi="Arial" w:cs="Arial"/>
          <w:sz w:val="24"/>
          <w:szCs w:val="24"/>
          <w:u w:val="single"/>
        </w:rPr>
        <w:t>Esse modelo pode causar sérios inconvenientes</w:t>
      </w:r>
      <w:r w:rsidRPr="006A4ACB">
        <w:rPr>
          <w:rFonts w:ascii="Arial" w:hAnsi="Arial" w:cs="Arial"/>
          <w:sz w:val="24"/>
          <w:szCs w:val="24"/>
        </w:rPr>
        <w:t>, sobretudo se o parlamento decidir revogar ou alterar determinado benefício já inserido no RCTE/GO: possivelmente, o caminho seria o parlamento aprovar novo decreto legislativo que revogasse ou alterasse o anterior e, ato contínuo, o Chefe do Poder Executivo procedesse da mesma forma em relação ao decreto governamental pertinente. E se o Executivo não efetivar essa revogação ou alteração? Continuaria o RCTE/GO em vigor, ainda que com vício de inconstitucionalidade, com geração de expectativas nos segmentos econômicos quanto à manutenção do benefício.</w:t>
      </w:r>
    </w:p>
    <w:p w14:paraId="3AB85138" w14:textId="3A5ED83F" w:rsidR="002F1704" w:rsidRPr="00B81C65" w:rsidRDefault="001C5963" w:rsidP="002F1704">
      <w:pPr>
        <w:spacing w:line="360" w:lineRule="auto"/>
        <w:ind w:firstLine="851"/>
        <w:jc w:val="both"/>
        <w:rPr>
          <w:rFonts w:ascii="Arial" w:hAnsi="Arial" w:cs="Arial"/>
          <w:sz w:val="24"/>
          <w:szCs w:val="24"/>
        </w:rPr>
      </w:pPr>
      <w:r>
        <w:rPr>
          <w:rFonts w:ascii="Arial" w:hAnsi="Arial" w:cs="Arial"/>
          <w:sz w:val="24"/>
          <w:szCs w:val="24"/>
        </w:rPr>
        <w:t>Exatamente com o objetivo de evitar essas celeumas</w:t>
      </w:r>
      <w:r w:rsidR="002F1704" w:rsidRPr="00B81C65">
        <w:rPr>
          <w:rFonts w:ascii="Arial" w:hAnsi="Arial" w:cs="Arial"/>
          <w:sz w:val="24"/>
          <w:szCs w:val="24"/>
        </w:rPr>
        <w:t xml:space="preserve">, </w:t>
      </w:r>
      <w:r>
        <w:rPr>
          <w:rFonts w:ascii="Arial" w:hAnsi="Arial" w:cs="Arial"/>
          <w:sz w:val="24"/>
          <w:szCs w:val="24"/>
        </w:rPr>
        <w:t xml:space="preserve">surge </w:t>
      </w:r>
      <w:r w:rsidR="002F1704" w:rsidRPr="00B81C65">
        <w:rPr>
          <w:rFonts w:ascii="Arial" w:hAnsi="Arial" w:cs="Arial"/>
          <w:b/>
          <w:sz w:val="24"/>
          <w:szCs w:val="24"/>
        </w:rPr>
        <w:t>a perspectiva da concentração dos incentivos fiscais num diploma legal único</w:t>
      </w:r>
      <w:r>
        <w:rPr>
          <w:rFonts w:ascii="Arial" w:hAnsi="Arial" w:cs="Arial"/>
          <w:b/>
          <w:sz w:val="24"/>
          <w:szCs w:val="24"/>
        </w:rPr>
        <w:t xml:space="preserve"> ou em número reduzido de leis</w:t>
      </w:r>
      <w:r w:rsidR="002F1704" w:rsidRPr="00B81C65">
        <w:rPr>
          <w:rFonts w:ascii="Arial" w:hAnsi="Arial" w:cs="Arial"/>
          <w:sz w:val="24"/>
          <w:szCs w:val="24"/>
        </w:rPr>
        <w:t xml:space="preserve">, </w:t>
      </w:r>
      <w:r>
        <w:rPr>
          <w:rFonts w:ascii="Arial" w:hAnsi="Arial" w:cs="Arial"/>
          <w:sz w:val="24"/>
          <w:szCs w:val="24"/>
        </w:rPr>
        <w:t xml:space="preserve">de modo que </w:t>
      </w:r>
      <w:r w:rsidR="002F1704" w:rsidRPr="00B81C65">
        <w:rPr>
          <w:rFonts w:ascii="Arial" w:hAnsi="Arial" w:cs="Arial"/>
          <w:sz w:val="24"/>
          <w:szCs w:val="24"/>
        </w:rPr>
        <w:t xml:space="preserve">o próprio Deputado </w:t>
      </w:r>
      <w:r w:rsidR="0017569D">
        <w:rPr>
          <w:rFonts w:ascii="Arial" w:hAnsi="Arial" w:cs="Arial"/>
          <w:sz w:val="24"/>
          <w:szCs w:val="24"/>
        </w:rPr>
        <w:t>possa</w:t>
      </w:r>
      <w:r w:rsidR="002F1704" w:rsidRPr="00B81C65">
        <w:rPr>
          <w:rFonts w:ascii="Arial" w:hAnsi="Arial" w:cs="Arial"/>
          <w:sz w:val="24"/>
          <w:szCs w:val="24"/>
        </w:rPr>
        <w:t xml:space="preserve"> apresentar projeto de lei </w:t>
      </w:r>
      <w:r w:rsidR="0017569D">
        <w:rPr>
          <w:rFonts w:ascii="Arial" w:hAnsi="Arial" w:cs="Arial"/>
          <w:sz w:val="24"/>
          <w:szCs w:val="24"/>
        </w:rPr>
        <w:t>no qual proponha</w:t>
      </w:r>
      <w:r w:rsidR="002F1704" w:rsidRPr="00B81C65">
        <w:rPr>
          <w:rFonts w:ascii="Arial" w:hAnsi="Arial" w:cs="Arial"/>
          <w:sz w:val="24"/>
          <w:szCs w:val="24"/>
        </w:rPr>
        <w:t xml:space="preserve"> a revogação ou alteração do benefício que entender pertinente, e, uma vez publicada a lei, a norma revogadora ou alteradora alteraria diretamente o diploma legal que contivesse a norma </w:t>
      </w:r>
      <w:r w:rsidR="0017569D">
        <w:rPr>
          <w:rFonts w:ascii="Arial" w:hAnsi="Arial" w:cs="Arial"/>
          <w:sz w:val="24"/>
          <w:szCs w:val="24"/>
        </w:rPr>
        <w:t>legal concessiva</w:t>
      </w:r>
      <w:r w:rsidR="002F1704" w:rsidRPr="00B81C65">
        <w:rPr>
          <w:rFonts w:ascii="Arial" w:hAnsi="Arial" w:cs="Arial"/>
          <w:sz w:val="24"/>
          <w:szCs w:val="24"/>
        </w:rPr>
        <w:t>, de mesma hierarquia normativa, sem o inconveniente ante</w:t>
      </w:r>
      <w:r w:rsidR="00B30484">
        <w:rPr>
          <w:rFonts w:ascii="Arial" w:hAnsi="Arial" w:cs="Arial"/>
          <w:sz w:val="24"/>
          <w:szCs w:val="24"/>
        </w:rPr>
        <w:t>s</w:t>
      </w:r>
      <w:r w:rsidR="002F1704" w:rsidRPr="00B81C65">
        <w:rPr>
          <w:rFonts w:ascii="Arial" w:hAnsi="Arial" w:cs="Arial"/>
          <w:sz w:val="24"/>
          <w:szCs w:val="24"/>
        </w:rPr>
        <w:t xml:space="preserve"> mencionado de depender de ato </w:t>
      </w:r>
      <w:r w:rsidR="000154C7">
        <w:rPr>
          <w:rFonts w:ascii="Arial" w:hAnsi="Arial" w:cs="Arial"/>
          <w:sz w:val="24"/>
          <w:szCs w:val="24"/>
        </w:rPr>
        <w:t xml:space="preserve">a </w:t>
      </w:r>
      <w:r w:rsidR="002F1704" w:rsidRPr="00B81C65">
        <w:rPr>
          <w:rFonts w:ascii="Arial" w:hAnsi="Arial" w:cs="Arial"/>
          <w:sz w:val="24"/>
          <w:szCs w:val="24"/>
        </w:rPr>
        <w:t xml:space="preserve">ser </w:t>
      </w:r>
      <w:r w:rsidR="00B30484" w:rsidRPr="00B81C65">
        <w:rPr>
          <w:rFonts w:ascii="Arial" w:hAnsi="Arial" w:cs="Arial"/>
          <w:sz w:val="24"/>
          <w:szCs w:val="24"/>
        </w:rPr>
        <w:t xml:space="preserve">posteriormente </w:t>
      </w:r>
      <w:r w:rsidR="002F1704" w:rsidRPr="00B81C65">
        <w:rPr>
          <w:rFonts w:ascii="Arial" w:hAnsi="Arial" w:cs="Arial"/>
          <w:sz w:val="24"/>
          <w:szCs w:val="24"/>
        </w:rPr>
        <w:t xml:space="preserve">editado pelo Chefe do Poder Executivo para ultimar </w:t>
      </w:r>
      <w:r w:rsidR="00A52D23">
        <w:rPr>
          <w:rFonts w:ascii="Arial" w:hAnsi="Arial" w:cs="Arial"/>
          <w:sz w:val="24"/>
          <w:szCs w:val="24"/>
        </w:rPr>
        <w:t>cada alteração legislativa</w:t>
      </w:r>
      <w:r w:rsidR="002F1704" w:rsidRPr="00B81C65">
        <w:rPr>
          <w:rFonts w:ascii="Arial" w:hAnsi="Arial" w:cs="Arial"/>
          <w:sz w:val="24"/>
          <w:szCs w:val="24"/>
        </w:rPr>
        <w:t>.</w:t>
      </w:r>
    </w:p>
    <w:p w14:paraId="1501FEBC" w14:textId="19F5099D" w:rsidR="00B30484" w:rsidRDefault="00B30484" w:rsidP="002F1704">
      <w:pPr>
        <w:spacing w:line="360" w:lineRule="auto"/>
        <w:ind w:firstLine="851"/>
        <w:jc w:val="both"/>
        <w:rPr>
          <w:rFonts w:ascii="Arial" w:hAnsi="Arial" w:cs="Arial"/>
          <w:sz w:val="24"/>
          <w:szCs w:val="24"/>
        </w:rPr>
      </w:pPr>
    </w:p>
    <w:p w14:paraId="1D806E61" w14:textId="77777777" w:rsidR="007E473E" w:rsidRPr="00A2397D" w:rsidRDefault="00636695" w:rsidP="00636695">
      <w:pPr>
        <w:spacing w:line="360" w:lineRule="auto"/>
        <w:ind w:firstLine="851"/>
        <w:jc w:val="both"/>
        <w:rPr>
          <w:rFonts w:ascii="Arial" w:hAnsi="Arial" w:cs="Arial"/>
          <w:bCs/>
          <w:sz w:val="24"/>
          <w:szCs w:val="24"/>
        </w:rPr>
      </w:pPr>
      <w:r w:rsidRPr="00A2397D">
        <w:rPr>
          <w:rFonts w:ascii="Arial" w:hAnsi="Arial" w:cs="Arial"/>
          <w:b/>
          <w:bCs/>
          <w:sz w:val="24"/>
          <w:szCs w:val="24"/>
        </w:rPr>
        <w:t>5.4.6.</w:t>
      </w:r>
      <w:r w:rsidRPr="00A2397D">
        <w:rPr>
          <w:rFonts w:ascii="Arial" w:hAnsi="Arial" w:cs="Arial"/>
          <w:bCs/>
          <w:sz w:val="24"/>
          <w:szCs w:val="24"/>
        </w:rPr>
        <w:t xml:space="preserve"> </w:t>
      </w:r>
      <w:r w:rsidR="001C6327" w:rsidRPr="00A2397D">
        <w:rPr>
          <w:rFonts w:ascii="Arial" w:hAnsi="Arial" w:cs="Arial"/>
          <w:bCs/>
          <w:sz w:val="24"/>
          <w:szCs w:val="24"/>
        </w:rPr>
        <w:t>Relativamente</w:t>
      </w:r>
      <w:r w:rsidRPr="00A2397D">
        <w:rPr>
          <w:rFonts w:ascii="Arial" w:hAnsi="Arial" w:cs="Arial"/>
          <w:bCs/>
          <w:sz w:val="24"/>
          <w:szCs w:val="24"/>
        </w:rPr>
        <w:t xml:space="preserve"> </w:t>
      </w:r>
      <w:r w:rsidR="001C6327" w:rsidRPr="00A2397D">
        <w:rPr>
          <w:rFonts w:ascii="Arial" w:hAnsi="Arial" w:cs="Arial"/>
          <w:bCs/>
          <w:sz w:val="24"/>
          <w:szCs w:val="24"/>
        </w:rPr>
        <w:t>a</w:t>
      </w:r>
      <w:r w:rsidRPr="00A2397D">
        <w:rPr>
          <w:rFonts w:ascii="Arial" w:hAnsi="Arial" w:cs="Arial"/>
          <w:bCs/>
          <w:sz w:val="24"/>
          <w:szCs w:val="24"/>
        </w:rPr>
        <w:t>os TARE’s, considera-se também importante e oportuno o registro de que</w:t>
      </w:r>
      <w:r w:rsidR="001C6327" w:rsidRPr="00A2397D">
        <w:rPr>
          <w:rFonts w:ascii="Arial" w:hAnsi="Arial" w:cs="Arial"/>
          <w:bCs/>
          <w:sz w:val="24"/>
          <w:szCs w:val="24"/>
        </w:rPr>
        <w:t xml:space="preserve"> estes</w:t>
      </w:r>
      <w:r w:rsidRPr="00A2397D">
        <w:rPr>
          <w:rFonts w:ascii="Arial" w:hAnsi="Arial" w:cs="Arial"/>
          <w:b/>
          <w:bCs/>
          <w:sz w:val="24"/>
          <w:szCs w:val="24"/>
        </w:rPr>
        <w:t xml:space="preserve"> são </w:t>
      </w:r>
      <w:r w:rsidRPr="00A2397D">
        <w:rPr>
          <w:rFonts w:ascii="Arial" w:hAnsi="Arial" w:cs="Arial"/>
          <w:b/>
          <w:bCs/>
          <w:sz w:val="24"/>
          <w:szCs w:val="24"/>
          <w:u w:val="single"/>
        </w:rPr>
        <w:t>firmados diretamente entre o Secretário de Estado da Fazenda (atual Economia) e o representante da pessoa jurídica beneficiária</w:t>
      </w:r>
      <w:r w:rsidRPr="00A2397D">
        <w:rPr>
          <w:rFonts w:ascii="Arial" w:hAnsi="Arial" w:cs="Arial"/>
          <w:bCs/>
          <w:sz w:val="24"/>
          <w:szCs w:val="24"/>
        </w:rPr>
        <w:t xml:space="preserve">, por vezes até de procuradores/advogados da empresa. </w:t>
      </w:r>
    </w:p>
    <w:p w14:paraId="546FB2B8" w14:textId="518E093F" w:rsidR="007E473E" w:rsidRPr="00A2397D" w:rsidRDefault="007E473E" w:rsidP="00636695">
      <w:pPr>
        <w:spacing w:line="360" w:lineRule="auto"/>
        <w:ind w:firstLine="851"/>
        <w:jc w:val="both"/>
        <w:rPr>
          <w:rFonts w:ascii="Arial" w:hAnsi="Arial" w:cs="Arial"/>
          <w:bCs/>
          <w:sz w:val="24"/>
          <w:szCs w:val="24"/>
        </w:rPr>
      </w:pPr>
      <w:r w:rsidRPr="00A2397D">
        <w:rPr>
          <w:rFonts w:ascii="Arial" w:hAnsi="Arial" w:cs="Arial"/>
          <w:bCs/>
          <w:sz w:val="24"/>
          <w:szCs w:val="24"/>
        </w:rPr>
        <w:t>Ressalte-se que</w:t>
      </w:r>
      <w:r w:rsidR="00636695" w:rsidRPr="00A2397D">
        <w:rPr>
          <w:rFonts w:ascii="Arial" w:hAnsi="Arial" w:cs="Arial"/>
          <w:bCs/>
          <w:sz w:val="24"/>
          <w:szCs w:val="24"/>
        </w:rPr>
        <w:t xml:space="preserve"> </w:t>
      </w:r>
      <w:r w:rsidRPr="00A2397D">
        <w:rPr>
          <w:rFonts w:ascii="Arial" w:hAnsi="Arial" w:cs="Arial"/>
          <w:b/>
          <w:bCs/>
          <w:sz w:val="24"/>
          <w:szCs w:val="24"/>
        </w:rPr>
        <w:t xml:space="preserve">não há norma que obrigue </w:t>
      </w:r>
      <w:r w:rsidR="00636695" w:rsidRPr="00A2397D">
        <w:rPr>
          <w:rFonts w:ascii="Arial" w:hAnsi="Arial" w:cs="Arial"/>
          <w:b/>
          <w:bCs/>
          <w:sz w:val="24"/>
          <w:szCs w:val="24"/>
        </w:rPr>
        <w:t xml:space="preserve">esses TARE’s </w:t>
      </w:r>
      <w:r w:rsidRPr="00A2397D">
        <w:rPr>
          <w:rFonts w:ascii="Arial" w:hAnsi="Arial" w:cs="Arial"/>
          <w:b/>
          <w:bCs/>
          <w:sz w:val="24"/>
          <w:szCs w:val="24"/>
        </w:rPr>
        <w:t>serem</w:t>
      </w:r>
      <w:r w:rsidR="00636695" w:rsidRPr="00A2397D">
        <w:rPr>
          <w:rFonts w:ascii="Arial" w:hAnsi="Arial" w:cs="Arial"/>
          <w:b/>
          <w:bCs/>
          <w:sz w:val="24"/>
          <w:szCs w:val="24"/>
        </w:rPr>
        <w:t xml:space="preserve"> firmados </w:t>
      </w:r>
      <w:r w:rsidRPr="00A2397D">
        <w:rPr>
          <w:rFonts w:ascii="Arial" w:hAnsi="Arial" w:cs="Arial"/>
          <w:b/>
          <w:bCs/>
          <w:sz w:val="24"/>
          <w:szCs w:val="24"/>
        </w:rPr>
        <w:t>somente após</w:t>
      </w:r>
      <w:r w:rsidR="00636695" w:rsidRPr="00A2397D">
        <w:rPr>
          <w:rFonts w:ascii="Arial" w:hAnsi="Arial" w:cs="Arial"/>
          <w:b/>
          <w:bCs/>
          <w:sz w:val="24"/>
          <w:szCs w:val="24"/>
        </w:rPr>
        <w:t xml:space="preserve"> </w:t>
      </w:r>
      <w:r w:rsidRPr="00A2397D">
        <w:rPr>
          <w:rFonts w:ascii="Arial" w:hAnsi="Arial" w:cs="Arial"/>
          <w:b/>
          <w:bCs/>
          <w:sz w:val="24"/>
          <w:szCs w:val="24"/>
        </w:rPr>
        <w:t>prévio parecer</w:t>
      </w:r>
      <w:r w:rsidR="00636695" w:rsidRPr="00A2397D">
        <w:rPr>
          <w:rFonts w:ascii="Arial" w:hAnsi="Arial" w:cs="Arial"/>
          <w:b/>
          <w:bCs/>
          <w:sz w:val="24"/>
          <w:szCs w:val="24"/>
        </w:rPr>
        <w:t xml:space="preserve"> do órgão de advocacia pública estatal (PGE/GO)</w:t>
      </w:r>
      <w:r w:rsidR="00636695" w:rsidRPr="00A2397D">
        <w:rPr>
          <w:rFonts w:ascii="Arial" w:hAnsi="Arial" w:cs="Arial"/>
          <w:bCs/>
          <w:sz w:val="24"/>
          <w:szCs w:val="24"/>
        </w:rPr>
        <w:t>, manifestação essa que se considera relevante para que referido órgão se pronuncie acerca da legalidade do conteúdo da respectiva minuta</w:t>
      </w:r>
      <w:r w:rsidRPr="00A2397D">
        <w:rPr>
          <w:rFonts w:ascii="Arial" w:hAnsi="Arial" w:cs="Arial"/>
          <w:bCs/>
          <w:sz w:val="24"/>
          <w:szCs w:val="24"/>
        </w:rPr>
        <w:t xml:space="preserve"> antes de sua assinatura pelas partes interessadas.</w:t>
      </w:r>
    </w:p>
    <w:p w14:paraId="090A4006" w14:textId="70AAB806" w:rsidR="00636695" w:rsidRDefault="007E473E" w:rsidP="00636695">
      <w:pPr>
        <w:spacing w:line="360" w:lineRule="auto"/>
        <w:ind w:firstLine="851"/>
        <w:jc w:val="both"/>
        <w:rPr>
          <w:rFonts w:ascii="Arial" w:hAnsi="Arial" w:cs="Arial"/>
          <w:bCs/>
          <w:sz w:val="24"/>
          <w:szCs w:val="24"/>
        </w:rPr>
      </w:pPr>
      <w:r w:rsidRPr="00A2397D">
        <w:rPr>
          <w:rFonts w:ascii="Arial" w:hAnsi="Arial" w:cs="Arial"/>
          <w:bCs/>
          <w:sz w:val="24"/>
          <w:szCs w:val="24"/>
        </w:rPr>
        <w:t>Além disso</w:t>
      </w:r>
      <w:r w:rsidR="001271FE" w:rsidRPr="00A2397D">
        <w:rPr>
          <w:rFonts w:ascii="Arial" w:hAnsi="Arial" w:cs="Arial"/>
          <w:bCs/>
          <w:sz w:val="24"/>
          <w:szCs w:val="24"/>
        </w:rPr>
        <w:t>, verificou-se</w:t>
      </w:r>
      <w:r w:rsidRPr="00A2397D">
        <w:rPr>
          <w:rFonts w:ascii="Arial" w:hAnsi="Arial" w:cs="Arial"/>
          <w:bCs/>
          <w:sz w:val="24"/>
          <w:szCs w:val="24"/>
        </w:rPr>
        <w:t xml:space="preserve"> também</w:t>
      </w:r>
      <w:r w:rsidR="001271FE" w:rsidRPr="00A2397D">
        <w:rPr>
          <w:rFonts w:ascii="Arial" w:hAnsi="Arial" w:cs="Arial"/>
          <w:bCs/>
          <w:sz w:val="24"/>
          <w:szCs w:val="24"/>
        </w:rPr>
        <w:t xml:space="preserve"> na prática que</w:t>
      </w:r>
      <w:r w:rsidRPr="00A2397D">
        <w:rPr>
          <w:rFonts w:ascii="Arial" w:hAnsi="Arial" w:cs="Arial"/>
          <w:bCs/>
          <w:sz w:val="24"/>
          <w:szCs w:val="24"/>
        </w:rPr>
        <w:t xml:space="preserve"> </w:t>
      </w:r>
      <w:r w:rsidRPr="00A2397D">
        <w:rPr>
          <w:rFonts w:ascii="Arial" w:hAnsi="Arial" w:cs="Arial"/>
          <w:b/>
          <w:bCs/>
          <w:sz w:val="24"/>
          <w:szCs w:val="24"/>
        </w:rPr>
        <w:t>não há participação do Procurador-Geral do Estado na assinatura do mencionado ajuste fiscal</w:t>
      </w:r>
      <w:r w:rsidRPr="00A2397D">
        <w:rPr>
          <w:rFonts w:ascii="Arial" w:hAnsi="Arial" w:cs="Arial"/>
          <w:bCs/>
          <w:sz w:val="24"/>
          <w:szCs w:val="24"/>
        </w:rPr>
        <w:t>, embo</w:t>
      </w:r>
      <w:r w:rsidR="001271FE" w:rsidRPr="00A2397D">
        <w:rPr>
          <w:rFonts w:ascii="Arial" w:hAnsi="Arial" w:cs="Arial"/>
          <w:bCs/>
          <w:sz w:val="24"/>
          <w:szCs w:val="24"/>
        </w:rPr>
        <w:t xml:space="preserve">ra, quanto a este aspecto, </w:t>
      </w:r>
      <w:r w:rsidR="001271FE" w:rsidRPr="00A2397D">
        <w:rPr>
          <w:rFonts w:ascii="Arial" w:hAnsi="Arial" w:cs="Arial"/>
          <w:bCs/>
          <w:sz w:val="24"/>
          <w:szCs w:val="24"/>
          <w:u w:val="single"/>
        </w:rPr>
        <w:t>o inciso XIII do art. 5º da LC nº 58/2006 pareça bastante claro ao determinar sua participação</w:t>
      </w:r>
      <w:r w:rsidR="001271FE" w:rsidRPr="00A2397D">
        <w:rPr>
          <w:rFonts w:ascii="Arial" w:hAnsi="Arial" w:cs="Arial"/>
          <w:bCs/>
          <w:sz w:val="24"/>
          <w:szCs w:val="24"/>
        </w:rPr>
        <w:t xml:space="preserve">, ao prever que compete ao ocupante daquele cargo “firmar, </w:t>
      </w:r>
      <w:r w:rsidR="001271FE" w:rsidRPr="00A2397D">
        <w:rPr>
          <w:rFonts w:ascii="Arial" w:hAnsi="Arial" w:cs="Arial"/>
          <w:bCs/>
          <w:sz w:val="24"/>
          <w:szCs w:val="24"/>
        </w:rPr>
        <w:lastRenderedPageBreak/>
        <w:t>como representante legal do Estado, contratos, convênios e outros ajustes de qualquer natureza”; no que se insere, salvo melhor juízo, também os ajustes de natureza fiscal</w:t>
      </w:r>
      <w:r w:rsidR="00636695" w:rsidRPr="00A2397D">
        <w:rPr>
          <w:rFonts w:ascii="Arial" w:hAnsi="Arial" w:cs="Arial"/>
          <w:bCs/>
          <w:sz w:val="24"/>
          <w:szCs w:val="24"/>
        </w:rPr>
        <w:t>.</w:t>
      </w:r>
    </w:p>
    <w:p w14:paraId="6062B8D6" w14:textId="1E932578" w:rsidR="00D46587" w:rsidRDefault="00D46587" w:rsidP="00636695">
      <w:pPr>
        <w:spacing w:line="360" w:lineRule="auto"/>
        <w:ind w:firstLine="851"/>
        <w:jc w:val="both"/>
        <w:rPr>
          <w:rFonts w:ascii="Arial" w:hAnsi="Arial" w:cs="Arial"/>
          <w:bCs/>
          <w:sz w:val="24"/>
          <w:szCs w:val="24"/>
        </w:rPr>
      </w:pPr>
      <w:r w:rsidRPr="00D46587">
        <w:rPr>
          <w:rFonts w:ascii="Arial" w:hAnsi="Arial" w:cs="Arial"/>
          <w:b/>
          <w:sz w:val="24"/>
          <w:szCs w:val="24"/>
        </w:rPr>
        <w:t>Considera-se relevante também a prévia manifestação da PGE/GO no tocante a</w:t>
      </w:r>
      <w:r>
        <w:rPr>
          <w:rFonts w:ascii="Arial" w:hAnsi="Arial" w:cs="Arial"/>
          <w:sz w:val="24"/>
          <w:szCs w:val="24"/>
          <w:u w:val="single"/>
        </w:rPr>
        <w:t xml:space="preserve"> </w:t>
      </w:r>
      <w:r w:rsidRPr="006C6448">
        <w:rPr>
          <w:rFonts w:ascii="Arial" w:hAnsi="Arial" w:cs="Arial"/>
          <w:b/>
          <w:sz w:val="24"/>
          <w:szCs w:val="24"/>
        </w:rPr>
        <w:t>projeto de lei que verse sobre concessão, ampliação ou prorrogação de incentivos fiscais do ICMS</w:t>
      </w:r>
      <w:r w:rsidRPr="00A31CCA">
        <w:rPr>
          <w:rFonts w:ascii="Arial" w:hAnsi="Arial" w:cs="Arial"/>
          <w:sz w:val="24"/>
          <w:szCs w:val="24"/>
        </w:rPr>
        <w:t xml:space="preserve">, </w:t>
      </w:r>
      <w:r>
        <w:rPr>
          <w:rFonts w:ascii="Arial" w:hAnsi="Arial" w:cs="Arial"/>
          <w:sz w:val="24"/>
          <w:szCs w:val="24"/>
        </w:rPr>
        <w:t>órgão ao</w:t>
      </w:r>
      <w:r w:rsidRPr="00A31CCA">
        <w:rPr>
          <w:rFonts w:ascii="Arial" w:hAnsi="Arial" w:cs="Arial"/>
          <w:sz w:val="24"/>
          <w:szCs w:val="24"/>
        </w:rPr>
        <w:t xml:space="preserve"> qual deve ser encaminhada previamente a minuta de anteprojeto de lei para verificação dos requ</w:t>
      </w:r>
      <w:r>
        <w:rPr>
          <w:rFonts w:ascii="Arial" w:hAnsi="Arial" w:cs="Arial"/>
          <w:sz w:val="24"/>
          <w:szCs w:val="24"/>
        </w:rPr>
        <w:t>isitos constitucionais e legais</w:t>
      </w:r>
      <w:r>
        <w:rPr>
          <w:rFonts w:ascii="Arial" w:hAnsi="Arial" w:cs="Arial"/>
          <w:b/>
          <w:sz w:val="24"/>
          <w:szCs w:val="24"/>
        </w:rPr>
        <w:t>.</w:t>
      </w:r>
    </w:p>
    <w:p w14:paraId="687E89A0" w14:textId="77777777" w:rsidR="00636695" w:rsidRDefault="00636695" w:rsidP="002F1704">
      <w:pPr>
        <w:spacing w:line="360" w:lineRule="auto"/>
        <w:ind w:firstLine="851"/>
        <w:jc w:val="both"/>
        <w:rPr>
          <w:rFonts w:ascii="Arial" w:hAnsi="Arial" w:cs="Arial"/>
          <w:sz w:val="24"/>
          <w:szCs w:val="24"/>
        </w:rPr>
      </w:pPr>
    </w:p>
    <w:p w14:paraId="5580997D" w14:textId="234B3B64" w:rsidR="00380CE5" w:rsidRPr="00D22F70" w:rsidRDefault="00B30484" w:rsidP="002F1704">
      <w:pPr>
        <w:spacing w:line="360" w:lineRule="auto"/>
        <w:ind w:firstLine="851"/>
        <w:jc w:val="both"/>
        <w:rPr>
          <w:rFonts w:ascii="Arial" w:hAnsi="Arial" w:cs="Arial"/>
          <w:sz w:val="24"/>
          <w:szCs w:val="24"/>
        </w:rPr>
      </w:pPr>
      <w:r>
        <w:rPr>
          <w:rFonts w:ascii="Arial" w:hAnsi="Arial" w:cs="Arial"/>
          <w:b/>
          <w:sz w:val="24"/>
          <w:szCs w:val="24"/>
        </w:rPr>
        <w:t>5.4.</w:t>
      </w:r>
      <w:r w:rsidR="00636695">
        <w:rPr>
          <w:rFonts w:ascii="Arial" w:hAnsi="Arial" w:cs="Arial"/>
          <w:b/>
          <w:sz w:val="24"/>
          <w:szCs w:val="24"/>
        </w:rPr>
        <w:t>7</w:t>
      </w:r>
      <w:r w:rsidRPr="004C68D7">
        <w:rPr>
          <w:rFonts w:ascii="Arial" w:hAnsi="Arial" w:cs="Arial"/>
          <w:b/>
          <w:sz w:val="24"/>
          <w:szCs w:val="24"/>
        </w:rPr>
        <w:t>.</w:t>
      </w:r>
      <w:r>
        <w:rPr>
          <w:rFonts w:ascii="Arial" w:hAnsi="Arial" w:cs="Arial"/>
          <w:b/>
          <w:sz w:val="24"/>
          <w:szCs w:val="24"/>
        </w:rPr>
        <w:t xml:space="preserve"> </w:t>
      </w:r>
      <w:r w:rsidR="002F1704">
        <w:rPr>
          <w:rFonts w:ascii="Arial" w:hAnsi="Arial" w:cs="Arial"/>
          <w:sz w:val="24"/>
          <w:szCs w:val="24"/>
        </w:rPr>
        <w:t xml:space="preserve">Portanto, </w:t>
      </w:r>
      <w:r w:rsidR="00217FA6">
        <w:rPr>
          <w:rFonts w:ascii="Arial" w:hAnsi="Arial" w:cs="Arial"/>
          <w:sz w:val="24"/>
          <w:szCs w:val="24"/>
        </w:rPr>
        <w:t xml:space="preserve">tendo em vista os impasses verificados por esta CPI quanto às desconformidades da legislação tributária estadual </w:t>
      </w:r>
      <w:r w:rsidR="00F21A60">
        <w:rPr>
          <w:rFonts w:ascii="Arial" w:hAnsi="Arial" w:cs="Arial"/>
          <w:sz w:val="24"/>
          <w:szCs w:val="24"/>
        </w:rPr>
        <w:t xml:space="preserve">em matéria de </w:t>
      </w:r>
      <w:r w:rsidR="00217FA6">
        <w:rPr>
          <w:rFonts w:ascii="Arial" w:hAnsi="Arial" w:cs="Arial"/>
          <w:sz w:val="24"/>
          <w:szCs w:val="24"/>
        </w:rPr>
        <w:t xml:space="preserve">incentivos fiscais </w:t>
      </w:r>
      <w:r w:rsidR="00F21A60">
        <w:rPr>
          <w:rFonts w:ascii="Arial" w:hAnsi="Arial" w:cs="Arial"/>
          <w:sz w:val="24"/>
          <w:szCs w:val="24"/>
        </w:rPr>
        <w:t>relacionados ao ICMS</w:t>
      </w:r>
      <w:r w:rsidR="00217FA6">
        <w:rPr>
          <w:rFonts w:ascii="Arial" w:hAnsi="Arial" w:cs="Arial"/>
          <w:sz w:val="24"/>
          <w:szCs w:val="24"/>
        </w:rPr>
        <w:t xml:space="preserve">, </w:t>
      </w:r>
      <w:r w:rsidR="002F1704" w:rsidRPr="00D22F70">
        <w:rPr>
          <w:rFonts w:ascii="Arial" w:hAnsi="Arial" w:cs="Arial"/>
          <w:b/>
          <w:sz w:val="24"/>
          <w:szCs w:val="24"/>
        </w:rPr>
        <w:t>entende</w:t>
      </w:r>
      <w:r w:rsidR="00217FA6" w:rsidRPr="00D22F70">
        <w:rPr>
          <w:rFonts w:ascii="Arial" w:hAnsi="Arial" w:cs="Arial"/>
          <w:b/>
          <w:sz w:val="24"/>
          <w:szCs w:val="24"/>
        </w:rPr>
        <w:t>-se imprescindíve</w:t>
      </w:r>
      <w:r w:rsidR="00824CA5" w:rsidRPr="00D22F70">
        <w:rPr>
          <w:rFonts w:ascii="Arial" w:hAnsi="Arial" w:cs="Arial"/>
          <w:b/>
          <w:sz w:val="24"/>
          <w:szCs w:val="24"/>
        </w:rPr>
        <w:t>l a adoção</w:t>
      </w:r>
      <w:r w:rsidR="00217FA6" w:rsidRPr="00D22F70">
        <w:rPr>
          <w:rFonts w:ascii="Arial" w:hAnsi="Arial" w:cs="Arial"/>
          <w:b/>
          <w:sz w:val="24"/>
          <w:szCs w:val="24"/>
        </w:rPr>
        <w:t xml:space="preserve"> </w:t>
      </w:r>
      <w:r w:rsidR="00824CA5" w:rsidRPr="00D22F70">
        <w:rPr>
          <w:rFonts w:ascii="Arial" w:hAnsi="Arial" w:cs="Arial"/>
          <w:b/>
          <w:sz w:val="24"/>
          <w:szCs w:val="24"/>
        </w:rPr>
        <w:t>d</w:t>
      </w:r>
      <w:r w:rsidR="00217FA6" w:rsidRPr="00D22F70">
        <w:rPr>
          <w:rFonts w:ascii="Arial" w:hAnsi="Arial" w:cs="Arial"/>
          <w:b/>
          <w:sz w:val="24"/>
          <w:szCs w:val="24"/>
        </w:rPr>
        <w:t>as seguintes medidas</w:t>
      </w:r>
      <w:r w:rsidR="00217FA6" w:rsidRPr="00D22F70">
        <w:rPr>
          <w:rFonts w:ascii="Arial" w:hAnsi="Arial" w:cs="Arial"/>
          <w:sz w:val="24"/>
          <w:szCs w:val="24"/>
        </w:rPr>
        <w:t>:</w:t>
      </w:r>
    </w:p>
    <w:p w14:paraId="59A9C83D" w14:textId="77777777" w:rsidR="00DC688C" w:rsidRPr="00D22F70" w:rsidRDefault="00DC688C" w:rsidP="002F1704">
      <w:pPr>
        <w:spacing w:line="360" w:lineRule="auto"/>
        <w:ind w:firstLine="851"/>
        <w:jc w:val="both"/>
        <w:rPr>
          <w:rFonts w:ascii="Arial" w:hAnsi="Arial" w:cs="Arial"/>
          <w:sz w:val="24"/>
          <w:szCs w:val="24"/>
        </w:rPr>
      </w:pPr>
    </w:p>
    <w:p w14:paraId="318D0562" w14:textId="0C5E0879" w:rsidR="00380CE5" w:rsidRPr="00380CE5" w:rsidRDefault="00217FA6" w:rsidP="002F1704">
      <w:pPr>
        <w:spacing w:line="360" w:lineRule="auto"/>
        <w:ind w:firstLine="851"/>
        <w:jc w:val="both"/>
        <w:rPr>
          <w:rFonts w:ascii="Arial" w:hAnsi="Arial" w:cs="Arial"/>
          <w:sz w:val="24"/>
          <w:szCs w:val="24"/>
        </w:rPr>
      </w:pPr>
      <w:r w:rsidRPr="00D22F70">
        <w:rPr>
          <w:rFonts w:ascii="Arial" w:hAnsi="Arial" w:cs="Arial"/>
          <w:b/>
          <w:sz w:val="24"/>
          <w:szCs w:val="24"/>
          <w:u w:val="single"/>
        </w:rPr>
        <w:t>a)</w:t>
      </w:r>
      <w:r w:rsidR="002F1704" w:rsidRPr="00D22F70">
        <w:rPr>
          <w:rFonts w:ascii="Arial" w:hAnsi="Arial" w:cs="Arial"/>
          <w:b/>
          <w:sz w:val="24"/>
          <w:szCs w:val="24"/>
          <w:u w:val="single"/>
        </w:rPr>
        <w:t xml:space="preserve"> </w:t>
      </w:r>
      <w:r w:rsidR="00470CC0" w:rsidRPr="00D22F70">
        <w:rPr>
          <w:rFonts w:ascii="Arial" w:hAnsi="Arial" w:cs="Arial"/>
          <w:b/>
          <w:sz w:val="24"/>
          <w:szCs w:val="24"/>
          <w:u w:val="single"/>
        </w:rPr>
        <w:t xml:space="preserve">por parte do Poder Legislativo, </w:t>
      </w:r>
      <w:r w:rsidR="002F1704" w:rsidRPr="00D22F70">
        <w:rPr>
          <w:rFonts w:ascii="Arial" w:hAnsi="Arial" w:cs="Arial"/>
          <w:b/>
          <w:sz w:val="24"/>
          <w:szCs w:val="24"/>
          <w:u w:val="single"/>
        </w:rPr>
        <w:t>a apresentação</w:t>
      </w:r>
      <w:r w:rsidR="00380CE5" w:rsidRPr="00D22F70">
        <w:rPr>
          <w:rFonts w:ascii="Arial" w:hAnsi="Arial" w:cs="Arial"/>
          <w:b/>
          <w:sz w:val="24"/>
          <w:szCs w:val="24"/>
          <w:u w:val="single"/>
        </w:rPr>
        <w:t xml:space="preserve"> </w:t>
      </w:r>
      <w:r w:rsidR="00470CC0" w:rsidRPr="00D22F70">
        <w:rPr>
          <w:rFonts w:ascii="Arial" w:hAnsi="Arial" w:cs="Arial"/>
          <w:b/>
          <w:sz w:val="24"/>
          <w:szCs w:val="24"/>
          <w:u w:val="single"/>
        </w:rPr>
        <w:t xml:space="preserve">e aprovação </w:t>
      </w:r>
      <w:r w:rsidR="002F1704" w:rsidRPr="00D22F70">
        <w:rPr>
          <w:rFonts w:ascii="Arial" w:hAnsi="Arial" w:cs="Arial"/>
          <w:b/>
          <w:sz w:val="24"/>
          <w:szCs w:val="24"/>
          <w:u w:val="single"/>
        </w:rPr>
        <w:t>de projeto</w:t>
      </w:r>
      <w:r w:rsidR="00380CE5" w:rsidRPr="00D22F70">
        <w:rPr>
          <w:rFonts w:ascii="Arial" w:hAnsi="Arial" w:cs="Arial"/>
          <w:b/>
          <w:sz w:val="24"/>
          <w:szCs w:val="24"/>
          <w:u w:val="single"/>
        </w:rPr>
        <w:t>(s)</w:t>
      </w:r>
      <w:r w:rsidR="002F1704" w:rsidRPr="00D22F70">
        <w:rPr>
          <w:rFonts w:ascii="Arial" w:hAnsi="Arial" w:cs="Arial"/>
          <w:b/>
          <w:sz w:val="24"/>
          <w:szCs w:val="24"/>
          <w:u w:val="single"/>
        </w:rPr>
        <w:t xml:space="preserve"> de lei</w:t>
      </w:r>
      <w:r w:rsidR="00997715" w:rsidRPr="00D22F70">
        <w:rPr>
          <w:rFonts w:ascii="Arial" w:hAnsi="Arial" w:cs="Arial"/>
          <w:b/>
          <w:sz w:val="24"/>
          <w:szCs w:val="24"/>
          <w:u w:val="single"/>
        </w:rPr>
        <w:t xml:space="preserve">, </w:t>
      </w:r>
      <w:r w:rsidR="002F1704" w:rsidRPr="004E027A">
        <w:rPr>
          <w:rFonts w:ascii="Arial" w:hAnsi="Arial" w:cs="Arial"/>
          <w:b/>
          <w:sz w:val="24"/>
          <w:szCs w:val="24"/>
          <w:u w:val="single"/>
        </w:rPr>
        <w:t>visando à</w:t>
      </w:r>
      <w:r w:rsidR="00380CE5" w:rsidRPr="004E027A">
        <w:rPr>
          <w:rFonts w:ascii="Arial" w:hAnsi="Arial" w:cs="Arial"/>
          <w:b/>
          <w:sz w:val="24"/>
          <w:szCs w:val="24"/>
        </w:rPr>
        <w:t>:</w:t>
      </w:r>
    </w:p>
    <w:p w14:paraId="60FCC50F" w14:textId="740D83F0" w:rsidR="00380CE5" w:rsidRDefault="00380CE5" w:rsidP="002F1704">
      <w:pPr>
        <w:spacing w:line="360" w:lineRule="auto"/>
        <w:ind w:firstLine="851"/>
        <w:jc w:val="both"/>
        <w:rPr>
          <w:rFonts w:ascii="Arial" w:hAnsi="Arial" w:cs="Arial"/>
          <w:sz w:val="24"/>
          <w:szCs w:val="24"/>
        </w:rPr>
      </w:pPr>
      <w:r w:rsidRPr="00D22F70">
        <w:rPr>
          <w:rFonts w:ascii="Arial" w:hAnsi="Arial" w:cs="Arial"/>
          <w:b/>
          <w:sz w:val="24"/>
          <w:szCs w:val="24"/>
        </w:rPr>
        <w:t>a.1)</w:t>
      </w:r>
      <w:r w:rsidR="002F1704" w:rsidRPr="00D22F70">
        <w:rPr>
          <w:rFonts w:ascii="Arial" w:hAnsi="Arial" w:cs="Arial"/>
          <w:b/>
          <w:sz w:val="24"/>
          <w:szCs w:val="24"/>
        </w:rPr>
        <w:t xml:space="preserve"> alteração </w:t>
      </w:r>
      <w:r w:rsidR="000F5B55" w:rsidRPr="00D22F70">
        <w:rPr>
          <w:rFonts w:ascii="Arial" w:hAnsi="Arial" w:cs="Arial"/>
          <w:b/>
          <w:sz w:val="24"/>
          <w:szCs w:val="24"/>
        </w:rPr>
        <w:t xml:space="preserve">imediata </w:t>
      </w:r>
      <w:r w:rsidR="002F1704" w:rsidRPr="00D22F70">
        <w:rPr>
          <w:rFonts w:ascii="Arial" w:hAnsi="Arial" w:cs="Arial"/>
          <w:b/>
          <w:sz w:val="24"/>
          <w:szCs w:val="24"/>
        </w:rPr>
        <w:t>de dispositivos do CTE/GO, notadamente o art. 40</w:t>
      </w:r>
      <w:r w:rsidR="002F1704">
        <w:rPr>
          <w:rFonts w:ascii="Arial" w:hAnsi="Arial" w:cs="Arial"/>
          <w:sz w:val="24"/>
          <w:szCs w:val="24"/>
        </w:rPr>
        <w:t>, de modo a tornar mais clara a exigência constitucional de lei específica para concessão de incentivos fiscais relat</w:t>
      </w:r>
      <w:r w:rsidR="004A50CE">
        <w:rPr>
          <w:rFonts w:ascii="Arial" w:hAnsi="Arial" w:cs="Arial"/>
          <w:sz w:val="24"/>
          <w:szCs w:val="24"/>
        </w:rPr>
        <w:t>ivos ao ICMS no Estado de Goiás</w:t>
      </w:r>
      <w:r>
        <w:rPr>
          <w:rFonts w:ascii="Arial" w:hAnsi="Arial" w:cs="Arial"/>
          <w:sz w:val="24"/>
          <w:szCs w:val="24"/>
        </w:rPr>
        <w:t>;</w:t>
      </w:r>
    </w:p>
    <w:p w14:paraId="1C8F7828" w14:textId="018E0D70" w:rsidR="00380CE5" w:rsidRDefault="00380CE5" w:rsidP="002F1704">
      <w:pPr>
        <w:spacing w:line="360" w:lineRule="auto"/>
        <w:ind w:firstLine="851"/>
        <w:jc w:val="both"/>
        <w:rPr>
          <w:rFonts w:ascii="Arial" w:hAnsi="Arial" w:cs="Arial"/>
          <w:sz w:val="24"/>
          <w:szCs w:val="24"/>
        </w:rPr>
      </w:pPr>
      <w:r w:rsidRPr="00D22F70">
        <w:rPr>
          <w:rFonts w:ascii="Arial" w:hAnsi="Arial" w:cs="Arial"/>
          <w:b/>
          <w:sz w:val="24"/>
          <w:szCs w:val="24"/>
        </w:rPr>
        <w:t>a.2)</w:t>
      </w:r>
      <w:r w:rsidR="00C9095B" w:rsidRPr="00D22F70">
        <w:rPr>
          <w:rFonts w:ascii="Arial" w:hAnsi="Arial" w:cs="Arial"/>
          <w:b/>
          <w:sz w:val="24"/>
          <w:szCs w:val="24"/>
        </w:rPr>
        <w:t xml:space="preserve"> revogação </w:t>
      </w:r>
      <w:r w:rsidR="000F5B55" w:rsidRPr="00D22F70">
        <w:rPr>
          <w:rFonts w:ascii="Arial" w:hAnsi="Arial" w:cs="Arial"/>
          <w:b/>
          <w:sz w:val="24"/>
          <w:szCs w:val="24"/>
        </w:rPr>
        <w:t xml:space="preserve">imediata </w:t>
      </w:r>
      <w:r w:rsidR="00C9095B" w:rsidRPr="00D22F70">
        <w:rPr>
          <w:rFonts w:ascii="Arial" w:hAnsi="Arial" w:cs="Arial"/>
          <w:b/>
          <w:sz w:val="24"/>
          <w:szCs w:val="24"/>
        </w:rPr>
        <w:t>do inciso I do art. 45 da Lei Complementar estadual nº 138/2018</w:t>
      </w:r>
      <w:r>
        <w:rPr>
          <w:rFonts w:ascii="Arial" w:hAnsi="Arial" w:cs="Arial"/>
          <w:sz w:val="24"/>
          <w:szCs w:val="24"/>
        </w:rPr>
        <w:t>,</w:t>
      </w:r>
      <w:r w:rsidR="00997715">
        <w:rPr>
          <w:rFonts w:ascii="Arial" w:hAnsi="Arial" w:cs="Arial"/>
          <w:sz w:val="24"/>
          <w:szCs w:val="24"/>
        </w:rPr>
        <w:t xml:space="preserve"> que submete toda e qualquer concessão de incentivos fiscais à prévia regulamentação pelo Chefe do Poder Executivo, </w:t>
      </w:r>
      <w:r w:rsidR="00343DF2">
        <w:rPr>
          <w:rFonts w:ascii="Arial" w:hAnsi="Arial" w:cs="Arial"/>
          <w:sz w:val="24"/>
          <w:szCs w:val="24"/>
        </w:rPr>
        <w:t>o que</w:t>
      </w:r>
      <w:r w:rsidR="00997715">
        <w:rPr>
          <w:rFonts w:ascii="Arial" w:hAnsi="Arial" w:cs="Arial"/>
          <w:sz w:val="24"/>
          <w:szCs w:val="24"/>
        </w:rPr>
        <w:t xml:space="preserve"> enfraquece</w:t>
      </w:r>
      <w:r w:rsidR="00343DF2">
        <w:rPr>
          <w:rFonts w:ascii="Arial" w:hAnsi="Arial" w:cs="Arial"/>
          <w:sz w:val="24"/>
          <w:szCs w:val="24"/>
        </w:rPr>
        <w:t xml:space="preserve"> sobremaneira</w:t>
      </w:r>
      <w:r w:rsidR="00997715">
        <w:rPr>
          <w:rFonts w:ascii="Arial" w:hAnsi="Arial" w:cs="Arial"/>
          <w:sz w:val="24"/>
          <w:szCs w:val="24"/>
        </w:rPr>
        <w:t xml:space="preserve"> o papel do Poder Legislativo</w:t>
      </w:r>
      <w:r w:rsidR="002E06D9">
        <w:rPr>
          <w:rFonts w:ascii="Arial" w:hAnsi="Arial" w:cs="Arial"/>
          <w:sz w:val="24"/>
          <w:szCs w:val="24"/>
        </w:rPr>
        <w:t xml:space="preserve"> nessa</w:t>
      </w:r>
      <w:r w:rsidR="00343DF2">
        <w:rPr>
          <w:rFonts w:ascii="Arial" w:hAnsi="Arial" w:cs="Arial"/>
          <w:sz w:val="24"/>
          <w:szCs w:val="24"/>
        </w:rPr>
        <w:t xml:space="preserve"> seara</w:t>
      </w:r>
      <w:r w:rsidR="00997715">
        <w:rPr>
          <w:rFonts w:ascii="Arial" w:hAnsi="Arial" w:cs="Arial"/>
          <w:sz w:val="24"/>
          <w:szCs w:val="24"/>
        </w:rPr>
        <w:t>;</w:t>
      </w:r>
    </w:p>
    <w:p w14:paraId="64F1086F" w14:textId="787C8EF4" w:rsidR="003A7E68" w:rsidRPr="003A7E68" w:rsidRDefault="000B36AC" w:rsidP="003A7E68">
      <w:pPr>
        <w:spacing w:line="360" w:lineRule="auto"/>
        <w:ind w:firstLine="851"/>
        <w:jc w:val="both"/>
        <w:rPr>
          <w:rFonts w:ascii="Arial" w:hAnsi="Arial" w:cs="Arial"/>
          <w:b/>
          <w:sz w:val="24"/>
          <w:szCs w:val="24"/>
        </w:rPr>
      </w:pPr>
      <w:r w:rsidRPr="00D22F70">
        <w:rPr>
          <w:rFonts w:ascii="Arial" w:hAnsi="Arial" w:cs="Arial"/>
          <w:b/>
          <w:sz w:val="24"/>
          <w:szCs w:val="24"/>
        </w:rPr>
        <w:t xml:space="preserve">a.3) </w:t>
      </w:r>
      <w:r w:rsidR="003A7E68">
        <w:rPr>
          <w:rFonts w:ascii="Arial" w:hAnsi="Arial" w:cs="Arial"/>
          <w:b/>
          <w:sz w:val="24"/>
          <w:szCs w:val="24"/>
        </w:rPr>
        <w:t>i</w:t>
      </w:r>
      <w:r w:rsidR="003A7E68" w:rsidRPr="003A7E68">
        <w:rPr>
          <w:rFonts w:ascii="Arial" w:hAnsi="Arial" w:cs="Arial"/>
          <w:b/>
          <w:bCs/>
          <w:sz w:val="24"/>
          <w:szCs w:val="24"/>
        </w:rPr>
        <w:t xml:space="preserve">nstituição de uma política estadual de incentivos fiscais no Estado de Goiás, em caráter geral e com </w:t>
      </w:r>
      <w:r w:rsidR="003A7E68" w:rsidRPr="003A7E68">
        <w:rPr>
          <w:rFonts w:ascii="Arial" w:hAnsi="Arial" w:cs="Arial"/>
          <w:b/>
          <w:bCs/>
          <w:i/>
          <w:sz w:val="24"/>
          <w:szCs w:val="24"/>
        </w:rPr>
        <w:t>status</w:t>
      </w:r>
      <w:r w:rsidR="003A7E68" w:rsidRPr="003A7E68">
        <w:rPr>
          <w:rFonts w:ascii="Arial" w:hAnsi="Arial" w:cs="Arial"/>
          <w:b/>
          <w:bCs/>
          <w:sz w:val="24"/>
          <w:szCs w:val="24"/>
        </w:rPr>
        <w:t xml:space="preserve"> legal, até </w:t>
      </w:r>
      <w:r w:rsidR="003A7E68" w:rsidRPr="007F09CB">
        <w:rPr>
          <w:rFonts w:ascii="Arial" w:hAnsi="Arial" w:cs="Arial"/>
          <w:b/>
          <w:bCs/>
          <w:sz w:val="24"/>
          <w:szCs w:val="24"/>
        </w:rPr>
        <w:t>o</w:t>
      </w:r>
      <w:r w:rsidR="003C78B0" w:rsidRPr="007F09CB">
        <w:rPr>
          <w:rFonts w:ascii="Arial" w:hAnsi="Arial" w:cs="Arial"/>
          <w:b/>
          <w:bCs/>
          <w:sz w:val="24"/>
          <w:szCs w:val="24"/>
        </w:rPr>
        <w:t xml:space="preserve"> final do</w:t>
      </w:r>
      <w:r w:rsidR="003A7E68" w:rsidRPr="007F09CB">
        <w:rPr>
          <w:rFonts w:ascii="Arial" w:hAnsi="Arial" w:cs="Arial"/>
          <w:b/>
          <w:bCs/>
          <w:sz w:val="24"/>
          <w:szCs w:val="24"/>
        </w:rPr>
        <w:t xml:space="preserve"> primeiro semestre</w:t>
      </w:r>
      <w:r w:rsidR="003A7E68" w:rsidRPr="003A7E68">
        <w:rPr>
          <w:rFonts w:ascii="Arial" w:hAnsi="Arial" w:cs="Arial"/>
          <w:b/>
          <w:bCs/>
          <w:sz w:val="24"/>
          <w:szCs w:val="24"/>
        </w:rPr>
        <w:t xml:space="preserve"> de 2020, com o intuito de uniformizar as normas e </w:t>
      </w:r>
      <w:r w:rsidR="003C78B0">
        <w:rPr>
          <w:rFonts w:ascii="Arial" w:hAnsi="Arial" w:cs="Arial"/>
          <w:b/>
          <w:bCs/>
          <w:sz w:val="24"/>
          <w:szCs w:val="24"/>
        </w:rPr>
        <w:t>aperfeiçoar o sistema tributário</w:t>
      </w:r>
      <w:r w:rsidR="003A7E68">
        <w:rPr>
          <w:rFonts w:ascii="Arial" w:hAnsi="Arial" w:cs="Arial"/>
          <w:b/>
          <w:bCs/>
          <w:sz w:val="24"/>
          <w:szCs w:val="24"/>
        </w:rPr>
        <w:t xml:space="preserve"> no </w:t>
      </w:r>
      <w:r w:rsidR="003A7E68" w:rsidRPr="003A7E68">
        <w:rPr>
          <w:rFonts w:ascii="Arial" w:hAnsi="Arial" w:cs="Arial"/>
          <w:b/>
          <w:bCs/>
          <w:sz w:val="24"/>
          <w:szCs w:val="24"/>
        </w:rPr>
        <w:t>âmbito dos Programas FOMENTAR e PRODUZIR</w:t>
      </w:r>
      <w:r w:rsidR="003A7E68">
        <w:rPr>
          <w:rFonts w:ascii="Arial" w:hAnsi="Arial" w:cs="Arial"/>
          <w:b/>
          <w:bCs/>
          <w:sz w:val="24"/>
          <w:szCs w:val="24"/>
        </w:rPr>
        <w:t>, crédito outorgado</w:t>
      </w:r>
      <w:r w:rsidR="003A7E68" w:rsidRPr="003A7E68">
        <w:rPr>
          <w:rFonts w:ascii="Arial" w:hAnsi="Arial" w:cs="Arial"/>
          <w:b/>
          <w:bCs/>
          <w:sz w:val="24"/>
          <w:szCs w:val="24"/>
        </w:rPr>
        <w:t xml:space="preserve"> e demais incentivos fiscais esparsos consol</w:t>
      </w:r>
      <w:r w:rsidR="003A7E68">
        <w:rPr>
          <w:rFonts w:ascii="Arial" w:hAnsi="Arial" w:cs="Arial"/>
          <w:b/>
          <w:bCs/>
          <w:sz w:val="24"/>
          <w:szCs w:val="24"/>
        </w:rPr>
        <w:t>idados atualmente no RCTE/GO;</w:t>
      </w:r>
    </w:p>
    <w:p w14:paraId="76EE273F" w14:textId="77777777" w:rsidR="003A7E68" w:rsidRDefault="003A7E68" w:rsidP="002F1704">
      <w:pPr>
        <w:spacing w:line="360" w:lineRule="auto"/>
        <w:ind w:firstLine="851"/>
        <w:jc w:val="both"/>
        <w:rPr>
          <w:rFonts w:ascii="Arial" w:hAnsi="Arial" w:cs="Arial"/>
          <w:b/>
          <w:sz w:val="24"/>
          <w:szCs w:val="24"/>
          <w:u w:val="single"/>
        </w:rPr>
      </w:pPr>
    </w:p>
    <w:p w14:paraId="2972E905" w14:textId="13747D0D" w:rsidR="00950F3F" w:rsidRDefault="00950F3F" w:rsidP="002F1704">
      <w:pPr>
        <w:spacing w:line="360" w:lineRule="auto"/>
        <w:ind w:firstLine="851"/>
        <w:jc w:val="both"/>
        <w:rPr>
          <w:rFonts w:ascii="Arial" w:hAnsi="Arial" w:cs="Arial"/>
          <w:sz w:val="24"/>
          <w:szCs w:val="24"/>
        </w:rPr>
      </w:pPr>
      <w:r w:rsidRPr="00D22F70">
        <w:rPr>
          <w:rFonts w:ascii="Arial" w:hAnsi="Arial" w:cs="Arial"/>
          <w:b/>
          <w:sz w:val="24"/>
          <w:szCs w:val="24"/>
          <w:u w:val="single"/>
        </w:rPr>
        <w:t>b) por parte do Poder Executiv</w:t>
      </w:r>
      <w:r w:rsidRPr="004E027A">
        <w:rPr>
          <w:rFonts w:ascii="Arial" w:hAnsi="Arial" w:cs="Arial"/>
          <w:b/>
          <w:sz w:val="24"/>
          <w:szCs w:val="24"/>
          <w:u w:val="single"/>
        </w:rPr>
        <w:t>o</w:t>
      </w:r>
      <w:r w:rsidRPr="004E027A">
        <w:rPr>
          <w:rFonts w:ascii="Arial" w:hAnsi="Arial" w:cs="Arial"/>
          <w:b/>
          <w:sz w:val="24"/>
          <w:szCs w:val="24"/>
        </w:rPr>
        <w:t>:</w:t>
      </w:r>
    </w:p>
    <w:p w14:paraId="04ED812D" w14:textId="560C7F44" w:rsidR="00950F3F" w:rsidRDefault="00950F3F" w:rsidP="00950F3F">
      <w:pPr>
        <w:spacing w:line="360" w:lineRule="auto"/>
        <w:ind w:firstLine="851"/>
        <w:jc w:val="both"/>
        <w:rPr>
          <w:rFonts w:ascii="Arial" w:hAnsi="Arial" w:cs="Arial"/>
          <w:sz w:val="24"/>
          <w:szCs w:val="24"/>
        </w:rPr>
      </w:pPr>
      <w:r w:rsidRPr="00D22F70">
        <w:rPr>
          <w:rFonts w:ascii="Arial" w:hAnsi="Arial" w:cs="Arial"/>
          <w:b/>
          <w:sz w:val="24"/>
          <w:szCs w:val="24"/>
        </w:rPr>
        <w:t>b.1) que o Governador do Estado de Goiás e o(a) titular da pasta da Economia abstenham-se</w:t>
      </w:r>
      <w:r w:rsidR="00EF1BA6" w:rsidRPr="00D22F70">
        <w:rPr>
          <w:rFonts w:ascii="Arial" w:hAnsi="Arial" w:cs="Arial"/>
          <w:b/>
          <w:sz w:val="24"/>
          <w:szCs w:val="24"/>
        </w:rPr>
        <w:t>, imediatamente,</w:t>
      </w:r>
      <w:r w:rsidRPr="00D22F70">
        <w:rPr>
          <w:rFonts w:ascii="Arial" w:hAnsi="Arial" w:cs="Arial"/>
          <w:b/>
          <w:sz w:val="24"/>
          <w:szCs w:val="24"/>
        </w:rPr>
        <w:t xml:space="preserve"> </w:t>
      </w:r>
      <w:r w:rsidR="00EF1BA6" w:rsidRPr="00D22F70">
        <w:rPr>
          <w:rFonts w:ascii="Arial" w:hAnsi="Arial" w:cs="Arial"/>
          <w:b/>
          <w:sz w:val="24"/>
          <w:szCs w:val="24"/>
        </w:rPr>
        <w:t xml:space="preserve">de </w:t>
      </w:r>
      <w:r w:rsidRPr="00D22F70">
        <w:rPr>
          <w:rFonts w:ascii="Arial" w:hAnsi="Arial" w:cs="Arial"/>
          <w:b/>
          <w:sz w:val="24"/>
          <w:szCs w:val="24"/>
        </w:rPr>
        <w:t>propor e editar decretos que versem sobre a concessão, ampliação ou prorrogação de incentivos fiscais do ICMS</w:t>
      </w:r>
      <w:r w:rsidRPr="00950F3F">
        <w:rPr>
          <w:rFonts w:ascii="Arial" w:hAnsi="Arial" w:cs="Arial"/>
          <w:sz w:val="24"/>
          <w:szCs w:val="24"/>
        </w:rPr>
        <w:t xml:space="preserve"> aprovados em convênios celebrados no âmbito do Confaz, sem prévia lei específica, </w:t>
      </w:r>
      <w:r>
        <w:rPr>
          <w:rFonts w:ascii="Arial" w:hAnsi="Arial" w:cs="Arial"/>
          <w:sz w:val="24"/>
          <w:szCs w:val="24"/>
        </w:rPr>
        <w:t xml:space="preserve">além de o projeto de lei a ser encaminhado a esta Casa de Leis estar acompanhado da </w:t>
      </w:r>
      <w:r>
        <w:rPr>
          <w:rFonts w:ascii="Arial" w:hAnsi="Arial" w:cs="Arial"/>
          <w:sz w:val="24"/>
          <w:szCs w:val="24"/>
        </w:rPr>
        <w:lastRenderedPageBreak/>
        <w:t>demonstração de</w:t>
      </w:r>
      <w:r w:rsidRPr="00950F3F">
        <w:rPr>
          <w:rFonts w:ascii="Arial" w:hAnsi="Arial" w:cs="Arial"/>
          <w:sz w:val="24"/>
          <w:szCs w:val="24"/>
        </w:rPr>
        <w:t xml:space="preserve"> cumprimento dos requisitos e condições delineadas no art. 14 da LRF</w:t>
      </w:r>
      <w:r>
        <w:rPr>
          <w:rFonts w:ascii="Arial" w:hAnsi="Arial" w:cs="Arial"/>
          <w:sz w:val="24"/>
          <w:szCs w:val="24"/>
        </w:rPr>
        <w:t xml:space="preserve"> e da projeção de empregos e investimentos esperados dos segmentos econômicos a serem beneficiados</w:t>
      </w:r>
      <w:r w:rsidRPr="00950F3F">
        <w:rPr>
          <w:rFonts w:ascii="Arial" w:hAnsi="Arial" w:cs="Arial"/>
          <w:sz w:val="24"/>
          <w:szCs w:val="24"/>
        </w:rPr>
        <w:t>;</w:t>
      </w:r>
    </w:p>
    <w:p w14:paraId="2FE4F166" w14:textId="2BBD7C31" w:rsidR="00EF1BA6" w:rsidRDefault="00EF1BA6" w:rsidP="00EF1BA6">
      <w:pPr>
        <w:spacing w:line="360" w:lineRule="auto"/>
        <w:ind w:firstLine="851"/>
        <w:jc w:val="both"/>
        <w:rPr>
          <w:rFonts w:ascii="Arial" w:hAnsi="Arial" w:cs="Arial"/>
          <w:sz w:val="24"/>
          <w:szCs w:val="24"/>
        </w:rPr>
      </w:pPr>
      <w:r w:rsidRPr="00D22F70">
        <w:rPr>
          <w:rFonts w:ascii="Arial" w:hAnsi="Arial" w:cs="Arial"/>
          <w:b/>
          <w:sz w:val="24"/>
          <w:szCs w:val="24"/>
        </w:rPr>
        <w:t>b.</w:t>
      </w:r>
      <w:r w:rsidR="005A0127" w:rsidRPr="00D22F70">
        <w:rPr>
          <w:rFonts w:ascii="Arial" w:hAnsi="Arial" w:cs="Arial"/>
          <w:b/>
          <w:sz w:val="24"/>
          <w:szCs w:val="24"/>
        </w:rPr>
        <w:t>2</w:t>
      </w:r>
      <w:r w:rsidRPr="00D22F70">
        <w:rPr>
          <w:rFonts w:ascii="Arial" w:hAnsi="Arial" w:cs="Arial"/>
          <w:b/>
          <w:sz w:val="24"/>
          <w:szCs w:val="24"/>
        </w:rPr>
        <w:t xml:space="preserve">) que o Governador do Estado de Goiás </w:t>
      </w:r>
      <w:r w:rsidR="008B4E78" w:rsidRPr="00D22F70">
        <w:rPr>
          <w:rFonts w:ascii="Arial" w:hAnsi="Arial" w:cs="Arial"/>
          <w:b/>
          <w:sz w:val="24"/>
          <w:szCs w:val="24"/>
        </w:rPr>
        <w:t>regulamente</w:t>
      </w:r>
      <w:r w:rsidRPr="00D22F70">
        <w:rPr>
          <w:rFonts w:ascii="Arial" w:hAnsi="Arial" w:cs="Arial"/>
          <w:b/>
          <w:sz w:val="24"/>
          <w:szCs w:val="24"/>
        </w:rPr>
        <w:t xml:space="preserve"> de imediato, na parte geral do RCTE/GO, </w:t>
      </w:r>
      <w:r w:rsidR="008B4E78" w:rsidRPr="00D22F70">
        <w:rPr>
          <w:rFonts w:ascii="Arial" w:hAnsi="Arial" w:cs="Arial"/>
          <w:b/>
          <w:sz w:val="24"/>
          <w:szCs w:val="24"/>
        </w:rPr>
        <w:t>as vedações constitucionais à concessão e fruição de incentivos fiscais</w:t>
      </w:r>
      <w:r w:rsidR="008B4E78">
        <w:rPr>
          <w:rFonts w:ascii="Arial" w:hAnsi="Arial" w:cs="Arial"/>
          <w:sz w:val="24"/>
          <w:szCs w:val="24"/>
        </w:rPr>
        <w:t xml:space="preserve">, previstas </w:t>
      </w:r>
      <w:r w:rsidR="005A0127">
        <w:rPr>
          <w:rFonts w:ascii="Arial" w:hAnsi="Arial" w:cs="Arial"/>
          <w:sz w:val="24"/>
          <w:szCs w:val="24"/>
        </w:rPr>
        <w:t xml:space="preserve">sobretudo </w:t>
      </w:r>
      <w:r w:rsidR="008B4E78">
        <w:rPr>
          <w:rFonts w:ascii="Arial" w:hAnsi="Arial" w:cs="Arial"/>
          <w:sz w:val="24"/>
          <w:szCs w:val="24"/>
        </w:rPr>
        <w:t>no § 3º do art. 195 da CRFB, no § 4º do art. 132 da CE/GO e no § 2º do art. 136 da CE/GO, sem prejuízo da prerrogativa da Assembleia Legislativa de também fazê-lo na forma da alínea a.3, retro</w:t>
      </w:r>
      <w:r w:rsidR="00034EA3">
        <w:rPr>
          <w:rFonts w:ascii="Arial" w:hAnsi="Arial" w:cs="Arial"/>
          <w:sz w:val="24"/>
          <w:szCs w:val="24"/>
        </w:rPr>
        <w:t>, e da força normativa desses dispositivos constitucionais por autoridade própria</w:t>
      </w:r>
      <w:r w:rsidRPr="00950F3F">
        <w:rPr>
          <w:rFonts w:ascii="Arial" w:hAnsi="Arial" w:cs="Arial"/>
          <w:sz w:val="24"/>
          <w:szCs w:val="24"/>
        </w:rPr>
        <w:t>;</w:t>
      </w:r>
    </w:p>
    <w:p w14:paraId="77FA902A" w14:textId="5BC8B3FE" w:rsidR="00950F3F" w:rsidRDefault="00950F3F" w:rsidP="00950F3F">
      <w:pPr>
        <w:spacing w:line="360" w:lineRule="auto"/>
        <w:ind w:firstLine="851"/>
        <w:jc w:val="both"/>
        <w:rPr>
          <w:rFonts w:ascii="Arial" w:hAnsi="Arial" w:cs="Arial"/>
          <w:sz w:val="24"/>
          <w:szCs w:val="24"/>
        </w:rPr>
      </w:pPr>
      <w:r w:rsidRPr="00967253">
        <w:rPr>
          <w:rFonts w:ascii="Arial" w:hAnsi="Arial" w:cs="Arial"/>
          <w:b/>
          <w:sz w:val="24"/>
          <w:szCs w:val="24"/>
        </w:rPr>
        <w:t>b.</w:t>
      </w:r>
      <w:r w:rsidR="00EF1BA6" w:rsidRPr="00967253">
        <w:rPr>
          <w:rFonts w:ascii="Arial" w:hAnsi="Arial" w:cs="Arial"/>
          <w:b/>
          <w:sz w:val="24"/>
          <w:szCs w:val="24"/>
        </w:rPr>
        <w:t>3</w:t>
      </w:r>
      <w:r w:rsidRPr="00967253">
        <w:rPr>
          <w:rFonts w:ascii="Arial" w:hAnsi="Arial" w:cs="Arial"/>
          <w:b/>
          <w:sz w:val="24"/>
          <w:szCs w:val="24"/>
        </w:rPr>
        <w:t>) a Assembleia Legislativa conceder</w:t>
      </w:r>
      <w:r w:rsidR="005A6CCD" w:rsidRPr="00967253">
        <w:rPr>
          <w:rFonts w:ascii="Arial" w:hAnsi="Arial" w:cs="Arial"/>
          <w:b/>
          <w:sz w:val="24"/>
          <w:szCs w:val="24"/>
        </w:rPr>
        <w:t>á</w:t>
      </w:r>
      <w:r w:rsidRPr="00967253">
        <w:rPr>
          <w:rFonts w:ascii="Arial" w:hAnsi="Arial" w:cs="Arial"/>
          <w:b/>
          <w:sz w:val="24"/>
          <w:szCs w:val="24"/>
        </w:rPr>
        <w:t xml:space="preserve"> prazo, até </w:t>
      </w:r>
      <w:r w:rsidR="006011C3" w:rsidRPr="00967253">
        <w:rPr>
          <w:rFonts w:ascii="Arial" w:hAnsi="Arial" w:cs="Arial"/>
          <w:b/>
          <w:sz w:val="24"/>
          <w:szCs w:val="24"/>
        </w:rPr>
        <w:t>outub</w:t>
      </w:r>
      <w:r w:rsidRPr="00967253">
        <w:rPr>
          <w:rFonts w:ascii="Arial" w:hAnsi="Arial" w:cs="Arial"/>
          <w:b/>
          <w:sz w:val="24"/>
          <w:szCs w:val="24"/>
        </w:rPr>
        <w:t xml:space="preserve">ro de 2020, para o Chefe do Poder Executivo apresentar projeto de lei </w:t>
      </w:r>
      <w:r w:rsidR="005A6CCD" w:rsidRPr="00967253">
        <w:rPr>
          <w:rFonts w:ascii="Arial" w:hAnsi="Arial" w:cs="Arial"/>
          <w:b/>
          <w:sz w:val="24"/>
          <w:szCs w:val="24"/>
        </w:rPr>
        <w:t>de consolidação d</w:t>
      </w:r>
      <w:r w:rsidRPr="00967253">
        <w:rPr>
          <w:rFonts w:ascii="Arial" w:hAnsi="Arial" w:cs="Arial"/>
          <w:b/>
          <w:sz w:val="24"/>
          <w:szCs w:val="24"/>
        </w:rPr>
        <w:t xml:space="preserve">os incentivos fiscais atualmente previstos </w:t>
      </w:r>
      <w:r w:rsidR="00B16863" w:rsidRPr="00967253">
        <w:rPr>
          <w:rFonts w:ascii="Arial" w:hAnsi="Arial" w:cs="Arial"/>
          <w:b/>
          <w:sz w:val="24"/>
          <w:szCs w:val="24"/>
        </w:rPr>
        <w:t xml:space="preserve">em leis esparsas e </w:t>
      </w:r>
      <w:r w:rsidRPr="00967253">
        <w:rPr>
          <w:rFonts w:ascii="Arial" w:hAnsi="Arial" w:cs="Arial"/>
          <w:b/>
          <w:sz w:val="24"/>
          <w:szCs w:val="24"/>
        </w:rPr>
        <w:t>no RCTE/GO</w:t>
      </w:r>
      <w:r w:rsidRPr="00967253">
        <w:rPr>
          <w:rFonts w:ascii="Arial" w:hAnsi="Arial" w:cs="Arial"/>
          <w:sz w:val="24"/>
          <w:szCs w:val="24"/>
        </w:rPr>
        <w:t xml:space="preserve"> – a saber, isenção, redução da base de cálculo e crédito outorgado (arts. 6º a 12) – bem como seus requisitos específicos,</w:t>
      </w:r>
      <w:r w:rsidR="00F9627F" w:rsidRPr="00967253">
        <w:rPr>
          <w:rFonts w:ascii="Arial" w:hAnsi="Arial" w:cs="Arial"/>
          <w:sz w:val="24"/>
          <w:szCs w:val="24"/>
        </w:rPr>
        <w:t xml:space="preserve"> </w:t>
      </w:r>
      <w:r w:rsidR="00243137" w:rsidRPr="00967253">
        <w:rPr>
          <w:rFonts w:ascii="Arial" w:hAnsi="Arial" w:cs="Arial"/>
          <w:sz w:val="24"/>
          <w:szCs w:val="24"/>
        </w:rPr>
        <w:t>observado também o seguinte</w:t>
      </w:r>
      <w:r w:rsidR="009A1C7D" w:rsidRPr="00967253">
        <w:rPr>
          <w:rFonts w:ascii="Arial" w:hAnsi="Arial" w:cs="Arial"/>
          <w:sz w:val="24"/>
          <w:szCs w:val="24"/>
        </w:rPr>
        <w:t>:</w:t>
      </w:r>
    </w:p>
    <w:p w14:paraId="6279A221" w14:textId="664CC799" w:rsidR="00950F3F" w:rsidRPr="00D400C4" w:rsidRDefault="00950F3F" w:rsidP="00950F3F">
      <w:pPr>
        <w:spacing w:line="360" w:lineRule="auto"/>
        <w:ind w:firstLine="851"/>
        <w:jc w:val="both"/>
        <w:rPr>
          <w:rFonts w:ascii="Arial" w:hAnsi="Arial" w:cs="Arial"/>
          <w:sz w:val="24"/>
          <w:szCs w:val="24"/>
        </w:rPr>
      </w:pPr>
      <w:r w:rsidRPr="00D22F70">
        <w:rPr>
          <w:rFonts w:ascii="Arial" w:hAnsi="Arial" w:cs="Arial"/>
          <w:sz w:val="24"/>
          <w:szCs w:val="24"/>
          <w:u w:val="single"/>
        </w:rPr>
        <w:t>b.</w:t>
      </w:r>
      <w:r w:rsidR="00EF1BA6" w:rsidRPr="00D22F70">
        <w:rPr>
          <w:rFonts w:ascii="Arial" w:hAnsi="Arial" w:cs="Arial"/>
          <w:sz w:val="24"/>
          <w:szCs w:val="24"/>
          <w:u w:val="single"/>
        </w:rPr>
        <w:t>3</w:t>
      </w:r>
      <w:r w:rsidR="009A1C7D" w:rsidRPr="00D22F70">
        <w:rPr>
          <w:rFonts w:ascii="Arial" w:hAnsi="Arial" w:cs="Arial"/>
          <w:sz w:val="24"/>
          <w:szCs w:val="24"/>
          <w:u w:val="single"/>
        </w:rPr>
        <w:t>.</w:t>
      </w:r>
      <w:r w:rsidRPr="00D22F70">
        <w:rPr>
          <w:rFonts w:ascii="Arial" w:hAnsi="Arial" w:cs="Arial"/>
          <w:sz w:val="24"/>
          <w:szCs w:val="24"/>
          <w:u w:val="single"/>
        </w:rPr>
        <w:t xml:space="preserve">1) </w:t>
      </w:r>
      <w:r w:rsidR="00243137" w:rsidRPr="00D22F70">
        <w:rPr>
          <w:rFonts w:ascii="Arial" w:hAnsi="Arial" w:cs="Arial"/>
          <w:sz w:val="24"/>
          <w:szCs w:val="24"/>
          <w:u w:val="single"/>
        </w:rPr>
        <w:t xml:space="preserve">faculta-se </w:t>
      </w:r>
      <w:r w:rsidR="00A424A2" w:rsidRPr="00D22F70">
        <w:rPr>
          <w:rFonts w:ascii="Arial" w:hAnsi="Arial" w:cs="Arial"/>
          <w:sz w:val="24"/>
          <w:szCs w:val="24"/>
          <w:u w:val="single"/>
        </w:rPr>
        <w:t xml:space="preserve">a </w:t>
      </w:r>
      <w:r w:rsidRPr="00D22F70">
        <w:rPr>
          <w:rFonts w:ascii="Arial" w:hAnsi="Arial" w:cs="Arial"/>
          <w:sz w:val="24"/>
          <w:szCs w:val="24"/>
          <w:u w:val="single"/>
        </w:rPr>
        <w:t xml:space="preserve">apresentação de um projeto de lei para cada espécie de incentivo fiscal hoje previsto no Anexo IX </w:t>
      </w:r>
      <w:r w:rsidR="00A424A2" w:rsidRPr="00D22F70">
        <w:rPr>
          <w:rFonts w:ascii="Arial" w:hAnsi="Arial" w:cs="Arial"/>
          <w:sz w:val="24"/>
          <w:szCs w:val="24"/>
          <w:u w:val="single"/>
        </w:rPr>
        <w:t xml:space="preserve">do </w:t>
      </w:r>
      <w:r w:rsidRPr="00D22F70">
        <w:rPr>
          <w:rFonts w:ascii="Arial" w:hAnsi="Arial" w:cs="Arial"/>
          <w:sz w:val="24"/>
          <w:szCs w:val="24"/>
          <w:u w:val="single"/>
        </w:rPr>
        <w:t>RCTE/GO</w:t>
      </w:r>
      <w:r w:rsidRPr="00D400C4">
        <w:rPr>
          <w:rFonts w:ascii="Arial" w:hAnsi="Arial" w:cs="Arial"/>
          <w:sz w:val="24"/>
          <w:szCs w:val="24"/>
        </w:rPr>
        <w:t xml:space="preserve"> (isenção, arts. 6º e 7º; redução da base de cálculo, arts. 8º a 9º; e crédito outorgado</w:t>
      </w:r>
      <w:r w:rsidR="001C0200">
        <w:rPr>
          <w:rFonts w:ascii="Arial" w:hAnsi="Arial" w:cs="Arial"/>
          <w:sz w:val="24"/>
          <w:szCs w:val="24"/>
        </w:rPr>
        <w:t>, arts. 10 a 12</w:t>
      </w:r>
      <w:r w:rsidRPr="00D400C4">
        <w:rPr>
          <w:rFonts w:ascii="Arial" w:hAnsi="Arial" w:cs="Arial"/>
          <w:sz w:val="24"/>
          <w:szCs w:val="24"/>
        </w:rPr>
        <w:t xml:space="preserve">), cada qual </w:t>
      </w:r>
      <w:r w:rsidR="00241C04">
        <w:rPr>
          <w:rFonts w:ascii="Arial" w:hAnsi="Arial" w:cs="Arial"/>
          <w:sz w:val="24"/>
          <w:szCs w:val="24"/>
        </w:rPr>
        <w:t xml:space="preserve">preferencialmente </w:t>
      </w:r>
      <w:r w:rsidRPr="00D400C4">
        <w:rPr>
          <w:rFonts w:ascii="Arial" w:hAnsi="Arial" w:cs="Arial"/>
          <w:sz w:val="24"/>
          <w:szCs w:val="24"/>
        </w:rPr>
        <w:t>dividido em capítulos conforme os segmentos da atividade econômica contemplados com os benefícios;</w:t>
      </w:r>
    </w:p>
    <w:p w14:paraId="50C20C34" w14:textId="0157455D" w:rsidR="00693A71" w:rsidRDefault="00693A71" w:rsidP="00693A71">
      <w:pPr>
        <w:spacing w:line="360" w:lineRule="auto"/>
        <w:ind w:firstLine="851"/>
        <w:jc w:val="both"/>
        <w:rPr>
          <w:rFonts w:ascii="Arial" w:hAnsi="Arial" w:cs="Arial"/>
          <w:sz w:val="24"/>
          <w:szCs w:val="24"/>
        </w:rPr>
      </w:pPr>
      <w:r w:rsidRPr="00D22F70">
        <w:rPr>
          <w:rFonts w:ascii="Arial" w:hAnsi="Arial" w:cs="Arial"/>
          <w:sz w:val="24"/>
          <w:szCs w:val="24"/>
          <w:u w:val="single"/>
        </w:rPr>
        <w:t xml:space="preserve">b.3.2) </w:t>
      </w:r>
      <w:r w:rsidR="00243137" w:rsidRPr="00D22F70">
        <w:rPr>
          <w:rFonts w:ascii="Arial" w:hAnsi="Arial" w:cs="Arial"/>
          <w:sz w:val="24"/>
          <w:szCs w:val="24"/>
          <w:u w:val="single"/>
        </w:rPr>
        <w:t>o(s)</w:t>
      </w:r>
      <w:r w:rsidRPr="00D22F70">
        <w:rPr>
          <w:rFonts w:ascii="Arial" w:hAnsi="Arial" w:cs="Arial"/>
          <w:sz w:val="24"/>
          <w:szCs w:val="24"/>
          <w:u w:val="single"/>
        </w:rPr>
        <w:t xml:space="preserve"> projeto</w:t>
      </w:r>
      <w:r w:rsidR="00243137" w:rsidRPr="00D22F70">
        <w:rPr>
          <w:rFonts w:ascii="Arial" w:hAnsi="Arial" w:cs="Arial"/>
          <w:sz w:val="24"/>
          <w:szCs w:val="24"/>
          <w:u w:val="single"/>
        </w:rPr>
        <w:t>(s)</w:t>
      </w:r>
      <w:r w:rsidRPr="00D22F70">
        <w:rPr>
          <w:rFonts w:ascii="Arial" w:hAnsi="Arial" w:cs="Arial"/>
          <w:sz w:val="24"/>
          <w:szCs w:val="24"/>
          <w:u w:val="single"/>
        </w:rPr>
        <w:t xml:space="preserve"> de lei </w:t>
      </w:r>
      <w:r w:rsidR="001C0200" w:rsidRPr="00D22F70">
        <w:rPr>
          <w:rFonts w:ascii="Arial" w:hAnsi="Arial" w:cs="Arial"/>
          <w:sz w:val="24"/>
          <w:szCs w:val="24"/>
          <w:u w:val="single"/>
        </w:rPr>
        <w:t>deve</w:t>
      </w:r>
      <w:r w:rsidR="00243137" w:rsidRPr="00D22F70">
        <w:rPr>
          <w:rFonts w:ascii="Arial" w:hAnsi="Arial" w:cs="Arial"/>
          <w:sz w:val="24"/>
          <w:szCs w:val="24"/>
          <w:u w:val="single"/>
        </w:rPr>
        <w:t>(m)</w:t>
      </w:r>
      <w:r w:rsidR="001C0200" w:rsidRPr="00D22F70">
        <w:rPr>
          <w:rFonts w:ascii="Arial" w:hAnsi="Arial" w:cs="Arial"/>
          <w:sz w:val="24"/>
          <w:szCs w:val="24"/>
          <w:u w:val="single"/>
        </w:rPr>
        <w:t xml:space="preserve"> ser</w:t>
      </w:r>
      <w:r w:rsidRPr="00D22F70">
        <w:rPr>
          <w:rFonts w:ascii="Arial" w:hAnsi="Arial" w:cs="Arial"/>
          <w:sz w:val="24"/>
          <w:szCs w:val="24"/>
          <w:u w:val="single"/>
        </w:rPr>
        <w:t xml:space="preserve"> precedido de reanálise cuidadosa, por parte da equipe técnica</w:t>
      </w:r>
      <w:r w:rsidRPr="00D400C4">
        <w:rPr>
          <w:rFonts w:ascii="Arial" w:hAnsi="Arial" w:cs="Arial"/>
          <w:sz w:val="24"/>
          <w:szCs w:val="24"/>
        </w:rPr>
        <w:t xml:space="preserve">, </w:t>
      </w:r>
      <w:r>
        <w:rPr>
          <w:rFonts w:ascii="Arial" w:hAnsi="Arial" w:cs="Arial"/>
          <w:sz w:val="24"/>
          <w:szCs w:val="24"/>
        </w:rPr>
        <w:t xml:space="preserve">referente aos </w:t>
      </w:r>
      <w:r w:rsidRPr="00D400C4">
        <w:rPr>
          <w:rFonts w:ascii="Arial" w:hAnsi="Arial" w:cs="Arial"/>
          <w:sz w:val="24"/>
          <w:szCs w:val="24"/>
        </w:rPr>
        <w:t>incentivos fiscais</w:t>
      </w:r>
      <w:r w:rsidR="00243137">
        <w:rPr>
          <w:rFonts w:ascii="Arial" w:hAnsi="Arial" w:cs="Arial"/>
          <w:sz w:val="24"/>
          <w:szCs w:val="24"/>
        </w:rPr>
        <w:t xml:space="preserve"> efetivamente</w:t>
      </w:r>
      <w:r w:rsidRPr="00D400C4">
        <w:rPr>
          <w:rFonts w:ascii="Arial" w:hAnsi="Arial" w:cs="Arial"/>
          <w:sz w:val="24"/>
          <w:szCs w:val="24"/>
        </w:rPr>
        <w:t xml:space="preserve"> </w:t>
      </w:r>
      <w:r w:rsidR="00243137">
        <w:rPr>
          <w:rFonts w:ascii="Arial" w:hAnsi="Arial" w:cs="Arial"/>
          <w:sz w:val="24"/>
          <w:szCs w:val="24"/>
        </w:rPr>
        <w:t>vigentes</w:t>
      </w:r>
      <w:r w:rsidRPr="00D400C4">
        <w:rPr>
          <w:rFonts w:ascii="Arial" w:hAnsi="Arial" w:cs="Arial"/>
          <w:sz w:val="24"/>
          <w:szCs w:val="24"/>
        </w:rPr>
        <w:t xml:space="preserve"> </w:t>
      </w:r>
      <w:r w:rsidR="00243137">
        <w:rPr>
          <w:rFonts w:ascii="Arial" w:hAnsi="Arial" w:cs="Arial"/>
          <w:sz w:val="24"/>
          <w:szCs w:val="24"/>
        </w:rPr>
        <w:t>e contemplar a revogação expressa dos diplomas e dispositivos legais contemplados na consolidação</w:t>
      </w:r>
      <w:r>
        <w:rPr>
          <w:rFonts w:ascii="Arial" w:hAnsi="Arial" w:cs="Arial"/>
          <w:sz w:val="24"/>
          <w:szCs w:val="24"/>
        </w:rPr>
        <w:t>;</w:t>
      </w:r>
    </w:p>
    <w:p w14:paraId="10551CE9" w14:textId="1125FE73" w:rsidR="00D22F70" w:rsidRDefault="00243137" w:rsidP="00D22F70">
      <w:pPr>
        <w:spacing w:line="360" w:lineRule="auto"/>
        <w:ind w:firstLine="851"/>
        <w:jc w:val="both"/>
        <w:rPr>
          <w:rFonts w:ascii="Arial" w:hAnsi="Arial" w:cs="Arial"/>
          <w:sz w:val="24"/>
          <w:szCs w:val="24"/>
        </w:rPr>
      </w:pPr>
      <w:r w:rsidRPr="00D22F70">
        <w:rPr>
          <w:rFonts w:ascii="Arial" w:hAnsi="Arial" w:cs="Arial"/>
          <w:sz w:val="24"/>
          <w:szCs w:val="24"/>
          <w:u w:val="single"/>
        </w:rPr>
        <w:t>b.3.3) o Anexo IX do RCTE/GO deve ter sua redação</w:t>
      </w:r>
      <w:r w:rsidR="00A4123A" w:rsidRPr="00D22F70">
        <w:rPr>
          <w:rFonts w:ascii="Arial" w:hAnsi="Arial" w:cs="Arial"/>
          <w:sz w:val="24"/>
          <w:szCs w:val="24"/>
          <w:u w:val="single"/>
        </w:rPr>
        <w:t xml:space="preserve"> adequada</w:t>
      </w:r>
      <w:r w:rsidR="00A4123A">
        <w:rPr>
          <w:rFonts w:ascii="Arial" w:hAnsi="Arial" w:cs="Arial"/>
          <w:sz w:val="24"/>
          <w:szCs w:val="24"/>
        </w:rPr>
        <w:t>, preferencialmente para torná-la mais enxuta de modo a prever apenas a disposições de caráter efetivamente regulamenta</w:t>
      </w:r>
      <w:r w:rsidR="00166A83">
        <w:rPr>
          <w:rFonts w:ascii="Arial" w:hAnsi="Arial" w:cs="Arial"/>
          <w:sz w:val="24"/>
          <w:szCs w:val="24"/>
        </w:rPr>
        <w:t>r</w:t>
      </w:r>
      <w:r w:rsidR="00A4123A">
        <w:rPr>
          <w:rFonts w:ascii="Arial" w:hAnsi="Arial" w:cs="Arial"/>
          <w:sz w:val="24"/>
          <w:szCs w:val="24"/>
        </w:rPr>
        <w:t xml:space="preserve"> dos incentivos fiscais</w:t>
      </w:r>
      <w:r w:rsidR="0029470A">
        <w:rPr>
          <w:rFonts w:ascii="Arial" w:hAnsi="Arial" w:cs="Arial"/>
          <w:sz w:val="24"/>
          <w:szCs w:val="24"/>
        </w:rPr>
        <w:t>, assim que aprovadas as consolidações legislativas acima propostas</w:t>
      </w:r>
      <w:r w:rsidR="00D22F70">
        <w:rPr>
          <w:rFonts w:ascii="Arial" w:hAnsi="Arial" w:cs="Arial"/>
          <w:sz w:val="24"/>
          <w:szCs w:val="24"/>
        </w:rPr>
        <w:t>;</w:t>
      </w:r>
    </w:p>
    <w:p w14:paraId="065E98EB" w14:textId="1BED2402" w:rsidR="00D22F70" w:rsidRPr="00D22F70" w:rsidRDefault="00D22F70" w:rsidP="00D22F70">
      <w:pPr>
        <w:spacing w:line="360" w:lineRule="auto"/>
        <w:ind w:firstLine="851"/>
        <w:jc w:val="both"/>
        <w:rPr>
          <w:rFonts w:ascii="Arial" w:hAnsi="Arial" w:cs="Arial"/>
          <w:bCs/>
          <w:sz w:val="24"/>
          <w:szCs w:val="24"/>
        </w:rPr>
      </w:pPr>
      <w:r w:rsidRPr="00A2397D">
        <w:rPr>
          <w:rFonts w:ascii="Arial" w:hAnsi="Arial" w:cs="Arial"/>
          <w:b/>
          <w:bCs/>
          <w:sz w:val="24"/>
          <w:szCs w:val="24"/>
        </w:rPr>
        <w:t xml:space="preserve">b.4) </w:t>
      </w:r>
      <w:r w:rsidR="004E027A" w:rsidRPr="00A2397D">
        <w:rPr>
          <w:rFonts w:ascii="Arial" w:hAnsi="Arial" w:cs="Arial"/>
          <w:b/>
          <w:bCs/>
          <w:sz w:val="24"/>
          <w:szCs w:val="24"/>
        </w:rPr>
        <w:t xml:space="preserve">determinar que </w:t>
      </w:r>
      <w:r w:rsidRPr="00A2397D">
        <w:rPr>
          <w:rFonts w:ascii="Arial" w:hAnsi="Arial" w:cs="Arial"/>
          <w:b/>
          <w:bCs/>
          <w:sz w:val="24"/>
          <w:szCs w:val="24"/>
        </w:rPr>
        <w:t>a</w:t>
      </w:r>
      <w:r w:rsidR="00A2397D">
        <w:rPr>
          <w:rFonts w:ascii="Arial" w:hAnsi="Arial" w:cs="Arial"/>
          <w:b/>
          <w:bCs/>
          <w:sz w:val="24"/>
          <w:szCs w:val="24"/>
        </w:rPr>
        <w:t>s</w:t>
      </w:r>
      <w:r w:rsidRPr="00A2397D">
        <w:rPr>
          <w:rFonts w:ascii="Arial" w:hAnsi="Arial" w:cs="Arial"/>
          <w:b/>
          <w:bCs/>
          <w:sz w:val="24"/>
          <w:szCs w:val="24"/>
        </w:rPr>
        <w:t xml:space="preserve"> minuta</w:t>
      </w:r>
      <w:r w:rsidR="00A2397D">
        <w:rPr>
          <w:rFonts w:ascii="Arial" w:hAnsi="Arial" w:cs="Arial"/>
          <w:b/>
          <w:bCs/>
          <w:sz w:val="24"/>
          <w:szCs w:val="24"/>
        </w:rPr>
        <w:t>s</w:t>
      </w:r>
      <w:r w:rsidRPr="00A2397D">
        <w:rPr>
          <w:rFonts w:ascii="Arial" w:hAnsi="Arial" w:cs="Arial"/>
          <w:b/>
          <w:bCs/>
          <w:sz w:val="24"/>
          <w:szCs w:val="24"/>
        </w:rPr>
        <w:t xml:space="preserve"> de</w:t>
      </w:r>
      <w:r w:rsidR="00A2397D">
        <w:rPr>
          <w:rFonts w:ascii="Arial" w:hAnsi="Arial" w:cs="Arial"/>
          <w:b/>
          <w:bCs/>
          <w:sz w:val="24"/>
          <w:szCs w:val="24"/>
        </w:rPr>
        <w:t xml:space="preserve"> projetos de lei e</w:t>
      </w:r>
      <w:r w:rsidRPr="00A2397D">
        <w:rPr>
          <w:rFonts w:ascii="Arial" w:hAnsi="Arial" w:cs="Arial"/>
          <w:b/>
          <w:bCs/>
          <w:sz w:val="24"/>
          <w:szCs w:val="24"/>
        </w:rPr>
        <w:t xml:space="preserve"> TARE </w:t>
      </w:r>
      <w:r w:rsidR="00A2397D">
        <w:rPr>
          <w:rFonts w:ascii="Arial" w:hAnsi="Arial" w:cs="Arial"/>
          <w:b/>
          <w:bCs/>
          <w:sz w:val="24"/>
          <w:szCs w:val="24"/>
        </w:rPr>
        <w:t>relacionados a concessão e ampliação de incentivos fiscais</w:t>
      </w:r>
      <w:r w:rsidR="00A2397D" w:rsidRPr="00A2397D">
        <w:rPr>
          <w:rFonts w:ascii="Arial" w:hAnsi="Arial" w:cs="Arial"/>
          <w:b/>
          <w:bCs/>
          <w:sz w:val="24"/>
          <w:szCs w:val="24"/>
        </w:rPr>
        <w:t xml:space="preserve"> </w:t>
      </w:r>
      <w:r w:rsidR="00F317B2" w:rsidRPr="00A2397D">
        <w:rPr>
          <w:rFonts w:ascii="Arial" w:hAnsi="Arial" w:cs="Arial"/>
          <w:b/>
          <w:bCs/>
          <w:sz w:val="24"/>
          <w:szCs w:val="24"/>
        </w:rPr>
        <w:t>seja</w:t>
      </w:r>
      <w:r w:rsidRPr="00A2397D">
        <w:rPr>
          <w:rFonts w:ascii="Arial" w:hAnsi="Arial" w:cs="Arial"/>
          <w:b/>
          <w:bCs/>
          <w:sz w:val="24"/>
          <w:szCs w:val="24"/>
        </w:rPr>
        <w:t xml:space="preserve"> previamente a</w:t>
      </w:r>
      <w:r w:rsidR="00F317B2" w:rsidRPr="00A2397D">
        <w:rPr>
          <w:rFonts w:ascii="Arial" w:hAnsi="Arial" w:cs="Arial"/>
          <w:b/>
          <w:bCs/>
          <w:sz w:val="24"/>
          <w:szCs w:val="24"/>
        </w:rPr>
        <w:t xml:space="preserve">nalisada e </w:t>
      </w:r>
      <w:r w:rsidRPr="00A2397D">
        <w:rPr>
          <w:rFonts w:ascii="Arial" w:hAnsi="Arial" w:cs="Arial"/>
          <w:b/>
          <w:bCs/>
          <w:sz w:val="24"/>
          <w:szCs w:val="24"/>
        </w:rPr>
        <w:t>aprovada pela PGE/GO</w:t>
      </w:r>
      <w:r w:rsidR="004E027A" w:rsidRPr="00A2397D">
        <w:rPr>
          <w:rFonts w:ascii="Arial" w:hAnsi="Arial" w:cs="Arial"/>
          <w:bCs/>
          <w:sz w:val="24"/>
          <w:szCs w:val="24"/>
        </w:rPr>
        <w:t xml:space="preserve"> – à semelhança do que ocorre em relação aos contratos administrativos típicos (Lei nº 8.666/1993, </w:t>
      </w:r>
      <w:r w:rsidRPr="00A2397D">
        <w:rPr>
          <w:rFonts w:ascii="Arial" w:hAnsi="Arial" w:cs="Arial"/>
          <w:bCs/>
          <w:sz w:val="24"/>
          <w:szCs w:val="24"/>
        </w:rPr>
        <w:t>art. 38, parágrafo único</w:t>
      </w:r>
      <w:r w:rsidR="004E027A" w:rsidRPr="00A2397D">
        <w:rPr>
          <w:rFonts w:ascii="Arial" w:hAnsi="Arial" w:cs="Arial"/>
          <w:bCs/>
          <w:sz w:val="24"/>
          <w:szCs w:val="24"/>
        </w:rPr>
        <w:t xml:space="preserve">) – e </w:t>
      </w:r>
      <w:r w:rsidR="00F317B2" w:rsidRPr="00A2397D">
        <w:rPr>
          <w:rFonts w:ascii="Arial" w:hAnsi="Arial" w:cs="Arial"/>
          <w:bCs/>
          <w:sz w:val="24"/>
          <w:szCs w:val="24"/>
        </w:rPr>
        <w:t xml:space="preserve">que </w:t>
      </w:r>
      <w:r w:rsidRPr="00A2397D">
        <w:rPr>
          <w:rFonts w:ascii="Arial" w:hAnsi="Arial" w:cs="Arial"/>
          <w:bCs/>
          <w:sz w:val="24"/>
          <w:szCs w:val="24"/>
          <w:u w:val="single"/>
        </w:rPr>
        <w:t xml:space="preserve">o Procurador-Geral do Estado, em substituição ou complementação à figura do Secretário de Estado </w:t>
      </w:r>
      <w:r w:rsidRPr="00A2397D">
        <w:rPr>
          <w:rFonts w:ascii="Arial" w:hAnsi="Arial" w:cs="Arial"/>
          <w:bCs/>
          <w:sz w:val="24"/>
          <w:szCs w:val="24"/>
          <w:u w:val="single"/>
        </w:rPr>
        <w:lastRenderedPageBreak/>
        <w:t>da Fazenda (atual Economia)</w:t>
      </w:r>
      <w:r w:rsidR="004E027A" w:rsidRPr="00A2397D">
        <w:rPr>
          <w:rFonts w:ascii="Arial" w:hAnsi="Arial" w:cs="Arial"/>
          <w:bCs/>
          <w:sz w:val="24"/>
          <w:szCs w:val="24"/>
          <w:u w:val="single"/>
        </w:rPr>
        <w:t>,</w:t>
      </w:r>
      <w:r w:rsidRPr="00A2397D">
        <w:rPr>
          <w:rFonts w:ascii="Arial" w:hAnsi="Arial" w:cs="Arial"/>
          <w:bCs/>
          <w:sz w:val="24"/>
          <w:szCs w:val="24"/>
          <w:u w:val="single"/>
        </w:rPr>
        <w:t xml:space="preserve"> firme </w:t>
      </w:r>
      <w:r w:rsidR="004E027A" w:rsidRPr="00A2397D">
        <w:rPr>
          <w:rFonts w:ascii="Arial" w:hAnsi="Arial" w:cs="Arial"/>
          <w:bCs/>
          <w:sz w:val="24"/>
          <w:szCs w:val="24"/>
          <w:u w:val="single"/>
        </w:rPr>
        <w:t xml:space="preserve">os </w:t>
      </w:r>
      <w:r w:rsidRPr="00A2397D">
        <w:rPr>
          <w:rFonts w:ascii="Arial" w:hAnsi="Arial" w:cs="Arial"/>
          <w:bCs/>
          <w:sz w:val="24"/>
          <w:szCs w:val="24"/>
          <w:u w:val="single"/>
        </w:rPr>
        <w:t xml:space="preserve">TARE’s, </w:t>
      </w:r>
      <w:r w:rsidR="00F317B2" w:rsidRPr="00A2397D">
        <w:rPr>
          <w:rFonts w:ascii="Arial" w:hAnsi="Arial" w:cs="Arial"/>
          <w:bCs/>
          <w:sz w:val="24"/>
          <w:szCs w:val="24"/>
          <w:u w:val="single"/>
        </w:rPr>
        <w:t xml:space="preserve">consoante o </w:t>
      </w:r>
      <w:r w:rsidRPr="00A2397D">
        <w:rPr>
          <w:rFonts w:ascii="Arial" w:hAnsi="Arial" w:cs="Arial"/>
          <w:bCs/>
          <w:sz w:val="24"/>
          <w:szCs w:val="24"/>
          <w:u w:val="single"/>
        </w:rPr>
        <w:t>inciso XIII do art. 5º da LC nº 58/2006</w:t>
      </w:r>
      <w:r w:rsidR="00F317B2" w:rsidRPr="00A2397D">
        <w:rPr>
          <w:rFonts w:ascii="Arial" w:hAnsi="Arial" w:cs="Arial"/>
          <w:bCs/>
          <w:sz w:val="24"/>
          <w:szCs w:val="24"/>
        </w:rPr>
        <w:t>.</w:t>
      </w:r>
    </w:p>
    <w:p w14:paraId="799F498E" w14:textId="77777777" w:rsidR="00D22F70" w:rsidRDefault="00D22F70" w:rsidP="00D22F70">
      <w:pPr>
        <w:spacing w:line="360" w:lineRule="auto"/>
        <w:ind w:firstLine="851"/>
        <w:jc w:val="both"/>
        <w:rPr>
          <w:rFonts w:ascii="Arial" w:hAnsi="Arial" w:cs="Arial"/>
          <w:sz w:val="24"/>
          <w:szCs w:val="24"/>
        </w:rPr>
      </w:pPr>
    </w:p>
    <w:p w14:paraId="563AEECB" w14:textId="77777777" w:rsidR="00950F3F" w:rsidRDefault="00950F3F" w:rsidP="00950F3F">
      <w:pPr>
        <w:spacing w:line="360" w:lineRule="auto"/>
        <w:ind w:firstLine="851"/>
        <w:jc w:val="both"/>
        <w:rPr>
          <w:rFonts w:ascii="Arial" w:hAnsi="Arial" w:cs="Arial"/>
          <w:sz w:val="24"/>
          <w:szCs w:val="24"/>
        </w:rPr>
      </w:pPr>
    </w:p>
    <w:p w14:paraId="7B81EB6B" w14:textId="1272F1E4" w:rsidR="00E634D4" w:rsidRDefault="00E634D4" w:rsidP="00713208">
      <w:pPr>
        <w:spacing w:line="360" w:lineRule="auto"/>
        <w:ind w:firstLine="851"/>
        <w:jc w:val="both"/>
        <w:rPr>
          <w:rFonts w:ascii="Arial" w:hAnsi="Arial" w:cs="Arial"/>
          <w:b/>
          <w:sz w:val="24"/>
          <w:szCs w:val="24"/>
        </w:rPr>
      </w:pPr>
    </w:p>
    <w:p w14:paraId="5EB6672E" w14:textId="06AAD3E4" w:rsidR="00EF57A2" w:rsidRDefault="00EF57A2">
      <w:pPr>
        <w:rPr>
          <w:rFonts w:ascii="Arial" w:hAnsi="Arial" w:cs="Arial"/>
          <w:b/>
          <w:sz w:val="24"/>
          <w:szCs w:val="24"/>
        </w:rPr>
      </w:pPr>
      <w:r>
        <w:rPr>
          <w:rFonts w:ascii="Arial" w:hAnsi="Arial" w:cs="Arial"/>
          <w:b/>
          <w:sz w:val="24"/>
          <w:szCs w:val="24"/>
        </w:rPr>
        <w:br w:type="page"/>
      </w:r>
    </w:p>
    <w:p w14:paraId="5EB59B90" w14:textId="77777777" w:rsidR="00D46587" w:rsidRDefault="00D46587" w:rsidP="00F305AA">
      <w:pPr>
        <w:spacing w:line="360" w:lineRule="auto"/>
        <w:ind w:firstLine="851"/>
        <w:jc w:val="both"/>
        <w:rPr>
          <w:rFonts w:ascii="Arial" w:hAnsi="Arial" w:cs="Arial"/>
          <w:b/>
          <w:sz w:val="24"/>
          <w:szCs w:val="24"/>
          <w:u w:val="single"/>
        </w:rPr>
      </w:pPr>
    </w:p>
    <w:p w14:paraId="6A9BCC9E" w14:textId="2B7265BC" w:rsidR="00F305AA" w:rsidRPr="00255D4F" w:rsidRDefault="00F305AA" w:rsidP="00F305AA">
      <w:pPr>
        <w:spacing w:line="360" w:lineRule="auto"/>
        <w:ind w:firstLine="851"/>
        <w:jc w:val="both"/>
        <w:rPr>
          <w:rFonts w:ascii="Arial" w:hAnsi="Arial" w:cs="Arial"/>
          <w:b/>
          <w:sz w:val="24"/>
          <w:szCs w:val="24"/>
          <w:u w:val="single"/>
        </w:rPr>
      </w:pPr>
      <w:r w:rsidRPr="00255D4F">
        <w:rPr>
          <w:rFonts w:ascii="Arial" w:hAnsi="Arial" w:cs="Arial"/>
          <w:b/>
          <w:sz w:val="24"/>
          <w:szCs w:val="24"/>
          <w:u w:val="single"/>
        </w:rPr>
        <w:t>6</w:t>
      </w:r>
      <w:r w:rsidR="00255D4F" w:rsidRPr="00255D4F">
        <w:rPr>
          <w:rFonts w:ascii="Arial" w:hAnsi="Arial" w:cs="Arial"/>
          <w:b/>
          <w:sz w:val="24"/>
          <w:szCs w:val="24"/>
          <w:u w:val="single"/>
        </w:rPr>
        <w:t xml:space="preserve"> – </w:t>
      </w:r>
      <w:r w:rsidRPr="00255D4F">
        <w:rPr>
          <w:rFonts w:ascii="Arial" w:hAnsi="Arial" w:cs="Arial"/>
          <w:b/>
          <w:sz w:val="24"/>
          <w:szCs w:val="24"/>
          <w:u w:val="single"/>
        </w:rPr>
        <w:t>INCENTIVOS FISCAIS RELATIVOS AOS PROGRAMAS FOMENTAR E PRODUZIR</w:t>
      </w:r>
    </w:p>
    <w:p w14:paraId="7605B524" w14:textId="77777777" w:rsidR="00F305AA" w:rsidRDefault="00F305AA" w:rsidP="00F305AA">
      <w:pPr>
        <w:spacing w:line="360" w:lineRule="auto"/>
        <w:ind w:firstLine="851"/>
        <w:jc w:val="both"/>
        <w:rPr>
          <w:rFonts w:ascii="Arial" w:hAnsi="Arial" w:cs="Arial"/>
          <w:b/>
          <w:sz w:val="24"/>
          <w:szCs w:val="24"/>
        </w:rPr>
      </w:pPr>
    </w:p>
    <w:p w14:paraId="54032DEC"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Os programas de incentivos fiscais do Estado de Goiás iniciaram-se em meados da década de 1970, em um cenário de acirrada concorrência entre as Unidades da Federação para atração de investimentos e empreendimentos para seus territórios, focada no desenvolvimento regional.</w:t>
      </w:r>
    </w:p>
    <w:p w14:paraId="19059CB7"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O primeiro programa goiano para atração e empresas foi o Fundo de Expansão da Indústria e Comércio (FEINCOM), criado pela Lei n. 7.696, de 19 de setembro de 1973. Sem natureza de incentivo fiscal, tal fundo objetivava o oferecimento de infraestrutura básica para receber novas indústrias (energia elétrica, serviço de comunicação, abastecimento e esgotamento sanitário, malha viária, dentre outras). Apesar de suas limitações, o FEINCOM foi um importante marco para o desenvolvimento goiano.</w:t>
      </w:r>
      <w:r>
        <w:rPr>
          <w:rStyle w:val="Refdenotaderodap"/>
          <w:rFonts w:ascii="Arial" w:hAnsi="Arial" w:cs="Arial"/>
          <w:sz w:val="24"/>
          <w:szCs w:val="24"/>
        </w:rPr>
        <w:footnoteReference w:id="31"/>
      </w:r>
    </w:p>
    <w:p w14:paraId="0759D421" w14:textId="77777777" w:rsidR="00F305AA" w:rsidRPr="00170C20"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Posteriormente, no intuito de superar as limitações do FEICOM e alavancar o desenvolvimento socioeconômico do Estado, foram criados o Fundo de Participação e Fomento à Industrialização do Estado de Goiás – FOMENTAR – e o Programa de Desenvolvimento Industrial de Goiás – </w:t>
      </w:r>
      <w:r w:rsidRPr="005072C8">
        <w:rPr>
          <w:rFonts w:ascii="Arial" w:hAnsi="Arial" w:cs="Arial"/>
          <w:sz w:val="24"/>
          <w:szCs w:val="24"/>
        </w:rPr>
        <w:t>PRODUZIR –</w:t>
      </w:r>
      <w:r>
        <w:rPr>
          <w:rFonts w:ascii="Arial" w:hAnsi="Arial" w:cs="Arial"/>
          <w:sz w:val="24"/>
          <w:szCs w:val="24"/>
        </w:rPr>
        <w:t>, ainda vigentes e objetos da presente investigação.</w:t>
      </w:r>
    </w:p>
    <w:p w14:paraId="4FAFA752" w14:textId="77777777" w:rsidR="00F305AA" w:rsidRDefault="00F305AA" w:rsidP="00F305AA">
      <w:pPr>
        <w:spacing w:line="360" w:lineRule="auto"/>
        <w:ind w:firstLine="851"/>
        <w:jc w:val="both"/>
        <w:rPr>
          <w:rFonts w:ascii="Arial" w:hAnsi="Arial" w:cs="Arial"/>
          <w:b/>
          <w:sz w:val="24"/>
          <w:szCs w:val="24"/>
        </w:rPr>
      </w:pPr>
    </w:p>
    <w:p w14:paraId="20B2C57D" w14:textId="4ADDBC23" w:rsidR="00F305AA" w:rsidRDefault="00F305AA" w:rsidP="00F305AA">
      <w:pPr>
        <w:spacing w:line="360" w:lineRule="auto"/>
        <w:ind w:firstLine="851"/>
        <w:jc w:val="both"/>
        <w:rPr>
          <w:rFonts w:ascii="Arial" w:hAnsi="Arial" w:cs="Arial"/>
          <w:b/>
          <w:sz w:val="24"/>
          <w:szCs w:val="24"/>
        </w:rPr>
      </w:pPr>
      <w:r w:rsidRPr="004169EF">
        <w:rPr>
          <w:rFonts w:ascii="Arial" w:hAnsi="Arial" w:cs="Arial"/>
          <w:b/>
          <w:sz w:val="24"/>
          <w:szCs w:val="24"/>
        </w:rPr>
        <w:t xml:space="preserve">6.1 </w:t>
      </w:r>
      <w:r w:rsidR="00D46587">
        <w:rPr>
          <w:rFonts w:ascii="Arial" w:hAnsi="Arial" w:cs="Arial"/>
          <w:b/>
          <w:sz w:val="24"/>
          <w:szCs w:val="24"/>
        </w:rPr>
        <w:t xml:space="preserve">– </w:t>
      </w:r>
      <w:r w:rsidRPr="004169EF">
        <w:rPr>
          <w:rFonts w:ascii="Arial" w:hAnsi="Arial" w:cs="Arial"/>
          <w:b/>
          <w:sz w:val="24"/>
          <w:szCs w:val="24"/>
        </w:rPr>
        <w:t>ENTENDENDO OS PROGRAMAS</w:t>
      </w:r>
    </w:p>
    <w:p w14:paraId="054F17F1" w14:textId="77777777" w:rsidR="00F305AA" w:rsidRDefault="00F305AA" w:rsidP="00F305AA">
      <w:pPr>
        <w:spacing w:line="360" w:lineRule="auto"/>
        <w:ind w:firstLine="851"/>
        <w:jc w:val="both"/>
        <w:rPr>
          <w:rFonts w:ascii="Arial" w:hAnsi="Arial" w:cs="Arial"/>
          <w:b/>
          <w:sz w:val="24"/>
          <w:szCs w:val="24"/>
        </w:rPr>
      </w:pPr>
    </w:p>
    <w:p w14:paraId="736DD401" w14:textId="79D67E70" w:rsidR="00F305AA" w:rsidRPr="00D46587" w:rsidRDefault="00F305AA" w:rsidP="00F305AA">
      <w:pPr>
        <w:spacing w:line="360" w:lineRule="auto"/>
        <w:ind w:firstLine="851"/>
        <w:jc w:val="both"/>
        <w:rPr>
          <w:rFonts w:ascii="Arial" w:hAnsi="Arial" w:cs="Arial"/>
          <w:b/>
          <w:sz w:val="24"/>
          <w:szCs w:val="24"/>
          <w:u w:val="single"/>
        </w:rPr>
      </w:pPr>
      <w:r w:rsidRPr="00D46587">
        <w:rPr>
          <w:rFonts w:ascii="Arial" w:hAnsi="Arial" w:cs="Arial"/>
          <w:b/>
          <w:sz w:val="24"/>
          <w:szCs w:val="24"/>
          <w:u w:val="single"/>
        </w:rPr>
        <w:t xml:space="preserve">6.1.1 </w:t>
      </w:r>
      <w:r w:rsidR="00D46587" w:rsidRPr="00D46587">
        <w:rPr>
          <w:rFonts w:ascii="Arial" w:hAnsi="Arial" w:cs="Arial"/>
          <w:b/>
          <w:sz w:val="24"/>
          <w:szCs w:val="24"/>
          <w:u w:val="single"/>
        </w:rPr>
        <w:t>– Fomentar</w:t>
      </w:r>
    </w:p>
    <w:p w14:paraId="576B241F" w14:textId="77777777" w:rsidR="00F305AA" w:rsidRDefault="00F305AA" w:rsidP="00F305AA">
      <w:pPr>
        <w:spacing w:line="360" w:lineRule="auto"/>
        <w:ind w:firstLine="851"/>
        <w:jc w:val="both"/>
        <w:rPr>
          <w:rFonts w:ascii="Arial" w:hAnsi="Arial" w:cs="Arial"/>
          <w:b/>
          <w:sz w:val="24"/>
          <w:szCs w:val="24"/>
          <w:u w:val="single"/>
        </w:rPr>
      </w:pPr>
    </w:p>
    <w:p w14:paraId="4455998B"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O FOMENTAR foi criado pela Lei n. 9.489, de 19 de julho de 1984, e é regulamentado pelo </w:t>
      </w:r>
      <w:r w:rsidRPr="005072C8">
        <w:rPr>
          <w:rFonts w:ascii="Arial" w:hAnsi="Arial" w:cs="Arial"/>
          <w:sz w:val="24"/>
          <w:szCs w:val="24"/>
        </w:rPr>
        <w:t>Decreto n. 3.822</w:t>
      </w:r>
      <w:r>
        <w:rPr>
          <w:rFonts w:ascii="Arial" w:hAnsi="Arial" w:cs="Arial"/>
          <w:sz w:val="24"/>
          <w:szCs w:val="24"/>
        </w:rPr>
        <w:t xml:space="preserve">, de 10 de julho de 1992. Embora objetivando oferecer apoio técnico e financeiro às micro, pequenas e médias empresas e, ainda, estimular grandes empreendimentos industriais considerados de relevância econômica </w:t>
      </w:r>
      <w:r>
        <w:rPr>
          <w:rFonts w:ascii="Arial" w:hAnsi="Arial" w:cs="Arial"/>
          <w:sz w:val="24"/>
          <w:szCs w:val="24"/>
        </w:rPr>
        <w:lastRenderedPageBreak/>
        <w:t>e social, seu foco preferencial, considerando a vocação natural do Estado, é o ramo da agroindústria (art. 3º, Lei n. 9.489, de 1984,</w:t>
      </w:r>
      <w:r w:rsidRPr="006E57E8">
        <w:rPr>
          <w:rFonts w:ascii="Arial" w:hAnsi="Arial" w:cs="Arial"/>
          <w:sz w:val="24"/>
          <w:szCs w:val="24"/>
        </w:rPr>
        <w:t xml:space="preserve"> </w:t>
      </w:r>
      <w:r>
        <w:rPr>
          <w:rFonts w:ascii="Arial" w:hAnsi="Arial" w:cs="Arial"/>
          <w:sz w:val="24"/>
          <w:szCs w:val="24"/>
        </w:rPr>
        <w:t>e art. 2º, I, Decreto n. 3.822, de 1992).</w:t>
      </w:r>
    </w:p>
    <w:p w14:paraId="22F052FF"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A sistemática do FOMENTAR consiste na </w:t>
      </w:r>
      <w:r w:rsidRPr="00E7075D">
        <w:rPr>
          <w:rFonts w:ascii="Arial" w:hAnsi="Arial" w:cs="Arial"/>
          <w:b/>
          <w:sz w:val="24"/>
          <w:szCs w:val="24"/>
        </w:rPr>
        <w:t>concessão de</w:t>
      </w:r>
      <w:r>
        <w:rPr>
          <w:rFonts w:ascii="Arial" w:hAnsi="Arial" w:cs="Arial"/>
          <w:sz w:val="24"/>
          <w:szCs w:val="24"/>
        </w:rPr>
        <w:t xml:space="preserve"> </w:t>
      </w:r>
      <w:r w:rsidRPr="00E7075D">
        <w:rPr>
          <w:rFonts w:ascii="Arial" w:hAnsi="Arial" w:cs="Arial"/>
          <w:b/>
          <w:sz w:val="24"/>
          <w:szCs w:val="24"/>
        </w:rPr>
        <w:t>empréstimos de até 70% (setenta por cento) do ICMS devido</w:t>
      </w:r>
      <w:r>
        <w:rPr>
          <w:rFonts w:ascii="Arial" w:hAnsi="Arial" w:cs="Arial"/>
          <w:sz w:val="24"/>
          <w:szCs w:val="24"/>
        </w:rPr>
        <w:t xml:space="preserve"> pela empresa ao erário. Além dos 30% (trinta por cento) do ICMS restantes, o beneficiário deveria pagar 0,6% (seis décimos por cento) do total aprovado a título de emolumentos e 10% (dez por cento) do valor financiado a título de antecipação para a Bolsa Garantia.</w:t>
      </w:r>
    </w:p>
    <w:p w14:paraId="78ACD0E2"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Além disso, em relação ao saldo devedor (os 70% cujo pagamento foi diferido), o item 2 do § 2º do art. 2º da Lei n. 11.180, de 19 de abril de 1990, impõe o pagamento de juros mensais de 0,2% (dois décimos por cento). Ademais, era facultado à empresa beneficiária participar de leilões semestrais para amortização da dívida com deságio, desde que respeitado o mínimo de 11% (onze por cento) do saldo devedor, podendo utilizar-se o valor antecipado a título de Bolsa Garantia para compensação no leilão.</w:t>
      </w:r>
    </w:p>
    <w:p w14:paraId="18D65C8C" w14:textId="77777777" w:rsidR="00F305AA" w:rsidRPr="00E7075D" w:rsidRDefault="00F305AA" w:rsidP="00F305AA">
      <w:pPr>
        <w:spacing w:line="360" w:lineRule="auto"/>
        <w:ind w:firstLine="851"/>
        <w:jc w:val="both"/>
        <w:rPr>
          <w:rFonts w:ascii="Arial" w:hAnsi="Arial" w:cs="Arial"/>
          <w:sz w:val="24"/>
          <w:szCs w:val="24"/>
        </w:rPr>
      </w:pPr>
      <w:r w:rsidRPr="00E7075D">
        <w:rPr>
          <w:rFonts w:ascii="Arial" w:hAnsi="Arial" w:cs="Arial"/>
          <w:sz w:val="24"/>
          <w:szCs w:val="24"/>
        </w:rPr>
        <w:t>Exemplificando, para a adequada compreensão do que consistia o benefício em sua possibilidade máxima, para uma dívida de R$ 100,00 (cem reais) de ICMS, o beneficiário deveria pagar, à vista, R$ 37,</w:t>
      </w:r>
      <w:r>
        <w:rPr>
          <w:rFonts w:ascii="Arial" w:hAnsi="Arial" w:cs="Arial"/>
          <w:sz w:val="24"/>
          <w:szCs w:val="24"/>
        </w:rPr>
        <w:t>00</w:t>
      </w:r>
      <w:r w:rsidRPr="00E7075D">
        <w:rPr>
          <w:rFonts w:ascii="Arial" w:hAnsi="Arial" w:cs="Arial"/>
          <w:sz w:val="24"/>
          <w:szCs w:val="24"/>
        </w:rPr>
        <w:t xml:space="preserve"> (trinta e sete reais), com o seguinte detalhamento:</w:t>
      </w:r>
    </w:p>
    <w:p w14:paraId="72A936CE" w14:textId="77777777" w:rsidR="00F305AA" w:rsidRPr="00E7075D" w:rsidRDefault="00F305AA" w:rsidP="00F305AA">
      <w:pPr>
        <w:spacing w:line="360" w:lineRule="auto"/>
        <w:ind w:firstLine="851"/>
        <w:jc w:val="both"/>
        <w:rPr>
          <w:rFonts w:ascii="Arial" w:hAnsi="Arial" w:cs="Arial"/>
          <w:sz w:val="24"/>
          <w:szCs w:val="24"/>
        </w:rPr>
      </w:pPr>
    </w:p>
    <w:p w14:paraId="60A875C5" w14:textId="77777777" w:rsidR="00F305AA" w:rsidRPr="00E7075D" w:rsidRDefault="00F305AA" w:rsidP="00F305AA">
      <w:pPr>
        <w:spacing w:line="360" w:lineRule="auto"/>
        <w:ind w:firstLine="851"/>
        <w:jc w:val="both"/>
        <w:rPr>
          <w:rFonts w:ascii="Arial" w:hAnsi="Arial" w:cs="Arial"/>
          <w:sz w:val="24"/>
          <w:szCs w:val="24"/>
        </w:rPr>
      </w:pPr>
      <w:r w:rsidRPr="00E7075D">
        <w:rPr>
          <w:rFonts w:ascii="Arial" w:hAnsi="Arial" w:cs="Arial"/>
          <w:sz w:val="24"/>
          <w:szCs w:val="24"/>
        </w:rPr>
        <w:t>R$ 30,00 ............ valor não financiado</w:t>
      </w:r>
    </w:p>
    <w:p w14:paraId="39BAE700" w14:textId="77777777" w:rsidR="00F305AA" w:rsidRPr="00E7075D" w:rsidRDefault="00F305AA" w:rsidP="00F305AA">
      <w:pPr>
        <w:spacing w:line="360" w:lineRule="auto"/>
        <w:ind w:firstLine="851"/>
        <w:jc w:val="both"/>
        <w:rPr>
          <w:rFonts w:ascii="Arial" w:hAnsi="Arial" w:cs="Arial"/>
          <w:sz w:val="24"/>
          <w:szCs w:val="24"/>
        </w:rPr>
      </w:pPr>
      <w:r w:rsidRPr="00E7075D">
        <w:rPr>
          <w:rFonts w:ascii="Arial" w:hAnsi="Arial" w:cs="Arial"/>
          <w:sz w:val="24"/>
          <w:szCs w:val="24"/>
        </w:rPr>
        <w:t>R$   7,00 ............ antecipação para Bolsa Garantia (10% do financiado)</w:t>
      </w:r>
    </w:p>
    <w:p w14:paraId="523CBC12" w14:textId="77777777" w:rsidR="00F305AA" w:rsidRDefault="00F305AA" w:rsidP="00F305AA">
      <w:pPr>
        <w:spacing w:line="360" w:lineRule="auto"/>
        <w:ind w:firstLine="851"/>
        <w:jc w:val="both"/>
        <w:rPr>
          <w:rFonts w:ascii="Arial" w:hAnsi="Arial" w:cs="Arial"/>
          <w:sz w:val="24"/>
          <w:szCs w:val="24"/>
        </w:rPr>
      </w:pPr>
    </w:p>
    <w:p w14:paraId="7F07ECE8"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Note-se que, ao lado desses valores, há necessidade de pagamento dos emolumentos, correspondentes a 0,6% (seis décimos por cento) do valor do total aprovado, parcelado na forma do § 1º do art. 3º do Decreto n. 3.822, de 1992, e dos juros mensais de 0,2% (dois décimos por cento) do saldo devedor:</w:t>
      </w:r>
    </w:p>
    <w:p w14:paraId="6E186F79" w14:textId="77777777" w:rsidR="00F305AA" w:rsidRDefault="00F305AA" w:rsidP="00F305AA">
      <w:pPr>
        <w:spacing w:line="360" w:lineRule="auto"/>
        <w:ind w:firstLine="851"/>
        <w:jc w:val="both"/>
        <w:rPr>
          <w:rFonts w:ascii="Arial" w:hAnsi="Arial" w:cs="Arial"/>
          <w:sz w:val="24"/>
          <w:szCs w:val="24"/>
        </w:rPr>
      </w:pPr>
    </w:p>
    <w:p w14:paraId="3A796414"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R$  XXX .......... 0,6% do valor total aprovado (depende do valor aprovado)</w:t>
      </w:r>
    </w:p>
    <w:p w14:paraId="5E011520"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R$  0,14 ......... juros mensais</w:t>
      </w:r>
    </w:p>
    <w:p w14:paraId="6A945FDD" w14:textId="77777777" w:rsidR="00F305AA" w:rsidRPr="00E7075D" w:rsidRDefault="00F305AA" w:rsidP="00F305AA">
      <w:pPr>
        <w:spacing w:line="360" w:lineRule="auto"/>
        <w:ind w:firstLine="851"/>
        <w:jc w:val="both"/>
        <w:rPr>
          <w:rFonts w:ascii="Arial" w:hAnsi="Arial" w:cs="Arial"/>
          <w:sz w:val="24"/>
          <w:szCs w:val="24"/>
        </w:rPr>
      </w:pPr>
    </w:p>
    <w:p w14:paraId="592E890F" w14:textId="77777777" w:rsidR="00F305AA" w:rsidRPr="00E7075D" w:rsidRDefault="00F305AA" w:rsidP="00F305AA">
      <w:pPr>
        <w:spacing w:line="360" w:lineRule="auto"/>
        <w:ind w:firstLine="851"/>
        <w:jc w:val="both"/>
        <w:rPr>
          <w:rFonts w:ascii="Arial" w:hAnsi="Arial" w:cs="Arial"/>
          <w:sz w:val="24"/>
          <w:szCs w:val="24"/>
        </w:rPr>
      </w:pPr>
      <w:r w:rsidRPr="00E7075D">
        <w:rPr>
          <w:rFonts w:ascii="Arial" w:hAnsi="Arial" w:cs="Arial"/>
          <w:sz w:val="24"/>
          <w:szCs w:val="24"/>
        </w:rPr>
        <w:t xml:space="preserve">E, ainda, em relação aos R$ </w:t>
      </w:r>
      <w:r>
        <w:rPr>
          <w:rFonts w:ascii="Arial" w:hAnsi="Arial" w:cs="Arial"/>
          <w:sz w:val="24"/>
          <w:szCs w:val="24"/>
        </w:rPr>
        <w:t>70</w:t>
      </w:r>
      <w:r w:rsidRPr="00E7075D">
        <w:rPr>
          <w:rFonts w:ascii="Arial" w:hAnsi="Arial" w:cs="Arial"/>
          <w:sz w:val="24"/>
          <w:szCs w:val="24"/>
        </w:rPr>
        <w:t>,</w:t>
      </w:r>
      <w:r>
        <w:rPr>
          <w:rFonts w:ascii="Arial" w:hAnsi="Arial" w:cs="Arial"/>
          <w:sz w:val="24"/>
          <w:szCs w:val="24"/>
        </w:rPr>
        <w:t>00</w:t>
      </w:r>
      <w:r w:rsidRPr="00E7075D">
        <w:rPr>
          <w:rFonts w:ascii="Arial" w:hAnsi="Arial" w:cs="Arial"/>
          <w:sz w:val="24"/>
          <w:szCs w:val="24"/>
        </w:rPr>
        <w:t xml:space="preserve"> (se</w:t>
      </w:r>
      <w:r>
        <w:rPr>
          <w:rFonts w:ascii="Arial" w:hAnsi="Arial" w:cs="Arial"/>
          <w:sz w:val="24"/>
          <w:szCs w:val="24"/>
        </w:rPr>
        <w:t>t</w:t>
      </w:r>
      <w:r w:rsidRPr="00E7075D">
        <w:rPr>
          <w:rFonts w:ascii="Arial" w:hAnsi="Arial" w:cs="Arial"/>
          <w:sz w:val="24"/>
          <w:szCs w:val="24"/>
        </w:rPr>
        <w:t xml:space="preserve">enta e </w:t>
      </w:r>
      <w:r>
        <w:rPr>
          <w:rFonts w:ascii="Arial" w:hAnsi="Arial" w:cs="Arial"/>
          <w:sz w:val="24"/>
          <w:szCs w:val="24"/>
        </w:rPr>
        <w:t>três</w:t>
      </w:r>
      <w:r w:rsidRPr="00E7075D">
        <w:rPr>
          <w:rFonts w:ascii="Arial" w:hAnsi="Arial" w:cs="Arial"/>
          <w:sz w:val="24"/>
          <w:szCs w:val="24"/>
        </w:rPr>
        <w:t xml:space="preserve"> reais) restantes – saldo devedor</w:t>
      </w:r>
      <w:r>
        <w:rPr>
          <w:rFonts w:ascii="Arial" w:hAnsi="Arial" w:cs="Arial"/>
          <w:sz w:val="24"/>
          <w:szCs w:val="24"/>
        </w:rPr>
        <w:t xml:space="preserve"> –</w:t>
      </w:r>
      <w:r w:rsidRPr="00E7075D">
        <w:rPr>
          <w:rFonts w:ascii="Arial" w:hAnsi="Arial" w:cs="Arial"/>
          <w:sz w:val="24"/>
          <w:szCs w:val="24"/>
        </w:rPr>
        <w:t xml:space="preserve">, caso conseguisse o valor mínimo no leilão (o que geralmente ocorria, conforme trataremos no item 6.1.3), só pagaria R$ </w:t>
      </w:r>
      <w:r>
        <w:rPr>
          <w:rFonts w:ascii="Arial" w:hAnsi="Arial" w:cs="Arial"/>
          <w:sz w:val="24"/>
          <w:szCs w:val="24"/>
        </w:rPr>
        <w:t>7</w:t>
      </w:r>
      <w:r w:rsidRPr="00E7075D">
        <w:rPr>
          <w:rFonts w:ascii="Arial" w:hAnsi="Arial" w:cs="Arial"/>
          <w:sz w:val="24"/>
          <w:szCs w:val="24"/>
        </w:rPr>
        <w:t>,</w:t>
      </w:r>
      <w:r>
        <w:rPr>
          <w:rFonts w:ascii="Arial" w:hAnsi="Arial" w:cs="Arial"/>
          <w:sz w:val="24"/>
          <w:szCs w:val="24"/>
        </w:rPr>
        <w:t>70</w:t>
      </w:r>
      <w:r w:rsidRPr="00E7075D">
        <w:rPr>
          <w:rFonts w:ascii="Arial" w:hAnsi="Arial" w:cs="Arial"/>
          <w:sz w:val="24"/>
          <w:szCs w:val="24"/>
        </w:rPr>
        <w:t xml:space="preserve"> (se</w:t>
      </w:r>
      <w:r>
        <w:rPr>
          <w:rFonts w:ascii="Arial" w:hAnsi="Arial" w:cs="Arial"/>
          <w:sz w:val="24"/>
          <w:szCs w:val="24"/>
        </w:rPr>
        <w:t>te</w:t>
      </w:r>
      <w:r w:rsidRPr="00E7075D">
        <w:rPr>
          <w:rFonts w:ascii="Arial" w:hAnsi="Arial" w:cs="Arial"/>
          <w:sz w:val="24"/>
          <w:szCs w:val="24"/>
        </w:rPr>
        <w:t xml:space="preserve"> reais e </w:t>
      </w:r>
      <w:r>
        <w:rPr>
          <w:rFonts w:ascii="Arial" w:hAnsi="Arial" w:cs="Arial"/>
          <w:sz w:val="24"/>
          <w:szCs w:val="24"/>
        </w:rPr>
        <w:t>se</w:t>
      </w:r>
      <w:r w:rsidRPr="00E7075D">
        <w:rPr>
          <w:rFonts w:ascii="Arial" w:hAnsi="Arial" w:cs="Arial"/>
          <w:sz w:val="24"/>
          <w:szCs w:val="24"/>
        </w:rPr>
        <w:t>tenta)</w:t>
      </w:r>
      <w:r>
        <w:rPr>
          <w:rFonts w:ascii="Arial" w:hAnsi="Arial" w:cs="Arial"/>
          <w:sz w:val="24"/>
          <w:szCs w:val="24"/>
        </w:rPr>
        <w:t xml:space="preserve">, abatendo </w:t>
      </w:r>
      <w:r>
        <w:rPr>
          <w:rFonts w:ascii="Arial" w:hAnsi="Arial" w:cs="Arial"/>
          <w:sz w:val="24"/>
          <w:szCs w:val="24"/>
        </w:rPr>
        <w:lastRenderedPageBreak/>
        <w:t>a antecipação para Bolsa Garantia, resultando no pagamento efetivo de R$ 0,70 (setenta centavos)</w:t>
      </w:r>
      <w:r w:rsidRPr="00E7075D">
        <w:rPr>
          <w:rFonts w:ascii="Arial" w:hAnsi="Arial" w:cs="Arial"/>
          <w:sz w:val="24"/>
          <w:szCs w:val="24"/>
        </w:rPr>
        <w:t>.</w:t>
      </w:r>
    </w:p>
    <w:p w14:paraId="694CF43D"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Note-se que, posteriormente, a dispensa de pagamento restou reduzida em virtude da instituição de </w:t>
      </w:r>
      <w:r w:rsidRPr="00766D1A">
        <w:rPr>
          <w:rFonts w:ascii="Arial" w:hAnsi="Arial" w:cs="Arial"/>
          <w:b/>
          <w:sz w:val="24"/>
          <w:szCs w:val="24"/>
        </w:rPr>
        <w:t>contribuição adicional ao Fundo de Proteção Social do Estado de Goiás – PROTEGE</w:t>
      </w:r>
      <w:r>
        <w:rPr>
          <w:rFonts w:ascii="Arial" w:hAnsi="Arial" w:cs="Arial"/>
          <w:sz w:val="24"/>
          <w:szCs w:val="24"/>
        </w:rPr>
        <w:t>.</w:t>
      </w:r>
    </w:p>
    <w:p w14:paraId="4842C8A9"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A </w:t>
      </w:r>
      <w:r w:rsidRPr="00F25D77">
        <w:rPr>
          <w:rFonts w:ascii="Arial" w:hAnsi="Arial" w:cs="Arial"/>
          <w:sz w:val="24"/>
          <w:szCs w:val="24"/>
        </w:rPr>
        <w:t>Lei n. 18.360, de 30 de dezembro de 2013</w:t>
      </w:r>
      <w:r>
        <w:rPr>
          <w:rFonts w:ascii="Arial" w:hAnsi="Arial" w:cs="Arial"/>
          <w:sz w:val="24"/>
          <w:szCs w:val="24"/>
        </w:rPr>
        <w:t>, prorrogou, inicialmente, a possibilidade de utilizar os benefícios do FOMENTAR até 31 de dezembro de 2040. Recentemente, ajustando a redação ao previsto na Lei Complementar federal n. 160, de 7 de agosto de 2017, a Lei n. 20.737, de 17 de janeiro de 2020, limitou o período de prorrogação ao estabelecido naquela Lei Complementar. Ademais, a Lei n. 19.949, de 29 de dezembro de 2017, alterou a contribuição adicional ao PROTEGE para os percentuais de 4% e 6% (quatro a seis por cento).</w:t>
      </w:r>
    </w:p>
    <w:p w14:paraId="4518E8F1"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 equipe técnica do TCE-GO elaborou o seguinte fluxograma para explicar o funcionamento do FOMENTAR:</w:t>
      </w:r>
    </w:p>
    <w:p w14:paraId="67AD2E74" w14:textId="77777777" w:rsidR="00F305AA" w:rsidRDefault="00F305AA" w:rsidP="00F305AA">
      <w:pPr>
        <w:spacing w:line="360" w:lineRule="auto"/>
        <w:ind w:firstLine="851"/>
        <w:jc w:val="both"/>
        <w:rPr>
          <w:rFonts w:ascii="Arial" w:hAnsi="Arial" w:cs="Arial"/>
          <w:sz w:val="24"/>
          <w:szCs w:val="24"/>
        </w:rPr>
      </w:pPr>
    </w:p>
    <w:p w14:paraId="79DC0E39" w14:textId="77777777" w:rsidR="00F305AA" w:rsidRDefault="00F305AA" w:rsidP="00F305AA">
      <w:pPr>
        <w:spacing w:line="360" w:lineRule="auto"/>
        <w:jc w:val="both"/>
        <w:rPr>
          <w:rFonts w:ascii="Arial" w:hAnsi="Arial" w:cs="Arial"/>
          <w:sz w:val="24"/>
          <w:szCs w:val="24"/>
        </w:rPr>
      </w:pPr>
      <w:r>
        <w:rPr>
          <w:rFonts w:ascii="Arial" w:hAnsi="Arial" w:cs="Arial"/>
          <w:noProof/>
          <w:sz w:val="24"/>
          <w:szCs w:val="24"/>
        </w:rPr>
        <w:drawing>
          <wp:inline distT="0" distB="0" distL="0" distR="0" wp14:anchorId="3BE30CFE" wp14:editId="1076491D">
            <wp:extent cx="5935980" cy="3491230"/>
            <wp:effectExtent l="0" t="0" r="762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UXOGRAMA FOMENTAR.PNG"/>
                    <pic:cNvPicPr/>
                  </pic:nvPicPr>
                  <pic:blipFill>
                    <a:blip r:embed="rId27">
                      <a:extLst>
                        <a:ext uri="{28A0092B-C50C-407E-A947-70E740481C1C}">
                          <a14:useLocalDpi xmlns:a14="http://schemas.microsoft.com/office/drawing/2010/main" val="0"/>
                        </a:ext>
                      </a:extLst>
                    </a:blip>
                    <a:stretch>
                      <a:fillRect/>
                    </a:stretch>
                  </pic:blipFill>
                  <pic:spPr>
                    <a:xfrm>
                      <a:off x="0" y="0"/>
                      <a:ext cx="5935980" cy="3491230"/>
                    </a:xfrm>
                    <a:prstGeom prst="rect">
                      <a:avLst/>
                    </a:prstGeom>
                  </pic:spPr>
                </pic:pic>
              </a:graphicData>
            </a:graphic>
          </wp:inline>
        </w:drawing>
      </w:r>
    </w:p>
    <w:p w14:paraId="0A1AAB1A" w14:textId="77777777" w:rsidR="00F305AA" w:rsidRPr="005923EC" w:rsidRDefault="00F305AA" w:rsidP="00F305AA">
      <w:pPr>
        <w:jc w:val="both"/>
        <w:rPr>
          <w:rFonts w:ascii="Arial" w:hAnsi="Arial" w:cs="Arial"/>
          <w:sz w:val="20"/>
          <w:szCs w:val="24"/>
        </w:rPr>
      </w:pPr>
      <w:r w:rsidRPr="005923EC">
        <w:rPr>
          <w:rFonts w:ascii="Arial" w:hAnsi="Arial" w:cs="Arial"/>
          <w:sz w:val="20"/>
          <w:szCs w:val="24"/>
        </w:rPr>
        <w:t>Fonte: Relatório de Auditoria de Regularidade n. 02/2018 – Serviço de Contas do Governo, TCE-GO.</w:t>
      </w:r>
    </w:p>
    <w:p w14:paraId="3C22CACE" w14:textId="77777777" w:rsidR="00F305AA" w:rsidRDefault="00F305AA" w:rsidP="00F305AA">
      <w:pPr>
        <w:spacing w:line="360" w:lineRule="auto"/>
        <w:ind w:firstLine="851"/>
        <w:jc w:val="both"/>
        <w:rPr>
          <w:rFonts w:ascii="Arial" w:hAnsi="Arial" w:cs="Arial"/>
          <w:sz w:val="24"/>
          <w:szCs w:val="24"/>
        </w:rPr>
      </w:pPr>
    </w:p>
    <w:p w14:paraId="1DCB09D2"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lastRenderedPageBreak/>
        <w:t xml:space="preserve">Por fim, mencione-se que a </w:t>
      </w:r>
      <w:r w:rsidRPr="00D95C44">
        <w:rPr>
          <w:rFonts w:ascii="Arial" w:hAnsi="Arial" w:cs="Arial"/>
          <w:sz w:val="24"/>
          <w:szCs w:val="24"/>
        </w:rPr>
        <w:t>Lei n. 16.285, de 30 de junho de 2008</w:t>
      </w:r>
      <w:r>
        <w:rPr>
          <w:rFonts w:ascii="Arial" w:hAnsi="Arial" w:cs="Arial"/>
          <w:sz w:val="24"/>
          <w:szCs w:val="24"/>
        </w:rPr>
        <w:t>, autorizou a migração do FOMENTAR para o PRODUZIR, programa sobre o qual trataremos a seguir.</w:t>
      </w:r>
    </w:p>
    <w:p w14:paraId="11446D9F" w14:textId="77777777" w:rsidR="00F305AA" w:rsidRDefault="00F305AA" w:rsidP="00F305AA">
      <w:pPr>
        <w:spacing w:line="360" w:lineRule="auto"/>
        <w:ind w:firstLine="851"/>
        <w:jc w:val="both"/>
        <w:rPr>
          <w:rFonts w:ascii="Arial" w:hAnsi="Arial" w:cs="Arial"/>
          <w:b/>
          <w:sz w:val="24"/>
          <w:szCs w:val="24"/>
        </w:rPr>
      </w:pPr>
    </w:p>
    <w:p w14:paraId="092E264F" w14:textId="77777777" w:rsidR="00F305AA" w:rsidRDefault="00F305AA" w:rsidP="00F305AA">
      <w:pPr>
        <w:spacing w:line="360" w:lineRule="auto"/>
        <w:ind w:firstLine="851"/>
        <w:jc w:val="both"/>
        <w:rPr>
          <w:rFonts w:ascii="Arial" w:hAnsi="Arial" w:cs="Arial"/>
          <w:b/>
          <w:sz w:val="24"/>
          <w:szCs w:val="24"/>
        </w:rPr>
      </w:pPr>
    </w:p>
    <w:p w14:paraId="4A806B5B" w14:textId="2D770913" w:rsidR="00F305AA" w:rsidRPr="00D46587" w:rsidRDefault="00F305AA" w:rsidP="00F305AA">
      <w:pPr>
        <w:spacing w:line="360" w:lineRule="auto"/>
        <w:ind w:firstLine="851"/>
        <w:jc w:val="both"/>
        <w:rPr>
          <w:rFonts w:ascii="Arial" w:hAnsi="Arial" w:cs="Arial"/>
          <w:b/>
          <w:sz w:val="24"/>
          <w:szCs w:val="24"/>
          <w:u w:val="single"/>
        </w:rPr>
      </w:pPr>
      <w:r w:rsidRPr="00D46587">
        <w:rPr>
          <w:rFonts w:ascii="Arial" w:hAnsi="Arial" w:cs="Arial"/>
          <w:b/>
          <w:sz w:val="24"/>
          <w:szCs w:val="24"/>
          <w:u w:val="single"/>
        </w:rPr>
        <w:t xml:space="preserve">6.1.2 </w:t>
      </w:r>
      <w:r w:rsidR="00D46587" w:rsidRPr="00D46587">
        <w:rPr>
          <w:rFonts w:ascii="Arial" w:hAnsi="Arial" w:cs="Arial"/>
          <w:b/>
          <w:sz w:val="24"/>
          <w:szCs w:val="24"/>
          <w:u w:val="single"/>
        </w:rPr>
        <w:t>– Produzir</w:t>
      </w:r>
    </w:p>
    <w:p w14:paraId="3BA366EA" w14:textId="77777777" w:rsidR="00F305AA" w:rsidRPr="004169EF" w:rsidRDefault="00F305AA" w:rsidP="00F305AA">
      <w:pPr>
        <w:spacing w:line="360" w:lineRule="auto"/>
        <w:ind w:firstLine="851"/>
        <w:jc w:val="both"/>
        <w:rPr>
          <w:rFonts w:ascii="Arial" w:hAnsi="Arial" w:cs="Arial"/>
          <w:b/>
          <w:sz w:val="24"/>
          <w:szCs w:val="24"/>
          <w:u w:val="single"/>
        </w:rPr>
      </w:pPr>
    </w:p>
    <w:p w14:paraId="06AFE538"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O PRODUZIR foi instituído como instrumento de execução da política industrial do Estado (</w:t>
      </w:r>
      <w:r w:rsidRPr="00D95C44">
        <w:rPr>
          <w:rFonts w:ascii="Arial" w:hAnsi="Arial" w:cs="Arial"/>
          <w:sz w:val="24"/>
          <w:szCs w:val="24"/>
        </w:rPr>
        <w:t>Lei n. 13.591, de 18 de janeiro de 2000</w:t>
      </w:r>
      <w:r>
        <w:rPr>
          <w:rFonts w:ascii="Arial" w:hAnsi="Arial" w:cs="Arial"/>
          <w:sz w:val="24"/>
          <w:szCs w:val="24"/>
        </w:rPr>
        <w:t xml:space="preserve">). Regulamentado pelo </w:t>
      </w:r>
      <w:r w:rsidRPr="00D95C44">
        <w:rPr>
          <w:rFonts w:ascii="Arial" w:hAnsi="Arial" w:cs="Arial"/>
          <w:sz w:val="24"/>
          <w:szCs w:val="24"/>
        </w:rPr>
        <w:t>Decreto n. 5.265, de 31 de julho de 2000</w:t>
      </w:r>
      <w:r>
        <w:rPr>
          <w:rFonts w:ascii="Arial" w:hAnsi="Arial" w:cs="Arial"/>
          <w:sz w:val="24"/>
          <w:szCs w:val="24"/>
        </w:rPr>
        <w:t>, objetiva a expansão, modernização e diversificação do setor industrial de Goiás, estimulando investimentos, renovação tecnológica da estrutura produtiva e aumento da competitividade, tudo isso com ênfase na geração de emprego e renda e na redução de desigualdades sociais e regionais (art. 2º, Lei n. 13.591, de 2000, e art. 1º, Decreto n. 5.265, de 2000).</w:t>
      </w:r>
    </w:p>
    <w:p w14:paraId="24F95064" w14:textId="712D733B" w:rsidR="00F305AA" w:rsidRDefault="00F305AA" w:rsidP="00F305AA">
      <w:pPr>
        <w:spacing w:line="360" w:lineRule="auto"/>
        <w:ind w:firstLine="851"/>
        <w:jc w:val="both"/>
        <w:rPr>
          <w:rFonts w:ascii="Arial" w:hAnsi="Arial" w:cs="Arial"/>
          <w:sz w:val="24"/>
          <w:szCs w:val="24"/>
        </w:rPr>
      </w:pPr>
      <w:r w:rsidRPr="00EF47D6">
        <w:rPr>
          <w:rFonts w:ascii="Arial" w:hAnsi="Arial" w:cs="Arial"/>
          <w:sz w:val="24"/>
          <w:szCs w:val="24"/>
        </w:rPr>
        <w:t>Sua sistemática é semelhante à do FOMENTAR, pois oferece “</w:t>
      </w:r>
      <w:r w:rsidRPr="00766D1A">
        <w:rPr>
          <w:rFonts w:ascii="Arial" w:hAnsi="Arial" w:cs="Arial"/>
          <w:b/>
          <w:sz w:val="24"/>
          <w:szCs w:val="24"/>
        </w:rPr>
        <w:t>financiamentos” de até 73% (setenta e três por cento) do ICMS</w:t>
      </w:r>
      <w:r w:rsidRPr="00EF47D6">
        <w:rPr>
          <w:rFonts w:ascii="Arial" w:hAnsi="Arial" w:cs="Arial"/>
          <w:sz w:val="24"/>
          <w:szCs w:val="24"/>
        </w:rPr>
        <w:t xml:space="preserve"> devido. Para fazer jus a esse benefício, o contribuinte deve pagar os 27% (vinte e sete por cento) restantes e antecipar </w:t>
      </w:r>
      <w:r>
        <w:rPr>
          <w:rFonts w:ascii="Arial" w:hAnsi="Arial" w:cs="Arial"/>
          <w:sz w:val="24"/>
          <w:szCs w:val="24"/>
        </w:rPr>
        <w:t xml:space="preserve">no mínimo </w:t>
      </w:r>
      <w:r w:rsidRPr="00EF47D6">
        <w:rPr>
          <w:rFonts w:ascii="Arial" w:hAnsi="Arial" w:cs="Arial"/>
          <w:sz w:val="24"/>
          <w:szCs w:val="24"/>
        </w:rPr>
        <w:t>10% (dez por cento) do valor financiado</w:t>
      </w:r>
      <w:r>
        <w:rPr>
          <w:rFonts w:ascii="Arial" w:hAnsi="Arial" w:cs="Arial"/>
          <w:sz w:val="24"/>
          <w:szCs w:val="24"/>
        </w:rPr>
        <w:t xml:space="preserve"> (art. 23, IV, Decreto n. 5.265, de 2000)</w:t>
      </w:r>
      <w:r w:rsidRPr="00EF47D6">
        <w:rPr>
          <w:rFonts w:ascii="Arial" w:hAnsi="Arial" w:cs="Arial"/>
          <w:sz w:val="24"/>
          <w:szCs w:val="24"/>
        </w:rPr>
        <w:t>. Incidem juros mensais d</w:t>
      </w:r>
      <w:r>
        <w:rPr>
          <w:rFonts w:ascii="Arial" w:hAnsi="Arial" w:cs="Arial"/>
          <w:sz w:val="24"/>
          <w:szCs w:val="24"/>
        </w:rPr>
        <w:t xml:space="preserve">e 0,2% (dois décimos por cento), não capitalizáveis, </w:t>
      </w:r>
      <w:r w:rsidR="0026093F">
        <w:rPr>
          <w:rFonts w:ascii="Arial" w:hAnsi="Arial" w:cs="Arial"/>
          <w:sz w:val="24"/>
          <w:szCs w:val="24"/>
        </w:rPr>
        <w:t>sobre o valor</w:t>
      </w:r>
      <w:r w:rsidRPr="00EF47D6">
        <w:rPr>
          <w:rFonts w:ascii="Arial" w:hAnsi="Arial" w:cs="Arial"/>
          <w:sz w:val="24"/>
          <w:szCs w:val="24"/>
        </w:rPr>
        <w:t xml:space="preserve"> financia</w:t>
      </w:r>
      <w:r w:rsidR="0026093F">
        <w:rPr>
          <w:rFonts w:ascii="Arial" w:hAnsi="Arial" w:cs="Arial"/>
          <w:sz w:val="24"/>
          <w:szCs w:val="24"/>
        </w:rPr>
        <w:t>d</w:t>
      </w:r>
      <w:r w:rsidRPr="00EF47D6">
        <w:rPr>
          <w:rFonts w:ascii="Arial" w:hAnsi="Arial" w:cs="Arial"/>
          <w:sz w:val="24"/>
          <w:szCs w:val="24"/>
        </w:rPr>
        <w:t>o</w:t>
      </w:r>
      <w:r>
        <w:rPr>
          <w:rFonts w:ascii="Arial" w:hAnsi="Arial" w:cs="Arial"/>
          <w:sz w:val="24"/>
          <w:szCs w:val="24"/>
        </w:rPr>
        <w:t xml:space="preserve"> (art. 23, III, Decreto n. 5.265, de 2000)</w:t>
      </w:r>
      <w:r w:rsidRPr="00EF47D6">
        <w:rPr>
          <w:rFonts w:ascii="Arial" w:hAnsi="Arial" w:cs="Arial"/>
          <w:sz w:val="24"/>
          <w:szCs w:val="24"/>
        </w:rPr>
        <w:t>.</w:t>
      </w:r>
    </w:p>
    <w:p w14:paraId="0B8DC4E7"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 concessão do benefício e seu prazo depende de análise e aprovação do projeto pela Comissão Executiva do Conselho Deliberativo do FUNPRODUZIR, conforme critérios sociais e econômicos, e posterior celebração de contrato de financiamento com a GOIÁSFOMENTO e de TARE com a Secretaria da Fazenda (agora Secretaria da Economia).</w:t>
      </w:r>
    </w:p>
    <w:p w14:paraId="58C78AB6" w14:textId="2AB589B2"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Nesse projeto, destacamos, são apresentados os </w:t>
      </w:r>
      <w:r w:rsidRPr="00D06E7C">
        <w:rPr>
          <w:rFonts w:ascii="Arial" w:hAnsi="Arial" w:cs="Arial"/>
          <w:b/>
          <w:sz w:val="24"/>
          <w:szCs w:val="24"/>
        </w:rPr>
        <w:t>fatores de desconto</w:t>
      </w:r>
      <w:r>
        <w:rPr>
          <w:rFonts w:ascii="Arial" w:hAnsi="Arial" w:cs="Arial"/>
          <w:sz w:val="24"/>
          <w:szCs w:val="24"/>
        </w:rPr>
        <w:t xml:space="preserve"> escolhidos pelo solicitante do benefício dentre o rol definido no regulamento (Anexo II do Decreto n. 5.265, de 2000). Tratam-se de condições a que a empresa se compromete a cumprir em razão do benefício concedido. Tais fatores, além de sua importância para aprovação ou não, terão papel relevante quando da quitação do financiamento (desconto de subvenção para investimento). Segue, para fim de conhecimento, a tabela de fatores de desconto vigente quando da elaboração deste Relatório:</w:t>
      </w:r>
    </w:p>
    <w:p w14:paraId="7A215C2E" w14:textId="77777777" w:rsidR="00F305AA" w:rsidRDefault="00F305AA" w:rsidP="00F305AA">
      <w:pPr>
        <w:spacing w:line="360" w:lineRule="auto"/>
        <w:ind w:firstLine="851"/>
        <w:jc w:val="both"/>
        <w:rPr>
          <w:rFonts w:ascii="Arial" w:hAnsi="Arial" w:cs="Arial"/>
          <w:sz w:val="24"/>
          <w:szCs w:val="24"/>
        </w:rPr>
      </w:pP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39"/>
        <w:gridCol w:w="6461"/>
        <w:gridCol w:w="1728"/>
      </w:tblGrid>
      <w:tr w:rsidR="00F305AA" w14:paraId="4E31D3F7"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shd w:val="clear" w:color="auto" w:fill="7F7F7F"/>
            <w:hideMark/>
          </w:tcPr>
          <w:p w14:paraId="6CDA3869" w14:textId="77777777" w:rsidR="00F305AA" w:rsidRDefault="00F305AA" w:rsidP="00F305AA">
            <w:pPr>
              <w:pStyle w:val="NormalWeb"/>
              <w:jc w:val="center"/>
            </w:pPr>
            <w:r>
              <w:rPr>
                <w:rFonts w:ascii="Arial" w:hAnsi="Arial" w:cs="Arial"/>
                <w:b/>
                <w:bCs/>
                <w:sz w:val="20"/>
                <w:szCs w:val="20"/>
              </w:rPr>
              <w:t>GRUPO</w:t>
            </w:r>
          </w:p>
        </w:tc>
        <w:tc>
          <w:tcPr>
            <w:tcW w:w="14190" w:type="dxa"/>
            <w:tcBorders>
              <w:top w:val="single" w:sz="8" w:space="0" w:color="000000"/>
              <w:left w:val="single" w:sz="8" w:space="0" w:color="000000"/>
              <w:bottom w:val="single" w:sz="8" w:space="0" w:color="000000"/>
              <w:right w:val="single" w:sz="8" w:space="0" w:color="000000"/>
            </w:tcBorders>
            <w:shd w:val="clear" w:color="auto" w:fill="7F7F7F"/>
            <w:hideMark/>
          </w:tcPr>
          <w:p w14:paraId="0AB2FCF9" w14:textId="77777777" w:rsidR="00F305AA" w:rsidRDefault="00F305AA" w:rsidP="00F305AA">
            <w:pPr>
              <w:pStyle w:val="NormalWeb"/>
              <w:jc w:val="center"/>
              <w:rPr>
                <w:rFonts w:ascii="Arial" w:hAnsi="Arial" w:cs="Arial"/>
                <w:b/>
                <w:bCs/>
                <w:sz w:val="20"/>
                <w:szCs w:val="20"/>
              </w:rPr>
            </w:pPr>
            <w:r>
              <w:rPr>
                <w:rFonts w:ascii="Arial" w:hAnsi="Arial" w:cs="Arial"/>
                <w:b/>
                <w:bCs/>
                <w:sz w:val="20"/>
                <w:szCs w:val="20"/>
              </w:rPr>
              <w:t>FATORES PARA DESCONTO</w:t>
            </w:r>
          </w:p>
          <w:p w14:paraId="0F9F946F" w14:textId="77777777" w:rsidR="00F305AA" w:rsidRDefault="00D9482C" w:rsidP="00F305AA">
            <w:pPr>
              <w:pStyle w:val="NormalWeb"/>
              <w:jc w:val="center"/>
            </w:pPr>
            <w:hyperlink r:id="rId28" w:history="1">
              <w:r w:rsidR="00F305AA" w:rsidRPr="002135B1">
                <w:rPr>
                  <w:rStyle w:val="Hyperlink"/>
                  <w:rFonts w:ascii="Arial Black" w:hAnsi="Arial Black"/>
                  <w:b/>
                  <w:bCs/>
                  <w:color w:val="auto"/>
                  <w:sz w:val="15"/>
                  <w:szCs w:val="15"/>
                  <w:u w:val="none"/>
                </w:rPr>
                <w:t>Redação dada pelo Decreto nº 8.706, de 26-07-2016.</w:t>
              </w:r>
            </w:hyperlink>
          </w:p>
        </w:tc>
        <w:tc>
          <w:tcPr>
            <w:tcW w:w="2580" w:type="dxa"/>
            <w:tcBorders>
              <w:top w:val="single" w:sz="8" w:space="0" w:color="000000"/>
              <w:left w:val="single" w:sz="8" w:space="0" w:color="000000"/>
              <w:bottom w:val="single" w:sz="8" w:space="0" w:color="000000"/>
              <w:right w:val="single" w:sz="8" w:space="0" w:color="000000"/>
            </w:tcBorders>
            <w:shd w:val="clear" w:color="auto" w:fill="7F7F7F"/>
            <w:hideMark/>
          </w:tcPr>
          <w:p w14:paraId="780E0DBC" w14:textId="77777777" w:rsidR="00F305AA" w:rsidRDefault="00F305AA" w:rsidP="00F305AA">
            <w:pPr>
              <w:pStyle w:val="NormalWeb"/>
              <w:jc w:val="center"/>
            </w:pPr>
            <w:r>
              <w:rPr>
                <w:rFonts w:ascii="Arial" w:hAnsi="Arial" w:cs="Arial"/>
                <w:b/>
                <w:bCs/>
                <w:sz w:val="20"/>
                <w:szCs w:val="20"/>
              </w:rPr>
              <w:t>DESCONTO</w:t>
            </w:r>
          </w:p>
        </w:tc>
      </w:tr>
      <w:tr w:rsidR="00F305AA" w14:paraId="6EAEA021"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hideMark/>
          </w:tcPr>
          <w:p w14:paraId="689D8F82" w14:textId="77777777" w:rsidR="00F305AA" w:rsidRDefault="00F305AA" w:rsidP="00F305AA">
            <w:pPr>
              <w:pStyle w:val="NormalWeb"/>
              <w:jc w:val="center"/>
            </w:pPr>
            <w:r>
              <w:rPr>
                <w:rFonts w:ascii="Arial" w:hAnsi="Arial" w:cs="Arial"/>
                <w:sz w:val="20"/>
                <w:szCs w:val="20"/>
              </w:rPr>
              <w:t>I</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7F9753D3" w14:textId="77777777" w:rsidR="00F305AA" w:rsidRDefault="00F305AA" w:rsidP="00F305AA">
            <w:pPr>
              <w:pStyle w:val="NormalWeb"/>
            </w:pPr>
            <w:r>
              <w:rPr>
                <w:rFonts w:ascii="Arial" w:hAnsi="Arial" w:cs="Arial"/>
                <w:sz w:val="20"/>
                <w:szCs w:val="20"/>
              </w:rPr>
              <w:t>Adimplência para com as obrigações tributárias estaduais e para com as obrigações junto ao fundo ou ao programa</w:t>
            </w:r>
          </w:p>
        </w:tc>
        <w:tc>
          <w:tcPr>
            <w:tcW w:w="2580" w:type="dxa"/>
            <w:tcBorders>
              <w:top w:val="single" w:sz="8" w:space="0" w:color="000000"/>
              <w:left w:val="single" w:sz="8" w:space="0" w:color="000000"/>
              <w:bottom w:val="single" w:sz="8" w:space="0" w:color="000000"/>
              <w:right w:val="single" w:sz="8" w:space="0" w:color="000000"/>
            </w:tcBorders>
            <w:hideMark/>
          </w:tcPr>
          <w:p w14:paraId="6B77D18B" w14:textId="77777777" w:rsidR="00F305AA" w:rsidRDefault="00F305AA" w:rsidP="00F305AA">
            <w:pPr>
              <w:pStyle w:val="NormalWeb"/>
              <w:jc w:val="center"/>
            </w:pPr>
            <w:r>
              <w:rPr>
                <w:rFonts w:ascii="Arial" w:hAnsi="Arial" w:cs="Arial"/>
                <w:sz w:val="20"/>
                <w:szCs w:val="20"/>
              </w:rPr>
              <w:t>30%</w:t>
            </w:r>
          </w:p>
        </w:tc>
      </w:tr>
      <w:tr w:rsidR="00F305AA" w14:paraId="7CE94B9D"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3C41FBB6" w14:textId="77777777" w:rsidR="00F305AA" w:rsidRDefault="00F305AA" w:rsidP="00F305AA">
            <w:pPr>
              <w:pStyle w:val="NormalWeb"/>
              <w:jc w:val="center"/>
            </w:pPr>
            <w:r>
              <w:rPr>
                <w:rFonts w:ascii="Arial" w:hAnsi="Arial" w:cs="Arial"/>
                <w:sz w:val="20"/>
                <w:szCs w:val="20"/>
              </w:rPr>
              <w:t>II</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4A625A58" w14:textId="77777777" w:rsidR="00F305AA" w:rsidRDefault="00F305AA" w:rsidP="00F305AA">
            <w:pPr>
              <w:pStyle w:val="NormalWeb"/>
            </w:pPr>
            <w:r>
              <w:rPr>
                <w:rFonts w:ascii="Arial" w:hAnsi="Arial" w:cs="Arial"/>
                <w:sz w:val="20"/>
                <w:szCs w:val="20"/>
              </w:rPr>
              <w:t>500 ou mais empregos diretos gerados</w:t>
            </w:r>
          </w:p>
        </w:tc>
        <w:tc>
          <w:tcPr>
            <w:tcW w:w="2580" w:type="dxa"/>
            <w:tcBorders>
              <w:top w:val="single" w:sz="8" w:space="0" w:color="000000"/>
              <w:left w:val="single" w:sz="8" w:space="0" w:color="000000"/>
              <w:bottom w:val="single" w:sz="8" w:space="0" w:color="000000"/>
              <w:right w:val="single" w:sz="8" w:space="0" w:color="000000"/>
            </w:tcBorders>
            <w:hideMark/>
          </w:tcPr>
          <w:p w14:paraId="3A30CB05" w14:textId="77777777" w:rsidR="00F305AA" w:rsidRDefault="00F305AA" w:rsidP="00F305AA">
            <w:pPr>
              <w:pStyle w:val="NormalWeb"/>
              <w:jc w:val="center"/>
            </w:pPr>
            <w:r>
              <w:rPr>
                <w:rFonts w:ascii="Arial" w:hAnsi="Arial" w:cs="Arial"/>
                <w:sz w:val="20"/>
                <w:szCs w:val="20"/>
              </w:rPr>
              <w:t>30%</w:t>
            </w:r>
          </w:p>
        </w:tc>
      </w:tr>
      <w:tr w:rsidR="00F305AA" w14:paraId="252EE5A7"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1D06CD35" w14:textId="77777777" w:rsidR="00F305AA" w:rsidRDefault="00F305AA" w:rsidP="00F305AA">
            <w:pPr>
              <w:pStyle w:val="NormalWeb"/>
              <w:jc w:val="center"/>
            </w:pPr>
            <w:r>
              <w:rPr>
                <w:rFonts w:ascii="Arial" w:hAnsi="Arial" w:cs="Arial"/>
                <w:sz w:val="20"/>
                <w:szCs w:val="20"/>
              </w:rPr>
              <w:t>III</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28FB37CE" w14:textId="77777777" w:rsidR="00F305AA" w:rsidRDefault="00F305AA" w:rsidP="00F305AA">
            <w:pPr>
              <w:pStyle w:val="NormalWeb"/>
            </w:pPr>
            <w:r>
              <w:rPr>
                <w:rFonts w:ascii="Arial" w:hAnsi="Arial" w:cs="Arial"/>
                <w:sz w:val="20"/>
                <w:szCs w:val="20"/>
              </w:rPr>
              <w:t>250 ou mais empregos diretos gerados</w:t>
            </w:r>
          </w:p>
        </w:tc>
        <w:tc>
          <w:tcPr>
            <w:tcW w:w="2580" w:type="dxa"/>
            <w:tcBorders>
              <w:top w:val="single" w:sz="8" w:space="0" w:color="000000"/>
              <w:left w:val="single" w:sz="8" w:space="0" w:color="000000"/>
              <w:bottom w:val="single" w:sz="8" w:space="0" w:color="000000"/>
              <w:right w:val="single" w:sz="8" w:space="0" w:color="000000"/>
            </w:tcBorders>
            <w:hideMark/>
          </w:tcPr>
          <w:p w14:paraId="4898B39A" w14:textId="77777777" w:rsidR="00F305AA" w:rsidRDefault="00F305AA" w:rsidP="00F305AA">
            <w:pPr>
              <w:pStyle w:val="NormalWeb"/>
              <w:jc w:val="center"/>
            </w:pPr>
            <w:r>
              <w:rPr>
                <w:rFonts w:ascii="Arial" w:hAnsi="Arial" w:cs="Arial"/>
                <w:sz w:val="20"/>
                <w:szCs w:val="20"/>
              </w:rPr>
              <w:t>25%</w:t>
            </w:r>
          </w:p>
        </w:tc>
      </w:tr>
      <w:tr w:rsidR="00F305AA" w14:paraId="7ADD1541"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132CEED1" w14:textId="77777777" w:rsidR="00F305AA" w:rsidRDefault="00F305AA" w:rsidP="00F305AA">
            <w:pPr>
              <w:pStyle w:val="NormalWeb"/>
              <w:jc w:val="center"/>
            </w:pPr>
            <w:r>
              <w:rPr>
                <w:rFonts w:ascii="Arial" w:hAnsi="Arial" w:cs="Arial"/>
                <w:sz w:val="20"/>
                <w:szCs w:val="20"/>
              </w:rPr>
              <w:t>IV</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3DD295C7" w14:textId="77777777" w:rsidR="00F305AA" w:rsidRDefault="00F305AA" w:rsidP="00F305AA">
            <w:pPr>
              <w:pStyle w:val="NormalWeb"/>
            </w:pPr>
            <w:r>
              <w:rPr>
                <w:rFonts w:ascii="Arial" w:hAnsi="Arial" w:cs="Arial"/>
                <w:sz w:val="20"/>
                <w:szCs w:val="20"/>
              </w:rPr>
              <w:t>100 ou mais empregos diretos gerados</w:t>
            </w:r>
          </w:p>
        </w:tc>
        <w:tc>
          <w:tcPr>
            <w:tcW w:w="2580" w:type="dxa"/>
            <w:tcBorders>
              <w:top w:val="single" w:sz="8" w:space="0" w:color="000000"/>
              <w:left w:val="single" w:sz="8" w:space="0" w:color="000000"/>
              <w:bottom w:val="single" w:sz="8" w:space="0" w:color="000000"/>
              <w:right w:val="single" w:sz="8" w:space="0" w:color="000000"/>
            </w:tcBorders>
            <w:hideMark/>
          </w:tcPr>
          <w:p w14:paraId="52C8C291" w14:textId="77777777" w:rsidR="00F305AA" w:rsidRDefault="00F305AA" w:rsidP="00F305AA">
            <w:pPr>
              <w:pStyle w:val="NormalWeb"/>
              <w:jc w:val="center"/>
            </w:pPr>
            <w:r>
              <w:rPr>
                <w:rFonts w:ascii="Arial" w:hAnsi="Arial" w:cs="Arial"/>
                <w:sz w:val="20"/>
                <w:szCs w:val="20"/>
              </w:rPr>
              <w:t>20%</w:t>
            </w:r>
          </w:p>
        </w:tc>
      </w:tr>
      <w:tr w:rsidR="00F305AA" w14:paraId="26AFFBAD"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0E8563FD" w14:textId="77777777" w:rsidR="00F305AA" w:rsidRDefault="00F305AA" w:rsidP="00F305AA">
            <w:pPr>
              <w:pStyle w:val="NormalWeb"/>
              <w:jc w:val="center"/>
            </w:pPr>
            <w:r>
              <w:rPr>
                <w:rFonts w:ascii="Arial" w:hAnsi="Arial" w:cs="Arial"/>
                <w:sz w:val="20"/>
                <w:szCs w:val="20"/>
              </w:rPr>
              <w:t>V</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2E59A0AD" w14:textId="77777777" w:rsidR="00F305AA" w:rsidRDefault="00F305AA" w:rsidP="00F305AA">
            <w:pPr>
              <w:pStyle w:val="NormalWeb"/>
            </w:pPr>
            <w:r>
              <w:rPr>
                <w:rFonts w:ascii="Arial" w:hAnsi="Arial" w:cs="Arial"/>
                <w:sz w:val="20"/>
                <w:szCs w:val="20"/>
              </w:rPr>
              <w:t>50 ou mais empregos diretos gerados</w:t>
            </w:r>
          </w:p>
        </w:tc>
        <w:tc>
          <w:tcPr>
            <w:tcW w:w="2580" w:type="dxa"/>
            <w:tcBorders>
              <w:top w:val="single" w:sz="8" w:space="0" w:color="000000"/>
              <w:left w:val="single" w:sz="8" w:space="0" w:color="000000"/>
              <w:bottom w:val="single" w:sz="8" w:space="0" w:color="000000"/>
              <w:right w:val="single" w:sz="8" w:space="0" w:color="000000"/>
            </w:tcBorders>
            <w:hideMark/>
          </w:tcPr>
          <w:p w14:paraId="3F75D66D" w14:textId="77777777" w:rsidR="00F305AA" w:rsidRDefault="00F305AA" w:rsidP="00F305AA">
            <w:pPr>
              <w:pStyle w:val="NormalWeb"/>
              <w:jc w:val="center"/>
            </w:pPr>
            <w:r>
              <w:rPr>
                <w:rFonts w:ascii="Arial" w:hAnsi="Arial" w:cs="Arial"/>
                <w:sz w:val="20"/>
                <w:szCs w:val="20"/>
              </w:rPr>
              <w:t>15%</w:t>
            </w:r>
          </w:p>
        </w:tc>
      </w:tr>
      <w:tr w:rsidR="00F305AA" w14:paraId="4FDD0F3E"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4856DACA" w14:textId="77777777" w:rsidR="00F305AA" w:rsidRDefault="00F305AA" w:rsidP="00F305AA">
            <w:pPr>
              <w:pStyle w:val="NormalWeb"/>
              <w:jc w:val="center"/>
            </w:pPr>
            <w:r>
              <w:rPr>
                <w:rFonts w:ascii="Arial" w:hAnsi="Arial" w:cs="Arial"/>
                <w:sz w:val="20"/>
                <w:szCs w:val="20"/>
              </w:rPr>
              <w:t>VI</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4714410A" w14:textId="77777777" w:rsidR="00F305AA" w:rsidRDefault="00F305AA" w:rsidP="00F305AA">
            <w:pPr>
              <w:pStyle w:val="NormalWeb"/>
            </w:pPr>
            <w:r>
              <w:rPr>
                <w:rFonts w:ascii="Arial" w:hAnsi="Arial" w:cs="Arial"/>
                <w:sz w:val="20"/>
                <w:szCs w:val="20"/>
              </w:rPr>
              <w:t>20 ou mais empregos diretos gerados</w:t>
            </w:r>
          </w:p>
        </w:tc>
        <w:tc>
          <w:tcPr>
            <w:tcW w:w="2580" w:type="dxa"/>
            <w:tcBorders>
              <w:top w:val="single" w:sz="8" w:space="0" w:color="000000"/>
              <w:left w:val="single" w:sz="8" w:space="0" w:color="000000"/>
              <w:bottom w:val="single" w:sz="8" w:space="0" w:color="000000"/>
              <w:right w:val="single" w:sz="8" w:space="0" w:color="000000"/>
            </w:tcBorders>
            <w:hideMark/>
          </w:tcPr>
          <w:p w14:paraId="6F0FE550" w14:textId="77777777" w:rsidR="00F305AA" w:rsidRDefault="00F305AA" w:rsidP="00F305AA">
            <w:pPr>
              <w:pStyle w:val="NormalWeb"/>
              <w:jc w:val="center"/>
            </w:pPr>
            <w:r>
              <w:rPr>
                <w:rFonts w:ascii="Arial" w:hAnsi="Arial" w:cs="Arial"/>
                <w:sz w:val="20"/>
                <w:szCs w:val="20"/>
              </w:rPr>
              <w:t>10%</w:t>
            </w:r>
          </w:p>
        </w:tc>
      </w:tr>
      <w:tr w:rsidR="00F305AA" w14:paraId="673475A6"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6E9EADFD" w14:textId="77777777" w:rsidR="00F305AA" w:rsidRDefault="00F305AA" w:rsidP="00F305AA">
            <w:pPr>
              <w:pStyle w:val="NormalWeb"/>
              <w:jc w:val="center"/>
            </w:pPr>
            <w:r>
              <w:rPr>
                <w:rFonts w:ascii="Arial" w:hAnsi="Arial" w:cs="Arial"/>
                <w:sz w:val="20"/>
                <w:szCs w:val="20"/>
              </w:rPr>
              <w:t>VII</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5885B566" w14:textId="77777777" w:rsidR="00F305AA" w:rsidRDefault="00F305AA" w:rsidP="00F305AA">
            <w:pPr>
              <w:pStyle w:val="NormalWeb"/>
            </w:pPr>
            <w:r>
              <w:rPr>
                <w:rFonts w:ascii="Arial" w:hAnsi="Arial" w:cs="Arial"/>
                <w:sz w:val="20"/>
                <w:szCs w:val="20"/>
              </w:rPr>
              <w:t>10 ou mais empregos diretos gerados</w:t>
            </w:r>
          </w:p>
        </w:tc>
        <w:tc>
          <w:tcPr>
            <w:tcW w:w="2580" w:type="dxa"/>
            <w:tcBorders>
              <w:top w:val="single" w:sz="8" w:space="0" w:color="000000"/>
              <w:left w:val="single" w:sz="8" w:space="0" w:color="000000"/>
              <w:bottom w:val="single" w:sz="8" w:space="0" w:color="000000"/>
              <w:right w:val="single" w:sz="8" w:space="0" w:color="000000"/>
            </w:tcBorders>
            <w:hideMark/>
          </w:tcPr>
          <w:p w14:paraId="1C8CF8E0" w14:textId="77777777" w:rsidR="00F305AA" w:rsidRDefault="00F305AA" w:rsidP="00F305AA">
            <w:pPr>
              <w:pStyle w:val="NormalWeb"/>
              <w:jc w:val="center"/>
            </w:pPr>
            <w:r>
              <w:rPr>
                <w:rFonts w:ascii="Arial" w:hAnsi="Arial" w:cs="Arial"/>
                <w:sz w:val="20"/>
                <w:szCs w:val="20"/>
              </w:rPr>
              <w:t>5%</w:t>
            </w:r>
          </w:p>
        </w:tc>
      </w:tr>
      <w:tr w:rsidR="00F305AA" w14:paraId="7DA649CF"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62925E0F" w14:textId="77777777" w:rsidR="00F305AA" w:rsidRDefault="00F305AA" w:rsidP="00F305AA">
            <w:pPr>
              <w:pStyle w:val="NormalWeb"/>
              <w:jc w:val="center"/>
            </w:pPr>
            <w:r>
              <w:rPr>
                <w:rFonts w:ascii="Arial" w:hAnsi="Arial" w:cs="Arial"/>
                <w:sz w:val="20"/>
                <w:szCs w:val="20"/>
              </w:rPr>
              <w:t>VIII</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242F4FD9" w14:textId="77777777" w:rsidR="00F305AA" w:rsidRDefault="00F305AA" w:rsidP="00F305AA">
            <w:pPr>
              <w:pStyle w:val="NormalWeb"/>
            </w:pPr>
            <w:r>
              <w:rPr>
                <w:rFonts w:ascii="Arial" w:hAnsi="Arial" w:cs="Arial"/>
                <w:sz w:val="20"/>
                <w:szCs w:val="20"/>
              </w:rPr>
              <w:t>Empresa industrializadora de resíduo ou empresa de reciclagem</w:t>
            </w:r>
          </w:p>
        </w:tc>
        <w:tc>
          <w:tcPr>
            <w:tcW w:w="2580" w:type="dxa"/>
            <w:tcBorders>
              <w:top w:val="single" w:sz="8" w:space="0" w:color="000000"/>
              <w:left w:val="single" w:sz="8" w:space="0" w:color="000000"/>
              <w:bottom w:val="single" w:sz="8" w:space="0" w:color="000000"/>
              <w:right w:val="single" w:sz="8" w:space="0" w:color="000000"/>
            </w:tcBorders>
            <w:hideMark/>
          </w:tcPr>
          <w:p w14:paraId="46170EF9" w14:textId="77777777" w:rsidR="00F305AA" w:rsidRDefault="00F305AA" w:rsidP="00F305AA">
            <w:pPr>
              <w:pStyle w:val="NormalWeb"/>
              <w:jc w:val="center"/>
            </w:pPr>
            <w:r>
              <w:rPr>
                <w:rFonts w:ascii="Arial" w:hAnsi="Arial" w:cs="Arial"/>
                <w:sz w:val="20"/>
                <w:szCs w:val="20"/>
              </w:rPr>
              <w:t>30%</w:t>
            </w:r>
          </w:p>
        </w:tc>
      </w:tr>
      <w:tr w:rsidR="00F305AA" w14:paraId="2081825F"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6F6A84DB" w14:textId="77777777" w:rsidR="00F305AA" w:rsidRDefault="00F305AA" w:rsidP="00F305AA">
            <w:pPr>
              <w:pStyle w:val="NormalWeb"/>
              <w:jc w:val="center"/>
            </w:pPr>
            <w:r>
              <w:rPr>
                <w:rFonts w:ascii="Arial" w:hAnsi="Arial" w:cs="Arial"/>
                <w:sz w:val="20"/>
                <w:szCs w:val="20"/>
              </w:rPr>
              <w:t>IX</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6477ACBC" w14:textId="77777777" w:rsidR="00F305AA" w:rsidRDefault="00F305AA" w:rsidP="00F305AA">
            <w:pPr>
              <w:pStyle w:val="NormalWeb"/>
            </w:pPr>
            <w:r>
              <w:rPr>
                <w:rFonts w:ascii="Arial" w:hAnsi="Arial" w:cs="Arial"/>
                <w:sz w:val="20"/>
                <w:szCs w:val="20"/>
              </w:rPr>
              <w:t>Empresa que possua programa de controle de qualidade devidamente comprovado</w:t>
            </w:r>
          </w:p>
        </w:tc>
        <w:tc>
          <w:tcPr>
            <w:tcW w:w="2580" w:type="dxa"/>
            <w:tcBorders>
              <w:top w:val="single" w:sz="8" w:space="0" w:color="000000"/>
              <w:left w:val="single" w:sz="8" w:space="0" w:color="000000"/>
              <w:bottom w:val="single" w:sz="8" w:space="0" w:color="000000"/>
              <w:right w:val="single" w:sz="8" w:space="0" w:color="000000"/>
            </w:tcBorders>
            <w:hideMark/>
          </w:tcPr>
          <w:p w14:paraId="5E2A86C8" w14:textId="77777777" w:rsidR="00F305AA" w:rsidRDefault="00F305AA" w:rsidP="00F305AA">
            <w:pPr>
              <w:pStyle w:val="NormalWeb"/>
              <w:jc w:val="center"/>
            </w:pPr>
            <w:r>
              <w:rPr>
                <w:rFonts w:ascii="Arial" w:hAnsi="Arial" w:cs="Arial"/>
                <w:sz w:val="20"/>
                <w:szCs w:val="20"/>
              </w:rPr>
              <w:t>20%</w:t>
            </w:r>
          </w:p>
        </w:tc>
      </w:tr>
      <w:tr w:rsidR="00F305AA" w14:paraId="663ECBE6"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23733694" w14:textId="77777777" w:rsidR="00F305AA" w:rsidRDefault="00F305AA" w:rsidP="00F305AA">
            <w:pPr>
              <w:pStyle w:val="NormalWeb"/>
              <w:jc w:val="center"/>
            </w:pPr>
            <w:r>
              <w:rPr>
                <w:rFonts w:ascii="Arial" w:hAnsi="Arial" w:cs="Arial"/>
                <w:sz w:val="20"/>
                <w:szCs w:val="20"/>
              </w:rPr>
              <w:t>X</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16018ADC" w14:textId="77777777" w:rsidR="00F305AA" w:rsidRDefault="00F305AA" w:rsidP="00F305AA">
            <w:pPr>
              <w:pStyle w:val="NormalWeb"/>
              <w:spacing w:before="0" w:beforeAutospacing="0" w:after="0" w:afterAutospacing="0"/>
              <w:rPr>
                <w:rFonts w:ascii="Arial" w:hAnsi="Arial" w:cs="Arial"/>
                <w:sz w:val="20"/>
                <w:szCs w:val="20"/>
              </w:rPr>
            </w:pPr>
            <w:r>
              <w:rPr>
                <w:rFonts w:ascii="Arial" w:hAnsi="Arial" w:cs="Arial"/>
                <w:sz w:val="20"/>
                <w:szCs w:val="20"/>
              </w:rPr>
              <w:t>a) Empresa que, a partir da aprovação do projeto, ofereça mais de 10% do total de suas vagas projetadas para primeiro emprego;</w:t>
            </w:r>
          </w:p>
          <w:p w14:paraId="5438CB26" w14:textId="77777777" w:rsidR="00F305AA" w:rsidRDefault="00F305AA" w:rsidP="00F305AA">
            <w:pPr>
              <w:pStyle w:val="NormalWeb"/>
              <w:spacing w:before="0" w:beforeAutospacing="0" w:after="0" w:afterAutospacing="0"/>
            </w:pPr>
            <w:r>
              <w:rPr>
                <w:rFonts w:ascii="Arial" w:hAnsi="Arial" w:cs="Arial"/>
                <w:sz w:val="20"/>
                <w:szCs w:val="20"/>
              </w:rPr>
              <w:t>b) Empresa que, a partir da aprovação do projeto, ofereça mais de 10% de suas vagas projetadas para pessoa com mais de 50 anos;</w:t>
            </w:r>
          </w:p>
          <w:p w14:paraId="21D6579C" w14:textId="77777777" w:rsidR="00F305AA" w:rsidRDefault="00F305AA" w:rsidP="00F305AA">
            <w:pPr>
              <w:pStyle w:val="NormalWeb"/>
              <w:spacing w:before="0" w:beforeAutospacing="0" w:after="0" w:afterAutospacing="0"/>
            </w:pPr>
            <w:r>
              <w:rPr>
                <w:rFonts w:ascii="Arial" w:hAnsi="Arial" w:cs="Arial"/>
                <w:sz w:val="20"/>
                <w:szCs w:val="20"/>
              </w:rPr>
              <w:t>c) Empresa que, a partir da aprovação do projeto, mantenha mais de 10% do total de suas vagas projetadas de funcionários formado por estagiários;</w:t>
            </w:r>
          </w:p>
          <w:p w14:paraId="36EBB73E" w14:textId="77777777" w:rsidR="00F305AA" w:rsidRDefault="00F305AA" w:rsidP="00F305AA">
            <w:pPr>
              <w:pStyle w:val="NormalWeb"/>
              <w:spacing w:before="0" w:beforeAutospacing="0" w:after="0" w:afterAutospacing="0"/>
            </w:pPr>
            <w:r>
              <w:rPr>
                <w:rFonts w:ascii="Arial" w:hAnsi="Arial" w:cs="Arial"/>
                <w:sz w:val="20"/>
                <w:szCs w:val="20"/>
              </w:rPr>
              <w:t>d) Empresa que, a partir da aprovação do projeto, mantenha mais de 5% do total de suas vagas projetadas para portadores de necessidades especiais</w:t>
            </w:r>
          </w:p>
        </w:tc>
        <w:tc>
          <w:tcPr>
            <w:tcW w:w="2580" w:type="dxa"/>
            <w:tcBorders>
              <w:top w:val="single" w:sz="8" w:space="0" w:color="000000"/>
              <w:left w:val="single" w:sz="8" w:space="0" w:color="000000"/>
              <w:bottom w:val="single" w:sz="8" w:space="0" w:color="000000"/>
              <w:right w:val="single" w:sz="8" w:space="0" w:color="000000"/>
            </w:tcBorders>
            <w:hideMark/>
          </w:tcPr>
          <w:p w14:paraId="0BE18883" w14:textId="77777777" w:rsidR="00F305AA" w:rsidRDefault="00F305AA" w:rsidP="00F305AA">
            <w:pPr>
              <w:pStyle w:val="NormalWeb"/>
              <w:jc w:val="center"/>
            </w:pPr>
            <w:r>
              <w:rPr>
                <w:rFonts w:ascii="Arial" w:hAnsi="Arial" w:cs="Arial"/>
                <w:sz w:val="20"/>
                <w:szCs w:val="20"/>
              </w:rPr>
              <w:t>25%</w:t>
            </w:r>
          </w:p>
        </w:tc>
      </w:tr>
      <w:tr w:rsidR="00F305AA" w14:paraId="1972ED7E"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12212D3F" w14:textId="77777777" w:rsidR="00F305AA" w:rsidRDefault="00F305AA" w:rsidP="00F305AA">
            <w:pPr>
              <w:pStyle w:val="NormalWeb"/>
              <w:jc w:val="center"/>
            </w:pPr>
            <w:r>
              <w:rPr>
                <w:rFonts w:ascii="Arial" w:hAnsi="Arial" w:cs="Arial"/>
                <w:sz w:val="20"/>
                <w:szCs w:val="20"/>
              </w:rPr>
              <w:t>XI</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1DD17293" w14:textId="77777777" w:rsidR="00F305AA" w:rsidRDefault="00F305AA" w:rsidP="00F305AA">
            <w:pPr>
              <w:pStyle w:val="NormalWeb"/>
              <w:spacing w:before="0" w:beforeAutospacing="0" w:after="0" w:afterAutospacing="0"/>
            </w:pPr>
            <w:r>
              <w:rPr>
                <w:rFonts w:ascii="Arial" w:hAnsi="Arial" w:cs="Arial"/>
                <w:sz w:val="20"/>
                <w:szCs w:val="20"/>
              </w:rPr>
              <w:t>a) Empresa que, a partir da aprovação do projeto, ofereça mais de 5% do total de suas vagas projetadas para primeiro emprego;</w:t>
            </w:r>
          </w:p>
          <w:p w14:paraId="07253D15" w14:textId="77777777" w:rsidR="00F305AA" w:rsidRDefault="00F305AA" w:rsidP="00F305AA">
            <w:pPr>
              <w:pStyle w:val="NormalWeb"/>
              <w:spacing w:before="0" w:beforeAutospacing="0" w:after="0" w:afterAutospacing="0"/>
            </w:pPr>
            <w:r>
              <w:rPr>
                <w:rFonts w:ascii="Arial" w:hAnsi="Arial" w:cs="Arial"/>
                <w:sz w:val="20"/>
                <w:szCs w:val="20"/>
              </w:rPr>
              <w:t>b) Empresa que, a partir da aprovação do projeto, ofereça mais de 5% de suas vagas projetadas para pessoa com mais de 50 anos;</w:t>
            </w:r>
          </w:p>
          <w:p w14:paraId="3AA513A3" w14:textId="77777777" w:rsidR="00F305AA" w:rsidRDefault="00F305AA" w:rsidP="00F305AA">
            <w:pPr>
              <w:pStyle w:val="NormalWeb"/>
              <w:spacing w:before="0" w:beforeAutospacing="0" w:after="0" w:afterAutospacing="0"/>
            </w:pPr>
            <w:r>
              <w:rPr>
                <w:rFonts w:ascii="Arial" w:hAnsi="Arial" w:cs="Arial"/>
                <w:sz w:val="20"/>
                <w:szCs w:val="20"/>
              </w:rPr>
              <w:t>c) Empresa que, a partir da aprovação do projeto, mantenha mais de 5% do total de suas vagas projetadas de funcionários formado por estagiário</w:t>
            </w:r>
          </w:p>
        </w:tc>
        <w:tc>
          <w:tcPr>
            <w:tcW w:w="2580" w:type="dxa"/>
            <w:tcBorders>
              <w:top w:val="single" w:sz="8" w:space="0" w:color="000000"/>
              <w:left w:val="single" w:sz="8" w:space="0" w:color="000000"/>
              <w:bottom w:val="single" w:sz="8" w:space="0" w:color="000000"/>
              <w:right w:val="single" w:sz="8" w:space="0" w:color="000000"/>
            </w:tcBorders>
            <w:hideMark/>
          </w:tcPr>
          <w:p w14:paraId="69EF3937" w14:textId="77777777" w:rsidR="00F305AA" w:rsidRDefault="00F305AA" w:rsidP="00F305AA">
            <w:pPr>
              <w:pStyle w:val="NormalWeb"/>
              <w:jc w:val="center"/>
            </w:pPr>
            <w:r>
              <w:rPr>
                <w:rFonts w:ascii="Arial" w:hAnsi="Arial" w:cs="Arial"/>
                <w:sz w:val="20"/>
                <w:szCs w:val="20"/>
              </w:rPr>
              <w:t>15%</w:t>
            </w:r>
          </w:p>
        </w:tc>
      </w:tr>
      <w:tr w:rsidR="00F305AA" w14:paraId="6D482458"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690DAD93" w14:textId="77777777" w:rsidR="00F305AA" w:rsidRDefault="00F305AA" w:rsidP="00F305AA">
            <w:pPr>
              <w:pStyle w:val="NormalWeb"/>
              <w:jc w:val="center"/>
            </w:pPr>
            <w:r>
              <w:rPr>
                <w:rFonts w:ascii="Arial" w:hAnsi="Arial" w:cs="Arial"/>
                <w:sz w:val="20"/>
                <w:szCs w:val="20"/>
              </w:rPr>
              <w:t>XII</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4CC8C016" w14:textId="77777777" w:rsidR="00F305AA" w:rsidRDefault="00F305AA" w:rsidP="00F305AA">
            <w:pPr>
              <w:pStyle w:val="NormalWeb"/>
              <w:spacing w:before="0" w:beforeAutospacing="0" w:after="0" w:afterAutospacing="0"/>
            </w:pPr>
            <w:r>
              <w:rPr>
                <w:rFonts w:ascii="Arial" w:hAnsi="Arial" w:cs="Arial"/>
                <w:sz w:val="20"/>
                <w:szCs w:val="20"/>
              </w:rPr>
              <w:t>Empresa que aplique, mensalmente, mais de um e meio salários mínimos em um dos seguintes itens:</w:t>
            </w:r>
          </w:p>
          <w:p w14:paraId="4C7DE41C" w14:textId="77777777" w:rsidR="00F305AA" w:rsidRDefault="00F305AA" w:rsidP="00F305AA">
            <w:pPr>
              <w:pStyle w:val="NormalWeb"/>
              <w:spacing w:before="0" w:beforeAutospacing="0" w:after="0" w:afterAutospacing="0"/>
            </w:pPr>
            <w:r>
              <w:rPr>
                <w:rFonts w:ascii="Arial" w:hAnsi="Arial" w:cs="Arial"/>
                <w:sz w:val="20"/>
                <w:szCs w:val="20"/>
              </w:rPr>
              <w:t>a) no Programa Bolsa Universitária;</w:t>
            </w:r>
          </w:p>
          <w:p w14:paraId="14A4D107" w14:textId="77777777" w:rsidR="00F305AA" w:rsidRDefault="00F305AA" w:rsidP="00F305AA">
            <w:pPr>
              <w:pStyle w:val="NormalWeb"/>
              <w:spacing w:before="0" w:beforeAutospacing="0" w:after="0" w:afterAutospacing="0"/>
            </w:pPr>
            <w:r>
              <w:rPr>
                <w:rFonts w:ascii="Arial" w:hAnsi="Arial" w:cs="Arial"/>
                <w:sz w:val="20"/>
                <w:szCs w:val="20"/>
              </w:rPr>
              <w:t>b) no Programa de Artesanato Goiano da Secretaria de Estado de Desenvolvimento Econômico;</w:t>
            </w:r>
          </w:p>
          <w:p w14:paraId="11F3BEA1" w14:textId="77777777" w:rsidR="00F305AA" w:rsidRDefault="00F305AA" w:rsidP="00F305AA">
            <w:pPr>
              <w:pStyle w:val="NormalWeb"/>
              <w:spacing w:before="0" w:beforeAutospacing="0" w:after="0" w:afterAutospacing="0"/>
            </w:pPr>
            <w:r>
              <w:rPr>
                <w:rFonts w:ascii="Arial" w:hAnsi="Arial" w:cs="Arial"/>
                <w:sz w:val="20"/>
                <w:szCs w:val="20"/>
              </w:rPr>
              <w:t>c) em projeto público relativo à ciência e tecnologia, meio ambiente e pesquisa à TECNÓPOLIS/FUNTEC;</w:t>
            </w:r>
          </w:p>
          <w:p w14:paraId="4EE4EC19" w14:textId="77777777" w:rsidR="00F305AA" w:rsidRDefault="00F305AA" w:rsidP="00F305AA">
            <w:pPr>
              <w:pStyle w:val="NormalWeb"/>
              <w:spacing w:before="0" w:beforeAutospacing="0" w:after="0" w:afterAutospacing="0"/>
            </w:pPr>
            <w:r>
              <w:rPr>
                <w:rFonts w:ascii="Arial" w:hAnsi="Arial" w:cs="Arial"/>
                <w:sz w:val="20"/>
                <w:szCs w:val="20"/>
              </w:rPr>
              <w:t>d) no Centro de Reabilitação e Readaptação Dr. Henrique Santillo – CRER</w:t>
            </w:r>
          </w:p>
        </w:tc>
        <w:tc>
          <w:tcPr>
            <w:tcW w:w="2580" w:type="dxa"/>
            <w:tcBorders>
              <w:top w:val="single" w:sz="8" w:space="0" w:color="000000"/>
              <w:left w:val="single" w:sz="8" w:space="0" w:color="000000"/>
              <w:bottom w:val="single" w:sz="8" w:space="0" w:color="000000"/>
              <w:right w:val="single" w:sz="8" w:space="0" w:color="000000"/>
            </w:tcBorders>
            <w:hideMark/>
          </w:tcPr>
          <w:p w14:paraId="3F424B1B" w14:textId="77777777" w:rsidR="00F305AA" w:rsidRDefault="00F305AA" w:rsidP="00F305AA">
            <w:pPr>
              <w:pStyle w:val="NormalWeb"/>
              <w:jc w:val="center"/>
            </w:pPr>
            <w:r>
              <w:rPr>
                <w:rFonts w:ascii="Arial" w:hAnsi="Arial" w:cs="Arial"/>
                <w:sz w:val="20"/>
                <w:szCs w:val="20"/>
              </w:rPr>
              <w:t>25%</w:t>
            </w:r>
          </w:p>
        </w:tc>
      </w:tr>
      <w:tr w:rsidR="00F305AA" w14:paraId="73C4A9CF"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03A7467F" w14:textId="77777777" w:rsidR="00F305AA" w:rsidRDefault="00F305AA" w:rsidP="00F305AA">
            <w:pPr>
              <w:pStyle w:val="NormalWeb"/>
              <w:jc w:val="center"/>
            </w:pPr>
            <w:r>
              <w:rPr>
                <w:rFonts w:ascii="Arial" w:hAnsi="Arial" w:cs="Arial"/>
                <w:sz w:val="20"/>
                <w:szCs w:val="20"/>
              </w:rPr>
              <w:t>XIII</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434839CC" w14:textId="77777777" w:rsidR="00F305AA" w:rsidRDefault="00F305AA" w:rsidP="00F305AA">
            <w:r>
              <w:rPr>
                <w:rFonts w:ascii="Arial" w:hAnsi="Arial" w:cs="Arial"/>
                <w:sz w:val="20"/>
              </w:rPr>
              <w:t>Empresa que aplique, mensalmente, um salário mínimo em um dos seguintes itens:</w:t>
            </w:r>
          </w:p>
          <w:p w14:paraId="44DE21C6" w14:textId="77777777" w:rsidR="00F305AA" w:rsidRDefault="00F305AA" w:rsidP="00F305AA">
            <w:pPr>
              <w:pStyle w:val="NormalWeb"/>
              <w:spacing w:before="0" w:beforeAutospacing="0" w:after="0" w:afterAutospacing="0"/>
            </w:pPr>
            <w:r>
              <w:rPr>
                <w:rFonts w:ascii="Arial" w:hAnsi="Arial" w:cs="Arial"/>
                <w:sz w:val="20"/>
                <w:szCs w:val="20"/>
              </w:rPr>
              <w:t>a) no Programa Bolsa Universitária;;</w:t>
            </w:r>
          </w:p>
          <w:p w14:paraId="18C27A88" w14:textId="77777777" w:rsidR="00F305AA" w:rsidRDefault="00F305AA" w:rsidP="00F305AA">
            <w:pPr>
              <w:pStyle w:val="NormalWeb"/>
              <w:spacing w:before="0" w:beforeAutospacing="0" w:after="0" w:afterAutospacing="0"/>
            </w:pPr>
            <w:r>
              <w:rPr>
                <w:rFonts w:ascii="Arial" w:hAnsi="Arial" w:cs="Arial"/>
                <w:sz w:val="20"/>
                <w:szCs w:val="20"/>
              </w:rPr>
              <w:t>b) no Programa de Artesanato Goiano da Secretaria de Estado de Desenvolvimento Econômico;</w:t>
            </w:r>
          </w:p>
          <w:p w14:paraId="77E35F76" w14:textId="77777777" w:rsidR="00F305AA" w:rsidRDefault="00F305AA" w:rsidP="00F305AA">
            <w:pPr>
              <w:pStyle w:val="NormalWeb"/>
              <w:spacing w:before="0" w:beforeAutospacing="0" w:after="0" w:afterAutospacing="0"/>
            </w:pPr>
            <w:r>
              <w:rPr>
                <w:rFonts w:ascii="Arial" w:hAnsi="Arial" w:cs="Arial"/>
                <w:sz w:val="20"/>
                <w:szCs w:val="20"/>
              </w:rPr>
              <w:t>c) em projeto público relativo à ciência e tecnologia, meio ambiente e pesquisa à TECNÓPOLIS/FUNTEC;</w:t>
            </w:r>
          </w:p>
          <w:p w14:paraId="68D22A93" w14:textId="77777777" w:rsidR="00F305AA" w:rsidRDefault="00F305AA" w:rsidP="00F305AA">
            <w:pPr>
              <w:pStyle w:val="NormalWeb"/>
              <w:spacing w:before="0" w:beforeAutospacing="0" w:after="0" w:afterAutospacing="0"/>
            </w:pPr>
            <w:r>
              <w:rPr>
                <w:rFonts w:ascii="Arial" w:hAnsi="Arial" w:cs="Arial"/>
                <w:sz w:val="20"/>
                <w:szCs w:val="20"/>
              </w:rPr>
              <w:t>d) no Centro de Reabilitação e Readaptação Dr. Henrique Santillo – CRER</w:t>
            </w:r>
          </w:p>
        </w:tc>
        <w:tc>
          <w:tcPr>
            <w:tcW w:w="2580" w:type="dxa"/>
            <w:tcBorders>
              <w:top w:val="single" w:sz="8" w:space="0" w:color="000000"/>
              <w:left w:val="single" w:sz="8" w:space="0" w:color="000000"/>
              <w:bottom w:val="single" w:sz="8" w:space="0" w:color="000000"/>
              <w:right w:val="single" w:sz="8" w:space="0" w:color="000000"/>
            </w:tcBorders>
            <w:hideMark/>
          </w:tcPr>
          <w:p w14:paraId="61B83B37" w14:textId="77777777" w:rsidR="00F305AA" w:rsidRDefault="00F305AA" w:rsidP="00F305AA">
            <w:pPr>
              <w:pStyle w:val="NormalWeb"/>
              <w:jc w:val="center"/>
            </w:pPr>
            <w:r>
              <w:rPr>
                <w:rFonts w:ascii="Arial" w:hAnsi="Arial" w:cs="Arial"/>
                <w:sz w:val="20"/>
                <w:szCs w:val="20"/>
              </w:rPr>
              <w:t>20%</w:t>
            </w:r>
          </w:p>
        </w:tc>
      </w:tr>
      <w:tr w:rsidR="00F305AA" w14:paraId="2EF4295B" w14:textId="77777777" w:rsidTr="00F305AA">
        <w:trPr>
          <w:tblCellSpacing w:w="15" w:type="dxa"/>
        </w:trPr>
        <w:tc>
          <w:tcPr>
            <w:tcW w:w="1635" w:type="dxa"/>
            <w:tcBorders>
              <w:top w:val="single" w:sz="8" w:space="0" w:color="000000"/>
              <w:left w:val="single" w:sz="8" w:space="0" w:color="000000"/>
              <w:bottom w:val="single" w:sz="8" w:space="0" w:color="000000"/>
              <w:right w:val="single" w:sz="8" w:space="0" w:color="000000"/>
            </w:tcBorders>
            <w:vAlign w:val="center"/>
            <w:hideMark/>
          </w:tcPr>
          <w:p w14:paraId="5AB35B90" w14:textId="77777777" w:rsidR="00F305AA" w:rsidRDefault="00F305AA" w:rsidP="00F305AA">
            <w:pPr>
              <w:pStyle w:val="NormalWeb"/>
              <w:jc w:val="center"/>
            </w:pPr>
            <w:r>
              <w:rPr>
                <w:rFonts w:ascii="Arial" w:hAnsi="Arial" w:cs="Arial"/>
                <w:sz w:val="20"/>
                <w:szCs w:val="20"/>
              </w:rPr>
              <w:lastRenderedPageBreak/>
              <w:t>XIV</w:t>
            </w:r>
          </w:p>
        </w:tc>
        <w:tc>
          <w:tcPr>
            <w:tcW w:w="14190" w:type="dxa"/>
            <w:tcBorders>
              <w:top w:val="single" w:sz="8" w:space="0" w:color="000000"/>
              <w:left w:val="single" w:sz="8" w:space="0" w:color="000000"/>
              <w:bottom w:val="single" w:sz="8" w:space="0" w:color="000000"/>
              <w:right w:val="single" w:sz="8" w:space="0" w:color="000000"/>
            </w:tcBorders>
            <w:vAlign w:val="center"/>
            <w:hideMark/>
          </w:tcPr>
          <w:p w14:paraId="2DCC9CC6" w14:textId="77777777" w:rsidR="00F305AA" w:rsidRDefault="00F305AA" w:rsidP="00F305AA">
            <w:r>
              <w:rPr>
                <w:rFonts w:ascii="Arial" w:hAnsi="Arial" w:cs="Arial"/>
                <w:sz w:val="20"/>
              </w:rPr>
              <w:t>Empresa que, a partir da aprovação do projeto, neutralizar a pegada de carbono, nos termos previstos no Programa Tesouro Verde, instituído pela </w:t>
            </w:r>
            <w:hyperlink r:id="rId29" w:history="1">
              <w:r w:rsidRPr="002135B1">
                <w:rPr>
                  <w:rStyle w:val="Hyperlink"/>
                  <w:rFonts w:ascii="Arial" w:hAnsi="Arial" w:cs="Arial"/>
                  <w:color w:val="auto"/>
                  <w:sz w:val="20"/>
                  <w:u w:val="none"/>
                </w:rPr>
                <w:t>Lei nº 19.763, de 18 de julho de 2017</w:t>
              </w:r>
            </w:hyperlink>
            <w:r w:rsidRPr="002135B1">
              <w:rPr>
                <w:rFonts w:ascii="Arial" w:hAnsi="Arial" w:cs="Arial"/>
                <w:sz w:val="20"/>
              </w:rPr>
              <w:t>.</w:t>
            </w:r>
          </w:p>
        </w:tc>
        <w:tc>
          <w:tcPr>
            <w:tcW w:w="2580" w:type="dxa"/>
            <w:tcBorders>
              <w:top w:val="single" w:sz="8" w:space="0" w:color="000000"/>
              <w:left w:val="single" w:sz="8" w:space="0" w:color="000000"/>
              <w:bottom w:val="single" w:sz="8" w:space="0" w:color="000000"/>
              <w:right w:val="single" w:sz="8" w:space="0" w:color="000000"/>
            </w:tcBorders>
            <w:hideMark/>
          </w:tcPr>
          <w:p w14:paraId="1DA71C44" w14:textId="77777777" w:rsidR="00F305AA" w:rsidRDefault="00F305AA" w:rsidP="00F305AA">
            <w:pPr>
              <w:pStyle w:val="NormalWeb"/>
              <w:jc w:val="center"/>
            </w:pPr>
            <w:r>
              <w:rPr>
                <w:rFonts w:ascii="Arial" w:hAnsi="Arial" w:cs="Arial"/>
                <w:sz w:val="20"/>
                <w:szCs w:val="20"/>
              </w:rPr>
              <w:t>50%</w:t>
            </w:r>
          </w:p>
        </w:tc>
      </w:tr>
    </w:tbl>
    <w:p w14:paraId="67E35AED" w14:textId="77777777" w:rsidR="00F305AA" w:rsidRDefault="00F305AA" w:rsidP="00F305AA">
      <w:pPr>
        <w:spacing w:line="360" w:lineRule="auto"/>
        <w:ind w:firstLine="851"/>
        <w:jc w:val="both"/>
        <w:rPr>
          <w:rFonts w:ascii="Arial" w:hAnsi="Arial" w:cs="Arial"/>
          <w:sz w:val="24"/>
          <w:szCs w:val="24"/>
        </w:rPr>
      </w:pPr>
    </w:p>
    <w:p w14:paraId="18243242"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Os projetos inicialmente teriam a duração máxima de 15 anos. Contudo, a </w:t>
      </w:r>
      <w:r w:rsidRPr="006E57E8">
        <w:rPr>
          <w:rFonts w:ascii="Arial" w:hAnsi="Arial" w:cs="Arial"/>
          <w:sz w:val="24"/>
          <w:szCs w:val="24"/>
        </w:rPr>
        <w:t>Lei n. 18.360, de 30 de dezembro de 2013</w:t>
      </w:r>
      <w:r>
        <w:rPr>
          <w:rFonts w:ascii="Arial" w:hAnsi="Arial" w:cs="Arial"/>
          <w:sz w:val="24"/>
          <w:szCs w:val="24"/>
        </w:rPr>
        <w:t>, também prorrogou o PRODUZIR até 31 de dezembro de 2040, acrescendo a contribuição de 4% (quatro por cento) ao PROTEGE. Essa lei, como já dito, foi recentemente alterada pela Lei n. 20.737, de 2020, a fim de adequá-la à Lei Complementar federal n. 160, de 2017, e a Lei n. 19.949, de 2017, alterou a contribuição para o PROTEGE nos percentuais de 4% e 6% (quatro a seis por cento), conforme seja paga à vista ou de forma parcelada, respectivamente.</w:t>
      </w:r>
    </w:p>
    <w:p w14:paraId="3FA8C0A1"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Uma vez concedido o benefício, a empresa deve, até o quinto dia útil após a carência de 12 (doze) meses, realizar o pagamento do valor financiado em 12 meses. Note-se que esse período de carência se inicia no primeiro dia após o término do período de 12 (doze) meses de utilização do benefício (art. 24, §§ 1º e 1º-A, Decreto n. 5.265, de 2000).</w:t>
      </w:r>
    </w:p>
    <w:p w14:paraId="47F2B23C"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Todavia, caso tenha cumprido os critérios de desconto por ela escolhidos quando da apresentação do projeto (havendo inclusive a possibilidade de posterior alteração, desde que dentro do rol do regulamento), pode receber descontos de até 100% (cem por cento) do valor financiado, a título de </w:t>
      </w:r>
      <w:r>
        <w:rPr>
          <w:rFonts w:ascii="Arial" w:hAnsi="Arial" w:cs="Arial"/>
          <w:b/>
          <w:sz w:val="24"/>
          <w:szCs w:val="24"/>
        </w:rPr>
        <w:t>desconto da subvenção para investimento</w:t>
      </w:r>
      <w:r>
        <w:rPr>
          <w:rFonts w:ascii="Arial" w:hAnsi="Arial" w:cs="Arial"/>
          <w:sz w:val="24"/>
          <w:szCs w:val="24"/>
        </w:rPr>
        <w:t>.</w:t>
      </w:r>
    </w:p>
    <w:p w14:paraId="44AC8828"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Esse valor descontado deve ser utilizado na ampliação ou na modernização do parque industrial do estabelecimento beneficiário (art. 25, Decreto n. 5.265, de 2000). O cumprimento desses critérios e a correspondente possibilidade de desconto são apurados pela Auditoria Interna do PRODUZIR (art. 24, § 1º-E, II, Decreto n. 5.265, de 2000), de responsabilidade da SEFAZ/Secretaria da Economia.</w:t>
      </w:r>
    </w:p>
    <w:p w14:paraId="29F030A3" w14:textId="77777777" w:rsidR="00F305AA" w:rsidRDefault="00F305AA" w:rsidP="00F305AA">
      <w:pPr>
        <w:spacing w:line="360" w:lineRule="auto"/>
        <w:ind w:firstLine="851"/>
        <w:jc w:val="both"/>
        <w:rPr>
          <w:rFonts w:ascii="Arial" w:hAnsi="Arial" w:cs="Arial"/>
          <w:sz w:val="24"/>
          <w:szCs w:val="24"/>
        </w:rPr>
      </w:pPr>
      <w:r w:rsidRPr="0069579A">
        <w:rPr>
          <w:rFonts w:ascii="Arial" w:hAnsi="Arial" w:cs="Arial"/>
          <w:sz w:val="24"/>
          <w:szCs w:val="24"/>
        </w:rPr>
        <w:t>Exemplificando, em relação a um crédito tributário de ICMS de R$ 100,00 (cem reais), o beneficiário financia R$ 73,00 (setenta e três reais) com carência de 12 (doze) meses e a juros de 0,2% (dois décimos por cento) ao mês e paga imediatamente R$ 34,30 (trinta e quatro reais e trinta centavos):</w:t>
      </w:r>
    </w:p>
    <w:p w14:paraId="7E86A957" w14:textId="77777777" w:rsidR="00F305AA" w:rsidRDefault="00F305AA" w:rsidP="00F305AA">
      <w:pPr>
        <w:spacing w:line="360" w:lineRule="auto"/>
        <w:ind w:firstLine="851"/>
        <w:jc w:val="both"/>
        <w:rPr>
          <w:rFonts w:ascii="Arial" w:hAnsi="Arial" w:cs="Arial"/>
          <w:sz w:val="24"/>
          <w:szCs w:val="24"/>
        </w:rPr>
      </w:pPr>
    </w:p>
    <w:p w14:paraId="0F1B5D6D"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R$ 27,00 ............ valor não financiado</w:t>
      </w:r>
    </w:p>
    <w:p w14:paraId="27DBEAF4"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R$   7,30 ............ antecipação do pagamento (10% do financiado)</w:t>
      </w:r>
    </w:p>
    <w:p w14:paraId="3AD149A3" w14:textId="77777777" w:rsidR="00F305AA" w:rsidRDefault="00F305AA" w:rsidP="00F305AA">
      <w:pPr>
        <w:spacing w:line="360" w:lineRule="auto"/>
        <w:ind w:firstLine="851"/>
        <w:jc w:val="both"/>
        <w:rPr>
          <w:rFonts w:ascii="Arial" w:hAnsi="Arial" w:cs="Arial"/>
          <w:sz w:val="24"/>
          <w:szCs w:val="24"/>
        </w:rPr>
      </w:pPr>
    </w:p>
    <w:p w14:paraId="0A02D87F" w14:textId="77777777" w:rsidR="00F305AA" w:rsidRDefault="00F305AA" w:rsidP="00F305AA">
      <w:pPr>
        <w:spacing w:line="360" w:lineRule="auto"/>
        <w:ind w:firstLine="851"/>
        <w:jc w:val="both"/>
        <w:rPr>
          <w:rFonts w:ascii="Arial" w:hAnsi="Arial" w:cs="Arial"/>
          <w:sz w:val="24"/>
          <w:szCs w:val="24"/>
        </w:rPr>
      </w:pPr>
      <w:r w:rsidRPr="0069579A">
        <w:rPr>
          <w:rFonts w:ascii="Arial" w:hAnsi="Arial" w:cs="Arial"/>
          <w:sz w:val="24"/>
          <w:szCs w:val="24"/>
        </w:rPr>
        <w:t>Reitera-se que, caso atenda à integralidade dos critérios de desconto, o beneficiário pode receber a quitação integral do saldo devedor, independentemente de qualquer pagamento</w:t>
      </w:r>
      <w:r>
        <w:rPr>
          <w:rFonts w:ascii="Arial" w:hAnsi="Arial" w:cs="Arial"/>
          <w:sz w:val="24"/>
          <w:szCs w:val="24"/>
        </w:rPr>
        <w:t>. E, ainda, caso não consiga a integralidade do desconto do saldo devedor, pode utilizar-se dos 10% antecipados para quitar o saldo devedor restante. Isto é, conseguindo ao menos 90% (noventa por cento) de desconto para subvenção de investimento, terá seu saldo devedor quitado.</w:t>
      </w:r>
    </w:p>
    <w:p w14:paraId="2A38314B" w14:textId="77777777" w:rsidR="00F305AA" w:rsidRDefault="00F305AA" w:rsidP="00F305AA">
      <w:pPr>
        <w:spacing w:line="360" w:lineRule="auto"/>
        <w:ind w:firstLine="851"/>
        <w:jc w:val="both"/>
        <w:rPr>
          <w:rFonts w:ascii="Arial" w:hAnsi="Arial" w:cs="Arial"/>
          <w:sz w:val="24"/>
          <w:szCs w:val="24"/>
        </w:rPr>
      </w:pPr>
      <w:r w:rsidRPr="00A62349">
        <w:rPr>
          <w:rFonts w:ascii="Arial" w:hAnsi="Arial" w:cs="Arial"/>
          <w:sz w:val="24"/>
          <w:szCs w:val="24"/>
        </w:rPr>
        <w:t>Note-se que os juros de 0,2% (dois décimos por cento) sobre o saldo devedor devem ser pagos mensalmente pelo beneficiário</w:t>
      </w:r>
      <w:r>
        <w:rPr>
          <w:rFonts w:ascii="Arial" w:hAnsi="Arial" w:cs="Arial"/>
          <w:sz w:val="24"/>
          <w:szCs w:val="24"/>
        </w:rPr>
        <w:t>.</w:t>
      </w:r>
    </w:p>
    <w:p w14:paraId="48C7C3B7"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 equipe técnica do TCE-GO elaborou o seguinte fluxograma para explicar o funcionamento do PRODUZIR:</w:t>
      </w:r>
    </w:p>
    <w:p w14:paraId="32AC2989" w14:textId="77777777" w:rsidR="00F305AA" w:rsidRDefault="00F305AA" w:rsidP="00F305AA">
      <w:pPr>
        <w:spacing w:line="360" w:lineRule="auto"/>
        <w:ind w:firstLine="851"/>
        <w:jc w:val="both"/>
        <w:rPr>
          <w:rFonts w:ascii="Arial" w:hAnsi="Arial" w:cs="Arial"/>
          <w:sz w:val="24"/>
          <w:szCs w:val="24"/>
        </w:rPr>
      </w:pPr>
    </w:p>
    <w:p w14:paraId="11C22F62" w14:textId="77777777" w:rsidR="00F305AA" w:rsidRDefault="00F305AA" w:rsidP="00F305AA">
      <w:pPr>
        <w:spacing w:line="360" w:lineRule="auto"/>
        <w:jc w:val="both"/>
        <w:rPr>
          <w:rFonts w:ascii="Arial" w:hAnsi="Arial" w:cs="Arial"/>
          <w:sz w:val="24"/>
          <w:szCs w:val="24"/>
        </w:rPr>
      </w:pPr>
      <w:r>
        <w:rPr>
          <w:rFonts w:ascii="Arial" w:hAnsi="Arial" w:cs="Arial"/>
          <w:noProof/>
          <w:sz w:val="24"/>
          <w:szCs w:val="24"/>
        </w:rPr>
        <w:drawing>
          <wp:inline distT="0" distB="0" distL="0" distR="0" wp14:anchorId="24DF9309" wp14:editId="30188E45">
            <wp:extent cx="5935980" cy="3503295"/>
            <wp:effectExtent l="0" t="0" r="7620" b="190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UXOGRAMA PRODUZIR.PNG"/>
                    <pic:cNvPicPr/>
                  </pic:nvPicPr>
                  <pic:blipFill>
                    <a:blip r:embed="rId30">
                      <a:extLst>
                        <a:ext uri="{28A0092B-C50C-407E-A947-70E740481C1C}">
                          <a14:useLocalDpi xmlns:a14="http://schemas.microsoft.com/office/drawing/2010/main" val="0"/>
                        </a:ext>
                      </a:extLst>
                    </a:blip>
                    <a:stretch>
                      <a:fillRect/>
                    </a:stretch>
                  </pic:blipFill>
                  <pic:spPr>
                    <a:xfrm>
                      <a:off x="0" y="0"/>
                      <a:ext cx="5935980" cy="3503295"/>
                    </a:xfrm>
                    <a:prstGeom prst="rect">
                      <a:avLst/>
                    </a:prstGeom>
                  </pic:spPr>
                </pic:pic>
              </a:graphicData>
            </a:graphic>
          </wp:inline>
        </w:drawing>
      </w:r>
    </w:p>
    <w:p w14:paraId="61A0886F" w14:textId="77777777" w:rsidR="00F305AA" w:rsidRPr="005923EC" w:rsidRDefault="00F305AA" w:rsidP="00F305AA">
      <w:pPr>
        <w:jc w:val="both"/>
        <w:rPr>
          <w:rFonts w:ascii="Arial" w:hAnsi="Arial" w:cs="Arial"/>
          <w:sz w:val="20"/>
          <w:szCs w:val="24"/>
        </w:rPr>
      </w:pPr>
      <w:r w:rsidRPr="005923EC">
        <w:rPr>
          <w:rFonts w:ascii="Arial" w:hAnsi="Arial" w:cs="Arial"/>
          <w:sz w:val="20"/>
          <w:szCs w:val="24"/>
        </w:rPr>
        <w:t>Fonte: Relatório de Auditoria de Regularidade n. 002/2018 – Serviço de Contas do Governo, TCE-GO.</w:t>
      </w:r>
    </w:p>
    <w:p w14:paraId="669EEF40" w14:textId="77777777" w:rsidR="00F305AA" w:rsidRDefault="00F305AA" w:rsidP="00F305AA">
      <w:pPr>
        <w:spacing w:line="360" w:lineRule="auto"/>
        <w:ind w:firstLine="851"/>
        <w:jc w:val="both"/>
        <w:rPr>
          <w:rFonts w:ascii="Arial" w:hAnsi="Arial" w:cs="Arial"/>
          <w:sz w:val="24"/>
          <w:szCs w:val="24"/>
        </w:rPr>
      </w:pPr>
    </w:p>
    <w:p w14:paraId="7A4D5DC9" w14:textId="46049A31"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Atualmente, segundo informado pela Secretaria de Indústria, Comércio e Serviços há </w:t>
      </w:r>
      <w:r w:rsidRPr="00934C2C">
        <w:rPr>
          <w:rFonts w:ascii="Arial" w:hAnsi="Arial" w:cs="Arial"/>
          <w:b/>
          <w:sz w:val="24"/>
          <w:szCs w:val="24"/>
        </w:rPr>
        <w:t>595 (quinhentas e noventa e cinco) empresas ativas</w:t>
      </w:r>
      <w:r w:rsidR="00EB4CDD">
        <w:rPr>
          <w:rStyle w:val="Refdenotaderodap"/>
          <w:rFonts w:ascii="Arial" w:hAnsi="Arial" w:cs="Arial"/>
          <w:sz w:val="24"/>
          <w:szCs w:val="24"/>
        </w:rPr>
        <w:footnoteReference w:id="32"/>
      </w:r>
      <w:r>
        <w:rPr>
          <w:rFonts w:ascii="Arial" w:hAnsi="Arial" w:cs="Arial"/>
          <w:sz w:val="24"/>
          <w:szCs w:val="24"/>
        </w:rPr>
        <w:t xml:space="preserve"> nos programas FOMENTAR e PRODUZIR.</w:t>
      </w:r>
    </w:p>
    <w:p w14:paraId="0513EBAC" w14:textId="77777777" w:rsidR="00F305AA" w:rsidRDefault="00F305AA" w:rsidP="00F305AA">
      <w:pPr>
        <w:spacing w:line="360" w:lineRule="auto"/>
        <w:ind w:firstLine="851"/>
        <w:jc w:val="both"/>
        <w:rPr>
          <w:rFonts w:ascii="Arial" w:hAnsi="Arial" w:cs="Arial"/>
          <w:sz w:val="24"/>
          <w:szCs w:val="24"/>
        </w:rPr>
      </w:pPr>
    </w:p>
    <w:p w14:paraId="6844DE81"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Para estender o benefício para outras áreas foram criados subprogramas do PRODUZIR abaixo relacionados:</w:t>
      </w:r>
    </w:p>
    <w:p w14:paraId="3518DD78" w14:textId="77777777" w:rsidR="00F305AA" w:rsidRDefault="00F305AA" w:rsidP="00F305AA">
      <w:pPr>
        <w:spacing w:line="360" w:lineRule="auto"/>
        <w:ind w:firstLine="851"/>
        <w:jc w:val="both"/>
        <w:rPr>
          <w:rFonts w:ascii="Arial" w:hAnsi="Arial" w:cs="Arial"/>
          <w:sz w:val="24"/>
          <w:szCs w:val="24"/>
        </w:rPr>
      </w:pPr>
    </w:p>
    <w:p w14:paraId="15F51FEF" w14:textId="77777777" w:rsidR="00F305AA" w:rsidRPr="0041698B" w:rsidRDefault="00F305AA" w:rsidP="00502615">
      <w:pPr>
        <w:pStyle w:val="PargrafodaLista"/>
        <w:numPr>
          <w:ilvl w:val="0"/>
          <w:numId w:val="42"/>
        </w:numPr>
        <w:spacing w:line="360" w:lineRule="auto"/>
        <w:jc w:val="both"/>
        <w:rPr>
          <w:rFonts w:ascii="Arial" w:hAnsi="Arial" w:cs="Arial"/>
          <w:b/>
          <w:sz w:val="24"/>
          <w:szCs w:val="24"/>
        </w:rPr>
      </w:pPr>
      <w:r w:rsidRPr="0041698B">
        <w:rPr>
          <w:rFonts w:ascii="Arial" w:hAnsi="Arial" w:cs="Arial"/>
          <w:b/>
          <w:sz w:val="24"/>
          <w:szCs w:val="24"/>
        </w:rPr>
        <w:t>MICROPRODUZIR</w:t>
      </w:r>
    </w:p>
    <w:p w14:paraId="77D6D768" w14:textId="77777777" w:rsidR="00F305AA" w:rsidRDefault="00F305AA" w:rsidP="00F305AA">
      <w:pPr>
        <w:pStyle w:val="PargrafodaLista"/>
        <w:spacing w:line="360" w:lineRule="auto"/>
        <w:ind w:left="1571"/>
        <w:jc w:val="both"/>
        <w:rPr>
          <w:rFonts w:ascii="Arial" w:hAnsi="Arial" w:cs="Arial"/>
          <w:sz w:val="24"/>
          <w:szCs w:val="24"/>
        </w:rPr>
      </w:pPr>
      <w:r>
        <w:rPr>
          <w:rFonts w:ascii="Arial" w:hAnsi="Arial" w:cs="Arial"/>
          <w:sz w:val="24"/>
          <w:szCs w:val="24"/>
        </w:rPr>
        <w:t>Já previsto desde a redação original da Lei n. 13.591, de 2000, é subprograma prioritário voltado às empresas industriais enquadráveis no Regime Simplificado de Recolhimento de Tributos Federais, atualmente Simples Nacional (art. 7º).</w:t>
      </w:r>
    </w:p>
    <w:p w14:paraId="0812AAD8" w14:textId="77777777" w:rsidR="00F305AA" w:rsidRDefault="00F305AA" w:rsidP="00F305AA">
      <w:pPr>
        <w:pStyle w:val="PargrafodaLista"/>
        <w:spacing w:line="360" w:lineRule="auto"/>
        <w:ind w:left="1571"/>
        <w:jc w:val="both"/>
        <w:rPr>
          <w:rFonts w:ascii="Arial" w:hAnsi="Arial" w:cs="Arial"/>
          <w:sz w:val="24"/>
          <w:szCs w:val="24"/>
        </w:rPr>
      </w:pPr>
      <w:r>
        <w:rPr>
          <w:rFonts w:ascii="Arial" w:hAnsi="Arial" w:cs="Arial"/>
          <w:sz w:val="24"/>
          <w:szCs w:val="24"/>
        </w:rPr>
        <w:t>No MICROPRODUZIR o valor do financiamento mensal pode chegar até a 98% (noventa e oito por cento) do ICMS devido, ou mesmo até a 100% (cem por cento), neste último caso para municípios no Nordeste e Oeste goianos estabelecidos em ato do Governador (art. 7º, § 4º).</w:t>
      </w:r>
    </w:p>
    <w:p w14:paraId="4F30CFE6" w14:textId="77777777" w:rsidR="00F305AA" w:rsidRDefault="00F305AA" w:rsidP="00F305AA">
      <w:pPr>
        <w:pStyle w:val="PargrafodaLista"/>
        <w:spacing w:line="360" w:lineRule="auto"/>
        <w:ind w:left="1571"/>
        <w:jc w:val="both"/>
        <w:rPr>
          <w:rFonts w:ascii="Arial" w:hAnsi="Arial" w:cs="Arial"/>
          <w:sz w:val="24"/>
          <w:szCs w:val="24"/>
        </w:rPr>
      </w:pPr>
    </w:p>
    <w:p w14:paraId="1EA48392" w14:textId="77777777" w:rsidR="00F305AA" w:rsidRPr="0041698B" w:rsidRDefault="00F305AA" w:rsidP="00502615">
      <w:pPr>
        <w:pStyle w:val="PargrafodaLista"/>
        <w:numPr>
          <w:ilvl w:val="0"/>
          <w:numId w:val="42"/>
        </w:numPr>
        <w:spacing w:line="360" w:lineRule="auto"/>
        <w:jc w:val="both"/>
        <w:rPr>
          <w:rFonts w:ascii="Arial" w:hAnsi="Arial" w:cs="Arial"/>
          <w:b/>
          <w:sz w:val="24"/>
          <w:szCs w:val="24"/>
        </w:rPr>
      </w:pPr>
      <w:r w:rsidRPr="0041698B">
        <w:rPr>
          <w:rFonts w:ascii="Arial" w:hAnsi="Arial" w:cs="Arial"/>
          <w:b/>
          <w:sz w:val="24"/>
          <w:szCs w:val="24"/>
        </w:rPr>
        <w:t>CENTROPRODUZIR</w:t>
      </w:r>
    </w:p>
    <w:p w14:paraId="285849CA" w14:textId="77777777" w:rsidR="00F305AA" w:rsidRDefault="00F305AA" w:rsidP="00F305AA">
      <w:pPr>
        <w:pStyle w:val="PargrafodaLista"/>
        <w:spacing w:line="360" w:lineRule="auto"/>
        <w:ind w:left="1571"/>
        <w:jc w:val="both"/>
        <w:rPr>
          <w:rFonts w:ascii="Arial" w:hAnsi="Arial" w:cs="Arial"/>
          <w:sz w:val="24"/>
          <w:szCs w:val="24"/>
        </w:rPr>
      </w:pPr>
      <w:r>
        <w:rPr>
          <w:rFonts w:ascii="Arial" w:hAnsi="Arial" w:cs="Arial"/>
          <w:sz w:val="24"/>
          <w:szCs w:val="24"/>
        </w:rPr>
        <w:t>Instituído pela Lei n. 13.844, de 1º de junho de 2001, objetiva apoio à instalação de central única de distribuição e industrialização de produtos no Estado, contemplando as seguintes mercadorias: produtos de informática, telecomunicações ou automação; eletroeletrônicos, eletrodomésticos, móveis e utilidades domésticas em geral; e equipamento e material fotográficos e para laboratório fotográfico, equipamento e material para laboratório óptico, relógio e fita e disco virgens ou gravados.</w:t>
      </w:r>
    </w:p>
    <w:p w14:paraId="5E138460" w14:textId="77777777" w:rsidR="00F305AA" w:rsidRDefault="00F305AA" w:rsidP="00F305AA">
      <w:pPr>
        <w:pStyle w:val="PargrafodaLista"/>
        <w:spacing w:line="360" w:lineRule="auto"/>
        <w:ind w:left="1571"/>
        <w:jc w:val="both"/>
        <w:rPr>
          <w:rFonts w:ascii="Arial" w:hAnsi="Arial" w:cs="Arial"/>
          <w:sz w:val="24"/>
          <w:szCs w:val="24"/>
        </w:rPr>
      </w:pPr>
    </w:p>
    <w:p w14:paraId="2DCA4758" w14:textId="77777777" w:rsidR="00F305AA" w:rsidRPr="008C19F5" w:rsidRDefault="00F305AA" w:rsidP="00502615">
      <w:pPr>
        <w:pStyle w:val="PargrafodaLista"/>
        <w:numPr>
          <w:ilvl w:val="0"/>
          <w:numId w:val="42"/>
        </w:numPr>
        <w:spacing w:line="360" w:lineRule="auto"/>
        <w:jc w:val="both"/>
        <w:rPr>
          <w:rFonts w:ascii="Arial" w:hAnsi="Arial" w:cs="Arial"/>
          <w:b/>
          <w:sz w:val="24"/>
          <w:szCs w:val="24"/>
        </w:rPr>
      </w:pPr>
      <w:r w:rsidRPr="008C19F5">
        <w:rPr>
          <w:rFonts w:ascii="Arial" w:hAnsi="Arial" w:cs="Arial"/>
          <w:b/>
          <w:sz w:val="24"/>
          <w:szCs w:val="24"/>
        </w:rPr>
        <w:t>COMEXPRODUZIR</w:t>
      </w:r>
    </w:p>
    <w:p w14:paraId="441FC719" w14:textId="77777777" w:rsidR="00F305AA" w:rsidRDefault="00F305AA" w:rsidP="00F305AA">
      <w:pPr>
        <w:pStyle w:val="PargrafodaLista"/>
        <w:spacing w:line="360" w:lineRule="auto"/>
        <w:ind w:left="1571"/>
        <w:jc w:val="both"/>
        <w:rPr>
          <w:rFonts w:ascii="Arial" w:hAnsi="Arial" w:cs="Arial"/>
          <w:sz w:val="24"/>
          <w:szCs w:val="24"/>
        </w:rPr>
      </w:pPr>
      <w:r>
        <w:rPr>
          <w:rFonts w:ascii="Arial" w:hAnsi="Arial" w:cs="Arial"/>
          <w:sz w:val="24"/>
          <w:szCs w:val="24"/>
        </w:rPr>
        <w:t xml:space="preserve">Criado pela Lei n. 14.186, de 27 de junho de 2002, objetiva apoiar operações de comércio exterior realizadas por empresa comercial importadora. Regulamentado pelo </w:t>
      </w:r>
      <w:r w:rsidRPr="00BF3770">
        <w:rPr>
          <w:rFonts w:ascii="Arial" w:hAnsi="Arial" w:cs="Arial"/>
          <w:sz w:val="24"/>
          <w:szCs w:val="24"/>
        </w:rPr>
        <w:t>Decreto n. 5.686, de 2 de dezembro de 2002</w:t>
      </w:r>
      <w:r>
        <w:rPr>
          <w:rFonts w:ascii="Arial" w:hAnsi="Arial" w:cs="Arial"/>
          <w:sz w:val="24"/>
          <w:szCs w:val="24"/>
        </w:rPr>
        <w:t xml:space="preserve">, concede crédito outorgado de 65% (sessenta e cinco por cento) nas </w:t>
      </w:r>
      <w:r>
        <w:rPr>
          <w:rFonts w:ascii="Arial" w:hAnsi="Arial" w:cs="Arial"/>
          <w:sz w:val="24"/>
          <w:szCs w:val="24"/>
        </w:rPr>
        <w:lastRenderedPageBreak/>
        <w:t>saídas interestaduais e redução da base de cálculo de ICMS para 10% nas vendas internas.</w:t>
      </w:r>
    </w:p>
    <w:p w14:paraId="1225D28A" w14:textId="77777777" w:rsidR="00F305AA" w:rsidRDefault="00F305AA" w:rsidP="00F305AA">
      <w:pPr>
        <w:pStyle w:val="PargrafodaLista"/>
        <w:spacing w:line="360" w:lineRule="auto"/>
        <w:ind w:left="1571"/>
        <w:jc w:val="both"/>
        <w:rPr>
          <w:rFonts w:ascii="Arial" w:hAnsi="Arial" w:cs="Arial"/>
          <w:sz w:val="24"/>
          <w:szCs w:val="24"/>
        </w:rPr>
      </w:pPr>
      <w:r>
        <w:rPr>
          <w:rFonts w:ascii="Arial" w:hAnsi="Arial" w:cs="Arial"/>
          <w:sz w:val="24"/>
          <w:szCs w:val="24"/>
        </w:rPr>
        <w:t>Exige-se, para isso, desembaraço aduaneiro em Goiás, por meio de estrutura portuária de zona secundária, e contribuição de 5% (cinco por cento) do valor do crédito outorgado para programas sociais estaduais.</w:t>
      </w:r>
    </w:p>
    <w:p w14:paraId="500AC469" w14:textId="77777777" w:rsidR="00F305AA" w:rsidRDefault="00F305AA" w:rsidP="00F305AA">
      <w:pPr>
        <w:pStyle w:val="PargrafodaLista"/>
        <w:spacing w:line="360" w:lineRule="auto"/>
        <w:ind w:left="1571"/>
        <w:jc w:val="both"/>
        <w:rPr>
          <w:rFonts w:ascii="Arial" w:hAnsi="Arial" w:cs="Arial"/>
          <w:sz w:val="24"/>
          <w:szCs w:val="24"/>
        </w:rPr>
      </w:pPr>
    </w:p>
    <w:p w14:paraId="481DC689" w14:textId="77777777" w:rsidR="00F305AA" w:rsidRPr="0087321F" w:rsidRDefault="00F305AA" w:rsidP="00502615">
      <w:pPr>
        <w:pStyle w:val="PargrafodaLista"/>
        <w:numPr>
          <w:ilvl w:val="0"/>
          <w:numId w:val="42"/>
        </w:numPr>
        <w:spacing w:line="360" w:lineRule="auto"/>
        <w:jc w:val="both"/>
        <w:rPr>
          <w:rFonts w:ascii="Arial" w:hAnsi="Arial" w:cs="Arial"/>
          <w:b/>
          <w:sz w:val="24"/>
          <w:szCs w:val="24"/>
        </w:rPr>
      </w:pPr>
      <w:r w:rsidRPr="0087321F">
        <w:rPr>
          <w:rFonts w:ascii="Arial" w:hAnsi="Arial" w:cs="Arial"/>
          <w:b/>
          <w:sz w:val="24"/>
          <w:szCs w:val="24"/>
        </w:rPr>
        <w:t>LOGPRODUZIR</w:t>
      </w:r>
    </w:p>
    <w:p w14:paraId="3956602B" w14:textId="77777777" w:rsidR="00F305AA" w:rsidRDefault="00F305AA" w:rsidP="00F305AA">
      <w:pPr>
        <w:pStyle w:val="PargrafodaLista"/>
        <w:spacing w:line="360" w:lineRule="auto"/>
        <w:ind w:left="1571"/>
        <w:jc w:val="both"/>
        <w:rPr>
          <w:rFonts w:ascii="Arial" w:hAnsi="Arial" w:cs="Arial"/>
          <w:sz w:val="24"/>
          <w:szCs w:val="24"/>
        </w:rPr>
      </w:pPr>
      <w:r>
        <w:rPr>
          <w:rFonts w:ascii="Arial" w:hAnsi="Arial" w:cs="Arial"/>
          <w:sz w:val="24"/>
          <w:szCs w:val="24"/>
        </w:rPr>
        <w:t>Instituído pela Lei n. 14.244, de 29 e julho de 2002, concede crédito outorgado do ICMS incidente sobre prestações interestaduais de transporte realizadas pela empresa operadora de logística. Tal crédito será de: até 50% (cinquenta por cento) para as empresas do segmento de logística); até 73% (setenta e três por cento) para empresas que, diretamente ou por empresa pertencente a seu grupo, operem cumulativamente transporte rodoviário ou aéreo, agenciamento de cargas e armazenamento de mercadorias próprias ou de terceiros; e até 80% (oitenta por cento) as empresas anteriormente previstas cujas operações mensais ultrapassem R$ 900.000,00 (novecentos mil reais) por mês.</w:t>
      </w:r>
    </w:p>
    <w:p w14:paraId="41B428C3" w14:textId="77777777" w:rsidR="00F305AA" w:rsidRPr="00B86717" w:rsidRDefault="00F305AA" w:rsidP="00F305AA">
      <w:pPr>
        <w:pStyle w:val="PargrafodaLista"/>
        <w:spacing w:line="360" w:lineRule="auto"/>
        <w:ind w:left="1571"/>
        <w:jc w:val="both"/>
        <w:rPr>
          <w:rFonts w:ascii="Arial" w:hAnsi="Arial" w:cs="Arial"/>
          <w:sz w:val="24"/>
          <w:szCs w:val="24"/>
        </w:rPr>
      </w:pPr>
      <w:r>
        <w:rPr>
          <w:rFonts w:ascii="Arial" w:hAnsi="Arial" w:cs="Arial"/>
          <w:sz w:val="24"/>
          <w:szCs w:val="24"/>
        </w:rPr>
        <w:t>Também exige-se contribuição para programas sociais do Estado de Goiás (art. 3º, I).</w:t>
      </w:r>
    </w:p>
    <w:p w14:paraId="378CA432" w14:textId="77777777" w:rsidR="00F305AA" w:rsidRDefault="00F305AA" w:rsidP="00F305AA">
      <w:pPr>
        <w:pStyle w:val="PargrafodaLista"/>
        <w:spacing w:line="360" w:lineRule="auto"/>
        <w:ind w:left="1571"/>
        <w:jc w:val="both"/>
        <w:rPr>
          <w:rFonts w:ascii="Arial" w:hAnsi="Arial" w:cs="Arial"/>
          <w:sz w:val="24"/>
          <w:szCs w:val="24"/>
        </w:rPr>
      </w:pPr>
    </w:p>
    <w:p w14:paraId="2983E676" w14:textId="77777777" w:rsidR="00F305AA" w:rsidRPr="00B86717" w:rsidRDefault="00F305AA" w:rsidP="00502615">
      <w:pPr>
        <w:pStyle w:val="PargrafodaLista"/>
        <w:numPr>
          <w:ilvl w:val="0"/>
          <w:numId w:val="42"/>
        </w:numPr>
        <w:spacing w:line="360" w:lineRule="auto"/>
        <w:jc w:val="both"/>
        <w:rPr>
          <w:rFonts w:ascii="Arial" w:hAnsi="Arial" w:cs="Arial"/>
          <w:b/>
          <w:sz w:val="24"/>
          <w:szCs w:val="24"/>
        </w:rPr>
      </w:pPr>
      <w:r w:rsidRPr="00B86717">
        <w:rPr>
          <w:rFonts w:ascii="Arial" w:hAnsi="Arial" w:cs="Arial"/>
          <w:b/>
          <w:sz w:val="24"/>
          <w:szCs w:val="24"/>
        </w:rPr>
        <w:t>PROGREDIR</w:t>
      </w:r>
    </w:p>
    <w:p w14:paraId="442CFD9B" w14:textId="77777777" w:rsidR="00F305AA" w:rsidRDefault="00F305AA" w:rsidP="00F305AA">
      <w:pPr>
        <w:pStyle w:val="PargrafodaLista"/>
        <w:spacing w:line="360" w:lineRule="auto"/>
        <w:ind w:left="1571"/>
        <w:jc w:val="both"/>
        <w:rPr>
          <w:rFonts w:ascii="Arial" w:hAnsi="Arial" w:cs="Arial"/>
          <w:sz w:val="24"/>
          <w:szCs w:val="24"/>
        </w:rPr>
      </w:pPr>
      <w:r>
        <w:rPr>
          <w:rFonts w:ascii="Arial" w:hAnsi="Arial" w:cs="Arial"/>
          <w:sz w:val="24"/>
          <w:szCs w:val="24"/>
        </w:rPr>
        <w:t>Criado pela Lei n. 15.939, de 29 de dezembro de 2006, destina-se a atrair empresas do ramo de industrialização, fabricantes/montadoras das seguintes mercadorias: produtos de informática, telecomunicações ou automação; eletroeletrônicos, eletrodomésticos, móveis e utilidades domésticas em geral; equipamento e material fotográficos e para laboratório fotográfico, equipamento e material para laboratório óptico, relógio e fita e disco virgens ou gravados;</w:t>
      </w:r>
      <w:r w:rsidRPr="00B86717">
        <w:rPr>
          <w:rFonts w:ascii="Arial" w:hAnsi="Arial" w:cs="Arial"/>
          <w:sz w:val="24"/>
          <w:szCs w:val="24"/>
        </w:rPr>
        <w:t xml:space="preserve"> </w:t>
      </w:r>
      <w:r>
        <w:rPr>
          <w:rFonts w:ascii="Arial" w:hAnsi="Arial" w:cs="Arial"/>
          <w:sz w:val="24"/>
          <w:szCs w:val="24"/>
        </w:rPr>
        <w:t>e bicicletas, equipamentos para ginástica e instrumentos musicais.</w:t>
      </w:r>
    </w:p>
    <w:p w14:paraId="0D09FAC1" w14:textId="77777777" w:rsidR="00F305AA" w:rsidRPr="00B86717" w:rsidRDefault="00F305AA" w:rsidP="00F305AA">
      <w:pPr>
        <w:pStyle w:val="PargrafodaLista"/>
        <w:spacing w:line="360" w:lineRule="auto"/>
        <w:ind w:left="1571"/>
        <w:jc w:val="both"/>
        <w:rPr>
          <w:rFonts w:ascii="Arial" w:hAnsi="Arial" w:cs="Arial"/>
          <w:sz w:val="24"/>
          <w:szCs w:val="24"/>
        </w:rPr>
      </w:pPr>
      <w:r>
        <w:rPr>
          <w:rFonts w:ascii="Arial" w:hAnsi="Arial" w:cs="Arial"/>
          <w:sz w:val="24"/>
          <w:szCs w:val="24"/>
        </w:rPr>
        <w:t>Também trabalha com a sistemática de “financiamento” e exige-se contribuição para programas sociais do Estado de Goiás (art. 2º, I, “c”).</w:t>
      </w:r>
    </w:p>
    <w:p w14:paraId="52E5709D" w14:textId="77777777" w:rsidR="00F305AA" w:rsidRDefault="00F305AA" w:rsidP="00F305AA">
      <w:pPr>
        <w:spacing w:line="360" w:lineRule="auto"/>
        <w:ind w:firstLine="851"/>
        <w:jc w:val="both"/>
        <w:rPr>
          <w:rFonts w:ascii="Arial" w:hAnsi="Arial" w:cs="Arial"/>
          <w:sz w:val="24"/>
          <w:szCs w:val="24"/>
        </w:rPr>
      </w:pPr>
    </w:p>
    <w:p w14:paraId="471E2135" w14:textId="1C9D5683" w:rsidR="00F305AA" w:rsidRPr="00D46587" w:rsidRDefault="00F305AA" w:rsidP="00F305AA">
      <w:pPr>
        <w:spacing w:line="360" w:lineRule="auto"/>
        <w:ind w:firstLine="851"/>
        <w:jc w:val="both"/>
        <w:rPr>
          <w:rFonts w:ascii="Arial" w:hAnsi="Arial" w:cs="Arial"/>
          <w:b/>
          <w:sz w:val="24"/>
          <w:szCs w:val="24"/>
          <w:u w:val="single"/>
        </w:rPr>
      </w:pPr>
      <w:r w:rsidRPr="00D46587">
        <w:rPr>
          <w:rFonts w:ascii="Arial" w:hAnsi="Arial" w:cs="Arial"/>
          <w:b/>
          <w:sz w:val="24"/>
          <w:szCs w:val="24"/>
          <w:u w:val="single"/>
        </w:rPr>
        <w:lastRenderedPageBreak/>
        <w:t xml:space="preserve">6.1.3 </w:t>
      </w:r>
      <w:r w:rsidR="00D46587" w:rsidRPr="00D46587">
        <w:rPr>
          <w:rFonts w:ascii="Arial" w:hAnsi="Arial" w:cs="Arial"/>
          <w:b/>
          <w:sz w:val="24"/>
          <w:szCs w:val="24"/>
          <w:u w:val="single"/>
        </w:rPr>
        <w:t xml:space="preserve">– </w:t>
      </w:r>
      <w:r w:rsidRPr="00D46587">
        <w:rPr>
          <w:rFonts w:ascii="Arial" w:hAnsi="Arial" w:cs="Arial"/>
          <w:b/>
          <w:sz w:val="24"/>
          <w:szCs w:val="24"/>
          <w:u w:val="single"/>
        </w:rPr>
        <w:t>Natureza jurídica e renúncia de receitas</w:t>
      </w:r>
    </w:p>
    <w:p w14:paraId="69ECD6DA" w14:textId="77777777" w:rsidR="00F305AA" w:rsidRPr="005E265E" w:rsidRDefault="00F305AA" w:rsidP="00F305AA">
      <w:pPr>
        <w:spacing w:line="360" w:lineRule="auto"/>
        <w:ind w:firstLine="851"/>
        <w:jc w:val="both"/>
        <w:rPr>
          <w:rFonts w:ascii="Arial" w:hAnsi="Arial" w:cs="Arial"/>
          <w:sz w:val="24"/>
          <w:szCs w:val="24"/>
        </w:rPr>
      </w:pPr>
    </w:p>
    <w:p w14:paraId="3DFB58EA"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Discute-se sobre a real natureza jurídica dos Programas FOMENTAR e PRODUZIR: se se trata de incentivos fiscais ou financeiros, pois, a depender desta classificação, há incidência, ou não, de limitações e exigências constitucionais e legais de responsabilidade fiscal e tributária e, ainda, de distintas normas contábeis e orçamentárias. Dada a relevância do debate, e sua necessidade para fim de delimitação dos trabalhos desta Comissão Parlamentar de Inquérito, a ele não podemos nos furtar.</w:t>
      </w:r>
    </w:p>
    <w:p w14:paraId="6E8EDC2D"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Contextualizando, a divergência pode ser, de maneira inicial, apresentada da seguinte forma: alguns defendem a natureza de </w:t>
      </w:r>
      <w:r>
        <w:rPr>
          <w:rFonts w:ascii="Arial" w:hAnsi="Arial" w:cs="Arial"/>
          <w:b/>
          <w:sz w:val="24"/>
          <w:szCs w:val="24"/>
        </w:rPr>
        <w:t>incentivo financeiro</w:t>
      </w:r>
      <w:r>
        <w:rPr>
          <w:rFonts w:ascii="Arial" w:hAnsi="Arial" w:cs="Arial"/>
          <w:sz w:val="24"/>
          <w:szCs w:val="24"/>
        </w:rPr>
        <w:t xml:space="preserve"> dos programas, uma vez que se trata da concessão de financiamento por intermédio de agente financeiro. Por outro lado, outros defendem que, em razão de que resulta no não pagamento de tributos, são </w:t>
      </w:r>
      <w:r>
        <w:rPr>
          <w:rFonts w:ascii="Arial" w:hAnsi="Arial" w:cs="Arial"/>
          <w:b/>
          <w:sz w:val="24"/>
          <w:szCs w:val="24"/>
        </w:rPr>
        <w:t>incentivos fiscais</w:t>
      </w:r>
      <w:r>
        <w:rPr>
          <w:rFonts w:ascii="Arial" w:hAnsi="Arial" w:cs="Arial"/>
          <w:sz w:val="24"/>
          <w:szCs w:val="24"/>
        </w:rPr>
        <w:t>.</w:t>
      </w:r>
    </w:p>
    <w:p w14:paraId="79A19C03" w14:textId="77777777" w:rsidR="00F305AA" w:rsidRPr="00CC5FBA" w:rsidRDefault="00F305AA" w:rsidP="00F305AA">
      <w:pPr>
        <w:spacing w:line="360" w:lineRule="auto"/>
        <w:ind w:firstLine="851"/>
        <w:jc w:val="both"/>
        <w:rPr>
          <w:rFonts w:ascii="Arial" w:hAnsi="Arial" w:cs="Arial"/>
          <w:sz w:val="24"/>
          <w:szCs w:val="24"/>
        </w:rPr>
      </w:pPr>
      <w:r>
        <w:rPr>
          <w:rFonts w:ascii="Arial" w:hAnsi="Arial" w:cs="Arial"/>
          <w:sz w:val="24"/>
          <w:szCs w:val="24"/>
        </w:rPr>
        <w:t>Assim sendo, passemos à análise.</w:t>
      </w:r>
    </w:p>
    <w:p w14:paraId="47EB0E0F" w14:textId="28E25D8A"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Inicialmente menciono trabalho, que, embora não represente a opinião da Corte de Contas do Estado de Goiás, já que ainda não apreciado por aquele colegiado, muito enriqueceu os trabalhos desta Comissão: </w:t>
      </w:r>
      <w:r w:rsidRPr="00DF70C8">
        <w:rPr>
          <w:rFonts w:ascii="Arial" w:hAnsi="Arial" w:cs="Arial"/>
          <w:b/>
          <w:sz w:val="24"/>
          <w:szCs w:val="24"/>
        </w:rPr>
        <w:t>Relatório de Auditoria de Regularidade sobre a Renúncia de Receita no Âmbito do FOMENTAR e do PRODUZIR</w:t>
      </w:r>
      <w:r>
        <w:rPr>
          <w:rFonts w:ascii="Arial" w:hAnsi="Arial" w:cs="Arial"/>
          <w:b/>
          <w:sz w:val="24"/>
          <w:szCs w:val="24"/>
        </w:rPr>
        <w:t xml:space="preserve"> (Relatório de Auditoria de Regularidade n. 02/2018)</w:t>
      </w:r>
      <w:r>
        <w:rPr>
          <w:rFonts w:ascii="Arial" w:hAnsi="Arial" w:cs="Arial"/>
          <w:sz w:val="24"/>
          <w:szCs w:val="24"/>
        </w:rPr>
        <w:t xml:space="preserve"> elaborado pela equipe técnica do Serviço de Contas do Governo do TCE-GO. Note-se que </w:t>
      </w:r>
      <w:r w:rsidRPr="00DF70C8">
        <w:rPr>
          <w:rFonts w:ascii="Arial" w:hAnsi="Arial" w:cs="Arial"/>
          <w:b/>
          <w:sz w:val="24"/>
          <w:szCs w:val="24"/>
        </w:rPr>
        <w:t>essa auditoria sistematiza e consolida a atuação do TCE nos últimos anos em relação a esses programas de incentivos fiscais</w:t>
      </w:r>
      <w:r>
        <w:rPr>
          <w:rStyle w:val="Refdenotaderodap"/>
          <w:rFonts w:ascii="Arial" w:hAnsi="Arial" w:cs="Arial"/>
          <w:sz w:val="24"/>
          <w:szCs w:val="24"/>
        </w:rPr>
        <w:footnoteReference w:id="33"/>
      </w:r>
      <w:r>
        <w:rPr>
          <w:rFonts w:ascii="Arial" w:hAnsi="Arial" w:cs="Arial"/>
          <w:sz w:val="24"/>
          <w:szCs w:val="24"/>
        </w:rPr>
        <w:t xml:space="preserve"> e foi solicitado por esta CPI (</w:t>
      </w:r>
      <w:r w:rsidRPr="00D46587">
        <w:rPr>
          <w:rFonts w:ascii="Arial" w:hAnsi="Arial" w:cs="Arial"/>
          <w:sz w:val="24"/>
          <w:szCs w:val="24"/>
        </w:rPr>
        <w:t>Ofício n</w:t>
      </w:r>
      <w:r w:rsidR="00D46587" w:rsidRPr="00D46587">
        <w:rPr>
          <w:rFonts w:ascii="Arial" w:hAnsi="Arial" w:cs="Arial"/>
          <w:sz w:val="24"/>
          <w:szCs w:val="24"/>
        </w:rPr>
        <w:t>º 04/2019-CPI,</w:t>
      </w:r>
      <w:r>
        <w:rPr>
          <w:rFonts w:ascii="Arial" w:hAnsi="Arial" w:cs="Arial"/>
          <w:sz w:val="24"/>
          <w:szCs w:val="24"/>
        </w:rPr>
        <w:t xml:space="preserve"> </w:t>
      </w:r>
      <w:r w:rsidR="00D46587">
        <w:rPr>
          <w:rFonts w:ascii="Arial" w:hAnsi="Arial" w:cs="Arial"/>
          <w:sz w:val="24"/>
          <w:szCs w:val="24"/>
        </w:rPr>
        <w:t>fl. 45</w:t>
      </w:r>
      <w:r>
        <w:rPr>
          <w:rFonts w:ascii="Arial" w:hAnsi="Arial" w:cs="Arial"/>
          <w:sz w:val="24"/>
          <w:szCs w:val="24"/>
        </w:rPr>
        <w:t>).</w:t>
      </w:r>
    </w:p>
    <w:p w14:paraId="1F872FBD"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Abordando a questão da natureza jurídica do FOMENTAR e do PRODUZIR, diferencia benefícios financeiros dos fiscais:</w:t>
      </w:r>
    </w:p>
    <w:p w14:paraId="203F3AC8" w14:textId="77777777" w:rsidR="00F305AA" w:rsidRDefault="00F305AA" w:rsidP="00F305AA">
      <w:pPr>
        <w:spacing w:line="360" w:lineRule="auto"/>
        <w:ind w:firstLine="851"/>
        <w:jc w:val="both"/>
        <w:rPr>
          <w:rFonts w:ascii="Arial" w:hAnsi="Arial" w:cs="Arial"/>
          <w:sz w:val="24"/>
          <w:szCs w:val="24"/>
        </w:rPr>
      </w:pPr>
    </w:p>
    <w:p w14:paraId="34BECB52" w14:textId="77777777" w:rsidR="00F305AA" w:rsidRPr="00DF70C8" w:rsidRDefault="00F305AA" w:rsidP="00502615">
      <w:pPr>
        <w:pStyle w:val="PargrafodaLista"/>
        <w:numPr>
          <w:ilvl w:val="0"/>
          <w:numId w:val="42"/>
        </w:numPr>
        <w:spacing w:line="360" w:lineRule="auto"/>
        <w:jc w:val="both"/>
        <w:rPr>
          <w:rFonts w:ascii="Arial" w:hAnsi="Arial" w:cs="Arial"/>
          <w:sz w:val="24"/>
          <w:szCs w:val="24"/>
        </w:rPr>
      </w:pPr>
      <w:r w:rsidRPr="00DF70C8">
        <w:rPr>
          <w:rFonts w:ascii="Arial" w:hAnsi="Arial" w:cs="Arial"/>
          <w:b/>
          <w:sz w:val="24"/>
          <w:szCs w:val="24"/>
        </w:rPr>
        <w:t>Financeiros:</w:t>
      </w:r>
      <w:r w:rsidRPr="00DF70C8">
        <w:rPr>
          <w:rFonts w:ascii="Arial" w:hAnsi="Arial" w:cs="Arial"/>
          <w:sz w:val="24"/>
          <w:szCs w:val="24"/>
        </w:rPr>
        <w:t xml:space="preserve"> consistem em diferimentos tributários, isto é, há concessão de prazo maior para pagamento do tributo. Sendo mera dilação, exigem o integral pagamento para extinção do crédito tributário, que pode se dar por uma das seguintes formas: a) o agente financeiro intermediário pagaria o tributo ao Estado, cobrando posteriormente do contribuinte, inclusive de forma parcelada se for o caso; ou b) o contribuinte recolheria </w:t>
      </w:r>
      <w:r w:rsidRPr="00DF70C8">
        <w:rPr>
          <w:rFonts w:ascii="Arial" w:hAnsi="Arial" w:cs="Arial"/>
          <w:sz w:val="24"/>
          <w:szCs w:val="24"/>
        </w:rPr>
        <w:lastRenderedPageBreak/>
        <w:t xml:space="preserve">a totalidade do tributo e, uma vez feito isso, o agente financeiro concederia ao contribuinte empréstimo de valor equivalente ao tributo por este pago. Ou seja, </w:t>
      </w:r>
      <w:r w:rsidRPr="00735A70">
        <w:rPr>
          <w:rFonts w:ascii="Arial" w:hAnsi="Arial" w:cs="Arial"/>
          <w:b/>
          <w:sz w:val="24"/>
          <w:szCs w:val="24"/>
        </w:rPr>
        <w:t>só perderia a natureza tributária com o pagamento integral do tributo</w:t>
      </w:r>
      <w:r w:rsidRPr="00DF70C8">
        <w:rPr>
          <w:rFonts w:ascii="Arial" w:hAnsi="Arial" w:cs="Arial"/>
          <w:sz w:val="24"/>
          <w:szCs w:val="24"/>
        </w:rPr>
        <w:t xml:space="preserve"> e consequente extinção do crédito tributário.</w:t>
      </w:r>
    </w:p>
    <w:p w14:paraId="168AD944" w14:textId="77777777" w:rsidR="00F305AA" w:rsidRPr="00735A70" w:rsidRDefault="00F305AA" w:rsidP="00F305AA">
      <w:pPr>
        <w:spacing w:line="360" w:lineRule="auto"/>
        <w:ind w:firstLine="851"/>
        <w:jc w:val="both"/>
        <w:rPr>
          <w:rFonts w:ascii="Arial" w:hAnsi="Arial" w:cs="Arial"/>
          <w:sz w:val="24"/>
          <w:szCs w:val="24"/>
        </w:rPr>
      </w:pPr>
    </w:p>
    <w:p w14:paraId="67BDBC53" w14:textId="77777777" w:rsidR="00F305AA" w:rsidRPr="00735A70" w:rsidRDefault="00F305AA" w:rsidP="00502615">
      <w:pPr>
        <w:pStyle w:val="PargrafodaLista"/>
        <w:numPr>
          <w:ilvl w:val="0"/>
          <w:numId w:val="42"/>
        </w:numPr>
        <w:spacing w:line="360" w:lineRule="auto"/>
        <w:jc w:val="both"/>
        <w:rPr>
          <w:rFonts w:ascii="Arial" w:hAnsi="Arial" w:cs="Arial"/>
          <w:sz w:val="24"/>
          <w:szCs w:val="24"/>
        </w:rPr>
      </w:pPr>
      <w:r w:rsidRPr="00735A70">
        <w:rPr>
          <w:rFonts w:ascii="Arial" w:hAnsi="Arial" w:cs="Arial"/>
          <w:b/>
          <w:sz w:val="24"/>
          <w:szCs w:val="24"/>
        </w:rPr>
        <w:t>Fiscais:</w:t>
      </w:r>
      <w:r w:rsidRPr="00735A70">
        <w:rPr>
          <w:rFonts w:ascii="Arial" w:hAnsi="Arial" w:cs="Arial"/>
          <w:sz w:val="24"/>
          <w:szCs w:val="24"/>
        </w:rPr>
        <w:t xml:space="preserve"> consistem em uma desoneração tributária. Em outras palavras, a </w:t>
      </w:r>
      <w:r w:rsidRPr="00735A70">
        <w:rPr>
          <w:rFonts w:ascii="Arial" w:hAnsi="Arial" w:cs="Arial"/>
          <w:b/>
          <w:sz w:val="24"/>
          <w:szCs w:val="24"/>
        </w:rPr>
        <w:t>exigibilidade do tributo é reduzida ou eliminada</w:t>
      </w:r>
      <w:r w:rsidRPr="00735A70">
        <w:rPr>
          <w:rFonts w:ascii="Arial" w:hAnsi="Arial" w:cs="Arial"/>
          <w:sz w:val="24"/>
          <w:szCs w:val="24"/>
        </w:rPr>
        <w:t>.</w:t>
      </w:r>
    </w:p>
    <w:p w14:paraId="74EEA5F3" w14:textId="77777777" w:rsidR="00F305AA" w:rsidRDefault="00F305AA" w:rsidP="00F305AA">
      <w:pPr>
        <w:spacing w:line="360" w:lineRule="auto"/>
        <w:ind w:firstLine="851"/>
        <w:jc w:val="both"/>
        <w:rPr>
          <w:rFonts w:ascii="Arial" w:hAnsi="Arial" w:cs="Arial"/>
          <w:sz w:val="24"/>
          <w:szCs w:val="24"/>
        </w:rPr>
      </w:pPr>
    </w:p>
    <w:p w14:paraId="02614767"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Após analisar as sistemáticas dos programas, a equipe técnica do TCE-GO concluiu que, apesar de formalmente tratar-se de “financiamentos”, há, na realidade, dispensa do pagamento de ICMS. Isto, em resumo, porque: os leilões do FOMENTAR são fictícios, apenas ocorrendo a quitação do saldo devedor com o pagamento mínimo permitido; a quitação do saldo devedor do PRODUZIR ocorre, parcial ou totalmente, pelo cumprimento dos critérios de desconto e não pelo pagamento; o agente financeiro dos programas, a saber, a GOIÁSFOMENTO sequer dispõe de recursos suficientes para operacionalizar os “financiamentos” envolvidos; e o próprio Estado trata os programas como se fossem renúncia de receita.</w:t>
      </w:r>
    </w:p>
    <w:p w14:paraId="68FCF216"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Assim conclui a equipe técnica do TCE-GO:</w:t>
      </w:r>
    </w:p>
    <w:p w14:paraId="4AE0349F" w14:textId="77777777" w:rsidR="00F305AA" w:rsidRDefault="00F305AA" w:rsidP="00F305AA">
      <w:pPr>
        <w:spacing w:line="360" w:lineRule="auto"/>
        <w:ind w:firstLine="851"/>
        <w:jc w:val="both"/>
        <w:rPr>
          <w:rFonts w:ascii="Arial" w:hAnsi="Arial" w:cs="Arial"/>
          <w:sz w:val="24"/>
          <w:szCs w:val="24"/>
        </w:rPr>
      </w:pPr>
    </w:p>
    <w:p w14:paraId="164FA78F" w14:textId="77777777" w:rsidR="00F305AA" w:rsidRPr="00DC6913" w:rsidRDefault="00F305AA" w:rsidP="00F305AA">
      <w:pPr>
        <w:ind w:left="2268"/>
        <w:jc w:val="both"/>
        <w:rPr>
          <w:rFonts w:ascii="Arial" w:hAnsi="Arial" w:cs="Arial"/>
          <w:sz w:val="22"/>
          <w:szCs w:val="24"/>
        </w:rPr>
      </w:pPr>
      <w:r w:rsidRPr="00DC6913">
        <w:rPr>
          <w:rFonts w:ascii="Arial" w:hAnsi="Arial" w:cs="Arial"/>
          <w:sz w:val="22"/>
          <w:szCs w:val="24"/>
        </w:rPr>
        <w:t>Além disso, o próprio Tribunal de Contas do Estado de Goiás, nas mais recentes decisões, se posiciona no sentido de conferir ao PRODUZIR e FOMENTAR o devido caráter que estes apresentam, qual seja, o de Renúncia Fiscal.</w:t>
      </w:r>
    </w:p>
    <w:p w14:paraId="08DBCCBA" w14:textId="77777777" w:rsidR="00F305AA" w:rsidRPr="00DC6913" w:rsidRDefault="00F305AA" w:rsidP="00F305AA">
      <w:pPr>
        <w:ind w:left="2268"/>
        <w:jc w:val="both"/>
        <w:rPr>
          <w:rFonts w:ascii="Arial" w:hAnsi="Arial" w:cs="Arial"/>
          <w:sz w:val="22"/>
          <w:szCs w:val="24"/>
        </w:rPr>
      </w:pPr>
      <w:r w:rsidRPr="00DC6913">
        <w:rPr>
          <w:rFonts w:ascii="Arial" w:hAnsi="Arial" w:cs="Arial"/>
          <w:sz w:val="22"/>
          <w:szCs w:val="24"/>
        </w:rPr>
        <w:t>O Conselheiro Saulo Mesquita, quando da análise do Processo nº 201100047003753 (resultante no Acórdão nº 5801/2017, de 06 de dezembro de 2017), manifestou pelo reconhecimento de que os leilões ocorridos no âmbito do FOMENTAR importaram em efetiva renúncia de receita.</w:t>
      </w:r>
    </w:p>
    <w:p w14:paraId="7349C2C0" w14:textId="77777777" w:rsidR="00F305AA" w:rsidRPr="00DC6913" w:rsidRDefault="00F305AA" w:rsidP="00F305AA">
      <w:pPr>
        <w:ind w:left="2268"/>
        <w:jc w:val="both"/>
        <w:rPr>
          <w:rFonts w:ascii="Arial" w:hAnsi="Arial" w:cs="Arial"/>
          <w:sz w:val="22"/>
          <w:szCs w:val="24"/>
        </w:rPr>
      </w:pPr>
      <w:r w:rsidRPr="00DC6913">
        <w:rPr>
          <w:rFonts w:ascii="Arial" w:hAnsi="Arial" w:cs="Arial"/>
          <w:sz w:val="22"/>
          <w:szCs w:val="24"/>
        </w:rPr>
        <w:t>E na apreciação do Processo nº 201300047004318 (resultante no Acórdão nº 109/2018, de 17 de janeiro de 2018), o Conselheiro Celmar Rech manifestou em seu voto que as operações realizadas no âmbito do Programa PRODUZIR devem se sujeitar aos ditames da Legislação sobre concessão de benefícios fiscais (Leis Complementares nº 24/75 e 160/2017).</w:t>
      </w:r>
    </w:p>
    <w:p w14:paraId="6FC12F04" w14:textId="77777777" w:rsidR="00F305AA" w:rsidRPr="00DC6913" w:rsidRDefault="00F305AA" w:rsidP="00F305AA">
      <w:pPr>
        <w:ind w:left="2268"/>
        <w:jc w:val="both"/>
        <w:rPr>
          <w:rFonts w:ascii="Arial" w:hAnsi="Arial" w:cs="Arial"/>
          <w:sz w:val="22"/>
          <w:szCs w:val="24"/>
        </w:rPr>
      </w:pPr>
      <w:r w:rsidRPr="00DC6913">
        <w:rPr>
          <w:rFonts w:ascii="Arial" w:hAnsi="Arial" w:cs="Arial"/>
          <w:sz w:val="22"/>
          <w:szCs w:val="24"/>
        </w:rPr>
        <w:t xml:space="preserve">Sendo assim, com base na análise acima descrita das características dos programas PRODUZIR e FOMENTAR, bem como no recente posicionamento da SEFAZ quanto à transparência dos benefícios fiscais e, por fim, na contemporânea jurisprudência firmada por esta Corte de Contas, esta Auditoria foi concebida a partir da interpretação do caráter </w:t>
      </w:r>
      <w:r w:rsidRPr="00DC6913">
        <w:rPr>
          <w:rFonts w:ascii="Arial" w:hAnsi="Arial" w:cs="Arial"/>
          <w:b/>
          <w:sz w:val="22"/>
          <w:szCs w:val="24"/>
        </w:rPr>
        <w:t>fiscal dos benefícios</w:t>
      </w:r>
      <w:r w:rsidRPr="00DC6913">
        <w:rPr>
          <w:rFonts w:ascii="Arial" w:hAnsi="Arial" w:cs="Arial"/>
          <w:sz w:val="22"/>
          <w:szCs w:val="24"/>
        </w:rPr>
        <w:t xml:space="preserve"> ora descritos, em estrita consideração à essência </w:t>
      </w:r>
      <w:r w:rsidRPr="00DC6913">
        <w:rPr>
          <w:rFonts w:ascii="Arial" w:hAnsi="Arial" w:cs="Arial"/>
          <w:sz w:val="22"/>
          <w:szCs w:val="24"/>
        </w:rPr>
        <w:lastRenderedPageBreak/>
        <w:t xml:space="preserve">da sistemática de operacionalização dos incentivos que, na prática, resulta em </w:t>
      </w:r>
      <w:r w:rsidRPr="00DC6913">
        <w:rPr>
          <w:rFonts w:ascii="Arial" w:hAnsi="Arial" w:cs="Arial"/>
          <w:b/>
          <w:sz w:val="22"/>
          <w:szCs w:val="24"/>
        </w:rPr>
        <w:t>Renúncia Fiscal</w:t>
      </w:r>
      <w:r w:rsidRPr="00DC6913">
        <w:rPr>
          <w:rFonts w:ascii="Arial" w:hAnsi="Arial" w:cs="Arial"/>
          <w:sz w:val="22"/>
          <w:szCs w:val="24"/>
        </w:rPr>
        <w:t>, conforme disposto no, Art. 14, § 1º.</w:t>
      </w:r>
      <w:r>
        <w:rPr>
          <w:rStyle w:val="Refdenotaderodap"/>
          <w:rFonts w:ascii="Arial" w:hAnsi="Arial" w:cs="Arial"/>
          <w:sz w:val="22"/>
          <w:szCs w:val="24"/>
        </w:rPr>
        <w:footnoteReference w:id="34"/>
      </w:r>
    </w:p>
    <w:p w14:paraId="6135A29D" w14:textId="77777777" w:rsidR="00F305AA" w:rsidRDefault="00F305AA" w:rsidP="00F305AA">
      <w:pPr>
        <w:spacing w:line="360" w:lineRule="auto"/>
        <w:ind w:firstLine="851"/>
        <w:jc w:val="both"/>
        <w:rPr>
          <w:rFonts w:ascii="Arial" w:hAnsi="Arial" w:cs="Arial"/>
          <w:sz w:val="24"/>
          <w:szCs w:val="24"/>
        </w:rPr>
      </w:pPr>
    </w:p>
    <w:p w14:paraId="61AC4C1B"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Todavia, pode-se encontrar decisões do Tribunal de Justiça do Estado de Goiás em sentido contrário ao raciocínio anteriormente exposto:</w:t>
      </w:r>
    </w:p>
    <w:p w14:paraId="29F0974E" w14:textId="77777777" w:rsidR="00F305AA" w:rsidRDefault="00F305AA" w:rsidP="00F305AA">
      <w:pPr>
        <w:spacing w:line="360" w:lineRule="auto"/>
        <w:ind w:firstLine="851"/>
        <w:jc w:val="both"/>
        <w:rPr>
          <w:rFonts w:ascii="Arial" w:hAnsi="Arial" w:cs="Arial"/>
          <w:sz w:val="24"/>
          <w:szCs w:val="24"/>
        </w:rPr>
      </w:pPr>
    </w:p>
    <w:p w14:paraId="0DE9499B" w14:textId="77777777" w:rsidR="00F305AA" w:rsidRPr="008E1AE3" w:rsidRDefault="00F305AA" w:rsidP="00F305AA">
      <w:pPr>
        <w:ind w:left="2268"/>
        <w:jc w:val="both"/>
        <w:rPr>
          <w:rFonts w:ascii="Arial" w:hAnsi="Arial" w:cs="Arial"/>
          <w:sz w:val="22"/>
          <w:szCs w:val="22"/>
        </w:rPr>
      </w:pPr>
      <w:r w:rsidRPr="008E1AE3">
        <w:rPr>
          <w:rFonts w:ascii="Arial" w:hAnsi="Arial" w:cs="Arial"/>
          <w:sz w:val="22"/>
          <w:szCs w:val="22"/>
        </w:rPr>
        <w:t xml:space="preserve">EMENTA: APELAÇÃO CÍVEL EM MANDADO DE SEGURANÇA. INDÚSTRIA SUCROALCOOLEIRA </w:t>
      </w:r>
      <w:r w:rsidRPr="008E1AE3">
        <w:rPr>
          <w:rFonts w:ascii="Arial" w:hAnsi="Arial" w:cs="Arial"/>
          <w:b/>
          <w:sz w:val="22"/>
          <w:szCs w:val="22"/>
        </w:rPr>
        <w:t>BENEFICIÁRIA DO PROGRAMA FOMENTAR</w:t>
      </w:r>
      <w:r w:rsidRPr="008E1AE3">
        <w:rPr>
          <w:rFonts w:ascii="Arial" w:hAnsi="Arial" w:cs="Arial"/>
          <w:sz w:val="22"/>
          <w:szCs w:val="22"/>
        </w:rPr>
        <w:t xml:space="preserve">.  LEI ESTADUAL Nº 16.272/2008. REDUÇÃO DO PERCENTUAL DO CRÉDITO OUTORGADO DE ICMS. DIREITO LÍQUIDO E CERTO NÃO DEMONSTRADO. I - Na espécie, </w:t>
      </w:r>
      <w:r w:rsidRPr="008E1AE3">
        <w:rPr>
          <w:rFonts w:ascii="Arial" w:hAnsi="Arial" w:cs="Arial"/>
          <w:b/>
          <w:sz w:val="22"/>
          <w:szCs w:val="22"/>
        </w:rPr>
        <w:t>o crédito outorgado constitui substitutivo do empréstimo pactuado por meio do Programa Fomentar</w:t>
      </w:r>
      <w:r w:rsidRPr="008E1AE3">
        <w:rPr>
          <w:rFonts w:ascii="Arial" w:hAnsi="Arial" w:cs="Arial"/>
          <w:sz w:val="22"/>
          <w:szCs w:val="22"/>
        </w:rPr>
        <w:t xml:space="preserve">, no tocante ao álcool etílico anidro combustível, </w:t>
      </w:r>
      <w:r w:rsidRPr="008E1AE3">
        <w:rPr>
          <w:rFonts w:ascii="Arial" w:hAnsi="Arial" w:cs="Arial"/>
          <w:b/>
          <w:sz w:val="22"/>
          <w:szCs w:val="22"/>
        </w:rPr>
        <w:t>trazendo com ele todas as suas características, não se tratando, portanto, de isenção tributária</w:t>
      </w:r>
      <w:r w:rsidRPr="008E1AE3">
        <w:rPr>
          <w:rFonts w:ascii="Arial" w:hAnsi="Arial" w:cs="Arial"/>
          <w:sz w:val="22"/>
          <w:szCs w:val="22"/>
        </w:rPr>
        <w:t xml:space="preserve">. II - As condições e garantias a que alude a empresa apelante para afirmar o caráter oneroso do crédito outorgado, pretendendo </w:t>
      </w:r>
      <w:r w:rsidRPr="008E1AE3">
        <w:rPr>
          <w:rFonts w:ascii="Arial" w:hAnsi="Arial" w:cs="Arial"/>
          <w:b/>
          <w:sz w:val="22"/>
          <w:szCs w:val="22"/>
        </w:rPr>
        <w:t>transmudar sua natureza financeira para tributária</w:t>
      </w:r>
      <w:r w:rsidRPr="008E1AE3">
        <w:rPr>
          <w:rFonts w:ascii="Arial" w:hAnsi="Arial" w:cs="Arial"/>
          <w:sz w:val="22"/>
          <w:szCs w:val="22"/>
        </w:rPr>
        <w:t xml:space="preserve">, </w:t>
      </w:r>
      <w:r w:rsidRPr="008E1AE3">
        <w:rPr>
          <w:rFonts w:ascii="Arial" w:hAnsi="Arial" w:cs="Arial"/>
          <w:b/>
          <w:sz w:val="22"/>
          <w:szCs w:val="22"/>
        </w:rPr>
        <w:t>fazem parte da concessão de empréstimo bancário</w:t>
      </w:r>
      <w:r w:rsidRPr="008E1AE3">
        <w:rPr>
          <w:rFonts w:ascii="Arial" w:hAnsi="Arial" w:cs="Arial"/>
          <w:sz w:val="22"/>
          <w:szCs w:val="22"/>
        </w:rPr>
        <w:t xml:space="preserve">, máxime em se tratando de instituições oficiais, que oferecem linhas de crédito a determinados setores com juros subsidiados, muito aquém daqueles praticados no mercado, e com prazos para pagamento mais elásticos. III – Diante da </w:t>
      </w:r>
      <w:r w:rsidRPr="008E1AE3">
        <w:rPr>
          <w:rFonts w:ascii="Arial" w:hAnsi="Arial" w:cs="Arial"/>
          <w:b/>
          <w:sz w:val="22"/>
          <w:szCs w:val="22"/>
        </w:rPr>
        <w:t>natureza financeira do benefício</w:t>
      </w:r>
      <w:r w:rsidRPr="008E1AE3">
        <w:rPr>
          <w:rFonts w:ascii="Arial" w:hAnsi="Arial" w:cs="Arial"/>
          <w:sz w:val="22"/>
          <w:szCs w:val="22"/>
        </w:rPr>
        <w:t>, inaplicáveis os preceitos contidos nos artigos 178 e 179, do Código Tributário Nacional, bem como do entendimento sedimentado no enunciado de Súmula nº 544, do Supremo Tribunal Federal, todos de exclusiva índole tributária. IV - A mitigação do percentual de crédito outorgado do ICMS, de 60% (sessenta por cento) para 30% (trinta por cento), não ofende o princípio da anterioridade, estabelecido no artigo 150 da Constituição Federal, porquanto a redução da concessão de crédito outorgado nada tem a ver com a criação de tributo ou sua majoração. APELO CONHECIDO E DESPROVIDO. SENTENÇA MANTIDA.</w:t>
      </w:r>
      <w:r>
        <w:rPr>
          <w:rStyle w:val="Refdenotaderodap"/>
          <w:rFonts w:ascii="Arial" w:hAnsi="Arial" w:cs="Arial"/>
          <w:sz w:val="22"/>
          <w:szCs w:val="22"/>
        </w:rPr>
        <w:footnoteReference w:id="35"/>
      </w:r>
    </w:p>
    <w:p w14:paraId="49B9709C" w14:textId="77777777" w:rsidR="00F305AA" w:rsidRDefault="00F305AA" w:rsidP="00F305AA">
      <w:pPr>
        <w:spacing w:line="360" w:lineRule="auto"/>
        <w:ind w:firstLine="851"/>
        <w:jc w:val="both"/>
        <w:rPr>
          <w:rFonts w:ascii="Arial" w:hAnsi="Arial" w:cs="Arial"/>
          <w:sz w:val="24"/>
          <w:szCs w:val="24"/>
        </w:rPr>
      </w:pPr>
    </w:p>
    <w:p w14:paraId="6A21FE71"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Analisando as razões da decisão, vê-se que o julgador se baseou no fato de que o crédito outorgado em discussão substituiu o benefício do FOMENTAR, mantendo a natureza financeira desse programa:</w:t>
      </w:r>
    </w:p>
    <w:p w14:paraId="352B12DD" w14:textId="77777777" w:rsidR="00F305AA" w:rsidRDefault="00F305AA" w:rsidP="00F305AA">
      <w:pPr>
        <w:spacing w:line="360" w:lineRule="auto"/>
        <w:ind w:firstLine="851"/>
        <w:jc w:val="both"/>
        <w:rPr>
          <w:rFonts w:ascii="Arial" w:hAnsi="Arial" w:cs="Arial"/>
          <w:sz w:val="24"/>
          <w:szCs w:val="24"/>
        </w:rPr>
      </w:pPr>
    </w:p>
    <w:p w14:paraId="507F6BA5" w14:textId="77777777" w:rsidR="00F305AA" w:rsidRPr="0072770E" w:rsidRDefault="00F305AA" w:rsidP="00F305AA">
      <w:pPr>
        <w:ind w:left="2268"/>
        <w:jc w:val="both"/>
        <w:rPr>
          <w:rFonts w:ascii="Arial" w:hAnsi="Arial" w:cs="Arial"/>
          <w:sz w:val="22"/>
          <w:szCs w:val="24"/>
        </w:rPr>
      </w:pPr>
      <w:r w:rsidRPr="0072770E">
        <w:rPr>
          <w:rFonts w:ascii="Arial" w:hAnsi="Arial" w:cs="Arial"/>
          <w:sz w:val="22"/>
          <w:szCs w:val="24"/>
        </w:rPr>
        <w:t>Nesse contexto, diante dos termos da legislação transcrita, ressai que o crédito outorgado foi criado com o manifesto intuito de substituir os benefícios concedidos pelo Programa Fomentar, compensando os prejuízos que seriam suportados pelas usinas que a ele aderiram, tendo em vista não mais incidir o ICMS sobre o álcool anidro no momento de sua saída da indústria, impossibilitando, de consequência, o financiamento de 70% (setenta por cento) da exação, à época.</w:t>
      </w:r>
    </w:p>
    <w:p w14:paraId="43517E18" w14:textId="77777777" w:rsidR="00F305AA" w:rsidRPr="0072770E" w:rsidRDefault="00F305AA" w:rsidP="00F305AA">
      <w:pPr>
        <w:ind w:left="2268"/>
        <w:jc w:val="both"/>
        <w:rPr>
          <w:rFonts w:ascii="Arial" w:hAnsi="Arial" w:cs="Arial"/>
          <w:sz w:val="22"/>
          <w:szCs w:val="24"/>
        </w:rPr>
      </w:pPr>
      <w:r w:rsidRPr="0072770E">
        <w:rPr>
          <w:rFonts w:ascii="Arial" w:hAnsi="Arial" w:cs="Arial"/>
          <w:sz w:val="22"/>
          <w:szCs w:val="24"/>
        </w:rPr>
        <w:lastRenderedPageBreak/>
        <w:t xml:space="preserve">Em outras palavras, o crédito outorgado foi concedido às indústrias alcooleiras participantes do Programa Fomentar, que lhes disponibilizou o empréstimo do percentual do ICMS incidente sobre todos os produtos nelas fabricados, como substitutivo, diante da impossibilidade de sua aplicação quanto a um dos produtos, não mais tributado, o álcool anidro etílico combustível. Nos termos do artigo 3º da Lei 13.804/2001, o </w:t>
      </w:r>
      <w:r w:rsidRPr="0072770E">
        <w:rPr>
          <w:rFonts w:ascii="Arial" w:hAnsi="Arial" w:cs="Arial"/>
          <w:b/>
          <w:sz w:val="22"/>
          <w:szCs w:val="24"/>
        </w:rPr>
        <w:t>valor do benefício do crédito outorgado deveria ser equivalente ao montante líquido que seria despendido pelo Estado de Goiás no financiamento do ICMS abrangido pelo referido programa</w:t>
      </w:r>
      <w:r w:rsidRPr="0072770E">
        <w:rPr>
          <w:rFonts w:ascii="Arial" w:hAnsi="Arial" w:cs="Arial"/>
          <w:sz w:val="22"/>
          <w:szCs w:val="24"/>
        </w:rPr>
        <w:t>.</w:t>
      </w:r>
    </w:p>
    <w:p w14:paraId="285F40CD" w14:textId="77777777" w:rsidR="00F305AA" w:rsidRPr="0072770E" w:rsidRDefault="00F305AA" w:rsidP="00F305AA">
      <w:pPr>
        <w:ind w:left="2268"/>
        <w:jc w:val="both"/>
        <w:rPr>
          <w:rFonts w:ascii="Arial" w:hAnsi="Arial" w:cs="Arial"/>
          <w:sz w:val="22"/>
          <w:szCs w:val="24"/>
        </w:rPr>
      </w:pPr>
      <w:r w:rsidRPr="0072770E">
        <w:rPr>
          <w:rFonts w:ascii="Arial" w:hAnsi="Arial" w:cs="Arial"/>
          <w:sz w:val="22"/>
          <w:szCs w:val="24"/>
        </w:rPr>
        <w:t xml:space="preserve">Neste cenário, </w:t>
      </w:r>
      <w:r w:rsidRPr="0072770E">
        <w:rPr>
          <w:rFonts w:ascii="Arial" w:hAnsi="Arial" w:cs="Arial"/>
          <w:b/>
          <w:sz w:val="22"/>
          <w:szCs w:val="24"/>
        </w:rPr>
        <w:t>o crédito outorgado constitui substitutivo do empréstimo pactuado por meio do Programa Fomentar</w:t>
      </w:r>
      <w:r w:rsidRPr="0072770E">
        <w:rPr>
          <w:rFonts w:ascii="Arial" w:hAnsi="Arial" w:cs="Arial"/>
          <w:sz w:val="22"/>
          <w:szCs w:val="24"/>
        </w:rPr>
        <w:t xml:space="preserve">, no tocante ao álcool etílico anidro combustível, trazendo com ele todas as suas características, </w:t>
      </w:r>
      <w:r w:rsidRPr="0072770E">
        <w:rPr>
          <w:rFonts w:ascii="Arial" w:hAnsi="Arial" w:cs="Arial"/>
          <w:b/>
          <w:sz w:val="22"/>
          <w:szCs w:val="24"/>
        </w:rPr>
        <w:t>não se tratando, portanto, de isenção tributária</w:t>
      </w:r>
      <w:r w:rsidRPr="0072770E">
        <w:rPr>
          <w:rFonts w:ascii="Arial" w:hAnsi="Arial" w:cs="Arial"/>
          <w:sz w:val="22"/>
          <w:szCs w:val="24"/>
        </w:rPr>
        <w:t>.</w:t>
      </w:r>
    </w:p>
    <w:p w14:paraId="6945C965" w14:textId="77777777" w:rsidR="00F305AA" w:rsidRPr="0072770E" w:rsidRDefault="00F305AA" w:rsidP="00F305AA">
      <w:pPr>
        <w:ind w:left="2268"/>
        <w:jc w:val="both"/>
        <w:rPr>
          <w:rFonts w:ascii="Arial" w:hAnsi="Arial" w:cs="Arial"/>
          <w:sz w:val="22"/>
          <w:szCs w:val="24"/>
        </w:rPr>
      </w:pPr>
      <w:r w:rsidRPr="0072770E">
        <w:rPr>
          <w:rFonts w:ascii="Arial" w:hAnsi="Arial" w:cs="Arial"/>
          <w:sz w:val="22"/>
          <w:szCs w:val="24"/>
        </w:rPr>
        <w:t>À guisa de melhor esclarecimento, calha trazer à baila o conceito de isenção apresentado por Walter Barbosa Corrêa na obra “Comentários ao Código Tributária Nacional”, coordenada por Ives Gandra da Silva Martins, verbis:</w:t>
      </w:r>
    </w:p>
    <w:p w14:paraId="354C0820" w14:textId="77777777" w:rsidR="00F305AA" w:rsidRPr="0072770E" w:rsidRDefault="00F305AA" w:rsidP="00F305AA">
      <w:pPr>
        <w:ind w:left="2835"/>
        <w:jc w:val="both"/>
        <w:rPr>
          <w:rFonts w:ascii="Arial" w:hAnsi="Arial" w:cs="Arial"/>
          <w:sz w:val="22"/>
          <w:szCs w:val="24"/>
        </w:rPr>
      </w:pPr>
      <w:r w:rsidRPr="0072770E">
        <w:rPr>
          <w:rFonts w:ascii="Arial" w:hAnsi="Arial" w:cs="Arial"/>
          <w:sz w:val="22"/>
          <w:szCs w:val="24"/>
        </w:rPr>
        <w:t>“A isenção tem sido definida pelos autores nacionais de forma mais ou menos uniforme. O insigne e saudoso Rubens Gomes de Sousa refere o favor fiscal concedido por lei, que consiste em dispensar o pagamento de um tributo devido . Ruy Barbosa Nogueira, por seu turno, conceitua a isenção como 'dispensa do pagamento do tributo devido, feita por disposição expressa da lei e por isso mesmo excepcional'. Pode-se, contudo, com fundamento no CTN definir a isençaõ fiscal como 'fenômeno tributário que impede', por expressa disposição normativa, o surgimento do crédito tributário decorrente de obrigação que tenha por objeto o pagamento do tributo”. (Comentários ao Código Tributário Nacional, volume 2: arts. 96 a 218, 7ª edição, Saraiva, 2013, p. 541/542).</w:t>
      </w:r>
    </w:p>
    <w:p w14:paraId="40E084B3" w14:textId="77777777" w:rsidR="00F305AA" w:rsidRPr="0072770E" w:rsidRDefault="00F305AA" w:rsidP="00F305AA">
      <w:pPr>
        <w:ind w:left="2268"/>
        <w:jc w:val="both"/>
        <w:rPr>
          <w:rFonts w:ascii="Arial" w:hAnsi="Arial" w:cs="Arial"/>
          <w:sz w:val="22"/>
          <w:szCs w:val="24"/>
        </w:rPr>
      </w:pPr>
      <w:r w:rsidRPr="0072770E">
        <w:rPr>
          <w:rFonts w:ascii="Arial" w:hAnsi="Arial" w:cs="Arial"/>
          <w:sz w:val="22"/>
          <w:szCs w:val="24"/>
        </w:rPr>
        <w:t xml:space="preserve">No caso em testilha, </w:t>
      </w:r>
      <w:r w:rsidRPr="0072770E">
        <w:rPr>
          <w:rFonts w:ascii="Arial" w:hAnsi="Arial" w:cs="Arial"/>
          <w:b/>
          <w:sz w:val="22"/>
          <w:szCs w:val="24"/>
        </w:rPr>
        <w:t>o ente federado não renunciou ao tributo, mas manteve o financiamento contratado anteriormente de parte do ICMS que incidiria sobre o álcool anidro</w:t>
      </w:r>
      <w:r w:rsidRPr="0072770E">
        <w:rPr>
          <w:rFonts w:ascii="Arial" w:hAnsi="Arial" w:cs="Arial"/>
          <w:sz w:val="22"/>
          <w:szCs w:val="24"/>
        </w:rPr>
        <w:t xml:space="preserve">, de sorte que, ao instituir o crédito para posterior compensação com o ICMS incidente sobre os outros produtos fabricados pela indústria, está o Estado de Goiás </w:t>
      </w:r>
      <w:r w:rsidRPr="0072770E">
        <w:rPr>
          <w:rFonts w:ascii="Arial" w:hAnsi="Arial" w:cs="Arial"/>
          <w:b/>
          <w:sz w:val="22"/>
          <w:szCs w:val="24"/>
        </w:rPr>
        <w:t>recolhendo-o de forma diferida, por meio das parcelas pactuadas no empréstimo subsidiado</w:t>
      </w:r>
      <w:r w:rsidRPr="0072770E">
        <w:rPr>
          <w:rFonts w:ascii="Arial" w:hAnsi="Arial" w:cs="Arial"/>
          <w:sz w:val="22"/>
          <w:szCs w:val="24"/>
        </w:rPr>
        <w:t>.</w:t>
      </w:r>
    </w:p>
    <w:p w14:paraId="004F8F0A" w14:textId="77777777" w:rsidR="00F305AA" w:rsidRPr="0072770E" w:rsidRDefault="00F305AA" w:rsidP="00F305AA">
      <w:pPr>
        <w:ind w:left="2268"/>
        <w:jc w:val="both"/>
        <w:rPr>
          <w:rFonts w:ascii="Arial" w:hAnsi="Arial" w:cs="Arial"/>
          <w:sz w:val="22"/>
          <w:szCs w:val="24"/>
        </w:rPr>
      </w:pPr>
      <w:r w:rsidRPr="0072770E">
        <w:rPr>
          <w:rFonts w:ascii="Arial" w:hAnsi="Arial" w:cs="Arial"/>
          <w:sz w:val="22"/>
          <w:szCs w:val="24"/>
        </w:rPr>
        <w:t xml:space="preserve">Ressalte-se, também, que </w:t>
      </w:r>
      <w:r w:rsidRPr="0072770E">
        <w:rPr>
          <w:rFonts w:ascii="Arial" w:hAnsi="Arial" w:cs="Arial"/>
          <w:b/>
          <w:sz w:val="22"/>
          <w:szCs w:val="24"/>
        </w:rPr>
        <w:t>as condições e garantias a que alude a empresa apelante, para afirmar o caráter oneroso do crédito outorgado, fazem parte da concessão de empréstimo bancário</w:t>
      </w:r>
      <w:r w:rsidRPr="0072770E">
        <w:rPr>
          <w:rFonts w:ascii="Arial" w:hAnsi="Arial" w:cs="Arial"/>
          <w:sz w:val="22"/>
          <w:szCs w:val="24"/>
        </w:rPr>
        <w:t>, máxime em se tratando de instituições oficiais, que oferecem linhas de crédito a determinados setores com juros subsidiados, muito aquém daqueles praticados no mercado, e com prazos para pagamento mais elásticos.</w:t>
      </w:r>
    </w:p>
    <w:p w14:paraId="072F151B" w14:textId="77777777" w:rsidR="00F305AA" w:rsidRPr="0072770E" w:rsidRDefault="00F305AA" w:rsidP="00F305AA">
      <w:pPr>
        <w:ind w:left="2268"/>
        <w:jc w:val="both"/>
        <w:rPr>
          <w:rFonts w:ascii="Arial" w:hAnsi="Arial" w:cs="Arial"/>
          <w:sz w:val="22"/>
          <w:szCs w:val="24"/>
        </w:rPr>
      </w:pPr>
      <w:r w:rsidRPr="0072770E">
        <w:rPr>
          <w:rFonts w:ascii="Arial" w:hAnsi="Arial" w:cs="Arial"/>
          <w:sz w:val="22"/>
          <w:szCs w:val="24"/>
        </w:rPr>
        <w:t xml:space="preserve">Nesse diapasão, ao contrário do que sustenta a sociedade apelante, </w:t>
      </w:r>
      <w:r w:rsidRPr="0072770E">
        <w:rPr>
          <w:rFonts w:ascii="Arial" w:hAnsi="Arial" w:cs="Arial"/>
          <w:b/>
          <w:sz w:val="22"/>
          <w:szCs w:val="24"/>
        </w:rPr>
        <w:t>as exigências e cautelas se prendem ao financiamento do ICMS promovido pelo Programa Fomentar, não à concessão do crédito outorgado</w:t>
      </w:r>
      <w:r w:rsidRPr="0072770E">
        <w:rPr>
          <w:rFonts w:ascii="Arial" w:hAnsi="Arial" w:cs="Arial"/>
          <w:sz w:val="22"/>
          <w:szCs w:val="24"/>
        </w:rPr>
        <w:t>, destinado a compensar a inviabilidade de manutenção do pacto anterior em razão da não incidência do tributo sobre a saída do álcool anidro combustível das usinas.</w:t>
      </w:r>
    </w:p>
    <w:p w14:paraId="34494F34" w14:textId="77777777" w:rsidR="00F305AA" w:rsidRPr="0072770E" w:rsidRDefault="00F305AA" w:rsidP="00F305AA">
      <w:pPr>
        <w:ind w:left="2268"/>
        <w:jc w:val="both"/>
        <w:rPr>
          <w:rFonts w:ascii="Arial" w:hAnsi="Arial" w:cs="Arial"/>
          <w:sz w:val="22"/>
          <w:szCs w:val="24"/>
        </w:rPr>
      </w:pPr>
      <w:r w:rsidRPr="0072770E">
        <w:rPr>
          <w:rFonts w:ascii="Arial" w:hAnsi="Arial" w:cs="Arial"/>
          <w:sz w:val="22"/>
          <w:szCs w:val="24"/>
        </w:rPr>
        <w:t xml:space="preserve">Destarte, evidenciada a natureza financeira do benefício, não prosperam os fundamentos articulados pela recorrente quanto à aplicação do preceitos contidos nos artigos 1781 e 1792, do Código Tributário Nacional, bem como do entendimento sedimentado no enunciado de </w:t>
      </w:r>
      <w:r w:rsidRPr="0072770E">
        <w:rPr>
          <w:rFonts w:ascii="Arial" w:hAnsi="Arial" w:cs="Arial"/>
          <w:sz w:val="22"/>
          <w:szCs w:val="24"/>
        </w:rPr>
        <w:lastRenderedPageBreak/>
        <w:t>Súmula nº 544, do Supremo Tribunal Federal, que tratam do instituto da isenção tributária.</w:t>
      </w:r>
    </w:p>
    <w:p w14:paraId="7B704E0D" w14:textId="77777777" w:rsidR="00F305AA" w:rsidRDefault="00F305AA" w:rsidP="00F305AA">
      <w:pPr>
        <w:spacing w:line="360" w:lineRule="auto"/>
        <w:ind w:firstLine="851"/>
        <w:jc w:val="both"/>
        <w:rPr>
          <w:rFonts w:ascii="Arial" w:hAnsi="Arial" w:cs="Arial"/>
          <w:sz w:val="24"/>
          <w:szCs w:val="24"/>
        </w:rPr>
      </w:pPr>
    </w:p>
    <w:p w14:paraId="1E6F4751"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Em que pese a mencionada posição do Judiciário estadual, e a deferência desta Casa por aquela Corte, notamos que </w:t>
      </w:r>
      <w:r w:rsidRPr="00E46B80">
        <w:rPr>
          <w:rFonts w:ascii="Arial" w:hAnsi="Arial" w:cs="Arial"/>
          <w:b/>
          <w:sz w:val="24"/>
          <w:szCs w:val="24"/>
        </w:rPr>
        <w:t>o julgador se limitou a correlacionar o crédito outorgado com o programa FOMENTAR, sem adentrar, contudo, na análise da real natureza do benefício inicialmente concedido</w:t>
      </w:r>
      <w:r>
        <w:rPr>
          <w:rFonts w:ascii="Arial" w:hAnsi="Arial" w:cs="Arial"/>
          <w:sz w:val="24"/>
          <w:szCs w:val="24"/>
        </w:rPr>
        <w:t>, como o fez a equipe técnica do TCE-GO e a própria Corte de Contas.</w:t>
      </w:r>
    </w:p>
    <w:p w14:paraId="2E0FB097" w14:textId="77777777" w:rsidR="00F305AA" w:rsidRPr="00C26B1F" w:rsidRDefault="00F305AA" w:rsidP="00F305AA">
      <w:pPr>
        <w:spacing w:line="360" w:lineRule="auto"/>
        <w:ind w:firstLine="851"/>
        <w:jc w:val="both"/>
        <w:rPr>
          <w:rFonts w:ascii="Arial" w:hAnsi="Arial" w:cs="Arial"/>
          <w:sz w:val="24"/>
          <w:szCs w:val="24"/>
        </w:rPr>
      </w:pPr>
      <w:r w:rsidRPr="00C26B1F">
        <w:rPr>
          <w:rFonts w:ascii="Arial" w:hAnsi="Arial" w:cs="Arial"/>
          <w:sz w:val="24"/>
          <w:szCs w:val="24"/>
        </w:rPr>
        <w:t>Ademais, sem adotar postura exclusivamente consequencialista, não posso deixar de considerar o que implicaria, na prática, para o Estado de Goiás, a prevalência do entendimento de que os programas FOMENTAR e PRODUZIR teria natureza financeira (contrariando a própria essência relevada em suas sistemáticas), a saber: sendo de natureza financeira (o que implicaria efetivo recolhimento da totalidade do tributo – embora isso não aconteça na prática, como já mencionado) incidiria a jurisprudência do Supremo Tribunal Federal – STF – consolidada no Tema 42 da repercussão geral:</w:t>
      </w:r>
    </w:p>
    <w:p w14:paraId="2AF6533E" w14:textId="77777777" w:rsidR="00F305AA" w:rsidRDefault="00F305AA" w:rsidP="00F305AA">
      <w:pPr>
        <w:spacing w:line="360" w:lineRule="auto"/>
        <w:ind w:firstLine="851"/>
        <w:jc w:val="both"/>
        <w:rPr>
          <w:rFonts w:ascii="Arial" w:hAnsi="Arial" w:cs="Arial"/>
          <w:sz w:val="24"/>
          <w:szCs w:val="24"/>
          <w:highlight w:val="yellow"/>
        </w:rPr>
      </w:pPr>
    </w:p>
    <w:p w14:paraId="46E448D1" w14:textId="77777777" w:rsidR="00F305AA" w:rsidRPr="00926FAD" w:rsidRDefault="00F305AA" w:rsidP="00F305AA">
      <w:pPr>
        <w:ind w:left="2268"/>
        <w:jc w:val="both"/>
        <w:rPr>
          <w:rFonts w:ascii="Arial" w:hAnsi="Arial" w:cs="Arial"/>
          <w:sz w:val="22"/>
          <w:szCs w:val="24"/>
        </w:rPr>
      </w:pPr>
      <w:r w:rsidRPr="00926FAD">
        <w:rPr>
          <w:rFonts w:ascii="Arial" w:hAnsi="Arial" w:cs="Arial"/>
          <w:sz w:val="22"/>
          <w:szCs w:val="24"/>
        </w:rPr>
        <w:t>A retenção da parcela do ICMS constitucionalmente devida aos municípios, a pretexto de concessão de incentivos fiscais, configura indevida interferência do Estado no sistema constitucional de repartição de receitas tributárias.</w:t>
      </w:r>
    </w:p>
    <w:p w14:paraId="3ECA44DB" w14:textId="77777777" w:rsidR="00F305AA" w:rsidRDefault="00F305AA" w:rsidP="00F305AA">
      <w:pPr>
        <w:spacing w:line="360" w:lineRule="auto"/>
        <w:ind w:firstLine="851"/>
        <w:jc w:val="both"/>
        <w:rPr>
          <w:rFonts w:ascii="Arial" w:hAnsi="Arial" w:cs="Arial"/>
          <w:sz w:val="24"/>
          <w:szCs w:val="24"/>
          <w:highlight w:val="yellow"/>
        </w:rPr>
      </w:pPr>
    </w:p>
    <w:p w14:paraId="70C0519C" w14:textId="77777777" w:rsidR="00F305AA" w:rsidRPr="00C26B1F" w:rsidRDefault="00F305AA" w:rsidP="00F305AA">
      <w:pPr>
        <w:spacing w:line="360" w:lineRule="auto"/>
        <w:ind w:firstLine="851"/>
        <w:jc w:val="both"/>
        <w:rPr>
          <w:rFonts w:ascii="Arial" w:hAnsi="Arial" w:cs="Arial"/>
          <w:sz w:val="24"/>
          <w:szCs w:val="24"/>
        </w:rPr>
      </w:pPr>
      <w:r w:rsidRPr="00C26B1F">
        <w:rPr>
          <w:rFonts w:ascii="Arial" w:hAnsi="Arial" w:cs="Arial"/>
          <w:sz w:val="24"/>
          <w:szCs w:val="24"/>
        </w:rPr>
        <w:t>O acórdão em que foi firmada a seguinte tese de repercussão geral está assim redigido:</w:t>
      </w:r>
    </w:p>
    <w:p w14:paraId="1D07B586" w14:textId="77777777" w:rsidR="00F305AA" w:rsidRDefault="00F305AA" w:rsidP="00F305AA">
      <w:pPr>
        <w:spacing w:line="360" w:lineRule="auto"/>
        <w:ind w:firstLine="851"/>
        <w:jc w:val="both"/>
        <w:rPr>
          <w:rFonts w:ascii="Arial" w:hAnsi="Arial" w:cs="Arial"/>
          <w:sz w:val="24"/>
          <w:szCs w:val="24"/>
          <w:highlight w:val="yellow"/>
        </w:rPr>
      </w:pPr>
    </w:p>
    <w:p w14:paraId="4BCBA63A" w14:textId="77777777" w:rsidR="00F305AA" w:rsidRPr="00926FAD" w:rsidRDefault="00F305AA" w:rsidP="00F305AA">
      <w:pPr>
        <w:ind w:left="2268"/>
        <w:jc w:val="both"/>
        <w:rPr>
          <w:rFonts w:ascii="Arial" w:hAnsi="Arial" w:cs="Arial"/>
          <w:sz w:val="22"/>
          <w:szCs w:val="24"/>
        </w:rPr>
      </w:pPr>
      <w:r w:rsidRPr="00926FAD">
        <w:rPr>
          <w:rFonts w:ascii="Arial" w:hAnsi="Arial" w:cs="Arial"/>
          <w:sz w:val="22"/>
          <w:szCs w:val="24"/>
        </w:rPr>
        <w:t>EMENTA: CONSTITUCIONAL. ICMS. REPARTIÇÃO DE RENDAS TRIBUTÁRIAS. PRODEC. PROGRAMA DE INCENTIVO FISCAL DE SANTA CATARINA. RETENÇÃO, PELO ESTADO, DE PARTE DA PARCELA PERTENCENTE AOS MUNICÍPIOS. INCONSTITUCIONALIDADE. RE DESPROVIDO. I - A parcela do imposto estadual sobre operações relativas à circulação de mercadorias e sobre prestações de serviços de transporte interestadual e intermunicipal e de comunicação, a que se refere o art. 158, IV, da Carta Magna pertence de pleno direito aos Municípios. II - O repasse da quota constitucionalmente devida aos Municípios não pode sujeitar-se à condição prevista em programa de benefício fiscal de âmbito estadual. III - Limitação que configura indevida interferência do Estado no sistema constitucional de repartição de receitas tributárias. IV - Recurso extraordinário desprovido.</w:t>
      </w:r>
    </w:p>
    <w:p w14:paraId="5EB4E306" w14:textId="77777777" w:rsidR="00F305AA" w:rsidRDefault="00F305AA" w:rsidP="00F305AA">
      <w:pPr>
        <w:spacing w:line="360" w:lineRule="auto"/>
        <w:ind w:firstLine="851"/>
        <w:jc w:val="both"/>
        <w:rPr>
          <w:rFonts w:ascii="Arial" w:hAnsi="Arial" w:cs="Arial"/>
          <w:sz w:val="24"/>
          <w:szCs w:val="24"/>
          <w:highlight w:val="yellow"/>
        </w:rPr>
      </w:pPr>
    </w:p>
    <w:p w14:paraId="5C7642DB" w14:textId="77777777" w:rsidR="00F305AA" w:rsidRPr="00C26B1F" w:rsidRDefault="00F305AA" w:rsidP="00F305AA">
      <w:pPr>
        <w:spacing w:line="360" w:lineRule="auto"/>
        <w:ind w:firstLine="851"/>
        <w:jc w:val="both"/>
        <w:rPr>
          <w:rFonts w:ascii="Arial" w:hAnsi="Arial" w:cs="Arial"/>
          <w:sz w:val="24"/>
          <w:szCs w:val="24"/>
        </w:rPr>
      </w:pPr>
      <w:r w:rsidRPr="00C26B1F">
        <w:rPr>
          <w:rFonts w:ascii="Arial" w:hAnsi="Arial" w:cs="Arial"/>
          <w:sz w:val="24"/>
          <w:szCs w:val="24"/>
        </w:rPr>
        <w:lastRenderedPageBreak/>
        <w:t>A incidência desse entendimento provavelmente levaria à propositura de ações pelos municípios do Estado, solicitando o repasse de suas quotas de ICMS nos termos do inciso IV do art. 158 da Constituição Federal, o que abarcariam os últimos 5 (cinco) anos.</w:t>
      </w:r>
    </w:p>
    <w:p w14:paraId="3FEFB80E" w14:textId="77777777" w:rsidR="00F305AA" w:rsidRPr="00C26B1F" w:rsidRDefault="00F305AA" w:rsidP="00F305AA">
      <w:pPr>
        <w:spacing w:line="360" w:lineRule="auto"/>
        <w:ind w:firstLine="851"/>
        <w:jc w:val="both"/>
        <w:rPr>
          <w:rFonts w:ascii="Arial" w:hAnsi="Arial" w:cs="Arial"/>
          <w:sz w:val="24"/>
          <w:szCs w:val="24"/>
        </w:rPr>
      </w:pPr>
      <w:r w:rsidRPr="00C26B1F">
        <w:rPr>
          <w:rFonts w:ascii="Arial" w:hAnsi="Arial" w:cs="Arial"/>
          <w:sz w:val="24"/>
          <w:szCs w:val="24"/>
        </w:rPr>
        <w:t>Considerando a estimativa anual de renúncia de receita da LDO vigente, trata</w:t>
      </w:r>
      <w:r>
        <w:rPr>
          <w:rFonts w:ascii="Arial" w:hAnsi="Arial" w:cs="Arial"/>
          <w:sz w:val="24"/>
          <w:szCs w:val="24"/>
        </w:rPr>
        <w:t>-</w:t>
      </w:r>
      <w:r w:rsidRPr="00C26B1F">
        <w:rPr>
          <w:rFonts w:ascii="Arial" w:hAnsi="Arial" w:cs="Arial"/>
          <w:sz w:val="24"/>
          <w:szCs w:val="24"/>
        </w:rPr>
        <w:t xml:space="preserve">se de uma quantia em torno de R$ </w:t>
      </w:r>
      <w:r>
        <w:rPr>
          <w:rFonts w:ascii="Arial" w:hAnsi="Arial" w:cs="Arial"/>
          <w:sz w:val="24"/>
          <w:szCs w:val="24"/>
        </w:rPr>
        <w:t>61</w:t>
      </w:r>
      <w:r w:rsidRPr="00C26B1F">
        <w:rPr>
          <w:rFonts w:ascii="Arial" w:hAnsi="Arial" w:cs="Arial"/>
          <w:sz w:val="24"/>
          <w:szCs w:val="24"/>
        </w:rPr>
        <w:t>0.000.000,00 (s</w:t>
      </w:r>
      <w:r>
        <w:rPr>
          <w:rFonts w:ascii="Arial" w:hAnsi="Arial" w:cs="Arial"/>
          <w:sz w:val="24"/>
          <w:szCs w:val="24"/>
        </w:rPr>
        <w:t>eiscentos e dez</w:t>
      </w:r>
      <w:r w:rsidRPr="00C26B1F">
        <w:rPr>
          <w:rFonts w:ascii="Arial" w:hAnsi="Arial" w:cs="Arial"/>
          <w:sz w:val="24"/>
          <w:szCs w:val="24"/>
        </w:rPr>
        <w:t xml:space="preserve"> </w:t>
      </w:r>
      <w:r>
        <w:rPr>
          <w:rFonts w:ascii="Arial" w:hAnsi="Arial" w:cs="Arial"/>
          <w:sz w:val="24"/>
          <w:szCs w:val="24"/>
        </w:rPr>
        <w:t>m</w:t>
      </w:r>
      <w:r w:rsidRPr="00C26B1F">
        <w:rPr>
          <w:rFonts w:ascii="Arial" w:hAnsi="Arial" w:cs="Arial"/>
          <w:sz w:val="24"/>
          <w:szCs w:val="24"/>
        </w:rPr>
        <w:t>ilhões de reais)</w:t>
      </w:r>
      <w:r>
        <w:rPr>
          <w:rFonts w:ascii="Arial" w:hAnsi="Arial" w:cs="Arial"/>
          <w:sz w:val="24"/>
          <w:szCs w:val="24"/>
        </w:rPr>
        <w:t xml:space="preserve"> por ano que seriam devidos aos municípios em relação a recursos que não foram efetivamente arrecadados pelo Estado. Tendo em mente que isso abarcaria o período de tempo desde 5 (cinco) anos antes da propositura da ação por cada município</w:t>
      </w:r>
      <w:r w:rsidRPr="00C26B1F">
        <w:rPr>
          <w:rFonts w:ascii="Arial" w:hAnsi="Arial" w:cs="Arial"/>
          <w:sz w:val="24"/>
          <w:szCs w:val="24"/>
        </w:rPr>
        <w:t xml:space="preserve">, </w:t>
      </w:r>
      <w:r>
        <w:rPr>
          <w:rFonts w:ascii="Arial" w:hAnsi="Arial" w:cs="Arial"/>
          <w:sz w:val="24"/>
          <w:szCs w:val="24"/>
        </w:rPr>
        <w:t>é evidente</w:t>
      </w:r>
      <w:r w:rsidRPr="00C26B1F">
        <w:rPr>
          <w:rFonts w:ascii="Arial" w:hAnsi="Arial" w:cs="Arial"/>
          <w:sz w:val="24"/>
          <w:szCs w:val="24"/>
        </w:rPr>
        <w:t xml:space="preserve"> que </w:t>
      </w:r>
      <w:r>
        <w:rPr>
          <w:rFonts w:ascii="Arial" w:hAnsi="Arial" w:cs="Arial"/>
          <w:sz w:val="24"/>
          <w:szCs w:val="24"/>
        </w:rPr>
        <w:t xml:space="preserve">tal posicionamento </w:t>
      </w:r>
      <w:r w:rsidRPr="00C26B1F">
        <w:rPr>
          <w:rFonts w:ascii="Arial" w:hAnsi="Arial" w:cs="Arial"/>
          <w:sz w:val="24"/>
          <w:szCs w:val="24"/>
        </w:rPr>
        <w:t>impactaria sobremaneira o Estado de Goiás, que já está em grave crise fiscal e déficit orçamentário.</w:t>
      </w:r>
    </w:p>
    <w:p w14:paraId="6A74CB86" w14:textId="77777777" w:rsidR="00F305AA" w:rsidRPr="00C26B1F" w:rsidRDefault="00F305AA" w:rsidP="00F305AA">
      <w:pPr>
        <w:spacing w:line="360" w:lineRule="auto"/>
        <w:ind w:firstLine="851"/>
        <w:jc w:val="both"/>
        <w:rPr>
          <w:rFonts w:ascii="Arial" w:hAnsi="Arial" w:cs="Arial"/>
          <w:sz w:val="24"/>
          <w:szCs w:val="24"/>
        </w:rPr>
      </w:pPr>
      <w:r w:rsidRPr="00C26B1F">
        <w:rPr>
          <w:rFonts w:ascii="Arial" w:hAnsi="Arial" w:cs="Arial"/>
          <w:sz w:val="24"/>
          <w:szCs w:val="24"/>
        </w:rPr>
        <w:t xml:space="preserve">Por outro lado, considerando a </w:t>
      </w:r>
      <w:r w:rsidRPr="007B7F8F">
        <w:rPr>
          <w:rFonts w:ascii="Arial" w:hAnsi="Arial" w:cs="Arial"/>
          <w:b/>
          <w:sz w:val="24"/>
          <w:szCs w:val="24"/>
        </w:rPr>
        <w:t>natureza fiscal</w:t>
      </w:r>
      <w:r w:rsidRPr="00C26B1F">
        <w:rPr>
          <w:rFonts w:ascii="Arial" w:hAnsi="Arial" w:cs="Arial"/>
          <w:sz w:val="24"/>
          <w:szCs w:val="24"/>
        </w:rPr>
        <w:t xml:space="preserve"> dos programas FOMENTAR e PRODUZIR, o que levaria </w:t>
      </w:r>
      <w:r w:rsidRPr="007B7F8F">
        <w:rPr>
          <w:rFonts w:ascii="Arial" w:hAnsi="Arial" w:cs="Arial"/>
          <w:b/>
          <w:sz w:val="24"/>
          <w:szCs w:val="24"/>
        </w:rPr>
        <w:t>à não efetiva arrecadação do ICMS</w:t>
      </w:r>
      <w:r w:rsidRPr="00C26B1F">
        <w:rPr>
          <w:rFonts w:ascii="Arial" w:hAnsi="Arial" w:cs="Arial"/>
          <w:sz w:val="24"/>
          <w:szCs w:val="24"/>
        </w:rPr>
        <w:t xml:space="preserve">, </w:t>
      </w:r>
      <w:r w:rsidRPr="007B7F8F">
        <w:rPr>
          <w:rFonts w:ascii="Arial" w:hAnsi="Arial" w:cs="Arial"/>
          <w:b/>
          <w:sz w:val="24"/>
          <w:szCs w:val="24"/>
        </w:rPr>
        <w:t>não haveria legitimidade dos municípios em requerer suposta quota-parte baseada na arrecadação potencial máxima</w:t>
      </w:r>
      <w:r w:rsidRPr="00C26B1F">
        <w:rPr>
          <w:rFonts w:ascii="Arial" w:hAnsi="Arial" w:cs="Arial"/>
          <w:sz w:val="24"/>
          <w:szCs w:val="24"/>
        </w:rPr>
        <w:t>, como entende o próprio STF:</w:t>
      </w:r>
    </w:p>
    <w:p w14:paraId="1DB0B6BD" w14:textId="77777777" w:rsidR="00F305AA" w:rsidRDefault="00F305AA" w:rsidP="00F305AA">
      <w:pPr>
        <w:spacing w:line="360" w:lineRule="auto"/>
        <w:ind w:firstLine="851"/>
        <w:jc w:val="both"/>
        <w:rPr>
          <w:rFonts w:ascii="Arial" w:hAnsi="Arial" w:cs="Arial"/>
          <w:sz w:val="24"/>
          <w:szCs w:val="24"/>
          <w:highlight w:val="yellow"/>
        </w:rPr>
      </w:pPr>
    </w:p>
    <w:p w14:paraId="1F5F2915"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Trata-se de suspensão de tutela antecipada proposta pelo Estado da Paraíba contra a decisão proferida pelo Tribunal de Justiça daquela unidade federada nos autos do Agravo de Instrumento 0802609-07.2015.815.0000.</w:t>
      </w:r>
    </w:p>
    <w:p w14:paraId="20B7DBDA"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O referido decisum assegurou ao Município de Gurinhém/PB o direito de obter o repasse de 20% (vinte por cento) do ICMS, IPVA e ITCMD que lhe é destinado através do Fundo de Manutenção e Desenvolvimento da Educação Básica e de Valorização dos</w:t>
      </w:r>
      <w:r>
        <w:rPr>
          <w:rFonts w:ascii="Arial" w:hAnsi="Arial" w:cs="Arial"/>
          <w:sz w:val="22"/>
          <w:szCs w:val="24"/>
        </w:rPr>
        <w:t xml:space="preserve"> </w:t>
      </w:r>
      <w:r w:rsidRPr="00DD415D">
        <w:rPr>
          <w:rFonts w:ascii="Arial" w:hAnsi="Arial" w:cs="Arial"/>
          <w:sz w:val="22"/>
          <w:szCs w:val="24"/>
        </w:rPr>
        <w:t>Profissionais da Educação – FUNDEB, sem as deduções dos valores referentes às isenções fiscais concedidas pelo ente federado, por entender que o Município não poderia ser prejudicado pelas isenções concedidas pelo Estado-membro.</w:t>
      </w:r>
    </w:p>
    <w:p w14:paraId="487A1023"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O Estado-membro requerente alega, em síntese, a existência de grave lesão à ordem econômica e à ordem pública, “uma vez que a execução da decisão impugnada implica o repasse de valores não arrecadados, em razão de renúncia fiscal, e, por</w:t>
      </w:r>
      <w:r>
        <w:rPr>
          <w:rFonts w:ascii="Arial" w:hAnsi="Arial" w:cs="Arial"/>
          <w:sz w:val="22"/>
          <w:szCs w:val="24"/>
        </w:rPr>
        <w:t xml:space="preserve"> </w:t>
      </w:r>
      <w:r w:rsidRPr="00DD415D">
        <w:rPr>
          <w:rFonts w:ascii="Arial" w:hAnsi="Arial" w:cs="Arial"/>
          <w:sz w:val="22"/>
          <w:szCs w:val="24"/>
        </w:rPr>
        <w:t>conseguinte, em sumário comprometimento dos já insuficientes recursos do Requerente, sem direito a qualquer tipo de previsibilidade orçamentária”.</w:t>
      </w:r>
    </w:p>
    <w:p w14:paraId="0DC9F5AB"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Assevera, ademais, que a decisão ora contestada possui potencial efeito multiplicador, pois geraria um estímulo aos outros 222 municípios para que venham a buscar idêntica medida.</w:t>
      </w:r>
    </w:p>
    <w:p w14:paraId="17E26AA1"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Argumenta ser equivocada a invocação pelo Tribunal local da jurisprudência firmada por esta Corte no RE 572.762/SC, em que abordada situação jurídica distinta, uma vez que, no caso do Recurso Extraordinário, “´havia a efetiva arrecadação do ICMS,</w:t>
      </w:r>
      <w:r>
        <w:rPr>
          <w:rFonts w:ascii="Arial" w:hAnsi="Arial" w:cs="Arial"/>
          <w:sz w:val="22"/>
          <w:szCs w:val="24"/>
        </w:rPr>
        <w:t xml:space="preserve"> </w:t>
      </w:r>
      <w:r w:rsidRPr="00DD415D">
        <w:rPr>
          <w:rFonts w:ascii="Arial" w:hAnsi="Arial" w:cs="Arial"/>
          <w:sz w:val="22"/>
          <w:szCs w:val="24"/>
        </w:rPr>
        <w:t xml:space="preserve">ainda que postergada ou diferida´, já na situação dos autos ´há óbice à própria constituição do crédito tributário, em razão da concessão de isenções e </w:t>
      </w:r>
      <w:r w:rsidRPr="00DD415D">
        <w:rPr>
          <w:rFonts w:ascii="Arial" w:hAnsi="Arial" w:cs="Arial"/>
          <w:sz w:val="22"/>
          <w:szCs w:val="24"/>
        </w:rPr>
        <w:lastRenderedPageBreak/>
        <w:t>benefícios fiscais pelo Estado, co</w:t>
      </w:r>
      <w:r>
        <w:rPr>
          <w:rFonts w:ascii="Arial" w:hAnsi="Arial" w:cs="Arial"/>
          <w:sz w:val="22"/>
          <w:szCs w:val="24"/>
        </w:rPr>
        <w:t>m fundamento no parágrafo 6º</w:t>
      </w:r>
      <w:r w:rsidRPr="00DD415D">
        <w:rPr>
          <w:rFonts w:ascii="Arial" w:hAnsi="Arial" w:cs="Arial"/>
          <w:sz w:val="22"/>
          <w:szCs w:val="24"/>
        </w:rPr>
        <w:t xml:space="preserve"> do art. 150 da CF’”.</w:t>
      </w:r>
    </w:p>
    <w:p w14:paraId="64215D3B"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Requer, ao final, a suspensão da execução da tutela antecipada concedida, “até o respectivo trânsito em julgado do processo”.</w:t>
      </w:r>
    </w:p>
    <w:p w14:paraId="6F0289DB"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Instada a se manifestar, o Município de Gurinhém/PB afirmou ser “cediço na jurisprudência do TJPB e do STF que os repasses de ICMS aos Municípios não devem experimentar restrição” (documento eletrônico n. 9).</w:t>
      </w:r>
    </w:p>
    <w:p w14:paraId="4F6F8633"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A Procuradoria Geral da República, em parecer subscrito pelo Procurador-Geral Rodrigo Janot Monteiro de Barros, opinou pelo deferimento do pedido de suspensão. A manifestação ministerial está assim sintetizada:</w:t>
      </w:r>
    </w:p>
    <w:p w14:paraId="047C453F"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“SUSPENSÃO DE TUTELA ANTECIPADA. ICMS. CONCESSÃO DE BENEFÍCIOS FISCAIS. REFLEXO NO COMPO DAS ISENÇÕES. REPASSES AOS MUNICÍPIOS. BASE DE CÁCULO. GRAVE RISCO DE LESÃO À ORDEM E À ECONOMIA PÚBLICAS. POTENCIAL MULTIPLICADOR. DEFERIMENTO DA</w:t>
      </w:r>
    </w:p>
    <w:p w14:paraId="2E7938E3"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CONTRACAUTELA.</w:t>
      </w:r>
    </w:p>
    <w:p w14:paraId="7B881C60"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1. Requerimento de suspensão de decisão antecipatória da tutela que obstou ao Estado da Paraíba a possibilidade de deduzir da base de cálculo do Imposto sobre Operações Relativas à Circulação de Mercadorias e sobre Prestações de Serviços de</w:t>
      </w:r>
      <w:r>
        <w:rPr>
          <w:rFonts w:ascii="Arial" w:hAnsi="Arial" w:cs="Arial"/>
          <w:sz w:val="22"/>
          <w:szCs w:val="24"/>
        </w:rPr>
        <w:t xml:space="preserve"> </w:t>
      </w:r>
      <w:r w:rsidRPr="00DD415D">
        <w:rPr>
          <w:rFonts w:ascii="Arial" w:hAnsi="Arial" w:cs="Arial"/>
          <w:sz w:val="22"/>
          <w:szCs w:val="24"/>
        </w:rPr>
        <w:t>Transporte Interestadual, Intermunicipal e de Comunicação – ICMS benefícios fiscais concernentes a isenções do tributo.</w:t>
      </w:r>
    </w:p>
    <w:p w14:paraId="2FB58CC1"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2. Compete ao Supremo Tribunal Federal examinar o pedido de suspensão que versa sobre o campo da regência constitucional do ICMS e da repartição de receitas desse imposto entre estados e municípios (arts. 155, caput, II e § 2o, XII, g; 158, IV, da</w:t>
      </w:r>
      <w:r>
        <w:rPr>
          <w:rFonts w:ascii="Arial" w:hAnsi="Arial" w:cs="Arial"/>
          <w:sz w:val="22"/>
          <w:szCs w:val="24"/>
        </w:rPr>
        <w:t xml:space="preserve"> </w:t>
      </w:r>
      <w:r w:rsidRPr="00DD415D">
        <w:rPr>
          <w:rFonts w:ascii="Arial" w:hAnsi="Arial" w:cs="Arial"/>
          <w:sz w:val="22"/>
          <w:szCs w:val="24"/>
        </w:rPr>
        <w:t>Constituição Federal).</w:t>
      </w:r>
    </w:p>
    <w:p w14:paraId="62E5A7F2"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3. Inibida a concessão de isenções tributárias e havendo a possibilidade de comprometimento da regular execução orçamentária das metas fiscais, configura-se o grave risco de lesão à ordem e à economia públicas.</w:t>
      </w:r>
    </w:p>
    <w:p w14:paraId="1F68D4F8"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4. Evidencia-se o nítido potencial multiplicador da demanda, dada a quantidade de processos semelhantes que podem vir a ser movidos pelas municipalidades locais em desfavor do requerente.</w:t>
      </w:r>
    </w:p>
    <w:p w14:paraId="13BEF0B5"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5. Parecer pelo deferimento do pedido de contracautela.”</w:t>
      </w:r>
    </w:p>
    <w:p w14:paraId="1F251597"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É o relatório. Decido.</w:t>
      </w:r>
    </w:p>
    <w:p w14:paraId="6CBA006B"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Compete à Presidência desta Corte, desde que presente na causa fundamento de índole constitucional, suspender a execução de liminares e tutelas antecipadas proferidas, em única ou última instância, pelos tribunais locais ou federais, tudo com o fim</w:t>
      </w:r>
      <w:r>
        <w:rPr>
          <w:rFonts w:ascii="Arial" w:hAnsi="Arial" w:cs="Arial"/>
          <w:sz w:val="22"/>
          <w:szCs w:val="24"/>
        </w:rPr>
        <w:t xml:space="preserve"> </w:t>
      </w:r>
      <w:r w:rsidRPr="00DD415D">
        <w:rPr>
          <w:rFonts w:ascii="Arial" w:hAnsi="Arial" w:cs="Arial"/>
          <w:sz w:val="22"/>
          <w:szCs w:val="24"/>
        </w:rPr>
        <w:t>de evitar grave lesão à ordem, à saúde, à segurança e à economia públicas.</w:t>
      </w:r>
    </w:p>
    <w:p w14:paraId="36AEFC69"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Verifico, no caso sob análise, que está bem demonstrada a natureza constitucional da controvérsia, a envolver, nuclearmente, a repartição de receitas tributárias entre entes federados (art. 158, IV, da CF). Competente, assim, a Presidência desta</w:t>
      </w:r>
      <w:r>
        <w:rPr>
          <w:rFonts w:ascii="Arial" w:hAnsi="Arial" w:cs="Arial"/>
          <w:sz w:val="22"/>
          <w:szCs w:val="24"/>
        </w:rPr>
        <w:t xml:space="preserve"> </w:t>
      </w:r>
      <w:r w:rsidRPr="00DD415D">
        <w:rPr>
          <w:rFonts w:ascii="Arial" w:hAnsi="Arial" w:cs="Arial"/>
          <w:sz w:val="22"/>
          <w:szCs w:val="24"/>
        </w:rPr>
        <w:t>Corte o exame do pleito de suspensão.</w:t>
      </w:r>
    </w:p>
    <w:p w14:paraId="72162594"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Bem examinados os autos, tenho que é caso de deferimento do pedido, pois evidenciada a lesão à ordem e economia públicas.</w:t>
      </w:r>
    </w:p>
    <w:p w14:paraId="56AC8C03" w14:textId="77777777" w:rsidR="00F305AA" w:rsidRPr="00DD415D" w:rsidRDefault="00F305AA" w:rsidP="00F305AA">
      <w:pPr>
        <w:ind w:left="2268"/>
        <w:jc w:val="both"/>
        <w:rPr>
          <w:rFonts w:ascii="Arial" w:hAnsi="Arial" w:cs="Arial"/>
          <w:sz w:val="22"/>
          <w:szCs w:val="24"/>
        </w:rPr>
      </w:pPr>
      <w:r w:rsidRPr="00DD415D">
        <w:rPr>
          <w:rFonts w:ascii="Arial" w:hAnsi="Arial" w:cs="Arial"/>
          <w:b/>
          <w:sz w:val="22"/>
          <w:szCs w:val="24"/>
        </w:rPr>
        <w:t>Com efeito, o caso em exame não se confunde com aquele decidido no âmbito do Recurso Extraordinário 572.762/SC</w:t>
      </w:r>
      <w:r w:rsidRPr="00DD415D">
        <w:rPr>
          <w:rFonts w:ascii="Arial" w:hAnsi="Arial" w:cs="Arial"/>
          <w:sz w:val="22"/>
          <w:szCs w:val="24"/>
        </w:rPr>
        <w:t xml:space="preserve">. Outrossim, a questão em debate nesses autos, em relação ao mesmo Estado da </w:t>
      </w:r>
      <w:r w:rsidRPr="00DD415D">
        <w:rPr>
          <w:rFonts w:ascii="Arial" w:hAnsi="Arial" w:cs="Arial"/>
          <w:sz w:val="22"/>
          <w:szCs w:val="24"/>
        </w:rPr>
        <w:lastRenderedPageBreak/>
        <w:t>Paraíba, já foi examinada por esta Presidência em outros</w:t>
      </w:r>
      <w:r>
        <w:rPr>
          <w:rFonts w:ascii="Arial" w:hAnsi="Arial" w:cs="Arial"/>
          <w:sz w:val="22"/>
          <w:szCs w:val="24"/>
        </w:rPr>
        <w:t xml:space="preserve"> </w:t>
      </w:r>
      <w:r w:rsidRPr="00DD415D">
        <w:rPr>
          <w:rFonts w:ascii="Arial" w:hAnsi="Arial" w:cs="Arial"/>
          <w:sz w:val="22"/>
          <w:szCs w:val="24"/>
        </w:rPr>
        <w:t>casos, o que, por si, revela o risco de efeito multiplicador da demanda.</w:t>
      </w:r>
    </w:p>
    <w:p w14:paraId="348422A3"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Esta Presidência, em decisões análogas envolvendo outros municípios paraibanos, já teve oportunidade, num juízo mínimo de delibação da matéria discutida na causa de origem, de detectar a invocação, pela Justiça local, de precedentes desta Suprema</w:t>
      </w:r>
      <w:r>
        <w:rPr>
          <w:rFonts w:ascii="Arial" w:hAnsi="Arial" w:cs="Arial"/>
          <w:sz w:val="22"/>
          <w:szCs w:val="24"/>
        </w:rPr>
        <w:t xml:space="preserve"> </w:t>
      </w:r>
      <w:r w:rsidRPr="00DD415D">
        <w:rPr>
          <w:rFonts w:ascii="Arial" w:hAnsi="Arial" w:cs="Arial"/>
          <w:sz w:val="22"/>
          <w:szCs w:val="24"/>
        </w:rPr>
        <w:t>Corte que parecem abordar tema sensivelmente diverso do que foi colocado no processo de origem. Transcrevo, nesse sentido, o seguinte trecho da decisão proferida pelo Ministro Ayres Britto na STA 658/PB:</w:t>
      </w:r>
    </w:p>
    <w:p w14:paraId="4C318EFF"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 xml:space="preserve">“E não é só: fundamenta-se a decisão em causa em acórdão deste Supremo Tribunal Federal que parece </w:t>
      </w:r>
      <w:r w:rsidRPr="00DD415D">
        <w:rPr>
          <w:rFonts w:ascii="Arial" w:hAnsi="Arial" w:cs="Arial"/>
          <w:b/>
          <w:sz w:val="22"/>
          <w:szCs w:val="24"/>
        </w:rPr>
        <w:t>tratar de questões distintas</w:t>
      </w:r>
      <w:r w:rsidRPr="00DD415D">
        <w:rPr>
          <w:rFonts w:ascii="Arial" w:hAnsi="Arial" w:cs="Arial"/>
          <w:sz w:val="22"/>
          <w:szCs w:val="24"/>
        </w:rPr>
        <w:t xml:space="preserve"> da apresentada nos presentes autos. Vale dizer: no julgamento do RE 572.762, da relatoria do Ministro Ricardo</w:t>
      </w:r>
      <w:r>
        <w:rPr>
          <w:rFonts w:ascii="Arial" w:hAnsi="Arial" w:cs="Arial"/>
          <w:sz w:val="22"/>
          <w:szCs w:val="24"/>
        </w:rPr>
        <w:t xml:space="preserve"> </w:t>
      </w:r>
      <w:r w:rsidRPr="00DD415D">
        <w:rPr>
          <w:rFonts w:ascii="Arial" w:hAnsi="Arial" w:cs="Arial"/>
          <w:sz w:val="22"/>
          <w:szCs w:val="24"/>
        </w:rPr>
        <w:t>Lewandowski, esta nossa Casa de Justiça entendeu que 'a parcela do imposto estadual sobre operações relativas à circulação de mercadorias e sobre prestações de serviços de transporte interestadual e intermunicipal e de comunicação, a que se refere o</w:t>
      </w:r>
      <w:r>
        <w:rPr>
          <w:rFonts w:ascii="Arial" w:hAnsi="Arial" w:cs="Arial"/>
          <w:sz w:val="22"/>
          <w:szCs w:val="24"/>
        </w:rPr>
        <w:t xml:space="preserve"> </w:t>
      </w:r>
      <w:r w:rsidRPr="00DD415D">
        <w:rPr>
          <w:rFonts w:ascii="Arial" w:hAnsi="Arial" w:cs="Arial"/>
          <w:sz w:val="22"/>
          <w:szCs w:val="24"/>
        </w:rPr>
        <w:t xml:space="preserve">art. 158, IV, da Carta Magna pertence de pleno direito aos Municípios'. Contudo, </w:t>
      </w:r>
      <w:r w:rsidRPr="00DD415D">
        <w:rPr>
          <w:rFonts w:ascii="Arial" w:hAnsi="Arial" w:cs="Arial"/>
          <w:b/>
          <w:sz w:val="22"/>
          <w:szCs w:val="24"/>
        </w:rPr>
        <w:t>é certo que a questão então submetida ao exame do Plenário deste Supremo Tribunal Federal era específica: no Estado de Santa Catariana, diante da instalação de Programa de</w:t>
      </w:r>
      <w:r w:rsidRPr="00C26B1F">
        <w:rPr>
          <w:rFonts w:ascii="Arial" w:hAnsi="Arial" w:cs="Arial"/>
          <w:b/>
          <w:sz w:val="22"/>
          <w:szCs w:val="24"/>
        </w:rPr>
        <w:t xml:space="preserve"> </w:t>
      </w:r>
      <w:r w:rsidRPr="00DD415D">
        <w:rPr>
          <w:rFonts w:ascii="Arial" w:hAnsi="Arial" w:cs="Arial"/>
          <w:b/>
          <w:sz w:val="22"/>
          <w:szCs w:val="24"/>
        </w:rPr>
        <w:t>Desenvolvimento da Empresa Estadual, havia a efetiva arrecadação do ICMS, ainda que postergada ou diferida.</w:t>
      </w:r>
      <w:r w:rsidRPr="00DD415D">
        <w:rPr>
          <w:rFonts w:ascii="Arial" w:hAnsi="Arial" w:cs="Arial"/>
          <w:sz w:val="22"/>
          <w:szCs w:val="24"/>
        </w:rPr>
        <w:t xml:space="preserve"> O que justifica, por si só, a conclusão de que 'o repasse da quota constitucionalmente devida aos Municípios não pode sujeitar-se à condição</w:t>
      </w:r>
      <w:r>
        <w:rPr>
          <w:rFonts w:ascii="Arial" w:hAnsi="Arial" w:cs="Arial"/>
          <w:sz w:val="22"/>
          <w:szCs w:val="24"/>
        </w:rPr>
        <w:t xml:space="preserve"> </w:t>
      </w:r>
      <w:r w:rsidRPr="00DD415D">
        <w:rPr>
          <w:rFonts w:ascii="Arial" w:hAnsi="Arial" w:cs="Arial"/>
          <w:sz w:val="22"/>
          <w:szCs w:val="24"/>
        </w:rPr>
        <w:t xml:space="preserve">prevista em programa de benefício fiscal de âmbito estadual'. </w:t>
      </w:r>
      <w:r w:rsidRPr="00DD415D">
        <w:rPr>
          <w:rFonts w:ascii="Arial" w:hAnsi="Arial" w:cs="Arial"/>
          <w:b/>
          <w:sz w:val="22"/>
          <w:szCs w:val="24"/>
        </w:rPr>
        <w:t>Quadro fático que parece não se confundir com a situação dos autos, em que há óbice à própria constituição do crédito tributário, em razão da concessão de isenções e benefícios fiscais pelo</w:t>
      </w:r>
      <w:r w:rsidRPr="00C26B1F">
        <w:rPr>
          <w:rFonts w:ascii="Arial" w:hAnsi="Arial" w:cs="Arial"/>
          <w:b/>
          <w:sz w:val="22"/>
          <w:szCs w:val="24"/>
        </w:rPr>
        <w:t xml:space="preserve"> </w:t>
      </w:r>
      <w:r w:rsidRPr="00DD415D">
        <w:rPr>
          <w:rFonts w:ascii="Arial" w:hAnsi="Arial" w:cs="Arial"/>
          <w:b/>
          <w:sz w:val="22"/>
          <w:szCs w:val="24"/>
        </w:rPr>
        <w:t>Estado, com fundamento no § 6º do art. 150 da CF</w:t>
      </w:r>
      <w:r w:rsidRPr="00DD415D">
        <w:rPr>
          <w:rFonts w:ascii="Arial" w:hAnsi="Arial" w:cs="Arial"/>
          <w:sz w:val="22"/>
          <w:szCs w:val="24"/>
        </w:rPr>
        <w:t>” (grifei).</w:t>
      </w:r>
    </w:p>
    <w:p w14:paraId="2447A6ED"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Nessa mesma direção, a manifestação do Ministro Joaquim Barbosa ao decidir a STA 681-MC/PB:</w:t>
      </w:r>
    </w:p>
    <w:p w14:paraId="6BDBA737"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 xml:space="preserve">“(...) </w:t>
      </w:r>
      <w:r w:rsidRPr="00DD415D">
        <w:rPr>
          <w:rFonts w:ascii="Arial" w:hAnsi="Arial" w:cs="Arial"/>
          <w:b/>
          <w:sz w:val="22"/>
          <w:szCs w:val="24"/>
        </w:rPr>
        <w:t>os municípios não têm expectativa legítima à arrecadação potencial máxima, nem dispõem de meios para compelir os estados-membros e o Distrito Federal a absterem-se de conceder benefícios fiscais</w:t>
      </w:r>
      <w:r w:rsidRPr="00DD415D">
        <w:rPr>
          <w:rFonts w:ascii="Arial" w:hAnsi="Arial" w:cs="Arial"/>
          <w:sz w:val="22"/>
          <w:szCs w:val="24"/>
        </w:rPr>
        <w:t>.</w:t>
      </w:r>
    </w:p>
    <w:p w14:paraId="64AAD001"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 xml:space="preserve">Resumidamente, </w:t>
      </w:r>
      <w:r w:rsidRPr="00DD415D">
        <w:rPr>
          <w:rFonts w:ascii="Arial" w:hAnsi="Arial" w:cs="Arial"/>
          <w:b/>
          <w:sz w:val="22"/>
          <w:szCs w:val="24"/>
        </w:rPr>
        <w:t>a Constituição assegura ao município uma parcela do produto arrecadado com a cobrança do ICMS, e não uma parte do produto que poderia ter sido arrecadado se não houvesse benefícios fiscais</w:t>
      </w:r>
      <w:r w:rsidRPr="00DD415D">
        <w:rPr>
          <w:rFonts w:ascii="Arial" w:hAnsi="Arial" w:cs="Arial"/>
          <w:sz w:val="22"/>
          <w:szCs w:val="24"/>
        </w:rPr>
        <w:t>.</w:t>
      </w:r>
    </w:p>
    <w:p w14:paraId="07FAAD47"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Complementarmente, se o benefício fiscal incide após a arrecadação, essa diminuição não pode prejudicar a expectativa dos municípios. Tal era a hipótese do Prodec, examinada no precedente indicado.</w:t>
      </w:r>
    </w:p>
    <w:p w14:paraId="36D63A63"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Para se aferir a importância dessa distinção entre os quadros (benefício incidente antes ou no momento da cobrança do tributo e benefício incidente após a arrecadação dos valores), lembro que a publicação do enunciado da Súmula Vinculante 30 ('é</w:t>
      </w:r>
      <w:r>
        <w:rPr>
          <w:rFonts w:ascii="Arial" w:hAnsi="Arial" w:cs="Arial"/>
          <w:sz w:val="22"/>
          <w:szCs w:val="24"/>
        </w:rPr>
        <w:t xml:space="preserve"> </w:t>
      </w:r>
      <w:r w:rsidRPr="00DD415D">
        <w:rPr>
          <w:rFonts w:ascii="Arial" w:hAnsi="Arial" w:cs="Arial"/>
          <w:sz w:val="22"/>
          <w:szCs w:val="24"/>
        </w:rPr>
        <w:t>inconstitucional lei estadual que, a título de incentivo fiscal, retém parcela do ICMS pertencente aos Municípios') foi suspensa no dia imediatamente seguinte ao da respectiva aprovação (DJe de 18.02.2010).</w:t>
      </w:r>
    </w:p>
    <w:p w14:paraId="538AA747"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Mais recentemente, decidi pelo deferimento do pedido de suspensão no âmbito da STA 699, em caso análogo, envolvendo o Município de Iguaracy/PB.</w:t>
      </w:r>
    </w:p>
    <w:p w14:paraId="09403B4B"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lastRenderedPageBreak/>
        <w:t>Relevante destacar, por fim, o que consignado no bem lançado parecer emitido pela Procuradoria Geral da República:</w:t>
      </w:r>
    </w:p>
    <w:p w14:paraId="002F6053"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“...considera-se que, ao excluir a possibilidade de dedução das isenções da base de cálculo do ICMS repassado à municipalidade paraibana, o juízo reclamado passou a inibir a concessão de isenções de ICMS essenciais à política extrafiscal do Estado</w:t>
      </w:r>
      <w:r>
        <w:rPr>
          <w:rFonts w:ascii="Arial" w:hAnsi="Arial" w:cs="Arial"/>
          <w:sz w:val="22"/>
          <w:szCs w:val="24"/>
        </w:rPr>
        <w:t xml:space="preserve"> </w:t>
      </w:r>
      <w:r w:rsidRPr="00DD415D">
        <w:rPr>
          <w:rFonts w:ascii="Arial" w:hAnsi="Arial" w:cs="Arial"/>
          <w:sz w:val="22"/>
          <w:szCs w:val="24"/>
        </w:rPr>
        <w:t>da Paraíba. Nesse esteio, comprometeu a regular execução orçamentária das metas fiscais do ente estadual.”.</w:t>
      </w:r>
    </w:p>
    <w:p w14:paraId="348F0CD8" w14:textId="77777777" w:rsidR="00F305AA" w:rsidRPr="00DD415D" w:rsidRDefault="00F305AA" w:rsidP="00F305AA">
      <w:pPr>
        <w:ind w:left="2268"/>
        <w:jc w:val="both"/>
        <w:rPr>
          <w:rFonts w:ascii="Arial" w:hAnsi="Arial" w:cs="Arial"/>
          <w:sz w:val="22"/>
          <w:szCs w:val="24"/>
        </w:rPr>
      </w:pPr>
      <w:r w:rsidRPr="00DD415D">
        <w:rPr>
          <w:rFonts w:ascii="Arial" w:hAnsi="Arial" w:cs="Arial"/>
          <w:sz w:val="22"/>
          <w:szCs w:val="24"/>
        </w:rPr>
        <w:t>Isso posto, defiro o pedido para suspender os efeitos da tutela antecipada concedida pelo Tribunal de Justiça local em favor do Município de Gurinhém, nos autos do Agravo de Instrumento n. 0802609-07.2015.815.0000, até o trânsito em julgado da Ação</w:t>
      </w:r>
      <w:r>
        <w:rPr>
          <w:rFonts w:ascii="Arial" w:hAnsi="Arial" w:cs="Arial"/>
          <w:sz w:val="22"/>
          <w:szCs w:val="24"/>
        </w:rPr>
        <w:t xml:space="preserve"> </w:t>
      </w:r>
      <w:r w:rsidRPr="00DD415D">
        <w:rPr>
          <w:rFonts w:ascii="Arial" w:hAnsi="Arial" w:cs="Arial"/>
          <w:sz w:val="22"/>
          <w:szCs w:val="24"/>
        </w:rPr>
        <w:t>Ordinária (7) 0811302-88.2015.8.15.2001.</w:t>
      </w:r>
      <w:r>
        <w:rPr>
          <w:rStyle w:val="Refdenotaderodap"/>
          <w:rFonts w:ascii="Arial" w:hAnsi="Arial" w:cs="Arial"/>
          <w:sz w:val="22"/>
          <w:szCs w:val="24"/>
        </w:rPr>
        <w:footnoteReference w:id="36"/>
      </w:r>
    </w:p>
    <w:p w14:paraId="6EEC9941" w14:textId="77777777" w:rsidR="00F305AA" w:rsidRDefault="00F305AA" w:rsidP="00F305AA">
      <w:pPr>
        <w:spacing w:line="360" w:lineRule="auto"/>
        <w:ind w:firstLine="851"/>
        <w:jc w:val="both"/>
        <w:rPr>
          <w:rFonts w:ascii="Arial" w:hAnsi="Arial" w:cs="Arial"/>
          <w:sz w:val="24"/>
          <w:szCs w:val="24"/>
          <w:highlight w:val="yellow"/>
        </w:rPr>
      </w:pPr>
    </w:p>
    <w:p w14:paraId="05C0323A" w14:textId="5D0366F0" w:rsidR="00F305AA" w:rsidRDefault="00F305AA" w:rsidP="00F305AA">
      <w:pPr>
        <w:spacing w:line="360" w:lineRule="auto"/>
        <w:ind w:firstLine="851"/>
        <w:jc w:val="both"/>
        <w:rPr>
          <w:rFonts w:ascii="Arial" w:hAnsi="Arial" w:cs="Arial"/>
          <w:sz w:val="24"/>
          <w:szCs w:val="24"/>
        </w:rPr>
      </w:pPr>
      <w:r w:rsidRPr="00073CB8">
        <w:rPr>
          <w:rFonts w:ascii="Arial" w:hAnsi="Arial" w:cs="Arial"/>
          <w:sz w:val="24"/>
          <w:szCs w:val="24"/>
        </w:rPr>
        <w:t xml:space="preserve">Não deixo de observar que, apesar do exposto acima, há condenações do Estado de Goiás, inclusive no TJGO, pelo não repasse de recursos supostamente devidos aos municípios. Todavia, preciso destacar que tal </w:t>
      </w:r>
      <w:r w:rsidRPr="00E46B80">
        <w:rPr>
          <w:rFonts w:ascii="Arial" w:hAnsi="Arial" w:cs="Arial"/>
          <w:b/>
          <w:sz w:val="24"/>
          <w:szCs w:val="24"/>
        </w:rPr>
        <w:t>aplicação da tese n. 42 da repercussão geral</w:t>
      </w:r>
      <w:r w:rsidR="00C62CDE">
        <w:rPr>
          <w:rFonts w:ascii="Arial" w:hAnsi="Arial" w:cs="Arial"/>
          <w:b/>
          <w:sz w:val="24"/>
          <w:szCs w:val="24"/>
        </w:rPr>
        <w:t xml:space="preserve"> não é a melhor</w:t>
      </w:r>
      <w:r w:rsidRPr="00E46B80">
        <w:rPr>
          <w:rFonts w:ascii="Arial" w:hAnsi="Arial" w:cs="Arial"/>
          <w:b/>
          <w:sz w:val="24"/>
          <w:szCs w:val="24"/>
        </w:rPr>
        <w:t xml:space="preserve">, pois, no </w:t>
      </w:r>
      <w:r w:rsidRPr="00E46B80">
        <w:rPr>
          <w:rFonts w:ascii="Arial" w:hAnsi="Arial" w:cs="Arial"/>
          <w:b/>
          <w:i/>
          <w:sz w:val="24"/>
          <w:szCs w:val="24"/>
        </w:rPr>
        <w:t>leading case</w:t>
      </w:r>
      <w:r w:rsidRPr="00E46B80">
        <w:rPr>
          <w:rFonts w:ascii="Arial" w:hAnsi="Arial" w:cs="Arial"/>
          <w:b/>
          <w:sz w:val="24"/>
          <w:szCs w:val="24"/>
        </w:rPr>
        <w:t>, o programa de incentivos era realmente de natureza financeira (ver RE 572.762/SC), o que não ocorre no caso do FOMENTAR e PRODUZIR, programas com real natureza de benefícios fiscais</w:t>
      </w:r>
      <w:r w:rsidRPr="00073CB8">
        <w:rPr>
          <w:rFonts w:ascii="Arial" w:hAnsi="Arial" w:cs="Arial"/>
          <w:sz w:val="24"/>
          <w:szCs w:val="24"/>
        </w:rPr>
        <w:t>, adequados, portanto, ao tema de repercussão geral n. 653.</w:t>
      </w:r>
    </w:p>
    <w:p w14:paraId="395385DB"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Nesse sentido, transcrevo recente acórdão do TJGO:</w:t>
      </w:r>
    </w:p>
    <w:p w14:paraId="5442F188" w14:textId="77777777" w:rsidR="00F305AA" w:rsidRDefault="00F305AA" w:rsidP="00F305AA">
      <w:pPr>
        <w:spacing w:line="360" w:lineRule="auto"/>
        <w:ind w:firstLine="851"/>
        <w:jc w:val="both"/>
        <w:rPr>
          <w:rFonts w:ascii="Arial" w:hAnsi="Arial" w:cs="Arial"/>
          <w:sz w:val="24"/>
          <w:szCs w:val="24"/>
        </w:rPr>
      </w:pPr>
    </w:p>
    <w:p w14:paraId="2738D97B" w14:textId="77777777" w:rsidR="00F305AA" w:rsidRPr="00AF67C7" w:rsidRDefault="00F305AA" w:rsidP="00F305AA">
      <w:pPr>
        <w:ind w:left="2268"/>
        <w:jc w:val="both"/>
        <w:rPr>
          <w:rFonts w:ascii="Arial" w:hAnsi="Arial" w:cs="Arial"/>
          <w:sz w:val="22"/>
          <w:szCs w:val="24"/>
        </w:rPr>
      </w:pPr>
      <w:r w:rsidRPr="00AF67C7">
        <w:rPr>
          <w:rFonts w:ascii="Arial" w:hAnsi="Arial" w:cs="Arial"/>
          <w:sz w:val="22"/>
          <w:szCs w:val="24"/>
        </w:rPr>
        <w:t xml:space="preserve">EMENTA: DUPLO GRAU DE JURISDIÇÃO E TRIPLA APELAÇÃO CÍVEL. PROGRAMAS PROTEGE, FOMENTAR E PRODUZIR. ICMS. TRANSFERÊNCIA INTERGOVERNAMENTAL. </w:t>
      </w:r>
      <w:r w:rsidRPr="00AF67C7">
        <w:rPr>
          <w:rFonts w:ascii="Arial" w:hAnsi="Arial" w:cs="Arial"/>
          <w:i/>
          <w:sz w:val="22"/>
          <w:szCs w:val="24"/>
        </w:rPr>
        <w:t>DISTINGUISHING</w:t>
      </w:r>
      <w:r w:rsidRPr="00AF67C7">
        <w:rPr>
          <w:rFonts w:ascii="Arial" w:hAnsi="Arial" w:cs="Arial"/>
          <w:sz w:val="22"/>
          <w:szCs w:val="24"/>
        </w:rPr>
        <w:t xml:space="preserve"> ENTRE OS PRECEDENTES DO EXCELSO SUPREMO TRIBUNAL FEDERAL NOS TEMAS 653 E 42. A PARTICIPAÇÃO NO PRODUTO DA ARRECADAÇÃO NÃO INTERFERE NA COMPETÊNCIA TRIBUTÁRIA PARA DISPOR SOBRE BENEFÍCIO FISCAL. INEXISTÊNCIA DE VIOLAÇÃO AO REPASSE OBRIGATÓRIO.</w:t>
      </w:r>
    </w:p>
    <w:p w14:paraId="4AFC0CD0" w14:textId="77777777" w:rsidR="00F305AA" w:rsidRPr="00AF67C7" w:rsidRDefault="00F305AA" w:rsidP="00F305AA">
      <w:pPr>
        <w:ind w:left="2268"/>
        <w:jc w:val="both"/>
        <w:rPr>
          <w:rFonts w:ascii="Arial" w:hAnsi="Arial" w:cs="Arial"/>
          <w:sz w:val="22"/>
          <w:szCs w:val="24"/>
        </w:rPr>
      </w:pPr>
      <w:r w:rsidRPr="00AF67C7">
        <w:rPr>
          <w:rFonts w:ascii="Arial" w:hAnsi="Arial" w:cs="Arial"/>
          <w:sz w:val="22"/>
          <w:szCs w:val="24"/>
        </w:rPr>
        <w:t>1. Por força de preceito constitucional, mais especificadamente, a regra do artigo 82, § 1º, do ADCT, vislumbra-se que os Municípios não fazem jus a repasse de percentual sobre o adicional do ICMS cobrado para subsidiar fundo estadual de combate à pobreza (PROTEGE).</w:t>
      </w:r>
    </w:p>
    <w:p w14:paraId="42846C31" w14:textId="77777777" w:rsidR="00F305AA" w:rsidRPr="00AF67C7" w:rsidRDefault="00F305AA" w:rsidP="00F305AA">
      <w:pPr>
        <w:ind w:left="2268"/>
        <w:jc w:val="both"/>
        <w:rPr>
          <w:rFonts w:ascii="Arial" w:hAnsi="Arial" w:cs="Arial"/>
          <w:sz w:val="22"/>
          <w:szCs w:val="24"/>
        </w:rPr>
      </w:pPr>
      <w:r w:rsidRPr="00AF67C7">
        <w:rPr>
          <w:rFonts w:ascii="Arial" w:hAnsi="Arial" w:cs="Arial"/>
          <w:sz w:val="22"/>
          <w:szCs w:val="24"/>
        </w:rPr>
        <w:t>2. A transferência intergovernamental constitucional configura espécie de receita pública que se originam dos próprios cofres públicos, após o processo de tributação, a fim de estabelecer um maior equilíbrio financeiro entre as unidades da federação e garantir as suas respectivas autonomias política, administrativa e financeira.</w:t>
      </w:r>
    </w:p>
    <w:p w14:paraId="6D376B77" w14:textId="77777777" w:rsidR="00F305AA" w:rsidRPr="00AF67C7" w:rsidRDefault="00F305AA" w:rsidP="00F305AA">
      <w:pPr>
        <w:ind w:left="2268"/>
        <w:jc w:val="both"/>
        <w:rPr>
          <w:rFonts w:ascii="Arial" w:hAnsi="Arial" w:cs="Arial"/>
          <w:sz w:val="22"/>
          <w:szCs w:val="24"/>
        </w:rPr>
      </w:pPr>
      <w:r w:rsidRPr="00AF67C7">
        <w:rPr>
          <w:rFonts w:ascii="Arial" w:hAnsi="Arial" w:cs="Arial"/>
          <w:sz w:val="22"/>
          <w:szCs w:val="24"/>
        </w:rPr>
        <w:t xml:space="preserve">3. Uma vez que a transferência intergovernamental, matéria de direito financeiro, ocorre após o processo de tributação, não há alteração da competência tributária, razão pela qual o fato do ente municipal ter direito de haver parcela do produto arrecado a título de ICMS, não retira do ente </w:t>
      </w:r>
      <w:r w:rsidRPr="00AF67C7">
        <w:rPr>
          <w:rFonts w:ascii="Arial" w:hAnsi="Arial" w:cs="Arial"/>
          <w:sz w:val="22"/>
          <w:szCs w:val="24"/>
        </w:rPr>
        <w:lastRenderedPageBreak/>
        <w:t>estadual a competência legislativa para disciplinar esse tributo, podendo não só estabelecer aspectos da sua norma tributária impositiva, como também benefícios fiscais.</w:t>
      </w:r>
    </w:p>
    <w:p w14:paraId="0222A201" w14:textId="77777777" w:rsidR="00F305AA" w:rsidRPr="00AF67C7" w:rsidRDefault="00F305AA" w:rsidP="00F305AA">
      <w:pPr>
        <w:ind w:left="2268"/>
        <w:jc w:val="both"/>
        <w:rPr>
          <w:rFonts w:ascii="Arial" w:hAnsi="Arial" w:cs="Arial"/>
          <w:sz w:val="22"/>
          <w:szCs w:val="24"/>
        </w:rPr>
      </w:pPr>
      <w:r w:rsidRPr="00AF67C7">
        <w:rPr>
          <w:rFonts w:ascii="Arial" w:hAnsi="Arial" w:cs="Arial"/>
          <w:sz w:val="22"/>
          <w:szCs w:val="24"/>
        </w:rPr>
        <w:t xml:space="preserve">4. Não há direito do Município, beneficiário do repasse, ao cálculo sobre montantes potencialmente arrecadáveis, como se não houvesse a renúncia fiscal em razão do benefício implementado pelo Estado de Goiás no exercício legítimo de sua competência tributária. A transferência intergovernamental incide somente sobre o montante que efetivamente ingressou aos cofres estaduais após o processo de tributação, segundo a legislação editada pelo ente obrigado ao repasse. Destarte, não há receita tributária a ser partilhada entre os municípios no tocante ao ICMS que não foi arrecadado pelo Estado de Goiás por força dos programas FOMENTAR E PRODUZIR, conforme o </w:t>
      </w:r>
      <w:r w:rsidRPr="004A1902">
        <w:rPr>
          <w:rFonts w:ascii="Arial" w:hAnsi="Arial" w:cs="Arial"/>
          <w:b/>
          <w:sz w:val="22"/>
          <w:szCs w:val="24"/>
        </w:rPr>
        <w:t>entendimento do excelso Supremo Tribunal Federal por ocasião do julgamento do RE nº 705.423/SE (Tema 653)</w:t>
      </w:r>
      <w:r w:rsidRPr="00AF67C7">
        <w:rPr>
          <w:rFonts w:ascii="Arial" w:hAnsi="Arial" w:cs="Arial"/>
          <w:sz w:val="22"/>
          <w:szCs w:val="24"/>
        </w:rPr>
        <w:t>.</w:t>
      </w:r>
    </w:p>
    <w:p w14:paraId="05ADB7E4" w14:textId="77777777" w:rsidR="00F305AA" w:rsidRPr="00AF67C7" w:rsidRDefault="00F305AA" w:rsidP="00F305AA">
      <w:pPr>
        <w:ind w:left="2268"/>
        <w:jc w:val="both"/>
        <w:rPr>
          <w:rFonts w:ascii="Arial" w:hAnsi="Arial" w:cs="Arial"/>
          <w:sz w:val="22"/>
          <w:szCs w:val="24"/>
        </w:rPr>
      </w:pPr>
      <w:r w:rsidRPr="00AF67C7">
        <w:rPr>
          <w:rFonts w:ascii="Arial" w:hAnsi="Arial" w:cs="Arial"/>
          <w:sz w:val="22"/>
          <w:szCs w:val="24"/>
        </w:rPr>
        <w:t xml:space="preserve">5. O </w:t>
      </w:r>
      <w:r w:rsidRPr="004A1902">
        <w:rPr>
          <w:rFonts w:ascii="Arial" w:hAnsi="Arial" w:cs="Arial"/>
          <w:b/>
          <w:i/>
          <w:sz w:val="22"/>
          <w:szCs w:val="24"/>
        </w:rPr>
        <w:t>distinguishing</w:t>
      </w:r>
      <w:r w:rsidRPr="00AF67C7">
        <w:rPr>
          <w:rFonts w:ascii="Arial" w:hAnsi="Arial" w:cs="Arial"/>
          <w:sz w:val="22"/>
          <w:szCs w:val="24"/>
        </w:rPr>
        <w:t xml:space="preserve"> expressa a distinção entre os casos para o efeito de se subordinar, ou não, o caso sob julgamento ao precedente. Assim, é necessário delimitar a </w:t>
      </w:r>
      <w:r w:rsidRPr="00AF67C7">
        <w:rPr>
          <w:rFonts w:ascii="Arial" w:hAnsi="Arial" w:cs="Arial"/>
          <w:i/>
          <w:sz w:val="22"/>
          <w:szCs w:val="24"/>
        </w:rPr>
        <w:t>ratio decidendi</w:t>
      </w:r>
      <w:r w:rsidRPr="00AF67C7">
        <w:rPr>
          <w:rFonts w:ascii="Arial" w:hAnsi="Arial" w:cs="Arial"/>
          <w:sz w:val="22"/>
          <w:szCs w:val="24"/>
        </w:rPr>
        <w:t>, considerando-se os fatos que foram tomados em consideração no raciocínio judicial como relevantes ao encontro da decisão.</w:t>
      </w:r>
    </w:p>
    <w:p w14:paraId="747449CB" w14:textId="77777777" w:rsidR="00F305AA" w:rsidRPr="00AF67C7" w:rsidRDefault="00F305AA" w:rsidP="00F305AA">
      <w:pPr>
        <w:ind w:left="2268"/>
        <w:jc w:val="both"/>
        <w:rPr>
          <w:rFonts w:ascii="Arial" w:hAnsi="Arial" w:cs="Arial"/>
          <w:sz w:val="22"/>
          <w:szCs w:val="24"/>
        </w:rPr>
      </w:pPr>
      <w:r w:rsidRPr="00AF67C7">
        <w:rPr>
          <w:rFonts w:ascii="Arial" w:hAnsi="Arial" w:cs="Arial"/>
          <w:sz w:val="22"/>
          <w:szCs w:val="24"/>
        </w:rPr>
        <w:t xml:space="preserve">6. Não há contraposição ao entendimento firmado pelo excelso Supremo Tribunal Federal, por ocasião do julgamento do RE nº 572.762/SC (Tema 42), cujo teor dispõe que “a retenção de parcela do ICMS constitucionalmente devida aos municípios, a pretexto de concessão de incentivos fiscais, configura indevida interferência do Estado no sistema constitucional de repartição de receitas tributárias”, na medida em que </w:t>
      </w:r>
      <w:r w:rsidRPr="004A1902">
        <w:rPr>
          <w:rFonts w:ascii="Arial" w:hAnsi="Arial" w:cs="Arial"/>
          <w:b/>
          <w:sz w:val="22"/>
          <w:szCs w:val="24"/>
        </w:rPr>
        <w:t>pressupõe que o tributo foi recolhido, fato que não ocorre na situação vertente</w:t>
      </w:r>
      <w:r w:rsidRPr="00AF67C7">
        <w:rPr>
          <w:rFonts w:ascii="Arial" w:hAnsi="Arial" w:cs="Arial"/>
          <w:sz w:val="22"/>
          <w:szCs w:val="24"/>
        </w:rPr>
        <w:t>.</w:t>
      </w:r>
    </w:p>
    <w:p w14:paraId="2C3FE8C6" w14:textId="77777777" w:rsidR="00F305AA" w:rsidRPr="00AF67C7" w:rsidRDefault="00F305AA" w:rsidP="00F305AA">
      <w:pPr>
        <w:ind w:left="2268"/>
        <w:jc w:val="both"/>
        <w:rPr>
          <w:rFonts w:ascii="Arial" w:hAnsi="Arial" w:cs="Arial"/>
          <w:b/>
          <w:sz w:val="22"/>
          <w:szCs w:val="24"/>
        </w:rPr>
      </w:pPr>
      <w:r w:rsidRPr="00AF67C7">
        <w:rPr>
          <w:rFonts w:ascii="Arial" w:hAnsi="Arial" w:cs="Arial"/>
          <w:b/>
          <w:sz w:val="22"/>
          <w:szCs w:val="24"/>
        </w:rPr>
        <w:t>7. REEXAME NECESSÁRIO E 2ª APELAÇÃO CÍVEL CONHECIDOS E PROVIDOS. 1ª APELAÇÃO CÍVEL CONHECIDA, MAS PREJUDICADA. RECURSO ADESIVO CONHECIDO, MAS DESPROVIDO.</w:t>
      </w:r>
      <w:r>
        <w:rPr>
          <w:rStyle w:val="Refdenotaderodap"/>
          <w:rFonts w:ascii="Arial" w:hAnsi="Arial" w:cs="Arial"/>
          <w:b/>
          <w:sz w:val="22"/>
          <w:szCs w:val="24"/>
        </w:rPr>
        <w:footnoteReference w:id="37"/>
      </w:r>
    </w:p>
    <w:p w14:paraId="2AD1BE2F" w14:textId="77777777" w:rsidR="00F305AA" w:rsidRPr="00073CB8" w:rsidRDefault="00F305AA" w:rsidP="00F305AA">
      <w:pPr>
        <w:spacing w:line="360" w:lineRule="auto"/>
        <w:ind w:firstLine="851"/>
        <w:jc w:val="both"/>
        <w:rPr>
          <w:rFonts w:ascii="Arial" w:hAnsi="Arial" w:cs="Arial"/>
          <w:sz w:val="24"/>
          <w:szCs w:val="24"/>
        </w:rPr>
      </w:pPr>
    </w:p>
    <w:p w14:paraId="4B79EB23" w14:textId="77777777" w:rsidR="00F305AA" w:rsidRDefault="00F305AA" w:rsidP="00F305AA">
      <w:pPr>
        <w:spacing w:line="360" w:lineRule="auto"/>
        <w:ind w:firstLine="851"/>
        <w:jc w:val="both"/>
        <w:rPr>
          <w:rFonts w:ascii="Arial" w:hAnsi="Arial" w:cs="Arial"/>
          <w:sz w:val="24"/>
          <w:szCs w:val="24"/>
        </w:rPr>
      </w:pPr>
      <w:r w:rsidRPr="00C26B1F">
        <w:rPr>
          <w:rFonts w:ascii="Arial" w:hAnsi="Arial" w:cs="Arial"/>
          <w:sz w:val="24"/>
          <w:szCs w:val="24"/>
        </w:rPr>
        <w:t>Assim sendo, e considerando a distinção entre benefícios financeiros (há efetiva arrecadação do tributo) e benefícios fiscais (há desoneração tributária), as circunstâncias e possíveis consequências apontam no sentido de acolher interpretação semelhante à do TCE-GO pela natureza f</w:t>
      </w:r>
      <w:r>
        <w:rPr>
          <w:rFonts w:ascii="Arial" w:hAnsi="Arial" w:cs="Arial"/>
          <w:sz w:val="24"/>
          <w:szCs w:val="24"/>
        </w:rPr>
        <w:t>iscal do FOMENTAR e do PRODUZIR.</w:t>
      </w:r>
    </w:p>
    <w:p w14:paraId="1F3E844B"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Para incrementar a discussão deste ponto, ainda acrescento as seguintes posição doutrinária:</w:t>
      </w:r>
    </w:p>
    <w:p w14:paraId="3C65FE46" w14:textId="77777777" w:rsidR="00F305AA" w:rsidRDefault="00F305AA" w:rsidP="00F305AA">
      <w:pPr>
        <w:spacing w:line="360" w:lineRule="auto"/>
        <w:ind w:firstLine="851"/>
        <w:jc w:val="both"/>
        <w:rPr>
          <w:rFonts w:ascii="Arial" w:hAnsi="Arial" w:cs="Arial"/>
          <w:sz w:val="24"/>
          <w:szCs w:val="24"/>
        </w:rPr>
      </w:pPr>
    </w:p>
    <w:p w14:paraId="2FD892C8" w14:textId="77777777" w:rsidR="00F305AA" w:rsidRPr="00AE4804" w:rsidRDefault="00F305AA" w:rsidP="00F305AA">
      <w:pPr>
        <w:ind w:left="2268"/>
        <w:jc w:val="both"/>
        <w:rPr>
          <w:rFonts w:ascii="Arial" w:hAnsi="Arial" w:cs="Arial"/>
          <w:sz w:val="22"/>
          <w:szCs w:val="24"/>
        </w:rPr>
      </w:pPr>
      <w:r w:rsidRPr="00AE4804">
        <w:rPr>
          <w:rFonts w:ascii="Arial" w:hAnsi="Arial" w:cs="Arial"/>
          <w:sz w:val="22"/>
          <w:szCs w:val="24"/>
        </w:rPr>
        <w:t xml:space="preserve">Podemos, assim, definir os </w:t>
      </w:r>
      <w:r w:rsidRPr="00AE4804">
        <w:rPr>
          <w:rFonts w:ascii="Arial" w:hAnsi="Arial" w:cs="Arial"/>
          <w:b/>
          <w:sz w:val="22"/>
          <w:szCs w:val="24"/>
        </w:rPr>
        <w:t>benefícios creditícios</w:t>
      </w:r>
      <w:r w:rsidRPr="00AE4804">
        <w:rPr>
          <w:rFonts w:ascii="Arial" w:hAnsi="Arial" w:cs="Arial"/>
          <w:sz w:val="22"/>
          <w:szCs w:val="24"/>
        </w:rPr>
        <w:t xml:space="preserve"> como subsídios que decorrem de programas oficiais de crédito concedidos a taxas de juros inferiores ao custo de captação do governo e que são operacionalizados por meio de fundos ou programas. Em outros termos, como os créditos oferecidos a seus tomadores possuem uma remuneração de juros inferior aos juros que remuneram os títulos emitidos pelo governo, tornando-os </w:t>
      </w:r>
      <w:r w:rsidRPr="00AE4804">
        <w:rPr>
          <w:rFonts w:ascii="Arial" w:hAnsi="Arial" w:cs="Arial"/>
          <w:sz w:val="22"/>
          <w:szCs w:val="24"/>
        </w:rPr>
        <w:lastRenderedPageBreak/>
        <w:t>mais acessíveis e atraentes, essa diferença é assumida pelo governo federal.</w:t>
      </w:r>
    </w:p>
    <w:p w14:paraId="2283C3D9" w14:textId="77777777" w:rsidR="00F305AA" w:rsidRPr="00AE4804" w:rsidRDefault="00F305AA" w:rsidP="00F305AA">
      <w:pPr>
        <w:ind w:left="2268"/>
        <w:jc w:val="both"/>
        <w:rPr>
          <w:rFonts w:ascii="Arial" w:hAnsi="Arial" w:cs="Arial"/>
          <w:sz w:val="22"/>
          <w:szCs w:val="24"/>
        </w:rPr>
      </w:pPr>
      <w:r w:rsidRPr="00AE4804">
        <w:rPr>
          <w:rFonts w:ascii="Arial" w:hAnsi="Arial" w:cs="Arial"/>
          <w:sz w:val="22"/>
          <w:szCs w:val="24"/>
        </w:rPr>
        <w:t>Esses gastos não aparecem, no orçamento, vinculados diretamente aos benefícios que foram concedidos, e sim a outras despesas como serviços da dívida pública. Por isso, são considerados implícitos, até mesmo porque não se concretizam no instante da transferência do recurso ao fundo ou programa, mas decorrem da diferença entre a taxa de juros do programa e aquela com a qual o governo federal se financia (busca recursos para tal desiderato).</w:t>
      </w:r>
    </w:p>
    <w:p w14:paraId="33FD105C" w14:textId="77777777" w:rsidR="00F305AA" w:rsidRPr="00AE4804" w:rsidRDefault="00F305AA" w:rsidP="00F305AA">
      <w:pPr>
        <w:ind w:left="2268"/>
        <w:jc w:val="both"/>
        <w:rPr>
          <w:rFonts w:ascii="Arial" w:hAnsi="Arial" w:cs="Arial"/>
          <w:sz w:val="22"/>
          <w:szCs w:val="24"/>
        </w:rPr>
      </w:pPr>
      <w:r w:rsidRPr="00AE4804">
        <w:rPr>
          <w:rFonts w:ascii="Arial" w:hAnsi="Arial" w:cs="Arial"/>
          <w:sz w:val="22"/>
          <w:szCs w:val="24"/>
        </w:rPr>
        <w:t xml:space="preserve">Já os </w:t>
      </w:r>
      <w:r w:rsidRPr="00AE4804">
        <w:rPr>
          <w:rFonts w:ascii="Arial" w:hAnsi="Arial" w:cs="Arial"/>
          <w:b/>
          <w:sz w:val="22"/>
          <w:szCs w:val="24"/>
        </w:rPr>
        <w:t>benefícios (ou subsídios) financeiros</w:t>
      </w:r>
      <w:r w:rsidRPr="00AE4804">
        <w:rPr>
          <w:rFonts w:ascii="Arial" w:hAnsi="Arial" w:cs="Arial"/>
          <w:sz w:val="22"/>
          <w:szCs w:val="24"/>
        </w:rPr>
        <w:t xml:space="preserve"> são transferências correntes ou desembolsos efetivos feitos pelo governo federal para equalizar juros ou preços ou para a assunção das dívidas decorrentes de saldos de obrigações de responsabilidade do Tesouro Nacional.</w:t>
      </w:r>
    </w:p>
    <w:p w14:paraId="0E695990" w14:textId="77777777" w:rsidR="00F305AA" w:rsidRPr="00AE4804" w:rsidRDefault="00F305AA" w:rsidP="00F305AA">
      <w:pPr>
        <w:ind w:left="2268"/>
        <w:jc w:val="both"/>
        <w:rPr>
          <w:rFonts w:ascii="Arial" w:hAnsi="Arial" w:cs="Arial"/>
          <w:sz w:val="22"/>
          <w:szCs w:val="24"/>
        </w:rPr>
      </w:pPr>
      <w:r w:rsidRPr="00AE4804">
        <w:rPr>
          <w:rFonts w:ascii="Arial" w:hAnsi="Arial" w:cs="Arial"/>
          <w:sz w:val="22"/>
          <w:szCs w:val="24"/>
        </w:rPr>
        <w:t>Mais especificamente, podem ser:</w:t>
      </w:r>
    </w:p>
    <w:p w14:paraId="7A9DAF5E" w14:textId="77777777" w:rsidR="00F305AA" w:rsidRDefault="00F305AA" w:rsidP="00502615">
      <w:pPr>
        <w:pStyle w:val="PargrafodaLista"/>
        <w:numPr>
          <w:ilvl w:val="0"/>
          <w:numId w:val="42"/>
        </w:numPr>
        <w:ind w:left="2694"/>
        <w:jc w:val="both"/>
        <w:rPr>
          <w:rFonts w:ascii="Arial" w:hAnsi="Arial" w:cs="Arial"/>
          <w:sz w:val="22"/>
          <w:szCs w:val="24"/>
        </w:rPr>
      </w:pPr>
      <w:r w:rsidRPr="00AE4804">
        <w:rPr>
          <w:rFonts w:ascii="Arial" w:hAnsi="Arial" w:cs="Arial"/>
          <w:sz w:val="22"/>
          <w:szCs w:val="24"/>
        </w:rPr>
        <w:t>subvenção social, mediante transferências correntes (cooperação financeira) para cobrir despesas correntes de instituições públicas o</w:t>
      </w:r>
      <w:r>
        <w:rPr>
          <w:rFonts w:ascii="Arial" w:hAnsi="Arial" w:cs="Arial"/>
          <w:sz w:val="22"/>
          <w:szCs w:val="24"/>
        </w:rPr>
        <w:t>u privadas sem fins lucrativos;</w:t>
      </w:r>
    </w:p>
    <w:p w14:paraId="0E5DA2FC" w14:textId="77777777" w:rsidR="00F305AA" w:rsidRDefault="00F305AA" w:rsidP="00502615">
      <w:pPr>
        <w:pStyle w:val="PargrafodaLista"/>
        <w:numPr>
          <w:ilvl w:val="0"/>
          <w:numId w:val="42"/>
        </w:numPr>
        <w:ind w:left="2694"/>
        <w:jc w:val="both"/>
        <w:rPr>
          <w:rFonts w:ascii="Arial" w:hAnsi="Arial" w:cs="Arial"/>
          <w:sz w:val="22"/>
          <w:szCs w:val="24"/>
        </w:rPr>
      </w:pPr>
      <w:r w:rsidRPr="00AE4804">
        <w:rPr>
          <w:rFonts w:ascii="Arial" w:hAnsi="Arial" w:cs="Arial"/>
          <w:sz w:val="22"/>
          <w:szCs w:val="24"/>
        </w:rPr>
        <w:t>subvenção econômica, mediante transferências correntes destinadas a empresas públicas e privadas mediante autorização legal (cobertura de déficits, equalização entre preços de compra e revenda, equalização entre a taxa de captação de instituição financeira e aquela cobrada do mutuário final e pagamentos</w:t>
      </w:r>
      <w:r>
        <w:rPr>
          <w:rFonts w:ascii="Arial" w:hAnsi="Arial" w:cs="Arial"/>
          <w:sz w:val="22"/>
          <w:szCs w:val="24"/>
        </w:rPr>
        <w:t xml:space="preserve"> de bonificações a produtores);</w:t>
      </w:r>
    </w:p>
    <w:p w14:paraId="39425E83" w14:textId="77777777" w:rsidR="00F305AA" w:rsidRPr="00AE4804" w:rsidRDefault="00F305AA" w:rsidP="00502615">
      <w:pPr>
        <w:pStyle w:val="PargrafodaLista"/>
        <w:numPr>
          <w:ilvl w:val="0"/>
          <w:numId w:val="42"/>
        </w:numPr>
        <w:ind w:left="2694"/>
        <w:jc w:val="both"/>
        <w:rPr>
          <w:rFonts w:ascii="Arial" w:hAnsi="Arial" w:cs="Arial"/>
          <w:sz w:val="22"/>
          <w:szCs w:val="24"/>
        </w:rPr>
      </w:pPr>
      <w:r w:rsidRPr="00AE4804">
        <w:rPr>
          <w:rFonts w:ascii="Arial" w:hAnsi="Arial" w:cs="Arial"/>
          <w:sz w:val="22"/>
          <w:szCs w:val="24"/>
        </w:rPr>
        <w:t>auxílios, mediante transferências sob a forma de despesa de capital na forma de investimento em pessoas de direito público ou privado sem fins lucrativos, independente de contraprestação e mediante autorização legal.</w:t>
      </w:r>
    </w:p>
    <w:p w14:paraId="42308D93" w14:textId="77777777" w:rsidR="00F305AA" w:rsidRPr="00AE4804" w:rsidRDefault="00F305AA" w:rsidP="00F305AA">
      <w:pPr>
        <w:ind w:left="2268"/>
        <w:jc w:val="both"/>
        <w:rPr>
          <w:rFonts w:ascii="Arial" w:hAnsi="Arial" w:cs="Arial"/>
          <w:sz w:val="22"/>
          <w:szCs w:val="24"/>
        </w:rPr>
      </w:pPr>
      <w:r w:rsidRPr="00AE4804">
        <w:rPr>
          <w:rFonts w:ascii="Arial" w:hAnsi="Arial" w:cs="Arial"/>
          <w:sz w:val="22"/>
          <w:szCs w:val="24"/>
        </w:rPr>
        <w:t xml:space="preserve">Os </w:t>
      </w:r>
      <w:r w:rsidRPr="00AE4804">
        <w:rPr>
          <w:rFonts w:ascii="Arial" w:hAnsi="Arial" w:cs="Arial"/>
          <w:b/>
          <w:sz w:val="22"/>
          <w:szCs w:val="24"/>
        </w:rPr>
        <w:t>benefícios financeiros</w:t>
      </w:r>
      <w:r w:rsidRPr="00AE4804">
        <w:rPr>
          <w:rFonts w:ascii="Arial" w:hAnsi="Arial" w:cs="Arial"/>
          <w:sz w:val="22"/>
          <w:szCs w:val="24"/>
        </w:rPr>
        <w:t xml:space="preserve"> são considerados benefícios explícitos porque constam como gastos no próprio orçamento e representam efetivo desembolso do governo relacionado ao programa ou fundo a que se destina.</w:t>
      </w:r>
    </w:p>
    <w:p w14:paraId="5BB40CE7" w14:textId="77777777" w:rsidR="00F305AA" w:rsidRPr="00AE4804" w:rsidRDefault="00F305AA" w:rsidP="00F305AA">
      <w:pPr>
        <w:ind w:left="2268"/>
        <w:jc w:val="both"/>
        <w:rPr>
          <w:rFonts w:ascii="Arial" w:hAnsi="Arial" w:cs="Arial"/>
          <w:sz w:val="22"/>
          <w:szCs w:val="24"/>
        </w:rPr>
      </w:pPr>
      <w:r w:rsidRPr="00AE4804">
        <w:rPr>
          <w:rFonts w:ascii="Arial" w:hAnsi="Arial" w:cs="Arial"/>
          <w:sz w:val="22"/>
          <w:szCs w:val="24"/>
        </w:rPr>
        <w:t xml:space="preserve">São exemplos de </w:t>
      </w:r>
      <w:r w:rsidRPr="00AE4804">
        <w:rPr>
          <w:rFonts w:ascii="Arial" w:hAnsi="Arial" w:cs="Arial"/>
          <w:b/>
          <w:sz w:val="22"/>
          <w:szCs w:val="24"/>
        </w:rPr>
        <w:t>benefícios creditícios</w:t>
      </w:r>
      <w:r w:rsidRPr="00AE4804">
        <w:rPr>
          <w:rFonts w:ascii="Arial" w:hAnsi="Arial" w:cs="Arial"/>
          <w:sz w:val="22"/>
          <w:szCs w:val="24"/>
        </w:rPr>
        <w:t xml:space="preserve"> os Fundos Constitucionais de Financiamento (FNO, FNE, FCO), bem como o Fundo da Marinha Mercante (FMM).</w:t>
      </w:r>
    </w:p>
    <w:p w14:paraId="255FE538" w14:textId="77777777" w:rsidR="00F305AA" w:rsidRPr="00AE4804" w:rsidRDefault="00F305AA" w:rsidP="00F305AA">
      <w:pPr>
        <w:ind w:left="2268"/>
        <w:jc w:val="both"/>
        <w:rPr>
          <w:rFonts w:ascii="Arial" w:hAnsi="Arial" w:cs="Arial"/>
          <w:sz w:val="22"/>
          <w:szCs w:val="24"/>
        </w:rPr>
      </w:pPr>
      <w:r w:rsidRPr="00AE4804">
        <w:rPr>
          <w:rFonts w:ascii="Arial" w:hAnsi="Arial" w:cs="Arial"/>
          <w:sz w:val="22"/>
          <w:szCs w:val="24"/>
        </w:rPr>
        <w:t xml:space="preserve">São exemplos de </w:t>
      </w:r>
      <w:r w:rsidRPr="00AE4804">
        <w:rPr>
          <w:rFonts w:ascii="Arial" w:hAnsi="Arial" w:cs="Arial"/>
          <w:b/>
          <w:sz w:val="22"/>
          <w:szCs w:val="24"/>
        </w:rPr>
        <w:t>benefícios financeiros</w:t>
      </w:r>
      <w:r w:rsidRPr="00AE4804">
        <w:rPr>
          <w:rFonts w:ascii="Arial" w:hAnsi="Arial" w:cs="Arial"/>
          <w:sz w:val="22"/>
          <w:szCs w:val="24"/>
        </w:rPr>
        <w:t xml:space="preserve"> (i) com equalização de juros o Programa de Sustentação do Investimento (PSI) e o Programa de Apoio ao Setor Sucroalcooleiro (PASS) e (ii) com equalização de preços o Programa Garantia e Sustentação de Preços na Comercialização de Produtos Agropecuários e a Subvenção a Consumidores de Energia Elétrica da Subclasse Baixa Renda e (iii) com assunção de dívida o Fundo de Compensação das Variações Salariais (FCVS).</w:t>
      </w:r>
      <w:r>
        <w:rPr>
          <w:rStyle w:val="Refdenotaderodap"/>
          <w:rFonts w:ascii="Arial" w:hAnsi="Arial" w:cs="Arial"/>
          <w:sz w:val="22"/>
          <w:szCs w:val="24"/>
        </w:rPr>
        <w:footnoteReference w:id="38"/>
      </w:r>
    </w:p>
    <w:p w14:paraId="6AE94D03" w14:textId="77777777" w:rsidR="00F305AA" w:rsidRDefault="00F305AA" w:rsidP="00F305AA">
      <w:pPr>
        <w:spacing w:line="360" w:lineRule="auto"/>
        <w:ind w:firstLine="851"/>
        <w:jc w:val="both"/>
        <w:rPr>
          <w:rFonts w:ascii="Arial" w:hAnsi="Arial" w:cs="Arial"/>
          <w:sz w:val="24"/>
          <w:szCs w:val="24"/>
        </w:rPr>
      </w:pPr>
    </w:p>
    <w:p w14:paraId="133C6AB9"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O professor amplia um pouco mais a discussão ao diferenciar benefícios creditícios dos financeiros, no que não nos demoraremos por não ser nosso objetivo. </w:t>
      </w:r>
      <w:r>
        <w:rPr>
          <w:rFonts w:ascii="Arial" w:hAnsi="Arial" w:cs="Arial"/>
          <w:sz w:val="24"/>
          <w:szCs w:val="24"/>
        </w:rPr>
        <w:lastRenderedPageBreak/>
        <w:t xml:space="preserve">Todavia, a lição é suficiente para evidenciar que a real sistemática dos programas FOMENTAR e PRODUZIR condiz com a </w:t>
      </w:r>
      <w:r w:rsidRPr="00C278EE">
        <w:rPr>
          <w:rFonts w:ascii="Arial" w:hAnsi="Arial" w:cs="Arial"/>
          <w:b/>
          <w:sz w:val="24"/>
          <w:szCs w:val="24"/>
        </w:rPr>
        <w:t>natureza de benefício fiscal</w:t>
      </w:r>
      <w:r>
        <w:rPr>
          <w:rFonts w:ascii="Arial" w:hAnsi="Arial" w:cs="Arial"/>
          <w:sz w:val="24"/>
          <w:szCs w:val="24"/>
        </w:rPr>
        <w:t>, não financeiro.</w:t>
      </w:r>
    </w:p>
    <w:p w14:paraId="0FD6EDC9"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Tanto é assim que nos orçamentos do Estado de Goiás classificam os mencionados programas como renúncia de receita, não como despesa (o que deveria ser feito caso realmente tivessem natureza creditícia ou financeira), pois assim determina o Manual de Contabilidade Aplicada ao Setor Público – MCASP:</w:t>
      </w:r>
    </w:p>
    <w:p w14:paraId="436D02CC" w14:textId="77777777" w:rsidR="00F305AA" w:rsidRDefault="00F305AA" w:rsidP="00F305AA">
      <w:pPr>
        <w:spacing w:line="360" w:lineRule="auto"/>
        <w:ind w:firstLine="851"/>
        <w:jc w:val="both"/>
        <w:rPr>
          <w:rFonts w:ascii="Arial" w:hAnsi="Arial" w:cs="Arial"/>
          <w:sz w:val="24"/>
          <w:szCs w:val="24"/>
        </w:rPr>
      </w:pPr>
    </w:p>
    <w:p w14:paraId="48113097" w14:textId="77777777" w:rsidR="00F305AA" w:rsidRPr="00987EE1" w:rsidRDefault="00F305AA" w:rsidP="00F305AA">
      <w:pPr>
        <w:ind w:left="2268"/>
        <w:jc w:val="both"/>
        <w:rPr>
          <w:rFonts w:ascii="Arial" w:hAnsi="Arial" w:cs="Arial"/>
          <w:sz w:val="22"/>
          <w:szCs w:val="24"/>
        </w:rPr>
      </w:pPr>
      <w:r w:rsidRPr="00987EE1">
        <w:rPr>
          <w:rFonts w:ascii="Arial" w:hAnsi="Arial" w:cs="Arial"/>
          <w:sz w:val="22"/>
          <w:szCs w:val="24"/>
        </w:rPr>
        <w:t xml:space="preserve">[...] Assim, </w:t>
      </w:r>
      <w:r w:rsidRPr="00987EE1">
        <w:rPr>
          <w:rFonts w:ascii="Arial" w:hAnsi="Arial" w:cs="Arial"/>
          <w:b/>
          <w:sz w:val="22"/>
          <w:szCs w:val="24"/>
        </w:rPr>
        <w:t>deve-se utilizar a metodologia da dedução de receita orçamentária para evidenciar as renúncias</w:t>
      </w:r>
      <w:r w:rsidRPr="00987EE1">
        <w:rPr>
          <w:rFonts w:ascii="Arial" w:hAnsi="Arial" w:cs="Arial"/>
          <w:sz w:val="22"/>
          <w:szCs w:val="24"/>
        </w:rPr>
        <w:t>, com o registro na natureza de receita orçamentária objeto da renúncia pelo seu total em contrapartida a uma dedução de receita (conta redutora de receita).</w:t>
      </w:r>
      <w:r>
        <w:rPr>
          <w:rStyle w:val="Refdenotaderodap"/>
          <w:rFonts w:ascii="Arial" w:hAnsi="Arial" w:cs="Arial"/>
          <w:sz w:val="22"/>
          <w:szCs w:val="24"/>
        </w:rPr>
        <w:footnoteReference w:id="39"/>
      </w:r>
    </w:p>
    <w:p w14:paraId="5681DA95" w14:textId="77777777" w:rsidR="00F305AA" w:rsidRDefault="00F305AA" w:rsidP="00F305AA">
      <w:pPr>
        <w:spacing w:line="360" w:lineRule="auto"/>
        <w:ind w:firstLine="851"/>
        <w:jc w:val="both"/>
        <w:rPr>
          <w:rFonts w:ascii="Arial" w:hAnsi="Arial" w:cs="Arial"/>
          <w:sz w:val="24"/>
          <w:szCs w:val="24"/>
        </w:rPr>
      </w:pPr>
    </w:p>
    <w:p w14:paraId="4EAB7C24" w14:textId="77777777" w:rsidR="00F305AA" w:rsidRPr="00987EE1"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Como se observa dos Anexo de Metas Fiscais da Lei de Diretrizes Orçamentárias vigente (Lei n. 20.539, </w:t>
      </w:r>
      <w:r w:rsidRPr="00987EE1">
        <w:rPr>
          <w:rFonts w:ascii="Arial" w:hAnsi="Arial" w:cs="Arial"/>
          <w:sz w:val="24"/>
          <w:szCs w:val="24"/>
        </w:rPr>
        <w:t>de 7 de agosto de 2019</w:t>
      </w:r>
      <w:r>
        <w:rPr>
          <w:rFonts w:ascii="Arial" w:hAnsi="Arial" w:cs="Arial"/>
          <w:sz w:val="24"/>
          <w:szCs w:val="24"/>
        </w:rPr>
        <w:t xml:space="preserve">) e do Demonstrativo de Renúncia de Receita do Projeto de Lei Orçamentária Vigente, os programas FOMENTAR e PRODUZIR são tidos como renúncia de receita, ou seja, </w:t>
      </w:r>
      <w:r>
        <w:rPr>
          <w:rFonts w:ascii="Arial" w:hAnsi="Arial" w:cs="Arial"/>
          <w:b/>
          <w:sz w:val="24"/>
          <w:szCs w:val="24"/>
        </w:rPr>
        <w:t>benefícios fiscais</w:t>
      </w:r>
      <w:r>
        <w:rPr>
          <w:rFonts w:ascii="Arial" w:hAnsi="Arial" w:cs="Arial"/>
          <w:sz w:val="24"/>
          <w:szCs w:val="24"/>
        </w:rPr>
        <w:t>:</w:t>
      </w:r>
    </w:p>
    <w:p w14:paraId="23C64E24" w14:textId="77777777" w:rsidR="00F305AA" w:rsidRDefault="00F305AA" w:rsidP="00F305AA">
      <w:pPr>
        <w:rPr>
          <w:rFonts w:ascii="Arial" w:hAnsi="Arial" w:cs="Arial"/>
          <w:sz w:val="24"/>
          <w:szCs w:val="24"/>
        </w:rPr>
      </w:pPr>
      <w:r>
        <w:rPr>
          <w:rFonts w:ascii="Arial" w:hAnsi="Arial" w:cs="Arial"/>
          <w:noProof/>
          <w:sz w:val="24"/>
          <w:szCs w:val="24"/>
        </w:rPr>
        <w:lastRenderedPageBreak/>
        <w:drawing>
          <wp:inline distT="0" distB="0" distL="0" distR="0" wp14:anchorId="3916CA47" wp14:editId="3A5ADE22">
            <wp:extent cx="5935980" cy="6670675"/>
            <wp:effectExtent l="0" t="0" r="762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núncia de receita LDO.PNG"/>
                    <pic:cNvPicPr/>
                  </pic:nvPicPr>
                  <pic:blipFill>
                    <a:blip r:embed="rId31">
                      <a:extLst>
                        <a:ext uri="{28A0092B-C50C-407E-A947-70E740481C1C}">
                          <a14:useLocalDpi xmlns:a14="http://schemas.microsoft.com/office/drawing/2010/main" val="0"/>
                        </a:ext>
                      </a:extLst>
                    </a:blip>
                    <a:stretch>
                      <a:fillRect/>
                    </a:stretch>
                  </pic:blipFill>
                  <pic:spPr>
                    <a:xfrm>
                      <a:off x="0" y="0"/>
                      <a:ext cx="5935980" cy="6670675"/>
                    </a:xfrm>
                    <a:prstGeom prst="rect">
                      <a:avLst/>
                    </a:prstGeom>
                  </pic:spPr>
                </pic:pic>
              </a:graphicData>
            </a:graphic>
          </wp:inline>
        </w:drawing>
      </w:r>
      <w:r w:rsidRPr="005A655A">
        <w:rPr>
          <w:rFonts w:ascii="Arial" w:hAnsi="Arial" w:cs="Arial"/>
          <w:sz w:val="20"/>
          <w:szCs w:val="24"/>
        </w:rPr>
        <w:t>Lei n. 20.539, de 7 de agosto de 2019 – LDO para 2020.</w:t>
      </w:r>
    </w:p>
    <w:p w14:paraId="09B0857C" w14:textId="77777777" w:rsidR="00F305AA" w:rsidRDefault="00F305AA" w:rsidP="00F305AA">
      <w:pPr>
        <w:spacing w:line="360" w:lineRule="auto"/>
        <w:ind w:firstLine="851"/>
        <w:jc w:val="both"/>
        <w:rPr>
          <w:rFonts w:ascii="Arial" w:hAnsi="Arial" w:cs="Arial"/>
          <w:sz w:val="24"/>
          <w:szCs w:val="24"/>
        </w:rPr>
      </w:pPr>
    </w:p>
    <w:p w14:paraId="53FDA7AF" w14:textId="77777777" w:rsidR="00F305AA" w:rsidRDefault="00F305AA" w:rsidP="00F305AA">
      <w:pPr>
        <w:jc w:val="both"/>
        <w:rPr>
          <w:rFonts w:ascii="Arial" w:hAnsi="Arial" w:cs="Arial"/>
          <w:sz w:val="24"/>
          <w:szCs w:val="24"/>
        </w:rPr>
      </w:pPr>
      <w:r>
        <w:rPr>
          <w:rFonts w:ascii="Arial" w:hAnsi="Arial" w:cs="Arial"/>
          <w:noProof/>
          <w:sz w:val="24"/>
          <w:szCs w:val="24"/>
        </w:rPr>
        <w:lastRenderedPageBreak/>
        <w:drawing>
          <wp:inline distT="0" distB="0" distL="0" distR="0" wp14:anchorId="4B089E1C" wp14:editId="24A67742">
            <wp:extent cx="5935980" cy="4954270"/>
            <wp:effectExtent l="0" t="0" r="762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núncia de receita LOA.PNG"/>
                    <pic:cNvPicPr/>
                  </pic:nvPicPr>
                  <pic:blipFill>
                    <a:blip r:embed="rId32">
                      <a:extLst>
                        <a:ext uri="{28A0092B-C50C-407E-A947-70E740481C1C}">
                          <a14:useLocalDpi xmlns:a14="http://schemas.microsoft.com/office/drawing/2010/main" val="0"/>
                        </a:ext>
                      </a:extLst>
                    </a:blip>
                    <a:stretch>
                      <a:fillRect/>
                    </a:stretch>
                  </pic:blipFill>
                  <pic:spPr>
                    <a:xfrm>
                      <a:off x="0" y="0"/>
                      <a:ext cx="5935980" cy="4954270"/>
                    </a:xfrm>
                    <a:prstGeom prst="rect">
                      <a:avLst/>
                    </a:prstGeom>
                  </pic:spPr>
                </pic:pic>
              </a:graphicData>
            </a:graphic>
          </wp:inline>
        </w:drawing>
      </w:r>
      <w:r w:rsidRPr="005A655A">
        <w:rPr>
          <w:rFonts w:ascii="Arial" w:hAnsi="Arial" w:cs="Arial"/>
          <w:sz w:val="20"/>
          <w:szCs w:val="24"/>
        </w:rPr>
        <w:t>Projeto de Lei Orçamentária para 2020</w:t>
      </w:r>
    </w:p>
    <w:p w14:paraId="4516C2E9" w14:textId="77777777" w:rsidR="00F305AA" w:rsidRDefault="00F305AA" w:rsidP="00F305AA">
      <w:pPr>
        <w:spacing w:line="360" w:lineRule="auto"/>
        <w:ind w:firstLine="851"/>
        <w:jc w:val="both"/>
        <w:rPr>
          <w:rFonts w:ascii="Arial" w:hAnsi="Arial" w:cs="Arial"/>
          <w:sz w:val="24"/>
          <w:szCs w:val="24"/>
        </w:rPr>
      </w:pPr>
    </w:p>
    <w:p w14:paraId="1540326C"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Caso se tratasse de subvenção econômica, o que realmente ocorreria na concessão de “financiamento” com posterior cancelamento do débito sem o correspondente pagamento, esta deveria ser classificada como despesa. Também segundo o MCASP:</w:t>
      </w:r>
    </w:p>
    <w:p w14:paraId="5ADB218A" w14:textId="77777777" w:rsidR="00F305AA" w:rsidRDefault="00F305AA" w:rsidP="00F305AA">
      <w:pPr>
        <w:spacing w:line="360" w:lineRule="auto"/>
        <w:ind w:firstLine="851"/>
        <w:jc w:val="both"/>
        <w:rPr>
          <w:rFonts w:ascii="Arial" w:hAnsi="Arial" w:cs="Arial"/>
          <w:sz w:val="24"/>
          <w:szCs w:val="24"/>
        </w:rPr>
      </w:pPr>
    </w:p>
    <w:p w14:paraId="23A28FD7" w14:textId="77777777" w:rsidR="00F305AA" w:rsidRPr="00203A89" w:rsidRDefault="00F305AA" w:rsidP="00F305AA">
      <w:pPr>
        <w:ind w:left="2268"/>
        <w:jc w:val="both"/>
        <w:rPr>
          <w:rFonts w:ascii="Arial" w:hAnsi="Arial" w:cs="Arial"/>
          <w:sz w:val="22"/>
          <w:szCs w:val="24"/>
        </w:rPr>
      </w:pPr>
      <w:r w:rsidRPr="00203A89">
        <w:rPr>
          <w:rFonts w:ascii="Arial" w:hAnsi="Arial" w:cs="Arial"/>
          <w:sz w:val="22"/>
          <w:szCs w:val="24"/>
        </w:rPr>
        <w:t>45 – Subvenções Econômicas</w:t>
      </w:r>
    </w:p>
    <w:p w14:paraId="2E74E361" w14:textId="77777777" w:rsidR="00F305AA" w:rsidRPr="00203A89" w:rsidRDefault="00F305AA" w:rsidP="00F305AA">
      <w:pPr>
        <w:ind w:left="2268"/>
        <w:jc w:val="both"/>
        <w:rPr>
          <w:rFonts w:ascii="Arial" w:hAnsi="Arial" w:cs="Arial"/>
          <w:sz w:val="22"/>
          <w:szCs w:val="24"/>
        </w:rPr>
      </w:pPr>
    </w:p>
    <w:p w14:paraId="5543C386" w14:textId="77777777" w:rsidR="00F305AA" w:rsidRPr="00203A89" w:rsidRDefault="00F305AA" w:rsidP="00F305AA">
      <w:pPr>
        <w:ind w:left="2268"/>
        <w:jc w:val="both"/>
        <w:rPr>
          <w:rFonts w:ascii="Arial" w:hAnsi="Arial" w:cs="Arial"/>
          <w:sz w:val="22"/>
          <w:szCs w:val="24"/>
        </w:rPr>
      </w:pPr>
      <w:r w:rsidRPr="00203A89">
        <w:rPr>
          <w:rFonts w:ascii="Arial" w:hAnsi="Arial" w:cs="Arial"/>
          <w:sz w:val="22"/>
          <w:szCs w:val="24"/>
        </w:rPr>
        <w:t xml:space="preserve">Despesas orçamentárias com o pagamento de subvenções econômicas, a qualquer título, autorizadas em leis específicas, tais como: ajuda financeira a entidades privadas com fins lucrativos; concessão de bonificações a produtores, distribuidores e vendedores; cobertura, direta ou indireta, de parcela de encargos de empréstimos e financiamentos e dos custos de aquisição, de produção, de escoamento, de distribuição, </w:t>
      </w:r>
      <w:r w:rsidRPr="00203A89">
        <w:rPr>
          <w:rFonts w:ascii="Arial" w:hAnsi="Arial" w:cs="Arial"/>
          <w:sz w:val="22"/>
          <w:szCs w:val="24"/>
        </w:rPr>
        <w:lastRenderedPageBreak/>
        <w:t>de venda e de manutenção de bens, produtos e serviços em geral; e, ainda, outras operações com características semelhantes.</w:t>
      </w:r>
      <w:r>
        <w:rPr>
          <w:rStyle w:val="Refdenotaderodap"/>
          <w:rFonts w:ascii="Arial" w:hAnsi="Arial" w:cs="Arial"/>
          <w:sz w:val="22"/>
          <w:szCs w:val="24"/>
        </w:rPr>
        <w:footnoteReference w:id="40"/>
      </w:r>
    </w:p>
    <w:p w14:paraId="23B0C9DE" w14:textId="77777777" w:rsidR="00F305AA" w:rsidRDefault="00F305AA" w:rsidP="00F305AA">
      <w:pPr>
        <w:spacing w:line="360" w:lineRule="auto"/>
        <w:ind w:firstLine="851"/>
        <w:jc w:val="both"/>
        <w:rPr>
          <w:rFonts w:ascii="Arial" w:hAnsi="Arial" w:cs="Arial"/>
          <w:sz w:val="24"/>
          <w:szCs w:val="24"/>
        </w:rPr>
      </w:pPr>
    </w:p>
    <w:p w14:paraId="503D097D"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Ainda, mencionamos que a própria Secretaria da Fazenda do Estado de Goiás, na Nota Técnica n. 1/2017, que trata do cálculo da renúncia de receita, aborda os programas FOMENTAR e PRODUZIR, em razão de suas sistemáticas implicarem no não pagamento de tributo:</w:t>
      </w:r>
    </w:p>
    <w:p w14:paraId="50A1D0F5" w14:textId="77777777" w:rsidR="00F305AA" w:rsidRDefault="00F305AA" w:rsidP="00F305AA">
      <w:pPr>
        <w:spacing w:line="360" w:lineRule="auto"/>
        <w:ind w:firstLine="851"/>
        <w:jc w:val="both"/>
        <w:rPr>
          <w:rFonts w:ascii="Arial" w:hAnsi="Arial" w:cs="Arial"/>
          <w:sz w:val="24"/>
          <w:szCs w:val="24"/>
        </w:rPr>
      </w:pPr>
    </w:p>
    <w:p w14:paraId="6ADA2AF5" w14:textId="77777777" w:rsidR="00F305AA" w:rsidRPr="005A655A" w:rsidRDefault="00F305AA" w:rsidP="00F305AA">
      <w:pPr>
        <w:ind w:left="2268"/>
        <w:jc w:val="both"/>
        <w:rPr>
          <w:rFonts w:ascii="Arial" w:hAnsi="Arial" w:cs="Arial"/>
          <w:sz w:val="22"/>
          <w:szCs w:val="24"/>
        </w:rPr>
      </w:pPr>
      <w:r w:rsidRPr="005A655A">
        <w:rPr>
          <w:rFonts w:ascii="Arial" w:hAnsi="Arial" w:cs="Arial"/>
          <w:sz w:val="22"/>
          <w:szCs w:val="24"/>
        </w:rPr>
        <w:t xml:space="preserve">Em que pese residir divergências conceituais quanto à natureza desses programas de desenvolvimento, se financeiros ou tributários, haja vista a contratação do financiamento de parcela do ICMS com um agente financeiro interveniente, para, ao final do prazo contratual, haver o resgate de parte do montante financiado, mediante aplicação de um deságio financeiro ofertado em leilão, </w:t>
      </w:r>
      <w:r w:rsidRPr="005A655A">
        <w:rPr>
          <w:rFonts w:ascii="Arial" w:hAnsi="Arial" w:cs="Arial"/>
          <w:b/>
          <w:sz w:val="22"/>
          <w:szCs w:val="24"/>
        </w:rPr>
        <w:t>optamos por considerar as “parcelas financiadas” como renúncia de receita</w:t>
      </w:r>
      <w:r w:rsidRPr="005A655A">
        <w:rPr>
          <w:rFonts w:ascii="Arial" w:hAnsi="Arial" w:cs="Arial"/>
          <w:sz w:val="22"/>
          <w:szCs w:val="24"/>
        </w:rPr>
        <w:t xml:space="preserve">, deduzidos destas os ingressos de recursos financeiros compensatórios recebidos a título de leilões da parte incentivada, amortizações, antecipações, emolumentos e bolsa garantia, </w:t>
      </w:r>
      <w:r w:rsidRPr="005A655A">
        <w:rPr>
          <w:rFonts w:ascii="Arial" w:hAnsi="Arial" w:cs="Arial"/>
          <w:b/>
          <w:sz w:val="22"/>
          <w:szCs w:val="24"/>
        </w:rPr>
        <w:t>máxime sabendo existir considerável divergência de valores entre o montante do “financiamento” contratado e os valores compensatórios recebidos no âmbito dos referidos programas</w:t>
      </w:r>
      <w:r w:rsidRPr="005A655A">
        <w:rPr>
          <w:rFonts w:ascii="Arial" w:hAnsi="Arial" w:cs="Arial"/>
          <w:sz w:val="22"/>
          <w:szCs w:val="24"/>
        </w:rPr>
        <w:t>.</w:t>
      </w:r>
      <w:r>
        <w:rPr>
          <w:rStyle w:val="Refdenotaderodap"/>
          <w:rFonts w:ascii="Arial" w:hAnsi="Arial" w:cs="Arial"/>
          <w:sz w:val="22"/>
          <w:szCs w:val="24"/>
        </w:rPr>
        <w:footnoteReference w:id="41"/>
      </w:r>
    </w:p>
    <w:p w14:paraId="4EAEDEAE" w14:textId="77777777" w:rsidR="00F305AA" w:rsidRDefault="00F305AA" w:rsidP="00F305AA">
      <w:pPr>
        <w:spacing w:line="360" w:lineRule="auto"/>
        <w:ind w:firstLine="851"/>
        <w:jc w:val="both"/>
        <w:rPr>
          <w:rFonts w:ascii="Arial" w:hAnsi="Arial" w:cs="Arial"/>
          <w:sz w:val="24"/>
          <w:szCs w:val="24"/>
        </w:rPr>
      </w:pPr>
    </w:p>
    <w:p w14:paraId="25A1A5C9"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 por fim, e como argumento cabal sobre essa questão, a Lei n. 20.367, de 11 de dezembro de 2018, é expressa ao considerar os programas FOMENTAR e PRODUZIR como benefícios fiscais ou, pelo menos, financeiros-fiscais (de forma que não se afasta, em nenhuma hipótese, sua natureza fiscal):</w:t>
      </w:r>
    </w:p>
    <w:p w14:paraId="4561CB10" w14:textId="77777777" w:rsidR="00F305AA" w:rsidRDefault="00F305AA" w:rsidP="00F305AA">
      <w:pPr>
        <w:spacing w:line="360" w:lineRule="auto"/>
        <w:ind w:firstLine="851"/>
        <w:jc w:val="both"/>
        <w:rPr>
          <w:rFonts w:ascii="Arial" w:hAnsi="Arial" w:cs="Arial"/>
          <w:sz w:val="24"/>
          <w:szCs w:val="24"/>
        </w:rPr>
      </w:pPr>
    </w:p>
    <w:p w14:paraId="53B803BF" w14:textId="77777777" w:rsidR="00F305AA" w:rsidRPr="00B6796E" w:rsidRDefault="00F305AA" w:rsidP="00F305AA">
      <w:pPr>
        <w:shd w:val="clear" w:color="auto" w:fill="FFFFFF"/>
        <w:ind w:left="2268"/>
        <w:jc w:val="both"/>
        <w:rPr>
          <w:rFonts w:ascii="Arial" w:hAnsi="Arial" w:cs="Arial"/>
          <w:sz w:val="22"/>
          <w:szCs w:val="22"/>
        </w:rPr>
      </w:pPr>
      <w:r w:rsidRPr="00B6796E">
        <w:rPr>
          <w:rFonts w:ascii="Arial" w:hAnsi="Arial" w:cs="Arial"/>
          <w:sz w:val="22"/>
          <w:szCs w:val="22"/>
        </w:rPr>
        <w:t xml:space="preserve">Art. 3º Os </w:t>
      </w:r>
      <w:r w:rsidRPr="00A62349">
        <w:rPr>
          <w:rFonts w:ascii="Arial" w:hAnsi="Arial" w:cs="Arial"/>
          <w:b/>
          <w:sz w:val="22"/>
          <w:szCs w:val="22"/>
        </w:rPr>
        <w:t>benefícios fiscais ou financeiro-fiscais</w:t>
      </w:r>
      <w:r w:rsidRPr="00B6796E">
        <w:rPr>
          <w:rFonts w:ascii="Arial" w:hAnsi="Arial" w:cs="Arial"/>
          <w:sz w:val="22"/>
          <w:szCs w:val="22"/>
        </w:rPr>
        <w:t>, com fundamento no disposto no § 4º do art. 3º da Lei Complementar nº 160, de 7 de agosto de 2017, e no Convênio ICMS 190/17, de 15 de dezembro de 2017, especificados:</w:t>
      </w:r>
    </w:p>
    <w:p w14:paraId="5574958B" w14:textId="77777777" w:rsidR="00F305AA" w:rsidRPr="00B6796E" w:rsidRDefault="00F305AA" w:rsidP="00F305AA">
      <w:pPr>
        <w:shd w:val="clear" w:color="auto" w:fill="FFFFFF"/>
        <w:ind w:left="2268"/>
        <w:jc w:val="both"/>
        <w:rPr>
          <w:rFonts w:ascii="Arial" w:hAnsi="Arial" w:cs="Arial"/>
          <w:sz w:val="22"/>
          <w:szCs w:val="22"/>
        </w:rPr>
      </w:pPr>
      <w:r w:rsidRPr="00B6796E">
        <w:rPr>
          <w:rFonts w:ascii="Arial" w:hAnsi="Arial" w:cs="Arial"/>
          <w:sz w:val="22"/>
          <w:szCs w:val="22"/>
        </w:rPr>
        <w:t>[...]</w:t>
      </w:r>
    </w:p>
    <w:p w14:paraId="7499E98F" w14:textId="77777777" w:rsidR="00F305AA" w:rsidRPr="00B6796E" w:rsidRDefault="00F305AA" w:rsidP="00F305AA">
      <w:pPr>
        <w:shd w:val="clear" w:color="auto" w:fill="FFFFFF"/>
        <w:ind w:left="2268"/>
        <w:jc w:val="both"/>
        <w:rPr>
          <w:rFonts w:ascii="Arial" w:hAnsi="Arial" w:cs="Arial"/>
          <w:sz w:val="22"/>
          <w:szCs w:val="22"/>
        </w:rPr>
      </w:pPr>
      <w:r w:rsidRPr="00B6796E">
        <w:rPr>
          <w:rFonts w:ascii="Arial" w:hAnsi="Arial" w:cs="Arial"/>
          <w:sz w:val="22"/>
          <w:szCs w:val="22"/>
        </w:rPr>
        <w:t xml:space="preserve">II – nos </w:t>
      </w:r>
      <w:r w:rsidRPr="00A62349">
        <w:rPr>
          <w:rFonts w:ascii="Arial" w:hAnsi="Arial" w:cs="Arial"/>
          <w:b/>
          <w:sz w:val="22"/>
          <w:szCs w:val="22"/>
        </w:rPr>
        <w:t>Programas FOMENTAR, PRODUZIR e seus subprogramas</w:t>
      </w:r>
      <w:r w:rsidRPr="00B6796E">
        <w:rPr>
          <w:rFonts w:ascii="Arial" w:hAnsi="Arial" w:cs="Arial"/>
          <w:sz w:val="22"/>
          <w:szCs w:val="22"/>
        </w:rPr>
        <w:t>, previstos nas </w:t>
      </w:r>
      <w:hyperlink r:id="rId33" w:history="1">
        <w:r w:rsidRPr="00B6796E">
          <w:rPr>
            <w:rStyle w:val="Hyperlink"/>
            <w:rFonts w:ascii="Arial" w:hAnsi="Arial" w:cs="Arial"/>
            <w:color w:val="auto"/>
            <w:sz w:val="22"/>
            <w:szCs w:val="22"/>
            <w:u w:val="none"/>
          </w:rPr>
          <w:t>Leis n</w:t>
        </w:r>
        <w:r w:rsidRPr="00B6796E">
          <w:rPr>
            <w:rStyle w:val="Hyperlink"/>
            <w:rFonts w:ascii="Arial" w:hAnsi="Arial" w:cs="Arial"/>
            <w:color w:val="auto"/>
            <w:sz w:val="22"/>
            <w:szCs w:val="22"/>
            <w:u w:val="none"/>
            <w:vertAlign w:val="superscript"/>
          </w:rPr>
          <w:t>os</w:t>
        </w:r>
        <w:r w:rsidRPr="00B6796E">
          <w:rPr>
            <w:rStyle w:val="Hyperlink"/>
            <w:rFonts w:ascii="Arial" w:hAnsi="Arial" w:cs="Arial"/>
            <w:color w:val="auto"/>
            <w:sz w:val="22"/>
            <w:szCs w:val="22"/>
            <w:u w:val="none"/>
          </w:rPr>
          <w:t> 11.180, de 19 de abril de 1990</w:t>
        </w:r>
      </w:hyperlink>
      <w:r w:rsidRPr="00B6796E">
        <w:rPr>
          <w:rFonts w:ascii="Arial" w:hAnsi="Arial" w:cs="Arial"/>
          <w:sz w:val="22"/>
          <w:szCs w:val="22"/>
        </w:rPr>
        <w:t>; </w:t>
      </w:r>
      <w:hyperlink r:id="rId34" w:history="1">
        <w:r w:rsidRPr="00B6796E">
          <w:rPr>
            <w:rStyle w:val="Hyperlink"/>
            <w:rFonts w:ascii="Arial" w:hAnsi="Arial" w:cs="Arial"/>
            <w:color w:val="auto"/>
            <w:sz w:val="22"/>
            <w:szCs w:val="22"/>
            <w:u w:val="none"/>
          </w:rPr>
          <w:t>13.591, de 18 de janeiro de 2000</w:t>
        </w:r>
      </w:hyperlink>
      <w:r w:rsidRPr="00B6796E">
        <w:rPr>
          <w:rFonts w:ascii="Arial" w:hAnsi="Arial" w:cs="Arial"/>
          <w:sz w:val="22"/>
          <w:szCs w:val="22"/>
        </w:rPr>
        <w:t>; </w:t>
      </w:r>
      <w:hyperlink r:id="rId35" w:history="1">
        <w:r w:rsidRPr="00B6796E">
          <w:rPr>
            <w:rStyle w:val="Hyperlink"/>
            <w:rFonts w:ascii="Arial" w:hAnsi="Arial" w:cs="Arial"/>
            <w:color w:val="auto"/>
            <w:sz w:val="22"/>
            <w:szCs w:val="22"/>
            <w:u w:val="none"/>
          </w:rPr>
          <w:t>13.844, de 1º de junho de 2001</w:t>
        </w:r>
      </w:hyperlink>
      <w:r w:rsidRPr="00B6796E">
        <w:rPr>
          <w:rFonts w:ascii="Arial" w:hAnsi="Arial" w:cs="Arial"/>
          <w:sz w:val="22"/>
          <w:szCs w:val="22"/>
        </w:rPr>
        <w:t>; </w:t>
      </w:r>
      <w:hyperlink r:id="rId36" w:history="1">
        <w:r w:rsidRPr="00B6796E">
          <w:rPr>
            <w:rStyle w:val="Hyperlink"/>
            <w:rFonts w:ascii="Arial" w:hAnsi="Arial" w:cs="Arial"/>
            <w:color w:val="auto"/>
            <w:sz w:val="22"/>
            <w:szCs w:val="22"/>
            <w:u w:val="none"/>
          </w:rPr>
          <w:t>14.244, de 29 de julho de 2002</w:t>
        </w:r>
      </w:hyperlink>
      <w:r w:rsidRPr="00B6796E">
        <w:rPr>
          <w:rFonts w:ascii="Arial" w:hAnsi="Arial" w:cs="Arial"/>
          <w:sz w:val="22"/>
          <w:szCs w:val="22"/>
        </w:rPr>
        <w:t>; </w:t>
      </w:r>
      <w:hyperlink r:id="rId37" w:history="1">
        <w:r w:rsidRPr="00B6796E">
          <w:rPr>
            <w:rStyle w:val="Hyperlink"/>
            <w:rFonts w:ascii="Arial" w:hAnsi="Arial" w:cs="Arial"/>
            <w:color w:val="auto"/>
            <w:sz w:val="22"/>
            <w:szCs w:val="22"/>
            <w:u w:val="none"/>
          </w:rPr>
          <w:t>15.939, de 29 de dezembro de 2006</w:t>
        </w:r>
      </w:hyperlink>
      <w:r w:rsidRPr="00B6796E">
        <w:rPr>
          <w:rFonts w:ascii="Arial" w:hAnsi="Arial" w:cs="Arial"/>
          <w:sz w:val="22"/>
          <w:szCs w:val="22"/>
        </w:rPr>
        <w:t>; e legislação complementar, ficam reinstituídos, com alterações, ficando a fruição condicionada à contribuição para o Fundo de Proteção Social do Estado de Goiás – PROTEGE GOIÁS, instituído pela </w:t>
      </w:r>
      <w:hyperlink r:id="rId38" w:history="1">
        <w:r w:rsidRPr="00B6796E">
          <w:rPr>
            <w:rStyle w:val="Hyperlink"/>
            <w:rFonts w:ascii="Arial" w:hAnsi="Arial" w:cs="Arial"/>
            <w:color w:val="auto"/>
            <w:sz w:val="22"/>
            <w:szCs w:val="22"/>
            <w:u w:val="none"/>
          </w:rPr>
          <w:t>Lei nº 14.469, de 16 de julho de 2003</w:t>
        </w:r>
      </w:hyperlink>
      <w:r w:rsidRPr="00B6796E">
        <w:rPr>
          <w:rFonts w:ascii="Arial" w:hAnsi="Arial" w:cs="Arial"/>
          <w:sz w:val="22"/>
          <w:szCs w:val="22"/>
        </w:rPr>
        <w:t>, no percentual até 15% (quinze por cento) aplicado sobre o valor do incentivo;</w:t>
      </w:r>
    </w:p>
    <w:p w14:paraId="4FA1FAA6" w14:textId="77777777" w:rsidR="00F305AA" w:rsidRDefault="00F305AA" w:rsidP="00F305AA">
      <w:pPr>
        <w:spacing w:line="360" w:lineRule="auto"/>
        <w:ind w:firstLine="851"/>
        <w:jc w:val="both"/>
        <w:rPr>
          <w:rFonts w:ascii="Arial" w:hAnsi="Arial" w:cs="Arial"/>
          <w:sz w:val="24"/>
          <w:szCs w:val="24"/>
        </w:rPr>
      </w:pPr>
    </w:p>
    <w:p w14:paraId="14199B22"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Portanto, diante de todo o exposto neste item, não nos resta outra alternativa que não concluir pela </w:t>
      </w:r>
      <w:r w:rsidRPr="005A655A">
        <w:rPr>
          <w:rFonts w:ascii="Arial" w:hAnsi="Arial" w:cs="Arial"/>
          <w:b/>
          <w:sz w:val="24"/>
          <w:szCs w:val="24"/>
        </w:rPr>
        <w:t>NATUREZA FISCAL</w:t>
      </w:r>
      <w:r>
        <w:rPr>
          <w:rFonts w:ascii="Arial" w:hAnsi="Arial" w:cs="Arial"/>
          <w:sz w:val="24"/>
          <w:szCs w:val="24"/>
        </w:rPr>
        <w:t xml:space="preserve"> dos benefícios concedidos no âmbito dos programas FOMENTAR e PRODUZIR.</w:t>
      </w:r>
    </w:p>
    <w:p w14:paraId="35611F40"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Note-se que, diante da natureza fiscal dos programas de incentivo em questão e, consequentemente, das obrigações deles decorrente, </w:t>
      </w:r>
      <w:r w:rsidRPr="00ED3D34">
        <w:rPr>
          <w:rFonts w:ascii="Arial" w:hAnsi="Arial" w:cs="Arial"/>
          <w:b/>
          <w:sz w:val="24"/>
          <w:szCs w:val="24"/>
        </w:rPr>
        <w:t>revela-se inequívoca a</w:t>
      </w:r>
      <w:r>
        <w:rPr>
          <w:rFonts w:ascii="Arial" w:hAnsi="Arial" w:cs="Arial"/>
          <w:sz w:val="24"/>
          <w:szCs w:val="24"/>
        </w:rPr>
        <w:t xml:space="preserve"> </w:t>
      </w:r>
      <w:r w:rsidRPr="009874CD">
        <w:rPr>
          <w:rFonts w:ascii="Arial" w:hAnsi="Arial" w:cs="Arial"/>
          <w:b/>
          <w:sz w:val="24"/>
          <w:szCs w:val="24"/>
        </w:rPr>
        <w:t>incidência do</w:t>
      </w:r>
      <w:r>
        <w:rPr>
          <w:rFonts w:ascii="Arial" w:hAnsi="Arial" w:cs="Arial"/>
          <w:b/>
          <w:sz w:val="24"/>
          <w:szCs w:val="24"/>
        </w:rPr>
        <w:t>s</w:t>
      </w:r>
      <w:r w:rsidRPr="009874CD">
        <w:rPr>
          <w:rFonts w:ascii="Arial" w:hAnsi="Arial" w:cs="Arial"/>
          <w:b/>
          <w:sz w:val="24"/>
          <w:szCs w:val="24"/>
        </w:rPr>
        <w:t xml:space="preserve"> inciso</w:t>
      </w:r>
      <w:r>
        <w:rPr>
          <w:rFonts w:ascii="Arial" w:hAnsi="Arial" w:cs="Arial"/>
          <w:b/>
          <w:sz w:val="24"/>
          <w:szCs w:val="24"/>
        </w:rPr>
        <w:t>s</w:t>
      </w:r>
      <w:r w:rsidRPr="009874CD">
        <w:rPr>
          <w:rFonts w:ascii="Arial" w:hAnsi="Arial" w:cs="Arial"/>
          <w:b/>
          <w:sz w:val="24"/>
          <w:szCs w:val="24"/>
        </w:rPr>
        <w:t xml:space="preserve"> II</w:t>
      </w:r>
      <w:r>
        <w:rPr>
          <w:rFonts w:ascii="Arial" w:hAnsi="Arial" w:cs="Arial"/>
          <w:b/>
          <w:sz w:val="24"/>
          <w:szCs w:val="24"/>
        </w:rPr>
        <w:t xml:space="preserve"> e III</w:t>
      </w:r>
      <w:r w:rsidRPr="009874CD">
        <w:rPr>
          <w:rFonts w:ascii="Arial" w:hAnsi="Arial" w:cs="Arial"/>
          <w:b/>
          <w:sz w:val="24"/>
          <w:szCs w:val="24"/>
        </w:rPr>
        <w:t xml:space="preserve"> do art. 3º da Lei Complementar n. 58, de 4 de julho de 2006, cabendo à Procuradoria-Geral do Estado a cobrança de valores eventualmente devidos</w:t>
      </w:r>
      <w:r>
        <w:rPr>
          <w:rFonts w:ascii="Arial" w:hAnsi="Arial" w:cs="Arial"/>
          <w:sz w:val="24"/>
          <w:szCs w:val="24"/>
        </w:rPr>
        <w:t>, sendo afastado, por inconstitucional e ilegal, o inciso V do § 3º do art. 42 do Decreto n. 5.265 de 2000:</w:t>
      </w:r>
    </w:p>
    <w:p w14:paraId="69F8A10E" w14:textId="77777777" w:rsidR="00F305AA" w:rsidRDefault="00F305AA" w:rsidP="00F305AA">
      <w:pPr>
        <w:spacing w:line="360" w:lineRule="auto"/>
        <w:ind w:firstLine="851"/>
        <w:jc w:val="both"/>
        <w:rPr>
          <w:rFonts w:ascii="Arial" w:hAnsi="Arial" w:cs="Arial"/>
          <w:sz w:val="24"/>
          <w:szCs w:val="24"/>
        </w:rPr>
      </w:pPr>
    </w:p>
    <w:p w14:paraId="024788E1" w14:textId="77777777" w:rsidR="00F305AA" w:rsidRPr="009874CD" w:rsidRDefault="00F305AA" w:rsidP="00F305AA">
      <w:pPr>
        <w:pStyle w:val="Recuodecorpodetexto"/>
        <w:shd w:val="clear" w:color="auto" w:fill="FFFFFF"/>
        <w:ind w:left="2268"/>
        <w:rPr>
          <w:rFonts w:cs="Arial"/>
          <w:color w:val="000000"/>
          <w:sz w:val="28"/>
          <w:szCs w:val="27"/>
        </w:rPr>
      </w:pPr>
      <w:r w:rsidRPr="009874CD">
        <w:rPr>
          <w:rFonts w:cs="Arial"/>
          <w:color w:val="000000"/>
          <w:sz w:val="22"/>
        </w:rPr>
        <w:t>Art. 3º À Procuradoria-Geral do Estado, órgão integrante da Governadoria do Estado, compete:</w:t>
      </w:r>
    </w:p>
    <w:p w14:paraId="0D5ADDB5" w14:textId="77777777" w:rsidR="00F305AA" w:rsidRPr="009874CD" w:rsidRDefault="00F305AA" w:rsidP="00F305AA">
      <w:pPr>
        <w:pStyle w:val="NormalWeb"/>
        <w:shd w:val="clear" w:color="auto" w:fill="FFFFFF"/>
        <w:spacing w:before="0" w:beforeAutospacing="0" w:after="0" w:afterAutospacing="0"/>
        <w:ind w:left="2268"/>
        <w:jc w:val="both"/>
        <w:rPr>
          <w:color w:val="000000"/>
          <w:sz w:val="28"/>
          <w:szCs w:val="27"/>
        </w:rPr>
      </w:pPr>
      <w:r w:rsidRPr="009874CD">
        <w:rPr>
          <w:rFonts w:ascii="Arial" w:hAnsi="Arial" w:cs="Arial"/>
          <w:color w:val="000000"/>
          <w:sz w:val="22"/>
          <w:szCs w:val="20"/>
        </w:rPr>
        <w:t>I - exercer com exclusividade, a representação judicial e a consultoria jurídica do Estado de Goiás, ressalvada a representação judicial, a consultoria e o assessoramento técnico-jurídico do Poder Legislativo, nos termos do § 3</w:t>
      </w:r>
      <w:r w:rsidRPr="009874CD">
        <w:rPr>
          <w:rFonts w:ascii="Arial" w:hAnsi="Arial" w:cs="Arial"/>
          <w:color w:val="000000"/>
          <w:sz w:val="22"/>
          <w:szCs w:val="20"/>
          <w:vertAlign w:val="superscript"/>
        </w:rPr>
        <w:t>o</w:t>
      </w:r>
      <w:r w:rsidRPr="009874CD">
        <w:rPr>
          <w:rFonts w:ascii="Arial" w:hAnsi="Arial" w:cs="Arial"/>
          <w:color w:val="000000"/>
          <w:sz w:val="22"/>
          <w:szCs w:val="20"/>
        </w:rPr>
        <w:t> do art. 11 da Constituição Estadual;</w:t>
      </w:r>
    </w:p>
    <w:p w14:paraId="71F8248C" w14:textId="77777777" w:rsidR="00F305AA" w:rsidRPr="009874CD" w:rsidRDefault="00F305AA" w:rsidP="00F305AA">
      <w:pPr>
        <w:pStyle w:val="NormalWeb"/>
        <w:shd w:val="clear" w:color="auto" w:fill="FFFFFF"/>
        <w:spacing w:before="0" w:beforeAutospacing="0" w:after="0" w:afterAutospacing="0"/>
        <w:ind w:left="2268"/>
        <w:jc w:val="both"/>
        <w:rPr>
          <w:color w:val="000000"/>
          <w:sz w:val="28"/>
          <w:szCs w:val="27"/>
        </w:rPr>
      </w:pPr>
      <w:r w:rsidRPr="009874CD">
        <w:rPr>
          <w:rFonts w:ascii="Arial" w:hAnsi="Arial" w:cs="Arial"/>
          <w:color w:val="000000"/>
          <w:sz w:val="22"/>
          <w:szCs w:val="20"/>
        </w:rPr>
        <w:t>II - promover, privativamente, a cobrança da dívida ativa estadual;</w:t>
      </w:r>
    </w:p>
    <w:p w14:paraId="579EFDC1" w14:textId="77777777" w:rsidR="00F305AA" w:rsidRPr="009874CD" w:rsidRDefault="00F305AA" w:rsidP="00F305AA">
      <w:pPr>
        <w:pStyle w:val="NormalWeb"/>
        <w:shd w:val="clear" w:color="auto" w:fill="FFFFFF"/>
        <w:spacing w:before="0" w:beforeAutospacing="0" w:after="0" w:afterAutospacing="0"/>
        <w:ind w:left="2268"/>
        <w:jc w:val="both"/>
        <w:rPr>
          <w:color w:val="000000"/>
          <w:sz w:val="28"/>
          <w:szCs w:val="27"/>
        </w:rPr>
      </w:pPr>
      <w:r w:rsidRPr="009874CD">
        <w:rPr>
          <w:rFonts w:ascii="Arial" w:hAnsi="Arial" w:cs="Arial"/>
          <w:color w:val="000000"/>
          <w:sz w:val="22"/>
          <w:szCs w:val="20"/>
        </w:rPr>
        <w:t>III - promover a ação civil pública;</w:t>
      </w:r>
    </w:p>
    <w:p w14:paraId="0979A85D" w14:textId="77777777" w:rsidR="00F305AA" w:rsidRPr="005E265E" w:rsidRDefault="00F305AA" w:rsidP="00F305AA">
      <w:pPr>
        <w:spacing w:line="360" w:lineRule="auto"/>
        <w:ind w:firstLine="851"/>
        <w:jc w:val="both"/>
        <w:rPr>
          <w:rFonts w:ascii="Arial" w:hAnsi="Arial" w:cs="Arial"/>
          <w:sz w:val="24"/>
          <w:szCs w:val="24"/>
        </w:rPr>
      </w:pPr>
    </w:p>
    <w:p w14:paraId="1B3CA3B2" w14:textId="77777777" w:rsidR="00F305AA" w:rsidRDefault="00F305AA" w:rsidP="00F305AA">
      <w:pPr>
        <w:spacing w:line="360" w:lineRule="auto"/>
        <w:ind w:firstLine="851"/>
        <w:jc w:val="both"/>
        <w:rPr>
          <w:rFonts w:ascii="Arial" w:hAnsi="Arial" w:cs="Arial"/>
          <w:sz w:val="24"/>
          <w:szCs w:val="24"/>
        </w:rPr>
      </w:pPr>
    </w:p>
    <w:p w14:paraId="0060A814" w14:textId="2B952A44" w:rsidR="00F305AA" w:rsidRDefault="00F305AA" w:rsidP="00F305AA">
      <w:pPr>
        <w:spacing w:line="360" w:lineRule="auto"/>
        <w:ind w:firstLine="851"/>
        <w:jc w:val="both"/>
        <w:rPr>
          <w:rFonts w:ascii="Arial" w:hAnsi="Arial" w:cs="Arial"/>
          <w:b/>
          <w:sz w:val="24"/>
          <w:szCs w:val="24"/>
        </w:rPr>
      </w:pPr>
      <w:r w:rsidRPr="003C1B9D">
        <w:rPr>
          <w:rFonts w:ascii="Arial" w:hAnsi="Arial" w:cs="Arial"/>
          <w:b/>
          <w:sz w:val="24"/>
          <w:szCs w:val="24"/>
        </w:rPr>
        <w:t xml:space="preserve">6.2 </w:t>
      </w:r>
      <w:r w:rsidR="00D46587">
        <w:rPr>
          <w:rFonts w:ascii="Arial" w:hAnsi="Arial" w:cs="Arial"/>
          <w:b/>
          <w:sz w:val="24"/>
          <w:szCs w:val="24"/>
        </w:rPr>
        <w:t xml:space="preserve">– </w:t>
      </w:r>
      <w:r w:rsidRPr="003C1B9D">
        <w:rPr>
          <w:rFonts w:ascii="Arial" w:hAnsi="Arial" w:cs="Arial"/>
          <w:b/>
          <w:sz w:val="24"/>
          <w:szCs w:val="24"/>
        </w:rPr>
        <w:t>OUTROS ASPECTOS</w:t>
      </w:r>
    </w:p>
    <w:p w14:paraId="171CB486" w14:textId="77777777" w:rsidR="00F305AA" w:rsidRDefault="00F305AA" w:rsidP="00F305AA">
      <w:pPr>
        <w:spacing w:line="360" w:lineRule="auto"/>
        <w:ind w:firstLine="851"/>
        <w:jc w:val="both"/>
        <w:rPr>
          <w:rFonts w:ascii="Arial" w:hAnsi="Arial" w:cs="Arial"/>
          <w:b/>
          <w:sz w:val="24"/>
          <w:szCs w:val="24"/>
        </w:rPr>
      </w:pPr>
    </w:p>
    <w:p w14:paraId="4346476E" w14:textId="791052AC" w:rsidR="00F305AA" w:rsidRPr="00D46587" w:rsidRDefault="00F305AA" w:rsidP="00F305AA">
      <w:pPr>
        <w:spacing w:line="360" w:lineRule="auto"/>
        <w:ind w:firstLine="851"/>
        <w:jc w:val="both"/>
        <w:rPr>
          <w:rFonts w:ascii="Arial" w:hAnsi="Arial" w:cs="Arial"/>
          <w:b/>
          <w:sz w:val="24"/>
          <w:szCs w:val="24"/>
          <w:u w:val="single"/>
        </w:rPr>
      </w:pPr>
      <w:r w:rsidRPr="00D46587">
        <w:rPr>
          <w:rFonts w:ascii="Arial" w:hAnsi="Arial" w:cs="Arial"/>
          <w:b/>
          <w:sz w:val="24"/>
          <w:szCs w:val="24"/>
          <w:u w:val="single"/>
        </w:rPr>
        <w:t xml:space="preserve">6.2.1 </w:t>
      </w:r>
      <w:r w:rsidR="00D46587" w:rsidRPr="00D46587">
        <w:rPr>
          <w:rFonts w:ascii="Arial" w:hAnsi="Arial" w:cs="Arial"/>
          <w:b/>
          <w:sz w:val="24"/>
          <w:szCs w:val="24"/>
          <w:u w:val="single"/>
        </w:rPr>
        <w:t xml:space="preserve">– </w:t>
      </w:r>
      <w:r w:rsidRPr="00D46587">
        <w:rPr>
          <w:rFonts w:ascii="Arial" w:hAnsi="Arial" w:cs="Arial"/>
          <w:b/>
          <w:sz w:val="24"/>
          <w:szCs w:val="24"/>
          <w:u w:val="single"/>
        </w:rPr>
        <w:t>Achados de Auditoria – TCE-GO</w:t>
      </w:r>
    </w:p>
    <w:p w14:paraId="7A2F2B7E" w14:textId="77777777" w:rsidR="00F305AA" w:rsidRDefault="00F305AA" w:rsidP="00F305AA">
      <w:pPr>
        <w:spacing w:line="360" w:lineRule="auto"/>
        <w:ind w:firstLine="851"/>
        <w:jc w:val="both"/>
        <w:rPr>
          <w:rFonts w:ascii="Arial" w:hAnsi="Arial" w:cs="Arial"/>
          <w:sz w:val="24"/>
          <w:szCs w:val="24"/>
          <w:u w:val="single"/>
        </w:rPr>
      </w:pPr>
    </w:p>
    <w:p w14:paraId="7EA47FB3" w14:textId="390267CF"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Como já mencionado, esta Comissão solicitou ao Tribunal de Contas do Estado o envio de informações e dados </w:t>
      </w:r>
      <w:r w:rsidR="00D46587">
        <w:rPr>
          <w:rFonts w:ascii="Arial" w:hAnsi="Arial" w:cs="Arial"/>
          <w:sz w:val="24"/>
          <w:szCs w:val="24"/>
        </w:rPr>
        <w:t>acerca de auditorias sobre incentivos fiscais, tendo recebido como resposta, dentre outros, a íntegra do Relatório de Auditoria nº 02/2018 – Processo n. 201700047002530</w:t>
      </w:r>
      <w:r>
        <w:rPr>
          <w:rFonts w:ascii="Arial" w:hAnsi="Arial" w:cs="Arial"/>
          <w:sz w:val="24"/>
          <w:szCs w:val="24"/>
        </w:rPr>
        <w:t>.</w:t>
      </w:r>
    </w:p>
    <w:p w14:paraId="07C3EAD8"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Embora não represente a opinião da Corte de Contas do Estado de Goiás, já que ainda não apreciado por aquele colegiado, as informações levantadas pela equipe técnica do Serviço de Contas do Governo do TCE-GO instruem o presente processo parlamentar e muito contribuem para a compreensão da matéria e elucidação dos fatos. Note-se, ademais, que, como já mencionado, essa Auditoria </w:t>
      </w:r>
      <w:r w:rsidRPr="00C022FB">
        <w:rPr>
          <w:rFonts w:ascii="Arial" w:hAnsi="Arial" w:cs="Arial"/>
          <w:b/>
          <w:sz w:val="24"/>
          <w:szCs w:val="24"/>
        </w:rPr>
        <w:t xml:space="preserve">sistematiza e consolida a </w:t>
      </w:r>
      <w:r w:rsidRPr="00C022FB">
        <w:rPr>
          <w:rFonts w:ascii="Arial" w:hAnsi="Arial" w:cs="Arial"/>
          <w:b/>
          <w:sz w:val="24"/>
          <w:szCs w:val="24"/>
        </w:rPr>
        <w:lastRenderedPageBreak/>
        <w:t>atuação do TCE nos últimos anos em relação a esses programas de incentivos fiscais</w:t>
      </w:r>
      <w:r>
        <w:rPr>
          <w:rFonts w:ascii="Arial" w:hAnsi="Arial" w:cs="Arial"/>
          <w:sz w:val="24"/>
          <w:szCs w:val="24"/>
        </w:rPr>
        <w:t>.</w:t>
      </w:r>
      <w:r>
        <w:rPr>
          <w:rStyle w:val="Refdenotaderodap"/>
          <w:rFonts w:ascii="Arial" w:hAnsi="Arial" w:cs="Arial"/>
          <w:sz w:val="24"/>
          <w:szCs w:val="24"/>
        </w:rPr>
        <w:footnoteReference w:id="42"/>
      </w:r>
    </w:p>
    <w:p w14:paraId="02151AD8"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No citado Relatório destacamos os seguintes pontos: (i) concessão de incentivos fiscais em desacordo com a legislação vigente; (ii) descumprimento dos aspectos orçamentários e fiscais nos atos de renúncia de receita; (iii) classificação indevida das receitas oriundas dos programas PRODUZIR e FOMENTAR; (iv) ausência de registro e evidenciação da renúncia de receita na contabilidade do Estado; (v) descumprimento das obrigações contratuais de entrega de documentos e impunidade dos infratores; (vi) inadimplência dos pagamentos devidos e impunidade dos infratores; (vii) ausência de transparência e controle adequado quanto ao montante de benefícios concedidos; e (viii) ineficiência na execução dos programas.</w:t>
      </w:r>
    </w:p>
    <w:p w14:paraId="7EB370AF" w14:textId="77777777" w:rsidR="00F305AA" w:rsidRDefault="00F305AA" w:rsidP="00F305AA">
      <w:pPr>
        <w:spacing w:line="360" w:lineRule="auto"/>
        <w:ind w:firstLine="851"/>
        <w:jc w:val="both"/>
        <w:rPr>
          <w:rFonts w:ascii="Arial" w:hAnsi="Arial" w:cs="Arial"/>
          <w:sz w:val="24"/>
          <w:szCs w:val="24"/>
        </w:rPr>
      </w:pPr>
    </w:p>
    <w:p w14:paraId="44F6EDD3" w14:textId="1774D5FE" w:rsidR="00F305AA" w:rsidRDefault="00F305AA" w:rsidP="00F305AA">
      <w:pPr>
        <w:spacing w:line="360" w:lineRule="auto"/>
        <w:ind w:firstLine="851"/>
        <w:jc w:val="both"/>
        <w:rPr>
          <w:rFonts w:ascii="Arial" w:hAnsi="Arial" w:cs="Arial"/>
          <w:sz w:val="24"/>
          <w:szCs w:val="24"/>
        </w:rPr>
      </w:pPr>
      <w:r w:rsidRPr="005E7F01">
        <w:rPr>
          <w:rFonts w:ascii="Arial" w:hAnsi="Arial" w:cs="Arial"/>
          <w:b/>
          <w:sz w:val="24"/>
          <w:szCs w:val="24"/>
        </w:rPr>
        <w:t>6.2.1.1</w:t>
      </w:r>
      <w:r w:rsidR="00D46587">
        <w:rPr>
          <w:rFonts w:ascii="Arial" w:hAnsi="Arial" w:cs="Arial"/>
          <w:b/>
          <w:sz w:val="24"/>
          <w:szCs w:val="24"/>
        </w:rPr>
        <w:t>.</w:t>
      </w:r>
      <w:r>
        <w:rPr>
          <w:rFonts w:ascii="Arial" w:hAnsi="Arial" w:cs="Arial"/>
          <w:sz w:val="24"/>
          <w:szCs w:val="24"/>
        </w:rPr>
        <w:t xml:space="preserve"> Em relação ao primeiro ponto, a concessão de incentivos fiscais em desacordo com a legislação vigente, em síntese, diz respeito à concessão de benefícios fiscais de ICMS à revelia do que determina a alínea “g” do inciso XII do § 2º do art. 155 da Constituição Federal:</w:t>
      </w:r>
    </w:p>
    <w:p w14:paraId="500E98FC" w14:textId="77777777" w:rsidR="00F305AA" w:rsidRDefault="00F305AA" w:rsidP="00F305AA">
      <w:pPr>
        <w:spacing w:line="360" w:lineRule="auto"/>
        <w:ind w:firstLine="851"/>
        <w:jc w:val="both"/>
        <w:rPr>
          <w:rFonts w:ascii="Arial" w:hAnsi="Arial" w:cs="Arial"/>
          <w:sz w:val="24"/>
          <w:szCs w:val="24"/>
        </w:rPr>
      </w:pPr>
    </w:p>
    <w:p w14:paraId="5B0FD383" w14:textId="77777777" w:rsidR="00F305AA" w:rsidRPr="00445751" w:rsidRDefault="00F305AA" w:rsidP="00F305AA">
      <w:pPr>
        <w:ind w:left="2268"/>
        <w:jc w:val="both"/>
        <w:rPr>
          <w:rFonts w:ascii="Arial" w:hAnsi="Arial" w:cs="Arial"/>
          <w:color w:val="000000"/>
          <w:sz w:val="22"/>
          <w:shd w:val="clear" w:color="auto" w:fill="FFFFFF"/>
        </w:rPr>
      </w:pPr>
      <w:r w:rsidRPr="00445751">
        <w:rPr>
          <w:rFonts w:ascii="Arial" w:hAnsi="Arial" w:cs="Arial"/>
          <w:color w:val="000000"/>
          <w:sz w:val="22"/>
          <w:shd w:val="clear" w:color="auto" w:fill="FFFFFF"/>
        </w:rPr>
        <w:t>Art. 155. Compete aos Estados e ao Distrito Federal instituir impostos sobre:</w:t>
      </w:r>
    </w:p>
    <w:p w14:paraId="09322BE0" w14:textId="77777777" w:rsidR="00F305AA" w:rsidRPr="00445751" w:rsidRDefault="00F305AA" w:rsidP="00F305AA">
      <w:pPr>
        <w:ind w:left="2268"/>
        <w:jc w:val="both"/>
        <w:rPr>
          <w:rFonts w:ascii="Arial" w:hAnsi="Arial" w:cs="Arial"/>
          <w:color w:val="000000"/>
          <w:sz w:val="22"/>
          <w:shd w:val="clear" w:color="auto" w:fill="FFFFFF"/>
        </w:rPr>
      </w:pPr>
      <w:r w:rsidRPr="00445751">
        <w:rPr>
          <w:rFonts w:ascii="Arial" w:hAnsi="Arial" w:cs="Arial"/>
          <w:color w:val="000000"/>
          <w:sz w:val="22"/>
          <w:shd w:val="clear" w:color="auto" w:fill="FFFFFF"/>
        </w:rPr>
        <w:t>[...]</w:t>
      </w:r>
    </w:p>
    <w:p w14:paraId="64C9D756" w14:textId="77777777" w:rsidR="00F305AA" w:rsidRPr="00445751" w:rsidRDefault="00F305AA" w:rsidP="00F305AA">
      <w:pPr>
        <w:ind w:left="2268"/>
        <w:jc w:val="both"/>
        <w:rPr>
          <w:rFonts w:ascii="Arial" w:hAnsi="Arial" w:cs="Arial"/>
          <w:color w:val="000000"/>
          <w:sz w:val="22"/>
          <w:shd w:val="clear" w:color="auto" w:fill="FFFFFF"/>
        </w:rPr>
      </w:pPr>
      <w:r w:rsidRPr="00445751">
        <w:rPr>
          <w:rFonts w:ascii="Arial" w:hAnsi="Arial" w:cs="Arial"/>
          <w:color w:val="000000"/>
          <w:sz w:val="22"/>
          <w:shd w:val="clear" w:color="auto" w:fill="FFFFFF"/>
        </w:rPr>
        <w:t>II - operações relativas à circulação de mercadorias e sobre prestações de serviços de transporte interestadual e intermunicipal e de comunicação, ainda que as operações e as prestações se iniciem no exterior;</w:t>
      </w:r>
    </w:p>
    <w:p w14:paraId="2E56E977" w14:textId="77777777" w:rsidR="00F305AA" w:rsidRPr="00445751" w:rsidRDefault="00F305AA" w:rsidP="00F305AA">
      <w:pPr>
        <w:ind w:left="2268"/>
        <w:jc w:val="both"/>
        <w:rPr>
          <w:rFonts w:ascii="Arial" w:hAnsi="Arial" w:cs="Arial"/>
          <w:color w:val="000000"/>
          <w:sz w:val="22"/>
          <w:shd w:val="clear" w:color="auto" w:fill="FFFFFF"/>
        </w:rPr>
      </w:pPr>
      <w:r w:rsidRPr="00445751">
        <w:rPr>
          <w:rFonts w:ascii="Arial" w:hAnsi="Arial" w:cs="Arial"/>
          <w:color w:val="000000"/>
          <w:sz w:val="22"/>
          <w:shd w:val="clear" w:color="auto" w:fill="FFFFFF"/>
        </w:rPr>
        <w:t>[...]</w:t>
      </w:r>
    </w:p>
    <w:p w14:paraId="5747514C" w14:textId="77777777" w:rsidR="00F305AA" w:rsidRPr="00445751" w:rsidRDefault="00F305AA" w:rsidP="00F305AA">
      <w:pPr>
        <w:ind w:left="2268"/>
        <w:jc w:val="both"/>
        <w:rPr>
          <w:rFonts w:ascii="Arial" w:hAnsi="Arial" w:cs="Arial"/>
          <w:color w:val="000000"/>
          <w:sz w:val="22"/>
          <w:shd w:val="clear" w:color="auto" w:fill="FFFFFF"/>
        </w:rPr>
      </w:pPr>
      <w:r w:rsidRPr="00445751">
        <w:rPr>
          <w:rFonts w:ascii="Arial" w:hAnsi="Arial" w:cs="Arial"/>
          <w:color w:val="000000"/>
          <w:sz w:val="22"/>
          <w:shd w:val="clear" w:color="auto" w:fill="FFFFFF"/>
        </w:rPr>
        <w:t>§ 2º O imposto previsto no inciso II atenderá ao seguinte:</w:t>
      </w:r>
    </w:p>
    <w:p w14:paraId="6606ACFE" w14:textId="77777777" w:rsidR="00F305AA" w:rsidRPr="00445751" w:rsidRDefault="00F305AA" w:rsidP="00F305AA">
      <w:pPr>
        <w:ind w:left="2268"/>
        <w:jc w:val="both"/>
        <w:rPr>
          <w:rFonts w:ascii="Arial" w:hAnsi="Arial" w:cs="Arial"/>
          <w:color w:val="000000"/>
          <w:sz w:val="22"/>
          <w:shd w:val="clear" w:color="auto" w:fill="FFFFFF"/>
        </w:rPr>
      </w:pPr>
      <w:r w:rsidRPr="00445751">
        <w:rPr>
          <w:rFonts w:ascii="Arial" w:hAnsi="Arial" w:cs="Arial"/>
          <w:color w:val="000000"/>
          <w:sz w:val="22"/>
          <w:shd w:val="clear" w:color="auto" w:fill="FFFFFF"/>
        </w:rPr>
        <w:t>[...]</w:t>
      </w:r>
    </w:p>
    <w:p w14:paraId="29278B0E" w14:textId="77777777" w:rsidR="00F305AA" w:rsidRPr="00445751" w:rsidRDefault="00F305AA" w:rsidP="00F305AA">
      <w:pPr>
        <w:ind w:left="2268"/>
        <w:jc w:val="both"/>
        <w:rPr>
          <w:rFonts w:ascii="Arial" w:hAnsi="Arial" w:cs="Arial"/>
          <w:color w:val="000000"/>
          <w:sz w:val="22"/>
          <w:shd w:val="clear" w:color="auto" w:fill="FFFFFF"/>
        </w:rPr>
      </w:pPr>
      <w:r w:rsidRPr="00445751">
        <w:rPr>
          <w:rFonts w:ascii="Arial" w:hAnsi="Arial" w:cs="Arial"/>
          <w:color w:val="000000"/>
          <w:sz w:val="22"/>
          <w:shd w:val="clear" w:color="auto" w:fill="FFFFFF"/>
        </w:rPr>
        <w:t>XII - cabe à lei complementar:</w:t>
      </w:r>
    </w:p>
    <w:p w14:paraId="6D0E5872" w14:textId="77777777" w:rsidR="00F305AA" w:rsidRPr="00445751" w:rsidRDefault="00F305AA" w:rsidP="00F305AA">
      <w:pPr>
        <w:ind w:left="2268"/>
        <w:jc w:val="both"/>
        <w:rPr>
          <w:rFonts w:ascii="Arial" w:hAnsi="Arial" w:cs="Arial"/>
          <w:color w:val="000000"/>
          <w:sz w:val="22"/>
          <w:shd w:val="clear" w:color="auto" w:fill="FFFFFF"/>
        </w:rPr>
      </w:pPr>
      <w:r w:rsidRPr="00445751">
        <w:rPr>
          <w:rFonts w:ascii="Arial" w:hAnsi="Arial" w:cs="Arial"/>
          <w:color w:val="000000"/>
          <w:sz w:val="22"/>
          <w:shd w:val="clear" w:color="auto" w:fill="FFFFFF"/>
        </w:rPr>
        <w:t>[...]</w:t>
      </w:r>
    </w:p>
    <w:p w14:paraId="5A640EBD" w14:textId="77777777" w:rsidR="00F305AA" w:rsidRPr="00445751" w:rsidRDefault="00F305AA" w:rsidP="00F305AA">
      <w:pPr>
        <w:ind w:left="2268"/>
        <w:jc w:val="both"/>
        <w:rPr>
          <w:rFonts w:ascii="Arial" w:hAnsi="Arial" w:cs="Arial"/>
          <w:sz w:val="28"/>
          <w:szCs w:val="24"/>
        </w:rPr>
      </w:pPr>
      <w:r w:rsidRPr="00445751">
        <w:rPr>
          <w:rFonts w:ascii="Arial" w:hAnsi="Arial" w:cs="Arial"/>
          <w:color w:val="000000"/>
          <w:sz w:val="22"/>
          <w:shd w:val="clear" w:color="auto" w:fill="FFFFFF"/>
        </w:rPr>
        <w:t>g) regular a forma como, mediante deliberação dos Estados e do Distrito Federal, isenções, incentivos e benefícios fiscais serão concedidos e revogados.</w:t>
      </w:r>
    </w:p>
    <w:p w14:paraId="4B965648" w14:textId="77777777" w:rsidR="00F305AA" w:rsidRDefault="00F305AA" w:rsidP="00F305AA">
      <w:pPr>
        <w:spacing w:line="360" w:lineRule="auto"/>
        <w:ind w:firstLine="851"/>
        <w:jc w:val="both"/>
        <w:rPr>
          <w:rFonts w:ascii="Arial" w:hAnsi="Arial" w:cs="Arial"/>
          <w:sz w:val="24"/>
          <w:szCs w:val="24"/>
        </w:rPr>
      </w:pPr>
    </w:p>
    <w:p w14:paraId="6178D807"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Entende-se que a norma recepcionada para atender a este comando constitucional foi a Lei Complementar federal n. 24, de 7 de janeiro de 1975, que determina que “as isenções do imposto sobre operações relativas à circulação de mercadorias serão concedidas ou revogadas nos termos de convênios celebrados e </w:t>
      </w:r>
      <w:r>
        <w:rPr>
          <w:rFonts w:ascii="Arial" w:hAnsi="Arial" w:cs="Arial"/>
          <w:sz w:val="24"/>
          <w:szCs w:val="24"/>
        </w:rPr>
        <w:lastRenderedPageBreak/>
        <w:t>ratificados pelos Estados e pelo Distrito Federal” (art. 1º), isto é, exige a prévia aprovação de Convênio CONFAZ antes da concessão de benefícios fiscais de ICMS pela unidade da federação. Tal exigência se faz para evitar a guerra fiscal.</w:t>
      </w:r>
    </w:p>
    <w:p w14:paraId="74047682"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Como já discorrido (item 6.1.3) FOMENTAR e PRODUZIR, em sua real natureza, devem ser considerados benefícios fiscais e, portanto, sujeitos ao regramento constitucional e legal que exige prévia aprovação de Convênio CONFAZ, o que, como apurado pela equipe técnica do TCE-GO, </w:t>
      </w:r>
      <w:r>
        <w:rPr>
          <w:rFonts w:ascii="Arial" w:hAnsi="Arial" w:cs="Arial"/>
          <w:b/>
          <w:sz w:val="24"/>
          <w:szCs w:val="24"/>
        </w:rPr>
        <w:t>não ocorreu quando da criação desses programas</w:t>
      </w:r>
      <w:r>
        <w:rPr>
          <w:rFonts w:ascii="Arial" w:hAnsi="Arial" w:cs="Arial"/>
          <w:sz w:val="24"/>
          <w:szCs w:val="24"/>
        </w:rPr>
        <w:t>:</w:t>
      </w:r>
    </w:p>
    <w:p w14:paraId="6A433DA1" w14:textId="77777777" w:rsidR="00F305AA" w:rsidRDefault="00F305AA" w:rsidP="00F305AA">
      <w:pPr>
        <w:spacing w:line="360" w:lineRule="auto"/>
        <w:ind w:firstLine="851"/>
        <w:jc w:val="both"/>
        <w:rPr>
          <w:rFonts w:ascii="Arial" w:hAnsi="Arial" w:cs="Arial"/>
          <w:sz w:val="24"/>
          <w:szCs w:val="24"/>
        </w:rPr>
      </w:pPr>
    </w:p>
    <w:p w14:paraId="30A0329D" w14:textId="77777777" w:rsidR="00F305AA" w:rsidRPr="004F40FD" w:rsidRDefault="00F305AA" w:rsidP="00F305AA">
      <w:pPr>
        <w:ind w:left="2268"/>
        <w:jc w:val="both"/>
        <w:rPr>
          <w:rFonts w:ascii="Arial" w:hAnsi="Arial" w:cs="Arial"/>
          <w:sz w:val="22"/>
          <w:szCs w:val="24"/>
        </w:rPr>
      </w:pPr>
      <w:r w:rsidRPr="004F40FD">
        <w:rPr>
          <w:rFonts w:ascii="Arial" w:hAnsi="Arial" w:cs="Arial"/>
          <w:sz w:val="22"/>
          <w:szCs w:val="24"/>
        </w:rPr>
        <w:t>Observa-se que em Goiás, os programas PRODUZIR e FOMENTAR representam incentivos fiscais de ICMS e estão à margem do mandamento constitucional porque foram concedidos unilateralmente.</w:t>
      </w:r>
    </w:p>
    <w:p w14:paraId="0CC284CF" w14:textId="77777777" w:rsidR="00F305AA" w:rsidRPr="004F40FD" w:rsidRDefault="00F305AA" w:rsidP="00F305AA">
      <w:pPr>
        <w:ind w:left="2268"/>
        <w:jc w:val="both"/>
        <w:rPr>
          <w:rFonts w:ascii="Arial" w:hAnsi="Arial" w:cs="Arial"/>
          <w:sz w:val="22"/>
          <w:szCs w:val="24"/>
        </w:rPr>
      </w:pPr>
      <w:r w:rsidRPr="004F40FD">
        <w:rPr>
          <w:rFonts w:ascii="Arial" w:hAnsi="Arial" w:cs="Arial"/>
          <w:sz w:val="22"/>
          <w:szCs w:val="24"/>
        </w:rPr>
        <w:t xml:space="preserve">Em consulta junto à página eletrônica do CONFAZ, em 13 de dezembro de 2017 (https://www.confaz.fazenda.gov.br/legislacao/convenios), foi </w:t>
      </w:r>
      <w:r w:rsidRPr="004F40FD">
        <w:rPr>
          <w:rFonts w:ascii="Arial" w:hAnsi="Arial" w:cs="Arial"/>
          <w:b/>
          <w:sz w:val="22"/>
          <w:szCs w:val="24"/>
        </w:rPr>
        <w:t>constatada a inexistência de convênios relativos aos dois programas por ausência de deliberação daquele Conselho</w:t>
      </w:r>
      <w:r w:rsidRPr="004F40FD">
        <w:rPr>
          <w:rFonts w:ascii="Arial" w:hAnsi="Arial" w:cs="Arial"/>
          <w:sz w:val="22"/>
          <w:szCs w:val="24"/>
        </w:rPr>
        <w:t>.</w:t>
      </w:r>
    </w:p>
    <w:p w14:paraId="1D6DAF86" w14:textId="77777777" w:rsidR="00F305AA" w:rsidRPr="004F40FD" w:rsidRDefault="00F305AA" w:rsidP="00F305AA">
      <w:pPr>
        <w:ind w:left="2268"/>
        <w:jc w:val="both"/>
        <w:rPr>
          <w:rFonts w:ascii="Arial" w:hAnsi="Arial" w:cs="Arial"/>
          <w:sz w:val="22"/>
          <w:szCs w:val="24"/>
        </w:rPr>
      </w:pPr>
      <w:r w:rsidRPr="004F40FD">
        <w:rPr>
          <w:rFonts w:ascii="Arial" w:hAnsi="Arial" w:cs="Arial"/>
          <w:sz w:val="22"/>
          <w:szCs w:val="24"/>
        </w:rPr>
        <w:t xml:space="preserve">Com base nas entrevistas realizadas com servidores da Secretaria de Desenvolvimento em 17 de outubro de 2017 e da Secretaria da Fazenda em 05 de outubro e 20 de dezembro de 2017, </w:t>
      </w:r>
      <w:r w:rsidRPr="004F40FD">
        <w:rPr>
          <w:rFonts w:ascii="Arial" w:hAnsi="Arial" w:cs="Arial"/>
          <w:b/>
          <w:sz w:val="22"/>
          <w:szCs w:val="24"/>
        </w:rPr>
        <w:t>houve a confirmação que o estado de Goiás realmente não submeteu à aprovação do CONFAZ os referidos benefícios</w:t>
      </w:r>
      <w:r w:rsidRPr="004F40FD">
        <w:rPr>
          <w:rFonts w:ascii="Arial" w:hAnsi="Arial" w:cs="Arial"/>
          <w:sz w:val="22"/>
          <w:szCs w:val="24"/>
        </w:rPr>
        <w:t>.</w:t>
      </w:r>
    </w:p>
    <w:p w14:paraId="13F3759C" w14:textId="77777777" w:rsidR="00F305AA" w:rsidRPr="004F40FD" w:rsidRDefault="00F305AA" w:rsidP="00F305AA">
      <w:pPr>
        <w:ind w:left="2268"/>
        <w:jc w:val="both"/>
        <w:rPr>
          <w:rFonts w:ascii="Arial" w:hAnsi="Arial" w:cs="Arial"/>
          <w:sz w:val="22"/>
          <w:szCs w:val="24"/>
        </w:rPr>
      </w:pPr>
      <w:r w:rsidRPr="004F40FD">
        <w:rPr>
          <w:rFonts w:ascii="Arial" w:hAnsi="Arial" w:cs="Arial"/>
          <w:sz w:val="22"/>
          <w:szCs w:val="24"/>
        </w:rPr>
        <w:t>Assim, o programa FOMENTAR, criado pela Lei nº 9.489/84, e o programa PRODUZIR, instituído pela Lei nº 13.591/00, foram estatuídos sem deliberação no âmbito do CONFAZ e, consequentemente, sem a aprovação prévia e unânime pelas unidades da federação, resultando em ausência de convênios e de ratificação pelo estado de Goiás.</w:t>
      </w:r>
      <w:r>
        <w:rPr>
          <w:rStyle w:val="Refdenotaderodap"/>
          <w:rFonts w:ascii="Arial" w:hAnsi="Arial" w:cs="Arial"/>
          <w:sz w:val="22"/>
          <w:szCs w:val="24"/>
        </w:rPr>
        <w:footnoteReference w:id="43"/>
      </w:r>
    </w:p>
    <w:p w14:paraId="7DF3918C" w14:textId="77777777" w:rsidR="00F305AA" w:rsidRPr="004F40FD" w:rsidRDefault="00F305AA" w:rsidP="00F305AA">
      <w:pPr>
        <w:spacing w:line="360" w:lineRule="auto"/>
        <w:ind w:firstLine="851"/>
        <w:jc w:val="both"/>
        <w:rPr>
          <w:rFonts w:ascii="Arial" w:hAnsi="Arial" w:cs="Arial"/>
          <w:sz w:val="24"/>
          <w:szCs w:val="24"/>
        </w:rPr>
      </w:pPr>
    </w:p>
    <w:p w14:paraId="0423AAB0"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Apesar dessa constatação, a </w:t>
      </w:r>
      <w:r w:rsidRPr="00147875">
        <w:rPr>
          <w:rFonts w:ascii="Arial" w:hAnsi="Arial" w:cs="Arial"/>
          <w:b/>
          <w:sz w:val="24"/>
          <w:szCs w:val="24"/>
        </w:rPr>
        <w:t>Lei Complementar n. 160, de 7 de agosto de 2017</w:t>
      </w:r>
      <w:r>
        <w:rPr>
          <w:rFonts w:ascii="Arial" w:hAnsi="Arial" w:cs="Arial"/>
          <w:sz w:val="24"/>
          <w:szCs w:val="24"/>
        </w:rPr>
        <w:t>, permitiu que os Estados e o Distrito Federal deliberassem, mediante convênio, sobre a remissão de benefícios fiscais ou financeiros-fiscais instituídos em desacordo com a alínea “g” do inciso XII do § 2º do art. 155 da Constituição Federal e, ainda, sobre a reinstituição desses benefícios.</w:t>
      </w:r>
    </w:p>
    <w:p w14:paraId="6757DB1B"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Diante do novo cenário normativo foi celebrado o Convênio CONFAZ n. 190/2017, que permite a convalidação de benefícios concedidos em descumprimento da norma constitucional e sua reinstituição:</w:t>
      </w:r>
    </w:p>
    <w:p w14:paraId="307D8B5A" w14:textId="77777777" w:rsidR="00F305AA" w:rsidRDefault="00F305AA" w:rsidP="00F305AA">
      <w:pPr>
        <w:spacing w:line="360" w:lineRule="auto"/>
        <w:ind w:firstLine="851"/>
        <w:jc w:val="both"/>
        <w:rPr>
          <w:rFonts w:ascii="Arial" w:hAnsi="Arial" w:cs="Arial"/>
          <w:sz w:val="24"/>
          <w:szCs w:val="24"/>
        </w:rPr>
      </w:pPr>
    </w:p>
    <w:p w14:paraId="5B57CECA" w14:textId="77777777" w:rsidR="00F305AA" w:rsidRPr="004F40FD" w:rsidRDefault="00F305AA" w:rsidP="00F305AA">
      <w:pPr>
        <w:ind w:left="2268"/>
        <w:jc w:val="both"/>
        <w:rPr>
          <w:rFonts w:ascii="Arial" w:hAnsi="Arial" w:cs="Arial"/>
          <w:sz w:val="22"/>
          <w:szCs w:val="24"/>
        </w:rPr>
      </w:pPr>
      <w:r w:rsidRPr="004F40FD">
        <w:rPr>
          <w:rFonts w:ascii="Arial" w:hAnsi="Arial" w:cs="Arial"/>
          <w:b/>
          <w:sz w:val="22"/>
          <w:szCs w:val="24"/>
        </w:rPr>
        <w:t>Cláusula segunda</w:t>
      </w:r>
      <w:r>
        <w:rPr>
          <w:rFonts w:ascii="Arial" w:hAnsi="Arial" w:cs="Arial"/>
          <w:sz w:val="22"/>
          <w:szCs w:val="24"/>
        </w:rPr>
        <w:t xml:space="preserve"> </w:t>
      </w:r>
      <w:r w:rsidRPr="004F40FD">
        <w:rPr>
          <w:rFonts w:ascii="Arial" w:hAnsi="Arial" w:cs="Arial"/>
          <w:sz w:val="22"/>
          <w:szCs w:val="24"/>
        </w:rPr>
        <w:t>As unidades federadas, para a remissão, para a anistia e para a reinstituição de que trata este convênio, devem atender as seguintes condicionantes:</w:t>
      </w:r>
    </w:p>
    <w:p w14:paraId="52A50614" w14:textId="77777777" w:rsidR="00F305AA" w:rsidRPr="004F40FD" w:rsidRDefault="00F305AA" w:rsidP="00F305AA">
      <w:pPr>
        <w:ind w:left="2268"/>
        <w:jc w:val="both"/>
        <w:rPr>
          <w:rFonts w:ascii="Arial" w:hAnsi="Arial" w:cs="Arial"/>
          <w:sz w:val="22"/>
          <w:szCs w:val="24"/>
        </w:rPr>
      </w:pPr>
      <w:r w:rsidRPr="004F40FD">
        <w:rPr>
          <w:rFonts w:ascii="Arial" w:hAnsi="Arial" w:cs="Arial"/>
          <w:sz w:val="22"/>
          <w:szCs w:val="24"/>
        </w:rPr>
        <w:lastRenderedPageBreak/>
        <w:t>I - publicar, em seus respectivos diários oficiais, relação com a identificação de todos os atos normativos, conforme modelo constante no Anexo Único, relativos aos benefícios fiscais, instituídos por legislação estadual ou distrital publicada até 8 de agosto de 2017, em desacordo com o disposto na alínea “g” do inciso XII do § 2º do art. 155 da Constituição Federal;</w:t>
      </w:r>
    </w:p>
    <w:p w14:paraId="1FE72048" w14:textId="77777777" w:rsidR="00F305AA" w:rsidRPr="004F40FD" w:rsidRDefault="00F305AA" w:rsidP="00F305AA">
      <w:pPr>
        <w:ind w:left="2268"/>
        <w:jc w:val="both"/>
        <w:rPr>
          <w:rFonts w:ascii="Arial" w:hAnsi="Arial" w:cs="Arial"/>
          <w:sz w:val="22"/>
          <w:szCs w:val="24"/>
        </w:rPr>
      </w:pPr>
      <w:r w:rsidRPr="004F40FD">
        <w:rPr>
          <w:rFonts w:ascii="Arial" w:hAnsi="Arial" w:cs="Arial"/>
          <w:sz w:val="22"/>
          <w:szCs w:val="24"/>
        </w:rPr>
        <w:t>II - efetuar o registro e o depósito, na Secretaria Executiva do Conselho Nacional de Política Fazendária - CONFAZ, da documentação comprobatória correspondente aos atos concessivos dos benefícios fiscais mencionados no inciso I do caput desta cláusula, inclusive os correspondentes atos normativos, que devem ser publicados no Portal Nacional da Transparência Tributária instituído nos termos da cláusula sétima e disponibilizado no sítio eletrônico do CONFAZ.</w:t>
      </w:r>
    </w:p>
    <w:p w14:paraId="00CE3D08" w14:textId="77777777" w:rsidR="00F305AA" w:rsidRDefault="00F305AA" w:rsidP="00F305AA">
      <w:pPr>
        <w:spacing w:line="360" w:lineRule="auto"/>
        <w:ind w:firstLine="851"/>
        <w:jc w:val="both"/>
        <w:rPr>
          <w:rFonts w:ascii="Arial" w:hAnsi="Arial" w:cs="Arial"/>
          <w:sz w:val="24"/>
          <w:szCs w:val="24"/>
        </w:rPr>
      </w:pPr>
    </w:p>
    <w:p w14:paraId="03080B57"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Portanto, caso o Estado de Goiás aderisse à essa faculdade, estaria superado o achado apontado pela equipe técnica do TCE-GO. E foi o que o Estado de Goiás fez, quando, por meio da Lei n. 20.367, de 11 de dezembro de 2018, determinou que:</w:t>
      </w:r>
    </w:p>
    <w:p w14:paraId="66A7BB42" w14:textId="77777777" w:rsidR="00F305AA" w:rsidRDefault="00F305AA" w:rsidP="00F305AA">
      <w:pPr>
        <w:spacing w:line="360" w:lineRule="auto"/>
        <w:ind w:firstLine="851"/>
        <w:jc w:val="both"/>
        <w:rPr>
          <w:rFonts w:ascii="Arial" w:hAnsi="Arial" w:cs="Arial"/>
          <w:sz w:val="24"/>
          <w:szCs w:val="24"/>
        </w:rPr>
      </w:pPr>
    </w:p>
    <w:p w14:paraId="4BC7B039" w14:textId="77777777" w:rsidR="00F305AA" w:rsidRPr="00113E1C" w:rsidRDefault="00F305AA" w:rsidP="00F305AA">
      <w:pPr>
        <w:ind w:left="2268"/>
        <w:jc w:val="both"/>
        <w:rPr>
          <w:rFonts w:ascii="Arial" w:hAnsi="Arial" w:cs="Arial"/>
          <w:sz w:val="22"/>
          <w:szCs w:val="24"/>
        </w:rPr>
      </w:pPr>
      <w:r w:rsidRPr="00113E1C">
        <w:rPr>
          <w:rFonts w:ascii="Arial" w:hAnsi="Arial" w:cs="Arial"/>
          <w:sz w:val="22"/>
          <w:szCs w:val="24"/>
        </w:rPr>
        <w:t>Art. 3º Os benefícios fiscais ou financeiro-fiscais, com fundamento no disposto no § 4º do art. 3º da Lei Complementar nº 160, de 7 de agosto de 2017, e no Convênio ICMS 190/17, de 15 de dezembro de 2017, especificados:</w:t>
      </w:r>
    </w:p>
    <w:p w14:paraId="46C052BF" w14:textId="77777777" w:rsidR="00F305AA" w:rsidRPr="00113E1C" w:rsidRDefault="00F305AA" w:rsidP="00F305AA">
      <w:pPr>
        <w:ind w:left="2268"/>
        <w:jc w:val="both"/>
        <w:rPr>
          <w:rFonts w:ascii="Arial" w:hAnsi="Arial" w:cs="Arial"/>
          <w:sz w:val="22"/>
          <w:szCs w:val="24"/>
        </w:rPr>
      </w:pPr>
      <w:r w:rsidRPr="00113E1C">
        <w:rPr>
          <w:rFonts w:ascii="Arial" w:hAnsi="Arial" w:cs="Arial"/>
          <w:sz w:val="22"/>
          <w:szCs w:val="24"/>
        </w:rPr>
        <w:t>[...]</w:t>
      </w:r>
    </w:p>
    <w:p w14:paraId="5B3353A2" w14:textId="77777777" w:rsidR="00F305AA" w:rsidRPr="00113E1C" w:rsidRDefault="00F305AA" w:rsidP="00F305AA">
      <w:pPr>
        <w:ind w:left="2268"/>
        <w:jc w:val="both"/>
        <w:rPr>
          <w:rFonts w:ascii="Arial" w:hAnsi="Arial" w:cs="Arial"/>
          <w:sz w:val="22"/>
          <w:szCs w:val="24"/>
        </w:rPr>
      </w:pPr>
      <w:r w:rsidRPr="00113E1C">
        <w:rPr>
          <w:rFonts w:ascii="Arial" w:hAnsi="Arial" w:cs="Arial"/>
          <w:sz w:val="22"/>
          <w:szCs w:val="24"/>
        </w:rPr>
        <w:t>II – nos Programas FOMENTAR, PRODUZIR e seus subprogramas, previstos nas </w:t>
      </w:r>
      <w:hyperlink r:id="rId39" w:history="1">
        <w:r w:rsidRPr="00113E1C">
          <w:rPr>
            <w:rFonts w:ascii="Arial" w:hAnsi="Arial" w:cs="Arial"/>
            <w:sz w:val="22"/>
            <w:szCs w:val="24"/>
          </w:rPr>
          <w:t>Leis nos 11.180, de 19 de abril de 1990</w:t>
        </w:r>
      </w:hyperlink>
      <w:r w:rsidRPr="00113E1C">
        <w:rPr>
          <w:rFonts w:ascii="Arial" w:hAnsi="Arial" w:cs="Arial"/>
          <w:sz w:val="22"/>
          <w:szCs w:val="24"/>
        </w:rPr>
        <w:t>; </w:t>
      </w:r>
      <w:hyperlink r:id="rId40" w:history="1">
        <w:r w:rsidRPr="00113E1C">
          <w:rPr>
            <w:rFonts w:ascii="Arial" w:hAnsi="Arial" w:cs="Arial"/>
            <w:sz w:val="22"/>
            <w:szCs w:val="24"/>
          </w:rPr>
          <w:t>13.591, de 18 de janeiro de 2000</w:t>
        </w:r>
      </w:hyperlink>
      <w:r w:rsidRPr="00113E1C">
        <w:rPr>
          <w:rFonts w:ascii="Arial" w:hAnsi="Arial" w:cs="Arial"/>
          <w:sz w:val="22"/>
          <w:szCs w:val="24"/>
        </w:rPr>
        <w:t>; </w:t>
      </w:r>
      <w:hyperlink r:id="rId41" w:history="1">
        <w:r w:rsidRPr="00113E1C">
          <w:rPr>
            <w:rFonts w:ascii="Arial" w:hAnsi="Arial" w:cs="Arial"/>
            <w:sz w:val="22"/>
            <w:szCs w:val="24"/>
          </w:rPr>
          <w:t>13.844, de 1º de junho de 2001</w:t>
        </w:r>
      </w:hyperlink>
      <w:r w:rsidRPr="00113E1C">
        <w:rPr>
          <w:rFonts w:ascii="Arial" w:hAnsi="Arial" w:cs="Arial"/>
          <w:sz w:val="22"/>
          <w:szCs w:val="24"/>
        </w:rPr>
        <w:t>; </w:t>
      </w:r>
      <w:hyperlink r:id="rId42" w:history="1">
        <w:r w:rsidRPr="00113E1C">
          <w:rPr>
            <w:rFonts w:ascii="Arial" w:hAnsi="Arial" w:cs="Arial"/>
            <w:sz w:val="22"/>
            <w:szCs w:val="24"/>
          </w:rPr>
          <w:t>14.244, de 29 de julho de 2002</w:t>
        </w:r>
      </w:hyperlink>
      <w:r w:rsidRPr="00113E1C">
        <w:rPr>
          <w:rFonts w:ascii="Arial" w:hAnsi="Arial" w:cs="Arial"/>
          <w:sz w:val="22"/>
          <w:szCs w:val="24"/>
        </w:rPr>
        <w:t>; </w:t>
      </w:r>
      <w:hyperlink r:id="rId43" w:history="1">
        <w:r w:rsidRPr="00113E1C">
          <w:rPr>
            <w:rFonts w:ascii="Arial" w:hAnsi="Arial" w:cs="Arial"/>
            <w:sz w:val="22"/>
            <w:szCs w:val="24"/>
          </w:rPr>
          <w:t>15.939, de 29 de dezembro de 2006</w:t>
        </w:r>
      </w:hyperlink>
      <w:r w:rsidRPr="00113E1C">
        <w:rPr>
          <w:rFonts w:ascii="Arial" w:hAnsi="Arial" w:cs="Arial"/>
          <w:sz w:val="22"/>
          <w:szCs w:val="24"/>
        </w:rPr>
        <w:t>; e legislação complementar, ficam reinstituídos, com alterações, ficando a fruição condicionada à contribuição para o Fundo de Proteção Social do Estado de Goiás – PROTEGE GOIÁS, instituído pela </w:t>
      </w:r>
      <w:hyperlink r:id="rId44" w:history="1">
        <w:r w:rsidRPr="00113E1C">
          <w:rPr>
            <w:rFonts w:ascii="Arial" w:hAnsi="Arial" w:cs="Arial"/>
            <w:sz w:val="22"/>
            <w:szCs w:val="24"/>
          </w:rPr>
          <w:t>Lei nº 14.469, de 16 de julho de 2003</w:t>
        </w:r>
      </w:hyperlink>
      <w:r w:rsidRPr="00113E1C">
        <w:rPr>
          <w:rFonts w:ascii="Arial" w:hAnsi="Arial" w:cs="Arial"/>
          <w:sz w:val="22"/>
          <w:szCs w:val="24"/>
        </w:rPr>
        <w:t>, no percentual até 15% (quinze por cento) aplicado sobre o valor do incentivo;</w:t>
      </w:r>
    </w:p>
    <w:p w14:paraId="5B1C5D6B" w14:textId="77777777" w:rsidR="00F305AA" w:rsidRDefault="00F305AA" w:rsidP="00F305AA">
      <w:pPr>
        <w:spacing w:line="360" w:lineRule="auto"/>
        <w:ind w:firstLine="851"/>
        <w:jc w:val="both"/>
        <w:rPr>
          <w:rFonts w:ascii="Arial" w:hAnsi="Arial" w:cs="Arial"/>
          <w:sz w:val="24"/>
          <w:szCs w:val="24"/>
        </w:rPr>
      </w:pPr>
    </w:p>
    <w:p w14:paraId="6A38BD77"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Logo, </w:t>
      </w:r>
      <w:r w:rsidRPr="00BD141A">
        <w:rPr>
          <w:rFonts w:ascii="Arial" w:hAnsi="Arial" w:cs="Arial"/>
          <w:b/>
          <w:sz w:val="24"/>
          <w:szCs w:val="24"/>
        </w:rPr>
        <w:t>resta resolvida e superada esta questão</w:t>
      </w:r>
      <w:r>
        <w:rPr>
          <w:rFonts w:ascii="Arial" w:hAnsi="Arial" w:cs="Arial"/>
          <w:sz w:val="24"/>
          <w:szCs w:val="24"/>
        </w:rPr>
        <w:t>.</w:t>
      </w:r>
    </w:p>
    <w:p w14:paraId="1DC97824" w14:textId="77777777" w:rsidR="00F305AA" w:rsidRDefault="00F305AA" w:rsidP="00F305AA">
      <w:pPr>
        <w:spacing w:line="360" w:lineRule="auto"/>
        <w:ind w:firstLine="851"/>
        <w:jc w:val="both"/>
        <w:rPr>
          <w:rFonts w:ascii="Arial" w:hAnsi="Arial" w:cs="Arial"/>
          <w:sz w:val="24"/>
          <w:szCs w:val="24"/>
        </w:rPr>
      </w:pPr>
    </w:p>
    <w:p w14:paraId="5512C4DC" w14:textId="61CD565C" w:rsidR="00F305AA" w:rsidRDefault="00F305AA" w:rsidP="00F305AA">
      <w:pPr>
        <w:spacing w:line="360" w:lineRule="auto"/>
        <w:ind w:firstLine="851"/>
        <w:jc w:val="both"/>
        <w:rPr>
          <w:rFonts w:ascii="Arial" w:hAnsi="Arial" w:cs="Arial"/>
          <w:sz w:val="24"/>
          <w:szCs w:val="24"/>
        </w:rPr>
      </w:pPr>
      <w:r w:rsidRPr="005E7F01">
        <w:rPr>
          <w:rFonts w:ascii="Arial" w:hAnsi="Arial" w:cs="Arial"/>
          <w:b/>
          <w:sz w:val="24"/>
          <w:szCs w:val="24"/>
        </w:rPr>
        <w:t>6.2.1.</w:t>
      </w:r>
      <w:r>
        <w:rPr>
          <w:rFonts w:ascii="Arial" w:hAnsi="Arial" w:cs="Arial"/>
          <w:b/>
          <w:sz w:val="24"/>
          <w:szCs w:val="24"/>
        </w:rPr>
        <w:t>2</w:t>
      </w:r>
      <w:r w:rsidR="00D46587">
        <w:rPr>
          <w:rFonts w:ascii="Arial" w:hAnsi="Arial" w:cs="Arial"/>
          <w:b/>
          <w:sz w:val="24"/>
          <w:szCs w:val="24"/>
        </w:rPr>
        <w:t>.</w:t>
      </w:r>
      <w:r>
        <w:rPr>
          <w:rFonts w:ascii="Arial" w:hAnsi="Arial" w:cs="Arial"/>
          <w:sz w:val="24"/>
          <w:szCs w:val="24"/>
        </w:rPr>
        <w:t xml:space="preserve"> Quanto ao descumprimento dos aspectos orçamentários e fiscais nos atos de renúncia de receita, alega-se que há descumprimento ao que determinam o § 6º do art. 110 da Constituição Estadual e os art. 14 da LRF:</w:t>
      </w:r>
    </w:p>
    <w:p w14:paraId="4C170636" w14:textId="77777777" w:rsidR="00F305AA" w:rsidRDefault="00F305AA" w:rsidP="00F305AA">
      <w:pPr>
        <w:spacing w:line="360" w:lineRule="auto"/>
        <w:ind w:firstLine="851"/>
        <w:jc w:val="both"/>
        <w:rPr>
          <w:rFonts w:ascii="Arial" w:hAnsi="Arial" w:cs="Arial"/>
          <w:sz w:val="24"/>
          <w:szCs w:val="24"/>
        </w:rPr>
      </w:pPr>
    </w:p>
    <w:p w14:paraId="2A561ABD" w14:textId="77777777" w:rsidR="00F305AA" w:rsidRPr="00F612F0" w:rsidRDefault="00F305AA" w:rsidP="00F305AA">
      <w:pPr>
        <w:ind w:left="2268"/>
        <w:jc w:val="both"/>
        <w:rPr>
          <w:rFonts w:ascii="Arial" w:hAnsi="Arial" w:cs="Arial"/>
          <w:color w:val="000000"/>
          <w:sz w:val="22"/>
          <w:shd w:val="clear" w:color="auto" w:fill="FFFFFF"/>
        </w:rPr>
      </w:pPr>
      <w:r w:rsidRPr="00F612F0">
        <w:rPr>
          <w:rFonts w:ascii="Arial" w:hAnsi="Arial" w:cs="Arial"/>
          <w:color w:val="000000"/>
          <w:sz w:val="22"/>
          <w:shd w:val="clear" w:color="auto" w:fill="FFFFFF"/>
        </w:rPr>
        <w:t>Art. 110 - Leis de iniciativa do Poder Executivo estabelecerão o plano plurianual, as diretrizes orçamentárias e os orçamentos anuais.</w:t>
      </w:r>
    </w:p>
    <w:p w14:paraId="444C8553" w14:textId="77777777" w:rsidR="00F305AA" w:rsidRPr="00F612F0" w:rsidRDefault="00F305AA" w:rsidP="00F305AA">
      <w:pPr>
        <w:ind w:left="2268"/>
        <w:jc w:val="both"/>
        <w:rPr>
          <w:rFonts w:ascii="Arial" w:hAnsi="Arial" w:cs="Arial"/>
          <w:color w:val="000000"/>
          <w:sz w:val="22"/>
          <w:shd w:val="clear" w:color="auto" w:fill="FFFFFF"/>
        </w:rPr>
      </w:pPr>
      <w:r w:rsidRPr="00F612F0">
        <w:rPr>
          <w:rFonts w:ascii="Arial" w:hAnsi="Arial" w:cs="Arial"/>
          <w:color w:val="000000"/>
          <w:sz w:val="22"/>
          <w:shd w:val="clear" w:color="auto" w:fill="FFFFFF"/>
        </w:rPr>
        <w:t>[...]</w:t>
      </w:r>
    </w:p>
    <w:p w14:paraId="46A391A0" w14:textId="77777777" w:rsidR="00F305AA" w:rsidRDefault="00F305AA" w:rsidP="00F305AA">
      <w:pPr>
        <w:ind w:left="2268"/>
        <w:jc w:val="both"/>
        <w:rPr>
          <w:rFonts w:ascii="Arial" w:hAnsi="Arial" w:cs="Arial"/>
          <w:color w:val="000000"/>
          <w:sz w:val="22"/>
          <w:shd w:val="clear" w:color="auto" w:fill="FFFFFF"/>
        </w:rPr>
      </w:pPr>
      <w:r w:rsidRPr="00F612F0">
        <w:rPr>
          <w:rFonts w:ascii="Arial" w:hAnsi="Arial" w:cs="Arial"/>
          <w:color w:val="000000"/>
          <w:sz w:val="22"/>
          <w:shd w:val="clear" w:color="auto" w:fill="FFFFFF"/>
        </w:rPr>
        <w:t xml:space="preserve">§ 6º O projeto de lei orçamentária será acompanhado de </w:t>
      </w:r>
      <w:r w:rsidRPr="00F612F0">
        <w:rPr>
          <w:rFonts w:ascii="Arial" w:hAnsi="Arial" w:cs="Arial"/>
          <w:b/>
          <w:color w:val="000000"/>
          <w:sz w:val="22"/>
          <w:shd w:val="clear" w:color="auto" w:fill="FFFFFF"/>
        </w:rPr>
        <w:t>demonstrativo regionalizado do efeito</w:t>
      </w:r>
      <w:r w:rsidRPr="00F612F0">
        <w:rPr>
          <w:rFonts w:ascii="Arial" w:hAnsi="Arial" w:cs="Arial"/>
          <w:color w:val="000000"/>
          <w:sz w:val="22"/>
          <w:shd w:val="clear" w:color="auto" w:fill="FFFFFF"/>
        </w:rPr>
        <w:t xml:space="preserve">, sobre as receitas e despesas, decorrentes de </w:t>
      </w:r>
      <w:r w:rsidRPr="00F612F0">
        <w:rPr>
          <w:rFonts w:ascii="Arial" w:hAnsi="Arial" w:cs="Arial"/>
          <w:color w:val="000000"/>
          <w:sz w:val="22"/>
          <w:shd w:val="clear" w:color="auto" w:fill="FFFFFF"/>
        </w:rPr>
        <w:lastRenderedPageBreak/>
        <w:t xml:space="preserve">isenções, anistias, remissões, subsídios e </w:t>
      </w:r>
      <w:r w:rsidRPr="00F612F0">
        <w:rPr>
          <w:rFonts w:ascii="Arial" w:hAnsi="Arial" w:cs="Arial"/>
          <w:b/>
          <w:color w:val="000000"/>
          <w:sz w:val="22"/>
          <w:shd w:val="clear" w:color="auto" w:fill="FFFFFF"/>
        </w:rPr>
        <w:t>benefícios de natureza financeira, tributária e creditícia</w:t>
      </w:r>
      <w:r w:rsidRPr="00F612F0">
        <w:rPr>
          <w:rFonts w:ascii="Arial" w:hAnsi="Arial" w:cs="Arial"/>
          <w:color w:val="000000"/>
          <w:sz w:val="22"/>
          <w:shd w:val="clear" w:color="auto" w:fill="FFFFFF"/>
        </w:rPr>
        <w:t>.</w:t>
      </w:r>
    </w:p>
    <w:p w14:paraId="0C16841D" w14:textId="77777777" w:rsidR="00F305AA" w:rsidRDefault="00F305AA" w:rsidP="00F305AA">
      <w:pPr>
        <w:ind w:left="2268"/>
        <w:jc w:val="both"/>
        <w:rPr>
          <w:rFonts w:ascii="Arial" w:hAnsi="Arial" w:cs="Arial"/>
          <w:color w:val="000000"/>
          <w:sz w:val="22"/>
          <w:shd w:val="clear" w:color="auto" w:fill="FFFFFF"/>
        </w:rPr>
      </w:pPr>
    </w:p>
    <w:p w14:paraId="56D70FF8" w14:textId="77777777" w:rsidR="00F305AA" w:rsidRDefault="00F305AA" w:rsidP="00F305AA">
      <w:pPr>
        <w:ind w:left="2268"/>
        <w:jc w:val="both"/>
        <w:rPr>
          <w:rFonts w:ascii="Arial" w:hAnsi="Arial" w:cs="Arial"/>
          <w:color w:val="000000"/>
          <w:sz w:val="22"/>
          <w:shd w:val="clear" w:color="auto" w:fill="FFFFFF"/>
        </w:rPr>
      </w:pPr>
      <w:r w:rsidRPr="00F612F0">
        <w:rPr>
          <w:rFonts w:ascii="Arial" w:hAnsi="Arial" w:cs="Arial"/>
          <w:color w:val="000000"/>
          <w:sz w:val="22"/>
          <w:shd w:val="clear" w:color="auto" w:fill="FFFFFF"/>
        </w:rPr>
        <w:t>Art. 14.</w:t>
      </w:r>
      <w:r>
        <w:rPr>
          <w:rFonts w:ascii="Arial" w:hAnsi="Arial" w:cs="Arial"/>
          <w:color w:val="000000"/>
          <w:sz w:val="22"/>
          <w:shd w:val="clear" w:color="auto" w:fill="FFFFFF"/>
        </w:rPr>
        <w:t xml:space="preserve"> </w:t>
      </w:r>
      <w:r w:rsidRPr="00F612F0">
        <w:rPr>
          <w:rFonts w:ascii="Arial" w:hAnsi="Arial" w:cs="Arial"/>
          <w:color w:val="000000"/>
          <w:sz w:val="22"/>
          <w:shd w:val="clear" w:color="auto" w:fill="FFFFFF"/>
        </w:rPr>
        <w:t xml:space="preserve">A concessão ou ampliação de incentivo ou benefício de natureza tributária da qual decorra renúncia de receita deverá estar acompanhada de </w:t>
      </w:r>
      <w:r w:rsidRPr="00F612F0">
        <w:rPr>
          <w:rFonts w:ascii="Arial" w:hAnsi="Arial" w:cs="Arial"/>
          <w:b/>
          <w:color w:val="000000"/>
          <w:sz w:val="22"/>
          <w:shd w:val="clear" w:color="auto" w:fill="FFFFFF"/>
        </w:rPr>
        <w:t>estimativa do impacto orçamentário-financeiro no exercício em que deva iniciar sua vigência e nos dois seguintes</w:t>
      </w:r>
      <w:r w:rsidRPr="00F612F0">
        <w:rPr>
          <w:rFonts w:ascii="Arial" w:hAnsi="Arial" w:cs="Arial"/>
          <w:color w:val="000000"/>
          <w:sz w:val="22"/>
          <w:shd w:val="clear" w:color="auto" w:fill="FFFFFF"/>
        </w:rPr>
        <w:t>, atender ao disposto na lei de diretrizes orçamentárias e a pelo menos uma das seguintes condições:</w:t>
      </w:r>
      <w:bookmarkStart w:id="113" w:name="art14i"/>
      <w:bookmarkEnd w:id="113"/>
    </w:p>
    <w:p w14:paraId="138C8938" w14:textId="77777777" w:rsidR="00F305AA" w:rsidRPr="00F612F0" w:rsidRDefault="00F305AA" w:rsidP="00F305AA">
      <w:pPr>
        <w:ind w:left="2268"/>
        <w:jc w:val="both"/>
        <w:rPr>
          <w:rFonts w:ascii="Arial" w:hAnsi="Arial" w:cs="Arial"/>
          <w:color w:val="000000"/>
          <w:sz w:val="22"/>
          <w:shd w:val="clear" w:color="auto" w:fill="FFFFFF"/>
        </w:rPr>
      </w:pPr>
      <w:r w:rsidRPr="00F612F0">
        <w:rPr>
          <w:rFonts w:ascii="Arial" w:hAnsi="Arial" w:cs="Arial"/>
          <w:color w:val="000000"/>
          <w:sz w:val="22"/>
          <w:shd w:val="clear" w:color="auto" w:fill="FFFFFF"/>
        </w:rPr>
        <w:t xml:space="preserve">I - </w:t>
      </w:r>
      <w:r w:rsidRPr="00F612F0">
        <w:rPr>
          <w:rFonts w:ascii="Arial" w:hAnsi="Arial" w:cs="Arial"/>
          <w:b/>
          <w:color w:val="000000"/>
          <w:sz w:val="22"/>
          <w:shd w:val="clear" w:color="auto" w:fill="FFFFFF"/>
        </w:rPr>
        <w:t>demonstração pelo proponente de que a renúncia foi considerada na estimativa de receita da lei orçamentária</w:t>
      </w:r>
      <w:r w:rsidRPr="00F612F0">
        <w:rPr>
          <w:rFonts w:ascii="Arial" w:hAnsi="Arial" w:cs="Arial"/>
          <w:color w:val="000000"/>
          <w:sz w:val="22"/>
          <w:shd w:val="clear" w:color="auto" w:fill="FFFFFF"/>
        </w:rPr>
        <w:t>, na forma do art. 12, e de que não afetará as metas de resultados fiscais previstas no anexo próprio da lei de diretrizes orçamentárias;</w:t>
      </w:r>
    </w:p>
    <w:p w14:paraId="1178E0F2" w14:textId="77777777" w:rsidR="00F305AA" w:rsidRPr="00F612F0" w:rsidRDefault="00F305AA" w:rsidP="00F305AA">
      <w:pPr>
        <w:ind w:left="2268"/>
        <w:jc w:val="both"/>
        <w:rPr>
          <w:rFonts w:ascii="Arial" w:hAnsi="Arial" w:cs="Arial"/>
          <w:color w:val="000000"/>
          <w:sz w:val="22"/>
          <w:shd w:val="clear" w:color="auto" w:fill="FFFFFF"/>
        </w:rPr>
      </w:pPr>
      <w:bookmarkStart w:id="114" w:name="art14ii"/>
      <w:bookmarkEnd w:id="114"/>
      <w:r w:rsidRPr="00F612F0">
        <w:rPr>
          <w:rFonts w:ascii="Arial" w:hAnsi="Arial" w:cs="Arial"/>
          <w:color w:val="000000"/>
          <w:sz w:val="22"/>
          <w:shd w:val="clear" w:color="auto" w:fill="FFFFFF"/>
        </w:rPr>
        <w:t>II - estar acompanhada de medidas de compensação, no período mencionado no caput, por meio do aumento de receita, proveniente da elevação de alíquotas, ampliação da base de cálculo, majoração ou criação de tributo ou contribuição.</w:t>
      </w:r>
    </w:p>
    <w:p w14:paraId="655A4ED9" w14:textId="77777777" w:rsidR="00F305AA" w:rsidRDefault="00F305AA" w:rsidP="00F305AA">
      <w:pPr>
        <w:spacing w:line="360" w:lineRule="auto"/>
        <w:ind w:firstLine="851"/>
        <w:jc w:val="both"/>
        <w:rPr>
          <w:rFonts w:ascii="Arial" w:hAnsi="Arial" w:cs="Arial"/>
          <w:sz w:val="24"/>
          <w:szCs w:val="24"/>
        </w:rPr>
      </w:pPr>
    </w:p>
    <w:p w14:paraId="548FB7BE"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Da leitura dos dispositivos, conclui-se pela necessidade de planejamento e análise </w:t>
      </w:r>
      <w:r>
        <w:rPr>
          <w:rFonts w:ascii="Arial" w:hAnsi="Arial" w:cs="Arial"/>
          <w:i/>
          <w:sz w:val="24"/>
          <w:szCs w:val="24"/>
        </w:rPr>
        <w:t>ex ante</w:t>
      </w:r>
      <w:r>
        <w:rPr>
          <w:rFonts w:ascii="Arial" w:hAnsi="Arial" w:cs="Arial"/>
          <w:sz w:val="24"/>
          <w:szCs w:val="24"/>
        </w:rPr>
        <w:t xml:space="preserve"> quando da edição de ato que importe em renúncia de receita, a fim de estimar-se adequadamente quais seus impactos orçamentários (atenção às metas fiscais) e socioeconômicos (idoneidade da medida para os fins públicos a que se propõe), e isso de forma tal que permita sua análise regionalizada.</w:t>
      </w:r>
    </w:p>
    <w:p w14:paraId="2888D6DB"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Segundo apurado pela equipe técnica do TCE-GO, a Superintendência da Receita Estadual justificou a ausência destes estudos em razão do caráter de empréstimo e financiamento conferido ao FOMENTAR e ao PRODUZIR (Memorando n. 0101/2017-SRE).</w:t>
      </w:r>
    </w:p>
    <w:p w14:paraId="24A75971"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Todavia, diante do Parecer Prévio das Contas Anuais do Governador referentes ao exercício de 2016, no qual a recomendação n. 15 apontava para a necessidade de elaboração de estudo de impacto das renúncias de receita, foi editada a Nota Técnica n. 1/2017 da Superintendência da Receita Estadual, que trata do cálculo da renúncia de receita e envolve os programas FOMENTAR e PRODUZIR.</w:t>
      </w:r>
    </w:p>
    <w:p w14:paraId="431EFB46"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Esse documento técnico permitiu a inclusão, em anexo às LDOs e às LOAs, de Demonstrativos de Estimativa e Compensação da Renúncia da Receita, contemplando, inclusive, o FOMENTAR e o PRODUZIR:</w:t>
      </w:r>
    </w:p>
    <w:p w14:paraId="169A8140" w14:textId="77777777" w:rsidR="00F305AA" w:rsidRDefault="00F305AA" w:rsidP="00F305AA">
      <w:pPr>
        <w:spacing w:line="360" w:lineRule="auto"/>
        <w:ind w:firstLine="851"/>
        <w:jc w:val="both"/>
        <w:rPr>
          <w:rFonts w:ascii="Arial" w:hAnsi="Arial" w:cs="Arial"/>
          <w:sz w:val="24"/>
          <w:szCs w:val="24"/>
        </w:rPr>
      </w:pPr>
    </w:p>
    <w:p w14:paraId="405D3F67" w14:textId="77777777" w:rsidR="00F305AA" w:rsidRDefault="00F305AA" w:rsidP="00F305AA">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2139E5B6" wp14:editId="452E3C93">
            <wp:extent cx="6020409" cy="5112438"/>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stimativa renúncia 2020 -LOA.PNG"/>
                    <pic:cNvPicPr/>
                  </pic:nvPicPr>
                  <pic:blipFill rotWithShape="1">
                    <a:blip r:embed="rId45">
                      <a:extLst>
                        <a:ext uri="{28A0092B-C50C-407E-A947-70E740481C1C}">
                          <a14:useLocalDpi xmlns:a14="http://schemas.microsoft.com/office/drawing/2010/main" val="0"/>
                        </a:ext>
                      </a:extLst>
                    </a:blip>
                    <a:srcRect t="-178" r="18665"/>
                    <a:stretch/>
                  </pic:blipFill>
                  <pic:spPr bwMode="auto">
                    <a:xfrm>
                      <a:off x="0" y="0"/>
                      <a:ext cx="6020409" cy="5112438"/>
                    </a:xfrm>
                    <a:prstGeom prst="rect">
                      <a:avLst/>
                    </a:prstGeom>
                    <a:ln>
                      <a:noFill/>
                    </a:ln>
                    <a:extLst>
                      <a:ext uri="{53640926-AAD7-44D8-BBD7-CCE9431645EC}">
                        <a14:shadowObscured xmlns:a14="http://schemas.microsoft.com/office/drawing/2010/main"/>
                      </a:ext>
                    </a:extLst>
                  </pic:spPr>
                </pic:pic>
              </a:graphicData>
            </a:graphic>
          </wp:inline>
        </w:drawing>
      </w:r>
    </w:p>
    <w:p w14:paraId="54563360" w14:textId="77777777" w:rsidR="00F305AA" w:rsidRDefault="00F305AA" w:rsidP="00F305AA">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19D6BBDB" wp14:editId="5DF17BFA">
            <wp:extent cx="5896889" cy="6621068"/>
            <wp:effectExtent l="0" t="0" r="8890" b="889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timativa renúncia 2020 -LDO.PNG"/>
                    <pic:cNvPicPr/>
                  </pic:nvPicPr>
                  <pic:blipFill>
                    <a:blip r:embed="rId46">
                      <a:extLst>
                        <a:ext uri="{28A0092B-C50C-407E-A947-70E740481C1C}">
                          <a14:useLocalDpi xmlns:a14="http://schemas.microsoft.com/office/drawing/2010/main" val="0"/>
                        </a:ext>
                      </a:extLst>
                    </a:blip>
                    <a:stretch>
                      <a:fillRect/>
                    </a:stretch>
                  </pic:blipFill>
                  <pic:spPr>
                    <a:xfrm>
                      <a:off x="0" y="0"/>
                      <a:ext cx="5898794" cy="6623207"/>
                    </a:xfrm>
                    <a:prstGeom prst="rect">
                      <a:avLst/>
                    </a:prstGeom>
                  </pic:spPr>
                </pic:pic>
              </a:graphicData>
            </a:graphic>
          </wp:inline>
        </w:drawing>
      </w:r>
    </w:p>
    <w:p w14:paraId="09FDC55E" w14:textId="77777777" w:rsidR="00F305AA" w:rsidRDefault="00F305AA" w:rsidP="00F305AA">
      <w:pPr>
        <w:spacing w:line="360" w:lineRule="auto"/>
        <w:ind w:firstLine="851"/>
        <w:jc w:val="both"/>
        <w:rPr>
          <w:rFonts w:ascii="Arial" w:hAnsi="Arial" w:cs="Arial"/>
          <w:sz w:val="24"/>
          <w:szCs w:val="24"/>
        </w:rPr>
      </w:pPr>
    </w:p>
    <w:p w14:paraId="6789524E" w14:textId="77777777" w:rsidR="00F305AA" w:rsidRDefault="00F305AA" w:rsidP="00F305AA">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142E013C" wp14:editId="43F2255A">
            <wp:extent cx="5888736" cy="2905941"/>
            <wp:effectExtent l="0" t="0" r="0" b="889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stimativa renúncia 2019 -LOA.PNG"/>
                    <pic:cNvPicPr/>
                  </pic:nvPicPr>
                  <pic:blipFill>
                    <a:blip r:embed="rId47">
                      <a:extLst>
                        <a:ext uri="{28A0092B-C50C-407E-A947-70E740481C1C}">
                          <a14:useLocalDpi xmlns:a14="http://schemas.microsoft.com/office/drawing/2010/main" val="0"/>
                        </a:ext>
                      </a:extLst>
                    </a:blip>
                    <a:stretch>
                      <a:fillRect/>
                    </a:stretch>
                  </pic:blipFill>
                  <pic:spPr>
                    <a:xfrm>
                      <a:off x="0" y="0"/>
                      <a:ext cx="5892518" cy="2907807"/>
                    </a:xfrm>
                    <a:prstGeom prst="rect">
                      <a:avLst/>
                    </a:prstGeom>
                  </pic:spPr>
                </pic:pic>
              </a:graphicData>
            </a:graphic>
          </wp:inline>
        </w:drawing>
      </w:r>
    </w:p>
    <w:p w14:paraId="1A276C28" w14:textId="77777777" w:rsidR="00F305AA" w:rsidRDefault="00F305AA" w:rsidP="00F305AA">
      <w:pPr>
        <w:spacing w:line="360" w:lineRule="auto"/>
        <w:ind w:firstLine="851"/>
        <w:jc w:val="both"/>
        <w:rPr>
          <w:rFonts w:ascii="Arial" w:hAnsi="Arial" w:cs="Arial"/>
          <w:sz w:val="24"/>
          <w:szCs w:val="24"/>
        </w:rPr>
      </w:pPr>
    </w:p>
    <w:p w14:paraId="756CEAA2" w14:textId="77777777" w:rsidR="00F305AA" w:rsidRDefault="00F305AA" w:rsidP="00F305AA">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3B8FBD45" wp14:editId="145CD629">
            <wp:extent cx="5799654" cy="5601741"/>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stimativa renúncia 2019 -LDO.PNG"/>
                    <pic:cNvPicPr/>
                  </pic:nvPicPr>
                  <pic:blipFill>
                    <a:blip r:embed="rId48">
                      <a:extLst>
                        <a:ext uri="{28A0092B-C50C-407E-A947-70E740481C1C}">
                          <a14:useLocalDpi xmlns:a14="http://schemas.microsoft.com/office/drawing/2010/main" val="0"/>
                        </a:ext>
                      </a:extLst>
                    </a:blip>
                    <a:stretch>
                      <a:fillRect/>
                    </a:stretch>
                  </pic:blipFill>
                  <pic:spPr>
                    <a:xfrm>
                      <a:off x="0" y="0"/>
                      <a:ext cx="5806925" cy="5608764"/>
                    </a:xfrm>
                    <a:prstGeom prst="rect">
                      <a:avLst/>
                    </a:prstGeom>
                  </pic:spPr>
                </pic:pic>
              </a:graphicData>
            </a:graphic>
          </wp:inline>
        </w:drawing>
      </w:r>
    </w:p>
    <w:p w14:paraId="6E723A37" w14:textId="77777777" w:rsidR="00F305AA" w:rsidRDefault="00F305AA" w:rsidP="00F305AA">
      <w:pPr>
        <w:spacing w:line="360" w:lineRule="auto"/>
        <w:ind w:firstLine="851"/>
        <w:jc w:val="both"/>
        <w:rPr>
          <w:rFonts w:ascii="Arial" w:hAnsi="Arial" w:cs="Arial"/>
          <w:sz w:val="24"/>
          <w:szCs w:val="24"/>
        </w:rPr>
      </w:pPr>
    </w:p>
    <w:p w14:paraId="2F304971" w14:textId="77777777" w:rsidR="00F305AA" w:rsidRDefault="00F305AA" w:rsidP="00F305AA">
      <w:pPr>
        <w:spacing w:line="360" w:lineRule="auto"/>
        <w:jc w:val="both"/>
        <w:rPr>
          <w:rFonts w:ascii="Arial" w:hAnsi="Arial" w:cs="Arial"/>
          <w:sz w:val="24"/>
          <w:szCs w:val="24"/>
        </w:rPr>
      </w:pPr>
      <w:r>
        <w:rPr>
          <w:rFonts w:ascii="Arial" w:hAnsi="Arial" w:cs="Arial"/>
          <w:noProof/>
          <w:sz w:val="24"/>
          <w:szCs w:val="24"/>
        </w:rPr>
        <w:drawing>
          <wp:inline distT="0" distB="0" distL="0" distR="0" wp14:anchorId="4890B16B" wp14:editId="71F33D7F">
            <wp:extent cx="5935980" cy="2275205"/>
            <wp:effectExtent l="0" t="0" r="762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stimativa renúncia 2018 -LOA.PNG"/>
                    <pic:cNvPicPr/>
                  </pic:nvPicPr>
                  <pic:blipFill>
                    <a:blip r:embed="rId49">
                      <a:extLst>
                        <a:ext uri="{28A0092B-C50C-407E-A947-70E740481C1C}">
                          <a14:useLocalDpi xmlns:a14="http://schemas.microsoft.com/office/drawing/2010/main" val="0"/>
                        </a:ext>
                      </a:extLst>
                    </a:blip>
                    <a:stretch>
                      <a:fillRect/>
                    </a:stretch>
                  </pic:blipFill>
                  <pic:spPr>
                    <a:xfrm>
                      <a:off x="0" y="0"/>
                      <a:ext cx="5935980" cy="2275205"/>
                    </a:xfrm>
                    <a:prstGeom prst="rect">
                      <a:avLst/>
                    </a:prstGeom>
                  </pic:spPr>
                </pic:pic>
              </a:graphicData>
            </a:graphic>
          </wp:inline>
        </w:drawing>
      </w:r>
    </w:p>
    <w:p w14:paraId="6A7E3875" w14:textId="77777777" w:rsidR="00F305AA" w:rsidRDefault="00F305AA" w:rsidP="00F305AA">
      <w:pPr>
        <w:spacing w:line="360" w:lineRule="auto"/>
        <w:ind w:firstLine="851"/>
        <w:jc w:val="both"/>
        <w:rPr>
          <w:rFonts w:ascii="Arial" w:hAnsi="Arial" w:cs="Arial"/>
          <w:sz w:val="24"/>
          <w:szCs w:val="24"/>
        </w:rPr>
      </w:pPr>
    </w:p>
    <w:p w14:paraId="0748DA7E"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lastRenderedPageBreak/>
        <w:t xml:space="preserve">Nota-se, em tais documentos, que não há medidas de compensação para a renúncia de receita decorrente dos programas FOMENTAR e PRODUZIR, o que, entretanto, não impacta as metas fiscais, uma vez que os benefícios já são expurgados da estimativa de receita. Por outro lado, </w:t>
      </w:r>
      <w:r w:rsidRPr="00B55B53">
        <w:rPr>
          <w:rFonts w:ascii="Arial" w:hAnsi="Arial" w:cs="Arial"/>
          <w:b/>
          <w:sz w:val="24"/>
          <w:szCs w:val="24"/>
        </w:rPr>
        <w:t>em tais demonstrativos ainda não consta a regionalização dos efeitos dos programas</w:t>
      </w:r>
      <w:r>
        <w:rPr>
          <w:rFonts w:ascii="Arial" w:hAnsi="Arial" w:cs="Arial"/>
          <w:sz w:val="24"/>
          <w:szCs w:val="24"/>
        </w:rPr>
        <w:t>, o que se faz necessário.</w:t>
      </w:r>
    </w:p>
    <w:p w14:paraId="10F2BC2A"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Portanto, cabe ao Executivo, e também a este Parlamento, atenção quanto a essas exigências constitucionais e legais de estudos, estimativas e demonstrativos sobre os impactos, inclusive regionalizados, quando do envio, análise e aprovação de projetos de lei instituindo ou ampliando benefícios fiscais e dos projetos de leis orçamentárias, como medida indispensável para revelar a conveniência e oportunidade dos benefícios e de sua manutenção, conforme o interesse público.</w:t>
      </w:r>
    </w:p>
    <w:p w14:paraId="4B294710" w14:textId="77777777" w:rsidR="00F305AA" w:rsidRPr="00F612F0" w:rsidRDefault="00F305AA" w:rsidP="00F305AA">
      <w:pPr>
        <w:spacing w:line="360" w:lineRule="auto"/>
        <w:ind w:firstLine="851"/>
        <w:jc w:val="both"/>
        <w:rPr>
          <w:rFonts w:ascii="Arial" w:hAnsi="Arial" w:cs="Arial"/>
          <w:sz w:val="24"/>
          <w:szCs w:val="24"/>
        </w:rPr>
      </w:pPr>
    </w:p>
    <w:p w14:paraId="0998064F" w14:textId="63ADCB59" w:rsidR="00F305AA" w:rsidRDefault="00F305AA" w:rsidP="00F305AA">
      <w:pPr>
        <w:spacing w:line="360" w:lineRule="auto"/>
        <w:ind w:firstLine="851"/>
        <w:jc w:val="both"/>
        <w:rPr>
          <w:rFonts w:ascii="Arial" w:hAnsi="Arial" w:cs="Arial"/>
          <w:sz w:val="24"/>
          <w:szCs w:val="24"/>
        </w:rPr>
      </w:pPr>
      <w:r w:rsidRPr="005E7F01">
        <w:rPr>
          <w:rFonts w:ascii="Arial" w:hAnsi="Arial" w:cs="Arial"/>
          <w:b/>
          <w:sz w:val="24"/>
          <w:szCs w:val="24"/>
        </w:rPr>
        <w:t>6.2.1.</w:t>
      </w:r>
      <w:r>
        <w:rPr>
          <w:rFonts w:ascii="Arial" w:hAnsi="Arial" w:cs="Arial"/>
          <w:b/>
          <w:sz w:val="24"/>
          <w:szCs w:val="24"/>
        </w:rPr>
        <w:t>3</w:t>
      </w:r>
      <w:r w:rsidR="00D46587">
        <w:rPr>
          <w:rFonts w:ascii="Arial" w:hAnsi="Arial" w:cs="Arial"/>
          <w:b/>
          <w:sz w:val="24"/>
          <w:szCs w:val="24"/>
        </w:rPr>
        <w:t>.</w:t>
      </w:r>
      <w:r>
        <w:rPr>
          <w:rFonts w:ascii="Arial" w:hAnsi="Arial" w:cs="Arial"/>
          <w:sz w:val="24"/>
          <w:szCs w:val="24"/>
        </w:rPr>
        <w:t xml:space="preserve"> A classificação indevida das receitas oriundas dos programas PRODUZIR e FOMENTAR, segundo a equipe técnica do TCE-GO, consiste em, </w:t>
      </w:r>
      <w:r>
        <w:rPr>
          <w:rFonts w:ascii="Arial" w:hAnsi="Arial" w:cs="Arial"/>
          <w:i/>
          <w:sz w:val="24"/>
          <w:szCs w:val="24"/>
        </w:rPr>
        <w:t>in verbis</w:t>
      </w:r>
      <w:r>
        <w:rPr>
          <w:rFonts w:ascii="Arial" w:hAnsi="Arial" w:cs="Arial"/>
          <w:sz w:val="24"/>
          <w:szCs w:val="24"/>
        </w:rPr>
        <w:t>:</w:t>
      </w:r>
    </w:p>
    <w:p w14:paraId="2836C1D8" w14:textId="77777777" w:rsidR="00F305AA" w:rsidRDefault="00F305AA" w:rsidP="00F305AA">
      <w:pPr>
        <w:spacing w:line="360" w:lineRule="auto"/>
        <w:ind w:firstLine="851"/>
        <w:jc w:val="both"/>
        <w:rPr>
          <w:rFonts w:ascii="Arial" w:hAnsi="Arial" w:cs="Arial"/>
          <w:sz w:val="24"/>
          <w:szCs w:val="24"/>
        </w:rPr>
      </w:pPr>
    </w:p>
    <w:p w14:paraId="57B73756" w14:textId="77777777" w:rsidR="00F305AA" w:rsidRPr="00F407D6" w:rsidRDefault="00F305AA" w:rsidP="00F305AA">
      <w:pPr>
        <w:ind w:left="2268"/>
        <w:jc w:val="both"/>
        <w:rPr>
          <w:rFonts w:ascii="Arial" w:hAnsi="Arial" w:cs="Arial"/>
          <w:sz w:val="22"/>
          <w:szCs w:val="24"/>
        </w:rPr>
      </w:pPr>
      <w:r w:rsidRPr="00F407D6">
        <w:rPr>
          <w:rFonts w:ascii="Arial" w:hAnsi="Arial" w:cs="Arial"/>
          <w:sz w:val="22"/>
          <w:szCs w:val="24"/>
        </w:rPr>
        <w:t>Preceitua o § 16 do artigo 42 do Decreto nº 3.822, de 10 de julho de 1992, que antes da distribuição do valor líquido da arrecadação da Bolsa Garantia (deduzidas às despesas mencionadas no inciso XIII do art. 20 da Lei no 13.591, de 18 de janeiro de 2000), devem ser subtraídos os 25% (vinte e cinco por cento) previstos no inciso IV, art. 158, da Constituição Federal, correspondentes à quota-parte, do ICMS dos Municípios.</w:t>
      </w:r>
    </w:p>
    <w:p w14:paraId="2AD2BD1A" w14:textId="77777777" w:rsidR="00F305AA" w:rsidRPr="00F407D6" w:rsidRDefault="00F305AA" w:rsidP="00F305AA">
      <w:pPr>
        <w:ind w:left="2268"/>
        <w:jc w:val="both"/>
        <w:rPr>
          <w:rFonts w:ascii="Arial" w:hAnsi="Arial" w:cs="Arial"/>
          <w:sz w:val="22"/>
          <w:szCs w:val="24"/>
        </w:rPr>
      </w:pPr>
      <w:r w:rsidRPr="00F407D6">
        <w:rPr>
          <w:rFonts w:ascii="Arial" w:hAnsi="Arial" w:cs="Arial"/>
          <w:sz w:val="22"/>
          <w:szCs w:val="24"/>
        </w:rPr>
        <w:t>A dedução da quota parte do município também estava prevista no art. 3º da Lei nº 14.063, de 26 de dezembro de 2001. Contudo, a Lei nº 18.364/2014, de 10 de janeiro de 2014, deu nova redação ao art. 3º da Lei nº 14.063 revogando o dispositivo que previa a destinação de 25% (vinte e cinco por cento) aos municípios goianos.</w:t>
      </w:r>
    </w:p>
    <w:p w14:paraId="71AD66A2" w14:textId="77777777" w:rsidR="00F305AA" w:rsidRPr="00F407D6" w:rsidRDefault="00F305AA" w:rsidP="00F305AA">
      <w:pPr>
        <w:ind w:left="2268"/>
        <w:jc w:val="both"/>
        <w:rPr>
          <w:rFonts w:ascii="Arial" w:hAnsi="Arial" w:cs="Arial"/>
          <w:sz w:val="22"/>
          <w:szCs w:val="24"/>
        </w:rPr>
      </w:pPr>
      <w:r w:rsidRPr="00F407D6">
        <w:rPr>
          <w:rFonts w:ascii="Arial" w:hAnsi="Arial" w:cs="Arial"/>
          <w:sz w:val="22"/>
          <w:szCs w:val="24"/>
        </w:rPr>
        <w:t xml:space="preserve">Com essa alteração, </w:t>
      </w:r>
      <w:r w:rsidRPr="008E6E24">
        <w:rPr>
          <w:rFonts w:ascii="Arial" w:hAnsi="Arial" w:cs="Arial"/>
          <w:b/>
          <w:sz w:val="22"/>
          <w:szCs w:val="24"/>
        </w:rPr>
        <w:t>a receita da Bolsa Garantia passou a ser contabilizada diretamente para o PROTEGE</w:t>
      </w:r>
      <w:r w:rsidRPr="00F407D6">
        <w:rPr>
          <w:rFonts w:ascii="Arial" w:hAnsi="Arial" w:cs="Arial"/>
          <w:sz w:val="22"/>
          <w:szCs w:val="24"/>
        </w:rPr>
        <w:t xml:space="preserve"> sem a devida repartição com os municípios goianos, conforme se observa nos Documentos de Arrecadação de Receitas Estaduais – DARE.</w:t>
      </w:r>
    </w:p>
    <w:p w14:paraId="24474D0A" w14:textId="77777777" w:rsidR="00F305AA" w:rsidRPr="00F407D6" w:rsidRDefault="00F305AA" w:rsidP="00F305AA">
      <w:pPr>
        <w:ind w:left="2268"/>
        <w:jc w:val="both"/>
        <w:rPr>
          <w:rFonts w:ascii="Arial" w:hAnsi="Arial" w:cs="Arial"/>
          <w:sz w:val="22"/>
          <w:szCs w:val="24"/>
        </w:rPr>
      </w:pPr>
      <w:r w:rsidRPr="00F407D6">
        <w:rPr>
          <w:rFonts w:ascii="Arial" w:hAnsi="Arial" w:cs="Arial"/>
          <w:sz w:val="22"/>
          <w:szCs w:val="24"/>
        </w:rPr>
        <w:t>[...]</w:t>
      </w:r>
    </w:p>
    <w:p w14:paraId="5E633998" w14:textId="77777777" w:rsidR="00F305AA" w:rsidRPr="00F407D6" w:rsidRDefault="00F305AA" w:rsidP="00F305AA">
      <w:pPr>
        <w:ind w:left="2268"/>
        <w:jc w:val="both"/>
        <w:rPr>
          <w:rFonts w:ascii="Arial" w:hAnsi="Arial" w:cs="Arial"/>
          <w:sz w:val="22"/>
          <w:szCs w:val="24"/>
        </w:rPr>
      </w:pPr>
      <w:r w:rsidRPr="00F407D6">
        <w:rPr>
          <w:rFonts w:ascii="Arial" w:hAnsi="Arial" w:cs="Arial"/>
          <w:sz w:val="22"/>
          <w:szCs w:val="24"/>
        </w:rPr>
        <w:t xml:space="preserve">Em análise do Orçamento do Estado de Goiás referente ao exercício de 2016 e Documentos de Arrecadação Estadual – DARE de empresas selecionadas na amostra, observa-se que </w:t>
      </w:r>
      <w:r w:rsidRPr="008E6E24">
        <w:rPr>
          <w:rFonts w:ascii="Arial" w:hAnsi="Arial" w:cs="Arial"/>
          <w:b/>
          <w:sz w:val="22"/>
          <w:szCs w:val="24"/>
        </w:rPr>
        <w:t>as antecipações são classificadas como receitas tributárias na modalidade de taxa, os juros como receita de serviços e o saldo devedor como receita de capital</w:t>
      </w:r>
      <w:r w:rsidRPr="00F407D6">
        <w:rPr>
          <w:rFonts w:ascii="Arial" w:hAnsi="Arial" w:cs="Arial"/>
          <w:sz w:val="22"/>
          <w:szCs w:val="24"/>
        </w:rPr>
        <w:t xml:space="preserve"> na modalidade de amortização de empréstimos, conforme quadro a seguir:</w:t>
      </w:r>
    </w:p>
    <w:p w14:paraId="1FA56891" w14:textId="77777777" w:rsidR="00F305AA" w:rsidRDefault="00F305AA" w:rsidP="00F305AA">
      <w:pPr>
        <w:ind w:left="2268"/>
        <w:jc w:val="both"/>
        <w:rPr>
          <w:rFonts w:ascii="Arial" w:hAnsi="Arial" w:cs="Arial"/>
          <w:sz w:val="22"/>
          <w:szCs w:val="24"/>
        </w:rPr>
      </w:pPr>
    </w:p>
    <w:p w14:paraId="27A94F2E" w14:textId="77777777" w:rsidR="00F305AA" w:rsidRDefault="00F305AA" w:rsidP="00F305AA">
      <w:pPr>
        <w:ind w:left="2268"/>
        <w:jc w:val="both"/>
        <w:rPr>
          <w:rFonts w:ascii="Arial" w:hAnsi="Arial" w:cs="Arial"/>
          <w:sz w:val="22"/>
          <w:szCs w:val="24"/>
        </w:rPr>
      </w:pPr>
      <w:r>
        <w:rPr>
          <w:rFonts w:ascii="Arial" w:hAnsi="Arial" w:cs="Arial"/>
          <w:noProof/>
          <w:sz w:val="22"/>
          <w:szCs w:val="24"/>
        </w:rPr>
        <w:lastRenderedPageBreak/>
        <w:drawing>
          <wp:inline distT="0" distB="0" distL="0" distR="0" wp14:anchorId="1B8B12FF" wp14:editId="41647CCE">
            <wp:extent cx="4834305" cy="3699164"/>
            <wp:effectExtent l="0" t="0" r="444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lassificação receita.PNG"/>
                    <pic:cNvPicPr/>
                  </pic:nvPicPr>
                  <pic:blipFill>
                    <a:blip r:embed="rId50">
                      <a:extLst>
                        <a:ext uri="{28A0092B-C50C-407E-A947-70E740481C1C}">
                          <a14:useLocalDpi xmlns:a14="http://schemas.microsoft.com/office/drawing/2010/main" val="0"/>
                        </a:ext>
                      </a:extLst>
                    </a:blip>
                    <a:stretch>
                      <a:fillRect/>
                    </a:stretch>
                  </pic:blipFill>
                  <pic:spPr>
                    <a:xfrm>
                      <a:off x="0" y="0"/>
                      <a:ext cx="4848062" cy="3709691"/>
                    </a:xfrm>
                    <a:prstGeom prst="rect">
                      <a:avLst/>
                    </a:prstGeom>
                  </pic:spPr>
                </pic:pic>
              </a:graphicData>
            </a:graphic>
          </wp:inline>
        </w:drawing>
      </w:r>
    </w:p>
    <w:p w14:paraId="254F5CA6" w14:textId="77777777" w:rsidR="00F305AA" w:rsidRPr="00F407D6" w:rsidRDefault="00F305AA" w:rsidP="00F305AA">
      <w:pPr>
        <w:ind w:left="2268"/>
        <w:jc w:val="both"/>
        <w:rPr>
          <w:rFonts w:ascii="Arial" w:hAnsi="Arial" w:cs="Arial"/>
          <w:sz w:val="22"/>
          <w:szCs w:val="24"/>
        </w:rPr>
      </w:pPr>
    </w:p>
    <w:p w14:paraId="70A203F9" w14:textId="77777777" w:rsidR="00F305AA" w:rsidRPr="00F407D6" w:rsidRDefault="00F305AA" w:rsidP="00F305AA">
      <w:pPr>
        <w:ind w:left="2268"/>
        <w:jc w:val="both"/>
        <w:rPr>
          <w:rFonts w:ascii="Arial" w:hAnsi="Arial" w:cs="Arial"/>
          <w:sz w:val="22"/>
          <w:szCs w:val="24"/>
        </w:rPr>
      </w:pPr>
      <w:r w:rsidRPr="008E6E24">
        <w:rPr>
          <w:rFonts w:ascii="Arial" w:hAnsi="Arial" w:cs="Arial"/>
          <w:b/>
          <w:sz w:val="22"/>
          <w:szCs w:val="24"/>
        </w:rPr>
        <w:t>Entende-se que embora as receitas sejam classificadas como taxa, juros e amortização de empréstimos, tratam-se na essência de receita de ICMS</w:t>
      </w:r>
      <w:r w:rsidRPr="00F407D6">
        <w:rPr>
          <w:rFonts w:ascii="Arial" w:hAnsi="Arial" w:cs="Arial"/>
          <w:sz w:val="22"/>
          <w:szCs w:val="24"/>
        </w:rPr>
        <w:t>, uma vez que este é a base de cálculo e recolhimento.</w:t>
      </w:r>
    </w:p>
    <w:p w14:paraId="127F6617" w14:textId="77777777" w:rsidR="00F305AA" w:rsidRPr="00F407D6" w:rsidRDefault="00F305AA" w:rsidP="00F305AA">
      <w:pPr>
        <w:ind w:left="2268"/>
        <w:jc w:val="both"/>
        <w:rPr>
          <w:rFonts w:ascii="Arial" w:hAnsi="Arial" w:cs="Arial"/>
          <w:sz w:val="22"/>
          <w:szCs w:val="24"/>
        </w:rPr>
      </w:pPr>
      <w:r w:rsidRPr="00F407D6">
        <w:rPr>
          <w:rFonts w:ascii="Arial" w:hAnsi="Arial" w:cs="Arial"/>
          <w:sz w:val="22"/>
          <w:szCs w:val="24"/>
        </w:rPr>
        <w:t>[...]</w:t>
      </w:r>
    </w:p>
    <w:p w14:paraId="3C7C32EF" w14:textId="77777777" w:rsidR="00F305AA" w:rsidRPr="00F407D6" w:rsidRDefault="00F305AA" w:rsidP="00F305AA">
      <w:pPr>
        <w:ind w:left="2268"/>
        <w:jc w:val="both"/>
        <w:rPr>
          <w:rFonts w:ascii="Arial" w:hAnsi="Arial" w:cs="Arial"/>
          <w:sz w:val="22"/>
          <w:szCs w:val="24"/>
        </w:rPr>
      </w:pPr>
      <w:r w:rsidRPr="008E6E24">
        <w:rPr>
          <w:rFonts w:ascii="Arial" w:hAnsi="Arial" w:cs="Arial"/>
          <w:b/>
          <w:sz w:val="22"/>
          <w:szCs w:val="24"/>
        </w:rPr>
        <w:t>Essa alteração da natureza das receitas reflete no montante a ser repassado aos Municípios</w:t>
      </w:r>
      <w:r w:rsidRPr="00F407D6">
        <w:rPr>
          <w:rFonts w:ascii="Arial" w:hAnsi="Arial" w:cs="Arial"/>
          <w:sz w:val="22"/>
          <w:szCs w:val="24"/>
        </w:rPr>
        <w:t xml:space="preserve">, conforme determina o art. 158, IV da Constituição Federal, </w:t>
      </w:r>
      <w:r w:rsidRPr="008E6E24">
        <w:rPr>
          <w:rFonts w:ascii="Arial" w:hAnsi="Arial" w:cs="Arial"/>
          <w:b/>
          <w:sz w:val="22"/>
          <w:szCs w:val="24"/>
        </w:rPr>
        <w:t>e demais repartições vinculadas a esse imposto (Saúde, Educação, Cultura etc.)</w:t>
      </w:r>
      <w:r w:rsidRPr="00F407D6">
        <w:rPr>
          <w:rFonts w:ascii="Arial" w:hAnsi="Arial" w:cs="Arial"/>
          <w:sz w:val="22"/>
          <w:szCs w:val="24"/>
        </w:rPr>
        <w:t>.</w:t>
      </w:r>
      <w:r>
        <w:rPr>
          <w:rStyle w:val="Refdenotaderodap"/>
          <w:rFonts w:ascii="Arial" w:hAnsi="Arial" w:cs="Arial"/>
          <w:sz w:val="22"/>
          <w:szCs w:val="24"/>
        </w:rPr>
        <w:footnoteReference w:id="44"/>
      </w:r>
    </w:p>
    <w:p w14:paraId="03BAC59B" w14:textId="77777777" w:rsidR="00F305AA" w:rsidRDefault="00F305AA" w:rsidP="00F305AA">
      <w:pPr>
        <w:spacing w:line="360" w:lineRule="auto"/>
        <w:ind w:firstLine="851"/>
        <w:jc w:val="both"/>
        <w:rPr>
          <w:rFonts w:ascii="Arial" w:hAnsi="Arial" w:cs="Arial"/>
          <w:sz w:val="24"/>
          <w:szCs w:val="24"/>
        </w:rPr>
      </w:pPr>
    </w:p>
    <w:p w14:paraId="2F3B896D" w14:textId="77777777" w:rsidR="00F305AA" w:rsidRPr="008E6E24"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Tal achado revela que, em relação a parcela do que </w:t>
      </w:r>
      <w:r w:rsidRPr="008E6E24">
        <w:rPr>
          <w:rFonts w:ascii="Arial" w:hAnsi="Arial" w:cs="Arial"/>
          <w:b/>
          <w:sz w:val="24"/>
          <w:szCs w:val="24"/>
        </w:rPr>
        <w:t xml:space="preserve">foi </w:t>
      </w:r>
      <w:r>
        <w:rPr>
          <w:rFonts w:ascii="Arial" w:hAnsi="Arial" w:cs="Arial"/>
          <w:b/>
          <w:sz w:val="24"/>
          <w:szCs w:val="24"/>
        </w:rPr>
        <w:t>efetivamente recolhido</w:t>
      </w:r>
      <w:r>
        <w:rPr>
          <w:rFonts w:ascii="Arial" w:hAnsi="Arial" w:cs="Arial"/>
          <w:sz w:val="24"/>
          <w:szCs w:val="24"/>
        </w:rPr>
        <w:t xml:space="preserve"> a título de ICMS no âmbito dos programas FOMENTAR e PRODUZIR, não há a devida classificação como receita tributária de impostos, impactando a repartição constitucional de receitas e as vinculações constitucionais.</w:t>
      </w:r>
    </w:p>
    <w:p w14:paraId="1A13E454" w14:textId="77777777" w:rsidR="00F305AA" w:rsidRDefault="00F305AA" w:rsidP="00F305AA">
      <w:pPr>
        <w:spacing w:line="360" w:lineRule="auto"/>
        <w:ind w:firstLine="851"/>
        <w:jc w:val="both"/>
        <w:rPr>
          <w:rFonts w:ascii="Arial" w:hAnsi="Arial" w:cs="Arial"/>
          <w:sz w:val="24"/>
          <w:szCs w:val="24"/>
        </w:rPr>
      </w:pPr>
    </w:p>
    <w:p w14:paraId="082B3A2B" w14:textId="037631DB" w:rsidR="00F305AA" w:rsidRDefault="00F305AA" w:rsidP="00F305AA">
      <w:pPr>
        <w:spacing w:line="360" w:lineRule="auto"/>
        <w:ind w:firstLine="851"/>
        <w:jc w:val="both"/>
        <w:rPr>
          <w:rFonts w:ascii="Arial" w:hAnsi="Arial" w:cs="Arial"/>
          <w:sz w:val="24"/>
          <w:szCs w:val="24"/>
        </w:rPr>
      </w:pPr>
      <w:r w:rsidRPr="005E7F01">
        <w:rPr>
          <w:rFonts w:ascii="Arial" w:hAnsi="Arial" w:cs="Arial"/>
          <w:b/>
          <w:sz w:val="24"/>
          <w:szCs w:val="24"/>
        </w:rPr>
        <w:t>6.2.1.</w:t>
      </w:r>
      <w:r>
        <w:rPr>
          <w:rFonts w:ascii="Arial" w:hAnsi="Arial" w:cs="Arial"/>
          <w:b/>
          <w:sz w:val="24"/>
          <w:szCs w:val="24"/>
        </w:rPr>
        <w:t>4</w:t>
      </w:r>
      <w:r w:rsidR="00D46587">
        <w:rPr>
          <w:rFonts w:ascii="Arial" w:hAnsi="Arial" w:cs="Arial"/>
          <w:b/>
          <w:sz w:val="24"/>
          <w:szCs w:val="24"/>
        </w:rPr>
        <w:t>.</w:t>
      </w:r>
      <w:r>
        <w:rPr>
          <w:rFonts w:ascii="Arial" w:hAnsi="Arial" w:cs="Arial"/>
          <w:sz w:val="24"/>
          <w:szCs w:val="24"/>
        </w:rPr>
        <w:t xml:space="preserve"> Sobre a ausência de registro e evidenciação da renúncia de receita na contabilidade do Estado, a equipe técnica do TCE-GO inicialmente pontuou que:</w:t>
      </w:r>
    </w:p>
    <w:p w14:paraId="7D633A51" w14:textId="77777777" w:rsidR="00F305AA" w:rsidRDefault="00F305AA" w:rsidP="00F305AA">
      <w:pPr>
        <w:spacing w:line="360" w:lineRule="auto"/>
        <w:ind w:firstLine="851"/>
        <w:jc w:val="both"/>
        <w:rPr>
          <w:rFonts w:ascii="Arial" w:hAnsi="Arial" w:cs="Arial"/>
          <w:sz w:val="24"/>
          <w:szCs w:val="24"/>
        </w:rPr>
      </w:pPr>
    </w:p>
    <w:p w14:paraId="62C12631" w14:textId="77777777" w:rsidR="00F305AA" w:rsidRPr="00183AA4" w:rsidRDefault="00F305AA" w:rsidP="00F305AA">
      <w:pPr>
        <w:ind w:left="2268"/>
        <w:jc w:val="both"/>
        <w:rPr>
          <w:rFonts w:ascii="Arial" w:hAnsi="Arial" w:cs="Arial"/>
          <w:sz w:val="22"/>
          <w:szCs w:val="24"/>
        </w:rPr>
      </w:pPr>
      <w:r w:rsidRPr="00183AA4">
        <w:rPr>
          <w:rFonts w:ascii="Arial" w:hAnsi="Arial" w:cs="Arial"/>
          <w:sz w:val="22"/>
          <w:szCs w:val="24"/>
        </w:rPr>
        <w:t>Entretanto, em entrevistas com os gestores e técnicos a Superintendência de Contabilidade do estado de Goiás, em 15 de dezembro de 2017, houve a informação de que a Renúncia de Receita, sob qualquer modalidade, ainda não é contabilizada.</w:t>
      </w:r>
    </w:p>
    <w:p w14:paraId="26E30DE1" w14:textId="77777777" w:rsidR="00F305AA" w:rsidRPr="00183AA4" w:rsidRDefault="00F305AA" w:rsidP="00F305AA">
      <w:pPr>
        <w:ind w:left="2268"/>
        <w:jc w:val="both"/>
        <w:rPr>
          <w:rFonts w:ascii="Arial" w:hAnsi="Arial" w:cs="Arial"/>
          <w:sz w:val="22"/>
          <w:szCs w:val="24"/>
        </w:rPr>
      </w:pPr>
      <w:r w:rsidRPr="00183AA4">
        <w:rPr>
          <w:rFonts w:ascii="Arial" w:hAnsi="Arial" w:cs="Arial"/>
          <w:sz w:val="22"/>
          <w:szCs w:val="24"/>
        </w:rPr>
        <w:lastRenderedPageBreak/>
        <w:t xml:space="preserve">Os servidores informaram que devido ao processo de implantação do novo sistema de contabilidade no Estado de Goiás (SCG) no exercício de 2016 e a respectiva adoção do Plano de Contas Único das Federações (PCASP), inúmeros ajustes e desenvolvimentos foram necessários e não foi possível o desenvolvimento dos procedimentos necessários para o registro contábil dos valores referentes à renúncia de receita apurada pela Receita Estadual. </w:t>
      </w:r>
    </w:p>
    <w:p w14:paraId="6F982FAD" w14:textId="77777777" w:rsidR="00F305AA" w:rsidRPr="00183AA4" w:rsidRDefault="00F305AA" w:rsidP="00F305AA">
      <w:pPr>
        <w:ind w:left="2268"/>
        <w:jc w:val="both"/>
        <w:rPr>
          <w:rFonts w:ascii="Arial" w:hAnsi="Arial" w:cs="Arial"/>
          <w:sz w:val="22"/>
          <w:szCs w:val="24"/>
        </w:rPr>
      </w:pPr>
      <w:r w:rsidRPr="00183AA4">
        <w:rPr>
          <w:rFonts w:ascii="Arial" w:hAnsi="Arial" w:cs="Arial"/>
          <w:sz w:val="22"/>
          <w:szCs w:val="24"/>
        </w:rPr>
        <w:t>Em consultas ao Plano de Contas do Estado de Goiás para o exercício de 2016 em 19 de dezembro de 2017, disponível no Sistema de Contabilidade de Goiás – SCG, constatou-se a ausência de indicação renúncia de receita para o exercício de 2016 na rubrica “6. Controles da Execução do Planejamento e Orçamento”, especificamente no item “6.2.1.1.9.01.01.01.00 - (-) Dedução De Impostos” no qual deveria constar registrado a redução da Receita De Impostos, aprovada na Lei Orçamento Anual para o exercício de 2016.</w:t>
      </w:r>
      <w:r>
        <w:rPr>
          <w:rStyle w:val="Refdenotaderodap"/>
          <w:rFonts w:ascii="Arial" w:hAnsi="Arial" w:cs="Arial"/>
          <w:sz w:val="22"/>
          <w:szCs w:val="24"/>
        </w:rPr>
        <w:footnoteReference w:id="45"/>
      </w:r>
    </w:p>
    <w:p w14:paraId="3C69EFDE" w14:textId="77777777" w:rsidR="00F305AA" w:rsidRDefault="00F305AA" w:rsidP="00F305AA">
      <w:pPr>
        <w:spacing w:line="360" w:lineRule="auto"/>
        <w:ind w:firstLine="851"/>
        <w:jc w:val="both"/>
        <w:rPr>
          <w:rFonts w:ascii="Arial" w:hAnsi="Arial" w:cs="Arial"/>
          <w:sz w:val="24"/>
          <w:szCs w:val="24"/>
        </w:rPr>
      </w:pPr>
    </w:p>
    <w:p w14:paraId="4723E067"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Todavia, </w:t>
      </w:r>
      <w:r w:rsidRPr="00183AA4">
        <w:rPr>
          <w:rFonts w:ascii="Arial" w:hAnsi="Arial" w:cs="Arial"/>
          <w:b/>
          <w:sz w:val="24"/>
          <w:szCs w:val="24"/>
        </w:rPr>
        <w:t xml:space="preserve">tal </w:t>
      </w:r>
      <w:r>
        <w:rPr>
          <w:rFonts w:ascii="Arial" w:hAnsi="Arial" w:cs="Arial"/>
          <w:b/>
          <w:sz w:val="24"/>
          <w:szCs w:val="24"/>
        </w:rPr>
        <w:t>irregularidade</w:t>
      </w:r>
      <w:r w:rsidRPr="00183AA4">
        <w:rPr>
          <w:rFonts w:ascii="Arial" w:hAnsi="Arial" w:cs="Arial"/>
          <w:b/>
          <w:sz w:val="24"/>
          <w:szCs w:val="24"/>
        </w:rPr>
        <w:t xml:space="preserve"> foi posteriormente sanad</w:t>
      </w:r>
      <w:r>
        <w:rPr>
          <w:rFonts w:ascii="Arial" w:hAnsi="Arial" w:cs="Arial"/>
          <w:b/>
          <w:sz w:val="24"/>
          <w:szCs w:val="24"/>
        </w:rPr>
        <w:t>a</w:t>
      </w:r>
      <w:r>
        <w:rPr>
          <w:rFonts w:ascii="Arial" w:hAnsi="Arial" w:cs="Arial"/>
          <w:sz w:val="24"/>
          <w:szCs w:val="24"/>
        </w:rPr>
        <w:t>:</w:t>
      </w:r>
    </w:p>
    <w:p w14:paraId="4664B791" w14:textId="77777777" w:rsidR="00F305AA" w:rsidRDefault="00F305AA" w:rsidP="00F305AA">
      <w:pPr>
        <w:spacing w:line="360" w:lineRule="auto"/>
        <w:ind w:firstLine="851"/>
        <w:jc w:val="both"/>
        <w:rPr>
          <w:rFonts w:ascii="Arial" w:hAnsi="Arial" w:cs="Arial"/>
          <w:sz w:val="24"/>
          <w:szCs w:val="24"/>
        </w:rPr>
      </w:pPr>
    </w:p>
    <w:p w14:paraId="20E321F3" w14:textId="77777777" w:rsidR="00F305AA" w:rsidRPr="00183AA4" w:rsidRDefault="00F305AA" w:rsidP="00F305AA">
      <w:pPr>
        <w:ind w:left="2268"/>
        <w:jc w:val="both"/>
        <w:rPr>
          <w:rFonts w:ascii="Arial" w:hAnsi="Arial" w:cs="Arial"/>
          <w:sz w:val="22"/>
          <w:szCs w:val="24"/>
        </w:rPr>
      </w:pPr>
      <w:r w:rsidRPr="00183AA4">
        <w:rPr>
          <w:rFonts w:ascii="Arial" w:hAnsi="Arial" w:cs="Arial"/>
          <w:sz w:val="22"/>
          <w:szCs w:val="24"/>
        </w:rPr>
        <w:t xml:space="preserve">De acordo com informações prestadas pela Superintendência Executiva da Receita Estadual (Despacho n.º 1468/2018 SEI-SER- 05503) os valores referentes à renúncia de receita apurada no exercício de 2017 e divulgada no Portal da Transparência haviam sido encaminhados ao titular da Superintendência de Contabilidade-Geral em 29/01/2018.  Em consulta realizada no Sistema de Contabilidade Pública de Goiás (SCG), em 19/03/2018, exercício 2017, unidade orçamentária 9995, observou-se, que no exercício de 2017 houve a contabilização da renúncia de receita ocorrida no âmbito dos programas FOMENTAR e PRODUZIR. </w:t>
      </w:r>
    </w:p>
    <w:p w14:paraId="449A2CD0" w14:textId="77777777" w:rsidR="00F305AA" w:rsidRPr="00183AA4" w:rsidRDefault="00F305AA" w:rsidP="00F305AA">
      <w:pPr>
        <w:ind w:left="2268"/>
        <w:jc w:val="both"/>
        <w:rPr>
          <w:rFonts w:ascii="Arial" w:hAnsi="Arial" w:cs="Arial"/>
          <w:sz w:val="22"/>
          <w:szCs w:val="24"/>
        </w:rPr>
      </w:pPr>
      <w:r w:rsidRPr="00183AA4">
        <w:rPr>
          <w:rFonts w:ascii="Arial" w:hAnsi="Arial" w:cs="Arial"/>
          <w:sz w:val="22"/>
          <w:szCs w:val="24"/>
        </w:rPr>
        <w:t>Foi registrado, em 31/12/2017, o valor de R$ 2.276.492.260,93, conforme nota de lançamento nº 2017.9995.05417, conta contábil 1.1.1.8.02.1.1.9011. As informações sobre benefícios fiscais apresentadas são referentes a declarações de ajuste de ICMS informadas pelos contribuintes através da Escrituração Fiscal Digital-EFD e por estarem sujeitas a retificações, inclusive de valores, se difere um pouco daqueles dados informados no Portal da Transparência.</w:t>
      </w:r>
    </w:p>
    <w:p w14:paraId="69B5F09E" w14:textId="77777777" w:rsidR="00F305AA" w:rsidRPr="00183AA4" w:rsidRDefault="00F305AA" w:rsidP="00F305AA">
      <w:pPr>
        <w:ind w:left="2268"/>
        <w:jc w:val="both"/>
        <w:rPr>
          <w:rFonts w:ascii="Arial" w:hAnsi="Arial" w:cs="Arial"/>
          <w:sz w:val="22"/>
          <w:szCs w:val="24"/>
        </w:rPr>
      </w:pPr>
      <w:r w:rsidRPr="00183AA4">
        <w:rPr>
          <w:rFonts w:ascii="Arial" w:hAnsi="Arial" w:cs="Arial"/>
          <w:sz w:val="22"/>
          <w:szCs w:val="24"/>
        </w:rPr>
        <w:t>[...]</w:t>
      </w:r>
    </w:p>
    <w:p w14:paraId="03DCBB10" w14:textId="77777777" w:rsidR="00F305AA" w:rsidRPr="00183AA4" w:rsidRDefault="00F305AA" w:rsidP="00F305AA">
      <w:pPr>
        <w:ind w:left="2268"/>
        <w:jc w:val="both"/>
        <w:rPr>
          <w:rFonts w:ascii="Arial" w:hAnsi="Arial" w:cs="Arial"/>
          <w:sz w:val="22"/>
          <w:szCs w:val="24"/>
        </w:rPr>
      </w:pPr>
      <w:r w:rsidRPr="00183AA4">
        <w:rPr>
          <w:rFonts w:ascii="Arial" w:hAnsi="Arial" w:cs="Arial"/>
          <w:sz w:val="22"/>
          <w:szCs w:val="24"/>
        </w:rPr>
        <w:t>Apesar do avanço em se evidenciar, contabilmente, as renúncias de receita mensuráveis pelo estado, nota-se que o lançamento contábil ocorreu anualmente e não pelo regime de competência, prejudicando a transparência mensal das demonstrações.</w:t>
      </w:r>
      <w:r>
        <w:rPr>
          <w:rStyle w:val="Refdenotaderodap"/>
          <w:rFonts w:ascii="Arial" w:hAnsi="Arial" w:cs="Arial"/>
          <w:sz w:val="22"/>
          <w:szCs w:val="24"/>
        </w:rPr>
        <w:footnoteReference w:id="46"/>
      </w:r>
    </w:p>
    <w:p w14:paraId="46010A3D" w14:textId="77777777" w:rsidR="00F305AA" w:rsidRDefault="00F305AA" w:rsidP="00F305AA">
      <w:pPr>
        <w:spacing w:line="360" w:lineRule="auto"/>
        <w:ind w:firstLine="851"/>
        <w:jc w:val="both"/>
        <w:rPr>
          <w:rFonts w:ascii="Arial" w:hAnsi="Arial" w:cs="Arial"/>
          <w:sz w:val="24"/>
          <w:szCs w:val="24"/>
        </w:rPr>
      </w:pPr>
    </w:p>
    <w:p w14:paraId="30F28D32" w14:textId="5CB3EB5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Nos primeiros 4 (quatro) achados, que acabamos de apresentar, prepondera a natureza contábil-orçamentária. Nos seguintes, todavia, são destacadas irregularidades e deficiências </w:t>
      </w:r>
      <w:r w:rsidR="00481FA7">
        <w:rPr>
          <w:rFonts w:ascii="Arial" w:hAnsi="Arial" w:cs="Arial"/>
          <w:sz w:val="24"/>
          <w:szCs w:val="24"/>
        </w:rPr>
        <w:t>que chamam maior atenção desta Comissão</w:t>
      </w:r>
      <w:r>
        <w:rPr>
          <w:rFonts w:ascii="Arial" w:hAnsi="Arial" w:cs="Arial"/>
          <w:sz w:val="24"/>
          <w:szCs w:val="24"/>
        </w:rPr>
        <w:t>:</w:t>
      </w:r>
    </w:p>
    <w:p w14:paraId="641F7221" w14:textId="77777777" w:rsidR="00F305AA" w:rsidRDefault="00F305AA" w:rsidP="00F305AA">
      <w:pPr>
        <w:spacing w:line="360" w:lineRule="auto"/>
        <w:ind w:firstLine="851"/>
        <w:jc w:val="both"/>
        <w:rPr>
          <w:rFonts w:ascii="Arial" w:hAnsi="Arial" w:cs="Arial"/>
          <w:sz w:val="24"/>
          <w:szCs w:val="24"/>
        </w:rPr>
      </w:pPr>
    </w:p>
    <w:p w14:paraId="256A5A52" w14:textId="41690286" w:rsidR="00F305AA" w:rsidRDefault="00F305AA" w:rsidP="00F305AA">
      <w:pPr>
        <w:spacing w:line="360" w:lineRule="auto"/>
        <w:ind w:firstLine="851"/>
        <w:jc w:val="both"/>
        <w:rPr>
          <w:rFonts w:ascii="Arial" w:hAnsi="Arial" w:cs="Arial"/>
          <w:sz w:val="24"/>
          <w:szCs w:val="24"/>
        </w:rPr>
      </w:pPr>
      <w:r w:rsidRPr="005E7F01">
        <w:rPr>
          <w:rFonts w:ascii="Arial" w:hAnsi="Arial" w:cs="Arial"/>
          <w:b/>
          <w:sz w:val="24"/>
          <w:szCs w:val="24"/>
        </w:rPr>
        <w:lastRenderedPageBreak/>
        <w:t>6.2.1.</w:t>
      </w:r>
      <w:r>
        <w:rPr>
          <w:rFonts w:ascii="Arial" w:hAnsi="Arial" w:cs="Arial"/>
          <w:b/>
          <w:sz w:val="24"/>
          <w:szCs w:val="24"/>
        </w:rPr>
        <w:t>5</w:t>
      </w:r>
      <w:r w:rsidR="00D46587">
        <w:rPr>
          <w:rFonts w:ascii="Arial" w:hAnsi="Arial" w:cs="Arial"/>
          <w:b/>
          <w:sz w:val="24"/>
          <w:szCs w:val="24"/>
        </w:rPr>
        <w:t>.</w:t>
      </w:r>
      <w:r>
        <w:rPr>
          <w:rFonts w:ascii="Arial" w:hAnsi="Arial" w:cs="Arial"/>
          <w:sz w:val="24"/>
          <w:szCs w:val="24"/>
        </w:rPr>
        <w:t xml:space="preserve"> O descumprimento das obrigações contratuais de entrega de documentos e impunidade dos infratores</w:t>
      </w:r>
    </w:p>
    <w:p w14:paraId="7C17B8B4"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A </w:t>
      </w:r>
      <w:r w:rsidRPr="0099633A">
        <w:rPr>
          <w:rFonts w:ascii="Arial" w:hAnsi="Arial" w:cs="Arial"/>
          <w:sz w:val="24"/>
          <w:szCs w:val="24"/>
        </w:rPr>
        <w:t>Lei n. 13.591, de 2000</w:t>
      </w:r>
      <w:r>
        <w:rPr>
          <w:rFonts w:ascii="Arial" w:hAnsi="Arial" w:cs="Arial"/>
          <w:sz w:val="24"/>
          <w:szCs w:val="24"/>
        </w:rPr>
        <w:t xml:space="preserve">, determina que a Comissão Executiva do PRODUZIR proceda a suspensão dos contratos de financiamento, isto é, do benefício, em casos de inadimplência quanto à apresentação dos documentos comprovadores dos fatores de desconto. Essa mesma regra é reproduzida no </w:t>
      </w:r>
      <w:r w:rsidRPr="0099633A">
        <w:rPr>
          <w:rFonts w:ascii="Arial" w:hAnsi="Arial" w:cs="Arial"/>
          <w:sz w:val="24"/>
          <w:szCs w:val="24"/>
        </w:rPr>
        <w:t>Decreto n. 5.265, de 2000</w:t>
      </w:r>
      <w:r>
        <w:rPr>
          <w:rFonts w:ascii="Arial" w:hAnsi="Arial" w:cs="Arial"/>
          <w:sz w:val="24"/>
          <w:szCs w:val="24"/>
        </w:rPr>
        <w:t>, e nos contratos entre as empresas e a GOIASFOMENTO:</w:t>
      </w:r>
    </w:p>
    <w:p w14:paraId="3515C515" w14:textId="77777777" w:rsidR="00F305AA" w:rsidRDefault="00F305AA" w:rsidP="00F305AA">
      <w:pPr>
        <w:spacing w:line="360" w:lineRule="auto"/>
        <w:ind w:firstLine="851"/>
        <w:jc w:val="both"/>
        <w:rPr>
          <w:rFonts w:ascii="Arial" w:hAnsi="Arial" w:cs="Arial"/>
          <w:sz w:val="24"/>
          <w:szCs w:val="24"/>
        </w:rPr>
      </w:pPr>
    </w:p>
    <w:p w14:paraId="1F367B7E" w14:textId="77777777" w:rsidR="00F305AA" w:rsidRPr="0076246D" w:rsidRDefault="00F305AA" w:rsidP="00F305AA">
      <w:pPr>
        <w:ind w:left="2268"/>
        <w:jc w:val="both"/>
        <w:rPr>
          <w:rFonts w:ascii="Arial" w:hAnsi="Arial" w:cs="Arial"/>
          <w:sz w:val="22"/>
          <w:szCs w:val="24"/>
        </w:rPr>
      </w:pPr>
      <w:r w:rsidRPr="0076246D">
        <w:rPr>
          <w:rFonts w:ascii="Arial" w:hAnsi="Arial" w:cs="Arial"/>
          <w:sz w:val="22"/>
          <w:szCs w:val="24"/>
        </w:rPr>
        <w:t xml:space="preserve">Destaca-se, entretanto, que o art. 24 da Lei nº 13.591/2000, VI do § 1º, estabelece a suspensão do contrato pela Comissão Executiva quando houver inadimplência relacionada à apresentação de documentos. A perda do desconto pela desobediência desse prazo também está no § 1º-I do art. 24 e no art. 43, § 1º, VII, do Decreto nº 5.265/2000: </w:t>
      </w:r>
    </w:p>
    <w:p w14:paraId="082C417B" w14:textId="77777777" w:rsidR="00F305AA" w:rsidRPr="0076246D" w:rsidRDefault="00F305AA" w:rsidP="00F305AA">
      <w:pPr>
        <w:ind w:left="2268"/>
        <w:jc w:val="both"/>
        <w:rPr>
          <w:rFonts w:ascii="Arial" w:hAnsi="Arial" w:cs="Arial"/>
          <w:sz w:val="22"/>
          <w:szCs w:val="24"/>
        </w:rPr>
      </w:pPr>
    </w:p>
    <w:p w14:paraId="24D8C1B5" w14:textId="77777777" w:rsidR="00F305AA" w:rsidRPr="0076246D" w:rsidRDefault="00F305AA" w:rsidP="00F305AA">
      <w:pPr>
        <w:ind w:left="2835"/>
        <w:jc w:val="both"/>
        <w:rPr>
          <w:rFonts w:ascii="Arial" w:hAnsi="Arial" w:cs="Arial"/>
          <w:sz w:val="20"/>
          <w:szCs w:val="24"/>
        </w:rPr>
      </w:pPr>
      <w:r w:rsidRPr="0076246D">
        <w:rPr>
          <w:rFonts w:ascii="Arial" w:hAnsi="Arial" w:cs="Arial"/>
          <w:sz w:val="20"/>
          <w:szCs w:val="24"/>
        </w:rPr>
        <w:t xml:space="preserve">Art. 24. (...) </w:t>
      </w:r>
    </w:p>
    <w:p w14:paraId="2A8C152C" w14:textId="77777777" w:rsidR="00F305AA" w:rsidRPr="0076246D" w:rsidRDefault="00F305AA" w:rsidP="00F305AA">
      <w:pPr>
        <w:ind w:left="2835"/>
        <w:jc w:val="both"/>
        <w:rPr>
          <w:rFonts w:ascii="Arial" w:hAnsi="Arial" w:cs="Arial"/>
          <w:sz w:val="20"/>
          <w:szCs w:val="24"/>
        </w:rPr>
      </w:pPr>
    </w:p>
    <w:p w14:paraId="5B14F959" w14:textId="77777777" w:rsidR="00F305AA" w:rsidRPr="0076246D" w:rsidRDefault="00F305AA" w:rsidP="00F305AA">
      <w:pPr>
        <w:ind w:left="2835"/>
        <w:jc w:val="both"/>
        <w:rPr>
          <w:rFonts w:ascii="Arial" w:hAnsi="Arial" w:cs="Arial"/>
          <w:sz w:val="20"/>
          <w:szCs w:val="24"/>
        </w:rPr>
      </w:pPr>
      <w:r w:rsidRPr="0076246D">
        <w:rPr>
          <w:rFonts w:ascii="Arial" w:hAnsi="Arial" w:cs="Arial"/>
          <w:sz w:val="20"/>
          <w:szCs w:val="24"/>
        </w:rPr>
        <w:t xml:space="preserve">§ 1º-I A empresa beneficiária </w:t>
      </w:r>
      <w:r w:rsidRPr="0076246D">
        <w:rPr>
          <w:rFonts w:ascii="Arial" w:hAnsi="Arial" w:cs="Arial"/>
          <w:b/>
          <w:sz w:val="20"/>
          <w:szCs w:val="24"/>
        </w:rPr>
        <w:t>perderá o percentual de desconto</w:t>
      </w:r>
      <w:r w:rsidRPr="0076246D">
        <w:rPr>
          <w:rFonts w:ascii="Arial" w:hAnsi="Arial" w:cs="Arial"/>
          <w:sz w:val="20"/>
          <w:szCs w:val="24"/>
        </w:rPr>
        <w:t xml:space="preserve"> a título de subvenção para investimento a que teria direito caso não apresente os documentos necessários para a comprovação do desconto no prazo estabelecido no inciso I do § 1º E deste artigo. (grifo nosso).</w:t>
      </w:r>
    </w:p>
    <w:p w14:paraId="4EAEA64B" w14:textId="77777777" w:rsidR="00F305AA" w:rsidRPr="0076246D" w:rsidRDefault="00F305AA" w:rsidP="00F305AA">
      <w:pPr>
        <w:ind w:left="2835"/>
        <w:jc w:val="both"/>
        <w:rPr>
          <w:rFonts w:ascii="Arial" w:hAnsi="Arial" w:cs="Arial"/>
          <w:sz w:val="20"/>
          <w:szCs w:val="24"/>
        </w:rPr>
      </w:pPr>
      <w:r w:rsidRPr="0076246D">
        <w:rPr>
          <w:rFonts w:ascii="Arial" w:hAnsi="Arial" w:cs="Arial"/>
          <w:sz w:val="20"/>
          <w:szCs w:val="24"/>
        </w:rPr>
        <w:t>(...)</w:t>
      </w:r>
    </w:p>
    <w:p w14:paraId="1D2E78B8" w14:textId="77777777" w:rsidR="00F305AA" w:rsidRPr="0076246D" w:rsidRDefault="00F305AA" w:rsidP="00F305AA">
      <w:pPr>
        <w:ind w:left="2835"/>
        <w:jc w:val="both"/>
        <w:rPr>
          <w:rFonts w:ascii="Arial" w:hAnsi="Arial" w:cs="Arial"/>
          <w:sz w:val="20"/>
          <w:szCs w:val="24"/>
        </w:rPr>
      </w:pPr>
      <w:r w:rsidRPr="0076246D">
        <w:rPr>
          <w:rFonts w:ascii="Arial" w:hAnsi="Arial" w:cs="Arial"/>
          <w:sz w:val="20"/>
          <w:szCs w:val="24"/>
        </w:rPr>
        <w:t xml:space="preserve">Art. 43. O contrato de financiamento poderá ser </w:t>
      </w:r>
      <w:r w:rsidRPr="0076246D">
        <w:rPr>
          <w:rFonts w:ascii="Arial" w:hAnsi="Arial" w:cs="Arial"/>
          <w:b/>
          <w:sz w:val="20"/>
          <w:szCs w:val="24"/>
        </w:rPr>
        <w:t>suspenso</w:t>
      </w:r>
      <w:r w:rsidRPr="0076246D">
        <w:rPr>
          <w:rFonts w:ascii="Arial" w:hAnsi="Arial" w:cs="Arial"/>
          <w:sz w:val="20"/>
          <w:szCs w:val="24"/>
        </w:rPr>
        <w:t xml:space="preserve"> ou revogado pela Comissão Executiva do PRODUZIR. § 1º Aplica-se a </w:t>
      </w:r>
      <w:r w:rsidRPr="0076246D">
        <w:rPr>
          <w:rFonts w:ascii="Arial" w:hAnsi="Arial" w:cs="Arial"/>
          <w:b/>
          <w:sz w:val="20"/>
          <w:szCs w:val="24"/>
        </w:rPr>
        <w:t>suspensão</w:t>
      </w:r>
      <w:r w:rsidRPr="0076246D">
        <w:rPr>
          <w:rFonts w:ascii="Arial" w:hAnsi="Arial" w:cs="Arial"/>
          <w:sz w:val="20"/>
          <w:szCs w:val="24"/>
        </w:rPr>
        <w:t>, se ocorrer:</w:t>
      </w:r>
    </w:p>
    <w:p w14:paraId="1AD9ECC9" w14:textId="77777777" w:rsidR="00F305AA" w:rsidRPr="0076246D" w:rsidRDefault="00F305AA" w:rsidP="00F305AA">
      <w:pPr>
        <w:ind w:left="2835"/>
        <w:jc w:val="both"/>
        <w:rPr>
          <w:rFonts w:ascii="Arial" w:hAnsi="Arial" w:cs="Arial"/>
          <w:sz w:val="20"/>
          <w:szCs w:val="24"/>
        </w:rPr>
      </w:pPr>
      <w:r w:rsidRPr="0076246D">
        <w:rPr>
          <w:rFonts w:ascii="Arial" w:hAnsi="Arial" w:cs="Arial"/>
          <w:sz w:val="20"/>
          <w:szCs w:val="24"/>
        </w:rPr>
        <w:t xml:space="preserve">VII - inadimplência junto ao Programa e ao seu Agente Financeiro relacionada à </w:t>
      </w:r>
      <w:r w:rsidRPr="0076246D">
        <w:rPr>
          <w:rFonts w:ascii="Arial" w:hAnsi="Arial" w:cs="Arial"/>
          <w:b/>
          <w:sz w:val="20"/>
          <w:szCs w:val="24"/>
        </w:rPr>
        <w:t>apresentação de documentos</w:t>
      </w:r>
      <w:r w:rsidRPr="0076246D">
        <w:rPr>
          <w:rFonts w:ascii="Arial" w:hAnsi="Arial" w:cs="Arial"/>
          <w:sz w:val="20"/>
          <w:szCs w:val="24"/>
        </w:rPr>
        <w:t>; - Redação dada pelo Decreto nº 8.706, de 26-07-2016. (grifou-se).</w:t>
      </w:r>
    </w:p>
    <w:p w14:paraId="355D8881" w14:textId="77777777" w:rsidR="00F305AA" w:rsidRDefault="00F305AA" w:rsidP="00F305AA">
      <w:pPr>
        <w:ind w:left="2268"/>
        <w:jc w:val="both"/>
        <w:rPr>
          <w:rFonts w:ascii="Arial" w:hAnsi="Arial" w:cs="Arial"/>
          <w:sz w:val="22"/>
          <w:szCs w:val="24"/>
        </w:rPr>
      </w:pPr>
    </w:p>
    <w:p w14:paraId="604A7A27" w14:textId="77777777" w:rsidR="00F305AA" w:rsidRPr="0076246D" w:rsidRDefault="00F305AA" w:rsidP="00F305AA">
      <w:pPr>
        <w:ind w:left="2268"/>
        <w:jc w:val="both"/>
        <w:rPr>
          <w:rFonts w:ascii="Arial" w:hAnsi="Arial" w:cs="Arial"/>
          <w:sz w:val="22"/>
          <w:szCs w:val="24"/>
        </w:rPr>
      </w:pPr>
      <w:r w:rsidRPr="0076246D">
        <w:rPr>
          <w:rFonts w:ascii="Arial" w:hAnsi="Arial" w:cs="Arial"/>
          <w:sz w:val="22"/>
          <w:szCs w:val="24"/>
        </w:rPr>
        <w:t xml:space="preserve">Com o exposto, esta redação foi dada em 2016. Entretanto, no inciso VII anterior (vigente de 01-12-2014 a 25-07-2016), também havia a previsão de suspensão em virtude de inadimplência junto ao Programa e ao seu Agente Financeiro, inclusive relacionada à apresentação de documentos. </w:t>
      </w:r>
    </w:p>
    <w:p w14:paraId="243D1A56" w14:textId="77777777" w:rsidR="00F305AA" w:rsidRPr="0076246D" w:rsidRDefault="00F305AA" w:rsidP="00F305AA">
      <w:pPr>
        <w:ind w:left="2268"/>
        <w:jc w:val="both"/>
        <w:rPr>
          <w:rFonts w:ascii="Arial" w:hAnsi="Arial" w:cs="Arial"/>
          <w:sz w:val="22"/>
          <w:szCs w:val="24"/>
        </w:rPr>
      </w:pPr>
      <w:r w:rsidRPr="0076246D">
        <w:rPr>
          <w:rFonts w:ascii="Arial" w:hAnsi="Arial" w:cs="Arial"/>
          <w:sz w:val="22"/>
          <w:szCs w:val="24"/>
        </w:rPr>
        <w:t xml:space="preserve">O § 5º do art. 43 do referido Decreto estabelece que, uma vez suspenso, há impedimento para o contribuinte utilizar, em caráter definitivo, o benefício de financiamento na apuração do imposto correspondente ao mês do início da suspensão até a apuração do imposto correspondente ao mês anterior do término da suspensão.  </w:t>
      </w:r>
    </w:p>
    <w:p w14:paraId="57282BDC" w14:textId="77777777" w:rsidR="00F305AA" w:rsidRPr="0076246D" w:rsidRDefault="00F305AA" w:rsidP="00F305AA">
      <w:pPr>
        <w:ind w:left="2268"/>
        <w:jc w:val="both"/>
        <w:rPr>
          <w:rFonts w:ascii="Arial" w:hAnsi="Arial" w:cs="Arial"/>
          <w:sz w:val="22"/>
          <w:szCs w:val="24"/>
        </w:rPr>
      </w:pPr>
      <w:r w:rsidRPr="0076246D">
        <w:rPr>
          <w:rFonts w:ascii="Arial" w:hAnsi="Arial" w:cs="Arial"/>
          <w:sz w:val="22"/>
          <w:szCs w:val="24"/>
        </w:rPr>
        <w:t>A efetivação da suspensão do contrato de financiamento pela Comissão Executiva do PRODUZIR será efetivada 30 (trinta) dias após o contribuinte ter sido notificado da ocorrência da situação que possa dar causa às referidas penalidades, respeitada a regularização da situação dentro do referido prazo (§ 9º do art. 43 do Decreto nº 5.265/2000.</w:t>
      </w:r>
    </w:p>
    <w:p w14:paraId="3B276FDD" w14:textId="77777777" w:rsidR="00F305AA" w:rsidRPr="0076246D" w:rsidRDefault="00F305AA" w:rsidP="00F305AA">
      <w:pPr>
        <w:ind w:left="2268"/>
        <w:jc w:val="both"/>
        <w:rPr>
          <w:rFonts w:ascii="Arial" w:hAnsi="Arial" w:cs="Arial"/>
          <w:sz w:val="22"/>
          <w:szCs w:val="24"/>
        </w:rPr>
      </w:pPr>
      <w:r w:rsidRPr="0076246D">
        <w:rPr>
          <w:rFonts w:ascii="Arial" w:hAnsi="Arial" w:cs="Arial"/>
          <w:sz w:val="22"/>
          <w:szCs w:val="24"/>
        </w:rPr>
        <w:t>[...]</w:t>
      </w:r>
    </w:p>
    <w:p w14:paraId="72FB3C10" w14:textId="77777777" w:rsidR="00F305AA" w:rsidRPr="0076246D" w:rsidRDefault="00F305AA" w:rsidP="00F305AA">
      <w:pPr>
        <w:ind w:left="2268"/>
        <w:jc w:val="both"/>
        <w:rPr>
          <w:rFonts w:ascii="Arial" w:hAnsi="Arial" w:cs="Arial"/>
          <w:sz w:val="22"/>
          <w:szCs w:val="24"/>
        </w:rPr>
      </w:pPr>
      <w:r w:rsidRPr="0076246D">
        <w:rPr>
          <w:rFonts w:ascii="Arial" w:hAnsi="Arial" w:cs="Arial"/>
          <w:sz w:val="22"/>
          <w:szCs w:val="24"/>
        </w:rPr>
        <w:t>Além do disposto no Decreto do PRODUZIR, foram analisados nesta auditoria os contratos de empréstimo firmados entre as empresas beneficiárias do incentivo e a GOIASFOMENTO estabelecido no art. 20, X, da Lei nº 13.591/2000. Na análise contratual, identificou-se, na cláusula de efeito sobre AMORTIZAÇÃO E RESGATE, o seguinte:</w:t>
      </w:r>
    </w:p>
    <w:p w14:paraId="2B3C164B" w14:textId="77777777" w:rsidR="00F305AA" w:rsidRPr="0076246D" w:rsidRDefault="00F305AA" w:rsidP="00F305AA">
      <w:pPr>
        <w:ind w:left="2835"/>
        <w:jc w:val="both"/>
        <w:rPr>
          <w:rFonts w:ascii="Arial" w:hAnsi="Arial" w:cs="Arial"/>
          <w:sz w:val="20"/>
          <w:szCs w:val="24"/>
        </w:rPr>
      </w:pPr>
    </w:p>
    <w:p w14:paraId="3B30050D" w14:textId="77777777" w:rsidR="00F305AA" w:rsidRPr="0076246D" w:rsidRDefault="00F305AA" w:rsidP="00F305AA">
      <w:pPr>
        <w:ind w:left="2835"/>
        <w:jc w:val="both"/>
        <w:rPr>
          <w:rFonts w:ascii="Arial" w:hAnsi="Arial" w:cs="Arial"/>
          <w:sz w:val="20"/>
          <w:szCs w:val="24"/>
        </w:rPr>
      </w:pPr>
      <w:r w:rsidRPr="0076246D">
        <w:rPr>
          <w:rFonts w:ascii="Arial" w:hAnsi="Arial" w:cs="Arial"/>
          <w:sz w:val="20"/>
          <w:szCs w:val="24"/>
        </w:rPr>
        <w:lastRenderedPageBreak/>
        <w:t xml:space="preserve">CLÁUSULA QUARTA - AMORTIZAÇÃO E RESGATE: O valor do crédito utilizado será pago à GOIASFOMENTO anualmente sempre no último dia do primeiro mês subsequente àquele em que se completar o período anual de fruição ou em até 10 (dez) dias após a emissão do parecer conclusivo da Comissão de Auditoria Interna do PRODUZIR, prevalecendo o que ocorrer por último, devendo ser observado que o pagamento do saldo devedor do financiamento será efetuado anual e parceladamente, conforme dispuser decisão da Comissão Executiva do Conselho Deliberativo do Programa de Desenvolvimento Industrial de Goiás, </w:t>
      </w:r>
      <w:r w:rsidRPr="00883187">
        <w:rPr>
          <w:rFonts w:ascii="Arial" w:hAnsi="Arial" w:cs="Arial"/>
          <w:b/>
          <w:sz w:val="20"/>
          <w:szCs w:val="24"/>
        </w:rPr>
        <w:t>a partir do final do 2º (segundo) ano de fruição do benefício e sempre englobando os débitos dos 12 (doze) meses anteriores à data do início do pagamento</w:t>
      </w:r>
      <w:r w:rsidRPr="0076246D">
        <w:rPr>
          <w:rFonts w:ascii="Arial" w:hAnsi="Arial" w:cs="Arial"/>
          <w:sz w:val="20"/>
          <w:szCs w:val="24"/>
        </w:rPr>
        <w:t>.</w:t>
      </w:r>
    </w:p>
    <w:p w14:paraId="3C3E9A57" w14:textId="77777777" w:rsidR="00F305AA" w:rsidRPr="0076246D" w:rsidRDefault="00F305AA" w:rsidP="00F305AA">
      <w:pPr>
        <w:ind w:left="2835"/>
        <w:jc w:val="both"/>
        <w:rPr>
          <w:rFonts w:ascii="Arial" w:hAnsi="Arial" w:cs="Arial"/>
          <w:sz w:val="20"/>
          <w:szCs w:val="24"/>
        </w:rPr>
      </w:pPr>
      <w:r w:rsidRPr="0076246D">
        <w:rPr>
          <w:rFonts w:ascii="Arial" w:hAnsi="Arial" w:cs="Arial"/>
          <w:sz w:val="20"/>
          <w:szCs w:val="24"/>
        </w:rPr>
        <w:t>(...)</w:t>
      </w:r>
    </w:p>
    <w:p w14:paraId="48B3D48C" w14:textId="77777777" w:rsidR="00F305AA" w:rsidRPr="0076246D" w:rsidRDefault="00F305AA" w:rsidP="00F305AA">
      <w:pPr>
        <w:ind w:left="2835"/>
        <w:jc w:val="both"/>
        <w:rPr>
          <w:rFonts w:ascii="Arial" w:hAnsi="Arial" w:cs="Arial"/>
          <w:sz w:val="20"/>
          <w:szCs w:val="24"/>
        </w:rPr>
      </w:pPr>
      <w:r w:rsidRPr="0076246D">
        <w:rPr>
          <w:rFonts w:ascii="Arial" w:hAnsi="Arial" w:cs="Arial"/>
          <w:sz w:val="20"/>
          <w:szCs w:val="24"/>
        </w:rPr>
        <w:t xml:space="preserve">Parágrafo Terceiro: A CREDITADA </w:t>
      </w:r>
      <w:r w:rsidRPr="00883187">
        <w:rPr>
          <w:rFonts w:ascii="Arial" w:hAnsi="Arial" w:cs="Arial"/>
          <w:b/>
          <w:sz w:val="20"/>
          <w:szCs w:val="24"/>
        </w:rPr>
        <w:t>deverá</w:t>
      </w:r>
      <w:r w:rsidRPr="0076246D">
        <w:rPr>
          <w:rFonts w:ascii="Arial" w:hAnsi="Arial" w:cs="Arial"/>
          <w:sz w:val="20"/>
          <w:szCs w:val="24"/>
        </w:rPr>
        <w:t xml:space="preserve"> manter à disposição da Comissão de Auditoria Interna do PRODUZIR, </w:t>
      </w:r>
      <w:r w:rsidRPr="00883187">
        <w:rPr>
          <w:rFonts w:ascii="Arial" w:hAnsi="Arial" w:cs="Arial"/>
          <w:b/>
          <w:sz w:val="20"/>
          <w:szCs w:val="24"/>
        </w:rPr>
        <w:t>a partir do primeiro dia útil do mês subsequente àquele em que completar o período de fruição anual</w:t>
      </w:r>
      <w:r w:rsidRPr="0076246D">
        <w:rPr>
          <w:rFonts w:ascii="Arial" w:hAnsi="Arial" w:cs="Arial"/>
          <w:sz w:val="20"/>
          <w:szCs w:val="24"/>
        </w:rPr>
        <w:t xml:space="preserve">, os documentos para comprovação do desconto previsto no Parágrafo anterior, </w:t>
      </w:r>
      <w:r w:rsidRPr="00883187">
        <w:rPr>
          <w:rFonts w:ascii="Arial" w:hAnsi="Arial" w:cs="Arial"/>
          <w:b/>
          <w:sz w:val="20"/>
          <w:szCs w:val="24"/>
        </w:rPr>
        <w:t>sob pena de perdê-lo</w:t>
      </w:r>
      <w:r w:rsidRPr="0076246D">
        <w:rPr>
          <w:rFonts w:ascii="Arial" w:hAnsi="Arial" w:cs="Arial"/>
          <w:sz w:val="20"/>
          <w:szCs w:val="24"/>
        </w:rPr>
        <w:t xml:space="preserve">. (grifou-se). </w:t>
      </w:r>
    </w:p>
    <w:p w14:paraId="35EDC9A4" w14:textId="77777777" w:rsidR="00F305AA" w:rsidRPr="0076246D" w:rsidRDefault="00F305AA" w:rsidP="00F305AA">
      <w:pPr>
        <w:ind w:left="2835"/>
        <w:jc w:val="both"/>
        <w:rPr>
          <w:rFonts w:ascii="Arial" w:hAnsi="Arial" w:cs="Arial"/>
          <w:sz w:val="20"/>
          <w:szCs w:val="24"/>
        </w:rPr>
      </w:pPr>
    </w:p>
    <w:p w14:paraId="7E5D56B1" w14:textId="77777777" w:rsidR="00F305AA" w:rsidRPr="0076246D" w:rsidRDefault="00F305AA" w:rsidP="00F305AA">
      <w:pPr>
        <w:ind w:left="2268"/>
        <w:jc w:val="both"/>
        <w:rPr>
          <w:rFonts w:ascii="Arial" w:hAnsi="Arial" w:cs="Arial"/>
          <w:sz w:val="22"/>
          <w:szCs w:val="24"/>
        </w:rPr>
      </w:pPr>
      <w:r w:rsidRPr="0076246D">
        <w:rPr>
          <w:rFonts w:ascii="Arial" w:hAnsi="Arial" w:cs="Arial"/>
          <w:sz w:val="22"/>
          <w:szCs w:val="24"/>
        </w:rPr>
        <w:t>A penalidade de suspensão também se faz presente, no mesmo contrato de financiamento, para as situações nas quais o contribuinte está inadimplente junto ao Programa e ao seu Agente Financeiro em relação à apresentação de documentos (Cláusula de efeito DA SUSPENSÃO E REVOGAÇÃO).</w:t>
      </w:r>
      <w:r>
        <w:rPr>
          <w:rStyle w:val="Refdenotaderodap"/>
          <w:rFonts w:ascii="Arial" w:hAnsi="Arial" w:cs="Arial"/>
          <w:sz w:val="22"/>
          <w:szCs w:val="24"/>
        </w:rPr>
        <w:footnoteReference w:id="47"/>
      </w:r>
    </w:p>
    <w:p w14:paraId="5DD3B464" w14:textId="77777777" w:rsidR="00F305AA" w:rsidRDefault="00F305AA" w:rsidP="00F305AA">
      <w:pPr>
        <w:spacing w:line="360" w:lineRule="auto"/>
        <w:ind w:firstLine="851"/>
        <w:jc w:val="both"/>
        <w:rPr>
          <w:rFonts w:ascii="Arial" w:hAnsi="Arial" w:cs="Arial"/>
          <w:sz w:val="24"/>
          <w:szCs w:val="24"/>
        </w:rPr>
      </w:pPr>
    </w:p>
    <w:p w14:paraId="1DBC5658"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Apesar dessas determinações da legislação e dos contratos, foi apurado que, na prática, essa sanção não é aplicada e as empresas continuam gozando o benefício fiscal mesmo que inadimplentes com o dever de apresentar a documentação:</w:t>
      </w:r>
    </w:p>
    <w:p w14:paraId="5D4924AA" w14:textId="77777777" w:rsidR="00F305AA" w:rsidRDefault="00F305AA" w:rsidP="00F305AA">
      <w:pPr>
        <w:spacing w:line="360" w:lineRule="auto"/>
        <w:ind w:firstLine="851"/>
        <w:jc w:val="both"/>
        <w:rPr>
          <w:rFonts w:ascii="Arial" w:hAnsi="Arial" w:cs="Arial"/>
          <w:sz w:val="24"/>
          <w:szCs w:val="24"/>
        </w:rPr>
      </w:pPr>
    </w:p>
    <w:p w14:paraId="5A107E86" w14:textId="77777777" w:rsidR="00F305AA" w:rsidRPr="00764030" w:rsidRDefault="00F305AA" w:rsidP="00F305AA">
      <w:pPr>
        <w:ind w:left="2268"/>
        <w:jc w:val="both"/>
        <w:rPr>
          <w:rFonts w:ascii="Arial" w:hAnsi="Arial" w:cs="Arial"/>
          <w:sz w:val="22"/>
          <w:szCs w:val="24"/>
        </w:rPr>
      </w:pPr>
      <w:r w:rsidRPr="00764030">
        <w:rPr>
          <w:rFonts w:ascii="Arial" w:hAnsi="Arial" w:cs="Arial"/>
          <w:sz w:val="22"/>
          <w:szCs w:val="24"/>
        </w:rPr>
        <w:t>No decorrer dos trabalhos, constatou-se a existência de incentivos fiscais concedidos a contribuintes que não cumpriram as obrigações contratuais quanto ao cumprimento da entrega de documentação para a Auditoria de Quitação e que, portanto, deveriam ter a suspensão dos benefícios. Contudo, restou evidenciado que não houve a devida suspensão dos benefícios conforme estabelece a legislação pertinente.</w:t>
      </w:r>
      <w:r>
        <w:rPr>
          <w:rStyle w:val="Refdenotaderodap"/>
          <w:rFonts w:ascii="Arial" w:hAnsi="Arial" w:cs="Arial"/>
          <w:sz w:val="22"/>
          <w:szCs w:val="24"/>
        </w:rPr>
        <w:footnoteReference w:id="48"/>
      </w:r>
    </w:p>
    <w:p w14:paraId="45D2C2AE" w14:textId="77777777" w:rsidR="00F305AA" w:rsidRDefault="00F305AA" w:rsidP="00F305AA">
      <w:pPr>
        <w:spacing w:line="360" w:lineRule="auto"/>
        <w:ind w:firstLine="851"/>
        <w:jc w:val="both"/>
        <w:rPr>
          <w:rFonts w:ascii="Arial" w:hAnsi="Arial" w:cs="Arial"/>
          <w:sz w:val="24"/>
          <w:szCs w:val="24"/>
        </w:rPr>
      </w:pPr>
    </w:p>
    <w:p w14:paraId="41836B8C"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 então Secretaria da Fazenda chegou a relacionar os beneficiários inadimplentes, cujo benefício deveria ser suspenso, todavia a resposta da então Secretaria de Desenvolvimento foi estarrecedora:</w:t>
      </w:r>
    </w:p>
    <w:p w14:paraId="69C1A7A2" w14:textId="77777777" w:rsidR="00F305AA" w:rsidRDefault="00F305AA" w:rsidP="00F305AA">
      <w:pPr>
        <w:spacing w:line="360" w:lineRule="auto"/>
        <w:ind w:firstLine="851"/>
        <w:jc w:val="both"/>
        <w:rPr>
          <w:rFonts w:ascii="Arial" w:hAnsi="Arial" w:cs="Arial"/>
          <w:sz w:val="24"/>
          <w:szCs w:val="24"/>
        </w:rPr>
      </w:pPr>
    </w:p>
    <w:p w14:paraId="4548E085" w14:textId="77777777" w:rsidR="00F305AA" w:rsidRPr="00764030" w:rsidRDefault="00F305AA" w:rsidP="00F305AA">
      <w:pPr>
        <w:ind w:left="2268"/>
        <w:jc w:val="both"/>
        <w:rPr>
          <w:rFonts w:ascii="Arial" w:hAnsi="Arial" w:cs="Arial"/>
          <w:sz w:val="22"/>
          <w:szCs w:val="24"/>
        </w:rPr>
      </w:pPr>
      <w:r w:rsidRPr="00764030">
        <w:rPr>
          <w:rFonts w:ascii="Arial" w:hAnsi="Arial" w:cs="Arial"/>
          <w:sz w:val="22"/>
          <w:szCs w:val="24"/>
        </w:rPr>
        <w:t xml:space="preserve">A Gerência de Controle de Incentivos Fiscais da SEFAZ encaminhou, mediante Despacho nº 136/2018/SEI - GECONBI-11983, de 24 de 2018 (Anexo 11), informação de que aquela Gerência devolveu para a Secretaria de Desenvolvimento processos de 95 empresas (apresentadas Anexo 2 deste relatório) que perderam o direito aos </w:t>
      </w:r>
      <w:r w:rsidRPr="00764030">
        <w:rPr>
          <w:rFonts w:ascii="Arial" w:hAnsi="Arial" w:cs="Arial"/>
          <w:sz w:val="22"/>
          <w:szCs w:val="24"/>
        </w:rPr>
        <w:lastRenderedPageBreak/>
        <w:t>descontos do Programa PRODUZIR em razão de apresentação intempestiva da documentação. Destaca-se que foi verificada a ocorrência de contratos sem auditoria de quitação durante intervalo de 12 anos.</w:t>
      </w:r>
    </w:p>
    <w:p w14:paraId="17DA3306" w14:textId="77777777" w:rsidR="00F305AA" w:rsidRPr="00764030" w:rsidRDefault="00F305AA" w:rsidP="00F305AA">
      <w:pPr>
        <w:ind w:left="2268"/>
        <w:jc w:val="both"/>
        <w:rPr>
          <w:rFonts w:ascii="Arial" w:hAnsi="Arial" w:cs="Arial"/>
          <w:sz w:val="22"/>
          <w:szCs w:val="24"/>
        </w:rPr>
      </w:pPr>
      <w:r w:rsidRPr="00764030">
        <w:rPr>
          <w:rFonts w:ascii="Arial" w:hAnsi="Arial" w:cs="Arial"/>
          <w:sz w:val="22"/>
          <w:szCs w:val="24"/>
        </w:rPr>
        <w:t>[...]</w:t>
      </w:r>
    </w:p>
    <w:p w14:paraId="28E42574" w14:textId="77777777" w:rsidR="00F305AA" w:rsidRPr="00764030" w:rsidRDefault="00F305AA" w:rsidP="00F305AA">
      <w:pPr>
        <w:ind w:left="2268"/>
        <w:jc w:val="both"/>
        <w:rPr>
          <w:rFonts w:ascii="Arial" w:hAnsi="Arial" w:cs="Arial"/>
          <w:sz w:val="22"/>
          <w:szCs w:val="24"/>
        </w:rPr>
      </w:pPr>
      <w:r w:rsidRPr="00764030">
        <w:rPr>
          <w:rFonts w:ascii="Arial" w:hAnsi="Arial" w:cs="Arial"/>
          <w:sz w:val="22"/>
          <w:szCs w:val="24"/>
        </w:rPr>
        <w:t xml:space="preserve">Diante dessa informação, foi solicitado à SED que se manifestasse sobre o status das empresas que tiveram os processos de quitação devolvidos pela SEFAZ em 2017, despachados pela Superintendência Executiva da Receita Estadual. Por meio do Ofício nº 209/2018 SEI – SED (Anexo 12), a pasta se manifestou: </w:t>
      </w:r>
    </w:p>
    <w:p w14:paraId="537D966D" w14:textId="77777777" w:rsidR="00F305AA" w:rsidRPr="00764030" w:rsidRDefault="00F305AA" w:rsidP="00F305AA">
      <w:pPr>
        <w:ind w:left="2268"/>
        <w:jc w:val="both"/>
        <w:rPr>
          <w:rFonts w:ascii="Arial" w:hAnsi="Arial" w:cs="Arial"/>
          <w:sz w:val="22"/>
          <w:szCs w:val="24"/>
        </w:rPr>
      </w:pPr>
    </w:p>
    <w:p w14:paraId="1400B1C9" w14:textId="77777777" w:rsidR="00F305AA" w:rsidRPr="00764030" w:rsidRDefault="00F305AA" w:rsidP="00F305AA">
      <w:pPr>
        <w:ind w:left="2835"/>
        <w:jc w:val="both"/>
        <w:rPr>
          <w:rFonts w:ascii="Arial" w:hAnsi="Arial" w:cs="Arial"/>
          <w:sz w:val="20"/>
          <w:szCs w:val="24"/>
        </w:rPr>
      </w:pPr>
      <w:r w:rsidRPr="00764030">
        <w:rPr>
          <w:rFonts w:ascii="Arial" w:hAnsi="Arial" w:cs="Arial"/>
          <w:sz w:val="20"/>
          <w:szCs w:val="24"/>
        </w:rPr>
        <w:t xml:space="preserve">“(...) quanto às providência adotadas pela Superintendência do PRODUZIR/FOMENTAR referente às empresas que perderam o direito aos descontos do PRODUZIR em decorrência da intempestiva apresentação da documentação para realização das auditorias de quitação, informamos que TODAS as beneficiárias foram notificadas pela Superintendência do PRODUZIR/FOMENTAR e comunicadas quanto </w:t>
      </w:r>
      <w:r w:rsidRPr="00764030">
        <w:rPr>
          <w:rFonts w:ascii="Arial" w:hAnsi="Arial" w:cs="Arial"/>
          <w:b/>
          <w:sz w:val="20"/>
          <w:szCs w:val="24"/>
        </w:rPr>
        <w:t>edição de um Decreto na qual permitirá a regularização dos seus passivos</w:t>
      </w:r>
      <w:r w:rsidRPr="00764030">
        <w:rPr>
          <w:rFonts w:ascii="Arial" w:hAnsi="Arial" w:cs="Arial"/>
          <w:sz w:val="20"/>
          <w:szCs w:val="24"/>
        </w:rPr>
        <w:t>”.</w:t>
      </w:r>
      <w:r>
        <w:rPr>
          <w:rFonts w:ascii="Arial" w:hAnsi="Arial" w:cs="Arial"/>
          <w:sz w:val="20"/>
          <w:szCs w:val="24"/>
        </w:rPr>
        <w:t xml:space="preserve"> </w:t>
      </w:r>
      <w:r w:rsidRPr="00764030">
        <w:rPr>
          <w:rFonts w:ascii="Arial" w:hAnsi="Arial" w:cs="Arial"/>
          <w:sz w:val="20"/>
          <w:szCs w:val="24"/>
        </w:rPr>
        <w:t>(Grifou-se).</w:t>
      </w:r>
    </w:p>
    <w:p w14:paraId="79B12BDB" w14:textId="77777777" w:rsidR="00F305AA" w:rsidRPr="00764030" w:rsidRDefault="00F305AA" w:rsidP="00F305AA">
      <w:pPr>
        <w:ind w:left="2268"/>
        <w:jc w:val="both"/>
        <w:rPr>
          <w:rFonts w:ascii="Arial" w:hAnsi="Arial" w:cs="Arial"/>
          <w:sz w:val="22"/>
          <w:szCs w:val="24"/>
        </w:rPr>
      </w:pPr>
    </w:p>
    <w:p w14:paraId="1CEC6779" w14:textId="77777777" w:rsidR="00F305AA" w:rsidRPr="00764030" w:rsidRDefault="00F305AA" w:rsidP="00F305AA">
      <w:pPr>
        <w:ind w:left="2268"/>
        <w:jc w:val="both"/>
        <w:rPr>
          <w:rFonts w:ascii="Arial" w:hAnsi="Arial" w:cs="Arial"/>
          <w:sz w:val="22"/>
          <w:szCs w:val="24"/>
        </w:rPr>
      </w:pPr>
      <w:r w:rsidRPr="00764030">
        <w:rPr>
          <w:rFonts w:ascii="Arial" w:hAnsi="Arial" w:cs="Arial"/>
          <w:sz w:val="22"/>
          <w:szCs w:val="24"/>
        </w:rPr>
        <w:t>Portando, nota-se que as empresas que descumpriram suas obrigações contratuais em relação à entrega da documentação e que, por este motivo, deveriam ter os contratos de fruição suspensos, poderão ter seus passivos regularizados haja vista a iminência de publicação de um decreto.</w:t>
      </w:r>
      <w:r>
        <w:rPr>
          <w:rStyle w:val="Refdenotaderodap"/>
          <w:rFonts w:ascii="Arial" w:hAnsi="Arial" w:cs="Arial"/>
          <w:sz w:val="22"/>
          <w:szCs w:val="24"/>
        </w:rPr>
        <w:footnoteReference w:id="49"/>
      </w:r>
    </w:p>
    <w:p w14:paraId="344A4AA0" w14:textId="77777777" w:rsidR="00F305AA" w:rsidRDefault="00F305AA" w:rsidP="00F305AA">
      <w:pPr>
        <w:spacing w:line="360" w:lineRule="auto"/>
        <w:ind w:firstLine="851"/>
        <w:jc w:val="both"/>
        <w:rPr>
          <w:rFonts w:ascii="Arial" w:hAnsi="Arial" w:cs="Arial"/>
          <w:sz w:val="24"/>
          <w:szCs w:val="24"/>
        </w:rPr>
      </w:pPr>
    </w:p>
    <w:p w14:paraId="211DA269"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Note-se a menção a futuro decreto que permitiria a regularização em relação à não apresentação dos documentos. Tal decreto foi o Decreto n. 9.179, de 9 de março de 2018, que previu:</w:t>
      </w:r>
    </w:p>
    <w:p w14:paraId="08EC5829" w14:textId="77777777" w:rsidR="00F305AA" w:rsidRDefault="00F305AA" w:rsidP="00F305AA">
      <w:pPr>
        <w:spacing w:line="360" w:lineRule="auto"/>
        <w:ind w:firstLine="851"/>
        <w:jc w:val="both"/>
        <w:rPr>
          <w:rFonts w:ascii="Arial" w:hAnsi="Arial" w:cs="Arial"/>
          <w:sz w:val="24"/>
          <w:szCs w:val="24"/>
        </w:rPr>
      </w:pPr>
    </w:p>
    <w:p w14:paraId="6DFED158" w14:textId="77777777" w:rsidR="00F305AA" w:rsidRPr="00A514D3" w:rsidRDefault="00F305AA" w:rsidP="00F305AA">
      <w:pPr>
        <w:ind w:left="2268"/>
        <w:jc w:val="both"/>
        <w:rPr>
          <w:rFonts w:ascii="Arial" w:hAnsi="Arial" w:cs="Arial"/>
          <w:sz w:val="22"/>
          <w:szCs w:val="24"/>
        </w:rPr>
      </w:pPr>
      <w:r w:rsidRPr="00A514D3">
        <w:rPr>
          <w:rFonts w:ascii="Arial" w:hAnsi="Arial" w:cs="Arial"/>
          <w:sz w:val="22"/>
          <w:szCs w:val="24"/>
        </w:rPr>
        <w:t>Art. 3º A empresa beneficiária do Programa de Desenvolvimento Industrial de Goiás – PRODUZIR que não apresentou os documentos necessários para a comprovação dos fatores de desconto no prazo estabelecido no art. 24, § 1º-E, I, do </w:t>
      </w:r>
      <w:hyperlink r:id="rId51" w:history="1">
        <w:r w:rsidRPr="00A514D3">
          <w:rPr>
            <w:rFonts w:ascii="Arial" w:hAnsi="Arial" w:cs="Arial"/>
            <w:sz w:val="22"/>
            <w:szCs w:val="24"/>
          </w:rPr>
          <w:t>Decreto nº 5.265, de 31 de julho de 2000</w:t>
        </w:r>
      </w:hyperlink>
      <w:r w:rsidRPr="00A514D3">
        <w:rPr>
          <w:rFonts w:ascii="Arial" w:hAnsi="Arial" w:cs="Arial"/>
          <w:sz w:val="22"/>
          <w:szCs w:val="24"/>
        </w:rPr>
        <w:t>, ou na legislação vigente na época, poderá apresentá-los em até 60 (sessenta) dias contados da data de publicação deste Decreto.</w:t>
      </w:r>
    </w:p>
    <w:p w14:paraId="63B1FC80" w14:textId="77777777" w:rsidR="00F305AA" w:rsidRDefault="00F305AA" w:rsidP="00F305AA">
      <w:pPr>
        <w:spacing w:line="360" w:lineRule="auto"/>
        <w:ind w:firstLine="851"/>
        <w:jc w:val="both"/>
        <w:rPr>
          <w:rFonts w:ascii="Arial" w:hAnsi="Arial" w:cs="Arial"/>
          <w:sz w:val="24"/>
          <w:szCs w:val="24"/>
        </w:rPr>
      </w:pPr>
    </w:p>
    <w:p w14:paraId="3E30AB1E"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Apontamos que tal prática de posterior anistia das infrações cometidas gera, além do sentimento de impunidade, descrédito das normas jurídicas regentes do programa e estimula a futura infringência das regras postas, na esperança, ou mesmo convicção, de posterior possibilidade de regularização sem maiores problemas para os infratores.</w:t>
      </w:r>
    </w:p>
    <w:p w14:paraId="6C2177F6"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lastRenderedPageBreak/>
        <w:t xml:space="preserve">Observa-se que a equipe técnica do TCE-GO apurou que não há efetiva fiscalização, nem sanção, quanto à apresentação dos documentos comprobatórios do cumprimento dos fatores de desconto. Isso fica ainda mais grave ao considerarmos que </w:t>
      </w:r>
      <w:r w:rsidRPr="00764030">
        <w:rPr>
          <w:rFonts w:ascii="Arial" w:hAnsi="Arial" w:cs="Arial"/>
          <w:b/>
          <w:sz w:val="24"/>
          <w:szCs w:val="24"/>
        </w:rPr>
        <w:t>esses fatores são justamente os benefícios socioeconômicos justificadores da concessão de benesses fiscais</w:t>
      </w:r>
      <w:r>
        <w:rPr>
          <w:rFonts w:ascii="Arial" w:hAnsi="Arial" w:cs="Arial"/>
          <w:sz w:val="24"/>
          <w:szCs w:val="24"/>
        </w:rPr>
        <w:t xml:space="preserve">. Aqui é pertinente uma reflexão: </w:t>
      </w:r>
      <w:r w:rsidRPr="00A514D3">
        <w:rPr>
          <w:rFonts w:ascii="Arial" w:hAnsi="Arial" w:cs="Arial"/>
          <w:b/>
          <w:sz w:val="24"/>
          <w:szCs w:val="24"/>
        </w:rPr>
        <w:t>se não há fiscalização sequer quanto à tempestiva apresentação de documentos, quanto menos sobre a efetiva realização dos benefícios atestados por documentação</w:t>
      </w:r>
      <w:r>
        <w:rPr>
          <w:rFonts w:ascii="Arial" w:hAnsi="Arial" w:cs="Arial"/>
          <w:b/>
          <w:sz w:val="24"/>
          <w:szCs w:val="24"/>
        </w:rPr>
        <w:t xml:space="preserve"> eventualmente apresentada</w:t>
      </w:r>
      <w:r w:rsidRPr="00A514D3">
        <w:rPr>
          <w:rFonts w:ascii="Arial" w:hAnsi="Arial" w:cs="Arial"/>
          <w:b/>
          <w:sz w:val="24"/>
          <w:szCs w:val="24"/>
        </w:rPr>
        <w:t>?</w:t>
      </w:r>
    </w:p>
    <w:p w14:paraId="5B03FEF1" w14:textId="77777777" w:rsidR="00F305AA" w:rsidRPr="001E1984" w:rsidRDefault="00F305AA" w:rsidP="00F305AA">
      <w:pPr>
        <w:spacing w:line="360" w:lineRule="auto"/>
        <w:ind w:firstLine="851"/>
        <w:jc w:val="both"/>
        <w:rPr>
          <w:rFonts w:ascii="Arial" w:hAnsi="Arial" w:cs="Arial"/>
          <w:sz w:val="24"/>
          <w:szCs w:val="24"/>
        </w:rPr>
      </w:pPr>
      <w:r w:rsidRPr="001E1984">
        <w:rPr>
          <w:rFonts w:ascii="Arial" w:hAnsi="Arial" w:cs="Arial"/>
          <w:sz w:val="24"/>
          <w:szCs w:val="24"/>
        </w:rPr>
        <w:t>E, o que é mais grave, o órgão estatal responsável foi capaz de formalizar a informação de que notificou os inadimplentes sobre a futura possibilidade de regularizarem sua situação.</w:t>
      </w:r>
    </w:p>
    <w:p w14:paraId="43585704" w14:textId="77777777" w:rsidR="00F305AA" w:rsidRDefault="00F305AA" w:rsidP="00F305AA">
      <w:pPr>
        <w:spacing w:line="360" w:lineRule="auto"/>
        <w:ind w:firstLine="851"/>
        <w:jc w:val="both"/>
        <w:rPr>
          <w:rFonts w:ascii="Arial" w:hAnsi="Arial" w:cs="Arial"/>
          <w:sz w:val="24"/>
          <w:szCs w:val="24"/>
        </w:rPr>
      </w:pPr>
    </w:p>
    <w:p w14:paraId="2F0F0AC6" w14:textId="15B89ED0" w:rsidR="00F305AA" w:rsidRDefault="00F305AA" w:rsidP="00F305AA">
      <w:pPr>
        <w:spacing w:line="360" w:lineRule="auto"/>
        <w:ind w:firstLine="851"/>
        <w:jc w:val="both"/>
        <w:rPr>
          <w:rFonts w:ascii="Arial" w:hAnsi="Arial" w:cs="Arial"/>
          <w:sz w:val="24"/>
          <w:szCs w:val="24"/>
        </w:rPr>
      </w:pPr>
      <w:r>
        <w:rPr>
          <w:rFonts w:ascii="Arial" w:hAnsi="Arial" w:cs="Arial"/>
          <w:b/>
          <w:sz w:val="24"/>
          <w:szCs w:val="24"/>
        </w:rPr>
        <w:t>6.2.1.6</w:t>
      </w:r>
      <w:r w:rsidR="00D46587">
        <w:rPr>
          <w:rFonts w:ascii="Arial" w:hAnsi="Arial" w:cs="Arial"/>
          <w:b/>
          <w:sz w:val="24"/>
          <w:szCs w:val="24"/>
        </w:rPr>
        <w:t>.</w:t>
      </w:r>
      <w:r>
        <w:rPr>
          <w:rFonts w:ascii="Arial" w:hAnsi="Arial" w:cs="Arial"/>
          <w:sz w:val="24"/>
          <w:szCs w:val="24"/>
        </w:rPr>
        <w:t xml:space="preserve"> Mais grave ainda é a apurada inadimplência dos pagamentos devidos e, também, impunidade dos infratores. Foi apurado que há casos em que a inadimplência com os pagamentos devidos no âmbito do FOMENTAR e do PRODUZR não gera suspensão/cancelamento do benefício e, ainda, que não há medidas efetivas de cobrança dos débitos:</w:t>
      </w:r>
    </w:p>
    <w:p w14:paraId="6F1D0AFE" w14:textId="77777777" w:rsidR="00F305AA" w:rsidRDefault="00F305AA" w:rsidP="00F305AA">
      <w:pPr>
        <w:spacing w:line="360" w:lineRule="auto"/>
        <w:ind w:firstLine="851"/>
        <w:jc w:val="both"/>
        <w:rPr>
          <w:rFonts w:ascii="Arial" w:hAnsi="Arial" w:cs="Arial"/>
          <w:sz w:val="24"/>
          <w:szCs w:val="24"/>
        </w:rPr>
      </w:pPr>
    </w:p>
    <w:p w14:paraId="483BB3E6"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 xml:space="preserve">Na execução da auditoria foram solicitadas informações sobre a inadimplência das empresas beneficiárias dos programas PRODUZIR e FOMENTAR do ano de 2016, junto GOIASFOMENTO, por meio da Requisição nº 004 - de 21 de novembro de 2017. </w:t>
      </w:r>
    </w:p>
    <w:p w14:paraId="357161B0"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O Agente Financeiro, através do Ofício nº 2463/2017 de 23 de novembro de 2017 (Anexo 7), forneceu relatórios com a relação das empresas inadimplentes dos projetos PRODUZIR e FOMENTAR e os Ofícios (2.266/17 e 2.267/17 à Secretaria da Fazenda 2.268/17 2.269/17 à Secretaria de Desenvolvimento, todos de 20/10/2017) informando a estas pastas o volume de inadimplência dos programas e solicitando orientações haja vista a ocorrência de atraso no pagamento superior a 3 meses.</w:t>
      </w:r>
    </w:p>
    <w:p w14:paraId="59BD5C53"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w:t>
      </w:r>
    </w:p>
    <w:p w14:paraId="508BCF9E"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Com relação às ações de cobrança promovidas pela GOIASFOMENTO, o Diretor</w:t>
      </w:r>
      <w:r>
        <w:rPr>
          <w:rFonts w:ascii="Arial" w:hAnsi="Arial" w:cs="Arial"/>
          <w:sz w:val="22"/>
          <w:szCs w:val="24"/>
        </w:rPr>
        <w:t xml:space="preserve"> </w:t>
      </w:r>
      <w:r w:rsidRPr="00436C54">
        <w:rPr>
          <w:rFonts w:ascii="Arial" w:hAnsi="Arial" w:cs="Arial"/>
          <w:sz w:val="22"/>
          <w:szCs w:val="24"/>
        </w:rPr>
        <w:t xml:space="preserve">Presidente da agência apresentou Ofício nº 0329/2018 (Anexo 13), de 09 de fevereiro de 2018, contendo o Parecer nº 015/2018 da Coordenadoria Jurídica. </w:t>
      </w:r>
    </w:p>
    <w:p w14:paraId="1EA8B6B8"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 xml:space="preserve">Foi informado que a GOIASFOMENTO envia e-mail, mensalmente, contendo o Extrato de Acompanhamento dos Juros dos programas PRODUZIR e FOMENTAR para todas as empresas beneficiárias, sendo destacadas as empresas inadimplentes. A Agência afirma, também, que neste alerta mensal há a indicação da possibilidade de suspensão do contrato por motivo de ausência de pagamento das parcelas devidas. </w:t>
      </w:r>
      <w:r w:rsidRPr="00436C54">
        <w:rPr>
          <w:rFonts w:ascii="Arial" w:hAnsi="Arial" w:cs="Arial"/>
          <w:sz w:val="22"/>
          <w:szCs w:val="24"/>
        </w:rPr>
        <w:lastRenderedPageBreak/>
        <w:t>Além do aviso às beneficiárias, a GOIASFOMENTO presta informação de inadimplência à SEFAZ e SED, ainda mensalmente, sobre o banco de dados de empresas em débito com os programas, a fim de conhecimento e fins pertinentes que as pastas julgarem.</w:t>
      </w:r>
    </w:p>
    <w:p w14:paraId="49766DE9"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w:t>
      </w:r>
    </w:p>
    <w:p w14:paraId="5F635EE8"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Quanto às demais empresas em atraso, não foi demonstrada nenhuma outra atuação da Agência para recuperação dos valores em atraso, além dos já mencionados e - mails contendo extrato informativo.</w:t>
      </w:r>
    </w:p>
    <w:p w14:paraId="023CCD44"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 xml:space="preserve">Todavia, o Decreto nº 5.265/2000 é taxativo ao atribuir competência à GOIASFOMENTO em relação à cobrança de valores em atraso: </w:t>
      </w:r>
    </w:p>
    <w:p w14:paraId="719B5B27" w14:textId="77777777" w:rsidR="00F305AA" w:rsidRPr="00436C54" w:rsidRDefault="00F305AA" w:rsidP="00F305AA">
      <w:pPr>
        <w:ind w:left="2268"/>
        <w:jc w:val="both"/>
        <w:rPr>
          <w:rFonts w:ascii="Arial" w:hAnsi="Arial" w:cs="Arial"/>
          <w:sz w:val="22"/>
          <w:szCs w:val="24"/>
        </w:rPr>
      </w:pPr>
    </w:p>
    <w:p w14:paraId="7004E2E0" w14:textId="77777777" w:rsidR="00F305AA" w:rsidRDefault="00F305AA" w:rsidP="00F305AA">
      <w:pPr>
        <w:ind w:left="2835"/>
        <w:jc w:val="both"/>
        <w:rPr>
          <w:rFonts w:ascii="Arial" w:hAnsi="Arial" w:cs="Arial"/>
          <w:sz w:val="20"/>
          <w:szCs w:val="24"/>
        </w:rPr>
      </w:pPr>
      <w:r w:rsidRPr="00436C54">
        <w:rPr>
          <w:rFonts w:ascii="Arial" w:hAnsi="Arial" w:cs="Arial"/>
          <w:sz w:val="20"/>
          <w:szCs w:val="24"/>
        </w:rPr>
        <w:t>Art. 42 A Agência de Fomento de Goiás S.A. é o agente financeiro do PRODUZIR e, nessa condição, recebe transferências do FUNPRODUZIR para financiamento dos projetos da microempresa e empresa de pequen</w:t>
      </w:r>
      <w:r>
        <w:rPr>
          <w:rFonts w:ascii="Arial" w:hAnsi="Arial" w:cs="Arial"/>
          <w:sz w:val="20"/>
          <w:szCs w:val="24"/>
        </w:rPr>
        <w:t>o porte e de projetos privados.</w:t>
      </w:r>
    </w:p>
    <w:p w14:paraId="068097F3" w14:textId="77777777" w:rsidR="00F305AA" w:rsidRDefault="00F305AA" w:rsidP="00F305AA">
      <w:pPr>
        <w:ind w:left="2835"/>
        <w:jc w:val="both"/>
        <w:rPr>
          <w:rFonts w:ascii="Arial" w:hAnsi="Arial" w:cs="Arial"/>
          <w:sz w:val="20"/>
          <w:szCs w:val="24"/>
        </w:rPr>
      </w:pPr>
      <w:r w:rsidRPr="00436C54">
        <w:rPr>
          <w:rFonts w:ascii="Arial" w:hAnsi="Arial" w:cs="Arial"/>
          <w:sz w:val="20"/>
          <w:szCs w:val="24"/>
        </w:rPr>
        <w:t>(...)</w:t>
      </w:r>
    </w:p>
    <w:p w14:paraId="0E520066" w14:textId="77777777" w:rsidR="00F305AA" w:rsidRDefault="00F305AA" w:rsidP="00F305AA">
      <w:pPr>
        <w:ind w:left="2835"/>
        <w:jc w:val="both"/>
        <w:rPr>
          <w:rFonts w:ascii="Arial" w:hAnsi="Arial" w:cs="Arial"/>
          <w:sz w:val="20"/>
          <w:szCs w:val="24"/>
        </w:rPr>
      </w:pPr>
      <w:r w:rsidRPr="00436C54">
        <w:rPr>
          <w:rFonts w:ascii="Arial" w:hAnsi="Arial" w:cs="Arial"/>
          <w:sz w:val="20"/>
          <w:szCs w:val="24"/>
        </w:rPr>
        <w:t>§ 3º Compete à Agência de Fomento de Goiás S. A.:</w:t>
      </w:r>
    </w:p>
    <w:p w14:paraId="7AE60897" w14:textId="77777777" w:rsidR="00F305AA" w:rsidRDefault="00F305AA" w:rsidP="00F305AA">
      <w:pPr>
        <w:ind w:left="2835"/>
        <w:jc w:val="both"/>
        <w:rPr>
          <w:rFonts w:ascii="Arial" w:hAnsi="Arial" w:cs="Arial"/>
          <w:sz w:val="20"/>
          <w:szCs w:val="24"/>
        </w:rPr>
      </w:pPr>
      <w:r w:rsidRPr="00436C54">
        <w:rPr>
          <w:rFonts w:ascii="Arial" w:hAnsi="Arial" w:cs="Arial"/>
          <w:sz w:val="20"/>
          <w:szCs w:val="24"/>
        </w:rPr>
        <w:t>(...)</w:t>
      </w:r>
    </w:p>
    <w:p w14:paraId="65E48A41" w14:textId="77777777" w:rsidR="00F305AA" w:rsidRDefault="00F305AA" w:rsidP="00F305AA">
      <w:pPr>
        <w:ind w:left="2835"/>
        <w:jc w:val="both"/>
        <w:rPr>
          <w:rFonts w:ascii="Arial" w:hAnsi="Arial" w:cs="Arial"/>
          <w:sz w:val="20"/>
          <w:szCs w:val="24"/>
        </w:rPr>
      </w:pPr>
      <w:r w:rsidRPr="00436C54">
        <w:rPr>
          <w:rFonts w:ascii="Arial" w:hAnsi="Arial" w:cs="Arial"/>
          <w:sz w:val="20"/>
          <w:szCs w:val="24"/>
        </w:rPr>
        <w:t xml:space="preserve">III - apurar, no período contratualmente estabelecido, caso não se atinja o desconto integral, o montante a ser pago pelo beneficiário </w:t>
      </w:r>
      <w:r w:rsidRPr="00436C54">
        <w:rPr>
          <w:rFonts w:ascii="Arial" w:hAnsi="Arial" w:cs="Arial"/>
          <w:b/>
          <w:sz w:val="20"/>
          <w:szCs w:val="24"/>
        </w:rPr>
        <w:t>e efetuar a respectiva cobrança</w:t>
      </w:r>
      <w:r w:rsidRPr="00436C54">
        <w:rPr>
          <w:rFonts w:ascii="Arial" w:hAnsi="Arial" w:cs="Arial"/>
          <w:sz w:val="20"/>
          <w:szCs w:val="24"/>
        </w:rPr>
        <w:t>;</w:t>
      </w:r>
    </w:p>
    <w:p w14:paraId="0B98D421" w14:textId="77777777" w:rsidR="00F305AA" w:rsidRDefault="00F305AA" w:rsidP="00F305AA">
      <w:pPr>
        <w:ind w:left="2835"/>
        <w:jc w:val="both"/>
        <w:rPr>
          <w:rFonts w:ascii="Arial" w:hAnsi="Arial" w:cs="Arial"/>
          <w:sz w:val="20"/>
          <w:szCs w:val="24"/>
        </w:rPr>
      </w:pPr>
      <w:r w:rsidRPr="00436C54">
        <w:rPr>
          <w:rFonts w:ascii="Arial" w:hAnsi="Arial" w:cs="Arial"/>
          <w:sz w:val="20"/>
          <w:szCs w:val="24"/>
        </w:rPr>
        <w:t>IV - apurar e informar à Comissão Executiva a inadimplência de beneficiário;</w:t>
      </w:r>
    </w:p>
    <w:p w14:paraId="010EBAC7" w14:textId="77777777" w:rsidR="00F305AA" w:rsidRPr="00436C54" w:rsidRDefault="00F305AA" w:rsidP="00F305AA">
      <w:pPr>
        <w:ind w:left="2835"/>
        <w:jc w:val="both"/>
        <w:rPr>
          <w:rFonts w:ascii="Arial" w:hAnsi="Arial" w:cs="Arial"/>
          <w:sz w:val="20"/>
          <w:szCs w:val="24"/>
        </w:rPr>
      </w:pPr>
      <w:r w:rsidRPr="00436C54">
        <w:rPr>
          <w:rFonts w:ascii="Arial" w:hAnsi="Arial" w:cs="Arial"/>
          <w:sz w:val="20"/>
          <w:szCs w:val="24"/>
        </w:rPr>
        <w:t xml:space="preserve">V - </w:t>
      </w:r>
      <w:r w:rsidRPr="00436C54">
        <w:rPr>
          <w:rFonts w:ascii="Arial" w:hAnsi="Arial" w:cs="Arial"/>
          <w:b/>
          <w:sz w:val="20"/>
          <w:szCs w:val="24"/>
        </w:rPr>
        <w:t>efetuar a cobrança de valor em atraso</w:t>
      </w:r>
      <w:r w:rsidRPr="00436C54">
        <w:rPr>
          <w:rFonts w:ascii="Arial" w:hAnsi="Arial" w:cs="Arial"/>
          <w:sz w:val="20"/>
          <w:szCs w:val="24"/>
        </w:rPr>
        <w:t xml:space="preserve">. (grifou-se). </w:t>
      </w:r>
    </w:p>
    <w:p w14:paraId="2D200E08" w14:textId="77777777" w:rsidR="00F305AA" w:rsidRPr="00436C54" w:rsidRDefault="00F305AA" w:rsidP="00F305AA">
      <w:pPr>
        <w:ind w:left="2268"/>
        <w:jc w:val="both"/>
        <w:rPr>
          <w:rFonts w:ascii="Arial" w:hAnsi="Arial" w:cs="Arial"/>
          <w:sz w:val="22"/>
          <w:szCs w:val="24"/>
        </w:rPr>
      </w:pPr>
    </w:p>
    <w:p w14:paraId="41C7030D"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Evidencia-se, assim, que além da ocorrência de manutenção de vários contratos ativos em situação de inadimplência, não há efetividade nas ações de cobrança desenvolvidas pela GOIASFOMENTO e, consequentemente, resulta em significativos valores que deixaram de ingressar nos cofres do Estado.</w:t>
      </w:r>
    </w:p>
    <w:p w14:paraId="0ACCED45"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w:t>
      </w:r>
    </w:p>
    <w:p w14:paraId="72B71C45"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Por meio de cruzamento das informações apresentadas pela GOIÁSFOMENTO no Ofício nº 2463/2017 – Anexo 7), quanto à inadimplência de empresas no âmbito dos programas PRODUZIR e FOMENTAR, com a lista de empresas em fruição fornecida pela Secretaria de Desenvolvimento (Ofício nº 418/2017 – Anexo 6), Tabela 2 seguinte, evidencia-se o rol de 30 empresas que, mesmo inadimplentes, não tiveram o contrato suspenso como determina a lei, decreto e contrato de empréstimo do PRODUZIR e decreto do FOMENTAR.</w:t>
      </w:r>
      <w:r>
        <w:rPr>
          <w:rStyle w:val="Refdenotaderodap"/>
          <w:rFonts w:ascii="Arial" w:hAnsi="Arial" w:cs="Arial"/>
          <w:sz w:val="22"/>
          <w:szCs w:val="24"/>
        </w:rPr>
        <w:footnoteReference w:id="50"/>
      </w:r>
    </w:p>
    <w:p w14:paraId="75C489B6" w14:textId="77777777" w:rsidR="00F305AA" w:rsidRDefault="00F305AA" w:rsidP="00F305AA">
      <w:pPr>
        <w:spacing w:line="360" w:lineRule="auto"/>
        <w:ind w:firstLine="851"/>
        <w:jc w:val="both"/>
        <w:rPr>
          <w:rFonts w:ascii="Arial" w:hAnsi="Arial" w:cs="Arial"/>
          <w:sz w:val="24"/>
          <w:szCs w:val="24"/>
        </w:rPr>
      </w:pPr>
    </w:p>
    <w:p w14:paraId="0FE3F4B2"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Como provável causa para essa e outras deficiências e irregularidades nos programas FOMENTAR e PRODUZIR, a equipe técnica do TCE-GO aponta a deficiência no gerenciamento dos programas:</w:t>
      </w:r>
    </w:p>
    <w:p w14:paraId="372F0198" w14:textId="77777777" w:rsidR="00F305AA" w:rsidRDefault="00F305AA" w:rsidP="00F305AA">
      <w:pPr>
        <w:spacing w:line="360" w:lineRule="auto"/>
        <w:ind w:firstLine="851"/>
        <w:jc w:val="both"/>
        <w:rPr>
          <w:rFonts w:ascii="Arial" w:hAnsi="Arial" w:cs="Arial"/>
          <w:sz w:val="24"/>
          <w:szCs w:val="24"/>
        </w:rPr>
      </w:pPr>
    </w:p>
    <w:p w14:paraId="215CEF26"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t xml:space="preserve">Pode se considerar que </w:t>
      </w:r>
      <w:r w:rsidRPr="00436C54">
        <w:rPr>
          <w:rFonts w:ascii="Arial" w:hAnsi="Arial" w:cs="Arial"/>
          <w:b/>
          <w:sz w:val="22"/>
          <w:szCs w:val="24"/>
        </w:rPr>
        <w:t>a deficiência no gerenciamento do programa é a principal causa desta ocorrência</w:t>
      </w:r>
      <w:r w:rsidRPr="00436C54">
        <w:rPr>
          <w:rFonts w:ascii="Arial" w:hAnsi="Arial" w:cs="Arial"/>
          <w:sz w:val="22"/>
          <w:szCs w:val="24"/>
        </w:rPr>
        <w:t xml:space="preserve"> relacionada à manutenção do caráter ativo de contratos mesmo em situações de inadimplência, uma vez que os controles são efetuados manualmente por meio de planilhas eletrônicas e sem integração entre a GOIASFOMENTO, SEFAZ e SED.</w:t>
      </w:r>
    </w:p>
    <w:p w14:paraId="054F50DC" w14:textId="77777777" w:rsidR="00F305AA" w:rsidRPr="00436C54" w:rsidRDefault="00F305AA" w:rsidP="00F305AA">
      <w:pPr>
        <w:ind w:left="2268"/>
        <w:jc w:val="both"/>
        <w:rPr>
          <w:rFonts w:ascii="Arial" w:hAnsi="Arial" w:cs="Arial"/>
          <w:sz w:val="22"/>
          <w:szCs w:val="24"/>
        </w:rPr>
      </w:pPr>
      <w:r w:rsidRPr="00436C54">
        <w:rPr>
          <w:rFonts w:ascii="Arial" w:hAnsi="Arial" w:cs="Arial"/>
          <w:sz w:val="22"/>
          <w:szCs w:val="24"/>
        </w:rPr>
        <w:lastRenderedPageBreak/>
        <w:t>[...]</w:t>
      </w:r>
    </w:p>
    <w:p w14:paraId="4EDDC969" w14:textId="77777777" w:rsidR="00F305AA" w:rsidRPr="00436C54" w:rsidRDefault="00F305AA" w:rsidP="00F305AA">
      <w:pPr>
        <w:ind w:left="2268"/>
        <w:jc w:val="both"/>
        <w:rPr>
          <w:rFonts w:ascii="Arial" w:hAnsi="Arial" w:cs="Arial"/>
          <w:sz w:val="22"/>
          <w:szCs w:val="24"/>
        </w:rPr>
      </w:pPr>
      <w:r w:rsidRPr="00436C54">
        <w:rPr>
          <w:rFonts w:ascii="Arial" w:hAnsi="Arial" w:cs="Arial"/>
          <w:b/>
          <w:sz w:val="22"/>
          <w:szCs w:val="24"/>
        </w:rPr>
        <w:t>Em consequência desde gerenciamento deficitário, o cenário atual evidencia uma série de empresas usufruindo dos benefícios dos programas de forma indevida e frustrando a receita pública</w:t>
      </w:r>
      <w:r w:rsidRPr="00436C54">
        <w:rPr>
          <w:rFonts w:ascii="Arial" w:hAnsi="Arial" w:cs="Arial"/>
          <w:sz w:val="22"/>
          <w:szCs w:val="24"/>
        </w:rPr>
        <w:t>, uma vez que suspensa do programa, a empresa não faria jus ao incentivo e deveria fazer o recolhimento do ICMS. Além disso, a manutenção de contratos em situações de descumprimento por parte das beneficiárias expõe o estado à insegurança jurídica no âmbito dos incentivos fiscais.</w:t>
      </w:r>
      <w:r>
        <w:rPr>
          <w:rStyle w:val="Refdenotaderodap"/>
          <w:rFonts w:ascii="Arial" w:hAnsi="Arial" w:cs="Arial"/>
          <w:sz w:val="22"/>
          <w:szCs w:val="24"/>
        </w:rPr>
        <w:footnoteReference w:id="51"/>
      </w:r>
    </w:p>
    <w:p w14:paraId="2D84918B" w14:textId="77777777" w:rsidR="00F305AA" w:rsidRDefault="00F305AA" w:rsidP="00F305AA">
      <w:pPr>
        <w:spacing w:line="360" w:lineRule="auto"/>
        <w:ind w:firstLine="851"/>
        <w:jc w:val="both"/>
        <w:rPr>
          <w:rFonts w:ascii="Arial" w:hAnsi="Arial" w:cs="Arial"/>
          <w:sz w:val="24"/>
          <w:szCs w:val="24"/>
        </w:rPr>
      </w:pPr>
    </w:p>
    <w:p w14:paraId="51D05783" w14:textId="120575DB" w:rsidR="00F305AA" w:rsidRDefault="00F305AA" w:rsidP="00F305AA">
      <w:pPr>
        <w:spacing w:line="360" w:lineRule="auto"/>
        <w:ind w:firstLine="851"/>
        <w:jc w:val="both"/>
        <w:rPr>
          <w:rFonts w:ascii="Arial" w:hAnsi="Arial" w:cs="Arial"/>
          <w:sz w:val="24"/>
          <w:szCs w:val="24"/>
        </w:rPr>
      </w:pPr>
      <w:r>
        <w:rPr>
          <w:rFonts w:ascii="Arial" w:hAnsi="Arial" w:cs="Arial"/>
          <w:b/>
          <w:sz w:val="24"/>
          <w:szCs w:val="24"/>
        </w:rPr>
        <w:t>6.2.1.7</w:t>
      </w:r>
      <w:r w:rsidR="00D46587">
        <w:rPr>
          <w:rFonts w:ascii="Arial" w:hAnsi="Arial" w:cs="Arial"/>
          <w:b/>
          <w:sz w:val="24"/>
          <w:szCs w:val="24"/>
        </w:rPr>
        <w:t>.</w:t>
      </w:r>
      <w:r>
        <w:rPr>
          <w:rFonts w:ascii="Arial" w:hAnsi="Arial" w:cs="Arial"/>
          <w:sz w:val="24"/>
          <w:szCs w:val="24"/>
        </w:rPr>
        <w:t xml:space="preserve"> Ausência de transparência e controle adequado quanto ao montante de benefícios concedidos</w:t>
      </w:r>
    </w:p>
    <w:p w14:paraId="40BA2A83"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 equipe técnica do TCE-GO apurou a ausência de adequados controle e transparência em relação aos incentivos fiscais, destacando que nem mesmo os órgãos públicos envolvidos com o FOMENTAR e o PRODUZIR chegam a consenso quanto a seus valores, o que evidencia situação crítica de má gestão dos programas:</w:t>
      </w:r>
    </w:p>
    <w:p w14:paraId="40FDA8F9" w14:textId="77777777" w:rsidR="00F305AA" w:rsidRDefault="00F305AA" w:rsidP="00F305AA">
      <w:pPr>
        <w:spacing w:line="360" w:lineRule="auto"/>
        <w:ind w:firstLine="851"/>
        <w:jc w:val="both"/>
        <w:rPr>
          <w:rFonts w:ascii="Arial" w:hAnsi="Arial" w:cs="Arial"/>
          <w:sz w:val="24"/>
          <w:szCs w:val="24"/>
        </w:rPr>
      </w:pPr>
    </w:p>
    <w:p w14:paraId="5E4839F0" w14:textId="77777777" w:rsidR="00F305AA" w:rsidRPr="00A71667" w:rsidRDefault="00F305AA" w:rsidP="00F305AA">
      <w:pPr>
        <w:ind w:left="2268"/>
        <w:jc w:val="both"/>
        <w:rPr>
          <w:rFonts w:ascii="Arial" w:hAnsi="Arial" w:cs="Arial"/>
          <w:sz w:val="22"/>
          <w:szCs w:val="24"/>
        </w:rPr>
      </w:pPr>
      <w:r w:rsidRPr="004F2EE3">
        <w:rPr>
          <w:rFonts w:ascii="Arial" w:hAnsi="Arial" w:cs="Arial"/>
          <w:b/>
          <w:sz w:val="22"/>
          <w:szCs w:val="24"/>
        </w:rPr>
        <w:t>Constatou-se, portanto, generalizada divergência de informações quanto aos valores renunciados</w:t>
      </w:r>
      <w:r w:rsidRPr="00A71667">
        <w:rPr>
          <w:rFonts w:ascii="Arial" w:hAnsi="Arial" w:cs="Arial"/>
          <w:sz w:val="22"/>
          <w:szCs w:val="24"/>
        </w:rPr>
        <w:t xml:space="preserve"> no âmbito dos programas PRODUZIR e FOMENTAR nos exercícios de 2016 e 2017, haja vista a </w:t>
      </w:r>
      <w:r w:rsidRPr="004F2EE3">
        <w:rPr>
          <w:rFonts w:ascii="Arial" w:hAnsi="Arial" w:cs="Arial"/>
          <w:b/>
          <w:sz w:val="22"/>
          <w:szCs w:val="24"/>
        </w:rPr>
        <w:t>incompatibilidade de dados entre as múltiplas fontes</w:t>
      </w:r>
      <w:r w:rsidRPr="00A71667">
        <w:rPr>
          <w:rFonts w:ascii="Arial" w:hAnsi="Arial" w:cs="Arial"/>
          <w:sz w:val="22"/>
          <w:szCs w:val="24"/>
        </w:rPr>
        <w:t xml:space="preserve"> de acesso a informação consultadas nesta Auditoria.</w:t>
      </w:r>
    </w:p>
    <w:p w14:paraId="13E39218" w14:textId="77777777" w:rsidR="00F305AA" w:rsidRPr="00A71667" w:rsidRDefault="00F305AA" w:rsidP="00F305AA">
      <w:pPr>
        <w:ind w:left="2268"/>
        <w:jc w:val="both"/>
        <w:rPr>
          <w:rFonts w:ascii="Arial" w:hAnsi="Arial" w:cs="Arial"/>
          <w:sz w:val="22"/>
          <w:szCs w:val="24"/>
        </w:rPr>
      </w:pPr>
      <w:r w:rsidRPr="00A71667">
        <w:rPr>
          <w:rFonts w:ascii="Arial" w:hAnsi="Arial" w:cs="Arial"/>
          <w:sz w:val="22"/>
          <w:szCs w:val="24"/>
        </w:rPr>
        <w:t>[...]</w:t>
      </w:r>
    </w:p>
    <w:p w14:paraId="1C685765" w14:textId="77777777" w:rsidR="00F305AA" w:rsidRPr="00A71667" w:rsidRDefault="00F305AA" w:rsidP="00F305AA">
      <w:pPr>
        <w:ind w:left="2268"/>
        <w:jc w:val="both"/>
        <w:rPr>
          <w:rFonts w:ascii="Arial" w:hAnsi="Arial" w:cs="Arial"/>
          <w:sz w:val="22"/>
          <w:szCs w:val="24"/>
        </w:rPr>
      </w:pPr>
      <w:r w:rsidRPr="00A71667">
        <w:rPr>
          <w:rFonts w:ascii="Arial" w:hAnsi="Arial" w:cs="Arial"/>
          <w:sz w:val="22"/>
          <w:szCs w:val="24"/>
        </w:rPr>
        <w:t xml:space="preserve">Este </w:t>
      </w:r>
      <w:r w:rsidRPr="004F2EE3">
        <w:rPr>
          <w:rFonts w:ascii="Arial" w:hAnsi="Arial" w:cs="Arial"/>
          <w:b/>
          <w:sz w:val="22"/>
          <w:szCs w:val="24"/>
        </w:rPr>
        <w:t>cenário de falta de sintonia entre os agentes</w:t>
      </w:r>
      <w:r w:rsidRPr="00A71667">
        <w:rPr>
          <w:rFonts w:ascii="Arial" w:hAnsi="Arial" w:cs="Arial"/>
          <w:sz w:val="22"/>
          <w:szCs w:val="24"/>
        </w:rPr>
        <w:t xml:space="preserve"> na apresentação dos valores renunciados inviabiliza o compartilhamento online dos dados, configurando </w:t>
      </w:r>
      <w:r w:rsidRPr="004F2EE3">
        <w:rPr>
          <w:rFonts w:ascii="Arial" w:hAnsi="Arial" w:cs="Arial"/>
          <w:b/>
          <w:sz w:val="22"/>
          <w:szCs w:val="24"/>
        </w:rPr>
        <w:t>grave prejuízo à transparência das informações</w:t>
      </w:r>
      <w:r w:rsidRPr="00A71667">
        <w:rPr>
          <w:rFonts w:ascii="Arial" w:hAnsi="Arial" w:cs="Arial"/>
          <w:sz w:val="22"/>
          <w:szCs w:val="24"/>
        </w:rPr>
        <w:t>, conforme determina a Constituição Federal e as leis de responsabilidade fiscal e de transparência.</w:t>
      </w:r>
    </w:p>
    <w:p w14:paraId="69ED8BC4" w14:textId="77777777" w:rsidR="00F305AA" w:rsidRPr="00A71667" w:rsidRDefault="00F305AA" w:rsidP="00F305AA">
      <w:pPr>
        <w:ind w:left="2268"/>
        <w:jc w:val="both"/>
        <w:rPr>
          <w:rFonts w:ascii="Arial" w:hAnsi="Arial" w:cs="Arial"/>
          <w:sz w:val="22"/>
          <w:szCs w:val="24"/>
        </w:rPr>
      </w:pPr>
      <w:r w:rsidRPr="004F2EE3">
        <w:rPr>
          <w:rFonts w:ascii="Arial" w:hAnsi="Arial" w:cs="Arial"/>
          <w:b/>
          <w:sz w:val="22"/>
          <w:szCs w:val="24"/>
        </w:rPr>
        <w:t>Como consequência, há a impossibilidade de acompanhamento e mensuração dos exatos valores concedidos no PRODUZIR e FOMENTAR e falta de transparência na demonstração dos valores financiados e renunciados</w:t>
      </w:r>
      <w:r w:rsidRPr="00A71667">
        <w:rPr>
          <w:rFonts w:ascii="Arial" w:hAnsi="Arial" w:cs="Arial"/>
          <w:sz w:val="22"/>
          <w:szCs w:val="24"/>
        </w:rPr>
        <w:t>, comprometendo a gestão dos programas.</w:t>
      </w:r>
      <w:r>
        <w:rPr>
          <w:rStyle w:val="Refdenotaderodap"/>
          <w:rFonts w:ascii="Arial" w:hAnsi="Arial" w:cs="Arial"/>
          <w:sz w:val="22"/>
          <w:szCs w:val="24"/>
        </w:rPr>
        <w:footnoteReference w:id="52"/>
      </w:r>
    </w:p>
    <w:p w14:paraId="5917C262" w14:textId="77777777" w:rsidR="00F305AA" w:rsidRDefault="00F305AA" w:rsidP="00F305AA">
      <w:pPr>
        <w:spacing w:line="360" w:lineRule="auto"/>
        <w:ind w:firstLine="851"/>
        <w:jc w:val="both"/>
        <w:rPr>
          <w:rFonts w:ascii="Arial" w:hAnsi="Arial" w:cs="Arial"/>
          <w:sz w:val="24"/>
          <w:szCs w:val="24"/>
        </w:rPr>
      </w:pPr>
    </w:p>
    <w:p w14:paraId="7F88FDD1" w14:textId="172DCF07" w:rsidR="00F305AA" w:rsidRDefault="00F305AA" w:rsidP="00F305AA">
      <w:pPr>
        <w:spacing w:line="360" w:lineRule="auto"/>
        <w:ind w:firstLine="851"/>
        <w:jc w:val="both"/>
        <w:rPr>
          <w:rFonts w:ascii="Arial" w:hAnsi="Arial" w:cs="Arial"/>
          <w:sz w:val="24"/>
          <w:szCs w:val="24"/>
        </w:rPr>
      </w:pPr>
      <w:r>
        <w:rPr>
          <w:rFonts w:ascii="Arial" w:hAnsi="Arial" w:cs="Arial"/>
          <w:b/>
          <w:sz w:val="24"/>
          <w:szCs w:val="24"/>
        </w:rPr>
        <w:t>6.2.1.8</w:t>
      </w:r>
      <w:r w:rsidR="00D46587">
        <w:rPr>
          <w:rFonts w:ascii="Arial" w:hAnsi="Arial" w:cs="Arial"/>
          <w:b/>
          <w:sz w:val="24"/>
          <w:szCs w:val="24"/>
        </w:rPr>
        <w:t>.</w:t>
      </w:r>
      <w:r>
        <w:rPr>
          <w:rFonts w:ascii="Arial" w:hAnsi="Arial" w:cs="Arial"/>
          <w:sz w:val="24"/>
          <w:szCs w:val="24"/>
        </w:rPr>
        <w:t xml:space="preserve"> Ademais, o </w:t>
      </w:r>
      <w:r w:rsidRPr="0099633A">
        <w:rPr>
          <w:rFonts w:ascii="Arial" w:hAnsi="Arial" w:cs="Arial"/>
          <w:sz w:val="24"/>
          <w:szCs w:val="24"/>
        </w:rPr>
        <w:t>Relatório de Auditoria de Regularidade n</w:t>
      </w:r>
      <w:r w:rsidR="00D46587">
        <w:rPr>
          <w:rFonts w:ascii="Arial" w:hAnsi="Arial" w:cs="Arial"/>
          <w:sz w:val="24"/>
          <w:szCs w:val="24"/>
        </w:rPr>
        <w:t>º</w:t>
      </w:r>
      <w:r w:rsidRPr="0099633A">
        <w:rPr>
          <w:rFonts w:ascii="Arial" w:hAnsi="Arial" w:cs="Arial"/>
          <w:sz w:val="24"/>
          <w:szCs w:val="24"/>
        </w:rPr>
        <w:t xml:space="preserve"> 2/2018</w:t>
      </w:r>
      <w:r>
        <w:rPr>
          <w:rFonts w:ascii="Arial" w:hAnsi="Arial" w:cs="Arial"/>
          <w:sz w:val="24"/>
          <w:szCs w:val="24"/>
        </w:rPr>
        <w:t xml:space="preserve"> aponta ineficiência na execução dos programas FOMENTAR e PRODUZIR.</w:t>
      </w:r>
    </w:p>
    <w:p w14:paraId="457E416C" w14:textId="77777777" w:rsidR="00F305AA" w:rsidRDefault="00F305AA" w:rsidP="00F305AA">
      <w:pPr>
        <w:spacing w:line="360" w:lineRule="auto"/>
        <w:ind w:firstLine="851"/>
        <w:jc w:val="both"/>
        <w:rPr>
          <w:rFonts w:ascii="Arial" w:hAnsi="Arial" w:cs="Arial"/>
          <w:sz w:val="24"/>
          <w:szCs w:val="24"/>
        </w:rPr>
      </w:pPr>
    </w:p>
    <w:p w14:paraId="17A0A7E0" w14:textId="77777777" w:rsidR="00F305AA" w:rsidRPr="00A71667" w:rsidRDefault="00F305AA" w:rsidP="00F305AA">
      <w:pPr>
        <w:ind w:left="2268"/>
        <w:jc w:val="both"/>
        <w:rPr>
          <w:rFonts w:ascii="Arial" w:hAnsi="Arial" w:cs="Arial"/>
          <w:sz w:val="22"/>
          <w:szCs w:val="24"/>
        </w:rPr>
      </w:pPr>
      <w:r w:rsidRPr="00A71667">
        <w:rPr>
          <w:rFonts w:ascii="Arial" w:hAnsi="Arial" w:cs="Arial"/>
          <w:sz w:val="22"/>
          <w:szCs w:val="24"/>
        </w:rPr>
        <w:t xml:space="preserve">Por meio entrevista realizada no dia 17 de outubro de 2017 na Gerência Especial de Análise de Projetos de Auditoria da SED e com base nas informações recebidas no Ofício nº 144/2018 SEI – SED de 19 de janeiro de 2018 </w:t>
      </w:r>
      <w:r w:rsidRPr="004F2EE3">
        <w:rPr>
          <w:rFonts w:ascii="Arial" w:hAnsi="Arial" w:cs="Arial"/>
          <w:b/>
          <w:sz w:val="22"/>
          <w:szCs w:val="24"/>
        </w:rPr>
        <w:t>constatou-se a existência de acúmulo e demora na tramitação de processos, bem como a perda da qualidade do serviço</w:t>
      </w:r>
      <w:r w:rsidRPr="00A71667">
        <w:rPr>
          <w:rFonts w:ascii="Arial" w:hAnsi="Arial" w:cs="Arial"/>
          <w:sz w:val="22"/>
          <w:szCs w:val="24"/>
        </w:rPr>
        <w:t xml:space="preserve">. </w:t>
      </w:r>
    </w:p>
    <w:p w14:paraId="0954F579" w14:textId="77777777" w:rsidR="00F305AA" w:rsidRPr="00A71667" w:rsidRDefault="00F305AA" w:rsidP="00F305AA">
      <w:pPr>
        <w:ind w:left="2268"/>
        <w:jc w:val="both"/>
        <w:rPr>
          <w:rFonts w:ascii="Arial" w:hAnsi="Arial" w:cs="Arial"/>
          <w:sz w:val="22"/>
          <w:szCs w:val="24"/>
        </w:rPr>
      </w:pPr>
      <w:r w:rsidRPr="00A71667">
        <w:rPr>
          <w:rFonts w:ascii="Arial" w:hAnsi="Arial" w:cs="Arial"/>
          <w:sz w:val="22"/>
          <w:szCs w:val="24"/>
        </w:rPr>
        <w:lastRenderedPageBreak/>
        <w:t>Conforme apontado nas entrevistas, a causa para esta ocorrência está na quantidade insuficiente de servidores para realizar o serviço, comprometendo a qualidade na análise dos projetos e das auditorias. Foi informado que os programas PRODUZIR e FOMENTAR totalizam mais de 700 empresas beneficiárias ativas e que existem, em média, 10 projetos mensais de empresas interessadas em aderir aos programas.</w:t>
      </w:r>
      <w:r>
        <w:rPr>
          <w:rStyle w:val="Refdenotaderodap"/>
          <w:rFonts w:ascii="Arial" w:hAnsi="Arial" w:cs="Arial"/>
          <w:sz w:val="22"/>
          <w:szCs w:val="24"/>
        </w:rPr>
        <w:footnoteReference w:id="53"/>
      </w:r>
    </w:p>
    <w:p w14:paraId="1B59E62C" w14:textId="77777777" w:rsidR="00F305AA" w:rsidRDefault="00F305AA" w:rsidP="00F305AA">
      <w:pPr>
        <w:spacing w:line="360" w:lineRule="auto"/>
        <w:ind w:firstLine="851"/>
        <w:jc w:val="both"/>
        <w:rPr>
          <w:rFonts w:ascii="Arial" w:hAnsi="Arial" w:cs="Arial"/>
          <w:sz w:val="24"/>
          <w:szCs w:val="24"/>
        </w:rPr>
      </w:pPr>
    </w:p>
    <w:p w14:paraId="62DFD6D6"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Essa ineficiência acarreta, dentre outras irregularidades, a impossibilidade de controle da vedação de apropriação por sócios das empresas dos montantes relacionados aos benefícios:</w:t>
      </w:r>
    </w:p>
    <w:p w14:paraId="4041BA11" w14:textId="77777777" w:rsidR="00F305AA" w:rsidRDefault="00F305AA" w:rsidP="00F305AA">
      <w:pPr>
        <w:spacing w:line="360" w:lineRule="auto"/>
        <w:ind w:firstLine="851"/>
        <w:jc w:val="both"/>
        <w:rPr>
          <w:rFonts w:ascii="Arial" w:hAnsi="Arial" w:cs="Arial"/>
          <w:sz w:val="24"/>
          <w:szCs w:val="24"/>
        </w:rPr>
      </w:pPr>
    </w:p>
    <w:p w14:paraId="348BEE5A" w14:textId="77777777" w:rsidR="00F305AA" w:rsidRPr="00A71667" w:rsidRDefault="00F305AA" w:rsidP="00F305AA">
      <w:pPr>
        <w:ind w:left="2268"/>
        <w:jc w:val="both"/>
        <w:rPr>
          <w:rFonts w:ascii="Arial" w:hAnsi="Arial" w:cs="Arial"/>
          <w:sz w:val="22"/>
          <w:szCs w:val="24"/>
        </w:rPr>
      </w:pPr>
      <w:r w:rsidRPr="00A71667">
        <w:rPr>
          <w:rFonts w:ascii="Arial" w:hAnsi="Arial" w:cs="Arial"/>
          <w:sz w:val="22"/>
          <w:szCs w:val="24"/>
        </w:rPr>
        <w:t xml:space="preserve">A ineficiência na operacionalização das atividades dos programas também inviabiliza que seja analisado o cumprimento do disposto no art. 20, VII, da Lei do PRODUZIR nº 13.591/00, </w:t>
      </w:r>
      <w:r w:rsidRPr="00A71667">
        <w:rPr>
          <w:rFonts w:ascii="Arial" w:hAnsi="Arial" w:cs="Arial"/>
          <w:i/>
          <w:sz w:val="22"/>
          <w:szCs w:val="24"/>
        </w:rPr>
        <w:t>in verbis</w:t>
      </w:r>
      <w:r w:rsidRPr="00A71667">
        <w:rPr>
          <w:rFonts w:ascii="Arial" w:hAnsi="Arial" w:cs="Arial"/>
          <w:sz w:val="22"/>
          <w:szCs w:val="24"/>
        </w:rPr>
        <w:t>:</w:t>
      </w:r>
    </w:p>
    <w:p w14:paraId="7743B3CE" w14:textId="77777777" w:rsidR="00F305AA" w:rsidRPr="00A71667" w:rsidRDefault="00F305AA" w:rsidP="00F305AA">
      <w:pPr>
        <w:ind w:left="2268"/>
        <w:jc w:val="both"/>
        <w:rPr>
          <w:rFonts w:ascii="Arial" w:hAnsi="Arial" w:cs="Arial"/>
          <w:sz w:val="22"/>
          <w:szCs w:val="24"/>
        </w:rPr>
      </w:pPr>
    </w:p>
    <w:p w14:paraId="7B55E01E" w14:textId="77777777" w:rsidR="00F305AA" w:rsidRDefault="00F305AA" w:rsidP="00F305AA">
      <w:pPr>
        <w:ind w:left="2835"/>
        <w:jc w:val="both"/>
        <w:rPr>
          <w:rFonts w:ascii="Arial" w:hAnsi="Arial" w:cs="Arial"/>
          <w:sz w:val="22"/>
          <w:szCs w:val="24"/>
        </w:rPr>
      </w:pPr>
      <w:r w:rsidRPr="00A71667">
        <w:rPr>
          <w:rFonts w:ascii="Arial" w:hAnsi="Arial" w:cs="Arial"/>
          <w:sz w:val="22"/>
          <w:szCs w:val="24"/>
        </w:rPr>
        <w:t>Art. 20. (...)</w:t>
      </w:r>
    </w:p>
    <w:p w14:paraId="2883C986" w14:textId="77777777" w:rsidR="00F305AA" w:rsidRPr="00A71667" w:rsidRDefault="00F305AA" w:rsidP="00F305AA">
      <w:pPr>
        <w:ind w:left="2835"/>
        <w:jc w:val="both"/>
        <w:rPr>
          <w:rFonts w:ascii="Arial" w:hAnsi="Arial" w:cs="Arial"/>
          <w:sz w:val="22"/>
          <w:szCs w:val="24"/>
        </w:rPr>
      </w:pPr>
      <w:r w:rsidRPr="00A71667">
        <w:rPr>
          <w:rFonts w:ascii="Arial" w:hAnsi="Arial" w:cs="Arial"/>
          <w:sz w:val="22"/>
          <w:szCs w:val="24"/>
        </w:rPr>
        <w:t xml:space="preserve">b) o montante equivalente ao desconto obtido, aplicado na forma indicada na alínea "a", poderá ser incorporado ao capital social da pessoa jurídica titular do estabelecimento beneficiário do financiamento, ou mantido em conta de reserva para futuros aumentos de capital, </w:t>
      </w:r>
      <w:r w:rsidRPr="00A71667">
        <w:rPr>
          <w:rFonts w:ascii="Arial" w:hAnsi="Arial" w:cs="Arial"/>
          <w:b/>
          <w:sz w:val="22"/>
          <w:szCs w:val="24"/>
        </w:rPr>
        <w:t>vedada sua destinação para distribuição de dividendos ou qualquer outra parcela a título de lucro</w:t>
      </w:r>
      <w:r w:rsidRPr="00A71667">
        <w:rPr>
          <w:rFonts w:ascii="Arial" w:hAnsi="Arial" w:cs="Arial"/>
          <w:sz w:val="22"/>
          <w:szCs w:val="24"/>
        </w:rPr>
        <w:t>; (Grifou-se).</w:t>
      </w:r>
      <w:r>
        <w:rPr>
          <w:rStyle w:val="Refdenotaderodap"/>
          <w:rFonts w:ascii="Arial" w:hAnsi="Arial" w:cs="Arial"/>
          <w:sz w:val="22"/>
          <w:szCs w:val="24"/>
        </w:rPr>
        <w:footnoteReference w:id="54"/>
      </w:r>
    </w:p>
    <w:p w14:paraId="62D6DF70" w14:textId="77777777" w:rsidR="00F305AA" w:rsidRDefault="00F305AA" w:rsidP="00F305AA">
      <w:pPr>
        <w:spacing w:line="360" w:lineRule="auto"/>
        <w:ind w:firstLine="851"/>
        <w:jc w:val="both"/>
        <w:rPr>
          <w:rFonts w:ascii="Arial" w:hAnsi="Arial" w:cs="Arial"/>
          <w:sz w:val="24"/>
          <w:szCs w:val="24"/>
        </w:rPr>
      </w:pPr>
    </w:p>
    <w:p w14:paraId="6846A9A5"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Ou seja, a legislação veda que os valores referentes aos benefícios sejam distribuídos entre os sócios na forma de dividendos ou outra parcela a título de lucro. Tal se dá a fim de assegurar que os benefícios concedidos pelo Estado gerem acréscimo ao capital social da empresa e, assim, retornem em desenvolvimento socioeconômico para a sociedade.</w:t>
      </w:r>
    </w:p>
    <w:p w14:paraId="79E71699"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Todavia, ante às deficiências de gestão do programa, que impedem que mesmo seus elementos mais básicos, como a adimplência com a entrega de documentos (item v) ou mesmo com os pagamentos (item vi), sejam efetivamente apurados, na prática é impossível verificar a não apropriação por sócios dos valores resultantes de benefícios fiscais.</w:t>
      </w:r>
    </w:p>
    <w:p w14:paraId="315AEEDC"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Por fim, a equipe técnica do TCE-GO apresenta as seguintes conclusões de suas análises:</w:t>
      </w:r>
    </w:p>
    <w:p w14:paraId="088A2A65" w14:textId="77777777" w:rsidR="00F305AA" w:rsidRDefault="00F305AA" w:rsidP="00F305AA">
      <w:pPr>
        <w:spacing w:line="360" w:lineRule="auto"/>
        <w:ind w:firstLine="851"/>
        <w:jc w:val="both"/>
        <w:rPr>
          <w:rFonts w:ascii="Arial" w:hAnsi="Arial" w:cs="Arial"/>
          <w:sz w:val="24"/>
          <w:szCs w:val="24"/>
        </w:rPr>
      </w:pPr>
    </w:p>
    <w:p w14:paraId="37890835" w14:textId="65AAF2E0" w:rsidR="00F305AA" w:rsidRPr="008B642B" w:rsidRDefault="00F305AA" w:rsidP="00F305AA">
      <w:pPr>
        <w:ind w:left="2268"/>
        <w:jc w:val="both"/>
        <w:rPr>
          <w:rFonts w:ascii="Arial" w:hAnsi="Arial" w:cs="Arial"/>
          <w:sz w:val="22"/>
          <w:szCs w:val="24"/>
        </w:rPr>
      </w:pPr>
      <w:r w:rsidRPr="008B642B">
        <w:rPr>
          <w:rFonts w:ascii="Arial" w:hAnsi="Arial" w:cs="Arial"/>
          <w:sz w:val="22"/>
          <w:szCs w:val="24"/>
        </w:rPr>
        <w:lastRenderedPageBreak/>
        <w:t>Foram constatadas ilegalidades, inconformidades e falhas relevantes e abrangentes, que indicam comprometimento de todo o processo de concessão, operacionalização e gerenciamento, retratando um quadro problemático, que requer medidas enérgicas e decisivas, sob pena de se tornar efetivamente consentida e estabelecida a ineficácia da política governamental e a responsabilidade dos gestores na exec</w:t>
      </w:r>
      <w:r w:rsidR="001856F6">
        <w:rPr>
          <w:rFonts w:ascii="Arial" w:hAnsi="Arial" w:cs="Arial"/>
          <w:sz w:val="22"/>
          <w:szCs w:val="24"/>
        </w:rPr>
        <w:t>ução das ações correspondentes:</w:t>
      </w:r>
    </w:p>
    <w:p w14:paraId="1F0CB6D7" w14:textId="77777777" w:rsidR="00F305AA" w:rsidRPr="008B642B" w:rsidRDefault="00F305AA" w:rsidP="00F305AA">
      <w:pPr>
        <w:ind w:left="2268"/>
        <w:jc w:val="both"/>
        <w:rPr>
          <w:rFonts w:ascii="Arial" w:hAnsi="Arial" w:cs="Arial"/>
          <w:sz w:val="22"/>
          <w:szCs w:val="24"/>
        </w:rPr>
      </w:pPr>
      <w:r w:rsidRPr="008B642B">
        <w:rPr>
          <w:rFonts w:ascii="Arial" w:hAnsi="Arial" w:cs="Arial"/>
          <w:b/>
          <w:sz w:val="22"/>
          <w:szCs w:val="24"/>
        </w:rPr>
        <w:t>a)</w:t>
      </w:r>
      <w:r w:rsidRPr="008B642B">
        <w:rPr>
          <w:rFonts w:ascii="Arial" w:hAnsi="Arial" w:cs="Arial"/>
          <w:sz w:val="22"/>
          <w:szCs w:val="24"/>
        </w:rPr>
        <w:t xml:space="preserve"> Concessão de incentivos fiscais em desacordo com legislação vigente (item 2.1.1), em razão da não aprovação prévia dos programas PRODUZIR e FOMENTAR pelo CONFAZ. Ressalta-se que se estes benefícios forem incluídos no procedimento de convalidação do Convênio ICMS nº 190/2017, os riscos desta ilegalidade estarão suprimidos. </w:t>
      </w:r>
    </w:p>
    <w:p w14:paraId="45CF2AED" w14:textId="77777777" w:rsidR="00F305AA" w:rsidRPr="008B642B" w:rsidRDefault="00F305AA" w:rsidP="00F305AA">
      <w:pPr>
        <w:ind w:left="2268"/>
        <w:jc w:val="both"/>
        <w:rPr>
          <w:rFonts w:ascii="Arial" w:hAnsi="Arial" w:cs="Arial"/>
          <w:sz w:val="22"/>
          <w:szCs w:val="24"/>
        </w:rPr>
      </w:pPr>
      <w:r w:rsidRPr="008B642B">
        <w:rPr>
          <w:rFonts w:ascii="Arial" w:hAnsi="Arial" w:cs="Arial"/>
          <w:b/>
          <w:sz w:val="22"/>
          <w:szCs w:val="24"/>
        </w:rPr>
        <w:t>b)</w:t>
      </w:r>
      <w:r w:rsidRPr="008B642B">
        <w:rPr>
          <w:rFonts w:ascii="Arial" w:hAnsi="Arial" w:cs="Arial"/>
          <w:sz w:val="22"/>
          <w:szCs w:val="24"/>
        </w:rPr>
        <w:t xml:space="preserve"> Descumprimento dos aspectos orçamentários e fiscais nos atos de renúncia de receita (item 2.1.2), em virtude da ausência de elaboração do Anexo de Metas Fiscais da LDO contendo o demonstrativo da estimativa e compensação da renúncia de receita oriunda dos programas PRODUZIR e FOMENTAR, conforme dispõe o art. 4º, § 2º, V, e também a não elaboração do demonstrativo regionalizado do efeito, de forma pormenorizada quanto à renúncia advinda dos dois programas e em atendimento ao estabelecido no art. 110, parágrafo 6º da Constituição Estadual. </w:t>
      </w:r>
    </w:p>
    <w:p w14:paraId="37AE9140" w14:textId="77777777" w:rsidR="00F305AA" w:rsidRPr="008B642B" w:rsidRDefault="00F305AA" w:rsidP="00F305AA">
      <w:pPr>
        <w:ind w:left="2268"/>
        <w:jc w:val="both"/>
        <w:rPr>
          <w:rFonts w:ascii="Arial" w:hAnsi="Arial" w:cs="Arial"/>
          <w:sz w:val="22"/>
          <w:szCs w:val="24"/>
        </w:rPr>
      </w:pPr>
      <w:r w:rsidRPr="008B642B">
        <w:rPr>
          <w:rFonts w:ascii="Arial" w:hAnsi="Arial" w:cs="Arial"/>
          <w:b/>
          <w:sz w:val="22"/>
          <w:szCs w:val="24"/>
        </w:rPr>
        <w:t>c)</w:t>
      </w:r>
      <w:r w:rsidRPr="008B642B">
        <w:rPr>
          <w:rFonts w:ascii="Arial" w:hAnsi="Arial" w:cs="Arial"/>
          <w:sz w:val="22"/>
          <w:szCs w:val="24"/>
        </w:rPr>
        <w:t xml:space="preserve"> Classificação indevida das receitas oriundas dos programas PRODUZIR e FOMENTAR (item 2.1.3), haja vista a contabilização de recursos que são essencialmente Receitas de ICMS e que encontram-se classificados como taxas, importando em prejuízos nas vinculações constitucionais (municípios, ações e serviços públicos de saúde, educação, etc.). </w:t>
      </w:r>
    </w:p>
    <w:p w14:paraId="3F072535" w14:textId="77777777" w:rsidR="00F305AA" w:rsidRPr="008B642B" w:rsidRDefault="00F305AA" w:rsidP="00F305AA">
      <w:pPr>
        <w:ind w:left="2268"/>
        <w:jc w:val="both"/>
        <w:rPr>
          <w:rFonts w:ascii="Arial" w:hAnsi="Arial" w:cs="Arial"/>
          <w:sz w:val="22"/>
          <w:szCs w:val="24"/>
        </w:rPr>
      </w:pPr>
      <w:r w:rsidRPr="008B642B">
        <w:rPr>
          <w:rFonts w:ascii="Arial" w:hAnsi="Arial" w:cs="Arial"/>
          <w:b/>
          <w:sz w:val="22"/>
          <w:szCs w:val="24"/>
        </w:rPr>
        <w:t>d)</w:t>
      </w:r>
      <w:r w:rsidRPr="008B642B">
        <w:rPr>
          <w:rFonts w:ascii="Arial" w:hAnsi="Arial" w:cs="Arial"/>
          <w:sz w:val="22"/>
          <w:szCs w:val="24"/>
        </w:rPr>
        <w:t xml:space="preserve"> Incorretos e intempestivos registro e evidenciação da renúncia de receita na contabilidade de Goiás (item 2.1.4), em prejuízo à transparência dos demonstrativos contábeis do estado e em descumprimento ao disposto nos artigos 85 e 89 da Lei 4.320/1964, item 3.10 da Resolução CFC nº 2016/NBCTSPEC e item 3.6.1.3 do MCASP. </w:t>
      </w:r>
    </w:p>
    <w:p w14:paraId="102B3DBF" w14:textId="77777777" w:rsidR="00F305AA" w:rsidRPr="008B642B" w:rsidRDefault="00F305AA" w:rsidP="00F305AA">
      <w:pPr>
        <w:ind w:left="2268"/>
        <w:jc w:val="both"/>
        <w:rPr>
          <w:rFonts w:ascii="Arial" w:hAnsi="Arial" w:cs="Arial"/>
          <w:sz w:val="22"/>
          <w:szCs w:val="24"/>
        </w:rPr>
      </w:pPr>
      <w:r w:rsidRPr="008B642B">
        <w:rPr>
          <w:rFonts w:ascii="Arial" w:hAnsi="Arial" w:cs="Arial"/>
          <w:b/>
          <w:sz w:val="22"/>
          <w:szCs w:val="24"/>
        </w:rPr>
        <w:t>e)</w:t>
      </w:r>
      <w:r w:rsidRPr="008B642B">
        <w:rPr>
          <w:rFonts w:ascii="Arial" w:hAnsi="Arial" w:cs="Arial"/>
          <w:sz w:val="22"/>
          <w:szCs w:val="24"/>
        </w:rPr>
        <w:t xml:space="preserve"> Concessão de incentivos fiscais em desacordo com as normas legais e contratuais (item 2.2.1), se refletindo em contribuintes que descumpriram as obrigações contratuais quanto à entrega de documentação no âmbito do Programa PRODUZIR e não tiveram os contratos suspensos (item 2.2.1.1) e existência de beneficiários inadimplentes com os pagamentos de parcelas devidas no âmbito dos Programas PRODUZIR e FOMENTAR sem a devida suspensão contratual (item 2.2.1.2). Além deste quadro de flagrante desobediência ao que dispõe a legislação dos programas, a iminência de edição de Decreto com intuito de remitir as irregularidades, prejudica a arrecadação estadual e dissemina a ideia de que os contribuintes não serão penalizados se descumprirem suas obrigações contratuais; </w:t>
      </w:r>
    </w:p>
    <w:p w14:paraId="65EC738B" w14:textId="77777777" w:rsidR="00F305AA" w:rsidRPr="008B642B" w:rsidRDefault="00F305AA" w:rsidP="00F305AA">
      <w:pPr>
        <w:ind w:left="2268"/>
        <w:jc w:val="both"/>
        <w:rPr>
          <w:rFonts w:ascii="Arial" w:hAnsi="Arial" w:cs="Arial"/>
          <w:sz w:val="22"/>
          <w:szCs w:val="24"/>
        </w:rPr>
      </w:pPr>
      <w:r w:rsidRPr="008B642B">
        <w:rPr>
          <w:rFonts w:ascii="Arial" w:hAnsi="Arial" w:cs="Arial"/>
          <w:b/>
          <w:sz w:val="22"/>
          <w:szCs w:val="24"/>
        </w:rPr>
        <w:t>f)</w:t>
      </w:r>
      <w:r w:rsidRPr="008B642B">
        <w:rPr>
          <w:rFonts w:ascii="Arial" w:hAnsi="Arial" w:cs="Arial"/>
          <w:sz w:val="22"/>
          <w:szCs w:val="24"/>
        </w:rPr>
        <w:t xml:space="preserve"> Divergência dos valores incentivos fiscais no âmbito dos programas PRODUZIR e FOMENTAR (item 2.2.1) em quatro bases de informação divulgadas pelo estado de Goiás, demonstrando a falta de sintonia e integração entre as pastas gestoras dos programas e prejudicando a transparência dos valores concedidos a título de benefícios fiscais. </w:t>
      </w:r>
    </w:p>
    <w:p w14:paraId="3B198D50" w14:textId="77777777" w:rsidR="00F305AA" w:rsidRPr="008B642B" w:rsidRDefault="00F305AA" w:rsidP="00F305AA">
      <w:pPr>
        <w:ind w:left="2268"/>
        <w:jc w:val="both"/>
        <w:rPr>
          <w:rFonts w:ascii="Arial" w:hAnsi="Arial" w:cs="Arial"/>
          <w:sz w:val="22"/>
          <w:szCs w:val="24"/>
        </w:rPr>
      </w:pPr>
      <w:r w:rsidRPr="008B642B">
        <w:rPr>
          <w:rFonts w:ascii="Arial" w:hAnsi="Arial" w:cs="Arial"/>
          <w:b/>
          <w:sz w:val="22"/>
          <w:szCs w:val="24"/>
        </w:rPr>
        <w:t>g)</w:t>
      </w:r>
      <w:r w:rsidRPr="008B642B">
        <w:rPr>
          <w:rFonts w:ascii="Arial" w:hAnsi="Arial" w:cs="Arial"/>
          <w:sz w:val="22"/>
          <w:szCs w:val="24"/>
        </w:rPr>
        <w:t xml:space="preserve"> Ineficiência na execução das atividades dos programas PRODUZIR e FOMENTAR (item 2.2.3), ocasionada, dentre outros, pela falta de pessoal qualificado para realização das atividades que envolvem as 700 </w:t>
      </w:r>
      <w:r w:rsidRPr="008B642B">
        <w:rPr>
          <w:rFonts w:ascii="Arial" w:hAnsi="Arial" w:cs="Arial"/>
          <w:sz w:val="22"/>
          <w:szCs w:val="24"/>
        </w:rPr>
        <w:lastRenderedPageBreak/>
        <w:t>empresas beneficiárias ativas nos dois programas e agravada pela ausência de sistema integrado que viabilize uma gestão mais eficiente.</w:t>
      </w:r>
      <w:r>
        <w:rPr>
          <w:rStyle w:val="Refdenotaderodap"/>
          <w:rFonts w:ascii="Arial" w:hAnsi="Arial" w:cs="Arial"/>
          <w:sz w:val="22"/>
          <w:szCs w:val="24"/>
        </w:rPr>
        <w:footnoteReference w:id="55"/>
      </w:r>
    </w:p>
    <w:p w14:paraId="5E4F0C87" w14:textId="77777777" w:rsidR="00F305AA" w:rsidRDefault="00F305AA" w:rsidP="00F305AA">
      <w:pPr>
        <w:spacing w:line="360" w:lineRule="auto"/>
        <w:ind w:firstLine="851"/>
        <w:jc w:val="both"/>
        <w:rPr>
          <w:rFonts w:ascii="Arial" w:hAnsi="Arial" w:cs="Arial"/>
          <w:sz w:val="24"/>
          <w:szCs w:val="24"/>
        </w:rPr>
      </w:pPr>
    </w:p>
    <w:p w14:paraId="19A0886A" w14:textId="42177E21" w:rsidR="00F305AA" w:rsidRPr="00783461" w:rsidRDefault="00F305AA" w:rsidP="00F305AA">
      <w:pPr>
        <w:spacing w:line="360" w:lineRule="auto"/>
        <w:ind w:firstLine="851"/>
        <w:jc w:val="both"/>
        <w:rPr>
          <w:rFonts w:ascii="Arial" w:hAnsi="Arial" w:cs="Arial"/>
          <w:b/>
          <w:sz w:val="24"/>
          <w:szCs w:val="24"/>
          <w:u w:val="single"/>
        </w:rPr>
      </w:pPr>
      <w:r w:rsidRPr="00783461">
        <w:rPr>
          <w:rFonts w:ascii="Arial" w:hAnsi="Arial" w:cs="Arial"/>
          <w:b/>
          <w:sz w:val="24"/>
          <w:szCs w:val="24"/>
          <w:u w:val="single"/>
        </w:rPr>
        <w:t>6.2.2</w:t>
      </w:r>
      <w:r w:rsidR="00783461">
        <w:rPr>
          <w:rFonts w:ascii="Arial" w:hAnsi="Arial" w:cs="Arial"/>
          <w:b/>
          <w:sz w:val="24"/>
          <w:szCs w:val="24"/>
          <w:u w:val="single"/>
        </w:rPr>
        <w:t xml:space="preserve"> –</w:t>
      </w:r>
      <w:r w:rsidRPr="00783461">
        <w:rPr>
          <w:rFonts w:ascii="Arial" w:hAnsi="Arial" w:cs="Arial"/>
          <w:b/>
          <w:sz w:val="24"/>
          <w:szCs w:val="24"/>
          <w:u w:val="single"/>
        </w:rPr>
        <w:t xml:space="preserve"> Achados de Auditoria – CGE-GO</w:t>
      </w:r>
    </w:p>
    <w:p w14:paraId="3E9DF72A" w14:textId="77777777" w:rsidR="00F305AA" w:rsidRDefault="00F305AA" w:rsidP="00F305AA">
      <w:pPr>
        <w:spacing w:line="360" w:lineRule="auto"/>
        <w:ind w:firstLine="851"/>
        <w:jc w:val="both"/>
        <w:rPr>
          <w:rFonts w:ascii="Arial" w:hAnsi="Arial" w:cs="Arial"/>
          <w:sz w:val="24"/>
          <w:szCs w:val="24"/>
        </w:rPr>
      </w:pPr>
    </w:p>
    <w:p w14:paraId="4D1FE9FD" w14:textId="202E0286"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Por meio do </w:t>
      </w:r>
      <w:r w:rsidRPr="00BB3CA7">
        <w:rPr>
          <w:rFonts w:ascii="Arial" w:hAnsi="Arial" w:cs="Arial"/>
          <w:sz w:val="24"/>
          <w:szCs w:val="24"/>
        </w:rPr>
        <w:t>Ofício n</w:t>
      </w:r>
      <w:r w:rsidR="00066D6F">
        <w:rPr>
          <w:rFonts w:ascii="Arial" w:hAnsi="Arial" w:cs="Arial"/>
          <w:sz w:val="24"/>
          <w:szCs w:val="24"/>
        </w:rPr>
        <w:t>º</w:t>
      </w:r>
      <w:r>
        <w:rPr>
          <w:rFonts w:ascii="Arial" w:hAnsi="Arial" w:cs="Arial"/>
          <w:sz w:val="24"/>
          <w:szCs w:val="24"/>
        </w:rPr>
        <w:t xml:space="preserve"> 30/2019</w:t>
      </w:r>
      <w:r w:rsidR="00F12A00">
        <w:rPr>
          <w:rFonts w:ascii="Arial" w:hAnsi="Arial" w:cs="Arial"/>
          <w:sz w:val="24"/>
          <w:szCs w:val="24"/>
        </w:rPr>
        <w:t>-</w:t>
      </w:r>
      <w:r w:rsidR="00F12A00" w:rsidRPr="00F12A00">
        <w:rPr>
          <w:rFonts w:ascii="Arial" w:hAnsi="Arial" w:cs="Arial"/>
          <w:sz w:val="24"/>
          <w:szCs w:val="24"/>
        </w:rPr>
        <w:t>CPI</w:t>
      </w:r>
      <w:r w:rsidRPr="00F12A00">
        <w:rPr>
          <w:rFonts w:ascii="Arial" w:hAnsi="Arial" w:cs="Arial"/>
          <w:sz w:val="24"/>
          <w:szCs w:val="24"/>
        </w:rPr>
        <w:t xml:space="preserve"> (fl. </w:t>
      </w:r>
      <w:r w:rsidR="00066D6F">
        <w:rPr>
          <w:rFonts w:ascii="Arial" w:hAnsi="Arial" w:cs="Arial"/>
          <w:sz w:val="24"/>
          <w:szCs w:val="24"/>
        </w:rPr>
        <w:t>331</w:t>
      </w:r>
      <w:r w:rsidRPr="00F12A00">
        <w:rPr>
          <w:rFonts w:ascii="Arial" w:hAnsi="Arial" w:cs="Arial"/>
          <w:sz w:val="24"/>
          <w:szCs w:val="24"/>
        </w:rPr>
        <w:t>),</w:t>
      </w:r>
      <w:r>
        <w:rPr>
          <w:rFonts w:ascii="Arial" w:hAnsi="Arial" w:cs="Arial"/>
          <w:sz w:val="24"/>
          <w:szCs w:val="24"/>
        </w:rPr>
        <w:t xml:space="preserve"> esta Comissão requisitou da Controladoria-Geral do Estado – CGE – as seguintes informações:</w:t>
      </w:r>
    </w:p>
    <w:p w14:paraId="5C605FAE" w14:textId="77777777" w:rsidR="00F305AA" w:rsidRDefault="00F305AA" w:rsidP="00F305AA">
      <w:pPr>
        <w:spacing w:line="360" w:lineRule="auto"/>
        <w:ind w:firstLine="851"/>
        <w:jc w:val="both"/>
        <w:rPr>
          <w:rFonts w:ascii="Arial" w:hAnsi="Arial" w:cs="Arial"/>
          <w:sz w:val="24"/>
          <w:szCs w:val="24"/>
        </w:rPr>
      </w:pPr>
    </w:p>
    <w:p w14:paraId="78438F11" w14:textId="77777777" w:rsidR="00F305AA" w:rsidRDefault="00F305AA" w:rsidP="00502615">
      <w:pPr>
        <w:pStyle w:val="PargrafodaLista"/>
        <w:numPr>
          <w:ilvl w:val="0"/>
          <w:numId w:val="43"/>
        </w:numPr>
        <w:spacing w:line="360" w:lineRule="auto"/>
        <w:jc w:val="both"/>
        <w:rPr>
          <w:rFonts w:ascii="Arial" w:hAnsi="Arial" w:cs="Arial"/>
          <w:sz w:val="24"/>
          <w:szCs w:val="24"/>
        </w:rPr>
      </w:pPr>
      <w:r>
        <w:rPr>
          <w:rFonts w:ascii="Arial" w:hAnsi="Arial" w:cs="Arial"/>
          <w:sz w:val="24"/>
          <w:szCs w:val="24"/>
        </w:rPr>
        <w:t>i</w:t>
      </w:r>
      <w:r w:rsidRPr="00E944AB">
        <w:rPr>
          <w:rFonts w:ascii="Arial" w:hAnsi="Arial" w:cs="Arial"/>
          <w:sz w:val="24"/>
          <w:szCs w:val="24"/>
        </w:rPr>
        <w:t>nformes de auditorias já realizadas pela CGE relativamente a benefícios fiscais;</w:t>
      </w:r>
    </w:p>
    <w:p w14:paraId="52D47EDA" w14:textId="77777777" w:rsidR="00F305AA" w:rsidRDefault="00F305AA" w:rsidP="00502615">
      <w:pPr>
        <w:pStyle w:val="PargrafodaLista"/>
        <w:numPr>
          <w:ilvl w:val="0"/>
          <w:numId w:val="43"/>
        </w:numPr>
        <w:spacing w:line="360" w:lineRule="auto"/>
        <w:jc w:val="both"/>
        <w:rPr>
          <w:rFonts w:ascii="Arial" w:hAnsi="Arial" w:cs="Arial"/>
          <w:sz w:val="24"/>
          <w:szCs w:val="24"/>
        </w:rPr>
      </w:pPr>
      <w:r>
        <w:rPr>
          <w:rFonts w:ascii="Arial" w:hAnsi="Arial" w:cs="Arial"/>
          <w:sz w:val="24"/>
          <w:szCs w:val="24"/>
        </w:rPr>
        <w:t>eventuais respostas dos órgãos competentes acionados pela CGE;</w:t>
      </w:r>
    </w:p>
    <w:p w14:paraId="3D135ED1" w14:textId="77777777" w:rsidR="00F305AA" w:rsidRDefault="00F305AA" w:rsidP="00502615">
      <w:pPr>
        <w:pStyle w:val="PargrafodaLista"/>
        <w:numPr>
          <w:ilvl w:val="0"/>
          <w:numId w:val="43"/>
        </w:numPr>
        <w:spacing w:line="360" w:lineRule="auto"/>
        <w:jc w:val="both"/>
        <w:rPr>
          <w:rFonts w:ascii="Arial" w:hAnsi="Arial" w:cs="Arial"/>
          <w:sz w:val="24"/>
          <w:szCs w:val="24"/>
        </w:rPr>
      </w:pPr>
      <w:r>
        <w:rPr>
          <w:rFonts w:ascii="Arial" w:hAnsi="Arial" w:cs="Arial"/>
          <w:sz w:val="24"/>
          <w:szCs w:val="24"/>
        </w:rPr>
        <w:t>se realiza auditorias periódicas nas empresas beneficiárias de incentivos fiscais; e</w:t>
      </w:r>
    </w:p>
    <w:p w14:paraId="2B2947CD" w14:textId="77777777" w:rsidR="00F305AA" w:rsidRPr="00E944AB" w:rsidRDefault="00F305AA" w:rsidP="00502615">
      <w:pPr>
        <w:pStyle w:val="PargrafodaLista"/>
        <w:numPr>
          <w:ilvl w:val="0"/>
          <w:numId w:val="43"/>
        </w:numPr>
        <w:spacing w:line="360" w:lineRule="auto"/>
        <w:jc w:val="both"/>
        <w:rPr>
          <w:rFonts w:ascii="Arial" w:hAnsi="Arial" w:cs="Arial"/>
          <w:sz w:val="24"/>
          <w:szCs w:val="24"/>
        </w:rPr>
      </w:pPr>
      <w:r>
        <w:rPr>
          <w:rFonts w:ascii="Arial" w:hAnsi="Arial" w:cs="Arial"/>
          <w:sz w:val="24"/>
          <w:szCs w:val="24"/>
        </w:rPr>
        <w:t>relação das empresas auditadas pela CGE</w:t>
      </w:r>
      <w:r w:rsidRPr="00E944AB">
        <w:rPr>
          <w:rFonts w:ascii="Arial" w:hAnsi="Arial" w:cs="Arial"/>
          <w:sz w:val="24"/>
          <w:szCs w:val="24"/>
        </w:rPr>
        <w:t>.</w:t>
      </w:r>
    </w:p>
    <w:p w14:paraId="69B44F13" w14:textId="77777777" w:rsidR="00F305AA" w:rsidRDefault="00F305AA" w:rsidP="00F305AA">
      <w:pPr>
        <w:spacing w:line="360" w:lineRule="auto"/>
        <w:ind w:firstLine="851"/>
        <w:jc w:val="both"/>
        <w:rPr>
          <w:rFonts w:ascii="Arial" w:hAnsi="Arial" w:cs="Arial"/>
          <w:sz w:val="24"/>
          <w:szCs w:val="24"/>
        </w:rPr>
      </w:pPr>
    </w:p>
    <w:p w14:paraId="454A704E" w14:textId="3894551B"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Em resposta</w:t>
      </w:r>
      <w:r w:rsidR="00066D6F">
        <w:rPr>
          <w:rFonts w:ascii="Arial" w:hAnsi="Arial" w:cs="Arial"/>
          <w:sz w:val="24"/>
          <w:szCs w:val="24"/>
        </w:rPr>
        <w:t xml:space="preserve"> (</w:t>
      </w:r>
      <w:r w:rsidR="00066D6F" w:rsidRPr="00066D6F">
        <w:rPr>
          <w:rFonts w:ascii="Arial" w:hAnsi="Arial" w:cs="Arial"/>
          <w:sz w:val="24"/>
          <w:szCs w:val="24"/>
        </w:rPr>
        <w:t>Ofício nº 2098/2019-CGE</w:t>
      </w:r>
      <w:r w:rsidR="00066D6F">
        <w:rPr>
          <w:rFonts w:ascii="Arial" w:hAnsi="Arial" w:cs="Arial"/>
          <w:sz w:val="24"/>
          <w:szCs w:val="24"/>
        </w:rPr>
        <w:t>)</w:t>
      </w:r>
      <w:r>
        <w:rPr>
          <w:rFonts w:ascii="Arial" w:hAnsi="Arial" w:cs="Arial"/>
          <w:sz w:val="24"/>
          <w:szCs w:val="24"/>
        </w:rPr>
        <w:t>, a CGE encaminhou os</w:t>
      </w:r>
      <w:r w:rsidR="00991613">
        <w:rPr>
          <w:rFonts w:ascii="Arial" w:hAnsi="Arial" w:cs="Arial"/>
          <w:sz w:val="24"/>
          <w:szCs w:val="24"/>
        </w:rPr>
        <w:t xml:space="preserve"> </w:t>
      </w:r>
      <w:r>
        <w:rPr>
          <w:rFonts w:ascii="Arial" w:hAnsi="Arial" w:cs="Arial"/>
          <w:sz w:val="24"/>
          <w:szCs w:val="24"/>
        </w:rPr>
        <w:t>Despachos n</w:t>
      </w:r>
      <w:r w:rsidR="00066D6F">
        <w:rPr>
          <w:rFonts w:ascii="Arial" w:hAnsi="Arial" w:cs="Arial"/>
          <w:sz w:val="24"/>
          <w:szCs w:val="24"/>
        </w:rPr>
        <w:t>º</w:t>
      </w:r>
      <w:r>
        <w:rPr>
          <w:rFonts w:ascii="Arial" w:hAnsi="Arial" w:cs="Arial"/>
          <w:sz w:val="24"/>
          <w:szCs w:val="24"/>
        </w:rPr>
        <w:t xml:space="preserve"> 45/2019 e </w:t>
      </w:r>
      <w:r w:rsidR="00066D6F">
        <w:rPr>
          <w:rFonts w:ascii="Arial" w:hAnsi="Arial" w:cs="Arial"/>
          <w:sz w:val="24"/>
          <w:szCs w:val="24"/>
        </w:rPr>
        <w:t xml:space="preserve">nº </w:t>
      </w:r>
      <w:r>
        <w:rPr>
          <w:rFonts w:ascii="Arial" w:hAnsi="Arial" w:cs="Arial"/>
          <w:sz w:val="24"/>
          <w:szCs w:val="24"/>
        </w:rPr>
        <w:t>47/2019, ambos da Gerência de Auditoria de Programas de Governo da CGE, por meio dos quais:</w:t>
      </w:r>
    </w:p>
    <w:p w14:paraId="53C34976" w14:textId="6E13C32D" w:rsidR="00F305AA" w:rsidRDefault="00991613" w:rsidP="00502615">
      <w:pPr>
        <w:pStyle w:val="PargrafodaLista"/>
        <w:numPr>
          <w:ilvl w:val="0"/>
          <w:numId w:val="44"/>
        </w:numPr>
        <w:spacing w:line="360" w:lineRule="auto"/>
        <w:jc w:val="both"/>
        <w:rPr>
          <w:rFonts w:ascii="Arial" w:hAnsi="Arial" w:cs="Arial"/>
          <w:sz w:val="24"/>
          <w:szCs w:val="24"/>
        </w:rPr>
      </w:pPr>
      <w:r>
        <w:rPr>
          <w:rFonts w:ascii="Arial" w:hAnsi="Arial" w:cs="Arial"/>
          <w:sz w:val="24"/>
          <w:szCs w:val="24"/>
        </w:rPr>
        <w:t>encaminha o Relatório nº</w:t>
      </w:r>
      <w:r w:rsidR="00F305AA">
        <w:rPr>
          <w:rFonts w:ascii="Arial" w:hAnsi="Arial" w:cs="Arial"/>
          <w:sz w:val="24"/>
          <w:szCs w:val="24"/>
        </w:rPr>
        <w:t xml:space="preserve"> 11/2018, e os Informes de Auditoria n. 1/2019, n. 2/2019 e n. 3/2019;</w:t>
      </w:r>
    </w:p>
    <w:p w14:paraId="05E607A4" w14:textId="77777777" w:rsidR="00F305AA" w:rsidRDefault="00F305AA" w:rsidP="00502615">
      <w:pPr>
        <w:pStyle w:val="PargrafodaLista"/>
        <w:numPr>
          <w:ilvl w:val="0"/>
          <w:numId w:val="44"/>
        </w:numPr>
        <w:spacing w:line="360" w:lineRule="auto"/>
        <w:jc w:val="both"/>
        <w:rPr>
          <w:rFonts w:ascii="Arial" w:hAnsi="Arial" w:cs="Arial"/>
          <w:sz w:val="24"/>
          <w:szCs w:val="24"/>
        </w:rPr>
      </w:pPr>
      <w:r>
        <w:rPr>
          <w:rFonts w:ascii="Arial" w:hAnsi="Arial" w:cs="Arial"/>
          <w:sz w:val="24"/>
          <w:szCs w:val="24"/>
        </w:rPr>
        <w:t>informa que não houve retorno da SIC, da GOIASFOMENTO, nem da Secretaria da Economia, quanto aos apontamentos e recomendações feitos pela CGE;</w:t>
      </w:r>
    </w:p>
    <w:p w14:paraId="64BFD4E6" w14:textId="77777777" w:rsidR="00F305AA" w:rsidRDefault="00F305AA" w:rsidP="00502615">
      <w:pPr>
        <w:pStyle w:val="PargrafodaLista"/>
        <w:numPr>
          <w:ilvl w:val="0"/>
          <w:numId w:val="44"/>
        </w:numPr>
        <w:spacing w:line="360" w:lineRule="auto"/>
        <w:jc w:val="both"/>
        <w:rPr>
          <w:rFonts w:ascii="Arial" w:hAnsi="Arial" w:cs="Arial"/>
          <w:sz w:val="24"/>
          <w:szCs w:val="24"/>
        </w:rPr>
      </w:pPr>
      <w:r>
        <w:rPr>
          <w:rFonts w:ascii="Arial" w:hAnsi="Arial" w:cs="Arial"/>
          <w:sz w:val="24"/>
          <w:szCs w:val="24"/>
        </w:rPr>
        <w:t>informa que as auditorias são planejadas anualmente, segundo critérios de materialidade, relevância e criticidade, e que o Programa PRODUZIR foi incluído no Plano Anual de Auditoria para o exercício de 2019; e</w:t>
      </w:r>
    </w:p>
    <w:p w14:paraId="2E576FD8" w14:textId="77777777" w:rsidR="00F305AA" w:rsidRDefault="00F305AA" w:rsidP="00502615">
      <w:pPr>
        <w:pStyle w:val="PargrafodaLista"/>
        <w:numPr>
          <w:ilvl w:val="0"/>
          <w:numId w:val="44"/>
        </w:numPr>
        <w:spacing w:line="360" w:lineRule="auto"/>
        <w:jc w:val="both"/>
        <w:rPr>
          <w:rFonts w:ascii="Arial" w:hAnsi="Arial" w:cs="Arial"/>
          <w:sz w:val="24"/>
          <w:szCs w:val="24"/>
        </w:rPr>
      </w:pPr>
      <w:r>
        <w:rPr>
          <w:rFonts w:ascii="Arial" w:hAnsi="Arial" w:cs="Arial"/>
          <w:sz w:val="24"/>
          <w:szCs w:val="24"/>
        </w:rPr>
        <w:t>informa relação de empresas objeto de análise pela CGE, inclusive mencionando algumas análises que ainda estão em andamento.</w:t>
      </w:r>
    </w:p>
    <w:p w14:paraId="6B6A87B5" w14:textId="77777777" w:rsidR="00F305AA" w:rsidRDefault="00F305AA" w:rsidP="00F305AA">
      <w:pPr>
        <w:spacing w:line="360" w:lineRule="auto"/>
        <w:ind w:firstLine="851"/>
        <w:jc w:val="both"/>
        <w:rPr>
          <w:rFonts w:ascii="Arial" w:hAnsi="Arial" w:cs="Arial"/>
          <w:sz w:val="24"/>
          <w:szCs w:val="24"/>
        </w:rPr>
      </w:pPr>
    </w:p>
    <w:p w14:paraId="70E52D93"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Da leitura dos documentos encaminhados pela CGE, observamos que trazem apontamentos relevantes para os trabalhos desta Comissão, especialmente os achados e a comparação entre os resultados esperados dos programas FOMENTAR e </w:t>
      </w:r>
      <w:r>
        <w:rPr>
          <w:rFonts w:ascii="Arial" w:hAnsi="Arial" w:cs="Arial"/>
          <w:sz w:val="24"/>
          <w:szCs w:val="24"/>
        </w:rPr>
        <w:lastRenderedPageBreak/>
        <w:t>PRODUZIR e o que foi constatado na prática como efetivado. Quanto a esta comparação, será abordada em capítulo específico deste Relatório.</w:t>
      </w:r>
    </w:p>
    <w:p w14:paraId="2312664D"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Assim sendo, passamos, semelhantemente aos que foi feito em relação ao relatório da equipe técnica do TCE-GO, à análise dos achados constantes da documentação oriunda da CGE, focando, na medida do possível, naquilo que é geral dos programas e não específico de uma empresa.</w:t>
      </w:r>
    </w:p>
    <w:p w14:paraId="13EB623B" w14:textId="77777777" w:rsidR="00F305AA" w:rsidRDefault="00F305AA" w:rsidP="00F305AA">
      <w:pPr>
        <w:spacing w:line="360" w:lineRule="auto"/>
        <w:ind w:firstLine="851"/>
        <w:jc w:val="both"/>
        <w:rPr>
          <w:rFonts w:ascii="Arial" w:hAnsi="Arial" w:cs="Arial"/>
          <w:sz w:val="24"/>
          <w:szCs w:val="24"/>
        </w:rPr>
      </w:pPr>
    </w:p>
    <w:p w14:paraId="48242522" w14:textId="78ACFE50" w:rsidR="00F305AA" w:rsidRDefault="00F305AA" w:rsidP="00F305AA">
      <w:pPr>
        <w:spacing w:line="360" w:lineRule="auto"/>
        <w:ind w:firstLine="851"/>
        <w:jc w:val="both"/>
        <w:rPr>
          <w:rFonts w:ascii="Arial" w:hAnsi="Arial" w:cs="Arial"/>
          <w:b/>
          <w:sz w:val="24"/>
          <w:szCs w:val="24"/>
        </w:rPr>
      </w:pPr>
      <w:r w:rsidRPr="00783461">
        <w:rPr>
          <w:rFonts w:ascii="Arial" w:hAnsi="Arial" w:cs="Arial"/>
          <w:b/>
          <w:bCs/>
          <w:sz w:val="24"/>
          <w:szCs w:val="24"/>
        </w:rPr>
        <w:t>6.2.2.1</w:t>
      </w:r>
      <w:r w:rsidR="00783461">
        <w:rPr>
          <w:rFonts w:ascii="Arial" w:hAnsi="Arial" w:cs="Arial"/>
          <w:b/>
          <w:bCs/>
          <w:sz w:val="24"/>
          <w:szCs w:val="24"/>
        </w:rPr>
        <w:t xml:space="preserve"> –</w:t>
      </w:r>
      <w:r w:rsidRPr="00783461">
        <w:rPr>
          <w:rFonts w:ascii="Arial" w:hAnsi="Arial" w:cs="Arial"/>
          <w:b/>
          <w:sz w:val="24"/>
          <w:szCs w:val="24"/>
        </w:rPr>
        <w:t xml:space="preserve"> Projetos de viabilidade econômico-financeira não suficientemente detalhados</w:t>
      </w:r>
    </w:p>
    <w:p w14:paraId="1FA54AAF" w14:textId="77777777" w:rsidR="00783461" w:rsidRPr="00783461" w:rsidRDefault="00783461" w:rsidP="00F305AA">
      <w:pPr>
        <w:spacing w:line="360" w:lineRule="auto"/>
        <w:ind w:firstLine="851"/>
        <w:jc w:val="both"/>
        <w:rPr>
          <w:rFonts w:ascii="Arial" w:hAnsi="Arial" w:cs="Arial"/>
          <w:b/>
          <w:bCs/>
          <w:sz w:val="24"/>
          <w:szCs w:val="24"/>
        </w:rPr>
      </w:pPr>
    </w:p>
    <w:p w14:paraId="2DB16FEE" w14:textId="574C2640" w:rsidR="00F305AA" w:rsidRDefault="00F305AA" w:rsidP="00F305AA">
      <w:pPr>
        <w:spacing w:line="360" w:lineRule="auto"/>
        <w:ind w:firstLine="851"/>
        <w:jc w:val="both"/>
        <w:rPr>
          <w:rFonts w:ascii="Arial" w:hAnsi="Arial" w:cs="Arial"/>
          <w:b/>
          <w:bCs/>
          <w:sz w:val="24"/>
          <w:szCs w:val="24"/>
        </w:rPr>
      </w:pPr>
      <w:r>
        <w:rPr>
          <w:rFonts w:ascii="Arial" w:hAnsi="Arial" w:cs="Arial"/>
          <w:sz w:val="24"/>
          <w:szCs w:val="24"/>
        </w:rPr>
        <w:t>O art. 21 do Decreto que re</w:t>
      </w:r>
      <w:r w:rsidR="00783461">
        <w:rPr>
          <w:rFonts w:ascii="Arial" w:hAnsi="Arial" w:cs="Arial"/>
          <w:sz w:val="24"/>
          <w:szCs w:val="24"/>
        </w:rPr>
        <w:t>gulamenta o PRODUZIR (Decreto nº</w:t>
      </w:r>
      <w:r>
        <w:rPr>
          <w:rFonts w:ascii="Arial" w:hAnsi="Arial" w:cs="Arial"/>
          <w:sz w:val="24"/>
          <w:szCs w:val="24"/>
        </w:rPr>
        <w:t xml:space="preserve"> 5.265, de 2000) exige, para se enquadrar nas normas do programa e usufruir seus benefícios, a apresentação de projeto de viabilidade econômico-financeira:</w:t>
      </w:r>
    </w:p>
    <w:p w14:paraId="0B1FCA7E" w14:textId="77777777" w:rsidR="00F305AA" w:rsidRDefault="00F305AA" w:rsidP="00F305AA">
      <w:pPr>
        <w:spacing w:line="360" w:lineRule="auto"/>
        <w:ind w:firstLine="851"/>
        <w:jc w:val="both"/>
      </w:pPr>
    </w:p>
    <w:p w14:paraId="5DA7ECC2" w14:textId="77777777" w:rsidR="00F305AA" w:rsidRDefault="00F305AA" w:rsidP="00F305AA">
      <w:pPr>
        <w:pStyle w:val="Corpodetexto"/>
        <w:spacing w:after="0"/>
        <w:ind w:left="2268"/>
        <w:jc w:val="both"/>
        <w:rPr>
          <w:rFonts w:cs="Arial"/>
          <w:b/>
          <w:bCs/>
          <w:color w:val="000000"/>
          <w:sz w:val="22"/>
        </w:rPr>
      </w:pPr>
      <w:r>
        <w:rPr>
          <w:rFonts w:cs="Arial"/>
          <w:color w:val="000000"/>
          <w:sz w:val="22"/>
        </w:rPr>
        <w:t>Art. 21. A empresa que pretender se enquadrar nas normas do FUNPRODUZIR para usufruir de seu benefício, deve apresentar:</w:t>
      </w:r>
    </w:p>
    <w:p w14:paraId="0E32B608" w14:textId="77777777" w:rsidR="00F305AA" w:rsidRDefault="00F305AA" w:rsidP="00F305AA">
      <w:pPr>
        <w:pStyle w:val="Corpodetexto"/>
        <w:spacing w:after="0"/>
        <w:ind w:left="2268"/>
        <w:jc w:val="both"/>
        <w:rPr>
          <w:color w:val="000000"/>
          <w:sz w:val="22"/>
        </w:rPr>
      </w:pPr>
      <w:r>
        <w:rPr>
          <w:color w:val="000000"/>
          <w:sz w:val="22"/>
        </w:rPr>
        <w:t>I – Revogado.</w:t>
      </w:r>
    </w:p>
    <w:p w14:paraId="4A7E056E" w14:textId="77777777" w:rsidR="00F305AA" w:rsidRDefault="00F305AA" w:rsidP="00F305AA">
      <w:pPr>
        <w:pStyle w:val="Corpodetexto"/>
        <w:spacing w:after="0"/>
        <w:ind w:left="2268"/>
        <w:jc w:val="both"/>
        <w:rPr>
          <w:color w:val="000000"/>
          <w:sz w:val="22"/>
        </w:rPr>
      </w:pPr>
      <w:r>
        <w:rPr>
          <w:color w:val="000000"/>
          <w:sz w:val="22"/>
        </w:rPr>
        <w:t>II - projeto de viabilidade econômico-financeira para o empreendimento.</w:t>
      </w:r>
    </w:p>
    <w:p w14:paraId="5FA33376" w14:textId="77777777" w:rsidR="00F305AA" w:rsidRDefault="00F305AA" w:rsidP="00F305AA">
      <w:pPr>
        <w:pStyle w:val="Corpodetexto"/>
        <w:spacing w:after="0"/>
        <w:ind w:left="2268"/>
        <w:jc w:val="both"/>
        <w:rPr>
          <w:color w:val="000000"/>
          <w:sz w:val="22"/>
        </w:rPr>
      </w:pPr>
      <w:r>
        <w:rPr>
          <w:color w:val="000000"/>
          <w:sz w:val="22"/>
        </w:rPr>
        <w:t>a) conforme modelo constante do Anexo VII para o empreendimento a ser enquadrado no MICROPRODUZIR;</w:t>
      </w:r>
    </w:p>
    <w:p w14:paraId="12FA224B" w14:textId="77777777" w:rsidR="00F305AA" w:rsidRDefault="00F305AA" w:rsidP="00F305AA">
      <w:pPr>
        <w:pStyle w:val="Corpodetexto"/>
        <w:spacing w:after="0"/>
        <w:ind w:left="2268"/>
        <w:jc w:val="both"/>
        <w:rPr>
          <w:color w:val="000000"/>
          <w:sz w:val="22"/>
        </w:rPr>
      </w:pPr>
      <w:r>
        <w:rPr>
          <w:color w:val="000000"/>
          <w:sz w:val="22"/>
        </w:rPr>
        <w:t>b) conforme as normas geralmente aceitas para elaboração de projeto, nos demais casos.</w:t>
      </w:r>
    </w:p>
    <w:p w14:paraId="2102445B" w14:textId="77777777" w:rsidR="00F305AA" w:rsidRDefault="00F305AA" w:rsidP="00F305AA">
      <w:pPr>
        <w:pStyle w:val="Corpodetexto"/>
        <w:spacing w:after="0"/>
        <w:ind w:left="2268"/>
        <w:jc w:val="both"/>
        <w:rPr>
          <w:color w:val="000000"/>
          <w:sz w:val="22"/>
        </w:rPr>
      </w:pPr>
      <w:r>
        <w:rPr>
          <w:color w:val="000000"/>
          <w:sz w:val="22"/>
        </w:rPr>
        <w:t>§ 2º O projeto de viabilidade econômico-financeiro exigido para obtenção de benefícios do PRODUZIR e FUNPRODUZIR deverá:</w:t>
      </w:r>
    </w:p>
    <w:p w14:paraId="6F0517DE" w14:textId="77777777" w:rsidR="00F305AA" w:rsidRDefault="00F305AA" w:rsidP="00F305AA">
      <w:pPr>
        <w:pStyle w:val="Corpodetexto"/>
        <w:spacing w:after="0"/>
        <w:ind w:left="2268"/>
        <w:jc w:val="both"/>
        <w:rPr>
          <w:color w:val="000000"/>
          <w:sz w:val="22"/>
        </w:rPr>
      </w:pPr>
      <w:r>
        <w:rPr>
          <w:color w:val="000000"/>
          <w:sz w:val="22"/>
        </w:rPr>
        <w:t>I - ser elaborado e assinado por profissional legalmente habilitado, de livre escolha do postulante do benefício;</w:t>
      </w:r>
    </w:p>
    <w:p w14:paraId="3171A46C" w14:textId="77777777" w:rsidR="00F305AA" w:rsidRDefault="00F305AA" w:rsidP="00F305AA">
      <w:pPr>
        <w:pStyle w:val="Corpodetexto"/>
        <w:spacing w:after="0"/>
        <w:ind w:left="2268"/>
        <w:jc w:val="both"/>
        <w:rPr>
          <w:color w:val="000000"/>
          <w:sz w:val="22"/>
        </w:rPr>
      </w:pPr>
      <w:r>
        <w:rPr>
          <w:color w:val="000000"/>
          <w:sz w:val="22"/>
        </w:rPr>
        <w:t>II - estar acompanhado de:</w:t>
      </w:r>
    </w:p>
    <w:p w14:paraId="6FBD97FA" w14:textId="77777777" w:rsidR="00F305AA" w:rsidRDefault="00F305AA" w:rsidP="00F305AA">
      <w:pPr>
        <w:pStyle w:val="Corpodetexto"/>
        <w:spacing w:after="0"/>
        <w:ind w:left="2268"/>
        <w:jc w:val="both"/>
        <w:rPr>
          <w:color w:val="000000"/>
          <w:sz w:val="22"/>
        </w:rPr>
      </w:pPr>
      <w:r>
        <w:rPr>
          <w:color w:val="000000"/>
          <w:sz w:val="22"/>
        </w:rPr>
        <w:t>a) cópia dos atos constitutivos da empresa e de suas alterações nos quais deve constar a subscrição de capital social de, no mínimo, 20% (vinte por cento) do valor dos investimentos fixos, a ser integralizado durante a implantação do empreendimento, conforme cronograma físico-financeiro apresentado;</w:t>
      </w:r>
    </w:p>
    <w:p w14:paraId="577C3C5E" w14:textId="77777777" w:rsidR="00F305AA" w:rsidRDefault="00F305AA" w:rsidP="00F305AA">
      <w:pPr>
        <w:pStyle w:val="Corpodetexto"/>
        <w:spacing w:after="0"/>
        <w:ind w:left="2268"/>
        <w:jc w:val="both"/>
        <w:rPr>
          <w:color w:val="000000"/>
          <w:sz w:val="22"/>
        </w:rPr>
      </w:pPr>
      <w:r>
        <w:rPr>
          <w:color w:val="000000"/>
          <w:sz w:val="22"/>
        </w:rPr>
        <w:t>b) comprovante de inscrição no Cadastro Nacional de Pessoa Jurídica – CNPJ;</w:t>
      </w:r>
    </w:p>
    <w:p w14:paraId="5424C760" w14:textId="77777777" w:rsidR="00F305AA" w:rsidRDefault="00F305AA" w:rsidP="00F305AA">
      <w:pPr>
        <w:pStyle w:val="Corpodetexto"/>
        <w:spacing w:after="0"/>
        <w:ind w:left="2268"/>
        <w:jc w:val="both"/>
        <w:rPr>
          <w:color w:val="000000"/>
          <w:sz w:val="22"/>
        </w:rPr>
      </w:pPr>
      <w:r>
        <w:rPr>
          <w:color w:val="000000"/>
          <w:sz w:val="22"/>
        </w:rPr>
        <w:t>c) comprovante de inscrição no Cadastro de Contribuinte do Estado - CCE -, podendo, na hipótese de projeto de implantação, ser apresentado quando da contratação do PRODUZIR;</w:t>
      </w:r>
    </w:p>
    <w:p w14:paraId="220196ED" w14:textId="77777777" w:rsidR="00F305AA" w:rsidRDefault="00F305AA" w:rsidP="00F305AA">
      <w:pPr>
        <w:pStyle w:val="Corpodetexto"/>
        <w:spacing w:after="0"/>
        <w:ind w:left="2268"/>
        <w:jc w:val="both"/>
        <w:rPr>
          <w:color w:val="000000"/>
          <w:sz w:val="22"/>
        </w:rPr>
      </w:pPr>
      <w:r>
        <w:rPr>
          <w:color w:val="000000"/>
          <w:sz w:val="22"/>
        </w:rPr>
        <w:t>e) documento que comprove o domínio útil do imóvel;</w:t>
      </w:r>
    </w:p>
    <w:p w14:paraId="3207CEE6" w14:textId="77777777" w:rsidR="00F305AA" w:rsidRDefault="00F305AA" w:rsidP="00F305AA">
      <w:pPr>
        <w:pStyle w:val="Corpodetexto"/>
        <w:spacing w:after="0"/>
        <w:ind w:left="2268"/>
        <w:jc w:val="both"/>
        <w:rPr>
          <w:color w:val="000000"/>
          <w:sz w:val="22"/>
        </w:rPr>
      </w:pPr>
      <w:r>
        <w:rPr>
          <w:color w:val="000000"/>
          <w:sz w:val="22"/>
        </w:rPr>
        <w:t>III - estar acompanhado de cópia, referente aos sócios:</w:t>
      </w:r>
    </w:p>
    <w:p w14:paraId="70992E5C" w14:textId="77777777" w:rsidR="00F305AA" w:rsidRDefault="00F305AA" w:rsidP="00F305AA">
      <w:pPr>
        <w:pStyle w:val="Corpodetexto"/>
        <w:spacing w:after="0"/>
        <w:ind w:left="2268"/>
        <w:jc w:val="both"/>
        <w:rPr>
          <w:color w:val="000000"/>
          <w:sz w:val="22"/>
        </w:rPr>
      </w:pPr>
      <w:r>
        <w:rPr>
          <w:color w:val="000000"/>
          <w:sz w:val="22"/>
        </w:rPr>
        <w:t>a) do documento de identidade e Cadastro de Pessoa Física – CPF;</w:t>
      </w:r>
    </w:p>
    <w:p w14:paraId="3F947356" w14:textId="77777777" w:rsidR="00F305AA" w:rsidRDefault="00F305AA" w:rsidP="00F305AA">
      <w:pPr>
        <w:pStyle w:val="Corpodetexto"/>
        <w:spacing w:after="0"/>
        <w:ind w:left="2268"/>
        <w:jc w:val="both"/>
        <w:rPr>
          <w:color w:val="000000"/>
          <w:sz w:val="22"/>
        </w:rPr>
      </w:pPr>
      <w:r>
        <w:rPr>
          <w:color w:val="000000"/>
          <w:sz w:val="22"/>
        </w:rPr>
        <w:t>b) das Declarações de Imposto de Renda relativas aos 3 (três) últimos anos, inclusive dos diretores e administradores;</w:t>
      </w:r>
    </w:p>
    <w:p w14:paraId="3D198415" w14:textId="77777777" w:rsidR="00F305AA" w:rsidRDefault="00F305AA" w:rsidP="00F305AA">
      <w:pPr>
        <w:pStyle w:val="Corpodetexto"/>
        <w:spacing w:after="0"/>
        <w:ind w:left="2268"/>
        <w:jc w:val="both"/>
        <w:rPr>
          <w:color w:val="000000"/>
          <w:sz w:val="22"/>
        </w:rPr>
      </w:pPr>
      <w:r>
        <w:rPr>
          <w:color w:val="000000"/>
          <w:sz w:val="22"/>
        </w:rPr>
        <w:t>IV - conter, entre outras, as seguintes informações:</w:t>
      </w:r>
    </w:p>
    <w:p w14:paraId="16ECEB4E" w14:textId="77777777" w:rsidR="00F305AA" w:rsidRDefault="00F305AA" w:rsidP="00F305AA">
      <w:pPr>
        <w:pStyle w:val="Corpodetexto"/>
        <w:spacing w:after="0"/>
        <w:ind w:left="2268"/>
        <w:jc w:val="both"/>
        <w:rPr>
          <w:color w:val="000000"/>
          <w:sz w:val="22"/>
        </w:rPr>
      </w:pPr>
      <w:r>
        <w:rPr>
          <w:color w:val="000000"/>
          <w:sz w:val="22"/>
        </w:rPr>
        <w:t>a) da empresa pretendente:</w:t>
      </w:r>
    </w:p>
    <w:p w14:paraId="1A0BC25D" w14:textId="77777777" w:rsidR="00F305AA" w:rsidRDefault="00F305AA" w:rsidP="00F305AA">
      <w:pPr>
        <w:pStyle w:val="Corpodetexto"/>
        <w:spacing w:after="0"/>
        <w:ind w:left="2268"/>
        <w:jc w:val="both"/>
        <w:rPr>
          <w:color w:val="000000"/>
          <w:sz w:val="22"/>
        </w:rPr>
      </w:pPr>
      <w:r>
        <w:rPr>
          <w:color w:val="000000"/>
          <w:sz w:val="22"/>
        </w:rPr>
        <w:lastRenderedPageBreak/>
        <w:t>1. razão social;</w:t>
      </w:r>
    </w:p>
    <w:p w14:paraId="502C3802" w14:textId="77777777" w:rsidR="00F305AA" w:rsidRDefault="00F305AA" w:rsidP="00F305AA">
      <w:pPr>
        <w:pStyle w:val="Corpodetexto"/>
        <w:spacing w:after="0"/>
        <w:ind w:left="2268"/>
        <w:jc w:val="both"/>
        <w:rPr>
          <w:color w:val="000000"/>
          <w:sz w:val="22"/>
        </w:rPr>
      </w:pPr>
      <w:r>
        <w:rPr>
          <w:color w:val="000000"/>
          <w:sz w:val="22"/>
        </w:rPr>
        <w:t>2. endereço completo;</w:t>
      </w:r>
    </w:p>
    <w:p w14:paraId="4B6D96D8" w14:textId="77777777" w:rsidR="00F305AA" w:rsidRDefault="00F305AA" w:rsidP="00F305AA">
      <w:pPr>
        <w:pStyle w:val="Corpodetexto"/>
        <w:spacing w:after="0"/>
        <w:ind w:left="2268"/>
        <w:jc w:val="both"/>
        <w:rPr>
          <w:color w:val="000000"/>
          <w:sz w:val="22"/>
        </w:rPr>
      </w:pPr>
      <w:r>
        <w:rPr>
          <w:color w:val="000000"/>
          <w:sz w:val="22"/>
        </w:rPr>
        <w:t>3. endereço para correspondência, telefone, fax e e-mail;</w:t>
      </w:r>
    </w:p>
    <w:p w14:paraId="4640A872" w14:textId="77777777" w:rsidR="00F305AA" w:rsidRDefault="00F305AA" w:rsidP="00F305AA">
      <w:pPr>
        <w:pStyle w:val="Corpodetexto"/>
        <w:spacing w:after="0"/>
        <w:ind w:left="2268"/>
        <w:jc w:val="both"/>
        <w:rPr>
          <w:color w:val="000000"/>
          <w:sz w:val="22"/>
        </w:rPr>
      </w:pPr>
      <w:r>
        <w:rPr>
          <w:color w:val="000000"/>
          <w:sz w:val="22"/>
        </w:rPr>
        <w:t>4. nome de pessoa para contato, com endereço, telefone, fax e e-mail;</w:t>
      </w:r>
    </w:p>
    <w:p w14:paraId="398AFE4C" w14:textId="77777777" w:rsidR="00F305AA" w:rsidRDefault="00F305AA" w:rsidP="00F305AA">
      <w:pPr>
        <w:pStyle w:val="Corpodetexto"/>
        <w:spacing w:after="0"/>
        <w:ind w:left="2268"/>
        <w:jc w:val="both"/>
        <w:rPr>
          <w:color w:val="000000"/>
          <w:sz w:val="22"/>
        </w:rPr>
      </w:pPr>
      <w:r>
        <w:rPr>
          <w:color w:val="000000"/>
          <w:sz w:val="22"/>
        </w:rPr>
        <w:t>5. objetivo social, ramo de atividade, data da constituição, composição social atual e prazo de duração;</w:t>
      </w:r>
    </w:p>
    <w:p w14:paraId="244A7E21" w14:textId="77777777" w:rsidR="00F305AA" w:rsidRDefault="00F305AA" w:rsidP="00F305AA">
      <w:pPr>
        <w:pStyle w:val="Corpodetexto"/>
        <w:spacing w:after="0"/>
        <w:ind w:left="2268"/>
        <w:jc w:val="both"/>
        <w:rPr>
          <w:color w:val="000000"/>
          <w:sz w:val="22"/>
        </w:rPr>
      </w:pPr>
      <w:r>
        <w:rPr>
          <w:color w:val="000000"/>
          <w:sz w:val="22"/>
        </w:rPr>
        <w:t>6. o organograma e a administração;</w:t>
      </w:r>
    </w:p>
    <w:p w14:paraId="58D58DA1" w14:textId="77777777" w:rsidR="00F305AA" w:rsidRDefault="00F305AA" w:rsidP="00F305AA">
      <w:pPr>
        <w:pStyle w:val="Corpodetexto"/>
        <w:spacing w:after="0"/>
        <w:ind w:left="2268"/>
        <w:jc w:val="both"/>
        <w:rPr>
          <w:color w:val="000000"/>
          <w:sz w:val="22"/>
        </w:rPr>
      </w:pPr>
      <w:r>
        <w:rPr>
          <w:color w:val="000000"/>
          <w:sz w:val="22"/>
        </w:rPr>
        <w:t>b) do projeto:</w:t>
      </w:r>
    </w:p>
    <w:p w14:paraId="13A74AEF" w14:textId="77777777" w:rsidR="00F305AA" w:rsidRDefault="00F305AA" w:rsidP="00F305AA">
      <w:pPr>
        <w:pStyle w:val="Corpodetexto"/>
        <w:spacing w:after="0"/>
        <w:ind w:left="2268"/>
        <w:jc w:val="both"/>
        <w:rPr>
          <w:color w:val="000000"/>
          <w:sz w:val="22"/>
        </w:rPr>
      </w:pPr>
      <w:r>
        <w:rPr>
          <w:color w:val="000000"/>
          <w:sz w:val="22"/>
        </w:rPr>
        <w:t>1. objeto do projeto;</w:t>
      </w:r>
    </w:p>
    <w:p w14:paraId="13F26674" w14:textId="77777777" w:rsidR="00F305AA" w:rsidRDefault="00F305AA" w:rsidP="00F305AA">
      <w:pPr>
        <w:pStyle w:val="Corpodetexto"/>
        <w:spacing w:after="0"/>
        <w:ind w:left="2268"/>
        <w:jc w:val="both"/>
        <w:rPr>
          <w:color w:val="000000"/>
          <w:sz w:val="22"/>
        </w:rPr>
      </w:pPr>
      <w:r>
        <w:rPr>
          <w:color w:val="000000"/>
          <w:sz w:val="22"/>
        </w:rPr>
        <w:t>2. principais produtos, fluxograma do processo produtivo e percentual de valor agregado incidente sobre a matéria-prima;</w:t>
      </w:r>
    </w:p>
    <w:p w14:paraId="55512963" w14:textId="77777777" w:rsidR="00F305AA" w:rsidRDefault="00F305AA" w:rsidP="00F305AA">
      <w:pPr>
        <w:pStyle w:val="Corpodetexto"/>
        <w:spacing w:after="0"/>
        <w:ind w:left="2268"/>
        <w:jc w:val="both"/>
        <w:rPr>
          <w:color w:val="000000"/>
          <w:sz w:val="22"/>
        </w:rPr>
      </w:pPr>
      <w:r>
        <w:rPr>
          <w:color w:val="000000"/>
          <w:sz w:val="22"/>
        </w:rPr>
        <w:t>3. descrição dos investimentos, detalhando a capacidade de produção das máquinas e equipamentos, o projeto de construção civil, os veículos e outros investimentos pretendidos, juntando, sendo o caso, os respectivos orçamentos;</w:t>
      </w:r>
    </w:p>
    <w:p w14:paraId="25AD8C1D" w14:textId="77777777" w:rsidR="00F305AA" w:rsidRDefault="00F305AA" w:rsidP="00F305AA">
      <w:pPr>
        <w:pStyle w:val="Corpodetexto"/>
        <w:spacing w:after="0"/>
        <w:ind w:left="2268"/>
        <w:jc w:val="both"/>
        <w:rPr>
          <w:color w:val="000000"/>
          <w:sz w:val="22"/>
        </w:rPr>
      </w:pPr>
      <w:r>
        <w:rPr>
          <w:color w:val="000000"/>
          <w:sz w:val="22"/>
        </w:rPr>
        <w:t>4. mercado a ser alcançado, detalhando a política de vendas, os principais concorrentes e possíveis clientes, a política de compras de matéria-prima, insumos e embalagens, com especificação de sua origem, goiana, nacional e internacional;</w:t>
      </w:r>
    </w:p>
    <w:p w14:paraId="0DE50383" w14:textId="77777777" w:rsidR="00F305AA" w:rsidRDefault="00F305AA" w:rsidP="00F305AA">
      <w:pPr>
        <w:pStyle w:val="Corpodetexto"/>
        <w:spacing w:after="0"/>
        <w:ind w:left="2268"/>
        <w:jc w:val="both"/>
        <w:rPr>
          <w:color w:val="000000"/>
          <w:sz w:val="22"/>
        </w:rPr>
      </w:pPr>
      <w:r>
        <w:rPr>
          <w:color w:val="000000"/>
          <w:sz w:val="22"/>
        </w:rPr>
        <w:t>5. capacidade de produção projetada, sua evolução durante a implementação do projeto e, na hipótese de projeto de expansão e diversificação da atividade produtiva, relocalização ou reenquadramento, a capacidade atual;</w:t>
      </w:r>
    </w:p>
    <w:p w14:paraId="25C47D4D" w14:textId="77777777" w:rsidR="00F305AA" w:rsidRDefault="00F305AA" w:rsidP="00F305AA">
      <w:pPr>
        <w:pStyle w:val="Corpodetexto"/>
        <w:spacing w:after="0"/>
        <w:ind w:left="2268"/>
        <w:jc w:val="both"/>
        <w:rPr>
          <w:color w:val="000000"/>
          <w:sz w:val="22"/>
        </w:rPr>
      </w:pPr>
      <w:r>
        <w:rPr>
          <w:color w:val="000000"/>
          <w:sz w:val="22"/>
        </w:rPr>
        <w:t>6. previsão de geração de empregos, fixos e variáveis, diretos e indiretos e, na hipótese de projeto de expansão e diversificação da capacidade produtiva, relocalização ou reenquadramento, a mão-de-obra atual;</w:t>
      </w:r>
    </w:p>
    <w:p w14:paraId="7E07BC19" w14:textId="77777777" w:rsidR="00F305AA" w:rsidRDefault="00F305AA" w:rsidP="00F305AA">
      <w:pPr>
        <w:pStyle w:val="Corpodetexto"/>
        <w:spacing w:after="0"/>
        <w:ind w:left="2268"/>
        <w:jc w:val="both"/>
        <w:rPr>
          <w:color w:val="000000"/>
          <w:sz w:val="22"/>
        </w:rPr>
      </w:pPr>
      <w:r>
        <w:rPr>
          <w:color w:val="000000"/>
          <w:sz w:val="22"/>
        </w:rPr>
        <w:t>7. fluxo financeiro, detalhando a necessidade de capital de giro, de empréstimos e financiamentos, a estimativa, acompanhada de memória de cálculo, de receitas e despesas;</w:t>
      </w:r>
    </w:p>
    <w:p w14:paraId="09C81614" w14:textId="77777777" w:rsidR="00F305AA" w:rsidRDefault="00F305AA" w:rsidP="00F305AA">
      <w:pPr>
        <w:pStyle w:val="Corpodetexto"/>
        <w:spacing w:after="0"/>
        <w:ind w:left="2268"/>
        <w:jc w:val="both"/>
        <w:rPr>
          <w:color w:val="000000"/>
          <w:sz w:val="22"/>
        </w:rPr>
      </w:pPr>
      <w:r>
        <w:rPr>
          <w:color w:val="000000"/>
          <w:sz w:val="22"/>
        </w:rPr>
        <w:t>c) do benefício do PRODUZIR:</w:t>
      </w:r>
    </w:p>
    <w:p w14:paraId="5C03AEA4" w14:textId="77777777" w:rsidR="00F305AA" w:rsidRDefault="00F305AA" w:rsidP="00F305AA">
      <w:pPr>
        <w:pStyle w:val="Corpodetexto"/>
        <w:spacing w:after="0"/>
        <w:ind w:left="2268"/>
        <w:jc w:val="both"/>
        <w:rPr>
          <w:color w:val="000000"/>
          <w:sz w:val="22"/>
        </w:rPr>
      </w:pPr>
      <w:bookmarkStart w:id="115" w:name="__DdeLink__7604_3146521281"/>
      <w:r>
        <w:rPr>
          <w:color w:val="000000"/>
          <w:sz w:val="22"/>
        </w:rPr>
        <w:t>1. previsão do ICMS a recolher e do benefício do PRODUZIR, considerando a carga tributária efetiva;</w:t>
      </w:r>
      <w:bookmarkEnd w:id="115"/>
    </w:p>
    <w:p w14:paraId="144FBE52" w14:textId="77777777" w:rsidR="00F305AA" w:rsidRDefault="00F305AA" w:rsidP="00F305AA">
      <w:pPr>
        <w:pStyle w:val="Corpodetexto"/>
        <w:spacing w:after="0"/>
        <w:ind w:left="2268"/>
        <w:jc w:val="both"/>
        <w:rPr>
          <w:color w:val="000000"/>
          <w:sz w:val="22"/>
        </w:rPr>
      </w:pPr>
      <w:r>
        <w:rPr>
          <w:color w:val="000000"/>
          <w:sz w:val="22"/>
        </w:rPr>
        <w:t>2. parâmetros para o cálculo do coeficiente de prioridade;</w:t>
      </w:r>
    </w:p>
    <w:p w14:paraId="5245031D" w14:textId="77777777" w:rsidR="00F305AA" w:rsidRDefault="00F305AA" w:rsidP="00F305AA">
      <w:pPr>
        <w:pStyle w:val="Corpodetexto"/>
        <w:spacing w:after="0"/>
        <w:ind w:left="2268"/>
        <w:jc w:val="both"/>
        <w:rPr>
          <w:color w:val="000000"/>
          <w:sz w:val="22"/>
        </w:rPr>
      </w:pPr>
      <w:r>
        <w:rPr>
          <w:color w:val="000000"/>
          <w:sz w:val="22"/>
        </w:rPr>
        <w:t>3. fatores para a concessão de descontos;</w:t>
      </w:r>
    </w:p>
    <w:p w14:paraId="3C9559A2" w14:textId="77777777" w:rsidR="00F305AA" w:rsidRDefault="00F305AA" w:rsidP="00F305AA">
      <w:pPr>
        <w:pStyle w:val="Corpodetexto"/>
        <w:spacing w:after="0"/>
        <w:ind w:left="2268"/>
        <w:jc w:val="both"/>
        <w:rPr>
          <w:color w:val="000000"/>
          <w:sz w:val="22"/>
        </w:rPr>
      </w:pPr>
      <w:r>
        <w:rPr>
          <w:color w:val="000000"/>
          <w:sz w:val="22"/>
        </w:rPr>
        <w:t>4. quadro de usos e fontes;</w:t>
      </w:r>
    </w:p>
    <w:p w14:paraId="489C7D7C" w14:textId="77777777" w:rsidR="00F305AA" w:rsidRDefault="00F305AA" w:rsidP="00F305AA">
      <w:pPr>
        <w:pStyle w:val="Corpodetexto"/>
        <w:spacing w:after="0"/>
        <w:ind w:left="2268"/>
        <w:jc w:val="both"/>
        <w:rPr>
          <w:color w:val="000000"/>
          <w:sz w:val="22"/>
        </w:rPr>
      </w:pPr>
      <w:r>
        <w:rPr>
          <w:color w:val="000000"/>
          <w:sz w:val="22"/>
        </w:rPr>
        <w:t>d) Revogado</w:t>
      </w:r>
    </w:p>
    <w:p w14:paraId="3686CB86" w14:textId="77777777" w:rsidR="00F305AA" w:rsidRDefault="00F305AA" w:rsidP="00F305AA">
      <w:pPr>
        <w:pStyle w:val="Corpodetexto"/>
        <w:spacing w:after="0"/>
        <w:ind w:left="2268"/>
        <w:jc w:val="both"/>
        <w:rPr>
          <w:color w:val="000000"/>
          <w:sz w:val="22"/>
        </w:rPr>
      </w:pPr>
      <w:r>
        <w:rPr>
          <w:color w:val="000000"/>
          <w:sz w:val="22"/>
        </w:rPr>
        <w:t>e) Revogado</w:t>
      </w:r>
    </w:p>
    <w:p w14:paraId="6C3AA679" w14:textId="77777777" w:rsidR="00F305AA" w:rsidRDefault="00F305AA" w:rsidP="00F305AA">
      <w:pPr>
        <w:pStyle w:val="Corpodetexto"/>
        <w:spacing w:after="0"/>
        <w:ind w:left="2268"/>
        <w:jc w:val="both"/>
        <w:rPr>
          <w:color w:val="000000"/>
          <w:sz w:val="22"/>
        </w:rPr>
      </w:pPr>
      <w:r>
        <w:rPr>
          <w:color w:val="000000"/>
          <w:sz w:val="22"/>
        </w:rPr>
        <w:t>f) Revogado</w:t>
      </w:r>
    </w:p>
    <w:p w14:paraId="21116526" w14:textId="77777777" w:rsidR="00F305AA" w:rsidRDefault="00F305AA" w:rsidP="00F305AA">
      <w:pPr>
        <w:pStyle w:val="Corpodetexto"/>
        <w:spacing w:after="0"/>
        <w:ind w:left="2268"/>
        <w:jc w:val="both"/>
        <w:rPr>
          <w:color w:val="000000"/>
          <w:sz w:val="22"/>
        </w:rPr>
      </w:pPr>
      <w:r>
        <w:rPr>
          <w:color w:val="000000"/>
          <w:sz w:val="22"/>
        </w:rPr>
        <w:t>g) Revogado</w:t>
      </w:r>
    </w:p>
    <w:p w14:paraId="33621994" w14:textId="77777777" w:rsidR="00F305AA" w:rsidRDefault="00F305AA" w:rsidP="00F305AA">
      <w:pPr>
        <w:pStyle w:val="Corpodetexto"/>
        <w:spacing w:after="0"/>
        <w:ind w:left="2268"/>
        <w:jc w:val="both"/>
        <w:rPr>
          <w:color w:val="000000"/>
          <w:sz w:val="22"/>
        </w:rPr>
      </w:pPr>
      <w:r>
        <w:rPr>
          <w:color w:val="000000"/>
          <w:sz w:val="22"/>
        </w:rPr>
        <w:t>V - ser previamente examinado:</w:t>
      </w:r>
    </w:p>
    <w:p w14:paraId="557C1423" w14:textId="77777777" w:rsidR="00F305AA" w:rsidRDefault="00F305AA" w:rsidP="00F305AA">
      <w:pPr>
        <w:pStyle w:val="Corpodetexto"/>
        <w:spacing w:after="0"/>
        <w:ind w:left="2268"/>
        <w:jc w:val="both"/>
        <w:rPr>
          <w:color w:val="000000"/>
          <w:sz w:val="22"/>
        </w:rPr>
      </w:pPr>
      <w:r>
        <w:rPr>
          <w:color w:val="000000"/>
          <w:sz w:val="22"/>
        </w:rPr>
        <w:t>a) Revogado</w:t>
      </w:r>
    </w:p>
    <w:p w14:paraId="141D6699" w14:textId="77777777" w:rsidR="00F305AA" w:rsidRDefault="00F305AA" w:rsidP="00F305AA">
      <w:pPr>
        <w:pStyle w:val="Corpodetexto"/>
        <w:spacing w:after="0"/>
        <w:ind w:left="2268"/>
        <w:jc w:val="both"/>
        <w:rPr>
          <w:color w:val="000000"/>
          <w:sz w:val="22"/>
        </w:rPr>
      </w:pPr>
      <w:r>
        <w:rPr>
          <w:color w:val="000000"/>
          <w:sz w:val="22"/>
        </w:rPr>
        <w:t>b) pelo Setor de Análise da Secretaria Executiva, especialmente quanto ao conteúdo e enquadramento nas normas do PRODUZIR, mediante emissão de parecer técnico fundamentado, quanto a sua viabilidade econômico-financeira, que:</w:t>
      </w:r>
    </w:p>
    <w:p w14:paraId="46F5B3EE" w14:textId="77777777" w:rsidR="00F305AA" w:rsidRDefault="00F305AA" w:rsidP="00F305AA">
      <w:pPr>
        <w:pStyle w:val="Corpodetexto"/>
        <w:spacing w:after="0"/>
        <w:ind w:left="2268"/>
        <w:jc w:val="both"/>
        <w:rPr>
          <w:color w:val="000000"/>
          <w:sz w:val="22"/>
        </w:rPr>
      </w:pPr>
      <w:r>
        <w:rPr>
          <w:color w:val="000000"/>
          <w:sz w:val="22"/>
        </w:rPr>
        <w:t>1. se favorável, será submetido à apreciação da Comissão Executiva do Conselho Deliberativo do FUNPRODUZIR;</w:t>
      </w:r>
    </w:p>
    <w:p w14:paraId="5B047BB7" w14:textId="77777777" w:rsidR="00F305AA" w:rsidRDefault="00F305AA" w:rsidP="00F305AA">
      <w:pPr>
        <w:pStyle w:val="Corpodetexto"/>
        <w:spacing w:after="0"/>
        <w:ind w:left="2268"/>
        <w:jc w:val="both"/>
        <w:rPr>
          <w:rStyle w:val="nfase"/>
          <w:color w:val="000000"/>
          <w:sz w:val="22"/>
        </w:rPr>
      </w:pPr>
      <w:r>
        <w:rPr>
          <w:color w:val="000000"/>
          <w:sz w:val="22"/>
        </w:rPr>
        <w:t>2. se desfavorável, será arquivado sem a inclusão na pauta de reunião da Comissão Executiva do FUNPRODUZIR</w:t>
      </w:r>
      <w:r>
        <w:rPr>
          <w:rStyle w:val="nfase"/>
          <w:color w:val="000000"/>
          <w:sz w:val="22"/>
        </w:rPr>
        <w:t>.</w:t>
      </w:r>
    </w:p>
    <w:p w14:paraId="560AF58B" w14:textId="77777777" w:rsidR="00F305AA" w:rsidRDefault="00F305AA" w:rsidP="00F305AA">
      <w:pPr>
        <w:pStyle w:val="Corpodetexto"/>
        <w:spacing w:after="0"/>
        <w:ind w:left="2268"/>
        <w:jc w:val="both"/>
      </w:pPr>
      <w:r>
        <w:rPr>
          <w:color w:val="000000"/>
          <w:sz w:val="22"/>
        </w:rPr>
        <w:t xml:space="preserve">§ 3º Quando se tratar de implantação de indústria, cuja linha de produção já exista, parcial ou totalmente, no Estado de Goiás, e, no caso de projetos de comércio e prestação de serviços, financiados com recursos do FUNPRODUZIR, a Comissão Executiva do Conselho Deliberativo do </w:t>
      </w:r>
      <w:r>
        <w:rPr>
          <w:color w:val="000000"/>
          <w:sz w:val="22"/>
        </w:rPr>
        <w:lastRenderedPageBreak/>
        <w:t>PRODUZIR e do FUNPRODUZIR deve consultar a Federação pertinente, para que esta se manifeste, no prazo improrrogável de até 5 (cinco) dias, sobre a situação de produção, nível de atividade comercial, de serviços e tamanho de mercado na linha pretendida pelo novo projeto.</w:t>
      </w:r>
    </w:p>
    <w:p w14:paraId="7D7ABC12" w14:textId="77777777" w:rsidR="00F305AA" w:rsidRDefault="00F305AA" w:rsidP="00F305AA">
      <w:pPr>
        <w:pStyle w:val="Corpodetexto"/>
        <w:spacing w:after="0"/>
        <w:ind w:left="2268"/>
        <w:jc w:val="both"/>
        <w:rPr>
          <w:color w:val="000000"/>
          <w:sz w:val="22"/>
        </w:rPr>
      </w:pPr>
      <w:r>
        <w:rPr>
          <w:color w:val="000000"/>
          <w:sz w:val="22"/>
        </w:rPr>
        <w:t>§ 4º Em relação ao MICROPRODUZIR:</w:t>
      </w:r>
    </w:p>
    <w:p w14:paraId="688DF1ED" w14:textId="77777777" w:rsidR="00F305AA" w:rsidRDefault="00F305AA" w:rsidP="00F305AA">
      <w:pPr>
        <w:pStyle w:val="Corpodetexto"/>
        <w:spacing w:after="0"/>
        <w:ind w:left="2268"/>
        <w:jc w:val="both"/>
        <w:rPr>
          <w:color w:val="000000"/>
          <w:sz w:val="22"/>
        </w:rPr>
      </w:pPr>
      <w:r>
        <w:rPr>
          <w:color w:val="000000"/>
          <w:sz w:val="22"/>
        </w:rPr>
        <w:t>I - pode ser firmado convênio com:</w:t>
      </w:r>
    </w:p>
    <w:p w14:paraId="288706D0" w14:textId="77777777" w:rsidR="00F305AA" w:rsidRDefault="00F305AA" w:rsidP="00F305AA">
      <w:pPr>
        <w:pStyle w:val="Corpodetexto"/>
        <w:spacing w:after="0"/>
        <w:ind w:left="2268"/>
        <w:jc w:val="both"/>
        <w:rPr>
          <w:color w:val="000000"/>
          <w:sz w:val="22"/>
        </w:rPr>
      </w:pPr>
      <w:r>
        <w:rPr>
          <w:color w:val="000000"/>
          <w:sz w:val="22"/>
        </w:rPr>
        <w:t>a) entidade governamental ou da sociedade civil relacionada com microempresa e empresa de pequeno porte, bem como com secretarias municipais de indústria e comércio ou equivalentes, visando descentralizar o processo de recebimento de projeto;</w:t>
      </w:r>
    </w:p>
    <w:p w14:paraId="5F1D1AC0" w14:textId="77777777" w:rsidR="00F305AA" w:rsidRDefault="00F305AA" w:rsidP="00F305AA">
      <w:pPr>
        <w:pStyle w:val="Corpodetexto"/>
        <w:spacing w:after="0"/>
        <w:ind w:left="2268"/>
        <w:jc w:val="both"/>
        <w:rPr>
          <w:color w:val="000000"/>
          <w:sz w:val="22"/>
        </w:rPr>
      </w:pPr>
      <w:r>
        <w:rPr>
          <w:color w:val="000000"/>
          <w:sz w:val="22"/>
        </w:rPr>
        <w:t>b) entidade de reconhecida capacidade técnica para a prestação de assessoria na elaboração dos projetos;</w:t>
      </w:r>
    </w:p>
    <w:p w14:paraId="7A9812A3" w14:textId="77777777" w:rsidR="00F305AA" w:rsidRDefault="00F305AA" w:rsidP="00F305AA">
      <w:pPr>
        <w:pStyle w:val="Corpodetexto"/>
        <w:spacing w:after="0"/>
        <w:ind w:left="2268"/>
        <w:jc w:val="both"/>
        <w:rPr>
          <w:color w:val="000000"/>
          <w:sz w:val="22"/>
        </w:rPr>
      </w:pPr>
      <w:r>
        <w:rPr>
          <w:color w:val="000000"/>
          <w:sz w:val="22"/>
        </w:rPr>
        <w:t>II - a empresa beneficiária, cujo faturamento ultrapassar o limite previsto para enquadramento, tem a fruição do benefício suspensa no mês em que se verificar a ocorrência do fato, permitida a apresentação de novo projeto para enquadramento no PRODUZIR.</w:t>
      </w:r>
    </w:p>
    <w:p w14:paraId="370FDDB8" w14:textId="77777777" w:rsidR="00F305AA" w:rsidRDefault="00F305AA" w:rsidP="00F305AA">
      <w:pPr>
        <w:pStyle w:val="Corpodetexto"/>
        <w:spacing w:after="0"/>
        <w:ind w:left="2268"/>
        <w:jc w:val="both"/>
        <w:rPr>
          <w:color w:val="000000"/>
          <w:sz w:val="22"/>
        </w:rPr>
      </w:pPr>
      <w:r>
        <w:rPr>
          <w:color w:val="000000"/>
          <w:sz w:val="22"/>
        </w:rPr>
        <w:t>§ 5º Revogado.</w:t>
      </w:r>
    </w:p>
    <w:p w14:paraId="76B9A1E6" w14:textId="77777777" w:rsidR="00F305AA" w:rsidRDefault="00F305AA" w:rsidP="00F305AA">
      <w:pPr>
        <w:pStyle w:val="Corpodetexto"/>
        <w:spacing w:after="0"/>
        <w:ind w:left="2268"/>
        <w:jc w:val="both"/>
        <w:rPr>
          <w:rFonts w:cs="Arial"/>
          <w:b/>
          <w:bCs/>
          <w:color w:val="000000"/>
          <w:sz w:val="22"/>
        </w:rPr>
      </w:pPr>
      <w:r>
        <w:rPr>
          <w:rFonts w:cs="Arial"/>
          <w:color w:val="000000"/>
          <w:sz w:val="22"/>
        </w:rPr>
        <w:t>§ 6º Quando a certidão apresentada no projeto de viabilidade econômico-financeira perder a validade durante os trâmites da análise e concessão do financiamento, sem que o proponente tenha dado causa, e for possível a consulta de sua regularidade pela internet, a providência de sua revalidação deve ser feita pelo órgão estadual responsável pelo procedimento.</w:t>
      </w:r>
    </w:p>
    <w:p w14:paraId="4A84EE63" w14:textId="77777777" w:rsidR="00F305AA" w:rsidRPr="000D497E" w:rsidRDefault="00F305AA" w:rsidP="00F305AA">
      <w:pPr>
        <w:spacing w:line="360" w:lineRule="auto"/>
        <w:ind w:firstLine="851"/>
        <w:jc w:val="both"/>
        <w:rPr>
          <w:rFonts w:ascii="Arial" w:hAnsi="Arial" w:cs="Arial"/>
          <w:sz w:val="24"/>
        </w:rPr>
      </w:pPr>
    </w:p>
    <w:p w14:paraId="68BA334A" w14:textId="77777777" w:rsidR="00F305AA" w:rsidRDefault="00F305AA" w:rsidP="00F305AA">
      <w:pPr>
        <w:spacing w:line="360" w:lineRule="auto"/>
        <w:ind w:firstLine="851"/>
        <w:jc w:val="both"/>
        <w:rPr>
          <w:rFonts w:ascii="Arial" w:hAnsi="Arial" w:cs="Arial"/>
          <w:b/>
          <w:bCs/>
          <w:sz w:val="24"/>
          <w:szCs w:val="24"/>
        </w:rPr>
      </w:pPr>
      <w:r>
        <w:rPr>
          <w:rFonts w:ascii="Arial" w:hAnsi="Arial" w:cs="Arial"/>
          <w:sz w:val="24"/>
          <w:szCs w:val="24"/>
        </w:rPr>
        <w:t xml:space="preserve">O mencionado projeto contém o planejamento da empresa e a demonstração de que faz jus ao benefício estatal em razão de as atividades propostas irem </w:t>
      </w:r>
      <w:r w:rsidRPr="0049138B">
        <w:rPr>
          <w:rFonts w:ascii="Arial" w:hAnsi="Arial" w:cs="Arial"/>
          <w:sz w:val="24"/>
          <w:szCs w:val="24"/>
        </w:rPr>
        <w:t>ao encontro dos</w:t>
      </w:r>
      <w:r>
        <w:rPr>
          <w:rFonts w:ascii="Arial" w:hAnsi="Arial" w:cs="Arial"/>
          <w:sz w:val="24"/>
          <w:szCs w:val="24"/>
        </w:rPr>
        <w:t xml:space="preserve"> objetivos do Estado de Goiás de geração de emprego e renda e redução de desigualdades regionais. Após emissão de parecer técnico pela SIC, caso este seja favorável, o projeto é submetido ao Conselho Deliberativo do programa. Sendo aprovado, autoriza a celebração de contrato de financiamento (com a GOIASFOMENTO) e de TARE (com a SEFAZ/Secretaria da Economia).</w:t>
      </w:r>
    </w:p>
    <w:p w14:paraId="4A4E8A3B" w14:textId="77777777" w:rsidR="00F305AA" w:rsidRDefault="00F305AA" w:rsidP="00F305AA">
      <w:pPr>
        <w:spacing w:line="360" w:lineRule="auto"/>
        <w:ind w:firstLine="851"/>
        <w:jc w:val="both"/>
        <w:rPr>
          <w:rFonts w:ascii="Arial" w:hAnsi="Arial" w:cs="Arial"/>
          <w:b/>
          <w:bCs/>
          <w:sz w:val="24"/>
          <w:szCs w:val="24"/>
        </w:rPr>
      </w:pPr>
      <w:r>
        <w:rPr>
          <w:rFonts w:ascii="Arial" w:hAnsi="Arial" w:cs="Arial"/>
          <w:sz w:val="24"/>
          <w:szCs w:val="24"/>
        </w:rPr>
        <w:t>Todavia, a CGE constatou que:</w:t>
      </w:r>
    </w:p>
    <w:p w14:paraId="4219C5F0" w14:textId="77777777" w:rsidR="00F305AA" w:rsidRPr="000D497E" w:rsidRDefault="00F305AA" w:rsidP="00F305AA">
      <w:pPr>
        <w:spacing w:line="360" w:lineRule="auto"/>
        <w:ind w:firstLine="851"/>
        <w:jc w:val="both"/>
        <w:rPr>
          <w:rFonts w:ascii="Arial" w:hAnsi="Arial" w:cs="Arial"/>
          <w:sz w:val="24"/>
        </w:rPr>
      </w:pPr>
    </w:p>
    <w:p w14:paraId="71CB4D1E" w14:textId="77777777" w:rsidR="00F305AA" w:rsidRPr="000D497E" w:rsidRDefault="00F305AA" w:rsidP="00F305AA">
      <w:pPr>
        <w:ind w:left="2268"/>
        <w:jc w:val="both"/>
        <w:rPr>
          <w:rFonts w:ascii="Arial" w:hAnsi="Arial" w:cs="Arial"/>
          <w:sz w:val="22"/>
        </w:rPr>
      </w:pPr>
      <w:r w:rsidRPr="000D497E">
        <w:rPr>
          <w:rFonts w:ascii="Arial" w:hAnsi="Arial" w:cs="Arial"/>
          <w:sz w:val="22"/>
        </w:rPr>
        <w:t>Convém ressaltar que os investimentos informados no projeto são verificados pela SEFAZ, quando da realização da auditoria de investimento. A ausência de descrição detalhada sugere uma falta de planejamento por parte da empresa e impossibilita que a auditoria compare o que deveria ter sido planejado com o efetivamente executado.</w:t>
      </w:r>
    </w:p>
    <w:p w14:paraId="1F5A7C4D" w14:textId="77777777" w:rsidR="00F305AA" w:rsidRDefault="00F305AA" w:rsidP="00F305AA">
      <w:pPr>
        <w:ind w:left="2268"/>
        <w:jc w:val="both"/>
        <w:rPr>
          <w:rFonts w:ascii="Arial" w:hAnsi="Arial" w:cs="Arial"/>
          <w:sz w:val="22"/>
        </w:rPr>
      </w:pPr>
      <w:r w:rsidRPr="000D497E">
        <w:rPr>
          <w:rFonts w:ascii="Arial" w:hAnsi="Arial" w:cs="Arial"/>
          <w:sz w:val="22"/>
        </w:rPr>
        <w:t>Importante mencionar a análise deficiente do projeto por parte da então Secretaria de Indústria e Comércio (SIC), que não fez qualquer menção à ausência de detalhamento dos investimentos.</w:t>
      </w:r>
    </w:p>
    <w:p w14:paraId="6D5F47F3" w14:textId="77777777" w:rsidR="00F305AA" w:rsidRDefault="00F305AA" w:rsidP="00F305AA">
      <w:pPr>
        <w:ind w:left="2268"/>
        <w:jc w:val="both"/>
        <w:rPr>
          <w:rFonts w:ascii="Arial" w:hAnsi="Arial" w:cs="Arial"/>
          <w:sz w:val="22"/>
        </w:rPr>
      </w:pPr>
      <w:r>
        <w:rPr>
          <w:rFonts w:ascii="Arial" w:hAnsi="Arial" w:cs="Arial"/>
          <w:sz w:val="22"/>
        </w:rPr>
        <w:t>[...]</w:t>
      </w:r>
    </w:p>
    <w:p w14:paraId="7B581508" w14:textId="77777777" w:rsidR="00F305AA" w:rsidRDefault="00F305AA" w:rsidP="00F305AA">
      <w:pPr>
        <w:ind w:left="2268"/>
        <w:jc w:val="both"/>
        <w:rPr>
          <w:rFonts w:ascii="Arial" w:hAnsi="Arial" w:cs="Arial"/>
          <w:sz w:val="22"/>
        </w:rPr>
      </w:pPr>
      <w:r w:rsidRPr="000D497E">
        <w:rPr>
          <w:rFonts w:ascii="Arial" w:hAnsi="Arial" w:cs="Arial"/>
          <w:sz w:val="22"/>
        </w:rPr>
        <w:t xml:space="preserve">Para que a empresa consiga estimar o valor dos investimentos a serem feitos, mostra-se imprescindível que ela tenha conhecimento de qual será a destinação do recurso alocado em cada conta. Acerca dessa programação de investimento, ressalta-se não ser possível justificar a </w:t>
      </w:r>
      <w:r w:rsidRPr="000D497E">
        <w:rPr>
          <w:rFonts w:ascii="Arial" w:hAnsi="Arial" w:cs="Arial"/>
          <w:sz w:val="22"/>
        </w:rPr>
        <w:lastRenderedPageBreak/>
        <w:t>ausência de projetos detalhados contando com a possibilidade de desvios entre o planejado e o implementado. O projeto, como ferramenta de planejamento, é um parâmetro tanto para quem executa quanto para quem acompanha e fiscaliza a aplicação dos recursos. Sendo assim, não há que se falar em imobilização do processo, seu objetivo é servir de referência e mitigar discrepâncias excessivas. Convém destacar que a própria SED, em sua manifestação, afirmou que a definição dos investimentos é para se verificar a viabilidade do projeto. Assim, para que isso possa ser feito, é preciso identificar como a empresa estimou os valores apresentados nos investimentos, ou seja, a descrição de cada conta. Quanto à afirmação da SED de que é cobrado o detalhamento dos investimentos apenas com relação às contas gerais, ressalta-se que no próprio sítio da SED há a disponibilização de formulários relativos ao Programa (http://www.sed.go.gov.br/post/ver/195738/formularios-produzir), sendo um deles denominado de "SPF - RE 02 - Check List - Projetos - Implantação-ver. 00", o qual apresenta os documentos que devem constar no projeto de viabilidade econômico-financeira e traz no item 2.4 a</w:t>
      </w:r>
      <w:r>
        <w:rPr>
          <w:rFonts w:ascii="Arial" w:hAnsi="Arial" w:cs="Arial"/>
          <w:sz w:val="22"/>
        </w:rPr>
        <w:t xml:space="preserve"> </w:t>
      </w:r>
      <w:r w:rsidRPr="000D497E">
        <w:rPr>
          <w:rFonts w:ascii="Arial" w:hAnsi="Arial" w:cs="Arial"/>
          <w:sz w:val="22"/>
        </w:rPr>
        <w:t>seguinte redação: "</w:t>
      </w:r>
      <w:r w:rsidRPr="00621C20">
        <w:rPr>
          <w:rFonts w:ascii="Arial" w:hAnsi="Arial" w:cs="Arial"/>
          <w:i/>
          <w:sz w:val="22"/>
        </w:rPr>
        <w:t>Descrição dos Investimentos: - Descriminar (SIC) Máquinas e Equipamentos com a respectiva capacidade de produção, construção civil em m², veículos e demais investimentos. preferencialmente apresentar orçamento</w:t>
      </w:r>
      <w:r w:rsidRPr="000D497E">
        <w:rPr>
          <w:rFonts w:ascii="Arial" w:hAnsi="Arial" w:cs="Arial"/>
          <w:sz w:val="22"/>
        </w:rPr>
        <w:t>". Além disso, embora a SEFAZ afirme que a ausência de detalhamento dos investimentos não prejudicou a auditoria, entende-se que uma auditoria deve comparar a situação encontrada com a situação prevista, ou seja, com a situação que se espera encontrar (critério adotado). Nesse sentido, cita-se a definição de auditoria trazida pelo Manual do Sistema de Controle Interno do Poder Executivo Federal, aprovado pela Instrução Normativa nº 01/2001:</w:t>
      </w:r>
    </w:p>
    <w:p w14:paraId="7D2BD980" w14:textId="77777777" w:rsidR="00F305AA" w:rsidRDefault="00F305AA" w:rsidP="00F305AA">
      <w:pPr>
        <w:ind w:left="2835"/>
        <w:jc w:val="both"/>
        <w:rPr>
          <w:rFonts w:ascii="Arial" w:hAnsi="Arial" w:cs="Arial"/>
          <w:sz w:val="22"/>
        </w:rPr>
      </w:pPr>
      <w:r w:rsidRPr="000D497E">
        <w:rPr>
          <w:rFonts w:ascii="Arial" w:hAnsi="Arial" w:cs="Arial"/>
          <w:sz w:val="22"/>
        </w:rPr>
        <w:t xml:space="preserve">Auditoria é o conjunto de técnicas que visa avaliar a gestão pública, pelos processos e resultados gerenciais, e a aplicação de recursos públicos por entidades de direito público e privado, </w:t>
      </w:r>
      <w:r w:rsidRPr="00621C20">
        <w:rPr>
          <w:rFonts w:ascii="Arial" w:hAnsi="Arial" w:cs="Arial"/>
          <w:sz w:val="22"/>
          <w:u w:val="single"/>
        </w:rPr>
        <w:t>mediante a confrontação entre uma situação encontrada com um determinado critério técnico, operacional ou legal</w:t>
      </w:r>
      <w:r w:rsidRPr="000D497E">
        <w:rPr>
          <w:rFonts w:ascii="Arial" w:hAnsi="Arial" w:cs="Arial"/>
          <w:sz w:val="22"/>
        </w:rPr>
        <w:t>” (grifo nosso).</w:t>
      </w:r>
    </w:p>
    <w:p w14:paraId="1643FE9C" w14:textId="77777777" w:rsidR="00F305AA" w:rsidRPr="0049138B" w:rsidRDefault="00F305AA" w:rsidP="00F305AA">
      <w:pPr>
        <w:ind w:left="2268"/>
        <w:jc w:val="both"/>
        <w:rPr>
          <w:rFonts w:ascii="Arial" w:hAnsi="Arial" w:cs="Arial"/>
          <w:sz w:val="22"/>
        </w:rPr>
      </w:pPr>
      <w:r w:rsidRPr="000D497E">
        <w:rPr>
          <w:rFonts w:ascii="Arial" w:hAnsi="Arial" w:cs="Arial"/>
          <w:sz w:val="22"/>
        </w:rPr>
        <w:t>Dessa forma, a ausência de descrição dos investimentos prejudica o cotejamento entre o planejado e o que foi executado.</w:t>
      </w:r>
      <w:r>
        <w:rPr>
          <w:rStyle w:val="Refdenotaderodap"/>
          <w:rFonts w:ascii="Arial" w:hAnsi="Arial" w:cs="Arial"/>
          <w:sz w:val="22"/>
        </w:rPr>
        <w:footnoteReference w:id="56"/>
      </w:r>
    </w:p>
    <w:p w14:paraId="498B6AEE" w14:textId="77777777" w:rsidR="00F305AA" w:rsidRPr="000D497E" w:rsidRDefault="00F305AA" w:rsidP="00F305AA">
      <w:pPr>
        <w:spacing w:line="360" w:lineRule="auto"/>
        <w:ind w:firstLine="851"/>
        <w:jc w:val="both"/>
        <w:rPr>
          <w:rFonts w:ascii="Arial" w:hAnsi="Arial" w:cs="Arial"/>
          <w:sz w:val="24"/>
        </w:rPr>
      </w:pPr>
    </w:p>
    <w:p w14:paraId="04921883" w14:textId="4467874E" w:rsidR="00F305AA" w:rsidRDefault="00F305AA" w:rsidP="00F305AA">
      <w:pPr>
        <w:spacing w:line="360" w:lineRule="auto"/>
        <w:ind w:firstLine="851"/>
        <w:jc w:val="both"/>
        <w:rPr>
          <w:rFonts w:ascii="Arial" w:hAnsi="Arial" w:cs="Arial"/>
          <w:b/>
          <w:sz w:val="24"/>
          <w:szCs w:val="24"/>
        </w:rPr>
      </w:pPr>
      <w:r>
        <w:rPr>
          <w:rFonts w:ascii="Arial" w:hAnsi="Arial" w:cs="Arial"/>
          <w:b/>
          <w:bCs/>
          <w:sz w:val="24"/>
          <w:szCs w:val="24"/>
        </w:rPr>
        <w:t>6.2.2.2</w:t>
      </w:r>
      <w:r w:rsidR="00783461">
        <w:rPr>
          <w:rFonts w:ascii="Arial" w:hAnsi="Arial" w:cs="Arial"/>
          <w:b/>
          <w:bCs/>
          <w:sz w:val="24"/>
          <w:szCs w:val="24"/>
        </w:rPr>
        <w:t xml:space="preserve"> –</w:t>
      </w:r>
      <w:r w:rsidRPr="00783461">
        <w:rPr>
          <w:rFonts w:ascii="Arial" w:hAnsi="Arial" w:cs="Arial"/>
          <w:b/>
          <w:sz w:val="24"/>
          <w:szCs w:val="24"/>
        </w:rPr>
        <w:t xml:space="preserve"> Valor projetado de ICMS substancialmente superior ao efetivamente gerado</w:t>
      </w:r>
    </w:p>
    <w:p w14:paraId="52BE8464" w14:textId="77777777" w:rsidR="00783461" w:rsidRPr="00783461" w:rsidRDefault="00783461" w:rsidP="00F305AA">
      <w:pPr>
        <w:spacing w:line="360" w:lineRule="auto"/>
        <w:ind w:firstLine="851"/>
        <w:jc w:val="both"/>
        <w:rPr>
          <w:rFonts w:ascii="Arial" w:hAnsi="Arial" w:cs="Arial"/>
          <w:b/>
          <w:bCs/>
          <w:sz w:val="24"/>
          <w:szCs w:val="24"/>
        </w:rPr>
      </w:pPr>
    </w:p>
    <w:p w14:paraId="73C30A37" w14:textId="77777777" w:rsidR="00F305AA" w:rsidRDefault="00F305AA" w:rsidP="00F305AA">
      <w:pPr>
        <w:spacing w:line="360" w:lineRule="auto"/>
        <w:ind w:firstLine="851"/>
        <w:jc w:val="both"/>
        <w:rPr>
          <w:rFonts w:ascii="Arial" w:hAnsi="Arial" w:cs="Arial"/>
          <w:b/>
          <w:bCs/>
          <w:sz w:val="24"/>
          <w:szCs w:val="24"/>
        </w:rPr>
      </w:pPr>
      <w:r>
        <w:rPr>
          <w:rFonts w:ascii="Arial" w:hAnsi="Arial" w:cs="Arial"/>
          <w:sz w:val="24"/>
          <w:szCs w:val="24"/>
        </w:rPr>
        <w:t>Como se observa da redação do art. 21 do Decreto n. 5.265, de 2000, acima mencionado, um dos requisitos do projeto de viabilidade econômico-financeira é a previsão de ICMS a ser gerado com a atividade proponente:</w:t>
      </w:r>
    </w:p>
    <w:p w14:paraId="1C6BDBC4" w14:textId="77777777" w:rsidR="00F305AA" w:rsidRPr="0049138B" w:rsidRDefault="00F305AA" w:rsidP="00F305AA">
      <w:pPr>
        <w:spacing w:line="360" w:lineRule="auto"/>
        <w:ind w:firstLine="851"/>
        <w:jc w:val="both"/>
        <w:rPr>
          <w:rFonts w:ascii="Arial" w:hAnsi="Arial" w:cs="Arial"/>
        </w:rPr>
      </w:pPr>
    </w:p>
    <w:p w14:paraId="70DAA460" w14:textId="77777777" w:rsidR="00F305AA" w:rsidRDefault="00F305AA" w:rsidP="00F305AA">
      <w:pPr>
        <w:pStyle w:val="Corpodetexto"/>
        <w:spacing w:after="0"/>
        <w:ind w:left="2268"/>
        <w:jc w:val="both"/>
        <w:rPr>
          <w:color w:val="000000"/>
          <w:sz w:val="22"/>
        </w:rPr>
      </w:pPr>
      <w:r>
        <w:rPr>
          <w:color w:val="000000"/>
          <w:sz w:val="22"/>
        </w:rPr>
        <w:t>Art. 23 [...]</w:t>
      </w:r>
    </w:p>
    <w:p w14:paraId="0EE0DD3B" w14:textId="77777777" w:rsidR="00F305AA" w:rsidRDefault="00F305AA" w:rsidP="00F305AA">
      <w:pPr>
        <w:pStyle w:val="Corpodetexto"/>
        <w:spacing w:after="0"/>
        <w:ind w:left="2268"/>
        <w:jc w:val="both"/>
        <w:rPr>
          <w:color w:val="000000"/>
          <w:sz w:val="22"/>
        </w:rPr>
      </w:pPr>
      <w:r>
        <w:rPr>
          <w:color w:val="000000"/>
          <w:sz w:val="22"/>
        </w:rPr>
        <w:t>IV – [...]</w:t>
      </w:r>
    </w:p>
    <w:p w14:paraId="6393D8B4" w14:textId="77777777" w:rsidR="00F305AA" w:rsidRDefault="00F305AA" w:rsidP="00F305AA">
      <w:pPr>
        <w:pStyle w:val="Corpodetexto"/>
        <w:spacing w:after="0"/>
        <w:ind w:left="2268"/>
        <w:jc w:val="both"/>
        <w:rPr>
          <w:color w:val="000000"/>
          <w:sz w:val="22"/>
        </w:rPr>
      </w:pPr>
      <w:r>
        <w:rPr>
          <w:color w:val="000000"/>
          <w:sz w:val="22"/>
        </w:rPr>
        <w:t>c) do benefício do PRODUZIR:</w:t>
      </w:r>
    </w:p>
    <w:p w14:paraId="39ED5B0A" w14:textId="77777777" w:rsidR="00F305AA" w:rsidRDefault="00F305AA" w:rsidP="00F305AA">
      <w:pPr>
        <w:pStyle w:val="Corpodetexto"/>
        <w:spacing w:after="0"/>
        <w:ind w:left="2268"/>
        <w:jc w:val="both"/>
        <w:rPr>
          <w:rFonts w:cs="Arial"/>
          <w:b/>
          <w:bCs/>
          <w:color w:val="000000"/>
          <w:sz w:val="22"/>
        </w:rPr>
      </w:pPr>
      <w:r>
        <w:rPr>
          <w:rFonts w:cs="Arial"/>
          <w:color w:val="000000"/>
          <w:sz w:val="22"/>
        </w:rPr>
        <w:lastRenderedPageBreak/>
        <w:t>1. previsão do ICMS a recolher e do benefício do PRODUZIR, considerando a carga tributária efetiva;</w:t>
      </w:r>
    </w:p>
    <w:p w14:paraId="61CA6CD1" w14:textId="77777777" w:rsidR="00F305AA" w:rsidRPr="0049138B" w:rsidRDefault="00F305AA" w:rsidP="00F305AA">
      <w:pPr>
        <w:spacing w:line="360" w:lineRule="auto"/>
        <w:ind w:firstLine="851"/>
        <w:jc w:val="both"/>
        <w:rPr>
          <w:rFonts w:ascii="Arial" w:hAnsi="Arial" w:cs="Arial"/>
        </w:rPr>
      </w:pPr>
    </w:p>
    <w:p w14:paraId="2DBD7421" w14:textId="77777777" w:rsidR="00F305AA" w:rsidRDefault="00F305AA" w:rsidP="00F305AA">
      <w:pPr>
        <w:spacing w:line="360" w:lineRule="auto"/>
        <w:ind w:firstLine="851"/>
        <w:jc w:val="both"/>
        <w:rPr>
          <w:rFonts w:ascii="Arial" w:hAnsi="Arial" w:cs="Arial"/>
          <w:b/>
          <w:bCs/>
          <w:sz w:val="24"/>
          <w:szCs w:val="24"/>
        </w:rPr>
      </w:pPr>
      <w:r>
        <w:rPr>
          <w:rFonts w:ascii="Arial" w:hAnsi="Arial" w:cs="Arial"/>
          <w:sz w:val="24"/>
          <w:szCs w:val="24"/>
        </w:rPr>
        <w:t>Tal elemento é de elevadíssima importância para a análise de conveniência e oportunidade na concessão da benesse fiscal, pois permite ao Estado ponderar algumas das vantagens a longo prazo resultantes da imediata renúncia de receita. Ademais, tal previsão é relevante por ser um dos elementos determinantes do valor do benefício a ser concedido.</w:t>
      </w:r>
    </w:p>
    <w:p w14:paraId="581CE689" w14:textId="77777777" w:rsidR="00F305AA" w:rsidRDefault="00F305AA" w:rsidP="00F305AA">
      <w:pPr>
        <w:spacing w:line="360" w:lineRule="auto"/>
        <w:ind w:firstLine="851"/>
        <w:jc w:val="both"/>
        <w:rPr>
          <w:rFonts w:ascii="Arial" w:hAnsi="Arial" w:cs="Arial"/>
          <w:b/>
          <w:bCs/>
          <w:sz w:val="24"/>
          <w:szCs w:val="24"/>
        </w:rPr>
      </w:pPr>
      <w:r>
        <w:rPr>
          <w:rFonts w:ascii="Arial" w:hAnsi="Arial" w:cs="Arial"/>
          <w:sz w:val="24"/>
          <w:szCs w:val="24"/>
        </w:rPr>
        <w:t>Todavia, a CGE apontou que, em diversos casos, o ICMS previsto no projeto é superestimado, sendo alcançado por muitas empresas, na prática, apenas pequeno percentual do estimado.</w:t>
      </w:r>
    </w:p>
    <w:p w14:paraId="67C4F9B9"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Podemos supor duas razões para eventual superestimativa proposital no projeto: 1) em caso de as atividades do beneficiário ultrapassarem o que realmente prevê, embora essa previsão real não conste do projeto, evita-se a burocracia de abertura de novo processo (e talvez da exigência de novos investimentos) para ampliar-se o benefício; e 2) como o percentual do benefício efetivamente concedido depende do percentual de investimentos previstos realizados, a superestimativa do ICMS gera um valor de benefício muito alto de forma que, mesmo na ausência da totalidade dos investimentos, já se obterá o percentual necessário para atender aos interesses da empresa.</w:t>
      </w:r>
    </w:p>
    <w:p w14:paraId="0AAD13E3" w14:textId="2A844CFB" w:rsidR="00F305AA" w:rsidRDefault="00F305AA" w:rsidP="00F305AA">
      <w:pPr>
        <w:spacing w:line="360" w:lineRule="auto"/>
        <w:ind w:firstLine="851"/>
        <w:jc w:val="both"/>
        <w:rPr>
          <w:rFonts w:ascii="Arial" w:hAnsi="Arial" w:cs="Arial"/>
          <w:b/>
          <w:bCs/>
          <w:sz w:val="24"/>
          <w:szCs w:val="24"/>
        </w:rPr>
      </w:pPr>
      <w:r>
        <w:rPr>
          <w:rFonts w:ascii="Arial" w:hAnsi="Arial" w:cs="Arial"/>
          <w:sz w:val="24"/>
          <w:szCs w:val="24"/>
        </w:rPr>
        <w:t>Nesse tópico fazemos um</w:t>
      </w:r>
      <w:r w:rsidRPr="005F23BA">
        <w:rPr>
          <w:rFonts w:ascii="Arial" w:hAnsi="Arial" w:cs="Arial"/>
          <w:sz w:val="24"/>
          <w:szCs w:val="24"/>
        </w:rPr>
        <w:t xml:space="preserve">a observação quanto à </w:t>
      </w:r>
      <w:r>
        <w:rPr>
          <w:rFonts w:ascii="Arial" w:hAnsi="Arial" w:cs="Arial"/>
          <w:sz w:val="24"/>
          <w:szCs w:val="24"/>
        </w:rPr>
        <w:t>d</w:t>
      </w:r>
      <w:r w:rsidRPr="005F23BA">
        <w:rPr>
          <w:rFonts w:ascii="Arial" w:hAnsi="Arial" w:cs="Arial"/>
          <w:sz w:val="24"/>
          <w:szCs w:val="24"/>
        </w:rPr>
        <w:t>o</w:t>
      </w:r>
      <w:r>
        <w:rPr>
          <w:rFonts w:ascii="Arial" w:hAnsi="Arial" w:cs="Arial"/>
          <w:sz w:val="24"/>
          <w:szCs w:val="24"/>
        </w:rPr>
        <w:t>cu</w:t>
      </w:r>
      <w:r w:rsidRPr="005F23BA">
        <w:rPr>
          <w:rFonts w:ascii="Arial" w:hAnsi="Arial" w:cs="Arial"/>
          <w:sz w:val="24"/>
          <w:szCs w:val="24"/>
        </w:rPr>
        <w:t>m</w:t>
      </w:r>
      <w:r>
        <w:rPr>
          <w:rFonts w:ascii="Arial" w:hAnsi="Arial" w:cs="Arial"/>
          <w:sz w:val="24"/>
          <w:szCs w:val="24"/>
        </w:rPr>
        <w:t>ent</w:t>
      </w:r>
      <w:r w:rsidRPr="005F23BA">
        <w:rPr>
          <w:rFonts w:ascii="Arial" w:hAnsi="Arial" w:cs="Arial"/>
          <w:sz w:val="24"/>
          <w:szCs w:val="24"/>
        </w:rPr>
        <w:t>aç</w:t>
      </w:r>
      <w:r>
        <w:rPr>
          <w:rFonts w:ascii="Arial" w:hAnsi="Arial" w:cs="Arial"/>
          <w:sz w:val="24"/>
          <w:szCs w:val="24"/>
        </w:rPr>
        <w:t>ão</w:t>
      </w:r>
      <w:r w:rsidRPr="005F23BA">
        <w:rPr>
          <w:rFonts w:ascii="Arial" w:hAnsi="Arial" w:cs="Arial"/>
          <w:sz w:val="24"/>
          <w:szCs w:val="24"/>
        </w:rPr>
        <w:t xml:space="preserve"> </w:t>
      </w:r>
      <w:r>
        <w:rPr>
          <w:rFonts w:ascii="Arial" w:hAnsi="Arial" w:cs="Arial"/>
          <w:sz w:val="24"/>
          <w:szCs w:val="24"/>
        </w:rPr>
        <w:t>envia</w:t>
      </w:r>
      <w:r w:rsidRPr="005F23BA">
        <w:rPr>
          <w:rFonts w:ascii="Arial" w:hAnsi="Arial" w:cs="Arial"/>
          <w:sz w:val="24"/>
          <w:szCs w:val="24"/>
        </w:rPr>
        <w:t>da</w:t>
      </w:r>
      <w:r>
        <w:rPr>
          <w:rFonts w:ascii="Arial" w:hAnsi="Arial" w:cs="Arial"/>
          <w:sz w:val="24"/>
          <w:szCs w:val="24"/>
        </w:rPr>
        <w:t xml:space="preserve"> pela</w:t>
      </w:r>
      <w:r w:rsidRPr="005F23BA">
        <w:rPr>
          <w:rFonts w:ascii="Arial" w:hAnsi="Arial" w:cs="Arial"/>
          <w:sz w:val="24"/>
          <w:szCs w:val="24"/>
        </w:rPr>
        <w:t xml:space="preserve"> Secretaria de Estado de Indústria, Comércio e Serviços </w:t>
      </w:r>
      <w:r>
        <w:rPr>
          <w:rFonts w:ascii="Arial" w:hAnsi="Arial" w:cs="Arial"/>
          <w:sz w:val="24"/>
          <w:szCs w:val="24"/>
        </w:rPr>
        <w:t>a esta Comissão:</w:t>
      </w:r>
      <w:r w:rsidRPr="005F23BA">
        <w:rPr>
          <w:rFonts w:ascii="Arial" w:hAnsi="Arial" w:cs="Arial"/>
          <w:sz w:val="24"/>
          <w:szCs w:val="24"/>
        </w:rPr>
        <w:t xml:space="preserve"> em relação às informações do ICMS projetado </w:t>
      </w:r>
      <w:r w:rsidR="001856F6">
        <w:rPr>
          <w:rFonts w:ascii="Arial" w:hAnsi="Arial" w:cs="Arial"/>
          <w:sz w:val="24"/>
          <w:szCs w:val="24"/>
        </w:rPr>
        <w:t>comparado</w:t>
      </w:r>
      <w:r w:rsidRPr="005F23BA">
        <w:rPr>
          <w:rFonts w:ascii="Arial" w:hAnsi="Arial" w:cs="Arial"/>
          <w:sz w:val="24"/>
          <w:szCs w:val="24"/>
        </w:rPr>
        <w:t xml:space="preserve"> </w:t>
      </w:r>
      <w:r w:rsidR="001856F6">
        <w:rPr>
          <w:rFonts w:ascii="Arial" w:hAnsi="Arial" w:cs="Arial"/>
          <w:sz w:val="24"/>
          <w:szCs w:val="24"/>
        </w:rPr>
        <w:t>a</w:t>
      </w:r>
      <w:r w:rsidRPr="005F23BA">
        <w:rPr>
          <w:rFonts w:ascii="Arial" w:hAnsi="Arial" w:cs="Arial"/>
          <w:sz w:val="24"/>
          <w:szCs w:val="24"/>
        </w:rPr>
        <w:t xml:space="preserve">o realizado pelas empresas. Essa informação não foi repassada para a realização deste trabalho. Contudo, compreende-se que, </w:t>
      </w:r>
      <w:r w:rsidRPr="005F23BA">
        <w:rPr>
          <w:rFonts w:ascii="Arial" w:hAnsi="Arial" w:cs="Arial"/>
          <w:b/>
          <w:sz w:val="24"/>
          <w:szCs w:val="24"/>
        </w:rPr>
        <w:t>dada a falta de sistematização das informações do programa na referida Secretaria, a tabulação das mesmas é algo difícil de ser realizado em espaço de tempo reduzido</w:t>
      </w:r>
      <w:r w:rsidRPr="005F23BA">
        <w:rPr>
          <w:rFonts w:ascii="Arial" w:hAnsi="Arial" w:cs="Arial"/>
          <w:sz w:val="24"/>
          <w:szCs w:val="24"/>
        </w:rPr>
        <w:t>. Contudo, essa informação foi efetuada em auditoria realizada pela Controladoria</w:t>
      </w:r>
      <w:r>
        <w:rPr>
          <w:rFonts w:ascii="Arial" w:hAnsi="Arial" w:cs="Arial"/>
          <w:sz w:val="24"/>
          <w:szCs w:val="24"/>
        </w:rPr>
        <w:t>-</w:t>
      </w:r>
      <w:r w:rsidRPr="005F23BA">
        <w:rPr>
          <w:rFonts w:ascii="Arial" w:hAnsi="Arial" w:cs="Arial"/>
          <w:sz w:val="24"/>
          <w:szCs w:val="24"/>
        </w:rPr>
        <w:t xml:space="preserve">Geral do Estado via consulta de processos e </w:t>
      </w:r>
      <w:r w:rsidRPr="005F23BA">
        <w:rPr>
          <w:rFonts w:ascii="Arial" w:hAnsi="Arial" w:cs="Arial"/>
          <w:b/>
          <w:sz w:val="24"/>
          <w:szCs w:val="24"/>
        </w:rPr>
        <w:t>percebe-se que que o ICMS projetado é em muito superior ao ser utilizado durante o cronograma do projeto</w:t>
      </w:r>
      <w:r w:rsidRPr="005F23BA">
        <w:rPr>
          <w:rFonts w:ascii="Arial" w:hAnsi="Arial" w:cs="Arial"/>
          <w:sz w:val="24"/>
          <w:szCs w:val="24"/>
        </w:rPr>
        <w:t>. Como regra, a auditoria verificou que os valores de ICMS gerado estão muito aquém do projetado. Assim, dado o que foi concedido de crédito, muitas empresas usarão quase indefinidamente tais benefícios para zerá-lo.</w:t>
      </w:r>
    </w:p>
    <w:p w14:paraId="2CE0B199" w14:textId="77777777" w:rsidR="00F305AA" w:rsidRDefault="00F305AA" w:rsidP="00F305AA">
      <w:pPr>
        <w:spacing w:line="360" w:lineRule="auto"/>
        <w:ind w:firstLine="851"/>
        <w:jc w:val="both"/>
        <w:rPr>
          <w:rFonts w:ascii="Arial" w:hAnsi="Arial" w:cs="Arial"/>
          <w:b/>
          <w:bCs/>
          <w:sz w:val="24"/>
          <w:szCs w:val="24"/>
        </w:rPr>
      </w:pPr>
      <w:r>
        <w:rPr>
          <w:rFonts w:ascii="Arial" w:hAnsi="Arial" w:cs="Arial"/>
          <w:sz w:val="24"/>
          <w:szCs w:val="24"/>
        </w:rPr>
        <w:lastRenderedPageBreak/>
        <w:t xml:space="preserve">Diante disso, somos levados a reiterar a recomendação feita pela CGE, a saber: da </w:t>
      </w:r>
      <w:r>
        <w:rPr>
          <w:rFonts w:ascii="Arial" w:hAnsi="Arial" w:cs="Arial"/>
          <w:b/>
          <w:bCs/>
          <w:sz w:val="24"/>
          <w:szCs w:val="24"/>
        </w:rPr>
        <w:t>necessidade de análise mais acurada dos projetos</w:t>
      </w:r>
      <w:r>
        <w:rPr>
          <w:rFonts w:ascii="Arial" w:hAnsi="Arial" w:cs="Arial"/>
          <w:sz w:val="24"/>
          <w:szCs w:val="24"/>
        </w:rPr>
        <w:t xml:space="preserve"> a fim de evitar-se tais desvios e fraudes.</w:t>
      </w:r>
    </w:p>
    <w:p w14:paraId="430A1505" w14:textId="77777777" w:rsidR="00F305AA" w:rsidRDefault="00F305AA" w:rsidP="00F305AA">
      <w:pPr>
        <w:spacing w:line="360" w:lineRule="auto"/>
        <w:ind w:firstLine="851"/>
        <w:jc w:val="both"/>
        <w:rPr>
          <w:rFonts w:ascii="Arial" w:hAnsi="Arial" w:cs="Arial"/>
          <w:sz w:val="24"/>
          <w:szCs w:val="24"/>
        </w:rPr>
      </w:pPr>
    </w:p>
    <w:p w14:paraId="74D543DE" w14:textId="0B6CAD80" w:rsidR="00F305AA" w:rsidRPr="00783461" w:rsidRDefault="00F305AA" w:rsidP="00F305AA">
      <w:pPr>
        <w:spacing w:line="360" w:lineRule="auto"/>
        <w:ind w:firstLine="851"/>
        <w:jc w:val="both"/>
        <w:rPr>
          <w:rFonts w:ascii="Arial" w:hAnsi="Arial" w:cs="Arial"/>
          <w:b/>
          <w:sz w:val="24"/>
          <w:szCs w:val="24"/>
        </w:rPr>
      </w:pPr>
      <w:r w:rsidRPr="00783461">
        <w:rPr>
          <w:rFonts w:ascii="Arial" w:hAnsi="Arial" w:cs="Arial"/>
          <w:b/>
          <w:bCs/>
          <w:sz w:val="24"/>
          <w:szCs w:val="24"/>
        </w:rPr>
        <w:t>6.2.2.3</w:t>
      </w:r>
      <w:r w:rsidRPr="00783461">
        <w:rPr>
          <w:rFonts w:ascii="Arial" w:hAnsi="Arial" w:cs="Arial"/>
          <w:b/>
          <w:sz w:val="24"/>
          <w:szCs w:val="24"/>
        </w:rPr>
        <w:t xml:space="preserve"> </w:t>
      </w:r>
      <w:r w:rsidR="00783461" w:rsidRPr="00783461">
        <w:rPr>
          <w:rFonts w:ascii="Arial" w:hAnsi="Arial" w:cs="Arial"/>
          <w:b/>
          <w:sz w:val="24"/>
          <w:szCs w:val="24"/>
        </w:rPr>
        <w:t xml:space="preserve">– </w:t>
      </w:r>
      <w:r w:rsidRPr="00783461">
        <w:rPr>
          <w:rFonts w:ascii="Arial" w:hAnsi="Arial" w:cs="Arial"/>
          <w:b/>
          <w:sz w:val="24"/>
          <w:szCs w:val="24"/>
        </w:rPr>
        <w:t>Falhas na instrução processual</w:t>
      </w:r>
    </w:p>
    <w:p w14:paraId="6348B714" w14:textId="77777777" w:rsidR="00783461" w:rsidRDefault="00783461" w:rsidP="00F305AA">
      <w:pPr>
        <w:spacing w:line="360" w:lineRule="auto"/>
        <w:ind w:firstLine="851"/>
        <w:jc w:val="both"/>
        <w:rPr>
          <w:rFonts w:ascii="Arial" w:hAnsi="Arial" w:cs="Arial"/>
          <w:sz w:val="24"/>
          <w:szCs w:val="24"/>
        </w:rPr>
      </w:pPr>
    </w:p>
    <w:p w14:paraId="3499A0CC"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 definição clássica de processo/procedimento</w:t>
      </w:r>
      <w:r>
        <w:rPr>
          <w:rStyle w:val="Refdenotaderodap"/>
          <w:rFonts w:ascii="Arial" w:hAnsi="Arial" w:cs="Arial"/>
          <w:sz w:val="24"/>
          <w:szCs w:val="24"/>
        </w:rPr>
        <w:footnoteReference w:id="57"/>
      </w:r>
      <w:r>
        <w:rPr>
          <w:rFonts w:ascii="Arial" w:hAnsi="Arial" w:cs="Arial"/>
          <w:sz w:val="24"/>
          <w:szCs w:val="24"/>
        </w:rPr>
        <w:t xml:space="preserve"> é uma sucessão ordenada de atos com o objetivo de alcançar-se determinado fim. Não é diferente com os diversos tipos de processo administrativo, inclusive os relacionados à concessão, execução e monitoramento de benefícios fiscais.</w:t>
      </w:r>
    </w:p>
    <w:p w14:paraId="04BA8369"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Assim sendo, é necessário que os órgãos envolvidos com os programas FOMENTAR e PRODUZIR observem, no que couber, a lei de processo administrativo estadual (Lei n. 13.800, de 18 de janeiro de 2001), especialmente seu art. 22, que determina que:</w:t>
      </w:r>
    </w:p>
    <w:p w14:paraId="025009B2" w14:textId="77777777" w:rsidR="00F305AA" w:rsidRDefault="00F305AA" w:rsidP="00F305AA">
      <w:pPr>
        <w:spacing w:line="360" w:lineRule="auto"/>
        <w:ind w:firstLine="851"/>
        <w:jc w:val="both"/>
        <w:rPr>
          <w:rFonts w:ascii="Arial" w:hAnsi="Arial" w:cs="Arial"/>
          <w:sz w:val="24"/>
          <w:szCs w:val="24"/>
        </w:rPr>
      </w:pPr>
    </w:p>
    <w:p w14:paraId="5390AE21" w14:textId="77777777" w:rsidR="00F305AA" w:rsidRPr="00F907FD" w:rsidRDefault="00F305AA" w:rsidP="00F305AA">
      <w:pPr>
        <w:ind w:left="2268"/>
        <w:jc w:val="both"/>
        <w:rPr>
          <w:rFonts w:ascii="Arial" w:hAnsi="Arial" w:cs="Arial"/>
          <w:sz w:val="22"/>
          <w:szCs w:val="24"/>
        </w:rPr>
      </w:pPr>
      <w:r w:rsidRPr="00F907FD">
        <w:rPr>
          <w:rFonts w:ascii="Arial" w:hAnsi="Arial" w:cs="Arial"/>
          <w:sz w:val="22"/>
          <w:szCs w:val="24"/>
        </w:rPr>
        <w:t>Art. 22 – Os atos do processo administrativo não dependem de forma determinada senão quando a lei expressamente a exigir.</w:t>
      </w:r>
    </w:p>
    <w:p w14:paraId="7075183B" w14:textId="77777777" w:rsidR="00F305AA" w:rsidRPr="00F907FD" w:rsidRDefault="00F305AA" w:rsidP="00F305AA">
      <w:pPr>
        <w:ind w:left="2268"/>
        <w:jc w:val="both"/>
        <w:rPr>
          <w:rFonts w:ascii="Arial" w:hAnsi="Arial" w:cs="Arial"/>
          <w:sz w:val="22"/>
          <w:szCs w:val="24"/>
        </w:rPr>
      </w:pPr>
      <w:r w:rsidRPr="00F907FD">
        <w:rPr>
          <w:rFonts w:ascii="Arial" w:hAnsi="Arial" w:cs="Arial"/>
          <w:sz w:val="22"/>
          <w:szCs w:val="24"/>
        </w:rPr>
        <w:t>§ 1</w:t>
      </w:r>
      <w:r>
        <w:rPr>
          <w:rFonts w:ascii="Arial" w:hAnsi="Arial" w:cs="Arial"/>
          <w:sz w:val="22"/>
          <w:szCs w:val="24"/>
        </w:rPr>
        <w:t xml:space="preserve">º </w:t>
      </w:r>
      <w:r w:rsidRPr="00F907FD">
        <w:rPr>
          <w:rFonts w:ascii="Arial" w:hAnsi="Arial" w:cs="Arial"/>
          <w:sz w:val="22"/>
          <w:szCs w:val="24"/>
        </w:rPr>
        <w:t>– Os atos do processo devem ser produzidos por escrito, em português, com a data e o local de sua realização e a assinatura da autoridade responsável.</w:t>
      </w:r>
    </w:p>
    <w:p w14:paraId="572F8405" w14:textId="77777777" w:rsidR="00F305AA" w:rsidRPr="00F907FD" w:rsidRDefault="00F305AA" w:rsidP="00F305AA">
      <w:pPr>
        <w:ind w:left="2268"/>
        <w:jc w:val="both"/>
        <w:rPr>
          <w:rFonts w:ascii="Arial" w:hAnsi="Arial" w:cs="Arial"/>
          <w:sz w:val="22"/>
          <w:szCs w:val="24"/>
        </w:rPr>
      </w:pPr>
      <w:r w:rsidRPr="00F907FD">
        <w:rPr>
          <w:rFonts w:ascii="Arial" w:hAnsi="Arial" w:cs="Arial"/>
          <w:sz w:val="22"/>
          <w:szCs w:val="24"/>
        </w:rPr>
        <w:t>§ 2</w:t>
      </w:r>
      <w:r>
        <w:rPr>
          <w:rFonts w:ascii="Arial" w:hAnsi="Arial" w:cs="Arial"/>
          <w:sz w:val="22"/>
          <w:szCs w:val="24"/>
        </w:rPr>
        <w:t xml:space="preserve">º </w:t>
      </w:r>
      <w:r w:rsidRPr="00F907FD">
        <w:rPr>
          <w:rFonts w:ascii="Arial" w:hAnsi="Arial" w:cs="Arial"/>
          <w:sz w:val="22"/>
          <w:szCs w:val="24"/>
        </w:rPr>
        <w:t>– Salvo imposição legal, o reconhecimento de firma somente será exigido quando houver dúvida de autenticidade.</w:t>
      </w:r>
    </w:p>
    <w:p w14:paraId="54E8A5EE" w14:textId="77777777" w:rsidR="00F305AA" w:rsidRPr="00F907FD" w:rsidRDefault="00F305AA" w:rsidP="00F305AA">
      <w:pPr>
        <w:ind w:left="2268"/>
        <w:jc w:val="both"/>
        <w:rPr>
          <w:rFonts w:ascii="Arial" w:hAnsi="Arial" w:cs="Arial"/>
          <w:sz w:val="22"/>
          <w:szCs w:val="24"/>
        </w:rPr>
      </w:pPr>
      <w:r w:rsidRPr="00F907FD">
        <w:rPr>
          <w:rFonts w:ascii="Arial" w:hAnsi="Arial" w:cs="Arial"/>
          <w:sz w:val="22"/>
          <w:szCs w:val="24"/>
        </w:rPr>
        <w:t>§ 3</w:t>
      </w:r>
      <w:r>
        <w:rPr>
          <w:rFonts w:ascii="Arial" w:hAnsi="Arial" w:cs="Arial"/>
          <w:sz w:val="22"/>
          <w:szCs w:val="24"/>
        </w:rPr>
        <w:t xml:space="preserve">º </w:t>
      </w:r>
      <w:r w:rsidRPr="00F907FD">
        <w:rPr>
          <w:rFonts w:ascii="Arial" w:hAnsi="Arial" w:cs="Arial"/>
          <w:sz w:val="22"/>
          <w:szCs w:val="24"/>
        </w:rPr>
        <w:t>A autenticação de documentos exigidos em cópia poderá ser feita pelo órgão administrativo ou pelo advogado constituído.</w:t>
      </w:r>
    </w:p>
    <w:p w14:paraId="7C328DCC" w14:textId="77777777" w:rsidR="00F305AA" w:rsidRPr="00F907FD" w:rsidRDefault="00F305AA" w:rsidP="00F305AA">
      <w:pPr>
        <w:ind w:left="2268"/>
        <w:jc w:val="both"/>
        <w:rPr>
          <w:rFonts w:ascii="Arial" w:hAnsi="Arial" w:cs="Arial"/>
          <w:sz w:val="22"/>
          <w:szCs w:val="24"/>
        </w:rPr>
      </w:pPr>
      <w:r>
        <w:rPr>
          <w:rFonts w:ascii="Arial" w:hAnsi="Arial" w:cs="Arial"/>
          <w:sz w:val="22"/>
          <w:szCs w:val="24"/>
        </w:rPr>
        <w:t>§ 4º</w:t>
      </w:r>
      <w:r w:rsidRPr="00F907FD">
        <w:rPr>
          <w:rFonts w:ascii="Arial" w:hAnsi="Arial" w:cs="Arial"/>
          <w:sz w:val="22"/>
          <w:szCs w:val="24"/>
        </w:rPr>
        <w:t xml:space="preserve"> À exceção do processo eletrônico, </w:t>
      </w:r>
      <w:r w:rsidRPr="00F907FD">
        <w:rPr>
          <w:rFonts w:ascii="Arial" w:hAnsi="Arial" w:cs="Arial"/>
          <w:b/>
          <w:sz w:val="22"/>
          <w:szCs w:val="24"/>
        </w:rPr>
        <w:t>o processo deverá ter suas páginas numeradas sequencialmente e rubricadas pelo responsável por sua autuação e, em sua tramitação, por quem nele inserir quaisquer documentos</w:t>
      </w:r>
      <w:r w:rsidRPr="00F907FD">
        <w:rPr>
          <w:rFonts w:ascii="Arial" w:hAnsi="Arial" w:cs="Arial"/>
          <w:sz w:val="22"/>
          <w:szCs w:val="24"/>
        </w:rPr>
        <w:t>.</w:t>
      </w:r>
    </w:p>
    <w:p w14:paraId="3A76D25B" w14:textId="77777777" w:rsidR="00F305AA" w:rsidRPr="00F907FD" w:rsidRDefault="00F305AA" w:rsidP="00F305AA">
      <w:pPr>
        <w:ind w:left="2268"/>
        <w:jc w:val="both"/>
        <w:rPr>
          <w:rFonts w:ascii="Arial" w:hAnsi="Arial" w:cs="Arial"/>
          <w:sz w:val="22"/>
          <w:szCs w:val="24"/>
        </w:rPr>
      </w:pPr>
      <w:r w:rsidRPr="00F907FD">
        <w:rPr>
          <w:rFonts w:ascii="Arial" w:hAnsi="Arial" w:cs="Arial"/>
          <w:sz w:val="22"/>
          <w:szCs w:val="24"/>
        </w:rPr>
        <w:t>§ 5º Os atos administrativos e todos os documentos produzidos pela Administração Pública que instruírem os processos eletrônicos deverão ser transmitidos, armazenados e assinados eletronicamente na forma de lei específica.</w:t>
      </w:r>
    </w:p>
    <w:p w14:paraId="7B70C1A6" w14:textId="77777777" w:rsidR="00F305AA" w:rsidRPr="000D1B8F" w:rsidRDefault="00F305AA" w:rsidP="00F305AA">
      <w:pPr>
        <w:spacing w:line="360" w:lineRule="auto"/>
        <w:ind w:firstLine="851"/>
        <w:jc w:val="both"/>
        <w:rPr>
          <w:rFonts w:ascii="Arial" w:hAnsi="Arial" w:cs="Arial"/>
          <w:sz w:val="24"/>
          <w:szCs w:val="24"/>
        </w:rPr>
      </w:pPr>
    </w:p>
    <w:p w14:paraId="2FC20048"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Todavia, a CGE apurou graves falhas na autuação:</w:t>
      </w:r>
    </w:p>
    <w:p w14:paraId="4091911D" w14:textId="77777777" w:rsidR="00F305AA" w:rsidRDefault="00F305AA" w:rsidP="00F305AA">
      <w:pPr>
        <w:spacing w:line="360" w:lineRule="auto"/>
        <w:ind w:firstLine="851"/>
        <w:jc w:val="both"/>
        <w:rPr>
          <w:rFonts w:ascii="Arial" w:hAnsi="Arial" w:cs="Arial"/>
          <w:sz w:val="24"/>
          <w:szCs w:val="24"/>
        </w:rPr>
      </w:pPr>
    </w:p>
    <w:p w14:paraId="2B78DFE6" w14:textId="77777777" w:rsidR="00F305AA" w:rsidRPr="00181C4C" w:rsidRDefault="00F305AA" w:rsidP="00F305AA">
      <w:pPr>
        <w:ind w:left="2268"/>
        <w:jc w:val="both"/>
        <w:rPr>
          <w:rFonts w:ascii="Arial" w:hAnsi="Arial" w:cs="Arial"/>
          <w:sz w:val="22"/>
          <w:szCs w:val="24"/>
        </w:rPr>
      </w:pPr>
      <w:r w:rsidRPr="00181C4C">
        <w:rPr>
          <w:rFonts w:ascii="Arial" w:hAnsi="Arial" w:cs="Arial"/>
          <w:sz w:val="22"/>
          <w:szCs w:val="24"/>
        </w:rPr>
        <w:t xml:space="preserve">a. folhas com indicação de sem efeito/folha substituída </w:t>
      </w:r>
    </w:p>
    <w:p w14:paraId="573256A4" w14:textId="77777777" w:rsidR="00F305AA" w:rsidRPr="00181C4C" w:rsidRDefault="00F305AA" w:rsidP="00F305AA">
      <w:pPr>
        <w:ind w:left="2268"/>
        <w:jc w:val="both"/>
        <w:rPr>
          <w:rFonts w:ascii="Arial" w:hAnsi="Arial" w:cs="Arial"/>
          <w:sz w:val="22"/>
          <w:szCs w:val="24"/>
        </w:rPr>
      </w:pPr>
      <w:r w:rsidRPr="00181C4C">
        <w:rPr>
          <w:rFonts w:ascii="Arial" w:hAnsi="Arial" w:cs="Arial"/>
          <w:sz w:val="22"/>
          <w:szCs w:val="24"/>
        </w:rPr>
        <w:t xml:space="preserve">Observou-se que o projeto apresentado pela empresa possui algumas de suas folhas [...] com a indicação de sem efeito/folha substituída, dificultando a análise, uma vez que novas folhas foram inseridas </w:t>
      </w:r>
      <w:r w:rsidRPr="00181C4C">
        <w:rPr>
          <w:rFonts w:ascii="Arial" w:hAnsi="Arial" w:cs="Arial"/>
          <w:sz w:val="22"/>
          <w:szCs w:val="24"/>
        </w:rPr>
        <w:lastRenderedPageBreak/>
        <w:t>posteriormente de maneira individual no processo, o que sugere a ocorrência de comunicações informais ou realizadas por email e que não constam no processo.</w:t>
      </w:r>
    </w:p>
    <w:p w14:paraId="4132B47C" w14:textId="77777777" w:rsidR="00F305AA" w:rsidRPr="00181C4C" w:rsidRDefault="00F305AA" w:rsidP="00F305AA">
      <w:pPr>
        <w:ind w:left="2268"/>
        <w:jc w:val="both"/>
        <w:rPr>
          <w:rFonts w:ascii="Arial" w:hAnsi="Arial" w:cs="Arial"/>
          <w:sz w:val="22"/>
          <w:szCs w:val="24"/>
        </w:rPr>
      </w:pPr>
      <w:r w:rsidRPr="00181C4C">
        <w:rPr>
          <w:rFonts w:ascii="Arial" w:hAnsi="Arial" w:cs="Arial"/>
          <w:sz w:val="22"/>
          <w:szCs w:val="24"/>
        </w:rPr>
        <w:t>b. ausência de documentos em processo</w:t>
      </w:r>
    </w:p>
    <w:p w14:paraId="5142C9E5" w14:textId="77777777" w:rsidR="00F305AA" w:rsidRPr="00181C4C" w:rsidRDefault="00F305AA" w:rsidP="00F305AA">
      <w:pPr>
        <w:ind w:left="2268"/>
        <w:jc w:val="both"/>
        <w:rPr>
          <w:rFonts w:ascii="Arial" w:hAnsi="Arial" w:cs="Arial"/>
          <w:sz w:val="22"/>
          <w:szCs w:val="24"/>
        </w:rPr>
      </w:pPr>
      <w:r w:rsidRPr="00181C4C">
        <w:rPr>
          <w:rFonts w:ascii="Arial" w:hAnsi="Arial" w:cs="Arial"/>
          <w:sz w:val="22"/>
          <w:szCs w:val="24"/>
        </w:rPr>
        <w:t>Verificou-se em alguns processos a ausência de documentos necessários para a compreensão, comprovação de informações e completude do processo. [...]</w:t>
      </w:r>
    </w:p>
    <w:p w14:paraId="0A482FA9" w14:textId="77777777" w:rsidR="00F305AA" w:rsidRPr="00181C4C" w:rsidRDefault="00F305AA" w:rsidP="00F305AA">
      <w:pPr>
        <w:ind w:left="2268"/>
        <w:jc w:val="both"/>
        <w:rPr>
          <w:rFonts w:ascii="Arial" w:hAnsi="Arial" w:cs="Arial"/>
          <w:sz w:val="22"/>
          <w:szCs w:val="24"/>
        </w:rPr>
      </w:pPr>
      <w:r w:rsidRPr="00181C4C">
        <w:rPr>
          <w:rFonts w:ascii="Arial" w:hAnsi="Arial" w:cs="Arial"/>
          <w:sz w:val="22"/>
          <w:szCs w:val="24"/>
        </w:rPr>
        <w:t>c. folhas sem numeração</w:t>
      </w:r>
    </w:p>
    <w:p w14:paraId="0E59153A" w14:textId="77777777" w:rsidR="00F305AA" w:rsidRPr="00181C4C" w:rsidRDefault="00F305AA" w:rsidP="00F305AA">
      <w:pPr>
        <w:ind w:left="2268"/>
        <w:jc w:val="both"/>
        <w:rPr>
          <w:rFonts w:ascii="Arial" w:hAnsi="Arial" w:cs="Arial"/>
          <w:sz w:val="22"/>
          <w:szCs w:val="24"/>
        </w:rPr>
      </w:pPr>
      <w:r w:rsidRPr="00181C4C">
        <w:rPr>
          <w:rFonts w:ascii="Arial" w:hAnsi="Arial" w:cs="Arial"/>
          <w:sz w:val="22"/>
          <w:szCs w:val="24"/>
        </w:rPr>
        <w:t>Para exemplificar as folhas sem numeração, menciona-se o processo [...], no qual se verificou que os documentos [...] encontram-se grampeados e com a informação “Folhas sem numeração”. Apesar disso, essas folhas são consideradas nos autos para numeração dos documentos seguintes.</w:t>
      </w:r>
    </w:p>
    <w:p w14:paraId="0A9019B5" w14:textId="77777777" w:rsidR="00F305AA" w:rsidRPr="00181C4C" w:rsidRDefault="00F305AA" w:rsidP="00F305AA">
      <w:pPr>
        <w:ind w:left="2268"/>
        <w:jc w:val="both"/>
        <w:rPr>
          <w:rFonts w:ascii="Arial" w:hAnsi="Arial" w:cs="Arial"/>
          <w:sz w:val="22"/>
          <w:szCs w:val="24"/>
        </w:rPr>
      </w:pPr>
      <w:r w:rsidRPr="00181C4C">
        <w:rPr>
          <w:rFonts w:ascii="Arial" w:hAnsi="Arial" w:cs="Arial"/>
          <w:sz w:val="22"/>
          <w:szCs w:val="24"/>
        </w:rPr>
        <w:t>f. documentos de mesma numeração, porém com conteúdos diferentes</w:t>
      </w:r>
    </w:p>
    <w:p w14:paraId="5536DABE" w14:textId="77777777" w:rsidR="00F305AA" w:rsidRPr="00181C4C" w:rsidRDefault="00F305AA" w:rsidP="00F305AA">
      <w:pPr>
        <w:ind w:left="2268"/>
        <w:jc w:val="both"/>
        <w:rPr>
          <w:rFonts w:ascii="Arial" w:hAnsi="Arial" w:cs="Arial"/>
          <w:sz w:val="22"/>
          <w:szCs w:val="24"/>
        </w:rPr>
      </w:pPr>
      <w:r w:rsidRPr="00181C4C">
        <w:rPr>
          <w:rFonts w:ascii="Arial" w:hAnsi="Arial" w:cs="Arial"/>
          <w:sz w:val="22"/>
          <w:szCs w:val="24"/>
        </w:rPr>
        <w:t>Consta no processo nº [...] duas Resoluções de n.º [...], ambas em vias originais, estando uma às fls. [...] e outra em folha sem numeração, porém com dados diferentes, dificultando identificar o documento vigente.</w:t>
      </w:r>
    </w:p>
    <w:p w14:paraId="34728863" w14:textId="77777777" w:rsidR="00F305AA" w:rsidRPr="00181C4C" w:rsidRDefault="00F305AA" w:rsidP="00F305AA">
      <w:pPr>
        <w:ind w:left="2268"/>
        <w:jc w:val="both"/>
        <w:rPr>
          <w:rFonts w:ascii="Arial" w:hAnsi="Arial" w:cs="Arial"/>
          <w:sz w:val="22"/>
          <w:szCs w:val="24"/>
        </w:rPr>
      </w:pPr>
      <w:r w:rsidRPr="00181C4C">
        <w:rPr>
          <w:rFonts w:ascii="Arial" w:hAnsi="Arial" w:cs="Arial"/>
          <w:sz w:val="22"/>
          <w:szCs w:val="24"/>
        </w:rPr>
        <w:t>g. divergência de informações entre documentos apensados no mesmo processo</w:t>
      </w:r>
    </w:p>
    <w:p w14:paraId="28E6FDE1" w14:textId="77777777" w:rsidR="00F305AA" w:rsidRPr="00181C4C" w:rsidRDefault="00F305AA" w:rsidP="00F305AA">
      <w:pPr>
        <w:ind w:left="2268"/>
        <w:jc w:val="both"/>
        <w:rPr>
          <w:rFonts w:ascii="Arial" w:hAnsi="Arial" w:cs="Arial"/>
          <w:sz w:val="22"/>
          <w:szCs w:val="24"/>
        </w:rPr>
      </w:pPr>
      <w:r w:rsidRPr="00181C4C">
        <w:rPr>
          <w:rFonts w:ascii="Arial" w:hAnsi="Arial" w:cs="Arial"/>
          <w:sz w:val="22"/>
          <w:szCs w:val="24"/>
        </w:rPr>
        <w:t>Da análise do processo nº [...], foram constatadas informações divergentes relacionadas ao ICMS a recolher pela empresa, [...]</w:t>
      </w:r>
    </w:p>
    <w:p w14:paraId="40A67841" w14:textId="77777777" w:rsidR="00F305AA" w:rsidRPr="00181C4C" w:rsidRDefault="00F305AA" w:rsidP="00F305AA">
      <w:pPr>
        <w:ind w:left="2268"/>
        <w:jc w:val="both"/>
        <w:rPr>
          <w:rFonts w:ascii="Arial" w:hAnsi="Arial" w:cs="Arial"/>
          <w:sz w:val="22"/>
          <w:szCs w:val="24"/>
        </w:rPr>
      </w:pPr>
      <w:r w:rsidRPr="00181C4C">
        <w:rPr>
          <w:rFonts w:ascii="Arial" w:hAnsi="Arial" w:cs="Arial"/>
          <w:sz w:val="22"/>
          <w:szCs w:val="24"/>
        </w:rPr>
        <w:t>h. ausência de documento em via original</w:t>
      </w:r>
    </w:p>
    <w:p w14:paraId="4D603572" w14:textId="77777777" w:rsidR="00F305AA" w:rsidRDefault="00F305AA" w:rsidP="00F305AA">
      <w:pPr>
        <w:ind w:left="2268"/>
        <w:jc w:val="both"/>
        <w:rPr>
          <w:rFonts w:ascii="Arial" w:hAnsi="Arial" w:cs="Arial"/>
          <w:sz w:val="22"/>
          <w:szCs w:val="24"/>
        </w:rPr>
      </w:pPr>
      <w:r w:rsidRPr="00181C4C">
        <w:rPr>
          <w:rFonts w:ascii="Arial" w:hAnsi="Arial" w:cs="Arial"/>
          <w:sz w:val="22"/>
          <w:szCs w:val="24"/>
        </w:rPr>
        <w:t>Apesar de o processo nº [...] referir-se à concessão do benefício do PRODUZIR, o Relatório de Análise n.º [...] manifestando favoravelmente à aprovação do projeto não se encontra em via original nos referidos autos.</w:t>
      </w:r>
    </w:p>
    <w:p w14:paraId="7EEF3C76" w14:textId="77777777" w:rsidR="00F305AA" w:rsidRDefault="00F305AA" w:rsidP="00F305AA">
      <w:pPr>
        <w:ind w:left="2268"/>
        <w:jc w:val="both"/>
        <w:rPr>
          <w:rFonts w:ascii="Arial" w:hAnsi="Arial" w:cs="Arial"/>
          <w:sz w:val="22"/>
          <w:szCs w:val="24"/>
        </w:rPr>
      </w:pPr>
      <w:r>
        <w:rPr>
          <w:rFonts w:ascii="Arial" w:hAnsi="Arial" w:cs="Arial"/>
          <w:sz w:val="22"/>
          <w:szCs w:val="24"/>
        </w:rPr>
        <w:t>[...]</w:t>
      </w:r>
    </w:p>
    <w:p w14:paraId="3AEF8A35" w14:textId="77777777" w:rsidR="00F305AA" w:rsidRPr="00181C4C" w:rsidRDefault="00F305AA" w:rsidP="00F305AA">
      <w:pPr>
        <w:ind w:left="2268"/>
        <w:jc w:val="both"/>
        <w:rPr>
          <w:rFonts w:ascii="Arial" w:hAnsi="Arial" w:cs="Arial"/>
          <w:sz w:val="22"/>
          <w:szCs w:val="24"/>
        </w:rPr>
      </w:pPr>
      <w:r>
        <w:rPr>
          <w:rFonts w:ascii="Arial" w:hAnsi="Arial" w:cs="Arial"/>
          <w:sz w:val="22"/>
          <w:szCs w:val="24"/>
        </w:rPr>
        <w:t xml:space="preserve">[...] </w:t>
      </w:r>
      <w:r w:rsidRPr="00BE7953">
        <w:rPr>
          <w:rFonts w:ascii="Arial" w:hAnsi="Arial" w:cs="Arial"/>
          <w:sz w:val="22"/>
          <w:szCs w:val="24"/>
        </w:rPr>
        <w:t>No que tange ao item "b", quanto à ausência de notas fiscais no processo, apesar de informar que a SEFAZ verifica as notas in loco, carimba e as devolve para as empresas, verifica-se que, para a completude do processo e para que os controles internos da SEFAZ possam ser verificados posteriormente, faz-se necessário que os documentos comprobatórios dos investimentos estejam anexados ao processo</w:t>
      </w:r>
      <w:r>
        <w:rPr>
          <w:rFonts w:ascii="Arial" w:hAnsi="Arial" w:cs="Arial"/>
          <w:sz w:val="22"/>
          <w:szCs w:val="24"/>
        </w:rPr>
        <w:t>. [...]</w:t>
      </w:r>
      <w:r>
        <w:rPr>
          <w:rStyle w:val="Refdenotaderodap"/>
          <w:rFonts w:ascii="Arial" w:hAnsi="Arial" w:cs="Arial"/>
          <w:sz w:val="22"/>
          <w:szCs w:val="24"/>
        </w:rPr>
        <w:footnoteReference w:id="58"/>
      </w:r>
    </w:p>
    <w:p w14:paraId="1295D92A" w14:textId="77777777" w:rsidR="00F305AA" w:rsidRPr="000D1B8F" w:rsidRDefault="00F305AA" w:rsidP="00F305AA">
      <w:pPr>
        <w:spacing w:line="360" w:lineRule="auto"/>
        <w:ind w:firstLine="851"/>
        <w:jc w:val="both"/>
        <w:rPr>
          <w:rFonts w:ascii="Arial" w:hAnsi="Arial" w:cs="Arial"/>
          <w:sz w:val="24"/>
          <w:szCs w:val="24"/>
        </w:rPr>
      </w:pPr>
    </w:p>
    <w:p w14:paraId="19B8E5CB"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Note-se que a devida autuação processual é essencial para a garantia da legitimidade do resultado</w:t>
      </w:r>
      <w:r w:rsidRPr="00181C4C">
        <w:rPr>
          <w:rFonts w:ascii="Arial" w:hAnsi="Arial" w:cs="Arial"/>
          <w:sz w:val="24"/>
          <w:szCs w:val="24"/>
        </w:rPr>
        <w:t xml:space="preserve"> </w:t>
      </w:r>
      <w:r>
        <w:rPr>
          <w:rFonts w:ascii="Arial" w:hAnsi="Arial" w:cs="Arial"/>
          <w:sz w:val="24"/>
          <w:szCs w:val="24"/>
        </w:rPr>
        <w:t>do processo e para a segurança jurídica daqueles nele envolvidos. Diante das ocorrências apontadas, verificamos que os vícios na materialização dos atos processuais relacionados aos programas FOMENTAR e PRODUZIR podem, no mínimo, gerar graves suspeitas em relação à atuação administrativa, devendo, portanto, serem corrigidos e evitados.</w:t>
      </w:r>
    </w:p>
    <w:p w14:paraId="05C94F28" w14:textId="77777777" w:rsidR="00F55590" w:rsidRDefault="00F55590" w:rsidP="00F305AA">
      <w:pPr>
        <w:spacing w:line="360" w:lineRule="auto"/>
        <w:ind w:firstLine="851"/>
        <w:jc w:val="both"/>
        <w:rPr>
          <w:rFonts w:ascii="Arial" w:hAnsi="Arial" w:cs="Arial"/>
          <w:sz w:val="24"/>
          <w:szCs w:val="24"/>
        </w:rPr>
      </w:pPr>
    </w:p>
    <w:p w14:paraId="200B5BB5" w14:textId="77777777" w:rsidR="00F55590" w:rsidRDefault="00F55590" w:rsidP="00F305AA">
      <w:pPr>
        <w:spacing w:line="360" w:lineRule="auto"/>
        <w:ind w:firstLine="851"/>
        <w:jc w:val="both"/>
        <w:rPr>
          <w:rFonts w:ascii="Arial" w:hAnsi="Arial" w:cs="Arial"/>
          <w:sz w:val="24"/>
          <w:szCs w:val="24"/>
        </w:rPr>
      </w:pPr>
    </w:p>
    <w:p w14:paraId="2AFFBF24" w14:textId="3B1497AB" w:rsidR="00F305AA" w:rsidRPr="00F552F1" w:rsidRDefault="00F305AA" w:rsidP="00F305AA">
      <w:pPr>
        <w:spacing w:line="360" w:lineRule="auto"/>
        <w:ind w:firstLine="851"/>
        <w:jc w:val="both"/>
        <w:rPr>
          <w:rFonts w:ascii="Arial" w:hAnsi="Arial" w:cs="Arial"/>
          <w:sz w:val="24"/>
          <w:szCs w:val="24"/>
        </w:rPr>
      </w:pPr>
      <w:r>
        <w:rPr>
          <w:rFonts w:ascii="Arial" w:hAnsi="Arial" w:cs="Arial"/>
          <w:sz w:val="24"/>
          <w:szCs w:val="24"/>
        </w:rPr>
        <w:lastRenderedPageBreak/>
        <w:t xml:space="preserve">Neste momento, uma vez apontados os achados sobre projetos de viabilidade econômico-financeira não suficientemente detalhados (6.2.2.1), superestimativa de ICMS nos projetos (6.2.2.2) e falhas na instrução processual (6.2.2.3) é importante apresentarmos </w:t>
      </w:r>
      <w:r>
        <w:rPr>
          <w:rFonts w:ascii="Arial" w:hAnsi="Arial" w:cs="Arial"/>
          <w:b/>
          <w:sz w:val="24"/>
          <w:szCs w:val="24"/>
        </w:rPr>
        <w:t>achado apurado pelos trabalhos desta Comissão</w:t>
      </w:r>
      <w:r>
        <w:rPr>
          <w:rFonts w:ascii="Arial" w:hAnsi="Arial" w:cs="Arial"/>
          <w:sz w:val="24"/>
          <w:szCs w:val="24"/>
        </w:rPr>
        <w:t xml:space="preserve">, a saber, </w:t>
      </w:r>
      <w:r>
        <w:rPr>
          <w:rFonts w:ascii="Arial" w:hAnsi="Arial" w:cs="Arial"/>
          <w:b/>
          <w:sz w:val="24"/>
          <w:szCs w:val="24"/>
        </w:rPr>
        <w:t xml:space="preserve">irregularidades nas auditorias de investimento e </w:t>
      </w:r>
      <w:r w:rsidRPr="00F552F1">
        <w:rPr>
          <w:rFonts w:ascii="Arial" w:hAnsi="Arial" w:cs="Arial"/>
          <w:b/>
          <w:sz w:val="24"/>
          <w:szCs w:val="24"/>
        </w:rPr>
        <w:t>quitação</w:t>
      </w:r>
      <w:r w:rsidRPr="00F552F1">
        <w:rPr>
          <w:rFonts w:ascii="Arial" w:hAnsi="Arial" w:cs="Arial"/>
          <w:sz w:val="24"/>
          <w:szCs w:val="24"/>
        </w:rPr>
        <w:t xml:space="preserve"> (6.2.0.0)</w:t>
      </w:r>
      <w:r>
        <w:rPr>
          <w:rFonts w:ascii="Arial" w:hAnsi="Arial" w:cs="Arial"/>
          <w:sz w:val="24"/>
          <w:szCs w:val="24"/>
        </w:rPr>
        <w:t>.</w:t>
      </w:r>
    </w:p>
    <w:p w14:paraId="30548F30" w14:textId="77777777" w:rsidR="00F305AA" w:rsidRDefault="00F305AA" w:rsidP="00F305AA">
      <w:pPr>
        <w:spacing w:line="360" w:lineRule="auto"/>
        <w:ind w:firstLine="851"/>
        <w:jc w:val="both"/>
        <w:rPr>
          <w:rFonts w:ascii="Arial" w:hAnsi="Arial" w:cs="Arial"/>
          <w:sz w:val="24"/>
          <w:szCs w:val="24"/>
        </w:rPr>
      </w:pPr>
    </w:p>
    <w:p w14:paraId="1C1D5747" w14:textId="13F00EA2" w:rsidR="00F305AA" w:rsidRDefault="00F305AA" w:rsidP="00F305AA">
      <w:pPr>
        <w:spacing w:line="360" w:lineRule="auto"/>
        <w:ind w:firstLine="851"/>
        <w:jc w:val="both"/>
        <w:rPr>
          <w:rFonts w:ascii="Arial" w:hAnsi="Arial" w:cs="Arial"/>
          <w:b/>
          <w:sz w:val="24"/>
          <w:szCs w:val="24"/>
        </w:rPr>
      </w:pPr>
      <w:r w:rsidRPr="00783461">
        <w:rPr>
          <w:rFonts w:ascii="Arial" w:hAnsi="Arial" w:cs="Arial"/>
          <w:b/>
          <w:bCs/>
          <w:sz w:val="24"/>
          <w:szCs w:val="24"/>
        </w:rPr>
        <w:t>6.2.2.</w:t>
      </w:r>
      <w:r w:rsidR="00783461">
        <w:rPr>
          <w:rFonts w:ascii="Arial" w:hAnsi="Arial" w:cs="Arial"/>
          <w:b/>
          <w:bCs/>
          <w:sz w:val="24"/>
          <w:szCs w:val="24"/>
        </w:rPr>
        <w:t>4 –</w:t>
      </w:r>
      <w:r w:rsidRPr="00783461">
        <w:rPr>
          <w:rFonts w:ascii="Arial" w:hAnsi="Arial" w:cs="Arial"/>
          <w:b/>
          <w:sz w:val="24"/>
          <w:szCs w:val="24"/>
        </w:rPr>
        <w:t xml:space="preserve"> Ausência de transparência das normas aplicáveis</w:t>
      </w:r>
    </w:p>
    <w:p w14:paraId="1FD8E448" w14:textId="77777777" w:rsidR="00783461" w:rsidRPr="00783461" w:rsidRDefault="00783461" w:rsidP="00F305AA">
      <w:pPr>
        <w:spacing w:line="360" w:lineRule="auto"/>
        <w:ind w:firstLine="851"/>
        <w:jc w:val="both"/>
        <w:rPr>
          <w:rFonts w:ascii="Arial" w:hAnsi="Arial" w:cs="Arial"/>
          <w:b/>
          <w:sz w:val="24"/>
          <w:szCs w:val="24"/>
        </w:rPr>
      </w:pPr>
    </w:p>
    <w:p w14:paraId="2CAA0FA4"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Embora entenda-se que vigora o princípio da presunção do conhecimento da lei, por necessidade social dessa presunção (art. 3º do Decreto-Lei n. 4.657, de 4 de setembro de 1942), é necessária a ampla divulgação e disponibilidade de acesso ao conteúdo das normas que regem a Administração, especialmente das que concedem tratamento tributário diferenciado. Tal é exigência dos princípios constitucionais da publicidade, transparência e isonomia e decorrem do próprio conceito de Estado Democrático de Direito. Destaca-se que assim é por necessidade controle externo a ser exercido e também para viabilizar o controle social.</w:t>
      </w:r>
    </w:p>
    <w:p w14:paraId="1326E00C"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Todavia, em relação aos programas FOMENTAR e PRODUZIR a CGE encontrou a situação abaixo descrita:</w:t>
      </w:r>
    </w:p>
    <w:p w14:paraId="556DDB30" w14:textId="77777777" w:rsidR="00F305AA" w:rsidRDefault="00F305AA" w:rsidP="00F305AA">
      <w:pPr>
        <w:spacing w:line="360" w:lineRule="auto"/>
        <w:ind w:firstLine="851"/>
        <w:jc w:val="both"/>
        <w:rPr>
          <w:rFonts w:ascii="Arial" w:hAnsi="Arial" w:cs="Arial"/>
          <w:sz w:val="24"/>
          <w:szCs w:val="24"/>
        </w:rPr>
      </w:pPr>
    </w:p>
    <w:p w14:paraId="727EAE6E" w14:textId="77777777" w:rsidR="00F305AA" w:rsidRPr="00C16EED" w:rsidRDefault="00F305AA" w:rsidP="00F305AA">
      <w:pPr>
        <w:ind w:left="2268"/>
        <w:jc w:val="both"/>
        <w:rPr>
          <w:rFonts w:ascii="Arial" w:hAnsi="Arial" w:cs="Arial"/>
          <w:sz w:val="22"/>
          <w:szCs w:val="24"/>
        </w:rPr>
      </w:pPr>
      <w:r w:rsidRPr="00C16EED">
        <w:rPr>
          <w:rFonts w:ascii="Arial" w:hAnsi="Arial" w:cs="Arial"/>
          <w:sz w:val="22"/>
          <w:szCs w:val="24"/>
        </w:rPr>
        <w:t>Observou-se ausência de divulgação de todas as normativas que regem o Programa PRODUZIR, pois essas não se encontram na sua totalidade disponíveis para consulta nos sítios da SED, SEFAZ e GoiásFomento, tampouco alusivas a todo o período de existência do Programa. Verificou-se a falta de disponibilização das Resoluções emitidas a partir de 2004 no sítio da SEFAZ, das resoluções normativas anteriores a 2016 no sítio da SED e de qualquer legislação relativa ao PRODUZIR no sítio da GoiásFomento.</w:t>
      </w:r>
      <w:r>
        <w:rPr>
          <w:rStyle w:val="Refdenotaderodap"/>
          <w:rFonts w:ascii="Arial" w:hAnsi="Arial" w:cs="Arial"/>
          <w:sz w:val="22"/>
          <w:szCs w:val="24"/>
        </w:rPr>
        <w:footnoteReference w:id="59"/>
      </w:r>
    </w:p>
    <w:p w14:paraId="00F6A4AE" w14:textId="77777777" w:rsidR="00F305AA" w:rsidRDefault="00F305AA" w:rsidP="00F305AA">
      <w:pPr>
        <w:spacing w:line="360" w:lineRule="auto"/>
        <w:ind w:firstLine="851"/>
        <w:jc w:val="both"/>
        <w:rPr>
          <w:rFonts w:ascii="Arial" w:hAnsi="Arial" w:cs="Arial"/>
          <w:sz w:val="24"/>
          <w:szCs w:val="24"/>
        </w:rPr>
      </w:pPr>
    </w:p>
    <w:p w14:paraId="11185E49" w14:textId="779D58DA" w:rsidR="00F305AA" w:rsidRDefault="00F305AA" w:rsidP="00F305AA">
      <w:pPr>
        <w:spacing w:line="360" w:lineRule="auto"/>
        <w:ind w:firstLine="851"/>
        <w:jc w:val="both"/>
        <w:rPr>
          <w:rFonts w:ascii="Arial" w:hAnsi="Arial" w:cs="Arial"/>
          <w:b/>
          <w:sz w:val="24"/>
          <w:szCs w:val="24"/>
        </w:rPr>
      </w:pPr>
      <w:r>
        <w:rPr>
          <w:rFonts w:ascii="Arial" w:hAnsi="Arial" w:cs="Arial"/>
          <w:b/>
          <w:bCs/>
          <w:sz w:val="24"/>
          <w:szCs w:val="24"/>
        </w:rPr>
        <w:t>6.2.2.</w:t>
      </w:r>
      <w:r w:rsidRPr="00783461">
        <w:rPr>
          <w:rFonts w:ascii="Arial" w:hAnsi="Arial" w:cs="Arial"/>
          <w:b/>
          <w:bCs/>
          <w:sz w:val="24"/>
          <w:szCs w:val="24"/>
        </w:rPr>
        <w:t>5</w:t>
      </w:r>
      <w:r w:rsidRPr="00783461">
        <w:rPr>
          <w:rFonts w:ascii="Arial" w:hAnsi="Arial" w:cs="Arial"/>
          <w:b/>
          <w:sz w:val="24"/>
          <w:szCs w:val="24"/>
        </w:rPr>
        <w:t xml:space="preserve"> </w:t>
      </w:r>
      <w:r w:rsidR="00783461">
        <w:rPr>
          <w:rFonts w:ascii="Arial" w:hAnsi="Arial" w:cs="Arial"/>
          <w:b/>
          <w:sz w:val="24"/>
          <w:szCs w:val="24"/>
        </w:rPr>
        <w:t xml:space="preserve">– </w:t>
      </w:r>
      <w:r w:rsidRPr="00783461">
        <w:rPr>
          <w:rFonts w:ascii="Arial" w:hAnsi="Arial" w:cs="Arial"/>
          <w:b/>
          <w:sz w:val="24"/>
          <w:szCs w:val="24"/>
        </w:rPr>
        <w:t>Empresas com crédito tributário inscrito em dívida ativa usufruindo o benefício do Programa</w:t>
      </w:r>
    </w:p>
    <w:p w14:paraId="6A66A4F8" w14:textId="77777777" w:rsidR="00783461" w:rsidRDefault="00783461" w:rsidP="00F305AA">
      <w:pPr>
        <w:spacing w:line="360" w:lineRule="auto"/>
        <w:ind w:firstLine="851"/>
        <w:jc w:val="both"/>
        <w:rPr>
          <w:rFonts w:ascii="Arial" w:hAnsi="Arial" w:cs="Arial"/>
          <w:sz w:val="24"/>
          <w:szCs w:val="24"/>
        </w:rPr>
      </w:pPr>
    </w:p>
    <w:p w14:paraId="6EE5DD66" w14:textId="5D85620E"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 Lei n</w:t>
      </w:r>
      <w:r w:rsidR="00783461">
        <w:rPr>
          <w:rFonts w:ascii="Arial" w:hAnsi="Arial" w:cs="Arial"/>
          <w:sz w:val="24"/>
          <w:szCs w:val="24"/>
        </w:rPr>
        <w:t>º</w:t>
      </w:r>
      <w:r>
        <w:rPr>
          <w:rFonts w:ascii="Arial" w:hAnsi="Arial" w:cs="Arial"/>
          <w:sz w:val="24"/>
          <w:szCs w:val="24"/>
        </w:rPr>
        <w:t xml:space="preserve"> 13.591, de 2000, impede que empresa com crédito tributário inscrito em dívida ativa estadual utilize em caráter definitivo o benefício:</w:t>
      </w:r>
    </w:p>
    <w:p w14:paraId="036B9752" w14:textId="77777777" w:rsidR="00F305AA" w:rsidRDefault="00F305AA" w:rsidP="00F305AA">
      <w:pPr>
        <w:spacing w:line="360" w:lineRule="auto"/>
        <w:ind w:firstLine="851"/>
        <w:jc w:val="both"/>
        <w:rPr>
          <w:rFonts w:ascii="Arial" w:hAnsi="Arial" w:cs="Arial"/>
          <w:sz w:val="24"/>
          <w:szCs w:val="24"/>
        </w:rPr>
      </w:pPr>
    </w:p>
    <w:p w14:paraId="5198C708" w14:textId="77777777" w:rsidR="00F305AA" w:rsidRPr="00810B05" w:rsidRDefault="00F305AA" w:rsidP="00F305AA">
      <w:pPr>
        <w:ind w:left="2268"/>
        <w:jc w:val="both"/>
        <w:rPr>
          <w:rFonts w:ascii="Arial" w:hAnsi="Arial" w:cs="Arial"/>
          <w:sz w:val="22"/>
          <w:szCs w:val="24"/>
        </w:rPr>
      </w:pPr>
      <w:r w:rsidRPr="00810B05">
        <w:rPr>
          <w:rFonts w:ascii="Arial" w:hAnsi="Arial" w:cs="Arial"/>
          <w:sz w:val="22"/>
          <w:szCs w:val="24"/>
        </w:rPr>
        <w:t>Art. 24. O contrato de financiamento poderá ser suspenso ou revogado pela Comissão Executiva do PRODUZIR.</w:t>
      </w:r>
    </w:p>
    <w:p w14:paraId="6D18581E" w14:textId="77777777" w:rsidR="00F305AA" w:rsidRPr="00810B05" w:rsidRDefault="00F305AA" w:rsidP="00F305AA">
      <w:pPr>
        <w:ind w:left="2268"/>
        <w:jc w:val="both"/>
        <w:rPr>
          <w:rFonts w:ascii="Arial" w:hAnsi="Arial" w:cs="Arial"/>
          <w:sz w:val="22"/>
          <w:szCs w:val="24"/>
        </w:rPr>
      </w:pPr>
      <w:r w:rsidRPr="00810B05">
        <w:rPr>
          <w:rFonts w:ascii="Arial" w:hAnsi="Arial" w:cs="Arial"/>
          <w:sz w:val="22"/>
          <w:szCs w:val="24"/>
        </w:rPr>
        <w:t>§ 1º - O contrato poderá ser suspenso, se ocorrer:</w:t>
      </w:r>
    </w:p>
    <w:p w14:paraId="59F96B69" w14:textId="77777777" w:rsidR="00F305AA" w:rsidRPr="00810B05" w:rsidRDefault="00F305AA" w:rsidP="00F305AA">
      <w:pPr>
        <w:ind w:left="2268"/>
        <w:jc w:val="both"/>
        <w:rPr>
          <w:rFonts w:ascii="Arial" w:hAnsi="Arial" w:cs="Arial"/>
          <w:sz w:val="22"/>
          <w:szCs w:val="24"/>
        </w:rPr>
      </w:pPr>
      <w:r w:rsidRPr="00810B05">
        <w:rPr>
          <w:rFonts w:ascii="Arial" w:hAnsi="Arial" w:cs="Arial"/>
          <w:sz w:val="22"/>
          <w:szCs w:val="24"/>
        </w:rPr>
        <w:t>I - a inadimplência da empresa para com suas obrigações tributárias estaduais, assim entendido a existência de crédito tributário inscrito em dívida ativa, exceto se o referido crédito estiver com sua exigibilidade suspensa nos termos da lei ou tiver sido efetivada a penhora de bens suficientes para o pagamento do total da dívida;</w:t>
      </w:r>
    </w:p>
    <w:p w14:paraId="509A865E" w14:textId="77777777" w:rsidR="00F305AA" w:rsidRPr="00810B05" w:rsidRDefault="00F305AA" w:rsidP="00F305AA">
      <w:pPr>
        <w:ind w:left="2268"/>
        <w:jc w:val="both"/>
        <w:rPr>
          <w:rFonts w:ascii="Arial" w:hAnsi="Arial" w:cs="Arial"/>
          <w:sz w:val="22"/>
          <w:szCs w:val="24"/>
        </w:rPr>
      </w:pPr>
      <w:r w:rsidRPr="00810B05">
        <w:rPr>
          <w:rFonts w:ascii="Arial" w:hAnsi="Arial" w:cs="Arial"/>
          <w:sz w:val="22"/>
          <w:szCs w:val="24"/>
        </w:rPr>
        <w:t>[...]</w:t>
      </w:r>
    </w:p>
    <w:p w14:paraId="53219B37" w14:textId="77777777" w:rsidR="00F305AA" w:rsidRPr="00810B05" w:rsidRDefault="00F305AA" w:rsidP="00F305AA">
      <w:pPr>
        <w:ind w:left="2268"/>
        <w:jc w:val="both"/>
        <w:rPr>
          <w:rFonts w:ascii="Arial" w:hAnsi="Arial" w:cs="Arial"/>
          <w:sz w:val="22"/>
          <w:szCs w:val="24"/>
        </w:rPr>
      </w:pPr>
      <w:r w:rsidRPr="00810B05">
        <w:rPr>
          <w:rFonts w:ascii="Arial" w:hAnsi="Arial" w:cs="Arial"/>
          <w:sz w:val="22"/>
          <w:szCs w:val="24"/>
        </w:rPr>
        <w:t>Art. 24-A. Na ocorrência de inscrição de crédito tributário em dívida ativa estadual, o contribuinte fica impedido de utilizar, em caráter definitivo, o benefício do financiamento na apuração do imposto correspondente ao mês da inscrição até a apuração do imposto correspondente ao mês anterior a sua regularização, independentemente da formalização da suspensão do TARE - Termo de Acordo de Regime Especial.</w:t>
      </w:r>
    </w:p>
    <w:p w14:paraId="4B4C695E" w14:textId="77777777" w:rsidR="00F305AA" w:rsidRPr="00810B05" w:rsidRDefault="00F305AA" w:rsidP="00F305AA">
      <w:pPr>
        <w:ind w:left="2268"/>
        <w:jc w:val="both"/>
        <w:rPr>
          <w:rFonts w:ascii="Arial" w:hAnsi="Arial" w:cs="Arial"/>
          <w:sz w:val="22"/>
          <w:szCs w:val="24"/>
        </w:rPr>
      </w:pPr>
      <w:r w:rsidRPr="00810B05">
        <w:rPr>
          <w:rFonts w:ascii="Arial" w:hAnsi="Arial" w:cs="Arial"/>
          <w:sz w:val="22"/>
          <w:szCs w:val="24"/>
        </w:rPr>
        <w:t>§ 1º Não impede a utilização do benefício a existência de crédito tributário inscrito em dívida ativa, cuja exigibilidade esteja suspensa, ou para o qual tenha sido oferecida fiança ou efetivada penhora de bens suficientes para o pagamento do total da dívida.</w:t>
      </w:r>
    </w:p>
    <w:p w14:paraId="4D731390" w14:textId="77777777" w:rsidR="00F305AA" w:rsidRPr="00810B05" w:rsidRDefault="00F305AA" w:rsidP="00F305AA">
      <w:pPr>
        <w:ind w:left="2268"/>
        <w:jc w:val="both"/>
        <w:rPr>
          <w:rFonts w:ascii="Arial" w:hAnsi="Arial" w:cs="Arial"/>
          <w:sz w:val="22"/>
          <w:szCs w:val="24"/>
        </w:rPr>
      </w:pPr>
      <w:r w:rsidRPr="00810B05">
        <w:rPr>
          <w:rFonts w:ascii="Arial" w:hAnsi="Arial" w:cs="Arial"/>
          <w:sz w:val="22"/>
          <w:szCs w:val="24"/>
        </w:rPr>
        <w:t>§ 2º A inscrição de crédito tributário em dívida ativa estadual não impede o contribuinte de utilizar o benefício do financiamento se a regularização ocorrer dentro do próprio mês de inscrição.</w:t>
      </w:r>
    </w:p>
    <w:p w14:paraId="52C2620A" w14:textId="77777777" w:rsidR="00F305AA" w:rsidRDefault="00F305AA" w:rsidP="00F305AA">
      <w:pPr>
        <w:spacing w:line="360" w:lineRule="auto"/>
        <w:ind w:firstLine="851"/>
        <w:jc w:val="both"/>
        <w:rPr>
          <w:rFonts w:ascii="Arial" w:hAnsi="Arial" w:cs="Arial"/>
          <w:sz w:val="24"/>
          <w:szCs w:val="24"/>
        </w:rPr>
      </w:pPr>
    </w:p>
    <w:p w14:paraId="0637F49A" w14:textId="4AEBEF36"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Regulamentando a Lei, o Decreto</w:t>
      </w:r>
      <w:r w:rsidR="00783461">
        <w:rPr>
          <w:rFonts w:ascii="Arial" w:hAnsi="Arial" w:cs="Arial"/>
          <w:sz w:val="24"/>
          <w:szCs w:val="24"/>
        </w:rPr>
        <w:t xml:space="preserve"> nº</w:t>
      </w:r>
      <w:r>
        <w:rPr>
          <w:rFonts w:ascii="Arial" w:hAnsi="Arial" w:cs="Arial"/>
          <w:sz w:val="24"/>
          <w:szCs w:val="24"/>
        </w:rPr>
        <w:t xml:space="preserve"> 5.265, de 2000, estabelece que:</w:t>
      </w:r>
    </w:p>
    <w:p w14:paraId="2BAF58B1" w14:textId="77777777" w:rsidR="00F305AA" w:rsidRDefault="00F305AA" w:rsidP="00F305AA">
      <w:pPr>
        <w:spacing w:line="360" w:lineRule="auto"/>
        <w:ind w:firstLine="851"/>
        <w:jc w:val="both"/>
        <w:rPr>
          <w:rFonts w:ascii="Arial" w:hAnsi="Arial" w:cs="Arial"/>
          <w:sz w:val="24"/>
          <w:szCs w:val="24"/>
        </w:rPr>
      </w:pPr>
    </w:p>
    <w:p w14:paraId="00EA403E" w14:textId="77777777" w:rsidR="00F305AA" w:rsidRPr="00810B05" w:rsidRDefault="00F305AA" w:rsidP="00F305AA">
      <w:pPr>
        <w:ind w:left="2268"/>
        <w:jc w:val="both"/>
        <w:rPr>
          <w:rFonts w:ascii="Arial" w:hAnsi="Arial" w:cs="Arial"/>
          <w:sz w:val="22"/>
          <w:szCs w:val="24"/>
        </w:rPr>
      </w:pPr>
      <w:r w:rsidRPr="00810B05">
        <w:rPr>
          <w:rFonts w:ascii="Arial" w:hAnsi="Arial" w:cs="Arial"/>
          <w:sz w:val="22"/>
          <w:szCs w:val="24"/>
        </w:rPr>
        <w:t>Art. 43. O contrato de financiamento poderá ser suspenso ou revogado pela Comissão Executiva do PRODUZIR.</w:t>
      </w:r>
    </w:p>
    <w:p w14:paraId="35AF3802" w14:textId="77777777" w:rsidR="00F305AA" w:rsidRPr="00810B05" w:rsidRDefault="00F305AA" w:rsidP="00F305AA">
      <w:pPr>
        <w:ind w:left="2268"/>
        <w:jc w:val="both"/>
        <w:rPr>
          <w:rFonts w:ascii="Arial" w:hAnsi="Arial" w:cs="Arial"/>
          <w:sz w:val="22"/>
          <w:szCs w:val="24"/>
        </w:rPr>
      </w:pPr>
      <w:r w:rsidRPr="00810B05">
        <w:rPr>
          <w:rFonts w:ascii="Arial" w:hAnsi="Arial" w:cs="Arial"/>
          <w:sz w:val="22"/>
          <w:szCs w:val="24"/>
        </w:rPr>
        <w:t>[...]</w:t>
      </w:r>
    </w:p>
    <w:p w14:paraId="1E046205" w14:textId="77777777" w:rsidR="00F305AA" w:rsidRPr="00810B05" w:rsidRDefault="00F305AA" w:rsidP="00F305AA">
      <w:pPr>
        <w:ind w:left="2268"/>
        <w:jc w:val="both"/>
        <w:rPr>
          <w:rFonts w:ascii="Arial" w:hAnsi="Arial" w:cs="Arial"/>
          <w:sz w:val="22"/>
          <w:szCs w:val="24"/>
        </w:rPr>
      </w:pPr>
      <w:r w:rsidRPr="00810B05">
        <w:rPr>
          <w:rFonts w:ascii="Arial" w:hAnsi="Arial" w:cs="Arial"/>
          <w:sz w:val="22"/>
          <w:szCs w:val="24"/>
        </w:rPr>
        <w:t>§ 6º Na ocorrência de inscrição de crédito tributário em dívida ativa estadual, o contribuinte fica impedido de utilizar, em caráter definitivo, o benefício de financiamento na apuração do imposto correspondente ao mês da inscrição até a apuração do imposto correspondente ao mês anterior a sua regularização, dispensada a formalização da suspensão.</w:t>
      </w:r>
    </w:p>
    <w:p w14:paraId="29312F16" w14:textId="77777777" w:rsidR="00F305AA" w:rsidRDefault="00F305AA" w:rsidP="00F305AA">
      <w:pPr>
        <w:spacing w:line="360" w:lineRule="auto"/>
        <w:ind w:firstLine="851"/>
        <w:jc w:val="both"/>
        <w:rPr>
          <w:rFonts w:ascii="Arial" w:hAnsi="Arial" w:cs="Arial"/>
          <w:sz w:val="24"/>
          <w:szCs w:val="24"/>
        </w:rPr>
      </w:pPr>
    </w:p>
    <w:p w14:paraId="5EE82D97"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Ainda, cite-se que, como consta em tópico específico deste Relatório, o Anexo IX do Regulamento do Código Tributário Estadual (Decreto n. 4.852, de 29 de dezembro de 1997), no § 1º de seu art. 1º, veda a concessão de benefícios fiscais a contribuintes em débito com a Fazenda estadual.</w:t>
      </w:r>
    </w:p>
    <w:p w14:paraId="0C29E874"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Todavia, apesar da expressa vedação, a CGE apurou a existência de empresas inscritas na dívida ativa estadual e, concomitantemente, usufruindo os benefícios:</w:t>
      </w:r>
    </w:p>
    <w:p w14:paraId="3EC76183" w14:textId="77777777" w:rsidR="00F305AA" w:rsidRDefault="00F305AA" w:rsidP="00F305AA">
      <w:pPr>
        <w:spacing w:line="360" w:lineRule="auto"/>
        <w:ind w:firstLine="851"/>
        <w:jc w:val="both"/>
        <w:rPr>
          <w:rFonts w:ascii="Arial" w:hAnsi="Arial" w:cs="Arial"/>
          <w:sz w:val="24"/>
          <w:szCs w:val="24"/>
        </w:rPr>
      </w:pPr>
    </w:p>
    <w:p w14:paraId="01F4C159" w14:textId="77777777" w:rsidR="00F305AA" w:rsidRPr="0049138B" w:rsidRDefault="00F305AA" w:rsidP="00F305AA">
      <w:pPr>
        <w:ind w:left="2268"/>
        <w:jc w:val="both"/>
        <w:rPr>
          <w:rFonts w:ascii="Arial" w:hAnsi="Arial" w:cs="Arial"/>
          <w:sz w:val="22"/>
          <w:szCs w:val="24"/>
        </w:rPr>
      </w:pPr>
      <w:r w:rsidRPr="0049138B">
        <w:rPr>
          <w:rFonts w:ascii="Arial" w:hAnsi="Arial" w:cs="Arial"/>
          <w:sz w:val="22"/>
          <w:szCs w:val="24"/>
        </w:rPr>
        <w:t xml:space="preserve">Da relação de 26 empresas beneficiárias do Programa inscritas em dívida ativa sem suspensão de exigibilidade encaminhada pela Secretaria da Economia, verificou-se que 08 usufruíram o benefício mesmo após a </w:t>
      </w:r>
      <w:r w:rsidRPr="0049138B">
        <w:rPr>
          <w:rFonts w:ascii="Arial" w:hAnsi="Arial" w:cs="Arial"/>
          <w:sz w:val="22"/>
          <w:szCs w:val="24"/>
        </w:rPr>
        <w:lastRenderedPageBreak/>
        <w:t>inscrição, conforme exposto na Tabela 1, contrariando o disposto no art. 43, § 6º do Decreto nº 5.265/00</w:t>
      </w:r>
      <w:r>
        <w:rPr>
          <w:rFonts w:ascii="Arial" w:hAnsi="Arial" w:cs="Arial"/>
          <w:sz w:val="22"/>
          <w:szCs w:val="24"/>
        </w:rPr>
        <w:t xml:space="preserve"> [...]</w:t>
      </w:r>
      <w:r>
        <w:rPr>
          <w:rStyle w:val="Refdenotaderodap"/>
          <w:rFonts w:ascii="Arial" w:hAnsi="Arial" w:cs="Arial"/>
          <w:sz w:val="22"/>
          <w:szCs w:val="24"/>
        </w:rPr>
        <w:footnoteReference w:id="60"/>
      </w:r>
    </w:p>
    <w:p w14:paraId="25AA363F" w14:textId="77777777" w:rsidR="00F305AA" w:rsidRDefault="00F305AA" w:rsidP="00F305AA">
      <w:pPr>
        <w:spacing w:line="360" w:lineRule="auto"/>
        <w:ind w:firstLine="851"/>
        <w:jc w:val="both"/>
        <w:rPr>
          <w:rFonts w:ascii="Arial" w:hAnsi="Arial" w:cs="Arial"/>
          <w:sz w:val="24"/>
          <w:szCs w:val="24"/>
        </w:rPr>
      </w:pPr>
    </w:p>
    <w:p w14:paraId="0DEFCA3C" w14:textId="65691D73" w:rsidR="00F305AA" w:rsidRPr="00347465" w:rsidRDefault="00F305AA" w:rsidP="00F305AA">
      <w:pPr>
        <w:spacing w:line="360" w:lineRule="auto"/>
        <w:ind w:firstLine="851"/>
        <w:jc w:val="both"/>
        <w:rPr>
          <w:rFonts w:ascii="Arial" w:hAnsi="Arial" w:cs="Arial"/>
          <w:sz w:val="24"/>
          <w:szCs w:val="24"/>
        </w:rPr>
      </w:pPr>
      <w:r w:rsidRPr="00A47769">
        <w:rPr>
          <w:rFonts w:ascii="Arial" w:hAnsi="Arial" w:cs="Arial"/>
          <w:sz w:val="24"/>
          <w:szCs w:val="24"/>
        </w:rPr>
        <w:t>Sob</w:t>
      </w:r>
      <w:r>
        <w:rPr>
          <w:rFonts w:ascii="Arial" w:hAnsi="Arial" w:cs="Arial"/>
          <w:sz w:val="24"/>
          <w:szCs w:val="24"/>
        </w:rPr>
        <w:t>r</w:t>
      </w:r>
      <w:r w:rsidRPr="00A47769">
        <w:rPr>
          <w:rFonts w:ascii="Arial" w:hAnsi="Arial" w:cs="Arial"/>
          <w:sz w:val="24"/>
          <w:szCs w:val="24"/>
        </w:rPr>
        <w:t>e este tema, es</w:t>
      </w:r>
      <w:r>
        <w:rPr>
          <w:rFonts w:ascii="Arial" w:hAnsi="Arial" w:cs="Arial"/>
          <w:sz w:val="24"/>
          <w:szCs w:val="24"/>
        </w:rPr>
        <w:t>t</w:t>
      </w:r>
      <w:r w:rsidRPr="00A47769">
        <w:rPr>
          <w:rFonts w:ascii="Arial" w:hAnsi="Arial" w:cs="Arial"/>
          <w:sz w:val="24"/>
          <w:szCs w:val="24"/>
        </w:rPr>
        <w:t xml:space="preserve">a Comissão fez pesquisa </w:t>
      </w:r>
      <w:r>
        <w:rPr>
          <w:rFonts w:ascii="Arial" w:hAnsi="Arial" w:cs="Arial"/>
          <w:sz w:val="24"/>
          <w:szCs w:val="24"/>
        </w:rPr>
        <w:t>d</w:t>
      </w:r>
      <w:r w:rsidRPr="00A47769">
        <w:rPr>
          <w:rFonts w:ascii="Arial" w:hAnsi="Arial" w:cs="Arial"/>
          <w:sz w:val="24"/>
          <w:szCs w:val="24"/>
        </w:rPr>
        <w:t>a situação fiscal das empresas ativas nos programas FOMENTAR ou PRODUZIR, apurando que</w:t>
      </w:r>
      <w:r>
        <w:rPr>
          <w:rFonts w:ascii="Arial" w:hAnsi="Arial" w:cs="Arial"/>
          <w:sz w:val="24"/>
          <w:szCs w:val="24"/>
        </w:rPr>
        <w:t xml:space="preserve">, na data da pesquisa, </w:t>
      </w:r>
      <w:r w:rsidRPr="00A47769">
        <w:rPr>
          <w:rFonts w:ascii="Arial" w:hAnsi="Arial" w:cs="Arial"/>
          <w:b/>
          <w:sz w:val="24"/>
          <w:szCs w:val="24"/>
        </w:rPr>
        <w:t xml:space="preserve">havia </w:t>
      </w:r>
      <w:r>
        <w:rPr>
          <w:rFonts w:ascii="Arial" w:hAnsi="Arial" w:cs="Arial"/>
          <w:b/>
          <w:sz w:val="24"/>
          <w:szCs w:val="24"/>
        </w:rPr>
        <w:t>81</w:t>
      </w:r>
      <w:r w:rsidRPr="00A47769">
        <w:rPr>
          <w:rFonts w:ascii="Arial" w:hAnsi="Arial" w:cs="Arial"/>
          <w:b/>
          <w:sz w:val="24"/>
          <w:szCs w:val="24"/>
        </w:rPr>
        <w:t xml:space="preserve"> (</w:t>
      </w:r>
      <w:r>
        <w:rPr>
          <w:rFonts w:ascii="Arial" w:hAnsi="Arial" w:cs="Arial"/>
          <w:b/>
          <w:sz w:val="24"/>
          <w:szCs w:val="24"/>
        </w:rPr>
        <w:t>oi</w:t>
      </w:r>
      <w:r w:rsidRPr="00A47769">
        <w:rPr>
          <w:rFonts w:ascii="Arial" w:hAnsi="Arial" w:cs="Arial"/>
          <w:b/>
          <w:sz w:val="24"/>
          <w:szCs w:val="24"/>
        </w:rPr>
        <w:t xml:space="preserve">tenta e </w:t>
      </w:r>
      <w:r>
        <w:rPr>
          <w:rFonts w:ascii="Arial" w:hAnsi="Arial" w:cs="Arial"/>
          <w:b/>
          <w:sz w:val="24"/>
          <w:szCs w:val="24"/>
        </w:rPr>
        <w:t>uma</w:t>
      </w:r>
      <w:r w:rsidRPr="00A47769">
        <w:rPr>
          <w:rFonts w:ascii="Arial" w:hAnsi="Arial" w:cs="Arial"/>
          <w:b/>
          <w:sz w:val="24"/>
          <w:szCs w:val="24"/>
        </w:rPr>
        <w:t>) empresas ativas no FOMENTAR ou PRODUZIR com certidões positivas de débito perante a Fazenda estadual</w:t>
      </w:r>
      <w:r w:rsidR="00347465">
        <w:rPr>
          <w:rFonts w:ascii="Arial" w:hAnsi="Arial" w:cs="Arial"/>
          <w:sz w:val="24"/>
          <w:szCs w:val="24"/>
        </w:rPr>
        <w:t>, conforme relação apresentada no capítulo 8 deste Relatório.</w:t>
      </w:r>
    </w:p>
    <w:p w14:paraId="5BD5B0A9"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Evidencia-se, dessa forma, flagrante descumprimento às normas que regem a matéria e, novamente, a deficiência de gestão/controle dos programas FOMENTAR e PRODUZIR.</w:t>
      </w:r>
    </w:p>
    <w:p w14:paraId="2FE7349D" w14:textId="77777777" w:rsidR="00F305AA" w:rsidRDefault="00F305AA" w:rsidP="00F305AA">
      <w:pPr>
        <w:spacing w:line="360" w:lineRule="auto"/>
        <w:ind w:firstLine="851"/>
        <w:jc w:val="both"/>
        <w:rPr>
          <w:rFonts w:ascii="Arial" w:hAnsi="Arial" w:cs="Arial"/>
          <w:sz w:val="24"/>
          <w:szCs w:val="24"/>
        </w:rPr>
      </w:pPr>
    </w:p>
    <w:p w14:paraId="53DA301E" w14:textId="559DCED9" w:rsidR="00F305AA" w:rsidRPr="00783461" w:rsidRDefault="00F305AA" w:rsidP="00F305AA">
      <w:pPr>
        <w:spacing w:line="360" w:lineRule="auto"/>
        <w:ind w:firstLine="851"/>
        <w:jc w:val="both"/>
        <w:rPr>
          <w:rFonts w:ascii="Arial" w:hAnsi="Arial" w:cs="Arial"/>
          <w:b/>
          <w:sz w:val="24"/>
          <w:szCs w:val="24"/>
        </w:rPr>
      </w:pPr>
      <w:r w:rsidRPr="00783461">
        <w:rPr>
          <w:rFonts w:ascii="Arial" w:hAnsi="Arial" w:cs="Arial"/>
          <w:b/>
          <w:bCs/>
          <w:sz w:val="24"/>
          <w:szCs w:val="24"/>
        </w:rPr>
        <w:t>6.2.2.6</w:t>
      </w:r>
      <w:r w:rsidRPr="00783461">
        <w:rPr>
          <w:rFonts w:ascii="Arial" w:hAnsi="Arial" w:cs="Arial"/>
          <w:b/>
          <w:sz w:val="24"/>
          <w:szCs w:val="24"/>
        </w:rPr>
        <w:t xml:space="preserve"> </w:t>
      </w:r>
      <w:r w:rsidR="00783461">
        <w:rPr>
          <w:rFonts w:ascii="Arial" w:hAnsi="Arial" w:cs="Arial"/>
          <w:b/>
          <w:sz w:val="24"/>
          <w:szCs w:val="24"/>
        </w:rPr>
        <w:t xml:space="preserve">– </w:t>
      </w:r>
      <w:r w:rsidRPr="00783461">
        <w:rPr>
          <w:rFonts w:ascii="Arial" w:hAnsi="Arial" w:cs="Arial"/>
          <w:b/>
          <w:sz w:val="24"/>
          <w:szCs w:val="24"/>
        </w:rPr>
        <w:t>Ausência de fiscalização quanto à subvenção para investimento</w:t>
      </w:r>
    </w:p>
    <w:p w14:paraId="1C7647BA" w14:textId="77777777" w:rsidR="00783461" w:rsidRPr="00FA5CAB" w:rsidRDefault="00783461" w:rsidP="00F305AA">
      <w:pPr>
        <w:spacing w:line="360" w:lineRule="auto"/>
        <w:ind w:firstLine="851"/>
        <w:jc w:val="both"/>
        <w:rPr>
          <w:rFonts w:ascii="Arial" w:hAnsi="Arial" w:cs="Arial"/>
          <w:sz w:val="24"/>
          <w:szCs w:val="24"/>
        </w:rPr>
      </w:pPr>
    </w:p>
    <w:p w14:paraId="7474DADE" w14:textId="03116779"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Preveem o § 1º do art. 1º da Lei n</w:t>
      </w:r>
      <w:r w:rsidR="00783461">
        <w:rPr>
          <w:rFonts w:ascii="Arial" w:hAnsi="Arial" w:cs="Arial"/>
          <w:sz w:val="24"/>
          <w:szCs w:val="24"/>
        </w:rPr>
        <w:t>º</w:t>
      </w:r>
      <w:r>
        <w:rPr>
          <w:rFonts w:ascii="Arial" w:hAnsi="Arial" w:cs="Arial"/>
          <w:sz w:val="24"/>
          <w:szCs w:val="24"/>
        </w:rPr>
        <w:t xml:space="preserve"> 13.436, de 30 de dezembro de 1998, e o inciso VII do art. 20 da Lei n</w:t>
      </w:r>
      <w:r w:rsidR="00783461">
        <w:rPr>
          <w:rFonts w:ascii="Arial" w:hAnsi="Arial" w:cs="Arial"/>
          <w:sz w:val="24"/>
          <w:szCs w:val="24"/>
        </w:rPr>
        <w:t>º</w:t>
      </w:r>
      <w:r>
        <w:rPr>
          <w:rFonts w:ascii="Arial" w:hAnsi="Arial" w:cs="Arial"/>
          <w:sz w:val="24"/>
          <w:szCs w:val="24"/>
        </w:rPr>
        <w:t xml:space="preserve"> 13.591, de 2000, respectivamente:</w:t>
      </w:r>
    </w:p>
    <w:p w14:paraId="41FD6D09" w14:textId="77777777" w:rsidR="00F305AA" w:rsidRDefault="00F305AA" w:rsidP="00F305AA">
      <w:pPr>
        <w:spacing w:line="360" w:lineRule="auto"/>
        <w:ind w:firstLine="851"/>
        <w:jc w:val="both"/>
        <w:rPr>
          <w:rFonts w:ascii="Arial" w:hAnsi="Arial" w:cs="Arial"/>
          <w:sz w:val="24"/>
          <w:szCs w:val="24"/>
        </w:rPr>
      </w:pPr>
    </w:p>
    <w:p w14:paraId="324CCBCF" w14:textId="77777777" w:rsidR="00F305AA" w:rsidRPr="00E35046" w:rsidRDefault="00F305AA" w:rsidP="00F305AA">
      <w:pPr>
        <w:ind w:left="2268"/>
        <w:jc w:val="both"/>
        <w:rPr>
          <w:rFonts w:ascii="Arial" w:hAnsi="Arial" w:cs="Arial"/>
          <w:sz w:val="22"/>
          <w:szCs w:val="24"/>
        </w:rPr>
      </w:pPr>
      <w:r w:rsidRPr="00E35046">
        <w:rPr>
          <w:rFonts w:ascii="Arial" w:hAnsi="Arial" w:cs="Arial"/>
          <w:sz w:val="22"/>
          <w:szCs w:val="24"/>
        </w:rPr>
        <w:t>Art. 1º [...]</w:t>
      </w:r>
    </w:p>
    <w:p w14:paraId="4733A05C" w14:textId="77777777" w:rsidR="00F305AA" w:rsidRPr="00E35046" w:rsidRDefault="00F305AA" w:rsidP="00F305AA">
      <w:pPr>
        <w:ind w:left="2268"/>
        <w:jc w:val="both"/>
        <w:rPr>
          <w:rFonts w:ascii="Arial" w:hAnsi="Arial" w:cs="Arial"/>
          <w:sz w:val="22"/>
          <w:szCs w:val="24"/>
        </w:rPr>
      </w:pPr>
      <w:r w:rsidRPr="00E35046">
        <w:rPr>
          <w:rFonts w:ascii="Arial" w:hAnsi="Arial" w:cs="Arial"/>
          <w:sz w:val="22"/>
          <w:szCs w:val="24"/>
        </w:rPr>
        <w:t>§ 1º A pessoa jurídica titular de estabelecimento beneficiário do incentivo do Fundo de Participação e Fomento à Industrialização do Estado de Goiás - FOMENTAR, aplicará o montante equivalente ao desconto obtido com a quitação antecipada do contrato de financiamento firmado com o mesmo Fundo, representado por seu agente financeiro, nos termos deste artigo, na ampliação e/ou na modernização do seu parque industrial incentivado dentro do prazo máximo de 20 (vinte) anos, a contar da data da realização do leilão respectivo.</w:t>
      </w:r>
    </w:p>
    <w:p w14:paraId="229BD34C" w14:textId="77777777" w:rsidR="00F305AA" w:rsidRDefault="00F305AA" w:rsidP="00F305AA">
      <w:pPr>
        <w:spacing w:line="360" w:lineRule="auto"/>
        <w:ind w:firstLine="851"/>
        <w:jc w:val="both"/>
        <w:rPr>
          <w:rFonts w:ascii="Arial" w:hAnsi="Arial" w:cs="Arial"/>
          <w:sz w:val="24"/>
          <w:szCs w:val="24"/>
        </w:rPr>
      </w:pPr>
    </w:p>
    <w:p w14:paraId="4F05D756" w14:textId="77777777" w:rsidR="00F305AA" w:rsidRPr="00E35046" w:rsidRDefault="00F305AA" w:rsidP="00F305AA">
      <w:pPr>
        <w:ind w:left="2268"/>
        <w:jc w:val="both"/>
        <w:rPr>
          <w:rFonts w:ascii="Arial" w:hAnsi="Arial" w:cs="Arial"/>
          <w:sz w:val="22"/>
          <w:szCs w:val="24"/>
        </w:rPr>
      </w:pPr>
      <w:r w:rsidRPr="00E35046">
        <w:rPr>
          <w:rFonts w:ascii="Arial" w:hAnsi="Arial" w:cs="Arial"/>
          <w:sz w:val="22"/>
          <w:szCs w:val="24"/>
        </w:rPr>
        <w:t>Art. 20. [...]</w:t>
      </w:r>
    </w:p>
    <w:p w14:paraId="2E22D815" w14:textId="77777777" w:rsidR="00F305AA" w:rsidRPr="00E35046" w:rsidRDefault="00F305AA" w:rsidP="00F305AA">
      <w:pPr>
        <w:ind w:left="2268"/>
        <w:jc w:val="both"/>
        <w:rPr>
          <w:rFonts w:ascii="Arial" w:hAnsi="Arial" w:cs="Arial"/>
          <w:sz w:val="22"/>
          <w:szCs w:val="24"/>
        </w:rPr>
      </w:pPr>
      <w:r w:rsidRPr="00E35046">
        <w:rPr>
          <w:rFonts w:ascii="Arial" w:hAnsi="Arial" w:cs="Arial"/>
          <w:sz w:val="22"/>
          <w:szCs w:val="24"/>
        </w:rPr>
        <w:t>VII - a título de subvenção para investimento, poderá ser concedido um desconto de até 100% (cem por cento) sobre o valor do saldo devedor do financiamento, previsto neste artigo, desde que atendido o seguinte:</w:t>
      </w:r>
    </w:p>
    <w:p w14:paraId="09C86F4E" w14:textId="77777777" w:rsidR="00F305AA" w:rsidRPr="00E35046" w:rsidRDefault="00F305AA" w:rsidP="00F305AA">
      <w:pPr>
        <w:ind w:left="2268"/>
        <w:jc w:val="both"/>
        <w:rPr>
          <w:rFonts w:ascii="Arial" w:hAnsi="Arial" w:cs="Arial"/>
          <w:sz w:val="22"/>
          <w:szCs w:val="24"/>
        </w:rPr>
      </w:pPr>
      <w:r w:rsidRPr="00E35046">
        <w:rPr>
          <w:rFonts w:ascii="Arial" w:hAnsi="Arial" w:cs="Arial"/>
          <w:sz w:val="22"/>
          <w:szCs w:val="24"/>
        </w:rPr>
        <w:t>a) o montante equivalente ao desconto obtido deverá ser utilizado em ampliação ou na modernização do parque industrial do estabelecimento beneficiário do financiamento, dentro do prazo de até 20 (vinte) anos, a contar da quitação do saldo devedor respectivo;</w:t>
      </w:r>
    </w:p>
    <w:p w14:paraId="6962B65C" w14:textId="77777777" w:rsidR="00F305AA" w:rsidRPr="00E35046" w:rsidRDefault="00F305AA" w:rsidP="00F305AA">
      <w:pPr>
        <w:ind w:left="2268"/>
        <w:jc w:val="both"/>
        <w:rPr>
          <w:rFonts w:ascii="Arial" w:hAnsi="Arial" w:cs="Arial"/>
          <w:sz w:val="22"/>
          <w:szCs w:val="24"/>
        </w:rPr>
      </w:pPr>
      <w:r w:rsidRPr="00E35046">
        <w:rPr>
          <w:rFonts w:ascii="Arial" w:hAnsi="Arial" w:cs="Arial"/>
          <w:sz w:val="22"/>
          <w:szCs w:val="24"/>
        </w:rPr>
        <w:t xml:space="preserve">b) o montante equivalente ao desconto obtido, aplicado na forma indicada na alínea "a", poderá ser incorporado ao capital social da pessoa jurídica titular do estabelecimento beneficiário do financiamento, ou mantido em conta de reserva para futuros aumentos de capital, vedada sua </w:t>
      </w:r>
      <w:r w:rsidRPr="00E35046">
        <w:rPr>
          <w:rFonts w:ascii="Arial" w:hAnsi="Arial" w:cs="Arial"/>
          <w:sz w:val="22"/>
          <w:szCs w:val="24"/>
        </w:rPr>
        <w:lastRenderedPageBreak/>
        <w:t>destinação para distribuição de dividendos ou qualquer outra parcela a título de lucro;</w:t>
      </w:r>
    </w:p>
    <w:p w14:paraId="0AFADC04" w14:textId="77777777" w:rsidR="00F305AA" w:rsidRDefault="00F305AA" w:rsidP="00F305AA">
      <w:pPr>
        <w:spacing w:line="360" w:lineRule="auto"/>
        <w:ind w:firstLine="851"/>
        <w:jc w:val="both"/>
        <w:rPr>
          <w:rFonts w:ascii="Arial" w:hAnsi="Arial" w:cs="Arial"/>
          <w:sz w:val="24"/>
          <w:szCs w:val="24"/>
        </w:rPr>
      </w:pPr>
    </w:p>
    <w:p w14:paraId="54D72AD7" w14:textId="6BC5F0E5"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 ainda, dispõe o art. 4º da Lei n</w:t>
      </w:r>
      <w:r w:rsidR="00783461">
        <w:rPr>
          <w:rFonts w:ascii="Arial" w:hAnsi="Arial" w:cs="Arial"/>
          <w:sz w:val="24"/>
          <w:szCs w:val="24"/>
        </w:rPr>
        <w:t>º</w:t>
      </w:r>
      <w:r>
        <w:rPr>
          <w:rFonts w:ascii="Arial" w:hAnsi="Arial" w:cs="Arial"/>
          <w:sz w:val="24"/>
          <w:szCs w:val="24"/>
        </w:rPr>
        <w:t xml:space="preserve"> 15.518, de 5 de janeiro de 2006:</w:t>
      </w:r>
    </w:p>
    <w:p w14:paraId="5D936C72" w14:textId="77777777" w:rsidR="00F305AA" w:rsidRDefault="00F305AA" w:rsidP="00F305AA">
      <w:pPr>
        <w:spacing w:line="360" w:lineRule="auto"/>
        <w:ind w:firstLine="851"/>
        <w:jc w:val="both"/>
        <w:rPr>
          <w:rFonts w:ascii="Arial" w:hAnsi="Arial" w:cs="Arial"/>
          <w:sz w:val="24"/>
          <w:szCs w:val="24"/>
        </w:rPr>
      </w:pPr>
    </w:p>
    <w:p w14:paraId="7BB4324B" w14:textId="77777777" w:rsidR="00F305AA" w:rsidRPr="00E35046" w:rsidRDefault="00F305AA" w:rsidP="00F305AA">
      <w:pPr>
        <w:ind w:left="2268"/>
        <w:jc w:val="both"/>
        <w:rPr>
          <w:rFonts w:ascii="Arial" w:hAnsi="Arial" w:cs="Arial"/>
          <w:sz w:val="22"/>
          <w:szCs w:val="24"/>
        </w:rPr>
      </w:pPr>
      <w:r w:rsidRPr="00E35046">
        <w:rPr>
          <w:rFonts w:ascii="Arial" w:hAnsi="Arial" w:cs="Arial"/>
          <w:sz w:val="22"/>
          <w:szCs w:val="24"/>
        </w:rPr>
        <w:t>Art. 4º Com a incorporação, ao capital social da empresa do montante mencionado nº § 1º do art. 1º da Lei nº 13.436, de 30 de dezembro de 1998, e no inciso VII do art. 20 da Lei nº 13.591, de 18 de janeiro de 2000, ambas com alterações posteriores, e o cumprimento das obrigações assumidas nos projetos inicial e subseq</w:t>
      </w:r>
      <w:r>
        <w:rPr>
          <w:rFonts w:ascii="Arial" w:hAnsi="Arial" w:cs="Arial"/>
          <w:sz w:val="22"/>
          <w:szCs w:val="24"/>
        </w:rPr>
        <w:t>u</w:t>
      </w:r>
      <w:r w:rsidRPr="00E35046">
        <w:rPr>
          <w:rFonts w:ascii="Arial" w:hAnsi="Arial" w:cs="Arial"/>
          <w:sz w:val="22"/>
          <w:szCs w:val="24"/>
        </w:rPr>
        <w:t>entes, aprovados pelo FOMENTAR ou pelo PRODUZIR, a pessoa jurídica titular de estabelecimento beneficiário dos incentivos de um desses Programas fica desonerada de qualquer outra comprovação perante o Estado de Goiás.</w:t>
      </w:r>
    </w:p>
    <w:p w14:paraId="4AFA6221" w14:textId="77777777" w:rsidR="00F305AA" w:rsidRDefault="00F305AA" w:rsidP="00F305AA">
      <w:pPr>
        <w:spacing w:line="360" w:lineRule="auto"/>
        <w:ind w:firstLine="851"/>
        <w:jc w:val="both"/>
        <w:rPr>
          <w:rFonts w:ascii="Arial" w:hAnsi="Arial" w:cs="Arial"/>
          <w:sz w:val="24"/>
          <w:szCs w:val="24"/>
        </w:rPr>
      </w:pPr>
    </w:p>
    <w:p w14:paraId="029361A3"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Contudo, apesar das explícitas vedações, a CGE apurou que:</w:t>
      </w:r>
    </w:p>
    <w:p w14:paraId="6B154EED" w14:textId="77777777" w:rsidR="00F305AA" w:rsidRDefault="00F305AA" w:rsidP="00F305AA">
      <w:pPr>
        <w:spacing w:line="360" w:lineRule="auto"/>
        <w:ind w:firstLine="851"/>
        <w:jc w:val="both"/>
        <w:rPr>
          <w:rFonts w:ascii="Arial" w:hAnsi="Arial" w:cs="Arial"/>
          <w:sz w:val="24"/>
          <w:szCs w:val="24"/>
        </w:rPr>
      </w:pPr>
    </w:p>
    <w:p w14:paraId="2B81DA74" w14:textId="77777777" w:rsidR="00F305AA" w:rsidRPr="00D61737" w:rsidRDefault="00F305AA" w:rsidP="00F305AA">
      <w:pPr>
        <w:ind w:left="2268"/>
        <w:jc w:val="both"/>
        <w:rPr>
          <w:rFonts w:ascii="Arial" w:hAnsi="Arial" w:cs="Arial"/>
          <w:sz w:val="22"/>
          <w:szCs w:val="24"/>
        </w:rPr>
      </w:pPr>
      <w:r w:rsidRPr="00D61737">
        <w:rPr>
          <w:rFonts w:ascii="Arial" w:hAnsi="Arial" w:cs="Arial"/>
          <w:sz w:val="22"/>
          <w:szCs w:val="24"/>
        </w:rPr>
        <w:t>Após o período de 12 meses de fruição do benefício pelas empresas, a Secretaria de Estado da Economia realiza a avaliação anual de desempenho (auditoria de quitação) com objetivo de verificar o grau de cumprimento dos fatores de desconto indicados no projeto e de apurar o percentual de desconto sobre o saldo devedor do financiamento a que a empresa tem direito. Esse desconto é concedido a título de subvenção para investimento, devendo ser utilizado na ampliação e modernização do parque industrial da empresa.</w:t>
      </w:r>
    </w:p>
    <w:p w14:paraId="2FA66464" w14:textId="750D0761" w:rsidR="00F305AA" w:rsidRPr="00D61737" w:rsidRDefault="00F305AA" w:rsidP="00F305AA">
      <w:pPr>
        <w:ind w:left="2268"/>
        <w:jc w:val="both"/>
        <w:rPr>
          <w:rFonts w:ascii="Arial" w:hAnsi="Arial" w:cs="Arial"/>
          <w:sz w:val="22"/>
          <w:szCs w:val="24"/>
        </w:rPr>
      </w:pPr>
      <w:r w:rsidRPr="00D61737">
        <w:rPr>
          <w:rFonts w:ascii="Arial" w:hAnsi="Arial" w:cs="Arial"/>
          <w:sz w:val="22"/>
          <w:szCs w:val="24"/>
        </w:rPr>
        <w:t>A Gerência de Controle de Benefícios e Incentivos Fiscais da S</w:t>
      </w:r>
      <w:r w:rsidR="00084F97">
        <w:rPr>
          <w:rFonts w:ascii="Arial" w:hAnsi="Arial" w:cs="Arial"/>
          <w:sz w:val="22"/>
          <w:szCs w:val="24"/>
        </w:rPr>
        <w:t xml:space="preserve">ecretaria da Economia informou [...] </w:t>
      </w:r>
      <w:r w:rsidRPr="00D61737">
        <w:rPr>
          <w:rFonts w:ascii="Arial" w:hAnsi="Arial" w:cs="Arial"/>
          <w:sz w:val="22"/>
          <w:szCs w:val="24"/>
        </w:rPr>
        <w:t>que não são exigíveis documentos comprobatórios da aplicação pelas empresas do desconto concedido a título de subvenção para investimento, nos termos do art. 4º da Lei nº 15.518/06:</w:t>
      </w:r>
    </w:p>
    <w:p w14:paraId="1D661869" w14:textId="77777777" w:rsidR="00F305AA" w:rsidRPr="00D61737" w:rsidRDefault="00F305AA" w:rsidP="00F305AA">
      <w:pPr>
        <w:ind w:left="2835"/>
        <w:jc w:val="both"/>
        <w:rPr>
          <w:rFonts w:ascii="Arial" w:hAnsi="Arial" w:cs="Arial"/>
          <w:sz w:val="22"/>
          <w:szCs w:val="24"/>
        </w:rPr>
      </w:pPr>
      <w:r w:rsidRPr="00D61737">
        <w:rPr>
          <w:rFonts w:ascii="Arial" w:hAnsi="Arial" w:cs="Arial"/>
          <w:sz w:val="22"/>
          <w:szCs w:val="24"/>
        </w:rPr>
        <w:t>Com a incorporação, ao capital social da empresa do montante mencionado no § 1º do art. 1º da Lei nº 13.436, de 30 de dezembro de 1998, e no inciso VII do art. 20 da Lei nº 13.591 de 18 de janeiro de 2000, ambas com alterações posteriores, e o cumprimento das obrigações assumidas nos projetos inicial e subsequentes, aprovados pelo FOMENTAR ou pelo PRODUZIR, a pessoa jurídica titular de estabelecimento beneficiário dos incentivos de um desses Programas fica desonerada de qualquer outra comprovação perante o Estado de Goiás.</w:t>
      </w:r>
    </w:p>
    <w:p w14:paraId="70C343F1" w14:textId="77777777" w:rsidR="00F305AA" w:rsidRPr="00D61737" w:rsidRDefault="00F305AA" w:rsidP="00F305AA">
      <w:pPr>
        <w:ind w:left="2268"/>
        <w:jc w:val="both"/>
        <w:rPr>
          <w:rFonts w:ascii="Arial" w:hAnsi="Arial" w:cs="Arial"/>
          <w:sz w:val="22"/>
          <w:szCs w:val="24"/>
        </w:rPr>
      </w:pPr>
      <w:r w:rsidRPr="00D61737">
        <w:rPr>
          <w:rFonts w:ascii="Arial" w:hAnsi="Arial" w:cs="Arial"/>
          <w:sz w:val="22"/>
          <w:szCs w:val="24"/>
        </w:rPr>
        <w:t>Além disso, informou que o montante equivalente ao desconto concedido pode ser incorporado ao capital social ou mantido em conta de reserva para futuros aumentos de capital, vedada sua destinação para distribuição de dividendos ou qualquer outra parcela a título de lucro, nos termos do art. 20, inciso VII, alínea b, da Lei nº 13.591/2000.</w:t>
      </w:r>
    </w:p>
    <w:p w14:paraId="0E125F8D" w14:textId="77777777" w:rsidR="00F305AA" w:rsidRPr="00D61737" w:rsidRDefault="00F305AA" w:rsidP="00F305AA">
      <w:pPr>
        <w:ind w:left="2268"/>
        <w:jc w:val="both"/>
        <w:rPr>
          <w:rFonts w:ascii="Arial" w:hAnsi="Arial" w:cs="Arial"/>
          <w:sz w:val="22"/>
          <w:szCs w:val="24"/>
        </w:rPr>
      </w:pPr>
      <w:r w:rsidRPr="00D61737">
        <w:rPr>
          <w:rFonts w:ascii="Arial" w:hAnsi="Arial" w:cs="Arial"/>
          <w:sz w:val="22"/>
          <w:szCs w:val="24"/>
        </w:rPr>
        <w:t xml:space="preserve">Observa-se que a legislação deixa claro que, </w:t>
      </w:r>
      <w:r w:rsidRPr="00D61737">
        <w:rPr>
          <w:rFonts w:ascii="Arial" w:hAnsi="Arial" w:cs="Arial"/>
          <w:sz w:val="22"/>
          <w:szCs w:val="24"/>
          <w:u w:val="single"/>
        </w:rPr>
        <w:t>desde que incorporado o montante do desconto ao capital social</w:t>
      </w:r>
      <w:r w:rsidRPr="00D61737">
        <w:rPr>
          <w:rFonts w:ascii="Arial" w:hAnsi="Arial" w:cs="Arial"/>
          <w:sz w:val="22"/>
          <w:szCs w:val="24"/>
        </w:rPr>
        <w:t xml:space="preserve">, a empresa não precisa apresentar qualquer outra documentação. Assim, para que não sejam exigíveis outras comprovações, é necessário que o recurso seja devidamente contabilizado. No entanto, não se verificou a existência de </w:t>
      </w:r>
      <w:r w:rsidRPr="00D61737">
        <w:rPr>
          <w:rFonts w:ascii="Arial" w:hAnsi="Arial" w:cs="Arial"/>
          <w:sz w:val="22"/>
          <w:szCs w:val="24"/>
        </w:rPr>
        <w:lastRenderedPageBreak/>
        <w:t>procedimentos de fiscalização por parte da Secretaria da Economia no que tange à correta contabilização dos valores de desconto concedidos a título de subvenção para investimento.</w:t>
      </w:r>
    </w:p>
    <w:p w14:paraId="71E86662" w14:textId="77777777" w:rsidR="00F305AA" w:rsidRPr="00D61737" w:rsidRDefault="00F305AA" w:rsidP="00F305AA">
      <w:pPr>
        <w:ind w:left="2268"/>
        <w:jc w:val="both"/>
        <w:rPr>
          <w:rFonts w:ascii="Arial" w:hAnsi="Arial" w:cs="Arial"/>
          <w:sz w:val="22"/>
          <w:szCs w:val="24"/>
        </w:rPr>
      </w:pPr>
      <w:r w:rsidRPr="00D61737">
        <w:rPr>
          <w:rFonts w:ascii="Arial" w:hAnsi="Arial" w:cs="Arial"/>
          <w:sz w:val="22"/>
          <w:szCs w:val="24"/>
        </w:rPr>
        <w:t>Ressalta-se que o decreto que regulamenta o programa (Decreto nº 5.256/00), estabelece no art. 41, § 1º, inciso II, que compete à Auditoria Interna de Controle, integrada à Secretaria da Economia, realizar a análise na escrita fiscal e contábil do beneficiário do programa.</w:t>
      </w:r>
      <w:r>
        <w:rPr>
          <w:rStyle w:val="Refdenotaderodap"/>
          <w:rFonts w:ascii="Arial" w:hAnsi="Arial" w:cs="Arial"/>
          <w:sz w:val="22"/>
          <w:szCs w:val="24"/>
        </w:rPr>
        <w:footnoteReference w:id="61"/>
      </w:r>
    </w:p>
    <w:p w14:paraId="7BACA659" w14:textId="77777777" w:rsidR="00F305AA" w:rsidRDefault="00F305AA" w:rsidP="00F305AA">
      <w:pPr>
        <w:spacing w:line="360" w:lineRule="auto"/>
        <w:ind w:firstLine="851"/>
        <w:jc w:val="both"/>
        <w:rPr>
          <w:rFonts w:ascii="Arial" w:hAnsi="Arial" w:cs="Arial"/>
          <w:sz w:val="24"/>
          <w:szCs w:val="24"/>
        </w:rPr>
      </w:pPr>
    </w:p>
    <w:p w14:paraId="2976A223"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Portanto, resta evidenciada a necessidade de implementar efetiva fiscalização em relação a esta norma, de forma a obstar que os benefícios fiscais concedidos pelos Estado tenham destinação diversa do desenvolvimento e geração de emprego e renda em Goiás.</w:t>
      </w:r>
    </w:p>
    <w:p w14:paraId="4736F1A8" w14:textId="6DEE07B5" w:rsidR="00F305AA" w:rsidRDefault="00F305AA" w:rsidP="00F305AA">
      <w:pPr>
        <w:spacing w:line="360" w:lineRule="auto"/>
        <w:ind w:firstLine="851"/>
        <w:jc w:val="both"/>
        <w:rPr>
          <w:rFonts w:ascii="Arial" w:hAnsi="Arial" w:cs="Arial"/>
          <w:sz w:val="24"/>
          <w:szCs w:val="24"/>
        </w:rPr>
      </w:pPr>
      <w:r w:rsidRPr="00ED3D34">
        <w:rPr>
          <w:rFonts w:ascii="Arial" w:hAnsi="Arial" w:cs="Arial"/>
          <w:sz w:val="24"/>
          <w:szCs w:val="24"/>
        </w:rPr>
        <w:t xml:space="preserve">Destaca-se que a </w:t>
      </w:r>
      <w:r w:rsidRPr="001D55CA">
        <w:rPr>
          <w:rFonts w:ascii="Arial" w:hAnsi="Arial" w:cs="Arial"/>
          <w:b/>
          <w:sz w:val="24"/>
          <w:szCs w:val="24"/>
        </w:rPr>
        <w:t>Lei federal n</w:t>
      </w:r>
      <w:r w:rsidR="00783461">
        <w:rPr>
          <w:rFonts w:ascii="Arial" w:hAnsi="Arial" w:cs="Arial"/>
          <w:b/>
          <w:sz w:val="24"/>
          <w:szCs w:val="24"/>
        </w:rPr>
        <w:t>º</w:t>
      </w:r>
      <w:r w:rsidRPr="001D55CA">
        <w:rPr>
          <w:rFonts w:ascii="Arial" w:hAnsi="Arial" w:cs="Arial"/>
          <w:b/>
          <w:sz w:val="24"/>
          <w:szCs w:val="24"/>
        </w:rPr>
        <w:t xml:space="preserve"> 8.137, de 27 de dezembro de 1990</w:t>
      </w:r>
      <w:r>
        <w:rPr>
          <w:rFonts w:ascii="Arial" w:hAnsi="Arial" w:cs="Arial"/>
          <w:sz w:val="24"/>
          <w:szCs w:val="24"/>
        </w:rPr>
        <w:t>, que define crimes contra a ordem tributária e dá outras providências,</w:t>
      </w:r>
      <w:r w:rsidRPr="00ED3D34">
        <w:rPr>
          <w:rFonts w:ascii="Arial" w:hAnsi="Arial" w:cs="Arial"/>
          <w:sz w:val="24"/>
          <w:szCs w:val="24"/>
        </w:rPr>
        <w:t xml:space="preserve"> no </w:t>
      </w:r>
      <w:r w:rsidRPr="001D55CA">
        <w:rPr>
          <w:rFonts w:ascii="Arial" w:hAnsi="Arial" w:cs="Arial"/>
          <w:b/>
          <w:sz w:val="24"/>
          <w:szCs w:val="24"/>
        </w:rPr>
        <w:t>inciso IV de seu art. 2º</w:t>
      </w:r>
      <w:r w:rsidRPr="00ED3D34">
        <w:rPr>
          <w:rFonts w:ascii="Arial" w:hAnsi="Arial" w:cs="Arial"/>
          <w:sz w:val="24"/>
          <w:szCs w:val="24"/>
        </w:rPr>
        <w:t xml:space="preserve">, prevê como </w:t>
      </w:r>
      <w:r w:rsidRPr="001D55CA">
        <w:rPr>
          <w:rFonts w:ascii="Arial" w:hAnsi="Arial" w:cs="Arial"/>
          <w:b/>
          <w:sz w:val="24"/>
          <w:szCs w:val="24"/>
        </w:rPr>
        <w:t>crime contra a ordem tributária</w:t>
      </w:r>
      <w:r w:rsidRPr="00ED3D34">
        <w:rPr>
          <w:rFonts w:ascii="Arial" w:hAnsi="Arial" w:cs="Arial"/>
          <w:sz w:val="24"/>
          <w:szCs w:val="24"/>
        </w:rPr>
        <w:t xml:space="preserve"> o uso indevido de recursos oriundos de incentivos fiscais, tipo este a que pode se</w:t>
      </w:r>
      <w:r>
        <w:rPr>
          <w:rFonts w:ascii="Arial" w:hAnsi="Arial" w:cs="Arial"/>
          <w:sz w:val="24"/>
          <w:szCs w:val="24"/>
        </w:rPr>
        <w:t xml:space="preserve"> </w:t>
      </w:r>
      <w:r w:rsidRPr="00ED3D34">
        <w:rPr>
          <w:rFonts w:ascii="Arial" w:hAnsi="Arial" w:cs="Arial"/>
          <w:sz w:val="24"/>
          <w:szCs w:val="24"/>
        </w:rPr>
        <w:t xml:space="preserve">amoldar a conduta dos empresários que derem </w:t>
      </w:r>
      <w:r w:rsidRPr="00ED3D34">
        <w:rPr>
          <w:rFonts w:ascii="Arial" w:hAnsi="Arial" w:cs="Arial"/>
          <w:b/>
          <w:sz w:val="24"/>
          <w:szCs w:val="24"/>
        </w:rPr>
        <w:t>destinação diversa da exigida pelo ordenamento para os valores do desconto a título de subvenção para investimento</w:t>
      </w:r>
      <w:r>
        <w:rPr>
          <w:rFonts w:ascii="Arial" w:hAnsi="Arial" w:cs="Arial"/>
          <w:sz w:val="24"/>
          <w:szCs w:val="24"/>
        </w:rPr>
        <w:t>:</w:t>
      </w:r>
    </w:p>
    <w:p w14:paraId="21E184D0" w14:textId="77777777" w:rsidR="00F305AA" w:rsidRDefault="00F305AA" w:rsidP="00F305AA">
      <w:pPr>
        <w:spacing w:line="360" w:lineRule="auto"/>
        <w:ind w:firstLine="851"/>
        <w:jc w:val="both"/>
        <w:rPr>
          <w:rFonts w:ascii="Arial" w:hAnsi="Arial" w:cs="Arial"/>
          <w:sz w:val="24"/>
          <w:szCs w:val="24"/>
        </w:rPr>
      </w:pPr>
    </w:p>
    <w:p w14:paraId="63B0DDAD" w14:textId="77777777" w:rsidR="00F305AA" w:rsidRPr="00ED3D34" w:rsidRDefault="00F305AA" w:rsidP="00F305AA">
      <w:pPr>
        <w:pStyle w:val="NormalWeb"/>
        <w:spacing w:before="0" w:beforeAutospacing="0" w:after="0" w:afterAutospacing="0"/>
        <w:ind w:left="2268"/>
        <w:jc w:val="both"/>
        <w:rPr>
          <w:rFonts w:ascii="Arial" w:hAnsi="Arial" w:cs="Arial"/>
          <w:color w:val="000000"/>
          <w:sz w:val="22"/>
          <w:szCs w:val="22"/>
        </w:rPr>
      </w:pPr>
      <w:r w:rsidRPr="00ED3D34">
        <w:rPr>
          <w:rFonts w:ascii="Arial" w:hAnsi="Arial" w:cs="Arial"/>
          <w:color w:val="000000"/>
          <w:sz w:val="22"/>
          <w:szCs w:val="22"/>
        </w:rPr>
        <w:t>Art. 2° Constitui crime da mesma natureza:</w:t>
      </w:r>
    </w:p>
    <w:p w14:paraId="133525F2" w14:textId="77777777" w:rsidR="00F305AA" w:rsidRPr="00ED3D34" w:rsidRDefault="00F305AA" w:rsidP="00F305AA">
      <w:pPr>
        <w:pStyle w:val="NormalWeb"/>
        <w:spacing w:before="0" w:beforeAutospacing="0" w:after="0" w:afterAutospacing="0"/>
        <w:ind w:left="2268"/>
        <w:jc w:val="both"/>
        <w:rPr>
          <w:rFonts w:ascii="Arial" w:hAnsi="Arial" w:cs="Arial"/>
          <w:color w:val="000000"/>
          <w:sz w:val="22"/>
          <w:szCs w:val="22"/>
        </w:rPr>
      </w:pPr>
      <w:bookmarkStart w:id="116" w:name="art2i"/>
      <w:bookmarkEnd w:id="116"/>
      <w:r>
        <w:rPr>
          <w:rFonts w:ascii="Arial" w:hAnsi="Arial" w:cs="Arial"/>
          <w:color w:val="000000"/>
          <w:sz w:val="22"/>
          <w:szCs w:val="22"/>
        </w:rPr>
        <w:t>[...]</w:t>
      </w:r>
    </w:p>
    <w:p w14:paraId="78FD5E32" w14:textId="77777777" w:rsidR="00F305AA" w:rsidRPr="00ED3D34" w:rsidRDefault="00F305AA" w:rsidP="00F305AA">
      <w:pPr>
        <w:pStyle w:val="NormalWeb"/>
        <w:spacing w:before="0" w:beforeAutospacing="0" w:after="0" w:afterAutospacing="0"/>
        <w:ind w:left="2268"/>
        <w:jc w:val="both"/>
        <w:rPr>
          <w:rFonts w:ascii="Arial" w:hAnsi="Arial" w:cs="Arial"/>
          <w:color w:val="000000"/>
          <w:sz w:val="22"/>
          <w:szCs w:val="22"/>
        </w:rPr>
      </w:pPr>
      <w:bookmarkStart w:id="117" w:name="art2iv"/>
      <w:bookmarkEnd w:id="117"/>
      <w:r w:rsidRPr="00ED3D34">
        <w:rPr>
          <w:rFonts w:ascii="Arial" w:hAnsi="Arial" w:cs="Arial"/>
          <w:color w:val="000000"/>
          <w:sz w:val="22"/>
          <w:szCs w:val="22"/>
        </w:rPr>
        <w:t>IV - deixar de aplicar, ou aplicar em desacordo com o estatuído, incentivo fiscal ou parcelas de imposto liberadas por órgão ou entidade de desenvolvimento;</w:t>
      </w:r>
    </w:p>
    <w:p w14:paraId="2B13A797" w14:textId="77777777" w:rsidR="00F305AA" w:rsidRPr="00ED3D34" w:rsidRDefault="00F305AA" w:rsidP="00F305AA">
      <w:pPr>
        <w:pStyle w:val="NormalWeb"/>
        <w:spacing w:before="0" w:beforeAutospacing="0" w:after="0" w:afterAutospacing="0"/>
        <w:ind w:left="2268"/>
        <w:jc w:val="both"/>
        <w:rPr>
          <w:rFonts w:ascii="Arial" w:hAnsi="Arial" w:cs="Arial"/>
          <w:color w:val="000000"/>
          <w:sz w:val="22"/>
          <w:szCs w:val="22"/>
        </w:rPr>
      </w:pPr>
      <w:bookmarkStart w:id="118" w:name="art2v"/>
      <w:bookmarkEnd w:id="118"/>
      <w:r>
        <w:rPr>
          <w:rFonts w:ascii="Arial" w:hAnsi="Arial" w:cs="Arial"/>
          <w:color w:val="000000"/>
          <w:sz w:val="22"/>
          <w:szCs w:val="22"/>
        </w:rPr>
        <w:t>[...]</w:t>
      </w:r>
    </w:p>
    <w:p w14:paraId="2C111669" w14:textId="77777777" w:rsidR="00F305AA" w:rsidRPr="00ED3D34" w:rsidRDefault="00F305AA" w:rsidP="00F305AA">
      <w:pPr>
        <w:pStyle w:val="NormalWeb"/>
        <w:spacing w:before="0" w:beforeAutospacing="0" w:after="0" w:afterAutospacing="0"/>
        <w:ind w:left="2268"/>
        <w:jc w:val="both"/>
        <w:rPr>
          <w:rFonts w:ascii="Arial" w:hAnsi="Arial" w:cs="Arial"/>
          <w:color w:val="000000"/>
          <w:sz w:val="22"/>
          <w:szCs w:val="22"/>
        </w:rPr>
      </w:pPr>
      <w:r w:rsidRPr="00ED3D34">
        <w:rPr>
          <w:rFonts w:ascii="Arial" w:hAnsi="Arial" w:cs="Arial"/>
          <w:color w:val="000000"/>
          <w:sz w:val="22"/>
          <w:szCs w:val="22"/>
        </w:rPr>
        <w:t>Pena - detenção, de 6 (seis) meses a 2 (dois) anos, e multa.</w:t>
      </w:r>
    </w:p>
    <w:p w14:paraId="269589B8" w14:textId="77777777" w:rsidR="00F305AA" w:rsidRDefault="00F305AA" w:rsidP="00F305AA">
      <w:pPr>
        <w:spacing w:line="360" w:lineRule="auto"/>
        <w:ind w:firstLine="851"/>
        <w:jc w:val="both"/>
        <w:rPr>
          <w:rFonts w:ascii="Arial" w:hAnsi="Arial" w:cs="Arial"/>
          <w:sz w:val="24"/>
          <w:szCs w:val="24"/>
        </w:rPr>
      </w:pPr>
    </w:p>
    <w:p w14:paraId="51D12DF0" w14:textId="77777777" w:rsidR="00F305AA" w:rsidRPr="00ED3D34" w:rsidRDefault="00F305AA" w:rsidP="00F305AA">
      <w:pPr>
        <w:spacing w:line="360" w:lineRule="auto"/>
        <w:ind w:firstLine="851"/>
        <w:jc w:val="both"/>
        <w:rPr>
          <w:rFonts w:ascii="Arial" w:hAnsi="Arial" w:cs="Arial"/>
          <w:sz w:val="24"/>
          <w:szCs w:val="24"/>
        </w:rPr>
      </w:pPr>
      <w:r w:rsidRPr="00ED3D34">
        <w:rPr>
          <w:rFonts w:ascii="Arial" w:hAnsi="Arial" w:cs="Arial"/>
          <w:sz w:val="24"/>
          <w:szCs w:val="24"/>
        </w:rPr>
        <w:t>Oportuna, portanto, a notificação aos órgãos de persecução criminal a fim de apurarem eventuais crimes.</w:t>
      </w:r>
    </w:p>
    <w:p w14:paraId="779313BD" w14:textId="77777777" w:rsidR="00F305AA" w:rsidRDefault="00F305AA" w:rsidP="00F305AA">
      <w:pPr>
        <w:spacing w:line="360" w:lineRule="auto"/>
        <w:ind w:firstLine="851"/>
        <w:jc w:val="both"/>
        <w:rPr>
          <w:rFonts w:ascii="Arial" w:hAnsi="Arial" w:cs="Arial"/>
          <w:sz w:val="24"/>
          <w:szCs w:val="24"/>
        </w:rPr>
      </w:pPr>
    </w:p>
    <w:p w14:paraId="606941E1" w14:textId="66763B1D" w:rsidR="00F305AA" w:rsidRDefault="00F305AA" w:rsidP="00F305AA">
      <w:pPr>
        <w:spacing w:line="360" w:lineRule="auto"/>
        <w:ind w:firstLine="851"/>
        <w:jc w:val="both"/>
        <w:rPr>
          <w:rFonts w:ascii="Arial" w:hAnsi="Arial" w:cs="Arial"/>
          <w:b/>
          <w:sz w:val="24"/>
          <w:szCs w:val="24"/>
        </w:rPr>
      </w:pPr>
      <w:r w:rsidRPr="00783461">
        <w:rPr>
          <w:rFonts w:ascii="Arial" w:hAnsi="Arial" w:cs="Arial"/>
          <w:b/>
          <w:bCs/>
          <w:sz w:val="24"/>
          <w:szCs w:val="24"/>
        </w:rPr>
        <w:t>6.2.2.7</w:t>
      </w:r>
      <w:r w:rsidRPr="00783461">
        <w:rPr>
          <w:rFonts w:ascii="Arial" w:hAnsi="Arial" w:cs="Arial"/>
          <w:b/>
          <w:sz w:val="24"/>
          <w:szCs w:val="24"/>
        </w:rPr>
        <w:t xml:space="preserve"> </w:t>
      </w:r>
      <w:r w:rsidR="00783461" w:rsidRPr="00783461">
        <w:rPr>
          <w:rFonts w:ascii="Arial" w:hAnsi="Arial" w:cs="Arial"/>
          <w:b/>
          <w:sz w:val="24"/>
          <w:szCs w:val="24"/>
        </w:rPr>
        <w:t xml:space="preserve">– </w:t>
      </w:r>
      <w:r w:rsidRPr="00783461">
        <w:rPr>
          <w:rFonts w:ascii="Arial" w:hAnsi="Arial" w:cs="Arial"/>
          <w:b/>
          <w:sz w:val="24"/>
          <w:szCs w:val="24"/>
        </w:rPr>
        <w:t xml:space="preserve">Previsão de fatores de desconto que não estão em consonância com os objetivos do </w:t>
      </w:r>
      <w:r w:rsidR="00C31CB0" w:rsidRPr="00783461">
        <w:rPr>
          <w:rFonts w:ascii="Arial" w:hAnsi="Arial" w:cs="Arial"/>
          <w:b/>
          <w:sz w:val="24"/>
          <w:szCs w:val="24"/>
        </w:rPr>
        <w:t>Programa</w:t>
      </w:r>
    </w:p>
    <w:p w14:paraId="60F0B09E" w14:textId="77777777" w:rsidR="00783461" w:rsidRPr="00783461" w:rsidRDefault="00783461" w:rsidP="00F305AA">
      <w:pPr>
        <w:spacing w:line="360" w:lineRule="auto"/>
        <w:ind w:firstLine="851"/>
        <w:jc w:val="both"/>
        <w:rPr>
          <w:rFonts w:ascii="Arial" w:hAnsi="Arial" w:cs="Arial"/>
          <w:b/>
          <w:sz w:val="24"/>
          <w:szCs w:val="24"/>
        </w:rPr>
      </w:pPr>
    </w:p>
    <w:p w14:paraId="41113745"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Já foi mencionado, em anterior oportunidade, sobre a existência de fatores de desconto que, se cumpridos, ensejam a quitação do saldo devedor do PRODUZIR. Assim sendo, a lógica do programa (que objetiva gerar desenvolvimento socioeconômico </w:t>
      </w:r>
      <w:r>
        <w:rPr>
          <w:rFonts w:ascii="Arial" w:hAnsi="Arial" w:cs="Arial"/>
          <w:sz w:val="24"/>
          <w:szCs w:val="24"/>
        </w:rPr>
        <w:lastRenderedPageBreak/>
        <w:t>no Estado) exige que esses fatores estejam relacionados aos fins almejados na concessão do benefício fiscal.</w:t>
      </w:r>
    </w:p>
    <w:p w14:paraId="4C82266F"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Todavia, apurou-se que a legislação prevê fatores de desconto sem pertinência com o desenvolvimento industrial e a geração de emprego e renda no Estado de Goiás, o que revela a </w:t>
      </w:r>
      <w:r>
        <w:rPr>
          <w:rFonts w:ascii="Arial" w:hAnsi="Arial" w:cs="Arial"/>
          <w:b/>
          <w:sz w:val="24"/>
          <w:szCs w:val="24"/>
        </w:rPr>
        <w:t>necessidade de alteração da legislação quanto a esses fatores de desconto</w:t>
      </w:r>
      <w:r>
        <w:rPr>
          <w:rFonts w:ascii="Arial" w:hAnsi="Arial" w:cs="Arial"/>
          <w:sz w:val="24"/>
          <w:szCs w:val="24"/>
        </w:rPr>
        <w:t>. Vejamos</w:t>
      </w:r>
      <w:r>
        <w:rPr>
          <w:rStyle w:val="Refdenotaderodap"/>
          <w:rFonts w:ascii="Arial" w:hAnsi="Arial" w:cs="Arial"/>
          <w:sz w:val="24"/>
          <w:szCs w:val="24"/>
        </w:rPr>
        <w:footnoteReference w:id="62"/>
      </w:r>
      <w:r>
        <w:rPr>
          <w:rFonts w:ascii="Arial" w:hAnsi="Arial" w:cs="Arial"/>
          <w:sz w:val="24"/>
          <w:szCs w:val="24"/>
        </w:rPr>
        <w:t>:</w:t>
      </w:r>
    </w:p>
    <w:p w14:paraId="38095E65" w14:textId="77777777" w:rsidR="00F305AA" w:rsidRPr="00A47769" w:rsidRDefault="00F305AA" w:rsidP="00F305AA">
      <w:pPr>
        <w:spacing w:line="360" w:lineRule="auto"/>
        <w:ind w:firstLine="851"/>
        <w:jc w:val="both"/>
        <w:rPr>
          <w:rFonts w:ascii="Arial" w:hAnsi="Arial" w:cs="Arial"/>
          <w:sz w:val="24"/>
          <w:szCs w:val="24"/>
        </w:rPr>
      </w:pPr>
    </w:p>
    <w:p w14:paraId="5A771C03" w14:textId="77777777" w:rsidR="00F305AA" w:rsidRDefault="00F305AA" w:rsidP="00F305AA">
      <w:pPr>
        <w:ind w:left="2268"/>
        <w:jc w:val="both"/>
        <w:rPr>
          <w:rFonts w:ascii="Arial" w:hAnsi="Arial" w:cs="Arial"/>
          <w:sz w:val="22"/>
          <w:szCs w:val="24"/>
        </w:rPr>
      </w:pPr>
      <w:r w:rsidRPr="000535BE">
        <w:rPr>
          <w:rFonts w:ascii="Arial" w:hAnsi="Arial" w:cs="Arial"/>
          <w:sz w:val="22"/>
          <w:szCs w:val="24"/>
        </w:rPr>
        <w:t>O PRODUZIR, apesar de ter por objeto social contribuir com o setor industrial de Goiás, com ênfase na geração de emprego e renda e na redução das desigualdades sociais e regionais, apresenta desde a instituição do Programa fatores de desconto discrepantes do seu objeto e que estão relacionados com o simples cumprimento de obrigações por parte da empresa, quais sejam: adimplência e pontualidade, conforme demonstrado no quadro a seguir.</w:t>
      </w:r>
    </w:p>
    <w:p w14:paraId="267A7855" w14:textId="77777777" w:rsidR="00F305AA" w:rsidRDefault="00F305AA" w:rsidP="00F305AA">
      <w:pPr>
        <w:ind w:left="2268"/>
        <w:jc w:val="both"/>
        <w:rPr>
          <w:rFonts w:ascii="Arial" w:hAnsi="Arial" w:cs="Arial"/>
          <w:sz w:val="22"/>
          <w:szCs w:val="24"/>
        </w:rPr>
      </w:pPr>
    </w:p>
    <w:p w14:paraId="4367152B" w14:textId="77777777" w:rsidR="00F305AA" w:rsidRPr="000535BE" w:rsidRDefault="00F305AA" w:rsidP="00F305AA">
      <w:pPr>
        <w:ind w:left="2268"/>
        <w:jc w:val="both"/>
        <w:rPr>
          <w:rFonts w:ascii="Arial" w:hAnsi="Arial" w:cs="Arial"/>
          <w:sz w:val="22"/>
          <w:szCs w:val="24"/>
        </w:rPr>
      </w:pPr>
      <w:r>
        <w:rPr>
          <w:rFonts w:ascii="Arial" w:hAnsi="Arial" w:cs="Arial"/>
          <w:noProof/>
          <w:sz w:val="22"/>
          <w:szCs w:val="24"/>
        </w:rPr>
        <w:drawing>
          <wp:inline distT="0" distB="0" distL="0" distR="0" wp14:anchorId="4714BF35" wp14:editId="01F81BF7">
            <wp:extent cx="4414371" cy="4668901"/>
            <wp:effectExtent l="0" t="0" r="5715"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Quadro fatores de desconto.PNG"/>
                    <pic:cNvPicPr/>
                  </pic:nvPicPr>
                  <pic:blipFill>
                    <a:blip r:embed="rId52">
                      <a:extLst>
                        <a:ext uri="{28A0092B-C50C-407E-A947-70E740481C1C}">
                          <a14:useLocalDpi xmlns:a14="http://schemas.microsoft.com/office/drawing/2010/main" val="0"/>
                        </a:ext>
                      </a:extLst>
                    </a:blip>
                    <a:stretch>
                      <a:fillRect/>
                    </a:stretch>
                  </pic:blipFill>
                  <pic:spPr>
                    <a:xfrm>
                      <a:off x="0" y="0"/>
                      <a:ext cx="4422111" cy="4677087"/>
                    </a:xfrm>
                    <a:prstGeom prst="rect">
                      <a:avLst/>
                    </a:prstGeom>
                  </pic:spPr>
                </pic:pic>
              </a:graphicData>
            </a:graphic>
          </wp:inline>
        </w:drawing>
      </w:r>
    </w:p>
    <w:p w14:paraId="64A3E69D" w14:textId="77777777" w:rsidR="00F305AA" w:rsidRDefault="00F305AA" w:rsidP="00F305AA">
      <w:pPr>
        <w:spacing w:line="360" w:lineRule="auto"/>
        <w:ind w:firstLine="851"/>
        <w:jc w:val="both"/>
        <w:rPr>
          <w:rFonts w:ascii="Arial" w:hAnsi="Arial" w:cs="Arial"/>
          <w:sz w:val="24"/>
          <w:szCs w:val="24"/>
        </w:rPr>
      </w:pPr>
    </w:p>
    <w:p w14:paraId="7ED3069F" w14:textId="77777777" w:rsidR="00F305AA" w:rsidRDefault="00F305AA" w:rsidP="00F305AA">
      <w:pPr>
        <w:spacing w:line="360" w:lineRule="auto"/>
        <w:ind w:firstLine="851"/>
        <w:jc w:val="both"/>
        <w:rPr>
          <w:rFonts w:ascii="Arial" w:hAnsi="Arial" w:cs="Arial"/>
          <w:sz w:val="24"/>
          <w:szCs w:val="24"/>
        </w:rPr>
      </w:pPr>
    </w:p>
    <w:p w14:paraId="00B2100E" w14:textId="13C9C20D" w:rsidR="00F305AA" w:rsidRPr="006126D6" w:rsidRDefault="006126D6" w:rsidP="00F305AA">
      <w:pPr>
        <w:spacing w:line="360" w:lineRule="auto"/>
        <w:ind w:firstLine="851"/>
        <w:jc w:val="both"/>
        <w:rPr>
          <w:rFonts w:ascii="Arial" w:hAnsi="Arial" w:cs="Arial"/>
          <w:b/>
          <w:sz w:val="24"/>
          <w:szCs w:val="24"/>
          <w:u w:val="single"/>
        </w:rPr>
      </w:pPr>
      <w:r w:rsidRPr="006126D6">
        <w:rPr>
          <w:rFonts w:ascii="Arial" w:hAnsi="Arial" w:cs="Arial"/>
          <w:b/>
          <w:sz w:val="24"/>
          <w:szCs w:val="24"/>
          <w:u w:val="single"/>
        </w:rPr>
        <w:t>6.2.3 –</w:t>
      </w:r>
      <w:r w:rsidR="00F305AA" w:rsidRPr="006126D6">
        <w:rPr>
          <w:rFonts w:ascii="Arial" w:hAnsi="Arial" w:cs="Arial"/>
          <w:b/>
          <w:sz w:val="24"/>
          <w:szCs w:val="24"/>
          <w:u w:val="single"/>
        </w:rPr>
        <w:t xml:space="preserve"> Necessidade de Implantação de Sistema</w:t>
      </w:r>
      <w:r w:rsidRPr="006126D6">
        <w:rPr>
          <w:rFonts w:ascii="Arial" w:hAnsi="Arial" w:cs="Arial"/>
          <w:b/>
          <w:sz w:val="24"/>
          <w:szCs w:val="24"/>
          <w:u w:val="single"/>
        </w:rPr>
        <w:t xml:space="preserve"> Informatizado</w:t>
      </w:r>
    </w:p>
    <w:p w14:paraId="4A1E9A2A" w14:textId="77777777" w:rsidR="00F305AA" w:rsidRDefault="00F305AA" w:rsidP="00F305AA">
      <w:pPr>
        <w:spacing w:line="360" w:lineRule="auto"/>
        <w:ind w:firstLine="851"/>
        <w:jc w:val="both"/>
        <w:rPr>
          <w:rFonts w:ascii="Arial" w:hAnsi="Arial" w:cs="Arial"/>
          <w:sz w:val="24"/>
          <w:szCs w:val="24"/>
        </w:rPr>
      </w:pPr>
    </w:p>
    <w:p w14:paraId="130D1621"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Das análises técnicas realizadas pela equipe do TCE-GO e da CGE, um apontamento e recomendação repete-se várias vezes nas análises de ambos os órgãos, tamanha a sua importância. Trata-se da necessidade de implantação de um sistema informatizado unificado para acompanhamento e controle dos benefícios concedidos no âmbito dos programas FOMENTAR e PRODUZIR.</w:t>
      </w:r>
    </w:p>
    <w:p w14:paraId="781698E5" w14:textId="07D38EEE"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Esta Comissão pôde perceber a dificuldade dos órgãos requisitados em produzir e sistematizar informações solicitadas, o que evidencia a dificuldade de controle por parte das Pastas envolvidas no FOMENTAR e no PRODUZIR. Tanto é assim que não foram raros os pedidos de dilação de prazo para a entrega de documentos. Restou evidenciado um descontrole em relação aos beneficiários e ao cumprimento dos requisitos e normas por parte destes que beira o amadorismo.</w:t>
      </w:r>
    </w:p>
    <w:p w14:paraId="15F49024" w14:textId="26C44A06"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O mínimo que se espera de programas do porte do FOMENTAR e do PRODUZIR, que envolvem renúncia de receita na ordem de bilhões anuais de reais, é um controle integrado e sistematizado de todos os aspectos e etapas </w:t>
      </w:r>
      <w:r w:rsidR="003D255C" w:rsidRPr="00E13EC4">
        <w:rPr>
          <w:rFonts w:ascii="Arial" w:hAnsi="Arial" w:cs="Arial"/>
          <w:sz w:val="24"/>
          <w:szCs w:val="24"/>
        </w:rPr>
        <w:t>do processo</w:t>
      </w:r>
      <w:r>
        <w:rPr>
          <w:rFonts w:ascii="Arial" w:hAnsi="Arial" w:cs="Arial"/>
          <w:sz w:val="24"/>
          <w:szCs w:val="24"/>
        </w:rPr>
        <w:t xml:space="preserve">, a pronto alcance de todos os </w:t>
      </w:r>
      <w:r w:rsidRPr="00E13EC4">
        <w:rPr>
          <w:rFonts w:ascii="Arial" w:hAnsi="Arial" w:cs="Arial"/>
          <w:sz w:val="24"/>
          <w:szCs w:val="24"/>
        </w:rPr>
        <w:t>envolvidos</w:t>
      </w:r>
      <w:r>
        <w:rPr>
          <w:rFonts w:ascii="Arial" w:hAnsi="Arial" w:cs="Arial"/>
          <w:sz w:val="24"/>
          <w:szCs w:val="24"/>
        </w:rPr>
        <w:t>, de modo a evitar-se concessões e manutenções indevidas de benefícios, facilitar eventuais cobranças e permitir-se a avaliação da efetiva produção dos resultados esperados.</w:t>
      </w:r>
    </w:p>
    <w:p w14:paraId="624A6DCC"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Todavia, no curso das investigações nos deparamos com formas rudimentares, para não dizer caóticas, de controle, em que cada órgão, que deveria atuar integradamente aos demais, agia (ou não agia) por si só, resultando em grandes prejuízos ao Estado.</w:t>
      </w:r>
    </w:p>
    <w:p w14:paraId="5C631834"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Nesse sentido a equipe técnica do TCE-GO manifestou-se diversas vezes, e em relação a vários dos achados:</w:t>
      </w:r>
    </w:p>
    <w:p w14:paraId="60A46EB6"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Sobre a manutenção dos benefícios ainda que descumprida a obrigação de entrega de documentos:</w:t>
      </w:r>
    </w:p>
    <w:p w14:paraId="1F382492" w14:textId="77777777" w:rsidR="00F305AA" w:rsidRDefault="00F305AA" w:rsidP="00F305AA">
      <w:pPr>
        <w:spacing w:line="360" w:lineRule="auto"/>
        <w:ind w:firstLine="851"/>
        <w:jc w:val="both"/>
        <w:rPr>
          <w:rFonts w:ascii="Arial" w:hAnsi="Arial" w:cs="Arial"/>
          <w:sz w:val="24"/>
          <w:szCs w:val="24"/>
        </w:rPr>
      </w:pPr>
    </w:p>
    <w:p w14:paraId="47DFB075" w14:textId="77777777" w:rsidR="00F305AA" w:rsidRPr="002223F4" w:rsidRDefault="00F305AA" w:rsidP="00F305AA">
      <w:pPr>
        <w:ind w:left="2268"/>
        <w:jc w:val="both"/>
        <w:rPr>
          <w:rFonts w:ascii="Arial" w:hAnsi="Arial" w:cs="Arial"/>
          <w:sz w:val="22"/>
          <w:szCs w:val="24"/>
        </w:rPr>
      </w:pPr>
      <w:r w:rsidRPr="002223F4">
        <w:rPr>
          <w:rFonts w:ascii="Arial" w:hAnsi="Arial" w:cs="Arial"/>
          <w:sz w:val="22"/>
          <w:szCs w:val="24"/>
        </w:rPr>
        <w:t xml:space="preserve">As causas para ocorrência deste achado estão relacionadas à </w:t>
      </w:r>
      <w:r w:rsidRPr="002223F4">
        <w:rPr>
          <w:rFonts w:ascii="Arial" w:hAnsi="Arial" w:cs="Arial"/>
          <w:b/>
          <w:sz w:val="22"/>
          <w:szCs w:val="24"/>
        </w:rPr>
        <w:t>deficiência de controle na operacionalização do programa PRODUZIR</w:t>
      </w:r>
      <w:r w:rsidRPr="002223F4">
        <w:rPr>
          <w:rFonts w:ascii="Arial" w:hAnsi="Arial" w:cs="Arial"/>
          <w:sz w:val="22"/>
          <w:szCs w:val="24"/>
        </w:rPr>
        <w:t xml:space="preserve">, resultando em </w:t>
      </w:r>
      <w:r w:rsidRPr="002223F4">
        <w:rPr>
          <w:rFonts w:ascii="Arial" w:hAnsi="Arial" w:cs="Arial"/>
          <w:b/>
          <w:sz w:val="22"/>
          <w:szCs w:val="24"/>
        </w:rPr>
        <w:t>ações de monitoramento de regularidade dos contratos de forma intempestiva e ineficiente</w:t>
      </w:r>
      <w:r w:rsidRPr="002223F4">
        <w:rPr>
          <w:rFonts w:ascii="Arial" w:hAnsi="Arial" w:cs="Arial"/>
          <w:sz w:val="22"/>
          <w:szCs w:val="24"/>
        </w:rPr>
        <w:t>.</w:t>
      </w:r>
    </w:p>
    <w:p w14:paraId="6B8153EA" w14:textId="77777777" w:rsidR="00F305AA" w:rsidRPr="002223F4" w:rsidRDefault="00F305AA" w:rsidP="00F305AA">
      <w:pPr>
        <w:ind w:left="2268"/>
        <w:jc w:val="both"/>
        <w:rPr>
          <w:rFonts w:ascii="Arial" w:hAnsi="Arial" w:cs="Arial"/>
          <w:sz w:val="22"/>
          <w:szCs w:val="24"/>
        </w:rPr>
      </w:pPr>
      <w:r w:rsidRPr="002223F4">
        <w:rPr>
          <w:rFonts w:ascii="Arial" w:hAnsi="Arial" w:cs="Arial"/>
          <w:sz w:val="22"/>
          <w:szCs w:val="24"/>
        </w:rPr>
        <w:lastRenderedPageBreak/>
        <w:t xml:space="preserve">Aliado a isto, a </w:t>
      </w:r>
      <w:r w:rsidRPr="002223F4">
        <w:rPr>
          <w:rFonts w:ascii="Arial" w:hAnsi="Arial" w:cs="Arial"/>
          <w:b/>
          <w:sz w:val="22"/>
          <w:szCs w:val="24"/>
        </w:rPr>
        <w:t>ausência de sistema informatizado que disponibilize informação em tempo real</w:t>
      </w:r>
      <w:r w:rsidRPr="002223F4">
        <w:rPr>
          <w:rFonts w:ascii="Arial" w:hAnsi="Arial" w:cs="Arial"/>
          <w:sz w:val="22"/>
          <w:szCs w:val="24"/>
        </w:rPr>
        <w:t xml:space="preserve"> sobre o banco de dados de empresas em situação de inadimplência na prestação de documentos inviabiliza que sejam tomadas medidas rápidas de comunicação ao contribuinte e respectiva suspensão dos contratos de fruição de benefícios.</w:t>
      </w:r>
    </w:p>
    <w:p w14:paraId="5B7D28EC" w14:textId="77777777" w:rsidR="00F305AA" w:rsidRPr="002223F4" w:rsidRDefault="00F305AA" w:rsidP="00F305AA">
      <w:pPr>
        <w:ind w:left="2268"/>
        <w:jc w:val="both"/>
        <w:rPr>
          <w:rFonts w:ascii="Arial" w:hAnsi="Arial" w:cs="Arial"/>
          <w:sz w:val="22"/>
          <w:szCs w:val="24"/>
        </w:rPr>
      </w:pPr>
      <w:r w:rsidRPr="002223F4">
        <w:rPr>
          <w:rFonts w:ascii="Arial" w:hAnsi="Arial" w:cs="Arial"/>
          <w:sz w:val="22"/>
          <w:szCs w:val="24"/>
        </w:rPr>
        <w:t>Como consequência, surge a manutenção indevida de benefícios a empresas e insegurança jurídica no âmbito dos incentivos fiscais, haja vista que a manutenção de contratos ativos em situação de irregularidade pode configurar equiparação para outras empresas em situação semelhante.</w:t>
      </w:r>
      <w:r>
        <w:rPr>
          <w:rStyle w:val="Refdenotaderodap"/>
          <w:rFonts w:ascii="Arial" w:hAnsi="Arial" w:cs="Arial"/>
          <w:sz w:val="22"/>
          <w:szCs w:val="24"/>
        </w:rPr>
        <w:footnoteReference w:id="63"/>
      </w:r>
    </w:p>
    <w:p w14:paraId="6B97DBBE" w14:textId="77777777" w:rsidR="00F305AA" w:rsidRDefault="00F305AA" w:rsidP="00F305AA">
      <w:pPr>
        <w:spacing w:line="360" w:lineRule="auto"/>
        <w:ind w:firstLine="851"/>
        <w:jc w:val="both"/>
        <w:rPr>
          <w:rFonts w:ascii="Arial" w:hAnsi="Arial" w:cs="Arial"/>
          <w:sz w:val="24"/>
          <w:szCs w:val="24"/>
        </w:rPr>
      </w:pPr>
    </w:p>
    <w:p w14:paraId="3BD60B73"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Sobre a existência de beneficiários inadimplentes com os pagamentos das parcelas devidas sem sanção:</w:t>
      </w:r>
    </w:p>
    <w:p w14:paraId="1D820555" w14:textId="77777777" w:rsidR="00F305AA" w:rsidRDefault="00F305AA" w:rsidP="00F305AA">
      <w:pPr>
        <w:spacing w:line="360" w:lineRule="auto"/>
        <w:ind w:firstLine="851"/>
        <w:jc w:val="both"/>
        <w:rPr>
          <w:rFonts w:ascii="Arial" w:hAnsi="Arial" w:cs="Arial"/>
          <w:sz w:val="24"/>
          <w:szCs w:val="24"/>
        </w:rPr>
      </w:pPr>
    </w:p>
    <w:p w14:paraId="20135D74" w14:textId="77777777" w:rsidR="00F305AA" w:rsidRDefault="00F305AA" w:rsidP="00F305AA">
      <w:pPr>
        <w:ind w:left="2268"/>
        <w:jc w:val="both"/>
        <w:rPr>
          <w:rFonts w:ascii="Arial" w:hAnsi="Arial" w:cs="Arial"/>
          <w:sz w:val="22"/>
          <w:szCs w:val="24"/>
        </w:rPr>
      </w:pPr>
      <w:r w:rsidRPr="002223F4">
        <w:rPr>
          <w:rFonts w:ascii="Arial" w:hAnsi="Arial" w:cs="Arial"/>
          <w:sz w:val="22"/>
          <w:szCs w:val="24"/>
        </w:rPr>
        <w:t>Importante ressaltar que como inexiste sistema integrado entre as pastas que cuidam do gerenciamento e operacionalização dos programas, a GOIASFOMENTO somente toma conhecimento do valor pago através de acesso a arquivos digitais nos servidores de informação da SEFAZ.</w:t>
      </w:r>
      <w:r>
        <w:rPr>
          <w:rStyle w:val="Refdenotaderodap"/>
          <w:rFonts w:ascii="Arial" w:hAnsi="Arial" w:cs="Arial"/>
          <w:sz w:val="22"/>
          <w:szCs w:val="24"/>
        </w:rPr>
        <w:footnoteReference w:id="64"/>
      </w:r>
    </w:p>
    <w:p w14:paraId="21F5013C" w14:textId="77777777" w:rsidR="00F305AA" w:rsidRDefault="00F305AA" w:rsidP="00F305AA">
      <w:pPr>
        <w:ind w:left="2268"/>
        <w:jc w:val="both"/>
        <w:rPr>
          <w:rFonts w:ascii="Arial" w:hAnsi="Arial" w:cs="Arial"/>
          <w:sz w:val="22"/>
          <w:szCs w:val="24"/>
        </w:rPr>
      </w:pPr>
    </w:p>
    <w:p w14:paraId="4F3D2952" w14:textId="77777777" w:rsidR="00F305AA" w:rsidRPr="00C46645" w:rsidRDefault="00F305AA" w:rsidP="00F305AA">
      <w:pPr>
        <w:ind w:left="2268"/>
        <w:jc w:val="both"/>
        <w:rPr>
          <w:rFonts w:ascii="Arial" w:hAnsi="Arial" w:cs="Arial"/>
          <w:sz w:val="22"/>
          <w:szCs w:val="24"/>
        </w:rPr>
      </w:pPr>
      <w:r w:rsidRPr="00C46645">
        <w:rPr>
          <w:rFonts w:ascii="Arial" w:hAnsi="Arial" w:cs="Arial"/>
          <w:sz w:val="22"/>
          <w:szCs w:val="24"/>
        </w:rPr>
        <w:t>Em razão do não atendimento da demanda por parte da SEFAZ, a análise sobre o histórico fiscal destas empresas junto aos programas PRODUZIR e FOMENTAR restou prejudicada.</w:t>
      </w:r>
    </w:p>
    <w:p w14:paraId="78671669" w14:textId="77777777" w:rsidR="00F305AA" w:rsidRPr="00C46645" w:rsidRDefault="00F305AA" w:rsidP="00F305AA">
      <w:pPr>
        <w:ind w:left="2268"/>
        <w:jc w:val="both"/>
        <w:rPr>
          <w:rFonts w:ascii="Arial" w:hAnsi="Arial" w:cs="Arial"/>
          <w:sz w:val="22"/>
          <w:szCs w:val="24"/>
        </w:rPr>
      </w:pPr>
      <w:r w:rsidRPr="00C46645">
        <w:rPr>
          <w:rFonts w:ascii="Arial" w:hAnsi="Arial" w:cs="Arial"/>
          <w:sz w:val="22"/>
          <w:szCs w:val="24"/>
        </w:rPr>
        <w:t xml:space="preserve">Pode se considerar que </w:t>
      </w:r>
      <w:r w:rsidRPr="00C46645">
        <w:rPr>
          <w:rFonts w:ascii="Arial" w:hAnsi="Arial" w:cs="Arial"/>
          <w:b/>
          <w:sz w:val="22"/>
          <w:szCs w:val="24"/>
        </w:rPr>
        <w:t xml:space="preserve">a deficiência no gerenciamento do programa é a principal causa desta ocorrência </w:t>
      </w:r>
      <w:r w:rsidRPr="00C46645">
        <w:rPr>
          <w:rFonts w:ascii="Arial" w:hAnsi="Arial" w:cs="Arial"/>
          <w:sz w:val="22"/>
          <w:szCs w:val="24"/>
        </w:rPr>
        <w:t xml:space="preserve">relacionada à manutenção do caráter ativo de contratos mesmo em situações de inadimplência, </w:t>
      </w:r>
      <w:r w:rsidRPr="00C46645">
        <w:rPr>
          <w:rFonts w:ascii="Arial" w:hAnsi="Arial" w:cs="Arial"/>
          <w:b/>
          <w:sz w:val="22"/>
          <w:szCs w:val="24"/>
        </w:rPr>
        <w:t>uma vez que os controles são efetuados manualmente por meio de planilhas eletrônicas e sem integração</w:t>
      </w:r>
      <w:r w:rsidRPr="00C46645">
        <w:rPr>
          <w:rFonts w:ascii="Arial" w:hAnsi="Arial" w:cs="Arial"/>
          <w:sz w:val="22"/>
          <w:szCs w:val="24"/>
        </w:rPr>
        <w:t xml:space="preserve"> entre a GOIASFOMENTO, SEFAZ e SED.</w:t>
      </w:r>
    </w:p>
    <w:p w14:paraId="25D3C25E" w14:textId="77777777" w:rsidR="00F305AA" w:rsidRPr="00C46645" w:rsidRDefault="00F305AA" w:rsidP="00F305AA">
      <w:pPr>
        <w:ind w:left="2268"/>
        <w:jc w:val="both"/>
        <w:rPr>
          <w:rFonts w:ascii="Arial" w:hAnsi="Arial" w:cs="Arial"/>
          <w:sz w:val="22"/>
          <w:szCs w:val="24"/>
        </w:rPr>
      </w:pPr>
      <w:r w:rsidRPr="00C46645">
        <w:rPr>
          <w:rFonts w:ascii="Arial" w:hAnsi="Arial" w:cs="Arial"/>
          <w:b/>
          <w:sz w:val="22"/>
          <w:szCs w:val="24"/>
        </w:rPr>
        <w:t>Se houvesse sistema informatizado que identificasse no banco de dados, em tempo real, as empresas em situação de inadimplência nos pagamentos dos valores devidos e alertasse aos gestores das pastas, certamente haveria mitigação nas ocorrências</w:t>
      </w:r>
      <w:r w:rsidRPr="00C46645">
        <w:rPr>
          <w:rFonts w:ascii="Arial" w:hAnsi="Arial" w:cs="Arial"/>
          <w:sz w:val="22"/>
          <w:szCs w:val="24"/>
        </w:rPr>
        <w:t xml:space="preserve"> relacionadas à fruição indevida de contribuintes. Reforça-se, assim, a recomendação contida no item 2.2.1.1 (c), sobre a necessidade de aquisição ou desenvolvimento deste sistema.</w:t>
      </w:r>
    </w:p>
    <w:p w14:paraId="47D44C51" w14:textId="77777777" w:rsidR="00F305AA" w:rsidRPr="002223F4" w:rsidRDefault="00F305AA" w:rsidP="00F305AA">
      <w:pPr>
        <w:ind w:left="2268"/>
        <w:jc w:val="both"/>
        <w:rPr>
          <w:rFonts w:ascii="Arial" w:hAnsi="Arial" w:cs="Arial"/>
          <w:sz w:val="22"/>
          <w:szCs w:val="24"/>
        </w:rPr>
      </w:pPr>
      <w:r w:rsidRPr="00C46645">
        <w:rPr>
          <w:rFonts w:ascii="Arial" w:hAnsi="Arial" w:cs="Arial"/>
          <w:b/>
          <w:sz w:val="22"/>
          <w:szCs w:val="24"/>
        </w:rPr>
        <w:t>Em consequência desde gerenciamento deficitário, o cenário atual evidencia uma série de empresas usufruindo dos benefícios dos programas de forma indevida</w:t>
      </w:r>
      <w:r w:rsidRPr="00C46645">
        <w:rPr>
          <w:rFonts w:ascii="Arial" w:hAnsi="Arial" w:cs="Arial"/>
          <w:sz w:val="22"/>
          <w:szCs w:val="24"/>
        </w:rPr>
        <w:t xml:space="preserve"> e frustrando a receita pública, uma vez que suspensa do programa, a empresa não faria jus ao incentivo e deveria fazer o recolhimento do ICMS. Além disso, a manutenção de contratos em situações de descumprimento por parte das beneficiárias expõe o estado à insegurança jurídica no âmbito dos incentivos fiscais.</w:t>
      </w:r>
      <w:r>
        <w:rPr>
          <w:rStyle w:val="Refdenotaderodap"/>
          <w:rFonts w:ascii="Arial" w:hAnsi="Arial" w:cs="Arial"/>
          <w:sz w:val="22"/>
          <w:szCs w:val="24"/>
        </w:rPr>
        <w:footnoteReference w:id="65"/>
      </w:r>
    </w:p>
    <w:p w14:paraId="368093CC" w14:textId="77777777" w:rsidR="00F305AA" w:rsidRDefault="00F305AA" w:rsidP="00F305AA">
      <w:pPr>
        <w:spacing w:line="360" w:lineRule="auto"/>
        <w:ind w:firstLine="851"/>
        <w:jc w:val="both"/>
        <w:rPr>
          <w:rFonts w:ascii="Arial" w:hAnsi="Arial" w:cs="Arial"/>
          <w:sz w:val="24"/>
          <w:szCs w:val="24"/>
        </w:rPr>
      </w:pPr>
    </w:p>
    <w:p w14:paraId="7DB2C0D0"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lastRenderedPageBreak/>
        <w:t>Sobre a divergência dos valores de incentivos fiscais apresentados pelos diversos órgãos envolvidos:</w:t>
      </w:r>
    </w:p>
    <w:p w14:paraId="4D9BE53F" w14:textId="77777777" w:rsidR="00F305AA" w:rsidRDefault="00F305AA" w:rsidP="00F305AA">
      <w:pPr>
        <w:spacing w:line="360" w:lineRule="auto"/>
        <w:ind w:firstLine="851"/>
        <w:jc w:val="both"/>
        <w:rPr>
          <w:rFonts w:ascii="Arial" w:hAnsi="Arial" w:cs="Arial"/>
          <w:sz w:val="24"/>
          <w:szCs w:val="24"/>
        </w:rPr>
      </w:pPr>
    </w:p>
    <w:p w14:paraId="70B67B20" w14:textId="77777777" w:rsidR="00F305AA" w:rsidRPr="00C46645" w:rsidRDefault="00F305AA" w:rsidP="00F305AA">
      <w:pPr>
        <w:ind w:left="2268"/>
        <w:jc w:val="both"/>
        <w:rPr>
          <w:rFonts w:ascii="Arial" w:hAnsi="Arial" w:cs="Arial"/>
          <w:sz w:val="22"/>
          <w:szCs w:val="24"/>
        </w:rPr>
      </w:pPr>
      <w:r w:rsidRPr="00C46645">
        <w:rPr>
          <w:rFonts w:ascii="Arial" w:hAnsi="Arial" w:cs="Arial"/>
          <w:sz w:val="22"/>
          <w:szCs w:val="24"/>
        </w:rPr>
        <w:t xml:space="preserve">Constatou-se, portanto, </w:t>
      </w:r>
      <w:r w:rsidRPr="00C46645">
        <w:rPr>
          <w:rFonts w:ascii="Arial" w:hAnsi="Arial" w:cs="Arial"/>
          <w:b/>
          <w:sz w:val="22"/>
          <w:szCs w:val="24"/>
        </w:rPr>
        <w:t>generalizada divergência</w:t>
      </w:r>
      <w:r w:rsidRPr="00C46645">
        <w:rPr>
          <w:rFonts w:ascii="Arial" w:hAnsi="Arial" w:cs="Arial"/>
          <w:sz w:val="22"/>
          <w:szCs w:val="24"/>
        </w:rPr>
        <w:t xml:space="preserve"> de informações quanto aos valores renunciados no âmbito dos programas PRODUZIR e FOMENTAR nos exercícios de 2016 e 2017, haja vista a incompatibilidade de dados entre as múltiplas fontes de acesso a informação consultadas nesta Auditoria.</w:t>
      </w:r>
    </w:p>
    <w:p w14:paraId="239E6147" w14:textId="77777777" w:rsidR="00F305AA" w:rsidRPr="00C46645" w:rsidRDefault="00F305AA" w:rsidP="00F305AA">
      <w:pPr>
        <w:ind w:left="2268"/>
        <w:jc w:val="both"/>
        <w:rPr>
          <w:rFonts w:ascii="Arial" w:hAnsi="Arial" w:cs="Arial"/>
          <w:sz w:val="22"/>
          <w:szCs w:val="24"/>
        </w:rPr>
      </w:pPr>
      <w:r w:rsidRPr="00C46645">
        <w:rPr>
          <w:rFonts w:ascii="Arial" w:hAnsi="Arial" w:cs="Arial"/>
          <w:sz w:val="22"/>
          <w:szCs w:val="24"/>
        </w:rPr>
        <w:t>[...]</w:t>
      </w:r>
    </w:p>
    <w:p w14:paraId="0E06B4F1" w14:textId="77777777" w:rsidR="00F305AA" w:rsidRPr="00C46645" w:rsidRDefault="00F305AA" w:rsidP="00F305AA">
      <w:pPr>
        <w:ind w:left="2268"/>
        <w:jc w:val="both"/>
        <w:rPr>
          <w:rFonts w:ascii="Arial" w:hAnsi="Arial" w:cs="Arial"/>
          <w:sz w:val="22"/>
          <w:szCs w:val="24"/>
        </w:rPr>
      </w:pPr>
      <w:r w:rsidRPr="00C46645">
        <w:rPr>
          <w:rFonts w:ascii="Arial" w:hAnsi="Arial" w:cs="Arial"/>
          <w:sz w:val="22"/>
          <w:szCs w:val="24"/>
        </w:rPr>
        <w:t xml:space="preserve">A </w:t>
      </w:r>
      <w:r w:rsidRPr="00C46645">
        <w:rPr>
          <w:rFonts w:ascii="Arial" w:hAnsi="Arial" w:cs="Arial"/>
          <w:b/>
          <w:sz w:val="22"/>
          <w:szCs w:val="24"/>
        </w:rPr>
        <w:t>ausência de sistema informatizado integrado entre todas as pastas que gerenciam os programas também foi pode ser como a causa principal de ocorrência deste achado</w:t>
      </w:r>
      <w:r w:rsidRPr="00C46645">
        <w:rPr>
          <w:rFonts w:ascii="Arial" w:hAnsi="Arial" w:cs="Arial"/>
          <w:sz w:val="22"/>
          <w:szCs w:val="24"/>
        </w:rPr>
        <w:t>. Isso porque foi verificado que cada departamento utiliza de ferramentas próprias para controle dos valores renunciados no âmbito dos incentivos PRODUZIR e FOMENTAR e que não há integração entre elas.</w:t>
      </w:r>
    </w:p>
    <w:p w14:paraId="3258345A" w14:textId="77777777" w:rsidR="00F305AA" w:rsidRPr="00C46645" w:rsidRDefault="00F305AA" w:rsidP="00F305AA">
      <w:pPr>
        <w:ind w:left="2268"/>
        <w:jc w:val="both"/>
        <w:rPr>
          <w:rFonts w:ascii="Arial" w:hAnsi="Arial" w:cs="Arial"/>
          <w:sz w:val="22"/>
          <w:szCs w:val="24"/>
        </w:rPr>
      </w:pPr>
      <w:r w:rsidRPr="00C46645">
        <w:rPr>
          <w:rFonts w:ascii="Arial" w:hAnsi="Arial" w:cs="Arial"/>
          <w:sz w:val="22"/>
          <w:szCs w:val="24"/>
        </w:rPr>
        <w:t xml:space="preserve">A SEFAZ informou, no Ofício nº 725/2017, de 08 de dezembro de 2017 (Anexo 8), que </w:t>
      </w:r>
      <w:r w:rsidRPr="00C46645">
        <w:rPr>
          <w:rFonts w:ascii="Arial" w:hAnsi="Arial" w:cs="Arial"/>
          <w:b/>
          <w:sz w:val="22"/>
          <w:szCs w:val="24"/>
        </w:rPr>
        <w:t>não dispõe de sistema específico</w:t>
      </w:r>
      <w:r w:rsidRPr="00C46645">
        <w:rPr>
          <w:rFonts w:ascii="Arial" w:hAnsi="Arial" w:cs="Arial"/>
          <w:sz w:val="22"/>
          <w:szCs w:val="24"/>
        </w:rPr>
        <w:t xml:space="preserve"> para o desenvolvimento das funções que competem àquela pasta em relação à operacionalização dos programas. Utilizasse, primordialmente, o sistema </w:t>
      </w:r>
      <w:r w:rsidRPr="00C46645">
        <w:rPr>
          <w:rFonts w:ascii="Arial" w:hAnsi="Arial" w:cs="Arial"/>
          <w:i/>
          <w:sz w:val="22"/>
          <w:szCs w:val="24"/>
        </w:rPr>
        <w:t>Business Objects</w:t>
      </w:r>
      <w:r w:rsidRPr="00C46645">
        <w:rPr>
          <w:rFonts w:ascii="Arial" w:hAnsi="Arial" w:cs="Arial"/>
          <w:sz w:val="22"/>
          <w:szCs w:val="24"/>
        </w:rPr>
        <w:t xml:space="preserve"> (BO) para sintetizar as informações das diversas bases de dados da Sefaz, como da Arrecadação, Escrituração Fiscal Digital, cadastro, processos administrativo tributário etc.</w:t>
      </w:r>
    </w:p>
    <w:p w14:paraId="7CDD4060" w14:textId="77777777" w:rsidR="00F305AA" w:rsidRPr="00C46645" w:rsidRDefault="00F305AA" w:rsidP="00F305AA">
      <w:pPr>
        <w:ind w:left="2268"/>
        <w:jc w:val="both"/>
        <w:rPr>
          <w:rFonts w:ascii="Arial" w:hAnsi="Arial" w:cs="Arial"/>
          <w:sz w:val="22"/>
          <w:szCs w:val="24"/>
        </w:rPr>
      </w:pPr>
      <w:r w:rsidRPr="00C46645">
        <w:rPr>
          <w:rFonts w:ascii="Arial" w:hAnsi="Arial" w:cs="Arial"/>
          <w:sz w:val="22"/>
          <w:szCs w:val="24"/>
        </w:rPr>
        <w:t xml:space="preserve">A SED, por sua vez, </w:t>
      </w:r>
      <w:r w:rsidRPr="00C46645">
        <w:rPr>
          <w:rFonts w:ascii="Arial" w:hAnsi="Arial" w:cs="Arial"/>
          <w:b/>
          <w:sz w:val="22"/>
          <w:szCs w:val="24"/>
        </w:rPr>
        <w:t>não possui sistema específico</w:t>
      </w:r>
      <w:r w:rsidRPr="00C46645">
        <w:rPr>
          <w:rFonts w:ascii="Arial" w:hAnsi="Arial" w:cs="Arial"/>
          <w:sz w:val="22"/>
          <w:szCs w:val="24"/>
        </w:rPr>
        <w:t xml:space="preserve"> para gerenciamento das atividades. Como apontado no Ofício nº 418/2017 SEI-SED de 28 de novembro de 2017 (Anexo 6), desde 2012 realiza operação manual, por meio de planilha Excel para controlar os incentivos em fruição. Houve a implantação em 2016 do sistema de Controle de Incentivos Financeiros (CIF), ainda em fase de testes, em que estão ativas poucas funcionalidades e sem integração com demais órgãos responsáveis pelo gerenciamento dos programas PRODUZIR e FOMENTAR.</w:t>
      </w:r>
    </w:p>
    <w:p w14:paraId="4EFBA15A" w14:textId="77777777" w:rsidR="00F305AA" w:rsidRPr="00C46645" w:rsidRDefault="00F305AA" w:rsidP="00F305AA">
      <w:pPr>
        <w:ind w:left="2268"/>
        <w:jc w:val="both"/>
        <w:rPr>
          <w:rFonts w:ascii="Arial" w:hAnsi="Arial" w:cs="Arial"/>
          <w:sz w:val="22"/>
          <w:szCs w:val="24"/>
        </w:rPr>
      </w:pPr>
      <w:r w:rsidRPr="00C46645">
        <w:rPr>
          <w:rFonts w:ascii="Arial" w:hAnsi="Arial" w:cs="Arial"/>
          <w:sz w:val="22"/>
          <w:szCs w:val="24"/>
        </w:rPr>
        <w:t xml:space="preserve">Este cenário de </w:t>
      </w:r>
      <w:r w:rsidRPr="00C46645">
        <w:rPr>
          <w:rFonts w:ascii="Arial" w:hAnsi="Arial" w:cs="Arial"/>
          <w:b/>
          <w:sz w:val="22"/>
          <w:szCs w:val="24"/>
        </w:rPr>
        <w:t>falta de sintonia entre os agentes na apresentação dos valores renunciados inviabiliza o compartilhamento online dos dados, configurando grave prejuízo à transparência das informações</w:t>
      </w:r>
      <w:r w:rsidRPr="00C46645">
        <w:rPr>
          <w:rFonts w:ascii="Arial" w:hAnsi="Arial" w:cs="Arial"/>
          <w:sz w:val="22"/>
          <w:szCs w:val="24"/>
        </w:rPr>
        <w:t>, conforme determina a Constituição Federal e as leis de responsabilidade fiscal e de transparência.</w:t>
      </w:r>
    </w:p>
    <w:p w14:paraId="2669EAEA" w14:textId="77777777" w:rsidR="00F305AA" w:rsidRPr="00C46645" w:rsidRDefault="00F305AA" w:rsidP="00F305AA">
      <w:pPr>
        <w:ind w:left="2268"/>
        <w:jc w:val="both"/>
        <w:rPr>
          <w:rFonts w:ascii="Arial" w:hAnsi="Arial" w:cs="Arial"/>
          <w:sz w:val="22"/>
          <w:szCs w:val="24"/>
        </w:rPr>
      </w:pPr>
      <w:r w:rsidRPr="00C46645">
        <w:rPr>
          <w:rFonts w:ascii="Arial" w:hAnsi="Arial" w:cs="Arial"/>
          <w:sz w:val="22"/>
          <w:szCs w:val="24"/>
        </w:rPr>
        <w:t xml:space="preserve">Como consequência, </w:t>
      </w:r>
      <w:r w:rsidRPr="00C46645">
        <w:rPr>
          <w:rFonts w:ascii="Arial" w:hAnsi="Arial" w:cs="Arial"/>
          <w:b/>
          <w:sz w:val="22"/>
          <w:szCs w:val="24"/>
        </w:rPr>
        <w:t>há a impossibilidade de acompanhamento e mensuração dos exatos valores concedidos no PRODUZIR e FOMENTAR e falta de transparência na demonstração dos valores financiados e renunciados, comprometendo a gestão dos programas</w:t>
      </w:r>
      <w:r w:rsidRPr="00C46645">
        <w:rPr>
          <w:rFonts w:ascii="Arial" w:hAnsi="Arial" w:cs="Arial"/>
          <w:sz w:val="22"/>
          <w:szCs w:val="24"/>
        </w:rPr>
        <w:t>.</w:t>
      </w:r>
    </w:p>
    <w:p w14:paraId="4865D817" w14:textId="77777777" w:rsidR="00F305AA" w:rsidRPr="00C46645" w:rsidRDefault="00F305AA" w:rsidP="00F305AA">
      <w:pPr>
        <w:ind w:left="2268"/>
        <w:jc w:val="both"/>
        <w:rPr>
          <w:rFonts w:ascii="Arial" w:hAnsi="Arial" w:cs="Arial"/>
          <w:sz w:val="22"/>
          <w:szCs w:val="24"/>
        </w:rPr>
      </w:pPr>
      <w:r w:rsidRPr="00C46645">
        <w:rPr>
          <w:rFonts w:ascii="Arial" w:hAnsi="Arial" w:cs="Arial"/>
          <w:sz w:val="22"/>
          <w:szCs w:val="24"/>
        </w:rPr>
        <w:t>Um sistema informatizado (</w:t>
      </w:r>
      <w:r w:rsidRPr="00C46645">
        <w:rPr>
          <w:rFonts w:ascii="Arial" w:hAnsi="Arial" w:cs="Arial"/>
          <w:i/>
          <w:sz w:val="22"/>
          <w:szCs w:val="24"/>
        </w:rPr>
        <w:t>software</w:t>
      </w:r>
      <w:r w:rsidRPr="00C46645">
        <w:rPr>
          <w:rFonts w:ascii="Arial" w:hAnsi="Arial" w:cs="Arial"/>
          <w:sz w:val="22"/>
          <w:szCs w:val="24"/>
        </w:rPr>
        <w:t>) integrado para gerenciamento e operacionalização dos programas PRODUZIR e FOMENTAR permite aperfeiçoamento dos controles e possibilita a emissão de relatórios completos e consistentes quanto à segurança e fidedignidade no gerenciamento dos valores dos incentivos concedidos. Reforça-se, assim, a recomendação contida no item 2.2.1.1 (c), sobre a necessidade de aquisição ou desenvolvimento deste sistema.</w:t>
      </w:r>
      <w:r>
        <w:rPr>
          <w:rStyle w:val="Refdenotaderodap"/>
          <w:rFonts w:ascii="Arial" w:hAnsi="Arial" w:cs="Arial"/>
          <w:sz w:val="22"/>
          <w:szCs w:val="24"/>
        </w:rPr>
        <w:footnoteReference w:id="66"/>
      </w:r>
    </w:p>
    <w:p w14:paraId="061FD655" w14:textId="77777777" w:rsidR="00F305AA" w:rsidRDefault="00F305AA" w:rsidP="00F305AA">
      <w:pPr>
        <w:spacing w:line="360" w:lineRule="auto"/>
        <w:ind w:firstLine="851"/>
        <w:jc w:val="both"/>
        <w:rPr>
          <w:rFonts w:ascii="Arial" w:hAnsi="Arial" w:cs="Arial"/>
          <w:sz w:val="24"/>
          <w:szCs w:val="24"/>
        </w:rPr>
      </w:pPr>
    </w:p>
    <w:p w14:paraId="0E6E248B"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Em suas conclusões, a equipe técnica do TCE-GO ainda aponta que:</w:t>
      </w:r>
    </w:p>
    <w:p w14:paraId="327C9BAC" w14:textId="77777777" w:rsidR="00F305AA" w:rsidRDefault="00F305AA" w:rsidP="00F305AA">
      <w:pPr>
        <w:spacing w:line="360" w:lineRule="auto"/>
        <w:ind w:firstLine="851"/>
        <w:jc w:val="both"/>
        <w:rPr>
          <w:rFonts w:ascii="Arial" w:hAnsi="Arial" w:cs="Arial"/>
          <w:sz w:val="24"/>
          <w:szCs w:val="24"/>
        </w:rPr>
      </w:pPr>
    </w:p>
    <w:p w14:paraId="716CF1A5" w14:textId="77777777" w:rsidR="00F305AA" w:rsidRPr="008B642B" w:rsidRDefault="00F305AA" w:rsidP="00F305AA">
      <w:pPr>
        <w:ind w:left="2268"/>
        <w:jc w:val="both"/>
        <w:rPr>
          <w:rFonts w:ascii="Arial" w:hAnsi="Arial" w:cs="Arial"/>
          <w:sz w:val="22"/>
          <w:szCs w:val="24"/>
        </w:rPr>
      </w:pPr>
      <w:r w:rsidRPr="008B642B">
        <w:rPr>
          <w:rFonts w:ascii="Arial" w:hAnsi="Arial" w:cs="Arial"/>
          <w:sz w:val="22"/>
          <w:szCs w:val="24"/>
        </w:rPr>
        <w:t xml:space="preserve">Outra indicação de </w:t>
      </w:r>
      <w:r w:rsidRPr="008B642B">
        <w:rPr>
          <w:rFonts w:ascii="Arial" w:hAnsi="Arial" w:cs="Arial"/>
          <w:b/>
          <w:sz w:val="22"/>
          <w:szCs w:val="24"/>
        </w:rPr>
        <w:t>deficiência na gestão dos programas</w:t>
      </w:r>
      <w:r w:rsidRPr="008B642B">
        <w:rPr>
          <w:rFonts w:ascii="Arial" w:hAnsi="Arial" w:cs="Arial"/>
          <w:sz w:val="22"/>
          <w:szCs w:val="24"/>
        </w:rPr>
        <w:t xml:space="preserve">, evidenciado nos documentos obtidos e nas entrevistas realizadas com os técnicos e gestores da SEFAZ, SED e GOIASFOMENTO, refere-se à </w:t>
      </w:r>
      <w:r w:rsidRPr="008B642B">
        <w:rPr>
          <w:rFonts w:ascii="Arial" w:hAnsi="Arial" w:cs="Arial"/>
          <w:b/>
          <w:sz w:val="22"/>
          <w:szCs w:val="24"/>
        </w:rPr>
        <w:t>ausência de integração entre as pastas</w:t>
      </w:r>
      <w:r w:rsidRPr="008B642B">
        <w:rPr>
          <w:rFonts w:ascii="Arial" w:hAnsi="Arial" w:cs="Arial"/>
          <w:sz w:val="22"/>
          <w:szCs w:val="24"/>
        </w:rPr>
        <w:t xml:space="preserve">. Consequentemente, a falta de sintonia acarreta divulgação divergente de informações, pois cada fonte se utiliza de informações de um dado momento. </w:t>
      </w:r>
    </w:p>
    <w:p w14:paraId="7B7F30D0" w14:textId="77777777" w:rsidR="00F305AA" w:rsidRPr="008B642B" w:rsidRDefault="00F305AA" w:rsidP="00F305AA">
      <w:pPr>
        <w:ind w:left="2268"/>
        <w:jc w:val="both"/>
        <w:rPr>
          <w:rFonts w:ascii="Arial" w:hAnsi="Arial" w:cs="Arial"/>
          <w:sz w:val="22"/>
          <w:szCs w:val="24"/>
        </w:rPr>
      </w:pPr>
      <w:r w:rsidRPr="008B642B">
        <w:rPr>
          <w:rFonts w:ascii="Arial" w:hAnsi="Arial" w:cs="Arial"/>
          <w:sz w:val="22"/>
          <w:szCs w:val="24"/>
        </w:rPr>
        <w:t xml:space="preserve">Mais grave ainda é ausência de controle sobre a inadimplência contratual, tanto de entrega de documentação quanto de pagamentos das parcelas devidas pelos contribuintes, resultando em atraso ou inexistência de suspensão contratual, aliada à baixa efetividade na cobrança dos débitos das empresas e com reflexo direto na queda da arrecadação estadual. </w:t>
      </w:r>
    </w:p>
    <w:p w14:paraId="59808EBA" w14:textId="77777777" w:rsidR="00F305AA" w:rsidRPr="008B642B" w:rsidRDefault="00F305AA" w:rsidP="00F305AA">
      <w:pPr>
        <w:ind w:left="2268"/>
        <w:jc w:val="both"/>
        <w:rPr>
          <w:rFonts w:ascii="Arial" w:hAnsi="Arial" w:cs="Arial"/>
          <w:sz w:val="22"/>
          <w:szCs w:val="24"/>
        </w:rPr>
      </w:pPr>
      <w:r w:rsidRPr="008B642B">
        <w:rPr>
          <w:rFonts w:ascii="Arial" w:hAnsi="Arial" w:cs="Arial"/>
          <w:sz w:val="22"/>
          <w:szCs w:val="24"/>
        </w:rPr>
        <w:t xml:space="preserve">A adoção de um </w:t>
      </w:r>
      <w:r w:rsidRPr="008B642B">
        <w:rPr>
          <w:rFonts w:ascii="Arial" w:hAnsi="Arial" w:cs="Arial"/>
          <w:b/>
          <w:sz w:val="22"/>
          <w:szCs w:val="24"/>
        </w:rPr>
        <w:t>sistema informatizado (</w:t>
      </w:r>
      <w:r w:rsidRPr="008B642B">
        <w:rPr>
          <w:rFonts w:ascii="Arial" w:hAnsi="Arial" w:cs="Arial"/>
          <w:b/>
          <w:i/>
          <w:sz w:val="22"/>
          <w:szCs w:val="24"/>
        </w:rPr>
        <w:t>software</w:t>
      </w:r>
      <w:r w:rsidRPr="008B642B">
        <w:rPr>
          <w:rFonts w:ascii="Arial" w:hAnsi="Arial" w:cs="Arial"/>
          <w:b/>
          <w:sz w:val="22"/>
          <w:szCs w:val="24"/>
        </w:rPr>
        <w:t>) integrado para gerenciamento e operacionalização</w:t>
      </w:r>
      <w:r w:rsidRPr="008B642B">
        <w:rPr>
          <w:rFonts w:ascii="Arial" w:hAnsi="Arial" w:cs="Arial"/>
          <w:sz w:val="22"/>
          <w:szCs w:val="24"/>
        </w:rPr>
        <w:t xml:space="preserve"> dos programas PRODUZIR e FOMENTAR, com intuito de aperfeiçoar os controles, dar agilidade à execução das tarefas e possibilitar a emissão de relatórios completos e consistentes, </w:t>
      </w:r>
      <w:r w:rsidRPr="008B642B">
        <w:rPr>
          <w:rFonts w:ascii="Arial" w:hAnsi="Arial" w:cs="Arial"/>
          <w:b/>
          <w:sz w:val="22"/>
          <w:szCs w:val="24"/>
        </w:rPr>
        <w:t>resultaria em maior segurança e fidedignidade no gerenciamento dos valores dos incentivos</w:t>
      </w:r>
      <w:r w:rsidRPr="008B642B">
        <w:rPr>
          <w:rFonts w:ascii="Arial" w:hAnsi="Arial" w:cs="Arial"/>
          <w:sz w:val="22"/>
          <w:szCs w:val="24"/>
        </w:rPr>
        <w:t xml:space="preserve"> concedidos.</w:t>
      </w:r>
      <w:r>
        <w:rPr>
          <w:rStyle w:val="Refdenotaderodap"/>
          <w:rFonts w:ascii="Arial" w:hAnsi="Arial" w:cs="Arial"/>
          <w:sz w:val="22"/>
          <w:szCs w:val="24"/>
        </w:rPr>
        <w:footnoteReference w:id="67"/>
      </w:r>
    </w:p>
    <w:p w14:paraId="33F05674" w14:textId="77777777" w:rsidR="00F305AA" w:rsidRDefault="00F305AA" w:rsidP="00F305AA">
      <w:pPr>
        <w:spacing w:line="360" w:lineRule="auto"/>
        <w:ind w:firstLine="851"/>
        <w:jc w:val="both"/>
        <w:rPr>
          <w:rFonts w:ascii="Arial" w:hAnsi="Arial" w:cs="Arial"/>
          <w:sz w:val="24"/>
          <w:szCs w:val="24"/>
        </w:rPr>
      </w:pPr>
    </w:p>
    <w:p w14:paraId="263174A9"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 xml:space="preserve">A Controladoria-Geral do Estado, em mais de uma oportunidade, também apontou as deficiências de gestão dos programas FOMENTAR e PRODUZIR, reforçando a necessidade de adoção de um sistema informatizado e integrado de controle dos benefícios fiscais concedidos. Chama atenção o fato de que </w:t>
      </w:r>
      <w:r>
        <w:rPr>
          <w:rFonts w:ascii="Arial" w:hAnsi="Arial" w:cs="Arial"/>
          <w:b/>
          <w:sz w:val="24"/>
          <w:szCs w:val="24"/>
        </w:rPr>
        <w:t>essa recomendação já foi feita há mais de 12 anos</w:t>
      </w:r>
      <w:r>
        <w:rPr>
          <w:rFonts w:ascii="Arial" w:hAnsi="Arial" w:cs="Arial"/>
          <w:sz w:val="24"/>
          <w:szCs w:val="24"/>
        </w:rPr>
        <w:t xml:space="preserve"> e, até o presente momento, o necessário sistema ainda não é utilizado pelos envolvidos:</w:t>
      </w:r>
    </w:p>
    <w:p w14:paraId="52554D09" w14:textId="77777777" w:rsidR="00F305AA" w:rsidRDefault="00F305AA" w:rsidP="00F305AA">
      <w:pPr>
        <w:spacing w:line="360" w:lineRule="auto"/>
        <w:ind w:firstLine="851"/>
        <w:jc w:val="both"/>
        <w:rPr>
          <w:rFonts w:ascii="Arial" w:hAnsi="Arial" w:cs="Arial"/>
          <w:sz w:val="24"/>
          <w:szCs w:val="24"/>
        </w:rPr>
      </w:pPr>
    </w:p>
    <w:p w14:paraId="2D7943B6" w14:textId="77777777" w:rsidR="00F305AA" w:rsidRPr="00AA6094" w:rsidRDefault="00F305AA" w:rsidP="00F305AA">
      <w:pPr>
        <w:ind w:left="2268"/>
        <w:jc w:val="both"/>
        <w:rPr>
          <w:rFonts w:ascii="Arial" w:hAnsi="Arial" w:cs="Arial"/>
          <w:sz w:val="22"/>
          <w:szCs w:val="24"/>
        </w:rPr>
      </w:pPr>
      <w:r w:rsidRPr="00AA6094">
        <w:rPr>
          <w:rFonts w:ascii="Arial" w:hAnsi="Arial" w:cs="Arial"/>
          <w:sz w:val="22"/>
          <w:szCs w:val="24"/>
        </w:rPr>
        <w:t>Apesar de haver um sistema digital, denominado Sistema de Informação Financeira SIF/SED, esse foi implantando em 2016 e não contempla todas as fases/etapas do benefício, tampouco abrange todos os órgãos/entidade responsáveis pelo Programa.</w:t>
      </w:r>
    </w:p>
    <w:p w14:paraId="2027771C" w14:textId="6F6C608E" w:rsidR="00F305AA" w:rsidRPr="00AA6094" w:rsidRDefault="00F305AA" w:rsidP="00F305AA">
      <w:pPr>
        <w:ind w:left="2268"/>
        <w:jc w:val="both"/>
        <w:rPr>
          <w:rFonts w:ascii="Arial" w:hAnsi="Arial" w:cs="Arial"/>
          <w:sz w:val="22"/>
          <w:szCs w:val="24"/>
        </w:rPr>
      </w:pPr>
      <w:r w:rsidRPr="00AA6094">
        <w:rPr>
          <w:rFonts w:ascii="Arial" w:hAnsi="Arial" w:cs="Arial"/>
          <w:sz w:val="22"/>
          <w:szCs w:val="24"/>
        </w:rPr>
        <w:t xml:space="preserve">Para ilustrar essa situação, cita-se o processo nº </w:t>
      </w:r>
      <w:r w:rsidR="002D7678">
        <w:rPr>
          <w:rFonts w:ascii="Arial" w:hAnsi="Arial" w:cs="Arial"/>
          <w:sz w:val="22"/>
          <w:szCs w:val="24"/>
        </w:rPr>
        <w:t>[...]</w:t>
      </w:r>
      <w:r w:rsidRPr="00AA6094">
        <w:rPr>
          <w:rFonts w:ascii="Arial" w:hAnsi="Arial" w:cs="Arial"/>
          <w:sz w:val="22"/>
          <w:szCs w:val="24"/>
        </w:rPr>
        <w:t xml:space="preserve">, relativo à solicitação realizada pela empresa </w:t>
      </w:r>
      <w:r w:rsidR="002D7678">
        <w:rPr>
          <w:rFonts w:ascii="Arial" w:hAnsi="Arial" w:cs="Arial"/>
          <w:sz w:val="22"/>
          <w:szCs w:val="24"/>
        </w:rPr>
        <w:t>[...]</w:t>
      </w:r>
      <w:r w:rsidRPr="00AA6094">
        <w:rPr>
          <w:rFonts w:ascii="Arial" w:hAnsi="Arial" w:cs="Arial"/>
          <w:sz w:val="22"/>
          <w:szCs w:val="24"/>
        </w:rPr>
        <w:t xml:space="preserve"> de parcelamento do saldo devedor, no qual a SED, por meio da Gerência de Análise de Projetos e Auditoria, requisita à GoiásFomento informação quanto à adimplência ou não das obrigações financeiras junto à instituição.</w:t>
      </w:r>
    </w:p>
    <w:p w14:paraId="2511266B" w14:textId="39BF4A5A" w:rsidR="00F305AA" w:rsidRPr="00AA6094" w:rsidRDefault="00F305AA" w:rsidP="00F305AA">
      <w:pPr>
        <w:ind w:left="2268"/>
        <w:jc w:val="both"/>
        <w:rPr>
          <w:rFonts w:ascii="Arial" w:hAnsi="Arial" w:cs="Arial"/>
          <w:sz w:val="22"/>
          <w:szCs w:val="24"/>
        </w:rPr>
      </w:pPr>
      <w:r w:rsidRPr="00AA6094">
        <w:rPr>
          <w:rFonts w:ascii="Arial" w:hAnsi="Arial" w:cs="Arial"/>
          <w:sz w:val="22"/>
          <w:szCs w:val="24"/>
        </w:rPr>
        <w:t xml:space="preserve">Outro exemplo é a ausência de identificação, por parte da SED, de todos os processos relativos à empresa </w:t>
      </w:r>
      <w:r w:rsidR="002D7678">
        <w:rPr>
          <w:rFonts w:ascii="Arial" w:hAnsi="Arial" w:cs="Arial"/>
          <w:sz w:val="22"/>
          <w:szCs w:val="24"/>
        </w:rPr>
        <w:t>[...]</w:t>
      </w:r>
      <w:r w:rsidRPr="00AA6094">
        <w:rPr>
          <w:rFonts w:ascii="Arial" w:hAnsi="Arial" w:cs="Arial"/>
          <w:sz w:val="22"/>
          <w:szCs w:val="24"/>
        </w:rPr>
        <w:t xml:space="preserve">, pois no Despacho nº </w:t>
      </w:r>
      <w:r w:rsidR="002D7678">
        <w:rPr>
          <w:rFonts w:ascii="Arial" w:hAnsi="Arial" w:cs="Arial"/>
          <w:sz w:val="22"/>
          <w:szCs w:val="24"/>
        </w:rPr>
        <w:t>[...]</w:t>
      </w:r>
      <w:r w:rsidRPr="00AA6094">
        <w:rPr>
          <w:rFonts w:ascii="Arial" w:hAnsi="Arial" w:cs="Arial"/>
          <w:sz w:val="22"/>
          <w:szCs w:val="24"/>
        </w:rPr>
        <w:t xml:space="preserve"> foram identificados 16 (dezesseis) processos, no entanto, da análise dos documentos constantes nos processos encaminhados, observou-se a existência de outros, quais sejam: [...], que ainda podem não representar a totalidade dos processos existentes em nome da empresa e relativos </w:t>
      </w:r>
      <w:r w:rsidRPr="00AA6094">
        <w:rPr>
          <w:rFonts w:ascii="Arial" w:hAnsi="Arial" w:cs="Arial"/>
          <w:sz w:val="22"/>
          <w:szCs w:val="24"/>
        </w:rPr>
        <w:lastRenderedPageBreak/>
        <w:t>ao benefício do PRODUZIR. Isso representou um fator limitador para análise da equipe. Não foi possível verificar, inclusive, se houve por parte da empresa comunicação à Comissão Executiva de todas as alterações de ato constitutivo.</w:t>
      </w:r>
    </w:p>
    <w:p w14:paraId="1DFBA805" w14:textId="77777777" w:rsidR="00F305AA" w:rsidRPr="00AA6094" w:rsidRDefault="00F305AA" w:rsidP="00F305AA">
      <w:pPr>
        <w:ind w:left="2268"/>
        <w:jc w:val="both"/>
        <w:rPr>
          <w:rFonts w:ascii="Arial" w:hAnsi="Arial" w:cs="Arial"/>
          <w:sz w:val="22"/>
          <w:szCs w:val="24"/>
        </w:rPr>
      </w:pPr>
      <w:r w:rsidRPr="00AA6094">
        <w:rPr>
          <w:rFonts w:ascii="Arial" w:hAnsi="Arial" w:cs="Arial"/>
          <w:sz w:val="22"/>
          <w:szCs w:val="24"/>
        </w:rPr>
        <w:t xml:space="preserve">Convém mencionar que, em estudo realizado pelo então Gabinete de Controle Interno </w:t>
      </w:r>
      <w:r w:rsidRPr="00AA6094">
        <w:rPr>
          <w:rFonts w:ascii="Arial" w:hAnsi="Arial" w:cs="Arial"/>
          <w:b/>
          <w:sz w:val="22"/>
          <w:szCs w:val="24"/>
        </w:rPr>
        <w:t>no exercício de 2007</w:t>
      </w:r>
      <w:r w:rsidRPr="00AA6094">
        <w:rPr>
          <w:rFonts w:ascii="Arial" w:hAnsi="Arial" w:cs="Arial"/>
          <w:sz w:val="22"/>
          <w:szCs w:val="24"/>
        </w:rPr>
        <w:t xml:space="preserve"> e encaminhado à SEFAZ mediante </w:t>
      </w:r>
      <w:r w:rsidRPr="00AA6094">
        <w:rPr>
          <w:rFonts w:ascii="Arial" w:hAnsi="Arial" w:cs="Arial"/>
          <w:b/>
          <w:sz w:val="22"/>
          <w:szCs w:val="24"/>
        </w:rPr>
        <w:t>Ofício nº 896/2007-GAB</w:t>
      </w:r>
      <w:r w:rsidRPr="00AA6094">
        <w:rPr>
          <w:rFonts w:ascii="Arial" w:hAnsi="Arial" w:cs="Arial"/>
          <w:sz w:val="22"/>
          <w:szCs w:val="24"/>
        </w:rPr>
        <w:t xml:space="preserve">, foi </w:t>
      </w:r>
      <w:r w:rsidRPr="00AA6094">
        <w:rPr>
          <w:rFonts w:ascii="Arial" w:hAnsi="Arial" w:cs="Arial"/>
          <w:b/>
          <w:sz w:val="22"/>
          <w:szCs w:val="24"/>
        </w:rPr>
        <w:t>citado como um dos pontos críticos do Programa a falta de integração entre os agentes e sugerida a criação de um sistema eletrônico de dados integrado</w:t>
      </w:r>
      <w:r w:rsidRPr="00AA6094">
        <w:rPr>
          <w:rFonts w:ascii="Arial" w:hAnsi="Arial" w:cs="Arial"/>
          <w:sz w:val="22"/>
          <w:szCs w:val="24"/>
        </w:rPr>
        <w:t>.</w:t>
      </w:r>
      <w:r w:rsidRPr="00AA6094">
        <w:rPr>
          <w:rStyle w:val="Refdenotaderodap"/>
          <w:rFonts w:ascii="Arial" w:hAnsi="Arial" w:cs="Arial"/>
          <w:sz w:val="22"/>
          <w:szCs w:val="24"/>
        </w:rPr>
        <w:footnoteReference w:id="68"/>
      </w:r>
    </w:p>
    <w:p w14:paraId="5A6996CA" w14:textId="77777777" w:rsidR="00F305AA" w:rsidRDefault="00F305AA" w:rsidP="00F305AA">
      <w:pPr>
        <w:spacing w:line="360" w:lineRule="auto"/>
        <w:ind w:firstLine="851"/>
        <w:jc w:val="both"/>
        <w:rPr>
          <w:rFonts w:ascii="Arial" w:hAnsi="Arial" w:cs="Arial"/>
          <w:sz w:val="24"/>
          <w:szCs w:val="24"/>
        </w:rPr>
      </w:pPr>
    </w:p>
    <w:p w14:paraId="1FCAAE75"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 prossegue a equipe da CGE mencionando os benefícios da adoção desse sistema:</w:t>
      </w:r>
    </w:p>
    <w:p w14:paraId="3D9387A2" w14:textId="77777777" w:rsidR="00F305AA" w:rsidRDefault="00F305AA" w:rsidP="00F305AA">
      <w:pPr>
        <w:spacing w:line="360" w:lineRule="auto"/>
        <w:ind w:firstLine="851"/>
        <w:jc w:val="both"/>
        <w:rPr>
          <w:rFonts w:ascii="Arial" w:hAnsi="Arial" w:cs="Arial"/>
          <w:sz w:val="24"/>
          <w:szCs w:val="24"/>
        </w:rPr>
      </w:pPr>
    </w:p>
    <w:p w14:paraId="5FC7367B" w14:textId="77777777" w:rsidR="00F305AA" w:rsidRPr="00AA6094" w:rsidRDefault="00F305AA" w:rsidP="00F305AA">
      <w:pPr>
        <w:ind w:left="2268"/>
        <w:jc w:val="both"/>
        <w:rPr>
          <w:rFonts w:ascii="Arial" w:hAnsi="Arial" w:cs="Arial"/>
          <w:sz w:val="22"/>
          <w:szCs w:val="24"/>
        </w:rPr>
      </w:pPr>
      <w:r w:rsidRPr="00AA6094">
        <w:rPr>
          <w:rFonts w:ascii="Arial" w:hAnsi="Arial" w:cs="Arial"/>
          <w:sz w:val="22"/>
          <w:szCs w:val="24"/>
        </w:rPr>
        <w:t>Observa-se pelas manifestações que o sistema ainda se encontra em desenvolvimento e não abrange todos os envolvidos e todas as etapas do Programa. Cumpre ressaltar que um sistema integrado possibilita a otimização do processo, uma vez que todas as informações serão visualizadas em um único ambiente e será possível o controle de todas as etapas do Programa, a emissão de relatórios gerenciais e uma comunicação mais eficiente entre a SED, SEFAZ e GOIASFOMENTO.</w:t>
      </w:r>
      <w:r>
        <w:rPr>
          <w:rStyle w:val="Refdenotaderodap"/>
          <w:rFonts w:ascii="Arial" w:hAnsi="Arial" w:cs="Arial"/>
          <w:sz w:val="22"/>
          <w:szCs w:val="24"/>
        </w:rPr>
        <w:footnoteReference w:id="69"/>
      </w:r>
    </w:p>
    <w:p w14:paraId="7881E459" w14:textId="77777777" w:rsidR="00F305AA" w:rsidRPr="00AA6094" w:rsidRDefault="00F305AA" w:rsidP="00F305AA">
      <w:pPr>
        <w:spacing w:line="360" w:lineRule="auto"/>
        <w:ind w:firstLine="851"/>
        <w:jc w:val="both"/>
        <w:rPr>
          <w:rFonts w:ascii="Arial" w:hAnsi="Arial" w:cs="Arial"/>
          <w:sz w:val="24"/>
          <w:szCs w:val="24"/>
        </w:rPr>
      </w:pPr>
    </w:p>
    <w:p w14:paraId="2A22181B" w14:textId="77777777"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A CGE expressamente recomendou aos órgãos envolvidos nos programas FOMENTAR e PRODUZIR, a saber: SIC, Secretaria da Economia e GOIASFOMENTO:</w:t>
      </w:r>
    </w:p>
    <w:p w14:paraId="79037B54" w14:textId="77777777" w:rsidR="00F305AA" w:rsidRDefault="00F305AA" w:rsidP="00F305AA">
      <w:pPr>
        <w:spacing w:line="360" w:lineRule="auto"/>
        <w:ind w:firstLine="851"/>
        <w:jc w:val="both"/>
        <w:rPr>
          <w:rFonts w:ascii="Arial" w:hAnsi="Arial" w:cs="Arial"/>
          <w:sz w:val="24"/>
          <w:szCs w:val="24"/>
        </w:rPr>
      </w:pPr>
    </w:p>
    <w:p w14:paraId="159F3636" w14:textId="77777777" w:rsidR="00F305AA" w:rsidRPr="00692CFF" w:rsidRDefault="00F305AA" w:rsidP="00F305AA">
      <w:pPr>
        <w:ind w:left="2268"/>
        <w:jc w:val="both"/>
        <w:rPr>
          <w:rFonts w:ascii="Arial" w:hAnsi="Arial" w:cs="Arial"/>
          <w:sz w:val="22"/>
          <w:szCs w:val="24"/>
        </w:rPr>
      </w:pPr>
      <w:r w:rsidRPr="00692CFF">
        <w:rPr>
          <w:rFonts w:ascii="Arial" w:hAnsi="Arial" w:cs="Arial"/>
          <w:sz w:val="22"/>
          <w:szCs w:val="24"/>
        </w:rPr>
        <w:t>Implantar sistema que promova a integração de informações entre as três Pastas envolvidas na operacionalização do Programa (SIC, GoiásFomento e Secretaria da Economia), de forma a permitir:</w:t>
      </w:r>
    </w:p>
    <w:p w14:paraId="17EF704A" w14:textId="77777777" w:rsidR="00F305AA" w:rsidRPr="00692CFF" w:rsidRDefault="00F305AA" w:rsidP="00502615">
      <w:pPr>
        <w:pStyle w:val="PargrafodaLista"/>
        <w:numPr>
          <w:ilvl w:val="0"/>
          <w:numId w:val="45"/>
        </w:numPr>
        <w:ind w:left="2835" w:hanging="567"/>
        <w:jc w:val="both"/>
        <w:rPr>
          <w:rFonts w:ascii="Arial" w:hAnsi="Arial" w:cs="Arial"/>
          <w:sz w:val="22"/>
          <w:szCs w:val="24"/>
        </w:rPr>
      </w:pPr>
      <w:r w:rsidRPr="00692CFF">
        <w:rPr>
          <w:rFonts w:ascii="Arial" w:hAnsi="Arial" w:cs="Arial"/>
          <w:sz w:val="22"/>
          <w:szCs w:val="24"/>
        </w:rPr>
        <w:t>o acompanhamento das recomendações exaradas por cada Unidade;</w:t>
      </w:r>
    </w:p>
    <w:p w14:paraId="57B382F9" w14:textId="77777777" w:rsidR="00F305AA" w:rsidRPr="00692CFF" w:rsidRDefault="00F305AA" w:rsidP="00502615">
      <w:pPr>
        <w:pStyle w:val="PargrafodaLista"/>
        <w:numPr>
          <w:ilvl w:val="0"/>
          <w:numId w:val="45"/>
        </w:numPr>
        <w:ind w:left="2835" w:hanging="567"/>
        <w:jc w:val="both"/>
        <w:rPr>
          <w:rFonts w:ascii="Arial" w:hAnsi="Arial" w:cs="Arial"/>
          <w:sz w:val="22"/>
          <w:szCs w:val="24"/>
        </w:rPr>
      </w:pPr>
      <w:r w:rsidRPr="00692CFF">
        <w:rPr>
          <w:rFonts w:ascii="Arial" w:hAnsi="Arial" w:cs="Arial"/>
          <w:sz w:val="22"/>
          <w:szCs w:val="24"/>
        </w:rPr>
        <w:t>verificar a inadimplência das empresas em relação às obrigações com cada Pasta, permitindo que se efetive atempadamente a suspensão do contrato de financiamento e as cobranças devidas;</w:t>
      </w:r>
    </w:p>
    <w:p w14:paraId="1CB47E39" w14:textId="77777777" w:rsidR="00F305AA" w:rsidRPr="00692CFF" w:rsidRDefault="00F305AA" w:rsidP="00502615">
      <w:pPr>
        <w:pStyle w:val="PargrafodaLista"/>
        <w:numPr>
          <w:ilvl w:val="0"/>
          <w:numId w:val="45"/>
        </w:numPr>
        <w:ind w:left="2835" w:hanging="567"/>
        <w:jc w:val="both"/>
        <w:rPr>
          <w:rFonts w:ascii="Arial" w:hAnsi="Arial" w:cs="Arial"/>
          <w:sz w:val="22"/>
          <w:szCs w:val="24"/>
        </w:rPr>
      </w:pPr>
      <w:r w:rsidRPr="00692CFF">
        <w:rPr>
          <w:rFonts w:ascii="Arial" w:hAnsi="Arial" w:cs="Arial"/>
          <w:sz w:val="22"/>
          <w:szCs w:val="24"/>
        </w:rPr>
        <w:t>verificar a ausência de recolhimento de ICMS por períodos prolongados, sugerindo que a empresa possa ter encerrado suas atividades ou não ter dado continuidade ao projeto aprovado, o que dá causa à revogação do contrato;</w:t>
      </w:r>
    </w:p>
    <w:p w14:paraId="535B1C89" w14:textId="77777777" w:rsidR="00F305AA" w:rsidRPr="00692CFF" w:rsidRDefault="00F305AA" w:rsidP="00502615">
      <w:pPr>
        <w:pStyle w:val="PargrafodaLista"/>
        <w:numPr>
          <w:ilvl w:val="0"/>
          <w:numId w:val="45"/>
        </w:numPr>
        <w:ind w:left="2835" w:hanging="567"/>
        <w:jc w:val="both"/>
        <w:rPr>
          <w:rFonts w:ascii="Arial" w:hAnsi="Arial" w:cs="Arial"/>
          <w:sz w:val="22"/>
          <w:szCs w:val="24"/>
        </w:rPr>
      </w:pPr>
      <w:r w:rsidRPr="00692CFF">
        <w:rPr>
          <w:rFonts w:ascii="Arial" w:hAnsi="Arial" w:cs="Arial"/>
          <w:sz w:val="22"/>
          <w:szCs w:val="24"/>
        </w:rPr>
        <w:t>verificar atrasos no encaminhamento dos documentos para a auditoria de quitação, o que acarreta a declaração da perda do desconto e cobrança do respectivo saldo devedor.</w:t>
      </w:r>
      <w:r>
        <w:rPr>
          <w:rStyle w:val="Refdenotaderodap"/>
          <w:rFonts w:ascii="Arial" w:hAnsi="Arial" w:cs="Arial"/>
          <w:sz w:val="22"/>
          <w:szCs w:val="24"/>
        </w:rPr>
        <w:footnoteReference w:id="70"/>
      </w:r>
    </w:p>
    <w:p w14:paraId="696286B7" w14:textId="77777777" w:rsidR="00F305AA" w:rsidRDefault="00F305AA" w:rsidP="00F305AA">
      <w:pPr>
        <w:spacing w:line="360" w:lineRule="auto"/>
        <w:ind w:firstLine="851"/>
        <w:jc w:val="both"/>
        <w:rPr>
          <w:rFonts w:ascii="Arial" w:hAnsi="Arial" w:cs="Arial"/>
          <w:sz w:val="24"/>
          <w:szCs w:val="24"/>
        </w:rPr>
      </w:pPr>
    </w:p>
    <w:p w14:paraId="03D6F73F" w14:textId="41FCEEA5"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lastRenderedPageBreak/>
        <w:t xml:space="preserve">Diante de todo o exposto no presente tópico, resta mais que evidenciada a </w:t>
      </w:r>
      <w:r w:rsidRPr="00692CFF">
        <w:rPr>
          <w:rFonts w:ascii="Arial" w:hAnsi="Arial" w:cs="Arial"/>
          <w:b/>
          <w:sz w:val="24"/>
          <w:szCs w:val="24"/>
        </w:rPr>
        <w:t>necessidade imperiosa de adoção de um sistema informatizado e integrado de gestão dos programas de incentivos fiscais concedidos pelo Estado</w:t>
      </w:r>
      <w:r>
        <w:rPr>
          <w:rFonts w:ascii="Arial" w:hAnsi="Arial" w:cs="Arial"/>
          <w:sz w:val="24"/>
          <w:szCs w:val="24"/>
        </w:rPr>
        <w:t>, de forma a permitir o controle efetivo e em tempo real dos beneficiários e a ação tempestiva e efetiva dos órgãos gestores, a fim de assegurar o cumprimento da legislação vigente e que os programas de renúncia de receita estão produzindo os resultados deles esperados.</w:t>
      </w:r>
    </w:p>
    <w:p w14:paraId="68D7DA6A" w14:textId="0FCF260D" w:rsidR="00F305AA" w:rsidRDefault="00F305AA" w:rsidP="00F305AA">
      <w:pPr>
        <w:spacing w:line="360" w:lineRule="auto"/>
        <w:ind w:firstLine="851"/>
        <w:jc w:val="both"/>
        <w:rPr>
          <w:rFonts w:ascii="Arial" w:hAnsi="Arial" w:cs="Arial"/>
          <w:sz w:val="24"/>
          <w:szCs w:val="24"/>
        </w:rPr>
      </w:pPr>
      <w:r>
        <w:rPr>
          <w:rFonts w:ascii="Arial" w:hAnsi="Arial" w:cs="Arial"/>
          <w:sz w:val="24"/>
          <w:szCs w:val="24"/>
        </w:rPr>
        <w:t>Essa recomendação aplica-se, inclusive, para outros programas de incentivo fiscal que venham a ser implantados no Estado de Goiás.</w:t>
      </w:r>
    </w:p>
    <w:p w14:paraId="59D5D534" w14:textId="4DCE0F18" w:rsidR="006126D6" w:rsidRDefault="006126D6" w:rsidP="006126D6">
      <w:pPr>
        <w:spacing w:line="360" w:lineRule="auto"/>
        <w:ind w:firstLine="851"/>
        <w:jc w:val="both"/>
        <w:rPr>
          <w:rFonts w:ascii="Arial" w:hAnsi="Arial" w:cs="Arial"/>
          <w:sz w:val="24"/>
          <w:szCs w:val="24"/>
        </w:rPr>
      </w:pPr>
      <w:r>
        <w:rPr>
          <w:rFonts w:ascii="Arial" w:hAnsi="Arial" w:cs="Arial"/>
          <w:sz w:val="24"/>
          <w:szCs w:val="24"/>
        </w:rPr>
        <w:t>Por fim, ressalte-se que a inexistência desse sistema não elide a responsabilidade dos gestores dos programas, visto que a obrigação de verificar os requisitos para concessão e fruição dos benefícios cabe aos gestores por força de expressa previsão em lei.</w:t>
      </w:r>
    </w:p>
    <w:p w14:paraId="453D21F6" w14:textId="778B508B" w:rsidR="00B05044" w:rsidRDefault="00B05044" w:rsidP="00713208">
      <w:pPr>
        <w:spacing w:line="360" w:lineRule="auto"/>
        <w:ind w:firstLine="851"/>
        <w:jc w:val="both"/>
        <w:rPr>
          <w:rFonts w:ascii="Arial" w:hAnsi="Arial" w:cs="Arial"/>
          <w:b/>
          <w:sz w:val="24"/>
          <w:szCs w:val="24"/>
        </w:rPr>
      </w:pPr>
    </w:p>
    <w:p w14:paraId="6A58BC20" w14:textId="48CEFB6A" w:rsidR="003D255C" w:rsidRPr="003D3791" w:rsidRDefault="003D255C" w:rsidP="003D255C">
      <w:pPr>
        <w:spacing w:line="360" w:lineRule="auto"/>
        <w:ind w:firstLine="851"/>
        <w:jc w:val="both"/>
        <w:rPr>
          <w:rFonts w:ascii="Arial" w:hAnsi="Arial" w:cs="Arial"/>
          <w:b/>
          <w:bCs/>
          <w:sz w:val="24"/>
          <w:szCs w:val="24"/>
        </w:rPr>
      </w:pPr>
      <w:r w:rsidRPr="003D3791">
        <w:rPr>
          <w:rFonts w:ascii="Arial" w:hAnsi="Arial" w:cs="Arial"/>
          <w:b/>
          <w:bCs/>
          <w:sz w:val="24"/>
          <w:szCs w:val="24"/>
        </w:rPr>
        <w:t>6.3 – CONSIDERAÇÕES COMPLEMENTARES DESTA CPI</w:t>
      </w:r>
    </w:p>
    <w:p w14:paraId="5A84F9F7" w14:textId="77777777" w:rsidR="003D255C" w:rsidRPr="003D3791" w:rsidRDefault="003D255C" w:rsidP="003D255C">
      <w:pPr>
        <w:spacing w:line="360" w:lineRule="auto"/>
        <w:ind w:firstLine="851"/>
        <w:jc w:val="both"/>
        <w:rPr>
          <w:rFonts w:ascii="Arial" w:hAnsi="Arial" w:cs="Arial"/>
          <w:b/>
          <w:bCs/>
          <w:sz w:val="24"/>
          <w:szCs w:val="24"/>
        </w:rPr>
      </w:pPr>
    </w:p>
    <w:p w14:paraId="59A9C404" w14:textId="46E1D46C" w:rsidR="00A4799C" w:rsidRPr="003D3791" w:rsidRDefault="00A4799C" w:rsidP="00A4799C">
      <w:pPr>
        <w:spacing w:line="360" w:lineRule="auto"/>
        <w:ind w:firstLine="851"/>
        <w:jc w:val="both"/>
        <w:rPr>
          <w:rFonts w:ascii="Arial" w:hAnsi="Arial" w:cs="Arial"/>
          <w:b/>
          <w:bCs/>
          <w:sz w:val="24"/>
          <w:szCs w:val="24"/>
          <w:u w:val="single"/>
        </w:rPr>
      </w:pPr>
      <w:r w:rsidRPr="003D3791">
        <w:rPr>
          <w:rFonts w:ascii="Arial" w:hAnsi="Arial" w:cs="Arial"/>
          <w:b/>
          <w:bCs/>
          <w:sz w:val="24"/>
          <w:szCs w:val="24"/>
          <w:u w:val="single"/>
        </w:rPr>
        <w:t>6.3.1 – GOIÁSFOMENTO: burocratização desnecessária e ineficiência</w:t>
      </w:r>
    </w:p>
    <w:p w14:paraId="575B03B3" w14:textId="4CE78325" w:rsidR="00A4799C" w:rsidRPr="003D3791" w:rsidRDefault="00A4799C" w:rsidP="003D255C">
      <w:pPr>
        <w:spacing w:line="360" w:lineRule="auto"/>
        <w:ind w:firstLine="851"/>
        <w:jc w:val="both"/>
        <w:rPr>
          <w:rFonts w:ascii="Arial" w:hAnsi="Arial" w:cs="Arial"/>
          <w:b/>
          <w:bCs/>
          <w:sz w:val="24"/>
          <w:szCs w:val="24"/>
          <w:u w:val="single"/>
        </w:rPr>
      </w:pPr>
    </w:p>
    <w:p w14:paraId="689F04E5" w14:textId="02DC31B0" w:rsidR="00A4799C" w:rsidRPr="003D3791" w:rsidRDefault="00A4799C" w:rsidP="003D255C">
      <w:pPr>
        <w:spacing w:line="360" w:lineRule="auto"/>
        <w:ind w:firstLine="851"/>
        <w:jc w:val="both"/>
        <w:rPr>
          <w:rFonts w:ascii="Arial" w:hAnsi="Arial" w:cs="Arial"/>
          <w:sz w:val="24"/>
          <w:szCs w:val="24"/>
        </w:rPr>
      </w:pPr>
      <w:r w:rsidRPr="003D3791">
        <w:rPr>
          <w:rFonts w:ascii="Arial" w:hAnsi="Arial" w:cs="Arial"/>
          <w:sz w:val="24"/>
          <w:szCs w:val="24"/>
        </w:rPr>
        <w:t xml:space="preserve">Conforme já discorrido no item </w:t>
      </w:r>
      <w:r w:rsidR="00E13EC4" w:rsidRPr="003D3791">
        <w:rPr>
          <w:rFonts w:ascii="Arial" w:hAnsi="Arial" w:cs="Arial"/>
          <w:sz w:val="24"/>
          <w:szCs w:val="24"/>
        </w:rPr>
        <w:t>6.</w:t>
      </w:r>
      <w:r w:rsidR="00F13C98" w:rsidRPr="003D3791">
        <w:rPr>
          <w:rFonts w:ascii="Arial" w:hAnsi="Arial" w:cs="Arial"/>
          <w:sz w:val="24"/>
          <w:szCs w:val="24"/>
        </w:rPr>
        <w:t>1.</w:t>
      </w:r>
      <w:r w:rsidR="00E13EC4" w:rsidRPr="003D3791">
        <w:rPr>
          <w:rFonts w:ascii="Arial" w:hAnsi="Arial" w:cs="Arial"/>
          <w:sz w:val="24"/>
          <w:szCs w:val="24"/>
        </w:rPr>
        <w:t>3</w:t>
      </w:r>
      <w:r w:rsidRPr="003D3791">
        <w:rPr>
          <w:rFonts w:ascii="Arial" w:hAnsi="Arial" w:cs="Arial"/>
          <w:sz w:val="24"/>
          <w:szCs w:val="24"/>
        </w:rPr>
        <w:t xml:space="preserve"> deste relatório, </w:t>
      </w:r>
      <w:r w:rsidRPr="003D3791">
        <w:rPr>
          <w:rFonts w:ascii="Arial" w:hAnsi="Arial" w:cs="Arial"/>
          <w:b/>
          <w:bCs/>
          <w:sz w:val="24"/>
          <w:szCs w:val="24"/>
        </w:rPr>
        <w:t>os Programas FOMENTAR e PRODUZIR</w:t>
      </w:r>
      <w:r w:rsidRPr="003D3791">
        <w:rPr>
          <w:rFonts w:ascii="Arial" w:hAnsi="Arial" w:cs="Arial"/>
          <w:sz w:val="24"/>
          <w:szCs w:val="24"/>
        </w:rPr>
        <w:t>, a despeito de terem sido concebidos como de natureza financeira</w:t>
      </w:r>
      <w:r w:rsidR="003D1D9A" w:rsidRPr="003D3791">
        <w:rPr>
          <w:rFonts w:ascii="Arial" w:hAnsi="Arial" w:cs="Arial"/>
          <w:sz w:val="24"/>
          <w:szCs w:val="24"/>
        </w:rPr>
        <w:t xml:space="preserve"> para se esquivarem da necessidade de prévio convênio autorizativo no âmbito do Confaz, </w:t>
      </w:r>
      <w:r w:rsidR="003D1D9A" w:rsidRPr="003D3791">
        <w:rPr>
          <w:rFonts w:ascii="Arial" w:hAnsi="Arial" w:cs="Arial"/>
          <w:b/>
          <w:bCs/>
          <w:sz w:val="24"/>
          <w:szCs w:val="24"/>
        </w:rPr>
        <w:t>possuem natureza indiscutivelmente fiscal</w:t>
      </w:r>
      <w:r w:rsidR="003D1D9A" w:rsidRPr="003D3791">
        <w:rPr>
          <w:rFonts w:ascii="Arial" w:hAnsi="Arial" w:cs="Arial"/>
          <w:sz w:val="24"/>
          <w:szCs w:val="24"/>
        </w:rPr>
        <w:t>, sujeito a todas as implicações inerentes.</w:t>
      </w:r>
    </w:p>
    <w:p w14:paraId="5D5B4B40" w14:textId="77060613" w:rsidR="003D1D9A" w:rsidRPr="003D3791" w:rsidRDefault="003D1D9A" w:rsidP="003D255C">
      <w:pPr>
        <w:spacing w:line="360" w:lineRule="auto"/>
        <w:ind w:firstLine="851"/>
        <w:jc w:val="both"/>
        <w:rPr>
          <w:rFonts w:ascii="Arial" w:hAnsi="Arial" w:cs="Arial"/>
          <w:sz w:val="24"/>
          <w:szCs w:val="24"/>
        </w:rPr>
      </w:pPr>
      <w:r w:rsidRPr="003D3791">
        <w:rPr>
          <w:rFonts w:ascii="Arial" w:hAnsi="Arial" w:cs="Arial"/>
          <w:sz w:val="24"/>
          <w:szCs w:val="24"/>
        </w:rPr>
        <w:t xml:space="preserve">Dessa forma, torna-se </w:t>
      </w:r>
      <w:r w:rsidRPr="003D3791">
        <w:rPr>
          <w:rFonts w:ascii="Arial" w:hAnsi="Arial" w:cs="Arial"/>
          <w:sz w:val="24"/>
          <w:szCs w:val="24"/>
          <w:u w:val="single"/>
        </w:rPr>
        <w:t>absolutamente desnecessária a operacionalização dos programas por intermédio da GOIÁSFOMENTO, que se trata de uma agência de financiamento estadual</w:t>
      </w:r>
      <w:r w:rsidRPr="003D3791">
        <w:rPr>
          <w:rFonts w:ascii="Arial" w:hAnsi="Arial" w:cs="Arial"/>
          <w:sz w:val="24"/>
          <w:szCs w:val="24"/>
        </w:rPr>
        <w:t>, a qual apenas agrega complexidade desnecessária e burocratiza sobremaneira a execução e o controle dos programas</w:t>
      </w:r>
      <w:r w:rsidR="00180BFE" w:rsidRPr="003D3791">
        <w:rPr>
          <w:rFonts w:ascii="Arial" w:hAnsi="Arial" w:cs="Arial"/>
          <w:sz w:val="24"/>
          <w:szCs w:val="24"/>
        </w:rPr>
        <w:t>, visto que de financiamento não se trata</w:t>
      </w:r>
      <w:r w:rsidRPr="003D3791">
        <w:rPr>
          <w:rFonts w:ascii="Arial" w:hAnsi="Arial" w:cs="Arial"/>
          <w:sz w:val="24"/>
          <w:szCs w:val="24"/>
        </w:rPr>
        <w:t>.</w:t>
      </w:r>
    </w:p>
    <w:p w14:paraId="6B815343" w14:textId="3FE997BE" w:rsidR="003D1D9A" w:rsidRPr="003D3791" w:rsidRDefault="003D1D9A" w:rsidP="003D255C">
      <w:pPr>
        <w:spacing w:line="360" w:lineRule="auto"/>
        <w:ind w:firstLine="851"/>
        <w:jc w:val="both"/>
        <w:rPr>
          <w:rFonts w:ascii="Arial" w:hAnsi="Arial" w:cs="Arial"/>
          <w:sz w:val="24"/>
          <w:szCs w:val="24"/>
        </w:rPr>
      </w:pPr>
      <w:r w:rsidRPr="003D3791">
        <w:rPr>
          <w:rFonts w:ascii="Arial" w:hAnsi="Arial" w:cs="Arial"/>
          <w:sz w:val="24"/>
          <w:szCs w:val="24"/>
        </w:rPr>
        <w:t xml:space="preserve">Como </w:t>
      </w:r>
      <w:r w:rsidR="00180BFE" w:rsidRPr="003D3791">
        <w:rPr>
          <w:rFonts w:ascii="Arial" w:hAnsi="Arial" w:cs="Arial"/>
          <w:sz w:val="24"/>
          <w:szCs w:val="24"/>
        </w:rPr>
        <w:t>os Programas FOMENTAR e PRODUZIR possuem</w:t>
      </w:r>
      <w:r w:rsidRPr="003D3791">
        <w:rPr>
          <w:rFonts w:ascii="Arial" w:hAnsi="Arial" w:cs="Arial"/>
          <w:sz w:val="24"/>
          <w:szCs w:val="24"/>
        </w:rPr>
        <w:t xml:space="preserve"> cunho eminentemente </w:t>
      </w:r>
      <w:r w:rsidR="00180BFE" w:rsidRPr="003D3791">
        <w:rPr>
          <w:rFonts w:ascii="Arial" w:hAnsi="Arial" w:cs="Arial"/>
          <w:sz w:val="24"/>
          <w:szCs w:val="24"/>
        </w:rPr>
        <w:t>fiscal</w:t>
      </w:r>
      <w:r w:rsidRPr="003D3791">
        <w:rPr>
          <w:rFonts w:ascii="Arial" w:hAnsi="Arial" w:cs="Arial"/>
          <w:sz w:val="24"/>
          <w:szCs w:val="24"/>
        </w:rPr>
        <w:t xml:space="preserve">, </w:t>
      </w:r>
      <w:r w:rsidRPr="003D3791">
        <w:rPr>
          <w:rFonts w:ascii="Arial" w:hAnsi="Arial" w:cs="Arial"/>
          <w:sz w:val="24"/>
          <w:szCs w:val="24"/>
          <w:u w:val="single"/>
        </w:rPr>
        <w:t>não há por que existir a participação de uma agência de financiamento estatal como a GOIÁSFOMENTO</w:t>
      </w:r>
      <w:r w:rsidRPr="003D3791">
        <w:rPr>
          <w:rFonts w:ascii="Arial" w:hAnsi="Arial" w:cs="Arial"/>
          <w:sz w:val="24"/>
          <w:szCs w:val="24"/>
        </w:rPr>
        <w:t xml:space="preserve">, </w:t>
      </w:r>
      <w:r w:rsidR="00180BFE" w:rsidRPr="003D3791">
        <w:rPr>
          <w:rFonts w:ascii="Arial" w:hAnsi="Arial" w:cs="Arial"/>
          <w:sz w:val="24"/>
          <w:szCs w:val="24"/>
        </w:rPr>
        <w:t xml:space="preserve">que somente </w:t>
      </w:r>
      <w:r w:rsidR="003732A5" w:rsidRPr="003D3791">
        <w:rPr>
          <w:rFonts w:ascii="Arial" w:hAnsi="Arial" w:cs="Arial"/>
          <w:sz w:val="24"/>
          <w:szCs w:val="24"/>
        </w:rPr>
        <w:t xml:space="preserve">agrega </w:t>
      </w:r>
      <w:r w:rsidR="00180BFE" w:rsidRPr="003D3791">
        <w:rPr>
          <w:rFonts w:ascii="Arial" w:hAnsi="Arial" w:cs="Arial"/>
          <w:sz w:val="24"/>
          <w:szCs w:val="24"/>
        </w:rPr>
        <w:t xml:space="preserve">mais uma </w:t>
      </w:r>
      <w:r w:rsidR="003732A5" w:rsidRPr="003D3791">
        <w:rPr>
          <w:rFonts w:ascii="Arial" w:hAnsi="Arial" w:cs="Arial"/>
          <w:sz w:val="24"/>
          <w:szCs w:val="24"/>
        </w:rPr>
        <w:t xml:space="preserve">etapa </w:t>
      </w:r>
      <w:r w:rsidR="00180BFE" w:rsidRPr="003D3791">
        <w:rPr>
          <w:rFonts w:ascii="Arial" w:hAnsi="Arial" w:cs="Arial"/>
          <w:sz w:val="24"/>
          <w:szCs w:val="24"/>
        </w:rPr>
        <w:t>n</w:t>
      </w:r>
      <w:r w:rsidR="003732A5" w:rsidRPr="003D3791">
        <w:rPr>
          <w:rFonts w:ascii="Arial" w:hAnsi="Arial" w:cs="Arial"/>
          <w:sz w:val="24"/>
          <w:szCs w:val="24"/>
        </w:rPr>
        <w:t>o processo de concessão d</w:t>
      </w:r>
      <w:r w:rsidR="00180BFE" w:rsidRPr="003D3791">
        <w:rPr>
          <w:rFonts w:ascii="Arial" w:hAnsi="Arial" w:cs="Arial"/>
          <w:sz w:val="24"/>
          <w:szCs w:val="24"/>
        </w:rPr>
        <w:t>os</w:t>
      </w:r>
      <w:r w:rsidR="003732A5" w:rsidRPr="003D3791">
        <w:rPr>
          <w:rFonts w:ascii="Arial" w:hAnsi="Arial" w:cs="Arial"/>
          <w:sz w:val="24"/>
          <w:szCs w:val="24"/>
        </w:rPr>
        <w:t xml:space="preserve"> incentivos</w:t>
      </w:r>
      <w:r w:rsidR="00180BFE" w:rsidRPr="003D3791">
        <w:rPr>
          <w:rFonts w:ascii="Arial" w:hAnsi="Arial" w:cs="Arial"/>
          <w:sz w:val="24"/>
          <w:szCs w:val="24"/>
        </w:rPr>
        <w:t>,</w:t>
      </w:r>
      <w:r w:rsidR="003732A5" w:rsidRPr="003D3791">
        <w:rPr>
          <w:rFonts w:ascii="Arial" w:hAnsi="Arial" w:cs="Arial"/>
          <w:sz w:val="24"/>
          <w:szCs w:val="24"/>
        </w:rPr>
        <w:t xml:space="preserve"> ao lado</w:t>
      </w:r>
      <w:r w:rsidRPr="003D3791">
        <w:rPr>
          <w:rFonts w:ascii="Arial" w:hAnsi="Arial" w:cs="Arial"/>
          <w:sz w:val="24"/>
          <w:szCs w:val="24"/>
        </w:rPr>
        <w:t xml:space="preserve"> </w:t>
      </w:r>
      <w:r w:rsidR="003732A5" w:rsidRPr="003D3791">
        <w:rPr>
          <w:rFonts w:ascii="Arial" w:hAnsi="Arial" w:cs="Arial"/>
          <w:sz w:val="24"/>
          <w:szCs w:val="24"/>
        </w:rPr>
        <w:t>d</w:t>
      </w:r>
      <w:r w:rsidRPr="003D3791">
        <w:rPr>
          <w:rFonts w:ascii="Arial" w:hAnsi="Arial" w:cs="Arial"/>
          <w:sz w:val="24"/>
          <w:szCs w:val="24"/>
        </w:rPr>
        <w:t>as Secretarias de Estado da Economia e de Indústria e Comércio</w:t>
      </w:r>
      <w:r w:rsidR="00180BFE" w:rsidRPr="003D3791">
        <w:rPr>
          <w:rFonts w:ascii="Arial" w:hAnsi="Arial" w:cs="Arial"/>
          <w:sz w:val="24"/>
          <w:szCs w:val="24"/>
        </w:rPr>
        <w:t>, e praticamente nada faz no tocante à fruição dos benefícios</w:t>
      </w:r>
      <w:r w:rsidR="003732A5" w:rsidRPr="003D3791">
        <w:rPr>
          <w:rFonts w:ascii="Arial" w:hAnsi="Arial" w:cs="Arial"/>
          <w:sz w:val="24"/>
          <w:szCs w:val="24"/>
        </w:rPr>
        <w:t>.</w:t>
      </w:r>
    </w:p>
    <w:p w14:paraId="18F6DF7C" w14:textId="6DCAF39B" w:rsidR="006B6DFF" w:rsidRPr="003D3791" w:rsidRDefault="006B6DFF" w:rsidP="003D255C">
      <w:pPr>
        <w:spacing w:line="360" w:lineRule="auto"/>
        <w:ind w:firstLine="851"/>
        <w:jc w:val="both"/>
        <w:rPr>
          <w:rFonts w:ascii="Arial" w:hAnsi="Arial" w:cs="Arial"/>
          <w:sz w:val="24"/>
          <w:szCs w:val="24"/>
        </w:rPr>
      </w:pPr>
      <w:r w:rsidRPr="003D3791">
        <w:rPr>
          <w:rFonts w:ascii="Arial" w:hAnsi="Arial" w:cs="Arial"/>
          <w:sz w:val="24"/>
          <w:szCs w:val="24"/>
        </w:rPr>
        <w:lastRenderedPageBreak/>
        <w:t xml:space="preserve">O auditor do TCE/GO, Luciano Roque, </w:t>
      </w:r>
      <w:r w:rsidR="00F65E86" w:rsidRPr="003D3791">
        <w:rPr>
          <w:rFonts w:ascii="Arial" w:hAnsi="Arial" w:cs="Arial"/>
          <w:sz w:val="24"/>
          <w:szCs w:val="24"/>
        </w:rPr>
        <w:t>na 4ª r</w:t>
      </w:r>
      <w:r w:rsidRPr="003D3791">
        <w:rPr>
          <w:rFonts w:ascii="Arial" w:hAnsi="Arial" w:cs="Arial"/>
          <w:sz w:val="24"/>
          <w:szCs w:val="24"/>
        </w:rPr>
        <w:t>euni</w:t>
      </w:r>
      <w:r w:rsidR="00F65E86" w:rsidRPr="003D3791">
        <w:rPr>
          <w:rFonts w:ascii="Arial" w:hAnsi="Arial" w:cs="Arial"/>
          <w:sz w:val="24"/>
          <w:szCs w:val="24"/>
        </w:rPr>
        <w:t>ão</w:t>
      </w:r>
      <w:r w:rsidRPr="003D3791">
        <w:rPr>
          <w:rFonts w:ascii="Arial" w:hAnsi="Arial" w:cs="Arial"/>
          <w:sz w:val="24"/>
          <w:szCs w:val="24"/>
        </w:rPr>
        <w:t xml:space="preserve"> desta CPI</w:t>
      </w:r>
      <w:r w:rsidR="00F65E86" w:rsidRPr="003D3791">
        <w:rPr>
          <w:rFonts w:ascii="Arial" w:hAnsi="Arial" w:cs="Arial"/>
          <w:sz w:val="24"/>
          <w:szCs w:val="24"/>
        </w:rPr>
        <w:t>, ao interpelar o servidor Adonídio Vieira Neto,</w:t>
      </w:r>
      <w:r w:rsidRPr="003D3791">
        <w:rPr>
          <w:rFonts w:ascii="Arial" w:hAnsi="Arial" w:cs="Arial"/>
          <w:sz w:val="24"/>
          <w:szCs w:val="24"/>
        </w:rPr>
        <w:t xml:space="preserve"> fez uma indagação muito percuciente sobre a excessiva burocratização</w:t>
      </w:r>
      <w:r w:rsidR="00F65E86" w:rsidRPr="003D3791">
        <w:rPr>
          <w:rFonts w:ascii="Arial" w:hAnsi="Arial" w:cs="Arial"/>
          <w:sz w:val="24"/>
          <w:szCs w:val="24"/>
        </w:rPr>
        <w:t xml:space="preserve"> dos programas</w:t>
      </w:r>
      <w:r w:rsidRPr="003D3791">
        <w:rPr>
          <w:rFonts w:ascii="Arial" w:hAnsi="Arial" w:cs="Arial"/>
          <w:sz w:val="24"/>
          <w:szCs w:val="24"/>
        </w:rPr>
        <w:t xml:space="preserve"> ante o envolvimento de 3 (três) órgãos estatais distintos</w:t>
      </w:r>
      <w:r w:rsidR="00F65E86" w:rsidRPr="003D3791">
        <w:rPr>
          <w:rFonts w:ascii="Arial" w:hAnsi="Arial" w:cs="Arial"/>
          <w:sz w:val="24"/>
          <w:szCs w:val="24"/>
        </w:rPr>
        <w:t>, conforme se infere da seguinte manifestação:</w:t>
      </w:r>
    </w:p>
    <w:p w14:paraId="1DF06C29" w14:textId="2B721545" w:rsidR="00F65E86" w:rsidRPr="003D3791" w:rsidRDefault="00F65E86" w:rsidP="003D255C">
      <w:pPr>
        <w:spacing w:line="360" w:lineRule="auto"/>
        <w:ind w:firstLine="851"/>
        <w:jc w:val="both"/>
        <w:rPr>
          <w:rFonts w:ascii="Arial" w:hAnsi="Arial" w:cs="Arial"/>
          <w:sz w:val="24"/>
          <w:szCs w:val="24"/>
        </w:rPr>
      </w:pPr>
    </w:p>
    <w:p w14:paraId="1937687C" w14:textId="08B91275" w:rsidR="00F13C98" w:rsidRPr="003D3791" w:rsidRDefault="00F13C98" w:rsidP="00F13C98">
      <w:pPr>
        <w:ind w:left="2268"/>
        <w:jc w:val="both"/>
        <w:rPr>
          <w:rFonts w:ascii="Arial" w:hAnsi="Arial" w:cs="Arial"/>
          <w:sz w:val="22"/>
        </w:rPr>
      </w:pPr>
      <w:r w:rsidRPr="003D3791">
        <w:rPr>
          <w:rFonts w:ascii="Arial" w:hAnsi="Arial" w:cs="Arial"/>
          <w:sz w:val="22"/>
        </w:rPr>
        <w:t>Doutor Luciano, do Tribunal de Contas do Estado, a palavra está com o senhor.</w:t>
      </w:r>
    </w:p>
    <w:p w14:paraId="7DB01CBC" w14:textId="22FBFCC8" w:rsidR="00F13C98" w:rsidRPr="003D3791" w:rsidRDefault="00F13C98" w:rsidP="00F13C98">
      <w:pPr>
        <w:ind w:left="2268"/>
        <w:jc w:val="both"/>
        <w:rPr>
          <w:rFonts w:ascii="Arial" w:hAnsi="Arial" w:cs="Arial"/>
          <w:sz w:val="22"/>
        </w:rPr>
      </w:pPr>
      <w:r w:rsidRPr="003D3791">
        <w:rPr>
          <w:rFonts w:ascii="Arial" w:hAnsi="Arial" w:cs="Arial"/>
          <w:sz w:val="22"/>
        </w:rPr>
        <w:t>O SR. DR. LUCIANO ROQUE: - Boa tarde a todos.</w:t>
      </w:r>
    </w:p>
    <w:p w14:paraId="684B4145" w14:textId="17B1DAFA" w:rsidR="00F13C98" w:rsidRPr="003D3791" w:rsidRDefault="00F13C98" w:rsidP="00F13C98">
      <w:pPr>
        <w:ind w:left="2268"/>
        <w:jc w:val="both"/>
        <w:rPr>
          <w:rFonts w:ascii="Arial" w:hAnsi="Arial" w:cs="Arial"/>
          <w:sz w:val="22"/>
        </w:rPr>
      </w:pPr>
      <w:r w:rsidRPr="003D3791">
        <w:rPr>
          <w:rFonts w:ascii="Arial" w:hAnsi="Arial" w:cs="Arial"/>
          <w:sz w:val="22"/>
        </w:rPr>
        <w:t>Eu queria saber, na verdade, qual é a sua opinião. A gente já esteve fazendo vários trabalhos de auditoria, que a gente consultou você, e na época você era superintendente. E também na época em que você não estava na superintendência, mas estava em outras áreas. Na verdade, ligando aí Produzir e Fomentar, a gente vê que tem três órgãos envolvidos: SEFAZ, porque é economia, Goiásfomento, e a sede, a secretaria, que hoje também mudou um pouco a estrutura.</w:t>
      </w:r>
    </w:p>
    <w:p w14:paraId="2A13E057" w14:textId="39B59957" w:rsidR="00F13C98" w:rsidRPr="003D3791" w:rsidRDefault="00F13C98" w:rsidP="00F13C98">
      <w:pPr>
        <w:ind w:left="2268"/>
        <w:jc w:val="both"/>
        <w:rPr>
          <w:rFonts w:ascii="Arial" w:hAnsi="Arial" w:cs="Arial"/>
          <w:sz w:val="22"/>
        </w:rPr>
      </w:pPr>
      <w:r w:rsidRPr="003D3791">
        <w:rPr>
          <w:rFonts w:ascii="Arial" w:hAnsi="Arial" w:cs="Arial"/>
          <w:sz w:val="22"/>
        </w:rPr>
        <w:t>Então, o que ocorre, o custo disso, que a gente observa, se você for olhar o custo administrativo para se controlar isso, se for na ponta do papel é alto. Três órgãos.</w:t>
      </w:r>
    </w:p>
    <w:p w14:paraId="41E6B5E1" w14:textId="0BF9EDF2" w:rsidR="00F13C98" w:rsidRPr="003D3791" w:rsidRDefault="00F13C98" w:rsidP="00F13C98">
      <w:pPr>
        <w:ind w:left="2268"/>
        <w:jc w:val="both"/>
        <w:rPr>
          <w:rFonts w:ascii="Arial" w:hAnsi="Arial" w:cs="Arial"/>
          <w:sz w:val="22"/>
        </w:rPr>
      </w:pPr>
      <w:r w:rsidRPr="003D3791">
        <w:rPr>
          <w:rFonts w:ascii="Arial" w:hAnsi="Arial" w:cs="Arial"/>
          <w:sz w:val="22"/>
        </w:rPr>
        <w:t>Então, a gente teria que arranjar uma maneira de tentar verificar o custo, não só do incentivo, mas de se controlar isso. Isso não está sendo observado há muito tempo. Acho, colocando aqui a minha opinião, é de suma importância o Estado ter uma política de incentivo fiscal. Foi de suma importância para o crescimento do Estado nós, técnicos do tribunal, reconhecemos isso, na verdade a gente se preocupa hoje, a manutenção disso a que preço vai ficar. [...]</w:t>
      </w:r>
    </w:p>
    <w:p w14:paraId="4ADC3FC5" w14:textId="37BA0F42" w:rsidR="00F13C98" w:rsidRPr="003D3791" w:rsidRDefault="00F13C98" w:rsidP="00F13C98">
      <w:pPr>
        <w:ind w:left="2268"/>
        <w:jc w:val="both"/>
        <w:rPr>
          <w:rFonts w:ascii="Arial" w:hAnsi="Arial" w:cs="Arial"/>
          <w:sz w:val="22"/>
        </w:rPr>
      </w:pPr>
      <w:r w:rsidRPr="003D3791">
        <w:rPr>
          <w:rFonts w:ascii="Arial" w:hAnsi="Arial" w:cs="Arial"/>
          <w:sz w:val="22"/>
        </w:rPr>
        <w:t>Só para terminar, na verdade quando a gente estava fazendo, houve um estudo, a gente percebeu que houve, e parece que foi encaminhado, vocês técnicos, uma lei uma época, na verdade, talvez, transformar isso em crédito outorgado. Qual foi o resultado? Vocês tiveram resposta disso? Os técnicos da SEFAZ observaram e foi encaminhado ao Gabinete Civil, salvo engano. E eu queria só saber.</w:t>
      </w:r>
    </w:p>
    <w:p w14:paraId="7E8749E5" w14:textId="1D9EC9BF" w:rsidR="00F13C98" w:rsidRPr="003D3791" w:rsidRDefault="00F13C98" w:rsidP="00F13C98">
      <w:pPr>
        <w:ind w:left="2268"/>
        <w:jc w:val="both"/>
        <w:rPr>
          <w:rFonts w:ascii="Arial" w:hAnsi="Arial" w:cs="Arial"/>
          <w:sz w:val="22"/>
        </w:rPr>
      </w:pPr>
      <w:r w:rsidRPr="003D3791">
        <w:rPr>
          <w:rFonts w:ascii="Arial" w:hAnsi="Arial" w:cs="Arial"/>
          <w:sz w:val="22"/>
        </w:rPr>
        <w:t>O SR. ADONÍDIO VIEIRA JÚNIOR: - Na verdade vou responder as três como se fossem duas, porque duas vou responder juntas.</w:t>
      </w:r>
    </w:p>
    <w:p w14:paraId="272AD486" w14:textId="5AC67DEC" w:rsidR="00F13C98" w:rsidRPr="003D3791" w:rsidRDefault="00F13C98" w:rsidP="00F13C98">
      <w:pPr>
        <w:ind w:left="2268"/>
        <w:jc w:val="both"/>
        <w:rPr>
          <w:rFonts w:ascii="Arial" w:hAnsi="Arial" w:cs="Arial"/>
          <w:sz w:val="22"/>
        </w:rPr>
      </w:pPr>
      <w:r w:rsidRPr="003D3791">
        <w:rPr>
          <w:rFonts w:ascii="Arial" w:hAnsi="Arial" w:cs="Arial"/>
          <w:sz w:val="22"/>
        </w:rPr>
        <w:t>Em relação aos três órgãos merece quase que uma aula sobre como é que foi feito o Fomentar lá atrás, depois o Produzir. Isso tudo foi feito na forma de financiamento do imposto para tentar, juridicamente, comprovar que isso não era benefício fiscal e, sim, um financiamento público.</w:t>
      </w:r>
    </w:p>
    <w:p w14:paraId="52A6D0A1" w14:textId="6127D46D" w:rsidR="00F65E86" w:rsidRPr="003D3791" w:rsidRDefault="00F13C98" w:rsidP="00F13C98">
      <w:pPr>
        <w:ind w:left="2268"/>
        <w:jc w:val="both"/>
        <w:rPr>
          <w:rFonts w:ascii="Arial" w:hAnsi="Arial" w:cs="Arial"/>
          <w:sz w:val="22"/>
        </w:rPr>
      </w:pPr>
      <w:r w:rsidRPr="003D3791">
        <w:rPr>
          <w:rFonts w:ascii="Arial" w:hAnsi="Arial" w:cs="Arial"/>
          <w:sz w:val="22"/>
        </w:rPr>
        <w:t xml:space="preserve">Mas, na minha opinião, com o advento da Lei Complementar 170, do Convênio 190, e das leis de reinstituição que foram feitas ano passado, pode, sim, ser transformado tudo em crédito outorgado, porque como foi convalidado, revalidado, reinstituído como benefício fiscal, nada melhor do que você não precisar mais de pelo menos a Goiás Fomento. Por quê? A Goiás Fomento é um agente de crédito, fiscalizado pelo Banco Central, o processo lá não demora menos que dois meses. Porque você falou um pouco do custo para o Estado, mas tem o custo para o empresário também. Porque o Produzir, hoje, na ponta do lápis, não custa menos de R$ 100 mil (cem mil reais). Então, os pequenos não conseguem aderir. Inclusive, esse projeto que você falou foi feito na época da discussão da DI2441, eu participei da elaboração, e foi para a Casa Civil. Mas como se </w:t>
      </w:r>
      <w:r w:rsidRPr="003D3791">
        <w:rPr>
          <w:rFonts w:ascii="Arial" w:hAnsi="Arial" w:cs="Arial"/>
          <w:sz w:val="22"/>
        </w:rPr>
        <w:lastRenderedPageBreak/>
        <w:t>conseguiu sobrestar o julgamento, preferiu deixar a norma do jeito que estava para não gerar nenhum fato político novo. E eu acho que se for fazer o crédito outorgado - inclusive, eu encaminhei durante a equipe de transição para a secretária Cristiane - o meu posicionamento é que se transforme em crédito outorgado. O Estado ganha e o contribuinte ganha. Correto? A gente ganha celeridade num monte de coisa. [...]</w:t>
      </w:r>
    </w:p>
    <w:p w14:paraId="5F740F4D" w14:textId="77777777" w:rsidR="00F65E86" w:rsidRPr="003D3791" w:rsidRDefault="00F65E86" w:rsidP="00F65E86">
      <w:pPr>
        <w:spacing w:line="360" w:lineRule="auto"/>
        <w:ind w:left="2268" w:firstLine="284"/>
        <w:jc w:val="both"/>
        <w:rPr>
          <w:rFonts w:ascii="Arial" w:hAnsi="Arial" w:cs="Arial"/>
          <w:sz w:val="20"/>
        </w:rPr>
      </w:pPr>
    </w:p>
    <w:p w14:paraId="5EE21B0F" w14:textId="1EAD5F45" w:rsidR="00977F91" w:rsidRPr="003D3791" w:rsidRDefault="00977F91" w:rsidP="003D255C">
      <w:pPr>
        <w:spacing w:line="360" w:lineRule="auto"/>
        <w:ind w:firstLine="851"/>
        <w:jc w:val="both"/>
        <w:rPr>
          <w:rFonts w:ascii="Arial" w:hAnsi="Arial" w:cs="Arial"/>
          <w:sz w:val="24"/>
          <w:szCs w:val="24"/>
        </w:rPr>
      </w:pPr>
      <w:r w:rsidRPr="003D3791">
        <w:rPr>
          <w:rFonts w:ascii="Arial" w:hAnsi="Arial" w:cs="Arial"/>
          <w:sz w:val="24"/>
          <w:szCs w:val="24"/>
        </w:rPr>
        <w:t>Essa</w:t>
      </w:r>
      <w:r w:rsidR="00F13C98" w:rsidRPr="003D3791">
        <w:rPr>
          <w:rFonts w:ascii="Arial" w:hAnsi="Arial" w:cs="Arial"/>
          <w:sz w:val="24"/>
          <w:szCs w:val="24"/>
        </w:rPr>
        <w:t>s</w:t>
      </w:r>
      <w:r w:rsidRPr="003D3791">
        <w:rPr>
          <w:rFonts w:ascii="Arial" w:hAnsi="Arial" w:cs="Arial"/>
          <w:sz w:val="24"/>
          <w:szCs w:val="24"/>
        </w:rPr>
        <w:t xml:space="preserve"> burocratização e ineficiência torna</w:t>
      </w:r>
      <w:r w:rsidR="00CD030C" w:rsidRPr="003D3791">
        <w:rPr>
          <w:rFonts w:ascii="Arial" w:hAnsi="Arial" w:cs="Arial"/>
          <w:sz w:val="24"/>
          <w:szCs w:val="24"/>
        </w:rPr>
        <w:t>m</w:t>
      </w:r>
      <w:r w:rsidRPr="003D3791">
        <w:rPr>
          <w:rFonts w:ascii="Arial" w:hAnsi="Arial" w:cs="Arial"/>
          <w:sz w:val="24"/>
          <w:szCs w:val="24"/>
        </w:rPr>
        <w:t>-se ainda mais evidente</w:t>
      </w:r>
      <w:r w:rsidR="00F13C98" w:rsidRPr="003D3791">
        <w:rPr>
          <w:rFonts w:ascii="Arial" w:hAnsi="Arial" w:cs="Arial"/>
          <w:sz w:val="24"/>
          <w:szCs w:val="24"/>
        </w:rPr>
        <w:t>s</w:t>
      </w:r>
      <w:r w:rsidRPr="003D3791">
        <w:rPr>
          <w:rFonts w:ascii="Arial" w:hAnsi="Arial" w:cs="Arial"/>
          <w:sz w:val="24"/>
          <w:szCs w:val="24"/>
        </w:rPr>
        <w:t xml:space="preserve"> na medida em que </w:t>
      </w:r>
      <w:r w:rsidRPr="003D3791">
        <w:rPr>
          <w:rFonts w:ascii="Arial" w:hAnsi="Arial" w:cs="Arial"/>
          <w:sz w:val="24"/>
          <w:szCs w:val="24"/>
          <w:u w:val="single"/>
        </w:rPr>
        <w:t>inexiste integração</w:t>
      </w:r>
      <w:r w:rsidR="00CD030C" w:rsidRPr="003D3791">
        <w:rPr>
          <w:rFonts w:ascii="Arial" w:hAnsi="Arial" w:cs="Arial"/>
          <w:sz w:val="24"/>
          <w:szCs w:val="24"/>
          <w:u w:val="single"/>
        </w:rPr>
        <w:t xml:space="preserve"> sistemática</w:t>
      </w:r>
      <w:r w:rsidRPr="003D3791">
        <w:rPr>
          <w:rFonts w:ascii="Arial" w:hAnsi="Arial" w:cs="Arial"/>
          <w:sz w:val="24"/>
          <w:szCs w:val="24"/>
          <w:u w:val="single"/>
        </w:rPr>
        <w:t xml:space="preserve"> entre os órgãos incumbidos da operacionalização dos programas</w:t>
      </w:r>
      <w:r w:rsidRPr="003D3791">
        <w:rPr>
          <w:rFonts w:ascii="Arial" w:hAnsi="Arial" w:cs="Arial"/>
          <w:sz w:val="24"/>
          <w:szCs w:val="24"/>
        </w:rPr>
        <w:t xml:space="preserve">, os quais ficam, cada qual, responsáveis por uma parte do processo </w:t>
      </w:r>
      <w:r w:rsidR="00CD030C" w:rsidRPr="003D3791">
        <w:rPr>
          <w:rFonts w:ascii="Arial" w:hAnsi="Arial" w:cs="Arial"/>
          <w:sz w:val="24"/>
          <w:szCs w:val="24"/>
        </w:rPr>
        <w:t xml:space="preserve">em razão de </w:t>
      </w:r>
      <w:r w:rsidRPr="003D3791">
        <w:rPr>
          <w:rFonts w:ascii="Arial" w:hAnsi="Arial" w:cs="Arial"/>
          <w:sz w:val="24"/>
          <w:szCs w:val="24"/>
        </w:rPr>
        <w:t>não possuírem todas as informações necessárias.</w:t>
      </w:r>
    </w:p>
    <w:p w14:paraId="6AF2E558" w14:textId="711556F0" w:rsidR="006074EA" w:rsidRPr="003D3791" w:rsidRDefault="006074EA" w:rsidP="003D255C">
      <w:pPr>
        <w:spacing w:line="360" w:lineRule="auto"/>
        <w:ind w:firstLine="851"/>
        <w:jc w:val="both"/>
        <w:rPr>
          <w:rFonts w:ascii="Arial" w:hAnsi="Arial" w:cs="Arial"/>
          <w:sz w:val="24"/>
          <w:szCs w:val="24"/>
        </w:rPr>
      </w:pPr>
      <w:r w:rsidRPr="003D3791">
        <w:rPr>
          <w:rFonts w:ascii="Arial" w:hAnsi="Arial" w:cs="Arial"/>
          <w:b/>
          <w:bCs/>
          <w:sz w:val="24"/>
          <w:szCs w:val="24"/>
        </w:rPr>
        <w:t xml:space="preserve">Outro ponto que revela a ineficiência da GOIÁSFOMENTO consiste no fato de que a agência não consegue efetuar cobranças de pessoas jurídicas inadimplentes com os programas, apesar </w:t>
      </w:r>
      <w:r w:rsidR="00461A5E" w:rsidRPr="003D3791">
        <w:rPr>
          <w:rFonts w:ascii="Arial" w:hAnsi="Arial" w:cs="Arial"/>
          <w:b/>
          <w:bCs/>
          <w:sz w:val="24"/>
          <w:szCs w:val="24"/>
        </w:rPr>
        <w:t xml:space="preserve">conhecer </w:t>
      </w:r>
      <w:r w:rsidR="00CD030C" w:rsidRPr="003D3791">
        <w:rPr>
          <w:rFonts w:ascii="Arial" w:hAnsi="Arial" w:cs="Arial"/>
          <w:b/>
          <w:bCs/>
          <w:sz w:val="24"/>
          <w:szCs w:val="24"/>
        </w:rPr>
        <w:t>aquelas que estão inadimplentes</w:t>
      </w:r>
      <w:r w:rsidR="00461A5E" w:rsidRPr="003D3791">
        <w:rPr>
          <w:rFonts w:ascii="Arial" w:hAnsi="Arial" w:cs="Arial"/>
          <w:sz w:val="24"/>
          <w:szCs w:val="24"/>
        </w:rPr>
        <w:t xml:space="preserve">. </w:t>
      </w:r>
      <w:r w:rsidR="00F13C98" w:rsidRPr="003D3791">
        <w:rPr>
          <w:rFonts w:ascii="Arial" w:hAnsi="Arial" w:cs="Arial"/>
          <w:sz w:val="24"/>
          <w:szCs w:val="24"/>
        </w:rPr>
        <w:t>Tal decorre da vedação</w:t>
      </w:r>
      <w:r w:rsidR="00461A5E" w:rsidRPr="003D3791">
        <w:rPr>
          <w:rFonts w:ascii="Arial" w:hAnsi="Arial" w:cs="Arial"/>
          <w:sz w:val="24"/>
          <w:szCs w:val="24"/>
        </w:rPr>
        <w:t xml:space="preserve"> de </w:t>
      </w:r>
      <w:r w:rsidR="00F13C98" w:rsidRPr="003D3791">
        <w:rPr>
          <w:rFonts w:ascii="Arial" w:hAnsi="Arial" w:cs="Arial"/>
          <w:sz w:val="24"/>
          <w:szCs w:val="24"/>
        </w:rPr>
        <w:t xml:space="preserve">uso de seus </w:t>
      </w:r>
      <w:r w:rsidR="00461A5E" w:rsidRPr="003D3791">
        <w:rPr>
          <w:rFonts w:ascii="Arial" w:hAnsi="Arial" w:cs="Arial"/>
          <w:sz w:val="24"/>
          <w:szCs w:val="24"/>
        </w:rPr>
        <w:t xml:space="preserve">recursos </w:t>
      </w:r>
      <w:r w:rsidR="00F13C98" w:rsidRPr="003D3791">
        <w:rPr>
          <w:rFonts w:ascii="Arial" w:hAnsi="Arial" w:cs="Arial"/>
          <w:sz w:val="24"/>
          <w:szCs w:val="24"/>
        </w:rPr>
        <w:t xml:space="preserve">próprios </w:t>
      </w:r>
      <w:r w:rsidR="00461A5E" w:rsidRPr="003D3791">
        <w:rPr>
          <w:rFonts w:ascii="Arial" w:hAnsi="Arial" w:cs="Arial"/>
          <w:sz w:val="24"/>
          <w:szCs w:val="24"/>
        </w:rPr>
        <w:t xml:space="preserve">para contratação de advogados para cobrar </w:t>
      </w:r>
      <w:r w:rsidR="0034291F" w:rsidRPr="003D3791">
        <w:rPr>
          <w:rFonts w:ascii="Arial" w:hAnsi="Arial" w:cs="Arial"/>
          <w:sz w:val="24"/>
          <w:szCs w:val="24"/>
        </w:rPr>
        <w:t>os valores devidos, dependendo de repasse de recursos das Secretarias</w:t>
      </w:r>
      <w:r w:rsidR="00461A5E" w:rsidRPr="003D3791">
        <w:rPr>
          <w:rFonts w:ascii="Arial" w:hAnsi="Arial" w:cs="Arial"/>
          <w:sz w:val="24"/>
          <w:szCs w:val="24"/>
        </w:rPr>
        <w:t>.</w:t>
      </w:r>
    </w:p>
    <w:p w14:paraId="1B77C98E" w14:textId="105B8700" w:rsidR="00461A5E" w:rsidRPr="003D3791" w:rsidRDefault="00233FD4" w:rsidP="003D255C">
      <w:pPr>
        <w:spacing w:line="360" w:lineRule="auto"/>
        <w:ind w:firstLine="851"/>
        <w:jc w:val="both"/>
        <w:rPr>
          <w:rFonts w:ascii="Arial" w:hAnsi="Arial" w:cs="Arial"/>
          <w:sz w:val="24"/>
          <w:szCs w:val="24"/>
        </w:rPr>
      </w:pPr>
      <w:r w:rsidRPr="003D3791">
        <w:rPr>
          <w:rFonts w:ascii="Arial" w:hAnsi="Arial" w:cs="Arial"/>
          <w:sz w:val="24"/>
          <w:szCs w:val="24"/>
        </w:rPr>
        <w:t>E</w:t>
      </w:r>
      <w:r w:rsidR="00461A5E" w:rsidRPr="003D3791">
        <w:rPr>
          <w:rFonts w:ascii="Arial" w:hAnsi="Arial" w:cs="Arial"/>
          <w:sz w:val="24"/>
          <w:szCs w:val="24"/>
        </w:rPr>
        <w:t>ste ponto</w:t>
      </w:r>
      <w:r w:rsidRPr="003D3791">
        <w:rPr>
          <w:rFonts w:ascii="Arial" w:hAnsi="Arial" w:cs="Arial"/>
          <w:sz w:val="24"/>
          <w:szCs w:val="24"/>
        </w:rPr>
        <w:t xml:space="preserve"> apenas</w:t>
      </w:r>
      <w:r w:rsidR="00461A5E" w:rsidRPr="003D3791">
        <w:rPr>
          <w:rFonts w:ascii="Arial" w:hAnsi="Arial" w:cs="Arial"/>
          <w:sz w:val="24"/>
          <w:szCs w:val="24"/>
        </w:rPr>
        <w:t xml:space="preserve"> </w:t>
      </w:r>
      <w:r w:rsidRPr="003D3791">
        <w:rPr>
          <w:rFonts w:ascii="Arial" w:hAnsi="Arial" w:cs="Arial"/>
          <w:sz w:val="24"/>
          <w:szCs w:val="24"/>
        </w:rPr>
        <w:t>evidencia, ainda mais,</w:t>
      </w:r>
      <w:r w:rsidR="00461A5E" w:rsidRPr="003D3791">
        <w:rPr>
          <w:rFonts w:ascii="Arial" w:hAnsi="Arial" w:cs="Arial"/>
          <w:sz w:val="24"/>
          <w:szCs w:val="24"/>
        </w:rPr>
        <w:t xml:space="preserve"> a </w:t>
      </w:r>
      <w:r w:rsidR="00461A5E" w:rsidRPr="003D3791">
        <w:rPr>
          <w:rFonts w:ascii="Arial" w:hAnsi="Arial" w:cs="Arial"/>
          <w:sz w:val="24"/>
          <w:szCs w:val="24"/>
          <w:u w:val="single"/>
        </w:rPr>
        <w:t>completa disfuncionalidade do sistema e também a violação ao art. 3º, II, da LC nº 58/2006 (Lei Orgânica da PGE/GO</w:t>
      </w:r>
      <w:r w:rsidR="00461A5E" w:rsidRPr="003D3791">
        <w:rPr>
          <w:rFonts w:ascii="Arial" w:hAnsi="Arial" w:cs="Arial"/>
          <w:sz w:val="24"/>
          <w:szCs w:val="24"/>
        </w:rPr>
        <w:t xml:space="preserve">), segundo o qual cabe à PGE/GO a cobrança e execução da dívida ativa da fazenda pública. Assim, tendo em vista na natureza eminentemente fiscal, e não financeira, dos Programas FOMENTAR e PRODUZIR, as medidas de cobrança e execução judicial devem </w:t>
      </w:r>
      <w:r w:rsidR="0034291F" w:rsidRPr="003D3791">
        <w:rPr>
          <w:rFonts w:ascii="Arial" w:hAnsi="Arial" w:cs="Arial"/>
          <w:sz w:val="24"/>
          <w:szCs w:val="24"/>
        </w:rPr>
        <w:t xml:space="preserve">ser </w:t>
      </w:r>
      <w:r w:rsidR="00461A5E" w:rsidRPr="003D3791">
        <w:rPr>
          <w:rFonts w:ascii="Arial" w:hAnsi="Arial" w:cs="Arial"/>
          <w:sz w:val="24"/>
          <w:szCs w:val="24"/>
        </w:rPr>
        <w:t xml:space="preserve">tomadas pelo órgão de advocacia pública do Estado, de modo que </w:t>
      </w:r>
      <w:r w:rsidR="00461A5E" w:rsidRPr="003D3791">
        <w:rPr>
          <w:rFonts w:ascii="Arial" w:hAnsi="Arial" w:cs="Arial"/>
          <w:sz w:val="24"/>
          <w:szCs w:val="24"/>
          <w:u w:val="single"/>
        </w:rPr>
        <w:t>espaço nenhum resta</w:t>
      </w:r>
      <w:r w:rsidR="0034291F" w:rsidRPr="003D3791">
        <w:rPr>
          <w:rFonts w:ascii="Arial" w:hAnsi="Arial" w:cs="Arial"/>
          <w:sz w:val="24"/>
          <w:szCs w:val="24"/>
          <w:u w:val="single"/>
        </w:rPr>
        <w:t>ria</w:t>
      </w:r>
      <w:r w:rsidR="00461A5E" w:rsidRPr="003D3791">
        <w:rPr>
          <w:rFonts w:ascii="Arial" w:hAnsi="Arial" w:cs="Arial"/>
          <w:sz w:val="24"/>
          <w:szCs w:val="24"/>
          <w:u w:val="single"/>
        </w:rPr>
        <w:t xml:space="preserve"> à GOIÁSFOMENTO se não informar à PGE/GO as empresas inadimplentes para as providências da alçada des</w:t>
      </w:r>
      <w:r w:rsidR="0034291F" w:rsidRPr="003D3791">
        <w:rPr>
          <w:rFonts w:ascii="Arial" w:hAnsi="Arial" w:cs="Arial"/>
          <w:sz w:val="24"/>
          <w:szCs w:val="24"/>
          <w:u w:val="single"/>
        </w:rPr>
        <w:t>t</w:t>
      </w:r>
      <w:r w:rsidR="00461A5E" w:rsidRPr="003D3791">
        <w:rPr>
          <w:rFonts w:ascii="Arial" w:hAnsi="Arial" w:cs="Arial"/>
          <w:sz w:val="24"/>
          <w:szCs w:val="24"/>
          <w:u w:val="single"/>
        </w:rPr>
        <w:t>e órgão</w:t>
      </w:r>
      <w:r w:rsidR="00461A5E" w:rsidRPr="003D3791">
        <w:rPr>
          <w:rFonts w:ascii="Arial" w:hAnsi="Arial" w:cs="Arial"/>
          <w:sz w:val="24"/>
          <w:szCs w:val="24"/>
        </w:rPr>
        <w:t>.</w:t>
      </w:r>
    </w:p>
    <w:p w14:paraId="3BC764B6" w14:textId="2ADBE86C" w:rsidR="00461A5E" w:rsidRPr="003D3791" w:rsidRDefault="00461A5E" w:rsidP="003D255C">
      <w:pPr>
        <w:spacing w:line="360" w:lineRule="auto"/>
        <w:ind w:firstLine="851"/>
        <w:jc w:val="both"/>
        <w:rPr>
          <w:rFonts w:ascii="Arial" w:hAnsi="Arial" w:cs="Arial"/>
          <w:sz w:val="24"/>
          <w:szCs w:val="24"/>
        </w:rPr>
      </w:pPr>
      <w:r w:rsidRPr="003D3791">
        <w:rPr>
          <w:rFonts w:ascii="Arial" w:hAnsi="Arial" w:cs="Arial"/>
          <w:sz w:val="24"/>
          <w:szCs w:val="24"/>
        </w:rPr>
        <w:t xml:space="preserve">Portanto, </w:t>
      </w:r>
      <w:r w:rsidRPr="003D3791">
        <w:rPr>
          <w:rFonts w:ascii="Arial" w:hAnsi="Arial" w:cs="Arial"/>
          <w:b/>
          <w:bCs/>
          <w:sz w:val="24"/>
          <w:szCs w:val="24"/>
        </w:rPr>
        <w:t>recomenda-se ao Chefe do Poder Executivo que apresente projeto de lei no intuito de suprimir completamente a participação da GOIÁSFOMENTO na operacionalização dos Programas FOMENTAR e PRODUZIR</w:t>
      </w:r>
      <w:r w:rsidRPr="003D3791">
        <w:rPr>
          <w:rFonts w:ascii="Arial" w:hAnsi="Arial" w:cs="Arial"/>
          <w:sz w:val="24"/>
          <w:szCs w:val="24"/>
        </w:rPr>
        <w:t>, por agregar significativa e desnecessária complexidade e burocratização ao processo</w:t>
      </w:r>
      <w:r w:rsidR="00CF472E" w:rsidRPr="003D3791">
        <w:rPr>
          <w:rFonts w:ascii="Arial" w:hAnsi="Arial" w:cs="Arial"/>
          <w:sz w:val="24"/>
          <w:szCs w:val="24"/>
        </w:rPr>
        <w:t xml:space="preserve">, bem como a consequente concentração das atividades antes desenvolvidas pela agência de fomento na Secretaria de Estado da </w:t>
      </w:r>
      <w:r w:rsidR="00935B09">
        <w:rPr>
          <w:rFonts w:ascii="Arial" w:hAnsi="Arial" w:cs="Arial"/>
          <w:sz w:val="24"/>
          <w:szCs w:val="24"/>
        </w:rPr>
        <w:t>Economia</w:t>
      </w:r>
      <w:r w:rsidRPr="003D3791">
        <w:rPr>
          <w:rFonts w:ascii="Arial" w:hAnsi="Arial" w:cs="Arial"/>
          <w:sz w:val="24"/>
          <w:szCs w:val="24"/>
        </w:rPr>
        <w:t>.</w:t>
      </w:r>
    </w:p>
    <w:p w14:paraId="06435AD6" w14:textId="77777777" w:rsidR="00A4799C" w:rsidRPr="003D3791" w:rsidRDefault="00A4799C" w:rsidP="003D255C">
      <w:pPr>
        <w:spacing w:line="360" w:lineRule="auto"/>
        <w:ind w:firstLine="851"/>
        <w:jc w:val="both"/>
        <w:rPr>
          <w:rFonts w:ascii="Arial" w:hAnsi="Arial" w:cs="Arial"/>
          <w:b/>
          <w:bCs/>
          <w:sz w:val="24"/>
          <w:szCs w:val="24"/>
          <w:u w:val="single"/>
        </w:rPr>
      </w:pPr>
    </w:p>
    <w:p w14:paraId="7C163472" w14:textId="77777777" w:rsidR="00AE7781" w:rsidRDefault="00AE7781" w:rsidP="003D255C">
      <w:pPr>
        <w:spacing w:line="360" w:lineRule="auto"/>
        <w:ind w:firstLine="851"/>
        <w:jc w:val="both"/>
        <w:rPr>
          <w:rFonts w:ascii="Arial" w:hAnsi="Arial" w:cs="Arial"/>
          <w:b/>
          <w:bCs/>
          <w:sz w:val="24"/>
          <w:szCs w:val="24"/>
          <w:u w:val="single"/>
        </w:rPr>
      </w:pPr>
    </w:p>
    <w:p w14:paraId="40C90BAA" w14:textId="77777777" w:rsidR="00AE7781" w:rsidRDefault="00AE7781" w:rsidP="003D255C">
      <w:pPr>
        <w:spacing w:line="360" w:lineRule="auto"/>
        <w:ind w:firstLine="851"/>
        <w:jc w:val="both"/>
        <w:rPr>
          <w:rFonts w:ascii="Arial" w:hAnsi="Arial" w:cs="Arial"/>
          <w:b/>
          <w:bCs/>
          <w:sz w:val="24"/>
          <w:szCs w:val="24"/>
          <w:u w:val="single"/>
        </w:rPr>
      </w:pPr>
    </w:p>
    <w:p w14:paraId="624479CF" w14:textId="4791D5EF" w:rsidR="003D255C" w:rsidRPr="003D3791" w:rsidRDefault="003D255C" w:rsidP="003D255C">
      <w:pPr>
        <w:spacing w:line="360" w:lineRule="auto"/>
        <w:ind w:firstLine="851"/>
        <w:jc w:val="both"/>
        <w:rPr>
          <w:rFonts w:ascii="Arial" w:hAnsi="Arial" w:cs="Arial"/>
          <w:b/>
          <w:bCs/>
          <w:sz w:val="24"/>
          <w:szCs w:val="24"/>
          <w:u w:val="single"/>
        </w:rPr>
      </w:pPr>
      <w:r w:rsidRPr="003D3791">
        <w:rPr>
          <w:rFonts w:ascii="Arial" w:hAnsi="Arial" w:cs="Arial"/>
          <w:b/>
          <w:bCs/>
          <w:sz w:val="24"/>
          <w:szCs w:val="24"/>
          <w:u w:val="single"/>
        </w:rPr>
        <w:lastRenderedPageBreak/>
        <w:t>6.3.2 – Contratação de empresa especializada para cálculo de valores no âmbito dos leilões do Programa FOMENTAR</w:t>
      </w:r>
    </w:p>
    <w:p w14:paraId="7801D529" w14:textId="77777777" w:rsidR="003D255C" w:rsidRPr="003D3791" w:rsidRDefault="003D255C" w:rsidP="003D255C">
      <w:pPr>
        <w:spacing w:line="360" w:lineRule="auto"/>
        <w:jc w:val="both"/>
        <w:rPr>
          <w:rFonts w:ascii="Arial" w:hAnsi="Arial" w:cs="Arial"/>
          <w:b/>
          <w:bCs/>
          <w:sz w:val="24"/>
          <w:szCs w:val="24"/>
        </w:rPr>
      </w:pPr>
    </w:p>
    <w:p w14:paraId="795B735D" w14:textId="77777777" w:rsidR="003D255C" w:rsidRPr="003D3791" w:rsidRDefault="003D255C" w:rsidP="003D255C">
      <w:pPr>
        <w:spacing w:line="360" w:lineRule="auto"/>
        <w:ind w:firstLine="851"/>
        <w:jc w:val="both"/>
        <w:rPr>
          <w:rFonts w:ascii="Arial" w:hAnsi="Arial" w:cs="Arial"/>
          <w:sz w:val="24"/>
          <w:szCs w:val="24"/>
        </w:rPr>
      </w:pPr>
      <w:r w:rsidRPr="003D3791">
        <w:rPr>
          <w:rFonts w:ascii="Arial" w:hAnsi="Arial" w:cs="Arial"/>
          <w:sz w:val="24"/>
          <w:szCs w:val="24"/>
        </w:rPr>
        <w:t xml:space="preserve">O </w:t>
      </w:r>
      <w:r w:rsidRPr="003D3791">
        <w:rPr>
          <w:rFonts w:ascii="Arial" w:hAnsi="Arial" w:cs="Arial"/>
          <w:b/>
          <w:sz w:val="24"/>
          <w:szCs w:val="24"/>
        </w:rPr>
        <w:t>Decreto nº 5.036/1999</w:t>
      </w:r>
      <w:r w:rsidRPr="003D3791">
        <w:rPr>
          <w:rFonts w:ascii="Arial" w:hAnsi="Arial" w:cs="Arial"/>
          <w:sz w:val="24"/>
          <w:szCs w:val="24"/>
        </w:rPr>
        <w:t xml:space="preserve"> regulamenta o art. 1º da Lei nº 13.436/1998, o qual permite a oferta pública mensal dos contratos de financiamento do FOMENTAR com vistas à sua liquidação antecipada, observando-se as disposições regulamentares e; ainda, atendidas as condições previstas na legislação.</w:t>
      </w:r>
    </w:p>
    <w:p w14:paraId="44659F29" w14:textId="09A8BA3E" w:rsidR="003D255C" w:rsidRPr="003D3791" w:rsidRDefault="003D255C" w:rsidP="003D255C">
      <w:pPr>
        <w:spacing w:line="360" w:lineRule="auto"/>
        <w:ind w:firstLine="851"/>
        <w:jc w:val="both"/>
        <w:rPr>
          <w:rFonts w:ascii="Arial" w:hAnsi="Arial" w:cs="Arial"/>
          <w:sz w:val="24"/>
          <w:szCs w:val="24"/>
        </w:rPr>
      </w:pPr>
      <w:r w:rsidRPr="003D3791">
        <w:rPr>
          <w:rFonts w:ascii="Arial" w:hAnsi="Arial" w:cs="Arial"/>
          <w:sz w:val="24"/>
          <w:szCs w:val="24"/>
        </w:rPr>
        <w:t xml:space="preserve">Chama a atenção o </w:t>
      </w:r>
      <w:r w:rsidRPr="003D3791">
        <w:rPr>
          <w:rFonts w:ascii="Arial" w:hAnsi="Arial" w:cs="Arial"/>
          <w:b/>
          <w:sz w:val="24"/>
          <w:szCs w:val="24"/>
        </w:rPr>
        <w:t xml:space="preserve">art. 4º do mencionado </w:t>
      </w:r>
      <w:r w:rsidR="0034291F" w:rsidRPr="003D3791">
        <w:rPr>
          <w:rFonts w:ascii="Arial" w:hAnsi="Arial" w:cs="Arial"/>
          <w:b/>
          <w:sz w:val="24"/>
          <w:szCs w:val="24"/>
        </w:rPr>
        <w:t>decreto</w:t>
      </w:r>
      <w:r w:rsidRPr="003D3791">
        <w:rPr>
          <w:rFonts w:ascii="Arial" w:hAnsi="Arial" w:cs="Arial"/>
          <w:sz w:val="24"/>
          <w:szCs w:val="24"/>
        </w:rPr>
        <w:t>, segundo o qual “os valores dos créditos do FOMENTAR a serem ofertados ao público, periodicamente, serão os da avaliação realizada por empresa especializada, não podendo ser estes inferiores as 11% (onze por cento) do saldo credor bruto”.</w:t>
      </w:r>
    </w:p>
    <w:p w14:paraId="0997C2C9" w14:textId="77777777" w:rsidR="003D255C" w:rsidRPr="003D3791" w:rsidRDefault="003D255C" w:rsidP="003D255C">
      <w:pPr>
        <w:spacing w:line="360" w:lineRule="auto"/>
        <w:ind w:firstLine="851"/>
        <w:jc w:val="both"/>
        <w:rPr>
          <w:rFonts w:ascii="Arial" w:hAnsi="Arial" w:cs="Arial"/>
          <w:sz w:val="24"/>
          <w:szCs w:val="24"/>
        </w:rPr>
      </w:pPr>
      <w:r w:rsidRPr="003D3791">
        <w:rPr>
          <w:rFonts w:ascii="Arial" w:hAnsi="Arial" w:cs="Arial"/>
          <w:b/>
          <w:sz w:val="24"/>
          <w:szCs w:val="24"/>
        </w:rPr>
        <w:t>O dispositivo regulamentar fere inequivocamente o princípio da economicidade</w:t>
      </w:r>
      <w:r w:rsidRPr="003D3791">
        <w:rPr>
          <w:rFonts w:ascii="Arial" w:hAnsi="Arial" w:cs="Arial"/>
          <w:sz w:val="24"/>
          <w:szCs w:val="24"/>
        </w:rPr>
        <w:t xml:space="preserve">, visto que subordina a avaliação dos valores a serem ofertados ao púbico em leilão no âmbito do Programa Fomentar à contratação de </w:t>
      </w:r>
      <w:r w:rsidRPr="003D3791">
        <w:rPr>
          <w:rFonts w:ascii="Arial" w:hAnsi="Arial" w:cs="Arial"/>
          <w:sz w:val="24"/>
          <w:szCs w:val="24"/>
          <w:u w:val="single"/>
        </w:rPr>
        <w:t>empresa especializada</w:t>
      </w:r>
      <w:r w:rsidRPr="003D3791">
        <w:rPr>
          <w:rFonts w:ascii="Arial" w:hAnsi="Arial" w:cs="Arial"/>
          <w:sz w:val="24"/>
          <w:szCs w:val="24"/>
        </w:rPr>
        <w:t xml:space="preserve">, o que não se afigura tarefa sobremaneira difícil de realizar, bastando um </w:t>
      </w:r>
      <w:r w:rsidRPr="003D3791">
        <w:rPr>
          <w:rFonts w:ascii="Arial" w:hAnsi="Arial" w:cs="Arial"/>
          <w:sz w:val="24"/>
          <w:szCs w:val="24"/>
          <w:u w:val="single"/>
        </w:rPr>
        <w:t>servidor que tenha conhecimento mínimo em excel para executar aludida tarefa</w:t>
      </w:r>
      <w:r w:rsidRPr="003D3791">
        <w:rPr>
          <w:rFonts w:ascii="Arial" w:hAnsi="Arial" w:cs="Arial"/>
          <w:sz w:val="24"/>
          <w:szCs w:val="24"/>
        </w:rPr>
        <w:t>.</w:t>
      </w:r>
    </w:p>
    <w:p w14:paraId="1E185929" w14:textId="26CD8A1B" w:rsidR="003D255C" w:rsidRDefault="003D255C" w:rsidP="003D255C">
      <w:pPr>
        <w:spacing w:line="360" w:lineRule="auto"/>
        <w:ind w:firstLine="851"/>
        <w:jc w:val="both"/>
        <w:rPr>
          <w:rFonts w:ascii="Arial" w:hAnsi="Arial" w:cs="Arial"/>
          <w:sz w:val="24"/>
          <w:szCs w:val="24"/>
        </w:rPr>
      </w:pPr>
      <w:r w:rsidRPr="003D3791">
        <w:rPr>
          <w:rFonts w:ascii="Arial" w:hAnsi="Arial" w:cs="Arial"/>
          <w:sz w:val="24"/>
          <w:szCs w:val="24"/>
        </w:rPr>
        <w:t xml:space="preserve">Portanto, </w:t>
      </w:r>
      <w:r w:rsidRPr="003D3791">
        <w:rPr>
          <w:rFonts w:ascii="Arial" w:hAnsi="Arial" w:cs="Arial"/>
          <w:b/>
          <w:sz w:val="24"/>
          <w:szCs w:val="24"/>
        </w:rPr>
        <w:t>propõe-se a imediata revogação do dispositivo pelo Governador do Estado</w:t>
      </w:r>
      <w:r w:rsidRPr="003D3791">
        <w:rPr>
          <w:rFonts w:ascii="Arial" w:hAnsi="Arial" w:cs="Arial"/>
          <w:sz w:val="24"/>
          <w:szCs w:val="24"/>
        </w:rPr>
        <w:t xml:space="preserve"> e a respectiva </w:t>
      </w:r>
      <w:r w:rsidRPr="003D3791">
        <w:rPr>
          <w:rFonts w:ascii="Arial" w:hAnsi="Arial" w:cs="Arial"/>
          <w:bCs/>
          <w:sz w:val="24"/>
          <w:szCs w:val="24"/>
          <w:u w:val="single"/>
        </w:rPr>
        <w:t>atribuição a servidores efetivos e concursados do quadro</w:t>
      </w:r>
      <w:r w:rsidRPr="003D3791">
        <w:rPr>
          <w:rFonts w:ascii="Arial" w:hAnsi="Arial" w:cs="Arial"/>
          <w:sz w:val="24"/>
          <w:szCs w:val="24"/>
          <w:u w:val="single"/>
        </w:rPr>
        <w:t xml:space="preserve"> de pessoal</w:t>
      </w:r>
      <w:r w:rsidRPr="003D3791">
        <w:rPr>
          <w:rFonts w:ascii="Arial" w:hAnsi="Arial" w:cs="Arial"/>
          <w:sz w:val="24"/>
          <w:szCs w:val="24"/>
        </w:rPr>
        <w:t xml:space="preserve"> da Secretaria de Indústria e Comércio ou outro órgão estatal, tendo em vista a manifesta </w:t>
      </w:r>
      <w:r w:rsidRPr="003D3791">
        <w:rPr>
          <w:rFonts w:ascii="Arial" w:hAnsi="Arial" w:cs="Arial"/>
          <w:sz w:val="24"/>
          <w:szCs w:val="24"/>
          <w:u w:val="single"/>
        </w:rPr>
        <w:t>desnecessidade de empresa especializada para esse desiderato</w:t>
      </w:r>
      <w:r w:rsidRPr="003D3791">
        <w:rPr>
          <w:rFonts w:ascii="Arial" w:hAnsi="Arial" w:cs="Arial"/>
          <w:sz w:val="24"/>
          <w:szCs w:val="24"/>
        </w:rPr>
        <w:t>.</w:t>
      </w:r>
    </w:p>
    <w:p w14:paraId="3637E256" w14:textId="7B66A450" w:rsidR="00783461" w:rsidRDefault="00783461" w:rsidP="003D255C">
      <w:pPr>
        <w:spacing w:line="360" w:lineRule="auto"/>
        <w:ind w:firstLine="851"/>
        <w:jc w:val="both"/>
        <w:rPr>
          <w:rFonts w:ascii="Arial" w:hAnsi="Arial" w:cs="Arial"/>
          <w:sz w:val="24"/>
          <w:szCs w:val="24"/>
        </w:rPr>
      </w:pPr>
    </w:p>
    <w:p w14:paraId="44702B1C" w14:textId="7C189D25" w:rsidR="00783461" w:rsidRPr="00783461" w:rsidRDefault="00783461" w:rsidP="00783461">
      <w:pPr>
        <w:spacing w:line="360" w:lineRule="auto"/>
        <w:ind w:firstLine="851"/>
        <w:jc w:val="both"/>
        <w:rPr>
          <w:rFonts w:ascii="Arial" w:hAnsi="Arial" w:cs="Arial"/>
          <w:b/>
          <w:sz w:val="24"/>
          <w:szCs w:val="24"/>
          <w:u w:val="single"/>
        </w:rPr>
      </w:pPr>
      <w:r w:rsidRPr="00783461">
        <w:rPr>
          <w:rFonts w:ascii="Arial" w:hAnsi="Arial" w:cs="Arial"/>
          <w:b/>
          <w:sz w:val="24"/>
          <w:szCs w:val="24"/>
          <w:u w:val="single"/>
        </w:rPr>
        <w:t xml:space="preserve">6.3.3 – Irregularidades nas auditorias de investimento e quitação no </w:t>
      </w:r>
      <w:r w:rsidR="00AE7781" w:rsidRPr="00783461">
        <w:rPr>
          <w:rFonts w:ascii="Arial" w:hAnsi="Arial" w:cs="Arial"/>
          <w:b/>
          <w:sz w:val="24"/>
          <w:szCs w:val="24"/>
          <w:u w:val="single"/>
        </w:rPr>
        <w:t xml:space="preserve">Programa </w:t>
      </w:r>
      <w:r w:rsidRPr="00783461">
        <w:rPr>
          <w:rFonts w:ascii="Arial" w:hAnsi="Arial" w:cs="Arial"/>
          <w:b/>
          <w:sz w:val="24"/>
          <w:szCs w:val="24"/>
          <w:u w:val="single"/>
        </w:rPr>
        <w:t>PRODUZIR</w:t>
      </w:r>
    </w:p>
    <w:p w14:paraId="1E32BAAC" w14:textId="77777777" w:rsidR="00783461" w:rsidRPr="00F552F1" w:rsidRDefault="00783461" w:rsidP="00783461">
      <w:pPr>
        <w:spacing w:line="360" w:lineRule="auto"/>
        <w:ind w:firstLine="851"/>
        <w:jc w:val="both"/>
        <w:rPr>
          <w:rFonts w:ascii="Arial" w:hAnsi="Arial" w:cs="Arial"/>
          <w:sz w:val="24"/>
          <w:szCs w:val="24"/>
        </w:rPr>
      </w:pPr>
    </w:p>
    <w:p w14:paraId="1B3028BC" w14:textId="5B0B2A66" w:rsidR="00783461" w:rsidRDefault="00783461" w:rsidP="00783461">
      <w:pPr>
        <w:spacing w:line="360" w:lineRule="auto"/>
        <w:ind w:firstLine="851"/>
        <w:jc w:val="both"/>
        <w:rPr>
          <w:rFonts w:ascii="Arial" w:hAnsi="Arial" w:cs="Arial"/>
          <w:b/>
          <w:sz w:val="24"/>
          <w:szCs w:val="24"/>
        </w:rPr>
      </w:pPr>
      <w:r w:rsidRPr="00783461">
        <w:rPr>
          <w:rFonts w:ascii="Arial" w:hAnsi="Arial" w:cs="Arial"/>
          <w:b/>
          <w:sz w:val="24"/>
          <w:szCs w:val="24"/>
        </w:rPr>
        <w:t>6.3.3.1 – Auditorias de investimento</w:t>
      </w:r>
    </w:p>
    <w:p w14:paraId="5666784D" w14:textId="77777777" w:rsidR="00783461" w:rsidRPr="00783461" w:rsidRDefault="00783461" w:rsidP="00783461">
      <w:pPr>
        <w:spacing w:line="360" w:lineRule="auto"/>
        <w:ind w:firstLine="851"/>
        <w:jc w:val="both"/>
        <w:rPr>
          <w:rFonts w:ascii="Arial" w:hAnsi="Arial" w:cs="Arial"/>
          <w:b/>
          <w:sz w:val="24"/>
          <w:szCs w:val="24"/>
        </w:rPr>
      </w:pPr>
    </w:p>
    <w:p w14:paraId="21977C61" w14:textId="77777777" w:rsidR="00783461" w:rsidRDefault="00783461" w:rsidP="00783461">
      <w:pPr>
        <w:spacing w:line="360" w:lineRule="auto"/>
        <w:ind w:firstLine="851"/>
        <w:jc w:val="both"/>
        <w:rPr>
          <w:rFonts w:ascii="Arial" w:hAnsi="Arial" w:cs="Arial"/>
          <w:sz w:val="24"/>
          <w:szCs w:val="24"/>
        </w:rPr>
      </w:pPr>
      <w:r w:rsidRPr="00F552F1">
        <w:rPr>
          <w:rFonts w:ascii="Arial" w:hAnsi="Arial" w:cs="Arial"/>
          <w:sz w:val="24"/>
          <w:szCs w:val="24"/>
        </w:rPr>
        <w:t xml:space="preserve">Conforme alínea “e” </w:t>
      </w:r>
      <w:r>
        <w:rPr>
          <w:rFonts w:ascii="Arial" w:hAnsi="Arial" w:cs="Arial"/>
          <w:sz w:val="24"/>
          <w:szCs w:val="24"/>
        </w:rPr>
        <w:t xml:space="preserve">do inciso I do </w:t>
      </w:r>
      <w:r w:rsidRPr="00F552F1">
        <w:rPr>
          <w:rFonts w:ascii="Arial" w:hAnsi="Arial" w:cs="Arial"/>
          <w:sz w:val="24"/>
          <w:szCs w:val="24"/>
        </w:rPr>
        <w:t>§ 3º</w:t>
      </w:r>
      <w:r>
        <w:rPr>
          <w:rFonts w:ascii="Arial" w:hAnsi="Arial" w:cs="Arial"/>
          <w:sz w:val="24"/>
          <w:szCs w:val="24"/>
        </w:rPr>
        <w:t xml:space="preserve"> do </w:t>
      </w:r>
      <w:r w:rsidRPr="00F552F1">
        <w:rPr>
          <w:rFonts w:ascii="Arial" w:hAnsi="Arial" w:cs="Arial"/>
          <w:sz w:val="24"/>
          <w:szCs w:val="24"/>
        </w:rPr>
        <w:t>art. 41 do Decreto n</w:t>
      </w:r>
      <w:r>
        <w:rPr>
          <w:rFonts w:ascii="Arial" w:hAnsi="Arial" w:cs="Arial"/>
          <w:sz w:val="24"/>
          <w:szCs w:val="24"/>
        </w:rPr>
        <w:t>.</w:t>
      </w:r>
      <w:r w:rsidRPr="00F552F1">
        <w:rPr>
          <w:rFonts w:ascii="Arial" w:hAnsi="Arial" w:cs="Arial"/>
          <w:sz w:val="24"/>
          <w:szCs w:val="24"/>
        </w:rPr>
        <w:t xml:space="preserve"> 5.265</w:t>
      </w:r>
      <w:r>
        <w:rPr>
          <w:rFonts w:ascii="Arial" w:hAnsi="Arial" w:cs="Arial"/>
          <w:sz w:val="24"/>
          <w:szCs w:val="24"/>
        </w:rPr>
        <w:t xml:space="preserve">, de </w:t>
      </w:r>
      <w:r w:rsidRPr="00F552F1">
        <w:rPr>
          <w:rFonts w:ascii="Arial" w:hAnsi="Arial" w:cs="Arial"/>
          <w:sz w:val="24"/>
          <w:szCs w:val="24"/>
        </w:rPr>
        <w:t>2000</w:t>
      </w:r>
      <w:r>
        <w:rPr>
          <w:rFonts w:ascii="Arial" w:hAnsi="Arial" w:cs="Arial"/>
          <w:sz w:val="24"/>
          <w:szCs w:val="24"/>
        </w:rPr>
        <w:t>,</w:t>
      </w:r>
      <w:r w:rsidRPr="00F552F1">
        <w:rPr>
          <w:rFonts w:ascii="Arial" w:hAnsi="Arial" w:cs="Arial"/>
          <w:sz w:val="24"/>
          <w:szCs w:val="24"/>
        </w:rPr>
        <w:t xml:space="preserve"> a auditoria de investimento do programa PRODUZIR tem a função de comprovar a realização do investimento previsto no projeto</w:t>
      </w:r>
      <w:r>
        <w:rPr>
          <w:rFonts w:ascii="Arial" w:hAnsi="Arial" w:cs="Arial"/>
          <w:sz w:val="24"/>
          <w:szCs w:val="24"/>
        </w:rPr>
        <w:t>:</w:t>
      </w:r>
    </w:p>
    <w:p w14:paraId="4B8B6509" w14:textId="77777777" w:rsidR="00783461" w:rsidRDefault="00783461" w:rsidP="00783461">
      <w:pPr>
        <w:spacing w:line="360" w:lineRule="auto"/>
        <w:ind w:firstLine="851"/>
        <w:jc w:val="both"/>
        <w:rPr>
          <w:rFonts w:ascii="Arial" w:hAnsi="Arial" w:cs="Arial"/>
          <w:sz w:val="24"/>
          <w:szCs w:val="24"/>
        </w:rPr>
      </w:pPr>
    </w:p>
    <w:p w14:paraId="3DAFF545" w14:textId="77777777" w:rsidR="00783461" w:rsidRPr="006C5DA0" w:rsidRDefault="00783461" w:rsidP="00783461">
      <w:pPr>
        <w:ind w:left="2268"/>
        <w:jc w:val="both"/>
        <w:rPr>
          <w:rFonts w:ascii="Arial" w:hAnsi="Arial" w:cs="Arial"/>
          <w:color w:val="000000"/>
          <w:sz w:val="22"/>
        </w:rPr>
      </w:pPr>
      <w:r w:rsidRPr="006C5DA0">
        <w:rPr>
          <w:rFonts w:ascii="Arial" w:hAnsi="Arial" w:cs="Arial"/>
          <w:color w:val="000000"/>
          <w:sz w:val="22"/>
        </w:rPr>
        <w:t xml:space="preserve">Art. 41. O sistema de controle do Programa PRODUZIR deve contar com uma Auditoria Interna de Controle, </w:t>
      </w:r>
      <w:r w:rsidRPr="006C5DA0">
        <w:rPr>
          <w:rFonts w:ascii="Arial" w:hAnsi="Arial" w:cs="Arial"/>
          <w:b/>
          <w:color w:val="000000"/>
          <w:sz w:val="22"/>
        </w:rPr>
        <w:t>integrada à Secretaria de Estado da Fazenda</w:t>
      </w:r>
      <w:r w:rsidRPr="006C5DA0">
        <w:rPr>
          <w:rFonts w:ascii="Arial" w:hAnsi="Arial" w:cs="Arial"/>
          <w:color w:val="000000"/>
          <w:sz w:val="22"/>
        </w:rPr>
        <w:t xml:space="preserve">, e ser composta por seus servidores, ou a ela alocados ou </w:t>
      </w:r>
      <w:r w:rsidRPr="006C5DA0">
        <w:rPr>
          <w:rFonts w:ascii="Arial" w:hAnsi="Arial" w:cs="Arial"/>
          <w:color w:val="000000"/>
          <w:sz w:val="22"/>
        </w:rPr>
        <w:lastRenderedPageBreak/>
        <w:t>postos à sua disposição, contando com, pelo menos, um Auditor Fiscal da Receita Estadual - AFRE.</w:t>
      </w:r>
    </w:p>
    <w:p w14:paraId="22611A3B" w14:textId="77777777" w:rsidR="00783461" w:rsidRPr="006C5DA0" w:rsidRDefault="00783461" w:rsidP="00783461">
      <w:pPr>
        <w:ind w:left="2268"/>
        <w:jc w:val="both"/>
        <w:rPr>
          <w:rFonts w:ascii="Arial" w:hAnsi="Arial" w:cs="Arial"/>
          <w:color w:val="000000"/>
          <w:sz w:val="22"/>
        </w:rPr>
      </w:pPr>
      <w:r w:rsidRPr="006C5DA0">
        <w:rPr>
          <w:rFonts w:ascii="Arial" w:hAnsi="Arial" w:cs="Arial"/>
          <w:color w:val="000000"/>
          <w:sz w:val="22"/>
        </w:rPr>
        <w:t>[...]</w:t>
      </w:r>
    </w:p>
    <w:p w14:paraId="02380BD3" w14:textId="77777777" w:rsidR="00783461" w:rsidRPr="006C5DA0" w:rsidRDefault="00783461" w:rsidP="00783461">
      <w:pPr>
        <w:ind w:left="2268"/>
        <w:jc w:val="both"/>
        <w:rPr>
          <w:rFonts w:ascii="Arial" w:hAnsi="Arial" w:cs="Arial"/>
          <w:color w:val="000000"/>
          <w:sz w:val="22"/>
        </w:rPr>
      </w:pPr>
      <w:r w:rsidRPr="006C5DA0">
        <w:rPr>
          <w:rFonts w:ascii="Arial" w:hAnsi="Arial" w:cs="Arial"/>
          <w:color w:val="000000"/>
          <w:sz w:val="22"/>
        </w:rPr>
        <w:t>§ 3º Compete, ainda, à Auditoria Interna de Controle:</w:t>
      </w:r>
    </w:p>
    <w:p w14:paraId="3B2A4E95" w14:textId="77777777" w:rsidR="00783461" w:rsidRPr="006C5DA0" w:rsidRDefault="00783461" w:rsidP="00783461">
      <w:pPr>
        <w:ind w:left="2268"/>
        <w:jc w:val="both"/>
        <w:rPr>
          <w:rFonts w:ascii="Arial" w:hAnsi="Arial" w:cs="Arial"/>
          <w:sz w:val="20"/>
          <w:szCs w:val="24"/>
        </w:rPr>
      </w:pPr>
      <w:r w:rsidRPr="006C5DA0">
        <w:rPr>
          <w:rFonts w:ascii="Arial" w:hAnsi="Arial" w:cs="Arial"/>
          <w:color w:val="000000"/>
          <w:sz w:val="22"/>
        </w:rPr>
        <w:t>[...]</w:t>
      </w:r>
    </w:p>
    <w:p w14:paraId="6115750F" w14:textId="77777777" w:rsidR="00783461" w:rsidRPr="006C5DA0" w:rsidRDefault="00783461" w:rsidP="00783461">
      <w:pPr>
        <w:ind w:left="2268"/>
        <w:jc w:val="both"/>
        <w:rPr>
          <w:rFonts w:ascii="Arial" w:hAnsi="Arial" w:cs="Arial"/>
          <w:color w:val="000000"/>
          <w:sz w:val="22"/>
        </w:rPr>
      </w:pPr>
      <w:r w:rsidRPr="006C5DA0">
        <w:rPr>
          <w:rFonts w:ascii="Arial" w:hAnsi="Arial" w:cs="Arial"/>
          <w:color w:val="000000"/>
          <w:sz w:val="22"/>
        </w:rPr>
        <w:t>I - realizar, periodicamente, auditagem em empresa beneficiária do PRODUZIR para, dentre outros objetivos:</w:t>
      </w:r>
    </w:p>
    <w:p w14:paraId="0F38A382" w14:textId="77777777" w:rsidR="00783461" w:rsidRPr="006C5DA0" w:rsidRDefault="00783461" w:rsidP="00783461">
      <w:pPr>
        <w:ind w:left="2268"/>
        <w:jc w:val="both"/>
        <w:rPr>
          <w:rFonts w:ascii="Arial" w:hAnsi="Arial" w:cs="Arial"/>
          <w:color w:val="000000"/>
          <w:sz w:val="22"/>
        </w:rPr>
      </w:pPr>
      <w:r w:rsidRPr="006C5DA0">
        <w:rPr>
          <w:rFonts w:ascii="Arial" w:hAnsi="Arial" w:cs="Arial"/>
          <w:color w:val="000000"/>
          <w:sz w:val="22"/>
        </w:rPr>
        <w:t>[...]</w:t>
      </w:r>
    </w:p>
    <w:p w14:paraId="0AE56AA7" w14:textId="77777777" w:rsidR="00783461" w:rsidRPr="006C5DA0" w:rsidRDefault="00783461" w:rsidP="00783461">
      <w:pPr>
        <w:ind w:left="2268"/>
        <w:jc w:val="both"/>
        <w:rPr>
          <w:rFonts w:ascii="Arial" w:hAnsi="Arial" w:cs="Arial"/>
          <w:color w:val="000000"/>
          <w:sz w:val="22"/>
        </w:rPr>
      </w:pPr>
      <w:r w:rsidRPr="006C5DA0">
        <w:rPr>
          <w:rFonts w:ascii="Arial" w:hAnsi="Arial" w:cs="Arial"/>
          <w:color w:val="000000"/>
          <w:sz w:val="22"/>
        </w:rPr>
        <w:t xml:space="preserve">e) </w:t>
      </w:r>
      <w:r w:rsidRPr="006C5DA0">
        <w:rPr>
          <w:rFonts w:ascii="Arial" w:hAnsi="Arial" w:cs="Arial"/>
          <w:b/>
          <w:color w:val="000000"/>
          <w:sz w:val="22"/>
        </w:rPr>
        <w:t>comprovar a realização do investimento previsto no projeto</w:t>
      </w:r>
      <w:r w:rsidRPr="006C5DA0">
        <w:rPr>
          <w:rFonts w:ascii="Arial" w:hAnsi="Arial" w:cs="Arial"/>
          <w:color w:val="000000"/>
          <w:sz w:val="22"/>
        </w:rPr>
        <w:t>, considerando os gastos efetuados com a:</w:t>
      </w:r>
    </w:p>
    <w:p w14:paraId="1E393388" w14:textId="77777777" w:rsidR="00783461" w:rsidRPr="006C5DA0" w:rsidRDefault="00783461" w:rsidP="00783461">
      <w:pPr>
        <w:ind w:left="2268"/>
        <w:jc w:val="both"/>
        <w:rPr>
          <w:rFonts w:ascii="Arial" w:hAnsi="Arial" w:cs="Arial"/>
          <w:color w:val="000000"/>
          <w:sz w:val="22"/>
        </w:rPr>
      </w:pPr>
      <w:r w:rsidRPr="006C5DA0">
        <w:rPr>
          <w:rFonts w:ascii="Arial" w:hAnsi="Arial" w:cs="Arial"/>
          <w:color w:val="000000"/>
          <w:sz w:val="22"/>
        </w:rPr>
        <w:t>1. aquisição de terreno;</w:t>
      </w:r>
    </w:p>
    <w:p w14:paraId="137A97FD" w14:textId="77777777" w:rsidR="00783461" w:rsidRPr="006C5DA0" w:rsidRDefault="00783461" w:rsidP="00783461">
      <w:pPr>
        <w:ind w:left="2268"/>
        <w:jc w:val="both"/>
        <w:rPr>
          <w:rFonts w:ascii="Arial" w:hAnsi="Arial" w:cs="Arial"/>
          <w:color w:val="000000"/>
          <w:sz w:val="22"/>
        </w:rPr>
      </w:pPr>
      <w:r w:rsidRPr="006C5DA0">
        <w:rPr>
          <w:rFonts w:ascii="Arial" w:hAnsi="Arial" w:cs="Arial"/>
          <w:color w:val="000000"/>
          <w:sz w:val="22"/>
        </w:rPr>
        <w:t>2. compra de equipamento novo ou usado, com percentual de vida útil equivalente a 60% (sessenta por cento), até o limite de 50% (cinqüenta por cento) do total dos investimentos previstos no projeto, para o que deve contar com avaliação feita por profissional especializado, de reconhecida idoneidade técnica;</w:t>
      </w:r>
    </w:p>
    <w:p w14:paraId="6125857F" w14:textId="77777777" w:rsidR="00783461" w:rsidRPr="006C5DA0" w:rsidRDefault="00783461" w:rsidP="00783461">
      <w:pPr>
        <w:ind w:left="2268"/>
        <w:jc w:val="both"/>
        <w:rPr>
          <w:rFonts w:ascii="Arial" w:hAnsi="Arial" w:cs="Arial"/>
          <w:color w:val="000000"/>
          <w:sz w:val="22"/>
        </w:rPr>
      </w:pPr>
      <w:r w:rsidRPr="006C5DA0">
        <w:rPr>
          <w:rFonts w:ascii="Arial" w:hAnsi="Arial" w:cs="Arial"/>
          <w:color w:val="000000"/>
          <w:sz w:val="22"/>
        </w:rPr>
        <w:t>3. execução de obra civil, instalação e montagem industrial;</w:t>
      </w:r>
    </w:p>
    <w:p w14:paraId="777F4900" w14:textId="77777777" w:rsidR="00783461" w:rsidRPr="006C5DA0" w:rsidRDefault="00783461" w:rsidP="00783461">
      <w:pPr>
        <w:ind w:left="2268"/>
        <w:jc w:val="both"/>
        <w:rPr>
          <w:rFonts w:ascii="Arial" w:hAnsi="Arial" w:cs="Arial"/>
          <w:color w:val="000000"/>
          <w:sz w:val="22"/>
        </w:rPr>
      </w:pPr>
      <w:r w:rsidRPr="006C5DA0">
        <w:rPr>
          <w:rFonts w:ascii="Arial" w:hAnsi="Arial" w:cs="Arial"/>
          <w:color w:val="000000"/>
          <w:sz w:val="22"/>
        </w:rPr>
        <w:t>4. elaboração de projeto;</w:t>
      </w:r>
    </w:p>
    <w:p w14:paraId="69208C78" w14:textId="77777777" w:rsidR="00783461" w:rsidRPr="006C5DA0" w:rsidRDefault="00783461" w:rsidP="00783461">
      <w:pPr>
        <w:ind w:left="2268"/>
        <w:jc w:val="both"/>
        <w:rPr>
          <w:rFonts w:ascii="Arial" w:hAnsi="Arial" w:cs="Arial"/>
          <w:color w:val="000000"/>
          <w:sz w:val="22"/>
        </w:rPr>
      </w:pPr>
      <w:r w:rsidRPr="006C5DA0">
        <w:rPr>
          <w:rFonts w:ascii="Arial" w:hAnsi="Arial" w:cs="Arial"/>
          <w:color w:val="000000"/>
          <w:sz w:val="22"/>
        </w:rPr>
        <w:t>5. aquisição ou locação de bem por meio de arrendamento mercantil (“leasing”), até 30% (trinta por cento) do valor total do investimento;</w:t>
      </w:r>
    </w:p>
    <w:p w14:paraId="20B9C105" w14:textId="77777777" w:rsidR="00783461" w:rsidRDefault="00783461" w:rsidP="00783461">
      <w:pPr>
        <w:spacing w:line="360" w:lineRule="auto"/>
        <w:ind w:firstLine="851"/>
        <w:jc w:val="both"/>
        <w:rPr>
          <w:rFonts w:ascii="Arial" w:hAnsi="Arial" w:cs="Arial"/>
          <w:sz w:val="24"/>
          <w:szCs w:val="24"/>
        </w:rPr>
      </w:pPr>
    </w:p>
    <w:p w14:paraId="112EA619" w14:textId="77777777" w:rsidR="00783461" w:rsidRDefault="00783461" w:rsidP="00783461">
      <w:pPr>
        <w:spacing w:line="360" w:lineRule="auto"/>
        <w:ind w:firstLine="851"/>
        <w:jc w:val="both"/>
        <w:rPr>
          <w:rFonts w:ascii="Arial" w:hAnsi="Arial" w:cs="Arial"/>
          <w:sz w:val="24"/>
          <w:szCs w:val="24"/>
        </w:rPr>
      </w:pPr>
      <w:r w:rsidRPr="00F552F1">
        <w:rPr>
          <w:rFonts w:ascii="Arial" w:hAnsi="Arial" w:cs="Arial"/>
          <w:sz w:val="24"/>
          <w:szCs w:val="24"/>
        </w:rPr>
        <w:t xml:space="preserve">Desde 2011, dos 595 CNPJ’s </w:t>
      </w:r>
      <w:r>
        <w:rPr>
          <w:rFonts w:ascii="Arial" w:hAnsi="Arial" w:cs="Arial"/>
          <w:sz w:val="24"/>
          <w:szCs w:val="24"/>
        </w:rPr>
        <w:t xml:space="preserve">inscritos </w:t>
      </w:r>
      <w:r w:rsidRPr="00F552F1">
        <w:rPr>
          <w:rFonts w:ascii="Arial" w:hAnsi="Arial" w:cs="Arial"/>
          <w:sz w:val="24"/>
          <w:szCs w:val="24"/>
        </w:rPr>
        <w:t>nos programas 455 passaram por alguma auditoria de investimentos totalizando 622 auditorias (a mesma empresa pode ter mais de uma auditoria de investimentos)</w:t>
      </w:r>
      <w:r w:rsidRPr="00F552F1">
        <w:rPr>
          <w:rStyle w:val="Refdenotaderodap"/>
          <w:rFonts w:cs="Arial"/>
          <w:sz w:val="22"/>
        </w:rPr>
        <w:footnoteReference w:id="71"/>
      </w:r>
      <w:r w:rsidRPr="00F552F1">
        <w:rPr>
          <w:rFonts w:ascii="Arial" w:hAnsi="Arial" w:cs="Arial"/>
          <w:sz w:val="24"/>
          <w:szCs w:val="24"/>
        </w:rPr>
        <w:t>.</w:t>
      </w:r>
    </w:p>
    <w:p w14:paraId="45A6D949" w14:textId="77777777" w:rsidR="00783461" w:rsidRDefault="00783461" w:rsidP="00783461">
      <w:pPr>
        <w:spacing w:line="360" w:lineRule="auto"/>
        <w:ind w:firstLine="851"/>
        <w:jc w:val="both"/>
        <w:rPr>
          <w:rFonts w:ascii="Arial" w:hAnsi="Arial" w:cs="Arial"/>
          <w:sz w:val="24"/>
          <w:szCs w:val="24"/>
        </w:rPr>
      </w:pPr>
    </w:p>
    <w:p w14:paraId="2CEA94F2" w14:textId="77777777" w:rsidR="00783461" w:rsidRPr="006C5DA0" w:rsidRDefault="00783461" w:rsidP="00783461">
      <w:pPr>
        <w:pStyle w:val="Legenda"/>
        <w:spacing w:after="0"/>
        <w:rPr>
          <w:rFonts w:cstheme="minorHAnsi"/>
          <w:sz w:val="22"/>
          <w:szCs w:val="22"/>
        </w:rPr>
      </w:pPr>
      <w:r w:rsidRPr="006C5DA0">
        <w:rPr>
          <w:rFonts w:cstheme="minorHAnsi"/>
          <w:sz w:val="22"/>
          <w:szCs w:val="22"/>
        </w:rPr>
        <w:t>Número de auditorias de investimentos realizadas</w:t>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9"/>
        <w:gridCol w:w="692"/>
        <w:gridCol w:w="693"/>
        <w:gridCol w:w="693"/>
        <w:gridCol w:w="693"/>
        <w:gridCol w:w="693"/>
        <w:gridCol w:w="693"/>
        <w:gridCol w:w="693"/>
        <w:gridCol w:w="695"/>
        <w:gridCol w:w="796"/>
        <w:gridCol w:w="708"/>
      </w:tblGrid>
      <w:tr w:rsidR="00783461" w:rsidRPr="006C5DA0" w14:paraId="6EB197BD" w14:textId="77777777" w:rsidTr="00732ED7">
        <w:trPr>
          <w:trHeight w:val="20"/>
        </w:trPr>
        <w:tc>
          <w:tcPr>
            <w:tcW w:w="1226" w:type="pct"/>
            <w:noWrap/>
            <w:hideMark/>
          </w:tcPr>
          <w:p w14:paraId="3E60D012" w14:textId="77777777" w:rsidR="00783461" w:rsidRPr="006C5DA0" w:rsidRDefault="00783461" w:rsidP="00732ED7">
            <w:pPr>
              <w:rPr>
                <w:rFonts w:asciiTheme="minorHAnsi" w:hAnsiTheme="minorHAnsi" w:cstheme="minorHAnsi"/>
                <w:b/>
                <w:bCs/>
                <w:color w:val="000000"/>
                <w:sz w:val="22"/>
              </w:rPr>
            </w:pPr>
            <w:r w:rsidRPr="006C5DA0">
              <w:rPr>
                <w:rFonts w:asciiTheme="minorHAnsi" w:hAnsiTheme="minorHAnsi" w:cstheme="minorHAnsi"/>
                <w:b/>
                <w:bCs/>
                <w:color w:val="000000"/>
                <w:sz w:val="22"/>
              </w:rPr>
              <w:t>(Sub)Programa</w:t>
            </w:r>
          </w:p>
        </w:tc>
        <w:tc>
          <w:tcPr>
            <w:tcW w:w="371" w:type="pct"/>
            <w:noWrap/>
            <w:hideMark/>
          </w:tcPr>
          <w:p w14:paraId="231B194F" w14:textId="77777777" w:rsidR="00783461" w:rsidRPr="006C5DA0" w:rsidRDefault="00783461" w:rsidP="00732ED7">
            <w:pPr>
              <w:jc w:val="center"/>
              <w:rPr>
                <w:rFonts w:asciiTheme="minorHAnsi" w:hAnsiTheme="minorHAnsi" w:cstheme="minorHAnsi"/>
                <w:b/>
                <w:bCs/>
                <w:color w:val="000000"/>
                <w:sz w:val="22"/>
              </w:rPr>
            </w:pPr>
            <w:r w:rsidRPr="006C5DA0">
              <w:rPr>
                <w:rFonts w:asciiTheme="minorHAnsi" w:hAnsiTheme="minorHAnsi" w:cstheme="minorHAnsi"/>
                <w:b/>
                <w:bCs/>
                <w:color w:val="000000"/>
                <w:sz w:val="22"/>
              </w:rPr>
              <w:t>2011</w:t>
            </w:r>
          </w:p>
        </w:tc>
        <w:tc>
          <w:tcPr>
            <w:tcW w:w="371" w:type="pct"/>
            <w:noWrap/>
            <w:hideMark/>
          </w:tcPr>
          <w:p w14:paraId="61A6AC36" w14:textId="77777777" w:rsidR="00783461" w:rsidRPr="006C5DA0" w:rsidRDefault="00783461" w:rsidP="00732ED7">
            <w:pPr>
              <w:jc w:val="center"/>
              <w:rPr>
                <w:rFonts w:asciiTheme="minorHAnsi" w:hAnsiTheme="minorHAnsi" w:cstheme="minorHAnsi"/>
                <w:b/>
                <w:bCs/>
                <w:color w:val="000000"/>
                <w:sz w:val="22"/>
              </w:rPr>
            </w:pPr>
            <w:r w:rsidRPr="006C5DA0">
              <w:rPr>
                <w:rFonts w:asciiTheme="minorHAnsi" w:hAnsiTheme="minorHAnsi" w:cstheme="minorHAnsi"/>
                <w:b/>
                <w:bCs/>
                <w:color w:val="000000"/>
                <w:sz w:val="22"/>
              </w:rPr>
              <w:t>2012</w:t>
            </w:r>
          </w:p>
        </w:tc>
        <w:tc>
          <w:tcPr>
            <w:tcW w:w="371" w:type="pct"/>
            <w:noWrap/>
            <w:hideMark/>
          </w:tcPr>
          <w:p w14:paraId="52297C84" w14:textId="77777777" w:rsidR="00783461" w:rsidRPr="006C5DA0" w:rsidRDefault="00783461" w:rsidP="00732ED7">
            <w:pPr>
              <w:jc w:val="center"/>
              <w:rPr>
                <w:rFonts w:asciiTheme="minorHAnsi" w:hAnsiTheme="minorHAnsi" w:cstheme="minorHAnsi"/>
                <w:b/>
                <w:bCs/>
                <w:color w:val="000000"/>
                <w:sz w:val="22"/>
              </w:rPr>
            </w:pPr>
            <w:r w:rsidRPr="006C5DA0">
              <w:rPr>
                <w:rFonts w:asciiTheme="minorHAnsi" w:hAnsiTheme="minorHAnsi" w:cstheme="minorHAnsi"/>
                <w:b/>
                <w:bCs/>
                <w:color w:val="000000"/>
                <w:sz w:val="22"/>
              </w:rPr>
              <w:t>2013</w:t>
            </w:r>
          </w:p>
        </w:tc>
        <w:tc>
          <w:tcPr>
            <w:tcW w:w="371" w:type="pct"/>
            <w:noWrap/>
            <w:hideMark/>
          </w:tcPr>
          <w:p w14:paraId="1C9AB92F" w14:textId="77777777" w:rsidR="00783461" w:rsidRPr="006C5DA0" w:rsidRDefault="00783461" w:rsidP="00732ED7">
            <w:pPr>
              <w:jc w:val="center"/>
              <w:rPr>
                <w:rFonts w:asciiTheme="minorHAnsi" w:hAnsiTheme="minorHAnsi" w:cstheme="minorHAnsi"/>
                <w:b/>
                <w:bCs/>
                <w:color w:val="000000"/>
                <w:sz w:val="22"/>
              </w:rPr>
            </w:pPr>
            <w:r w:rsidRPr="006C5DA0">
              <w:rPr>
                <w:rFonts w:asciiTheme="minorHAnsi" w:hAnsiTheme="minorHAnsi" w:cstheme="minorHAnsi"/>
                <w:b/>
                <w:bCs/>
                <w:color w:val="000000"/>
                <w:sz w:val="22"/>
              </w:rPr>
              <w:t>2014</w:t>
            </w:r>
          </w:p>
        </w:tc>
        <w:tc>
          <w:tcPr>
            <w:tcW w:w="371" w:type="pct"/>
            <w:noWrap/>
            <w:hideMark/>
          </w:tcPr>
          <w:p w14:paraId="76BF02C2" w14:textId="77777777" w:rsidR="00783461" w:rsidRPr="006C5DA0" w:rsidRDefault="00783461" w:rsidP="00732ED7">
            <w:pPr>
              <w:jc w:val="center"/>
              <w:rPr>
                <w:rFonts w:asciiTheme="minorHAnsi" w:hAnsiTheme="minorHAnsi" w:cstheme="minorHAnsi"/>
                <w:b/>
                <w:bCs/>
                <w:color w:val="000000"/>
                <w:sz w:val="22"/>
              </w:rPr>
            </w:pPr>
            <w:r w:rsidRPr="006C5DA0">
              <w:rPr>
                <w:rFonts w:asciiTheme="minorHAnsi" w:hAnsiTheme="minorHAnsi" w:cstheme="minorHAnsi"/>
                <w:b/>
                <w:bCs/>
                <w:color w:val="000000"/>
                <w:sz w:val="22"/>
              </w:rPr>
              <w:t>2015</w:t>
            </w:r>
          </w:p>
        </w:tc>
        <w:tc>
          <w:tcPr>
            <w:tcW w:w="371" w:type="pct"/>
            <w:noWrap/>
            <w:hideMark/>
          </w:tcPr>
          <w:p w14:paraId="18D9BFA5" w14:textId="77777777" w:rsidR="00783461" w:rsidRPr="006C5DA0" w:rsidRDefault="00783461" w:rsidP="00732ED7">
            <w:pPr>
              <w:jc w:val="center"/>
              <w:rPr>
                <w:rFonts w:asciiTheme="minorHAnsi" w:hAnsiTheme="minorHAnsi" w:cstheme="minorHAnsi"/>
                <w:b/>
                <w:bCs/>
                <w:color w:val="000000"/>
                <w:sz w:val="22"/>
              </w:rPr>
            </w:pPr>
            <w:r w:rsidRPr="006C5DA0">
              <w:rPr>
                <w:rFonts w:asciiTheme="minorHAnsi" w:hAnsiTheme="minorHAnsi" w:cstheme="minorHAnsi"/>
                <w:b/>
                <w:bCs/>
                <w:color w:val="000000"/>
                <w:sz w:val="22"/>
              </w:rPr>
              <w:t>2016</w:t>
            </w:r>
          </w:p>
        </w:tc>
        <w:tc>
          <w:tcPr>
            <w:tcW w:w="371" w:type="pct"/>
            <w:noWrap/>
            <w:hideMark/>
          </w:tcPr>
          <w:p w14:paraId="7499D775" w14:textId="77777777" w:rsidR="00783461" w:rsidRPr="006C5DA0" w:rsidRDefault="00783461" w:rsidP="00732ED7">
            <w:pPr>
              <w:jc w:val="center"/>
              <w:rPr>
                <w:rFonts w:asciiTheme="minorHAnsi" w:hAnsiTheme="minorHAnsi" w:cstheme="minorHAnsi"/>
                <w:b/>
                <w:bCs/>
                <w:color w:val="000000"/>
                <w:sz w:val="22"/>
              </w:rPr>
            </w:pPr>
            <w:r w:rsidRPr="006C5DA0">
              <w:rPr>
                <w:rFonts w:asciiTheme="minorHAnsi" w:hAnsiTheme="minorHAnsi" w:cstheme="minorHAnsi"/>
                <w:b/>
                <w:bCs/>
                <w:color w:val="000000"/>
                <w:sz w:val="22"/>
              </w:rPr>
              <w:t>2017</w:t>
            </w:r>
          </w:p>
        </w:tc>
        <w:tc>
          <w:tcPr>
            <w:tcW w:w="372" w:type="pct"/>
            <w:noWrap/>
            <w:hideMark/>
          </w:tcPr>
          <w:p w14:paraId="4CEB9E63" w14:textId="77777777" w:rsidR="00783461" w:rsidRPr="006C5DA0" w:rsidRDefault="00783461" w:rsidP="00732ED7">
            <w:pPr>
              <w:jc w:val="center"/>
              <w:rPr>
                <w:rFonts w:asciiTheme="minorHAnsi" w:hAnsiTheme="minorHAnsi" w:cstheme="minorHAnsi"/>
                <w:b/>
                <w:bCs/>
                <w:color w:val="000000"/>
                <w:sz w:val="22"/>
              </w:rPr>
            </w:pPr>
            <w:r w:rsidRPr="006C5DA0">
              <w:rPr>
                <w:rFonts w:asciiTheme="minorHAnsi" w:hAnsiTheme="minorHAnsi" w:cstheme="minorHAnsi"/>
                <w:b/>
                <w:bCs/>
                <w:color w:val="000000"/>
                <w:sz w:val="22"/>
              </w:rPr>
              <w:t>2018</w:t>
            </w:r>
          </w:p>
        </w:tc>
        <w:tc>
          <w:tcPr>
            <w:tcW w:w="426" w:type="pct"/>
            <w:noWrap/>
            <w:hideMark/>
          </w:tcPr>
          <w:p w14:paraId="0628119D" w14:textId="77777777" w:rsidR="00783461" w:rsidRPr="006C5DA0" w:rsidRDefault="00783461" w:rsidP="00732ED7">
            <w:pPr>
              <w:jc w:val="center"/>
              <w:rPr>
                <w:rFonts w:asciiTheme="minorHAnsi" w:hAnsiTheme="minorHAnsi" w:cstheme="minorHAnsi"/>
                <w:b/>
                <w:bCs/>
                <w:color w:val="000000"/>
                <w:sz w:val="22"/>
              </w:rPr>
            </w:pPr>
            <w:r w:rsidRPr="006C5DA0">
              <w:rPr>
                <w:rFonts w:asciiTheme="minorHAnsi" w:hAnsiTheme="minorHAnsi" w:cstheme="minorHAnsi"/>
                <w:b/>
                <w:bCs/>
                <w:color w:val="000000"/>
                <w:sz w:val="22"/>
              </w:rPr>
              <w:t>2019*</w:t>
            </w:r>
          </w:p>
        </w:tc>
        <w:tc>
          <w:tcPr>
            <w:tcW w:w="380" w:type="pct"/>
            <w:noWrap/>
            <w:hideMark/>
          </w:tcPr>
          <w:p w14:paraId="4A3858C0" w14:textId="77777777" w:rsidR="00783461" w:rsidRPr="006C5DA0" w:rsidRDefault="00783461" w:rsidP="00732ED7">
            <w:pPr>
              <w:jc w:val="center"/>
              <w:rPr>
                <w:rFonts w:asciiTheme="minorHAnsi" w:hAnsiTheme="minorHAnsi" w:cstheme="minorHAnsi"/>
                <w:b/>
                <w:bCs/>
                <w:color w:val="000000"/>
                <w:sz w:val="22"/>
              </w:rPr>
            </w:pPr>
            <w:r w:rsidRPr="006C5DA0">
              <w:rPr>
                <w:rFonts w:asciiTheme="minorHAnsi" w:hAnsiTheme="minorHAnsi" w:cstheme="minorHAnsi"/>
                <w:b/>
                <w:bCs/>
                <w:color w:val="000000"/>
                <w:sz w:val="22"/>
              </w:rPr>
              <w:t>Total</w:t>
            </w:r>
          </w:p>
        </w:tc>
      </w:tr>
      <w:tr w:rsidR="00783461" w:rsidRPr="006C5DA0" w14:paraId="138A1E49" w14:textId="77777777" w:rsidTr="00732ED7">
        <w:trPr>
          <w:trHeight w:val="20"/>
        </w:trPr>
        <w:tc>
          <w:tcPr>
            <w:tcW w:w="1226" w:type="pct"/>
            <w:noWrap/>
            <w:hideMark/>
          </w:tcPr>
          <w:p w14:paraId="2E170D45" w14:textId="77777777" w:rsidR="00783461" w:rsidRPr="006C5DA0" w:rsidRDefault="00783461" w:rsidP="00732ED7">
            <w:pPr>
              <w:rPr>
                <w:rFonts w:asciiTheme="minorHAnsi" w:hAnsiTheme="minorHAnsi" w:cstheme="minorHAnsi"/>
                <w:color w:val="000000"/>
                <w:sz w:val="22"/>
              </w:rPr>
            </w:pPr>
            <w:r w:rsidRPr="006C5DA0">
              <w:rPr>
                <w:rFonts w:asciiTheme="minorHAnsi" w:hAnsiTheme="minorHAnsi" w:cstheme="minorHAnsi"/>
                <w:color w:val="000000"/>
                <w:sz w:val="22"/>
              </w:rPr>
              <w:t>Centroproduzir</w:t>
            </w:r>
          </w:p>
        </w:tc>
        <w:tc>
          <w:tcPr>
            <w:tcW w:w="371" w:type="pct"/>
          </w:tcPr>
          <w:p w14:paraId="4564E137" w14:textId="77777777" w:rsidR="00783461" w:rsidRPr="006C5DA0" w:rsidRDefault="00783461" w:rsidP="00732ED7">
            <w:pPr>
              <w:rPr>
                <w:rFonts w:asciiTheme="minorHAnsi" w:hAnsiTheme="minorHAnsi" w:cstheme="minorHAnsi"/>
                <w:color w:val="000000"/>
                <w:sz w:val="22"/>
              </w:rPr>
            </w:pPr>
          </w:p>
        </w:tc>
        <w:tc>
          <w:tcPr>
            <w:tcW w:w="371" w:type="pct"/>
            <w:noWrap/>
            <w:hideMark/>
          </w:tcPr>
          <w:p w14:paraId="4A20C9F4"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2</w:t>
            </w:r>
          </w:p>
        </w:tc>
        <w:tc>
          <w:tcPr>
            <w:tcW w:w="371" w:type="pct"/>
            <w:noWrap/>
            <w:hideMark/>
          </w:tcPr>
          <w:p w14:paraId="66F080B6" w14:textId="77777777" w:rsidR="00783461" w:rsidRPr="006C5DA0" w:rsidRDefault="00783461" w:rsidP="00732ED7">
            <w:pPr>
              <w:jc w:val="right"/>
              <w:rPr>
                <w:rFonts w:asciiTheme="minorHAnsi" w:hAnsiTheme="minorHAnsi" w:cstheme="minorHAnsi"/>
                <w:color w:val="000000"/>
                <w:sz w:val="22"/>
              </w:rPr>
            </w:pPr>
          </w:p>
        </w:tc>
        <w:tc>
          <w:tcPr>
            <w:tcW w:w="371" w:type="pct"/>
            <w:noWrap/>
            <w:hideMark/>
          </w:tcPr>
          <w:p w14:paraId="3386B59D"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1</w:t>
            </w:r>
          </w:p>
        </w:tc>
        <w:tc>
          <w:tcPr>
            <w:tcW w:w="371" w:type="pct"/>
            <w:noWrap/>
            <w:hideMark/>
          </w:tcPr>
          <w:p w14:paraId="51F2064D"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1</w:t>
            </w:r>
          </w:p>
        </w:tc>
        <w:tc>
          <w:tcPr>
            <w:tcW w:w="371" w:type="pct"/>
            <w:noWrap/>
            <w:hideMark/>
          </w:tcPr>
          <w:p w14:paraId="4CE88FA3" w14:textId="77777777" w:rsidR="00783461" w:rsidRPr="006C5DA0" w:rsidRDefault="00783461" w:rsidP="00732ED7">
            <w:pPr>
              <w:jc w:val="right"/>
              <w:rPr>
                <w:rFonts w:asciiTheme="minorHAnsi" w:hAnsiTheme="minorHAnsi" w:cstheme="minorHAnsi"/>
                <w:color w:val="000000"/>
                <w:sz w:val="22"/>
              </w:rPr>
            </w:pPr>
          </w:p>
        </w:tc>
        <w:tc>
          <w:tcPr>
            <w:tcW w:w="371" w:type="pct"/>
            <w:noWrap/>
            <w:hideMark/>
          </w:tcPr>
          <w:p w14:paraId="10DB4DFD"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3</w:t>
            </w:r>
          </w:p>
        </w:tc>
        <w:tc>
          <w:tcPr>
            <w:tcW w:w="372" w:type="pct"/>
            <w:noWrap/>
            <w:hideMark/>
          </w:tcPr>
          <w:p w14:paraId="484B9A5B"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2</w:t>
            </w:r>
          </w:p>
        </w:tc>
        <w:tc>
          <w:tcPr>
            <w:tcW w:w="426" w:type="pct"/>
            <w:noWrap/>
            <w:hideMark/>
          </w:tcPr>
          <w:p w14:paraId="176D7EC9"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2</w:t>
            </w:r>
          </w:p>
        </w:tc>
        <w:tc>
          <w:tcPr>
            <w:tcW w:w="380" w:type="pct"/>
            <w:noWrap/>
            <w:hideMark/>
          </w:tcPr>
          <w:p w14:paraId="5EA5A3CF"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11</w:t>
            </w:r>
          </w:p>
        </w:tc>
      </w:tr>
      <w:tr w:rsidR="00783461" w:rsidRPr="006C5DA0" w14:paraId="791318C3" w14:textId="77777777" w:rsidTr="00732ED7">
        <w:trPr>
          <w:trHeight w:val="20"/>
        </w:trPr>
        <w:tc>
          <w:tcPr>
            <w:tcW w:w="1226" w:type="pct"/>
            <w:noWrap/>
            <w:hideMark/>
          </w:tcPr>
          <w:p w14:paraId="34B88114" w14:textId="77777777" w:rsidR="00783461" w:rsidRPr="006C5DA0" w:rsidRDefault="00783461" w:rsidP="00732ED7">
            <w:pPr>
              <w:rPr>
                <w:rFonts w:asciiTheme="minorHAnsi" w:hAnsiTheme="minorHAnsi" w:cstheme="minorHAnsi"/>
                <w:color w:val="000000"/>
                <w:sz w:val="22"/>
              </w:rPr>
            </w:pPr>
            <w:r w:rsidRPr="006C5DA0">
              <w:rPr>
                <w:rFonts w:asciiTheme="minorHAnsi" w:hAnsiTheme="minorHAnsi" w:cstheme="minorHAnsi"/>
                <w:color w:val="000000"/>
                <w:sz w:val="22"/>
              </w:rPr>
              <w:t>Fomentar</w:t>
            </w:r>
          </w:p>
        </w:tc>
        <w:tc>
          <w:tcPr>
            <w:tcW w:w="371" w:type="pct"/>
            <w:noWrap/>
            <w:hideMark/>
          </w:tcPr>
          <w:p w14:paraId="253CBCB3"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25</w:t>
            </w:r>
          </w:p>
        </w:tc>
        <w:tc>
          <w:tcPr>
            <w:tcW w:w="371" w:type="pct"/>
            <w:noWrap/>
            <w:hideMark/>
          </w:tcPr>
          <w:p w14:paraId="261FF01A"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24</w:t>
            </w:r>
          </w:p>
        </w:tc>
        <w:tc>
          <w:tcPr>
            <w:tcW w:w="371" w:type="pct"/>
            <w:noWrap/>
            <w:hideMark/>
          </w:tcPr>
          <w:p w14:paraId="324ADD74"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12</w:t>
            </w:r>
          </w:p>
        </w:tc>
        <w:tc>
          <w:tcPr>
            <w:tcW w:w="371" w:type="pct"/>
            <w:noWrap/>
            <w:hideMark/>
          </w:tcPr>
          <w:p w14:paraId="7D1E73F8"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18</w:t>
            </w:r>
          </w:p>
        </w:tc>
        <w:tc>
          <w:tcPr>
            <w:tcW w:w="371" w:type="pct"/>
            <w:noWrap/>
            <w:hideMark/>
          </w:tcPr>
          <w:p w14:paraId="1453E037"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14</w:t>
            </w:r>
          </w:p>
        </w:tc>
        <w:tc>
          <w:tcPr>
            <w:tcW w:w="371" w:type="pct"/>
            <w:noWrap/>
            <w:hideMark/>
          </w:tcPr>
          <w:p w14:paraId="70CD5FD7"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7</w:t>
            </w:r>
          </w:p>
        </w:tc>
        <w:tc>
          <w:tcPr>
            <w:tcW w:w="371" w:type="pct"/>
            <w:noWrap/>
            <w:hideMark/>
          </w:tcPr>
          <w:p w14:paraId="11E2AE59"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8</w:t>
            </w:r>
          </w:p>
        </w:tc>
        <w:tc>
          <w:tcPr>
            <w:tcW w:w="372" w:type="pct"/>
            <w:noWrap/>
            <w:hideMark/>
          </w:tcPr>
          <w:p w14:paraId="40474DE5"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10</w:t>
            </w:r>
          </w:p>
        </w:tc>
        <w:tc>
          <w:tcPr>
            <w:tcW w:w="426" w:type="pct"/>
            <w:noWrap/>
            <w:hideMark/>
          </w:tcPr>
          <w:p w14:paraId="0A842190"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10</w:t>
            </w:r>
          </w:p>
        </w:tc>
        <w:tc>
          <w:tcPr>
            <w:tcW w:w="380" w:type="pct"/>
            <w:noWrap/>
            <w:hideMark/>
          </w:tcPr>
          <w:p w14:paraId="0A083CD9"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128</w:t>
            </w:r>
          </w:p>
        </w:tc>
      </w:tr>
      <w:tr w:rsidR="00783461" w:rsidRPr="006C5DA0" w14:paraId="46CAF60C" w14:textId="77777777" w:rsidTr="00732ED7">
        <w:trPr>
          <w:trHeight w:val="20"/>
        </w:trPr>
        <w:tc>
          <w:tcPr>
            <w:tcW w:w="1226" w:type="pct"/>
            <w:noWrap/>
            <w:hideMark/>
          </w:tcPr>
          <w:p w14:paraId="6CA9D910" w14:textId="77777777" w:rsidR="00783461" w:rsidRPr="006C5DA0" w:rsidRDefault="00783461" w:rsidP="00732ED7">
            <w:pPr>
              <w:rPr>
                <w:rFonts w:asciiTheme="minorHAnsi" w:hAnsiTheme="minorHAnsi" w:cstheme="minorHAnsi"/>
                <w:color w:val="000000"/>
                <w:sz w:val="22"/>
              </w:rPr>
            </w:pPr>
            <w:r w:rsidRPr="006C5DA0">
              <w:rPr>
                <w:rFonts w:asciiTheme="minorHAnsi" w:hAnsiTheme="minorHAnsi" w:cstheme="minorHAnsi"/>
                <w:color w:val="000000"/>
                <w:sz w:val="22"/>
              </w:rPr>
              <w:t>Microproduzir</w:t>
            </w:r>
          </w:p>
        </w:tc>
        <w:tc>
          <w:tcPr>
            <w:tcW w:w="371" w:type="pct"/>
            <w:noWrap/>
            <w:hideMark/>
          </w:tcPr>
          <w:p w14:paraId="4AF92E20"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2</w:t>
            </w:r>
          </w:p>
        </w:tc>
        <w:tc>
          <w:tcPr>
            <w:tcW w:w="371" w:type="pct"/>
            <w:noWrap/>
            <w:hideMark/>
          </w:tcPr>
          <w:p w14:paraId="546B7071"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2</w:t>
            </w:r>
          </w:p>
        </w:tc>
        <w:tc>
          <w:tcPr>
            <w:tcW w:w="371" w:type="pct"/>
            <w:noWrap/>
            <w:hideMark/>
          </w:tcPr>
          <w:p w14:paraId="38C591B1"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2</w:t>
            </w:r>
          </w:p>
        </w:tc>
        <w:tc>
          <w:tcPr>
            <w:tcW w:w="371" w:type="pct"/>
            <w:noWrap/>
            <w:hideMark/>
          </w:tcPr>
          <w:p w14:paraId="0E7309B2" w14:textId="77777777" w:rsidR="00783461" w:rsidRPr="006C5DA0" w:rsidRDefault="00783461" w:rsidP="00732ED7">
            <w:pPr>
              <w:jc w:val="right"/>
              <w:rPr>
                <w:rFonts w:asciiTheme="minorHAnsi" w:hAnsiTheme="minorHAnsi" w:cstheme="minorHAnsi"/>
                <w:color w:val="000000"/>
                <w:sz w:val="22"/>
              </w:rPr>
            </w:pPr>
          </w:p>
        </w:tc>
        <w:tc>
          <w:tcPr>
            <w:tcW w:w="371" w:type="pct"/>
            <w:noWrap/>
            <w:hideMark/>
          </w:tcPr>
          <w:p w14:paraId="6E47B5B2"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1</w:t>
            </w:r>
          </w:p>
        </w:tc>
        <w:tc>
          <w:tcPr>
            <w:tcW w:w="371" w:type="pct"/>
            <w:noWrap/>
            <w:hideMark/>
          </w:tcPr>
          <w:p w14:paraId="50126B2B"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3</w:t>
            </w:r>
          </w:p>
        </w:tc>
        <w:tc>
          <w:tcPr>
            <w:tcW w:w="371" w:type="pct"/>
            <w:noWrap/>
            <w:hideMark/>
          </w:tcPr>
          <w:p w14:paraId="6DA6340C"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2</w:t>
            </w:r>
          </w:p>
        </w:tc>
        <w:tc>
          <w:tcPr>
            <w:tcW w:w="372" w:type="pct"/>
            <w:noWrap/>
            <w:hideMark/>
          </w:tcPr>
          <w:p w14:paraId="1C27B1FD"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2</w:t>
            </w:r>
          </w:p>
        </w:tc>
        <w:tc>
          <w:tcPr>
            <w:tcW w:w="426" w:type="pct"/>
            <w:noWrap/>
            <w:hideMark/>
          </w:tcPr>
          <w:p w14:paraId="39E3F3AD"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7</w:t>
            </w:r>
          </w:p>
        </w:tc>
        <w:tc>
          <w:tcPr>
            <w:tcW w:w="380" w:type="pct"/>
            <w:noWrap/>
            <w:hideMark/>
          </w:tcPr>
          <w:p w14:paraId="79081999"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21</w:t>
            </w:r>
          </w:p>
        </w:tc>
      </w:tr>
      <w:tr w:rsidR="00783461" w:rsidRPr="006C5DA0" w14:paraId="2173EB21" w14:textId="77777777" w:rsidTr="00732ED7">
        <w:trPr>
          <w:trHeight w:val="20"/>
        </w:trPr>
        <w:tc>
          <w:tcPr>
            <w:tcW w:w="1226" w:type="pct"/>
            <w:noWrap/>
            <w:hideMark/>
          </w:tcPr>
          <w:p w14:paraId="734E00C0" w14:textId="77777777" w:rsidR="00783461" w:rsidRPr="006C5DA0" w:rsidRDefault="00783461" w:rsidP="00732ED7">
            <w:pPr>
              <w:rPr>
                <w:rFonts w:asciiTheme="minorHAnsi" w:hAnsiTheme="minorHAnsi" w:cstheme="minorHAnsi"/>
                <w:color w:val="000000"/>
                <w:sz w:val="22"/>
              </w:rPr>
            </w:pPr>
            <w:r w:rsidRPr="006C5DA0">
              <w:rPr>
                <w:rFonts w:asciiTheme="minorHAnsi" w:hAnsiTheme="minorHAnsi" w:cstheme="minorHAnsi"/>
                <w:color w:val="000000"/>
                <w:sz w:val="22"/>
              </w:rPr>
              <w:t>Produzir</w:t>
            </w:r>
          </w:p>
        </w:tc>
        <w:tc>
          <w:tcPr>
            <w:tcW w:w="371" w:type="pct"/>
            <w:noWrap/>
            <w:hideMark/>
          </w:tcPr>
          <w:p w14:paraId="127FB027"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62</w:t>
            </w:r>
          </w:p>
        </w:tc>
        <w:tc>
          <w:tcPr>
            <w:tcW w:w="371" w:type="pct"/>
            <w:noWrap/>
            <w:hideMark/>
          </w:tcPr>
          <w:p w14:paraId="479578F2"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56</w:t>
            </w:r>
          </w:p>
        </w:tc>
        <w:tc>
          <w:tcPr>
            <w:tcW w:w="371" w:type="pct"/>
            <w:noWrap/>
            <w:hideMark/>
          </w:tcPr>
          <w:p w14:paraId="4C4DBF45"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61</w:t>
            </w:r>
          </w:p>
        </w:tc>
        <w:tc>
          <w:tcPr>
            <w:tcW w:w="371" w:type="pct"/>
            <w:noWrap/>
            <w:hideMark/>
          </w:tcPr>
          <w:p w14:paraId="5DAF8E5C"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58</w:t>
            </w:r>
          </w:p>
        </w:tc>
        <w:tc>
          <w:tcPr>
            <w:tcW w:w="371" w:type="pct"/>
            <w:noWrap/>
            <w:hideMark/>
          </w:tcPr>
          <w:p w14:paraId="32F54686"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39</w:t>
            </w:r>
          </w:p>
        </w:tc>
        <w:tc>
          <w:tcPr>
            <w:tcW w:w="371" w:type="pct"/>
            <w:noWrap/>
            <w:hideMark/>
          </w:tcPr>
          <w:p w14:paraId="069F5A20"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34</w:t>
            </w:r>
          </w:p>
        </w:tc>
        <w:tc>
          <w:tcPr>
            <w:tcW w:w="371" w:type="pct"/>
            <w:noWrap/>
            <w:hideMark/>
          </w:tcPr>
          <w:p w14:paraId="2A513021"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45</w:t>
            </w:r>
          </w:p>
        </w:tc>
        <w:tc>
          <w:tcPr>
            <w:tcW w:w="372" w:type="pct"/>
            <w:noWrap/>
            <w:hideMark/>
          </w:tcPr>
          <w:p w14:paraId="07B025CD"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58</w:t>
            </w:r>
          </w:p>
        </w:tc>
        <w:tc>
          <w:tcPr>
            <w:tcW w:w="426" w:type="pct"/>
            <w:noWrap/>
            <w:hideMark/>
          </w:tcPr>
          <w:p w14:paraId="0BA6EBB6"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49</w:t>
            </w:r>
          </w:p>
        </w:tc>
        <w:tc>
          <w:tcPr>
            <w:tcW w:w="380" w:type="pct"/>
            <w:noWrap/>
            <w:hideMark/>
          </w:tcPr>
          <w:p w14:paraId="1DAD6E79" w14:textId="77777777" w:rsidR="00783461" w:rsidRPr="006C5DA0" w:rsidRDefault="00783461" w:rsidP="00732ED7">
            <w:pPr>
              <w:jc w:val="right"/>
              <w:rPr>
                <w:rFonts w:asciiTheme="minorHAnsi" w:hAnsiTheme="minorHAnsi" w:cstheme="minorHAnsi"/>
                <w:color w:val="000000"/>
                <w:sz w:val="22"/>
              </w:rPr>
            </w:pPr>
            <w:r w:rsidRPr="006C5DA0">
              <w:rPr>
                <w:rFonts w:asciiTheme="minorHAnsi" w:hAnsiTheme="minorHAnsi" w:cstheme="minorHAnsi"/>
                <w:color w:val="000000"/>
                <w:sz w:val="22"/>
              </w:rPr>
              <w:t>462</w:t>
            </w:r>
          </w:p>
        </w:tc>
      </w:tr>
      <w:tr w:rsidR="00783461" w:rsidRPr="006C5DA0" w14:paraId="44D16071" w14:textId="77777777" w:rsidTr="00732ED7">
        <w:trPr>
          <w:trHeight w:val="20"/>
        </w:trPr>
        <w:tc>
          <w:tcPr>
            <w:tcW w:w="1226" w:type="pct"/>
            <w:noWrap/>
            <w:hideMark/>
          </w:tcPr>
          <w:p w14:paraId="77101C4A" w14:textId="77777777" w:rsidR="00783461" w:rsidRPr="006C5DA0" w:rsidRDefault="00783461" w:rsidP="00732ED7">
            <w:pPr>
              <w:rPr>
                <w:rFonts w:asciiTheme="minorHAnsi" w:hAnsiTheme="minorHAnsi" w:cstheme="minorHAnsi"/>
                <w:bCs/>
                <w:color w:val="000000"/>
                <w:sz w:val="22"/>
              </w:rPr>
            </w:pPr>
            <w:r w:rsidRPr="006C5DA0">
              <w:rPr>
                <w:rFonts w:asciiTheme="minorHAnsi" w:hAnsiTheme="minorHAnsi" w:cstheme="minorHAnsi"/>
                <w:bCs/>
                <w:color w:val="000000"/>
                <w:sz w:val="22"/>
              </w:rPr>
              <w:t>Total</w:t>
            </w:r>
          </w:p>
        </w:tc>
        <w:tc>
          <w:tcPr>
            <w:tcW w:w="371" w:type="pct"/>
            <w:noWrap/>
            <w:hideMark/>
          </w:tcPr>
          <w:p w14:paraId="401A31C7" w14:textId="77777777" w:rsidR="00783461" w:rsidRPr="006C5DA0" w:rsidRDefault="00783461" w:rsidP="00732ED7">
            <w:pPr>
              <w:jc w:val="right"/>
              <w:rPr>
                <w:rFonts w:asciiTheme="minorHAnsi" w:hAnsiTheme="minorHAnsi" w:cstheme="minorHAnsi"/>
                <w:bCs/>
                <w:color w:val="000000"/>
                <w:sz w:val="22"/>
              </w:rPr>
            </w:pPr>
            <w:r w:rsidRPr="006C5DA0">
              <w:rPr>
                <w:rFonts w:asciiTheme="minorHAnsi" w:hAnsiTheme="minorHAnsi" w:cstheme="minorHAnsi"/>
                <w:bCs/>
                <w:color w:val="000000"/>
                <w:sz w:val="22"/>
              </w:rPr>
              <w:t>89</w:t>
            </w:r>
          </w:p>
        </w:tc>
        <w:tc>
          <w:tcPr>
            <w:tcW w:w="371" w:type="pct"/>
            <w:noWrap/>
            <w:hideMark/>
          </w:tcPr>
          <w:p w14:paraId="47F4728A" w14:textId="77777777" w:rsidR="00783461" w:rsidRPr="006C5DA0" w:rsidRDefault="00783461" w:rsidP="00732ED7">
            <w:pPr>
              <w:jc w:val="right"/>
              <w:rPr>
                <w:rFonts w:asciiTheme="minorHAnsi" w:hAnsiTheme="minorHAnsi" w:cstheme="minorHAnsi"/>
                <w:bCs/>
                <w:color w:val="000000"/>
                <w:sz w:val="22"/>
              </w:rPr>
            </w:pPr>
            <w:r w:rsidRPr="006C5DA0">
              <w:rPr>
                <w:rFonts w:asciiTheme="minorHAnsi" w:hAnsiTheme="minorHAnsi" w:cstheme="minorHAnsi"/>
                <w:bCs/>
                <w:color w:val="000000"/>
                <w:sz w:val="22"/>
              </w:rPr>
              <w:t>84</w:t>
            </w:r>
          </w:p>
        </w:tc>
        <w:tc>
          <w:tcPr>
            <w:tcW w:w="371" w:type="pct"/>
            <w:noWrap/>
            <w:hideMark/>
          </w:tcPr>
          <w:p w14:paraId="07DAEA68" w14:textId="77777777" w:rsidR="00783461" w:rsidRPr="006C5DA0" w:rsidRDefault="00783461" w:rsidP="00732ED7">
            <w:pPr>
              <w:jc w:val="right"/>
              <w:rPr>
                <w:rFonts w:asciiTheme="minorHAnsi" w:hAnsiTheme="minorHAnsi" w:cstheme="minorHAnsi"/>
                <w:bCs/>
                <w:color w:val="000000"/>
                <w:sz w:val="22"/>
              </w:rPr>
            </w:pPr>
            <w:r w:rsidRPr="006C5DA0">
              <w:rPr>
                <w:rFonts w:asciiTheme="minorHAnsi" w:hAnsiTheme="minorHAnsi" w:cstheme="minorHAnsi"/>
                <w:bCs/>
                <w:color w:val="000000"/>
                <w:sz w:val="22"/>
              </w:rPr>
              <w:t>75</w:t>
            </w:r>
          </w:p>
        </w:tc>
        <w:tc>
          <w:tcPr>
            <w:tcW w:w="371" w:type="pct"/>
            <w:noWrap/>
            <w:hideMark/>
          </w:tcPr>
          <w:p w14:paraId="745F5C30" w14:textId="77777777" w:rsidR="00783461" w:rsidRPr="006C5DA0" w:rsidRDefault="00783461" w:rsidP="00732ED7">
            <w:pPr>
              <w:jc w:val="right"/>
              <w:rPr>
                <w:rFonts w:asciiTheme="minorHAnsi" w:hAnsiTheme="minorHAnsi" w:cstheme="minorHAnsi"/>
                <w:bCs/>
                <w:color w:val="000000"/>
                <w:sz w:val="22"/>
              </w:rPr>
            </w:pPr>
            <w:r w:rsidRPr="006C5DA0">
              <w:rPr>
                <w:rFonts w:asciiTheme="minorHAnsi" w:hAnsiTheme="minorHAnsi" w:cstheme="minorHAnsi"/>
                <w:bCs/>
                <w:color w:val="000000"/>
                <w:sz w:val="22"/>
              </w:rPr>
              <w:t>77</w:t>
            </w:r>
          </w:p>
        </w:tc>
        <w:tc>
          <w:tcPr>
            <w:tcW w:w="371" w:type="pct"/>
            <w:noWrap/>
            <w:hideMark/>
          </w:tcPr>
          <w:p w14:paraId="0960976D" w14:textId="77777777" w:rsidR="00783461" w:rsidRPr="006C5DA0" w:rsidRDefault="00783461" w:rsidP="00732ED7">
            <w:pPr>
              <w:jc w:val="right"/>
              <w:rPr>
                <w:rFonts w:asciiTheme="minorHAnsi" w:hAnsiTheme="minorHAnsi" w:cstheme="minorHAnsi"/>
                <w:bCs/>
                <w:color w:val="000000"/>
                <w:sz w:val="22"/>
              </w:rPr>
            </w:pPr>
            <w:r w:rsidRPr="006C5DA0">
              <w:rPr>
                <w:rFonts w:asciiTheme="minorHAnsi" w:hAnsiTheme="minorHAnsi" w:cstheme="minorHAnsi"/>
                <w:bCs/>
                <w:color w:val="000000"/>
                <w:sz w:val="22"/>
              </w:rPr>
              <w:t>55</w:t>
            </w:r>
          </w:p>
        </w:tc>
        <w:tc>
          <w:tcPr>
            <w:tcW w:w="371" w:type="pct"/>
            <w:noWrap/>
            <w:hideMark/>
          </w:tcPr>
          <w:p w14:paraId="599DD8FC" w14:textId="77777777" w:rsidR="00783461" w:rsidRPr="006C5DA0" w:rsidRDefault="00783461" w:rsidP="00732ED7">
            <w:pPr>
              <w:jc w:val="right"/>
              <w:rPr>
                <w:rFonts w:asciiTheme="minorHAnsi" w:hAnsiTheme="minorHAnsi" w:cstheme="minorHAnsi"/>
                <w:bCs/>
                <w:color w:val="000000"/>
                <w:sz w:val="22"/>
              </w:rPr>
            </w:pPr>
            <w:r w:rsidRPr="006C5DA0">
              <w:rPr>
                <w:rFonts w:asciiTheme="minorHAnsi" w:hAnsiTheme="minorHAnsi" w:cstheme="minorHAnsi"/>
                <w:bCs/>
                <w:color w:val="000000"/>
                <w:sz w:val="22"/>
              </w:rPr>
              <w:t>44</w:t>
            </w:r>
          </w:p>
        </w:tc>
        <w:tc>
          <w:tcPr>
            <w:tcW w:w="371" w:type="pct"/>
            <w:noWrap/>
            <w:hideMark/>
          </w:tcPr>
          <w:p w14:paraId="179A11B8" w14:textId="77777777" w:rsidR="00783461" w:rsidRPr="006C5DA0" w:rsidRDefault="00783461" w:rsidP="00732ED7">
            <w:pPr>
              <w:jc w:val="right"/>
              <w:rPr>
                <w:rFonts w:asciiTheme="minorHAnsi" w:hAnsiTheme="minorHAnsi" w:cstheme="minorHAnsi"/>
                <w:bCs/>
                <w:color w:val="000000"/>
                <w:sz w:val="22"/>
              </w:rPr>
            </w:pPr>
            <w:r w:rsidRPr="006C5DA0">
              <w:rPr>
                <w:rFonts w:asciiTheme="minorHAnsi" w:hAnsiTheme="minorHAnsi" w:cstheme="minorHAnsi"/>
                <w:bCs/>
                <w:color w:val="000000"/>
                <w:sz w:val="22"/>
              </w:rPr>
              <w:t>58</w:t>
            </w:r>
          </w:p>
        </w:tc>
        <w:tc>
          <w:tcPr>
            <w:tcW w:w="372" w:type="pct"/>
            <w:noWrap/>
            <w:hideMark/>
          </w:tcPr>
          <w:p w14:paraId="0CA66EFA" w14:textId="77777777" w:rsidR="00783461" w:rsidRPr="006C5DA0" w:rsidRDefault="00783461" w:rsidP="00732ED7">
            <w:pPr>
              <w:jc w:val="right"/>
              <w:rPr>
                <w:rFonts w:asciiTheme="minorHAnsi" w:hAnsiTheme="minorHAnsi" w:cstheme="minorHAnsi"/>
                <w:bCs/>
                <w:color w:val="000000"/>
                <w:sz w:val="22"/>
              </w:rPr>
            </w:pPr>
            <w:r w:rsidRPr="006C5DA0">
              <w:rPr>
                <w:rFonts w:asciiTheme="minorHAnsi" w:hAnsiTheme="minorHAnsi" w:cstheme="minorHAnsi"/>
                <w:bCs/>
                <w:color w:val="000000"/>
                <w:sz w:val="22"/>
              </w:rPr>
              <w:t>72</w:t>
            </w:r>
          </w:p>
        </w:tc>
        <w:tc>
          <w:tcPr>
            <w:tcW w:w="426" w:type="pct"/>
            <w:noWrap/>
            <w:hideMark/>
          </w:tcPr>
          <w:p w14:paraId="67FC29F6" w14:textId="77777777" w:rsidR="00783461" w:rsidRPr="006C5DA0" w:rsidRDefault="00783461" w:rsidP="00732ED7">
            <w:pPr>
              <w:jc w:val="right"/>
              <w:rPr>
                <w:rFonts w:asciiTheme="minorHAnsi" w:hAnsiTheme="minorHAnsi" w:cstheme="minorHAnsi"/>
                <w:bCs/>
                <w:color w:val="000000"/>
                <w:sz w:val="22"/>
              </w:rPr>
            </w:pPr>
            <w:r w:rsidRPr="006C5DA0">
              <w:rPr>
                <w:rFonts w:asciiTheme="minorHAnsi" w:hAnsiTheme="minorHAnsi" w:cstheme="minorHAnsi"/>
                <w:bCs/>
                <w:color w:val="000000"/>
                <w:sz w:val="22"/>
              </w:rPr>
              <w:t>68</w:t>
            </w:r>
          </w:p>
        </w:tc>
        <w:tc>
          <w:tcPr>
            <w:tcW w:w="380" w:type="pct"/>
            <w:noWrap/>
            <w:hideMark/>
          </w:tcPr>
          <w:p w14:paraId="4FE2A499" w14:textId="77777777" w:rsidR="00783461" w:rsidRPr="006C5DA0" w:rsidRDefault="00783461" w:rsidP="00732ED7">
            <w:pPr>
              <w:jc w:val="right"/>
              <w:rPr>
                <w:rFonts w:asciiTheme="minorHAnsi" w:hAnsiTheme="minorHAnsi" w:cstheme="minorHAnsi"/>
                <w:bCs/>
                <w:color w:val="000000"/>
                <w:sz w:val="22"/>
              </w:rPr>
            </w:pPr>
            <w:r w:rsidRPr="006C5DA0">
              <w:rPr>
                <w:rFonts w:asciiTheme="minorHAnsi" w:hAnsiTheme="minorHAnsi" w:cstheme="minorHAnsi"/>
                <w:bCs/>
                <w:color w:val="000000"/>
                <w:sz w:val="22"/>
              </w:rPr>
              <w:t>622</w:t>
            </w:r>
          </w:p>
        </w:tc>
      </w:tr>
    </w:tbl>
    <w:p w14:paraId="2F6DA73E" w14:textId="77777777" w:rsidR="00783461" w:rsidRPr="006C5DA0" w:rsidRDefault="00783461" w:rsidP="00783461">
      <w:pPr>
        <w:jc w:val="both"/>
        <w:rPr>
          <w:rFonts w:asciiTheme="minorHAnsi" w:hAnsiTheme="minorHAnsi" w:cstheme="minorHAnsi"/>
          <w:sz w:val="18"/>
          <w:szCs w:val="18"/>
        </w:rPr>
      </w:pPr>
      <w:r w:rsidRPr="006C5DA0">
        <w:rPr>
          <w:rFonts w:asciiTheme="minorHAnsi" w:hAnsiTheme="minorHAnsi" w:cstheme="minorHAnsi"/>
          <w:sz w:val="18"/>
          <w:szCs w:val="18"/>
        </w:rPr>
        <w:t>* Posição até novembro</w:t>
      </w:r>
    </w:p>
    <w:p w14:paraId="1CB5C759" w14:textId="77777777" w:rsidR="00783461" w:rsidRPr="006C5DA0" w:rsidRDefault="00783461" w:rsidP="00783461">
      <w:pPr>
        <w:jc w:val="both"/>
        <w:rPr>
          <w:rFonts w:asciiTheme="minorHAnsi" w:hAnsiTheme="minorHAnsi" w:cstheme="minorHAnsi"/>
          <w:sz w:val="18"/>
          <w:szCs w:val="18"/>
        </w:rPr>
      </w:pPr>
      <w:r w:rsidRPr="006C5DA0">
        <w:rPr>
          <w:rFonts w:asciiTheme="minorHAnsi" w:hAnsiTheme="minorHAnsi" w:cstheme="minorHAnsi"/>
          <w:sz w:val="18"/>
          <w:szCs w:val="18"/>
        </w:rPr>
        <w:t>Fonte: Conforme lista de empresas da Secretaria de Estado de Indústria, Comércio e Serviços</w:t>
      </w:r>
    </w:p>
    <w:p w14:paraId="04AD624C" w14:textId="77777777" w:rsidR="00783461" w:rsidRDefault="00783461" w:rsidP="00783461">
      <w:pPr>
        <w:spacing w:before="240" w:line="360" w:lineRule="auto"/>
        <w:ind w:firstLine="851"/>
        <w:jc w:val="both"/>
        <w:rPr>
          <w:rFonts w:ascii="Arial" w:hAnsi="Arial" w:cs="Arial"/>
          <w:sz w:val="24"/>
        </w:rPr>
      </w:pPr>
    </w:p>
    <w:p w14:paraId="0AA0C399" w14:textId="77777777" w:rsidR="00783461" w:rsidRPr="006C5DA0" w:rsidRDefault="00783461" w:rsidP="00783461">
      <w:pPr>
        <w:spacing w:before="240" w:line="360" w:lineRule="auto"/>
        <w:ind w:firstLine="851"/>
        <w:jc w:val="both"/>
        <w:rPr>
          <w:rFonts w:ascii="Arial" w:hAnsi="Arial" w:cs="Arial"/>
          <w:sz w:val="24"/>
        </w:rPr>
      </w:pPr>
      <w:r w:rsidRPr="006C5DA0">
        <w:rPr>
          <w:rFonts w:ascii="Arial" w:hAnsi="Arial" w:cs="Arial"/>
          <w:sz w:val="24"/>
        </w:rPr>
        <w:t xml:space="preserve">Esses 455 CNPJ’s tinham benefícios dos programas de R$ 88,5 bilhões, com investimentos projetados de R$ 9,5 bilhões e destes R$ 5,7 comprovados. Ou seja, </w:t>
      </w:r>
      <w:r w:rsidRPr="00B97E04">
        <w:rPr>
          <w:rFonts w:ascii="Arial" w:hAnsi="Arial" w:cs="Arial"/>
          <w:b/>
          <w:sz w:val="24"/>
        </w:rPr>
        <w:t>60% dos investimentos projetados das empresas auditadas foram comprovados</w:t>
      </w:r>
      <w:r w:rsidRPr="006C5DA0">
        <w:rPr>
          <w:rFonts w:ascii="Arial" w:hAnsi="Arial" w:cs="Arial"/>
          <w:sz w:val="24"/>
        </w:rPr>
        <w:t xml:space="preserve">. Primeiramente, nota-se que a comprovação dos investimentos está bastante longe do </w:t>
      </w:r>
      <w:r w:rsidRPr="006C5DA0">
        <w:rPr>
          <w:rFonts w:ascii="Arial" w:hAnsi="Arial" w:cs="Arial"/>
          <w:sz w:val="24"/>
        </w:rPr>
        <w:lastRenderedPageBreak/>
        <w:t>total projetado (</w:t>
      </w:r>
      <w:r w:rsidRPr="003233A3">
        <w:rPr>
          <w:rFonts w:ascii="Arial" w:hAnsi="Arial" w:cs="Arial"/>
          <w:b/>
          <w:sz w:val="24"/>
        </w:rPr>
        <w:t>R$ 5,7 de R$</w:t>
      </w:r>
      <w:r>
        <w:rPr>
          <w:rFonts w:ascii="Arial" w:hAnsi="Arial" w:cs="Arial"/>
          <w:b/>
          <w:sz w:val="24"/>
        </w:rPr>
        <w:t xml:space="preserve"> </w:t>
      </w:r>
      <w:r w:rsidRPr="003233A3">
        <w:rPr>
          <w:rFonts w:ascii="Arial" w:hAnsi="Arial" w:cs="Arial"/>
          <w:b/>
          <w:sz w:val="24"/>
        </w:rPr>
        <w:t>9,5 bilhões</w:t>
      </w:r>
      <w:r w:rsidRPr="006C5DA0">
        <w:rPr>
          <w:rFonts w:ascii="Arial" w:hAnsi="Arial" w:cs="Arial"/>
          <w:sz w:val="24"/>
        </w:rPr>
        <w:t>). Mais ainda</w:t>
      </w:r>
      <w:r>
        <w:rPr>
          <w:rFonts w:ascii="Arial" w:hAnsi="Arial" w:cs="Arial"/>
          <w:sz w:val="24"/>
        </w:rPr>
        <w:t>:</w:t>
      </w:r>
      <w:r w:rsidRPr="006C5DA0">
        <w:rPr>
          <w:rFonts w:ascii="Arial" w:hAnsi="Arial" w:cs="Arial"/>
          <w:sz w:val="24"/>
        </w:rPr>
        <w:t xml:space="preserve"> </w:t>
      </w:r>
      <w:r>
        <w:rPr>
          <w:rFonts w:ascii="Arial" w:hAnsi="Arial" w:cs="Arial"/>
          <w:sz w:val="24"/>
        </w:rPr>
        <w:t xml:space="preserve">se analisarmos </w:t>
      </w:r>
      <w:r w:rsidRPr="006C5DA0">
        <w:rPr>
          <w:rFonts w:ascii="Arial" w:hAnsi="Arial" w:cs="Arial"/>
          <w:sz w:val="24"/>
        </w:rPr>
        <w:t>o</w:t>
      </w:r>
      <w:r>
        <w:rPr>
          <w:rFonts w:ascii="Arial" w:hAnsi="Arial" w:cs="Arial"/>
          <w:sz w:val="24"/>
        </w:rPr>
        <w:t xml:space="preserve"> valor de</w:t>
      </w:r>
      <w:r w:rsidRPr="006C5DA0">
        <w:rPr>
          <w:rFonts w:ascii="Arial" w:hAnsi="Arial" w:cs="Arial"/>
          <w:sz w:val="24"/>
        </w:rPr>
        <w:t xml:space="preserve"> investimento</w:t>
      </w:r>
      <w:r>
        <w:rPr>
          <w:rFonts w:ascii="Arial" w:hAnsi="Arial" w:cs="Arial"/>
          <w:sz w:val="24"/>
        </w:rPr>
        <w:t>s</w:t>
      </w:r>
      <w:r w:rsidRPr="006C5DA0">
        <w:rPr>
          <w:rFonts w:ascii="Arial" w:hAnsi="Arial" w:cs="Arial"/>
          <w:sz w:val="24"/>
        </w:rPr>
        <w:t xml:space="preserve"> das </w:t>
      </w:r>
      <w:r>
        <w:rPr>
          <w:rFonts w:ascii="Arial" w:hAnsi="Arial" w:cs="Arial"/>
          <w:sz w:val="24"/>
        </w:rPr>
        <w:t xml:space="preserve">empresas </w:t>
      </w:r>
      <w:r w:rsidRPr="006C5DA0">
        <w:rPr>
          <w:rFonts w:ascii="Arial" w:hAnsi="Arial" w:cs="Arial"/>
          <w:sz w:val="24"/>
        </w:rPr>
        <w:t xml:space="preserve">auditadas </w:t>
      </w:r>
      <w:r>
        <w:rPr>
          <w:rFonts w:ascii="Arial" w:hAnsi="Arial" w:cs="Arial"/>
          <w:sz w:val="24"/>
        </w:rPr>
        <w:t>encontraremos uma distância ainda maior</w:t>
      </w:r>
      <w:r w:rsidRPr="006C5DA0">
        <w:rPr>
          <w:rFonts w:ascii="Arial" w:hAnsi="Arial" w:cs="Arial"/>
          <w:sz w:val="24"/>
        </w:rPr>
        <w:t xml:space="preserve"> do valor projetado </w:t>
      </w:r>
      <w:r>
        <w:rPr>
          <w:rFonts w:ascii="Arial" w:hAnsi="Arial" w:cs="Arial"/>
          <w:sz w:val="24"/>
        </w:rPr>
        <w:t>pel</w:t>
      </w:r>
      <w:r w:rsidRPr="006C5DA0">
        <w:rPr>
          <w:rFonts w:ascii="Arial" w:hAnsi="Arial" w:cs="Arial"/>
          <w:sz w:val="24"/>
        </w:rPr>
        <w:t>as empresas em fruição (</w:t>
      </w:r>
      <w:r w:rsidRPr="003233A3">
        <w:rPr>
          <w:rFonts w:ascii="Arial" w:hAnsi="Arial" w:cs="Arial"/>
          <w:b/>
          <w:sz w:val="24"/>
        </w:rPr>
        <w:t>R$ 9,5 de R$ 82 bilhões</w:t>
      </w:r>
      <w:r w:rsidRPr="006C5DA0">
        <w:rPr>
          <w:rFonts w:ascii="Arial" w:hAnsi="Arial" w:cs="Arial"/>
          <w:sz w:val="24"/>
        </w:rPr>
        <w:t>) (</w:t>
      </w:r>
      <w:r>
        <w:rPr>
          <w:rFonts w:ascii="Arial" w:hAnsi="Arial" w:cs="Arial"/>
          <w:sz w:val="24"/>
        </w:rPr>
        <w:t>tabela abaixo</w:t>
      </w:r>
      <w:r w:rsidRPr="006C5DA0">
        <w:rPr>
          <w:rFonts w:ascii="Arial" w:hAnsi="Arial" w:cs="Arial"/>
          <w:sz w:val="24"/>
        </w:rPr>
        <w:t>). Há um descompasso muito grande entre o investimento projetado e o realizado. Já o</w:t>
      </w:r>
      <w:r>
        <w:rPr>
          <w:rFonts w:ascii="Arial" w:hAnsi="Arial" w:cs="Arial"/>
          <w:sz w:val="24"/>
        </w:rPr>
        <w:t>s</w:t>
      </w:r>
      <w:r w:rsidRPr="006C5DA0">
        <w:rPr>
          <w:rFonts w:ascii="Arial" w:hAnsi="Arial" w:cs="Arial"/>
          <w:sz w:val="24"/>
        </w:rPr>
        <w:t xml:space="preserve"> benefícios </w:t>
      </w:r>
      <w:r>
        <w:rPr>
          <w:rFonts w:ascii="Arial" w:hAnsi="Arial" w:cs="Arial"/>
          <w:sz w:val="24"/>
        </w:rPr>
        <w:t>projetos pel</w:t>
      </w:r>
      <w:r w:rsidRPr="006C5DA0">
        <w:rPr>
          <w:rFonts w:ascii="Arial" w:hAnsi="Arial" w:cs="Arial"/>
          <w:sz w:val="24"/>
        </w:rPr>
        <w:t xml:space="preserve">as </w:t>
      </w:r>
      <w:r>
        <w:rPr>
          <w:rFonts w:ascii="Arial" w:hAnsi="Arial" w:cs="Arial"/>
          <w:sz w:val="24"/>
        </w:rPr>
        <w:t xml:space="preserve">empresas </w:t>
      </w:r>
      <w:r w:rsidRPr="006C5DA0">
        <w:rPr>
          <w:rFonts w:ascii="Arial" w:hAnsi="Arial" w:cs="Arial"/>
          <w:sz w:val="24"/>
        </w:rPr>
        <w:t>auditadas está mais próximo do t</w:t>
      </w:r>
      <w:r>
        <w:rPr>
          <w:rFonts w:ascii="Arial" w:hAnsi="Arial" w:cs="Arial"/>
          <w:sz w:val="24"/>
        </w:rPr>
        <w:t>otal dos benefícios em fruição:</w:t>
      </w:r>
    </w:p>
    <w:p w14:paraId="547C6AB8" w14:textId="77777777" w:rsidR="00783461" w:rsidRDefault="00783461" w:rsidP="00783461">
      <w:pPr>
        <w:spacing w:before="240" w:line="360" w:lineRule="auto"/>
        <w:ind w:firstLine="851"/>
        <w:jc w:val="both"/>
        <w:rPr>
          <w:rFonts w:ascii="Arial" w:hAnsi="Arial" w:cs="Arial"/>
          <w:sz w:val="24"/>
        </w:rPr>
      </w:pPr>
    </w:p>
    <w:p w14:paraId="44170024" w14:textId="77777777" w:rsidR="00783461" w:rsidRPr="00C872DD" w:rsidRDefault="00783461" w:rsidP="00783461">
      <w:pPr>
        <w:pStyle w:val="Legenda"/>
        <w:spacing w:after="0"/>
        <w:ind w:left="-709"/>
        <w:rPr>
          <w:sz w:val="22"/>
          <w:szCs w:val="22"/>
        </w:rPr>
      </w:pPr>
      <w:r w:rsidRPr="00AA18E5">
        <w:rPr>
          <w:sz w:val="22"/>
          <w:szCs w:val="22"/>
        </w:rPr>
        <w:t>Benefício, investimento projetado e comprovado via auditorias</w:t>
      </w:r>
      <w:r>
        <w:rPr>
          <w:sz w:val="22"/>
          <w:szCs w:val="22"/>
        </w:rPr>
        <w:t xml:space="preserve"> </w:t>
      </w:r>
      <w:r w:rsidRPr="0064606C">
        <w:rPr>
          <w:sz w:val="22"/>
          <w:szCs w:val="22"/>
        </w:rPr>
        <w:t>entre 2011 e 2018</w:t>
      </w:r>
    </w:p>
    <w:tbl>
      <w:tblPr>
        <w:tblStyle w:val="TabeladeGradeClara"/>
        <w:tblpPr w:leftFromText="141" w:rightFromText="141" w:vertAnchor="text" w:horzAnchor="margin" w:tblpXSpec="center" w:tblpY="71"/>
        <w:tblW w:w="56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3211"/>
        <w:gridCol w:w="3503"/>
        <w:gridCol w:w="995"/>
      </w:tblGrid>
      <w:tr w:rsidR="00783461" w:rsidRPr="003233A3" w14:paraId="4CE45637" w14:textId="77777777" w:rsidTr="00732ED7">
        <w:trPr>
          <w:trHeight w:val="20"/>
        </w:trPr>
        <w:tc>
          <w:tcPr>
            <w:tcW w:w="1373" w:type="pct"/>
            <w:noWrap/>
            <w:hideMark/>
          </w:tcPr>
          <w:p w14:paraId="416D431D" w14:textId="77777777" w:rsidR="00783461" w:rsidRPr="003233A3" w:rsidRDefault="00783461" w:rsidP="00732ED7">
            <w:pPr>
              <w:jc w:val="center"/>
              <w:rPr>
                <w:rFonts w:ascii="Calibri" w:hAnsi="Calibri"/>
                <w:b/>
                <w:bCs/>
                <w:color w:val="000000"/>
                <w:sz w:val="22"/>
              </w:rPr>
            </w:pPr>
            <w:r w:rsidRPr="003233A3">
              <w:rPr>
                <w:rFonts w:ascii="Calibri" w:hAnsi="Calibri"/>
                <w:b/>
                <w:bCs/>
                <w:color w:val="000000"/>
                <w:sz w:val="22"/>
              </w:rPr>
              <w:t>Variável</w:t>
            </w:r>
          </w:p>
        </w:tc>
        <w:tc>
          <w:tcPr>
            <w:tcW w:w="1511" w:type="pct"/>
            <w:noWrap/>
            <w:hideMark/>
          </w:tcPr>
          <w:p w14:paraId="17B487CE" w14:textId="77777777" w:rsidR="00783461" w:rsidRPr="003233A3" w:rsidRDefault="00783461" w:rsidP="00732ED7">
            <w:pPr>
              <w:jc w:val="center"/>
              <w:rPr>
                <w:rFonts w:ascii="Calibri" w:hAnsi="Calibri"/>
                <w:b/>
                <w:bCs/>
                <w:color w:val="000000"/>
                <w:sz w:val="22"/>
              </w:rPr>
            </w:pPr>
            <w:r w:rsidRPr="003233A3">
              <w:rPr>
                <w:rFonts w:ascii="Calibri" w:hAnsi="Calibri"/>
                <w:b/>
                <w:bCs/>
                <w:color w:val="000000"/>
                <w:sz w:val="22"/>
              </w:rPr>
              <w:t>Auditorias de investimento (A)</w:t>
            </w:r>
          </w:p>
        </w:tc>
        <w:tc>
          <w:tcPr>
            <w:tcW w:w="1648" w:type="pct"/>
            <w:noWrap/>
            <w:hideMark/>
          </w:tcPr>
          <w:p w14:paraId="03CA9C44" w14:textId="77777777" w:rsidR="00783461" w:rsidRPr="003233A3" w:rsidRDefault="00783461" w:rsidP="00732ED7">
            <w:pPr>
              <w:jc w:val="center"/>
              <w:rPr>
                <w:rFonts w:ascii="Calibri" w:hAnsi="Calibri"/>
                <w:b/>
                <w:bCs/>
                <w:color w:val="000000"/>
                <w:sz w:val="22"/>
              </w:rPr>
            </w:pPr>
            <w:r w:rsidRPr="003233A3">
              <w:rPr>
                <w:rFonts w:ascii="Calibri" w:hAnsi="Calibri"/>
                <w:b/>
                <w:bCs/>
                <w:color w:val="000000"/>
                <w:sz w:val="22"/>
              </w:rPr>
              <w:t>Total das empresas em fruição (B)</w:t>
            </w:r>
          </w:p>
        </w:tc>
        <w:tc>
          <w:tcPr>
            <w:tcW w:w="468" w:type="pct"/>
            <w:noWrap/>
            <w:hideMark/>
          </w:tcPr>
          <w:p w14:paraId="0ED9998C" w14:textId="77777777" w:rsidR="00783461" w:rsidRPr="003233A3" w:rsidRDefault="00783461" w:rsidP="00732ED7">
            <w:pPr>
              <w:jc w:val="center"/>
              <w:rPr>
                <w:rFonts w:ascii="Calibri" w:hAnsi="Calibri"/>
                <w:b/>
                <w:bCs/>
                <w:color w:val="000000"/>
                <w:sz w:val="22"/>
              </w:rPr>
            </w:pPr>
            <w:r w:rsidRPr="003233A3">
              <w:rPr>
                <w:rFonts w:ascii="Calibri" w:hAnsi="Calibri"/>
                <w:b/>
                <w:bCs/>
                <w:color w:val="000000"/>
                <w:sz w:val="22"/>
              </w:rPr>
              <w:t>(A)/(B)</w:t>
            </w:r>
          </w:p>
        </w:tc>
      </w:tr>
      <w:tr w:rsidR="00783461" w:rsidRPr="003233A3" w14:paraId="7B85B9EF" w14:textId="77777777" w:rsidTr="00732ED7">
        <w:trPr>
          <w:trHeight w:val="20"/>
        </w:trPr>
        <w:tc>
          <w:tcPr>
            <w:tcW w:w="1373" w:type="pct"/>
            <w:noWrap/>
            <w:hideMark/>
          </w:tcPr>
          <w:p w14:paraId="6ECC6B52" w14:textId="77777777" w:rsidR="00783461" w:rsidRPr="003233A3" w:rsidRDefault="00783461" w:rsidP="00732ED7">
            <w:pPr>
              <w:rPr>
                <w:rFonts w:ascii="Calibri" w:hAnsi="Calibri"/>
                <w:bCs/>
                <w:color w:val="000000"/>
                <w:sz w:val="22"/>
              </w:rPr>
            </w:pPr>
            <w:r w:rsidRPr="003233A3">
              <w:rPr>
                <w:rFonts w:ascii="Calibri" w:hAnsi="Calibri"/>
                <w:bCs/>
                <w:color w:val="000000"/>
                <w:sz w:val="22"/>
              </w:rPr>
              <w:t xml:space="preserve">Beneficio </w:t>
            </w:r>
          </w:p>
        </w:tc>
        <w:tc>
          <w:tcPr>
            <w:tcW w:w="1511" w:type="pct"/>
            <w:noWrap/>
            <w:hideMark/>
          </w:tcPr>
          <w:p w14:paraId="333E25D8" w14:textId="77777777" w:rsidR="00783461" w:rsidRPr="003233A3" w:rsidRDefault="00783461" w:rsidP="00732ED7">
            <w:pPr>
              <w:jc w:val="center"/>
              <w:rPr>
                <w:rFonts w:ascii="Calibri" w:hAnsi="Calibri"/>
                <w:bCs/>
                <w:color w:val="000000"/>
                <w:sz w:val="22"/>
              </w:rPr>
            </w:pPr>
            <w:r w:rsidRPr="003233A3">
              <w:rPr>
                <w:rFonts w:ascii="Calibri" w:hAnsi="Calibri"/>
                <w:bCs/>
                <w:color w:val="000000"/>
                <w:sz w:val="22"/>
              </w:rPr>
              <w:t>88.467.677.194,01</w:t>
            </w:r>
          </w:p>
        </w:tc>
        <w:tc>
          <w:tcPr>
            <w:tcW w:w="1648" w:type="pct"/>
            <w:noWrap/>
            <w:hideMark/>
          </w:tcPr>
          <w:p w14:paraId="723EAF73" w14:textId="77777777" w:rsidR="00783461" w:rsidRPr="003233A3" w:rsidRDefault="00783461" w:rsidP="00732ED7">
            <w:pPr>
              <w:jc w:val="center"/>
              <w:rPr>
                <w:rFonts w:ascii="Calibri" w:hAnsi="Calibri"/>
                <w:bCs/>
                <w:color w:val="000000"/>
                <w:sz w:val="22"/>
              </w:rPr>
            </w:pPr>
            <w:r w:rsidRPr="003233A3">
              <w:rPr>
                <w:rFonts w:ascii="Calibri" w:hAnsi="Calibri"/>
                <w:bCs/>
                <w:color w:val="000000"/>
                <w:sz w:val="22"/>
              </w:rPr>
              <w:t>121.556.772.692,84</w:t>
            </w:r>
          </w:p>
        </w:tc>
        <w:tc>
          <w:tcPr>
            <w:tcW w:w="468" w:type="pct"/>
            <w:noWrap/>
            <w:hideMark/>
          </w:tcPr>
          <w:p w14:paraId="69DDC2C4" w14:textId="77777777" w:rsidR="00783461" w:rsidRPr="003233A3" w:rsidRDefault="00783461" w:rsidP="00732ED7">
            <w:pPr>
              <w:jc w:val="center"/>
              <w:rPr>
                <w:rFonts w:ascii="Calibri" w:hAnsi="Calibri"/>
                <w:bCs/>
                <w:color w:val="000000"/>
                <w:sz w:val="22"/>
              </w:rPr>
            </w:pPr>
            <w:r w:rsidRPr="003233A3">
              <w:rPr>
                <w:rFonts w:ascii="Calibri" w:hAnsi="Calibri"/>
                <w:bCs/>
                <w:color w:val="000000"/>
                <w:sz w:val="22"/>
              </w:rPr>
              <w:t>0,73</w:t>
            </w:r>
          </w:p>
        </w:tc>
      </w:tr>
      <w:tr w:rsidR="00783461" w:rsidRPr="003233A3" w14:paraId="6F7735CD" w14:textId="77777777" w:rsidTr="00732ED7">
        <w:trPr>
          <w:trHeight w:val="20"/>
        </w:trPr>
        <w:tc>
          <w:tcPr>
            <w:tcW w:w="1373" w:type="pct"/>
            <w:noWrap/>
            <w:hideMark/>
          </w:tcPr>
          <w:p w14:paraId="543AF2C5" w14:textId="77777777" w:rsidR="00783461" w:rsidRPr="003233A3" w:rsidRDefault="00783461" w:rsidP="00732ED7">
            <w:pPr>
              <w:rPr>
                <w:rFonts w:ascii="Calibri" w:hAnsi="Calibri"/>
                <w:bCs/>
                <w:color w:val="000000"/>
                <w:sz w:val="22"/>
              </w:rPr>
            </w:pPr>
            <w:r w:rsidRPr="003233A3">
              <w:rPr>
                <w:rFonts w:ascii="Calibri" w:hAnsi="Calibri"/>
                <w:bCs/>
                <w:color w:val="000000"/>
                <w:sz w:val="22"/>
              </w:rPr>
              <w:t>Investimento fixo projetado</w:t>
            </w:r>
          </w:p>
        </w:tc>
        <w:tc>
          <w:tcPr>
            <w:tcW w:w="1511" w:type="pct"/>
            <w:noWrap/>
            <w:hideMark/>
          </w:tcPr>
          <w:p w14:paraId="74804D99" w14:textId="77777777" w:rsidR="00783461" w:rsidRPr="003233A3" w:rsidRDefault="00783461" w:rsidP="00732ED7">
            <w:pPr>
              <w:jc w:val="center"/>
              <w:rPr>
                <w:rFonts w:ascii="Calibri" w:hAnsi="Calibri"/>
                <w:bCs/>
                <w:color w:val="000000"/>
                <w:sz w:val="22"/>
              </w:rPr>
            </w:pPr>
            <w:r w:rsidRPr="003233A3">
              <w:rPr>
                <w:rFonts w:ascii="Calibri" w:hAnsi="Calibri"/>
                <w:bCs/>
                <w:color w:val="000000"/>
                <w:sz w:val="22"/>
              </w:rPr>
              <w:t>9.459.667.509,41</w:t>
            </w:r>
          </w:p>
        </w:tc>
        <w:tc>
          <w:tcPr>
            <w:tcW w:w="1648" w:type="pct"/>
            <w:noWrap/>
            <w:hideMark/>
          </w:tcPr>
          <w:p w14:paraId="792DE535" w14:textId="77777777" w:rsidR="00783461" w:rsidRPr="003233A3" w:rsidRDefault="00783461" w:rsidP="00732ED7">
            <w:pPr>
              <w:jc w:val="center"/>
              <w:rPr>
                <w:rFonts w:ascii="Calibri" w:hAnsi="Calibri"/>
                <w:bCs/>
                <w:color w:val="000000"/>
                <w:sz w:val="22"/>
              </w:rPr>
            </w:pPr>
            <w:r w:rsidRPr="003233A3">
              <w:rPr>
                <w:rFonts w:ascii="Calibri" w:hAnsi="Calibri"/>
                <w:bCs/>
                <w:color w:val="000000"/>
                <w:sz w:val="22"/>
              </w:rPr>
              <w:t>82.242.680.524,70</w:t>
            </w:r>
          </w:p>
        </w:tc>
        <w:tc>
          <w:tcPr>
            <w:tcW w:w="468" w:type="pct"/>
            <w:noWrap/>
            <w:hideMark/>
          </w:tcPr>
          <w:p w14:paraId="70BF218E" w14:textId="77777777" w:rsidR="00783461" w:rsidRPr="003233A3" w:rsidRDefault="00783461" w:rsidP="00732ED7">
            <w:pPr>
              <w:jc w:val="center"/>
              <w:rPr>
                <w:rFonts w:ascii="Calibri" w:hAnsi="Calibri"/>
                <w:bCs/>
                <w:color w:val="000000"/>
                <w:sz w:val="22"/>
              </w:rPr>
            </w:pPr>
            <w:r w:rsidRPr="003233A3">
              <w:rPr>
                <w:rFonts w:ascii="Calibri" w:hAnsi="Calibri"/>
                <w:bCs/>
                <w:color w:val="000000"/>
                <w:sz w:val="22"/>
              </w:rPr>
              <w:t>0,12</w:t>
            </w:r>
          </w:p>
        </w:tc>
      </w:tr>
      <w:tr w:rsidR="00783461" w:rsidRPr="003233A3" w14:paraId="2A9FDE4C" w14:textId="77777777" w:rsidTr="00732ED7">
        <w:trPr>
          <w:trHeight w:val="20"/>
        </w:trPr>
        <w:tc>
          <w:tcPr>
            <w:tcW w:w="1373" w:type="pct"/>
            <w:noWrap/>
            <w:hideMark/>
          </w:tcPr>
          <w:p w14:paraId="4B57E4FF" w14:textId="77777777" w:rsidR="00783461" w:rsidRPr="003233A3" w:rsidRDefault="00783461" w:rsidP="00732ED7">
            <w:pPr>
              <w:rPr>
                <w:rFonts w:ascii="Calibri" w:hAnsi="Calibri"/>
                <w:bCs/>
                <w:color w:val="000000"/>
                <w:sz w:val="22"/>
              </w:rPr>
            </w:pPr>
            <w:r w:rsidRPr="003233A3">
              <w:rPr>
                <w:rFonts w:ascii="Calibri" w:hAnsi="Calibri"/>
                <w:bCs/>
                <w:color w:val="000000"/>
                <w:sz w:val="22"/>
              </w:rPr>
              <w:t xml:space="preserve">Investimento comprovado </w:t>
            </w:r>
          </w:p>
        </w:tc>
        <w:tc>
          <w:tcPr>
            <w:tcW w:w="1511" w:type="pct"/>
            <w:noWrap/>
            <w:hideMark/>
          </w:tcPr>
          <w:p w14:paraId="05F8D74B" w14:textId="77777777" w:rsidR="00783461" w:rsidRPr="003233A3" w:rsidRDefault="00783461" w:rsidP="00732ED7">
            <w:pPr>
              <w:jc w:val="center"/>
              <w:rPr>
                <w:rFonts w:ascii="Calibri" w:hAnsi="Calibri"/>
                <w:bCs/>
                <w:color w:val="000000"/>
                <w:sz w:val="22"/>
              </w:rPr>
            </w:pPr>
            <w:r w:rsidRPr="003233A3">
              <w:rPr>
                <w:rFonts w:ascii="Calibri" w:hAnsi="Calibri"/>
                <w:bCs/>
                <w:color w:val="000000"/>
                <w:sz w:val="22"/>
              </w:rPr>
              <w:t>5.679.080.838,35</w:t>
            </w:r>
          </w:p>
        </w:tc>
        <w:tc>
          <w:tcPr>
            <w:tcW w:w="1648" w:type="pct"/>
            <w:noWrap/>
            <w:hideMark/>
          </w:tcPr>
          <w:p w14:paraId="366804C1" w14:textId="77777777" w:rsidR="00783461" w:rsidRPr="003233A3" w:rsidRDefault="00783461" w:rsidP="00732ED7">
            <w:pPr>
              <w:jc w:val="center"/>
              <w:rPr>
                <w:rFonts w:ascii="Calibri" w:hAnsi="Calibri"/>
                <w:bCs/>
                <w:color w:val="000000"/>
                <w:sz w:val="22"/>
              </w:rPr>
            </w:pPr>
            <w:r w:rsidRPr="003233A3">
              <w:rPr>
                <w:rFonts w:ascii="Calibri" w:hAnsi="Calibri"/>
                <w:bCs/>
                <w:color w:val="000000"/>
                <w:sz w:val="22"/>
              </w:rPr>
              <w:t>-</w:t>
            </w:r>
          </w:p>
        </w:tc>
        <w:tc>
          <w:tcPr>
            <w:tcW w:w="468" w:type="pct"/>
            <w:noWrap/>
            <w:hideMark/>
          </w:tcPr>
          <w:p w14:paraId="4F8B35E8" w14:textId="77777777" w:rsidR="00783461" w:rsidRPr="003233A3" w:rsidRDefault="00783461" w:rsidP="00732ED7">
            <w:pPr>
              <w:jc w:val="center"/>
              <w:rPr>
                <w:rFonts w:ascii="Calibri" w:hAnsi="Calibri"/>
                <w:bCs/>
                <w:color w:val="000000"/>
                <w:sz w:val="22"/>
              </w:rPr>
            </w:pPr>
            <w:r w:rsidRPr="003233A3">
              <w:rPr>
                <w:rFonts w:ascii="Calibri" w:hAnsi="Calibri"/>
                <w:bCs/>
                <w:color w:val="000000"/>
                <w:sz w:val="22"/>
              </w:rPr>
              <w:t>-</w:t>
            </w:r>
          </w:p>
        </w:tc>
      </w:tr>
    </w:tbl>
    <w:p w14:paraId="521FDB5B" w14:textId="77777777" w:rsidR="00783461" w:rsidRPr="00E85AB7" w:rsidRDefault="00783461" w:rsidP="00783461">
      <w:pPr>
        <w:spacing w:line="360" w:lineRule="auto"/>
        <w:ind w:hanging="567"/>
        <w:jc w:val="both"/>
        <w:rPr>
          <w:rFonts w:ascii="Arial" w:hAnsi="Arial" w:cs="Arial"/>
          <w:sz w:val="24"/>
        </w:rPr>
      </w:pPr>
      <w:r w:rsidRPr="00E85AB7">
        <w:rPr>
          <w:rFonts w:ascii="Arial" w:hAnsi="Arial" w:cs="Arial"/>
          <w:sz w:val="18"/>
          <w:szCs w:val="18"/>
        </w:rPr>
        <w:t>Fonte: Secretaria de Estado de Indústria, Comércio e Serviços</w:t>
      </w:r>
    </w:p>
    <w:p w14:paraId="2B2F126B" w14:textId="77777777" w:rsidR="00783461" w:rsidRDefault="00783461" w:rsidP="00783461">
      <w:pPr>
        <w:spacing w:before="240" w:line="360" w:lineRule="auto"/>
        <w:ind w:firstLine="851"/>
        <w:jc w:val="both"/>
        <w:rPr>
          <w:rFonts w:ascii="Arial" w:hAnsi="Arial" w:cs="Arial"/>
          <w:sz w:val="24"/>
        </w:rPr>
      </w:pPr>
    </w:p>
    <w:p w14:paraId="47E25CFA" w14:textId="77777777" w:rsidR="00783461" w:rsidRPr="006C5DA0" w:rsidRDefault="00783461" w:rsidP="00783461">
      <w:pPr>
        <w:spacing w:before="240" w:line="360" w:lineRule="auto"/>
        <w:ind w:firstLine="851"/>
        <w:jc w:val="both"/>
        <w:rPr>
          <w:rFonts w:ascii="Arial" w:hAnsi="Arial" w:cs="Arial"/>
          <w:sz w:val="24"/>
        </w:rPr>
      </w:pPr>
      <w:r w:rsidRPr="006C5DA0">
        <w:rPr>
          <w:rFonts w:ascii="Arial" w:hAnsi="Arial" w:cs="Arial"/>
          <w:sz w:val="24"/>
        </w:rPr>
        <w:t>Esse panorama reflete, de forma geral, o que se apurou pela Controladoria</w:t>
      </w:r>
      <w:r>
        <w:rPr>
          <w:rFonts w:ascii="Arial" w:hAnsi="Arial" w:cs="Arial"/>
          <w:sz w:val="24"/>
        </w:rPr>
        <w:t>-</w:t>
      </w:r>
      <w:r w:rsidRPr="006C5DA0">
        <w:rPr>
          <w:rFonts w:ascii="Arial" w:hAnsi="Arial" w:cs="Arial"/>
          <w:sz w:val="24"/>
        </w:rPr>
        <w:t xml:space="preserve">Geral do Estado em auditorias de algumas empresas, qual seja, de que a </w:t>
      </w:r>
      <w:r w:rsidRPr="00C872DD">
        <w:rPr>
          <w:rFonts w:ascii="Arial" w:hAnsi="Arial" w:cs="Arial"/>
          <w:b/>
          <w:sz w:val="24"/>
        </w:rPr>
        <w:t>comprovação de um percentual baixo de investimento dá direito, na mesma proporção, do benefício</w:t>
      </w:r>
      <w:r w:rsidRPr="006C5DA0">
        <w:rPr>
          <w:rFonts w:ascii="Arial" w:hAnsi="Arial" w:cs="Arial"/>
          <w:sz w:val="24"/>
        </w:rPr>
        <w:t xml:space="preserve"> e, como este tem </w:t>
      </w:r>
      <w:r w:rsidRPr="00C872DD">
        <w:rPr>
          <w:rFonts w:ascii="Arial" w:hAnsi="Arial" w:cs="Arial"/>
          <w:b/>
          <w:sz w:val="24"/>
        </w:rPr>
        <w:t>um valor muito acima do necessário (superfaturado), as empresas podem ficar muito tempo sem comprovar novos investimentos</w:t>
      </w:r>
      <w:r w:rsidRPr="006C5DA0">
        <w:rPr>
          <w:rFonts w:ascii="Arial" w:hAnsi="Arial" w:cs="Arial"/>
          <w:sz w:val="24"/>
        </w:rPr>
        <w:t xml:space="preserve"> para terem acréscimos de benefícios. Assim, os valores de investimentos reais podem estar subdimensionados e, por outro lado, </w:t>
      </w:r>
      <w:r w:rsidRPr="00C872DD">
        <w:rPr>
          <w:rFonts w:ascii="Arial" w:hAnsi="Arial" w:cs="Arial"/>
          <w:b/>
          <w:sz w:val="24"/>
        </w:rPr>
        <w:t>aponta que os benefícios concedidos estão muito acima do que realmente são utilizados</w:t>
      </w:r>
      <w:r w:rsidRPr="006C5DA0">
        <w:rPr>
          <w:rFonts w:ascii="Arial" w:hAnsi="Arial" w:cs="Arial"/>
          <w:sz w:val="24"/>
        </w:rPr>
        <w:t>. Assim, o prazo de fruição pode ser estendido (via projeto ou alteração legal) para anos futuros sem precisar, inclusive, de ampliação do benefício concedido.</w:t>
      </w:r>
    </w:p>
    <w:p w14:paraId="5215AEF2" w14:textId="77777777" w:rsidR="00783461" w:rsidRPr="00C872DD" w:rsidRDefault="00783461" w:rsidP="00783461">
      <w:pPr>
        <w:spacing w:line="360" w:lineRule="auto"/>
        <w:ind w:firstLine="851"/>
        <w:jc w:val="both"/>
        <w:rPr>
          <w:rFonts w:ascii="Arial" w:hAnsi="Arial" w:cs="Arial"/>
          <w:sz w:val="24"/>
          <w:szCs w:val="24"/>
        </w:rPr>
      </w:pPr>
      <w:bookmarkStart w:id="119" w:name="_Toc29561794"/>
      <w:r w:rsidRPr="00C872DD">
        <w:rPr>
          <w:rFonts w:ascii="Arial" w:hAnsi="Arial" w:cs="Arial"/>
          <w:sz w:val="24"/>
          <w:szCs w:val="24"/>
        </w:rPr>
        <w:t xml:space="preserve">Ainda, aponta-se a constatação apurada pela Controladoria-Geral do Estado em auditorias de investimento no que diz respeito à </w:t>
      </w:r>
      <w:r w:rsidRPr="00C872DD">
        <w:rPr>
          <w:rFonts w:ascii="Arial" w:hAnsi="Arial" w:cs="Arial"/>
          <w:b/>
          <w:sz w:val="24"/>
          <w:szCs w:val="24"/>
        </w:rPr>
        <w:t>ausência de auditoria de investimentos que desse suporte ao valor de benefício liberado para empresas</w:t>
      </w:r>
      <w:r w:rsidRPr="00C872DD">
        <w:rPr>
          <w:rFonts w:ascii="Arial" w:hAnsi="Arial" w:cs="Arial"/>
          <w:sz w:val="24"/>
          <w:szCs w:val="24"/>
        </w:rPr>
        <w:t xml:space="preserve"> (caso de projeto de complementação da implantação). Mesmo não havendo “lastro” em investimentos houve a celebração de Termo de Acordo de Regime Especial e fruição de crédito. Ou seja, há situações de empresas fruindo um benefício que, a priori, não faria jus. No mínimo demonstra a falta de precisão na concessão de crédito.</w:t>
      </w:r>
    </w:p>
    <w:p w14:paraId="24E568BC" w14:textId="77777777" w:rsidR="00783461" w:rsidRPr="00C872DD" w:rsidRDefault="00783461" w:rsidP="00783461">
      <w:pPr>
        <w:spacing w:line="360" w:lineRule="auto"/>
        <w:ind w:firstLine="851"/>
        <w:jc w:val="both"/>
        <w:rPr>
          <w:rFonts w:ascii="Arial" w:hAnsi="Arial" w:cs="Arial"/>
          <w:sz w:val="24"/>
          <w:szCs w:val="24"/>
        </w:rPr>
      </w:pPr>
    </w:p>
    <w:p w14:paraId="0FEFC094" w14:textId="780E6F1A" w:rsidR="00783461" w:rsidRDefault="00783461" w:rsidP="00783461">
      <w:pPr>
        <w:pStyle w:val="Ttulo2"/>
        <w:ind w:firstLine="851"/>
        <w:rPr>
          <w:rFonts w:ascii="Arial" w:hAnsi="Arial"/>
          <w:color w:val="auto"/>
          <w:sz w:val="24"/>
          <w:szCs w:val="24"/>
        </w:rPr>
      </w:pPr>
      <w:bookmarkStart w:id="120" w:name="_Toc32392500"/>
      <w:r w:rsidRPr="00783461">
        <w:rPr>
          <w:rFonts w:ascii="Arial" w:hAnsi="Arial"/>
          <w:color w:val="auto"/>
          <w:sz w:val="24"/>
          <w:szCs w:val="24"/>
        </w:rPr>
        <w:lastRenderedPageBreak/>
        <w:t>6.3.3.</w:t>
      </w:r>
      <w:r>
        <w:rPr>
          <w:rFonts w:ascii="Arial" w:hAnsi="Arial"/>
          <w:color w:val="auto"/>
          <w:sz w:val="24"/>
          <w:szCs w:val="24"/>
        </w:rPr>
        <w:t>2</w:t>
      </w:r>
      <w:r w:rsidRPr="00783461">
        <w:rPr>
          <w:rFonts w:ascii="Arial" w:hAnsi="Arial"/>
          <w:color w:val="auto"/>
          <w:sz w:val="24"/>
          <w:szCs w:val="24"/>
        </w:rPr>
        <w:t xml:space="preserve"> – </w:t>
      </w:r>
      <w:r w:rsidRPr="00EF57A2">
        <w:rPr>
          <w:rFonts w:ascii="Arial" w:hAnsi="Arial"/>
          <w:color w:val="auto"/>
          <w:sz w:val="24"/>
          <w:szCs w:val="24"/>
        </w:rPr>
        <w:t>Auditorias de quitação</w:t>
      </w:r>
      <w:bookmarkEnd w:id="119"/>
      <w:bookmarkEnd w:id="120"/>
    </w:p>
    <w:p w14:paraId="7BA481C4" w14:textId="77777777" w:rsidR="00783461" w:rsidRDefault="00783461" w:rsidP="00783461">
      <w:pPr>
        <w:spacing w:line="360" w:lineRule="auto"/>
        <w:ind w:firstLine="851"/>
        <w:jc w:val="both"/>
        <w:rPr>
          <w:rFonts w:ascii="Arial" w:hAnsi="Arial" w:cs="Arial"/>
          <w:sz w:val="24"/>
          <w:szCs w:val="24"/>
        </w:rPr>
      </w:pPr>
    </w:p>
    <w:p w14:paraId="7BBB9DCB" w14:textId="428B78C2" w:rsidR="00783461" w:rsidRDefault="00783461" w:rsidP="00783461">
      <w:pPr>
        <w:spacing w:line="360" w:lineRule="auto"/>
        <w:ind w:firstLine="851"/>
        <w:jc w:val="both"/>
        <w:rPr>
          <w:rFonts w:ascii="Arial" w:hAnsi="Arial" w:cs="Arial"/>
          <w:sz w:val="24"/>
          <w:szCs w:val="24"/>
        </w:rPr>
      </w:pPr>
      <w:r w:rsidRPr="00625001">
        <w:rPr>
          <w:rFonts w:ascii="Arial" w:hAnsi="Arial" w:cs="Arial"/>
          <w:sz w:val="24"/>
          <w:szCs w:val="24"/>
        </w:rPr>
        <w:t>O sistema de controle dos programas via auditoria interna também realiza “auditorias de quitação” que tem como principal função apurar o saldo devedor e o percentual do desconto a que a empresa tem direito. Ação amparada nos arts. 25 e 41 do Decreto n. 5.265, de 2000. A Secretaria de Estado de Indústria, Comércio e Serviços repassou informações de auditorias de quitação para os anos de 2014 a 2018.</w:t>
      </w:r>
    </w:p>
    <w:p w14:paraId="67A15F24" w14:textId="6A2234E5" w:rsidR="00783461" w:rsidRDefault="00783461" w:rsidP="00783461">
      <w:pPr>
        <w:spacing w:line="360" w:lineRule="auto"/>
        <w:ind w:firstLine="851"/>
        <w:jc w:val="both"/>
        <w:rPr>
          <w:rFonts w:ascii="Arial" w:hAnsi="Arial" w:cs="Arial"/>
          <w:sz w:val="24"/>
          <w:szCs w:val="24"/>
        </w:rPr>
      </w:pPr>
      <w:r w:rsidRPr="00625001">
        <w:rPr>
          <w:rFonts w:ascii="Arial" w:hAnsi="Arial" w:cs="Arial"/>
          <w:sz w:val="24"/>
          <w:szCs w:val="24"/>
        </w:rPr>
        <w:t xml:space="preserve">Nessas informações repassadas pela Secretaria havia, em </w:t>
      </w:r>
      <w:r>
        <w:rPr>
          <w:rFonts w:ascii="Arial" w:hAnsi="Arial" w:cs="Arial"/>
          <w:sz w:val="24"/>
          <w:szCs w:val="24"/>
        </w:rPr>
        <w:t>nov</w:t>
      </w:r>
      <w:r w:rsidRPr="00625001">
        <w:rPr>
          <w:rFonts w:ascii="Arial" w:hAnsi="Arial" w:cs="Arial"/>
          <w:sz w:val="24"/>
          <w:szCs w:val="24"/>
        </w:rPr>
        <w:t>embro de 2019, 25 empresas com prazo expirado para apresentação de informações para apuração de saldo devedor e desconto a ser concedido. Como o prazo expirou essas empresas perderam o direito do desconto e devem recolher o valor do ICMS ap</w:t>
      </w:r>
      <w:r>
        <w:rPr>
          <w:rFonts w:ascii="Arial" w:hAnsi="Arial" w:cs="Arial"/>
          <w:sz w:val="24"/>
          <w:szCs w:val="24"/>
        </w:rPr>
        <w:t>urado, no montante total de R$ 135.102.120,84</w:t>
      </w:r>
      <w:r w:rsidR="004068AB">
        <w:rPr>
          <w:rFonts w:ascii="Arial" w:hAnsi="Arial" w:cs="Arial"/>
          <w:sz w:val="24"/>
          <w:szCs w:val="24"/>
        </w:rPr>
        <w:t xml:space="preserve"> (cento e trinta e cinco milhões, cento e dois mil, cento e vinte reais e oitenta e quatro centavos)</w:t>
      </w:r>
      <w:r w:rsidR="0045315D">
        <w:rPr>
          <w:rStyle w:val="Refdenotaderodap"/>
          <w:rFonts w:ascii="Arial" w:hAnsi="Arial" w:cs="Arial"/>
          <w:sz w:val="24"/>
          <w:szCs w:val="24"/>
        </w:rPr>
        <w:footnoteReference w:id="72"/>
      </w:r>
      <w:r>
        <w:rPr>
          <w:rFonts w:ascii="Arial" w:hAnsi="Arial" w:cs="Arial"/>
          <w:sz w:val="24"/>
          <w:szCs w:val="24"/>
        </w:rPr>
        <w:t>:</w:t>
      </w:r>
    </w:p>
    <w:p w14:paraId="34CBE596" w14:textId="77777777" w:rsidR="00783461" w:rsidRDefault="00783461" w:rsidP="00783461">
      <w:pPr>
        <w:spacing w:line="360" w:lineRule="auto"/>
        <w:ind w:firstLine="851"/>
        <w:jc w:val="both"/>
        <w:rPr>
          <w:rFonts w:ascii="Arial" w:hAnsi="Arial" w:cs="Arial"/>
          <w:sz w:val="24"/>
          <w:szCs w:val="24"/>
        </w:rPr>
      </w:pPr>
    </w:p>
    <w:p w14:paraId="0D33687D" w14:textId="77777777" w:rsidR="00783461" w:rsidRDefault="00783461" w:rsidP="00783461">
      <w:pPr>
        <w:spacing w:line="360" w:lineRule="auto"/>
        <w:ind w:firstLine="851"/>
        <w:jc w:val="both"/>
        <w:rPr>
          <w:rFonts w:ascii="Arial" w:hAnsi="Arial" w:cs="Arial"/>
          <w:sz w:val="24"/>
          <w:szCs w:val="24"/>
        </w:rPr>
      </w:pPr>
    </w:p>
    <w:p w14:paraId="083C3158" w14:textId="77777777" w:rsidR="00783461" w:rsidRDefault="00783461" w:rsidP="00783461">
      <w:pPr>
        <w:spacing w:line="360" w:lineRule="auto"/>
        <w:ind w:firstLine="851"/>
        <w:jc w:val="both"/>
        <w:rPr>
          <w:rFonts w:ascii="Arial" w:hAnsi="Arial" w:cs="Arial"/>
          <w:sz w:val="24"/>
          <w:szCs w:val="24"/>
        </w:rPr>
      </w:pPr>
    </w:p>
    <w:p w14:paraId="083DBDB6" w14:textId="77777777" w:rsidR="00783461" w:rsidRDefault="00783461" w:rsidP="00783461">
      <w:pPr>
        <w:spacing w:line="360" w:lineRule="auto"/>
        <w:ind w:firstLine="851"/>
        <w:jc w:val="both"/>
        <w:rPr>
          <w:rFonts w:ascii="Arial" w:hAnsi="Arial" w:cs="Arial"/>
          <w:sz w:val="24"/>
          <w:szCs w:val="24"/>
        </w:rPr>
        <w:sectPr w:rsidR="00783461" w:rsidSect="00CA1C22">
          <w:pgSz w:w="11900" w:h="16840"/>
          <w:pgMar w:top="2268" w:right="851" w:bottom="1134" w:left="1701" w:header="567" w:footer="284" w:gutter="0"/>
          <w:cols w:space="708"/>
          <w:docGrid w:linePitch="360"/>
        </w:sectPr>
      </w:pPr>
    </w:p>
    <w:p w14:paraId="43A3A032" w14:textId="77777777" w:rsidR="00783461" w:rsidRDefault="00783461" w:rsidP="00783461">
      <w:pPr>
        <w:spacing w:line="360" w:lineRule="auto"/>
        <w:ind w:firstLine="851"/>
        <w:jc w:val="both"/>
        <w:rPr>
          <w:rFonts w:ascii="Arial" w:hAnsi="Arial" w:cs="Arial"/>
          <w:sz w:val="24"/>
          <w:szCs w:val="24"/>
        </w:rPr>
      </w:pPr>
    </w:p>
    <w:p w14:paraId="77457707" w14:textId="77777777" w:rsidR="00783461" w:rsidRPr="005B6125" w:rsidRDefault="00783461" w:rsidP="00783461">
      <w:pPr>
        <w:spacing w:line="360" w:lineRule="auto"/>
        <w:jc w:val="both"/>
        <w:rPr>
          <w:rFonts w:ascii="Arial" w:hAnsi="Arial" w:cs="Arial"/>
          <w:b/>
          <w:sz w:val="24"/>
          <w:szCs w:val="24"/>
        </w:rPr>
      </w:pPr>
      <w:r w:rsidRPr="005B6125">
        <w:rPr>
          <w:rFonts w:ascii="Arial" w:hAnsi="Arial" w:cs="Arial"/>
          <w:b/>
          <w:sz w:val="20"/>
          <w:szCs w:val="22"/>
        </w:rPr>
        <w:t>Empresas que perderam prazo de apresentação de documentos para quitação do benefício (posição de novembro de 2019)</w:t>
      </w:r>
    </w:p>
    <w:tbl>
      <w:tblPr>
        <w:tblW w:w="14742" w:type="dxa"/>
        <w:tblCellMar>
          <w:left w:w="70" w:type="dxa"/>
          <w:right w:w="70" w:type="dxa"/>
        </w:tblCellMar>
        <w:tblLook w:val="04A0" w:firstRow="1" w:lastRow="0" w:firstColumn="1" w:lastColumn="0" w:noHBand="0" w:noVBand="1"/>
      </w:tblPr>
      <w:tblGrid>
        <w:gridCol w:w="2694"/>
        <w:gridCol w:w="3260"/>
        <w:gridCol w:w="2977"/>
        <w:gridCol w:w="2268"/>
        <w:gridCol w:w="3543"/>
      </w:tblGrid>
      <w:tr w:rsidR="00783461" w:rsidRPr="003D3791" w14:paraId="2E34A5B5" w14:textId="77777777" w:rsidTr="00732ED7">
        <w:trPr>
          <w:trHeight w:val="300"/>
        </w:trPr>
        <w:tc>
          <w:tcPr>
            <w:tcW w:w="2694" w:type="dxa"/>
            <w:tcBorders>
              <w:top w:val="single" w:sz="4" w:space="0" w:color="auto"/>
              <w:left w:val="nil"/>
              <w:bottom w:val="single" w:sz="4" w:space="0" w:color="auto"/>
              <w:right w:val="nil"/>
            </w:tcBorders>
            <w:shd w:val="clear" w:color="DDEBF7" w:fill="DDEBF7"/>
            <w:noWrap/>
            <w:vAlign w:val="center"/>
            <w:hideMark/>
          </w:tcPr>
          <w:p w14:paraId="3EF431B7" w14:textId="77777777" w:rsidR="00783461" w:rsidRPr="003D3791" w:rsidRDefault="00783461" w:rsidP="00732ED7">
            <w:pPr>
              <w:rPr>
                <w:rFonts w:ascii="Arial" w:hAnsi="Arial" w:cs="Arial"/>
                <w:b/>
                <w:bCs/>
                <w:color w:val="000000"/>
                <w:sz w:val="20"/>
              </w:rPr>
            </w:pPr>
            <w:r w:rsidRPr="003D3791">
              <w:rPr>
                <w:rFonts w:ascii="Arial" w:hAnsi="Arial" w:cs="Arial"/>
                <w:b/>
                <w:bCs/>
                <w:color w:val="000000"/>
                <w:sz w:val="20"/>
              </w:rPr>
              <w:t>Empresa</w:t>
            </w:r>
          </w:p>
        </w:tc>
        <w:tc>
          <w:tcPr>
            <w:tcW w:w="3260" w:type="dxa"/>
            <w:tcBorders>
              <w:top w:val="single" w:sz="4" w:space="0" w:color="auto"/>
              <w:left w:val="nil"/>
              <w:bottom w:val="single" w:sz="4" w:space="0" w:color="auto"/>
              <w:right w:val="nil"/>
            </w:tcBorders>
            <w:shd w:val="clear" w:color="DDEBF7" w:fill="DDEBF7"/>
            <w:noWrap/>
            <w:vAlign w:val="center"/>
            <w:hideMark/>
          </w:tcPr>
          <w:p w14:paraId="39242228" w14:textId="77777777" w:rsidR="00783461" w:rsidRPr="003D3791" w:rsidRDefault="00783461" w:rsidP="00732ED7">
            <w:pPr>
              <w:jc w:val="right"/>
              <w:rPr>
                <w:rFonts w:ascii="Arial" w:hAnsi="Arial" w:cs="Arial"/>
                <w:b/>
                <w:bCs/>
                <w:color w:val="000000"/>
                <w:sz w:val="20"/>
              </w:rPr>
            </w:pPr>
            <w:r w:rsidRPr="003D3791">
              <w:rPr>
                <w:rFonts w:ascii="Arial" w:hAnsi="Arial" w:cs="Arial"/>
                <w:b/>
                <w:bCs/>
                <w:color w:val="000000"/>
                <w:sz w:val="20"/>
              </w:rPr>
              <w:t>Saldo de fruição</w:t>
            </w:r>
          </w:p>
        </w:tc>
        <w:tc>
          <w:tcPr>
            <w:tcW w:w="2977" w:type="dxa"/>
            <w:tcBorders>
              <w:top w:val="single" w:sz="4" w:space="0" w:color="auto"/>
              <w:left w:val="nil"/>
              <w:bottom w:val="single" w:sz="4" w:space="0" w:color="auto"/>
              <w:right w:val="nil"/>
            </w:tcBorders>
            <w:shd w:val="clear" w:color="DDEBF7" w:fill="DDEBF7"/>
            <w:noWrap/>
            <w:vAlign w:val="center"/>
            <w:hideMark/>
          </w:tcPr>
          <w:p w14:paraId="3A3F28DB" w14:textId="77777777" w:rsidR="00783461" w:rsidRPr="003D3791" w:rsidRDefault="00783461" w:rsidP="00732ED7">
            <w:pPr>
              <w:jc w:val="center"/>
              <w:rPr>
                <w:rFonts w:ascii="Arial" w:hAnsi="Arial" w:cs="Arial"/>
                <w:b/>
                <w:bCs/>
                <w:color w:val="000000"/>
                <w:sz w:val="20"/>
              </w:rPr>
            </w:pPr>
            <w:r w:rsidRPr="003D3791">
              <w:rPr>
                <w:rFonts w:ascii="Arial" w:hAnsi="Arial" w:cs="Arial"/>
                <w:b/>
                <w:bCs/>
                <w:color w:val="000000"/>
                <w:sz w:val="20"/>
              </w:rPr>
              <w:t>Desconto concedido</w:t>
            </w:r>
          </w:p>
        </w:tc>
        <w:tc>
          <w:tcPr>
            <w:tcW w:w="2268" w:type="dxa"/>
            <w:tcBorders>
              <w:top w:val="single" w:sz="4" w:space="0" w:color="auto"/>
              <w:left w:val="nil"/>
              <w:bottom w:val="single" w:sz="4" w:space="0" w:color="auto"/>
              <w:right w:val="nil"/>
            </w:tcBorders>
            <w:shd w:val="clear" w:color="DDEBF7" w:fill="DDEBF7"/>
            <w:noWrap/>
            <w:vAlign w:val="center"/>
            <w:hideMark/>
          </w:tcPr>
          <w:p w14:paraId="240F289C" w14:textId="77777777" w:rsidR="00783461" w:rsidRPr="003D3791" w:rsidRDefault="00783461" w:rsidP="00732ED7">
            <w:pPr>
              <w:jc w:val="right"/>
              <w:rPr>
                <w:rFonts w:ascii="Arial" w:hAnsi="Arial" w:cs="Arial"/>
                <w:b/>
                <w:bCs/>
                <w:color w:val="000000"/>
                <w:sz w:val="20"/>
              </w:rPr>
            </w:pPr>
            <w:r w:rsidRPr="003D3791">
              <w:rPr>
                <w:rFonts w:ascii="Arial" w:hAnsi="Arial" w:cs="Arial"/>
                <w:b/>
                <w:bCs/>
                <w:color w:val="000000"/>
                <w:sz w:val="20"/>
              </w:rPr>
              <w:t>Antecipação</w:t>
            </w:r>
          </w:p>
        </w:tc>
        <w:tc>
          <w:tcPr>
            <w:tcW w:w="3543" w:type="dxa"/>
            <w:tcBorders>
              <w:top w:val="single" w:sz="4" w:space="0" w:color="auto"/>
              <w:left w:val="nil"/>
              <w:bottom w:val="single" w:sz="4" w:space="0" w:color="auto"/>
              <w:right w:val="nil"/>
            </w:tcBorders>
            <w:shd w:val="clear" w:color="DDEBF7" w:fill="DDEBF7"/>
            <w:noWrap/>
            <w:vAlign w:val="center"/>
            <w:hideMark/>
          </w:tcPr>
          <w:p w14:paraId="7495B459" w14:textId="77777777" w:rsidR="00783461" w:rsidRPr="003D3791" w:rsidRDefault="00783461" w:rsidP="00732ED7">
            <w:pPr>
              <w:jc w:val="right"/>
              <w:rPr>
                <w:rFonts w:ascii="Arial" w:hAnsi="Arial" w:cs="Arial"/>
                <w:b/>
                <w:bCs/>
                <w:color w:val="000000"/>
                <w:sz w:val="20"/>
              </w:rPr>
            </w:pPr>
            <w:r w:rsidRPr="003D3791">
              <w:rPr>
                <w:rFonts w:ascii="Arial" w:hAnsi="Arial" w:cs="Arial"/>
                <w:b/>
                <w:bCs/>
                <w:color w:val="000000"/>
                <w:sz w:val="20"/>
              </w:rPr>
              <w:t>Valor a ser recolhido</w:t>
            </w:r>
          </w:p>
        </w:tc>
      </w:tr>
      <w:tr w:rsidR="00783461" w:rsidRPr="003D3791" w14:paraId="3B98E755" w14:textId="77777777" w:rsidTr="00732ED7">
        <w:trPr>
          <w:trHeight w:val="300"/>
        </w:trPr>
        <w:tc>
          <w:tcPr>
            <w:tcW w:w="2694" w:type="dxa"/>
            <w:tcBorders>
              <w:top w:val="single" w:sz="4" w:space="0" w:color="auto"/>
              <w:left w:val="nil"/>
              <w:bottom w:val="nil"/>
              <w:right w:val="nil"/>
            </w:tcBorders>
            <w:shd w:val="clear" w:color="auto" w:fill="auto"/>
            <w:noWrap/>
            <w:vAlign w:val="center"/>
            <w:hideMark/>
          </w:tcPr>
          <w:p w14:paraId="34C5CF78"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1</w:t>
            </w:r>
          </w:p>
        </w:tc>
        <w:tc>
          <w:tcPr>
            <w:tcW w:w="3260" w:type="dxa"/>
            <w:tcBorders>
              <w:top w:val="single" w:sz="4" w:space="0" w:color="auto"/>
              <w:left w:val="nil"/>
              <w:bottom w:val="nil"/>
              <w:right w:val="nil"/>
            </w:tcBorders>
            <w:shd w:val="clear" w:color="auto" w:fill="auto"/>
            <w:noWrap/>
            <w:vAlign w:val="center"/>
            <w:hideMark/>
          </w:tcPr>
          <w:p w14:paraId="23B509B5"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14.485.117,98</w:t>
            </w:r>
          </w:p>
        </w:tc>
        <w:tc>
          <w:tcPr>
            <w:tcW w:w="2977" w:type="dxa"/>
            <w:tcBorders>
              <w:top w:val="single" w:sz="4" w:space="0" w:color="auto"/>
              <w:left w:val="nil"/>
              <w:bottom w:val="nil"/>
              <w:right w:val="nil"/>
            </w:tcBorders>
            <w:shd w:val="clear" w:color="auto" w:fill="auto"/>
            <w:noWrap/>
            <w:vAlign w:val="center"/>
            <w:hideMark/>
          </w:tcPr>
          <w:p w14:paraId="734239CB"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single" w:sz="4" w:space="0" w:color="auto"/>
              <w:left w:val="nil"/>
              <w:bottom w:val="nil"/>
              <w:right w:val="nil"/>
            </w:tcBorders>
            <w:shd w:val="clear" w:color="auto" w:fill="auto"/>
            <w:noWrap/>
            <w:vAlign w:val="center"/>
            <w:hideMark/>
          </w:tcPr>
          <w:p w14:paraId="4EB0272B"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1.448.510,82</w:t>
            </w:r>
          </w:p>
        </w:tc>
        <w:tc>
          <w:tcPr>
            <w:tcW w:w="3543" w:type="dxa"/>
            <w:tcBorders>
              <w:top w:val="single" w:sz="4" w:space="0" w:color="auto"/>
              <w:left w:val="nil"/>
              <w:bottom w:val="nil"/>
              <w:right w:val="nil"/>
            </w:tcBorders>
            <w:shd w:val="clear" w:color="auto" w:fill="auto"/>
            <w:noWrap/>
            <w:vAlign w:val="center"/>
            <w:hideMark/>
          </w:tcPr>
          <w:p w14:paraId="56DB715D"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13.036.606,24</w:t>
            </w:r>
          </w:p>
        </w:tc>
      </w:tr>
      <w:tr w:rsidR="00783461" w:rsidRPr="003D3791" w14:paraId="64556050" w14:textId="77777777" w:rsidTr="00732ED7">
        <w:trPr>
          <w:trHeight w:val="300"/>
        </w:trPr>
        <w:tc>
          <w:tcPr>
            <w:tcW w:w="2694" w:type="dxa"/>
            <w:tcBorders>
              <w:top w:val="nil"/>
              <w:left w:val="nil"/>
              <w:bottom w:val="nil"/>
              <w:right w:val="nil"/>
            </w:tcBorders>
            <w:shd w:val="clear" w:color="auto" w:fill="auto"/>
            <w:noWrap/>
            <w:vAlign w:val="center"/>
            <w:hideMark/>
          </w:tcPr>
          <w:p w14:paraId="73EF8CF4"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2</w:t>
            </w:r>
          </w:p>
        </w:tc>
        <w:tc>
          <w:tcPr>
            <w:tcW w:w="3260" w:type="dxa"/>
            <w:tcBorders>
              <w:top w:val="nil"/>
              <w:left w:val="nil"/>
              <w:bottom w:val="nil"/>
              <w:right w:val="nil"/>
            </w:tcBorders>
            <w:shd w:val="clear" w:color="auto" w:fill="auto"/>
            <w:noWrap/>
            <w:vAlign w:val="center"/>
            <w:hideMark/>
          </w:tcPr>
          <w:p w14:paraId="47FF6E1E"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520.139,39</w:t>
            </w:r>
          </w:p>
        </w:tc>
        <w:tc>
          <w:tcPr>
            <w:tcW w:w="2977" w:type="dxa"/>
            <w:tcBorders>
              <w:top w:val="nil"/>
              <w:left w:val="nil"/>
              <w:bottom w:val="nil"/>
              <w:right w:val="nil"/>
            </w:tcBorders>
            <w:shd w:val="clear" w:color="auto" w:fill="auto"/>
            <w:noWrap/>
            <w:vAlign w:val="center"/>
            <w:hideMark/>
          </w:tcPr>
          <w:p w14:paraId="2D3049F2"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3091829C"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52.013,89</w:t>
            </w:r>
          </w:p>
        </w:tc>
        <w:tc>
          <w:tcPr>
            <w:tcW w:w="3543" w:type="dxa"/>
            <w:tcBorders>
              <w:top w:val="nil"/>
              <w:left w:val="nil"/>
              <w:bottom w:val="nil"/>
              <w:right w:val="nil"/>
            </w:tcBorders>
            <w:shd w:val="clear" w:color="auto" w:fill="auto"/>
            <w:noWrap/>
            <w:vAlign w:val="center"/>
            <w:hideMark/>
          </w:tcPr>
          <w:p w14:paraId="594C6F44"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468.125,50</w:t>
            </w:r>
          </w:p>
        </w:tc>
      </w:tr>
      <w:tr w:rsidR="00783461" w:rsidRPr="003D3791" w14:paraId="7B60E088" w14:textId="77777777" w:rsidTr="00732ED7">
        <w:trPr>
          <w:trHeight w:val="300"/>
        </w:trPr>
        <w:tc>
          <w:tcPr>
            <w:tcW w:w="2694" w:type="dxa"/>
            <w:tcBorders>
              <w:top w:val="nil"/>
              <w:left w:val="nil"/>
              <w:bottom w:val="nil"/>
              <w:right w:val="nil"/>
            </w:tcBorders>
            <w:shd w:val="clear" w:color="auto" w:fill="auto"/>
            <w:noWrap/>
            <w:vAlign w:val="center"/>
            <w:hideMark/>
          </w:tcPr>
          <w:p w14:paraId="3A5CCA62"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3</w:t>
            </w:r>
          </w:p>
        </w:tc>
        <w:tc>
          <w:tcPr>
            <w:tcW w:w="3260" w:type="dxa"/>
            <w:tcBorders>
              <w:top w:val="nil"/>
              <w:left w:val="nil"/>
              <w:bottom w:val="nil"/>
              <w:right w:val="nil"/>
            </w:tcBorders>
            <w:shd w:val="clear" w:color="auto" w:fill="auto"/>
            <w:noWrap/>
            <w:vAlign w:val="center"/>
            <w:hideMark/>
          </w:tcPr>
          <w:p w14:paraId="14CCEBF8"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55.414.491,16</w:t>
            </w:r>
          </w:p>
        </w:tc>
        <w:tc>
          <w:tcPr>
            <w:tcW w:w="2977" w:type="dxa"/>
            <w:tcBorders>
              <w:top w:val="nil"/>
              <w:left w:val="nil"/>
              <w:bottom w:val="nil"/>
              <w:right w:val="nil"/>
            </w:tcBorders>
            <w:shd w:val="clear" w:color="auto" w:fill="auto"/>
            <w:noWrap/>
            <w:vAlign w:val="center"/>
            <w:hideMark/>
          </w:tcPr>
          <w:p w14:paraId="14853ED2"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56C7BAD4"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5.541.449,07</w:t>
            </w:r>
          </w:p>
        </w:tc>
        <w:tc>
          <w:tcPr>
            <w:tcW w:w="3543" w:type="dxa"/>
            <w:tcBorders>
              <w:top w:val="nil"/>
              <w:left w:val="nil"/>
              <w:bottom w:val="nil"/>
              <w:right w:val="nil"/>
            </w:tcBorders>
            <w:shd w:val="clear" w:color="auto" w:fill="auto"/>
            <w:noWrap/>
            <w:vAlign w:val="center"/>
            <w:hideMark/>
          </w:tcPr>
          <w:p w14:paraId="47574E3A"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49.873.042,09</w:t>
            </w:r>
          </w:p>
        </w:tc>
      </w:tr>
      <w:tr w:rsidR="00783461" w:rsidRPr="003D3791" w14:paraId="134C6599" w14:textId="77777777" w:rsidTr="00732ED7">
        <w:trPr>
          <w:trHeight w:val="300"/>
        </w:trPr>
        <w:tc>
          <w:tcPr>
            <w:tcW w:w="2694" w:type="dxa"/>
            <w:tcBorders>
              <w:top w:val="nil"/>
              <w:left w:val="nil"/>
              <w:bottom w:val="nil"/>
              <w:right w:val="nil"/>
            </w:tcBorders>
            <w:shd w:val="clear" w:color="auto" w:fill="auto"/>
            <w:noWrap/>
            <w:vAlign w:val="center"/>
            <w:hideMark/>
          </w:tcPr>
          <w:p w14:paraId="4E92BCF6"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4</w:t>
            </w:r>
          </w:p>
        </w:tc>
        <w:tc>
          <w:tcPr>
            <w:tcW w:w="3260" w:type="dxa"/>
            <w:tcBorders>
              <w:top w:val="nil"/>
              <w:left w:val="nil"/>
              <w:bottom w:val="nil"/>
              <w:right w:val="nil"/>
            </w:tcBorders>
            <w:shd w:val="clear" w:color="auto" w:fill="auto"/>
            <w:noWrap/>
            <w:vAlign w:val="center"/>
            <w:hideMark/>
          </w:tcPr>
          <w:p w14:paraId="6E68176F"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553.418,81</w:t>
            </w:r>
          </w:p>
        </w:tc>
        <w:tc>
          <w:tcPr>
            <w:tcW w:w="2977" w:type="dxa"/>
            <w:tcBorders>
              <w:top w:val="nil"/>
              <w:left w:val="nil"/>
              <w:bottom w:val="nil"/>
              <w:right w:val="nil"/>
            </w:tcBorders>
            <w:shd w:val="clear" w:color="auto" w:fill="auto"/>
            <w:noWrap/>
            <w:vAlign w:val="center"/>
            <w:hideMark/>
          </w:tcPr>
          <w:p w14:paraId="2A57F702"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0BABE0F8"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55.341,86</w:t>
            </w:r>
          </w:p>
        </w:tc>
        <w:tc>
          <w:tcPr>
            <w:tcW w:w="3543" w:type="dxa"/>
            <w:tcBorders>
              <w:top w:val="nil"/>
              <w:left w:val="nil"/>
              <w:bottom w:val="nil"/>
              <w:right w:val="nil"/>
            </w:tcBorders>
            <w:shd w:val="clear" w:color="auto" w:fill="auto"/>
            <w:noWrap/>
            <w:vAlign w:val="center"/>
            <w:hideMark/>
          </w:tcPr>
          <w:p w14:paraId="5BE24A61"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498.076,95</w:t>
            </w:r>
          </w:p>
        </w:tc>
      </w:tr>
      <w:tr w:rsidR="00783461" w:rsidRPr="003D3791" w14:paraId="06441A71" w14:textId="77777777" w:rsidTr="00732ED7">
        <w:trPr>
          <w:trHeight w:val="300"/>
        </w:trPr>
        <w:tc>
          <w:tcPr>
            <w:tcW w:w="2694" w:type="dxa"/>
            <w:tcBorders>
              <w:top w:val="nil"/>
              <w:left w:val="nil"/>
              <w:bottom w:val="nil"/>
              <w:right w:val="nil"/>
            </w:tcBorders>
            <w:shd w:val="clear" w:color="auto" w:fill="auto"/>
            <w:noWrap/>
            <w:vAlign w:val="center"/>
            <w:hideMark/>
          </w:tcPr>
          <w:p w14:paraId="74E269CF"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5</w:t>
            </w:r>
          </w:p>
        </w:tc>
        <w:tc>
          <w:tcPr>
            <w:tcW w:w="3260" w:type="dxa"/>
            <w:tcBorders>
              <w:top w:val="nil"/>
              <w:left w:val="nil"/>
              <w:bottom w:val="nil"/>
              <w:right w:val="nil"/>
            </w:tcBorders>
            <w:shd w:val="clear" w:color="auto" w:fill="auto"/>
            <w:noWrap/>
            <w:vAlign w:val="center"/>
            <w:hideMark/>
          </w:tcPr>
          <w:p w14:paraId="2D021220"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1.179.731,01</w:t>
            </w:r>
          </w:p>
        </w:tc>
        <w:tc>
          <w:tcPr>
            <w:tcW w:w="2977" w:type="dxa"/>
            <w:tcBorders>
              <w:top w:val="nil"/>
              <w:left w:val="nil"/>
              <w:bottom w:val="nil"/>
              <w:right w:val="nil"/>
            </w:tcBorders>
            <w:shd w:val="clear" w:color="auto" w:fill="auto"/>
            <w:noWrap/>
            <w:vAlign w:val="center"/>
            <w:hideMark/>
          </w:tcPr>
          <w:p w14:paraId="437E2D11"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5A93BE0A"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117.973,04</w:t>
            </w:r>
          </w:p>
        </w:tc>
        <w:tc>
          <w:tcPr>
            <w:tcW w:w="3543" w:type="dxa"/>
            <w:tcBorders>
              <w:top w:val="nil"/>
              <w:left w:val="nil"/>
              <w:bottom w:val="nil"/>
              <w:right w:val="nil"/>
            </w:tcBorders>
            <w:shd w:val="clear" w:color="auto" w:fill="auto"/>
            <w:noWrap/>
            <w:vAlign w:val="center"/>
            <w:hideMark/>
          </w:tcPr>
          <w:p w14:paraId="70EE6FCE"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1.060.757,97</w:t>
            </w:r>
          </w:p>
        </w:tc>
      </w:tr>
      <w:tr w:rsidR="00783461" w:rsidRPr="003D3791" w14:paraId="2AACA4DE" w14:textId="77777777" w:rsidTr="00732ED7">
        <w:trPr>
          <w:trHeight w:val="300"/>
        </w:trPr>
        <w:tc>
          <w:tcPr>
            <w:tcW w:w="2694" w:type="dxa"/>
            <w:tcBorders>
              <w:top w:val="nil"/>
              <w:left w:val="nil"/>
              <w:bottom w:val="nil"/>
              <w:right w:val="nil"/>
            </w:tcBorders>
            <w:shd w:val="clear" w:color="auto" w:fill="auto"/>
            <w:noWrap/>
            <w:vAlign w:val="center"/>
            <w:hideMark/>
          </w:tcPr>
          <w:p w14:paraId="7DB7040A"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6</w:t>
            </w:r>
          </w:p>
        </w:tc>
        <w:tc>
          <w:tcPr>
            <w:tcW w:w="3260" w:type="dxa"/>
            <w:tcBorders>
              <w:top w:val="nil"/>
              <w:left w:val="nil"/>
              <w:bottom w:val="nil"/>
              <w:right w:val="nil"/>
            </w:tcBorders>
            <w:shd w:val="clear" w:color="auto" w:fill="auto"/>
            <w:noWrap/>
            <w:vAlign w:val="center"/>
            <w:hideMark/>
          </w:tcPr>
          <w:p w14:paraId="7122ED2A"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3.182.646,99</w:t>
            </w:r>
          </w:p>
        </w:tc>
        <w:tc>
          <w:tcPr>
            <w:tcW w:w="2977" w:type="dxa"/>
            <w:tcBorders>
              <w:top w:val="nil"/>
              <w:left w:val="nil"/>
              <w:bottom w:val="nil"/>
              <w:right w:val="nil"/>
            </w:tcBorders>
            <w:shd w:val="clear" w:color="auto" w:fill="auto"/>
            <w:noWrap/>
            <w:vAlign w:val="center"/>
            <w:hideMark/>
          </w:tcPr>
          <w:p w14:paraId="63F15612"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3C7FED72"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318.264,68</w:t>
            </w:r>
          </w:p>
        </w:tc>
        <w:tc>
          <w:tcPr>
            <w:tcW w:w="3543" w:type="dxa"/>
            <w:tcBorders>
              <w:top w:val="nil"/>
              <w:left w:val="nil"/>
              <w:bottom w:val="nil"/>
              <w:right w:val="nil"/>
            </w:tcBorders>
            <w:shd w:val="clear" w:color="auto" w:fill="auto"/>
            <w:noWrap/>
            <w:vAlign w:val="center"/>
            <w:hideMark/>
          </w:tcPr>
          <w:p w14:paraId="12C50064"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2.864.382,30</w:t>
            </w:r>
          </w:p>
        </w:tc>
      </w:tr>
      <w:tr w:rsidR="00783461" w:rsidRPr="003D3791" w14:paraId="71B7FCCF" w14:textId="77777777" w:rsidTr="00732ED7">
        <w:trPr>
          <w:trHeight w:val="300"/>
        </w:trPr>
        <w:tc>
          <w:tcPr>
            <w:tcW w:w="2694" w:type="dxa"/>
            <w:tcBorders>
              <w:top w:val="nil"/>
              <w:left w:val="nil"/>
              <w:bottom w:val="nil"/>
              <w:right w:val="nil"/>
            </w:tcBorders>
            <w:shd w:val="clear" w:color="auto" w:fill="auto"/>
            <w:noWrap/>
            <w:vAlign w:val="center"/>
            <w:hideMark/>
          </w:tcPr>
          <w:p w14:paraId="3C3D9664"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7</w:t>
            </w:r>
          </w:p>
        </w:tc>
        <w:tc>
          <w:tcPr>
            <w:tcW w:w="3260" w:type="dxa"/>
            <w:tcBorders>
              <w:top w:val="nil"/>
              <w:left w:val="nil"/>
              <w:bottom w:val="nil"/>
              <w:right w:val="nil"/>
            </w:tcBorders>
            <w:shd w:val="clear" w:color="auto" w:fill="auto"/>
            <w:noWrap/>
            <w:vAlign w:val="center"/>
            <w:hideMark/>
          </w:tcPr>
          <w:p w14:paraId="21BF4795"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5.721.252,73</w:t>
            </w:r>
          </w:p>
        </w:tc>
        <w:tc>
          <w:tcPr>
            <w:tcW w:w="2977" w:type="dxa"/>
            <w:tcBorders>
              <w:top w:val="nil"/>
              <w:left w:val="nil"/>
              <w:bottom w:val="nil"/>
              <w:right w:val="nil"/>
            </w:tcBorders>
            <w:shd w:val="clear" w:color="auto" w:fill="auto"/>
            <w:noWrap/>
            <w:vAlign w:val="center"/>
            <w:hideMark/>
          </w:tcPr>
          <w:p w14:paraId="4229DD05"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5B10E401"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572.125,24</w:t>
            </w:r>
          </w:p>
        </w:tc>
        <w:tc>
          <w:tcPr>
            <w:tcW w:w="3543" w:type="dxa"/>
            <w:tcBorders>
              <w:top w:val="nil"/>
              <w:left w:val="nil"/>
              <w:bottom w:val="nil"/>
              <w:right w:val="nil"/>
            </w:tcBorders>
            <w:shd w:val="clear" w:color="auto" w:fill="auto"/>
            <w:noWrap/>
            <w:vAlign w:val="center"/>
            <w:hideMark/>
          </w:tcPr>
          <w:p w14:paraId="3207D660"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5.149.127,49</w:t>
            </w:r>
          </w:p>
        </w:tc>
      </w:tr>
      <w:tr w:rsidR="00783461" w:rsidRPr="003D3791" w14:paraId="5B18E72E" w14:textId="77777777" w:rsidTr="00732ED7">
        <w:trPr>
          <w:trHeight w:val="300"/>
        </w:trPr>
        <w:tc>
          <w:tcPr>
            <w:tcW w:w="2694" w:type="dxa"/>
            <w:tcBorders>
              <w:top w:val="nil"/>
              <w:left w:val="nil"/>
              <w:bottom w:val="nil"/>
              <w:right w:val="nil"/>
            </w:tcBorders>
            <w:shd w:val="clear" w:color="auto" w:fill="auto"/>
            <w:noWrap/>
            <w:vAlign w:val="center"/>
            <w:hideMark/>
          </w:tcPr>
          <w:p w14:paraId="3A6A8C88"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8</w:t>
            </w:r>
          </w:p>
        </w:tc>
        <w:tc>
          <w:tcPr>
            <w:tcW w:w="3260" w:type="dxa"/>
            <w:tcBorders>
              <w:top w:val="nil"/>
              <w:left w:val="nil"/>
              <w:bottom w:val="nil"/>
              <w:right w:val="nil"/>
            </w:tcBorders>
            <w:shd w:val="clear" w:color="auto" w:fill="auto"/>
            <w:noWrap/>
            <w:vAlign w:val="center"/>
            <w:hideMark/>
          </w:tcPr>
          <w:p w14:paraId="249E16A6"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76.755,85</w:t>
            </w:r>
          </w:p>
        </w:tc>
        <w:tc>
          <w:tcPr>
            <w:tcW w:w="2977" w:type="dxa"/>
            <w:tcBorders>
              <w:top w:val="nil"/>
              <w:left w:val="nil"/>
              <w:bottom w:val="nil"/>
              <w:right w:val="nil"/>
            </w:tcBorders>
            <w:shd w:val="clear" w:color="auto" w:fill="auto"/>
            <w:noWrap/>
            <w:vAlign w:val="center"/>
            <w:hideMark/>
          </w:tcPr>
          <w:p w14:paraId="5FD79E97"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6DEC0136"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3.837,79</w:t>
            </w:r>
          </w:p>
        </w:tc>
        <w:tc>
          <w:tcPr>
            <w:tcW w:w="3543" w:type="dxa"/>
            <w:tcBorders>
              <w:top w:val="nil"/>
              <w:left w:val="nil"/>
              <w:bottom w:val="nil"/>
              <w:right w:val="nil"/>
            </w:tcBorders>
            <w:shd w:val="clear" w:color="auto" w:fill="auto"/>
            <w:noWrap/>
            <w:vAlign w:val="center"/>
            <w:hideMark/>
          </w:tcPr>
          <w:p w14:paraId="11F76636"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72.918,06</w:t>
            </w:r>
          </w:p>
        </w:tc>
      </w:tr>
      <w:tr w:rsidR="00783461" w:rsidRPr="003D3791" w14:paraId="0E58EFA2" w14:textId="77777777" w:rsidTr="00732ED7">
        <w:trPr>
          <w:trHeight w:val="300"/>
        </w:trPr>
        <w:tc>
          <w:tcPr>
            <w:tcW w:w="2694" w:type="dxa"/>
            <w:tcBorders>
              <w:top w:val="nil"/>
              <w:left w:val="nil"/>
              <w:bottom w:val="nil"/>
              <w:right w:val="nil"/>
            </w:tcBorders>
            <w:shd w:val="clear" w:color="auto" w:fill="auto"/>
            <w:noWrap/>
            <w:vAlign w:val="center"/>
            <w:hideMark/>
          </w:tcPr>
          <w:p w14:paraId="6569A713"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9</w:t>
            </w:r>
          </w:p>
        </w:tc>
        <w:tc>
          <w:tcPr>
            <w:tcW w:w="3260" w:type="dxa"/>
            <w:tcBorders>
              <w:top w:val="nil"/>
              <w:left w:val="nil"/>
              <w:bottom w:val="nil"/>
              <w:right w:val="nil"/>
            </w:tcBorders>
            <w:shd w:val="clear" w:color="auto" w:fill="auto"/>
            <w:noWrap/>
            <w:vAlign w:val="center"/>
            <w:hideMark/>
          </w:tcPr>
          <w:p w14:paraId="213B7C2A"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1.628.267,17</w:t>
            </w:r>
          </w:p>
        </w:tc>
        <w:tc>
          <w:tcPr>
            <w:tcW w:w="2977" w:type="dxa"/>
            <w:tcBorders>
              <w:top w:val="nil"/>
              <w:left w:val="nil"/>
              <w:bottom w:val="nil"/>
              <w:right w:val="nil"/>
            </w:tcBorders>
            <w:shd w:val="clear" w:color="auto" w:fill="auto"/>
            <w:noWrap/>
            <w:vAlign w:val="center"/>
            <w:hideMark/>
          </w:tcPr>
          <w:p w14:paraId="02171F31"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4C145CAA"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162.826,59</w:t>
            </w:r>
          </w:p>
        </w:tc>
        <w:tc>
          <w:tcPr>
            <w:tcW w:w="3543" w:type="dxa"/>
            <w:tcBorders>
              <w:top w:val="nil"/>
              <w:left w:val="nil"/>
              <w:bottom w:val="nil"/>
              <w:right w:val="nil"/>
            </w:tcBorders>
            <w:shd w:val="clear" w:color="auto" w:fill="auto"/>
            <w:noWrap/>
            <w:vAlign w:val="center"/>
            <w:hideMark/>
          </w:tcPr>
          <w:p w14:paraId="4433B2A3"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1.465.440,58</w:t>
            </w:r>
          </w:p>
        </w:tc>
      </w:tr>
      <w:tr w:rsidR="00783461" w:rsidRPr="003D3791" w14:paraId="1819AFAE" w14:textId="77777777" w:rsidTr="00732ED7">
        <w:trPr>
          <w:trHeight w:val="300"/>
        </w:trPr>
        <w:tc>
          <w:tcPr>
            <w:tcW w:w="2694" w:type="dxa"/>
            <w:tcBorders>
              <w:top w:val="nil"/>
              <w:left w:val="nil"/>
              <w:bottom w:val="nil"/>
              <w:right w:val="nil"/>
            </w:tcBorders>
            <w:shd w:val="clear" w:color="auto" w:fill="auto"/>
            <w:noWrap/>
            <w:vAlign w:val="center"/>
            <w:hideMark/>
          </w:tcPr>
          <w:p w14:paraId="04EDDA38"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10</w:t>
            </w:r>
          </w:p>
        </w:tc>
        <w:tc>
          <w:tcPr>
            <w:tcW w:w="3260" w:type="dxa"/>
            <w:tcBorders>
              <w:top w:val="nil"/>
              <w:left w:val="nil"/>
              <w:bottom w:val="nil"/>
              <w:right w:val="nil"/>
            </w:tcBorders>
            <w:shd w:val="clear" w:color="auto" w:fill="auto"/>
            <w:noWrap/>
            <w:vAlign w:val="center"/>
            <w:hideMark/>
          </w:tcPr>
          <w:p w14:paraId="33D94AF2"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221.753,28</w:t>
            </w:r>
          </w:p>
        </w:tc>
        <w:tc>
          <w:tcPr>
            <w:tcW w:w="2977" w:type="dxa"/>
            <w:tcBorders>
              <w:top w:val="nil"/>
              <w:left w:val="nil"/>
              <w:bottom w:val="nil"/>
              <w:right w:val="nil"/>
            </w:tcBorders>
            <w:shd w:val="clear" w:color="auto" w:fill="auto"/>
            <w:noWrap/>
            <w:vAlign w:val="center"/>
            <w:hideMark/>
          </w:tcPr>
          <w:p w14:paraId="321CED06"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1ABDC11F"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22.175,28</w:t>
            </w:r>
          </w:p>
        </w:tc>
        <w:tc>
          <w:tcPr>
            <w:tcW w:w="3543" w:type="dxa"/>
            <w:tcBorders>
              <w:top w:val="nil"/>
              <w:left w:val="nil"/>
              <w:bottom w:val="nil"/>
              <w:right w:val="nil"/>
            </w:tcBorders>
            <w:shd w:val="clear" w:color="auto" w:fill="auto"/>
            <w:noWrap/>
            <w:vAlign w:val="center"/>
            <w:hideMark/>
          </w:tcPr>
          <w:p w14:paraId="7CA66FBD"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199.578,00</w:t>
            </w:r>
          </w:p>
        </w:tc>
      </w:tr>
      <w:tr w:rsidR="00783461" w:rsidRPr="003D3791" w14:paraId="3153A4F3" w14:textId="77777777" w:rsidTr="00732ED7">
        <w:trPr>
          <w:trHeight w:val="300"/>
        </w:trPr>
        <w:tc>
          <w:tcPr>
            <w:tcW w:w="2694" w:type="dxa"/>
            <w:tcBorders>
              <w:top w:val="nil"/>
              <w:left w:val="nil"/>
              <w:bottom w:val="nil"/>
              <w:right w:val="nil"/>
            </w:tcBorders>
            <w:shd w:val="clear" w:color="auto" w:fill="auto"/>
            <w:noWrap/>
            <w:vAlign w:val="center"/>
            <w:hideMark/>
          </w:tcPr>
          <w:p w14:paraId="2C75702B"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11</w:t>
            </w:r>
          </w:p>
        </w:tc>
        <w:tc>
          <w:tcPr>
            <w:tcW w:w="3260" w:type="dxa"/>
            <w:tcBorders>
              <w:top w:val="nil"/>
              <w:left w:val="nil"/>
              <w:bottom w:val="nil"/>
              <w:right w:val="nil"/>
            </w:tcBorders>
            <w:shd w:val="clear" w:color="auto" w:fill="auto"/>
            <w:noWrap/>
            <w:vAlign w:val="center"/>
            <w:hideMark/>
          </w:tcPr>
          <w:p w14:paraId="305CDFD0"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124.738,30</w:t>
            </w:r>
          </w:p>
        </w:tc>
        <w:tc>
          <w:tcPr>
            <w:tcW w:w="2977" w:type="dxa"/>
            <w:tcBorders>
              <w:top w:val="nil"/>
              <w:left w:val="nil"/>
              <w:bottom w:val="nil"/>
              <w:right w:val="nil"/>
            </w:tcBorders>
            <w:shd w:val="clear" w:color="auto" w:fill="auto"/>
            <w:noWrap/>
            <w:vAlign w:val="center"/>
            <w:hideMark/>
          </w:tcPr>
          <w:p w14:paraId="7602FF42"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6C0778DD"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12.473,78</w:t>
            </w:r>
          </w:p>
        </w:tc>
        <w:tc>
          <w:tcPr>
            <w:tcW w:w="3543" w:type="dxa"/>
            <w:tcBorders>
              <w:top w:val="nil"/>
              <w:left w:val="nil"/>
              <w:bottom w:val="nil"/>
              <w:right w:val="nil"/>
            </w:tcBorders>
            <w:shd w:val="clear" w:color="auto" w:fill="auto"/>
            <w:noWrap/>
            <w:vAlign w:val="center"/>
            <w:hideMark/>
          </w:tcPr>
          <w:p w14:paraId="75B4BA15"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112.264,52</w:t>
            </w:r>
          </w:p>
        </w:tc>
      </w:tr>
      <w:tr w:rsidR="00783461" w:rsidRPr="003D3791" w14:paraId="6697C882" w14:textId="77777777" w:rsidTr="00732ED7">
        <w:trPr>
          <w:trHeight w:val="300"/>
        </w:trPr>
        <w:tc>
          <w:tcPr>
            <w:tcW w:w="2694" w:type="dxa"/>
            <w:tcBorders>
              <w:top w:val="nil"/>
              <w:left w:val="nil"/>
              <w:bottom w:val="nil"/>
              <w:right w:val="nil"/>
            </w:tcBorders>
            <w:shd w:val="clear" w:color="auto" w:fill="auto"/>
            <w:noWrap/>
            <w:vAlign w:val="center"/>
            <w:hideMark/>
          </w:tcPr>
          <w:p w14:paraId="70EBD8B7"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12</w:t>
            </w:r>
          </w:p>
        </w:tc>
        <w:tc>
          <w:tcPr>
            <w:tcW w:w="3260" w:type="dxa"/>
            <w:tcBorders>
              <w:top w:val="nil"/>
              <w:left w:val="nil"/>
              <w:bottom w:val="nil"/>
              <w:right w:val="nil"/>
            </w:tcBorders>
            <w:shd w:val="clear" w:color="auto" w:fill="auto"/>
            <w:noWrap/>
            <w:vAlign w:val="center"/>
            <w:hideMark/>
          </w:tcPr>
          <w:p w14:paraId="22E5C78A"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1.246.725,73</w:t>
            </w:r>
          </w:p>
        </w:tc>
        <w:tc>
          <w:tcPr>
            <w:tcW w:w="2977" w:type="dxa"/>
            <w:tcBorders>
              <w:top w:val="nil"/>
              <w:left w:val="nil"/>
              <w:bottom w:val="nil"/>
              <w:right w:val="nil"/>
            </w:tcBorders>
            <w:shd w:val="clear" w:color="auto" w:fill="auto"/>
            <w:noWrap/>
            <w:vAlign w:val="center"/>
            <w:hideMark/>
          </w:tcPr>
          <w:p w14:paraId="6424B1B4"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6EC2258C"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124.672,54</w:t>
            </w:r>
          </w:p>
        </w:tc>
        <w:tc>
          <w:tcPr>
            <w:tcW w:w="3543" w:type="dxa"/>
            <w:tcBorders>
              <w:top w:val="nil"/>
              <w:left w:val="nil"/>
              <w:bottom w:val="nil"/>
              <w:right w:val="nil"/>
            </w:tcBorders>
            <w:shd w:val="clear" w:color="auto" w:fill="auto"/>
            <w:noWrap/>
            <w:vAlign w:val="center"/>
            <w:hideMark/>
          </w:tcPr>
          <w:p w14:paraId="29275FED"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1.122.053,19</w:t>
            </w:r>
          </w:p>
        </w:tc>
      </w:tr>
      <w:tr w:rsidR="00783461" w:rsidRPr="003D3791" w14:paraId="77B12D33" w14:textId="77777777" w:rsidTr="00732ED7">
        <w:trPr>
          <w:trHeight w:val="300"/>
        </w:trPr>
        <w:tc>
          <w:tcPr>
            <w:tcW w:w="2694" w:type="dxa"/>
            <w:tcBorders>
              <w:top w:val="nil"/>
              <w:left w:val="nil"/>
              <w:bottom w:val="nil"/>
              <w:right w:val="nil"/>
            </w:tcBorders>
            <w:shd w:val="clear" w:color="auto" w:fill="auto"/>
            <w:noWrap/>
            <w:vAlign w:val="center"/>
            <w:hideMark/>
          </w:tcPr>
          <w:p w14:paraId="67F41304"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13</w:t>
            </w:r>
          </w:p>
        </w:tc>
        <w:tc>
          <w:tcPr>
            <w:tcW w:w="3260" w:type="dxa"/>
            <w:tcBorders>
              <w:top w:val="nil"/>
              <w:left w:val="nil"/>
              <w:bottom w:val="nil"/>
              <w:right w:val="nil"/>
            </w:tcBorders>
            <w:shd w:val="clear" w:color="auto" w:fill="auto"/>
            <w:noWrap/>
            <w:vAlign w:val="center"/>
            <w:hideMark/>
          </w:tcPr>
          <w:p w14:paraId="198A80F5"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205.322,53</w:t>
            </w:r>
          </w:p>
        </w:tc>
        <w:tc>
          <w:tcPr>
            <w:tcW w:w="2977" w:type="dxa"/>
            <w:tcBorders>
              <w:top w:val="nil"/>
              <w:left w:val="nil"/>
              <w:bottom w:val="nil"/>
              <w:right w:val="nil"/>
            </w:tcBorders>
            <w:shd w:val="clear" w:color="auto" w:fill="auto"/>
            <w:noWrap/>
            <w:vAlign w:val="center"/>
            <w:hideMark/>
          </w:tcPr>
          <w:p w14:paraId="7181FE2F"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23014058"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20.532,20</w:t>
            </w:r>
          </w:p>
        </w:tc>
        <w:tc>
          <w:tcPr>
            <w:tcW w:w="3543" w:type="dxa"/>
            <w:tcBorders>
              <w:top w:val="nil"/>
              <w:left w:val="nil"/>
              <w:bottom w:val="nil"/>
              <w:right w:val="nil"/>
            </w:tcBorders>
            <w:shd w:val="clear" w:color="auto" w:fill="auto"/>
            <w:noWrap/>
            <w:vAlign w:val="center"/>
            <w:hideMark/>
          </w:tcPr>
          <w:p w14:paraId="020E3FC6"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184.790,33</w:t>
            </w:r>
          </w:p>
        </w:tc>
      </w:tr>
      <w:tr w:rsidR="00783461" w:rsidRPr="003D3791" w14:paraId="2510DEF9" w14:textId="77777777" w:rsidTr="00732ED7">
        <w:trPr>
          <w:trHeight w:val="300"/>
        </w:trPr>
        <w:tc>
          <w:tcPr>
            <w:tcW w:w="2694" w:type="dxa"/>
            <w:tcBorders>
              <w:top w:val="nil"/>
              <w:left w:val="nil"/>
              <w:bottom w:val="nil"/>
              <w:right w:val="nil"/>
            </w:tcBorders>
            <w:shd w:val="clear" w:color="auto" w:fill="auto"/>
            <w:noWrap/>
            <w:vAlign w:val="center"/>
            <w:hideMark/>
          </w:tcPr>
          <w:p w14:paraId="631FE60E"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14</w:t>
            </w:r>
          </w:p>
        </w:tc>
        <w:tc>
          <w:tcPr>
            <w:tcW w:w="3260" w:type="dxa"/>
            <w:tcBorders>
              <w:top w:val="nil"/>
              <w:left w:val="nil"/>
              <w:bottom w:val="nil"/>
              <w:right w:val="nil"/>
            </w:tcBorders>
            <w:shd w:val="clear" w:color="auto" w:fill="auto"/>
            <w:noWrap/>
            <w:vAlign w:val="center"/>
            <w:hideMark/>
          </w:tcPr>
          <w:p w14:paraId="59C98079"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8.810.869,86</w:t>
            </w:r>
          </w:p>
        </w:tc>
        <w:tc>
          <w:tcPr>
            <w:tcW w:w="2977" w:type="dxa"/>
            <w:tcBorders>
              <w:top w:val="nil"/>
              <w:left w:val="nil"/>
              <w:bottom w:val="nil"/>
              <w:right w:val="nil"/>
            </w:tcBorders>
            <w:shd w:val="clear" w:color="auto" w:fill="auto"/>
            <w:noWrap/>
            <w:vAlign w:val="center"/>
            <w:hideMark/>
          </w:tcPr>
          <w:p w14:paraId="2252968C"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5566449C"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881.086,92</w:t>
            </w:r>
          </w:p>
        </w:tc>
        <w:tc>
          <w:tcPr>
            <w:tcW w:w="3543" w:type="dxa"/>
            <w:tcBorders>
              <w:top w:val="nil"/>
              <w:left w:val="nil"/>
              <w:bottom w:val="nil"/>
              <w:right w:val="nil"/>
            </w:tcBorders>
            <w:shd w:val="clear" w:color="auto" w:fill="auto"/>
            <w:noWrap/>
            <w:vAlign w:val="center"/>
            <w:hideMark/>
          </w:tcPr>
          <w:p w14:paraId="4F630703"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7.937.782,94</w:t>
            </w:r>
          </w:p>
        </w:tc>
      </w:tr>
      <w:tr w:rsidR="00783461" w:rsidRPr="003D3791" w14:paraId="022E0D03" w14:textId="77777777" w:rsidTr="00732ED7">
        <w:trPr>
          <w:trHeight w:val="300"/>
        </w:trPr>
        <w:tc>
          <w:tcPr>
            <w:tcW w:w="2694" w:type="dxa"/>
            <w:tcBorders>
              <w:top w:val="nil"/>
              <w:left w:val="nil"/>
              <w:bottom w:val="nil"/>
              <w:right w:val="nil"/>
            </w:tcBorders>
            <w:shd w:val="clear" w:color="auto" w:fill="auto"/>
            <w:noWrap/>
            <w:vAlign w:val="center"/>
            <w:hideMark/>
          </w:tcPr>
          <w:p w14:paraId="1346CAFB"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15</w:t>
            </w:r>
          </w:p>
        </w:tc>
        <w:tc>
          <w:tcPr>
            <w:tcW w:w="3260" w:type="dxa"/>
            <w:tcBorders>
              <w:top w:val="nil"/>
              <w:left w:val="nil"/>
              <w:bottom w:val="nil"/>
              <w:right w:val="nil"/>
            </w:tcBorders>
            <w:shd w:val="clear" w:color="auto" w:fill="auto"/>
            <w:noWrap/>
            <w:vAlign w:val="center"/>
            <w:hideMark/>
          </w:tcPr>
          <w:p w14:paraId="1DE5AE77"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125.450,58</w:t>
            </w:r>
          </w:p>
        </w:tc>
        <w:tc>
          <w:tcPr>
            <w:tcW w:w="2977" w:type="dxa"/>
            <w:tcBorders>
              <w:top w:val="nil"/>
              <w:left w:val="nil"/>
              <w:bottom w:val="nil"/>
              <w:right w:val="nil"/>
            </w:tcBorders>
            <w:shd w:val="clear" w:color="auto" w:fill="auto"/>
            <w:noWrap/>
            <w:vAlign w:val="center"/>
            <w:hideMark/>
          </w:tcPr>
          <w:p w14:paraId="0F62D650"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5DC46EB0"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12.544,96</w:t>
            </w:r>
          </w:p>
        </w:tc>
        <w:tc>
          <w:tcPr>
            <w:tcW w:w="3543" w:type="dxa"/>
            <w:tcBorders>
              <w:top w:val="nil"/>
              <w:left w:val="nil"/>
              <w:bottom w:val="nil"/>
              <w:right w:val="nil"/>
            </w:tcBorders>
            <w:shd w:val="clear" w:color="auto" w:fill="auto"/>
            <w:noWrap/>
            <w:vAlign w:val="center"/>
            <w:hideMark/>
          </w:tcPr>
          <w:p w14:paraId="53D7358C"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112.905,62</w:t>
            </w:r>
          </w:p>
        </w:tc>
      </w:tr>
      <w:tr w:rsidR="00783461" w:rsidRPr="003D3791" w14:paraId="6D10B30E" w14:textId="77777777" w:rsidTr="00732ED7">
        <w:trPr>
          <w:trHeight w:val="300"/>
        </w:trPr>
        <w:tc>
          <w:tcPr>
            <w:tcW w:w="2694" w:type="dxa"/>
            <w:tcBorders>
              <w:top w:val="nil"/>
              <w:left w:val="nil"/>
              <w:bottom w:val="nil"/>
              <w:right w:val="nil"/>
            </w:tcBorders>
            <w:shd w:val="clear" w:color="auto" w:fill="auto"/>
            <w:noWrap/>
            <w:vAlign w:val="center"/>
            <w:hideMark/>
          </w:tcPr>
          <w:p w14:paraId="3BB5D4B4"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16</w:t>
            </w:r>
          </w:p>
        </w:tc>
        <w:tc>
          <w:tcPr>
            <w:tcW w:w="3260" w:type="dxa"/>
            <w:tcBorders>
              <w:top w:val="nil"/>
              <w:left w:val="nil"/>
              <w:bottom w:val="nil"/>
              <w:right w:val="nil"/>
            </w:tcBorders>
            <w:shd w:val="clear" w:color="auto" w:fill="auto"/>
            <w:noWrap/>
            <w:vAlign w:val="center"/>
            <w:hideMark/>
          </w:tcPr>
          <w:p w14:paraId="49ADC21A"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208.636,84</w:t>
            </w:r>
          </w:p>
        </w:tc>
        <w:tc>
          <w:tcPr>
            <w:tcW w:w="2977" w:type="dxa"/>
            <w:tcBorders>
              <w:top w:val="nil"/>
              <w:left w:val="nil"/>
              <w:bottom w:val="nil"/>
              <w:right w:val="nil"/>
            </w:tcBorders>
            <w:shd w:val="clear" w:color="auto" w:fill="auto"/>
            <w:noWrap/>
            <w:vAlign w:val="center"/>
            <w:hideMark/>
          </w:tcPr>
          <w:p w14:paraId="29FC3F94"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4D1FEC54"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20.863,68</w:t>
            </w:r>
          </w:p>
        </w:tc>
        <w:tc>
          <w:tcPr>
            <w:tcW w:w="3543" w:type="dxa"/>
            <w:tcBorders>
              <w:top w:val="nil"/>
              <w:left w:val="nil"/>
              <w:bottom w:val="nil"/>
              <w:right w:val="nil"/>
            </w:tcBorders>
            <w:shd w:val="clear" w:color="auto" w:fill="auto"/>
            <w:noWrap/>
            <w:vAlign w:val="center"/>
            <w:hideMark/>
          </w:tcPr>
          <w:p w14:paraId="5CBA2B01"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187.773,16</w:t>
            </w:r>
          </w:p>
        </w:tc>
      </w:tr>
      <w:tr w:rsidR="00783461" w:rsidRPr="003D3791" w14:paraId="68EC949F" w14:textId="77777777" w:rsidTr="00732ED7">
        <w:trPr>
          <w:trHeight w:val="300"/>
        </w:trPr>
        <w:tc>
          <w:tcPr>
            <w:tcW w:w="2694" w:type="dxa"/>
            <w:tcBorders>
              <w:top w:val="nil"/>
              <w:left w:val="nil"/>
              <w:bottom w:val="nil"/>
              <w:right w:val="nil"/>
            </w:tcBorders>
            <w:shd w:val="clear" w:color="auto" w:fill="auto"/>
            <w:noWrap/>
            <w:vAlign w:val="center"/>
            <w:hideMark/>
          </w:tcPr>
          <w:p w14:paraId="34B21D4B"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17</w:t>
            </w:r>
          </w:p>
        </w:tc>
        <w:tc>
          <w:tcPr>
            <w:tcW w:w="3260" w:type="dxa"/>
            <w:tcBorders>
              <w:top w:val="nil"/>
              <w:left w:val="nil"/>
              <w:bottom w:val="nil"/>
              <w:right w:val="nil"/>
            </w:tcBorders>
            <w:shd w:val="clear" w:color="auto" w:fill="auto"/>
            <w:noWrap/>
            <w:vAlign w:val="center"/>
            <w:hideMark/>
          </w:tcPr>
          <w:p w14:paraId="301A8DCE"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431.638,39</w:t>
            </w:r>
          </w:p>
        </w:tc>
        <w:tc>
          <w:tcPr>
            <w:tcW w:w="2977" w:type="dxa"/>
            <w:tcBorders>
              <w:top w:val="nil"/>
              <w:left w:val="nil"/>
              <w:bottom w:val="nil"/>
              <w:right w:val="nil"/>
            </w:tcBorders>
            <w:shd w:val="clear" w:color="auto" w:fill="auto"/>
            <w:noWrap/>
            <w:vAlign w:val="center"/>
            <w:hideMark/>
          </w:tcPr>
          <w:p w14:paraId="05BEDD39"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06398ED4"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43.163,39</w:t>
            </w:r>
          </w:p>
        </w:tc>
        <w:tc>
          <w:tcPr>
            <w:tcW w:w="3543" w:type="dxa"/>
            <w:tcBorders>
              <w:top w:val="nil"/>
              <w:left w:val="nil"/>
              <w:bottom w:val="nil"/>
              <w:right w:val="nil"/>
            </w:tcBorders>
            <w:shd w:val="clear" w:color="auto" w:fill="auto"/>
            <w:noWrap/>
            <w:vAlign w:val="center"/>
            <w:hideMark/>
          </w:tcPr>
          <w:p w14:paraId="69291A8D"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388.474,60</w:t>
            </w:r>
          </w:p>
        </w:tc>
      </w:tr>
      <w:tr w:rsidR="00783461" w:rsidRPr="003D3791" w14:paraId="47A3005C" w14:textId="77777777" w:rsidTr="00732ED7">
        <w:trPr>
          <w:trHeight w:val="300"/>
        </w:trPr>
        <w:tc>
          <w:tcPr>
            <w:tcW w:w="2694" w:type="dxa"/>
            <w:tcBorders>
              <w:top w:val="nil"/>
              <w:left w:val="nil"/>
              <w:bottom w:val="nil"/>
              <w:right w:val="nil"/>
            </w:tcBorders>
            <w:shd w:val="clear" w:color="auto" w:fill="auto"/>
            <w:noWrap/>
            <w:vAlign w:val="center"/>
            <w:hideMark/>
          </w:tcPr>
          <w:p w14:paraId="570E8C33"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18</w:t>
            </w:r>
          </w:p>
        </w:tc>
        <w:tc>
          <w:tcPr>
            <w:tcW w:w="3260" w:type="dxa"/>
            <w:tcBorders>
              <w:top w:val="nil"/>
              <w:left w:val="nil"/>
              <w:bottom w:val="nil"/>
              <w:right w:val="nil"/>
            </w:tcBorders>
            <w:shd w:val="clear" w:color="auto" w:fill="auto"/>
            <w:noWrap/>
            <w:vAlign w:val="center"/>
            <w:hideMark/>
          </w:tcPr>
          <w:p w14:paraId="642564B4"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39.961.534,04</w:t>
            </w:r>
          </w:p>
        </w:tc>
        <w:tc>
          <w:tcPr>
            <w:tcW w:w="2977" w:type="dxa"/>
            <w:tcBorders>
              <w:top w:val="nil"/>
              <w:left w:val="nil"/>
              <w:bottom w:val="nil"/>
              <w:right w:val="nil"/>
            </w:tcBorders>
            <w:shd w:val="clear" w:color="auto" w:fill="auto"/>
            <w:noWrap/>
            <w:vAlign w:val="center"/>
            <w:hideMark/>
          </w:tcPr>
          <w:p w14:paraId="099547FA"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3EF6FB97"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3.996.153,35</w:t>
            </w:r>
          </w:p>
        </w:tc>
        <w:tc>
          <w:tcPr>
            <w:tcW w:w="3543" w:type="dxa"/>
            <w:tcBorders>
              <w:top w:val="nil"/>
              <w:left w:val="nil"/>
              <w:bottom w:val="nil"/>
              <w:right w:val="nil"/>
            </w:tcBorders>
            <w:shd w:val="clear" w:color="auto" w:fill="auto"/>
            <w:noWrap/>
            <w:vAlign w:val="center"/>
            <w:hideMark/>
          </w:tcPr>
          <w:p w14:paraId="241EAB6B"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35.965.380,69</w:t>
            </w:r>
          </w:p>
        </w:tc>
      </w:tr>
      <w:tr w:rsidR="00783461" w:rsidRPr="003D3791" w14:paraId="61F25C73" w14:textId="77777777" w:rsidTr="00732ED7">
        <w:trPr>
          <w:trHeight w:val="300"/>
        </w:trPr>
        <w:tc>
          <w:tcPr>
            <w:tcW w:w="2694" w:type="dxa"/>
            <w:tcBorders>
              <w:top w:val="nil"/>
              <w:left w:val="nil"/>
              <w:bottom w:val="nil"/>
              <w:right w:val="nil"/>
            </w:tcBorders>
            <w:shd w:val="clear" w:color="auto" w:fill="auto"/>
            <w:noWrap/>
            <w:vAlign w:val="center"/>
            <w:hideMark/>
          </w:tcPr>
          <w:p w14:paraId="5351B71E"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19</w:t>
            </w:r>
          </w:p>
        </w:tc>
        <w:tc>
          <w:tcPr>
            <w:tcW w:w="3260" w:type="dxa"/>
            <w:tcBorders>
              <w:top w:val="nil"/>
              <w:left w:val="nil"/>
              <w:bottom w:val="nil"/>
              <w:right w:val="nil"/>
            </w:tcBorders>
            <w:shd w:val="clear" w:color="auto" w:fill="auto"/>
            <w:noWrap/>
            <w:vAlign w:val="center"/>
            <w:hideMark/>
          </w:tcPr>
          <w:p w14:paraId="00EAD0BF"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4.458.689,16</w:t>
            </w:r>
          </w:p>
        </w:tc>
        <w:tc>
          <w:tcPr>
            <w:tcW w:w="2977" w:type="dxa"/>
            <w:tcBorders>
              <w:top w:val="nil"/>
              <w:left w:val="nil"/>
              <w:bottom w:val="nil"/>
              <w:right w:val="nil"/>
            </w:tcBorders>
            <w:shd w:val="clear" w:color="auto" w:fill="auto"/>
            <w:noWrap/>
            <w:vAlign w:val="center"/>
            <w:hideMark/>
          </w:tcPr>
          <w:p w14:paraId="4B56D081"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5C89C9A4"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445.868,85</w:t>
            </w:r>
          </w:p>
        </w:tc>
        <w:tc>
          <w:tcPr>
            <w:tcW w:w="3543" w:type="dxa"/>
            <w:tcBorders>
              <w:top w:val="nil"/>
              <w:left w:val="nil"/>
              <w:bottom w:val="nil"/>
              <w:right w:val="nil"/>
            </w:tcBorders>
            <w:shd w:val="clear" w:color="auto" w:fill="auto"/>
            <w:noWrap/>
            <w:vAlign w:val="center"/>
            <w:hideMark/>
          </w:tcPr>
          <w:p w14:paraId="2D0989A5"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4.012.820,31</w:t>
            </w:r>
          </w:p>
        </w:tc>
      </w:tr>
      <w:tr w:rsidR="00783461" w:rsidRPr="003D3791" w14:paraId="3380FB59" w14:textId="77777777" w:rsidTr="00732ED7">
        <w:trPr>
          <w:trHeight w:val="300"/>
        </w:trPr>
        <w:tc>
          <w:tcPr>
            <w:tcW w:w="2694" w:type="dxa"/>
            <w:tcBorders>
              <w:top w:val="nil"/>
              <w:left w:val="nil"/>
              <w:bottom w:val="nil"/>
              <w:right w:val="nil"/>
            </w:tcBorders>
            <w:shd w:val="clear" w:color="auto" w:fill="auto"/>
            <w:noWrap/>
            <w:vAlign w:val="center"/>
            <w:hideMark/>
          </w:tcPr>
          <w:p w14:paraId="29D19BFE"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20</w:t>
            </w:r>
          </w:p>
        </w:tc>
        <w:tc>
          <w:tcPr>
            <w:tcW w:w="3260" w:type="dxa"/>
            <w:tcBorders>
              <w:top w:val="nil"/>
              <w:left w:val="nil"/>
              <w:bottom w:val="nil"/>
              <w:right w:val="nil"/>
            </w:tcBorders>
            <w:shd w:val="clear" w:color="auto" w:fill="auto"/>
            <w:noWrap/>
            <w:vAlign w:val="center"/>
            <w:hideMark/>
          </w:tcPr>
          <w:p w14:paraId="695A2E8C"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780.773,55</w:t>
            </w:r>
          </w:p>
        </w:tc>
        <w:tc>
          <w:tcPr>
            <w:tcW w:w="2977" w:type="dxa"/>
            <w:tcBorders>
              <w:top w:val="nil"/>
              <w:left w:val="nil"/>
              <w:bottom w:val="nil"/>
              <w:right w:val="nil"/>
            </w:tcBorders>
            <w:shd w:val="clear" w:color="auto" w:fill="auto"/>
            <w:noWrap/>
            <w:vAlign w:val="center"/>
            <w:hideMark/>
          </w:tcPr>
          <w:p w14:paraId="43B89171"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1AB07B10"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78.077,30</w:t>
            </w:r>
          </w:p>
        </w:tc>
        <w:tc>
          <w:tcPr>
            <w:tcW w:w="3543" w:type="dxa"/>
            <w:tcBorders>
              <w:top w:val="nil"/>
              <w:left w:val="nil"/>
              <w:bottom w:val="nil"/>
              <w:right w:val="nil"/>
            </w:tcBorders>
            <w:shd w:val="clear" w:color="auto" w:fill="auto"/>
            <w:noWrap/>
            <w:vAlign w:val="center"/>
            <w:hideMark/>
          </w:tcPr>
          <w:p w14:paraId="7F6DD493"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702.696,25</w:t>
            </w:r>
          </w:p>
        </w:tc>
      </w:tr>
      <w:tr w:rsidR="00783461" w:rsidRPr="003D3791" w14:paraId="5B305F15" w14:textId="77777777" w:rsidTr="00732ED7">
        <w:trPr>
          <w:trHeight w:val="300"/>
        </w:trPr>
        <w:tc>
          <w:tcPr>
            <w:tcW w:w="2694" w:type="dxa"/>
            <w:tcBorders>
              <w:top w:val="nil"/>
              <w:left w:val="nil"/>
              <w:bottom w:val="nil"/>
              <w:right w:val="nil"/>
            </w:tcBorders>
            <w:shd w:val="clear" w:color="auto" w:fill="auto"/>
            <w:noWrap/>
            <w:vAlign w:val="center"/>
            <w:hideMark/>
          </w:tcPr>
          <w:p w14:paraId="76374731"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21</w:t>
            </w:r>
          </w:p>
        </w:tc>
        <w:tc>
          <w:tcPr>
            <w:tcW w:w="3260" w:type="dxa"/>
            <w:tcBorders>
              <w:top w:val="nil"/>
              <w:left w:val="nil"/>
              <w:bottom w:val="nil"/>
              <w:right w:val="nil"/>
            </w:tcBorders>
            <w:shd w:val="clear" w:color="auto" w:fill="auto"/>
            <w:noWrap/>
            <w:vAlign w:val="center"/>
            <w:hideMark/>
          </w:tcPr>
          <w:p w14:paraId="41B3160A"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334.215,85</w:t>
            </w:r>
          </w:p>
        </w:tc>
        <w:tc>
          <w:tcPr>
            <w:tcW w:w="2977" w:type="dxa"/>
            <w:tcBorders>
              <w:top w:val="nil"/>
              <w:left w:val="nil"/>
              <w:bottom w:val="nil"/>
              <w:right w:val="nil"/>
            </w:tcBorders>
            <w:shd w:val="clear" w:color="auto" w:fill="auto"/>
            <w:noWrap/>
            <w:vAlign w:val="center"/>
            <w:hideMark/>
          </w:tcPr>
          <w:p w14:paraId="0E616590"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4981F651"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33.421,56</w:t>
            </w:r>
          </w:p>
        </w:tc>
        <w:tc>
          <w:tcPr>
            <w:tcW w:w="3543" w:type="dxa"/>
            <w:tcBorders>
              <w:top w:val="nil"/>
              <w:left w:val="nil"/>
              <w:bottom w:val="nil"/>
              <w:right w:val="nil"/>
            </w:tcBorders>
            <w:shd w:val="clear" w:color="auto" w:fill="auto"/>
            <w:noWrap/>
            <w:vAlign w:val="center"/>
            <w:hideMark/>
          </w:tcPr>
          <w:p w14:paraId="19D35353"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300.792,29</w:t>
            </w:r>
          </w:p>
        </w:tc>
      </w:tr>
      <w:tr w:rsidR="00783461" w:rsidRPr="003D3791" w14:paraId="2668644E" w14:textId="77777777" w:rsidTr="00732ED7">
        <w:trPr>
          <w:trHeight w:val="300"/>
        </w:trPr>
        <w:tc>
          <w:tcPr>
            <w:tcW w:w="2694" w:type="dxa"/>
            <w:tcBorders>
              <w:top w:val="nil"/>
              <w:left w:val="nil"/>
              <w:bottom w:val="nil"/>
              <w:right w:val="nil"/>
            </w:tcBorders>
            <w:shd w:val="clear" w:color="auto" w:fill="auto"/>
            <w:noWrap/>
            <w:vAlign w:val="center"/>
            <w:hideMark/>
          </w:tcPr>
          <w:p w14:paraId="69BC90DA"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22</w:t>
            </w:r>
          </w:p>
        </w:tc>
        <w:tc>
          <w:tcPr>
            <w:tcW w:w="3260" w:type="dxa"/>
            <w:tcBorders>
              <w:top w:val="nil"/>
              <w:left w:val="nil"/>
              <w:bottom w:val="nil"/>
              <w:right w:val="nil"/>
            </w:tcBorders>
            <w:shd w:val="clear" w:color="auto" w:fill="auto"/>
            <w:noWrap/>
            <w:vAlign w:val="center"/>
            <w:hideMark/>
          </w:tcPr>
          <w:p w14:paraId="020DEE70"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577.971,79</w:t>
            </w:r>
          </w:p>
        </w:tc>
        <w:tc>
          <w:tcPr>
            <w:tcW w:w="2977" w:type="dxa"/>
            <w:tcBorders>
              <w:top w:val="nil"/>
              <w:left w:val="nil"/>
              <w:bottom w:val="nil"/>
              <w:right w:val="nil"/>
            </w:tcBorders>
            <w:shd w:val="clear" w:color="auto" w:fill="auto"/>
            <w:noWrap/>
            <w:vAlign w:val="center"/>
            <w:hideMark/>
          </w:tcPr>
          <w:p w14:paraId="6B810019"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4EEDAEE0"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57.797,06</w:t>
            </w:r>
          </w:p>
        </w:tc>
        <w:tc>
          <w:tcPr>
            <w:tcW w:w="3543" w:type="dxa"/>
            <w:tcBorders>
              <w:top w:val="nil"/>
              <w:left w:val="nil"/>
              <w:bottom w:val="nil"/>
              <w:right w:val="nil"/>
            </w:tcBorders>
            <w:shd w:val="clear" w:color="auto" w:fill="auto"/>
            <w:noWrap/>
            <w:vAlign w:val="center"/>
            <w:hideMark/>
          </w:tcPr>
          <w:p w14:paraId="0F5AB898"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520.174,73</w:t>
            </w:r>
          </w:p>
        </w:tc>
      </w:tr>
      <w:tr w:rsidR="00783461" w:rsidRPr="003D3791" w14:paraId="79BA1FEC" w14:textId="77777777" w:rsidTr="00732ED7">
        <w:trPr>
          <w:trHeight w:val="300"/>
        </w:trPr>
        <w:tc>
          <w:tcPr>
            <w:tcW w:w="2694" w:type="dxa"/>
            <w:tcBorders>
              <w:top w:val="nil"/>
              <w:left w:val="nil"/>
              <w:bottom w:val="nil"/>
              <w:right w:val="nil"/>
            </w:tcBorders>
            <w:shd w:val="clear" w:color="auto" w:fill="auto"/>
            <w:noWrap/>
            <w:vAlign w:val="center"/>
            <w:hideMark/>
          </w:tcPr>
          <w:p w14:paraId="0DDCC9F3"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23</w:t>
            </w:r>
          </w:p>
        </w:tc>
        <w:tc>
          <w:tcPr>
            <w:tcW w:w="3260" w:type="dxa"/>
            <w:tcBorders>
              <w:top w:val="nil"/>
              <w:left w:val="nil"/>
              <w:bottom w:val="nil"/>
              <w:right w:val="nil"/>
            </w:tcBorders>
            <w:shd w:val="clear" w:color="auto" w:fill="auto"/>
            <w:noWrap/>
            <w:vAlign w:val="center"/>
            <w:hideMark/>
          </w:tcPr>
          <w:p w14:paraId="6A3C18EF"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447.039,97</w:t>
            </w:r>
          </w:p>
        </w:tc>
        <w:tc>
          <w:tcPr>
            <w:tcW w:w="2977" w:type="dxa"/>
            <w:tcBorders>
              <w:top w:val="nil"/>
              <w:left w:val="nil"/>
              <w:bottom w:val="nil"/>
              <w:right w:val="nil"/>
            </w:tcBorders>
            <w:shd w:val="clear" w:color="auto" w:fill="auto"/>
            <w:noWrap/>
            <w:vAlign w:val="center"/>
            <w:hideMark/>
          </w:tcPr>
          <w:p w14:paraId="1E9588BB"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69AB23BB"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44.703,94</w:t>
            </w:r>
          </w:p>
        </w:tc>
        <w:tc>
          <w:tcPr>
            <w:tcW w:w="3543" w:type="dxa"/>
            <w:tcBorders>
              <w:top w:val="nil"/>
              <w:left w:val="nil"/>
              <w:bottom w:val="nil"/>
              <w:right w:val="nil"/>
            </w:tcBorders>
            <w:shd w:val="clear" w:color="auto" w:fill="auto"/>
            <w:noWrap/>
            <w:vAlign w:val="center"/>
            <w:hideMark/>
          </w:tcPr>
          <w:p w14:paraId="6586A6CE"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402.336,03</w:t>
            </w:r>
          </w:p>
        </w:tc>
      </w:tr>
      <w:tr w:rsidR="00783461" w:rsidRPr="003D3791" w14:paraId="18896867" w14:textId="77777777" w:rsidTr="00732ED7">
        <w:trPr>
          <w:trHeight w:val="300"/>
        </w:trPr>
        <w:tc>
          <w:tcPr>
            <w:tcW w:w="2694" w:type="dxa"/>
            <w:tcBorders>
              <w:top w:val="nil"/>
              <w:left w:val="nil"/>
              <w:bottom w:val="nil"/>
              <w:right w:val="nil"/>
            </w:tcBorders>
            <w:shd w:val="clear" w:color="auto" w:fill="auto"/>
            <w:noWrap/>
            <w:vAlign w:val="center"/>
            <w:hideMark/>
          </w:tcPr>
          <w:p w14:paraId="7467A0EF"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24</w:t>
            </w:r>
          </w:p>
        </w:tc>
        <w:tc>
          <w:tcPr>
            <w:tcW w:w="3260" w:type="dxa"/>
            <w:tcBorders>
              <w:top w:val="nil"/>
              <w:left w:val="nil"/>
              <w:bottom w:val="nil"/>
              <w:right w:val="nil"/>
            </w:tcBorders>
            <w:shd w:val="clear" w:color="auto" w:fill="auto"/>
            <w:noWrap/>
            <w:vAlign w:val="center"/>
            <w:hideMark/>
          </w:tcPr>
          <w:p w14:paraId="4695E8EF"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5.536.135,44</w:t>
            </w:r>
          </w:p>
        </w:tc>
        <w:tc>
          <w:tcPr>
            <w:tcW w:w="2977" w:type="dxa"/>
            <w:tcBorders>
              <w:top w:val="nil"/>
              <w:left w:val="nil"/>
              <w:bottom w:val="nil"/>
              <w:right w:val="nil"/>
            </w:tcBorders>
            <w:shd w:val="clear" w:color="auto" w:fill="auto"/>
            <w:noWrap/>
            <w:vAlign w:val="center"/>
            <w:hideMark/>
          </w:tcPr>
          <w:p w14:paraId="0015F943"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nil"/>
              <w:right w:val="nil"/>
            </w:tcBorders>
            <w:shd w:val="clear" w:color="auto" w:fill="auto"/>
            <w:noWrap/>
            <w:vAlign w:val="center"/>
            <w:hideMark/>
          </w:tcPr>
          <w:p w14:paraId="66082A0C"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553.613,21</w:t>
            </w:r>
          </w:p>
        </w:tc>
        <w:tc>
          <w:tcPr>
            <w:tcW w:w="3543" w:type="dxa"/>
            <w:tcBorders>
              <w:top w:val="nil"/>
              <w:left w:val="nil"/>
              <w:bottom w:val="nil"/>
              <w:right w:val="nil"/>
            </w:tcBorders>
            <w:shd w:val="clear" w:color="auto" w:fill="auto"/>
            <w:noWrap/>
            <w:vAlign w:val="center"/>
            <w:hideMark/>
          </w:tcPr>
          <w:p w14:paraId="6241FCBA"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4.982.522,23</w:t>
            </w:r>
          </w:p>
        </w:tc>
      </w:tr>
      <w:tr w:rsidR="00783461" w:rsidRPr="003D3791" w14:paraId="4A4E1185" w14:textId="77777777" w:rsidTr="00732ED7">
        <w:trPr>
          <w:trHeight w:val="300"/>
        </w:trPr>
        <w:tc>
          <w:tcPr>
            <w:tcW w:w="2694" w:type="dxa"/>
            <w:tcBorders>
              <w:top w:val="nil"/>
              <w:left w:val="nil"/>
              <w:bottom w:val="single" w:sz="4" w:space="0" w:color="auto"/>
              <w:right w:val="nil"/>
            </w:tcBorders>
            <w:shd w:val="clear" w:color="auto" w:fill="auto"/>
            <w:noWrap/>
            <w:vAlign w:val="center"/>
            <w:hideMark/>
          </w:tcPr>
          <w:p w14:paraId="6A77026B" w14:textId="77777777" w:rsidR="00783461" w:rsidRPr="003D3791" w:rsidRDefault="00783461" w:rsidP="00732ED7">
            <w:pPr>
              <w:rPr>
                <w:rFonts w:ascii="Arial" w:hAnsi="Arial" w:cs="Arial"/>
                <w:color w:val="000000"/>
                <w:sz w:val="20"/>
              </w:rPr>
            </w:pPr>
            <w:r w:rsidRPr="003D3791">
              <w:rPr>
                <w:rFonts w:ascii="Arial" w:hAnsi="Arial" w:cs="Arial"/>
                <w:color w:val="000000"/>
                <w:sz w:val="20"/>
              </w:rPr>
              <w:t>Empresa 25</w:t>
            </w:r>
          </w:p>
        </w:tc>
        <w:tc>
          <w:tcPr>
            <w:tcW w:w="3260" w:type="dxa"/>
            <w:tcBorders>
              <w:top w:val="nil"/>
              <w:left w:val="nil"/>
              <w:bottom w:val="single" w:sz="4" w:space="0" w:color="auto"/>
              <w:right w:val="nil"/>
            </w:tcBorders>
            <w:shd w:val="clear" w:color="auto" w:fill="auto"/>
            <w:noWrap/>
            <w:vAlign w:val="center"/>
            <w:hideMark/>
          </w:tcPr>
          <w:p w14:paraId="72A4BC41"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3.934.776,19</w:t>
            </w:r>
          </w:p>
        </w:tc>
        <w:tc>
          <w:tcPr>
            <w:tcW w:w="2977" w:type="dxa"/>
            <w:tcBorders>
              <w:top w:val="nil"/>
              <w:left w:val="nil"/>
              <w:bottom w:val="single" w:sz="4" w:space="0" w:color="auto"/>
              <w:right w:val="nil"/>
            </w:tcBorders>
            <w:shd w:val="clear" w:color="auto" w:fill="auto"/>
            <w:noWrap/>
            <w:vAlign w:val="center"/>
            <w:hideMark/>
          </w:tcPr>
          <w:p w14:paraId="34D6ED58" w14:textId="77777777" w:rsidR="00783461" w:rsidRPr="003D3791" w:rsidRDefault="00783461" w:rsidP="00732ED7">
            <w:pPr>
              <w:jc w:val="center"/>
              <w:rPr>
                <w:rFonts w:ascii="Arial" w:hAnsi="Arial" w:cs="Arial"/>
                <w:color w:val="000000"/>
                <w:sz w:val="20"/>
              </w:rPr>
            </w:pPr>
            <w:r w:rsidRPr="003D3791">
              <w:rPr>
                <w:rFonts w:ascii="Arial" w:hAnsi="Arial" w:cs="Arial"/>
                <w:color w:val="000000"/>
                <w:sz w:val="20"/>
              </w:rPr>
              <w:t>-</w:t>
            </w:r>
          </w:p>
        </w:tc>
        <w:tc>
          <w:tcPr>
            <w:tcW w:w="2268" w:type="dxa"/>
            <w:tcBorders>
              <w:top w:val="nil"/>
              <w:left w:val="nil"/>
              <w:bottom w:val="single" w:sz="4" w:space="0" w:color="auto"/>
              <w:right w:val="nil"/>
            </w:tcBorders>
            <w:shd w:val="clear" w:color="auto" w:fill="auto"/>
            <w:noWrap/>
            <w:vAlign w:val="center"/>
            <w:hideMark/>
          </w:tcPr>
          <w:p w14:paraId="345C19D1"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393.277,42</w:t>
            </w:r>
          </w:p>
        </w:tc>
        <w:tc>
          <w:tcPr>
            <w:tcW w:w="3543" w:type="dxa"/>
            <w:tcBorders>
              <w:top w:val="nil"/>
              <w:left w:val="nil"/>
              <w:bottom w:val="single" w:sz="4" w:space="0" w:color="auto"/>
              <w:right w:val="nil"/>
            </w:tcBorders>
            <w:shd w:val="clear" w:color="auto" w:fill="auto"/>
            <w:noWrap/>
            <w:vAlign w:val="center"/>
            <w:hideMark/>
          </w:tcPr>
          <w:p w14:paraId="4C574064" w14:textId="77777777" w:rsidR="00783461" w:rsidRPr="003D3791" w:rsidRDefault="00783461" w:rsidP="00732ED7">
            <w:pPr>
              <w:jc w:val="right"/>
              <w:rPr>
                <w:rFonts w:ascii="Arial" w:hAnsi="Arial" w:cs="Arial"/>
                <w:color w:val="000000"/>
                <w:sz w:val="20"/>
              </w:rPr>
            </w:pPr>
            <w:r w:rsidRPr="003D3791">
              <w:rPr>
                <w:rFonts w:ascii="Arial" w:hAnsi="Arial" w:cs="Arial"/>
                <w:color w:val="000000"/>
                <w:sz w:val="20"/>
              </w:rPr>
              <w:t>3.481.298,77</w:t>
            </w:r>
          </w:p>
        </w:tc>
      </w:tr>
      <w:tr w:rsidR="00783461" w:rsidRPr="003D3791" w14:paraId="35536CCD" w14:textId="77777777" w:rsidTr="00732ED7">
        <w:trPr>
          <w:trHeight w:val="300"/>
        </w:trPr>
        <w:tc>
          <w:tcPr>
            <w:tcW w:w="2694" w:type="dxa"/>
            <w:tcBorders>
              <w:top w:val="single" w:sz="4" w:space="0" w:color="auto"/>
              <w:left w:val="nil"/>
              <w:bottom w:val="single" w:sz="4" w:space="0" w:color="auto"/>
              <w:right w:val="nil"/>
            </w:tcBorders>
            <w:shd w:val="clear" w:color="DDEBF7" w:fill="DDEBF7"/>
            <w:noWrap/>
            <w:vAlign w:val="center"/>
            <w:hideMark/>
          </w:tcPr>
          <w:p w14:paraId="30030950" w14:textId="77777777" w:rsidR="00783461" w:rsidRPr="003D3791" w:rsidRDefault="00783461" w:rsidP="00732ED7">
            <w:pPr>
              <w:rPr>
                <w:rFonts w:ascii="Arial" w:hAnsi="Arial" w:cs="Arial"/>
                <w:b/>
                <w:bCs/>
                <w:color w:val="000000"/>
                <w:sz w:val="20"/>
              </w:rPr>
            </w:pPr>
            <w:r w:rsidRPr="003D3791">
              <w:rPr>
                <w:rFonts w:ascii="Arial" w:hAnsi="Arial" w:cs="Arial"/>
                <w:b/>
                <w:bCs/>
                <w:color w:val="000000"/>
                <w:sz w:val="20"/>
              </w:rPr>
              <w:t>Total Geral</w:t>
            </w:r>
          </w:p>
        </w:tc>
        <w:tc>
          <w:tcPr>
            <w:tcW w:w="3260" w:type="dxa"/>
            <w:tcBorders>
              <w:top w:val="single" w:sz="4" w:space="0" w:color="auto"/>
              <w:left w:val="nil"/>
              <w:bottom w:val="single" w:sz="4" w:space="0" w:color="auto"/>
              <w:right w:val="nil"/>
            </w:tcBorders>
            <w:shd w:val="clear" w:color="DDEBF7" w:fill="DDEBF7"/>
            <w:noWrap/>
            <w:vAlign w:val="center"/>
            <w:hideMark/>
          </w:tcPr>
          <w:p w14:paraId="7F890E69" w14:textId="77777777" w:rsidR="00783461" w:rsidRPr="003D3791" w:rsidRDefault="00783461" w:rsidP="00732ED7">
            <w:pPr>
              <w:jc w:val="right"/>
              <w:rPr>
                <w:rFonts w:ascii="Arial" w:hAnsi="Arial" w:cs="Arial"/>
                <w:b/>
                <w:bCs/>
                <w:color w:val="000000"/>
                <w:sz w:val="20"/>
              </w:rPr>
            </w:pPr>
            <w:r w:rsidRPr="003D3791">
              <w:rPr>
                <w:rFonts w:ascii="Arial" w:hAnsi="Arial" w:cs="Arial"/>
                <w:b/>
                <w:bCs/>
                <w:color w:val="000000"/>
                <w:sz w:val="20"/>
              </w:rPr>
              <w:t>150.168.092,59</w:t>
            </w:r>
          </w:p>
        </w:tc>
        <w:tc>
          <w:tcPr>
            <w:tcW w:w="2977" w:type="dxa"/>
            <w:tcBorders>
              <w:top w:val="single" w:sz="4" w:space="0" w:color="auto"/>
              <w:left w:val="nil"/>
              <w:bottom w:val="single" w:sz="4" w:space="0" w:color="auto"/>
              <w:right w:val="nil"/>
            </w:tcBorders>
            <w:shd w:val="clear" w:color="DDEBF7" w:fill="DDEBF7"/>
            <w:noWrap/>
            <w:vAlign w:val="center"/>
            <w:hideMark/>
          </w:tcPr>
          <w:p w14:paraId="47FAD5DE" w14:textId="77777777" w:rsidR="00783461" w:rsidRPr="003D3791" w:rsidRDefault="00783461" w:rsidP="00732ED7">
            <w:pPr>
              <w:jc w:val="center"/>
              <w:rPr>
                <w:rFonts w:ascii="Arial" w:hAnsi="Arial" w:cs="Arial"/>
                <w:b/>
                <w:bCs/>
                <w:color w:val="000000"/>
                <w:sz w:val="20"/>
              </w:rPr>
            </w:pPr>
            <w:r w:rsidRPr="003D3791">
              <w:rPr>
                <w:rFonts w:ascii="Arial" w:hAnsi="Arial" w:cs="Arial"/>
                <w:b/>
                <w:bCs/>
                <w:color w:val="000000"/>
                <w:sz w:val="20"/>
              </w:rPr>
              <w:t>-</w:t>
            </w:r>
          </w:p>
        </w:tc>
        <w:tc>
          <w:tcPr>
            <w:tcW w:w="2268" w:type="dxa"/>
            <w:tcBorders>
              <w:top w:val="single" w:sz="4" w:space="0" w:color="auto"/>
              <w:left w:val="nil"/>
              <w:bottom w:val="single" w:sz="4" w:space="0" w:color="auto"/>
              <w:right w:val="nil"/>
            </w:tcBorders>
            <w:shd w:val="clear" w:color="DDEBF7" w:fill="DDEBF7"/>
            <w:noWrap/>
            <w:vAlign w:val="center"/>
            <w:hideMark/>
          </w:tcPr>
          <w:p w14:paraId="7CEB8C12" w14:textId="77777777" w:rsidR="00783461" w:rsidRPr="003D3791" w:rsidRDefault="00783461" w:rsidP="00732ED7">
            <w:pPr>
              <w:jc w:val="right"/>
              <w:rPr>
                <w:rFonts w:ascii="Arial" w:hAnsi="Arial" w:cs="Arial"/>
                <w:b/>
                <w:bCs/>
                <w:color w:val="000000"/>
                <w:sz w:val="20"/>
              </w:rPr>
            </w:pPr>
            <w:r w:rsidRPr="003D3791">
              <w:rPr>
                <w:rFonts w:ascii="Arial" w:hAnsi="Arial" w:cs="Arial"/>
                <w:b/>
                <w:bCs/>
                <w:color w:val="000000"/>
                <w:sz w:val="20"/>
              </w:rPr>
              <w:t>15.012.768,42</w:t>
            </w:r>
          </w:p>
        </w:tc>
        <w:tc>
          <w:tcPr>
            <w:tcW w:w="3543" w:type="dxa"/>
            <w:tcBorders>
              <w:top w:val="single" w:sz="4" w:space="0" w:color="auto"/>
              <w:left w:val="nil"/>
              <w:bottom w:val="single" w:sz="4" w:space="0" w:color="auto"/>
              <w:right w:val="nil"/>
            </w:tcBorders>
            <w:shd w:val="clear" w:color="DDEBF7" w:fill="DDEBF7"/>
            <w:noWrap/>
            <w:vAlign w:val="center"/>
            <w:hideMark/>
          </w:tcPr>
          <w:p w14:paraId="73699A5A" w14:textId="77777777" w:rsidR="00783461" w:rsidRPr="003D3791" w:rsidRDefault="00783461" w:rsidP="00732ED7">
            <w:pPr>
              <w:jc w:val="right"/>
              <w:rPr>
                <w:rFonts w:ascii="Arial" w:hAnsi="Arial" w:cs="Arial"/>
                <w:b/>
                <w:bCs/>
                <w:color w:val="000000"/>
                <w:sz w:val="20"/>
              </w:rPr>
            </w:pPr>
            <w:r w:rsidRPr="003D3791">
              <w:rPr>
                <w:rFonts w:ascii="Arial" w:hAnsi="Arial" w:cs="Arial"/>
                <w:b/>
                <w:bCs/>
                <w:color w:val="000000"/>
                <w:sz w:val="20"/>
              </w:rPr>
              <w:t>135.102.120,84</w:t>
            </w:r>
          </w:p>
        </w:tc>
      </w:tr>
    </w:tbl>
    <w:p w14:paraId="5C81C2EC" w14:textId="77777777" w:rsidR="00783461" w:rsidRDefault="00783461" w:rsidP="00783461">
      <w:pPr>
        <w:spacing w:line="360" w:lineRule="auto"/>
        <w:jc w:val="both"/>
        <w:rPr>
          <w:rFonts w:ascii="Arial" w:hAnsi="Arial" w:cs="Arial"/>
          <w:sz w:val="24"/>
          <w:szCs w:val="24"/>
        </w:rPr>
      </w:pPr>
    </w:p>
    <w:p w14:paraId="791FB864" w14:textId="77777777" w:rsidR="00783461" w:rsidRDefault="00783461" w:rsidP="00783461">
      <w:pPr>
        <w:spacing w:line="360" w:lineRule="auto"/>
        <w:ind w:firstLine="851"/>
        <w:jc w:val="both"/>
        <w:rPr>
          <w:rFonts w:ascii="Arial" w:hAnsi="Arial" w:cs="Arial"/>
          <w:sz w:val="24"/>
          <w:szCs w:val="24"/>
        </w:rPr>
        <w:sectPr w:rsidR="00783461" w:rsidSect="003D3791">
          <w:pgSz w:w="16840" w:h="11900" w:orient="landscape"/>
          <w:pgMar w:top="1701" w:right="2268" w:bottom="851" w:left="1134" w:header="567" w:footer="284" w:gutter="0"/>
          <w:cols w:space="708"/>
          <w:docGrid w:linePitch="360"/>
        </w:sectPr>
      </w:pPr>
    </w:p>
    <w:p w14:paraId="50F1BA4E" w14:textId="77777777" w:rsidR="00783461" w:rsidRDefault="00783461" w:rsidP="00783461">
      <w:pPr>
        <w:spacing w:line="360" w:lineRule="auto"/>
        <w:ind w:firstLine="851"/>
        <w:jc w:val="both"/>
        <w:rPr>
          <w:rFonts w:ascii="Arial" w:hAnsi="Arial" w:cs="Arial"/>
          <w:sz w:val="24"/>
          <w:szCs w:val="24"/>
        </w:rPr>
      </w:pPr>
    </w:p>
    <w:p w14:paraId="62D2EDCB" w14:textId="77777777" w:rsidR="00783461" w:rsidRDefault="00783461" w:rsidP="00783461">
      <w:pPr>
        <w:spacing w:line="360" w:lineRule="auto"/>
        <w:ind w:firstLine="851"/>
        <w:jc w:val="both"/>
        <w:rPr>
          <w:rFonts w:ascii="Arial" w:hAnsi="Arial" w:cs="Arial"/>
          <w:sz w:val="24"/>
          <w:szCs w:val="24"/>
        </w:rPr>
      </w:pPr>
      <w:r w:rsidRPr="00625001">
        <w:rPr>
          <w:rFonts w:ascii="Arial" w:hAnsi="Arial" w:cs="Arial"/>
          <w:sz w:val="24"/>
          <w:szCs w:val="24"/>
        </w:rPr>
        <w:t>Partindo-se para a análise das informações das auditorias de quitação realizadas em 2018 tem-se as seguintes observações:</w:t>
      </w:r>
    </w:p>
    <w:p w14:paraId="50F9652E" w14:textId="77777777" w:rsidR="00783461" w:rsidRPr="00625001" w:rsidRDefault="00783461" w:rsidP="00783461">
      <w:pPr>
        <w:spacing w:line="360" w:lineRule="auto"/>
        <w:ind w:firstLine="851"/>
        <w:jc w:val="both"/>
        <w:rPr>
          <w:rFonts w:ascii="Arial" w:hAnsi="Arial" w:cs="Arial"/>
          <w:sz w:val="24"/>
          <w:szCs w:val="24"/>
        </w:rPr>
      </w:pPr>
    </w:p>
    <w:p w14:paraId="0AAB66C9" w14:textId="61982D3E" w:rsidR="00783461" w:rsidRPr="00625001" w:rsidRDefault="00783461" w:rsidP="00783461">
      <w:pPr>
        <w:pStyle w:val="PargrafodaLista"/>
        <w:numPr>
          <w:ilvl w:val="0"/>
          <w:numId w:val="47"/>
        </w:numPr>
        <w:spacing w:after="200" w:line="360" w:lineRule="auto"/>
        <w:ind w:left="958" w:hanging="391"/>
        <w:jc w:val="both"/>
        <w:rPr>
          <w:rFonts w:ascii="Arial" w:hAnsi="Arial" w:cs="Arial"/>
          <w:sz w:val="24"/>
          <w:szCs w:val="24"/>
        </w:rPr>
      </w:pPr>
      <w:bookmarkStart w:id="121" w:name="_Ref29398336"/>
      <w:r w:rsidRPr="00625001">
        <w:rPr>
          <w:rFonts w:ascii="Arial" w:hAnsi="Arial" w:cs="Arial"/>
          <w:sz w:val="24"/>
          <w:szCs w:val="24"/>
        </w:rPr>
        <w:t>Dos 303</w:t>
      </w:r>
      <w:r w:rsidR="004068AB">
        <w:rPr>
          <w:rFonts w:ascii="Arial" w:hAnsi="Arial" w:cs="Arial"/>
          <w:sz w:val="24"/>
          <w:szCs w:val="24"/>
        </w:rPr>
        <w:t xml:space="preserve"> (trezentos e três)</w:t>
      </w:r>
      <w:r w:rsidRPr="00625001">
        <w:rPr>
          <w:rFonts w:ascii="Arial" w:hAnsi="Arial" w:cs="Arial"/>
          <w:sz w:val="24"/>
          <w:szCs w:val="24"/>
        </w:rPr>
        <w:t xml:space="preserve"> CNPJs que constam do relatório de auditoria de 2018, 88</w:t>
      </w:r>
      <w:r w:rsidR="008D39CA">
        <w:rPr>
          <w:rFonts w:ascii="Arial" w:hAnsi="Arial" w:cs="Arial"/>
          <w:sz w:val="24"/>
          <w:szCs w:val="24"/>
        </w:rPr>
        <w:t xml:space="preserve"> (oitenta e oito)</w:t>
      </w:r>
      <w:r w:rsidRPr="00625001">
        <w:rPr>
          <w:rFonts w:ascii="Arial" w:hAnsi="Arial" w:cs="Arial"/>
          <w:sz w:val="24"/>
          <w:szCs w:val="24"/>
        </w:rPr>
        <w:t xml:space="preserve"> deles continham ao menos um período em atraso na entrega de documentação para as auditorias de quitação (já descontado período de carência). Lembra-se que tal inadimplência é motivo de perda do desconto sobre o saldo devedor do benefício. Devido aos muitos casos com atrasos, houve a publicação do Decreto n</w:t>
      </w:r>
      <w:r w:rsidR="008D39CA">
        <w:rPr>
          <w:rFonts w:ascii="Arial" w:hAnsi="Arial" w:cs="Arial"/>
          <w:sz w:val="24"/>
          <w:szCs w:val="24"/>
        </w:rPr>
        <w:t>º</w:t>
      </w:r>
      <w:r w:rsidRPr="00625001">
        <w:rPr>
          <w:rFonts w:ascii="Arial" w:hAnsi="Arial" w:cs="Arial"/>
          <w:sz w:val="24"/>
          <w:szCs w:val="24"/>
        </w:rPr>
        <w:t xml:space="preserve"> 9.179</w:t>
      </w:r>
      <w:r>
        <w:rPr>
          <w:rFonts w:ascii="Arial" w:hAnsi="Arial" w:cs="Arial"/>
          <w:sz w:val="24"/>
          <w:szCs w:val="24"/>
        </w:rPr>
        <w:t xml:space="preserve">, de </w:t>
      </w:r>
      <w:r w:rsidRPr="00625001">
        <w:rPr>
          <w:rFonts w:ascii="Arial" w:hAnsi="Arial" w:cs="Arial"/>
          <w:sz w:val="24"/>
          <w:szCs w:val="24"/>
        </w:rPr>
        <w:t>2018</w:t>
      </w:r>
      <w:r>
        <w:rPr>
          <w:rFonts w:ascii="Arial" w:hAnsi="Arial" w:cs="Arial"/>
          <w:sz w:val="24"/>
          <w:szCs w:val="24"/>
        </w:rPr>
        <w:t>,</w:t>
      </w:r>
      <w:r w:rsidRPr="00625001">
        <w:rPr>
          <w:rFonts w:ascii="Arial" w:hAnsi="Arial" w:cs="Arial"/>
          <w:sz w:val="24"/>
          <w:szCs w:val="24"/>
        </w:rPr>
        <w:t xml:space="preserve"> que permitiu reabertura de novo prazo para que as empresas apresentassem a documentação num prazo de 60 dias sem penalidades</w:t>
      </w:r>
      <w:r w:rsidRPr="00625001">
        <w:rPr>
          <w:rStyle w:val="Refdenotaderodap"/>
          <w:rFonts w:ascii="Arial" w:hAnsi="Arial" w:cs="Arial"/>
          <w:sz w:val="24"/>
          <w:szCs w:val="24"/>
        </w:rPr>
        <w:footnoteReference w:id="73"/>
      </w:r>
      <w:r w:rsidRPr="00625001">
        <w:rPr>
          <w:rFonts w:ascii="Arial" w:hAnsi="Arial" w:cs="Arial"/>
          <w:sz w:val="24"/>
          <w:szCs w:val="24"/>
        </w:rPr>
        <w:t>;</w:t>
      </w:r>
    </w:p>
    <w:p w14:paraId="6C92F506" w14:textId="77777777" w:rsidR="00783461" w:rsidRPr="00625001" w:rsidRDefault="00783461" w:rsidP="00783461">
      <w:pPr>
        <w:pStyle w:val="PargrafodaLista"/>
        <w:numPr>
          <w:ilvl w:val="0"/>
          <w:numId w:val="47"/>
        </w:numPr>
        <w:spacing w:after="200" w:line="360" w:lineRule="auto"/>
        <w:jc w:val="both"/>
        <w:rPr>
          <w:rFonts w:ascii="Arial" w:hAnsi="Arial" w:cs="Arial"/>
          <w:sz w:val="24"/>
          <w:szCs w:val="24"/>
        </w:rPr>
      </w:pPr>
      <w:r w:rsidRPr="00625001">
        <w:rPr>
          <w:rFonts w:ascii="Arial" w:hAnsi="Arial" w:cs="Arial"/>
          <w:sz w:val="24"/>
          <w:szCs w:val="24"/>
        </w:rPr>
        <w:t xml:space="preserve">Ainda, há falta de padronização no cálculo dos valores a quitar, qual seja, às vezes está contido o valor do ICMS a recolher, às vezes não; às vezes consta a antecipação, outras vezes não; ainda, às vezes é igual ao valor do desconto, somente. Ou seja, </w:t>
      </w:r>
      <w:r w:rsidRPr="00E721F9">
        <w:rPr>
          <w:rFonts w:ascii="Arial" w:hAnsi="Arial" w:cs="Arial"/>
          <w:b/>
          <w:sz w:val="24"/>
          <w:szCs w:val="24"/>
        </w:rPr>
        <w:t>o valor a quitar tem maneiras diferentes de cálculo</w:t>
      </w:r>
      <w:r w:rsidRPr="00625001">
        <w:rPr>
          <w:rFonts w:ascii="Arial" w:hAnsi="Arial" w:cs="Arial"/>
          <w:sz w:val="24"/>
          <w:szCs w:val="24"/>
        </w:rPr>
        <w:t xml:space="preserve">. Além disso, dever-se-ia ter uma coluna com uma informação das mais importantes, qual seja, a de se o valor foi quitado e o ICMS efetivamente recolhido. Essa dificuldade se explica, em parte, porque </w:t>
      </w:r>
      <w:r w:rsidRPr="00E721F9">
        <w:rPr>
          <w:rFonts w:ascii="Arial" w:hAnsi="Arial" w:cs="Arial"/>
          <w:b/>
          <w:sz w:val="24"/>
          <w:szCs w:val="24"/>
        </w:rPr>
        <w:t>o programa é operacionalizado por três atores e sem sintonia entre eles</w:t>
      </w:r>
      <w:r w:rsidRPr="00625001">
        <w:rPr>
          <w:rFonts w:ascii="Arial" w:hAnsi="Arial" w:cs="Arial"/>
          <w:sz w:val="24"/>
          <w:szCs w:val="24"/>
        </w:rPr>
        <w:t xml:space="preserve">: Secretaria de Economia, Secretaria de </w:t>
      </w:r>
      <w:r w:rsidRPr="00625001">
        <w:rPr>
          <w:rFonts w:ascii="Arial" w:hAnsi="Arial" w:cs="Arial"/>
          <w:sz w:val="24"/>
          <w:szCs w:val="24"/>
        </w:rPr>
        <w:lastRenderedPageBreak/>
        <w:t>Indústria, Comércio e Serviços e GOIASFOMENTO. Essa sintonia é essencial para operacionalização e controle do programa. Contudo, isso não ocorre.</w:t>
      </w:r>
    </w:p>
    <w:p w14:paraId="5CCED65F" w14:textId="77777777" w:rsidR="00783461" w:rsidRPr="00625001" w:rsidRDefault="00783461" w:rsidP="00783461">
      <w:pPr>
        <w:pStyle w:val="PargrafodaLista"/>
        <w:numPr>
          <w:ilvl w:val="0"/>
          <w:numId w:val="47"/>
        </w:numPr>
        <w:spacing w:after="200" w:line="360" w:lineRule="auto"/>
        <w:jc w:val="both"/>
        <w:rPr>
          <w:rFonts w:ascii="Arial" w:hAnsi="Arial" w:cs="Arial"/>
          <w:sz w:val="24"/>
          <w:szCs w:val="24"/>
        </w:rPr>
      </w:pPr>
      <w:r w:rsidRPr="00625001">
        <w:rPr>
          <w:rFonts w:ascii="Arial" w:hAnsi="Arial" w:cs="Arial"/>
          <w:sz w:val="24"/>
          <w:szCs w:val="24"/>
        </w:rPr>
        <w:t>Outro ponto observado quando se analisa processos de quitação é quanto aos fatores de desconto. Quando estes não alcançam os 100%, as empresas podem usar os 10% da antecipação (igual ao bolsa garantia no caso do FOMENTAR) para quitação do saldo devedor. Ou seja, é inócua a comprovação dos 100%, basta que seja de 90% para ter quitação integral.</w:t>
      </w:r>
    </w:p>
    <w:p w14:paraId="0602E9A2" w14:textId="77777777" w:rsidR="00783461" w:rsidRPr="00625001" w:rsidRDefault="00783461" w:rsidP="00783461">
      <w:pPr>
        <w:pStyle w:val="PargrafodaLista"/>
        <w:numPr>
          <w:ilvl w:val="0"/>
          <w:numId w:val="47"/>
        </w:numPr>
        <w:spacing w:after="200" w:line="360" w:lineRule="auto"/>
        <w:jc w:val="both"/>
        <w:rPr>
          <w:rFonts w:ascii="Arial" w:hAnsi="Arial" w:cs="Arial"/>
          <w:sz w:val="24"/>
          <w:szCs w:val="24"/>
        </w:rPr>
      </w:pPr>
      <w:r w:rsidRPr="00625001">
        <w:rPr>
          <w:rFonts w:ascii="Arial" w:hAnsi="Arial" w:cs="Arial"/>
          <w:sz w:val="24"/>
          <w:szCs w:val="24"/>
        </w:rPr>
        <w:t xml:space="preserve">Por fim, nota-se que, ao longo do tempo, </w:t>
      </w:r>
      <w:r w:rsidRPr="00E721F9">
        <w:rPr>
          <w:rFonts w:ascii="Arial" w:hAnsi="Arial" w:cs="Arial"/>
          <w:b/>
          <w:sz w:val="24"/>
          <w:szCs w:val="24"/>
        </w:rPr>
        <w:t>algumas exigências que eram comprovadas em auditorias de quitação foram retiradas via alteração da legislação</w:t>
      </w:r>
      <w:r w:rsidRPr="00625001">
        <w:rPr>
          <w:rFonts w:ascii="Arial" w:hAnsi="Arial" w:cs="Arial"/>
          <w:sz w:val="24"/>
          <w:szCs w:val="24"/>
        </w:rPr>
        <w:t xml:space="preserve">, por exemplo, </w:t>
      </w:r>
      <w:r w:rsidRPr="00E721F9">
        <w:rPr>
          <w:rFonts w:ascii="Arial" w:hAnsi="Arial" w:cs="Arial"/>
          <w:b/>
          <w:sz w:val="24"/>
          <w:szCs w:val="24"/>
        </w:rPr>
        <w:t>o cumprimento da meta de geração de empregos e de processamento de matérias primas oriundas do mercado interno estadual</w:t>
      </w:r>
      <w:r w:rsidRPr="00625001">
        <w:rPr>
          <w:rFonts w:ascii="Arial" w:hAnsi="Arial" w:cs="Arial"/>
          <w:sz w:val="24"/>
          <w:szCs w:val="24"/>
        </w:rPr>
        <w:t>. Curioso é que consta nos objetivos (e nos discursos) a geração de empregos e renda bem como a industrialização! Se consta nos objetivos não deveria ser algo objeto das metas como de fato era no início dos programas?</w:t>
      </w:r>
    </w:p>
    <w:bookmarkEnd w:id="121"/>
    <w:p w14:paraId="38C9ADA4" w14:textId="77777777" w:rsidR="00783461" w:rsidRDefault="00783461" w:rsidP="00783461">
      <w:pPr>
        <w:spacing w:line="360" w:lineRule="auto"/>
        <w:ind w:firstLine="851"/>
        <w:jc w:val="both"/>
        <w:rPr>
          <w:rFonts w:ascii="Arial" w:hAnsi="Arial" w:cs="Arial"/>
          <w:sz w:val="24"/>
          <w:szCs w:val="24"/>
        </w:rPr>
      </w:pPr>
    </w:p>
    <w:p w14:paraId="369DE41A" w14:textId="10BAAD9C" w:rsidR="003D255C" w:rsidRPr="006E07C6" w:rsidRDefault="00783461" w:rsidP="00713208">
      <w:pPr>
        <w:spacing w:line="360" w:lineRule="auto"/>
        <w:ind w:firstLine="851"/>
        <w:jc w:val="both"/>
        <w:rPr>
          <w:rFonts w:ascii="Arial" w:hAnsi="Arial" w:cs="Arial"/>
          <w:b/>
          <w:sz w:val="24"/>
          <w:szCs w:val="24"/>
        </w:rPr>
      </w:pPr>
      <w:r w:rsidRPr="00625001">
        <w:rPr>
          <w:rFonts w:ascii="Arial" w:hAnsi="Arial" w:cs="Arial"/>
          <w:sz w:val="24"/>
          <w:szCs w:val="24"/>
        </w:rPr>
        <w:t xml:space="preserve">As observações anteriores quanto às auditorias de quitação são pertinentes para os demais anos (2014 a 2017), em resumo: </w:t>
      </w:r>
      <w:r w:rsidRPr="00E721F9">
        <w:rPr>
          <w:rFonts w:ascii="Arial" w:hAnsi="Arial" w:cs="Arial"/>
          <w:b/>
          <w:sz w:val="24"/>
          <w:szCs w:val="24"/>
        </w:rPr>
        <w:t xml:space="preserve">defasagem temporal </w:t>
      </w:r>
      <w:r>
        <w:rPr>
          <w:rFonts w:ascii="Arial" w:hAnsi="Arial" w:cs="Arial"/>
          <w:b/>
          <w:sz w:val="24"/>
          <w:szCs w:val="24"/>
        </w:rPr>
        <w:t xml:space="preserve">entre </w:t>
      </w:r>
      <w:r w:rsidRPr="00E721F9">
        <w:rPr>
          <w:rFonts w:ascii="Arial" w:hAnsi="Arial" w:cs="Arial"/>
          <w:b/>
          <w:sz w:val="24"/>
          <w:szCs w:val="24"/>
        </w:rPr>
        <w:t>a auditoria efetuada e o período auditado</w:t>
      </w:r>
      <w:r w:rsidRPr="00625001">
        <w:rPr>
          <w:rFonts w:ascii="Arial" w:hAnsi="Arial" w:cs="Arial"/>
          <w:sz w:val="24"/>
          <w:szCs w:val="24"/>
        </w:rPr>
        <w:t xml:space="preserve"> (normalmente tendo períodos que remontam 2007); por algum motivo, apesar da defasagem, o direito do desconto não foi suspenso; como não houve perda do direito os valores de ICMS a recolher também não foram alterados (Decreto n</w:t>
      </w:r>
      <w:r w:rsidR="008D39CA">
        <w:rPr>
          <w:rFonts w:ascii="Arial" w:hAnsi="Arial" w:cs="Arial"/>
          <w:sz w:val="24"/>
          <w:szCs w:val="24"/>
        </w:rPr>
        <w:t>º</w:t>
      </w:r>
      <w:r w:rsidRPr="00625001">
        <w:rPr>
          <w:rFonts w:ascii="Arial" w:hAnsi="Arial" w:cs="Arial"/>
          <w:sz w:val="24"/>
          <w:szCs w:val="24"/>
        </w:rPr>
        <w:t xml:space="preserve"> 9.179</w:t>
      </w:r>
      <w:r>
        <w:rPr>
          <w:rFonts w:ascii="Arial" w:hAnsi="Arial" w:cs="Arial"/>
          <w:sz w:val="24"/>
          <w:szCs w:val="24"/>
        </w:rPr>
        <w:t xml:space="preserve">, de </w:t>
      </w:r>
      <w:r w:rsidRPr="00625001">
        <w:rPr>
          <w:rFonts w:ascii="Arial" w:hAnsi="Arial" w:cs="Arial"/>
          <w:sz w:val="24"/>
          <w:szCs w:val="24"/>
        </w:rPr>
        <w:t>2018</w:t>
      </w:r>
      <w:r>
        <w:rPr>
          <w:rFonts w:ascii="Arial" w:hAnsi="Arial" w:cs="Arial"/>
          <w:sz w:val="24"/>
          <w:szCs w:val="24"/>
        </w:rPr>
        <w:t>,</w:t>
      </w:r>
      <w:r w:rsidRPr="00625001">
        <w:rPr>
          <w:rFonts w:ascii="Arial" w:hAnsi="Arial" w:cs="Arial"/>
          <w:sz w:val="24"/>
          <w:szCs w:val="24"/>
        </w:rPr>
        <w:t xml:space="preserve"> permitiu novos prazos para apresentação de documentação sem penalidades, ou seja, acabou “convalidando” as irregularidades); o valor da quitação não segue um padrão de cálculo nas planilhas.</w:t>
      </w:r>
    </w:p>
    <w:p w14:paraId="4AC43EAE" w14:textId="77777777" w:rsidR="003A4F7C" w:rsidRDefault="003A4F7C" w:rsidP="007A561D">
      <w:pPr>
        <w:spacing w:line="360" w:lineRule="auto"/>
        <w:ind w:firstLine="851"/>
        <w:jc w:val="both"/>
        <w:rPr>
          <w:rFonts w:ascii="Arial" w:hAnsi="Arial" w:cs="Arial"/>
          <w:b/>
          <w:sz w:val="24"/>
          <w:szCs w:val="24"/>
          <w:u w:val="single"/>
        </w:rPr>
      </w:pPr>
    </w:p>
    <w:p w14:paraId="59C2033F" w14:textId="6269CF7B" w:rsidR="00805D99" w:rsidRDefault="00805D99">
      <w:pPr>
        <w:rPr>
          <w:rFonts w:ascii="Arial" w:hAnsi="Arial" w:cs="Arial"/>
          <w:b/>
          <w:sz w:val="24"/>
          <w:szCs w:val="24"/>
          <w:u w:val="single"/>
        </w:rPr>
      </w:pPr>
      <w:r>
        <w:rPr>
          <w:rFonts w:ascii="Arial" w:hAnsi="Arial" w:cs="Arial"/>
          <w:b/>
          <w:sz w:val="24"/>
          <w:szCs w:val="24"/>
          <w:u w:val="single"/>
        </w:rPr>
        <w:br w:type="page"/>
      </w:r>
    </w:p>
    <w:p w14:paraId="10498830" w14:textId="77777777" w:rsidR="00E11852" w:rsidRDefault="00E11852" w:rsidP="007A561D">
      <w:pPr>
        <w:spacing w:line="360" w:lineRule="auto"/>
        <w:ind w:firstLine="851"/>
        <w:jc w:val="both"/>
        <w:rPr>
          <w:rFonts w:ascii="Arial" w:hAnsi="Arial" w:cs="Arial"/>
          <w:b/>
          <w:sz w:val="24"/>
          <w:szCs w:val="24"/>
          <w:u w:val="single"/>
        </w:rPr>
      </w:pPr>
    </w:p>
    <w:p w14:paraId="3823F4AD" w14:textId="104AC1C0" w:rsidR="000825A6" w:rsidRPr="007A561D" w:rsidRDefault="007A561D" w:rsidP="007A561D">
      <w:pPr>
        <w:spacing w:line="360" w:lineRule="auto"/>
        <w:ind w:firstLine="851"/>
        <w:jc w:val="both"/>
        <w:rPr>
          <w:rFonts w:ascii="Arial" w:hAnsi="Arial" w:cs="Arial"/>
          <w:b/>
          <w:sz w:val="24"/>
          <w:szCs w:val="24"/>
          <w:u w:val="single"/>
        </w:rPr>
      </w:pPr>
      <w:r w:rsidRPr="007A561D">
        <w:rPr>
          <w:rFonts w:ascii="Arial" w:hAnsi="Arial" w:cs="Arial"/>
          <w:b/>
          <w:sz w:val="24"/>
          <w:szCs w:val="24"/>
          <w:u w:val="single"/>
        </w:rPr>
        <w:t xml:space="preserve">7 – </w:t>
      </w:r>
      <w:r w:rsidR="00D92511" w:rsidRPr="007A561D">
        <w:rPr>
          <w:rFonts w:ascii="Arial" w:hAnsi="Arial" w:cs="Arial"/>
          <w:b/>
          <w:sz w:val="24"/>
          <w:szCs w:val="24"/>
          <w:u w:val="single"/>
        </w:rPr>
        <w:t>CRÉDITO OUTORGADO</w:t>
      </w:r>
    </w:p>
    <w:p w14:paraId="573DFCE3" w14:textId="26CED36F" w:rsidR="000825A6" w:rsidRDefault="000825A6" w:rsidP="000825A6">
      <w:pPr>
        <w:spacing w:line="360" w:lineRule="auto"/>
        <w:ind w:left="851"/>
        <w:jc w:val="both"/>
        <w:rPr>
          <w:rFonts w:ascii="Arial" w:hAnsi="Arial" w:cs="Arial"/>
          <w:sz w:val="24"/>
          <w:szCs w:val="24"/>
        </w:rPr>
      </w:pPr>
    </w:p>
    <w:p w14:paraId="20BDD459" w14:textId="7B4FAE8F" w:rsidR="00EB04D3" w:rsidRPr="00EB04D3" w:rsidRDefault="00EB04D3" w:rsidP="0003375A">
      <w:pPr>
        <w:spacing w:line="360" w:lineRule="auto"/>
        <w:ind w:firstLine="851"/>
        <w:jc w:val="both"/>
        <w:rPr>
          <w:rFonts w:ascii="Arial" w:hAnsi="Arial" w:cs="Arial"/>
          <w:b/>
          <w:sz w:val="24"/>
          <w:szCs w:val="24"/>
        </w:rPr>
      </w:pPr>
      <w:r w:rsidRPr="00EB04D3">
        <w:rPr>
          <w:rFonts w:ascii="Arial" w:hAnsi="Arial" w:cs="Arial"/>
          <w:b/>
          <w:sz w:val="24"/>
          <w:szCs w:val="24"/>
        </w:rPr>
        <w:t xml:space="preserve">7.1 – </w:t>
      </w:r>
      <w:r w:rsidR="000E70D2">
        <w:rPr>
          <w:rFonts w:ascii="Arial" w:hAnsi="Arial" w:cs="Arial"/>
          <w:b/>
          <w:sz w:val="24"/>
          <w:szCs w:val="24"/>
        </w:rPr>
        <w:t>CONCEITO</w:t>
      </w:r>
      <w:r w:rsidR="00E11852">
        <w:rPr>
          <w:rFonts w:ascii="Arial" w:hAnsi="Arial" w:cs="Arial"/>
          <w:b/>
          <w:sz w:val="24"/>
          <w:szCs w:val="24"/>
        </w:rPr>
        <w:t xml:space="preserve"> E COMPREENSÃO DO INSTITUTO</w:t>
      </w:r>
    </w:p>
    <w:p w14:paraId="09F6BA42" w14:textId="77777777" w:rsidR="005C1247" w:rsidRDefault="005C1247" w:rsidP="0003375A">
      <w:pPr>
        <w:spacing w:line="360" w:lineRule="auto"/>
        <w:ind w:firstLine="851"/>
        <w:jc w:val="both"/>
        <w:rPr>
          <w:rFonts w:ascii="Arial" w:hAnsi="Arial" w:cs="Arial"/>
          <w:sz w:val="24"/>
          <w:szCs w:val="24"/>
        </w:rPr>
      </w:pPr>
    </w:p>
    <w:p w14:paraId="1AEB083B" w14:textId="009587B9" w:rsidR="005C1247" w:rsidRDefault="00BD66E1" w:rsidP="0003375A">
      <w:pPr>
        <w:spacing w:line="360" w:lineRule="auto"/>
        <w:ind w:firstLine="851"/>
        <w:jc w:val="both"/>
        <w:rPr>
          <w:rFonts w:ascii="Arial" w:hAnsi="Arial" w:cs="Arial"/>
          <w:sz w:val="24"/>
          <w:szCs w:val="24"/>
        </w:rPr>
      </w:pPr>
      <w:r w:rsidRPr="00BD66E1">
        <w:rPr>
          <w:rFonts w:ascii="Arial" w:hAnsi="Arial" w:cs="Arial"/>
          <w:b/>
          <w:sz w:val="24"/>
          <w:szCs w:val="24"/>
        </w:rPr>
        <w:t>7.1.1.</w:t>
      </w:r>
      <w:r>
        <w:rPr>
          <w:rFonts w:ascii="Arial" w:hAnsi="Arial" w:cs="Arial"/>
          <w:sz w:val="24"/>
          <w:szCs w:val="24"/>
        </w:rPr>
        <w:t xml:space="preserve"> </w:t>
      </w:r>
      <w:r w:rsidR="0035009A">
        <w:rPr>
          <w:rFonts w:ascii="Arial" w:hAnsi="Arial" w:cs="Arial"/>
          <w:sz w:val="24"/>
          <w:szCs w:val="24"/>
        </w:rPr>
        <w:t xml:space="preserve">O </w:t>
      </w:r>
      <w:r w:rsidR="0035009A" w:rsidRPr="004471FF">
        <w:rPr>
          <w:rFonts w:ascii="Arial" w:hAnsi="Arial" w:cs="Arial"/>
          <w:b/>
          <w:sz w:val="24"/>
          <w:szCs w:val="24"/>
          <w:u w:val="single"/>
        </w:rPr>
        <w:t>ICMS</w:t>
      </w:r>
      <w:r w:rsidR="0035009A">
        <w:rPr>
          <w:rFonts w:ascii="Arial" w:hAnsi="Arial" w:cs="Arial"/>
          <w:sz w:val="24"/>
          <w:szCs w:val="24"/>
        </w:rPr>
        <w:t>, embora possa incidir em diversos momentos</w:t>
      </w:r>
      <w:r w:rsidR="003028DB">
        <w:rPr>
          <w:rFonts w:ascii="Arial" w:hAnsi="Arial" w:cs="Arial"/>
          <w:sz w:val="24"/>
          <w:szCs w:val="24"/>
        </w:rPr>
        <w:t xml:space="preserve"> ao longo</w:t>
      </w:r>
      <w:r w:rsidR="0035009A">
        <w:rPr>
          <w:rFonts w:ascii="Arial" w:hAnsi="Arial" w:cs="Arial"/>
          <w:sz w:val="24"/>
          <w:szCs w:val="24"/>
        </w:rPr>
        <w:t xml:space="preserve"> da cadeia de produção, constitui um imposto</w:t>
      </w:r>
      <w:r w:rsidR="003028DB">
        <w:rPr>
          <w:rFonts w:ascii="Arial" w:hAnsi="Arial" w:cs="Arial"/>
          <w:sz w:val="24"/>
          <w:szCs w:val="24"/>
        </w:rPr>
        <w:t xml:space="preserve"> de </w:t>
      </w:r>
      <w:r w:rsidR="003028DB" w:rsidRPr="004471FF">
        <w:rPr>
          <w:rFonts w:ascii="Arial" w:hAnsi="Arial" w:cs="Arial"/>
          <w:b/>
          <w:sz w:val="24"/>
          <w:szCs w:val="24"/>
          <w:u w:val="single"/>
        </w:rPr>
        <w:t>caráter</w:t>
      </w:r>
      <w:r w:rsidR="0035009A" w:rsidRPr="004471FF">
        <w:rPr>
          <w:rFonts w:ascii="Arial" w:hAnsi="Arial" w:cs="Arial"/>
          <w:b/>
          <w:sz w:val="24"/>
          <w:szCs w:val="24"/>
          <w:u w:val="single"/>
        </w:rPr>
        <w:t xml:space="preserve"> não cumulativo</w:t>
      </w:r>
      <w:r w:rsidR="0035009A">
        <w:rPr>
          <w:rFonts w:ascii="Arial" w:hAnsi="Arial" w:cs="Arial"/>
          <w:sz w:val="24"/>
          <w:szCs w:val="24"/>
        </w:rPr>
        <w:t xml:space="preserve">, isto é, a cada operação deve-se deduzir </w:t>
      </w:r>
      <w:r w:rsidR="003028DB">
        <w:rPr>
          <w:rFonts w:ascii="Arial" w:hAnsi="Arial" w:cs="Arial"/>
          <w:sz w:val="24"/>
          <w:szCs w:val="24"/>
        </w:rPr>
        <w:t xml:space="preserve">o montante já recolhido nas operações anteriores. É o que se convencionou denominar de </w:t>
      </w:r>
      <w:r w:rsidR="003028DB" w:rsidRPr="004471FF">
        <w:rPr>
          <w:rFonts w:ascii="Arial" w:hAnsi="Arial" w:cs="Arial"/>
          <w:b/>
          <w:sz w:val="24"/>
          <w:szCs w:val="24"/>
        </w:rPr>
        <w:t>princípio ou técnica da “não cumulatividade”</w:t>
      </w:r>
      <w:r w:rsidR="003028DB">
        <w:rPr>
          <w:rFonts w:ascii="Arial" w:hAnsi="Arial" w:cs="Arial"/>
          <w:sz w:val="24"/>
          <w:szCs w:val="24"/>
        </w:rPr>
        <w:t xml:space="preserve">, que possui assento constitucional no </w:t>
      </w:r>
      <w:r w:rsidR="003028DB" w:rsidRPr="004471FF">
        <w:rPr>
          <w:rFonts w:ascii="Arial" w:hAnsi="Arial" w:cs="Arial"/>
          <w:b/>
          <w:sz w:val="24"/>
          <w:szCs w:val="24"/>
        </w:rPr>
        <w:t xml:space="preserve">art. 155, </w:t>
      </w:r>
      <w:r w:rsidR="00C835A4" w:rsidRPr="004471FF">
        <w:rPr>
          <w:rFonts w:ascii="Arial" w:hAnsi="Arial" w:cs="Arial"/>
          <w:b/>
          <w:sz w:val="24"/>
          <w:szCs w:val="24"/>
        </w:rPr>
        <w:t xml:space="preserve">II, c/c </w:t>
      </w:r>
      <w:r w:rsidR="003028DB" w:rsidRPr="004471FF">
        <w:rPr>
          <w:rFonts w:ascii="Arial" w:hAnsi="Arial" w:cs="Arial"/>
          <w:b/>
          <w:sz w:val="24"/>
          <w:szCs w:val="24"/>
        </w:rPr>
        <w:t>§ 2º, I,</w:t>
      </w:r>
      <w:r w:rsidR="009812F9" w:rsidRPr="004471FF">
        <w:rPr>
          <w:rFonts w:ascii="Arial" w:hAnsi="Arial" w:cs="Arial"/>
          <w:b/>
          <w:sz w:val="24"/>
          <w:szCs w:val="24"/>
        </w:rPr>
        <w:t xml:space="preserve"> da CRFB</w:t>
      </w:r>
      <w:r w:rsidR="00C835A4" w:rsidRPr="004471FF">
        <w:rPr>
          <w:rFonts w:ascii="Arial" w:hAnsi="Arial" w:cs="Arial"/>
          <w:sz w:val="24"/>
          <w:szCs w:val="24"/>
        </w:rPr>
        <w:t>,</w:t>
      </w:r>
      <w:r w:rsidR="00C835A4">
        <w:rPr>
          <w:rFonts w:ascii="Arial" w:hAnsi="Arial" w:cs="Arial"/>
          <w:sz w:val="24"/>
          <w:szCs w:val="24"/>
        </w:rPr>
        <w:t xml:space="preserve"> </w:t>
      </w:r>
      <w:r w:rsidR="00C835A4" w:rsidRPr="00C835A4">
        <w:rPr>
          <w:rFonts w:ascii="Arial" w:hAnsi="Arial" w:cs="Arial"/>
          <w:i/>
          <w:sz w:val="24"/>
          <w:szCs w:val="24"/>
        </w:rPr>
        <w:t>in verbis</w:t>
      </w:r>
      <w:r w:rsidR="009812F9">
        <w:rPr>
          <w:rFonts w:ascii="Arial" w:hAnsi="Arial" w:cs="Arial"/>
          <w:sz w:val="24"/>
          <w:szCs w:val="24"/>
        </w:rPr>
        <w:t>:</w:t>
      </w:r>
    </w:p>
    <w:p w14:paraId="7CF303B0" w14:textId="7BA3D49E" w:rsidR="009812F9" w:rsidRDefault="009812F9" w:rsidP="0003375A">
      <w:pPr>
        <w:spacing w:line="360" w:lineRule="auto"/>
        <w:ind w:firstLine="851"/>
        <w:jc w:val="both"/>
        <w:rPr>
          <w:rFonts w:ascii="Arial" w:hAnsi="Arial" w:cs="Arial"/>
          <w:sz w:val="24"/>
          <w:szCs w:val="24"/>
        </w:rPr>
      </w:pPr>
    </w:p>
    <w:p w14:paraId="5AFAB0C9" w14:textId="77777777" w:rsidR="00AD1A0E" w:rsidRDefault="00AD1A0E" w:rsidP="00DC688C">
      <w:pPr>
        <w:ind w:left="2268"/>
        <w:jc w:val="both"/>
        <w:rPr>
          <w:rFonts w:ascii="Arial" w:hAnsi="Arial" w:cs="Arial"/>
          <w:sz w:val="22"/>
          <w:szCs w:val="22"/>
        </w:rPr>
      </w:pPr>
      <w:r w:rsidRPr="00AD1A0E">
        <w:rPr>
          <w:rFonts w:ascii="Arial" w:hAnsi="Arial" w:cs="Arial"/>
          <w:sz w:val="22"/>
          <w:szCs w:val="22"/>
        </w:rPr>
        <w:t xml:space="preserve">Art. 155. Compete aos Estados e ao Distrito Federal instituir impostos sobre:  </w:t>
      </w:r>
    </w:p>
    <w:p w14:paraId="4C84568F" w14:textId="77777777" w:rsidR="000F6F1E" w:rsidRDefault="000F6F1E" w:rsidP="00DC688C">
      <w:pPr>
        <w:ind w:left="2268"/>
        <w:jc w:val="both"/>
        <w:rPr>
          <w:rFonts w:ascii="Arial" w:hAnsi="Arial" w:cs="Arial"/>
          <w:sz w:val="22"/>
          <w:szCs w:val="22"/>
        </w:rPr>
      </w:pPr>
      <w:r>
        <w:rPr>
          <w:rFonts w:ascii="Arial" w:hAnsi="Arial" w:cs="Arial"/>
          <w:sz w:val="22"/>
          <w:szCs w:val="22"/>
        </w:rPr>
        <w:t>[...].</w:t>
      </w:r>
    </w:p>
    <w:p w14:paraId="19C6CF86" w14:textId="0FC1C058" w:rsidR="000F6F1E" w:rsidRDefault="000F6F1E" w:rsidP="00DC688C">
      <w:pPr>
        <w:ind w:left="2268"/>
        <w:jc w:val="both"/>
        <w:rPr>
          <w:rFonts w:ascii="Arial" w:hAnsi="Arial" w:cs="Arial"/>
          <w:sz w:val="22"/>
          <w:szCs w:val="22"/>
        </w:rPr>
      </w:pPr>
      <w:r w:rsidRPr="00C4474B">
        <w:rPr>
          <w:rFonts w:ascii="Arial" w:hAnsi="Arial" w:cs="Arial"/>
          <w:b/>
          <w:sz w:val="22"/>
          <w:szCs w:val="22"/>
        </w:rPr>
        <w:t xml:space="preserve">II </w:t>
      </w:r>
      <w:r w:rsidR="00845915">
        <w:rPr>
          <w:rFonts w:ascii="Arial" w:hAnsi="Arial" w:cs="Arial"/>
          <w:b/>
          <w:sz w:val="22"/>
          <w:szCs w:val="22"/>
        </w:rPr>
        <w:t>–</w:t>
      </w:r>
      <w:r w:rsidRPr="00C4474B">
        <w:rPr>
          <w:rFonts w:ascii="Arial" w:hAnsi="Arial" w:cs="Arial"/>
          <w:b/>
          <w:sz w:val="22"/>
          <w:szCs w:val="22"/>
        </w:rPr>
        <w:t xml:space="preserve"> operações relativas à circulação de mercadorias e sobre prestações de serviços de transporte interestadual e intermunicipal e de comunicação</w:t>
      </w:r>
      <w:r w:rsidRPr="000F6F1E">
        <w:rPr>
          <w:rFonts w:ascii="Arial" w:hAnsi="Arial" w:cs="Arial"/>
          <w:sz w:val="22"/>
          <w:szCs w:val="22"/>
        </w:rPr>
        <w:t xml:space="preserve">, ainda que as operações e as prestações se iniciem no exterior;  </w:t>
      </w:r>
    </w:p>
    <w:p w14:paraId="5DFB6CD0" w14:textId="3C6C174E" w:rsidR="00AD1A0E" w:rsidRDefault="00AD1A0E" w:rsidP="00DC688C">
      <w:pPr>
        <w:ind w:left="2268"/>
        <w:jc w:val="both"/>
        <w:rPr>
          <w:rFonts w:ascii="Arial" w:hAnsi="Arial" w:cs="Arial"/>
          <w:sz w:val="22"/>
          <w:szCs w:val="22"/>
        </w:rPr>
      </w:pPr>
      <w:r>
        <w:rPr>
          <w:rFonts w:ascii="Arial" w:hAnsi="Arial" w:cs="Arial"/>
          <w:sz w:val="22"/>
          <w:szCs w:val="22"/>
        </w:rPr>
        <w:t>[...].</w:t>
      </w:r>
    </w:p>
    <w:p w14:paraId="325F7093" w14:textId="7E354DED" w:rsidR="009812F9" w:rsidRPr="009812F9" w:rsidRDefault="009812F9" w:rsidP="00DC688C">
      <w:pPr>
        <w:ind w:left="2268"/>
        <w:jc w:val="both"/>
        <w:rPr>
          <w:rFonts w:ascii="Arial" w:hAnsi="Arial" w:cs="Arial"/>
          <w:sz w:val="22"/>
          <w:szCs w:val="22"/>
        </w:rPr>
      </w:pPr>
      <w:r w:rsidRPr="009812F9">
        <w:rPr>
          <w:rFonts w:ascii="Arial" w:hAnsi="Arial" w:cs="Arial"/>
          <w:sz w:val="22"/>
          <w:szCs w:val="22"/>
        </w:rPr>
        <w:t xml:space="preserve">§ 2º O </w:t>
      </w:r>
      <w:r w:rsidRPr="000F6F1E">
        <w:rPr>
          <w:rFonts w:ascii="Arial" w:hAnsi="Arial" w:cs="Arial"/>
          <w:b/>
          <w:sz w:val="22"/>
          <w:szCs w:val="22"/>
          <w:u w:val="single"/>
        </w:rPr>
        <w:t>imposto</w:t>
      </w:r>
      <w:r w:rsidRPr="009812F9">
        <w:rPr>
          <w:rFonts w:ascii="Arial" w:hAnsi="Arial" w:cs="Arial"/>
          <w:sz w:val="22"/>
          <w:szCs w:val="22"/>
        </w:rPr>
        <w:t xml:space="preserve"> previsto no inciso I</w:t>
      </w:r>
      <w:r>
        <w:rPr>
          <w:rFonts w:ascii="Arial" w:hAnsi="Arial" w:cs="Arial"/>
          <w:sz w:val="22"/>
          <w:szCs w:val="22"/>
        </w:rPr>
        <w:t>I atenderá ao seguinte:</w:t>
      </w:r>
      <w:r w:rsidRPr="009812F9">
        <w:rPr>
          <w:rFonts w:ascii="Arial" w:hAnsi="Arial" w:cs="Arial"/>
          <w:sz w:val="22"/>
          <w:szCs w:val="22"/>
        </w:rPr>
        <w:t xml:space="preserve"> </w:t>
      </w:r>
    </w:p>
    <w:p w14:paraId="126E7A3E" w14:textId="4FF2B340" w:rsidR="009812F9" w:rsidRDefault="009812F9" w:rsidP="00DC688C">
      <w:pPr>
        <w:ind w:left="2268"/>
        <w:jc w:val="both"/>
        <w:rPr>
          <w:rFonts w:ascii="Arial" w:hAnsi="Arial" w:cs="Arial"/>
          <w:sz w:val="22"/>
          <w:szCs w:val="22"/>
        </w:rPr>
      </w:pPr>
      <w:bookmarkStart w:id="122" w:name="art155§2i"/>
      <w:bookmarkEnd w:id="122"/>
      <w:r w:rsidRPr="000F6F1E">
        <w:rPr>
          <w:rFonts w:ascii="Arial" w:hAnsi="Arial" w:cs="Arial"/>
          <w:b/>
          <w:sz w:val="22"/>
          <w:szCs w:val="22"/>
        </w:rPr>
        <w:t>I - será não-cumulativo</w:t>
      </w:r>
      <w:r w:rsidRPr="009812F9">
        <w:rPr>
          <w:rFonts w:ascii="Arial" w:hAnsi="Arial" w:cs="Arial"/>
          <w:sz w:val="22"/>
          <w:szCs w:val="22"/>
        </w:rPr>
        <w:t>, compensando-se o que for devido em cada operação relativa à circulação de mercadorias ou prestação de serviços com o montante cobrado nas anteriores pelo mesmo ou outro Estado ou pelo Distrito Federal;</w:t>
      </w:r>
    </w:p>
    <w:p w14:paraId="2CD37D8F" w14:textId="25F4EB21" w:rsidR="0011634D" w:rsidRPr="009812F9" w:rsidRDefault="0011634D" w:rsidP="00DC688C">
      <w:pPr>
        <w:ind w:left="2268"/>
        <w:jc w:val="both"/>
        <w:rPr>
          <w:rFonts w:ascii="Arial" w:hAnsi="Arial" w:cs="Arial"/>
          <w:sz w:val="22"/>
          <w:szCs w:val="22"/>
        </w:rPr>
      </w:pPr>
      <w:r>
        <w:rPr>
          <w:rFonts w:ascii="Arial" w:hAnsi="Arial" w:cs="Arial"/>
          <w:sz w:val="22"/>
          <w:szCs w:val="22"/>
        </w:rPr>
        <w:t>[...].</w:t>
      </w:r>
    </w:p>
    <w:p w14:paraId="18C3C2DC" w14:textId="26F1C3BA" w:rsidR="009812F9" w:rsidRDefault="009812F9" w:rsidP="0003375A">
      <w:pPr>
        <w:spacing w:line="360" w:lineRule="auto"/>
        <w:ind w:firstLine="851"/>
        <w:jc w:val="both"/>
        <w:rPr>
          <w:rFonts w:ascii="Arial" w:hAnsi="Arial" w:cs="Arial"/>
          <w:sz w:val="24"/>
          <w:szCs w:val="24"/>
        </w:rPr>
      </w:pPr>
    </w:p>
    <w:p w14:paraId="23EE8A58" w14:textId="384E84DB" w:rsidR="009812F9" w:rsidRDefault="004471FF" w:rsidP="0003375A">
      <w:pPr>
        <w:spacing w:line="360" w:lineRule="auto"/>
        <w:ind w:firstLine="851"/>
        <w:jc w:val="both"/>
        <w:rPr>
          <w:rFonts w:ascii="Arial" w:hAnsi="Arial" w:cs="Arial"/>
          <w:sz w:val="24"/>
          <w:szCs w:val="24"/>
        </w:rPr>
      </w:pPr>
      <w:r>
        <w:rPr>
          <w:rFonts w:ascii="Arial" w:hAnsi="Arial" w:cs="Arial"/>
          <w:sz w:val="24"/>
          <w:szCs w:val="24"/>
        </w:rPr>
        <w:t xml:space="preserve">Comentando essa característica peculiar do ICMS, </w:t>
      </w:r>
      <w:r w:rsidRPr="00114E94">
        <w:rPr>
          <w:rFonts w:ascii="Arial" w:hAnsi="Arial" w:cs="Arial"/>
          <w:b/>
          <w:sz w:val="24"/>
          <w:szCs w:val="24"/>
        </w:rPr>
        <w:t>Kiyoshi Harada</w:t>
      </w:r>
      <w:r>
        <w:rPr>
          <w:rFonts w:ascii="Arial" w:hAnsi="Arial" w:cs="Arial"/>
          <w:sz w:val="24"/>
          <w:szCs w:val="24"/>
        </w:rPr>
        <w:t xml:space="preserve"> explica:</w:t>
      </w:r>
    </w:p>
    <w:p w14:paraId="614F72ED" w14:textId="77777777" w:rsidR="004471FF" w:rsidRDefault="004471FF" w:rsidP="0003375A">
      <w:pPr>
        <w:spacing w:line="360" w:lineRule="auto"/>
        <w:ind w:firstLine="851"/>
        <w:jc w:val="both"/>
        <w:rPr>
          <w:rFonts w:ascii="Arial" w:hAnsi="Arial" w:cs="Arial"/>
          <w:sz w:val="24"/>
          <w:szCs w:val="24"/>
        </w:rPr>
      </w:pPr>
    </w:p>
    <w:p w14:paraId="0F8C1A27" w14:textId="77777777" w:rsidR="004471FF" w:rsidRDefault="004471FF" w:rsidP="00DC688C">
      <w:pPr>
        <w:ind w:left="2268"/>
        <w:jc w:val="both"/>
        <w:rPr>
          <w:rFonts w:ascii="Arial" w:hAnsi="Arial" w:cs="Arial"/>
          <w:sz w:val="22"/>
          <w:szCs w:val="22"/>
        </w:rPr>
      </w:pPr>
      <w:r>
        <w:rPr>
          <w:rFonts w:ascii="Arial" w:hAnsi="Arial" w:cs="Arial"/>
          <w:sz w:val="22"/>
          <w:szCs w:val="22"/>
        </w:rPr>
        <w:t>A não cumulatividade do ICMS, que no entender do Supremo Tribunal Federal é mera técnica de tributação, consiste na compensação do que for devido em cada operação relativa à circulação de mercadorias ou prestação de serviços com o montante cobrado nas anteriores pelo mesmo ou outro Estado ou Distrito Federal.</w:t>
      </w:r>
    </w:p>
    <w:p w14:paraId="3513C12D" w14:textId="77777777" w:rsidR="004471FF" w:rsidRDefault="004471FF" w:rsidP="00DC688C">
      <w:pPr>
        <w:ind w:left="2268"/>
        <w:jc w:val="both"/>
        <w:rPr>
          <w:rFonts w:ascii="Arial" w:hAnsi="Arial" w:cs="Arial"/>
          <w:sz w:val="22"/>
          <w:szCs w:val="22"/>
        </w:rPr>
      </w:pPr>
      <w:r>
        <w:rPr>
          <w:rFonts w:ascii="Arial" w:hAnsi="Arial" w:cs="Arial"/>
          <w:sz w:val="22"/>
          <w:szCs w:val="22"/>
        </w:rPr>
        <w:t>[...]</w:t>
      </w:r>
    </w:p>
    <w:p w14:paraId="64C86A5D" w14:textId="77777777" w:rsidR="004471FF" w:rsidRDefault="004471FF" w:rsidP="00DC688C">
      <w:pPr>
        <w:ind w:left="2268"/>
        <w:jc w:val="both"/>
        <w:rPr>
          <w:rFonts w:ascii="Arial" w:hAnsi="Arial" w:cs="Arial"/>
          <w:sz w:val="22"/>
          <w:szCs w:val="22"/>
        </w:rPr>
      </w:pPr>
      <w:r>
        <w:rPr>
          <w:rFonts w:ascii="Arial" w:hAnsi="Arial" w:cs="Arial"/>
          <w:sz w:val="22"/>
          <w:szCs w:val="22"/>
        </w:rPr>
        <w:t>O imposto é apurado pelo confronto entre aquele creditado na entrada de mercadoria ou prestação de serviço e aquele devido pela saída de mercadorias ou prestação de serviços dentro de determinado período. A diferença a maior representa o imposto a ser pago nesse período e a diferença a menor constitui crédito a ser transferido para o período seguinte.</w:t>
      </w:r>
    </w:p>
    <w:p w14:paraId="4E3AEDF1" w14:textId="70AD2D08" w:rsidR="004471FF" w:rsidRDefault="004471FF" w:rsidP="00DC688C">
      <w:pPr>
        <w:ind w:left="2268"/>
        <w:jc w:val="both"/>
        <w:rPr>
          <w:rFonts w:ascii="Arial" w:hAnsi="Arial" w:cs="Arial"/>
          <w:sz w:val="22"/>
          <w:szCs w:val="22"/>
        </w:rPr>
      </w:pPr>
      <w:r>
        <w:rPr>
          <w:rFonts w:ascii="Arial" w:hAnsi="Arial" w:cs="Arial"/>
          <w:sz w:val="22"/>
          <w:szCs w:val="22"/>
        </w:rPr>
        <w:t xml:space="preserve">Não há vinculação entre a mercadoria que ingressou no estabelecimento do contribuinte e aquela que saiu do mesmo estabelecimento. A compensação do imposto ocorre entre o imposto creditado pela entrada de determinada mercadoria e o imposto resultante da saída dela ou de </w:t>
      </w:r>
      <w:r>
        <w:rPr>
          <w:rFonts w:ascii="Arial" w:hAnsi="Arial" w:cs="Arial"/>
          <w:sz w:val="22"/>
          <w:szCs w:val="22"/>
        </w:rPr>
        <w:lastRenderedPageBreak/>
        <w:t>outra mercadoria, ou da prestação de serviço de comunicação ou de transporte interestadual ou intermunicipal.</w:t>
      </w:r>
      <w:r w:rsidRPr="009812F9">
        <w:rPr>
          <w:rFonts w:ascii="Arial" w:hAnsi="Arial" w:cs="Arial"/>
          <w:sz w:val="22"/>
          <w:szCs w:val="22"/>
        </w:rPr>
        <w:t xml:space="preserve"> </w:t>
      </w:r>
      <w:r>
        <w:rPr>
          <w:rStyle w:val="Refdenotaderodap"/>
          <w:rFonts w:ascii="Arial" w:hAnsi="Arial" w:cs="Arial"/>
          <w:sz w:val="22"/>
          <w:szCs w:val="22"/>
        </w:rPr>
        <w:footnoteReference w:id="74"/>
      </w:r>
    </w:p>
    <w:p w14:paraId="5EF1DCBE" w14:textId="2C6E5887" w:rsidR="004471FF" w:rsidRDefault="004471FF" w:rsidP="0003375A">
      <w:pPr>
        <w:spacing w:line="360" w:lineRule="auto"/>
        <w:ind w:firstLine="851"/>
        <w:jc w:val="both"/>
        <w:rPr>
          <w:rFonts w:ascii="Arial" w:hAnsi="Arial" w:cs="Arial"/>
          <w:sz w:val="24"/>
          <w:szCs w:val="24"/>
        </w:rPr>
      </w:pPr>
    </w:p>
    <w:p w14:paraId="1341358F" w14:textId="2DCB194F" w:rsidR="00461BB4" w:rsidRDefault="00461BB4" w:rsidP="00461BB4">
      <w:pPr>
        <w:spacing w:line="360" w:lineRule="auto"/>
        <w:ind w:firstLine="851"/>
        <w:jc w:val="both"/>
        <w:rPr>
          <w:rFonts w:ascii="Arial" w:hAnsi="Arial" w:cs="Arial"/>
          <w:sz w:val="24"/>
          <w:szCs w:val="24"/>
        </w:rPr>
      </w:pPr>
      <w:r>
        <w:rPr>
          <w:rFonts w:ascii="Arial" w:hAnsi="Arial" w:cs="Arial"/>
          <w:sz w:val="24"/>
          <w:szCs w:val="24"/>
        </w:rPr>
        <w:t xml:space="preserve">A não cumulatividade do ICMS encontra-se também disciplinada na </w:t>
      </w:r>
      <w:r w:rsidRPr="001E7D6D">
        <w:rPr>
          <w:rFonts w:ascii="Arial" w:hAnsi="Arial" w:cs="Arial"/>
          <w:b/>
          <w:sz w:val="24"/>
          <w:szCs w:val="24"/>
        </w:rPr>
        <w:t>LC nº 87/1996, em especial nos respectivos arts. 19 a 23</w:t>
      </w:r>
      <w:r>
        <w:rPr>
          <w:rFonts w:ascii="Arial" w:hAnsi="Arial" w:cs="Arial"/>
          <w:sz w:val="24"/>
          <w:szCs w:val="24"/>
        </w:rPr>
        <w:t xml:space="preserve">, e também nas disposições legais e normativas de cada ente federado, o que, em razão de sua extensão e dos objetivos desta CPI, não convém aprofundar neste momento, </w:t>
      </w:r>
      <w:r w:rsidRPr="00093ED0">
        <w:rPr>
          <w:rFonts w:ascii="Arial" w:hAnsi="Arial" w:cs="Arial"/>
          <w:sz w:val="24"/>
          <w:szCs w:val="24"/>
        </w:rPr>
        <w:t>sem prejuízo de referências pontuais a essa legislação quando necessário</w:t>
      </w:r>
      <w:r>
        <w:rPr>
          <w:rFonts w:ascii="Arial" w:hAnsi="Arial" w:cs="Arial"/>
          <w:sz w:val="24"/>
          <w:szCs w:val="24"/>
        </w:rPr>
        <w:t>.</w:t>
      </w:r>
    </w:p>
    <w:p w14:paraId="6396A7A4" w14:textId="0D61BB7B" w:rsidR="009D27F4" w:rsidRDefault="009D27F4" w:rsidP="00461BB4">
      <w:pPr>
        <w:spacing w:line="360" w:lineRule="auto"/>
        <w:ind w:firstLine="851"/>
        <w:jc w:val="both"/>
        <w:rPr>
          <w:rFonts w:ascii="Arial" w:hAnsi="Arial" w:cs="Arial"/>
          <w:sz w:val="24"/>
          <w:szCs w:val="24"/>
        </w:rPr>
      </w:pPr>
    </w:p>
    <w:p w14:paraId="79621162" w14:textId="7EBFFB3B" w:rsidR="009D27F4" w:rsidRDefault="009D27F4" w:rsidP="00461BB4">
      <w:pPr>
        <w:spacing w:line="360" w:lineRule="auto"/>
        <w:ind w:firstLine="851"/>
        <w:jc w:val="both"/>
        <w:rPr>
          <w:rFonts w:ascii="Arial" w:hAnsi="Arial" w:cs="Arial"/>
          <w:sz w:val="24"/>
          <w:szCs w:val="24"/>
        </w:rPr>
      </w:pPr>
      <w:r w:rsidRPr="00BD66E1">
        <w:rPr>
          <w:rFonts w:ascii="Arial" w:hAnsi="Arial" w:cs="Arial"/>
          <w:b/>
          <w:sz w:val="24"/>
          <w:szCs w:val="24"/>
        </w:rPr>
        <w:t>7.1.</w:t>
      </w:r>
      <w:r>
        <w:rPr>
          <w:rFonts w:ascii="Arial" w:hAnsi="Arial" w:cs="Arial"/>
          <w:b/>
          <w:sz w:val="24"/>
          <w:szCs w:val="24"/>
        </w:rPr>
        <w:t>2</w:t>
      </w:r>
      <w:r w:rsidRPr="00BD66E1">
        <w:rPr>
          <w:rFonts w:ascii="Arial" w:hAnsi="Arial" w:cs="Arial"/>
          <w:b/>
          <w:sz w:val="24"/>
          <w:szCs w:val="24"/>
        </w:rPr>
        <w:t>.</w:t>
      </w:r>
      <w:r>
        <w:rPr>
          <w:rFonts w:ascii="Arial" w:hAnsi="Arial" w:cs="Arial"/>
          <w:b/>
          <w:sz w:val="24"/>
          <w:szCs w:val="24"/>
        </w:rPr>
        <w:t xml:space="preserve"> </w:t>
      </w:r>
      <w:r w:rsidRPr="009D27F4">
        <w:rPr>
          <w:rFonts w:ascii="Arial" w:hAnsi="Arial" w:cs="Arial"/>
          <w:sz w:val="24"/>
          <w:szCs w:val="24"/>
        </w:rPr>
        <w:t>Esse</w:t>
      </w:r>
      <w:r>
        <w:rPr>
          <w:rFonts w:ascii="Arial" w:hAnsi="Arial" w:cs="Arial"/>
          <w:sz w:val="24"/>
          <w:szCs w:val="24"/>
        </w:rPr>
        <w:t xml:space="preserve"> primeiro esclarecimento se faz necessário para introduzir o </w:t>
      </w:r>
      <w:r w:rsidRPr="001E7D6D">
        <w:rPr>
          <w:rFonts w:ascii="Arial" w:hAnsi="Arial" w:cs="Arial"/>
          <w:b/>
          <w:sz w:val="24"/>
          <w:szCs w:val="24"/>
          <w:u w:val="single"/>
        </w:rPr>
        <w:t>conceito de “crédito outorgado”</w:t>
      </w:r>
      <w:r>
        <w:rPr>
          <w:rFonts w:ascii="Arial" w:hAnsi="Arial" w:cs="Arial"/>
          <w:sz w:val="24"/>
          <w:szCs w:val="24"/>
        </w:rPr>
        <w:t xml:space="preserve">, </w:t>
      </w:r>
      <w:r w:rsidR="00FD2004">
        <w:rPr>
          <w:rFonts w:ascii="Arial" w:hAnsi="Arial" w:cs="Arial"/>
          <w:sz w:val="24"/>
          <w:szCs w:val="24"/>
        </w:rPr>
        <w:t xml:space="preserve">nomenclatura </w:t>
      </w:r>
      <w:r>
        <w:rPr>
          <w:rFonts w:ascii="Arial" w:hAnsi="Arial" w:cs="Arial"/>
          <w:sz w:val="24"/>
          <w:szCs w:val="24"/>
        </w:rPr>
        <w:t>adotad</w:t>
      </w:r>
      <w:r w:rsidR="00FD2004">
        <w:rPr>
          <w:rFonts w:ascii="Arial" w:hAnsi="Arial" w:cs="Arial"/>
          <w:sz w:val="24"/>
          <w:szCs w:val="24"/>
        </w:rPr>
        <w:t>a</w:t>
      </w:r>
      <w:r>
        <w:rPr>
          <w:rFonts w:ascii="Arial" w:hAnsi="Arial" w:cs="Arial"/>
          <w:sz w:val="24"/>
          <w:szCs w:val="24"/>
        </w:rPr>
        <w:t xml:space="preserve"> n</w:t>
      </w:r>
      <w:r w:rsidR="00FD2004">
        <w:rPr>
          <w:rFonts w:ascii="Arial" w:hAnsi="Arial" w:cs="Arial"/>
          <w:sz w:val="24"/>
          <w:szCs w:val="24"/>
        </w:rPr>
        <w:t>a legislação tributária d</w:t>
      </w:r>
      <w:r>
        <w:rPr>
          <w:rFonts w:ascii="Arial" w:hAnsi="Arial" w:cs="Arial"/>
          <w:sz w:val="24"/>
          <w:szCs w:val="24"/>
        </w:rPr>
        <w:t>o Estado de Goiás</w:t>
      </w:r>
      <w:r w:rsidR="00FD2004">
        <w:rPr>
          <w:rFonts w:ascii="Arial" w:hAnsi="Arial" w:cs="Arial"/>
          <w:sz w:val="24"/>
          <w:szCs w:val="24"/>
        </w:rPr>
        <w:t>, mas que é mais comumente referida na doutrina e no próprio texto constitucional como “crédito presumido”, os quais são utilizados neste relatório como sinônimos, embora se procure dar mais preferência àquela primeira fórmula antes referida</w:t>
      </w:r>
      <w:r>
        <w:rPr>
          <w:rFonts w:ascii="Arial" w:hAnsi="Arial" w:cs="Arial"/>
          <w:sz w:val="24"/>
          <w:szCs w:val="24"/>
        </w:rPr>
        <w:t>.</w:t>
      </w:r>
    </w:p>
    <w:p w14:paraId="2F310506" w14:textId="4161A93F" w:rsidR="001E7D6D" w:rsidRDefault="001E7D6D" w:rsidP="00461BB4">
      <w:pPr>
        <w:spacing w:line="360" w:lineRule="auto"/>
        <w:ind w:firstLine="851"/>
        <w:jc w:val="both"/>
        <w:rPr>
          <w:rFonts w:ascii="Arial" w:hAnsi="Arial" w:cs="Arial"/>
          <w:sz w:val="24"/>
          <w:szCs w:val="24"/>
        </w:rPr>
      </w:pPr>
      <w:r>
        <w:rPr>
          <w:rFonts w:ascii="Arial" w:hAnsi="Arial" w:cs="Arial"/>
          <w:sz w:val="24"/>
          <w:szCs w:val="24"/>
        </w:rPr>
        <w:t xml:space="preserve">O crédito outorgado </w:t>
      </w:r>
      <w:r w:rsidRPr="00073C56">
        <w:rPr>
          <w:rFonts w:ascii="Arial" w:hAnsi="Arial" w:cs="Arial"/>
          <w:b/>
          <w:sz w:val="24"/>
          <w:szCs w:val="24"/>
        </w:rPr>
        <w:t xml:space="preserve">consiste, basicamente, na outorga ao sujeito passivo de crédito fictício – daí a adjetivação “outorgado” ou “presumido </w:t>
      </w:r>
      <w:r w:rsidRPr="00073C56">
        <w:rPr>
          <w:rFonts w:ascii="Arial" w:hAnsi="Arial" w:cs="Arial"/>
          <w:sz w:val="24"/>
          <w:szCs w:val="24"/>
        </w:rPr>
        <w:t xml:space="preserve">– para que o contribuinte possa dele se apropriar em sua escrita fiscal para efeito de compensação </w:t>
      </w:r>
      <w:r w:rsidR="00114E94">
        <w:rPr>
          <w:rFonts w:ascii="Arial" w:hAnsi="Arial" w:cs="Arial"/>
          <w:sz w:val="24"/>
          <w:szCs w:val="24"/>
        </w:rPr>
        <w:t>com</w:t>
      </w:r>
      <w:r w:rsidRPr="00073C56">
        <w:rPr>
          <w:rFonts w:ascii="Arial" w:hAnsi="Arial" w:cs="Arial"/>
          <w:sz w:val="24"/>
          <w:szCs w:val="24"/>
        </w:rPr>
        <w:t xml:space="preserve"> valores futuros a recolher do imposto. </w:t>
      </w:r>
      <w:r w:rsidRPr="00073C56">
        <w:rPr>
          <w:rFonts w:ascii="Arial" w:hAnsi="Arial" w:cs="Arial"/>
          <w:sz w:val="24"/>
          <w:szCs w:val="24"/>
          <w:u w:val="single"/>
        </w:rPr>
        <w:t>Esse crédito é concedido ao sujeito passivo independentemente de ter havido uma efetiva entrada, em seu estabelecimento, de mercadorias ou prestação de serviços ao contribuinte</w:t>
      </w:r>
      <w:r>
        <w:rPr>
          <w:rFonts w:ascii="Arial" w:hAnsi="Arial" w:cs="Arial"/>
          <w:sz w:val="24"/>
          <w:szCs w:val="24"/>
        </w:rPr>
        <w:t>, por isso difere daquele crédito decorrente da própria técnica de não cumulatividade do tributo.</w:t>
      </w:r>
    </w:p>
    <w:p w14:paraId="49E5D600" w14:textId="0D9661ED" w:rsidR="00B34D3F" w:rsidRDefault="002F2037" w:rsidP="00461BB4">
      <w:pPr>
        <w:spacing w:line="360" w:lineRule="auto"/>
        <w:ind w:firstLine="851"/>
        <w:jc w:val="both"/>
        <w:rPr>
          <w:rFonts w:ascii="Arial" w:hAnsi="Arial" w:cs="Arial"/>
          <w:sz w:val="24"/>
          <w:szCs w:val="24"/>
        </w:rPr>
      </w:pPr>
      <w:r>
        <w:rPr>
          <w:rFonts w:ascii="Arial" w:hAnsi="Arial" w:cs="Arial"/>
          <w:sz w:val="24"/>
          <w:szCs w:val="24"/>
        </w:rPr>
        <w:t xml:space="preserve">Na realidade, </w:t>
      </w:r>
      <w:r w:rsidR="006A4A5D" w:rsidRPr="006A4A5D">
        <w:rPr>
          <w:rFonts w:ascii="Arial" w:hAnsi="Arial" w:cs="Arial"/>
          <w:b/>
          <w:sz w:val="24"/>
          <w:szCs w:val="24"/>
        </w:rPr>
        <w:t>a doutrina não é unânime sobre a natureza jurídica do crédito outorgado</w:t>
      </w:r>
      <w:r w:rsidR="006A4A5D">
        <w:rPr>
          <w:rFonts w:ascii="Arial" w:hAnsi="Arial" w:cs="Arial"/>
          <w:sz w:val="24"/>
          <w:szCs w:val="24"/>
        </w:rPr>
        <w:t>, visto que</w:t>
      </w:r>
      <w:r w:rsidR="00B34D3F" w:rsidRPr="00B34D3F">
        <w:rPr>
          <w:rFonts w:ascii="Arial" w:hAnsi="Arial" w:cs="Arial"/>
          <w:sz w:val="24"/>
          <w:szCs w:val="24"/>
        </w:rPr>
        <w:t xml:space="preserve"> pode assumir </w:t>
      </w:r>
      <w:r w:rsidR="00B34D3F" w:rsidRPr="00B34D3F">
        <w:rPr>
          <w:rFonts w:ascii="Arial" w:hAnsi="Arial" w:cs="Arial"/>
          <w:b/>
          <w:sz w:val="24"/>
          <w:szCs w:val="24"/>
        </w:rPr>
        <w:t>2 (duas) formas principais</w:t>
      </w:r>
      <w:r w:rsidR="00B34D3F">
        <w:rPr>
          <w:rFonts w:ascii="Arial" w:hAnsi="Arial" w:cs="Arial"/>
          <w:sz w:val="24"/>
          <w:szCs w:val="24"/>
        </w:rPr>
        <w:t xml:space="preserve">, uma de </w:t>
      </w:r>
      <w:r w:rsidR="00B34D3F" w:rsidRPr="00B34D3F">
        <w:rPr>
          <w:rFonts w:ascii="Arial" w:hAnsi="Arial" w:cs="Arial"/>
          <w:sz w:val="24"/>
          <w:szCs w:val="24"/>
          <w:u w:val="single"/>
        </w:rPr>
        <w:t>incentivo fiscal</w:t>
      </w:r>
      <w:r w:rsidR="00B34D3F">
        <w:rPr>
          <w:rFonts w:ascii="Arial" w:hAnsi="Arial" w:cs="Arial"/>
          <w:sz w:val="24"/>
          <w:szCs w:val="24"/>
        </w:rPr>
        <w:t xml:space="preserve">, ao lado da isenção, da redução da base de cálculo e outras benesses; e outra de </w:t>
      </w:r>
      <w:r w:rsidR="00B34D3F" w:rsidRPr="00B34D3F">
        <w:rPr>
          <w:rFonts w:ascii="Arial" w:hAnsi="Arial" w:cs="Arial"/>
          <w:sz w:val="24"/>
          <w:szCs w:val="24"/>
          <w:u w:val="single"/>
        </w:rPr>
        <w:t>medida alternativa aos créditos convencionais</w:t>
      </w:r>
      <w:r w:rsidR="00073C56">
        <w:rPr>
          <w:rFonts w:ascii="Arial" w:hAnsi="Arial" w:cs="Arial"/>
          <w:sz w:val="24"/>
          <w:szCs w:val="24"/>
          <w:u w:val="single"/>
        </w:rPr>
        <w:t xml:space="preserve"> decorrentes da própria não cumulatividade do imposto</w:t>
      </w:r>
      <w:r w:rsidR="008E4ACF">
        <w:rPr>
          <w:rFonts w:ascii="Arial" w:hAnsi="Arial" w:cs="Arial"/>
          <w:sz w:val="24"/>
          <w:szCs w:val="24"/>
        </w:rPr>
        <w:t>, segundo classificação proposta por Deonísio Koch</w:t>
      </w:r>
      <w:r w:rsidR="008E4ACF">
        <w:rPr>
          <w:rStyle w:val="Refdenotaderodap"/>
          <w:rFonts w:ascii="Arial" w:hAnsi="Arial" w:cs="Arial"/>
          <w:sz w:val="24"/>
          <w:szCs w:val="24"/>
        </w:rPr>
        <w:footnoteReference w:id="75"/>
      </w:r>
      <w:r w:rsidR="008E4ACF">
        <w:rPr>
          <w:rFonts w:ascii="Arial" w:hAnsi="Arial" w:cs="Arial"/>
          <w:sz w:val="24"/>
          <w:szCs w:val="24"/>
        </w:rPr>
        <w:t>, auditor da receita estadual de Santa Catarina</w:t>
      </w:r>
      <w:r w:rsidR="006A4A5D">
        <w:rPr>
          <w:rFonts w:ascii="Arial" w:hAnsi="Arial" w:cs="Arial"/>
          <w:sz w:val="24"/>
          <w:szCs w:val="24"/>
        </w:rPr>
        <w:t>, que em sede doutrinária assim distingue ambas as figuras</w:t>
      </w:r>
      <w:r w:rsidR="008E4ACF">
        <w:rPr>
          <w:rFonts w:ascii="Arial" w:hAnsi="Arial" w:cs="Arial"/>
          <w:sz w:val="24"/>
          <w:szCs w:val="24"/>
        </w:rPr>
        <w:t>:</w:t>
      </w:r>
    </w:p>
    <w:p w14:paraId="2222CFC7" w14:textId="07C6F6FF" w:rsidR="008E4ACF" w:rsidRDefault="008E4ACF" w:rsidP="00461BB4">
      <w:pPr>
        <w:spacing w:line="360" w:lineRule="auto"/>
        <w:ind w:firstLine="851"/>
        <w:jc w:val="both"/>
        <w:rPr>
          <w:rFonts w:ascii="Arial" w:hAnsi="Arial" w:cs="Arial"/>
          <w:sz w:val="24"/>
          <w:szCs w:val="24"/>
        </w:rPr>
      </w:pPr>
    </w:p>
    <w:p w14:paraId="0E20B12C" w14:textId="77777777" w:rsidR="008E4ACF" w:rsidRPr="008E4ACF" w:rsidRDefault="008E4ACF" w:rsidP="00093ED0">
      <w:pPr>
        <w:ind w:left="2268"/>
        <w:jc w:val="both"/>
        <w:rPr>
          <w:rFonts w:ascii="Arial" w:hAnsi="Arial" w:cs="Arial"/>
          <w:sz w:val="22"/>
          <w:szCs w:val="22"/>
        </w:rPr>
      </w:pPr>
      <w:r w:rsidRPr="008E4ACF">
        <w:rPr>
          <w:rFonts w:ascii="Arial" w:hAnsi="Arial" w:cs="Arial"/>
          <w:sz w:val="22"/>
          <w:szCs w:val="22"/>
        </w:rPr>
        <w:t xml:space="preserve">Levando em consideração a finalidade, podemos classifica o crédito presumido em </w:t>
      </w:r>
      <w:r w:rsidRPr="008A7AE5">
        <w:rPr>
          <w:rFonts w:ascii="Arial" w:hAnsi="Arial" w:cs="Arial"/>
          <w:b/>
          <w:sz w:val="22"/>
          <w:szCs w:val="22"/>
          <w:u w:val="single"/>
        </w:rPr>
        <w:t>dois grupos: (I) benefício fiscal e (II) medida alternativa aos créditos convencionais</w:t>
      </w:r>
      <w:r w:rsidRPr="008E4ACF">
        <w:rPr>
          <w:rFonts w:ascii="Arial" w:hAnsi="Arial" w:cs="Arial"/>
          <w:sz w:val="22"/>
          <w:szCs w:val="22"/>
        </w:rPr>
        <w:t>.</w:t>
      </w:r>
    </w:p>
    <w:p w14:paraId="17398AC0" w14:textId="58FFD3CB" w:rsidR="008E4ACF" w:rsidRDefault="008E4ACF" w:rsidP="00093ED0">
      <w:pPr>
        <w:ind w:left="2268"/>
        <w:jc w:val="both"/>
        <w:rPr>
          <w:rFonts w:ascii="Arial" w:hAnsi="Arial" w:cs="Arial"/>
          <w:sz w:val="22"/>
          <w:szCs w:val="22"/>
        </w:rPr>
      </w:pPr>
      <w:r w:rsidRPr="008A7AE5">
        <w:rPr>
          <w:rFonts w:ascii="Arial" w:hAnsi="Arial" w:cs="Arial"/>
          <w:b/>
          <w:sz w:val="22"/>
          <w:szCs w:val="22"/>
        </w:rPr>
        <w:t>Na primeira hipótese, o crédito presumido opera no plano de benefício fiscal</w:t>
      </w:r>
      <w:r w:rsidRPr="008E4ACF">
        <w:rPr>
          <w:rFonts w:ascii="Arial" w:hAnsi="Arial" w:cs="Arial"/>
          <w:sz w:val="22"/>
          <w:szCs w:val="22"/>
        </w:rPr>
        <w:t xml:space="preserve">, ao lado da isenção, redução da base de cálculo, </w:t>
      </w:r>
      <w:r w:rsidRPr="008E4ACF">
        <w:rPr>
          <w:rFonts w:ascii="Arial" w:hAnsi="Arial" w:cs="Arial"/>
          <w:sz w:val="22"/>
          <w:szCs w:val="22"/>
        </w:rPr>
        <w:lastRenderedPageBreak/>
        <w:t xml:space="preserve">remissão, entre outras formas de benesses. Nesta perspectiva </w:t>
      </w:r>
      <w:r w:rsidRPr="008A7AE5">
        <w:rPr>
          <w:rFonts w:ascii="Arial" w:hAnsi="Arial" w:cs="Arial"/>
          <w:sz w:val="22"/>
          <w:szCs w:val="22"/>
          <w:u w:val="single"/>
        </w:rPr>
        <w:t>a entidade tributante outorga um crédito, via norma, do qual o contribuinte se apropriará para compensar com o débito, que deverá ser devidamente registrado nos livros fiscais próprios. Nesta hipótese a sua concessão deve ser autorizada através de convênio</w:t>
      </w:r>
      <w:r w:rsidRPr="008E4ACF">
        <w:rPr>
          <w:rFonts w:ascii="Arial" w:hAnsi="Arial" w:cs="Arial"/>
          <w:sz w:val="22"/>
          <w:szCs w:val="22"/>
        </w:rPr>
        <w:t>, nos termos da LC 24/1975, sob a autorização constitucional (art. 155, § 2º, XII, “g”).</w:t>
      </w:r>
    </w:p>
    <w:p w14:paraId="696D09E1" w14:textId="2A60DD6D" w:rsidR="000604AF" w:rsidRDefault="000604AF" w:rsidP="00093ED0">
      <w:pPr>
        <w:ind w:left="2268"/>
        <w:jc w:val="both"/>
        <w:rPr>
          <w:rFonts w:ascii="Arial" w:hAnsi="Arial" w:cs="Arial"/>
          <w:sz w:val="22"/>
          <w:szCs w:val="22"/>
        </w:rPr>
      </w:pPr>
      <w:r w:rsidRPr="008A7AE5">
        <w:rPr>
          <w:rFonts w:ascii="Arial" w:hAnsi="Arial" w:cs="Arial"/>
          <w:sz w:val="22"/>
          <w:szCs w:val="22"/>
          <w:u w:val="single"/>
        </w:rPr>
        <w:t>O crédito presumido opera de forma contida no âmbito da atividade do contribuinte beneficiário e não se comunica para as operações subsequentes. Representa a possibilidade de um simples abatimento do valor do ICMS a ser pago (uma espécie de desconto)</w:t>
      </w:r>
      <w:r>
        <w:rPr>
          <w:rFonts w:ascii="Arial" w:hAnsi="Arial" w:cs="Arial"/>
          <w:sz w:val="22"/>
          <w:szCs w:val="22"/>
        </w:rPr>
        <w:t>, que será process</w:t>
      </w:r>
      <w:r w:rsidR="008A7AE5">
        <w:rPr>
          <w:rFonts w:ascii="Arial" w:hAnsi="Arial" w:cs="Arial"/>
          <w:sz w:val="22"/>
          <w:szCs w:val="22"/>
        </w:rPr>
        <w:t>ad</w:t>
      </w:r>
      <w:r>
        <w:rPr>
          <w:rFonts w:ascii="Arial" w:hAnsi="Arial" w:cs="Arial"/>
          <w:sz w:val="22"/>
          <w:szCs w:val="22"/>
        </w:rPr>
        <w:t>o internamente, no âmbito da escrituração fiscal (livro de apuração do ICMS)</w:t>
      </w:r>
      <w:r w:rsidR="002C0769">
        <w:rPr>
          <w:rFonts w:ascii="Arial" w:hAnsi="Arial" w:cs="Arial"/>
          <w:sz w:val="22"/>
          <w:szCs w:val="22"/>
        </w:rPr>
        <w:t>, que não será consignado no documento fiscal a ser emitido para dar cobertura às operações ou prestações subsequentes</w:t>
      </w:r>
      <w:r w:rsidR="00ED3558">
        <w:rPr>
          <w:rFonts w:ascii="Arial" w:hAnsi="Arial" w:cs="Arial"/>
          <w:sz w:val="22"/>
          <w:szCs w:val="22"/>
        </w:rPr>
        <w:t>.</w:t>
      </w:r>
    </w:p>
    <w:p w14:paraId="33AB09DD" w14:textId="4F123C7D" w:rsidR="002C0769" w:rsidRDefault="002C0769" w:rsidP="00093ED0">
      <w:pPr>
        <w:ind w:left="2268"/>
        <w:jc w:val="both"/>
        <w:rPr>
          <w:rFonts w:ascii="Arial" w:hAnsi="Arial" w:cs="Arial"/>
          <w:sz w:val="22"/>
          <w:szCs w:val="22"/>
        </w:rPr>
      </w:pPr>
      <w:r>
        <w:rPr>
          <w:rFonts w:ascii="Arial" w:hAnsi="Arial" w:cs="Arial"/>
          <w:sz w:val="22"/>
          <w:szCs w:val="22"/>
        </w:rPr>
        <w:t>[...].</w:t>
      </w:r>
    </w:p>
    <w:p w14:paraId="09A76AFE" w14:textId="4080EFAB" w:rsidR="002C0769" w:rsidRDefault="002C0769" w:rsidP="00093ED0">
      <w:pPr>
        <w:ind w:left="2268"/>
        <w:jc w:val="both"/>
        <w:rPr>
          <w:rFonts w:ascii="Arial" w:hAnsi="Arial" w:cs="Arial"/>
          <w:sz w:val="22"/>
          <w:szCs w:val="22"/>
        </w:rPr>
      </w:pPr>
      <w:r w:rsidRPr="008A7AE5">
        <w:rPr>
          <w:rFonts w:ascii="Arial" w:hAnsi="Arial" w:cs="Arial"/>
          <w:b/>
          <w:sz w:val="22"/>
          <w:szCs w:val="22"/>
        </w:rPr>
        <w:t>A segunda modalidade do crédito presumido ocorre como medida alternativa aos créditos convencionais, visando unicamente preservar o princípio da não cumulatividade do imposto, seguindo uma metodologia alternativa</w:t>
      </w:r>
      <w:r>
        <w:rPr>
          <w:rFonts w:ascii="Arial" w:hAnsi="Arial" w:cs="Arial"/>
          <w:sz w:val="22"/>
          <w:szCs w:val="22"/>
        </w:rPr>
        <w:t xml:space="preserve">. Nesta hipótese, a administração tributária oferece o crédito presumido ao contribuinte como uma opção, no lugar da apropriação do crédito de forma convencional, cabendo a ele renunciar a todos os demais créditos a que teria direito pela entrada de mercadorias ou serviços. </w:t>
      </w:r>
      <w:r w:rsidRPr="008A7AE5">
        <w:rPr>
          <w:rFonts w:ascii="Arial" w:hAnsi="Arial" w:cs="Arial"/>
          <w:sz w:val="22"/>
          <w:szCs w:val="22"/>
          <w:u w:val="single"/>
        </w:rPr>
        <w:t>É uma forma simplificada de mesurar o montante do crédito. Devido à complexidade da legislação com relação a esta matéria específica, em certos setores da economia, pode ser uma alternativa atraente para o contribuinte, visando a simplificação operacional</w:t>
      </w:r>
      <w:r>
        <w:rPr>
          <w:rFonts w:ascii="Arial" w:hAnsi="Arial" w:cs="Arial"/>
          <w:sz w:val="22"/>
          <w:szCs w:val="22"/>
        </w:rPr>
        <w:t>. O setor de transporte normalmente é agraciado com esta alternativa.</w:t>
      </w:r>
    </w:p>
    <w:p w14:paraId="505B601F" w14:textId="4FCA5A85" w:rsidR="00FC68EF" w:rsidRDefault="002C0769" w:rsidP="00093ED0">
      <w:pPr>
        <w:ind w:left="2268"/>
        <w:jc w:val="both"/>
        <w:rPr>
          <w:rFonts w:ascii="Arial" w:hAnsi="Arial" w:cs="Arial"/>
          <w:sz w:val="22"/>
          <w:szCs w:val="22"/>
        </w:rPr>
      </w:pPr>
      <w:r>
        <w:rPr>
          <w:rFonts w:ascii="Arial" w:hAnsi="Arial" w:cs="Arial"/>
          <w:sz w:val="22"/>
          <w:szCs w:val="22"/>
        </w:rPr>
        <w:t xml:space="preserve">Importante ressaltar que nesta segunda modalidade de crédito presumido, não pode a adesão ser obrigatória, sob pena de a imposição ferir o direito subjetivo ao crédito do imposto na sua forma convencional. [...] </w:t>
      </w:r>
      <w:r w:rsidRPr="008A7AE5">
        <w:rPr>
          <w:rFonts w:ascii="Arial" w:hAnsi="Arial" w:cs="Arial"/>
          <w:sz w:val="22"/>
          <w:szCs w:val="22"/>
          <w:u w:val="single"/>
        </w:rPr>
        <w:t>Obviamente, não pode ser cumulativo e nem pode resultar em crédito maior àquele que seria apurado pelo regime normal, sob pena de operar como benefício fiscal</w:t>
      </w:r>
      <w:r>
        <w:rPr>
          <w:rFonts w:ascii="Arial" w:hAnsi="Arial" w:cs="Arial"/>
          <w:sz w:val="22"/>
          <w:szCs w:val="22"/>
        </w:rPr>
        <w:t>.</w:t>
      </w:r>
    </w:p>
    <w:p w14:paraId="1B098FFA" w14:textId="77777777" w:rsidR="008E4ACF" w:rsidRDefault="008E4ACF" w:rsidP="00461BB4">
      <w:pPr>
        <w:spacing w:line="360" w:lineRule="auto"/>
        <w:ind w:firstLine="851"/>
        <w:jc w:val="both"/>
        <w:rPr>
          <w:rFonts w:ascii="Arial" w:hAnsi="Arial" w:cs="Arial"/>
          <w:sz w:val="24"/>
          <w:szCs w:val="24"/>
        </w:rPr>
      </w:pPr>
    </w:p>
    <w:p w14:paraId="711D7A1A" w14:textId="53E5DCC7" w:rsidR="006A4A5D" w:rsidRDefault="006A4A5D" w:rsidP="00461BB4">
      <w:pPr>
        <w:spacing w:line="360" w:lineRule="auto"/>
        <w:ind w:firstLine="851"/>
        <w:jc w:val="both"/>
        <w:rPr>
          <w:rFonts w:ascii="Arial" w:hAnsi="Arial" w:cs="Arial"/>
          <w:sz w:val="24"/>
          <w:szCs w:val="24"/>
        </w:rPr>
      </w:pPr>
      <w:r>
        <w:rPr>
          <w:rFonts w:ascii="Arial" w:hAnsi="Arial" w:cs="Arial"/>
          <w:sz w:val="24"/>
          <w:szCs w:val="24"/>
        </w:rPr>
        <w:t xml:space="preserve">Não obstante, </w:t>
      </w:r>
      <w:r w:rsidRPr="00EA2991">
        <w:rPr>
          <w:rFonts w:ascii="Arial" w:hAnsi="Arial" w:cs="Arial"/>
          <w:b/>
          <w:sz w:val="24"/>
          <w:szCs w:val="24"/>
        </w:rPr>
        <w:t>entende-se que mesmo nessa última hipótese, de medida alternativa, o crédito outorgado se constituir</w:t>
      </w:r>
      <w:r w:rsidR="001104CD" w:rsidRPr="00EA2991">
        <w:rPr>
          <w:rFonts w:ascii="Arial" w:hAnsi="Arial" w:cs="Arial"/>
          <w:b/>
          <w:sz w:val="24"/>
          <w:szCs w:val="24"/>
        </w:rPr>
        <w:t>á</w:t>
      </w:r>
      <w:r w:rsidR="00CA55FB" w:rsidRPr="00EA2991">
        <w:rPr>
          <w:rFonts w:ascii="Arial" w:hAnsi="Arial" w:cs="Arial"/>
          <w:b/>
          <w:sz w:val="24"/>
          <w:szCs w:val="24"/>
        </w:rPr>
        <w:t>,</w:t>
      </w:r>
      <w:r w:rsidRPr="00EA2991">
        <w:rPr>
          <w:rFonts w:ascii="Arial" w:hAnsi="Arial" w:cs="Arial"/>
          <w:b/>
          <w:sz w:val="24"/>
          <w:szCs w:val="24"/>
        </w:rPr>
        <w:t xml:space="preserve"> na prática</w:t>
      </w:r>
      <w:r w:rsidR="00CA55FB" w:rsidRPr="00EA2991">
        <w:rPr>
          <w:rFonts w:ascii="Arial" w:hAnsi="Arial" w:cs="Arial"/>
          <w:b/>
          <w:sz w:val="24"/>
          <w:szCs w:val="24"/>
        </w:rPr>
        <w:t>,</w:t>
      </w:r>
      <w:r w:rsidRPr="00EA2991">
        <w:rPr>
          <w:rFonts w:ascii="Arial" w:hAnsi="Arial" w:cs="Arial"/>
          <w:b/>
          <w:sz w:val="24"/>
          <w:szCs w:val="24"/>
        </w:rPr>
        <w:t xml:space="preserve"> em verdadeiro benef</w:t>
      </w:r>
      <w:r w:rsidR="00CA55FB" w:rsidRPr="00EA2991">
        <w:rPr>
          <w:rFonts w:ascii="Arial" w:hAnsi="Arial" w:cs="Arial"/>
          <w:b/>
          <w:sz w:val="24"/>
          <w:szCs w:val="24"/>
        </w:rPr>
        <w:t>ício fiscal</w:t>
      </w:r>
      <w:r w:rsidR="00CA55FB" w:rsidRPr="00EA2991">
        <w:rPr>
          <w:rFonts w:ascii="Arial" w:hAnsi="Arial" w:cs="Arial"/>
          <w:sz w:val="24"/>
          <w:szCs w:val="24"/>
        </w:rPr>
        <w:t xml:space="preserve">, </w:t>
      </w:r>
      <w:r w:rsidR="001104CD" w:rsidRPr="00EA2991">
        <w:rPr>
          <w:rFonts w:ascii="Arial" w:hAnsi="Arial" w:cs="Arial"/>
          <w:sz w:val="24"/>
          <w:szCs w:val="24"/>
          <w:u w:val="single"/>
        </w:rPr>
        <w:t>sempre que essa sistemática resultar em crédito maior do que aquele que seria apurado pelo regime normal de tributação</w:t>
      </w:r>
      <w:r w:rsidR="00EA2991" w:rsidRPr="00EA2991">
        <w:rPr>
          <w:rFonts w:ascii="Arial" w:hAnsi="Arial" w:cs="Arial"/>
          <w:sz w:val="24"/>
          <w:szCs w:val="24"/>
        </w:rPr>
        <w:t>,</w:t>
      </w:r>
      <w:r w:rsidR="00EA2991">
        <w:rPr>
          <w:rFonts w:ascii="Arial" w:hAnsi="Arial" w:cs="Arial"/>
          <w:sz w:val="24"/>
          <w:szCs w:val="24"/>
        </w:rPr>
        <w:t xml:space="preserve"> como o próprio doutrinador acima transcrito admite</w:t>
      </w:r>
      <w:r w:rsidR="001104CD">
        <w:rPr>
          <w:rFonts w:ascii="Arial" w:hAnsi="Arial" w:cs="Arial"/>
          <w:sz w:val="24"/>
          <w:szCs w:val="24"/>
        </w:rPr>
        <w:t xml:space="preserve">. </w:t>
      </w:r>
      <w:r w:rsidR="00EA2991">
        <w:rPr>
          <w:rFonts w:ascii="Arial" w:hAnsi="Arial" w:cs="Arial"/>
          <w:sz w:val="24"/>
          <w:szCs w:val="24"/>
        </w:rPr>
        <w:t>Assim, o só fato de a legislação estadual condicionar, eventualmente, a utilização do crédito outorgado à renúncia de quaisquer outros não se revela fator suficiente para afastar-lhe a natureza de incentivo fiscal.</w:t>
      </w:r>
    </w:p>
    <w:p w14:paraId="6AEB25C8" w14:textId="45A0B694" w:rsidR="00FC68EF" w:rsidRDefault="00FC68EF" w:rsidP="00FC68EF">
      <w:pPr>
        <w:spacing w:line="360" w:lineRule="auto"/>
        <w:ind w:firstLine="851"/>
        <w:jc w:val="both"/>
        <w:rPr>
          <w:rFonts w:ascii="Arial" w:hAnsi="Arial" w:cs="Arial"/>
          <w:sz w:val="24"/>
          <w:szCs w:val="24"/>
        </w:rPr>
      </w:pPr>
      <w:r>
        <w:rPr>
          <w:rFonts w:ascii="Arial" w:hAnsi="Arial" w:cs="Arial"/>
          <w:sz w:val="24"/>
          <w:szCs w:val="24"/>
        </w:rPr>
        <w:t>Na 4ª reunião da CPI, realizada em 13/05/2019, o servidor Adonídio Neto Vieira Junior explicou a diferença entre renúncia bruta e líquida e, na sequência, entre o crédito outorgado e uma mera isenção, nos seguintes termos:</w:t>
      </w:r>
    </w:p>
    <w:p w14:paraId="17A6013B" w14:textId="096EBDC3" w:rsidR="00FC68EF" w:rsidRDefault="00FC68EF" w:rsidP="00461BB4">
      <w:pPr>
        <w:spacing w:line="360" w:lineRule="auto"/>
        <w:ind w:firstLine="851"/>
        <w:jc w:val="both"/>
        <w:rPr>
          <w:rFonts w:ascii="Arial" w:hAnsi="Arial" w:cs="Arial"/>
          <w:sz w:val="24"/>
          <w:szCs w:val="24"/>
        </w:rPr>
      </w:pPr>
    </w:p>
    <w:p w14:paraId="3954C56E" w14:textId="373759F4" w:rsidR="00FC68EF" w:rsidRDefault="00FC68EF" w:rsidP="00093ED0">
      <w:pPr>
        <w:ind w:left="2268"/>
        <w:jc w:val="both"/>
        <w:rPr>
          <w:rFonts w:ascii="Arial" w:hAnsi="Arial" w:cs="Arial"/>
          <w:sz w:val="22"/>
          <w:szCs w:val="22"/>
        </w:rPr>
      </w:pPr>
      <w:r>
        <w:rPr>
          <w:rFonts w:ascii="Arial" w:hAnsi="Arial" w:cs="Arial"/>
          <w:sz w:val="22"/>
          <w:szCs w:val="22"/>
        </w:rPr>
        <w:lastRenderedPageBreak/>
        <w:t>[...]</w:t>
      </w:r>
      <w:r w:rsidRPr="00FC68EF">
        <w:rPr>
          <w:rFonts w:ascii="Arial" w:hAnsi="Arial" w:cs="Arial"/>
          <w:sz w:val="22"/>
          <w:szCs w:val="22"/>
        </w:rPr>
        <w:t xml:space="preserve"> </w:t>
      </w:r>
      <w:r w:rsidRPr="00FC68EF">
        <w:rPr>
          <w:rFonts w:ascii="Arial" w:hAnsi="Arial" w:cs="Arial"/>
          <w:b/>
          <w:sz w:val="22"/>
          <w:szCs w:val="22"/>
        </w:rPr>
        <w:t>Primeiro, a diferença entre renúncia bruta e renúncia líquida. Porque existe algum tipo de renúncia de receita que é só teórica</w:t>
      </w:r>
      <w:r w:rsidRPr="00FC68EF">
        <w:rPr>
          <w:rFonts w:ascii="Arial" w:hAnsi="Arial" w:cs="Arial"/>
          <w:sz w:val="22"/>
          <w:szCs w:val="22"/>
        </w:rPr>
        <w:t>. Por exemplo, a isenção do gado que vai para o frigorífico: o gado está na operação anterior; quando sai do produtor para o frigorífico, ele tem uma isenção. Mas, como lá no frigorífico há a tributação normal, se viesse tributado, eu aproveitaria esse crédito</w:t>
      </w:r>
      <w:r>
        <w:rPr>
          <w:rFonts w:ascii="Arial" w:hAnsi="Arial" w:cs="Arial"/>
          <w:sz w:val="22"/>
          <w:szCs w:val="22"/>
        </w:rPr>
        <w:t>.</w:t>
      </w:r>
      <w:r w:rsidRPr="00FC68EF">
        <w:rPr>
          <w:rFonts w:ascii="Arial" w:hAnsi="Arial" w:cs="Arial"/>
          <w:sz w:val="22"/>
          <w:szCs w:val="22"/>
        </w:rPr>
        <w:t xml:space="preserve"> </w:t>
      </w:r>
      <w:r>
        <w:rPr>
          <w:rFonts w:ascii="Arial" w:hAnsi="Arial" w:cs="Arial"/>
          <w:sz w:val="22"/>
          <w:szCs w:val="22"/>
        </w:rPr>
        <w:t>C</w:t>
      </w:r>
      <w:r w:rsidRPr="00FC68EF">
        <w:rPr>
          <w:rFonts w:ascii="Arial" w:hAnsi="Arial" w:cs="Arial"/>
          <w:sz w:val="22"/>
          <w:szCs w:val="22"/>
        </w:rPr>
        <w:t xml:space="preserve">omo veio sem tributação, eu não tenho crédito a aproveitar e tributo tanto o valor inicial quanto o valor agregado. </w:t>
      </w:r>
      <w:r w:rsidRPr="00FC68EF">
        <w:rPr>
          <w:rFonts w:ascii="Arial" w:hAnsi="Arial" w:cs="Arial"/>
          <w:b/>
          <w:sz w:val="22"/>
          <w:szCs w:val="22"/>
        </w:rPr>
        <w:t>Então, é uma isenção que, na verdade, não tem renúncia de receita, porque ela vai ser recuperada ao longo da cadeia</w:t>
      </w:r>
      <w:r w:rsidRPr="00FC68EF">
        <w:rPr>
          <w:rFonts w:ascii="Arial" w:hAnsi="Arial" w:cs="Arial"/>
          <w:sz w:val="22"/>
          <w:szCs w:val="22"/>
        </w:rPr>
        <w:t>. Então, quase toda a isenção do produtor - ou para a indústria, para o atacadista - entra em uma renúncia bruta, mas não entra na renúncia verdadeira, não afeta o caixa - talvez afete o fluxo de caixa, mas não o caixa propriamente dito.</w:t>
      </w:r>
    </w:p>
    <w:p w14:paraId="6182C1BA" w14:textId="143B2118" w:rsidR="00FC68EF" w:rsidRDefault="00FC68EF" w:rsidP="00093ED0">
      <w:pPr>
        <w:ind w:left="2268"/>
        <w:jc w:val="both"/>
        <w:rPr>
          <w:rFonts w:ascii="Arial" w:hAnsi="Arial" w:cs="Arial"/>
          <w:sz w:val="22"/>
          <w:szCs w:val="22"/>
        </w:rPr>
      </w:pPr>
      <w:r>
        <w:rPr>
          <w:rFonts w:ascii="Arial" w:hAnsi="Arial" w:cs="Arial"/>
          <w:sz w:val="22"/>
          <w:szCs w:val="22"/>
        </w:rPr>
        <w:t>[...].</w:t>
      </w:r>
    </w:p>
    <w:p w14:paraId="3B7146F2" w14:textId="3748111B" w:rsidR="00FC68EF" w:rsidRPr="008E4ACF" w:rsidRDefault="00FC68EF" w:rsidP="00093ED0">
      <w:pPr>
        <w:ind w:left="2268"/>
        <w:jc w:val="both"/>
        <w:rPr>
          <w:rFonts w:ascii="Arial" w:hAnsi="Arial" w:cs="Arial"/>
          <w:sz w:val="22"/>
          <w:szCs w:val="22"/>
        </w:rPr>
      </w:pPr>
      <w:r w:rsidRPr="00FC68EF">
        <w:rPr>
          <w:rFonts w:ascii="Arial" w:hAnsi="Arial" w:cs="Arial"/>
          <w:b/>
          <w:sz w:val="22"/>
          <w:szCs w:val="22"/>
        </w:rPr>
        <w:t>Em relação ao crédito outorgado, qual é a diferença de uma isenção para um crédito outorgado? Como eu expliquei, a isenção entra só na renúncia bruta, mas o crédito outorgado não</w:t>
      </w:r>
      <w:r w:rsidRPr="00FC68EF">
        <w:rPr>
          <w:rFonts w:ascii="Arial" w:hAnsi="Arial" w:cs="Arial"/>
          <w:sz w:val="22"/>
          <w:szCs w:val="22"/>
        </w:rPr>
        <w:t xml:space="preserve">. </w:t>
      </w:r>
      <w:r w:rsidRPr="00FC68EF">
        <w:rPr>
          <w:rFonts w:ascii="Arial" w:hAnsi="Arial" w:cs="Arial"/>
          <w:sz w:val="22"/>
          <w:szCs w:val="22"/>
          <w:u w:val="single"/>
        </w:rPr>
        <w:t>Como o ICMS é um imposto não cumulativo, então, o imposto pago na operação anterior é usado na operação seguinte</w:t>
      </w:r>
      <w:r w:rsidRPr="00FC68EF">
        <w:rPr>
          <w:rFonts w:ascii="Arial" w:hAnsi="Arial" w:cs="Arial"/>
          <w:sz w:val="22"/>
          <w:szCs w:val="22"/>
        </w:rPr>
        <w:t xml:space="preserve">. Então, se eu vendo esse copo com isenção, ele chega lá e não transfere crédito. Se eu der um crédito outorgado de 17%, alíquota 17%, ele não vai pagar nada, como se fosse isento, mas, na hora em que chega para o Deputado Álvaro Guimarães, ele aproveita os 17% de crédito. </w:t>
      </w:r>
      <w:r w:rsidRPr="00FC68EF">
        <w:rPr>
          <w:rFonts w:ascii="Arial" w:hAnsi="Arial" w:cs="Arial"/>
          <w:b/>
          <w:sz w:val="22"/>
          <w:szCs w:val="22"/>
        </w:rPr>
        <w:t>Ele entra como crédito. Então, a diferença entre o crédito outorgado e a isenção, ou para uma redução de base de cálculo, é que o crédito outorgado gera riqueza, ele gera valor para a empresa</w:t>
      </w:r>
      <w:r w:rsidRPr="00FC68EF">
        <w:rPr>
          <w:rFonts w:ascii="Arial" w:hAnsi="Arial" w:cs="Arial"/>
          <w:sz w:val="22"/>
          <w:szCs w:val="22"/>
        </w:rPr>
        <w:t xml:space="preserve">. Fora isso, pode haver o acúmulo de créditos, quando ele é maior do que a geração de imposto - mas isso mais na questão de crédito de investimento ou nessas leis específicas que o senhor citou. </w:t>
      </w:r>
      <w:r>
        <w:rPr>
          <w:rFonts w:ascii="Arial" w:hAnsi="Arial" w:cs="Arial"/>
          <w:sz w:val="22"/>
          <w:szCs w:val="22"/>
        </w:rPr>
        <w:t>[...]</w:t>
      </w:r>
      <w:r w:rsidRPr="00FC68EF">
        <w:rPr>
          <w:rFonts w:ascii="Arial" w:hAnsi="Arial" w:cs="Arial"/>
          <w:sz w:val="22"/>
          <w:szCs w:val="22"/>
        </w:rPr>
        <w:t>.</w:t>
      </w:r>
    </w:p>
    <w:p w14:paraId="787295FD" w14:textId="77777777" w:rsidR="00FC68EF" w:rsidRDefault="00FC68EF" w:rsidP="00461BB4">
      <w:pPr>
        <w:spacing w:line="360" w:lineRule="auto"/>
        <w:ind w:firstLine="851"/>
        <w:jc w:val="both"/>
        <w:rPr>
          <w:rFonts w:ascii="Arial" w:hAnsi="Arial" w:cs="Arial"/>
          <w:sz w:val="24"/>
          <w:szCs w:val="24"/>
        </w:rPr>
      </w:pPr>
    </w:p>
    <w:p w14:paraId="4A04840E" w14:textId="15E53404" w:rsidR="00544E14" w:rsidRPr="00B948BA" w:rsidRDefault="00F86935" w:rsidP="00461BB4">
      <w:pPr>
        <w:spacing w:line="360" w:lineRule="auto"/>
        <w:ind w:firstLine="851"/>
        <w:jc w:val="both"/>
        <w:rPr>
          <w:rFonts w:ascii="Arial" w:hAnsi="Arial" w:cs="Arial"/>
          <w:sz w:val="24"/>
          <w:szCs w:val="24"/>
        </w:rPr>
      </w:pPr>
      <w:r>
        <w:rPr>
          <w:rFonts w:ascii="Arial" w:hAnsi="Arial" w:cs="Arial"/>
          <w:sz w:val="24"/>
          <w:szCs w:val="24"/>
        </w:rPr>
        <w:t xml:space="preserve">Portanto, apenas para fins de clareza </w:t>
      </w:r>
      <w:r w:rsidR="00847BB3">
        <w:rPr>
          <w:rFonts w:ascii="Arial" w:hAnsi="Arial" w:cs="Arial"/>
          <w:sz w:val="24"/>
          <w:szCs w:val="24"/>
        </w:rPr>
        <w:t>metodológic</w:t>
      </w:r>
      <w:r>
        <w:rPr>
          <w:rFonts w:ascii="Arial" w:hAnsi="Arial" w:cs="Arial"/>
          <w:sz w:val="24"/>
          <w:szCs w:val="24"/>
        </w:rPr>
        <w:t>a</w:t>
      </w:r>
      <w:r w:rsidR="00847BB3">
        <w:rPr>
          <w:rFonts w:ascii="Arial" w:hAnsi="Arial" w:cs="Arial"/>
          <w:sz w:val="24"/>
          <w:szCs w:val="24"/>
        </w:rPr>
        <w:t>, neste relatório o crédito outorgado será considerado, para todos os efeitos, como benefício fiscal.</w:t>
      </w:r>
    </w:p>
    <w:p w14:paraId="39A4CD19" w14:textId="09D0D70A" w:rsidR="00A0218B" w:rsidRDefault="00A0218B" w:rsidP="000825A6">
      <w:pPr>
        <w:spacing w:line="360" w:lineRule="auto"/>
        <w:ind w:left="851"/>
        <w:jc w:val="both"/>
        <w:rPr>
          <w:rFonts w:ascii="Arial" w:hAnsi="Arial" w:cs="Arial"/>
          <w:sz w:val="24"/>
          <w:szCs w:val="24"/>
        </w:rPr>
      </w:pPr>
    </w:p>
    <w:p w14:paraId="2BD64FE9" w14:textId="0503D15F" w:rsidR="006B3567" w:rsidRDefault="006B3567" w:rsidP="00A22842">
      <w:pPr>
        <w:spacing w:line="360" w:lineRule="auto"/>
        <w:ind w:firstLine="851"/>
        <w:jc w:val="both"/>
        <w:rPr>
          <w:rFonts w:ascii="Arial" w:hAnsi="Arial" w:cs="Arial"/>
          <w:sz w:val="24"/>
          <w:szCs w:val="24"/>
        </w:rPr>
      </w:pPr>
      <w:r w:rsidRPr="00EB04D3">
        <w:rPr>
          <w:rFonts w:ascii="Arial" w:hAnsi="Arial" w:cs="Arial"/>
          <w:b/>
          <w:sz w:val="24"/>
          <w:szCs w:val="24"/>
        </w:rPr>
        <w:t>7.</w:t>
      </w:r>
      <w:r>
        <w:rPr>
          <w:rFonts w:ascii="Arial" w:hAnsi="Arial" w:cs="Arial"/>
          <w:b/>
          <w:sz w:val="24"/>
          <w:szCs w:val="24"/>
        </w:rPr>
        <w:t>2</w:t>
      </w:r>
      <w:r w:rsidRPr="00EB04D3">
        <w:rPr>
          <w:rFonts w:ascii="Arial" w:hAnsi="Arial" w:cs="Arial"/>
          <w:b/>
          <w:sz w:val="24"/>
          <w:szCs w:val="24"/>
        </w:rPr>
        <w:t xml:space="preserve"> –</w:t>
      </w:r>
      <w:r>
        <w:rPr>
          <w:rFonts w:ascii="Arial" w:hAnsi="Arial" w:cs="Arial"/>
          <w:b/>
          <w:sz w:val="24"/>
          <w:szCs w:val="24"/>
        </w:rPr>
        <w:t xml:space="preserve"> </w:t>
      </w:r>
      <w:r w:rsidR="003E5CE8">
        <w:rPr>
          <w:rFonts w:ascii="Arial" w:hAnsi="Arial" w:cs="Arial"/>
          <w:b/>
          <w:sz w:val="24"/>
          <w:szCs w:val="24"/>
        </w:rPr>
        <w:t>IMPACTO DO CRÉDITO OUTORGADO NO MONTANTE DE RENÚNCIA DE RECEITA PREVISTO NAS LEIS ORÇAMENTÁRIAS ANUAIS DO ESTADO</w:t>
      </w:r>
      <w:r w:rsidR="00760A9F">
        <w:rPr>
          <w:rFonts w:ascii="Arial" w:hAnsi="Arial" w:cs="Arial"/>
          <w:b/>
          <w:sz w:val="24"/>
          <w:szCs w:val="24"/>
        </w:rPr>
        <w:t xml:space="preserve"> DE GOIÁS E NA ESCRITURAÇÃO FISCAL DIGITAL (EFD) DAS EMPRESAS</w:t>
      </w:r>
    </w:p>
    <w:p w14:paraId="78F0822A" w14:textId="77777777" w:rsidR="006B3567" w:rsidRDefault="006B3567" w:rsidP="00263CCF">
      <w:pPr>
        <w:spacing w:line="360" w:lineRule="auto"/>
        <w:ind w:firstLine="851"/>
        <w:jc w:val="both"/>
        <w:rPr>
          <w:rFonts w:ascii="Arial" w:hAnsi="Arial" w:cs="Arial"/>
          <w:b/>
          <w:sz w:val="24"/>
          <w:szCs w:val="24"/>
        </w:rPr>
      </w:pPr>
    </w:p>
    <w:p w14:paraId="77F6136D" w14:textId="516FBF18" w:rsidR="00CF5497" w:rsidRDefault="00E7705A" w:rsidP="00263CCF">
      <w:pPr>
        <w:spacing w:line="360" w:lineRule="auto"/>
        <w:ind w:firstLine="851"/>
        <w:jc w:val="both"/>
        <w:rPr>
          <w:rFonts w:ascii="Arial" w:hAnsi="Arial" w:cs="Arial"/>
          <w:sz w:val="24"/>
          <w:szCs w:val="24"/>
        </w:rPr>
      </w:pPr>
      <w:r w:rsidRPr="00BD66E1">
        <w:rPr>
          <w:rFonts w:ascii="Arial" w:hAnsi="Arial" w:cs="Arial"/>
          <w:b/>
          <w:sz w:val="24"/>
          <w:szCs w:val="24"/>
        </w:rPr>
        <w:t>7.</w:t>
      </w:r>
      <w:r w:rsidR="00A22842">
        <w:rPr>
          <w:rFonts w:ascii="Arial" w:hAnsi="Arial" w:cs="Arial"/>
          <w:b/>
          <w:sz w:val="24"/>
          <w:szCs w:val="24"/>
        </w:rPr>
        <w:t>2</w:t>
      </w:r>
      <w:r w:rsidRPr="00BD66E1">
        <w:rPr>
          <w:rFonts w:ascii="Arial" w:hAnsi="Arial" w:cs="Arial"/>
          <w:b/>
          <w:sz w:val="24"/>
          <w:szCs w:val="24"/>
        </w:rPr>
        <w:t>.</w:t>
      </w:r>
      <w:r w:rsidR="00A22842">
        <w:rPr>
          <w:rFonts w:ascii="Arial" w:hAnsi="Arial" w:cs="Arial"/>
          <w:b/>
          <w:sz w:val="24"/>
          <w:szCs w:val="24"/>
        </w:rPr>
        <w:t>1</w:t>
      </w:r>
      <w:r w:rsidRPr="00BD66E1">
        <w:rPr>
          <w:rFonts w:ascii="Arial" w:hAnsi="Arial" w:cs="Arial"/>
          <w:b/>
          <w:sz w:val="24"/>
          <w:szCs w:val="24"/>
        </w:rPr>
        <w:t>.</w:t>
      </w:r>
      <w:r>
        <w:rPr>
          <w:rFonts w:ascii="Arial" w:hAnsi="Arial" w:cs="Arial"/>
          <w:b/>
          <w:sz w:val="24"/>
          <w:szCs w:val="24"/>
        </w:rPr>
        <w:t xml:space="preserve"> </w:t>
      </w:r>
      <w:r w:rsidR="006E7A44">
        <w:rPr>
          <w:rFonts w:ascii="Arial" w:hAnsi="Arial" w:cs="Arial"/>
          <w:sz w:val="24"/>
          <w:szCs w:val="24"/>
        </w:rPr>
        <w:t>A fim de</w:t>
      </w:r>
      <w:r w:rsidR="00263CCF">
        <w:rPr>
          <w:rFonts w:ascii="Arial" w:hAnsi="Arial" w:cs="Arial"/>
          <w:sz w:val="24"/>
          <w:szCs w:val="24"/>
        </w:rPr>
        <w:t xml:space="preserve"> melhor compreender a importância do </w:t>
      </w:r>
      <w:r w:rsidR="00263CCF" w:rsidRPr="00A22842">
        <w:rPr>
          <w:rFonts w:ascii="Arial" w:hAnsi="Arial" w:cs="Arial"/>
          <w:b/>
          <w:sz w:val="24"/>
          <w:szCs w:val="24"/>
          <w:u w:val="single"/>
        </w:rPr>
        <w:t>cr</w:t>
      </w:r>
      <w:r w:rsidR="00CF5497" w:rsidRPr="00A22842">
        <w:rPr>
          <w:rFonts w:ascii="Arial" w:hAnsi="Arial" w:cs="Arial"/>
          <w:b/>
          <w:sz w:val="24"/>
          <w:szCs w:val="24"/>
          <w:u w:val="single"/>
        </w:rPr>
        <w:t>édito outorgado</w:t>
      </w:r>
      <w:r w:rsidR="00087064" w:rsidRPr="00A22842">
        <w:rPr>
          <w:rFonts w:ascii="Arial" w:hAnsi="Arial" w:cs="Arial"/>
          <w:sz w:val="24"/>
          <w:szCs w:val="24"/>
        </w:rPr>
        <w:t xml:space="preserve">, </w:t>
      </w:r>
      <w:r w:rsidR="006E7A44" w:rsidRPr="00A22842">
        <w:rPr>
          <w:rFonts w:ascii="Arial" w:hAnsi="Arial" w:cs="Arial"/>
          <w:sz w:val="24"/>
          <w:szCs w:val="24"/>
        </w:rPr>
        <w:t>esta CPI requisitou à Secretaria de Estado da Economia</w:t>
      </w:r>
      <w:r w:rsidR="006E7A44" w:rsidRPr="00A22842">
        <w:rPr>
          <w:rFonts w:ascii="Arial" w:hAnsi="Arial" w:cs="Arial"/>
          <w:b/>
          <w:sz w:val="24"/>
          <w:szCs w:val="24"/>
        </w:rPr>
        <w:t xml:space="preserve"> (Ofício nº 0</w:t>
      </w:r>
      <w:r w:rsidR="00DB67D6">
        <w:rPr>
          <w:rFonts w:ascii="Arial" w:hAnsi="Arial" w:cs="Arial"/>
          <w:b/>
          <w:sz w:val="24"/>
          <w:szCs w:val="24"/>
        </w:rPr>
        <w:t>9</w:t>
      </w:r>
      <w:r w:rsidR="006E7A44" w:rsidRPr="00A22842">
        <w:rPr>
          <w:rFonts w:ascii="Arial" w:hAnsi="Arial" w:cs="Arial"/>
          <w:b/>
          <w:sz w:val="24"/>
          <w:szCs w:val="24"/>
        </w:rPr>
        <w:t>/2019</w:t>
      </w:r>
      <w:r w:rsidR="00DB67D6">
        <w:rPr>
          <w:rFonts w:ascii="Arial" w:hAnsi="Arial" w:cs="Arial"/>
          <w:b/>
          <w:sz w:val="24"/>
          <w:szCs w:val="24"/>
        </w:rPr>
        <w:t>, item 2</w:t>
      </w:r>
      <w:r w:rsidR="006E7A44" w:rsidRPr="00A22842">
        <w:rPr>
          <w:rFonts w:ascii="Arial" w:hAnsi="Arial" w:cs="Arial"/>
          <w:b/>
          <w:sz w:val="24"/>
          <w:szCs w:val="24"/>
        </w:rPr>
        <w:t>)</w:t>
      </w:r>
      <w:r w:rsidR="006E7A44" w:rsidRPr="00A22842">
        <w:rPr>
          <w:rFonts w:ascii="Arial" w:hAnsi="Arial" w:cs="Arial"/>
          <w:sz w:val="24"/>
          <w:szCs w:val="24"/>
        </w:rPr>
        <w:t xml:space="preserve"> infor</w:t>
      </w:r>
      <w:r w:rsidR="006E7A44">
        <w:rPr>
          <w:rFonts w:ascii="Arial" w:hAnsi="Arial" w:cs="Arial"/>
          <w:sz w:val="24"/>
          <w:szCs w:val="24"/>
        </w:rPr>
        <w:t>maç</w:t>
      </w:r>
      <w:r w:rsidR="005C4215">
        <w:rPr>
          <w:rFonts w:ascii="Arial" w:hAnsi="Arial" w:cs="Arial"/>
          <w:sz w:val="24"/>
          <w:szCs w:val="24"/>
        </w:rPr>
        <w:t xml:space="preserve">ão quanto à </w:t>
      </w:r>
      <w:r w:rsidR="005C4215" w:rsidRPr="00A22842">
        <w:rPr>
          <w:rFonts w:ascii="Arial" w:hAnsi="Arial" w:cs="Arial"/>
          <w:b/>
          <w:sz w:val="24"/>
          <w:szCs w:val="24"/>
        </w:rPr>
        <w:t>representatividade, em termos percentuais</w:t>
      </w:r>
      <w:r w:rsidR="005C4215">
        <w:rPr>
          <w:rFonts w:ascii="Arial" w:hAnsi="Arial" w:cs="Arial"/>
          <w:sz w:val="24"/>
          <w:szCs w:val="24"/>
        </w:rPr>
        <w:t xml:space="preserve">, </w:t>
      </w:r>
      <w:r w:rsidR="00DB67D6">
        <w:rPr>
          <w:rFonts w:ascii="Arial" w:hAnsi="Arial" w:cs="Arial"/>
          <w:sz w:val="24"/>
          <w:szCs w:val="24"/>
        </w:rPr>
        <w:t>de cada</w:t>
      </w:r>
      <w:r w:rsidR="005C4215">
        <w:rPr>
          <w:rFonts w:ascii="Arial" w:hAnsi="Arial" w:cs="Arial"/>
          <w:sz w:val="24"/>
          <w:szCs w:val="24"/>
        </w:rPr>
        <w:t xml:space="preserve"> espécie de incentivo fiscal em relação ao </w:t>
      </w:r>
      <w:r w:rsidR="005C4215" w:rsidRPr="00A22842">
        <w:rPr>
          <w:rFonts w:ascii="Arial" w:hAnsi="Arial" w:cs="Arial"/>
          <w:b/>
          <w:sz w:val="24"/>
          <w:szCs w:val="24"/>
        </w:rPr>
        <w:t>total da renúncia receitas</w:t>
      </w:r>
      <w:r w:rsidR="005C4215">
        <w:rPr>
          <w:rFonts w:ascii="Arial" w:hAnsi="Arial" w:cs="Arial"/>
          <w:sz w:val="24"/>
          <w:szCs w:val="24"/>
        </w:rPr>
        <w:t xml:space="preserve"> no Estado de Goiás</w:t>
      </w:r>
      <w:r w:rsidR="00CF5497">
        <w:rPr>
          <w:rFonts w:ascii="Arial" w:hAnsi="Arial" w:cs="Arial"/>
          <w:sz w:val="24"/>
          <w:szCs w:val="24"/>
        </w:rPr>
        <w:t xml:space="preserve">. </w:t>
      </w:r>
    </w:p>
    <w:p w14:paraId="1D3ED07A" w14:textId="414C92AC" w:rsidR="00EF63B4" w:rsidRDefault="00CF5497" w:rsidP="00EF63B4">
      <w:pPr>
        <w:spacing w:line="360" w:lineRule="auto"/>
        <w:ind w:firstLine="851"/>
        <w:jc w:val="both"/>
        <w:rPr>
          <w:rFonts w:ascii="Arial" w:hAnsi="Arial" w:cs="Arial"/>
          <w:sz w:val="24"/>
          <w:szCs w:val="24"/>
        </w:rPr>
      </w:pPr>
      <w:r>
        <w:rPr>
          <w:rFonts w:ascii="Arial" w:hAnsi="Arial" w:cs="Arial"/>
          <w:sz w:val="24"/>
          <w:szCs w:val="24"/>
        </w:rPr>
        <w:t>A Secretaria respondeu, relativamente a esse pleito específico, com base nos valores estimados na LOA 2018</w:t>
      </w:r>
      <w:r w:rsidR="00DB67D6">
        <w:rPr>
          <w:rFonts w:ascii="Arial" w:hAnsi="Arial" w:cs="Arial"/>
          <w:sz w:val="24"/>
          <w:szCs w:val="24"/>
        </w:rPr>
        <w:t xml:space="preserve">, por meio de </w:t>
      </w:r>
      <w:r w:rsidRPr="00DA1D29">
        <w:rPr>
          <w:rFonts w:ascii="Arial" w:hAnsi="Arial" w:cs="Arial"/>
          <w:b/>
          <w:sz w:val="24"/>
          <w:szCs w:val="24"/>
        </w:rPr>
        <w:t xml:space="preserve">tabela que </w:t>
      </w:r>
      <w:r w:rsidR="00DB67D6" w:rsidRPr="00DA1D29">
        <w:rPr>
          <w:rFonts w:ascii="Arial" w:hAnsi="Arial" w:cs="Arial"/>
          <w:b/>
          <w:sz w:val="24"/>
          <w:szCs w:val="24"/>
        </w:rPr>
        <w:t xml:space="preserve">indica os tipos de incentivos fiscais por tributo, seus respectivos valores e termos percentuais, bem como o </w:t>
      </w:r>
      <w:r w:rsidR="00DB67D6" w:rsidRPr="00DA1D29">
        <w:rPr>
          <w:rFonts w:ascii="Arial" w:hAnsi="Arial" w:cs="Arial"/>
          <w:b/>
          <w:sz w:val="24"/>
          <w:szCs w:val="24"/>
        </w:rPr>
        <w:lastRenderedPageBreak/>
        <w:t>total da renúncia estimada para o exercício de 2018</w:t>
      </w:r>
      <w:r w:rsidR="00DA1D29">
        <w:rPr>
          <w:rFonts w:ascii="Arial" w:hAnsi="Arial" w:cs="Arial"/>
          <w:sz w:val="24"/>
          <w:szCs w:val="24"/>
        </w:rPr>
        <w:t>,</w:t>
      </w:r>
      <w:r w:rsidR="00DB67D6">
        <w:rPr>
          <w:rFonts w:ascii="Arial" w:hAnsi="Arial" w:cs="Arial"/>
          <w:sz w:val="24"/>
          <w:szCs w:val="24"/>
        </w:rPr>
        <w:t xml:space="preserve"> resumidos da seguinte forma</w:t>
      </w:r>
      <w:r>
        <w:rPr>
          <w:rFonts w:ascii="Arial" w:hAnsi="Arial" w:cs="Arial"/>
          <w:sz w:val="24"/>
          <w:szCs w:val="24"/>
        </w:rPr>
        <w:t>:</w:t>
      </w:r>
      <w:r w:rsidR="00EF63B4">
        <w:rPr>
          <w:rFonts w:ascii="Arial" w:hAnsi="Arial" w:cs="Arial"/>
          <w:sz w:val="24"/>
          <w:szCs w:val="24"/>
        </w:rPr>
        <w:t xml:space="preserve"> a) </w:t>
      </w:r>
      <w:r w:rsidR="00DB67D6" w:rsidRPr="00DB67D6">
        <w:rPr>
          <w:rFonts w:ascii="Arial" w:hAnsi="Arial" w:cs="Arial"/>
          <w:sz w:val="24"/>
          <w:szCs w:val="24"/>
          <w:u w:val="single"/>
        </w:rPr>
        <w:t>ICMS</w:t>
      </w:r>
      <w:r w:rsidR="00DB67D6">
        <w:rPr>
          <w:rFonts w:ascii="Arial" w:hAnsi="Arial" w:cs="Arial"/>
          <w:sz w:val="24"/>
          <w:szCs w:val="24"/>
        </w:rPr>
        <w:t>: crédito outorgado (50,40%), redução da base de cálculo (14,54%), isenção (</w:t>
      </w:r>
      <w:r w:rsidR="00EF63B4">
        <w:rPr>
          <w:rFonts w:ascii="Arial" w:hAnsi="Arial" w:cs="Arial"/>
          <w:sz w:val="24"/>
          <w:szCs w:val="24"/>
        </w:rPr>
        <w:t>5,06%</w:t>
      </w:r>
      <w:r w:rsidR="00DB67D6">
        <w:rPr>
          <w:rFonts w:ascii="Arial" w:hAnsi="Arial" w:cs="Arial"/>
          <w:sz w:val="24"/>
          <w:szCs w:val="24"/>
        </w:rPr>
        <w:t>), Fomentar/Produzir</w:t>
      </w:r>
      <w:r w:rsidR="00EF63B4">
        <w:rPr>
          <w:rFonts w:ascii="Arial" w:hAnsi="Arial" w:cs="Arial"/>
          <w:sz w:val="24"/>
          <w:szCs w:val="24"/>
        </w:rPr>
        <w:t xml:space="preserve"> (22,85%)</w:t>
      </w:r>
      <w:r w:rsidR="00DB67D6">
        <w:rPr>
          <w:rFonts w:ascii="Arial" w:hAnsi="Arial" w:cs="Arial"/>
          <w:sz w:val="24"/>
          <w:szCs w:val="24"/>
        </w:rPr>
        <w:t xml:space="preserve"> e anistia</w:t>
      </w:r>
      <w:r w:rsidR="00EF63B4">
        <w:rPr>
          <w:rFonts w:ascii="Arial" w:hAnsi="Arial" w:cs="Arial"/>
          <w:sz w:val="24"/>
          <w:szCs w:val="24"/>
        </w:rPr>
        <w:t xml:space="preserve"> (4,11%)</w:t>
      </w:r>
      <w:r w:rsidR="00DB67D6">
        <w:rPr>
          <w:rFonts w:ascii="Arial" w:hAnsi="Arial" w:cs="Arial"/>
          <w:sz w:val="24"/>
          <w:szCs w:val="24"/>
        </w:rPr>
        <w:t>;</w:t>
      </w:r>
      <w:r w:rsidR="00EF63B4">
        <w:rPr>
          <w:rFonts w:ascii="Arial" w:hAnsi="Arial" w:cs="Arial"/>
          <w:sz w:val="24"/>
          <w:szCs w:val="24"/>
        </w:rPr>
        <w:t xml:space="preserve"> b) </w:t>
      </w:r>
      <w:r w:rsidR="00DB67D6" w:rsidRPr="00EF63B4">
        <w:rPr>
          <w:rFonts w:ascii="Arial" w:hAnsi="Arial" w:cs="Arial"/>
          <w:sz w:val="24"/>
          <w:szCs w:val="24"/>
          <w:u w:val="single"/>
        </w:rPr>
        <w:t>IPVA</w:t>
      </w:r>
      <w:r w:rsidR="00DB67D6">
        <w:rPr>
          <w:rFonts w:ascii="Arial" w:hAnsi="Arial" w:cs="Arial"/>
          <w:sz w:val="24"/>
          <w:szCs w:val="24"/>
        </w:rPr>
        <w:t>: r</w:t>
      </w:r>
      <w:r w:rsidR="00EF63B4">
        <w:rPr>
          <w:rFonts w:ascii="Arial" w:hAnsi="Arial" w:cs="Arial"/>
          <w:sz w:val="24"/>
          <w:szCs w:val="24"/>
        </w:rPr>
        <w:t>e</w:t>
      </w:r>
      <w:r w:rsidR="00DB67D6">
        <w:rPr>
          <w:rFonts w:ascii="Arial" w:hAnsi="Arial" w:cs="Arial"/>
          <w:sz w:val="24"/>
          <w:szCs w:val="24"/>
        </w:rPr>
        <w:t>dução da base de cálculo (0,54%)</w:t>
      </w:r>
      <w:r w:rsidR="00EF63B4">
        <w:rPr>
          <w:rFonts w:ascii="Arial" w:hAnsi="Arial" w:cs="Arial"/>
          <w:sz w:val="24"/>
          <w:szCs w:val="24"/>
        </w:rPr>
        <w:t xml:space="preserve">, isenção (2,43%) e anistia (0,04%); e c) </w:t>
      </w:r>
      <w:r w:rsidR="00EF63B4">
        <w:rPr>
          <w:rFonts w:ascii="Arial" w:hAnsi="Arial" w:cs="Arial"/>
          <w:sz w:val="24"/>
          <w:szCs w:val="24"/>
          <w:u w:val="single"/>
        </w:rPr>
        <w:t>ITCD</w:t>
      </w:r>
      <w:r w:rsidR="00EF63B4">
        <w:rPr>
          <w:rFonts w:ascii="Arial" w:hAnsi="Arial" w:cs="Arial"/>
          <w:sz w:val="24"/>
          <w:szCs w:val="24"/>
        </w:rPr>
        <w:t>: anistia (0,03%).</w:t>
      </w:r>
    </w:p>
    <w:p w14:paraId="41C31504" w14:textId="13D7A1FA" w:rsidR="00EF63B4" w:rsidRDefault="00EF63B4" w:rsidP="00EF63B4">
      <w:pPr>
        <w:spacing w:line="360" w:lineRule="auto"/>
        <w:ind w:firstLine="851"/>
        <w:jc w:val="both"/>
        <w:rPr>
          <w:rFonts w:ascii="Arial" w:hAnsi="Arial" w:cs="Arial"/>
          <w:sz w:val="24"/>
          <w:szCs w:val="24"/>
        </w:rPr>
      </w:pPr>
      <w:r>
        <w:rPr>
          <w:rFonts w:ascii="Arial" w:hAnsi="Arial" w:cs="Arial"/>
          <w:sz w:val="24"/>
          <w:szCs w:val="24"/>
        </w:rPr>
        <w:t xml:space="preserve">Para melhor visualização dos valores e respectivos dos percentuais, transcreve-se abaixo a tabela ilustrativa fornecida pela Secretaria (Ofício nº </w:t>
      </w:r>
      <w:r w:rsidR="00B60BAD" w:rsidRPr="00B60BAD">
        <w:rPr>
          <w:rFonts w:ascii="Arial" w:hAnsi="Arial" w:cs="Arial"/>
          <w:sz w:val="24"/>
          <w:szCs w:val="24"/>
        </w:rPr>
        <w:t>2.756</w:t>
      </w:r>
      <w:r w:rsidR="00B60BAD">
        <w:rPr>
          <w:rFonts w:ascii="Arial" w:hAnsi="Arial" w:cs="Arial"/>
          <w:sz w:val="24"/>
          <w:szCs w:val="24"/>
        </w:rPr>
        <w:t>/2019-SEE</w:t>
      </w:r>
      <w:r>
        <w:rPr>
          <w:rFonts w:ascii="Arial" w:hAnsi="Arial" w:cs="Arial"/>
          <w:sz w:val="24"/>
          <w:szCs w:val="24"/>
        </w:rPr>
        <w:t>, p. 6)</w:t>
      </w:r>
      <w:r w:rsidR="00B60BAD">
        <w:rPr>
          <w:rFonts w:ascii="Arial" w:hAnsi="Arial" w:cs="Arial"/>
          <w:sz w:val="24"/>
          <w:szCs w:val="24"/>
        </w:rPr>
        <w:t>:</w:t>
      </w:r>
    </w:p>
    <w:p w14:paraId="526DBBAD" w14:textId="77777777" w:rsidR="00093ED0" w:rsidRPr="00DB67D6" w:rsidRDefault="00093ED0" w:rsidP="00EF63B4">
      <w:pPr>
        <w:spacing w:line="360" w:lineRule="auto"/>
        <w:ind w:firstLine="851"/>
        <w:jc w:val="both"/>
        <w:rPr>
          <w:rFonts w:ascii="Arial" w:hAnsi="Arial" w:cs="Arial"/>
          <w:sz w:val="24"/>
          <w:szCs w:val="24"/>
        </w:rPr>
      </w:pPr>
    </w:p>
    <w:p w14:paraId="22963407" w14:textId="016260AE" w:rsidR="006E7A44" w:rsidRDefault="006E7A44" w:rsidP="00CF5497">
      <w:pPr>
        <w:spacing w:line="360" w:lineRule="auto"/>
        <w:jc w:val="center"/>
        <w:rPr>
          <w:rFonts w:ascii="Arial" w:hAnsi="Arial" w:cs="Arial"/>
          <w:sz w:val="24"/>
          <w:szCs w:val="24"/>
        </w:rPr>
      </w:pPr>
      <w:r w:rsidRPr="006E7A44">
        <w:rPr>
          <w:rFonts w:ascii="Arial" w:hAnsi="Arial" w:cs="Arial"/>
          <w:noProof/>
          <w:sz w:val="24"/>
          <w:szCs w:val="24"/>
        </w:rPr>
        <w:drawing>
          <wp:inline distT="0" distB="0" distL="0" distR="0" wp14:anchorId="15016A13" wp14:editId="1BC6E409">
            <wp:extent cx="5935980" cy="6332211"/>
            <wp:effectExtent l="0" t="0" r="762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5980" cy="6332211"/>
                    </a:xfrm>
                    <a:prstGeom prst="rect">
                      <a:avLst/>
                    </a:prstGeom>
                    <a:noFill/>
                    <a:ln>
                      <a:noFill/>
                    </a:ln>
                  </pic:spPr>
                </pic:pic>
              </a:graphicData>
            </a:graphic>
          </wp:inline>
        </w:drawing>
      </w:r>
    </w:p>
    <w:p w14:paraId="66FEC8ED" w14:textId="77777777" w:rsidR="00093ED0" w:rsidRDefault="00093ED0" w:rsidP="005C60F9">
      <w:pPr>
        <w:spacing w:line="360" w:lineRule="auto"/>
        <w:ind w:firstLine="851"/>
        <w:jc w:val="both"/>
        <w:rPr>
          <w:rFonts w:ascii="Arial" w:hAnsi="Arial" w:cs="Arial"/>
          <w:sz w:val="24"/>
          <w:szCs w:val="24"/>
        </w:rPr>
      </w:pPr>
    </w:p>
    <w:p w14:paraId="6322ED24" w14:textId="24DDAB3B" w:rsidR="00977FC0" w:rsidRDefault="005C60F9" w:rsidP="005C60F9">
      <w:pPr>
        <w:spacing w:line="360" w:lineRule="auto"/>
        <w:ind w:firstLine="851"/>
        <w:jc w:val="both"/>
        <w:rPr>
          <w:rFonts w:ascii="Arial" w:hAnsi="Arial" w:cs="Arial"/>
          <w:sz w:val="24"/>
          <w:szCs w:val="24"/>
        </w:rPr>
      </w:pPr>
      <w:r>
        <w:rPr>
          <w:rFonts w:ascii="Arial" w:hAnsi="Arial" w:cs="Arial"/>
          <w:sz w:val="24"/>
          <w:szCs w:val="24"/>
        </w:rPr>
        <w:lastRenderedPageBreak/>
        <w:t>A simples análise dessa tabela nos revela que</w:t>
      </w:r>
      <w:r w:rsidR="000B60C8">
        <w:rPr>
          <w:rFonts w:ascii="Arial" w:hAnsi="Arial" w:cs="Arial"/>
          <w:sz w:val="24"/>
          <w:szCs w:val="24"/>
        </w:rPr>
        <w:t>, para o exercício financeiro de 2018,</w:t>
      </w:r>
      <w:r>
        <w:rPr>
          <w:rFonts w:ascii="Arial" w:hAnsi="Arial" w:cs="Arial"/>
          <w:sz w:val="24"/>
          <w:szCs w:val="24"/>
        </w:rPr>
        <w:t xml:space="preserve"> o </w:t>
      </w:r>
      <w:r w:rsidRPr="00A22842">
        <w:rPr>
          <w:rFonts w:ascii="Arial" w:hAnsi="Arial" w:cs="Arial"/>
          <w:b/>
          <w:sz w:val="24"/>
          <w:szCs w:val="24"/>
        </w:rPr>
        <w:t>montante estimado a título de crédito outorgado</w:t>
      </w:r>
      <w:r>
        <w:rPr>
          <w:rFonts w:ascii="Arial" w:hAnsi="Arial" w:cs="Arial"/>
          <w:sz w:val="24"/>
          <w:szCs w:val="24"/>
        </w:rPr>
        <w:t>,</w:t>
      </w:r>
      <w:r w:rsidR="006B3567">
        <w:rPr>
          <w:rFonts w:ascii="Arial" w:hAnsi="Arial" w:cs="Arial"/>
          <w:sz w:val="24"/>
          <w:szCs w:val="24"/>
        </w:rPr>
        <w:t xml:space="preserve"> no valor de R$ 4.214.000.537,23 (quatro bilhões, duzentos e quatorze milhões, quinhentos e trinta e sete mil reais e vinte e três centavos)</w:t>
      </w:r>
      <w:r w:rsidR="000B60C8">
        <w:rPr>
          <w:rFonts w:ascii="Arial" w:hAnsi="Arial" w:cs="Arial"/>
          <w:sz w:val="24"/>
          <w:szCs w:val="24"/>
        </w:rPr>
        <w:t>,</w:t>
      </w:r>
      <w:r>
        <w:rPr>
          <w:rFonts w:ascii="Arial" w:hAnsi="Arial" w:cs="Arial"/>
          <w:sz w:val="24"/>
          <w:szCs w:val="24"/>
        </w:rPr>
        <w:t xml:space="preserve"> </w:t>
      </w:r>
      <w:r w:rsidR="006B3567" w:rsidRPr="00A22842">
        <w:rPr>
          <w:rFonts w:ascii="Arial" w:hAnsi="Arial" w:cs="Arial"/>
          <w:b/>
          <w:sz w:val="24"/>
          <w:szCs w:val="24"/>
        </w:rPr>
        <w:t>SUPERA TODOS OS DEMAIS TIPOS DE INCENTIVOS FISCAIS JUNTOS</w:t>
      </w:r>
      <w:r w:rsidR="001A1D57">
        <w:rPr>
          <w:rFonts w:ascii="Arial" w:hAnsi="Arial" w:cs="Arial"/>
          <w:b/>
          <w:sz w:val="24"/>
          <w:szCs w:val="24"/>
        </w:rPr>
        <w:t xml:space="preserve"> CONCEDIDOS PELO ESTADO DE GOIÁS</w:t>
      </w:r>
      <w:r w:rsidR="006F3814" w:rsidRPr="006F3814">
        <w:rPr>
          <w:rFonts w:ascii="Arial" w:hAnsi="Arial" w:cs="Arial"/>
          <w:sz w:val="24"/>
          <w:szCs w:val="24"/>
        </w:rPr>
        <w:t xml:space="preserve">, estimados em </w:t>
      </w:r>
      <w:r w:rsidR="006F3814">
        <w:rPr>
          <w:rFonts w:ascii="Arial" w:hAnsi="Arial" w:cs="Arial"/>
          <w:sz w:val="24"/>
          <w:szCs w:val="24"/>
        </w:rPr>
        <w:t>R$ 4.147.194.078,91 (quatro bilhões, cento e quarenta e sete milhões, cento e noventa e quatro mil e setenta e oito</w:t>
      </w:r>
      <w:r w:rsidR="009D39C1">
        <w:rPr>
          <w:rFonts w:ascii="Arial" w:hAnsi="Arial" w:cs="Arial"/>
          <w:sz w:val="24"/>
          <w:szCs w:val="24"/>
        </w:rPr>
        <w:t xml:space="preserve"> reais e noventa e um centavos).</w:t>
      </w:r>
    </w:p>
    <w:p w14:paraId="4BE63FD0" w14:textId="6AD7C64C" w:rsidR="00632882" w:rsidRDefault="00657B18" w:rsidP="005C60F9">
      <w:pPr>
        <w:spacing w:line="360" w:lineRule="auto"/>
        <w:ind w:firstLine="851"/>
        <w:jc w:val="both"/>
        <w:rPr>
          <w:rFonts w:ascii="Arial" w:hAnsi="Arial" w:cs="Arial"/>
          <w:sz w:val="24"/>
          <w:szCs w:val="24"/>
        </w:rPr>
      </w:pPr>
      <w:r>
        <w:rPr>
          <w:rFonts w:ascii="Arial" w:hAnsi="Arial" w:cs="Arial"/>
          <w:sz w:val="24"/>
          <w:szCs w:val="24"/>
        </w:rPr>
        <w:t xml:space="preserve">Por </w:t>
      </w:r>
      <w:r w:rsidRPr="00657B18">
        <w:rPr>
          <w:rFonts w:ascii="Arial" w:hAnsi="Arial" w:cs="Arial"/>
          <w:b/>
          <w:sz w:val="24"/>
          <w:szCs w:val="24"/>
          <w:u w:val="single"/>
        </w:rPr>
        <w:t>ordem decrescente de</w:t>
      </w:r>
      <w:r w:rsidR="000B60C8">
        <w:rPr>
          <w:rFonts w:ascii="Arial" w:hAnsi="Arial" w:cs="Arial"/>
          <w:b/>
          <w:sz w:val="24"/>
          <w:szCs w:val="24"/>
          <w:u w:val="single"/>
        </w:rPr>
        <w:t xml:space="preserve"> volume de</w:t>
      </w:r>
      <w:r w:rsidRPr="00657B18">
        <w:rPr>
          <w:rFonts w:ascii="Arial" w:hAnsi="Arial" w:cs="Arial"/>
          <w:b/>
          <w:sz w:val="24"/>
          <w:szCs w:val="24"/>
          <w:u w:val="single"/>
        </w:rPr>
        <w:t xml:space="preserve"> utilização do crédito outorgado</w:t>
      </w:r>
      <w:r>
        <w:rPr>
          <w:rFonts w:ascii="Arial" w:hAnsi="Arial" w:cs="Arial"/>
          <w:sz w:val="24"/>
          <w:szCs w:val="24"/>
        </w:rPr>
        <w:t xml:space="preserve">, pode-se classificar os segmentos econômicos da seguinte forma: </w:t>
      </w:r>
      <w:r w:rsidRPr="00657B18">
        <w:rPr>
          <w:rFonts w:ascii="Arial" w:hAnsi="Arial" w:cs="Arial"/>
          <w:b/>
          <w:sz w:val="24"/>
          <w:szCs w:val="24"/>
        </w:rPr>
        <w:t>1º) indústria; 2º) atacado; 3º prestação de serviços; 4º) varejo; e 5º) produção agropecuária</w:t>
      </w:r>
      <w:r>
        <w:rPr>
          <w:rFonts w:ascii="Arial" w:hAnsi="Arial" w:cs="Arial"/>
          <w:sz w:val="24"/>
          <w:szCs w:val="24"/>
        </w:rPr>
        <w:t xml:space="preserve">. Importante destacar </w:t>
      </w:r>
      <w:r w:rsidR="00977FC0">
        <w:rPr>
          <w:rFonts w:ascii="Arial" w:hAnsi="Arial" w:cs="Arial"/>
          <w:sz w:val="24"/>
          <w:szCs w:val="24"/>
        </w:rPr>
        <w:t xml:space="preserve">que </w:t>
      </w:r>
      <w:r w:rsidRPr="00FE7D06">
        <w:rPr>
          <w:rFonts w:ascii="Arial" w:hAnsi="Arial" w:cs="Arial"/>
          <w:sz w:val="24"/>
          <w:szCs w:val="24"/>
          <w:u w:val="single"/>
        </w:rPr>
        <w:t>a</w:t>
      </w:r>
      <w:r w:rsidR="00977FC0" w:rsidRPr="00FE7D06">
        <w:rPr>
          <w:rFonts w:ascii="Arial" w:hAnsi="Arial" w:cs="Arial"/>
          <w:sz w:val="24"/>
          <w:szCs w:val="24"/>
          <w:u w:val="single"/>
        </w:rPr>
        <w:t xml:space="preserve"> indústria e </w:t>
      </w:r>
      <w:r w:rsidR="000B60C8" w:rsidRPr="00FE7D06">
        <w:rPr>
          <w:rFonts w:ascii="Arial" w:hAnsi="Arial" w:cs="Arial"/>
          <w:sz w:val="24"/>
          <w:szCs w:val="24"/>
          <w:u w:val="single"/>
        </w:rPr>
        <w:t xml:space="preserve">o </w:t>
      </w:r>
      <w:r w:rsidRPr="00FE7D06">
        <w:rPr>
          <w:rFonts w:ascii="Arial" w:hAnsi="Arial" w:cs="Arial"/>
          <w:sz w:val="24"/>
          <w:szCs w:val="24"/>
          <w:u w:val="single"/>
        </w:rPr>
        <w:t>atacado</w:t>
      </w:r>
      <w:r w:rsidR="006B1907" w:rsidRPr="00FE7D06">
        <w:rPr>
          <w:rFonts w:ascii="Arial" w:hAnsi="Arial" w:cs="Arial"/>
          <w:sz w:val="24"/>
          <w:szCs w:val="24"/>
          <w:u w:val="single"/>
        </w:rPr>
        <w:t xml:space="preserve">, </w:t>
      </w:r>
      <w:r w:rsidR="000B60C8" w:rsidRPr="00FE7D06">
        <w:rPr>
          <w:rFonts w:ascii="Arial" w:hAnsi="Arial" w:cs="Arial"/>
          <w:sz w:val="24"/>
          <w:szCs w:val="24"/>
          <w:u w:val="single"/>
        </w:rPr>
        <w:t xml:space="preserve">respondem juntos por </w:t>
      </w:r>
      <w:r w:rsidR="008B53E3">
        <w:rPr>
          <w:rFonts w:ascii="Arial" w:hAnsi="Arial" w:cs="Arial"/>
          <w:sz w:val="24"/>
          <w:szCs w:val="24"/>
          <w:u w:val="single"/>
        </w:rPr>
        <w:t>m</w:t>
      </w:r>
      <w:r w:rsidR="006B1907" w:rsidRPr="00FE7D06">
        <w:rPr>
          <w:rFonts w:ascii="Arial" w:hAnsi="Arial" w:cs="Arial"/>
          <w:sz w:val="24"/>
          <w:szCs w:val="24"/>
          <w:u w:val="single"/>
        </w:rPr>
        <w:t>ais de 90% (noventa por cento)</w:t>
      </w:r>
      <w:r w:rsidR="003F0CD3" w:rsidRPr="00FE7D06">
        <w:rPr>
          <w:rFonts w:ascii="Arial" w:hAnsi="Arial" w:cs="Arial"/>
          <w:sz w:val="24"/>
          <w:szCs w:val="24"/>
          <w:u w:val="single"/>
        </w:rPr>
        <w:t xml:space="preserve"> do volume de créditos outorgados</w:t>
      </w:r>
      <w:r w:rsidR="00DB67D6">
        <w:rPr>
          <w:rFonts w:ascii="Arial" w:hAnsi="Arial" w:cs="Arial"/>
          <w:sz w:val="24"/>
          <w:szCs w:val="24"/>
        </w:rPr>
        <w:t>, ao passo que prestação de serviços, varejo e produção agropecuária respondem por pouco menos de 10% (dez por cento).</w:t>
      </w:r>
    </w:p>
    <w:p w14:paraId="36AEFA81" w14:textId="217CFCC2" w:rsidR="00EE2547" w:rsidRDefault="00DB67D6" w:rsidP="005C60F9">
      <w:pPr>
        <w:spacing w:line="360" w:lineRule="auto"/>
        <w:ind w:firstLine="851"/>
        <w:jc w:val="both"/>
        <w:rPr>
          <w:rFonts w:ascii="Arial" w:hAnsi="Arial" w:cs="Arial"/>
          <w:sz w:val="24"/>
          <w:szCs w:val="24"/>
        </w:rPr>
      </w:pPr>
      <w:r>
        <w:rPr>
          <w:rFonts w:ascii="Arial" w:hAnsi="Arial" w:cs="Arial"/>
          <w:sz w:val="24"/>
          <w:szCs w:val="24"/>
        </w:rPr>
        <w:t>Embora</w:t>
      </w:r>
      <w:r w:rsidR="00EE2547">
        <w:rPr>
          <w:rFonts w:ascii="Arial" w:hAnsi="Arial" w:cs="Arial"/>
          <w:sz w:val="24"/>
          <w:szCs w:val="24"/>
        </w:rPr>
        <w:t xml:space="preserve"> os dados acima sejam referentes à estimativa de 2018, percebe-se </w:t>
      </w:r>
      <w:r w:rsidR="00EE2547" w:rsidRPr="00186A27">
        <w:rPr>
          <w:rFonts w:ascii="Arial" w:hAnsi="Arial" w:cs="Arial"/>
          <w:b/>
          <w:sz w:val="24"/>
          <w:szCs w:val="24"/>
        </w:rPr>
        <w:t xml:space="preserve">esses </w:t>
      </w:r>
      <w:r w:rsidR="00186A27" w:rsidRPr="00186A27">
        <w:rPr>
          <w:rFonts w:ascii="Arial" w:hAnsi="Arial" w:cs="Arial"/>
          <w:b/>
          <w:sz w:val="24"/>
          <w:szCs w:val="24"/>
        </w:rPr>
        <w:t xml:space="preserve">dados </w:t>
      </w:r>
      <w:r w:rsidR="00EE2547" w:rsidRPr="00186A27">
        <w:rPr>
          <w:rFonts w:ascii="Arial" w:hAnsi="Arial" w:cs="Arial"/>
          <w:b/>
          <w:sz w:val="24"/>
          <w:szCs w:val="24"/>
        </w:rPr>
        <w:t>se mantiveram</w:t>
      </w:r>
      <w:r w:rsidR="00AA5BA5" w:rsidRPr="00186A27">
        <w:rPr>
          <w:rFonts w:ascii="Arial" w:hAnsi="Arial" w:cs="Arial"/>
          <w:b/>
          <w:sz w:val="24"/>
          <w:szCs w:val="24"/>
        </w:rPr>
        <w:t xml:space="preserve"> os mesmos</w:t>
      </w:r>
      <w:r w:rsidR="00EE2547" w:rsidRPr="00186A27">
        <w:rPr>
          <w:rFonts w:ascii="Arial" w:hAnsi="Arial" w:cs="Arial"/>
          <w:b/>
          <w:sz w:val="24"/>
          <w:szCs w:val="24"/>
        </w:rPr>
        <w:t xml:space="preserve">, em essência, </w:t>
      </w:r>
      <w:r w:rsidR="00AA5BA5" w:rsidRPr="00186A27">
        <w:rPr>
          <w:rFonts w:ascii="Arial" w:hAnsi="Arial" w:cs="Arial"/>
          <w:b/>
          <w:sz w:val="24"/>
          <w:szCs w:val="24"/>
        </w:rPr>
        <w:t xml:space="preserve">com base nos </w:t>
      </w:r>
      <w:r w:rsidR="00AD4D8B" w:rsidRPr="00186A27">
        <w:rPr>
          <w:rFonts w:ascii="Arial" w:hAnsi="Arial" w:cs="Arial"/>
          <w:b/>
          <w:sz w:val="24"/>
          <w:szCs w:val="24"/>
        </w:rPr>
        <w:t>dados da LOA 2019</w:t>
      </w:r>
      <w:r w:rsidR="00A56C78">
        <w:rPr>
          <w:rFonts w:ascii="Arial" w:hAnsi="Arial" w:cs="Arial"/>
          <w:sz w:val="24"/>
          <w:szCs w:val="24"/>
        </w:rPr>
        <w:t xml:space="preserve"> e </w:t>
      </w:r>
      <w:r w:rsidR="00186A27">
        <w:rPr>
          <w:rFonts w:ascii="Arial" w:hAnsi="Arial" w:cs="Arial"/>
          <w:sz w:val="24"/>
          <w:szCs w:val="24"/>
        </w:rPr>
        <w:t xml:space="preserve">respectivas </w:t>
      </w:r>
      <w:r w:rsidR="00A56C78">
        <w:rPr>
          <w:rFonts w:ascii="Arial" w:hAnsi="Arial" w:cs="Arial"/>
          <w:sz w:val="24"/>
          <w:szCs w:val="24"/>
        </w:rPr>
        <w:t>estimativas para os anos seguintes</w:t>
      </w:r>
      <w:r w:rsidR="00EE2547">
        <w:rPr>
          <w:rFonts w:ascii="Arial" w:hAnsi="Arial" w:cs="Arial"/>
          <w:sz w:val="24"/>
          <w:szCs w:val="24"/>
        </w:rPr>
        <w:t>:</w:t>
      </w:r>
    </w:p>
    <w:p w14:paraId="52F961B0" w14:textId="77777777" w:rsidR="00093ED0" w:rsidRDefault="00093ED0" w:rsidP="005C60F9">
      <w:pPr>
        <w:spacing w:line="360" w:lineRule="auto"/>
        <w:ind w:firstLine="851"/>
        <w:jc w:val="both"/>
        <w:rPr>
          <w:rFonts w:ascii="Arial" w:hAnsi="Arial" w:cs="Arial"/>
          <w:sz w:val="24"/>
          <w:szCs w:val="24"/>
        </w:rPr>
      </w:pPr>
    </w:p>
    <w:tbl>
      <w:tblPr>
        <w:tblStyle w:val="Tabelacomgrade"/>
        <w:tblW w:w="0" w:type="auto"/>
        <w:tblLook w:val="04A0" w:firstRow="1" w:lastRow="0" w:firstColumn="1" w:lastColumn="0" w:noHBand="0" w:noVBand="1"/>
      </w:tblPr>
      <w:tblGrid>
        <w:gridCol w:w="846"/>
        <w:gridCol w:w="3544"/>
        <w:gridCol w:w="1842"/>
        <w:gridCol w:w="3106"/>
      </w:tblGrid>
      <w:tr w:rsidR="00270A49" w14:paraId="614F6196" w14:textId="77777777" w:rsidTr="00270A49">
        <w:tc>
          <w:tcPr>
            <w:tcW w:w="846" w:type="dxa"/>
          </w:tcPr>
          <w:p w14:paraId="37BE8638" w14:textId="77777777" w:rsidR="00270A49" w:rsidRDefault="00270A49" w:rsidP="00270A49">
            <w:pPr>
              <w:spacing w:line="360" w:lineRule="auto"/>
              <w:jc w:val="center"/>
              <w:rPr>
                <w:rFonts w:ascii="Arial" w:hAnsi="Arial" w:cs="Arial"/>
                <w:sz w:val="24"/>
                <w:szCs w:val="24"/>
              </w:rPr>
            </w:pPr>
          </w:p>
        </w:tc>
        <w:tc>
          <w:tcPr>
            <w:tcW w:w="3544" w:type="dxa"/>
          </w:tcPr>
          <w:p w14:paraId="232FE6A4" w14:textId="6F68E4DD" w:rsidR="00270A49" w:rsidRDefault="00270A49" w:rsidP="00270A49">
            <w:pPr>
              <w:spacing w:line="360" w:lineRule="auto"/>
              <w:jc w:val="center"/>
              <w:rPr>
                <w:rFonts w:ascii="Arial" w:hAnsi="Arial" w:cs="Arial"/>
                <w:sz w:val="24"/>
                <w:szCs w:val="24"/>
              </w:rPr>
            </w:pPr>
            <w:r w:rsidRPr="000B5144">
              <w:rPr>
                <w:rFonts w:ascii="Arial" w:hAnsi="Arial" w:cs="Arial"/>
                <w:b/>
                <w:sz w:val="24"/>
                <w:szCs w:val="24"/>
              </w:rPr>
              <w:t>VALOR TOTAL DE CRÉDITO OUTORGADO (R$)</w:t>
            </w:r>
          </w:p>
        </w:tc>
        <w:tc>
          <w:tcPr>
            <w:tcW w:w="1842" w:type="dxa"/>
          </w:tcPr>
          <w:p w14:paraId="7FAFE250" w14:textId="493F7C42" w:rsidR="00270A49" w:rsidRDefault="00270A49" w:rsidP="00270A49">
            <w:pPr>
              <w:spacing w:line="360" w:lineRule="auto"/>
              <w:jc w:val="center"/>
              <w:rPr>
                <w:rFonts w:ascii="Arial" w:hAnsi="Arial" w:cs="Arial"/>
                <w:sz w:val="24"/>
                <w:szCs w:val="24"/>
              </w:rPr>
            </w:pPr>
            <w:r w:rsidRPr="000B5144">
              <w:rPr>
                <w:rFonts w:ascii="Arial" w:hAnsi="Arial" w:cs="Arial"/>
                <w:b/>
                <w:sz w:val="24"/>
                <w:szCs w:val="24"/>
              </w:rPr>
              <w:t>TOTAL DE RENÚNCIA DE RECEITA</w:t>
            </w:r>
            <w:r>
              <w:rPr>
                <w:rFonts w:ascii="Arial" w:hAnsi="Arial" w:cs="Arial"/>
                <w:b/>
                <w:sz w:val="24"/>
                <w:szCs w:val="24"/>
              </w:rPr>
              <w:t xml:space="preserve"> (</w:t>
            </w:r>
            <w:r w:rsidRPr="000B5144">
              <w:rPr>
                <w:rFonts w:ascii="Arial" w:hAnsi="Arial" w:cs="Arial"/>
                <w:b/>
                <w:sz w:val="24"/>
                <w:szCs w:val="24"/>
              </w:rPr>
              <w:t>R$</w:t>
            </w:r>
            <w:r>
              <w:rPr>
                <w:rFonts w:ascii="Arial" w:hAnsi="Arial" w:cs="Arial"/>
                <w:b/>
                <w:sz w:val="24"/>
                <w:szCs w:val="24"/>
              </w:rPr>
              <w:t>)</w:t>
            </w:r>
          </w:p>
        </w:tc>
        <w:tc>
          <w:tcPr>
            <w:tcW w:w="3106" w:type="dxa"/>
          </w:tcPr>
          <w:p w14:paraId="198A14DF" w14:textId="25B1AE0E" w:rsidR="00270A49" w:rsidRDefault="00270A49" w:rsidP="00270A49">
            <w:pPr>
              <w:spacing w:line="360" w:lineRule="auto"/>
              <w:jc w:val="center"/>
              <w:rPr>
                <w:rFonts w:ascii="Arial" w:hAnsi="Arial" w:cs="Arial"/>
                <w:sz w:val="24"/>
                <w:szCs w:val="24"/>
              </w:rPr>
            </w:pPr>
            <w:r w:rsidRPr="000B5144">
              <w:rPr>
                <w:rFonts w:ascii="Arial" w:hAnsi="Arial" w:cs="Arial"/>
                <w:b/>
                <w:sz w:val="24"/>
                <w:szCs w:val="24"/>
              </w:rPr>
              <w:t>PERCENTUAL EM RELAÇÃO AO TOTAL DE RENÚNCIA DE RECEITA</w:t>
            </w:r>
            <w:r>
              <w:rPr>
                <w:rFonts w:ascii="Arial" w:hAnsi="Arial" w:cs="Arial"/>
                <w:b/>
                <w:sz w:val="24"/>
                <w:szCs w:val="24"/>
              </w:rPr>
              <w:t>*</w:t>
            </w:r>
          </w:p>
        </w:tc>
      </w:tr>
      <w:tr w:rsidR="00270A49" w14:paraId="0958CBDB" w14:textId="77777777" w:rsidTr="00270A49">
        <w:tc>
          <w:tcPr>
            <w:tcW w:w="846" w:type="dxa"/>
          </w:tcPr>
          <w:p w14:paraId="3D5FA8A2" w14:textId="6BCA19C2" w:rsidR="00270A49" w:rsidRPr="00270A49" w:rsidRDefault="00270A49" w:rsidP="00270A49">
            <w:pPr>
              <w:spacing w:line="360" w:lineRule="auto"/>
              <w:jc w:val="center"/>
              <w:rPr>
                <w:rFonts w:ascii="Arial" w:hAnsi="Arial" w:cs="Arial"/>
                <w:b/>
                <w:sz w:val="24"/>
                <w:szCs w:val="24"/>
              </w:rPr>
            </w:pPr>
            <w:r w:rsidRPr="00270A49">
              <w:rPr>
                <w:rFonts w:ascii="Arial" w:hAnsi="Arial" w:cs="Arial"/>
                <w:b/>
                <w:sz w:val="24"/>
                <w:szCs w:val="24"/>
              </w:rPr>
              <w:t>2017</w:t>
            </w:r>
          </w:p>
        </w:tc>
        <w:tc>
          <w:tcPr>
            <w:tcW w:w="3544" w:type="dxa"/>
          </w:tcPr>
          <w:p w14:paraId="19D53355" w14:textId="4B9380FB" w:rsidR="00270A49" w:rsidRDefault="00270A49" w:rsidP="00270A49">
            <w:pPr>
              <w:spacing w:line="360" w:lineRule="auto"/>
              <w:jc w:val="center"/>
              <w:rPr>
                <w:rFonts w:ascii="Arial" w:hAnsi="Arial" w:cs="Arial"/>
                <w:sz w:val="24"/>
                <w:szCs w:val="24"/>
              </w:rPr>
            </w:pPr>
            <w:r>
              <w:rPr>
                <w:rFonts w:ascii="Arial" w:hAnsi="Arial" w:cs="Arial"/>
                <w:sz w:val="24"/>
                <w:szCs w:val="24"/>
              </w:rPr>
              <w:t>3.993.934.733</w:t>
            </w:r>
          </w:p>
        </w:tc>
        <w:tc>
          <w:tcPr>
            <w:tcW w:w="1842" w:type="dxa"/>
          </w:tcPr>
          <w:p w14:paraId="231F0D9C" w14:textId="1BB58D8A" w:rsidR="00270A49" w:rsidRDefault="00270A49" w:rsidP="00270A49">
            <w:pPr>
              <w:spacing w:line="360" w:lineRule="auto"/>
              <w:jc w:val="center"/>
              <w:rPr>
                <w:rFonts w:ascii="Arial" w:hAnsi="Arial" w:cs="Arial"/>
                <w:sz w:val="24"/>
                <w:szCs w:val="24"/>
              </w:rPr>
            </w:pPr>
            <w:r>
              <w:rPr>
                <w:rFonts w:ascii="Arial" w:hAnsi="Arial" w:cs="Arial"/>
                <w:sz w:val="24"/>
                <w:szCs w:val="24"/>
              </w:rPr>
              <w:t>7.924.551.810</w:t>
            </w:r>
          </w:p>
        </w:tc>
        <w:tc>
          <w:tcPr>
            <w:tcW w:w="3106" w:type="dxa"/>
          </w:tcPr>
          <w:p w14:paraId="7959E951" w14:textId="55F3DCDE" w:rsidR="00270A49" w:rsidRDefault="00270A49" w:rsidP="00270A49">
            <w:pPr>
              <w:spacing w:line="360" w:lineRule="auto"/>
              <w:jc w:val="center"/>
              <w:rPr>
                <w:rFonts w:ascii="Arial" w:hAnsi="Arial" w:cs="Arial"/>
                <w:sz w:val="24"/>
                <w:szCs w:val="24"/>
              </w:rPr>
            </w:pPr>
            <w:r>
              <w:rPr>
                <w:rFonts w:ascii="Arial" w:hAnsi="Arial" w:cs="Arial"/>
                <w:sz w:val="24"/>
                <w:szCs w:val="24"/>
              </w:rPr>
              <w:t>50,39%</w:t>
            </w:r>
          </w:p>
        </w:tc>
      </w:tr>
      <w:tr w:rsidR="00270A49" w14:paraId="2CC0D9C6" w14:textId="77777777" w:rsidTr="00270A49">
        <w:tc>
          <w:tcPr>
            <w:tcW w:w="846" w:type="dxa"/>
          </w:tcPr>
          <w:p w14:paraId="2E9134C0" w14:textId="50ADC18B" w:rsidR="00270A49" w:rsidRDefault="00270A49" w:rsidP="00270A49">
            <w:pPr>
              <w:spacing w:line="360" w:lineRule="auto"/>
              <w:jc w:val="center"/>
              <w:rPr>
                <w:rFonts w:ascii="Arial" w:hAnsi="Arial" w:cs="Arial"/>
                <w:sz w:val="24"/>
                <w:szCs w:val="24"/>
              </w:rPr>
            </w:pPr>
            <w:r w:rsidRPr="000B5144">
              <w:rPr>
                <w:rFonts w:ascii="Arial" w:hAnsi="Arial" w:cs="Arial"/>
                <w:b/>
                <w:sz w:val="24"/>
                <w:szCs w:val="24"/>
              </w:rPr>
              <w:t>2018</w:t>
            </w:r>
          </w:p>
        </w:tc>
        <w:tc>
          <w:tcPr>
            <w:tcW w:w="3544" w:type="dxa"/>
          </w:tcPr>
          <w:p w14:paraId="13A17954" w14:textId="6C03557B" w:rsidR="00270A49" w:rsidRDefault="00270A49" w:rsidP="00270A49">
            <w:pPr>
              <w:spacing w:line="360" w:lineRule="auto"/>
              <w:jc w:val="center"/>
              <w:rPr>
                <w:rFonts w:ascii="Arial" w:hAnsi="Arial" w:cs="Arial"/>
                <w:sz w:val="24"/>
                <w:szCs w:val="24"/>
              </w:rPr>
            </w:pPr>
            <w:r>
              <w:rPr>
                <w:rFonts w:ascii="Arial" w:hAnsi="Arial" w:cs="Arial"/>
                <w:sz w:val="24"/>
                <w:szCs w:val="24"/>
              </w:rPr>
              <w:t>4.214.000.537</w:t>
            </w:r>
          </w:p>
        </w:tc>
        <w:tc>
          <w:tcPr>
            <w:tcW w:w="1842" w:type="dxa"/>
          </w:tcPr>
          <w:p w14:paraId="34B83B3F" w14:textId="63BC86E8" w:rsidR="00270A49" w:rsidRDefault="00270A49" w:rsidP="00270A49">
            <w:pPr>
              <w:spacing w:line="360" w:lineRule="auto"/>
              <w:jc w:val="center"/>
              <w:rPr>
                <w:rFonts w:ascii="Arial" w:hAnsi="Arial" w:cs="Arial"/>
                <w:sz w:val="24"/>
                <w:szCs w:val="24"/>
              </w:rPr>
            </w:pPr>
            <w:r>
              <w:rPr>
                <w:rFonts w:ascii="Arial" w:hAnsi="Arial" w:cs="Arial"/>
                <w:sz w:val="24"/>
                <w:szCs w:val="24"/>
              </w:rPr>
              <w:t>8.361.194.615</w:t>
            </w:r>
          </w:p>
        </w:tc>
        <w:tc>
          <w:tcPr>
            <w:tcW w:w="3106" w:type="dxa"/>
          </w:tcPr>
          <w:p w14:paraId="1AC5AE6A" w14:textId="6B639817" w:rsidR="00270A49" w:rsidRDefault="00270A49" w:rsidP="00270A49">
            <w:pPr>
              <w:spacing w:line="360" w:lineRule="auto"/>
              <w:jc w:val="center"/>
              <w:rPr>
                <w:rFonts w:ascii="Arial" w:hAnsi="Arial" w:cs="Arial"/>
                <w:sz w:val="24"/>
                <w:szCs w:val="24"/>
              </w:rPr>
            </w:pPr>
            <w:r>
              <w:rPr>
                <w:rFonts w:ascii="Arial" w:hAnsi="Arial" w:cs="Arial"/>
                <w:sz w:val="24"/>
                <w:szCs w:val="24"/>
              </w:rPr>
              <w:t>50,39%</w:t>
            </w:r>
          </w:p>
        </w:tc>
      </w:tr>
      <w:tr w:rsidR="00270A49" w14:paraId="7AB45DF9" w14:textId="77777777" w:rsidTr="00270A49">
        <w:tc>
          <w:tcPr>
            <w:tcW w:w="846" w:type="dxa"/>
          </w:tcPr>
          <w:p w14:paraId="7D6F3C6B" w14:textId="544CB128" w:rsidR="00270A49" w:rsidRDefault="00270A49" w:rsidP="00270A49">
            <w:pPr>
              <w:spacing w:line="360" w:lineRule="auto"/>
              <w:jc w:val="center"/>
              <w:rPr>
                <w:rFonts w:ascii="Arial" w:hAnsi="Arial" w:cs="Arial"/>
                <w:sz w:val="24"/>
                <w:szCs w:val="24"/>
              </w:rPr>
            </w:pPr>
            <w:r w:rsidRPr="000B5144">
              <w:rPr>
                <w:rFonts w:ascii="Arial" w:hAnsi="Arial" w:cs="Arial"/>
                <w:b/>
                <w:sz w:val="24"/>
                <w:szCs w:val="24"/>
              </w:rPr>
              <w:t>2019</w:t>
            </w:r>
          </w:p>
        </w:tc>
        <w:tc>
          <w:tcPr>
            <w:tcW w:w="3544" w:type="dxa"/>
          </w:tcPr>
          <w:p w14:paraId="2F6DDD9E" w14:textId="313DF944" w:rsidR="00270A49" w:rsidRDefault="00270A49" w:rsidP="00270A49">
            <w:pPr>
              <w:spacing w:line="360" w:lineRule="auto"/>
              <w:jc w:val="center"/>
              <w:rPr>
                <w:rFonts w:ascii="Arial" w:hAnsi="Arial" w:cs="Arial"/>
                <w:sz w:val="24"/>
                <w:szCs w:val="24"/>
              </w:rPr>
            </w:pPr>
            <w:r>
              <w:rPr>
                <w:rFonts w:ascii="Arial" w:hAnsi="Arial" w:cs="Arial"/>
                <w:sz w:val="24"/>
                <w:szCs w:val="24"/>
              </w:rPr>
              <w:t>3.687.499.259</w:t>
            </w:r>
          </w:p>
        </w:tc>
        <w:tc>
          <w:tcPr>
            <w:tcW w:w="1842" w:type="dxa"/>
          </w:tcPr>
          <w:p w14:paraId="24DBBCE8" w14:textId="28FA8301" w:rsidR="00270A49" w:rsidRDefault="00270A49" w:rsidP="00270A49">
            <w:pPr>
              <w:spacing w:line="360" w:lineRule="auto"/>
              <w:jc w:val="center"/>
              <w:rPr>
                <w:rFonts w:ascii="Arial" w:hAnsi="Arial" w:cs="Arial"/>
                <w:sz w:val="24"/>
                <w:szCs w:val="24"/>
              </w:rPr>
            </w:pPr>
            <w:r>
              <w:rPr>
                <w:rFonts w:ascii="Arial" w:hAnsi="Arial" w:cs="Arial"/>
                <w:sz w:val="24"/>
                <w:szCs w:val="24"/>
              </w:rPr>
              <w:t>7.933.578.039</w:t>
            </w:r>
          </w:p>
        </w:tc>
        <w:tc>
          <w:tcPr>
            <w:tcW w:w="3106" w:type="dxa"/>
          </w:tcPr>
          <w:p w14:paraId="1CEAE733" w14:textId="7EEDCB18" w:rsidR="00270A49" w:rsidRDefault="00270A49" w:rsidP="00270A49">
            <w:pPr>
              <w:spacing w:line="360" w:lineRule="auto"/>
              <w:jc w:val="center"/>
              <w:rPr>
                <w:rFonts w:ascii="Arial" w:hAnsi="Arial" w:cs="Arial"/>
                <w:sz w:val="24"/>
                <w:szCs w:val="24"/>
              </w:rPr>
            </w:pPr>
            <w:r>
              <w:rPr>
                <w:rFonts w:ascii="Arial" w:hAnsi="Arial" w:cs="Arial"/>
                <w:sz w:val="24"/>
                <w:szCs w:val="24"/>
              </w:rPr>
              <w:t>46,47%</w:t>
            </w:r>
          </w:p>
        </w:tc>
      </w:tr>
      <w:tr w:rsidR="00270A49" w14:paraId="67CDD9B1" w14:textId="77777777" w:rsidTr="00270A49">
        <w:tc>
          <w:tcPr>
            <w:tcW w:w="846" w:type="dxa"/>
          </w:tcPr>
          <w:p w14:paraId="7486207A" w14:textId="13B6DDD0" w:rsidR="00270A49" w:rsidRDefault="00270A49" w:rsidP="00270A49">
            <w:pPr>
              <w:spacing w:line="360" w:lineRule="auto"/>
              <w:jc w:val="center"/>
              <w:rPr>
                <w:rFonts w:ascii="Arial" w:hAnsi="Arial" w:cs="Arial"/>
                <w:sz w:val="24"/>
                <w:szCs w:val="24"/>
              </w:rPr>
            </w:pPr>
            <w:r w:rsidRPr="000B5144">
              <w:rPr>
                <w:rFonts w:ascii="Arial" w:hAnsi="Arial" w:cs="Arial"/>
                <w:b/>
                <w:sz w:val="24"/>
                <w:szCs w:val="24"/>
              </w:rPr>
              <w:t>2020</w:t>
            </w:r>
          </w:p>
        </w:tc>
        <w:tc>
          <w:tcPr>
            <w:tcW w:w="3544" w:type="dxa"/>
          </w:tcPr>
          <w:p w14:paraId="5898CE72" w14:textId="24238C15" w:rsidR="00270A49" w:rsidRDefault="00270A49" w:rsidP="00270A49">
            <w:pPr>
              <w:spacing w:line="360" w:lineRule="auto"/>
              <w:jc w:val="center"/>
              <w:rPr>
                <w:rFonts w:ascii="Arial" w:hAnsi="Arial" w:cs="Arial"/>
                <w:sz w:val="24"/>
                <w:szCs w:val="24"/>
              </w:rPr>
            </w:pPr>
            <w:r>
              <w:rPr>
                <w:rFonts w:ascii="Arial" w:hAnsi="Arial" w:cs="Arial"/>
                <w:sz w:val="24"/>
                <w:szCs w:val="24"/>
              </w:rPr>
              <w:t>3.834.999.229</w:t>
            </w:r>
          </w:p>
        </w:tc>
        <w:tc>
          <w:tcPr>
            <w:tcW w:w="1842" w:type="dxa"/>
          </w:tcPr>
          <w:p w14:paraId="7934DB6E" w14:textId="086052A4" w:rsidR="00270A49" w:rsidRDefault="00270A49" w:rsidP="00270A49">
            <w:pPr>
              <w:spacing w:line="360" w:lineRule="auto"/>
              <w:jc w:val="center"/>
              <w:rPr>
                <w:rFonts w:ascii="Arial" w:hAnsi="Arial" w:cs="Arial"/>
                <w:sz w:val="24"/>
                <w:szCs w:val="24"/>
              </w:rPr>
            </w:pPr>
            <w:r>
              <w:rPr>
                <w:rFonts w:ascii="Arial" w:hAnsi="Arial" w:cs="Arial"/>
                <w:sz w:val="24"/>
                <w:szCs w:val="24"/>
              </w:rPr>
              <w:t>8.250.921.160</w:t>
            </w:r>
          </w:p>
        </w:tc>
        <w:tc>
          <w:tcPr>
            <w:tcW w:w="3106" w:type="dxa"/>
          </w:tcPr>
          <w:p w14:paraId="7BD2FA00" w14:textId="78E7BD80" w:rsidR="00270A49" w:rsidRDefault="00270A49" w:rsidP="00270A49">
            <w:pPr>
              <w:spacing w:line="360" w:lineRule="auto"/>
              <w:jc w:val="center"/>
              <w:rPr>
                <w:rFonts w:ascii="Arial" w:hAnsi="Arial" w:cs="Arial"/>
                <w:sz w:val="24"/>
                <w:szCs w:val="24"/>
              </w:rPr>
            </w:pPr>
            <w:r>
              <w:rPr>
                <w:rFonts w:ascii="Arial" w:hAnsi="Arial" w:cs="Arial"/>
                <w:sz w:val="24"/>
                <w:szCs w:val="24"/>
              </w:rPr>
              <w:t>46,47%</w:t>
            </w:r>
          </w:p>
        </w:tc>
      </w:tr>
      <w:tr w:rsidR="00270A49" w14:paraId="7F30B928" w14:textId="77777777" w:rsidTr="00270A49">
        <w:tc>
          <w:tcPr>
            <w:tcW w:w="846" w:type="dxa"/>
          </w:tcPr>
          <w:p w14:paraId="5F2559B4" w14:textId="67D3AE8B" w:rsidR="00270A49" w:rsidRDefault="00270A49" w:rsidP="00270A49">
            <w:pPr>
              <w:spacing w:line="360" w:lineRule="auto"/>
              <w:jc w:val="center"/>
              <w:rPr>
                <w:rFonts w:ascii="Arial" w:hAnsi="Arial" w:cs="Arial"/>
                <w:sz w:val="24"/>
                <w:szCs w:val="24"/>
              </w:rPr>
            </w:pPr>
            <w:r>
              <w:rPr>
                <w:rFonts w:ascii="Arial" w:hAnsi="Arial" w:cs="Arial"/>
                <w:b/>
                <w:sz w:val="24"/>
                <w:szCs w:val="24"/>
              </w:rPr>
              <w:t>2021</w:t>
            </w:r>
          </w:p>
        </w:tc>
        <w:tc>
          <w:tcPr>
            <w:tcW w:w="3544" w:type="dxa"/>
          </w:tcPr>
          <w:p w14:paraId="36EF38A4" w14:textId="7AB51149" w:rsidR="00270A49" w:rsidRDefault="00270A49" w:rsidP="00270A49">
            <w:pPr>
              <w:spacing w:line="360" w:lineRule="auto"/>
              <w:jc w:val="center"/>
              <w:rPr>
                <w:rFonts w:ascii="Arial" w:hAnsi="Arial" w:cs="Arial"/>
                <w:sz w:val="24"/>
                <w:szCs w:val="24"/>
              </w:rPr>
            </w:pPr>
            <w:r>
              <w:rPr>
                <w:rFonts w:ascii="Arial" w:hAnsi="Arial" w:cs="Arial"/>
                <w:sz w:val="24"/>
                <w:szCs w:val="24"/>
              </w:rPr>
              <w:t>3.988.399.198</w:t>
            </w:r>
          </w:p>
        </w:tc>
        <w:tc>
          <w:tcPr>
            <w:tcW w:w="1842" w:type="dxa"/>
          </w:tcPr>
          <w:p w14:paraId="125CB4C9" w14:textId="0BBE9507" w:rsidR="00270A49" w:rsidRDefault="00270A49" w:rsidP="00270A49">
            <w:pPr>
              <w:spacing w:line="360" w:lineRule="auto"/>
              <w:jc w:val="center"/>
              <w:rPr>
                <w:rFonts w:ascii="Arial" w:hAnsi="Arial" w:cs="Arial"/>
                <w:sz w:val="24"/>
                <w:szCs w:val="24"/>
              </w:rPr>
            </w:pPr>
            <w:r>
              <w:rPr>
                <w:rFonts w:ascii="Arial" w:hAnsi="Arial" w:cs="Arial"/>
                <w:sz w:val="24"/>
                <w:szCs w:val="24"/>
              </w:rPr>
              <w:t>8.580.958.007</w:t>
            </w:r>
          </w:p>
        </w:tc>
        <w:tc>
          <w:tcPr>
            <w:tcW w:w="3106" w:type="dxa"/>
          </w:tcPr>
          <w:p w14:paraId="09904842" w14:textId="2D61B550" w:rsidR="00270A49" w:rsidRDefault="00270A49" w:rsidP="00270A49">
            <w:pPr>
              <w:spacing w:line="360" w:lineRule="auto"/>
              <w:jc w:val="center"/>
              <w:rPr>
                <w:rFonts w:ascii="Arial" w:hAnsi="Arial" w:cs="Arial"/>
                <w:sz w:val="24"/>
                <w:szCs w:val="24"/>
              </w:rPr>
            </w:pPr>
            <w:r>
              <w:rPr>
                <w:rFonts w:ascii="Arial" w:hAnsi="Arial" w:cs="Arial"/>
                <w:sz w:val="24"/>
                <w:szCs w:val="24"/>
              </w:rPr>
              <w:t>46,47%</w:t>
            </w:r>
          </w:p>
        </w:tc>
      </w:tr>
      <w:tr w:rsidR="00270A49" w14:paraId="445FE6A8" w14:textId="77777777" w:rsidTr="00FB4268">
        <w:tc>
          <w:tcPr>
            <w:tcW w:w="9338" w:type="dxa"/>
            <w:gridSpan w:val="4"/>
          </w:tcPr>
          <w:p w14:paraId="09D82714" w14:textId="08BD0793" w:rsidR="00270A49" w:rsidRDefault="00270A49" w:rsidP="00270A49">
            <w:pPr>
              <w:spacing w:line="360" w:lineRule="auto"/>
              <w:jc w:val="both"/>
              <w:rPr>
                <w:rFonts w:ascii="Arial" w:hAnsi="Arial" w:cs="Arial"/>
                <w:sz w:val="24"/>
                <w:szCs w:val="24"/>
              </w:rPr>
            </w:pPr>
            <w:r>
              <w:rPr>
                <w:rFonts w:ascii="Arial" w:hAnsi="Arial" w:cs="Arial"/>
                <w:sz w:val="24"/>
                <w:szCs w:val="24"/>
              </w:rPr>
              <w:t>* Adota-se o conceito de renúncia de receitas nos termos da Nota Técnica 001/2017-SER/SEFAZ, sem adentrar no seu mérito.</w:t>
            </w:r>
          </w:p>
        </w:tc>
      </w:tr>
    </w:tbl>
    <w:p w14:paraId="5E0F8BCF" w14:textId="77777777" w:rsidR="009F3967" w:rsidRDefault="009F3967" w:rsidP="005C60F9">
      <w:pPr>
        <w:spacing w:line="360" w:lineRule="auto"/>
        <w:ind w:firstLine="851"/>
        <w:jc w:val="both"/>
        <w:rPr>
          <w:rFonts w:ascii="Arial" w:hAnsi="Arial" w:cs="Arial"/>
          <w:sz w:val="24"/>
          <w:szCs w:val="24"/>
        </w:rPr>
      </w:pPr>
    </w:p>
    <w:p w14:paraId="39299C7B" w14:textId="40D70BB7" w:rsidR="00186A27" w:rsidRDefault="00186A27" w:rsidP="005C60F9">
      <w:pPr>
        <w:spacing w:line="360" w:lineRule="auto"/>
        <w:ind w:firstLine="851"/>
        <w:jc w:val="both"/>
        <w:rPr>
          <w:rFonts w:ascii="Arial" w:hAnsi="Arial" w:cs="Arial"/>
          <w:sz w:val="24"/>
          <w:szCs w:val="24"/>
        </w:rPr>
      </w:pPr>
      <w:r>
        <w:rPr>
          <w:rFonts w:ascii="Arial" w:hAnsi="Arial" w:cs="Arial"/>
          <w:sz w:val="24"/>
          <w:szCs w:val="24"/>
        </w:rPr>
        <w:lastRenderedPageBreak/>
        <w:t xml:space="preserve">Ressalte-se que, </w:t>
      </w:r>
      <w:r w:rsidRPr="00186A27">
        <w:rPr>
          <w:rFonts w:ascii="Arial" w:hAnsi="Arial" w:cs="Arial"/>
          <w:b/>
          <w:sz w:val="24"/>
          <w:szCs w:val="24"/>
        </w:rPr>
        <w:t xml:space="preserve">apenas </w:t>
      </w:r>
      <w:r w:rsidR="00600899">
        <w:rPr>
          <w:rFonts w:ascii="Arial" w:hAnsi="Arial" w:cs="Arial"/>
          <w:b/>
          <w:sz w:val="24"/>
          <w:szCs w:val="24"/>
        </w:rPr>
        <w:t>a partir da estimativa contida n</w:t>
      </w:r>
      <w:r w:rsidR="00E35BD3">
        <w:rPr>
          <w:rFonts w:ascii="Arial" w:hAnsi="Arial" w:cs="Arial"/>
          <w:b/>
          <w:sz w:val="24"/>
          <w:szCs w:val="24"/>
        </w:rPr>
        <w:t>o projeto de lei orçamentária anual para o exercício financeir</w:t>
      </w:r>
      <w:r w:rsidR="00600899">
        <w:rPr>
          <w:rFonts w:ascii="Arial" w:hAnsi="Arial" w:cs="Arial"/>
          <w:b/>
          <w:sz w:val="24"/>
          <w:szCs w:val="24"/>
        </w:rPr>
        <w:t>o</w:t>
      </w:r>
      <w:r w:rsidR="00E35BD3">
        <w:rPr>
          <w:rFonts w:ascii="Arial" w:hAnsi="Arial" w:cs="Arial"/>
          <w:b/>
          <w:sz w:val="24"/>
          <w:szCs w:val="24"/>
        </w:rPr>
        <w:t xml:space="preserve"> de </w:t>
      </w:r>
      <w:r w:rsidRPr="00186A27">
        <w:rPr>
          <w:rFonts w:ascii="Arial" w:hAnsi="Arial" w:cs="Arial"/>
          <w:b/>
          <w:sz w:val="24"/>
          <w:szCs w:val="24"/>
        </w:rPr>
        <w:t>2020</w:t>
      </w:r>
      <w:r w:rsidR="00FC54C1">
        <w:rPr>
          <w:rStyle w:val="Refdenotaderodap"/>
          <w:rFonts w:ascii="Arial" w:hAnsi="Arial" w:cs="Arial"/>
          <w:b/>
          <w:sz w:val="24"/>
          <w:szCs w:val="24"/>
        </w:rPr>
        <w:footnoteReference w:id="76"/>
      </w:r>
      <w:r w:rsidRPr="00186A27">
        <w:rPr>
          <w:rFonts w:ascii="Arial" w:hAnsi="Arial" w:cs="Arial"/>
          <w:b/>
          <w:sz w:val="24"/>
          <w:szCs w:val="24"/>
        </w:rPr>
        <w:t>, é se que constata uma redução um pouco mais significativa do crédito outorgado</w:t>
      </w:r>
      <w:r>
        <w:rPr>
          <w:rFonts w:ascii="Arial" w:hAnsi="Arial" w:cs="Arial"/>
          <w:sz w:val="24"/>
          <w:szCs w:val="24"/>
        </w:rPr>
        <w:t xml:space="preserve">, estimado em R$ 3.169.333.997 (três bilhões, cento e sessenta e nove milhões, trezentos e trinta e três mil, novecentos e noventa e este), </w:t>
      </w:r>
      <w:r w:rsidR="00FC54C1">
        <w:rPr>
          <w:rFonts w:ascii="Arial" w:hAnsi="Arial" w:cs="Arial"/>
          <w:sz w:val="24"/>
          <w:szCs w:val="24"/>
        </w:rPr>
        <w:t>correspondente a um percentual de 38,64% (trinta e oito vírgula sessenta e quatro por cento) do total de renúncia</w:t>
      </w:r>
      <w:r w:rsidR="000A6A59">
        <w:rPr>
          <w:rFonts w:ascii="Arial" w:hAnsi="Arial" w:cs="Arial"/>
          <w:sz w:val="24"/>
          <w:szCs w:val="24"/>
        </w:rPr>
        <w:t xml:space="preserve"> de receitas</w:t>
      </w:r>
      <w:r w:rsidR="00FC54C1">
        <w:rPr>
          <w:rFonts w:ascii="Arial" w:hAnsi="Arial" w:cs="Arial"/>
          <w:sz w:val="24"/>
          <w:szCs w:val="24"/>
        </w:rPr>
        <w:t>.</w:t>
      </w:r>
    </w:p>
    <w:p w14:paraId="44384F9C" w14:textId="62A6C4CA" w:rsidR="00770A8D" w:rsidRDefault="009F3967" w:rsidP="005C60F9">
      <w:pPr>
        <w:spacing w:line="360" w:lineRule="auto"/>
        <w:ind w:firstLine="851"/>
        <w:jc w:val="both"/>
        <w:rPr>
          <w:rFonts w:ascii="Arial" w:hAnsi="Arial" w:cs="Arial"/>
          <w:sz w:val="24"/>
          <w:szCs w:val="24"/>
        </w:rPr>
      </w:pPr>
      <w:r>
        <w:rPr>
          <w:rFonts w:ascii="Arial" w:hAnsi="Arial" w:cs="Arial"/>
          <w:sz w:val="24"/>
          <w:szCs w:val="24"/>
        </w:rPr>
        <w:t>De acordo com as informações prestadas pela Secretaria de Estado da Economia</w:t>
      </w:r>
      <w:r w:rsidR="00083AF9">
        <w:rPr>
          <w:rFonts w:ascii="Arial" w:hAnsi="Arial" w:cs="Arial"/>
          <w:sz w:val="24"/>
          <w:szCs w:val="24"/>
        </w:rPr>
        <w:t xml:space="preserve"> (Ofício nº 2.</w:t>
      </w:r>
      <w:r w:rsidR="00BC2300">
        <w:rPr>
          <w:rFonts w:ascii="Arial" w:hAnsi="Arial" w:cs="Arial"/>
          <w:sz w:val="24"/>
          <w:szCs w:val="24"/>
        </w:rPr>
        <w:t>756</w:t>
      </w:r>
      <w:r w:rsidR="00083AF9">
        <w:rPr>
          <w:rFonts w:ascii="Arial" w:hAnsi="Arial" w:cs="Arial"/>
          <w:sz w:val="24"/>
          <w:szCs w:val="24"/>
        </w:rPr>
        <w:t>/2019-Economia, p. 128/495)</w:t>
      </w:r>
      <w:r>
        <w:rPr>
          <w:rFonts w:ascii="Arial" w:hAnsi="Arial" w:cs="Arial"/>
          <w:sz w:val="24"/>
          <w:szCs w:val="24"/>
        </w:rPr>
        <w:t>,</w:t>
      </w:r>
      <w:r w:rsidR="00F62FD2">
        <w:rPr>
          <w:rFonts w:ascii="Arial" w:hAnsi="Arial" w:cs="Arial"/>
          <w:sz w:val="24"/>
          <w:szCs w:val="24"/>
        </w:rPr>
        <w:t xml:space="preserve"> com base na Escrituração Fiscal Digital </w:t>
      </w:r>
      <w:r w:rsidR="00095E3A">
        <w:rPr>
          <w:rFonts w:ascii="Arial" w:hAnsi="Arial" w:cs="Arial"/>
          <w:sz w:val="24"/>
          <w:szCs w:val="24"/>
        </w:rPr>
        <w:t xml:space="preserve">(EFD) </w:t>
      </w:r>
      <w:r w:rsidR="00F62FD2">
        <w:rPr>
          <w:rFonts w:ascii="Arial" w:hAnsi="Arial" w:cs="Arial"/>
          <w:sz w:val="24"/>
          <w:szCs w:val="24"/>
        </w:rPr>
        <w:t>das pessoas jurídicas beneficiárias</w:t>
      </w:r>
      <w:r w:rsidR="00E83102">
        <w:rPr>
          <w:rFonts w:ascii="Arial" w:hAnsi="Arial" w:cs="Arial"/>
          <w:sz w:val="24"/>
          <w:szCs w:val="24"/>
        </w:rPr>
        <w:t xml:space="preserve"> no período de 2014 a 2018</w:t>
      </w:r>
      <w:r w:rsidR="00770A8D">
        <w:rPr>
          <w:rFonts w:ascii="Arial" w:hAnsi="Arial" w:cs="Arial"/>
          <w:sz w:val="24"/>
          <w:szCs w:val="24"/>
        </w:rPr>
        <w:t>:</w:t>
      </w:r>
    </w:p>
    <w:p w14:paraId="32D87038" w14:textId="77777777" w:rsidR="00093ED0" w:rsidRDefault="00093ED0" w:rsidP="005C60F9">
      <w:pPr>
        <w:spacing w:line="360" w:lineRule="auto"/>
        <w:ind w:firstLine="851"/>
        <w:jc w:val="both"/>
        <w:rPr>
          <w:rFonts w:ascii="Arial" w:hAnsi="Arial" w:cs="Arial"/>
          <w:sz w:val="24"/>
          <w:szCs w:val="24"/>
        </w:rPr>
      </w:pPr>
    </w:p>
    <w:p w14:paraId="3730341C" w14:textId="5AC0D4CB" w:rsidR="00770A8D" w:rsidRPr="00770A8D" w:rsidRDefault="00BC2300" w:rsidP="00502615">
      <w:pPr>
        <w:pStyle w:val="PargrafodaLista"/>
        <w:numPr>
          <w:ilvl w:val="0"/>
          <w:numId w:val="11"/>
        </w:numPr>
        <w:spacing w:line="360" w:lineRule="auto"/>
        <w:jc w:val="both"/>
        <w:rPr>
          <w:rFonts w:ascii="Arial" w:hAnsi="Arial" w:cs="Arial"/>
          <w:sz w:val="24"/>
          <w:szCs w:val="24"/>
        </w:rPr>
      </w:pPr>
      <w:r w:rsidRPr="00770A8D">
        <w:rPr>
          <w:rFonts w:ascii="Arial" w:hAnsi="Arial" w:cs="Arial"/>
          <w:sz w:val="24"/>
          <w:szCs w:val="24"/>
        </w:rPr>
        <w:t>utilizaram alguma importância a título de crédito outorgado</w:t>
      </w:r>
      <w:r w:rsidR="00C76EE3" w:rsidRPr="00770A8D">
        <w:rPr>
          <w:rFonts w:ascii="Arial" w:hAnsi="Arial" w:cs="Arial"/>
          <w:sz w:val="24"/>
          <w:szCs w:val="24"/>
        </w:rPr>
        <w:t xml:space="preserve"> cerca de 4.500 (quatro mil e quinhentas) empresas</w:t>
      </w:r>
      <w:r w:rsidRPr="00770A8D">
        <w:rPr>
          <w:rFonts w:ascii="Arial" w:hAnsi="Arial" w:cs="Arial"/>
          <w:sz w:val="24"/>
          <w:szCs w:val="24"/>
        </w:rPr>
        <w:t>;</w:t>
      </w:r>
    </w:p>
    <w:p w14:paraId="0A260C90" w14:textId="70A7AD90" w:rsidR="00770A8D" w:rsidRDefault="00DF4BA2" w:rsidP="00502615">
      <w:pPr>
        <w:pStyle w:val="PargrafodaLista"/>
        <w:numPr>
          <w:ilvl w:val="0"/>
          <w:numId w:val="11"/>
        </w:numPr>
        <w:spacing w:line="360" w:lineRule="auto"/>
        <w:jc w:val="both"/>
        <w:rPr>
          <w:rFonts w:ascii="Arial" w:hAnsi="Arial" w:cs="Arial"/>
          <w:sz w:val="24"/>
          <w:szCs w:val="24"/>
        </w:rPr>
      </w:pPr>
      <w:r w:rsidRPr="00770A8D">
        <w:rPr>
          <w:rFonts w:ascii="Arial" w:hAnsi="Arial" w:cs="Arial"/>
          <w:sz w:val="24"/>
          <w:szCs w:val="24"/>
        </w:rPr>
        <w:t xml:space="preserve">destas, </w:t>
      </w:r>
      <w:r w:rsidR="00770A8D" w:rsidRPr="00770A8D">
        <w:rPr>
          <w:rFonts w:ascii="Arial" w:hAnsi="Arial" w:cs="Arial"/>
          <w:sz w:val="24"/>
          <w:szCs w:val="24"/>
        </w:rPr>
        <w:t xml:space="preserve">menos de </w:t>
      </w:r>
      <w:r w:rsidR="00770A8D">
        <w:rPr>
          <w:rFonts w:ascii="Arial" w:hAnsi="Arial" w:cs="Arial"/>
          <w:sz w:val="24"/>
          <w:szCs w:val="24"/>
        </w:rPr>
        <w:t>922</w:t>
      </w:r>
      <w:r w:rsidR="00770A8D" w:rsidRPr="00770A8D">
        <w:rPr>
          <w:rFonts w:ascii="Arial" w:hAnsi="Arial" w:cs="Arial"/>
          <w:sz w:val="24"/>
          <w:szCs w:val="24"/>
        </w:rPr>
        <w:t xml:space="preserve"> (</w:t>
      </w:r>
      <w:r w:rsidR="00770A8D">
        <w:rPr>
          <w:rFonts w:ascii="Arial" w:hAnsi="Arial" w:cs="Arial"/>
          <w:sz w:val="24"/>
          <w:szCs w:val="24"/>
        </w:rPr>
        <w:t>novecentos e noventa e duas</w:t>
      </w:r>
      <w:r w:rsidR="00770A8D" w:rsidRPr="00770A8D">
        <w:rPr>
          <w:rFonts w:ascii="Arial" w:hAnsi="Arial" w:cs="Arial"/>
          <w:sz w:val="24"/>
          <w:szCs w:val="24"/>
        </w:rPr>
        <w:t xml:space="preserve">) empresas </w:t>
      </w:r>
      <w:r w:rsidR="00770A8D">
        <w:rPr>
          <w:rFonts w:ascii="Arial" w:hAnsi="Arial" w:cs="Arial"/>
          <w:sz w:val="24"/>
          <w:szCs w:val="24"/>
        </w:rPr>
        <w:t>utilizaram, cada qual, créditos outorgados em valor</w:t>
      </w:r>
      <w:r w:rsidR="002C0862">
        <w:rPr>
          <w:rFonts w:ascii="Arial" w:hAnsi="Arial" w:cs="Arial"/>
          <w:sz w:val="24"/>
          <w:szCs w:val="24"/>
        </w:rPr>
        <w:t>es</w:t>
      </w:r>
      <w:r w:rsidR="00770A8D">
        <w:rPr>
          <w:rFonts w:ascii="Arial" w:hAnsi="Arial" w:cs="Arial"/>
          <w:sz w:val="24"/>
          <w:szCs w:val="24"/>
        </w:rPr>
        <w:t xml:space="preserve"> superior</w:t>
      </w:r>
      <w:r w:rsidR="002C0862">
        <w:rPr>
          <w:rFonts w:ascii="Arial" w:hAnsi="Arial" w:cs="Arial"/>
          <w:sz w:val="24"/>
          <w:szCs w:val="24"/>
        </w:rPr>
        <w:t>es</w:t>
      </w:r>
      <w:r w:rsidR="00770A8D">
        <w:rPr>
          <w:rFonts w:ascii="Arial" w:hAnsi="Arial" w:cs="Arial"/>
          <w:sz w:val="24"/>
          <w:szCs w:val="24"/>
        </w:rPr>
        <w:t xml:space="preserve"> a R$ 1.000.000,00 (hum milhão de reais);</w:t>
      </w:r>
    </w:p>
    <w:p w14:paraId="093791FA" w14:textId="77777777" w:rsidR="00093ED0" w:rsidRDefault="00093ED0" w:rsidP="002C0862">
      <w:pPr>
        <w:spacing w:line="360" w:lineRule="auto"/>
        <w:ind w:firstLine="851"/>
        <w:jc w:val="both"/>
        <w:rPr>
          <w:rFonts w:ascii="Arial" w:hAnsi="Arial" w:cs="Arial"/>
          <w:sz w:val="24"/>
          <w:szCs w:val="24"/>
        </w:rPr>
      </w:pPr>
    </w:p>
    <w:p w14:paraId="19C778DE" w14:textId="1E12C947" w:rsidR="00760A9F" w:rsidRDefault="002C0862" w:rsidP="002C0862">
      <w:pPr>
        <w:spacing w:line="360" w:lineRule="auto"/>
        <w:ind w:firstLine="851"/>
        <w:jc w:val="both"/>
        <w:rPr>
          <w:rFonts w:ascii="Arial" w:hAnsi="Arial" w:cs="Arial"/>
          <w:sz w:val="24"/>
          <w:szCs w:val="24"/>
        </w:rPr>
      </w:pPr>
      <w:r>
        <w:rPr>
          <w:rFonts w:ascii="Arial" w:hAnsi="Arial" w:cs="Arial"/>
          <w:sz w:val="24"/>
          <w:szCs w:val="24"/>
        </w:rPr>
        <w:t xml:space="preserve">A fim de compreender os valores globais envolvidos na utilização efetiva de crédito outorgado naquele </w:t>
      </w:r>
      <w:r w:rsidRPr="002D5711">
        <w:rPr>
          <w:rFonts w:ascii="Arial" w:hAnsi="Arial" w:cs="Arial"/>
          <w:sz w:val="24"/>
          <w:szCs w:val="24"/>
        </w:rPr>
        <w:t xml:space="preserve">período, </w:t>
      </w:r>
      <w:r w:rsidR="00D26611" w:rsidRPr="002D5711">
        <w:rPr>
          <w:rFonts w:ascii="Arial" w:hAnsi="Arial" w:cs="Arial"/>
          <w:sz w:val="24"/>
          <w:szCs w:val="24"/>
        </w:rPr>
        <w:t>sintetiza</w:t>
      </w:r>
      <w:r w:rsidRPr="002D5711">
        <w:rPr>
          <w:rFonts w:ascii="Arial" w:hAnsi="Arial" w:cs="Arial"/>
          <w:sz w:val="24"/>
          <w:szCs w:val="24"/>
        </w:rPr>
        <w:t>m-se</w:t>
      </w:r>
      <w:r w:rsidR="002D5711" w:rsidRPr="002D5711">
        <w:rPr>
          <w:rFonts w:ascii="Arial" w:hAnsi="Arial" w:cs="Arial"/>
          <w:sz w:val="24"/>
          <w:szCs w:val="24"/>
        </w:rPr>
        <w:t xml:space="preserve"> referidos valores </w:t>
      </w:r>
      <w:r w:rsidR="00D26611" w:rsidRPr="002C1C2B">
        <w:rPr>
          <w:rFonts w:ascii="Arial" w:hAnsi="Arial" w:cs="Arial"/>
          <w:sz w:val="24"/>
          <w:szCs w:val="24"/>
        </w:rPr>
        <w:t>na tabela abaixo</w:t>
      </w:r>
      <w:r w:rsidR="009F3967" w:rsidRPr="002C1C2B">
        <w:rPr>
          <w:rFonts w:ascii="Arial" w:hAnsi="Arial" w:cs="Arial"/>
          <w:sz w:val="24"/>
          <w:szCs w:val="24"/>
        </w:rPr>
        <w:t>:</w:t>
      </w:r>
    </w:p>
    <w:p w14:paraId="51C06A0E" w14:textId="77777777" w:rsidR="00093ED0" w:rsidRPr="002C1C2B" w:rsidRDefault="00093ED0" w:rsidP="002C0862">
      <w:pPr>
        <w:spacing w:line="360" w:lineRule="auto"/>
        <w:ind w:firstLine="851"/>
        <w:jc w:val="both"/>
        <w:rPr>
          <w:rFonts w:ascii="Arial" w:hAnsi="Arial" w:cs="Arial"/>
          <w:sz w:val="24"/>
          <w:szCs w:val="24"/>
        </w:rPr>
      </w:pPr>
    </w:p>
    <w:tbl>
      <w:tblPr>
        <w:tblStyle w:val="Tabelacomgrade"/>
        <w:tblW w:w="0" w:type="auto"/>
        <w:tblLook w:val="04A0" w:firstRow="1" w:lastRow="0" w:firstColumn="1" w:lastColumn="0" w:noHBand="0" w:noVBand="1"/>
      </w:tblPr>
      <w:tblGrid>
        <w:gridCol w:w="1020"/>
        <w:gridCol w:w="8318"/>
      </w:tblGrid>
      <w:tr w:rsidR="00E57A6A" w14:paraId="27FFCABB" w14:textId="77777777" w:rsidTr="00FB4268">
        <w:tc>
          <w:tcPr>
            <w:tcW w:w="9338" w:type="dxa"/>
            <w:gridSpan w:val="2"/>
          </w:tcPr>
          <w:p w14:paraId="7845C768" w14:textId="0EF30432" w:rsidR="00E57A6A" w:rsidRPr="002C1C2B" w:rsidRDefault="00E57A6A" w:rsidP="00FB4268">
            <w:pPr>
              <w:spacing w:line="360" w:lineRule="auto"/>
              <w:jc w:val="center"/>
              <w:rPr>
                <w:rFonts w:ascii="Arial" w:hAnsi="Arial" w:cs="Arial"/>
                <w:b/>
                <w:sz w:val="24"/>
                <w:szCs w:val="24"/>
              </w:rPr>
            </w:pPr>
            <w:r w:rsidRPr="002C1C2B">
              <w:rPr>
                <w:rFonts w:ascii="Arial" w:hAnsi="Arial" w:cs="Arial"/>
                <w:b/>
                <w:sz w:val="24"/>
                <w:szCs w:val="24"/>
              </w:rPr>
              <w:t>CRÉDITOS OUTORGADOS</w:t>
            </w:r>
            <w:r w:rsidR="00750404" w:rsidRPr="002C1C2B">
              <w:rPr>
                <w:rFonts w:ascii="Arial" w:hAnsi="Arial" w:cs="Arial"/>
                <w:b/>
                <w:sz w:val="24"/>
                <w:szCs w:val="24"/>
              </w:rPr>
              <w:t>*</w:t>
            </w:r>
          </w:p>
        </w:tc>
      </w:tr>
      <w:tr w:rsidR="002C1C2B" w14:paraId="4F8A2362" w14:textId="77777777" w:rsidTr="00454CFD">
        <w:tc>
          <w:tcPr>
            <w:tcW w:w="1020" w:type="dxa"/>
          </w:tcPr>
          <w:p w14:paraId="56A1986D" w14:textId="77777777" w:rsidR="002C1C2B" w:rsidRPr="0054741F" w:rsidRDefault="002C1C2B" w:rsidP="002C1C2B">
            <w:pPr>
              <w:spacing w:line="360" w:lineRule="auto"/>
              <w:jc w:val="center"/>
              <w:rPr>
                <w:rFonts w:ascii="Arial" w:hAnsi="Arial" w:cs="Arial"/>
                <w:b/>
                <w:sz w:val="24"/>
                <w:szCs w:val="24"/>
              </w:rPr>
            </w:pPr>
            <w:r w:rsidRPr="0054741F">
              <w:rPr>
                <w:rFonts w:ascii="Arial" w:hAnsi="Arial" w:cs="Arial"/>
                <w:b/>
                <w:sz w:val="24"/>
                <w:szCs w:val="24"/>
              </w:rPr>
              <w:t>2014</w:t>
            </w:r>
          </w:p>
        </w:tc>
        <w:tc>
          <w:tcPr>
            <w:tcW w:w="8318" w:type="dxa"/>
            <w:vAlign w:val="center"/>
          </w:tcPr>
          <w:p w14:paraId="7ABA137A" w14:textId="5653D876" w:rsidR="002C1C2B" w:rsidRPr="002C1C2B" w:rsidRDefault="002C1C2B" w:rsidP="002C1C2B">
            <w:pPr>
              <w:spacing w:line="360" w:lineRule="auto"/>
              <w:jc w:val="both"/>
              <w:rPr>
                <w:rFonts w:ascii="Arial" w:hAnsi="Arial" w:cs="Arial"/>
                <w:sz w:val="24"/>
                <w:szCs w:val="24"/>
                <w:highlight w:val="yellow"/>
              </w:rPr>
            </w:pPr>
            <w:r w:rsidRPr="002C1C2B">
              <w:rPr>
                <w:rFonts w:ascii="Arial" w:hAnsi="Arial" w:cs="Arial"/>
                <w:bCs/>
                <w:color w:val="000000"/>
                <w:u w:val="single"/>
              </w:rPr>
              <w:t>R$ 3.608.874.848,93</w:t>
            </w:r>
            <w:r>
              <w:rPr>
                <w:rFonts w:ascii="Arial" w:hAnsi="Arial" w:cs="Arial"/>
                <w:bCs/>
                <w:color w:val="000000"/>
              </w:rPr>
              <w:t xml:space="preserve"> (três bilhões, seiscentos e oito milhões, oitocentos e setenta e quatro mil, oitocentos e quarenta e oito reais e noventa e três centavos)</w:t>
            </w:r>
          </w:p>
        </w:tc>
      </w:tr>
      <w:tr w:rsidR="002C1C2B" w14:paraId="079D372E" w14:textId="77777777" w:rsidTr="00454CFD">
        <w:tc>
          <w:tcPr>
            <w:tcW w:w="1020" w:type="dxa"/>
          </w:tcPr>
          <w:p w14:paraId="2BD41518" w14:textId="7505D4DE" w:rsidR="002C1C2B" w:rsidRPr="0054741F" w:rsidRDefault="002C1C2B" w:rsidP="002C1C2B">
            <w:pPr>
              <w:spacing w:line="360" w:lineRule="auto"/>
              <w:jc w:val="center"/>
              <w:rPr>
                <w:rFonts w:ascii="Arial" w:hAnsi="Arial" w:cs="Arial"/>
                <w:b/>
                <w:sz w:val="24"/>
                <w:szCs w:val="24"/>
              </w:rPr>
            </w:pPr>
            <w:r>
              <w:rPr>
                <w:rFonts w:ascii="Arial" w:hAnsi="Arial" w:cs="Arial"/>
                <w:b/>
                <w:sz w:val="24"/>
                <w:szCs w:val="24"/>
              </w:rPr>
              <w:t>2015</w:t>
            </w:r>
          </w:p>
        </w:tc>
        <w:tc>
          <w:tcPr>
            <w:tcW w:w="8318" w:type="dxa"/>
            <w:vAlign w:val="center"/>
          </w:tcPr>
          <w:p w14:paraId="023A09F9" w14:textId="066FAC81" w:rsidR="002C1C2B" w:rsidRPr="002C1C2B" w:rsidRDefault="002C1C2B" w:rsidP="002C1C2B">
            <w:pPr>
              <w:spacing w:line="360" w:lineRule="auto"/>
              <w:jc w:val="both"/>
              <w:rPr>
                <w:rFonts w:ascii="Arial" w:hAnsi="Arial" w:cs="Arial"/>
                <w:sz w:val="24"/>
                <w:szCs w:val="24"/>
                <w:highlight w:val="yellow"/>
              </w:rPr>
            </w:pPr>
            <w:r w:rsidRPr="002C1C2B">
              <w:rPr>
                <w:rFonts w:ascii="Arial" w:hAnsi="Arial" w:cs="Arial"/>
                <w:bCs/>
                <w:color w:val="000000"/>
                <w:u w:val="single"/>
              </w:rPr>
              <w:t>R$ 3.757.109.581,23</w:t>
            </w:r>
            <w:r>
              <w:rPr>
                <w:rFonts w:ascii="Arial" w:hAnsi="Arial" w:cs="Arial"/>
                <w:bCs/>
                <w:color w:val="000000"/>
              </w:rPr>
              <w:t xml:space="preserve"> (três bilhões, setecentos e cinquenta e sete milhões, cento e nove mil, quinhentos e oitenta e um reais e vinte e três centavos)</w:t>
            </w:r>
          </w:p>
        </w:tc>
      </w:tr>
      <w:tr w:rsidR="002C1C2B" w14:paraId="620DDE86" w14:textId="77777777" w:rsidTr="00454CFD">
        <w:tc>
          <w:tcPr>
            <w:tcW w:w="1020" w:type="dxa"/>
          </w:tcPr>
          <w:p w14:paraId="459AFFD2" w14:textId="117827FD" w:rsidR="002C1C2B" w:rsidRPr="0054741F" w:rsidRDefault="002C1C2B" w:rsidP="002C1C2B">
            <w:pPr>
              <w:spacing w:line="360" w:lineRule="auto"/>
              <w:jc w:val="center"/>
              <w:rPr>
                <w:rFonts w:ascii="Arial" w:hAnsi="Arial" w:cs="Arial"/>
                <w:b/>
                <w:sz w:val="24"/>
                <w:szCs w:val="24"/>
              </w:rPr>
            </w:pPr>
            <w:r>
              <w:rPr>
                <w:rFonts w:ascii="Arial" w:hAnsi="Arial" w:cs="Arial"/>
                <w:b/>
                <w:sz w:val="24"/>
                <w:szCs w:val="24"/>
              </w:rPr>
              <w:t>2016</w:t>
            </w:r>
          </w:p>
        </w:tc>
        <w:tc>
          <w:tcPr>
            <w:tcW w:w="8318" w:type="dxa"/>
            <w:vAlign w:val="center"/>
          </w:tcPr>
          <w:p w14:paraId="6654E624" w14:textId="7F628D7B" w:rsidR="002C1C2B" w:rsidRPr="002C1C2B" w:rsidRDefault="002C1C2B" w:rsidP="002C1C2B">
            <w:pPr>
              <w:spacing w:line="360" w:lineRule="auto"/>
              <w:jc w:val="both"/>
              <w:rPr>
                <w:rFonts w:ascii="Arial" w:hAnsi="Arial" w:cs="Arial"/>
                <w:sz w:val="24"/>
                <w:szCs w:val="24"/>
                <w:highlight w:val="yellow"/>
              </w:rPr>
            </w:pPr>
            <w:r w:rsidRPr="002C1C2B">
              <w:rPr>
                <w:rFonts w:ascii="Arial" w:hAnsi="Arial" w:cs="Arial"/>
                <w:bCs/>
                <w:color w:val="000000"/>
                <w:u w:val="single"/>
              </w:rPr>
              <w:t>R$ 4.329.837.947,85</w:t>
            </w:r>
            <w:r>
              <w:rPr>
                <w:rFonts w:ascii="Arial" w:hAnsi="Arial" w:cs="Arial"/>
                <w:bCs/>
                <w:color w:val="000000"/>
              </w:rPr>
              <w:t xml:space="preserve"> (quatro bilhões, trezentos e vinte e nove milhões, oitocentos e trinta e sete mil, novecentos e quarenta e sete reais e oitenta e cinco centavos)</w:t>
            </w:r>
          </w:p>
        </w:tc>
      </w:tr>
      <w:tr w:rsidR="002C1C2B" w14:paraId="5DD2862C" w14:textId="77777777" w:rsidTr="00454CFD">
        <w:tc>
          <w:tcPr>
            <w:tcW w:w="1020" w:type="dxa"/>
          </w:tcPr>
          <w:p w14:paraId="265B172D" w14:textId="5E5D875A" w:rsidR="002C1C2B" w:rsidRPr="0054741F" w:rsidRDefault="002C1C2B" w:rsidP="002C1C2B">
            <w:pPr>
              <w:spacing w:line="360" w:lineRule="auto"/>
              <w:jc w:val="center"/>
              <w:rPr>
                <w:rFonts w:ascii="Arial" w:hAnsi="Arial" w:cs="Arial"/>
                <w:b/>
                <w:sz w:val="24"/>
                <w:szCs w:val="24"/>
              </w:rPr>
            </w:pPr>
            <w:r>
              <w:rPr>
                <w:rFonts w:ascii="Arial" w:hAnsi="Arial" w:cs="Arial"/>
                <w:b/>
                <w:sz w:val="24"/>
                <w:szCs w:val="24"/>
              </w:rPr>
              <w:lastRenderedPageBreak/>
              <w:t>2017</w:t>
            </w:r>
          </w:p>
        </w:tc>
        <w:tc>
          <w:tcPr>
            <w:tcW w:w="8318" w:type="dxa"/>
            <w:vAlign w:val="center"/>
          </w:tcPr>
          <w:p w14:paraId="0F94E2EE" w14:textId="01B87C74" w:rsidR="002C1C2B" w:rsidRPr="002C1C2B" w:rsidRDefault="002C1C2B" w:rsidP="002C1C2B">
            <w:pPr>
              <w:spacing w:line="360" w:lineRule="auto"/>
              <w:jc w:val="both"/>
              <w:rPr>
                <w:rFonts w:ascii="Arial" w:hAnsi="Arial" w:cs="Arial"/>
                <w:sz w:val="24"/>
                <w:szCs w:val="24"/>
                <w:highlight w:val="yellow"/>
              </w:rPr>
            </w:pPr>
            <w:r w:rsidRPr="002C1C2B">
              <w:rPr>
                <w:rFonts w:ascii="Arial" w:hAnsi="Arial" w:cs="Arial"/>
                <w:bCs/>
                <w:color w:val="000000"/>
                <w:u w:val="single"/>
              </w:rPr>
              <w:t>R$ 4.263.961.768,45</w:t>
            </w:r>
            <w:r>
              <w:rPr>
                <w:rFonts w:ascii="Arial" w:hAnsi="Arial" w:cs="Arial"/>
                <w:bCs/>
                <w:color w:val="000000"/>
              </w:rPr>
              <w:t xml:space="preserve"> (quatro bilhões, duzentos e sessenta e três milhões, novecentos e sessenta e um mil, setecentos e sessenta e oito reais e quarenta e cinco centavos)</w:t>
            </w:r>
          </w:p>
        </w:tc>
      </w:tr>
      <w:tr w:rsidR="002C1C2B" w14:paraId="07DC055F" w14:textId="77777777" w:rsidTr="00454CFD">
        <w:tc>
          <w:tcPr>
            <w:tcW w:w="1020" w:type="dxa"/>
          </w:tcPr>
          <w:p w14:paraId="6B59F213" w14:textId="0695B354" w:rsidR="002C1C2B" w:rsidRPr="0054741F" w:rsidRDefault="002C1C2B" w:rsidP="002C1C2B">
            <w:pPr>
              <w:spacing w:line="360" w:lineRule="auto"/>
              <w:jc w:val="center"/>
              <w:rPr>
                <w:rFonts w:ascii="Arial" w:hAnsi="Arial" w:cs="Arial"/>
                <w:b/>
                <w:sz w:val="24"/>
                <w:szCs w:val="24"/>
              </w:rPr>
            </w:pPr>
            <w:r>
              <w:rPr>
                <w:rFonts w:ascii="Arial" w:hAnsi="Arial" w:cs="Arial"/>
                <w:b/>
                <w:sz w:val="24"/>
                <w:szCs w:val="24"/>
              </w:rPr>
              <w:t>2018</w:t>
            </w:r>
          </w:p>
        </w:tc>
        <w:tc>
          <w:tcPr>
            <w:tcW w:w="8318" w:type="dxa"/>
            <w:vAlign w:val="center"/>
          </w:tcPr>
          <w:p w14:paraId="74A8B95C" w14:textId="7792FBFF" w:rsidR="002C1C2B" w:rsidRPr="002C1C2B" w:rsidRDefault="002C1C2B" w:rsidP="002C1C2B">
            <w:pPr>
              <w:spacing w:line="360" w:lineRule="auto"/>
              <w:jc w:val="both"/>
              <w:rPr>
                <w:rFonts w:ascii="Arial" w:hAnsi="Arial" w:cs="Arial"/>
                <w:sz w:val="24"/>
                <w:szCs w:val="24"/>
                <w:highlight w:val="yellow"/>
              </w:rPr>
            </w:pPr>
            <w:r w:rsidRPr="002C1C2B">
              <w:rPr>
                <w:rFonts w:ascii="Arial" w:hAnsi="Arial" w:cs="Arial"/>
                <w:bCs/>
                <w:color w:val="000000"/>
                <w:u w:val="single"/>
              </w:rPr>
              <w:t>R$ 4.680.067.098,60</w:t>
            </w:r>
            <w:r>
              <w:rPr>
                <w:rFonts w:ascii="Arial" w:hAnsi="Arial" w:cs="Arial"/>
                <w:bCs/>
                <w:color w:val="000000"/>
              </w:rPr>
              <w:t xml:space="preserve"> (quatro bilhões, seiscentos e oitenta milhões, sessenta e sete mil, noventa e oito reais e sessenta centavos)</w:t>
            </w:r>
          </w:p>
        </w:tc>
      </w:tr>
      <w:tr w:rsidR="00F62FD2" w14:paraId="46BF8DAA" w14:textId="77777777" w:rsidTr="00FB4268">
        <w:tc>
          <w:tcPr>
            <w:tcW w:w="1020" w:type="dxa"/>
          </w:tcPr>
          <w:p w14:paraId="2C5648F8" w14:textId="77777777" w:rsidR="00F62FD2" w:rsidRDefault="00F62FD2" w:rsidP="00FB4268">
            <w:pPr>
              <w:spacing w:line="360" w:lineRule="auto"/>
              <w:jc w:val="center"/>
              <w:rPr>
                <w:rFonts w:ascii="Arial" w:hAnsi="Arial" w:cs="Arial"/>
                <w:sz w:val="24"/>
                <w:szCs w:val="24"/>
              </w:rPr>
            </w:pPr>
            <w:r w:rsidRPr="007477B8">
              <w:rPr>
                <w:rFonts w:ascii="Arial" w:hAnsi="Arial" w:cs="Arial"/>
                <w:b/>
                <w:sz w:val="24"/>
                <w:szCs w:val="24"/>
              </w:rPr>
              <w:t>TOTAL</w:t>
            </w:r>
          </w:p>
        </w:tc>
        <w:tc>
          <w:tcPr>
            <w:tcW w:w="8318" w:type="dxa"/>
          </w:tcPr>
          <w:p w14:paraId="5F547955" w14:textId="28BC40F8" w:rsidR="00F62FD2" w:rsidRPr="00B93F61" w:rsidRDefault="002C1C2B" w:rsidP="002C1C2B">
            <w:pPr>
              <w:spacing w:line="360" w:lineRule="auto"/>
              <w:jc w:val="both"/>
              <w:rPr>
                <w:rFonts w:ascii="Arial" w:hAnsi="Arial" w:cs="Arial"/>
                <w:sz w:val="24"/>
                <w:szCs w:val="24"/>
                <w:highlight w:val="yellow"/>
              </w:rPr>
            </w:pPr>
            <w:r w:rsidRPr="002C1C2B">
              <w:rPr>
                <w:rFonts w:ascii="Arial" w:hAnsi="Arial" w:cs="Arial"/>
                <w:sz w:val="24"/>
                <w:szCs w:val="24"/>
                <w:u w:val="single"/>
              </w:rPr>
              <w:t>R$ 20.639.851.245,06</w:t>
            </w:r>
            <w:r>
              <w:rPr>
                <w:rFonts w:ascii="Arial" w:hAnsi="Arial" w:cs="Arial"/>
                <w:sz w:val="24"/>
                <w:szCs w:val="24"/>
              </w:rPr>
              <w:t xml:space="preserve"> </w:t>
            </w:r>
            <w:r>
              <w:rPr>
                <w:rFonts w:ascii="Arial" w:hAnsi="Arial" w:cs="Arial"/>
                <w:bCs/>
                <w:color w:val="000000"/>
              </w:rPr>
              <w:t>(vinte bilhões, seiscentos e trinta e nove milhões, oitocentos e cinquenta e um mil, duzentos e quarenta e cinco reais e seis centavos)</w:t>
            </w:r>
          </w:p>
        </w:tc>
      </w:tr>
      <w:tr w:rsidR="00750404" w14:paraId="194DE68D" w14:textId="77777777" w:rsidTr="00793A9D">
        <w:tc>
          <w:tcPr>
            <w:tcW w:w="9338" w:type="dxa"/>
            <w:gridSpan w:val="2"/>
          </w:tcPr>
          <w:p w14:paraId="577AB3BB" w14:textId="47F0BBB2" w:rsidR="000F0BAC" w:rsidRDefault="00750404" w:rsidP="004C03F8">
            <w:pPr>
              <w:spacing w:line="360" w:lineRule="auto"/>
              <w:jc w:val="both"/>
              <w:rPr>
                <w:rFonts w:ascii="Arial" w:hAnsi="Arial" w:cs="Arial"/>
                <w:sz w:val="24"/>
                <w:szCs w:val="24"/>
              </w:rPr>
            </w:pPr>
            <w:r>
              <w:rPr>
                <w:rFonts w:ascii="Arial" w:hAnsi="Arial" w:cs="Arial"/>
                <w:sz w:val="24"/>
                <w:szCs w:val="24"/>
              </w:rPr>
              <w:t xml:space="preserve">* Aqui se encontram todos os tipos de crédito outorgado segundo a classificação da registrada na </w:t>
            </w:r>
            <w:r w:rsidR="00430357">
              <w:rPr>
                <w:rFonts w:ascii="Arial" w:hAnsi="Arial" w:cs="Arial"/>
                <w:sz w:val="24"/>
                <w:szCs w:val="24"/>
              </w:rPr>
              <w:t>Escrituração Fiscal Digital (</w:t>
            </w:r>
            <w:r>
              <w:rPr>
                <w:rFonts w:ascii="Arial" w:hAnsi="Arial" w:cs="Arial"/>
                <w:sz w:val="24"/>
                <w:szCs w:val="24"/>
              </w:rPr>
              <w:t>EFD</w:t>
            </w:r>
            <w:r w:rsidR="00430357">
              <w:rPr>
                <w:rFonts w:ascii="Arial" w:hAnsi="Arial" w:cs="Arial"/>
                <w:sz w:val="24"/>
                <w:szCs w:val="24"/>
              </w:rPr>
              <w:t>)</w:t>
            </w:r>
            <w:r>
              <w:rPr>
                <w:rFonts w:ascii="Arial" w:hAnsi="Arial" w:cs="Arial"/>
                <w:sz w:val="24"/>
                <w:szCs w:val="24"/>
              </w:rPr>
              <w:t xml:space="preserve"> das empresas (outros créditos; deduções; </w:t>
            </w:r>
            <w:r w:rsidR="000F6941">
              <w:rPr>
                <w:rFonts w:ascii="Arial" w:hAnsi="Arial" w:cs="Arial"/>
                <w:sz w:val="24"/>
                <w:szCs w:val="24"/>
              </w:rPr>
              <w:t xml:space="preserve">e </w:t>
            </w:r>
            <w:r>
              <w:rPr>
                <w:rFonts w:ascii="Arial" w:hAnsi="Arial" w:cs="Arial"/>
                <w:sz w:val="24"/>
                <w:szCs w:val="24"/>
              </w:rPr>
              <w:t>créditos acumuláveis)</w:t>
            </w:r>
            <w:r w:rsidR="004C03F8">
              <w:rPr>
                <w:rFonts w:ascii="Arial" w:hAnsi="Arial" w:cs="Arial"/>
                <w:sz w:val="24"/>
                <w:szCs w:val="24"/>
              </w:rPr>
              <w:t>, segundo informado pela Secretaria de Estado da Economia no Ofício nº 2.500/2019</w:t>
            </w:r>
            <w:r>
              <w:rPr>
                <w:rFonts w:ascii="Arial" w:hAnsi="Arial" w:cs="Arial"/>
                <w:sz w:val="24"/>
                <w:szCs w:val="24"/>
              </w:rPr>
              <w:t>.</w:t>
            </w:r>
          </w:p>
        </w:tc>
      </w:tr>
    </w:tbl>
    <w:p w14:paraId="799FE4E5" w14:textId="1AB04835" w:rsidR="00E57A6A" w:rsidRDefault="00E57A6A" w:rsidP="005C60F9">
      <w:pPr>
        <w:spacing w:line="360" w:lineRule="auto"/>
        <w:ind w:firstLine="851"/>
        <w:jc w:val="both"/>
        <w:rPr>
          <w:rFonts w:ascii="Arial" w:hAnsi="Arial" w:cs="Arial"/>
          <w:sz w:val="24"/>
          <w:szCs w:val="24"/>
        </w:rPr>
      </w:pPr>
    </w:p>
    <w:p w14:paraId="77CEE89A" w14:textId="4E0A8A88" w:rsidR="00760A9F" w:rsidRDefault="00760A9F" w:rsidP="005C60F9">
      <w:pPr>
        <w:spacing w:line="360" w:lineRule="auto"/>
        <w:ind w:firstLine="851"/>
        <w:jc w:val="both"/>
        <w:rPr>
          <w:rFonts w:ascii="Arial" w:hAnsi="Arial" w:cs="Arial"/>
          <w:sz w:val="24"/>
          <w:szCs w:val="24"/>
        </w:rPr>
      </w:pPr>
      <w:r>
        <w:rPr>
          <w:rFonts w:ascii="Arial" w:hAnsi="Arial" w:cs="Arial"/>
          <w:sz w:val="24"/>
          <w:szCs w:val="24"/>
        </w:rPr>
        <w:t xml:space="preserve">Portanto, </w:t>
      </w:r>
      <w:r w:rsidRPr="00525976">
        <w:rPr>
          <w:rFonts w:ascii="Arial" w:hAnsi="Arial" w:cs="Arial"/>
          <w:b/>
          <w:sz w:val="24"/>
          <w:szCs w:val="24"/>
        </w:rPr>
        <w:t xml:space="preserve">revela-se inegável a participação do crédito outorgado no volume total de </w:t>
      </w:r>
      <w:r w:rsidR="00DD018C" w:rsidRPr="00525976">
        <w:rPr>
          <w:rFonts w:ascii="Arial" w:hAnsi="Arial" w:cs="Arial"/>
          <w:b/>
          <w:sz w:val="24"/>
          <w:szCs w:val="24"/>
        </w:rPr>
        <w:t xml:space="preserve">renúncia de </w:t>
      </w:r>
      <w:r w:rsidRPr="00525976">
        <w:rPr>
          <w:rFonts w:ascii="Arial" w:hAnsi="Arial" w:cs="Arial"/>
          <w:b/>
          <w:sz w:val="24"/>
          <w:szCs w:val="24"/>
        </w:rPr>
        <w:t>receitas do Estado de Goiás ao longo dos anos</w:t>
      </w:r>
      <w:r w:rsidR="00194C06">
        <w:rPr>
          <w:rFonts w:ascii="Arial" w:hAnsi="Arial" w:cs="Arial"/>
          <w:sz w:val="24"/>
          <w:szCs w:val="24"/>
        </w:rPr>
        <w:t xml:space="preserve">, no </w:t>
      </w:r>
      <w:r w:rsidR="00194C06" w:rsidRPr="000F6941">
        <w:rPr>
          <w:rFonts w:ascii="Arial" w:hAnsi="Arial" w:cs="Arial"/>
          <w:sz w:val="24"/>
          <w:szCs w:val="24"/>
          <w:u w:val="single"/>
        </w:rPr>
        <w:t>valor m</w:t>
      </w:r>
      <w:r w:rsidR="006E5D7A" w:rsidRPr="000F6941">
        <w:rPr>
          <w:rFonts w:ascii="Arial" w:hAnsi="Arial" w:cs="Arial"/>
          <w:sz w:val="24"/>
          <w:szCs w:val="24"/>
          <w:u w:val="single"/>
        </w:rPr>
        <w:t>édio</w:t>
      </w:r>
      <w:r w:rsidR="000F6941">
        <w:rPr>
          <w:rFonts w:ascii="Arial" w:hAnsi="Arial" w:cs="Arial"/>
          <w:sz w:val="24"/>
          <w:szCs w:val="24"/>
        </w:rPr>
        <w:t xml:space="preserve">, por ano </w:t>
      </w:r>
      <w:r w:rsidR="000F6941" w:rsidRPr="000F6941">
        <w:rPr>
          <w:rFonts w:ascii="Arial" w:hAnsi="Arial" w:cs="Arial"/>
          <w:sz w:val="24"/>
          <w:szCs w:val="24"/>
          <w:u w:val="single"/>
        </w:rPr>
        <w:t>desde 2014</w:t>
      </w:r>
      <w:r w:rsidR="000F6941">
        <w:rPr>
          <w:rFonts w:ascii="Arial" w:hAnsi="Arial" w:cs="Arial"/>
          <w:sz w:val="24"/>
          <w:szCs w:val="24"/>
        </w:rPr>
        <w:t>,</w:t>
      </w:r>
      <w:r w:rsidR="006E5D7A">
        <w:rPr>
          <w:rFonts w:ascii="Arial" w:hAnsi="Arial" w:cs="Arial"/>
          <w:sz w:val="24"/>
          <w:szCs w:val="24"/>
        </w:rPr>
        <w:t xml:space="preserve"> de </w:t>
      </w:r>
      <w:r w:rsidR="006E5D7A" w:rsidRPr="000F6941">
        <w:rPr>
          <w:rFonts w:ascii="Arial" w:hAnsi="Arial" w:cs="Arial"/>
          <w:sz w:val="24"/>
          <w:szCs w:val="24"/>
          <w:u w:val="single"/>
        </w:rPr>
        <w:t xml:space="preserve">R$ </w:t>
      </w:r>
      <w:r w:rsidR="000F6941" w:rsidRPr="000F6941">
        <w:rPr>
          <w:rFonts w:ascii="Arial" w:hAnsi="Arial" w:cs="Arial"/>
          <w:sz w:val="24"/>
          <w:szCs w:val="24"/>
          <w:u w:val="single"/>
        </w:rPr>
        <w:t>4.127.970.249,01</w:t>
      </w:r>
      <w:r w:rsidR="000F6941">
        <w:rPr>
          <w:rFonts w:ascii="Arial" w:hAnsi="Arial" w:cs="Arial"/>
          <w:sz w:val="24"/>
          <w:szCs w:val="24"/>
        </w:rPr>
        <w:t xml:space="preserve"> </w:t>
      </w:r>
      <w:r w:rsidR="006E5D7A">
        <w:rPr>
          <w:rFonts w:ascii="Arial" w:hAnsi="Arial" w:cs="Arial"/>
          <w:sz w:val="24"/>
          <w:szCs w:val="24"/>
        </w:rPr>
        <w:t>(</w:t>
      </w:r>
      <w:r w:rsidR="000F6941">
        <w:rPr>
          <w:rFonts w:ascii="Arial" w:hAnsi="Arial" w:cs="Arial"/>
          <w:sz w:val="24"/>
          <w:szCs w:val="24"/>
        </w:rPr>
        <w:t xml:space="preserve">quatro </w:t>
      </w:r>
      <w:r w:rsidR="00194C06">
        <w:rPr>
          <w:rFonts w:ascii="Arial" w:hAnsi="Arial" w:cs="Arial"/>
          <w:sz w:val="24"/>
          <w:szCs w:val="24"/>
        </w:rPr>
        <w:t>bilhões</w:t>
      </w:r>
      <w:r w:rsidR="000F6941">
        <w:rPr>
          <w:rFonts w:ascii="Arial" w:hAnsi="Arial" w:cs="Arial"/>
          <w:sz w:val="24"/>
          <w:szCs w:val="24"/>
        </w:rPr>
        <w:t>, cento e vinte e sete milhões, novecentos e setenta mil, duzentos e quarenta e nove reais e um centavo</w:t>
      </w:r>
      <w:r w:rsidR="00194C06">
        <w:rPr>
          <w:rFonts w:ascii="Arial" w:hAnsi="Arial" w:cs="Arial"/>
          <w:sz w:val="24"/>
          <w:szCs w:val="24"/>
        </w:rPr>
        <w:t>)</w:t>
      </w:r>
      <w:r w:rsidR="008B77CC" w:rsidRPr="002C6999">
        <w:rPr>
          <w:rFonts w:ascii="Arial" w:hAnsi="Arial" w:cs="Arial"/>
          <w:sz w:val="24"/>
          <w:szCs w:val="24"/>
        </w:rPr>
        <w:t>.</w:t>
      </w:r>
    </w:p>
    <w:p w14:paraId="5311A239" w14:textId="77777777" w:rsidR="008B77CC" w:rsidRDefault="008B77CC" w:rsidP="005C60F9">
      <w:pPr>
        <w:spacing w:line="360" w:lineRule="auto"/>
        <w:ind w:firstLine="851"/>
        <w:jc w:val="both"/>
        <w:rPr>
          <w:rFonts w:ascii="Arial" w:hAnsi="Arial" w:cs="Arial"/>
          <w:sz w:val="24"/>
          <w:szCs w:val="24"/>
        </w:rPr>
      </w:pPr>
    </w:p>
    <w:p w14:paraId="08FFEF7D" w14:textId="61D6AB95" w:rsidR="00FB4268" w:rsidRDefault="005962AA" w:rsidP="005C60F9">
      <w:pPr>
        <w:spacing w:line="360" w:lineRule="auto"/>
        <w:ind w:firstLine="851"/>
        <w:jc w:val="both"/>
        <w:rPr>
          <w:rFonts w:ascii="Arial" w:hAnsi="Arial" w:cs="Arial"/>
          <w:b/>
          <w:sz w:val="24"/>
          <w:szCs w:val="24"/>
        </w:rPr>
      </w:pPr>
      <w:r w:rsidRPr="00BD66E1">
        <w:rPr>
          <w:rFonts w:ascii="Arial" w:hAnsi="Arial" w:cs="Arial"/>
          <w:b/>
          <w:sz w:val="24"/>
          <w:szCs w:val="24"/>
        </w:rPr>
        <w:t>7.</w:t>
      </w:r>
      <w:r w:rsidR="003A4F7C">
        <w:rPr>
          <w:rFonts w:ascii="Arial" w:hAnsi="Arial" w:cs="Arial"/>
          <w:b/>
          <w:sz w:val="24"/>
          <w:szCs w:val="24"/>
        </w:rPr>
        <w:t>3</w:t>
      </w:r>
      <w:r w:rsidR="006179BF">
        <w:rPr>
          <w:rFonts w:ascii="Arial" w:hAnsi="Arial" w:cs="Arial"/>
          <w:b/>
          <w:sz w:val="24"/>
          <w:szCs w:val="24"/>
        </w:rPr>
        <w:t xml:space="preserve"> –</w:t>
      </w:r>
      <w:r w:rsidR="00714C5B">
        <w:rPr>
          <w:rFonts w:ascii="Arial" w:hAnsi="Arial" w:cs="Arial"/>
          <w:b/>
          <w:sz w:val="24"/>
          <w:szCs w:val="24"/>
        </w:rPr>
        <w:t xml:space="preserve"> </w:t>
      </w:r>
      <w:r w:rsidR="00FB4268">
        <w:rPr>
          <w:rFonts w:ascii="Arial" w:hAnsi="Arial" w:cs="Arial"/>
          <w:b/>
          <w:sz w:val="24"/>
          <w:szCs w:val="24"/>
        </w:rPr>
        <w:t>LEGISLA</w:t>
      </w:r>
      <w:r w:rsidR="0001501D">
        <w:rPr>
          <w:rFonts w:ascii="Arial" w:hAnsi="Arial" w:cs="Arial"/>
          <w:b/>
          <w:sz w:val="24"/>
          <w:szCs w:val="24"/>
        </w:rPr>
        <w:t>ÇÃO ESTADUAL REFERENTE A</w:t>
      </w:r>
      <w:r w:rsidR="00FB4268">
        <w:rPr>
          <w:rFonts w:ascii="Arial" w:hAnsi="Arial" w:cs="Arial"/>
          <w:b/>
          <w:sz w:val="24"/>
          <w:szCs w:val="24"/>
        </w:rPr>
        <w:t xml:space="preserve"> CRÉDITO OUTORGADO</w:t>
      </w:r>
      <w:r w:rsidR="002A65B0">
        <w:rPr>
          <w:rFonts w:ascii="Arial" w:hAnsi="Arial" w:cs="Arial"/>
          <w:b/>
          <w:sz w:val="24"/>
          <w:szCs w:val="24"/>
        </w:rPr>
        <w:t>: CONSIDERAÇÕES GERAIS</w:t>
      </w:r>
    </w:p>
    <w:p w14:paraId="410FA3CC" w14:textId="77777777" w:rsidR="00FB4268" w:rsidRDefault="00FB4268" w:rsidP="005C60F9">
      <w:pPr>
        <w:spacing w:line="360" w:lineRule="auto"/>
        <w:ind w:firstLine="851"/>
        <w:jc w:val="both"/>
        <w:rPr>
          <w:rFonts w:ascii="Arial" w:hAnsi="Arial" w:cs="Arial"/>
          <w:b/>
          <w:sz w:val="24"/>
          <w:szCs w:val="24"/>
        </w:rPr>
      </w:pPr>
    </w:p>
    <w:p w14:paraId="0AE7868F" w14:textId="53099C12" w:rsidR="005962AA" w:rsidRDefault="0060384E" w:rsidP="005C60F9">
      <w:pPr>
        <w:spacing w:line="360" w:lineRule="auto"/>
        <w:ind w:firstLine="851"/>
        <w:jc w:val="both"/>
        <w:rPr>
          <w:rFonts w:ascii="Arial" w:hAnsi="Arial" w:cs="Arial"/>
          <w:sz w:val="24"/>
          <w:szCs w:val="24"/>
        </w:rPr>
      </w:pPr>
      <w:r w:rsidRPr="0060384E">
        <w:rPr>
          <w:rFonts w:ascii="Arial" w:hAnsi="Arial" w:cs="Arial"/>
          <w:b/>
          <w:sz w:val="24"/>
          <w:szCs w:val="24"/>
        </w:rPr>
        <w:t>7.</w:t>
      </w:r>
      <w:r w:rsidR="003A4F7C">
        <w:rPr>
          <w:rFonts w:ascii="Arial" w:hAnsi="Arial" w:cs="Arial"/>
          <w:b/>
          <w:sz w:val="24"/>
          <w:szCs w:val="24"/>
        </w:rPr>
        <w:t>3</w:t>
      </w:r>
      <w:r w:rsidRPr="0060384E">
        <w:rPr>
          <w:rFonts w:ascii="Arial" w:hAnsi="Arial" w:cs="Arial"/>
          <w:b/>
          <w:sz w:val="24"/>
          <w:szCs w:val="24"/>
        </w:rPr>
        <w:t>.1.</w:t>
      </w:r>
      <w:r>
        <w:rPr>
          <w:rFonts w:ascii="Arial" w:hAnsi="Arial" w:cs="Arial"/>
          <w:sz w:val="24"/>
          <w:szCs w:val="24"/>
        </w:rPr>
        <w:t xml:space="preserve"> </w:t>
      </w:r>
      <w:r w:rsidR="00714C5B" w:rsidRPr="00714C5B">
        <w:rPr>
          <w:rFonts w:ascii="Arial" w:hAnsi="Arial" w:cs="Arial"/>
          <w:sz w:val="24"/>
          <w:szCs w:val="24"/>
        </w:rPr>
        <w:t>A</w:t>
      </w:r>
      <w:r w:rsidR="00714C5B">
        <w:rPr>
          <w:rFonts w:ascii="Arial" w:hAnsi="Arial" w:cs="Arial"/>
          <w:sz w:val="24"/>
          <w:szCs w:val="24"/>
        </w:rPr>
        <w:t xml:space="preserve"> fim de conhecer melhor o sistema legislativo e normativo que está por trás d</w:t>
      </w:r>
      <w:r w:rsidR="00601074">
        <w:rPr>
          <w:rFonts w:ascii="Arial" w:hAnsi="Arial" w:cs="Arial"/>
          <w:sz w:val="24"/>
          <w:szCs w:val="24"/>
        </w:rPr>
        <w:t>essa figura jurídica bilionária</w:t>
      </w:r>
      <w:r w:rsidR="00714C5B">
        <w:rPr>
          <w:rFonts w:ascii="Arial" w:hAnsi="Arial" w:cs="Arial"/>
          <w:sz w:val="24"/>
          <w:szCs w:val="24"/>
        </w:rPr>
        <w:t xml:space="preserve"> do crédito outorgado, esta CPI requereu à </w:t>
      </w:r>
      <w:r w:rsidR="003555D4">
        <w:rPr>
          <w:rFonts w:ascii="Arial" w:hAnsi="Arial" w:cs="Arial"/>
          <w:sz w:val="24"/>
          <w:szCs w:val="24"/>
        </w:rPr>
        <w:t>Secretaria de Estado da Economia</w:t>
      </w:r>
      <w:r w:rsidR="00714C5B">
        <w:rPr>
          <w:rFonts w:ascii="Arial" w:hAnsi="Arial" w:cs="Arial"/>
          <w:sz w:val="24"/>
          <w:szCs w:val="24"/>
        </w:rPr>
        <w:t xml:space="preserve"> que fornecesse, </w:t>
      </w:r>
      <w:r w:rsidR="00714C5B" w:rsidRPr="00714C5B">
        <w:rPr>
          <w:rFonts w:ascii="Arial" w:hAnsi="Arial" w:cs="Arial"/>
          <w:sz w:val="24"/>
          <w:szCs w:val="24"/>
        </w:rPr>
        <w:t xml:space="preserve">relativamente ao período de 1999 a 2018, a </w:t>
      </w:r>
      <w:r w:rsidR="00714C5B" w:rsidRPr="00A7731F">
        <w:rPr>
          <w:rFonts w:ascii="Arial" w:hAnsi="Arial" w:cs="Arial"/>
          <w:b/>
          <w:sz w:val="24"/>
          <w:szCs w:val="24"/>
          <w:u w:val="single"/>
        </w:rPr>
        <w:t>relação de todas as leis, decretos e demais atos normativos que concederam crédito outorgado a pessoas jurídicas</w:t>
      </w:r>
      <w:r w:rsidR="00CD03AB" w:rsidRPr="00A7731F">
        <w:rPr>
          <w:rFonts w:ascii="Arial" w:hAnsi="Arial" w:cs="Arial"/>
          <w:b/>
          <w:sz w:val="24"/>
          <w:szCs w:val="24"/>
          <w:u w:val="single"/>
        </w:rPr>
        <w:t xml:space="preserve"> (Ofício nº 02/2019</w:t>
      </w:r>
      <w:r w:rsidR="00897A74" w:rsidRPr="00A7731F">
        <w:rPr>
          <w:rFonts w:ascii="Arial" w:hAnsi="Arial" w:cs="Arial"/>
          <w:b/>
          <w:sz w:val="24"/>
          <w:szCs w:val="24"/>
          <w:u w:val="single"/>
        </w:rPr>
        <w:t>, item 2</w:t>
      </w:r>
      <w:r w:rsidR="00CD03AB" w:rsidRPr="00A7731F">
        <w:rPr>
          <w:rFonts w:ascii="Arial" w:hAnsi="Arial" w:cs="Arial"/>
          <w:b/>
          <w:sz w:val="24"/>
          <w:szCs w:val="24"/>
          <w:u w:val="single"/>
        </w:rPr>
        <w:t>)</w:t>
      </w:r>
      <w:r w:rsidR="00CD03AB">
        <w:rPr>
          <w:rFonts w:ascii="Arial" w:hAnsi="Arial" w:cs="Arial"/>
          <w:sz w:val="24"/>
          <w:szCs w:val="24"/>
        </w:rPr>
        <w:t>, o que foi respondido por meio do Ofício nº 2500/2019-Economia, o qual se limitou a fornecer, quanto a este ponto, a cópia integral do Decreto nº 9.193/2018</w:t>
      </w:r>
      <w:r w:rsidR="00897A74">
        <w:rPr>
          <w:rFonts w:ascii="Arial" w:hAnsi="Arial" w:cs="Arial"/>
          <w:sz w:val="24"/>
          <w:szCs w:val="24"/>
        </w:rPr>
        <w:t xml:space="preserve"> (p. 48/123)</w:t>
      </w:r>
      <w:r w:rsidR="00CD03AB">
        <w:rPr>
          <w:rFonts w:ascii="Arial" w:hAnsi="Arial" w:cs="Arial"/>
          <w:sz w:val="24"/>
          <w:szCs w:val="24"/>
        </w:rPr>
        <w:t>.</w:t>
      </w:r>
    </w:p>
    <w:p w14:paraId="6043E127" w14:textId="77777777" w:rsidR="00897A74" w:rsidRDefault="00A33C32" w:rsidP="005C60F9">
      <w:pPr>
        <w:spacing w:line="360" w:lineRule="auto"/>
        <w:ind w:firstLine="851"/>
        <w:jc w:val="both"/>
        <w:rPr>
          <w:rFonts w:ascii="Arial" w:hAnsi="Arial" w:cs="Arial"/>
          <w:sz w:val="24"/>
          <w:szCs w:val="24"/>
        </w:rPr>
      </w:pPr>
      <w:r w:rsidRPr="009E1B89">
        <w:rPr>
          <w:rFonts w:ascii="Arial" w:hAnsi="Arial" w:cs="Arial"/>
          <w:b/>
          <w:sz w:val="24"/>
          <w:szCs w:val="24"/>
        </w:rPr>
        <w:t>Referido decreto</w:t>
      </w:r>
      <w:r w:rsidR="00897A74" w:rsidRPr="009E1B89">
        <w:rPr>
          <w:rFonts w:ascii="Arial" w:hAnsi="Arial" w:cs="Arial"/>
          <w:b/>
          <w:sz w:val="24"/>
          <w:szCs w:val="24"/>
        </w:rPr>
        <w:t xml:space="preserve"> publica relação dos atos normativos relativos às isenções, aos incentivos e benefícios fiscais ou financeiro-fiscais</w:t>
      </w:r>
      <w:r w:rsidR="00897A74" w:rsidRPr="00897A74">
        <w:rPr>
          <w:rFonts w:ascii="Arial" w:hAnsi="Arial" w:cs="Arial"/>
          <w:sz w:val="24"/>
          <w:szCs w:val="24"/>
        </w:rPr>
        <w:t>, instituídos por legislação estadual e vigentes em 8 de agosto de 2017</w:t>
      </w:r>
      <w:r w:rsidR="00897A74">
        <w:rPr>
          <w:rFonts w:ascii="Arial" w:hAnsi="Arial" w:cs="Arial"/>
          <w:sz w:val="24"/>
          <w:szCs w:val="24"/>
        </w:rPr>
        <w:t xml:space="preserve">, conforme </w:t>
      </w:r>
      <w:r w:rsidR="00897A74" w:rsidRPr="009E1B89">
        <w:rPr>
          <w:rFonts w:ascii="Arial" w:hAnsi="Arial" w:cs="Arial"/>
          <w:sz w:val="24"/>
          <w:szCs w:val="24"/>
        </w:rPr>
        <w:t>exigência da LC nº 160/2017 e Convênio-Confaz nº 190/2017</w:t>
      </w:r>
      <w:r w:rsidR="00897A74">
        <w:rPr>
          <w:rFonts w:ascii="Arial" w:hAnsi="Arial" w:cs="Arial"/>
          <w:sz w:val="24"/>
          <w:szCs w:val="24"/>
        </w:rPr>
        <w:t xml:space="preserve">. </w:t>
      </w:r>
    </w:p>
    <w:p w14:paraId="2D781C60" w14:textId="0213CBD7" w:rsidR="00A7731F" w:rsidRDefault="00897A74" w:rsidP="005C60F9">
      <w:pPr>
        <w:spacing w:line="360" w:lineRule="auto"/>
        <w:ind w:firstLine="851"/>
        <w:jc w:val="both"/>
        <w:rPr>
          <w:rFonts w:ascii="Arial" w:hAnsi="Arial" w:cs="Arial"/>
          <w:sz w:val="24"/>
          <w:szCs w:val="24"/>
        </w:rPr>
      </w:pPr>
      <w:r>
        <w:rPr>
          <w:rFonts w:ascii="Arial" w:hAnsi="Arial" w:cs="Arial"/>
          <w:sz w:val="24"/>
          <w:szCs w:val="24"/>
        </w:rPr>
        <w:lastRenderedPageBreak/>
        <w:t xml:space="preserve">Contudo, </w:t>
      </w:r>
      <w:r w:rsidR="00A7731F" w:rsidRPr="003F6456">
        <w:rPr>
          <w:rFonts w:ascii="Arial" w:hAnsi="Arial" w:cs="Arial"/>
          <w:b/>
          <w:sz w:val="24"/>
          <w:szCs w:val="24"/>
        </w:rPr>
        <w:t>mencionado decreto traz uma relação amplíssima, ao longo de 10 (dez) grandes anexos, de leis e atos normativos referentes a diversas espécies de incentivos fiscais</w:t>
      </w:r>
      <w:r w:rsidR="00A7731F">
        <w:rPr>
          <w:rFonts w:ascii="Arial" w:hAnsi="Arial" w:cs="Arial"/>
          <w:sz w:val="24"/>
          <w:szCs w:val="24"/>
        </w:rPr>
        <w:t>, sem individualizar quais seriam pertinentes a crédito outorgado.</w:t>
      </w:r>
      <w:r>
        <w:rPr>
          <w:rFonts w:ascii="Arial" w:hAnsi="Arial" w:cs="Arial"/>
          <w:sz w:val="24"/>
          <w:szCs w:val="24"/>
        </w:rPr>
        <w:t xml:space="preserve"> </w:t>
      </w:r>
      <w:r w:rsidR="00A7731F">
        <w:rPr>
          <w:rFonts w:ascii="Arial" w:hAnsi="Arial" w:cs="Arial"/>
          <w:sz w:val="24"/>
          <w:szCs w:val="24"/>
        </w:rPr>
        <w:t>Destacam-se a seguir os tipos de incentivos fiscais alcançados pelo decreto:</w:t>
      </w:r>
    </w:p>
    <w:p w14:paraId="4C7F9C92" w14:textId="65DC0DA8" w:rsidR="00A7731F" w:rsidRDefault="00A7731F" w:rsidP="005C60F9">
      <w:pPr>
        <w:spacing w:line="360" w:lineRule="auto"/>
        <w:ind w:firstLine="851"/>
        <w:jc w:val="both"/>
        <w:rPr>
          <w:rFonts w:ascii="Arial" w:hAnsi="Arial" w:cs="Arial"/>
          <w:sz w:val="24"/>
          <w:szCs w:val="24"/>
        </w:rPr>
      </w:pPr>
    </w:p>
    <w:p w14:paraId="62C6A95F" w14:textId="5E767E18" w:rsidR="00A7731F" w:rsidRDefault="00A7731F" w:rsidP="00093ED0">
      <w:pPr>
        <w:ind w:left="2268"/>
        <w:jc w:val="both"/>
        <w:rPr>
          <w:rFonts w:ascii="Arial" w:hAnsi="Arial" w:cs="Arial"/>
          <w:sz w:val="22"/>
          <w:szCs w:val="22"/>
        </w:rPr>
      </w:pPr>
      <w:r w:rsidRPr="001C03FD">
        <w:rPr>
          <w:rFonts w:ascii="Arial" w:hAnsi="Arial" w:cs="Arial"/>
          <w:b/>
          <w:sz w:val="22"/>
          <w:szCs w:val="22"/>
        </w:rPr>
        <w:t>Art. 1º</w:t>
      </w:r>
      <w:r>
        <w:rPr>
          <w:rFonts w:ascii="Arial" w:hAnsi="Arial" w:cs="Arial"/>
          <w:sz w:val="22"/>
          <w:szCs w:val="22"/>
        </w:rPr>
        <w:t xml:space="preserve"> </w:t>
      </w:r>
      <w:r w:rsidRPr="00A7731F">
        <w:rPr>
          <w:rFonts w:ascii="Arial" w:hAnsi="Arial" w:cs="Arial"/>
          <w:sz w:val="22"/>
          <w:szCs w:val="22"/>
        </w:rPr>
        <w:t>Os atos normativos relativos às isenções, aos incentivos e benefícios fiscais ou financeiro-fiscais, referentes ao Imposto sobre Operações Relativas à Circulação de Mercadorias e sobre Prestações de Serviços de Transporte Interestadual e Intermunicipal e de Comunicação - ICMS, instituídos pelas leis, decretos e legislação complementar estaduais, em desacordo com a alínea “g” do inciso XII do § 2º do art. 155 da Constituição Federal de 1988, vigentes em 8 de agosto de 2017, são os relacionados nos Anexos I a X deste Decreto.</w:t>
      </w:r>
    </w:p>
    <w:p w14:paraId="40064221" w14:textId="0E3A2AB0" w:rsidR="00A7731F" w:rsidRDefault="00A7731F" w:rsidP="00093ED0">
      <w:pPr>
        <w:ind w:left="2268"/>
        <w:jc w:val="both"/>
        <w:rPr>
          <w:rFonts w:ascii="Arial" w:hAnsi="Arial" w:cs="Arial"/>
          <w:sz w:val="22"/>
          <w:szCs w:val="22"/>
        </w:rPr>
      </w:pPr>
      <w:r w:rsidRPr="00A7731F">
        <w:rPr>
          <w:rFonts w:ascii="Arial" w:hAnsi="Arial" w:cs="Arial"/>
          <w:sz w:val="22"/>
          <w:szCs w:val="22"/>
        </w:rPr>
        <w:t>Parágrafo único. O disposto neste artigo compreende as seguintes espécies de benefícios fiscais:</w:t>
      </w:r>
    </w:p>
    <w:p w14:paraId="69217C6A" w14:textId="10A9F272"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I - isenção;</w:t>
      </w:r>
    </w:p>
    <w:p w14:paraId="44AEE3EC"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II - redução da base de cálculo;</w:t>
      </w:r>
    </w:p>
    <w:p w14:paraId="046AA06A"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III - manutenção de crédito;</w:t>
      </w:r>
    </w:p>
    <w:p w14:paraId="0998C785"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IV - devolução do imposto;</w:t>
      </w:r>
    </w:p>
    <w:p w14:paraId="452AF7F5"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V - crédito outorgado ou crédito presumido;</w:t>
      </w:r>
    </w:p>
    <w:p w14:paraId="1C774627"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VI - dedução de imposto apurado;</w:t>
      </w:r>
    </w:p>
    <w:p w14:paraId="26CAF8F9"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VII - dispensa do pagamento;</w:t>
      </w:r>
    </w:p>
    <w:p w14:paraId="53BE21C7"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VIII - dilação de prazo para pagamento de imposto, inclusive o devido por substituição tributária, em prazo superior ao estabelecido no Convênio ICM 38/88, de 11 de outubro de 1988, e em outros acordos celebrados no âmbito do CONFAZ;</w:t>
      </w:r>
    </w:p>
    <w:p w14:paraId="4022A769"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IX - antecipação de prazo para apropriação de crédito do ICMS correspondente à entrada de mercadoria ou bem e ao uso de serviços previstos nos arts. 20 e 33 da Lei Complementar nº 87, de 13 de setembro de 1996;</w:t>
      </w:r>
    </w:p>
    <w:p w14:paraId="0C7D3200"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X - financiamento do imposto;</w:t>
      </w:r>
    </w:p>
    <w:p w14:paraId="39F3EF16"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XI - crédito para investimento;</w:t>
      </w:r>
    </w:p>
    <w:p w14:paraId="5E27E499"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XII - remissão;</w:t>
      </w:r>
    </w:p>
    <w:p w14:paraId="3B79B7F8"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XIII - anistia;</w:t>
      </w:r>
    </w:p>
    <w:p w14:paraId="47937EA2"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XIV - moratória;</w:t>
      </w:r>
    </w:p>
    <w:p w14:paraId="006DE904" w14:textId="7777777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XV - transação;</w:t>
      </w:r>
    </w:p>
    <w:p w14:paraId="139101F7" w14:textId="5EBFA607" w:rsidR="00A7731F" w:rsidRPr="003F6456" w:rsidRDefault="00A7731F" w:rsidP="00093ED0">
      <w:pPr>
        <w:ind w:left="2268"/>
        <w:jc w:val="both"/>
        <w:rPr>
          <w:rFonts w:ascii="Arial" w:hAnsi="Arial" w:cs="Arial"/>
          <w:b/>
          <w:sz w:val="22"/>
          <w:szCs w:val="22"/>
        </w:rPr>
      </w:pPr>
      <w:r w:rsidRPr="003F6456">
        <w:rPr>
          <w:rFonts w:ascii="Arial" w:hAnsi="Arial" w:cs="Arial"/>
          <w:b/>
          <w:sz w:val="22"/>
          <w:szCs w:val="22"/>
        </w:rPr>
        <w:t>XVI - parcelamento em prazo superior ao estabelecido no Convênio ICM 24/75, de 5 de novembro de 1975, e em outros acordos celebrados no âmbito do CONFAZ;</w:t>
      </w:r>
    </w:p>
    <w:p w14:paraId="3D052D75" w14:textId="77777777" w:rsidR="00A7731F" w:rsidRPr="00A7731F" w:rsidRDefault="00A7731F" w:rsidP="00093ED0">
      <w:pPr>
        <w:ind w:left="2268"/>
        <w:jc w:val="both"/>
        <w:rPr>
          <w:rFonts w:ascii="Arial" w:hAnsi="Arial" w:cs="Arial"/>
          <w:sz w:val="22"/>
          <w:szCs w:val="22"/>
        </w:rPr>
      </w:pPr>
      <w:r w:rsidRPr="003F6456">
        <w:rPr>
          <w:rFonts w:ascii="Arial" w:hAnsi="Arial" w:cs="Arial"/>
          <w:b/>
          <w:sz w:val="22"/>
          <w:szCs w:val="22"/>
        </w:rPr>
        <w:t>XVII - outro benefício ou incentivo, sob qualquer forma, condição ou denominação, de que resultem, direta ou indiretamente, a exoneração, dispensa, redução, eliminação, total ou parcial, de ônus do imposto devido na respectiva operação ou prestação, mesmo que o cumprimento da obrigação se vincule à realização de operação ou prestação posterior ou, ainda, a qualquer outro evento futuro</w:t>
      </w:r>
      <w:r w:rsidRPr="00A7731F">
        <w:rPr>
          <w:rFonts w:ascii="Arial" w:hAnsi="Arial" w:cs="Arial"/>
          <w:sz w:val="22"/>
          <w:szCs w:val="22"/>
        </w:rPr>
        <w:t>.</w:t>
      </w:r>
    </w:p>
    <w:p w14:paraId="4604DEE4" w14:textId="77777777" w:rsidR="00A7731F" w:rsidRDefault="00A7731F" w:rsidP="005C60F9">
      <w:pPr>
        <w:spacing w:line="360" w:lineRule="auto"/>
        <w:ind w:firstLine="851"/>
        <w:jc w:val="both"/>
        <w:rPr>
          <w:rFonts w:ascii="Arial" w:hAnsi="Arial" w:cs="Arial"/>
          <w:sz w:val="24"/>
          <w:szCs w:val="24"/>
        </w:rPr>
      </w:pPr>
    </w:p>
    <w:p w14:paraId="3232B3A4" w14:textId="7FA53E12" w:rsidR="00490D00" w:rsidRDefault="003F6456" w:rsidP="003F6456">
      <w:pPr>
        <w:spacing w:line="360" w:lineRule="auto"/>
        <w:ind w:firstLine="851"/>
        <w:jc w:val="both"/>
        <w:rPr>
          <w:rFonts w:ascii="Arial" w:hAnsi="Arial" w:cs="Arial"/>
          <w:sz w:val="24"/>
          <w:szCs w:val="24"/>
        </w:rPr>
      </w:pPr>
      <w:r w:rsidRPr="003F6456">
        <w:rPr>
          <w:rFonts w:ascii="Arial" w:hAnsi="Arial" w:cs="Arial"/>
          <w:sz w:val="24"/>
          <w:szCs w:val="24"/>
        </w:rPr>
        <w:lastRenderedPageBreak/>
        <w:t xml:space="preserve">Além disso, </w:t>
      </w:r>
      <w:r w:rsidRPr="009E1B89">
        <w:rPr>
          <w:rFonts w:ascii="Arial" w:hAnsi="Arial" w:cs="Arial"/>
          <w:b/>
          <w:sz w:val="24"/>
          <w:szCs w:val="24"/>
        </w:rPr>
        <w:t>referido decreto f</w:t>
      </w:r>
      <w:r w:rsidR="009E1B89">
        <w:rPr>
          <w:rFonts w:ascii="Arial" w:hAnsi="Arial" w:cs="Arial"/>
          <w:b/>
          <w:sz w:val="24"/>
          <w:szCs w:val="24"/>
        </w:rPr>
        <w:t>oi publicado em março de 2018, ao passo que</w:t>
      </w:r>
      <w:r w:rsidRPr="009E1B89">
        <w:rPr>
          <w:rFonts w:ascii="Arial" w:hAnsi="Arial" w:cs="Arial"/>
          <w:b/>
          <w:sz w:val="24"/>
          <w:szCs w:val="24"/>
        </w:rPr>
        <w:t xml:space="preserve"> o pedido desta CPI formalizado em abril de 2019</w:t>
      </w:r>
      <w:r>
        <w:rPr>
          <w:rFonts w:ascii="Arial" w:hAnsi="Arial" w:cs="Arial"/>
          <w:sz w:val="24"/>
          <w:szCs w:val="24"/>
        </w:rPr>
        <w:t xml:space="preserve">, de modo que as leis e os atos normativos publicados nesse interregno também não foram informados a esta CPI. </w:t>
      </w:r>
      <w:r w:rsidR="00490D00">
        <w:rPr>
          <w:rFonts w:ascii="Arial" w:hAnsi="Arial" w:cs="Arial"/>
          <w:sz w:val="24"/>
          <w:szCs w:val="24"/>
        </w:rPr>
        <w:t>A resposta fornecida pela pasta da Economia, nesse ponto, não foi muito clara, o que levou a CPI a fazer um levantamento manual para identificar as principais leis referentes a créditos outorgados.</w:t>
      </w:r>
    </w:p>
    <w:p w14:paraId="31C2ED38" w14:textId="3056A842" w:rsidR="004D7002" w:rsidRDefault="00490D00" w:rsidP="003F6456">
      <w:pPr>
        <w:spacing w:line="360" w:lineRule="auto"/>
        <w:ind w:firstLine="851"/>
        <w:jc w:val="both"/>
        <w:rPr>
          <w:rFonts w:ascii="Arial" w:hAnsi="Arial" w:cs="Arial"/>
          <w:sz w:val="24"/>
          <w:szCs w:val="24"/>
        </w:rPr>
      </w:pPr>
      <w:r>
        <w:rPr>
          <w:rFonts w:ascii="Arial" w:hAnsi="Arial" w:cs="Arial"/>
          <w:sz w:val="24"/>
          <w:szCs w:val="24"/>
        </w:rPr>
        <w:t>Desse modo</w:t>
      </w:r>
      <w:r w:rsidR="003F6456">
        <w:rPr>
          <w:rFonts w:ascii="Arial" w:hAnsi="Arial" w:cs="Arial"/>
          <w:sz w:val="24"/>
          <w:szCs w:val="24"/>
        </w:rPr>
        <w:t xml:space="preserve">, </w:t>
      </w:r>
      <w:r>
        <w:rPr>
          <w:rFonts w:ascii="Arial" w:hAnsi="Arial" w:cs="Arial"/>
          <w:sz w:val="24"/>
          <w:szCs w:val="24"/>
        </w:rPr>
        <w:t xml:space="preserve">ao se </w:t>
      </w:r>
      <w:r w:rsidR="003F6456">
        <w:rPr>
          <w:rFonts w:ascii="Arial" w:hAnsi="Arial" w:cs="Arial"/>
          <w:sz w:val="24"/>
          <w:szCs w:val="24"/>
        </w:rPr>
        <w:t>faze</w:t>
      </w:r>
      <w:r>
        <w:rPr>
          <w:rFonts w:ascii="Arial" w:hAnsi="Arial" w:cs="Arial"/>
          <w:sz w:val="24"/>
          <w:szCs w:val="24"/>
        </w:rPr>
        <w:t>r</w:t>
      </w:r>
      <w:r w:rsidR="003F6456">
        <w:rPr>
          <w:rFonts w:ascii="Arial" w:hAnsi="Arial" w:cs="Arial"/>
          <w:sz w:val="24"/>
          <w:szCs w:val="24"/>
        </w:rPr>
        <w:t xml:space="preserve"> uma análise</w:t>
      </w:r>
      <w:r>
        <w:rPr>
          <w:rFonts w:ascii="Arial" w:hAnsi="Arial" w:cs="Arial"/>
          <w:sz w:val="24"/>
          <w:szCs w:val="24"/>
        </w:rPr>
        <w:t xml:space="preserve"> mais meticulosa</w:t>
      </w:r>
      <w:r w:rsidR="003F6456">
        <w:rPr>
          <w:rFonts w:ascii="Arial" w:hAnsi="Arial" w:cs="Arial"/>
          <w:sz w:val="24"/>
          <w:szCs w:val="24"/>
        </w:rPr>
        <w:t xml:space="preserve"> do mencionado decreto, </w:t>
      </w:r>
      <w:r w:rsidRPr="00490D00">
        <w:rPr>
          <w:rFonts w:ascii="Arial" w:hAnsi="Arial" w:cs="Arial"/>
          <w:b/>
          <w:sz w:val="24"/>
          <w:szCs w:val="24"/>
        </w:rPr>
        <w:t xml:space="preserve">identificaram-se </w:t>
      </w:r>
      <w:r w:rsidR="003F6456" w:rsidRPr="00490D00">
        <w:rPr>
          <w:rFonts w:ascii="Arial" w:hAnsi="Arial" w:cs="Arial"/>
          <w:b/>
          <w:sz w:val="24"/>
          <w:szCs w:val="24"/>
        </w:rPr>
        <w:t>as seguintes l</w:t>
      </w:r>
      <w:r w:rsidR="00923CB8">
        <w:rPr>
          <w:rFonts w:ascii="Arial" w:hAnsi="Arial" w:cs="Arial"/>
          <w:b/>
          <w:sz w:val="24"/>
          <w:szCs w:val="24"/>
        </w:rPr>
        <w:t xml:space="preserve">eis </w:t>
      </w:r>
      <w:r w:rsidR="003F6456" w:rsidRPr="00490D00">
        <w:rPr>
          <w:rFonts w:ascii="Arial" w:hAnsi="Arial" w:cs="Arial"/>
          <w:b/>
          <w:sz w:val="24"/>
          <w:szCs w:val="24"/>
        </w:rPr>
        <w:t>sobre crédito outorgado</w:t>
      </w:r>
      <w:r w:rsidR="003F6456">
        <w:rPr>
          <w:rFonts w:ascii="Arial" w:hAnsi="Arial" w:cs="Arial"/>
          <w:sz w:val="24"/>
          <w:szCs w:val="24"/>
        </w:rPr>
        <w:t>, embora muitas vezes disponham também sobre outras espécies de incentivos fiscais relativos ao ICMS:</w:t>
      </w:r>
    </w:p>
    <w:p w14:paraId="0781ABF8" w14:textId="77777777" w:rsidR="00093ED0" w:rsidRDefault="00093ED0" w:rsidP="003F6456">
      <w:pPr>
        <w:spacing w:line="360" w:lineRule="auto"/>
        <w:ind w:firstLine="851"/>
        <w:jc w:val="both"/>
        <w:rPr>
          <w:rFonts w:ascii="Arial" w:hAnsi="Arial" w:cs="Arial"/>
          <w:sz w:val="24"/>
          <w:szCs w:val="24"/>
        </w:rPr>
      </w:pPr>
    </w:p>
    <w:tbl>
      <w:tblPr>
        <w:tblW w:w="89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284"/>
      </w:tblGrid>
      <w:tr w:rsidR="0021180E" w:rsidRPr="0021180E" w14:paraId="0EBF155F" w14:textId="77777777" w:rsidTr="0021180E">
        <w:trPr>
          <w:jc w:val="center"/>
        </w:trPr>
        <w:tc>
          <w:tcPr>
            <w:tcW w:w="2689" w:type="dxa"/>
          </w:tcPr>
          <w:p w14:paraId="3A02842F" w14:textId="77777777" w:rsidR="0021180E" w:rsidRPr="0021180E" w:rsidRDefault="0021180E" w:rsidP="0021180E">
            <w:pPr>
              <w:spacing w:line="360" w:lineRule="auto"/>
              <w:ind w:right="40"/>
              <w:jc w:val="center"/>
              <w:rPr>
                <w:rFonts w:ascii="Arial" w:hAnsi="Arial" w:cs="Arial"/>
                <w:b/>
                <w:sz w:val="24"/>
                <w:szCs w:val="24"/>
                <w:u w:val="single"/>
              </w:rPr>
            </w:pPr>
            <w:r w:rsidRPr="0021180E">
              <w:rPr>
                <w:rFonts w:ascii="Arial" w:hAnsi="Arial" w:cs="Arial"/>
                <w:b/>
                <w:sz w:val="24"/>
                <w:szCs w:val="24"/>
                <w:u w:val="single"/>
              </w:rPr>
              <w:t>Lei nº 12.462/1994</w:t>
            </w:r>
          </w:p>
        </w:tc>
        <w:tc>
          <w:tcPr>
            <w:tcW w:w="6284" w:type="dxa"/>
          </w:tcPr>
          <w:p w14:paraId="0D95C117"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Autoriza a redução da base de cálculo do ICMS na situação que especifica e dá outras providências.</w:t>
            </w:r>
          </w:p>
          <w:p w14:paraId="451D43CE"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o art. 1º, § 4º, II, dispõe sobre crédito outorgado.</w:t>
            </w:r>
          </w:p>
        </w:tc>
      </w:tr>
      <w:tr w:rsidR="0021180E" w:rsidRPr="0021180E" w14:paraId="057EA5FC" w14:textId="77777777" w:rsidTr="0021180E">
        <w:trPr>
          <w:jc w:val="center"/>
        </w:trPr>
        <w:tc>
          <w:tcPr>
            <w:tcW w:w="2689" w:type="dxa"/>
          </w:tcPr>
          <w:p w14:paraId="53A3A7B1" w14:textId="77777777" w:rsidR="0021180E" w:rsidRPr="0021180E" w:rsidRDefault="0021180E" w:rsidP="00454CFD">
            <w:pPr>
              <w:spacing w:line="360" w:lineRule="auto"/>
              <w:jc w:val="center"/>
              <w:rPr>
                <w:rFonts w:ascii="Arial" w:hAnsi="Arial" w:cs="Arial"/>
                <w:b/>
                <w:sz w:val="24"/>
                <w:szCs w:val="24"/>
                <w:u w:val="single"/>
              </w:rPr>
            </w:pPr>
            <w:r w:rsidRPr="0021180E">
              <w:rPr>
                <w:rFonts w:ascii="Arial" w:hAnsi="Arial" w:cs="Arial"/>
                <w:b/>
                <w:sz w:val="24"/>
                <w:szCs w:val="24"/>
                <w:u w:val="single"/>
              </w:rPr>
              <w:t>Lei nº 12.955/1996</w:t>
            </w:r>
          </w:p>
        </w:tc>
        <w:tc>
          <w:tcPr>
            <w:tcW w:w="6284" w:type="dxa"/>
          </w:tcPr>
          <w:p w14:paraId="48650465"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Autoriza a redução da base de cálculo do ICMS na situação que especifica e dá outras providências.</w:t>
            </w:r>
          </w:p>
          <w:p w14:paraId="66668163" w14:textId="77777777" w:rsidR="0021180E" w:rsidRPr="0021180E" w:rsidRDefault="0021180E" w:rsidP="00454CFD">
            <w:pPr>
              <w:spacing w:line="360" w:lineRule="auto"/>
              <w:jc w:val="both"/>
              <w:rPr>
                <w:rFonts w:ascii="Arial" w:hAnsi="Arial" w:cs="Arial"/>
                <w:b/>
                <w:sz w:val="24"/>
                <w:szCs w:val="24"/>
              </w:rPr>
            </w:pPr>
            <w:r w:rsidRPr="0021180E">
              <w:rPr>
                <w:rFonts w:ascii="Arial" w:hAnsi="Arial" w:cs="Arial"/>
                <w:b/>
                <w:sz w:val="24"/>
                <w:szCs w:val="24"/>
              </w:rPr>
              <w:t>Outras observações</w:t>
            </w:r>
            <w:r w:rsidRPr="0021180E">
              <w:rPr>
                <w:rFonts w:ascii="Arial" w:hAnsi="Arial" w:cs="Arial"/>
                <w:sz w:val="24"/>
                <w:szCs w:val="24"/>
              </w:rPr>
              <w:t>: os arts. 7º, 7º-A e 8º-A dispõem sobre crédito outorgado.</w:t>
            </w:r>
          </w:p>
        </w:tc>
      </w:tr>
      <w:tr w:rsidR="0021180E" w:rsidRPr="0021180E" w14:paraId="08FD9DEC" w14:textId="77777777" w:rsidTr="0021180E">
        <w:trPr>
          <w:jc w:val="center"/>
        </w:trPr>
        <w:tc>
          <w:tcPr>
            <w:tcW w:w="2689" w:type="dxa"/>
          </w:tcPr>
          <w:p w14:paraId="66B2610D" w14:textId="77777777" w:rsidR="0021180E" w:rsidRPr="0021180E" w:rsidRDefault="0021180E" w:rsidP="00454CFD">
            <w:pPr>
              <w:spacing w:line="360" w:lineRule="auto"/>
              <w:jc w:val="center"/>
              <w:rPr>
                <w:rFonts w:ascii="Arial" w:hAnsi="Arial" w:cs="Arial"/>
                <w:b/>
                <w:sz w:val="24"/>
                <w:szCs w:val="24"/>
                <w:u w:val="single"/>
              </w:rPr>
            </w:pPr>
            <w:r w:rsidRPr="0021180E">
              <w:rPr>
                <w:rFonts w:ascii="Arial" w:hAnsi="Arial" w:cs="Arial"/>
                <w:b/>
                <w:sz w:val="24"/>
                <w:szCs w:val="24"/>
                <w:u w:val="single"/>
              </w:rPr>
              <w:t>Lei nº 13.506/1999</w:t>
            </w:r>
          </w:p>
          <w:p w14:paraId="6B276847" w14:textId="5C31E49D" w:rsidR="0021180E" w:rsidRPr="0021180E" w:rsidRDefault="0021180E" w:rsidP="00454CFD">
            <w:pPr>
              <w:spacing w:line="360" w:lineRule="auto"/>
              <w:jc w:val="center"/>
              <w:rPr>
                <w:rFonts w:ascii="Arial" w:hAnsi="Arial" w:cs="Arial"/>
                <w:sz w:val="24"/>
                <w:szCs w:val="24"/>
              </w:rPr>
            </w:pPr>
          </w:p>
        </w:tc>
        <w:tc>
          <w:tcPr>
            <w:tcW w:w="6284" w:type="dxa"/>
          </w:tcPr>
          <w:p w14:paraId="61D85C42"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Cria o Programa de Incentivo ao Produtor de Algodão – PROALGO – e o Fundo de Incentivo à Cultura do Algodão – FIALGO.</w:t>
            </w:r>
          </w:p>
          <w:p w14:paraId="4458428B" w14:textId="77777777" w:rsidR="0021180E" w:rsidRPr="0021180E" w:rsidRDefault="0021180E" w:rsidP="00454CFD">
            <w:pPr>
              <w:spacing w:line="360" w:lineRule="auto"/>
              <w:jc w:val="both"/>
              <w:rPr>
                <w:rFonts w:ascii="Arial" w:hAnsi="Arial" w:cs="Arial"/>
                <w:b/>
                <w:sz w:val="24"/>
                <w:szCs w:val="24"/>
              </w:rPr>
            </w:pPr>
            <w:r w:rsidRPr="0021180E">
              <w:rPr>
                <w:rFonts w:ascii="Arial" w:hAnsi="Arial" w:cs="Arial"/>
                <w:b/>
                <w:sz w:val="24"/>
                <w:szCs w:val="24"/>
              </w:rPr>
              <w:t>Outras observações</w:t>
            </w:r>
            <w:r w:rsidRPr="0021180E">
              <w:rPr>
                <w:rFonts w:ascii="Arial" w:hAnsi="Arial" w:cs="Arial"/>
                <w:sz w:val="24"/>
                <w:szCs w:val="24"/>
              </w:rPr>
              <w:t>: os arts. 2º, 3º e 7º dispõem sobre crédito outorgado.</w:t>
            </w:r>
          </w:p>
        </w:tc>
      </w:tr>
      <w:tr w:rsidR="0021180E" w:rsidRPr="0021180E" w14:paraId="0D2EA227" w14:textId="77777777" w:rsidTr="0021180E">
        <w:trPr>
          <w:jc w:val="center"/>
        </w:trPr>
        <w:tc>
          <w:tcPr>
            <w:tcW w:w="2689" w:type="dxa"/>
          </w:tcPr>
          <w:p w14:paraId="04A02EE5" w14:textId="77777777" w:rsidR="0021180E" w:rsidRPr="0021180E" w:rsidRDefault="0021180E" w:rsidP="00454CFD">
            <w:pPr>
              <w:spacing w:line="360" w:lineRule="auto"/>
              <w:jc w:val="center"/>
              <w:rPr>
                <w:rFonts w:ascii="Arial" w:hAnsi="Arial" w:cs="Arial"/>
                <w:b/>
                <w:sz w:val="24"/>
                <w:szCs w:val="24"/>
                <w:u w:val="single"/>
              </w:rPr>
            </w:pPr>
            <w:r w:rsidRPr="0021180E">
              <w:rPr>
                <w:rFonts w:ascii="Arial" w:hAnsi="Arial" w:cs="Arial"/>
                <w:b/>
                <w:sz w:val="24"/>
                <w:szCs w:val="24"/>
                <w:u w:val="single"/>
              </w:rPr>
              <w:t>Lei nº 13.194/1997</w:t>
            </w:r>
          </w:p>
          <w:p w14:paraId="3290669F" w14:textId="77777777" w:rsidR="0021180E" w:rsidRPr="0021180E" w:rsidRDefault="0021180E" w:rsidP="0021180E">
            <w:pPr>
              <w:spacing w:line="360" w:lineRule="auto"/>
              <w:jc w:val="center"/>
              <w:rPr>
                <w:rFonts w:ascii="Arial" w:hAnsi="Arial" w:cs="Arial"/>
                <w:sz w:val="24"/>
                <w:szCs w:val="24"/>
              </w:rPr>
            </w:pPr>
          </w:p>
        </w:tc>
        <w:tc>
          <w:tcPr>
            <w:tcW w:w="6284" w:type="dxa"/>
          </w:tcPr>
          <w:p w14:paraId="68BDA0A0"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Altera as Leis nº 11.651/91, 12.462/94, 12.955/96 e 12.972/96; autoriza a redução da base de cálculo de produtos que especifica e a concessão de crédito outorgado nas operações que especifica; revoga as Leis nº 12.167/93, 12.609/95 e 12.696/95; e dá outras providências.</w:t>
            </w:r>
          </w:p>
          <w:p w14:paraId="4DC8032D"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os arts. 1º, inciso I, e 2º, inciso II, dispõem sobre crédito outorgado.</w:t>
            </w:r>
          </w:p>
        </w:tc>
      </w:tr>
      <w:tr w:rsidR="0021180E" w:rsidRPr="0021180E" w14:paraId="289B42AF" w14:textId="77777777" w:rsidTr="0021180E">
        <w:trPr>
          <w:jc w:val="center"/>
        </w:trPr>
        <w:tc>
          <w:tcPr>
            <w:tcW w:w="2689" w:type="dxa"/>
          </w:tcPr>
          <w:p w14:paraId="510F6C9C" w14:textId="77777777" w:rsidR="0021180E" w:rsidRPr="0021180E" w:rsidRDefault="0021180E" w:rsidP="00454CFD">
            <w:pPr>
              <w:jc w:val="center"/>
              <w:rPr>
                <w:rFonts w:ascii="Arial" w:hAnsi="Arial" w:cs="Arial"/>
                <w:b/>
                <w:sz w:val="24"/>
                <w:szCs w:val="24"/>
                <w:u w:val="single"/>
              </w:rPr>
            </w:pPr>
            <w:r w:rsidRPr="0021180E">
              <w:rPr>
                <w:rFonts w:ascii="Arial" w:hAnsi="Arial" w:cs="Arial"/>
                <w:b/>
                <w:sz w:val="24"/>
                <w:szCs w:val="24"/>
                <w:u w:val="single"/>
              </w:rPr>
              <w:lastRenderedPageBreak/>
              <w:t>Lei nº 13.246/1999</w:t>
            </w:r>
          </w:p>
        </w:tc>
        <w:tc>
          <w:tcPr>
            <w:tcW w:w="6284" w:type="dxa"/>
          </w:tcPr>
          <w:p w14:paraId="57C69096"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Introduz alterações nas Leis nº 11.180, de 19 de abril de 1990, e 11.660, de 27 de dezembro de 1991, e dá outras providências.</w:t>
            </w:r>
          </w:p>
          <w:p w14:paraId="77A5A441"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o art. 3º, inciso II c/c § 3º, dispõe sobre crédito outorgado ao setor sucroalcooleiro.</w:t>
            </w:r>
          </w:p>
        </w:tc>
      </w:tr>
      <w:tr w:rsidR="0021180E" w:rsidRPr="0021180E" w14:paraId="7B59E340" w14:textId="77777777" w:rsidTr="0021180E">
        <w:trPr>
          <w:jc w:val="center"/>
        </w:trPr>
        <w:tc>
          <w:tcPr>
            <w:tcW w:w="2689" w:type="dxa"/>
          </w:tcPr>
          <w:p w14:paraId="6759EACB" w14:textId="77777777" w:rsidR="0021180E" w:rsidRPr="0021180E" w:rsidRDefault="0021180E" w:rsidP="00454CFD">
            <w:pPr>
              <w:spacing w:line="360" w:lineRule="auto"/>
              <w:jc w:val="center"/>
              <w:rPr>
                <w:rFonts w:ascii="Arial" w:hAnsi="Arial" w:cs="Arial"/>
                <w:b/>
                <w:sz w:val="24"/>
                <w:szCs w:val="24"/>
                <w:u w:val="single"/>
              </w:rPr>
            </w:pPr>
            <w:r w:rsidRPr="0021180E">
              <w:rPr>
                <w:rFonts w:ascii="Arial" w:hAnsi="Arial" w:cs="Arial"/>
                <w:b/>
                <w:sz w:val="24"/>
                <w:szCs w:val="24"/>
                <w:u w:val="single"/>
              </w:rPr>
              <w:t>Lei nº 13.453/1999</w:t>
            </w:r>
          </w:p>
          <w:p w14:paraId="7F9168ED" w14:textId="2C1D17F7" w:rsidR="0021180E" w:rsidRPr="0021180E" w:rsidRDefault="0021180E" w:rsidP="00454CFD">
            <w:pPr>
              <w:spacing w:line="360" w:lineRule="auto"/>
              <w:jc w:val="center"/>
              <w:rPr>
                <w:rFonts w:ascii="Arial" w:hAnsi="Arial" w:cs="Arial"/>
                <w:sz w:val="24"/>
                <w:szCs w:val="24"/>
                <w:u w:val="single"/>
              </w:rPr>
            </w:pPr>
          </w:p>
        </w:tc>
        <w:tc>
          <w:tcPr>
            <w:tcW w:w="6284" w:type="dxa"/>
          </w:tcPr>
          <w:p w14:paraId="08733D9E"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autoriza a concessão de crédito outorgado e de redução da base de cálculo do ICMS, altera a Lei nº 11.651/91, de 26 de dezembro de 1991, que instituiu o Código Tributário do Estado de Goiás, e dá outras providências.</w:t>
            </w:r>
          </w:p>
          <w:p w14:paraId="480F9111"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o art. 1º, c/c § 12, inciso I “a”, dispõe sobre crédito outorgado ao setor sucroalcooleiro.</w:t>
            </w:r>
          </w:p>
          <w:p w14:paraId="183D1BA2"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o art. 1º, inciso I c/c §§ 1º e 8º, art. 2º, inciso VI, e o art. 3º-A dispõem sobre crédito outorgado.</w:t>
            </w:r>
          </w:p>
        </w:tc>
      </w:tr>
      <w:tr w:rsidR="0021180E" w:rsidRPr="0021180E" w14:paraId="1E858DF3" w14:textId="77777777" w:rsidTr="0021180E">
        <w:trPr>
          <w:jc w:val="center"/>
        </w:trPr>
        <w:tc>
          <w:tcPr>
            <w:tcW w:w="2689" w:type="dxa"/>
          </w:tcPr>
          <w:p w14:paraId="42700071" w14:textId="77777777" w:rsidR="0021180E" w:rsidRPr="0021180E" w:rsidRDefault="0021180E" w:rsidP="00454CFD">
            <w:pPr>
              <w:spacing w:line="360" w:lineRule="auto"/>
              <w:jc w:val="center"/>
              <w:rPr>
                <w:rFonts w:ascii="Arial" w:hAnsi="Arial" w:cs="Arial"/>
                <w:sz w:val="24"/>
                <w:szCs w:val="24"/>
                <w:u w:val="single"/>
              </w:rPr>
            </w:pPr>
            <w:r w:rsidRPr="0021180E">
              <w:rPr>
                <w:rFonts w:ascii="Arial" w:hAnsi="Arial" w:cs="Arial"/>
                <w:b/>
                <w:sz w:val="24"/>
                <w:szCs w:val="24"/>
                <w:u w:val="single"/>
              </w:rPr>
              <w:t>Lei nº 13.579/1999</w:t>
            </w:r>
          </w:p>
        </w:tc>
        <w:tc>
          <w:tcPr>
            <w:tcW w:w="6284" w:type="dxa"/>
          </w:tcPr>
          <w:p w14:paraId="5DCDC1FF"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Altera leis que tratam de matéria tributária e concede crédito outorgado à indústria na operação interestadual com medicamento denominado genérico ou similar de humano na situação que especifica e dá outras providências.</w:t>
            </w:r>
          </w:p>
          <w:p w14:paraId="39983066"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o art. 5º dispunha sobre crédito outorgado, porém foi revogado pela Lei nº 16.440/2008.</w:t>
            </w:r>
          </w:p>
        </w:tc>
      </w:tr>
      <w:tr w:rsidR="0021180E" w:rsidRPr="0021180E" w14:paraId="5B23D84D" w14:textId="77777777" w:rsidTr="0021180E">
        <w:trPr>
          <w:jc w:val="center"/>
        </w:trPr>
        <w:tc>
          <w:tcPr>
            <w:tcW w:w="2689" w:type="dxa"/>
          </w:tcPr>
          <w:p w14:paraId="04A37567" w14:textId="77777777" w:rsidR="0021180E" w:rsidRPr="0021180E" w:rsidRDefault="0021180E" w:rsidP="00454CFD">
            <w:pPr>
              <w:spacing w:line="360" w:lineRule="auto"/>
              <w:jc w:val="center"/>
              <w:rPr>
                <w:rFonts w:ascii="Arial" w:hAnsi="Arial" w:cs="Arial"/>
                <w:b/>
                <w:sz w:val="24"/>
                <w:szCs w:val="24"/>
                <w:u w:val="single"/>
              </w:rPr>
            </w:pPr>
            <w:r w:rsidRPr="0021180E">
              <w:rPr>
                <w:rFonts w:ascii="Arial" w:hAnsi="Arial" w:cs="Arial"/>
                <w:b/>
                <w:sz w:val="24"/>
                <w:szCs w:val="24"/>
                <w:u w:val="single"/>
              </w:rPr>
              <w:t>Lei nº 13.613/2000</w:t>
            </w:r>
          </w:p>
        </w:tc>
        <w:tc>
          <w:tcPr>
            <w:tcW w:w="6284" w:type="dxa"/>
          </w:tcPr>
          <w:p w14:paraId="0DDBA6E5"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Institui o Programa Estadual de Incentivo à Cultura – GOYAZES e dá outras providências.</w:t>
            </w:r>
          </w:p>
          <w:p w14:paraId="3E9E54B1" w14:textId="77777777" w:rsidR="0021180E" w:rsidRPr="0021180E" w:rsidRDefault="0021180E" w:rsidP="00454CFD">
            <w:pPr>
              <w:spacing w:line="360" w:lineRule="auto"/>
              <w:jc w:val="both"/>
              <w:rPr>
                <w:rFonts w:ascii="Arial" w:hAnsi="Arial" w:cs="Arial"/>
                <w:b/>
                <w:sz w:val="24"/>
                <w:szCs w:val="24"/>
              </w:rPr>
            </w:pPr>
            <w:r w:rsidRPr="0021180E">
              <w:rPr>
                <w:rFonts w:ascii="Arial" w:hAnsi="Arial" w:cs="Arial"/>
                <w:b/>
                <w:sz w:val="24"/>
                <w:szCs w:val="24"/>
              </w:rPr>
              <w:t>Outras observações</w:t>
            </w:r>
            <w:r w:rsidRPr="0021180E">
              <w:rPr>
                <w:rFonts w:ascii="Arial" w:hAnsi="Arial" w:cs="Arial"/>
                <w:sz w:val="24"/>
                <w:szCs w:val="24"/>
              </w:rPr>
              <w:t>: o art. 9º, II, dispõe sobre crédito outorgado, embora a previsão correspondente esteja atualmente revogada no RCTE/GO (art. 9º, XXI).</w:t>
            </w:r>
          </w:p>
        </w:tc>
      </w:tr>
      <w:tr w:rsidR="0021180E" w:rsidRPr="0021180E" w14:paraId="58A71FC9" w14:textId="77777777" w:rsidTr="0021180E">
        <w:trPr>
          <w:jc w:val="center"/>
        </w:trPr>
        <w:tc>
          <w:tcPr>
            <w:tcW w:w="2689" w:type="dxa"/>
          </w:tcPr>
          <w:p w14:paraId="092DDF30" w14:textId="77777777" w:rsidR="0021180E" w:rsidRPr="0021180E" w:rsidRDefault="0021180E" w:rsidP="00454CFD">
            <w:pPr>
              <w:spacing w:line="360" w:lineRule="auto"/>
              <w:jc w:val="center"/>
              <w:rPr>
                <w:rFonts w:ascii="Arial" w:hAnsi="Arial" w:cs="Arial"/>
                <w:b/>
                <w:sz w:val="24"/>
                <w:szCs w:val="24"/>
                <w:u w:val="single"/>
              </w:rPr>
            </w:pPr>
            <w:r w:rsidRPr="0021180E">
              <w:rPr>
                <w:rFonts w:ascii="Arial" w:hAnsi="Arial" w:cs="Arial"/>
                <w:b/>
                <w:sz w:val="24"/>
                <w:szCs w:val="24"/>
                <w:u w:val="single"/>
              </w:rPr>
              <w:t>Lei nº 14.542/2003</w:t>
            </w:r>
          </w:p>
        </w:tc>
        <w:tc>
          <w:tcPr>
            <w:tcW w:w="6284" w:type="dxa"/>
          </w:tcPr>
          <w:p w14:paraId="3FD7E66A"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Autoriza a concessão de crédito outorgado do ICMS nas operações internas, com mercadorias destinadas a construções vinculadas ao Programa Habitar Melhor e dá outras providências.</w:t>
            </w:r>
          </w:p>
          <w:p w14:paraId="58AF5044"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lastRenderedPageBreak/>
              <w:t>Outras observações</w:t>
            </w:r>
            <w:r w:rsidRPr="0021180E">
              <w:rPr>
                <w:rFonts w:ascii="Arial" w:hAnsi="Arial" w:cs="Arial"/>
                <w:sz w:val="24"/>
                <w:szCs w:val="24"/>
              </w:rPr>
              <w:t>: o art. 1º dispõe sobre crédito outorgado.</w:t>
            </w:r>
          </w:p>
        </w:tc>
      </w:tr>
      <w:tr w:rsidR="0021180E" w:rsidRPr="0021180E" w14:paraId="2B49CB29" w14:textId="77777777" w:rsidTr="0021180E">
        <w:trPr>
          <w:jc w:val="center"/>
        </w:trPr>
        <w:tc>
          <w:tcPr>
            <w:tcW w:w="2689" w:type="dxa"/>
          </w:tcPr>
          <w:p w14:paraId="1E7B4F1E" w14:textId="77777777" w:rsidR="0021180E" w:rsidRPr="0021180E" w:rsidRDefault="0021180E" w:rsidP="00454CFD">
            <w:pPr>
              <w:spacing w:line="360" w:lineRule="auto"/>
              <w:jc w:val="center"/>
              <w:rPr>
                <w:rFonts w:ascii="Arial" w:hAnsi="Arial" w:cs="Arial"/>
                <w:sz w:val="24"/>
                <w:szCs w:val="24"/>
              </w:rPr>
            </w:pPr>
            <w:r w:rsidRPr="0021180E">
              <w:rPr>
                <w:rFonts w:ascii="Arial" w:hAnsi="Arial" w:cs="Arial"/>
                <w:b/>
                <w:sz w:val="24"/>
                <w:szCs w:val="24"/>
                <w:u w:val="single"/>
              </w:rPr>
              <w:lastRenderedPageBreak/>
              <w:t>Lei nº 14.543/2003</w:t>
            </w:r>
          </w:p>
        </w:tc>
        <w:tc>
          <w:tcPr>
            <w:tcW w:w="6284" w:type="dxa"/>
          </w:tcPr>
          <w:p w14:paraId="7B96F75B"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xml:space="preserve">: Autoriza a concessão de créditos outorgados de ICMS a empresas industrializadora de produto agrícola estabelecida no Estado de Goiás. </w:t>
            </w:r>
          </w:p>
          <w:p w14:paraId="699C4682"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o art. 1º dispõe sobre crédito outorgado.</w:t>
            </w:r>
          </w:p>
        </w:tc>
      </w:tr>
      <w:tr w:rsidR="0021180E" w:rsidRPr="0021180E" w14:paraId="463828D5" w14:textId="77777777" w:rsidTr="0021180E">
        <w:trPr>
          <w:jc w:val="center"/>
        </w:trPr>
        <w:tc>
          <w:tcPr>
            <w:tcW w:w="2689" w:type="dxa"/>
          </w:tcPr>
          <w:p w14:paraId="4903A6E1" w14:textId="77777777" w:rsidR="0021180E" w:rsidRPr="0021180E" w:rsidRDefault="0021180E" w:rsidP="00454CFD">
            <w:pPr>
              <w:spacing w:line="360" w:lineRule="auto"/>
              <w:jc w:val="center"/>
              <w:rPr>
                <w:rFonts w:ascii="Arial" w:hAnsi="Arial" w:cs="Arial"/>
                <w:sz w:val="24"/>
                <w:szCs w:val="24"/>
              </w:rPr>
            </w:pPr>
            <w:r w:rsidRPr="0021180E">
              <w:rPr>
                <w:rFonts w:ascii="Arial" w:hAnsi="Arial" w:cs="Arial"/>
                <w:b/>
                <w:sz w:val="24"/>
                <w:szCs w:val="24"/>
                <w:u w:val="single"/>
              </w:rPr>
              <w:t>Lei nº 15.905/2006</w:t>
            </w:r>
          </w:p>
        </w:tc>
        <w:tc>
          <w:tcPr>
            <w:tcW w:w="6284" w:type="dxa"/>
          </w:tcPr>
          <w:p w14:paraId="2C25EE6A"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Dispõe sobre a convalidação da utilização, pelo contribuinte prestador do serviço de transporte rodoviário de passageiro, do benefício de que trata a alínea “i” do inciso II do art. 2º da Lei nº 13.194/97, na situação que especifica e altera a Lei nº 15.573/06.</w:t>
            </w:r>
          </w:p>
        </w:tc>
      </w:tr>
      <w:tr w:rsidR="0021180E" w:rsidRPr="0021180E" w14:paraId="251AF5BD" w14:textId="77777777" w:rsidTr="0021180E">
        <w:trPr>
          <w:jc w:val="center"/>
        </w:trPr>
        <w:tc>
          <w:tcPr>
            <w:tcW w:w="2689" w:type="dxa"/>
          </w:tcPr>
          <w:p w14:paraId="7383426D" w14:textId="77777777" w:rsidR="0021180E" w:rsidRPr="0021180E" w:rsidRDefault="0021180E" w:rsidP="00454CFD">
            <w:pPr>
              <w:spacing w:line="360" w:lineRule="auto"/>
              <w:jc w:val="center"/>
              <w:rPr>
                <w:rFonts w:ascii="Arial" w:hAnsi="Arial" w:cs="Arial"/>
                <w:sz w:val="24"/>
                <w:szCs w:val="24"/>
              </w:rPr>
            </w:pPr>
            <w:r w:rsidRPr="0021180E">
              <w:rPr>
                <w:rFonts w:ascii="Arial" w:hAnsi="Arial" w:cs="Arial"/>
                <w:b/>
                <w:sz w:val="24"/>
                <w:szCs w:val="24"/>
                <w:u w:val="single"/>
              </w:rPr>
              <w:t>Lei nº 16.671/2009</w:t>
            </w:r>
          </w:p>
        </w:tc>
        <w:tc>
          <w:tcPr>
            <w:tcW w:w="6284" w:type="dxa"/>
          </w:tcPr>
          <w:p w14:paraId="0D9841A4"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xml:space="preserve">: </w:t>
            </w:r>
            <w:r w:rsidRPr="0021180E">
              <w:rPr>
                <w:rFonts w:ascii="Arial" w:hAnsi="Arial" w:cs="Arial"/>
                <w:sz w:val="24"/>
                <w:szCs w:val="24"/>
                <w:shd w:val="clear" w:color="auto" w:fill="FFFFFF"/>
              </w:rPr>
              <w:t>Dispõe sobre a concessão de incentivo fiscal destinado à implantação ou ampliação de empreendimento industrial de veículo automotor no Estado de Goiás.</w:t>
            </w:r>
          </w:p>
        </w:tc>
      </w:tr>
      <w:tr w:rsidR="0021180E" w:rsidRPr="0021180E" w14:paraId="3210AB36" w14:textId="77777777" w:rsidTr="0021180E">
        <w:trPr>
          <w:jc w:val="center"/>
        </w:trPr>
        <w:tc>
          <w:tcPr>
            <w:tcW w:w="2689" w:type="dxa"/>
          </w:tcPr>
          <w:p w14:paraId="1652203D" w14:textId="77777777" w:rsidR="0021180E" w:rsidRPr="0021180E" w:rsidRDefault="0021180E" w:rsidP="00454CFD">
            <w:pPr>
              <w:spacing w:line="480" w:lineRule="auto"/>
              <w:jc w:val="center"/>
              <w:rPr>
                <w:rFonts w:ascii="Arial" w:hAnsi="Arial" w:cs="Arial"/>
                <w:sz w:val="24"/>
                <w:szCs w:val="24"/>
              </w:rPr>
            </w:pPr>
            <w:r w:rsidRPr="0021180E">
              <w:rPr>
                <w:rFonts w:ascii="Arial" w:hAnsi="Arial" w:cs="Arial"/>
                <w:b/>
                <w:sz w:val="24"/>
                <w:szCs w:val="24"/>
                <w:u w:val="single"/>
              </w:rPr>
              <w:t>Lei nº 17.441/2011</w:t>
            </w:r>
          </w:p>
        </w:tc>
        <w:tc>
          <w:tcPr>
            <w:tcW w:w="6284" w:type="dxa"/>
          </w:tcPr>
          <w:p w14:paraId="67AB900F"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xml:space="preserve">: Institui o Programa de Incentivo à Implantação de Empreendimento Industrial para a produção de grupos geradores de energia elétrica. </w:t>
            </w:r>
          </w:p>
          <w:p w14:paraId="3BC28FBA"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o art. 5º dispõe sobre crédito outorgado.</w:t>
            </w:r>
          </w:p>
        </w:tc>
      </w:tr>
      <w:tr w:rsidR="0021180E" w:rsidRPr="0021180E" w14:paraId="64E1D984" w14:textId="77777777" w:rsidTr="0021180E">
        <w:trPr>
          <w:jc w:val="center"/>
        </w:trPr>
        <w:tc>
          <w:tcPr>
            <w:tcW w:w="2689" w:type="dxa"/>
          </w:tcPr>
          <w:p w14:paraId="44850BE3" w14:textId="77777777" w:rsidR="0021180E" w:rsidRPr="0021180E" w:rsidRDefault="0021180E" w:rsidP="00454CFD">
            <w:pPr>
              <w:spacing w:line="360" w:lineRule="auto"/>
              <w:jc w:val="center"/>
              <w:rPr>
                <w:rFonts w:ascii="Arial" w:hAnsi="Arial" w:cs="Arial"/>
                <w:sz w:val="24"/>
                <w:szCs w:val="24"/>
              </w:rPr>
            </w:pPr>
            <w:r w:rsidRPr="0021180E">
              <w:rPr>
                <w:rFonts w:ascii="Arial" w:hAnsi="Arial" w:cs="Arial"/>
                <w:b/>
                <w:sz w:val="24"/>
                <w:szCs w:val="24"/>
                <w:u w:val="single"/>
              </w:rPr>
              <w:t>Lei nº 17.442/2011</w:t>
            </w:r>
          </w:p>
        </w:tc>
        <w:tc>
          <w:tcPr>
            <w:tcW w:w="6284" w:type="dxa"/>
          </w:tcPr>
          <w:p w14:paraId="3F25D211"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D</w:t>
            </w:r>
            <w:r w:rsidRPr="0021180E">
              <w:rPr>
                <w:rFonts w:ascii="Arial" w:hAnsi="Arial" w:cs="Arial"/>
                <w:sz w:val="24"/>
                <w:szCs w:val="24"/>
                <w:shd w:val="clear" w:color="auto" w:fill="FFFFFF"/>
              </w:rPr>
              <w:t>ispõe sobre o tratamento tributário do ICMS dispensado ao grupo econômico.</w:t>
            </w:r>
          </w:p>
          <w:p w14:paraId="28F89E69"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xml:space="preserve">: art. </w:t>
            </w:r>
            <w:hyperlink r:id="rId54" w:anchor="A3" w:history="1">
              <w:r w:rsidRPr="0021180E">
                <w:rPr>
                  <w:rStyle w:val="Hyperlink"/>
                  <w:rFonts w:ascii="Arial" w:hAnsi="Arial" w:cs="Arial"/>
                  <w:sz w:val="24"/>
                  <w:szCs w:val="24"/>
                </w:rPr>
                <w:t>3º</w:t>
              </w:r>
            </w:hyperlink>
            <w:r w:rsidRPr="0021180E">
              <w:rPr>
                <w:rFonts w:ascii="Arial" w:hAnsi="Arial" w:cs="Arial"/>
                <w:sz w:val="24"/>
                <w:szCs w:val="24"/>
              </w:rPr>
              <w:t xml:space="preserve">, II, e art. </w:t>
            </w:r>
            <w:hyperlink r:id="rId55" w:anchor="A7" w:history="1">
              <w:r w:rsidRPr="0021180E">
                <w:rPr>
                  <w:rStyle w:val="Hyperlink"/>
                  <w:rFonts w:ascii="Arial" w:hAnsi="Arial" w:cs="Arial"/>
                  <w:sz w:val="24"/>
                  <w:szCs w:val="24"/>
                </w:rPr>
                <w:t>7º</w:t>
              </w:r>
            </w:hyperlink>
            <w:r w:rsidRPr="0021180E">
              <w:rPr>
                <w:rFonts w:ascii="Arial" w:hAnsi="Arial" w:cs="Arial"/>
                <w:sz w:val="24"/>
                <w:szCs w:val="24"/>
              </w:rPr>
              <w:t xml:space="preserve"> dispõe sobre à aplicação de percentual.</w:t>
            </w:r>
          </w:p>
        </w:tc>
      </w:tr>
      <w:tr w:rsidR="0021180E" w:rsidRPr="0021180E" w14:paraId="1DB26DB2" w14:textId="77777777" w:rsidTr="0021180E">
        <w:trPr>
          <w:jc w:val="center"/>
        </w:trPr>
        <w:tc>
          <w:tcPr>
            <w:tcW w:w="2689" w:type="dxa"/>
          </w:tcPr>
          <w:p w14:paraId="47627FB5" w14:textId="77777777" w:rsidR="0021180E" w:rsidRPr="0021180E" w:rsidRDefault="0021180E" w:rsidP="00454CFD">
            <w:pPr>
              <w:spacing w:line="360" w:lineRule="auto"/>
              <w:jc w:val="center"/>
              <w:rPr>
                <w:rFonts w:ascii="Arial" w:hAnsi="Arial" w:cs="Arial"/>
                <w:sz w:val="24"/>
                <w:szCs w:val="24"/>
              </w:rPr>
            </w:pPr>
            <w:r w:rsidRPr="0021180E">
              <w:rPr>
                <w:rFonts w:ascii="Arial" w:hAnsi="Arial" w:cs="Arial"/>
                <w:b/>
                <w:sz w:val="24"/>
                <w:szCs w:val="24"/>
                <w:u w:val="single"/>
              </w:rPr>
              <w:t>Lei nº 19.143/2015</w:t>
            </w:r>
          </w:p>
        </w:tc>
        <w:tc>
          <w:tcPr>
            <w:tcW w:w="6284" w:type="dxa"/>
          </w:tcPr>
          <w:p w14:paraId="28CA2C08"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Ementa</w:t>
            </w:r>
            <w:r w:rsidRPr="0021180E">
              <w:rPr>
                <w:rFonts w:ascii="Arial" w:hAnsi="Arial" w:cs="Arial"/>
                <w:sz w:val="24"/>
                <w:szCs w:val="24"/>
              </w:rPr>
              <w:t xml:space="preserve">: </w:t>
            </w:r>
            <w:r w:rsidRPr="0021180E">
              <w:rPr>
                <w:rFonts w:ascii="Arial" w:hAnsi="Arial" w:cs="Arial"/>
                <w:iCs/>
                <w:color w:val="000000"/>
                <w:sz w:val="24"/>
                <w:szCs w:val="24"/>
                <w:shd w:val="clear" w:color="auto" w:fill="FFFFFF"/>
              </w:rPr>
              <w:t>Dispõe sobre a concessão de incentivo fiscal destinado à implantação de empreendimento industrial de atomatados no Estado de Goiás.</w:t>
            </w:r>
          </w:p>
          <w:p w14:paraId="6F07EA3F"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Revogada pela Lei nº 20.654/2019.</w:t>
            </w:r>
          </w:p>
        </w:tc>
      </w:tr>
      <w:tr w:rsidR="0021180E" w:rsidRPr="0021180E" w14:paraId="67C2431C" w14:textId="77777777" w:rsidTr="0021180E">
        <w:trPr>
          <w:jc w:val="center"/>
        </w:trPr>
        <w:tc>
          <w:tcPr>
            <w:tcW w:w="2689" w:type="dxa"/>
          </w:tcPr>
          <w:p w14:paraId="61271469" w14:textId="77777777" w:rsidR="0021180E" w:rsidRPr="0021180E" w:rsidRDefault="0021180E" w:rsidP="00454CFD">
            <w:pPr>
              <w:spacing w:line="360" w:lineRule="auto"/>
              <w:jc w:val="center"/>
              <w:rPr>
                <w:rFonts w:ascii="Arial" w:hAnsi="Arial" w:cs="Arial"/>
                <w:sz w:val="24"/>
                <w:szCs w:val="24"/>
              </w:rPr>
            </w:pPr>
            <w:r w:rsidRPr="0021180E">
              <w:rPr>
                <w:rFonts w:ascii="Arial" w:hAnsi="Arial" w:cs="Arial"/>
                <w:b/>
                <w:sz w:val="24"/>
                <w:szCs w:val="24"/>
                <w:u w:val="single"/>
              </w:rPr>
              <w:lastRenderedPageBreak/>
              <w:t>Lei nº 19.226/2016</w:t>
            </w:r>
          </w:p>
        </w:tc>
        <w:tc>
          <w:tcPr>
            <w:tcW w:w="6284" w:type="dxa"/>
          </w:tcPr>
          <w:p w14:paraId="3346FCAD" w14:textId="77777777" w:rsidR="0021180E" w:rsidRPr="0021180E" w:rsidRDefault="0021180E" w:rsidP="00454CFD">
            <w:pPr>
              <w:spacing w:line="360" w:lineRule="auto"/>
              <w:jc w:val="both"/>
              <w:rPr>
                <w:rFonts w:ascii="Arial" w:hAnsi="Arial" w:cs="Arial"/>
                <w:sz w:val="24"/>
                <w:szCs w:val="24"/>
                <w:shd w:val="clear" w:color="auto" w:fill="FFFFFF"/>
              </w:rPr>
            </w:pPr>
            <w:r w:rsidRPr="0021180E">
              <w:rPr>
                <w:rFonts w:ascii="Arial" w:hAnsi="Arial" w:cs="Arial"/>
                <w:b/>
                <w:sz w:val="24"/>
                <w:szCs w:val="24"/>
              </w:rPr>
              <w:t>Ementa</w:t>
            </w:r>
            <w:r w:rsidRPr="0021180E">
              <w:rPr>
                <w:rFonts w:ascii="Arial" w:hAnsi="Arial" w:cs="Arial"/>
                <w:sz w:val="24"/>
                <w:szCs w:val="24"/>
              </w:rPr>
              <w:t xml:space="preserve">: </w:t>
            </w:r>
            <w:r w:rsidRPr="0021180E">
              <w:rPr>
                <w:rFonts w:ascii="Arial" w:hAnsi="Arial" w:cs="Arial"/>
                <w:sz w:val="24"/>
                <w:szCs w:val="24"/>
                <w:shd w:val="clear" w:color="auto" w:fill="FFFFFF"/>
              </w:rPr>
              <w:t>Dispõe sobre a concessão de incentivo fiscal destinado à implantação de empreendimento industrial fabricante de cerveja e chope.</w:t>
            </w:r>
          </w:p>
          <w:p w14:paraId="45584E57"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xml:space="preserve">: Revogada pela Lei nº 20.654/2019, art. 1º, VI. </w:t>
            </w:r>
          </w:p>
        </w:tc>
      </w:tr>
      <w:tr w:rsidR="0021180E" w:rsidRPr="0021180E" w14:paraId="694E995E" w14:textId="77777777" w:rsidTr="0021180E">
        <w:trPr>
          <w:jc w:val="center"/>
        </w:trPr>
        <w:tc>
          <w:tcPr>
            <w:tcW w:w="2689" w:type="dxa"/>
          </w:tcPr>
          <w:p w14:paraId="22956B68" w14:textId="77777777" w:rsidR="0021180E" w:rsidRPr="0021180E" w:rsidRDefault="0021180E" w:rsidP="00454CFD">
            <w:pPr>
              <w:spacing w:line="360" w:lineRule="auto"/>
              <w:jc w:val="center"/>
              <w:rPr>
                <w:rFonts w:ascii="Arial" w:hAnsi="Arial" w:cs="Arial"/>
                <w:sz w:val="24"/>
                <w:szCs w:val="24"/>
              </w:rPr>
            </w:pPr>
            <w:r w:rsidRPr="0021180E">
              <w:rPr>
                <w:rFonts w:ascii="Arial" w:hAnsi="Arial" w:cs="Arial"/>
                <w:b/>
                <w:sz w:val="24"/>
                <w:szCs w:val="24"/>
                <w:u w:val="single"/>
              </w:rPr>
              <w:t>Lei nº 19.732/2017</w:t>
            </w:r>
          </w:p>
        </w:tc>
        <w:tc>
          <w:tcPr>
            <w:tcW w:w="6284" w:type="dxa"/>
          </w:tcPr>
          <w:p w14:paraId="59462D47" w14:textId="77777777" w:rsidR="0021180E" w:rsidRPr="0021180E" w:rsidRDefault="0021180E" w:rsidP="00454CFD">
            <w:pPr>
              <w:spacing w:line="360" w:lineRule="auto"/>
              <w:jc w:val="both"/>
              <w:rPr>
                <w:rFonts w:ascii="Arial" w:hAnsi="Arial" w:cs="Arial"/>
                <w:sz w:val="24"/>
                <w:szCs w:val="24"/>
                <w:shd w:val="clear" w:color="auto" w:fill="FFFFFF"/>
              </w:rPr>
            </w:pPr>
            <w:r w:rsidRPr="0021180E">
              <w:rPr>
                <w:rFonts w:ascii="Arial" w:hAnsi="Arial" w:cs="Arial"/>
                <w:b/>
                <w:sz w:val="24"/>
                <w:szCs w:val="24"/>
              </w:rPr>
              <w:t>Ementa</w:t>
            </w:r>
            <w:r w:rsidRPr="0021180E">
              <w:rPr>
                <w:rFonts w:ascii="Arial" w:hAnsi="Arial" w:cs="Arial"/>
                <w:sz w:val="24"/>
                <w:szCs w:val="24"/>
              </w:rPr>
              <w:t xml:space="preserve">: </w:t>
            </w:r>
            <w:r w:rsidRPr="0021180E">
              <w:rPr>
                <w:rFonts w:ascii="Arial" w:hAnsi="Arial" w:cs="Arial"/>
                <w:sz w:val="24"/>
                <w:szCs w:val="24"/>
                <w:shd w:val="clear" w:color="auto" w:fill="FFFFFF"/>
              </w:rPr>
              <w:t>Dispõe sobre a concessão de incentivo fiscal destinado à implantação ou expansão de empreendimento industrial fabricante de conservas, atomatados e alimentos.</w:t>
            </w:r>
          </w:p>
          <w:p w14:paraId="7443D4FB" w14:textId="77777777" w:rsidR="0021180E" w:rsidRPr="0021180E" w:rsidRDefault="0021180E" w:rsidP="00454CFD">
            <w:pPr>
              <w:spacing w:line="360" w:lineRule="auto"/>
              <w:jc w:val="both"/>
              <w:rPr>
                <w:rFonts w:ascii="Arial" w:hAnsi="Arial" w:cs="Arial"/>
                <w:sz w:val="24"/>
                <w:szCs w:val="24"/>
              </w:rPr>
            </w:pPr>
            <w:r w:rsidRPr="0021180E">
              <w:rPr>
                <w:rFonts w:ascii="Arial" w:hAnsi="Arial" w:cs="Arial"/>
                <w:b/>
                <w:sz w:val="24"/>
                <w:szCs w:val="24"/>
              </w:rPr>
              <w:t>Outras observações</w:t>
            </w:r>
            <w:r w:rsidRPr="0021180E">
              <w:rPr>
                <w:rFonts w:ascii="Arial" w:hAnsi="Arial" w:cs="Arial"/>
                <w:sz w:val="24"/>
                <w:szCs w:val="24"/>
              </w:rPr>
              <w:t xml:space="preserve">: Revogada pela Lei nº 20.654/2019, art. 1º, VII. </w:t>
            </w:r>
          </w:p>
        </w:tc>
      </w:tr>
    </w:tbl>
    <w:p w14:paraId="55E6315C" w14:textId="150DA507" w:rsidR="0021180E" w:rsidRDefault="0021180E" w:rsidP="003F6456">
      <w:pPr>
        <w:spacing w:line="360" w:lineRule="auto"/>
        <w:ind w:firstLine="851"/>
        <w:jc w:val="both"/>
        <w:rPr>
          <w:rFonts w:ascii="Arial" w:hAnsi="Arial" w:cs="Arial"/>
          <w:sz w:val="24"/>
          <w:szCs w:val="24"/>
        </w:rPr>
      </w:pPr>
    </w:p>
    <w:p w14:paraId="7E9F38BF" w14:textId="7B5FDF21" w:rsidR="001B22EE" w:rsidRDefault="00FC3F4C" w:rsidP="005C60F9">
      <w:pPr>
        <w:spacing w:line="360" w:lineRule="auto"/>
        <w:ind w:firstLine="851"/>
        <w:jc w:val="both"/>
        <w:rPr>
          <w:rFonts w:ascii="Arial" w:hAnsi="Arial" w:cs="Arial"/>
          <w:sz w:val="24"/>
          <w:szCs w:val="24"/>
        </w:rPr>
      </w:pPr>
      <w:r>
        <w:rPr>
          <w:rFonts w:ascii="Arial" w:hAnsi="Arial" w:cs="Arial"/>
          <w:b/>
          <w:sz w:val="24"/>
          <w:szCs w:val="24"/>
        </w:rPr>
        <w:t>7.2.2</w:t>
      </w:r>
      <w:r w:rsidRPr="0060384E">
        <w:rPr>
          <w:rFonts w:ascii="Arial" w:hAnsi="Arial" w:cs="Arial"/>
          <w:b/>
          <w:sz w:val="24"/>
          <w:szCs w:val="24"/>
        </w:rPr>
        <w:t>.</w:t>
      </w:r>
      <w:r>
        <w:rPr>
          <w:rFonts w:ascii="Arial" w:hAnsi="Arial" w:cs="Arial"/>
          <w:b/>
          <w:sz w:val="24"/>
          <w:szCs w:val="24"/>
        </w:rPr>
        <w:t xml:space="preserve"> </w:t>
      </w:r>
      <w:r>
        <w:rPr>
          <w:rFonts w:ascii="Arial" w:hAnsi="Arial" w:cs="Arial"/>
          <w:sz w:val="24"/>
          <w:szCs w:val="24"/>
        </w:rPr>
        <w:t xml:space="preserve">Os </w:t>
      </w:r>
      <w:r w:rsidRPr="009E0B23">
        <w:rPr>
          <w:rFonts w:ascii="Arial" w:hAnsi="Arial" w:cs="Arial"/>
          <w:b/>
          <w:sz w:val="24"/>
          <w:szCs w:val="24"/>
          <w:u w:val="single"/>
        </w:rPr>
        <w:t>créditos outorgados</w:t>
      </w:r>
      <w:r>
        <w:rPr>
          <w:rFonts w:ascii="Arial" w:hAnsi="Arial" w:cs="Arial"/>
          <w:sz w:val="24"/>
          <w:szCs w:val="24"/>
        </w:rPr>
        <w:t xml:space="preserve"> previstos nessas </w:t>
      </w:r>
      <w:r w:rsidRPr="00F37F85">
        <w:rPr>
          <w:rFonts w:ascii="Arial" w:hAnsi="Arial" w:cs="Arial"/>
          <w:b/>
          <w:sz w:val="24"/>
          <w:szCs w:val="24"/>
        </w:rPr>
        <w:t>leis</w:t>
      </w:r>
      <w:r>
        <w:rPr>
          <w:rFonts w:ascii="Arial" w:hAnsi="Arial" w:cs="Arial"/>
          <w:sz w:val="24"/>
          <w:szCs w:val="24"/>
        </w:rPr>
        <w:t xml:space="preserve">, e outros internalizados diretamente por </w:t>
      </w:r>
      <w:r w:rsidRPr="00F37F85">
        <w:rPr>
          <w:rFonts w:ascii="Arial" w:hAnsi="Arial" w:cs="Arial"/>
          <w:b/>
          <w:sz w:val="24"/>
          <w:szCs w:val="24"/>
        </w:rPr>
        <w:t>decreto</w:t>
      </w:r>
      <w:r>
        <w:rPr>
          <w:rFonts w:ascii="Arial" w:hAnsi="Arial" w:cs="Arial"/>
          <w:sz w:val="24"/>
          <w:szCs w:val="24"/>
        </w:rPr>
        <w:t xml:space="preserve"> em </w:t>
      </w:r>
      <w:r w:rsidR="00B41741">
        <w:rPr>
          <w:rFonts w:ascii="Arial" w:hAnsi="Arial" w:cs="Arial"/>
          <w:sz w:val="24"/>
          <w:szCs w:val="24"/>
        </w:rPr>
        <w:t>razão</w:t>
      </w:r>
      <w:r>
        <w:rPr>
          <w:rFonts w:ascii="Arial" w:hAnsi="Arial" w:cs="Arial"/>
          <w:sz w:val="24"/>
          <w:szCs w:val="24"/>
        </w:rPr>
        <w:t xml:space="preserve"> de Convênios autorizativos celebrados no âmbito do Confaz, </w:t>
      </w:r>
      <w:r w:rsidRPr="009E0B23">
        <w:rPr>
          <w:rFonts w:ascii="Arial" w:hAnsi="Arial" w:cs="Arial"/>
          <w:b/>
          <w:sz w:val="24"/>
          <w:szCs w:val="24"/>
          <w:u w:val="single"/>
        </w:rPr>
        <w:t>encontram-se consolidados nos arts. 11</w:t>
      </w:r>
      <w:r w:rsidR="00874A6A" w:rsidRPr="009E0B23">
        <w:rPr>
          <w:rFonts w:ascii="Arial" w:hAnsi="Arial" w:cs="Arial"/>
          <w:b/>
          <w:sz w:val="24"/>
          <w:szCs w:val="24"/>
          <w:u w:val="single"/>
        </w:rPr>
        <w:t>, 11-A</w:t>
      </w:r>
      <w:r w:rsidRPr="009E0B23">
        <w:rPr>
          <w:rFonts w:ascii="Arial" w:hAnsi="Arial" w:cs="Arial"/>
          <w:b/>
          <w:sz w:val="24"/>
          <w:szCs w:val="24"/>
          <w:u w:val="single"/>
        </w:rPr>
        <w:t xml:space="preserve"> e 12 do RCTE/GO</w:t>
      </w:r>
      <w:r>
        <w:rPr>
          <w:rFonts w:ascii="Arial" w:hAnsi="Arial" w:cs="Arial"/>
          <w:sz w:val="24"/>
          <w:szCs w:val="24"/>
        </w:rPr>
        <w:t xml:space="preserve">, os quais trazem, respectivamente, </w:t>
      </w:r>
      <w:r w:rsidR="00480364">
        <w:rPr>
          <w:rFonts w:ascii="Arial" w:hAnsi="Arial" w:cs="Arial"/>
          <w:sz w:val="24"/>
          <w:szCs w:val="24"/>
        </w:rPr>
        <w:t xml:space="preserve">as </w:t>
      </w:r>
      <w:r>
        <w:rPr>
          <w:rFonts w:ascii="Arial" w:hAnsi="Arial" w:cs="Arial"/>
          <w:sz w:val="24"/>
          <w:szCs w:val="24"/>
        </w:rPr>
        <w:t>hipóteses de crédito outorgado por prazo determinado e por prazo indeterminado.</w:t>
      </w:r>
    </w:p>
    <w:p w14:paraId="30277591" w14:textId="746E38A8" w:rsidR="00FC3F4C" w:rsidRDefault="00FC3F4C" w:rsidP="005C60F9">
      <w:pPr>
        <w:spacing w:line="360" w:lineRule="auto"/>
        <w:ind w:firstLine="851"/>
        <w:jc w:val="both"/>
        <w:rPr>
          <w:rFonts w:ascii="Arial" w:hAnsi="Arial" w:cs="Arial"/>
          <w:sz w:val="24"/>
          <w:szCs w:val="24"/>
        </w:rPr>
      </w:pPr>
      <w:r>
        <w:rPr>
          <w:rFonts w:ascii="Arial" w:hAnsi="Arial" w:cs="Arial"/>
          <w:sz w:val="24"/>
          <w:szCs w:val="24"/>
        </w:rPr>
        <w:t>Apesar de sua extensão, considera-se relevante transcrever abaixo cada um desses artigos, a fim de mostrar à sociedade as hipóteses normativas por detrás das cifras bilionárias mencionadas no item 7.1 deste relatório, a começar pelo</w:t>
      </w:r>
      <w:r w:rsidR="00874A6A">
        <w:rPr>
          <w:rFonts w:ascii="Arial" w:hAnsi="Arial" w:cs="Arial"/>
          <w:sz w:val="24"/>
          <w:szCs w:val="24"/>
        </w:rPr>
        <w:t>s</w:t>
      </w:r>
      <w:r>
        <w:rPr>
          <w:rFonts w:ascii="Arial" w:hAnsi="Arial" w:cs="Arial"/>
          <w:sz w:val="24"/>
          <w:szCs w:val="24"/>
        </w:rPr>
        <w:t xml:space="preserve"> </w:t>
      </w:r>
      <w:r w:rsidRPr="009E0B23">
        <w:rPr>
          <w:rFonts w:ascii="Arial" w:hAnsi="Arial" w:cs="Arial"/>
          <w:b/>
          <w:sz w:val="24"/>
          <w:szCs w:val="24"/>
        </w:rPr>
        <w:t>art</w:t>
      </w:r>
      <w:r w:rsidR="00874A6A" w:rsidRPr="009E0B23">
        <w:rPr>
          <w:rFonts w:ascii="Arial" w:hAnsi="Arial" w:cs="Arial"/>
          <w:b/>
          <w:sz w:val="24"/>
          <w:szCs w:val="24"/>
        </w:rPr>
        <w:t>s</w:t>
      </w:r>
      <w:r w:rsidRPr="009E0B23">
        <w:rPr>
          <w:rFonts w:ascii="Arial" w:hAnsi="Arial" w:cs="Arial"/>
          <w:b/>
          <w:sz w:val="24"/>
          <w:szCs w:val="24"/>
        </w:rPr>
        <w:t>. 11</w:t>
      </w:r>
      <w:r w:rsidR="00874A6A" w:rsidRPr="009E0B23">
        <w:rPr>
          <w:rFonts w:ascii="Arial" w:hAnsi="Arial" w:cs="Arial"/>
          <w:b/>
          <w:sz w:val="24"/>
          <w:szCs w:val="24"/>
        </w:rPr>
        <w:t xml:space="preserve"> e 11-A</w:t>
      </w:r>
      <w:r w:rsidR="00874A6A">
        <w:rPr>
          <w:rFonts w:ascii="Arial" w:hAnsi="Arial" w:cs="Arial"/>
          <w:sz w:val="24"/>
          <w:szCs w:val="24"/>
        </w:rPr>
        <w:t xml:space="preserve">, que tratam das hipóteses de </w:t>
      </w:r>
      <w:r w:rsidR="00874A6A" w:rsidRPr="00874A6A">
        <w:rPr>
          <w:rFonts w:ascii="Arial" w:hAnsi="Arial" w:cs="Arial"/>
          <w:sz w:val="24"/>
          <w:szCs w:val="24"/>
        </w:rPr>
        <w:t>crédito outorgado concedido</w:t>
      </w:r>
      <w:r w:rsidR="00874A6A">
        <w:rPr>
          <w:rFonts w:ascii="Arial" w:hAnsi="Arial" w:cs="Arial"/>
          <w:sz w:val="24"/>
          <w:szCs w:val="24"/>
        </w:rPr>
        <w:t>s</w:t>
      </w:r>
      <w:r w:rsidR="00874A6A" w:rsidRPr="00874A6A">
        <w:rPr>
          <w:rFonts w:ascii="Arial" w:hAnsi="Arial" w:cs="Arial"/>
          <w:sz w:val="24"/>
          <w:szCs w:val="24"/>
        </w:rPr>
        <w:t xml:space="preserve"> por </w:t>
      </w:r>
      <w:r w:rsidR="00874A6A" w:rsidRPr="009E0B23">
        <w:rPr>
          <w:rFonts w:ascii="Arial" w:hAnsi="Arial" w:cs="Arial"/>
          <w:b/>
          <w:sz w:val="24"/>
          <w:szCs w:val="24"/>
        </w:rPr>
        <w:t>prazo indeterminado</w:t>
      </w:r>
      <w:r>
        <w:rPr>
          <w:rFonts w:ascii="Arial" w:hAnsi="Arial" w:cs="Arial"/>
          <w:sz w:val="24"/>
          <w:szCs w:val="24"/>
        </w:rPr>
        <w:t>:</w:t>
      </w:r>
    </w:p>
    <w:p w14:paraId="1DB7C917" w14:textId="40D7807D" w:rsidR="008567E0" w:rsidRDefault="008567E0" w:rsidP="005C60F9">
      <w:pPr>
        <w:spacing w:line="360" w:lineRule="auto"/>
        <w:ind w:firstLine="851"/>
        <w:jc w:val="both"/>
        <w:rPr>
          <w:rFonts w:ascii="Arial" w:hAnsi="Arial" w:cs="Arial"/>
          <w:sz w:val="24"/>
          <w:szCs w:val="24"/>
        </w:rPr>
      </w:pPr>
    </w:p>
    <w:p w14:paraId="547E45E2" w14:textId="77777777" w:rsidR="00AE4907" w:rsidRPr="00AE4907" w:rsidRDefault="00AE4907" w:rsidP="00093ED0">
      <w:pPr>
        <w:ind w:left="2268"/>
        <w:jc w:val="center"/>
        <w:rPr>
          <w:rFonts w:ascii="Arial" w:hAnsi="Arial" w:cs="Arial"/>
          <w:sz w:val="22"/>
          <w:szCs w:val="22"/>
        </w:rPr>
      </w:pPr>
      <w:bookmarkStart w:id="123" w:name="_Toc338404906"/>
      <w:r w:rsidRPr="00AE4907">
        <w:rPr>
          <w:rFonts w:ascii="Arial" w:hAnsi="Arial" w:cs="Arial"/>
          <w:sz w:val="22"/>
          <w:szCs w:val="22"/>
        </w:rPr>
        <w:t>CAPÍTULO IV</w:t>
      </w:r>
    </w:p>
    <w:p w14:paraId="16CBA9FF" w14:textId="77777777" w:rsidR="00AE4907" w:rsidRPr="00AE4907" w:rsidRDefault="00AE4907" w:rsidP="00093ED0">
      <w:pPr>
        <w:ind w:left="2268"/>
        <w:jc w:val="center"/>
        <w:rPr>
          <w:rFonts w:ascii="Arial" w:hAnsi="Arial" w:cs="Arial"/>
          <w:sz w:val="22"/>
          <w:szCs w:val="22"/>
        </w:rPr>
      </w:pPr>
      <w:r w:rsidRPr="00AE4907">
        <w:rPr>
          <w:rFonts w:ascii="Arial" w:hAnsi="Arial" w:cs="Arial"/>
          <w:sz w:val="22"/>
          <w:szCs w:val="22"/>
        </w:rPr>
        <w:t>DO CRÉDITO OUTORGADO</w:t>
      </w:r>
    </w:p>
    <w:p w14:paraId="68A181F4" w14:textId="77777777" w:rsidR="00AE4907" w:rsidRPr="00AE4907" w:rsidRDefault="00AE4907" w:rsidP="00093ED0">
      <w:pPr>
        <w:ind w:left="2268"/>
        <w:jc w:val="center"/>
        <w:rPr>
          <w:rFonts w:ascii="Arial" w:hAnsi="Arial" w:cs="Arial"/>
          <w:sz w:val="22"/>
          <w:szCs w:val="22"/>
        </w:rPr>
      </w:pPr>
    </w:p>
    <w:p w14:paraId="5F3EBE7F" w14:textId="5A14BCF2" w:rsidR="00AE4907" w:rsidRPr="00AE4907" w:rsidRDefault="00AE4907" w:rsidP="00093ED0">
      <w:pPr>
        <w:ind w:left="2268"/>
        <w:jc w:val="center"/>
        <w:rPr>
          <w:rFonts w:ascii="Arial" w:hAnsi="Arial" w:cs="Arial"/>
          <w:sz w:val="22"/>
          <w:szCs w:val="22"/>
        </w:rPr>
      </w:pPr>
      <w:r w:rsidRPr="00AE4907">
        <w:rPr>
          <w:rFonts w:ascii="Arial" w:hAnsi="Arial" w:cs="Arial"/>
          <w:sz w:val="22"/>
          <w:szCs w:val="22"/>
        </w:rPr>
        <w:t>Seção II</w:t>
      </w:r>
      <w:bookmarkEnd w:id="123"/>
    </w:p>
    <w:p w14:paraId="051EF252" w14:textId="77777777" w:rsidR="00AE4907" w:rsidRPr="00AE4907" w:rsidRDefault="00AE4907" w:rsidP="00093ED0">
      <w:pPr>
        <w:ind w:left="2268"/>
        <w:jc w:val="center"/>
        <w:rPr>
          <w:rFonts w:ascii="Arial" w:hAnsi="Arial" w:cs="Arial"/>
          <w:sz w:val="22"/>
          <w:szCs w:val="22"/>
        </w:rPr>
      </w:pPr>
      <w:bookmarkStart w:id="124" w:name="_Toc338404907"/>
      <w:r w:rsidRPr="00AE4907">
        <w:rPr>
          <w:rFonts w:ascii="Arial" w:hAnsi="Arial" w:cs="Arial"/>
          <w:sz w:val="22"/>
          <w:szCs w:val="22"/>
        </w:rPr>
        <w:t>Do Crédito Outorgado Concedido por Prazo Indeterminado</w:t>
      </w:r>
      <w:bookmarkEnd w:id="124"/>
    </w:p>
    <w:p w14:paraId="0FB01271" w14:textId="77777777" w:rsidR="00AE4907" w:rsidRDefault="00AE4907" w:rsidP="00093ED0">
      <w:pPr>
        <w:ind w:left="2268"/>
        <w:jc w:val="both"/>
        <w:rPr>
          <w:rFonts w:ascii="Arial" w:hAnsi="Arial" w:cs="Arial"/>
          <w:b/>
          <w:sz w:val="22"/>
          <w:szCs w:val="22"/>
        </w:rPr>
      </w:pPr>
    </w:p>
    <w:p w14:paraId="39A49F46" w14:textId="77777777" w:rsidR="00E41EFD" w:rsidRPr="00987EBD" w:rsidRDefault="00E41EFD" w:rsidP="00093ED0">
      <w:pPr>
        <w:ind w:left="2268"/>
        <w:jc w:val="both"/>
        <w:rPr>
          <w:rFonts w:ascii="Arial" w:hAnsi="Arial" w:cs="Arial"/>
          <w:sz w:val="22"/>
          <w:szCs w:val="22"/>
        </w:rPr>
      </w:pPr>
      <w:r w:rsidRPr="00987EBD">
        <w:rPr>
          <w:rFonts w:ascii="Arial" w:hAnsi="Arial" w:cs="Arial"/>
          <w:b/>
          <w:sz w:val="22"/>
          <w:szCs w:val="22"/>
        </w:rPr>
        <w:t xml:space="preserve">Art. 11. </w:t>
      </w:r>
      <w:r w:rsidRPr="00987EBD">
        <w:rPr>
          <w:rFonts w:ascii="Arial" w:hAnsi="Arial" w:cs="Arial"/>
          <w:sz w:val="22"/>
          <w:szCs w:val="22"/>
        </w:rPr>
        <w:t>Constituem créditos outorgados para efeito de compensação com o ICMS devido:</w:t>
      </w:r>
    </w:p>
    <w:p w14:paraId="7B7F1A1E" w14:textId="77777777" w:rsidR="00E41EFD" w:rsidRPr="00987EBD" w:rsidRDefault="00E41EFD" w:rsidP="00093ED0">
      <w:pPr>
        <w:ind w:left="2268"/>
        <w:jc w:val="both"/>
        <w:rPr>
          <w:rFonts w:ascii="Arial" w:hAnsi="Arial" w:cs="Arial"/>
          <w:sz w:val="22"/>
          <w:szCs w:val="22"/>
        </w:rPr>
      </w:pPr>
      <w:bookmarkStart w:id="125" w:name="A11I"/>
      <w:r w:rsidRPr="00987EBD">
        <w:rPr>
          <w:rFonts w:ascii="Arial" w:hAnsi="Arial" w:cs="Arial"/>
          <w:b/>
          <w:sz w:val="22"/>
          <w:szCs w:val="22"/>
        </w:rPr>
        <w:t>I - para o estabelecimento que receber de outra unidade federada, com isenção do ICMS, as mercadorias a seguir relacionadas, quando a saída interna for tributada, o valor equivalente à aplicação da alíquota interestadual do Estado remetente sobre o valor da operação, observado o limite de tributação da operação interna (Convênio ICM 44/75, cláusula primeira, § 2º; e Convênio ICMS 68/90)</w:t>
      </w:r>
      <w:r w:rsidRPr="00987EBD">
        <w:rPr>
          <w:rFonts w:ascii="Arial" w:hAnsi="Arial" w:cs="Arial"/>
          <w:sz w:val="22"/>
          <w:szCs w:val="22"/>
        </w:rPr>
        <w:t>:</w:t>
      </w:r>
    </w:p>
    <w:bookmarkEnd w:id="125"/>
    <w:p w14:paraId="5619F200" w14:textId="77777777" w:rsidR="00E41EFD" w:rsidRPr="00987EBD" w:rsidRDefault="00E41EFD" w:rsidP="00093ED0">
      <w:pPr>
        <w:ind w:left="2268"/>
        <w:jc w:val="both"/>
        <w:rPr>
          <w:rFonts w:ascii="Arial" w:hAnsi="Arial" w:cs="Arial"/>
          <w:sz w:val="22"/>
          <w:szCs w:val="22"/>
        </w:rPr>
      </w:pPr>
      <w:r w:rsidRPr="00987EBD">
        <w:rPr>
          <w:rFonts w:ascii="Arial" w:hAnsi="Arial" w:cs="Arial"/>
          <w:sz w:val="22"/>
          <w:szCs w:val="22"/>
        </w:rPr>
        <w:t>a) hortifrutícola:</w:t>
      </w:r>
    </w:p>
    <w:p w14:paraId="3C65C2A4" w14:textId="77777777" w:rsidR="00E41EFD" w:rsidRPr="00987EBD" w:rsidRDefault="00E41EFD" w:rsidP="00093ED0">
      <w:pPr>
        <w:ind w:left="2268"/>
        <w:jc w:val="both"/>
        <w:rPr>
          <w:rFonts w:ascii="Arial" w:hAnsi="Arial" w:cs="Arial"/>
          <w:sz w:val="22"/>
          <w:szCs w:val="22"/>
        </w:rPr>
      </w:pPr>
      <w:bookmarkStart w:id="126" w:name="A11IA1"/>
      <w:r w:rsidRPr="00987EBD">
        <w:rPr>
          <w:rFonts w:ascii="Arial" w:hAnsi="Arial" w:cs="Arial"/>
          <w:sz w:val="22"/>
          <w:szCs w:val="22"/>
        </w:rPr>
        <w:t>1. ameixa, aspargo;</w:t>
      </w:r>
    </w:p>
    <w:p w14:paraId="26E8E2D9" w14:textId="77777777" w:rsidR="00E41EFD" w:rsidRPr="00987EBD" w:rsidRDefault="00E41EFD" w:rsidP="00093ED0">
      <w:pPr>
        <w:ind w:left="2268"/>
        <w:jc w:val="both"/>
        <w:rPr>
          <w:rFonts w:ascii="Arial" w:hAnsi="Arial" w:cs="Arial"/>
          <w:sz w:val="22"/>
          <w:szCs w:val="22"/>
        </w:rPr>
      </w:pPr>
      <w:bookmarkStart w:id="127" w:name="A11IA2"/>
      <w:bookmarkEnd w:id="126"/>
      <w:r w:rsidRPr="00987EBD">
        <w:rPr>
          <w:rFonts w:ascii="Arial" w:hAnsi="Arial" w:cs="Arial"/>
          <w:sz w:val="22"/>
          <w:szCs w:val="22"/>
        </w:rPr>
        <w:lastRenderedPageBreak/>
        <w:t>2. batata;</w:t>
      </w:r>
    </w:p>
    <w:p w14:paraId="4F536D6E" w14:textId="77777777" w:rsidR="00E41EFD" w:rsidRPr="00987EBD" w:rsidRDefault="00E41EFD" w:rsidP="00093ED0">
      <w:pPr>
        <w:ind w:left="2268"/>
        <w:jc w:val="both"/>
        <w:rPr>
          <w:rFonts w:ascii="Arial" w:hAnsi="Arial" w:cs="Arial"/>
          <w:sz w:val="22"/>
          <w:szCs w:val="22"/>
        </w:rPr>
      </w:pPr>
      <w:bookmarkStart w:id="128" w:name="A11IA3"/>
      <w:bookmarkEnd w:id="127"/>
      <w:r w:rsidRPr="00987EBD">
        <w:rPr>
          <w:rFonts w:ascii="Arial" w:hAnsi="Arial" w:cs="Arial"/>
          <w:sz w:val="22"/>
          <w:szCs w:val="22"/>
        </w:rPr>
        <w:t>3. caqui, cebola, coco da Bahia, cogumelo, cominho;</w:t>
      </w:r>
    </w:p>
    <w:p w14:paraId="4E9A038E" w14:textId="77777777" w:rsidR="00E41EFD" w:rsidRPr="00987EBD" w:rsidRDefault="00E41EFD" w:rsidP="00093ED0">
      <w:pPr>
        <w:ind w:left="2268"/>
        <w:jc w:val="both"/>
        <w:rPr>
          <w:rFonts w:ascii="Arial" w:hAnsi="Arial" w:cs="Arial"/>
          <w:sz w:val="22"/>
          <w:szCs w:val="22"/>
        </w:rPr>
      </w:pPr>
      <w:bookmarkStart w:id="129" w:name="A11IA4"/>
      <w:bookmarkEnd w:id="128"/>
      <w:r w:rsidRPr="00987EBD">
        <w:rPr>
          <w:rFonts w:ascii="Arial" w:hAnsi="Arial" w:cs="Arial"/>
          <w:sz w:val="22"/>
          <w:szCs w:val="22"/>
        </w:rPr>
        <w:t>4. ervilha;</w:t>
      </w:r>
    </w:p>
    <w:p w14:paraId="05873C53" w14:textId="77777777" w:rsidR="00E41EFD" w:rsidRPr="00987EBD" w:rsidRDefault="00E41EFD" w:rsidP="00093ED0">
      <w:pPr>
        <w:ind w:left="2268"/>
        <w:jc w:val="both"/>
        <w:rPr>
          <w:rFonts w:ascii="Arial" w:hAnsi="Arial" w:cs="Arial"/>
          <w:sz w:val="22"/>
          <w:szCs w:val="22"/>
        </w:rPr>
      </w:pPr>
      <w:bookmarkStart w:id="130" w:name="A11IA5"/>
      <w:bookmarkEnd w:id="129"/>
      <w:r w:rsidRPr="00987EBD">
        <w:rPr>
          <w:rFonts w:ascii="Arial" w:hAnsi="Arial" w:cs="Arial"/>
          <w:sz w:val="22"/>
          <w:szCs w:val="22"/>
        </w:rPr>
        <w:t>5. figo, flores;</w:t>
      </w:r>
    </w:p>
    <w:p w14:paraId="3021F88C" w14:textId="77777777" w:rsidR="00E41EFD" w:rsidRPr="00987EBD" w:rsidRDefault="00E41EFD" w:rsidP="00093ED0">
      <w:pPr>
        <w:ind w:left="2268"/>
        <w:jc w:val="both"/>
        <w:rPr>
          <w:rFonts w:ascii="Arial" w:hAnsi="Arial" w:cs="Arial"/>
          <w:sz w:val="22"/>
          <w:szCs w:val="22"/>
        </w:rPr>
      </w:pPr>
      <w:bookmarkStart w:id="131" w:name="A11IA6"/>
      <w:bookmarkEnd w:id="130"/>
      <w:r w:rsidRPr="00987EBD">
        <w:rPr>
          <w:rFonts w:ascii="Arial" w:hAnsi="Arial" w:cs="Arial"/>
          <w:sz w:val="22"/>
          <w:szCs w:val="22"/>
        </w:rPr>
        <w:t>6. melão, milho verde, morango;</w:t>
      </w:r>
    </w:p>
    <w:p w14:paraId="2248D5C6" w14:textId="77777777" w:rsidR="00E41EFD" w:rsidRPr="00987EBD" w:rsidRDefault="00E41EFD" w:rsidP="00093ED0">
      <w:pPr>
        <w:ind w:left="2268"/>
        <w:jc w:val="both"/>
        <w:rPr>
          <w:rFonts w:ascii="Arial" w:hAnsi="Arial" w:cs="Arial"/>
          <w:sz w:val="22"/>
          <w:szCs w:val="22"/>
        </w:rPr>
      </w:pPr>
      <w:bookmarkStart w:id="132" w:name="A11IA7"/>
      <w:bookmarkEnd w:id="131"/>
      <w:r w:rsidRPr="00987EBD">
        <w:rPr>
          <w:rFonts w:ascii="Arial" w:hAnsi="Arial" w:cs="Arial"/>
          <w:sz w:val="22"/>
          <w:szCs w:val="22"/>
        </w:rPr>
        <w:t>7. nectarina;</w:t>
      </w:r>
    </w:p>
    <w:p w14:paraId="5F3DC845" w14:textId="77777777" w:rsidR="00E41EFD" w:rsidRPr="00987EBD" w:rsidRDefault="00E41EFD" w:rsidP="00093ED0">
      <w:pPr>
        <w:ind w:left="2268"/>
        <w:jc w:val="both"/>
        <w:rPr>
          <w:rFonts w:ascii="Arial" w:hAnsi="Arial" w:cs="Arial"/>
          <w:sz w:val="22"/>
          <w:szCs w:val="22"/>
        </w:rPr>
      </w:pPr>
      <w:bookmarkStart w:id="133" w:name="A11IA8"/>
      <w:bookmarkEnd w:id="132"/>
      <w:r w:rsidRPr="00987EBD">
        <w:rPr>
          <w:rFonts w:ascii="Arial" w:hAnsi="Arial" w:cs="Arial"/>
          <w:sz w:val="22"/>
          <w:szCs w:val="22"/>
        </w:rPr>
        <w:t>8. pêra, pomelo;</w:t>
      </w:r>
    </w:p>
    <w:p w14:paraId="6038F9DF" w14:textId="77777777" w:rsidR="00E41EFD" w:rsidRPr="00987EBD" w:rsidRDefault="00E41EFD" w:rsidP="00093ED0">
      <w:pPr>
        <w:ind w:left="2268"/>
        <w:jc w:val="both"/>
        <w:rPr>
          <w:rFonts w:ascii="Arial" w:hAnsi="Arial" w:cs="Arial"/>
          <w:sz w:val="22"/>
          <w:szCs w:val="22"/>
        </w:rPr>
      </w:pPr>
      <w:bookmarkStart w:id="134" w:name="A11IA9"/>
      <w:bookmarkEnd w:id="133"/>
      <w:r w:rsidRPr="00987EBD">
        <w:rPr>
          <w:rFonts w:ascii="Arial" w:hAnsi="Arial" w:cs="Arial"/>
          <w:sz w:val="22"/>
          <w:szCs w:val="22"/>
        </w:rPr>
        <w:t>9. uva;</w:t>
      </w:r>
    </w:p>
    <w:p w14:paraId="04D6D50E" w14:textId="77777777" w:rsidR="00E41EFD" w:rsidRPr="00987EBD" w:rsidRDefault="00E41EFD" w:rsidP="00093ED0">
      <w:pPr>
        <w:ind w:left="2268"/>
        <w:jc w:val="both"/>
        <w:rPr>
          <w:rFonts w:ascii="Arial" w:hAnsi="Arial" w:cs="Arial"/>
          <w:sz w:val="22"/>
          <w:szCs w:val="22"/>
        </w:rPr>
      </w:pPr>
      <w:bookmarkStart w:id="135" w:name="A11IB"/>
      <w:bookmarkEnd w:id="134"/>
      <w:r w:rsidRPr="00987EBD">
        <w:rPr>
          <w:rFonts w:ascii="Arial" w:hAnsi="Arial" w:cs="Arial"/>
          <w:sz w:val="22"/>
          <w:szCs w:val="22"/>
        </w:rPr>
        <w:t>b) ave e produtos comestíveis resultantes de sua matança, em estado natural, congelados ou simplesmente temperados;</w:t>
      </w:r>
    </w:p>
    <w:p w14:paraId="40B822EC" w14:textId="77777777" w:rsidR="00E41EFD" w:rsidRPr="00987EBD" w:rsidRDefault="00E41EFD" w:rsidP="00093ED0">
      <w:pPr>
        <w:ind w:left="2268"/>
        <w:jc w:val="both"/>
        <w:rPr>
          <w:rFonts w:ascii="Arial" w:hAnsi="Arial" w:cs="Arial"/>
          <w:sz w:val="22"/>
          <w:szCs w:val="22"/>
        </w:rPr>
      </w:pPr>
      <w:bookmarkStart w:id="136" w:name="A11IC"/>
      <w:bookmarkEnd w:id="135"/>
      <w:r w:rsidRPr="00987EBD">
        <w:rPr>
          <w:rFonts w:ascii="Arial" w:hAnsi="Arial" w:cs="Arial"/>
          <w:sz w:val="22"/>
          <w:szCs w:val="22"/>
        </w:rPr>
        <w:t>c) caprino e produtos comestíveis resultantes de sua matança, em estado natural, congelados ou simplesmente temperados;</w:t>
      </w:r>
      <w:bookmarkEnd w:id="136"/>
    </w:p>
    <w:p w14:paraId="73209159" w14:textId="77777777" w:rsidR="00E41EFD" w:rsidRPr="00987EBD" w:rsidRDefault="00E41EFD" w:rsidP="00093ED0">
      <w:pPr>
        <w:ind w:left="2268"/>
        <w:jc w:val="both"/>
        <w:rPr>
          <w:rFonts w:ascii="Arial" w:hAnsi="Arial" w:cs="Arial"/>
          <w:sz w:val="22"/>
          <w:szCs w:val="22"/>
        </w:rPr>
      </w:pPr>
      <w:bookmarkStart w:id="137" w:name="A11II"/>
      <w:r w:rsidRPr="00987EBD">
        <w:rPr>
          <w:rFonts w:ascii="Arial" w:hAnsi="Arial" w:cs="Arial"/>
          <w:b/>
          <w:sz w:val="22"/>
          <w:szCs w:val="22"/>
        </w:rPr>
        <w:t>II - para o estabelecimento remetente, o valor correspondente à diferença apurada, quando resultar crédito inferior, do confronto entre o crédito e o débito do ICMS, na hipótese de transferência interestadual de bem integrado ao ativo imobilizado, cuja entrada no estabelecimento do remetente tenha ocorrido até 31 de outubro de 1996, ou de material de uso ou consumo, observado o seguinte (Convênio ICMS 19/91, cláusulas primeira e segunda)</w:t>
      </w:r>
      <w:r w:rsidRPr="00987EBD">
        <w:rPr>
          <w:rFonts w:ascii="Arial" w:hAnsi="Arial" w:cs="Arial"/>
          <w:sz w:val="22"/>
          <w:szCs w:val="22"/>
        </w:rPr>
        <w:t>:</w:t>
      </w:r>
      <w:bookmarkEnd w:id="137"/>
    </w:p>
    <w:p w14:paraId="4374E676" w14:textId="77777777" w:rsidR="00E41EFD" w:rsidRPr="00987EBD" w:rsidRDefault="00E41EFD" w:rsidP="00502615">
      <w:pPr>
        <w:pStyle w:val="PargrafodaLista"/>
        <w:numPr>
          <w:ilvl w:val="0"/>
          <w:numId w:val="15"/>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na saída do estabelecimento remetente, este deve:</w:t>
      </w:r>
    </w:p>
    <w:p w14:paraId="76BA22B1" w14:textId="77777777" w:rsidR="00E41EFD" w:rsidRPr="00987EBD" w:rsidRDefault="00E41EFD" w:rsidP="00502615">
      <w:pPr>
        <w:pStyle w:val="PargrafodaLista"/>
        <w:numPr>
          <w:ilvl w:val="0"/>
          <w:numId w:val="15"/>
        </w:numPr>
        <w:ind w:left="2268" w:firstLine="0"/>
        <w:jc w:val="both"/>
        <w:rPr>
          <w:rFonts w:ascii="Arial" w:hAnsi="Arial" w:cs="Arial"/>
          <w:sz w:val="22"/>
          <w:szCs w:val="22"/>
        </w:rPr>
      </w:pPr>
      <w:r w:rsidRPr="00987EBD">
        <w:rPr>
          <w:rFonts w:ascii="Arial" w:hAnsi="Arial" w:cs="Arial"/>
          <w:sz w:val="22"/>
          <w:szCs w:val="22"/>
        </w:rPr>
        <w:t>na entrada no estabelecimento destinatário, este deve pagar o diferencial de alíquotas, correspondente à diferença entre a alíquota interna e a interestadual, sobre a base de cálculo constante do item 1 da alínea anterior, na forma prevista no inciso III do art. 65 deste regulamento;</w:t>
      </w:r>
    </w:p>
    <w:p w14:paraId="5DD1DABB" w14:textId="77777777" w:rsidR="00E41EFD" w:rsidRPr="00987EBD" w:rsidRDefault="00E41EFD" w:rsidP="00502615">
      <w:pPr>
        <w:pStyle w:val="PargrafodaLista"/>
        <w:numPr>
          <w:ilvl w:val="0"/>
          <w:numId w:val="15"/>
        </w:numPr>
        <w:ind w:left="2268" w:firstLine="0"/>
        <w:jc w:val="both"/>
        <w:rPr>
          <w:rFonts w:ascii="Arial" w:hAnsi="Arial" w:cs="Arial"/>
          <w:sz w:val="22"/>
          <w:szCs w:val="22"/>
        </w:rPr>
      </w:pPr>
      <w:r w:rsidRPr="00987EBD">
        <w:rPr>
          <w:rFonts w:ascii="Arial" w:hAnsi="Arial" w:cs="Arial"/>
          <w:sz w:val="22"/>
          <w:szCs w:val="22"/>
          <w:shd w:val="clear" w:color="auto" w:fill="FFFFFF"/>
        </w:rPr>
        <w:t>é exigido o estorno de crédito se, no valor correspondente à diferença constatada do confronto referido neste inciso, resultar crédito superior;</w:t>
      </w:r>
    </w:p>
    <w:p w14:paraId="56C130A4" w14:textId="5B58C934" w:rsidR="00E41EFD" w:rsidRPr="00987EBD" w:rsidRDefault="00E41EFD" w:rsidP="00093ED0">
      <w:pPr>
        <w:ind w:left="2268"/>
        <w:jc w:val="both"/>
        <w:rPr>
          <w:rFonts w:ascii="Arial" w:hAnsi="Arial" w:cs="Arial"/>
          <w:sz w:val="22"/>
          <w:szCs w:val="22"/>
        </w:rPr>
      </w:pPr>
      <w:r w:rsidRPr="00987EBD">
        <w:rPr>
          <w:rFonts w:ascii="Arial" w:hAnsi="Arial" w:cs="Arial"/>
          <w:b/>
          <w:sz w:val="22"/>
          <w:szCs w:val="22"/>
        </w:rPr>
        <w:t>III - para o contribuinte comerciante atacadista, o equivalente ao percentual de 3% (três por cento), na saída interestadual que destine mercadoria para comercialização, produção ou industrialização, aplicado sobre o valor da correspondente base de cálculo, observado o seguinte (Leis nº</w:t>
      </w:r>
      <w:r w:rsidRPr="00987EBD">
        <w:rPr>
          <w:rFonts w:ascii="Arial" w:hAnsi="Arial" w:cs="Arial"/>
          <w:b/>
          <w:sz w:val="22"/>
          <w:szCs w:val="22"/>
          <w:vertAlign w:val="superscript"/>
        </w:rPr>
        <w:t>s</w:t>
      </w:r>
      <w:r w:rsidRPr="00987EBD">
        <w:rPr>
          <w:rFonts w:ascii="Arial" w:hAnsi="Arial" w:cs="Arial"/>
          <w:b/>
          <w:sz w:val="22"/>
          <w:szCs w:val="22"/>
        </w:rPr>
        <w:t xml:space="preserve"> 12.462/94, art. 1º, § 4º, II; 13.194/97, art. 2º, II, “h”; e 20.367/18, art. 3º, § 3º, III)</w:t>
      </w:r>
      <w:r w:rsidRPr="00987EBD">
        <w:rPr>
          <w:rFonts w:ascii="Arial" w:hAnsi="Arial" w:cs="Arial"/>
          <w:sz w:val="22"/>
          <w:szCs w:val="22"/>
        </w:rPr>
        <w:t>:</w:t>
      </w:r>
    </w:p>
    <w:p w14:paraId="4C73F552" w14:textId="77777777" w:rsidR="00E41EFD" w:rsidRPr="00987EBD" w:rsidRDefault="00E41EFD" w:rsidP="00502615">
      <w:pPr>
        <w:pStyle w:val="PargrafodaLista"/>
        <w:numPr>
          <w:ilvl w:val="0"/>
          <w:numId w:val="16"/>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equipara-se a comerciante atacadista, para efeito de aplicação do crédito outorgado, cujo benefício pode ser utilizado até 31 de dezembro do exercício no qual o contribuinte estiver equiparado, o comerciante varejista que comprovadamente realizar em seu estabelecimento saídas com destino à comercialização, produção ou industrialização, que correspondam a, no mínimo, 30% (trinta por cento) do volume das saídas totais, apurado:</w:t>
      </w:r>
    </w:p>
    <w:p w14:paraId="17971A4A" w14:textId="77777777" w:rsidR="00E41EFD" w:rsidRPr="00987EBD" w:rsidRDefault="00E41EFD" w:rsidP="00502615">
      <w:pPr>
        <w:pStyle w:val="PargrafodaLista"/>
        <w:numPr>
          <w:ilvl w:val="0"/>
          <w:numId w:val="17"/>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no exercício anterior à utilização do benefício, tratando-se de empresa que tenha exercido suas atividades por período igual ou superior a 6 (seis) meses naquele ano;</w:t>
      </w:r>
    </w:p>
    <w:p w14:paraId="1AD85802" w14:textId="77777777" w:rsidR="00E41EFD" w:rsidRPr="00987EBD" w:rsidRDefault="00E41EFD" w:rsidP="00502615">
      <w:pPr>
        <w:pStyle w:val="PargrafodaLista"/>
        <w:numPr>
          <w:ilvl w:val="0"/>
          <w:numId w:val="17"/>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 xml:space="preserve">nos 3 (três) últimos meses anteriores ao início da </w:t>
      </w:r>
    </w:p>
    <w:p w14:paraId="78B5175F" w14:textId="77777777" w:rsidR="00E41EFD" w:rsidRPr="00987EBD" w:rsidRDefault="00E41EFD" w:rsidP="00093ED0">
      <w:pPr>
        <w:pStyle w:val="PargrafodaLista"/>
        <w:ind w:left="2268"/>
        <w:jc w:val="both"/>
        <w:rPr>
          <w:rFonts w:ascii="Arial" w:hAnsi="Arial" w:cs="Arial"/>
          <w:sz w:val="22"/>
          <w:szCs w:val="22"/>
          <w:shd w:val="clear" w:color="auto" w:fill="FFFFFF"/>
        </w:rPr>
      </w:pPr>
      <w:r w:rsidRPr="00987EBD">
        <w:rPr>
          <w:rFonts w:ascii="Arial" w:hAnsi="Arial" w:cs="Arial"/>
          <w:sz w:val="22"/>
          <w:szCs w:val="22"/>
          <w:shd w:val="clear" w:color="auto" w:fill="FFFFFF"/>
        </w:rPr>
        <w:t>utilização do benefício, tratando-se de início de atividade ou de empresa que tenha exercido suas atividades por período inferior a 6 (seis) meses no exercício anterior;</w:t>
      </w:r>
    </w:p>
    <w:p w14:paraId="564E7EC3" w14:textId="77777777" w:rsidR="00E41EFD" w:rsidRPr="00987EBD" w:rsidRDefault="00E41EFD" w:rsidP="00502615">
      <w:pPr>
        <w:pStyle w:val="PargrafodaLista"/>
        <w:numPr>
          <w:ilvl w:val="0"/>
          <w:numId w:val="16"/>
        </w:numPr>
        <w:ind w:left="2268" w:firstLine="0"/>
        <w:jc w:val="both"/>
        <w:rPr>
          <w:rFonts w:ascii="Arial" w:hAnsi="Arial" w:cs="Arial"/>
          <w:sz w:val="22"/>
          <w:szCs w:val="22"/>
        </w:rPr>
      </w:pPr>
      <w:bookmarkStart w:id="138" w:name="A11IIIb"/>
      <w:r w:rsidRPr="00987EBD">
        <w:rPr>
          <w:rFonts w:ascii="Arial" w:hAnsi="Arial" w:cs="Arial"/>
          <w:sz w:val="22"/>
          <w:szCs w:val="22"/>
        </w:rPr>
        <w:t>o benefício não se aplica à operação:</w:t>
      </w:r>
      <w:bookmarkEnd w:id="138"/>
    </w:p>
    <w:p w14:paraId="1C61E45F" w14:textId="77777777" w:rsidR="00E41EFD" w:rsidRPr="00987EBD" w:rsidRDefault="00E41EFD" w:rsidP="00502615">
      <w:pPr>
        <w:pStyle w:val="PargrafodaLista"/>
        <w:numPr>
          <w:ilvl w:val="0"/>
          <w:numId w:val="18"/>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revogado;</w:t>
      </w:r>
    </w:p>
    <w:p w14:paraId="7282C8B5" w14:textId="77777777" w:rsidR="00E41EFD" w:rsidRPr="00987EBD" w:rsidRDefault="00E41EFD" w:rsidP="00502615">
      <w:pPr>
        <w:pStyle w:val="PargrafodaLista"/>
        <w:numPr>
          <w:ilvl w:val="0"/>
          <w:numId w:val="18"/>
        </w:numPr>
        <w:ind w:left="2268" w:firstLine="0"/>
        <w:jc w:val="both"/>
        <w:rPr>
          <w:rFonts w:ascii="Arial" w:hAnsi="Arial" w:cs="Arial"/>
          <w:sz w:val="22"/>
          <w:szCs w:val="22"/>
        </w:rPr>
      </w:pPr>
      <w:r w:rsidRPr="00987EBD">
        <w:rPr>
          <w:rFonts w:ascii="Arial" w:hAnsi="Arial" w:cs="Arial"/>
          <w:sz w:val="22"/>
          <w:szCs w:val="22"/>
        </w:rPr>
        <w:t xml:space="preserve">com petróleo, combustível, lubrificante, energia elétrica e outras mercadorias e operações indicadas em </w:t>
      </w:r>
      <w:hyperlink r:id="rId56" w:anchor="IN89908" w:history="1">
        <w:r w:rsidRPr="00987EBD">
          <w:rPr>
            <w:rStyle w:val="Hyperlink"/>
            <w:rFonts w:ascii="Arial" w:hAnsi="Arial" w:cs="Arial"/>
            <w:sz w:val="22"/>
            <w:szCs w:val="22"/>
          </w:rPr>
          <w:t>ato do Secretário da Fazenda</w:t>
        </w:r>
      </w:hyperlink>
      <w:r w:rsidRPr="00987EBD">
        <w:rPr>
          <w:rFonts w:ascii="Arial" w:hAnsi="Arial" w:cs="Arial"/>
          <w:sz w:val="22"/>
          <w:szCs w:val="22"/>
        </w:rPr>
        <w:t>;</w:t>
      </w:r>
    </w:p>
    <w:p w14:paraId="1E5AAA70" w14:textId="77777777" w:rsidR="00E41EFD" w:rsidRPr="00987EBD" w:rsidRDefault="00E41EFD" w:rsidP="00502615">
      <w:pPr>
        <w:pStyle w:val="PargrafodaLista"/>
        <w:numPr>
          <w:ilvl w:val="0"/>
          <w:numId w:val="16"/>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revogada;</w:t>
      </w:r>
    </w:p>
    <w:p w14:paraId="174946B5" w14:textId="77777777" w:rsidR="00E41EFD" w:rsidRPr="00987EBD" w:rsidRDefault="00E41EFD" w:rsidP="00502615">
      <w:pPr>
        <w:pStyle w:val="PargrafodaLista"/>
        <w:numPr>
          <w:ilvl w:val="0"/>
          <w:numId w:val="16"/>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lastRenderedPageBreak/>
        <w:t>revogada;</w:t>
      </w:r>
    </w:p>
    <w:p w14:paraId="712A542F" w14:textId="77777777" w:rsidR="00E41EFD" w:rsidRPr="00987EBD" w:rsidRDefault="00E41EFD" w:rsidP="00093ED0">
      <w:pPr>
        <w:ind w:left="2268"/>
        <w:jc w:val="both"/>
        <w:rPr>
          <w:rFonts w:ascii="Arial" w:hAnsi="Arial" w:cs="Arial"/>
          <w:sz w:val="22"/>
          <w:szCs w:val="22"/>
          <w:shd w:val="clear" w:color="auto" w:fill="FFFFFF"/>
        </w:rPr>
      </w:pPr>
      <w:r w:rsidRPr="00987EBD">
        <w:rPr>
          <w:rFonts w:ascii="Arial" w:hAnsi="Arial" w:cs="Arial"/>
          <w:b/>
          <w:sz w:val="22"/>
          <w:szCs w:val="22"/>
          <w:shd w:val="clear" w:color="auto" w:fill="FFFFFF"/>
        </w:rPr>
        <w:t>IV - revogada</w:t>
      </w:r>
      <w:r w:rsidRPr="00987EBD">
        <w:rPr>
          <w:rFonts w:ascii="Arial" w:hAnsi="Arial" w:cs="Arial"/>
          <w:sz w:val="22"/>
          <w:szCs w:val="22"/>
          <w:shd w:val="clear" w:color="auto" w:fill="FFFFFF"/>
        </w:rPr>
        <w:t>;</w:t>
      </w:r>
    </w:p>
    <w:p w14:paraId="7FEC8562" w14:textId="77777777" w:rsidR="00E41EFD" w:rsidRPr="00987EBD" w:rsidRDefault="00E41EFD" w:rsidP="00093ED0">
      <w:pPr>
        <w:ind w:left="2268"/>
        <w:jc w:val="both"/>
        <w:rPr>
          <w:rFonts w:ascii="Arial" w:hAnsi="Arial" w:cs="Arial"/>
          <w:sz w:val="22"/>
          <w:szCs w:val="22"/>
        </w:rPr>
      </w:pPr>
      <w:r w:rsidRPr="00987EBD">
        <w:rPr>
          <w:rFonts w:ascii="Arial" w:hAnsi="Arial" w:cs="Arial"/>
          <w:b/>
          <w:sz w:val="22"/>
          <w:szCs w:val="22"/>
        </w:rPr>
        <w:t>V - para o estabelecimento frigorífico ou abatedor, na saída para comercialização ou industrialização, de carne fresca, resfriada, congelada, salgada, temperada ou salmourada e miúdo comestível resultantes do abate ou da industrialização, em seu próprio estabelecimento de asinino, bovino, bufalino, equino, muar, ovino, caprino, leporídeo e ranídeo adquiridos em operação interna com a isenção de que trata o inciso CXVI do art. 6° deste Anexo ou criados pelo beneficiário do crédito outorgado ou por produtor rural a ele integrado, o equivalente à aplicação de 5% (cinco por cento) sobre o valor da respectiva base de cálculo, para o estabelecimento beneficiário dos Programas FOMENTAR ou PRODUZIR, ou 9% (nove por cento), para o estabelecimento não beneficiário dos referidos Programas, observado o seguinte (Lei nº 13.453/99, art. 1º, I, “c”, 1.1 e 1.2)</w:t>
      </w:r>
      <w:r w:rsidRPr="00987EBD">
        <w:rPr>
          <w:rFonts w:ascii="Arial" w:hAnsi="Arial" w:cs="Arial"/>
          <w:sz w:val="22"/>
          <w:szCs w:val="22"/>
        </w:rPr>
        <w:t>:</w:t>
      </w:r>
    </w:p>
    <w:p w14:paraId="2FC5F99D" w14:textId="77777777" w:rsidR="00E41EFD" w:rsidRPr="00987EBD" w:rsidRDefault="00E41EFD" w:rsidP="00502615">
      <w:pPr>
        <w:pStyle w:val="PargrafodaLista"/>
        <w:numPr>
          <w:ilvl w:val="0"/>
          <w:numId w:val="19"/>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o frigorífico ou abatedor, para apropriar-se do crédito outorgado, deve deixar de aproveitar quaisquer créditos de ICMS relativos à entrada e ao serviço utilizado;</w:t>
      </w:r>
    </w:p>
    <w:p w14:paraId="5905BCFF" w14:textId="77777777" w:rsidR="00E41EFD" w:rsidRPr="00987EBD" w:rsidRDefault="00E41EFD" w:rsidP="00502615">
      <w:pPr>
        <w:pStyle w:val="PargrafodaLista"/>
        <w:numPr>
          <w:ilvl w:val="0"/>
          <w:numId w:val="19"/>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no abate por conta e ordem de terceiro em estabelecimento frigorífico ou abatedor, ocorre a aplicação do benefício:</w:t>
      </w:r>
    </w:p>
    <w:p w14:paraId="4C306EFC" w14:textId="77777777" w:rsidR="00E41EFD" w:rsidRPr="00987EBD" w:rsidRDefault="00E41EFD" w:rsidP="00502615">
      <w:pPr>
        <w:pStyle w:val="PargrafodaLista"/>
        <w:numPr>
          <w:ilvl w:val="0"/>
          <w:numId w:val="20"/>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pelo estabelecimento frigorífico ou abatedor, na saída dos produtos comestíveis resultantes do abate e apenas sobre o valor agregado cobrado do terceiro encomendante;</w:t>
      </w:r>
    </w:p>
    <w:p w14:paraId="791E860C" w14:textId="77777777" w:rsidR="00E41EFD" w:rsidRPr="00987EBD" w:rsidRDefault="00E41EFD" w:rsidP="00502615">
      <w:pPr>
        <w:pStyle w:val="PargrafodaLista"/>
        <w:numPr>
          <w:ilvl w:val="0"/>
          <w:numId w:val="20"/>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pelo terceiro encomendante, sobre o valor da base de</w:t>
      </w:r>
    </w:p>
    <w:p w14:paraId="230965A9" w14:textId="77777777" w:rsidR="00E41EFD" w:rsidRPr="00987EBD" w:rsidRDefault="00E41EFD" w:rsidP="00093ED0">
      <w:pPr>
        <w:pStyle w:val="PargrafodaLista"/>
        <w:ind w:left="2268"/>
        <w:jc w:val="both"/>
        <w:rPr>
          <w:rFonts w:ascii="Arial" w:hAnsi="Arial" w:cs="Arial"/>
          <w:sz w:val="22"/>
          <w:szCs w:val="22"/>
          <w:shd w:val="clear" w:color="auto" w:fill="FFFFFF"/>
        </w:rPr>
      </w:pPr>
      <w:r w:rsidRPr="00987EBD">
        <w:rPr>
          <w:rFonts w:ascii="Arial" w:hAnsi="Arial" w:cs="Arial"/>
          <w:sz w:val="22"/>
          <w:szCs w:val="22"/>
          <w:shd w:val="clear" w:color="auto" w:fill="FFFFFF"/>
        </w:rPr>
        <w:t>cálculo da saída dos produtos comestíveis promovida pelo mesmo;</w:t>
      </w:r>
    </w:p>
    <w:p w14:paraId="3A8DBC11" w14:textId="77777777" w:rsidR="00E41EFD" w:rsidRPr="00987EBD" w:rsidRDefault="00E41EFD" w:rsidP="00502615">
      <w:pPr>
        <w:pStyle w:val="PargrafodaLista"/>
        <w:numPr>
          <w:ilvl w:val="0"/>
          <w:numId w:val="19"/>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o benefício não alcança a operação:</w:t>
      </w:r>
    </w:p>
    <w:p w14:paraId="6A74B070" w14:textId="77777777" w:rsidR="00E41EFD" w:rsidRPr="00987EBD" w:rsidRDefault="00E41EFD" w:rsidP="00093ED0">
      <w:pPr>
        <w:ind w:left="2268"/>
        <w:jc w:val="both"/>
        <w:rPr>
          <w:rFonts w:ascii="Arial" w:hAnsi="Arial" w:cs="Arial"/>
          <w:sz w:val="22"/>
          <w:szCs w:val="22"/>
          <w:shd w:val="clear" w:color="auto" w:fill="FFFFFF"/>
        </w:rPr>
      </w:pPr>
      <w:r w:rsidRPr="00987EBD">
        <w:rPr>
          <w:rFonts w:ascii="Arial" w:hAnsi="Arial" w:cs="Arial"/>
          <w:sz w:val="22"/>
          <w:szCs w:val="22"/>
          <w:shd w:val="clear" w:color="auto" w:fill="FFFFFF"/>
        </w:rPr>
        <w:t>1. revogado;</w:t>
      </w:r>
    </w:p>
    <w:p w14:paraId="19A1B7D8" w14:textId="77777777" w:rsidR="00E41EFD" w:rsidRPr="00987EBD" w:rsidRDefault="00E41EFD" w:rsidP="00093ED0">
      <w:pPr>
        <w:ind w:left="2268"/>
        <w:jc w:val="both"/>
        <w:rPr>
          <w:rFonts w:ascii="Arial" w:hAnsi="Arial" w:cs="Arial"/>
          <w:sz w:val="22"/>
          <w:szCs w:val="22"/>
          <w:shd w:val="clear" w:color="auto" w:fill="FFFFFF"/>
        </w:rPr>
      </w:pPr>
      <w:r w:rsidRPr="00987EBD">
        <w:rPr>
          <w:rFonts w:ascii="Arial" w:hAnsi="Arial" w:cs="Arial"/>
          <w:sz w:val="22"/>
          <w:szCs w:val="22"/>
          <w:shd w:val="clear" w:color="auto" w:fill="FFFFFF"/>
        </w:rPr>
        <w:t>2. de saída em transferência interestadual de carne com osso, excetuada a transferência autorizada e realizada nos termos de regime especial para tal fim celebrado com a Secretaria da Fazenda;</w:t>
      </w:r>
    </w:p>
    <w:p w14:paraId="6C16964F" w14:textId="77777777" w:rsidR="00E41EFD" w:rsidRPr="00987EBD" w:rsidRDefault="00E41EFD" w:rsidP="00093ED0">
      <w:pPr>
        <w:ind w:left="2268"/>
        <w:jc w:val="both"/>
        <w:rPr>
          <w:rFonts w:ascii="Arial" w:hAnsi="Arial" w:cs="Arial"/>
          <w:sz w:val="22"/>
          <w:szCs w:val="22"/>
          <w:shd w:val="clear" w:color="auto" w:fill="FFFFFF"/>
        </w:rPr>
      </w:pPr>
      <w:r w:rsidRPr="00987EBD">
        <w:rPr>
          <w:rFonts w:ascii="Arial" w:hAnsi="Arial" w:cs="Arial"/>
          <w:sz w:val="22"/>
          <w:szCs w:val="22"/>
        </w:rPr>
        <w:t>3</w:t>
      </w:r>
      <w:r w:rsidRPr="00987EBD">
        <w:rPr>
          <w:rFonts w:ascii="Arial" w:hAnsi="Arial" w:cs="Arial"/>
          <w:sz w:val="22"/>
          <w:szCs w:val="22"/>
          <w:shd w:val="clear" w:color="auto" w:fill="FFFFFF"/>
        </w:rPr>
        <w:t>. revogado</w:t>
      </w:r>
    </w:p>
    <w:p w14:paraId="3991416C" w14:textId="77777777" w:rsidR="00E41EFD" w:rsidRPr="00987EBD" w:rsidRDefault="00E41EFD" w:rsidP="00093ED0">
      <w:pPr>
        <w:ind w:left="2268"/>
        <w:jc w:val="both"/>
        <w:rPr>
          <w:rFonts w:ascii="Arial" w:hAnsi="Arial" w:cs="Arial"/>
          <w:sz w:val="22"/>
          <w:szCs w:val="22"/>
          <w:shd w:val="clear" w:color="auto" w:fill="FFFFFF"/>
        </w:rPr>
      </w:pPr>
      <w:r w:rsidRPr="00987EBD">
        <w:rPr>
          <w:rFonts w:ascii="Arial" w:hAnsi="Arial" w:cs="Arial"/>
          <w:sz w:val="22"/>
          <w:szCs w:val="22"/>
          <w:shd w:val="clear" w:color="auto" w:fill="FFFFFF"/>
        </w:rPr>
        <w:t xml:space="preserve">d) o Secretário da Fazenda pode expedir ato que estabeleça o controle sobre a operação com produtos comestíveis resultantes do abate dos produtos relacionados no </w:t>
      </w:r>
      <w:r w:rsidRPr="00987EBD">
        <w:rPr>
          <w:rFonts w:ascii="Arial" w:hAnsi="Arial" w:cs="Arial"/>
          <w:i/>
          <w:iCs/>
          <w:sz w:val="22"/>
          <w:szCs w:val="22"/>
        </w:rPr>
        <w:t>caput</w:t>
      </w:r>
      <w:r w:rsidRPr="00987EBD">
        <w:rPr>
          <w:rFonts w:ascii="Arial" w:hAnsi="Arial" w:cs="Arial"/>
          <w:sz w:val="22"/>
          <w:szCs w:val="22"/>
          <w:shd w:val="clear" w:color="auto" w:fill="FFFFFF"/>
        </w:rPr>
        <w:t>, com vistas a garantir o efetivo cumprimento das exigências para se fazer jus a esse benefício;</w:t>
      </w:r>
    </w:p>
    <w:p w14:paraId="1487954B" w14:textId="77777777" w:rsidR="00E41EFD" w:rsidRPr="00987EBD" w:rsidRDefault="00E41EFD" w:rsidP="00093ED0">
      <w:pPr>
        <w:ind w:left="2268"/>
        <w:jc w:val="both"/>
        <w:rPr>
          <w:rFonts w:ascii="Arial" w:hAnsi="Arial" w:cs="Arial"/>
          <w:sz w:val="22"/>
          <w:szCs w:val="22"/>
        </w:rPr>
      </w:pPr>
      <w:r w:rsidRPr="00987EBD">
        <w:rPr>
          <w:rFonts w:ascii="Arial" w:hAnsi="Arial" w:cs="Arial"/>
          <w:b/>
          <w:sz w:val="22"/>
          <w:szCs w:val="22"/>
        </w:rPr>
        <w:t>VI - para o estabelecimento frigorífico ou abatedor, na saída para comercialização ou industrialização, de carne fresca, resfriada, congelada, salgada, temperada ou salmourada e miúdo comestível resultantes do abate, em seu próprio estabelecimento, de ave e suíno adquiridos em operação interna com a isenção de que trata o inciso CXVI do art. 6° deste Anexo ou criados pelo beneficiário do crédito outorgado ou por produtor rural a ele integrado, o equivalente à aplicação de 9% (nove por cento) sobre o valor da respectiva base de cálculo, observado o seguinte (Lei nº 13.453/99, art. 1º, I, “c”, 1)</w:t>
      </w:r>
      <w:r w:rsidRPr="00987EBD">
        <w:rPr>
          <w:rFonts w:ascii="Arial" w:hAnsi="Arial" w:cs="Arial"/>
          <w:sz w:val="22"/>
          <w:szCs w:val="22"/>
        </w:rPr>
        <w:t>:</w:t>
      </w:r>
    </w:p>
    <w:p w14:paraId="3077158B" w14:textId="77777777" w:rsidR="00E41EFD" w:rsidRPr="00987EBD" w:rsidRDefault="00E41EFD" w:rsidP="00502615">
      <w:pPr>
        <w:pStyle w:val="PargrafodaLista"/>
        <w:numPr>
          <w:ilvl w:val="0"/>
          <w:numId w:val="21"/>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o frigorífico ou abatedor, para apropriar-se do crédito outorgado, deve deixar de aproveitar quaisquer créditos de ICMS relativos à entrada e ao serviço utilizado;</w:t>
      </w:r>
    </w:p>
    <w:p w14:paraId="63825148" w14:textId="77777777" w:rsidR="00E41EFD" w:rsidRPr="00987EBD" w:rsidRDefault="00E41EFD" w:rsidP="00502615">
      <w:pPr>
        <w:pStyle w:val="PargrafodaLista"/>
        <w:numPr>
          <w:ilvl w:val="0"/>
          <w:numId w:val="21"/>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no abate por conta e ordem de terceiro em estabelecimento frigorífico ou abatedor, ocorre a aplicação do benefício:</w:t>
      </w:r>
    </w:p>
    <w:p w14:paraId="1975248E" w14:textId="77777777" w:rsidR="00E41EFD" w:rsidRPr="00987EBD" w:rsidRDefault="00E41EFD" w:rsidP="00502615">
      <w:pPr>
        <w:pStyle w:val="PargrafodaLista"/>
        <w:numPr>
          <w:ilvl w:val="0"/>
          <w:numId w:val="22"/>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lastRenderedPageBreak/>
        <w:t>pelo estabelecimento frigorífico ou abatedor, na saída dos produtos comestíveis resultantes do abate e apenas sobre o valor agregado cobrado do terceiro encomendante;</w:t>
      </w:r>
    </w:p>
    <w:p w14:paraId="3E08168E" w14:textId="77777777" w:rsidR="00E41EFD" w:rsidRPr="00987EBD" w:rsidRDefault="00E41EFD" w:rsidP="00502615">
      <w:pPr>
        <w:pStyle w:val="PargrafodaLista"/>
        <w:numPr>
          <w:ilvl w:val="0"/>
          <w:numId w:val="22"/>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pelo terceiro encomendante, sobre o valor da base de</w:t>
      </w:r>
    </w:p>
    <w:p w14:paraId="57561D8D" w14:textId="77777777" w:rsidR="00E41EFD" w:rsidRPr="00987EBD" w:rsidRDefault="00E41EFD" w:rsidP="00093ED0">
      <w:pPr>
        <w:pStyle w:val="PargrafodaLista"/>
        <w:ind w:left="2268"/>
        <w:jc w:val="both"/>
        <w:rPr>
          <w:rFonts w:ascii="Arial" w:hAnsi="Arial" w:cs="Arial"/>
          <w:sz w:val="22"/>
          <w:szCs w:val="22"/>
          <w:shd w:val="clear" w:color="auto" w:fill="FFFFFF"/>
        </w:rPr>
      </w:pPr>
      <w:r w:rsidRPr="00987EBD">
        <w:rPr>
          <w:rFonts w:ascii="Arial" w:hAnsi="Arial" w:cs="Arial"/>
          <w:sz w:val="22"/>
          <w:szCs w:val="22"/>
          <w:shd w:val="clear" w:color="auto" w:fill="FFFFFF"/>
        </w:rPr>
        <w:t>cálculo da saída dos produtos comestíveis promovida pelo mesmo;</w:t>
      </w:r>
    </w:p>
    <w:p w14:paraId="1DB88D81" w14:textId="77777777" w:rsidR="00E41EFD" w:rsidRPr="00987EBD" w:rsidRDefault="00E41EFD" w:rsidP="00502615">
      <w:pPr>
        <w:pStyle w:val="PargrafodaLista"/>
        <w:numPr>
          <w:ilvl w:val="0"/>
          <w:numId w:val="21"/>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o benefício não alcança a operação:</w:t>
      </w:r>
    </w:p>
    <w:p w14:paraId="4C195B30" w14:textId="77777777" w:rsidR="00E41EFD" w:rsidRPr="00987EBD" w:rsidRDefault="00E41EFD" w:rsidP="00502615">
      <w:pPr>
        <w:pStyle w:val="PargrafodaLista"/>
        <w:numPr>
          <w:ilvl w:val="0"/>
          <w:numId w:val="23"/>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revogado;</w:t>
      </w:r>
    </w:p>
    <w:p w14:paraId="03CC2BAA" w14:textId="77777777" w:rsidR="00E41EFD" w:rsidRPr="00987EBD" w:rsidRDefault="00E41EFD" w:rsidP="00502615">
      <w:pPr>
        <w:pStyle w:val="PargrafodaLista"/>
        <w:numPr>
          <w:ilvl w:val="0"/>
          <w:numId w:val="23"/>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de saída em transferência interestadual, excetuada aquela autorizada e realizada nos termos de regime especial para tal fim celebrado com a Secretaria da Fazenda;</w:t>
      </w:r>
    </w:p>
    <w:p w14:paraId="4AB3C976" w14:textId="77777777" w:rsidR="00E41EFD" w:rsidRPr="00987EBD" w:rsidRDefault="00E41EFD" w:rsidP="00502615">
      <w:pPr>
        <w:pStyle w:val="PargrafodaLista"/>
        <w:numPr>
          <w:ilvl w:val="0"/>
          <w:numId w:val="21"/>
        </w:numPr>
        <w:ind w:left="2268" w:firstLine="0"/>
        <w:jc w:val="both"/>
        <w:rPr>
          <w:rFonts w:ascii="Arial" w:hAnsi="Arial" w:cs="Arial"/>
          <w:sz w:val="22"/>
          <w:szCs w:val="22"/>
          <w:shd w:val="clear" w:color="auto" w:fill="FFFFFF"/>
        </w:rPr>
      </w:pPr>
      <w:r w:rsidRPr="00987EBD">
        <w:rPr>
          <w:rFonts w:ascii="Arial" w:hAnsi="Arial" w:cs="Arial"/>
          <w:sz w:val="22"/>
          <w:szCs w:val="22"/>
          <w:shd w:val="clear" w:color="auto" w:fill="FFFFFF"/>
        </w:rPr>
        <w:t>o Secretário da Fazenda pode expedir ato que estabeleça o controle sobre a operação com produtos comestíveis resultantes do abate de ave e suíno, com vistas a garantir o efetivo cumprimento das exigências para se fazer jus a esse benefício;</w:t>
      </w:r>
    </w:p>
    <w:p w14:paraId="6E449040" w14:textId="77777777" w:rsidR="00E41EFD" w:rsidRPr="00987EBD" w:rsidRDefault="00E41EFD" w:rsidP="00093ED0">
      <w:pPr>
        <w:pStyle w:val="PargrafodaLista"/>
        <w:ind w:left="2268"/>
        <w:jc w:val="both"/>
        <w:rPr>
          <w:rFonts w:ascii="Arial" w:hAnsi="Arial" w:cs="Arial"/>
          <w:sz w:val="22"/>
          <w:szCs w:val="22"/>
          <w:shd w:val="clear" w:color="auto" w:fill="FFFFFF"/>
        </w:rPr>
      </w:pPr>
      <w:r w:rsidRPr="00987EBD">
        <w:rPr>
          <w:rFonts w:ascii="Arial" w:hAnsi="Arial" w:cs="Arial"/>
          <w:b/>
          <w:sz w:val="22"/>
          <w:szCs w:val="22"/>
          <w:shd w:val="clear" w:color="auto" w:fill="FFFFFF"/>
        </w:rPr>
        <w:t>VII – revogado</w:t>
      </w:r>
      <w:r w:rsidRPr="00987EBD">
        <w:rPr>
          <w:rFonts w:ascii="Arial" w:hAnsi="Arial" w:cs="Arial"/>
          <w:sz w:val="22"/>
          <w:szCs w:val="22"/>
          <w:shd w:val="clear" w:color="auto" w:fill="FFFFFF"/>
        </w:rPr>
        <w:t>;</w:t>
      </w:r>
    </w:p>
    <w:p w14:paraId="575EE607" w14:textId="77777777" w:rsidR="00E41EFD" w:rsidRPr="00987EBD" w:rsidRDefault="00E41EFD" w:rsidP="00093ED0">
      <w:pPr>
        <w:pStyle w:val="PargrafodaLista"/>
        <w:ind w:left="2268"/>
        <w:jc w:val="both"/>
        <w:rPr>
          <w:rFonts w:ascii="Arial" w:hAnsi="Arial" w:cs="Arial"/>
          <w:sz w:val="22"/>
          <w:szCs w:val="22"/>
        </w:rPr>
      </w:pPr>
      <w:bookmarkStart w:id="139" w:name="A11VIII"/>
      <w:r w:rsidRPr="00987EBD">
        <w:rPr>
          <w:rFonts w:ascii="Arial" w:hAnsi="Arial" w:cs="Arial"/>
          <w:b/>
          <w:sz w:val="22"/>
          <w:szCs w:val="22"/>
        </w:rPr>
        <w:t xml:space="preserve">VIII - nas saídas interna e interestadual de óleo vegetal comestível, exceto o de soja, resultantes da industrialização em Goiás de produto agrícola produzido e adquirido neste Estado, atendidas as condições estabelecidas em regime especial firmado com a Secretaria da Fazenda, ficando mantido o sistema normal de compensação do imposto, o valor equivalente aos seguintes percentuais aplicados sobre a respectiva base de cálculo do ICMS (Lei nº </w:t>
      </w:r>
      <w:bookmarkEnd w:id="139"/>
      <w:r w:rsidRPr="00987EBD">
        <w:rPr>
          <w:rFonts w:ascii="Arial" w:hAnsi="Arial" w:cs="Arial"/>
          <w:b/>
          <w:sz w:val="22"/>
          <w:szCs w:val="22"/>
        </w:rPr>
        <w:t>13.194/97, art. 2º, II, “b”, 3)</w:t>
      </w:r>
      <w:r w:rsidRPr="00987EBD">
        <w:rPr>
          <w:rFonts w:ascii="Arial" w:hAnsi="Arial" w:cs="Arial"/>
          <w:sz w:val="22"/>
          <w:szCs w:val="22"/>
        </w:rPr>
        <w:t>:</w:t>
      </w:r>
    </w:p>
    <w:p w14:paraId="6EAB8144" w14:textId="77777777" w:rsidR="00E41EFD" w:rsidRPr="00987EBD" w:rsidRDefault="00E41EFD" w:rsidP="00502615">
      <w:pPr>
        <w:pStyle w:val="ParNormal"/>
        <w:numPr>
          <w:ilvl w:val="0"/>
          <w:numId w:val="24"/>
        </w:numPr>
        <w:spacing w:before="0"/>
        <w:ind w:left="2268" w:firstLine="0"/>
      </w:pPr>
      <w:r w:rsidRPr="00987EBD">
        <w:t>5% (cinco por cento), para o estabelecimento industrial não beneficiário do FOMENTAR;</w:t>
      </w:r>
    </w:p>
    <w:p w14:paraId="448B0F08" w14:textId="77777777" w:rsidR="00E41EFD" w:rsidRPr="00987EBD" w:rsidRDefault="00E41EFD" w:rsidP="00502615">
      <w:pPr>
        <w:pStyle w:val="ParNormal"/>
        <w:numPr>
          <w:ilvl w:val="0"/>
          <w:numId w:val="24"/>
        </w:numPr>
        <w:spacing w:before="0"/>
        <w:ind w:left="2268" w:firstLine="0"/>
      </w:pPr>
      <w:r w:rsidRPr="00987EBD">
        <w:t>b) até 30 de junho de 2000, 4% (quatro por cento), para o   estabelecimento industrial beneficiário do FOMENTAR;</w:t>
      </w:r>
    </w:p>
    <w:p w14:paraId="25CC6D2A" w14:textId="77777777" w:rsidR="00E41EFD" w:rsidRPr="00987EBD" w:rsidRDefault="00E41EFD" w:rsidP="00093ED0">
      <w:pPr>
        <w:pStyle w:val="ParNormal"/>
        <w:spacing w:before="0"/>
        <w:ind w:left="2268" w:firstLine="0"/>
      </w:pPr>
      <w:r w:rsidRPr="00987EBD">
        <w:t>c)  a partir de 1º de julho de 2000, 3% (três por cento), para    o estabelecimento industrial beneficiário do FOMENTAR;</w:t>
      </w:r>
    </w:p>
    <w:p w14:paraId="2E84B422" w14:textId="77777777" w:rsidR="00E41EFD" w:rsidRPr="00987EBD" w:rsidRDefault="00E41EFD" w:rsidP="00093ED0">
      <w:pPr>
        <w:pStyle w:val="ParNormal"/>
        <w:spacing w:before="0"/>
        <w:ind w:left="2268" w:firstLine="0"/>
        <w:rPr>
          <w:b/>
        </w:rPr>
      </w:pPr>
      <w:bookmarkStart w:id="140" w:name="A11IX"/>
      <w:r w:rsidRPr="00987EBD">
        <w:rPr>
          <w:b/>
        </w:rPr>
        <w:t>IX - para o industrial fabricante de fertilizante, na operação interestadual que praticar com esse insumo agropecuário, o valor equivalente a 5% (cinco por cento) da respectiva base de cálculo, observado o seguinte (Lei nº 13.194/97, art. 2º, II, “b”, 5):</w:t>
      </w:r>
      <w:bookmarkEnd w:id="140"/>
    </w:p>
    <w:p w14:paraId="33FF47F5" w14:textId="77777777" w:rsidR="00E41EFD" w:rsidRPr="00987EBD" w:rsidRDefault="00E41EFD" w:rsidP="00093ED0">
      <w:pPr>
        <w:pStyle w:val="ParNormal"/>
        <w:spacing w:before="0"/>
        <w:ind w:left="2268" w:firstLine="0"/>
      </w:pPr>
      <w:r w:rsidRPr="00987EBD">
        <w:t>a) revogada;</w:t>
      </w:r>
    </w:p>
    <w:p w14:paraId="6378400B" w14:textId="77777777" w:rsidR="00E41EFD" w:rsidRPr="00987EBD" w:rsidRDefault="00E41EFD" w:rsidP="00093ED0">
      <w:pPr>
        <w:pStyle w:val="ParNormal"/>
        <w:spacing w:before="0"/>
        <w:ind w:left="2268" w:firstLine="0"/>
      </w:pPr>
      <w:r w:rsidRPr="00987EBD">
        <w:t>b) o benefício não pode ser cumulado com o incentivo do Programa FOMENTAR.</w:t>
      </w:r>
    </w:p>
    <w:p w14:paraId="173DCF20" w14:textId="77777777" w:rsidR="00E41EFD" w:rsidRPr="00987EBD" w:rsidRDefault="00E41EFD" w:rsidP="00093ED0">
      <w:pPr>
        <w:pStyle w:val="ParNormal"/>
        <w:spacing w:before="0"/>
        <w:ind w:left="2268" w:firstLine="0"/>
      </w:pPr>
      <w:r w:rsidRPr="00987EBD">
        <w:t xml:space="preserve">c) o benefício pode ser utilizado cumulativamente com o da redução da base de cálculo previsto na alínea “c” do inciso VIII do </w:t>
      </w:r>
      <w:hyperlink r:id="rId57" w:anchor="A9" w:history="1">
        <w:r w:rsidRPr="00987EBD">
          <w:rPr>
            <w:rStyle w:val="Hyperlink"/>
          </w:rPr>
          <w:t>art. 9º</w:t>
        </w:r>
      </w:hyperlink>
      <w:r w:rsidRPr="00987EBD">
        <w:t xml:space="preserve"> deste Anexo;</w:t>
      </w:r>
      <w:bookmarkStart w:id="141" w:name="A11X"/>
    </w:p>
    <w:bookmarkEnd w:id="141"/>
    <w:p w14:paraId="393FAC08" w14:textId="77777777" w:rsidR="00E41EFD" w:rsidRPr="00987EBD" w:rsidRDefault="00E41EFD" w:rsidP="00093ED0">
      <w:pPr>
        <w:pStyle w:val="ParNormal"/>
        <w:spacing w:before="0"/>
        <w:ind w:left="2268" w:firstLine="0"/>
        <w:rPr>
          <w:b/>
          <w:lang w:eastAsia="pt-BR"/>
        </w:rPr>
      </w:pPr>
      <w:r w:rsidRPr="00987EBD">
        <w:rPr>
          <w:b/>
          <w:lang w:eastAsia="pt-BR"/>
        </w:rPr>
        <w:t>X - para o estabelecimento de produtor rural, na saída de alho, observado o seguinte;</w:t>
      </w:r>
    </w:p>
    <w:p w14:paraId="5AB78B97" w14:textId="77777777" w:rsidR="00E41EFD" w:rsidRPr="00987EBD" w:rsidRDefault="00E41EFD" w:rsidP="00093ED0">
      <w:pPr>
        <w:pStyle w:val="ParNormal"/>
        <w:spacing w:before="0"/>
        <w:ind w:left="2268" w:firstLine="0"/>
      </w:pPr>
      <w:r w:rsidRPr="00987EBD">
        <w:t xml:space="preserve">a) é vedada a apropriação de quaisquer outros créditos de ICMS relativos à entrada de mercadoria ou bem, assim como à utilização de serviço de transporte de comunicação; </w:t>
      </w:r>
    </w:p>
    <w:p w14:paraId="4E731425" w14:textId="77777777" w:rsidR="00E41EFD" w:rsidRPr="00987EBD" w:rsidRDefault="00E41EFD" w:rsidP="00093ED0">
      <w:pPr>
        <w:pStyle w:val="ParNormal"/>
        <w:spacing w:before="0"/>
        <w:ind w:left="2268" w:firstLine="0"/>
      </w:pPr>
      <w:r w:rsidRPr="00987EBD">
        <w:t xml:space="preserve">b) o benefício do crédito outorgado, relativo ao alho, não se aplica: </w:t>
      </w:r>
    </w:p>
    <w:p w14:paraId="2FD8A5AF" w14:textId="77777777" w:rsidR="00E41EFD" w:rsidRPr="00987EBD" w:rsidRDefault="00E41EFD" w:rsidP="00093ED0">
      <w:pPr>
        <w:pStyle w:val="ParNormal"/>
        <w:spacing w:before="0"/>
        <w:ind w:left="2268" w:firstLine="0"/>
      </w:pPr>
      <w:r w:rsidRPr="00987EBD">
        <w:t xml:space="preserve">1. ao ICMS devido na operação de importação nem, na subseqüente saída desse produto, quando importado; </w:t>
      </w:r>
    </w:p>
    <w:p w14:paraId="2559070A" w14:textId="77777777" w:rsidR="00E41EFD" w:rsidRPr="00987EBD" w:rsidRDefault="00E41EFD" w:rsidP="00093ED0">
      <w:pPr>
        <w:pStyle w:val="ParNormal"/>
        <w:spacing w:before="0"/>
        <w:ind w:left="2268" w:firstLine="0"/>
      </w:pPr>
      <w:r w:rsidRPr="00987EBD">
        <w:t xml:space="preserve">2. ao produto resultante de sua industrialização; </w:t>
      </w:r>
    </w:p>
    <w:p w14:paraId="636FC3A7" w14:textId="77777777" w:rsidR="00E41EFD" w:rsidRPr="00987EBD" w:rsidRDefault="00E41EFD" w:rsidP="00093ED0">
      <w:pPr>
        <w:pStyle w:val="ParNormal"/>
        <w:spacing w:before="0"/>
        <w:ind w:left="2268" w:firstLine="0"/>
        <w:rPr>
          <w:lang w:eastAsia="pt-BR"/>
        </w:rPr>
      </w:pPr>
      <w:r w:rsidRPr="00987EBD">
        <w:rPr>
          <w:lang w:eastAsia="pt-BR"/>
        </w:rPr>
        <w:t xml:space="preserve">3. revogado; </w:t>
      </w:r>
    </w:p>
    <w:p w14:paraId="51B1C046" w14:textId="77777777" w:rsidR="00E41EFD" w:rsidRPr="00987EBD" w:rsidRDefault="00E41EFD" w:rsidP="00093ED0">
      <w:pPr>
        <w:pStyle w:val="ParNormal"/>
        <w:spacing w:before="0"/>
        <w:ind w:left="2268" w:firstLine="0"/>
        <w:rPr>
          <w:lang w:eastAsia="pt-BR"/>
        </w:rPr>
      </w:pPr>
      <w:r w:rsidRPr="00987EBD">
        <w:rPr>
          <w:lang w:eastAsia="pt-BR"/>
        </w:rPr>
        <w:t xml:space="preserve">c) o valor do crédito outorgado equivale: </w:t>
      </w:r>
    </w:p>
    <w:p w14:paraId="2B2A18C5" w14:textId="77777777" w:rsidR="00E41EFD" w:rsidRPr="00987EBD" w:rsidRDefault="00E41EFD" w:rsidP="00093ED0">
      <w:pPr>
        <w:pStyle w:val="ParNormal"/>
        <w:spacing w:before="0"/>
        <w:ind w:left="2268" w:firstLine="0"/>
        <w:rPr>
          <w:lang w:eastAsia="pt-BR"/>
        </w:rPr>
      </w:pPr>
      <w:r w:rsidRPr="00987EBD">
        <w:rPr>
          <w:lang w:eastAsia="pt-BR"/>
        </w:rPr>
        <w:t xml:space="preserve">1. na saída interna, ao valor do ICMS devido na operação; </w:t>
      </w:r>
    </w:p>
    <w:p w14:paraId="09050128" w14:textId="77777777" w:rsidR="00E41EFD" w:rsidRPr="00987EBD" w:rsidRDefault="00E41EFD" w:rsidP="00093ED0">
      <w:pPr>
        <w:pStyle w:val="ParNormal"/>
        <w:spacing w:before="0"/>
        <w:ind w:left="2268" w:firstLine="0"/>
      </w:pPr>
      <w:r w:rsidRPr="00987EBD">
        <w:rPr>
          <w:lang w:eastAsia="pt-BR"/>
        </w:rPr>
        <w:t xml:space="preserve">2. na saída interestadual, à aplicação de 10,8% (dez inteiros e oito décimos por cento) sobre o valor da respectiva base de cálculo prevista para a operação; </w:t>
      </w:r>
    </w:p>
    <w:p w14:paraId="200A08DD" w14:textId="77777777" w:rsidR="00E41EFD" w:rsidRPr="00987EBD" w:rsidRDefault="00E41EFD" w:rsidP="00093ED0">
      <w:pPr>
        <w:pStyle w:val="ParNormal"/>
        <w:spacing w:before="0"/>
        <w:ind w:left="2268" w:firstLine="0"/>
        <w:rPr>
          <w:b/>
        </w:rPr>
      </w:pPr>
      <w:r w:rsidRPr="00987EBD">
        <w:rPr>
          <w:b/>
        </w:rPr>
        <w:lastRenderedPageBreak/>
        <w:t>XI - revogado.</w:t>
      </w:r>
    </w:p>
    <w:p w14:paraId="3C02DC01" w14:textId="0B1BB34A" w:rsidR="00E41EFD" w:rsidRPr="00987EBD" w:rsidRDefault="00E41EFD" w:rsidP="00093ED0">
      <w:pPr>
        <w:pStyle w:val="ParNormal"/>
        <w:spacing w:before="0"/>
        <w:ind w:left="2268" w:firstLine="0"/>
        <w:contextualSpacing/>
        <w:rPr>
          <w:b/>
        </w:rPr>
      </w:pPr>
      <w:bookmarkStart w:id="142" w:name="A11XII"/>
      <w:r w:rsidRPr="00987EBD">
        <w:rPr>
          <w:b/>
        </w:rPr>
        <w:t>XII - para o titular de projeto agroindustrial de avicultura e suinocultura o percentual de 5% (cinco por cento) na operação que destine produto comestível decorrente da industrialização de ave e suíno para os Estados das Regiões Norte, Nordeste, Centro-Oeste e para o Estado do Espírito Santo (</w:t>
      </w:r>
      <w:r w:rsidRPr="00E615D7">
        <w:rPr>
          <w:b/>
        </w:rPr>
        <w:t>Lei nº 12.955/96</w:t>
      </w:r>
      <w:r w:rsidRPr="00987EBD">
        <w:rPr>
          <w:b/>
        </w:rPr>
        <w:t>, art. 7º);</w:t>
      </w:r>
    </w:p>
    <w:p w14:paraId="54BEE469" w14:textId="1520B9B6" w:rsidR="00E41EFD" w:rsidRPr="00987EBD" w:rsidRDefault="00E41EFD" w:rsidP="00093ED0">
      <w:pPr>
        <w:pStyle w:val="ParNormal"/>
        <w:spacing w:before="0"/>
        <w:ind w:left="2268" w:firstLine="0"/>
        <w:contextualSpacing/>
        <w:rPr>
          <w:b/>
        </w:rPr>
      </w:pPr>
      <w:bookmarkStart w:id="143" w:name="A11XIII"/>
      <w:bookmarkEnd w:id="142"/>
      <w:r w:rsidRPr="00987EBD">
        <w:rPr>
          <w:b/>
        </w:rPr>
        <w:t>XIII - para o produtor rural, pessoa natural ou jurídica, atendido o disposto nos §§ 1</w:t>
      </w:r>
      <w:r w:rsidRPr="00987EBD">
        <w:rPr>
          <w:b/>
          <w:vertAlign w:val="superscript"/>
        </w:rPr>
        <w:t>o</w:t>
      </w:r>
      <w:r w:rsidRPr="00987EBD">
        <w:rPr>
          <w:b/>
        </w:rPr>
        <w:t xml:space="preserve"> a 3</w:t>
      </w:r>
      <w:r w:rsidRPr="00987EBD">
        <w:rPr>
          <w:b/>
          <w:vertAlign w:val="superscript"/>
        </w:rPr>
        <w:t>o</w:t>
      </w:r>
      <w:r w:rsidRPr="00987EBD">
        <w:rPr>
          <w:b/>
        </w:rPr>
        <w:t>, o equivalente à aplicação do percentual de 75% (setenta e cinco por cento) sobre o valor do ICMS devido na operação de venda promovida pelo produtor de algodão em pluma</w:t>
      </w:r>
      <w:r w:rsidRPr="00987EBD">
        <w:rPr>
          <w:b/>
          <w:caps/>
        </w:rPr>
        <w:t xml:space="preserve"> (</w:t>
      </w:r>
      <w:r w:rsidRPr="00E615D7">
        <w:rPr>
          <w:b/>
        </w:rPr>
        <w:t>Lei nº 13.506/99</w:t>
      </w:r>
      <w:r w:rsidRPr="00987EBD">
        <w:rPr>
          <w:b/>
        </w:rPr>
        <w:t xml:space="preserve">, </w:t>
      </w:r>
      <w:r w:rsidRPr="00E615D7">
        <w:rPr>
          <w:b/>
        </w:rPr>
        <w:t>art. 2º</w:t>
      </w:r>
      <w:r w:rsidRPr="00987EBD">
        <w:rPr>
          <w:b/>
        </w:rPr>
        <w:t>);</w:t>
      </w:r>
    </w:p>
    <w:bookmarkEnd w:id="143"/>
    <w:p w14:paraId="3A4D6603" w14:textId="77777777" w:rsidR="00E41EFD" w:rsidRPr="00987EBD" w:rsidRDefault="00E41EFD" w:rsidP="00093ED0">
      <w:pPr>
        <w:pStyle w:val="ParNormal"/>
        <w:spacing w:before="0"/>
        <w:ind w:left="2268" w:firstLine="0"/>
        <w:contextualSpacing/>
      </w:pPr>
      <w:r w:rsidRPr="00987EBD">
        <w:t>a) revogada;</w:t>
      </w:r>
    </w:p>
    <w:p w14:paraId="464F6113" w14:textId="77777777" w:rsidR="00E41EFD" w:rsidRPr="00987EBD" w:rsidRDefault="00E41EFD" w:rsidP="00093ED0">
      <w:pPr>
        <w:pStyle w:val="ParNormal"/>
        <w:spacing w:before="0"/>
        <w:ind w:left="2268" w:firstLine="0"/>
        <w:contextualSpacing/>
      </w:pPr>
      <w:r w:rsidRPr="00987EBD">
        <w:t>b) revogada;</w:t>
      </w:r>
    </w:p>
    <w:p w14:paraId="6E4BE387" w14:textId="77777777" w:rsidR="00E41EFD" w:rsidRPr="00987EBD" w:rsidRDefault="00E41EFD" w:rsidP="00093ED0">
      <w:pPr>
        <w:pStyle w:val="ParNormal"/>
        <w:spacing w:before="0"/>
        <w:ind w:left="2268" w:firstLine="0"/>
        <w:contextualSpacing/>
      </w:pPr>
      <w:r w:rsidRPr="00987EBD">
        <w:t>c) revogada;</w:t>
      </w:r>
    </w:p>
    <w:p w14:paraId="706492C6" w14:textId="77777777" w:rsidR="00E41EFD" w:rsidRPr="00987EBD" w:rsidRDefault="00E41EFD" w:rsidP="00093ED0">
      <w:pPr>
        <w:pStyle w:val="ParNormal"/>
        <w:spacing w:before="0"/>
        <w:ind w:left="2268" w:firstLine="0"/>
        <w:contextualSpacing/>
      </w:pPr>
      <w:r w:rsidRPr="00987EBD">
        <w:t>d) revogada.</w:t>
      </w:r>
    </w:p>
    <w:p w14:paraId="5D5FA2F3" w14:textId="09B72CD4" w:rsidR="00E41EFD" w:rsidRPr="00987EBD" w:rsidRDefault="00E41EFD" w:rsidP="00093ED0">
      <w:pPr>
        <w:pStyle w:val="ParNormal"/>
        <w:spacing w:before="0"/>
        <w:ind w:left="2268" w:firstLine="0"/>
        <w:contextualSpacing/>
        <w:rPr>
          <w:b/>
        </w:rPr>
      </w:pPr>
      <w:bookmarkStart w:id="144" w:name="A11XIV"/>
      <w:r w:rsidRPr="00987EBD">
        <w:rPr>
          <w:b/>
        </w:rPr>
        <w:t xml:space="preserve">XIV - para o estabelecimento fabricante ou revendedor de combustível, o valor equivalente ao da aquisição de equipamento medidor eletrônico de vazão, observado o seguinte e o disposto em ato do Secretário da Fazenda (Lei nº 13.194/97, </w:t>
      </w:r>
      <w:r w:rsidRPr="00E615D7">
        <w:rPr>
          <w:b/>
        </w:rPr>
        <w:t>art. 2º, II, “f”</w:t>
      </w:r>
      <w:r w:rsidRPr="00987EBD">
        <w:rPr>
          <w:b/>
        </w:rPr>
        <w:t>):</w:t>
      </w:r>
    </w:p>
    <w:bookmarkEnd w:id="144"/>
    <w:p w14:paraId="38FB2935" w14:textId="77777777" w:rsidR="00E41EFD" w:rsidRPr="00987EBD" w:rsidRDefault="00E41EFD" w:rsidP="00093ED0">
      <w:pPr>
        <w:pStyle w:val="ParNormal"/>
        <w:spacing w:before="0"/>
        <w:ind w:left="2268" w:firstLine="0"/>
        <w:contextualSpacing/>
      </w:pPr>
      <w:r w:rsidRPr="00987EBD">
        <w:t>a) o equipamento deve possibilitar o controle:</w:t>
      </w:r>
    </w:p>
    <w:p w14:paraId="1668A36F" w14:textId="77777777" w:rsidR="00E41EFD" w:rsidRPr="00987EBD" w:rsidRDefault="00E41EFD" w:rsidP="00093ED0">
      <w:pPr>
        <w:pStyle w:val="ParNormal"/>
        <w:spacing w:before="0"/>
        <w:ind w:left="2268" w:firstLine="0"/>
        <w:contextualSpacing/>
      </w:pPr>
      <w:r w:rsidRPr="00987EBD">
        <w:t>1. contínuo da quantidade do combustível carregado por veículo;</w:t>
      </w:r>
    </w:p>
    <w:p w14:paraId="4752903F" w14:textId="77777777" w:rsidR="00E41EFD" w:rsidRPr="00987EBD" w:rsidRDefault="00E41EFD" w:rsidP="00093ED0">
      <w:pPr>
        <w:pStyle w:val="ParNormal"/>
        <w:spacing w:before="0"/>
        <w:ind w:left="2268" w:firstLine="0"/>
        <w:contextualSpacing/>
      </w:pPr>
      <w:r w:rsidRPr="00987EBD">
        <w:t>2. do tipo e das características físicas básicas do produto;</w:t>
      </w:r>
    </w:p>
    <w:p w14:paraId="4574A032" w14:textId="77777777" w:rsidR="00E41EFD" w:rsidRPr="00987EBD" w:rsidRDefault="00E41EFD" w:rsidP="00093ED0">
      <w:pPr>
        <w:pStyle w:val="ParNormal"/>
        <w:spacing w:before="0"/>
        <w:ind w:left="2268" w:firstLine="0"/>
        <w:contextualSpacing/>
      </w:pPr>
      <w:r w:rsidRPr="00987EBD">
        <w:t>3. sobre a data de início e de término do carregamento;</w:t>
      </w:r>
    </w:p>
    <w:p w14:paraId="263279CE" w14:textId="77777777" w:rsidR="00E41EFD" w:rsidRPr="00987EBD" w:rsidRDefault="00E41EFD" w:rsidP="00093ED0">
      <w:pPr>
        <w:pStyle w:val="ParNormal"/>
        <w:spacing w:before="0"/>
        <w:ind w:left="2268" w:firstLine="0"/>
        <w:contextualSpacing/>
      </w:pPr>
      <w:r w:rsidRPr="00987EBD">
        <w:t>b) o sistema eletrônico que compõe o equipamento deve:</w:t>
      </w:r>
    </w:p>
    <w:p w14:paraId="79778CEE" w14:textId="77777777" w:rsidR="00E41EFD" w:rsidRPr="00987EBD" w:rsidRDefault="00E41EFD" w:rsidP="00093ED0">
      <w:pPr>
        <w:pStyle w:val="ParNormal"/>
        <w:spacing w:before="0"/>
        <w:ind w:left="2268" w:firstLine="0"/>
        <w:contextualSpacing/>
      </w:pPr>
      <w:r w:rsidRPr="00987EBD">
        <w:t>1. medir diretamente a vazão em massa, densidade e temperatura do produto, admitida a margem de erro da medição na:</w:t>
      </w:r>
    </w:p>
    <w:p w14:paraId="7A667008" w14:textId="77777777" w:rsidR="00E41EFD" w:rsidRPr="00987EBD" w:rsidRDefault="00E41EFD" w:rsidP="00093ED0">
      <w:pPr>
        <w:pStyle w:val="ParNormal"/>
        <w:spacing w:before="0"/>
        <w:ind w:left="2268" w:firstLine="0"/>
        <w:contextualSpacing/>
      </w:pPr>
      <w:r w:rsidRPr="00987EBD">
        <w:t>1.1. vazão mássica, de aproximadamente 0,25% (vinte e   cinco centésimos por cento);</w:t>
      </w:r>
    </w:p>
    <w:p w14:paraId="46E4E090" w14:textId="77777777" w:rsidR="00E41EFD" w:rsidRPr="00987EBD" w:rsidRDefault="00E41EFD" w:rsidP="00093ED0">
      <w:pPr>
        <w:pStyle w:val="ParNormal"/>
        <w:spacing w:before="0"/>
        <w:ind w:left="2268" w:firstLine="0"/>
        <w:contextualSpacing/>
      </w:pPr>
      <w:r w:rsidRPr="00987EBD">
        <w:t>1.2. densidade, de aproximadamente 0,0005 g/cm3.(cinco décimos de milésimo de gramas por centímetros cúbicos);</w:t>
      </w:r>
    </w:p>
    <w:p w14:paraId="5587BF51" w14:textId="77777777" w:rsidR="00E41EFD" w:rsidRPr="00987EBD" w:rsidRDefault="00E41EFD" w:rsidP="00093ED0">
      <w:pPr>
        <w:pStyle w:val="ParNormal"/>
        <w:spacing w:before="0"/>
        <w:ind w:left="2268" w:firstLine="0"/>
        <w:contextualSpacing/>
      </w:pPr>
      <w:r w:rsidRPr="00987EBD">
        <w:t>1.3. temperatura, de aproximadamente 0,5% (meio por cento);</w:t>
      </w:r>
    </w:p>
    <w:p w14:paraId="53C35972" w14:textId="77777777" w:rsidR="00E41EFD" w:rsidRPr="00987EBD" w:rsidRDefault="00E41EFD" w:rsidP="00093ED0">
      <w:pPr>
        <w:pStyle w:val="ParNormal"/>
        <w:spacing w:before="0"/>
        <w:ind w:left="2268" w:firstLine="0"/>
        <w:contextualSpacing/>
      </w:pPr>
      <w:r w:rsidRPr="00987EBD">
        <w:t>2. calcular e indicar o grau INPM do álcool e o grau API de derivados de petróleo, calculando o grau médio por carregamento;</w:t>
      </w:r>
    </w:p>
    <w:p w14:paraId="084B4E26" w14:textId="77777777" w:rsidR="00E41EFD" w:rsidRPr="00987EBD" w:rsidRDefault="00E41EFD" w:rsidP="00093ED0">
      <w:pPr>
        <w:pStyle w:val="ParNormal"/>
        <w:spacing w:before="0"/>
        <w:ind w:left="2268" w:firstLine="0"/>
        <w:contextualSpacing/>
      </w:pPr>
      <w:r w:rsidRPr="00987EBD">
        <w:t>3. indicar o volume total carregado por veículo e o volume total acumulado na temperatura ambiente e corrigido a 20º C (vinte graus centígrados);</w:t>
      </w:r>
    </w:p>
    <w:p w14:paraId="4C01B237" w14:textId="77777777" w:rsidR="00E41EFD" w:rsidRPr="00987EBD" w:rsidRDefault="00E41EFD" w:rsidP="00093ED0">
      <w:pPr>
        <w:pStyle w:val="ParNormal"/>
        <w:spacing w:before="0"/>
        <w:ind w:left="2268" w:firstLine="0"/>
        <w:contextualSpacing/>
      </w:pPr>
      <w:r w:rsidRPr="00987EBD">
        <w:t>4. possuir interface que forneça as indicações das   variáveis citadas nos itens anteriores e possibilite entradas de dados do carregamento;</w:t>
      </w:r>
    </w:p>
    <w:p w14:paraId="781EBA79" w14:textId="77777777" w:rsidR="00E41EFD" w:rsidRPr="00987EBD" w:rsidRDefault="00E41EFD" w:rsidP="00093ED0">
      <w:pPr>
        <w:pStyle w:val="ParNormal"/>
        <w:spacing w:before="0"/>
        <w:ind w:left="2268" w:firstLine="0"/>
        <w:contextualSpacing/>
      </w:pPr>
      <w:r w:rsidRPr="00987EBD">
        <w:t>5.  imprimir automaticamente o resultado do carregamento por veículo, em tíquete a ser expedido por equipamento emissor de cupom fiscal - impressora fiscal (ECF-IF), a ser anexado à nota fiscal correspondente;</w:t>
      </w:r>
    </w:p>
    <w:p w14:paraId="4DE4B3A2" w14:textId="77777777" w:rsidR="00E41EFD" w:rsidRPr="00987EBD" w:rsidRDefault="00E41EFD" w:rsidP="00093ED0">
      <w:pPr>
        <w:pStyle w:val="ParNormal"/>
        <w:spacing w:before="0"/>
        <w:ind w:left="2268" w:firstLine="0"/>
        <w:contextualSpacing/>
      </w:pPr>
      <w:r w:rsidRPr="00987EBD">
        <w:t>6. possibilitar condições de automação do carregamento com controle bateladas integrado;</w:t>
      </w:r>
    </w:p>
    <w:p w14:paraId="59CC3B78" w14:textId="77777777" w:rsidR="00E41EFD" w:rsidRPr="00987EBD" w:rsidRDefault="00E41EFD" w:rsidP="00093ED0">
      <w:pPr>
        <w:pStyle w:val="ParNormal"/>
        <w:spacing w:before="0"/>
        <w:ind w:left="2268" w:firstLine="0"/>
        <w:contextualSpacing/>
      </w:pPr>
      <w:r w:rsidRPr="00987EBD">
        <w:t>7. configurar níveis de senhas que possibilite a operação do sistema e visualização de dados;</w:t>
      </w:r>
    </w:p>
    <w:p w14:paraId="0B1260D6" w14:textId="77777777" w:rsidR="00E41EFD" w:rsidRPr="00987EBD" w:rsidRDefault="00E41EFD" w:rsidP="00093ED0">
      <w:pPr>
        <w:pStyle w:val="ParNormal"/>
        <w:spacing w:before="0"/>
        <w:ind w:left="2268" w:firstLine="0"/>
        <w:contextualSpacing/>
      </w:pPr>
      <w:r w:rsidRPr="00987EBD">
        <w:t>8. possuir registradores de eventos, dentre outros os relativos às intervenções realizadas no equipamento;</w:t>
      </w:r>
    </w:p>
    <w:p w14:paraId="5B1996FB" w14:textId="77777777" w:rsidR="00E41EFD" w:rsidRPr="00987EBD" w:rsidRDefault="00E41EFD" w:rsidP="00093ED0">
      <w:pPr>
        <w:pStyle w:val="ParNormal"/>
        <w:spacing w:before="0"/>
        <w:ind w:left="2268" w:firstLine="0"/>
        <w:contextualSpacing/>
      </w:pPr>
      <w:r w:rsidRPr="00987EBD">
        <w:t>9. armazenar carregamentos feitos sem entradas de dados;</w:t>
      </w:r>
    </w:p>
    <w:p w14:paraId="7FC1FF95" w14:textId="77777777" w:rsidR="00E41EFD" w:rsidRPr="00987EBD" w:rsidRDefault="00E41EFD" w:rsidP="00093ED0">
      <w:pPr>
        <w:pStyle w:val="ParNormal"/>
        <w:spacing w:before="0"/>
        <w:ind w:left="2268" w:firstLine="0"/>
        <w:contextualSpacing/>
      </w:pPr>
      <w:r w:rsidRPr="00987EBD">
        <w:t>c)  no momento do carregamento de veículo transportador do combustível, deve-se utilizar o equipamento medidor de vazão, devendo ser atendidas as seguintes condições mínimas para a sua instalação:</w:t>
      </w:r>
    </w:p>
    <w:p w14:paraId="5077069E" w14:textId="77777777" w:rsidR="00E41EFD" w:rsidRPr="00987EBD" w:rsidRDefault="00E41EFD" w:rsidP="00093ED0">
      <w:pPr>
        <w:pStyle w:val="ParNormal"/>
        <w:spacing w:before="0"/>
        <w:ind w:left="2268" w:firstLine="0"/>
        <w:contextualSpacing/>
      </w:pPr>
      <w:r w:rsidRPr="00987EBD">
        <w:t>1. aprovação para área classificada de acordo com a Associação Brasileira de Normas Técnicas - ABNT -;</w:t>
      </w:r>
    </w:p>
    <w:p w14:paraId="0145AF3F" w14:textId="77777777" w:rsidR="00E41EFD" w:rsidRPr="00987EBD" w:rsidRDefault="00E41EFD" w:rsidP="00093ED0">
      <w:pPr>
        <w:pStyle w:val="ParNormal"/>
        <w:spacing w:before="0"/>
        <w:ind w:left="2268" w:firstLine="0"/>
        <w:contextualSpacing/>
      </w:pPr>
      <w:r w:rsidRPr="00987EBD">
        <w:lastRenderedPageBreak/>
        <w:t>2. a interface deve ser localizada na plataforma de carregamento, em local acessível ao operador e ao Fisco, possuindo aprovação para a classificação de que trata o item anterior;</w:t>
      </w:r>
    </w:p>
    <w:p w14:paraId="6960C12D" w14:textId="77777777" w:rsidR="00E41EFD" w:rsidRPr="00987EBD" w:rsidRDefault="00E41EFD" w:rsidP="00093ED0">
      <w:pPr>
        <w:pStyle w:val="ParNormal"/>
        <w:spacing w:before="0"/>
        <w:ind w:left="2268" w:firstLine="0"/>
        <w:contextualSpacing/>
      </w:pPr>
      <w:r w:rsidRPr="00987EBD">
        <w:t>3. os elementos de medição devem ser instalados em linha de carregamento, sem necessidade de trechos retos, em local próximo ao do carregamento, possuindo aprovação para a classificação de que trata o item 1;</w:t>
      </w:r>
    </w:p>
    <w:p w14:paraId="3FDFCB84" w14:textId="77777777" w:rsidR="00E41EFD" w:rsidRPr="00987EBD" w:rsidRDefault="00E41EFD" w:rsidP="00093ED0">
      <w:pPr>
        <w:pStyle w:val="ParNormal"/>
        <w:spacing w:before="0"/>
        <w:ind w:left="2268" w:firstLine="0"/>
        <w:contextualSpacing/>
      </w:pPr>
      <w:r w:rsidRPr="00987EBD">
        <w:t>4. a impressora do tíquete contendo os elementos objeto de medição deve ser instalada na portaria das unidades, preferencialmente, no mesmo local de emissão das notas fiscais;</w:t>
      </w:r>
    </w:p>
    <w:p w14:paraId="078F690A" w14:textId="77777777" w:rsidR="00E41EFD" w:rsidRPr="00987EBD" w:rsidRDefault="00E41EFD" w:rsidP="00093ED0">
      <w:pPr>
        <w:pStyle w:val="ParNormal"/>
        <w:spacing w:before="0"/>
        <w:ind w:left="2268" w:firstLine="0"/>
        <w:contextualSpacing/>
      </w:pPr>
      <w:r w:rsidRPr="00987EBD">
        <w:t>5. o equipamento deve conter lacres, fornecidos pela Secretaria da Fazenda, no medidor, na interface e na instalação elétrica;</w:t>
      </w:r>
    </w:p>
    <w:p w14:paraId="23BD4F32" w14:textId="77777777" w:rsidR="00E41EFD" w:rsidRPr="00987EBD" w:rsidRDefault="00E41EFD" w:rsidP="00093ED0">
      <w:pPr>
        <w:pStyle w:val="ParNormal"/>
        <w:spacing w:before="0"/>
        <w:ind w:left="2268" w:firstLine="0"/>
        <w:contextualSpacing/>
      </w:pPr>
      <w:r w:rsidRPr="00987EBD">
        <w:t>d) a apropriação do crédito outorgado pelo contribuinte deve ocorrer no mês de início de utilização do equipamento, mediante despacho autorizativo do titular da delegacia fiscal a que estiver circunscrito, após vistoria a ser realizada por servidor fazendário, que deve manifestar-se sobre o atendimento dos requisitos previstos neste decreto e sobre as condições de uso do equipamento;</w:t>
      </w:r>
    </w:p>
    <w:p w14:paraId="3093EB3C" w14:textId="77777777" w:rsidR="00E41EFD" w:rsidRPr="00987EBD" w:rsidRDefault="00E41EFD" w:rsidP="00093ED0">
      <w:pPr>
        <w:pStyle w:val="ParNormal"/>
        <w:spacing w:before="0"/>
        <w:ind w:left="2268" w:firstLine="0"/>
        <w:contextualSpacing/>
      </w:pPr>
      <w:r w:rsidRPr="00987EBD">
        <w:t>e) a utilização do crédito outorgado:</w:t>
      </w:r>
    </w:p>
    <w:p w14:paraId="35B42DDF" w14:textId="77777777" w:rsidR="00E41EFD" w:rsidRPr="00987EBD" w:rsidRDefault="00E41EFD" w:rsidP="00093ED0">
      <w:pPr>
        <w:pStyle w:val="ParNormal"/>
        <w:spacing w:before="0"/>
        <w:ind w:left="2268" w:firstLine="0"/>
        <w:contextualSpacing/>
      </w:pPr>
      <w:r w:rsidRPr="00987EBD">
        <w:t>1. não prejudica o aproveitamento do crédito normal do ICMS destacado em documento fiscal e pode ser cumulado com outro benefício fiscal, quando for o caso;</w:t>
      </w:r>
    </w:p>
    <w:p w14:paraId="5C508C04" w14:textId="77777777" w:rsidR="00E41EFD" w:rsidRPr="00987EBD" w:rsidRDefault="00E41EFD" w:rsidP="00093ED0">
      <w:pPr>
        <w:pStyle w:val="ParNormal"/>
        <w:spacing w:before="0"/>
        <w:ind w:left="2268" w:firstLine="0"/>
        <w:contextualSpacing/>
      </w:pPr>
      <w:r w:rsidRPr="00987EBD">
        <w:t>2. é permitida em relação ao equipamento, cuja utilização efetiva tenha ocorrido a partir de 1º de janeiro de 1999, desde que o benefício seja requerido até 31 de janeiro de 2000;</w:t>
      </w:r>
    </w:p>
    <w:p w14:paraId="191864A6" w14:textId="77777777" w:rsidR="00E41EFD" w:rsidRPr="00987EBD" w:rsidRDefault="00E41EFD" w:rsidP="00093ED0">
      <w:pPr>
        <w:pStyle w:val="ParNormal"/>
        <w:spacing w:before="0"/>
        <w:ind w:left="2268" w:firstLine="0"/>
        <w:contextualSpacing/>
      </w:pPr>
      <w:bookmarkStart w:id="145" w:name="A11XIVf"/>
      <w:r w:rsidRPr="00987EBD">
        <w:t>f) o benefício alcança a aquisição de equipamento efetuada mediante a sistemática de arrendamento mercantil (leasing);</w:t>
      </w:r>
      <w:bookmarkEnd w:id="145"/>
    </w:p>
    <w:p w14:paraId="57D9FD0F" w14:textId="77777777" w:rsidR="00E41EFD" w:rsidRPr="00987EBD" w:rsidRDefault="00E41EFD" w:rsidP="00093ED0">
      <w:pPr>
        <w:pStyle w:val="ParNormal"/>
        <w:spacing w:before="0"/>
        <w:ind w:left="2268" w:firstLine="0"/>
        <w:contextualSpacing/>
      </w:pPr>
      <w:r w:rsidRPr="00987EBD">
        <w:t>g) o contribuinte que cessar o uso do equipamento, em prazo inferior a 2 (dois) anos, a contar do início de sua efetiva utilização, deve estornar o crédito outorgado, integralmente, no mesmo período de apuração em que ocorrer a cessação de uso, exceto por motivo de:</w:t>
      </w:r>
    </w:p>
    <w:p w14:paraId="60CE1099" w14:textId="77777777" w:rsidR="00E41EFD" w:rsidRPr="00987EBD" w:rsidRDefault="00E41EFD" w:rsidP="00093ED0">
      <w:pPr>
        <w:pStyle w:val="ParNormal"/>
        <w:spacing w:before="0"/>
        <w:ind w:left="2268" w:firstLine="0"/>
        <w:contextualSpacing/>
      </w:pPr>
      <w:r w:rsidRPr="00987EBD">
        <w:t>1. transferência do equipamento a outro estabelecimento da mesma empresa, situado neste Estado;</w:t>
      </w:r>
    </w:p>
    <w:p w14:paraId="5C5FA9DA" w14:textId="77777777" w:rsidR="00E41EFD" w:rsidRPr="00987EBD" w:rsidRDefault="00E41EFD" w:rsidP="00093ED0">
      <w:pPr>
        <w:pStyle w:val="ParNormal"/>
        <w:spacing w:before="0"/>
        <w:ind w:left="2268" w:firstLine="0"/>
        <w:contextualSpacing/>
      </w:pPr>
      <w:r w:rsidRPr="00987EBD">
        <w:t>2. mudança de titularidade do estabelecimento, desde que haja a continuidade da atividade de fabricante ou revendedor de combustível, em razão de fusão, cisão ou incorporação da empresa, ou ainda, de venda do estabelecimento ou do fundo de comércio;</w:t>
      </w:r>
    </w:p>
    <w:p w14:paraId="5D03FC17" w14:textId="77777777" w:rsidR="00E41EFD" w:rsidRPr="00987EBD" w:rsidRDefault="00E41EFD" w:rsidP="00093ED0">
      <w:pPr>
        <w:pStyle w:val="ParNormal"/>
        <w:spacing w:before="0"/>
        <w:ind w:left="2268" w:firstLine="0"/>
        <w:contextualSpacing/>
      </w:pPr>
      <w:r w:rsidRPr="00987EBD">
        <w:t>h) considera-se cessação de uso do equipamento, a sua não-utilização contínua por qualquer motivo, seja este roubo, furto, extravio, avaria, destruição ou outros, por prazo superior a 10 (dez) dias, independentemente da comunicação do fato ao fisco, ressalvado o disposto na alínea “l”;</w:t>
      </w:r>
    </w:p>
    <w:p w14:paraId="7CEAEDC5" w14:textId="77777777" w:rsidR="00E41EFD" w:rsidRPr="00987EBD" w:rsidRDefault="00E41EFD" w:rsidP="00093ED0">
      <w:pPr>
        <w:pStyle w:val="ParNormal"/>
        <w:spacing w:before="0"/>
        <w:ind w:left="2268" w:firstLine="0"/>
        <w:contextualSpacing/>
      </w:pPr>
      <w:r w:rsidRPr="00987EBD">
        <w:t>i) na hipótese de avaria em que o dano causado ao equipamento não possa ser reparado no prazo de 10 (dez) dias, esse poderá ser dilatado, pelo titular da delegacia a que estiver vinculado o usuário, mediante a apresentação de motivo que o justifique;</w:t>
      </w:r>
    </w:p>
    <w:p w14:paraId="5BB0A297" w14:textId="77777777" w:rsidR="00E41EFD" w:rsidRPr="00987EBD" w:rsidRDefault="00E41EFD" w:rsidP="00093ED0">
      <w:pPr>
        <w:pStyle w:val="ParNormal"/>
        <w:spacing w:before="0"/>
        <w:ind w:left="2268" w:firstLine="0"/>
        <w:contextualSpacing/>
      </w:pPr>
      <w:r w:rsidRPr="00987EBD">
        <w:t>j) constitui, também, motivo para o estorno integral do crédito outorgado:</w:t>
      </w:r>
    </w:p>
    <w:p w14:paraId="225A56CB" w14:textId="77777777" w:rsidR="00E41EFD" w:rsidRPr="00987EBD" w:rsidRDefault="00E41EFD" w:rsidP="00093ED0">
      <w:pPr>
        <w:pStyle w:val="ParNormal"/>
        <w:spacing w:before="0"/>
        <w:ind w:left="2268" w:firstLine="0"/>
        <w:contextualSpacing/>
      </w:pPr>
      <w:bookmarkStart w:id="146" w:name="A11XIVj1"/>
      <w:r w:rsidRPr="00987EBD">
        <w:t>1. a devolução do equipamento ao arrendante, quando a aquisição do equipamento tenha sido feita por meio de arrendamento mercantil;</w:t>
      </w:r>
      <w:bookmarkEnd w:id="146"/>
    </w:p>
    <w:p w14:paraId="7EC07EB6" w14:textId="77777777" w:rsidR="00E41EFD" w:rsidRPr="00987EBD" w:rsidRDefault="00E41EFD" w:rsidP="00093ED0">
      <w:pPr>
        <w:pStyle w:val="ParNormal"/>
        <w:spacing w:before="0"/>
        <w:ind w:left="2268" w:firstLine="0"/>
        <w:contextualSpacing/>
      </w:pPr>
      <w:r w:rsidRPr="00987EBD">
        <w:t>2. a utilização do equipamento em desacordo com a legislação tributária;</w:t>
      </w:r>
    </w:p>
    <w:p w14:paraId="39CA0B92" w14:textId="77777777" w:rsidR="00E41EFD" w:rsidRPr="00987EBD" w:rsidRDefault="00E41EFD" w:rsidP="00093ED0">
      <w:pPr>
        <w:pStyle w:val="ParNormal"/>
        <w:spacing w:before="0"/>
        <w:ind w:left="2268" w:firstLine="0"/>
        <w:contextualSpacing/>
      </w:pPr>
      <w:r w:rsidRPr="00987EBD">
        <w:t xml:space="preserve">l) não constitui motivo para estorno integral do crédito outorgado a não-utilização contínua pelo motivo da cessação temporária de uso do </w:t>
      </w:r>
      <w:r w:rsidRPr="00987EBD">
        <w:lastRenderedPageBreak/>
        <w:t>equipamento, decorrente do término do estoque periódico da produção do combustível.</w:t>
      </w:r>
    </w:p>
    <w:p w14:paraId="172AB8D5" w14:textId="4EE04F34" w:rsidR="00E41EFD" w:rsidRPr="00987EBD" w:rsidRDefault="00E41EFD" w:rsidP="00093ED0">
      <w:pPr>
        <w:pStyle w:val="ParNormal"/>
        <w:spacing w:before="0"/>
        <w:ind w:left="2268" w:firstLine="0"/>
        <w:contextualSpacing/>
        <w:rPr>
          <w:b/>
        </w:rPr>
      </w:pPr>
      <w:bookmarkStart w:id="147" w:name="a11XV"/>
      <w:r w:rsidRPr="00987EBD">
        <w:rPr>
          <w:b/>
        </w:rPr>
        <w:t xml:space="preserve">XV  - para o estabelecimento frigorífico ou abatedor, na saída para comercialização ou industrialização, de carne fresca, resfriada, congelada, salgada, temperada ou salmourada e miúdo comestível resultantes do abate, em seu próprio estabelecimento, de animal silvestre e exótico reproduzido, com o fim de industrialização ou comercialização, em criatório estabelecido no Estado de Goiás devidamente autorizado pelos órgãos estaduais e federais competentes, o equivalente à aplicação de 9% (nove por cento), sobre o valor da respectiva base de cálculo, observado, ainda, o seguinte (Lei nº </w:t>
      </w:r>
      <w:r w:rsidRPr="00E615D7">
        <w:rPr>
          <w:b/>
        </w:rPr>
        <w:t>13.453/99</w:t>
      </w:r>
      <w:r w:rsidRPr="00987EBD">
        <w:rPr>
          <w:b/>
        </w:rPr>
        <w:t xml:space="preserve">, </w:t>
      </w:r>
      <w:r w:rsidRPr="00E615D7">
        <w:rPr>
          <w:b/>
        </w:rPr>
        <w:t>art. 1º,</w:t>
      </w:r>
      <w:r w:rsidRPr="00987EBD">
        <w:rPr>
          <w:b/>
        </w:rPr>
        <w:t xml:space="preserve"> I, “c”, 2):</w:t>
      </w:r>
    </w:p>
    <w:bookmarkEnd w:id="147"/>
    <w:p w14:paraId="5D018038" w14:textId="77777777" w:rsidR="00E41EFD" w:rsidRPr="00987EBD" w:rsidRDefault="00E41EFD" w:rsidP="00093ED0">
      <w:pPr>
        <w:pStyle w:val="ParNormal"/>
        <w:spacing w:before="0"/>
        <w:ind w:left="2268" w:firstLine="0"/>
        <w:contextualSpacing/>
      </w:pPr>
      <w:r w:rsidRPr="00987EBD">
        <w:t>a)   revogada;</w:t>
      </w:r>
    </w:p>
    <w:p w14:paraId="1DA0D111" w14:textId="77777777" w:rsidR="00E41EFD" w:rsidRPr="00987EBD" w:rsidRDefault="00E41EFD" w:rsidP="00093ED0">
      <w:pPr>
        <w:pStyle w:val="ParNormal"/>
        <w:spacing w:before="0"/>
        <w:ind w:left="2268" w:firstLine="0"/>
        <w:contextualSpacing/>
      </w:pPr>
      <w:r w:rsidRPr="00987EBD">
        <w:t>b)  o crédito outorgado aplica-se inclusive ao produtor do animal que promover o abate em seu estabelecimento ou encomendar o abate, por sua conta e ordem, ao estabelecimento frigorífico ou abatedor;</w:t>
      </w:r>
    </w:p>
    <w:p w14:paraId="3D814228" w14:textId="77777777" w:rsidR="00E41EFD" w:rsidRPr="00987EBD" w:rsidRDefault="00E41EFD" w:rsidP="00093ED0">
      <w:pPr>
        <w:pStyle w:val="ParNormal"/>
        <w:spacing w:before="0"/>
        <w:ind w:left="2268" w:firstLine="0"/>
        <w:contextualSpacing/>
      </w:pPr>
      <w:r w:rsidRPr="00987EBD">
        <w:t>c) no abate por conta e ordem de terceiro em estabelecimento frigorífico ou abatedor ocorre a aplicação do benefício:</w:t>
      </w:r>
    </w:p>
    <w:p w14:paraId="22D3CF3A" w14:textId="77777777" w:rsidR="00E41EFD" w:rsidRPr="00987EBD" w:rsidRDefault="00E41EFD" w:rsidP="00093ED0">
      <w:pPr>
        <w:pStyle w:val="ParNormal"/>
        <w:spacing w:before="0"/>
        <w:ind w:left="2268" w:firstLine="0"/>
        <w:contextualSpacing/>
      </w:pPr>
      <w:r w:rsidRPr="00987EBD">
        <w:t>1.  pelo estabelecimento frigorífico ou abatedor, na saída dos produtos comestíveis resultantes do abate e apenas sobre o valor agregado cobrado do terceiro encomendante;</w:t>
      </w:r>
    </w:p>
    <w:p w14:paraId="32C19D9E" w14:textId="77777777" w:rsidR="00E41EFD" w:rsidRPr="00987EBD" w:rsidRDefault="00E41EFD" w:rsidP="00093ED0">
      <w:pPr>
        <w:pStyle w:val="ParNormal"/>
        <w:spacing w:before="0"/>
        <w:ind w:left="2268" w:firstLine="0"/>
        <w:contextualSpacing/>
      </w:pPr>
      <w:r w:rsidRPr="00987EBD">
        <w:t>2. pelo terceiro encomendante, sobre o valor da base de cálculo da saída dos produtos comestíveis promovida pelo mesmo;</w:t>
      </w:r>
    </w:p>
    <w:p w14:paraId="48C87D0E" w14:textId="77777777" w:rsidR="00E41EFD" w:rsidRPr="00987EBD" w:rsidRDefault="00E41EFD" w:rsidP="00093ED0">
      <w:pPr>
        <w:pStyle w:val="ParNormal"/>
        <w:spacing w:before="0"/>
        <w:ind w:left="2268" w:firstLine="0"/>
        <w:contextualSpacing/>
      </w:pPr>
      <w:r w:rsidRPr="00987EBD">
        <w:t>d)  a autorização mencionada pode ser expedida apenas por um dos órgão citados neste inciso, quando a legislação específica assim determinar;</w:t>
      </w:r>
    </w:p>
    <w:p w14:paraId="4E7266F0" w14:textId="77777777" w:rsidR="00E41EFD" w:rsidRPr="00987EBD" w:rsidRDefault="00E41EFD" w:rsidP="00093ED0">
      <w:pPr>
        <w:pStyle w:val="ParNormal"/>
        <w:spacing w:before="0"/>
        <w:ind w:left="2268" w:firstLine="0"/>
        <w:contextualSpacing/>
      </w:pPr>
      <w:r w:rsidRPr="00987EBD">
        <w:t>e) o benefício não alcança a operação:</w:t>
      </w:r>
    </w:p>
    <w:p w14:paraId="15E3F1C3" w14:textId="77777777" w:rsidR="00E41EFD" w:rsidRPr="00987EBD" w:rsidRDefault="00E41EFD" w:rsidP="00093ED0">
      <w:pPr>
        <w:pStyle w:val="ParNormal"/>
        <w:spacing w:before="0"/>
        <w:ind w:left="2268" w:firstLine="0"/>
        <w:contextualSpacing/>
      </w:pPr>
      <w:r w:rsidRPr="00987EBD">
        <w:t>1. revogado;</w:t>
      </w:r>
    </w:p>
    <w:p w14:paraId="64BE80E2" w14:textId="77777777" w:rsidR="00E41EFD" w:rsidRPr="00987EBD" w:rsidRDefault="00E41EFD" w:rsidP="00093ED0">
      <w:pPr>
        <w:pStyle w:val="ParNormal"/>
        <w:spacing w:before="0"/>
        <w:ind w:left="2268" w:firstLine="0"/>
        <w:contextualSpacing/>
      </w:pPr>
      <w:r w:rsidRPr="00987EBD">
        <w:t>2. de saída em transferência, excetuada a transferência interestadual autorizada e realizada nos termos de regime especial para tal fim celebrado com a Secretaria da Fazenda;</w:t>
      </w:r>
    </w:p>
    <w:p w14:paraId="7B633D08" w14:textId="77777777" w:rsidR="00E41EFD" w:rsidRPr="00987EBD" w:rsidRDefault="00E41EFD" w:rsidP="00093ED0">
      <w:pPr>
        <w:pStyle w:val="ParNormal"/>
        <w:spacing w:before="0"/>
        <w:ind w:left="2268" w:firstLine="0"/>
        <w:contextualSpacing/>
        <w:rPr>
          <w:b/>
        </w:rPr>
      </w:pPr>
      <w:bookmarkStart w:id="148" w:name="A11XVI"/>
      <w:r w:rsidRPr="00987EBD">
        <w:rPr>
          <w:b/>
        </w:rPr>
        <w:t>XVI - revogado;</w:t>
      </w:r>
    </w:p>
    <w:p w14:paraId="2929616E" w14:textId="77777777" w:rsidR="00E41EFD" w:rsidRPr="00987EBD" w:rsidRDefault="00E41EFD" w:rsidP="00093ED0">
      <w:pPr>
        <w:pStyle w:val="ParNormal"/>
        <w:spacing w:before="0"/>
        <w:ind w:left="2268" w:firstLine="0"/>
        <w:contextualSpacing/>
        <w:rPr>
          <w:b/>
        </w:rPr>
      </w:pPr>
      <w:bookmarkStart w:id="149" w:name="A11XVII"/>
      <w:bookmarkEnd w:id="148"/>
      <w:r w:rsidRPr="00987EBD">
        <w:rPr>
          <w:b/>
        </w:rPr>
        <w:t>XVII - revogado;</w:t>
      </w:r>
    </w:p>
    <w:bookmarkEnd w:id="149"/>
    <w:p w14:paraId="338B86D0" w14:textId="77777777" w:rsidR="00E41EFD" w:rsidRPr="00987EBD" w:rsidRDefault="00E41EFD" w:rsidP="00093ED0">
      <w:pPr>
        <w:pStyle w:val="ParNormal"/>
        <w:spacing w:before="0"/>
        <w:ind w:left="2268" w:firstLine="0"/>
        <w:contextualSpacing/>
        <w:rPr>
          <w:lang w:eastAsia="pt-BR"/>
        </w:rPr>
      </w:pPr>
      <w:r w:rsidRPr="00987EBD">
        <w:rPr>
          <w:b/>
          <w:lang w:eastAsia="pt-BR"/>
        </w:rPr>
        <w:t>XVIII - para o estabelecimento remetente na operação interestadual com arroz industrializado no Estado de Goiás, o equivalente à aplicação de 7% (sete por cento) sobre o valor da base de cálculo, em substituição a quaisquer créditos, exceto o correspondente à aquisição do arroz, o qual fica limitado à 7% (sete por cento), observado o seguinte (Lei nº 13.453/99, art. 1º, I, “i”, 1)</w:t>
      </w:r>
      <w:r w:rsidRPr="00987EBD">
        <w:rPr>
          <w:lang w:eastAsia="pt-BR"/>
        </w:rPr>
        <w:t xml:space="preserve">: </w:t>
      </w:r>
    </w:p>
    <w:p w14:paraId="0ABFA8D7" w14:textId="77777777" w:rsidR="00E41EFD" w:rsidRPr="00987EBD" w:rsidRDefault="00E41EFD" w:rsidP="00093ED0">
      <w:pPr>
        <w:pStyle w:val="ParNormal"/>
        <w:spacing w:before="0"/>
        <w:ind w:left="2268" w:firstLine="0"/>
      </w:pPr>
      <w:r w:rsidRPr="00987EBD">
        <w:t>a) revogada;</w:t>
      </w:r>
    </w:p>
    <w:p w14:paraId="75BCFA52" w14:textId="77777777" w:rsidR="00E41EFD" w:rsidRPr="00987EBD" w:rsidRDefault="00E41EFD" w:rsidP="00093ED0">
      <w:pPr>
        <w:pStyle w:val="ParNormal"/>
        <w:spacing w:before="0"/>
        <w:ind w:left="2268" w:firstLine="0"/>
      </w:pPr>
      <w:r w:rsidRPr="00987EBD">
        <w:t>b) revogada;</w:t>
      </w:r>
    </w:p>
    <w:p w14:paraId="6DDC2129" w14:textId="77777777" w:rsidR="00E41EFD" w:rsidRPr="00987EBD" w:rsidRDefault="00E41EFD" w:rsidP="00093ED0">
      <w:pPr>
        <w:pStyle w:val="ParNormal"/>
        <w:spacing w:before="0"/>
        <w:ind w:left="2268" w:firstLine="0"/>
        <w:contextualSpacing/>
      </w:pPr>
      <w:r w:rsidRPr="00987EBD">
        <w:t xml:space="preserve">c)  para determinação do valor do benefício, considera-se o somatório dos valores da coluna BASE CÁLCULO do livro Registro de Saídas, correspondentes às operações interestaduais do período, que fazem jus ao crédito, e sobre esse somatório aplica-se o percentual de crédito outorgado previsto; </w:t>
      </w:r>
    </w:p>
    <w:p w14:paraId="30F10806" w14:textId="77777777" w:rsidR="00E41EFD" w:rsidRPr="00987EBD" w:rsidRDefault="00E41EFD" w:rsidP="00093ED0">
      <w:pPr>
        <w:pStyle w:val="ParNormal"/>
        <w:spacing w:before="0"/>
        <w:ind w:left="2268" w:firstLine="0"/>
        <w:contextualSpacing/>
      </w:pPr>
      <w:r w:rsidRPr="00987EBD">
        <w:t xml:space="preserve">d)  na hipótese da operação interestadual ser realizada por estabelecimento produtor rural que não adota o regime periódico de apuração do ICMS, a apropriação do crédito outorgado deve ser feita por intermédio do órgão fazendário, no momento da emissão da documentação correspondente à operação; </w:t>
      </w:r>
    </w:p>
    <w:p w14:paraId="29CD97D6" w14:textId="77777777" w:rsidR="00E41EFD" w:rsidRPr="00987EBD" w:rsidRDefault="00E41EFD" w:rsidP="00093ED0">
      <w:pPr>
        <w:pStyle w:val="ParNormal"/>
        <w:spacing w:before="0"/>
        <w:ind w:left="2268" w:firstLine="0"/>
        <w:contextualSpacing/>
      </w:pPr>
      <w:r w:rsidRPr="00987EBD">
        <w:t xml:space="preserve">e)   o benefício não alcança a operação: </w:t>
      </w:r>
    </w:p>
    <w:p w14:paraId="4F46B56C" w14:textId="77777777" w:rsidR="00E41EFD" w:rsidRPr="00987EBD" w:rsidRDefault="00E41EFD" w:rsidP="00093ED0">
      <w:pPr>
        <w:pStyle w:val="ParNormal"/>
        <w:spacing w:before="0"/>
        <w:ind w:left="2268" w:firstLine="0"/>
        <w:contextualSpacing/>
      </w:pPr>
      <w:r w:rsidRPr="00987EBD">
        <w:t>1.  revogada;</w:t>
      </w:r>
    </w:p>
    <w:p w14:paraId="66AAD16A" w14:textId="77777777" w:rsidR="00E41EFD" w:rsidRPr="00987EBD" w:rsidRDefault="00E41EFD" w:rsidP="00093ED0">
      <w:pPr>
        <w:pStyle w:val="ParNormal"/>
        <w:spacing w:before="0"/>
        <w:ind w:left="2268" w:firstLine="0"/>
        <w:contextualSpacing/>
      </w:pPr>
      <w:r w:rsidRPr="00987EBD">
        <w:lastRenderedPageBreak/>
        <w:t xml:space="preserve">2. de saída em transferência, excetuado o caso autorizado e realizado nos termos de regime especial para tal fim celebrado com a Secretaria da Fazenda; </w:t>
      </w:r>
    </w:p>
    <w:p w14:paraId="4230BFE7" w14:textId="77777777" w:rsidR="00E41EFD" w:rsidRPr="00987EBD" w:rsidRDefault="00E41EFD" w:rsidP="00093ED0">
      <w:pPr>
        <w:pStyle w:val="ParNormal"/>
        <w:spacing w:before="0"/>
        <w:ind w:left="2268" w:firstLine="0"/>
        <w:contextualSpacing/>
      </w:pPr>
      <w:r w:rsidRPr="00987EBD">
        <w:t>3. de saída de produto que tenha sido submetido, fora do Estado de Goiás, a qualquer processo de industrialização;</w:t>
      </w:r>
    </w:p>
    <w:p w14:paraId="633EC613" w14:textId="77777777" w:rsidR="00E41EFD" w:rsidRPr="00987EBD" w:rsidRDefault="00E41EFD" w:rsidP="00093ED0">
      <w:pPr>
        <w:pStyle w:val="ParNormal"/>
        <w:spacing w:before="0"/>
        <w:ind w:left="2268" w:firstLine="0"/>
        <w:contextualSpacing/>
      </w:pPr>
      <w:bookmarkStart w:id="150" w:name="A11XVIIIf"/>
      <w:r w:rsidRPr="00987EBD">
        <w:t>f)  no valor do crédito correspondente à aquisição do arroz, inclui-se o valor do imposto referente ao serviço de transporte respectivo.</w:t>
      </w:r>
      <w:bookmarkEnd w:id="150"/>
    </w:p>
    <w:p w14:paraId="7A41B9D7" w14:textId="77777777" w:rsidR="00E41EFD" w:rsidRPr="00987EBD" w:rsidRDefault="00E41EFD" w:rsidP="00093ED0">
      <w:pPr>
        <w:pStyle w:val="ParNormal"/>
        <w:spacing w:before="0"/>
        <w:ind w:left="2268" w:firstLine="0"/>
        <w:contextualSpacing/>
      </w:pPr>
      <w:bookmarkStart w:id="151" w:name="A11XIX"/>
      <w:r w:rsidRPr="00987EBD">
        <w:rPr>
          <w:b/>
        </w:rPr>
        <w:t xml:space="preserve">XIX - para o estabelecimento remetente na saída interestadual com areia natural, saibro, material britado, dentre este a brita, o pedrisco com pó, o rachão britado e a pedra marroada, o equivalente a aplicação de 5% (cinco por cento) sobre o valor da base de cálculo, observado o seguinte (Lei </w:t>
      </w:r>
      <w:r w:rsidRPr="00987EBD">
        <w:rPr>
          <w:b/>
          <w:spacing w:val="8"/>
        </w:rPr>
        <w:t xml:space="preserve">nº 13.194/97, </w:t>
      </w:r>
      <w:r w:rsidRPr="00987EBD">
        <w:rPr>
          <w:b/>
        </w:rPr>
        <w:t>art. 2º, II, “g”</w:t>
      </w:r>
      <w:r w:rsidRPr="00987EBD">
        <w:rPr>
          <w:b/>
          <w:spacing w:val="8"/>
        </w:rPr>
        <w:t>)</w:t>
      </w:r>
      <w:r w:rsidRPr="00987EBD">
        <w:t>:</w:t>
      </w:r>
    </w:p>
    <w:bookmarkEnd w:id="151"/>
    <w:p w14:paraId="46835F5F" w14:textId="77777777" w:rsidR="00E41EFD" w:rsidRPr="00987EBD" w:rsidRDefault="00E41EFD" w:rsidP="00093ED0">
      <w:pPr>
        <w:pStyle w:val="ParNormal"/>
        <w:spacing w:before="0"/>
        <w:ind w:left="2268" w:firstLine="0"/>
        <w:contextualSpacing/>
      </w:pPr>
      <w:r w:rsidRPr="00987EBD">
        <w:t>a) é vedado o aproveitamento de quaisquer créditos do ICMS relativos à entrada e ao serviço utilizado;</w:t>
      </w:r>
    </w:p>
    <w:p w14:paraId="38EE9980" w14:textId="77777777" w:rsidR="00E41EFD" w:rsidRPr="00987EBD" w:rsidRDefault="00E41EFD" w:rsidP="00093ED0">
      <w:pPr>
        <w:pStyle w:val="ParNormal"/>
        <w:spacing w:before="0"/>
        <w:ind w:left="2268" w:firstLine="0"/>
        <w:contextualSpacing/>
      </w:pPr>
      <w:r w:rsidRPr="00987EBD">
        <w:t>b) revogada;</w:t>
      </w:r>
    </w:p>
    <w:p w14:paraId="3483A31C" w14:textId="77777777" w:rsidR="00E41EFD" w:rsidRPr="00987EBD" w:rsidRDefault="00E41EFD" w:rsidP="00093ED0">
      <w:pPr>
        <w:pStyle w:val="ParNormal"/>
        <w:spacing w:before="0"/>
        <w:ind w:left="2268" w:firstLine="0"/>
        <w:contextualSpacing/>
      </w:pPr>
      <w:r w:rsidRPr="00987EBD">
        <w:t>c) revogada;</w:t>
      </w:r>
    </w:p>
    <w:p w14:paraId="39153A52" w14:textId="77777777" w:rsidR="00E41EFD" w:rsidRPr="00987EBD" w:rsidRDefault="00E41EFD" w:rsidP="00093ED0">
      <w:pPr>
        <w:pStyle w:val="ParNormal"/>
        <w:spacing w:before="0"/>
        <w:ind w:left="2268" w:firstLine="0"/>
        <w:contextualSpacing/>
      </w:pPr>
      <w:r w:rsidRPr="00987EBD">
        <w:t>d) para determinação do valor do benefício, considera-se o somatório dos valores da coluna BASE CÁLCULO do livro Registro de Saídas, correspondentes às operações interestaduais do período, que fazem jus ao crédito, e sobre esse somatório aplica-se o percentual de crédito outorgado previsto;</w:t>
      </w:r>
    </w:p>
    <w:p w14:paraId="7E6B2AC3" w14:textId="77777777" w:rsidR="00E41EFD" w:rsidRPr="00987EBD" w:rsidRDefault="00E41EFD" w:rsidP="00093ED0">
      <w:pPr>
        <w:pStyle w:val="ParNormal"/>
        <w:spacing w:before="0"/>
        <w:ind w:left="2268" w:firstLine="0"/>
        <w:contextualSpacing/>
      </w:pPr>
      <w:r w:rsidRPr="00987EBD">
        <w:t>e) na hipótese da operação interestadual ser realizada por estabelecimento extrator que não adota o regime periódico de apuração do ICMS, a apropriação do crédito outorgado deve ser feita por intermédio do órgão fazendário, no momento da emissão da documentação correspondente à operação;</w:t>
      </w:r>
    </w:p>
    <w:p w14:paraId="705465E9" w14:textId="77777777" w:rsidR="00E41EFD" w:rsidRPr="00987EBD" w:rsidRDefault="00E41EFD" w:rsidP="00093ED0">
      <w:pPr>
        <w:pStyle w:val="ParNormal"/>
        <w:spacing w:before="0"/>
        <w:ind w:left="2268" w:firstLine="0"/>
        <w:contextualSpacing/>
      </w:pPr>
      <w:r w:rsidRPr="00987EBD">
        <w:t>f)   o benefício não alcança a operação:</w:t>
      </w:r>
    </w:p>
    <w:p w14:paraId="70D68B36" w14:textId="77777777" w:rsidR="00E41EFD" w:rsidRPr="00987EBD" w:rsidRDefault="00E41EFD" w:rsidP="00093ED0">
      <w:pPr>
        <w:pStyle w:val="ParNormal"/>
        <w:spacing w:before="0"/>
        <w:ind w:left="2268" w:firstLine="0"/>
        <w:contextualSpacing/>
      </w:pPr>
      <w:r w:rsidRPr="00987EBD">
        <w:t>1.   revogada;</w:t>
      </w:r>
    </w:p>
    <w:p w14:paraId="71A78249" w14:textId="77777777" w:rsidR="00E41EFD" w:rsidRPr="00987EBD" w:rsidRDefault="00E41EFD" w:rsidP="00093ED0">
      <w:pPr>
        <w:pStyle w:val="ParNormal"/>
        <w:spacing w:before="0"/>
        <w:ind w:left="2268" w:firstLine="0"/>
        <w:contextualSpacing/>
      </w:pPr>
      <w:r w:rsidRPr="00987EBD">
        <w:t>2.  de saída em transferência, excetuado o caso autorizado     e realizado nos termos de regime especial para tal fim celebrado com a Secretaria da Fazenda.</w:t>
      </w:r>
    </w:p>
    <w:p w14:paraId="423E2B79" w14:textId="77777777" w:rsidR="00E41EFD" w:rsidRPr="00987EBD" w:rsidRDefault="00E41EFD" w:rsidP="00093ED0">
      <w:pPr>
        <w:pStyle w:val="ParNormal"/>
        <w:spacing w:before="0"/>
        <w:ind w:left="2268" w:firstLine="0"/>
        <w:contextualSpacing/>
        <w:rPr>
          <w:b/>
        </w:rPr>
      </w:pPr>
      <w:r w:rsidRPr="00987EBD">
        <w:rPr>
          <w:b/>
        </w:rPr>
        <w:t>XX - revogado;</w:t>
      </w:r>
    </w:p>
    <w:p w14:paraId="66168BA9" w14:textId="77777777" w:rsidR="00E41EFD" w:rsidRPr="00987EBD" w:rsidRDefault="00E41EFD" w:rsidP="00093ED0">
      <w:pPr>
        <w:pStyle w:val="ParNormal"/>
        <w:spacing w:before="0"/>
        <w:ind w:left="2268" w:firstLine="0"/>
        <w:contextualSpacing/>
        <w:rPr>
          <w:rFonts w:cs="Arial"/>
          <w:b/>
          <w:szCs w:val="22"/>
        </w:rPr>
      </w:pPr>
      <w:bookmarkStart w:id="152" w:name="a11xxi"/>
      <w:r w:rsidRPr="00987EBD">
        <w:rPr>
          <w:rFonts w:cs="Arial"/>
          <w:b/>
          <w:szCs w:val="22"/>
        </w:rPr>
        <w:t>XXI - revogado.</w:t>
      </w:r>
      <w:bookmarkEnd w:id="152"/>
    </w:p>
    <w:p w14:paraId="09F8AFE9" w14:textId="77777777" w:rsidR="00E41EFD" w:rsidRPr="00987EBD" w:rsidRDefault="00E41EFD" w:rsidP="00093ED0">
      <w:pPr>
        <w:pStyle w:val="ParNormal"/>
        <w:spacing w:before="0"/>
        <w:ind w:left="2268" w:firstLine="0"/>
        <w:contextualSpacing/>
        <w:rPr>
          <w:rFonts w:cs="Arial"/>
          <w:b/>
          <w:szCs w:val="22"/>
          <w:shd w:val="clear" w:color="auto" w:fill="FFFFFF"/>
        </w:rPr>
      </w:pPr>
      <w:r w:rsidRPr="00987EBD">
        <w:rPr>
          <w:rFonts w:cs="Arial"/>
          <w:b/>
          <w:szCs w:val="22"/>
          <w:shd w:val="clear" w:color="auto" w:fill="FFFFFF"/>
        </w:rPr>
        <w:t>XXII - revogado;</w:t>
      </w:r>
    </w:p>
    <w:p w14:paraId="24812522" w14:textId="77777777" w:rsidR="00E41EFD" w:rsidRPr="00987EBD" w:rsidRDefault="00E41EFD" w:rsidP="00093ED0">
      <w:pPr>
        <w:pStyle w:val="ParNormal"/>
        <w:spacing w:before="0"/>
        <w:ind w:left="2268" w:firstLine="0"/>
        <w:rPr>
          <w:rFonts w:cs="Arial"/>
          <w:szCs w:val="22"/>
        </w:rPr>
      </w:pPr>
      <w:bookmarkStart w:id="153" w:name="A11XXIII"/>
      <w:r w:rsidRPr="00987EBD">
        <w:rPr>
          <w:rFonts w:cs="Arial"/>
          <w:b/>
          <w:szCs w:val="22"/>
        </w:rPr>
        <w:t xml:space="preserve">XXIII </w:t>
      </w:r>
      <w:bookmarkEnd w:id="153"/>
      <w:r w:rsidRPr="00987EBD">
        <w:rPr>
          <w:rFonts w:cs="Arial"/>
          <w:b/>
          <w:szCs w:val="22"/>
        </w:rPr>
        <w:t> - para o comerciante atacadista de medicamento, equivalente à aplicação de 4% (quatro por cento) sobre o valor da correspondente base de cálculo na saída interestadual com medicamento de uso humano destinado a comercialização, produção ou industrialização, mantido o sistema normal de compensação do imposto, observado o seguinte (Lei nº 13.194/97, art. 2º, II, “j”)</w:t>
      </w:r>
      <w:r w:rsidRPr="00987EBD">
        <w:rPr>
          <w:rFonts w:cs="Arial"/>
          <w:szCs w:val="22"/>
        </w:rPr>
        <w:t>:</w:t>
      </w:r>
    </w:p>
    <w:p w14:paraId="097A58A1" w14:textId="77777777" w:rsidR="00E41EFD" w:rsidRPr="00987EBD" w:rsidRDefault="00E41EFD" w:rsidP="00093ED0">
      <w:pPr>
        <w:pStyle w:val="ParNormal"/>
        <w:spacing w:before="0"/>
        <w:ind w:left="2268" w:firstLine="0"/>
        <w:rPr>
          <w:rFonts w:cs="Arial"/>
          <w:szCs w:val="22"/>
        </w:rPr>
      </w:pPr>
      <w:r w:rsidRPr="00987EBD">
        <w:rPr>
          <w:rFonts w:cs="Arial"/>
          <w:color w:val="000000"/>
          <w:szCs w:val="22"/>
        </w:rPr>
        <w:t>a)</w:t>
      </w:r>
      <w:r w:rsidRPr="00987EBD">
        <w:rPr>
          <w:rFonts w:cs="Arial"/>
          <w:color w:val="000000"/>
          <w:szCs w:val="22"/>
          <w:shd w:val="clear" w:color="auto" w:fill="FFFFFF"/>
        </w:rPr>
        <w:t xml:space="preserve"> o benefício somente se aplica ao contribuinte que:</w:t>
      </w:r>
    </w:p>
    <w:p w14:paraId="35A6D2B5" w14:textId="77777777" w:rsidR="00E41EFD" w:rsidRPr="00987EBD" w:rsidRDefault="00E41EFD" w:rsidP="00093ED0">
      <w:pPr>
        <w:pStyle w:val="ParNormal"/>
        <w:spacing w:before="0"/>
        <w:ind w:left="2268" w:firstLine="0"/>
      </w:pPr>
      <w:bookmarkStart w:id="154" w:name="A11XXIIIA1"/>
      <w:r w:rsidRPr="00987EBD">
        <w:t xml:space="preserve">1. </w:t>
      </w:r>
      <w:bookmarkEnd w:id="154"/>
      <w:r w:rsidRPr="00987EBD">
        <w:t>revogado;</w:t>
      </w:r>
    </w:p>
    <w:p w14:paraId="5BEE48C3" w14:textId="77777777" w:rsidR="00E41EFD" w:rsidRPr="00987EBD" w:rsidRDefault="00E41EFD" w:rsidP="00093ED0">
      <w:pPr>
        <w:pStyle w:val="ParNormal"/>
        <w:spacing w:before="0"/>
        <w:ind w:left="2268" w:firstLine="0"/>
      </w:pPr>
      <w:bookmarkStart w:id="155" w:name="A11XXIIIA2"/>
      <w:r w:rsidRPr="00987EBD">
        <w:t xml:space="preserve">2. </w:t>
      </w:r>
      <w:bookmarkEnd w:id="155"/>
      <w:r w:rsidRPr="00987EBD">
        <w:t>revogado;</w:t>
      </w:r>
    </w:p>
    <w:p w14:paraId="5F6A46F7" w14:textId="77777777" w:rsidR="00E41EFD" w:rsidRPr="00987EBD" w:rsidRDefault="00E41EFD" w:rsidP="00093ED0">
      <w:pPr>
        <w:pStyle w:val="ParNormal"/>
        <w:spacing w:before="0"/>
        <w:ind w:left="2268" w:firstLine="0"/>
        <w:contextualSpacing/>
      </w:pPr>
      <w:r w:rsidRPr="00987EBD">
        <w:t>b) o contribuinte deve celebrar termo de acordo de regime especial com a Secretaria da Fazenda de Goiás, para tal fim, no qual:</w:t>
      </w:r>
    </w:p>
    <w:p w14:paraId="0B3161AD" w14:textId="77777777" w:rsidR="00E41EFD" w:rsidRPr="00987EBD" w:rsidRDefault="00E41EFD" w:rsidP="00093ED0">
      <w:pPr>
        <w:pStyle w:val="ParNormal"/>
        <w:spacing w:before="0"/>
        <w:ind w:left="2268" w:firstLine="0"/>
        <w:contextualSpacing/>
      </w:pPr>
      <w:r w:rsidRPr="00987EBD">
        <w:t>1. deve ser consignado o prazo de fruição do benefício;</w:t>
      </w:r>
    </w:p>
    <w:p w14:paraId="007CEB90" w14:textId="77777777" w:rsidR="00E41EFD" w:rsidRPr="00987EBD" w:rsidRDefault="00E41EFD" w:rsidP="00093ED0">
      <w:pPr>
        <w:pStyle w:val="ParNormal"/>
        <w:spacing w:before="0"/>
        <w:ind w:left="2268" w:firstLine="0"/>
        <w:contextualSpacing/>
      </w:pPr>
      <w:r w:rsidRPr="00987EBD">
        <w:t>2. podem ser estabelecidas outras condições a serem atendidas pelo contribuinte;</w:t>
      </w:r>
    </w:p>
    <w:p w14:paraId="5365B240" w14:textId="77777777" w:rsidR="00E41EFD" w:rsidRPr="00987EBD" w:rsidRDefault="00E41EFD" w:rsidP="00093ED0">
      <w:pPr>
        <w:pStyle w:val="ParNormal"/>
        <w:spacing w:before="0"/>
        <w:ind w:left="2268" w:firstLine="0"/>
        <w:contextualSpacing/>
      </w:pPr>
      <w:r w:rsidRPr="00987EBD">
        <w:t>c) para fazer jus ao benefício o contribuinte deve, ainda, apresentar crescimento efetivo no valor da arrecadação mensal do ICMS devido por obrigação própria do estabelecimento remetente de, no mínimo:</w:t>
      </w:r>
    </w:p>
    <w:p w14:paraId="7F743144" w14:textId="77777777" w:rsidR="00E41EFD" w:rsidRPr="00987EBD" w:rsidRDefault="00E41EFD" w:rsidP="00093ED0">
      <w:pPr>
        <w:pStyle w:val="ParNormal"/>
        <w:spacing w:before="0"/>
        <w:ind w:left="2268" w:firstLine="0"/>
        <w:contextualSpacing/>
      </w:pPr>
      <w:r w:rsidRPr="00987EBD">
        <w:lastRenderedPageBreak/>
        <w:t>1. 50% (cinqüenta por cento), em relação à média aritmética aferida em período correspondente ao da fruição, de exercício anterior à celebração do regime especial, caso tenha iniciado suas atividades anteriormente àquele período;</w:t>
      </w:r>
    </w:p>
    <w:p w14:paraId="2792F836" w14:textId="77777777" w:rsidR="00E41EFD" w:rsidRPr="00987EBD" w:rsidRDefault="00E41EFD" w:rsidP="00093ED0">
      <w:pPr>
        <w:pStyle w:val="ParNormal"/>
        <w:spacing w:before="0"/>
        <w:ind w:left="2268" w:firstLine="0"/>
        <w:contextualSpacing/>
      </w:pPr>
      <w:r w:rsidRPr="00987EBD">
        <w:t>2. tratando-se de prorrogação de - vigência do regime especial, o percentual fixado no termo de prorrogação, não podendo ser inferior à variação do Índice Geral de Preços - Disponibilidade Interna, IGP-DI, da Fundação Getúlio Vargas, aferida no período de fruição;</w:t>
      </w:r>
    </w:p>
    <w:p w14:paraId="4C4908DB" w14:textId="77777777" w:rsidR="00E41EFD" w:rsidRPr="00987EBD" w:rsidRDefault="00E41EFD" w:rsidP="00093ED0">
      <w:pPr>
        <w:pStyle w:val="ParNormal"/>
        <w:spacing w:before="0"/>
        <w:ind w:left="2268" w:firstLine="0"/>
        <w:contextualSpacing/>
      </w:pPr>
      <w:r w:rsidRPr="00987EBD">
        <w:t>3. a meta mensal fixada pela Administração Tributária da Secretaria da Fazenda, nos demais casos;</w:t>
      </w:r>
    </w:p>
    <w:p w14:paraId="28E5A036" w14:textId="77777777" w:rsidR="00E41EFD" w:rsidRPr="00987EBD" w:rsidRDefault="00E41EFD" w:rsidP="00093ED0">
      <w:pPr>
        <w:pStyle w:val="ParNormal"/>
        <w:spacing w:before="0"/>
        <w:ind w:left="2268" w:firstLine="0"/>
        <w:contextualSpacing/>
      </w:pPr>
      <w:r w:rsidRPr="00987EBD">
        <w:t>d) o benefício não se aplica à operação:</w:t>
      </w:r>
    </w:p>
    <w:p w14:paraId="0C400B9E" w14:textId="77777777" w:rsidR="00E41EFD" w:rsidRPr="00987EBD" w:rsidRDefault="00E41EFD" w:rsidP="00093ED0">
      <w:pPr>
        <w:pStyle w:val="ParNormal"/>
        <w:spacing w:before="0"/>
        <w:ind w:left="2268" w:firstLine="0"/>
        <w:contextualSpacing/>
      </w:pPr>
      <w:r w:rsidRPr="00987EBD">
        <w:t>1. revogado;</w:t>
      </w:r>
    </w:p>
    <w:p w14:paraId="100A5144" w14:textId="77777777" w:rsidR="00E41EFD" w:rsidRPr="00987EBD" w:rsidRDefault="00E41EFD" w:rsidP="00093ED0">
      <w:pPr>
        <w:pStyle w:val="ParNormal"/>
        <w:spacing w:before="0"/>
        <w:ind w:left="2268" w:firstLine="0"/>
        <w:contextualSpacing/>
      </w:pPr>
      <w:r w:rsidRPr="00987EBD">
        <w:t>2. com mercadoria que tenha sido recebida em operação interestadual tributada com alíquota superior a 7% (sete por cento), exceto se o crédito apropriado pelo contribuinte limitar-se a 7% (sete por cento);</w:t>
      </w:r>
    </w:p>
    <w:p w14:paraId="76DC5F43" w14:textId="77777777" w:rsidR="00E41EFD" w:rsidRPr="00987EBD" w:rsidRDefault="00E41EFD" w:rsidP="00093ED0">
      <w:pPr>
        <w:pStyle w:val="ParNormal"/>
        <w:spacing w:before="0"/>
        <w:ind w:left="2268" w:firstLine="0"/>
        <w:contextualSpacing/>
        <w:rPr>
          <w:b/>
        </w:rPr>
      </w:pPr>
      <w:bookmarkStart w:id="156" w:name="A11XXIV"/>
      <w:r w:rsidRPr="00987EBD">
        <w:rPr>
          <w:b/>
        </w:rPr>
        <w:t>XXIV - revogado;</w:t>
      </w:r>
    </w:p>
    <w:p w14:paraId="7F3F8B11" w14:textId="77777777" w:rsidR="00E41EFD" w:rsidRPr="00987EBD" w:rsidRDefault="00E41EFD" w:rsidP="00093ED0">
      <w:pPr>
        <w:pStyle w:val="ParNormal"/>
        <w:spacing w:before="0"/>
        <w:ind w:left="2268" w:firstLine="0"/>
        <w:contextualSpacing/>
      </w:pPr>
      <w:bookmarkStart w:id="157" w:name="A11XXV"/>
      <w:bookmarkEnd w:id="156"/>
      <w:r w:rsidRPr="00987EBD">
        <w:rPr>
          <w:b/>
        </w:rPr>
        <w:t>XXV - para industrial e comerciante atacadista na operação de saída de óleo vegetal comestível, em valor equivalente a 5% (cinco por cento) da respectiva base de cálculo, observado o seguinte (Lei nº 13.194/97, art. 2º, II, “b”, 3)</w:t>
      </w:r>
      <w:r w:rsidRPr="00987EBD">
        <w:t>:</w:t>
      </w:r>
    </w:p>
    <w:bookmarkEnd w:id="157"/>
    <w:p w14:paraId="43C70396" w14:textId="77777777" w:rsidR="00E41EFD" w:rsidRPr="00987EBD" w:rsidRDefault="00E41EFD" w:rsidP="00093ED0">
      <w:pPr>
        <w:pStyle w:val="ParNormal"/>
        <w:spacing w:before="0"/>
        <w:ind w:left="2268" w:firstLine="0"/>
        <w:contextualSpacing/>
      </w:pPr>
      <w:r w:rsidRPr="00987EBD">
        <w:t>a) é mantido o sistema normal de compensação do imposto;</w:t>
      </w:r>
    </w:p>
    <w:p w14:paraId="44E1676F" w14:textId="77777777" w:rsidR="00E41EFD" w:rsidRPr="00987EBD" w:rsidRDefault="00E41EFD" w:rsidP="00093ED0">
      <w:pPr>
        <w:pStyle w:val="ParNormal"/>
        <w:spacing w:before="0"/>
        <w:ind w:left="2268" w:firstLine="0"/>
        <w:contextualSpacing/>
      </w:pPr>
      <w:r w:rsidRPr="00987EBD">
        <w:t>b)  revogada;</w:t>
      </w:r>
    </w:p>
    <w:p w14:paraId="1649F447" w14:textId="77777777" w:rsidR="00E41EFD" w:rsidRPr="00987EBD" w:rsidRDefault="00E41EFD" w:rsidP="00093ED0">
      <w:pPr>
        <w:pStyle w:val="ParNormal"/>
        <w:spacing w:before="0"/>
        <w:ind w:left="2268" w:firstLine="0"/>
        <w:contextualSpacing/>
      </w:pPr>
      <w:r w:rsidRPr="00987EBD">
        <w:t>c) é condicionado a que não haja indústria de processamento do produto no Estado de Goiás;</w:t>
      </w:r>
    </w:p>
    <w:p w14:paraId="2E2D114D" w14:textId="77777777" w:rsidR="00E41EFD" w:rsidRPr="00987EBD" w:rsidRDefault="00E41EFD" w:rsidP="00093ED0">
      <w:pPr>
        <w:pStyle w:val="ParNormal"/>
        <w:spacing w:before="0"/>
        <w:ind w:left="2268" w:firstLine="0"/>
        <w:contextualSpacing/>
      </w:pPr>
      <w:r w:rsidRPr="00987EBD">
        <w:t>d) devem ser atendidas outras condições estabelecidas em regime especial firmado com a Secretaria da Fazenda;</w:t>
      </w:r>
    </w:p>
    <w:p w14:paraId="11FD71B8" w14:textId="77777777" w:rsidR="00E41EFD" w:rsidRPr="00987EBD" w:rsidRDefault="00E41EFD" w:rsidP="00093ED0">
      <w:pPr>
        <w:pStyle w:val="ParNormal"/>
        <w:spacing w:before="0"/>
        <w:ind w:left="2268" w:firstLine="0"/>
        <w:contextualSpacing/>
      </w:pPr>
      <w:bookmarkStart w:id="158" w:name="a11xxvi"/>
      <w:r w:rsidRPr="00987EBD">
        <w:rPr>
          <w:b/>
          <w:lang w:eastAsia="pt-BR"/>
        </w:rPr>
        <w:t>XXVI - para o industrial do setor alcooleiro enquadrado nos Programas FOMENTAR ou PRODUZIR, o valor correspondente à aplicação do percentual de 60% (sessenta por cento) sobre o saldo devedor do valor do ICMS que seria obtido, caso a responsabilidade pelo imposto nas operações com álcool anidro fosse do industrial, observado o seguinte (Lei nº 13.246/99, art. 3º, II)</w:t>
      </w:r>
      <w:r w:rsidRPr="00987EBD">
        <w:rPr>
          <w:lang w:eastAsia="pt-BR"/>
        </w:rPr>
        <w:t xml:space="preserve">: </w:t>
      </w:r>
    </w:p>
    <w:p w14:paraId="430062E8" w14:textId="77777777" w:rsidR="00E41EFD" w:rsidRPr="00987EBD" w:rsidRDefault="00E41EFD" w:rsidP="00093ED0">
      <w:pPr>
        <w:pStyle w:val="ParNormal"/>
        <w:spacing w:before="0"/>
        <w:ind w:left="2268" w:firstLine="0"/>
        <w:contextualSpacing/>
      </w:pPr>
      <w:r w:rsidRPr="00987EBD">
        <w:t xml:space="preserve">a)  o benefício abrange somente a operação de saída do álcool anidro, na situação em que a responsabilidade pelo pagamento do ICMS correspondente à operação tenha sido atribuída a terceiro contribuinte, na condição de substituto tributário; </w:t>
      </w:r>
      <w:r w:rsidRPr="00987EBD">
        <w:rPr>
          <w:color w:val="FF0000"/>
          <w:sz w:val="16"/>
        </w:rPr>
        <w:t xml:space="preserve"> </w:t>
      </w:r>
    </w:p>
    <w:p w14:paraId="00DF2791" w14:textId="77777777" w:rsidR="00E41EFD" w:rsidRPr="00987EBD" w:rsidRDefault="00E41EFD" w:rsidP="00093ED0">
      <w:pPr>
        <w:pStyle w:val="ParNormal"/>
        <w:spacing w:before="0"/>
        <w:ind w:left="2268" w:firstLine="0"/>
        <w:contextualSpacing/>
      </w:pPr>
      <w:r w:rsidRPr="00987EBD">
        <w:t xml:space="preserve">b)  é vedado o aproveitamento de qualquer crédito do ICMS relativo à entrada de matéria-prima, de material secundário, de material de acondicionamento e energia elétrica, bem como ao serviço utilizado, correspondente à industrialização do álcool anidro; </w:t>
      </w:r>
    </w:p>
    <w:p w14:paraId="0BFD8B85" w14:textId="77777777" w:rsidR="00E41EFD" w:rsidRPr="00987EBD" w:rsidRDefault="00E41EFD" w:rsidP="00093ED0">
      <w:pPr>
        <w:pStyle w:val="ParNormal"/>
        <w:spacing w:before="0"/>
        <w:ind w:left="2268" w:firstLine="0"/>
      </w:pPr>
      <w:bookmarkStart w:id="159" w:name="A11XXVIc"/>
      <w:r w:rsidRPr="00987EBD">
        <w:t xml:space="preserve">c)    o saldo credor acumulado em decorrência da aplicação deste benefício pode ser: </w:t>
      </w:r>
      <w:bookmarkEnd w:id="159"/>
    </w:p>
    <w:p w14:paraId="18DE1662" w14:textId="77777777" w:rsidR="00E41EFD" w:rsidRPr="00987EBD" w:rsidRDefault="00E41EFD" w:rsidP="00093ED0">
      <w:pPr>
        <w:pStyle w:val="ParNormal"/>
        <w:spacing w:before="0"/>
        <w:ind w:left="2268" w:firstLine="0"/>
      </w:pPr>
      <w:r w:rsidRPr="00987EBD">
        <w:t xml:space="preserve">1. utilizado para subtração do valor a pagar relativo ao ICMS, excluída a parte incentivada pelo FOMENTAR ou pelo PRODUZIR; </w:t>
      </w:r>
    </w:p>
    <w:p w14:paraId="1B0D5AE6" w14:textId="77777777" w:rsidR="00E41EFD" w:rsidRPr="00987EBD" w:rsidRDefault="00E41EFD" w:rsidP="00093ED0">
      <w:pPr>
        <w:pStyle w:val="ParNormal"/>
        <w:spacing w:before="0"/>
        <w:ind w:left="2268" w:firstLine="0"/>
      </w:pPr>
      <w:r w:rsidRPr="00987EBD">
        <w:t xml:space="preserve">1.1. devido por operação própria; </w:t>
      </w:r>
    </w:p>
    <w:p w14:paraId="6A64E89B" w14:textId="77777777" w:rsidR="00E41EFD" w:rsidRPr="00987EBD" w:rsidRDefault="00E41EFD" w:rsidP="00093ED0">
      <w:pPr>
        <w:pStyle w:val="ParNormal"/>
        <w:spacing w:before="0"/>
        <w:ind w:left="2268" w:firstLine="0"/>
      </w:pPr>
      <w:r w:rsidRPr="00987EBD">
        <w:t xml:space="preserve">1.2.de sua responsabilidade devido por substituição   tributária; </w:t>
      </w:r>
    </w:p>
    <w:p w14:paraId="3C3C6999" w14:textId="77777777" w:rsidR="00E41EFD" w:rsidRPr="00987EBD" w:rsidRDefault="00E41EFD" w:rsidP="00093ED0">
      <w:pPr>
        <w:pStyle w:val="ParNormal"/>
        <w:spacing w:before="0"/>
        <w:ind w:left="2268" w:firstLine="0"/>
      </w:pPr>
      <w:r w:rsidRPr="00987EBD">
        <w:t xml:space="preserve">2. transferido, nos termos do que dispuser ato do Secretário da Fazenda; </w:t>
      </w:r>
      <w:bookmarkStart w:id="160" w:name="a11xxvic21"/>
      <w:bookmarkStart w:id="161" w:name="a11xxvi21"/>
    </w:p>
    <w:p w14:paraId="74ABE84C" w14:textId="77777777" w:rsidR="00E41EFD" w:rsidRPr="00987EBD" w:rsidRDefault="00E41EFD" w:rsidP="00093ED0">
      <w:pPr>
        <w:pStyle w:val="ParNormal"/>
        <w:spacing w:before="0"/>
        <w:ind w:left="2268" w:firstLine="0"/>
      </w:pPr>
      <w:r w:rsidRPr="00987EBD">
        <w:t xml:space="preserve">2.1. a qualquer estabelecimento seu situado neste Estado; </w:t>
      </w:r>
      <w:bookmarkEnd w:id="160"/>
      <w:bookmarkEnd w:id="161"/>
    </w:p>
    <w:p w14:paraId="01FBA406" w14:textId="77777777" w:rsidR="00E41EFD" w:rsidRPr="00987EBD" w:rsidRDefault="00E41EFD" w:rsidP="00093ED0">
      <w:pPr>
        <w:pStyle w:val="ParNormal"/>
        <w:spacing w:before="0"/>
        <w:ind w:left="2268" w:firstLine="0"/>
      </w:pPr>
      <w:r w:rsidRPr="00987EBD">
        <w:t xml:space="preserve">2.2. para substituto tributário, cadastrado neste Estado, em relação a operação com combustível, que pode transferir novamente o crédito recebido a outro substituto tributário, também cadastrado neste Estado, em relação ao ICMS devido pela operação posterior com combustível; </w:t>
      </w:r>
    </w:p>
    <w:p w14:paraId="2DD029C3" w14:textId="77777777" w:rsidR="00E41EFD" w:rsidRPr="00987EBD" w:rsidRDefault="00E41EFD" w:rsidP="00093ED0">
      <w:pPr>
        <w:pStyle w:val="ParNormal"/>
        <w:spacing w:before="0"/>
        <w:ind w:left="2268" w:firstLine="0"/>
        <w:rPr>
          <w:rFonts w:cs="Arial"/>
        </w:rPr>
      </w:pPr>
      <w:r w:rsidRPr="00987EBD">
        <w:lastRenderedPageBreak/>
        <w:t xml:space="preserve">2.3. para outro contribuinte situado neste Estado, do qual tenha adquirido mercadoria, bem ou serviço, exceto na aquisição de serviço de comunicação, hipótese em que a transferência não está sujeita ao limite previsto no </w:t>
      </w:r>
      <w:bookmarkStart w:id="162" w:name="A11XXVIc24"/>
      <w:r w:rsidRPr="00987EBD">
        <w:rPr>
          <w:rFonts w:cs="Arial"/>
          <w:szCs w:val="22"/>
        </w:rPr>
        <w:t>parágrafo único do art. 55 do RCTE;</w:t>
      </w:r>
    </w:p>
    <w:bookmarkEnd w:id="162"/>
    <w:p w14:paraId="25DEDE6F" w14:textId="77777777" w:rsidR="00E41EFD" w:rsidRPr="00987EBD" w:rsidRDefault="00E41EFD" w:rsidP="00093ED0">
      <w:pPr>
        <w:pStyle w:val="ParNormal"/>
        <w:spacing w:before="0"/>
        <w:ind w:left="2268" w:firstLine="0"/>
      </w:pPr>
      <w:r w:rsidRPr="00987EBD">
        <w:t>2.4. revogado.</w:t>
      </w:r>
    </w:p>
    <w:p w14:paraId="72080277" w14:textId="77777777" w:rsidR="00E41EFD" w:rsidRPr="00987EBD" w:rsidRDefault="00E41EFD" w:rsidP="00093ED0">
      <w:pPr>
        <w:pStyle w:val="ParNormal"/>
        <w:spacing w:before="0"/>
        <w:ind w:left="2268" w:firstLine="0"/>
      </w:pPr>
      <w:r w:rsidRPr="00987EBD">
        <w:t xml:space="preserve">3.   utilizado para liquidação de débitos tributários relativos ao ICMS devido pela mesma pessoa, mediante ato autorizativo do Secretário da Fazenda; </w:t>
      </w:r>
      <w:bookmarkStart w:id="163" w:name="A11XXVIc1"/>
    </w:p>
    <w:p w14:paraId="38538DA3" w14:textId="77777777" w:rsidR="00E41EFD" w:rsidRPr="00987EBD" w:rsidRDefault="00E41EFD" w:rsidP="00093ED0">
      <w:pPr>
        <w:pStyle w:val="ParNormal"/>
        <w:spacing w:before="0"/>
        <w:ind w:left="2268" w:firstLine="0"/>
        <w:rPr>
          <w:sz w:val="16"/>
          <w:szCs w:val="16"/>
        </w:rPr>
      </w:pPr>
      <w:r w:rsidRPr="00987EBD">
        <w:t>c-1) quando se tratar de contribuinte beneficiário dos Programas FOMENTAR ou PRODUZIR, o valor recebido em transferência pode ser utilizado para subtração do valor a pagar relativo ao ICMS, excluída a parte incentivada pelos referidos Programas;</w:t>
      </w:r>
      <w:bookmarkEnd w:id="163"/>
      <w:r w:rsidRPr="00987EBD">
        <w:rPr>
          <w:sz w:val="16"/>
          <w:szCs w:val="16"/>
        </w:rPr>
        <w:t xml:space="preserve"> </w:t>
      </w:r>
    </w:p>
    <w:p w14:paraId="786D6A2C" w14:textId="77777777" w:rsidR="00E41EFD" w:rsidRPr="00987EBD" w:rsidRDefault="00E41EFD" w:rsidP="00093ED0">
      <w:pPr>
        <w:pStyle w:val="ParNormal"/>
        <w:spacing w:before="0"/>
        <w:ind w:left="2268" w:firstLine="0"/>
      </w:pPr>
      <w:r w:rsidRPr="00987EBD">
        <w:t xml:space="preserve">d) ato do Secretário da Fazenda pode dispor sobre outros procedimentos relativos à emissão e escrituração de documentos fiscais e sobre o controle da aplicação deste benefício. </w:t>
      </w:r>
      <w:bookmarkEnd w:id="158"/>
    </w:p>
    <w:p w14:paraId="188F1086" w14:textId="77777777" w:rsidR="00E41EFD" w:rsidRPr="00987EBD" w:rsidRDefault="00E41EFD" w:rsidP="00093ED0">
      <w:pPr>
        <w:pStyle w:val="ParNormal"/>
        <w:spacing w:before="0"/>
        <w:ind w:left="2268" w:firstLine="0"/>
        <w:contextualSpacing/>
      </w:pPr>
      <w:r w:rsidRPr="00987EBD">
        <w:rPr>
          <w:b/>
        </w:rPr>
        <w:t>XXVII - o valor constante do documento denominado ‘Cheque Moradia’ ou disponibilizado sob a forma de complemento ao Cartão Reforma a que se refere a Lei Federal nº 13.439, de 27 de abril de 2017, para o estabelecimento que fornecer a beneficiário dos Programas Habitar Melhor ou Cartão Reforma, respectivamente, previsto em Lei Orçamentária Anual, e administrado pela Agência Goiana de Habitação S.A -AGEHAB-, as mercadorias a seguir arroladas, cujo pagamento seja feito por meio do subsídio concedido pelo Governo do Estado, observado, ainda, o disposto nos §§ 5º e 6º deste artigo (Lei nº 14.542/03)</w:t>
      </w:r>
      <w:r w:rsidRPr="00987EBD">
        <w:t>:</w:t>
      </w:r>
    </w:p>
    <w:p w14:paraId="4379A5F1" w14:textId="77777777" w:rsidR="00E41EFD" w:rsidRPr="00987EBD" w:rsidRDefault="00E41EFD" w:rsidP="00093ED0">
      <w:pPr>
        <w:pStyle w:val="ParNormal"/>
        <w:spacing w:before="0"/>
        <w:ind w:left="2268" w:firstLine="0"/>
        <w:contextualSpacing/>
      </w:pPr>
      <w:r w:rsidRPr="00987EBD">
        <w:t>a) materiais básicos:</w:t>
      </w:r>
    </w:p>
    <w:p w14:paraId="2CDFF069" w14:textId="77777777" w:rsidR="00E41EFD" w:rsidRPr="00987EBD" w:rsidRDefault="00E41EFD" w:rsidP="00093ED0">
      <w:pPr>
        <w:pStyle w:val="ParNormal"/>
        <w:spacing w:before="0"/>
        <w:ind w:left="2268" w:firstLine="0"/>
        <w:contextualSpacing/>
      </w:pPr>
      <w:r w:rsidRPr="00987EBD">
        <w:t xml:space="preserve">1. Revogado; </w:t>
      </w:r>
    </w:p>
    <w:p w14:paraId="2616A82A" w14:textId="77777777" w:rsidR="00E41EFD" w:rsidRPr="00987EBD" w:rsidRDefault="00E41EFD" w:rsidP="00093ED0">
      <w:pPr>
        <w:pStyle w:val="ParNormal"/>
        <w:spacing w:before="0"/>
        <w:ind w:left="2268" w:firstLine="0"/>
        <w:contextualSpacing/>
      </w:pPr>
      <w:r w:rsidRPr="00987EBD">
        <w:t xml:space="preserve">2. Revogado; </w:t>
      </w:r>
    </w:p>
    <w:p w14:paraId="4E3E19B1" w14:textId="77777777" w:rsidR="00E41EFD" w:rsidRPr="00987EBD" w:rsidRDefault="00E41EFD" w:rsidP="00093ED0">
      <w:pPr>
        <w:pStyle w:val="ParNormal"/>
        <w:spacing w:before="0"/>
        <w:ind w:left="2268" w:firstLine="0"/>
        <w:contextualSpacing/>
      </w:pPr>
      <w:r w:rsidRPr="00987EBD">
        <w:t>3. Revogado</w:t>
      </w:r>
    </w:p>
    <w:p w14:paraId="3F6C6B40" w14:textId="77777777" w:rsidR="00E41EFD" w:rsidRPr="00987EBD" w:rsidRDefault="00E41EFD" w:rsidP="00093ED0">
      <w:pPr>
        <w:pStyle w:val="ParNormal"/>
        <w:spacing w:before="0"/>
        <w:ind w:left="2268" w:firstLine="0"/>
        <w:contextualSpacing/>
      </w:pPr>
      <w:r w:rsidRPr="00987EBD">
        <w:t>b) materiais estruturais e de vedação:</w:t>
      </w:r>
      <w:r w:rsidRPr="00987EBD">
        <w:rPr>
          <w:sz w:val="16"/>
          <w:szCs w:val="16"/>
        </w:rPr>
        <w:t xml:space="preserve"> </w:t>
      </w:r>
    </w:p>
    <w:p w14:paraId="3D5B48D2" w14:textId="77777777" w:rsidR="00E41EFD" w:rsidRPr="00987EBD" w:rsidRDefault="00E41EFD" w:rsidP="00093ED0">
      <w:pPr>
        <w:pStyle w:val="ParNormal"/>
        <w:spacing w:before="0"/>
        <w:ind w:left="2268" w:firstLine="0"/>
        <w:contextualSpacing/>
      </w:pPr>
      <w:r w:rsidRPr="00987EBD">
        <w:t xml:space="preserve">1. Revogado; </w:t>
      </w:r>
    </w:p>
    <w:p w14:paraId="72058092" w14:textId="77777777" w:rsidR="00E41EFD" w:rsidRPr="00987EBD" w:rsidRDefault="00E41EFD" w:rsidP="00093ED0">
      <w:pPr>
        <w:pStyle w:val="ParNormal"/>
        <w:spacing w:before="0"/>
        <w:ind w:left="2268" w:firstLine="0"/>
        <w:contextualSpacing/>
      </w:pPr>
      <w:r w:rsidRPr="00987EBD">
        <w:t xml:space="preserve">2. Revogado; </w:t>
      </w:r>
    </w:p>
    <w:p w14:paraId="58224A89" w14:textId="77777777" w:rsidR="00E41EFD" w:rsidRPr="00987EBD" w:rsidRDefault="00E41EFD" w:rsidP="00093ED0">
      <w:pPr>
        <w:pStyle w:val="ParNormal"/>
        <w:spacing w:before="0"/>
        <w:ind w:left="2268" w:firstLine="0"/>
        <w:contextualSpacing/>
      </w:pPr>
      <w:r w:rsidRPr="00987EBD">
        <w:t xml:space="preserve">3. Revogado; </w:t>
      </w:r>
    </w:p>
    <w:p w14:paraId="36926062" w14:textId="77777777" w:rsidR="00E41EFD" w:rsidRPr="00987EBD" w:rsidRDefault="00E41EFD" w:rsidP="00093ED0">
      <w:pPr>
        <w:pStyle w:val="ParNormal"/>
        <w:spacing w:before="0"/>
        <w:ind w:left="2268" w:firstLine="0"/>
        <w:contextualSpacing/>
      </w:pPr>
      <w:r w:rsidRPr="00987EBD">
        <w:t xml:space="preserve">4. Revogado; </w:t>
      </w:r>
    </w:p>
    <w:p w14:paraId="288857AF" w14:textId="77777777" w:rsidR="00E41EFD" w:rsidRPr="00987EBD" w:rsidRDefault="00E41EFD" w:rsidP="00093ED0">
      <w:pPr>
        <w:pStyle w:val="ParNormal"/>
        <w:spacing w:before="0"/>
        <w:ind w:left="2268" w:firstLine="0"/>
        <w:contextualSpacing/>
      </w:pPr>
      <w:bookmarkStart w:id="164" w:name="A11XXVIIc"/>
      <w:r w:rsidRPr="00987EBD">
        <w:t>c) materiais de instalação elétricos, hidrossanitários e telefônicos;</w:t>
      </w:r>
      <w:bookmarkEnd w:id="164"/>
      <w:r w:rsidRPr="00987EBD">
        <w:t xml:space="preserve"> </w:t>
      </w:r>
    </w:p>
    <w:p w14:paraId="1198A460" w14:textId="77777777" w:rsidR="00E41EFD" w:rsidRPr="00987EBD" w:rsidRDefault="00E41EFD" w:rsidP="00093ED0">
      <w:pPr>
        <w:pStyle w:val="ParNormal"/>
        <w:spacing w:before="0"/>
        <w:ind w:left="2268" w:firstLine="0"/>
        <w:contextualSpacing/>
      </w:pPr>
      <w:r w:rsidRPr="00987EBD">
        <w:t>d) materiais de acabamento:</w:t>
      </w:r>
      <w:r w:rsidRPr="00987EBD">
        <w:rPr>
          <w:szCs w:val="16"/>
        </w:rPr>
        <w:t xml:space="preserve"> </w:t>
      </w:r>
    </w:p>
    <w:p w14:paraId="27E6BB83" w14:textId="77777777" w:rsidR="00E41EFD" w:rsidRPr="00987EBD" w:rsidRDefault="00E41EFD" w:rsidP="00093ED0">
      <w:pPr>
        <w:pStyle w:val="ParNormal"/>
        <w:spacing w:before="0"/>
        <w:ind w:left="2268" w:firstLine="0"/>
        <w:contextualSpacing/>
      </w:pPr>
      <w:r w:rsidRPr="00987EBD">
        <w:t>1. Revogado</w:t>
      </w:r>
    </w:p>
    <w:p w14:paraId="59B452C0" w14:textId="77777777" w:rsidR="00E41EFD" w:rsidRPr="00987EBD" w:rsidRDefault="00E41EFD" w:rsidP="00093ED0">
      <w:pPr>
        <w:pStyle w:val="ParNormal"/>
        <w:spacing w:before="0"/>
        <w:ind w:left="2268" w:firstLine="0"/>
        <w:contextualSpacing/>
      </w:pPr>
      <w:r w:rsidRPr="00987EBD">
        <w:t xml:space="preserve">2. Revogado; </w:t>
      </w:r>
    </w:p>
    <w:p w14:paraId="75D7787F" w14:textId="77777777" w:rsidR="00E41EFD" w:rsidRPr="00987EBD" w:rsidRDefault="00E41EFD" w:rsidP="00093ED0">
      <w:pPr>
        <w:pStyle w:val="ParNormal"/>
        <w:spacing w:before="0"/>
        <w:ind w:left="2268" w:firstLine="0"/>
        <w:contextualSpacing/>
      </w:pPr>
      <w:r w:rsidRPr="00987EBD">
        <w:t>e) máquinas, equipamentos e ferramentas básicos de construção civil:</w:t>
      </w:r>
      <w:r w:rsidRPr="00987EBD">
        <w:rPr>
          <w:sz w:val="16"/>
          <w:szCs w:val="16"/>
        </w:rPr>
        <w:t xml:space="preserve"> </w:t>
      </w:r>
    </w:p>
    <w:p w14:paraId="66369DCA" w14:textId="77777777" w:rsidR="00E41EFD" w:rsidRPr="00987EBD" w:rsidRDefault="00E41EFD" w:rsidP="00093ED0">
      <w:pPr>
        <w:pStyle w:val="ParNormal"/>
        <w:spacing w:before="0"/>
        <w:ind w:left="2268" w:firstLine="0"/>
        <w:contextualSpacing/>
      </w:pPr>
      <w:r w:rsidRPr="00987EBD">
        <w:t xml:space="preserve">1. Revogado; </w:t>
      </w:r>
    </w:p>
    <w:p w14:paraId="58503FC0" w14:textId="77777777" w:rsidR="00E41EFD" w:rsidRPr="00987EBD" w:rsidRDefault="00E41EFD" w:rsidP="00093ED0">
      <w:pPr>
        <w:pStyle w:val="ParNormal"/>
        <w:spacing w:before="0"/>
        <w:ind w:left="2268" w:firstLine="0"/>
        <w:contextualSpacing/>
      </w:pPr>
      <w:r w:rsidRPr="00987EBD">
        <w:t xml:space="preserve">2. Revogado; </w:t>
      </w:r>
    </w:p>
    <w:p w14:paraId="19AA7BC6" w14:textId="77777777" w:rsidR="00E41EFD" w:rsidRPr="00987EBD" w:rsidRDefault="00E41EFD" w:rsidP="00093ED0">
      <w:pPr>
        <w:pStyle w:val="ParNormal"/>
        <w:spacing w:before="0"/>
        <w:ind w:left="2268" w:firstLine="0"/>
        <w:contextualSpacing/>
      </w:pPr>
      <w:r w:rsidRPr="00987EBD">
        <w:t xml:space="preserve">3. Revogado; </w:t>
      </w:r>
    </w:p>
    <w:p w14:paraId="3C5B184C" w14:textId="77777777" w:rsidR="00E41EFD" w:rsidRPr="00987EBD" w:rsidRDefault="00E41EFD" w:rsidP="00093ED0">
      <w:pPr>
        <w:pStyle w:val="ParNormal"/>
        <w:spacing w:before="0"/>
        <w:ind w:left="2268" w:firstLine="0"/>
        <w:contextualSpacing/>
      </w:pPr>
      <w:r w:rsidRPr="00987EBD">
        <w:t xml:space="preserve">4. Revogado; </w:t>
      </w:r>
    </w:p>
    <w:p w14:paraId="0DBFEC63" w14:textId="77777777" w:rsidR="00E41EFD" w:rsidRPr="00987EBD" w:rsidRDefault="00E41EFD" w:rsidP="00093ED0">
      <w:pPr>
        <w:pStyle w:val="ParNormal"/>
        <w:spacing w:before="0"/>
        <w:ind w:left="2268" w:firstLine="0"/>
        <w:contextualSpacing/>
      </w:pPr>
      <w:r w:rsidRPr="00987EBD">
        <w:t xml:space="preserve">5. Revogado; </w:t>
      </w:r>
    </w:p>
    <w:p w14:paraId="16DC3E1A" w14:textId="77777777" w:rsidR="00E41EFD" w:rsidRPr="00987EBD" w:rsidRDefault="00E41EFD" w:rsidP="00093ED0">
      <w:pPr>
        <w:pStyle w:val="ParNormal"/>
        <w:spacing w:before="0"/>
        <w:ind w:left="2268" w:firstLine="0"/>
        <w:contextualSpacing/>
      </w:pPr>
      <w:r w:rsidRPr="00987EBD">
        <w:t xml:space="preserve">6. Revogado; </w:t>
      </w:r>
    </w:p>
    <w:p w14:paraId="1A471E66" w14:textId="77777777" w:rsidR="00E41EFD" w:rsidRPr="00987EBD" w:rsidRDefault="00E41EFD" w:rsidP="00093ED0">
      <w:pPr>
        <w:pStyle w:val="ParNormal"/>
        <w:spacing w:before="0"/>
        <w:ind w:left="2268" w:firstLine="0"/>
        <w:contextualSpacing/>
      </w:pPr>
      <w:r w:rsidRPr="00987EBD">
        <w:t>f) materiais de infra-estrutura:</w:t>
      </w:r>
      <w:r w:rsidRPr="00987EBD">
        <w:rPr>
          <w:sz w:val="16"/>
          <w:szCs w:val="16"/>
        </w:rPr>
        <w:t xml:space="preserve"> </w:t>
      </w:r>
    </w:p>
    <w:p w14:paraId="3565F650" w14:textId="77777777" w:rsidR="00E41EFD" w:rsidRPr="00987EBD" w:rsidRDefault="00E41EFD" w:rsidP="00093ED0">
      <w:pPr>
        <w:pStyle w:val="ParNormal"/>
        <w:spacing w:before="0"/>
        <w:ind w:left="2268" w:firstLine="0"/>
        <w:contextualSpacing/>
      </w:pPr>
      <w:r w:rsidRPr="00987EBD">
        <w:t xml:space="preserve">1. Revogado; </w:t>
      </w:r>
    </w:p>
    <w:p w14:paraId="23A72AF0" w14:textId="77777777" w:rsidR="00E41EFD" w:rsidRPr="00987EBD" w:rsidRDefault="00E41EFD" w:rsidP="00093ED0">
      <w:pPr>
        <w:pStyle w:val="ParNormal"/>
        <w:spacing w:before="0"/>
        <w:ind w:left="2268" w:firstLine="0"/>
        <w:contextualSpacing/>
      </w:pPr>
      <w:r w:rsidRPr="00987EBD">
        <w:t xml:space="preserve">2. Revogado; </w:t>
      </w:r>
    </w:p>
    <w:p w14:paraId="5F2704CA" w14:textId="77777777" w:rsidR="00E41EFD" w:rsidRPr="00987EBD" w:rsidRDefault="00E41EFD" w:rsidP="00093ED0">
      <w:pPr>
        <w:pStyle w:val="ParNormal"/>
        <w:spacing w:before="0"/>
        <w:ind w:left="2268" w:firstLine="0"/>
        <w:contextualSpacing/>
      </w:pPr>
      <w:r w:rsidRPr="00987EBD">
        <w:t xml:space="preserve">3. Revogado; </w:t>
      </w:r>
    </w:p>
    <w:p w14:paraId="76EF9DC9" w14:textId="1F96F8C0" w:rsidR="00E41EFD" w:rsidRPr="00987EBD" w:rsidRDefault="00E41EFD" w:rsidP="00093ED0">
      <w:pPr>
        <w:pStyle w:val="ParNormal"/>
        <w:spacing w:before="0"/>
        <w:ind w:left="2268" w:firstLine="0"/>
        <w:contextualSpacing/>
        <w:rPr>
          <w:b/>
        </w:rPr>
      </w:pPr>
      <w:bookmarkStart w:id="165" w:name="A11XXVIII"/>
      <w:r w:rsidRPr="00987EBD">
        <w:rPr>
          <w:b/>
        </w:rPr>
        <w:t xml:space="preserve">XXVIII - para o estabelecimento remetente, na saída interestadual de máquinas e equipamentos rodoviários, relacionados no </w:t>
      </w:r>
      <w:r w:rsidRPr="00E615D7">
        <w:rPr>
          <w:b/>
        </w:rPr>
        <w:t>Apêndice XII</w:t>
      </w:r>
      <w:r w:rsidRPr="00987EBD">
        <w:rPr>
          <w:b/>
        </w:rPr>
        <w:t>, o equivalente à aplicação de 5% (cinco por cento) sobre o valor da base de cálculo (</w:t>
      </w:r>
      <w:r w:rsidRPr="00E615D7">
        <w:rPr>
          <w:b/>
        </w:rPr>
        <w:t>Lei nº 13.453/99</w:t>
      </w:r>
      <w:r w:rsidRPr="00987EBD">
        <w:rPr>
          <w:b/>
        </w:rPr>
        <w:t xml:space="preserve">, </w:t>
      </w:r>
      <w:r w:rsidRPr="00E615D7">
        <w:rPr>
          <w:b/>
        </w:rPr>
        <w:t>art. 1º</w:t>
      </w:r>
      <w:r w:rsidRPr="00987EBD">
        <w:rPr>
          <w:b/>
        </w:rPr>
        <w:t xml:space="preserve">, I, “a”, </w:t>
      </w:r>
      <w:r w:rsidRPr="00E615D7">
        <w:rPr>
          <w:b/>
        </w:rPr>
        <w:t>6</w:t>
      </w:r>
      <w:r w:rsidRPr="00987EBD">
        <w:rPr>
          <w:b/>
        </w:rPr>
        <w:t>).</w:t>
      </w:r>
    </w:p>
    <w:p w14:paraId="61851124" w14:textId="77777777" w:rsidR="00E41EFD" w:rsidRPr="00987EBD" w:rsidRDefault="00E41EFD" w:rsidP="00093ED0">
      <w:pPr>
        <w:pStyle w:val="ParNormal"/>
        <w:spacing w:before="0"/>
        <w:ind w:left="2268" w:firstLine="0"/>
        <w:contextualSpacing/>
        <w:rPr>
          <w:b/>
        </w:rPr>
      </w:pPr>
      <w:bookmarkStart w:id="166" w:name="A11XXIX"/>
      <w:bookmarkEnd w:id="165"/>
      <w:r w:rsidRPr="00987EBD">
        <w:rPr>
          <w:b/>
        </w:rPr>
        <w:lastRenderedPageBreak/>
        <w:t>XXIX - revogado;</w:t>
      </w:r>
    </w:p>
    <w:p w14:paraId="48EF8C49" w14:textId="77777777" w:rsidR="00E41EFD" w:rsidRPr="00987EBD" w:rsidRDefault="00E41EFD" w:rsidP="00093ED0">
      <w:pPr>
        <w:pStyle w:val="ParNormal"/>
        <w:spacing w:before="0"/>
        <w:ind w:left="2268" w:firstLine="0"/>
        <w:contextualSpacing/>
        <w:rPr>
          <w:b/>
        </w:rPr>
      </w:pPr>
      <w:bookmarkStart w:id="167" w:name="A11XXX"/>
      <w:bookmarkEnd w:id="166"/>
      <w:bookmarkEnd w:id="167"/>
      <w:r w:rsidRPr="00987EBD">
        <w:rPr>
          <w:b/>
        </w:rPr>
        <w:t>XXX - revogado;</w:t>
      </w:r>
    </w:p>
    <w:p w14:paraId="28E5B02D" w14:textId="5225ED80" w:rsidR="00E41EFD" w:rsidRPr="00987EBD" w:rsidRDefault="00E41EFD" w:rsidP="00093ED0">
      <w:pPr>
        <w:pStyle w:val="ParNormal"/>
        <w:spacing w:before="0"/>
        <w:ind w:left="2268" w:firstLine="0"/>
        <w:contextualSpacing/>
        <w:rPr>
          <w:b/>
          <w:lang w:eastAsia="pt-BR"/>
        </w:rPr>
      </w:pPr>
      <w:r w:rsidRPr="00987EBD">
        <w:rPr>
          <w:b/>
          <w:lang w:eastAsia="pt-BR"/>
        </w:rPr>
        <w:t>XXXI - para o estabelecimento industrializador de produto agrícola, o equivalente à aplicação dos seguintes percentuais sobre o valor do produto agrícola produzido no Estado de Goiás, efetivamente industrializado em seu estabelecimento ou no de terceiro localizado em Goiás, por sua conta e ordem, ficando, ainda, o crédito limitado ao valor do saldo devedor obtido no período (</w:t>
      </w:r>
      <w:r w:rsidRPr="00E615D7">
        <w:rPr>
          <w:b/>
          <w:lang w:eastAsia="pt-BR"/>
        </w:rPr>
        <w:t>Lei nº 14.543/03</w:t>
      </w:r>
      <w:r w:rsidRPr="00987EBD">
        <w:rPr>
          <w:b/>
          <w:lang w:eastAsia="pt-BR"/>
        </w:rPr>
        <w:t xml:space="preserve">): </w:t>
      </w:r>
    </w:p>
    <w:p w14:paraId="0EA47828" w14:textId="77777777" w:rsidR="00E41EFD" w:rsidRPr="00987EBD" w:rsidRDefault="00E41EFD" w:rsidP="00093ED0">
      <w:pPr>
        <w:pStyle w:val="ParNormal"/>
        <w:spacing w:before="0"/>
        <w:ind w:left="2268" w:firstLine="0"/>
        <w:contextualSpacing/>
        <w:rPr>
          <w:lang w:eastAsia="pt-BR"/>
        </w:rPr>
      </w:pPr>
      <w:r w:rsidRPr="00987EBD">
        <w:rPr>
          <w:lang w:eastAsia="pt-BR"/>
        </w:rPr>
        <w:t xml:space="preserve">a) 6% (seis por cento) para arroz e feijão; </w:t>
      </w:r>
    </w:p>
    <w:p w14:paraId="56A246C9" w14:textId="77777777" w:rsidR="00E41EFD" w:rsidRPr="00987EBD" w:rsidRDefault="00E41EFD" w:rsidP="00093ED0">
      <w:pPr>
        <w:pStyle w:val="ParNormal"/>
        <w:spacing w:before="0"/>
        <w:ind w:left="2268" w:firstLine="0"/>
        <w:contextualSpacing/>
      </w:pPr>
      <w:r w:rsidRPr="00987EBD">
        <w:rPr>
          <w:lang w:eastAsia="pt-BR"/>
        </w:rPr>
        <w:t>b) 5% (cinco por cento) para os demais produtos agrícolas</w:t>
      </w:r>
    </w:p>
    <w:p w14:paraId="2A8265F6" w14:textId="5FBC635A" w:rsidR="00E41EFD" w:rsidRPr="00987EBD" w:rsidRDefault="00E41EFD" w:rsidP="00093ED0">
      <w:pPr>
        <w:pStyle w:val="ParNormal"/>
        <w:spacing w:before="0"/>
        <w:ind w:left="2268" w:firstLine="0"/>
        <w:contextualSpacing/>
        <w:rPr>
          <w:b/>
        </w:rPr>
      </w:pPr>
      <w:bookmarkStart w:id="168" w:name="A11XXXII"/>
      <w:r w:rsidRPr="00987EBD">
        <w:rPr>
          <w:b/>
        </w:rPr>
        <w:t>XXXII - para o estabelecimento distribuidor de empresa fabricante de aparelho, máquina, equipamento ou instrumento médico-hospitalar, produto farmacêutico, de perfumaria ou de toucador, preparado e preparação cosmética, constantes dos seguintes códigos da NBM/SH, 3001 a 3006, 3303 a 3307, 3401, 3402, 3808, 3822, 3906, 3919, 4014, 4015, 4206, 4818, 5402, 5601, 7010, 7017, 7223, 7318, 7616, 8212, 8413, 8414, 8418, 8419, 8528, 8541, 8543, 9002, 9006, 9017, 9018, 9021, 9025 a 9027, 9030, 9033, 9402, 9405 e 9603 na saída interestadual com produto de fabricação própria, o equivalente à aplicação do percentual de 5,6% (cinco inteiros e seis décimos por cento) sobre o valor da base de cálculo, observado o § 11 deste artigo, e o seguinte (</w:t>
      </w:r>
      <w:r w:rsidRPr="00E615D7">
        <w:rPr>
          <w:b/>
        </w:rPr>
        <w:t>Lei nº 13.453/99</w:t>
      </w:r>
      <w:r w:rsidRPr="00987EBD">
        <w:rPr>
          <w:b/>
        </w:rPr>
        <w:t xml:space="preserve">, </w:t>
      </w:r>
      <w:r w:rsidRPr="00E615D7">
        <w:rPr>
          <w:b/>
        </w:rPr>
        <w:t>art. 1º</w:t>
      </w:r>
      <w:r w:rsidRPr="00987EBD">
        <w:rPr>
          <w:b/>
        </w:rPr>
        <w:t>, I, "f"):</w:t>
      </w:r>
    </w:p>
    <w:bookmarkEnd w:id="168"/>
    <w:p w14:paraId="678E5925" w14:textId="77777777" w:rsidR="00E41EFD" w:rsidRPr="00987EBD" w:rsidRDefault="00E41EFD" w:rsidP="00093ED0">
      <w:pPr>
        <w:pStyle w:val="ParNormal"/>
        <w:spacing w:before="0"/>
        <w:ind w:left="2268" w:firstLine="0"/>
      </w:pPr>
      <w:r w:rsidRPr="00987EBD">
        <w:t>a) o benefício somente se aplica ao contribuinte que:</w:t>
      </w:r>
    </w:p>
    <w:p w14:paraId="5AFEC4EB" w14:textId="77777777" w:rsidR="00E41EFD" w:rsidRPr="00987EBD" w:rsidRDefault="00E41EFD" w:rsidP="00093ED0">
      <w:pPr>
        <w:pStyle w:val="ParNormal"/>
        <w:spacing w:before="0"/>
        <w:ind w:left="2268" w:firstLine="0"/>
        <w:contextualSpacing/>
      </w:pPr>
      <w:r w:rsidRPr="00987EBD">
        <w:t>1. revogado;</w:t>
      </w:r>
    </w:p>
    <w:p w14:paraId="7AD55B76" w14:textId="77777777" w:rsidR="00E41EFD" w:rsidRPr="00987EBD" w:rsidRDefault="00E41EFD" w:rsidP="00093ED0">
      <w:pPr>
        <w:pStyle w:val="ParNormal"/>
        <w:spacing w:before="0"/>
        <w:ind w:left="2268" w:firstLine="0"/>
        <w:contextualSpacing/>
      </w:pPr>
      <w:r w:rsidRPr="00987EBD">
        <w:t>2. revogado;</w:t>
      </w:r>
    </w:p>
    <w:p w14:paraId="6622B3E1" w14:textId="77777777" w:rsidR="00E41EFD" w:rsidRPr="00987EBD" w:rsidRDefault="00E41EFD" w:rsidP="00093ED0">
      <w:pPr>
        <w:pStyle w:val="ParNormal"/>
        <w:spacing w:before="0"/>
        <w:ind w:left="2268" w:firstLine="0"/>
        <w:contextualSpacing/>
      </w:pPr>
      <w:r w:rsidRPr="00987EBD">
        <w:t>3. celebrar termo de acordo de regime especial com a Secretaria da Fazenda, para tal fim;</w:t>
      </w:r>
    </w:p>
    <w:p w14:paraId="5C5B9BDF" w14:textId="77777777" w:rsidR="00E41EFD" w:rsidRPr="00987EBD" w:rsidRDefault="00E41EFD" w:rsidP="00093ED0">
      <w:pPr>
        <w:pStyle w:val="ParNormal"/>
        <w:spacing w:before="0"/>
        <w:ind w:left="2268" w:firstLine="0"/>
        <w:contextualSpacing/>
      </w:pPr>
      <w:r w:rsidRPr="00987EBD">
        <w:t>4. cumprir metas de arrecadação estabelecidas no termo de acordo de regime especial;</w:t>
      </w:r>
    </w:p>
    <w:p w14:paraId="4177B1BF" w14:textId="77777777" w:rsidR="00E41EFD" w:rsidRPr="00987EBD" w:rsidRDefault="00E41EFD" w:rsidP="00093ED0">
      <w:pPr>
        <w:pStyle w:val="ParNormal"/>
        <w:spacing w:before="0"/>
        <w:ind w:left="2268" w:firstLine="0"/>
        <w:contextualSpacing/>
      </w:pPr>
      <w:r w:rsidRPr="00987EBD">
        <w:t>b) o benefício não se aplica à operação:</w:t>
      </w:r>
    </w:p>
    <w:p w14:paraId="27EAD045" w14:textId="77777777" w:rsidR="00E41EFD" w:rsidRPr="00987EBD" w:rsidRDefault="00E41EFD" w:rsidP="00093ED0">
      <w:pPr>
        <w:pStyle w:val="ParNormal"/>
        <w:spacing w:before="0"/>
        <w:ind w:left="2268" w:firstLine="0"/>
        <w:contextualSpacing/>
      </w:pPr>
      <w:r w:rsidRPr="00987EBD">
        <w:t>1. revogado;</w:t>
      </w:r>
    </w:p>
    <w:p w14:paraId="76449F69" w14:textId="77777777" w:rsidR="00E41EFD" w:rsidRPr="00987EBD" w:rsidRDefault="00E41EFD" w:rsidP="00093ED0">
      <w:pPr>
        <w:pStyle w:val="ParNormal"/>
        <w:spacing w:before="0"/>
        <w:ind w:left="2268" w:firstLine="0"/>
        <w:contextualSpacing/>
      </w:pPr>
      <w:r w:rsidRPr="00987EBD">
        <w:t>2. com mercadoria que tenha sido recebida em operação interestadual tributada com alíquota superior a 7% (sete por cento), exceto se o crédito apropriado pelo contribuinte limitar-se a 7% (sete por cento);</w:t>
      </w:r>
    </w:p>
    <w:p w14:paraId="41A46FC3" w14:textId="146365E7" w:rsidR="00E41EFD" w:rsidRPr="00987EBD" w:rsidRDefault="00E41EFD" w:rsidP="00093ED0">
      <w:pPr>
        <w:pStyle w:val="ParNormal"/>
        <w:spacing w:before="0"/>
        <w:ind w:left="2268" w:firstLine="0"/>
        <w:contextualSpacing/>
        <w:rPr>
          <w:b/>
        </w:rPr>
      </w:pPr>
      <w:bookmarkStart w:id="169" w:name="A11XXXIII"/>
      <w:r w:rsidRPr="00987EBD">
        <w:rPr>
          <w:b/>
        </w:rPr>
        <w:t>XXXIII - revogado;</w:t>
      </w:r>
      <w:bookmarkEnd w:id="169"/>
    </w:p>
    <w:p w14:paraId="5C6065FA" w14:textId="3F6D8EFA" w:rsidR="00E41EFD" w:rsidRPr="00987EBD" w:rsidRDefault="00E41EFD" w:rsidP="00093ED0">
      <w:pPr>
        <w:pStyle w:val="ParNormal"/>
        <w:spacing w:before="0"/>
        <w:ind w:left="2268" w:firstLine="0"/>
        <w:contextualSpacing/>
        <w:rPr>
          <w:b/>
        </w:rPr>
      </w:pPr>
      <w:bookmarkStart w:id="170" w:name="A11XXXIV"/>
      <w:r w:rsidRPr="00987EBD">
        <w:rPr>
          <w:b/>
        </w:rPr>
        <w:t xml:space="preserve">XXXIV  - para o estabelecimento que efetuar as seguintes operações, o percentual a seguir especificado aplicado sobre o valor da base de cálculo correspondente, observado o disposto no </w:t>
      </w:r>
      <w:r w:rsidRPr="00E615D7">
        <w:rPr>
          <w:b/>
        </w:rPr>
        <w:t>§ 12</w:t>
      </w:r>
      <w:r w:rsidRPr="00987EBD">
        <w:rPr>
          <w:b/>
        </w:rPr>
        <w:t xml:space="preserve"> deste artigo (</w:t>
      </w:r>
      <w:r w:rsidRPr="00E615D7">
        <w:rPr>
          <w:b/>
        </w:rPr>
        <w:t>Lei nº 13.453/99</w:t>
      </w:r>
      <w:r w:rsidRPr="00987EBD">
        <w:rPr>
          <w:b/>
        </w:rPr>
        <w:t xml:space="preserve">, art. </w:t>
      </w:r>
      <w:r w:rsidRPr="00E615D7">
        <w:rPr>
          <w:b/>
        </w:rPr>
        <w:t>1º</w:t>
      </w:r>
      <w:r w:rsidRPr="00987EBD">
        <w:rPr>
          <w:b/>
        </w:rPr>
        <w:t xml:space="preserve">, </w:t>
      </w:r>
      <w:r w:rsidRPr="00E615D7">
        <w:rPr>
          <w:b/>
        </w:rPr>
        <w:t>I</w:t>
      </w:r>
      <w:r w:rsidRPr="00987EBD">
        <w:rPr>
          <w:b/>
        </w:rPr>
        <w:t>, “</w:t>
      </w:r>
      <w:r w:rsidRPr="00E615D7">
        <w:rPr>
          <w:b/>
        </w:rPr>
        <w:t>a</w:t>
      </w:r>
      <w:r w:rsidRPr="00987EBD">
        <w:rPr>
          <w:b/>
        </w:rPr>
        <w:t>”):</w:t>
      </w:r>
      <w:bookmarkEnd w:id="170"/>
    </w:p>
    <w:p w14:paraId="7935155D" w14:textId="0D70B4AB" w:rsidR="00E41EFD" w:rsidRPr="00987EBD" w:rsidRDefault="00E41EFD" w:rsidP="00093ED0">
      <w:pPr>
        <w:pStyle w:val="ParNormal"/>
        <w:spacing w:before="0"/>
        <w:ind w:left="2268" w:firstLine="0"/>
        <w:contextualSpacing/>
      </w:pPr>
      <w:r w:rsidRPr="00987EBD">
        <w:t>a) operação interna com leite em estado natural, pasteurizado ou esterilizado (UHT), 1% (um por cento) (</w:t>
      </w:r>
      <w:r w:rsidRPr="00E615D7">
        <w:t>Lei nº 13.453/99</w:t>
      </w:r>
      <w:r w:rsidRPr="00987EBD">
        <w:t xml:space="preserve">, art. </w:t>
      </w:r>
      <w:r w:rsidRPr="00E615D7">
        <w:t>1º</w:t>
      </w:r>
      <w:r w:rsidRPr="00987EBD">
        <w:t xml:space="preserve">, </w:t>
      </w:r>
      <w:r w:rsidRPr="00E615D7">
        <w:t>I</w:t>
      </w:r>
      <w:r w:rsidRPr="00987EBD">
        <w:t>, “</w:t>
      </w:r>
      <w:r w:rsidRPr="00E615D7">
        <w:t>a</w:t>
      </w:r>
      <w:r w:rsidRPr="00987EBD">
        <w:t xml:space="preserve">”, </w:t>
      </w:r>
      <w:r w:rsidRPr="00E615D7">
        <w:t>2</w:t>
      </w:r>
      <w:r w:rsidRPr="00987EBD">
        <w:t>);</w:t>
      </w:r>
    </w:p>
    <w:p w14:paraId="0481800F" w14:textId="77777777" w:rsidR="00E41EFD" w:rsidRPr="00987EBD" w:rsidRDefault="00E41EFD" w:rsidP="00093ED0">
      <w:pPr>
        <w:pStyle w:val="ParNormal"/>
        <w:spacing w:before="0"/>
        <w:ind w:left="2268" w:firstLine="0"/>
        <w:contextualSpacing/>
        <w:rPr>
          <w:lang w:eastAsia="pt-BR"/>
        </w:rPr>
      </w:pPr>
      <w:r w:rsidRPr="00987EBD">
        <w:rPr>
          <w:lang w:eastAsia="pt-BR"/>
        </w:rPr>
        <w:t xml:space="preserve">b) operação interestadual com feijão: </w:t>
      </w:r>
    </w:p>
    <w:p w14:paraId="771A68E2" w14:textId="77777777" w:rsidR="00E41EFD" w:rsidRPr="00987EBD" w:rsidRDefault="00E41EFD" w:rsidP="00093ED0">
      <w:pPr>
        <w:pStyle w:val="ParNormal"/>
        <w:spacing w:before="0"/>
        <w:ind w:left="2268" w:firstLine="0"/>
        <w:contextualSpacing/>
        <w:rPr>
          <w:lang w:eastAsia="pt-BR"/>
        </w:rPr>
      </w:pPr>
      <w:r w:rsidRPr="00987EBD">
        <w:t>1. industrializado no Estado de Goiás e que não tenha sido submetido a processo de industrialização fora dele 7% (sete por cento), em substituição a quaisquer créditos, exceto o correspondente à aquisição do feijão e do respectivo serviço de transporte, o qual fica limitado a 7% (sete por cento).</w:t>
      </w:r>
    </w:p>
    <w:p w14:paraId="4B369119" w14:textId="2C313B04" w:rsidR="00E41EFD" w:rsidRPr="00987EBD" w:rsidRDefault="00E41EFD" w:rsidP="00093ED0">
      <w:pPr>
        <w:pStyle w:val="ParNormal"/>
        <w:spacing w:before="0"/>
        <w:ind w:left="2268" w:firstLine="0"/>
        <w:contextualSpacing/>
      </w:pPr>
      <w:r w:rsidRPr="00987EBD">
        <w:rPr>
          <w:lang w:eastAsia="pt-BR"/>
        </w:rPr>
        <w:t>2. produzido no Estado de Goiás, que não tenha sido submetido a qualquer processo de industrialização, 7% (sete por cento), em substituição a quaisquer créditos (</w:t>
      </w:r>
      <w:r w:rsidRPr="00E615D7">
        <w:rPr>
          <w:lang w:eastAsia="pt-BR"/>
        </w:rPr>
        <w:t>Lei nº 13.453/99</w:t>
      </w:r>
      <w:r w:rsidRPr="00987EBD">
        <w:rPr>
          <w:lang w:eastAsia="pt-BR"/>
        </w:rPr>
        <w:t xml:space="preserve">, art. 1º, I, “i”, 2-A); </w:t>
      </w:r>
    </w:p>
    <w:p w14:paraId="0769549C" w14:textId="70CACE36" w:rsidR="00E41EFD" w:rsidRPr="00987EBD" w:rsidRDefault="00E41EFD" w:rsidP="00093ED0">
      <w:pPr>
        <w:pStyle w:val="ParNormal"/>
        <w:spacing w:before="0"/>
        <w:ind w:left="2268" w:firstLine="0"/>
        <w:contextualSpacing/>
        <w:rPr>
          <w:b/>
        </w:rPr>
      </w:pPr>
      <w:r w:rsidRPr="00987EBD">
        <w:rPr>
          <w:b/>
          <w:lang w:eastAsia="pt-BR"/>
        </w:rPr>
        <w:t xml:space="preserve">XXXV - para o estabelecimento industrial, na operação interestadual com produto relacionado no </w:t>
      </w:r>
      <w:r w:rsidRPr="00E615D7">
        <w:rPr>
          <w:b/>
          <w:lang w:eastAsia="pt-BR"/>
        </w:rPr>
        <w:t>Apêndice XXXII</w:t>
      </w:r>
      <w:r w:rsidRPr="00987EBD">
        <w:rPr>
          <w:b/>
          <w:lang w:eastAsia="pt-BR"/>
        </w:rPr>
        <w:t xml:space="preserve">, em cuja industrialização tenha sido utilizado leite como matéria-prima, </w:t>
      </w:r>
      <w:r w:rsidRPr="00987EBD">
        <w:rPr>
          <w:b/>
          <w:lang w:eastAsia="pt-BR"/>
        </w:rPr>
        <w:lastRenderedPageBreak/>
        <w:t>desde que o produto tenha sido fabricado pelo próprio industrial ou tenha sido industrializado por sua encomenda em outro estabelecimento situado no Estado de Goiás, o percentual de 7% (sete por cento) aplicado sobre o valor da base de cálculo, observado o seguinte (</w:t>
      </w:r>
      <w:r w:rsidRPr="00E615D7">
        <w:rPr>
          <w:b/>
          <w:lang w:eastAsia="pt-BR"/>
        </w:rPr>
        <w:t>Lei nº 13.453/99</w:t>
      </w:r>
      <w:r w:rsidRPr="00987EBD">
        <w:rPr>
          <w:b/>
          <w:lang w:eastAsia="pt-BR"/>
        </w:rPr>
        <w:t xml:space="preserve">, art. 1º, I, “s”): </w:t>
      </w:r>
    </w:p>
    <w:p w14:paraId="6EDFA70E" w14:textId="77777777" w:rsidR="00E41EFD" w:rsidRPr="00987EBD" w:rsidRDefault="00E41EFD" w:rsidP="00093ED0">
      <w:pPr>
        <w:pStyle w:val="ParNormal"/>
        <w:spacing w:before="0"/>
        <w:ind w:left="2268" w:firstLine="0"/>
        <w:contextualSpacing/>
      </w:pPr>
      <w:r w:rsidRPr="00987EBD">
        <w:t>a) revogada;</w:t>
      </w:r>
    </w:p>
    <w:p w14:paraId="1518C1BE" w14:textId="77777777" w:rsidR="00E41EFD" w:rsidRPr="00987EBD" w:rsidRDefault="00E41EFD" w:rsidP="00093ED0">
      <w:pPr>
        <w:pStyle w:val="ParNormal"/>
        <w:spacing w:before="0"/>
        <w:ind w:left="2268" w:firstLine="0"/>
        <w:contextualSpacing/>
      </w:pPr>
      <w:r w:rsidRPr="00987EBD">
        <w:t xml:space="preserve">b) revogada; </w:t>
      </w:r>
    </w:p>
    <w:p w14:paraId="71CD6106" w14:textId="77777777" w:rsidR="00E41EFD" w:rsidRPr="00987EBD" w:rsidRDefault="00E41EFD" w:rsidP="00093ED0">
      <w:pPr>
        <w:pStyle w:val="ParNormal"/>
        <w:spacing w:before="0"/>
        <w:ind w:left="2268" w:firstLine="0"/>
        <w:contextualSpacing/>
      </w:pPr>
      <w:r w:rsidRPr="00987EBD">
        <w:t>c) para determinação do valor do benefício, considera-se o somatório dos valores da coluna BASE CÁLCULO do livro Registro de Saídas, correspondentes às operações interestaduais do período, que fazem jus ao crédito, e sobre esse somatório aplica-se o percentual de crédito outorgado previsto;</w:t>
      </w:r>
    </w:p>
    <w:p w14:paraId="6F101C90" w14:textId="77777777" w:rsidR="00E41EFD" w:rsidRPr="00987EBD" w:rsidRDefault="00E41EFD" w:rsidP="00093ED0">
      <w:pPr>
        <w:pStyle w:val="ParNormal"/>
        <w:spacing w:before="0"/>
        <w:ind w:left="2268" w:firstLine="0"/>
        <w:contextualSpacing/>
      </w:pPr>
      <w:r w:rsidRPr="00987EBD">
        <w:t>d) na hipótese da operação interestadual ser realizada por estabelecimento produtor rural que não adota o regime periódico de apuração do ICMS, a apropriação do crédito outorgado deve ser feita por intermédio do órgão fazendário, no momento da emissão da documentação correspondente à operação ou prestação;</w:t>
      </w:r>
    </w:p>
    <w:p w14:paraId="5824A40A" w14:textId="77777777" w:rsidR="00E41EFD" w:rsidRPr="00987EBD" w:rsidRDefault="00E41EFD" w:rsidP="00093ED0">
      <w:pPr>
        <w:pStyle w:val="ParNormal"/>
        <w:spacing w:before="0"/>
        <w:ind w:left="2268" w:firstLine="0"/>
        <w:contextualSpacing/>
      </w:pPr>
      <w:r w:rsidRPr="00987EBD">
        <w:rPr>
          <w:lang w:eastAsia="pt-BR"/>
        </w:rPr>
        <w:t>e) o benefício não alcança a operação de saída em transferência, excetuado o caso autorizado e realizado nos termos de regime especial para tal fim celebrado com a Secretaria da Fazenda.</w:t>
      </w:r>
      <w:r w:rsidRPr="00987EBD">
        <w:rPr>
          <w:sz w:val="16"/>
          <w:szCs w:val="16"/>
        </w:rPr>
        <w:t xml:space="preserve"> </w:t>
      </w:r>
    </w:p>
    <w:p w14:paraId="10B60AD9" w14:textId="77777777" w:rsidR="00E41EFD" w:rsidRPr="00987EBD" w:rsidRDefault="00E41EFD" w:rsidP="00093ED0">
      <w:pPr>
        <w:pStyle w:val="ParNormal"/>
        <w:spacing w:before="0"/>
        <w:ind w:left="2268" w:firstLine="0"/>
        <w:contextualSpacing/>
        <w:rPr>
          <w:b/>
        </w:rPr>
      </w:pPr>
      <w:r w:rsidRPr="00987EBD">
        <w:rPr>
          <w:b/>
        </w:rPr>
        <w:t>XXXVI - revogado;</w:t>
      </w:r>
    </w:p>
    <w:p w14:paraId="32CAD9EF" w14:textId="77777777" w:rsidR="00E41EFD" w:rsidRPr="00987EBD" w:rsidRDefault="00E41EFD" w:rsidP="00093ED0">
      <w:pPr>
        <w:pStyle w:val="ParNormal"/>
        <w:spacing w:before="0"/>
        <w:ind w:left="2268" w:firstLine="0"/>
        <w:contextualSpacing/>
        <w:rPr>
          <w:b/>
        </w:rPr>
      </w:pPr>
      <w:r w:rsidRPr="00987EBD">
        <w:rPr>
          <w:b/>
        </w:rPr>
        <w:t>XXXVII - revogado;</w:t>
      </w:r>
    </w:p>
    <w:p w14:paraId="2B177B05" w14:textId="77777777" w:rsidR="00E41EFD" w:rsidRPr="00987EBD" w:rsidRDefault="00E41EFD" w:rsidP="00093ED0">
      <w:pPr>
        <w:pStyle w:val="ParNormal"/>
        <w:spacing w:before="0"/>
        <w:ind w:left="2268" w:firstLine="0"/>
        <w:contextualSpacing/>
        <w:rPr>
          <w:b/>
        </w:rPr>
      </w:pPr>
      <w:bookmarkStart w:id="171" w:name="A11XXXVIII"/>
      <w:r w:rsidRPr="00987EBD">
        <w:rPr>
          <w:b/>
        </w:rPr>
        <w:t>XXXVIII - revogado;</w:t>
      </w:r>
    </w:p>
    <w:bookmarkEnd w:id="171"/>
    <w:p w14:paraId="3ED73673" w14:textId="77777777" w:rsidR="00E41EFD" w:rsidRPr="00987EBD" w:rsidRDefault="00E41EFD" w:rsidP="00093ED0">
      <w:pPr>
        <w:pStyle w:val="ParNormal"/>
        <w:spacing w:before="0"/>
        <w:ind w:left="2268" w:firstLine="0"/>
        <w:contextualSpacing/>
        <w:rPr>
          <w:b/>
        </w:rPr>
      </w:pPr>
      <w:r w:rsidRPr="00987EBD">
        <w:rPr>
          <w:b/>
        </w:rPr>
        <w:t>XXXIX revogado;</w:t>
      </w:r>
    </w:p>
    <w:p w14:paraId="6150A621" w14:textId="157FCE22" w:rsidR="00E41EFD" w:rsidRPr="00987EBD" w:rsidRDefault="00E41EFD" w:rsidP="00093ED0">
      <w:pPr>
        <w:pStyle w:val="ParNormal"/>
        <w:spacing w:before="0"/>
        <w:ind w:left="2268" w:firstLine="0"/>
        <w:contextualSpacing/>
        <w:rPr>
          <w:b/>
        </w:rPr>
      </w:pPr>
      <w:bookmarkStart w:id="172" w:name="A11XL"/>
      <w:r w:rsidRPr="00987EBD">
        <w:rPr>
          <w:b/>
        </w:rPr>
        <w:t xml:space="preserve">XL - para o estabelecimento remetente, na saída interestadual de telha, tijolo, tijoleira e tapa-viga cerâmicos, não esmaltados nem vitrificados, o equivalente à aplicação de 5% (cinco por cento) sobre o valor da respectiva base de cálculo, ficando limitado à 7% (sete por cento) o crédito relativo à aquisição interestadual de mercadoria, observado o seguinte (Lei nº </w:t>
      </w:r>
      <w:r w:rsidRPr="00E615D7">
        <w:rPr>
          <w:b/>
        </w:rPr>
        <w:t>13.194/97</w:t>
      </w:r>
      <w:r w:rsidRPr="00987EBD">
        <w:rPr>
          <w:b/>
        </w:rPr>
        <w:t>, art. 2º, II, "b", 6):</w:t>
      </w:r>
    </w:p>
    <w:bookmarkEnd w:id="172"/>
    <w:p w14:paraId="6E021D59" w14:textId="77777777" w:rsidR="00E41EFD" w:rsidRPr="00987EBD" w:rsidRDefault="00E41EFD" w:rsidP="00093ED0">
      <w:pPr>
        <w:pStyle w:val="ParNormal"/>
        <w:spacing w:before="0"/>
        <w:ind w:left="2268" w:firstLine="0"/>
      </w:pPr>
      <w:r w:rsidRPr="00987EBD">
        <w:t>a) revogada;</w:t>
      </w:r>
    </w:p>
    <w:p w14:paraId="622CC59B" w14:textId="77777777" w:rsidR="00E41EFD" w:rsidRPr="00987EBD" w:rsidRDefault="00E41EFD" w:rsidP="00093ED0">
      <w:pPr>
        <w:pStyle w:val="ParNormal"/>
        <w:spacing w:before="0"/>
        <w:ind w:left="2268" w:firstLine="0"/>
      </w:pPr>
      <w:r w:rsidRPr="00987EBD">
        <w:t>b)  revogada;</w:t>
      </w:r>
    </w:p>
    <w:p w14:paraId="6AA5C943" w14:textId="57AE38D2" w:rsidR="00E41EFD" w:rsidRPr="00987EBD" w:rsidRDefault="00E41EFD" w:rsidP="00093ED0">
      <w:pPr>
        <w:pStyle w:val="ParNormal"/>
        <w:spacing w:before="0"/>
        <w:ind w:left="2268" w:firstLine="0"/>
        <w:rPr>
          <w:b/>
        </w:rPr>
      </w:pPr>
      <w:bookmarkStart w:id="173" w:name="A11XLI"/>
      <w:r w:rsidRPr="00987EBD">
        <w:rPr>
          <w:b/>
        </w:rPr>
        <w:t xml:space="preserve">XLI - para o industrial, observado as disposições das alíneas "c" e "d", o valor equivalente à aplicação do percentual de 5% (cinco por cento) sobre o valor de entrada de (Lei nº </w:t>
      </w:r>
      <w:r w:rsidRPr="00E615D7">
        <w:rPr>
          <w:b/>
        </w:rPr>
        <w:t>13.453/99</w:t>
      </w:r>
      <w:r w:rsidRPr="00987EBD">
        <w:rPr>
          <w:b/>
        </w:rPr>
        <w:t>, art. 2º, VI):</w:t>
      </w:r>
    </w:p>
    <w:p w14:paraId="7526F623" w14:textId="77777777" w:rsidR="00E41EFD" w:rsidRPr="00987EBD" w:rsidRDefault="00E41EFD" w:rsidP="00093ED0">
      <w:pPr>
        <w:pStyle w:val="ParNormal"/>
        <w:spacing w:before="0"/>
        <w:ind w:left="2268" w:firstLine="0"/>
      </w:pPr>
      <w:r w:rsidRPr="00987EBD">
        <w:t>a) produto resultante de reciclagem realizada no Estado de Goiás utilizado como matéria-prima no seu processo de industrialização;</w:t>
      </w:r>
    </w:p>
    <w:p w14:paraId="72BDA502" w14:textId="77777777" w:rsidR="00E41EFD" w:rsidRPr="00987EBD" w:rsidRDefault="00E41EFD" w:rsidP="00093ED0">
      <w:pPr>
        <w:pStyle w:val="ParNormal"/>
        <w:spacing w:before="0"/>
        <w:ind w:left="2268" w:firstLine="0"/>
      </w:pPr>
      <w:r w:rsidRPr="00987EBD">
        <w:t>b) embalagem e papel usados, sucata e apara de qualquer tipo de material, retalho, fragmento e resíduo cuja reciclagem resulte produto a ser utilizado como matéria-prima no seu processo de industrialização;</w:t>
      </w:r>
    </w:p>
    <w:p w14:paraId="70702726" w14:textId="77777777" w:rsidR="00E41EFD" w:rsidRPr="00987EBD" w:rsidRDefault="00E41EFD" w:rsidP="00093ED0">
      <w:pPr>
        <w:pStyle w:val="ParNormal"/>
        <w:spacing w:before="0"/>
        <w:ind w:left="2268" w:firstLine="0"/>
      </w:pPr>
      <w:r w:rsidRPr="00987EBD">
        <w:t>c)  revogada;</w:t>
      </w:r>
    </w:p>
    <w:p w14:paraId="199ACC87" w14:textId="77777777" w:rsidR="00E41EFD" w:rsidRPr="00987EBD" w:rsidRDefault="00E41EFD" w:rsidP="00093ED0">
      <w:pPr>
        <w:pStyle w:val="ParNormal"/>
        <w:spacing w:before="0"/>
        <w:ind w:left="2268" w:firstLine="0"/>
      </w:pPr>
      <w:r w:rsidRPr="00987EBD">
        <w:t>d) para determinação do valor do benefício, considera-se o somatório dos valores da coluna VALOR CONTÁBIL do livro Registro de Entradas, correspondentes às entradas do período dos produtos relacionados nas alíneas "a" e "b" e sobre esse somatório aplica-se o percentual do crédito outorgado previsto;</w:t>
      </w:r>
    </w:p>
    <w:p w14:paraId="62A503EC" w14:textId="77777777" w:rsidR="00E41EFD" w:rsidRPr="00987EBD" w:rsidRDefault="00E41EFD" w:rsidP="00093ED0">
      <w:pPr>
        <w:pStyle w:val="ParNormal"/>
        <w:spacing w:before="0"/>
        <w:ind w:left="2268" w:firstLine="0"/>
        <w:rPr>
          <w:b/>
        </w:rPr>
      </w:pPr>
      <w:bookmarkStart w:id="174" w:name="A11XLII"/>
      <w:bookmarkEnd w:id="173"/>
      <w:r w:rsidRPr="00987EBD">
        <w:rPr>
          <w:b/>
        </w:rPr>
        <w:t>XLII - revogado;</w:t>
      </w:r>
    </w:p>
    <w:p w14:paraId="6F946D5E" w14:textId="77777777" w:rsidR="00E41EFD" w:rsidRPr="00987EBD" w:rsidRDefault="00E41EFD" w:rsidP="00093ED0">
      <w:pPr>
        <w:pStyle w:val="ParNormal"/>
        <w:spacing w:before="0"/>
        <w:ind w:left="2268" w:firstLine="0"/>
        <w:rPr>
          <w:b/>
        </w:rPr>
      </w:pPr>
      <w:bookmarkStart w:id="175" w:name="A11XLIII"/>
      <w:bookmarkEnd w:id="174"/>
      <w:r w:rsidRPr="00987EBD">
        <w:rPr>
          <w:b/>
        </w:rPr>
        <w:t>XLIII - revogado;</w:t>
      </w:r>
    </w:p>
    <w:bookmarkEnd w:id="175"/>
    <w:p w14:paraId="2C3499EC" w14:textId="77777777" w:rsidR="00E41EFD" w:rsidRPr="00987EBD" w:rsidRDefault="00E41EFD" w:rsidP="00093ED0">
      <w:pPr>
        <w:pStyle w:val="ParNormal"/>
        <w:spacing w:before="0"/>
        <w:ind w:left="2268" w:firstLine="0"/>
        <w:rPr>
          <w:b/>
        </w:rPr>
      </w:pPr>
      <w:r w:rsidRPr="00987EBD">
        <w:rPr>
          <w:b/>
        </w:rPr>
        <w:t xml:space="preserve">XLIV - Revogado; </w:t>
      </w:r>
      <w:bookmarkStart w:id="176" w:name="A11XLV"/>
    </w:p>
    <w:p w14:paraId="7901C66D" w14:textId="77777777" w:rsidR="00E41EFD" w:rsidRPr="00987EBD" w:rsidRDefault="00E41EFD" w:rsidP="00093ED0">
      <w:pPr>
        <w:pStyle w:val="ParNormal"/>
        <w:spacing w:before="0"/>
        <w:ind w:left="2268" w:firstLine="0"/>
        <w:rPr>
          <w:b/>
        </w:rPr>
      </w:pPr>
      <w:r w:rsidRPr="00987EBD">
        <w:rPr>
          <w:b/>
        </w:rPr>
        <w:t>XLV - revogado.</w:t>
      </w:r>
    </w:p>
    <w:bookmarkEnd w:id="176"/>
    <w:p w14:paraId="54263FAE" w14:textId="77777777" w:rsidR="00E41EFD" w:rsidRPr="00987EBD" w:rsidRDefault="00E41EFD" w:rsidP="00093ED0">
      <w:pPr>
        <w:pStyle w:val="ParNormal"/>
        <w:spacing w:before="0"/>
        <w:ind w:left="2268" w:firstLine="0"/>
        <w:rPr>
          <w:b/>
        </w:rPr>
      </w:pPr>
      <w:r w:rsidRPr="00987EBD">
        <w:rPr>
          <w:b/>
        </w:rPr>
        <w:t>XLVI revogado;</w:t>
      </w:r>
    </w:p>
    <w:p w14:paraId="5A65C842" w14:textId="77777777" w:rsidR="00E41EFD" w:rsidRPr="00987EBD" w:rsidRDefault="00E41EFD" w:rsidP="00093ED0">
      <w:pPr>
        <w:pStyle w:val="ParNormal"/>
        <w:spacing w:before="0"/>
        <w:ind w:left="2268" w:firstLine="0"/>
        <w:rPr>
          <w:b/>
        </w:rPr>
      </w:pPr>
      <w:r w:rsidRPr="00987EBD">
        <w:rPr>
          <w:b/>
        </w:rPr>
        <w:t>XLVII - revogado;</w:t>
      </w:r>
    </w:p>
    <w:p w14:paraId="0DC061D9" w14:textId="77777777" w:rsidR="00E41EFD" w:rsidRPr="00987EBD" w:rsidRDefault="00E41EFD" w:rsidP="00093ED0">
      <w:pPr>
        <w:pStyle w:val="ParNormal"/>
        <w:spacing w:before="0"/>
        <w:ind w:left="2268" w:firstLine="0"/>
        <w:rPr>
          <w:b/>
        </w:rPr>
      </w:pPr>
      <w:bookmarkStart w:id="177" w:name="a11XLVIII"/>
      <w:r w:rsidRPr="00987EBD">
        <w:rPr>
          <w:b/>
        </w:rPr>
        <w:t>XLVIII - revogado;</w:t>
      </w:r>
    </w:p>
    <w:bookmarkEnd w:id="177"/>
    <w:p w14:paraId="28767B74" w14:textId="77777777" w:rsidR="00E41EFD" w:rsidRPr="00987EBD" w:rsidRDefault="00E41EFD" w:rsidP="00093ED0">
      <w:pPr>
        <w:pStyle w:val="ParNormal"/>
        <w:spacing w:before="0"/>
        <w:ind w:left="2268" w:firstLine="0"/>
        <w:contextualSpacing/>
        <w:rPr>
          <w:b/>
        </w:rPr>
      </w:pPr>
      <w:r w:rsidRPr="00987EBD">
        <w:rPr>
          <w:b/>
        </w:rPr>
        <w:lastRenderedPageBreak/>
        <w:t xml:space="preserve">XLIX - Revogado; </w:t>
      </w:r>
    </w:p>
    <w:p w14:paraId="646ADEC4" w14:textId="77777777" w:rsidR="00E41EFD" w:rsidRPr="00987EBD" w:rsidRDefault="00E41EFD" w:rsidP="00093ED0">
      <w:pPr>
        <w:pStyle w:val="ParNormal"/>
        <w:spacing w:before="0"/>
        <w:ind w:left="2268" w:firstLine="0"/>
        <w:rPr>
          <w:b/>
        </w:rPr>
      </w:pPr>
      <w:bookmarkStart w:id="178" w:name="A11L"/>
      <w:r w:rsidRPr="00987EBD">
        <w:rPr>
          <w:b/>
        </w:rPr>
        <w:t>L - revogado;</w:t>
      </w:r>
    </w:p>
    <w:p w14:paraId="72F0E5EF" w14:textId="2D0C3290" w:rsidR="00E41EFD" w:rsidRPr="00987EBD" w:rsidRDefault="00E41EFD" w:rsidP="00093ED0">
      <w:pPr>
        <w:pStyle w:val="ParNormal"/>
        <w:spacing w:before="0"/>
        <w:ind w:left="2268" w:firstLine="0"/>
        <w:rPr>
          <w:b/>
        </w:rPr>
      </w:pPr>
      <w:bookmarkStart w:id="179" w:name="A11LI"/>
      <w:bookmarkEnd w:id="178"/>
      <w:r w:rsidRPr="00987EBD">
        <w:rPr>
          <w:b/>
        </w:rPr>
        <w:t>LI - para o estabelecimento remetente na saída interestadual com pedra-de-pirenópolis (pedra goiás), o equivalente à aplicação de 5% (cinco por cento) sobre o valor da respectiva base de cálculo, observado o seguinte (</w:t>
      </w:r>
      <w:r w:rsidRPr="00E615D7">
        <w:rPr>
          <w:b/>
        </w:rPr>
        <w:t>Lei nº 13.194/97</w:t>
      </w:r>
      <w:r w:rsidRPr="00987EBD">
        <w:rPr>
          <w:b/>
        </w:rPr>
        <w:t>, art. 2º, II, "s"):</w:t>
      </w:r>
    </w:p>
    <w:p w14:paraId="1EB1EEC6" w14:textId="77777777" w:rsidR="00E41EFD" w:rsidRPr="00987EBD" w:rsidRDefault="00E41EFD" w:rsidP="00093ED0">
      <w:pPr>
        <w:pStyle w:val="ParNormal"/>
        <w:spacing w:before="0"/>
        <w:ind w:left="2268" w:firstLine="0"/>
      </w:pPr>
      <w:r w:rsidRPr="00987EBD">
        <w:t>a)  revogada;</w:t>
      </w:r>
    </w:p>
    <w:p w14:paraId="2B21D99A" w14:textId="77777777" w:rsidR="00E41EFD" w:rsidRPr="00987EBD" w:rsidRDefault="00E41EFD" w:rsidP="00093ED0">
      <w:pPr>
        <w:pStyle w:val="ParNormal"/>
        <w:spacing w:before="0"/>
        <w:ind w:left="2268" w:firstLine="0"/>
      </w:pPr>
      <w:r w:rsidRPr="00987EBD">
        <w:t>b)  revogada;</w:t>
      </w:r>
    </w:p>
    <w:p w14:paraId="4CA5C136" w14:textId="77777777" w:rsidR="00E41EFD" w:rsidRPr="00987EBD" w:rsidRDefault="00E41EFD" w:rsidP="00093ED0">
      <w:pPr>
        <w:pStyle w:val="ParNormal"/>
        <w:spacing w:before="0"/>
        <w:ind w:left="2268" w:firstLine="0"/>
      </w:pPr>
      <w:r w:rsidRPr="00987EBD">
        <w:t>c) para determinação do valor do benefício, considera-se o somatório dos valores da coluna BASE CÁLCULO do livro Registro de Saídas, correspondentes às operações interestaduais do período, que fazem jus ao crédito, e sobre esse somatório aplica-se o percentual de crédito outorgado previsto;</w:t>
      </w:r>
    </w:p>
    <w:p w14:paraId="0DF20D69" w14:textId="77777777" w:rsidR="00E41EFD" w:rsidRPr="00987EBD" w:rsidRDefault="00E41EFD" w:rsidP="00093ED0">
      <w:pPr>
        <w:pStyle w:val="ParNormal"/>
        <w:spacing w:before="0"/>
        <w:ind w:left="2268" w:firstLine="0"/>
      </w:pPr>
      <w:r w:rsidRPr="00987EBD">
        <w:t>d) é vedado o aproveitamento de quaisquer créditos do ICMS relativos à entrada e ao serviço utilizado;</w:t>
      </w:r>
    </w:p>
    <w:p w14:paraId="19F931FD" w14:textId="77777777" w:rsidR="00E41EFD" w:rsidRPr="00987EBD" w:rsidRDefault="00E41EFD" w:rsidP="00093ED0">
      <w:pPr>
        <w:pStyle w:val="ParNormal"/>
        <w:spacing w:before="0"/>
        <w:ind w:left="2268" w:firstLine="0"/>
      </w:pPr>
      <w:r w:rsidRPr="00987EBD">
        <w:t>e) o benefício não alcança a operação interestadual:</w:t>
      </w:r>
    </w:p>
    <w:p w14:paraId="07FF7D46" w14:textId="77777777" w:rsidR="00E41EFD" w:rsidRPr="00987EBD" w:rsidRDefault="00E41EFD" w:rsidP="00093ED0">
      <w:pPr>
        <w:pStyle w:val="ParNormal"/>
        <w:spacing w:before="0"/>
        <w:ind w:left="2268" w:firstLine="0"/>
      </w:pPr>
      <w:r w:rsidRPr="00987EBD">
        <w:t>1. revogado;</w:t>
      </w:r>
    </w:p>
    <w:p w14:paraId="6F75890B" w14:textId="77777777" w:rsidR="00E41EFD" w:rsidRPr="00987EBD" w:rsidRDefault="00E41EFD" w:rsidP="00093ED0">
      <w:pPr>
        <w:pStyle w:val="ParNormal"/>
        <w:spacing w:before="0"/>
        <w:ind w:left="2268" w:firstLine="0"/>
        <w:contextualSpacing/>
      </w:pPr>
      <w:r w:rsidRPr="00987EBD">
        <w:t>2. de saída em transferência, excetuado o caso autorizado e realizado nos termos de regime especial para tal fim celebrado com a Secretaria da Fazenda;</w:t>
      </w:r>
    </w:p>
    <w:p w14:paraId="0B17680E" w14:textId="77777777" w:rsidR="00E41EFD" w:rsidRPr="00987EBD" w:rsidRDefault="00E41EFD" w:rsidP="00093ED0">
      <w:pPr>
        <w:pStyle w:val="ParNormal"/>
        <w:spacing w:before="0"/>
        <w:ind w:left="2268" w:firstLine="0"/>
        <w:contextualSpacing/>
      </w:pPr>
      <w:r w:rsidRPr="00987EBD">
        <w:t>3. de saída de produto que tenha sido submetido, fora do Estado de Goiás, a qualquer processo de industrialização;</w:t>
      </w:r>
    </w:p>
    <w:p w14:paraId="1BFF9AB5" w14:textId="7C2B4F20" w:rsidR="00E41EFD" w:rsidRPr="00987EBD" w:rsidRDefault="00E41EFD" w:rsidP="00093ED0">
      <w:pPr>
        <w:pStyle w:val="ParNormal"/>
        <w:spacing w:before="0"/>
        <w:ind w:left="2268" w:firstLine="0"/>
        <w:contextualSpacing/>
        <w:rPr>
          <w:b/>
        </w:rPr>
      </w:pPr>
      <w:bookmarkStart w:id="180" w:name="A11LII"/>
      <w:r w:rsidRPr="00987EBD">
        <w:rPr>
          <w:b/>
        </w:rPr>
        <w:t>LII - para o industrial fabricante de vestuário, de roupas de cama, de mesa e de banho ou para estabelecimento atacadista a ele pertencente, o equivalente à aplicação do percentual de 12% (doze por cento) sobre o valor da base de cálculo correspondente à operação interestadual com produto de fabricação própria destinado à comercialização ou industrialização, observado o seguinte (</w:t>
      </w:r>
      <w:r w:rsidRPr="00E615D7">
        <w:rPr>
          <w:b/>
        </w:rPr>
        <w:t>Lei nº 13.453/99</w:t>
      </w:r>
      <w:r w:rsidRPr="00987EBD">
        <w:rPr>
          <w:b/>
        </w:rPr>
        <w:t>, art. 1º, I, “m”):</w:t>
      </w:r>
      <w:r w:rsidRPr="00987EBD">
        <w:rPr>
          <w:b/>
          <w:sz w:val="16"/>
          <w:szCs w:val="16"/>
        </w:rPr>
        <w:t xml:space="preserve"> </w:t>
      </w:r>
      <w:bookmarkEnd w:id="180"/>
    </w:p>
    <w:p w14:paraId="37DEDF61" w14:textId="77777777" w:rsidR="00E41EFD" w:rsidRPr="00987EBD" w:rsidRDefault="00E41EFD" w:rsidP="00093ED0">
      <w:pPr>
        <w:pStyle w:val="ParNormal"/>
        <w:spacing w:before="0"/>
        <w:ind w:left="2268" w:firstLine="0"/>
      </w:pPr>
      <w:r w:rsidRPr="00987EBD">
        <w:t>a) é vedado o aproveitamento de quaisquer créditos do ICMS relativos à entrada e ao serviço utilizado;</w:t>
      </w:r>
      <w:r w:rsidRPr="00987EBD">
        <w:rPr>
          <w:sz w:val="16"/>
          <w:szCs w:val="16"/>
        </w:rPr>
        <w:t xml:space="preserve"> </w:t>
      </w:r>
    </w:p>
    <w:p w14:paraId="7C2C6CF8" w14:textId="746C22C0" w:rsidR="00E41EFD" w:rsidRPr="00987EBD" w:rsidRDefault="00E41EFD" w:rsidP="00093ED0">
      <w:pPr>
        <w:pStyle w:val="ParNormal"/>
        <w:spacing w:before="0"/>
        <w:ind w:left="2268" w:firstLine="0"/>
      </w:pPr>
      <w:r w:rsidRPr="00987EBD">
        <w:t>b) o benefício aplica-se, inclusive, ao vestuário, às roupas de cama, de mesa e de banho cuja industrialização tenha sido efetuada por terceiro situado no Estado de Goiás por encomenda do industrial fabricante (</w:t>
      </w:r>
      <w:r w:rsidRPr="00E615D7">
        <w:t>Lei nº 13.453/99</w:t>
      </w:r>
      <w:r w:rsidRPr="00987EBD">
        <w:t>, art. 1º, § 8º);</w:t>
      </w:r>
      <w:r w:rsidRPr="00987EBD">
        <w:rPr>
          <w:sz w:val="16"/>
          <w:szCs w:val="16"/>
        </w:rPr>
        <w:t xml:space="preserve"> </w:t>
      </w:r>
    </w:p>
    <w:p w14:paraId="4F5D530A" w14:textId="5E5A7D7B" w:rsidR="00E41EFD" w:rsidRPr="00987EBD" w:rsidRDefault="00E41EFD" w:rsidP="00093ED0">
      <w:pPr>
        <w:pStyle w:val="ParNormal"/>
        <w:spacing w:before="0"/>
        <w:ind w:left="2268" w:firstLine="0"/>
        <w:rPr>
          <w:b/>
        </w:rPr>
      </w:pPr>
      <w:bookmarkStart w:id="181" w:name="A11LIII"/>
      <w:r w:rsidRPr="00987EBD">
        <w:rPr>
          <w:b/>
        </w:rPr>
        <w:t>LIII - para o industrial fabricante de vestuário, de roupas de cama, de mesa e de banho ou para estabelecimento atacadista a ele pertencente, o equivalente à aplicação do percentual de 10% (dez por cento) sobre o valor da base de cálculo correspondente à operação de venda interna com produto de fabricação própria destinado à comercialização ou industrialização, observado o seguinte (</w:t>
      </w:r>
      <w:r w:rsidRPr="00E615D7">
        <w:rPr>
          <w:b/>
        </w:rPr>
        <w:t>Lei nº 13.453/99</w:t>
      </w:r>
      <w:r w:rsidRPr="00987EBD">
        <w:rPr>
          <w:b/>
        </w:rPr>
        <w:t>, art. 1º, I, “n”):</w:t>
      </w:r>
      <w:r w:rsidRPr="00987EBD">
        <w:rPr>
          <w:b/>
          <w:sz w:val="16"/>
          <w:szCs w:val="16"/>
        </w:rPr>
        <w:t xml:space="preserve"> </w:t>
      </w:r>
      <w:bookmarkEnd w:id="181"/>
    </w:p>
    <w:p w14:paraId="4A4784AB" w14:textId="77777777" w:rsidR="00E41EFD" w:rsidRPr="00987EBD" w:rsidRDefault="00E41EFD" w:rsidP="00093ED0">
      <w:pPr>
        <w:pStyle w:val="ParNormal"/>
        <w:spacing w:before="0"/>
        <w:ind w:left="2268" w:firstLine="0"/>
      </w:pPr>
      <w:r w:rsidRPr="00987EBD">
        <w:t>a) é vedado o aproveitamento de quaisquer créditos do ICMS relativos à entrada e ao serviço utilizado;</w:t>
      </w:r>
      <w:r w:rsidRPr="00987EBD">
        <w:rPr>
          <w:sz w:val="16"/>
          <w:szCs w:val="16"/>
        </w:rPr>
        <w:t xml:space="preserve"> </w:t>
      </w:r>
    </w:p>
    <w:p w14:paraId="34B96C63" w14:textId="0B299FDF" w:rsidR="00E41EFD" w:rsidRPr="00987EBD" w:rsidRDefault="00E41EFD" w:rsidP="00093ED0">
      <w:pPr>
        <w:pStyle w:val="ParNormal"/>
        <w:spacing w:before="0"/>
        <w:ind w:left="2268" w:firstLine="0"/>
      </w:pPr>
      <w:bookmarkStart w:id="182" w:name="A11LIIIb"/>
      <w:r w:rsidRPr="00987EBD">
        <w:t>b) o benefício aplica-se, inclusive, ao vestuário, às roupas de cama, de mesa e de banho cuja industrialização tenha sido efetuada por terceiro situado no Estado de Goiás por encomenda do industrial fabricante (</w:t>
      </w:r>
      <w:r w:rsidRPr="00E615D7">
        <w:t>Lei nº 13.453/99</w:t>
      </w:r>
      <w:r w:rsidRPr="00987EBD">
        <w:t>, art. 1º, § 8º);</w:t>
      </w:r>
      <w:bookmarkEnd w:id="182"/>
      <w:r w:rsidRPr="00987EBD">
        <w:rPr>
          <w:sz w:val="16"/>
          <w:szCs w:val="16"/>
        </w:rPr>
        <w:t xml:space="preserve"> </w:t>
      </w:r>
    </w:p>
    <w:p w14:paraId="487FEAC1" w14:textId="46822375" w:rsidR="00E41EFD" w:rsidRPr="00987EBD" w:rsidRDefault="00E41EFD" w:rsidP="00093ED0">
      <w:pPr>
        <w:pStyle w:val="ParNormal"/>
        <w:spacing w:before="0"/>
        <w:ind w:left="2268" w:firstLine="0"/>
        <w:rPr>
          <w:b/>
        </w:rPr>
      </w:pPr>
      <w:bookmarkStart w:id="183" w:name="A11LIV"/>
      <w:r w:rsidRPr="00987EBD">
        <w:rPr>
          <w:b/>
        </w:rPr>
        <w:t xml:space="preserve">LIV - para o industrial fabricante de vestuário, de roupas de cama, de mesa e de banho, o equivalente à aplicação do percentual 10% (dez por cento) sobre o valor da base de cálculo correspondente à transferência interna de produto de fabricação própria destinado à </w:t>
      </w:r>
      <w:r w:rsidRPr="00987EBD">
        <w:rPr>
          <w:b/>
        </w:rPr>
        <w:lastRenderedPageBreak/>
        <w:t>comercialização em estabelecimento varejista a ele pertencente, observado o seguinte (</w:t>
      </w:r>
      <w:r w:rsidRPr="00E615D7">
        <w:rPr>
          <w:b/>
        </w:rPr>
        <w:t>Lei nº 13.453/99</w:t>
      </w:r>
      <w:r w:rsidRPr="00987EBD">
        <w:rPr>
          <w:b/>
        </w:rPr>
        <w:t>, art. 1º, I, “o”):</w:t>
      </w:r>
      <w:r w:rsidRPr="00987EBD">
        <w:rPr>
          <w:b/>
          <w:sz w:val="16"/>
          <w:szCs w:val="16"/>
        </w:rPr>
        <w:t xml:space="preserve"> </w:t>
      </w:r>
      <w:bookmarkEnd w:id="183"/>
    </w:p>
    <w:p w14:paraId="6E5DD151" w14:textId="77777777" w:rsidR="00E41EFD" w:rsidRPr="00987EBD" w:rsidRDefault="00E41EFD" w:rsidP="00093ED0">
      <w:pPr>
        <w:pStyle w:val="ParNormal"/>
        <w:spacing w:before="0"/>
        <w:ind w:left="2268" w:firstLine="0"/>
      </w:pPr>
      <w:r w:rsidRPr="00987EBD">
        <w:t>a) é vedado o aproveitamento de quaisquer créditos do ICMS relativos à entrada e ao serviço utilizado;</w:t>
      </w:r>
      <w:r w:rsidRPr="00987EBD">
        <w:rPr>
          <w:sz w:val="16"/>
          <w:szCs w:val="16"/>
        </w:rPr>
        <w:t xml:space="preserve"> </w:t>
      </w:r>
    </w:p>
    <w:p w14:paraId="2033FD26" w14:textId="55F0C7A1" w:rsidR="00E41EFD" w:rsidRPr="00987EBD" w:rsidRDefault="00E41EFD" w:rsidP="00093ED0">
      <w:pPr>
        <w:pStyle w:val="ParNormal"/>
        <w:spacing w:before="0"/>
        <w:ind w:left="2268" w:firstLine="0"/>
        <w:rPr>
          <w:lang w:eastAsia="ja-JP"/>
        </w:rPr>
      </w:pPr>
      <w:bookmarkStart w:id="184" w:name="A11LIVb"/>
      <w:bookmarkStart w:id="185" w:name="A11LV"/>
      <w:bookmarkEnd w:id="179"/>
      <w:r w:rsidRPr="00987EBD">
        <w:t>b) o benefício aplica-se, inclusive, ao vestuário, às roupas de cama, de mesa e de banho, cuja industrialização tenha sido efetuada por terceiro situado no Estado de Goiás por encomenda do industrial fabricante (</w:t>
      </w:r>
      <w:r w:rsidRPr="00E615D7">
        <w:t>Lei nº 13.453/99</w:t>
      </w:r>
      <w:r w:rsidRPr="00987EBD">
        <w:t>, art. 1º, § 8º).</w:t>
      </w:r>
      <w:bookmarkEnd w:id="184"/>
      <w:r w:rsidRPr="00987EBD">
        <w:rPr>
          <w:sz w:val="16"/>
          <w:szCs w:val="16"/>
        </w:rPr>
        <w:t xml:space="preserve"> </w:t>
      </w:r>
    </w:p>
    <w:p w14:paraId="058363DD" w14:textId="75D94ECF" w:rsidR="00E41EFD" w:rsidRPr="00987EBD" w:rsidRDefault="00E41EFD" w:rsidP="00093ED0">
      <w:pPr>
        <w:pStyle w:val="ParNormal"/>
        <w:spacing w:before="0"/>
        <w:ind w:left="2268" w:firstLine="0"/>
        <w:rPr>
          <w:b/>
        </w:rPr>
      </w:pPr>
      <w:bookmarkStart w:id="186" w:name="A11LVI"/>
      <w:bookmarkEnd w:id="185"/>
      <w:r w:rsidRPr="00987EBD">
        <w:rPr>
          <w:b/>
        </w:rPr>
        <w:t>LV - para o estabelecimento remetente, o equivalente à aplicação do percentual de 4% (quatro por cento) sobre o valor da base de cálculo correspondente à operação interestadual com veículo automotor caminhão com peso em carga máxima superior a 5 (cinco) toneladas e caminhão trator (</w:t>
      </w:r>
      <w:r w:rsidRPr="00E615D7">
        <w:rPr>
          <w:b/>
        </w:rPr>
        <w:t>Lei nº 13.453/99</w:t>
      </w:r>
      <w:r w:rsidRPr="00987EBD">
        <w:rPr>
          <w:b/>
        </w:rPr>
        <w:t>, art. 1º, I, “p”);</w:t>
      </w:r>
      <w:r w:rsidRPr="00987EBD">
        <w:rPr>
          <w:b/>
          <w:sz w:val="16"/>
          <w:szCs w:val="16"/>
        </w:rPr>
        <w:t xml:space="preserve"> </w:t>
      </w:r>
    </w:p>
    <w:p w14:paraId="1C9ACC96" w14:textId="29BC1AB8" w:rsidR="00E41EFD" w:rsidRPr="00987EBD" w:rsidRDefault="00E41EFD" w:rsidP="00093ED0">
      <w:pPr>
        <w:pStyle w:val="ParNormal"/>
        <w:spacing w:before="0"/>
        <w:ind w:left="2268" w:firstLine="0"/>
        <w:rPr>
          <w:b/>
          <w:lang w:eastAsia="ja-JP"/>
        </w:rPr>
      </w:pPr>
      <w:r w:rsidRPr="00987EBD">
        <w:rPr>
          <w:b/>
          <w:lang w:eastAsia="ja-JP"/>
        </w:rPr>
        <w:t>LVI - para o estabelecimento remetente, o equivalente à aplicação do percentual de 4% (quatro por cento) sobre o valor da base de cálculo correspondente à operação interestadual com veículo automotor ônibus ou com chassi com motor para ônibus (</w:t>
      </w:r>
      <w:r w:rsidRPr="00E615D7">
        <w:rPr>
          <w:b/>
          <w:lang w:eastAsia="ja-JP"/>
        </w:rPr>
        <w:t>Lei nº 13.453/99</w:t>
      </w:r>
      <w:r w:rsidRPr="00987EBD">
        <w:rPr>
          <w:b/>
          <w:lang w:eastAsia="ja-JP"/>
        </w:rPr>
        <w:t>, art. 1º, I, "p").</w:t>
      </w:r>
    </w:p>
    <w:p w14:paraId="79A74BEA" w14:textId="04264414" w:rsidR="00E41EFD" w:rsidRPr="00987EBD" w:rsidRDefault="00E41EFD" w:rsidP="00093ED0">
      <w:pPr>
        <w:pStyle w:val="ParNormal"/>
        <w:spacing w:before="0"/>
        <w:ind w:left="2268" w:firstLine="0"/>
        <w:contextualSpacing/>
        <w:rPr>
          <w:b/>
        </w:rPr>
      </w:pPr>
      <w:bookmarkStart w:id="187" w:name="A11LVIIa"/>
      <w:bookmarkStart w:id="188" w:name="A11LVII"/>
      <w:bookmarkEnd w:id="186"/>
      <w:r w:rsidRPr="00987EBD">
        <w:rPr>
          <w:b/>
          <w:lang w:eastAsia="pt-BR"/>
        </w:rPr>
        <w:t xml:space="preserve">LVII - para o industrial de veículo automotor e para o industrial fabricante de extintores de incêndio descartáveis de polímero de engenharia, de uso automotivo e cilindros em polímero para uso de GLP, beneficiários do Programa de Desenvolvimento Industrial de Goiás -PRODUZIR-, que implantar ou ampliar empreendimento industrial no Estado de Goiás, nos limites, nas formas e condições estabelecidos em termo de acordo de regime especial celebrado com a Secretaria da Fazenda, observado o disposto nos </w:t>
      </w:r>
      <w:r w:rsidRPr="00987EBD">
        <w:rPr>
          <w:b/>
          <w:szCs w:val="16"/>
        </w:rPr>
        <w:t xml:space="preserve">§§ </w:t>
      </w:r>
      <w:r w:rsidRPr="00E615D7">
        <w:rPr>
          <w:b/>
          <w:szCs w:val="22"/>
        </w:rPr>
        <w:t>21</w:t>
      </w:r>
      <w:r w:rsidRPr="00987EBD">
        <w:rPr>
          <w:b/>
          <w:szCs w:val="22"/>
        </w:rPr>
        <w:t xml:space="preserve">, </w:t>
      </w:r>
      <w:r w:rsidRPr="00E615D7">
        <w:rPr>
          <w:b/>
          <w:szCs w:val="22"/>
        </w:rPr>
        <w:t>22</w:t>
      </w:r>
      <w:r w:rsidRPr="00987EBD">
        <w:rPr>
          <w:b/>
          <w:szCs w:val="22"/>
        </w:rPr>
        <w:t xml:space="preserve">, </w:t>
      </w:r>
      <w:r w:rsidRPr="00E615D7">
        <w:rPr>
          <w:b/>
          <w:szCs w:val="22"/>
        </w:rPr>
        <w:t>22-A</w:t>
      </w:r>
      <w:r w:rsidRPr="00987EBD">
        <w:rPr>
          <w:b/>
          <w:szCs w:val="22"/>
        </w:rPr>
        <w:t xml:space="preserve">, </w:t>
      </w:r>
      <w:r w:rsidRPr="00E615D7">
        <w:rPr>
          <w:b/>
          <w:szCs w:val="22"/>
        </w:rPr>
        <w:t>23</w:t>
      </w:r>
      <w:r w:rsidRPr="00987EBD">
        <w:rPr>
          <w:b/>
          <w:szCs w:val="22"/>
        </w:rPr>
        <w:t xml:space="preserve">, </w:t>
      </w:r>
      <w:r w:rsidRPr="00E615D7">
        <w:rPr>
          <w:b/>
          <w:szCs w:val="22"/>
        </w:rPr>
        <w:t>24</w:t>
      </w:r>
      <w:r w:rsidRPr="00987EBD">
        <w:rPr>
          <w:b/>
          <w:szCs w:val="22"/>
        </w:rPr>
        <w:t xml:space="preserve"> </w:t>
      </w:r>
      <w:r w:rsidRPr="00E615D7">
        <w:rPr>
          <w:b/>
          <w:szCs w:val="22"/>
        </w:rPr>
        <w:t>25</w:t>
      </w:r>
      <w:r w:rsidRPr="00987EBD">
        <w:rPr>
          <w:b/>
          <w:szCs w:val="22"/>
        </w:rPr>
        <w:t xml:space="preserve">, </w:t>
      </w:r>
      <w:r w:rsidRPr="00E615D7">
        <w:rPr>
          <w:b/>
          <w:szCs w:val="22"/>
        </w:rPr>
        <w:t>26</w:t>
      </w:r>
      <w:r w:rsidRPr="00987EBD">
        <w:rPr>
          <w:b/>
          <w:szCs w:val="22"/>
        </w:rPr>
        <w:t xml:space="preserve">, </w:t>
      </w:r>
      <w:r w:rsidRPr="00E615D7">
        <w:rPr>
          <w:b/>
          <w:szCs w:val="22"/>
        </w:rPr>
        <w:t>27</w:t>
      </w:r>
      <w:r w:rsidRPr="00987EBD">
        <w:rPr>
          <w:b/>
          <w:szCs w:val="22"/>
        </w:rPr>
        <w:t xml:space="preserve">, </w:t>
      </w:r>
      <w:r w:rsidRPr="00E615D7">
        <w:rPr>
          <w:b/>
          <w:szCs w:val="22"/>
        </w:rPr>
        <w:t>28</w:t>
      </w:r>
      <w:r w:rsidRPr="00987EBD">
        <w:rPr>
          <w:b/>
          <w:szCs w:val="22"/>
        </w:rPr>
        <w:t xml:space="preserve"> e </w:t>
      </w:r>
      <w:r w:rsidRPr="00E615D7">
        <w:rPr>
          <w:b/>
          <w:szCs w:val="22"/>
        </w:rPr>
        <w:t>29</w:t>
      </w:r>
      <w:r w:rsidRPr="00987EBD">
        <w:rPr>
          <w:b/>
          <w:szCs w:val="22"/>
        </w:rPr>
        <w:t>, no valor equivalente a até (</w:t>
      </w:r>
      <w:r w:rsidRPr="00E615D7">
        <w:rPr>
          <w:b/>
          <w:szCs w:val="22"/>
        </w:rPr>
        <w:t>Lei nº 16.671/09</w:t>
      </w:r>
      <w:r w:rsidRPr="00987EBD">
        <w:rPr>
          <w:b/>
          <w:szCs w:val="22"/>
        </w:rPr>
        <w:t>, art. 1º, Parágrafo único e art. 3º)</w:t>
      </w:r>
      <w:r w:rsidRPr="00987EBD">
        <w:rPr>
          <w:b/>
          <w:lang w:eastAsia="pt-BR"/>
        </w:rPr>
        <w:t xml:space="preserve"> </w:t>
      </w:r>
    </w:p>
    <w:p w14:paraId="22183D68" w14:textId="713EA89E" w:rsidR="00E41EFD" w:rsidRPr="00987EBD" w:rsidRDefault="00E41EFD" w:rsidP="00093ED0">
      <w:pPr>
        <w:pStyle w:val="ParNormal"/>
        <w:spacing w:before="0"/>
        <w:ind w:left="2268" w:firstLine="0"/>
        <w:contextualSpacing/>
      </w:pPr>
      <w:bookmarkStart w:id="189" w:name="A11LVIIb"/>
      <w:bookmarkEnd w:id="187"/>
      <w:r w:rsidRPr="00987EBD">
        <w:t xml:space="preserve">a) 85% (oitenta e cinco por cento) do saldo devedor do imposto correspondente à saída de mercadorias não abrangidas pela aplicação do incentivo do PRODUZIR (Lei nº </w:t>
      </w:r>
      <w:r w:rsidRPr="00E615D7">
        <w:t>20.367</w:t>
      </w:r>
      <w:r w:rsidRPr="00987EBD">
        <w:t>, art. 3º, § 3º, I);</w:t>
      </w:r>
    </w:p>
    <w:bookmarkEnd w:id="189"/>
    <w:p w14:paraId="16F879C1" w14:textId="0209001C" w:rsidR="00E41EFD" w:rsidRPr="00987EBD" w:rsidRDefault="00E41EFD" w:rsidP="00093ED0">
      <w:pPr>
        <w:pStyle w:val="ParNormal"/>
        <w:spacing w:before="0"/>
        <w:ind w:left="2268" w:firstLine="0"/>
        <w:contextualSpacing/>
      </w:pPr>
      <w:r w:rsidRPr="00987EBD">
        <w:t xml:space="preserve">b) 44,44% (quarenta e quatro inteiros e quarenta e quatro centésimos por cento) do valor da parcela não incentivada do imposto (Lei nº </w:t>
      </w:r>
      <w:r w:rsidRPr="00E615D7">
        <w:t>20.367</w:t>
      </w:r>
      <w:r w:rsidRPr="00987EBD">
        <w:t xml:space="preserve">, art. 3º, § 3º, I); </w:t>
      </w:r>
    </w:p>
    <w:p w14:paraId="556392B7" w14:textId="77777777" w:rsidR="00E41EFD" w:rsidRPr="00987EBD" w:rsidRDefault="00E41EFD" w:rsidP="00093ED0">
      <w:pPr>
        <w:pStyle w:val="ParNormal"/>
        <w:spacing w:before="0"/>
        <w:ind w:left="2268" w:firstLine="0"/>
        <w:contextualSpacing/>
      </w:pPr>
      <w:bookmarkStart w:id="190" w:name="A11LVIIc"/>
      <w:bookmarkEnd w:id="188"/>
      <w:r w:rsidRPr="00987EBD">
        <w:t>c) R$90.000.000,00 (noventa milhões de reais), em até 60 (sessenta) parcelas mensais, iguais e sucessivas;</w:t>
      </w:r>
      <w:bookmarkEnd w:id="190"/>
      <w:r w:rsidRPr="00987EBD">
        <w:t xml:space="preserve"> </w:t>
      </w:r>
    </w:p>
    <w:p w14:paraId="680059C2" w14:textId="6F7EE01D" w:rsidR="00E41EFD" w:rsidRPr="00987EBD" w:rsidRDefault="00E41EFD" w:rsidP="00093ED0">
      <w:pPr>
        <w:pStyle w:val="ParNormal"/>
        <w:spacing w:before="0"/>
        <w:ind w:left="2268" w:firstLine="0"/>
        <w:contextualSpacing/>
        <w:rPr>
          <w:b/>
        </w:rPr>
      </w:pPr>
      <w:bookmarkStart w:id="191" w:name="A11LVIII"/>
      <w:r w:rsidRPr="00987EBD">
        <w:rPr>
          <w:b/>
        </w:rPr>
        <w:t xml:space="preserve">LVIII - para o industrial de veículo automotor, beneficiário do Fundo de Participação e Fomento à Industrialização do Estado de Goiás -Fomentar-, que ampliar empreendimento industrial no Estado de Goiás, nas formas limites e condições estabelecidos em termo de acordo de regime especial celebrado com a Secretaria da Fazenda, observado o disposto nos §§ </w:t>
      </w:r>
      <w:r w:rsidRPr="00E615D7">
        <w:rPr>
          <w:b/>
        </w:rPr>
        <w:t>21</w:t>
      </w:r>
      <w:r w:rsidRPr="00987EBD">
        <w:rPr>
          <w:b/>
        </w:rPr>
        <w:t xml:space="preserve">, </w:t>
      </w:r>
      <w:r w:rsidRPr="00E615D7">
        <w:rPr>
          <w:b/>
        </w:rPr>
        <w:t>22</w:t>
      </w:r>
      <w:r w:rsidRPr="00987EBD">
        <w:rPr>
          <w:b/>
        </w:rPr>
        <w:t xml:space="preserve">, </w:t>
      </w:r>
      <w:r w:rsidRPr="00E615D7">
        <w:rPr>
          <w:b/>
        </w:rPr>
        <w:t>22-A</w:t>
      </w:r>
      <w:r w:rsidRPr="00987EBD">
        <w:rPr>
          <w:b/>
        </w:rPr>
        <w:t xml:space="preserve">, </w:t>
      </w:r>
      <w:r w:rsidRPr="00E615D7">
        <w:rPr>
          <w:b/>
        </w:rPr>
        <w:t>23</w:t>
      </w:r>
      <w:r w:rsidRPr="00987EBD">
        <w:rPr>
          <w:b/>
        </w:rPr>
        <w:t xml:space="preserve">, </w:t>
      </w:r>
      <w:r w:rsidRPr="00E615D7">
        <w:rPr>
          <w:b/>
        </w:rPr>
        <w:t>24</w:t>
      </w:r>
      <w:r w:rsidRPr="00987EBD">
        <w:rPr>
          <w:b/>
        </w:rPr>
        <w:t xml:space="preserve"> </w:t>
      </w:r>
      <w:r w:rsidRPr="00E615D7">
        <w:rPr>
          <w:b/>
        </w:rPr>
        <w:t>25</w:t>
      </w:r>
      <w:r w:rsidRPr="00987EBD">
        <w:rPr>
          <w:b/>
        </w:rPr>
        <w:t xml:space="preserve">, </w:t>
      </w:r>
      <w:r w:rsidRPr="00E615D7">
        <w:rPr>
          <w:b/>
        </w:rPr>
        <w:t>26</w:t>
      </w:r>
      <w:r w:rsidRPr="00987EBD">
        <w:rPr>
          <w:b/>
        </w:rPr>
        <w:t xml:space="preserve">, </w:t>
      </w:r>
      <w:r w:rsidRPr="00E615D7">
        <w:rPr>
          <w:b/>
        </w:rPr>
        <w:t>27</w:t>
      </w:r>
      <w:r w:rsidRPr="00987EBD">
        <w:rPr>
          <w:b/>
        </w:rPr>
        <w:t xml:space="preserve">, </w:t>
      </w:r>
      <w:r w:rsidRPr="00E615D7">
        <w:rPr>
          <w:b/>
        </w:rPr>
        <w:t>28</w:t>
      </w:r>
      <w:r w:rsidRPr="00987EBD">
        <w:rPr>
          <w:b/>
        </w:rPr>
        <w:t xml:space="preserve"> e </w:t>
      </w:r>
      <w:r w:rsidRPr="00E615D7">
        <w:rPr>
          <w:b/>
        </w:rPr>
        <w:t>29</w:t>
      </w:r>
      <w:r w:rsidRPr="00987EBD">
        <w:rPr>
          <w:b/>
        </w:rPr>
        <w:t>, no valor equivalente a até (</w:t>
      </w:r>
      <w:r w:rsidRPr="00E615D7">
        <w:rPr>
          <w:b/>
        </w:rPr>
        <w:t>Lei nº 16.671/09, art. 4</w:t>
      </w:r>
      <w:r w:rsidRPr="00987EBD">
        <w:rPr>
          <w:b/>
        </w:rPr>
        <w:t>º):</w:t>
      </w:r>
    </w:p>
    <w:p w14:paraId="70805B2A" w14:textId="6EB75069" w:rsidR="00E41EFD" w:rsidRPr="00987EBD" w:rsidRDefault="00E41EFD" w:rsidP="00093ED0">
      <w:pPr>
        <w:pStyle w:val="ParNormal"/>
        <w:spacing w:before="0"/>
        <w:ind w:left="2268" w:firstLine="0"/>
        <w:contextualSpacing/>
      </w:pPr>
      <w:bookmarkStart w:id="192" w:name="A11LVIIIb"/>
      <w:r w:rsidRPr="00987EBD">
        <w:t>a) 85% (oitenta e cinco por cento) do valor do saldo devedor do imposto correspondente à saída de mercadoria não abrigada pela aplicação do incentivo do FOMENTAR (</w:t>
      </w:r>
      <w:r w:rsidRPr="00E615D7">
        <w:t>Lei nº 20.367</w:t>
      </w:r>
      <w:r w:rsidRPr="00987EBD">
        <w:t>, art. 3º, § 3º, I);</w:t>
      </w:r>
    </w:p>
    <w:p w14:paraId="0736457C" w14:textId="7C50D32A" w:rsidR="00E41EFD" w:rsidRPr="00987EBD" w:rsidRDefault="00E41EFD" w:rsidP="00093ED0">
      <w:pPr>
        <w:pStyle w:val="ParNormal"/>
        <w:spacing w:before="0"/>
        <w:ind w:left="2268" w:firstLine="0"/>
        <w:contextualSpacing/>
      </w:pPr>
      <w:bookmarkStart w:id="193" w:name="A11LVIIIc"/>
      <w:bookmarkEnd w:id="192"/>
      <w:r w:rsidRPr="00987EBD">
        <w:t>b) 50% (cinquenta por cento) do valor da parcela não incentivada do imposto (</w:t>
      </w:r>
      <w:r w:rsidRPr="00E615D7">
        <w:t>Lei nº 20.367</w:t>
      </w:r>
      <w:r w:rsidRPr="00987EBD">
        <w:t xml:space="preserve">, art. 3º, § 3º, I); </w:t>
      </w:r>
    </w:p>
    <w:p w14:paraId="481456D3" w14:textId="77777777" w:rsidR="00E41EFD" w:rsidRPr="00987EBD" w:rsidRDefault="00E41EFD" w:rsidP="00093ED0">
      <w:pPr>
        <w:pStyle w:val="ParNormal"/>
        <w:spacing w:before="0"/>
        <w:ind w:left="2268" w:firstLine="0"/>
        <w:contextualSpacing/>
      </w:pPr>
      <w:r w:rsidRPr="00987EBD">
        <w:t>c) R$120.000.000,00 (cento e vinte milhões de reais), em até 60 (sessenta) parcelas mensais, iguais e sucessivas;</w:t>
      </w:r>
      <w:bookmarkEnd w:id="193"/>
    </w:p>
    <w:bookmarkEnd w:id="191"/>
    <w:p w14:paraId="4F53C002" w14:textId="77777777" w:rsidR="00E41EFD" w:rsidRPr="00987EBD" w:rsidRDefault="00E41EFD" w:rsidP="00093ED0">
      <w:pPr>
        <w:pStyle w:val="ParNormal"/>
        <w:spacing w:before="0"/>
        <w:ind w:left="2268" w:firstLine="0"/>
        <w:contextualSpacing/>
        <w:rPr>
          <w:b/>
        </w:rPr>
      </w:pPr>
      <w:r w:rsidRPr="00987EBD">
        <w:rPr>
          <w:b/>
        </w:rPr>
        <w:t xml:space="preserve">LIX - Revogado. </w:t>
      </w:r>
    </w:p>
    <w:p w14:paraId="5AF9E105" w14:textId="5BC7749C" w:rsidR="00E41EFD" w:rsidRPr="00987EBD" w:rsidRDefault="00E41EFD" w:rsidP="00093ED0">
      <w:pPr>
        <w:pStyle w:val="ParNormal"/>
        <w:spacing w:before="0"/>
        <w:ind w:left="2268" w:firstLine="0"/>
        <w:contextualSpacing/>
        <w:rPr>
          <w:b/>
          <w:lang w:eastAsia="pt-BR"/>
        </w:rPr>
      </w:pPr>
      <w:bookmarkStart w:id="194" w:name="A11LX"/>
      <w:r w:rsidRPr="00987EBD">
        <w:rPr>
          <w:b/>
        </w:rPr>
        <w:t xml:space="preserve">LX - para a empresa industrial produtora de grupos geradores de energia elétrica, beneficiária do Programa de Desenvolvimento </w:t>
      </w:r>
      <w:r w:rsidRPr="00987EBD">
        <w:rPr>
          <w:b/>
        </w:rPr>
        <w:lastRenderedPageBreak/>
        <w:t xml:space="preserve">Industrial de Goiás - Produzir -, de que trata a </w:t>
      </w:r>
      <w:r w:rsidRPr="00E615D7">
        <w:rPr>
          <w:b/>
        </w:rPr>
        <w:t>Lei nº 19.591</w:t>
      </w:r>
      <w:r w:rsidRPr="00987EBD">
        <w:rPr>
          <w:b/>
        </w:rPr>
        <w:t xml:space="preserve">, de 18 de janeiro de 2000, observado o disposto nos §§ </w:t>
      </w:r>
      <w:r w:rsidRPr="00E615D7">
        <w:rPr>
          <w:b/>
        </w:rPr>
        <w:t>21</w:t>
      </w:r>
      <w:r w:rsidRPr="00987EBD">
        <w:rPr>
          <w:b/>
        </w:rPr>
        <w:t xml:space="preserve">, </w:t>
      </w:r>
      <w:r w:rsidRPr="00E615D7">
        <w:rPr>
          <w:b/>
        </w:rPr>
        <w:t>22-A</w:t>
      </w:r>
      <w:r w:rsidRPr="00987EBD">
        <w:rPr>
          <w:b/>
        </w:rPr>
        <w:t xml:space="preserve">, </w:t>
      </w:r>
      <w:r w:rsidRPr="00E615D7">
        <w:rPr>
          <w:b/>
        </w:rPr>
        <w:t>24</w:t>
      </w:r>
      <w:r w:rsidRPr="00987EBD">
        <w:rPr>
          <w:b/>
        </w:rPr>
        <w:t xml:space="preserve">, </w:t>
      </w:r>
      <w:r w:rsidRPr="00E615D7">
        <w:rPr>
          <w:b/>
        </w:rPr>
        <w:t>25</w:t>
      </w:r>
      <w:r w:rsidRPr="00987EBD">
        <w:rPr>
          <w:b/>
        </w:rPr>
        <w:t xml:space="preserve">, </w:t>
      </w:r>
      <w:r w:rsidRPr="00E615D7">
        <w:rPr>
          <w:b/>
        </w:rPr>
        <w:t>26</w:t>
      </w:r>
      <w:r w:rsidRPr="00987EBD">
        <w:rPr>
          <w:b/>
        </w:rPr>
        <w:t xml:space="preserve">, </w:t>
      </w:r>
      <w:r w:rsidRPr="00E615D7">
        <w:rPr>
          <w:b/>
        </w:rPr>
        <w:t>27</w:t>
      </w:r>
      <w:r w:rsidRPr="00987EBD">
        <w:rPr>
          <w:b/>
        </w:rPr>
        <w:t xml:space="preserve"> e </w:t>
      </w:r>
      <w:r w:rsidRPr="00E615D7">
        <w:rPr>
          <w:b/>
        </w:rPr>
        <w:t>28</w:t>
      </w:r>
      <w:r w:rsidRPr="00987EBD">
        <w:rPr>
          <w:b/>
        </w:rPr>
        <w:t>, o valor equivalente (</w:t>
      </w:r>
      <w:r w:rsidRPr="00E615D7">
        <w:rPr>
          <w:b/>
        </w:rPr>
        <w:t>Lei nº 17.441/11</w:t>
      </w:r>
      <w:r w:rsidRPr="00987EBD">
        <w:rPr>
          <w:b/>
        </w:rPr>
        <w:t xml:space="preserve">, </w:t>
      </w:r>
      <w:r w:rsidRPr="00E615D7">
        <w:rPr>
          <w:b/>
        </w:rPr>
        <w:t>art. 5º</w:t>
      </w:r>
      <w:r w:rsidRPr="00987EBD">
        <w:rPr>
          <w:b/>
        </w:rPr>
        <w:t xml:space="preserve">): </w:t>
      </w:r>
      <w:bookmarkStart w:id="195" w:name="A11LXB"/>
      <w:bookmarkEnd w:id="194"/>
    </w:p>
    <w:p w14:paraId="3F3A63EB" w14:textId="369A624F" w:rsidR="00E41EFD" w:rsidRPr="00987EBD" w:rsidRDefault="00E41EFD" w:rsidP="00093ED0">
      <w:pPr>
        <w:pStyle w:val="ParNormal"/>
        <w:spacing w:before="0"/>
        <w:ind w:left="2268" w:firstLine="0"/>
        <w:contextualSpacing/>
      </w:pPr>
      <w:r w:rsidRPr="00987EBD">
        <w:t>a) ao percentual de 85% (oitenta e cinco por cento) do valor do saldo devedor do imposto correspondente à saída de grupos geradores de energia elétrica, suas partes e peças, importados do exterior, inclusive por meio de comercial importadores, ou recebidas em transferência, quando essa operação não estiver abrangida pelo Programa PRODUZIR (</w:t>
      </w:r>
      <w:r w:rsidRPr="00E615D7">
        <w:t>Lei nº 20.367</w:t>
      </w:r>
      <w:r w:rsidRPr="00987EBD">
        <w:t xml:space="preserve">, art. 3º, § 3º, IV); </w:t>
      </w:r>
    </w:p>
    <w:p w14:paraId="3E1805D0" w14:textId="112D0DF7" w:rsidR="00E41EFD" w:rsidRPr="00987EBD" w:rsidRDefault="00E41EFD" w:rsidP="00093ED0">
      <w:pPr>
        <w:pStyle w:val="ParNormal"/>
        <w:spacing w:before="0"/>
        <w:ind w:left="2268" w:firstLine="0"/>
        <w:contextualSpacing/>
      </w:pPr>
      <w:bookmarkStart w:id="196" w:name="A11LXC"/>
      <w:bookmarkEnd w:id="195"/>
      <w:r w:rsidRPr="00987EBD">
        <w:t xml:space="preserve">b) ao percentual de 44,44% (quarenta e quatro inteiros e quarenta e quatro centésimos por cento) do valor da parcela não incentivada pelo referido programa, correspondente à saída de grupos geradores de energia elétrica, suas partes e peças (Lei nº </w:t>
      </w:r>
      <w:r w:rsidRPr="00E615D7">
        <w:t>20.367</w:t>
      </w:r>
      <w:r w:rsidRPr="00987EBD">
        <w:t>, art. 3º, § 3º, IV);</w:t>
      </w:r>
    </w:p>
    <w:p w14:paraId="3AA3D56E" w14:textId="77777777" w:rsidR="00E41EFD" w:rsidRPr="00987EBD" w:rsidRDefault="00E41EFD" w:rsidP="00093ED0">
      <w:pPr>
        <w:pStyle w:val="ParNormal"/>
        <w:spacing w:before="0"/>
        <w:ind w:left="2268" w:firstLine="0"/>
        <w:contextualSpacing/>
      </w:pPr>
      <w:r w:rsidRPr="00987EBD">
        <w:t xml:space="preserve">c) a R$ 9.100.000,00 (nove milhões e cem mil reais). </w:t>
      </w:r>
      <w:bookmarkStart w:id="197" w:name="A11LXD"/>
      <w:bookmarkEnd w:id="196"/>
    </w:p>
    <w:p w14:paraId="3A3FA0C6" w14:textId="77777777" w:rsidR="00E41EFD" w:rsidRPr="00987EBD" w:rsidRDefault="00E41EFD" w:rsidP="00093ED0">
      <w:pPr>
        <w:pStyle w:val="ParNormal"/>
        <w:spacing w:before="0"/>
        <w:ind w:left="2268" w:firstLine="0"/>
        <w:contextualSpacing/>
      </w:pPr>
      <w:r w:rsidRPr="00987EBD">
        <w:rPr>
          <w:lang w:val="pt-PT"/>
        </w:rPr>
        <w:t>d) ao valor efetivamente investido na execução de obras de engenharia de acesso do estabelecimento à rodovia, bem como na construção ou adequação de linhas de transmissão de energia elétrica necessárias ao funcionamento do empreendimento industrial, limitado a R$ 30.000.000,00 (trinta milhões de reais);</w:t>
      </w:r>
      <w:r w:rsidRPr="00987EBD">
        <w:rPr>
          <w:sz w:val="16"/>
          <w:szCs w:val="16"/>
          <w:lang w:val="pt-PT"/>
        </w:rPr>
        <w:t xml:space="preserve"> </w:t>
      </w:r>
      <w:bookmarkEnd w:id="197"/>
    </w:p>
    <w:p w14:paraId="36078E2B" w14:textId="7343C510" w:rsidR="00E41EFD" w:rsidRPr="00987EBD" w:rsidRDefault="00E41EFD" w:rsidP="00093ED0">
      <w:pPr>
        <w:pStyle w:val="ParNormal"/>
        <w:spacing w:before="0"/>
        <w:ind w:left="2268" w:firstLine="0"/>
        <w:rPr>
          <w:b/>
        </w:rPr>
      </w:pPr>
      <w:bookmarkStart w:id="198" w:name="a11lxi"/>
      <w:r w:rsidRPr="00987EBD">
        <w:rPr>
          <w:b/>
        </w:rPr>
        <w:t xml:space="preserve">LXI - para a pessoa jurídica integrante de grupo econômico, relativamente à operação com produto de fabricação própria, observado o disposto no </w:t>
      </w:r>
      <w:r w:rsidRPr="00283765">
        <w:rPr>
          <w:b/>
        </w:rPr>
        <w:t>§ 29</w:t>
      </w:r>
      <w:r w:rsidRPr="00987EBD">
        <w:rPr>
          <w:b/>
        </w:rPr>
        <w:t xml:space="preserve"> deste artigo e no </w:t>
      </w:r>
      <w:r w:rsidRPr="00E615D7">
        <w:rPr>
          <w:b/>
        </w:rPr>
        <w:t>§ 4º</w:t>
      </w:r>
      <w:r w:rsidRPr="00987EBD">
        <w:rPr>
          <w:b/>
        </w:rPr>
        <w:t xml:space="preserve"> do </w:t>
      </w:r>
      <w:r w:rsidRPr="00E615D7">
        <w:rPr>
          <w:b/>
        </w:rPr>
        <w:t>art. 8º</w:t>
      </w:r>
      <w:r w:rsidRPr="00987EBD">
        <w:rPr>
          <w:b/>
        </w:rPr>
        <w:t xml:space="preserve"> do Anexo IX (Lei nº </w:t>
      </w:r>
      <w:r w:rsidRPr="00E615D7">
        <w:rPr>
          <w:b/>
        </w:rPr>
        <w:t>17.442/11</w:t>
      </w:r>
      <w:r w:rsidRPr="00987EBD">
        <w:rPr>
          <w:b/>
        </w:rPr>
        <w:t xml:space="preserve">, art. </w:t>
      </w:r>
      <w:r w:rsidRPr="00E615D7">
        <w:rPr>
          <w:b/>
        </w:rPr>
        <w:t>3º</w:t>
      </w:r>
      <w:r w:rsidRPr="00987EBD">
        <w:rPr>
          <w:b/>
        </w:rPr>
        <w:t xml:space="preserve">, II, e art. </w:t>
      </w:r>
      <w:r w:rsidRPr="00E615D7">
        <w:rPr>
          <w:b/>
        </w:rPr>
        <w:t>7º</w:t>
      </w:r>
      <w:r w:rsidRPr="00987EBD">
        <w:rPr>
          <w:b/>
        </w:rPr>
        <w:t>), o equivalente à aplicação do percentual:</w:t>
      </w:r>
    </w:p>
    <w:p w14:paraId="5AE5D0F9" w14:textId="77777777" w:rsidR="00E41EFD" w:rsidRPr="00987EBD" w:rsidRDefault="00E41EFD" w:rsidP="00093ED0">
      <w:pPr>
        <w:pStyle w:val="ParNormal"/>
        <w:spacing w:before="0"/>
        <w:ind w:left="2268" w:firstLine="0"/>
      </w:pPr>
      <w:r w:rsidRPr="00987EBD">
        <w:t>a) de 8% (oito por cento) sobre o valor da operação interna;</w:t>
      </w:r>
    </w:p>
    <w:p w14:paraId="3D8ED9FE" w14:textId="77777777" w:rsidR="00E41EFD" w:rsidRPr="00987EBD" w:rsidRDefault="00E41EFD" w:rsidP="00093ED0">
      <w:pPr>
        <w:pStyle w:val="ParNormal"/>
        <w:spacing w:before="0"/>
        <w:ind w:left="2268" w:firstLine="0"/>
      </w:pPr>
      <w:r w:rsidRPr="00987EBD">
        <w:t>b) de 10% (dez por cento) sobre o valor da operação interestadual.</w:t>
      </w:r>
    </w:p>
    <w:p w14:paraId="2C4DB094" w14:textId="344BD93C" w:rsidR="00E41EFD" w:rsidRPr="00DD46CE" w:rsidRDefault="00E41EFD" w:rsidP="00093ED0">
      <w:pPr>
        <w:pStyle w:val="ParNormal"/>
        <w:spacing w:before="0"/>
        <w:ind w:left="2268" w:firstLine="0"/>
        <w:rPr>
          <w:b/>
          <w:szCs w:val="16"/>
          <w:lang w:eastAsia="pt-BR"/>
        </w:rPr>
      </w:pPr>
      <w:bookmarkStart w:id="199" w:name="A11LXII"/>
      <w:bookmarkEnd w:id="198"/>
      <w:r w:rsidRPr="00DD46CE">
        <w:rPr>
          <w:b/>
        </w:rPr>
        <w:t xml:space="preserve">LXII - para o estabelecimento remetente, na saída interestadual de mercadoria resultante da industrialização do açafrão, cujo processo industrial tenha sido realizado no Estado de Goiás, o equivalente à aplicação de 10% (dez por cento) sobre o valor da base de cálculo (Lei nº </w:t>
      </w:r>
      <w:r w:rsidRPr="00283765">
        <w:rPr>
          <w:b/>
        </w:rPr>
        <w:t>13.453/99</w:t>
      </w:r>
      <w:r w:rsidRPr="00DD46CE">
        <w:rPr>
          <w:b/>
        </w:rPr>
        <w:t xml:space="preserve">, art. 1º, I, “r”). </w:t>
      </w:r>
      <w:bookmarkEnd w:id="199"/>
    </w:p>
    <w:p w14:paraId="3B7BE64C" w14:textId="19BBF76C" w:rsidR="00E41EFD" w:rsidRPr="00DD46CE" w:rsidRDefault="00E41EFD" w:rsidP="00093ED0">
      <w:pPr>
        <w:pStyle w:val="ParNormal"/>
        <w:spacing w:before="0"/>
        <w:ind w:left="2268" w:firstLine="0"/>
        <w:rPr>
          <w:b/>
        </w:rPr>
      </w:pPr>
      <w:r w:rsidRPr="00DD46CE">
        <w:rPr>
          <w:b/>
          <w:lang w:eastAsia="pt-BR"/>
        </w:rPr>
        <w:t>LXIII - para o estabelecimento industrial, na operação interestadual com leite UHT - “Ultra High Temperature” - em cuja industrialização tenha sido utilizado leite em estado natural como matéria-prima, desde que o produto tenha sido fabricado pelo próprio industrial ou tenha sido industrializado por sua encomenda em outro estabelecimento situado no Estado de Goiás, o percentual de 7% (sete por cento) aplicado sobre o valor da base de cálculo (</w:t>
      </w:r>
      <w:r w:rsidRPr="00283765">
        <w:rPr>
          <w:b/>
          <w:lang w:eastAsia="pt-BR"/>
        </w:rPr>
        <w:t>Lei nº 13.453/99</w:t>
      </w:r>
      <w:r w:rsidRPr="00DD46CE">
        <w:rPr>
          <w:b/>
          <w:lang w:eastAsia="pt-BR"/>
        </w:rPr>
        <w:t xml:space="preserve">, art. 1º, I, “i”, 3); </w:t>
      </w:r>
      <w:bookmarkStart w:id="200" w:name="A11LXIVa"/>
    </w:p>
    <w:p w14:paraId="0447A502" w14:textId="77777777" w:rsidR="00805D99" w:rsidRDefault="00E41EFD" w:rsidP="00805D99">
      <w:pPr>
        <w:pStyle w:val="ParNormal"/>
        <w:spacing w:before="0"/>
        <w:ind w:left="2268" w:firstLine="0"/>
        <w:rPr>
          <w:b/>
          <w:lang w:eastAsia="pt-BR"/>
        </w:rPr>
      </w:pPr>
      <w:r w:rsidRPr="00DD46CE">
        <w:rPr>
          <w:b/>
          <w:lang w:eastAsia="pt-BR"/>
        </w:rPr>
        <w:t>LXIV - para o beneficiário do Incentivo à Instalação de Empresas Industriais Montadoras no Estado de Goiás - PROGREDIR ou do Incentivo Apoio à Instalação de Central Única de Distribuição de Produtos no Estado de Goiás - CENTROPRODUZIR-, no valor de até R$ 35.000.000,00 (trinta e cinco milhões de reais), para ser efetivamente investido em obras civis, aquisição de veículos e aquisição e colocação das máquinas, dos equipamentos e das instalações correspondentes à implantação ou ampliação de seus estabelecimentos situados no Estado de Goiás, observado o seguinte (</w:t>
      </w:r>
      <w:r w:rsidRPr="00283765">
        <w:rPr>
          <w:b/>
          <w:lang w:eastAsia="pt-BR"/>
        </w:rPr>
        <w:t>Lei nº 13.194/97</w:t>
      </w:r>
      <w:r w:rsidRPr="00DD46CE">
        <w:rPr>
          <w:b/>
          <w:lang w:eastAsia="pt-BR"/>
        </w:rPr>
        <w:t xml:space="preserve">, art. 2º, II, “t”): </w:t>
      </w:r>
      <w:bookmarkEnd w:id="200"/>
    </w:p>
    <w:p w14:paraId="043E2381" w14:textId="77777777" w:rsidR="00805D99" w:rsidRDefault="00805D99" w:rsidP="00805D99">
      <w:pPr>
        <w:pStyle w:val="ParNormal"/>
        <w:spacing w:before="0"/>
        <w:ind w:left="2268" w:firstLine="0"/>
        <w:rPr>
          <w:rFonts w:cs="Arial"/>
        </w:rPr>
      </w:pPr>
      <w:r w:rsidRPr="00805D99">
        <w:rPr>
          <w:lang w:eastAsia="pt-BR"/>
        </w:rPr>
        <w:t xml:space="preserve">a) </w:t>
      </w:r>
      <w:r w:rsidR="00E41EFD" w:rsidRPr="00987EBD">
        <w:t>o benefício fica condicionado à</w:t>
      </w:r>
      <w:bookmarkStart w:id="201" w:name="A11LXIVa1"/>
      <w:bookmarkStart w:id="202" w:name="A11LXIVa12"/>
      <w:r>
        <w:rPr>
          <w:rFonts w:cs="Arial"/>
        </w:rPr>
        <w:t>:</w:t>
      </w:r>
    </w:p>
    <w:p w14:paraId="37EECACA" w14:textId="72781803" w:rsidR="00E41EFD" w:rsidRPr="00805D99" w:rsidRDefault="00E41EFD" w:rsidP="00805D99">
      <w:pPr>
        <w:pStyle w:val="ParNormal"/>
        <w:spacing w:before="0"/>
        <w:ind w:left="2268" w:firstLine="0"/>
        <w:rPr>
          <w:b/>
          <w:lang w:eastAsia="pt-BR"/>
        </w:rPr>
      </w:pPr>
      <w:r w:rsidRPr="00987EBD">
        <w:rPr>
          <w:rFonts w:cs="Arial"/>
          <w:color w:val="000000"/>
          <w:szCs w:val="22"/>
        </w:rPr>
        <w:t>1. aprovação de projeto específico pela Secretaria da Fazenda que deve conter no mínimo:</w:t>
      </w:r>
      <w:bookmarkEnd w:id="201"/>
    </w:p>
    <w:p w14:paraId="5EE67B00" w14:textId="77777777" w:rsidR="00E41EFD" w:rsidRPr="00987EBD" w:rsidRDefault="00E41EFD" w:rsidP="00093ED0">
      <w:pPr>
        <w:pStyle w:val="ParNormal"/>
        <w:spacing w:before="0"/>
        <w:ind w:left="2268" w:firstLine="0"/>
        <w:contextualSpacing/>
        <w:rPr>
          <w:lang w:eastAsia="pt-BR"/>
        </w:rPr>
      </w:pPr>
      <w:r w:rsidRPr="00987EBD">
        <w:rPr>
          <w:lang w:eastAsia="pt-BR"/>
        </w:rPr>
        <w:lastRenderedPageBreak/>
        <w:t>1.1. o valor total do investimento, contendo o valor das obras civis, dos veículos, das máquinas, dos equipamentos e das instalações relacionadas à implantação ou ampliação, não podendo ser inferior a R$ 350.000.000,00 (trezentos e cinquenta milhões de reais);</w:t>
      </w:r>
    </w:p>
    <w:p w14:paraId="4B09A41D" w14:textId="77777777" w:rsidR="00E41EFD" w:rsidRPr="00987EBD" w:rsidRDefault="00E41EFD" w:rsidP="00093ED0">
      <w:pPr>
        <w:pStyle w:val="ParNormal"/>
        <w:spacing w:before="0"/>
        <w:ind w:left="2268" w:firstLine="0"/>
      </w:pPr>
      <w:r w:rsidRPr="00987EBD">
        <w:t xml:space="preserve">1.2. o cronograma físico-financeiro das obras civis, da aquisição de veículos e da colocação das máquinas, dos equipamentos e das instalações; </w:t>
      </w:r>
      <w:bookmarkStart w:id="203" w:name="A11LXIVa14"/>
      <w:bookmarkEnd w:id="202"/>
    </w:p>
    <w:p w14:paraId="4BE9C2B4" w14:textId="77777777" w:rsidR="00E41EFD" w:rsidRPr="00987EBD" w:rsidRDefault="00E41EFD" w:rsidP="00093ED0">
      <w:pPr>
        <w:pStyle w:val="ParNormal"/>
        <w:spacing w:before="0"/>
        <w:ind w:left="2268" w:firstLine="0"/>
      </w:pPr>
      <w:r w:rsidRPr="00987EBD">
        <w:t xml:space="preserve">1.3. revogado; </w:t>
      </w:r>
    </w:p>
    <w:p w14:paraId="61DF48E2" w14:textId="77777777" w:rsidR="00E41EFD" w:rsidRPr="00987EBD" w:rsidRDefault="00E41EFD" w:rsidP="00093ED0">
      <w:pPr>
        <w:pStyle w:val="ParNormal"/>
        <w:spacing w:before="0"/>
        <w:ind w:left="2268" w:firstLine="0"/>
      </w:pPr>
      <w:r w:rsidRPr="00987EBD">
        <w:t xml:space="preserve">1.4. a data prevista para o início e para o final da implantação ou ampliação; </w:t>
      </w:r>
      <w:bookmarkStart w:id="204" w:name="A11LXIVa2"/>
      <w:bookmarkEnd w:id="203"/>
    </w:p>
    <w:p w14:paraId="4DFBE99B" w14:textId="77777777" w:rsidR="00E41EFD" w:rsidRPr="00987EBD" w:rsidRDefault="00E41EFD" w:rsidP="00093ED0">
      <w:pPr>
        <w:pStyle w:val="ParNormal"/>
        <w:spacing w:before="0"/>
        <w:ind w:left="2268" w:firstLine="0"/>
      </w:pPr>
      <w:r w:rsidRPr="00987EBD">
        <w:t xml:space="preserve">2. celebração de termo de acordo regime especial com a Secretaria da Fazenda; </w:t>
      </w:r>
      <w:bookmarkStart w:id="205" w:name="A11LXIVa2b"/>
      <w:bookmarkEnd w:id="204"/>
    </w:p>
    <w:p w14:paraId="543DC18A" w14:textId="77777777" w:rsidR="00E41EFD" w:rsidRPr="00987EBD" w:rsidRDefault="00E41EFD" w:rsidP="00093ED0">
      <w:pPr>
        <w:pStyle w:val="ParNormal"/>
        <w:spacing w:before="0"/>
        <w:ind w:left="2268" w:firstLine="0"/>
        <w:rPr>
          <w:lang w:eastAsia="pt-BR"/>
        </w:rPr>
      </w:pPr>
      <w:bookmarkStart w:id="206" w:name="A11LXIVB"/>
      <w:bookmarkStart w:id="207" w:name="A11LXIVa2c"/>
      <w:bookmarkEnd w:id="205"/>
      <w:r w:rsidRPr="00987EBD">
        <w:rPr>
          <w:lang w:eastAsia="pt-BR"/>
        </w:rPr>
        <w:t>b) o crédito outorgado deve ser apropriado em parcelas mensais e sucessivas, conforme definido em termo de acordo;</w:t>
      </w:r>
      <w:bookmarkEnd w:id="206"/>
      <w:r w:rsidRPr="00987EBD">
        <w:rPr>
          <w:lang w:eastAsia="pt-BR"/>
        </w:rPr>
        <w:t xml:space="preserve"> </w:t>
      </w:r>
    </w:p>
    <w:p w14:paraId="6036A9FE" w14:textId="77777777" w:rsidR="00E41EFD" w:rsidRPr="00987EBD" w:rsidRDefault="00E41EFD" w:rsidP="00093ED0">
      <w:pPr>
        <w:pStyle w:val="ParNormal"/>
        <w:spacing w:before="0"/>
        <w:ind w:left="2268" w:firstLine="0"/>
        <w:contextualSpacing/>
      </w:pPr>
      <w:r w:rsidRPr="00987EBD">
        <w:t xml:space="preserve">c) o valor mensal do crédito outorgado fica limitado ao montante correspondente a 50% (cinqüenta por cento) do valor do ICMS a pagar no período de apuração que superar a meta de pagamento do ICMS fixada em termo de acordo; </w:t>
      </w:r>
      <w:bookmarkStart w:id="208" w:name="A11LXIVa2d"/>
      <w:bookmarkEnd w:id="207"/>
    </w:p>
    <w:p w14:paraId="2C244D77" w14:textId="77777777" w:rsidR="00E41EFD" w:rsidRPr="00987EBD" w:rsidRDefault="00E41EFD" w:rsidP="00093ED0">
      <w:pPr>
        <w:pStyle w:val="ParNormal"/>
        <w:spacing w:before="0"/>
        <w:ind w:left="2268" w:firstLine="0"/>
      </w:pPr>
      <w:r w:rsidRPr="00987EBD">
        <w:t xml:space="preserve">d) a meta de arrecadação deve ser estabelecida com base na arrecadação do conjunto de estabelecimentos da empresa situados no Estado de Goiás, conforme definido no regime especial; </w:t>
      </w:r>
      <w:bookmarkStart w:id="209" w:name="A11LXIVa2e"/>
      <w:bookmarkEnd w:id="208"/>
    </w:p>
    <w:p w14:paraId="07BCA00E" w14:textId="77777777" w:rsidR="00E41EFD" w:rsidRPr="00987EBD" w:rsidRDefault="00E41EFD" w:rsidP="00093ED0">
      <w:pPr>
        <w:pStyle w:val="ParNormal"/>
        <w:spacing w:before="0"/>
        <w:ind w:left="2268" w:firstLine="0"/>
      </w:pPr>
      <w:r w:rsidRPr="00987EBD">
        <w:t xml:space="preserve">e) o valor do crédito outorgado do ICMS deve ser utilizado diretamente na subtração do ICMS a pagar pelo estabelecimento beneficiário do PROGREDIR ou do CENTROPRODUZIR; </w:t>
      </w:r>
      <w:bookmarkStart w:id="210" w:name="A11LXIVa2g"/>
      <w:bookmarkEnd w:id="209"/>
    </w:p>
    <w:p w14:paraId="6A54FA0C" w14:textId="77777777" w:rsidR="00E41EFD" w:rsidRPr="00987EBD" w:rsidRDefault="00E41EFD" w:rsidP="00093ED0">
      <w:pPr>
        <w:pStyle w:val="ParNormal"/>
        <w:spacing w:before="0"/>
        <w:ind w:left="2268" w:firstLine="0"/>
      </w:pPr>
      <w:r w:rsidRPr="00987EBD">
        <w:t>f) os investimentos podem ser realizados, também, em estabelecimento pertencente a empresa que faça parte de grupo empresarial ao qual a beneficiária também pertença;</w:t>
      </w:r>
    </w:p>
    <w:p w14:paraId="59098AB4" w14:textId="77777777" w:rsidR="00E41EFD" w:rsidRPr="00987EBD" w:rsidRDefault="00E41EFD" w:rsidP="00093ED0">
      <w:pPr>
        <w:pStyle w:val="ParNormal"/>
        <w:spacing w:before="0"/>
        <w:ind w:left="2268" w:firstLine="0"/>
        <w:rPr>
          <w:lang w:eastAsia="pt-BR"/>
        </w:rPr>
      </w:pPr>
      <w:bookmarkStart w:id="211" w:name="A11LXIVG"/>
      <w:bookmarkEnd w:id="210"/>
      <w:r w:rsidRPr="00987EBD">
        <w:rPr>
          <w:lang w:eastAsia="pt-BR"/>
        </w:rPr>
        <w:t>g) caso não seja atingido o valor total dos investimentos previsto no item 1.1 da alínea “a”, o valor do crédito outorgado deve ser reduzido na mesma proporção;</w:t>
      </w:r>
      <w:bookmarkEnd w:id="211"/>
      <w:r w:rsidRPr="00987EBD">
        <w:rPr>
          <w:lang w:eastAsia="pt-BR"/>
        </w:rPr>
        <w:t xml:space="preserve"> </w:t>
      </w:r>
    </w:p>
    <w:p w14:paraId="5E1B0E41" w14:textId="21F85962" w:rsidR="00E41EFD" w:rsidRPr="00DD46CE" w:rsidRDefault="00E41EFD" w:rsidP="00093ED0">
      <w:pPr>
        <w:pStyle w:val="ParNormal"/>
        <w:spacing w:before="0"/>
        <w:ind w:left="2268" w:firstLine="0"/>
        <w:rPr>
          <w:b/>
        </w:rPr>
      </w:pPr>
      <w:bookmarkStart w:id="212" w:name="A11LXV"/>
      <w:bookmarkStart w:id="213" w:name="A11LXVa"/>
      <w:r w:rsidRPr="00DD46CE">
        <w:rPr>
          <w:b/>
        </w:rPr>
        <w:t>LXV</w:t>
      </w:r>
      <w:bookmarkEnd w:id="212"/>
      <w:r w:rsidRPr="00DD46CE">
        <w:rPr>
          <w:b/>
        </w:rPr>
        <w:t xml:space="preserve"> - para o estabelecimento atacadista o equivalente à aplicação de 5% (cinco por cento) sobre o valor da respectiva base de cálculo, na saída interestadual de produtos de informática, telecomunicação e automação, relacionados no </w:t>
      </w:r>
      <w:r w:rsidRPr="00283765">
        <w:rPr>
          <w:b/>
        </w:rPr>
        <w:t>Apêndice IV</w:t>
      </w:r>
      <w:r w:rsidRPr="00DD46CE">
        <w:rPr>
          <w:b/>
        </w:rPr>
        <w:t xml:space="preserve"> deste Anexo, ficando mantido o crédito do imposto até o limite de 7% (sete por cento), observado o seguinte (Lei nº </w:t>
      </w:r>
      <w:r w:rsidRPr="00283765">
        <w:rPr>
          <w:b/>
        </w:rPr>
        <w:t>13.194/97</w:t>
      </w:r>
      <w:r w:rsidRPr="00DD46CE">
        <w:rPr>
          <w:b/>
        </w:rPr>
        <w:t>, art. 2º, II, “u”):</w:t>
      </w:r>
      <w:r w:rsidRPr="00DD46CE">
        <w:rPr>
          <w:b/>
          <w:sz w:val="16"/>
          <w:szCs w:val="16"/>
        </w:rPr>
        <w:t xml:space="preserve"> </w:t>
      </w:r>
    </w:p>
    <w:p w14:paraId="4EFEBEE9" w14:textId="77777777" w:rsidR="00E41EFD" w:rsidRPr="00987EBD" w:rsidRDefault="00E41EFD" w:rsidP="00093ED0">
      <w:pPr>
        <w:pStyle w:val="ParNormal"/>
        <w:spacing w:before="0"/>
        <w:ind w:left="2268" w:firstLine="0"/>
      </w:pPr>
      <w:r w:rsidRPr="00987EBD">
        <w:t xml:space="preserve">a) o beneficiário deve celebrar termo de acordo de regime especial com a Secretaria de Estado da Fazenda, no qual devem ser estabelecidas metas de arrecadação a serem cumpridas pelo beneficiário; </w:t>
      </w:r>
      <w:bookmarkStart w:id="214" w:name="A11LXVb"/>
      <w:bookmarkEnd w:id="213"/>
    </w:p>
    <w:p w14:paraId="1DEECEAF" w14:textId="77777777" w:rsidR="00E41EFD" w:rsidRPr="00987EBD" w:rsidRDefault="00E41EFD" w:rsidP="00093ED0">
      <w:pPr>
        <w:pStyle w:val="ParNormal"/>
        <w:spacing w:before="0"/>
        <w:ind w:left="2268" w:firstLine="0"/>
      </w:pPr>
      <w:r w:rsidRPr="00987EBD">
        <w:t xml:space="preserve">b) na definição das metas de arrecadação deve ser considerada a média de arrecadação dos últimos 12 (doze) meses anteriores à celebração do termo de acordo, de todos os estabelecimentos da empresa situados no Estado de Goiás; </w:t>
      </w:r>
      <w:bookmarkStart w:id="215" w:name="A11LXVC"/>
      <w:bookmarkStart w:id="216" w:name="A11LXVI"/>
      <w:bookmarkEnd w:id="214"/>
    </w:p>
    <w:p w14:paraId="6D7BC179" w14:textId="77777777" w:rsidR="00E41EFD" w:rsidRPr="00987EBD" w:rsidRDefault="00E41EFD" w:rsidP="00093ED0">
      <w:pPr>
        <w:pStyle w:val="ParNormal"/>
        <w:spacing w:before="0"/>
        <w:ind w:left="2268" w:firstLine="0"/>
        <w:rPr>
          <w:lang w:eastAsia="pt-BR"/>
        </w:rPr>
      </w:pPr>
      <w:r w:rsidRPr="00987EBD">
        <w:rPr>
          <w:lang w:eastAsia="pt-BR"/>
        </w:rPr>
        <w:t>c) o benefício pode ser estendido aos produtos referenciados pelo NCM/SH 8528.72.00 - Outros aparelhos receptores de televisão em cores - se a meta de arrecadação estabelecida na alínea "a" for superada na forma definida em termo de acordo de regime especial;</w:t>
      </w:r>
      <w:bookmarkEnd w:id="215"/>
    </w:p>
    <w:p w14:paraId="3FBA3E1C" w14:textId="77777777" w:rsidR="00E41EFD" w:rsidRPr="00DD46CE" w:rsidRDefault="00E41EFD" w:rsidP="00093ED0">
      <w:pPr>
        <w:pStyle w:val="ParNormal"/>
        <w:spacing w:before="0"/>
        <w:ind w:left="2268" w:firstLine="0"/>
        <w:rPr>
          <w:b/>
        </w:rPr>
      </w:pPr>
      <w:r w:rsidRPr="00DD46CE">
        <w:rPr>
          <w:b/>
        </w:rPr>
        <w:t>LXVI</w:t>
      </w:r>
      <w:bookmarkEnd w:id="216"/>
      <w:r w:rsidRPr="00DD46CE">
        <w:rPr>
          <w:b/>
        </w:rPr>
        <w:t xml:space="preserve"> - para o estabelecimento industrial, o equivalente à aplicação de 9% (nove por cento) sobre o valor da respectiva base de cálculo, na saída de produto comestível por ele industrializado, cuja matéria-prima principal seja produto resultante do abate de animal, realizado no território goiano, observado o seguinte: </w:t>
      </w:r>
      <w:bookmarkStart w:id="217" w:name="A11LXVIa"/>
    </w:p>
    <w:p w14:paraId="66ED9B73" w14:textId="77777777" w:rsidR="00E41EFD" w:rsidRPr="00987EBD" w:rsidRDefault="00E41EFD" w:rsidP="00093ED0">
      <w:pPr>
        <w:pStyle w:val="ParNormal"/>
        <w:spacing w:before="0"/>
        <w:ind w:left="2268" w:firstLine="0"/>
      </w:pPr>
      <w:r w:rsidRPr="00987EBD">
        <w:lastRenderedPageBreak/>
        <w:t xml:space="preserve">a) o beneficiário deve celebrar termo de acordo de regime especial com a Secretaria de Estado da Fazenda, no qual devem ser estabelecidas metas de arrecadação a serem cumpridas pelo beneficiário; </w:t>
      </w:r>
      <w:bookmarkStart w:id="218" w:name="A11LXVIb"/>
      <w:bookmarkEnd w:id="217"/>
    </w:p>
    <w:p w14:paraId="44717E77" w14:textId="77777777" w:rsidR="00E41EFD" w:rsidRPr="00987EBD" w:rsidRDefault="00E41EFD" w:rsidP="00093ED0">
      <w:pPr>
        <w:pStyle w:val="ParNormal"/>
        <w:spacing w:before="0"/>
        <w:ind w:left="2268" w:firstLine="0"/>
      </w:pPr>
      <w:r w:rsidRPr="00987EBD">
        <w:t xml:space="preserve">b) na definição das metas de arrecadação deve ser considerada a média de arrecadação dos últimos 12 (doze) meses anteriores à celebração do termo de acordo de todos os estabelecimentos da empresa situados no Estado de Goiás; </w:t>
      </w:r>
      <w:bookmarkStart w:id="219" w:name="A11LXVIc"/>
      <w:bookmarkEnd w:id="218"/>
    </w:p>
    <w:p w14:paraId="510D8674" w14:textId="080493D4" w:rsidR="00E41EFD" w:rsidRPr="00987EBD" w:rsidRDefault="00E41EFD" w:rsidP="00093ED0">
      <w:pPr>
        <w:pStyle w:val="ParNormal"/>
        <w:spacing w:before="0"/>
        <w:ind w:left="2268" w:firstLine="0"/>
        <w:contextualSpacing/>
      </w:pPr>
      <w:r w:rsidRPr="00987EBD">
        <w:t xml:space="preserve">c) na saída interna, o crédito outorgado deve ser utilizado juntamente com a redução de base de cálculo prevista no </w:t>
      </w:r>
      <w:r w:rsidRPr="00283765">
        <w:t>inciso VIII</w:t>
      </w:r>
      <w:r w:rsidRPr="00987EBD">
        <w:t xml:space="preserve"> do </w:t>
      </w:r>
      <w:r w:rsidRPr="00283765">
        <w:t>art. 8º</w:t>
      </w:r>
      <w:r w:rsidRPr="00987EBD">
        <w:t xml:space="preserve"> deste Anexo. </w:t>
      </w:r>
      <w:bookmarkStart w:id="220" w:name="A11LXVII"/>
      <w:bookmarkEnd w:id="219"/>
    </w:p>
    <w:p w14:paraId="0EEBE736" w14:textId="77777777" w:rsidR="00E41EFD" w:rsidRPr="00DD46CE" w:rsidRDefault="00E41EFD" w:rsidP="00093ED0">
      <w:pPr>
        <w:pStyle w:val="ParNormal"/>
        <w:spacing w:before="0"/>
        <w:ind w:left="2268" w:firstLine="0"/>
        <w:contextualSpacing/>
        <w:rPr>
          <w:b/>
        </w:rPr>
      </w:pPr>
      <w:r w:rsidRPr="00DD46CE">
        <w:rPr>
          <w:b/>
        </w:rPr>
        <w:t>LXVII - para o industrial fabricante de cerveja e chopp beneficiário do Programa de Desenvolvimento Industrial de Goiás -PRODUZIR-, o valor de até R$12.000.000,00 (doze milhões de reais), para ser efetivamente investido em obra civil, em aquisição de bem destinado ao ativo imobilizado e em direito correspondente à tecnologia necessária à ampliação de empreendimento industrial, devendo ser observado o seguinte:</w:t>
      </w:r>
      <w:bookmarkEnd w:id="220"/>
      <w:r w:rsidRPr="00DD46CE">
        <w:rPr>
          <w:b/>
        </w:rPr>
        <w:t xml:space="preserve"> </w:t>
      </w:r>
      <w:bookmarkStart w:id="221" w:name="A11LXVIIa"/>
    </w:p>
    <w:p w14:paraId="0B11B8A5" w14:textId="77777777" w:rsidR="00E41EFD" w:rsidRPr="00987EBD" w:rsidRDefault="00E41EFD" w:rsidP="00093ED0">
      <w:pPr>
        <w:pStyle w:val="ParNormal"/>
        <w:spacing w:before="0"/>
        <w:ind w:left="2268" w:firstLine="0"/>
        <w:contextualSpacing/>
      </w:pPr>
      <w:r w:rsidRPr="00987EBD">
        <w:t>a) o benefício fica condicionado à:</w:t>
      </w:r>
      <w:bookmarkEnd w:id="221"/>
      <w:r w:rsidRPr="00987EBD">
        <w:t xml:space="preserve"> </w:t>
      </w:r>
      <w:bookmarkStart w:id="222" w:name="A11LXVIIa1"/>
    </w:p>
    <w:p w14:paraId="41E543FE" w14:textId="77777777" w:rsidR="00E41EFD" w:rsidRPr="00987EBD" w:rsidRDefault="00E41EFD" w:rsidP="00093ED0">
      <w:pPr>
        <w:pStyle w:val="ParNormal"/>
        <w:spacing w:before="0"/>
        <w:ind w:left="2268" w:firstLine="0"/>
        <w:contextualSpacing/>
      </w:pPr>
      <w:r w:rsidRPr="00987EBD">
        <w:t>1. aprovação de projeto específico pela Secretaria da Fazenda, que deve conter:</w:t>
      </w:r>
      <w:bookmarkEnd w:id="222"/>
    </w:p>
    <w:p w14:paraId="136E4E01" w14:textId="77777777" w:rsidR="00E41EFD" w:rsidRPr="00987EBD" w:rsidRDefault="00E41EFD" w:rsidP="00093ED0">
      <w:pPr>
        <w:pStyle w:val="ParNormal"/>
        <w:spacing w:before="0"/>
        <w:ind w:left="2268" w:firstLine="0"/>
        <w:contextualSpacing/>
      </w:pPr>
      <w:bookmarkStart w:id="223" w:name="A11LXVIIa1_1"/>
      <w:r w:rsidRPr="00987EBD">
        <w:t>1.1. investimentos em obra civil, aquisição de bem destinado ao ativo imobilizado e direito correspondente à tecnologia necessária à ampliação do empreendimento, com valor total mínimo de R$130.000.000,00 (cento e trinta milhões de reais);</w:t>
      </w:r>
      <w:bookmarkEnd w:id="223"/>
      <w:r w:rsidRPr="00987EBD">
        <w:t xml:space="preserve"> </w:t>
      </w:r>
      <w:bookmarkStart w:id="224" w:name="A11LXVIIa1_2"/>
    </w:p>
    <w:p w14:paraId="09B330F7" w14:textId="77777777" w:rsidR="00E41EFD" w:rsidRPr="00987EBD" w:rsidRDefault="00E41EFD" w:rsidP="00093ED0">
      <w:pPr>
        <w:pStyle w:val="ParNormal"/>
        <w:spacing w:before="0"/>
        <w:ind w:left="2268" w:firstLine="0"/>
        <w:contextualSpacing/>
      </w:pPr>
      <w:r w:rsidRPr="00987EBD">
        <w:t>1.2. o cronograma físico-financeiro das obras civis e da colocação das máquinas, dos equipamentos e das instalações;</w:t>
      </w:r>
      <w:bookmarkEnd w:id="224"/>
      <w:r w:rsidRPr="00987EBD">
        <w:t xml:space="preserve"> </w:t>
      </w:r>
      <w:bookmarkStart w:id="225" w:name="A11LXVIIa1_3"/>
    </w:p>
    <w:p w14:paraId="3A6A3AD7" w14:textId="77777777" w:rsidR="00E41EFD" w:rsidRPr="00987EBD" w:rsidRDefault="00E41EFD" w:rsidP="00093ED0">
      <w:pPr>
        <w:pStyle w:val="ParNormal"/>
        <w:spacing w:before="0"/>
        <w:ind w:left="2268" w:firstLine="0"/>
        <w:contextualSpacing/>
      </w:pPr>
      <w:r w:rsidRPr="00987EBD">
        <w:t>1.3. a indicação do número de empregos diretos e indiretos a serem gerados pela ampliação;</w:t>
      </w:r>
      <w:bookmarkEnd w:id="225"/>
      <w:r w:rsidRPr="00987EBD">
        <w:t xml:space="preserve"> </w:t>
      </w:r>
      <w:bookmarkStart w:id="226" w:name="A11LXVIIa1_4"/>
    </w:p>
    <w:p w14:paraId="18600C0C" w14:textId="77777777" w:rsidR="00E41EFD" w:rsidRPr="00987EBD" w:rsidRDefault="00E41EFD" w:rsidP="00093ED0">
      <w:pPr>
        <w:pStyle w:val="ParNormal"/>
        <w:spacing w:before="0"/>
        <w:ind w:left="2268" w:firstLine="0"/>
        <w:contextualSpacing/>
      </w:pPr>
      <w:r w:rsidRPr="00987EBD">
        <w:t>1.4. a data prevista para o início e para o final da ampliação do empreendimento;</w:t>
      </w:r>
      <w:bookmarkEnd w:id="226"/>
      <w:r w:rsidRPr="00987EBD">
        <w:t xml:space="preserve"> </w:t>
      </w:r>
      <w:bookmarkStart w:id="227" w:name="A11LXVIIa2"/>
    </w:p>
    <w:p w14:paraId="37BAD5D7" w14:textId="77777777" w:rsidR="00E41EFD" w:rsidRPr="00987EBD" w:rsidRDefault="00E41EFD" w:rsidP="00093ED0">
      <w:pPr>
        <w:pStyle w:val="ParNormal"/>
        <w:spacing w:before="0"/>
        <w:ind w:left="2268" w:firstLine="0"/>
        <w:contextualSpacing/>
      </w:pPr>
      <w:r w:rsidRPr="00987EBD">
        <w:t>2. celebração de termo de acordo de regime especial com a Secretaria de Estado da Fazenda, que deve estipular meta semestral de arrecadação com base na arrecadação do ICMS devido por operação própria e o de sua responsabilidade devida por substituição tributária;</w:t>
      </w:r>
      <w:bookmarkEnd w:id="227"/>
      <w:r w:rsidRPr="00987EBD">
        <w:t xml:space="preserve"> </w:t>
      </w:r>
      <w:bookmarkStart w:id="228" w:name="A11LXVIIa3"/>
    </w:p>
    <w:p w14:paraId="15AA7CC3" w14:textId="77777777" w:rsidR="00E41EFD" w:rsidRPr="00987EBD" w:rsidRDefault="00E41EFD" w:rsidP="00093ED0">
      <w:pPr>
        <w:pStyle w:val="ParNormal"/>
        <w:spacing w:before="0"/>
        <w:ind w:left="2268" w:firstLine="0"/>
        <w:contextualSpacing/>
      </w:pPr>
      <w:r w:rsidRPr="00987EBD">
        <w:t>3. comprovação semestral de investimentos, que devem atingir, no mínimo, o percentual correspondente à divisão do número de meses transcorridos desde o início da fruição do crédito outorgado por 48 (quarenta e oito), aplicado sobre o valor total do investimento previsto em projeto;</w:t>
      </w:r>
      <w:bookmarkEnd w:id="228"/>
      <w:r w:rsidRPr="00987EBD">
        <w:t xml:space="preserve"> </w:t>
      </w:r>
    </w:p>
    <w:p w14:paraId="48810EA5" w14:textId="77777777" w:rsidR="00E41EFD" w:rsidRPr="00987EBD" w:rsidRDefault="00E41EFD" w:rsidP="00093ED0">
      <w:pPr>
        <w:pStyle w:val="ParNormal"/>
        <w:spacing w:before="0"/>
        <w:ind w:left="2268" w:firstLine="0"/>
        <w:contextualSpacing/>
      </w:pPr>
      <w:bookmarkStart w:id="229" w:name="A11LXVIIb"/>
      <w:r w:rsidRPr="00987EBD">
        <w:t>b) para fins de comprovação, são válidos os investimentos constantes de projeto específico realizados no período de até o prazo limite de 12 (doze) meses anteriores ao protocolo do mesmo;</w:t>
      </w:r>
      <w:bookmarkEnd w:id="229"/>
      <w:r w:rsidRPr="00987EBD">
        <w:t xml:space="preserve"> </w:t>
      </w:r>
      <w:bookmarkStart w:id="230" w:name="A11LXVIIc"/>
    </w:p>
    <w:p w14:paraId="1A1BA690" w14:textId="77777777" w:rsidR="00E41EFD" w:rsidRPr="00987EBD" w:rsidRDefault="00E41EFD" w:rsidP="00093ED0">
      <w:pPr>
        <w:pStyle w:val="ParNormal"/>
        <w:spacing w:before="0"/>
        <w:ind w:left="2268" w:firstLine="0"/>
        <w:contextualSpacing/>
      </w:pPr>
      <w:r w:rsidRPr="00987EBD">
        <w:t xml:space="preserve">c) o valor do crédito outorgado a ser apropriado no mês é limitado a 1/48 (um quarenta e oito avos) do valor total do crédito outorgado previsto no </w:t>
      </w:r>
      <w:r w:rsidRPr="00987EBD">
        <w:rPr>
          <w:rStyle w:val="nfase"/>
          <w:rFonts w:cs="Arial"/>
        </w:rPr>
        <w:t>caput</w:t>
      </w:r>
      <w:r w:rsidRPr="00987EBD">
        <w:t xml:space="preserve"> deste inciso;</w:t>
      </w:r>
      <w:bookmarkEnd w:id="230"/>
      <w:r w:rsidRPr="00987EBD">
        <w:t xml:space="preserve"> </w:t>
      </w:r>
      <w:bookmarkStart w:id="231" w:name="A11LXVIId"/>
    </w:p>
    <w:p w14:paraId="31D194E4" w14:textId="77777777" w:rsidR="00E41EFD" w:rsidRPr="00987EBD" w:rsidRDefault="00E41EFD" w:rsidP="00093ED0">
      <w:pPr>
        <w:pStyle w:val="ParNormal"/>
        <w:spacing w:before="0"/>
        <w:ind w:left="2268" w:firstLine="0"/>
        <w:contextualSpacing/>
      </w:pPr>
      <w:r w:rsidRPr="00987EBD">
        <w:t>d) o contribuinte deve estornar o valor apropriado indevidamente no primeiro mês seguinte ao fim do semestre nas seguintes hipóteses:</w:t>
      </w:r>
      <w:bookmarkEnd w:id="231"/>
      <w:r w:rsidRPr="00987EBD">
        <w:t xml:space="preserve"> </w:t>
      </w:r>
      <w:bookmarkStart w:id="232" w:name="A11LXVIId1"/>
    </w:p>
    <w:p w14:paraId="5049B99B" w14:textId="77777777" w:rsidR="00E41EFD" w:rsidRPr="00987EBD" w:rsidRDefault="00E41EFD" w:rsidP="00093ED0">
      <w:pPr>
        <w:pStyle w:val="ParNormal"/>
        <w:spacing w:before="0"/>
        <w:ind w:left="2268" w:firstLine="0"/>
        <w:contextualSpacing/>
      </w:pPr>
      <w:r w:rsidRPr="00987EBD">
        <w:t>1. não cumprimento da meta semestral de arrecadação prevista em termo de acordo de regime;</w:t>
      </w:r>
      <w:bookmarkEnd w:id="232"/>
      <w:r w:rsidRPr="00987EBD">
        <w:t xml:space="preserve"> </w:t>
      </w:r>
    </w:p>
    <w:p w14:paraId="376253CA" w14:textId="77777777" w:rsidR="00E41EFD" w:rsidRPr="00987EBD" w:rsidRDefault="00E41EFD" w:rsidP="00093ED0">
      <w:pPr>
        <w:pStyle w:val="ParNormal"/>
        <w:spacing w:before="0"/>
        <w:ind w:left="2268" w:firstLine="0"/>
        <w:contextualSpacing/>
      </w:pPr>
      <w:bookmarkStart w:id="233" w:name="A11LXVIId2"/>
      <w:r w:rsidRPr="00987EBD">
        <w:t>2. não comprovação do investimento mínimo previsto para o semestre exigido no item 3 da alínea “a”;</w:t>
      </w:r>
      <w:bookmarkEnd w:id="233"/>
      <w:r w:rsidRPr="00987EBD">
        <w:t xml:space="preserve"> </w:t>
      </w:r>
      <w:bookmarkStart w:id="234" w:name="A11LXVIIe"/>
    </w:p>
    <w:p w14:paraId="5235361D" w14:textId="77777777" w:rsidR="00E41EFD" w:rsidRPr="00987EBD" w:rsidRDefault="00E41EFD" w:rsidP="00093ED0">
      <w:pPr>
        <w:pStyle w:val="ParNormal"/>
        <w:spacing w:before="0"/>
        <w:ind w:left="2268" w:firstLine="0"/>
        <w:contextualSpacing/>
      </w:pPr>
      <w:r w:rsidRPr="00987EBD">
        <w:lastRenderedPageBreak/>
        <w:t>e) o estorno deve ser feito de tal forma que o crédito outorgado apropriado no semestre corresponda à aplicação sucessiva do percentual obtido pela divisão do:</w:t>
      </w:r>
      <w:bookmarkEnd w:id="234"/>
    </w:p>
    <w:p w14:paraId="5E69C62F" w14:textId="77777777" w:rsidR="00E41EFD" w:rsidRPr="00987EBD" w:rsidRDefault="00E41EFD" w:rsidP="00093ED0">
      <w:pPr>
        <w:pStyle w:val="ParNormal"/>
        <w:spacing w:before="0"/>
        <w:ind w:left="2268" w:firstLine="0"/>
        <w:contextualSpacing/>
      </w:pPr>
      <w:bookmarkStart w:id="235" w:name="A11LXVIIe1"/>
      <w:r w:rsidRPr="00987EBD">
        <w:t>1. do valor do ICMS efetivamente recolhido pelo valor do ICMS a recolher estabelecido para a meta semestral;</w:t>
      </w:r>
      <w:bookmarkEnd w:id="235"/>
      <w:r w:rsidRPr="00987EBD">
        <w:t xml:space="preserve"> </w:t>
      </w:r>
      <w:bookmarkStart w:id="236" w:name="A11LXVIIe2"/>
    </w:p>
    <w:p w14:paraId="1AE4D623" w14:textId="77777777" w:rsidR="00E41EFD" w:rsidRPr="00987EBD" w:rsidRDefault="00E41EFD" w:rsidP="00093ED0">
      <w:pPr>
        <w:pStyle w:val="ParNormal"/>
        <w:spacing w:before="0"/>
        <w:ind w:left="2268" w:firstLine="0"/>
        <w:contextualSpacing/>
      </w:pPr>
      <w:r w:rsidRPr="00987EBD">
        <w:t>2.  do valor dos investimentos efetivamente comprovados pelo valor do investimento mínimo previsto para o semestre exigido no item 3 da alínea “a”;</w:t>
      </w:r>
      <w:bookmarkEnd w:id="236"/>
      <w:r w:rsidRPr="00987EBD">
        <w:t xml:space="preserve"> </w:t>
      </w:r>
      <w:bookmarkStart w:id="237" w:name="A11LXVIIf"/>
    </w:p>
    <w:p w14:paraId="57F7C71E" w14:textId="77777777" w:rsidR="00E41EFD" w:rsidRPr="00987EBD" w:rsidRDefault="00E41EFD" w:rsidP="00093ED0">
      <w:pPr>
        <w:pStyle w:val="ParNormal"/>
        <w:spacing w:before="0"/>
        <w:ind w:left="2268" w:firstLine="0"/>
        <w:contextualSpacing/>
      </w:pPr>
      <w:r w:rsidRPr="00987EBD">
        <w:t xml:space="preserve">f) o valor do crédito outorgado de ICMS deve ser utilizado diretamente na subtração do ICMS a pagar pelo estabelecimento beneficiário do PRODUZIR; </w:t>
      </w:r>
      <w:bookmarkEnd w:id="237"/>
      <w:r w:rsidRPr="00987EBD">
        <w:t xml:space="preserve"> </w:t>
      </w:r>
      <w:bookmarkStart w:id="238" w:name="A11LXVIIg"/>
    </w:p>
    <w:p w14:paraId="579EB1E6" w14:textId="77777777" w:rsidR="00E41EFD" w:rsidRPr="00987EBD" w:rsidRDefault="00E41EFD" w:rsidP="00093ED0">
      <w:pPr>
        <w:pStyle w:val="ParNormal"/>
        <w:spacing w:before="0"/>
        <w:ind w:left="2268" w:firstLine="0"/>
        <w:contextualSpacing/>
      </w:pPr>
      <w:r w:rsidRPr="00987EBD">
        <w:t>g) impede a fruição do crédito outorgado e obriga o beneficiário a pagar os valores do crédito outorgado efetivamente utilizados, atualizados pelo IGP-DI:</w:t>
      </w:r>
      <w:bookmarkEnd w:id="238"/>
      <w:r w:rsidRPr="00987EBD">
        <w:t xml:space="preserve"> </w:t>
      </w:r>
      <w:bookmarkStart w:id="239" w:name="A11LXVIIg1"/>
    </w:p>
    <w:p w14:paraId="7E1BA2E3" w14:textId="77777777" w:rsidR="00E41EFD" w:rsidRPr="00987EBD" w:rsidRDefault="00E41EFD" w:rsidP="00093ED0">
      <w:pPr>
        <w:pStyle w:val="ParNormal"/>
        <w:spacing w:before="0"/>
        <w:ind w:left="2268" w:firstLine="0"/>
        <w:contextualSpacing/>
      </w:pPr>
      <w:r w:rsidRPr="00987EBD">
        <w:t>1. a falta de comprovação do início das obras de ampliação;</w:t>
      </w:r>
      <w:bookmarkEnd w:id="239"/>
      <w:r w:rsidRPr="00987EBD">
        <w:t xml:space="preserve"> </w:t>
      </w:r>
      <w:bookmarkStart w:id="240" w:name="A11LXVIIg2"/>
    </w:p>
    <w:p w14:paraId="0544D29C" w14:textId="77777777" w:rsidR="00E41EFD" w:rsidRPr="00987EBD" w:rsidRDefault="00E41EFD" w:rsidP="00093ED0">
      <w:pPr>
        <w:pStyle w:val="ParNormal"/>
        <w:spacing w:before="0"/>
        <w:ind w:left="2268" w:firstLine="0"/>
        <w:contextualSpacing/>
      </w:pPr>
      <w:r w:rsidRPr="00987EBD">
        <w:t xml:space="preserve">2. a desistência do projeto; </w:t>
      </w:r>
      <w:bookmarkEnd w:id="240"/>
      <w:r w:rsidRPr="00987EBD">
        <w:t xml:space="preserve"> </w:t>
      </w:r>
      <w:bookmarkStart w:id="241" w:name="A11LXVIIg3"/>
    </w:p>
    <w:p w14:paraId="3C504CC4" w14:textId="77777777" w:rsidR="00E41EFD" w:rsidRPr="00987EBD" w:rsidRDefault="00E41EFD" w:rsidP="00093ED0">
      <w:pPr>
        <w:pStyle w:val="ParNormal"/>
        <w:spacing w:before="0"/>
        <w:ind w:left="2268" w:firstLine="0"/>
        <w:contextualSpacing/>
      </w:pPr>
      <w:r w:rsidRPr="00987EBD">
        <w:t>3. a existência de crédito tributário inscrito em dívida ativa, exceto se o referido crédito estiver com sua exigibilidade suspensa nos termos da lei ou tiver sido efetivada a penhora de bens suficientes para o pagamento do total da dívida;</w:t>
      </w:r>
      <w:bookmarkEnd w:id="241"/>
      <w:r w:rsidRPr="00987EBD">
        <w:t xml:space="preserve"> </w:t>
      </w:r>
      <w:bookmarkStart w:id="242" w:name="A11LXVIIg4"/>
    </w:p>
    <w:p w14:paraId="6F9DC77A" w14:textId="77777777" w:rsidR="00E41EFD" w:rsidRPr="00987EBD" w:rsidRDefault="00E41EFD" w:rsidP="00093ED0">
      <w:pPr>
        <w:pStyle w:val="ParNormal"/>
        <w:spacing w:before="0"/>
        <w:ind w:left="2268" w:firstLine="0"/>
        <w:contextualSpacing/>
      </w:pPr>
      <w:r w:rsidRPr="00987EBD">
        <w:t>4. a infração às disposições do termo de acordo de regime especial.</w:t>
      </w:r>
      <w:bookmarkEnd w:id="242"/>
      <w:r w:rsidRPr="00987EBD">
        <w:t xml:space="preserve"> </w:t>
      </w:r>
      <w:bookmarkStart w:id="243" w:name="A11LXVIIIA"/>
    </w:p>
    <w:p w14:paraId="12FA9014" w14:textId="5200EBE7" w:rsidR="00E41EFD" w:rsidRPr="00DD46CE" w:rsidRDefault="00E41EFD" w:rsidP="00093ED0">
      <w:pPr>
        <w:pStyle w:val="ParNormal"/>
        <w:spacing w:before="0"/>
        <w:ind w:left="2268" w:firstLine="0"/>
        <w:contextualSpacing/>
        <w:rPr>
          <w:b/>
          <w:lang w:eastAsia="pt-BR"/>
        </w:rPr>
      </w:pPr>
      <w:r w:rsidRPr="00DD46CE">
        <w:rPr>
          <w:b/>
          <w:lang w:eastAsia="pt-BR"/>
        </w:rPr>
        <w:t xml:space="preserve">LXVIII - para o estabelecimento industrial beneficiário do Programa de Desenvolvimento Industrial de Goiás -PRODUZIR- e do Fundo de Participação e Fomento à Industrialização do Estado de Goiás –FOMENTAR até o valor equivalente à execução de obras de pavimentação de rodovia de acesso à unidade industrial em implantação ou já instalada no Estado de Goiás, nos termos e nas condições estabelecidos em Termo de Acordo de Regime Especial -TARE- celebrado com a Secretaria de Estado da Fazenda, observado o seguinte: (Lei nº </w:t>
      </w:r>
      <w:r w:rsidRPr="00283765">
        <w:rPr>
          <w:b/>
          <w:lang w:eastAsia="pt-BR"/>
        </w:rPr>
        <w:t>13.194/97</w:t>
      </w:r>
      <w:r w:rsidRPr="00DD46CE">
        <w:rPr>
          <w:b/>
          <w:lang w:eastAsia="pt-BR"/>
        </w:rPr>
        <w:t>, art. 2º, II, “</w:t>
      </w:r>
      <w:r w:rsidRPr="00283765">
        <w:rPr>
          <w:b/>
          <w:lang w:eastAsia="pt-BR"/>
        </w:rPr>
        <w:t>w</w:t>
      </w:r>
      <w:r w:rsidRPr="00DD46CE">
        <w:rPr>
          <w:b/>
          <w:lang w:eastAsia="pt-BR"/>
        </w:rPr>
        <w:t xml:space="preserve">”, e </w:t>
      </w:r>
      <w:r w:rsidRPr="00283765">
        <w:rPr>
          <w:b/>
          <w:lang w:eastAsia="pt-BR"/>
        </w:rPr>
        <w:t>§ 28</w:t>
      </w:r>
      <w:r w:rsidRPr="00DD46CE">
        <w:rPr>
          <w:b/>
          <w:lang w:eastAsia="pt-BR"/>
        </w:rPr>
        <w:t xml:space="preserve">): </w:t>
      </w:r>
    </w:p>
    <w:p w14:paraId="31761360" w14:textId="77777777" w:rsidR="00E41EFD" w:rsidRPr="00987EBD" w:rsidRDefault="00E41EFD" w:rsidP="00093ED0">
      <w:pPr>
        <w:pStyle w:val="ParNormal"/>
        <w:spacing w:before="0"/>
        <w:ind w:left="2268" w:firstLine="0"/>
        <w:contextualSpacing/>
      </w:pPr>
      <w:r w:rsidRPr="00987EBD">
        <w:t>a) a fruição do benefício fica condicionada à:</w:t>
      </w:r>
      <w:bookmarkEnd w:id="243"/>
      <w:r w:rsidRPr="00987EBD">
        <w:t xml:space="preserve"> </w:t>
      </w:r>
      <w:bookmarkStart w:id="244" w:name="A11LXVIIIA1"/>
    </w:p>
    <w:p w14:paraId="19D227FD" w14:textId="77777777" w:rsidR="00E41EFD" w:rsidRPr="00987EBD" w:rsidRDefault="00E41EFD" w:rsidP="00093ED0">
      <w:pPr>
        <w:pStyle w:val="ParNormal"/>
        <w:spacing w:before="0"/>
        <w:ind w:left="2268" w:firstLine="0"/>
        <w:contextualSpacing/>
        <w:rPr>
          <w:szCs w:val="16"/>
          <w:lang w:val="pt-PT"/>
        </w:rPr>
      </w:pPr>
      <w:r w:rsidRPr="00987EBD">
        <w:t>1. aprovação de projeto específico pela Secretaria de Estado da Fazenda, que deve conter, no mínimo:</w:t>
      </w:r>
      <w:bookmarkEnd w:id="244"/>
      <w:r w:rsidRPr="00987EBD">
        <w:t xml:space="preserve"> </w:t>
      </w:r>
    </w:p>
    <w:p w14:paraId="2E54CDC8" w14:textId="77777777" w:rsidR="00E41EFD" w:rsidRPr="00987EBD" w:rsidRDefault="00E41EFD" w:rsidP="00093ED0">
      <w:pPr>
        <w:pStyle w:val="ParNormal"/>
        <w:spacing w:before="0"/>
        <w:ind w:left="2268" w:firstLine="0"/>
        <w:contextualSpacing/>
        <w:rPr>
          <w:lang w:eastAsia="pt-BR"/>
        </w:rPr>
      </w:pPr>
      <w:bookmarkStart w:id="245" w:name="A11LXVIIIA1_2"/>
      <w:r w:rsidRPr="00987EBD">
        <w:rPr>
          <w:lang w:eastAsia="pt-BR"/>
        </w:rPr>
        <w:t xml:space="preserve">1.1. o valor dos investimentos em obra de pavimentação da rodovia de acesso e o correspondente cronograma físico-financeiro; </w:t>
      </w:r>
    </w:p>
    <w:p w14:paraId="06674654" w14:textId="77777777" w:rsidR="00E41EFD" w:rsidRPr="00987EBD" w:rsidRDefault="00E41EFD" w:rsidP="00093ED0">
      <w:pPr>
        <w:pStyle w:val="ParNormal"/>
        <w:spacing w:before="0"/>
        <w:ind w:left="2268" w:firstLine="0"/>
        <w:contextualSpacing/>
        <w:rPr>
          <w:lang w:val="pt-PT"/>
        </w:rPr>
      </w:pPr>
      <w:r w:rsidRPr="00987EBD">
        <w:t>1.2. a data de início e a data prevista para o término das obras;</w:t>
      </w:r>
      <w:bookmarkEnd w:id="245"/>
      <w:r w:rsidRPr="00987EBD">
        <w:t xml:space="preserve"> </w:t>
      </w:r>
    </w:p>
    <w:p w14:paraId="4301C1BB" w14:textId="77777777" w:rsidR="00E41EFD" w:rsidRPr="00987EBD" w:rsidRDefault="00E41EFD" w:rsidP="00093ED0">
      <w:pPr>
        <w:pStyle w:val="ParNormal"/>
        <w:spacing w:before="0"/>
        <w:ind w:left="2268" w:firstLine="0"/>
        <w:contextualSpacing/>
        <w:rPr>
          <w:lang w:eastAsia="pt-BR"/>
        </w:rPr>
      </w:pPr>
      <w:bookmarkStart w:id="246" w:name="A11LXVIIIC"/>
      <w:r w:rsidRPr="00987EBD">
        <w:rPr>
          <w:lang w:eastAsia="pt-BR"/>
        </w:rPr>
        <w:t xml:space="preserve">b) o crédito outorgado deve ser apropriado em parcelas mensais, iguais e sucessivas: </w:t>
      </w:r>
      <w:bookmarkStart w:id="247" w:name="A11LXVIIIb1"/>
    </w:p>
    <w:p w14:paraId="35720C22" w14:textId="77777777" w:rsidR="00E41EFD" w:rsidRPr="00987EBD" w:rsidRDefault="00E41EFD" w:rsidP="00093ED0">
      <w:pPr>
        <w:pStyle w:val="ParNormal"/>
        <w:spacing w:before="0"/>
        <w:ind w:left="2268" w:firstLine="0"/>
        <w:contextualSpacing/>
        <w:rPr>
          <w:lang w:eastAsia="pt-BR"/>
        </w:rPr>
      </w:pPr>
      <w:r w:rsidRPr="00987EBD">
        <w:rPr>
          <w:lang w:eastAsia="pt-BR"/>
        </w:rPr>
        <w:t>1. a partir do período de apuração seguinte ao do início da produção do estabelecimento beneficiário, uma vez concluída a obra e comprovado o valor investido, no caso de projeto de implantação de unidade industrial, conforme definido no termo de acordo;</w:t>
      </w:r>
      <w:bookmarkEnd w:id="247"/>
      <w:r w:rsidRPr="00987EBD">
        <w:rPr>
          <w:lang w:eastAsia="pt-BR"/>
        </w:rPr>
        <w:t xml:space="preserve"> </w:t>
      </w:r>
      <w:bookmarkStart w:id="248" w:name="A11LXVIIIb2"/>
    </w:p>
    <w:p w14:paraId="73484F16" w14:textId="77777777" w:rsidR="00E41EFD" w:rsidRPr="00987EBD" w:rsidRDefault="00E41EFD" w:rsidP="00093ED0">
      <w:pPr>
        <w:pStyle w:val="ParNormal"/>
        <w:spacing w:before="0"/>
        <w:ind w:left="2268" w:firstLine="0"/>
        <w:contextualSpacing/>
        <w:rPr>
          <w:lang w:eastAsia="pt-BR"/>
        </w:rPr>
      </w:pPr>
      <w:r w:rsidRPr="00987EBD">
        <w:rPr>
          <w:lang w:eastAsia="pt-BR"/>
        </w:rPr>
        <w:t>2. concomitantemente à execução das obras, na hipótese de empresa já instalada no Estado, conforme definido no termo de acordo;</w:t>
      </w:r>
      <w:bookmarkEnd w:id="248"/>
      <w:r w:rsidRPr="00987EBD">
        <w:rPr>
          <w:lang w:eastAsia="pt-BR"/>
        </w:rPr>
        <w:t xml:space="preserve"> </w:t>
      </w:r>
    </w:p>
    <w:p w14:paraId="380EFDEC" w14:textId="77777777" w:rsidR="00E41EFD" w:rsidRPr="00987EBD" w:rsidRDefault="00E41EFD" w:rsidP="00093ED0">
      <w:pPr>
        <w:pStyle w:val="ParNormal"/>
        <w:spacing w:before="0"/>
        <w:ind w:left="2268" w:firstLine="0"/>
        <w:contextualSpacing/>
        <w:rPr>
          <w:lang w:val="pt-PT"/>
        </w:rPr>
      </w:pPr>
      <w:r w:rsidRPr="00987EBD">
        <w:t>c) a falta de comprovação do início da atividade do estabelecimento impede a fruição do crédito outorgado e obriga o beneficiário a estornar os valores eventualmente creditados;</w:t>
      </w:r>
      <w:bookmarkEnd w:id="246"/>
      <w:r w:rsidRPr="00987EBD">
        <w:t xml:space="preserve"> </w:t>
      </w:r>
    </w:p>
    <w:p w14:paraId="3230152F" w14:textId="77777777" w:rsidR="00E41EFD" w:rsidRPr="00987EBD" w:rsidRDefault="00E41EFD" w:rsidP="00093ED0">
      <w:pPr>
        <w:pStyle w:val="ParNormal"/>
        <w:spacing w:before="0"/>
        <w:ind w:left="2268" w:firstLine="0"/>
        <w:contextualSpacing/>
      </w:pPr>
      <w:r w:rsidRPr="00987EBD">
        <w:t>d) cabe à Agência Goiana de Transporte e Obras -AGETOP-mediante análise do projeto e da documentação idônea, a apuração do valor relativo aos investimentos realizados que, no caso de empresa já instalada no Estado de Goiás, deve ser feita e encaminhada à Secretaria de Estado da Fazenda a cada 6 (seis) meses;</w:t>
      </w:r>
    </w:p>
    <w:p w14:paraId="79A98CBB" w14:textId="77777777" w:rsidR="00E41EFD" w:rsidRPr="00987EBD" w:rsidRDefault="00E41EFD" w:rsidP="00093ED0">
      <w:pPr>
        <w:pStyle w:val="ParNormal"/>
        <w:spacing w:before="0"/>
        <w:ind w:left="2268" w:firstLine="0"/>
        <w:contextualSpacing/>
        <w:rPr>
          <w:lang w:eastAsia="pt-BR"/>
        </w:rPr>
      </w:pPr>
      <w:bookmarkStart w:id="249" w:name="A11LXVIIIe"/>
      <w:r w:rsidRPr="00987EBD">
        <w:rPr>
          <w:lang w:eastAsia="pt-BR"/>
        </w:rPr>
        <w:lastRenderedPageBreak/>
        <w:t>e) o crédito de que trata este inciso pode ser concedido ao estabelecimento industrial beneficiário do Programa de Desenvolvimento Industrial de Goiás -PRODUZIR-, até o valor equivalente à execução de obras civis de infraestrutura para aperfeiçoamento logístico da distribuição da produção, tais como pavimentação de rodovias de acesso, manutenção e sinalização de trechos de rodovia já pavimentada, construção de ponte de acesso ao empreendimento, observadas as condições estabelecidas nas alíneas anteriores;</w:t>
      </w:r>
      <w:bookmarkEnd w:id="249"/>
      <w:r w:rsidRPr="00987EBD">
        <w:rPr>
          <w:lang w:eastAsia="pt-BR"/>
        </w:rPr>
        <w:t xml:space="preserve"> </w:t>
      </w:r>
      <w:bookmarkStart w:id="250" w:name="A11LXVIIIf"/>
    </w:p>
    <w:p w14:paraId="7888C7E8" w14:textId="77777777" w:rsidR="00E41EFD" w:rsidRPr="00987EBD" w:rsidRDefault="00E41EFD" w:rsidP="00093ED0">
      <w:pPr>
        <w:pStyle w:val="ParNormal"/>
        <w:spacing w:before="0"/>
        <w:ind w:left="2268" w:firstLine="0"/>
      </w:pPr>
      <w:r w:rsidRPr="00987EBD">
        <w:rPr>
          <w:lang w:eastAsia="pt-BR"/>
        </w:rPr>
        <w:t>f)   na hipótese da alínea “e”, a execução das obras civis de infraestrutura pode ser realizada isoladamente pela empresa ou em consórcio com outras empresas estabelecidas no Estado de Goiás, de forma que os respectivos créditos sejam alocados na proporção do investimento de cada consorciado.</w:t>
      </w:r>
      <w:bookmarkEnd w:id="250"/>
      <w:r w:rsidRPr="00987EBD">
        <w:rPr>
          <w:lang w:eastAsia="pt-BR"/>
        </w:rPr>
        <w:t xml:space="preserve"> </w:t>
      </w:r>
    </w:p>
    <w:p w14:paraId="326A17BA" w14:textId="5A4EFC64" w:rsidR="00E41EFD" w:rsidRPr="00DD46CE" w:rsidRDefault="00E41EFD" w:rsidP="00093ED0">
      <w:pPr>
        <w:pStyle w:val="ParNormal"/>
        <w:spacing w:before="0"/>
        <w:ind w:left="2268" w:firstLine="0"/>
        <w:rPr>
          <w:b/>
        </w:rPr>
      </w:pPr>
      <w:bookmarkStart w:id="251" w:name="A11LXIXa"/>
      <w:r w:rsidRPr="00DD46CE">
        <w:rPr>
          <w:b/>
          <w:lang w:eastAsia="pt-BR"/>
        </w:rPr>
        <w:t xml:space="preserve">LXIX - para a empresa fornecedora de energia elétrica e para a prestadora de serviço de telecomunicação, o equivalente à aplicação de até 10% (dez por cento) sobre o valor do faturamento bruto do conjunto de seus estabelecimentos localizados neste Estado no segundo mês anterior ao da utilização do crédito, observado o seguinte (Convênio </w:t>
      </w:r>
      <w:r w:rsidRPr="00283765">
        <w:rPr>
          <w:b/>
          <w:lang w:eastAsia="pt-BR"/>
        </w:rPr>
        <w:t>ICMS 102/13</w:t>
      </w:r>
      <w:r w:rsidRPr="00DD46CE">
        <w:rPr>
          <w:b/>
          <w:lang w:eastAsia="pt-BR"/>
        </w:rPr>
        <w:t xml:space="preserve">): </w:t>
      </w:r>
      <w:bookmarkStart w:id="252" w:name="A11LXIXb"/>
      <w:bookmarkEnd w:id="251"/>
    </w:p>
    <w:p w14:paraId="2B1D0B92" w14:textId="77777777" w:rsidR="00E41EFD" w:rsidRPr="00987EBD" w:rsidRDefault="00E41EFD" w:rsidP="00093ED0">
      <w:pPr>
        <w:pStyle w:val="ParNormal"/>
        <w:spacing w:before="0"/>
        <w:ind w:left="2268" w:firstLine="0"/>
      </w:pPr>
      <w:r w:rsidRPr="00987EBD">
        <w:t>a) o crédito deve ser utilizado, exclusivamente, para liquidação dos débitos decorrentes da aquisição de energia elétrica ou de serviços de telecomunicação por órgão da administração pública estadual direta, suas fundações e autarquias;</w:t>
      </w:r>
    </w:p>
    <w:p w14:paraId="1451A114" w14:textId="77777777" w:rsidR="00E41EFD" w:rsidRPr="00987EBD" w:rsidRDefault="00E41EFD" w:rsidP="00093ED0">
      <w:pPr>
        <w:pStyle w:val="ParNormal"/>
        <w:spacing w:before="0"/>
        <w:ind w:left="2268" w:firstLine="0"/>
      </w:pPr>
      <w:r w:rsidRPr="00987EBD">
        <w:rPr>
          <w:lang w:eastAsia="pt-BR"/>
        </w:rPr>
        <w:t>b) o valor mensal do crédito é limitado ao valor total mensal constante na fatura do fornecimento de energia ou da prestação de serviço de comunicação;</w:t>
      </w:r>
      <w:r w:rsidRPr="00987EBD">
        <w:t xml:space="preserve"> </w:t>
      </w:r>
      <w:bookmarkStart w:id="253" w:name="A11LXIXc"/>
      <w:bookmarkEnd w:id="252"/>
    </w:p>
    <w:p w14:paraId="1A9D4938" w14:textId="77777777" w:rsidR="00E41EFD" w:rsidRPr="00987EBD" w:rsidRDefault="00E41EFD" w:rsidP="00093ED0">
      <w:pPr>
        <w:pStyle w:val="ParNormal"/>
        <w:spacing w:before="0"/>
        <w:ind w:left="2268" w:firstLine="0"/>
      </w:pPr>
      <w:r w:rsidRPr="00987EBD">
        <w:rPr>
          <w:lang w:eastAsia="pt-BR"/>
        </w:rPr>
        <w:t>c) a utilização do crédito é condicionada à celebração de termo de acordo de regime especial com a Secretaria de Estado da Fazenda para este fim, no qual devem ser estabelecidas as regras para a sua utilização.</w:t>
      </w:r>
      <w:r w:rsidRPr="00987EBD">
        <w:t xml:space="preserve"> </w:t>
      </w:r>
      <w:bookmarkStart w:id="254" w:name="A11LXX"/>
      <w:bookmarkEnd w:id="253"/>
    </w:p>
    <w:p w14:paraId="1F0EB1BA" w14:textId="5CD00C82" w:rsidR="00E41EFD" w:rsidRPr="00DD46CE" w:rsidRDefault="00E41EFD" w:rsidP="00093ED0">
      <w:pPr>
        <w:pStyle w:val="ParNormal"/>
        <w:spacing w:before="0"/>
        <w:ind w:left="2268" w:firstLine="0"/>
        <w:rPr>
          <w:b/>
          <w:lang w:val="pt-PT"/>
        </w:rPr>
      </w:pPr>
      <w:r w:rsidRPr="00DD46CE">
        <w:rPr>
          <w:b/>
          <w:lang w:val="pt-PT"/>
        </w:rPr>
        <w:t>LXX</w:t>
      </w:r>
      <w:bookmarkEnd w:id="254"/>
      <w:r w:rsidRPr="00DD46CE">
        <w:rPr>
          <w:b/>
          <w:lang w:val="pt-PT"/>
        </w:rPr>
        <w:t xml:space="preserve"> - para o estabelecimento microcervejeiro, na saída interna com cerveja e chope artesanais produzidos pelo próprio estabelecimento, o valor equivalente à aplicação de 13% (treze por cento) sobre o valor da respectiva base de cálculo, mantido o sistema normal de compensação do imposto, observado o seguinte (</w:t>
      </w:r>
      <w:r w:rsidRPr="00283765">
        <w:rPr>
          <w:b/>
          <w:lang w:val="pt-PT"/>
        </w:rPr>
        <w:t>Lei nº 13.194/97</w:t>
      </w:r>
      <w:r w:rsidRPr="00DD46CE">
        <w:rPr>
          <w:b/>
          <w:lang w:val="pt-PT"/>
        </w:rPr>
        <w:t xml:space="preserve">, </w:t>
      </w:r>
      <w:r w:rsidRPr="00283765">
        <w:rPr>
          <w:b/>
          <w:lang w:val="pt-PT"/>
        </w:rPr>
        <w:t>art. 2º</w:t>
      </w:r>
      <w:r w:rsidRPr="00DD46CE">
        <w:rPr>
          <w:b/>
          <w:lang w:val="pt-PT"/>
        </w:rPr>
        <w:t>, II, “z”):</w:t>
      </w:r>
    </w:p>
    <w:p w14:paraId="11C4F1E2" w14:textId="77777777" w:rsidR="00E41EFD" w:rsidRPr="00987EBD" w:rsidRDefault="00E41EFD" w:rsidP="00093ED0">
      <w:pPr>
        <w:pStyle w:val="ParNormal"/>
        <w:spacing w:before="0"/>
        <w:ind w:left="2268" w:firstLine="0"/>
        <w:rPr>
          <w:rFonts w:cs="Arial"/>
          <w:sz w:val="16"/>
          <w:szCs w:val="16"/>
          <w:lang w:val="pt-PT"/>
        </w:rPr>
      </w:pPr>
      <w:r w:rsidRPr="00987EBD">
        <w:rPr>
          <w:rFonts w:cs="Arial"/>
          <w:sz w:val="16"/>
          <w:szCs w:val="16"/>
          <w:lang w:val="pt-PT"/>
        </w:rPr>
        <w:t xml:space="preserve"> </w:t>
      </w:r>
      <w:r w:rsidRPr="00987EBD">
        <w:rPr>
          <w:lang w:val="pt-PT"/>
        </w:rPr>
        <w:t>a) aplica-se inclusive sobre o valor da base de cálculo da substituição tributária, hipótese em que o crédito outorgado fica limitado a 10% (dez por cento);</w:t>
      </w:r>
      <w:r w:rsidRPr="00987EBD">
        <w:rPr>
          <w:rFonts w:cs="Arial"/>
          <w:sz w:val="16"/>
          <w:szCs w:val="16"/>
          <w:lang w:val="pt-PT"/>
        </w:rPr>
        <w:t xml:space="preserve"> </w:t>
      </w:r>
    </w:p>
    <w:p w14:paraId="4B801F40" w14:textId="77777777" w:rsidR="00E41EFD" w:rsidRPr="00987EBD" w:rsidRDefault="00E41EFD" w:rsidP="00093ED0">
      <w:pPr>
        <w:pStyle w:val="ParNormal"/>
        <w:spacing w:before="0"/>
        <w:ind w:left="2268" w:firstLine="0"/>
        <w:rPr>
          <w:rFonts w:cs="Arial"/>
          <w:sz w:val="16"/>
          <w:szCs w:val="16"/>
          <w:lang w:val="pt-PT"/>
        </w:rPr>
      </w:pPr>
      <w:r w:rsidRPr="00987EBD">
        <w:rPr>
          <w:lang w:val="pt-PT"/>
        </w:rPr>
        <w:t>b) para efeito do disposto neste inciso, considera-se:</w:t>
      </w:r>
      <w:r w:rsidRPr="00987EBD">
        <w:rPr>
          <w:rFonts w:cs="Arial"/>
          <w:sz w:val="16"/>
          <w:szCs w:val="16"/>
          <w:lang w:val="pt-PT"/>
        </w:rPr>
        <w:t xml:space="preserve"> </w:t>
      </w:r>
    </w:p>
    <w:p w14:paraId="0D3BC447" w14:textId="77777777" w:rsidR="00E41EFD" w:rsidRPr="00987EBD" w:rsidRDefault="00E41EFD" w:rsidP="00093ED0">
      <w:pPr>
        <w:pStyle w:val="ParNormal"/>
        <w:spacing w:before="0"/>
        <w:ind w:left="2268" w:firstLine="0"/>
        <w:rPr>
          <w:rFonts w:cs="Arial"/>
          <w:sz w:val="16"/>
          <w:szCs w:val="16"/>
          <w:lang w:val="pt-PT"/>
        </w:rPr>
      </w:pPr>
      <w:r w:rsidRPr="00987EBD">
        <w:rPr>
          <w:lang w:val="pt-PT"/>
        </w:rPr>
        <w:t>1. microcervejaria, a pessoa jurídica cuja produção anual de cerveja e chope artesanais, correspondente ao somatório da produção de todos os seus estabelecimentos, inclusive os caracterizados como controladora, controlada, coligada, interdependentes ou sob o controle societário ou administrativo comum, não seja superior a 5.000.000 (cinco milhões) de litros;</w:t>
      </w:r>
      <w:r w:rsidRPr="00987EBD">
        <w:rPr>
          <w:rFonts w:cs="Arial"/>
          <w:sz w:val="16"/>
          <w:szCs w:val="16"/>
          <w:lang w:val="pt-PT"/>
        </w:rPr>
        <w:t xml:space="preserve"> </w:t>
      </w:r>
    </w:p>
    <w:p w14:paraId="48E58C18" w14:textId="77777777" w:rsidR="00E41EFD" w:rsidRPr="00987EBD" w:rsidRDefault="00E41EFD" w:rsidP="00093ED0">
      <w:pPr>
        <w:pStyle w:val="ParNormal"/>
        <w:spacing w:before="0"/>
        <w:ind w:left="2268" w:firstLine="0"/>
        <w:rPr>
          <w:rFonts w:cs="Arial"/>
          <w:sz w:val="16"/>
          <w:szCs w:val="16"/>
          <w:lang w:val="pt-PT"/>
        </w:rPr>
      </w:pPr>
      <w:r w:rsidRPr="00987EBD">
        <w:rPr>
          <w:lang w:val="pt-PT"/>
        </w:rPr>
        <w:t>2. cerveja ou chope artesanal, o produto elaborado a partir de mosto cujo extrato primitivo contenha no mínimo 80% (oitenta por cento) de cereais malteados ou extrato de malte, conforme registro do produto no Ministério da Agricultura, Pecuária e Abastecimento;</w:t>
      </w:r>
      <w:bookmarkStart w:id="255" w:name="A11LXXI"/>
      <w:r w:rsidRPr="00987EBD">
        <w:rPr>
          <w:rFonts w:cs="Arial"/>
          <w:sz w:val="16"/>
          <w:szCs w:val="16"/>
          <w:lang w:val="pt-PT"/>
        </w:rPr>
        <w:t xml:space="preserve"> </w:t>
      </w:r>
    </w:p>
    <w:p w14:paraId="293C4651" w14:textId="26AF4ED7" w:rsidR="00E41EFD" w:rsidRPr="00DD46CE" w:rsidRDefault="00E41EFD" w:rsidP="00093ED0">
      <w:pPr>
        <w:pStyle w:val="ParNormal"/>
        <w:spacing w:before="0"/>
        <w:ind w:left="2268" w:firstLine="0"/>
        <w:rPr>
          <w:rFonts w:cs="Arial"/>
          <w:b/>
          <w:sz w:val="16"/>
          <w:szCs w:val="16"/>
          <w:lang w:val="pt-PT"/>
        </w:rPr>
      </w:pPr>
      <w:r w:rsidRPr="00DD46CE">
        <w:rPr>
          <w:b/>
          <w:lang w:val="pt-PT"/>
        </w:rPr>
        <w:t>LXXI</w:t>
      </w:r>
      <w:bookmarkEnd w:id="255"/>
      <w:r w:rsidRPr="00DD46CE">
        <w:rPr>
          <w:b/>
          <w:lang w:val="pt-PT"/>
        </w:rPr>
        <w:t xml:space="preserve"> - para o estabelecimento que efetuar saída interestadual com café torrado ou moído industrializado, o valor equivalente à aplicação de 5% (cinco por cento) sobre o valor da respectiva base </w:t>
      </w:r>
      <w:r w:rsidRPr="00DD46CE">
        <w:rPr>
          <w:b/>
          <w:lang w:val="pt-PT"/>
        </w:rPr>
        <w:lastRenderedPageBreak/>
        <w:t xml:space="preserve">de cálculo, mantido o sistema normal de compensação do imposto (Lei nº </w:t>
      </w:r>
      <w:r w:rsidRPr="00283765">
        <w:rPr>
          <w:b/>
          <w:lang w:val="pt-PT"/>
        </w:rPr>
        <w:t>13.194/97</w:t>
      </w:r>
      <w:r w:rsidRPr="00DD46CE">
        <w:rPr>
          <w:b/>
          <w:lang w:val="pt-PT"/>
        </w:rPr>
        <w:t xml:space="preserve">, </w:t>
      </w:r>
      <w:r w:rsidRPr="00283765">
        <w:rPr>
          <w:b/>
          <w:lang w:val="pt-PT"/>
        </w:rPr>
        <w:t>art. 2º</w:t>
      </w:r>
      <w:r w:rsidRPr="00DD46CE">
        <w:rPr>
          <w:b/>
          <w:lang w:val="pt-PT"/>
        </w:rPr>
        <w:t>, II, “a.a</w:t>
      </w:r>
      <w:r>
        <w:rPr>
          <w:b/>
          <w:lang w:val="pt-PT"/>
        </w:rPr>
        <w:t>).</w:t>
      </w:r>
    </w:p>
    <w:p w14:paraId="086263DA" w14:textId="243DC799" w:rsidR="00E41EFD" w:rsidRPr="00DD46CE" w:rsidRDefault="00E41EFD" w:rsidP="00093ED0">
      <w:pPr>
        <w:pStyle w:val="ParNormal"/>
        <w:spacing w:before="0"/>
        <w:ind w:left="2268" w:firstLine="0"/>
        <w:contextualSpacing/>
        <w:rPr>
          <w:b/>
          <w:lang w:eastAsia="pt-BR"/>
        </w:rPr>
      </w:pPr>
      <w:bookmarkStart w:id="256" w:name="A11LXXII"/>
      <w:r w:rsidRPr="00DD46CE">
        <w:rPr>
          <w:b/>
          <w:lang w:val="pt-PT"/>
        </w:rPr>
        <w:t>LXXII</w:t>
      </w:r>
      <w:bookmarkEnd w:id="256"/>
      <w:r w:rsidRPr="00DD46CE">
        <w:rPr>
          <w:b/>
          <w:lang w:val="pt-PT"/>
        </w:rPr>
        <w:t xml:space="preserve"> - para o estabelecimento que efetuar saída interestadual de peixe produzido no Estado de Goiás, o valor equivalente à aplicação de 5% (cinco por cento) sobre o valor da respectiva base de cálculo, mantido o sistema normal de compensação do imposto (Lei nº </w:t>
      </w:r>
      <w:r w:rsidRPr="00283765">
        <w:rPr>
          <w:b/>
          <w:lang w:val="pt-PT"/>
        </w:rPr>
        <w:t>13.194/97</w:t>
      </w:r>
      <w:r w:rsidRPr="00DD46CE">
        <w:rPr>
          <w:b/>
          <w:lang w:val="pt-PT"/>
        </w:rPr>
        <w:t xml:space="preserve">, </w:t>
      </w:r>
      <w:r w:rsidRPr="00283765">
        <w:rPr>
          <w:b/>
          <w:lang w:val="pt-PT"/>
        </w:rPr>
        <w:t>art. 2º</w:t>
      </w:r>
      <w:r w:rsidRPr="00DD46CE">
        <w:rPr>
          <w:b/>
          <w:lang w:val="pt-PT"/>
        </w:rPr>
        <w:t>, II, “a.b”).</w:t>
      </w:r>
      <w:r w:rsidRPr="00DD46CE">
        <w:rPr>
          <w:rFonts w:cs="Arial"/>
          <w:b/>
          <w:sz w:val="16"/>
          <w:szCs w:val="16"/>
          <w:lang w:val="pt-PT"/>
        </w:rPr>
        <w:t xml:space="preserve"> </w:t>
      </w:r>
      <w:bookmarkStart w:id="257" w:name="A11LXXIV"/>
      <w:bookmarkStart w:id="258" w:name="a11p1"/>
    </w:p>
    <w:p w14:paraId="419D4E2E" w14:textId="77777777" w:rsidR="00E41EFD" w:rsidRPr="00DD46CE" w:rsidRDefault="00E41EFD" w:rsidP="00093ED0">
      <w:pPr>
        <w:pStyle w:val="ParNormal"/>
        <w:spacing w:before="0"/>
        <w:ind w:left="2268" w:firstLine="0"/>
        <w:rPr>
          <w:b/>
        </w:rPr>
      </w:pPr>
      <w:r w:rsidRPr="00DD46CE">
        <w:rPr>
          <w:b/>
        </w:rPr>
        <w:t>LXXIII - para o estabelecimento fabricante de água mineral, natural ou artificial, inclusive o estabelecido em outra unidade da federação, desde que possua inscrição no Cadastro de Contribuintes do Estado de Goiás - CCE/GO, quanto às operações destinadas a este Estado, no valor correspondente ao da aquisição de Selos Fiscais de Controle e Selos Fiscais Eletrônicos efetivamente utilizados em cada período de apuração, observado o seguinte:</w:t>
      </w:r>
    </w:p>
    <w:p w14:paraId="4ACD0617" w14:textId="77777777" w:rsidR="00E41EFD" w:rsidRPr="00987EBD" w:rsidRDefault="00E41EFD" w:rsidP="00093ED0">
      <w:pPr>
        <w:pStyle w:val="ParNormal"/>
        <w:spacing w:before="0"/>
        <w:ind w:left="2268" w:firstLine="0"/>
      </w:pPr>
      <w:r w:rsidRPr="00987EBD">
        <w:t>a) o crédito fica limitado aos valores máximos de R$ 0,07 (sete centavos de real) por unidade de Selo Fiscal de Controle e de R$ 0,03 (três centavos de real) por unidade de Selo Fiscal Eletrônico;</w:t>
      </w:r>
    </w:p>
    <w:p w14:paraId="366F6FDB" w14:textId="77777777" w:rsidR="00E41EFD" w:rsidRPr="00987EBD" w:rsidRDefault="00E41EFD" w:rsidP="00093ED0">
      <w:pPr>
        <w:pStyle w:val="ParNormal"/>
        <w:spacing w:before="0"/>
        <w:ind w:left="2268" w:firstLine="0"/>
      </w:pPr>
      <w:r w:rsidRPr="00987EBD">
        <w:t>b) o substituto tributário estabelecido em outra unidade da Federação pode utilizar o valor do crédito como dedução do montante de ICMS substituição tributária devido ao Estado de Goiás;</w:t>
      </w:r>
    </w:p>
    <w:p w14:paraId="6C22F3AE" w14:textId="77777777" w:rsidR="00E41EFD" w:rsidRPr="00987EBD" w:rsidRDefault="00E41EFD" w:rsidP="00093ED0">
      <w:pPr>
        <w:pStyle w:val="ParNormal"/>
        <w:spacing w:before="0"/>
        <w:ind w:left="2268" w:firstLine="0"/>
      </w:pPr>
      <w:r w:rsidRPr="00987EBD">
        <w:t>c) a apropriação do crédito tributário de que trata a alínea ‘b’ deve ser efetuada mediante lançamento de ajuste a crédito no Registro E220 da Escrituração Fiscal Digital - EFD relativo à apuração do ICMS - Substituição Tributária para Goiás, no próprio arquivo entregue à unidade federada onde o substituto seja estabelecido.</w:t>
      </w:r>
    </w:p>
    <w:p w14:paraId="13EB5339" w14:textId="60343C85" w:rsidR="00E41EFD" w:rsidRPr="00DD46CE" w:rsidRDefault="00E41EFD" w:rsidP="00093ED0">
      <w:pPr>
        <w:pStyle w:val="ParNormal"/>
        <w:spacing w:before="0"/>
        <w:ind w:left="2268" w:firstLine="0"/>
        <w:rPr>
          <w:b/>
          <w:lang w:eastAsia="pt-BR"/>
        </w:rPr>
      </w:pPr>
      <w:r w:rsidRPr="00DD46CE">
        <w:rPr>
          <w:b/>
          <w:lang w:eastAsia="pt-BR"/>
        </w:rPr>
        <w:t>LXXIV - para o industrial fabricante de conservas, atomatados e alimentos, beneficiário do Programa de Desenvolvimento Industrial de Goiás -PRODUZIR- ou do Fundo de Participação e Fomento à Industrialização do Estado de Goiás -FOMENTAR-, o equivalente a R$ 48.000.000,00 (quarenta e oito milhões de reais), observado o seguinte (</w:t>
      </w:r>
      <w:r w:rsidRPr="00283765">
        <w:rPr>
          <w:b/>
          <w:lang w:eastAsia="pt-BR"/>
        </w:rPr>
        <w:t>Lei nº 19.732/17</w:t>
      </w:r>
      <w:r w:rsidRPr="00DD46CE">
        <w:rPr>
          <w:b/>
          <w:lang w:eastAsia="pt-BR"/>
        </w:rPr>
        <w:t>):</w:t>
      </w:r>
      <w:bookmarkEnd w:id="257"/>
      <w:r w:rsidRPr="00DD46CE">
        <w:rPr>
          <w:b/>
          <w:lang w:eastAsia="pt-BR"/>
        </w:rPr>
        <w:t xml:space="preserve">  </w:t>
      </w:r>
    </w:p>
    <w:p w14:paraId="45E472AB" w14:textId="77777777" w:rsidR="00E41EFD" w:rsidRPr="00987EBD" w:rsidRDefault="00E41EFD" w:rsidP="00093ED0">
      <w:pPr>
        <w:pStyle w:val="ParNormal"/>
        <w:spacing w:before="0"/>
        <w:ind w:left="2268" w:firstLine="0"/>
        <w:rPr>
          <w:lang w:eastAsia="pt-BR"/>
        </w:rPr>
      </w:pPr>
      <w:bookmarkStart w:id="259" w:name="A11LXXIVA"/>
      <w:r w:rsidRPr="00987EBD">
        <w:rPr>
          <w:lang w:eastAsia="pt-BR"/>
        </w:rPr>
        <w:t>a) o benefício fica condicionado à:</w:t>
      </w:r>
      <w:bookmarkEnd w:id="259"/>
    </w:p>
    <w:p w14:paraId="680FF677" w14:textId="77777777" w:rsidR="00E41EFD" w:rsidRPr="00987EBD" w:rsidRDefault="00E41EFD" w:rsidP="00093ED0">
      <w:pPr>
        <w:pStyle w:val="ParNormal"/>
        <w:spacing w:before="0"/>
        <w:ind w:left="2268" w:firstLine="0"/>
        <w:rPr>
          <w:lang w:eastAsia="pt-BR"/>
        </w:rPr>
      </w:pPr>
      <w:bookmarkStart w:id="260" w:name="A11LXXIVA1"/>
      <w:r w:rsidRPr="00987EBD">
        <w:rPr>
          <w:lang w:eastAsia="pt-BR"/>
        </w:rPr>
        <w:t>1. aprovação de projeto específico pela Secretaria da Fazenda, que deve conter:</w:t>
      </w:r>
      <w:bookmarkEnd w:id="260"/>
    </w:p>
    <w:p w14:paraId="476F2618" w14:textId="77777777" w:rsidR="00E41EFD" w:rsidRPr="00987EBD" w:rsidRDefault="00E41EFD" w:rsidP="00093ED0">
      <w:pPr>
        <w:pStyle w:val="ParNormal"/>
        <w:spacing w:before="0"/>
        <w:ind w:left="2268" w:firstLine="0"/>
        <w:rPr>
          <w:lang w:eastAsia="pt-BR"/>
        </w:rPr>
      </w:pPr>
      <w:bookmarkStart w:id="261" w:name="A11LXXIVA1_A"/>
      <w:r w:rsidRPr="00987EBD">
        <w:rPr>
          <w:lang w:eastAsia="pt-BR"/>
        </w:rPr>
        <w:t>1.1. o valor dos investimentos em obra civil, máquinas, equipamentos e instalações relacionadas à implantação e/ou ampliação de estabelecimento industrial existente, com valor mínimo de R$362.000.000,00 (trezentos e sessenta e dois milhões de reais), e o correspondente cronograma físico-financeiro;</w:t>
      </w:r>
      <w:bookmarkEnd w:id="261"/>
    </w:p>
    <w:p w14:paraId="0E155205" w14:textId="77777777" w:rsidR="00E41EFD" w:rsidRPr="00987EBD" w:rsidRDefault="00E41EFD" w:rsidP="00093ED0">
      <w:pPr>
        <w:pStyle w:val="ParNormal"/>
        <w:spacing w:before="0"/>
        <w:ind w:left="2268" w:firstLine="0"/>
        <w:contextualSpacing/>
        <w:rPr>
          <w:lang w:eastAsia="pt-BR"/>
        </w:rPr>
      </w:pPr>
      <w:bookmarkStart w:id="262" w:name="A11LXXIVA1_2"/>
      <w:r w:rsidRPr="00987EBD">
        <w:rPr>
          <w:lang w:eastAsia="pt-BR"/>
        </w:rPr>
        <w:t>1.2. o valor dos investimentos em execução de projetos de construção do sistema de tratamento de água, bem como das conexões da unidade fabril ao corpo hídrico para captação de água e efluentes industriais, e de construção de obras rodoviárias necessárias ao acesso da rodovia à unidade fabril, se for o caso, e o correspondente cronograma físico - financeiro;</w:t>
      </w:r>
      <w:bookmarkEnd w:id="262"/>
    </w:p>
    <w:p w14:paraId="62F8417C" w14:textId="77777777" w:rsidR="00E41EFD" w:rsidRPr="00987EBD" w:rsidRDefault="00E41EFD" w:rsidP="00093ED0">
      <w:pPr>
        <w:pStyle w:val="ParNormal"/>
        <w:spacing w:before="0"/>
        <w:ind w:left="2268" w:firstLine="0"/>
        <w:rPr>
          <w:lang w:eastAsia="pt-BR"/>
        </w:rPr>
      </w:pPr>
      <w:bookmarkStart w:id="263" w:name="A11LXXIVA1_3"/>
      <w:r w:rsidRPr="00987EBD">
        <w:rPr>
          <w:lang w:eastAsia="pt-BR"/>
        </w:rPr>
        <w:t>1.3. a data prevista para o início e o término das obras;</w:t>
      </w:r>
      <w:bookmarkEnd w:id="263"/>
    </w:p>
    <w:p w14:paraId="68F530AC" w14:textId="77777777" w:rsidR="00E41EFD" w:rsidRPr="00987EBD" w:rsidRDefault="00E41EFD" w:rsidP="00093ED0">
      <w:pPr>
        <w:pStyle w:val="ParNormal"/>
        <w:spacing w:before="0"/>
        <w:ind w:left="2268" w:firstLine="0"/>
        <w:rPr>
          <w:lang w:eastAsia="pt-BR"/>
        </w:rPr>
      </w:pPr>
      <w:bookmarkStart w:id="264" w:name="A11LXXIVA1_4"/>
      <w:r w:rsidRPr="00987EBD">
        <w:rPr>
          <w:lang w:eastAsia="pt-BR"/>
        </w:rPr>
        <w:t>1.4. a indicação do número de empregos diretos e indiretos a serem gerados pela implantação e/ou ampliação da unidade industrial;</w:t>
      </w:r>
      <w:bookmarkEnd w:id="264"/>
    </w:p>
    <w:p w14:paraId="215935A4" w14:textId="77777777" w:rsidR="00E41EFD" w:rsidRPr="00987EBD" w:rsidRDefault="00E41EFD" w:rsidP="00093ED0">
      <w:pPr>
        <w:pStyle w:val="ParNormal"/>
        <w:spacing w:before="0"/>
        <w:ind w:left="2268" w:firstLine="0"/>
        <w:contextualSpacing/>
        <w:rPr>
          <w:lang w:eastAsia="pt-BR"/>
        </w:rPr>
      </w:pPr>
      <w:bookmarkStart w:id="265" w:name="A11LXXIVA2"/>
      <w:r w:rsidRPr="00987EBD">
        <w:rPr>
          <w:lang w:eastAsia="pt-BR"/>
        </w:rPr>
        <w:t>2. celebração de Termo de Acordo de Regime Especial -TARE- com a Secretaria de Estado da Fazenda;</w:t>
      </w:r>
      <w:bookmarkEnd w:id="265"/>
    </w:p>
    <w:p w14:paraId="766B916B" w14:textId="77777777" w:rsidR="00E41EFD" w:rsidRPr="00987EBD" w:rsidRDefault="00E41EFD" w:rsidP="00093ED0">
      <w:pPr>
        <w:pStyle w:val="ParNormal"/>
        <w:spacing w:before="0"/>
        <w:ind w:left="2268" w:firstLine="0"/>
        <w:contextualSpacing/>
        <w:rPr>
          <w:lang w:eastAsia="pt-BR"/>
        </w:rPr>
      </w:pPr>
      <w:bookmarkStart w:id="266" w:name="A11LXXIVA3"/>
      <w:r w:rsidRPr="00987EBD">
        <w:rPr>
          <w:lang w:eastAsia="pt-BR"/>
        </w:rPr>
        <w:t>3. comprovação semestral do cumprimento das condições pactuadas em TARE;</w:t>
      </w:r>
      <w:bookmarkEnd w:id="266"/>
    </w:p>
    <w:p w14:paraId="17B6A298" w14:textId="77777777" w:rsidR="00E41EFD" w:rsidRPr="00987EBD" w:rsidRDefault="00E41EFD" w:rsidP="00093ED0">
      <w:pPr>
        <w:pStyle w:val="ParNormal"/>
        <w:spacing w:before="0"/>
        <w:ind w:left="2268" w:firstLine="0"/>
        <w:contextualSpacing/>
        <w:rPr>
          <w:lang w:eastAsia="pt-BR"/>
        </w:rPr>
      </w:pPr>
      <w:bookmarkStart w:id="267" w:name="A11LXXIVB"/>
      <w:r w:rsidRPr="00987EBD">
        <w:rPr>
          <w:lang w:eastAsia="pt-BR"/>
        </w:rPr>
        <w:lastRenderedPageBreak/>
        <w:t>b) na hipótese de redução do valor dos investimentos previstos no item 1.1 da alínea “a”, o valor do crédito outorgado será reduzido na mesma proporção, desde que o valor do investimento não seja inferior a R$100.000.000,00 (cem milhões de reais);</w:t>
      </w:r>
      <w:bookmarkEnd w:id="267"/>
    </w:p>
    <w:p w14:paraId="54886A46" w14:textId="77777777" w:rsidR="00E41EFD" w:rsidRPr="00987EBD" w:rsidRDefault="00E41EFD" w:rsidP="00093ED0">
      <w:pPr>
        <w:pStyle w:val="ParNormal"/>
        <w:spacing w:before="0"/>
        <w:ind w:left="2268" w:firstLine="0"/>
        <w:contextualSpacing/>
        <w:rPr>
          <w:lang w:eastAsia="pt-BR"/>
        </w:rPr>
      </w:pPr>
      <w:bookmarkStart w:id="268" w:name="A11LXXIVC"/>
      <w:r w:rsidRPr="00987EBD">
        <w:rPr>
          <w:lang w:eastAsia="pt-BR"/>
        </w:rPr>
        <w:t>c) o valor do crédito outorgado será apropriado em parcelas mensais e na proporção do cumprimeto das condições pactuadas em TARE, limitado ao percentual de 85% (oitenta e cinco por cento) do ICMS devido pelo estabelecimento, inclusive o devido por substituição tributária, apurado antes da apropriação do crédito;</w:t>
      </w:r>
      <w:bookmarkEnd w:id="268"/>
    </w:p>
    <w:p w14:paraId="1061DD18" w14:textId="77777777" w:rsidR="00E41EFD" w:rsidRPr="00987EBD" w:rsidRDefault="00E41EFD" w:rsidP="00093ED0">
      <w:pPr>
        <w:pStyle w:val="ParNormal"/>
        <w:spacing w:before="0"/>
        <w:ind w:left="2268" w:firstLine="0"/>
        <w:contextualSpacing/>
        <w:rPr>
          <w:lang w:eastAsia="pt-BR"/>
        </w:rPr>
      </w:pPr>
      <w:bookmarkStart w:id="269" w:name="A11LXXIVD"/>
      <w:r w:rsidRPr="00987EBD">
        <w:rPr>
          <w:lang w:eastAsia="pt-BR"/>
        </w:rPr>
        <w:t>d) a apropriação do crédito outorgado será permitida, de forma concomitante, aos estabelecimentos do beneficiário em atividade e em curso de implantação, localizados no Estado de Goiás;</w:t>
      </w:r>
      <w:bookmarkEnd w:id="269"/>
    </w:p>
    <w:p w14:paraId="156B9725" w14:textId="77777777" w:rsidR="00E41EFD" w:rsidRPr="00987EBD" w:rsidRDefault="00E41EFD" w:rsidP="00093ED0">
      <w:pPr>
        <w:pStyle w:val="ParNormal"/>
        <w:spacing w:before="0"/>
        <w:ind w:left="2268" w:firstLine="0"/>
        <w:contextualSpacing/>
        <w:rPr>
          <w:lang w:eastAsia="pt-BR"/>
        </w:rPr>
      </w:pPr>
      <w:bookmarkStart w:id="270" w:name="A11LXXIVE"/>
      <w:r w:rsidRPr="00987EBD">
        <w:rPr>
          <w:lang w:eastAsia="pt-BR"/>
        </w:rPr>
        <w:t>e) o crédito outorgado do ICMS será utilizado diretamente na subtração do ICMS devido por operação própria e do devido por substituição tributária, após a aplicação do incentivo PRODUZIR ou FOMENTAR, conforme o caso;</w:t>
      </w:r>
      <w:bookmarkEnd w:id="270"/>
    </w:p>
    <w:p w14:paraId="5B922D79" w14:textId="77777777" w:rsidR="00E41EFD" w:rsidRPr="00987EBD" w:rsidRDefault="00E41EFD" w:rsidP="00093ED0">
      <w:pPr>
        <w:pStyle w:val="ParNormal"/>
        <w:spacing w:before="0"/>
        <w:ind w:left="2268" w:firstLine="0"/>
        <w:contextualSpacing/>
        <w:rPr>
          <w:lang w:eastAsia="pt-BR"/>
        </w:rPr>
      </w:pPr>
      <w:bookmarkStart w:id="271" w:name="A11LXXIVF"/>
      <w:r w:rsidRPr="00987EBD">
        <w:rPr>
          <w:lang w:eastAsia="pt-BR"/>
        </w:rPr>
        <w:t>f) será permitido ao estabelecimento industrial beneficiário do crédito outorgado do ICMS de que trata este inciso, nos termos, prazos e nas condições definidos em TARE:</w:t>
      </w:r>
      <w:bookmarkEnd w:id="271"/>
    </w:p>
    <w:p w14:paraId="11E75C4B" w14:textId="77777777" w:rsidR="00E41EFD" w:rsidRPr="00987EBD" w:rsidRDefault="00E41EFD" w:rsidP="00093ED0">
      <w:pPr>
        <w:pStyle w:val="ParNormal"/>
        <w:spacing w:before="0"/>
        <w:ind w:left="2268" w:firstLine="0"/>
        <w:contextualSpacing/>
        <w:rPr>
          <w:lang w:eastAsia="pt-BR"/>
        </w:rPr>
      </w:pPr>
      <w:bookmarkStart w:id="272" w:name="A11LXXIVF1"/>
      <w:r w:rsidRPr="00987EBD">
        <w:rPr>
          <w:lang w:eastAsia="pt-BR"/>
        </w:rPr>
        <w:t>1. liquidar o ICMS incidente na importação do exterior de bem destinado ao ativo fixo e de produto para comercialização, por ocasião da entrada dos mesmos no estabelecimento do beneficiário, localizado neste Estado, mediante o lançamento a débito do ICMS devido nesta operação em campo próprio da Escrituração Fiscal Digital;</w:t>
      </w:r>
      <w:bookmarkEnd w:id="272"/>
    </w:p>
    <w:p w14:paraId="73CC5AD9" w14:textId="77777777" w:rsidR="00E41EFD" w:rsidRPr="00987EBD" w:rsidRDefault="00E41EFD" w:rsidP="00093ED0">
      <w:pPr>
        <w:pStyle w:val="ParNormal"/>
        <w:spacing w:before="0"/>
        <w:ind w:left="2268" w:firstLine="0"/>
        <w:contextualSpacing/>
        <w:rPr>
          <w:lang w:eastAsia="pt-BR"/>
        </w:rPr>
      </w:pPr>
      <w:bookmarkStart w:id="273" w:name="A11LXXIVF2"/>
      <w:r w:rsidRPr="00987EBD">
        <w:rPr>
          <w:lang w:eastAsia="pt-BR"/>
        </w:rPr>
        <w:t>2. usufruir o benefício da isenção do diferencial de alíquota do ICMS, na aquisição interestadual de material de uso e consumo próprio e bem para integrar o ativo imobilizado do estabelecimento;</w:t>
      </w:r>
      <w:bookmarkEnd w:id="273"/>
    </w:p>
    <w:p w14:paraId="01C61A1E" w14:textId="77777777" w:rsidR="00E41EFD" w:rsidRPr="00987EBD" w:rsidRDefault="00E41EFD" w:rsidP="00093ED0">
      <w:pPr>
        <w:pStyle w:val="ParNormal"/>
        <w:spacing w:before="0"/>
        <w:ind w:left="2268" w:firstLine="0"/>
        <w:contextualSpacing/>
        <w:rPr>
          <w:lang w:eastAsia="pt-BR"/>
        </w:rPr>
      </w:pPr>
      <w:bookmarkStart w:id="274" w:name="A11LXXIVG"/>
      <w:r w:rsidRPr="00987EBD">
        <w:rPr>
          <w:lang w:eastAsia="pt-BR"/>
        </w:rPr>
        <w:t>g)  na hipótese de execução de projetos de construção do sistema de tratamento de água, bem como conexões da unidade fabril ao corpo hídrico para captação de água e efluentes industriais e construção de obras rodoviárias necessárias ao acesso da rodovia à unidade fabril, será permitido ao beneficiário usufruir de crédito outorgado no valor efetivamente gasto na execução dos projetos;</w:t>
      </w:r>
      <w:bookmarkEnd w:id="274"/>
    </w:p>
    <w:p w14:paraId="27E497F0" w14:textId="77777777" w:rsidR="00E41EFD" w:rsidRPr="00987EBD" w:rsidRDefault="00E41EFD" w:rsidP="00093ED0">
      <w:pPr>
        <w:pStyle w:val="ParNormal"/>
        <w:spacing w:before="0"/>
        <w:ind w:left="2268" w:firstLine="0"/>
        <w:contextualSpacing/>
        <w:rPr>
          <w:lang w:eastAsia="pt-BR"/>
        </w:rPr>
      </w:pPr>
      <w:bookmarkStart w:id="275" w:name="A11LXXIVH"/>
      <w:r w:rsidRPr="00987EBD">
        <w:rPr>
          <w:lang w:eastAsia="pt-BR"/>
        </w:rPr>
        <w:t>h) O crédito outorgado de que trata a alínea “f” deste artigo será apropriado pelo beneficiário, em parcelas mensais, na proporção do cumprimento das condições estabelecidas no TARE, a partir do período de apuração seguinte ao da certificação pelo órgão competente do Estado para a validação do valor efetivamente gasto na execução dos projetos;</w:t>
      </w:r>
      <w:bookmarkEnd w:id="275"/>
    </w:p>
    <w:p w14:paraId="07A59E05" w14:textId="77777777" w:rsidR="00E41EFD" w:rsidRPr="00987EBD" w:rsidRDefault="00E41EFD" w:rsidP="00093ED0">
      <w:pPr>
        <w:pStyle w:val="ParNormal"/>
        <w:spacing w:before="0"/>
        <w:ind w:left="2268" w:firstLine="0"/>
        <w:contextualSpacing/>
        <w:rPr>
          <w:lang w:eastAsia="pt-BR"/>
        </w:rPr>
      </w:pPr>
      <w:bookmarkStart w:id="276" w:name="A11LXXIVI"/>
      <w:r w:rsidRPr="00987EBD">
        <w:rPr>
          <w:lang w:eastAsia="pt-BR"/>
        </w:rPr>
        <w:t>i) impede a fruição do crédito outorgado e obriga o beneficiário a pagar os valores do crédito outorgado efetivamente utilizados, na forma da legislação pertinente:</w:t>
      </w:r>
      <w:bookmarkEnd w:id="276"/>
    </w:p>
    <w:p w14:paraId="77ABE966" w14:textId="2D7EFBF0" w:rsidR="00E41EFD" w:rsidRPr="00987EBD" w:rsidRDefault="00E41EFD" w:rsidP="00093ED0">
      <w:pPr>
        <w:pStyle w:val="ParNormal"/>
        <w:spacing w:before="0"/>
        <w:ind w:left="2268" w:firstLine="0"/>
        <w:contextualSpacing/>
        <w:rPr>
          <w:lang w:eastAsia="pt-BR"/>
        </w:rPr>
      </w:pPr>
      <w:bookmarkStart w:id="277" w:name="A11LXXIVI1"/>
      <w:r w:rsidRPr="00987EBD">
        <w:rPr>
          <w:lang w:eastAsia="pt-BR"/>
        </w:rPr>
        <w:t>1. a desistência do projeto;</w:t>
      </w:r>
      <w:bookmarkEnd w:id="277"/>
    </w:p>
    <w:p w14:paraId="1925E81E" w14:textId="77777777" w:rsidR="00E41EFD" w:rsidRPr="00987EBD" w:rsidRDefault="00E41EFD" w:rsidP="00093ED0">
      <w:pPr>
        <w:pStyle w:val="ParNormal"/>
        <w:spacing w:before="0"/>
        <w:ind w:left="2268" w:firstLine="0"/>
        <w:contextualSpacing/>
        <w:rPr>
          <w:lang w:eastAsia="pt-BR"/>
        </w:rPr>
      </w:pPr>
      <w:bookmarkStart w:id="278" w:name="A11LXXIVI2"/>
      <w:r w:rsidRPr="00987EBD">
        <w:rPr>
          <w:lang w:eastAsia="pt-BR"/>
        </w:rPr>
        <w:t>2. crédito estiver com sua exigibilidade suspensa nos termos da lei ou garantida por depósito judicial, fiança bancária, seguro garantia ou for efetivada a penhora de bens, suficientes para o pagamento do total da dívida;</w:t>
      </w:r>
      <w:bookmarkEnd w:id="278"/>
    </w:p>
    <w:p w14:paraId="50364D88" w14:textId="4B57043B" w:rsidR="00E41EFD" w:rsidRDefault="00E41EFD" w:rsidP="00093ED0">
      <w:pPr>
        <w:pStyle w:val="ParNormal"/>
        <w:spacing w:before="0"/>
        <w:ind w:left="2268" w:firstLine="0"/>
        <w:contextualSpacing/>
        <w:rPr>
          <w:lang w:eastAsia="pt-BR"/>
        </w:rPr>
      </w:pPr>
      <w:bookmarkStart w:id="279" w:name="A11LXXIVI3"/>
      <w:r w:rsidRPr="00987EBD">
        <w:rPr>
          <w:lang w:eastAsia="pt-BR"/>
        </w:rPr>
        <w:t>3.  a infração às disposições do TARE.</w:t>
      </w:r>
      <w:bookmarkStart w:id="280" w:name="A11A"/>
      <w:bookmarkEnd w:id="258"/>
      <w:bookmarkEnd w:id="279"/>
    </w:p>
    <w:p w14:paraId="6746339B" w14:textId="77777777" w:rsidR="00E41EFD" w:rsidRPr="00987EBD" w:rsidRDefault="00E41EFD" w:rsidP="00093ED0">
      <w:pPr>
        <w:pStyle w:val="ParNormal"/>
        <w:spacing w:before="0"/>
        <w:ind w:left="2268" w:firstLine="0"/>
        <w:contextualSpacing/>
        <w:rPr>
          <w:bCs/>
          <w:sz w:val="24"/>
        </w:rPr>
      </w:pPr>
    </w:p>
    <w:p w14:paraId="4E492C27" w14:textId="2FF81359" w:rsidR="00E41EFD" w:rsidRPr="00987EBD" w:rsidRDefault="00E41EFD" w:rsidP="00093ED0">
      <w:pPr>
        <w:pStyle w:val="ParNormal"/>
        <w:spacing w:before="0"/>
        <w:ind w:left="2268" w:firstLine="0"/>
        <w:contextualSpacing/>
      </w:pPr>
      <w:r w:rsidRPr="00987EBD">
        <w:rPr>
          <w:b/>
          <w:bCs/>
          <w:szCs w:val="22"/>
        </w:rPr>
        <w:t>Art. 11-A.</w:t>
      </w:r>
      <w:r w:rsidRPr="00987EBD">
        <w:t xml:space="preserve"> Constitui crédito outorgado do ICMS para o estabelecimento industrial fabricante de adubo e fertilizante o valor equivalente ao montante do imposto a pagar apurado em sua escrituração fiscal, </w:t>
      </w:r>
      <w:r w:rsidRPr="00987EBD">
        <w:lastRenderedPageBreak/>
        <w:t>decorrente de operação com esses produtos realizada com redução de base de cálculo, desde que (</w:t>
      </w:r>
      <w:r w:rsidRPr="00E41EFD">
        <w:t>Lei nº 13.453/99</w:t>
      </w:r>
      <w:r w:rsidRPr="00987EBD">
        <w:t xml:space="preserve">, art. 1º, I, "q"): </w:t>
      </w:r>
    </w:p>
    <w:p w14:paraId="682FB486" w14:textId="77777777" w:rsidR="00E41EFD" w:rsidRPr="00987EBD" w:rsidRDefault="00E41EFD" w:rsidP="00093ED0">
      <w:pPr>
        <w:pStyle w:val="ParNormal"/>
        <w:spacing w:before="0"/>
        <w:ind w:left="2268" w:firstLine="0"/>
        <w:contextualSpacing/>
      </w:pPr>
      <w:r w:rsidRPr="00987EBD">
        <w:t xml:space="preserve">I - o contribuinte realize operação interna com adubo e fertilizante isenta do ICMS; </w:t>
      </w:r>
    </w:p>
    <w:p w14:paraId="092D6927" w14:textId="77777777" w:rsidR="00E41EFD" w:rsidRPr="00987EBD" w:rsidRDefault="00E41EFD" w:rsidP="00093ED0">
      <w:pPr>
        <w:pStyle w:val="ParNormal"/>
        <w:spacing w:before="0"/>
        <w:ind w:left="2268" w:firstLine="0"/>
        <w:contextualSpacing/>
      </w:pPr>
      <w:r w:rsidRPr="00987EBD">
        <w:t xml:space="preserve">II - o valor total do crédito outorgado não ultrapasse, em cada ano civil, o montante do crédito de ICMS a que o contribuinte faria jus, caso houvesse a correspondente manutenção de crédito, nas operações internas com adubo e fertilizante realizadas no período com isenção do imposto. </w:t>
      </w:r>
    </w:p>
    <w:p w14:paraId="2E27A2EF" w14:textId="77777777" w:rsidR="00E41EFD" w:rsidRPr="00987EBD" w:rsidRDefault="00E41EFD" w:rsidP="00093ED0">
      <w:pPr>
        <w:pStyle w:val="ParNormal"/>
        <w:spacing w:before="0"/>
        <w:ind w:left="2268" w:firstLine="0"/>
        <w:contextualSpacing/>
      </w:pPr>
      <w:r w:rsidRPr="00987EBD">
        <w:t xml:space="preserve">§ 1º A aferição do montante de crédito outorgado utilizado em cada ano civil é feita na apuração do mês de dezembro, devendo o contribuinte realizar, na apuração deste mês, o estorno do valor utilizado, a esse título, que ultrapassar o montante do crédito de ICMS a que o contribuinte faria jus nas operações internas com adubo e fertilizante. </w:t>
      </w:r>
      <w:bookmarkEnd w:id="280"/>
    </w:p>
    <w:p w14:paraId="41A27348" w14:textId="77777777" w:rsidR="00E41EFD" w:rsidRPr="00987EBD" w:rsidRDefault="00E41EFD" w:rsidP="00093ED0">
      <w:pPr>
        <w:pStyle w:val="ParNormal"/>
        <w:spacing w:before="0"/>
        <w:ind w:left="2268" w:firstLine="0"/>
        <w:contextualSpacing/>
      </w:pPr>
      <w:r w:rsidRPr="00987EBD">
        <w:rPr>
          <w:lang w:eastAsia="pt-BR"/>
        </w:rPr>
        <w:t>§ 2º O contribuinte poderá, na operação de remessa para armazém geral e depósito fechado, quando ocorrer com débito do imposto, efetuar o estorno do débito quando da apuração do ICMS desde que possua termo de acordo de regime especial que regulamentará a forma e as condições de efetuar o estorno, observando-se o seguinte:</w:t>
      </w:r>
      <w:r w:rsidRPr="00987EBD">
        <w:t xml:space="preserve"> </w:t>
      </w:r>
    </w:p>
    <w:p w14:paraId="102D5D70" w14:textId="77777777" w:rsidR="00E41EFD" w:rsidRPr="00987EBD" w:rsidRDefault="00E41EFD" w:rsidP="00093ED0">
      <w:pPr>
        <w:pStyle w:val="ParNormal"/>
        <w:spacing w:before="0"/>
        <w:ind w:left="2268" w:firstLine="0"/>
        <w:contextualSpacing/>
      </w:pPr>
      <w:r w:rsidRPr="00987EBD">
        <w:rPr>
          <w:lang w:eastAsia="pt-BR"/>
        </w:rPr>
        <w:t>I - o débito decorrente das operações não se computa para efeito de apuração do crédito outorgado;</w:t>
      </w:r>
      <w:r w:rsidRPr="00987EBD">
        <w:t xml:space="preserve"> </w:t>
      </w:r>
    </w:p>
    <w:p w14:paraId="376641B8" w14:textId="77777777" w:rsidR="00E41EFD" w:rsidRPr="00987EBD" w:rsidRDefault="00E41EFD" w:rsidP="00093ED0">
      <w:pPr>
        <w:pStyle w:val="ParNormal"/>
        <w:spacing w:before="0"/>
        <w:ind w:left="2268" w:firstLine="0"/>
        <w:contextualSpacing/>
        <w:rPr>
          <w:rFonts w:cs="Arial"/>
          <w:szCs w:val="22"/>
        </w:rPr>
      </w:pPr>
      <w:r w:rsidRPr="00987EBD">
        <w:rPr>
          <w:lang w:eastAsia="pt-BR"/>
        </w:rPr>
        <w:t xml:space="preserve">II - o contribuinte não se apropriará do crédito do imposto referente ao retorno da mercadoria remetida na operação constante do </w:t>
      </w:r>
      <w:r w:rsidRPr="00987EBD">
        <w:rPr>
          <w:i/>
          <w:lang w:eastAsia="pt-BR"/>
        </w:rPr>
        <w:t>caput</w:t>
      </w:r>
      <w:r w:rsidRPr="00987EBD">
        <w:rPr>
          <w:lang w:eastAsia="pt-BR"/>
        </w:rPr>
        <w:t xml:space="preserve"> do § 2º.</w:t>
      </w:r>
      <w:r w:rsidRPr="00987EBD">
        <w:t xml:space="preserve"> </w:t>
      </w:r>
    </w:p>
    <w:p w14:paraId="7310E6C1" w14:textId="77777777" w:rsidR="00FC3F4C" w:rsidRDefault="00FC3F4C" w:rsidP="005C60F9">
      <w:pPr>
        <w:spacing w:line="360" w:lineRule="auto"/>
        <w:ind w:firstLine="851"/>
        <w:jc w:val="both"/>
        <w:rPr>
          <w:rFonts w:ascii="Arial" w:hAnsi="Arial" w:cs="Arial"/>
          <w:sz w:val="24"/>
          <w:szCs w:val="24"/>
        </w:rPr>
      </w:pPr>
    </w:p>
    <w:p w14:paraId="32A9D042" w14:textId="51B0A3EA" w:rsidR="00874A6A" w:rsidRDefault="00874A6A" w:rsidP="005C60F9">
      <w:pPr>
        <w:spacing w:line="360" w:lineRule="auto"/>
        <w:ind w:firstLine="851"/>
        <w:jc w:val="both"/>
        <w:rPr>
          <w:rFonts w:ascii="Arial" w:hAnsi="Arial" w:cs="Arial"/>
          <w:sz w:val="24"/>
          <w:szCs w:val="24"/>
        </w:rPr>
      </w:pPr>
      <w:r>
        <w:rPr>
          <w:rFonts w:ascii="Arial" w:hAnsi="Arial" w:cs="Arial"/>
          <w:sz w:val="24"/>
          <w:szCs w:val="24"/>
        </w:rPr>
        <w:t xml:space="preserve">Por oportuno, transcreve-se abaixo também o </w:t>
      </w:r>
      <w:r w:rsidRPr="00480364">
        <w:rPr>
          <w:rFonts w:ascii="Arial" w:hAnsi="Arial" w:cs="Arial"/>
          <w:b/>
          <w:sz w:val="24"/>
          <w:szCs w:val="24"/>
        </w:rPr>
        <w:t>art. 12</w:t>
      </w:r>
      <w:r w:rsidR="00480364">
        <w:rPr>
          <w:rFonts w:ascii="Arial" w:hAnsi="Arial" w:cs="Arial"/>
          <w:sz w:val="24"/>
          <w:szCs w:val="24"/>
        </w:rPr>
        <w:t xml:space="preserve">, no tocante às hipóteses de </w:t>
      </w:r>
      <w:r w:rsidR="00480364" w:rsidRPr="00480364">
        <w:rPr>
          <w:rFonts w:ascii="Arial" w:hAnsi="Arial" w:cs="Arial"/>
          <w:sz w:val="24"/>
          <w:szCs w:val="24"/>
        </w:rPr>
        <w:t>crédito outorgado concedido por prazo determinado</w:t>
      </w:r>
      <w:r>
        <w:rPr>
          <w:rFonts w:ascii="Arial" w:hAnsi="Arial" w:cs="Arial"/>
          <w:sz w:val="24"/>
          <w:szCs w:val="24"/>
        </w:rPr>
        <w:t>:</w:t>
      </w:r>
    </w:p>
    <w:p w14:paraId="79357482" w14:textId="5D8726F1" w:rsidR="00874A6A" w:rsidRDefault="00874A6A" w:rsidP="005C60F9">
      <w:pPr>
        <w:spacing w:line="360" w:lineRule="auto"/>
        <w:ind w:firstLine="851"/>
        <w:jc w:val="both"/>
        <w:rPr>
          <w:rFonts w:ascii="Arial" w:hAnsi="Arial" w:cs="Arial"/>
          <w:sz w:val="24"/>
          <w:szCs w:val="24"/>
        </w:rPr>
      </w:pPr>
    </w:p>
    <w:p w14:paraId="25C0CE3E" w14:textId="77777777" w:rsidR="00CD131B" w:rsidRPr="00CD131B" w:rsidRDefault="00CD131B" w:rsidP="00093ED0">
      <w:pPr>
        <w:ind w:left="2268"/>
        <w:jc w:val="center"/>
        <w:rPr>
          <w:rFonts w:ascii="Arial" w:hAnsi="Arial" w:cs="Arial"/>
          <w:sz w:val="22"/>
          <w:szCs w:val="22"/>
        </w:rPr>
      </w:pPr>
      <w:bookmarkStart w:id="281" w:name="_Toc338404908"/>
      <w:r w:rsidRPr="00CD131B">
        <w:rPr>
          <w:rFonts w:ascii="Arial" w:hAnsi="Arial" w:cs="Arial"/>
          <w:sz w:val="22"/>
          <w:szCs w:val="22"/>
        </w:rPr>
        <w:t>CAPÍTULO IV</w:t>
      </w:r>
    </w:p>
    <w:p w14:paraId="70B4ECCC" w14:textId="77777777" w:rsidR="00CD131B" w:rsidRPr="00CD131B" w:rsidRDefault="00CD131B" w:rsidP="00093ED0">
      <w:pPr>
        <w:ind w:left="2268"/>
        <w:jc w:val="center"/>
        <w:rPr>
          <w:rFonts w:ascii="Arial" w:hAnsi="Arial" w:cs="Arial"/>
          <w:sz w:val="22"/>
          <w:szCs w:val="22"/>
        </w:rPr>
      </w:pPr>
      <w:r w:rsidRPr="00CD131B">
        <w:rPr>
          <w:rFonts w:ascii="Arial" w:hAnsi="Arial" w:cs="Arial"/>
          <w:sz w:val="22"/>
          <w:szCs w:val="22"/>
        </w:rPr>
        <w:t>DO CRÉDITO OUTORGADO</w:t>
      </w:r>
    </w:p>
    <w:p w14:paraId="02BFC56B" w14:textId="77777777" w:rsidR="00CD131B" w:rsidRPr="00CD131B" w:rsidRDefault="00CD131B" w:rsidP="00093ED0">
      <w:pPr>
        <w:ind w:left="2268"/>
        <w:jc w:val="center"/>
        <w:rPr>
          <w:rFonts w:ascii="Arial" w:hAnsi="Arial" w:cs="Arial"/>
          <w:sz w:val="22"/>
          <w:szCs w:val="22"/>
        </w:rPr>
      </w:pPr>
    </w:p>
    <w:p w14:paraId="00011E37" w14:textId="7F4E87E1" w:rsidR="000E0C01" w:rsidRPr="00CD131B" w:rsidRDefault="000E0C01" w:rsidP="00093ED0">
      <w:pPr>
        <w:ind w:left="2268"/>
        <w:jc w:val="center"/>
        <w:rPr>
          <w:rFonts w:ascii="Arial" w:hAnsi="Arial" w:cs="Arial"/>
          <w:sz w:val="22"/>
          <w:szCs w:val="22"/>
        </w:rPr>
      </w:pPr>
      <w:r w:rsidRPr="00CD131B">
        <w:rPr>
          <w:rFonts w:ascii="Arial" w:hAnsi="Arial" w:cs="Arial"/>
          <w:sz w:val="22"/>
          <w:szCs w:val="22"/>
        </w:rPr>
        <w:t>Seção III</w:t>
      </w:r>
      <w:bookmarkEnd w:id="281"/>
    </w:p>
    <w:p w14:paraId="45F0CE2A" w14:textId="77777777" w:rsidR="000E0C01" w:rsidRPr="00CD131B" w:rsidRDefault="000E0C01" w:rsidP="00093ED0">
      <w:pPr>
        <w:ind w:left="2268"/>
        <w:jc w:val="center"/>
        <w:rPr>
          <w:rFonts w:ascii="Arial" w:hAnsi="Arial" w:cs="Arial"/>
          <w:sz w:val="22"/>
          <w:szCs w:val="22"/>
        </w:rPr>
      </w:pPr>
      <w:bookmarkStart w:id="282" w:name="_Toc338404909"/>
      <w:r w:rsidRPr="00CD131B">
        <w:rPr>
          <w:rFonts w:ascii="Arial" w:hAnsi="Arial" w:cs="Arial"/>
          <w:sz w:val="22"/>
          <w:szCs w:val="22"/>
        </w:rPr>
        <w:t>Do Crédito Outorgado Concedido por Prazo Determinado</w:t>
      </w:r>
      <w:bookmarkEnd w:id="282"/>
    </w:p>
    <w:p w14:paraId="24EDD1D4" w14:textId="77777777" w:rsidR="000E0C01" w:rsidRPr="00CD131B" w:rsidRDefault="000E0C01" w:rsidP="00093ED0">
      <w:pPr>
        <w:spacing w:line="360" w:lineRule="auto"/>
        <w:jc w:val="both"/>
        <w:rPr>
          <w:rFonts w:ascii="Arial" w:hAnsi="Arial" w:cs="Arial"/>
          <w:sz w:val="22"/>
          <w:szCs w:val="22"/>
        </w:rPr>
      </w:pPr>
    </w:p>
    <w:p w14:paraId="140D57F6" w14:textId="77777777" w:rsidR="00E615D7" w:rsidRPr="00987EBD" w:rsidRDefault="00E615D7" w:rsidP="00093ED0">
      <w:pPr>
        <w:ind w:left="2268"/>
        <w:jc w:val="both"/>
        <w:rPr>
          <w:rFonts w:ascii="Arial" w:hAnsi="Arial" w:cs="Arial"/>
          <w:sz w:val="22"/>
          <w:szCs w:val="22"/>
        </w:rPr>
      </w:pPr>
      <w:r w:rsidRPr="00987EBD">
        <w:rPr>
          <w:rFonts w:ascii="Arial" w:hAnsi="Arial" w:cs="Arial"/>
          <w:b/>
          <w:sz w:val="22"/>
          <w:szCs w:val="22"/>
        </w:rPr>
        <w:t>Art. 12.</w:t>
      </w:r>
      <w:r w:rsidRPr="00987EBD">
        <w:rPr>
          <w:rFonts w:ascii="Arial" w:hAnsi="Arial" w:cs="Arial"/>
          <w:sz w:val="22"/>
          <w:szCs w:val="22"/>
        </w:rPr>
        <w:t xml:space="preserve"> Constitui crédito outorgado para efeito de compensação com o ICMS devido, observado o § 4º quanto ao término da - vigência do benefício:</w:t>
      </w:r>
    </w:p>
    <w:p w14:paraId="5EF42F96" w14:textId="77777777" w:rsidR="00E615D7" w:rsidRPr="00DD46CE" w:rsidRDefault="00E615D7" w:rsidP="00093ED0">
      <w:pPr>
        <w:ind w:left="2268"/>
        <w:jc w:val="both"/>
        <w:rPr>
          <w:rFonts w:ascii="Arial" w:hAnsi="Arial" w:cs="Arial"/>
          <w:b/>
          <w:sz w:val="22"/>
          <w:szCs w:val="22"/>
        </w:rPr>
      </w:pPr>
      <w:bookmarkStart w:id="283" w:name="A12I"/>
      <w:r w:rsidRPr="00DD46CE">
        <w:rPr>
          <w:rFonts w:ascii="Arial" w:hAnsi="Arial" w:cs="Arial"/>
          <w:b/>
          <w:sz w:val="22"/>
          <w:szCs w:val="22"/>
        </w:rPr>
        <w:t xml:space="preserve">I - por empresa produtora de disco fonográfico ou de outro suporte com som gravado, o valor do direito autoral, artístico ou conexo comprovadamente pago ao autor ou artista nacional ou a empresa que (Convênios ICMS 23/90, cláusula primeira, e 30/98): </w:t>
      </w:r>
    </w:p>
    <w:p w14:paraId="58D288AC" w14:textId="77777777" w:rsidR="00E615D7" w:rsidRPr="00987EBD" w:rsidRDefault="00E615D7" w:rsidP="00093ED0">
      <w:pPr>
        <w:ind w:left="2268"/>
        <w:jc w:val="both"/>
        <w:rPr>
          <w:rFonts w:ascii="Arial" w:hAnsi="Arial" w:cs="Arial"/>
          <w:sz w:val="22"/>
          <w:szCs w:val="22"/>
        </w:rPr>
      </w:pPr>
      <w:r w:rsidRPr="00987EBD">
        <w:rPr>
          <w:rFonts w:ascii="Arial" w:hAnsi="Arial" w:cs="Arial"/>
          <w:sz w:val="22"/>
          <w:szCs w:val="22"/>
        </w:rPr>
        <w:t xml:space="preserve">a) o represente e da qual seja titular ou sócio majoritário; </w:t>
      </w:r>
    </w:p>
    <w:p w14:paraId="1FD22001" w14:textId="77777777" w:rsidR="00E615D7" w:rsidRPr="00987EBD" w:rsidRDefault="00E615D7" w:rsidP="00093ED0">
      <w:pPr>
        <w:ind w:left="2268"/>
        <w:jc w:val="both"/>
        <w:rPr>
          <w:rFonts w:ascii="Arial" w:hAnsi="Arial" w:cs="Arial"/>
          <w:sz w:val="22"/>
          <w:szCs w:val="22"/>
        </w:rPr>
      </w:pPr>
      <w:r w:rsidRPr="00987EBD">
        <w:rPr>
          <w:rFonts w:ascii="Arial" w:hAnsi="Arial" w:cs="Arial"/>
          <w:sz w:val="22"/>
          <w:szCs w:val="22"/>
        </w:rPr>
        <w:t xml:space="preserve">b) mantenha com autor ou artista nacional contrato de edição, nos termos do art. 53 da Lei nº 9.610/98; </w:t>
      </w:r>
    </w:p>
    <w:bookmarkEnd w:id="283"/>
    <w:p w14:paraId="5B2280F5" w14:textId="77777777" w:rsidR="00E615D7" w:rsidRPr="00987EBD" w:rsidRDefault="00E615D7" w:rsidP="00093ED0">
      <w:pPr>
        <w:ind w:left="2268"/>
        <w:contextualSpacing/>
        <w:jc w:val="both"/>
        <w:rPr>
          <w:rFonts w:ascii="Arial" w:hAnsi="Arial" w:cs="Arial"/>
          <w:sz w:val="22"/>
          <w:szCs w:val="22"/>
        </w:rPr>
      </w:pPr>
      <w:r w:rsidRPr="00987EBD">
        <w:rPr>
          <w:rFonts w:ascii="Arial" w:hAnsi="Arial" w:cs="Arial"/>
          <w:sz w:val="22"/>
          <w:szCs w:val="22"/>
        </w:rPr>
        <w:t>c) possua com ele contrato de cessão ou transferência de direito autoral, nos termos do art. 49 da Lei nº 9.610/98;</w:t>
      </w:r>
    </w:p>
    <w:p w14:paraId="55BA127E" w14:textId="77777777" w:rsidR="00E615D7" w:rsidRPr="00DD46CE" w:rsidRDefault="00E615D7" w:rsidP="00093ED0">
      <w:pPr>
        <w:ind w:left="2268"/>
        <w:contextualSpacing/>
        <w:jc w:val="both"/>
        <w:rPr>
          <w:rFonts w:ascii="Arial" w:hAnsi="Arial" w:cs="Arial"/>
          <w:b/>
          <w:sz w:val="22"/>
          <w:szCs w:val="22"/>
        </w:rPr>
      </w:pPr>
      <w:r w:rsidRPr="00DD46CE">
        <w:rPr>
          <w:rFonts w:ascii="Arial" w:hAnsi="Arial" w:cs="Arial"/>
          <w:b/>
          <w:sz w:val="22"/>
          <w:szCs w:val="22"/>
        </w:rPr>
        <w:t>II - revogado;</w:t>
      </w:r>
    </w:p>
    <w:p w14:paraId="5E643D4B" w14:textId="77777777" w:rsidR="00E615D7" w:rsidRPr="00DD46CE" w:rsidRDefault="00E615D7" w:rsidP="00093ED0">
      <w:pPr>
        <w:ind w:left="2268"/>
        <w:contextualSpacing/>
        <w:jc w:val="both"/>
        <w:rPr>
          <w:rFonts w:ascii="Arial" w:hAnsi="Arial" w:cs="Arial"/>
          <w:b/>
          <w:sz w:val="22"/>
          <w:szCs w:val="22"/>
        </w:rPr>
      </w:pPr>
      <w:bookmarkStart w:id="284" w:name="A12III"/>
      <w:r w:rsidRPr="00DD46CE">
        <w:rPr>
          <w:rFonts w:ascii="Arial" w:hAnsi="Arial" w:cs="Arial"/>
          <w:b/>
          <w:sz w:val="22"/>
          <w:szCs w:val="22"/>
        </w:rPr>
        <w:t>III - revogado;</w:t>
      </w:r>
      <w:bookmarkEnd w:id="284"/>
    </w:p>
    <w:p w14:paraId="46905810" w14:textId="77777777" w:rsidR="00E615D7" w:rsidRPr="00DD46CE" w:rsidRDefault="00E615D7" w:rsidP="00093ED0">
      <w:pPr>
        <w:ind w:left="2268"/>
        <w:contextualSpacing/>
        <w:jc w:val="both"/>
        <w:rPr>
          <w:rFonts w:ascii="Arial" w:hAnsi="Arial" w:cs="Arial"/>
          <w:b/>
          <w:sz w:val="22"/>
          <w:szCs w:val="22"/>
        </w:rPr>
      </w:pPr>
      <w:r w:rsidRPr="00DD46CE">
        <w:rPr>
          <w:rFonts w:ascii="Arial" w:hAnsi="Arial" w:cs="Arial"/>
          <w:b/>
          <w:sz w:val="22"/>
          <w:szCs w:val="22"/>
        </w:rPr>
        <w:t>IV - revogado;</w:t>
      </w:r>
    </w:p>
    <w:p w14:paraId="2A8F3448" w14:textId="767A75B2" w:rsidR="00E615D7" w:rsidRPr="00DD46CE" w:rsidRDefault="00E615D7" w:rsidP="00093ED0">
      <w:pPr>
        <w:ind w:left="2268"/>
        <w:contextualSpacing/>
        <w:jc w:val="both"/>
        <w:rPr>
          <w:rFonts w:ascii="Arial" w:hAnsi="Arial" w:cs="Arial"/>
          <w:b/>
          <w:sz w:val="22"/>
          <w:szCs w:val="22"/>
        </w:rPr>
      </w:pPr>
      <w:r w:rsidRPr="00DD46CE">
        <w:rPr>
          <w:rFonts w:ascii="Arial" w:hAnsi="Arial" w:cs="Arial"/>
          <w:b/>
          <w:sz w:val="22"/>
          <w:szCs w:val="22"/>
        </w:rPr>
        <w:t>V - revogado;</w:t>
      </w:r>
    </w:p>
    <w:p w14:paraId="52D57929" w14:textId="3B8BE6FD" w:rsidR="00E615D7" w:rsidRPr="00DD46CE" w:rsidRDefault="00E615D7" w:rsidP="00093ED0">
      <w:pPr>
        <w:pStyle w:val="ParNormal"/>
        <w:spacing w:before="0"/>
        <w:ind w:left="2268" w:firstLine="0"/>
        <w:contextualSpacing/>
        <w:rPr>
          <w:b/>
        </w:rPr>
      </w:pPr>
      <w:bookmarkStart w:id="285" w:name="a12vi"/>
      <w:r w:rsidRPr="00DD46CE">
        <w:rPr>
          <w:b/>
        </w:rPr>
        <w:lastRenderedPageBreak/>
        <w:t>VI - para o contribuinte industrial, o equivalente ao percentual de 60% (sessenta por cento) do valor do ICMS, na saída interna de adesivo hidroxilado, cuja matéria-prima específica seja material resultante da moagem ou trituração de garrafa PET (</w:t>
      </w:r>
      <w:r w:rsidRPr="00DE3EC9">
        <w:rPr>
          <w:b/>
        </w:rPr>
        <w:t>Convênio ICMS 8/03</w:t>
      </w:r>
      <w:r w:rsidRPr="00DD46CE">
        <w:rPr>
          <w:b/>
        </w:rPr>
        <w:t>).</w:t>
      </w:r>
    </w:p>
    <w:p w14:paraId="6295ECEA" w14:textId="77777777" w:rsidR="00E615D7" w:rsidRPr="00DD46CE" w:rsidRDefault="00E615D7" w:rsidP="00093ED0">
      <w:pPr>
        <w:pStyle w:val="ParNormal"/>
        <w:spacing w:before="0"/>
        <w:ind w:left="2268" w:firstLine="0"/>
        <w:contextualSpacing/>
        <w:rPr>
          <w:b/>
        </w:rPr>
      </w:pPr>
      <w:bookmarkStart w:id="286" w:name="A12VII"/>
      <w:bookmarkEnd w:id="285"/>
      <w:r w:rsidRPr="00DD46CE">
        <w:rPr>
          <w:b/>
        </w:rPr>
        <w:t xml:space="preserve">VII - revogado; </w:t>
      </w:r>
      <w:bookmarkStart w:id="287" w:name="A12VIII"/>
      <w:bookmarkEnd w:id="286"/>
    </w:p>
    <w:p w14:paraId="2CAEB0BD" w14:textId="3DF1E058" w:rsidR="00E615D7" w:rsidRPr="00DD46CE" w:rsidRDefault="00E615D7" w:rsidP="00093ED0">
      <w:pPr>
        <w:pStyle w:val="ParNormal"/>
        <w:spacing w:before="0"/>
        <w:ind w:left="2268" w:firstLine="0"/>
        <w:contextualSpacing/>
        <w:rPr>
          <w:b/>
          <w:lang w:eastAsia="pt-BR"/>
        </w:rPr>
      </w:pPr>
      <w:r w:rsidRPr="00DD46CE">
        <w:rPr>
          <w:b/>
          <w:lang w:eastAsia="pt-BR"/>
        </w:rPr>
        <w:t>VIII - para o estabelecimento remetente na operação interestadual com milho destinado à industrialização, o equivalente à aplicação de 6% (seis por cento) sobre o valor da base de cálculo, observado o seguinte (</w:t>
      </w:r>
      <w:r w:rsidRPr="00DE3EC9">
        <w:rPr>
          <w:b/>
          <w:lang w:eastAsia="pt-BR"/>
        </w:rPr>
        <w:t>Lei nº 13.453/99</w:t>
      </w:r>
      <w:r w:rsidRPr="00DD46CE">
        <w:rPr>
          <w:b/>
          <w:lang w:eastAsia="pt-BR"/>
        </w:rPr>
        <w:t>, art.1º, I, "i"):</w:t>
      </w:r>
      <w:r w:rsidRPr="00DD46CE">
        <w:rPr>
          <w:b/>
        </w:rPr>
        <w:t xml:space="preserve"> </w:t>
      </w:r>
    </w:p>
    <w:p w14:paraId="44BF136F" w14:textId="77777777" w:rsidR="00E615D7" w:rsidRPr="00987EBD" w:rsidRDefault="00E615D7" w:rsidP="00093ED0">
      <w:pPr>
        <w:pStyle w:val="ParNormal"/>
        <w:spacing w:before="0"/>
        <w:ind w:left="2268" w:firstLine="0"/>
        <w:contextualSpacing/>
      </w:pPr>
      <w:bookmarkStart w:id="288" w:name="A12VIIIa"/>
      <w:r w:rsidRPr="00987EBD">
        <w:t xml:space="preserve">a) fica sujeito ao cumprimento de metas de arrecadação, na forma, prazo e condições estabelecidas em termo de acordo de regime especial celebrado com a Secretaria de Estado da Fazenda; </w:t>
      </w:r>
      <w:bookmarkStart w:id="289" w:name="A12VIIIb"/>
      <w:bookmarkEnd w:id="288"/>
    </w:p>
    <w:p w14:paraId="71595BD1" w14:textId="77777777" w:rsidR="00E615D7" w:rsidRPr="00987EBD" w:rsidRDefault="00E615D7" w:rsidP="00093ED0">
      <w:pPr>
        <w:pStyle w:val="ParNormal"/>
        <w:spacing w:before="0"/>
        <w:ind w:left="2268" w:firstLine="0"/>
        <w:contextualSpacing/>
      </w:pPr>
      <w:r w:rsidRPr="00987EBD">
        <w:t xml:space="preserve">b) na hipótese da operação interestadual realizada por estabelecimento produtor rural que não adota o regime periódico de apuração do ICMS, a apropriação do crédito outorgado deve ser feita por intermédio do órgão fazendário, no momento da emissão da documentação correspondente à operação, ficando dispensado do cumprimento das exigências previstas na alínea “a”; </w:t>
      </w:r>
      <w:bookmarkStart w:id="290" w:name="A12VIIIc"/>
      <w:bookmarkEnd w:id="289"/>
    </w:p>
    <w:p w14:paraId="0C24609B" w14:textId="77777777" w:rsidR="00E615D7" w:rsidRPr="00987EBD" w:rsidRDefault="00E615D7" w:rsidP="00093ED0">
      <w:pPr>
        <w:pStyle w:val="ParNormal"/>
        <w:spacing w:before="0"/>
        <w:ind w:left="2268" w:firstLine="0"/>
        <w:contextualSpacing/>
        <w:rPr>
          <w:lang w:eastAsia="pt-BR"/>
        </w:rPr>
      </w:pPr>
      <w:bookmarkStart w:id="291" w:name="A12VIIId"/>
      <w:bookmarkEnd w:id="287"/>
      <w:bookmarkEnd w:id="290"/>
      <w:r w:rsidRPr="00987EBD">
        <w:rPr>
          <w:lang w:eastAsia="pt-BR"/>
        </w:rPr>
        <w:t xml:space="preserve">c) o benefício previsto neste inciso aplica-se cumulativamente com a redução da base de cálculo prevista no inciso VIII, alínea "b", do art. 9º, hipótese em que o percentual de 6% (seis por cento) previsto no </w:t>
      </w:r>
      <w:r w:rsidRPr="00987EBD">
        <w:rPr>
          <w:i/>
          <w:iCs/>
          <w:lang w:eastAsia="pt-BR"/>
        </w:rPr>
        <w:t>caput</w:t>
      </w:r>
      <w:r w:rsidRPr="00987EBD">
        <w:rPr>
          <w:lang w:eastAsia="pt-BR"/>
        </w:rPr>
        <w:t xml:space="preserve"> deste inciso deve ser reduzido para 3,43% (três inteiros e quarenta e três centésimos por cento).</w:t>
      </w:r>
      <w:r w:rsidRPr="00987EBD">
        <w:t xml:space="preserve"> </w:t>
      </w:r>
    </w:p>
    <w:p w14:paraId="6A9AE190" w14:textId="60B5E113" w:rsidR="00E615D7" w:rsidRPr="00987EBD" w:rsidRDefault="00E615D7" w:rsidP="00093ED0">
      <w:pPr>
        <w:pStyle w:val="ParNormal"/>
        <w:spacing w:before="0"/>
        <w:ind w:left="2268" w:firstLine="0"/>
        <w:contextualSpacing/>
        <w:rPr>
          <w:lang w:val="pt-PT" w:eastAsia="pt-BR"/>
        </w:rPr>
      </w:pPr>
      <w:r w:rsidRPr="00987EBD">
        <w:t xml:space="preserve">d) somente se aplica ao contribuinte que optar pela apropriação do crédito outorgado em substituição ao aproveitamento de quaisquer créditos de ICMS relativos à entrada e ao serviço utilizado, inclusive ao crédito presumido previsto no </w:t>
      </w:r>
      <w:r w:rsidRPr="00DE3EC9">
        <w:t>inciso V</w:t>
      </w:r>
      <w:r w:rsidRPr="00987EBD">
        <w:t xml:space="preserve"> do </w:t>
      </w:r>
      <w:r w:rsidRPr="00DE3EC9">
        <w:t>art. 64</w:t>
      </w:r>
      <w:r w:rsidRPr="00987EBD">
        <w:t xml:space="preserve">, deste </w:t>
      </w:r>
      <w:r w:rsidRPr="00DE3EC9">
        <w:t>Regulamento</w:t>
      </w:r>
      <w:r w:rsidRPr="00987EBD">
        <w:t xml:space="preserve">. </w:t>
      </w:r>
      <w:bookmarkStart w:id="292" w:name="A12IX"/>
      <w:bookmarkEnd w:id="291"/>
    </w:p>
    <w:p w14:paraId="52CC478C" w14:textId="77777777" w:rsidR="00E615D7" w:rsidRPr="00987EBD" w:rsidRDefault="00E615D7" w:rsidP="00093ED0">
      <w:pPr>
        <w:pStyle w:val="ParNormal"/>
        <w:spacing w:before="0"/>
        <w:ind w:left="2268" w:firstLine="0"/>
        <w:contextualSpacing/>
      </w:pPr>
      <w:r w:rsidRPr="00987EBD">
        <w:t>e) não impede a fruição do crédito outorgado o aproveitamento do crédito correspondente à entrada do milho, na situação em que o estabelecimento que realiza a operação interestadual com produto seja substituto tributário pela operação anterior e a liquidação do ICMS devido na operação anterior tenha ocorrido por meio de lançamento a débito na apuração do imposto, em valor igual ao do crédito correspondente à entrada do milho.</w:t>
      </w:r>
    </w:p>
    <w:p w14:paraId="01E1B7D4" w14:textId="77777777" w:rsidR="00E615D7" w:rsidRPr="00DD46CE" w:rsidRDefault="00E615D7" w:rsidP="00093ED0">
      <w:pPr>
        <w:pStyle w:val="ParNormal"/>
        <w:spacing w:before="0"/>
        <w:ind w:left="2268" w:firstLine="0"/>
        <w:contextualSpacing/>
        <w:rPr>
          <w:b/>
          <w:lang w:val="pt-PT" w:eastAsia="pt-BR"/>
        </w:rPr>
      </w:pPr>
      <w:bookmarkStart w:id="293" w:name="A12X"/>
      <w:bookmarkEnd w:id="292"/>
      <w:r w:rsidRPr="00DD46CE">
        <w:rPr>
          <w:b/>
          <w:lang w:val="pt-PT" w:eastAsia="pt-BR"/>
        </w:rPr>
        <w:t xml:space="preserve">IX - revogado; </w:t>
      </w:r>
    </w:p>
    <w:p w14:paraId="4B55FE0E" w14:textId="77777777" w:rsidR="00E615D7" w:rsidRPr="00DD46CE" w:rsidRDefault="00E615D7" w:rsidP="00093ED0">
      <w:pPr>
        <w:pStyle w:val="ParNormal"/>
        <w:spacing w:before="0"/>
        <w:ind w:left="2268" w:firstLine="0"/>
        <w:contextualSpacing/>
        <w:rPr>
          <w:b/>
          <w:sz w:val="16"/>
        </w:rPr>
      </w:pPr>
      <w:r w:rsidRPr="00DD46CE">
        <w:rPr>
          <w:b/>
          <w:lang w:val="pt-PT" w:eastAsia="pt-BR"/>
        </w:rPr>
        <w:t>X - para o estabelecimento beneficiário do Programa de Desenvolvimento Industrial de Goiás -PRODUZIR- fabricante de cerveja e chope no valor previsto na alínea “a”, devendo ser observado o disposto nas alíneas seguintes:</w:t>
      </w:r>
      <w:bookmarkEnd w:id="293"/>
      <w:r w:rsidRPr="00DD46CE">
        <w:rPr>
          <w:b/>
          <w:lang w:val="pt-PT" w:eastAsia="pt-BR"/>
        </w:rPr>
        <w:t xml:space="preserve"> </w:t>
      </w:r>
    </w:p>
    <w:p w14:paraId="3D004837" w14:textId="77777777" w:rsidR="00E615D7" w:rsidRPr="00987EBD" w:rsidRDefault="00E615D7" w:rsidP="00093ED0">
      <w:pPr>
        <w:pStyle w:val="ParNormal"/>
        <w:spacing w:before="0"/>
        <w:ind w:left="2268" w:firstLine="0"/>
        <w:contextualSpacing/>
        <w:rPr>
          <w:lang w:val="pt-PT" w:eastAsia="pt-BR"/>
        </w:rPr>
      </w:pPr>
      <w:bookmarkStart w:id="294" w:name="A12Va"/>
      <w:r w:rsidRPr="00987EBD">
        <w:rPr>
          <w:lang w:val="pt-PT" w:eastAsia="pt-BR"/>
        </w:rPr>
        <w:t>a) o valor do crédito outorgado fica limitado ao valor equivalente:</w:t>
      </w:r>
      <w:bookmarkEnd w:id="294"/>
      <w:r w:rsidRPr="00987EBD">
        <w:rPr>
          <w:lang w:val="pt-PT" w:eastAsia="pt-BR"/>
        </w:rPr>
        <w:t xml:space="preserve"> </w:t>
      </w:r>
      <w:bookmarkStart w:id="295" w:name="A12Va1"/>
    </w:p>
    <w:p w14:paraId="4EDF2A64"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1. ao percentual de 12% (doze por cento) do valor total do investimento de implantação a ser realizado, que não pode ser inferior a R$ 800.000.000,00 (oitocentos milhões de reais);</w:t>
      </w:r>
      <w:bookmarkEnd w:id="295"/>
      <w:r w:rsidRPr="00987EBD">
        <w:rPr>
          <w:lang w:val="pt-PT" w:eastAsia="pt-BR"/>
        </w:rPr>
        <w:t xml:space="preserve"> </w:t>
      </w:r>
      <w:bookmarkStart w:id="296" w:name="A12Va2"/>
    </w:p>
    <w:p w14:paraId="626A11F2"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2. ao efetivamente investido pelo fabricante em:</w:t>
      </w:r>
      <w:bookmarkEnd w:id="296"/>
      <w:r w:rsidRPr="00987EBD">
        <w:rPr>
          <w:lang w:val="pt-PT" w:eastAsia="pt-BR"/>
        </w:rPr>
        <w:t xml:space="preserve"> </w:t>
      </w:r>
      <w:bookmarkStart w:id="297" w:name="A12Va2_1"/>
    </w:p>
    <w:p w14:paraId="1A3F6608"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2.1. implantação de rede de energia elétrica, conexões e subestação (cabine principal) na entrada da unidade industrial;</w:t>
      </w:r>
      <w:bookmarkEnd w:id="297"/>
      <w:r w:rsidRPr="00987EBD">
        <w:rPr>
          <w:lang w:val="pt-PT" w:eastAsia="pt-BR"/>
        </w:rPr>
        <w:t xml:space="preserve"> </w:t>
      </w:r>
      <w:bookmarkStart w:id="298" w:name="A12Va2_2"/>
    </w:p>
    <w:p w14:paraId="0D39F0B7" w14:textId="77777777" w:rsidR="00E615D7" w:rsidRPr="00987EBD" w:rsidRDefault="00E615D7" w:rsidP="00093ED0">
      <w:pPr>
        <w:pStyle w:val="ParNormal"/>
        <w:spacing w:before="0"/>
        <w:ind w:left="2268" w:firstLine="0"/>
        <w:contextualSpacing/>
        <w:rPr>
          <w:rFonts w:cs="Arial"/>
          <w:color w:val="FF0000"/>
          <w:sz w:val="16"/>
          <w:lang w:val="pt-PT" w:eastAsia="pt-BR"/>
        </w:rPr>
      </w:pPr>
      <w:r w:rsidRPr="00987EBD">
        <w:rPr>
          <w:lang w:val="pt-PT" w:eastAsia="pt-BR"/>
        </w:rPr>
        <w:t>2.2. implantação de sistema de tratamento de água, bem como as conexões da unidade fabril ao corpo hídrico para a captação de água e despejo de efluentes industriais;</w:t>
      </w:r>
      <w:bookmarkStart w:id="299" w:name="A12Va2_3"/>
      <w:bookmarkEnd w:id="298"/>
    </w:p>
    <w:p w14:paraId="02D44B9D"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2.3. construção de obras rodoviárias necessárias para acesso da rodovia à unidade industrial;</w:t>
      </w:r>
      <w:bookmarkEnd w:id="299"/>
      <w:r w:rsidRPr="00987EBD">
        <w:rPr>
          <w:lang w:val="pt-PT" w:eastAsia="pt-BR"/>
        </w:rPr>
        <w:t xml:space="preserve"> </w:t>
      </w:r>
    </w:p>
    <w:p w14:paraId="2565832E" w14:textId="77777777" w:rsidR="00E615D7" w:rsidRPr="00987EBD" w:rsidRDefault="00E615D7" w:rsidP="00093ED0">
      <w:pPr>
        <w:pStyle w:val="ParNormal"/>
        <w:spacing w:before="0"/>
        <w:ind w:left="2268" w:firstLine="0"/>
        <w:contextualSpacing/>
        <w:rPr>
          <w:lang w:val="pt-PT" w:eastAsia="pt-BR"/>
        </w:rPr>
      </w:pPr>
      <w:bookmarkStart w:id="300" w:name="A12Vb"/>
      <w:r w:rsidRPr="00987EBD">
        <w:rPr>
          <w:lang w:val="pt-PT" w:eastAsia="pt-BR"/>
        </w:rPr>
        <w:t xml:space="preserve">b) o benefício fica condicionado: </w:t>
      </w:r>
      <w:bookmarkStart w:id="301" w:name="A12Vb1"/>
      <w:bookmarkEnd w:id="300"/>
    </w:p>
    <w:p w14:paraId="42663795"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lastRenderedPageBreak/>
        <w:t>1. a aprovação de projeto específico pela Secretaria de Estado da Fazenda, que deve conter as seguintes especificações mínimas:</w:t>
      </w:r>
      <w:bookmarkEnd w:id="301"/>
      <w:r w:rsidRPr="00987EBD">
        <w:rPr>
          <w:lang w:val="pt-PT" w:eastAsia="pt-BR"/>
        </w:rPr>
        <w:t xml:space="preserve"> </w:t>
      </w:r>
      <w:bookmarkStart w:id="302" w:name="A12Vb1_1"/>
    </w:p>
    <w:p w14:paraId="666F1EA0" w14:textId="77777777" w:rsidR="00E615D7" w:rsidRPr="00987EBD" w:rsidRDefault="00E615D7" w:rsidP="00093ED0">
      <w:pPr>
        <w:pStyle w:val="ParNormal"/>
        <w:spacing w:before="0"/>
        <w:ind w:left="2268" w:firstLine="0"/>
        <w:contextualSpacing/>
        <w:rPr>
          <w:b/>
          <w:lang w:val="pt-PT" w:eastAsia="pt-BR"/>
        </w:rPr>
      </w:pPr>
      <w:r w:rsidRPr="00987EBD">
        <w:rPr>
          <w:lang w:val="pt-PT" w:eastAsia="pt-BR"/>
        </w:rPr>
        <w:t>1.1. o valor total do investimento, contendo o valor das obras civis, das máquinas, dos equipamentos e das instalações relacionadas à implantação,  não podendo ser inferior a R$ 800.000.000,00 (oitocentos milhões de reais);</w:t>
      </w:r>
      <w:bookmarkEnd w:id="302"/>
      <w:r w:rsidRPr="00987EBD">
        <w:rPr>
          <w:lang w:val="pt-PT" w:eastAsia="pt-BR"/>
        </w:rPr>
        <w:t xml:space="preserve"> </w:t>
      </w:r>
    </w:p>
    <w:p w14:paraId="4FF6D59D" w14:textId="77777777" w:rsidR="00E615D7" w:rsidRPr="00987EBD" w:rsidRDefault="00E615D7" w:rsidP="00093ED0">
      <w:pPr>
        <w:pStyle w:val="ParNormal"/>
        <w:spacing w:before="0"/>
        <w:ind w:left="2268" w:firstLine="0"/>
        <w:contextualSpacing/>
        <w:rPr>
          <w:lang w:val="pt-PT" w:eastAsia="pt-BR"/>
        </w:rPr>
      </w:pPr>
      <w:bookmarkStart w:id="303" w:name="A12Vb1_2"/>
      <w:r w:rsidRPr="00987EBD">
        <w:rPr>
          <w:lang w:val="pt-PT" w:eastAsia="pt-BR"/>
        </w:rPr>
        <w:t>1.2. o cronograma físico-financeiro das obras civis e da colocação das máquinas, dos equipamentos e das instalações;</w:t>
      </w:r>
      <w:bookmarkEnd w:id="303"/>
      <w:r w:rsidRPr="00987EBD">
        <w:rPr>
          <w:lang w:val="pt-PT" w:eastAsia="pt-BR"/>
        </w:rPr>
        <w:t xml:space="preserve"> </w:t>
      </w:r>
      <w:bookmarkStart w:id="304" w:name="A12Vb1_3"/>
    </w:p>
    <w:p w14:paraId="4B6DBAAE"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1.3. a data prevista para o início e para o final da implantação do empreendimento;</w:t>
      </w:r>
      <w:bookmarkEnd w:id="304"/>
      <w:r w:rsidRPr="00987EBD">
        <w:rPr>
          <w:lang w:val="pt-PT" w:eastAsia="pt-BR"/>
        </w:rPr>
        <w:t xml:space="preserve"> </w:t>
      </w:r>
      <w:bookmarkStart w:id="305" w:name="A12Xb2"/>
      <w:bookmarkStart w:id="306" w:name="A12Vb2"/>
    </w:p>
    <w:p w14:paraId="4B9F8C76"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2. a celebração de termo de acordo de regime especial com a Secretaria de Estado da Fazenda;</w:t>
      </w:r>
      <w:bookmarkEnd w:id="305"/>
      <w:bookmarkEnd w:id="306"/>
      <w:r w:rsidRPr="00987EBD">
        <w:rPr>
          <w:lang w:val="pt-PT" w:eastAsia="pt-BR"/>
        </w:rPr>
        <w:t xml:space="preserve"> </w:t>
      </w:r>
      <w:bookmarkStart w:id="307" w:name="A12Xb3"/>
      <w:bookmarkStart w:id="308" w:name="A12Vb3"/>
    </w:p>
    <w:p w14:paraId="42DC703F"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3. a apropriação, a partir da celebração de termo de acordo de regime especial, em até 40 (quarenta) parcelas mensais e sucessivas, conforme definido em termo de acordo de regime especial</w:t>
      </w:r>
      <w:r w:rsidRPr="00987EBD">
        <w:rPr>
          <w:b/>
          <w:lang w:val="pt-PT" w:eastAsia="pt-BR"/>
        </w:rPr>
        <w:t>;</w:t>
      </w:r>
      <w:bookmarkEnd w:id="307"/>
      <w:bookmarkEnd w:id="308"/>
      <w:r w:rsidRPr="00987EBD">
        <w:rPr>
          <w:lang w:val="pt-PT" w:eastAsia="pt-BR"/>
        </w:rPr>
        <w:t xml:space="preserve"> </w:t>
      </w:r>
      <w:bookmarkStart w:id="309" w:name="A12Xb4"/>
      <w:bookmarkStart w:id="310" w:name="A12Vb4"/>
    </w:p>
    <w:p w14:paraId="1DCAF183"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4. comprovação dos investimentos efetivamente concluídos, a ser realizada na</w:t>
      </w:r>
      <w:r w:rsidRPr="00987EBD">
        <w:rPr>
          <w:color w:val="FF0000"/>
          <w:lang w:val="pt-PT" w:eastAsia="pt-BR"/>
        </w:rPr>
        <w:t xml:space="preserve"> </w:t>
      </w:r>
      <w:r w:rsidRPr="00987EBD">
        <w:rPr>
          <w:lang w:val="pt-PT" w:eastAsia="pt-BR"/>
        </w:rPr>
        <w:t>data prevista para o final da implantação do empreendimento;</w:t>
      </w:r>
      <w:bookmarkEnd w:id="309"/>
      <w:bookmarkEnd w:id="310"/>
      <w:r w:rsidRPr="00987EBD">
        <w:rPr>
          <w:lang w:val="pt-PT" w:eastAsia="pt-BR"/>
        </w:rPr>
        <w:t xml:space="preserve"> </w:t>
      </w:r>
      <w:bookmarkStart w:id="311" w:name="A12Xb5"/>
      <w:bookmarkStart w:id="312" w:name="A12b5"/>
      <w:bookmarkStart w:id="313" w:name="A12Vb5"/>
    </w:p>
    <w:p w14:paraId="0D9FF327"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5. ao recolhimento de ICMS no valor equivalente a, no mínimo, 15% (quinze por cento) do valor do saldo devedor  apurado no mês no conjunto de estabelecimentos, antes da apropriação do crédito outorgado;</w:t>
      </w:r>
      <w:bookmarkEnd w:id="311"/>
      <w:bookmarkEnd w:id="312"/>
      <w:bookmarkEnd w:id="313"/>
      <w:r w:rsidRPr="00987EBD">
        <w:rPr>
          <w:lang w:val="pt-PT" w:eastAsia="pt-BR"/>
        </w:rPr>
        <w:t xml:space="preserve"> </w:t>
      </w:r>
      <w:bookmarkStart w:id="314" w:name="A12c"/>
      <w:bookmarkStart w:id="315" w:name="A12Vc"/>
    </w:p>
    <w:p w14:paraId="4C3FDA5C"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c) para fins de comprovação, serão aceitos para análise os investimentos constantes em projeto específico realizados a partir de janeiro de 2016;</w:t>
      </w:r>
      <w:bookmarkEnd w:id="314"/>
      <w:bookmarkEnd w:id="315"/>
      <w:r w:rsidRPr="00987EBD">
        <w:rPr>
          <w:lang w:val="pt-PT" w:eastAsia="pt-BR"/>
        </w:rPr>
        <w:t xml:space="preserve"> </w:t>
      </w:r>
      <w:bookmarkStart w:id="316" w:name="A12Xc"/>
    </w:p>
    <w:p w14:paraId="48A8E84B"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d)  cabe à Celg Distribuição S.A. - CELG D, à Saneamento de Goiás S.A.-Saneago, e à Agência Goiana de Transporte e Obras-Agetop, mediante análise de projeto e documentação idônea, a apuração dos valores relativos aos investimentos de que tratam os itens 2.1, 2.2 e 2.3 da alínea “a”;</w:t>
      </w:r>
      <w:bookmarkEnd w:id="316"/>
      <w:r w:rsidRPr="00987EBD">
        <w:rPr>
          <w:lang w:val="pt-PT" w:eastAsia="pt-BR"/>
        </w:rPr>
        <w:t xml:space="preserve"> </w:t>
      </w:r>
      <w:bookmarkStart w:id="317" w:name="A12Xe"/>
    </w:p>
    <w:p w14:paraId="12E45C2A"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e) o contribuinte deve estornar o valor apropriado  indevidamente, ao final da implantação do empreendimento, na hipótese de:</w:t>
      </w:r>
      <w:bookmarkEnd w:id="317"/>
      <w:r w:rsidRPr="00987EBD">
        <w:rPr>
          <w:lang w:val="pt-PT" w:eastAsia="pt-BR"/>
        </w:rPr>
        <w:t xml:space="preserve"> </w:t>
      </w:r>
      <w:bookmarkStart w:id="318" w:name="A12Xe1"/>
    </w:p>
    <w:p w14:paraId="5DB085B5"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1. não comprovação do investimento mínimo exigido no item 1.1 da alínea “a”;</w:t>
      </w:r>
      <w:bookmarkEnd w:id="318"/>
      <w:r w:rsidRPr="00987EBD">
        <w:rPr>
          <w:lang w:val="pt-PT" w:eastAsia="pt-BR"/>
        </w:rPr>
        <w:t xml:space="preserve"> </w:t>
      </w:r>
      <w:bookmarkStart w:id="319" w:name="A12X2"/>
    </w:p>
    <w:p w14:paraId="58065169"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2. recolhimento de ICMS  inferior ao previsto no item 5;</w:t>
      </w:r>
      <w:bookmarkEnd w:id="319"/>
      <w:r w:rsidRPr="00987EBD">
        <w:rPr>
          <w:lang w:val="pt-PT" w:eastAsia="pt-BR"/>
        </w:rPr>
        <w:t xml:space="preserve"> </w:t>
      </w:r>
      <w:bookmarkStart w:id="320" w:name="A12Xf"/>
    </w:p>
    <w:p w14:paraId="056E0F20"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f) o valor do crédito outorgado deve ser utilizado diretamente na subtração do valor a pagar relativo ao ICMS, excluída a parte incentivada  pelo PRODUZIR devido por:</w:t>
      </w:r>
      <w:bookmarkEnd w:id="320"/>
      <w:r w:rsidRPr="00987EBD">
        <w:rPr>
          <w:lang w:val="pt-PT" w:eastAsia="pt-BR"/>
        </w:rPr>
        <w:t xml:space="preserve"> </w:t>
      </w:r>
      <w:bookmarkStart w:id="321" w:name="A12Xf1"/>
    </w:p>
    <w:p w14:paraId="6A46FA44"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 xml:space="preserve">1. por operação própria; </w:t>
      </w:r>
      <w:bookmarkStart w:id="322" w:name="A12Xf2"/>
      <w:bookmarkEnd w:id="321"/>
    </w:p>
    <w:p w14:paraId="3FFBF305"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2. por substituição tributária;</w:t>
      </w:r>
      <w:bookmarkEnd w:id="322"/>
      <w:r w:rsidRPr="00987EBD">
        <w:rPr>
          <w:lang w:val="pt-PT" w:eastAsia="pt-BR"/>
        </w:rPr>
        <w:t xml:space="preserve"> </w:t>
      </w:r>
      <w:bookmarkStart w:id="323" w:name="A12Xg"/>
    </w:p>
    <w:p w14:paraId="3FA6EB5F"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g) o valor do crédito outorgado pode ser utilizado concomitantemente pelo centro distribuidor do beneficiário estabelecido no Estado de Goiás;</w:t>
      </w:r>
      <w:bookmarkEnd w:id="323"/>
      <w:r w:rsidRPr="00987EBD">
        <w:rPr>
          <w:lang w:val="pt-PT" w:eastAsia="pt-BR"/>
        </w:rPr>
        <w:t xml:space="preserve"> </w:t>
      </w:r>
      <w:bookmarkStart w:id="324" w:name="A12Xh"/>
    </w:p>
    <w:p w14:paraId="01A06C37"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h ) impede a fruição do crédito outorgado e obriga o beneficiário a pagar os valores do crédito outorgado efetivamente utilizados, atualizados pelo IGP-DI:</w:t>
      </w:r>
      <w:bookmarkEnd w:id="324"/>
      <w:r w:rsidRPr="00987EBD">
        <w:rPr>
          <w:lang w:val="pt-PT" w:eastAsia="pt-BR"/>
        </w:rPr>
        <w:t xml:space="preserve"> </w:t>
      </w:r>
      <w:bookmarkStart w:id="325" w:name="A12Xh1"/>
    </w:p>
    <w:p w14:paraId="02641F26"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 xml:space="preserve">1. a falta de comprovação do início das obras de implantação ou a desistência do projeto; </w:t>
      </w:r>
      <w:bookmarkStart w:id="326" w:name="A12Xh2"/>
      <w:bookmarkEnd w:id="325"/>
    </w:p>
    <w:p w14:paraId="560BABE1"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2. a falta de pagamento, no prazo legal, de crédito tributário estadual apurado mediante decisão irrecorrível em processo administrativo tributário, cuja exigibilidade não esteja suspensa nos termos da legislação tributária;</w:t>
      </w:r>
      <w:bookmarkEnd w:id="326"/>
      <w:r w:rsidRPr="00987EBD">
        <w:rPr>
          <w:lang w:val="pt-PT" w:eastAsia="pt-BR"/>
        </w:rPr>
        <w:t xml:space="preserve"> </w:t>
      </w:r>
      <w:bookmarkStart w:id="327" w:name="A12Xh3"/>
    </w:p>
    <w:p w14:paraId="18CDA91F" w14:textId="77777777" w:rsidR="00E615D7" w:rsidRPr="00987EBD" w:rsidRDefault="00E615D7" w:rsidP="00093ED0">
      <w:pPr>
        <w:pStyle w:val="ParNormal"/>
        <w:spacing w:before="0"/>
        <w:ind w:left="2268" w:firstLine="0"/>
        <w:contextualSpacing/>
        <w:rPr>
          <w:lang w:val="pt-PT" w:eastAsia="pt-BR"/>
        </w:rPr>
      </w:pPr>
      <w:r w:rsidRPr="00987EBD">
        <w:rPr>
          <w:lang w:val="pt-PT" w:eastAsia="pt-BR"/>
        </w:rPr>
        <w:t>3. a infração às disposições do termo de acordo de regime especial.</w:t>
      </w:r>
      <w:bookmarkEnd w:id="327"/>
      <w:r w:rsidRPr="00987EBD">
        <w:rPr>
          <w:lang w:val="pt-PT" w:eastAsia="pt-BR"/>
        </w:rPr>
        <w:t xml:space="preserve"> </w:t>
      </w:r>
      <w:bookmarkStart w:id="328" w:name="A12XI"/>
    </w:p>
    <w:p w14:paraId="24DDD558" w14:textId="40144978" w:rsidR="00E615D7" w:rsidRPr="00DD46CE" w:rsidRDefault="00E615D7" w:rsidP="00093ED0">
      <w:pPr>
        <w:pStyle w:val="ParNormal"/>
        <w:spacing w:before="0"/>
        <w:ind w:left="2268" w:firstLine="0"/>
        <w:contextualSpacing/>
        <w:rPr>
          <w:b/>
          <w:lang w:eastAsia="pt-BR"/>
        </w:rPr>
      </w:pPr>
      <w:r w:rsidRPr="00DD46CE">
        <w:rPr>
          <w:b/>
          <w:lang w:eastAsia="pt-BR"/>
        </w:rPr>
        <w:t xml:space="preserve">XI - para o estabelecimento beneficiário do Programa de Desenvolvimento Industrial de Goiás -PRODUZIR- fabricante de atomatados, no valor de até R$ 4.000.000,00 (quatro milhões de </w:t>
      </w:r>
      <w:r w:rsidRPr="00DD46CE">
        <w:rPr>
          <w:b/>
          <w:lang w:eastAsia="pt-BR"/>
        </w:rPr>
        <w:lastRenderedPageBreak/>
        <w:t>reais), para ser efetivamente investido em projeto de implantação de empreendimento industrial no Estado de Goiás, devendo ser observado o disposto nas alíneas seguintes (</w:t>
      </w:r>
      <w:r w:rsidRPr="00DE3EC9">
        <w:rPr>
          <w:b/>
          <w:lang w:eastAsia="pt-BR"/>
        </w:rPr>
        <w:t>Lei nº 19.143/15</w:t>
      </w:r>
      <w:r w:rsidRPr="00DD46CE">
        <w:rPr>
          <w:b/>
          <w:lang w:eastAsia="pt-BR"/>
        </w:rPr>
        <w:t>):</w:t>
      </w:r>
      <w:bookmarkEnd w:id="328"/>
      <w:r w:rsidRPr="00DD46CE">
        <w:rPr>
          <w:b/>
          <w:lang w:eastAsia="pt-BR"/>
        </w:rPr>
        <w:t xml:space="preserve"> </w:t>
      </w:r>
    </w:p>
    <w:p w14:paraId="6D4E4498" w14:textId="77777777" w:rsidR="00E615D7" w:rsidRPr="00987EBD" w:rsidRDefault="00E615D7" w:rsidP="00093ED0">
      <w:pPr>
        <w:pStyle w:val="ParNormal"/>
        <w:spacing w:before="0"/>
        <w:ind w:left="2268" w:firstLine="0"/>
        <w:contextualSpacing/>
        <w:rPr>
          <w:lang w:eastAsia="pt-BR"/>
        </w:rPr>
      </w:pPr>
      <w:bookmarkStart w:id="329" w:name="A12XIa"/>
      <w:r w:rsidRPr="00987EBD">
        <w:rPr>
          <w:lang w:eastAsia="pt-BR"/>
        </w:rPr>
        <w:t>a) o benefício fica condicionado:</w:t>
      </w:r>
      <w:bookmarkEnd w:id="329"/>
      <w:r w:rsidRPr="00987EBD">
        <w:rPr>
          <w:lang w:eastAsia="pt-BR"/>
        </w:rPr>
        <w:t xml:space="preserve"> </w:t>
      </w:r>
      <w:bookmarkStart w:id="330" w:name="A12XIa1"/>
    </w:p>
    <w:p w14:paraId="6EAA5AD3" w14:textId="77777777" w:rsidR="00E615D7" w:rsidRPr="00987EBD" w:rsidRDefault="00E615D7" w:rsidP="00093ED0">
      <w:pPr>
        <w:pStyle w:val="ParNormal"/>
        <w:spacing w:before="0"/>
        <w:ind w:left="2268" w:firstLine="0"/>
        <w:contextualSpacing/>
        <w:rPr>
          <w:lang w:eastAsia="pt-BR"/>
        </w:rPr>
      </w:pPr>
      <w:r w:rsidRPr="00987EBD">
        <w:rPr>
          <w:lang w:eastAsia="pt-BR"/>
        </w:rPr>
        <w:t>1. à apresentação de projeto específico pela Secretaria de Estado da Fazenda, que deve conter as seguintes especificações mínimas:</w:t>
      </w:r>
      <w:bookmarkEnd w:id="330"/>
      <w:r w:rsidRPr="00987EBD">
        <w:rPr>
          <w:lang w:eastAsia="pt-BR"/>
        </w:rPr>
        <w:t xml:space="preserve"> </w:t>
      </w:r>
      <w:bookmarkStart w:id="331" w:name="A12XIa1_1"/>
    </w:p>
    <w:p w14:paraId="186B482A" w14:textId="77777777" w:rsidR="00E615D7" w:rsidRPr="00987EBD" w:rsidRDefault="00E615D7" w:rsidP="00093ED0">
      <w:pPr>
        <w:pStyle w:val="ParNormal"/>
        <w:spacing w:before="0"/>
        <w:ind w:left="2268" w:firstLine="0"/>
        <w:contextualSpacing/>
        <w:rPr>
          <w:lang w:eastAsia="pt-BR"/>
        </w:rPr>
      </w:pPr>
      <w:r w:rsidRPr="00987EBD">
        <w:rPr>
          <w:lang w:eastAsia="pt-BR"/>
        </w:rPr>
        <w:t>1.1. o valor total do investimento, contendo o valor das obras civis, das máquinas, dos equipamentos e das instalações relacionadas à implantação,</w:t>
      </w:r>
      <w:bookmarkEnd w:id="331"/>
      <w:r w:rsidRPr="00987EBD">
        <w:rPr>
          <w:lang w:eastAsia="pt-BR"/>
        </w:rPr>
        <w:t xml:space="preserve"> </w:t>
      </w:r>
      <w:bookmarkStart w:id="332" w:name="A12XIa1_2"/>
    </w:p>
    <w:p w14:paraId="66BC424E" w14:textId="77777777" w:rsidR="00E615D7" w:rsidRPr="00987EBD" w:rsidRDefault="00E615D7" w:rsidP="00093ED0">
      <w:pPr>
        <w:pStyle w:val="ParNormal"/>
        <w:spacing w:before="0"/>
        <w:ind w:left="2268" w:firstLine="0"/>
        <w:contextualSpacing/>
        <w:rPr>
          <w:lang w:eastAsia="pt-BR"/>
        </w:rPr>
      </w:pPr>
      <w:r w:rsidRPr="00987EBD">
        <w:rPr>
          <w:lang w:eastAsia="pt-BR"/>
        </w:rPr>
        <w:t>1.2. o cronograma físico-financeiro das obras civis e da colocação das máquinas, dos equipamentos e das instalações;</w:t>
      </w:r>
      <w:bookmarkEnd w:id="332"/>
      <w:r w:rsidRPr="00987EBD">
        <w:rPr>
          <w:lang w:eastAsia="pt-BR"/>
        </w:rPr>
        <w:t xml:space="preserve"> </w:t>
      </w:r>
    </w:p>
    <w:p w14:paraId="5F489C60" w14:textId="77777777" w:rsidR="00E615D7" w:rsidRPr="00987EBD" w:rsidRDefault="00E615D7" w:rsidP="00093ED0">
      <w:pPr>
        <w:pStyle w:val="ParNormal"/>
        <w:spacing w:before="0"/>
        <w:ind w:left="2268" w:firstLine="0"/>
        <w:contextualSpacing/>
        <w:rPr>
          <w:lang w:eastAsia="pt-BR"/>
        </w:rPr>
      </w:pPr>
      <w:bookmarkStart w:id="333" w:name="A12V2"/>
      <w:r w:rsidRPr="00987EBD">
        <w:rPr>
          <w:lang w:eastAsia="pt-BR"/>
        </w:rPr>
        <w:t>2. à celebração de termo de acordo de regime especial com a Secretaria de Estado da Fazenda;</w:t>
      </w:r>
      <w:bookmarkEnd w:id="333"/>
      <w:r w:rsidRPr="00987EBD">
        <w:rPr>
          <w:lang w:eastAsia="pt-BR"/>
        </w:rPr>
        <w:t xml:space="preserve"> </w:t>
      </w:r>
      <w:bookmarkStart w:id="334" w:name="A12V3"/>
    </w:p>
    <w:p w14:paraId="7FA3FA3E" w14:textId="77777777" w:rsidR="00E615D7" w:rsidRPr="00987EBD" w:rsidRDefault="00E615D7" w:rsidP="00093ED0">
      <w:pPr>
        <w:pStyle w:val="ParNormal"/>
        <w:spacing w:before="0"/>
        <w:ind w:left="2268" w:firstLine="0"/>
        <w:contextualSpacing/>
        <w:rPr>
          <w:lang w:eastAsia="pt-BR"/>
        </w:rPr>
      </w:pPr>
      <w:r w:rsidRPr="00987EBD">
        <w:rPr>
          <w:lang w:eastAsia="pt-BR"/>
        </w:rPr>
        <w:t>3. à apropriação do crédito outorgado a partir da celebração de termo de acordo de regime especial, em até 24 (vinte e quatro) parcelas mensais, iguais e sucessivas, conforme definido em termo de acordo de regime especial;</w:t>
      </w:r>
      <w:bookmarkEnd w:id="334"/>
      <w:r w:rsidRPr="00987EBD">
        <w:rPr>
          <w:lang w:eastAsia="pt-BR"/>
        </w:rPr>
        <w:t xml:space="preserve"> </w:t>
      </w:r>
      <w:bookmarkStart w:id="335" w:name="A12XIb"/>
    </w:p>
    <w:p w14:paraId="50C427E4" w14:textId="77777777" w:rsidR="00E615D7" w:rsidRPr="00987EBD" w:rsidRDefault="00E615D7" w:rsidP="00093ED0">
      <w:pPr>
        <w:pStyle w:val="ParNormal"/>
        <w:spacing w:before="0"/>
        <w:ind w:left="2268" w:firstLine="0"/>
        <w:contextualSpacing/>
        <w:rPr>
          <w:lang w:eastAsia="pt-BR"/>
        </w:rPr>
      </w:pPr>
      <w:r w:rsidRPr="00987EBD">
        <w:rPr>
          <w:lang w:eastAsia="pt-BR"/>
        </w:rPr>
        <w:t>b) para fins de comprovação, podem ser aceitos para análise os investimentos constantes de projeto específico realizados a partir de janeiro de 2013;</w:t>
      </w:r>
      <w:bookmarkEnd w:id="335"/>
      <w:r w:rsidRPr="00987EBD">
        <w:rPr>
          <w:lang w:eastAsia="pt-BR"/>
        </w:rPr>
        <w:t xml:space="preserve"> </w:t>
      </w:r>
      <w:bookmarkStart w:id="336" w:name="A12XIc"/>
    </w:p>
    <w:p w14:paraId="103B29FA" w14:textId="77777777" w:rsidR="00E615D7" w:rsidRPr="00987EBD" w:rsidRDefault="00E615D7" w:rsidP="00093ED0">
      <w:pPr>
        <w:pStyle w:val="ParNormal"/>
        <w:spacing w:before="0"/>
        <w:ind w:left="2268" w:firstLine="0"/>
        <w:contextualSpacing/>
        <w:rPr>
          <w:lang w:eastAsia="pt-BR"/>
        </w:rPr>
      </w:pPr>
      <w:r w:rsidRPr="00987EBD">
        <w:rPr>
          <w:lang w:eastAsia="pt-BR"/>
        </w:rPr>
        <w:t>c) o valor do crédito outorgado deve ser utilizado diretamente n</w:t>
      </w:r>
      <w:r>
        <w:rPr>
          <w:lang w:eastAsia="pt-BR"/>
        </w:rPr>
        <w:t>a subtração do ICMS a pagar cor</w:t>
      </w:r>
      <w:r w:rsidRPr="00987EBD">
        <w:rPr>
          <w:lang w:eastAsia="pt-BR"/>
        </w:rPr>
        <w:t>respondente à saída de produtos, materiais institucionais, inclusive os importados do exterior, após a aplicação do incentivo PRODUZIR;</w:t>
      </w:r>
      <w:bookmarkEnd w:id="336"/>
      <w:r w:rsidRPr="00987EBD">
        <w:rPr>
          <w:lang w:eastAsia="pt-BR"/>
        </w:rPr>
        <w:t xml:space="preserve"> </w:t>
      </w:r>
      <w:bookmarkStart w:id="337" w:name="A12XId"/>
    </w:p>
    <w:p w14:paraId="48C60E9F" w14:textId="77777777" w:rsidR="00E615D7" w:rsidRPr="00987EBD" w:rsidRDefault="00E615D7" w:rsidP="00093ED0">
      <w:pPr>
        <w:pStyle w:val="ParNormal"/>
        <w:spacing w:before="0"/>
        <w:ind w:left="2268" w:firstLine="0"/>
        <w:contextualSpacing/>
        <w:rPr>
          <w:lang w:eastAsia="pt-BR"/>
        </w:rPr>
      </w:pPr>
      <w:r w:rsidRPr="00987EBD">
        <w:rPr>
          <w:lang w:eastAsia="pt-BR"/>
        </w:rPr>
        <w:t>d) na impossibilidade de utilização total ou parcial do crédito outorgado de que trata a alínea "c", seu saldo mensal pode ser transferido para contribuinte do ICMS estabelecido neste Estado, mediante despacho autorizativo do Secretário de Estado da Fazenda;</w:t>
      </w:r>
      <w:bookmarkEnd w:id="337"/>
      <w:r w:rsidRPr="00987EBD">
        <w:rPr>
          <w:lang w:eastAsia="pt-BR"/>
        </w:rPr>
        <w:t xml:space="preserve"> </w:t>
      </w:r>
      <w:bookmarkStart w:id="338" w:name="A12XIe"/>
    </w:p>
    <w:p w14:paraId="712BC971" w14:textId="77777777" w:rsidR="00E615D7" w:rsidRPr="00987EBD" w:rsidRDefault="00E615D7" w:rsidP="00093ED0">
      <w:pPr>
        <w:pStyle w:val="ParNormal"/>
        <w:spacing w:before="0"/>
        <w:ind w:left="2268" w:firstLine="0"/>
        <w:contextualSpacing/>
        <w:rPr>
          <w:lang w:eastAsia="pt-BR"/>
        </w:rPr>
      </w:pPr>
      <w:r w:rsidRPr="00987EBD">
        <w:rPr>
          <w:lang w:eastAsia="pt-BR"/>
        </w:rPr>
        <w:t>e) impede a fruição do crédito outorgado e obriga o beneficiário a pagar os valores do crédito outorgado efetivamente utilizados, atualizados pelo IGP-DI:</w:t>
      </w:r>
      <w:bookmarkEnd w:id="338"/>
      <w:r w:rsidRPr="00987EBD">
        <w:rPr>
          <w:lang w:eastAsia="pt-BR"/>
        </w:rPr>
        <w:t xml:space="preserve"> </w:t>
      </w:r>
      <w:bookmarkStart w:id="339" w:name="A12XIe1"/>
    </w:p>
    <w:p w14:paraId="37DBF288" w14:textId="77777777" w:rsidR="00E615D7" w:rsidRPr="00987EBD" w:rsidRDefault="00E615D7" w:rsidP="00093ED0">
      <w:pPr>
        <w:pStyle w:val="ParNormal"/>
        <w:spacing w:before="0"/>
        <w:ind w:left="2268" w:firstLine="0"/>
        <w:contextualSpacing/>
        <w:rPr>
          <w:lang w:eastAsia="pt-BR"/>
        </w:rPr>
      </w:pPr>
      <w:r w:rsidRPr="00987EBD">
        <w:rPr>
          <w:lang w:eastAsia="pt-BR"/>
        </w:rPr>
        <w:t>1. a falta de comprovação do início das obras de implantação ou a desistência do projeto;</w:t>
      </w:r>
      <w:bookmarkEnd w:id="339"/>
    </w:p>
    <w:p w14:paraId="0BF41643" w14:textId="77777777" w:rsidR="00E615D7" w:rsidRPr="00987EBD" w:rsidRDefault="00E615D7" w:rsidP="00093ED0">
      <w:pPr>
        <w:pStyle w:val="ParNormal"/>
        <w:spacing w:before="0"/>
        <w:ind w:left="2268" w:firstLine="0"/>
        <w:contextualSpacing/>
        <w:rPr>
          <w:lang w:eastAsia="pt-BR"/>
        </w:rPr>
      </w:pPr>
      <w:bookmarkStart w:id="340" w:name="A12XIe2"/>
      <w:r w:rsidRPr="00987EBD">
        <w:rPr>
          <w:lang w:eastAsia="pt-BR"/>
        </w:rPr>
        <w:t>2. a falta de pagamento, no prazo legal, de crédito tributário estadual apurado mediante decisão irrecorrível em processo administrativo tributário, cuja exigibilidade não esteja suspensa nos termos da legislação tributária;</w:t>
      </w:r>
      <w:bookmarkEnd w:id="340"/>
      <w:r w:rsidRPr="00987EBD">
        <w:rPr>
          <w:lang w:eastAsia="pt-BR"/>
        </w:rPr>
        <w:t xml:space="preserve"> </w:t>
      </w:r>
      <w:bookmarkStart w:id="341" w:name="A12XIe3"/>
    </w:p>
    <w:p w14:paraId="2E06CD6D" w14:textId="77777777" w:rsidR="00E615D7" w:rsidRPr="00987EBD" w:rsidRDefault="00E615D7" w:rsidP="00093ED0">
      <w:pPr>
        <w:pStyle w:val="ParNormal"/>
        <w:spacing w:before="0"/>
        <w:ind w:left="2268" w:firstLine="0"/>
        <w:rPr>
          <w:lang w:eastAsia="pt-BR"/>
        </w:rPr>
      </w:pPr>
      <w:r w:rsidRPr="00987EBD">
        <w:rPr>
          <w:lang w:eastAsia="pt-BR"/>
        </w:rPr>
        <w:t>3. a infração às disposições do termo de acordo de regime especial;</w:t>
      </w:r>
      <w:bookmarkEnd w:id="341"/>
      <w:r w:rsidRPr="00987EBD">
        <w:rPr>
          <w:lang w:eastAsia="pt-BR"/>
        </w:rPr>
        <w:t xml:space="preserve"> </w:t>
      </w:r>
      <w:bookmarkStart w:id="342" w:name="A12XII"/>
    </w:p>
    <w:p w14:paraId="56039434" w14:textId="77777777" w:rsidR="00E615D7" w:rsidRPr="00DD46CE" w:rsidRDefault="00E615D7" w:rsidP="00093ED0">
      <w:pPr>
        <w:pStyle w:val="ParNormal"/>
        <w:spacing w:before="0"/>
        <w:ind w:left="2268" w:firstLine="0"/>
        <w:rPr>
          <w:b/>
          <w:lang w:eastAsia="pt-BR"/>
        </w:rPr>
      </w:pPr>
      <w:r w:rsidRPr="00DD46CE">
        <w:rPr>
          <w:b/>
          <w:lang w:eastAsia="pt-BR"/>
        </w:rPr>
        <w:t>XII - na saída interestadual, efetuada por atacadista, de medicamento de uso humano e de material hospitalar destinada a órgão da administração pública direta ou indireta, hospital ou clínica de saúde, desde que a operação interna na unidade federada de destino seja tributada pelo imposto, o valor equivalente aos seguintes percentuais, resultante da aplicação das fórmulas constantes das alíneas "a" e "b", aplicado sobre o valor da operação e observado ainda:</w:t>
      </w:r>
      <w:bookmarkEnd w:id="342"/>
      <w:r w:rsidRPr="00DD46CE">
        <w:rPr>
          <w:b/>
          <w:lang w:eastAsia="pt-BR"/>
        </w:rPr>
        <w:t xml:space="preserve"> </w:t>
      </w:r>
      <w:bookmarkStart w:id="343" w:name="A12XIIa1"/>
    </w:p>
    <w:p w14:paraId="62598547" w14:textId="77777777" w:rsidR="00E615D7" w:rsidRPr="00987EBD" w:rsidRDefault="00E615D7" w:rsidP="00093ED0">
      <w:pPr>
        <w:pStyle w:val="ParNormal"/>
        <w:spacing w:before="0"/>
        <w:ind w:left="2268" w:firstLine="0"/>
        <w:rPr>
          <w:lang w:eastAsia="pt-BR"/>
        </w:rPr>
      </w:pPr>
      <w:r w:rsidRPr="00987EBD">
        <w:rPr>
          <w:lang w:eastAsia="pt-BR"/>
        </w:rPr>
        <w:t>1. 60% x A - 7,2%, para o ano de 2016;</w:t>
      </w:r>
      <w:bookmarkEnd w:id="343"/>
      <w:r w:rsidRPr="00987EBD">
        <w:rPr>
          <w:lang w:eastAsia="pt-BR"/>
        </w:rPr>
        <w:t xml:space="preserve"> </w:t>
      </w:r>
    </w:p>
    <w:p w14:paraId="1F5ACE56" w14:textId="77777777" w:rsidR="00E615D7" w:rsidRPr="00987EBD" w:rsidRDefault="00E615D7" w:rsidP="00093ED0">
      <w:pPr>
        <w:pStyle w:val="ParNormal"/>
        <w:spacing w:before="0"/>
        <w:ind w:left="2268" w:firstLine="0"/>
        <w:rPr>
          <w:lang w:eastAsia="pt-BR"/>
        </w:rPr>
      </w:pPr>
      <w:bookmarkStart w:id="344" w:name="A12XIIa2"/>
      <w:r w:rsidRPr="00987EBD">
        <w:rPr>
          <w:lang w:eastAsia="pt-BR"/>
        </w:rPr>
        <w:t>2. 40% x A - 4,8%, para o ano de 2017;</w:t>
      </w:r>
      <w:bookmarkEnd w:id="344"/>
      <w:r w:rsidRPr="00987EBD">
        <w:rPr>
          <w:lang w:eastAsia="pt-BR"/>
        </w:rPr>
        <w:t xml:space="preserve"> </w:t>
      </w:r>
    </w:p>
    <w:p w14:paraId="79AA6F0A" w14:textId="77777777" w:rsidR="00E615D7" w:rsidRPr="00987EBD" w:rsidRDefault="00E615D7" w:rsidP="00093ED0">
      <w:pPr>
        <w:pStyle w:val="ParNormal"/>
        <w:spacing w:before="0"/>
        <w:ind w:left="2268" w:firstLine="0"/>
        <w:rPr>
          <w:lang w:eastAsia="pt-BR"/>
        </w:rPr>
      </w:pPr>
      <w:bookmarkStart w:id="345" w:name="A12XIIa3"/>
      <w:r w:rsidRPr="00987EBD">
        <w:rPr>
          <w:lang w:eastAsia="pt-BR"/>
        </w:rPr>
        <w:t>3. 20% x A - 2,4%, para o ano de 2018;</w:t>
      </w:r>
      <w:bookmarkEnd w:id="345"/>
      <w:r w:rsidRPr="00987EBD">
        <w:rPr>
          <w:lang w:eastAsia="pt-BR"/>
        </w:rPr>
        <w:t xml:space="preserve"> </w:t>
      </w:r>
      <w:bookmarkStart w:id="346" w:name="A12XIIb"/>
    </w:p>
    <w:p w14:paraId="1A72BC82" w14:textId="77777777" w:rsidR="00E615D7" w:rsidRPr="00987EBD" w:rsidRDefault="00E615D7" w:rsidP="00093ED0">
      <w:pPr>
        <w:pStyle w:val="ParNormal"/>
        <w:spacing w:before="0"/>
        <w:ind w:left="2268" w:firstLine="0"/>
        <w:rPr>
          <w:lang w:eastAsia="pt-BR"/>
        </w:rPr>
      </w:pPr>
      <w:r w:rsidRPr="00987EBD">
        <w:rPr>
          <w:lang w:eastAsia="pt-BR"/>
        </w:rPr>
        <w:t>b) quando a aquisição pelo atacadista se deu com alíquota 4% (quatro por cento):</w:t>
      </w:r>
      <w:bookmarkEnd w:id="346"/>
      <w:r w:rsidRPr="00987EBD">
        <w:rPr>
          <w:lang w:eastAsia="pt-BR"/>
        </w:rPr>
        <w:t xml:space="preserve"> </w:t>
      </w:r>
      <w:bookmarkStart w:id="347" w:name="A12XIIb1"/>
    </w:p>
    <w:p w14:paraId="3EB69407" w14:textId="77777777" w:rsidR="00E615D7" w:rsidRPr="00987EBD" w:rsidRDefault="00E615D7" w:rsidP="00093ED0">
      <w:pPr>
        <w:pStyle w:val="ParNormal"/>
        <w:spacing w:before="0"/>
        <w:ind w:left="2268" w:firstLine="0"/>
        <w:rPr>
          <w:lang w:eastAsia="pt-BR"/>
        </w:rPr>
      </w:pPr>
      <w:r w:rsidRPr="00987EBD">
        <w:rPr>
          <w:lang w:eastAsia="pt-BR"/>
        </w:rPr>
        <w:t>1. 60% x A - 5,4%, para o ano de 2016;</w:t>
      </w:r>
      <w:bookmarkEnd w:id="347"/>
      <w:r w:rsidRPr="00987EBD">
        <w:rPr>
          <w:lang w:eastAsia="pt-BR"/>
        </w:rPr>
        <w:t xml:space="preserve"> </w:t>
      </w:r>
    </w:p>
    <w:p w14:paraId="7D59B159" w14:textId="77777777" w:rsidR="00E615D7" w:rsidRPr="00987EBD" w:rsidRDefault="00E615D7" w:rsidP="00093ED0">
      <w:pPr>
        <w:pStyle w:val="ParNormal"/>
        <w:spacing w:before="0"/>
        <w:ind w:left="2268" w:firstLine="0"/>
        <w:rPr>
          <w:lang w:eastAsia="pt-BR"/>
        </w:rPr>
      </w:pPr>
      <w:bookmarkStart w:id="348" w:name="A12XIIb2"/>
      <w:r w:rsidRPr="00987EBD">
        <w:rPr>
          <w:lang w:eastAsia="pt-BR"/>
        </w:rPr>
        <w:t>2. 40% x A - 4,6%, para o ano de 2017;</w:t>
      </w:r>
      <w:bookmarkEnd w:id="348"/>
      <w:r w:rsidRPr="00987EBD">
        <w:rPr>
          <w:lang w:eastAsia="pt-BR"/>
        </w:rPr>
        <w:t xml:space="preserve"> </w:t>
      </w:r>
    </w:p>
    <w:p w14:paraId="74F5973E" w14:textId="77777777" w:rsidR="00E615D7" w:rsidRPr="00987EBD" w:rsidRDefault="00E615D7" w:rsidP="00093ED0">
      <w:pPr>
        <w:pStyle w:val="ParNormal"/>
        <w:spacing w:before="0"/>
        <w:ind w:left="2268" w:firstLine="0"/>
        <w:rPr>
          <w:lang w:eastAsia="pt-BR"/>
        </w:rPr>
      </w:pPr>
      <w:r w:rsidRPr="00987EBD">
        <w:rPr>
          <w:lang w:eastAsia="pt-BR"/>
        </w:rPr>
        <w:lastRenderedPageBreak/>
        <w:t xml:space="preserve">onde: A = alíquota, cujo valor fica limitado a 18%, prevista para operação interna na unidade federada de destino; </w:t>
      </w:r>
      <w:bookmarkStart w:id="349" w:name="A12XIIc"/>
    </w:p>
    <w:p w14:paraId="0CB825BB" w14:textId="1B497B41" w:rsidR="00E615D7" w:rsidRPr="00987EBD" w:rsidRDefault="00E615D7" w:rsidP="00093ED0">
      <w:pPr>
        <w:pStyle w:val="ParNormal"/>
        <w:spacing w:before="0"/>
        <w:ind w:left="2268" w:firstLine="0"/>
        <w:rPr>
          <w:lang w:eastAsia="pt-BR"/>
        </w:rPr>
      </w:pPr>
      <w:r w:rsidRPr="00987EBD">
        <w:rPr>
          <w:lang w:eastAsia="pt-BR"/>
        </w:rPr>
        <w:t xml:space="preserve">c) o benefício previsto neste inciso aplica-se cumulativamente, conforme o caso, com os benefícios previstos nos incisos </w:t>
      </w:r>
      <w:r w:rsidRPr="00DE3EC9">
        <w:rPr>
          <w:lang w:eastAsia="pt-BR"/>
        </w:rPr>
        <w:t>VIII</w:t>
      </w:r>
      <w:r w:rsidRPr="00987EBD">
        <w:rPr>
          <w:lang w:eastAsia="pt-BR"/>
        </w:rPr>
        <w:t xml:space="preserve"> e </w:t>
      </w:r>
      <w:r w:rsidRPr="00DE3EC9">
        <w:rPr>
          <w:lang w:eastAsia="pt-BR"/>
        </w:rPr>
        <w:t>LVII</w:t>
      </w:r>
      <w:r w:rsidRPr="00987EBD">
        <w:rPr>
          <w:lang w:eastAsia="pt-BR"/>
        </w:rPr>
        <w:t xml:space="preserve"> do </w:t>
      </w:r>
      <w:r w:rsidRPr="00DE3EC9">
        <w:rPr>
          <w:lang w:eastAsia="pt-BR"/>
        </w:rPr>
        <w:t>art. 8º</w:t>
      </w:r>
      <w:r w:rsidRPr="00987EBD">
        <w:rPr>
          <w:lang w:eastAsia="pt-BR"/>
        </w:rPr>
        <w:t xml:space="preserve"> deste Anexo.</w:t>
      </w:r>
      <w:bookmarkEnd w:id="349"/>
      <w:r w:rsidRPr="00987EBD">
        <w:rPr>
          <w:lang w:eastAsia="pt-BR"/>
        </w:rPr>
        <w:t xml:space="preserve"> </w:t>
      </w:r>
    </w:p>
    <w:p w14:paraId="0E0D5DC9" w14:textId="77777777" w:rsidR="00E615D7" w:rsidRPr="00DD46CE" w:rsidRDefault="00E615D7" w:rsidP="00093ED0">
      <w:pPr>
        <w:pStyle w:val="ParNormal"/>
        <w:spacing w:before="0"/>
        <w:ind w:left="2268" w:firstLine="0"/>
        <w:rPr>
          <w:b/>
        </w:rPr>
      </w:pPr>
      <w:bookmarkStart w:id="350" w:name="A12XIII"/>
      <w:bookmarkStart w:id="351" w:name="A12XIV"/>
      <w:r w:rsidRPr="00DD46CE">
        <w:rPr>
          <w:b/>
        </w:rPr>
        <w:t>XIII - revogado;</w:t>
      </w:r>
    </w:p>
    <w:p w14:paraId="31D3B220" w14:textId="6A20A828" w:rsidR="00E615D7" w:rsidRPr="00DD46CE" w:rsidRDefault="00E615D7" w:rsidP="00093ED0">
      <w:pPr>
        <w:pStyle w:val="ParNormal"/>
        <w:spacing w:before="0"/>
        <w:ind w:left="2268" w:firstLine="0"/>
        <w:rPr>
          <w:b/>
        </w:rPr>
      </w:pPr>
      <w:r w:rsidRPr="00DD46CE">
        <w:rPr>
          <w:b/>
          <w:lang w:val="pt-PT"/>
        </w:rPr>
        <w:t>XI</w:t>
      </w:r>
      <w:bookmarkEnd w:id="350"/>
      <w:r w:rsidRPr="00DD46CE">
        <w:rPr>
          <w:b/>
          <w:lang w:val="pt-PT"/>
        </w:rPr>
        <w:t xml:space="preserve">V - para o estabelecimento beneficiário do Programa de Desenvolvimento Industrial de Goiás -PRODUZIR- fabricante de latas de alumínio para indústria de cerveja e outras bebidas, o valor equivalente a até R$11.000.000,00 (onze milhões de reais), para ser efetivamente investido em projeto de implantação de complexo industrial localizado no Estado de Goiás, devendo ser observado o disposto nas alíneas seguintes (Lei nº </w:t>
      </w:r>
      <w:r w:rsidRPr="00DE3EC9">
        <w:rPr>
          <w:b/>
          <w:lang w:val="pt-PT"/>
        </w:rPr>
        <w:t>19.226/16</w:t>
      </w:r>
      <w:r w:rsidRPr="00DD46CE">
        <w:rPr>
          <w:b/>
          <w:lang w:val="pt-PT"/>
        </w:rPr>
        <w:t xml:space="preserve">, </w:t>
      </w:r>
      <w:r w:rsidRPr="00DE3EC9">
        <w:rPr>
          <w:b/>
          <w:lang w:val="pt-PT"/>
        </w:rPr>
        <w:t>art. 1º-A</w:t>
      </w:r>
      <w:r w:rsidRPr="00DD46CE">
        <w:rPr>
          <w:b/>
          <w:lang w:val="pt-PT"/>
        </w:rPr>
        <w:t>):</w:t>
      </w:r>
      <w:r w:rsidRPr="00DD46CE">
        <w:rPr>
          <w:rFonts w:cs="Arial"/>
          <w:b/>
          <w:sz w:val="16"/>
          <w:szCs w:val="16"/>
          <w:lang w:val="pt-PT"/>
        </w:rPr>
        <w:t xml:space="preserve"> </w:t>
      </w:r>
      <w:bookmarkEnd w:id="351"/>
    </w:p>
    <w:p w14:paraId="216541C1" w14:textId="77777777" w:rsidR="00E615D7" w:rsidRPr="00987EBD" w:rsidRDefault="00E615D7" w:rsidP="00093ED0">
      <w:pPr>
        <w:pStyle w:val="ParNormal"/>
        <w:spacing w:before="0"/>
        <w:ind w:left="2268" w:firstLine="0"/>
        <w:rPr>
          <w:rFonts w:cs="Arial"/>
          <w:sz w:val="16"/>
          <w:szCs w:val="16"/>
          <w:lang w:val="pt-PT"/>
        </w:rPr>
      </w:pPr>
      <w:r w:rsidRPr="00987EBD">
        <w:rPr>
          <w:lang w:val="pt-PT"/>
        </w:rPr>
        <w:t xml:space="preserve">a) o benefício fica condicionado: </w:t>
      </w:r>
    </w:p>
    <w:p w14:paraId="44985192" w14:textId="77777777" w:rsidR="00E615D7" w:rsidRPr="00987EBD" w:rsidRDefault="00E615D7" w:rsidP="00093ED0">
      <w:pPr>
        <w:pStyle w:val="ParNormal"/>
        <w:spacing w:before="0"/>
        <w:ind w:left="2268" w:firstLine="0"/>
        <w:rPr>
          <w:rFonts w:cs="Arial"/>
          <w:sz w:val="16"/>
          <w:szCs w:val="16"/>
          <w:lang w:val="pt-PT"/>
        </w:rPr>
      </w:pPr>
      <w:r w:rsidRPr="00987EBD">
        <w:rPr>
          <w:lang w:val="pt-PT"/>
        </w:rPr>
        <w:t>1. à aprovação de projeto específico pela Secretaria de Estado da Fazenda, que deve conter as seguintes especificações mínimas:</w:t>
      </w:r>
      <w:r w:rsidRPr="00987EBD">
        <w:rPr>
          <w:rFonts w:cs="Arial"/>
          <w:sz w:val="16"/>
          <w:szCs w:val="16"/>
          <w:lang w:val="pt-PT"/>
        </w:rPr>
        <w:t xml:space="preserve"> </w:t>
      </w:r>
    </w:p>
    <w:p w14:paraId="227E1A51" w14:textId="588A9DC2" w:rsidR="00E615D7" w:rsidRPr="00987EBD" w:rsidRDefault="00E615D7" w:rsidP="00093ED0">
      <w:pPr>
        <w:pStyle w:val="ParNormal"/>
        <w:spacing w:before="0"/>
        <w:ind w:left="2268" w:firstLine="0"/>
        <w:rPr>
          <w:rFonts w:cs="Arial"/>
          <w:sz w:val="16"/>
          <w:szCs w:val="16"/>
          <w:lang w:val="pt-PT"/>
        </w:rPr>
      </w:pPr>
      <w:r w:rsidRPr="00987EBD">
        <w:rPr>
          <w:lang w:val="pt-PT"/>
        </w:rPr>
        <w:t>1.1. o valor total do investimento, contendo o valor de execução das obras civis e das aquisições das máquinas, dos equipamentos e das instalações relacionadas à implantação da unidade industrial, não podendo ser inferior a R$</w:t>
      </w:r>
      <w:r w:rsidR="006B751F">
        <w:rPr>
          <w:lang w:val="pt-PT"/>
        </w:rPr>
        <w:t xml:space="preserve"> </w:t>
      </w:r>
      <w:r w:rsidRPr="00987EBD">
        <w:rPr>
          <w:lang w:val="pt-PT"/>
        </w:rPr>
        <w:t>270.000.000,00 (duzentos e setenta milhões de reais);</w:t>
      </w:r>
      <w:r w:rsidRPr="00987EBD">
        <w:rPr>
          <w:rFonts w:cs="Arial"/>
          <w:sz w:val="16"/>
          <w:szCs w:val="16"/>
          <w:lang w:val="pt-PT"/>
        </w:rPr>
        <w:t xml:space="preserve"> </w:t>
      </w:r>
    </w:p>
    <w:p w14:paraId="5AC46BD1" w14:textId="77777777" w:rsidR="00E615D7" w:rsidRPr="00987EBD" w:rsidRDefault="00E615D7" w:rsidP="00093ED0">
      <w:pPr>
        <w:pStyle w:val="ParNormal"/>
        <w:spacing w:before="0"/>
        <w:ind w:left="2268" w:firstLine="0"/>
        <w:rPr>
          <w:rFonts w:cs="Arial"/>
          <w:sz w:val="16"/>
          <w:szCs w:val="16"/>
          <w:lang w:val="pt-PT"/>
        </w:rPr>
      </w:pPr>
      <w:r w:rsidRPr="00987EBD">
        <w:rPr>
          <w:lang w:val="pt-PT"/>
        </w:rPr>
        <w:t>1.2. o cronograma físico-financeiro das obras civis e da colocação das máquinas, dos equipamentos e das instalações;</w:t>
      </w:r>
      <w:r w:rsidRPr="00987EBD">
        <w:rPr>
          <w:rFonts w:cs="Arial"/>
          <w:sz w:val="16"/>
          <w:szCs w:val="16"/>
          <w:lang w:val="pt-PT"/>
        </w:rPr>
        <w:t xml:space="preserve"> </w:t>
      </w:r>
    </w:p>
    <w:p w14:paraId="3C691B53" w14:textId="77777777" w:rsidR="00E615D7" w:rsidRPr="00987EBD" w:rsidRDefault="00E615D7" w:rsidP="00093ED0">
      <w:pPr>
        <w:pStyle w:val="ParNormal"/>
        <w:spacing w:before="0"/>
        <w:ind w:left="2268" w:firstLine="0"/>
      </w:pPr>
      <w:r w:rsidRPr="00987EBD">
        <w:rPr>
          <w:lang w:val="pt-PT"/>
        </w:rPr>
        <w:t>1.3. a data prevista para o início e para o final da implantação do empreendimento;</w:t>
      </w:r>
    </w:p>
    <w:p w14:paraId="274A164C" w14:textId="77777777" w:rsidR="00E615D7" w:rsidRPr="00987EBD" w:rsidRDefault="00E615D7" w:rsidP="00093ED0">
      <w:pPr>
        <w:pStyle w:val="ParNormal"/>
        <w:spacing w:before="0"/>
        <w:ind w:left="2268" w:firstLine="0"/>
        <w:contextualSpacing/>
        <w:rPr>
          <w:rFonts w:cs="Arial"/>
          <w:sz w:val="16"/>
          <w:szCs w:val="16"/>
          <w:lang w:val="pt-PT"/>
        </w:rPr>
      </w:pPr>
      <w:r w:rsidRPr="00987EBD">
        <w:rPr>
          <w:lang w:val="pt-PT"/>
        </w:rPr>
        <w:t>2. à celebração de Termo de Acordo de Regime Especial - TARE com a Secretaria de Estado da Fazenda;</w:t>
      </w:r>
      <w:r w:rsidRPr="00987EBD">
        <w:rPr>
          <w:rFonts w:cs="Arial"/>
          <w:sz w:val="16"/>
          <w:szCs w:val="16"/>
          <w:lang w:val="pt-PT"/>
        </w:rPr>
        <w:t xml:space="preserve"> </w:t>
      </w:r>
    </w:p>
    <w:p w14:paraId="60461E99" w14:textId="77777777" w:rsidR="00E615D7" w:rsidRPr="00987EBD" w:rsidRDefault="00E615D7" w:rsidP="00093ED0">
      <w:pPr>
        <w:pStyle w:val="ParNormal"/>
        <w:spacing w:before="0"/>
        <w:ind w:left="2268" w:firstLine="0"/>
        <w:contextualSpacing/>
        <w:rPr>
          <w:rFonts w:cs="Arial"/>
          <w:color w:val="FF0000"/>
          <w:sz w:val="16"/>
          <w:szCs w:val="16"/>
          <w:lang w:val="pt-PT"/>
        </w:rPr>
      </w:pPr>
      <w:r w:rsidRPr="00987EBD">
        <w:rPr>
          <w:lang w:val="pt-PT"/>
        </w:rPr>
        <w:t>3. ao ínicio de produção do complexo industrial implantado em até 36 (trinta e seis) meses, contados a partir da data de assinatura do TARE, assegurada a prorrogação deste prazo pelo período de 12 (doze) meses, desde que a dilação seja causada por razões inerentes à implantação da unidade industrial;</w:t>
      </w:r>
      <w:r w:rsidRPr="00987EBD">
        <w:rPr>
          <w:rFonts w:cs="Arial"/>
          <w:color w:val="FF0000"/>
          <w:sz w:val="16"/>
          <w:szCs w:val="16"/>
          <w:lang w:val="pt-PT"/>
        </w:rPr>
        <w:t xml:space="preserve"> </w:t>
      </w:r>
    </w:p>
    <w:p w14:paraId="7D10CE3C" w14:textId="77777777" w:rsidR="00E615D7" w:rsidRPr="00987EBD" w:rsidRDefault="00E615D7" w:rsidP="00093ED0">
      <w:pPr>
        <w:pStyle w:val="ParNormal"/>
        <w:spacing w:before="0"/>
        <w:ind w:left="2268" w:firstLine="0"/>
        <w:contextualSpacing/>
        <w:rPr>
          <w:rFonts w:cs="Arial"/>
          <w:sz w:val="16"/>
          <w:szCs w:val="16"/>
          <w:lang w:val="pt-PT"/>
        </w:rPr>
      </w:pPr>
      <w:r w:rsidRPr="00987EBD">
        <w:rPr>
          <w:lang w:val="pt-PT"/>
        </w:rPr>
        <w:t>b) o crédito deve ser apropriado em 40 (quarenta) parcelas mensais e sucessivas, em valores proporcionais ao efetivamente investido, a partir do período de apuração seguinte ao mês da celebração do TARE;</w:t>
      </w:r>
      <w:r w:rsidRPr="00987EBD">
        <w:rPr>
          <w:rFonts w:cs="Arial"/>
          <w:sz w:val="16"/>
          <w:szCs w:val="16"/>
          <w:lang w:val="pt-PT"/>
        </w:rPr>
        <w:t xml:space="preserve"> </w:t>
      </w:r>
    </w:p>
    <w:p w14:paraId="08C4E144" w14:textId="77777777" w:rsidR="00E615D7" w:rsidRPr="00987EBD" w:rsidRDefault="00E615D7" w:rsidP="00093ED0">
      <w:pPr>
        <w:pStyle w:val="ParNormal"/>
        <w:spacing w:before="0"/>
        <w:ind w:left="2268" w:firstLine="0"/>
        <w:contextualSpacing/>
        <w:rPr>
          <w:rFonts w:cs="Arial"/>
          <w:sz w:val="16"/>
          <w:szCs w:val="16"/>
          <w:lang w:val="pt-PT"/>
        </w:rPr>
      </w:pPr>
      <w:r w:rsidRPr="00987EBD">
        <w:rPr>
          <w:lang w:val="pt-PT"/>
        </w:rPr>
        <w:t>c) o valor do crédito outorgado deve ser utilizado diretamente na subtração do valor ICMS a pagar, e o seu remanescente pode ser transferido a outro contribuinte, mediante despacho autorizativo do Secretário de Estado da Fazenda;</w:t>
      </w:r>
      <w:r w:rsidRPr="00987EBD">
        <w:rPr>
          <w:rFonts w:cs="Arial"/>
          <w:sz w:val="16"/>
          <w:szCs w:val="16"/>
          <w:lang w:val="pt-PT"/>
        </w:rPr>
        <w:t xml:space="preserve"> </w:t>
      </w:r>
    </w:p>
    <w:p w14:paraId="04029EC9" w14:textId="77777777" w:rsidR="00E615D7" w:rsidRPr="00987EBD" w:rsidRDefault="00E615D7" w:rsidP="00093ED0">
      <w:pPr>
        <w:pStyle w:val="ParNormal"/>
        <w:spacing w:before="0"/>
        <w:ind w:left="2268" w:firstLine="0"/>
        <w:contextualSpacing/>
        <w:rPr>
          <w:rFonts w:cs="Arial"/>
          <w:sz w:val="16"/>
          <w:szCs w:val="16"/>
          <w:lang w:val="pt-PT"/>
        </w:rPr>
      </w:pPr>
      <w:r w:rsidRPr="00987EBD">
        <w:rPr>
          <w:lang w:val="pt-PT"/>
        </w:rPr>
        <w:t>d) impede a fruição do crédito outorgado e obriga o beneficiário a pagar os valores do crédito outorgado efetivamente utilizados, atualizados pelo IGP-DI:</w:t>
      </w:r>
      <w:r w:rsidRPr="00987EBD">
        <w:rPr>
          <w:rFonts w:cs="Arial"/>
          <w:sz w:val="16"/>
          <w:szCs w:val="16"/>
          <w:lang w:val="pt-PT"/>
        </w:rPr>
        <w:t xml:space="preserve"> </w:t>
      </w:r>
    </w:p>
    <w:p w14:paraId="73923785" w14:textId="77777777" w:rsidR="00E615D7" w:rsidRPr="00987EBD" w:rsidRDefault="00E615D7" w:rsidP="00093ED0">
      <w:pPr>
        <w:pStyle w:val="ParNormal"/>
        <w:spacing w:before="0"/>
        <w:ind w:left="2268" w:firstLine="0"/>
        <w:contextualSpacing/>
        <w:rPr>
          <w:lang w:val="pt-PT"/>
        </w:rPr>
      </w:pPr>
      <w:r w:rsidRPr="00987EBD">
        <w:rPr>
          <w:lang w:val="pt-PT"/>
        </w:rPr>
        <w:t xml:space="preserve">1. a falta de comprovação do início das obras de implantação ou a desistência do projeto; </w:t>
      </w:r>
    </w:p>
    <w:p w14:paraId="4B68D37D" w14:textId="77777777" w:rsidR="00E615D7" w:rsidRPr="00987EBD" w:rsidRDefault="00E615D7" w:rsidP="00093ED0">
      <w:pPr>
        <w:pStyle w:val="ParNormal"/>
        <w:spacing w:before="0"/>
        <w:ind w:left="2268" w:firstLine="0"/>
        <w:contextualSpacing/>
        <w:rPr>
          <w:rFonts w:cs="Arial"/>
          <w:sz w:val="16"/>
          <w:szCs w:val="16"/>
          <w:lang w:val="pt-PT"/>
        </w:rPr>
      </w:pPr>
      <w:r w:rsidRPr="00987EBD">
        <w:rPr>
          <w:lang w:val="pt-PT"/>
        </w:rPr>
        <w:t>2. a falta de pagamento, no prazo legal, de crédito tributário estadual apurado mediante decisão irrecorrível em processo administrativo tributário, cuja exigibilidade não esteja suspensa nos termos da legislação tributária;</w:t>
      </w:r>
      <w:r w:rsidRPr="00987EBD">
        <w:rPr>
          <w:rFonts w:cs="Arial"/>
          <w:sz w:val="16"/>
          <w:szCs w:val="16"/>
          <w:lang w:val="pt-PT"/>
        </w:rPr>
        <w:t xml:space="preserve"> </w:t>
      </w:r>
    </w:p>
    <w:p w14:paraId="0F864B17" w14:textId="77777777" w:rsidR="00E615D7" w:rsidRPr="00987EBD" w:rsidRDefault="00E615D7" w:rsidP="00093ED0">
      <w:pPr>
        <w:pStyle w:val="ParNormal"/>
        <w:spacing w:before="0"/>
        <w:ind w:left="2268" w:firstLine="0"/>
        <w:contextualSpacing/>
        <w:rPr>
          <w:lang w:val="pt-PT"/>
        </w:rPr>
      </w:pPr>
      <w:r w:rsidRPr="00987EBD">
        <w:rPr>
          <w:lang w:val="pt-PT"/>
        </w:rPr>
        <w:t>3. a infração às disposições do TARE.</w:t>
      </w:r>
      <w:r w:rsidRPr="00987EBD">
        <w:rPr>
          <w:rFonts w:cs="Arial"/>
          <w:sz w:val="16"/>
          <w:szCs w:val="16"/>
          <w:lang w:val="pt-PT"/>
        </w:rPr>
        <w:t xml:space="preserve"> </w:t>
      </w:r>
    </w:p>
    <w:p w14:paraId="2DFB5B51" w14:textId="77777777" w:rsidR="00E615D7" w:rsidRPr="00987EBD" w:rsidRDefault="00E615D7" w:rsidP="00093ED0">
      <w:pPr>
        <w:pStyle w:val="ParNormal"/>
        <w:spacing w:before="0"/>
        <w:ind w:left="2268" w:firstLine="0"/>
        <w:contextualSpacing/>
        <w:rPr>
          <w:sz w:val="24"/>
          <w:lang w:eastAsia="pt-BR"/>
        </w:rPr>
      </w:pPr>
      <w:bookmarkStart w:id="352" w:name="A12XIIIe1"/>
      <w:r w:rsidRPr="00987EBD">
        <w:rPr>
          <w:lang w:eastAsia="pt-BR"/>
        </w:rPr>
        <w:t xml:space="preserve">e) o Secretário de Estado da Fazenda pode aumentar o valor do crédito outorgado de ICMS de que trata o </w:t>
      </w:r>
      <w:r w:rsidRPr="00987EBD">
        <w:rPr>
          <w:i/>
          <w:lang w:eastAsia="pt-BR"/>
        </w:rPr>
        <w:t>caput</w:t>
      </w:r>
      <w:r w:rsidRPr="00987EBD">
        <w:rPr>
          <w:lang w:eastAsia="pt-BR"/>
        </w:rPr>
        <w:t xml:space="preserve"> deste inciso, desde que o valor efetivamente investido na execução de obras e aquisição de máquinas e equipamentos e demais investimentos fixos necessários à implantação </w:t>
      </w:r>
      <w:r w:rsidRPr="00987EBD">
        <w:rPr>
          <w:lang w:eastAsia="pt-BR"/>
        </w:rPr>
        <w:lastRenderedPageBreak/>
        <w:t>da unidade industrial seja superior ao valor previsto no item 1.1 da alínea “a” deste inciso, devendo ser observado o seguinte:</w:t>
      </w:r>
      <w:r w:rsidRPr="00987EBD">
        <w:rPr>
          <w:sz w:val="24"/>
          <w:lang w:eastAsia="pt-BR"/>
        </w:rPr>
        <w:t xml:space="preserve"> </w:t>
      </w:r>
    </w:p>
    <w:p w14:paraId="1EEB017A" w14:textId="77777777" w:rsidR="00E615D7" w:rsidRPr="00987EBD" w:rsidRDefault="00E615D7" w:rsidP="00093ED0">
      <w:pPr>
        <w:pStyle w:val="ParNormal"/>
        <w:spacing w:before="0"/>
        <w:ind w:left="2268" w:firstLine="0"/>
        <w:contextualSpacing/>
        <w:rPr>
          <w:rFonts w:cs="Arial"/>
          <w:sz w:val="16"/>
          <w:szCs w:val="16"/>
          <w:lang w:eastAsia="pt-BR"/>
        </w:rPr>
      </w:pPr>
      <w:r w:rsidRPr="00987EBD">
        <w:rPr>
          <w:lang w:eastAsia="pt-BR"/>
        </w:rPr>
        <w:t>1. o benefício fica condicionado:</w:t>
      </w:r>
      <w:bookmarkEnd w:id="352"/>
      <w:r w:rsidRPr="00987EBD">
        <w:rPr>
          <w:sz w:val="16"/>
          <w:szCs w:val="16"/>
          <w:lang w:eastAsia="pt-BR"/>
        </w:rPr>
        <w:t xml:space="preserve"> </w:t>
      </w:r>
    </w:p>
    <w:p w14:paraId="38A47100" w14:textId="77777777" w:rsidR="00E615D7" w:rsidRPr="00987EBD" w:rsidRDefault="00E615D7" w:rsidP="00093ED0">
      <w:pPr>
        <w:pStyle w:val="ParNormal"/>
        <w:spacing w:before="0"/>
        <w:ind w:left="2268" w:firstLine="0"/>
        <w:contextualSpacing/>
        <w:rPr>
          <w:sz w:val="16"/>
          <w:szCs w:val="16"/>
          <w:lang w:eastAsia="pt-BR"/>
        </w:rPr>
      </w:pPr>
      <w:bookmarkStart w:id="353" w:name="A12XIIIe1_1"/>
      <w:r w:rsidRPr="00987EBD">
        <w:rPr>
          <w:lang w:eastAsia="pt-BR"/>
        </w:rPr>
        <w:t>1.1. à celebração de Termo de Acordo de Regime Especial -TARE- com a Secretaria de Estado da Fazenda, que definirá termos e condições para a sua utilização;</w:t>
      </w:r>
      <w:bookmarkEnd w:id="353"/>
      <w:r w:rsidRPr="00987EBD">
        <w:rPr>
          <w:sz w:val="16"/>
          <w:szCs w:val="16"/>
          <w:lang w:eastAsia="pt-BR"/>
        </w:rPr>
        <w:t xml:space="preserve"> </w:t>
      </w:r>
      <w:bookmarkStart w:id="354" w:name="A12XIIIe1_2"/>
    </w:p>
    <w:p w14:paraId="178FD203" w14:textId="77777777" w:rsidR="00E615D7" w:rsidRPr="00987EBD" w:rsidRDefault="00E615D7" w:rsidP="00093ED0">
      <w:pPr>
        <w:pStyle w:val="ParNormal"/>
        <w:spacing w:before="0"/>
        <w:ind w:left="2268" w:firstLine="0"/>
        <w:contextualSpacing/>
        <w:rPr>
          <w:lang w:eastAsia="pt-BR"/>
        </w:rPr>
      </w:pPr>
      <w:r>
        <w:rPr>
          <w:lang w:eastAsia="pt-BR"/>
        </w:rPr>
        <w:t>1.2 ao iní</w:t>
      </w:r>
      <w:r w:rsidRPr="00987EBD">
        <w:rPr>
          <w:lang w:eastAsia="pt-BR"/>
        </w:rPr>
        <w:t>cio de produção do complexo industrial implantado no prazo estipulado no item 3 da alínea “a” deste inciso;</w:t>
      </w:r>
      <w:bookmarkEnd w:id="354"/>
      <w:r w:rsidRPr="00987EBD">
        <w:rPr>
          <w:sz w:val="16"/>
          <w:szCs w:val="16"/>
          <w:lang w:eastAsia="pt-BR"/>
        </w:rPr>
        <w:t xml:space="preserve"> </w:t>
      </w:r>
    </w:p>
    <w:p w14:paraId="03787BBC" w14:textId="77777777" w:rsidR="00E615D7" w:rsidRPr="00987EBD" w:rsidRDefault="00E615D7" w:rsidP="00093ED0">
      <w:pPr>
        <w:pStyle w:val="ParNormal"/>
        <w:spacing w:before="0"/>
        <w:ind w:left="2268" w:firstLine="0"/>
        <w:contextualSpacing/>
        <w:rPr>
          <w:sz w:val="24"/>
          <w:lang w:eastAsia="pt-BR"/>
        </w:rPr>
      </w:pPr>
      <w:bookmarkStart w:id="355" w:name="A12XIIIe3"/>
      <w:bookmarkStart w:id="356" w:name="A12XIIIf"/>
      <w:r w:rsidRPr="00987EBD">
        <w:rPr>
          <w:lang w:eastAsia="pt-BR"/>
        </w:rPr>
        <w:t>2. o valor do crédito deve ser correspondente à aplicação de 7% (sete por cento) sobre o valor efetivamente investido que exceder o previsto no item 1.1 da alínea “a” deste inciso, não podendo ultrapassar R$ 23.000.000,00 (vinte e três milhões de reais);</w:t>
      </w:r>
      <w:r w:rsidRPr="00987EBD">
        <w:rPr>
          <w:sz w:val="24"/>
          <w:lang w:eastAsia="pt-BR"/>
        </w:rPr>
        <w:t xml:space="preserve"> </w:t>
      </w:r>
    </w:p>
    <w:p w14:paraId="402F8914" w14:textId="77777777" w:rsidR="00E615D7" w:rsidRPr="00987EBD" w:rsidRDefault="00E615D7" w:rsidP="00093ED0">
      <w:pPr>
        <w:pStyle w:val="ParNormal"/>
        <w:spacing w:before="0"/>
        <w:ind w:left="2268" w:firstLine="0"/>
        <w:contextualSpacing/>
        <w:rPr>
          <w:lang w:eastAsia="pt-BR"/>
        </w:rPr>
      </w:pPr>
      <w:r w:rsidRPr="00987EBD">
        <w:rPr>
          <w:lang w:eastAsia="pt-BR"/>
        </w:rPr>
        <w:t>3. o crédito outorgado deve ser apropriado em até 40 (quarenta) parcelas mensais e sucessivas, conforme definido em termo de acordo de regime especial.</w:t>
      </w:r>
      <w:bookmarkEnd w:id="355"/>
      <w:bookmarkEnd w:id="356"/>
      <w:r w:rsidRPr="00987EBD">
        <w:rPr>
          <w:sz w:val="16"/>
          <w:szCs w:val="16"/>
          <w:lang w:eastAsia="pt-BR"/>
        </w:rPr>
        <w:t xml:space="preserve"> </w:t>
      </w:r>
    </w:p>
    <w:p w14:paraId="7AAA9D6D" w14:textId="77777777" w:rsidR="00E615D7" w:rsidRPr="00DD46CE" w:rsidRDefault="00E615D7" w:rsidP="00093ED0">
      <w:pPr>
        <w:pStyle w:val="ParNormal"/>
        <w:spacing w:before="0"/>
        <w:ind w:left="2268" w:firstLine="0"/>
        <w:contextualSpacing/>
        <w:rPr>
          <w:b/>
          <w:lang w:eastAsia="pt-BR"/>
        </w:rPr>
      </w:pPr>
      <w:r w:rsidRPr="00DD46CE">
        <w:rPr>
          <w:b/>
          <w:lang w:eastAsia="pt-BR"/>
        </w:rPr>
        <w:t>XV - revogado;</w:t>
      </w:r>
    </w:p>
    <w:p w14:paraId="7E6664A4" w14:textId="76BFB5DC" w:rsidR="00E615D7" w:rsidRPr="00DD46CE" w:rsidRDefault="00E615D7" w:rsidP="00093ED0">
      <w:pPr>
        <w:pStyle w:val="ParNormal"/>
        <w:spacing w:before="0"/>
        <w:ind w:left="2268" w:firstLine="0"/>
        <w:contextualSpacing/>
        <w:rPr>
          <w:b/>
          <w:lang w:eastAsia="pt-BR"/>
        </w:rPr>
      </w:pPr>
      <w:r w:rsidRPr="00DD46CE">
        <w:rPr>
          <w:b/>
          <w:lang w:eastAsia="pt-BR"/>
        </w:rPr>
        <w:t>XVI - para o contribuinte que investir em infraestrutura, não podendo o valor global, exceder, em cada ano, a 5% (cinco por cento) da arrecadação anual do ICMS relativa ao exercício imediatamente anterior, observado, ainda, o seguinte (</w:t>
      </w:r>
      <w:r w:rsidRPr="00DE3EC9">
        <w:rPr>
          <w:b/>
          <w:lang w:eastAsia="pt-BR"/>
        </w:rPr>
        <w:t>Convênio ICMS 85/2011</w:t>
      </w:r>
      <w:r w:rsidRPr="00DD46CE">
        <w:rPr>
          <w:b/>
          <w:lang w:eastAsia="pt-BR"/>
        </w:rPr>
        <w:t>):</w:t>
      </w:r>
    </w:p>
    <w:p w14:paraId="392FE622" w14:textId="77777777" w:rsidR="00E615D7" w:rsidRPr="00987EBD" w:rsidRDefault="00E615D7" w:rsidP="00093ED0">
      <w:pPr>
        <w:pStyle w:val="ParNormal"/>
        <w:spacing w:before="0"/>
        <w:ind w:left="2268" w:firstLine="0"/>
        <w:contextualSpacing/>
        <w:rPr>
          <w:lang w:eastAsia="pt-BR"/>
        </w:rPr>
      </w:pPr>
      <w:r w:rsidRPr="00987EBD">
        <w:rPr>
          <w:lang w:eastAsia="pt-BR"/>
        </w:rPr>
        <w:t>a) o valor do crédito outorgado fica limitado ao valor dos investimentos realizados em infraestrutura necessários à instalação ou ampliação do empreendimento;</w:t>
      </w:r>
    </w:p>
    <w:p w14:paraId="7D9C783F" w14:textId="77777777" w:rsidR="00E615D7" w:rsidRPr="00987EBD" w:rsidRDefault="00E615D7" w:rsidP="00093ED0">
      <w:pPr>
        <w:pStyle w:val="ParNormal"/>
        <w:ind w:left="2268" w:firstLine="0"/>
        <w:rPr>
          <w:lang w:eastAsia="pt-BR"/>
        </w:rPr>
      </w:pPr>
      <w:r w:rsidRPr="00987EBD">
        <w:rPr>
          <w:lang w:eastAsia="pt-BR"/>
        </w:rPr>
        <w:t>b) dependerá de termo de compromisso firmado com o Estado, bem como da celebração de termo de acordo de regime especial com a Secretaria de Estado da Fazenda, no qual devem constar metas de arrecadação de ICMS, bem como as condições para apropriação do crédito outorgado;</w:t>
      </w:r>
    </w:p>
    <w:p w14:paraId="76BDF72E" w14:textId="77777777" w:rsidR="00E615D7" w:rsidRPr="00987EBD" w:rsidRDefault="00E615D7" w:rsidP="00093ED0">
      <w:pPr>
        <w:pStyle w:val="ParNormal"/>
        <w:spacing w:before="0"/>
        <w:ind w:left="2268" w:firstLine="0"/>
        <w:contextualSpacing/>
        <w:rPr>
          <w:lang w:eastAsia="pt-BR"/>
        </w:rPr>
      </w:pPr>
      <w:r w:rsidRPr="00987EBD">
        <w:rPr>
          <w:lang w:eastAsia="pt-BR"/>
        </w:rPr>
        <w:t>c) o contribuinte deverá apresentar projeto específico à Secretaria de Estado da Fazenda, do qual constará no mínimo:</w:t>
      </w:r>
    </w:p>
    <w:p w14:paraId="70C087EF" w14:textId="77777777" w:rsidR="00E615D7" w:rsidRPr="00987EBD" w:rsidRDefault="00E615D7" w:rsidP="00093ED0">
      <w:pPr>
        <w:pStyle w:val="ParNormal"/>
        <w:spacing w:before="0"/>
        <w:ind w:left="2268" w:firstLine="0"/>
        <w:contextualSpacing/>
        <w:rPr>
          <w:lang w:eastAsia="pt-BR"/>
        </w:rPr>
      </w:pPr>
      <w:r w:rsidRPr="00987EBD">
        <w:rPr>
          <w:lang w:eastAsia="pt-BR"/>
        </w:rPr>
        <w:t>1. valor dos investimentos a serem realizados em obra de infraestrutura;</w:t>
      </w:r>
    </w:p>
    <w:p w14:paraId="252BCF24" w14:textId="77777777" w:rsidR="00E615D7" w:rsidRPr="00987EBD" w:rsidRDefault="00E615D7" w:rsidP="00093ED0">
      <w:pPr>
        <w:pStyle w:val="ParNormal"/>
        <w:spacing w:before="0"/>
        <w:ind w:left="2268" w:firstLine="0"/>
        <w:contextualSpacing/>
        <w:rPr>
          <w:lang w:eastAsia="pt-BR"/>
        </w:rPr>
      </w:pPr>
      <w:r w:rsidRPr="00987EBD">
        <w:rPr>
          <w:lang w:eastAsia="pt-BR"/>
        </w:rPr>
        <w:t>2. data de início e data prevista para o término das obras de infraestrutura;</w:t>
      </w:r>
    </w:p>
    <w:p w14:paraId="1CB66089" w14:textId="77777777" w:rsidR="00E615D7" w:rsidRPr="00987EBD" w:rsidRDefault="00E615D7" w:rsidP="00093ED0">
      <w:pPr>
        <w:pStyle w:val="ParNormal"/>
        <w:spacing w:before="0"/>
        <w:ind w:left="2268" w:firstLine="0"/>
        <w:contextualSpacing/>
        <w:rPr>
          <w:lang w:eastAsia="pt-BR"/>
        </w:rPr>
      </w:pPr>
      <w:r w:rsidRPr="00987EBD">
        <w:rPr>
          <w:lang w:eastAsia="pt-BR"/>
        </w:rPr>
        <w:t>3. cronograma físico-financeiro das obras de infraestrutura;</w:t>
      </w:r>
    </w:p>
    <w:p w14:paraId="1BA2340D" w14:textId="77777777" w:rsidR="00E615D7" w:rsidRPr="00987EBD" w:rsidRDefault="00E615D7" w:rsidP="00093ED0">
      <w:pPr>
        <w:pStyle w:val="ParNormal"/>
        <w:spacing w:before="0"/>
        <w:ind w:left="2268" w:firstLine="0"/>
        <w:contextualSpacing/>
        <w:rPr>
          <w:lang w:eastAsia="pt-BR"/>
        </w:rPr>
      </w:pPr>
      <w:r w:rsidRPr="00987EBD">
        <w:rPr>
          <w:lang w:eastAsia="pt-BR"/>
        </w:rPr>
        <w:t>d) cabe à Agência Goiana de Transporte o Obras – AGETOP   mediante análise de projeto e documentação idônea, a apuração do valor relativo aos investimentos realizados, na hipótese de o contribuinte realizar obra de infraestrutura cuja responsabilidade seria do Estado;</w:t>
      </w:r>
    </w:p>
    <w:p w14:paraId="38B386C1" w14:textId="77777777" w:rsidR="00E615D7" w:rsidRPr="00987EBD" w:rsidRDefault="00E615D7" w:rsidP="00093ED0">
      <w:pPr>
        <w:pStyle w:val="ParNormal"/>
        <w:spacing w:before="0"/>
        <w:ind w:left="2268" w:firstLine="0"/>
        <w:contextualSpacing/>
        <w:rPr>
          <w:lang w:eastAsia="pt-BR"/>
        </w:rPr>
      </w:pPr>
      <w:r w:rsidRPr="00987EBD">
        <w:rPr>
          <w:lang w:eastAsia="pt-BR"/>
        </w:rPr>
        <w:t>e) impedem a fruição do crédito outorgado e obrigam o beneficiário a pagar os valores do crédito outorgado efetivamente utilizados, atualizados nos termos da legislação tributária, a falta de comprovação do início das obras, a falta de comprovação dos investimentos, a desistência do projeto ou a infração insanável às disposições do regime especial;</w:t>
      </w:r>
    </w:p>
    <w:p w14:paraId="5A455E26" w14:textId="77777777" w:rsidR="00E615D7" w:rsidRPr="00987EBD" w:rsidRDefault="00E615D7" w:rsidP="00093ED0">
      <w:pPr>
        <w:pStyle w:val="ParNormal"/>
        <w:spacing w:before="0"/>
        <w:ind w:left="2268" w:firstLine="0"/>
        <w:contextualSpacing/>
        <w:rPr>
          <w:lang w:eastAsia="pt-BR"/>
        </w:rPr>
      </w:pPr>
      <w:r w:rsidRPr="00987EBD">
        <w:rPr>
          <w:lang w:eastAsia="pt-BR"/>
        </w:rPr>
        <w:t>f) o Poder Executivo editará ato no qual constarão as obras de infraestrutura consideradas prioritárias, para efeito de concessão do crédito outorgado;</w:t>
      </w:r>
    </w:p>
    <w:p w14:paraId="3239AEF3" w14:textId="77777777" w:rsidR="00E615D7" w:rsidRPr="00987EBD" w:rsidRDefault="00E615D7" w:rsidP="00093ED0">
      <w:pPr>
        <w:pStyle w:val="ParNormal"/>
        <w:spacing w:before="0"/>
        <w:ind w:left="2268" w:firstLine="0"/>
        <w:contextualSpacing/>
        <w:rPr>
          <w:lang w:eastAsia="pt-BR"/>
        </w:rPr>
      </w:pPr>
      <w:r w:rsidRPr="00987EBD">
        <w:rPr>
          <w:lang w:eastAsia="pt-BR"/>
        </w:rPr>
        <w:t>g) o crédito outorgado poderá ser concedido, também, para o contribuinte que adquirir área ou empreendimento da Companhia de Desenvolvimento Econômico de Goiás - CODEGO, inclusive aquele que mantenha em regime de parceria, observado o seguinte:</w:t>
      </w:r>
    </w:p>
    <w:p w14:paraId="69F95D44" w14:textId="77777777" w:rsidR="00E615D7" w:rsidRPr="00987EBD" w:rsidRDefault="00E615D7" w:rsidP="00093ED0">
      <w:pPr>
        <w:pStyle w:val="ParNormal"/>
        <w:spacing w:before="0"/>
        <w:ind w:left="2268" w:firstLine="0"/>
        <w:contextualSpacing/>
        <w:rPr>
          <w:lang w:eastAsia="pt-BR"/>
        </w:rPr>
      </w:pPr>
      <w:r w:rsidRPr="00987EBD">
        <w:rPr>
          <w:lang w:eastAsia="pt-BR"/>
        </w:rPr>
        <w:lastRenderedPageBreak/>
        <w:t>1. o valor do crédito fica limitado ao montante equivalente ao valor efetivamente investido para aquisição da área ou do empreendimento;</w:t>
      </w:r>
    </w:p>
    <w:p w14:paraId="1E7BF45D" w14:textId="77777777" w:rsidR="00E615D7" w:rsidRPr="00987EBD" w:rsidRDefault="00E615D7" w:rsidP="00093ED0">
      <w:pPr>
        <w:pStyle w:val="ParNormal"/>
        <w:spacing w:before="0"/>
        <w:ind w:left="2268" w:firstLine="0"/>
        <w:contextualSpacing/>
        <w:rPr>
          <w:lang w:eastAsia="pt-BR"/>
        </w:rPr>
      </w:pPr>
      <w:r w:rsidRPr="00987EBD">
        <w:rPr>
          <w:lang w:eastAsia="pt-BR"/>
        </w:rPr>
        <w:t>2. a fruição do benefício fica condicionada:</w:t>
      </w:r>
    </w:p>
    <w:p w14:paraId="145A5487" w14:textId="77777777" w:rsidR="00E615D7" w:rsidRPr="00987EBD" w:rsidRDefault="00E615D7" w:rsidP="00093ED0">
      <w:pPr>
        <w:pStyle w:val="ParNormal"/>
        <w:spacing w:before="0"/>
        <w:ind w:left="2268" w:firstLine="0"/>
        <w:contextualSpacing/>
        <w:rPr>
          <w:lang w:eastAsia="pt-BR"/>
        </w:rPr>
      </w:pPr>
      <w:r w:rsidRPr="00987EBD">
        <w:rPr>
          <w:lang w:eastAsia="pt-BR"/>
        </w:rPr>
        <w:t>2.1. à apresentação de projeto específico à Secretaria de Estado da Fazenda, que deve conter no mínimo:</w:t>
      </w:r>
    </w:p>
    <w:p w14:paraId="6869701E" w14:textId="77777777" w:rsidR="00E615D7" w:rsidRPr="00987EBD" w:rsidRDefault="00E615D7" w:rsidP="00093ED0">
      <w:pPr>
        <w:pStyle w:val="ParNormal"/>
        <w:spacing w:before="0"/>
        <w:ind w:left="2268" w:firstLine="0"/>
        <w:contextualSpacing/>
        <w:rPr>
          <w:lang w:eastAsia="pt-BR"/>
        </w:rPr>
      </w:pPr>
      <w:r w:rsidRPr="00987EBD">
        <w:rPr>
          <w:lang w:eastAsia="pt-BR"/>
        </w:rPr>
        <w:t>2.1.1. a escritura de compra e venda;</w:t>
      </w:r>
    </w:p>
    <w:p w14:paraId="2FFF2E21" w14:textId="77777777" w:rsidR="00E615D7" w:rsidRPr="00987EBD" w:rsidRDefault="00E615D7" w:rsidP="00093ED0">
      <w:pPr>
        <w:pStyle w:val="ParNormal"/>
        <w:spacing w:before="0"/>
        <w:ind w:left="2268" w:firstLine="0"/>
        <w:contextualSpacing/>
        <w:rPr>
          <w:lang w:eastAsia="pt-BR"/>
        </w:rPr>
      </w:pPr>
      <w:r w:rsidRPr="00987EBD">
        <w:rPr>
          <w:lang w:eastAsia="pt-BR"/>
        </w:rPr>
        <w:t>2.1.2. o valor dos investimentos a serem realizados pelo contribuinte, não podendo ser inferior a 3 (três) vezes o valor do terreno ou empreendimento adquirido;</w:t>
      </w:r>
    </w:p>
    <w:p w14:paraId="6B996BCC" w14:textId="77777777" w:rsidR="00E615D7" w:rsidRPr="00987EBD" w:rsidRDefault="00E615D7" w:rsidP="00093ED0">
      <w:pPr>
        <w:pStyle w:val="ParNormal"/>
        <w:spacing w:before="0"/>
        <w:ind w:left="2268" w:firstLine="0"/>
        <w:contextualSpacing/>
        <w:rPr>
          <w:lang w:eastAsia="pt-BR"/>
        </w:rPr>
      </w:pPr>
      <w:r w:rsidRPr="00987EBD">
        <w:rPr>
          <w:lang w:eastAsia="pt-BR"/>
        </w:rPr>
        <w:t>2.1.3. o cronograma físico-financeiro das obras;</w:t>
      </w:r>
    </w:p>
    <w:p w14:paraId="77C959B5" w14:textId="77777777" w:rsidR="00E615D7" w:rsidRPr="00987EBD" w:rsidRDefault="00E615D7" w:rsidP="00093ED0">
      <w:pPr>
        <w:pStyle w:val="ParNormal"/>
        <w:spacing w:before="0"/>
        <w:ind w:left="2268" w:firstLine="0"/>
        <w:contextualSpacing/>
        <w:rPr>
          <w:lang w:eastAsia="pt-BR"/>
        </w:rPr>
      </w:pPr>
      <w:r w:rsidRPr="00987EBD">
        <w:rPr>
          <w:lang w:eastAsia="pt-BR"/>
        </w:rPr>
        <w:t>3. comprovação da efetiva utilização do imóvel nos termos exigíveis pela CODEGO;</w:t>
      </w:r>
    </w:p>
    <w:p w14:paraId="0283647A" w14:textId="77777777" w:rsidR="00E615D7" w:rsidRPr="00987EBD" w:rsidRDefault="00E615D7" w:rsidP="00093ED0">
      <w:pPr>
        <w:pStyle w:val="ParNormal"/>
        <w:spacing w:before="0"/>
        <w:ind w:left="2268" w:firstLine="0"/>
        <w:contextualSpacing/>
        <w:rPr>
          <w:lang w:eastAsia="pt-BR"/>
        </w:rPr>
      </w:pPr>
      <w:r w:rsidRPr="00987EBD">
        <w:rPr>
          <w:lang w:eastAsia="pt-BR"/>
        </w:rPr>
        <w:t>4. em caso de aquisição de áreas ou empreendimentos que contenham benfeitorias existentes, diretamente da CODEGO, o valor do crédito fica limitado ao valor do terreno, conforme tabela oficial aprovada pelo Conselho de Administração da Companhia, descontado o incentivo concedido nos termos do art. 3º, inciso I, da Lei nº 19.064, de 14 de outubro de 2015;</w:t>
      </w:r>
    </w:p>
    <w:p w14:paraId="05B24935" w14:textId="77777777" w:rsidR="00E615D7" w:rsidRPr="00987EBD" w:rsidRDefault="00E615D7" w:rsidP="00093ED0">
      <w:pPr>
        <w:pStyle w:val="ParNormal"/>
        <w:spacing w:before="0"/>
        <w:ind w:left="2268" w:firstLine="0"/>
        <w:contextualSpacing/>
        <w:rPr>
          <w:lang w:eastAsia="pt-BR"/>
        </w:rPr>
      </w:pPr>
      <w:r w:rsidRPr="00987EBD">
        <w:rPr>
          <w:lang w:eastAsia="pt-BR"/>
        </w:rPr>
        <w:t>5. para apropriação do crédito outorgado o contribuinte deve celebrar termo de acordo de regime especial com a Secretaria de Estado da Fazenda, no qual devem constar metas de arrecadação de ICMS por empresa, bem como as demais condições para apropriação do crédito outorgado.</w:t>
      </w:r>
    </w:p>
    <w:p w14:paraId="23AF222B" w14:textId="4C58E4F6" w:rsidR="00E615D7" w:rsidRPr="00DD46CE" w:rsidRDefault="00E615D7" w:rsidP="00093ED0">
      <w:pPr>
        <w:pStyle w:val="ParNormal"/>
        <w:spacing w:before="0"/>
        <w:ind w:left="2268" w:firstLine="0"/>
        <w:contextualSpacing/>
        <w:rPr>
          <w:b/>
        </w:rPr>
      </w:pPr>
      <w:bookmarkStart w:id="357" w:name="A12XVII"/>
      <w:r w:rsidRPr="00DD46CE">
        <w:rPr>
          <w:b/>
        </w:rPr>
        <w:t>XVII - para o estabelecimento prestador de serviço de telecomunicação, o equivalente ao percentual de até 1% (um por cento) do valor dos débitos de ICMS relacionados à prestação de serviços de telecomunicação, em substituição ao estorno de débito decorrente de situações em que não tenha ocorrido o fato gerador do ICMS, mediante termo de acordo de regime especial celebrado com a Secretaria da Economia, no qual serão estabelecidos a forma e o procedimento para apropriação do crédito, dispensada a apresentação de outros documentos que não os previstos na legislação tributária para a celebração do regime especial (</w:t>
      </w:r>
      <w:r w:rsidRPr="00DE3EC9">
        <w:rPr>
          <w:b/>
        </w:rPr>
        <w:t>Convênio ICMS 56/12</w:t>
      </w:r>
      <w:r w:rsidRPr="00DD46CE">
        <w:rPr>
          <w:b/>
        </w:rPr>
        <w:t>);</w:t>
      </w:r>
      <w:bookmarkEnd w:id="357"/>
    </w:p>
    <w:p w14:paraId="10BE80AA" w14:textId="72C5BE11" w:rsidR="00E615D7" w:rsidRPr="00DD46CE" w:rsidRDefault="00E615D7" w:rsidP="00093ED0">
      <w:pPr>
        <w:pStyle w:val="ParNormal"/>
        <w:spacing w:before="0"/>
        <w:ind w:left="2268" w:firstLine="0"/>
        <w:rPr>
          <w:b/>
        </w:rPr>
      </w:pPr>
      <w:r w:rsidRPr="00DD46CE">
        <w:rPr>
          <w:b/>
        </w:rPr>
        <w:t>XVIII - para o contribuinte do ICMS que participar, sob a forma de mecenato, de projeto cultural ou artístico aprovado, nos termos da Instrução Normativa nº 05, de 16 de novembro de 2016, pela então Secretaria de Estado da Educação, Cultura e Esporte, observado o seguinte (</w:t>
      </w:r>
      <w:r w:rsidRPr="00DE3EC9">
        <w:rPr>
          <w:b/>
        </w:rPr>
        <w:t>Convênio ICMS nº 19/19</w:t>
      </w:r>
      <w:r w:rsidRPr="00DD46CE">
        <w:rPr>
          <w:b/>
        </w:rPr>
        <w:t xml:space="preserve">): </w:t>
      </w:r>
    </w:p>
    <w:p w14:paraId="775AB50F" w14:textId="77777777" w:rsidR="00E615D7" w:rsidRPr="00987EBD" w:rsidRDefault="00E615D7" w:rsidP="00093ED0">
      <w:pPr>
        <w:pStyle w:val="ParNormal"/>
        <w:spacing w:before="0"/>
        <w:ind w:left="2268" w:firstLine="0"/>
      </w:pPr>
      <w:r w:rsidRPr="00987EBD">
        <w:t xml:space="preserve">a) o projeto deve ser relacionado à preservação do patrimônio cultural, histórico e artístico do Estado de Goiás e à ação, produção e difusão cultural e artística; </w:t>
      </w:r>
    </w:p>
    <w:p w14:paraId="6DE10AF4" w14:textId="77777777" w:rsidR="00E615D7" w:rsidRPr="00987EBD" w:rsidRDefault="00E615D7" w:rsidP="00093ED0">
      <w:pPr>
        <w:pStyle w:val="ParNormal"/>
        <w:spacing w:before="0"/>
        <w:ind w:left="2268" w:firstLine="0"/>
      </w:pPr>
      <w:r w:rsidRPr="00987EBD">
        <w:t xml:space="preserve">b) o recurso deve ser destinado à complementação da captação parcial dos recursos previstos nos projetos de que trata o </w:t>
      </w:r>
      <w:r w:rsidRPr="00987EBD">
        <w:rPr>
          <w:i/>
        </w:rPr>
        <w:t>caput</w:t>
      </w:r>
      <w:r w:rsidRPr="00987EBD">
        <w:t xml:space="preserve"> deste inciso; </w:t>
      </w:r>
    </w:p>
    <w:p w14:paraId="6D6E16AB" w14:textId="77777777" w:rsidR="00E615D7" w:rsidRPr="00987EBD" w:rsidRDefault="00E615D7" w:rsidP="00093ED0">
      <w:pPr>
        <w:pStyle w:val="ParNormal"/>
        <w:spacing w:before="0"/>
        <w:ind w:left="2268" w:firstLine="0"/>
      </w:pPr>
      <w:r w:rsidRPr="00987EBD">
        <w:t xml:space="preserve">c) a fruição do benefício, solicitado por meio de requerimento do interessado, pode ocorrer a partir da data do parecer referido no item 1 da alínea “d” deste inciso, sob condição resolutória da autorização, mediante despacho do Secretário da Economia; </w:t>
      </w:r>
    </w:p>
    <w:p w14:paraId="33688AD8" w14:textId="77777777" w:rsidR="00E615D7" w:rsidRPr="00987EBD" w:rsidRDefault="00E615D7" w:rsidP="00093ED0">
      <w:pPr>
        <w:pStyle w:val="ParNormal"/>
        <w:spacing w:before="0"/>
        <w:ind w:left="2268" w:firstLine="0"/>
      </w:pPr>
      <w:r w:rsidRPr="00987EBD">
        <w:t xml:space="preserve">d) o valor do crédito outorgado deve: </w:t>
      </w:r>
    </w:p>
    <w:p w14:paraId="4CA34986" w14:textId="77777777" w:rsidR="00E615D7" w:rsidRPr="00987EBD" w:rsidRDefault="00E615D7" w:rsidP="00093ED0">
      <w:pPr>
        <w:pStyle w:val="ParNormal"/>
        <w:spacing w:before="0"/>
        <w:ind w:left="2268" w:firstLine="0"/>
      </w:pPr>
      <w:r w:rsidRPr="00987EBD">
        <w:t xml:space="preserve">1. ser fixado em parecer da Superintendência de Controle e Fiscalização, considerando: </w:t>
      </w:r>
    </w:p>
    <w:p w14:paraId="2F487757" w14:textId="77777777" w:rsidR="00E615D7" w:rsidRPr="00987EBD" w:rsidRDefault="00E615D7" w:rsidP="00093ED0">
      <w:pPr>
        <w:pStyle w:val="ParNormal"/>
        <w:spacing w:before="0"/>
        <w:ind w:left="2268" w:firstLine="0"/>
      </w:pPr>
      <w:r w:rsidRPr="00987EBD">
        <w:lastRenderedPageBreak/>
        <w:t xml:space="preserve">1.1. o limite, para o exercício de 2019, de R$1.540.000,00 (um milhão, quinhentos e quarenta mil reais), para o conjunto das empresas que patrocinarem projeto cultural ou artístico; </w:t>
      </w:r>
    </w:p>
    <w:p w14:paraId="0A172065" w14:textId="77777777" w:rsidR="00E615D7" w:rsidRPr="00987EBD" w:rsidRDefault="00E615D7" w:rsidP="00093ED0">
      <w:pPr>
        <w:pStyle w:val="ParNormal"/>
        <w:spacing w:before="0"/>
        <w:ind w:left="2268" w:firstLine="0"/>
      </w:pPr>
      <w:r w:rsidRPr="00987EBD">
        <w:t xml:space="preserve">1.2. o limite individual correspondente ao valor total do recurso monetário comprovadamente aplicado pelo contribuinte no projeto; </w:t>
      </w:r>
    </w:p>
    <w:p w14:paraId="344289B9" w14:textId="77777777" w:rsidR="00E615D7" w:rsidRPr="00987EBD" w:rsidRDefault="00E615D7" w:rsidP="00093ED0">
      <w:pPr>
        <w:pStyle w:val="ParNormal"/>
        <w:spacing w:before="0"/>
        <w:ind w:left="2268" w:firstLine="0"/>
      </w:pPr>
      <w:r w:rsidRPr="00987EBD">
        <w:t xml:space="preserve">2. ser acrescido ao valor do ICMS pago pelo contribuinte, para fins de aferição de cumprimento de meta de arrecadação, tratando-se de contribuinte signatário de termo de acordo de regime especial que condicione a fruição de benefício fiscal ao cumprimento de meta de arrecadação de ICMS; </w:t>
      </w:r>
    </w:p>
    <w:p w14:paraId="77AA5F89" w14:textId="77777777" w:rsidR="00E615D7" w:rsidRPr="00987EBD" w:rsidRDefault="00E615D7" w:rsidP="00093ED0">
      <w:pPr>
        <w:pStyle w:val="ParNormal"/>
        <w:spacing w:before="0"/>
        <w:ind w:left="2268" w:firstLine="0"/>
        <w:contextualSpacing/>
      </w:pPr>
      <w:r w:rsidRPr="00987EBD">
        <w:t xml:space="preserve">e) a Secretaria da Economia, isoladamente ou em conjunto com a Secretaria de Cultura, deve fazer o controle do recurso disponível para concessão do benefício, relativamente ao limite de que trata o item 1 da alínea “d” deste inciso; </w:t>
      </w:r>
    </w:p>
    <w:p w14:paraId="5E200919" w14:textId="77777777" w:rsidR="00E615D7" w:rsidRPr="00987EBD" w:rsidRDefault="00E615D7" w:rsidP="00093ED0">
      <w:pPr>
        <w:pStyle w:val="ParNormal"/>
        <w:spacing w:before="0"/>
        <w:ind w:left="2268" w:firstLine="0"/>
      </w:pPr>
      <w:r w:rsidRPr="00987EBD">
        <w:t xml:space="preserve">f) o crédito outorgado deve ser registrado na Escrituração Fiscal Digital (EFD), com menções ao parecer da Superintendência de Controle e Fiscalização e ao registro do projeto no Programa GOYAZES, no registro: </w:t>
      </w:r>
    </w:p>
    <w:p w14:paraId="0E09E784" w14:textId="77777777" w:rsidR="00E615D7" w:rsidRPr="00987EBD" w:rsidRDefault="00E615D7" w:rsidP="00093ED0">
      <w:pPr>
        <w:pStyle w:val="ParNormal"/>
        <w:spacing w:before="0"/>
        <w:ind w:left="2268" w:firstLine="0"/>
      </w:pPr>
      <w:r w:rsidRPr="00987EBD">
        <w:t xml:space="preserve">1. “1200”, na hipótese de contribuinte beneficiário de programa de incentivo financeiro concedido pelo Estado de Goiás, que pode utilizá-lo para subtração do valor a pagar relativo ao ICMS, excluída a parte incentivada pelo Fomentar ou Produzir; </w:t>
      </w:r>
    </w:p>
    <w:p w14:paraId="2D0367DB" w14:textId="77777777" w:rsidR="00E615D7" w:rsidRPr="00987EBD" w:rsidRDefault="00E615D7" w:rsidP="00093ED0">
      <w:pPr>
        <w:pStyle w:val="ParNormal"/>
        <w:spacing w:before="0"/>
        <w:ind w:left="2268" w:firstLine="0"/>
      </w:pPr>
      <w:r w:rsidRPr="00987EBD">
        <w:t xml:space="preserve">2. “E111”, nas demais hipóteses; </w:t>
      </w:r>
    </w:p>
    <w:p w14:paraId="76B3F92C" w14:textId="77777777" w:rsidR="00E615D7" w:rsidRPr="00987EBD" w:rsidRDefault="00E615D7" w:rsidP="00093ED0">
      <w:pPr>
        <w:pStyle w:val="ParNormal"/>
        <w:spacing w:before="0"/>
        <w:ind w:left="2268" w:firstLine="0"/>
        <w:contextualSpacing/>
      </w:pPr>
      <w:r w:rsidRPr="00987EBD">
        <w:t xml:space="preserve">g) ato do Secretário da Economia pode estabelecer ao contribuinte outras obrigações tributárias acessórias ou regras de controle para a fruição do benefício; </w:t>
      </w:r>
    </w:p>
    <w:p w14:paraId="716B0B29" w14:textId="77777777" w:rsidR="00E615D7" w:rsidRPr="00987EBD" w:rsidRDefault="00E615D7" w:rsidP="00093ED0">
      <w:pPr>
        <w:pStyle w:val="ParNormal"/>
        <w:spacing w:before="0"/>
        <w:ind w:left="2268" w:firstLine="0"/>
        <w:contextualSpacing/>
      </w:pPr>
      <w:r w:rsidRPr="00987EBD">
        <w:t>h) previamente ao depósito do recurso na conta bancária específica vinculada ao projeto, o contribuinte, para fazer jus ao crédito outorgado, deve obter da Secretaria da Economia a manifestação favorável sobre a viabilidade financeira da concessão do benefício;</w:t>
      </w:r>
    </w:p>
    <w:p w14:paraId="148293B6" w14:textId="56635FCD" w:rsidR="00E615D7" w:rsidRPr="00987EBD" w:rsidRDefault="00DE3EC9" w:rsidP="00093ED0">
      <w:pPr>
        <w:pStyle w:val="ParNormal"/>
        <w:spacing w:before="0"/>
        <w:ind w:left="2268" w:firstLine="0"/>
        <w:rPr>
          <w:rFonts w:cs="Arial"/>
          <w:sz w:val="16"/>
        </w:rPr>
      </w:pPr>
      <w:r>
        <w:t>[...].</w:t>
      </w:r>
    </w:p>
    <w:p w14:paraId="288F03FD" w14:textId="77777777" w:rsidR="00874A6A" w:rsidRDefault="00874A6A" w:rsidP="005C60F9">
      <w:pPr>
        <w:spacing w:line="360" w:lineRule="auto"/>
        <w:ind w:firstLine="851"/>
        <w:jc w:val="both"/>
        <w:rPr>
          <w:rFonts w:ascii="Arial" w:hAnsi="Arial" w:cs="Arial"/>
          <w:sz w:val="24"/>
          <w:szCs w:val="24"/>
        </w:rPr>
      </w:pPr>
    </w:p>
    <w:p w14:paraId="1F5C6597" w14:textId="6E03A737" w:rsidR="005F6128" w:rsidRDefault="005F6128" w:rsidP="00E74E0D">
      <w:pPr>
        <w:spacing w:line="360" w:lineRule="auto"/>
        <w:ind w:firstLine="851"/>
        <w:jc w:val="both"/>
        <w:rPr>
          <w:rFonts w:ascii="Arial" w:hAnsi="Arial" w:cs="Arial"/>
          <w:sz w:val="24"/>
          <w:szCs w:val="24"/>
        </w:rPr>
      </w:pPr>
      <w:r w:rsidRPr="005F6128">
        <w:rPr>
          <w:rFonts w:ascii="Arial" w:hAnsi="Arial" w:cs="Arial"/>
          <w:sz w:val="24"/>
          <w:szCs w:val="24"/>
        </w:rPr>
        <w:t>Portanto,</w:t>
      </w:r>
      <w:r>
        <w:rPr>
          <w:rFonts w:ascii="Arial" w:hAnsi="Arial" w:cs="Arial"/>
          <w:sz w:val="24"/>
          <w:szCs w:val="24"/>
        </w:rPr>
        <w:t xml:space="preserve"> conhecida em termos gerais a legislação referente a crédito outorgado no Estado de Goiás, passa-se a se debruçar sobre suas </w:t>
      </w:r>
      <w:r w:rsidRPr="00427BDC">
        <w:rPr>
          <w:rFonts w:ascii="Arial" w:hAnsi="Arial" w:cs="Arial"/>
          <w:sz w:val="24"/>
          <w:szCs w:val="24"/>
        </w:rPr>
        <w:t xml:space="preserve">principais </w:t>
      </w:r>
      <w:r>
        <w:rPr>
          <w:rFonts w:ascii="Arial" w:hAnsi="Arial" w:cs="Arial"/>
          <w:sz w:val="24"/>
          <w:szCs w:val="24"/>
        </w:rPr>
        <w:t>distorções e os valores envolvidos.</w:t>
      </w:r>
    </w:p>
    <w:p w14:paraId="7BBED9C3" w14:textId="77777777" w:rsidR="00FD6BAB" w:rsidRPr="005F6128" w:rsidRDefault="00FD6BAB" w:rsidP="00E74E0D">
      <w:pPr>
        <w:spacing w:line="360" w:lineRule="auto"/>
        <w:ind w:firstLine="851"/>
        <w:jc w:val="both"/>
        <w:rPr>
          <w:rFonts w:ascii="Arial" w:hAnsi="Arial" w:cs="Arial"/>
          <w:sz w:val="24"/>
          <w:szCs w:val="24"/>
        </w:rPr>
      </w:pPr>
    </w:p>
    <w:p w14:paraId="6D3F90D5" w14:textId="4FEC58E7" w:rsidR="00E74E0D" w:rsidRDefault="00E74E0D" w:rsidP="00E74E0D">
      <w:pPr>
        <w:spacing w:line="360" w:lineRule="auto"/>
        <w:ind w:firstLine="851"/>
        <w:jc w:val="both"/>
        <w:rPr>
          <w:rFonts w:ascii="Arial" w:hAnsi="Arial" w:cs="Arial"/>
          <w:b/>
          <w:sz w:val="24"/>
          <w:szCs w:val="24"/>
        </w:rPr>
      </w:pPr>
      <w:r w:rsidRPr="00BD66E1">
        <w:rPr>
          <w:rFonts w:ascii="Arial" w:hAnsi="Arial" w:cs="Arial"/>
          <w:b/>
          <w:sz w:val="24"/>
          <w:szCs w:val="24"/>
        </w:rPr>
        <w:t>7.</w:t>
      </w:r>
      <w:r w:rsidR="003A4F7C">
        <w:rPr>
          <w:rFonts w:ascii="Arial" w:hAnsi="Arial" w:cs="Arial"/>
          <w:b/>
          <w:sz w:val="24"/>
          <w:szCs w:val="24"/>
        </w:rPr>
        <w:t>4</w:t>
      </w:r>
      <w:r>
        <w:rPr>
          <w:rFonts w:ascii="Arial" w:hAnsi="Arial" w:cs="Arial"/>
          <w:b/>
          <w:sz w:val="24"/>
          <w:szCs w:val="24"/>
        </w:rPr>
        <w:t xml:space="preserve"> –</w:t>
      </w:r>
      <w:r w:rsidR="00E91D22">
        <w:rPr>
          <w:rFonts w:ascii="Arial" w:hAnsi="Arial" w:cs="Arial"/>
          <w:b/>
          <w:sz w:val="24"/>
          <w:szCs w:val="24"/>
        </w:rPr>
        <w:t xml:space="preserve"> </w:t>
      </w:r>
      <w:r w:rsidR="00176C49">
        <w:rPr>
          <w:rFonts w:ascii="Arial" w:hAnsi="Arial" w:cs="Arial"/>
          <w:b/>
          <w:sz w:val="24"/>
          <w:szCs w:val="24"/>
        </w:rPr>
        <w:t>EXIGÊNCIA DE CONTRAPARTIDAS</w:t>
      </w:r>
    </w:p>
    <w:p w14:paraId="716CB237" w14:textId="77777777" w:rsidR="00E74E0D" w:rsidRDefault="00E74E0D" w:rsidP="00972DEF">
      <w:pPr>
        <w:spacing w:line="360" w:lineRule="auto"/>
        <w:ind w:firstLine="851"/>
        <w:jc w:val="both"/>
        <w:rPr>
          <w:rFonts w:ascii="Arial" w:hAnsi="Arial" w:cs="Arial"/>
          <w:b/>
          <w:sz w:val="24"/>
          <w:szCs w:val="24"/>
        </w:rPr>
      </w:pPr>
    </w:p>
    <w:p w14:paraId="7CDDD152" w14:textId="1E80B194" w:rsidR="00F70133" w:rsidRPr="00F70133" w:rsidRDefault="00F70133" w:rsidP="00972DEF">
      <w:pPr>
        <w:spacing w:line="360" w:lineRule="auto"/>
        <w:ind w:firstLine="851"/>
        <w:jc w:val="both"/>
        <w:rPr>
          <w:rFonts w:ascii="Arial" w:hAnsi="Arial" w:cs="Arial"/>
          <w:b/>
          <w:sz w:val="24"/>
          <w:szCs w:val="24"/>
          <w:u w:val="single"/>
        </w:rPr>
      </w:pPr>
      <w:r w:rsidRPr="00F70133">
        <w:rPr>
          <w:rFonts w:ascii="Arial" w:hAnsi="Arial" w:cs="Arial"/>
          <w:b/>
          <w:sz w:val="24"/>
          <w:szCs w:val="24"/>
          <w:u w:val="single"/>
        </w:rPr>
        <w:t>7.</w:t>
      </w:r>
      <w:r w:rsidR="003A4F7C">
        <w:rPr>
          <w:rFonts w:ascii="Arial" w:hAnsi="Arial" w:cs="Arial"/>
          <w:b/>
          <w:sz w:val="24"/>
          <w:szCs w:val="24"/>
          <w:u w:val="single"/>
        </w:rPr>
        <w:t>4</w:t>
      </w:r>
      <w:r w:rsidRPr="00F70133">
        <w:rPr>
          <w:rFonts w:ascii="Arial" w:hAnsi="Arial" w:cs="Arial"/>
          <w:b/>
          <w:sz w:val="24"/>
          <w:szCs w:val="24"/>
          <w:u w:val="single"/>
        </w:rPr>
        <w:t>.1</w:t>
      </w:r>
      <w:r w:rsidR="00861545">
        <w:rPr>
          <w:rFonts w:ascii="Arial" w:hAnsi="Arial" w:cs="Arial"/>
          <w:b/>
          <w:sz w:val="24"/>
          <w:szCs w:val="24"/>
          <w:u w:val="single"/>
        </w:rPr>
        <w:t xml:space="preserve"> </w:t>
      </w:r>
      <w:r w:rsidR="00861545" w:rsidRPr="00861545">
        <w:rPr>
          <w:rFonts w:ascii="Arial" w:hAnsi="Arial" w:cs="Arial"/>
          <w:b/>
          <w:sz w:val="24"/>
          <w:szCs w:val="24"/>
          <w:u w:val="single"/>
        </w:rPr>
        <w:t>–</w:t>
      </w:r>
      <w:r w:rsidRPr="00F70133">
        <w:rPr>
          <w:rFonts w:ascii="Arial" w:hAnsi="Arial" w:cs="Arial"/>
          <w:b/>
          <w:sz w:val="24"/>
          <w:szCs w:val="24"/>
          <w:u w:val="single"/>
        </w:rPr>
        <w:t xml:space="preserve"> Considerações gerais</w:t>
      </w:r>
    </w:p>
    <w:p w14:paraId="14599292" w14:textId="77777777" w:rsidR="00F70133" w:rsidRDefault="00F70133" w:rsidP="00972DEF">
      <w:pPr>
        <w:spacing w:line="360" w:lineRule="auto"/>
        <w:ind w:firstLine="851"/>
        <w:jc w:val="both"/>
        <w:rPr>
          <w:rFonts w:ascii="Arial" w:hAnsi="Arial" w:cs="Arial"/>
          <w:sz w:val="24"/>
          <w:szCs w:val="24"/>
        </w:rPr>
      </w:pPr>
    </w:p>
    <w:p w14:paraId="2F0EC979" w14:textId="77777777" w:rsidR="00FC1861" w:rsidRPr="00430357" w:rsidRDefault="00383C47" w:rsidP="00972DEF">
      <w:pPr>
        <w:spacing w:line="360" w:lineRule="auto"/>
        <w:ind w:firstLine="851"/>
        <w:jc w:val="both"/>
        <w:rPr>
          <w:rFonts w:ascii="Arial" w:hAnsi="Arial" w:cs="Arial"/>
          <w:sz w:val="24"/>
          <w:szCs w:val="24"/>
        </w:rPr>
      </w:pPr>
      <w:r>
        <w:rPr>
          <w:rFonts w:ascii="Arial" w:hAnsi="Arial" w:cs="Arial"/>
          <w:sz w:val="24"/>
          <w:szCs w:val="24"/>
        </w:rPr>
        <w:t xml:space="preserve">Ao se analisar detidamente </w:t>
      </w:r>
      <w:r w:rsidR="009C7EDB">
        <w:rPr>
          <w:rFonts w:ascii="Arial" w:hAnsi="Arial" w:cs="Arial"/>
          <w:sz w:val="24"/>
          <w:szCs w:val="24"/>
        </w:rPr>
        <w:t>a</w:t>
      </w:r>
      <w:r>
        <w:rPr>
          <w:rFonts w:ascii="Arial" w:hAnsi="Arial" w:cs="Arial"/>
          <w:sz w:val="24"/>
          <w:szCs w:val="24"/>
        </w:rPr>
        <w:t xml:space="preserve"> </w:t>
      </w:r>
      <w:r w:rsidR="009C7EDB">
        <w:rPr>
          <w:rFonts w:ascii="Arial" w:hAnsi="Arial" w:cs="Arial"/>
          <w:sz w:val="24"/>
          <w:szCs w:val="24"/>
        </w:rPr>
        <w:t>l</w:t>
      </w:r>
      <w:r>
        <w:rPr>
          <w:rFonts w:ascii="Arial" w:hAnsi="Arial" w:cs="Arial"/>
          <w:sz w:val="24"/>
          <w:szCs w:val="24"/>
        </w:rPr>
        <w:t>egislação</w:t>
      </w:r>
      <w:r w:rsidR="009C7EDB">
        <w:rPr>
          <w:rFonts w:ascii="Arial" w:hAnsi="Arial" w:cs="Arial"/>
          <w:sz w:val="24"/>
          <w:szCs w:val="24"/>
        </w:rPr>
        <w:t xml:space="preserve"> mencionada no tópico anterior</w:t>
      </w:r>
      <w:r>
        <w:rPr>
          <w:rFonts w:ascii="Arial" w:hAnsi="Arial" w:cs="Arial"/>
          <w:sz w:val="24"/>
          <w:szCs w:val="24"/>
        </w:rPr>
        <w:t xml:space="preserve">, infere-se que </w:t>
      </w:r>
      <w:r w:rsidR="004518F6" w:rsidRPr="00F70133">
        <w:rPr>
          <w:rFonts w:ascii="Arial" w:hAnsi="Arial" w:cs="Arial"/>
          <w:b/>
          <w:sz w:val="24"/>
          <w:szCs w:val="24"/>
        </w:rPr>
        <w:t xml:space="preserve">a maior </w:t>
      </w:r>
      <w:r w:rsidR="00087E6C" w:rsidRPr="00F70133">
        <w:rPr>
          <w:rFonts w:ascii="Arial" w:hAnsi="Arial" w:cs="Arial"/>
          <w:b/>
          <w:sz w:val="24"/>
          <w:szCs w:val="24"/>
        </w:rPr>
        <w:t xml:space="preserve">parte </w:t>
      </w:r>
      <w:r w:rsidR="001336FD" w:rsidRPr="00F70133">
        <w:rPr>
          <w:rFonts w:ascii="Arial" w:hAnsi="Arial" w:cs="Arial"/>
          <w:b/>
          <w:sz w:val="24"/>
          <w:szCs w:val="24"/>
        </w:rPr>
        <w:t>dessas normas</w:t>
      </w:r>
      <w:r w:rsidR="004518F6" w:rsidRPr="00F70133">
        <w:rPr>
          <w:rFonts w:ascii="Arial" w:hAnsi="Arial" w:cs="Arial"/>
          <w:b/>
          <w:sz w:val="24"/>
          <w:szCs w:val="24"/>
        </w:rPr>
        <w:t xml:space="preserve"> </w:t>
      </w:r>
      <w:r w:rsidR="00972DEF" w:rsidRPr="00F70133">
        <w:rPr>
          <w:rFonts w:ascii="Arial" w:hAnsi="Arial" w:cs="Arial"/>
          <w:b/>
          <w:sz w:val="24"/>
          <w:szCs w:val="24"/>
        </w:rPr>
        <w:t>não</w:t>
      </w:r>
      <w:r w:rsidR="004518F6" w:rsidRPr="00F70133">
        <w:rPr>
          <w:rFonts w:ascii="Arial" w:hAnsi="Arial" w:cs="Arial"/>
          <w:b/>
          <w:sz w:val="24"/>
          <w:szCs w:val="24"/>
        </w:rPr>
        <w:t xml:space="preserve"> traz </w:t>
      </w:r>
      <w:r w:rsidR="00972DEF" w:rsidRPr="00F70133">
        <w:rPr>
          <w:rFonts w:ascii="Arial" w:hAnsi="Arial" w:cs="Arial"/>
          <w:b/>
          <w:sz w:val="24"/>
          <w:szCs w:val="24"/>
        </w:rPr>
        <w:t xml:space="preserve">qualquer exigência de contrapartida </w:t>
      </w:r>
      <w:r w:rsidR="004518F6" w:rsidRPr="00F70133">
        <w:rPr>
          <w:rFonts w:ascii="Arial" w:hAnsi="Arial" w:cs="Arial"/>
          <w:b/>
          <w:sz w:val="24"/>
          <w:szCs w:val="24"/>
        </w:rPr>
        <w:t>às pessoas jurídicas</w:t>
      </w:r>
      <w:r w:rsidR="00B7697D" w:rsidRPr="00F70133">
        <w:rPr>
          <w:rFonts w:ascii="Arial" w:hAnsi="Arial" w:cs="Arial"/>
          <w:b/>
          <w:sz w:val="24"/>
          <w:szCs w:val="24"/>
        </w:rPr>
        <w:t xml:space="preserve"> beneficiária</w:t>
      </w:r>
      <w:r w:rsidR="00972DEF" w:rsidRPr="00F70133">
        <w:rPr>
          <w:rFonts w:ascii="Arial" w:hAnsi="Arial" w:cs="Arial"/>
          <w:b/>
          <w:sz w:val="24"/>
          <w:szCs w:val="24"/>
        </w:rPr>
        <w:t>s,</w:t>
      </w:r>
      <w:r w:rsidR="00972DEF" w:rsidRPr="001336FD">
        <w:rPr>
          <w:rFonts w:ascii="Arial" w:hAnsi="Arial" w:cs="Arial"/>
          <w:b/>
          <w:sz w:val="24"/>
          <w:szCs w:val="24"/>
        </w:rPr>
        <w:t xml:space="preserve"> </w:t>
      </w:r>
      <w:r w:rsidR="002B67C0">
        <w:rPr>
          <w:rFonts w:ascii="Arial" w:hAnsi="Arial" w:cs="Arial"/>
          <w:b/>
          <w:sz w:val="24"/>
          <w:szCs w:val="24"/>
        </w:rPr>
        <w:t xml:space="preserve">que ficam obrigadas somente a </w:t>
      </w:r>
      <w:r w:rsidR="00972DEF" w:rsidRPr="001336FD">
        <w:rPr>
          <w:rFonts w:ascii="Arial" w:hAnsi="Arial" w:cs="Arial"/>
          <w:b/>
          <w:sz w:val="24"/>
          <w:szCs w:val="24"/>
        </w:rPr>
        <w:t>singelos requisitos para</w:t>
      </w:r>
      <w:r w:rsidR="001E734E" w:rsidRPr="001336FD">
        <w:rPr>
          <w:rFonts w:ascii="Arial" w:hAnsi="Arial" w:cs="Arial"/>
          <w:b/>
          <w:sz w:val="24"/>
          <w:szCs w:val="24"/>
        </w:rPr>
        <w:t xml:space="preserve"> sua</w:t>
      </w:r>
      <w:r w:rsidR="00972DEF" w:rsidRPr="001336FD">
        <w:rPr>
          <w:rFonts w:ascii="Arial" w:hAnsi="Arial" w:cs="Arial"/>
          <w:b/>
          <w:sz w:val="24"/>
          <w:szCs w:val="24"/>
        </w:rPr>
        <w:t xml:space="preserve"> fruição</w:t>
      </w:r>
      <w:r w:rsidR="00100E1B" w:rsidRPr="002B67C0">
        <w:rPr>
          <w:rFonts w:ascii="Arial" w:hAnsi="Arial" w:cs="Arial"/>
          <w:sz w:val="24"/>
          <w:szCs w:val="24"/>
        </w:rPr>
        <w:t>, positivados</w:t>
      </w:r>
      <w:r w:rsidR="002B67C0">
        <w:rPr>
          <w:rFonts w:ascii="Arial" w:hAnsi="Arial" w:cs="Arial"/>
          <w:sz w:val="24"/>
          <w:szCs w:val="24"/>
        </w:rPr>
        <w:t xml:space="preserve"> em leis esparsas e consolidado</w:t>
      </w:r>
      <w:r w:rsidR="00100E1B" w:rsidRPr="002B67C0">
        <w:rPr>
          <w:rFonts w:ascii="Arial" w:hAnsi="Arial" w:cs="Arial"/>
          <w:sz w:val="24"/>
          <w:szCs w:val="24"/>
        </w:rPr>
        <w:t xml:space="preserve"> no RCTE/GO</w:t>
      </w:r>
      <w:r w:rsidR="001E734E">
        <w:rPr>
          <w:rFonts w:ascii="Arial" w:hAnsi="Arial" w:cs="Arial"/>
          <w:sz w:val="24"/>
          <w:szCs w:val="24"/>
        </w:rPr>
        <w:t>, a saber</w:t>
      </w:r>
      <w:r w:rsidR="00972DEF">
        <w:rPr>
          <w:rFonts w:ascii="Arial" w:hAnsi="Arial" w:cs="Arial"/>
          <w:sz w:val="24"/>
          <w:szCs w:val="24"/>
        </w:rPr>
        <w:t>:</w:t>
      </w:r>
      <w:r w:rsidR="001E734E">
        <w:rPr>
          <w:rFonts w:ascii="Arial" w:hAnsi="Arial" w:cs="Arial"/>
          <w:sz w:val="24"/>
          <w:szCs w:val="24"/>
        </w:rPr>
        <w:t xml:space="preserve"> </w:t>
      </w:r>
      <w:r w:rsidR="00972DEF" w:rsidRPr="002B67C0">
        <w:rPr>
          <w:rFonts w:ascii="Arial" w:hAnsi="Arial" w:cs="Arial"/>
          <w:sz w:val="24"/>
          <w:szCs w:val="24"/>
          <w:u w:val="single"/>
        </w:rPr>
        <w:t>a) adimplência com o ICMS</w:t>
      </w:r>
      <w:r w:rsidR="00972DEF" w:rsidRPr="00972DEF">
        <w:rPr>
          <w:rFonts w:ascii="Arial" w:hAnsi="Arial" w:cs="Arial"/>
          <w:sz w:val="24"/>
          <w:szCs w:val="24"/>
        </w:rPr>
        <w:t xml:space="preserve"> relativo à obrigação tributária cujo pagamento deva </w:t>
      </w:r>
      <w:r w:rsidR="00972DEF" w:rsidRPr="00972DEF">
        <w:rPr>
          <w:rFonts w:ascii="Arial" w:hAnsi="Arial" w:cs="Arial"/>
          <w:sz w:val="24"/>
          <w:szCs w:val="24"/>
        </w:rPr>
        <w:lastRenderedPageBreak/>
        <w:t>ocorrer no referido mês</w:t>
      </w:r>
      <w:r w:rsidR="00876A7B">
        <w:rPr>
          <w:rFonts w:ascii="Arial" w:hAnsi="Arial" w:cs="Arial"/>
          <w:sz w:val="24"/>
          <w:szCs w:val="24"/>
        </w:rPr>
        <w:t xml:space="preserve"> (art. 1º, § 1º, I)</w:t>
      </w:r>
      <w:r w:rsidR="00972DEF" w:rsidRPr="00972DEF">
        <w:rPr>
          <w:rFonts w:ascii="Arial" w:hAnsi="Arial" w:cs="Arial"/>
          <w:sz w:val="24"/>
          <w:szCs w:val="24"/>
        </w:rPr>
        <w:t>;</w:t>
      </w:r>
      <w:r w:rsidR="001E734E">
        <w:rPr>
          <w:rFonts w:ascii="Arial" w:hAnsi="Arial" w:cs="Arial"/>
          <w:sz w:val="24"/>
          <w:szCs w:val="24"/>
        </w:rPr>
        <w:t xml:space="preserve"> </w:t>
      </w:r>
      <w:r w:rsidR="00972DEF" w:rsidRPr="002B67C0">
        <w:rPr>
          <w:rFonts w:ascii="Arial" w:hAnsi="Arial" w:cs="Arial"/>
          <w:sz w:val="24"/>
          <w:szCs w:val="24"/>
          <w:u w:val="single"/>
        </w:rPr>
        <w:t>b) inexistência de crédito tributário inscrito em dívida ativa,</w:t>
      </w:r>
      <w:r w:rsidR="00972DEF" w:rsidRPr="00972DEF">
        <w:rPr>
          <w:rFonts w:ascii="Arial" w:hAnsi="Arial" w:cs="Arial"/>
          <w:sz w:val="24"/>
          <w:szCs w:val="24"/>
        </w:rPr>
        <w:t xml:space="preserve"> exceto se o referido crédito estiver com sua exigibilidade suspensa nos termos da lei ou tiver sido efetivada a penhora de bens suficientes para</w:t>
      </w:r>
      <w:r w:rsidR="00972DEF">
        <w:rPr>
          <w:rFonts w:ascii="Arial" w:hAnsi="Arial" w:cs="Arial"/>
          <w:sz w:val="24"/>
          <w:szCs w:val="24"/>
        </w:rPr>
        <w:t xml:space="preserve"> o pagamento do total da dívida</w:t>
      </w:r>
      <w:r w:rsidR="00876A7B">
        <w:rPr>
          <w:rFonts w:ascii="Arial" w:hAnsi="Arial" w:cs="Arial"/>
          <w:sz w:val="24"/>
          <w:szCs w:val="24"/>
        </w:rPr>
        <w:t xml:space="preserve"> (art. 1º, § 1º, </w:t>
      </w:r>
      <w:r w:rsidR="00876A7B" w:rsidRPr="00430357">
        <w:rPr>
          <w:rFonts w:ascii="Arial" w:hAnsi="Arial" w:cs="Arial"/>
          <w:sz w:val="24"/>
          <w:szCs w:val="24"/>
        </w:rPr>
        <w:t>II)</w:t>
      </w:r>
      <w:r w:rsidR="00972DEF" w:rsidRPr="00430357">
        <w:rPr>
          <w:rFonts w:ascii="Arial" w:hAnsi="Arial" w:cs="Arial"/>
          <w:sz w:val="24"/>
          <w:szCs w:val="24"/>
        </w:rPr>
        <w:t>.</w:t>
      </w:r>
      <w:r w:rsidR="00FC1861" w:rsidRPr="00430357">
        <w:rPr>
          <w:rFonts w:ascii="Arial" w:hAnsi="Arial" w:cs="Arial"/>
          <w:sz w:val="24"/>
          <w:szCs w:val="24"/>
        </w:rPr>
        <w:t xml:space="preserve"> </w:t>
      </w:r>
      <w:r w:rsidR="001E734E" w:rsidRPr="00430357">
        <w:rPr>
          <w:rFonts w:ascii="Arial" w:hAnsi="Arial" w:cs="Arial"/>
          <w:b/>
          <w:sz w:val="24"/>
          <w:szCs w:val="24"/>
        </w:rPr>
        <w:t>Contudo, em termos de contrapartidas, notadamente de cunho econômico ou social, praticamente não há qualquer exigência nesse tocante</w:t>
      </w:r>
      <w:r w:rsidR="00F82FBB" w:rsidRPr="00430357">
        <w:rPr>
          <w:rFonts w:ascii="Arial" w:hAnsi="Arial" w:cs="Arial"/>
          <w:sz w:val="24"/>
          <w:szCs w:val="24"/>
        </w:rPr>
        <w:t>.</w:t>
      </w:r>
    </w:p>
    <w:p w14:paraId="1B127A9A" w14:textId="5A594DE9" w:rsidR="001E734E" w:rsidRDefault="00F82FBB" w:rsidP="00972DEF">
      <w:pPr>
        <w:spacing w:line="360" w:lineRule="auto"/>
        <w:ind w:firstLine="851"/>
        <w:jc w:val="both"/>
        <w:rPr>
          <w:rFonts w:ascii="Arial" w:hAnsi="Arial" w:cs="Arial"/>
          <w:sz w:val="24"/>
          <w:szCs w:val="24"/>
        </w:rPr>
      </w:pPr>
      <w:r w:rsidRPr="00430357">
        <w:rPr>
          <w:rFonts w:ascii="Arial" w:hAnsi="Arial" w:cs="Arial"/>
          <w:sz w:val="24"/>
          <w:szCs w:val="24"/>
        </w:rPr>
        <w:t>Logo no início desta CPI</w:t>
      </w:r>
      <w:r w:rsidR="00087E6C" w:rsidRPr="00430357">
        <w:rPr>
          <w:rFonts w:ascii="Arial" w:hAnsi="Arial" w:cs="Arial"/>
          <w:sz w:val="24"/>
          <w:szCs w:val="24"/>
        </w:rPr>
        <w:t>,</w:t>
      </w:r>
      <w:r w:rsidRPr="00430357">
        <w:rPr>
          <w:rFonts w:ascii="Arial" w:hAnsi="Arial" w:cs="Arial"/>
          <w:sz w:val="24"/>
          <w:szCs w:val="24"/>
        </w:rPr>
        <w:t xml:space="preserve"> foram requisitadas</w:t>
      </w:r>
      <w:r w:rsidR="00BC4DC9" w:rsidRPr="00430357">
        <w:rPr>
          <w:rFonts w:ascii="Arial" w:hAnsi="Arial" w:cs="Arial"/>
          <w:sz w:val="24"/>
          <w:szCs w:val="24"/>
        </w:rPr>
        <w:t xml:space="preserve"> à Secretaria de Estado da Economia informaç</w:t>
      </w:r>
      <w:r w:rsidRPr="00430357">
        <w:rPr>
          <w:rFonts w:ascii="Arial" w:hAnsi="Arial" w:cs="Arial"/>
          <w:sz w:val="24"/>
          <w:szCs w:val="24"/>
        </w:rPr>
        <w:t>ões</w:t>
      </w:r>
      <w:r w:rsidR="00BC4DC9" w:rsidRPr="00430357">
        <w:rPr>
          <w:rFonts w:ascii="Arial" w:hAnsi="Arial" w:cs="Arial"/>
          <w:sz w:val="24"/>
          <w:szCs w:val="24"/>
        </w:rPr>
        <w:t xml:space="preserve"> acerca das leis</w:t>
      </w:r>
      <w:r w:rsidR="00BC4DC9">
        <w:rPr>
          <w:rFonts w:ascii="Arial" w:hAnsi="Arial" w:cs="Arial"/>
          <w:sz w:val="24"/>
          <w:szCs w:val="24"/>
        </w:rPr>
        <w:t xml:space="preserve"> e atos normativos que preveem alguma espécie de contrapartida</w:t>
      </w:r>
      <w:r>
        <w:rPr>
          <w:rFonts w:ascii="Arial" w:hAnsi="Arial" w:cs="Arial"/>
          <w:sz w:val="24"/>
          <w:szCs w:val="24"/>
        </w:rPr>
        <w:t xml:space="preserve"> no âmbito dos créditos outorgados</w:t>
      </w:r>
      <w:r w:rsidR="00BC4DC9">
        <w:rPr>
          <w:rFonts w:ascii="Arial" w:hAnsi="Arial" w:cs="Arial"/>
          <w:sz w:val="24"/>
          <w:szCs w:val="24"/>
        </w:rPr>
        <w:t xml:space="preserve">, </w:t>
      </w:r>
      <w:r w:rsidR="00F41FF1">
        <w:rPr>
          <w:rFonts w:ascii="Arial" w:hAnsi="Arial" w:cs="Arial"/>
          <w:sz w:val="24"/>
          <w:szCs w:val="24"/>
        </w:rPr>
        <w:t xml:space="preserve">bem como o percentual que representam em relação ao valor total </w:t>
      </w:r>
      <w:r>
        <w:rPr>
          <w:rFonts w:ascii="Arial" w:hAnsi="Arial" w:cs="Arial"/>
          <w:sz w:val="24"/>
          <w:szCs w:val="24"/>
        </w:rPr>
        <w:t>do benefício</w:t>
      </w:r>
      <w:r w:rsidR="001336FD">
        <w:rPr>
          <w:rFonts w:ascii="Arial" w:hAnsi="Arial" w:cs="Arial"/>
          <w:sz w:val="24"/>
          <w:szCs w:val="24"/>
        </w:rPr>
        <w:t xml:space="preserve"> (Ofício nº 02/2019, item 5)</w:t>
      </w:r>
      <w:r w:rsidR="00F41FF1">
        <w:rPr>
          <w:rFonts w:ascii="Arial" w:hAnsi="Arial" w:cs="Arial"/>
          <w:sz w:val="24"/>
          <w:szCs w:val="24"/>
        </w:rPr>
        <w:t>.</w:t>
      </w:r>
    </w:p>
    <w:p w14:paraId="6AA1F8FB" w14:textId="319811AB" w:rsidR="002D609D" w:rsidRDefault="0007005D" w:rsidP="005C60F9">
      <w:pPr>
        <w:spacing w:line="360" w:lineRule="auto"/>
        <w:ind w:firstLine="851"/>
        <w:jc w:val="both"/>
        <w:rPr>
          <w:rFonts w:ascii="Arial" w:hAnsi="Arial" w:cs="Arial"/>
          <w:sz w:val="24"/>
          <w:szCs w:val="24"/>
        </w:rPr>
        <w:sectPr w:rsidR="002D609D" w:rsidSect="00CA1C22">
          <w:pgSz w:w="11900" w:h="16840"/>
          <w:pgMar w:top="2268" w:right="851" w:bottom="1134" w:left="1701" w:header="567" w:footer="284" w:gutter="0"/>
          <w:cols w:space="708"/>
          <w:docGrid w:linePitch="360"/>
        </w:sectPr>
      </w:pPr>
      <w:r>
        <w:rPr>
          <w:rFonts w:ascii="Arial" w:hAnsi="Arial" w:cs="Arial"/>
          <w:sz w:val="24"/>
          <w:szCs w:val="24"/>
        </w:rPr>
        <w:t xml:space="preserve">Em relação a esse ponto, </w:t>
      </w:r>
      <w:r w:rsidRPr="00AD68D3">
        <w:rPr>
          <w:rFonts w:ascii="Arial" w:hAnsi="Arial" w:cs="Arial"/>
          <w:b/>
          <w:sz w:val="24"/>
          <w:szCs w:val="24"/>
        </w:rPr>
        <w:t>a Secretaria respondeu na forma de 4 (quatro) tabelas, as quais contêm centenas de páginas</w:t>
      </w:r>
      <w:r w:rsidR="00087E6C" w:rsidRPr="00087E6C">
        <w:rPr>
          <w:rFonts w:ascii="Arial" w:hAnsi="Arial" w:cs="Arial"/>
          <w:b/>
          <w:sz w:val="24"/>
          <w:szCs w:val="24"/>
        </w:rPr>
        <w:t xml:space="preserve"> </w:t>
      </w:r>
      <w:r w:rsidR="00087E6C" w:rsidRPr="00AD68D3">
        <w:rPr>
          <w:rFonts w:ascii="Arial" w:hAnsi="Arial" w:cs="Arial"/>
          <w:b/>
          <w:sz w:val="24"/>
          <w:szCs w:val="24"/>
        </w:rPr>
        <w:t>ao todo</w:t>
      </w:r>
      <w:r w:rsidR="008B5FAC">
        <w:rPr>
          <w:rFonts w:ascii="Arial" w:hAnsi="Arial" w:cs="Arial"/>
          <w:b/>
          <w:sz w:val="24"/>
          <w:szCs w:val="24"/>
        </w:rPr>
        <w:t xml:space="preserve">, com base na EFD das </w:t>
      </w:r>
      <w:r w:rsidR="00EF7A4C" w:rsidRPr="00AD68D3">
        <w:rPr>
          <w:rFonts w:ascii="Arial" w:hAnsi="Arial" w:cs="Arial"/>
          <w:b/>
          <w:sz w:val="24"/>
          <w:szCs w:val="24"/>
        </w:rPr>
        <w:t>milhares</w:t>
      </w:r>
      <w:r w:rsidR="00087E6C">
        <w:rPr>
          <w:rFonts w:ascii="Arial" w:hAnsi="Arial" w:cs="Arial"/>
          <w:b/>
          <w:sz w:val="24"/>
          <w:szCs w:val="24"/>
        </w:rPr>
        <w:t xml:space="preserve"> de empresas beneficiárias</w:t>
      </w:r>
      <w:r w:rsidRPr="00AD68D3">
        <w:rPr>
          <w:rFonts w:ascii="Arial" w:hAnsi="Arial" w:cs="Arial"/>
          <w:b/>
          <w:sz w:val="24"/>
          <w:szCs w:val="24"/>
        </w:rPr>
        <w:t xml:space="preserve"> (Ofício nº 2.500/2019</w:t>
      </w:r>
      <w:r w:rsidR="00F0318D">
        <w:rPr>
          <w:rFonts w:ascii="Arial" w:hAnsi="Arial" w:cs="Arial"/>
          <w:b/>
          <w:sz w:val="24"/>
          <w:szCs w:val="24"/>
        </w:rPr>
        <w:t>-Economia</w:t>
      </w:r>
      <w:r w:rsidR="00AD68D3">
        <w:rPr>
          <w:rFonts w:ascii="Arial" w:hAnsi="Arial" w:cs="Arial"/>
          <w:b/>
          <w:sz w:val="24"/>
          <w:szCs w:val="24"/>
        </w:rPr>
        <w:t>, p. 128/495</w:t>
      </w:r>
      <w:r w:rsidRPr="00AD68D3">
        <w:rPr>
          <w:rFonts w:ascii="Arial" w:hAnsi="Arial" w:cs="Arial"/>
          <w:b/>
          <w:sz w:val="24"/>
          <w:szCs w:val="24"/>
        </w:rPr>
        <w:t>)</w:t>
      </w:r>
      <w:r w:rsidR="007C064C">
        <w:rPr>
          <w:rFonts w:ascii="Arial" w:hAnsi="Arial" w:cs="Arial"/>
          <w:sz w:val="24"/>
          <w:szCs w:val="24"/>
        </w:rPr>
        <w:t>, a saber</w:t>
      </w:r>
      <w:r>
        <w:rPr>
          <w:rFonts w:ascii="Arial" w:hAnsi="Arial" w:cs="Arial"/>
          <w:sz w:val="24"/>
          <w:szCs w:val="24"/>
        </w:rPr>
        <w:t xml:space="preserve">: a) créditos outorgados escriturados como </w:t>
      </w:r>
      <w:r w:rsidRPr="00AD68D3">
        <w:rPr>
          <w:rFonts w:ascii="Arial" w:hAnsi="Arial" w:cs="Arial"/>
          <w:sz w:val="24"/>
          <w:szCs w:val="24"/>
          <w:u w:val="single"/>
        </w:rPr>
        <w:t>outros créditos (</w:t>
      </w:r>
      <w:r w:rsidR="00942198" w:rsidRPr="00AD68D3">
        <w:rPr>
          <w:rFonts w:ascii="Arial" w:hAnsi="Arial" w:cs="Arial"/>
          <w:sz w:val="24"/>
          <w:szCs w:val="24"/>
          <w:u w:val="single"/>
        </w:rPr>
        <w:t>p. 128/442</w:t>
      </w:r>
      <w:r w:rsidRPr="00AD68D3">
        <w:rPr>
          <w:rFonts w:ascii="Arial" w:hAnsi="Arial" w:cs="Arial"/>
          <w:sz w:val="24"/>
          <w:szCs w:val="24"/>
          <w:u w:val="single"/>
        </w:rPr>
        <w:t>)</w:t>
      </w:r>
      <w:r w:rsidR="00942198">
        <w:rPr>
          <w:rFonts w:ascii="Arial" w:hAnsi="Arial" w:cs="Arial"/>
          <w:sz w:val="24"/>
          <w:szCs w:val="24"/>
        </w:rPr>
        <w:t xml:space="preserve">; b) créditos outorgados escriturados como </w:t>
      </w:r>
      <w:r w:rsidR="00942198" w:rsidRPr="00AD68D3">
        <w:rPr>
          <w:rFonts w:ascii="Arial" w:hAnsi="Arial" w:cs="Arial"/>
          <w:sz w:val="24"/>
          <w:szCs w:val="24"/>
          <w:u w:val="single"/>
        </w:rPr>
        <w:t>deduções (p. 443/473)</w:t>
      </w:r>
      <w:r w:rsidR="00942198">
        <w:rPr>
          <w:rFonts w:ascii="Arial" w:hAnsi="Arial" w:cs="Arial"/>
          <w:sz w:val="24"/>
          <w:szCs w:val="24"/>
        </w:rPr>
        <w:t xml:space="preserve">; c) </w:t>
      </w:r>
      <w:r w:rsidR="00EF7A4C" w:rsidRPr="00EF7A4C">
        <w:rPr>
          <w:rFonts w:ascii="Arial" w:hAnsi="Arial" w:cs="Arial"/>
          <w:sz w:val="24"/>
          <w:szCs w:val="24"/>
        </w:rPr>
        <w:t>crédito</w:t>
      </w:r>
      <w:r w:rsidR="00EF7A4C">
        <w:rPr>
          <w:rFonts w:ascii="Arial" w:hAnsi="Arial" w:cs="Arial"/>
          <w:sz w:val="24"/>
          <w:szCs w:val="24"/>
        </w:rPr>
        <w:t>s</w:t>
      </w:r>
      <w:r w:rsidR="00EF7A4C" w:rsidRPr="00EF7A4C">
        <w:rPr>
          <w:rFonts w:ascii="Arial" w:hAnsi="Arial" w:cs="Arial"/>
          <w:sz w:val="24"/>
          <w:szCs w:val="24"/>
        </w:rPr>
        <w:t xml:space="preserve"> outorgado</w:t>
      </w:r>
      <w:r w:rsidR="00EF7A4C">
        <w:rPr>
          <w:rFonts w:ascii="Arial" w:hAnsi="Arial" w:cs="Arial"/>
          <w:sz w:val="24"/>
          <w:szCs w:val="24"/>
        </w:rPr>
        <w:t xml:space="preserve">s </w:t>
      </w:r>
      <w:r w:rsidR="00EF7A4C" w:rsidRPr="00AD68D3">
        <w:rPr>
          <w:rFonts w:ascii="Arial" w:hAnsi="Arial" w:cs="Arial"/>
          <w:sz w:val="24"/>
          <w:szCs w:val="24"/>
          <w:u w:val="single"/>
        </w:rPr>
        <w:t>acumuláveis (</w:t>
      </w:r>
      <w:r w:rsidR="00AD68D3" w:rsidRPr="00AD68D3">
        <w:rPr>
          <w:rFonts w:ascii="Arial" w:hAnsi="Arial" w:cs="Arial"/>
          <w:sz w:val="24"/>
          <w:szCs w:val="24"/>
          <w:u w:val="single"/>
        </w:rPr>
        <w:t>p. 474/494</w:t>
      </w:r>
      <w:r w:rsidR="00EF7A4C" w:rsidRPr="00AD68D3">
        <w:rPr>
          <w:rFonts w:ascii="Arial" w:hAnsi="Arial" w:cs="Arial"/>
          <w:sz w:val="24"/>
          <w:szCs w:val="24"/>
          <w:u w:val="single"/>
        </w:rPr>
        <w:t>)</w:t>
      </w:r>
      <w:r w:rsidR="00AD68D3">
        <w:rPr>
          <w:rFonts w:ascii="Arial" w:hAnsi="Arial" w:cs="Arial"/>
          <w:sz w:val="24"/>
          <w:szCs w:val="24"/>
        </w:rPr>
        <w:t xml:space="preserve">; e d) créditos outorgados </w:t>
      </w:r>
      <w:r w:rsidR="00FF7725">
        <w:rPr>
          <w:rFonts w:ascii="Arial" w:hAnsi="Arial" w:cs="Arial"/>
          <w:sz w:val="24"/>
          <w:szCs w:val="24"/>
        </w:rPr>
        <w:t xml:space="preserve">– </w:t>
      </w:r>
      <w:r w:rsidR="00AD68D3" w:rsidRPr="00FF7725">
        <w:rPr>
          <w:rFonts w:ascii="Arial" w:hAnsi="Arial" w:cs="Arial"/>
          <w:sz w:val="24"/>
          <w:szCs w:val="24"/>
          <w:u w:val="single"/>
        </w:rPr>
        <w:t xml:space="preserve">contrapartidas (p. </w:t>
      </w:r>
      <w:r w:rsidR="00FF7725" w:rsidRPr="00FF7725">
        <w:rPr>
          <w:rFonts w:ascii="Arial" w:hAnsi="Arial" w:cs="Arial"/>
          <w:sz w:val="24"/>
          <w:szCs w:val="24"/>
          <w:u w:val="single"/>
        </w:rPr>
        <w:t>495</w:t>
      </w:r>
      <w:r w:rsidR="00AD68D3" w:rsidRPr="00FF7725">
        <w:rPr>
          <w:rFonts w:ascii="Arial" w:hAnsi="Arial" w:cs="Arial"/>
          <w:sz w:val="24"/>
          <w:szCs w:val="24"/>
          <w:u w:val="single"/>
        </w:rPr>
        <w:t>)</w:t>
      </w:r>
      <w:r w:rsidR="00B67821">
        <w:rPr>
          <w:rFonts w:ascii="Arial" w:hAnsi="Arial" w:cs="Arial"/>
          <w:sz w:val="24"/>
          <w:szCs w:val="24"/>
        </w:rPr>
        <w:t xml:space="preserve">. </w:t>
      </w:r>
      <w:r w:rsidR="001049FB">
        <w:rPr>
          <w:rFonts w:ascii="Arial" w:hAnsi="Arial" w:cs="Arial"/>
          <w:sz w:val="24"/>
          <w:szCs w:val="24"/>
        </w:rPr>
        <w:t xml:space="preserve"> Sintetizam-se na tabela abaixo os números correspondentes relativos aos per</w:t>
      </w:r>
      <w:r w:rsidR="005159AD">
        <w:rPr>
          <w:rFonts w:ascii="Arial" w:hAnsi="Arial" w:cs="Arial"/>
          <w:sz w:val="24"/>
          <w:szCs w:val="24"/>
        </w:rPr>
        <w:t xml:space="preserve">íodo 2014 a </w:t>
      </w:r>
      <w:r w:rsidR="001049FB">
        <w:rPr>
          <w:rFonts w:ascii="Arial" w:hAnsi="Arial" w:cs="Arial"/>
          <w:sz w:val="24"/>
          <w:szCs w:val="24"/>
        </w:rPr>
        <w:t>2018:</w:t>
      </w:r>
    </w:p>
    <w:p w14:paraId="263530A9" w14:textId="0F7772CE" w:rsidR="002D609D" w:rsidRDefault="002D609D" w:rsidP="005C60F9">
      <w:pPr>
        <w:spacing w:line="360" w:lineRule="auto"/>
        <w:ind w:firstLine="851"/>
        <w:jc w:val="both"/>
        <w:rPr>
          <w:rFonts w:ascii="Arial" w:hAnsi="Arial" w:cs="Arial"/>
          <w:sz w:val="24"/>
          <w:szCs w:val="24"/>
        </w:rPr>
      </w:pPr>
    </w:p>
    <w:p w14:paraId="61701DD3" w14:textId="194ED2DC" w:rsidR="002D609D" w:rsidRDefault="002D609D" w:rsidP="005C60F9">
      <w:pPr>
        <w:spacing w:line="360" w:lineRule="auto"/>
        <w:ind w:firstLine="851"/>
        <w:jc w:val="both"/>
        <w:rPr>
          <w:rFonts w:ascii="Arial" w:hAnsi="Arial" w:cs="Arial"/>
          <w:sz w:val="24"/>
          <w:szCs w:val="24"/>
        </w:rPr>
      </w:pPr>
    </w:p>
    <w:tbl>
      <w:tblPr>
        <w:tblStyle w:val="Tabelacomgrade"/>
        <w:tblW w:w="14170" w:type="dxa"/>
        <w:tblLook w:val="04A0" w:firstRow="1" w:lastRow="0" w:firstColumn="1" w:lastColumn="0" w:noHBand="0" w:noVBand="1"/>
      </w:tblPr>
      <w:tblGrid>
        <w:gridCol w:w="1016"/>
        <w:gridCol w:w="2218"/>
        <w:gridCol w:w="2085"/>
        <w:gridCol w:w="2177"/>
        <w:gridCol w:w="2523"/>
        <w:gridCol w:w="2843"/>
        <w:gridCol w:w="1308"/>
      </w:tblGrid>
      <w:tr w:rsidR="004D046D" w14:paraId="21AB5D2C" w14:textId="5545371E" w:rsidTr="00735754">
        <w:tc>
          <w:tcPr>
            <w:tcW w:w="12862" w:type="dxa"/>
            <w:gridSpan w:val="6"/>
            <w:shd w:val="clear" w:color="auto" w:fill="D9D9D9" w:themeFill="background1" w:themeFillShade="D9"/>
          </w:tcPr>
          <w:p w14:paraId="43760505" w14:textId="010981CA" w:rsidR="004D046D" w:rsidRDefault="004D046D" w:rsidP="002D609D">
            <w:pPr>
              <w:jc w:val="center"/>
            </w:pPr>
            <w:r w:rsidRPr="002D609D">
              <w:rPr>
                <w:rFonts w:ascii="Arial" w:hAnsi="Arial" w:cs="Arial"/>
                <w:b/>
                <w:sz w:val="36"/>
                <w:szCs w:val="36"/>
              </w:rPr>
              <w:t>CRÉDITOS OUTORGADOS</w:t>
            </w:r>
          </w:p>
        </w:tc>
        <w:tc>
          <w:tcPr>
            <w:tcW w:w="1308" w:type="dxa"/>
            <w:shd w:val="clear" w:color="auto" w:fill="D9D9D9" w:themeFill="background1" w:themeFillShade="D9"/>
          </w:tcPr>
          <w:p w14:paraId="5B605A41" w14:textId="77777777" w:rsidR="004D046D" w:rsidRPr="002D609D" w:rsidRDefault="004D046D" w:rsidP="002D609D">
            <w:pPr>
              <w:jc w:val="center"/>
              <w:rPr>
                <w:rFonts w:ascii="Arial" w:hAnsi="Arial" w:cs="Arial"/>
                <w:b/>
                <w:sz w:val="36"/>
                <w:szCs w:val="36"/>
              </w:rPr>
            </w:pPr>
          </w:p>
        </w:tc>
      </w:tr>
      <w:tr w:rsidR="00735754" w14:paraId="77E42F07" w14:textId="1A736015" w:rsidTr="00735754">
        <w:tc>
          <w:tcPr>
            <w:tcW w:w="1016" w:type="dxa"/>
          </w:tcPr>
          <w:p w14:paraId="462217FB" w14:textId="77777777" w:rsidR="00735754" w:rsidRPr="0054741F" w:rsidRDefault="00735754" w:rsidP="00735754">
            <w:pPr>
              <w:spacing w:line="360" w:lineRule="auto"/>
              <w:jc w:val="center"/>
              <w:rPr>
                <w:rFonts w:ascii="Arial" w:hAnsi="Arial" w:cs="Arial"/>
                <w:b/>
                <w:sz w:val="24"/>
                <w:szCs w:val="24"/>
              </w:rPr>
            </w:pPr>
          </w:p>
        </w:tc>
        <w:tc>
          <w:tcPr>
            <w:tcW w:w="2218" w:type="dxa"/>
          </w:tcPr>
          <w:p w14:paraId="24FEDE76" w14:textId="77777777" w:rsidR="00735754" w:rsidRPr="007477B8" w:rsidRDefault="00735754" w:rsidP="00735754">
            <w:pPr>
              <w:spacing w:line="360" w:lineRule="auto"/>
              <w:jc w:val="center"/>
              <w:rPr>
                <w:rFonts w:ascii="Arial" w:hAnsi="Arial" w:cs="Arial"/>
                <w:b/>
                <w:sz w:val="24"/>
                <w:szCs w:val="24"/>
              </w:rPr>
            </w:pPr>
            <w:r w:rsidRPr="007477B8">
              <w:rPr>
                <w:rFonts w:ascii="Arial" w:hAnsi="Arial" w:cs="Arial"/>
                <w:b/>
                <w:sz w:val="24"/>
                <w:szCs w:val="24"/>
              </w:rPr>
              <w:t>OUTROS CRÉDITOS</w:t>
            </w:r>
            <w:r>
              <w:rPr>
                <w:rFonts w:ascii="Arial" w:hAnsi="Arial" w:cs="Arial"/>
                <w:b/>
                <w:sz w:val="24"/>
                <w:szCs w:val="24"/>
              </w:rPr>
              <w:t>*</w:t>
            </w:r>
          </w:p>
        </w:tc>
        <w:tc>
          <w:tcPr>
            <w:tcW w:w="2085" w:type="dxa"/>
          </w:tcPr>
          <w:p w14:paraId="60A92C62" w14:textId="77777777" w:rsidR="00735754" w:rsidRPr="007477B8" w:rsidRDefault="00735754" w:rsidP="00735754">
            <w:pPr>
              <w:spacing w:line="360" w:lineRule="auto"/>
              <w:jc w:val="center"/>
              <w:rPr>
                <w:rFonts w:ascii="Arial" w:hAnsi="Arial" w:cs="Arial"/>
                <w:b/>
                <w:sz w:val="24"/>
                <w:szCs w:val="24"/>
              </w:rPr>
            </w:pPr>
            <w:r w:rsidRPr="003F053D">
              <w:rPr>
                <w:rFonts w:ascii="Arial" w:hAnsi="Arial" w:cs="Arial"/>
                <w:b/>
                <w:sz w:val="24"/>
                <w:szCs w:val="24"/>
              </w:rPr>
              <w:t>DEDUÇÕES</w:t>
            </w:r>
            <w:r>
              <w:rPr>
                <w:rFonts w:ascii="Arial" w:hAnsi="Arial" w:cs="Arial"/>
                <w:b/>
                <w:sz w:val="24"/>
                <w:szCs w:val="24"/>
              </w:rPr>
              <w:t>**</w:t>
            </w:r>
          </w:p>
        </w:tc>
        <w:tc>
          <w:tcPr>
            <w:tcW w:w="2177" w:type="dxa"/>
          </w:tcPr>
          <w:p w14:paraId="55188B6F" w14:textId="77777777" w:rsidR="00735754" w:rsidRPr="007477B8" w:rsidRDefault="00735754" w:rsidP="00735754">
            <w:pPr>
              <w:spacing w:line="360" w:lineRule="auto"/>
              <w:jc w:val="center"/>
              <w:rPr>
                <w:rFonts w:ascii="Arial" w:hAnsi="Arial" w:cs="Arial"/>
                <w:b/>
                <w:sz w:val="24"/>
                <w:szCs w:val="24"/>
              </w:rPr>
            </w:pPr>
            <w:r>
              <w:rPr>
                <w:rFonts w:ascii="Arial" w:hAnsi="Arial" w:cs="Arial"/>
                <w:b/>
                <w:sz w:val="24"/>
                <w:szCs w:val="24"/>
              </w:rPr>
              <w:t>ACUMULÁVEL***</w:t>
            </w:r>
          </w:p>
        </w:tc>
        <w:tc>
          <w:tcPr>
            <w:tcW w:w="2523" w:type="dxa"/>
          </w:tcPr>
          <w:p w14:paraId="29AA0761" w14:textId="02CCDCFD" w:rsidR="00735754" w:rsidRPr="007477B8" w:rsidRDefault="00735754" w:rsidP="00735754">
            <w:pPr>
              <w:spacing w:line="360" w:lineRule="auto"/>
              <w:jc w:val="center"/>
              <w:rPr>
                <w:rFonts w:ascii="Arial" w:hAnsi="Arial" w:cs="Arial"/>
                <w:b/>
                <w:sz w:val="24"/>
                <w:szCs w:val="24"/>
              </w:rPr>
            </w:pPr>
            <w:r w:rsidRPr="007477B8">
              <w:rPr>
                <w:rFonts w:ascii="Arial" w:hAnsi="Arial" w:cs="Arial"/>
                <w:b/>
                <w:sz w:val="24"/>
                <w:szCs w:val="24"/>
              </w:rPr>
              <w:t>TOTAL</w:t>
            </w:r>
            <w:r>
              <w:rPr>
                <w:rFonts w:ascii="Arial" w:hAnsi="Arial" w:cs="Arial"/>
                <w:b/>
                <w:sz w:val="24"/>
                <w:szCs w:val="24"/>
              </w:rPr>
              <w:t xml:space="preserve"> (R$)</w:t>
            </w:r>
          </w:p>
        </w:tc>
        <w:tc>
          <w:tcPr>
            <w:tcW w:w="2843" w:type="dxa"/>
          </w:tcPr>
          <w:p w14:paraId="7AE9D6D9" w14:textId="67AB3D21" w:rsidR="00735754" w:rsidRDefault="00735754" w:rsidP="00735754">
            <w:pPr>
              <w:jc w:val="center"/>
            </w:pPr>
            <w:r w:rsidRPr="007477B8">
              <w:rPr>
                <w:rFonts w:ascii="Arial" w:hAnsi="Arial" w:cs="Arial"/>
                <w:b/>
                <w:sz w:val="24"/>
                <w:szCs w:val="24"/>
              </w:rPr>
              <w:t>CONTRAPARTIDAS</w:t>
            </w:r>
            <w:r>
              <w:rPr>
                <w:rFonts w:ascii="Arial" w:hAnsi="Arial" w:cs="Arial"/>
                <w:b/>
                <w:sz w:val="24"/>
                <w:szCs w:val="24"/>
              </w:rPr>
              <w:t>****</w:t>
            </w:r>
          </w:p>
        </w:tc>
        <w:tc>
          <w:tcPr>
            <w:tcW w:w="1308" w:type="dxa"/>
          </w:tcPr>
          <w:p w14:paraId="5739D1C1" w14:textId="0E87FBA8" w:rsidR="00735754" w:rsidRPr="007477B8" w:rsidRDefault="00735754" w:rsidP="00735754">
            <w:pPr>
              <w:jc w:val="center"/>
              <w:rPr>
                <w:rFonts w:ascii="Arial" w:hAnsi="Arial" w:cs="Arial"/>
                <w:b/>
                <w:sz w:val="24"/>
                <w:szCs w:val="24"/>
              </w:rPr>
            </w:pPr>
            <w:r>
              <w:rPr>
                <w:rFonts w:ascii="Arial" w:hAnsi="Arial" w:cs="Arial"/>
                <w:b/>
                <w:sz w:val="24"/>
                <w:szCs w:val="24"/>
              </w:rPr>
              <w:t>TOTAL (%)</w:t>
            </w:r>
          </w:p>
        </w:tc>
      </w:tr>
      <w:tr w:rsidR="00982FC4" w14:paraId="14E65C96" w14:textId="6030C7EE" w:rsidTr="00735754">
        <w:tc>
          <w:tcPr>
            <w:tcW w:w="1016" w:type="dxa"/>
          </w:tcPr>
          <w:p w14:paraId="07ED047A" w14:textId="77777777" w:rsidR="00982FC4" w:rsidRPr="0054741F" w:rsidRDefault="00982FC4" w:rsidP="00982FC4">
            <w:pPr>
              <w:spacing w:line="360" w:lineRule="auto"/>
              <w:jc w:val="center"/>
              <w:rPr>
                <w:rFonts w:ascii="Arial" w:hAnsi="Arial" w:cs="Arial"/>
                <w:b/>
                <w:sz w:val="24"/>
                <w:szCs w:val="24"/>
              </w:rPr>
            </w:pPr>
            <w:r w:rsidRPr="0054741F">
              <w:rPr>
                <w:rFonts w:ascii="Arial" w:hAnsi="Arial" w:cs="Arial"/>
                <w:b/>
                <w:sz w:val="24"/>
                <w:szCs w:val="24"/>
              </w:rPr>
              <w:t>2014</w:t>
            </w:r>
          </w:p>
        </w:tc>
        <w:tc>
          <w:tcPr>
            <w:tcW w:w="2218" w:type="dxa"/>
          </w:tcPr>
          <w:p w14:paraId="2AD16336" w14:textId="77777777" w:rsidR="00982FC4" w:rsidRDefault="00982FC4" w:rsidP="00982FC4">
            <w:pPr>
              <w:spacing w:line="360" w:lineRule="auto"/>
              <w:jc w:val="center"/>
              <w:rPr>
                <w:rFonts w:ascii="Arial" w:hAnsi="Arial" w:cs="Arial"/>
                <w:sz w:val="24"/>
                <w:szCs w:val="24"/>
              </w:rPr>
            </w:pPr>
            <w:r w:rsidRPr="004B4928">
              <w:rPr>
                <w:rFonts w:ascii="Arial" w:hAnsi="Arial" w:cs="Arial"/>
                <w:sz w:val="24"/>
                <w:szCs w:val="24"/>
              </w:rPr>
              <w:t>2.991.393.415,40</w:t>
            </w:r>
          </w:p>
        </w:tc>
        <w:tc>
          <w:tcPr>
            <w:tcW w:w="2085" w:type="dxa"/>
          </w:tcPr>
          <w:p w14:paraId="3DD7CC82" w14:textId="77777777" w:rsidR="00982FC4" w:rsidRDefault="00982FC4" w:rsidP="00982FC4">
            <w:pPr>
              <w:spacing w:line="360" w:lineRule="auto"/>
              <w:jc w:val="center"/>
              <w:rPr>
                <w:rFonts w:ascii="Arial" w:hAnsi="Arial" w:cs="Arial"/>
                <w:sz w:val="24"/>
                <w:szCs w:val="24"/>
              </w:rPr>
            </w:pPr>
            <w:r w:rsidRPr="00206364">
              <w:rPr>
                <w:rFonts w:ascii="Arial" w:hAnsi="Arial" w:cs="Arial"/>
                <w:sz w:val="24"/>
                <w:szCs w:val="24"/>
              </w:rPr>
              <w:t>437.682.981,66</w:t>
            </w:r>
          </w:p>
        </w:tc>
        <w:tc>
          <w:tcPr>
            <w:tcW w:w="2177" w:type="dxa"/>
          </w:tcPr>
          <w:p w14:paraId="1ACD726B" w14:textId="77777777" w:rsidR="00982FC4" w:rsidRDefault="00982FC4" w:rsidP="00982FC4">
            <w:pPr>
              <w:spacing w:line="360" w:lineRule="auto"/>
              <w:jc w:val="center"/>
              <w:rPr>
                <w:rFonts w:ascii="Arial" w:hAnsi="Arial" w:cs="Arial"/>
                <w:sz w:val="24"/>
                <w:szCs w:val="24"/>
              </w:rPr>
            </w:pPr>
            <w:r w:rsidRPr="00A33C4B">
              <w:rPr>
                <w:rFonts w:ascii="Arial" w:hAnsi="Arial" w:cs="Arial"/>
                <w:sz w:val="24"/>
                <w:szCs w:val="24"/>
              </w:rPr>
              <w:t>179.798.451,87</w:t>
            </w:r>
          </w:p>
        </w:tc>
        <w:tc>
          <w:tcPr>
            <w:tcW w:w="2523" w:type="dxa"/>
            <w:vAlign w:val="center"/>
          </w:tcPr>
          <w:p w14:paraId="56AB2885" w14:textId="4BBAD12C" w:rsidR="00982FC4" w:rsidRDefault="00982FC4" w:rsidP="00982FC4">
            <w:pPr>
              <w:spacing w:line="360" w:lineRule="auto"/>
              <w:jc w:val="center"/>
              <w:rPr>
                <w:rFonts w:ascii="Arial" w:hAnsi="Arial" w:cs="Arial"/>
                <w:sz w:val="24"/>
                <w:szCs w:val="24"/>
              </w:rPr>
            </w:pPr>
            <w:r>
              <w:rPr>
                <w:rFonts w:ascii="Arial" w:hAnsi="Arial" w:cs="Arial"/>
                <w:b/>
                <w:bCs/>
                <w:color w:val="000000"/>
              </w:rPr>
              <w:t>3.608.874.848,93</w:t>
            </w:r>
          </w:p>
        </w:tc>
        <w:tc>
          <w:tcPr>
            <w:tcW w:w="2843" w:type="dxa"/>
          </w:tcPr>
          <w:p w14:paraId="7F3E5240" w14:textId="2F5516EC" w:rsidR="00982FC4" w:rsidRPr="00EA457A" w:rsidRDefault="00982FC4" w:rsidP="00982FC4">
            <w:pPr>
              <w:jc w:val="center"/>
              <w:rPr>
                <w:rFonts w:ascii="Arial" w:hAnsi="Arial" w:cs="Arial"/>
                <w:b/>
                <w:bCs/>
                <w:color w:val="000000"/>
                <w:sz w:val="24"/>
                <w:szCs w:val="24"/>
              </w:rPr>
            </w:pPr>
            <w:r w:rsidRPr="000E5390">
              <w:rPr>
                <w:rFonts w:ascii="Arial" w:hAnsi="Arial" w:cs="Arial"/>
                <w:sz w:val="24"/>
                <w:szCs w:val="24"/>
              </w:rPr>
              <w:t>34.523.210,59</w:t>
            </w:r>
          </w:p>
        </w:tc>
        <w:tc>
          <w:tcPr>
            <w:tcW w:w="1308" w:type="dxa"/>
          </w:tcPr>
          <w:p w14:paraId="4A72E81A" w14:textId="79034E55" w:rsidR="00982FC4" w:rsidRPr="00903F08" w:rsidRDefault="0088323C" w:rsidP="00982FC4">
            <w:pPr>
              <w:jc w:val="center"/>
              <w:rPr>
                <w:rFonts w:ascii="Arial" w:hAnsi="Arial" w:cs="Arial"/>
                <w:b/>
                <w:bCs/>
                <w:color w:val="000000"/>
                <w:sz w:val="24"/>
                <w:szCs w:val="24"/>
                <w:highlight w:val="yellow"/>
              </w:rPr>
            </w:pPr>
            <w:r w:rsidRPr="0088323C">
              <w:rPr>
                <w:rFonts w:ascii="Arial" w:hAnsi="Arial" w:cs="Arial"/>
                <w:b/>
                <w:bCs/>
                <w:color w:val="000000"/>
                <w:sz w:val="24"/>
                <w:szCs w:val="24"/>
              </w:rPr>
              <w:t>0,95%</w:t>
            </w:r>
          </w:p>
        </w:tc>
      </w:tr>
      <w:tr w:rsidR="00982FC4" w14:paraId="5E17A73B" w14:textId="353F03D7" w:rsidTr="00735754">
        <w:tc>
          <w:tcPr>
            <w:tcW w:w="1016" w:type="dxa"/>
          </w:tcPr>
          <w:p w14:paraId="647A995E" w14:textId="77777777" w:rsidR="00982FC4" w:rsidRPr="00ED71B3" w:rsidRDefault="00982FC4" w:rsidP="00982FC4">
            <w:pPr>
              <w:spacing w:line="360" w:lineRule="auto"/>
              <w:jc w:val="center"/>
              <w:rPr>
                <w:rFonts w:ascii="Arial" w:hAnsi="Arial" w:cs="Arial"/>
                <w:b/>
                <w:sz w:val="24"/>
                <w:szCs w:val="24"/>
              </w:rPr>
            </w:pPr>
            <w:r w:rsidRPr="00ED71B3">
              <w:rPr>
                <w:rFonts w:ascii="Arial" w:hAnsi="Arial" w:cs="Arial"/>
                <w:b/>
                <w:sz w:val="24"/>
                <w:szCs w:val="24"/>
              </w:rPr>
              <w:t>2015</w:t>
            </w:r>
          </w:p>
        </w:tc>
        <w:tc>
          <w:tcPr>
            <w:tcW w:w="2218" w:type="dxa"/>
          </w:tcPr>
          <w:p w14:paraId="4E5A91CD" w14:textId="77777777" w:rsidR="00982FC4" w:rsidRDefault="00982FC4" w:rsidP="00982FC4">
            <w:pPr>
              <w:spacing w:line="360" w:lineRule="auto"/>
              <w:jc w:val="center"/>
              <w:rPr>
                <w:rFonts w:ascii="Arial" w:hAnsi="Arial" w:cs="Arial"/>
                <w:sz w:val="24"/>
                <w:szCs w:val="24"/>
              </w:rPr>
            </w:pPr>
            <w:r w:rsidRPr="004B4928">
              <w:rPr>
                <w:rFonts w:ascii="Arial" w:hAnsi="Arial" w:cs="Arial"/>
                <w:sz w:val="24"/>
                <w:szCs w:val="24"/>
              </w:rPr>
              <w:t>3.207.828.280,04</w:t>
            </w:r>
          </w:p>
        </w:tc>
        <w:tc>
          <w:tcPr>
            <w:tcW w:w="2085" w:type="dxa"/>
          </w:tcPr>
          <w:p w14:paraId="03983979" w14:textId="77777777" w:rsidR="00982FC4" w:rsidRDefault="00982FC4" w:rsidP="00982FC4">
            <w:pPr>
              <w:spacing w:line="360" w:lineRule="auto"/>
              <w:jc w:val="center"/>
              <w:rPr>
                <w:rFonts w:ascii="Arial" w:hAnsi="Arial" w:cs="Arial"/>
                <w:sz w:val="24"/>
                <w:szCs w:val="24"/>
              </w:rPr>
            </w:pPr>
            <w:r w:rsidRPr="00206364">
              <w:rPr>
                <w:rFonts w:ascii="Arial" w:hAnsi="Arial" w:cs="Arial"/>
                <w:sz w:val="24"/>
                <w:szCs w:val="24"/>
              </w:rPr>
              <w:t>413.652.727,20</w:t>
            </w:r>
          </w:p>
        </w:tc>
        <w:tc>
          <w:tcPr>
            <w:tcW w:w="2177" w:type="dxa"/>
          </w:tcPr>
          <w:p w14:paraId="01E17BD3" w14:textId="77777777" w:rsidR="00982FC4" w:rsidRDefault="00982FC4" w:rsidP="00982FC4">
            <w:pPr>
              <w:spacing w:line="360" w:lineRule="auto"/>
              <w:jc w:val="center"/>
              <w:rPr>
                <w:rFonts w:ascii="Arial" w:hAnsi="Arial" w:cs="Arial"/>
                <w:sz w:val="24"/>
                <w:szCs w:val="24"/>
              </w:rPr>
            </w:pPr>
            <w:r w:rsidRPr="002E3066">
              <w:rPr>
                <w:rFonts w:ascii="Arial" w:hAnsi="Arial" w:cs="Arial"/>
                <w:sz w:val="24"/>
                <w:szCs w:val="24"/>
              </w:rPr>
              <w:t>135.628.573,99</w:t>
            </w:r>
          </w:p>
        </w:tc>
        <w:tc>
          <w:tcPr>
            <w:tcW w:w="2523" w:type="dxa"/>
            <w:vAlign w:val="center"/>
          </w:tcPr>
          <w:p w14:paraId="42580F37" w14:textId="28590FA8" w:rsidR="00982FC4" w:rsidRDefault="00982FC4" w:rsidP="00982FC4">
            <w:pPr>
              <w:spacing w:line="360" w:lineRule="auto"/>
              <w:jc w:val="center"/>
              <w:rPr>
                <w:rFonts w:ascii="Arial" w:hAnsi="Arial" w:cs="Arial"/>
                <w:sz w:val="24"/>
                <w:szCs w:val="24"/>
              </w:rPr>
            </w:pPr>
            <w:r>
              <w:rPr>
                <w:rFonts w:ascii="Arial" w:hAnsi="Arial" w:cs="Arial"/>
                <w:b/>
                <w:bCs/>
                <w:color w:val="000000"/>
              </w:rPr>
              <w:t>3.757.109.581,23</w:t>
            </w:r>
          </w:p>
        </w:tc>
        <w:tc>
          <w:tcPr>
            <w:tcW w:w="2843" w:type="dxa"/>
          </w:tcPr>
          <w:p w14:paraId="474C8859" w14:textId="6E5D1FD7" w:rsidR="00982FC4" w:rsidRPr="00EA457A" w:rsidRDefault="00982FC4" w:rsidP="00982FC4">
            <w:pPr>
              <w:jc w:val="center"/>
              <w:rPr>
                <w:rFonts w:ascii="Arial" w:hAnsi="Arial" w:cs="Arial"/>
                <w:b/>
                <w:bCs/>
                <w:color w:val="000000"/>
                <w:sz w:val="24"/>
                <w:szCs w:val="24"/>
              </w:rPr>
            </w:pPr>
            <w:r w:rsidRPr="000E5390">
              <w:rPr>
                <w:rFonts w:ascii="Arial" w:hAnsi="Arial" w:cs="Arial"/>
                <w:sz w:val="24"/>
                <w:szCs w:val="24"/>
              </w:rPr>
              <w:t>45.783.333,24</w:t>
            </w:r>
          </w:p>
        </w:tc>
        <w:tc>
          <w:tcPr>
            <w:tcW w:w="1308" w:type="dxa"/>
          </w:tcPr>
          <w:p w14:paraId="4D831324" w14:textId="1A1360EA" w:rsidR="00982FC4" w:rsidRPr="0088323C" w:rsidRDefault="00286160" w:rsidP="00982FC4">
            <w:pPr>
              <w:jc w:val="center"/>
              <w:rPr>
                <w:rFonts w:ascii="Arial" w:hAnsi="Arial" w:cs="Arial"/>
                <w:b/>
                <w:bCs/>
                <w:color w:val="000000"/>
                <w:sz w:val="24"/>
                <w:szCs w:val="24"/>
              </w:rPr>
            </w:pPr>
            <w:r>
              <w:rPr>
                <w:rFonts w:ascii="Arial" w:hAnsi="Arial" w:cs="Arial"/>
                <w:b/>
                <w:bCs/>
                <w:color w:val="000000"/>
                <w:sz w:val="24"/>
                <w:szCs w:val="24"/>
              </w:rPr>
              <w:t>1,21%</w:t>
            </w:r>
          </w:p>
        </w:tc>
      </w:tr>
      <w:tr w:rsidR="00982FC4" w14:paraId="6B24028F" w14:textId="38822338" w:rsidTr="00735754">
        <w:tc>
          <w:tcPr>
            <w:tcW w:w="1016" w:type="dxa"/>
          </w:tcPr>
          <w:p w14:paraId="4C7767A9" w14:textId="77777777" w:rsidR="00982FC4" w:rsidRPr="00ED71B3" w:rsidRDefault="00982FC4" w:rsidP="00982FC4">
            <w:pPr>
              <w:spacing w:line="360" w:lineRule="auto"/>
              <w:jc w:val="center"/>
              <w:rPr>
                <w:rFonts w:ascii="Arial" w:hAnsi="Arial" w:cs="Arial"/>
                <w:b/>
                <w:sz w:val="24"/>
                <w:szCs w:val="24"/>
              </w:rPr>
            </w:pPr>
            <w:r w:rsidRPr="00ED71B3">
              <w:rPr>
                <w:rFonts w:ascii="Arial" w:hAnsi="Arial" w:cs="Arial"/>
                <w:b/>
                <w:sz w:val="24"/>
                <w:szCs w:val="24"/>
              </w:rPr>
              <w:t>2016</w:t>
            </w:r>
          </w:p>
        </w:tc>
        <w:tc>
          <w:tcPr>
            <w:tcW w:w="2218" w:type="dxa"/>
          </w:tcPr>
          <w:p w14:paraId="1BD0A772" w14:textId="77777777" w:rsidR="00982FC4" w:rsidRDefault="00982FC4" w:rsidP="00982FC4">
            <w:pPr>
              <w:spacing w:line="360" w:lineRule="auto"/>
              <w:jc w:val="center"/>
              <w:rPr>
                <w:rFonts w:ascii="Arial" w:hAnsi="Arial" w:cs="Arial"/>
                <w:sz w:val="24"/>
                <w:szCs w:val="24"/>
              </w:rPr>
            </w:pPr>
            <w:r w:rsidRPr="004B4928">
              <w:rPr>
                <w:rFonts w:ascii="Arial" w:hAnsi="Arial" w:cs="Arial"/>
                <w:sz w:val="24"/>
                <w:szCs w:val="24"/>
              </w:rPr>
              <w:t>3.675.480.697,55</w:t>
            </w:r>
          </w:p>
        </w:tc>
        <w:tc>
          <w:tcPr>
            <w:tcW w:w="2085" w:type="dxa"/>
          </w:tcPr>
          <w:p w14:paraId="2EB48D38" w14:textId="77777777" w:rsidR="00982FC4" w:rsidRDefault="00982FC4" w:rsidP="00982FC4">
            <w:pPr>
              <w:spacing w:line="360" w:lineRule="auto"/>
              <w:jc w:val="center"/>
              <w:rPr>
                <w:rFonts w:ascii="Arial" w:hAnsi="Arial" w:cs="Arial"/>
                <w:sz w:val="24"/>
                <w:szCs w:val="24"/>
              </w:rPr>
            </w:pPr>
            <w:r w:rsidRPr="000869ED">
              <w:rPr>
                <w:rFonts w:ascii="Arial" w:hAnsi="Arial" w:cs="Arial"/>
                <w:sz w:val="24"/>
                <w:szCs w:val="24"/>
              </w:rPr>
              <w:t>499.701.061,25</w:t>
            </w:r>
          </w:p>
        </w:tc>
        <w:tc>
          <w:tcPr>
            <w:tcW w:w="2177" w:type="dxa"/>
          </w:tcPr>
          <w:p w14:paraId="5F9A57C9" w14:textId="77777777" w:rsidR="00982FC4" w:rsidRDefault="00982FC4" w:rsidP="00982FC4">
            <w:pPr>
              <w:spacing w:line="360" w:lineRule="auto"/>
              <w:jc w:val="center"/>
              <w:rPr>
                <w:rFonts w:ascii="Arial" w:hAnsi="Arial" w:cs="Arial"/>
                <w:sz w:val="24"/>
                <w:szCs w:val="24"/>
              </w:rPr>
            </w:pPr>
            <w:r w:rsidRPr="002E3066">
              <w:rPr>
                <w:rFonts w:ascii="Arial" w:hAnsi="Arial" w:cs="Arial"/>
                <w:sz w:val="24"/>
                <w:szCs w:val="24"/>
              </w:rPr>
              <w:t>154.656.189,05</w:t>
            </w:r>
          </w:p>
        </w:tc>
        <w:tc>
          <w:tcPr>
            <w:tcW w:w="2523" w:type="dxa"/>
            <w:vAlign w:val="center"/>
          </w:tcPr>
          <w:p w14:paraId="3F26ADEF" w14:textId="3B219A59" w:rsidR="00982FC4" w:rsidRDefault="00982FC4" w:rsidP="00982FC4">
            <w:pPr>
              <w:spacing w:line="360" w:lineRule="auto"/>
              <w:jc w:val="center"/>
              <w:rPr>
                <w:rFonts w:ascii="Arial" w:hAnsi="Arial" w:cs="Arial"/>
                <w:sz w:val="24"/>
                <w:szCs w:val="24"/>
              </w:rPr>
            </w:pPr>
            <w:r>
              <w:rPr>
                <w:rFonts w:ascii="Arial" w:hAnsi="Arial" w:cs="Arial"/>
                <w:b/>
                <w:bCs/>
                <w:color w:val="000000"/>
              </w:rPr>
              <w:t>4.329.837.947,85</w:t>
            </w:r>
          </w:p>
        </w:tc>
        <w:tc>
          <w:tcPr>
            <w:tcW w:w="2843" w:type="dxa"/>
          </w:tcPr>
          <w:p w14:paraId="49EB8397" w14:textId="059B7F95" w:rsidR="00982FC4" w:rsidRPr="00EA457A" w:rsidRDefault="00982FC4" w:rsidP="00982FC4">
            <w:pPr>
              <w:jc w:val="center"/>
              <w:rPr>
                <w:rFonts w:ascii="Arial" w:hAnsi="Arial" w:cs="Arial"/>
                <w:b/>
                <w:bCs/>
                <w:color w:val="000000"/>
                <w:sz w:val="24"/>
                <w:szCs w:val="24"/>
              </w:rPr>
            </w:pPr>
            <w:r w:rsidRPr="000E5390">
              <w:rPr>
                <w:rFonts w:ascii="Arial" w:hAnsi="Arial" w:cs="Arial"/>
                <w:sz w:val="24"/>
                <w:szCs w:val="24"/>
              </w:rPr>
              <w:t>58.366.666,51</w:t>
            </w:r>
          </w:p>
        </w:tc>
        <w:tc>
          <w:tcPr>
            <w:tcW w:w="1308" w:type="dxa"/>
          </w:tcPr>
          <w:p w14:paraId="738DFEB2" w14:textId="6C6400E3" w:rsidR="00982FC4" w:rsidRPr="0088323C" w:rsidRDefault="00286160" w:rsidP="00982FC4">
            <w:pPr>
              <w:jc w:val="center"/>
              <w:rPr>
                <w:rFonts w:ascii="Arial" w:hAnsi="Arial" w:cs="Arial"/>
                <w:b/>
                <w:bCs/>
                <w:color w:val="000000"/>
                <w:sz w:val="24"/>
                <w:szCs w:val="24"/>
              </w:rPr>
            </w:pPr>
            <w:r>
              <w:rPr>
                <w:rFonts w:ascii="Arial" w:hAnsi="Arial" w:cs="Arial"/>
                <w:b/>
                <w:bCs/>
                <w:color w:val="000000"/>
                <w:sz w:val="24"/>
                <w:szCs w:val="24"/>
              </w:rPr>
              <w:t>1,34%</w:t>
            </w:r>
          </w:p>
        </w:tc>
      </w:tr>
      <w:tr w:rsidR="00982FC4" w14:paraId="5443866E" w14:textId="2970ED53" w:rsidTr="00735754">
        <w:tc>
          <w:tcPr>
            <w:tcW w:w="1016" w:type="dxa"/>
          </w:tcPr>
          <w:p w14:paraId="5F830575" w14:textId="77777777" w:rsidR="00982FC4" w:rsidRPr="00ED71B3" w:rsidRDefault="00982FC4" w:rsidP="00982FC4">
            <w:pPr>
              <w:spacing w:line="360" w:lineRule="auto"/>
              <w:jc w:val="center"/>
              <w:rPr>
                <w:rFonts w:ascii="Arial" w:hAnsi="Arial" w:cs="Arial"/>
                <w:b/>
                <w:sz w:val="24"/>
                <w:szCs w:val="24"/>
              </w:rPr>
            </w:pPr>
            <w:r w:rsidRPr="00ED71B3">
              <w:rPr>
                <w:rFonts w:ascii="Arial" w:hAnsi="Arial" w:cs="Arial"/>
                <w:b/>
                <w:sz w:val="24"/>
                <w:szCs w:val="24"/>
              </w:rPr>
              <w:t>2017</w:t>
            </w:r>
          </w:p>
        </w:tc>
        <w:tc>
          <w:tcPr>
            <w:tcW w:w="2218" w:type="dxa"/>
          </w:tcPr>
          <w:p w14:paraId="40754DB8" w14:textId="77777777" w:rsidR="00982FC4" w:rsidRDefault="00982FC4" w:rsidP="00982FC4">
            <w:pPr>
              <w:spacing w:line="360" w:lineRule="auto"/>
              <w:jc w:val="center"/>
              <w:rPr>
                <w:rFonts w:ascii="Arial" w:hAnsi="Arial" w:cs="Arial"/>
                <w:sz w:val="24"/>
                <w:szCs w:val="24"/>
              </w:rPr>
            </w:pPr>
            <w:r w:rsidRPr="004B4928">
              <w:rPr>
                <w:rFonts w:ascii="Arial" w:hAnsi="Arial" w:cs="Arial"/>
                <w:sz w:val="24"/>
                <w:szCs w:val="24"/>
              </w:rPr>
              <w:t>3.659.024.925,31</w:t>
            </w:r>
          </w:p>
        </w:tc>
        <w:tc>
          <w:tcPr>
            <w:tcW w:w="2085" w:type="dxa"/>
          </w:tcPr>
          <w:p w14:paraId="6F335B1E" w14:textId="77777777" w:rsidR="00982FC4" w:rsidRDefault="00982FC4" w:rsidP="00982FC4">
            <w:pPr>
              <w:spacing w:line="360" w:lineRule="auto"/>
              <w:jc w:val="center"/>
              <w:rPr>
                <w:rFonts w:ascii="Arial" w:hAnsi="Arial" w:cs="Arial"/>
                <w:sz w:val="24"/>
                <w:szCs w:val="24"/>
              </w:rPr>
            </w:pPr>
            <w:r w:rsidRPr="00B126B7">
              <w:rPr>
                <w:rFonts w:ascii="Arial" w:hAnsi="Arial" w:cs="Arial"/>
                <w:sz w:val="24"/>
                <w:szCs w:val="24"/>
              </w:rPr>
              <w:t>457.944.433,47</w:t>
            </w:r>
          </w:p>
        </w:tc>
        <w:tc>
          <w:tcPr>
            <w:tcW w:w="2177" w:type="dxa"/>
          </w:tcPr>
          <w:p w14:paraId="203B6E7C" w14:textId="77777777" w:rsidR="00982FC4" w:rsidRDefault="00982FC4" w:rsidP="00982FC4">
            <w:pPr>
              <w:spacing w:line="360" w:lineRule="auto"/>
              <w:jc w:val="center"/>
              <w:rPr>
                <w:rFonts w:ascii="Arial" w:hAnsi="Arial" w:cs="Arial"/>
                <w:sz w:val="24"/>
                <w:szCs w:val="24"/>
              </w:rPr>
            </w:pPr>
            <w:r w:rsidRPr="002E3066">
              <w:rPr>
                <w:rFonts w:ascii="Arial" w:hAnsi="Arial" w:cs="Arial"/>
                <w:sz w:val="24"/>
                <w:szCs w:val="24"/>
              </w:rPr>
              <w:t>146.992.409,67</w:t>
            </w:r>
          </w:p>
        </w:tc>
        <w:tc>
          <w:tcPr>
            <w:tcW w:w="2523" w:type="dxa"/>
            <w:vAlign w:val="center"/>
          </w:tcPr>
          <w:p w14:paraId="230A43C5" w14:textId="79DEB73D" w:rsidR="00982FC4" w:rsidRDefault="00982FC4" w:rsidP="00982FC4">
            <w:pPr>
              <w:spacing w:line="360" w:lineRule="auto"/>
              <w:jc w:val="center"/>
              <w:rPr>
                <w:rFonts w:ascii="Arial" w:hAnsi="Arial" w:cs="Arial"/>
                <w:sz w:val="24"/>
                <w:szCs w:val="24"/>
              </w:rPr>
            </w:pPr>
            <w:r>
              <w:rPr>
                <w:rFonts w:ascii="Arial" w:hAnsi="Arial" w:cs="Arial"/>
                <w:b/>
                <w:bCs/>
                <w:color w:val="000000"/>
              </w:rPr>
              <w:t>4.263.961.768,45</w:t>
            </w:r>
          </w:p>
        </w:tc>
        <w:tc>
          <w:tcPr>
            <w:tcW w:w="2843" w:type="dxa"/>
          </w:tcPr>
          <w:p w14:paraId="5BD6A34C" w14:textId="397A3000" w:rsidR="00982FC4" w:rsidRPr="00EA457A" w:rsidRDefault="00982FC4" w:rsidP="00982FC4">
            <w:pPr>
              <w:jc w:val="center"/>
              <w:rPr>
                <w:rFonts w:ascii="Arial" w:hAnsi="Arial" w:cs="Arial"/>
                <w:b/>
                <w:bCs/>
                <w:color w:val="000000"/>
                <w:sz w:val="24"/>
                <w:szCs w:val="24"/>
              </w:rPr>
            </w:pPr>
            <w:r w:rsidRPr="000E5390">
              <w:rPr>
                <w:rFonts w:ascii="Arial" w:hAnsi="Arial" w:cs="Arial"/>
                <w:sz w:val="24"/>
                <w:szCs w:val="24"/>
              </w:rPr>
              <w:t>107.392.681,94</w:t>
            </w:r>
          </w:p>
        </w:tc>
        <w:tc>
          <w:tcPr>
            <w:tcW w:w="1308" w:type="dxa"/>
          </w:tcPr>
          <w:p w14:paraId="6C4D49F7" w14:textId="10795342" w:rsidR="00982FC4" w:rsidRPr="0088323C" w:rsidRDefault="00286160" w:rsidP="00982FC4">
            <w:pPr>
              <w:jc w:val="center"/>
              <w:rPr>
                <w:rFonts w:ascii="Arial" w:hAnsi="Arial" w:cs="Arial"/>
                <w:b/>
                <w:bCs/>
                <w:color w:val="000000"/>
                <w:sz w:val="24"/>
                <w:szCs w:val="24"/>
              </w:rPr>
            </w:pPr>
            <w:r>
              <w:rPr>
                <w:rFonts w:ascii="Arial" w:hAnsi="Arial" w:cs="Arial"/>
                <w:b/>
                <w:bCs/>
                <w:color w:val="000000"/>
                <w:sz w:val="24"/>
                <w:szCs w:val="24"/>
              </w:rPr>
              <w:t>2,51%</w:t>
            </w:r>
          </w:p>
        </w:tc>
      </w:tr>
      <w:tr w:rsidR="00982FC4" w14:paraId="179A5563" w14:textId="6C1B6723" w:rsidTr="00735754">
        <w:tc>
          <w:tcPr>
            <w:tcW w:w="1016" w:type="dxa"/>
          </w:tcPr>
          <w:p w14:paraId="3D891269" w14:textId="77777777" w:rsidR="00982FC4" w:rsidRPr="00ED71B3" w:rsidRDefault="00982FC4" w:rsidP="00982FC4">
            <w:pPr>
              <w:spacing w:line="360" w:lineRule="auto"/>
              <w:jc w:val="center"/>
              <w:rPr>
                <w:rFonts w:ascii="Arial" w:hAnsi="Arial" w:cs="Arial"/>
                <w:b/>
                <w:sz w:val="24"/>
                <w:szCs w:val="24"/>
              </w:rPr>
            </w:pPr>
            <w:r w:rsidRPr="00ED71B3">
              <w:rPr>
                <w:rFonts w:ascii="Arial" w:hAnsi="Arial" w:cs="Arial"/>
                <w:b/>
                <w:sz w:val="24"/>
                <w:szCs w:val="24"/>
              </w:rPr>
              <w:t>2018</w:t>
            </w:r>
          </w:p>
        </w:tc>
        <w:tc>
          <w:tcPr>
            <w:tcW w:w="2218" w:type="dxa"/>
          </w:tcPr>
          <w:p w14:paraId="4E9427ED" w14:textId="77777777" w:rsidR="00982FC4" w:rsidRDefault="00982FC4" w:rsidP="00982FC4">
            <w:pPr>
              <w:spacing w:line="360" w:lineRule="auto"/>
              <w:jc w:val="center"/>
              <w:rPr>
                <w:rFonts w:ascii="Arial" w:hAnsi="Arial" w:cs="Arial"/>
                <w:sz w:val="24"/>
                <w:szCs w:val="24"/>
              </w:rPr>
            </w:pPr>
            <w:r w:rsidRPr="004B4928">
              <w:rPr>
                <w:rFonts w:ascii="Arial" w:hAnsi="Arial" w:cs="Arial"/>
                <w:sz w:val="24"/>
                <w:szCs w:val="24"/>
              </w:rPr>
              <w:t>3.905.210.800,06</w:t>
            </w:r>
          </w:p>
        </w:tc>
        <w:tc>
          <w:tcPr>
            <w:tcW w:w="2085" w:type="dxa"/>
          </w:tcPr>
          <w:p w14:paraId="24CC8A83" w14:textId="77777777" w:rsidR="00982FC4" w:rsidRDefault="00982FC4" w:rsidP="00982FC4">
            <w:pPr>
              <w:spacing w:line="360" w:lineRule="auto"/>
              <w:jc w:val="center"/>
              <w:rPr>
                <w:rFonts w:ascii="Arial" w:hAnsi="Arial" w:cs="Arial"/>
                <w:sz w:val="24"/>
                <w:szCs w:val="24"/>
              </w:rPr>
            </w:pPr>
            <w:r w:rsidRPr="00B126B7">
              <w:rPr>
                <w:rFonts w:ascii="Arial" w:hAnsi="Arial" w:cs="Arial"/>
                <w:sz w:val="24"/>
                <w:szCs w:val="24"/>
              </w:rPr>
              <w:t>630.830.728,72</w:t>
            </w:r>
          </w:p>
        </w:tc>
        <w:tc>
          <w:tcPr>
            <w:tcW w:w="2177" w:type="dxa"/>
          </w:tcPr>
          <w:p w14:paraId="55EA8E24" w14:textId="77777777" w:rsidR="00982FC4" w:rsidRDefault="00982FC4" w:rsidP="00982FC4">
            <w:pPr>
              <w:spacing w:line="360" w:lineRule="auto"/>
              <w:jc w:val="center"/>
              <w:rPr>
                <w:rFonts w:ascii="Arial" w:hAnsi="Arial" w:cs="Arial"/>
                <w:sz w:val="24"/>
                <w:szCs w:val="24"/>
              </w:rPr>
            </w:pPr>
            <w:r w:rsidRPr="002E3066">
              <w:rPr>
                <w:rFonts w:ascii="Arial" w:hAnsi="Arial" w:cs="Arial"/>
                <w:sz w:val="24"/>
                <w:szCs w:val="24"/>
              </w:rPr>
              <w:t>144.025.569,82</w:t>
            </w:r>
          </w:p>
        </w:tc>
        <w:tc>
          <w:tcPr>
            <w:tcW w:w="2523" w:type="dxa"/>
            <w:vAlign w:val="center"/>
          </w:tcPr>
          <w:p w14:paraId="225BF104" w14:textId="5F995A00" w:rsidR="00982FC4" w:rsidRDefault="00982FC4" w:rsidP="00982FC4">
            <w:pPr>
              <w:spacing w:line="360" w:lineRule="auto"/>
              <w:jc w:val="center"/>
              <w:rPr>
                <w:rFonts w:ascii="Arial" w:hAnsi="Arial" w:cs="Arial"/>
                <w:sz w:val="24"/>
                <w:szCs w:val="24"/>
              </w:rPr>
            </w:pPr>
            <w:r>
              <w:rPr>
                <w:rFonts w:ascii="Arial" w:hAnsi="Arial" w:cs="Arial"/>
                <w:b/>
                <w:bCs/>
                <w:color w:val="000000"/>
              </w:rPr>
              <w:t>4.680.067.098,60</w:t>
            </w:r>
          </w:p>
        </w:tc>
        <w:tc>
          <w:tcPr>
            <w:tcW w:w="2843" w:type="dxa"/>
          </w:tcPr>
          <w:p w14:paraId="3C39FC8C" w14:textId="1F9044AC" w:rsidR="00982FC4" w:rsidRPr="00EA457A" w:rsidRDefault="00982FC4" w:rsidP="00982FC4">
            <w:pPr>
              <w:jc w:val="center"/>
              <w:rPr>
                <w:rFonts w:ascii="Arial" w:hAnsi="Arial" w:cs="Arial"/>
                <w:b/>
                <w:bCs/>
                <w:color w:val="000000"/>
                <w:sz w:val="24"/>
                <w:szCs w:val="24"/>
              </w:rPr>
            </w:pPr>
            <w:r w:rsidRPr="000E5390">
              <w:rPr>
                <w:rFonts w:ascii="Arial" w:hAnsi="Arial" w:cs="Arial"/>
                <w:sz w:val="24"/>
                <w:szCs w:val="24"/>
              </w:rPr>
              <w:t>82.883.931,78</w:t>
            </w:r>
          </w:p>
        </w:tc>
        <w:tc>
          <w:tcPr>
            <w:tcW w:w="1308" w:type="dxa"/>
          </w:tcPr>
          <w:p w14:paraId="7250A4D2" w14:textId="0208FA3E" w:rsidR="00982FC4" w:rsidRPr="0088323C" w:rsidRDefault="00286160" w:rsidP="00FC1861">
            <w:pPr>
              <w:jc w:val="center"/>
              <w:rPr>
                <w:rFonts w:ascii="Arial" w:hAnsi="Arial" w:cs="Arial"/>
                <w:b/>
                <w:bCs/>
                <w:color w:val="000000"/>
                <w:sz w:val="24"/>
                <w:szCs w:val="24"/>
              </w:rPr>
            </w:pPr>
            <w:r>
              <w:rPr>
                <w:rFonts w:ascii="Arial" w:hAnsi="Arial" w:cs="Arial"/>
                <w:b/>
                <w:bCs/>
                <w:color w:val="000000"/>
                <w:sz w:val="24"/>
                <w:szCs w:val="24"/>
              </w:rPr>
              <w:t>1,</w:t>
            </w:r>
            <w:r w:rsidR="00FC1861">
              <w:rPr>
                <w:rFonts w:ascii="Arial" w:hAnsi="Arial" w:cs="Arial"/>
                <w:b/>
                <w:bCs/>
                <w:color w:val="000000"/>
                <w:sz w:val="24"/>
                <w:szCs w:val="24"/>
              </w:rPr>
              <w:t>77</w:t>
            </w:r>
            <w:r>
              <w:rPr>
                <w:rFonts w:ascii="Arial" w:hAnsi="Arial" w:cs="Arial"/>
                <w:b/>
                <w:bCs/>
                <w:color w:val="000000"/>
                <w:sz w:val="24"/>
                <w:szCs w:val="24"/>
              </w:rPr>
              <w:t>%</w:t>
            </w:r>
          </w:p>
        </w:tc>
      </w:tr>
      <w:tr w:rsidR="00982FC4" w14:paraId="2EFEA9E8" w14:textId="1ACFF6EA" w:rsidTr="00735754">
        <w:tc>
          <w:tcPr>
            <w:tcW w:w="1016" w:type="dxa"/>
          </w:tcPr>
          <w:p w14:paraId="16CA783B" w14:textId="7A6E954A" w:rsidR="00982FC4" w:rsidRPr="00ED71B3" w:rsidRDefault="00982FC4" w:rsidP="00982FC4">
            <w:pPr>
              <w:jc w:val="center"/>
              <w:rPr>
                <w:rFonts w:ascii="Arial" w:hAnsi="Arial" w:cs="Arial"/>
                <w:b/>
                <w:sz w:val="24"/>
                <w:szCs w:val="24"/>
              </w:rPr>
            </w:pPr>
            <w:r w:rsidRPr="00ED71B3">
              <w:rPr>
                <w:rFonts w:ascii="Arial" w:hAnsi="Arial" w:cs="Arial"/>
                <w:b/>
                <w:sz w:val="24"/>
                <w:szCs w:val="24"/>
              </w:rPr>
              <w:t>TOTAL</w:t>
            </w:r>
            <w:r>
              <w:rPr>
                <w:rFonts w:ascii="Arial" w:hAnsi="Arial" w:cs="Arial"/>
                <w:b/>
                <w:sz w:val="24"/>
                <w:szCs w:val="24"/>
              </w:rPr>
              <w:t xml:space="preserve"> (R$)</w:t>
            </w:r>
          </w:p>
        </w:tc>
        <w:tc>
          <w:tcPr>
            <w:tcW w:w="2218" w:type="dxa"/>
            <w:vAlign w:val="center"/>
          </w:tcPr>
          <w:p w14:paraId="70732AED" w14:textId="77777777" w:rsidR="00982FC4" w:rsidRPr="004D046D" w:rsidRDefault="00982FC4" w:rsidP="00982FC4">
            <w:pPr>
              <w:jc w:val="center"/>
              <w:rPr>
                <w:rFonts w:ascii="Arial" w:hAnsi="Arial" w:cs="Arial"/>
                <w:b/>
                <w:color w:val="000000"/>
                <w:sz w:val="24"/>
                <w:szCs w:val="24"/>
              </w:rPr>
            </w:pPr>
            <w:r w:rsidRPr="004D046D">
              <w:rPr>
                <w:rFonts w:ascii="Arial" w:hAnsi="Arial" w:cs="Arial"/>
                <w:b/>
                <w:color w:val="000000"/>
                <w:sz w:val="24"/>
                <w:szCs w:val="24"/>
              </w:rPr>
              <w:t>17.438.938.118,36</w:t>
            </w:r>
          </w:p>
        </w:tc>
        <w:tc>
          <w:tcPr>
            <w:tcW w:w="2085" w:type="dxa"/>
            <w:vAlign w:val="center"/>
          </w:tcPr>
          <w:p w14:paraId="0D42A87B" w14:textId="77777777" w:rsidR="00982FC4" w:rsidRPr="004D046D" w:rsidRDefault="00982FC4" w:rsidP="00982FC4">
            <w:pPr>
              <w:jc w:val="center"/>
              <w:rPr>
                <w:rFonts w:ascii="Arial" w:hAnsi="Arial" w:cs="Arial"/>
                <w:b/>
                <w:color w:val="000000"/>
                <w:sz w:val="24"/>
                <w:szCs w:val="24"/>
              </w:rPr>
            </w:pPr>
            <w:r w:rsidRPr="004D046D">
              <w:rPr>
                <w:rFonts w:ascii="Arial" w:hAnsi="Arial" w:cs="Arial"/>
                <w:b/>
                <w:color w:val="000000"/>
                <w:sz w:val="24"/>
                <w:szCs w:val="24"/>
              </w:rPr>
              <w:t>2.439.811.932,30</w:t>
            </w:r>
          </w:p>
        </w:tc>
        <w:tc>
          <w:tcPr>
            <w:tcW w:w="2177" w:type="dxa"/>
            <w:vAlign w:val="center"/>
          </w:tcPr>
          <w:p w14:paraId="51463D31" w14:textId="77777777" w:rsidR="00982FC4" w:rsidRPr="004D046D" w:rsidRDefault="00982FC4" w:rsidP="00982FC4">
            <w:pPr>
              <w:jc w:val="center"/>
              <w:rPr>
                <w:rFonts w:ascii="Arial" w:hAnsi="Arial" w:cs="Arial"/>
                <w:b/>
                <w:color w:val="000000"/>
                <w:sz w:val="24"/>
                <w:szCs w:val="24"/>
              </w:rPr>
            </w:pPr>
            <w:r w:rsidRPr="004D046D">
              <w:rPr>
                <w:rFonts w:ascii="Arial" w:hAnsi="Arial" w:cs="Arial"/>
                <w:b/>
                <w:color w:val="000000"/>
                <w:sz w:val="24"/>
                <w:szCs w:val="24"/>
              </w:rPr>
              <w:t>761.101.194,40</w:t>
            </w:r>
          </w:p>
        </w:tc>
        <w:tc>
          <w:tcPr>
            <w:tcW w:w="2523" w:type="dxa"/>
            <w:vAlign w:val="center"/>
          </w:tcPr>
          <w:p w14:paraId="0EA657B9" w14:textId="43ED4885" w:rsidR="00982FC4" w:rsidRPr="004D046D" w:rsidRDefault="00982FC4" w:rsidP="00982FC4">
            <w:pPr>
              <w:jc w:val="center"/>
              <w:rPr>
                <w:rFonts w:ascii="Arial" w:hAnsi="Arial" w:cs="Arial"/>
                <w:b/>
                <w:color w:val="000000"/>
                <w:sz w:val="24"/>
                <w:szCs w:val="24"/>
              </w:rPr>
            </w:pPr>
            <w:r>
              <w:rPr>
                <w:rFonts w:ascii="Arial" w:hAnsi="Arial" w:cs="Arial"/>
                <w:b/>
                <w:bCs/>
                <w:color w:val="000000"/>
              </w:rPr>
              <w:t>20.639.851.245,06</w:t>
            </w:r>
          </w:p>
        </w:tc>
        <w:tc>
          <w:tcPr>
            <w:tcW w:w="2843" w:type="dxa"/>
            <w:vAlign w:val="center"/>
          </w:tcPr>
          <w:p w14:paraId="1E7FFC4C" w14:textId="7CA737B3" w:rsidR="00982FC4" w:rsidRPr="00EA457A" w:rsidRDefault="00982FC4" w:rsidP="00982FC4">
            <w:pPr>
              <w:jc w:val="center"/>
              <w:rPr>
                <w:rFonts w:ascii="Arial" w:hAnsi="Arial" w:cs="Arial"/>
                <w:b/>
                <w:bCs/>
                <w:color w:val="000000"/>
                <w:sz w:val="24"/>
                <w:szCs w:val="24"/>
              </w:rPr>
            </w:pPr>
            <w:r w:rsidRPr="004D046D">
              <w:rPr>
                <w:rFonts w:ascii="Arial" w:hAnsi="Arial" w:cs="Arial"/>
                <w:b/>
                <w:color w:val="000000"/>
                <w:sz w:val="24"/>
                <w:szCs w:val="24"/>
              </w:rPr>
              <w:t>328.949.824,06</w:t>
            </w:r>
          </w:p>
        </w:tc>
        <w:tc>
          <w:tcPr>
            <w:tcW w:w="1308" w:type="dxa"/>
          </w:tcPr>
          <w:p w14:paraId="374034C4" w14:textId="07F3726A" w:rsidR="00982FC4" w:rsidRPr="0088323C" w:rsidRDefault="00286160" w:rsidP="00982FC4">
            <w:pPr>
              <w:jc w:val="center"/>
              <w:rPr>
                <w:rFonts w:ascii="Arial" w:hAnsi="Arial" w:cs="Arial"/>
                <w:b/>
                <w:bCs/>
                <w:color w:val="000000"/>
                <w:sz w:val="24"/>
                <w:szCs w:val="24"/>
              </w:rPr>
            </w:pPr>
            <w:r>
              <w:rPr>
                <w:rFonts w:ascii="Arial" w:hAnsi="Arial" w:cs="Arial"/>
                <w:b/>
                <w:bCs/>
                <w:color w:val="000000"/>
                <w:sz w:val="24"/>
                <w:szCs w:val="24"/>
              </w:rPr>
              <w:t>1,59%</w:t>
            </w:r>
          </w:p>
        </w:tc>
      </w:tr>
      <w:tr w:rsidR="004D046D" w14:paraId="27667E9E" w14:textId="3535212A" w:rsidTr="00735754">
        <w:tc>
          <w:tcPr>
            <w:tcW w:w="1016" w:type="dxa"/>
          </w:tcPr>
          <w:p w14:paraId="5DF54919" w14:textId="77777777" w:rsidR="004D046D" w:rsidRDefault="004D046D" w:rsidP="004D046D">
            <w:pPr>
              <w:jc w:val="center"/>
              <w:rPr>
                <w:rFonts w:ascii="Arial" w:hAnsi="Arial" w:cs="Arial"/>
                <w:b/>
                <w:sz w:val="24"/>
                <w:szCs w:val="24"/>
              </w:rPr>
            </w:pPr>
            <w:r w:rsidRPr="00ED71B3">
              <w:rPr>
                <w:rFonts w:ascii="Arial" w:hAnsi="Arial" w:cs="Arial"/>
                <w:b/>
                <w:sz w:val="24"/>
                <w:szCs w:val="24"/>
              </w:rPr>
              <w:t>TOTAL</w:t>
            </w:r>
            <w:r>
              <w:rPr>
                <w:rFonts w:ascii="Arial" w:hAnsi="Arial" w:cs="Arial"/>
                <w:b/>
                <w:sz w:val="24"/>
                <w:szCs w:val="24"/>
              </w:rPr>
              <w:t xml:space="preserve"> </w:t>
            </w:r>
          </w:p>
          <w:p w14:paraId="7DA8450F" w14:textId="568C430E" w:rsidR="004D046D" w:rsidRPr="00ED71B3" w:rsidRDefault="004D046D" w:rsidP="004D046D">
            <w:pPr>
              <w:jc w:val="center"/>
              <w:rPr>
                <w:rFonts w:ascii="Arial" w:hAnsi="Arial" w:cs="Arial"/>
                <w:b/>
                <w:sz w:val="24"/>
                <w:szCs w:val="24"/>
              </w:rPr>
            </w:pPr>
            <w:r>
              <w:rPr>
                <w:rFonts w:ascii="Arial" w:hAnsi="Arial" w:cs="Arial"/>
                <w:b/>
                <w:sz w:val="24"/>
                <w:szCs w:val="24"/>
              </w:rPr>
              <w:t>(%)</w:t>
            </w:r>
          </w:p>
        </w:tc>
        <w:tc>
          <w:tcPr>
            <w:tcW w:w="2218" w:type="dxa"/>
            <w:vAlign w:val="center"/>
          </w:tcPr>
          <w:p w14:paraId="3B6E3C1F" w14:textId="77777777" w:rsidR="004D046D" w:rsidRPr="002F3790" w:rsidRDefault="004D046D" w:rsidP="00793A9D">
            <w:pPr>
              <w:jc w:val="center"/>
              <w:rPr>
                <w:rFonts w:ascii="Arial" w:hAnsi="Arial" w:cs="Arial"/>
                <w:color w:val="000000"/>
                <w:sz w:val="24"/>
                <w:szCs w:val="24"/>
              </w:rPr>
            </w:pPr>
          </w:p>
        </w:tc>
        <w:tc>
          <w:tcPr>
            <w:tcW w:w="2085" w:type="dxa"/>
            <w:vAlign w:val="center"/>
          </w:tcPr>
          <w:p w14:paraId="0F054BDA" w14:textId="77777777" w:rsidR="004D046D" w:rsidRPr="002F3790" w:rsidRDefault="004D046D" w:rsidP="00793A9D">
            <w:pPr>
              <w:jc w:val="center"/>
              <w:rPr>
                <w:rFonts w:ascii="Arial" w:hAnsi="Arial" w:cs="Arial"/>
                <w:color w:val="000000"/>
                <w:sz w:val="24"/>
                <w:szCs w:val="24"/>
              </w:rPr>
            </w:pPr>
          </w:p>
        </w:tc>
        <w:tc>
          <w:tcPr>
            <w:tcW w:w="2177" w:type="dxa"/>
            <w:vAlign w:val="center"/>
          </w:tcPr>
          <w:p w14:paraId="593BB4D3" w14:textId="77777777" w:rsidR="004D046D" w:rsidRPr="002F3790" w:rsidRDefault="004D046D" w:rsidP="00793A9D">
            <w:pPr>
              <w:jc w:val="center"/>
              <w:rPr>
                <w:rFonts w:ascii="Arial" w:hAnsi="Arial" w:cs="Arial"/>
                <w:color w:val="000000"/>
                <w:sz w:val="24"/>
                <w:szCs w:val="24"/>
              </w:rPr>
            </w:pPr>
          </w:p>
        </w:tc>
        <w:tc>
          <w:tcPr>
            <w:tcW w:w="2523" w:type="dxa"/>
            <w:vAlign w:val="center"/>
          </w:tcPr>
          <w:p w14:paraId="6294D931" w14:textId="0DAC8EAE" w:rsidR="004D046D" w:rsidRPr="00F50C28" w:rsidRDefault="00F50C28" w:rsidP="00793A9D">
            <w:pPr>
              <w:jc w:val="center"/>
              <w:rPr>
                <w:rFonts w:ascii="Arial" w:hAnsi="Arial" w:cs="Arial"/>
                <w:b/>
                <w:color w:val="000000"/>
                <w:sz w:val="24"/>
                <w:szCs w:val="24"/>
              </w:rPr>
            </w:pPr>
            <w:r w:rsidRPr="00F50C28">
              <w:rPr>
                <w:rFonts w:ascii="Arial" w:hAnsi="Arial" w:cs="Arial"/>
                <w:b/>
                <w:color w:val="000000"/>
                <w:sz w:val="24"/>
                <w:szCs w:val="24"/>
              </w:rPr>
              <w:t>100%</w:t>
            </w:r>
          </w:p>
        </w:tc>
        <w:tc>
          <w:tcPr>
            <w:tcW w:w="2843" w:type="dxa"/>
            <w:vAlign w:val="center"/>
          </w:tcPr>
          <w:p w14:paraId="035D2524" w14:textId="55CD7D34" w:rsidR="004D046D" w:rsidRPr="003234EE" w:rsidRDefault="003234EE" w:rsidP="00793A9D">
            <w:pPr>
              <w:jc w:val="center"/>
              <w:rPr>
                <w:rFonts w:ascii="Arial" w:hAnsi="Arial" w:cs="Arial"/>
                <w:bCs/>
                <w:color w:val="000000"/>
                <w:sz w:val="24"/>
                <w:szCs w:val="24"/>
              </w:rPr>
            </w:pPr>
            <w:r w:rsidRPr="003234EE">
              <w:rPr>
                <w:rFonts w:ascii="Arial" w:hAnsi="Arial" w:cs="Arial"/>
                <w:bCs/>
                <w:color w:val="000000"/>
                <w:sz w:val="24"/>
                <w:szCs w:val="24"/>
              </w:rPr>
              <w:t>-------</w:t>
            </w:r>
            <w:r>
              <w:rPr>
                <w:rFonts w:ascii="Arial" w:hAnsi="Arial" w:cs="Arial"/>
                <w:bCs/>
                <w:color w:val="000000"/>
                <w:sz w:val="24"/>
                <w:szCs w:val="24"/>
              </w:rPr>
              <w:t>---------</w:t>
            </w:r>
            <w:r w:rsidRPr="003234EE">
              <w:rPr>
                <w:rFonts w:ascii="Arial" w:hAnsi="Arial" w:cs="Arial"/>
                <w:bCs/>
                <w:color w:val="000000"/>
                <w:sz w:val="24"/>
                <w:szCs w:val="24"/>
              </w:rPr>
              <w:t>---------</w:t>
            </w:r>
          </w:p>
        </w:tc>
        <w:tc>
          <w:tcPr>
            <w:tcW w:w="1308" w:type="dxa"/>
          </w:tcPr>
          <w:p w14:paraId="5246198E" w14:textId="77777777" w:rsidR="004D046D" w:rsidRPr="0088323C" w:rsidRDefault="004D046D" w:rsidP="00793A9D">
            <w:pPr>
              <w:jc w:val="center"/>
              <w:rPr>
                <w:rFonts w:ascii="Arial" w:hAnsi="Arial" w:cs="Arial"/>
                <w:b/>
                <w:bCs/>
                <w:color w:val="000000"/>
                <w:sz w:val="24"/>
                <w:szCs w:val="24"/>
              </w:rPr>
            </w:pPr>
          </w:p>
        </w:tc>
      </w:tr>
    </w:tbl>
    <w:p w14:paraId="7FFC03EE" w14:textId="112D7BF5" w:rsidR="002D609D" w:rsidRDefault="002D609D" w:rsidP="005C60F9">
      <w:pPr>
        <w:spacing w:line="360" w:lineRule="auto"/>
        <w:ind w:firstLine="851"/>
        <w:jc w:val="both"/>
        <w:rPr>
          <w:rFonts w:ascii="Arial" w:hAnsi="Arial" w:cs="Arial"/>
          <w:sz w:val="24"/>
          <w:szCs w:val="24"/>
        </w:rPr>
      </w:pPr>
    </w:p>
    <w:p w14:paraId="5695101B" w14:textId="55BB7346" w:rsidR="002D609D" w:rsidRDefault="002D609D" w:rsidP="005C60F9">
      <w:pPr>
        <w:spacing w:line="360" w:lineRule="auto"/>
        <w:ind w:firstLine="851"/>
        <w:jc w:val="both"/>
        <w:rPr>
          <w:rFonts w:ascii="Arial" w:hAnsi="Arial" w:cs="Arial"/>
          <w:sz w:val="24"/>
          <w:szCs w:val="24"/>
        </w:rPr>
      </w:pPr>
    </w:p>
    <w:p w14:paraId="518CB11D" w14:textId="77777777" w:rsidR="002D609D" w:rsidRDefault="002D609D" w:rsidP="000825A6">
      <w:pPr>
        <w:spacing w:line="360" w:lineRule="auto"/>
        <w:ind w:left="851"/>
        <w:jc w:val="both"/>
        <w:rPr>
          <w:rFonts w:ascii="Arial" w:hAnsi="Arial" w:cs="Arial"/>
          <w:b/>
          <w:sz w:val="24"/>
          <w:szCs w:val="24"/>
        </w:rPr>
        <w:sectPr w:rsidR="002D609D" w:rsidSect="002D609D">
          <w:pgSz w:w="16840" w:h="11900" w:orient="landscape"/>
          <w:pgMar w:top="1701" w:right="2268" w:bottom="851" w:left="1134" w:header="567" w:footer="284" w:gutter="0"/>
          <w:cols w:space="708"/>
          <w:docGrid w:linePitch="360"/>
        </w:sectPr>
      </w:pPr>
    </w:p>
    <w:p w14:paraId="7056A407" w14:textId="639BB8CB" w:rsidR="00B67821" w:rsidRDefault="00B67821" w:rsidP="00B67821">
      <w:pPr>
        <w:spacing w:line="360" w:lineRule="auto"/>
        <w:ind w:firstLine="851"/>
        <w:jc w:val="both"/>
        <w:rPr>
          <w:rFonts w:ascii="Arial" w:hAnsi="Arial" w:cs="Arial"/>
          <w:sz w:val="24"/>
          <w:szCs w:val="24"/>
        </w:rPr>
      </w:pPr>
      <w:r w:rsidRPr="00BD55B1">
        <w:rPr>
          <w:rFonts w:ascii="Arial" w:hAnsi="Arial" w:cs="Arial"/>
          <w:b/>
          <w:sz w:val="24"/>
          <w:szCs w:val="24"/>
        </w:rPr>
        <w:lastRenderedPageBreak/>
        <w:t xml:space="preserve">Apesar de </w:t>
      </w:r>
      <w:r w:rsidR="00A46B7C">
        <w:rPr>
          <w:rFonts w:ascii="Arial" w:hAnsi="Arial" w:cs="Arial"/>
          <w:b/>
          <w:sz w:val="24"/>
          <w:szCs w:val="24"/>
        </w:rPr>
        <w:t xml:space="preserve">a Secretaria de Estado da Economia </w:t>
      </w:r>
      <w:r w:rsidRPr="00BD55B1">
        <w:rPr>
          <w:rFonts w:ascii="Arial" w:hAnsi="Arial" w:cs="Arial"/>
          <w:b/>
          <w:sz w:val="24"/>
          <w:szCs w:val="24"/>
        </w:rPr>
        <w:t>ter informado os valores por empresa e ano, não informou a esta CPI o percentual</w:t>
      </w:r>
      <w:r>
        <w:rPr>
          <w:rFonts w:ascii="Arial" w:hAnsi="Arial" w:cs="Arial"/>
          <w:sz w:val="24"/>
          <w:szCs w:val="24"/>
        </w:rPr>
        <w:t xml:space="preserve"> que cada uma dessas categorias representa em relação ao total de crédito outorgado no período. Não obstante, esta CPI realizou esse cálculo aritmético, de modo que os valores e percentuais, em termos globais, podem ser sintetizados na forma da tabela</w:t>
      </w:r>
      <w:r w:rsidR="008B7305">
        <w:rPr>
          <w:rFonts w:ascii="Arial" w:hAnsi="Arial" w:cs="Arial"/>
          <w:sz w:val="24"/>
          <w:szCs w:val="24"/>
        </w:rPr>
        <w:t xml:space="preserve"> acima</w:t>
      </w:r>
      <w:r>
        <w:rPr>
          <w:rFonts w:ascii="Arial" w:hAnsi="Arial" w:cs="Arial"/>
          <w:sz w:val="24"/>
          <w:szCs w:val="24"/>
        </w:rPr>
        <w:t xml:space="preserve">, sem identificação dos </w:t>
      </w:r>
      <w:r w:rsidR="008B7305">
        <w:rPr>
          <w:rFonts w:ascii="Arial" w:hAnsi="Arial" w:cs="Arial"/>
          <w:sz w:val="24"/>
          <w:szCs w:val="24"/>
        </w:rPr>
        <w:t>beneficiários.</w:t>
      </w:r>
    </w:p>
    <w:p w14:paraId="6A123243" w14:textId="05A26B5F" w:rsidR="003234EE" w:rsidRDefault="003234EE" w:rsidP="003234EE">
      <w:pPr>
        <w:spacing w:line="360" w:lineRule="auto"/>
        <w:ind w:firstLine="851"/>
        <w:jc w:val="both"/>
        <w:rPr>
          <w:rFonts w:ascii="Arial" w:hAnsi="Arial" w:cs="Arial"/>
          <w:sz w:val="24"/>
          <w:szCs w:val="24"/>
        </w:rPr>
      </w:pPr>
      <w:r>
        <w:rPr>
          <w:rFonts w:ascii="Arial" w:hAnsi="Arial" w:cs="Arial"/>
          <w:sz w:val="24"/>
          <w:szCs w:val="24"/>
        </w:rPr>
        <w:t xml:space="preserve">De um simples exame da tabela acima, percebe-se claramente que </w:t>
      </w:r>
      <w:r w:rsidRPr="003234EE">
        <w:rPr>
          <w:rFonts w:ascii="Arial" w:hAnsi="Arial" w:cs="Arial"/>
          <w:b/>
          <w:sz w:val="24"/>
          <w:szCs w:val="24"/>
        </w:rPr>
        <w:t>o maior volume de crédito outorgado vem sendo utilizado pelas empresas sem qualquer exigência de contrapartida econômica e social</w:t>
      </w:r>
      <w:r>
        <w:rPr>
          <w:rFonts w:ascii="Arial" w:hAnsi="Arial" w:cs="Arial"/>
          <w:sz w:val="24"/>
          <w:szCs w:val="24"/>
        </w:rPr>
        <w:t xml:space="preserve">, visto que os créditos outorgados que exigem alguma espécie de contrapartida </w:t>
      </w:r>
      <w:r w:rsidRPr="00430357">
        <w:rPr>
          <w:rFonts w:ascii="Arial" w:hAnsi="Arial" w:cs="Arial"/>
          <w:sz w:val="24"/>
          <w:szCs w:val="24"/>
        </w:rPr>
        <w:t xml:space="preserve">equivalem a </w:t>
      </w:r>
      <w:r w:rsidR="00430357">
        <w:rPr>
          <w:rFonts w:ascii="Arial" w:hAnsi="Arial" w:cs="Arial"/>
          <w:sz w:val="24"/>
          <w:szCs w:val="24"/>
        </w:rPr>
        <w:t xml:space="preserve">aproximadamente </w:t>
      </w:r>
      <w:r>
        <w:rPr>
          <w:rFonts w:ascii="Arial" w:hAnsi="Arial" w:cs="Arial"/>
          <w:sz w:val="24"/>
          <w:szCs w:val="24"/>
        </w:rPr>
        <w:t>1% (um por cento)</w:t>
      </w:r>
      <w:r w:rsidR="00430357">
        <w:rPr>
          <w:rFonts w:ascii="Arial" w:hAnsi="Arial" w:cs="Arial"/>
          <w:sz w:val="24"/>
          <w:szCs w:val="24"/>
        </w:rPr>
        <w:t xml:space="preserve"> ou 2% (dois por cento)</w:t>
      </w:r>
      <w:r>
        <w:rPr>
          <w:rFonts w:ascii="Arial" w:hAnsi="Arial" w:cs="Arial"/>
          <w:sz w:val="24"/>
          <w:szCs w:val="24"/>
        </w:rPr>
        <w:t xml:space="preserve"> do total de renúncia de receitas dessa espécie</w:t>
      </w:r>
      <w:r w:rsidR="00AF02D1">
        <w:rPr>
          <w:rFonts w:ascii="Arial" w:hAnsi="Arial" w:cs="Arial"/>
          <w:sz w:val="24"/>
          <w:szCs w:val="24"/>
        </w:rPr>
        <w:t>, considerando o período de 2014 a 2018</w:t>
      </w:r>
      <w:r w:rsidR="006049A5">
        <w:rPr>
          <w:rFonts w:ascii="Arial" w:hAnsi="Arial" w:cs="Arial"/>
          <w:sz w:val="24"/>
          <w:szCs w:val="24"/>
        </w:rPr>
        <w:t>, objeto de apuração por esta CPI</w:t>
      </w:r>
      <w:r>
        <w:rPr>
          <w:rFonts w:ascii="Arial" w:hAnsi="Arial" w:cs="Arial"/>
          <w:sz w:val="24"/>
          <w:szCs w:val="24"/>
        </w:rPr>
        <w:t>.</w:t>
      </w:r>
    </w:p>
    <w:p w14:paraId="2487D63C" w14:textId="5B46B031" w:rsidR="003234EE" w:rsidRDefault="008238B8" w:rsidP="00660027">
      <w:pPr>
        <w:spacing w:line="360" w:lineRule="auto"/>
        <w:ind w:firstLine="851"/>
        <w:jc w:val="both"/>
        <w:rPr>
          <w:rFonts w:ascii="Arial" w:hAnsi="Arial" w:cs="Arial"/>
          <w:sz w:val="24"/>
          <w:szCs w:val="24"/>
        </w:rPr>
      </w:pPr>
      <w:r>
        <w:rPr>
          <w:rFonts w:ascii="Arial" w:hAnsi="Arial" w:cs="Arial"/>
          <w:sz w:val="24"/>
          <w:szCs w:val="24"/>
        </w:rPr>
        <w:t xml:space="preserve">Em </w:t>
      </w:r>
      <w:r w:rsidRPr="00A247D4">
        <w:rPr>
          <w:rFonts w:ascii="Arial" w:hAnsi="Arial" w:cs="Arial"/>
          <w:b/>
          <w:sz w:val="24"/>
          <w:szCs w:val="24"/>
        </w:rPr>
        <w:t>resposta aos itens 6 e 7 do Ofício nº 02/2019 desta CPI</w:t>
      </w:r>
      <w:r>
        <w:rPr>
          <w:rFonts w:ascii="Arial" w:hAnsi="Arial" w:cs="Arial"/>
          <w:sz w:val="24"/>
          <w:szCs w:val="24"/>
        </w:rPr>
        <w:t xml:space="preserve">, </w:t>
      </w:r>
      <w:r w:rsidR="00593EA1">
        <w:rPr>
          <w:rFonts w:ascii="Arial" w:hAnsi="Arial" w:cs="Arial"/>
          <w:sz w:val="24"/>
          <w:szCs w:val="24"/>
        </w:rPr>
        <w:t>a Secretaria</w:t>
      </w:r>
      <w:r>
        <w:rPr>
          <w:rFonts w:ascii="Arial" w:hAnsi="Arial" w:cs="Arial"/>
          <w:sz w:val="24"/>
          <w:szCs w:val="24"/>
        </w:rPr>
        <w:t xml:space="preserve"> informou</w:t>
      </w:r>
      <w:r w:rsidR="009201F0">
        <w:rPr>
          <w:rFonts w:ascii="Arial" w:hAnsi="Arial" w:cs="Arial"/>
          <w:sz w:val="24"/>
          <w:szCs w:val="24"/>
        </w:rPr>
        <w:t xml:space="preserve"> </w:t>
      </w:r>
      <w:r>
        <w:rPr>
          <w:rFonts w:ascii="Arial" w:hAnsi="Arial" w:cs="Arial"/>
          <w:sz w:val="24"/>
          <w:szCs w:val="24"/>
        </w:rPr>
        <w:t>que</w:t>
      </w:r>
      <w:r w:rsidR="009201F0">
        <w:rPr>
          <w:rFonts w:ascii="Arial" w:hAnsi="Arial" w:cs="Arial"/>
          <w:sz w:val="24"/>
          <w:szCs w:val="24"/>
        </w:rPr>
        <w:t>, das</w:t>
      </w:r>
      <w:r w:rsidR="00256789">
        <w:rPr>
          <w:rFonts w:ascii="Arial" w:hAnsi="Arial" w:cs="Arial"/>
          <w:sz w:val="24"/>
          <w:szCs w:val="24"/>
        </w:rPr>
        <w:t xml:space="preserve"> centenas ou talvez até</w:t>
      </w:r>
      <w:r w:rsidR="009201F0">
        <w:rPr>
          <w:rFonts w:ascii="Arial" w:hAnsi="Arial" w:cs="Arial"/>
          <w:sz w:val="24"/>
          <w:szCs w:val="24"/>
        </w:rPr>
        <w:t xml:space="preserve"> </w:t>
      </w:r>
      <w:r w:rsidR="00041C09">
        <w:rPr>
          <w:rFonts w:ascii="Arial" w:hAnsi="Arial" w:cs="Arial"/>
          <w:sz w:val="24"/>
          <w:szCs w:val="24"/>
        </w:rPr>
        <w:t>milhares</w:t>
      </w:r>
      <w:r w:rsidR="00436E2B">
        <w:rPr>
          <w:rFonts w:ascii="Arial" w:hAnsi="Arial" w:cs="Arial"/>
          <w:sz w:val="24"/>
          <w:szCs w:val="24"/>
        </w:rPr>
        <w:t xml:space="preserve"> de</w:t>
      </w:r>
      <w:r>
        <w:rPr>
          <w:rFonts w:ascii="Arial" w:hAnsi="Arial" w:cs="Arial"/>
          <w:sz w:val="24"/>
          <w:szCs w:val="24"/>
        </w:rPr>
        <w:t xml:space="preserve"> empresas beneficiadas com crédito outorgado</w:t>
      </w:r>
      <w:r w:rsidR="005A05F6">
        <w:rPr>
          <w:rFonts w:ascii="Arial" w:hAnsi="Arial" w:cs="Arial"/>
          <w:sz w:val="24"/>
          <w:szCs w:val="24"/>
        </w:rPr>
        <w:t xml:space="preserve"> no período de 2014 a 2018</w:t>
      </w:r>
      <w:r w:rsidR="00FC484C">
        <w:rPr>
          <w:rFonts w:ascii="Arial" w:hAnsi="Arial" w:cs="Arial"/>
          <w:sz w:val="24"/>
          <w:szCs w:val="24"/>
        </w:rPr>
        <w:t>, seja por prazo</w:t>
      </w:r>
      <w:r w:rsidR="009201F0">
        <w:rPr>
          <w:rFonts w:ascii="Arial" w:hAnsi="Arial" w:cs="Arial"/>
          <w:sz w:val="24"/>
          <w:szCs w:val="24"/>
        </w:rPr>
        <w:t xml:space="preserve"> determinado ou </w:t>
      </w:r>
      <w:r w:rsidR="00FC484C">
        <w:rPr>
          <w:rFonts w:ascii="Arial" w:hAnsi="Arial" w:cs="Arial"/>
          <w:sz w:val="24"/>
          <w:szCs w:val="24"/>
        </w:rPr>
        <w:t>indeterminado</w:t>
      </w:r>
      <w:r>
        <w:rPr>
          <w:rFonts w:ascii="Arial" w:hAnsi="Arial" w:cs="Arial"/>
          <w:sz w:val="24"/>
          <w:szCs w:val="24"/>
        </w:rPr>
        <w:t xml:space="preserve">, </w:t>
      </w:r>
      <w:r w:rsidR="003655CB" w:rsidRPr="00017354">
        <w:rPr>
          <w:rFonts w:ascii="Arial" w:hAnsi="Arial" w:cs="Arial"/>
          <w:b/>
          <w:sz w:val="24"/>
          <w:szCs w:val="24"/>
        </w:rPr>
        <w:t xml:space="preserve">apenas </w:t>
      </w:r>
      <w:r w:rsidR="002A4060" w:rsidRPr="008A7496">
        <w:rPr>
          <w:rFonts w:ascii="Arial" w:hAnsi="Arial" w:cs="Arial"/>
          <w:b/>
          <w:sz w:val="24"/>
          <w:szCs w:val="24"/>
        </w:rPr>
        <w:t>1</w:t>
      </w:r>
      <w:r w:rsidR="00E80DB5">
        <w:rPr>
          <w:rFonts w:ascii="Arial" w:hAnsi="Arial" w:cs="Arial"/>
          <w:b/>
          <w:sz w:val="24"/>
          <w:szCs w:val="24"/>
        </w:rPr>
        <w:t>2</w:t>
      </w:r>
      <w:r w:rsidR="003655CB" w:rsidRPr="008A7496">
        <w:rPr>
          <w:rFonts w:ascii="Arial" w:hAnsi="Arial" w:cs="Arial"/>
          <w:b/>
          <w:sz w:val="24"/>
          <w:szCs w:val="24"/>
        </w:rPr>
        <w:t xml:space="preserve"> (</w:t>
      </w:r>
      <w:r w:rsidR="00E80DB5">
        <w:rPr>
          <w:rFonts w:ascii="Arial" w:hAnsi="Arial" w:cs="Arial"/>
          <w:b/>
          <w:sz w:val="24"/>
          <w:szCs w:val="24"/>
        </w:rPr>
        <w:t>doze</w:t>
      </w:r>
      <w:r w:rsidR="003655CB" w:rsidRPr="008A7496">
        <w:rPr>
          <w:rFonts w:ascii="Arial" w:hAnsi="Arial" w:cs="Arial"/>
          <w:b/>
          <w:sz w:val="24"/>
          <w:szCs w:val="24"/>
        </w:rPr>
        <w:t>)</w:t>
      </w:r>
      <w:r w:rsidR="00E80DB5">
        <w:rPr>
          <w:rFonts w:ascii="Arial" w:hAnsi="Arial" w:cs="Arial"/>
          <w:b/>
          <w:sz w:val="24"/>
          <w:szCs w:val="24"/>
        </w:rPr>
        <w:t xml:space="preserve"> empresas</w:t>
      </w:r>
      <w:r w:rsidR="00AE0E85">
        <w:rPr>
          <w:rFonts w:ascii="Arial" w:hAnsi="Arial" w:cs="Arial"/>
          <w:b/>
          <w:sz w:val="24"/>
          <w:szCs w:val="24"/>
        </w:rPr>
        <w:t xml:space="preserve"> </w:t>
      </w:r>
      <w:r w:rsidRPr="008A7496">
        <w:rPr>
          <w:rFonts w:ascii="Arial" w:hAnsi="Arial" w:cs="Arial"/>
          <w:b/>
          <w:sz w:val="24"/>
          <w:szCs w:val="24"/>
        </w:rPr>
        <w:t>es</w:t>
      </w:r>
      <w:r w:rsidR="00926892" w:rsidRPr="008A7496">
        <w:rPr>
          <w:rFonts w:ascii="Arial" w:hAnsi="Arial" w:cs="Arial"/>
          <w:b/>
          <w:sz w:val="24"/>
          <w:szCs w:val="24"/>
        </w:rPr>
        <w:t>t</w:t>
      </w:r>
      <w:r w:rsidRPr="008A7496">
        <w:rPr>
          <w:rFonts w:ascii="Arial" w:hAnsi="Arial" w:cs="Arial"/>
          <w:b/>
          <w:sz w:val="24"/>
          <w:szCs w:val="24"/>
        </w:rPr>
        <w:t>ão</w:t>
      </w:r>
      <w:r w:rsidR="003655CB" w:rsidRPr="00017354">
        <w:rPr>
          <w:rFonts w:ascii="Arial" w:hAnsi="Arial" w:cs="Arial"/>
          <w:b/>
          <w:sz w:val="24"/>
          <w:szCs w:val="24"/>
        </w:rPr>
        <w:t xml:space="preserve"> sujeitas a algum</w:t>
      </w:r>
      <w:r w:rsidR="005A05F6">
        <w:rPr>
          <w:rFonts w:ascii="Arial" w:hAnsi="Arial" w:cs="Arial"/>
          <w:b/>
          <w:sz w:val="24"/>
          <w:szCs w:val="24"/>
        </w:rPr>
        <w:t>a</w:t>
      </w:r>
      <w:r w:rsidR="003655CB" w:rsidRPr="00017354">
        <w:rPr>
          <w:rFonts w:ascii="Arial" w:hAnsi="Arial" w:cs="Arial"/>
          <w:b/>
          <w:sz w:val="24"/>
          <w:szCs w:val="24"/>
        </w:rPr>
        <w:t xml:space="preserve"> </w:t>
      </w:r>
      <w:r w:rsidR="005A05F6">
        <w:rPr>
          <w:rFonts w:ascii="Arial" w:hAnsi="Arial" w:cs="Arial"/>
          <w:b/>
          <w:sz w:val="24"/>
          <w:szCs w:val="24"/>
        </w:rPr>
        <w:t>espécie</w:t>
      </w:r>
      <w:r w:rsidR="003655CB" w:rsidRPr="00017354">
        <w:rPr>
          <w:rFonts w:ascii="Arial" w:hAnsi="Arial" w:cs="Arial"/>
          <w:b/>
          <w:sz w:val="24"/>
          <w:szCs w:val="24"/>
        </w:rPr>
        <w:t xml:space="preserve"> de </w:t>
      </w:r>
      <w:r w:rsidR="003655CB" w:rsidRPr="00ED1FE6">
        <w:rPr>
          <w:rFonts w:ascii="Arial" w:hAnsi="Arial" w:cs="Arial"/>
          <w:b/>
          <w:sz w:val="24"/>
          <w:szCs w:val="24"/>
        </w:rPr>
        <w:t>contrapartida</w:t>
      </w:r>
      <w:r w:rsidRPr="00ED1FE6">
        <w:rPr>
          <w:rFonts w:ascii="Arial" w:hAnsi="Arial" w:cs="Arial"/>
          <w:b/>
          <w:sz w:val="24"/>
          <w:szCs w:val="24"/>
        </w:rPr>
        <w:t xml:space="preserve"> (Ofício nº 2.500/2019-Economia, p. 495)</w:t>
      </w:r>
      <w:r w:rsidR="00FC484C">
        <w:rPr>
          <w:rFonts w:ascii="Arial" w:hAnsi="Arial" w:cs="Arial"/>
          <w:sz w:val="24"/>
          <w:szCs w:val="24"/>
        </w:rPr>
        <w:t>.</w:t>
      </w:r>
      <w:r w:rsidR="00ED1FE6">
        <w:rPr>
          <w:rFonts w:ascii="Arial" w:hAnsi="Arial" w:cs="Arial"/>
          <w:sz w:val="24"/>
          <w:szCs w:val="24"/>
        </w:rPr>
        <w:t xml:space="preserve"> </w:t>
      </w:r>
      <w:r w:rsidR="00AE0E85">
        <w:rPr>
          <w:rFonts w:ascii="Arial" w:hAnsi="Arial" w:cs="Arial"/>
          <w:sz w:val="24"/>
          <w:szCs w:val="24"/>
          <w:u w:val="single"/>
        </w:rPr>
        <w:t>Além desse</w:t>
      </w:r>
      <w:r w:rsidR="00FC484C" w:rsidRPr="00A24AFB">
        <w:rPr>
          <w:rFonts w:ascii="Arial" w:hAnsi="Arial" w:cs="Arial"/>
          <w:sz w:val="24"/>
          <w:szCs w:val="24"/>
          <w:u w:val="single"/>
        </w:rPr>
        <w:t>s</w:t>
      </w:r>
      <w:r w:rsidR="00205ACB">
        <w:rPr>
          <w:rFonts w:ascii="Arial" w:hAnsi="Arial" w:cs="Arial"/>
          <w:sz w:val="24"/>
          <w:szCs w:val="24"/>
          <w:u w:val="single"/>
        </w:rPr>
        <w:t>, há outr</w:t>
      </w:r>
      <w:r w:rsidR="00E80DB5">
        <w:rPr>
          <w:rFonts w:ascii="Arial" w:hAnsi="Arial" w:cs="Arial"/>
          <w:sz w:val="24"/>
          <w:szCs w:val="24"/>
          <w:u w:val="single"/>
        </w:rPr>
        <w:t>a</w:t>
      </w:r>
      <w:r w:rsidR="00FC484C" w:rsidRPr="00A24AFB">
        <w:rPr>
          <w:rFonts w:ascii="Arial" w:hAnsi="Arial" w:cs="Arial"/>
          <w:sz w:val="24"/>
          <w:szCs w:val="24"/>
          <w:u w:val="single"/>
        </w:rPr>
        <w:t xml:space="preserve">s </w:t>
      </w:r>
      <w:r w:rsidR="00E80DB5">
        <w:rPr>
          <w:rFonts w:ascii="Arial" w:hAnsi="Arial" w:cs="Arial"/>
          <w:sz w:val="24"/>
          <w:szCs w:val="24"/>
          <w:u w:val="single"/>
        </w:rPr>
        <w:t>2</w:t>
      </w:r>
      <w:r w:rsidR="00FC484C" w:rsidRPr="00A24AFB">
        <w:rPr>
          <w:rFonts w:ascii="Arial" w:hAnsi="Arial" w:cs="Arial"/>
          <w:sz w:val="24"/>
          <w:szCs w:val="24"/>
          <w:u w:val="single"/>
        </w:rPr>
        <w:t xml:space="preserve"> (</w:t>
      </w:r>
      <w:r w:rsidR="00E80DB5">
        <w:rPr>
          <w:rFonts w:ascii="Arial" w:hAnsi="Arial" w:cs="Arial"/>
          <w:sz w:val="24"/>
          <w:szCs w:val="24"/>
          <w:u w:val="single"/>
        </w:rPr>
        <w:t>duas</w:t>
      </w:r>
      <w:r w:rsidR="00FC484C" w:rsidRPr="00A24AFB">
        <w:rPr>
          <w:rFonts w:ascii="Arial" w:hAnsi="Arial" w:cs="Arial"/>
          <w:sz w:val="24"/>
          <w:szCs w:val="24"/>
          <w:u w:val="single"/>
        </w:rPr>
        <w:t>)</w:t>
      </w:r>
      <w:r w:rsidR="008A7496">
        <w:rPr>
          <w:rFonts w:ascii="Arial" w:hAnsi="Arial" w:cs="Arial"/>
          <w:sz w:val="24"/>
          <w:szCs w:val="24"/>
          <w:u w:val="single"/>
        </w:rPr>
        <w:t xml:space="preserve"> </w:t>
      </w:r>
      <w:r w:rsidR="00E80DB5">
        <w:rPr>
          <w:rFonts w:ascii="Arial" w:hAnsi="Arial" w:cs="Arial"/>
          <w:sz w:val="24"/>
          <w:szCs w:val="24"/>
          <w:u w:val="single"/>
        </w:rPr>
        <w:t>empresas</w:t>
      </w:r>
      <w:r w:rsidR="000F60BD">
        <w:rPr>
          <w:rStyle w:val="Refdenotaderodap"/>
          <w:rFonts w:ascii="Arial" w:hAnsi="Arial" w:cs="Arial"/>
          <w:sz w:val="24"/>
          <w:szCs w:val="24"/>
          <w:u w:val="single"/>
        </w:rPr>
        <w:footnoteReference w:id="77"/>
      </w:r>
      <w:r w:rsidR="00E80DB5">
        <w:rPr>
          <w:rFonts w:ascii="Arial" w:hAnsi="Arial" w:cs="Arial"/>
          <w:sz w:val="24"/>
          <w:szCs w:val="24"/>
          <w:u w:val="single"/>
        </w:rPr>
        <w:t xml:space="preserve"> </w:t>
      </w:r>
      <w:r w:rsidR="008A7496">
        <w:rPr>
          <w:rFonts w:ascii="Arial" w:hAnsi="Arial" w:cs="Arial"/>
          <w:sz w:val="24"/>
          <w:szCs w:val="24"/>
          <w:u w:val="single"/>
        </w:rPr>
        <w:t>sujeit</w:t>
      </w:r>
      <w:r w:rsidR="00E80DB5">
        <w:rPr>
          <w:rFonts w:ascii="Arial" w:hAnsi="Arial" w:cs="Arial"/>
          <w:sz w:val="24"/>
          <w:szCs w:val="24"/>
          <w:u w:val="single"/>
        </w:rPr>
        <w:t>a</w:t>
      </w:r>
      <w:r w:rsidR="00FC484C" w:rsidRPr="00A24AFB">
        <w:rPr>
          <w:rFonts w:ascii="Arial" w:hAnsi="Arial" w:cs="Arial"/>
          <w:sz w:val="24"/>
          <w:szCs w:val="24"/>
          <w:u w:val="single"/>
        </w:rPr>
        <w:t>s a alguma espécie de contrapartida</w:t>
      </w:r>
      <w:r w:rsidR="00FC484C">
        <w:rPr>
          <w:rFonts w:ascii="Arial" w:hAnsi="Arial" w:cs="Arial"/>
          <w:sz w:val="24"/>
          <w:szCs w:val="24"/>
        </w:rPr>
        <w:t xml:space="preserve">, </w:t>
      </w:r>
      <w:r w:rsidR="000310D6">
        <w:rPr>
          <w:rFonts w:ascii="Arial" w:hAnsi="Arial" w:cs="Arial"/>
          <w:sz w:val="24"/>
          <w:szCs w:val="24"/>
        </w:rPr>
        <w:t>em decorrência de crédito especial para investimento, nos termos dos arts. 19 a 29 do Anexo IX do RCTE/GO.</w:t>
      </w:r>
    </w:p>
    <w:p w14:paraId="6388ACDF" w14:textId="2D56B8AA" w:rsidR="00793A9D" w:rsidRDefault="00AF7F32" w:rsidP="00660027">
      <w:pPr>
        <w:spacing w:line="360" w:lineRule="auto"/>
        <w:ind w:firstLine="851"/>
        <w:jc w:val="both"/>
        <w:rPr>
          <w:rFonts w:ascii="Arial" w:hAnsi="Arial" w:cs="Arial"/>
          <w:sz w:val="24"/>
          <w:szCs w:val="24"/>
        </w:rPr>
      </w:pPr>
      <w:r>
        <w:rPr>
          <w:rFonts w:ascii="Arial" w:hAnsi="Arial" w:cs="Arial"/>
          <w:sz w:val="24"/>
          <w:szCs w:val="24"/>
        </w:rPr>
        <w:t xml:space="preserve">Em relação aos </w:t>
      </w:r>
      <w:r w:rsidRPr="00B235AB">
        <w:rPr>
          <w:rFonts w:ascii="Arial" w:hAnsi="Arial" w:cs="Arial"/>
          <w:sz w:val="24"/>
          <w:szCs w:val="24"/>
        </w:rPr>
        <w:t>créditos outorgados</w:t>
      </w:r>
      <w:r>
        <w:rPr>
          <w:rFonts w:ascii="Arial" w:hAnsi="Arial" w:cs="Arial"/>
          <w:sz w:val="24"/>
          <w:szCs w:val="24"/>
        </w:rPr>
        <w:t>,</w:t>
      </w:r>
      <w:r w:rsidR="00793A9D">
        <w:rPr>
          <w:rFonts w:ascii="Arial" w:hAnsi="Arial" w:cs="Arial"/>
          <w:sz w:val="24"/>
          <w:szCs w:val="24"/>
        </w:rPr>
        <w:t xml:space="preserve"> um dos</w:t>
      </w:r>
      <w:r w:rsidR="00F94D9C">
        <w:rPr>
          <w:rFonts w:ascii="Arial" w:hAnsi="Arial" w:cs="Arial"/>
          <w:sz w:val="24"/>
          <w:szCs w:val="24"/>
        </w:rPr>
        <w:t xml:space="preserve"> principais</w:t>
      </w:r>
      <w:r w:rsidR="00793A9D">
        <w:rPr>
          <w:rFonts w:ascii="Arial" w:hAnsi="Arial" w:cs="Arial"/>
          <w:sz w:val="24"/>
          <w:szCs w:val="24"/>
        </w:rPr>
        <w:t xml:space="preserve"> focos desta CPI,</w:t>
      </w:r>
      <w:r>
        <w:rPr>
          <w:rFonts w:ascii="Arial" w:hAnsi="Arial" w:cs="Arial"/>
          <w:sz w:val="24"/>
          <w:szCs w:val="24"/>
        </w:rPr>
        <w:t xml:space="preserve"> </w:t>
      </w:r>
      <w:r w:rsidR="00D2713B">
        <w:rPr>
          <w:rFonts w:ascii="Arial" w:hAnsi="Arial" w:cs="Arial"/>
          <w:sz w:val="24"/>
          <w:szCs w:val="24"/>
        </w:rPr>
        <w:t xml:space="preserve">aqueles </w:t>
      </w:r>
      <w:r>
        <w:rPr>
          <w:rFonts w:ascii="Arial" w:hAnsi="Arial" w:cs="Arial"/>
          <w:sz w:val="24"/>
          <w:szCs w:val="24"/>
        </w:rPr>
        <w:t xml:space="preserve">que exigem alguma espécie de contrapartida são </w:t>
      </w:r>
      <w:r w:rsidR="006F6AE7">
        <w:rPr>
          <w:rFonts w:ascii="Arial" w:hAnsi="Arial" w:cs="Arial"/>
          <w:sz w:val="24"/>
          <w:szCs w:val="24"/>
        </w:rPr>
        <w:t>os seguintes</w:t>
      </w:r>
      <w:r w:rsidR="00D2713B">
        <w:rPr>
          <w:rFonts w:ascii="Arial" w:hAnsi="Arial" w:cs="Arial"/>
          <w:sz w:val="24"/>
          <w:szCs w:val="24"/>
        </w:rPr>
        <w:t xml:space="preserve">, segundo a Secretaria de Estado </w:t>
      </w:r>
      <w:r w:rsidR="00D2713B" w:rsidRPr="00AD56B7">
        <w:rPr>
          <w:rFonts w:ascii="Arial" w:hAnsi="Arial" w:cs="Arial"/>
          <w:sz w:val="24"/>
          <w:szCs w:val="24"/>
        </w:rPr>
        <w:t>da Economia,</w:t>
      </w:r>
      <w:r w:rsidR="006F6AE7" w:rsidRPr="00AD56B7">
        <w:rPr>
          <w:rFonts w:ascii="Arial" w:hAnsi="Arial" w:cs="Arial"/>
          <w:sz w:val="24"/>
          <w:szCs w:val="24"/>
        </w:rPr>
        <w:t xml:space="preserve"> previstos </w:t>
      </w:r>
      <w:r w:rsidR="00D2713B" w:rsidRPr="00AD56B7">
        <w:rPr>
          <w:rFonts w:ascii="Arial" w:hAnsi="Arial" w:cs="Arial"/>
          <w:sz w:val="24"/>
          <w:szCs w:val="24"/>
        </w:rPr>
        <w:t>no</w:t>
      </w:r>
      <w:r w:rsidR="006F6AE7" w:rsidRPr="00AD56B7">
        <w:rPr>
          <w:rFonts w:ascii="Arial" w:hAnsi="Arial" w:cs="Arial"/>
          <w:sz w:val="24"/>
          <w:szCs w:val="24"/>
        </w:rPr>
        <w:t xml:space="preserve"> Anexo IX do RCTE/GO,</w:t>
      </w:r>
      <w:r w:rsidRPr="00AD56B7">
        <w:rPr>
          <w:rFonts w:ascii="Arial" w:hAnsi="Arial" w:cs="Arial"/>
          <w:sz w:val="24"/>
          <w:szCs w:val="24"/>
        </w:rPr>
        <w:t xml:space="preserve"> </w:t>
      </w:r>
      <w:r w:rsidR="00793A9D" w:rsidRPr="00AD56B7">
        <w:rPr>
          <w:rFonts w:ascii="Arial" w:hAnsi="Arial" w:cs="Arial"/>
          <w:sz w:val="24"/>
          <w:szCs w:val="24"/>
        </w:rPr>
        <w:t>concedidos</w:t>
      </w:r>
      <w:r w:rsidR="006F6AE7" w:rsidRPr="00AD56B7">
        <w:rPr>
          <w:rFonts w:ascii="Arial" w:hAnsi="Arial" w:cs="Arial"/>
          <w:sz w:val="24"/>
          <w:szCs w:val="24"/>
        </w:rPr>
        <w:t xml:space="preserve"> para</w:t>
      </w:r>
      <w:r w:rsidR="00793A9D" w:rsidRPr="00AD56B7">
        <w:rPr>
          <w:rFonts w:ascii="Arial" w:hAnsi="Arial" w:cs="Arial"/>
          <w:sz w:val="24"/>
          <w:szCs w:val="24"/>
        </w:rPr>
        <w:t>:</w:t>
      </w:r>
    </w:p>
    <w:p w14:paraId="72F71BDC" w14:textId="77777777" w:rsidR="001A4A0A" w:rsidRDefault="001A4A0A" w:rsidP="00660027">
      <w:pPr>
        <w:spacing w:line="360" w:lineRule="auto"/>
        <w:ind w:firstLine="851"/>
        <w:jc w:val="both"/>
        <w:rPr>
          <w:rFonts w:ascii="Arial" w:hAnsi="Arial" w:cs="Arial"/>
          <w:sz w:val="24"/>
          <w:szCs w:val="24"/>
        </w:rPr>
      </w:pPr>
    </w:p>
    <w:p w14:paraId="6D11CA4E" w14:textId="2FD34851" w:rsidR="00AF7F32" w:rsidRPr="00AD56B7" w:rsidRDefault="00CD3999" w:rsidP="00502615">
      <w:pPr>
        <w:pStyle w:val="PargrafodaLista"/>
        <w:numPr>
          <w:ilvl w:val="0"/>
          <w:numId w:val="12"/>
        </w:numPr>
        <w:spacing w:line="360" w:lineRule="auto"/>
        <w:jc w:val="both"/>
        <w:rPr>
          <w:rFonts w:ascii="Arial" w:hAnsi="Arial" w:cs="Arial"/>
          <w:sz w:val="24"/>
          <w:szCs w:val="24"/>
        </w:rPr>
      </w:pPr>
      <w:r w:rsidRPr="00AD56B7">
        <w:rPr>
          <w:rFonts w:ascii="Arial" w:hAnsi="Arial" w:cs="Arial"/>
          <w:sz w:val="24"/>
          <w:szCs w:val="24"/>
        </w:rPr>
        <w:t>o industrial de veículo automotor e para o industrial fabricante de extintores de incêndio descartáveis de polímero de engenharia, de uso automotivo e cilindros em polímero para uso de GLP, beneficiários do PRODUZIR, que implantar ou ampliar empreendimento industrial no Estado de Goiás, nos limites, nas formas e condições estabelecidos em termo de acordo de regime especial celebrado com a Secretaria da Fazenda (art. 11, LVII);</w:t>
      </w:r>
    </w:p>
    <w:p w14:paraId="7F73326B" w14:textId="2A644E40" w:rsidR="00CD3999" w:rsidRPr="00AD56B7" w:rsidRDefault="00CD3999" w:rsidP="00502615">
      <w:pPr>
        <w:pStyle w:val="PargrafodaLista"/>
        <w:numPr>
          <w:ilvl w:val="0"/>
          <w:numId w:val="12"/>
        </w:numPr>
        <w:spacing w:line="360" w:lineRule="auto"/>
        <w:jc w:val="both"/>
        <w:rPr>
          <w:rFonts w:ascii="Arial" w:hAnsi="Arial" w:cs="Arial"/>
          <w:sz w:val="24"/>
          <w:szCs w:val="24"/>
        </w:rPr>
      </w:pPr>
      <w:r w:rsidRPr="00AD56B7">
        <w:rPr>
          <w:rFonts w:ascii="Arial" w:hAnsi="Arial" w:cs="Arial"/>
          <w:sz w:val="24"/>
          <w:szCs w:val="24"/>
        </w:rPr>
        <w:lastRenderedPageBreak/>
        <w:t>o industrial de veículo automotor, beneficiário do Fomentar, que ampliar empreendimento industrial no Estado de Goiás, nas formas limites e condições estabelecidos em termo de acordo de regime especial celebrado com a Secretaria da Fazenda (art. 11, LVIII);</w:t>
      </w:r>
    </w:p>
    <w:p w14:paraId="2FD76247" w14:textId="2B866D4D" w:rsidR="003721E8" w:rsidRPr="00AD56B7" w:rsidRDefault="00BE72E8" w:rsidP="00502615">
      <w:pPr>
        <w:pStyle w:val="PargrafodaLista"/>
        <w:numPr>
          <w:ilvl w:val="0"/>
          <w:numId w:val="12"/>
        </w:numPr>
        <w:spacing w:line="360" w:lineRule="auto"/>
        <w:jc w:val="both"/>
        <w:rPr>
          <w:rFonts w:ascii="Arial" w:hAnsi="Arial" w:cs="Arial"/>
          <w:sz w:val="24"/>
          <w:szCs w:val="24"/>
        </w:rPr>
      </w:pPr>
      <w:r w:rsidRPr="00AD56B7">
        <w:rPr>
          <w:rFonts w:ascii="Arial" w:hAnsi="Arial" w:cs="Arial"/>
          <w:sz w:val="24"/>
          <w:szCs w:val="24"/>
        </w:rPr>
        <w:t>a empresa industrial produtora de grupos geradores de energia elétrica, beneficiária do Produzir, de que trata a Lei nº 19.591</w:t>
      </w:r>
      <w:r w:rsidR="003C5625" w:rsidRPr="00AD56B7">
        <w:rPr>
          <w:rFonts w:ascii="Arial" w:hAnsi="Arial" w:cs="Arial"/>
          <w:sz w:val="24"/>
          <w:szCs w:val="24"/>
        </w:rPr>
        <w:t>/</w:t>
      </w:r>
      <w:r w:rsidRPr="00AD56B7">
        <w:rPr>
          <w:rFonts w:ascii="Arial" w:hAnsi="Arial" w:cs="Arial"/>
          <w:sz w:val="24"/>
          <w:szCs w:val="24"/>
        </w:rPr>
        <w:t xml:space="preserve">2000 (art. </w:t>
      </w:r>
      <w:r w:rsidR="006F6AE7" w:rsidRPr="00AD56B7">
        <w:rPr>
          <w:rFonts w:ascii="Arial" w:hAnsi="Arial" w:cs="Arial"/>
          <w:sz w:val="24"/>
          <w:szCs w:val="24"/>
        </w:rPr>
        <w:t xml:space="preserve">11, </w:t>
      </w:r>
      <w:r w:rsidRPr="00AD56B7">
        <w:rPr>
          <w:rFonts w:ascii="Arial" w:hAnsi="Arial" w:cs="Arial"/>
          <w:sz w:val="24"/>
          <w:szCs w:val="24"/>
        </w:rPr>
        <w:t>LX);</w:t>
      </w:r>
    </w:p>
    <w:p w14:paraId="5F1BED13" w14:textId="6AA898A2" w:rsidR="005A35D0" w:rsidRPr="00AD56B7" w:rsidRDefault="006700A5" w:rsidP="00502615">
      <w:pPr>
        <w:pStyle w:val="PargrafodaLista"/>
        <w:numPr>
          <w:ilvl w:val="0"/>
          <w:numId w:val="12"/>
        </w:numPr>
        <w:spacing w:line="360" w:lineRule="auto"/>
        <w:jc w:val="both"/>
        <w:rPr>
          <w:rFonts w:ascii="Arial" w:hAnsi="Arial" w:cs="Arial"/>
          <w:sz w:val="24"/>
          <w:szCs w:val="24"/>
        </w:rPr>
      </w:pPr>
      <w:r w:rsidRPr="00AD56B7">
        <w:rPr>
          <w:rFonts w:ascii="Arial" w:hAnsi="Arial" w:cs="Arial"/>
          <w:sz w:val="24"/>
          <w:szCs w:val="24"/>
        </w:rPr>
        <w:t>o beneficiário do PROGREDIR ou do CENTROPRODUZIR, no valor de até R$ 35.000.000,00 (trinta e cinco milhões de reais), para ser efetivamente investido em obras civis, aquisição de veículos e aquisição e colocação das máquinas, dos equipamentos e das instalações correspondentes à implantação ou ampliação de seus estabelecimentos situados no Estado de Goiás (art. 11, LXIV);</w:t>
      </w:r>
    </w:p>
    <w:p w14:paraId="60F479BB" w14:textId="7237F81B" w:rsidR="006700A5" w:rsidRDefault="0031599F" w:rsidP="00502615">
      <w:pPr>
        <w:pStyle w:val="PargrafodaLista"/>
        <w:numPr>
          <w:ilvl w:val="0"/>
          <w:numId w:val="12"/>
        </w:numPr>
        <w:spacing w:line="360" w:lineRule="auto"/>
        <w:jc w:val="both"/>
        <w:rPr>
          <w:rFonts w:ascii="Arial" w:hAnsi="Arial" w:cs="Arial"/>
          <w:sz w:val="24"/>
          <w:szCs w:val="24"/>
        </w:rPr>
      </w:pPr>
      <w:r>
        <w:rPr>
          <w:rFonts w:ascii="Arial" w:hAnsi="Arial" w:cs="Arial"/>
          <w:sz w:val="24"/>
          <w:szCs w:val="24"/>
        </w:rPr>
        <w:t xml:space="preserve">o </w:t>
      </w:r>
      <w:r w:rsidRPr="00887E3A">
        <w:rPr>
          <w:rFonts w:ascii="Arial" w:hAnsi="Arial" w:cs="Arial"/>
          <w:sz w:val="24"/>
          <w:szCs w:val="24"/>
        </w:rPr>
        <w:t xml:space="preserve">industrial fabricante de cerveja e chopp beneficiário do PRODUZIR, </w:t>
      </w:r>
      <w:r>
        <w:rPr>
          <w:rFonts w:ascii="Arial" w:hAnsi="Arial" w:cs="Arial"/>
          <w:sz w:val="24"/>
          <w:szCs w:val="24"/>
        </w:rPr>
        <w:t>n</w:t>
      </w:r>
      <w:r w:rsidRPr="00887E3A">
        <w:rPr>
          <w:rFonts w:ascii="Arial" w:hAnsi="Arial" w:cs="Arial"/>
          <w:sz w:val="24"/>
          <w:szCs w:val="24"/>
        </w:rPr>
        <w:t>o valor de até R$</w:t>
      </w:r>
      <w:r>
        <w:rPr>
          <w:rFonts w:ascii="Arial" w:hAnsi="Arial" w:cs="Arial"/>
          <w:sz w:val="24"/>
          <w:szCs w:val="24"/>
        </w:rPr>
        <w:t xml:space="preserve"> </w:t>
      </w:r>
      <w:r w:rsidRPr="00887E3A">
        <w:rPr>
          <w:rFonts w:ascii="Arial" w:hAnsi="Arial" w:cs="Arial"/>
          <w:sz w:val="24"/>
          <w:szCs w:val="24"/>
        </w:rPr>
        <w:t>12.000.000,00 (doze milhões de reais), para ser efetivamente investido em obra civil, em aquisição de bem destinado ao ativo imobilizado e em direito correspondente à tecnologia necessária à ampliação de empreendimento industrial</w:t>
      </w:r>
      <w:r>
        <w:rPr>
          <w:rFonts w:ascii="Arial" w:hAnsi="Arial" w:cs="Arial"/>
          <w:sz w:val="24"/>
          <w:szCs w:val="24"/>
        </w:rPr>
        <w:t xml:space="preserve"> (art. </w:t>
      </w:r>
      <w:r w:rsidR="00370548">
        <w:rPr>
          <w:rFonts w:ascii="Arial" w:hAnsi="Arial" w:cs="Arial"/>
          <w:sz w:val="24"/>
          <w:szCs w:val="24"/>
        </w:rPr>
        <w:t xml:space="preserve">11, </w:t>
      </w:r>
      <w:r w:rsidR="00370548" w:rsidRPr="00370548">
        <w:rPr>
          <w:rFonts w:ascii="Arial" w:hAnsi="Arial" w:cs="Arial"/>
          <w:sz w:val="24"/>
          <w:szCs w:val="24"/>
        </w:rPr>
        <w:t>LXVII</w:t>
      </w:r>
      <w:r>
        <w:rPr>
          <w:rFonts w:ascii="Arial" w:hAnsi="Arial" w:cs="Arial"/>
          <w:sz w:val="24"/>
          <w:szCs w:val="24"/>
        </w:rPr>
        <w:t>)</w:t>
      </w:r>
      <w:r w:rsidR="00370548">
        <w:rPr>
          <w:rFonts w:ascii="Arial" w:hAnsi="Arial" w:cs="Arial"/>
          <w:sz w:val="24"/>
          <w:szCs w:val="24"/>
        </w:rPr>
        <w:t>;</w:t>
      </w:r>
    </w:p>
    <w:p w14:paraId="683611E0" w14:textId="0FC0CC29" w:rsidR="001B5A3F" w:rsidRDefault="00463FA9" w:rsidP="00502615">
      <w:pPr>
        <w:pStyle w:val="PargrafodaLista"/>
        <w:numPr>
          <w:ilvl w:val="0"/>
          <w:numId w:val="12"/>
        </w:numPr>
        <w:spacing w:line="360" w:lineRule="auto"/>
        <w:jc w:val="both"/>
        <w:rPr>
          <w:rFonts w:ascii="Arial" w:hAnsi="Arial" w:cs="Arial"/>
          <w:sz w:val="24"/>
          <w:szCs w:val="24"/>
        </w:rPr>
      </w:pPr>
      <w:r w:rsidRPr="00887E3A">
        <w:rPr>
          <w:rFonts w:ascii="Arial" w:hAnsi="Arial" w:cs="Arial"/>
          <w:sz w:val="24"/>
          <w:szCs w:val="24"/>
        </w:rPr>
        <w:t xml:space="preserve">o </w:t>
      </w:r>
      <w:r w:rsidR="00F17EA0" w:rsidRPr="00377267">
        <w:rPr>
          <w:rFonts w:ascii="Arial" w:hAnsi="Arial" w:cs="Arial"/>
          <w:sz w:val="24"/>
          <w:szCs w:val="24"/>
        </w:rPr>
        <w:t>estabelecimento industrial beneficiário do PRODUZIR e do FOMENTAR até o valor equivalente à execução de obras de pavimentação de rodovia de acesso à unidade industrial em implantação ou já instalada no Estado de Goiás, nos termos e nas condições estabelecidos em Termo de Acordo de Regime Especial -TARE- celebrado com a Secretaria de Estado da Fazenda</w:t>
      </w:r>
      <w:r w:rsidR="00F17EA0">
        <w:rPr>
          <w:rFonts w:ascii="Arial" w:hAnsi="Arial" w:cs="Arial"/>
          <w:sz w:val="24"/>
          <w:szCs w:val="24"/>
        </w:rPr>
        <w:t xml:space="preserve"> </w:t>
      </w:r>
      <w:r w:rsidR="00684353">
        <w:rPr>
          <w:rFonts w:ascii="Arial" w:hAnsi="Arial" w:cs="Arial"/>
          <w:sz w:val="24"/>
          <w:szCs w:val="24"/>
        </w:rPr>
        <w:t xml:space="preserve">(art. 11, </w:t>
      </w:r>
      <w:r w:rsidR="00684353" w:rsidRPr="00370548">
        <w:rPr>
          <w:rFonts w:ascii="Arial" w:hAnsi="Arial" w:cs="Arial"/>
          <w:sz w:val="24"/>
          <w:szCs w:val="24"/>
        </w:rPr>
        <w:t>LXVI</w:t>
      </w:r>
      <w:r w:rsidR="00684353">
        <w:rPr>
          <w:rFonts w:ascii="Arial" w:hAnsi="Arial" w:cs="Arial"/>
          <w:sz w:val="24"/>
          <w:szCs w:val="24"/>
        </w:rPr>
        <w:t>I</w:t>
      </w:r>
      <w:r w:rsidR="00684353" w:rsidRPr="00370548">
        <w:rPr>
          <w:rFonts w:ascii="Arial" w:hAnsi="Arial" w:cs="Arial"/>
          <w:sz w:val="24"/>
          <w:szCs w:val="24"/>
        </w:rPr>
        <w:t>I</w:t>
      </w:r>
      <w:r w:rsidR="00684353">
        <w:rPr>
          <w:rFonts w:ascii="Arial" w:hAnsi="Arial" w:cs="Arial"/>
          <w:sz w:val="24"/>
          <w:szCs w:val="24"/>
        </w:rPr>
        <w:t>)</w:t>
      </w:r>
      <w:r>
        <w:rPr>
          <w:rFonts w:ascii="Arial" w:hAnsi="Arial" w:cs="Arial"/>
          <w:sz w:val="24"/>
          <w:szCs w:val="24"/>
        </w:rPr>
        <w:t>;</w:t>
      </w:r>
    </w:p>
    <w:p w14:paraId="7264EB27" w14:textId="44DD0F81" w:rsidR="00F17EA0" w:rsidRDefault="00F17EA0" w:rsidP="00502615">
      <w:pPr>
        <w:pStyle w:val="PargrafodaLista"/>
        <w:numPr>
          <w:ilvl w:val="0"/>
          <w:numId w:val="12"/>
        </w:numPr>
        <w:spacing w:line="360" w:lineRule="auto"/>
        <w:jc w:val="both"/>
        <w:rPr>
          <w:rFonts w:ascii="Arial" w:hAnsi="Arial" w:cs="Arial"/>
          <w:sz w:val="24"/>
          <w:szCs w:val="24"/>
        </w:rPr>
      </w:pPr>
      <w:r w:rsidRPr="00CA44C3">
        <w:rPr>
          <w:rFonts w:ascii="Arial" w:hAnsi="Arial" w:cs="Arial"/>
          <w:sz w:val="24"/>
          <w:szCs w:val="24"/>
        </w:rPr>
        <w:t xml:space="preserve">o industrial </w:t>
      </w:r>
      <w:r w:rsidRPr="00F17EA0">
        <w:rPr>
          <w:rFonts w:ascii="Arial" w:hAnsi="Arial" w:cs="Arial"/>
          <w:sz w:val="24"/>
          <w:szCs w:val="24"/>
        </w:rPr>
        <w:t>fabricante de conservas, atomatados e alimentos, beneficiário do PRODUZIR</w:t>
      </w:r>
      <w:r w:rsidR="00897667">
        <w:rPr>
          <w:rFonts w:ascii="Arial" w:hAnsi="Arial" w:cs="Arial"/>
          <w:sz w:val="24"/>
          <w:szCs w:val="24"/>
        </w:rPr>
        <w:t xml:space="preserve"> ou do </w:t>
      </w:r>
      <w:r w:rsidRPr="00F17EA0">
        <w:rPr>
          <w:rFonts w:ascii="Arial" w:hAnsi="Arial" w:cs="Arial"/>
          <w:sz w:val="24"/>
          <w:szCs w:val="24"/>
        </w:rPr>
        <w:t xml:space="preserve">FOMENTAR, </w:t>
      </w:r>
      <w:r w:rsidR="00897667">
        <w:rPr>
          <w:rFonts w:ascii="Arial" w:hAnsi="Arial" w:cs="Arial"/>
          <w:sz w:val="24"/>
          <w:szCs w:val="24"/>
        </w:rPr>
        <w:t xml:space="preserve">no valor </w:t>
      </w:r>
      <w:r w:rsidRPr="00F17EA0">
        <w:rPr>
          <w:rFonts w:ascii="Arial" w:hAnsi="Arial" w:cs="Arial"/>
          <w:sz w:val="24"/>
          <w:szCs w:val="24"/>
        </w:rPr>
        <w:t>equivalente a R$ 48.000.000,00 (quarenta e oito milhões de reais)</w:t>
      </w:r>
      <w:r w:rsidR="004167C5" w:rsidRPr="004167C5">
        <w:rPr>
          <w:rFonts w:ascii="Arial" w:hAnsi="Arial" w:cs="Arial"/>
          <w:sz w:val="24"/>
          <w:szCs w:val="24"/>
        </w:rPr>
        <w:t xml:space="preserve"> </w:t>
      </w:r>
      <w:r w:rsidR="004167C5">
        <w:rPr>
          <w:rFonts w:ascii="Arial" w:hAnsi="Arial" w:cs="Arial"/>
          <w:sz w:val="24"/>
          <w:szCs w:val="24"/>
        </w:rPr>
        <w:t xml:space="preserve">(art. 11, </w:t>
      </w:r>
      <w:r w:rsidR="004167C5" w:rsidRPr="006D0E51">
        <w:rPr>
          <w:rFonts w:ascii="Arial" w:hAnsi="Arial" w:cs="Arial"/>
          <w:sz w:val="24"/>
          <w:szCs w:val="24"/>
        </w:rPr>
        <w:t>LXXIV</w:t>
      </w:r>
      <w:r w:rsidR="004167C5">
        <w:rPr>
          <w:rFonts w:ascii="Arial" w:hAnsi="Arial" w:cs="Arial"/>
          <w:sz w:val="24"/>
          <w:szCs w:val="24"/>
        </w:rPr>
        <w:t>)</w:t>
      </w:r>
      <w:r w:rsidR="00897667">
        <w:rPr>
          <w:rFonts w:ascii="Arial" w:hAnsi="Arial" w:cs="Arial"/>
          <w:sz w:val="24"/>
          <w:szCs w:val="24"/>
        </w:rPr>
        <w:t>;</w:t>
      </w:r>
    </w:p>
    <w:p w14:paraId="6FA8A047" w14:textId="728760A2" w:rsidR="00DB47CA" w:rsidRDefault="00AE56F4" w:rsidP="00502615">
      <w:pPr>
        <w:pStyle w:val="PargrafodaLista"/>
        <w:numPr>
          <w:ilvl w:val="0"/>
          <w:numId w:val="12"/>
        </w:numPr>
        <w:spacing w:line="360" w:lineRule="auto"/>
        <w:jc w:val="both"/>
        <w:rPr>
          <w:rFonts w:ascii="Arial" w:hAnsi="Arial" w:cs="Arial"/>
          <w:sz w:val="24"/>
          <w:szCs w:val="24"/>
        </w:rPr>
      </w:pPr>
      <w:r w:rsidRPr="00F867E0">
        <w:rPr>
          <w:rFonts w:ascii="Arial" w:hAnsi="Arial" w:cs="Arial"/>
          <w:sz w:val="24"/>
          <w:szCs w:val="24"/>
        </w:rPr>
        <w:t xml:space="preserve">o estabelecimento beneficiário do PRODUZIR ou do FOMENTAR que promover a industrialização de produto comestível resultante de abate de aves, o valor de até R$ 36.500.000,00 (trinta e seis milhões e quinhentos mil reais), para ser efetivamente investido em projeto de implantação ou ampliação de complexo industrial situado no Estado de Goiás, a ser apropriado em parcelas mensais e sucessivas, limitada a 1/24 (um vinte </w:t>
      </w:r>
      <w:r w:rsidRPr="00F867E0">
        <w:rPr>
          <w:rFonts w:ascii="Arial" w:hAnsi="Arial" w:cs="Arial"/>
          <w:sz w:val="24"/>
          <w:szCs w:val="24"/>
        </w:rPr>
        <w:lastRenderedPageBreak/>
        <w:t>quatro avos) do valor total do crédito outorgado concedido</w:t>
      </w:r>
      <w:r>
        <w:rPr>
          <w:rFonts w:ascii="Arial" w:hAnsi="Arial" w:cs="Arial"/>
          <w:sz w:val="24"/>
          <w:szCs w:val="24"/>
        </w:rPr>
        <w:t xml:space="preserve"> (art. 12, IX, atualmente revogado pelo Decreto nº 8.663/2016</w:t>
      </w:r>
      <w:r w:rsidR="001E0A57">
        <w:rPr>
          <w:rFonts w:ascii="Arial" w:hAnsi="Arial" w:cs="Arial"/>
          <w:sz w:val="24"/>
          <w:szCs w:val="24"/>
        </w:rPr>
        <w:t>, cujo</w:t>
      </w:r>
      <w:r w:rsidR="001E0A57" w:rsidRPr="001E0A57">
        <w:rPr>
          <w:rFonts w:ascii="Arial" w:hAnsi="Arial" w:cs="Arial"/>
          <w:sz w:val="24"/>
          <w:szCs w:val="24"/>
        </w:rPr>
        <w:t xml:space="preserve"> art. 2º </w:t>
      </w:r>
      <w:r w:rsidR="001E0A57">
        <w:rPr>
          <w:rFonts w:ascii="Arial" w:hAnsi="Arial" w:cs="Arial"/>
          <w:sz w:val="24"/>
          <w:szCs w:val="24"/>
        </w:rPr>
        <w:t>ressalva a manutenção dos TARE’s</w:t>
      </w:r>
      <w:r w:rsidR="001E0A57" w:rsidRPr="001E0A57">
        <w:rPr>
          <w:rFonts w:ascii="Arial" w:hAnsi="Arial" w:cs="Arial"/>
          <w:sz w:val="24"/>
          <w:szCs w:val="24"/>
        </w:rPr>
        <w:t xml:space="preserve"> celebrados anteriormente à revogação para a utilização do benefício de que trata es</w:t>
      </w:r>
      <w:r w:rsidR="001E0A57">
        <w:rPr>
          <w:rFonts w:ascii="Arial" w:hAnsi="Arial" w:cs="Arial"/>
          <w:sz w:val="24"/>
          <w:szCs w:val="24"/>
        </w:rPr>
        <w:t>s</w:t>
      </w:r>
      <w:r w:rsidR="001E0A57" w:rsidRPr="001E0A57">
        <w:rPr>
          <w:rFonts w:ascii="Arial" w:hAnsi="Arial" w:cs="Arial"/>
          <w:sz w:val="24"/>
          <w:szCs w:val="24"/>
        </w:rPr>
        <w:t>e inciso</w:t>
      </w:r>
      <w:r>
        <w:rPr>
          <w:rFonts w:ascii="Arial" w:hAnsi="Arial" w:cs="Arial"/>
          <w:sz w:val="24"/>
          <w:szCs w:val="24"/>
        </w:rPr>
        <w:t>);</w:t>
      </w:r>
    </w:p>
    <w:p w14:paraId="414D7EA5" w14:textId="00016BC6" w:rsidR="00AE56F4" w:rsidRPr="00CD3999" w:rsidRDefault="002413C8" w:rsidP="00502615">
      <w:pPr>
        <w:pStyle w:val="PargrafodaLista"/>
        <w:numPr>
          <w:ilvl w:val="0"/>
          <w:numId w:val="12"/>
        </w:numPr>
        <w:spacing w:line="360" w:lineRule="auto"/>
        <w:jc w:val="both"/>
        <w:rPr>
          <w:rFonts w:ascii="Arial" w:hAnsi="Arial" w:cs="Arial"/>
          <w:sz w:val="24"/>
          <w:szCs w:val="24"/>
        </w:rPr>
      </w:pPr>
      <w:r w:rsidRPr="00B579B7">
        <w:rPr>
          <w:rFonts w:ascii="Arial" w:hAnsi="Arial" w:cs="Arial"/>
          <w:sz w:val="24"/>
          <w:szCs w:val="24"/>
        </w:rPr>
        <w:t>a empresa distribuidora de energia elétrica que implantar política de manutenção, melhoria e ampliação da distribuição de energia elétrica, até o valor equivalente aos investimentos em manutenção, melhoria e ampliação da infraestrutura de distribuição de energia elétrica no Estado de Goiás</w:t>
      </w:r>
      <w:r>
        <w:rPr>
          <w:rFonts w:ascii="Arial" w:hAnsi="Arial" w:cs="Arial"/>
          <w:sz w:val="24"/>
          <w:szCs w:val="24"/>
        </w:rPr>
        <w:t xml:space="preserve"> (art. 12, XIII, atualmente revogado pelo Decreto nº 9.560/2019);</w:t>
      </w:r>
    </w:p>
    <w:p w14:paraId="54A5DBFE" w14:textId="77777777" w:rsidR="00093ED0" w:rsidRDefault="00093ED0" w:rsidP="00660027">
      <w:pPr>
        <w:spacing w:line="360" w:lineRule="auto"/>
        <w:ind w:firstLine="851"/>
        <w:jc w:val="both"/>
        <w:rPr>
          <w:rFonts w:ascii="Arial" w:hAnsi="Arial" w:cs="Arial"/>
          <w:sz w:val="24"/>
          <w:szCs w:val="24"/>
        </w:rPr>
      </w:pPr>
    </w:p>
    <w:p w14:paraId="5253A097" w14:textId="00B75170" w:rsidR="008415E1" w:rsidRDefault="001E0A57" w:rsidP="00660027">
      <w:pPr>
        <w:spacing w:line="360" w:lineRule="auto"/>
        <w:ind w:firstLine="851"/>
        <w:jc w:val="both"/>
        <w:rPr>
          <w:rFonts w:ascii="Arial" w:hAnsi="Arial" w:cs="Arial"/>
          <w:sz w:val="24"/>
          <w:szCs w:val="24"/>
        </w:rPr>
      </w:pPr>
      <w:r>
        <w:rPr>
          <w:rFonts w:ascii="Arial" w:hAnsi="Arial" w:cs="Arial"/>
          <w:sz w:val="24"/>
          <w:szCs w:val="24"/>
        </w:rPr>
        <w:t>Em síntese</w:t>
      </w:r>
      <w:r w:rsidR="00ED1FE6" w:rsidRPr="00F50A52">
        <w:rPr>
          <w:rFonts w:ascii="Arial" w:hAnsi="Arial" w:cs="Arial"/>
          <w:sz w:val="24"/>
          <w:szCs w:val="24"/>
        </w:rPr>
        <w:t xml:space="preserve">, </w:t>
      </w:r>
      <w:r w:rsidR="00ED1FE6" w:rsidRPr="00F50A52">
        <w:rPr>
          <w:rFonts w:ascii="Arial" w:hAnsi="Arial" w:cs="Arial"/>
          <w:b/>
          <w:sz w:val="24"/>
          <w:szCs w:val="24"/>
        </w:rPr>
        <w:t xml:space="preserve">num universo de </w:t>
      </w:r>
      <w:r w:rsidR="003377E1">
        <w:rPr>
          <w:rFonts w:ascii="Arial" w:hAnsi="Arial" w:cs="Arial"/>
          <w:b/>
          <w:sz w:val="24"/>
          <w:szCs w:val="24"/>
        </w:rPr>
        <w:t>centenas ou talvez milhares</w:t>
      </w:r>
      <w:r w:rsidR="00345BB2" w:rsidRPr="00F50A52">
        <w:rPr>
          <w:rFonts w:ascii="Arial" w:hAnsi="Arial" w:cs="Arial"/>
          <w:b/>
          <w:sz w:val="24"/>
          <w:szCs w:val="24"/>
        </w:rPr>
        <w:t xml:space="preserve"> </w:t>
      </w:r>
      <w:r w:rsidR="003377E1">
        <w:rPr>
          <w:rFonts w:ascii="Arial" w:hAnsi="Arial" w:cs="Arial"/>
          <w:b/>
          <w:sz w:val="24"/>
          <w:szCs w:val="24"/>
        </w:rPr>
        <w:t xml:space="preserve">de </w:t>
      </w:r>
      <w:r w:rsidR="00ED1FE6" w:rsidRPr="00F50A52">
        <w:rPr>
          <w:rFonts w:ascii="Arial" w:hAnsi="Arial" w:cs="Arial"/>
          <w:b/>
          <w:sz w:val="24"/>
          <w:szCs w:val="24"/>
        </w:rPr>
        <w:t xml:space="preserve">empresas </w:t>
      </w:r>
      <w:r w:rsidR="00E64CBE">
        <w:rPr>
          <w:rFonts w:ascii="Arial" w:hAnsi="Arial" w:cs="Arial"/>
          <w:b/>
          <w:sz w:val="24"/>
          <w:szCs w:val="24"/>
        </w:rPr>
        <w:t>que fruíram</w:t>
      </w:r>
      <w:r w:rsidR="00ED1FE6" w:rsidRPr="00F50A52">
        <w:rPr>
          <w:rFonts w:ascii="Arial" w:hAnsi="Arial" w:cs="Arial"/>
          <w:b/>
          <w:sz w:val="24"/>
          <w:szCs w:val="24"/>
        </w:rPr>
        <w:t xml:space="preserve"> crédito outorgado</w:t>
      </w:r>
      <w:r w:rsidR="00E64CBE">
        <w:rPr>
          <w:rFonts w:ascii="Arial" w:hAnsi="Arial" w:cs="Arial"/>
          <w:b/>
          <w:sz w:val="24"/>
          <w:szCs w:val="24"/>
        </w:rPr>
        <w:t xml:space="preserve"> </w:t>
      </w:r>
      <w:r w:rsidR="00E64CBE" w:rsidRPr="00E64CBE">
        <w:rPr>
          <w:rFonts w:ascii="Arial" w:hAnsi="Arial" w:cs="Arial"/>
          <w:b/>
          <w:sz w:val="24"/>
          <w:szCs w:val="24"/>
        </w:rPr>
        <w:t xml:space="preserve">no período objeto de investigação (2014 a 2018), fruíram crédito outorgado sujeitas a alguma </w:t>
      </w:r>
      <w:r w:rsidR="00E64CBE" w:rsidRPr="00D94B7A">
        <w:rPr>
          <w:rFonts w:ascii="Arial" w:hAnsi="Arial" w:cs="Arial"/>
          <w:b/>
          <w:sz w:val="24"/>
          <w:szCs w:val="24"/>
        </w:rPr>
        <w:t>contrapartida</w:t>
      </w:r>
      <w:r w:rsidR="00ED1FE6" w:rsidRPr="00D94B7A">
        <w:rPr>
          <w:rFonts w:ascii="Arial" w:hAnsi="Arial" w:cs="Arial"/>
          <w:b/>
          <w:sz w:val="24"/>
          <w:szCs w:val="24"/>
        </w:rPr>
        <w:t xml:space="preserve"> </w:t>
      </w:r>
      <w:r w:rsidR="001822D2" w:rsidRPr="00D94B7A">
        <w:rPr>
          <w:rFonts w:ascii="Arial" w:hAnsi="Arial" w:cs="Arial"/>
          <w:b/>
          <w:sz w:val="24"/>
          <w:szCs w:val="24"/>
        </w:rPr>
        <w:t>1</w:t>
      </w:r>
      <w:r w:rsidR="00347270">
        <w:rPr>
          <w:rFonts w:ascii="Arial" w:hAnsi="Arial" w:cs="Arial"/>
          <w:b/>
          <w:sz w:val="24"/>
          <w:szCs w:val="24"/>
        </w:rPr>
        <w:t>2</w:t>
      </w:r>
      <w:r w:rsidR="00ED1FE6" w:rsidRPr="00D94B7A">
        <w:rPr>
          <w:rFonts w:ascii="Arial" w:hAnsi="Arial" w:cs="Arial"/>
          <w:b/>
          <w:sz w:val="24"/>
          <w:szCs w:val="24"/>
        </w:rPr>
        <w:t xml:space="preserve"> (</w:t>
      </w:r>
      <w:r w:rsidR="00347270">
        <w:rPr>
          <w:rFonts w:ascii="Arial" w:hAnsi="Arial" w:cs="Arial"/>
          <w:b/>
          <w:sz w:val="24"/>
          <w:szCs w:val="24"/>
        </w:rPr>
        <w:t>doze</w:t>
      </w:r>
      <w:r w:rsidR="00ED1FE6" w:rsidRPr="00D94B7A">
        <w:rPr>
          <w:rFonts w:ascii="Arial" w:hAnsi="Arial" w:cs="Arial"/>
          <w:b/>
          <w:sz w:val="24"/>
          <w:szCs w:val="24"/>
        </w:rPr>
        <w:t xml:space="preserve">) </w:t>
      </w:r>
      <w:r w:rsidR="00AE0E85">
        <w:rPr>
          <w:rFonts w:ascii="Arial" w:hAnsi="Arial" w:cs="Arial"/>
          <w:b/>
          <w:sz w:val="24"/>
          <w:szCs w:val="24"/>
        </w:rPr>
        <w:t>CNPJ’s</w:t>
      </w:r>
      <w:r w:rsidR="008415E1" w:rsidRPr="00D94B7A">
        <w:rPr>
          <w:rFonts w:ascii="Arial" w:hAnsi="Arial" w:cs="Arial"/>
          <w:sz w:val="24"/>
          <w:szCs w:val="24"/>
        </w:rPr>
        <w:t>,</w:t>
      </w:r>
      <w:r w:rsidR="008415E1">
        <w:rPr>
          <w:rFonts w:ascii="Arial" w:hAnsi="Arial" w:cs="Arial"/>
          <w:sz w:val="24"/>
          <w:szCs w:val="24"/>
        </w:rPr>
        <w:t xml:space="preserve"> sendo </w:t>
      </w:r>
      <w:r w:rsidR="008A7496">
        <w:rPr>
          <w:rFonts w:ascii="Arial" w:hAnsi="Arial" w:cs="Arial"/>
          <w:sz w:val="24"/>
          <w:szCs w:val="24"/>
        </w:rPr>
        <w:t>1</w:t>
      </w:r>
      <w:r w:rsidR="00347270">
        <w:rPr>
          <w:rFonts w:ascii="Arial" w:hAnsi="Arial" w:cs="Arial"/>
          <w:sz w:val="24"/>
          <w:szCs w:val="24"/>
        </w:rPr>
        <w:t>0</w:t>
      </w:r>
      <w:r w:rsidR="008415E1">
        <w:rPr>
          <w:rFonts w:ascii="Arial" w:hAnsi="Arial" w:cs="Arial"/>
          <w:sz w:val="24"/>
          <w:szCs w:val="24"/>
        </w:rPr>
        <w:t xml:space="preserve"> (</w:t>
      </w:r>
      <w:r w:rsidR="00347270">
        <w:rPr>
          <w:rFonts w:ascii="Arial" w:hAnsi="Arial" w:cs="Arial"/>
          <w:sz w:val="24"/>
          <w:szCs w:val="24"/>
        </w:rPr>
        <w:t>dez) beneficiária</w:t>
      </w:r>
      <w:r w:rsidR="008415E1">
        <w:rPr>
          <w:rFonts w:ascii="Arial" w:hAnsi="Arial" w:cs="Arial"/>
          <w:sz w:val="24"/>
          <w:szCs w:val="24"/>
        </w:rPr>
        <w:t xml:space="preserve">s de crédito outorgado </w:t>
      </w:r>
      <w:r w:rsidR="001822D2">
        <w:rPr>
          <w:rFonts w:ascii="Arial" w:hAnsi="Arial" w:cs="Arial"/>
          <w:sz w:val="24"/>
          <w:szCs w:val="24"/>
        </w:rPr>
        <w:t>por</w:t>
      </w:r>
      <w:r w:rsidR="008415E1">
        <w:rPr>
          <w:rFonts w:ascii="Arial" w:hAnsi="Arial" w:cs="Arial"/>
          <w:sz w:val="24"/>
          <w:szCs w:val="24"/>
        </w:rPr>
        <w:t xml:space="preserve"> prazo indeterminado e </w:t>
      </w:r>
      <w:r w:rsidR="001822D2">
        <w:rPr>
          <w:rFonts w:ascii="Arial" w:hAnsi="Arial" w:cs="Arial"/>
          <w:sz w:val="24"/>
          <w:szCs w:val="24"/>
        </w:rPr>
        <w:t>2 (</w:t>
      </w:r>
      <w:r w:rsidR="00347270">
        <w:rPr>
          <w:rFonts w:ascii="Arial" w:hAnsi="Arial" w:cs="Arial"/>
          <w:sz w:val="24"/>
          <w:szCs w:val="24"/>
        </w:rPr>
        <w:t>duas</w:t>
      </w:r>
      <w:r w:rsidR="001822D2">
        <w:rPr>
          <w:rFonts w:ascii="Arial" w:hAnsi="Arial" w:cs="Arial"/>
          <w:sz w:val="24"/>
          <w:szCs w:val="24"/>
        </w:rPr>
        <w:t>)</w:t>
      </w:r>
      <w:r w:rsidR="008415E1">
        <w:rPr>
          <w:rFonts w:ascii="Arial" w:hAnsi="Arial" w:cs="Arial"/>
          <w:sz w:val="24"/>
          <w:szCs w:val="24"/>
        </w:rPr>
        <w:t xml:space="preserve"> por prazo determinado</w:t>
      </w:r>
      <w:r w:rsidR="001822D2">
        <w:rPr>
          <w:rFonts w:ascii="Arial" w:hAnsi="Arial" w:cs="Arial"/>
          <w:sz w:val="24"/>
          <w:szCs w:val="24"/>
        </w:rPr>
        <w:t xml:space="preserve">, </w:t>
      </w:r>
      <w:r w:rsidR="001822D2" w:rsidRPr="0005408C">
        <w:rPr>
          <w:rFonts w:ascii="Arial" w:hAnsi="Arial" w:cs="Arial"/>
          <w:b/>
          <w:sz w:val="24"/>
          <w:szCs w:val="24"/>
        </w:rPr>
        <w:t xml:space="preserve">além </w:t>
      </w:r>
      <w:r w:rsidR="004D50CA" w:rsidRPr="0005408C">
        <w:rPr>
          <w:rFonts w:ascii="Arial" w:hAnsi="Arial" w:cs="Arial"/>
          <w:b/>
          <w:sz w:val="24"/>
          <w:szCs w:val="24"/>
        </w:rPr>
        <w:t>d</w:t>
      </w:r>
      <w:r w:rsidR="008415E1" w:rsidRPr="0005408C">
        <w:rPr>
          <w:rFonts w:ascii="Arial" w:hAnsi="Arial" w:cs="Arial"/>
          <w:b/>
          <w:sz w:val="24"/>
          <w:szCs w:val="24"/>
        </w:rPr>
        <w:t>e</w:t>
      </w:r>
      <w:r w:rsidR="007B0E8F" w:rsidRPr="0005408C">
        <w:rPr>
          <w:rFonts w:ascii="Arial" w:hAnsi="Arial" w:cs="Arial"/>
          <w:b/>
          <w:sz w:val="24"/>
          <w:szCs w:val="24"/>
        </w:rPr>
        <w:t xml:space="preserve"> outr</w:t>
      </w:r>
      <w:r w:rsidR="00347270">
        <w:rPr>
          <w:rFonts w:ascii="Arial" w:hAnsi="Arial" w:cs="Arial"/>
          <w:b/>
          <w:sz w:val="24"/>
          <w:szCs w:val="24"/>
        </w:rPr>
        <w:t>a</w:t>
      </w:r>
      <w:r w:rsidR="007B0E8F" w:rsidRPr="0005408C">
        <w:rPr>
          <w:rFonts w:ascii="Arial" w:hAnsi="Arial" w:cs="Arial"/>
          <w:b/>
          <w:sz w:val="24"/>
          <w:szCs w:val="24"/>
        </w:rPr>
        <w:t>s</w:t>
      </w:r>
      <w:r w:rsidR="008415E1" w:rsidRPr="0005408C">
        <w:rPr>
          <w:rFonts w:ascii="Arial" w:hAnsi="Arial" w:cs="Arial"/>
          <w:b/>
          <w:sz w:val="24"/>
          <w:szCs w:val="24"/>
        </w:rPr>
        <w:t xml:space="preserve"> </w:t>
      </w:r>
      <w:r w:rsidR="00347270">
        <w:rPr>
          <w:rFonts w:ascii="Arial" w:hAnsi="Arial" w:cs="Arial"/>
          <w:b/>
          <w:sz w:val="24"/>
          <w:szCs w:val="24"/>
        </w:rPr>
        <w:t>2</w:t>
      </w:r>
      <w:r w:rsidR="008415E1" w:rsidRPr="0005408C">
        <w:rPr>
          <w:rFonts w:ascii="Arial" w:hAnsi="Arial" w:cs="Arial"/>
          <w:b/>
          <w:sz w:val="24"/>
          <w:szCs w:val="24"/>
        </w:rPr>
        <w:t xml:space="preserve"> (</w:t>
      </w:r>
      <w:r w:rsidR="00347270">
        <w:rPr>
          <w:rFonts w:ascii="Arial" w:hAnsi="Arial" w:cs="Arial"/>
          <w:b/>
          <w:sz w:val="24"/>
          <w:szCs w:val="24"/>
        </w:rPr>
        <w:t>duas</w:t>
      </w:r>
      <w:r w:rsidR="008415E1" w:rsidRPr="0005408C">
        <w:rPr>
          <w:rFonts w:ascii="Arial" w:hAnsi="Arial" w:cs="Arial"/>
          <w:b/>
          <w:sz w:val="24"/>
          <w:szCs w:val="24"/>
        </w:rPr>
        <w:t>)</w:t>
      </w:r>
      <w:r w:rsidR="00347270">
        <w:rPr>
          <w:rFonts w:ascii="Arial" w:hAnsi="Arial" w:cs="Arial"/>
          <w:b/>
          <w:sz w:val="24"/>
          <w:szCs w:val="24"/>
        </w:rPr>
        <w:t xml:space="preserve"> empresas</w:t>
      </w:r>
      <w:r w:rsidR="008415E1" w:rsidRPr="0005408C">
        <w:rPr>
          <w:rFonts w:ascii="Arial" w:hAnsi="Arial" w:cs="Arial"/>
          <w:b/>
          <w:sz w:val="24"/>
          <w:szCs w:val="24"/>
        </w:rPr>
        <w:t xml:space="preserve"> beneficiári</w:t>
      </w:r>
      <w:r w:rsidR="00347270">
        <w:rPr>
          <w:rFonts w:ascii="Arial" w:hAnsi="Arial" w:cs="Arial"/>
          <w:b/>
          <w:sz w:val="24"/>
          <w:szCs w:val="24"/>
        </w:rPr>
        <w:t>a</w:t>
      </w:r>
      <w:r w:rsidR="008415E1" w:rsidRPr="0005408C">
        <w:rPr>
          <w:rFonts w:ascii="Arial" w:hAnsi="Arial" w:cs="Arial"/>
          <w:b/>
          <w:sz w:val="24"/>
          <w:szCs w:val="24"/>
        </w:rPr>
        <w:t>s de crédito especial para investimento</w:t>
      </w:r>
      <w:r w:rsidR="00E64CBE">
        <w:rPr>
          <w:rFonts w:ascii="Arial" w:hAnsi="Arial" w:cs="Arial"/>
          <w:sz w:val="24"/>
          <w:szCs w:val="24"/>
        </w:rPr>
        <w:t>, sem olvidar da possibilidade de</w:t>
      </w:r>
      <w:r w:rsidR="00AE0E85">
        <w:rPr>
          <w:rFonts w:ascii="Arial" w:hAnsi="Arial" w:cs="Arial"/>
          <w:sz w:val="24"/>
          <w:szCs w:val="24"/>
        </w:rPr>
        <w:t xml:space="preserve"> </w:t>
      </w:r>
      <w:r w:rsidR="00347270">
        <w:rPr>
          <w:rFonts w:ascii="Arial" w:hAnsi="Arial" w:cs="Arial"/>
          <w:sz w:val="24"/>
          <w:szCs w:val="24"/>
        </w:rPr>
        <w:t>ess</w:t>
      </w:r>
      <w:r w:rsidR="00AE0E85">
        <w:rPr>
          <w:rFonts w:ascii="Arial" w:hAnsi="Arial" w:cs="Arial"/>
          <w:sz w:val="24"/>
          <w:szCs w:val="24"/>
        </w:rPr>
        <w:t>as</w:t>
      </w:r>
      <w:r w:rsidR="00E64CBE">
        <w:rPr>
          <w:rFonts w:ascii="Arial" w:hAnsi="Arial" w:cs="Arial"/>
          <w:sz w:val="24"/>
          <w:szCs w:val="24"/>
        </w:rPr>
        <w:t xml:space="preserve"> </w:t>
      </w:r>
      <w:r w:rsidR="00E64CBE" w:rsidRPr="00AB2011">
        <w:rPr>
          <w:rFonts w:ascii="Arial" w:hAnsi="Arial" w:cs="Arial"/>
          <w:sz w:val="24"/>
          <w:szCs w:val="24"/>
        </w:rPr>
        <w:t>1</w:t>
      </w:r>
      <w:r w:rsidR="00AE0E85">
        <w:rPr>
          <w:rFonts w:ascii="Arial" w:hAnsi="Arial" w:cs="Arial"/>
          <w:sz w:val="24"/>
          <w:szCs w:val="24"/>
        </w:rPr>
        <w:t>4</w:t>
      </w:r>
      <w:r w:rsidR="00E64CBE" w:rsidRPr="00AB2011">
        <w:rPr>
          <w:rFonts w:ascii="Arial" w:hAnsi="Arial" w:cs="Arial"/>
          <w:sz w:val="24"/>
          <w:szCs w:val="24"/>
        </w:rPr>
        <w:t xml:space="preserve"> (</w:t>
      </w:r>
      <w:r w:rsidR="00AE0E85">
        <w:rPr>
          <w:rFonts w:ascii="Arial" w:hAnsi="Arial" w:cs="Arial"/>
          <w:sz w:val="24"/>
          <w:szCs w:val="24"/>
        </w:rPr>
        <w:t>catorze</w:t>
      </w:r>
      <w:r w:rsidR="00E64CBE" w:rsidRPr="00AB2011">
        <w:rPr>
          <w:rFonts w:ascii="Arial" w:hAnsi="Arial" w:cs="Arial"/>
          <w:sz w:val="24"/>
          <w:szCs w:val="24"/>
        </w:rPr>
        <w:t xml:space="preserve">) </w:t>
      </w:r>
      <w:r w:rsidR="00AE0E85">
        <w:rPr>
          <w:rFonts w:ascii="Arial" w:hAnsi="Arial" w:cs="Arial"/>
          <w:sz w:val="24"/>
          <w:szCs w:val="24"/>
        </w:rPr>
        <w:t xml:space="preserve">empresas </w:t>
      </w:r>
      <w:r w:rsidR="00E64CBE">
        <w:rPr>
          <w:rFonts w:ascii="Arial" w:hAnsi="Arial" w:cs="Arial"/>
          <w:sz w:val="24"/>
          <w:szCs w:val="24"/>
        </w:rPr>
        <w:t>terem mais de 1 (um) CNPJ fruindo nessa condição (mediante contrapartidas) ou de também terem</w:t>
      </w:r>
      <w:r w:rsidR="00E64CBE" w:rsidRPr="00AB2011">
        <w:rPr>
          <w:rFonts w:ascii="Arial" w:hAnsi="Arial" w:cs="Arial"/>
          <w:sz w:val="24"/>
          <w:szCs w:val="24"/>
        </w:rPr>
        <w:t xml:space="preserve"> </w:t>
      </w:r>
      <w:r w:rsidR="00E64CBE">
        <w:rPr>
          <w:rFonts w:ascii="Arial" w:hAnsi="Arial" w:cs="Arial"/>
          <w:sz w:val="24"/>
          <w:szCs w:val="24"/>
        </w:rPr>
        <w:t>sido</w:t>
      </w:r>
      <w:r w:rsidR="00E64CBE" w:rsidRPr="00AB2011">
        <w:rPr>
          <w:rFonts w:ascii="Arial" w:hAnsi="Arial" w:cs="Arial"/>
          <w:sz w:val="24"/>
          <w:szCs w:val="24"/>
        </w:rPr>
        <w:t xml:space="preserve"> simultaneamente beneficiárias </w:t>
      </w:r>
      <w:r w:rsidR="00E64CBE">
        <w:rPr>
          <w:rFonts w:ascii="Arial" w:hAnsi="Arial" w:cs="Arial"/>
          <w:sz w:val="24"/>
          <w:szCs w:val="24"/>
        </w:rPr>
        <w:t>dos Programas</w:t>
      </w:r>
      <w:r w:rsidR="00E64CBE" w:rsidRPr="00AB2011">
        <w:rPr>
          <w:rFonts w:ascii="Arial" w:hAnsi="Arial" w:cs="Arial"/>
          <w:sz w:val="24"/>
          <w:szCs w:val="24"/>
        </w:rPr>
        <w:t xml:space="preserve"> FOMENTAR, PRODUZIR </w:t>
      </w:r>
      <w:r w:rsidR="00E64CBE">
        <w:rPr>
          <w:rFonts w:ascii="Arial" w:hAnsi="Arial" w:cs="Arial"/>
          <w:sz w:val="24"/>
          <w:szCs w:val="24"/>
        </w:rPr>
        <w:t>ou</w:t>
      </w:r>
      <w:r w:rsidR="00E64CBE" w:rsidRPr="00AB2011">
        <w:rPr>
          <w:rFonts w:ascii="Arial" w:hAnsi="Arial" w:cs="Arial"/>
          <w:sz w:val="24"/>
          <w:szCs w:val="24"/>
        </w:rPr>
        <w:t xml:space="preserve"> mesmo </w:t>
      </w:r>
      <w:r w:rsidR="00E64CBE">
        <w:rPr>
          <w:rFonts w:ascii="Arial" w:hAnsi="Arial" w:cs="Arial"/>
          <w:sz w:val="24"/>
          <w:szCs w:val="24"/>
        </w:rPr>
        <w:t xml:space="preserve">de </w:t>
      </w:r>
      <w:r w:rsidR="00E64CBE" w:rsidRPr="00AB2011">
        <w:rPr>
          <w:rFonts w:ascii="Arial" w:hAnsi="Arial" w:cs="Arial"/>
          <w:sz w:val="24"/>
          <w:szCs w:val="24"/>
        </w:rPr>
        <w:t>outros créditos outorgados sem exigência de contrapartidas</w:t>
      </w:r>
      <w:r w:rsidR="007F63A5">
        <w:rPr>
          <w:rFonts w:ascii="Arial" w:hAnsi="Arial" w:cs="Arial"/>
          <w:sz w:val="24"/>
          <w:szCs w:val="24"/>
        </w:rPr>
        <w:t>.</w:t>
      </w:r>
    </w:p>
    <w:p w14:paraId="7BA45705" w14:textId="7665C0FC" w:rsidR="00F473E8" w:rsidRDefault="008415E1" w:rsidP="00660027">
      <w:pPr>
        <w:spacing w:line="360" w:lineRule="auto"/>
        <w:ind w:firstLine="851"/>
        <w:jc w:val="both"/>
        <w:rPr>
          <w:rFonts w:ascii="Arial" w:hAnsi="Arial" w:cs="Arial"/>
          <w:sz w:val="24"/>
          <w:szCs w:val="24"/>
        </w:rPr>
      </w:pPr>
      <w:r w:rsidRPr="008415E1">
        <w:rPr>
          <w:rFonts w:ascii="Arial" w:hAnsi="Arial" w:cs="Arial"/>
          <w:b/>
          <w:sz w:val="24"/>
          <w:szCs w:val="24"/>
        </w:rPr>
        <w:t>Tendo em vista a complexidade em investigar cada</w:t>
      </w:r>
      <w:r w:rsidR="001A49C2">
        <w:rPr>
          <w:rFonts w:ascii="Arial" w:hAnsi="Arial" w:cs="Arial"/>
          <w:b/>
          <w:sz w:val="24"/>
          <w:szCs w:val="24"/>
        </w:rPr>
        <w:t xml:space="preserve"> crédito outorgado concedido a </w:t>
      </w:r>
      <w:r w:rsidRPr="008415E1">
        <w:rPr>
          <w:rFonts w:ascii="Arial" w:hAnsi="Arial" w:cs="Arial"/>
          <w:b/>
          <w:sz w:val="24"/>
          <w:szCs w:val="24"/>
        </w:rPr>
        <w:t>empresas</w:t>
      </w:r>
      <w:r w:rsidR="001A49C2">
        <w:rPr>
          <w:rFonts w:ascii="Arial" w:hAnsi="Arial" w:cs="Arial"/>
          <w:b/>
          <w:sz w:val="24"/>
          <w:szCs w:val="24"/>
        </w:rPr>
        <w:t xml:space="preserve"> mediante contrapartidas</w:t>
      </w:r>
      <w:r>
        <w:rPr>
          <w:rFonts w:ascii="Arial" w:hAnsi="Arial" w:cs="Arial"/>
          <w:sz w:val="24"/>
          <w:szCs w:val="24"/>
        </w:rPr>
        <w:t xml:space="preserve">, que exigiriam autos apartados para cada uma delas, além da requisição de documentos e informações específicas </w:t>
      </w:r>
      <w:r w:rsidR="007B0E8F">
        <w:rPr>
          <w:rFonts w:ascii="Arial" w:hAnsi="Arial" w:cs="Arial"/>
          <w:sz w:val="24"/>
          <w:szCs w:val="24"/>
        </w:rPr>
        <w:t xml:space="preserve">de diversos órgãos </w:t>
      </w:r>
      <w:r>
        <w:rPr>
          <w:rFonts w:ascii="Arial" w:hAnsi="Arial" w:cs="Arial"/>
          <w:sz w:val="24"/>
          <w:szCs w:val="24"/>
        </w:rPr>
        <w:t xml:space="preserve">sobre elas, esta CPI limitar-se-á a recomendar auditorias específicas </w:t>
      </w:r>
      <w:r w:rsidR="007B0E8F">
        <w:rPr>
          <w:rFonts w:ascii="Arial" w:hAnsi="Arial" w:cs="Arial"/>
          <w:sz w:val="24"/>
          <w:szCs w:val="24"/>
        </w:rPr>
        <w:t>e periódicas em relação a cada uma de</w:t>
      </w:r>
      <w:r>
        <w:rPr>
          <w:rFonts w:ascii="Arial" w:hAnsi="Arial" w:cs="Arial"/>
          <w:sz w:val="24"/>
          <w:szCs w:val="24"/>
        </w:rPr>
        <w:t xml:space="preserve">ssas pessoas jurídicas por parte dos órgãos de controle, em especial </w:t>
      </w:r>
      <w:r w:rsidR="00066248">
        <w:rPr>
          <w:rFonts w:ascii="Arial" w:hAnsi="Arial" w:cs="Arial"/>
          <w:sz w:val="24"/>
          <w:szCs w:val="24"/>
        </w:rPr>
        <w:t xml:space="preserve">a </w:t>
      </w:r>
      <w:r>
        <w:rPr>
          <w:rFonts w:ascii="Arial" w:hAnsi="Arial" w:cs="Arial"/>
          <w:sz w:val="24"/>
          <w:szCs w:val="24"/>
        </w:rPr>
        <w:t>CGE/GO</w:t>
      </w:r>
      <w:r w:rsidR="00380258">
        <w:rPr>
          <w:rFonts w:ascii="Arial" w:hAnsi="Arial" w:cs="Arial"/>
          <w:sz w:val="24"/>
          <w:szCs w:val="24"/>
        </w:rPr>
        <w:t xml:space="preserve"> e</w:t>
      </w:r>
      <w:r w:rsidR="00066248">
        <w:rPr>
          <w:rFonts w:ascii="Arial" w:hAnsi="Arial" w:cs="Arial"/>
          <w:sz w:val="24"/>
          <w:szCs w:val="24"/>
        </w:rPr>
        <w:t xml:space="preserve"> o TCE/GO, sem prejuízo do acompanhamento </w:t>
      </w:r>
      <w:r>
        <w:rPr>
          <w:rFonts w:ascii="Arial" w:hAnsi="Arial" w:cs="Arial"/>
          <w:sz w:val="24"/>
          <w:szCs w:val="24"/>
        </w:rPr>
        <w:t>do MPGO; e, se constatas irregularidades, sejam tomadas as medidas pertinentes.</w:t>
      </w:r>
      <w:r w:rsidR="008D3685">
        <w:rPr>
          <w:rFonts w:ascii="Arial" w:hAnsi="Arial" w:cs="Arial"/>
          <w:sz w:val="24"/>
          <w:szCs w:val="24"/>
        </w:rPr>
        <w:t xml:space="preserve"> </w:t>
      </w:r>
    </w:p>
    <w:p w14:paraId="6FAA3D55" w14:textId="6DF5E8E5" w:rsidR="00ED1FE6" w:rsidRDefault="004D340B" w:rsidP="00660027">
      <w:pPr>
        <w:spacing w:line="360" w:lineRule="auto"/>
        <w:ind w:firstLine="851"/>
        <w:jc w:val="both"/>
        <w:rPr>
          <w:rFonts w:ascii="Arial" w:hAnsi="Arial" w:cs="Arial"/>
          <w:sz w:val="24"/>
          <w:szCs w:val="24"/>
        </w:rPr>
      </w:pPr>
      <w:r>
        <w:rPr>
          <w:rFonts w:ascii="Arial" w:hAnsi="Arial" w:cs="Arial"/>
          <w:sz w:val="24"/>
          <w:szCs w:val="24"/>
        </w:rPr>
        <w:t>Porém, mesmo que haja irregularidades com relaç</w:t>
      </w:r>
      <w:r w:rsidR="00065744">
        <w:rPr>
          <w:rFonts w:ascii="Arial" w:hAnsi="Arial" w:cs="Arial"/>
          <w:sz w:val="24"/>
          <w:szCs w:val="24"/>
        </w:rPr>
        <w:t xml:space="preserve">ão </w:t>
      </w:r>
      <w:r w:rsidR="00B060AB">
        <w:rPr>
          <w:rFonts w:ascii="Arial" w:hAnsi="Arial" w:cs="Arial"/>
          <w:sz w:val="24"/>
          <w:szCs w:val="24"/>
        </w:rPr>
        <w:t>à fruição d</w:t>
      </w:r>
      <w:r w:rsidR="00065744">
        <w:rPr>
          <w:rFonts w:ascii="Arial" w:hAnsi="Arial" w:cs="Arial"/>
          <w:sz w:val="24"/>
          <w:szCs w:val="24"/>
        </w:rPr>
        <w:t>esse</w:t>
      </w:r>
      <w:r>
        <w:rPr>
          <w:rFonts w:ascii="Arial" w:hAnsi="Arial" w:cs="Arial"/>
          <w:sz w:val="24"/>
          <w:szCs w:val="24"/>
        </w:rPr>
        <w:t>s</w:t>
      </w:r>
      <w:r w:rsidR="00065744">
        <w:rPr>
          <w:rFonts w:ascii="Arial" w:hAnsi="Arial" w:cs="Arial"/>
          <w:sz w:val="24"/>
          <w:szCs w:val="24"/>
        </w:rPr>
        <w:t xml:space="preserve"> créditos outorgados</w:t>
      </w:r>
      <w:r>
        <w:rPr>
          <w:rFonts w:ascii="Arial" w:hAnsi="Arial" w:cs="Arial"/>
          <w:sz w:val="24"/>
          <w:szCs w:val="24"/>
        </w:rPr>
        <w:t xml:space="preserve">, </w:t>
      </w:r>
      <w:r w:rsidRPr="004D340B">
        <w:rPr>
          <w:rFonts w:ascii="Arial" w:hAnsi="Arial" w:cs="Arial"/>
          <w:b/>
          <w:sz w:val="24"/>
          <w:szCs w:val="24"/>
        </w:rPr>
        <w:t xml:space="preserve">os </w:t>
      </w:r>
      <w:r w:rsidR="00065744">
        <w:rPr>
          <w:rFonts w:ascii="Arial" w:hAnsi="Arial" w:cs="Arial"/>
          <w:b/>
          <w:sz w:val="24"/>
          <w:szCs w:val="24"/>
        </w:rPr>
        <w:t xml:space="preserve">respectivos </w:t>
      </w:r>
      <w:r w:rsidR="004E2078">
        <w:rPr>
          <w:rFonts w:ascii="Arial" w:hAnsi="Arial" w:cs="Arial"/>
          <w:b/>
          <w:sz w:val="24"/>
          <w:szCs w:val="24"/>
        </w:rPr>
        <w:t>valores fruídos, relativamente a es</w:t>
      </w:r>
      <w:r w:rsidRPr="004D340B">
        <w:rPr>
          <w:rFonts w:ascii="Arial" w:hAnsi="Arial" w:cs="Arial"/>
          <w:b/>
          <w:sz w:val="24"/>
          <w:szCs w:val="24"/>
        </w:rPr>
        <w:t>se conjunto de 1</w:t>
      </w:r>
      <w:r w:rsidR="00380258">
        <w:rPr>
          <w:rFonts w:ascii="Arial" w:hAnsi="Arial" w:cs="Arial"/>
          <w:b/>
          <w:sz w:val="24"/>
          <w:szCs w:val="24"/>
        </w:rPr>
        <w:t>4</w:t>
      </w:r>
      <w:r w:rsidRPr="004D340B">
        <w:rPr>
          <w:rFonts w:ascii="Arial" w:hAnsi="Arial" w:cs="Arial"/>
          <w:b/>
          <w:sz w:val="24"/>
          <w:szCs w:val="24"/>
        </w:rPr>
        <w:t xml:space="preserve"> (</w:t>
      </w:r>
      <w:r w:rsidR="00380258">
        <w:rPr>
          <w:rFonts w:ascii="Arial" w:hAnsi="Arial" w:cs="Arial"/>
          <w:b/>
          <w:sz w:val="24"/>
          <w:szCs w:val="24"/>
        </w:rPr>
        <w:t>catorze</w:t>
      </w:r>
      <w:r w:rsidRPr="004D340B">
        <w:rPr>
          <w:rFonts w:ascii="Arial" w:hAnsi="Arial" w:cs="Arial"/>
          <w:b/>
          <w:sz w:val="24"/>
          <w:szCs w:val="24"/>
        </w:rPr>
        <w:t>) empresas</w:t>
      </w:r>
      <w:r>
        <w:rPr>
          <w:rFonts w:ascii="Arial" w:hAnsi="Arial" w:cs="Arial"/>
          <w:b/>
          <w:sz w:val="24"/>
          <w:szCs w:val="24"/>
        </w:rPr>
        <w:t>, no período de 2014 a 2018,</w:t>
      </w:r>
      <w:r w:rsidRPr="004D340B">
        <w:rPr>
          <w:rFonts w:ascii="Arial" w:hAnsi="Arial" w:cs="Arial"/>
          <w:b/>
          <w:sz w:val="24"/>
          <w:szCs w:val="24"/>
        </w:rPr>
        <w:t xml:space="preserve"> somam o total de R$ 328.949.824,06</w:t>
      </w:r>
      <w:r>
        <w:rPr>
          <w:rFonts w:ascii="Arial" w:hAnsi="Arial" w:cs="Arial"/>
          <w:sz w:val="24"/>
          <w:szCs w:val="24"/>
        </w:rPr>
        <w:t xml:space="preserve"> (trezentos e vinte e oito milhões, novecentos e quarenta e nove mil, oitocentos e vinte e quatro reais e seis centavos), </w:t>
      </w:r>
      <w:r w:rsidRPr="00065744">
        <w:rPr>
          <w:rFonts w:ascii="Arial" w:hAnsi="Arial" w:cs="Arial"/>
          <w:sz w:val="24"/>
          <w:szCs w:val="24"/>
          <w:u w:val="single"/>
        </w:rPr>
        <w:t xml:space="preserve">quantia considerável, mas que, lembrando, representa </w:t>
      </w:r>
      <w:r w:rsidR="00F37576" w:rsidRPr="00863529">
        <w:rPr>
          <w:rFonts w:ascii="Arial" w:hAnsi="Arial" w:cs="Arial"/>
          <w:sz w:val="24"/>
          <w:szCs w:val="24"/>
          <w:u w:val="single"/>
        </w:rPr>
        <w:t>apenas</w:t>
      </w:r>
      <w:r w:rsidR="00F37576">
        <w:rPr>
          <w:rFonts w:ascii="Arial" w:hAnsi="Arial" w:cs="Arial"/>
          <w:sz w:val="24"/>
          <w:szCs w:val="24"/>
          <w:u w:val="single"/>
        </w:rPr>
        <w:t xml:space="preserve"> </w:t>
      </w:r>
      <w:r w:rsidR="00312506">
        <w:rPr>
          <w:rFonts w:ascii="Arial" w:hAnsi="Arial" w:cs="Arial"/>
          <w:sz w:val="24"/>
          <w:szCs w:val="24"/>
          <w:u w:val="single"/>
        </w:rPr>
        <w:t>cerca d</w:t>
      </w:r>
      <w:r w:rsidRPr="00065744">
        <w:rPr>
          <w:rFonts w:ascii="Arial" w:hAnsi="Arial" w:cs="Arial"/>
          <w:sz w:val="24"/>
          <w:szCs w:val="24"/>
          <w:u w:val="single"/>
        </w:rPr>
        <w:t xml:space="preserve">e </w:t>
      </w:r>
      <w:r w:rsidR="00312506">
        <w:rPr>
          <w:rFonts w:ascii="Arial" w:hAnsi="Arial" w:cs="Arial"/>
          <w:sz w:val="24"/>
          <w:szCs w:val="24"/>
          <w:u w:val="single"/>
        </w:rPr>
        <w:t>2</w:t>
      </w:r>
      <w:r w:rsidRPr="00065744">
        <w:rPr>
          <w:rFonts w:ascii="Arial" w:hAnsi="Arial" w:cs="Arial"/>
          <w:sz w:val="24"/>
          <w:szCs w:val="24"/>
          <w:u w:val="single"/>
        </w:rPr>
        <w:t>% (</w:t>
      </w:r>
      <w:r w:rsidR="00312506">
        <w:rPr>
          <w:rFonts w:ascii="Arial" w:hAnsi="Arial" w:cs="Arial"/>
          <w:sz w:val="24"/>
          <w:szCs w:val="24"/>
          <w:u w:val="single"/>
        </w:rPr>
        <w:t>dois</w:t>
      </w:r>
      <w:r w:rsidRPr="00065744">
        <w:rPr>
          <w:rFonts w:ascii="Arial" w:hAnsi="Arial" w:cs="Arial"/>
          <w:sz w:val="24"/>
          <w:szCs w:val="24"/>
          <w:u w:val="single"/>
        </w:rPr>
        <w:t xml:space="preserve"> por cento) do total de crédito</w:t>
      </w:r>
      <w:r w:rsidR="00312506">
        <w:rPr>
          <w:rFonts w:ascii="Arial" w:hAnsi="Arial" w:cs="Arial"/>
          <w:sz w:val="24"/>
          <w:szCs w:val="24"/>
          <w:u w:val="single"/>
        </w:rPr>
        <w:t>s</w:t>
      </w:r>
      <w:r w:rsidRPr="00065744">
        <w:rPr>
          <w:rFonts w:ascii="Arial" w:hAnsi="Arial" w:cs="Arial"/>
          <w:sz w:val="24"/>
          <w:szCs w:val="24"/>
          <w:u w:val="single"/>
        </w:rPr>
        <w:t xml:space="preserve"> outorgado</w:t>
      </w:r>
      <w:r w:rsidR="00312506">
        <w:rPr>
          <w:rFonts w:ascii="Arial" w:hAnsi="Arial" w:cs="Arial"/>
          <w:sz w:val="24"/>
          <w:szCs w:val="24"/>
          <w:u w:val="single"/>
        </w:rPr>
        <w:t>s</w:t>
      </w:r>
      <w:r w:rsidRPr="00065744">
        <w:rPr>
          <w:rFonts w:ascii="Arial" w:hAnsi="Arial" w:cs="Arial"/>
          <w:sz w:val="24"/>
          <w:szCs w:val="24"/>
          <w:u w:val="single"/>
        </w:rPr>
        <w:t xml:space="preserve"> </w:t>
      </w:r>
      <w:r w:rsidRPr="000C5A04">
        <w:rPr>
          <w:rFonts w:ascii="Arial" w:hAnsi="Arial" w:cs="Arial"/>
          <w:sz w:val="24"/>
          <w:szCs w:val="24"/>
          <w:u w:val="single"/>
        </w:rPr>
        <w:t>usufruído</w:t>
      </w:r>
      <w:r w:rsidR="00312506" w:rsidRPr="000C5A04">
        <w:rPr>
          <w:rFonts w:ascii="Arial" w:hAnsi="Arial" w:cs="Arial"/>
          <w:sz w:val="24"/>
          <w:szCs w:val="24"/>
          <w:u w:val="single"/>
        </w:rPr>
        <w:t>s</w:t>
      </w:r>
      <w:r w:rsidR="00AB0520" w:rsidRPr="00863529">
        <w:rPr>
          <w:rFonts w:ascii="Arial" w:hAnsi="Arial" w:cs="Arial"/>
          <w:sz w:val="24"/>
          <w:szCs w:val="24"/>
          <w:u w:val="single"/>
        </w:rPr>
        <w:t>!</w:t>
      </w:r>
    </w:p>
    <w:p w14:paraId="67CCC02E" w14:textId="77777777" w:rsidR="004568D4" w:rsidRDefault="004568D4" w:rsidP="004568D4">
      <w:pPr>
        <w:spacing w:line="360" w:lineRule="auto"/>
        <w:ind w:firstLine="851"/>
        <w:jc w:val="both"/>
        <w:rPr>
          <w:rFonts w:ascii="Arial" w:hAnsi="Arial" w:cs="Arial"/>
          <w:b/>
          <w:sz w:val="24"/>
          <w:szCs w:val="24"/>
          <w:u w:val="single"/>
        </w:rPr>
      </w:pPr>
    </w:p>
    <w:p w14:paraId="05379F0A" w14:textId="52F2831E" w:rsidR="004568D4" w:rsidRPr="00F70133" w:rsidRDefault="004568D4" w:rsidP="004568D4">
      <w:pPr>
        <w:spacing w:line="360" w:lineRule="auto"/>
        <w:ind w:firstLine="851"/>
        <w:jc w:val="both"/>
        <w:rPr>
          <w:rFonts w:ascii="Arial" w:hAnsi="Arial" w:cs="Arial"/>
          <w:b/>
          <w:sz w:val="24"/>
          <w:szCs w:val="24"/>
          <w:u w:val="single"/>
        </w:rPr>
      </w:pPr>
      <w:r>
        <w:rPr>
          <w:rFonts w:ascii="Arial" w:hAnsi="Arial" w:cs="Arial"/>
          <w:b/>
          <w:sz w:val="24"/>
          <w:szCs w:val="24"/>
          <w:u w:val="single"/>
        </w:rPr>
        <w:t>7.</w:t>
      </w:r>
      <w:r w:rsidR="00036173">
        <w:rPr>
          <w:rFonts w:ascii="Arial" w:hAnsi="Arial" w:cs="Arial"/>
          <w:b/>
          <w:sz w:val="24"/>
          <w:szCs w:val="24"/>
          <w:u w:val="single"/>
        </w:rPr>
        <w:t>4</w:t>
      </w:r>
      <w:r>
        <w:rPr>
          <w:rFonts w:ascii="Arial" w:hAnsi="Arial" w:cs="Arial"/>
          <w:b/>
          <w:sz w:val="24"/>
          <w:szCs w:val="24"/>
          <w:u w:val="single"/>
        </w:rPr>
        <w:t>.2</w:t>
      </w:r>
      <w:r w:rsidRPr="00F70133">
        <w:rPr>
          <w:rFonts w:ascii="Arial" w:hAnsi="Arial" w:cs="Arial"/>
          <w:b/>
          <w:sz w:val="24"/>
          <w:szCs w:val="24"/>
          <w:u w:val="single"/>
        </w:rPr>
        <w:t xml:space="preserve">. </w:t>
      </w:r>
      <w:r>
        <w:rPr>
          <w:rFonts w:ascii="Arial" w:hAnsi="Arial" w:cs="Arial"/>
          <w:b/>
          <w:sz w:val="24"/>
          <w:szCs w:val="24"/>
          <w:u w:val="single"/>
        </w:rPr>
        <w:t>Auditorias de contrapartidas</w:t>
      </w:r>
    </w:p>
    <w:p w14:paraId="331A1787" w14:textId="23BE93E7" w:rsidR="00043BFB" w:rsidRDefault="00043BFB" w:rsidP="00660027">
      <w:pPr>
        <w:spacing w:line="360" w:lineRule="auto"/>
        <w:ind w:firstLine="851"/>
        <w:jc w:val="both"/>
        <w:rPr>
          <w:rFonts w:ascii="Arial" w:hAnsi="Arial" w:cs="Arial"/>
          <w:sz w:val="24"/>
          <w:szCs w:val="24"/>
        </w:rPr>
      </w:pPr>
    </w:p>
    <w:p w14:paraId="79EA73F0" w14:textId="043A0D13" w:rsidR="00370492" w:rsidRPr="00370492" w:rsidRDefault="00370492" w:rsidP="00370492">
      <w:pPr>
        <w:spacing w:line="360" w:lineRule="auto"/>
        <w:ind w:firstLine="851"/>
        <w:jc w:val="both"/>
        <w:rPr>
          <w:rFonts w:ascii="Arial" w:hAnsi="Arial" w:cs="Arial"/>
          <w:b/>
          <w:sz w:val="24"/>
          <w:szCs w:val="24"/>
        </w:rPr>
      </w:pPr>
      <w:r w:rsidRPr="00370492">
        <w:rPr>
          <w:rFonts w:ascii="Arial" w:hAnsi="Arial" w:cs="Arial"/>
          <w:b/>
          <w:sz w:val="24"/>
          <w:szCs w:val="24"/>
        </w:rPr>
        <w:t>7.</w:t>
      </w:r>
      <w:r w:rsidR="00036173">
        <w:rPr>
          <w:rFonts w:ascii="Arial" w:hAnsi="Arial" w:cs="Arial"/>
          <w:b/>
          <w:sz w:val="24"/>
          <w:szCs w:val="24"/>
        </w:rPr>
        <w:t>4</w:t>
      </w:r>
      <w:r w:rsidRPr="00370492">
        <w:rPr>
          <w:rFonts w:ascii="Arial" w:hAnsi="Arial" w:cs="Arial"/>
          <w:b/>
          <w:sz w:val="24"/>
          <w:szCs w:val="24"/>
        </w:rPr>
        <w:t xml:space="preserve">.2.1. </w:t>
      </w:r>
      <w:r>
        <w:rPr>
          <w:rFonts w:ascii="Arial" w:hAnsi="Arial" w:cs="Arial"/>
          <w:b/>
          <w:sz w:val="24"/>
          <w:szCs w:val="24"/>
        </w:rPr>
        <w:t>Objeto de requisição da CPI</w:t>
      </w:r>
      <w:r w:rsidR="000B5F85">
        <w:rPr>
          <w:rFonts w:ascii="Arial" w:hAnsi="Arial" w:cs="Arial"/>
          <w:b/>
          <w:sz w:val="24"/>
          <w:szCs w:val="24"/>
        </w:rPr>
        <w:t xml:space="preserve"> (Ofício nº 02/2019, item 6.1)</w:t>
      </w:r>
    </w:p>
    <w:p w14:paraId="14FC3668" w14:textId="77777777" w:rsidR="00370492" w:rsidRDefault="00370492" w:rsidP="00660027">
      <w:pPr>
        <w:spacing w:line="360" w:lineRule="auto"/>
        <w:ind w:firstLine="851"/>
        <w:jc w:val="both"/>
        <w:rPr>
          <w:rFonts w:ascii="Arial" w:hAnsi="Arial" w:cs="Arial"/>
          <w:sz w:val="24"/>
          <w:szCs w:val="24"/>
        </w:rPr>
      </w:pPr>
    </w:p>
    <w:p w14:paraId="0BF06D8E" w14:textId="045CDAA4" w:rsidR="00AD4579" w:rsidRDefault="00D65AFA" w:rsidP="00660027">
      <w:pPr>
        <w:spacing w:line="360" w:lineRule="auto"/>
        <w:ind w:firstLine="851"/>
        <w:jc w:val="both"/>
        <w:rPr>
          <w:rFonts w:ascii="Arial" w:hAnsi="Arial" w:cs="Arial"/>
          <w:sz w:val="24"/>
          <w:szCs w:val="24"/>
        </w:rPr>
      </w:pPr>
      <w:r>
        <w:rPr>
          <w:rFonts w:ascii="Arial" w:hAnsi="Arial" w:cs="Arial"/>
          <w:sz w:val="24"/>
          <w:szCs w:val="24"/>
        </w:rPr>
        <w:t xml:space="preserve">Esta CPI requisitou à Secretaria de Estado da Economia </w:t>
      </w:r>
      <w:r w:rsidR="002023C2">
        <w:rPr>
          <w:rFonts w:ascii="Arial" w:hAnsi="Arial" w:cs="Arial"/>
          <w:sz w:val="24"/>
          <w:szCs w:val="24"/>
        </w:rPr>
        <w:t xml:space="preserve">que informasse, </w:t>
      </w:r>
      <w:r w:rsidR="002023C2" w:rsidRPr="002023C2">
        <w:rPr>
          <w:rFonts w:ascii="Arial" w:hAnsi="Arial" w:cs="Arial"/>
          <w:sz w:val="24"/>
          <w:szCs w:val="24"/>
        </w:rPr>
        <w:t xml:space="preserve">em relação às </w:t>
      </w:r>
      <w:r w:rsidR="002023C2" w:rsidRPr="000B2CFA">
        <w:rPr>
          <w:rFonts w:ascii="Arial" w:hAnsi="Arial" w:cs="Arial"/>
          <w:sz w:val="24"/>
          <w:szCs w:val="24"/>
          <w:u w:val="single"/>
        </w:rPr>
        <w:t>pessoas jurídicas beneficiárias de crédito outorgado</w:t>
      </w:r>
      <w:r w:rsidR="002023C2" w:rsidRPr="002023C2">
        <w:rPr>
          <w:rFonts w:ascii="Arial" w:hAnsi="Arial" w:cs="Arial"/>
          <w:sz w:val="24"/>
          <w:szCs w:val="24"/>
        </w:rPr>
        <w:t xml:space="preserve"> e obrigadas a alguma forma de contrapartida</w:t>
      </w:r>
      <w:r w:rsidR="002023C2">
        <w:rPr>
          <w:rFonts w:ascii="Arial" w:hAnsi="Arial" w:cs="Arial"/>
          <w:sz w:val="24"/>
          <w:szCs w:val="24"/>
        </w:rPr>
        <w:t xml:space="preserve">, </w:t>
      </w:r>
      <w:r w:rsidR="00370492">
        <w:rPr>
          <w:rFonts w:ascii="Arial" w:hAnsi="Arial" w:cs="Arial"/>
          <w:sz w:val="24"/>
          <w:szCs w:val="24"/>
        </w:rPr>
        <w:t>o p</w:t>
      </w:r>
      <w:r w:rsidR="00370492" w:rsidRPr="00370492">
        <w:rPr>
          <w:rFonts w:ascii="Arial" w:hAnsi="Arial" w:cs="Arial"/>
          <w:sz w:val="24"/>
          <w:szCs w:val="24"/>
        </w:rPr>
        <w:t xml:space="preserve">ercentual e </w:t>
      </w:r>
      <w:r w:rsidR="00370492">
        <w:rPr>
          <w:rFonts w:ascii="Arial" w:hAnsi="Arial" w:cs="Arial"/>
          <w:sz w:val="24"/>
          <w:szCs w:val="24"/>
        </w:rPr>
        <w:t xml:space="preserve">a </w:t>
      </w:r>
      <w:r w:rsidR="00370492" w:rsidRPr="00370492">
        <w:rPr>
          <w:rFonts w:ascii="Arial" w:hAnsi="Arial" w:cs="Arial"/>
          <w:sz w:val="24"/>
          <w:szCs w:val="24"/>
        </w:rPr>
        <w:t xml:space="preserve">relação nominal e completa – organizada em 2 (duas) listas, uma classificada por ano e outra por segmento econômico e ano – de pessoas jurídicas, </w:t>
      </w:r>
      <w:r w:rsidR="00370492" w:rsidRPr="000B2CFA">
        <w:rPr>
          <w:rFonts w:ascii="Arial" w:hAnsi="Arial" w:cs="Arial"/>
          <w:sz w:val="24"/>
          <w:szCs w:val="24"/>
          <w:u w:val="single"/>
        </w:rPr>
        <w:t>dentre as beneficiárias, relativamente ao período de 2014 a 2018, que passaram por auditoria das contrapartidas</w:t>
      </w:r>
      <w:r w:rsidR="00370492" w:rsidRPr="00370492">
        <w:rPr>
          <w:rFonts w:ascii="Arial" w:hAnsi="Arial" w:cs="Arial"/>
          <w:sz w:val="24"/>
          <w:szCs w:val="24"/>
        </w:rPr>
        <w:t>, bem como a indicação de quais dessas pessoas jurídicas</w:t>
      </w:r>
      <w:r w:rsidR="00093ED0">
        <w:rPr>
          <w:rFonts w:ascii="Arial" w:hAnsi="Arial" w:cs="Arial"/>
          <w:sz w:val="24"/>
          <w:szCs w:val="24"/>
        </w:rPr>
        <w:t>:</w:t>
      </w:r>
    </w:p>
    <w:p w14:paraId="0EAE97F8" w14:textId="77777777" w:rsidR="00093ED0" w:rsidRDefault="00093ED0" w:rsidP="00660027">
      <w:pPr>
        <w:spacing w:line="360" w:lineRule="auto"/>
        <w:ind w:firstLine="851"/>
        <w:jc w:val="both"/>
        <w:rPr>
          <w:rFonts w:ascii="Arial" w:hAnsi="Arial" w:cs="Arial"/>
          <w:sz w:val="24"/>
          <w:szCs w:val="24"/>
        </w:rPr>
      </w:pPr>
    </w:p>
    <w:p w14:paraId="1A2201B0" w14:textId="77777777" w:rsidR="00AD4579" w:rsidRDefault="00370492" w:rsidP="00660027">
      <w:pPr>
        <w:spacing w:line="360" w:lineRule="auto"/>
        <w:ind w:firstLine="851"/>
        <w:jc w:val="both"/>
        <w:rPr>
          <w:rFonts w:ascii="Arial" w:hAnsi="Arial" w:cs="Arial"/>
          <w:sz w:val="24"/>
          <w:szCs w:val="24"/>
        </w:rPr>
      </w:pPr>
      <w:r>
        <w:rPr>
          <w:rFonts w:ascii="Arial" w:hAnsi="Arial" w:cs="Arial"/>
          <w:sz w:val="24"/>
          <w:szCs w:val="24"/>
        </w:rPr>
        <w:t xml:space="preserve">a) </w:t>
      </w:r>
      <w:r w:rsidRPr="00370492">
        <w:rPr>
          <w:rFonts w:ascii="Arial" w:hAnsi="Arial" w:cs="Arial"/>
          <w:sz w:val="24"/>
          <w:szCs w:val="24"/>
        </w:rPr>
        <w:t>cumpriram integralmente as contrapartidas legalmente exigidas, e a entrega, por amostragem, de ao menos 3 (três) relatórios de auditoria correspondentes</w:t>
      </w:r>
      <w:r>
        <w:rPr>
          <w:rFonts w:ascii="Arial" w:hAnsi="Arial" w:cs="Arial"/>
          <w:sz w:val="24"/>
          <w:szCs w:val="24"/>
        </w:rPr>
        <w:t xml:space="preserve">; </w:t>
      </w:r>
    </w:p>
    <w:p w14:paraId="613CBBEA" w14:textId="6B54CB11" w:rsidR="00DD4B84" w:rsidRDefault="00370492" w:rsidP="00660027">
      <w:pPr>
        <w:spacing w:line="360" w:lineRule="auto"/>
        <w:ind w:firstLine="851"/>
        <w:jc w:val="both"/>
        <w:rPr>
          <w:rFonts w:ascii="Arial" w:hAnsi="Arial" w:cs="Arial"/>
          <w:sz w:val="24"/>
          <w:szCs w:val="24"/>
        </w:rPr>
      </w:pPr>
      <w:r>
        <w:rPr>
          <w:rFonts w:ascii="Arial" w:hAnsi="Arial" w:cs="Arial"/>
          <w:sz w:val="24"/>
          <w:szCs w:val="24"/>
        </w:rPr>
        <w:t xml:space="preserve">b) </w:t>
      </w:r>
      <w:r w:rsidR="00D960D7" w:rsidRPr="00D960D7">
        <w:rPr>
          <w:rFonts w:ascii="Arial" w:hAnsi="Arial" w:cs="Arial"/>
          <w:sz w:val="24"/>
          <w:szCs w:val="24"/>
        </w:rPr>
        <w:t>descumpriram, no todo ou em parte, alguma das contrapartidas exigidas legalmente, e a entrega, por amostragem, de ao menos 3 (três) relatórios de auditoria correspondentes</w:t>
      </w:r>
      <w:r w:rsidR="00D960D7">
        <w:rPr>
          <w:rFonts w:ascii="Arial" w:hAnsi="Arial" w:cs="Arial"/>
          <w:sz w:val="24"/>
          <w:szCs w:val="24"/>
        </w:rPr>
        <w:t>.</w:t>
      </w:r>
    </w:p>
    <w:p w14:paraId="0167ADD4" w14:textId="77777777" w:rsidR="00093ED0" w:rsidRDefault="00093ED0" w:rsidP="00344CE7">
      <w:pPr>
        <w:spacing w:line="360" w:lineRule="auto"/>
        <w:ind w:firstLine="851"/>
        <w:jc w:val="both"/>
        <w:rPr>
          <w:rFonts w:ascii="Arial" w:hAnsi="Arial" w:cs="Arial"/>
          <w:sz w:val="24"/>
          <w:szCs w:val="24"/>
        </w:rPr>
      </w:pPr>
    </w:p>
    <w:p w14:paraId="448AF855" w14:textId="1C158A4F" w:rsidR="00344CE7" w:rsidRDefault="000B2CFA" w:rsidP="00344CE7">
      <w:pPr>
        <w:spacing w:line="360" w:lineRule="auto"/>
        <w:ind w:firstLine="851"/>
        <w:jc w:val="both"/>
        <w:rPr>
          <w:rFonts w:ascii="Arial" w:hAnsi="Arial" w:cs="Arial"/>
          <w:sz w:val="24"/>
          <w:szCs w:val="24"/>
        </w:rPr>
      </w:pPr>
      <w:r>
        <w:rPr>
          <w:rFonts w:ascii="Arial" w:hAnsi="Arial" w:cs="Arial"/>
          <w:sz w:val="24"/>
          <w:szCs w:val="24"/>
        </w:rPr>
        <w:t>A Secretaria</w:t>
      </w:r>
      <w:r w:rsidR="00D81335">
        <w:rPr>
          <w:rFonts w:ascii="Arial" w:hAnsi="Arial" w:cs="Arial"/>
          <w:sz w:val="24"/>
          <w:szCs w:val="24"/>
        </w:rPr>
        <w:t>, contudo,</w:t>
      </w:r>
      <w:r w:rsidR="00344CE7">
        <w:rPr>
          <w:rFonts w:ascii="Arial" w:hAnsi="Arial" w:cs="Arial"/>
          <w:sz w:val="24"/>
          <w:szCs w:val="24"/>
        </w:rPr>
        <w:t xml:space="preserve"> no Ofício nº 2.500/2019, apenas entregou os relatórios por amostragem de 3 (três) empresas que cumpriram e 3 (três) que não cumpriram as contrapartidas, mas </w:t>
      </w:r>
      <w:r>
        <w:rPr>
          <w:rFonts w:ascii="Arial" w:hAnsi="Arial" w:cs="Arial"/>
          <w:sz w:val="24"/>
          <w:szCs w:val="24"/>
        </w:rPr>
        <w:t>não infor</w:t>
      </w:r>
      <w:r w:rsidR="00D81335">
        <w:rPr>
          <w:rFonts w:ascii="Arial" w:hAnsi="Arial" w:cs="Arial"/>
          <w:sz w:val="24"/>
          <w:szCs w:val="24"/>
        </w:rPr>
        <w:t xml:space="preserve">mou, de forma clara, </w:t>
      </w:r>
      <w:r w:rsidR="00344CE7">
        <w:rPr>
          <w:rFonts w:ascii="Arial" w:hAnsi="Arial" w:cs="Arial"/>
          <w:sz w:val="24"/>
          <w:szCs w:val="24"/>
        </w:rPr>
        <w:t>as demais que passaram por auditoria no período questionado.</w:t>
      </w:r>
      <w:r w:rsidR="00344CE7" w:rsidRPr="00344CE7">
        <w:rPr>
          <w:rFonts w:ascii="Arial" w:hAnsi="Arial" w:cs="Arial"/>
          <w:sz w:val="24"/>
          <w:szCs w:val="24"/>
        </w:rPr>
        <w:t xml:space="preserve"> </w:t>
      </w:r>
      <w:r w:rsidR="00344CE7">
        <w:rPr>
          <w:rFonts w:ascii="Arial" w:hAnsi="Arial" w:cs="Arial"/>
          <w:sz w:val="24"/>
          <w:szCs w:val="24"/>
        </w:rPr>
        <w:t xml:space="preserve">Por esse motivo, </w:t>
      </w:r>
      <w:r w:rsidR="00344CE7" w:rsidRPr="00BE1174">
        <w:rPr>
          <w:rFonts w:ascii="Arial" w:hAnsi="Arial" w:cs="Arial"/>
          <w:sz w:val="24"/>
          <w:szCs w:val="24"/>
          <w:u w:val="single"/>
        </w:rPr>
        <w:t xml:space="preserve">esta CPI requisitou, via Ofício nº 12/2019, </w:t>
      </w:r>
      <w:r w:rsidR="00C00CBC" w:rsidRPr="00BE1174">
        <w:rPr>
          <w:rFonts w:ascii="Arial" w:hAnsi="Arial" w:cs="Arial"/>
          <w:sz w:val="24"/>
          <w:szCs w:val="24"/>
          <w:u w:val="single"/>
        </w:rPr>
        <w:t xml:space="preserve">CÓPIA DE TODOS OS TARE’S FIRMADOS DE 2014 A 2018 E DE TODAS AS AUDITORIAS </w:t>
      </w:r>
      <w:r w:rsidR="00344CE7" w:rsidRPr="00BE1174">
        <w:rPr>
          <w:rFonts w:ascii="Arial" w:hAnsi="Arial" w:cs="Arial"/>
          <w:sz w:val="24"/>
          <w:szCs w:val="24"/>
          <w:u w:val="single"/>
        </w:rPr>
        <w:t>DE CONTRAPARTIDAS REALIZADAS NO PERÍODO</w:t>
      </w:r>
      <w:r w:rsidR="00344CE7">
        <w:rPr>
          <w:rFonts w:ascii="Arial" w:hAnsi="Arial" w:cs="Arial"/>
          <w:sz w:val="24"/>
          <w:szCs w:val="24"/>
        </w:rPr>
        <w:t xml:space="preserve">, sendo a resposta encaminhada, quanto às auditorias, via Ofício nº </w:t>
      </w:r>
      <w:r w:rsidR="00600920" w:rsidRPr="00600920">
        <w:rPr>
          <w:rFonts w:ascii="Arial" w:hAnsi="Arial" w:cs="Arial"/>
          <w:sz w:val="24"/>
          <w:szCs w:val="24"/>
        </w:rPr>
        <w:t>3.564</w:t>
      </w:r>
      <w:r w:rsidR="00C00CBC">
        <w:rPr>
          <w:rFonts w:ascii="Arial" w:hAnsi="Arial" w:cs="Arial"/>
          <w:sz w:val="24"/>
          <w:szCs w:val="24"/>
        </w:rPr>
        <w:t>/2019</w:t>
      </w:r>
      <w:r w:rsidR="00BE1174">
        <w:rPr>
          <w:rFonts w:ascii="Arial" w:hAnsi="Arial" w:cs="Arial"/>
          <w:sz w:val="24"/>
          <w:szCs w:val="24"/>
        </w:rPr>
        <w:t xml:space="preserve">, contendo </w:t>
      </w:r>
      <w:r w:rsidR="00FA7098">
        <w:rPr>
          <w:rFonts w:ascii="Arial" w:hAnsi="Arial" w:cs="Arial"/>
          <w:sz w:val="24"/>
          <w:szCs w:val="24"/>
        </w:rPr>
        <w:t>08 (oito) relatórios de auditoria realizados</w:t>
      </w:r>
      <w:r w:rsidR="00344CE7">
        <w:rPr>
          <w:rFonts w:ascii="Arial" w:hAnsi="Arial" w:cs="Arial"/>
          <w:sz w:val="24"/>
          <w:szCs w:val="24"/>
        </w:rPr>
        <w:t>.</w:t>
      </w:r>
    </w:p>
    <w:p w14:paraId="6380AE98" w14:textId="0CEBBC07" w:rsidR="002C2A4D" w:rsidRPr="00AD4579" w:rsidRDefault="002C2A4D" w:rsidP="00344CE7">
      <w:pPr>
        <w:spacing w:line="360" w:lineRule="auto"/>
        <w:ind w:firstLine="851"/>
        <w:jc w:val="both"/>
        <w:rPr>
          <w:rFonts w:ascii="Arial" w:hAnsi="Arial" w:cs="Arial"/>
          <w:sz w:val="24"/>
          <w:szCs w:val="24"/>
        </w:rPr>
      </w:pPr>
      <w:r>
        <w:rPr>
          <w:rFonts w:ascii="Arial" w:hAnsi="Arial" w:cs="Arial"/>
          <w:sz w:val="24"/>
          <w:szCs w:val="24"/>
        </w:rPr>
        <w:t xml:space="preserve">Assim, por razões didáticas, abordar-se-ão em conjunto primeiro os 3 (três) relatórios em que foi constatada a regularidade; a seguir, os 3 (três) relatórios em que foi constatada a irregularidade; e, por fim, os </w:t>
      </w:r>
      <w:r w:rsidR="002B12C4">
        <w:rPr>
          <w:rFonts w:ascii="Arial" w:hAnsi="Arial" w:cs="Arial"/>
          <w:sz w:val="24"/>
          <w:szCs w:val="24"/>
        </w:rPr>
        <w:t>demais</w:t>
      </w:r>
      <w:r>
        <w:rPr>
          <w:rFonts w:ascii="Arial" w:hAnsi="Arial" w:cs="Arial"/>
          <w:sz w:val="24"/>
          <w:szCs w:val="24"/>
        </w:rPr>
        <w:t xml:space="preserve"> relatórios de auditoria encaminhados por ocasião da última requisição desta CPI</w:t>
      </w:r>
      <w:r w:rsidR="002B12C4">
        <w:rPr>
          <w:rStyle w:val="Refdenotaderodap"/>
          <w:rFonts w:ascii="Arial" w:hAnsi="Arial" w:cs="Arial"/>
          <w:sz w:val="24"/>
          <w:szCs w:val="24"/>
        </w:rPr>
        <w:footnoteReference w:id="78"/>
      </w:r>
      <w:r>
        <w:rPr>
          <w:rFonts w:ascii="Arial" w:hAnsi="Arial" w:cs="Arial"/>
          <w:sz w:val="24"/>
          <w:szCs w:val="24"/>
        </w:rPr>
        <w:t>.</w:t>
      </w:r>
    </w:p>
    <w:p w14:paraId="2EFF2983" w14:textId="4DBC97C1" w:rsidR="000B2CFA" w:rsidRDefault="000B2CFA" w:rsidP="00660027">
      <w:pPr>
        <w:spacing w:line="360" w:lineRule="auto"/>
        <w:ind w:firstLine="851"/>
        <w:jc w:val="both"/>
        <w:rPr>
          <w:rFonts w:ascii="Arial" w:hAnsi="Arial" w:cs="Arial"/>
          <w:sz w:val="24"/>
          <w:szCs w:val="24"/>
        </w:rPr>
      </w:pPr>
    </w:p>
    <w:p w14:paraId="49043AB3" w14:textId="798E0011" w:rsidR="0031082B" w:rsidRDefault="0031082B" w:rsidP="0031082B">
      <w:pPr>
        <w:spacing w:line="360" w:lineRule="auto"/>
        <w:ind w:firstLine="851"/>
        <w:jc w:val="both"/>
        <w:rPr>
          <w:rFonts w:ascii="Arial" w:hAnsi="Arial" w:cs="Arial"/>
          <w:b/>
          <w:sz w:val="24"/>
          <w:szCs w:val="24"/>
        </w:rPr>
      </w:pPr>
      <w:r w:rsidRPr="00205ACB">
        <w:rPr>
          <w:rFonts w:ascii="Arial" w:hAnsi="Arial" w:cs="Arial"/>
          <w:b/>
          <w:sz w:val="24"/>
          <w:szCs w:val="24"/>
        </w:rPr>
        <w:t>7.</w:t>
      </w:r>
      <w:r w:rsidR="00036173" w:rsidRPr="00205ACB">
        <w:rPr>
          <w:rFonts w:ascii="Arial" w:hAnsi="Arial" w:cs="Arial"/>
          <w:b/>
          <w:sz w:val="24"/>
          <w:szCs w:val="24"/>
        </w:rPr>
        <w:t>4</w:t>
      </w:r>
      <w:r w:rsidRPr="00205ACB">
        <w:rPr>
          <w:rFonts w:ascii="Arial" w:hAnsi="Arial" w:cs="Arial"/>
          <w:b/>
          <w:sz w:val="24"/>
          <w:szCs w:val="24"/>
        </w:rPr>
        <w:t>.2.</w:t>
      </w:r>
      <w:r w:rsidR="00BE1174" w:rsidRPr="00205ACB">
        <w:rPr>
          <w:rFonts w:ascii="Arial" w:hAnsi="Arial" w:cs="Arial"/>
          <w:b/>
          <w:sz w:val="24"/>
          <w:szCs w:val="24"/>
        </w:rPr>
        <w:t>2</w:t>
      </w:r>
      <w:r w:rsidR="00FC2CFE" w:rsidRPr="00205ACB">
        <w:rPr>
          <w:rFonts w:ascii="Arial" w:hAnsi="Arial" w:cs="Arial"/>
          <w:b/>
          <w:sz w:val="24"/>
          <w:szCs w:val="24"/>
        </w:rPr>
        <w:t xml:space="preserve"> –</w:t>
      </w:r>
      <w:r w:rsidRPr="00205ACB">
        <w:rPr>
          <w:rFonts w:ascii="Arial" w:hAnsi="Arial" w:cs="Arial"/>
          <w:b/>
          <w:sz w:val="24"/>
          <w:szCs w:val="24"/>
        </w:rPr>
        <w:t xml:space="preserve"> Auditorias </w:t>
      </w:r>
      <w:r w:rsidR="0014269E" w:rsidRPr="00205ACB">
        <w:rPr>
          <w:rFonts w:ascii="Arial" w:hAnsi="Arial" w:cs="Arial"/>
          <w:b/>
          <w:sz w:val="24"/>
          <w:szCs w:val="24"/>
        </w:rPr>
        <w:t>em que foi constatada a regularidade</w:t>
      </w:r>
      <w:r w:rsidR="00BE1174" w:rsidRPr="00205ACB">
        <w:rPr>
          <w:rFonts w:ascii="Arial" w:hAnsi="Arial" w:cs="Arial"/>
          <w:b/>
          <w:sz w:val="24"/>
          <w:szCs w:val="24"/>
        </w:rPr>
        <w:t xml:space="preserve"> (Ofício nº 02/2019</w:t>
      </w:r>
      <w:r w:rsidR="00810681" w:rsidRPr="00205ACB">
        <w:rPr>
          <w:rFonts w:ascii="Arial" w:hAnsi="Arial" w:cs="Arial"/>
          <w:b/>
          <w:sz w:val="24"/>
          <w:szCs w:val="24"/>
        </w:rPr>
        <w:t>-CPI</w:t>
      </w:r>
      <w:r w:rsidR="00BE1174" w:rsidRPr="00205ACB">
        <w:rPr>
          <w:rFonts w:ascii="Arial" w:hAnsi="Arial" w:cs="Arial"/>
          <w:b/>
          <w:sz w:val="24"/>
          <w:szCs w:val="24"/>
        </w:rPr>
        <w:t>, item 6.1, “a”</w:t>
      </w:r>
      <w:r w:rsidR="00846E2F" w:rsidRPr="00205ACB">
        <w:rPr>
          <w:rFonts w:ascii="Arial" w:hAnsi="Arial" w:cs="Arial"/>
          <w:b/>
          <w:sz w:val="24"/>
          <w:szCs w:val="24"/>
        </w:rPr>
        <w:t>; Ofício nº 2.500/2019-Economia, p. 707/2209</w:t>
      </w:r>
      <w:r w:rsidR="00BE1174" w:rsidRPr="00205ACB">
        <w:rPr>
          <w:rFonts w:ascii="Arial" w:hAnsi="Arial" w:cs="Arial"/>
          <w:b/>
          <w:sz w:val="24"/>
          <w:szCs w:val="24"/>
        </w:rPr>
        <w:t>)</w:t>
      </w:r>
    </w:p>
    <w:p w14:paraId="32CA8C1B" w14:textId="5A824854" w:rsidR="00846E2F" w:rsidRDefault="00846E2F" w:rsidP="0031082B">
      <w:pPr>
        <w:spacing w:line="360" w:lineRule="auto"/>
        <w:ind w:firstLine="851"/>
        <w:jc w:val="both"/>
        <w:rPr>
          <w:rFonts w:ascii="Arial" w:hAnsi="Arial" w:cs="Arial"/>
          <w:b/>
          <w:sz w:val="24"/>
          <w:szCs w:val="24"/>
        </w:rPr>
      </w:pPr>
    </w:p>
    <w:p w14:paraId="531D97FB" w14:textId="1080C9E3" w:rsidR="00846E2F" w:rsidRDefault="00214B2A" w:rsidP="0031082B">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.2.</w:t>
      </w:r>
      <w:r>
        <w:rPr>
          <w:rFonts w:ascii="Arial" w:hAnsi="Arial" w:cs="Arial"/>
          <w:b/>
          <w:sz w:val="24"/>
          <w:szCs w:val="24"/>
        </w:rPr>
        <w:t>2</w:t>
      </w:r>
      <w:r w:rsidRPr="0031082B">
        <w:rPr>
          <w:rFonts w:ascii="Arial" w:hAnsi="Arial" w:cs="Arial"/>
          <w:b/>
          <w:sz w:val="24"/>
          <w:szCs w:val="24"/>
        </w:rPr>
        <w:t>.</w:t>
      </w:r>
      <w:r>
        <w:rPr>
          <w:rFonts w:ascii="Arial" w:hAnsi="Arial" w:cs="Arial"/>
          <w:b/>
          <w:sz w:val="24"/>
          <w:szCs w:val="24"/>
        </w:rPr>
        <w:t>1.</w:t>
      </w:r>
      <w:r w:rsidRPr="0031082B">
        <w:rPr>
          <w:rFonts w:ascii="Arial" w:hAnsi="Arial" w:cs="Arial"/>
          <w:b/>
          <w:sz w:val="24"/>
          <w:szCs w:val="24"/>
        </w:rPr>
        <w:t xml:space="preserve"> </w:t>
      </w:r>
      <w:r w:rsidR="00846E2F" w:rsidRPr="00846E2F">
        <w:rPr>
          <w:rFonts w:ascii="Arial" w:hAnsi="Arial" w:cs="Arial"/>
          <w:sz w:val="24"/>
          <w:szCs w:val="24"/>
        </w:rPr>
        <w:t>Na</w:t>
      </w:r>
      <w:r w:rsidR="00846E2F">
        <w:rPr>
          <w:rFonts w:ascii="Arial" w:hAnsi="Arial" w:cs="Arial"/>
          <w:sz w:val="24"/>
          <w:szCs w:val="24"/>
        </w:rPr>
        <w:t xml:space="preserve"> amostra fornecida pela Secretaria de Estado da Economia, </w:t>
      </w:r>
      <w:r w:rsidR="00715E36">
        <w:rPr>
          <w:rFonts w:ascii="Arial" w:hAnsi="Arial" w:cs="Arial"/>
          <w:sz w:val="24"/>
          <w:szCs w:val="24"/>
        </w:rPr>
        <w:t>constam relatórios de auditoria</w:t>
      </w:r>
      <w:r w:rsidR="00615205">
        <w:rPr>
          <w:rFonts w:ascii="Arial" w:hAnsi="Arial" w:cs="Arial"/>
          <w:sz w:val="24"/>
          <w:szCs w:val="24"/>
        </w:rPr>
        <w:t xml:space="preserve"> de contrapartidas de investimentos</w:t>
      </w:r>
      <w:r w:rsidR="00394910">
        <w:rPr>
          <w:rFonts w:ascii="Arial" w:hAnsi="Arial" w:cs="Arial"/>
          <w:sz w:val="24"/>
          <w:szCs w:val="24"/>
        </w:rPr>
        <w:t xml:space="preserve"> relativamente a 3 (três) empresas</w:t>
      </w:r>
      <w:r w:rsidR="00F404C1">
        <w:rPr>
          <w:rFonts w:ascii="Arial" w:hAnsi="Arial" w:cs="Arial"/>
          <w:sz w:val="24"/>
          <w:szCs w:val="24"/>
        </w:rPr>
        <w:t>, as quais serão cognominadas de Empresa</w:t>
      </w:r>
      <w:r w:rsidR="006760B1">
        <w:rPr>
          <w:rFonts w:ascii="Arial" w:hAnsi="Arial" w:cs="Arial"/>
          <w:sz w:val="24"/>
          <w:szCs w:val="24"/>
        </w:rPr>
        <w:t>s</w:t>
      </w:r>
      <w:r w:rsidR="00F404C1">
        <w:rPr>
          <w:rFonts w:ascii="Arial" w:hAnsi="Arial" w:cs="Arial"/>
          <w:sz w:val="24"/>
          <w:szCs w:val="24"/>
        </w:rPr>
        <w:t xml:space="preserve"> 1, 2 e 3.</w:t>
      </w:r>
    </w:p>
    <w:p w14:paraId="42DC0B90" w14:textId="77777777" w:rsidR="00CC2697" w:rsidRDefault="00CC2697" w:rsidP="0031082B">
      <w:pPr>
        <w:spacing w:line="360" w:lineRule="auto"/>
        <w:ind w:firstLine="851"/>
        <w:jc w:val="both"/>
        <w:rPr>
          <w:rFonts w:ascii="Arial" w:hAnsi="Arial" w:cs="Arial"/>
          <w:b/>
          <w:sz w:val="24"/>
          <w:szCs w:val="24"/>
        </w:rPr>
      </w:pPr>
    </w:p>
    <w:p w14:paraId="4DA0E1D1" w14:textId="07B4886D" w:rsidR="00CC2697" w:rsidRDefault="00CC2697" w:rsidP="00914DC7">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.2.</w:t>
      </w:r>
      <w:r>
        <w:rPr>
          <w:rFonts w:ascii="Arial" w:hAnsi="Arial" w:cs="Arial"/>
          <w:b/>
          <w:sz w:val="24"/>
          <w:szCs w:val="24"/>
        </w:rPr>
        <w:t>2</w:t>
      </w:r>
      <w:r w:rsidRPr="0031082B">
        <w:rPr>
          <w:rFonts w:ascii="Arial" w:hAnsi="Arial" w:cs="Arial"/>
          <w:b/>
          <w:sz w:val="24"/>
          <w:szCs w:val="24"/>
        </w:rPr>
        <w:t>.</w:t>
      </w:r>
      <w:r w:rsidR="00F839FC">
        <w:rPr>
          <w:rFonts w:ascii="Arial" w:hAnsi="Arial" w:cs="Arial"/>
          <w:b/>
          <w:sz w:val="24"/>
          <w:szCs w:val="24"/>
        </w:rPr>
        <w:t>2</w:t>
      </w:r>
      <w:r>
        <w:rPr>
          <w:rFonts w:ascii="Arial" w:hAnsi="Arial" w:cs="Arial"/>
          <w:b/>
          <w:sz w:val="24"/>
          <w:szCs w:val="24"/>
        </w:rPr>
        <w:t>.</w:t>
      </w:r>
      <w:r w:rsidR="002141FA">
        <w:rPr>
          <w:rFonts w:ascii="Arial" w:hAnsi="Arial" w:cs="Arial"/>
          <w:b/>
          <w:sz w:val="24"/>
          <w:szCs w:val="24"/>
        </w:rPr>
        <w:t xml:space="preserve"> </w:t>
      </w:r>
      <w:r w:rsidR="00F839FC">
        <w:rPr>
          <w:rFonts w:ascii="Arial" w:hAnsi="Arial" w:cs="Arial"/>
          <w:sz w:val="24"/>
          <w:szCs w:val="24"/>
        </w:rPr>
        <w:t xml:space="preserve">No </w:t>
      </w:r>
      <w:r w:rsidR="00D5529A">
        <w:rPr>
          <w:rFonts w:ascii="Arial" w:hAnsi="Arial" w:cs="Arial"/>
          <w:sz w:val="24"/>
          <w:szCs w:val="24"/>
        </w:rPr>
        <w:t>caso</w:t>
      </w:r>
      <w:r w:rsidR="0007747E">
        <w:rPr>
          <w:rFonts w:ascii="Arial" w:hAnsi="Arial" w:cs="Arial"/>
          <w:sz w:val="24"/>
          <w:szCs w:val="24"/>
        </w:rPr>
        <w:t xml:space="preserve"> </w:t>
      </w:r>
      <w:r w:rsidR="00F839FC">
        <w:rPr>
          <w:rFonts w:ascii="Arial" w:hAnsi="Arial" w:cs="Arial"/>
          <w:sz w:val="24"/>
          <w:szCs w:val="24"/>
        </w:rPr>
        <w:t>da</w:t>
      </w:r>
      <w:r w:rsidR="0007747E">
        <w:rPr>
          <w:rFonts w:ascii="Arial" w:hAnsi="Arial" w:cs="Arial"/>
          <w:sz w:val="24"/>
          <w:szCs w:val="24"/>
        </w:rPr>
        <w:t xml:space="preserve"> </w:t>
      </w:r>
      <w:r w:rsidR="00F839FC">
        <w:rPr>
          <w:rFonts w:ascii="Arial" w:hAnsi="Arial" w:cs="Arial"/>
          <w:sz w:val="24"/>
          <w:szCs w:val="24"/>
        </w:rPr>
        <w:t>E</w:t>
      </w:r>
      <w:r w:rsidR="0007747E">
        <w:rPr>
          <w:rFonts w:ascii="Arial" w:hAnsi="Arial" w:cs="Arial"/>
          <w:sz w:val="24"/>
          <w:szCs w:val="24"/>
        </w:rPr>
        <w:t xml:space="preserve">mpresa </w:t>
      </w:r>
      <w:r w:rsidR="00F839FC">
        <w:rPr>
          <w:rFonts w:ascii="Arial" w:hAnsi="Arial" w:cs="Arial"/>
          <w:sz w:val="24"/>
          <w:szCs w:val="24"/>
        </w:rPr>
        <w:t>1</w:t>
      </w:r>
      <w:r w:rsidR="0007747E">
        <w:rPr>
          <w:rFonts w:ascii="Arial" w:hAnsi="Arial" w:cs="Arial"/>
          <w:sz w:val="24"/>
          <w:szCs w:val="24"/>
        </w:rPr>
        <w:t>,</w:t>
      </w:r>
      <w:r w:rsidR="006243D4">
        <w:rPr>
          <w:rFonts w:ascii="Arial" w:hAnsi="Arial" w:cs="Arial"/>
          <w:sz w:val="24"/>
          <w:szCs w:val="24"/>
        </w:rPr>
        <w:t xml:space="preserve"> esta se obrigara</w:t>
      </w:r>
      <w:r w:rsidR="0007747E">
        <w:rPr>
          <w:rFonts w:ascii="Arial" w:hAnsi="Arial" w:cs="Arial"/>
          <w:sz w:val="24"/>
          <w:szCs w:val="24"/>
        </w:rPr>
        <w:t xml:space="preserve"> por TARE a realizar </w:t>
      </w:r>
      <w:r w:rsidR="0007747E" w:rsidRPr="002B12C4">
        <w:rPr>
          <w:rFonts w:ascii="Arial" w:hAnsi="Arial" w:cs="Arial"/>
          <w:sz w:val="24"/>
          <w:szCs w:val="24"/>
        </w:rPr>
        <w:t xml:space="preserve">investimentos </w:t>
      </w:r>
      <w:r w:rsidR="00BA5863">
        <w:rPr>
          <w:rFonts w:ascii="Arial" w:hAnsi="Arial" w:cs="Arial"/>
          <w:sz w:val="24"/>
          <w:szCs w:val="24"/>
        </w:rPr>
        <w:t xml:space="preserve">para fazer jus ao aproveitamento de crédito outorgado para apropriação em </w:t>
      </w:r>
      <w:r w:rsidR="002B12C4">
        <w:rPr>
          <w:rFonts w:ascii="Arial" w:hAnsi="Arial" w:cs="Arial"/>
          <w:sz w:val="24"/>
          <w:szCs w:val="24"/>
        </w:rPr>
        <w:t>diversas</w:t>
      </w:r>
      <w:r w:rsidR="00BA5863">
        <w:rPr>
          <w:rFonts w:ascii="Arial" w:hAnsi="Arial" w:cs="Arial"/>
          <w:sz w:val="24"/>
          <w:szCs w:val="24"/>
        </w:rPr>
        <w:t xml:space="preserve"> parcelas mensais</w:t>
      </w:r>
      <w:r w:rsidR="0007747E">
        <w:rPr>
          <w:rFonts w:ascii="Arial" w:hAnsi="Arial" w:cs="Arial"/>
          <w:sz w:val="24"/>
          <w:szCs w:val="24"/>
        </w:rPr>
        <w:t>.</w:t>
      </w:r>
    </w:p>
    <w:p w14:paraId="33D9B754" w14:textId="5A50B400" w:rsidR="00AA687A" w:rsidRDefault="007F42BF" w:rsidP="00914DC7">
      <w:pPr>
        <w:spacing w:line="360" w:lineRule="auto"/>
        <w:ind w:firstLine="851"/>
        <w:jc w:val="both"/>
        <w:rPr>
          <w:rFonts w:ascii="Arial" w:hAnsi="Arial" w:cs="Arial"/>
          <w:sz w:val="24"/>
          <w:szCs w:val="24"/>
        </w:rPr>
      </w:pPr>
      <w:r>
        <w:rPr>
          <w:rFonts w:ascii="Arial" w:hAnsi="Arial" w:cs="Arial"/>
          <w:sz w:val="24"/>
          <w:szCs w:val="24"/>
        </w:rPr>
        <w:t xml:space="preserve">No âmbito da </w:t>
      </w:r>
      <w:r w:rsidR="00777331">
        <w:rPr>
          <w:rFonts w:ascii="Arial" w:hAnsi="Arial" w:cs="Arial"/>
          <w:sz w:val="24"/>
          <w:szCs w:val="24"/>
        </w:rPr>
        <w:t xml:space="preserve">então Secretaria de Estado da Fazenda, </w:t>
      </w:r>
      <w:r w:rsidR="00777331" w:rsidRPr="00140A7E">
        <w:rPr>
          <w:rFonts w:ascii="Arial" w:hAnsi="Arial" w:cs="Arial"/>
          <w:sz w:val="24"/>
          <w:szCs w:val="24"/>
          <w:u w:val="single"/>
        </w:rPr>
        <w:t xml:space="preserve">a </w:t>
      </w:r>
      <w:r w:rsidRPr="00140A7E">
        <w:rPr>
          <w:rFonts w:ascii="Arial" w:hAnsi="Arial" w:cs="Arial"/>
          <w:sz w:val="24"/>
          <w:szCs w:val="24"/>
          <w:u w:val="single"/>
        </w:rPr>
        <w:t>Gerência de Controle de Benefícios e Incentivos Fiscais exarou despacho no sentido de que o órgão não contava mais com funcionário qualificado</w:t>
      </w:r>
      <w:r>
        <w:rPr>
          <w:rFonts w:ascii="Arial" w:hAnsi="Arial" w:cs="Arial"/>
          <w:sz w:val="24"/>
          <w:szCs w:val="24"/>
        </w:rPr>
        <w:t xml:space="preserve"> para </w:t>
      </w:r>
      <w:r w:rsidR="00140A7E">
        <w:rPr>
          <w:rFonts w:ascii="Arial" w:hAnsi="Arial" w:cs="Arial"/>
          <w:sz w:val="24"/>
          <w:szCs w:val="24"/>
        </w:rPr>
        <w:t xml:space="preserve">analisar a </w:t>
      </w:r>
      <w:r>
        <w:rPr>
          <w:rFonts w:ascii="Arial" w:hAnsi="Arial" w:cs="Arial"/>
          <w:sz w:val="24"/>
          <w:szCs w:val="24"/>
        </w:rPr>
        <w:t>comprova</w:t>
      </w:r>
      <w:r w:rsidR="00140A7E">
        <w:rPr>
          <w:rFonts w:ascii="Arial" w:hAnsi="Arial" w:cs="Arial"/>
          <w:sz w:val="24"/>
          <w:szCs w:val="24"/>
        </w:rPr>
        <w:t>ção de</w:t>
      </w:r>
      <w:r>
        <w:rPr>
          <w:rFonts w:ascii="Arial" w:hAnsi="Arial" w:cs="Arial"/>
          <w:sz w:val="24"/>
          <w:szCs w:val="24"/>
        </w:rPr>
        <w:t xml:space="preserve"> investimentos previstos no referido TARE, </w:t>
      </w:r>
      <w:r w:rsidR="00450B3B">
        <w:rPr>
          <w:rFonts w:ascii="Arial" w:hAnsi="Arial" w:cs="Arial"/>
          <w:sz w:val="24"/>
          <w:szCs w:val="24"/>
        </w:rPr>
        <w:t xml:space="preserve">razão pela qual encaminhou os autos à Gerência de Auditoria de Indústria e </w:t>
      </w:r>
      <w:r w:rsidR="00450B3B" w:rsidRPr="00AA687A">
        <w:rPr>
          <w:rFonts w:ascii="Arial" w:hAnsi="Arial" w:cs="Arial"/>
          <w:sz w:val="24"/>
          <w:szCs w:val="24"/>
        </w:rPr>
        <w:t>Atacado</w:t>
      </w:r>
      <w:r w:rsidR="00AA687A" w:rsidRPr="00AA687A">
        <w:rPr>
          <w:rFonts w:ascii="Arial" w:hAnsi="Arial" w:cs="Arial"/>
          <w:sz w:val="24"/>
          <w:szCs w:val="24"/>
        </w:rPr>
        <w:t xml:space="preserve"> (Ofício nº 2.500/2019-Economia, p. 2080)</w:t>
      </w:r>
      <w:r w:rsidR="00AA687A">
        <w:rPr>
          <w:rFonts w:ascii="Arial" w:hAnsi="Arial" w:cs="Arial"/>
          <w:sz w:val="24"/>
          <w:szCs w:val="24"/>
        </w:rPr>
        <w:t>.</w:t>
      </w:r>
      <w:r w:rsidR="00343D4E">
        <w:rPr>
          <w:rFonts w:ascii="Arial" w:hAnsi="Arial" w:cs="Arial"/>
          <w:sz w:val="24"/>
          <w:szCs w:val="24"/>
        </w:rPr>
        <w:t xml:space="preserve"> </w:t>
      </w:r>
      <w:r w:rsidR="00D03C9C">
        <w:rPr>
          <w:rFonts w:ascii="Arial" w:hAnsi="Arial" w:cs="Arial"/>
          <w:sz w:val="24"/>
          <w:szCs w:val="24"/>
        </w:rPr>
        <w:t>Importante destacar que, em tese</w:t>
      </w:r>
      <w:r w:rsidR="00343D4E">
        <w:rPr>
          <w:rFonts w:ascii="Arial" w:hAnsi="Arial" w:cs="Arial"/>
          <w:sz w:val="24"/>
          <w:szCs w:val="24"/>
        </w:rPr>
        <w:t>, a primeira gerência reconheceu ser sua a competência, porém ante a falta de pessoal qualificado remeteu o feito à segunda para análise exclusivamente fiscal.</w:t>
      </w:r>
    </w:p>
    <w:p w14:paraId="72599A9A" w14:textId="5D484F00" w:rsidR="00FB4B1E" w:rsidRDefault="00777331" w:rsidP="00914DC7">
      <w:pPr>
        <w:spacing w:line="360" w:lineRule="auto"/>
        <w:ind w:firstLine="851"/>
        <w:jc w:val="both"/>
        <w:rPr>
          <w:rFonts w:ascii="Arial" w:hAnsi="Arial" w:cs="Arial"/>
          <w:sz w:val="24"/>
          <w:szCs w:val="24"/>
        </w:rPr>
      </w:pPr>
      <w:r w:rsidRPr="00D03C9C">
        <w:rPr>
          <w:rFonts w:ascii="Arial" w:hAnsi="Arial" w:cs="Arial"/>
          <w:sz w:val="24"/>
          <w:szCs w:val="24"/>
          <w:u w:val="single"/>
        </w:rPr>
        <w:t>O</w:t>
      </w:r>
      <w:r w:rsidR="00C21431" w:rsidRPr="00D03C9C">
        <w:rPr>
          <w:rFonts w:ascii="Arial" w:hAnsi="Arial" w:cs="Arial"/>
          <w:sz w:val="24"/>
          <w:szCs w:val="24"/>
          <w:u w:val="single"/>
        </w:rPr>
        <w:t xml:space="preserve"> processo s</w:t>
      </w:r>
      <w:r w:rsidR="00FB4B1E" w:rsidRPr="00D03C9C">
        <w:rPr>
          <w:rFonts w:ascii="Arial" w:hAnsi="Arial" w:cs="Arial"/>
          <w:sz w:val="24"/>
          <w:szCs w:val="24"/>
          <w:u w:val="single"/>
        </w:rPr>
        <w:t>egue</w:t>
      </w:r>
      <w:r w:rsidR="00C21431" w:rsidRPr="00D03C9C">
        <w:rPr>
          <w:rFonts w:ascii="Arial" w:hAnsi="Arial" w:cs="Arial"/>
          <w:sz w:val="24"/>
          <w:szCs w:val="24"/>
          <w:u w:val="single"/>
        </w:rPr>
        <w:t xml:space="preserve"> com apenas uma</w:t>
      </w:r>
      <w:r w:rsidR="0056075E" w:rsidRPr="00D03C9C">
        <w:rPr>
          <w:rFonts w:ascii="Arial" w:hAnsi="Arial" w:cs="Arial"/>
          <w:sz w:val="24"/>
          <w:szCs w:val="24"/>
          <w:u w:val="single"/>
        </w:rPr>
        <w:t xml:space="preserve"> </w:t>
      </w:r>
      <w:r w:rsidR="00C21431" w:rsidRPr="00D03C9C">
        <w:rPr>
          <w:rFonts w:ascii="Arial" w:hAnsi="Arial" w:cs="Arial"/>
          <w:sz w:val="24"/>
          <w:szCs w:val="24"/>
          <w:u w:val="single"/>
        </w:rPr>
        <w:t>parte de</w:t>
      </w:r>
      <w:r w:rsidR="00FB4B1E" w:rsidRPr="00D03C9C">
        <w:rPr>
          <w:rFonts w:ascii="Arial" w:hAnsi="Arial" w:cs="Arial"/>
          <w:sz w:val="24"/>
          <w:szCs w:val="24"/>
          <w:u w:val="single"/>
        </w:rPr>
        <w:t xml:space="preserve"> despacho</w:t>
      </w:r>
      <w:r w:rsidR="00EF5089" w:rsidRPr="00D03C9C">
        <w:rPr>
          <w:rFonts w:ascii="Arial" w:hAnsi="Arial" w:cs="Arial"/>
          <w:sz w:val="24"/>
          <w:szCs w:val="24"/>
          <w:u w:val="single"/>
        </w:rPr>
        <w:t>,</w:t>
      </w:r>
      <w:r w:rsidR="00FB4B1E" w:rsidRPr="00D03C9C">
        <w:rPr>
          <w:rFonts w:ascii="Arial" w:hAnsi="Arial" w:cs="Arial"/>
          <w:sz w:val="24"/>
          <w:szCs w:val="24"/>
          <w:u w:val="single"/>
        </w:rPr>
        <w:t xml:space="preserve"> fornecido a esta CPI</w:t>
      </w:r>
      <w:r w:rsidR="00EF5089" w:rsidRPr="00D03C9C">
        <w:rPr>
          <w:rFonts w:ascii="Arial" w:hAnsi="Arial" w:cs="Arial"/>
          <w:sz w:val="24"/>
          <w:szCs w:val="24"/>
          <w:u w:val="single"/>
        </w:rPr>
        <w:t xml:space="preserve"> aparentemente</w:t>
      </w:r>
      <w:r w:rsidR="00FB4B1E" w:rsidRPr="00D03C9C">
        <w:rPr>
          <w:rFonts w:ascii="Arial" w:hAnsi="Arial" w:cs="Arial"/>
          <w:sz w:val="24"/>
          <w:szCs w:val="24"/>
          <w:u w:val="single"/>
        </w:rPr>
        <w:t xml:space="preserve"> pela metade</w:t>
      </w:r>
      <w:r w:rsidR="00C21431">
        <w:rPr>
          <w:rFonts w:ascii="Arial" w:hAnsi="Arial" w:cs="Arial"/>
          <w:sz w:val="24"/>
          <w:szCs w:val="24"/>
        </w:rPr>
        <w:t xml:space="preserve">, </w:t>
      </w:r>
      <w:r w:rsidR="00FB4B1E">
        <w:rPr>
          <w:rFonts w:ascii="Arial" w:hAnsi="Arial" w:cs="Arial"/>
          <w:sz w:val="24"/>
          <w:szCs w:val="24"/>
        </w:rPr>
        <w:t>do qual não se conseguiu identificar nem o signatário nem a manifestação conclusiva (</w:t>
      </w:r>
      <w:r w:rsidR="00FB4B1E" w:rsidRPr="00AA687A">
        <w:rPr>
          <w:rFonts w:ascii="Arial" w:hAnsi="Arial" w:cs="Arial"/>
          <w:sz w:val="24"/>
          <w:szCs w:val="24"/>
        </w:rPr>
        <w:t>Ofício nº 2.500/2019-Economia, p. 20</w:t>
      </w:r>
      <w:r w:rsidR="00FB4B1E">
        <w:rPr>
          <w:rFonts w:ascii="Arial" w:hAnsi="Arial" w:cs="Arial"/>
          <w:sz w:val="24"/>
          <w:szCs w:val="24"/>
        </w:rPr>
        <w:t>82/2083)</w:t>
      </w:r>
      <w:r w:rsidR="00C21431">
        <w:rPr>
          <w:rFonts w:ascii="Arial" w:hAnsi="Arial" w:cs="Arial"/>
          <w:sz w:val="24"/>
          <w:szCs w:val="24"/>
        </w:rPr>
        <w:t xml:space="preserve">; e, a seguir, consta </w:t>
      </w:r>
      <w:r w:rsidR="00C21431" w:rsidRPr="00D03C9C">
        <w:rPr>
          <w:rFonts w:ascii="Arial" w:hAnsi="Arial" w:cs="Arial"/>
          <w:sz w:val="24"/>
          <w:szCs w:val="24"/>
          <w:u w:val="single"/>
        </w:rPr>
        <w:t xml:space="preserve">despacho da Gerência de Auditoria de Indústria e Atacado atribuindo a auditor fiscal </w:t>
      </w:r>
      <w:r w:rsidR="00D57840" w:rsidRPr="00D03C9C">
        <w:rPr>
          <w:rFonts w:ascii="Arial" w:hAnsi="Arial" w:cs="Arial"/>
          <w:sz w:val="24"/>
          <w:szCs w:val="24"/>
          <w:u w:val="single"/>
        </w:rPr>
        <w:t>dessa mesma</w:t>
      </w:r>
      <w:r w:rsidR="00C21431" w:rsidRPr="00D03C9C">
        <w:rPr>
          <w:rFonts w:ascii="Arial" w:hAnsi="Arial" w:cs="Arial"/>
          <w:sz w:val="24"/>
          <w:szCs w:val="24"/>
          <w:u w:val="single"/>
        </w:rPr>
        <w:t xml:space="preserve"> Gerência</w:t>
      </w:r>
      <w:r w:rsidR="00C21431">
        <w:rPr>
          <w:rFonts w:ascii="Arial" w:hAnsi="Arial" w:cs="Arial"/>
          <w:sz w:val="24"/>
          <w:szCs w:val="24"/>
        </w:rPr>
        <w:t xml:space="preserve"> a função de </w:t>
      </w:r>
      <w:r>
        <w:rPr>
          <w:rFonts w:ascii="Arial" w:hAnsi="Arial" w:cs="Arial"/>
          <w:sz w:val="24"/>
          <w:szCs w:val="24"/>
        </w:rPr>
        <w:t>realizar</w:t>
      </w:r>
      <w:r w:rsidR="00C2364C">
        <w:rPr>
          <w:rFonts w:ascii="Arial" w:hAnsi="Arial" w:cs="Arial"/>
          <w:sz w:val="24"/>
          <w:szCs w:val="24"/>
        </w:rPr>
        <w:t xml:space="preserve"> mencionada</w:t>
      </w:r>
      <w:r w:rsidR="00C21431">
        <w:rPr>
          <w:rFonts w:ascii="Arial" w:hAnsi="Arial" w:cs="Arial"/>
          <w:sz w:val="24"/>
          <w:szCs w:val="24"/>
        </w:rPr>
        <w:t xml:space="preserve"> auditoria (</w:t>
      </w:r>
      <w:r w:rsidR="00C21431" w:rsidRPr="00AA687A">
        <w:rPr>
          <w:rFonts w:ascii="Arial" w:hAnsi="Arial" w:cs="Arial"/>
          <w:sz w:val="24"/>
          <w:szCs w:val="24"/>
        </w:rPr>
        <w:t xml:space="preserve">Ofício nº 2.500/2019-Economia, p. </w:t>
      </w:r>
      <w:r w:rsidR="00C21431">
        <w:rPr>
          <w:rFonts w:ascii="Arial" w:hAnsi="Arial" w:cs="Arial"/>
          <w:sz w:val="24"/>
          <w:szCs w:val="24"/>
        </w:rPr>
        <w:t>2084)</w:t>
      </w:r>
      <w:r w:rsidR="00FB4B1E">
        <w:rPr>
          <w:rFonts w:ascii="Arial" w:hAnsi="Arial" w:cs="Arial"/>
          <w:sz w:val="24"/>
          <w:szCs w:val="24"/>
        </w:rPr>
        <w:t>.</w:t>
      </w:r>
    </w:p>
    <w:p w14:paraId="41292DA8" w14:textId="19B1E89D" w:rsidR="0007747E" w:rsidRDefault="00EF5089" w:rsidP="00914DC7">
      <w:pPr>
        <w:spacing w:line="360" w:lineRule="auto"/>
        <w:ind w:firstLine="851"/>
        <w:jc w:val="both"/>
        <w:rPr>
          <w:rFonts w:ascii="Arial" w:hAnsi="Arial" w:cs="Arial"/>
          <w:sz w:val="24"/>
          <w:szCs w:val="24"/>
        </w:rPr>
      </w:pPr>
      <w:r w:rsidRPr="00D03C9C">
        <w:rPr>
          <w:rFonts w:ascii="Arial" w:hAnsi="Arial" w:cs="Arial"/>
          <w:sz w:val="24"/>
          <w:szCs w:val="24"/>
        </w:rPr>
        <w:t xml:space="preserve">Na sequência dos autos há </w:t>
      </w:r>
      <w:r w:rsidR="00C2364C" w:rsidRPr="00D03C9C">
        <w:rPr>
          <w:rFonts w:ascii="Arial" w:hAnsi="Arial" w:cs="Arial"/>
          <w:sz w:val="24"/>
          <w:szCs w:val="24"/>
        </w:rPr>
        <w:t xml:space="preserve">cópia do TARE e de documentação apresentada pela </w:t>
      </w:r>
      <w:r w:rsidR="00777331" w:rsidRPr="00D03C9C">
        <w:rPr>
          <w:rFonts w:ascii="Arial" w:hAnsi="Arial" w:cs="Arial"/>
          <w:sz w:val="24"/>
          <w:szCs w:val="24"/>
        </w:rPr>
        <w:t>E</w:t>
      </w:r>
      <w:r w:rsidR="00C2364C" w:rsidRPr="00D03C9C">
        <w:rPr>
          <w:rFonts w:ascii="Arial" w:hAnsi="Arial" w:cs="Arial"/>
          <w:sz w:val="24"/>
          <w:szCs w:val="24"/>
        </w:rPr>
        <w:t xml:space="preserve">mpresa </w:t>
      </w:r>
      <w:r w:rsidR="00777331" w:rsidRPr="00D03C9C">
        <w:rPr>
          <w:rFonts w:ascii="Arial" w:hAnsi="Arial" w:cs="Arial"/>
          <w:sz w:val="24"/>
          <w:szCs w:val="24"/>
        </w:rPr>
        <w:t>1</w:t>
      </w:r>
      <w:r w:rsidR="00914B7D" w:rsidRPr="00D03C9C">
        <w:rPr>
          <w:rFonts w:ascii="Arial" w:hAnsi="Arial" w:cs="Arial"/>
          <w:sz w:val="24"/>
          <w:szCs w:val="24"/>
        </w:rPr>
        <w:t xml:space="preserve"> (Ofício nº 2.500/2019-Economia, p. 2085/2102)</w:t>
      </w:r>
      <w:r w:rsidR="00914B7D">
        <w:rPr>
          <w:rFonts w:ascii="Arial" w:hAnsi="Arial" w:cs="Arial"/>
          <w:sz w:val="24"/>
          <w:szCs w:val="24"/>
        </w:rPr>
        <w:t xml:space="preserve">, </w:t>
      </w:r>
      <w:r w:rsidR="00C32262">
        <w:rPr>
          <w:rFonts w:ascii="Arial" w:hAnsi="Arial" w:cs="Arial"/>
          <w:sz w:val="24"/>
          <w:szCs w:val="24"/>
        </w:rPr>
        <w:t xml:space="preserve">seguida de </w:t>
      </w:r>
      <w:r w:rsidR="00C32262" w:rsidRPr="00D03C9C">
        <w:rPr>
          <w:rFonts w:ascii="Arial" w:hAnsi="Arial" w:cs="Arial"/>
          <w:sz w:val="24"/>
          <w:szCs w:val="24"/>
          <w:u w:val="single"/>
        </w:rPr>
        <w:t xml:space="preserve">manifestação do auditor designado para a auditoria fiscal, o qual afirma estar em análise os investimentos realizados </w:t>
      </w:r>
      <w:r w:rsidRPr="00D03C9C">
        <w:rPr>
          <w:rFonts w:ascii="Arial" w:hAnsi="Arial" w:cs="Arial"/>
          <w:sz w:val="24"/>
          <w:szCs w:val="24"/>
          <w:u w:val="single"/>
        </w:rPr>
        <w:t>no</w:t>
      </w:r>
      <w:r w:rsidR="00C32262" w:rsidRPr="00D03C9C">
        <w:rPr>
          <w:rFonts w:ascii="Arial" w:hAnsi="Arial" w:cs="Arial"/>
          <w:sz w:val="24"/>
          <w:szCs w:val="24"/>
          <w:u w:val="single"/>
        </w:rPr>
        <w:t xml:space="preserve"> 2º semestre</w:t>
      </w:r>
      <w:r w:rsidRPr="00D03C9C">
        <w:rPr>
          <w:rFonts w:ascii="Arial" w:hAnsi="Arial" w:cs="Arial"/>
          <w:sz w:val="24"/>
          <w:szCs w:val="24"/>
          <w:u w:val="single"/>
        </w:rPr>
        <w:t xml:space="preserve"> de vigência do TARE, correspondente ao primeiro semestre</w:t>
      </w:r>
      <w:r w:rsidR="00C32262" w:rsidRPr="00D03C9C">
        <w:rPr>
          <w:rFonts w:ascii="Arial" w:hAnsi="Arial" w:cs="Arial"/>
          <w:sz w:val="24"/>
          <w:szCs w:val="24"/>
          <w:u w:val="single"/>
        </w:rPr>
        <w:t xml:space="preserve"> de 201</w:t>
      </w:r>
      <w:r w:rsidRPr="00D03C9C">
        <w:rPr>
          <w:rFonts w:ascii="Arial" w:hAnsi="Arial" w:cs="Arial"/>
          <w:sz w:val="24"/>
          <w:szCs w:val="24"/>
          <w:u w:val="single"/>
        </w:rPr>
        <w:t>5</w:t>
      </w:r>
      <w:r>
        <w:rPr>
          <w:rFonts w:ascii="Arial" w:hAnsi="Arial" w:cs="Arial"/>
          <w:sz w:val="24"/>
          <w:szCs w:val="24"/>
        </w:rPr>
        <w:t>.</w:t>
      </w:r>
      <w:r w:rsidR="00176B17">
        <w:rPr>
          <w:rFonts w:ascii="Arial" w:hAnsi="Arial" w:cs="Arial"/>
          <w:sz w:val="24"/>
          <w:szCs w:val="24"/>
        </w:rPr>
        <w:t xml:space="preserve"> Ao analisar a documentação que supostamente comprovaria os investimentos realizados, o auditor fiscal assim se manifesta:</w:t>
      </w:r>
    </w:p>
    <w:p w14:paraId="6CCC2495" w14:textId="6EA46209" w:rsidR="00176B17" w:rsidRDefault="00176B17" w:rsidP="00914DC7">
      <w:pPr>
        <w:spacing w:line="360" w:lineRule="auto"/>
        <w:ind w:firstLine="851"/>
        <w:jc w:val="both"/>
        <w:rPr>
          <w:rFonts w:ascii="Arial" w:hAnsi="Arial" w:cs="Arial"/>
          <w:sz w:val="24"/>
          <w:szCs w:val="24"/>
        </w:rPr>
      </w:pPr>
    </w:p>
    <w:p w14:paraId="3351E17D" w14:textId="01FBD247" w:rsidR="00176B17" w:rsidRPr="00781D8A" w:rsidRDefault="00176B17" w:rsidP="00093ED0">
      <w:pPr>
        <w:ind w:left="2268"/>
        <w:jc w:val="both"/>
        <w:rPr>
          <w:rFonts w:ascii="Arial" w:hAnsi="Arial" w:cs="Arial"/>
          <w:sz w:val="22"/>
          <w:szCs w:val="22"/>
        </w:rPr>
      </w:pPr>
      <w:r w:rsidRPr="00781D8A">
        <w:rPr>
          <w:rFonts w:ascii="Arial" w:hAnsi="Arial" w:cs="Arial"/>
          <w:sz w:val="22"/>
          <w:szCs w:val="22"/>
        </w:rPr>
        <w:lastRenderedPageBreak/>
        <w:t>De acordo com os relatórios e documentos apresentados, a</w:t>
      </w:r>
      <w:r w:rsidR="00781D8A">
        <w:rPr>
          <w:rFonts w:ascii="Arial" w:hAnsi="Arial" w:cs="Arial"/>
          <w:sz w:val="22"/>
          <w:szCs w:val="22"/>
        </w:rPr>
        <w:t xml:space="preserve"> </w:t>
      </w:r>
      <w:r w:rsidRPr="00781D8A">
        <w:rPr>
          <w:rFonts w:ascii="Arial" w:hAnsi="Arial" w:cs="Arial"/>
          <w:sz w:val="22"/>
          <w:szCs w:val="22"/>
        </w:rPr>
        <w:t xml:space="preserve">empresa informou que investiu no segundo semestre, em capital de giro, o montante </w:t>
      </w:r>
      <w:r w:rsidR="00B67446">
        <w:rPr>
          <w:rFonts w:ascii="Arial" w:hAnsi="Arial" w:cs="Arial"/>
          <w:sz w:val="22"/>
          <w:szCs w:val="22"/>
        </w:rPr>
        <w:t>[...]</w:t>
      </w:r>
      <w:r w:rsidRPr="00781D8A">
        <w:rPr>
          <w:rFonts w:ascii="Arial" w:hAnsi="Arial" w:cs="Arial"/>
          <w:sz w:val="22"/>
          <w:szCs w:val="22"/>
        </w:rPr>
        <w:t xml:space="preserve">. Porém ao comparar o relatório apresentado com a escrituração fiscal digital – EFD – </w:t>
      </w:r>
      <w:r w:rsidRPr="00243DA2">
        <w:rPr>
          <w:rFonts w:ascii="Arial" w:hAnsi="Arial" w:cs="Arial"/>
          <w:b/>
          <w:bCs/>
          <w:sz w:val="22"/>
          <w:szCs w:val="22"/>
        </w:rPr>
        <w:t>constatou-se que tal investimento é, na verdade, importação de mercadorias para comercialização</w:t>
      </w:r>
      <w:r w:rsidRPr="00781D8A">
        <w:rPr>
          <w:rFonts w:ascii="Arial" w:hAnsi="Arial" w:cs="Arial"/>
          <w:sz w:val="22"/>
          <w:szCs w:val="22"/>
        </w:rPr>
        <w:t xml:space="preserve">, conforme está demonstrado no relatório anexo (folhas de 13 a 26) onde foi escriturado, na entrada dos produtos, o CFOP 3102. </w:t>
      </w:r>
      <w:r w:rsidRPr="00243DA2">
        <w:rPr>
          <w:rFonts w:ascii="Arial" w:hAnsi="Arial" w:cs="Arial"/>
          <w:b/>
          <w:bCs/>
          <w:sz w:val="22"/>
          <w:szCs w:val="22"/>
        </w:rPr>
        <w:t xml:space="preserve">Por isso, o investimento apresentado pelo sujeito passivo, no segundo semestre, foi DESCONSIDERADO, tendo em vista que o TARE </w:t>
      </w:r>
      <w:r w:rsidR="00B67446">
        <w:rPr>
          <w:rFonts w:ascii="Arial" w:hAnsi="Arial" w:cs="Arial"/>
          <w:b/>
          <w:bCs/>
          <w:sz w:val="22"/>
          <w:szCs w:val="22"/>
        </w:rPr>
        <w:t>[...]</w:t>
      </w:r>
      <w:r w:rsidRPr="00243DA2">
        <w:rPr>
          <w:rFonts w:ascii="Arial" w:hAnsi="Arial" w:cs="Arial"/>
          <w:b/>
          <w:bCs/>
          <w:sz w:val="22"/>
          <w:szCs w:val="22"/>
        </w:rPr>
        <w:t xml:space="preserve"> não contempla a compra de mercadoria para comercialização, como investimento válido</w:t>
      </w:r>
      <w:r w:rsidR="00934378" w:rsidRPr="00243DA2">
        <w:rPr>
          <w:rFonts w:ascii="Arial" w:hAnsi="Arial" w:cs="Arial"/>
          <w:b/>
          <w:bCs/>
          <w:sz w:val="22"/>
          <w:szCs w:val="22"/>
        </w:rPr>
        <w:t>, para comprovação do benefício por ele concedido</w:t>
      </w:r>
      <w:r w:rsidR="00934378" w:rsidRPr="00781D8A">
        <w:rPr>
          <w:rFonts w:ascii="Arial" w:hAnsi="Arial" w:cs="Arial"/>
          <w:sz w:val="22"/>
          <w:szCs w:val="22"/>
        </w:rPr>
        <w:t xml:space="preserve">. Em razão disto, o investimento acumulado, nos dois semestres, continua sendo de </w:t>
      </w:r>
      <w:r w:rsidR="00B67446">
        <w:rPr>
          <w:rFonts w:ascii="Arial" w:hAnsi="Arial" w:cs="Arial"/>
          <w:sz w:val="22"/>
          <w:szCs w:val="22"/>
        </w:rPr>
        <w:t>[...]</w:t>
      </w:r>
      <w:r w:rsidR="00934378" w:rsidRPr="00781D8A">
        <w:rPr>
          <w:rFonts w:ascii="Arial" w:hAnsi="Arial" w:cs="Arial"/>
          <w:sz w:val="22"/>
          <w:szCs w:val="22"/>
        </w:rPr>
        <w:t xml:space="preserve">. Valor interior ao valor mínimo exigido pelo TARE </w:t>
      </w:r>
      <w:r w:rsidR="00B67446">
        <w:rPr>
          <w:rFonts w:ascii="Arial" w:hAnsi="Arial" w:cs="Arial"/>
          <w:sz w:val="22"/>
          <w:szCs w:val="22"/>
        </w:rPr>
        <w:t>[...]</w:t>
      </w:r>
      <w:r w:rsidR="00934378" w:rsidRPr="00781D8A">
        <w:rPr>
          <w:rFonts w:ascii="Arial" w:hAnsi="Arial" w:cs="Arial"/>
          <w:sz w:val="22"/>
          <w:szCs w:val="22"/>
        </w:rPr>
        <w:t>.</w:t>
      </w:r>
      <w:r w:rsidR="006B5B91">
        <w:rPr>
          <w:rFonts w:ascii="Arial" w:hAnsi="Arial" w:cs="Arial"/>
          <w:sz w:val="22"/>
          <w:szCs w:val="22"/>
        </w:rPr>
        <w:t xml:space="preserve"> </w:t>
      </w:r>
      <w:r w:rsidR="006B5B91" w:rsidRPr="006B5B91">
        <w:rPr>
          <w:rFonts w:ascii="Arial" w:hAnsi="Arial" w:cs="Arial"/>
          <w:sz w:val="22"/>
          <w:szCs w:val="22"/>
        </w:rPr>
        <w:t>(Ofício nº 2.500/2019-Economia, p. 210</w:t>
      </w:r>
      <w:r w:rsidR="006B5B91">
        <w:rPr>
          <w:rFonts w:ascii="Arial" w:hAnsi="Arial" w:cs="Arial"/>
          <w:sz w:val="22"/>
          <w:szCs w:val="22"/>
        </w:rPr>
        <w:t>3</w:t>
      </w:r>
      <w:r w:rsidR="006B5B91" w:rsidRPr="006B5B91">
        <w:rPr>
          <w:rFonts w:ascii="Arial" w:hAnsi="Arial" w:cs="Arial"/>
          <w:sz w:val="22"/>
          <w:szCs w:val="22"/>
        </w:rPr>
        <w:t>/210</w:t>
      </w:r>
      <w:r w:rsidR="006B5B91">
        <w:rPr>
          <w:rFonts w:ascii="Arial" w:hAnsi="Arial" w:cs="Arial"/>
          <w:sz w:val="22"/>
          <w:szCs w:val="22"/>
        </w:rPr>
        <w:t>5</w:t>
      </w:r>
      <w:r w:rsidR="006B5B91" w:rsidRPr="006B5B91">
        <w:rPr>
          <w:rFonts w:ascii="Arial" w:hAnsi="Arial" w:cs="Arial"/>
          <w:sz w:val="22"/>
          <w:szCs w:val="22"/>
        </w:rPr>
        <w:t>).</w:t>
      </w:r>
    </w:p>
    <w:p w14:paraId="78EAC081" w14:textId="5E8920BC" w:rsidR="00C32262" w:rsidRDefault="00C32262" w:rsidP="00914DC7">
      <w:pPr>
        <w:spacing w:line="360" w:lineRule="auto"/>
        <w:ind w:firstLine="851"/>
        <w:jc w:val="both"/>
        <w:rPr>
          <w:rFonts w:ascii="Arial" w:hAnsi="Arial" w:cs="Arial"/>
          <w:sz w:val="24"/>
          <w:szCs w:val="24"/>
        </w:rPr>
      </w:pPr>
    </w:p>
    <w:p w14:paraId="4DB9A310" w14:textId="08C4E9BB" w:rsidR="00243DA2" w:rsidRDefault="000A5F35" w:rsidP="00914DC7">
      <w:pPr>
        <w:spacing w:line="360" w:lineRule="auto"/>
        <w:ind w:firstLine="851"/>
        <w:jc w:val="both"/>
        <w:rPr>
          <w:rFonts w:ascii="Arial" w:hAnsi="Arial" w:cs="Arial"/>
          <w:sz w:val="24"/>
          <w:szCs w:val="24"/>
        </w:rPr>
      </w:pPr>
      <w:r>
        <w:rPr>
          <w:rFonts w:ascii="Arial" w:hAnsi="Arial" w:cs="Arial"/>
          <w:sz w:val="24"/>
          <w:szCs w:val="24"/>
        </w:rPr>
        <w:t>Assim</w:t>
      </w:r>
      <w:r w:rsidR="00AB62C9">
        <w:rPr>
          <w:rFonts w:ascii="Arial" w:hAnsi="Arial" w:cs="Arial"/>
          <w:sz w:val="24"/>
          <w:szCs w:val="24"/>
        </w:rPr>
        <w:t xml:space="preserve">, </w:t>
      </w:r>
      <w:r w:rsidR="00AB62C9" w:rsidRPr="00157D7F">
        <w:rPr>
          <w:rFonts w:ascii="Arial" w:hAnsi="Arial" w:cs="Arial"/>
          <w:sz w:val="24"/>
          <w:szCs w:val="24"/>
          <w:u w:val="single"/>
        </w:rPr>
        <w:t>a</w:t>
      </w:r>
      <w:r w:rsidR="00A57651" w:rsidRPr="00157D7F">
        <w:rPr>
          <w:rFonts w:ascii="Arial" w:hAnsi="Arial" w:cs="Arial"/>
          <w:sz w:val="24"/>
          <w:szCs w:val="24"/>
          <w:u w:val="single"/>
        </w:rPr>
        <w:t xml:space="preserve"> manifestação do auditor recomendou a notificação da empresa para o estorno de crédito apropriado no período</w:t>
      </w:r>
      <w:r w:rsidR="00A57651">
        <w:rPr>
          <w:rFonts w:ascii="Arial" w:hAnsi="Arial" w:cs="Arial"/>
          <w:sz w:val="24"/>
          <w:szCs w:val="24"/>
        </w:rPr>
        <w:t>, na proporção do investimento que faltou comprovar</w:t>
      </w:r>
      <w:r w:rsidR="00217C7E">
        <w:rPr>
          <w:rFonts w:ascii="Arial" w:hAnsi="Arial" w:cs="Arial"/>
          <w:sz w:val="24"/>
          <w:szCs w:val="24"/>
        </w:rPr>
        <w:t xml:space="preserve"> (</w:t>
      </w:r>
      <w:r w:rsidR="00217C7E" w:rsidRPr="00AA687A">
        <w:rPr>
          <w:rFonts w:ascii="Arial" w:hAnsi="Arial" w:cs="Arial"/>
          <w:sz w:val="24"/>
          <w:szCs w:val="24"/>
        </w:rPr>
        <w:t>Ofício nº 2.500/2019-Economia,</w:t>
      </w:r>
      <w:r w:rsidR="00217C7E">
        <w:rPr>
          <w:rFonts w:ascii="Arial" w:hAnsi="Arial" w:cs="Arial"/>
          <w:sz w:val="24"/>
          <w:szCs w:val="24"/>
        </w:rPr>
        <w:t xml:space="preserve"> p. 2103/2105)</w:t>
      </w:r>
      <w:r>
        <w:rPr>
          <w:rFonts w:ascii="Arial" w:hAnsi="Arial" w:cs="Arial"/>
          <w:sz w:val="24"/>
          <w:szCs w:val="24"/>
        </w:rPr>
        <w:t>, além de ter lavrado auto de infração com fixação de prazo para estorno (</w:t>
      </w:r>
      <w:r w:rsidRPr="00AA687A">
        <w:rPr>
          <w:rFonts w:ascii="Arial" w:hAnsi="Arial" w:cs="Arial"/>
          <w:sz w:val="24"/>
          <w:szCs w:val="24"/>
        </w:rPr>
        <w:t>Ofício nº 2.500/2019-Economia,</w:t>
      </w:r>
      <w:r>
        <w:rPr>
          <w:rFonts w:ascii="Arial" w:hAnsi="Arial" w:cs="Arial"/>
          <w:sz w:val="24"/>
          <w:szCs w:val="24"/>
        </w:rPr>
        <w:t xml:space="preserve"> p. 2106/2107 – campo “observações”)</w:t>
      </w:r>
      <w:r w:rsidR="00A57651">
        <w:rPr>
          <w:rFonts w:ascii="Arial" w:hAnsi="Arial" w:cs="Arial"/>
          <w:sz w:val="24"/>
          <w:szCs w:val="24"/>
        </w:rPr>
        <w:t>.</w:t>
      </w:r>
    </w:p>
    <w:p w14:paraId="4CF2EF34" w14:textId="0D695F34" w:rsidR="00005DCF" w:rsidRDefault="00005DCF" w:rsidP="00914DC7">
      <w:pPr>
        <w:spacing w:line="360" w:lineRule="auto"/>
        <w:ind w:firstLine="851"/>
        <w:jc w:val="both"/>
        <w:rPr>
          <w:rFonts w:ascii="Arial" w:hAnsi="Arial" w:cs="Arial"/>
          <w:sz w:val="24"/>
          <w:szCs w:val="24"/>
        </w:rPr>
      </w:pPr>
      <w:r w:rsidRPr="00157D7F">
        <w:rPr>
          <w:rFonts w:ascii="Arial" w:hAnsi="Arial" w:cs="Arial"/>
          <w:sz w:val="24"/>
          <w:szCs w:val="24"/>
          <w:u w:val="single"/>
        </w:rPr>
        <w:t xml:space="preserve">O processo seguiu para a Gerência de Controle de Incentivos Fiscais, a qual </w:t>
      </w:r>
      <w:r w:rsidR="00157D7F">
        <w:rPr>
          <w:rFonts w:ascii="Arial" w:hAnsi="Arial" w:cs="Arial"/>
          <w:sz w:val="24"/>
          <w:szCs w:val="24"/>
          <w:u w:val="single"/>
        </w:rPr>
        <w:t xml:space="preserve">o </w:t>
      </w:r>
      <w:r w:rsidRPr="00157D7F">
        <w:rPr>
          <w:rFonts w:ascii="Arial" w:hAnsi="Arial" w:cs="Arial"/>
          <w:sz w:val="24"/>
          <w:szCs w:val="24"/>
          <w:u w:val="single"/>
        </w:rPr>
        <w:t>encaminhou à Superintendência da Receita</w:t>
      </w:r>
      <w:r>
        <w:rPr>
          <w:rFonts w:ascii="Arial" w:hAnsi="Arial" w:cs="Arial"/>
          <w:sz w:val="24"/>
          <w:szCs w:val="24"/>
        </w:rPr>
        <w:t xml:space="preserve"> (</w:t>
      </w:r>
      <w:r w:rsidRPr="00AA687A">
        <w:rPr>
          <w:rFonts w:ascii="Arial" w:hAnsi="Arial" w:cs="Arial"/>
          <w:sz w:val="24"/>
          <w:szCs w:val="24"/>
        </w:rPr>
        <w:t>Ofício nº 2.500/2019-Economia,</w:t>
      </w:r>
      <w:r>
        <w:rPr>
          <w:rFonts w:ascii="Arial" w:hAnsi="Arial" w:cs="Arial"/>
          <w:sz w:val="24"/>
          <w:szCs w:val="24"/>
        </w:rPr>
        <w:t xml:space="preserve"> p. 2108/2109)</w:t>
      </w:r>
      <w:r w:rsidR="003025B6">
        <w:rPr>
          <w:rFonts w:ascii="Arial" w:hAnsi="Arial" w:cs="Arial"/>
          <w:sz w:val="24"/>
          <w:szCs w:val="24"/>
        </w:rPr>
        <w:t xml:space="preserve">. </w:t>
      </w:r>
      <w:r w:rsidR="003025B6" w:rsidRPr="00B67446">
        <w:rPr>
          <w:rFonts w:ascii="Arial" w:hAnsi="Arial" w:cs="Arial"/>
          <w:sz w:val="24"/>
          <w:szCs w:val="24"/>
        </w:rPr>
        <w:t>Intimada, a empresa</w:t>
      </w:r>
      <w:r w:rsidR="00E91F1C">
        <w:rPr>
          <w:rFonts w:ascii="Arial" w:hAnsi="Arial" w:cs="Arial"/>
          <w:sz w:val="24"/>
          <w:szCs w:val="24"/>
        </w:rPr>
        <w:t xml:space="preserve"> –</w:t>
      </w:r>
      <w:r w:rsidR="000C5760" w:rsidRPr="00B67446">
        <w:rPr>
          <w:rFonts w:ascii="Arial" w:hAnsi="Arial" w:cs="Arial"/>
          <w:sz w:val="24"/>
          <w:szCs w:val="24"/>
        </w:rPr>
        <w:t xml:space="preserve"> quase 3 (três) meses após vencido o prazo fixado no auto de infração –</w:t>
      </w:r>
      <w:r w:rsidR="003025B6" w:rsidRPr="00B67446">
        <w:rPr>
          <w:rFonts w:ascii="Arial" w:hAnsi="Arial" w:cs="Arial"/>
          <w:sz w:val="24"/>
          <w:szCs w:val="24"/>
        </w:rPr>
        <w:t xml:space="preserve"> pediu reconsideração</w:t>
      </w:r>
      <w:r w:rsidR="003025B6">
        <w:rPr>
          <w:rFonts w:ascii="Arial" w:hAnsi="Arial" w:cs="Arial"/>
          <w:sz w:val="24"/>
          <w:szCs w:val="24"/>
        </w:rPr>
        <w:t xml:space="preserve"> </w:t>
      </w:r>
      <w:r w:rsidR="00952597">
        <w:rPr>
          <w:rFonts w:ascii="Arial" w:hAnsi="Arial" w:cs="Arial"/>
          <w:sz w:val="24"/>
          <w:szCs w:val="24"/>
        </w:rPr>
        <w:t xml:space="preserve">e os autos foram reencaminhados pela Superintendência da Receita à Gerência de Indústria e Atacado para </w:t>
      </w:r>
      <w:r w:rsidR="000C5760">
        <w:rPr>
          <w:rFonts w:ascii="Arial" w:hAnsi="Arial" w:cs="Arial"/>
          <w:sz w:val="24"/>
          <w:szCs w:val="24"/>
        </w:rPr>
        <w:t>re</w:t>
      </w:r>
      <w:r w:rsidR="00952597">
        <w:rPr>
          <w:rFonts w:ascii="Arial" w:hAnsi="Arial" w:cs="Arial"/>
          <w:sz w:val="24"/>
          <w:szCs w:val="24"/>
        </w:rPr>
        <w:t>análise (</w:t>
      </w:r>
      <w:r w:rsidR="00952597" w:rsidRPr="00AA687A">
        <w:rPr>
          <w:rFonts w:ascii="Arial" w:hAnsi="Arial" w:cs="Arial"/>
          <w:sz w:val="24"/>
          <w:szCs w:val="24"/>
        </w:rPr>
        <w:t>Ofício nº 2.500/2019-Economia,</w:t>
      </w:r>
      <w:r w:rsidR="00952597">
        <w:rPr>
          <w:rFonts w:ascii="Arial" w:hAnsi="Arial" w:cs="Arial"/>
          <w:sz w:val="24"/>
          <w:szCs w:val="24"/>
        </w:rPr>
        <w:t xml:space="preserve"> p. 2110/2113)</w:t>
      </w:r>
      <w:r w:rsidR="00AC7DB1">
        <w:rPr>
          <w:rFonts w:ascii="Arial" w:hAnsi="Arial" w:cs="Arial"/>
          <w:sz w:val="24"/>
          <w:szCs w:val="24"/>
        </w:rPr>
        <w:t>.</w:t>
      </w:r>
    </w:p>
    <w:p w14:paraId="6090ED2A" w14:textId="1DBC36CC" w:rsidR="002F7234" w:rsidRDefault="002F7234" w:rsidP="00914DC7">
      <w:pPr>
        <w:spacing w:line="360" w:lineRule="auto"/>
        <w:ind w:firstLine="851"/>
        <w:jc w:val="both"/>
        <w:rPr>
          <w:rFonts w:ascii="Arial" w:hAnsi="Arial" w:cs="Arial"/>
          <w:sz w:val="24"/>
          <w:szCs w:val="24"/>
        </w:rPr>
      </w:pPr>
      <w:r w:rsidRPr="00157D7F">
        <w:rPr>
          <w:rFonts w:ascii="Arial" w:hAnsi="Arial" w:cs="Arial"/>
          <w:sz w:val="24"/>
          <w:szCs w:val="24"/>
          <w:u w:val="single"/>
        </w:rPr>
        <w:t>O então Gerente de</w:t>
      </w:r>
      <w:r w:rsidR="00913333">
        <w:rPr>
          <w:rFonts w:ascii="Arial" w:hAnsi="Arial" w:cs="Arial"/>
          <w:sz w:val="24"/>
          <w:szCs w:val="24"/>
          <w:u w:val="single"/>
        </w:rPr>
        <w:t xml:space="preserve"> Auditoria de</w:t>
      </w:r>
      <w:r w:rsidRPr="00157D7F">
        <w:rPr>
          <w:rFonts w:ascii="Arial" w:hAnsi="Arial" w:cs="Arial"/>
          <w:sz w:val="24"/>
          <w:szCs w:val="24"/>
          <w:u w:val="single"/>
        </w:rPr>
        <w:t xml:space="preserve"> Indústria e Atacado registrou que o prazo fixado no auto de infração lavrado já se encontra</w:t>
      </w:r>
      <w:r w:rsidR="001E0709" w:rsidRPr="00157D7F">
        <w:rPr>
          <w:rFonts w:ascii="Arial" w:hAnsi="Arial" w:cs="Arial"/>
          <w:sz w:val="24"/>
          <w:szCs w:val="24"/>
          <w:u w:val="single"/>
        </w:rPr>
        <w:t>va</w:t>
      </w:r>
      <w:r w:rsidRPr="00157D7F">
        <w:rPr>
          <w:rFonts w:ascii="Arial" w:hAnsi="Arial" w:cs="Arial"/>
          <w:sz w:val="24"/>
          <w:szCs w:val="24"/>
          <w:u w:val="single"/>
        </w:rPr>
        <w:t xml:space="preserve"> vencido</w:t>
      </w:r>
      <w:r>
        <w:rPr>
          <w:rFonts w:ascii="Arial" w:hAnsi="Arial" w:cs="Arial"/>
          <w:sz w:val="24"/>
          <w:szCs w:val="24"/>
        </w:rPr>
        <w:t xml:space="preserve"> e, assim, determinou que o auditor fiscal, ante o pedido de reconsideração apresentado, procedesse à juntada do auto de infração respectivo no caso de manutenção do posicionamento anterior; ou, alternativamente, que fosse exarado novo posicionamento técnico-jurídico sobre a questão</w:t>
      </w:r>
      <w:r w:rsidR="00206A4C">
        <w:rPr>
          <w:rFonts w:ascii="Arial" w:hAnsi="Arial" w:cs="Arial"/>
          <w:sz w:val="24"/>
          <w:szCs w:val="24"/>
        </w:rPr>
        <w:t xml:space="preserve"> (</w:t>
      </w:r>
      <w:r w:rsidR="00206A4C" w:rsidRPr="00AA687A">
        <w:rPr>
          <w:rFonts w:ascii="Arial" w:hAnsi="Arial" w:cs="Arial"/>
          <w:sz w:val="24"/>
          <w:szCs w:val="24"/>
        </w:rPr>
        <w:t>Ofício nº 2.500/2019-Economia,</w:t>
      </w:r>
      <w:r w:rsidR="00206A4C">
        <w:rPr>
          <w:rFonts w:ascii="Arial" w:hAnsi="Arial" w:cs="Arial"/>
          <w:sz w:val="24"/>
          <w:szCs w:val="24"/>
        </w:rPr>
        <w:t xml:space="preserve"> p. 2114/2115)</w:t>
      </w:r>
      <w:r>
        <w:rPr>
          <w:rFonts w:ascii="Arial" w:hAnsi="Arial" w:cs="Arial"/>
          <w:sz w:val="24"/>
          <w:szCs w:val="24"/>
        </w:rPr>
        <w:t>.</w:t>
      </w:r>
    </w:p>
    <w:p w14:paraId="1568C5AA" w14:textId="78DE6CAA" w:rsidR="007F7634" w:rsidRDefault="00CB62A7" w:rsidP="00A85056">
      <w:pPr>
        <w:spacing w:line="360" w:lineRule="auto"/>
        <w:ind w:firstLine="851"/>
        <w:jc w:val="both"/>
        <w:rPr>
          <w:rFonts w:ascii="Arial" w:hAnsi="Arial" w:cs="Arial"/>
          <w:sz w:val="24"/>
          <w:szCs w:val="24"/>
        </w:rPr>
      </w:pPr>
      <w:r w:rsidRPr="00157D7F">
        <w:rPr>
          <w:rFonts w:ascii="Arial" w:hAnsi="Arial" w:cs="Arial"/>
          <w:sz w:val="24"/>
          <w:szCs w:val="24"/>
          <w:u w:val="single"/>
        </w:rPr>
        <w:t>Em sua segunda manifestação</w:t>
      </w:r>
      <w:r w:rsidR="000D0BD8">
        <w:rPr>
          <w:rFonts w:ascii="Arial" w:hAnsi="Arial" w:cs="Arial"/>
          <w:sz w:val="24"/>
          <w:szCs w:val="24"/>
        </w:rPr>
        <w:t xml:space="preserve"> (</w:t>
      </w:r>
      <w:r w:rsidR="000D0BD8" w:rsidRPr="00AA687A">
        <w:rPr>
          <w:rFonts w:ascii="Arial" w:hAnsi="Arial" w:cs="Arial"/>
          <w:sz w:val="24"/>
          <w:szCs w:val="24"/>
        </w:rPr>
        <w:t>Ofício nº 2.500/2019-Economia,</w:t>
      </w:r>
      <w:r w:rsidR="000D0BD8">
        <w:rPr>
          <w:rFonts w:ascii="Arial" w:hAnsi="Arial" w:cs="Arial"/>
          <w:sz w:val="24"/>
          <w:szCs w:val="24"/>
        </w:rPr>
        <w:t xml:space="preserve"> p. 2116/2118)</w:t>
      </w:r>
      <w:r>
        <w:rPr>
          <w:rFonts w:ascii="Arial" w:hAnsi="Arial" w:cs="Arial"/>
          <w:sz w:val="24"/>
          <w:szCs w:val="24"/>
        </w:rPr>
        <w:t xml:space="preserve">, </w:t>
      </w:r>
      <w:r w:rsidRPr="00A85056">
        <w:rPr>
          <w:rFonts w:ascii="Arial" w:hAnsi="Arial" w:cs="Arial"/>
          <w:sz w:val="24"/>
          <w:szCs w:val="24"/>
        </w:rPr>
        <w:t xml:space="preserve">o mesmo auditor fiscal que </w:t>
      </w:r>
      <w:r w:rsidR="00DE0D75" w:rsidRPr="00A85056">
        <w:rPr>
          <w:rFonts w:ascii="Arial" w:hAnsi="Arial" w:cs="Arial"/>
          <w:sz w:val="24"/>
          <w:szCs w:val="24"/>
        </w:rPr>
        <w:t xml:space="preserve">outrora </w:t>
      </w:r>
      <w:r w:rsidRPr="00A85056">
        <w:rPr>
          <w:rFonts w:ascii="Arial" w:hAnsi="Arial" w:cs="Arial"/>
          <w:sz w:val="24"/>
          <w:szCs w:val="24"/>
        </w:rPr>
        <w:t xml:space="preserve">entendera </w:t>
      </w:r>
      <w:r w:rsidR="00DE0D75" w:rsidRPr="00A85056">
        <w:rPr>
          <w:rFonts w:ascii="Arial" w:hAnsi="Arial" w:cs="Arial"/>
          <w:sz w:val="24"/>
          <w:szCs w:val="24"/>
        </w:rPr>
        <w:t>pela desconsideração de qualquer investimento relativo ao segundo semestre de vigência do TARE, agora opinara no sentido de que a empresa comprovara os investimentos necess</w:t>
      </w:r>
      <w:r w:rsidR="00A85056" w:rsidRPr="00A85056">
        <w:rPr>
          <w:rFonts w:ascii="Arial" w:hAnsi="Arial" w:cs="Arial"/>
          <w:sz w:val="24"/>
          <w:szCs w:val="24"/>
        </w:rPr>
        <w:t>ários</w:t>
      </w:r>
      <w:r w:rsidR="00A85056">
        <w:rPr>
          <w:rFonts w:ascii="Arial" w:hAnsi="Arial" w:cs="Arial"/>
          <w:sz w:val="24"/>
          <w:szCs w:val="24"/>
        </w:rPr>
        <w:t xml:space="preserve">, em valor pouco </w:t>
      </w:r>
      <w:r w:rsidR="00A85056" w:rsidRPr="00A85056">
        <w:rPr>
          <w:rFonts w:ascii="Arial" w:hAnsi="Arial" w:cs="Arial"/>
          <w:sz w:val="24"/>
          <w:szCs w:val="24"/>
        </w:rPr>
        <w:t xml:space="preserve">superior ao mínimo exigido no TARE </w:t>
      </w:r>
      <w:r w:rsidR="00A07121" w:rsidRPr="00A85056">
        <w:rPr>
          <w:rFonts w:ascii="Arial" w:hAnsi="Arial" w:cs="Arial"/>
          <w:sz w:val="24"/>
          <w:szCs w:val="24"/>
        </w:rPr>
        <w:t>para o acumulado d</w:t>
      </w:r>
      <w:r w:rsidR="00A85056" w:rsidRPr="00A85056">
        <w:rPr>
          <w:rFonts w:ascii="Arial" w:hAnsi="Arial" w:cs="Arial"/>
          <w:sz w:val="24"/>
          <w:szCs w:val="24"/>
        </w:rPr>
        <w:t>os</w:t>
      </w:r>
      <w:r w:rsidR="00A07121" w:rsidRPr="00A85056">
        <w:rPr>
          <w:rFonts w:ascii="Arial" w:hAnsi="Arial" w:cs="Arial"/>
          <w:sz w:val="24"/>
          <w:szCs w:val="24"/>
        </w:rPr>
        <w:t xml:space="preserve"> 2 (dois) primeiros semestres.</w:t>
      </w:r>
      <w:r w:rsidR="00BE2437" w:rsidRPr="00A85056">
        <w:rPr>
          <w:rFonts w:ascii="Arial" w:hAnsi="Arial" w:cs="Arial"/>
          <w:sz w:val="24"/>
          <w:szCs w:val="24"/>
        </w:rPr>
        <w:t xml:space="preserve"> </w:t>
      </w:r>
      <w:r w:rsidR="007F7634">
        <w:rPr>
          <w:rFonts w:ascii="Arial" w:hAnsi="Arial" w:cs="Arial"/>
          <w:sz w:val="24"/>
          <w:szCs w:val="24"/>
        </w:rPr>
        <w:t>Porém, aqui chamam a atenção vários aspectos:</w:t>
      </w:r>
    </w:p>
    <w:p w14:paraId="5C1DD3EE" w14:textId="77777777" w:rsidR="00505254" w:rsidRDefault="00505254" w:rsidP="00914DC7">
      <w:pPr>
        <w:spacing w:line="360" w:lineRule="auto"/>
        <w:ind w:firstLine="851"/>
        <w:jc w:val="both"/>
        <w:rPr>
          <w:rFonts w:ascii="Arial" w:hAnsi="Arial" w:cs="Arial"/>
          <w:sz w:val="24"/>
          <w:szCs w:val="24"/>
        </w:rPr>
      </w:pPr>
    </w:p>
    <w:p w14:paraId="45C7E720" w14:textId="6CF7261E" w:rsidR="007F7634" w:rsidRDefault="007F7634" w:rsidP="00502615">
      <w:pPr>
        <w:pStyle w:val="PargrafodaLista"/>
        <w:numPr>
          <w:ilvl w:val="0"/>
          <w:numId w:val="14"/>
        </w:numPr>
        <w:spacing w:line="360" w:lineRule="auto"/>
        <w:jc w:val="both"/>
        <w:rPr>
          <w:rFonts w:ascii="Arial" w:hAnsi="Arial" w:cs="Arial"/>
          <w:sz w:val="24"/>
          <w:szCs w:val="24"/>
        </w:rPr>
      </w:pPr>
      <w:r>
        <w:rPr>
          <w:rFonts w:ascii="Arial" w:hAnsi="Arial" w:cs="Arial"/>
          <w:sz w:val="24"/>
          <w:szCs w:val="24"/>
        </w:rPr>
        <w:t>a empresa apresentara seu pedido de reconsideração após já vencido o prazo para estorno do crédito (quase três meses), dentro do qual possivelmente deveria ser apresentado referido pleito de reconsideração;</w:t>
      </w:r>
    </w:p>
    <w:p w14:paraId="4E2BEABD" w14:textId="77777777" w:rsidR="00C40D35" w:rsidRDefault="005C6978" w:rsidP="00502615">
      <w:pPr>
        <w:pStyle w:val="PargrafodaLista"/>
        <w:numPr>
          <w:ilvl w:val="0"/>
          <w:numId w:val="14"/>
        </w:numPr>
        <w:spacing w:line="360" w:lineRule="auto"/>
        <w:jc w:val="both"/>
        <w:rPr>
          <w:rFonts w:ascii="Arial" w:hAnsi="Arial" w:cs="Arial"/>
          <w:sz w:val="24"/>
          <w:szCs w:val="24"/>
        </w:rPr>
      </w:pPr>
      <w:r>
        <w:rPr>
          <w:rFonts w:ascii="Arial" w:hAnsi="Arial" w:cs="Arial"/>
          <w:sz w:val="24"/>
          <w:szCs w:val="24"/>
        </w:rPr>
        <w:t>ao analisar o pedido de reconsideração da empresa, o mesmo auditor fiscal</w:t>
      </w:r>
      <w:r w:rsidR="00C40D35">
        <w:rPr>
          <w:rFonts w:ascii="Arial" w:hAnsi="Arial" w:cs="Arial"/>
          <w:sz w:val="24"/>
          <w:szCs w:val="24"/>
        </w:rPr>
        <w:t>:</w:t>
      </w:r>
    </w:p>
    <w:p w14:paraId="088A9920" w14:textId="28FFDF8B" w:rsidR="00E764C1" w:rsidRDefault="00C40D35" w:rsidP="00C40D35">
      <w:pPr>
        <w:pStyle w:val="PargrafodaLista"/>
        <w:spacing w:line="360" w:lineRule="auto"/>
        <w:ind w:left="1211"/>
        <w:jc w:val="both"/>
        <w:rPr>
          <w:rFonts w:ascii="Arial" w:hAnsi="Arial" w:cs="Arial"/>
          <w:sz w:val="24"/>
          <w:szCs w:val="24"/>
        </w:rPr>
      </w:pPr>
      <w:r>
        <w:rPr>
          <w:rFonts w:ascii="Arial" w:hAnsi="Arial" w:cs="Arial"/>
          <w:sz w:val="24"/>
          <w:szCs w:val="24"/>
        </w:rPr>
        <w:t xml:space="preserve">b.1) </w:t>
      </w:r>
      <w:r w:rsidR="00E764C1">
        <w:rPr>
          <w:rFonts w:ascii="Arial" w:hAnsi="Arial" w:cs="Arial"/>
          <w:sz w:val="24"/>
          <w:szCs w:val="24"/>
        </w:rPr>
        <w:t>inicia argumentando que a empresa, notificada para estornar o crédito, anexou outros comprovantes de investimentos relativos ao segundo semestre de vigência do TARE (objeto de análise</w:t>
      </w:r>
      <w:r>
        <w:rPr>
          <w:rFonts w:ascii="Arial" w:hAnsi="Arial" w:cs="Arial"/>
          <w:sz w:val="24"/>
          <w:szCs w:val="24"/>
        </w:rPr>
        <w:t xml:space="preserve"> – 1º semestre de 2015</w:t>
      </w:r>
      <w:r w:rsidR="00E764C1">
        <w:rPr>
          <w:rFonts w:ascii="Arial" w:hAnsi="Arial" w:cs="Arial"/>
          <w:sz w:val="24"/>
          <w:szCs w:val="24"/>
        </w:rPr>
        <w:t xml:space="preserve">), </w:t>
      </w:r>
      <w:r w:rsidR="007A2CA2">
        <w:rPr>
          <w:rFonts w:ascii="Arial" w:hAnsi="Arial" w:cs="Arial"/>
          <w:sz w:val="24"/>
          <w:szCs w:val="24"/>
        </w:rPr>
        <w:t xml:space="preserve">MESMO SEM A EMPRESA TER MENCIONADO NO PEDIDO DE RECONSIDERAÇÃO QUE ESTAVA ANEXANDO NOVOS DOCUMENTOS </w:t>
      </w:r>
      <w:r w:rsidR="00E764C1">
        <w:rPr>
          <w:rFonts w:ascii="Arial" w:hAnsi="Arial" w:cs="Arial"/>
          <w:sz w:val="24"/>
          <w:szCs w:val="24"/>
        </w:rPr>
        <w:t>(apenas pediu para ser ouvida e ser modificado o entendimento anterior);</w:t>
      </w:r>
    </w:p>
    <w:p w14:paraId="607E3067" w14:textId="7F652275" w:rsidR="005C6978" w:rsidRDefault="00C40D35" w:rsidP="007A2CA2">
      <w:pPr>
        <w:pStyle w:val="PargrafodaLista"/>
        <w:spacing w:line="360" w:lineRule="auto"/>
        <w:ind w:left="1211"/>
        <w:jc w:val="both"/>
        <w:rPr>
          <w:rFonts w:ascii="Arial" w:hAnsi="Arial" w:cs="Arial"/>
          <w:sz w:val="24"/>
          <w:szCs w:val="24"/>
        </w:rPr>
      </w:pPr>
      <w:r>
        <w:rPr>
          <w:rFonts w:ascii="Arial" w:hAnsi="Arial" w:cs="Arial"/>
          <w:sz w:val="24"/>
          <w:szCs w:val="24"/>
        </w:rPr>
        <w:t xml:space="preserve">b.2) </w:t>
      </w:r>
      <w:r w:rsidR="007A2CA2">
        <w:rPr>
          <w:rFonts w:ascii="Arial" w:hAnsi="Arial" w:cs="Arial"/>
          <w:sz w:val="24"/>
          <w:szCs w:val="24"/>
        </w:rPr>
        <w:t xml:space="preserve">conclui pela </w:t>
      </w:r>
      <w:r w:rsidR="00E764C1">
        <w:rPr>
          <w:rFonts w:ascii="Arial" w:hAnsi="Arial" w:cs="Arial"/>
          <w:sz w:val="24"/>
          <w:szCs w:val="24"/>
        </w:rPr>
        <w:t xml:space="preserve">regularidade dos investimentos relativos ao segundo semestre, SEM JUSTIFICAR CONCRETAMENTE </w:t>
      </w:r>
      <w:r w:rsidR="007A2CA2">
        <w:rPr>
          <w:rFonts w:ascii="Arial" w:hAnsi="Arial" w:cs="Arial"/>
          <w:sz w:val="24"/>
          <w:szCs w:val="24"/>
        </w:rPr>
        <w:t>A NATUREZA DESSES SUPOSTOS NOVOS INVESTIMENTOS ORA COMPROVADOS</w:t>
      </w:r>
      <w:r w:rsidR="00E764C1">
        <w:rPr>
          <w:rFonts w:ascii="Arial" w:hAnsi="Arial" w:cs="Arial"/>
          <w:sz w:val="24"/>
          <w:szCs w:val="24"/>
        </w:rPr>
        <w:t xml:space="preserve">, </w:t>
      </w:r>
      <w:r w:rsidR="007A2CA2">
        <w:rPr>
          <w:rFonts w:ascii="Arial" w:hAnsi="Arial" w:cs="Arial"/>
          <w:sz w:val="24"/>
          <w:szCs w:val="24"/>
        </w:rPr>
        <w:t>o que seria no mínimo recomendável para superar o entendimento anterior;</w:t>
      </w:r>
    </w:p>
    <w:p w14:paraId="478301FD" w14:textId="77777777" w:rsidR="007A2CA2" w:rsidRDefault="007A2CA2" w:rsidP="007A2CA2">
      <w:pPr>
        <w:pStyle w:val="PargrafodaLista"/>
        <w:spacing w:line="360" w:lineRule="auto"/>
        <w:ind w:left="1211"/>
        <w:jc w:val="both"/>
        <w:rPr>
          <w:rFonts w:ascii="Arial" w:hAnsi="Arial" w:cs="Arial"/>
          <w:sz w:val="24"/>
          <w:szCs w:val="24"/>
        </w:rPr>
      </w:pPr>
      <w:r>
        <w:rPr>
          <w:rFonts w:ascii="Arial" w:hAnsi="Arial" w:cs="Arial"/>
          <w:sz w:val="24"/>
          <w:szCs w:val="24"/>
        </w:rPr>
        <w:t>b.3) o valor aceito a título de investimentos relativos ao segundo semestre de vigência do TARE é praticamente o estritamente necessário e suficiente – apenas pouco superior – ao mínimo exigido no respectivo TARE para fruição do benefício;</w:t>
      </w:r>
    </w:p>
    <w:p w14:paraId="77AB5F0C" w14:textId="26F53683" w:rsidR="00913333" w:rsidRPr="0043023E" w:rsidRDefault="007A2CA2" w:rsidP="0043023E">
      <w:pPr>
        <w:pStyle w:val="PargrafodaLista"/>
        <w:spacing w:line="360" w:lineRule="auto"/>
        <w:ind w:left="1211"/>
        <w:jc w:val="both"/>
        <w:rPr>
          <w:rFonts w:ascii="Arial" w:hAnsi="Arial" w:cs="Arial"/>
          <w:sz w:val="24"/>
          <w:szCs w:val="24"/>
        </w:rPr>
      </w:pPr>
      <w:r>
        <w:rPr>
          <w:rFonts w:ascii="Arial" w:hAnsi="Arial" w:cs="Arial"/>
          <w:sz w:val="24"/>
          <w:szCs w:val="24"/>
        </w:rPr>
        <w:t>b.4) os novos investimentos supostamente apresentados pela empresa fo</w:t>
      </w:r>
      <w:r w:rsidR="00CF1AEE">
        <w:rPr>
          <w:rFonts w:ascii="Arial" w:hAnsi="Arial" w:cs="Arial"/>
          <w:sz w:val="24"/>
          <w:szCs w:val="24"/>
        </w:rPr>
        <w:t>ram</w:t>
      </w:r>
      <w:r>
        <w:rPr>
          <w:rFonts w:ascii="Arial" w:hAnsi="Arial" w:cs="Arial"/>
          <w:sz w:val="24"/>
          <w:szCs w:val="24"/>
        </w:rPr>
        <w:t xml:space="preserve"> aceito</w:t>
      </w:r>
      <w:r w:rsidR="001C5191">
        <w:rPr>
          <w:rFonts w:ascii="Arial" w:hAnsi="Arial" w:cs="Arial"/>
          <w:sz w:val="24"/>
          <w:szCs w:val="24"/>
        </w:rPr>
        <w:t>s em sua integralidade</w:t>
      </w:r>
      <w:r>
        <w:rPr>
          <w:rFonts w:ascii="Arial" w:hAnsi="Arial" w:cs="Arial"/>
          <w:sz w:val="24"/>
          <w:szCs w:val="24"/>
        </w:rPr>
        <w:t xml:space="preserve"> pelo auditor fiscal, </w:t>
      </w:r>
      <w:r w:rsidR="001C5191">
        <w:rPr>
          <w:rFonts w:ascii="Arial" w:hAnsi="Arial" w:cs="Arial"/>
          <w:sz w:val="24"/>
          <w:szCs w:val="24"/>
        </w:rPr>
        <w:t>sem qualquer glosa</w:t>
      </w:r>
      <w:r w:rsidR="00BE2437">
        <w:rPr>
          <w:rFonts w:ascii="Arial" w:hAnsi="Arial" w:cs="Arial"/>
          <w:sz w:val="24"/>
          <w:szCs w:val="24"/>
        </w:rPr>
        <w:t xml:space="preserve"> e justificativa</w:t>
      </w:r>
      <w:r w:rsidR="001C5191">
        <w:rPr>
          <w:rFonts w:ascii="Arial" w:hAnsi="Arial" w:cs="Arial"/>
          <w:sz w:val="24"/>
          <w:szCs w:val="24"/>
        </w:rPr>
        <w:t xml:space="preserve">, </w:t>
      </w:r>
      <w:r>
        <w:rPr>
          <w:rFonts w:ascii="Arial" w:hAnsi="Arial" w:cs="Arial"/>
          <w:sz w:val="24"/>
          <w:szCs w:val="24"/>
        </w:rPr>
        <w:t xml:space="preserve">contrariando a </w:t>
      </w:r>
      <w:r w:rsidR="00BE2437">
        <w:rPr>
          <w:rFonts w:ascii="Arial" w:hAnsi="Arial" w:cs="Arial"/>
          <w:sz w:val="24"/>
          <w:szCs w:val="24"/>
        </w:rPr>
        <w:t>praxe verificada inclusive em auditorias anteriores da mesma empresa</w:t>
      </w:r>
      <w:r w:rsidR="001C5191">
        <w:rPr>
          <w:rFonts w:ascii="Arial" w:hAnsi="Arial" w:cs="Arial"/>
          <w:sz w:val="24"/>
          <w:szCs w:val="24"/>
        </w:rPr>
        <w:t>, tendo em vista que na auditoria relativa ao primeiro semestre a empresa alega ter apresentado</w:t>
      </w:r>
      <w:r w:rsidR="006B5B91">
        <w:rPr>
          <w:rFonts w:ascii="Arial" w:hAnsi="Arial" w:cs="Arial"/>
          <w:sz w:val="24"/>
          <w:szCs w:val="24"/>
        </w:rPr>
        <w:t xml:space="preserve"> investimentos de</w:t>
      </w:r>
      <w:r w:rsidR="001C5191">
        <w:rPr>
          <w:rFonts w:ascii="Arial" w:hAnsi="Arial" w:cs="Arial"/>
          <w:sz w:val="24"/>
          <w:szCs w:val="24"/>
        </w:rPr>
        <w:t xml:space="preserve"> </w:t>
      </w:r>
      <w:r w:rsidR="00A85056">
        <w:rPr>
          <w:rFonts w:ascii="Arial" w:hAnsi="Arial" w:cs="Arial"/>
          <w:sz w:val="24"/>
          <w:szCs w:val="24"/>
        </w:rPr>
        <w:t xml:space="preserve">determinado valor, mas a fiscalização só considera válidos </w:t>
      </w:r>
      <w:r w:rsidR="006B5B91">
        <w:rPr>
          <w:rFonts w:ascii="Arial" w:hAnsi="Arial" w:cs="Arial"/>
          <w:sz w:val="24"/>
          <w:szCs w:val="24"/>
        </w:rPr>
        <w:t>40% (quarenta por cento)</w:t>
      </w:r>
      <w:r w:rsidR="0043023E">
        <w:rPr>
          <w:rFonts w:ascii="Arial" w:hAnsi="Arial" w:cs="Arial"/>
          <w:sz w:val="24"/>
          <w:szCs w:val="24"/>
        </w:rPr>
        <w:t>.</w:t>
      </w:r>
    </w:p>
    <w:p w14:paraId="5CE4C9D1" w14:textId="77777777" w:rsidR="00505254" w:rsidRDefault="00505254" w:rsidP="00BE2437">
      <w:pPr>
        <w:pStyle w:val="PargrafodaLista"/>
        <w:spacing w:line="360" w:lineRule="auto"/>
        <w:ind w:left="0" w:firstLine="851"/>
        <w:jc w:val="both"/>
        <w:rPr>
          <w:rFonts w:ascii="Arial" w:hAnsi="Arial" w:cs="Arial"/>
          <w:sz w:val="24"/>
          <w:szCs w:val="24"/>
          <w:u w:val="single"/>
        </w:rPr>
      </w:pPr>
    </w:p>
    <w:p w14:paraId="44B836C9" w14:textId="7BE7298F" w:rsidR="007A7627" w:rsidRDefault="00BE2437" w:rsidP="00BE2437">
      <w:pPr>
        <w:pStyle w:val="PargrafodaLista"/>
        <w:spacing w:line="360" w:lineRule="auto"/>
        <w:ind w:left="0" w:firstLine="851"/>
        <w:jc w:val="both"/>
        <w:rPr>
          <w:rFonts w:ascii="Arial" w:hAnsi="Arial" w:cs="Arial"/>
          <w:sz w:val="24"/>
          <w:szCs w:val="24"/>
        </w:rPr>
      </w:pPr>
      <w:r w:rsidRPr="00E91F1C">
        <w:rPr>
          <w:rFonts w:ascii="Arial" w:hAnsi="Arial" w:cs="Arial"/>
          <w:sz w:val="24"/>
          <w:szCs w:val="24"/>
          <w:u w:val="single"/>
        </w:rPr>
        <w:t>Todos esses fatos</w:t>
      </w:r>
      <w:r w:rsidR="00E91F1C" w:rsidRPr="00E91F1C">
        <w:rPr>
          <w:rFonts w:ascii="Arial" w:hAnsi="Arial" w:cs="Arial"/>
          <w:sz w:val="24"/>
          <w:szCs w:val="24"/>
          <w:u w:val="single"/>
        </w:rPr>
        <w:t xml:space="preserve"> e</w:t>
      </w:r>
      <w:r w:rsidRPr="00E91F1C">
        <w:rPr>
          <w:rFonts w:ascii="Arial" w:hAnsi="Arial" w:cs="Arial"/>
          <w:sz w:val="24"/>
          <w:szCs w:val="24"/>
          <w:u w:val="single"/>
        </w:rPr>
        <w:t xml:space="preserve">videnciam situações manifestamente atípicas </w:t>
      </w:r>
      <w:r w:rsidR="00531DB5" w:rsidRPr="00E91F1C">
        <w:rPr>
          <w:rFonts w:ascii="Arial" w:hAnsi="Arial" w:cs="Arial"/>
          <w:sz w:val="24"/>
          <w:szCs w:val="24"/>
          <w:u w:val="single"/>
        </w:rPr>
        <w:t>na</w:t>
      </w:r>
      <w:r w:rsidR="00157D7F" w:rsidRPr="00E91F1C">
        <w:rPr>
          <w:rFonts w:ascii="Arial" w:hAnsi="Arial" w:cs="Arial"/>
          <w:sz w:val="24"/>
          <w:szCs w:val="24"/>
          <w:u w:val="single"/>
        </w:rPr>
        <w:t xml:space="preserve"> boa</w:t>
      </w:r>
      <w:r w:rsidR="00531DB5" w:rsidRPr="00E91F1C">
        <w:rPr>
          <w:rFonts w:ascii="Arial" w:hAnsi="Arial" w:cs="Arial"/>
          <w:sz w:val="24"/>
          <w:szCs w:val="24"/>
          <w:u w:val="single"/>
        </w:rPr>
        <w:t xml:space="preserve"> </w:t>
      </w:r>
      <w:r w:rsidRPr="00E91F1C">
        <w:rPr>
          <w:rFonts w:ascii="Arial" w:hAnsi="Arial" w:cs="Arial"/>
          <w:sz w:val="24"/>
          <w:szCs w:val="24"/>
          <w:u w:val="single"/>
        </w:rPr>
        <w:t>prática fiscal</w:t>
      </w:r>
      <w:r w:rsidRPr="00E91F1C">
        <w:rPr>
          <w:rFonts w:ascii="Arial" w:hAnsi="Arial" w:cs="Arial"/>
          <w:sz w:val="24"/>
          <w:szCs w:val="24"/>
        </w:rPr>
        <w:t xml:space="preserve"> e certamente seriam </w:t>
      </w:r>
      <w:r w:rsidR="00531DB5" w:rsidRPr="00E91F1C">
        <w:rPr>
          <w:rFonts w:ascii="Arial" w:hAnsi="Arial" w:cs="Arial"/>
          <w:sz w:val="24"/>
          <w:szCs w:val="24"/>
        </w:rPr>
        <w:t>apontadas como suspeitas</w:t>
      </w:r>
      <w:r w:rsidRPr="00E91F1C">
        <w:rPr>
          <w:rFonts w:ascii="Arial" w:hAnsi="Arial" w:cs="Arial"/>
          <w:sz w:val="24"/>
          <w:szCs w:val="24"/>
        </w:rPr>
        <w:t xml:space="preserve"> </w:t>
      </w:r>
      <w:r w:rsidR="00531DB5" w:rsidRPr="00E91F1C">
        <w:rPr>
          <w:rFonts w:ascii="Arial" w:hAnsi="Arial" w:cs="Arial"/>
          <w:sz w:val="24"/>
          <w:szCs w:val="24"/>
        </w:rPr>
        <w:t>por um</w:t>
      </w:r>
      <w:r w:rsidRPr="00E91F1C">
        <w:rPr>
          <w:rFonts w:ascii="Arial" w:hAnsi="Arial" w:cs="Arial"/>
          <w:sz w:val="24"/>
          <w:szCs w:val="24"/>
        </w:rPr>
        <w:t xml:space="preserve"> programa efetivo de integridade (</w:t>
      </w:r>
      <w:r w:rsidRPr="00E91F1C">
        <w:rPr>
          <w:rFonts w:ascii="Arial" w:hAnsi="Arial" w:cs="Arial"/>
          <w:i/>
          <w:iCs/>
          <w:sz w:val="24"/>
          <w:szCs w:val="24"/>
        </w:rPr>
        <w:t>compliance</w:t>
      </w:r>
      <w:r w:rsidRPr="00E91F1C">
        <w:rPr>
          <w:rFonts w:ascii="Arial" w:hAnsi="Arial" w:cs="Arial"/>
          <w:sz w:val="24"/>
          <w:szCs w:val="24"/>
        </w:rPr>
        <w:t xml:space="preserve">) público em </w:t>
      </w:r>
      <w:r>
        <w:rPr>
          <w:rFonts w:ascii="Arial" w:hAnsi="Arial" w:cs="Arial"/>
          <w:sz w:val="24"/>
          <w:szCs w:val="24"/>
        </w:rPr>
        <w:t>matéria de incentivos fiscais</w:t>
      </w:r>
      <w:r w:rsidR="00531DB5">
        <w:rPr>
          <w:rFonts w:ascii="Arial" w:hAnsi="Arial" w:cs="Arial"/>
          <w:sz w:val="24"/>
          <w:szCs w:val="24"/>
        </w:rPr>
        <w:t xml:space="preserve">, se </w:t>
      </w:r>
      <w:r w:rsidR="00157D7F">
        <w:rPr>
          <w:rFonts w:ascii="Arial" w:hAnsi="Arial" w:cs="Arial"/>
          <w:sz w:val="24"/>
          <w:szCs w:val="24"/>
        </w:rPr>
        <w:t xml:space="preserve">fosse </w:t>
      </w:r>
      <w:r w:rsidR="00531DB5">
        <w:rPr>
          <w:rFonts w:ascii="Arial" w:hAnsi="Arial" w:cs="Arial"/>
          <w:sz w:val="24"/>
          <w:szCs w:val="24"/>
        </w:rPr>
        <w:t>adotado pelo Estado</w:t>
      </w:r>
      <w:r>
        <w:rPr>
          <w:rFonts w:ascii="Arial" w:hAnsi="Arial" w:cs="Arial"/>
          <w:sz w:val="24"/>
          <w:szCs w:val="24"/>
        </w:rPr>
        <w:t>.</w:t>
      </w:r>
      <w:r w:rsidR="00531DB5">
        <w:rPr>
          <w:rFonts w:ascii="Arial" w:hAnsi="Arial" w:cs="Arial"/>
          <w:sz w:val="24"/>
          <w:szCs w:val="24"/>
        </w:rPr>
        <w:t xml:space="preserve"> </w:t>
      </w:r>
      <w:r w:rsidR="0043023E">
        <w:rPr>
          <w:rFonts w:ascii="Arial" w:hAnsi="Arial" w:cs="Arial"/>
          <w:sz w:val="24"/>
          <w:szCs w:val="24"/>
        </w:rPr>
        <w:t xml:space="preserve">Evidencia-se, ainda, grande </w:t>
      </w:r>
      <w:r w:rsidR="00316F13">
        <w:rPr>
          <w:rFonts w:ascii="Arial" w:hAnsi="Arial" w:cs="Arial"/>
          <w:sz w:val="24"/>
          <w:szCs w:val="24"/>
        </w:rPr>
        <w:t>disfunção administrativa</w:t>
      </w:r>
      <w:r w:rsidR="0043023E">
        <w:rPr>
          <w:rFonts w:ascii="Arial" w:hAnsi="Arial" w:cs="Arial"/>
          <w:sz w:val="24"/>
          <w:szCs w:val="24"/>
        </w:rPr>
        <w:t xml:space="preserve"> entre os setores envolvidos, em especial a Gerência de Auditoria de Indústria e Atacado e a Gerência de </w:t>
      </w:r>
      <w:r w:rsidR="0043023E">
        <w:rPr>
          <w:rFonts w:ascii="Arial" w:hAnsi="Arial" w:cs="Arial"/>
          <w:sz w:val="24"/>
          <w:szCs w:val="24"/>
        </w:rPr>
        <w:lastRenderedPageBreak/>
        <w:t xml:space="preserve">Controle </w:t>
      </w:r>
      <w:r w:rsidR="0043023E" w:rsidRPr="001D38C5">
        <w:rPr>
          <w:rFonts w:ascii="Arial" w:hAnsi="Arial" w:cs="Arial"/>
          <w:sz w:val="24"/>
          <w:szCs w:val="24"/>
        </w:rPr>
        <w:t>de Benefícios e Incentivos Fiscais</w:t>
      </w:r>
      <w:r w:rsidR="0043023E">
        <w:rPr>
          <w:rFonts w:ascii="Arial" w:hAnsi="Arial" w:cs="Arial"/>
          <w:sz w:val="24"/>
          <w:szCs w:val="24"/>
        </w:rPr>
        <w:t xml:space="preserve">, acerca das respectivas competências </w:t>
      </w:r>
      <w:r w:rsidR="00316F13">
        <w:rPr>
          <w:rFonts w:ascii="Arial" w:hAnsi="Arial" w:cs="Arial"/>
          <w:sz w:val="24"/>
          <w:szCs w:val="24"/>
        </w:rPr>
        <w:t>para</w:t>
      </w:r>
      <w:r w:rsidR="0043023E">
        <w:rPr>
          <w:rFonts w:ascii="Arial" w:hAnsi="Arial" w:cs="Arial"/>
          <w:sz w:val="24"/>
          <w:szCs w:val="24"/>
        </w:rPr>
        <w:t xml:space="preserve"> </w:t>
      </w:r>
      <w:r w:rsidR="00316F13">
        <w:rPr>
          <w:rFonts w:ascii="Arial" w:hAnsi="Arial" w:cs="Arial"/>
          <w:sz w:val="24"/>
          <w:szCs w:val="24"/>
        </w:rPr>
        <w:t>realização de</w:t>
      </w:r>
      <w:r w:rsidR="0043023E">
        <w:rPr>
          <w:rFonts w:ascii="Arial" w:hAnsi="Arial" w:cs="Arial"/>
          <w:sz w:val="24"/>
          <w:szCs w:val="24"/>
        </w:rPr>
        <w:t xml:space="preserve"> auditoria de investimentos.</w:t>
      </w:r>
    </w:p>
    <w:p w14:paraId="2340EF30" w14:textId="75429854" w:rsidR="006E15A4" w:rsidRDefault="007A7627" w:rsidP="00BE2437">
      <w:pPr>
        <w:pStyle w:val="PargrafodaLista"/>
        <w:spacing w:line="360" w:lineRule="auto"/>
        <w:ind w:left="0" w:firstLine="851"/>
        <w:jc w:val="both"/>
        <w:rPr>
          <w:rFonts w:ascii="Arial" w:hAnsi="Arial" w:cs="Arial"/>
          <w:sz w:val="24"/>
          <w:szCs w:val="24"/>
        </w:rPr>
      </w:pPr>
      <w:r w:rsidRPr="00157D7F">
        <w:rPr>
          <w:rFonts w:ascii="Arial" w:hAnsi="Arial" w:cs="Arial"/>
          <w:sz w:val="24"/>
          <w:szCs w:val="24"/>
          <w:u w:val="single"/>
        </w:rPr>
        <w:t xml:space="preserve">Após essa segunda manifestação do auditor fiscal, a Gerência de Indústria e Atacado encaminhou os autos </w:t>
      </w:r>
      <w:r w:rsidR="0043023E">
        <w:rPr>
          <w:rFonts w:ascii="Arial" w:hAnsi="Arial" w:cs="Arial"/>
          <w:sz w:val="24"/>
          <w:szCs w:val="24"/>
          <w:u w:val="single"/>
        </w:rPr>
        <w:t xml:space="preserve">novamente </w:t>
      </w:r>
      <w:r w:rsidRPr="00157D7F">
        <w:rPr>
          <w:rFonts w:ascii="Arial" w:hAnsi="Arial" w:cs="Arial"/>
          <w:sz w:val="24"/>
          <w:szCs w:val="24"/>
          <w:u w:val="single"/>
        </w:rPr>
        <w:t xml:space="preserve">para a Gerência de Controle de Incentivos Fiscais </w:t>
      </w:r>
      <w:r w:rsidR="0043023E">
        <w:rPr>
          <w:rFonts w:ascii="Arial" w:hAnsi="Arial" w:cs="Arial"/>
          <w:sz w:val="24"/>
          <w:szCs w:val="24"/>
          <w:u w:val="single"/>
        </w:rPr>
        <w:t>“</w:t>
      </w:r>
      <w:r w:rsidRPr="00157D7F">
        <w:rPr>
          <w:rFonts w:ascii="Arial" w:hAnsi="Arial" w:cs="Arial"/>
          <w:sz w:val="24"/>
          <w:szCs w:val="24"/>
          <w:u w:val="single"/>
        </w:rPr>
        <w:t>para as providências pertinentes</w:t>
      </w:r>
      <w:r w:rsidR="0043023E">
        <w:rPr>
          <w:rFonts w:ascii="Arial" w:hAnsi="Arial" w:cs="Arial"/>
          <w:sz w:val="24"/>
          <w:szCs w:val="24"/>
          <w:u w:val="single"/>
        </w:rPr>
        <w:t>”</w:t>
      </w:r>
      <w:r>
        <w:rPr>
          <w:rFonts w:ascii="Arial" w:hAnsi="Arial" w:cs="Arial"/>
          <w:sz w:val="24"/>
          <w:szCs w:val="24"/>
        </w:rPr>
        <w:t>, a qual</w:t>
      </w:r>
      <w:r w:rsidR="008E08D6">
        <w:rPr>
          <w:rFonts w:ascii="Arial" w:hAnsi="Arial" w:cs="Arial"/>
          <w:sz w:val="24"/>
          <w:szCs w:val="24"/>
        </w:rPr>
        <w:t>, porém, argumentou</w:t>
      </w:r>
      <w:r w:rsidR="006E15A4">
        <w:rPr>
          <w:rFonts w:ascii="Arial" w:hAnsi="Arial" w:cs="Arial"/>
          <w:sz w:val="24"/>
          <w:szCs w:val="24"/>
        </w:rPr>
        <w:t xml:space="preserve"> em </w:t>
      </w:r>
      <w:r w:rsidR="002F4051">
        <w:rPr>
          <w:rFonts w:ascii="Arial" w:hAnsi="Arial" w:cs="Arial"/>
          <w:sz w:val="24"/>
          <w:szCs w:val="24"/>
        </w:rPr>
        <w:t>memorando</w:t>
      </w:r>
      <w:r w:rsidR="008E08D6">
        <w:rPr>
          <w:rFonts w:ascii="Arial" w:hAnsi="Arial" w:cs="Arial"/>
          <w:sz w:val="24"/>
          <w:szCs w:val="24"/>
        </w:rPr>
        <w:t xml:space="preserve"> </w:t>
      </w:r>
      <w:r w:rsidR="002F4051">
        <w:rPr>
          <w:rFonts w:ascii="Arial" w:hAnsi="Arial" w:cs="Arial"/>
          <w:sz w:val="24"/>
          <w:szCs w:val="24"/>
        </w:rPr>
        <w:t>só</w:t>
      </w:r>
      <w:r w:rsidR="008E08D6">
        <w:rPr>
          <w:rFonts w:ascii="Arial" w:hAnsi="Arial" w:cs="Arial"/>
          <w:sz w:val="24"/>
          <w:szCs w:val="24"/>
        </w:rPr>
        <w:t xml:space="preserve"> ser de sua competência aferir a comprovação de investimentos realizados no âmbito de créditos outorgados de ICMS</w:t>
      </w:r>
      <w:r w:rsidR="002F4051">
        <w:rPr>
          <w:rFonts w:ascii="Arial" w:hAnsi="Arial" w:cs="Arial"/>
          <w:sz w:val="24"/>
          <w:szCs w:val="24"/>
        </w:rPr>
        <w:t xml:space="preserve"> quando relativos aos Programas PROESPORTE e GOYASES, com base em interpretação do art. 40 da Portaria n. 136/2013-GAB, de teor desconhecido por esta CPI;</w:t>
      </w:r>
      <w:r w:rsidR="0062036E">
        <w:rPr>
          <w:rFonts w:ascii="Arial" w:hAnsi="Arial" w:cs="Arial"/>
          <w:sz w:val="24"/>
          <w:szCs w:val="24"/>
        </w:rPr>
        <w:t xml:space="preserve"> e</w:t>
      </w:r>
      <w:r w:rsidR="006E15A4">
        <w:rPr>
          <w:rFonts w:ascii="Arial" w:hAnsi="Arial" w:cs="Arial"/>
          <w:sz w:val="24"/>
          <w:szCs w:val="24"/>
        </w:rPr>
        <w:t>, ato contínuo,</w:t>
      </w:r>
      <w:r w:rsidR="0062036E">
        <w:rPr>
          <w:rFonts w:ascii="Arial" w:hAnsi="Arial" w:cs="Arial"/>
          <w:sz w:val="24"/>
          <w:szCs w:val="24"/>
        </w:rPr>
        <w:t xml:space="preserve"> encaminhou </w:t>
      </w:r>
      <w:r w:rsidR="002F4051">
        <w:rPr>
          <w:rFonts w:ascii="Arial" w:hAnsi="Arial" w:cs="Arial"/>
          <w:sz w:val="24"/>
          <w:szCs w:val="24"/>
        </w:rPr>
        <w:t xml:space="preserve">via despacho </w:t>
      </w:r>
      <w:r w:rsidR="0062036E">
        <w:rPr>
          <w:rFonts w:ascii="Arial" w:hAnsi="Arial" w:cs="Arial"/>
          <w:sz w:val="24"/>
          <w:szCs w:val="24"/>
        </w:rPr>
        <w:t xml:space="preserve">o processo para a Superintendência da Receita </w:t>
      </w:r>
      <w:r>
        <w:rPr>
          <w:rFonts w:ascii="Arial" w:hAnsi="Arial" w:cs="Arial"/>
          <w:sz w:val="24"/>
          <w:szCs w:val="24"/>
        </w:rPr>
        <w:t>(</w:t>
      </w:r>
      <w:r w:rsidRPr="00AA687A">
        <w:rPr>
          <w:rFonts w:ascii="Arial" w:hAnsi="Arial" w:cs="Arial"/>
          <w:sz w:val="24"/>
          <w:szCs w:val="24"/>
        </w:rPr>
        <w:t>Ofício nº 2.500/2019-Economia,</w:t>
      </w:r>
      <w:r>
        <w:rPr>
          <w:rFonts w:ascii="Arial" w:hAnsi="Arial" w:cs="Arial"/>
          <w:sz w:val="24"/>
          <w:szCs w:val="24"/>
        </w:rPr>
        <w:t xml:space="preserve"> p. 211</w:t>
      </w:r>
      <w:r w:rsidR="00D33776">
        <w:rPr>
          <w:rFonts w:ascii="Arial" w:hAnsi="Arial" w:cs="Arial"/>
          <w:sz w:val="24"/>
          <w:szCs w:val="24"/>
        </w:rPr>
        <w:t>9</w:t>
      </w:r>
      <w:r>
        <w:rPr>
          <w:rFonts w:ascii="Arial" w:hAnsi="Arial" w:cs="Arial"/>
          <w:sz w:val="24"/>
          <w:szCs w:val="24"/>
        </w:rPr>
        <w:t>/21</w:t>
      </w:r>
      <w:r w:rsidR="0062036E">
        <w:rPr>
          <w:rFonts w:ascii="Arial" w:hAnsi="Arial" w:cs="Arial"/>
          <w:sz w:val="24"/>
          <w:szCs w:val="24"/>
        </w:rPr>
        <w:t>22</w:t>
      </w:r>
      <w:r>
        <w:rPr>
          <w:rFonts w:ascii="Arial" w:hAnsi="Arial" w:cs="Arial"/>
          <w:sz w:val="24"/>
          <w:szCs w:val="24"/>
        </w:rPr>
        <w:t>)</w:t>
      </w:r>
      <w:r w:rsidR="006E15A4">
        <w:rPr>
          <w:rFonts w:ascii="Arial" w:hAnsi="Arial" w:cs="Arial"/>
          <w:sz w:val="24"/>
          <w:szCs w:val="24"/>
        </w:rPr>
        <w:t>.</w:t>
      </w:r>
    </w:p>
    <w:p w14:paraId="324983D0" w14:textId="5DFBB2F1" w:rsidR="00566008" w:rsidRDefault="006E15A4" w:rsidP="00BE2437">
      <w:pPr>
        <w:pStyle w:val="PargrafodaLista"/>
        <w:spacing w:line="360" w:lineRule="auto"/>
        <w:ind w:left="0" w:firstLine="851"/>
        <w:jc w:val="both"/>
        <w:rPr>
          <w:rFonts w:ascii="Arial" w:hAnsi="Arial" w:cs="Arial"/>
          <w:sz w:val="24"/>
          <w:szCs w:val="24"/>
        </w:rPr>
      </w:pPr>
      <w:r w:rsidRPr="0043023E">
        <w:rPr>
          <w:rFonts w:ascii="Arial" w:hAnsi="Arial" w:cs="Arial"/>
          <w:sz w:val="24"/>
          <w:szCs w:val="24"/>
          <w:u w:val="single"/>
        </w:rPr>
        <w:t xml:space="preserve">Nesse mesmo </w:t>
      </w:r>
      <w:r w:rsidR="002F4051" w:rsidRPr="0043023E">
        <w:rPr>
          <w:rFonts w:ascii="Arial" w:hAnsi="Arial" w:cs="Arial"/>
          <w:sz w:val="24"/>
          <w:szCs w:val="24"/>
          <w:u w:val="single"/>
        </w:rPr>
        <w:t>memorando</w:t>
      </w:r>
      <w:r w:rsidRPr="0043023E">
        <w:rPr>
          <w:rFonts w:ascii="Arial" w:hAnsi="Arial" w:cs="Arial"/>
          <w:sz w:val="24"/>
          <w:szCs w:val="24"/>
          <w:u w:val="single"/>
        </w:rPr>
        <w:t>, a Gerência de Controle de Incentivos Fiscais sugeriu que não constassem mais dos TARE’s a obrigação de comprovar os investimentos a essa Gerência</w:t>
      </w:r>
      <w:r w:rsidR="00F569DB">
        <w:rPr>
          <w:rFonts w:ascii="Arial" w:hAnsi="Arial" w:cs="Arial"/>
          <w:sz w:val="24"/>
          <w:szCs w:val="24"/>
        </w:rPr>
        <w:t>, e sim às d</w:t>
      </w:r>
      <w:r>
        <w:rPr>
          <w:rFonts w:ascii="Arial" w:hAnsi="Arial" w:cs="Arial"/>
          <w:sz w:val="24"/>
          <w:szCs w:val="24"/>
        </w:rPr>
        <w:t>elegacias fiscais e gerências de circunscrição</w:t>
      </w:r>
      <w:r w:rsidR="00566008">
        <w:rPr>
          <w:rFonts w:ascii="Arial" w:hAnsi="Arial" w:cs="Arial"/>
          <w:sz w:val="24"/>
          <w:szCs w:val="24"/>
        </w:rPr>
        <w:t xml:space="preserve">, além de recomendar </w:t>
      </w:r>
      <w:r w:rsidR="002F4051">
        <w:rPr>
          <w:rFonts w:ascii="Arial" w:hAnsi="Arial" w:cs="Arial"/>
          <w:sz w:val="24"/>
          <w:szCs w:val="24"/>
        </w:rPr>
        <w:t>fosse</w:t>
      </w:r>
      <w:r w:rsidR="00566008">
        <w:rPr>
          <w:rFonts w:ascii="Arial" w:hAnsi="Arial" w:cs="Arial"/>
          <w:sz w:val="24"/>
          <w:szCs w:val="24"/>
        </w:rPr>
        <w:t xml:space="preserve"> regulamenta</w:t>
      </w:r>
      <w:r w:rsidR="002F4051">
        <w:rPr>
          <w:rFonts w:ascii="Arial" w:hAnsi="Arial" w:cs="Arial"/>
          <w:sz w:val="24"/>
          <w:szCs w:val="24"/>
        </w:rPr>
        <w:t>da</w:t>
      </w:r>
      <w:r w:rsidR="00566008">
        <w:rPr>
          <w:rFonts w:ascii="Arial" w:hAnsi="Arial" w:cs="Arial"/>
          <w:sz w:val="24"/>
          <w:szCs w:val="24"/>
        </w:rPr>
        <w:t xml:space="preserve"> a situação. </w:t>
      </w:r>
      <w:r w:rsidR="0043023E">
        <w:rPr>
          <w:rFonts w:ascii="Arial" w:hAnsi="Arial" w:cs="Arial"/>
          <w:sz w:val="24"/>
          <w:szCs w:val="24"/>
        </w:rPr>
        <w:t>Mais uma vez</w:t>
      </w:r>
      <w:r w:rsidR="00566008">
        <w:rPr>
          <w:rFonts w:ascii="Arial" w:hAnsi="Arial" w:cs="Arial"/>
          <w:sz w:val="24"/>
          <w:szCs w:val="24"/>
        </w:rPr>
        <w:t xml:space="preserve"> se verifica</w:t>
      </w:r>
      <w:r w:rsidR="00343D4E">
        <w:rPr>
          <w:rFonts w:ascii="Arial" w:hAnsi="Arial" w:cs="Arial"/>
          <w:sz w:val="24"/>
          <w:szCs w:val="24"/>
        </w:rPr>
        <w:t xml:space="preserve"> aqui</w:t>
      </w:r>
      <w:r w:rsidR="00566008">
        <w:rPr>
          <w:rFonts w:ascii="Arial" w:hAnsi="Arial" w:cs="Arial"/>
          <w:sz w:val="24"/>
          <w:szCs w:val="24"/>
        </w:rPr>
        <w:t xml:space="preserve"> o impasse entre as gerências quanto à competência para análise de contrapartidas</w:t>
      </w:r>
      <w:r w:rsidR="003B6F9C">
        <w:rPr>
          <w:rFonts w:ascii="Arial" w:hAnsi="Arial" w:cs="Arial"/>
          <w:sz w:val="24"/>
          <w:szCs w:val="24"/>
        </w:rPr>
        <w:t xml:space="preserve"> no âmbito da mesma pessoa jurídica auditada</w:t>
      </w:r>
      <w:r w:rsidR="00566008">
        <w:rPr>
          <w:rFonts w:ascii="Arial" w:hAnsi="Arial" w:cs="Arial"/>
          <w:sz w:val="24"/>
          <w:szCs w:val="24"/>
        </w:rPr>
        <w:t>, e não aportou a esta CPI notícia de que essa questão tenha sido de fato regulamentada</w:t>
      </w:r>
      <w:r w:rsidR="0043023E">
        <w:rPr>
          <w:rFonts w:ascii="Arial" w:hAnsi="Arial" w:cs="Arial"/>
          <w:sz w:val="24"/>
          <w:szCs w:val="24"/>
        </w:rPr>
        <w:t xml:space="preserve"> ou resolvida</w:t>
      </w:r>
      <w:r w:rsidR="00566008">
        <w:rPr>
          <w:rFonts w:ascii="Arial" w:hAnsi="Arial" w:cs="Arial"/>
          <w:sz w:val="24"/>
          <w:szCs w:val="24"/>
        </w:rPr>
        <w:t xml:space="preserve">. </w:t>
      </w:r>
    </w:p>
    <w:p w14:paraId="175CBBA4" w14:textId="5A283FD0" w:rsidR="007A7627" w:rsidRDefault="00566008" w:rsidP="00BE2437">
      <w:pPr>
        <w:pStyle w:val="PargrafodaLista"/>
        <w:spacing w:line="360" w:lineRule="auto"/>
        <w:ind w:left="0" w:firstLine="851"/>
        <w:jc w:val="both"/>
        <w:rPr>
          <w:rFonts w:ascii="Arial" w:hAnsi="Arial" w:cs="Arial"/>
          <w:sz w:val="24"/>
          <w:szCs w:val="24"/>
        </w:rPr>
      </w:pPr>
      <w:r>
        <w:rPr>
          <w:rFonts w:ascii="Arial" w:hAnsi="Arial" w:cs="Arial"/>
          <w:sz w:val="24"/>
          <w:szCs w:val="24"/>
        </w:rPr>
        <w:t xml:space="preserve">Como nenhuma outra informação foi encaminhada a respeito desse caso após essas narrativas, </w:t>
      </w:r>
      <w:r w:rsidRPr="003B297E">
        <w:rPr>
          <w:rFonts w:ascii="Arial" w:hAnsi="Arial" w:cs="Arial"/>
          <w:sz w:val="24"/>
          <w:szCs w:val="24"/>
          <w:u w:val="single"/>
        </w:rPr>
        <w:t>esta CPI presume que tenha prevalecido a segunda manifestação exarada pelo auditor fiscal atuante sobre a empresa, de natureza exclusivamente fiscal</w:t>
      </w:r>
      <w:r w:rsidR="00316F13">
        <w:rPr>
          <w:rFonts w:ascii="Arial" w:hAnsi="Arial" w:cs="Arial"/>
          <w:sz w:val="24"/>
          <w:szCs w:val="24"/>
          <w:u w:val="single"/>
        </w:rPr>
        <w:t>, e com todas as ressalvas antes mencionadas</w:t>
      </w:r>
      <w:r>
        <w:rPr>
          <w:rFonts w:ascii="Arial" w:hAnsi="Arial" w:cs="Arial"/>
          <w:sz w:val="24"/>
          <w:szCs w:val="24"/>
        </w:rPr>
        <w:t xml:space="preserve">, sem qualquer verificação mais abrangente como visita </w:t>
      </w:r>
      <w:r w:rsidRPr="00566008">
        <w:rPr>
          <w:rFonts w:ascii="Arial" w:hAnsi="Arial" w:cs="Arial"/>
          <w:i/>
          <w:iCs/>
          <w:sz w:val="24"/>
          <w:szCs w:val="24"/>
        </w:rPr>
        <w:t>in loco</w:t>
      </w:r>
      <w:r>
        <w:rPr>
          <w:rFonts w:ascii="Arial" w:hAnsi="Arial" w:cs="Arial"/>
          <w:sz w:val="24"/>
          <w:szCs w:val="24"/>
        </w:rPr>
        <w:t xml:space="preserve"> ou outro procedimento complementar.</w:t>
      </w:r>
    </w:p>
    <w:p w14:paraId="0ADE32EA" w14:textId="0953F382" w:rsidR="004F78DD" w:rsidRDefault="004F78DD" w:rsidP="00394910">
      <w:pPr>
        <w:pStyle w:val="PargrafodaLista"/>
        <w:spacing w:line="360" w:lineRule="auto"/>
        <w:ind w:left="0" w:firstLine="851"/>
        <w:jc w:val="both"/>
        <w:rPr>
          <w:rFonts w:ascii="Arial" w:hAnsi="Arial" w:cs="Arial"/>
          <w:sz w:val="24"/>
          <w:szCs w:val="24"/>
        </w:rPr>
      </w:pPr>
    </w:p>
    <w:p w14:paraId="6032D38C" w14:textId="579D90A3" w:rsidR="00C5179C" w:rsidRDefault="004F78DD" w:rsidP="00C5179C">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.2.</w:t>
      </w:r>
      <w:r>
        <w:rPr>
          <w:rFonts w:ascii="Arial" w:hAnsi="Arial" w:cs="Arial"/>
          <w:b/>
          <w:sz w:val="24"/>
          <w:szCs w:val="24"/>
        </w:rPr>
        <w:t>2</w:t>
      </w:r>
      <w:r w:rsidRPr="0031082B">
        <w:rPr>
          <w:rFonts w:ascii="Arial" w:hAnsi="Arial" w:cs="Arial"/>
          <w:b/>
          <w:sz w:val="24"/>
          <w:szCs w:val="24"/>
        </w:rPr>
        <w:t>.</w:t>
      </w:r>
      <w:r>
        <w:rPr>
          <w:rFonts w:ascii="Arial" w:hAnsi="Arial" w:cs="Arial"/>
          <w:b/>
          <w:sz w:val="24"/>
          <w:szCs w:val="24"/>
        </w:rPr>
        <w:t>3.</w:t>
      </w:r>
      <w:r w:rsidRPr="0031082B">
        <w:rPr>
          <w:rFonts w:ascii="Arial" w:hAnsi="Arial" w:cs="Arial"/>
          <w:b/>
          <w:sz w:val="24"/>
          <w:szCs w:val="24"/>
        </w:rPr>
        <w:t xml:space="preserve"> </w:t>
      </w:r>
      <w:r w:rsidR="00A01C3D">
        <w:rPr>
          <w:rFonts w:ascii="Arial" w:hAnsi="Arial" w:cs="Arial"/>
          <w:sz w:val="24"/>
          <w:szCs w:val="24"/>
        </w:rPr>
        <w:t>No</w:t>
      </w:r>
      <w:r>
        <w:rPr>
          <w:rFonts w:ascii="Arial" w:hAnsi="Arial" w:cs="Arial"/>
          <w:sz w:val="24"/>
          <w:szCs w:val="24"/>
        </w:rPr>
        <w:t xml:space="preserve"> caso</w:t>
      </w:r>
      <w:r w:rsidR="00A01C3D">
        <w:rPr>
          <w:rFonts w:ascii="Arial" w:hAnsi="Arial" w:cs="Arial"/>
          <w:sz w:val="24"/>
          <w:szCs w:val="24"/>
        </w:rPr>
        <w:t xml:space="preserve"> da Empresa 2,</w:t>
      </w:r>
      <w:r w:rsidR="00C5179C">
        <w:rPr>
          <w:rFonts w:ascii="Arial" w:hAnsi="Arial" w:cs="Arial"/>
          <w:sz w:val="24"/>
          <w:szCs w:val="24"/>
        </w:rPr>
        <w:t xml:space="preserve"> esta obrigou-se por TARE a comprovar </w:t>
      </w:r>
      <w:r w:rsidR="007F2AEE">
        <w:rPr>
          <w:rFonts w:ascii="Arial" w:hAnsi="Arial" w:cs="Arial"/>
          <w:sz w:val="24"/>
          <w:szCs w:val="24"/>
        </w:rPr>
        <w:t xml:space="preserve">também investimentos </w:t>
      </w:r>
      <w:r w:rsidR="00C5179C" w:rsidRPr="00465DB0">
        <w:rPr>
          <w:rFonts w:ascii="Arial" w:hAnsi="Arial" w:cs="Arial"/>
          <w:sz w:val="24"/>
          <w:szCs w:val="24"/>
        </w:rPr>
        <w:t>entre máquinas/equipamentos, instalações, obras civis, publicidade/propaganda, logística para vendas e outros</w:t>
      </w:r>
      <w:r w:rsidR="007F2AEE">
        <w:rPr>
          <w:rFonts w:ascii="Arial" w:hAnsi="Arial" w:cs="Arial"/>
          <w:sz w:val="24"/>
          <w:szCs w:val="24"/>
        </w:rPr>
        <w:t xml:space="preserve"> para fazer jus a créditos outorgados de ICMS a serem apropriados mensalmente</w:t>
      </w:r>
      <w:r w:rsidR="00C5179C" w:rsidRPr="00465DB0">
        <w:rPr>
          <w:rFonts w:ascii="Arial" w:hAnsi="Arial" w:cs="Arial"/>
          <w:sz w:val="24"/>
          <w:szCs w:val="24"/>
        </w:rPr>
        <w:t>.</w:t>
      </w:r>
    </w:p>
    <w:p w14:paraId="544EC19B" w14:textId="05C77B95" w:rsidR="004F78DD" w:rsidRDefault="00E229A3" w:rsidP="004F78DD">
      <w:pPr>
        <w:spacing w:line="360" w:lineRule="auto"/>
        <w:ind w:firstLine="851"/>
        <w:jc w:val="both"/>
        <w:rPr>
          <w:rFonts w:ascii="Arial" w:hAnsi="Arial" w:cs="Arial"/>
          <w:sz w:val="24"/>
          <w:szCs w:val="24"/>
        </w:rPr>
      </w:pPr>
      <w:r>
        <w:rPr>
          <w:rFonts w:ascii="Arial" w:hAnsi="Arial" w:cs="Arial"/>
          <w:sz w:val="24"/>
          <w:szCs w:val="24"/>
        </w:rPr>
        <w:t xml:space="preserve">A empresa apresentara </w:t>
      </w:r>
      <w:r w:rsidR="004F78DD">
        <w:rPr>
          <w:rFonts w:ascii="Arial" w:hAnsi="Arial" w:cs="Arial"/>
          <w:sz w:val="24"/>
          <w:szCs w:val="24"/>
        </w:rPr>
        <w:t>comprovaçã</w:t>
      </w:r>
      <w:r w:rsidR="00D322CF">
        <w:rPr>
          <w:rFonts w:ascii="Arial" w:hAnsi="Arial" w:cs="Arial"/>
          <w:sz w:val="24"/>
          <w:szCs w:val="24"/>
        </w:rPr>
        <w:t xml:space="preserve">o dos investimentos realizados </w:t>
      </w:r>
      <w:r>
        <w:rPr>
          <w:rFonts w:ascii="Arial" w:hAnsi="Arial" w:cs="Arial"/>
          <w:sz w:val="24"/>
          <w:szCs w:val="24"/>
        </w:rPr>
        <w:t>para fins de auditoria</w:t>
      </w:r>
      <w:r w:rsidR="00FF1808">
        <w:rPr>
          <w:rFonts w:ascii="Arial" w:hAnsi="Arial" w:cs="Arial"/>
          <w:sz w:val="24"/>
          <w:szCs w:val="24"/>
        </w:rPr>
        <w:t>, sem especificar o período correspondente (</w:t>
      </w:r>
      <w:r w:rsidR="00FF1808" w:rsidRPr="00AA687A">
        <w:rPr>
          <w:rFonts w:ascii="Arial" w:hAnsi="Arial" w:cs="Arial"/>
          <w:sz w:val="24"/>
          <w:szCs w:val="24"/>
        </w:rPr>
        <w:t>Ofício nº 2.500/2019-Economia,</w:t>
      </w:r>
      <w:r w:rsidR="00FF1808">
        <w:rPr>
          <w:rFonts w:ascii="Arial" w:hAnsi="Arial" w:cs="Arial"/>
          <w:sz w:val="24"/>
          <w:szCs w:val="24"/>
        </w:rPr>
        <w:t xml:space="preserve"> p. 707/708)</w:t>
      </w:r>
      <w:r w:rsidR="004F78DD">
        <w:rPr>
          <w:rFonts w:ascii="Arial" w:hAnsi="Arial" w:cs="Arial"/>
          <w:sz w:val="24"/>
          <w:szCs w:val="24"/>
        </w:rPr>
        <w:t xml:space="preserve">. Ao aportarem os autos do processo correspondente </w:t>
      </w:r>
      <w:r w:rsidR="00FF1808">
        <w:rPr>
          <w:rFonts w:ascii="Arial" w:hAnsi="Arial" w:cs="Arial"/>
          <w:sz w:val="24"/>
          <w:szCs w:val="24"/>
        </w:rPr>
        <w:t>à</w:t>
      </w:r>
      <w:r w:rsidR="004F78DD">
        <w:rPr>
          <w:rFonts w:ascii="Arial" w:hAnsi="Arial" w:cs="Arial"/>
          <w:sz w:val="24"/>
          <w:szCs w:val="24"/>
        </w:rPr>
        <w:t xml:space="preserve"> Gerência </w:t>
      </w:r>
      <w:r w:rsidR="004F78DD" w:rsidRPr="00534772">
        <w:rPr>
          <w:rFonts w:ascii="Arial" w:hAnsi="Arial" w:cs="Arial"/>
          <w:sz w:val="24"/>
          <w:szCs w:val="24"/>
        </w:rPr>
        <w:t>de Auditoria de Ind</w:t>
      </w:r>
      <w:r w:rsidR="004F78DD">
        <w:rPr>
          <w:rFonts w:ascii="Arial" w:hAnsi="Arial" w:cs="Arial"/>
          <w:sz w:val="24"/>
          <w:szCs w:val="24"/>
        </w:rPr>
        <w:t>ú</w:t>
      </w:r>
      <w:r w:rsidR="004F78DD" w:rsidRPr="00534772">
        <w:rPr>
          <w:rFonts w:ascii="Arial" w:hAnsi="Arial" w:cs="Arial"/>
          <w:sz w:val="24"/>
          <w:szCs w:val="24"/>
        </w:rPr>
        <w:t>stria e Atacado</w:t>
      </w:r>
      <w:r w:rsidR="004F78DD">
        <w:rPr>
          <w:rFonts w:ascii="Arial" w:hAnsi="Arial" w:cs="Arial"/>
          <w:sz w:val="24"/>
          <w:szCs w:val="24"/>
        </w:rPr>
        <w:t xml:space="preserve">, </w:t>
      </w:r>
      <w:r w:rsidR="00A942EA">
        <w:rPr>
          <w:rFonts w:ascii="Arial" w:hAnsi="Arial" w:cs="Arial"/>
          <w:sz w:val="24"/>
          <w:szCs w:val="24"/>
        </w:rPr>
        <w:t xml:space="preserve">esta </w:t>
      </w:r>
      <w:r w:rsidR="004F78DD">
        <w:rPr>
          <w:rFonts w:ascii="Arial" w:hAnsi="Arial" w:cs="Arial"/>
          <w:sz w:val="24"/>
          <w:szCs w:val="24"/>
        </w:rPr>
        <w:t>exarou manifestação nos seguintes termos:</w:t>
      </w:r>
    </w:p>
    <w:p w14:paraId="6C6643A7" w14:textId="77777777" w:rsidR="004F78DD" w:rsidRDefault="004F78DD" w:rsidP="004F78DD">
      <w:pPr>
        <w:spacing w:line="360" w:lineRule="auto"/>
        <w:ind w:firstLine="851"/>
        <w:jc w:val="both"/>
        <w:rPr>
          <w:rFonts w:ascii="Arial" w:hAnsi="Arial" w:cs="Arial"/>
          <w:sz w:val="24"/>
          <w:szCs w:val="24"/>
        </w:rPr>
      </w:pPr>
    </w:p>
    <w:p w14:paraId="2A3E5089" w14:textId="77777777" w:rsidR="004F78DD" w:rsidRPr="00534772" w:rsidRDefault="004F78DD" w:rsidP="00505254">
      <w:pPr>
        <w:ind w:left="2268"/>
        <w:jc w:val="both"/>
        <w:rPr>
          <w:rFonts w:ascii="Arial" w:hAnsi="Arial" w:cs="Arial"/>
          <w:sz w:val="22"/>
          <w:szCs w:val="22"/>
        </w:rPr>
      </w:pPr>
      <w:r w:rsidRPr="00741BD9">
        <w:rPr>
          <w:rFonts w:ascii="Arial" w:hAnsi="Arial" w:cs="Arial"/>
          <w:b/>
          <w:sz w:val="22"/>
          <w:szCs w:val="22"/>
        </w:rPr>
        <w:lastRenderedPageBreak/>
        <w:t>É do conhecimento geral que já aconteceram muitas discussões (e antecedentes manifestações verbais e formais deste signatário) nesta Pasta, das quais decorreu o reconhecimento de que, a rigor, o exercício das atividades de avaliações, vistorias e laudos</w:t>
      </w:r>
      <w:r w:rsidRPr="00534772">
        <w:rPr>
          <w:rFonts w:ascii="Arial" w:hAnsi="Arial" w:cs="Arial"/>
          <w:sz w:val="22"/>
          <w:szCs w:val="22"/>
        </w:rPr>
        <w:t xml:space="preserve"> – e obviamente de quaisquer outras denominações técnicas ou mesmo "leigas" correlatas, desde que dotadas de alcance final similar (in casu, a ementa em epígrafe fala em perscrutação de vultosa "Comprovação de investimentos") – </w:t>
      </w:r>
      <w:r w:rsidRPr="00741BD9">
        <w:rPr>
          <w:rFonts w:ascii="Arial" w:hAnsi="Arial" w:cs="Arial"/>
          <w:b/>
          <w:sz w:val="22"/>
          <w:szCs w:val="22"/>
        </w:rPr>
        <w:t>é de exclusiva competência legal do engenheiro (civil, eletricista, mecânico, eletrônico etc.), por força dos vários diplomas legais e infralegais que regulam severamente a atuação profissional da aludida classe</w:t>
      </w:r>
      <w:r w:rsidRPr="00534772">
        <w:rPr>
          <w:rFonts w:ascii="Arial" w:hAnsi="Arial" w:cs="Arial"/>
          <w:sz w:val="22"/>
          <w:szCs w:val="22"/>
        </w:rPr>
        <w:t>; por cautela, vale invocar desde logo a vigência do caput do vetusto art. 47 do Decreto-Lei nº 3.688/1941 – Lei das Contravenções Penais: "Art. 47. Exercer profissão ou atividade econômica....., sem preencher as condições a que por lei está subordinado o seu exercício:.....".</w:t>
      </w:r>
    </w:p>
    <w:p w14:paraId="33A45CC8" w14:textId="77777777" w:rsidR="004F78DD" w:rsidRPr="00534772" w:rsidRDefault="004F78DD" w:rsidP="00505254">
      <w:pPr>
        <w:ind w:left="2268"/>
        <w:jc w:val="both"/>
        <w:rPr>
          <w:rFonts w:ascii="Arial" w:hAnsi="Arial" w:cs="Arial"/>
          <w:sz w:val="22"/>
          <w:szCs w:val="22"/>
        </w:rPr>
      </w:pPr>
      <w:r w:rsidRPr="00741BD9">
        <w:rPr>
          <w:rFonts w:ascii="Arial" w:hAnsi="Arial" w:cs="Arial"/>
          <w:b/>
          <w:sz w:val="22"/>
          <w:szCs w:val="22"/>
        </w:rPr>
        <w:t>Por outro lado, temos que a Lei nº 13.266/1998 (da carreira do Fisco Goiano) especifica no seu art. 4º as atribuições conferidas privativamente aos funcionários fiscais, onde inclusive está convenientemente destacado que tais poderes funcionais são de natureza estritamente tributária</w:t>
      </w:r>
      <w:r w:rsidRPr="00534772">
        <w:rPr>
          <w:rFonts w:ascii="Arial" w:hAnsi="Arial" w:cs="Arial"/>
          <w:sz w:val="22"/>
          <w:szCs w:val="22"/>
        </w:rPr>
        <w:t>; aliás, o art. 6º daquele último diploma legal veda a designação de Auditor-Fiscal da Receita Estadual – AFRE para desempenhar encargos, funções, tarefas ou serviços diversos daqueles que são típicos de seu cargo.</w:t>
      </w:r>
    </w:p>
    <w:p w14:paraId="4388234C" w14:textId="6AEE3629" w:rsidR="004F78DD" w:rsidRPr="00883D4C" w:rsidRDefault="004F78DD" w:rsidP="00505254">
      <w:pPr>
        <w:ind w:left="2268"/>
        <w:jc w:val="both"/>
        <w:rPr>
          <w:rFonts w:ascii="Arial" w:hAnsi="Arial" w:cs="Arial"/>
          <w:sz w:val="22"/>
          <w:szCs w:val="22"/>
        </w:rPr>
      </w:pPr>
      <w:r w:rsidRPr="00534772">
        <w:rPr>
          <w:rFonts w:ascii="Arial" w:hAnsi="Arial" w:cs="Arial"/>
          <w:sz w:val="22"/>
          <w:szCs w:val="22"/>
        </w:rPr>
        <w:t xml:space="preserve">Ademais, com a máxima vênia, </w:t>
      </w:r>
      <w:r w:rsidRPr="00777331">
        <w:rPr>
          <w:rFonts w:ascii="Arial" w:hAnsi="Arial" w:cs="Arial"/>
          <w:b/>
          <w:bCs/>
          <w:sz w:val="22"/>
          <w:szCs w:val="22"/>
        </w:rPr>
        <w:t>na esfera da própria Superintendência Executiva da Receita Estadual - SRE, mais especificamente dentro da estrutura da Superintendência de Política Tributária - SPT, funciona a Gerência de Controle de Benefícios e Incentivos Fiscais - GCIF, onde atuam Agentes do Fisco (inclusive a sua própria Titular) evidentemente dotados - s.m.j. – de vasta expertise para atuar na complexa matéria ora em comento</w:t>
      </w:r>
      <w:r w:rsidRPr="00534772">
        <w:rPr>
          <w:rFonts w:ascii="Arial" w:hAnsi="Arial" w:cs="Arial"/>
          <w:sz w:val="22"/>
          <w:szCs w:val="22"/>
        </w:rPr>
        <w:t xml:space="preserve"> (legislação estadual interpretada e aplicada "em conjunto" com outra Secretaria de Estado; dispositivos sui generis de certos TAREs, frequentemente contemplando temáticas pouco ou nada </w:t>
      </w:r>
      <w:r w:rsidRPr="00883D4C">
        <w:rPr>
          <w:rFonts w:ascii="Arial" w:hAnsi="Arial" w:cs="Arial"/>
          <w:sz w:val="22"/>
          <w:szCs w:val="22"/>
        </w:rPr>
        <w:t>tributárias etc. (Ofício nº 2</w:t>
      </w:r>
      <w:r>
        <w:rPr>
          <w:rFonts w:ascii="Arial" w:hAnsi="Arial" w:cs="Arial"/>
          <w:sz w:val="22"/>
          <w:szCs w:val="22"/>
        </w:rPr>
        <w:t>.500/2019-Economia, p. 745/746</w:t>
      </w:r>
      <w:r w:rsidR="00777331">
        <w:rPr>
          <w:rFonts w:ascii="Arial" w:hAnsi="Arial" w:cs="Arial"/>
          <w:sz w:val="22"/>
          <w:szCs w:val="22"/>
        </w:rPr>
        <w:t>, grifou-se</w:t>
      </w:r>
      <w:r>
        <w:rPr>
          <w:rFonts w:ascii="Arial" w:hAnsi="Arial" w:cs="Arial"/>
          <w:sz w:val="22"/>
          <w:szCs w:val="22"/>
        </w:rPr>
        <w:t>)</w:t>
      </w:r>
    </w:p>
    <w:p w14:paraId="58BEEEC1" w14:textId="77777777" w:rsidR="004F78DD" w:rsidRPr="00883D4C" w:rsidRDefault="004F78DD" w:rsidP="00D31029">
      <w:pPr>
        <w:spacing w:line="360" w:lineRule="auto"/>
        <w:ind w:left="2268" w:firstLine="284"/>
        <w:jc w:val="both"/>
        <w:rPr>
          <w:rFonts w:ascii="Arial" w:hAnsi="Arial" w:cs="Arial"/>
          <w:sz w:val="24"/>
          <w:szCs w:val="24"/>
        </w:rPr>
      </w:pPr>
    </w:p>
    <w:p w14:paraId="2FDA3B47" w14:textId="7DF75E61" w:rsidR="004F78DD" w:rsidRPr="00883D4C" w:rsidRDefault="0012178E" w:rsidP="004F78DD">
      <w:pPr>
        <w:spacing w:line="360" w:lineRule="auto"/>
        <w:ind w:firstLine="851"/>
        <w:jc w:val="both"/>
        <w:rPr>
          <w:rFonts w:ascii="Arial" w:hAnsi="Arial" w:cs="Arial"/>
          <w:sz w:val="24"/>
          <w:szCs w:val="24"/>
        </w:rPr>
      </w:pPr>
      <w:r>
        <w:rPr>
          <w:rFonts w:ascii="Arial" w:hAnsi="Arial" w:cs="Arial"/>
          <w:sz w:val="24"/>
          <w:szCs w:val="24"/>
        </w:rPr>
        <w:t>Para resolver o impasse, n</w:t>
      </w:r>
      <w:r w:rsidR="004F78DD" w:rsidRPr="00883D4C">
        <w:rPr>
          <w:rFonts w:ascii="Arial" w:hAnsi="Arial" w:cs="Arial"/>
          <w:sz w:val="24"/>
          <w:szCs w:val="24"/>
        </w:rPr>
        <w:t>a conclusão do despacho referido, o processo foi encaminhado</w:t>
      </w:r>
      <w:r w:rsidR="00E17FB4">
        <w:rPr>
          <w:rFonts w:ascii="Arial" w:hAnsi="Arial" w:cs="Arial"/>
          <w:sz w:val="24"/>
          <w:szCs w:val="24"/>
        </w:rPr>
        <w:t>, assim como no caso da Empresa 1,</w:t>
      </w:r>
      <w:r w:rsidR="004F78DD" w:rsidRPr="00883D4C">
        <w:rPr>
          <w:rFonts w:ascii="Arial" w:hAnsi="Arial" w:cs="Arial"/>
          <w:sz w:val="24"/>
          <w:szCs w:val="24"/>
        </w:rPr>
        <w:t xml:space="preserve"> para auditor fiscal </w:t>
      </w:r>
      <w:r>
        <w:rPr>
          <w:rFonts w:ascii="Arial" w:hAnsi="Arial" w:cs="Arial"/>
          <w:sz w:val="24"/>
          <w:szCs w:val="24"/>
        </w:rPr>
        <w:t>da</w:t>
      </w:r>
      <w:r w:rsidR="004F78DD" w:rsidRPr="00883D4C">
        <w:rPr>
          <w:rFonts w:ascii="Arial" w:hAnsi="Arial" w:cs="Arial"/>
          <w:sz w:val="24"/>
          <w:szCs w:val="24"/>
        </w:rPr>
        <w:t xml:space="preserve"> Gerência</w:t>
      </w:r>
      <w:r>
        <w:rPr>
          <w:rFonts w:ascii="Arial" w:hAnsi="Arial" w:cs="Arial"/>
          <w:sz w:val="24"/>
          <w:szCs w:val="24"/>
        </w:rPr>
        <w:t xml:space="preserve"> de Auditoria de Indústria e Atacado</w:t>
      </w:r>
      <w:r w:rsidR="00266644">
        <w:rPr>
          <w:rFonts w:ascii="Arial" w:hAnsi="Arial" w:cs="Arial"/>
          <w:sz w:val="24"/>
          <w:szCs w:val="24"/>
        </w:rPr>
        <w:t xml:space="preserve">, a fim de </w:t>
      </w:r>
      <w:r w:rsidR="004F78DD" w:rsidRPr="00883D4C">
        <w:rPr>
          <w:rFonts w:ascii="Arial" w:hAnsi="Arial" w:cs="Arial"/>
          <w:sz w:val="24"/>
          <w:szCs w:val="24"/>
        </w:rPr>
        <w:t xml:space="preserve">proceder à análise sob a </w:t>
      </w:r>
      <w:r w:rsidRPr="00883D4C">
        <w:rPr>
          <w:rFonts w:ascii="Arial" w:hAnsi="Arial" w:cs="Arial"/>
          <w:sz w:val="24"/>
          <w:szCs w:val="24"/>
        </w:rPr>
        <w:t>ÓTICA EXCLUSIVAMENTE FISCAL</w:t>
      </w:r>
      <w:r w:rsidR="004F78DD" w:rsidRPr="00883D4C">
        <w:rPr>
          <w:rFonts w:ascii="Arial" w:hAnsi="Arial" w:cs="Arial"/>
          <w:sz w:val="24"/>
          <w:szCs w:val="24"/>
        </w:rPr>
        <w:t>, o qual se manifestou nos seguintes termos:</w:t>
      </w:r>
    </w:p>
    <w:p w14:paraId="6220F27A" w14:textId="77777777" w:rsidR="004F78DD" w:rsidRPr="00883D4C" w:rsidRDefault="004F78DD" w:rsidP="004F78DD">
      <w:pPr>
        <w:spacing w:line="360" w:lineRule="auto"/>
        <w:ind w:firstLine="851"/>
        <w:jc w:val="both"/>
        <w:rPr>
          <w:rFonts w:ascii="Arial" w:hAnsi="Arial" w:cs="Arial"/>
          <w:sz w:val="24"/>
          <w:szCs w:val="24"/>
        </w:rPr>
      </w:pPr>
    </w:p>
    <w:p w14:paraId="25030A70" w14:textId="351D8E9B" w:rsidR="004F78DD" w:rsidRPr="00B06C21" w:rsidRDefault="004F78DD" w:rsidP="00505254">
      <w:pPr>
        <w:ind w:left="2268"/>
        <w:jc w:val="both"/>
        <w:rPr>
          <w:rFonts w:ascii="Arial" w:hAnsi="Arial" w:cs="Arial"/>
          <w:sz w:val="22"/>
          <w:szCs w:val="22"/>
        </w:rPr>
      </w:pPr>
      <w:r w:rsidRPr="00B06C21">
        <w:rPr>
          <w:rFonts w:ascii="Arial" w:hAnsi="Arial" w:cs="Arial"/>
          <w:sz w:val="22"/>
          <w:szCs w:val="22"/>
        </w:rPr>
        <w:t xml:space="preserve">Em atendimento ao Despacho </w:t>
      </w:r>
      <w:r w:rsidR="00706FD4">
        <w:rPr>
          <w:rFonts w:ascii="Arial" w:hAnsi="Arial" w:cs="Arial"/>
          <w:sz w:val="22"/>
          <w:szCs w:val="22"/>
        </w:rPr>
        <w:t>[...]</w:t>
      </w:r>
      <w:r w:rsidRPr="00B06C21">
        <w:rPr>
          <w:rFonts w:ascii="Arial" w:hAnsi="Arial" w:cs="Arial"/>
          <w:sz w:val="22"/>
          <w:szCs w:val="22"/>
        </w:rPr>
        <w:t xml:space="preserve"> relativamente à análise dos comprovantes de</w:t>
      </w:r>
      <w:r>
        <w:rPr>
          <w:rFonts w:ascii="Arial" w:hAnsi="Arial" w:cs="Arial"/>
          <w:sz w:val="22"/>
          <w:szCs w:val="22"/>
        </w:rPr>
        <w:t xml:space="preserve"> </w:t>
      </w:r>
      <w:r w:rsidRPr="00B06C21">
        <w:rPr>
          <w:rFonts w:ascii="Arial" w:hAnsi="Arial" w:cs="Arial"/>
          <w:sz w:val="22"/>
          <w:szCs w:val="22"/>
        </w:rPr>
        <w:t xml:space="preserve">investimentos apresentados pela empresa </w:t>
      </w:r>
      <w:r w:rsidR="00D322CF">
        <w:rPr>
          <w:rFonts w:ascii="Arial" w:hAnsi="Arial" w:cs="Arial"/>
          <w:sz w:val="22"/>
          <w:szCs w:val="22"/>
        </w:rPr>
        <w:t>[...]</w:t>
      </w:r>
      <w:r w:rsidRPr="00B06C21">
        <w:rPr>
          <w:rFonts w:ascii="Arial" w:hAnsi="Arial" w:cs="Arial"/>
          <w:sz w:val="22"/>
          <w:szCs w:val="22"/>
        </w:rPr>
        <w:t>, no sentido de subsidiar decisão nos autos nºs</w:t>
      </w:r>
      <w:r>
        <w:rPr>
          <w:rFonts w:ascii="Arial" w:hAnsi="Arial" w:cs="Arial"/>
          <w:sz w:val="22"/>
          <w:szCs w:val="22"/>
        </w:rPr>
        <w:t xml:space="preserve"> </w:t>
      </w:r>
      <w:r w:rsidR="00D322CF">
        <w:rPr>
          <w:rFonts w:ascii="Arial" w:hAnsi="Arial" w:cs="Arial"/>
          <w:sz w:val="22"/>
          <w:szCs w:val="22"/>
        </w:rPr>
        <w:t>[...]</w:t>
      </w:r>
      <w:r w:rsidRPr="00B06C21">
        <w:rPr>
          <w:rFonts w:ascii="Arial" w:hAnsi="Arial" w:cs="Arial"/>
          <w:sz w:val="22"/>
          <w:szCs w:val="22"/>
        </w:rPr>
        <w:t>, assim nos</w:t>
      </w:r>
      <w:r>
        <w:rPr>
          <w:rFonts w:ascii="Arial" w:hAnsi="Arial" w:cs="Arial"/>
          <w:sz w:val="22"/>
          <w:szCs w:val="22"/>
        </w:rPr>
        <w:t xml:space="preserve"> </w:t>
      </w:r>
      <w:r w:rsidRPr="00B06C21">
        <w:rPr>
          <w:rFonts w:ascii="Arial" w:hAnsi="Arial" w:cs="Arial"/>
          <w:sz w:val="22"/>
          <w:szCs w:val="22"/>
        </w:rPr>
        <w:t>manifestamos.</w:t>
      </w:r>
    </w:p>
    <w:p w14:paraId="00B4358C" w14:textId="6CC97A10" w:rsidR="004F78DD" w:rsidRPr="00B06C21" w:rsidRDefault="00D322CF" w:rsidP="00505254">
      <w:pPr>
        <w:ind w:left="2268"/>
        <w:jc w:val="both"/>
        <w:rPr>
          <w:rFonts w:ascii="Arial" w:hAnsi="Arial" w:cs="Arial"/>
          <w:sz w:val="22"/>
          <w:szCs w:val="22"/>
        </w:rPr>
      </w:pPr>
      <w:r>
        <w:rPr>
          <w:rFonts w:ascii="Arial" w:hAnsi="Arial" w:cs="Arial"/>
          <w:sz w:val="22"/>
          <w:szCs w:val="22"/>
        </w:rPr>
        <w:t>[...]</w:t>
      </w:r>
      <w:r w:rsidR="004F78DD" w:rsidRPr="00B06C21">
        <w:rPr>
          <w:rFonts w:ascii="Arial" w:hAnsi="Arial" w:cs="Arial"/>
          <w:sz w:val="22"/>
          <w:szCs w:val="22"/>
        </w:rPr>
        <w:t xml:space="preserve"> a empresa </w:t>
      </w:r>
      <w:r>
        <w:rPr>
          <w:rFonts w:ascii="Arial" w:hAnsi="Arial" w:cs="Arial"/>
          <w:sz w:val="22"/>
          <w:szCs w:val="22"/>
        </w:rPr>
        <w:t>[...]</w:t>
      </w:r>
      <w:r w:rsidR="004F78DD">
        <w:rPr>
          <w:rFonts w:ascii="Arial" w:hAnsi="Arial" w:cs="Arial"/>
          <w:sz w:val="22"/>
          <w:szCs w:val="22"/>
        </w:rPr>
        <w:t xml:space="preserve"> </w:t>
      </w:r>
      <w:r w:rsidR="004F78DD" w:rsidRPr="00B06C21">
        <w:rPr>
          <w:rFonts w:ascii="Arial" w:hAnsi="Arial" w:cs="Arial"/>
          <w:sz w:val="22"/>
          <w:szCs w:val="22"/>
        </w:rPr>
        <w:t xml:space="preserve">celebra com o Estado de Goiás, Termo de Acordo Especial - TARE nº </w:t>
      </w:r>
      <w:r>
        <w:rPr>
          <w:rFonts w:ascii="Arial" w:hAnsi="Arial" w:cs="Arial"/>
          <w:sz w:val="22"/>
          <w:szCs w:val="22"/>
        </w:rPr>
        <w:t>[...].</w:t>
      </w:r>
      <w:r w:rsidR="004F78DD" w:rsidRPr="00B06C21">
        <w:rPr>
          <w:rFonts w:ascii="Arial" w:hAnsi="Arial" w:cs="Arial"/>
          <w:sz w:val="22"/>
          <w:szCs w:val="22"/>
        </w:rPr>
        <w:t xml:space="preserve"> Por</w:t>
      </w:r>
      <w:r w:rsidR="004F78DD">
        <w:rPr>
          <w:rFonts w:ascii="Arial" w:hAnsi="Arial" w:cs="Arial"/>
          <w:sz w:val="22"/>
          <w:szCs w:val="22"/>
        </w:rPr>
        <w:t xml:space="preserve"> </w:t>
      </w:r>
      <w:r w:rsidR="004F78DD" w:rsidRPr="00B06C21">
        <w:rPr>
          <w:rFonts w:ascii="Arial" w:hAnsi="Arial" w:cs="Arial"/>
          <w:sz w:val="22"/>
          <w:szCs w:val="22"/>
        </w:rPr>
        <w:t>meio dele, a acordante estava autorizada a escriturar sob a forma de crédito o montante</w:t>
      </w:r>
      <w:r w:rsidR="004F78DD">
        <w:rPr>
          <w:rFonts w:ascii="Arial" w:hAnsi="Arial" w:cs="Arial"/>
          <w:sz w:val="22"/>
          <w:szCs w:val="22"/>
        </w:rPr>
        <w:t xml:space="preserve"> </w:t>
      </w:r>
      <w:r w:rsidR="004F78DD" w:rsidRPr="00B06C21">
        <w:rPr>
          <w:rFonts w:ascii="Arial" w:hAnsi="Arial" w:cs="Arial"/>
          <w:sz w:val="22"/>
          <w:szCs w:val="22"/>
        </w:rPr>
        <w:t>equivalente a:</w:t>
      </w:r>
    </w:p>
    <w:p w14:paraId="6AE26D2F" w14:textId="19E14BD9" w:rsidR="004F78DD" w:rsidRPr="00B06C21" w:rsidRDefault="00D322CF" w:rsidP="00505254">
      <w:pPr>
        <w:ind w:left="2268"/>
        <w:jc w:val="both"/>
        <w:rPr>
          <w:rFonts w:ascii="Arial" w:hAnsi="Arial" w:cs="Arial"/>
          <w:sz w:val="22"/>
          <w:szCs w:val="22"/>
        </w:rPr>
      </w:pPr>
      <w:r>
        <w:rPr>
          <w:rFonts w:ascii="Arial" w:hAnsi="Arial" w:cs="Arial"/>
          <w:sz w:val="22"/>
          <w:szCs w:val="22"/>
        </w:rPr>
        <w:t>[...]</w:t>
      </w:r>
    </w:p>
    <w:p w14:paraId="0B838C44" w14:textId="597288DB" w:rsidR="004F78DD" w:rsidRPr="00B13937" w:rsidRDefault="004F78DD" w:rsidP="00505254">
      <w:pPr>
        <w:ind w:left="2268"/>
        <w:jc w:val="both"/>
        <w:rPr>
          <w:rFonts w:ascii="Arial" w:hAnsi="Arial" w:cs="Arial"/>
          <w:sz w:val="22"/>
          <w:szCs w:val="22"/>
        </w:rPr>
      </w:pPr>
      <w:r w:rsidRPr="00B06C21">
        <w:rPr>
          <w:rFonts w:ascii="Arial" w:hAnsi="Arial" w:cs="Arial"/>
          <w:sz w:val="22"/>
          <w:szCs w:val="22"/>
        </w:rPr>
        <w:t xml:space="preserve">Conforme </w:t>
      </w:r>
      <w:r w:rsidRPr="00B13937">
        <w:rPr>
          <w:rFonts w:ascii="Arial" w:hAnsi="Arial" w:cs="Arial"/>
          <w:sz w:val="22"/>
          <w:szCs w:val="22"/>
        </w:rPr>
        <w:t xml:space="preserve">cláusula </w:t>
      </w:r>
      <w:r w:rsidR="00B013D1" w:rsidRPr="00B13937">
        <w:rPr>
          <w:rFonts w:ascii="Arial" w:hAnsi="Arial" w:cs="Arial"/>
          <w:sz w:val="22"/>
          <w:szCs w:val="22"/>
        </w:rPr>
        <w:t>[...]</w:t>
      </w:r>
      <w:r w:rsidRPr="00B13937">
        <w:rPr>
          <w:rFonts w:ascii="Arial" w:hAnsi="Arial" w:cs="Arial"/>
          <w:sz w:val="22"/>
          <w:szCs w:val="22"/>
        </w:rPr>
        <w:t xml:space="preserve"> ficou estabelecido que a acordante em contrapartida deveria, entre outras exigências:</w:t>
      </w:r>
    </w:p>
    <w:p w14:paraId="50A8C307" w14:textId="67E99C5C" w:rsidR="004F78DD" w:rsidRPr="00B13937" w:rsidRDefault="00D322CF" w:rsidP="00505254">
      <w:pPr>
        <w:ind w:left="2268"/>
        <w:jc w:val="both"/>
        <w:rPr>
          <w:rFonts w:ascii="Arial" w:hAnsi="Arial" w:cs="Arial"/>
          <w:sz w:val="22"/>
          <w:szCs w:val="22"/>
        </w:rPr>
      </w:pPr>
      <w:r w:rsidRPr="00B13937">
        <w:rPr>
          <w:rFonts w:ascii="Arial" w:hAnsi="Arial" w:cs="Arial"/>
          <w:sz w:val="22"/>
          <w:szCs w:val="22"/>
        </w:rPr>
        <w:lastRenderedPageBreak/>
        <w:t>[...]</w:t>
      </w:r>
    </w:p>
    <w:p w14:paraId="754EB177" w14:textId="04D5E38C" w:rsidR="004F78DD" w:rsidRPr="00B13937" w:rsidRDefault="004F78DD" w:rsidP="00505254">
      <w:pPr>
        <w:ind w:left="2268"/>
        <w:jc w:val="both"/>
        <w:rPr>
          <w:rFonts w:ascii="Arial" w:hAnsi="Arial" w:cs="Arial"/>
          <w:sz w:val="22"/>
          <w:szCs w:val="22"/>
        </w:rPr>
      </w:pPr>
      <w:r w:rsidRPr="00B13937">
        <w:rPr>
          <w:rFonts w:ascii="Arial" w:hAnsi="Arial" w:cs="Arial"/>
          <w:sz w:val="22"/>
          <w:szCs w:val="22"/>
        </w:rPr>
        <w:t xml:space="preserve">Desta forma, a acordante protocolou resumo dos investimentos que comprovariam o cumprimento do disposto na referida cláusula, cujo somatório seria de </w:t>
      </w:r>
      <w:r w:rsidR="00D322CF" w:rsidRPr="00B13937">
        <w:rPr>
          <w:rFonts w:ascii="Arial" w:hAnsi="Arial" w:cs="Arial"/>
          <w:sz w:val="22"/>
          <w:szCs w:val="22"/>
        </w:rPr>
        <w:t>[...]</w:t>
      </w:r>
      <w:r w:rsidRPr="00B13937">
        <w:rPr>
          <w:rFonts w:ascii="Arial" w:hAnsi="Arial" w:cs="Arial"/>
          <w:sz w:val="22"/>
          <w:szCs w:val="22"/>
        </w:rPr>
        <w:t>. Os valores foram assim distribuídos:</w:t>
      </w:r>
    </w:p>
    <w:p w14:paraId="66FB1ED6" w14:textId="77777777" w:rsidR="004F78DD" w:rsidRPr="00B13937" w:rsidRDefault="004F78DD" w:rsidP="00505254">
      <w:pPr>
        <w:ind w:left="2268"/>
        <w:jc w:val="both"/>
        <w:rPr>
          <w:rFonts w:ascii="Arial" w:hAnsi="Arial" w:cs="Arial"/>
          <w:sz w:val="22"/>
          <w:szCs w:val="22"/>
        </w:rPr>
      </w:pPr>
      <w:r w:rsidRPr="00B13937">
        <w:rPr>
          <w:rFonts w:ascii="Arial" w:hAnsi="Arial" w:cs="Arial"/>
          <w:sz w:val="22"/>
          <w:szCs w:val="22"/>
        </w:rPr>
        <w:t>[...].</w:t>
      </w:r>
    </w:p>
    <w:p w14:paraId="4ADAD447" w14:textId="77777777" w:rsidR="004F78DD" w:rsidRPr="00B13937" w:rsidRDefault="004F78DD" w:rsidP="00505254">
      <w:pPr>
        <w:ind w:left="2268"/>
        <w:jc w:val="both"/>
        <w:rPr>
          <w:rFonts w:ascii="Arial" w:hAnsi="Arial" w:cs="Arial"/>
          <w:sz w:val="22"/>
          <w:szCs w:val="22"/>
        </w:rPr>
      </w:pPr>
      <w:r w:rsidRPr="00B13937">
        <w:rPr>
          <w:rFonts w:ascii="Arial" w:hAnsi="Arial" w:cs="Arial"/>
          <w:sz w:val="22"/>
          <w:szCs w:val="22"/>
        </w:rPr>
        <w:t>Posteriormente, apresentou um novo resumo dos investimentos, desta vez, excluindo a rubrica “Logística para Vendas” e acrescentando “Pesquisa e Desenvolvimento”, bem como adicionando valores para “Máquinas e Equipamentos”, “Instalações” e “Obras Civis”, que agora passariam a ter seguintes valores:</w:t>
      </w:r>
    </w:p>
    <w:p w14:paraId="480E8E25" w14:textId="77777777" w:rsidR="004F78DD" w:rsidRPr="00B13937" w:rsidRDefault="004F78DD" w:rsidP="00505254">
      <w:pPr>
        <w:ind w:left="2268"/>
        <w:jc w:val="both"/>
        <w:rPr>
          <w:rFonts w:ascii="Arial" w:hAnsi="Arial" w:cs="Arial"/>
          <w:sz w:val="22"/>
          <w:szCs w:val="22"/>
        </w:rPr>
      </w:pPr>
      <w:r w:rsidRPr="00B13937">
        <w:rPr>
          <w:rFonts w:ascii="Arial" w:hAnsi="Arial" w:cs="Arial"/>
          <w:sz w:val="22"/>
          <w:szCs w:val="22"/>
        </w:rPr>
        <w:t>[...].</w:t>
      </w:r>
    </w:p>
    <w:p w14:paraId="716FFFEC" w14:textId="77777777" w:rsidR="004F78DD" w:rsidRPr="00B13937" w:rsidRDefault="004F78DD" w:rsidP="00505254">
      <w:pPr>
        <w:ind w:left="2268"/>
        <w:jc w:val="both"/>
        <w:rPr>
          <w:rFonts w:ascii="Arial" w:hAnsi="Arial" w:cs="Arial"/>
          <w:sz w:val="22"/>
          <w:szCs w:val="22"/>
        </w:rPr>
      </w:pPr>
      <w:r w:rsidRPr="00B13937">
        <w:rPr>
          <w:rFonts w:ascii="Arial" w:hAnsi="Arial" w:cs="Arial"/>
          <w:sz w:val="22"/>
          <w:szCs w:val="22"/>
        </w:rPr>
        <w:t>Pois bem, diante das informações apresentadas, solicitamos a identificação contábil das contas envolvidas nas diversas rubricas a fim de verificar seus registros na Escrituração Contábil Digital (ECD), e desta forma, comprovar os investimentos, pelo menos no aspecto escritural.</w:t>
      </w:r>
    </w:p>
    <w:p w14:paraId="70BA02CF" w14:textId="77777777" w:rsidR="004F78DD" w:rsidRPr="00B13937" w:rsidRDefault="004F78DD" w:rsidP="00505254">
      <w:pPr>
        <w:ind w:left="2268"/>
        <w:jc w:val="both"/>
        <w:rPr>
          <w:rFonts w:ascii="Arial" w:hAnsi="Arial" w:cs="Arial"/>
          <w:sz w:val="22"/>
          <w:szCs w:val="22"/>
        </w:rPr>
      </w:pPr>
      <w:r w:rsidRPr="00B13937">
        <w:rPr>
          <w:rFonts w:ascii="Arial" w:hAnsi="Arial" w:cs="Arial"/>
          <w:sz w:val="22"/>
          <w:szCs w:val="22"/>
        </w:rPr>
        <w:t xml:space="preserve">Primeiramente, era necessário determinar o período para análise dos referidos investimentos. </w:t>
      </w:r>
    </w:p>
    <w:p w14:paraId="2B0AA5A1" w14:textId="794C24D5" w:rsidR="004F78DD" w:rsidRPr="00B13937" w:rsidRDefault="004F78DD" w:rsidP="00505254">
      <w:pPr>
        <w:ind w:left="2268"/>
        <w:jc w:val="both"/>
        <w:rPr>
          <w:rFonts w:ascii="Arial" w:hAnsi="Arial" w:cs="Arial"/>
          <w:sz w:val="22"/>
          <w:szCs w:val="22"/>
        </w:rPr>
      </w:pPr>
      <w:r w:rsidRPr="00B13937">
        <w:rPr>
          <w:rFonts w:ascii="Arial" w:hAnsi="Arial" w:cs="Arial"/>
          <w:sz w:val="22"/>
          <w:szCs w:val="22"/>
        </w:rPr>
        <w:t xml:space="preserve">Diante da ausência de um período estabelecido no </w:t>
      </w:r>
      <w:r w:rsidR="00D322CF" w:rsidRPr="00B13937">
        <w:rPr>
          <w:rFonts w:ascii="Arial" w:hAnsi="Arial" w:cs="Arial"/>
          <w:sz w:val="22"/>
          <w:szCs w:val="22"/>
        </w:rPr>
        <w:t xml:space="preserve">Termo de Acordo </w:t>
      </w:r>
      <w:r w:rsidRPr="00B13937">
        <w:rPr>
          <w:rFonts w:ascii="Arial" w:hAnsi="Arial" w:cs="Arial"/>
          <w:sz w:val="22"/>
          <w:szCs w:val="22"/>
        </w:rPr>
        <w:t xml:space="preserve">nº </w:t>
      </w:r>
      <w:r w:rsidR="00D322CF" w:rsidRPr="00B13937">
        <w:rPr>
          <w:rFonts w:ascii="Arial" w:hAnsi="Arial" w:cs="Arial"/>
          <w:sz w:val="22"/>
          <w:szCs w:val="22"/>
        </w:rPr>
        <w:t>[...]</w:t>
      </w:r>
      <w:r w:rsidRPr="00B13937">
        <w:rPr>
          <w:rFonts w:ascii="Arial" w:hAnsi="Arial" w:cs="Arial"/>
          <w:sz w:val="22"/>
          <w:szCs w:val="22"/>
        </w:rPr>
        <w:t xml:space="preserve">, o período para esta análise foi definido conforme disposto no Protocolo de Intenções (processo nº </w:t>
      </w:r>
      <w:r w:rsidR="00B013D1" w:rsidRPr="00B13937">
        <w:rPr>
          <w:rFonts w:ascii="Arial" w:hAnsi="Arial" w:cs="Arial"/>
          <w:sz w:val="22"/>
          <w:szCs w:val="22"/>
        </w:rPr>
        <w:t>[...]</w:t>
      </w:r>
      <w:r w:rsidRPr="00B13937">
        <w:rPr>
          <w:rFonts w:ascii="Arial" w:hAnsi="Arial" w:cs="Arial"/>
          <w:sz w:val="22"/>
          <w:szCs w:val="22"/>
        </w:rPr>
        <w:t xml:space="preserve">), processo este referenciado pelo próprio Termo de Acordo. Em sua cláusula primeira ficava estabelecido um prazo de 60 (sessenta meses) da efetiva fruição dos benefícios para que a acordante implementasse os referidos investimentos. </w:t>
      </w:r>
      <w:r w:rsidR="00595EB5" w:rsidRPr="00B13937">
        <w:rPr>
          <w:rFonts w:ascii="Arial" w:hAnsi="Arial" w:cs="Arial"/>
          <w:sz w:val="22"/>
          <w:szCs w:val="22"/>
        </w:rPr>
        <w:t>[...]</w:t>
      </w:r>
      <w:r w:rsidRPr="00B13937">
        <w:rPr>
          <w:rFonts w:ascii="Arial" w:hAnsi="Arial" w:cs="Arial"/>
          <w:sz w:val="22"/>
          <w:szCs w:val="22"/>
        </w:rPr>
        <w:t>.</w:t>
      </w:r>
    </w:p>
    <w:p w14:paraId="5280D0A7" w14:textId="5A41916C" w:rsidR="004F78DD" w:rsidRPr="00B13937" w:rsidRDefault="004F78DD" w:rsidP="00505254">
      <w:pPr>
        <w:ind w:left="2268"/>
        <w:jc w:val="both"/>
        <w:rPr>
          <w:rFonts w:ascii="Arial" w:hAnsi="Arial" w:cs="Arial"/>
          <w:sz w:val="22"/>
          <w:szCs w:val="22"/>
        </w:rPr>
      </w:pPr>
      <w:r w:rsidRPr="00B13937">
        <w:rPr>
          <w:rFonts w:ascii="Arial" w:hAnsi="Arial" w:cs="Arial"/>
          <w:sz w:val="22"/>
          <w:szCs w:val="22"/>
        </w:rPr>
        <w:t>Relativamente às rubricas “Máquinas e Equipamentos”, “Instalações” e “Obras Civis” estabelecemos como critério para conferência os valores contábeis resultantes da diferença entre os saldos final e inicial de cada rubrica, entendendo que, utilizando este parâmetro, obteríamos os valores que efetivamente foram investidos dentro do período analisado</w:t>
      </w:r>
      <w:r w:rsidR="00B013D1" w:rsidRPr="00B13937">
        <w:rPr>
          <w:rFonts w:ascii="Arial" w:hAnsi="Arial" w:cs="Arial"/>
          <w:sz w:val="22"/>
          <w:szCs w:val="22"/>
        </w:rPr>
        <w:t xml:space="preserve"> [.</w:t>
      </w:r>
      <w:r w:rsidRPr="00B13937">
        <w:rPr>
          <w:rFonts w:ascii="Arial" w:hAnsi="Arial" w:cs="Arial"/>
          <w:sz w:val="22"/>
          <w:szCs w:val="22"/>
        </w:rPr>
        <w:t>.</w:t>
      </w:r>
      <w:r w:rsidR="00B013D1" w:rsidRPr="00B13937">
        <w:rPr>
          <w:rFonts w:ascii="Arial" w:hAnsi="Arial" w:cs="Arial"/>
          <w:sz w:val="22"/>
          <w:szCs w:val="22"/>
        </w:rPr>
        <w:t>.]</w:t>
      </w:r>
    </w:p>
    <w:p w14:paraId="32D1753B" w14:textId="77777777" w:rsidR="004F78DD" w:rsidRPr="00B13937" w:rsidRDefault="004F78DD" w:rsidP="00505254">
      <w:pPr>
        <w:ind w:left="2268"/>
        <w:jc w:val="both"/>
        <w:rPr>
          <w:rFonts w:ascii="Arial" w:hAnsi="Arial" w:cs="Arial"/>
          <w:sz w:val="22"/>
          <w:szCs w:val="22"/>
        </w:rPr>
      </w:pPr>
      <w:r w:rsidRPr="00B13937">
        <w:rPr>
          <w:rFonts w:ascii="Arial" w:hAnsi="Arial" w:cs="Arial"/>
          <w:sz w:val="22"/>
          <w:szCs w:val="22"/>
        </w:rPr>
        <w:t>Para as demais rubricas verificamos os seus registros contábeis, através da conferência dos valores constantes em suas respectivas contas e lançados na Escrituração Contábil Digital (ECD).</w:t>
      </w:r>
    </w:p>
    <w:p w14:paraId="288B14C1" w14:textId="09B1F418" w:rsidR="004F78DD" w:rsidRPr="00B13937" w:rsidRDefault="004F78DD" w:rsidP="00505254">
      <w:pPr>
        <w:ind w:left="2268"/>
        <w:jc w:val="both"/>
        <w:rPr>
          <w:rFonts w:ascii="Arial" w:hAnsi="Arial" w:cs="Arial"/>
          <w:sz w:val="22"/>
          <w:szCs w:val="22"/>
        </w:rPr>
      </w:pPr>
      <w:r w:rsidRPr="00B13937">
        <w:rPr>
          <w:rFonts w:ascii="Arial" w:hAnsi="Arial" w:cs="Arial"/>
          <w:b/>
          <w:sz w:val="22"/>
          <w:szCs w:val="22"/>
        </w:rPr>
        <w:t xml:space="preserve">Ficou evidenciado que as conferências realizadas ficaram restritas a aspectos contábeis, tendo como universo apenas os registros documentais e saldos escriturais, todos eles relativos ao investimento de </w:t>
      </w:r>
      <w:r w:rsidR="00595EB5" w:rsidRPr="00B13937">
        <w:rPr>
          <w:rFonts w:ascii="Arial" w:hAnsi="Arial" w:cs="Arial"/>
          <w:b/>
          <w:sz w:val="22"/>
          <w:szCs w:val="22"/>
        </w:rPr>
        <w:t>[...]</w:t>
      </w:r>
      <w:r w:rsidRPr="00B13937">
        <w:rPr>
          <w:rFonts w:ascii="Arial" w:hAnsi="Arial" w:cs="Arial"/>
          <w:b/>
          <w:sz w:val="22"/>
          <w:szCs w:val="22"/>
        </w:rPr>
        <w:t>. Verificações mais abrangentes que vão além das temáticas fiscais estão a cargo da Gerência de Controle de Benefícios e Incentivos Fiscais – GCIF, restando portanto, outras verificações</w:t>
      </w:r>
      <w:r w:rsidRPr="00B13937">
        <w:rPr>
          <w:rFonts w:ascii="Arial" w:hAnsi="Arial" w:cs="Arial"/>
          <w:sz w:val="22"/>
          <w:szCs w:val="22"/>
        </w:rPr>
        <w:t xml:space="preserve">. </w:t>
      </w:r>
    </w:p>
    <w:p w14:paraId="7AA7EC0D" w14:textId="030969DC" w:rsidR="004F78DD" w:rsidRPr="00B13937" w:rsidRDefault="004F78DD" w:rsidP="00505254">
      <w:pPr>
        <w:ind w:left="2268"/>
        <w:jc w:val="both"/>
        <w:rPr>
          <w:rFonts w:ascii="Arial" w:hAnsi="Arial" w:cs="Arial"/>
          <w:sz w:val="22"/>
          <w:szCs w:val="22"/>
        </w:rPr>
      </w:pPr>
      <w:r w:rsidRPr="00B13937">
        <w:rPr>
          <w:rFonts w:ascii="Arial" w:hAnsi="Arial" w:cs="Arial"/>
          <w:sz w:val="22"/>
          <w:szCs w:val="22"/>
        </w:rPr>
        <w:t xml:space="preserve">Quanto aos valores investidos relativos ao </w:t>
      </w:r>
      <w:r w:rsidR="00595EB5" w:rsidRPr="00B13937">
        <w:rPr>
          <w:rFonts w:ascii="Arial" w:hAnsi="Arial" w:cs="Arial"/>
          <w:sz w:val="22"/>
          <w:szCs w:val="22"/>
        </w:rPr>
        <w:t>[...]</w:t>
      </w:r>
      <w:r w:rsidRPr="00B13937">
        <w:rPr>
          <w:rFonts w:ascii="Arial" w:hAnsi="Arial" w:cs="Arial"/>
          <w:sz w:val="22"/>
          <w:szCs w:val="22"/>
        </w:rPr>
        <w:t xml:space="preserve"> também entendemos que devam ser analisados pela referida gerência. Este entendimento se baseia na existência de Relatórios de Auditoria de Investimentos, por ela elaborados, que abrangem períodos sobrepostos, inclusive posteriores à vigência do TARE </w:t>
      </w:r>
      <w:r w:rsidR="00595EB5" w:rsidRPr="00B13937">
        <w:rPr>
          <w:rFonts w:ascii="Arial" w:hAnsi="Arial" w:cs="Arial"/>
          <w:sz w:val="22"/>
          <w:szCs w:val="22"/>
        </w:rPr>
        <w:t>[...]</w:t>
      </w:r>
      <w:r w:rsidRPr="00B13937">
        <w:rPr>
          <w:rFonts w:ascii="Arial" w:hAnsi="Arial" w:cs="Arial"/>
          <w:sz w:val="22"/>
          <w:szCs w:val="22"/>
        </w:rPr>
        <w:t xml:space="preserve"> e portanto, também alcançados pelo nosso trabalho de conferência contábil (Ex.: Relatórios nºs </w:t>
      </w:r>
      <w:r w:rsidR="00B013D1" w:rsidRPr="00B13937">
        <w:rPr>
          <w:rFonts w:ascii="Arial" w:hAnsi="Arial" w:cs="Arial"/>
          <w:sz w:val="22"/>
          <w:szCs w:val="22"/>
        </w:rPr>
        <w:t>[...]</w:t>
      </w:r>
      <w:r w:rsidRPr="00B13937">
        <w:rPr>
          <w:rFonts w:ascii="Arial" w:hAnsi="Arial" w:cs="Arial"/>
          <w:sz w:val="22"/>
          <w:szCs w:val="22"/>
        </w:rPr>
        <w:t xml:space="preserve">). Desta forma, seria importante que, aproveitando os trabalhos de auditoria já realizados, fosse feita a separação dos valores constantes nestes e em outros relatórios de tal forma que ficasse evidenciado aqueles que efetivamente estão vinculados à exigência do TARE </w:t>
      </w:r>
      <w:r w:rsidR="00595EB5" w:rsidRPr="00B13937">
        <w:rPr>
          <w:rFonts w:ascii="Arial" w:hAnsi="Arial" w:cs="Arial"/>
          <w:sz w:val="22"/>
          <w:szCs w:val="22"/>
        </w:rPr>
        <w:t>[...]</w:t>
      </w:r>
      <w:r w:rsidRPr="00B13937">
        <w:rPr>
          <w:rFonts w:ascii="Arial" w:hAnsi="Arial" w:cs="Arial"/>
          <w:sz w:val="22"/>
          <w:szCs w:val="22"/>
        </w:rPr>
        <w:t xml:space="preserve">. </w:t>
      </w:r>
    </w:p>
    <w:p w14:paraId="1717BAEB" w14:textId="59E8922A" w:rsidR="004F78DD" w:rsidRPr="00B13937" w:rsidRDefault="004F78DD" w:rsidP="00505254">
      <w:pPr>
        <w:ind w:left="2268"/>
        <w:jc w:val="both"/>
        <w:rPr>
          <w:rFonts w:ascii="Arial" w:hAnsi="Arial" w:cs="Arial"/>
          <w:sz w:val="22"/>
          <w:szCs w:val="22"/>
        </w:rPr>
      </w:pPr>
      <w:r w:rsidRPr="00B13937">
        <w:rPr>
          <w:rFonts w:ascii="Arial" w:hAnsi="Arial" w:cs="Arial"/>
          <w:sz w:val="22"/>
          <w:szCs w:val="22"/>
        </w:rPr>
        <w:t xml:space="preserve">Detalhamos abaixo o resultado de nossas conferências junto à Escrituração Contábil Digital (ECD) salientando que nele está considerado o valor relativo ao TARE nº </w:t>
      </w:r>
      <w:r w:rsidR="00595EB5" w:rsidRPr="00B13937">
        <w:rPr>
          <w:rFonts w:ascii="Arial" w:hAnsi="Arial" w:cs="Arial"/>
          <w:sz w:val="22"/>
          <w:szCs w:val="22"/>
        </w:rPr>
        <w:t>[...]</w:t>
      </w:r>
      <w:r w:rsidRPr="00B13937">
        <w:rPr>
          <w:rFonts w:ascii="Arial" w:hAnsi="Arial" w:cs="Arial"/>
          <w:sz w:val="22"/>
          <w:szCs w:val="22"/>
        </w:rPr>
        <w:t>.</w:t>
      </w:r>
    </w:p>
    <w:p w14:paraId="046A7728" w14:textId="77777777" w:rsidR="004F78DD" w:rsidRPr="00B13937" w:rsidRDefault="004F78DD" w:rsidP="00505254">
      <w:pPr>
        <w:ind w:left="2268"/>
        <w:jc w:val="both"/>
        <w:rPr>
          <w:rFonts w:ascii="Arial" w:hAnsi="Arial" w:cs="Arial"/>
          <w:sz w:val="22"/>
          <w:szCs w:val="22"/>
        </w:rPr>
      </w:pPr>
      <w:r w:rsidRPr="00B13937">
        <w:rPr>
          <w:rFonts w:ascii="Arial" w:hAnsi="Arial" w:cs="Arial"/>
          <w:sz w:val="22"/>
          <w:szCs w:val="22"/>
        </w:rPr>
        <w:lastRenderedPageBreak/>
        <w:t>[...].</w:t>
      </w:r>
    </w:p>
    <w:p w14:paraId="0369EC56" w14:textId="17443A33" w:rsidR="004F78DD" w:rsidRPr="0036042A" w:rsidRDefault="004F78DD" w:rsidP="00505254">
      <w:pPr>
        <w:ind w:left="2268"/>
        <w:jc w:val="both"/>
        <w:rPr>
          <w:rFonts w:ascii="Arial" w:hAnsi="Arial" w:cs="Arial"/>
          <w:sz w:val="22"/>
          <w:szCs w:val="22"/>
        </w:rPr>
      </w:pPr>
      <w:r w:rsidRPr="00B13937">
        <w:rPr>
          <w:rFonts w:ascii="Arial" w:hAnsi="Arial" w:cs="Arial"/>
          <w:b/>
          <w:bCs/>
          <w:sz w:val="22"/>
          <w:szCs w:val="22"/>
        </w:rPr>
        <w:t>Retornamos os autos para o Gabinete do Titular da Gerência Especial de Auditoria com sugestão para encaminhamento à Gerência de Controle de Benefícios</w:t>
      </w:r>
      <w:r w:rsidRPr="0068657D">
        <w:rPr>
          <w:rFonts w:ascii="Arial" w:hAnsi="Arial" w:cs="Arial"/>
          <w:b/>
          <w:bCs/>
          <w:sz w:val="22"/>
          <w:szCs w:val="22"/>
        </w:rPr>
        <w:t xml:space="preserve"> e Incentivos Fiscais – GCIF para as verificações complementares</w:t>
      </w:r>
      <w:r w:rsidRPr="0036042A">
        <w:rPr>
          <w:rFonts w:ascii="Arial" w:hAnsi="Arial" w:cs="Arial"/>
          <w:sz w:val="22"/>
          <w:szCs w:val="22"/>
        </w:rPr>
        <w:t xml:space="preserve">. Enquanto não se conclui todas as análises pertinentes ao presente objeto, entendemos que devem permanecer suspensos os </w:t>
      </w:r>
      <w:r w:rsidRPr="00706FD4">
        <w:rPr>
          <w:rFonts w:ascii="Arial" w:hAnsi="Arial" w:cs="Arial"/>
          <w:sz w:val="22"/>
          <w:szCs w:val="22"/>
        </w:rPr>
        <w:t>requerimentos para transferência de crédito constantes nos processos mencionados no início deste despacho. (</w:t>
      </w:r>
      <w:r w:rsidRPr="0036042A">
        <w:rPr>
          <w:rFonts w:ascii="Arial" w:hAnsi="Arial" w:cs="Arial"/>
          <w:sz w:val="22"/>
          <w:szCs w:val="22"/>
        </w:rPr>
        <w:t>Ofício nº 2.500/2019-Economia, p. 747/750</w:t>
      </w:r>
      <w:r w:rsidR="0068657D">
        <w:rPr>
          <w:rFonts w:ascii="Arial" w:hAnsi="Arial" w:cs="Arial"/>
          <w:sz w:val="22"/>
          <w:szCs w:val="22"/>
        </w:rPr>
        <w:t>, grifou-se</w:t>
      </w:r>
      <w:r w:rsidRPr="0036042A">
        <w:rPr>
          <w:rFonts w:ascii="Arial" w:hAnsi="Arial" w:cs="Arial"/>
          <w:sz w:val="22"/>
          <w:szCs w:val="22"/>
        </w:rPr>
        <w:t>)</w:t>
      </w:r>
    </w:p>
    <w:p w14:paraId="119C5891" w14:textId="77777777" w:rsidR="004F78DD" w:rsidRDefault="004F78DD" w:rsidP="004F78DD">
      <w:pPr>
        <w:spacing w:line="360" w:lineRule="auto"/>
        <w:ind w:firstLine="851"/>
        <w:jc w:val="both"/>
        <w:rPr>
          <w:rFonts w:ascii="Arial" w:hAnsi="Arial" w:cs="Arial"/>
          <w:sz w:val="24"/>
          <w:szCs w:val="24"/>
        </w:rPr>
      </w:pPr>
    </w:p>
    <w:p w14:paraId="57649DA6" w14:textId="095B3441" w:rsidR="009B6798" w:rsidRDefault="009B6798" w:rsidP="009B6798">
      <w:pPr>
        <w:spacing w:line="360" w:lineRule="auto"/>
        <w:ind w:firstLine="851"/>
        <w:jc w:val="both"/>
        <w:rPr>
          <w:rFonts w:ascii="Arial" w:hAnsi="Arial" w:cs="Arial"/>
          <w:sz w:val="24"/>
          <w:szCs w:val="24"/>
        </w:rPr>
      </w:pPr>
      <w:r>
        <w:rPr>
          <w:rFonts w:ascii="Arial" w:hAnsi="Arial" w:cs="Arial"/>
          <w:sz w:val="24"/>
          <w:szCs w:val="24"/>
        </w:rPr>
        <w:t xml:space="preserve">Após apurar todos os valores </w:t>
      </w:r>
      <w:r w:rsidRPr="00914DC7">
        <w:rPr>
          <w:rFonts w:ascii="Arial" w:hAnsi="Arial" w:cs="Arial"/>
          <w:sz w:val="24"/>
          <w:szCs w:val="24"/>
        </w:rPr>
        <w:t>conferências junto à Escrituração Contábil Digital</w:t>
      </w:r>
      <w:r>
        <w:rPr>
          <w:rFonts w:ascii="Arial" w:hAnsi="Arial" w:cs="Arial"/>
          <w:sz w:val="24"/>
          <w:szCs w:val="24"/>
        </w:rPr>
        <w:t xml:space="preserve"> </w:t>
      </w:r>
      <w:r w:rsidRPr="00914DC7">
        <w:rPr>
          <w:rFonts w:ascii="Arial" w:hAnsi="Arial" w:cs="Arial"/>
          <w:sz w:val="24"/>
          <w:szCs w:val="24"/>
        </w:rPr>
        <w:t>(ECD)</w:t>
      </w:r>
      <w:r>
        <w:rPr>
          <w:rFonts w:ascii="Arial" w:hAnsi="Arial" w:cs="Arial"/>
          <w:sz w:val="24"/>
          <w:szCs w:val="24"/>
        </w:rPr>
        <w:t xml:space="preserve"> da empresa, </w:t>
      </w:r>
      <w:r w:rsidRPr="007579D1">
        <w:rPr>
          <w:rFonts w:ascii="Arial" w:hAnsi="Arial" w:cs="Arial"/>
          <w:sz w:val="24"/>
          <w:szCs w:val="24"/>
          <w:u w:val="single"/>
        </w:rPr>
        <w:t>o auditor fiscal responsável conclui pel</w:t>
      </w:r>
      <w:r w:rsidR="00595EB5">
        <w:rPr>
          <w:rFonts w:ascii="Arial" w:hAnsi="Arial" w:cs="Arial"/>
          <w:sz w:val="24"/>
          <w:szCs w:val="24"/>
          <w:u w:val="single"/>
        </w:rPr>
        <w:t>a comprovação de pouco mais que o mínimo necessário a título de investimentos</w:t>
      </w:r>
      <w:r>
        <w:rPr>
          <w:rFonts w:ascii="Arial" w:hAnsi="Arial" w:cs="Arial"/>
          <w:sz w:val="24"/>
          <w:szCs w:val="24"/>
        </w:rPr>
        <w:t xml:space="preserve">, </w:t>
      </w:r>
      <w:r w:rsidRPr="00595EB5">
        <w:rPr>
          <w:rFonts w:ascii="Arial" w:hAnsi="Arial" w:cs="Arial"/>
          <w:sz w:val="24"/>
          <w:szCs w:val="24"/>
        </w:rPr>
        <w:t>mas recomenda o encaminhamento à Gerência de Controle de Benefícios e Incentivos Fiscais – GCIF para as verificações complementares e que, enquanto não concluídas</w:t>
      </w:r>
      <w:r w:rsidRPr="000534C5">
        <w:rPr>
          <w:rFonts w:ascii="Arial" w:hAnsi="Arial" w:cs="Arial"/>
          <w:sz w:val="24"/>
          <w:szCs w:val="24"/>
        </w:rPr>
        <w:t xml:space="preserve"> todas as análises</w:t>
      </w:r>
      <w:r>
        <w:rPr>
          <w:rFonts w:ascii="Arial" w:hAnsi="Arial" w:cs="Arial"/>
          <w:sz w:val="24"/>
          <w:szCs w:val="24"/>
        </w:rPr>
        <w:t xml:space="preserve"> </w:t>
      </w:r>
      <w:r w:rsidRPr="000534C5">
        <w:rPr>
          <w:rFonts w:ascii="Arial" w:hAnsi="Arial" w:cs="Arial"/>
          <w:sz w:val="24"/>
          <w:szCs w:val="24"/>
        </w:rPr>
        <w:t xml:space="preserve">pertinentes ao presente objeto, </w:t>
      </w:r>
      <w:r>
        <w:rPr>
          <w:rFonts w:ascii="Arial" w:hAnsi="Arial" w:cs="Arial"/>
          <w:sz w:val="24"/>
          <w:szCs w:val="24"/>
        </w:rPr>
        <w:t>permaneçam</w:t>
      </w:r>
      <w:r w:rsidRPr="000534C5">
        <w:rPr>
          <w:rFonts w:ascii="Arial" w:hAnsi="Arial" w:cs="Arial"/>
          <w:sz w:val="24"/>
          <w:szCs w:val="24"/>
        </w:rPr>
        <w:t xml:space="preserve"> suspensos os</w:t>
      </w:r>
      <w:r>
        <w:rPr>
          <w:rFonts w:ascii="Arial" w:hAnsi="Arial" w:cs="Arial"/>
          <w:sz w:val="24"/>
          <w:szCs w:val="24"/>
        </w:rPr>
        <w:t xml:space="preserve"> </w:t>
      </w:r>
      <w:r w:rsidRPr="000534C5">
        <w:rPr>
          <w:rFonts w:ascii="Arial" w:hAnsi="Arial" w:cs="Arial"/>
          <w:sz w:val="24"/>
          <w:szCs w:val="24"/>
        </w:rPr>
        <w:t>requerimentos para transferência de crédito constantes nos processos mencionados no início</w:t>
      </w:r>
      <w:r>
        <w:rPr>
          <w:rFonts w:ascii="Arial" w:hAnsi="Arial" w:cs="Arial"/>
          <w:sz w:val="24"/>
          <w:szCs w:val="24"/>
        </w:rPr>
        <w:t xml:space="preserve"> do</w:t>
      </w:r>
      <w:r w:rsidRPr="000534C5">
        <w:rPr>
          <w:rFonts w:ascii="Arial" w:hAnsi="Arial" w:cs="Arial"/>
          <w:sz w:val="24"/>
          <w:szCs w:val="24"/>
        </w:rPr>
        <w:t xml:space="preserve"> despacho</w:t>
      </w:r>
      <w:r>
        <w:rPr>
          <w:rFonts w:ascii="Arial" w:hAnsi="Arial" w:cs="Arial"/>
          <w:sz w:val="24"/>
          <w:szCs w:val="24"/>
        </w:rPr>
        <w:t>.</w:t>
      </w:r>
    </w:p>
    <w:p w14:paraId="1DC30903" w14:textId="77B4CD52" w:rsidR="004F78DD" w:rsidRPr="00712E73" w:rsidRDefault="004F78DD" w:rsidP="00E308C1">
      <w:pPr>
        <w:spacing w:line="360" w:lineRule="auto"/>
        <w:ind w:firstLine="851"/>
        <w:jc w:val="both"/>
        <w:rPr>
          <w:rFonts w:ascii="Arial" w:hAnsi="Arial" w:cs="Arial"/>
          <w:sz w:val="24"/>
          <w:szCs w:val="24"/>
        </w:rPr>
      </w:pPr>
      <w:r>
        <w:rPr>
          <w:rFonts w:ascii="Arial" w:hAnsi="Arial" w:cs="Arial"/>
          <w:sz w:val="24"/>
          <w:szCs w:val="24"/>
        </w:rPr>
        <w:t xml:space="preserve">A seguir, o processo segue com uma enorme tabela que relaciona um resumo das notas fiscais comprobatórias do investimento realizado, contendo data, nome do fornecedor, objeto da nota e respectivo valor, num total de quase </w:t>
      </w:r>
      <w:r w:rsidR="00C12391">
        <w:rPr>
          <w:rFonts w:ascii="Arial" w:hAnsi="Arial" w:cs="Arial"/>
          <w:sz w:val="24"/>
          <w:szCs w:val="24"/>
        </w:rPr>
        <w:t>1.000 (</w:t>
      </w:r>
      <w:r>
        <w:rPr>
          <w:rFonts w:ascii="Arial" w:hAnsi="Arial" w:cs="Arial"/>
          <w:sz w:val="24"/>
          <w:szCs w:val="24"/>
        </w:rPr>
        <w:t>mil</w:t>
      </w:r>
      <w:r w:rsidR="00C12391">
        <w:rPr>
          <w:rFonts w:ascii="Arial" w:hAnsi="Arial" w:cs="Arial"/>
          <w:sz w:val="24"/>
          <w:szCs w:val="24"/>
        </w:rPr>
        <w:t>)</w:t>
      </w:r>
      <w:r>
        <w:rPr>
          <w:rFonts w:ascii="Arial" w:hAnsi="Arial" w:cs="Arial"/>
          <w:sz w:val="24"/>
          <w:szCs w:val="24"/>
        </w:rPr>
        <w:t xml:space="preserve"> páginas (</w:t>
      </w:r>
      <w:r w:rsidRPr="002F21FB">
        <w:rPr>
          <w:rFonts w:ascii="Arial" w:hAnsi="Arial" w:cs="Arial"/>
          <w:sz w:val="24"/>
          <w:szCs w:val="24"/>
        </w:rPr>
        <w:t>Ofício nº 2</w:t>
      </w:r>
      <w:r>
        <w:rPr>
          <w:rFonts w:ascii="Arial" w:hAnsi="Arial" w:cs="Arial"/>
          <w:sz w:val="24"/>
          <w:szCs w:val="24"/>
        </w:rPr>
        <w:t xml:space="preserve">.500/2019-Economia, p. 751/1604), além de outras tabelas com resumo de </w:t>
      </w:r>
      <w:r w:rsidRPr="0072312A">
        <w:rPr>
          <w:rFonts w:ascii="Arial" w:hAnsi="Arial" w:cs="Arial"/>
          <w:sz w:val="24"/>
          <w:szCs w:val="24"/>
        </w:rPr>
        <w:t>gastos</w:t>
      </w:r>
      <w:r>
        <w:rPr>
          <w:rFonts w:ascii="Arial" w:hAnsi="Arial" w:cs="Arial"/>
          <w:sz w:val="24"/>
          <w:szCs w:val="24"/>
        </w:rPr>
        <w:t xml:space="preserve"> que juntas perfazem quase </w:t>
      </w:r>
      <w:r w:rsidR="00C12391">
        <w:rPr>
          <w:rFonts w:ascii="Arial" w:hAnsi="Arial" w:cs="Arial"/>
          <w:sz w:val="24"/>
          <w:szCs w:val="24"/>
        </w:rPr>
        <w:t>500 (</w:t>
      </w:r>
      <w:r>
        <w:rPr>
          <w:rFonts w:ascii="Arial" w:hAnsi="Arial" w:cs="Arial"/>
          <w:sz w:val="24"/>
          <w:szCs w:val="24"/>
        </w:rPr>
        <w:t>quinhentas</w:t>
      </w:r>
      <w:r w:rsidR="00C12391">
        <w:rPr>
          <w:rFonts w:ascii="Arial" w:hAnsi="Arial" w:cs="Arial"/>
          <w:sz w:val="24"/>
          <w:szCs w:val="24"/>
        </w:rPr>
        <w:t>)</w:t>
      </w:r>
      <w:r>
        <w:rPr>
          <w:rFonts w:ascii="Arial" w:hAnsi="Arial" w:cs="Arial"/>
          <w:sz w:val="24"/>
          <w:szCs w:val="24"/>
        </w:rPr>
        <w:t xml:space="preserve"> páginas,</w:t>
      </w:r>
      <w:r w:rsidRPr="0072312A">
        <w:rPr>
          <w:rFonts w:ascii="Arial" w:hAnsi="Arial" w:cs="Arial"/>
          <w:sz w:val="24"/>
          <w:szCs w:val="24"/>
        </w:rPr>
        <w:t xml:space="preserve"> com</w:t>
      </w:r>
      <w:r>
        <w:rPr>
          <w:rFonts w:ascii="Arial" w:hAnsi="Arial" w:cs="Arial"/>
          <w:sz w:val="24"/>
          <w:szCs w:val="24"/>
        </w:rPr>
        <w:t xml:space="preserve"> especificação de notas relativas </w:t>
      </w:r>
      <w:r w:rsidRPr="00E308C1">
        <w:rPr>
          <w:rFonts w:ascii="Arial" w:hAnsi="Arial" w:cs="Arial"/>
          <w:sz w:val="24"/>
          <w:szCs w:val="24"/>
        </w:rPr>
        <w:t>a:</w:t>
      </w:r>
      <w:r w:rsidR="00E308C1" w:rsidRPr="00E308C1">
        <w:rPr>
          <w:rFonts w:ascii="Arial" w:hAnsi="Arial" w:cs="Arial"/>
          <w:sz w:val="24"/>
          <w:szCs w:val="24"/>
        </w:rPr>
        <w:t xml:space="preserve"> a) </w:t>
      </w:r>
      <w:r w:rsidRPr="00E308C1">
        <w:rPr>
          <w:rFonts w:ascii="Arial" w:hAnsi="Arial" w:cs="Arial"/>
          <w:sz w:val="24"/>
          <w:szCs w:val="24"/>
        </w:rPr>
        <w:t>pesquisa e desenvolvimento (Ofício nº 2.500/2019-Economia, p. 1606/1991);</w:t>
      </w:r>
      <w:r w:rsidR="00E308C1" w:rsidRPr="00E308C1">
        <w:rPr>
          <w:rFonts w:ascii="Arial" w:hAnsi="Arial" w:cs="Arial"/>
          <w:sz w:val="24"/>
          <w:szCs w:val="24"/>
        </w:rPr>
        <w:t xml:space="preserve"> b) </w:t>
      </w:r>
      <w:r w:rsidRPr="00E308C1">
        <w:rPr>
          <w:rFonts w:ascii="Arial" w:hAnsi="Arial" w:cs="Arial"/>
          <w:sz w:val="24"/>
          <w:szCs w:val="24"/>
        </w:rPr>
        <w:t>publicidade e propaganda (Ofício nº 2.5</w:t>
      </w:r>
      <w:r w:rsidR="00E308C1" w:rsidRPr="00E308C1">
        <w:rPr>
          <w:rFonts w:ascii="Arial" w:hAnsi="Arial" w:cs="Arial"/>
          <w:sz w:val="24"/>
          <w:szCs w:val="24"/>
        </w:rPr>
        <w:t>00/2019-Economia, p. 1992/2076).</w:t>
      </w:r>
    </w:p>
    <w:p w14:paraId="19204191" w14:textId="77EA191B" w:rsidR="009B6798" w:rsidRPr="00550941" w:rsidRDefault="009B6798" w:rsidP="007579D1">
      <w:pPr>
        <w:spacing w:line="360" w:lineRule="auto"/>
        <w:ind w:firstLine="851"/>
        <w:jc w:val="both"/>
        <w:rPr>
          <w:rFonts w:ascii="Arial" w:hAnsi="Arial" w:cs="Arial"/>
          <w:sz w:val="24"/>
          <w:szCs w:val="24"/>
        </w:rPr>
      </w:pPr>
      <w:r w:rsidRPr="00354383">
        <w:rPr>
          <w:rFonts w:ascii="Arial" w:hAnsi="Arial" w:cs="Arial"/>
          <w:sz w:val="24"/>
          <w:szCs w:val="24"/>
          <w:u w:val="single"/>
        </w:rPr>
        <w:t>Por fim,</w:t>
      </w:r>
      <w:r w:rsidR="00550941" w:rsidRPr="00354383">
        <w:rPr>
          <w:rFonts w:ascii="Arial" w:hAnsi="Arial" w:cs="Arial"/>
          <w:sz w:val="24"/>
          <w:szCs w:val="24"/>
          <w:u w:val="single"/>
        </w:rPr>
        <w:t xml:space="preserve"> em vez de o processo seguir para Gerência de Controle de Benefícios e Incentivos Fiscais para “verificações complementares”</w:t>
      </w:r>
      <w:r w:rsidR="00550941">
        <w:rPr>
          <w:rFonts w:ascii="Arial" w:hAnsi="Arial" w:cs="Arial"/>
          <w:sz w:val="24"/>
          <w:szCs w:val="24"/>
        </w:rPr>
        <w:t xml:space="preserve">, conforme orientado pelo auditor </w:t>
      </w:r>
      <w:r w:rsidR="00F1564B">
        <w:rPr>
          <w:rFonts w:ascii="Arial" w:hAnsi="Arial" w:cs="Arial"/>
          <w:sz w:val="24"/>
          <w:szCs w:val="24"/>
        </w:rPr>
        <w:t xml:space="preserve">fiscal </w:t>
      </w:r>
      <w:r w:rsidR="00550941">
        <w:rPr>
          <w:rFonts w:ascii="Arial" w:hAnsi="Arial" w:cs="Arial"/>
          <w:sz w:val="24"/>
          <w:szCs w:val="24"/>
        </w:rPr>
        <w:t>do Grupo Especial de Auditoria Tributária</w:t>
      </w:r>
      <w:r w:rsidR="00F1564B">
        <w:rPr>
          <w:rFonts w:ascii="Arial" w:hAnsi="Arial" w:cs="Arial"/>
          <w:sz w:val="24"/>
          <w:szCs w:val="24"/>
        </w:rPr>
        <w:t xml:space="preserve"> que atuara no feito</w:t>
      </w:r>
      <w:r w:rsidR="00550941">
        <w:rPr>
          <w:rFonts w:ascii="Arial" w:hAnsi="Arial" w:cs="Arial"/>
          <w:sz w:val="24"/>
          <w:szCs w:val="24"/>
        </w:rPr>
        <w:t>,</w:t>
      </w:r>
      <w:r>
        <w:rPr>
          <w:rFonts w:ascii="Arial" w:hAnsi="Arial" w:cs="Arial"/>
          <w:sz w:val="24"/>
          <w:szCs w:val="24"/>
        </w:rPr>
        <w:t xml:space="preserve"> a última informação que</w:t>
      </w:r>
      <w:r w:rsidR="00550941">
        <w:rPr>
          <w:rFonts w:ascii="Arial" w:hAnsi="Arial" w:cs="Arial"/>
          <w:sz w:val="24"/>
          <w:szCs w:val="24"/>
        </w:rPr>
        <w:t xml:space="preserve"> chegou a esta CPI</w:t>
      </w:r>
      <w:r>
        <w:rPr>
          <w:rFonts w:ascii="Arial" w:hAnsi="Arial" w:cs="Arial"/>
          <w:sz w:val="24"/>
          <w:szCs w:val="24"/>
        </w:rPr>
        <w:t xml:space="preserve"> é </w:t>
      </w:r>
      <w:r w:rsidR="003C0692">
        <w:rPr>
          <w:rFonts w:ascii="Arial" w:hAnsi="Arial" w:cs="Arial"/>
          <w:sz w:val="24"/>
          <w:szCs w:val="24"/>
        </w:rPr>
        <w:t xml:space="preserve">que </w:t>
      </w:r>
      <w:r w:rsidR="00A27A12">
        <w:rPr>
          <w:rFonts w:ascii="Arial" w:hAnsi="Arial" w:cs="Arial"/>
          <w:sz w:val="24"/>
          <w:szCs w:val="24"/>
        </w:rPr>
        <w:t>o processo</w:t>
      </w:r>
      <w:r w:rsidR="00354383">
        <w:rPr>
          <w:rFonts w:ascii="Arial" w:hAnsi="Arial" w:cs="Arial"/>
          <w:sz w:val="24"/>
          <w:szCs w:val="24"/>
        </w:rPr>
        <w:t>, no dia seguinte,</w:t>
      </w:r>
      <w:r w:rsidR="00550941">
        <w:rPr>
          <w:rFonts w:ascii="Arial" w:hAnsi="Arial" w:cs="Arial"/>
          <w:sz w:val="24"/>
          <w:szCs w:val="24"/>
        </w:rPr>
        <w:t xml:space="preserve"> </w:t>
      </w:r>
      <w:r w:rsidR="00550941" w:rsidRPr="00354383">
        <w:rPr>
          <w:rFonts w:ascii="Arial" w:hAnsi="Arial" w:cs="Arial"/>
          <w:sz w:val="24"/>
          <w:szCs w:val="24"/>
          <w:u w:val="single"/>
        </w:rPr>
        <w:t xml:space="preserve">aportou à Gerência de Auditoria de Indústria e Atacado para </w:t>
      </w:r>
      <w:r w:rsidR="00F1564B">
        <w:rPr>
          <w:rFonts w:ascii="Arial" w:hAnsi="Arial" w:cs="Arial"/>
          <w:sz w:val="24"/>
          <w:szCs w:val="24"/>
          <w:u w:val="single"/>
        </w:rPr>
        <w:t>“</w:t>
      </w:r>
      <w:r w:rsidR="00550941" w:rsidRPr="00354383">
        <w:rPr>
          <w:rFonts w:ascii="Arial" w:hAnsi="Arial" w:cs="Arial"/>
          <w:sz w:val="24"/>
          <w:szCs w:val="24"/>
          <w:u w:val="single"/>
        </w:rPr>
        <w:t>adoção das providências estritamente fiscais cabíveis</w:t>
      </w:r>
      <w:r w:rsidR="00F1564B">
        <w:rPr>
          <w:rFonts w:ascii="Arial" w:hAnsi="Arial" w:cs="Arial"/>
          <w:sz w:val="24"/>
          <w:szCs w:val="24"/>
          <w:u w:val="single"/>
        </w:rPr>
        <w:t>”</w:t>
      </w:r>
      <w:r w:rsidR="00550941" w:rsidRPr="00550941">
        <w:rPr>
          <w:rFonts w:ascii="Arial" w:hAnsi="Arial" w:cs="Arial"/>
          <w:sz w:val="24"/>
          <w:szCs w:val="24"/>
        </w:rPr>
        <w:t xml:space="preserve"> (Ofício nº 2.500/2019-Economia, p. 2077)</w:t>
      </w:r>
      <w:r w:rsidR="00354383">
        <w:rPr>
          <w:rFonts w:ascii="Arial" w:hAnsi="Arial" w:cs="Arial"/>
          <w:sz w:val="24"/>
          <w:szCs w:val="24"/>
        </w:rPr>
        <w:t>, o que seria desnecessário, porque a análise fiscal já fora feita pelo auditor competente</w:t>
      </w:r>
      <w:r w:rsidR="00E308C1">
        <w:rPr>
          <w:rFonts w:ascii="Arial" w:hAnsi="Arial" w:cs="Arial"/>
          <w:sz w:val="24"/>
          <w:szCs w:val="24"/>
        </w:rPr>
        <w:t>,</w:t>
      </w:r>
      <w:r w:rsidR="0036042A">
        <w:rPr>
          <w:rFonts w:ascii="Arial" w:hAnsi="Arial" w:cs="Arial"/>
          <w:sz w:val="24"/>
          <w:szCs w:val="24"/>
        </w:rPr>
        <w:t xml:space="preserve"> </w:t>
      </w:r>
      <w:r w:rsidR="00F1564B">
        <w:rPr>
          <w:rFonts w:ascii="Arial" w:hAnsi="Arial" w:cs="Arial"/>
          <w:sz w:val="24"/>
          <w:szCs w:val="24"/>
        </w:rPr>
        <w:t>o qual fris</w:t>
      </w:r>
      <w:r w:rsidR="00E308C1">
        <w:rPr>
          <w:rFonts w:ascii="Arial" w:hAnsi="Arial" w:cs="Arial"/>
          <w:sz w:val="24"/>
          <w:szCs w:val="24"/>
        </w:rPr>
        <w:t>ara</w:t>
      </w:r>
      <w:r w:rsidR="00F1564B">
        <w:rPr>
          <w:rFonts w:ascii="Arial" w:hAnsi="Arial" w:cs="Arial"/>
          <w:sz w:val="24"/>
          <w:szCs w:val="24"/>
        </w:rPr>
        <w:t xml:space="preserve"> a necessidade de</w:t>
      </w:r>
      <w:r w:rsidR="0036042A">
        <w:rPr>
          <w:rFonts w:ascii="Arial" w:hAnsi="Arial" w:cs="Arial"/>
          <w:sz w:val="24"/>
          <w:szCs w:val="24"/>
        </w:rPr>
        <w:t xml:space="preserve"> “verificações complementares”</w:t>
      </w:r>
      <w:r w:rsidR="00F1564B">
        <w:rPr>
          <w:rFonts w:ascii="Arial" w:hAnsi="Arial" w:cs="Arial"/>
          <w:sz w:val="24"/>
          <w:szCs w:val="24"/>
        </w:rPr>
        <w:t>, evidentemente, quanto aos demais aspectos não fiscais.</w:t>
      </w:r>
    </w:p>
    <w:p w14:paraId="0FE2862E" w14:textId="6FF4F9DD" w:rsidR="007579D1" w:rsidRPr="00FE6B2C" w:rsidRDefault="007579D1" w:rsidP="007579D1">
      <w:pPr>
        <w:spacing w:line="360" w:lineRule="auto"/>
        <w:ind w:firstLine="851"/>
        <w:jc w:val="both"/>
        <w:rPr>
          <w:rFonts w:ascii="Arial" w:hAnsi="Arial" w:cs="Arial"/>
          <w:sz w:val="24"/>
          <w:szCs w:val="24"/>
        </w:rPr>
      </w:pPr>
      <w:r w:rsidRPr="00FE6B2C">
        <w:rPr>
          <w:rFonts w:ascii="Arial" w:hAnsi="Arial" w:cs="Arial"/>
          <w:sz w:val="24"/>
          <w:szCs w:val="24"/>
        </w:rPr>
        <w:t xml:space="preserve">Interessante observar que </w:t>
      </w:r>
      <w:r w:rsidR="00F1564B">
        <w:rPr>
          <w:rFonts w:ascii="Arial" w:hAnsi="Arial" w:cs="Arial"/>
          <w:sz w:val="24"/>
          <w:szCs w:val="24"/>
        </w:rPr>
        <w:t>tem havido uma prevalência da</w:t>
      </w:r>
      <w:r w:rsidR="00E308C1">
        <w:rPr>
          <w:rFonts w:ascii="Arial" w:hAnsi="Arial" w:cs="Arial"/>
          <w:sz w:val="24"/>
          <w:szCs w:val="24"/>
        </w:rPr>
        <w:t>s manifestações da</w:t>
      </w:r>
      <w:r w:rsidR="00F1564B">
        <w:rPr>
          <w:rFonts w:ascii="Arial" w:hAnsi="Arial" w:cs="Arial"/>
          <w:sz w:val="24"/>
          <w:szCs w:val="24"/>
        </w:rPr>
        <w:t xml:space="preserve"> G</w:t>
      </w:r>
      <w:r w:rsidRPr="00FE6B2C">
        <w:rPr>
          <w:rFonts w:ascii="Arial" w:hAnsi="Arial" w:cs="Arial"/>
          <w:sz w:val="24"/>
          <w:szCs w:val="24"/>
        </w:rPr>
        <w:t>erência de Auditoria de Indústria e Atacado</w:t>
      </w:r>
      <w:r w:rsidR="00F1564B">
        <w:rPr>
          <w:rFonts w:ascii="Arial" w:hAnsi="Arial" w:cs="Arial"/>
          <w:sz w:val="24"/>
          <w:szCs w:val="24"/>
        </w:rPr>
        <w:t xml:space="preserve"> na realização das auditorias</w:t>
      </w:r>
      <w:r w:rsidRPr="00FE6B2C">
        <w:rPr>
          <w:rFonts w:ascii="Arial" w:hAnsi="Arial" w:cs="Arial"/>
          <w:sz w:val="24"/>
          <w:szCs w:val="24"/>
        </w:rPr>
        <w:t xml:space="preserve">, </w:t>
      </w:r>
      <w:r w:rsidR="00F1564B">
        <w:rPr>
          <w:rFonts w:ascii="Arial" w:hAnsi="Arial" w:cs="Arial"/>
          <w:sz w:val="24"/>
          <w:szCs w:val="24"/>
        </w:rPr>
        <w:t>mesmo esta advertindo expressamente que se limita</w:t>
      </w:r>
      <w:r w:rsidR="00F53338">
        <w:rPr>
          <w:rFonts w:ascii="Arial" w:hAnsi="Arial" w:cs="Arial"/>
          <w:sz w:val="24"/>
          <w:szCs w:val="24"/>
        </w:rPr>
        <w:t>ria</w:t>
      </w:r>
      <w:r w:rsidR="00F1564B">
        <w:rPr>
          <w:rFonts w:ascii="Arial" w:hAnsi="Arial" w:cs="Arial"/>
          <w:sz w:val="24"/>
          <w:szCs w:val="24"/>
        </w:rPr>
        <w:t xml:space="preserve"> a fazê-las sob o aspecto exclusivamente </w:t>
      </w:r>
      <w:r w:rsidR="00F1564B">
        <w:rPr>
          <w:rFonts w:ascii="Arial" w:hAnsi="Arial" w:cs="Arial"/>
          <w:sz w:val="24"/>
          <w:szCs w:val="24"/>
        </w:rPr>
        <w:lastRenderedPageBreak/>
        <w:t xml:space="preserve">fiscal, bem como um esquivo por parte </w:t>
      </w:r>
      <w:r w:rsidRPr="00FE6B2C">
        <w:rPr>
          <w:rFonts w:ascii="Arial" w:hAnsi="Arial" w:cs="Arial"/>
          <w:sz w:val="24"/>
          <w:szCs w:val="24"/>
        </w:rPr>
        <w:t>da Gerência de Controle de B</w:t>
      </w:r>
      <w:r w:rsidR="00D334FE">
        <w:rPr>
          <w:rFonts w:ascii="Arial" w:hAnsi="Arial" w:cs="Arial"/>
          <w:sz w:val="24"/>
          <w:szCs w:val="24"/>
        </w:rPr>
        <w:t>enefícios e Incentivos Fiscais.</w:t>
      </w:r>
    </w:p>
    <w:p w14:paraId="004249CA" w14:textId="09FE6946" w:rsidR="007579D1" w:rsidRPr="00FE6B2C" w:rsidRDefault="007579D1" w:rsidP="007579D1">
      <w:pPr>
        <w:spacing w:line="360" w:lineRule="auto"/>
        <w:ind w:firstLine="851"/>
        <w:jc w:val="both"/>
        <w:rPr>
          <w:rFonts w:ascii="Arial" w:hAnsi="Arial" w:cs="Arial"/>
          <w:sz w:val="24"/>
          <w:szCs w:val="24"/>
        </w:rPr>
      </w:pPr>
      <w:r w:rsidRPr="00FE6B2C">
        <w:rPr>
          <w:rFonts w:ascii="Arial" w:hAnsi="Arial" w:cs="Arial"/>
          <w:sz w:val="24"/>
          <w:szCs w:val="24"/>
          <w:u w:val="single"/>
        </w:rPr>
        <w:t>Aqui se percebe novamente o impasse entre as mencionadas gerências no tocante às respectivas competências para auditar os investimentos das empresas que fruem créditos outorgados de ICMS</w:t>
      </w:r>
      <w:r w:rsidRPr="00FE6B2C">
        <w:rPr>
          <w:rFonts w:ascii="Arial" w:hAnsi="Arial" w:cs="Arial"/>
          <w:sz w:val="24"/>
          <w:szCs w:val="24"/>
        </w:rPr>
        <w:t xml:space="preserve">, visto que a Gerência de Auditoria de Indústria e Atacado insiste ser atribuição da Gerência de Controle de Benefícios e Incentivos Fiscais, por possuir mais </w:t>
      </w:r>
      <w:r w:rsidRPr="00FE6B2C">
        <w:rPr>
          <w:rFonts w:ascii="Arial" w:hAnsi="Arial" w:cs="Arial"/>
          <w:i/>
          <w:iCs/>
          <w:sz w:val="24"/>
          <w:szCs w:val="24"/>
        </w:rPr>
        <w:t>expertise</w:t>
      </w:r>
      <w:r w:rsidRPr="00FE6B2C">
        <w:rPr>
          <w:rFonts w:ascii="Arial" w:hAnsi="Arial" w:cs="Arial"/>
          <w:sz w:val="24"/>
          <w:szCs w:val="24"/>
        </w:rPr>
        <w:t xml:space="preserve">, e esta, por sua vez, argumenta que sua competência e seu quadro de pessoal </w:t>
      </w:r>
      <w:r w:rsidR="00925131">
        <w:rPr>
          <w:rFonts w:ascii="Arial" w:hAnsi="Arial" w:cs="Arial"/>
          <w:sz w:val="24"/>
          <w:szCs w:val="24"/>
        </w:rPr>
        <w:t>são</w:t>
      </w:r>
      <w:r w:rsidRPr="00FE6B2C">
        <w:rPr>
          <w:rFonts w:ascii="Arial" w:hAnsi="Arial" w:cs="Arial"/>
          <w:sz w:val="24"/>
          <w:szCs w:val="24"/>
        </w:rPr>
        <w:t xml:space="preserve"> limitado</w:t>
      </w:r>
      <w:r w:rsidR="00925131">
        <w:rPr>
          <w:rFonts w:ascii="Arial" w:hAnsi="Arial" w:cs="Arial"/>
          <w:sz w:val="24"/>
          <w:szCs w:val="24"/>
        </w:rPr>
        <w:t>s</w:t>
      </w:r>
      <w:r w:rsidRPr="00FE6B2C">
        <w:rPr>
          <w:rFonts w:ascii="Arial" w:hAnsi="Arial" w:cs="Arial"/>
          <w:sz w:val="24"/>
          <w:szCs w:val="24"/>
        </w:rPr>
        <w:t xml:space="preserve"> e</w:t>
      </w:r>
      <w:r w:rsidR="00925131">
        <w:rPr>
          <w:rFonts w:ascii="Arial" w:hAnsi="Arial" w:cs="Arial"/>
          <w:sz w:val="24"/>
          <w:szCs w:val="24"/>
        </w:rPr>
        <w:t>,</w:t>
      </w:r>
      <w:r w:rsidRPr="00FE6B2C">
        <w:rPr>
          <w:rFonts w:ascii="Arial" w:hAnsi="Arial" w:cs="Arial"/>
          <w:sz w:val="24"/>
          <w:szCs w:val="24"/>
        </w:rPr>
        <w:t xml:space="preserve"> assim</w:t>
      </w:r>
      <w:r w:rsidR="00925131">
        <w:rPr>
          <w:rFonts w:ascii="Arial" w:hAnsi="Arial" w:cs="Arial"/>
          <w:sz w:val="24"/>
          <w:szCs w:val="24"/>
        </w:rPr>
        <w:t>,</w:t>
      </w:r>
      <w:r w:rsidRPr="00FE6B2C">
        <w:rPr>
          <w:rFonts w:ascii="Arial" w:hAnsi="Arial" w:cs="Arial"/>
          <w:sz w:val="24"/>
          <w:szCs w:val="24"/>
        </w:rPr>
        <w:t xml:space="preserve"> a </w:t>
      </w:r>
      <w:r w:rsidR="00925131">
        <w:rPr>
          <w:rFonts w:ascii="Arial" w:hAnsi="Arial" w:cs="Arial"/>
          <w:sz w:val="24"/>
          <w:szCs w:val="24"/>
        </w:rPr>
        <w:t>atribuição</w:t>
      </w:r>
      <w:r w:rsidRPr="00FE6B2C">
        <w:rPr>
          <w:rFonts w:ascii="Arial" w:hAnsi="Arial" w:cs="Arial"/>
          <w:sz w:val="24"/>
          <w:szCs w:val="24"/>
        </w:rPr>
        <w:t xml:space="preserve"> seria mesmo da Gerência de Auditoria de Indústria e Atacado. </w:t>
      </w:r>
    </w:p>
    <w:p w14:paraId="3092EEDE" w14:textId="252D3776" w:rsidR="007579D1" w:rsidRPr="00FE6B2C" w:rsidRDefault="007579D1" w:rsidP="007579D1">
      <w:pPr>
        <w:spacing w:line="360" w:lineRule="auto"/>
        <w:ind w:firstLine="851"/>
        <w:jc w:val="both"/>
        <w:rPr>
          <w:rFonts w:ascii="Arial" w:hAnsi="Arial" w:cs="Arial"/>
          <w:sz w:val="24"/>
          <w:szCs w:val="24"/>
        </w:rPr>
      </w:pPr>
      <w:r w:rsidRPr="00FE6B2C">
        <w:rPr>
          <w:rFonts w:ascii="Arial" w:hAnsi="Arial" w:cs="Arial"/>
          <w:sz w:val="24"/>
          <w:szCs w:val="24"/>
        </w:rPr>
        <w:t xml:space="preserve">De qualquer forma, </w:t>
      </w:r>
      <w:r w:rsidRPr="00FE6B2C">
        <w:rPr>
          <w:rFonts w:ascii="Arial" w:hAnsi="Arial" w:cs="Arial"/>
          <w:sz w:val="24"/>
          <w:szCs w:val="24"/>
          <w:u w:val="single"/>
        </w:rPr>
        <w:t xml:space="preserve">constata-se nitidamente a </w:t>
      </w:r>
      <w:r w:rsidR="00FE6B2C" w:rsidRPr="00FE6B2C">
        <w:rPr>
          <w:rFonts w:ascii="Arial" w:hAnsi="Arial" w:cs="Arial"/>
          <w:sz w:val="24"/>
          <w:szCs w:val="24"/>
          <w:u w:val="single"/>
        </w:rPr>
        <w:t xml:space="preserve">ausência de clareza quanto aos órgãos competentes para análise e a </w:t>
      </w:r>
      <w:r w:rsidRPr="00FE6B2C">
        <w:rPr>
          <w:rFonts w:ascii="Arial" w:hAnsi="Arial" w:cs="Arial"/>
          <w:sz w:val="24"/>
          <w:szCs w:val="24"/>
          <w:u w:val="single"/>
        </w:rPr>
        <w:t xml:space="preserve">deficiência de pessoal qualificado para proceder a uma auditoria ou verificação </w:t>
      </w:r>
      <w:r w:rsidRPr="00FE6B2C">
        <w:rPr>
          <w:rFonts w:ascii="Arial" w:hAnsi="Arial" w:cs="Arial"/>
          <w:i/>
          <w:sz w:val="24"/>
          <w:szCs w:val="24"/>
          <w:u w:val="single"/>
        </w:rPr>
        <w:t>in loco</w:t>
      </w:r>
      <w:r w:rsidRPr="00FE6B2C">
        <w:rPr>
          <w:rFonts w:ascii="Arial" w:hAnsi="Arial" w:cs="Arial"/>
          <w:sz w:val="24"/>
          <w:szCs w:val="24"/>
          <w:u w:val="single"/>
        </w:rPr>
        <w:t xml:space="preserve"> mais ampla que não exclusivamente fiscal</w:t>
      </w:r>
      <w:r w:rsidRPr="00FE6B2C">
        <w:rPr>
          <w:rFonts w:ascii="Arial" w:hAnsi="Arial" w:cs="Arial"/>
          <w:sz w:val="24"/>
          <w:szCs w:val="24"/>
        </w:rPr>
        <w:t>, o que indicaria um possível gargalo na Gerência de Controle de Benefícios e Incentivos Fiscais, a qual, em tese, deveria se ocupar dessa atribuição, segundo tem manifestado reiteradamente a Gerência de Auditoria de Indústria e Atacado. A sensação que ressai muito nitidamente é um jogo de “empurra-empurra” ante a falta de clareza procedimental e de pessoal qualificado para uma auditoria mais contundente.</w:t>
      </w:r>
    </w:p>
    <w:p w14:paraId="01C7CE53" w14:textId="1BB555DC" w:rsidR="00F1564B" w:rsidRDefault="004F78DD" w:rsidP="004F78DD">
      <w:pPr>
        <w:spacing w:line="360" w:lineRule="auto"/>
        <w:ind w:firstLine="851"/>
        <w:jc w:val="both"/>
        <w:rPr>
          <w:rFonts w:ascii="Arial" w:hAnsi="Arial" w:cs="Arial"/>
          <w:sz w:val="24"/>
          <w:szCs w:val="24"/>
        </w:rPr>
      </w:pPr>
      <w:r>
        <w:rPr>
          <w:rFonts w:ascii="Arial" w:hAnsi="Arial" w:cs="Arial"/>
          <w:sz w:val="24"/>
          <w:szCs w:val="24"/>
        </w:rPr>
        <w:t>Tendo em vista que não aportou a esta CPI qualquer informação sobre os encaminhamentos posteriores a este caso,</w:t>
      </w:r>
      <w:r w:rsidR="00F1564B">
        <w:rPr>
          <w:rFonts w:ascii="Arial" w:hAnsi="Arial" w:cs="Arial"/>
          <w:sz w:val="24"/>
          <w:szCs w:val="24"/>
        </w:rPr>
        <w:t xml:space="preserve"> </w:t>
      </w:r>
      <w:r w:rsidR="00F1564B" w:rsidRPr="00CE4E87">
        <w:rPr>
          <w:rFonts w:ascii="Arial" w:hAnsi="Arial" w:cs="Arial"/>
          <w:sz w:val="24"/>
          <w:szCs w:val="24"/>
          <w:u w:val="single"/>
        </w:rPr>
        <w:t>presume-se que a Empresa 2 tenha fruído o benefício sem uma verificação mais criteriosa além da auditoria meramente fiscal</w:t>
      </w:r>
      <w:r w:rsidR="00F1564B">
        <w:rPr>
          <w:rFonts w:ascii="Arial" w:hAnsi="Arial" w:cs="Arial"/>
          <w:sz w:val="24"/>
          <w:szCs w:val="24"/>
        </w:rPr>
        <w:t>, a despeito da recomendação do Grupo Especial de Auditoria Tributária.</w:t>
      </w:r>
    </w:p>
    <w:p w14:paraId="547305C4" w14:textId="77777777" w:rsidR="00394910" w:rsidRDefault="00394910" w:rsidP="00394910">
      <w:pPr>
        <w:pStyle w:val="PargrafodaLista"/>
        <w:spacing w:line="360" w:lineRule="auto"/>
        <w:ind w:left="0" w:firstLine="851"/>
        <w:jc w:val="both"/>
        <w:rPr>
          <w:rFonts w:ascii="Arial" w:hAnsi="Arial" w:cs="Arial"/>
          <w:sz w:val="24"/>
          <w:szCs w:val="24"/>
        </w:rPr>
      </w:pPr>
    </w:p>
    <w:p w14:paraId="0BC5ECBD" w14:textId="302722D4" w:rsidR="002476C7" w:rsidRDefault="00394910" w:rsidP="00394910">
      <w:pPr>
        <w:pStyle w:val="PargrafodaLista"/>
        <w:spacing w:line="360" w:lineRule="auto"/>
        <w:ind w:left="0" w:firstLine="851"/>
        <w:jc w:val="both"/>
        <w:rPr>
          <w:rFonts w:ascii="Arial" w:hAnsi="Arial" w:cs="Arial"/>
          <w:bCs/>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.2.</w:t>
      </w:r>
      <w:r>
        <w:rPr>
          <w:rFonts w:ascii="Arial" w:hAnsi="Arial" w:cs="Arial"/>
          <w:b/>
          <w:sz w:val="24"/>
          <w:szCs w:val="24"/>
        </w:rPr>
        <w:t>2</w:t>
      </w:r>
      <w:r w:rsidRPr="0031082B">
        <w:rPr>
          <w:rFonts w:ascii="Arial" w:hAnsi="Arial" w:cs="Arial"/>
          <w:b/>
          <w:sz w:val="24"/>
          <w:szCs w:val="24"/>
        </w:rPr>
        <w:t>.</w:t>
      </w:r>
      <w:r>
        <w:rPr>
          <w:rFonts w:ascii="Arial" w:hAnsi="Arial" w:cs="Arial"/>
          <w:b/>
          <w:sz w:val="24"/>
          <w:szCs w:val="24"/>
        </w:rPr>
        <w:t>4</w:t>
      </w:r>
      <w:r w:rsidR="001120F7">
        <w:rPr>
          <w:rFonts w:ascii="Arial" w:hAnsi="Arial" w:cs="Arial"/>
          <w:b/>
          <w:sz w:val="24"/>
          <w:szCs w:val="24"/>
        </w:rPr>
        <w:t>.</w:t>
      </w:r>
      <w:r w:rsidR="001110D9">
        <w:rPr>
          <w:rFonts w:ascii="Arial" w:hAnsi="Arial" w:cs="Arial"/>
          <w:b/>
          <w:sz w:val="24"/>
          <w:szCs w:val="24"/>
        </w:rPr>
        <w:t xml:space="preserve"> </w:t>
      </w:r>
      <w:r w:rsidR="001110D9" w:rsidRPr="001110D9">
        <w:rPr>
          <w:rFonts w:ascii="Arial" w:hAnsi="Arial" w:cs="Arial"/>
          <w:bCs/>
          <w:sz w:val="24"/>
          <w:szCs w:val="24"/>
        </w:rPr>
        <w:t xml:space="preserve">No </w:t>
      </w:r>
      <w:r w:rsidR="001110D9" w:rsidRPr="00C26E68">
        <w:rPr>
          <w:rFonts w:ascii="Arial" w:hAnsi="Arial" w:cs="Arial"/>
          <w:bCs/>
          <w:sz w:val="24"/>
          <w:szCs w:val="24"/>
        </w:rPr>
        <w:t xml:space="preserve">caso da </w:t>
      </w:r>
      <w:r w:rsidR="00170685">
        <w:rPr>
          <w:rFonts w:ascii="Arial" w:hAnsi="Arial" w:cs="Arial"/>
          <w:bCs/>
          <w:sz w:val="24"/>
          <w:szCs w:val="24"/>
        </w:rPr>
        <w:t>E</w:t>
      </w:r>
      <w:r w:rsidR="001110D9" w:rsidRPr="00C26E68">
        <w:rPr>
          <w:rFonts w:ascii="Arial" w:hAnsi="Arial" w:cs="Arial"/>
          <w:bCs/>
          <w:sz w:val="24"/>
          <w:szCs w:val="24"/>
        </w:rPr>
        <w:t>mpresa 3, esta se obrigou por TARE</w:t>
      </w:r>
      <w:r w:rsidR="0072015A">
        <w:rPr>
          <w:rFonts w:ascii="Arial" w:hAnsi="Arial" w:cs="Arial"/>
          <w:bCs/>
          <w:sz w:val="24"/>
          <w:szCs w:val="24"/>
        </w:rPr>
        <w:t>, para</w:t>
      </w:r>
      <w:r w:rsidR="005B59C0">
        <w:rPr>
          <w:rFonts w:ascii="Arial" w:hAnsi="Arial" w:cs="Arial"/>
          <w:bCs/>
          <w:sz w:val="24"/>
          <w:szCs w:val="24"/>
        </w:rPr>
        <w:t xml:space="preserve"> </w:t>
      </w:r>
      <w:r w:rsidR="00746669" w:rsidRPr="00C26E68">
        <w:rPr>
          <w:rFonts w:ascii="Arial" w:hAnsi="Arial" w:cs="Arial"/>
          <w:bCs/>
          <w:sz w:val="24"/>
          <w:szCs w:val="24"/>
        </w:rPr>
        <w:t xml:space="preserve">fruição de crédito outorgado </w:t>
      </w:r>
      <w:r w:rsidR="00CF2C4D" w:rsidRPr="00CF2C4D">
        <w:rPr>
          <w:rFonts w:ascii="Arial" w:hAnsi="Arial" w:cs="Arial"/>
          <w:bCs/>
          <w:sz w:val="24"/>
          <w:szCs w:val="24"/>
        </w:rPr>
        <w:t>a</w:t>
      </w:r>
      <w:r w:rsidR="00CF2C4D">
        <w:rPr>
          <w:rFonts w:ascii="Arial" w:hAnsi="Arial" w:cs="Arial"/>
          <w:bCs/>
          <w:sz w:val="24"/>
          <w:szCs w:val="24"/>
        </w:rPr>
        <w:t xml:space="preserve"> ser a</w:t>
      </w:r>
      <w:r w:rsidR="00CF2C4D" w:rsidRPr="00CF2C4D">
        <w:rPr>
          <w:rFonts w:ascii="Arial" w:hAnsi="Arial" w:cs="Arial"/>
          <w:bCs/>
          <w:sz w:val="24"/>
          <w:szCs w:val="24"/>
        </w:rPr>
        <w:t xml:space="preserve">propriado em </w:t>
      </w:r>
      <w:r w:rsidR="00D628D7">
        <w:rPr>
          <w:rFonts w:ascii="Arial" w:hAnsi="Arial" w:cs="Arial"/>
          <w:bCs/>
          <w:sz w:val="24"/>
          <w:szCs w:val="24"/>
        </w:rPr>
        <w:t>diversas</w:t>
      </w:r>
      <w:r w:rsidR="00CF2C4D" w:rsidRPr="00CF2C4D">
        <w:rPr>
          <w:rFonts w:ascii="Arial" w:hAnsi="Arial" w:cs="Arial"/>
          <w:bCs/>
          <w:sz w:val="24"/>
          <w:szCs w:val="24"/>
        </w:rPr>
        <w:t xml:space="preserve"> parcelas mensais e sucessivas</w:t>
      </w:r>
      <w:r w:rsidR="00D628D7">
        <w:rPr>
          <w:rFonts w:ascii="Arial" w:hAnsi="Arial" w:cs="Arial"/>
          <w:bCs/>
          <w:sz w:val="24"/>
          <w:szCs w:val="24"/>
        </w:rPr>
        <w:t>,</w:t>
      </w:r>
      <w:r w:rsidR="00CF2C4D" w:rsidRPr="00CF2C4D">
        <w:rPr>
          <w:rFonts w:ascii="Arial" w:hAnsi="Arial" w:cs="Arial"/>
          <w:bCs/>
          <w:sz w:val="24"/>
          <w:szCs w:val="24"/>
        </w:rPr>
        <w:t xml:space="preserve"> </w:t>
      </w:r>
      <w:r w:rsidR="0072015A">
        <w:rPr>
          <w:rFonts w:ascii="Arial" w:hAnsi="Arial" w:cs="Arial"/>
          <w:bCs/>
          <w:sz w:val="24"/>
          <w:szCs w:val="24"/>
        </w:rPr>
        <w:t>às seguintes condicionantes:</w:t>
      </w:r>
      <w:r w:rsidR="00A474F1">
        <w:rPr>
          <w:rFonts w:ascii="Arial" w:hAnsi="Arial" w:cs="Arial"/>
          <w:bCs/>
          <w:sz w:val="24"/>
          <w:szCs w:val="24"/>
        </w:rPr>
        <w:t xml:space="preserve"> </w:t>
      </w:r>
      <w:r w:rsidR="0072015A" w:rsidRPr="00293C2C">
        <w:rPr>
          <w:rFonts w:ascii="Arial" w:hAnsi="Arial" w:cs="Arial"/>
          <w:bCs/>
          <w:sz w:val="24"/>
          <w:szCs w:val="24"/>
          <w:u w:val="single"/>
        </w:rPr>
        <w:t>a) comprovar metas semestrais de arrecadação de ICMS</w:t>
      </w:r>
      <w:r w:rsidR="00066383">
        <w:rPr>
          <w:rFonts w:ascii="Arial" w:hAnsi="Arial" w:cs="Arial"/>
          <w:bCs/>
          <w:sz w:val="24"/>
          <w:szCs w:val="24"/>
        </w:rPr>
        <w:t xml:space="preserve">, </w:t>
      </w:r>
      <w:r w:rsidR="0067003D" w:rsidRPr="0067003D">
        <w:rPr>
          <w:rFonts w:ascii="Arial" w:hAnsi="Arial" w:cs="Arial"/>
          <w:bCs/>
          <w:sz w:val="24"/>
          <w:szCs w:val="24"/>
        </w:rPr>
        <w:t xml:space="preserve">devido por operação própria e o de sua responsabilidade devida por substituição tributária, devido ao Estado </w:t>
      </w:r>
      <w:r w:rsidR="00D628D7">
        <w:rPr>
          <w:rFonts w:ascii="Arial" w:hAnsi="Arial" w:cs="Arial"/>
          <w:bCs/>
          <w:sz w:val="24"/>
          <w:szCs w:val="24"/>
        </w:rPr>
        <w:t>de Goiás e efetivamente pago</w:t>
      </w:r>
      <w:r w:rsidR="002476C7">
        <w:rPr>
          <w:rFonts w:ascii="Arial" w:hAnsi="Arial" w:cs="Arial"/>
          <w:bCs/>
          <w:sz w:val="24"/>
          <w:szCs w:val="24"/>
        </w:rPr>
        <w:t>, atualizado pelo IGP-DI a partir de janeiro do ano seguinte ao de início de vigência do TARE</w:t>
      </w:r>
      <w:r w:rsidR="0072015A">
        <w:rPr>
          <w:rFonts w:ascii="Arial" w:hAnsi="Arial" w:cs="Arial"/>
          <w:bCs/>
          <w:sz w:val="24"/>
          <w:szCs w:val="24"/>
        </w:rPr>
        <w:t>;</w:t>
      </w:r>
      <w:r w:rsidR="00A474F1">
        <w:rPr>
          <w:rFonts w:ascii="Arial" w:hAnsi="Arial" w:cs="Arial"/>
          <w:bCs/>
          <w:sz w:val="24"/>
          <w:szCs w:val="24"/>
        </w:rPr>
        <w:t xml:space="preserve"> </w:t>
      </w:r>
      <w:r w:rsidR="0072015A" w:rsidRPr="002476C7">
        <w:rPr>
          <w:rFonts w:ascii="Arial" w:hAnsi="Arial" w:cs="Arial"/>
          <w:bCs/>
          <w:sz w:val="24"/>
          <w:szCs w:val="24"/>
          <w:u w:val="single"/>
        </w:rPr>
        <w:t>b)</w:t>
      </w:r>
      <w:r w:rsidR="002476C7" w:rsidRPr="002476C7">
        <w:rPr>
          <w:rFonts w:ascii="Arial" w:hAnsi="Arial" w:cs="Arial"/>
          <w:bCs/>
          <w:sz w:val="24"/>
          <w:szCs w:val="24"/>
          <w:u w:val="single"/>
        </w:rPr>
        <w:t xml:space="preserve"> comprovar semestralmente os investimentos realizados</w:t>
      </w:r>
      <w:r w:rsidR="002476C7" w:rsidRPr="002476C7">
        <w:rPr>
          <w:rFonts w:ascii="Arial" w:hAnsi="Arial" w:cs="Arial"/>
          <w:bCs/>
          <w:sz w:val="24"/>
          <w:szCs w:val="24"/>
        </w:rPr>
        <w:t>.</w:t>
      </w:r>
    </w:p>
    <w:p w14:paraId="6B656534" w14:textId="77777777" w:rsidR="00505254" w:rsidRDefault="00505254" w:rsidP="00394910">
      <w:pPr>
        <w:pStyle w:val="PargrafodaLista"/>
        <w:spacing w:line="360" w:lineRule="auto"/>
        <w:ind w:left="0" w:firstLine="851"/>
        <w:jc w:val="both"/>
        <w:rPr>
          <w:rFonts w:ascii="Arial" w:hAnsi="Arial" w:cs="Arial"/>
          <w:bCs/>
          <w:sz w:val="24"/>
          <w:szCs w:val="24"/>
          <w:u w:val="single"/>
        </w:rPr>
      </w:pPr>
    </w:p>
    <w:p w14:paraId="3C6FA7C5" w14:textId="66391636" w:rsidR="00FD7ABD" w:rsidRDefault="001110D9" w:rsidP="006C5911">
      <w:pPr>
        <w:pStyle w:val="PargrafodaLista"/>
        <w:spacing w:line="360" w:lineRule="auto"/>
        <w:ind w:left="0" w:firstLine="851"/>
        <w:jc w:val="both"/>
        <w:rPr>
          <w:rFonts w:ascii="Arial" w:hAnsi="Arial" w:cs="Arial"/>
          <w:bCs/>
          <w:sz w:val="24"/>
          <w:szCs w:val="24"/>
        </w:rPr>
      </w:pPr>
      <w:r w:rsidRPr="005B59C0">
        <w:rPr>
          <w:rFonts w:ascii="Arial" w:hAnsi="Arial" w:cs="Arial"/>
          <w:bCs/>
          <w:sz w:val="24"/>
          <w:szCs w:val="24"/>
          <w:u w:val="single"/>
        </w:rPr>
        <w:t>A empresa apresentou comprovantes de investimentos</w:t>
      </w:r>
      <w:r w:rsidRPr="00A474F1">
        <w:rPr>
          <w:rFonts w:ascii="Arial" w:hAnsi="Arial" w:cs="Arial"/>
          <w:bCs/>
          <w:sz w:val="24"/>
          <w:szCs w:val="24"/>
        </w:rPr>
        <w:t xml:space="preserve"> </w:t>
      </w:r>
      <w:r>
        <w:rPr>
          <w:rFonts w:ascii="Arial" w:hAnsi="Arial" w:cs="Arial"/>
          <w:bCs/>
          <w:sz w:val="24"/>
          <w:szCs w:val="24"/>
        </w:rPr>
        <w:t>referente ao 2º semestre do 2º ano de vigência do correspondente TARE</w:t>
      </w:r>
      <w:r w:rsidR="00F53338">
        <w:rPr>
          <w:rFonts w:ascii="Arial" w:hAnsi="Arial" w:cs="Arial"/>
          <w:bCs/>
          <w:sz w:val="24"/>
          <w:szCs w:val="24"/>
        </w:rPr>
        <w:t xml:space="preserve"> </w:t>
      </w:r>
      <w:r w:rsidR="00F53338" w:rsidRPr="00550941">
        <w:rPr>
          <w:rFonts w:ascii="Arial" w:hAnsi="Arial" w:cs="Arial"/>
          <w:sz w:val="24"/>
          <w:szCs w:val="24"/>
        </w:rPr>
        <w:t xml:space="preserve">(Ofício nº 2.500/2019-Economia, p. </w:t>
      </w:r>
      <w:r w:rsidR="00F53338">
        <w:rPr>
          <w:rFonts w:ascii="Arial" w:hAnsi="Arial" w:cs="Arial"/>
          <w:sz w:val="24"/>
          <w:szCs w:val="24"/>
        </w:rPr>
        <w:lastRenderedPageBreak/>
        <w:t>2123/2182</w:t>
      </w:r>
      <w:r w:rsidR="00F53338" w:rsidRPr="00550941">
        <w:rPr>
          <w:rFonts w:ascii="Arial" w:hAnsi="Arial" w:cs="Arial"/>
          <w:sz w:val="24"/>
          <w:szCs w:val="24"/>
        </w:rPr>
        <w:t>)</w:t>
      </w:r>
      <w:r w:rsidR="00A474F1">
        <w:rPr>
          <w:rFonts w:ascii="Arial" w:hAnsi="Arial" w:cs="Arial"/>
          <w:bCs/>
          <w:sz w:val="24"/>
          <w:szCs w:val="24"/>
        </w:rPr>
        <w:t xml:space="preserve"> e a</w:t>
      </w:r>
      <w:r w:rsidR="006C5911">
        <w:rPr>
          <w:rFonts w:ascii="Arial" w:hAnsi="Arial" w:cs="Arial"/>
          <w:bCs/>
          <w:sz w:val="24"/>
          <w:szCs w:val="24"/>
        </w:rPr>
        <w:t xml:space="preserve"> Superintendência da Receita encaminhou os autos para a Gerência de Auditoria de Indústria e Atacado, que designou auditor para a análise fiscal, na qual o auditor</w:t>
      </w:r>
      <w:r w:rsidR="00FD7ABD">
        <w:rPr>
          <w:rFonts w:ascii="Arial" w:hAnsi="Arial" w:cs="Arial"/>
          <w:bCs/>
          <w:sz w:val="24"/>
          <w:szCs w:val="24"/>
        </w:rPr>
        <w:t xml:space="preserve"> (</w:t>
      </w:r>
      <w:r w:rsidR="00FD7ABD" w:rsidRPr="00550941">
        <w:rPr>
          <w:rFonts w:ascii="Arial" w:hAnsi="Arial" w:cs="Arial"/>
          <w:sz w:val="24"/>
          <w:szCs w:val="24"/>
        </w:rPr>
        <w:t>Ofício nº 2.500/2019-Economia, p.</w:t>
      </w:r>
      <w:r w:rsidR="00FD7ABD">
        <w:rPr>
          <w:rFonts w:ascii="Arial" w:hAnsi="Arial" w:cs="Arial"/>
          <w:sz w:val="24"/>
          <w:szCs w:val="24"/>
        </w:rPr>
        <w:t xml:space="preserve"> </w:t>
      </w:r>
      <w:r w:rsidR="00FD7ABD">
        <w:rPr>
          <w:rFonts w:ascii="Arial" w:hAnsi="Arial" w:cs="Arial"/>
          <w:bCs/>
          <w:sz w:val="24"/>
          <w:szCs w:val="24"/>
        </w:rPr>
        <w:t>2187/2192</w:t>
      </w:r>
      <w:r w:rsidR="00CF2C4D">
        <w:rPr>
          <w:rFonts w:ascii="Arial" w:hAnsi="Arial" w:cs="Arial"/>
          <w:bCs/>
          <w:sz w:val="24"/>
          <w:szCs w:val="24"/>
        </w:rPr>
        <w:t xml:space="preserve"> e documentos de p. 2193/2204</w:t>
      </w:r>
      <w:r w:rsidR="00FD7ABD">
        <w:rPr>
          <w:rFonts w:ascii="Arial" w:hAnsi="Arial" w:cs="Arial"/>
          <w:bCs/>
          <w:sz w:val="24"/>
          <w:szCs w:val="24"/>
        </w:rPr>
        <w:t>)</w:t>
      </w:r>
      <w:r w:rsidR="006C5911">
        <w:rPr>
          <w:rFonts w:ascii="Arial" w:hAnsi="Arial" w:cs="Arial"/>
          <w:bCs/>
          <w:sz w:val="24"/>
          <w:szCs w:val="24"/>
        </w:rPr>
        <w:t>:</w:t>
      </w:r>
    </w:p>
    <w:p w14:paraId="317B4704" w14:textId="77777777" w:rsidR="00505254" w:rsidRDefault="00505254" w:rsidP="006C5911">
      <w:pPr>
        <w:pStyle w:val="PargrafodaLista"/>
        <w:spacing w:line="360" w:lineRule="auto"/>
        <w:ind w:left="0" w:firstLine="851"/>
        <w:jc w:val="both"/>
        <w:rPr>
          <w:rFonts w:ascii="Arial" w:hAnsi="Arial" w:cs="Arial"/>
          <w:bCs/>
          <w:sz w:val="24"/>
          <w:szCs w:val="24"/>
        </w:rPr>
      </w:pPr>
    </w:p>
    <w:p w14:paraId="3BBBAA0B" w14:textId="77777777" w:rsidR="00FD7ABD" w:rsidRDefault="006C5911" w:rsidP="006C5911">
      <w:pPr>
        <w:pStyle w:val="PargrafodaLista"/>
        <w:spacing w:line="360" w:lineRule="auto"/>
        <w:ind w:left="0" w:firstLine="851"/>
        <w:jc w:val="both"/>
        <w:rPr>
          <w:rFonts w:ascii="Arial" w:hAnsi="Arial" w:cs="Arial"/>
          <w:bCs/>
          <w:sz w:val="24"/>
          <w:szCs w:val="24"/>
        </w:rPr>
      </w:pPr>
      <w:r w:rsidRPr="00561430">
        <w:rPr>
          <w:rFonts w:ascii="Arial" w:hAnsi="Arial" w:cs="Arial"/>
          <w:bCs/>
          <w:sz w:val="24"/>
          <w:szCs w:val="24"/>
          <w:u w:val="single"/>
        </w:rPr>
        <w:t>a) considerou não ter havido o cumprimento integral da 1ª condicionante</w:t>
      </w:r>
      <w:r>
        <w:rPr>
          <w:rFonts w:ascii="Arial" w:hAnsi="Arial" w:cs="Arial"/>
          <w:bCs/>
          <w:sz w:val="24"/>
          <w:szCs w:val="24"/>
        </w:rPr>
        <w:t>, relativa à meta de arrecadação de ICMS</w:t>
      </w:r>
      <w:r w:rsidR="00561430">
        <w:rPr>
          <w:rFonts w:ascii="Arial" w:hAnsi="Arial" w:cs="Arial"/>
          <w:bCs/>
          <w:sz w:val="24"/>
          <w:szCs w:val="24"/>
        </w:rPr>
        <w:t>, com determinação de estorno proporcional do valor apropriado indevidamente</w:t>
      </w:r>
      <w:r>
        <w:rPr>
          <w:rFonts w:ascii="Arial" w:hAnsi="Arial" w:cs="Arial"/>
          <w:bCs/>
          <w:sz w:val="24"/>
          <w:szCs w:val="24"/>
        </w:rPr>
        <w:t xml:space="preserve">; </w:t>
      </w:r>
    </w:p>
    <w:p w14:paraId="07345BAB" w14:textId="6DEBD126" w:rsidR="006C5911" w:rsidRDefault="006C5911" w:rsidP="006C5911">
      <w:pPr>
        <w:pStyle w:val="PargrafodaLista"/>
        <w:spacing w:line="360" w:lineRule="auto"/>
        <w:ind w:left="0" w:firstLine="851"/>
        <w:jc w:val="both"/>
        <w:rPr>
          <w:rFonts w:ascii="Arial" w:hAnsi="Arial" w:cs="Arial"/>
          <w:bCs/>
          <w:sz w:val="24"/>
          <w:szCs w:val="24"/>
        </w:rPr>
      </w:pPr>
      <w:r w:rsidRPr="00561430">
        <w:rPr>
          <w:rFonts w:ascii="Arial" w:hAnsi="Arial" w:cs="Arial"/>
          <w:bCs/>
          <w:sz w:val="24"/>
          <w:szCs w:val="24"/>
          <w:u w:val="single"/>
        </w:rPr>
        <w:t>b) do total apresentado a título de investimentos, homologou apenas</w:t>
      </w:r>
      <w:r w:rsidR="00A474F1">
        <w:rPr>
          <w:rFonts w:ascii="Arial" w:hAnsi="Arial" w:cs="Arial"/>
          <w:bCs/>
          <w:sz w:val="24"/>
          <w:szCs w:val="24"/>
          <w:u w:val="single"/>
        </w:rPr>
        <w:t xml:space="preserve"> parte do valor</w:t>
      </w:r>
      <w:r w:rsidR="00FD7ABD">
        <w:rPr>
          <w:rFonts w:ascii="Arial" w:hAnsi="Arial" w:cs="Arial"/>
          <w:bCs/>
          <w:sz w:val="24"/>
          <w:szCs w:val="24"/>
        </w:rPr>
        <w:t xml:space="preserve">, </w:t>
      </w:r>
      <w:r w:rsidR="00576AF3">
        <w:rPr>
          <w:rFonts w:ascii="Arial" w:hAnsi="Arial" w:cs="Arial"/>
          <w:bCs/>
          <w:sz w:val="24"/>
          <w:szCs w:val="24"/>
        </w:rPr>
        <w:t>que aparentemente tenha sido suficiente para atingir a meta semestral de investimentos, embora isso não seja declarado de forma expressa e clara pelo auditor fiscal atuante no feito</w:t>
      </w:r>
      <w:r>
        <w:rPr>
          <w:rFonts w:ascii="Arial" w:hAnsi="Arial" w:cs="Arial"/>
          <w:bCs/>
          <w:sz w:val="24"/>
          <w:szCs w:val="24"/>
        </w:rPr>
        <w:t>.</w:t>
      </w:r>
    </w:p>
    <w:p w14:paraId="17C9B018" w14:textId="77777777" w:rsidR="00505254" w:rsidRDefault="00505254" w:rsidP="006E35FD">
      <w:pPr>
        <w:pStyle w:val="PargrafodaLista"/>
        <w:spacing w:line="360" w:lineRule="auto"/>
        <w:ind w:left="0" w:firstLine="851"/>
        <w:jc w:val="both"/>
        <w:rPr>
          <w:rFonts w:ascii="Arial" w:hAnsi="Arial" w:cs="Arial"/>
          <w:bCs/>
          <w:sz w:val="24"/>
          <w:szCs w:val="24"/>
        </w:rPr>
      </w:pPr>
    </w:p>
    <w:p w14:paraId="4ADB8782" w14:textId="5FC4B111" w:rsidR="0007747E" w:rsidRDefault="00170685" w:rsidP="006E35FD">
      <w:pPr>
        <w:pStyle w:val="PargrafodaLista"/>
        <w:spacing w:line="360" w:lineRule="auto"/>
        <w:ind w:left="0" w:firstLine="851"/>
        <w:jc w:val="both"/>
        <w:rPr>
          <w:rFonts w:ascii="Arial" w:hAnsi="Arial" w:cs="Arial"/>
          <w:sz w:val="24"/>
          <w:szCs w:val="24"/>
        </w:rPr>
      </w:pPr>
      <w:r>
        <w:rPr>
          <w:rFonts w:ascii="Arial" w:hAnsi="Arial" w:cs="Arial"/>
          <w:bCs/>
          <w:sz w:val="24"/>
          <w:szCs w:val="24"/>
        </w:rPr>
        <w:t>Não aportou a esta CPI</w:t>
      </w:r>
      <w:r w:rsidR="00D465AA">
        <w:rPr>
          <w:rFonts w:ascii="Arial" w:hAnsi="Arial" w:cs="Arial"/>
          <w:bCs/>
          <w:sz w:val="24"/>
          <w:szCs w:val="24"/>
        </w:rPr>
        <w:t xml:space="preserve"> outras</w:t>
      </w:r>
      <w:r>
        <w:rPr>
          <w:rFonts w:ascii="Arial" w:hAnsi="Arial" w:cs="Arial"/>
          <w:bCs/>
          <w:sz w:val="24"/>
          <w:szCs w:val="24"/>
        </w:rPr>
        <w:t xml:space="preserve"> informações</w:t>
      </w:r>
      <w:r w:rsidR="00D465AA">
        <w:rPr>
          <w:rFonts w:ascii="Arial" w:hAnsi="Arial" w:cs="Arial"/>
          <w:bCs/>
          <w:sz w:val="24"/>
          <w:szCs w:val="24"/>
        </w:rPr>
        <w:t xml:space="preserve"> referente</w:t>
      </w:r>
      <w:r w:rsidR="006E35FD">
        <w:rPr>
          <w:rFonts w:ascii="Arial" w:hAnsi="Arial" w:cs="Arial"/>
          <w:bCs/>
          <w:sz w:val="24"/>
          <w:szCs w:val="24"/>
        </w:rPr>
        <w:t>s</w:t>
      </w:r>
      <w:r w:rsidR="00D465AA">
        <w:rPr>
          <w:rFonts w:ascii="Arial" w:hAnsi="Arial" w:cs="Arial"/>
          <w:bCs/>
          <w:sz w:val="24"/>
          <w:szCs w:val="24"/>
        </w:rPr>
        <w:t xml:space="preserve"> a esse processo, embora o normal seria que fosse procedido ao estorno dos valores apontados nos termos da alínea “a”, retro.</w:t>
      </w:r>
    </w:p>
    <w:p w14:paraId="57E4B2C8" w14:textId="025904B7" w:rsidR="00DE0D75" w:rsidRDefault="00DE0D75" w:rsidP="00914DC7">
      <w:pPr>
        <w:spacing w:line="360" w:lineRule="auto"/>
        <w:ind w:firstLine="851"/>
        <w:jc w:val="both"/>
        <w:rPr>
          <w:rFonts w:ascii="Arial" w:hAnsi="Arial" w:cs="Arial"/>
          <w:sz w:val="24"/>
          <w:szCs w:val="24"/>
        </w:rPr>
      </w:pPr>
    </w:p>
    <w:p w14:paraId="2C168127" w14:textId="2A1C5879" w:rsidR="006E35FD" w:rsidRPr="006E35FD" w:rsidRDefault="006E35FD" w:rsidP="00914DC7">
      <w:pPr>
        <w:spacing w:line="360" w:lineRule="auto"/>
        <w:ind w:firstLine="851"/>
        <w:jc w:val="both"/>
        <w:rPr>
          <w:rFonts w:ascii="Arial" w:hAnsi="Arial" w:cs="Arial"/>
          <w:bCs/>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.2.</w:t>
      </w:r>
      <w:r>
        <w:rPr>
          <w:rFonts w:ascii="Arial" w:hAnsi="Arial" w:cs="Arial"/>
          <w:b/>
          <w:sz w:val="24"/>
          <w:szCs w:val="24"/>
        </w:rPr>
        <w:t>2.5</w:t>
      </w:r>
      <w:r w:rsidRPr="0031082B">
        <w:rPr>
          <w:rFonts w:ascii="Arial" w:hAnsi="Arial" w:cs="Arial"/>
          <w:b/>
          <w:sz w:val="24"/>
          <w:szCs w:val="24"/>
        </w:rPr>
        <w:t>.</w:t>
      </w:r>
      <w:r>
        <w:rPr>
          <w:rFonts w:ascii="Arial" w:hAnsi="Arial" w:cs="Arial"/>
          <w:bCs/>
          <w:sz w:val="24"/>
          <w:szCs w:val="24"/>
        </w:rPr>
        <w:t xml:space="preserve"> </w:t>
      </w:r>
      <w:r w:rsidR="007D273E">
        <w:rPr>
          <w:rFonts w:ascii="Arial" w:hAnsi="Arial" w:cs="Arial"/>
          <w:bCs/>
          <w:sz w:val="24"/>
          <w:szCs w:val="24"/>
        </w:rPr>
        <w:t xml:space="preserve">A partir dessas 3 (três) amostras de auditorias </w:t>
      </w:r>
      <w:r w:rsidR="00AA372C">
        <w:rPr>
          <w:rFonts w:ascii="Arial" w:hAnsi="Arial" w:cs="Arial"/>
          <w:bCs/>
          <w:sz w:val="24"/>
          <w:szCs w:val="24"/>
        </w:rPr>
        <w:t>forneci</w:t>
      </w:r>
      <w:r w:rsidR="007D273E">
        <w:rPr>
          <w:rFonts w:ascii="Arial" w:hAnsi="Arial" w:cs="Arial"/>
          <w:bCs/>
          <w:sz w:val="24"/>
          <w:szCs w:val="24"/>
        </w:rPr>
        <w:t xml:space="preserve">das pela Secretaria de Estado da Economia, no sentido da comprovação das contrapartidas, percebe-se que o cenário é preocupante, posto haver uma </w:t>
      </w:r>
      <w:r w:rsidR="007D273E" w:rsidRPr="00505254">
        <w:rPr>
          <w:rFonts w:ascii="Arial" w:hAnsi="Arial" w:cs="Arial"/>
          <w:b/>
          <w:bCs/>
          <w:sz w:val="24"/>
          <w:szCs w:val="24"/>
        </w:rPr>
        <w:t>nítida disfunção administrativa dos órgãos envolvidos na fiscalização</w:t>
      </w:r>
      <w:r w:rsidR="007D273E">
        <w:rPr>
          <w:rFonts w:ascii="Arial" w:hAnsi="Arial" w:cs="Arial"/>
          <w:bCs/>
          <w:sz w:val="24"/>
          <w:szCs w:val="24"/>
        </w:rPr>
        <w:t>, que recomenda</w:t>
      </w:r>
      <w:r w:rsidR="007D273E" w:rsidRPr="00FC2CFE">
        <w:rPr>
          <w:rFonts w:ascii="Arial" w:hAnsi="Arial" w:cs="Arial"/>
          <w:bCs/>
          <w:strike/>
          <w:color w:val="FF0000"/>
          <w:sz w:val="24"/>
          <w:szCs w:val="24"/>
        </w:rPr>
        <w:t>m</w:t>
      </w:r>
      <w:r w:rsidR="007D273E">
        <w:rPr>
          <w:rFonts w:ascii="Arial" w:hAnsi="Arial" w:cs="Arial"/>
          <w:bCs/>
          <w:sz w:val="24"/>
          <w:szCs w:val="24"/>
        </w:rPr>
        <w:t xml:space="preserve"> fortemente a adoção de mecanismos de integridade (</w:t>
      </w:r>
      <w:r w:rsidR="007D273E" w:rsidRPr="007D273E">
        <w:rPr>
          <w:rFonts w:ascii="Arial" w:hAnsi="Arial" w:cs="Arial"/>
          <w:bCs/>
          <w:i/>
          <w:iCs/>
          <w:sz w:val="24"/>
          <w:szCs w:val="24"/>
        </w:rPr>
        <w:t>compliance</w:t>
      </w:r>
      <w:r w:rsidR="007D273E">
        <w:rPr>
          <w:rFonts w:ascii="Arial" w:hAnsi="Arial" w:cs="Arial"/>
          <w:bCs/>
          <w:sz w:val="24"/>
          <w:szCs w:val="24"/>
        </w:rPr>
        <w:t xml:space="preserve">) no âmbito do </w:t>
      </w:r>
      <w:r w:rsidR="00AA372C">
        <w:rPr>
          <w:rFonts w:ascii="Arial" w:hAnsi="Arial" w:cs="Arial"/>
          <w:bCs/>
          <w:sz w:val="24"/>
          <w:szCs w:val="24"/>
        </w:rPr>
        <w:t>Poder Público</w:t>
      </w:r>
      <w:r w:rsidR="007D273E">
        <w:rPr>
          <w:rFonts w:ascii="Arial" w:hAnsi="Arial" w:cs="Arial"/>
          <w:bCs/>
          <w:sz w:val="24"/>
          <w:szCs w:val="24"/>
        </w:rPr>
        <w:t xml:space="preserve">, sem prejuízo da recomendação desta CPI </w:t>
      </w:r>
      <w:r w:rsidR="00AA372C">
        <w:rPr>
          <w:rFonts w:ascii="Arial" w:hAnsi="Arial" w:cs="Arial"/>
          <w:bCs/>
          <w:sz w:val="24"/>
          <w:szCs w:val="24"/>
        </w:rPr>
        <w:t>à realização de</w:t>
      </w:r>
      <w:r w:rsidR="007D273E">
        <w:rPr>
          <w:rFonts w:ascii="Arial" w:hAnsi="Arial" w:cs="Arial"/>
          <w:bCs/>
          <w:sz w:val="24"/>
          <w:szCs w:val="24"/>
        </w:rPr>
        <w:t xml:space="preserve"> auditorias</w:t>
      </w:r>
      <w:r w:rsidR="00421269">
        <w:rPr>
          <w:rFonts w:ascii="Arial" w:hAnsi="Arial" w:cs="Arial"/>
          <w:bCs/>
          <w:sz w:val="24"/>
          <w:szCs w:val="24"/>
        </w:rPr>
        <w:t xml:space="preserve"> externas e/ou</w:t>
      </w:r>
      <w:r w:rsidR="007D273E">
        <w:rPr>
          <w:rFonts w:ascii="Arial" w:hAnsi="Arial" w:cs="Arial"/>
          <w:bCs/>
          <w:sz w:val="24"/>
          <w:szCs w:val="24"/>
        </w:rPr>
        <w:t xml:space="preserve"> independentes</w:t>
      </w:r>
      <w:r w:rsidR="00AA372C">
        <w:rPr>
          <w:rFonts w:ascii="Arial" w:hAnsi="Arial" w:cs="Arial"/>
          <w:bCs/>
          <w:sz w:val="24"/>
          <w:szCs w:val="24"/>
        </w:rPr>
        <w:t xml:space="preserve"> e do acompanhamento </w:t>
      </w:r>
      <w:r w:rsidR="007D273E">
        <w:rPr>
          <w:rFonts w:ascii="Arial" w:hAnsi="Arial" w:cs="Arial"/>
          <w:bCs/>
          <w:sz w:val="24"/>
          <w:szCs w:val="24"/>
        </w:rPr>
        <w:t xml:space="preserve">do Ministério Público e dos demais órgãos de controle sobre </w:t>
      </w:r>
      <w:r w:rsidR="002524DD">
        <w:rPr>
          <w:rFonts w:ascii="Arial" w:hAnsi="Arial" w:cs="Arial"/>
          <w:bCs/>
          <w:sz w:val="24"/>
          <w:szCs w:val="24"/>
        </w:rPr>
        <w:t>a</w:t>
      </w:r>
      <w:r w:rsidR="007D273E">
        <w:rPr>
          <w:rFonts w:ascii="Arial" w:hAnsi="Arial" w:cs="Arial"/>
          <w:bCs/>
          <w:sz w:val="24"/>
          <w:szCs w:val="24"/>
        </w:rPr>
        <w:t>s</w:t>
      </w:r>
      <w:r w:rsidR="002524DD">
        <w:rPr>
          <w:rFonts w:ascii="Arial" w:hAnsi="Arial" w:cs="Arial"/>
          <w:bCs/>
          <w:sz w:val="24"/>
          <w:szCs w:val="24"/>
        </w:rPr>
        <w:t xml:space="preserve"> empresas</w:t>
      </w:r>
      <w:r w:rsidR="007D273E">
        <w:rPr>
          <w:rFonts w:ascii="Arial" w:hAnsi="Arial" w:cs="Arial"/>
          <w:bCs/>
          <w:sz w:val="24"/>
          <w:szCs w:val="24"/>
        </w:rPr>
        <w:t xml:space="preserve"> mencionad</w:t>
      </w:r>
      <w:r w:rsidR="002524DD">
        <w:rPr>
          <w:rFonts w:ascii="Arial" w:hAnsi="Arial" w:cs="Arial"/>
          <w:bCs/>
          <w:sz w:val="24"/>
          <w:szCs w:val="24"/>
        </w:rPr>
        <w:t>a</w:t>
      </w:r>
      <w:r w:rsidR="007D273E">
        <w:rPr>
          <w:rFonts w:ascii="Arial" w:hAnsi="Arial" w:cs="Arial"/>
          <w:bCs/>
          <w:sz w:val="24"/>
          <w:szCs w:val="24"/>
        </w:rPr>
        <w:t>s</w:t>
      </w:r>
      <w:r w:rsidR="00421269">
        <w:rPr>
          <w:rFonts w:ascii="Arial" w:hAnsi="Arial" w:cs="Arial"/>
          <w:bCs/>
          <w:sz w:val="24"/>
          <w:szCs w:val="24"/>
        </w:rPr>
        <w:t>.</w:t>
      </w:r>
    </w:p>
    <w:p w14:paraId="0CC45CDE" w14:textId="77777777" w:rsidR="006E35FD" w:rsidRDefault="006E35FD" w:rsidP="00914DC7">
      <w:pPr>
        <w:spacing w:line="360" w:lineRule="auto"/>
        <w:ind w:firstLine="851"/>
        <w:jc w:val="both"/>
        <w:rPr>
          <w:rFonts w:ascii="Arial" w:hAnsi="Arial" w:cs="Arial"/>
          <w:sz w:val="24"/>
          <w:szCs w:val="24"/>
        </w:rPr>
      </w:pPr>
    </w:p>
    <w:p w14:paraId="781AA945" w14:textId="3269039E" w:rsidR="0014269E" w:rsidRPr="0031082B" w:rsidRDefault="0014269E" w:rsidP="0014269E">
      <w:pPr>
        <w:spacing w:line="360" w:lineRule="auto"/>
        <w:ind w:firstLine="851"/>
        <w:jc w:val="both"/>
        <w:rPr>
          <w:rFonts w:ascii="Arial" w:hAnsi="Arial" w:cs="Arial"/>
          <w:b/>
          <w:sz w:val="24"/>
          <w:szCs w:val="24"/>
        </w:rPr>
      </w:pPr>
      <w:r w:rsidRPr="0031082B">
        <w:rPr>
          <w:rFonts w:ascii="Arial" w:hAnsi="Arial" w:cs="Arial"/>
          <w:b/>
          <w:sz w:val="24"/>
          <w:szCs w:val="24"/>
        </w:rPr>
        <w:t>7.</w:t>
      </w:r>
      <w:r w:rsidR="00036173">
        <w:rPr>
          <w:rFonts w:ascii="Arial" w:hAnsi="Arial" w:cs="Arial"/>
          <w:b/>
          <w:sz w:val="24"/>
          <w:szCs w:val="24"/>
        </w:rPr>
        <w:t>4</w:t>
      </w:r>
      <w:r w:rsidRPr="0031082B">
        <w:rPr>
          <w:rFonts w:ascii="Arial" w:hAnsi="Arial" w:cs="Arial"/>
          <w:b/>
          <w:sz w:val="24"/>
          <w:szCs w:val="24"/>
        </w:rPr>
        <w:t>.2.</w:t>
      </w:r>
      <w:r w:rsidR="00BE1174">
        <w:rPr>
          <w:rFonts w:ascii="Arial" w:hAnsi="Arial" w:cs="Arial"/>
          <w:b/>
          <w:sz w:val="24"/>
          <w:szCs w:val="24"/>
        </w:rPr>
        <w:t>3</w:t>
      </w:r>
      <w:r w:rsidR="0047161C">
        <w:rPr>
          <w:rFonts w:ascii="Arial" w:hAnsi="Arial" w:cs="Arial"/>
          <w:b/>
          <w:sz w:val="24"/>
          <w:szCs w:val="24"/>
        </w:rPr>
        <w:t xml:space="preserve"> –</w:t>
      </w:r>
      <w:r w:rsidRPr="0031082B">
        <w:rPr>
          <w:rFonts w:ascii="Arial" w:hAnsi="Arial" w:cs="Arial"/>
          <w:b/>
          <w:sz w:val="24"/>
          <w:szCs w:val="24"/>
        </w:rPr>
        <w:t xml:space="preserve"> Auditorias </w:t>
      </w:r>
      <w:r>
        <w:rPr>
          <w:rFonts w:ascii="Arial" w:hAnsi="Arial" w:cs="Arial"/>
          <w:b/>
          <w:sz w:val="24"/>
          <w:szCs w:val="24"/>
        </w:rPr>
        <w:t>em que foi constatada a irregularidade</w:t>
      </w:r>
      <w:r w:rsidR="00BE1174">
        <w:rPr>
          <w:rFonts w:ascii="Arial" w:hAnsi="Arial" w:cs="Arial"/>
          <w:b/>
          <w:sz w:val="24"/>
          <w:szCs w:val="24"/>
        </w:rPr>
        <w:t xml:space="preserve"> (Ofício nº 02/2019</w:t>
      </w:r>
      <w:r w:rsidR="00810681">
        <w:rPr>
          <w:rFonts w:ascii="Arial" w:hAnsi="Arial" w:cs="Arial"/>
          <w:b/>
          <w:sz w:val="24"/>
          <w:szCs w:val="24"/>
        </w:rPr>
        <w:t>-CPI</w:t>
      </w:r>
      <w:r w:rsidR="00BE1174">
        <w:rPr>
          <w:rFonts w:ascii="Arial" w:hAnsi="Arial" w:cs="Arial"/>
          <w:b/>
          <w:sz w:val="24"/>
          <w:szCs w:val="24"/>
        </w:rPr>
        <w:t>, item 6.</w:t>
      </w:r>
      <w:r w:rsidR="00810681">
        <w:rPr>
          <w:rFonts w:ascii="Arial" w:hAnsi="Arial" w:cs="Arial"/>
          <w:b/>
          <w:sz w:val="24"/>
          <w:szCs w:val="24"/>
        </w:rPr>
        <w:t>1</w:t>
      </w:r>
      <w:r w:rsidR="00BE1174">
        <w:rPr>
          <w:rFonts w:ascii="Arial" w:hAnsi="Arial" w:cs="Arial"/>
          <w:b/>
          <w:sz w:val="24"/>
          <w:szCs w:val="24"/>
        </w:rPr>
        <w:t>, “b”</w:t>
      </w:r>
      <w:r w:rsidR="009D4B7A">
        <w:rPr>
          <w:rFonts w:ascii="Arial" w:hAnsi="Arial" w:cs="Arial"/>
          <w:b/>
          <w:sz w:val="24"/>
          <w:szCs w:val="24"/>
        </w:rPr>
        <w:t>; Ofício nº 2.500/2019-Economia, p. 496/706</w:t>
      </w:r>
      <w:r w:rsidR="00BE1174">
        <w:rPr>
          <w:rFonts w:ascii="Arial" w:hAnsi="Arial" w:cs="Arial"/>
          <w:b/>
          <w:sz w:val="24"/>
          <w:szCs w:val="24"/>
        </w:rPr>
        <w:t>)</w:t>
      </w:r>
    </w:p>
    <w:p w14:paraId="437F823B" w14:textId="77777777" w:rsidR="0014269E" w:rsidRDefault="0014269E" w:rsidP="00660027">
      <w:pPr>
        <w:spacing w:line="360" w:lineRule="auto"/>
        <w:ind w:firstLine="851"/>
        <w:jc w:val="both"/>
        <w:rPr>
          <w:rFonts w:ascii="Arial" w:hAnsi="Arial" w:cs="Arial"/>
          <w:sz w:val="24"/>
          <w:szCs w:val="24"/>
        </w:rPr>
      </w:pPr>
    </w:p>
    <w:p w14:paraId="6BA5A5FC" w14:textId="65BD680A" w:rsidR="007B606D" w:rsidRDefault="003665D3" w:rsidP="00B422FD">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.2.</w:t>
      </w:r>
      <w:r>
        <w:rPr>
          <w:rFonts w:ascii="Arial" w:hAnsi="Arial" w:cs="Arial"/>
          <w:b/>
          <w:sz w:val="24"/>
          <w:szCs w:val="24"/>
        </w:rPr>
        <w:t>3</w:t>
      </w:r>
      <w:r w:rsidRPr="0031082B">
        <w:rPr>
          <w:rFonts w:ascii="Arial" w:hAnsi="Arial" w:cs="Arial"/>
          <w:b/>
          <w:sz w:val="24"/>
          <w:szCs w:val="24"/>
        </w:rPr>
        <w:t>.</w:t>
      </w:r>
      <w:r>
        <w:rPr>
          <w:rFonts w:ascii="Arial" w:hAnsi="Arial" w:cs="Arial"/>
          <w:b/>
          <w:sz w:val="24"/>
          <w:szCs w:val="24"/>
        </w:rPr>
        <w:t>1.</w:t>
      </w:r>
      <w:r w:rsidRPr="0031082B">
        <w:rPr>
          <w:rFonts w:ascii="Arial" w:hAnsi="Arial" w:cs="Arial"/>
          <w:b/>
          <w:sz w:val="24"/>
          <w:szCs w:val="24"/>
        </w:rPr>
        <w:t xml:space="preserve"> </w:t>
      </w:r>
      <w:r w:rsidR="00712F55">
        <w:rPr>
          <w:rFonts w:ascii="Arial" w:hAnsi="Arial" w:cs="Arial"/>
          <w:sz w:val="24"/>
          <w:szCs w:val="24"/>
        </w:rPr>
        <w:t>Como mencionado, esta CPI também requereu amostras de relatórios de auditoria realizados sobre empresas obrigadas a contrapartidas para fruição de créditos outorgados de ICMS em que foi constatada a irregularidade dessa fruição</w:t>
      </w:r>
      <w:r w:rsidR="007B606D">
        <w:rPr>
          <w:rFonts w:ascii="Arial" w:hAnsi="Arial" w:cs="Arial"/>
          <w:sz w:val="24"/>
          <w:szCs w:val="24"/>
        </w:rPr>
        <w:t>, em relação às pessoas jurídicas aqui cognominadas como Empresa</w:t>
      </w:r>
      <w:r w:rsidR="006760B1">
        <w:rPr>
          <w:rFonts w:ascii="Arial" w:hAnsi="Arial" w:cs="Arial"/>
          <w:sz w:val="24"/>
          <w:szCs w:val="24"/>
        </w:rPr>
        <w:t>s</w:t>
      </w:r>
      <w:r w:rsidR="007B606D">
        <w:rPr>
          <w:rFonts w:ascii="Arial" w:hAnsi="Arial" w:cs="Arial"/>
          <w:sz w:val="24"/>
          <w:szCs w:val="24"/>
        </w:rPr>
        <w:t xml:space="preserve"> 4, 5 e 6</w:t>
      </w:r>
      <w:r w:rsidR="00712F55">
        <w:rPr>
          <w:rFonts w:ascii="Arial" w:hAnsi="Arial" w:cs="Arial"/>
          <w:sz w:val="24"/>
          <w:szCs w:val="24"/>
        </w:rPr>
        <w:t>.</w:t>
      </w:r>
    </w:p>
    <w:p w14:paraId="134703EF" w14:textId="3EE4FEB8" w:rsidR="00B422FD" w:rsidRDefault="00B422FD" w:rsidP="00B422FD">
      <w:pPr>
        <w:spacing w:line="360" w:lineRule="auto"/>
        <w:ind w:firstLine="851"/>
        <w:jc w:val="both"/>
        <w:rPr>
          <w:rFonts w:ascii="Arial" w:hAnsi="Arial" w:cs="Arial"/>
          <w:sz w:val="24"/>
          <w:szCs w:val="24"/>
        </w:rPr>
      </w:pPr>
      <w:r>
        <w:rPr>
          <w:rFonts w:ascii="Arial" w:hAnsi="Arial" w:cs="Arial"/>
          <w:sz w:val="24"/>
          <w:szCs w:val="24"/>
        </w:rPr>
        <w:lastRenderedPageBreak/>
        <w:t xml:space="preserve">Em relação a essa porção do pedido, </w:t>
      </w:r>
      <w:r w:rsidR="00474C62">
        <w:rPr>
          <w:rFonts w:ascii="Arial" w:hAnsi="Arial" w:cs="Arial"/>
          <w:sz w:val="24"/>
          <w:szCs w:val="24"/>
        </w:rPr>
        <w:t>a</w:t>
      </w:r>
      <w:r>
        <w:rPr>
          <w:rFonts w:ascii="Arial" w:hAnsi="Arial" w:cs="Arial"/>
          <w:sz w:val="24"/>
          <w:szCs w:val="24"/>
        </w:rPr>
        <w:t xml:space="preserve"> Secretaria de Estado da Economia acostou </w:t>
      </w:r>
      <w:r w:rsidR="004E2EBA">
        <w:rPr>
          <w:rFonts w:ascii="Arial" w:hAnsi="Arial" w:cs="Arial"/>
          <w:sz w:val="24"/>
          <w:szCs w:val="24"/>
        </w:rPr>
        <w:t>cerca de 200 (duzentas) páginas</w:t>
      </w:r>
      <w:r>
        <w:rPr>
          <w:rFonts w:ascii="Arial" w:hAnsi="Arial" w:cs="Arial"/>
          <w:sz w:val="24"/>
          <w:szCs w:val="24"/>
        </w:rPr>
        <w:t xml:space="preserve"> (Ofício nº 2.500/2019-E</w:t>
      </w:r>
      <w:r w:rsidR="00922335">
        <w:rPr>
          <w:rFonts w:ascii="Arial" w:hAnsi="Arial" w:cs="Arial"/>
          <w:sz w:val="24"/>
          <w:szCs w:val="24"/>
        </w:rPr>
        <w:t>c</w:t>
      </w:r>
      <w:r>
        <w:rPr>
          <w:rFonts w:ascii="Arial" w:hAnsi="Arial" w:cs="Arial"/>
          <w:sz w:val="24"/>
          <w:szCs w:val="24"/>
        </w:rPr>
        <w:t>onomia</w:t>
      </w:r>
      <w:r w:rsidR="00C27515">
        <w:rPr>
          <w:rFonts w:ascii="Arial" w:hAnsi="Arial" w:cs="Arial"/>
          <w:sz w:val="24"/>
          <w:szCs w:val="24"/>
        </w:rPr>
        <w:t>, fls. 496/706</w:t>
      </w:r>
      <w:r w:rsidR="00A8207A">
        <w:rPr>
          <w:rFonts w:ascii="Arial" w:hAnsi="Arial" w:cs="Arial"/>
          <w:sz w:val="24"/>
          <w:szCs w:val="24"/>
        </w:rPr>
        <w:t>)</w:t>
      </w:r>
      <w:r>
        <w:rPr>
          <w:rFonts w:ascii="Arial" w:hAnsi="Arial" w:cs="Arial"/>
          <w:sz w:val="24"/>
          <w:szCs w:val="24"/>
        </w:rPr>
        <w:t>,</w:t>
      </w:r>
      <w:r w:rsidR="00644F37">
        <w:rPr>
          <w:rFonts w:ascii="Arial" w:hAnsi="Arial" w:cs="Arial"/>
          <w:sz w:val="24"/>
          <w:szCs w:val="24"/>
        </w:rPr>
        <w:t xml:space="preserve"> embora </w:t>
      </w:r>
      <w:r w:rsidR="00A14B9C">
        <w:rPr>
          <w:rFonts w:ascii="Arial" w:hAnsi="Arial" w:cs="Arial"/>
          <w:sz w:val="24"/>
          <w:szCs w:val="24"/>
        </w:rPr>
        <w:t>sua maior</w:t>
      </w:r>
      <w:r w:rsidR="00644F37">
        <w:rPr>
          <w:rFonts w:ascii="Arial" w:hAnsi="Arial" w:cs="Arial"/>
          <w:sz w:val="24"/>
          <w:szCs w:val="24"/>
        </w:rPr>
        <w:t xml:space="preserve"> parte esteja total ou parcialmente ilegível</w:t>
      </w:r>
      <w:r>
        <w:rPr>
          <w:rFonts w:ascii="Arial" w:hAnsi="Arial" w:cs="Arial"/>
          <w:sz w:val="24"/>
          <w:szCs w:val="24"/>
        </w:rPr>
        <w:t xml:space="preserve"> </w:t>
      </w:r>
      <w:r w:rsidR="00644F37">
        <w:rPr>
          <w:rFonts w:ascii="Arial" w:hAnsi="Arial" w:cs="Arial"/>
          <w:sz w:val="24"/>
          <w:szCs w:val="24"/>
        </w:rPr>
        <w:t>(</w:t>
      </w:r>
      <w:r>
        <w:rPr>
          <w:rFonts w:ascii="Arial" w:hAnsi="Arial" w:cs="Arial"/>
          <w:sz w:val="24"/>
          <w:szCs w:val="24"/>
        </w:rPr>
        <w:t xml:space="preserve">fls. </w:t>
      </w:r>
      <w:r w:rsidRPr="00DF4EB1">
        <w:rPr>
          <w:rFonts w:ascii="Arial" w:hAnsi="Arial" w:cs="Arial"/>
          <w:sz w:val="24"/>
          <w:szCs w:val="24"/>
        </w:rPr>
        <w:t>496-</w:t>
      </w:r>
      <w:r w:rsidR="00B305D0">
        <w:rPr>
          <w:rFonts w:ascii="Arial" w:hAnsi="Arial" w:cs="Arial"/>
          <w:sz w:val="24"/>
          <w:szCs w:val="24"/>
        </w:rPr>
        <w:t>553, 567-</w:t>
      </w:r>
      <w:r w:rsidRPr="00DF4EB1">
        <w:rPr>
          <w:rFonts w:ascii="Arial" w:hAnsi="Arial" w:cs="Arial"/>
          <w:sz w:val="24"/>
          <w:szCs w:val="24"/>
        </w:rPr>
        <w:t>585, 595/607</w:t>
      </w:r>
      <w:r w:rsidR="00B305D0">
        <w:rPr>
          <w:rFonts w:ascii="Arial" w:hAnsi="Arial" w:cs="Arial"/>
          <w:sz w:val="24"/>
          <w:szCs w:val="24"/>
        </w:rPr>
        <w:t xml:space="preserve"> e</w:t>
      </w:r>
      <w:r w:rsidRPr="00DF4EB1">
        <w:rPr>
          <w:rFonts w:ascii="Arial" w:hAnsi="Arial" w:cs="Arial"/>
          <w:sz w:val="24"/>
          <w:szCs w:val="24"/>
        </w:rPr>
        <w:t xml:space="preserve"> 667-682</w:t>
      </w:r>
      <w:r>
        <w:rPr>
          <w:rFonts w:ascii="Arial" w:hAnsi="Arial" w:cs="Arial"/>
          <w:sz w:val="24"/>
          <w:szCs w:val="24"/>
        </w:rPr>
        <w:t>).</w:t>
      </w:r>
      <w:r w:rsidR="00644F37">
        <w:rPr>
          <w:rFonts w:ascii="Arial" w:hAnsi="Arial" w:cs="Arial"/>
          <w:sz w:val="24"/>
          <w:szCs w:val="24"/>
        </w:rPr>
        <w:t xml:space="preserve"> Mesmo havendo pedido para novo encaminhamento dessa documentação, por meio do Ofício nº 31/2019-CPI, até </w:t>
      </w:r>
      <w:r w:rsidR="009C18EC">
        <w:rPr>
          <w:rFonts w:ascii="Arial" w:hAnsi="Arial" w:cs="Arial"/>
          <w:sz w:val="24"/>
          <w:szCs w:val="24"/>
        </w:rPr>
        <w:t>fevereiro</w:t>
      </w:r>
      <w:r w:rsidR="00644F37">
        <w:rPr>
          <w:rFonts w:ascii="Arial" w:hAnsi="Arial" w:cs="Arial"/>
          <w:sz w:val="24"/>
          <w:szCs w:val="24"/>
        </w:rPr>
        <w:t xml:space="preserve"> de 2020 não havia ainda aportado nenhuma complementação a esta Comissão. Por isso, a análise da CPI a respeito dessa questão se fará de modo mais sumário</w:t>
      </w:r>
      <w:r w:rsidR="00791F60">
        <w:rPr>
          <w:rFonts w:ascii="Arial" w:hAnsi="Arial" w:cs="Arial"/>
          <w:sz w:val="24"/>
          <w:szCs w:val="24"/>
        </w:rPr>
        <w:t xml:space="preserve"> e com base naquilo que foi possível verificar da documentação apresentada</w:t>
      </w:r>
      <w:r w:rsidR="00644F37">
        <w:rPr>
          <w:rFonts w:ascii="Arial" w:hAnsi="Arial" w:cs="Arial"/>
          <w:sz w:val="24"/>
          <w:szCs w:val="24"/>
        </w:rPr>
        <w:t>.</w:t>
      </w:r>
    </w:p>
    <w:p w14:paraId="0C473843" w14:textId="20E659DC" w:rsidR="0050566F" w:rsidRDefault="0050566F" w:rsidP="00B422FD">
      <w:pPr>
        <w:spacing w:line="360" w:lineRule="auto"/>
        <w:ind w:firstLine="851"/>
        <w:jc w:val="both"/>
        <w:rPr>
          <w:rFonts w:ascii="Arial" w:hAnsi="Arial" w:cs="Arial"/>
          <w:sz w:val="24"/>
          <w:szCs w:val="24"/>
        </w:rPr>
      </w:pPr>
      <w:r w:rsidRPr="003D473D">
        <w:rPr>
          <w:rFonts w:ascii="Arial" w:hAnsi="Arial" w:cs="Arial"/>
          <w:sz w:val="24"/>
          <w:szCs w:val="24"/>
        </w:rPr>
        <w:t>Importante destacar, ainda, que</w:t>
      </w:r>
      <w:r w:rsidR="00D45053" w:rsidRPr="003D473D">
        <w:rPr>
          <w:rFonts w:ascii="Arial" w:hAnsi="Arial" w:cs="Arial"/>
          <w:sz w:val="24"/>
          <w:szCs w:val="24"/>
        </w:rPr>
        <w:t xml:space="preserve"> em relação às auditorias em que constatada a irregularidade, assim como naquelas em que constatada a regularidade,</w:t>
      </w:r>
      <w:r w:rsidRPr="003D473D">
        <w:rPr>
          <w:rFonts w:ascii="Arial" w:hAnsi="Arial" w:cs="Arial"/>
          <w:sz w:val="24"/>
          <w:szCs w:val="24"/>
        </w:rPr>
        <w:t xml:space="preserve"> esta CPI solicitou amostras de auditorias realizadas no período de 2014 a 2018, mas </w:t>
      </w:r>
      <w:r w:rsidR="003D473D" w:rsidRPr="00427BDC">
        <w:rPr>
          <w:rFonts w:ascii="Arial" w:hAnsi="Arial" w:cs="Arial"/>
          <w:sz w:val="24"/>
          <w:szCs w:val="24"/>
        </w:rPr>
        <w:t>um dos casos encaminhado</w:t>
      </w:r>
      <w:r w:rsidRPr="00427BDC">
        <w:rPr>
          <w:rFonts w:ascii="Arial" w:hAnsi="Arial" w:cs="Arial"/>
          <w:sz w:val="24"/>
          <w:szCs w:val="24"/>
        </w:rPr>
        <w:t>s</w:t>
      </w:r>
      <w:r w:rsidR="003D473D" w:rsidRPr="00427BDC">
        <w:rPr>
          <w:rFonts w:ascii="Arial" w:hAnsi="Arial" w:cs="Arial"/>
          <w:sz w:val="24"/>
          <w:szCs w:val="24"/>
        </w:rPr>
        <w:t xml:space="preserve"> pela Secretaria de Estado da Economia se refere a crédito outorgado concedido </w:t>
      </w:r>
      <w:r w:rsidR="00706FD4" w:rsidRPr="00427BDC">
        <w:rPr>
          <w:rFonts w:ascii="Arial" w:hAnsi="Arial" w:cs="Arial"/>
          <w:sz w:val="24"/>
          <w:szCs w:val="24"/>
        </w:rPr>
        <w:t>fora do escopo temporal</w:t>
      </w:r>
      <w:r w:rsidR="003D473D" w:rsidRPr="00427BDC">
        <w:rPr>
          <w:rFonts w:ascii="Arial" w:hAnsi="Arial" w:cs="Arial"/>
          <w:sz w:val="24"/>
          <w:szCs w:val="24"/>
        </w:rPr>
        <w:t xml:space="preserve"> objeto de requisição desta CPI</w:t>
      </w:r>
      <w:r w:rsidRPr="003D473D">
        <w:rPr>
          <w:rFonts w:ascii="Arial" w:hAnsi="Arial" w:cs="Arial"/>
          <w:sz w:val="24"/>
          <w:szCs w:val="24"/>
        </w:rPr>
        <w:t>.</w:t>
      </w:r>
    </w:p>
    <w:p w14:paraId="5B12D507" w14:textId="77777777" w:rsidR="003D2D9A" w:rsidRDefault="003D2D9A" w:rsidP="00B422FD">
      <w:pPr>
        <w:spacing w:line="360" w:lineRule="auto"/>
        <w:ind w:firstLine="851"/>
        <w:jc w:val="both"/>
        <w:rPr>
          <w:rFonts w:ascii="Arial" w:hAnsi="Arial" w:cs="Arial"/>
          <w:sz w:val="24"/>
          <w:szCs w:val="24"/>
        </w:rPr>
      </w:pPr>
    </w:p>
    <w:p w14:paraId="527B9282" w14:textId="68A55F87" w:rsidR="00D62127" w:rsidRDefault="0050566F" w:rsidP="0050566F">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.2.</w:t>
      </w:r>
      <w:r>
        <w:rPr>
          <w:rFonts w:ascii="Arial" w:hAnsi="Arial" w:cs="Arial"/>
          <w:b/>
          <w:sz w:val="24"/>
          <w:szCs w:val="24"/>
        </w:rPr>
        <w:t>3</w:t>
      </w:r>
      <w:r w:rsidRPr="0031082B">
        <w:rPr>
          <w:rFonts w:ascii="Arial" w:hAnsi="Arial" w:cs="Arial"/>
          <w:b/>
          <w:sz w:val="24"/>
          <w:szCs w:val="24"/>
        </w:rPr>
        <w:t>.</w:t>
      </w:r>
      <w:r w:rsidR="006F4FA7">
        <w:rPr>
          <w:rFonts w:ascii="Arial" w:hAnsi="Arial" w:cs="Arial"/>
          <w:b/>
          <w:sz w:val="24"/>
          <w:szCs w:val="24"/>
        </w:rPr>
        <w:t>2</w:t>
      </w:r>
      <w:r>
        <w:rPr>
          <w:rFonts w:ascii="Arial" w:hAnsi="Arial" w:cs="Arial"/>
          <w:b/>
          <w:sz w:val="24"/>
          <w:szCs w:val="24"/>
        </w:rPr>
        <w:t>.</w:t>
      </w:r>
      <w:r w:rsidRPr="0031082B">
        <w:rPr>
          <w:rFonts w:ascii="Arial" w:hAnsi="Arial" w:cs="Arial"/>
          <w:b/>
          <w:sz w:val="24"/>
          <w:szCs w:val="24"/>
        </w:rPr>
        <w:t xml:space="preserve"> </w:t>
      </w:r>
      <w:r>
        <w:rPr>
          <w:rFonts w:ascii="Arial" w:hAnsi="Arial" w:cs="Arial"/>
          <w:sz w:val="24"/>
          <w:szCs w:val="24"/>
        </w:rPr>
        <w:t xml:space="preserve">No caso da Empresa </w:t>
      </w:r>
      <w:r w:rsidR="006F4FA7">
        <w:rPr>
          <w:rFonts w:ascii="Arial" w:hAnsi="Arial" w:cs="Arial"/>
          <w:sz w:val="24"/>
          <w:szCs w:val="24"/>
        </w:rPr>
        <w:t>4</w:t>
      </w:r>
      <w:r>
        <w:rPr>
          <w:rFonts w:ascii="Arial" w:hAnsi="Arial" w:cs="Arial"/>
          <w:sz w:val="24"/>
          <w:szCs w:val="24"/>
        </w:rPr>
        <w:t xml:space="preserve">, </w:t>
      </w:r>
      <w:r w:rsidR="003608CC">
        <w:rPr>
          <w:rFonts w:ascii="Arial" w:hAnsi="Arial" w:cs="Arial"/>
          <w:sz w:val="24"/>
          <w:szCs w:val="24"/>
        </w:rPr>
        <w:t xml:space="preserve">esta </w:t>
      </w:r>
      <w:r w:rsidR="005C20AF">
        <w:rPr>
          <w:rFonts w:ascii="Arial" w:hAnsi="Arial" w:cs="Arial"/>
          <w:sz w:val="24"/>
          <w:szCs w:val="24"/>
        </w:rPr>
        <w:t>foi autorizada, mediante TARE,</w:t>
      </w:r>
      <w:r w:rsidR="003608CC">
        <w:rPr>
          <w:rFonts w:ascii="Arial" w:hAnsi="Arial" w:cs="Arial"/>
          <w:sz w:val="24"/>
          <w:szCs w:val="24"/>
        </w:rPr>
        <w:t xml:space="preserve"> </w:t>
      </w:r>
      <w:r w:rsidR="005C20AF">
        <w:rPr>
          <w:rFonts w:ascii="Arial" w:hAnsi="Arial" w:cs="Arial"/>
          <w:sz w:val="24"/>
          <w:szCs w:val="24"/>
        </w:rPr>
        <w:t xml:space="preserve">a escriturar como </w:t>
      </w:r>
      <w:r w:rsidR="003608CC">
        <w:rPr>
          <w:rFonts w:ascii="Arial" w:hAnsi="Arial" w:cs="Arial"/>
          <w:sz w:val="24"/>
          <w:szCs w:val="24"/>
        </w:rPr>
        <w:t>crédito outorgado</w:t>
      </w:r>
      <w:r w:rsidR="00623229">
        <w:rPr>
          <w:rFonts w:ascii="Arial" w:hAnsi="Arial" w:cs="Arial"/>
          <w:sz w:val="24"/>
          <w:szCs w:val="24"/>
        </w:rPr>
        <w:t xml:space="preserve"> parcela não incentivada do ICMS pelo </w:t>
      </w:r>
      <w:r w:rsidR="00456669">
        <w:rPr>
          <w:rFonts w:ascii="Arial" w:hAnsi="Arial" w:cs="Arial"/>
          <w:sz w:val="24"/>
          <w:szCs w:val="24"/>
        </w:rPr>
        <w:t>PRODUZIR</w:t>
      </w:r>
      <w:r w:rsidR="00623229">
        <w:rPr>
          <w:rFonts w:ascii="Arial" w:hAnsi="Arial" w:cs="Arial"/>
          <w:sz w:val="24"/>
          <w:szCs w:val="24"/>
        </w:rPr>
        <w:t xml:space="preserve">, </w:t>
      </w:r>
      <w:r w:rsidR="007207D5">
        <w:rPr>
          <w:rFonts w:ascii="Arial" w:hAnsi="Arial" w:cs="Arial"/>
          <w:sz w:val="24"/>
          <w:szCs w:val="24"/>
        </w:rPr>
        <w:t xml:space="preserve">em valor especificado para fruição em diversas </w:t>
      </w:r>
      <w:r w:rsidR="00D62127">
        <w:rPr>
          <w:rFonts w:ascii="Arial" w:hAnsi="Arial" w:cs="Arial"/>
          <w:sz w:val="24"/>
          <w:szCs w:val="24"/>
        </w:rPr>
        <w:t>parcelas mensais, iguais e sucessivas (Ofício nº 2.500/2019-Economia, p. 501/505).</w:t>
      </w:r>
    </w:p>
    <w:p w14:paraId="399EDFC5" w14:textId="181956A5" w:rsidR="0050566F" w:rsidRDefault="00646A9D" w:rsidP="0050566F">
      <w:pPr>
        <w:spacing w:line="360" w:lineRule="auto"/>
        <w:ind w:firstLine="851"/>
        <w:jc w:val="both"/>
        <w:rPr>
          <w:rFonts w:ascii="Arial" w:hAnsi="Arial" w:cs="Arial"/>
          <w:sz w:val="24"/>
          <w:szCs w:val="24"/>
        </w:rPr>
      </w:pPr>
      <w:r>
        <w:rPr>
          <w:rFonts w:ascii="Arial" w:hAnsi="Arial" w:cs="Arial"/>
          <w:sz w:val="24"/>
          <w:szCs w:val="24"/>
        </w:rPr>
        <w:t>Co</w:t>
      </w:r>
      <w:r w:rsidR="00796F02">
        <w:rPr>
          <w:rFonts w:ascii="Arial" w:hAnsi="Arial" w:cs="Arial"/>
          <w:sz w:val="24"/>
          <w:szCs w:val="24"/>
        </w:rPr>
        <w:t xml:space="preserve">mo </w:t>
      </w:r>
      <w:r w:rsidR="00796F02" w:rsidRPr="007207D5">
        <w:rPr>
          <w:rFonts w:ascii="Arial" w:hAnsi="Arial" w:cs="Arial"/>
          <w:sz w:val="24"/>
          <w:szCs w:val="24"/>
          <w:u w:val="single"/>
        </w:rPr>
        <w:t>contrapartida</w:t>
      </w:r>
      <w:r w:rsidR="007207D5">
        <w:rPr>
          <w:rFonts w:ascii="Arial" w:hAnsi="Arial" w:cs="Arial"/>
          <w:sz w:val="24"/>
          <w:szCs w:val="24"/>
          <w:u w:val="single"/>
        </w:rPr>
        <w:t>s</w:t>
      </w:r>
      <w:r w:rsidR="00D434C9">
        <w:rPr>
          <w:rFonts w:ascii="Arial" w:hAnsi="Arial" w:cs="Arial"/>
          <w:sz w:val="24"/>
          <w:szCs w:val="24"/>
        </w:rPr>
        <w:t>,</w:t>
      </w:r>
      <w:r w:rsidR="00796F02">
        <w:rPr>
          <w:rFonts w:ascii="Arial" w:hAnsi="Arial" w:cs="Arial"/>
          <w:sz w:val="24"/>
          <w:szCs w:val="24"/>
        </w:rPr>
        <w:t xml:space="preserve"> obrigou-se a implantar uma unidade </w:t>
      </w:r>
      <w:r w:rsidR="007207D5">
        <w:rPr>
          <w:rFonts w:ascii="Arial" w:hAnsi="Arial" w:cs="Arial"/>
          <w:sz w:val="24"/>
          <w:szCs w:val="24"/>
        </w:rPr>
        <w:t>industrial</w:t>
      </w:r>
      <w:r w:rsidR="00467D02">
        <w:rPr>
          <w:rFonts w:ascii="Arial" w:hAnsi="Arial" w:cs="Arial"/>
          <w:sz w:val="24"/>
          <w:szCs w:val="24"/>
        </w:rPr>
        <w:t>; a</w:t>
      </w:r>
      <w:r w:rsidR="00796F02">
        <w:rPr>
          <w:rFonts w:ascii="Arial" w:hAnsi="Arial" w:cs="Arial"/>
          <w:sz w:val="24"/>
          <w:szCs w:val="24"/>
        </w:rPr>
        <w:t xml:space="preserve"> investir </w:t>
      </w:r>
      <w:r w:rsidR="007207D5">
        <w:rPr>
          <w:rFonts w:ascii="Arial" w:hAnsi="Arial" w:cs="Arial"/>
          <w:sz w:val="24"/>
          <w:szCs w:val="24"/>
        </w:rPr>
        <w:t>determinada quantia</w:t>
      </w:r>
      <w:r w:rsidR="00796F02">
        <w:rPr>
          <w:rFonts w:ascii="Arial" w:hAnsi="Arial" w:cs="Arial"/>
          <w:sz w:val="24"/>
          <w:szCs w:val="24"/>
        </w:rPr>
        <w:t xml:space="preserve"> na execução de obras e aquisição de máquinas e equipamentos e demais investimentos fixos necessários à implantação do projeto fabril</w:t>
      </w:r>
      <w:r w:rsidR="00467D02">
        <w:rPr>
          <w:rFonts w:ascii="Arial" w:hAnsi="Arial" w:cs="Arial"/>
          <w:sz w:val="24"/>
          <w:szCs w:val="24"/>
        </w:rPr>
        <w:t xml:space="preserve">; </w:t>
      </w:r>
      <w:r w:rsidR="007E5749">
        <w:rPr>
          <w:rFonts w:ascii="Arial" w:hAnsi="Arial" w:cs="Arial"/>
          <w:sz w:val="24"/>
          <w:szCs w:val="24"/>
        </w:rPr>
        <w:t>dentre outras</w:t>
      </w:r>
      <w:r w:rsidR="00EF0573">
        <w:rPr>
          <w:rFonts w:ascii="Arial" w:hAnsi="Arial" w:cs="Arial"/>
          <w:sz w:val="24"/>
          <w:szCs w:val="24"/>
        </w:rPr>
        <w:t>,</w:t>
      </w:r>
      <w:r w:rsidR="007E5749">
        <w:rPr>
          <w:rFonts w:ascii="Arial" w:hAnsi="Arial" w:cs="Arial"/>
          <w:sz w:val="24"/>
          <w:szCs w:val="24"/>
        </w:rPr>
        <w:t xml:space="preserve"> relativas à geração de empregos, produção anual mínima, preferência em relaç</w:t>
      </w:r>
      <w:r w:rsidR="00AF14B7">
        <w:rPr>
          <w:rFonts w:ascii="Arial" w:hAnsi="Arial" w:cs="Arial"/>
          <w:sz w:val="24"/>
          <w:szCs w:val="24"/>
        </w:rPr>
        <w:t xml:space="preserve">ão a fornecedores goianos, prazo limite para início da produção etc </w:t>
      </w:r>
      <w:r w:rsidR="007E5749">
        <w:rPr>
          <w:rFonts w:ascii="Arial" w:hAnsi="Arial" w:cs="Arial"/>
          <w:sz w:val="24"/>
          <w:szCs w:val="24"/>
        </w:rPr>
        <w:t>(</w:t>
      </w:r>
      <w:r w:rsidR="00E50A2A">
        <w:rPr>
          <w:rFonts w:ascii="Arial" w:hAnsi="Arial" w:cs="Arial"/>
          <w:sz w:val="24"/>
          <w:szCs w:val="24"/>
        </w:rPr>
        <w:t>Ofício nº 2.500/2019-Economia, p. 501/505</w:t>
      </w:r>
      <w:r w:rsidR="007E5749">
        <w:rPr>
          <w:rFonts w:ascii="Arial" w:hAnsi="Arial" w:cs="Arial"/>
          <w:sz w:val="24"/>
          <w:szCs w:val="24"/>
        </w:rPr>
        <w:t>)</w:t>
      </w:r>
      <w:r w:rsidR="0050566F">
        <w:rPr>
          <w:rFonts w:ascii="Arial" w:hAnsi="Arial" w:cs="Arial"/>
          <w:sz w:val="24"/>
          <w:szCs w:val="24"/>
        </w:rPr>
        <w:t>.</w:t>
      </w:r>
    </w:p>
    <w:p w14:paraId="7E574B04" w14:textId="55C05C4C" w:rsidR="00796F02" w:rsidRDefault="009F0525" w:rsidP="0050566F">
      <w:pPr>
        <w:spacing w:line="360" w:lineRule="auto"/>
        <w:ind w:firstLine="851"/>
        <w:jc w:val="both"/>
        <w:rPr>
          <w:rFonts w:ascii="Arial" w:hAnsi="Arial" w:cs="Arial"/>
          <w:sz w:val="24"/>
          <w:szCs w:val="24"/>
        </w:rPr>
      </w:pPr>
      <w:r w:rsidRPr="007207D5">
        <w:rPr>
          <w:rFonts w:ascii="Arial" w:hAnsi="Arial" w:cs="Arial"/>
          <w:sz w:val="24"/>
          <w:szCs w:val="24"/>
          <w:u w:val="single"/>
        </w:rPr>
        <w:t>N</w:t>
      </w:r>
      <w:r w:rsidR="00AD0405" w:rsidRPr="007207D5">
        <w:rPr>
          <w:rFonts w:ascii="Arial" w:hAnsi="Arial" w:cs="Arial"/>
          <w:sz w:val="24"/>
          <w:szCs w:val="24"/>
          <w:u w:val="single"/>
        </w:rPr>
        <w:t xml:space="preserve">este caso, houve fiscalização </w:t>
      </w:r>
      <w:r w:rsidR="00AD0405" w:rsidRPr="007207D5">
        <w:rPr>
          <w:rFonts w:ascii="Arial" w:hAnsi="Arial" w:cs="Arial"/>
          <w:i/>
          <w:sz w:val="24"/>
          <w:szCs w:val="24"/>
          <w:u w:val="single"/>
        </w:rPr>
        <w:t>in loco</w:t>
      </w:r>
      <w:r w:rsidR="00AD0405" w:rsidRPr="007207D5">
        <w:rPr>
          <w:rFonts w:ascii="Arial" w:hAnsi="Arial" w:cs="Arial"/>
          <w:sz w:val="24"/>
          <w:szCs w:val="24"/>
          <w:u w:val="single"/>
        </w:rPr>
        <w:t xml:space="preserve"> </w:t>
      </w:r>
      <w:r w:rsidRPr="007207D5">
        <w:rPr>
          <w:rFonts w:ascii="Arial" w:hAnsi="Arial" w:cs="Arial"/>
          <w:sz w:val="24"/>
          <w:szCs w:val="24"/>
          <w:u w:val="single"/>
        </w:rPr>
        <w:t>por parte da</w:t>
      </w:r>
      <w:r w:rsidR="00AD0405" w:rsidRPr="007207D5">
        <w:rPr>
          <w:rFonts w:ascii="Arial" w:hAnsi="Arial" w:cs="Arial"/>
          <w:sz w:val="24"/>
          <w:szCs w:val="24"/>
          <w:u w:val="single"/>
        </w:rPr>
        <w:t xml:space="preserve"> Gerência de Controle de Incentivos Fiscais na sede da empresa</w:t>
      </w:r>
      <w:r w:rsidR="00AD0405">
        <w:rPr>
          <w:rFonts w:ascii="Arial" w:hAnsi="Arial" w:cs="Arial"/>
          <w:sz w:val="24"/>
          <w:szCs w:val="24"/>
        </w:rPr>
        <w:t xml:space="preserve">, na qual se constatou </w:t>
      </w:r>
      <w:r w:rsidR="00755A5D">
        <w:rPr>
          <w:rFonts w:ascii="Arial" w:hAnsi="Arial" w:cs="Arial"/>
          <w:sz w:val="24"/>
          <w:szCs w:val="24"/>
        </w:rPr>
        <w:t xml:space="preserve">que, até o momento da última vistoria, não havia no local nenhuma máquina ou equipamento instalado destinados à produção ou montagem em escala industrial, além de os investimentos efetivamente comprovados </w:t>
      </w:r>
      <w:r w:rsidR="007207D5">
        <w:rPr>
          <w:rFonts w:ascii="Arial" w:hAnsi="Arial" w:cs="Arial"/>
          <w:sz w:val="24"/>
          <w:szCs w:val="24"/>
        </w:rPr>
        <w:t>em determinado período</w:t>
      </w:r>
      <w:r w:rsidR="00755A5D">
        <w:rPr>
          <w:rFonts w:ascii="Arial" w:hAnsi="Arial" w:cs="Arial"/>
          <w:sz w:val="24"/>
          <w:szCs w:val="24"/>
        </w:rPr>
        <w:t xml:space="preserve"> somarem menos de 10% (dez por cento)</w:t>
      </w:r>
      <w:r>
        <w:rPr>
          <w:rFonts w:ascii="Arial" w:hAnsi="Arial" w:cs="Arial"/>
          <w:sz w:val="24"/>
          <w:szCs w:val="24"/>
        </w:rPr>
        <w:t xml:space="preserve"> do mínimo exigido no TARE.</w:t>
      </w:r>
      <w:r w:rsidR="0062272E">
        <w:rPr>
          <w:rFonts w:ascii="Arial" w:hAnsi="Arial" w:cs="Arial"/>
          <w:sz w:val="24"/>
          <w:szCs w:val="24"/>
        </w:rPr>
        <w:t xml:space="preserve"> As conclusões se fizeram acompanhar também de relatórios da Auditoria Básica de ICMS da Gerência de Auditoria de Indústria e Atacado</w:t>
      </w:r>
      <w:r w:rsidR="006B5A15">
        <w:rPr>
          <w:rFonts w:ascii="Arial" w:hAnsi="Arial" w:cs="Arial"/>
          <w:sz w:val="24"/>
          <w:szCs w:val="24"/>
        </w:rPr>
        <w:t xml:space="preserve"> (Ofício nº 2.500/2019-Economia, p. 512/544)</w:t>
      </w:r>
      <w:r w:rsidR="0062272E">
        <w:rPr>
          <w:rFonts w:ascii="Arial" w:hAnsi="Arial" w:cs="Arial"/>
          <w:sz w:val="24"/>
          <w:szCs w:val="24"/>
        </w:rPr>
        <w:t>.</w:t>
      </w:r>
    </w:p>
    <w:p w14:paraId="0CA5EB36" w14:textId="77777777" w:rsidR="00505254" w:rsidRDefault="00505254" w:rsidP="0050566F">
      <w:pPr>
        <w:spacing w:line="360" w:lineRule="auto"/>
        <w:ind w:firstLine="851"/>
        <w:jc w:val="both"/>
        <w:rPr>
          <w:rFonts w:ascii="Arial" w:hAnsi="Arial" w:cs="Arial"/>
          <w:sz w:val="24"/>
          <w:szCs w:val="24"/>
        </w:rPr>
      </w:pPr>
    </w:p>
    <w:p w14:paraId="6213FD66" w14:textId="57E9E5A9" w:rsidR="00323C49" w:rsidRDefault="000C5628" w:rsidP="00461437">
      <w:pPr>
        <w:pBdr>
          <w:top w:val="single" w:sz="4" w:space="1" w:color="auto"/>
          <w:left w:val="single" w:sz="4" w:space="4" w:color="auto"/>
          <w:bottom w:val="single" w:sz="4" w:space="1" w:color="auto"/>
          <w:right w:val="single" w:sz="4" w:space="4" w:color="auto"/>
        </w:pBdr>
        <w:spacing w:line="360" w:lineRule="auto"/>
        <w:ind w:firstLine="851"/>
        <w:jc w:val="both"/>
        <w:rPr>
          <w:rFonts w:ascii="Arial" w:hAnsi="Arial" w:cs="Arial"/>
          <w:sz w:val="24"/>
          <w:szCs w:val="24"/>
        </w:rPr>
      </w:pPr>
      <w:r>
        <w:rPr>
          <w:rFonts w:ascii="Arial" w:hAnsi="Arial" w:cs="Arial"/>
          <w:sz w:val="24"/>
          <w:szCs w:val="24"/>
        </w:rPr>
        <w:t xml:space="preserve">Interessante observar que, </w:t>
      </w:r>
      <w:r w:rsidRPr="00C7787F">
        <w:rPr>
          <w:rFonts w:ascii="Arial" w:hAnsi="Arial" w:cs="Arial"/>
          <w:sz w:val="24"/>
          <w:szCs w:val="24"/>
          <w:u w:val="single"/>
        </w:rPr>
        <w:t xml:space="preserve">ao contrário do que ocorreu com as empresas 1, 2 e 3, descritas no item 7.4.2.2 deste relatório (em relação às quais </w:t>
      </w:r>
      <w:r w:rsidR="005C0439" w:rsidRPr="00C7787F">
        <w:rPr>
          <w:rFonts w:ascii="Arial" w:hAnsi="Arial" w:cs="Arial"/>
          <w:sz w:val="24"/>
          <w:szCs w:val="24"/>
          <w:u w:val="single"/>
        </w:rPr>
        <w:t xml:space="preserve">foi constatada a regularidade no cumprimento das contrapartidas exigidas pelo fisco), neste caso houve atuação </w:t>
      </w:r>
      <w:r w:rsidR="007207D5">
        <w:rPr>
          <w:rFonts w:ascii="Arial" w:hAnsi="Arial" w:cs="Arial"/>
          <w:sz w:val="24"/>
          <w:szCs w:val="24"/>
          <w:u w:val="single"/>
        </w:rPr>
        <w:t xml:space="preserve">efetiva </w:t>
      </w:r>
      <w:r w:rsidR="005C0439" w:rsidRPr="00C7787F">
        <w:rPr>
          <w:rFonts w:ascii="Arial" w:hAnsi="Arial" w:cs="Arial"/>
          <w:sz w:val="24"/>
          <w:szCs w:val="24"/>
          <w:u w:val="single"/>
        </w:rPr>
        <w:t>da Gerência de Controle de Incentivos Fiscais</w:t>
      </w:r>
      <w:r w:rsidR="005C0439">
        <w:rPr>
          <w:rFonts w:ascii="Arial" w:hAnsi="Arial" w:cs="Arial"/>
          <w:sz w:val="24"/>
          <w:szCs w:val="24"/>
        </w:rPr>
        <w:t>, cujo relatório fez-se acompanhar, inclusive, de registros fotográficos que evidenciavam o descumprimento das contrapartidas exigidas (Ofício nº 2.500/2019-Economia, p. 506/511)</w:t>
      </w:r>
      <w:r w:rsidR="0028659C">
        <w:rPr>
          <w:rFonts w:ascii="Arial" w:hAnsi="Arial" w:cs="Arial"/>
          <w:sz w:val="24"/>
          <w:szCs w:val="24"/>
        </w:rPr>
        <w:t>, em complementação à auditoria fiscal da Gerência de Auditoria de Indústria e Atacado</w:t>
      </w:r>
      <w:r w:rsidR="00580CCB">
        <w:rPr>
          <w:rFonts w:ascii="Arial" w:hAnsi="Arial" w:cs="Arial"/>
          <w:sz w:val="24"/>
          <w:szCs w:val="24"/>
        </w:rPr>
        <w:t xml:space="preserve">. </w:t>
      </w:r>
    </w:p>
    <w:p w14:paraId="3829880F" w14:textId="02946A2B" w:rsidR="000C5628" w:rsidRDefault="00580CCB" w:rsidP="00461437">
      <w:pPr>
        <w:pBdr>
          <w:top w:val="single" w:sz="4" w:space="1" w:color="auto"/>
          <w:left w:val="single" w:sz="4" w:space="4" w:color="auto"/>
          <w:bottom w:val="single" w:sz="4" w:space="1" w:color="auto"/>
          <w:right w:val="single" w:sz="4" w:space="4" w:color="auto"/>
        </w:pBdr>
        <w:spacing w:line="360" w:lineRule="auto"/>
        <w:ind w:firstLine="851"/>
        <w:jc w:val="both"/>
        <w:rPr>
          <w:rFonts w:ascii="Arial" w:hAnsi="Arial" w:cs="Arial"/>
          <w:sz w:val="24"/>
          <w:szCs w:val="24"/>
        </w:rPr>
      </w:pPr>
      <w:r>
        <w:rPr>
          <w:rFonts w:ascii="Arial" w:hAnsi="Arial" w:cs="Arial"/>
          <w:sz w:val="24"/>
          <w:szCs w:val="24"/>
        </w:rPr>
        <w:t xml:space="preserve">Isso demonstra que </w:t>
      </w:r>
      <w:r w:rsidRPr="00C7787F">
        <w:rPr>
          <w:rFonts w:ascii="Arial" w:hAnsi="Arial" w:cs="Arial"/>
          <w:sz w:val="24"/>
          <w:szCs w:val="24"/>
          <w:u w:val="single"/>
        </w:rPr>
        <w:t>a própria Secretaria</w:t>
      </w:r>
      <w:r w:rsidR="0028659C" w:rsidRPr="00C7787F">
        <w:rPr>
          <w:rFonts w:ascii="Arial" w:hAnsi="Arial" w:cs="Arial"/>
          <w:sz w:val="24"/>
          <w:szCs w:val="24"/>
          <w:u w:val="single"/>
        </w:rPr>
        <w:t xml:space="preserve"> de Estado da Fazenda (atual Economia) já</w:t>
      </w:r>
      <w:r w:rsidRPr="00C7787F">
        <w:rPr>
          <w:rFonts w:ascii="Arial" w:hAnsi="Arial" w:cs="Arial"/>
          <w:sz w:val="24"/>
          <w:szCs w:val="24"/>
          <w:u w:val="single"/>
        </w:rPr>
        <w:t xml:space="preserve"> reconhec</w:t>
      </w:r>
      <w:r w:rsidR="0028659C" w:rsidRPr="00C7787F">
        <w:rPr>
          <w:rFonts w:ascii="Arial" w:hAnsi="Arial" w:cs="Arial"/>
          <w:sz w:val="24"/>
          <w:szCs w:val="24"/>
          <w:u w:val="single"/>
        </w:rPr>
        <w:t>ia</w:t>
      </w:r>
      <w:r w:rsidRPr="00C7787F">
        <w:rPr>
          <w:rFonts w:ascii="Arial" w:hAnsi="Arial" w:cs="Arial"/>
          <w:sz w:val="24"/>
          <w:szCs w:val="24"/>
          <w:u w:val="single"/>
        </w:rPr>
        <w:t xml:space="preserve"> a importância e a necessidade de fiscalização </w:t>
      </w:r>
      <w:r w:rsidRPr="00C7787F">
        <w:rPr>
          <w:rFonts w:ascii="Arial" w:hAnsi="Arial" w:cs="Arial"/>
          <w:i/>
          <w:sz w:val="24"/>
          <w:szCs w:val="24"/>
          <w:u w:val="single"/>
        </w:rPr>
        <w:t>in loco</w:t>
      </w:r>
      <w:r w:rsidRPr="00C7787F">
        <w:rPr>
          <w:rFonts w:ascii="Arial" w:hAnsi="Arial" w:cs="Arial"/>
          <w:sz w:val="24"/>
          <w:szCs w:val="24"/>
          <w:u w:val="single"/>
        </w:rPr>
        <w:t xml:space="preserve"> </w:t>
      </w:r>
      <w:r w:rsidR="00323C49" w:rsidRPr="00C7787F">
        <w:rPr>
          <w:rFonts w:ascii="Arial" w:hAnsi="Arial" w:cs="Arial"/>
          <w:sz w:val="24"/>
          <w:szCs w:val="24"/>
          <w:u w:val="single"/>
        </w:rPr>
        <w:t>d</w:t>
      </w:r>
      <w:r w:rsidRPr="00C7787F">
        <w:rPr>
          <w:rFonts w:ascii="Arial" w:hAnsi="Arial" w:cs="Arial"/>
          <w:sz w:val="24"/>
          <w:szCs w:val="24"/>
          <w:u w:val="single"/>
        </w:rPr>
        <w:t>as empresas quanto ao cumprimento das contrapartidas</w:t>
      </w:r>
      <w:r w:rsidR="0028659C" w:rsidRPr="00C7787F">
        <w:rPr>
          <w:rFonts w:ascii="Arial" w:hAnsi="Arial" w:cs="Arial"/>
          <w:sz w:val="24"/>
          <w:szCs w:val="24"/>
          <w:u w:val="single"/>
        </w:rPr>
        <w:t xml:space="preserve"> exigidas</w:t>
      </w:r>
      <w:r>
        <w:rPr>
          <w:rFonts w:ascii="Arial" w:hAnsi="Arial" w:cs="Arial"/>
          <w:sz w:val="24"/>
          <w:szCs w:val="24"/>
        </w:rPr>
        <w:t xml:space="preserve">, </w:t>
      </w:r>
      <w:r w:rsidR="00323C49">
        <w:rPr>
          <w:rFonts w:ascii="Arial" w:hAnsi="Arial" w:cs="Arial"/>
          <w:sz w:val="24"/>
          <w:szCs w:val="24"/>
        </w:rPr>
        <w:t xml:space="preserve">em vez de uma análise exclusivamente fiscal, </w:t>
      </w:r>
      <w:r w:rsidR="0028659C">
        <w:rPr>
          <w:rFonts w:ascii="Arial" w:hAnsi="Arial" w:cs="Arial"/>
          <w:sz w:val="24"/>
          <w:szCs w:val="24"/>
        </w:rPr>
        <w:t>tanto que foi realizada neste caso, porém sem uma explicação técnica razoável deixou de ser feita em empresas que fruíram créditos muito maiores</w:t>
      </w:r>
      <w:r w:rsidR="00706FD4">
        <w:rPr>
          <w:rFonts w:ascii="Arial" w:hAnsi="Arial" w:cs="Arial"/>
          <w:sz w:val="24"/>
          <w:szCs w:val="24"/>
        </w:rPr>
        <w:t xml:space="preserve"> que no presente caso</w:t>
      </w:r>
      <w:r w:rsidR="0028659C">
        <w:rPr>
          <w:rFonts w:ascii="Arial" w:hAnsi="Arial" w:cs="Arial"/>
          <w:sz w:val="24"/>
          <w:szCs w:val="24"/>
        </w:rPr>
        <w:t>.</w:t>
      </w:r>
    </w:p>
    <w:p w14:paraId="5A208395" w14:textId="77777777" w:rsidR="00505254" w:rsidRDefault="00505254" w:rsidP="0050566F">
      <w:pPr>
        <w:spacing w:line="360" w:lineRule="auto"/>
        <w:ind w:firstLine="851"/>
        <w:jc w:val="both"/>
        <w:rPr>
          <w:rFonts w:ascii="Arial" w:hAnsi="Arial" w:cs="Arial"/>
          <w:sz w:val="24"/>
          <w:szCs w:val="24"/>
        </w:rPr>
      </w:pPr>
    </w:p>
    <w:p w14:paraId="3CDAD6A7" w14:textId="0621CF76" w:rsidR="00305097" w:rsidRDefault="00782F01" w:rsidP="0050566F">
      <w:pPr>
        <w:spacing w:line="360" w:lineRule="auto"/>
        <w:ind w:firstLine="851"/>
        <w:jc w:val="both"/>
        <w:rPr>
          <w:rFonts w:ascii="Arial" w:hAnsi="Arial" w:cs="Arial"/>
          <w:sz w:val="24"/>
          <w:szCs w:val="24"/>
        </w:rPr>
      </w:pPr>
      <w:r>
        <w:rPr>
          <w:rFonts w:ascii="Arial" w:hAnsi="Arial" w:cs="Arial"/>
          <w:sz w:val="24"/>
          <w:szCs w:val="24"/>
        </w:rPr>
        <w:t xml:space="preserve">Por fim, segue-se informação de </w:t>
      </w:r>
      <w:r w:rsidRPr="00C7787F">
        <w:rPr>
          <w:rFonts w:ascii="Arial" w:hAnsi="Arial" w:cs="Arial"/>
          <w:sz w:val="24"/>
          <w:szCs w:val="24"/>
          <w:u w:val="single"/>
        </w:rPr>
        <w:t>notificação fiscal</w:t>
      </w:r>
      <w:r>
        <w:rPr>
          <w:rFonts w:ascii="Arial" w:hAnsi="Arial" w:cs="Arial"/>
          <w:sz w:val="24"/>
          <w:szCs w:val="24"/>
        </w:rPr>
        <w:t xml:space="preserve"> </w:t>
      </w:r>
      <w:r w:rsidR="007228D9">
        <w:rPr>
          <w:rFonts w:ascii="Arial" w:hAnsi="Arial" w:cs="Arial"/>
          <w:sz w:val="24"/>
          <w:szCs w:val="24"/>
        </w:rPr>
        <w:t>que faculta à empresa</w:t>
      </w:r>
      <w:r w:rsidR="004C0685">
        <w:rPr>
          <w:rFonts w:ascii="Arial" w:hAnsi="Arial" w:cs="Arial"/>
          <w:sz w:val="24"/>
          <w:szCs w:val="24"/>
        </w:rPr>
        <w:t xml:space="preserve"> pagar a multa aplicada ou apresentar impugnação </w:t>
      </w:r>
      <w:r w:rsidR="00B635CC">
        <w:rPr>
          <w:rFonts w:ascii="Arial" w:hAnsi="Arial" w:cs="Arial"/>
          <w:sz w:val="24"/>
          <w:szCs w:val="24"/>
        </w:rPr>
        <w:t>no procedimento administrativo fiscal instaurado, a qual deix</w:t>
      </w:r>
      <w:r w:rsidR="00FA0308">
        <w:rPr>
          <w:rFonts w:ascii="Arial" w:hAnsi="Arial" w:cs="Arial"/>
          <w:sz w:val="24"/>
          <w:szCs w:val="24"/>
        </w:rPr>
        <w:t>ou</w:t>
      </w:r>
      <w:r w:rsidR="00B635CC">
        <w:rPr>
          <w:rFonts w:ascii="Arial" w:hAnsi="Arial" w:cs="Arial"/>
          <w:sz w:val="24"/>
          <w:szCs w:val="24"/>
        </w:rPr>
        <w:t xml:space="preserve"> de pagar qualquer valor e de apresentar qualquer impugnação</w:t>
      </w:r>
      <w:r w:rsidR="00F925AB">
        <w:rPr>
          <w:rFonts w:ascii="Arial" w:hAnsi="Arial" w:cs="Arial"/>
          <w:sz w:val="24"/>
          <w:szCs w:val="24"/>
        </w:rPr>
        <w:t>, conforme Termo de Revelia (Ofício nº 2.500/2019-Economia, p. 55</w:t>
      </w:r>
      <w:r w:rsidR="00305097">
        <w:rPr>
          <w:rFonts w:ascii="Arial" w:hAnsi="Arial" w:cs="Arial"/>
          <w:sz w:val="24"/>
          <w:szCs w:val="24"/>
        </w:rPr>
        <w:t>4</w:t>
      </w:r>
      <w:r w:rsidR="00F925AB">
        <w:rPr>
          <w:rFonts w:ascii="Arial" w:hAnsi="Arial" w:cs="Arial"/>
          <w:sz w:val="24"/>
          <w:szCs w:val="24"/>
        </w:rPr>
        <w:t>)</w:t>
      </w:r>
      <w:r w:rsidR="00B635CC">
        <w:rPr>
          <w:rFonts w:ascii="Arial" w:hAnsi="Arial" w:cs="Arial"/>
          <w:sz w:val="24"/>
          <w:szCs w:val="24"/>
        </w:rPr>
        <w:t xml:space="preserve">. </w:t>
      </w:r>
    </w:p>
    <w:p w14:paraId="006EDACD" w14:textId="6E571783" w:rsidR="00134C8D" w:rsidRDefault="00B635CC" w:rsidP="00F32A42">
      <w:pPr>
        <w:spacing w:line="360" w:lineRule="auto"/>
        <w:ind w:firstLine="851"/>
        <w:jc w:val="both"/>
        <w:rPr>
          <w:rFonts w:ascii="Arial" w:hAnsi="Arial" w:cs="Arial"/>
          <w:sz w:val="24"/>
          <w:szCs w:val="24"/>
        </w:rPr>
      </w:pPr>
      <w:r w:rsidRPr="00C7787F">
        <w:rPr>
          <w:rFonts w:ascii="Arial" w:hAnsi="Arial" w:cs="Arial"/>
          <w:sz w:val="24"/>
          <w:szCs w:val="24"/>
          <w:u w:val="single"/>
        </w:rPr>
        <w:t>Pela péssima condição de legibilidade dos documentos</w:t>
      </w:r>
      <w:r w:rsidR="002800AA" w:rsidRPr="00C7787F">
        <w:rPr>
          <w:rFonts w:ascii="Arial" w:hAnsi="Arial" w:cs="Arial"/>
          <w:sz w:val="24"/>
          <w:szCs w:val="24"/>
          <w:u w:val="single"/>
        </w:rPr>
        <w:t xml:space="preserve"> </w:t>
      </w:r>
      <w:r w:rsidR="00352990" w:rsidRPr="00C7787F">
        <w:rPr>
          <w:rFonts w:ascii="Arial" w:hAnsi="Arial" w:cs="Arial"/>
          <w:sz w:val="24"/>
          <w:szCs w:val="24"/>
          <w:u w:val="single"/>
        </w:rPr>
        <w:t xml:space="preserve">fornecidos a esta CPI </w:t>
      </w:r>
      <w:r w:rsidR="002800AA" w:rsidRPr="00C7787F">
        <w:rPr>
          <w:rFonts w:ascii="Arial" w:hAnsi="Arial" w:cs="Arial"/>
          <w:sz w:val="24"/>
          <w:szCs w:val="24"/>
          <w:u w:val="single"/>
        </w:rPr>
        <w:t xml:space="preserve">(Ofício nº 2.500/2019-Economia, p. </w:t>
      </w:r>
      <w:r w:rsidR="0074017E" w:rsidRPr="00C7787F">
        <w:rPr>
          <w:rFonts w:ascii="Arial" w:hAnsi="Arial" w:cs="Arial"/>
          <w:sz w:val="24"/>
          <w:szCs w:val="24"/>
          <w:u w:val="single"/>
        </w:rPr>
        <w:t xml:space="preserve">497/498 e </w:t>
      </w:r>
      <w:r w:rsidR="002800AA" w:rsidRPr="00C7787F">
        <w:rPr>
          <w:rFonts w:ascii="Arial" w:hAnsi="Arial" w:cs="Arial"/>
          <w:sz w:val="24"/>
          <w:szCs w:val="24"/>
          <w:u w:val="single"/>
        </w:rPr>
        <w:t>5</w:t>
      </w:r>
      <w:r w:rsidR="00424454" w:rsidRPr="00C7787F">
        <w:rPr>
          <w:rFonts w:ascii="Arial" w:hAnsi="Arial" w:cs="Arial"/>
          <w:sz w:val="24"/>
          <w:szCs w:val="24"/>
          <w:u w:val="single"/>
        </w:rPr>
        <w:t>12</w:t>
      </w:r>
      <w:r w:rsidR="002800AA" w:rsidRPr="00C7787F">
        <w:rPr>
          <w:rFonts w:ascii="Arial" w:hAnsi="Arial" w:cs="Arial"/>
          <w:sz w:val="24"/>
          <w:szCs w:val="24"/>
          <w:u w:val="single"/>
        </w:rPr>
        <w:t>/555)</w:t>
      </w:r>
      <w:r w:rsidRPr="00C7787F">
        <w:rPr>
          <w:rFonts w:ascii="Arial" w:hAnsi="Arial" w:cs="Arial"/>
          <w:sz w:val="24"/>
          <w:szCs w:val="24"/>
          <w:u w:val="single"/>
        </w:rPr>
        <w:t>, não foi possível verificar</w:t>
      </w:r>
      <w:r>
        <w:rPr>
          <w:rFonts w:ascii="Arial" w:hAnsi="Arial" w:cs="Arial"/>
          <w:sz w:val="24"/>
          <w:szCs w:val="24"/>
        </w:rPr>
        <w:t xml:space="preserve"> o</w:t>
      </w:r>
      <w:r w:rsidR="00424454">
        <w:rPr>
          <w:rFonts w:ascii="Arial" w:hAnsi="Arial" w:cs="Arial"/>
          <w:sz w:val="24"/>
          <w:szCs w:val="24"/>
        </w:rPr>
        <w:t>s</w:t>
      </w:r>
      <w:r>
        <w:rPr>
          <w:rFonts w:ascii="Arial" w:hAnsi="Arial" w:cs="Arial"/>
          <w:sz w:val="24"/>
          <w:szCs w:val="24"/>
        </w:rPr>
        <w:t xml:space="preserve"> valor</w:t>
      </w:r>
      <w:r w:rsidR="00424454">
        <w:rPr>
          <w:rFonts w:ascii="Arial" w:hAnsi="Arial" w:cs="Arial"/>
          <w:sz w:val="24"/>
          <w:szCs w:val="24"/>
        </w:rPr>
        <w:t>es apropriados indevidamente pela empresa, nem o</w:t>
      </w:r>
      <w:r>
        <w:rPr>
          <w:rFonts w:ascii="Arial" w:hAnsi="Arial" w:cs="Arial"/>
          <w:sz w:val="24"/>
          <w:szCs w:val="24"/>
        </w:rPr>
        <w:t xml:space="preserve"> apurado pelo fisco</w:t>
      </w:r>
      <w:r w:rsidR="0074017E">
        <w:rPr>
          <w:rFonts w:ascii="Arial" w:hAnsi="Arial" w:cs="Arial"/>
          <w:sz w:val="24"/>
          <w:szCs w:val="24"/>
        </w:rPr>
        <w:t xml:space="preserve"> ao final do procedimento fiscal</w:t>
      </w:r>
      <w:r w:rsidR="00352990">
        <w:rPr>
          <w:rFonts w:ascii="Arial" w:hAnsi="Arial" w:cs="Arial"/>
          <w:sz w:val="24"/>
          <w:szCs w:val="24"/>
        </w:rPr>
        <w:t>,</w:t>
      </w:r>
      <w:r w:rsidR="002800AA">
        <w:rPr>
          <w:rFonts w:ascii="Arial" w:hAnsi="Arial" w:cs="Arial"/>
          <w:sz w:val="24"/>
          <w:szCs w:val="24"/>
        </w:rPr>
        <w:t xml:space="preserve"> nem a</w:t>
      </w:r>
      <w:r w:rsidR="00424454">
        <w:rPr>
          <w:rFonts w:ascii="Arial" w:hAnsi="Arial" w:cs="Arial"/>
          <w:sz w:val="24"/>
          <w:szCs w:val="24"/>
        </w:rPr>
        <w:t>inda a</w:t>
      </w:r>
      <w:r w:rsidR="002800AA">
        <w:rPr>
          <w:rFonts w:ascii="Arial" w:hAnsi="Arial" w:cs="Arial"/>
          <w:sz w:val="24"/>
          <w:szCs w:val="24"/>
        </w:rPr>
        <w:t xml:space="preserve"> data exata da lavratura do auto de infração</w:t>
      </w:r>
      <w:r>
        <w:rPr>
          <w:rFonts w:ascii="Arial" w:hAnsi="Arial" w:cs="Arial"/>
          <w:sz w:val="24"/>
          <w:szCs w:val="24"/>
        </w:rPr>
        <w:t>.</w:t>
      </w:r>
    </w:p>
    <w:p w14:paraId="51699DC9" w14:textId="1DB1040A" w:rsidR="00F32A42" w:rsidRPr="00427BDC" w:rsidRDefault="00F32A42" w:rsidP="00F32A42">
      <w:pPr>
        <w:spacing w:line="360" w:lineRule="auto"/>
        <w:ind w:firstLine="851"/>
        <w:jc w:val="both"/>
        <w:rPr>
          <w:rFonts w:ascii="Arial" w:hAnsi="Arial" w:cs="Arial"/>
          <w:sz w:val="24"/>
          <w:szCs w:val="24"/>
        </w:rPr>
      </w:pPr>
      <w:r w:rsidRPr="00427BDC">
        <w:rPr>
          <w:rFonts w:ascii="Arial" w:hAnsi="Arial" w:cs="Arial"/>
          <w:sz w:val="24"/>
          <w:szCs w:val="24"/>
          <w:u w:val="single"/>
        </w:rPr>
        <w:t xml:space="preserve">Provavelmente, tenha </w:t>
      </w:r>
      <w:r w:rsidR="00424454" w:rsidRPr="00427BDC">
        <w:rPr>
          <w:rFonts w:ascii="Arial" w:hAnsi="Arial" w:cs="Arial"/>
          <w:sz w:val="24"/>
          <w:szCs w:val="24"/>
          <w:u w:val="single"/>
        </w:rPr>
        <w:t xml:space="preserve">havido a apropriação </w:t>
      </w:r>
      <w:r w:rsidRPr="00427BDC">
        <w:rPr>
          <w:rFonts w:ascii="Arial" w:hAnsi="Arial" w:cs="Arial"/>
          <w:sz w:val="24"/>
          <w:szCs w:val="24"/>
          <w:u w:val="single"/>
        </w:rPr>
        <w:t>integral</w:t>
      </w:r>
      <w:r w:rsidR="008B6BB5" w:rsidRPr="00427BDC">
        <w:rPr>
          <w:rFonts w:ascii="Arial" w:hAnsi="Arial" w:cs="Arial"/>
          <w:sz w:val="24"/>
          <w:szCs w:val="24"/>
          <w:u w:val="single"/>
        </w:rPr>
        <w:t xml:space="preserve"> do crédito pela empresa</w:t>
      </w:r>
      <w:r w:rsidR="009867E8" w:rsidRPr="00427BDC">
        <w:rPr>
          <w:rFonts w:ascii="Arial" w:hAnsi="Arial" w:cs="Arial"/>
          <w:sz w:val="24"/>
          <w:szCs w:val="24"/>
          <w:u w:val="single"/>
        </w:rPr>
        <w:t xml:space="preserve"> e, somente anos mais tarde, o fisco detectou e realizou o </w:t>
      </w:r>
      <w:r w:rsidRPr="00427BDC">
        <w:rPr>
          <w:rFonts w:ascii="Arial" w:hAnsi="Arial" w:cs="Arial"/>
          <w:sz w:val="24"/>
          <w:szCs w:val="24"/>
          <w:u w:val="single"/>
        </w:rPr>
        <w:t xml:space="preserve">procedimento </w:t>
      </w:r>
      <w:r w:rsidR="009867E8" w:rsidRPr="00427BDC">
        <w:rPr>
          <w:rFonts w:ascii="Arial" w:hAnsi="Arial" w:cs="Arial"/>
          <w:sz w:val="24"/>
          <w:szCs w:val="24"/>
          <w:u w:val="single"/>
        </w:rPr>
        <w:t>fiscal correspondente</w:t>
      </w:r>
      <w:r w:rsidR="008B6BB5" w:rsidRPr="00427BDC">
        <w:rPr>
          <w:rFonts w:ascii="Arial" w:hAnsi="Arial" w:cs="Arial"/>
          <w:sz w:val="24"/>
          <w:szCs w:val="24"/>
        </w:rPr>
        <w:t>,</w:t>
      </w:r>
      <w:r w:rsidR="00BA7F1A" w:rsidRPr="00427BDC">
        <w:rPr>
          <w:rFonts w:ascii="Arial" w:hAnsi="Arial" w:cs="Arial"/>
          <w:sz w:val="24"/>
          <w:szCs w:val="24"/>
        </w:rPr>
        <w:t xml:space="preserve"> visando à recuperação integral dos valores,</w:t>
      </w:r>
      <w:r w:rsidR="008B6BB5" w:rsidRPr="00427BDC">
        <w:rPr>
          <w:rFonts w:ascii="Arial" w:hAnsi="Arial" w:cs="Arial"/>
          <w:sz w:val="24"/>
          <w:szCs w:val="24"/>
        </w:rPr>
        <w:t xml:space="preserve"> </w:t>
      </w:r>
      <w:r w:rsidR="009867E8" w:rsidRPr="00427BDC">
        <w:rPr>
          <w:rFonts w:ascii="Arial" w:hAnsi="Arial" w:cs="Arial"/>
          <w:sz w:val="24"/>
          <w:szCs w:val="24"/>
        </w:rPr>
        <w:t>a revelar a ausência de uma atuação mais efetiva que inibisse o aproveitamento de créditos durante o acompanhamento periódico realizado pela Gerência de Controle de Incentivos Fiscais</w:t>
      </w:r>
      <w:r w:rsidRPr="00427BDC">
        <w:rPr>
          <w:rFonts w:ascii="Arial" w:hAnsi="Arial" w:cs="Arial"/>
          <w:sz w:val="24"/>
          <w:szCs w:val="24"/>
        </w:rPr>
        <w:t>.</w:t>
      </w:r>
    </w:p>
    <w:p w14:paraId="3F329E21" w14:textId="1604D392" w:rsidR="003D10E8" w:rsidRDefault="007228D9" w:rsidP="003D10E8">
      <w:pPr>
        <w:spacing w:line="360" w:lineRule="auto"/>
        <w:ind w:firstLine="851"/>
        <w:jc w:val="both"/>
        <w:rPr>
          <w:rFonts w:ascii="Arial" w:hAnsi="Arial" w:cs="Arial"/>
          <w:sz w:val="24"/>
          <w:szCs w:val="24"/>
        </w:rPr>
      </w:pPr>
      <w:r>
        <w:rPr>
          <w:rFonts w:ascii="Arial" w:hAnsi="Arial" w:cs="Arial"/>
          <w:sz w:val="24"/>
          <w:szCs w:val="24"/>
        </w:rPr>
        <w:t xml:space="preserve">Também não </w:t>
      </w:r>
      <w:r w:rsidR="008528FB">
        <w:rPr>
          <w:rFonts w:ascii="Arial" w:hAnsi="Arial" w:cs="Arial"/>
          <w:sz w:val="24"/>
          <w:szCs w:val="24"/>
        </w:rPr>
        <w:t xml:space="preserve">foram fornecidas a esta CPI outros documentos que comprovassem </w:t>
      </w:r>
      <w:r w:rsidR="00FF0591">
        <w:rPr>
          <w:rFonts w:ascii="Arial" w:hAnsi="Arial" w:cs="Arial"/>
          <w:sz w:val="24"/>
          <w:szCs w:val="24"/>
        </w:rPr>
        <w:t>a adoção de</w:t>
      </w:r>
      <w:r>
        <w:rPr>
          <w:rFonts w:ascii="Arial" w:hAnsi="Arial" w:cs="Arial"/>
          <w:sz w:val="24"/>
          <w:szCs w:val="24"/>
        </w:rPr>
        <w:t xml:space="preserve"> providências no sentido de </w:t>
      </w:r>
      <w:r w:rsidR="00AF6E32">
        <w:rPr>
          <w:rFonts w:ascii="Arial" w:hAnsi="Arial" w:cs="Arial"/>
          <w:sz w:val="24"/>
          <w:szCs w:val="24"/>
        </w:rPr>
        <w:t>recuperar o valor do crédito indevidamente apropriado pela empresa.</w:t>
      </w:r>
      <w:r>
        <w:rPr>
          <w:rFonts w:ascii="Arial" w:hAnsi="Arial" w:cs="Arial"/>
          <w:sz w:val="24"/>
          <w:szCs w:val="24"/>
        </w:rPr>
        <w:t xml:space="preserve"> </w:t>
      </w:r>
      <w:r w:rsidR="00AD332C">
        <w:rPr>
          <w:rFonts w:ascii="Arial" w:hAnsi="Arial" w:cs="Arial"/>
          <w:sz w:val="24"/>
          <w:szCs w:val="24"/>
        </w:rPr>
        <w:t xml:space="preserve">Ao contrário, </w:t>
      </w:r>
      <w:r w:rsidR="003D10E8" w:rsidRPr="0005612F">
        <w:rPr>
          <w:rFonts w:ascii="Arial" w:hAnsi="Arial" w:cs="Arial"/>
          <w:sz w:val="24"/>
          <w:szCs w:val="24"/>
          <w:u w:val="single"/>
        </w:rPr>
        <w:t>verifica-se, a</w:t>
      </w:r>
      <w:r w:rsidR="00706FD4">
        <w:rPr>
          <w:rFonts w:ascii="Arial" w:hAnsi="Arial" w:cs="Arial"/>
          <w:sz w:val="24"/>
          <w:szCs w:val="24"/>
          <w:u w:val="single"/>
        </w:rPr>
        <w:t>inda, que mesmo após a autuação a</w:t>
      </w:r>
      <w:r w:rsidR="003D10E8" w:rsidRPr="0005612F">
        <w:rPr>
          <w:rFonts w:ascii="Arial" w:hAnsi="Arial" w:cs="Arial"/>
          <w:sz w:val="24"/>
          <w:szCs w:val="24"/>
          <w:u w:val="single"/>
        </w:rPr>
        <w:t xml:space="preserve"> empresa continuou fruindo créditos outorgados</w:t>
      </w:r>
      <w:r w:rsidR="003D10E8" w:rsidRPr="00134C8D">
        <w:rPr>
          <w:rFonts w:ascii="Arial" w:hAnsi="Arial" w:cs="Arial"/>
          <w:sz w:val="24"/>
          <w:szCs w:val="24"/>
        </w:rPr>
        <w:t>,</w:t>
      </w:r>
      <w:r w:rsidR="003D10E8">
        <w:rPr>
          <w:rFonts w:ascii="Arial" w:hAnsi="Arial" w:cs="Arial"/>
          <w:sz w:val="24"/>
          <w:szCs w:val="24"/>
        </w:rPr>
        <w:t xml:space="preserve"> </w:t>
      </w:r>
      <w:r w:rsidR="003D10E8" w:rsidRPr="00134C8D">
        <w:rPr>
          <w:rFonts w:ascii="Arial" w:hAnsi="Arial" w:cs="Arial"/>
          <w:sz w:val="24"/>
          <w:szCs w:val="24"/>
        </w:rPr>
        <w:t xml:space="preserve">posto que sua </w:t>
      </w:r>
      <w:r w:rsidR="003D10E8" w:rsidRPr="00134C8D">
        <w:rPr>
          <w:rFonts w:ascii="Arial" w:hAnsi="Arial" w:cs="Arial"/>
          <w:sz w:val="24"/>
          <w:szCs w:val="24"/>
        </w:rPr>
        <w:lastRenderedPageBreak/>
        <w:t xml:space="preserve">escrituração fiscal digital </w:t>
      </w:r>
      <w:r w:rsidR="003D10E8">
        <w:rPr>
          <w:rFonts w:ascii="Arial" w:hAnsi="Arial" w:cs="Arial"/>
          <w:sz w:val="24"/>
          <w:szCs w:val="24"/>
        </w:rPr>
        <w:t xml:space="preserve">indica </w:t>
      </w:r>
      <w:r w:rsidR="003D10E8" w:rsidRPr="00134C8D">
        <w:rPr>
          <w:rFonts w:ascii="Arial" w:hAnsi="Arial" w:cs="Arial"/>
          <w:sz w:val="24"/>
          <w:szCs w:val="24"/>
        </w:rPr>
        <w:t xml:space="preserve">a fruição </w:t>
      </w:r>
      <w:r w:rsidR="003D10E8">
        <w:rPr>
          <w:rFonts w:ascii="Arial" w:hAnsi="Arial" w:cs="Arial"/>
          <w:sz w:val="24"/>
          <w:szCs w:val="24"/>
        </w:rPr>
        <w:t>de</w:t>
      </w:r>
      <w:r w:rsidR="007207D5">
        <w:rPr>
          <w:rFonts w:ascii="Arial" w:hAnsi="Arial" w:cs="Arial"/>
          <w:sz w:val="24"/>
          <w:szCs w:val="24"/>
        </w:rPr>
        <w:t>sses</w:t>
      </w:r>
      <w:r w:rsidR="003D10E8">
        <w:rPr>
          <w:rFonts w:ascii="Arial" w:hAnsi="Arial" w:cs="Arial"/>
          <w:sz w:val="24"/>
          <w:szCs w:val="24"/>
        </w:rPr>
        <w:t xml:space="preserve"> créditos ao longo de todos os anos </w:t>
      </w:r>
      <w:r w:rsidR="003D10E8" w:rsidRPr="00134C8D">
        <w:rPr>
          <w:rFonts w:ascii="Arial" w:hAnsi="Arial" w:cs="Arial"/>
          <w:sz w:val="24"/>
          <w:szCs w:val="24"/>
        </w:rPr>
        <w:t>objeto de investigação desta CPI (2014 a 2018</w:t>
      </w:r>
      <w:r w:rsidR="003D10E8">
        <w:rPr>
          <w:rFonts w:ascii="Arial" w:hAnsi="Arial" w:cs="Arial"/>
          <w:sz w:val="24"/>
          <w:szCs w:val="24"/>
        </w:rPr>
        <w:t xml:space="preserve"> – Ofício nº 2.756/2019-Economia, p. 13, item 559</w:t>
      </w:r>
      <w:r w:rsidR="003D10E8" w:rsidRPr="00134C8D">
        <w:rPr>
          <w:rFonts w:ascii="Arial" w:hAnsi="Arial" w:cs="Arial"/>
          <w:sz w:val="24"/>
          <w:szCs w:val="24"/>
        </w:rPr>
        <w:t>).</w:t>
      </w:r>
    </w:p>
    <w:p w14:paraId="6135E721" w14:textId="453403E0" w:rsidR="00CF6F2E" w:rsidRDefault="00CF6F2E" w:rsidP="0050566F">
      <w:pPr>
        <w:spacing w:line="360" w:lineRule="auto"/>
        <w:ind w:firstLine="851"/>
        <w:jc w:val="both"/>
        <w:rPr>
          <w:rFonts w:ascii="Arial" w:hAnsi="Arial" w:cs="Arial"/>
          <w:sz w:val="24"/>
          <w:szCs w:val="24"/>
        </w:rPr>
      </w:pPr>
    </w:p>
    <w:p w14:paraId="3F2D3154" w14:textId="70225C6F" w:rsidR="00975F2B" w:rsidRDefault="00975F2B" w:rsidP="00975F2B">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.2.</w:t>
      </w:r>
      <w:r>
        <w:rPr>
          <w:rFonts w:ascii="Arial" w:hAnsi="Arial" w:cs="Arial"/>
          <w:b/>
          <w:sz w:val="24"/>
          <w:szCs w:val="24"/>
        </w:rPr>
        <w:t>3</w:t>
      </w:r>
      <w:r w:rsidRPr="0031082B">
        <w:rPr>
          <w:rFonts w:ascii="Arial" w:hAnsi="Arial" w:cs="Arial"/>
          <w:b/>
          <w:sz w:val="24"/>
          <w:szCs w:val="24"/>
        </w:rPr>
        <w:t>.</w:t>
      </w:r>
      <w:r w:rsidR="006F4FA7">
        <w:rPr>
          <w:rFonts w:ascii="Arial" w:hAnsi="Arial" w:cs="Arial"/>
          <w:b/>
          <w:sz w:val="24"/>
          <w:szCs w:val="24"/>
        </w:rPr>
        <w:t>3</w:t>
      </w:r>
      <w:r>
        <w:rPr>
          <w:rFonts w:ascii="Arial" w:hAnsi="Arial" w:cs="Arial"/>
          <w:b/>
          <w:sz w:val="24"/>
          <w:szCs w:val="24"/>
        </w:rPr>
        <w:t>.</w:t>
      </w:r>
      <w:r w:rsidRPr="0031082B">
        <w:rPr>
          <w:rFonts w:ascii="Arial" w:hAnsi="Arial" w:cs="Arial"/>
          <w:b/>
          <w:sz w:val="24"/>
          <w:szCs w:val="24"/>
        </w:rPr>
        <w:t xml:space="preserve"> </w:t>
      </w:r>
      <w:r w:rsidR="00B74592" w:rsidRPr="00B74592">
        <w:rPr>
          <w:rFonts w:ascii="Arial" w:hAnsi="Arial" w:cs="Arial"/>
          <w:sz w:val="24"/>
          <w:szCs w:val="24"/>
        </w:rPr>
        <w:t>O</w:t>
      </w:r>
      <w:r w:rsidR="00FD1384">
        <w:rPr>
          <w:rFonts w:ascii="Arial" w:hAnsi="Arial" w:cs="Arial"/>
          <w:sz w:val="24"/>
          <w:szCs w:val="24"/>
        </w:rPr>
        <w:t>utro</w:t>
      </w:r>
      <w:r w:rsidR="00B74592">
        <w:rPr>
          <w:rFonts w:ascii="Arial" w:hAnsi="Arial" w:cs="Arial"/>
          <w:sz w:val="24"/>
          <w:szCs w:val="24"/>
        </w:rPr>
        <w:t xml:space="preserve"> caso em que constatada irregularidade se trata </w:t>
      </w:r>
      <w:r>
        <w:rPr>
          <w:rFonts w:ascii="Arial" w:hAnsi="Arial" w:cs="Arial"/>
          <w:sz w:val="24"/>
          <w:szCs w:val="24"/>
        </w:rPr>
        <w:t xml:space="preserve">da Empresa </w:t>
      </w:r>
      <w:r w:rsidR="00CF6F2E">
        <w:rPr>
          <w:rFonts w:ascii="Arial" w:hAnsi="Arial" w:cs="Arial"/>
          <w:sz w:val="24"/>
          <w:szCs w:val="24"/>
        </w:rPr>
        <w:t>5</w:t>
      </w:r>
      <w:r>
        <w:rPr>
          <w:rFonts w:ascii="Arial" w:hAnsi="Arial" w:cs="Arial"/>
          <w:sz w:val="24"/>
          <w:szCs w:val="24"/>
        </w:rPr>
        <w:t>,</w:t>
      </w:r>
      <w:r w:rsidR="00CD156E">
        <w:rPr>
          <w:rFonts w:ascii="Arial" w:hAnsi="Arial" w:cs="Arial"/>
          <w:sz w:val="24"/>
          <w:szCs w:val="24"/>
        </w:rPr>
        <w:t xml:space="preserve"> a qual</w:t>
      </w:r>
      <w:r w:rsidR="00B74592">
        <w:rPr>
          <w:rFonts w:ascii="Arial" w:hAnsi="Arial" w:cs="Arial"/>
          <w:sz w:val="24"/>
          <w:szCs w:val="24"/>
        </w:rPr>
        <w:t xml:space="preserve"> se comprometeu a realizar</w:t>
      </w:r>
      <w:r w:rsidR="00B74592" w:rsidRPr="007207D5">
        <w:rPr>
          <w:rFonts w:ascii="Arial" w:hAnsi="Arial" w:cs="Arial"/>
          <w:sz w:val="24"/>
          <w:szCs w:val="24"/>
        </w:rPr>
        <w:t xml:space="preserve"> investimentos para fazer j</w:t>
      </w:r>
      <w:r w:rsidR="00B74592">
        <w:rPr>
          <w:rFonts w:ascii="Arial" w:hAnsi="Arial" w:cs="Arial"/>
          <w:sz w:val="24"/>
          <w:szCs w:val="24"/>
        </w:rPr>
        <w:t xml:space="preserve">us ao aproveitamento de crédito outorgado para apropriação em </w:t>
      </w:r>
      <w:r w:rsidR="007207D5">
        <w:rPr>
          <w:rFonts w:ascii="Arial" w:hAnsi="Arial" w:cs="Arial"/>
          <w:sz w:val="24"/>
          <w:szCs w:val="24"/>
        </w:rPr>
        <w:t xml:space="preserve">diversas </w:t>
      </w:r>
      <w:r w:rsidR="00B74592">
        <w:rPr>
          <w:rFonts w:ascii="Arial" w:hAnsi="Arial" w:cs="Arial"/>
          <w:sz w:val="24"/>
          <w:szCs w:val="24"/>
        </w:rPr>
        <w:t>parcelas mensais.</w:t>
      </w:r>
    </w:p>
    <w:p w14:paraId="08EDB93E" w14:textId="703B74EC" w:rsidR="00CD156E" w:rsidRDefault="00CD156E" w:rsidP="00975F2B">
      <w:pPr>
        <w:spacing w:line="360" w:lineRule="auto"/>
        <w:ind w:firstLine="851"/>
        <w:jc w:val="both"/>
        <w:rPr>
          <w:rFonts w:ascii="Arial" w:hAnsi="Arial" w:cs="Arial"/>
          <w:sz w:val="24"/>
          <w:szCs w:val="24"/>
        </w:rPr>
      </w:pPr>
      <w:r w:rsidRPr="00CD156E">
        <w:rPr>
          <w:rFonts w:ascii="Arial" w:hAnsi="Arial" w:cs="Arial"/>
          <w:sz w:val="24"/>
          <w:szCs w:val="24"/>
          <w:u w:val="single"/>
        </w:rPr>
        <w:t xml:space="preserve">Ao término do 4º semestre de vigência do TARE, a empresa deveria comprovar um total acumulado </w:t>
      </w:r>
      <w:r w:rsidR="00706FD4">
        <w:rPr>
          <w:rFonts w:ascii="Arial" w:hAnsi="Arial" w:cs="Arial"/>
          <w:sz w:val="24"/>
          <w:szCs w:val="24"/>
          <w:u w:val="single"/>
        </w:rPr>
        <w:t>a título de investimentos</w:t>
      </w:r>
      <w:r>
        <w:rPr>
          <w:rFonts w:ascii="Arial" w:hAnsi="Arial" w:cs="Arial"/>
          <w:sz w:val="24"/>
          <w:szCs w:val="24"/>
        </w:rPr>
        <w:t xml:space="preserve">, </w:t>
      </w:r>
      <w:r w:rsidRPr="00B8722E">
        <w:rPr>
          <w:rFonts w:ascii="Arial" w:hAnsi="Arial" w:cs="Arial"/>
          <w:sz w:val="24"/>
          <w:szCs w:val="24"/>
        </w:rPr>
        <w:t>mas terminou aquele semestre com</w:t>
      </w:r>
      <w:r w:rsidR="001213AA">
        <w:rPr>
          <w:rFonts w:ascii="Arial" w:hAnsi="Arial" w:cs="Arial"/>
          <w:sz w:val="24"/>
          <w:szCs w:val="24"/>
        </w:rPr>
        <w:t xml:space="preserve"> a</w:t>
      </w:r>
      <w:r w:rsidRPr="00B8722E">
        <w:rPr>
          <w:rFonts w:ascii="Arial" w:hAnsi="Arial" w:cs="Arial"/>
          <w:sz w:val="24"/>
          <w:szCs w:val="24"/>
        </w:rPr>
        <w:t xml:space="preserve"> comprovação de</w:t>
      </w:r>
      <w:r w:rsidR="009B01EE" w:rsidRPr="00B8722E">
        <w:rPr>
          <w:rFonts w:ascii="Arial" w:hAnsi="Arial" w:cs="Arial"/>
          <w:sz w:val="24"/>
          <w:szCs w:val="24"/>
        </w:rPr>
        <w:t xml:space="preserve"> quantia ligeiramente menor</w:t>
      </w:r>
      <w:r w:rsidR="00E47DF0" w:rsidRPr="00B8722E">
        <w:rPr>
          <w:rFonts w:ascii="Arial" w:hAnsi="Arial" w:cs="Arial"/>
          <w:sz w:val="24"/>
          <w:szCs w:val="24"/>
        </w:rPr>
        <w:t xml:space="preserve">, portanto </w:t>
      </w:r>
      <w:r w:rsidR="009B01EE" w:rsidRPr="00B8722E">
        <w:rPr>
          <w:rFonts w:ascii="Arial" w:hAnsi="Arial" w:cs="Arial"/>
          <w:sz w:val="24"/>
          <w:szCs w:val="24"/>
        </w:rPr>
        <w:t xml:space="preserve">inferior </w:t>
      </w:r>
      <w:r w:rsidR="00E47DF0" w:rsidRPr="00B8722E">
        <w:rPr>
          <w:rFonts w:ascii="Arial" w:hAnsi="Arial" w:cs="Arial"/>
          <w:sz w:val="24"/>
          <w:szCs w:val="24"/>
        </w:rPr>
        <w:t>ao investimento mínimo</w:t>
      </w:r>
      <w:r w:rsidR="004E0599" w:rsidRPr="00B8722E">
        <w:rPr>
          <w:rFonts w:ascii="Arial" w:hAnsi="Arial" w:cs="Arial"/>
          <w:sz w:val="24"/>
          <w:szCs w:val="24"/>
        </w:rPr>
        <w:t xml:space="preserve"> previsto no TARE</w:t>
      </w:r>
      <w:r w:rsidR="004D256C" w:rsidRPr="00B8722E">
        <w:rPr>
          <w:rFonts w:ascii="Arial" w:hAnsi="Arial" w:cs="Arial"/>
          <w:sz w:val="24"/>
          <w:szCs w:val="24"/>
        </w:rPr>
        <w:t>, o que lhe ensejou a</w:t>
      </w:r>
      <w:r w:rsidR="004D256C">
        <w:rPr>
          <w:rFonts w:ascii="Arial" w:hAnsi="Arial" w:cs="Arial"/>
          <w:sz w:val="24"/>
          <w:szCs w:val="24"/>
        </w:rPr>
        <w:t xml:space="preserve"> autuação </w:t>
      </w:r>
      <w:r w:rsidR="004D256C" w:rsidRPr="001213AA">
        <w:rPr>
          <w:rFonts w:ascii="Arial" w:hAnsi="Arial" w:cs="Arial"/>
          <w:sz w:val="24"/>
          <w:szCs w:val="24"/>
        </w:rPr>
        <w:t>fiscal</w:t>
      </w:r>
      <w:r w:rsidR="001213AA" w:rsidRPr="001213AA">
        <w:rPr>
          <w:rFonts w:ascii="Arial" w:hAnsi="Arial" w:cs="Arial"/>
          <w:color w:val="FF0000"/>
          <w:sz w:val="24"/>
          <w:szCs w:val="24"/>
        </w:rPr>
        <w:t xml:space="preserve"> </w:t>
      </w:r>
      <w:r w:rsidR="004D256C" w:rsidRPr="001213AA">
        <w:rPr>
          <w:rFonts w:ascii="Arial" w:hAnsi="Arial" w:cs="Arial"/>
          <w:sz w:val="24"/>
          <w:szCs w:val="24"/>
        </w:rPr>
        <w:t>para</w:t>
      </w:r>
      <w:r w:rsidR="004D256C">
        <w:rPr>
          <w:rFonts w:ascii="Arial" w:hAnsi="Arial" w:cs="Arial"/>
          <w:sz w:val="24"/>
          <w:szCs w:val="24"/>
        </w:rPr>
        <w:t xml:space="preserve"> estornar os valores </w:t>
      </w:r>
      <w:r w:rsidR="00ED5C2D">
        <w:rPr>
          <w:rFonts w:ascii="Arial" w:hAnsi="Arial" w:cs="Arial"/>
          <w:sz w:val="24"/>
          <w:szCs w:val="24"/>
        </w:rPr>
        <w:t xml:space="preserve">apropriados a maior </w:t>
      </w:r>
      <w:r w:rsidR="00E47DF0">
        <w:rPr>
          <w:rFonts w:ascii="Arial" w:hAnsi="Arial" w:cs="Arial"/>
          <w:sz w:val="24"/>
          <w:szCs w:val="24"/>
        </w:rPr>
        <w:t>(Ofício nº 2.</w:t>
      </w:r>
      <w:r w:rsidR="00CB4DA2">
        <w:rPr>
          <w:rFonts w:ascii="Arial" w:hAnsi="Arial" w:cs="Arial"/>
          <w:sz w:val="24"/>
          <w:szCs w:val="24"/>
        </w:rPr>
        <w:t>500</w:t>
      </w:r>
      <w:r w:rsidR="00E47DF0">
        <w:rPr>
          <w:rFonts w:ascii="Arial" w:hAnsi="Arial" w:cs="Arial"/>
          <w:sz w:val="24"/>
          <w:szCs w:val="24"/>
        </w:rPr>
        <w:t xml:space="preserve">/2019-Economia, p. </w:t>
      </w:r>
      <w:r w:rsidR="00CB4DA2">
        <w:rPr>
          <w:rFonts w:ascii="Arial" w:hAnsi="Arial" w:cs="Arial"/>
          <w:sz w:val="24"/>
          <w:szCs w:val="24"/>
        </w:rPr>
        <w:t>648/651</w:t>
      </w:r>
      <w:r w:rsidR="00E47DF0">
        <w:rPr>
          <w:rFonts w:ascii="Arial" w:hAnsi="Arial" w:cs="Arial"/>
          <w:sz w:val="24"/>
          <w:szCs w:val="24"/>
        </w:rPr>
        <w:t>)</w:t>
      </w:r>
      <w:r>
        <w:rPr>
          <w:rFonts w:ascii="Arial" w:hAnsi="Arial" w:cs="Arial"/>
          <w:sz w:val="24"/>
          <w:szCs w:val="24"/>
        </w:rPr>
        <w:t>.</w:t>
      </w:r>
    </w:p>
    <w:p w14:paraId="4A23B8EC" w14:textId="0BFE8838" w:rsidR="009616CB" w:rsidRDefault="008A6C16" w:rsidP="00975F2B">
      <w:pPr>
        <w:spacing w:line="360" w:lineRule="auto"/>
        <w:ind w:firstLine="851"/>
        <w:jc w:val="both"/>
        <w:rPr>
          <w:rFonts w:ascii="Arial" w:hAnsi="Arial" w:cs="Arial"/>
          <w:sz w:val="24"/>
          <w:szCs w:val="24"/>
        </w:rPr>
      </w:pPr>
      <w:r>
        <w:rPr>
          <w:rFonts w:ascii="Arial" w:hAnsi="Arial" w:cs="Arial"/>
          <w:sz w:val="24"/>
          <w:szCs w:val="24"/>
        </w:rPr>
        <w:t>Previamente à autuação, o processo foi encaminhado, por despacho sem data, à Gerência de Auditoria de Indústria e Atacado, a qual apurou a necessidade de estorno</w:t>
      </w:r>
      <w:r w:rsidR="00B97554">
        <w:rPr>
          <w:rFonts w:ascii="Arial" w:hAnsi="Arial" w:cs="Arial"/>
          <w:sz w:val="24"/>
          <w:szCs w:val="24"/>
        </w:rPr>
        <w:t xml:space="preserve"> de valores</w:t>
      </w:r>
      <w:r w:rsidR="00A71FA4">
        <w:rPr>
          <w:rFonts w:ascii="Arial" w:hAnsi="Arial" w:cs="Arial"/>
          <w:sz w:val="24"/>
          <w:szCs w:val="24"/>
        </w:rPr>
        <w:t>, conforme respectivo relatório de auditoria</w:t>
      </w:r>
      <w:r w:rsidR="009616CB">
        <w:rPr>
          <w:rFonts w:ascii="Arial" w:hAnsi="Arial" w:cs="Arial"/>
          <w:sz w:val="24"/>
          <w:szCs w:val="24"/>
        </w:rPr>
        <w:t xml:space="preserve">, que determinou em seguida a remessa </w:t>
      </w:r>
      <w:r w:rsidR="00B67B11">
        <w:rPr>
          <w:rFonts w:ascii="Arial" w:hAnsi="Arial" w:cs="Arial"/>
          <w:sz w:val="24"/>
          <w:szCs w:val="24"/>
        </w:rPr>
        <w:t xml:space="preserve">dos autos </w:t>
      </w:r>
      <w:r w:rsidR="009616CB">
        <w:rPr>
          <w:rFonts w:ascii="Arial" w:hAnsi="Arial" w:cs="Arial"/>
          <w:sz w:val="24"/>
          <w:szCs w:val="24"/>
        </w:rPr>
        <w:t xml:space="preserve">à Gerência de Tributação e Regimes Especiais </w:t>
      </w:r>
      <w:r w:rsidR="00B67B11">
        <w:rPr>
          <w:rFonts w:ascii="Arial" w:hAnsi="Arial" w:cs="Arial"/>
          <w:sz w:val="24"/>
          <w:szCs w:val="24"/>
        </w:rPr>
        <w:t xml:space="preserve">– </w:t>
      </w:r>
      <w:r w:rsidR="009616CB">
        <w:rPr>
          <w:rFonts w:ascii="Arial" w:hAnsi="Arial" w:cs="Arial"/>
          <w:sz w:val="24"/>
          <w:szCs w:val="24"/>
        </w:rPr>
        <w:t>GTRE</w:t>
      </w:r>
      <w:r w:rsidR="00B67B11">
        <w:rPr>
          <w:rFonts w:ascii="Arial" w:hAnsi="Arial" w:cs="Arial"/>
          <w:sz w:val="24"/>
          <w:szCs w:val="24"/>
        </w:rPr>
        <w:t xml:space="preserve"> (Ofício nº 2.500/2019-Economia, p. 683/686</w:t>
      </w:r>
      <w:r w:rsidR="009616CB">
        <w:rPr>
          <w:rFonts w:ascii="Arial" w:hAnsi="Arial" w:cs="Arial"/>
          <w:sz w:val="24"/>
          <w:szCs w:val="24"/>
        </w:rPr>
        <w:t>)</w:t>
      </w:r>
      <w:r w:rsidR="00B67B11">
        <w:rPr>
          <w:rFonts w:ascii="Arial" w:hAnsi="Arial" w:cs="Arial"/>
          <w:sz w:val="24"/>
          <w:szCs w:val="24"/>
        </w:rPr>
        <w:t>;</w:t>
      </w:r>
      <w:r w:rsidR="009616CB">
        <w:rPr>
          <w:rFonts w:ascii="Arial" w:hAnsi="Arial" w:cs="Arial"/>
          <w:sz w:val="24"/>
          <w:szCs w:val="24"/>
        </w:rPr>
        <w:t xml:space="preserve"> órgão que, segundo manifestação anterior, teria absorvido as atribuições da antiga </w:t>
      </w:r>
      <w:r w:rsidR="009616CB" w:rsidRPr="009616CB">
        <w:rPr>
          <w:rFonts w:ascii="Arial" w:hAnsi="Arial" w:cs="Arial"/>
          <w:sz w:val="24"/>
          <w:szCs w:val="24"/>
        </w:rPr>
        <w:t>Gerência de Controle de Incentivos Fiscais</w:t>
      </w:r>
      <w:r>
        <w:rPr>
          <w:rFonts w:ascii="Arial" w:hAnsi="Arial" w:cs="Arial"/>
          <w:sz w:val="24"/>
          <w:szCs w:val="24"/>
        </w:rPr>
        <w:t>.</w:t>
      </w:r>
    </w:p>
    <w:p w14:paraId="1416D463" w14:textId="5ECAA66F" w:rsidR="0084306B" w:rsidRDefault="0084306B" w:rsidP="00975F2B">
      <w:pPr>
        <w:spacing w:line="360" w:lineRule="auto"/>
        <w:ind w:firstLine="851"/>
        <w:jc w:val="both"/>
        <w:rPr>
          <w:rFonts w:ascii="Arial" w:hAnsi="Arial" w:cs="Arial"/>
          <w:sz w:val="24"/>
          <w:szCs w:val="24"/>
        </w:rPr>
      </w:pPr>
      <w:r>
        <w:rPr>
          <w:rFonts w:ascii="Arial" w:hAnsi="Arial" w:cs="Arial"/>
          <w:sz w:val="24"/>
          <w:szCs w:val="24"/>
        </w:rPr>
        <w:t>Contudo, por despacho da GTRE os autos foram devolvidos à Gerência de Auditoria de Indústria e Atacado para proceder a nova análise em razão da apresentação de documentos complementares pela empresa (Ofício nº 2.500/2019-Economia, p. 683/686). Não aportou a esta CPI nenhuma informação relevante depois desse episódio, a não ser uma intimação fiscal do mesmo ano para a empresa recolher a quantia correspondente ou apresentar impugnação administrativa (Ofício nº 2.500/2019-Economia, p. 705/706).</w:t>
      </w:r>
    </w:p>
    <w:p w14:paraId="6549E7A0" w14:textId="58C2A335" w:rsidR="0084306B" w:rsidRDefault="0084306B" w:rsidP="00975F2B">
      <w:pPr>
        <w:spacing w:line="360" w:lineRule="auto"/>
        <w:ind w:firstLine="851"/>
        <w:jc w:val="both"/>
        <w:rPr>
          <w:rFonts w:ascii="Arial" w:hAnsi="Arial" w:cs="Arial"/>
          <w:sz w:val="24"/>
          <w:szCs w:val="24"/>
        </w:rPr>
      </w:pPr>
      <w:r>
        <w:rPr>
          <w:rFonts w:ascii="Arial" w:hAnsi="Arial" w:cs="Arial"/>
          <w:sz w:val="24"/>
          <w:szCs w:val="24"/>
        </w:rPr>
        <w:t xml:space="preserve">Nesse caso, tendo em vista os vultosos valores envolvidos, seria de rigor que a GTRE também procedesse a uma fiscalização </w:t>
      </w:r>
      <w:r w:rsidRPr="00B97554">
        <w:rPr>
          <w:rFonts w:ascii="Arial" w:hAnsi="Arial" w:cs="Arial"/>
          <w:i/>
          <w:sz w:val="24"/>
          <w:szCs w:val="24"/>
        </w:rPr>
        <w:t>in loco</w:t>
      </w:r>
      <w:r>
        <w:rPr>
          <w:rFonts w:ascii="Arial" w:hAnsi="Arial" w:cs="Arial"/>
          <w:sz w:val="24"/>
          <w:szCs w:val="24"/>
        </w:rPr>
        <w:t>, a fim de aferir se realmente os documentos que pass</w:t>
      </w:r>
      <w:r w:rsidR="00C75275">
        <w:rPr>
          <w:rFonts w:ascii="Arial" w:hAnsi="Arial" w:cs="Arial"/>
          <w:sz w:val="24"/>
          <w:szCs w:val="24"/>
        </w:rPr>
        <w:t>aram por auditoria fiscal possuía</w:t>
      </w:r>
      <w:r>
        <w:rPr>
          <w:rFonts w:ascii="Arial" w:hAnsi="Arial" w:cs="Arial"/>
          <w:sz w:val="24"/>
          <w:szCs w:val="24"/>
        </w:rPr>
        <w:t>m substrato fático para comprovação a título de investimentos nos moldes previstos no TARE. Além disso, não se tem notícia até o momento acerca da efetiva recuperação do crédito apropriado indevidamente ou do estágio atual do processo.</w:t>
      </w:r>
    </w:p>
    <w:p w14:paraId="6FE8A1BA" w14:textId="3DE93EDA" w:rsidR="006F4FA7" w:rsidRDefault="006F4FA7" w:rsidP="00975F2B">
      <w:pPr>
        <w:spacing w:line="360" w:lineRule="auto"/>
        <w:ind w:firstLine="851"/>
        <w:jc w:val="both"/>
        <w:rPr>
          <w:rFonts w:ascii="Arial" w:hAnsi="Arial" w:cs="Arial"/>
          <w:sz w:val="24"/>
          <w:szCs w:val="24"/>
        </w:rPr>
      </w:pPr>
    </w:p>
    <w:p w14:paraId="690E416F" w14:textId="14F49D23" w:rsidR="006F4FA7" w:rsidRDefault="006F4FA7" w:rsidP="006F4FA7">
      <w:pPr>
        <w:spacing w:line="360" w:lineRule="auto"/>
        <w:ind w:firstLine="851"/>
        <w:jc w:val="both"/>
        <w:rPr>
          <w:rFonts w:ascii="Arial" w:hAnsi="Arial" w:cs="Arial"/>
          <w:sz w:val="24"/>
          <w:szCs w:val="24"/>
        </w:rPr>
      </w:pPr>
      <w:r w:rsidRPr="0031082B">
        <w:rPr>
          <w:rFonts w:ascii="Arial" w:hAnsi="Arial" w:cs="Arial"/>
          <w:b/>
          <w:sz w:val="24"/>
          <w:szCs w:val="24"/>
        </w:rPr>
        <w:lastRenderedPageBreak/>
        <w:t>7.</w:t>
      </w:r>
      <w:r>
        <w:rPr>
          <w:rFonts w:ascii="Arial" w:hAnsi="Arial" w:cs="Arial"/>
          <w:b/>
          <w:sz w:val="24"/>
          <w:szCs w:val="24"/>
        </w:rPr>
        <w:t>4</w:t>
      </w:r>
      <w:r w:rsidRPr="0031082B">
        <w:rPr>
          <w:rFonts w:ascii="Arial" w:hAnsi="Arial" w:cs="Arial"/>
          <w:b/>
          <w:sz w:val="24"/>
          <w:szCs w:val="24"/>
        </w:rPr>
        <w:t>.2.</w:t>
      </w:r>
      <w:r>
        <w:rPr>
          <w:rFonts w:ascii="Arial" w:hAnsi="Arial" w:cs="Arial"/>
          <w:b/>
          <w:sz w:val="24"/>
          <w:szCs w:val="24"/>
        </w:rPr>
        <w:t>3</w:t>
      </w:r>
      <w:r w:rsidRPr="0031082B">
        <w:rPr>
          <w:rFonts w:ascii="Arial" w:hAnsi="Arial" w:cs="Arial"/>
          <w:b/>
          <w:sz w:val="24"/>
          <w:szCs w:val="24"/>
        </w:rPr>
        <w:t>.</w:t>
      </w:r>
      <w:r>
        <w:rPr>
          <w:rFonts w:ascii="Arial" w:hAnsi="Arial" w:cs="Arial"/>
          <w:b/>
          <w:sz w:val="24"/>
          <w:szCs w:val="24"/>
        </w:rPr>
        <w:t>4.</w:t>
      </w:r>
      <w:r w:rsidRPr="0031082B">
        <w:rPr>
          <w:rFonts w:ascii="Arial" w:hAnsi="Arial" w:cs="Arial"/>
          <w:b/>
          <w:sz w:val="24"/>
          <w:szCs w:val="24"/>
        </w:rPr>
        <w:t xml:space="preserve"> </w:t>
      </w:r>
      <w:r>
        <w:rPr>
          <w:rFonts w:ascii="Arial" w:hAnsi="Arial" w:cs="Arial"/>
          <w:sz w:val="24"/>
          <w:szCs w:val="24"/>
        </w:rPr>
        <w:t>No caso da Empresa 6, foi-lh</w:t>
      </w:r>
      <w:r w:rsidR="00F30856">
        <w:rPr>
          <w:rFonts w:ascii="Arial" w:hAnsi="Arial" w:cs="Arial"/>
          <w:sz w:val="24"/>
          <w:szCs w:val="24"/>
        </w:rPr>
        <w:t>e concedido por TARE</w:t>
      </w:r>
      <w:r>
        <w:rPr>
          <w:rFonts w:ascii="Arial" w:hAnsi="Arial" w:cs="Arial"/>
          <w:sz w:val="24"/>
          <w:szCs w:val="24"/>
        </w:rPr>
        <w:t xml:space="preserve"> crédito outorgado a ser apropriado em parcelas mensais tendo como contrapartida realizar obras de ampliação e modernização de seu complexo industrial (Ofício nº 2.500/2019-Economia, p. 627/629).</w:t>
      </w:r>
    </w:p>
    <w:p w14:paraId="62F13FC0" w14:textId="66FDCA54" w:rsidR="006F4FA7" w:rsidRDefault="006F4FA7" w:rsidP="006F4FA7">
      <w:pPr>
        <w:spacing w:line="360" w:lineRule="auto"/>
        <w:ind w:firstLine="851"/>
        <w:jc w:val="both"/>
        <w:rPr>
          <w:rFonts w:ascii="Arial" w:hAnsi="Arial" w:cs="Arial"/>
          <w:sz w:val="24"/>
          <w:szCs w:val="24"/>
        </w:rPr>
      </w:pPr>
      <w:r w:rsidRPr="0067383D">
        <w:rPr>
          <w:rFonts w:ascii="Arial" w:hAnsi="Arial" w:cs="Arial"/>
          <w:sz w:val="24"/>
          <w:szCs w:val="24"/>
          <w:u w:val="single"/>
        </w:rPr>
        <w:t>Segundo apurado pela fiscalização</w:t>
      </w:r>
      <w:r>
        <w:rPr>
          <w:rFonts w:ascii="Arial" w:hAnsi="Arial" w:cs="Arial"/>
          <w:sz w:val="24"/>
          <w:szCs w:val="24"/>
        </w:rPr>
        <w:t xml:space="preserve"> (Ofício nº 2.500/2019-Economia, p. 556, 558, 644 e 647), a empresa: a) encontra</w:t>
      </w:r>
      <w:r w:rsidR="00C75275">
        <w:rPr>
          <w:rFonts w:ascii="Arial" w:hAnsi="Arial" w:cs="Arial"/>
          <w:sz w:val="24"/>
          <w:szCs w:val="24"/>
        </w:rPr>
        <w:t>va</w:t>
      </w:r>
      <w:r>
        <w:rPr>
          <w:rFonts w:ascii="Arial" w:hAnsi="Arial" w:cs="Arial"/>
          <w:sz w:val="24"/>
          <w:szCs w:val="24"/>
        </w:rPr>
        <w:t>-se com as portas abertas</w:t>
      </w:r>
      <w:r w:rsidR="00C75275">
        <w:rPr>
          <w:rFonts w:ascii="Arial" w:hAnsi="Arial" w:cs="Arial"/>
          <w:sz w:val="24"/>
          <w:szCs w:val="24"/>
        </w:rPr>
        <w:t>,</w:t>
      </w:r>
      <w:r>
        <w:rPr>
          <w:rFonts w:ascii="Arial" w:hAnsi="Arial" w:cs="Arial"/>
          <w:sz w:val="24"/>
          <w:szCs w:val="24"/>
        </w:rPr>
        <w:t xml:space="preserve"> porém sem funcionar e</w:t>
      </w:r>
      <w:r w:rsidR="00C75275">
        <w:rPr>
          <w:rFonts w:ascii="Arial" w:hAnsi="Arial" w:cs="Arial"/>
          <w:sz w:val="24"/>
          <w:szCs w:val="24"/>
        </w:rPr>
        <w:t xml:space="preserve"> com indicativos de precariedade na situação</w:t>
      </w:r>
      <w:r>
        <w:rPr>
          <w:rFonts w:ascii="Arial" w:hAnsi="Arial" w:cs="Arial"/>
          <w:sz w:val="24"/>
          <w:szCs w:val="24"/>
        </w:rPr>
        <w:t>; b) jamais funcionou como</w:t>
      </w:r>
      <w:r w:rsidR="00C75275">
        <w:rPr>
          <w:rFonts w:ascii="Arial" w:hAnsi="Arial" w:cs="Arial"/>
          <w:sz w:val="24"/>
          <w:szCs w:val="24"/>
        </w:rPr>
        <w:t xml:space="preserve"> a atividade econômica </w:t>
      </w:r>
      <w:r>
        <w:rPr>
          <w:rFonts w:ascii="Arial" w:hAnsi="Arial" w:cs="Arial"/>
          <w:sz w:val="24"/>
          <w:szCs w:val="24"/>
        </w:rPr>
        <w:t>previst</w:t>
      </w:r>
      <w:r w:rsidR="00C75275">
        <w:rPr>
          <w:rFonts w:ascii="Arial" w:hAnsi="Arial" w:cs="Arial"/>
          <w:sz w:val="24"/>
          <w:szCs w:val="24"/>
        </w:rPr>
        <w:t>a</w:t>
      </w:r>
      <w:r>
        <w:rPr>
          <w:rFonts w:ascii="Arial" w:hAnsi="Arial" w:cs="Arial"/>
          <w:sz w:val="24"/>
          <w:szCs w:val="24"/>
        </w:rPr>
        <w:t xml:space="preserve"> no TARE; c) somente emitiu notas fiscais de saída, todas rel</w:t>
      </w:r>
      <w:r w:rsidR="00BA0E7F">
        <w:rPr>
          <w:rFonts w:ascii="Arial" w:hAnsi="Arial" w:cs="Arial"/>
          <w:sz w:val="24"/>
          <w:szCs w:val="24"/>
        </w:rPr>
        <w:t xml:space="preserve">ativas a ativo imobilizado; </w:t>
      </w:r>
      <w:r>
        <w:rPr>
          <w:rFonts w:ascii="Arial" w:hAnsi="Arial" w:cs="Arial"/>
          <w:sz w:val="24"/>
          <w:szCs w:val="24"/>
        </w:rPr>
        <w:t xml:space="preserve">d) não comprovou a propriedade do complexo industrial nem realizou as obras no prazo estipulado. A documentação fiscal da empresa, embora parcialmente ilegível, também evidencia sua inatividade ao </w:t>
      </w:r>
      <w:r w:rsidRPr="001A4EE1">
        <w:rPr>
          <w:rFonts w:ascii="Arial" w:hAnsi="Arial" w:cs="Arial"/>
          <w:b/>
          <w:sz w:val="24"/>
          <w:szCs w:val="24"/>
        </w:rPr>
        <w:t>registrar apenas o crédito outorgado em sua contabilidade, sem qualquer registro de circulação de mercadoria</w:t>
      </w:r>
      <w:r>
        <w:rPr>
          <w:rFonts w:ascii="Arial" w:hAnsi="Arial" w:cs="Arial"/>
          <w:sz w:val="24"/>
          <w:szCs w:val="24"/>
        </w:rPr>
        <w:t xml:space="preserve"> (Ofício nº 2.500/2019-Economia, p. 566-585). Assim, a fiscalização conclui que “estar com as portas abertas a tantos anos, sem movimentação mercantil, é claramente uma situação dissimulada”, razão pela qual foi objeto de autuação.</w:t>
      </w:r>
    </w:p>
    <w:p w14:paraId="5C278F53" w14:textId="33DF8B2F" w:rsidR="006F4FA7" w:rsidRDefault="006F4FA7" w:rsidP="006F4FA7">
      <w:pPr>
        <w:spacing w:line="360" w:lineRule="auto"/>
        <w:ind w:firstLine="851"/>
        <w:jc w:val="both"/>
        <w:rPr>
          <w:rFonts w:ascii="Arial" w:hAnsi="Arial" w:cs="Arial"/>
          <w:sz w:val="24"/>
          <w:szCs w:val="24"/>
        </w:rPr>
      </w:pPr>
      <w:r w:rsidRPr="00F619AA">
        <w:rPr>
          <w:rFonts w:ascii="Arial" w:hAnsi="Arial" w:cs="Arial"/>
          <w:sz w:val="24"/>
          <w:szCs w:val="24"/>
          <w:u w:val="single"/>
        </w:rPr>
        <w:t>Seguiu-se procedimento administrativo, o qual apurou</w:t>
      </w:r>
      <w:r w:rsidR="00C75275">
        <w:rPr>
          <w:rFonts w:ascii="Arial" w:hAnsi="Arial" w:cs="Arial"/>
          <w:sz w:val="24"/>
          <w:szCs w:val="24"/>
          <w:u w:val="single"/>
        </w:rPr>
        <w:t xml:space="preserve"> o</w:t>
      </w:r>
      <w:r w:rsidRPr="00F619AA">
        <w:rPr>
          <w:rFonts w:ascii="Arial" w:hAnsi="Arial" w:cs="Arial"/>
          <w:sz w:val="24"/>
          <w:szCs w:val="24"/>
          <w:u w:val="single"/>
        </w:rPr>
        <w:t xml:space="preserve"> valor a recolher aos cofres públicos</w:t>
      </w:r>
      <w:r w:rsidRPr="00F619AA">
        <w:rPr>
          <w:rFonts w:ascii="Arial" w:hAnsi="Arial" w:cs="Arial"/>
          <w:sz w:val="24"/>
          <w:szCs w:val="24"/>
        </w:rPr>
        <w:t xml:space="preserve">, </w:t>
      </w:r>
      <w:r>
        <w:rPr>
          <w:rFonts w:ascii="Arial" w:hAnsi="Arial" w:cs="Arial"/>
          <w:sz w:val="24"/>
          <w:szCs w:val="24"/>
        </w:rPr>
        <w:t>em razão da apropriação indevida do mencionado crédito outorgado pela empresa (Ofício nº 2.500/2019-Economia, p. 645/646), aí compreendido o respectivo valor mais multa de 140% (cento e quarenta por cento) previsto na legislação tributária.</w:t>
      </w:r>
    </w:p>
    <w:p w14:paraId="74B2568A" w14:textId="0F271D4F" w:rsidR="006F4FA7" w:rsidRDefault="006F4FA7" w:rsidP="006F4FA7">
      <w:pPr>
        <w:spacing w:line="360" w:lineRule="auto"/>
        <w:ind w:firstLine="851"/>
        <w:jc w:val="both"/>
        <w:rPr>
          <w:rFonts w:ascii="Arial" w:hAnsi="Arial" w:cs="Arial"/>
          <w:sz w:val="24"/>
          <w:szCs w:val="24"/>
        </w:rPr>
      </w:pPr>
      <w:r>
        <w:rPr>
          <w:rFonts w:ascii="Arial" w:hAnsi="Arial" w:cs="Arial"/>
          <w:sz w:val="24"/>
          <w:szCs w:val="24"/>
        </w:rPr>
        <w:t xml:space="preserve">Importante destacar que, nesse caso, </w:t>
      </w:r>
      <w:r w:rsidRPr="00440B85">
        <w:rPr>
          <w:rFonts w:ascii="Arial" w:hAnsi="Arial" w:cs="Arial"/>
          <w:sz w:val="24"/>
          <w:szCs w:val="24"/>
          <w:u w:val="single"/>
        </w:rPr>
        <w:t>a fiscalização somente ocorreu muito tempo após a fruição total do crédito outorgado</w:t>
      </w:r>
      <w:r w:rsidRPr="00BA0E7F">
        <w:rPr>
          <w:rFonts w:ascii="Arial" w:hAnsi="Arial" w:cs="Arial"/>
          <w:sz w:val="24"/>
          <w:szCs w:val="24"/>
        </w:rPr>
        <w:t xml:space="preserve">, que pelo TARE deveria ser apropriado em </w:t>
      </w:r>
      <w:r w:rsidR="00BA0E7F" w:rsidRPr="00BA0E7F">
        <w:rPr>
          <w:rFonts w:ascii="Arial" w:hAnsi="Arial" w:cs="Arial"/>
          <w:sz w:val="24"/>
          <w:szCs w:val="24"/>
        </w:rPr>
        <w:t xml:space="preserve">número de parcelas bem inferior à quantidade de meses previsto para a </w:t>
      </w:r>
      <w:r w:rsidRPr="00BA0E7F">
        <w:rPr>
          <w:rFonts w:ascii="Arial" w:hAnsi="Arial" w:cs="Arial"/>
          <w:sz w:val="24"/>
          <w:szCs w:val="24"/>
        </w:rPr>
        <w:t>conclusão das ob</w:t>
      </w:r>
      <w:r w:rsidR="00BA0E7F">
        <w:rPr>
          <w:rFonts w:ascii="Arial" w:hAnsi="Arial" w:cs="Arial"/>
          <w:sz w:val="24"/>
          <w:szCs w:val="24"/>
        </w:rPr>
        <w:t>ras de ampliação e modernização</w:t>
      </w:r>
      <w:r>
        <w:rPr>
          <w:rFonts w:ascii="Arial" w:hAnsi="Arial" w:cs="Arial"/>
          <w:sz w:val="24"/>
          <w:szCs w:val="24"/>
        </w:rPr>
        <w:t xml:space="preserve">. </w:t>
      </w:r>
    </w:p>
    <w:p w14:paraId="78AEE1D8" w14:textId="193F69F6" w:rsidR="006F4FA7" w:rsidRDefault="00BA0E7F" w:rsidP="006F4FA7">
      <w:pPr>
        <w:spacing w:line="360" w:lineRule="auto"/>
        <w:ind w:firstLine="851"/>
        <w:jc w:val="both"/>
        <w:rPr>
          <w:rFonts w:ascii="Arial" w:hAnsi="Arial" w:cs="Arial"/>
          <w:sz w:val="24"/>
          <w:szCs w:val="24"/>
        </w:rPr>
      </w:pPr>
      <w:r>
        <w:rPr>
          <w:rFonts w:ascii="Arial" w:hAnsi="Arial" w:cs="Arial"/>
          <w:sz w:val="24"/>
          <w:szCs w:val="24"/>
        </w:rPr>
        <w:t>Ainda, e</w:t>
      </w:r>
      <w:r w:rsidR="006F4FA7">
        <w:rPr>
          <w:rFonts w:ascii="Arial" w:hAnsi="Arial" w:cs="Arial"/>
          <w:sz w:val="24"/>
          <w:szCs w:val="24"/>
        </w:rPr>
        <w:t xml:space="preserve">mbora o TARE previsse mecanismos que permitissem uma fiscalização periódica sobre a empresa, como início das obras no mês seguinte ao da assinatura do instrumento de acordo, a comprovação mensal dos investimentos realizados no mês anterior, </w:t>
      </w:r>
      <w:r w:rsidR="006F4FA7" w:rsidRPr="000634AA">
        <w:rPr>
          <w:rFonts w:ascii="Arial" w:hAnsi="Arial" w:cs="Arial"/>
          <w:sz w:val="24"/>
          <w:szCs w:val="24"/>
          <w:u w:val="single"/>
        </w:rPr>
        <w:t>a pessoa jurídica se beneficiou de todo o crédito outorgado para só depois ser objeto de fiscalização</w:t>
      </w:r>
      <w:r>
        <w:rPr>
          <w:rFonts w:ascii="Arial" w:hAnsi="Arial" w:cs="Arial"/>
          <w:sz w:val="24"/>
          <w:szCs w:val="24"/>
        </w:rPr>
        <w:t>; e, a</w:t>
      </w:r>
      <w:r w:rsidR="006F4FA7">
        <w:rPr>
          <w:rFonts w:ascii="Arial" w:hAnsi="Arial" w:cs="Arial"/>
          <w:sz w:val="24"/>
          <w:szCs w:val="24"/>
        </w:rPr>
        <w:t>o que parece, esta também só ocorreu por provocação.</w:t>
      </w:r>
    </w:p>
    <w:p w14:paraId="681B0318" w14:textId="0F79947E" w:rsidR="006F4FA7" w:rsidRDefault="006F4FA7" w:rsidP="006F4FA7">
      <w:pPr>
        <w:spacing w:line="360" w:lineRule="auto"/>
        <w:ind w:firstLine="851"/>
        <w:jc w:val="both"/>
        <w:rPr>
          <w:rFonts w:ascii="Arial" w:hAnsi="Arial" w:cs="Arial"/>
          <w:sz w:val="24"/>
          <w:szCs w:val="24"/>
        </w:rPr>
      </w:pPr>
      <w:r w:rsidRPr="00C75275">
        <w:rPr>
          <w:rFonts w:ascii="Arial" w:hAnsi="Arial" w:cs="Arial"/>
          <w:sz w:val="24"/>
          <w:szCs w:val="24"/>
          <w:u w:val="single"/>
        </w:rPr>
        <w:t xml:space="preserve">Pelos </w:t>
      </w:r>
      <w:r w:rsidR="001A4EE1" w:rsidRPr="00C75275">
        <w:rPr>
          <w:rFonts w:ascii="Arial" w:hAnsi="Arial" w:cs="Arial"/>
          <w:sz w:val="24"/>
          <w:szCs w:val="24"/>
          <w:u w:val="single"/>
        </w:rPr>
        <w:t xml:space="preserve">dados </w:t>
      </w:r>
      <w:r w:rsidRPr="00C75275">
        <w:rPr>
          <w:rFonts w:ascii="Arial" w:hAnsi="Arial" w:cs="Arial"/>
          <w:sz w:val="24"/>
          <w:szCs w:val="24"/>
          <w:u w:val="single"/>
        </w:rPr>
        <w:t>forneci</w:t>
      </w:r>
      <w:r w:rsidRPr="004E476E">
        <w:rPr>
          <w:rFonts w:ascii="Arial" w:hAnsi="Arial" w:cs="Arial"/>
          <w:sz w:val="24"/>
          <w:szCs w:val="24"/>
          <w:u w:val="single"/>
        </w:rPr>
        <w:t xml:space="preserve">dos a esta CPI, </w:t>
      </w:r>
      <w:r w:rsidR="00521C14">
        <w:rPr>
          <w:rFonts w:ascii="Arial" w:hAnsi="Arial" w:cs="Arial"/>
          <w:sz w:val="24"/>
          <w:szCs w:val="24"/>
          <w:u w:val="single"/>
        </w:rPr>
        <w:t>entende</w:t>
      </w:r>
      <w:r w:rsidR="00C75275">
        <w:rPr>
          <w:rFonts w:ascii="Arial" w:hAnsi="Arial" w:cs="Arial"/>
          <w:sz w:val="24"/>
          <w:szCs w:val="24"/>
          <w:u w:val="single"/>
        </w:rPr>
        <w:t>-se</w:t>
      </w:r>
      <w:r w:rsidR="00521C14">
        <w:rPr>
          <w:rFonts w:ascii="Arial" w:hAnsi="Arial" w:cs="Arial"/>
          <w:sz w:val="24"/>
          <w:szCs w:val="24"/>
          <w:u w:val="single"/>
        </w:rPr>
        <w:t xml:space="preserve"> que </w:t>
      </w:r>
      <w:r w:rsidRPr="004E476E">
        <w:rPr>
          <w:rFonts w:ascii="Arial" w:hAnsi="Arial" w:cs="Arial"/>
          <w:sz w:val="24"/>
          <w:szCs w:val="24"/>
          <w:u w:val="single"/>
        </w:rPr>
        <w:t>já havia elementos para impedir a apropriação do crédito outorgado ou exigir o estorno, no mínimo, a partir d</w:t>
      </w:r>
      <w:r w:rsidR="00521C14">
        <w:rPr>
          <w:rFonts w:ascii="Arial" w:hAnsi="Arial" w:cs="Arial"/>
          <w:sz w:val="24"/>
          <w:szCs w:val="24"/>
          <w:u w:val="single"/>
        </w:rPr>
        <w:t xml:space="preserve">o </w:t>
      </w:r>
      <w:r>
        <w:rPr>
          <w:rFonts w:ascii="Arial" w:hAnsi="Arial" w:cs="Arial"/>
          <w:sz w:val="24"/>
          <w:szCs w:val="24"/>
        </w:rPr>
        <w:t xml:space="preserve">termo limite para iniciação das obras, porém o primeiro auto de infração foi lavrado apenas </w:t>
      </w:r>
      <w:r w:rsidR="00521C14">
        <w:rPr>
          <w:rFonts w:ascii="Arial" w:hAnsi="Arial" w:cs="Arial"/>
          <w:sz w:val="24"/>
          <w:szCs w:val="24"/>
        </w:rPr>
        <w:t>anos mais tarde</w:t>
      </w:r>
      <w:r>
        <w:rPr>
          <w:rFonts w:ascii="Arial" w:hAnsi="Arial" w:cs="Arial"/>
          <w:sz w:val="24"/>
          <w:szCs w:val="24"/>
        </w:rPr>
        <w:t>.</w:t>
      </w:r>
    </w:p>
    <w:p w14:paraId="6F5291A6" w14:textId="5004E6A7" w:rsidR="006F4FA7" w:rsidRDefault="006F4FA7" w:rsidP="006F4FA7">
      <w:pPr>
        <w:spacing w:line="360" w:lineRule="auto"/>
        <w:ind w:firstLine="851"/>
        <w:jc w:val="both"/>
        <w:rPr>
          <w:rFonts w:ascii="Arial" w:hAnsi="Arial" w:cs="Arial"/>
          <w:sz w:val="24"/>
          <w:szCs w:val="24"/>
        </w:rPr>
      </w:pPr>
      <w:r w:rsidRPr="000634AA">
        <w:rPr>
          <w:rFonts w:ascii="Arial" w:hAnsi="Arial" w:cs="Arial"/>
          <w:sz w:val="24"/>
          <w:szCs w:val="24"/>
          <w:u w:val="single"/>
        </w:rPr>
        <w:lastRenderedPageBreak/>
        <w:t>Também não aportou a esta CPI outros documentos que comprovem a adoção de medidas concretas visando ao ressarcimento ao erário</w:t>
      </w:r>
      <w:r>
        <w:rPr>
          <w:rFonts w:ascii="Arial" w:hAnsi="Arial" w:cs="Arial"/>
          <w:sz w:val="24"/>
          <w:szCs w:val="24"/>
        </w:rPr>
        <w:t>, como inscrição em dívida ativa, protesto da CDA ou encaminhamento à Procuradoria</w:t>
      </w:r>
      <w:r w:rsidR="00C75275">
        <w:rPr>
          <w:rFonts w:ascii="Arial" w:hAnsi="Arial" w:cs="Arial"/>
          <w:sz w:val="24"/>
          <w:szCs w:val="24"/>
        </w:rPr>
        <w:t xml:space="preserve">-Geral do Estado – PGE/GO </w:t>
      </w:r>
      <w:r>
        <w:rPr>
          <w:rFonts w:ascii="Arial" w:hAnsi="Arial" w:cs="Arial"/>
          <w:sz w:val="24"/>
          <w:szCs w:val="24"/>
        </w:rPr>
        <w:t>(Ofício nº 2.500/2019-Economia, p. 586).</w:t>
      </w:r>
    </w:p>
    <w:p w14:paraId="381D100E" w14:textId="77777777" w:rsidR="006F4FA7" w:rsidRDefault="006F4FA7" w:rsidP="00975F2B">
      <w:pPr>
        <w:spacing w:line="360" w:lineRule="auto"/>
        <w:ind w:firstLine="851"/>
        <w:jc w:val="both"/>
        <w:rPr>
          <w:rFonts w:ascii="Arial" w:hAnsi="Arial" w:cs="Arial"/>
          <w:sz w:val="24"/>
          <w:szCs w:val="24"/>
        </w:rPr>
      </w:pPr>
    </w:p>
    <w:p w14:paraId="65A6D040" w14:textId="1645B68E" w:rsidR="009A3D3D" w:rsidRDefault="009A3D3D" w:rsidP="009A3D3D">
      <w:pPr>
        <w:spacing w:line="360" w:lineRule="auto"/>
        <w:ind w:firstLine="851"/>
        <w:jc w:val="both"/>
        <w:rPr>
          <w:rFonts w:ascii="Arial" w:hAnsi="Arial" w:cs="Arial"/>
          <w:b/>
          <w:sz w:val="24"/>
          <w:szCs w:val="24"/>
        </w:rPr>
      </w:pPr>
      <w:r w:rsidRPr="0031082B">
        <w:rPr>
          <w:rFonts w:ascii="Arial" w:hAnsi="Arial" w:cs="Arial"/>
          <w:b/>
          <w:sz w:val="24"/>
          <w:szCs w:val="24"/>
        </w:rPr>
        <w:t>7.</w:t>
      </w:r>
      <w:r w:rsidR="00036173">
        <w:rPr>
          <w:rFonts w:ascii="Arial" w:hAnsi="Arial" w:cs="Arial"/>
          <w:b/>
          <w:sz w:val="24"/>
          <w:szCs w:val="24"/>
        </w:rPr>
        <w:t>4</w:t>
      </w:r>
      <w:r w:rsidRPr="0031082B">
        <w:rPr>
          <w:rFonts w:ascii="Arial" w:hAnsi="Arial" w:cs="Arial"/>
          <w:b/>
          <w:sz w:val="24"/>
          <w:szCs w:val="24"/>
        </w:rPr>
        <w:t>.</w:t>
      </w:r>
      <w:r w:rsidR="00810681">
        <w:rPr>
          <w:rFonts w:ascii="Arial" w:hAnsi="Arial" w:cs="Arial"/>
          <w:b/>
          <w:sz w:val="24"/>
          <w:szCs w:val="24"/>
        </w:rPr>
        <w:t>2.4</w:t>
      </w:r>
      <w:r w:rsidR="001A4EE1">
        <w:rPr>
          <w:rFonts w:ascii="Arial" w:hAnsi="Arial" w:cs="Arial"/>
          <w:b/>
          <w:sz w:val="24"/>
          <w:szCs w:val="24"/>
        </w:rPr>
        <w:t xml:space="preserve"> –</w:t>
      </w:r>
      <w:r w:rsidRPr="0031082B">
        <w:rPr>
          <w:rFonts w:ascii="Arial" w:hAnsi="Arial" w:cs="Arial"/>
          <w:b/>
          <w:sz w:val="24"/>
          <w:szCs w:val="24"/>
        </w:rPr>
        <w:t xml:space="preserve"> </w:t>
      </w:r>
      <w:r>
        <w:rPr>
          <w:rFonts w:ascii="Arial" w:hAnsi="Arial" w:cs="Arial"/>
          <w:b/>
          <w:sz w:val="24"/>
          <w:szCs w:val="24"/>
        </w:rPr>
        <w:t>Demais a</w:t>
      </w:r>
      <w:r w:rsidRPr="0031082B">
        <w:rPr>
          <w:rFonts w:ascii="Arial" w:hAnsi="Arial" w:cs="Arial"/>
          <w:b/>
          <w:sz w:val="24"/>
          <w:szCs w:val="24"/>
        </w:rPr>
        <w:t xml:space="preserve">uditorias </w:t>
      </w:r>
      <w:r>
        <w:rPr>
          <w:rFonts w:ascii="Arial" w:hAnsi="Arial" w:cs="Arial"/>
          <w:b/>
          <w:sz w:val="24"/>
          <w:szCs w:val="24"/>
        </w:rPr>
        <w:t xml:space="preserve">de contrapartidas </w:t>
      </w:r>
      <w:r w:rsidR="00810681">
        <w:rPr>
          <w:rFonts w:ascii="Arial" w:hAnsi="Arial" w:cs="Arial"/>
          <w:b/>
          <w:sz w:val="24"/>
          <w:szCs w:val="24"/>
        </w:rPr>
        <w:t>encaminhadas</w:t>
      </w:r>
      <w:r>
        <w:rPr>
          <w:rFonts w:ascii="Arial" w:hAnsi="Arial" w:cs="Arial"/>
          <w:b/>
          <w:sz w:val="24"/>
          <w:szCs w:val="24"/>
        </w:rPr>
        <w:t xml:space="preserve"> (Ofício nº</w:t>
      </w:r>
      <w:r w:rsidR="004B4534">
        <w:rPr>
          <w:rFonts w:ascii="Arial" w:hAnsi="Arial" w:cs="Arial"/>
          <w:b/>
          <w:sz w:val="24"/>
          <w:szCs w:val="24"/>
        </w:rPr>
        <w:t>s 09/2019-CPI, item 3, e</w:t>
      </w:r>
      <w:r>
        <w:rPr>
          <w:rFonts w:ascii="Arial" w:hAnsi="Arial" w:cs="Arial"/>
          <w:b/>
          <w:sz w:val="24"/>
          <w:szCs w:val="24"/>
        </w:rPr>
        <w:t xml:space="preserve"> </w:t>
      </w:r>
      <w:r w:rsidR="004B4534">
        <w:rPr>
          <w:rFonts w:ascii="Arial" w:hAnsi="Arial" w:cs="Arial"/>
          <w:b/>
          <w:sz w:val="24"/>
          <w:szCs w:val="24"/>
        </w:rPr>
        <w:t>12/2019</w:t>
      </w:r>
      <w:r w:rsidR="00810681">
        <w:rPr>
          <w:rFonts w:ascii="Arial" w:hAnsi="Arial" w:cs="Arial"/>
          <w:b/>
          <w:sz w:val="24"/>
          <w:szCs w:val="24"/>
        </w:rPr>
        <w:t>-CPI</w:t>
      </w:r>
      <w:r>
        <w:rPr>
          <w:rFonts w:ascii="Arial" w:hAnsi="Arial" w:cs="Arial"/>
          <w:b/>
          <w:sz w:val="24"/>
          <w:szCs w:val="24"/>
        </w:rPr>
        <w:t>, item “c”)</w:t>
      </w:r>
    </w:p>
    <w:p w14:paraId="613EC023" w14:textId="77777777" w:rsidR="00AD5199" w:rsidRPr="0031082B" w:rsidRDefault="00AD5199" w:rsidP="009A3D3D">
      <w:pPr>
        <w:spacing w:line="360" w:lineRule="auto"/>
        <w:ind w:firstLine="851"/>
        <w:jc w:val="both"/>
        <w:rPr>
          <w:rFonts w:ascii="Arial" w:hAnsi="Arial" w:cs="Arial"/>
          <w:b/>
          <w:sz w:val="24"/>
          <w:szCs w:val="24"/>
        </w:rPr>
      </w:pPr>
    </w:p>
    <w:p w14:paraId="260C1222" w14:textId="127348B7" w:rsidR="009A3D3D" w:rsidRDefault="00782000" w:rsidP="009A3D3D">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w:t>
      </w:r>
      <w:r>
        <w:rPr>
          <w:rFonts w:ascii="Arial" w:hAnsi="Arial" w:cs="Arial"/>
          <w:b/>
          <w:sz w:val="24"/>
          <w:szCs w:val="24"/>
        </w:rPr>
        <w:t>2.4</w:t>
      </w:r>
      <w:r w:rsidRPr="0031082B">
        <w:rPr>
          <w:rFonts w:ascii="Arial" w:hAnsi="Arial" w:cs="Arial"/>
          <w:b/>
          <w:sz w:val="24"/>
          <w:szCs w:val="24"/>
        </w:rPr>
        <w:t>.</w:t>
      </w:r>
      <w:r>
        <w:rPr>
          <w:rFonts w:ascii="Arial" w:hAnsi="Arial" w:cs="Arial"/>
          <w:b/>
          <w:sz w:val="24"/>
          <w:szCs w:val="24"/>
        </w:rPr>
        <w:t>1.</w:t>
      </w:r>
      <w:r w:rsidRPr="0031082B">
        <w:rPr>
          <w:rFonts w:ascii="Arial" w:hAnsi="Arial" w:cs="Arial"/>
          <w:b/>
          <w:sz w:val="24"/>
          <w:szCs w:val="24"/>
        </w:rPr>
        <w:t xml:space="preserve"> </w:t>
      </w:r>
      <w:r w:rsidR="00A9253D" w:rsidRPr="00782000">
        <w:rPr>
          <w:rFonts w:ascii="Arial" w:hAnsi="Arial" w:cs="Arial"/>
          <w:sz w:val="24"/>
          <w:szCs w:val="24"/>
          <w:u w:val="single"/>
        </w:rPr>
        <w:t>Esta CPI, ainda no Ofício nº 02/2019-CPI (item 6.2), requisitou informações</w:t>
      </w:r>
      <w:r w:rsidR="00A9253D">
        <w:rPr>
          <w:rFonts w:ascii="Arial" w:hAnsi="Arial" w:cs="Arial"/>
          <w:sz w:val="24"/>
          <w:szCs w:val="24"/>
        </w:rPr>
        <w:t xml:space="preserve"> quanto a</w:t>
      </w:r>
      <w:r w:rsidR="009A3D3D">
        <w:rPr>
          <w:rFonts w:ascii="Arial" w:hAnsi="Arial" w:cs="Arial"/>
          <w:sz w:val="24"/>
          <w:szCs w:val="24"/>
        </w:rPr>
        <w:t>o p</w:t>
      </w:r>
      <w:r w:rsidR="009A3D3D" w:rsidRPr="00AD4579">
        <w:rPr>
          <w:rFonts w:ascii="Arial" w:hAnsi="Arial" w:cs="Arial"/>
          <w:sz w:val="24"/>
          <w:szCs w:val="24"/>
        </w:rPr>
        <w:t xml:space="preserve">ercentual e </w:t>
      </w:r>
      <w:r w:rsidR="009A3D3D">
        <w:rPr>
          <w:rFonts w:ascii="Arial" w:hAnsi="Arial" w:cs="Arial"/>
          <w:sz w:val="24"/>
          <w:szCs w:val="24"/>
        </w:rPr>
        <w:t xml:space="preserve">a </w:t>
      </w:r>
      <w:r w:rsidR="009A3D3D" w:rsidRPr="00AD4579">
        <w:rPr>
          <w:rFonts w:ascii="Arial" w:hAnsi="Arial" w:cs="Arial"/>
          <w:sz w:val="24"/>
          <w:szCs w:val="24"/>
        </w:rPr>
        <w:t>relação</w:t>
      </w:r>
      <w:r w:rsidR="00A9253D">
        <w:rPr>
          <w:rFonts w:ascii="Arial" w:hAnsi="Arial" w:cs="Arial"/>
          <w:sz w:val="24"/>
          <w:szCs w:val="24"/>
        </w:rPr>
        <w:t xml:space="preserve"> – </w:t>
      </w:r>
      <w:r w:rsidR="009A3D3D" w:rsidRPr="00AD4579">
        <w:rPr>
          <w:rFonts w:ascii="Arial" w:hAnsi="Arial" w:cs="Arial"/>
          <w:sz w:val="24"/>
          <w:szCs w:val="24"/>
        </w:rPr>
        <w:t xml:space="preserve">organizada em 2 (duas) listas, uma classificada por ano e outra por segmento econômico e ano – </w:t>
      </w:r>
      <w:r w:rsidR="009A3D3D" w:rsidRPr="00782000">
        <w:rPr>
          <w:rFonts w:ascii="Arial" w:hAnsi="Arial" w:cs="Arial"/>
          <w:sz w:val="24"/>
          <w:szCs w:val="24"/>
          <w:u w:val="single"/>
        </w:rPr>
        <w:t>de pessoas jurídicas beneficiárias que não passaram por auditoria das contrapartidas</w:t>
      </w:r>
      <w:r w:rsidR="009A3D3D" w:rsidRPr="006853EA">
        <w:rPr>
          <w:rFonts w:ascii="Arial" w:hAnsi="Arial" w:cs="Arial"/>
          <w:sz w:val="24"/>
          <w:szCs w:val="24"/>
        </w:rPr>
        <w:t>, e eventuais motivos/justificativas correspondentes</w:t>
      </w:r>
      <w:r w:rsidR="004B5B46" w:rsidRPr="006853EA">
        <w:rPr>
          <w:rFonts w:ascii="Arial" w:hAnsi="Arial" w:cs="Arial"/>
          <w:sz w:val="24"/>
          <w:szCs w:val="24"/>
        </w:rPr>
        <w:t xml:space="preserve">, </w:t>
      </w:r>
      <w:r w:rsidRPr="006853EA">
        <w:rPr>
          <w:rFonts w:ascii="Arial" w:hAnsi="Arial" w:cs="Arial"/>
          <w:sz w:val="24"/>
          <w:szCs w:val="24"/>
          <w:u w:val="single"/>
        </w:rPr>
        <w:t>entretanto</w:t>
      </w:r>
      <w:r w:rsidR="00A9253D" w:rsidRPr="006853EA">
        <w:rPr>
          <w:rFonts w:ascii="Arial" w:hAnsi="Arial" w:cs="Arial"/>
          <w:sz w:val="24"/>
          <w:szCs w:val="24"/>
          <w:u w:val="single"/>
        </w:rPr>
        <w:t xml:space="preserve"> não houve resposta quanto a este ponto</w:t>
      </w:r>
      <w:r w:rsidR="006853EA" w:rsidRPr="006853EA">
        <w:rPr>
          <w:rFonts w:ascii="Arial" w:hAnsi="Arial" w:cs="Arial"/>
          <w:sz w:val="24"/>
          <w:szCs w:val="24"/>
          <w:u w:val="single"/>
        </w:rPr>
        <w:t xml:space="preserve"> (Ofício nº 2.500/2019-Economia)</w:t>
      </w:r>
      <w:r w:rsidR="004B5B46" w:rsidRPr="006853EA">
        <w:rPr>
          <w:rFonts w:ascii="Arial" w:hAnsi="Arial" w:cs="Arial"/>
          <w:sz w:val="24"/>
          <w:szCs w:val="24"/>
        </w:rPr>
        <w:t>.</w:t>
      </w:r>
    </w:p>
    <w:p w14:paraId="0FA15287" w14:textId="358EB4C3" w:rsidR="00860971" w:rsidRDefault="00860971" w:rsidP="00860971">
      <w:pPr>
        <w:spacing w:line="360" w:lineRule="auto"/>
        <w:ind w:firstLine="851"/>
        <w:jc w:val="both"/>
        <w:rPr>
          <w:rFonts w:ascii="Arial" w:hAnsi="Arial" w:cs="Arial"/>
          <w:sz w:val="24"/>
          <w:szCs w:val="24"/>
          <w:u w:val="single"/>
        </w:rPr>
      </w:pPr>
      <w:r>
        <w:rPr>
          <w:rFonts w:ascii="Arial" w:hAnsi="Arial" w:cs="Arial"/>
          <w:sz w:val="24"/>
          <w:szCs w:val="24"/>
        </w:rPr>
        <w:t xml:space="preserve">Além das empresas cujos relatórios foram fornecidos a esta CPI por amostragem, anteriormente analisados (itens 7.4.2.2 e 7.4.2.3 deste relatório), </w:t>
      </w:r>
      <w:r w:rsidRPr="00860971">
        <w:rPr>
          <w:rFonts w:ascii="Arial" w:hAnsi="Arial" w:cs="Arial"/>
          <w:sz w:val="24"/>
          <w:szCs w:val="24"/>
          <w:u w:val="single"/>
        </w:rPr>
        <w:t xml:space="preserve">ainda restavam cerca </w:t>
      </w:r>
      <w:r w:rsidRPr="00427BDC">
        <w:rPr>
          <w:rFonts w:ascii="Arial" w:hAnsi="Arial" w:cs="Arial"/>
          <w:sz w:val="24"/>
          <w:szCs w:val="24"/>
          <w:u w:val="single"/>
        </w:rPr>
        <w:t xml:space="preserve">de 10 (dez) </w:t>
      </w:r>
      <w:r w:rsidRPr="00730FC9">
        <w:rPr>
          <w:rFonts w:ascii="Arial" w:hAnsi="Arial" w:cs="Arial"/>
          <w:sz w:val="24"/>
          <w:szCs w:val="24"/>
          <w:u w:val="single"/>
        </w:rPr>
        <w:t>empresas</w:t>
      </w:r>
      <w:r w:rsidR="00730FC9" w:rsidRPr="00730FC9">
        <w:rPr>
          <w:rStyle w:val="Refdenotaderodap"/>
          <w:rFonts w:ascii="Arial" w:hAnsi="Arial" w:cs="Arial"/>
          <w:sz w:val="24"/>
          <w:szCs w:val="24"/>
          <w:u w:val="single"/>
        </w:rPr>
        <w:footnoteReference w:id="79"/>
      </w:r>
      <w:r w:rsidRPr="00730FC9">
        <w:rPr>
          <w:rFonts w:ascii="Arial" w:hAnsi="Arial" w:cs="Arial"/>
          <w:sz w:val="24"/>
          <w:szCs w:val="24"/>
          <w:u w:val="single"/>
        </w:rPr>
        <w:t xml:space="preserve"> que</w:t>
      </w:r>
      <w:r w:rsidRPr="00427BDC">
        <w:rPr>
          <w:rFonts w:ascii="Arial" w:hAnsi="Arial" w:cs="Arial"/>
          <w:sz w:val="24"/>
          <w:szCs w:val="24"/>
          <w:u w:val="single"/>
        </w:rPr>
        <w:t>, segundo</w:t>
      </w:r>
      <w:r w:rsidRPr="00860971">
        <w:rPr>
          <w:rFonts w:ascii="Arial" w:hAnsi="Arial" w:cs="Arial"/>
          <w:sz w:val="24"/>
          <w:szCs w:val="24"/>
          <w:u w:val="single"/>
        </w:rPr>
        <w:t xml:space="preserve"> a própria Secretaria, usufruíram crédito outorgado ou outro benefício financeiro no período objeto de investigação</w:t>
      </w:r>
      <w:r>
        <w:rPr>
          <w:rFonts w:ascii="Arial" w:hAnsi="Arial" w:cs="Arial"/>
          <w:sz w:val="24"/>
          <w:szCs w:val="24"/>
        </w:rPr>
        <w:t xml:space="preserve"> (</w:t>
      </w:r>
      <w:r w:rsidRPr="00E8441C">
        <w:rPr>
          <w:rFonts w:ascii="Arial" w:hAnsi="Arial" w:cs="Arial"/>
          <w:sz w:val="24"/>
          <w:szCs w:val="24"/>
        </w:rPr>
        <w:t>2014</w:t>
      </w:r>
      <w:r>
        <w:rPr>
          <w:rFonts w:ascii="Arial" w:hAnsi="Arial" w:cs="Arial"/>
          <w:sz w:val="24"/>
          <w:szCs w:val="24"/>
        </w:rPr>
        <w:t xml:space="preserve"> a 2018) sujeitas a contrapartidas (</w:t>
      </w:r>
      <w:r w:rsidRPr="00E8441C">
        <w:rPr>
          <w:rFonts w:ascii="Arial" w:hAnsi="Arial" w:cs="Arial"/>
          <w:sz w:val="24"/>
          <w:szCs w:val="24"/>
        </w:rPr>
        <w:t xml:space="preserve">Ofício nº </w:t>
      </w:r>
      <w:r>
        <w:rPr>
          <w:rFonts w:ascii="Arial" w:hAnsi="Arial" w:cs="Arial"/>
          <w:sz w:val="24"/>
          <w:szCs w:val="24"/>
        </w:rPr>
        <w:t>2.500</w:t>
      </w:r>
      <w:r w:rsidRPr="00E8441C">
        <w:rPr>
          <w:rFonts w:ascii="Arial" w:hAnsi="Arial" w:cs="Arial"/>
          <w:sz w:val="24"/>
          <w:szCs w:val="24"/>
        </w:rPr>
        <w:t>/2019-CPI</w:t>
      </w:r>
      <w:r>
        <w:rPr>
          <w:rFonts w:ascii="Arial" w:hAnsi="Arial" w:cs="Arial"/>
          <w:sz w:val="24"/>
          <w:szCs w:val="24"/>
        </w:rPr>
        <w:t>,</w:t>
      </w:r>
      <w:r w:rsidRPr="00E8441C">
        <w:rPr>
          <w:rFonts w:ascii="Arial" w:hAnsi="Arial" w:cs="Arial"/>
          <w:sz w:val="24"/>
          <w:szCs w:val="24"/>
        </w:rPr>
        <w:t xml:space="preserve"> </w:t>
      </w:r>
      <w:r>
        <w:rPr>
          <w:rFonts w:ascii="Arial" w:hAnsi="Arial" w:cs="Arial"/>
          <w:sz w:val="24"/>
          <w:szCs w:val="24"/>
        </w:rPr>
        <w:t>p. 495), as quais deveriam, em tese, ter sido objeto de fiscalização no período.</w:t>
      </w:r>
    </w:p>
    <w:p w14:paraId="74EF0147" w14:textId="4B2694D3" w:rsidR="004444A8" w:rsidRDefault="00A9253D" w:rsidP="00E95223">
      <w:pPr>
        <w:spacing w:line="360" w:lineRule="auto"/>
        <w:ind w:firstLine="851"/>
        <w:jc w:val="both"/>
        <w:rPr>
          <w:rFonts w:ascii="Arial" w:hAnsi="Arial" w:cs="Arial"/>
          <w:sz w:val="24"/>
          <w:szCs w:val="24"/>
        </w:rPr>
      </w:pPr>
      <w:r>
        <w:rPr>
          <w:rFonts w:ascii="Arial" w:hAnsi="Arial" w:cs="Arial"/>
          <w:sz w:val="24"/>
          <w:szCs w:val="24"/>
        </w:rPr>
        <w:t xml:space="preserve">Tendo em vista </w:t>
      </w:r>
      <w:r w:rsidR="00FF62A1">
        <w:rPr>
          <w:rFonts w:ascii="Arial" w:hAnsi="Arial" w:cs="Arial"/>
          <w:sz w:val="24"/>
          <w:szCs w:val="24"/>
        </w:rPr>
        <w:t>essa omissão</w:t>
      </w:r>
      <w:r w:rsidR="00DC76D7">
        <w:rPr>
          <w:rFonts w:ascii="Arial" w:hAnsi="Arial" w:cs="Arial"/>
          <w:sz w:val="24"/>
          <w:szCs w:val="24"/>
        </w:rPr>
        <w:t xml:space="preserve"> parcial quanto à primeira requisição</w:t>
      </w:r>
      <w:r w:rsidR="00FF62A1">
        <w:rPr>
          <w:rFonts w:ascii="Arial" w:hAnsi="Arial" w:cs="Arial"/>
          <w:sz w:val="24"/>
          <w:szCs w:val="24"/>
        </w:rPr>
        <w:t xml:space="preserve"> e </w:t>
      </w:r>
      <w:r>
        <w:rPr>
          <w:rFonts w:ascii="Arial" w:hAnsi="Arial" w:cs="Arial"/>
          <w:sz w:val="24"/>
          <w:szCs w:val="24"/>
        </w:rPr>
        <w:t>as falhas identificadas na fiscalização</w:t>
      </w:r>
      <w:r w:rsidR="00477335">
        <w:rPr>
          <w:rFonts w:ascii="Arial" w:hAnsi="Arial" w:cs="Arial"/>
          <w:sz w:val="24"/>
          <w:szCs w:val="24"/>
        </w:rPr>
        <w:t>, a partir</w:t>
      </w:r>
      <w:r>
        <w:rPr>
          <w:rFonts w:ascii="Arial" w:hAnsi="Arial" w:cs="Arial"/>
          <w:sz w:val="24"/>
          <w:szCs w:val="24"/>
        </w:rPr>
        <w:t xml:space="preserve"> das amostras fornecidas </w:t>
      </w:r>
      <w:r w:rsidR="00FF62A1">
        <w:rPr>
          <w:rFonts w:ascii="Arial" w:hAnsi="Arial" w:cs="Arial"/>
          <w:sz w:val="24"/>
          <w:szCs w:val="24"/>
        </w:rPr>
        <w:t>– inclusive naquelas em relação às quais se con</w:t>
      </w:r>
      <w:r w:rsidR="005E3ECE">
        <w:rPr>
          <w:rFonts w:ascii="Arial" w:hAnsi="Arial" w:cs="Arial"/>
          <w:sz w:val="24"/>
          <w:szCs w:val="24"/>
        </w:rPr>
        <w:t>s</w:t>
      </w:r>
      <w:r w:rsidR="00FF62A1">
        <w:rPr>
          <w:rFonts w:ascii="Arial" w:hAnsi="Arial" w:cs="Arial"/>
          <w:sz w:val="24"/>
          <w:szCs w:val="24"/>
        </w:rPr>
        <w:t xml:space="preserve">tatou a suposta regularidade – </w:t>
      </w:r>
      <w:r w:rsidRPr="00707AC6">
        <w:rPr>
          <w:rFonts w:ascii="Arial" w:hAnsi="Arial" w:cs="Arial"/>
          <w:sz w:val="24"/>
          <w:szCs w:val="24"/>
          <w:u w:val="single"/>
        </w:rPr>
        <w:t xml:space="preserve">esta CPI requisitou, </w:t>
      </w:r>
      <w:r w:rsidR="00FF62A1" w:rsidRPr="00707AC6">
        <w:rPr>
          <w:rFonts w:ascii="Arial" w:hAnsi="Arial" w:cs="Arial"/>
          <w:sz w:val="24"/>
          <w:szCs w:val="24"/>
          <w:u w:val="single"/>
        </w:rPr>
        <w:t>via Ofício nº 09/2019-CPI</w:t>
      </w:r>
      <w:r w:rsidR="00D364E3" w:rsidRPr="00707AC6">
        <w:rPr>
          <w:rFonts w:ascii="Arial" w:hAnsi="Arial" w:cs="Arial"/>
          <w:sz w:val="24"/>
          <w:szCs w:val="24"/>
          <w:u w:val="single"/>
        </w:rPr>
        <w:t xml:space="preserve"> (item</w:t>
      </w:r>
      <w:r w:rsidR="00FF62A1" w:rsidRPr="00707AC6">
        <w:rPr>
          <w:rFonts w:ascii="Arial" w:hAnsi="Arial" w:cs="Arial"/>
          <w:sz w:val="24"/>
          <w:szCs w:val="24"/>
          <w:u w:val="single"/>
        </w:rPr>
        <w:t xml:space="preserve"> 3)</w:t>
      </w:r>
      <w:r w:rsidR="00FF62A1" w:rsidRPr="008D3617">
        <w:rPr>
          <w:rFonts w:ascii="Arial" w:hAnsi="Arial" w:cs="Arial"/>
          <w:sz w:val="24"/>
          <w:szCs w:val="24"/>
        </w:rPr>
        <w:t>,</w:t>
      </w:r>
      <w:r w:rsidR="00C70E99" w:rsidRPr="00A95C2D">
        <w:rPr>
          <w:rFonts w:ascii="Arial" w:hAnsi="Arial" w:cs="Arial"/>
          <w:b/>
          <w:sz w:val="24"/>
          <w:szCs w:val="24"/>
        </w:rPr>
        <w:t xml:space="preserve"> </w:t>
      </w:r>
      <w:r w:rsidR="00FF20ED" w:rsidRPr="00A95C2D">
        <w:rPr>
          <w:rFonts w:ascii="Arial" w:hAnsi="Arial" w:cs="Arial"/>
          <w:sz w:val="24"/>
          <w:szCs w:val="24"/>
        </w:rPr>
        <w:t>cópia dos</w:t>
      </w:r>
      <w:r w:rsidR="00FF20ED" w:rsidRPr="00E95223">
        <w:rPr>
          <w:rFonts w:ascii="Arial" w:hAnsi="Arial" w:cs="Arial"/>
          <w:sz w:val="24"/>
          <w:szCs w:val="24"/>
        </w:rPr>
        <w:t xml:space="preserve"> TARE’s e instrumentos congêneres</w:t>
      </w:r>
      <w:r w:rsidR="00A95C2D" w:rsidRPr="00A95C2D">
        <w:rPr>
          <w:rFonts w:ascii="Arial" w:hAnsi="Arial" w:cs="Arial"/>
          <w:sz w:val="24"/>
          <w:szCs w:val="24"/>
        </w:rPr>
        <w:t xml:space="preserve"> </w:t>
      </w:r>
      <w:r w:rsidR="00FF20ED" w:rsidRPr="00E95223">
        <w:rPr>
          <w:rFonts w:ascii="Arial" w:hAnsi="Arial" w:cs="Arial"/>
          <w:sz w:val="24"/>
          <w:szCs w:val="24"/>
        </w:rPr>
        <w:t xml:space="preserve">relativos às 20 (vinte) pessoas jurídicas que, no período de 2014 a 2018, mais receberam incentivos fiscais do Estado de Goiás, </w:t>
      </w:r>
      <w:r w:rsidR="00FF20ED" w:rsidRPr="00E95223">
        <w:rPr>
          <w:rFonts w:ascii="Arial" w:hAnsi="Arial" w:cs="Arial"/>
          <w:sz w:val="24"/>
          <w:szCs w:val="24"/>
          <w:u w:val="single"/>
        </w:rPr>
        <w:t xml:space="preserve">com indicação dos valores correspondentes e relatórios de auditorias de contrapartidas eventualmente realizados referentes a esse </w:t>
      </w:r>
      <w:r w:rsidR="00FF20ED" w:rsidRPr="007713F6">
        <w:rPr>
          <w:rFonts w:ascii="Arial" w:hAnsi="Arial" w:cs="Arial"/>
          <w:sz w:val="24"/>
          <w:szCs w:val="24"/>
          <w:u w:val="single"/>
        </w:rPr>
        <w:t>período</w:t>
      </w:r>
      <w:r w:rsidR="00DC76D7">
        <w:rPr>
          <w:rFonts w:ascii="Arial" w:hAnsi="Arial" w:cs="Arial"/>
          <w:sz w:val="24"/>
          <w:szCs w:val="24"/>
        </w:rPr>
        <w:t>, a fim de melhor conhecer a sistemática e periodicidade de fiscalização dessas empresas</w:t>
      </w:r>
      <w:r w:rsidR="00E95223" w:rsidRPr="00707AC6">
        <w:rPr>
          <w:rFonts w:ascii="Arial" w:hAnsi="Arial" w:cs="Arial"/>
          <w:sz w:val="24"/>
          <w:szCs w:val="24"/>
        </w:rPr>
        <w:t>.</w:t>
      </w:r>
      <w:r w:rsidR="004444A8">
        <w:rPr>
          <w:rFonts w:ascii="Arial" w:hAnsi="Arial" w:cs="Arial"/>
          <w:sz w:val="24"/>
          <w:szCs w:val="24"/>
        </w:rPr>
        <w:t xml:space="preserve"> </w:t>
      </w:r>
    </w:p>
    <w:p w14:paraId="4468CF00" w14:textId="535E4F4E" w:rsidR="00FF20ED" w:rsidRDefault="00704453" w:rsidP="00E95223">
      <w:pPr>
        <w:spacing w:line="360" w:lineRule="auto"/>
        <w:ind w:firstLine="851"/>
        <w:jc w:val="both"/>
        <w:rPr>
          <w:rFonts w:ascii="Arial" w:hAnsi="Arial" w:cs="Arial"/>
          <w:sz w:val="24"/>
          <w:szCs w:val="24"/>
        </w:rPr>
      </w:pPr>
      <w:r w:rsidRPr="007713F6">
        <w:rPr>
          <w:rFonts w:ascii="Arial" w:hAnsi="Arial" w:cs="Arial"/>
          <w:sz w:val="24"/>
          <w:szCs w:val="24"/>
          <w:u w:val="single"/>
        </w:rPr>
        <w:t>Como resposta,</w:t>
      </w:r>
      <w:r w:rsidR="00707AC6">
        <w:rPr>
          <w:rFonts w:ascii="Arial" w:hAnsi="Arial" w:cs="Arial"/>
          <w:sz w:val="24"/>
          <w:szCs w:val="24"/>
          <w:u w:val="single"/>
        </w:rPr>
        <w:t xml:space="preserve"> porém,</w:t>
      </w:r>
      <w:r w:rsidRPr="007713F6">
        <w:rPr>
          <w:rFonts w:ascii="Arial" w:hAnsi="Arial" w:cs="Arial"/>
          <w:sz w:val="24"/>
          <w:szCs w:val="24"/>
          <w:u w:val="single"/>
        </w:rPr>
        <w:t xml:space="preserve"> a Secretaria apenas </w:t>
      </w:r>
      <w:r w:rsidR="00A52E15">
        <w:rPr>
          <w:rFonts w:ascii="Arial" w:hAnsi="Arial" w:cs="Arial"/>
          <w:sz w:val="24"/>
          <w:szCs w:val="24"/>
          <w:u w:val="single"/>
        </w:rPr>
        <w:t>enviou</w:t>
      </w:r>
      <w:r w:rsidRPr="007713F6">
        <w:rPr>
          <w:rFonts w:ascii="Arial" w:hAnsi="Arial" w:cs="Arial"/>
          <w:sz w:val="24"/>
          <w:szCs w:val="24"/>
          <w:u w:val="single"/>
        </w:rPr>
        <w:t xml:space="preserve"> os TARE’s requisitados</w:t>
      </w:r>
      <w:r>
        <w:rPr>
          <w:rFonts w:ascii="Arial" w:hAnsi="Arial" w:cs="Arial"/>
          <w:sz w:val="24"/>
          <w:szCs w:val="24"/>
        </w:rPr>
        <w:t>.</w:t>
      </w:r>
      <w:r w:rsidR="00707AC6" w:rsidRPr="00707AC6">
        <w:rPr>
          <w:rFonts w:ascii="Arial" w:hAnsi="Arial" w:cs="Arial"/>
          <w:sz w:val="24"/>
          <w:szCs w:val="24"/>
        </w:rPr>
        <w:t xml:space="preserve"> </w:t>
      </w:r>
      <w:r w:rsidR="00707AC6">
        <w:rPr>
          <w:rFonts w:ascii="Arial" w:hAnsi="Arial" w:cs="Arial"/>
          <w:sz w:val="24"/>
          <w:szCs w:val="24"/>
        </w:rPr>
        <w:t>Ressalte-se que o pedido desta CPI foi claro e, diferente</w:t>
      </w:r>
      <w:r w:rsidR="007F7F1A">
        <w:rPr>
          <w:rFonts w:ascii="Arial" w:hAnsi="Arial" w:cs="Arial"/>
          <w:sz w:val="24"/>
          <w:szCs w:val="24"/>
        </w:rPr>
        <w:t>mente</w:t>
      </w:r>
      <w:r w:rsidR="00707AC6">
        <w:rPr>
          <w:rFonts w:ascii="Arial" w:hAnsi="Arial" w:cs="Arial"/>
          <w:sz w:val="24"/>
          <w:szCs w:val="24"/>
        </w:rPr>
        <w:t xml:space="preserve"> do anterior, não requisitou </w:t>
      </w:r>
      <w:r w:rsidR="00707AC6">
        <w:rPr>
          <w:rFonts w:ascii="Arial" w:hAnsi="Arial" w:cs="Arial"/>
          <w:sz w:val="24"/>
          <w:szCs w:val="24"/>
        </w:rPr>
        <w:lastRenderedPageBreak/>
        <w:t>apenas amostras, mas sim todas as auditorias realizadas</w:t>
      </w:r>
      <w:r w:rsidR="007F7F1A">
        <w:rPr>
          <w:rFonts w:ascii="Arial" w:hAnsi="Arial" w:cs="Arial"/>
          <w:sz w:val="24"/>
          <w:szCs w:val="24"/>
        </w:rPr>
        <w:t xml:space="preserve"> em relação àquelas 20 (vinte) pessoas jurídicas</w:t>
      </w:r>
      <w:r w:rsidR="00406529">
        <w:rPr>
          <w:rFonts w:ascii="Arial" w:hAnsi="Arial" w:cs="Arial"/>
          <w:sz w:val="24"/>
          <w:szCs w:val="24"/>
        </w:rPr>
        <w:t>, porém</w:t>
      </w:r>
      <w:r w:rsidR="00C73ECC">
        <w:rPr>
          <w:rFonts w:ascii="Arial" w:hAnsi="Arial" w:cs="Arial"/>
          <w:sz w:val="24"/>
          <w:szCs w:val="24"/>
        </w:rPr>
        <w:t xml:space="preserve"> </w:t>
      </w:r>
      <w:r w:rsidR="00406529">
        <w:rPr>
          <w:rFonts w:ascii="Arial" w:hAnsi="Arial" w:cs="Arial"/>
          <w:sz w:val="24"/>
          <w:szCs w:val="24"/>
        </w:rPr>
        <w:t>nada aportara até aquele momento a esta Comissão.</w:t>
      </w:r>
    </w:p>
    <w:p w14:paraId="3B62D5E5" w14:textId="2420CAF1" w:rsidR="00BF2FA0" w:rsidRDefault="00F85675" w:rsidP="00406529">
      <w:pPr>
        <w:spacing w:line="360" w:lineRule="auto"/>
        <w:ind w:firstLine="851"/>
        <w:jc w:val="both"/>
        <w:rPr>
          <w:rFonts w:ascii="Arial" w:hAnsi="Arial" w:cs="Arial"/>
          <w:sz w:val="24"/>
          <w:szCs w:val="24"/>
        </w:rPr>
      </w:pPr>
      <w:r>
        <w:rPr>
          <w:rFonts w:ascii="Arial" w:hAnsi="Arial" w:cs="Arial"/>
          <w:sz w:val="24"/>
          <w:szCs w:val="24"/>
        </w:rPr>
        <w:t>Numa terceira e nova</w:t>
      </w:r>
      <w:r w:rsidR="00406529">
        <w:rPr>
          <w:rFonts w:ascii="Arial" w:hAnsi="Arial" w:cs="Arial"/>
          <w:sz w:val="24"/>
          <w:szCs w:val="24"/>
        </w:rPr>
        <w:t xml:space="preserve"> requisição, esta CPI requisitou “cópia dos TARE</w:t>
      </w:r>
      <w:r w:rsidR="00935562">
        <w:rPr>
          <w:rFonts w:ascii="Arial" w:hAnsi="Arial" w:cs="Arial"/>
          <w:sz w:val="24"/>
          <w:szCs w:val="24"/>
        </w:rPr>
        <w:t>’</w:t>
      </w:r>
      <w:r w:rsidR="00406529">
        <w:rPr>
          <w:rFonts w:ascii="Arial" w:hAnsi="Arial" w:cs="Arial"/>
          <w:sz w:val="24"/>
          <w:szCs w:val="24"/>
        </w:rPr>
        <w:t>s que concederam créditos outorgados de qualquer espécie nos anos de 2014 a 2018, bem como cópia das respectivas auditorias realizadas” (Ofício nº 12/2019-CPI, item 3).</w:t>
      </w:r>
      <w:r w:rsidR="001750A7">
        <w:rPr>
          <w:rFonts w:ascii="Arial" w:hAnsi="Arial" w:cs="Arial"/>
          <w:sz w:val="24"/>
          <w:szCs w:val="24"/>
        </w:rPr>
        <w:t xml:space="preserve"> </w:t>
      </w:r>
      <w:r w:rsidR="001750A7" w:rsidRPr="00B348AF">
        <w:rPr>
          <w:rFonts w:ascii="Arial" w:hAnsi="Arial" w:cs="Arial"/>
          <w:sz w:val="24"/>
          <w:szCs w:val="24"/>
          <w:u w:val="single"/>
        </w:rPr>
        <w:t>Por meio do Ofício nº 3.262/2019-Economia, foram entregues os TARE’s do período</w:t>
      </w:r>
      <w:r w:rsidR="00BF2FA0" w:rsidRPr="00B348AF">
        <w:rPr>
          <w:rFonts w:ascii="Arial" w:hAnsi="Arial" w:cs="Arial"/>
          <w:sz w:val="24"/>
          <w:szCs w:val="24"/>
          <w:u w:val="single"/>
        </w:rPr>
        <w:t>, mas em rela</w:t>
      </w:r>
      <w:r w:rsidR="0049271D">
        <w:rPr>
          <w:rFonts w:ascii="Arial" w:hAnsi="Arial" w:cs="Arial"/>
          <w:sz w:val="24"/>
          <w:szCs w:val="24"/>
          <w:u w:val="single"/>
        </w:rPr>
        <w:t>ção às auditorias foi solicitada a</w:t>
      </w:r>
      <w:r w:rsidR="00BF2FA0" w:rsidRPr="00B348AF">
        <w:rPr>
          <w:rFonts w:ascii="Arial" w:hAnsi="Arial" w:cs="Arial"/>
          <w:sz w:val="24"/>
          <w:szCs w:val="24"/>
          <w:u w:val="single"/>
        </w:rPr>
        <w:t xml:space="preserve"> prorrogação de prazo para a entrega</w:t>
      </w:r>
      <w:r w:rsidR="00BF2FA0">
        <w:rPr>
          <w:rFonts w:ascii="Arial" w:hAnsi="Arial" w:cs="Arial"/>
          <w:sz w:val="24"/>
          <w:szCs w:val="24"/>
        </w:rPr>
        <w:t>, além de ter sido informado que “todos os TARE’s estão sendo revisados e as distorções por ventura existentes poderão culminar na revogação do termo ou encaminhamento da empresa para auditoria, sendo certo que todas as que vierem a ser realizadas estarão à disposição da Comissão Parlamentar de Inquérito”</w:t>
      </w:r>
      <w:r w:rsidR="00832F16">
        <w:rPr>
          <w:rFonts w:ascii="Arial" w:hAnsi="Arial" w:cs="Arial"/>
          <w:sz w:val="24"/>
          <w:szCs w:val="24"/>
        </w:rPr>
        <w:t xml:space="preserve">, </w:t>
      </w:r>
      <w:r w:rsidR="00BF2FA0">
        <w:rPr>
          <w:rFonts w:ascii="Arial" w:hAnsi="Arial" w:cs="Arial"/>
          <w:sz w:val="24"/>
          <w:szCs w:val="24"/>
        </w:rPr>
        <w:t xml:space="preserve">mesmo sem qualquer questionamento, </w:t>
      </w:r>
      <w:r w:rsidR="00BF2FA0" w:rsidRPr="00832F16">
        <w:rPr>
          <w:rFonts w:ascii="Arial" w:hAnsi="Arial" w:cs="Arial"/>
          <w:i/>
          <w:sz w:val="24"/>
          <w:szCs w:val="24"/>
        </w:rPr>
        <w:t>a priori</w:t>
      </w:r>
      <w:r w:rsidR="00BF2FA0">
        <w:rPr>
          <w:rFonts w:ascii="Arial" w:hAnsi="Arial" w:cs="Arial"/>
          <w:sz w:val="24"/>
          <w:szCs w:val="24"/>
        </w:rPr>
        <w:t>, desta CPI a respeito</w:t>
      </w:r>
      <w:r w:rsidR="00832F16">
        <w:rPr>
          <w:rFonts w:ascii="Arial" w:hAnsi="Arial" w:cs="Arial"/>
          <w:sz w:val="24"/>
          <w:szCs w:val="24"/>
        </w:rPr>
        <w:t xml:space="preserve"> da idoneidade dos TARE’s</w:t>
      </w:r>
      <w:r w:rsidR="00874E89">
        <w:rPr>
          <w:rFonts w:ascii="Arial" w:hAnsi="Arial" w:cs="Arial"/>
          <w:sz w:val="24"/>
          <w:szCs w:val="24"/>
        </w:rPr>
        <w:t xml:space="preserve"> e da solicitação de outros relatórios</w:t>
      </w:r>
      <w:r w:rsidR="00571E15">
        <w:rPr>
          <w:rFonts w:ascii="Arial" w:hAnsi="Arial" w:cs="Arial"/>
          <w:sz w:val="24"/>
          <w:szCs w:val="24"/>
        </w:rPr>
        <w:t xml:space="preserve"> que não os objeto do pedido</w:t>
      </w:r>
      <w:r w:rsidR="00832F16">
        <w:rPr>
          <w:rFonts w:ascii="Arial" w:hAnsi="Arial" w:cs="Arial"/>
          <w:sz w:val="24"/>
          <w:szCs w:val="24"/>
        </w:rPr>
        <w:t>.</w:t>
      </w:r>
      <w:r w:rsidR="00884027">
        <w:rPr>
          <w:rFonts w:ascii="Arial" w:hAnsi="Arial" w:cs="Arial"/>
          <w:sz w:val="24"/>
          <w:szCs w:val="24"/>
        </w:rPr>
        <w:t xml:space="preserve"> Porém, depois ficou claro o porquê.</w:t>
      </w:r>
    </w:p>
    <w:p w14:paraId="0E5EA6A5" w14:textId="77777777" w:rsidR="00461C39" w:rsidRDefault="002457FF" w:rsidP="00E95223">
      <w:pPr>
        <w:spacing w:line="360" w:lineRule="auto"/>
        <w:ind w:firstLine="851"/>
        <w:jc w:val="both"/>
        <w:rPr>
          <w:rFonts w:ascii="Arial" w:hAnsi="Arial" w:cs="Arial"/>
          <w:sz w:val="24"/>
          <w:szCs w:val="24"/>
        </w:rPr>
      </w:pPr>
      <w:r>
        <w:rPr>
          <w:rFonts w:ascii="Arial" w:hAnsi="Arial" w:cs="Arial"/>
          <w:sz w:val="24"/>
          <w:szCs w:val="24"/>
        </w:rPr>
        <w:t>A entrega de outros relatórios de auditoria realizados</w:t>
      </w:r>
      <w:r w:rsidR="004C1224">
        <w:rPr>
          <w:rFonts w:ascii="Arial" w:hAnsi="Arial" w:cs="Arial"/>
          <w:sz w:val="24"/>
          <w:szCs w:val="24"/>
        </w:rPr>
        <w:t xml:space="preserve"> além das amostras inicialmente requisitadas</w:t>
      </w:r>
      <w:r>
        <w:rPr>
          <w:rFonts w:ascii="Arial" w:hAnsi="Arial" w:cs="Arial"/>
          <w:sz w:val="24"/>
          <w:szCs w:val="24"/>
        </w:rPr>
        <w:t xml:space="preserve"> foi formalizada a esta CPI por meio do Ofício nº </w:t>
      </w:r>
      <w:r w:rsidRPr="002457FF">
        <w:rPr>
          <w:rFonts w:ascii="Arial" w:hAnsi="Arial" w:cs="Arial"/>
          <w:sz w:val="24"/>
          <w:szCs w:val="24"/>
        </w:rPr>
        <w:t>3.564</w:t>
      </w:r>
      <w:r>
        <w:rPr>
          <w:rFonts w:ascii="Arial" w:hAnsi="Arial" w:cs="Arial"/>
          <w:sz w:val="24"/>
          <w:szCs w:val="24"/>
        </w:rPr>
        <w:t>/2019-Economia</w:t>
      </w:r>
      <w:r w:rsidR="00C74296">
        <w:rPr>
          <w:rFonts w:ascii="Arial" w:hAnsi="Arial" w:cs="Arial"/>
          <w:sz w:val="24"/>
          <w:szCs w:val="24"/>
        </w:rPr>
        <w:t xml:space="preserve">, pelo qual foram encaminhados </w:t>
      </w:r>
      <w:r w:rsidR="00704453">
        <w:rPr>
          <w:rFonts w:ascii="Arial" w:hAnsi="Arial" w:cs="Arial"/>
          <w:sz w:val="24"/>
          <w:szCs w:val="24"/>
        </w:rPr>
        <w:t xml:space="preserve">apenas 7 (sete) relatórios de auditoria, </w:t>
      </w:r>
      <w:r w:rsidR="00884027" w:rsidRPr="00884027">
        <w:rPr>
          <w:rFonts w:ascii="Arial" w:hAnsi="Arial" w:cs="Arial"/>
          <w:sz w:val="24"/>
          <w:szCs w:val="24"/>
          <w:u w:val="single"/>
        </w:rPr>
        <w:t xml:space="preserve">A MAIORIA DELES </w:t>
      </w:r>
      <w:r w:rsidR="00296138">
        <w:rPr>
          <w:rFonts w:ascii="Arial" w:hAnsi="Arial" w:cs="Arial"/>
          <w:sz w:val="24"/>
          <w:szCs w:val="24"/>
          <w:u w:val="single"/>
        </w:rPr>
        <w:t xml:space="preserve">LAVRADOS EM MAIO OU JUNHO DE 2019, ISTO É, </w:t>
      </w:r>
      <w:r w:rsidR="00F850E8">
        <w:rPr>
          <w:rFonts w:ascii="Arial" w:hAnsi="Arial" w:cs="Arial"/>
          <w:sz w:val="24"/>
          <w:szCs w:val="24"/>
          <w:u w:val="single"/>
        </w:rPr>
        <w:t>CONTEMPORANEAMENTE</w:t>
      </w:r>
      <w:r w:rsidR="00884027" w:rsidRPr="00884027">
        <w:rPr>
          <w:rFonts w:ascii="Arial" w:hAnsi="Arial" w:cs="Arial"/>
          <w:sz w:val="24"/>
          <w:szCs w:val="24"/>
          <w:u w:val="single"/>
        </w:rPr>
        <w:t xml:space="preserve"> À REQUISIÇÃO ESPECÍFICA DA CPI CONSTANTE DAQUELE TERCEIRO OFÍCIO MENCIONADO</w:t>
      </w:r>
      <w:r w:rsidR="00C74296">
        <w:rPr>
          <w:rFonts w:ascii="Arial" w:hAnsi="Arial" w:cs="Arial"/>
          <w:sz w:val="24"/>
          <w:szCs w:val="24"/>
        </w:rPr>
        <w:t xml:space="preserve">. </w:t>
      </w:r>
    </w:p>
    <w:p w14:paraId="705782EA" w14:textId="5B4EE603" w:rsidR="00696EF2" w:rsidRDefault="00884027" w:rsidP="00E95223">
      <w:pPr>
        <w:spacing w:line="360" w:lineRule="auto"/>
        <w:ind w:firstLine="851"/>
        <w:jc w:val="both"/>
        <w:rPr>
          <w:rFonts w:ascii="Arial" w:hAnsi="Arial" w:cs="Arial"/>
          <w:sz w:val="24"/>
          <w:szCs w:val="24"/>
        </w:rPr>
      </w:pPr>
      <w:r w:rsidRPr="00427BDC">
        <w:rPr>
          <w:rFonts w:ascii="Arial" w:hAnsi="Arial" w:cs="Arial"/>
          <w:sz w:val="24"/>
          <w:szCs w:val="24"/>
        </w:rPr>
        <w:t>Em outras palavras, no período objeto da requisição (2014 a 2018)</w:t>
      </w:r>
      <w:r w:rsidR="00461C39" w:rsidRPr="00427BDC">
        <w:rPr>
          <w:rFonts w:ascii="Arial" w:hAnsi="Arial" w:cs="Arial"/>
          <w:sz w:val="24"/>
          <w:szCs w:val="24"/>
        </w:rPr>
        <w:t>, das cerca de 10 (dez) empresas</w:t>
      </w:r>
      <w:r w:rsidR="001A15D5" w:rsidRPr="00427BDC">
        <w:rPr>
          <w:rFonts w:ascii="Arial" w:hAnsi="Arial" w:cs="Arial"/>
          <w:sz w:val="24"/>
          <w:szCs w:val="24"/>
        </w:rPr>
        <w:t xml:space="preserve"> restantes</w:t>
      </w:r>
      <w:r w:rsidR="00461C39" w:rsidRPr="00427BDC">
        <w:rPr>
          <w:rFonts w:ascii="Arial" w:hAnsi="Arial" w:cs="Arial"/>
          <w:sz w:val="24"/>
          <w:szCs w:val="24"/>
        </w:rPr>
        <w:t xml:space="preserve"> que segundo</w:t>
      </w:r>
      <w:r w:rsidR="00461C39">
        <w:rPr>
          <w:rFonts w:ascii="Arial" w:hAnsi="Arial" w:cs="Arial"/>
          <w:sz w:val="24"/>
          <w:szCs w:val="24"/>
        </w:rPr>
        <w:t xml:space="preserve"> a Secretaria estavam</w:t>
      </w:r>
      <w:r w:rsidR="001A15D5">
        <w:rPr>
          <w:rFonts w:ascii="Arial" w:hAnsi="Arial" w:cs="Arial"/>
          <w:sz w:val="24"/>
          <w:szCs w:val="24"/>
        </w:rPr>
        <w:t xml:space="preserve"> também</w:t>
      </w:r>
      <w:r w:rsidR="00461C39">
        <w:rPr>
          <w:rFonts w:ascii="Arial" w:hAnsi="Arial" w:cs="Arial"/>
          <w:sz w:val="24"/>
          <w:szCs w:val="24"/>
        </w:rPr>
        <w:t xml:space="preserve"> submetidas a exigência de contrapartidas, a maioria delas não sofreu uma única atividade de fiscalização</w:t>
      </w:r>
      <w:r>
        <w:rPr>
          <w:rFonts w:ascii="Arial" w:hAnsi="Arial" w:cs="Arial"/>
          <w:sz w:val="24"/>
          <w:szCs w:val="24"/>
        </w:rPr>
        <w:t>, só tendo sido efetuadas</w:t>
      </w:r>
      <w:r w:rsidR="00296138">
        <w:rPr>
          <w:rFonts w:ascii="Arial" w:hAnsi="Arial" w:cs="Arial"/>
          <w:sz w:val="24"/>
          <w:szCs w:val="24"/>
        </w:rPr>
        <w:t xml:space="preserve"> algumas</w:t>
      </w:r>
      <w:r>
        <w:rPr>
          <w:rFonts w:ascii="Arial" w:hAnsi="Arial" w:cs="Arial"/>
          <w:sz w:val="24"/>
          <w:szCs w:val="24"/>
        </w:rPr>
        <w:t xml:space="preserve"> auditorias em pleno curso da CPI para atender às respectivas requisições</w:t>
      </w:r>
      <w:r w:rsidR="00296138">
        <w:rPr>
          <w:rFonts w:ascii="Arial" w:hAnsi="Arial" w:cs="Arial"/>
          <w:sz w:val="24"/>
          <w:szCs w:val="24"/>
        </w:rPr>
        <w:t>; p</w:t>
      </w:r>
      <w:r>
        <w:rPr>
          <w:rFonts w:ascii="Arial" w:hAnsi="Arial" w:cs="Arial"/>
          <w:sz w:val="24"/>
          <w:szCs w:val="24"/>
        </w:rPr>
        <w:t>or isso</w:t>
      </w:r>
      <w:r w:rsidR="00461C39">
        <w:rPr>
          <w:rFonts w:ascii="Arial" w:hAnsi="Arial" w:cs="Arial"/>
          <w:sz w:val="24"/>
          <w:szCs w:val="24"/>
        </w:rPr>
        <w:t>,</w:t>
      </w:r>
      <w:r>
        <w:rPr>
          <w:rFonts w:ascii="Arial" w:hAnsi="Arial" w:cs="Arial"/>
          <w:sz w:val="24"/>
          <w:szCs w:val="24"/>
        </w:rPr>
        <w:t xml:space="preserve"> a Secretaria </w:t>
      </w:r>
      <w:r w:rsidR="00296138">
        <w:rPr>
          <w:rFonts w:ascii="Arial" w:hAnsi="Arial" w:cs="Arial"/>
          <w:sz w:val="24"/>
          <w:szCs w:val="24"/>
        </w:rPr>
        <w:t>pleiteou dilação</w:t>
      </w:r>
      <w:r>
        <w:rPr>
          <w:rFonts w:ascii="Arial" w:hAnsi="Arial" w:cs="Arial"/>
          <w:sz w:val="24"/>
          <w:szCs w:val="24"/>
        </w:rPr>
        <w:t xml:space="preserve"> de prazo para a resposta, para haver tempo hábil de concluir </w:t>
      </w:r>
      <w:r w:rsidR="00296138">
        <w:rPr>
          <w:rFonts w:ascii="Arial" w:hAnsi="Arial" w:cs="Arial"/>
          <w:sz w:val="24"/>
          <w:szCs w:val="24"/>
        </w:rPr>
        <w:t>a maioria das</w:t>
      </w:r>
      <w:r>
        <w:rPr>
          <w:rFonts w:ascii="Arial" w:hAnsi="Arial" w:cs="Arial"/>
          <w:sz w:val="24"/>
          <w:szCs w:val="24"/>
        </w:rPr>
        <w:t xml:space="preserve"> atividades de fiscalização</w:t>
      </w:r>
      <w:r w:rsidR="00296138">
        <w:rPr>
          <w:rFonts w:ascii="Arial" w:hAnsi="Arial" w:cs="Arial"/>
          <w:sz w:val="24"/>
          <w:szCs w:val="24"/>
        </w:rPr>
        <w:t xml:space="preserve"> recém-</w:t>
      </w:r>
      <w:r w:rsidR="00461C39">
        <w:rPr>
          <w:rFonts w:ascii="Arial" w:hAnsi="Arial" w:cs="Arial"/>
          <w:sz w:val="24"/>
          <w:szCs w:val="24"/>
        </w:rPr>
        <w:t>requisitadas</w:t>
      </w:r>
      <w:r>
        <w:rPr>
          <w:rFonts w:ascii="Arial" w:hAnsi="Arial" w:cs="Arial"/>
          <w:sz w:val="24"/>
          <w:szCs w:val="24"/>
        </w:rPr>
        <w:t>!</w:t>
      </w:r>
    </w:p>
    <w:p w14:paraId="1F8840D8" w14:textId="2D0D915B" w:rsidR="008E54B5" w:rsidRDefault="008E54B5" w:rsidP="00E95223">
      <w:pPr>
        <w:spacing w:line="360" w:lineRule="auto"/>
        <w:ind w:firstLine="851"/>
        <w:jc w:val="both"/>
        <w:rPr>
          <w:rFonts w:ascii="Arial" w:hAnsi="Arial" w:cs="Arial"/>
          <w:sz w:val="24"/>
          <w:szCs w:val="24"/>
        </w:rPr>
      </w:pPr>
    </w:p>
    <w:p w14:paraId="7C8E2673" w14:textId="392B24C1" w:rsidR="008E54B5" w:rsidRDefault="008E54B5" w:rsidP="00E95223">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w:t>
      </w:r>
      <w:r>
        <w:rPr>
          <w:rFonts w:ascii="Arial" w:hAnsi="Arial" w:cs="Arial"/>
          <w:b/>
          <w:sz w:val="24"/>
          <w:szCs w:val="24"/>
        </w:rPr>
        <w:t>2.4</w:t>
      </w:r>
      <w:r w:rsidRPr="0031082B">
        <w:rPr>
          <w:rFonts w:ascii="Arial" w:hAnsi="Arial" w:cs="Arial"/>
          <w:b/>
          <w:sz w:val="24"/>
          <w:szCs w:val="24"/>
        </w:rPr>
        <w:t>.</w:t>
      </w:r>
      <w:r>
        <w:rPr>
          <w:rFonts w:ascii="Arial" w:hAnsi="Arial" w:cs="Arial"/>
          <w:b/>
          <w:sz w:val="24"/>
          <w:szCs w:val="24"/>
        </w:rPr>
        <w:t>2</w:t>
      </w:r>
      <w:r w:rsidRPr="008E54B5">
        <w:rPr>
          <w:rFonts w:ascii="Arial" w:hAnsi="Arial" w:cs="Arial"/>
          <w:b/>
          <w:sz w:val="24"/>
          <w:szCs w:val="24"/>
        </w:rPr>
        <w:t xml:space="preserve">. </w:t>
      </w:r>
      <w:r w:rsidR="00B12486" w:rsidRPr="00B12486">
        <w:rPr>
          <w:rFonts w:ascii="Arial" w:hAnsi="Arial" w:cs="Arial"/>
          <w:sz w:val="24"/>
          <w:szCs w:val="24"/>
        </w:rPr>
        <w:t>Feito esse registro contextual,</w:t>
      </w:r>
      <w:r w:rsidR="00B12486">
        <w:rPr>
          <w:rFonts w:ascii="Arial" w:hAnsi="Arial" w:cs="Arial"/>
          <w:b/>
          <w:sz w:val="24"/>
          <w:szCs w:val="24"/>
        </w:rPr>
        <w:t xml:space="preserve"> </w:t>
      </w:r>
      <w:r w:rsidR="00B12486" w:rsidRPr="00B12486">
        <w:rPr>
          <w:rFonts w:ascii="Arial" w:hAnsi="Arial" w:cs="Arial"/>
          <w:sz w:val="24"/>
          <w:szCs w:val="24"/>
        </w:rPr>
        <w:t>e</w:t>
      </w:r>
      <w:r w:rsidRPr="008E54B5">
        <w:rPr>
          <w:rFonts w:ascii="Arial" w:hAnsi="Arial" w:cs="Arial"/>
          <w:sz w:val="24"/>
          <w:szCs w:val="24"/>
        </w:rPr>
        <w:t>m relação</w:t>
      </w:r>
      <w:r>
        <w:rPr>
          <w:rFonts w:ascii="Arial" w:hAnsi="Arial" w:cs="Arial"/>
          <w:sz w:val="24"/>
          <w:szCs w:val="24"/>
        </w:rPr>
        <w:t xml:space="preserve"> aos relatórios de auditoria acima mencionados que foram fornecidos a esta CPI, </w:t>
      </w:r>
      <w:r w:rsidR="00C02CB9">
        <w:rPr>
          <w:rFonts w:ascii="Arial" w:hAnsi="Arial" w:cs="Arial"/>
          <w:sz w:val="24"/>
          <w:szCs w:val="24"/>
        </w:rPr>
        <w:t>passa-se a tecer breves comentários sobre eles, acompanhados da</w:t>
      </w:r>
      <w:r w:rsidR="00B12486">
        <w:rPr>
          <w:rFonts w:ascii="Arial" w:hAnsi="Arial" w:cs="Arial"/>
          <w:sz w:val="24"/>
          <w:szCs w:val="24"/>
        </w:rPr>
        <w:t xml:space="preserve"> respectiva</w:t>
      </w:r>
      <w:r w:rsidR="00C02CB9">
        <w:rPr>
          <w:rFonts w:ascii="Arial" w:hAnsi="Arial" w:cs="Arial"/>
          <w:sz w:val="24"/>
          <w:szCs w:val="24"/>
        </w:rPr>
        <w:t xml:space="preserve"> transcrição, </w:t>
      </w:r>
      <w:r>
        <w:rPr>
          <w:rFonts w:ascii="Arial" w:hAnsi="Arial" w:cs="Arial"/>
          <w:sz w:val="24"/>
          <w:szCs w:val="24"/>
        </w:rPr>
        <w:t>sem identificação nominal das empresas</w:t>
      </w:r>
      <w:r w:rsidR="005E180F">
        <w:rPr>
          <w:rFonts w:ascii="Arial" w:hAnsi="Arial" w:cs="Arial"/>
          <w:sz w:val="24"/>
          <w:szCs w:val="24"/>
        </w:rPr>
        <w:t xml:space="preserve">; registre-se, ainda, que todos aqueles 7 (sete) relatórios </w:t>
      </w:r>
      <w:r w:rsidR="005E180F">
        <w:rPr>
          <w:rFonts w:ascii="Arial" w:hAnsi="Arial" w:cs="Arial"/>
          <w:sz w:val="24"/>
          <w:szCs w:val="24"/>
        </w:rPr>
        <w:lastRenderedPageBreak/>
        <w:t>constataram a regularidade</w:t>
      </w:r>
      <w:r w:rsidR="00884027">
        <w:rPr>
          <w:rFonts w:ascii="Arial" w:hAnsi="Arial" w:cs="Arial"/>
          <w:sz w:val="24"/>
          <w:szCs w:val="24"/>
        </w:rPr>
        <w:t xml:space="preserve">, embora de uma forma </w:t>
      </w:r>
      <w:r w:rsidR="007D3B76">
        <w:rPr>
          <w:rFonts w:ascii="Arial" w:hAnsi="Arial" w:cs="Arial"/>
          <w:sz w:val="24"/>
          <w:szCs w:val="24"/>
        </w:rPr>
        <w:t>extremamente</w:t>
      </w:r>
      <w:r w:rsidR="00884027">
        <w:rPr>
          <w:rFonts w:ascii="Arial" w:hAnsi="Arial" w:cs="Arial"/>
          <w:sz w:val="24"/>
          <w:szCs w:val="24"/>
        </w:rPr>
        <w:t xml:space="preserve"> superficial</w:t>
      </w:r>
      <w:r w:rsidR="00B12486">
        <w:rPr>
          <w:rFonts w:ascii="Arial" w:hAnsi="Arial" w:cs="Arial"/>
          <w:sz w:val="24"/>
          <w:szCs w:val="24"/>
        </w:rPr>
        <w:t>, se comparados àqueles fornecidos nas amostras anteriores</w:t>
      </w:r>
      <w:r w:rsidR="00C02CB9">
        <w:rPr>
          <w:rFonts w:ascii="Arial" w:hAnsi="Arial" w:cs="Arial"/>
          <w:sz w:val="24"/>
          <w:szCs w:val="24"/>
        </w:rPr>
        <w:t>.</w:t>
      </w:r>
    </w:p>
    <w:p w14:paraId="53AF2000" w14:textId="3466D1E1" w:rsidR="00C02CB9" w:rsidRDefault="00C02CB9" w:rsidP="00E95223">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w:t>
      </w:r>
      <w:r>
        <w:rPr>
          <w:rFonts w:ascii="Arial" w:hAnsi="Arial" w:cs="Arial"/>
          <w:b/>
          <w:sz w:val="24"/>
          <w:szCs w:val="24"/>
        </w:rPr>
        <w:t>2.4</w:t>
      </w:r>
      <w:r w:rsidRPr="0031082B">
        <w:rPr>
          <w:rFonts w:ascii="Arial" w:hAnsi="Arial" w:cs="Arial"/>
          <w:b/>
          <w:sz w:val="24"/>
          <w:szCs w:val="24"/>
        </w:rPr>
        <w:t>.</w:t>
      </w:r>
      <w:r>
        <w:rPr>
          <w:rFonts w:ascii="Arial" w:hAnsi="Arial" w:cs="Arial"/>
          <w:b/>
          <w:sz w:val="24"/>
          <w:szCs w:val="24"/>
        </w:rPr>
        <w:t>2</w:t>
      </w:r>
      <w:r w:rsidRPr="008E54B5">
        <w:rPr>
          <w:rFonts w:ascii="Arial" w:hAnsi="Arial" w:cs="Arial"/>
          <w:b/>
          <w:sz w:val="24"/>
          <w:szCs w:val="24"/>
        </w:rPr>
        <w:t>.</w:t>
      </w:r>
      <w:r>
        <w:rPr>
          <w:rFonts w:ascii="Arial" w:hAnsi="Arial" w:cs="Arial"/>
          <w:b/>
          <w:sz w:val="24"/>
          <w:szCs w:val="24"/>
        </w:rPr>
        <w:t xml:space="preserve">1. </w:t>
      </w:r>
      <w:r>
        <w:rPr>
          <w:rFonts w:ascii="Arial" w:hAnsi="Arial" w:cs="Arial"/>
          <w:sz w:val="24"/>
          <w:szCs w:val="24"/>
        </w:rPr>
        <w:t>O primeiro relatório de auditoria</w:t>
      </w:r>
      <w:r w:rsidR="005D518A">
        <w:rPr>
          <w:rFonts w:ascii="Arial" w:hAnsi="Arial" w:cs="Arial"/>
          <w:sz w:val="24"/>
          <w:szCs w:val="24"/>
        </w:rPr>
        <w:t xml:space="preserve"> foi elaborado</w:t>
      </w:r>
      <w:r w:rsidR="00B348AF">
        <w:rPr>
          <w:rFonts w:ascii="Arial" w:hAnsi="Arial" w:cs="Arial"/>
          <w:sz w:val="24"/>
          <w:szCs w:val="24"/>
        </w:rPr>
        <w:t xml:space="preserve"> </w:t>
      </w:r>
      <w:r w:rsidR="005D518A">
        <w:rPr>
          <w:rFonts w:ascii="Arial" w:hAnsi="Arial" w:cs="Arial"/>
          <w:sz w:val="24"/>
          <w:szCs w:val="24"/>
        </w:rPr>
        <w:t xml:space="preserve">pela Gerência de Auditoria de Indústria e Atacado, </w:t>
      </w:r>
      <w:r w:rsidR="00094A83">
        <w:rPr>
          <w:rFonts w:ascii="Arial" w:hAnsi="Arial" w:cs="Arial"/>
          <w:sz w:val="24"/>
          <w:szCs w:val="24"/>
        </w:rPr>
        <w:t>nos seguintes termos</w:t>
      </w:r>
      <w:r w:rsidR="00427BDC">
        <w:rPr>
          <w:rFonts w:ascii="Arial" w:hAnsi="Arial" w:cs="Arial"/>
          <w:sz w:val="24"/>
          <w:szCs w:val="24"/>
        </w:rPr>
        <w:t>, com ligeiras modificações para não identificar a pessoa jurídica</w:t>
      </w:r>
      <w:r w:rsidR="00094A83">
        <w:rPr>
          <w:rFonts w:ascii="Arial" w:hAnsi="Arial" w:cs="Arial"/>
          <w:sz w:val="24"/>
          <w:szCs w:val="24"/>
        </w:rPr>
        <w:t>:</w:t>
      </w:r>
    </w:p>
    <w:p w14:paraId="33FE0B65" w14:textId="77777777" w:rsidR="00094A83" w:rsidRDefault="00094A83" w:rsidP="00E95223">
      <w:pPr>
        <w:spacing w:line="360" w:lineRule="auto"/>
        <w:ind w:firstLine="851"/>
        <w:jc w:val="both"/>
        <w:rPr>
          <w:rFonts w:ascii="Arial" w:hAnsi="Arial" w:cs="Arial"/>
          <w:sz w:val="24"/>
          <w:szCs w:val="24"/>
        </w:rPr>
      </w:pPr>
    </w:p>
    <w:p w14:paraId="7CF39356" w14:textId="6A1AC3E4" w:rsidR="00C02CB9" w:rsidRDefault="00C02CB9" w:rsidP="00505254">
      <w:pPr>
        <w:ind w:left="2268"/>
        <w:jc w:val="both"/>
        <w:rPr>
          <w:rFonts w:ascii="Arial" w:hAnsi="Arial" w:cs="Arial"/>
          <w:sz w:val="22"/>
          <w:szCs w:val="22"/>
        </w:rPr>
      </w:pPr>
      <w:r w:rsidRPr="00C02CB9">
        <w:rPr>
          <w:rFonts w:ascii="Arial" w:hAnsi="Arial" w:cs="Arial"/>
          <w:sz w:val="22"/>
          <w:szCs w:val="22"/>
        </w:rPr>
        <w:t xml:space="preserve">O contribuinte, em cumprimento ao disposto no § 1º da Cláusula segunda do </w:t>
      </w:r>
      <w:r w:rsidRPr="00427BDC">
        <w:rPr>
          <w:rFonts w:ascii="Arial" w:hAnsi="Arial" w:cs="Arial"/>
          <w:sz w:val="22"/>
          <w:szCs w:val="22"/>
        </w:rPr>
        <w:t xml:space="preserve">TARE </w:t>
      </w:r>
      <w:r w:rsidR="00B454CB" w:rsidRPr="00427BDC">
        <w:rPr>
          <w:rFonts w:ascii="Arial" w:hAnsi="Arial" w:cs="Arial"/>
          <w:sz w:val="22"/>
          <w:szCs w:val="22"/>
        </w:rPr>
        <w:t>[</w:t>
      </w:r>
      <w:r w:rsidRPr="00427BDC">
        <w:rPr>
          <w:rFonts w:ascii="Arial" w:hAnsi="Arial" w:cs="Arial"/>
          <w:sz w:val="22"/>
          <w:szCs w:val="22"/>
        </w:rPr>
        <w:t>...</w:t>
      </w:r>
      <w:r w:rsidR="00B454CB" w:rsidRPr="00427BDC">
        <w:rPr>
          <w:rFonts w:ascii="Arial" w:hAnsi="Arial" w:cs="Arial"/>
          <w:sz w:val="22"/>
          <w:szCs w:val="22"/>
        </w:rPr>
        <w:t>]</w:t>
      </w:r>
      <w:r w:rsidRPr="00427BDC">
        <w:rPr>
          <w:rFonts w:ascii="Arial" w:hAnsi="Arial" w:cs="Arial"/>
          <w:sz w:val="22"/>
          <w:szCs w:val="22"/>
        </w:rPr>
        <w:t>, apresenta</w:t>
      </w:r>
      <w:r>
        <w:rPr>
          <w:rFonts w:ascii="Arial" w:hAnsi="Arial" w:cs="Arial"/>
          <w:sz w:val="22"/>
          <w:szCs w:val="22"/>
        </w:rPr>
        <w:t xml:space="preserve"> tabela contendo os totais dos investimentos nos </w:t>
      </w:r>
      <w:r w:rsidRPr="00427BDC">
        <w:rPr>
          <w:rFonts w:ascii="Arial" w:hAnsi="Arial" w:cs="Arial"/>
          <w:sz w:val="22"/>
          <w:szCs w:val="22"/>
        </w:rPr>
        <w:t xml:space="preserve">anos de </w:t>
      </w:r>
      <w:r w:rsidR="00427BDC" w:rsidRPr="00427BDC">
        <w:rPr>
          <w:rFonts w:ascii="Arial" w:hAnsi="Arial" w:cs="Arial"/>
          <w:sz w:val="22"/>
          <w:szCs w:val="22"/>
        </w:rPr>
        <w:t>[...]</w:t>
      </w:r>
      <w:r>
        <w:rPr>
          <w:rFonts w:ascii="Arial" w:hAnsi="Arial" w:cs="Arial"/>
          <w:sz w:val="22"/>
          <w:szCs w:val="22"/>
        </w:rPr>
        <w:t>.</w:t>
      </w:r>
    </w:p>
    <w:p w14:paraId="01F137BC" w14:textId="00C1C918" w:rsidR="00C02CB9" w:rsidRDefault="00C02CB9" w:rsidP="00505254">
      <w:pPr>
        <w:ind w:left="2268"/>
        <w:jc w:val="both"/>
        <w:rPr>
          <w:rFonts w:ascii="Arial" w:hAnsi="Arial" w:cs="Arial"/>
          <w:sz w:val="22"/>
          <w:szCs w:val="22"/>
        </w:rPr>
      </w:pPr>
      <w:r>
        <w:rPr>
          <w:rFonts w:ascii="Arial" w:hAnsi="Arial" w:cs="Arial"/>
          <w:sz w:val="22"/>
          <w:szCs w:val="22"/>
        </w:rPr>
        <w:t>Anexa, ainda, 3 mídias, tipo pen-drive, sendo que não foi possível efetuar a abertura dos arquivos em 2 delas.</w:t>
      </w:r>
    </w:p>
    <w:p w14:paraId="079C8517" w14:textId="4BBE914C" w:rsidR="00C02CB9" w:rsidRDefault="00C02CB9" w:rsidP="00505254">
      <w:pPr>
        <w:ind w:left="2268"/>
        <w:jc w:val="both"/>
        <w:rPr>
          <w:rFonts w:ascii="Arial" w:hAnsi="Arial" w:cs="Arial"/>
          <w:sz w:val="22"/>
          <w:szCs w:val="22"/>
        </w:rPr>
      </w:pPr>
      <w:r>
        <w:rPr>
          <w:rFonts w:ascii="Arial" w:hAnsi="Arial" w:cs="Arial"/>
          <w:sz w:val="22"/>
          <w:szCs w:val="22"/>
        </w:rPr>
        <w:t xml:space="preserve">Contatado, apresentou </w:t>
      </w:r>
      <w:r w:rsidRPr="00427BDC">
        <w:rPr>
          <w:rFonts w:ascii="Arial" w:hAnsi="Arial" w:cs="Arial"/>
          <w:sz w:val="22"/>
          <w:szCs w:val="22"/>
        </w:rPr>
        <w:t>ou</w:t>
      </w:r>
      <w:r w:rsidR="00152B77" w:rsidRPr="00427BDC">
        <w:rPr>
          <w:rFonts w:ascii="Arial" w:hAnsi="Arial" w:cs="Arial"/>
          <w:sz w:val="22"/>
          <w:szCs w:val="22"/>
        </w:rPr>
        <w:t>tra</w:t>
      </w:r>
      <w:r w:rsidRPr="00427BDC">
        <w:rPr>
          <w:rFonts w:ascii="Arial" w:hAnsi="Arial" w:cs="Arial"/>
          <w:sz w:val="22"/>
          <w:szCs w:val="22"/>
        </w:rPr>
        <w:t xml:space="preserve"> </w:t>
      </w:r>
      <w:r>
        <w:rPr>
          <w:rFonts w:ascii="Arial" w:hAnsi="Arial" w:cs="Arial"/>
          <w:sz w:val="22"/>
          <w:szCs w:val="22"/>
        </w:rPr>
        <w:t xml:space="preserve">mídia, também do tipo pen-drive, a qual anexamos aos autos nesta oportunidade, contendo 1 arquivo xls com a relação das notas fiscais referentes aos investimentos realizados </w:t>
      </w:r>
      <w:r w:rsidRPr="00427BDC">
        <w:rPr>
          <w:rFonts w:ascii="Arial" w:hAnsi="Arial" w:cs="Arial"/>
          <w:sz w:val="22"/>
          <w:szCs w:val="22"/>
        </w:rPr>
        <w:t xml:space="preserve">relativos ao período de </w:t>
      </w:r>
      <w:r w:rsidR="00427BDC" w:rsidRPr="00427BDC">
        <w:rPr>
          <w:rFonts w:ascii="Arial" w:hAnsi="Arial" w:cs="Arial"/>
          <w:sz w:val="22"/>
          <w:szCs w:val="22"/>
        </w:rPr>
        <w:t>[...]</w:t>
      </w:r>
      <w:r>
        <w:rPr>
          <w:rFonts w:ascii="Arial" w:hAnsi="Arial" w:cs="Arial"/>
          <w:sz w:val="22"/>
          <w:szCs w:val="22"/>
        </w:rPr>
        <w:t xml:space="preserve"> e arquivos PDF com imagem das respectivas notas fiscais digitalizadas.</w:t>
      </w:r>
    </w:p>
    <w:p w14:paraId="3AA6686D" w14:textId="78F47640" w:rsidR="00C02CB9" w:rsidRPr="00427BDC" w:rsidRDefault="00C02CB9" w:rsidP="00505254">
      <w:pPr>
        <w:ind w:left="2268"/>
        <w:jc w:val="both"/>
        <w:rPr>
          <w:rFonts w:ascii="Arial" w:hAnsi="Arial" w:cs="Arial"/>
          <w:sz w:val="22"/>
          <w:szCs w:val="22"/>
        </w:rPr>
      </w:pPr>
      <w:r w:rsidRPr="00427BDC">
        <w:rPr>
          <w:rFonts w:ascii="Arial" w:hAnsi="Arial" w:cs="Arial"/>
          <w:sz w:val="22"/>
          <w:szCs w:val="22"/>
        </w:rPr>
        <w:t>Tendo em vista a enorme quantidade de informações contidas na mídia digital (7,85 GB), efetuamos a análise dos referidos arquivos pelo método de amostragem, levando em consideração os 50 maiores valores de cada exercício, o que redundou nos seguintes percentuais de verificação:</w:t>
      </w:r>
    </w:p>
    <w:p w14:paraId="4E63384D" w14:textId="2034F33B" w:rsidR="00C02CB9" w:rsidRPr="00427BDC" w:rsidRDefault="00427BDC" w:rsidP="00505254">
      <w:pPr>
        <w:ind w:left="2268"/>
        <w:jc w:val="both"/>
        <w:rPr>
          <w:rFonts w:ascii="Arial" w:hAnsi="Arial" w:cs="Arial"/>
          <w:sz w:val="22"/>
          <w:szCs w:val="22"/>
        </w:rPr>
      </w:pPr>
      <w:r w:rsidRPr="00427BDC">
        <w:rPr>
          <w:rFonts w:ascii="Arial" w:hAnsi="Arial" w:cs="Arial"/>
          <w:sz w:val="22"/>
          <w:szCs w:val="22"/>
        </w:rPr>
        <w:t>Ano 1</w:t>
      </w:r>
      <w:r w:rsidR="00C02CB9" w:rsidRPr="00427BDC">
        <w:rPr>
          <w:rFonts w:ascii="Arial" w:hAnsi="Arial" w:cs="Arial"/>
          <w:sz w:val="22"/>
          <w:szCs w:val="22"/>
        </w:rPr>
        <w:t xml:space="preserve"> – 36,38%</w:t>
      </w:r>
    </w:p>
    <w:p w14:paraId="4F73BEA9" w14:textId="69DBAD32" w:rsidR="00C02CB9" w:rsidRPr="00427BDC" w:rsidRDefault="00427BDC" w:rsidP="00505254">
      <w:pPr>
        <w:ind w:left="2268"/>
        <w:jc w:val="both"/>
        <w:rPr>
          <w:rFonts w:ascii="Arial" w:hAnsi="Arial" w:cs="Arial"/>
          <w:sz w:val="22"/>
          <w:szCs w:val="22"/>
        </w:rPr>
      </w:pPr>
      <w:r w:rsidRPr="00427BDC">
        <w:rPr>
          <w:rFonts w:ascii="Arial" w:hAnsi="Arial" w:cs="Arial"/>
          <w:sz w:val="22"/>
          <w:szCs w:val="22"/>
        </w:rPr>
        <w:t xml:space="preserve">Ano 2 </w:t>
      </w:r>
      <w:r w:rsidR="00C02CB9" w:rsidRPr="00427BDC">
        <w:rPr>
          <w:rFonts w:ascii="Arial" w:hAnsi="Arial" w:cs="Arial"/>
          <w:sz w:val="22"/>
          <w:szCs w:val="22"/>
        </w:rPr>
        <w:t>– 35,44%</w:t>
      </w:r>
    </w:p>
    <w:p w14:paraId="26662752" w14:textId="7C1F94EA" w:rsidR="00C02CB9" w:rsidRPr="00427BDC" w:rsidRDefault="00427BDC" w:rsidP="00505254">
      <w:pPr>
        <w:ind w:left="2268"/>
        <w:jc w:val="both"/>
        <w:rPr>
          <w:rFonts w:ascii="Arial" w:hAnsi="Arial" w:cs="Arial"/>
          <w:sz w:val="22"/>
          <w:szCs w:val="22"/>
        </w:rPr>
      </w:pPr>
      <w:r w:rsidRPr="00427BDC">
        <w:rPr>
          <w:rFonts w:ascii="Arial" w:hAnsi="Arial" w:cs="Arial"/>
          <w:sz w:val="22"/>
          <w:szCs w:val="22"/>
        </w:rPr>
        <w:t xml:space="preserve">Ano 3 </w:t>
      </w:r>
      <w:r w:rsidR="00C02CB9" w:rsidRPr="00427BDC">
        <w:rPr>
          <w:rFonts w:ascii="Arial" w:hAnsi="Arial" w:cs="Arial"/>
          <w:sz w:val="22"/>
          <w:szCs w:val="22"/>
        </w:rPr>
        <w:t>– 39,51%</w:t>
      </w:r>
    </w:p>
    <w:p w14:paraId="37FF4B08" w14:textId="00923547" w:rsidR="00C02CB9" w:rsidRPr="00427BDC" w:rsidRDefault="00427BDC" w:rsidP="00505254">
      <w:pPr>
        <w:ind w:left="2268"/>
        <w:jc w:val="both"/>
        <w:rPr>
          <w:rFonts w:ascii="Arial" w:hAnsi="Arial" w:cs="Arial"/>
          <w:sz w:val="22"/>
          <w:szCs w:val="22"/>
        </w:rPr>
      </w:pPr>
      <w:r w:rsidRPr="00427BDC">
        <w:rPr>
          <w:rFonts w:ascii="Arial" w:hAnsi="Arial" w:cs="Arial"/>
          <w:sz w:val="22"/>
          <w:szCs w:val="22"/>
        </w:rPr>
        <w:t xml:space="preserve">Ano 4 </w:t>
      </w:r>
      <w:r w:rsidR="00C02CB9" w:rsidRPr="00427BDC">
        <w:rPr>
          <w:rFonts w:ascii="Arial" w:hAnsi="Arial" w:cs="Arial"/>
          <w:sz w:val="22"/>
          <w:szCs w:val="22"/>
        </w:rPr>
        <w:t>– 44,12%</w:t>
      </w:r>
    </w:p>
    <w:p w14:paraId="57EE4E5E" w14:textId="0F4F6644" w:rsidR="00C02CB9" w:rsidRPr="00427BDC" w:rsidRDefault="00427BDC" w:rsidP="00505254">
      <w:pPr>
        <w:ind w:left="2268"/>
        <w:jc w:val="both"/>
        <w:rPr>
          <w:rFonts w:ascii="Arial" w:hAnsi="Arial" w:cs="Arial"/>
          <w:sz w:val="22"/>
          <w:szCs w:val="22"/>
        </w:rPr>
      </w:pPr>
      <w:r w:rsidRPr="00427BDC">
        <w:rPr>
          <w:rFonts w:ascii="Arial" w:hAnsi="Arial" w:cs="Arial"/>
          <w:sz w:val="22"/>
          <w:szCs w:val="22"/>
        </w:rPr>
        <w:t xml:space="preserve">Ano 5 </w:t>
      </w:r>
      <w:r w:rsidR="00C02CB9" w:rsidRPr="00427BDC">
        <w:rPr>
          <w:rFonts w:ascii="Arial" w:hAnsi="Arial" w:cs="Arial"/>
          <w:sz w:val="22"/>
          <w:szCs w:val="22"/>
        </w:rPr>
        <w:t>– 40,89%</w:t>
      </w:r>
    </w:p>
    <w:p w14:paraId="6C414B88" w14:textId="47CC8950" w:rsidR="00C02CB9" w:rsidRPr="00C02CB9" w:rsidRDefault="00427BDC" w:rsidP="00505254">
      <w:pPr>
        <w:ind w:left="2268"/>
        <w:jc w:val="both"/>
        <w:rPr>
          <w:rFonts w:ascii="Arial" w:hAnsi="Arial" w:cs="Arial"/>
          <w:sz w:val="22"/>
          <w:szCs w:val="22"/>
        </w:rPr>
      </w:pPr>
      <w:r w:rsidRPr="00427BDC">
        <w:rPr>
          <w:rFonts w:ascii="Arial" w:hAnsi="Arial" w:cs="Arial"/>
          <w:sz w:val="22"/>
          <w:szCs w:val="22"/>
        </w:rPr>
        <w:t xml:space="preserve">Ano 6 </w:t>
      </w:r>
      <w:r w:rsidR="00C02CB9" w:rsidRPr="00427BDC">
        <w:rPr>
          <w:rFonts w:ascii="Arial" w:hAnsi="Arial" w:cs="Arial"/>
          <w:sz w:val="22"/>
          <w:szCs w:val="22"/>
        </w:rPr>
        <w:t>– 83</w:t>
      </w:r>
      <w:r w:rsidR="00C02CB9" w:rsidRPr="00C02CB9">
        <w:rPr>
          <w:rFonts w:ascii="Arial" w:hAnsi="Arial" w:cs="Arial"/>
          <w:sz w:val="22"/>
          <w:szCs w:val="22"/>
        </w:rPr>
        <w:t>,17%</w:t>
      </w:r>
    </w:p>
    <w:p w14:paraId="1FFB8304" w14:textId="77777777" w:rsidR="00C02CB9" w:rsidRPr="00C02CB9" w:rsidRDefault="00C02CB9" w:rsidP="00505254">
      <w:pPr>
        <w:ind w:left="2268"/>
        <w:jc w:val="both"/>
        <w:rPr>
          <w:rFonts w:ascii="Arial" w:hAnsi="Arial" w:cs="Arial"/>
          <w:sz w:val="22"/>
          <w:szCs w:val="22"/>
        </w:rPr>
      </w:pPr>
      <w:r w:rsidRPr="00C02CB9">
        <w:rPr>
          <w:rFonts w:ascii="Arial" w:hAnsi="Arial" w:cs="Arial"/>
          <w:sz w:val="22"/>
          <w:szCs w:val="22"/>
        </w:rPr>
        <w:t>A referida análise abrangeu a conferência da nota fiscal relacionada no arquivo xls com a imagem contida no arquivo PDF, verificando-se, ainda, aleatoriamente, a existência da Nota Fiscal analisada no Portal da NFe Nacional, através da respectiva chave.</w:t>
      </w:r>
    </w:p>
    <w:p w14:paraId="0EDDE56E" w14:textId="7708F093" w:rsidR="00C02CB9" w:rsidRDefault="00C02CB9" w:rsidP="00505254">
      <w:pPr>
        <w:ind w:left="2268"/>
        <w:jc w:val="both"/>
        <w:rPr>
          <w:rFonts w:ascii="Arial" w:hAnsi="Arial" w:cs="Arial"/>
          <w:sz w:val="22"/>
          <w:szCs w:val="22"/>
        </w:rPr>
      </w:pPr>
      <w:r w:rsidRPr="00C02CB9">
        <w:rPr>
          <w:rFonts w:ascii="Arial" w:hAnsi="Arial" w:cs="Arial"/>
          <w:sz w:val="22"/>
          <w:szCs w:val="22"/>
        </w:rPr>
        <w:t>Destacamos que as verificações efetuadas foram, estritamente, de caráter fiscal, não tendo sido feita nenhuma diligência no sentido de assegurar a aplicação dos materiais, equipamentos e serviços em questão no parque industrial do contribuinte.</w:t>
      </w:r>
    </w:p>
    <w:p w14:paraId="2D02282C" w14:textId="5D441301" w:rsidR="00C02CB9" w:rsidRDefault="00C02CB9" w:rsidP="00505254">
      <w:pPr>
        <w:ind w:left="2268"/>
        <w:jc w:val="both"/>
        <w:rPr>
          <w:rFonts w:ascii="Arial" w:hAnsi="Arial" w:cs="Arial"/>
          <w:sz w:val="22"/>
          <w:szCs w:val="22"/>
        </w:rPr>
      </w:pPr>
      <w:r>
        <w:rPr>
          <w:rFonts w:ascii="Arial" w:hAnsi="Arial" w:cs="Arial"/>
          <w:sz w:val="22"/>
          <w:szCs w:val="22"/>
        </w:rPr>
        <w:t xml:space="preserve">Desta forma, smj, ratificamos a comprovação dos investimentos </w:t>
      </w:r>
      <w:r w:rsidRPr="00427BDC">
        <w:rPr>
          <w:rFonts w:ascii="Arial" w:hAnsi="Arial" w:cs="Arial"/>
          <w:sz w:val="22"/>
          <w:szCs w:val="22"/>
        </w:rPr>
        <w:t xml:space="preserve">efetuados no período de </w:t>
      </w:r>
      <w:r w:rsidR="00427BDC" w:rsidRPr="00427BDC">
        <w:rPr>
          <w:rFonts w:ascii="Arial" w:hAnsi="Arial" w:cs="Arial"/>
          <w:sz w:val="22"/>
          <w:szCs w:val="22"/>
        </w:rPr>
        <w:t>[...]</w:t>
      </w:r>
      <w:r>
        <w:rPr>
          <w:rFonts w:ascii="Arial" w:hAnsi="Arial" w:cs="Arial"/>
          <w:sz w:val="22"/>
          <w:szCs w:val="22"/>
        </w:rPr>
        <w:t xml:space="preserve">, no montante de </w:t>
      </w:r>
      <w:r w:rsidR="002315E6">
        <w:rPr>
          <w:rFonts w:ascii="Arial" w:hAnsi="Arial" w:cs="Arial"/>
          <w:sz w:val="22"/>
          <w:szCs w:val="22"/>
        </w:rPr>
        <w:t>[...]</w:t>
      </w:r>
      <w:r>
        <w:rPr>
          <w:rFonts w:ascii="Arial" w:hAnsi="Arial" w:cs="Arial"/>
          <w:sz w:val="22"/>
          <w:szCs w:val="22"/>
        </w:rPr>
        <w:t>.</w:t>
      </w:r>
    </w:p>
    <w:p w14:paraId="7EF6DF89" w14:textId="79DA0057" w:rsidR="00C02CB9" w:rsidRDefault="00C02CB9" w:rsidP="00505254">
      <w:pPr>
        <w:ind w:left="2268"/>
        <w:jc w:val="both"/>
        <w:rPr>
          <w:rFonts w:ascii="Arial" w:hAnsi="Arial" w:cs="Arial"/>
          <w:sz w:val="22"/>
          <w:szCs w:val="22"/>
        </w:rPr>
      </w:pPr>
      <w:r>
        <w:rPr>
          <w:rFonts w:ascii="Arial" w:hAnsi="Arial" w:cs="Arial"/>
          <w:sz w:val="22"/>
          <w:szCs w:val="22"/>
        </w:rPr>
        <w:t xml:space="preserve">Portanto, sendo o valor dos investimentos necessários à fruição do benefício concedido [...] no montante de </w:t>
      </w:r>
      <w:r w:rsidR="002315E6">
        <w:rPr>
          <w:rFonts w:ascii="Arial" w:hAnsi="Arial" w:cs="Arial"/>
          <w:sz w:val="22"/>
          <w:szCs w:val="22"/>
        </w:rPr>
        <w:t>[...]</w:t>
      </w:r>
      <w:r>
        <w:rPr>
          <w:rFonts w:ascii="Arial" w:hAnsi="Arial" w:cs="Arial"/>
          <w:sz w:val="22"/>
          <w:szCs w:val="22"/>
        </w:rPr>
        <w:t xml:space="preserve">, concluímos que o acordante cumpriu 108,67% da meta determinada, fazendo, assim, jus ao aproveitamento da totalidade do crédito concedido, </w:t>
      </w:r>
      <w:r w:rsidR="002315E6">
        <w:rPr>
          <w:rFonts w:ascii="Arial" w:hAnsi="Arial" w:cs="Arial"/>
          <w:sz w:val="22"/>
          <w:szCs w:val="22"/>
        </w:rPr>
        <w:t>[...]</w:t>
      </w:r>
      <w:r>
        <w:rPr>
          <w:rFonts w:ascii="Arial" w:hAnsi="Arial" w:cs="Arial"/>
          <w:sz w:val="22"/>
          <w:szCs w:val="22"/>
        </w:rPr>
        <w:t>, sem prejuízo do cumprimento das demais cláusulas e obrigações citadas no mencionado TARE</w:t>
      </w:r>
      <w:r w:rsidR="00FF14BC">
        <w:rPr>
          <w:rFonts w:ascii="Arial" w:hAnsi="Arial" w:cs="Arial"/>
          <w:sz w:val="22"/>
          <w:szCs w:val="22"/>
        </w:rPr>
        <w:t>.</w:t>
      </w:r>
    </w:p>
    <w:p w14:paraId="5A43F7D5" w14:textId="0836F0B7" w:rsidR="00C02CB9" w:rsidRDefault="00C02CB9" w:rsidP="00A9253D">
      <w:pPr>
        <w:spacing w:line="360" w:lineRule="auto"/>
        <w:ind w:firstLine="851"/>
        <w:jc w:val="both"/>
        <w:rPr>
          <w:rFonts w:ascii="Arial" w:hAnsi="Arial" w:cs="Arial"/>
          <w:sz w:val="24"/>
          <w:szCs w:val="24"/>
        </w:rPr>
      </w:pPr>
    </w:p>
    <w:p w14:paraId="3EBD53DA" w14:textId="39983E5B" w:rsidR="0099600E" w:rsidRDefault="0099600E" w:rsidP="00A9253D">
      <w:pPr>
        <w:spacing w:line="360" w:lineRule="auto"/>
        <w:ind w:firstLine="851"/>
        <w:jc w:val="both"/>
        <w:rPr>
          <w:rFonts w:ascii="Arial" w:hAnsi="Arial" w:cs="Arial"/>
          <w:sz w:val="24"/>
          <w:szCs w:val="24"/>
        </w:rPr>
      </w:pPr>
      <w:r>
        <w:rPr>
          <w:rFonts w:ascii="Arial" w:hAnsi="Arial" w:cs="Arial"/>
          <w:sz w:val="24"/>
          <w:szCs w:val="24"/>
        </w:rPr>
        <w:t>Como ressalvado no próprio relatório, o auditor fiscal esclarece que se limita à verificação por amostragem</w:t>
      </w:r>
      <w:r w:rsidR="00430B21">
        <w:rPr>
          <w:rFonts w:ascii="Arial" w:hAnsi="Arial" w:cs="Arial"/>
          <w:sz w:val="24"/>
          <w:szCs w:val="24"/>
        </w:rPr>
        <w:t>,</w:t>
      </w:r>
      <w:r>
        <w:rPr>
          <w:rFonts w:ascii="Arial" w:hAnsi="Arial" w:cs="Arial"/>
          <w:sz w:val="24"/>
          <w:szCs w:val="24"/>
        </w:rPr>
        <w:t xml:space="preserve"> em face da enorme qu</w:t>
      </w:r>
      <w:r w:rsidR="00430B21">
        <w:rPr>
          <w:rFonts w:ascii="Arial" w:hAnsi="Arial" w:cs="Arial"/>
          <w:sz w:val="24"/>
          <w:szCs w:val="24"/>
        </w:rPr>
        <w:t xml:space="preserve">antidade de documentos apresentados pela empresa, além de as verificações efetuadas possuírem caráter </w:t>
      </w:r>
      <w:r w:rsidR="00430B21">
        <w:rPr>
          <w:rFonts w:ascii="Arial" w:hAnsi="Arial" w:cs="Arial"/>
          <w:sz w:val="24"/>
          <w:szCs w:val="24"/>
        </w:rPr>
        <w:lastRenderedPageBreak/>
        <w:t>estritamente fiscal, isto é, sem qualquer diligência na sede do parque industrial do contribuinte.</w:t>
      </w:r>
    </w:p>
    <w:p w14:paraId="31EA2A8F" w14:textId="256D8FB0" w:rsidR="00134CFF" w:rsidRDefault="00416427" w:rsidP="00A9253D">
      <w:pPr>
        <w:spacing w:line="360" w:lineRule="auto"/>
        <w:ind w:firstLine="851"/>
        <w:jc w:val="both"/>
        <w:rPr>
          <w:rFonts w:ascii="Arial" w:hAnsi="Arial" w:cs="Arial"/>
          <w:sz w:val="24"/>
          <w:szCs w:val="24"/>
        </w:rPr>
      </w:pPr>
      <w:r>
        <w:rPr>
          <w:rFonts w:ascii="Arial" w:hAnsi="Arial" w:cs="Arial"/>
          <w:sz w:val="24"/>
          <w:szCs w:val="24"/>
        </w:rPr>
        <w:t xml:space="preserve">Assim, não é possível aferir exatamente quais contrapartidas foram estipuladas nem se havia uma estipulação de metas mensais ou anuais a serem avaliadas, mas chama a atenção o fato de ter sido realizada uma única fiscalização sobre um período </w:t>
      </w:r>
      <w:r w:rsidR="00A0387B">
        <w:rPr>
          <w:rFonts w:ascii="Arial" w:hAnsi="Arial" w:cs="Arial"/>
          <w:sz w:val="24"/>
          <w:szCs w:val="24"/>
        </w:rPr>
        <w:t>significativamente</w:t>
      </w:r>
      <w:r>
        <w:rPr>
          <w:rFonts w:ascii="Arial" w:hAnsi="Arial" w:cs="Arial"/>
          <w:sz w:val="24"/>
          <w:szCs w:val="24"/>
        </w:rPr>
        <w:t xml:space="preserve"> </w:t>
      </w:r>
      <w:r w:rsidRPr="00427BDC">
        <w:rPr>
          <w:rFonts w:ascii="Arial" w:hAnsi="Arial" w:cs="Arial"/>
          <w:sz w:val="24"/>
          <w:szCs w:val="24"/>
        </w:rPr>
        <w:t xml:space="preserve">amplo </w:t>
      </w:r>
      <w:r w:rsidR="00A0387B" w:rsidRPr="00427BDC">
        <w:rPr>
          <w:rFonts w:ascii="Arial" w:hAnsi="Arial" w:cs="Arial"/>
          <w:sz w:val="24"/>
          <w:szCs w:val="24"/>
        </w:rPr>
        <w:t>(</w:t>
      </w:r>
      <w:r w:rsidR="00152B77" w:rsidRPr="00427BDC">
        <w:rPr>
          <w:rFonts w:ascii="Arial" w:hAnsi="Arial" w:cs="Arial"/>
          <w:sz w:val="24"/>
          <w:szCs w:val="24"/>
        </w:rPr>
        <w:t>seis anos</w:t>
      </w:r>
      <w:r w:rsidR="00A0387B">
        <w:rPr>
          <w:rFonts w:ascii="Arial" w:hAnsi="Arial" w:cs="Arial"/>
          <w:sz w:val="24"/>
          <w:szCs w:val="24"/>
        </w:rPr>
        <w:t>),</w:t>
      </w:r>
      <w:r>
        <w:rPr>
          <w:rFonts w:ascii="Arial" w:hAnsi="Arial" w:cs="Arial"/>
          <w:sz w:val="24"/>
          <w:szCs w:val="24"/>
        </w:rPr>
        <w:t xml:space="preserve"> durante o qual a empresa certamente fruiu os benefícios do TARE sem sofrer qualquer avaliação ao longo desse interregno. </w:t>
      </w:r>
    </w:p>
    <w:p w14:paraId="209D0C6A" w14:textId="4480DF28" w:rsidR="002758FA" w:rsidRDefault="002F039B" w:rsidP="00A9253D">
      <w:pPr>
        <w:spacing w:line="360" w:lineRule="auto"/>
        <w:ind w:firstLine="851"/>
        <w:jc w:val="both"/>
        <w:rPr>
          <w:rFonts w:ascii="Arial" w:hAnsi="Arial" w:cs="Arial"/>
          <w:sz w:val="24"/>
          <w:szCs w:val="24"/>
        </w:rPr>
      </w:pPr>
      <w:r>
        <w:rPr>
          <w:rFonts w:ascii="Arial" w:hAnsi="Arial" w:cs="Arial"/>
          <w:sz w:val="24"/>
          <w:szCs w:val="24"/>
        </w:rPr>
        <w:t>Provavelmente</w:t>
      </w:r>
      <w:r w:rsidR="00416427">
        <w:rPr>
          <w:rFonts w:ascii="Arial" w:hAnsi="Arial" w:cs="Arial"/>
          <w:sz w:val="24"/>
          <w:szCs w:val="24"/>
        </w:rPr>
        <w:t xml:space="preserve"> por isso a auditoria tenha sido </w:t>
      </w:r>
      <w:r w:rsidR="00134CFF">
        <w:rPr>
          <w:rFonts w:ascii="Arial" w:hAnsi="Arial" w:cs="Arial"/>
          <w:sz w:val="24"/>
          <w:szCs w:val="24"/>
        </w:rPr>
        <w:t>realizada</w:t>
      </w:r>
      <w:r w:rsidR="00416427">
        <w:rPr>
          <w:rFonts w:ascii="Arial" w:hAnsi="Arial" w:cs="Arial"/>
          <w:sz w:val="24"/>
          <w:szCs w:val="24"/>
        </w:rPr>
        <w:t xml:space="preserve"> por amostragem, talvez até comprometendo a segurança e a confiabilidade de seu resultado</w:t>
      </w:r>
      <w:r w:rsidR="00134CFF">
        <w:rPr>
          <w:rFonts w:ascii="Arial" w:hAnsi="Arial" w:cs="Arial"/>
          <w:sz w:val="24"/>
          <w:szCs w:val="24"/>
        </w:rPr>
        <w:t>, tendo em vista que foram efetivamente auditados cerca de 50% (cinquenta por cento) dos valores apresentados, ao passo que a diferença a maior avalizada pelo fisco em relação ao mínimo previsto no TARE é menor de 10% (dez por cento)</w:t>
      </w:r>
      <w:r w:rsidR="00416427">
        <w:rPr>
          <w:rFonts w:ascii="Arial" w:hAnsi="Arial" w:cs="Arial"/>
          <w:sz w:val="24"/>
          <w:szCs w:val="24"/>
        </w:rPr>
        <w:t>.</w:t>
      </w:r>
    </w:p>
    <w:p w14:paraId="52CA08F7" w14:textId="7F42086B" w:rsidR="002E48D8" w:rsidRDefault="002E48D8" w:rsidP="002E48D8">
      <w:pPr>
        <w:spacing w:line="360" w:lineRule="auto"/>
        <w:ind w:firstLine="851"/>
        <w:jc w:val="both"/>
        <w:rPr>
          <w:rFonts w:ascii="Arial" w:hAnsi="Arial" w:cs="Arial"/>
          <w:sz w:val="24"/>
          <w:szCs w:val="24"/>
        </w:rPr>
      </w:pPr>
      <w:r>
        <w:rPr>
          <w:rFonts w:ascii="Arial" w:hAnsi="Arial" w:cs="Arial"/>
          <w:sz w:val="24"/>
          <w:szCs w:val="24"/>
        </w:rPr>
        <w:t xml:space="preserve">Percebe-se a ausência de preocupação – ou de pessoal capacitado – da Administração Tributária quanto à realização de fiscalizações periódicas, mesmo que exclusivamente de cunho fiscal; e, pior, de fiscalizações </w:t>
      </w:r>
      <w:r w:rsidRPr="00A0387B">
        <w:rPr>
          <w:rFonts w:ascii="Arial" w:hAnsi="Arial" w:cs="Arial"/>
          <w:i/>
          <w:sz w:val="24"/>
          <w:szCs w:val="24"/>
        </w:rPr>
        <w:t>in loco</w:t>
      </w:r>
      <w:r>
        <w:rPr>
          <w:rFonts w:ascii="Arial" w:hAnsi="Arial" w:cs="Arial"/>
          <w:sz w:val="24"/>
          <w:szCs w:val="24"/>
        </w:rPr>
        <w:t xml:space="preserve"> nas empresas</w:t>
      </w:r>
      <w:r w:rsidR="00673CD8">
        <w:rPr>
          <w:rFonts w:ascii="Arial" w:hAnsi="Arial" w:cs="Arial"/>
          <w:sz w:val="24"/>
          <w:szCs w:val="24"/>
        </w:rPr>
        <w:t xml:space="preserve">, mesmo figurando a empresa entre </w:t>
      </w:r>
      <w:r w:rsidR="00335D5E">
        <w:rPr>
          <w:rFonts w:ascii="Arial" w:hAnsi="Arial" w:cs="Arial"/>
          <w:sz w:val="24"/>
          <w:szCs w:val="24"/>
        </w:rPr>
        <w:t xml:space="preserve">as </w:t>
      </w:r>
      <w:r w:rsidR="002315E6">
        <w:rPr>
          <w:rFonts w:ascii="Arial" w:hAnsi="Arial" w:cs="Arial"/>
          <w:sz w:val="24"/>
          <w:szCs w:val="24"/>
        </w:rPr>
        <w:t xml:space="preserve">100 (cem) </w:t>
      </w:r>
      <w:r w:rsidR="00335D5E">
        <w:rPr>
          <w:rFonts w:ascii="Arial" w:hAnsi="Arial" w:cs="Arial"/>
          <w:sz w:val="24"/>
          <w:szCs w:val="24"/>
        </w:rPr>
        <w:t xml:space="preserve">maiores beneficiárias </w:t>
      </w:r>
      <w:r w:rsidR="00673CD8">
        <w:rPr>
          <w:rFonts w:ascii="Arial" w:hAnsi="Arial" w:cs="Arial"/>
          <w:sz w:val="24"/>
          <w:szCs w:val="24"/>
        </w:rPr>
        <w:t xml:space="preserve">de incentivos </w:t>
      </w:r>
      <w:r w:rsidR="00335D5E">
        <w:rPr>
          <w:rFonts w:ascii="Arial" w:hAnsi="Arial" w:cs="Arial"/>
          <w:sz w:val="24"/>
          <w:szCs w:val="24"/>
        </w:rPr>
        <w:t>do Estado de Goiás</w:t>
      </w:r>
      <w:r w:rsidR="002315E6">
        <w:rPr>
          <w:rFonts w:ascii="Arial" w:hAnsi="Arial" w:cs="Arial"/>
          <w:sz w:val="24"/>
          <w:szCs w:val="24"/>
        </w:rPr>
        <w:t xml:space="preserve"> no período objeto de investigação (2014 a 2018)</w:t>
      </w:r>
      <w:r>
        <w:rPr>
          <w:rFonts w:ascii="Arial" w:hAnsi="Arial" w:cs="Arial"/>
          <w:sz w:val="24"/>
          <w:szCs w:val="24"/>
        </w:rPr>
        <w:t>.</w:t>
      </w:r>
    </w:p>
    <w:p w14:paraId="04E6022D" w14:textId="60191E78" w:rsidR="002F039B" w:rsidRDefault="00816C5B" w:rsidP="002E48D8">
      <w:pPr>
        <w:spacing w:line="360" w:lineRule="auto"/>
        <w:ind w:firstLine="851"/>
        <w:jc w:val="both"/>
        <w:rPr>
          <w:rFonts w:ascii="Arial" w:hAnsi="Arial" w:cs="Arial"/>
          <w:sz w:val="24"/>
          <w:szCs w:val="24"/>
        </w:rPr>
      </w:pPr>
      <w:r>
        <w:rPr>
          <w:rFonts w:ascii="Arial" w:hAnsi="Arial" w:cs="Arial"/>
          <w:sz w:val="24"/>
          <w:szCs w:val="24"/>
        </w:rPr>
        <w:t xml:space="preserve">Tendo em vista as sucessivas requisições desta CPI para entrega dos relatórios de auditoria, </w:t>
      </w:r>
      <w:r w:rsidR="000C3DB8">
        <w:rPr>
          <w:rFonts w:ascii="Arial" w:hAnsi="Arial" w:cs="Arial"/>
          <w:sz w:val="24"/>
          <w:szCs w:val="24"/>
        </w:rPr>
        <w:t>foi lavrado outro relatório nos seguintes termos:</w:t>
      </w:r>
    </w:p>
    <w:p w14:paraId="484D5222" w14:textId="2A405CFD" w:rsidR="00A17FD9" w:rsidRPr="000E4EE8" w:rsidRDefault="00A17FD9" w:rsidP="002E48D8">
      <w:pPr>
        <w:spacing w:line="360" w:lineRule="auto"/>
        <w:ind w:firstLine="851"/>
        <w:jc w:val="both"/>
        <w:rPr>
          <w:rFonts w:ascii="Arial" w:hAnsi="Arial" w:cs="Arial"/>
          <w:sz w:val="24"/>
          <w:szCs w:val="24"/>
        </w:rPr>
      </w:pPr>
    </w:p>
    <w:p w14:paraId="7CF5910C" w14:textId="18D22479" w:rsidR="00D1693D" w:rsidRPr="000E4EE8" w:rsidRDefault="00D1693D" w:rsidP="00505254">
      <w:pPr>
        <w:ind w:left="2268"/>
        <w:jc w:val="both"/>
        <w:rPr>
          <w:rFonts w:ascii="Arial" w:hAnsi="Arial" w:cs="Arial"/>
          <w:b/>
          <w:sz w:val="22"/>
          <w:szCs w:val="22"/>
          <w:u w:val="single"/>
        </w:rPr>
      </w:pPr>
      <w:r w:rsidRPr="000E4EE8">
        <w:rPr>
          <w:rFonts w:ascii="Arial" w:hAnsi="Arial" w:cs="Arial"/>
          <w:b/>
          <w:sz w:val="22"/>
          <w:szCs w:val="22"/>
          <w:u w:val="single"/>
        </w:rPr>
        <w:t xml:space="preserve">MANIFESTAÇÃO Nº </w:t>
      </w:r>
      <w:r w:rsidR="000E4EE8" w:rsidRPr="000E4EE8">
        <w:rPr>
          <w:rFonts w:ascii="Arial" w:hAnsi="Arial" w:cs="Arial"/>
          <w:b/>
          <w:sz w:val="22"/>
          <w:szCs w:val="22"/>
          <w:u w:val="single"/>
        </w:rPr>
        <w:t>[...]</w:t>
      </w:r>
    </w:p>
    <w:p w14:paraId="1995FDE3" w14:textId="7195D3B2" w:rsidR="00A17FD9" w:rsidRPr="000E4EE8" w:rsidRDefault="00A17FD9" w:rsidP="00505254">
      <w:pPr>
        <w:ind w:left="2268"/>
        <w:jc w:val="both"/>
        <w:rPr>
          <w:rFonts w:ascii="Arial" w:hAnsi="Arial" w:cs="Arial"/>
          <w:sz w:val="22"/>
          <w:szCs w:val="22"/>
        </w:rPr>
      </w:pPr>
      <w:r w:rsidRPr="000E4EE8">
        <w:rPr>
          <w:rFonts w:ascii="Arial" w:hAnsi="Arial" w:cs="Arial"/>
          <w:sz w:val="22"/>
          <w:szCs w:val="22"/>
        </w:rPr>
        <w:t xml:space="preserve">Atendendo ao Despacho n° </w:t>
      </w:r>
      <w:r w:rsidR="000E4EE8" w:rsidRPr="000E4EE8">
        <w:rPr>
          <w:rFonts w:ascii="Arial" w:hAnsi="Arial" w:cs="Arial"/>
          <w:sz w:val="22"/>
          <w:szCs w:val="22"/>
        </w:rPr>
        <w:t>[...]</w:t>
      </w:r>
      <w:r w:rsidRPr="000E4EE8">
        <w:rPr>
          <w:rFonts w:ascii="Arial" w:hAnsi="Arial" w:cs="Arial"/>
          <w:sz w:val="22"/>
          <w:szCs w:val="22"/>
        </w:rPr>
        <w:t xml:space="preserve"> – GEAT; que determina realização das análises de praxe aplicáveis - exclusivamente sob a ótica fiscal, bem como para adoção das demais medidas fiscais correlatas porventura cabíveis - perante a empresa </w:t>
      </w:r>
      <w:r w:rsidR="0020383B" w:rsidRPr="000E4EE8">
        <w:rPr>
          <w:rFonts w:ascii="Arial" w:hAnsi="Arial" w:cs="Arial"/>
          <w:sz w:val="22"/>
          <w:szCs w:val="22"/>
        </w:rPr>
        <w:t>[...]</w:t>
      </w:r>
      <w:r w:rsidRPr="000E4EE8">
        <w:rPr>
          <w:rFonts w:ascii="Arial" w:hAnsi="Arial" w:cs="Arial"/>
          <w:sz w:val="22"/>
          <w:szCs w:val="22"/>
        </w:rPr>
        <w:t xml:space="preserve"> listada em Memorando n° </w:t>
      </w:r>
      <w:r w:rsidR="000E4EE8" w:rsidRPr="000E4EE8">
        <w:rPr>
          <w:rFonts w:ascii="Arial" w:hAnsi="Arial" w:cs="Arial"/>
          <w:sz w:val="22"/>
          <w:szCs w:val="22"/>
        </w:rPr>
        <w:t>[...]</w:t>
      </w:r>
      <w:r w:rsidRPr="000E4EE8">
        <w:rPr>
          <w:rFonts w:ascii="Arial" w:hAnsi="Arial" w:cs="Arial"/>
          <w:sz w:val="22"/>
          <w:szCs w:val="22"/>
        </w:rPr>
        <w:t xml:space="preserve">, relatamos: </w:t>
      </w:r>
    </w:p>
    <w:p w14:paraId="34CA4A19" w14:textId="129BBE83" w:rsidR="00A17FD9" w:rsidRPr="000E4EE8" w:rsidRDefault="00A17FD9" w:rsidP="00505254">
      <w:pPr>
        <w:ind w:left="2268"/>
        <w:jc w:val="both"/>
        <w:rPr>
          <w:rFonts w:ascii="Arial" w:hAnsi="Arial" w:cs="Arial"/>
          <w:sz w:val="22"/>
          <w:szCs w:val="22"/>
        </w:rPr>
      </w:pPr>
      <w:r w:rsidRPr="000E4EE8">
        <w:rPr>
          <w:rFonts w:ascii="Arial" w:hAnsi="Arial" w:cs="Arial"/>
          <w:sz w:val="22"/>
          <w:szCs w:val="22"/>
        </w:rPr>
        <w:t xml:space="preserve">O Memorando n° </w:t>
      </w:r>
      <w:r w:rsidR="000E4EE8" w:rsidRPr="000E4EE8">
        <w:rPr>
          <w:rFonts w:ascii="Arial" w:hAnsi="Arial" w:cs="Arial"/>
          <w:sz w:val="22"/>
          <w:szCs w:val="22"/>
        </w:rPr>
        <w:t>[...]</w:t>
      </w:r>
      <w:r w:rsidRPr="000E4EE8">
        <w:rPr>
          <w:rFonts w:ascii="Arial" w:hAnsi="Arial" w:cs="Arial"/>
          <w:sz w:val="22"/>
          <w:szCs w:val="22"/>
        </w:rPr>
        <w:t xml:space="preserve"> determina verificação de comprovação do cumprimento das condicionantes em relação a empresas e Termos de Acordos específicos. A Gerência de Auditoria de Indústria e Atacado, em Ordem de Serviço n° </w:t>
      </w:r>
      <w:r w:rsidR="000E4EE8" w:rsidRPr="000E4EE8">
        <w:rPr>
          <w:rFonts w:ascii="Arial" w:hAnsi="Arial" w:cs="Arial"/>
          <w:sz w:val="22"/>
          <w:szCs w:val="22"/>
        </w:rPr>
        <w:t>[...]</w:t>
      </w:r>
      <w:r w:rsidRPr="000E4EE8">
        <w:rPr>
          <w:rFonts w:ascii="Arial" w:hAnsi="Arial" w:cs="Arial"/>
          <w:sz w:val="22"/>
          <w:szCs w:val="22"/>
        </w:rPr>
        <w:t xml:space="preserve">, determinou a realização de auditoria e demais procedimentos fiscais, objetivando verificar o cumprimento das condicionantes pactuadas nos tares nºs. </w:t>
      </w:r>
      <w:r w:rsidR="005C3786" w:rsidRPr="000E4EE8">
        <w:rPr>
          <w:rFonts w:ascii="Arial" w:hAnsi="Arial" w:cs="Arial"/>
          <w:sz w:val="22"/>
          <w:szCs w:val="22"/>
        </w:rPr>
        <w:t xml:space="preserve">[...] </w:t>
      </w:r>
      <w:r w:rsidRPr="000E4EE8">
        <w:rPr>
          <w:rFonts w:ascii="Arial" w:hAnsi="Arial" w:cs="Arial"/>
          <w:sz w:val="22"/>
          <w:szCs w:val="22"/>
        </w:rPr>
        <w:t xml:space="preserve">e </w:t>
      </w:r>
      <w:r w:rsidR="005C3786" w:rsidRPr="000E4EE8">
        <w:rPr>
          <w:rFonts w:ascii="Arial" w:hAnsi="Arial" w:cs="Arial"/>
          <w:sz w:val="22"/>
          <w:szCs w:val="22"/>
        </w:rPr>
        <w:t>[...]</w:t>
      </w:r>
      <w:r w:rsidRPr="000E4EE8">
        <w:rPr>
          <w:rFonts w:ascii="Arial" w:hAnsi="Arial" w:cs="Arial"/>
          <w:sz w:val="22"/>
          <w:szCs w:val="22"/>
        </w:rPr>
        <w:t xml:space="preserve">, respectivamente das unidades </w:t>
      </w:r>
      <w:r w:rsidR="005C3786" w:rsidRPr="000E4EE8">
        <w:rPr>
          <w:rFonts w:ascii="Arial" w:hAnsi="Arial" w:cs="Arial"/>
          <w:sz w:val="22"/>
          <w:szCs w:val="22"/>
        </w:rPr>
        <w:t xml:space="preserve">[...] </w:t>
      </w:r>
      <w:r w:rsidRPr="000E4EE8">
        <w:rPr>
          <w:rFonts w:ascii="Arial" w:hAnsi="Arial" w:cs="Arial"/>
          <w:sz w:val="22"/>
          <w:szCs w:val="22"/>
        </w:rPr>
        <w:t xml:space="preserve">e </w:t>
      </w:r>
      <w:r w:rsidR="005C3786" w:rsidRPr="000E4EE8">
        <w:rPr>
          <w:rFonts w:ascii="Arial" w:hAnsi="Arial" w:cs="Arial"/>
          <w:sz w:val="22"/>
          <w:szCs w:val="22"/>
        </w:rPr>
        <w:t xml:space="preserve">[...] </w:t>
      </w:r>
      <w:r w:rsidRPr="000E4EE8">
        <w:rPr>
          <w:rFonts w:ascii="Arial" w:hAnsi="Arial" w:cs="Arial"/>
          <w:sz w:val="22"/>
          <w:szCs w:val="22"/>
        </w:rPr>
        <w:t xml:space="preserve">da empresa </w:t>
      </w:r>
      <w:r w:rsidR="005C3786" w:rsidRPr="000E4EE8">
        <w:rPr>
          <w:rFonts w:ascii="Arial" w:hAnsi="Arial" w:cs="Arial"/>
          <w:sz w:val="22"/>
          <w:szCs w:val="22"/>
        </w:rPr>
        <w:t>[...]</w:t>
      </w:r>
      <w:r w:rsidRPr="000E4EE8">
        <w:rPr>
          <w:rFonts w:ascii="Arial" w:hAnsi="Arial" w:cs="Arial"/>
          <w:sz w:val="22"/>
          <w:szCs w:val="22"/>
        </w:rPr>
        <w:t>.</w:t>
      </w:r>
    </w:p>
    <w:p w14:paraId="7610A0C7" w14:textId="55FAC798" w:rsidR="00A17FD9" w:rsidRPr="000E4EE8" w:rsidRDefault="00A17FD9" w:rsidP="00505254">
      <w:pPr>
        <w:ind w:left="2268"/>
        <w:jc w:val="both"/>
        <w:rPr>
          <w:rFonts w:ascii="Arial" w:hAnsi="Arial" w:cs="Arial"/>
          <w:sz w:val="22"/>
          <w:szCs w:val="22"/>
        </w:rPr>
      </w:pPr>
      <w:r w:rsidRPr="000E4EE8">
        <w:rPr>
          <w:rFonts w:ascii="Arial" w:hAnsi="Arial" w:cs="Arial"/>
          <w:sz w:val="22"/>
          <w:szCs w:val="22"/>
        </w:rPr>
        <w:t>Em relação ao cumprimentos</w:t>
      </w:r>
      <w:r w:rsidR="00E6486F">
        <w:rPr>
          <w:rFonts w:ascii="Arial" w:hAnsi="Arial" w:cs="Arial"/>
          <w:sz w:val="22"/>
          <w:szCs w:val="22"/>
        </w:rPr>
        <w:t xml:space="preserve"> [sic]</w:t>
      </w:r>
      <w:r w:rsidRPr="000E4EE8">
        <w:rPr>
          <w:rFonts w:ascii="Arial" w:hAnsi="Arial" w:cs="Arial"/>
          <w:sz w:val="22"/>
          <w:szCs w:val="22"/>
        </w:rPr>
        <w:t xml:space="preserve"> das condicionantes referent</w:t>
      </w:r>
      <w:r w:rsidR="005C3786" w:rsidRPr="000E4EE8">
        <w:rPr>
          <w:rFonts w:ascii="Arial" w:hAnsi="Arial" w:cs="Arial"/>
          <w:sz w:val="22"/>
          <w:szCs w:val="22"/>
        </w:rPr>
        <w:t>e</w:t>
      </w:r>
      <w:r w:rsidRPr="000E4EE8">
        <w:rPr>
          <w:rFonts w:ascii="Arial" w:hAnsi="Arial" w:cs="Arial"/>
          <w:sz w:val="22"/>
          <w:szCs w:val="22"/>
        </w:rPr>
        <w:t xml:space="preserve"> ao Termo de Acordo </w:t>
      </w:r>
      <w:r w:rsidR="005C3786" w:rsidRPr="000E4EE8">
        <w:rPr>
          <w:rFonts w:ascii="Arial" w:hAnsi="Arial" w:cs="Arial"/>
          <w:sz w:val="22"/>
          <w:szCs w:val="22"/>
        </w:rPr>
        <w:t xml:space="preserve">[...] </w:t>
      </w:r>
      <w:r w:rsidRPr="000E4EE8">
        <w:rPr>
          <w:rFonts w:ascii="Arial" w:hAnsi="Arial" w:cs="Arial"/>
          <w:sz w:val="22"/>
          <w:szCs w:val="22"/>
        </w:rPr>
        <w:t xml:space="preserve">da unidade </w:t>
      </w:r>
      <w:r w:rsidR="005C3786" w:rsidRPr="000E4EE8">
        <w:rPr>
          <w:rFonts w:ascii="Arial" w:hAnsi="Arial" w:cs="Arial"/>
          <w:sz w:val="22"/>
          <w:szCs w:val="22"/>
        </w:rPr>
        <w:t>[...] da empresa [...]</w:t>
      </w:r>
      <w:r w:rsidRPr="000E4EE8">
        <w:rPr>
          <w:rFonts w:ascii="Arial" w:hAnsi="Arial" w:cs="Arial"/>
          <w:sz w:val="22"/>
          <w:szCs w:val="22"/>
        </w:rPr>
        <w:t xml:space="preserve">, esclarecemos que o aproveitamento de crédito outorgado estabelecido </w:t>
      </w:r>
      <w:r w:rsidRPr="00E6486F">
        <w:rPr>
          <w:rFonts w:ascii="Arial" w:hAnsi="Arial" w:cs="Arial"/>
          <w:sz w:val="22"/>
          <w:szCs w:val="22"/>
        </w:rPr>
        <w:t>em</w:t>
      </w:r>
      <w:r w:rsidR="00E6486F" w:rsidRPr="00E6486F">
        <w:rPr>
          <w:rFonts w:ascii="Arial" w:hAnsi="Arial" w:cs="Arial"/>
          <w:sz w:val="22"/>
          <w:szCs w:val="22"/>
        </w:rPr>
        <w:t xml:space="preserve"> [sic] </w:t>
      </w:r>
      <w:r w:rsidRPr="00E6486F">
        <w:rPr>
          <w:rFonts w:ascii="Arial" w:hAnsi="Arial" w:cs="Arial"/>
          <w:sz w:val="22"/>
          <w:szCs w:val="22"/>
        </w:rPr>
        <w:t>artigo 12,</w:t>
      </w:r>
      <w:r w:rsidRPr="000E4EE8">
        <w:rPr>
          <w:rFonts w:ascii="Arial" w:hAnsi="Arial" w:cs="Arial"/>
          <w:sz w:val="22"/>
          <w:szCs w:val="22"/>
        </w:rPr>
        <w:t xml:space="preserve"> inciso IX do Decreto n° 4.852/97 autoriza a “escriturar como crédito do ICMS o montante equivalente ao valor de até </w:t>
      </w:r>
      <w:r w:rsidR="00ED518B" w:rsidRPr="000E4EE8">
        <w:rPr>
          <w:rFonts w:ascii="Arial" w:hAnsi="Arial" w:cs="Arial"/>
          <w:sz w:val="22"/>
          <w:szCs w:val="22"/>
        </w:rPr>
        <w:t>[...]</w:t>
      </w:r>
      <w:r w:rsidRPr="000E4EE8">
        <w:rPr>
          <w:rFonts w:ascii="Arial" w:hAnsi="Arial" w:cs="Arial"/>
          <w:sz w:val="22"/>
          <w:szCs w:val="22"/>
        </w:rPr>
        <w:t xml:space="preserve">, a ser apropriado em parcelas mensais e sucessivas, limitada a </w:t>
      </w:r>
      <w:r w:rsidR="00ED518B" w:rsidRPr="000E4EE8">
        <w:rPr>
          <w:rFonts w:ascii="Arial" w:hAnsi="Arial" w:cs="Arial"/>
          <w:sz w:val="22"/>
          <w:szCs w:val="22"/>
        </w:rPr>
        <w:t>[...]</w:t>
      </w:r>
      <w:r w:rsidRPr="000E4EE8">
        <w:rPr>
          <w:rFonts w:ascii="Arial" w:hAnsi="Arial" w:cs="Arial"/>
          <w:sz w:val="22"/>
          <w:szCs w:val="22"/>
        </w:rPr>
        <w:t xml:space="preserve"> do valor total do crédito outorgado concedido, a partir da vigência deste termo de acordo”.</w:t>
      </w:r>
    </w:p>
    <w:p w14:paraId="12BE70CD" w14:textId="04A434C2" w:rsidR="00A17FD9" w:rsidRPr="000E4EE8" w:rsidRDefault="00A17FD9" w:rsidP="00505254">
      <w:pPr>
        <w:ind w:left="2268"/>
        <w:jc w:val="both"/>
        <w:rPr>
          <w:rFonts w:ascii="Arial" w:hAnsi="Arial" w:cs="Arial"/>
          <w:sz w:val="22"/>
          <w:szCs w:val="22"/>
        </w:rPr>
      </w:pPr>
      <w:r w:rsidRPr="000E4EE8">
        <w:rPr>
          <w:rFonts w:ascii="Arial" w:hAnsi="Arial" w:cs="Arial"/>
          <w:sz w:val="22"/>
          <w:szCs w:val="22"/>
        </w:rPr>
        <w:lastRenderedPageBreak/>
        <w:t xml:space="preserve">Nos termos de Cláusula Segunda inciso I do referido TARE, a Acordante se compromete a “investir, no mínimo, </w:t>
      </w:r>
      <w:r w:rsidR="00ED518B" w:rsidRPr="000E4EE8">
        <w:rPr>
          <w:rFonts w:ascii="Arial" w:hAnsi="Arial" w:cs="Arial"/>
          <w:sz w:val="22"/>
          <w:szCs w:val="22"/>
        </w:rPr>
        <w:t>[...]</w:t>
      </w:r>
      <w:r w:rsidRPr="000E4EE8">
        <w:rPr>
          <w:rFonts w:ascii="Arial" w:hAnsi="Arial" w:cs="Arial"/>
          <w:sz w:val="22"/>
          <w:szCs w:val="22"/>
        </w:rPr>
        <w:t xml:space="preserve"> em obras civis, máquinas, equipamentos e instalações, conforme cronograma físico-financeiro apresentado”. Também, estabelece no parágrafo 4° que “para fins de comprovação, são válidos os investimentos constantes do cronograma realizados no período de </w:t>
      </w:r>
      <w:r w:rsidR="000E4EE8" w:rsidRPr="000E4EE8">
        <w:rPr>
          <w:rFonts w:ascii="Arial" w:hAnsi="Arial" w:cs="Arial"/>
          <w:sz w:val="22"/>
          <w:szCs w:val="22"/>
        </w:rPr>
        <w:t>[...]</w:t>
      </w:r>
      <w:r w:rsidRPr="000E4EE8">
        <w:rPr>
          <w:rFonts w:ascii="Arial" w:hAnsi="Arial" w:cs="Arial"/>
          <w:sz w:val="22"/>
          <w:szCs w:val="22"/>
        </w:rPr>
        <w:t>”.</w:t>
      </w:r>
    </w:p>
    <w:p w14:paraId="0B5C2AF4" w14:textId="4E5C49FE" w:rsidR="00A17FD9" w:rsidRPr="000E4EE8" w:rsidRDefault="00A17FD9" w:rsidP="00505254">
      <w:pPr>
        <w:ind w:left="2268"/>
        <w:jc w:val="both"/>
        <w:rPr>
          <w:rFonts w:ascii="Arial" w:hAnsi="Arial" w:cs="Arial"/>
          <w:sz w:val="22"/>
          <w:szCs w:val="22"/>
        </w:rPr>
      </w:pPr>
      <w:r w:rsidRPr="000E4EE8">
        <w:rPr>
          <w:rFonts w:ascii="Arial" w:hAnsi="Arial" w:cs="Arial"/>
          <w:sz w:val="22"/>
          <w:szCs w:val="22"/>
        </w:rPr>
        <w:t xml:space="preserve">Relativo à comprovação de investimento </w:t>
      </w:r>
      <w:r w:rsidR="000C3DB8" w:rsidRPr="000E4EE8">
        <w:rPr>
          <w:rFonts w:ascii="Arial" w:hAnsi="Arial" w:cs="Arial"/>
          <w:sz w:val="22"/>
          <w:szCs w:val="22"/>
        </w:rPr>
        <w:t xml:space="preserve">[...] </w:t>
      </w:r>
      <w:r w:rsidRPr="000E4EE8">
        <w:rPr>
          <w:rFonts w:ascii="Arial" w:hAnsi="Arial" w:cs="Arial"/>
          <w:sz w:val="22"/>
          <w:szCs w:val="22"/>
        </w:rPr>
        <w:t xml:space="preserve">proposto em TARE, informamos que esta analise já consta em Processo n° </w:t>
      </w:r>
      <w:r w:rsidR="000E4EE8" w:rsidRPr="000E4EE8">
        <w:rPr>
          <w:rFonts w:ascii="Arial" w:hAnsi="Arial" w:cs="Arial"/>
          <w:sz w:val="22"/>
          <w:szCs w:val="22"/>
        </w:rPr>
        <w:t>[...]</w:t>
      </w:r>
      <w:r w:rsidRPr="000E4EE8">
        <w:rPr>
          <w:rFonts w:ascii="Arial" w:hAnsi="Arial" w:cs="Arial"/>
          <w:sz w:val="22"/>
          <w:szCs w:val="22"/>
        </w:rPr>
        <w:t xml:space="preserve">; onde, o </w:t>
      </w:r>
      <w:r w:rsidR="000C604E" w:rsidRPr="000E4EE8">
        <w:rPr>
          <w:rFonts w:ascii="Arial" w:hAnsi="Arial" w:cs="Arial"/>
          <w:sz w:val="22"/>
          <w:szCs w:val="22"/>
        </w:rPr>
        <w:t>[...]</w:t>
      </w:r>
      <w:r w:rsidRPr="000E4EE8">
        <w:rPr>
          <w:rFonts w:ascii="Arial" w:hAnsi="Arial" w:cs="Arial"/>
          <w:sz w:val="22"/>
          <w:szCs w:val="22"/>
        </w:rPr>
        <w:t xml:space="preserve"> destaca que </w:t>
      </w:r>
      <w:r w:rsidRPr="000E4EE8">
        <w:rPr>
          <w:rFonts w:ascii="Arial" w:hAnsi="Arial" w:cs="Arial"/>
          <w:i/>
          <w:iCs/>
          <w:sz w:val="22"/>
          <w:szCs w:val="22"/>
        </w:rPr>
        <w:t xml:space="preserve">“ratificamos a comprovação dos investimentos efetuados no período de </w:t>
      </w:r>
      <w:r w:rsidR="000E4EE8" w:rsidRPr="000E4EE8">
        <w:rPr>
          <w:rFonts w:ascii="Arial" w:hAnsi="Arial" w:cs="Arial"/>
          <w:i/>
          <w:iCs/>
          <w:sz w:val="22"/>
          <w:szCs w:val="22"/>
        </w:rPr>
        <w:t>[...]</w:t>
      </w:r>
      <w:r w:rsidRPr="000E4EE8">
        <w:rPr>
          <w:rFonts w:ascii="Arial" w:hAnsi="Arial" w:cs="Arial"/>
          <w:i/>
          <w:iCs/>
          <w:sz w:val="22"/>
          <w:szCs w:val="22"/>
        </w:rPr>
        <w:t xml:space="preserve">, </w:t>
      </w:r>
      <w:r w:rsidR="00ED518B" w:rsidRPr="000E4EE8">
        <w:rPr>
          <w:rFonts w:ascii="Arial" w:hAnsi="Arial" w:cs="Arial"/>
          <w:i/>
          <w:iCs/>
          <w:sz w:val="22"/>
          <w:szCs w:val="22"/>
        </w:rPr>
        <w:t>[...]</w:t>
      </w:r>
      <w:r w:rsidRPr="000E4EE8">
        <w:rPr>
          <w:rFonts w:ascii="Arial" w:hAnsi="Arial" w:cs="Arial"/>
          <w:sz w:val="22"/>
          <w:szCs w:val="22"/>
        </w:rPr>
        <w:t>”.</w:t>
      </w:r>
    </w:p>
    <w:p w14:paraId="65B5B106" w14:textId="5089240A" w:rsidR="00A17FD9" w:rsidRPr="000E4EE8" w:rsidRDefault="00A17FD9" w:rsidP="00505254">
      <w:pPr>
        <w:ind w:left="2268"/>
        <w:jc w:val="both"/>
        <w:rPr>
          <w:rFonts w:ascii="Arial" w:hAnsi="Arial" w:cs="Arial"/>
          <w:i/>
          <w:iCs/>
          <w:sz w:val="22"/>
          <w:szCs w:val="22"/>
        </w:rPr>
      </w:pPr>
      <w:r w:rsidRPr="000E4EE8">
        <w:rPr>
          <w:rFonts w:ascii="Arial" w:hAnsi="Arial" w:cs="Arial"/>
          <w:sz w:val="22"/>
          <w:szCs w:val="22"/>
        </w:rPr>
        <w:t xml:space="preserve">Ainda referente ao Parecer do Auditor em processo, relata que </w:t>
      </w:r>
      <w:r w:rsidRPr="000E4EE8">
        <w:rPr>
          <w:rFonts w:ascii="Arial" w:hAnsi="Arial" w:cs="Arial"/>
          <w:i/>
          <w:iCs/>
          <w:sz w:val="22"/>
          <w:szCs w:val="22"/>
        </w:rPr>
        <w:t xml:space="preserve">“sendo o valor dos investimentos necessários à fruição do benefício concedido através do TARE </w:t>
      </w:r>
      <w:r w:rsidR="000E4EE8" w:rsidRPr="000E4EE8">
        <w:rPr>
          <w:rFonts w:ascii="Arial" w:hAnsi="Arial" w:cs="Arial"/>
          <w:i/>
          <w:iCs/>
          <w:sz w:val="22"/>
          <w:szCs w:val="22"/>
        </w:rPr>
        <w:t>[...]</w:t>
      </w:r>
      <w:r w:rsidRPr="000E4EE8">
        <w:rPr>
          <w:rFonts w:ascii="Arial" w:hAnsi="Arial" w:cs="Arial"/>
          <w:i/>
          <w:iCs/>
          <w:sz w:val="22"/>
          <w:szCs w:val="22"/>
        </w:rPr>
        <w:t xml:space="preserve">, previsto no inciso I, da Cláusula segunda do referido acordo, no montante de </w:t>
      </w:r>
      <w:r w:rsidR="00ED518B" w:rsidRPr="000E4EE8">
        <w:rPr>
          <w:rFonts w:ascii="Arial" w:hAnsi="Arial" w:cs="Arial"/>
          <w:i/>
          <w:iCs/>
          <w:sz w:val="22"/>
          <w:szCs w:val="22"/>
        </w:rPr>
        <w:t>[...]</w:t>
      </w:r>
      <w:r w:rsidRPr="000E4EE8">
        <w:rPr>
          <w:rFonts w:ascii="Arial" w:hAnsi="Arial" w:cs="Arial"/>
          <w:i/>
          <w:iCs/>
          <w:sz w:val="22"/>
          <w:szCs w:val="22"/>
        </w:rPr>
        <w:t>, concluímos que acordante cumpriu 108,67% da meta determinada”.</w:t>
      </w:r>
    </w:p>
    <w:p w14:paraId="096B18C6" w14:textId="33443D72" w:rsidR="00A17FD9" w:rsidRPr="000E4EE8" w:rsidRDefault="00A17FD9" w:rsidP="00505254">
      <w:pPr>
        <w:ind w:left="2268"/>
        <w:jc w:val="both"/>
        <w:rPr>
          <w:rFonts w:ascii="Arial" w:hAnsi="Arial" w:cs="Arial"/>
          <w:sz w:val="22"/>
          <w:szCs w:val="22"/>
        </w:rPr>
      </w:pPr>
      <w:r w:rsidRPr="000E4EE8">
        <w:rPr>
          <w:rFonts w:ascii="Arial" w:hAnsi="Arial" w:cs="Arial"/>
          <w:sz w:val="22"/>
          <w:szCs w:val="22"/>
        </w:rPr>
        <w:t xml:space="preserve">Anexamos o referido parecer do auditor em processo n° </w:t>
      </w:r>
      <w:r w:rsidR="000E4EE8" w:rsidRPr="000E4EE8">
        <w:rPr>
          <w:rFonts w:ascii="Arial" w:hAnsi="Arial" w:cs="Arial"/>
          <w:sz w:val="22"/>
          <w:szCs w:val="22"/>
        </w:rPr>
        <w:t>[...]</w:t>
      </w:r>
      <w:r w:rsidRPr="000E4EE8">
        <w:rPr>
          <w:rFonts w:ascii="Arial" w:hAnsi="Arial" w:cs="Arial"/>
          <w:sz w:val="22"/>
          <w:szCs w:val="22"/>
        </w:rPr>
        <w:t>. S.M.J., está demonstrado que a matéria referente à comprovação dos investimentos já foi previamente analisada.</w:t>
      </w:r>
    </w:p>
    <w:p w14:paraId="70AF9CC8" w14:textId="5A4A6A10" w:rsidR="00A17FD9" w:rsidRPr="000E4EE8" w:rsidRDefault="00A17FD9" w:rsidP="00505254">
      <w:pPr>
        <w:ind w:left="2268"/>
        <w:jc w:val="both"/>
        <w:rPr>
          <w:rFonts w:ascii="Arial" w:hAnsi="Arial" w:cs="Arial"/>
          <w:sz w:val="22"/>
          <w:szCs w:val="22"/>
        </w:rPr>
      </w:pPr>
      <w:r w:rsidRPr="000E4EE8">
        <w:rPr>
          <w:rFonts w:ascii="Arial" w:hAnsi="Arial" w:cs="Arial"/>
          <w:sz w:val="22"/>
          <w:szCs w:val="22"/>
        </w:rPr>
        <w:t xml:space="preserve">O contribuinte registra o valor mensal de </w:t>
      </w:r>
      <w:r w:rsidR="00ED518B" w:rsidRPr="000E4EE8">
        <w:rPr>
          <w:rFonts w:ascii="Arial" w:hAnsi="Arial" w:cs="Arial"/>
          <w:sz w:val="22"/>
          <w:szCs w:val="22"/>
        </w:rPr>
        <w:t>[...]</w:t>
      </w:r>
      <w:r w:rsidRPr="000E4EE8">
        <w:rPr>
          <w:rFonts w:ascii="Arial" w:hAnsi="Arial" w:cs="Arial"/>
          <w:sz w:val="22"/>
          <w:szCs w:val="22"/>
        </w:rPr>
        <w:t xml:space="preserve"> estabelecido em TARE, a partir de </w:t>
      </w:r>
      <w:r w:rsidR="000E4EE8" w:rsidRPr="000E4EE8">
        <w:rPr>
          <w:rFonts w:ascii="Arial" w:hAnsi="Arial" w:cs="Arial"/>
          <w:sz w:val="22"/>
          <w:szCs w:val="22"/>
        </w:rPr>
        <w:t>[...]</w:t>
      </w:r>
      <w:r w:rsidRPr="000E4EE8">
        <w:rPr>
          <w:rFonts w:ascii="Arial" w:hAnsi="Arial" w:cs="Arial"/>
          <w:sz w:val="22"/>
          <w:szCs w:val="22"/>
        </w:rPr>
        <w:t xml:space="preserve">, em EFD no registro 1200 com código </w:t>
      </w:r>
      <w:r w:rsidR="00ED518B" w:rsidRPr="000E4EE8">
        <w:rPr>
          <w:rFonts w:ascii="Arial" w:hAnsi="Arial" w:cs="Arial"/>
          <w:sz w:val="22"/>
          <w:szCs w:val="22"/>
        </w:rPr>
        <w:t>[...].</w:t>
      </w:r>
      <w:r w:rsidRPr="000E4EE8">
        <w:rPr>
          <w:rFonts w:ascii="Arial" w:hAnsi="Arial" w:cs="Arial"/>
          <w:sz w:val="22"/>
          <w:szCs w:val="22"/>
        </w:rPr>
        <w:t xml:space="preserve"> O aproveitamento de crédito outorgado em registro </w:t>
      </w:r>
      <w:r w:rsidR="000E4EE8">
        <w:rPr>
          <w:rFonts w:ascii="Arial" w:hAnsi="Arial" w:cs="Arial"/>
          <w:sz w:val="22"/>
          <w:szCs w:val="22"/>
        </w:rPr>
        <w:t>[...]</w:t>
      </w:r>
      <w:r w:rsidRPr="000E4EE8">
        <w:rPr>
          <w:rFonts w:ascii="Arial" w:hAnsi="Arial" w:cs="Arial"/>
          <w:sz w:val="22"/>
          <w:szCs w:val="22"/>
        </w:rPr>
        <w:t xml:space="preserve"> de EFD encerrou em </w:t>
      </w:r>
      <w:r w:rsidR="000E4EE8" w:rsidRPr="000E4EE8">
        <w:rPr>
          <w:rFonts w:ascii="Arial" w:hAnsi="Arial" w:cs="Arial"/>
          <w:sz w:val="22"/>
          <w:szCs w:val="22"/>
        </w:rPr>
        <w:t>[...]</w:t>
      </w:r>
      <w:r w:rsidRPr="000E4EE8">
        <w:rPr>
          <w:rFonts w:ascii="Arial" w:hAnsi="Arial" w:cs="Arial"/>
          <w:sz w:val="22"/>
          <w:szCs w:val="22"/>
        </w:rPr>
        <w:t xml:space="preserve"> no valor total de </w:t>
      </w:r>
      <w:r w:rsidR="00ED518B" w:rsidRPr="000E4EE8">
        <w:rPr>
          <w:rFonts w:ascii="Arial" w:hAnsi="Arial" w:cs="Arial"/>
          <w:sz w:val="22"/>
          <w:szCs w:val="22"/>
        </w:rPr>
        <w:t>[...]</w:t>
      </w:r>
      <w:r w:rsidRPr="000E4EE8">
        <w:rPr>
          <w:rFonts w:ascii="Arial" w:hAnsi="Arial" w:cs="Arial"/>
          <w:sz w:val="22"/>
          <w:szCs w:val="22"/>
        </w:rPr>
        <w:t xml:space="preserve"> estabelecido no termo. Vide informações de EFDs abaixo:</w:t>
      </w:r>
    </w:p>
    <w:p w14:paraId="6F04BBA0" w14:textId="2B6E4A40" w:rsidR="00A17FD9" w:rsidRPr="000E4EE8" w:rsidRDefault="00A17FD9" w:rsidP="00505254">
      <w:pPr>
        <w:ind w:left="2268"/>
        <w:jc w:val="both"/>
        <w:rPr>
          <w:rFonts w:ascii="Arial" w:hAnsi="Arial" w:cs="Arial"/>
          <w:sz w:val="22"/>
          <w:szCs w:val="22"/>
        </w:rPr>
      </w:pPr>
      <w:r w:rsidRPr="000E4EE8">
        <w:rPr>
          <w:rFonts w:ascii="Arial" w:hAnsi="Arial" w:cs="Arial"/>
          <w:sz w:val="22"/>
          <w:szCs w:val="22"/>
        </w:rPr>
        <w:t>[...].</w:t>
      </w:r>
    </w:p>
    <w:p w14:paraId="70F74A78" w14:textId="2AAC6D27" w:rsidR="00A17FD9" w:rsidRPr="000E4EE8" w:rsidRDefault="00A17FD9" w:rsidP="00505254">
      <w:pPr>
        <w:ind w:left="2268"/>
        <w:jc w:val="both"/>
        <w:rPr>
          <w:rFonts w:ascii="Arial" w:hAnsi="Arial" w:cs="Arial"/>
          <w:sz w:val="22"/>
          <w:szCs w:val="22"/>
        </w:rPr>
      </w:pPr>
      <w:r w:rsidRPr="000E4EE8">
        <w:rPr>
          <w:rFonts w:ascii="Arial" w:hAnsi="Arial" w:cs="Arial"/>
          <w:b/>
          <w:sz w:val="22"/>
          <w:szCs w:val="22"/>
        </w:rPr>
        <w:t xml:space="preserve">Conforme Despacho n° </w:t>
      </w:r>
      <w:r w:rsidR="000E4EE8" w:rsidRPr="000E4EE8">
        <w:rPr>
          <w:rFonts w:ascii="Arial" w:hAnsi="Arial" w:cs="Arial"/>
          <w:b/>
          <w:sz w:val="22"/>
          <w:szCs w:val="22"/>
        </w:rPr>
        <w:t>[...]</w:t>
      </w:r>
      <w:r w:rsidRPr="000E4EE8">
        <w:rPr>
          <w:rFonts w:ascii="Arial" w:hAnsi="Arial" w:cs="Arial"/>
          <w:b/>
          <w:sz w:val="22"/>
          <w:szCs w:val="22"/>
        </w:rPr>
        <w:t xml:space="preserve"> – GEAT, verificamos as solicitações apenas no aspecto de natureza tributária, não sendo realizado vistoria no estabelecimento</w:t>
      </w:r>
      <w:r w:rsidRPr="000E4EE8">
        <w:rPr>
          <w:rFonts w:ascii="Arial" w:hAnsi="Arial" w:cs="Arial"/>
          <w:sz w:val="22"/>
          <w:szCs w:val="22"/>
        </w:rPr>
        <w:t xml:space="preserve">. </w:t>
      </w:r>
      <w:r w:rsidRPr="000E4EE8">
        <w:rPr>
          <w:rFonts w:ascii="Arial" w:hAnsi="Arial" w:cs="Arial"/>
          <w:sz w:val="22"/>
          <w:szCs w:val="22"/>
          <w:u w:val="single"/>
        </w:rPr>
        <w:t xml:space="preserve">Mediante determinação no referido Despacho, restringimos a auditoria às condicionantes do aludido Termo de Acordo n° </w:t>
      </w:r>
      <w:r w:rsidR="0020383B" w:rsidRPr="000E4EE8">
        <w:rPr>
          <w:rFonts w:ascii="Arial" w:hAnsi="Arial" w:cs="Arial"/>
          <w:sz w:val="22"/>
          <w:szCs w:val="22"/>
          <w:u w:val="single"/>
        </w:rPr>
        <w:t>[...]</w:t>
      </w:r>
      <w:r w:rsidRPr="000E4EE8">
        <w:rPr>
          <w:rFonts w:ascii="Arial" w:hAnsi="Arial" w:cs="Arial"/>
          <w:sz w:val="22"/>
          <w:szCs w:val="22"/>
          <w:u w:val="single"/>
        </w:rPr>
        <w:t xml:space="preserve">, e que para uma auditoria mais abrangente faz-se necessário ordem de serviço específica para tal finalidade. Em </w:t>
      </w:r>
      <w:r w:rsidR="000E4EE8" w:rsidRPr="000E4EE8">
        <w:rPr>
          <w:rFonts w:ascii="Arial" w:hAnsi="Arial" w:cs="Arial"/>
          <w:sz w:val="22"/>
          <w:szCs w:val="22"/>
        </w:rPr>
        <w:t>[...]</w:t>
      </w:r>
      <w:r w:rsidRPr="000E4EE8">
        <w:rPr>
          <w:rFonts w:ascii="Arial" w:hAnsi="Arial" w:cs="Arial"/>
          <w:sz w:val="22"/>
          <w:szCs w:val="22"/>
          <w:u w:val="single"/>
        </w:rPr>
        <w:t xml:space="preserve"> foi emitido Ordem de Serviço para fiscalização referente aos períodos de </w:t>
      </w:r>
      <w:r w:rsidR="000E4EE8" w:rsidRPr="000E4EE8">
        <w:rPr>
          <w:rFonts w:ascii="Arial" w:hAnsi="Arial" w:cs="Arial"/>
          <w:sz w:val="22"/>
          <w:szCs w:val="22"/>
        </w:rPr>
        <w:t>[...]</w:t>
      </w:r>
      <w:r w:rsidRPr="000E4EE8">
        <w:rPr>
          <w:rFonts w:ascii="Arial" w:hAnsi="Arial" w:cs="Arial"/>
          <w:sz w:val="22"/>
          <w:szCs w:val="22"/>
          <w:u w:val="single"/>
        </w:rPr>
        <w:t xml:space="preserve"> onde salientamos que está em fase de verificações</w:t>
      </w:r>
      <w:r w:rsidRPr="000E4EE8">
        <w:rPr>
          <w:rFonts w:ascii="Arial" w:hAnsi="Arial" w:cs="Arial"/>
          <w:sz w:val="22"/>
          <w:szCs w:val="22"/>
        </w:rPr>
        <w:t>.</w:t>
      </w:r>
    </w:p>
    <w:p w14:paraId="0EB0C686" w14:textId="2DBE9677" w:rsidR="00A17FD9" w:rsidRPr="000E4EE8" w:rsidRDefault="00A17FD9" w:rsidP="00505254">
      <w:pPr>
        <w:ind w:left="2268"/>
        <w:jc w:val="both"/>
        <w:rPr>
          <w:rFonts w:ascii="Arial" w:hAnsi="Arial" w:cs="Arial"/>
          <w:i/>
          <w:iCs/>
          <w:sz w:val="22"/>
          <w:szCs w:val="22"/>
        </w:rPr>
      </w:pPr>
      <w:r w:rsidRPr="000E4EE8">
        <w:rPr>
          <w:rFonts w:ascii="Arial" w:hAnsi="Arial" w:cs="Arial"/>
          <w:b/>
          <w:sz w:val="22"/>
          <w:szCs w:val="22"/>
        </w:rPr>
        <w:t xml:space="preserve">A Ordem de Serviço n° </w:t>
      </w:r>
      <w:r w:rsidR="000E4EE8" w:rsidRPr="000E4EE8">
        <w:rPr>
          <w:rFonts w:ascii="Arial" w:hAnsi="Arial" w:cs="Arial"/>
          <w:sz w:val="22"/>
          <w:szCs w:val="22"/>
        </w:rPr>
        <w:t>[...]</w:t>
      </w:r>
      <w:r w:rsidRPr="000E4EE8">
        <w:rPr>
          <w:rFonts w:ascii="Arial" w:hAnsi="Arial" w:cs="Arial"/>
          <w:b/>
          <w:sz w:val="22"/>
          <w:szCs w:val="22"/>
        </w:rPr>
        <w:t xml:space="preserve"> também determina a análise do TARE</w:t>
      </w:r>
      <w:r w:rsidRPr="000E4EE8">
        <w:rPr>
          <w:rFonts w:ascii="Arial" w:hAnsi="Arial" w:cs="Arial"/>
          <w:sz w:val="22"/>
          <w:szCs w:val="22"/>
        </w:rPr>
        <w:t xml:space="preserve"> </w:t>
      </w:r>
      <w:r w:rsidR="0020383B" w:rsidRPr="000E4EE8">
        <w:rPr>
          <w:rFonts w:ascii="Arial" w:hAnsi="Arial" w:cs="Arial"/>
          <w:sz w:val="22"/>
          <w:szCs w:val="22"/>
        </w:rPr>
        <w:t xml:space="preserve">[...] </w:t>
      </w:r>
      <w:r w:rsidRPr="000E4EE8">
        <w:rPr>
          <w:rFonts w:ascii="Arial" w:hAnsi="Arial" w:cs="Arial"/>
          <w:sz w:val="22"/>
          <w:szCs w:val="22"/>
        </w:rPr>
        <w:t xml:space="preserve">referente a unidade </w:t>
      </w:r>
      <w:r w:rsidR="0020383B" w:rsidRPr="000E4EE8">
        <w:rPr>
          <w:rFonts w:ascii="Arial" w:hAnsi="Arial" w:cs="Arial"/>
          <w:sz w:val="22"/>
          <w:szCs w:val="22"/>
        </w:rPr>
        <w:t>[...]</w:t>
      </w:r>
      <w:r w:rsidRPr="000E4EE8">
        <w:rPr>
          <w:rFonts w:ascii="Arial" w:hAnsi="Arial" w:cs="Arial"/>
          <w:sz w:val="22"/>
          <w:szCs w:val="22"/>
        </w:rPr>
        <w:t xml:space="preserve">. Este TARE autoriza a unidade a escriturar como crédito fiscal a importância equivalente ao percentual de </w:t>
      </w:r>
      <w:r w:rsidR="00ED518B" w:rsidRPr="000E4EE8">
        <w:rPr>
          <w:rFonts w:ascii="Arial" w:hAnsi="Arial" w:cs="Arial"/>
          <w:sz w:val="22"/>
          <w:szCs w:val="22"/>
        </w:rPr>
        <w:t>[...]</w:t>
      </w:r>
      <w:r w:rsidRPr="000E4EE8">
        <w:rPr>
          <w:rFonts w:ascii="Arial" w:hAnsi="Arial" w:cs="Arial"/>
          <w:sz w:val="22"/>
          <w:szCs w:val="22"/>
        </w:rPr>
        <w:t xml:space="preserve">. No entanto, nos termos de parágrafo 1° do referido Termo, </w:t>
      </w:r>
      <w:r w:rsidRPr="000E4EE8">
        <w:rPr>
          <w:rFonts w:ascii="Arial" w:hAnsi="Arial" w:cs="Arial"/>
          <w:i/>
          <w:iCs/>
          <w:sz w:val="22"/>
          <w:szCs w:val="22"/>
        </w:rPr>
        <w:t xml:space="preserve">“para fruição do benefício a ACORDANTE deve realizar pagamento de ICMS normal num montante não inferior a </w:t>
      </w:r>
      <w:r w:rsidR="00ED518B" w:rsidRPr="000E4EE8">
        <w:rPr>
          <w:rFonts w:ascii="Arial" w:hAnsi="Arial" w:cs="Arial"/>
          <w:i/>
          <w:iCs/>
          <w:sz w:val="22"/>
          <w:szCs w:val="22"/>
        </w:rPr>
        <w:t>[...]</w:t>
      </w:r>
      <w:r w:rsidRPr="000E4EE8">
        <w:rPr>
          <w:rFonts w:ascii="Arial" w:hAnsi="Arial" w:cs="Arial"/>
          <w:i/>
          <w:iCs/>
          <w:sz w:val="22"/>
          <w:szCs w:val="22"/>
        </w:rPr>
        <w:t xml:space="preserve"> mensais, correspondentes aos fatos geradores ocorridos no período de vigência deste Termo de Acordo”.</w:t>
      </w:r>
    </w:p>
    <w:p w14:paraId="2550EA7F" w14:textId="00484B2F" w:rsidR="00A17FD9" w:rsidRPr="000E4EE8" w:rsidRDefault="00A17FD9" w:rsidP="00505254">
      <w:pPr>
        <w:ind w:left="2268"/>
        <w:jc w:val="both"/>
        <w:rPr>
          <w:rFonts w:ascii="Arial" w:hAnsi="Arial" w:cs="Arial"/>
          <w:sz w:val="22"/>
          <w:szCs w:val="22"/>
        </w:rPr>
      </w:pPr>
      <w:r w:rsidRPr="000E4EE8">
        <w:rPr>
          <w:rFonts w:ascii="Arial" w:hAnsi="Arial" w:cs="Arial"/>
          <w:sz w:val="22"/>
          <w:szCs w:val="22"/>
        </w:rPr>
        <w:t xml:space="preserve">Informamos que a unidade </w:t>
      </w:r>
      <w:r w:rsidR="00F83697" w:rsidRPr="000E4EE8">
        <w:rPr>
          <w:rFonts w:ascii="Arial" w:hAnsi="Arial" w:cs="Arial"/>
          <w:sz w:val="22"/>
          <w:szCs w:val="22"/>
        </w:rPr>
        <w:t>[...]</w:t>
      </w:r>
      <w:r w:rsidRPr="000E4EE8">
        <w:rPr>
          <w:rFonts w:ascii="Arial" w:hAnsi="Arial" w:cs="Arial"/>
          <w:sz w:val="22"/>
          <w:szCs w:val="22"/>
        </w:rPr>
        <w:t xml:space="preserve"> ainda não aproveitou o referido crédito outorgado em EFD por ser unidade nova e não houve saída de produto industrializado. Vide cópias de EFDs em anexo.</w:t>
      </w:r>
    </w:p>
    <w:p w14:paraId="41234A9F" w14:textId="14EAED1E" w:rsidR="00A17FD9" w:rsidRPr="000E4EE8" w:rsidRDefault="00A17FD9" w:rsidP="00505254">
      <w:pPr>
        <w:ind w:left="2268"/>
        <w:jc w:val="both"/>
        <w:rPr>
          <w:rFonts w:ascii="Arial" w:hAnsi="Arial" w:cs="Arial"/>
          <w:sz w:val="22"/>
          <w:szCs w:val="22"/>
        </w:rPr>
      </w:pPr>
      <w:r w:rsidRPr="000E4EE8">
        <w:rPr>
          <w:rFonts w:ascii="Arial" w:hAnsi="Arial" w:cs="Arial"/>
          <w:sz w:val="22"/>
          <w:szCs w:val="22"/>
        </w:rPr>
        <w:t xml:space="preserve">Portanto, mediante análise de condicionantes já efetuadas em processo n° </w:t>
      </w:r>
      <w:r w:rsidR="000E4EE8" w:rsidRPr="000E4EE8">
        <w:rPr>
          <w:rFonts w:ascii="Arial" w:hAnsi="Arial" w:cs="Arial"/>
          <w:sz w:val="22"/>
          <w:szCs w:val="22"/>
        </w:rPr>
        <w:t>[...]</w:t>
      </w:r>
      <w:r w:rsidRPr="000E4EE8">
        <w:rPr>
          <w:rFonts w:ascii="Arial" w:hAnsi="Arial" w:cs="Arial"/>
          <w:sz w:val="22"/>
          <w:szCs w:val="22"/>
        </w:rPr>
        <w:t xml:space="preserve"> e demais procedimentos adotados; entendemos que, referente ao TARE n° </w:t>
      </w:r>
      <w:r w:rsidR="00F83697" w:rsidRPr="000E4EE8">
        <w:rPr>
          <w:rFonts w:ascii="Arial" w:hAnsi="Arial" w:cs="Arial"/>
          <w:sz w:val="22"/>
          <w:szCs w:val="22"/>
        </w:rPr>
        <w:t>[...]</w:t>
      </w:r>
      <w:r w:rsidRPr="000E4EE8">
        <w:rPr>
          <w:rFonts w:ascii="Arial" w:hAnsi="Arial" w:cs="Arial"/>
          <w:sz w:val="22"/>
          <w:szCs w:val="22"/>
        </w:rPr>
        <w:t xml:space="preserve"> e TARE n° </w:t>
      </w:r>
      <w:r w:rsidR="00F83697" w:rsidRPr="000E4EE8">
        <w:rPr>
          <w:rFonts w:ascii="Arial" w:hAnsi="Arial" w:cs="Arial"/>
          <w:sz w:val="22"/>
          <w:szCs w:val="22"/>
        </w:rPr>
        <w:t xml:space="preserve">[...] </w:t>
      </w:r>
      <w:r w:rsidRPr="000E4EE8">
        <w:rPr>
          <w:rFonts w:ascii="Arial" w:hAnsi="Arial" w:cs="Arial"/>
          <w:sz w:val="22"/>
          <w:szCs w:val="22"/>
        </w:rPr>
        <w:t>não houve descumprimento de metas estabelecidas.</w:t>
      </w:r>
    </w:p>
    <w:p w14:paraId="17354FAC" w14:textId="77777777" w:rsidR="006B37F8" w:rsidRDefault="006B37F8" w:rsidP="002E48D8">
      <w:pPr>
        <w:spacing w:line="360" w:lineRule="auto"/>
        <w:ind w:firstLine="851"/>
        <w:jc w:val="both"/>
        <w:rPr>
          <w:rFonts w:ascii="Arial" w:hAnsi="Arial" w:cs="Arial"/>
          <w:sz w:val="24"/>
          <w:szCs w:val="24"/>
        </w:rPr>
      </w:pPr>
    </w:p>
    <w:p w14:paraId="510970CA" w14:textId="39558489" w:rsidR="00F8079F" w:rsidRDefault="006B37F8" w:rsidP="002E48D8">
      <w:pPr>
        <w:spacing w:line="360" w:lineRule="auto"/>
        <w:ind w:firstLine="851"/>
        <w:jc w:val="both"/>
        <w:rPr>
          <w:rFonts w:ascii="Arial" w:hAnsi="Arial" w:cs="Arial"/>
          <w:sz w:val="24"/>
          <w:szCs w:val="24"/>
        </w:rPr>
      </w:pPr>
      <w:r>
        <w:rPr>
          <w:rFonts w:ascii="Arial" w:hAnsi="Arial" w:cs="Arial"/>
          <w:sz w:val="24"/>
          <w:szCs w:val="24"/>
        </w:rPr>
        <w:t xml:space="preserve">Destaca-se desse último </w:t>
      </w:r>
      <w:r w:rsidR="001778EA">
        <w:rPr>
          <w:rFonts w:ascii="Arial" w:hAnsi="Arial" w:cs="Arial"/>
          <w:sz w:val="24"/>
          <w:szCs w:val="24"/>
        </w:rPr>
        <w:t>relatório</w:t>
      </w:r>
      <w:r w:rsidR="005F31EF">
        <w:rPr>
          <w:rFonts w:ascii="Arial" w:hAnsi="Arial" w:cs="Arial"/>
          <w:sz w:val="24"/>
          <w:szCs w:val="24"/>
        </w:rPr>
        <w:t xml:space="preserve">, confeccionado em pleno curso da CPI, que também se procedeu a uma análise </w:t>
      </w:r>
      <w:r w:rsidR="005F31EF" w:rsidRPr="00E6486F">
        <w:rPr>
          <w:rFonts w:ascii="Arial" w:hAnsi="Arial" w:cs="Arial"/>
          <w:sz w:val="24"/>
          <w:szCs w:val="24"/>
        </w:rPr>
        <w:t>exclusivamente fiscal,</w:t>
      </w:r>
      <w:r w:rsidR="00F8079F" w:rsidRPr="00E6486F">
        <w:rPr>
          <w:rFonts w:ascii="Arial" w:hAnsi="Arial" w:cs="Arial"/>
          <w:sz w:val="24"/>
          <w:szCs w:val="24"/>
        </w:rPr>
        <w:t xml:space="preserve"> praticamente ratificando a manifestação anterior de “comprovação dos investimentos efetuados”, como consta no </w:t>
      </w:r>
      <w:r w:rsidR="00F8079F" w:rsidRPr="00E6486F">
        <w:rPr>
          <w:rFonts w:ascii="Arial" w:hAnsi="Arial" w:cs="Arial"/>
          <w:sz w:val="24"/>
          <w:szCs w:val="24"/>
        </w:rPr>
        <w:lastRenderedPageBreak/>
        <w:t xml:space="preserve">relatório acima transcrito </w:t>
      </w:r>
      <w:r w:rsidR="00E6486F" w:rsidRPr="00E6486F">
        <w:rPr>
          <w:rFonts w:ascii="Arial" w:hAnsi="Arial" w:cs="Arial"/>
          <w:sz w:val="24"/>
          <w:szCs w:val="24"/>
        </w:rPr>
        <w:t xml:space="preserve">da </w:t>
      </w:r>
      <w:r w:rsidR="00F8079F" w:rsidRPr="00E6486F">
        <w:rPr>
          <w:rFonts w:ascii="Arial" w:hAnsi="Arial" w:cs="Arial"/>
          <w:sz w:val="24"/>
          <w:szCs w:val="24"/>
        </w:rPr>
        <w:t>empresa, com todas as ressalvas que o caso merece nos termos antes argumentado.</w:t>
      </w:r>
    </w:p>
    <w:p w14:paraId="465DAC88" w14:textId="373B9084" w:rsidR="00505254" w:rsidRDefault="00F8079F" w:rsidP="00505254">
      <w:pPr>
        <w:spacing w:line="360" w:lineRule="auto"/>
        <w:ind w:firstLine="851"/>
        <w:jc w:val="both"/>
        <w:rPr>
          <w:rFonts w:ascii="Arial" w:hAnsi="Arial" w:cs="Arial"/>
          <w:sz w:val="24"/>
          <w:szCs w:val="24"/>
        </w:rPr>
      </w:pPr>
      <w:r>
        <w:rPr>
          <w:rFonts w:ascii="Arial" w:hAnsi="Arial" w:cs="Arial"/>
          <w:sz w:val="24"/>
          <w:szCs w:val="24"/>
        </w:rPr>
        <w:t xml:space="preserve">Ainda, mencionou-se no novo relatório a expedição de </w:t>
      </w:r>
      <w:r w:rsidR="005F31EF">
        <w:rPr>
          <w:rFonts w:ascii="Arial" w:hAnsi="Arial" w:cs="Arial"/>
          <w:sz w:val="24"/>
          <w:szCs w:val="24"/>
        </w:rPr>
        <w:t>ordem de serviço específica para vistoria no estabelecimento, o que estaria em “fase de verificações”</w:t>
      </w:r>
      <w:r w:rsidR="0065500D">
        <w:rPr>
          <w:rFonts w:ascii="Arial" w:hAnsi="Arial" w:cs="Arial"/>
          <w:sz w:val="24"/>
          <w:szCs w:val="24"/>
        </w:rPr>
        <w:t xml:space="preserve">, </w:t>
      </w:r>
      <w:r>
        <w:rPr>
          <w:rFonts w:ascii="Arial" w:hAnsi="Arial" w:cs="Arial"/>
          <w:sz w:val="24"/>
          <w:szCs w:val="24"/>
        </w:rPr>
        <w:t xml:space="preserve">o que </w:t>
      </w:r>
      <w:r w:rsidR="0065500D">
        <w:rPr>
          <w:rFonts w:ascii="Arial" w:hAnsi="Arial" w:cs="Arial"/>
          <w:sz w:val="24"/>
          <w:szCs w:val="24"/>
        </w:rPr>
        <w:t>certamente</w:t>
      </w:r>
      <w:r>
        <w:rPr>
          <w:rFonts w:ascii="Arial" w:hAnsi="Arial" w:cs="Arial"/>
          <w:sz w:val="24"/>
          <w:szCs w:val="24"/>
        </w:rPr>
        <w:t xml:space="preserve"> só ocorreu</w:t>
      </w:r>
      <w:r w:rsidR="0065500D">
        <w:rPr>
          <w:rFonts w:ascii="Arial" w:hAnsi="Arial" w:cs="Arial"/>
          <w:sz w:val="24"/>
          <w:szCs w:val="24"/>
        </w:rPr>
        <w:t xml:space="preserve"> for força d</w:t>
      </w:r>
      <w:r>
        <w:rPr>
          <w:rFonts w:ascii="Arial" w:hAnsi="Arial" w:cs="Arial"/>
          <w:sz w:val="24"/>
          <w:szCs w:val="24"/>
        </w:rPr>
        <w:t>e</w:t>
      </w:r>
      <w:r w:rsidR="0065500D">
        <w:rPr>
          <w:rFonts w:ascii="Arial" w:hAnsi="Arial" w:cs="Arial"/>
          <w:sz w:val="24"/>
          <w:szCs w:val="24"/>
        </w:rPr>
        <w:t xml:space="preserve"> requisição desta Comissão</w:t>
      </w:r>
      <w:r>
        <w:rPr>
          <w:rFonts w:ascii="Arial" w:hAnsi="Arial" w:cs="Arial"/>
          <w:sz w:val="24"/>
          <w:szCs w:val="24"/>
        </w:rPr>
        <w:t xml:space="preserve"> (embora genérica para fornecimento dos relatórios de auditorias referentes a período pretérito)</w:t>
      </w:r>
      <w:r w:rsidR="00B137C3">
        <w:rPr>
          <w:rFonts w:ascii="Arial" w:hAnsi="Arial" w:cs="Arial"/>
          <w:sz w:val="24"/>
          <w:szCs w:val="24"/>
        </w:rPr>
        <w:t xml:space="preserve">, visto que </w:t>
      </w:r>
      <w:r w:rsidR="00B137C3" w:rsidRPr="00E6486F">
        <w:rPr>
          <w:rFonts w:ascii="Arial" w:hAnsi="Arial" w:cs="Arial"/>
          <w:sz w:val="24"/>
          <w:szCs w:val="24"/>
        </w:rPr>
        <w:t xml:space="preserve">pelo menos desde </w:t>
      </w:r>
      <w:r w:rsidR="00E6486F">
        <w:rPr>
          <w:rFonts w:ascii="Arial" w:hAnsi="Arial" w:cs="Arial"/>
          <w:sz w:val="24"/>
          <w:szCs w:val="24"/>
        </w:rPr>
        <w:t>o início da década</w:t>
      </w:r>
      <w:r w:rsidR="00B137C3" w:rsidRPr="00E6486F">
        <w:rPr>
          <w:rFonts w:ascii="Arial" w:hAnsi="Arial" w:cs="Arial"/>
          <w:sz w:val="24"/>
          <w:szCs w:val="24"/>
        </w:rPr>
        <w:t xml:space="preserve"> – ou, quiç</w:t>
      </w:r>
      <w:r w:rsidR="00E55353" w:rsidRPr="00E6486F">
        <w:rPr>
          <w:rFonts w:ascii="Arial" w:hAnsi="Arial" w:cs="Arial"/>
          <w:sz w:val="24"/>
          <w:szCs w:val="24"/>
        </w:rPr>
        <w:t>á</w:t>
      </w:r>
      <w:r w:rsidR="00B137C3" w:rsidRPr="00E6486F">
        <w:rPr>
          <w:rFonts w:ascii="Arial" w:hAnsi="Arial" w:cs="Arial"/>
          <w:sz w:val="24"/>
          <w:szCs w:val="24"/>
        </w:rPr>
        <w:t xml:space="preserve">, nunca – foi feita </w:t>
      </w:r>
      <w:r w:rsidR="00B03BD5" w:rsidRPr="00E6486F">
        <w:rPr>
          <w:rFonts w:ascii="Arial" w:hAnsi="Arial" w:cs="Arial"/>
          <w:sz w:val="24"/>
          <w:szCs w:val="24"/>
        </w:rPr>
        <w:t>uma</w:t>
      </w:r>
      <w:r w:rsidR="00B137C3" w:rsidRPr="00E6486F">
        <w:rPr>
          <w:rFonts w:ascii="Arial" w:hAnsi="Arial" w:cs="Arial"/>
          <w:sz w:val="24"/>
          <w:szCs w:val="24"/>
        </w:rPr>
        <w:t xml:space="preserve"> vistoria</w:t>
      </w:r>
      <w:r w:rsidR="00B03BD5" w:rsidRPr="00E6486F">
        <w:rPr>
          <w:rFonts w:ascii="Arial" w:hAnsi="Arial" w:cs="Arial"/>
          <w:sz w:val="24"/>
          <w:szCs w:val="24"/>
        </w:rPr>
        <w:t xml:space="preserve"> </w:t>
      </w:r>
      <w:r w:rsidR="00B03BD5" w:rsidRPr="00E6486F">
        <w:rPr>
          <w:rFonts w:ascii="Arial" w:hAnsi="Arial" w:cs="Arial"/>
          <w:i/>
          <w:sz w:val="24"/>
          <w:szCs w:val="24"/>
        </w:rPr>
        <w:t>in loco</w:t>
      </w:r>
      <w:r w:rsidRPr="00E6486F">
        <w:rPr>
          <w:rFonts w:ascii="Arial" w:hAnsi="Arial" w:cs="Arial"/>
          <w:sz w:val="24"/>
          <w:szCs w:val="24"/>
        </w:rPr>
        <w:t xml:space="preserve"> na empresa</w:t>
      </w:r>
      <w:r w:rsidR="00B137C3">
        <w:rPr>
          <w:rFonts w:ascii="Arial" w:hAnsi="Arial" w:cs="Arial"/>
          <w:sz w:val="24"/>
          <w:szCs w:val="24"/>
        </w:rPr>
        <w:t>.</w:t>
      </w:r>
    </w:p>
    <w:p w14:paraId="7BC119AF" w14:textId="77777777" w:rsidR="00314E1C" w:rsidRDefault="00314E1C" w:rsidP="00505254">
      <w:pPr>
        <w:spacing w:line="360" w:lineRule="auto"/>
        <w:ind w:firstLine="851"/>
        <w:jc w:val="both"/>
        <w:rPr>
          <w:rFonts w:ascii="Arial" w:hAnsi="Arial" w:cs="Arial"/>
          <w:sz w:val="24"/>
          <w:szCs w:val="24"/>
        </w:rPr>
      </w:pPr>
    </w:p>
    <w:p w14:paraId="42A41524" w14:textId="4468A08C" w:rsidR="006E4C7E" w:rsidRDefault="006E4C7E" w:rsidP="00A9253D">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w:t>
      </w:r>
      <w:r>
        <w:rPr>
          <w:rFonts w:ascii="Arial" w:hAnsi="Arial" w:cs="Arial"/>
          <w:b/>
          <w:sz w:val="24"/>
          <w:szCs w:val="24"/>
        </w:rPr>
        <w:t>2.4</w:t>
      </w:r>
      <w:r w:rsidRPr="0031082B">
        <w:rPr>
          <w:rFonts w:ascii="Arial" w:hAnsi="Arial" w:cs="Arial"/>
          <w:b/>
          <w:sz w:val="24"/>
          <w:szCs w:val="24"/>
        </w:rPr>
        <w:t>.</w:t>
      </w:r>
      <w:r>
        <w:rPr>
          <w:rFonts w:ascii="Arial" w:hAnsi="Arial" w:cs="Arial"/>
          <w:b/>
          <w:sz w:val="24"/>
          <w:szCs w:val="24"/>
        </w:rPr>
        <w:t>2</w:t>
      </w:r>
      <w:r w:rsidRPr="008E54B5">
        <w:rPr>
          <w:rFonts w:ascii="Arial" w:hAnsi="Arial" w:cs="Arial"/>
          <w:b/>
          <w:sz w:val="24"/>
          <w:szCs w:val="24"/>
        </w:rPr>
        <w:t>.</w:t>
      </w:r>
      <w:r>
        <w:rPr>
          <w:rFonts w:ascii="Arial" w:hAnsi="Arial" w:cs="Arial"/>
          <w:b/>
          <w:sz w:val="24"/>
          <w:szCs w:val="24"/>
        </w:rPr>
        <w:t xml:space="preserve">2. </w:t>
      </w:r>
      <w:r w:rsidRPr="006E4C7E">
        <w:rPr>
          <w:rFonts w:ascii="Arial" w:hAnsi="Arial" w:cs="Arial"/>
          <w:sz w:val="24"/>
          <w:szCs w:val="24"/>
        </w:rPr>
        <w:t>O</w:t>
      </w:r>
      <w:r w:rsidR="00673B6D">
        <w:rPr>
          <w:rFonts w:ascii="Arial" w:hAnsi="Arial" w:cs="Arial"/>
          <w:sz w:val="24"/>
          <w:szCs w:val="24"/>
        </w:rPr>
        <w:t>utros 2</w:t>
      </w:r>
      <w:r w:rsidR="0021505F">
        <w:rPr>
          <w:rFonts w:ascii="Arial" w:hAnsi="Arial" w:cs="Arial"/>
          <w:sz w:val="24"/>
          <w:szCs w:val="24"/>
        </w:rPr>
        <w:t xml:space="preserve"> (</w:t>
      </w:r>
      <w:r w:rsidR="003540B9">
        <w:rPr>
          <w:rFonts w:ascii="Arial" w:hAnsi="Arial" w:cs="Arial"/>
          <w:sz w:val="24"/>
          <w:szCs w:val="24"/>
        </w:rPr>
        <w:t>doi</w:t>
      </w:r>
      <w:r w:rsidR="00271DCE">
        <w:rPr>
          <w:rFonts w:ascii="Arial" w:hAnsi="Arial" w:cs="Arial"/>
          <w:sz w:val="24"/>
          <w:szCs w:val="24"/>
        </w:rPr>
        <w:t>s</w:t>
      </w:r>
      <w:r w:rsidR="0021505F">
        <w:rPr>
          <w:rFonts w:ascii="Arial" w:hAnsi="Arial" w:cs="Arial"/>
          <w:sz w:val="24"/>
          <w:szCs w:val="24"/>
        </w:rPr>
        <w:t>)</w:t>
      </w:r>
      <w:r w:rsidR="00A0387B">
        <w:rPr>
          <w:rFonts w:ascii="Arial" w:hAnsi="Arial" w:cs="Arial"/>
          <w:sz w:val="24"/>
          <w:szCs w:val="24"/>
        </w:rPr>
        <w:t xml:space="preserve"> relatórios fornecidos a esta CPI</w:t>
      </w:r>
      <w:r w:rsidR="00F11ACB">
        <w:rPr>
          <w:rFonts w:ascii="Arial" w:hAnsi="Arial" w:cs="Arial"/>
          <w:sz w:val="24"/>
          <w:szCs w:val="24"/>
        </w:rPr>
        <w:t>,</w:t>
      </w:r>
      <w:r w:rsidR="00673B6D">
        <w:rPr>
          <w:rFonts w:ascii="Arial" w:hAnsi="Arial" w:cs="Arial"/>
          <w:sz w:val="24"/>
          <w:szCs w:val="24"/>
        </w:rPr>
        <w:t xml:space="preserve"> dentre aqueles elaborados entre maio de junho de 2019,</w:t>
      </w:r>
      <w:r w:rsidR="00A0387B">
        <w:rPr>
          <w:rFonts w:ascii="Arial" w:hAnsi="Arial" w:cs="Arial"/>
          <w:sz w:val="24"/>
          <w:szCs w:val="24"/>
        </w:rPr>
        <w:t xml:space="preserve"> foram realizados pela Gerência Especial de Auditoria Tributária</w:t>
      </w:r>
      <w:r w:rsidR="00264584">
        <w:rPr>
          <w:rFonts w:ascii="Arial" w:hAnsi="Arial" w:cs="Arial"/>
          <w:sz w:val="24"/>
          <w:szCs w:val="24"/>
        </w:rPr>
        <w:t xml:space="preserve">, </w:t>
      </w:r>
      <w:r w:rsidR="001D05BA">
        <w:rPr>
          <w:rFonts w:ascii="Arial" w:hAnsi="Arial" w:cs="Arial"/>
          <w:sz w:val="24"/>
          <w:szCs w:val="24"/>
        </w:rPr>
        <w:t>os</w:t>
      </w:r>
      <w:r w:rsidR="00264584">
        <w:rPr>
          <w:rFonts w:ascii="Arial" w:hAnsi="Arial" w:cs="Arial"/>
          <w:sz w:val="24"/>
          <w:szCs w:val="24"/>
        </w:rPr>
        <w:t xml:space="preserve"> quais se transcreve</w:t>
      </w:r>
      <w:r w:rsidR="001D05BA">
        <w:rPr>
          <w:rFonts w:ascii="Arial" w:hAnsi="Arial" w:cs="Arial"/>
          <w:sz w:val="24"/>
          <w:szCs w:val="24"/>
        </w:rPr>
        <w:t>m</w:t>
      </w:r>
      <w:r w:rsidR="00264584">
        <w:rPr>
          <w:rFonts w:ascii="Arial" w:hAnsi="Arial" w:cs="Arial"/>
          <w:sz w:val="24"/>
          <w:szCs w:val="24"/>
        </w:rPr>
        <w:t xml:space="preserve"> a seguir:</w:t>
      </w:r>
    </w:p>
    <w:p w14:paraId="670DF3BE" w14:textId="77777777" w:rsidR="00E95223" w:rsidRPr="000E4EE8" w:rsidRDefault="00E95223" w:rsidP="00A9253D">
      <w:pPr>
        <w:spacing w:line="360" w:lineRule="auto"/>
        <w:ind w:firstLine="851"/>
        <w:jc w:val="both"/>
        <w:rPr>
          <w:rFonts w:ascii="Arial" w:hAnsi="Arial" w:cs="Arial"/>
          <w:sz w:val="24"/>
          <w:szCs w:val="24"/>
        </w:rPr>
      </w:pPr>
    </w:p>
    <w:p w14:paraId="1856DF68" w14:textId="710829E3" w:rsidR="00065C54" w:rsidRPr="000E4EE8" w:rsidRDefault="00065C54" w:rsidP="00505254">
      <w:pPr>
        <w:ind w:left="2268"/>
        <w:jc w:val="both"/>
        <w:rPr>
          <w:rFonts w:ascii="Arial" w:hAnsi="Arial" w:cs="Arial"/>
          <w:b/>
          <w:sz w:val="22"/>
          <w:szCs w:val="22"/>
          <w:u w:val="single"/>
        </w:rPr>
      </w:pPr>
      <w:r w:rsidRPr="000E4EE8">
        <w:rPr>
          <w:rFonts w:ascii="Arial" w:hAnsi="Arial" w:cs="Arial"/>
          <w:b/>
          <w:sz w:val="22"/>
          <w:szCs w:val="22"/>
          <w:u w:val="single"/>
        </w:rPr>
        <w:t xml:space="preserve">MANIFESTAÇÃO Nº </w:t>
      </w:r>
      <w:r w:rsidR="000E4EE8" w:rsidRPr="000E4EE8">
        <w:rPr>
          <w:rFonts w:ascii="Arial" w:hAnsi="Arial" w:cs="Arial"/>
          <w:sz w:val="22"/>
          <w:szCs w:val="22"/>
        </w:rPr>
        <w:t>[...]</w:t>
      </w:r>
    </w:p>
    <w:p w14:paraId="55848AC5" w14:textId="500C74DA" w:rsidR="00FF14BC" w:rsidRPr="00FF14BC" w:rsidRDefault="00FF14BC" w:rsidP="00505254">
      <w:pPr>
        <w:ind w:left="2268"/>
        <w:jc w:val="both"/>
        <w:rPr>
          <w:rFonts w:ascii="Arial" w:hAnsi="Arial" w:cs="Arial"/>
          <w:sz w:val="22"/>
          <w:szCs w:val="22"/>
        </w:rPr>
      </w:pPr>
      <w:r w:rsidRPr="000E4EE8">
        <w:rPr>
          <w:rFonts w:ascii="Arial" w:hAnsi="Arial" w:cs="Arial"/>
          <w:sz w:val="22"/>
          <w:szCs w:val="22"/>
        </w:rPr>
        <w:t xml:space="preserve">Em cumprimento ao Despacho nº </w:t>
      </w:r>
      <w:r w:rsidR="000E4EE8" w:rsidRPr="000E4EE8">
        <w:rPr>
          <w:rFonts w:ascii="Arial" w:hAnsi="Arial" w:cs="Arial"/>
          <w:sz w:val="22"/>
          <w:szCs w:val="22"/>
        </w:rPr>
        <w:t>[...]</w:t>
      </w:r>
      <w:r w:rsidRPr="000E4EE8">
        <w:rPr>
          <w:rFonts w:ascii="Arial" w:hAnsi="Arial" w:cs="Arial"/>
          <w:sz w:val="22"/>
          <w:szCs w:val="22"/>
        </w:rPr>
        <w:t xml:space="preserve">, vimos pelo presente oferecer nossa manifestação quanto ao cumprimento das condicionantes impostas pelo TARE </w:t>
      </w:r>
      <w:r w:rsidR="007A08FA" w:rsidRPr="000E4EE8">
        <w:rPr>
          <w:rFonts w:ascii="Arial" w:hAnsi="Arial" w:cs="Arial"/>
          <w:sz w:val="22"/>
          <w:szCs w:val="22"/>
        </w:rPr>
        <w:t>[</w:t>
      </w:r>
      <w:r w:rsidRPr="000E4EE8">
        <w:rPr>
          <w:rFonts w:ascii="Arial" w:hAnsi="Arial" w:cs="Arial"/>
          <w:sz w:val="22"/>
          <w:szCs w:val="22"/>
        </w:rPr>
        <w:t>...</w:t>
      </w:r>
      <w:r w:rsidR="007A08FA" w:rsidRPr="000E4EE8">
        <w:rPr>
          <w:rFonts w:ascii="Arial" w:hAnsi="Arial" w:cs="Arial"/>
          <w:sz w:val="22"/>
          <w:szCs w:val="22"/>
        </w:rPr>
        <w:t>]</w:t>
      </w:r>
      <w:r w:rsidRPr="000E4EE8">
        <w:rPr>
          <w:rFonts w:ascii="Arial" w:hAnsi="Arial" w:cs="Arial"/>
          <w:sz w:val="22"/>
          <w:szCs w:val="22"/>
        </w:rPr>
        <w:t xml:space="preserve">, concedido à empresa </w:t>
      </w:r>
      <w:r w:rsidR="007A08FA" w:rsidRPr="00ED518B">
        <w:rPr>
          <w:rFonts w:ascii="Arial" w:hAnsi="Arial" w:cs="Arial"/>
          <w:sz w:val="22"/>
          <w:szCs w:val="22"/>
        </w:rPr>
        <w:t>[...]</w:t>
      </w:r>
      <w:r w:rsidRPr="00ED518B">
        <w:rPr>
          <w:rFonts w:ascii="Arial" w:hAnsi="Arial" w:cs="Arial"/>
          <w:sz w:val="22"/>
          <w:szCs w:val="22"/>
        </w:rPr>
        <w:t>,</w:t>
      </w:r>
      <w:r w:rsidRPr="00FF14BC">
        <w:rPr>
          <w:rFonts w:ascii="Arial" w:hAnsi="Arial" w:cs="Arial"/>
          <w:sz w:val="22"/>
          <w:szCs w:val="22"/>
        </w:rPr>
        <w:t xml:space="preserve"> em fase pré</w:t>
      </w:r>
      <w:r>
        <w:rPr>
          <w:rFonts w:ascii="Arial" w:hAnsi="Arial" w:cs="Arial"/>
          <w:sz w:val="22"/>
          <w:szCs w:val="22"/>
        </w:rPr>
        <w:t>-</w:t>
      </w:r>
      <w:r w:rsidRPr="00FF14BC">
        <w:rPr>
          <w:rFonts w:ascii="Arial" w:hAnsi="Arial" w:cs="Arial"/>
          <w:sz w:val="22"/>
          <w:szCs w:val="22"/>
        </w:rPr>
        <w:t>operacional,</w:t>
      </w:r>
      <w:r>
        <w:rPr>
          <w:rFonts w:ascii="Arial" w:hAnsi="Arial" w:cs="Arial"/>
          <w:sz w:val="22"/>
          <w:szCs w:val="22"/>
        </w:rPr>
        <w:t xml:space="preserve"> </w:t>
      </w:r>
      <w:r w:rsidRPr="00FF14BC">
        <w:rPr>
          <w:rFonts w:ascii="Arial" w:hAnsi="Arial" w:cs="Arial"/>
          <w:sz w:val="22"/>
          <w:szCs w:val="22"/>
        </w:rPr>
        <w:t xml:space="preserve">quando da edificação de sua unidade industrial sediada em </w:t>
      </w:r>
      <w:r w:rsidR="00ED518B">
        <w:rPr>
          <w:rFonts w:ascii="Arial" w:hAnsi="Arial" w:cs="Arial"/>
          <w:sz w:val="22"/>
          <w:szCs w:val="22"/>
        </w:rPr>
        <w:t>[...]</w:t>
      </w:r>
      <w:r w:rsidRPr="00FF14BC">
        <w:rPr>
          <w:rFonts w:ascii="Arial" w:hAnsi="Arial" w:cs="Arial"/>
          <w:sz w:val="22"/>
          <w:szCs w:val="22"/>
        </w:rPr>
        <w:t>.</w:t>
      </w:r>
    </w:p>
    <w:p w14:paraId="6FAF2312" w14:textId="60D877E7" w:rsidR="00FF14BC" w:rsidRDefault="00FF14BC" w:rsidP="00505254">
      <w:pPr>
        <w:ind w:left="2268"/>
        <w:jc w:val="both"/>
        <w:rPr>
          <w:rFonts w:ascii="Arial" w:hAnsi="Arial" w:cs="Arial"/>
          <w:sz w:val="22"/>
          <w:szCs w:val="22"/>
        </w:rPr>
      </w:pPr>
      <w:r w:rsidRPr="00FF14BC">
        <w:rPr>
          <w:rFonts w:ascii="Arial" w:hAnsi="Arial" w:cs="Arial"/>
          <w:sz w:val="22"/>
          <w:szCs w:val="22"/>
        </w:rPr>
        <w:t>O referido TARE teve por escopo a concessão de um crédito outorgado (de</w:t>
      </w:r>
      <w:r>
        <w:rPr>
          <w:rFonts w:ascii="Arial" w:hAnsi="Arial" w:cs="Arial"/>
          <w:sz w:val="22"/>
          <w:szCs w:val="22"/>
        </w:rPr>
        <w:t xml:space="preserve"> </w:t>
      </w:r>
      <w:r w:rsidRPr="00FF14BC">
        <w:rPr>
          <w:rFonts w:ascii="Arial" w:hAnsi="Arial" w:cs="Arial"/>
          <w:sz w:val="22"/>
          <w:szCs w:val="22"/>
        </w:rPr>
        <w:t xml:space="preserve">investimento) no valor de </w:t>
      </w:r>
      <w:r w:rsidR="00ED518B">
        <w:rPr>
          <w:rFonts w:ascii="Arial" w:hAnsi="Arial" w:cs="Arial"/>
          <w:sz w:val="22"/>
          <w:szCs w:val="22"/>
        </w:rPr>
        <w:t>[...]</w:t>
      </w:r>
      <w:r w:rsidRPr="00FF14BC">
        <w:rPr>
          <w:rFonts w:ascii="Arial" w:hAnsi="Arial" w:cs="Arial"/>
          <w:sz w:val="22"/>
          <w:szCs w:val="22"/>
        </w:rPr>
        <w:t xml:space="preserve">, apropriado em </w:t>
      </w:r>
      <w:r w:rsidR="00ED518B">
        <w:rPr>
          <w:rFonts w:ascii="Arial" w:hAnsi="Arial" w:cs="Arial"/>
          <w:sz w:val="22"/>
          <w:szCs w:val="22"/>
        </w:rPr>
        <w:t>[...]</w:t>
      </w:r>
      <w:r>
        <w:rPr>
          <w:rFonts w:ascii="Arial" w:hAnsi="Arial" w:cs="Arial"/>
          <w:sz w:val="22"/>
          <w:szCs w:val="22"/>
        </w:rPr>
        <w:t xml:space="preserve"> </w:t>
      </w:r>
      <w:r w:rsidRPr="00FF14BC">
        <w:rPr>
          <w:rFonts w:ascii="Arial" w:hAnsi="Arial" w:cs="Arial"/>
          <w:sz w:val="22"/>
          <w:szCs w:val="22"/>
        </w:rPr>
        <w:t xml:space="preserve">parcelas mensais e sucessivas, a partir do mês de </w:t>
      </w:r>
      <w:r w:rsidR="00ED518B">
        <w:rPr>
          <w:rFonts w:ascii="Arial" w:hAnsi="Arial" w:cs="Arial"/>
          <w:sz w:val="22"/>
          <w:szCs w:val="22"/>
        </w:rPr>
        <w:t>[...]</w:t>
      </w:r>
      <w:r w:rsidRPr="00FF14BC">
        <w:rPr>
          <w:rFonts w:ascii="Arial" w:hAnsi="Arial" w:cs="Arial"/>
          <w:sz w:val="22"/>
          <w:szCs w:val="22"/>
        </w:rPr>
        <w:t>, com a imposição das condicionantes</w:t>
      </w:r>
      <w:r>
        <w:rPr>
          <w:rFonts w:ascii="Arial" w:hAnsi="Arial" w:cs="Arial"/>
          <w:sz w:val="22"/>
          <w:szCs w:val="22"/>
        </w:rPr>
        <w:t xml:space="preserve"> </w:t>
      </w:r>
      <w:r w:rsidRPr="00FF14BC">
        <w:rPr>
          <w:rFonts w:ascii="Arial" w:hAnsi="Arial" w:cs="Arial"/>
          <w:sz w:val="22"/>
          <w:szCs w:val="22"/>
        </w:rPr>
        <w:t>referidas no § 2º de sua Cláusula Primeira:</w:t>
      </w:r>
    </w:p>
    <w:p w14:paraId="01DE5C76" w14:textId="77777777" w:rsidR="00FF14BC" w:rsidRPr="00FF14BC" w:rsidRDefault="00FF14BC" w:rsidP="00505254">
      <w:pPr>
        <w:ind w:left="2268"/>
        <w:jc w:val="both"/>
        <w:rPr>
          <w:rFonts w:ascii="Arial" w:hAnsi="Arial" w:cs="Arial"/>
          <w:sz w:val="22"/>
          <w:szCs w:val="22"/>
        </w:rPr>
      </w:pPr>
    </w:p>
    <w:p w14:paraId="5E51F364" w14:textId="5327C923" w:rsidR="00FF14BC" w:rsidRPr="00FF14BC" w:rsidRDefault="00FF14BC" w:rsidP="00505254">
      <w:pPr>
        <w:ind w:left="2552"/>
        <w:jc w:val="both"/>
        <w:rPr>
          <w:rFonts w:ascii="Arial" w:hAnsi="Arial" w:cs="Arial"/>
          <w:i/>
          <w:iCs/>
          <w:sz w:val="22"/>
          <w:szCs w:val="22"/>
        </w:rPr>
      </w:pPr>
      <w:r w:rsidRPr="00FF14BC">
        <w:rPr>
          <w:rFonts w:ascii="Arial" w:hAnsi="Arial" w:cs="Arial"/>
          <w:i/>
          <w:iCs/>
          <w:sz w:val="22"/>
          <w:szCs w:val="22"/>
        </w:rPr>
        <w:t>"§ 2º Fica a ACORDANTE obrigada a devolver o crédito outorgado efetivamente</w:t>
      </w:r>
      <w:r>
        <w:rPr>
          <w:rFonts w:ascii="Arial" w:hAnsi="Arial" w:cs="Arial"/>
          <w:i/>
          <w:iCs/>
          <w:sz w:val="22"/>
          <w:szCs w:val="22"/>
        </w:rPr>
        <w:t xml:space="preserve"> </w:t>
      </w:r>
      <w:r w:rsidRPr="00FF14BC">
        <w:rPr>
          <w:rFonts w:ascii="Arial" w:hAnsi="Arial" w:cs="Arial"/>
          <w:i/>
          <w:iCs/>
          <w:sz w:val="22"/>
          <w:szCs w:val="22"/>
        </w:rPr>
        <w:t>apropriado de que trata esta cláusula, na situação:</w:t>
      </w:r>
    </w:p>
    <w:p w14:paraId="265BD6B0" w14:textId="5EFA5C0B" w:rsidR="00FF14BC" w:rsidRPr="00FF14BC" w:rsidRDefault="00FF14BC" w:rsidP="00505254">
      <w:pPr>
        <w:ind w:left="2552"/>
        <w:jc w:val="both"/>
        <w:rPr>
          <w:rFonts w:ascii="Arial" w:hAnsi="Arial" w:cs="Arial"/>
          <w:i/>
          <w:iCs/>
          <w:sz w:val="22"/>
          <w:szCs w:val="22"/>
        </w:rPr>
      </w:pPr>
      <w:r w:rsidRPr="00FF14BC">
        <w:rPr>
          <w:rFonts w:ascii="Arial" w:hAnsi="Arial" w:cs="Arial"/>
          <w:i/>
          <w:iCs/>
          <w:sz w:val="22"/>
          <w:szCs w:val="22"/>
        </w:rPr>
        <w:t>I - dos investimentos na execução do projeto fabril não se iniciarem em 60 (sessenta)</w:t>
      </w:r>
      <w:r>
        <w:rPr>
          <w:rFonts w:ascii="Arial" w:hAnsi="Arial" w:cs="Arial"/>
          <w:i/>
          <w:iCs/>
          <w:sz w:val="22"/>
          <w:szCs w:val="22"/>
        </w:rPr>
        <w:t xml:space="preserve"> </w:t>
      </w:r>
      <w:r w:rsidRPr="00FF14BC">
        <w:rPr>
          <w:rFonts w:ascii="Arial" w:hAnsi="Arial" w:cs="Arial"/>
          <w:i/>
          <w:iCs/>
          <w:sz w:val="22"/>
          <w:szCs w:val="22"/>
        </w:rPr>
        <w:t>dias após a liberação, junto ao FCO e BNDES, de créditos de financiamento</w:t>
      </w:r>
      <w:r>
        <w:rPr>
          <w:rFonts w:ascii="Arial" w:hAnsi="Arial" w:cs="Arial"/>
          <w:i/>
          <w:iCs/>
          <w:sz w:val="22"/>
          <w:szCs w:val="22"/>
        </w:rPr>
        <w:t xml:space="preserve"> </w:t>
      </w:r>
      <w:r w:rsidRPr="00FF14BC">
        <w:rPr>
          <w:rFonts w:ascii="Arial" w:hAnsi="Arial" w:cs="Arial"/>
          <w:i/>
          <w:iCs/>
          <w:sz w:val="22"/>
          <w:szCs w:val="22"/>
        </w:rPr>
        <w:t>considerados essenciais para a viabilidade do projeto;</w:t>
      </w:r>
    </w:p>
    <w:p w14:paraId="2C47E7E5" w14:textId="77777777" w:rsidR="00FF14BC" w:rsidRPr="00FF14BC" w:rsidRDefault="00FF14BC" w:rsidP="00505254">
      <w:pPr>
        <w:ind w:left="2552"/>
        <w:jc w:val="both"/>
        <w:rPr>
          <w:rFonts w:ascii="Arial" w:hAnsi="Arial" w:cs="Arial"/>
          <w:i/>
          <w:iCs/>
          <w:sz w:val="22"/>
          <w:szCs w:val="22"/>
        </w:rPr>
      </w:pPr>
      <w:r w:rsidRPr="00FF14BC">
        <w:rPr>
          <w:rFonts w:ascii="Arial" w:hAnsi="Arial" w:cs="Arial"/>
          <w:i/>
          <w:iCs/>
          <w:sz w:val="22"/>
          <w:szCs w:val="22"/>
        </w:rPr>
        <w:t>II - das obras ficarem paralisadas por período superior a 120 (cento e vinte) dias;</w:t>
      </w:r>
    </w:p>
    <w:p w14:paraId="3EFB1F80" w14:textId="77E07F4F" w:rsidR="00FF14BC" w:rsidRPr="00FF14BC" w:rsidRDefault="00FF14BC" w:rsidP="00505254">
      <w:pPr>
        <w:ind w:left="2552"/>
        <w:jc w:val="both"/>
        <w:rPr>
          <w:rFonts w:ascii="Arial" w:hAnsi="Arial" w:cs="Arial"/>
          <w:i/>
          <w:iCs/>
          <w:sz w:val="22"/>
          <w:szCs w:val="22"/>
        </w:rPr>
      </w:pPr>
      <w:r w:rsidRPr="00FF14BC">
        <w:rPr>
          <w:rFonts w:ascii="Arial" w:hAnsi="Arial" w:cs="Arial"/>
          <w:i/>
          <w:iCs/>
          <w:sz w:val="22"/>
          <w:szCs w:val="22"/>
        </w:rPr>
        <w:t>III - do encerramento das atividades ou destinação diversa do complexo</w:t>
      </w:r>
      <w:r>
        <w:rPr>
          <w:rFonts w:ascii="Arial" w:hAnsi="Arial" w:cs="Arial"/>
          <w:i/>
          <w:iCs/>
          <w:sz w:val="22"/>
          <w:szCs w:val="22"/>
        </w:rPr>
        <w:t xml:space="preserve"> </w:t>
      </w:r>
      <w:r w:rsidRPr="00FF14BC">
        <w:rPr>
          <w:rFonts w:ascii="Arial" w:hAnsi="Arial" w:cs="Arial"/>
          <w:i/>
          <w:iCs/>
          <w:sz w:val="22"/>
          <w:szCs w:val="22"/>
        </w:rPr>
        <w:t>agroindustrial em período inferior ao previsto no contrato firmado com a Agência de</w:t>
      </w:r>
      <w:r>
        <w:rPr>
          <w:rFonts w:ascii="Arial" w:hAnsi="Arial" w:cs="Arial"/>
          <w:i/>
          <w:iCs/>
          <w:sz w:val="22"/>
          <w:szCs w:val="22"/>
        </w:rPr>
        <w:t xml:space="preserve"> </w:t>
      </w:r>
      <w:r w:rsidRPr="00FF14BC">
        <w:rPr>
          <w:rFonts w:ascii="Arial" w:hAnsi="Arial" w:cs="Arial"/>
          <w:i/>
          <w:iCs/>
          <w:sz w:val="22"/>
          <w:szCs w:val="22"/>
        </w:rPr>
        <w:t>Fomento de Goiás S.A."</w:t>
      </w:r>
    </w:p>
    <w:p w14:paraId="2FCA08FA" w14:textId="77777777" w:rsidR="00FF14BC" w:rsidRDefault="00FF14BC" w:rsidP="00505254">
      <w:pPr>
        <w:ind w:left="2268"/>
        <w:jc w:val="both"/>
        <w:rPr>
          <w:rFonts w:ascii="Arial" w:hAnsi="Arial" w:cs="Arial"/>
          <w:sz w:val="22"/>
          <w:szCs w:val="22"/>
        </w:rPr>
      </w:pPr>
    </w:p>
    <w:p w14:paraId="109E3371" w14:textId="58B60FB2" w:rsidR="00FF14BC" w:rsidRDefault="00FF14BC" w:rsidP="00505254">
      <w:pPr>
        <w:ind w:left="2268"/>
        <w:jc w:val="both"/>
        <w:rPr>
          <w:rFonts w:ascii="Arial" w:hAnsi="Arial" w:cs="Arial"/>
          <w:sz w:val="22"/>
          <w:szCs w:val="22"/>
        </w:rPr>
      </w:pPr>
      <w:r w:rsidRPr="00FF14BC">
        <w:rPr>
          <w:rFonts w:ascii="Arial" w:hAnsi="Arial" w:cs="Arial"/>
          <w:sz w:val="22"/>
          <w:szCs w:val="22"/>
        </w:rPr>
        <w:t>Há de se observar não haver ocorrido o descumprimento de nenhumas das condições</w:t>
      </w:r>
      <w:r>
        <w:rPr>
          <w:rFonts w:ascii="Arial" w:hAnsi="Arial" w:cs="Arial"/>
          <w:sz w:val="22"/>
          <w:szCs w:val="22"/>
        </w:rPr>
        <w:t xml:space="preserve"> </w:t>
      </w:r>
      <w:r w:rsidRPr="00FF14BC">
        <w:rPr>
          <w:rFonts w:ascii="Arial" w:hAnsi="Arial" w:cs="Arial"/>
          <w:sz w:val="22"/>
          <w:szCs w:val="22"/>
        </w:rPr>
        <w:t>impostas no referido TARE, uma vez que a edificação do estabelecimento se deu de forma regular, não</w:t>
      </w:r>
      <w:r>
        <w:rPr>
          <w:rFonts w:ascii="Arial" w:hAnsi="Arial" w:cs="Arial"/>
          <w:sz w:val="22"/>
          <w:szCs w:val="22"/>
        </w:rPr>
        <w:t xml:space="preserve"> </w:t>
      </w:r>
      <w:r w:rsidRPr="00FF14BC">
        <w:rPr>
          <w:rFonts w:ascii="Arial" w:hAnsi="Arial" w:cs="Arial"/>
          <w:sz w:val="22"/>
          <w:szCs w:val="22"/>
        </w:rPr>
        <w:t>havendo que se falar em paralisação de obras ou encerramento de atividade, estando ainda hoje em</w:t>
      </w:r>
      <w:r>
        <w:rPr>
          <w:rFonts w:ascii="Arial" w:hAnsi="Arial" w:cs="Arial"/>
          <w:sz w:val="22"/>
          <w:szCs w:val="22"/>
        </w:rPr>
        <w:t xml:space="preserve"> </w:t>
      </w:r>
      <w:r w:rsidRPr="00FF14BC">
        <w:rPr>
          <w:rFonts w:ascii="Arial" w:hAnsi="Arial" w:cs="Arial"/>
          <w:sz w:val="22"/>
          <w:szCs w:val="22"/>
        </w:rPr>
        <w:t xml:space="preserve">pleno funcionamento na </w:t>
      </w:r>
      <w:r w:rsidRPr="0049293C">
        <w:rPr>
          <w:rFonts w:ascii="Arial" w:hAnsi="Arial" w:cs="Arial"/>
          <w:sz w:val="22"/>
          <w:szCs w:val="22"/>
        </w:rPr>
        <w:t xml:space="preserve">cidade de </w:t>
      </w:r>
      <w:r w:rsidR="007A08FA" w:rsidRPr="0049293C">
        <w:rPr>
          <w:rFonts w:ascii="Arial" w:hAnsi="Arial" w:cs="Arial"/>
          <w:sz w:val="22"/>
          <w:szCs w:val="22"/>
        </w:rPr>
        <w:t>[...]</w:t>
      </w:r>
      <w:r w:rsidRPr="0049293C">
        <w:rPr>
          <w:rFonts w:ascii="Arial" w:hAnsi="Arial" w:cs="Arial"/>
          <w:sz w:val="22"/>
          <w:szCs w:val="22"/>
        </w:rPr>
        <w:t>, gerando</w:t>
      </w:r>
      <w:r w:rsidRPr="00FF14BC">
        <w:rPr>
          <w:rFonts w:ascii="Arial" w:hAnsi="Arial" w:cs="Arial"/>
          <w:sz w:val="22"/>
          <w:szCs w:val="22"/>
        </w:rPr>
        <w:t xml:space="preserve"> emprego, renda e tributos em razão de</w:t>
      </w:r>
      <w:r>
        <w:rPr>
          <w:rFonts w:ascii="Arial" w:hAnsi="Arial" w:cs="Arial"/>
          <w:sz w:val="22"/>
          <w:szCs w:val="22"/>
        </w:rPr>
        <w:t xml:space="preserve"> </w:t>
      </w:r>
      <w:r w:rsidRPr="00FF14BC">
        <w:rPr>
          <w:rFonts w:ascii="Arial" w:hAnsi="Arial" w:cs="Arial"/>
          <w:sz w:val="22"/>
          <w:szCs w:val="22"/>
        </w:rPr>
        <w:t>sua atividade.</w:t>
      </w:r>
    </w:p>
    <w:p w14:paraId="19D041EA" w14:textId="77777777" w:rsidR="00E95223" w:rsidRPr="000E4EE8" w:rsidRDefault="00E95223" w:rsidP="00505254">
      <w:pPr>
        <w:spacing w:line="360" w:lineRule="auto"/>
        <w:jc w:val="both"/>
        <w:rPr>
          <w:rFonts w:ascii="Arial" w:hAnsi="Arial" w:cs="Arial"/>
          <w:sz w:val="24"/>
          <w:szCs w:val="24"/>
        </w:rPr>
      </w:pPr>
    </w:p>
    <w:p w14:paraId="0653270A" w14:textId="2AAF8645" w:rsidR="00065C54" w:rsidRPr="000E4EE8" w:rsidRDefault="00065C54" w:rsidP="00505254">
      <w:pPr>
        <w:ind w:left="2268"/>
        <w:jc w:val="both"/>
        <w:rPr>
          <w:rFonts w:ascii="Arial" w:hAnsi="Arial" w:cs="Arial"/>
          <w:b/>
          <w:sz w:val="22"/>
          <w:szCs w:val="22"/>
          <w:u w:val="single"/>
        </w:rPr>
      </w:pPr>
      <w:r w:rsidRPr="000E4EE8">
        <w:rPr>
          <w:rFonts w:ascii="Arial" w:hAnsi="Arial" w:cs="Arial"/>
          <w:b/>
          <w:sz w:val="22"/>
          <w:szCs w:val="22"/>
          <w:u w:val="single"/>
        </w:rPr>
        <w:t xml:space="preserve">MANIFESTAÇÃO Nº </w:t>
      </w:r>
      <w:r w:rsidR="000E4EE8" w:rsidRPr="000E4EE8">
        <w:rPr>
          <w:rFonts w:ascii="Arial" w:hAnsi="Arial" w:cs="Arial"/>
          <w:sz w:val="22"/>
          <w:szCs w:val="22"/>
        </w:rPr>
        <w:t>[...]</w:t>
      </w:r>
    </w:p>
    <w:p w14:paraId="4139DCD4" w14:textId="14D9B06E" w:rsidR="00054562" w:rsidRPr="000E4EE8" w:rsidRDefault="00054562" w:rsidP="00505254">
      <w:pPr>
        <w:ind w:left="2268"/>
        <w:jc w:val="both"/>
        <w:rPr>
          <w:rFonts w:ascii="Arial" w:hAnsi="Arial" w:cs="Arial"/>
          <w:sz w:val="22"/>
          <w:szCs w:val="22"/>
        </w:rPr>
      </w:pPr>
      <w:r w:rsidRPr="000E4EE8">
        <w:rPr>
          <w:rFonts w:ascii="Arial" w:hAnsi="Arial" w:cs="Arial"/>
          <w:sz w:val="22"/>
          <w:szCs w:val="22"/>
        </w:rPr>
        <w:lastRenderedPageBreak/>
        <w:t xml:space="preserve">Em cumprimento ao Despacho nº </w:t>
      </w:r>
      <w:r w:rsidR="000E4EE8" w:rsidRPr="000E4EE8">
        <w:rPr>
          <w:rFonts w:ascii="Arial" w:hAnsi="Arial" w:cs="Arial"/>
          <w:sz w:val="22"/>
          <w:szCs w:val="22"/>
        </w:rPr>
        <w:t>[...]</w:t>
      </w:r>
      <w:r w:rsidRPr="000E4EE8">
        <w:rPr>
          <w:rFonts w:ascii="Arial" w:hAnsi="Arial" w:cs="Arial"/>
          <w:sz w:val="22"/>
          <w:szCs w:val="22"/>
        </w:rPr>
        <w:t xml:space="preserve">, vimos pelo presente oferecer nossa manifestação quanto ao cumprimento das disposições contidas no TARE </w:t>
      </w:r>
      <w:r w:rsidR="007A08FA" w:rsidRPr="000E4EE8">
        <w:rPr>
          <w:rFonts w:ascii="Arial" w:hAnsi="Arial" w:cs="Arial"/>
          <w:sz w:val="22"/>
          <w:szCs w:val="22"/>
        </w:rPr>
        <w:t>[...]</w:t>
      </w:r>
      <w:r w:rsidRPr="000E4EE8">
        <w:rPr>
          <w:rFonts w:ascii="Arial" w:hAnsi="Arial" w:cs="Arial"/>
          <w:sz w:val="22"/>
          <w:szCs w:val="22"/>
        </w:rPr>
        <w:t xml:space="preserve">, concedido à empresa </w:t>
      </w:r>
      <w:r w:rsidR="007A08FA" w:rsidRPr="000E4EE8">
        <w:rPr>
          <w:rFonts w:ascii="Arial" w:hAnsi="Arial" w:cs="Arial"/>
          <w:sz w:val="22"/>
          <w:szCs w:val="22"/>
        </w:rPr>
        <w:t>[...]</w:t>
      </w:r>
      <w:r w:rsidRPr="000E4EE8">
        <w:rPr>
          <w:rFonts w:ascii="Arial" w:hAnsi="Arial" w:cs="Arial"/>
          <w:sz w:val="22"/>
          <w:szCs w:val="22"/>
        </w:rPr>
        <w:t>.</w:t>
      </w:r>
    </w:p>
    <w:p w14:paraId="2A1B7778" w14:textId="7DDF32D2" w:rsidR="00054562" w:rsidRPr="000E4EE8" w:rsidRDefault="00054562" w:rsidP="00505254">
      <w:pPr>
        <w:ind w:left="2268"/>
        <w:jc w:val="both"/>
        <w:rPr>
          <w:rFonts w:ascii="Arial" w:hAnsi="Arial" w:cs="Arial"/>
          <w:sz w:val="22"/>
          <w:szCs w:val="22"/>
        </w:rPr>
      </w:pPr>
      <w:r w:rsidRPr="000E4EE8">
        <w:rPr>
          <w:rFonts w:ascii="Arial" w:hAnsi="Arial" w:cs="Arial"/>
          <w:sz w:val="22"/>
          <w:szCs w:val="22"/>
        </w:rPr>
        <w:t>O referido TARE autoriza a acordante a escriturar como crédito do ICMS o montante equivalente à aplicação do percentual de:</w:t>
      </w:r>
    </w:p>
    <w:p w14:paraId="46F515FC" w14:textId="77777777" w:rsidR="00054562" w:rsidRPr="000E4EE8" w:rsidRDefault="00054562" w:rsidP="00505254">
      <w:pPr>
        <w:ind w:left="2268"/>
        <w:jc w:val="both"/>
        <w:rPr>
          <w:rFonts w:ascii="Arial" w:hAnsi="Arial" w:cs="Arial"/>
          <w:i/>
          <w:iCs/>
          <w:sz w:val="22"/>
          <w:szCs w:val="22"/>
        </w:rPr>
      </w:pPr>
    </w:p>
    <w:p w14:paraId="10B96F86" w14:textId="7F0C7F10" w:rsidR="00054562" w:rsidRPr="000E4EE8" w:rsidRDefault="0049293C" w:rsidP="00505254">
      <w:pPr>
        <w:ind w:left="2552"/>
        <w:jc w:val="both"/>
        <w:rPr>
          <w:rFonts w:ascii="Arial" w:hAnsi="Arial" w:cs="Arial"/>
          <w:iCs/>
          <w:sz w:val="20"/>
        </w:rPr>
      </w:pPr>
      <w:r w:rsidRPr="000E4EE8">
        <w:rPr>
          <w:rFonts w:ascii="Arial" w:hAnsi="Arial" w:cs="Arial"/>
          <w:iCs/>
          <w:sz w:val="20"/>
        </w:rPr>
        <w:t>[...]</w:t>
      </w:r>
    </w:p>
    <w:p w14:paraId="08CCDA80" w14:textId="77777777" w:rsidR="00054562" w:rsidRPr="000E4EE8" w:rsidRDefault="00054562" w:rsidP="00505254">
      <w:pPr>
        <w:ind w:left="2268"/>
        <w:jc w:val="both"/>
        <w:rPr>
          <w:rFonts w:ascii="Arial" w:hAnsi="Arial" w:cs="Arial"/>
          <w:i/>
          <w:iCs/>
          <w:sz w:val="22"/>
          <w:szCs w:val="22"/>
        </w:rPr>
      </w:pPr>
    </w:p>
    <w:p w14:paraId="21151605" w14:textId="0B0B98E3" w:rsidR="00054562" w:rsidRPr="000E4EE8" w:rsidRDefault="00054562" w:rsidP="00505254">
      <w:pPr>
        <w:ind w:left="2268"/>
        <w:jc w:val="both"/>
        <w:rPr>
          <w:rFonts w:ascii="Arial" w:hAnsi="Arial" w:cs="Arial"/>
          <w:sz w:val="22"/>
          <w:szCs w:val="22"/>
        </w:rPr>
      </w:pPr>
      <w:r w:rsidRPr="000E4EE8">
        <w:rPr>
          <w:rFonts w:ascii="Arial" w:hAnsi="Arial" w:cs="Arial"/>
          <w:sz w:val="22"/>
          <w:szCs w:val="22"/>
        </w:rPr>
        <w:t xml:space="preserve">Com relação ao TARE </w:t>
      </w:r>
      <w:r w:rsidR="0049293C" w:rsidRPr="000E4EE8">
        <w:rPr>
          <w:rFonts w:ascii="Arial" w:hAnsi="Arial" w:cs="Arial"/>
          <w:sz w:val="22"/>
          <w:szCs w:val="22"/>
        </w:rPr>
        <w:t>[...]</w:t>
      </w:r>
      <w:r w:rsidRPr="000E4EE8">
        <w:rPr>
          <w:rFonts w:ascii="Arial" w:hAnsi="Arial" w:cs="Arial"/>
          <w:sz w:val="22"/>
          <w:szCs w:val="22"/>
        </w:rPr>
        <w:t xml:space="preserve">, no período de </w:t>
      </w:r>
      <w:r w:rsidR="000E4EE8" w:rsidRPr="000E4EE8">
        <w:rPr>
          <w:rFonts w:ascii="Arial" w:hAnsi="Arial" w:cs="Arial"/>
          <w:sz w:val="22"/>
          <w:szCs w:val="22"/>
        </w:rPr>
        <w:t>[...]</w:t>
      </w:r>
      <w:r w:rsidRPr="000E4EE8">
        <w:rPr>
          <w:rFonts w:ascii="Arial" w:hAnsi="Arial" w:cs="Arial"/>
          <w:sz w:val="22"/>
          <w:szCs w:val="22"/>
        </w:rPr>
        <w:t xml:space="preserve">, conforme a ordem de serviço n° </w:t>
      </w:r>
      <w:r w:rsidR="000E4EE8" w:rsidRPr="000E4EE8">
        <w:rPr>
          <w:rFonts w:ascii="Arial" w:hAnsi="Arial" w:cs="Arial"/>
          <w:sz w:val="22"/>
          <w:szCs w:val="22"/>
        </w:rPr>
        <w:t>[...]</w:t>
      </w:r>
      <w:r w:rsidRPr="000E4EE8">
        <w:rPr>
          <w:rFonts w:ascii="Arial" w:hAnsi="Arial" w:cs="Arial"/>
          <w:sz w:val="22"/>
          <w:szCs w:val="22"/>
        </w:rPr>
        <w:t xml:space="preserve">, e seguindo as instruções contidas no despacho </w:t>
      </w:r>
      <w:r w:rsidR="000E4EE8" w:rsidRPr="000E4EE8">
        <w:rPr>
          <w:rFonts w:ascii="Arial" w:hAnsi="Arial" w:cs="Arial"/>
          <w:sz w:val="22"/>
          <w:szCs w:val="22"/>
        </w:rPr>
        <w:t>[...]</w:t>
      </w:r>
      <w:r w:rsidRPr="000E4EE8">
        <w:rPr>
          <w:rFonts w:ascii="Arial" w:hAnsi="Arial" w:cs="Arial"/>
          <w:sz w:val="22"/>
          <w:szCs w:val="22"/>
        </w:rPr>
        <w:t>, após análise da</w:t>
      </w:r>
      <w:r w:rsidR="00EC0627" w:rsidRPr="000E4EE8">
        <w:rPr>
          <w:rFonts w:ascii="Arial" w:hAnsi="Arial" w:cs="Arial"/>
          <w:sz w:val="22"/>
          <w:szCs w:val="22"/>
        </w:rPr>
        <w:t xml:space="preserve"> </w:t>
      </w:r>
      <w:r w:rsidRPr="000E4EE8">
        <w:rPr>
          <w:rFonts w:ascii="Arial" w:hAnsi="Arial" w:cs="Arial"/>
          <w:sz w:val="22"/>
          <w:szCs w:val="22"/>
        </w:rPr>
        <w:t>Escrituração Fiscal Digital (EFD); ficou constatada a regularidade dos procedimentos no período em</w:t>
      </w:r>
      <w:r w:rsidR="00EC0627" w:rsidRPr="000E4EE8">
        <w:rPr>
          <w:rFonts w:ascii="Arial" w:hAnsi="Arial" w:cs="Arial"/>
          <w:sz w:val="22"/>
          <w:szCs w:val="22"/>
        </w:rPr>
        <w:t xml:space="preserve"> </w:t>
      </w:r>
      <w:r w:rsidRPr="000E4EE8">
        <w:rPr>
          <w:rFonts w:ascii="Arial" w:hAnsi="Arial" w:cs="Arial"/>
          <w:sz w:val="22"/>
          <w:szCs w:val="22"/>
        </w:rPr>
        <w:t>questão.</w:t>
      </w:r>
    </w:p>
    <w:p w14:paraId="15A5F980" w14:textId="77777777" w:rsidR="00FA1853" w:rsidRDefault="00FA1853" w:rsidP="00A9253D">
      <w:pPr>
        <w:spacing w:line="360" w:lineRule="auto"/>
        <w:ind w:firstLine="851"/>
        <w:jc w:val="both"/>
        <w:rPr>
          <w:rFonts w:ascii="Arial" w:hAnsi="Arial" w:cs="Arial"/>
          <w:sz w:val="24"/>
          <w:szCs w:val="24"/>
        </w:rPr>
      </w:pPr>
    </w:p>
    <w:p w14:paraId="32FF1BCE" w14:textId="2C8E5589" w:rsidR="00431F5A" w:rsidRDefault="00EC0627" w:rsidP="00A9253D">
      <w:pPr>
        <w:spacing w:line="360" w:lineRule="auto"/>
        <w:ind w:firstLine="851"/>
        <w:jc w:val="both"/>
        <w:rPr>
          <w:rFonts w:ascii="Arial" w:hAnsi="Arial" w:cs="Arial"/>
          <w:sz w:val="24"/>
          <w:szCs w:val="24"/>
        </w:rPr>
      </w:pPr>
      <w:r>
        <w:rPr>
          <w:rFonts w:ascii="Arial" w:hAnsi="Arial" w:cs="Arial"/>
          <w:sz w:val="24"/>
          <w:szCs w:val="24"/>
        </w:rPr>
        <w:t xml:space="preserve">Aqui </w:t>
      </w:r>
      <w:r w:rsidRPr="0042108F">
        <w:rPr>
          <w:rFonts w:ascii="Arial" w:hAnsi="Arial" w:cs="Arial"/>
          <w:sz w:val="24"/>
          <w:szCs w:val="24"/>
          <w:u w:val="single"/>
        </w:rPr>
        <w:t xml:space="preserve">chama a atenção novamente simples menção à regularidade, </w:t>
      </w:r>
      <w:r w:rsidR="004D7B77" w:rsidRPr="0042108F">
        <w:rPr>
          <w:rFonts w:ascii="Arial" w:hAnsi="Arial" w:cs="Arial"/>
          <w:sz w:val="24"/>
          <w:szCs w:val="24"/>
          <w:u w:val="single"/>
        </w:rPr>
        <w:t>sem explicar maiores detalhes acerca da metodologia empregada; dos valores escriturados pelo contribuinte; dos valores mínimos exigidos pelo TARE</w:t>
      </w:r>
      <w:r w:rsidR="000F3A5C" w:rsidRPr="0042108F">
        <w:rPr>
          <w:rFonts w:ascii="Arial" w:hAnsi="Arial" w:cs="Arial"/>
          <w:sz w:val="24"/>
          <w:szCs w:val="24"/>
          <w:u w:val="single"/>
        </w:rPr>
        <w:t xml:space="preserve"> e outros aspectos pertinentes</w:t>
      </w:r>
      <w:r w:rsidR="004D7B77">
        <w:rPr>
          <w:rFonts w:ascii="Arial" w:hAnsi="Arial" w:cs="Arial"/>
          <w:sz w:val="24"/>
          <w:szCs w:val="24"/>
        </w:rPr>
        <w:t xml:space="preserve">. Não houve também menção a qualquer glosa de valores, o que deixa implícito que houve concordância do auditor fiscal em relação 100% (cem por cento) dos valores informados </w:t>
      </w:r>
      <w:r w:rsidR="00F11ACB">
        <w:rPr>
          <w:rFonts w:ascii="Arial" w:hAnsi="Arial" w:cs="Arial"/>
          <w:sz w:val="24"/>
          <w:szCs w:val="24"/>
        </w:rPr>
        <w:t xml:space="preserve">ou apresentados </w:t>
      </w:r>
      <w:r w:rsidR="004D7B77">
        <w:rPr>
          <w:rFonts w:ascii="Arial" w:hAnsi="Arial" w:cs="Arial"/>
          <w:sz w:val="24"/>
          <w:szCs w:val="24"/>
        </w:rPr>
        <w:t>pelo contribuinte</w:t>
      </w:r>
      <w:r w:rsidR="00F11ACB">
        <w:rPr>
          <w:rFonts w:ascii="Arial" w:hAnsi="Arial" w:cs="Arial"/>
          <w:sz w:val="24"/>
          <w:szCs w:val="24"/>
        </w:rPr>
        <w:t xml:space="preserve">, provavelmente também sem uma fiscalização </w:t>
      </w:r>
      <w:r w:rsidR="00F11ACB" w:rsidRPr="00F11ACB">
        <w:rPr>
          <w:rFonts w:ascii="Arial" w:hAnsi="Arial" w:cs="Arial"/>
          <w:i/>
          <w:sz w:val="24"/>
          <w:szCs w:val="24"/>
        </w:rPr>
        <w:t>in loco</w:t>
      </w:r>
      <w:r w:rsidR="004D7B77">
        <w:rPr>
          <w:rFonts w:ascii="Arial" w:hAnsi="Arial" w:cs="Arial"/>
          <w:sz w:val="24"/>
          <w:szCs w:val="24"/>
        </w:rPr>
        <w:t>.</w:t>
      </w:r>
    </w:p>
    <w:p w14:paraId="6B742649" w14:textId="77777777" w:rsidR="00B304AE" w:rsidRDefault="00B304AE" w:rsidP="00A9253D">
      <w:pPr>
        <w:spacing w:line="360" w:lineRule="auto"/>
        <w:ind w:firstLine="851"/>
        <w:jc w:val="both"/>
        <w:rPr>
          <w:rFonts w:ascii="Arial" w:hAnsi="Arial" w:cs="Arial"/>
          <w:sz w:val="24"/>
          <w:szCs w:val="24"/>
        </w:rPr>
      </w:pPr>
    </w:p>
    <w:p w14:paraId="1DB27361" w14:textId="5584D411" w:rsidR="001D05BA" w:rsidRPr="000E4EE8" w:rsidRDefault="001D05BA" w:rsidP="001D05BA">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w:t>
      </w:r>
      <w:r>
        <w:rPr>
          <w:rFonts w:ascii="Arial" w:hAnsi="Arial" w:cs="Arial"/>
          <w:b/>
          <w:sz w:val="24"/>
          <w:szCs w:val="24"/>
        </w:rPr>
        <w:t>2.4</w:t>
      </w:r>
      <w:r w:rsidRPr="0031082B">
        <w:rPr>
          <w:rFonts w:ascii="Arial" w:hAnsi="Arial" w:cs="Arial"/>
          <w:b/>
          <w:sz w:val="24"/>
          <w:szCs w:val="24"/>
        </w:rPr>
        <w:t>.</w:t>
      </w:r>
      <w:r>
        <w:rPr>
          <w:rFonts w:ascii="Arial" w:hAnsi="Arial" w:cs="Arial"/>
          <w:b/>
          <w:sz w:val="24"/>
          <w:szCs w:val="24"/>
        </w:rPr>
        <w:t>2</w:t>
      </w:r>
      <w:r w:rsidRPr="008E54B5">
        <w:rPr>
          <w:rFonts w:ascii="Arial" w:hAnsi="Arial" w:cs="Arial"/>
          <w:b/>
          <w:sz w:val="24"/>
          <w:szCs w:val="24"/>
        </w:rPr>
        <w:t>.</w:t>
      </w:r>
      <w:r w:rsidR="00FA1853">
        <w:rPr>
          <w:rFonts w:ascii="Arial" w:hAnsi="Arial" w:cs="Arial"/>
          <w:b/>
          <w:sz w:val="24"/>
          <w:szCs w:val="24"/>
        </w:rPr>
        <w:t>3</w:t>
      </w:r>
      <w:r>
        <w:rPr>
          <w:rFonts w:ascii="Arial" w:hAnsi="Arial" w:cs="Arial"/>
          <w:b/>
          <w:sz w:val="24"/>
          <w:szCs w:val="24"/>
        </w:rPr>
        <w:t xml:space="preserve">. </w:t>
      </w:r>
      <w:r w:rsidRPr="006E4C7E">
        <w:rPr>
          <w:rFonts w:ascii="Arial" w:hAnsi="Arial" w:cs="Arial"/>
          <w:sz w:val="24"/>
          <w:szCs w:val="24"/>
        </w:rPr>
        <w:t>O</w:t>
      </w:r>
      <w:r>
        <w:rPr>
          <w:rFonts w:ascii="Arial" w:hAnsi="Arial" w:cs="Arial"/>
          <w:sz w:val="24"/>
          <w:szCs w:val="24"/>
        </w:rPr>
        <w:t>utro relat</w:t>
      </w:r>
      <w:r w:rsidR="00FA1853">
        <w:rPr>
          <w:rFonts w:ascii="Arial" w:hAnsi="Arial" w:cs="Arial"/>
          <w:sz w:val="24"/>
          <w:szCs w:val="24"/>
        </w:rPr>
        <w:t>ório</w:t>
      </w:r>
      <w:r>
        <w:rPr>
          <w:rFonts w:ascii="Arial" w:hAnsi="Arial" w:cs="Arial"/>
          <w:sz w:val="24"/>
          <w:szCs w:val="24"/>
        </w:rPr>
        <w:t xml:space="preserve"> fornecido a esta CPI </w:t>
      </w:r>
      <w:r w:rsidR="005E7A19">
        <w:rPr>
          <w:rFonts w:ascii="Arial" w:hAnsi="Arial" w:cs="Arial"/>
          <w:sz w:val="24"/>
          <w:szCs w:val="24"/>
        </w:rPr>
        <w:t xml:space="preserve">novamente </w:t>
      </w:r>
      <w:r w:rsidR="00562C06">
        <w:rPr>
          <w:rFonts w:ascii="Arial" w:hAnsi="Arial" w:cs="Arial"/>
          <w:sz w:val="24"/>
          <w:szCs w:val="24"/>
        </w:rPr>
        <w:t xml:space="preserve">frisa o caráter meramente fiscal da análise efetuada e aponta para a necessidade de fiscalização complementar pela </w:t>
      </w:r>
      <w:r w:rsidR="00D4656C">
        <w:rPr>
          <w:rFonts w:ascii="Arial" w:hAnsi="Arial" w:cs="Arial"/>
          <w:sz w:val="24"/>
          <w:szCs w:val="24"/>
        </w:rPr>
        <w:t xml:space="preserve">Gerência </w:t>
      </w:r>
      <w:r w:rsidR="00562C06">
        <w:rPr>
          <w:rFonts w:ascii="Arial" w:hAnsi="Arial" w:cs="Arial"/>
          <w:sz w:val="24"/>
          <w:szCs w:val="24"/>
        </w:rPr>
        <w:t>de Controle de Benefícios e Incentivos Fiscais, nos seguintes termos</w:t>
      </w:r>
      <w:r w:rsidR="00FA1853">
        <w:rPr>
          <w:rFonts w:ascii="Arial" w:hAnsi="Arial" w:cs="Arial"/>
          <w:sz w:val="24"/>
          <w:szCs w:val="24"/>
        </w:rPr>
        <w:t>:</w:t>
      </w:r>
    </w:p>
    <w:p w14:paraId="2A61BB0E" w14:textId="06C519FE" w:rsidR="00562C06" w:rsidRPr="000E4EE8" w:rsidRDefault="00562C06" w:rsidP="001D05BA">
      <w:pPr>
        <w:spacing w:line="360" w:lineRule="auto"/>
        <w:ind w:firstLine="851"/>
        <w:jc w:val="both"/>
        <w:rPr>
          <w:rFonts w:ascii="Arial" w:hAnsi="Arial" w:cs="Arial"/>
          <w:sz w:val="24"/>
          <w:szCs w:val="24"/>
        </w:rPr>
      </w:pPr>
    </w:p>
    <w:p w14:paraId="2419C7CC" w14:textId="125FDD60" w:rsidR="00590B2A" w:rsidRPr="000E4EE8" w:rsidRDefault="00590B2A" w:rsidP="00505254">
      <w:pPr>
        <w:ind w:left="2268"/>
        <w:jc w:val="both"/>
        <w:rPr>
          <w:rFonts w:ascii="Arial" w:hAnsi="Arial" w:cs="Arial"/>
          <w:b/>
          <w:sz w:val="22"/>
          <w:szCs w:val="22"/>
          <w:u w:val="single"/>
        </w:rPr>
      </w:pPr>
      <w:r w:rsidRPr="000E4EE8">
        <w:rPr>
          <w:rFonts w:ascii="Arial" w:hAnsi="Arial" w:cs="Arial"/>
          <w:b/>
          <w:sz w:val="22"/>
          <w:szCs w:val="22"/>
          <w:u w:val="single"/>
        </w:rPr>
        <w:t xml:space="preserve">DESPACHO Nº </w:t>
      </w:r>
      <w:r w:rsidR="000E4EE8" w:rsidRPr="000E4EE8">
        <w:rPr>
          <w:rFonts w:ascii="Arial" w:hAnsi="Arial" w:cs="Arial"/>
          <w:sz w:val="22"/>
          <w:szCs w:val="22"/>
        </w:rPr>
        <w:t>[...]</w:t>
      </w:r>
    </w:p>
    <w:p w14:paraId="4391A51A" w14:textId="3114320C" w:rsidR="005C0133" w:rsidRPr="000E4EE8" w:rsidRDefault="005C0133" w:rsidP="00505254">
      <w:pPr>
        <w:ind w:left="2268"/>
        <w:jc w:val="both"/>
        <w:rPr>
          <w:rFonts w:ascii="Arial" w:hAnsi="Arial" w:cs="Arial"/>
          <w:sz w:val="22"/>
          <w:szCs w:val="22"/>
        </w:rPr>
      </w:pPr>
      <w:r w:rsidRPr="000E4EE8">
        <w:rPr>
          <w:rFonts w:ascii="Arial" w:hAnsi="Arial" w:cs="Arial"/>
          <w:sz w:val="22"/>
          <w:szCs w:val="22"/>
        </w:rPr>
        <w:t>[...].</w:t>
      </w:r>
    </w:p>
    <w:p w14:paraId="2EE8AA14" w14:textId="57752177" w:rsidR="00562C06" w:rsidRPr="00FA1853" w:rsidRDefault="00562C06" w:rsidP="00505254">
      <w:pPr>
        <w:ind w:left="2268"/>
        <w:jc w:val="both"/>
        <w:rPr>
          <w:rFonts w:ascii="Arial" w:hAnsi="Arial" w:cs="Arial"/>
          <w:sz w:val="22"/>
          <w:szCs w:val="22"/>
        </w:rPr>
      </w:pPr>
      <w:r w:rsidRPr="000E4EE8">
        <w:rPr>
          <w:rFonts w:ascii="Arial" w:hAnsi="Arial" w:cs="Arial"/>
          <w:sz w:val="22"/>
          <w:szCs w:val="22"/>
        </w:rPr>
        <w:t xml:space="preserve">Primeiramente, esclarecemos que o atendimento à presente solicitação levou em consideração os termos </w:t>
      </w:r>
      <w:r w:rsidRPr="00FA1853">
        <w:rPr>
          <w:rFonts w:ascii="Arial" w:hAnsi="Arial" w:cs="Arial"/>
          <w:sz w:val="22"/>
          <w:szCs w:val="22"/>
        </w:rPr>
        <w:t xml:space="preserve">da Lei nº 13.266/98 </w:t>
      </w:r>
      <w:r w:rsidRPr="00FA1853">
        <w:rPr>
          <w:rFonts w:ascii="Arial" w:hAnsi="Arial" w:cs="Arial"/>
          <w:i/>
          <w:iCs/>
          <w:sz w:val="22"/>
          <w:szCs w:val="22"/>
        </w:rPr>
        <w:t xml:space="preserve">(carreira do Fisco Goiano) </w:t>
      </w:r>
      <w:r w:rsidRPr="00FA1853">
        <w:rPr>
          <w:rFonts w:ascii="Arial" w:hAnsi="Arial" w:cs="Arial"/>
          <w:sz w:val="22"/>
          <w:szCs w:val="22"/>
        </w:rPr>
        <w:t>que especifica, no seu art. 4º, que as atribuições</w:t>
      </w:r>
      <w:r>
        <w:rPr>
          <w:rFonts w:ascii="Arial" w:hAnsi="Arial" w:cs="Arial"/>
          <w:sz w:val="22"/>
          <w:szCs w:val="22"/>
        </w:rPr>
        <w:t xml:space="preserve"> </w:t>
      </w:r>
      <w:r w:rsidRPr="00FA1853">
        <w:rPr>
          <w:rFonts w:ascii="Arial" w:hAnsi="Arial" w:cs="Arial"/>
          <w:sz w:val="22"/>
          <w:szCs w:val="22"/>
        </w:rPr>
        <w:t>conferidas aos funcionários fiscais são de natureza “estritamente” tributárias, vedando tarefas ou serviços</w:t>
      </w:r>
      <w:r>
        <w:rPr>
          <w:rFonts w:ascii="Arial" w:hAnsi="Arial" w:cs="Arial"/>
          <w:sz w:val="22"/>
          <w:szCs w:val="22"/>
        </w:rPr>
        <w:t xml:space="preserve"> </w:t>
      </w:r>
      <w:r w:rsidRPr="00FA1853">
        <w:rPr>
          <w:rFonts w:ascii="Arial" w:hAnsi="Arial" w:cs="Arial"/>
          <w:sz w:val="22"/>
          <w:szCs w:val="22"/>
        </w:rPr>
        <w:t>diversos daqueles que são típicos de seu cargo. Na própria Superintendência Executiva da Receita</w:t>
      </w:r>
      <w:r>
        <w:rPr>
          <w:rFonts w:ascii="Arial" w:hAnsi="Arial" w:cs="Arial"/>
          <w:sz w:val="22"/>
          <w:szCs w:val="22"/>
        </w:rPr>
        <w:t xml:space="preserve"> </w:t>
      </w:r>
      <w:r w:rsidRPr="00FA1853">
        <w:rPr>
          <w:rFonts w:ascii="Arial" w:hAnsi="Arial" w:cs="Arial"/>
          <w:sz w:val="22"/>
          <w:szCs w:val="22"/>
        </w:rPr>
        <w:t>Estadual – SER, mais especificamente dentro da estrutura da Superintendência de Política Tributária –</w:t>
      </w:r>
      <w:r>
        <w:rPr>
          <w:rFonts w:ascii="Arial" w:hAnsi="Arial" w:cs="Arial"/>
          <w:sz w:val="22"/>
          <w:szCs w:val="22"/>
        </w:rPr>
        <w:t xml:space="preserve"> </w:t>
      </w:r>
      <w:r w:rsidRPr="00FA1853">
        <w:rPr>
          <w:rFonts w:ascii="Arial" w:hAnsi="Arial" w:cs="Arial"/>
          <w:sz w:val="22"/>
          <w:szCs w:val="22"/>
        </w:rPr>
        <w:t>SPT, funcionava a Gerência de Controle de Benefícios e Incentivos Fiscais – GCIF com profissionais</w:t>
      </w:r>
      <w:r>
        <w:rPr>
          <w:rFonts w:ascii="Arial" w:hAnsi="Arial" w:cs="Arial"/>
          <w:sz w:val="22"/>
          <w:szCs w:val="22"/>
        </w:rPr>
        <w:t xml:space="preserve"> </w:t>
      </w:r>
      <w:r w:rsidRPr="00FA1853">
        <w:rPr>
          <w:rFonts w:ascii="Arial" w:hAnsi="Arial" w:cs="Arial"/>
          <w:sz w:val="22"/>
          <w:szCs w:val="22"/>
        </w:rPr>
        <w:t>dotados de expertise em temáticas que extrapolavam os aspectos tributários.</w:t>
      </w:r>
    </w:p>
    <w:p w14:paraId="2ED1817B" w14:textId="3D55DE84" w:rsidR="00562C06" w:rsidRPr="00FA1853" w:rsidRDefault="00562C06" w:rsidP="00505254">
      <w:pPr>
        <w:ind w:left="2268"/>
        <w:jc w:val="both"/>
        <w:rPr>
          <w:rFonts w:ascii="Arial" w:hAnsi="Arial" w:cs="Arial"/>
          <w:sz w:val="22"/>
          <w:szCs w:val="22"/>
        </w:rPr>
      </w:pPr>
      <w:r w:rsidRPr="00FA1853">
        <w:rPr>
          <w:rFonts w:ascii="Arial" w:hAnsi="Arial" w:cs="Arial"/>
          <w:sz w:val="22"/>
          <w:szCs w:val="22"/>
        </w:rPr>
        <w:t>Pois bem, para análise do cumprimento de qualquer condição pactuada em contrato, presume-se a</w:t>
      </w:r>
      <w:r>
        <w:rPr>
          <w:rFonts w:ascii="Arial" w:hAnsi="Arial" w:cs="Arial"/>
          <w:sz w:val="22"/>
          <w:szCs w:val="22"/>
        </w:rPr>
        <w:t xml:space="preserve"> </w:t>
      </w:r>
      <w:r w:rsidRPr="00FA1853">
        <w:rPr>
          <w:rFonts w:ascii="Arial" w:hAnsi="Arial" w:cs="Arial"/>
          <w:sz w:val="22"/>
          <w:szCs w:val="22"/>
        </w:rPr>
        <w:t>existência de um prazo definido em norma para que o referido trabalho seja exequível; prazo este que</w:t>
      </w:r>
      <w:r>
        <w:rPr>
          <w:rFonts w:ascii="Arial" w:hAnsi="Arial" w:cs="Arial"/>
          <w:sz w:val="22"/>
          <w:szCs w:val="22"/>
        </w:rPr>
        <w:t xml:space="preserve"> </w:t>
      </w:r>
      <w:r w:rsidRPr="00FA1853">
        <w:rPr>
          <w:rFonts w:ascii="Arial" w:hAnsi="Arial" w:cs="Arial"/>
          <w:sz w:val="22"/>
          <w:szCs w:val="22"/>
        </w:rPr>
        <w:t>deveria estar indicado em termos claros, não deixando espaço para interpretações. Por exemplo, a</w:t>
      </w:r>
      <w:r>
        <w:rPr>
          <w:rFonts w:ascii="Arial" w:hAnsi="Arial" w:cs="Arial"/>
          <w:sz w:val="22"/>
          <w:szCs w:val="22"/>
        </w:rPr>
        <w:t xml:space="preserve"> </w:t>
      </w:r>
      <w:r w:rsidRPr="00FA1853">
        <w:rPr>
          <w:rFonts w:ascii="Arial" w:hAnsi="Arial" w:cs="Arial"/>
          <w:sz w:val="22"/>
          <w:szCs w:val="22"/>
        </w:rPr>
        <w:t>conferência da condição imposta à acordante por meio do item II da cláusula terceira do TERMO DE</w:t>
      </w:r>
      <w:r>
        <w:rPr>
          <w:rFonts w:ascii="Arial" w:hAnsi="Arial" w:cs="Arial"/>
          <w:sz w:val="22"/>
          <w:szCs w:val="22"/>
        </w:rPr>
        <w:t xml:space="preserve"> </w:t>
      </w:r>
      <w:r w:rsidRPr="00FA1853">
        <w:rPr>
          <w:rFonts w:ascii="Arial" w:hAnsi="Arial" w:cs="Arial"/>
          <w:sz w:val="22"/>
          <w:szCs w:val="22"/>
        </w:rPr>
        <w:t xml:space="preserve">ACORDO nº </w:t>
      </w:r>
      <w:r w:rsidR="00D4656C">
        <w:rPr>
          <w:rFonts w:ascii="Arial" w:hAnsi="Arial" w:cs="Arial"/>
          <w:sz w:val="22"/>
          <w:szCs w:val="22"/>
        </w:rPr>
        <w:t>[...]</w:t>
      </w:r>
      <w:r w:rsidRPr="00FA1853">
        <w:rPr>
          <w:rFonts w:ascii="Arial" w:hAnsi="Arial" w:cs="Arial"/>
          <w:sz w:val="22"/>
          <w:szCs w:val="22"/>
        </w:rPr>
        <w:t>, foi realizada tendo como referência o prazo definido pelo Protocolo de</w:t>
      </w:r>
      <w:r>
        <w:rPr>
          <w:rFonts w:ascii="Arial" w:hAnsi="Arial" w:cs="Arial"/>
          <w:sz w:val="22"/>
          <w:szCs w:val="22"/>
        </w:rPr>
        <w:t xml:space="preserve"> </w:t>
      </w:r>
      <w:r w:rsidRPr="00FA1853">
        <w:rPr>
          <w:rFonts w:ascii="Arial" w:hAnsi="Arial" w:cs="Arial"/>
          <w:sz w:val="22"/>
          <w:szCs w:val="22"/>
        </w:rPr>
        <w:t xml:space="preserve">Intensões </w:t>
      </w:r>
      <w:r w:rsidR="0042108F">
        <w:rPr>
          <w:rFonts w:ascii="Arial" w:hAnsi="Arial" w:cs="Arial"/>
          <w:sz w:val="22"/>
          <w:szCs w:val="22"/>
        </w:rPr>
        <w:t xml:space="preserve">[sic] </w:t>
      </w:r>
      <w:r w:rsidR="0042108F">
        <w:rPr>
          <w:rFonts w:ascii="Arial" w:hAnsi="Arial" w:cs="Arial"/>
          <w:sz w:val="22"/>
          <w:szCs w:val="22"/>
        </w:rPr>
        <w:lastRenderedPageBreak/>
        <w:t>[...]</w:t>
      </w:r>
      <w:r w:rsidRPr="00FA1853">
        <w:rPr>
          <w:rFonts w:ascii="Arial" w:hAnsi="Arial" w:cs="Arial"/>
          <w:sz w:val="22"/>
          <w:szCs w:val="22"/>
        </w:rPr>
        <w:t>, tendo em vista a ausência de um período específico definido</w:t>
      </w:r>
      <w:r>
        <w:rPr>
          <w:rFonts w:ascii="Arial" w:hAnsi="Arial" w:cs="Arial"/>
          <w:sz w:val="22"/>
          <w:szCs w:val="22"/>
        </w:rPr>
        <w:t xml:space="preserve"> </w:t>
      </w:r>
      <w:r w:rsidRPr="00FA1853">
        <w:rPr>
          <w:rFonts w:ascii="Arial" w:hAnsi="Arial" w:cs="Arial"/>
          <w:sz w:val="22"/>
          <w:szCs w:val="22"/>
        </w:rPr>
        <w:t>no referido contrato. Desta forma, relativamente a este item em particular, limitamos a conferência ao</w:t>
      </w:r>
      <w:r>
        <w:rPr>
          <w:rFonts w:ascii="Arial" w:hAnsi="Arial" w:cs="Arial"/>
          <w:sz w:val="22"/>
          <w:szCs w:val="22"/>
        </w:rPr>
        <w:t xml:space="preserve"> </w:t>
      </w:r>
      <w:r w:rsidRPr="00FA1853">
        <w:rPr>
          <w:rFonts w:ascii="Arial" w:hAnsi="Arial" w:cs="Arial"/>
          <w:sz w:val="22"/>
          <w:szCs w:val="22"/>
        </w:rPr>
        <w:t xml:space="preserve">mês de </w:t>
      </w:r>
      <w:r w:rsidR="00397262">
        <w:rPr>
          <w:rFonts w:ascii="Arial" w:hAnsi="Arial" w:cs="Arial"/>
          <w:sz w:val="22"/>
          <w:szCs w:val="22"/>
        </w:rPr>
        <w:t>[...]</w:t>
      </w:r>
      <w:r w:rsidRPr="00FA1853">
        <w:rPr>
          <w:rFonts w:ascii="Arial" w:hAnsi="Arial" w:cs="Arial"/>
          <w:sz w:val="22"/>
          <w:szCs w:val="22"/>
        </w:rPr>
        <w:t xml:space="preserve">, uma vez que neste documento ficou estabelecido um prazo de </w:t>
      </w:r>
      <w:r w:rsidR="00397262">
        <w:rPr>
          <w:rFonts w:ascii="Arial" w:hAnsi="Arial" w:cs="Arial"/>
          <w:sz w:val="22"/>
          <w:szCs w:val="22"/>
        </w:rPr>
        <w:t>[...]</w:t>
      </w:r>
      <w:r w:rsidRPr="00FA1853">
        <w:rPr>
          <w:rFonts w:ascii="Arial" w:hAnsi="Arial" w:cs="Arial"/>
          <w:sz w:val="22"/>
          <w:szCs w:val="22"/>
        </w:rPr>
        <w:t xml:space="preserve"> a contar do início da fruição dos benefícios para cumprimento dos investimentos a eles</w:t>
      </w:r>
      <w:r>
        <w:rPr>
          <w:rFonts w:ascii="Arial" w:hAnsi="Arial" w:cs="Arial"/>
          <w:sz w:val="22"/>
          <w:szCs w:val="22"/>
        </w:rPr>
        <w:t xml:space="preserve"> </w:t>
      </w:r>
      <w:r w:rsidRPr="00FA1853">
        <w:rPr>
          <w:rFonts w:ascii="Arial" w:hAnsi="Arial" w:cs="Arial"/>
          <w:sz w:val="22"/>
          <w:szCs w:val="22"/>
        </w:rPr>
        <w:t xml:space="preserve">vinculados, fato ocorrido a partir de </w:t>
      </w:r>
      <w:r w:rsidR="00397262">
        <w:rPr>
          <w:rFonts w:ascii="Arial" w:hAnsi="Arial" w:cs="Arial"/>
          <w:sz w:val="22"/>
          <w:szCs w:val="22"/>
        </w:rPr>
        <w:t>[...]</w:t>
      </w:r>
      <w:r w:rsidRPr="00FA1853">
        <w:rPr>
          <w:rFonts w:ascii="Arial" w:hAnsi="Arial" w:cs="Arial"/>
          <w:sz w:val="22"/>
          <w:szCs w:val="22"/>
        </w:rPr>
        <w:t>.</w:t>
      </w:r>
    </w:p>
    <w:p w14:paraId="366118B6" w14:textId="40FEDE80" w:rsidR="00562C06" w:rsidRPr="00FA1853" w:rsidRDefault="00562C06" w:rsidP="00505254">
      <w:pPr>
        <w:ind w:left="2268"/>
        <w:jc w:val="both"/>
        <w:rPr>
          <w:rFonts w:ascii="Arial" w:hAnsi="Arial" w:cs="Arial"/>
          <w:sz w:val="22"/>
          <w:szCs w:val="22"/>
        </w:rPr>
      </w:pPr>
      <w:r w:rsidRPr="00FA1853">
        <w:rPr>
          <w:rFonts w:ascii="Arial" w:hAnsi="Arial" w:cs="Arial"/>
          <w:sz w:val="22"/>
          <w:szCs w:val="22"/>
        </w:rPr>
        <w:t>Não obstante nossa interpretação, destacamos que a cláusula oitava do referido Termo de Acordo definiu</w:t>
      </w:r>
      <w:r>
        <w:rPr>
          <w:rFonts w:ascii="Arial" w:hAnsi="Arial" w:cs="Arial"/>
          <w:sz w:val="22"/>
          <w:szCs w:val="22"/>
        </w:rPr>
        <w:t xml:space="preserve"> </w:t>
      </w:r>
      <w:r w:rsidRPr="00FA1853">
        <w:rPr>
          <w:rFonts w:ascii="Arial" w:hAnsi="Arial" w:cs="Arial"/>
          <w:sz w:val="22"/>
          <w:szCs w:val="22"/>
        </w:rPr>
        <w:t xml:space="preserve">prazo até </w:t>
      </w:r>
      <w:r w:rsidR="00397262">
        <w:rPr>
          <w:rFonts w:ascii="Arial" w:hAnsi="Arial" w:cs="Arial"/>
          <w:sz w:val="22"/>
          <w:szCs w:val="22"/>
        </w:rPr>
        <w:t>[...]</w:t>
      </w:r>
      <w:r w:rsidRPr="00FA1853">
        <w:rPr>
          <w:rFonts w:ascii="Arial" w:hAnsi="Arial" w:cs="Arial"/>
          <w:sz w:val="22"/>
          <w:szCs w:val="22"/>
        </w:rPr>
        <w:t xml:space="preserve"> para sua fruição, o que poderia indicar que este seria o prazo final</w:t>
      </w:r>
      <w:r>
        <w:rPr>
          <w:rFonts w:ascii="Arial" w:hAnsi="Arial" w:cs="Arial"/>
          <w:sz w:val="22"/>
          <w:szCs w:val="22"/>
        </w:rPr>
        <w:t xml:space="preserve"> </w:t>
      </w:r>
      <w:r w:rsidRPr="00FA1853">
        <w:rPr>
          <w:rFonts w:ascii="Arial" w:hAnsi="Arial" w:cs="Arial"/>
          <w:sz w:val="22"/>
          <w:szCs w:val="22"/>
        </w:rPr>
        <w:t>para a utilização dos benefícios, bem como para cumprimento de todas as condições pactuadas.</w:t>
      </w:r>
    </w:p>
    <w:p w14:paraId="45FDCD77" w14:textId="6477B262" w:rsidR="00562C06" w:rsidRDefault="00562C06" w:rsidP="00505254">
      <w:pPr>
        <w:ind w:left="2268"/>
        <w:jc w:val="both"/>
        <w:rPr>
          <w:rFonts w:ascii="Arial" w:hAnsi="Arial" w:cs="Arial"/>
          <w:sz w:val="22"/>
          <w:szCs w:val="22"/>
        </w:rPr>
      </w:pPr>
      <w:r w:rsidRPr="00FA1853">
        <w:rPr>
          <w:rFonts w:ascii="Arial" w:hAnsi="Arial" w:cs="Arial"/>
          <w:sz w:val="22"/>
          <w:szCs w:val="22"/>
        </w:rPr>
        <w:t>Passamos agora, ao resultado das conferências, aguardando determinação para eventuais medidas que se</w:t>
      </w:r>
      <w:r>
        <w:rPr>
          <w:rFonts w:ascii="Arial" w:hAnsi="Arial" w:cs="Arial"/>
          <w:sz w:val="22"/>
          <w:szCs w:val="22"/>
        </w:rPr>
        <w:t xml:space="preserve"> </w:t>
      </w:r>
      <w:r w:rsidRPr="00FA1853">
        <w:rPr>
          <w:rFonts w:ascii="Arial" w:hAnsi="Arial" w:cs="Arial"/>
          <w:sz w:val="22"/>
          <w:szCs w:val="22"/>
        </w:rPr>
        <w:t>façam necessárias para resguardar os interesses do erário.</w:t>
      </w:r>
      <w:r>
        <w:rPr>
          <w:rFonts w:ascii="Arial" w:hAnsi="Arial" w:cs="Arial"/>
          <w:sz w:val="22"/>
          <w:szCs w:val="22"/>
        </w:rPr>
        <w:t xml:space="preserve"> </w:t>
      </w:r>
    </w:p>
    <w:p w14:paraId="5F033D68" w14:textId="5CEDAB4C" w:rsidR="00D4656C" w:rsidRDefault="00D4656C" w:rsidP="00505254">
      <w:pPr>
        <w:ind w:left="2268"/>
        <w:jc w:val="both"/>
        <w:rPr>
          <w:rFonts w:ascii="Arial" w:hAnsi="Arial" w:cs="Arial"/>
          <w:sz w:val="24"/>
          <w:szCs w:val="24"/>
        </w:rPr>
      </w:pPr>
      <w:r>
        <w:rPr>
          <w:rFonts w:ascii="Arial" w:hAnsi="Arial" w:cs="Arial"/>
          <w:sz w:val="22"/>
          <w:szCs w:val="22"/>
        </w:rPr>
        <w:t>[...].</w:t>
      </w:r>
    </w:p>
    <w:p w14:paraId="5282EB2E" w14:textId="2053CB95" w:rsidR="00562C06" w:rsidRDefault="00562C06" w:rsidP="001D05BA">
      <w:pPr>
        <w:spacing w:line="360" w:lineRule="auto"/>
        <w:ind w:firstLine="851"/>
        <w:jc w:val="both"/>
        <w:rPr>
          <w:rFonts w:ascii="Arial" w:hAnsi="Arial" w:cs="Arial"/>
          <w:sz w:val="24"/>
          <w:szCs w:val="24"/>
        </w:rPr>
      </w:pPr>
    </w:p>
    <w:p w14:paraId="49B5D25E" w14:textId="165887DE" w:rsidR="00D4656C" w:rsidRDefault="000508CE" w:rsidP="001D05BA">
      <w:pPr>
        <w:spacing w:line="360" w:lineRule="auto"/>
        <w:ind w:firstLine="851"/>
        <w:jc w:val="both"/>
        <w:rPr>
          <w:rFonts w:ascii="Arial" w:hAnsi="Arial" w:cs="Arial"/>
          <w:sz w:val="24"/>
          <w:szCs w:val="24"/>
        </w:rPr>
      </w:pPr>
      <w:r>
        <w:rPr>
          <w:rFonts w:ascii="Arial" w:hAnsi="Arial" w:cs="Arial"/>
          <w:sz w:val="24"/>
          <w:szCs w:val="24"/>
        </w:rPr>
        <w:t>Interessante observar que e</w:t>
      </w:r>
      <w:r w:rsidR="00D4656C">
        <w:rPr>
          <w:rFonts w:ascii="Arial" w:hAnsi="Arial" w:cs="Arial"/>
          <w:sz w:val="24"/>
          <w:szCs w:val="24"/>
        </w:rPr>
        <w:t>sse relatório aponta para uma omissão</w:t>
      </w:r>
      <w:r w:rsidR="00D35996">
        <w:rPr>
          <w:rFonts w:ascii="Arial" w:hAnsi="Arial" w:cs="Arial"/>
          <w:sz w:val="24"/>
          <w:szCs w:val="24"/>
        </w:rPr>
        <w:t xml:space="preserve"> ou, ao menos, obscuridade d</w:t>
      </w:r>
      <w:r w:rsidR="00D4656C">
        <w:rPr>
          <w:rFonts w:ascii="Arial" w:hAnsi="Arial" w:cs="Arial"/>
          <w:sz w:val="24"/>
          <w:szCs w:val="24"/>
        </w:rPr>
        <w:t xml:space="preserve">o TARE quanto à data </w:t>
      </w:r>
      <w:r w:rsidR="00D35996">
        <w:rPr>
          <w:rFonts w:ascii="Arial" w:hAnsi="Arial" w:cs="Arial"/>
          <w:sz w:val="24"/>
          <w:szCs w:val="24"/>
        </w:rPr>
        <w:t>para o cumprimento de certa condição, o que levou à necessidade de interpretação do auditor para poder se desincumbir de sua atividade fiscalizatória. Ele mesmo afirma que adota esse critério “</w:t>
      </w:r>
      <w:r w:rsidR="00D35996" w:rsidRPr="00D35996">
        <w:rPr>
          <w:rFonts w:ascii="Arial" w:hAnsi="Arial" w:cs="Arial"/>
          <w:sz w:val="24"/>
          <w:szCs w:val="24"/>
        </w:rPr>
        <w:t>aguardando determinação para eventuais medidas que se façam necessárias</w:t>
      </w:r>
      <w:r w:rsidR="00D35996">
        <w:rPr>
          <w:rFonts w:ascii="Arial" w:hAnsi="Arial" w:cs="Arial"/>
          <w:sz w:val="24"/>
          <w:szCs w:val="24"/>
        </w:rPr>
        <w:t>”, o que parece sugerir a retificação do TARE para esclarecer a situação por ele pontuada ou, ao menos, uma recomendação para que os instrumentos sejam mais claros de modo a evitar atividade interpretativa por parte dos auditores.</w:t>
      </w:r>
    </w:p>
    <w:p w14:paraId="5D61127C" w14:textId="0E203254" w:rsidR="00D35996" w:rsidRDefault="00D35996" w:rsidP="001D05BA">
      <w:pPr>
        <w:spacing w:line="360" w:lineRule="auto"/>
        <w:ind w:firstLine="851"/>
        <w:jc w:val="both"/>
        <w:rPr>
          <w:rFonts w:ascii="Arial" w:hAnsi="Arial" w:cs="Arial"/>
          <w:sz w:val="24"/>
          <w:szCs w:val="24"/>
        </w:rPr>
      </w:pPr>
      <w:r>
        <w:rPr>
          <w:rFonts w:ascii="Arial" w:hAnsi="Arial" w:cs="Arial"/>
          <w:sz w:val="24"/>
          <w:szCs w:val="24"/>
        </w:rPr>
        <w:t>Porém, o que mais chama a atenção é a segunda parte desse relatório, que analisa concretamente as contrapartidas</w:t>
      </w:r>
      <w:r w:rsidR="00053F1B">
        <w:rPr>
          <w:rFonts w:ascii="Arial" w:hAnsi="Arial" w:cs="Arial"/>
          <w:sz w:val="24"/>
          <w:szCs w:val="24"/>
        </w:rPr>
        <w:t xml:space="preserve"> previstas no TARE, e indica que várias delas não foram cumpridas ou, ao menos, não de forma plena como inicialmente previsto.</w:t>
      </w:r>
      <w:r w:rsidR="00CC7EF3">
        <w:rPr>
          <w:rFonts w:ascii="Arial" w:hAnsi="Arial" w:cs="Arial"/>
          <w:sz w:val="24"/>
          <w:szCs w:val="24"/>
        </w:rPr>
        <w:t xml:space="preserve"> Transcrevem-se na tabela abaixo, na primeira coluna, o resumo das contrapartidas e, na segunda, as principais constatações do auditor a respeito:</w:t>
      </w:r>
    </w:p>
    <w:p w14:paraId="04377A24" w14:textId="77777777" w:rsidR="0051313D" w:rsidRDefault="0051313D" w:rsidP="0051313D">
      <w:pPr>
        <w:ind w:firstLine="851"/>
        <w:jc w:val="both"/>
        <w:rPr>
          <w:rFonts w:ascii="Arial" w:hAnsi="Arial" w:cs="Arial"/>
          <w:sz w:val="24"/>
          <w:szCs w:val="24"/>
        </w:rPr>
      </w:pPr>
    </w:p>
    <w:tbl>
      <w:tblPr>
        <w:tblStyle w:val="Tabelacomgrade"/>
        <w:tblW w:w="0" w:type="auto"/>
        <w:tblLook w:val="04A0" w:firstRow="1" w:lastRow="0" w:firstColumn="1" w:lastColumn="0" w:noHBand="0" w:noVBand="1"/>
      </w:tblPr>
      <w:tblGrid>
        <w:gridCol w:w="4669"/>
        <w:gridCol w:w="4669"/>
      </w:tblGrid>
      <w:tr w:rsidR="00CC7EF3" w14:paraId="23B1B762" w14:textId="77777777" w:rsidTr="00CC7EF3">
        <w:tc>
          <w:tcPr>
            <w:tcW w:w="4669" w:type="dxa"/>
          </w:tcPr>
          <w:p w14:paraId="47974C8E" w14:textId="4A451356" w:rsidR="00CC7EF3" w:rsidRPr="00CC7EF3" w:rsidRDefault="00CC7EF3" w:rsidP="0051313D">
            <w:pPr>
              <w:jc w:val="center"/>
              <w:rPr>
                <w:rFonts w:ascii="Arial" w:hAnsi="Arial" w:cs="Arial"/>
                <w:b/>
                <w:sz w:val="24"/>
                <w:szCs w:val="24"/>
              </w:rPr>
            </w:pPr>
            <w:r w:rsidRPr="00CC7EF3">
              <w:rPr>
                <w:rFonts w:ascii="Arial" w:hAnsi="Arial" w:cs="Arial"/>
                <w:b/>
                <w:sz w:val="24"/>
                <w:szCs w:val="24"/>
              </w:rPr>
              <w:t>RESUMO DAS CONTRAPARTIDAS</w:t>
            </w:r>
          </w:p>
        </w:tc>
        <w:tc>
          <w:tcPr>
            <w:tcW w:w="4669" w:type="dxa"/>
          </w:tcPr>
          <w:p w14:paraId="1260B94F" w14:textId="6F3FDC04" w:rsidR="00CC7EF3" w:rsidRPr="00CC7EF3" w:rsidRDefault="00CC7EF3" w:rsidP="0051313D">
            <w:pPr>
              <w:jc w:val="center"/>
              <w:rPr>
                <w:rFonts w:ascii="Arial" w:hAnsi="Arial" w:cs="Arial"/>
                <w:b/>
                <w:sz w:val="24"/>
                <w:szCs w:val="24"/>
              </w:rPr>
            </w:pPr>
            <w:r w:rsidRPr="00CC7EF3">
              <w:rPr>
                <w:rFonts w:ascii="Arial" w:hAnsi="Arial" w:cs="Arial"/>
                <w:b/>
                <w:sz w:val="24"/>
                <w:szCs w:val="24"/>
              </w:rPr>
              <w:t>ANOTAÇÕES DO AUDITOR</w:t>
            </w:r>
          </w:p>
        </w:tc>
      </w:tr>
      <w:tr w:rsidR="00CC7EF3" w14:paraId="3D178A77" w14:textId="77777777" w:rsidTr="00CC7EF3">
        <w:tc>
          <w:tcPr>
            <w:tcW w:w="4669" w:type="dxa"/>
          </w:tcPr>
          <w:p w14:paraId="73D50077" w14:textId="03F579D2" w:rsidR="00CC7EF3" w:rsidRDefault="000E627F" w:rsidP="00397262">
            <w:pPr>
              <w:jc w:val="both"/>
              <w:rPr>
                <w:rFonts w:ascii="Arial" w:hAnsi="Arial" w:cs="Arial"/>
                <w:sz w:val="24"/>
                <w:szCs w:val="24"/>
              </w:rPr>
            </w:pPr>
            <w:r>
              <w:rPr>
                <w:rFonts w:ascii="Arial" w:hAnsi="Arial" w:cs="Arial"/>
                <w:sz w:val="24"/>
                <w:szCs w:val="24"/>
              </w:rPr>
              <w:t>A</w:t>
            </w:r>
            <w:r w:rsidR="002134F0" w:rsidRPr="002134F0">
              <w:rPr>
                <w:rFonts w:ascii="Arial" w:hAnsi="Arial" w:cs="Arial"/>
                <w:sz w:val="24"/>
                <w:szCs w:val="24"/>
              </w:rPr>
              <w:t>mplia</w:t>
            </w:r>
            <w:r>
              <w:rPr>
                <w:rFonts w:ascii="Arial" w:hAnsi="Arial" w:cs="Arial"/>
                <w:sz w:val="24"/>
                <w:szCs w:val="24"/>
              </w:rPr>
              <w:t>ção d</w:t>
            </w:r>
            <w:r w:rsidR="002134F0" w:rsidRPr="002134F0">
              <w:rPr>
                <w:rFonts w:ascii="Arial" w:hAnsi="Arial" w:cs="Arial"/>
                <w:sz w:val="24"/>
                <w:szCs w:val="24"/>
              </w:rPr>
              <w:t>o complexo industrial, conforme</w:t>
            </w:r>
            <w:r w:rsidR="002134F0">
              <w:rPr>
                <w:rFonts w:ascii="Arial" w:hAnsi="Arial" w:cs="Arial"/>
                <w:sz w:val="24"/>
                <w:szCs w:val="24"/>
              </w:rPr>
              <w:t xml:space="preserve"> </w:t>
            </w:r>
            <w:r w:rsidR="002134F0" w:rsidRPr="002134F0">
              <w:rPr>
                <w:rFonts w:ascii="Arial" w:hAnsi="Arial" w:cs="Arial"/>
                <w:sz w:val="24"/>
                <w:szCs w:val="24"/>
              </w:rPr>
              <w:t>cronograma físico-financeiro</w:t>
            </w:r>
            <w:r w:rsidR="002134F0">
              <w:rPr>
                <w:rFonts w:ascii="Arial" w:hAnsi="Arial" w:cs="Arial"/>
                <w:sz w:val="24"/>
                <w:szCs w:val="24"/>
              </w:rPr>
              <w:t xml:space="preserve"> </w:t>
            </w:r>
            <w:r w:rsidR="002134F0" w:rsidRPr="002134F0">
              <w:rPr>
                <w:rFonts w:ascii="Arial" w:hAnsi="Arial" w:cs="Arial"/>
                <w:sz w:val="24"/>
                <w:szCs w:val="24"/>
              </w:rPr>
              <w:t>constantes d</w:t>
            </w:r>
            <w:r w:rsidR="00397262">
              <w:rPr>
                <w:rFonts w:ascii="Arial" w:hAnsi="Arial" w:cs="Arial"/>
                <w:sz w:val="24"/>
                <w:szCs w:val="24"/>
              </w:rPr>
              <w:t>os anexos deste termo de acordo</w:t>
            </w:r>
            <w:r w:rsidR="00FC0ACE">
              <w:rPr>
                <w:rFonts w:ascii="Arial" w:hAnsi="Arial" w:cs="Arial"/>
                <w:sz w:val="24"/>
                <w:szCs w:val="24"/>
              </w:rPr>
              <w:t>.</w:t>
            </w:r>
          </w:p>
        </w:tc>
        <w:tc>
          <w:tcPr>
            <w:tcW w:w="4669" w:type="dxa"/>
          </w:tcPr>
          <w:p w14:paraId="7B26981D" w14:textId="0C668FE0" w:rsidR="0051313D" w:rsidRPr="0051313D" w:rsidRDefault="0051313D" w:rsidP="0051313D">
            <w:pPr>
              <w:jc w:val="both"/>
              <w:rPr>
                <w:rFonts w:ascii="Arial" w:hAnsi="Arial" w:cs="Arial"/>
                <w:sz w:val="24"/>
                <w:szCs w:val="24"/>
              </w:rPr>
            </w:pPr>
            <w:r w:rsidRPr="0051313D">
              <w:rPr>
                <w:rFonts w:ascii="Arial" w:hAnsi="Arial" w:cs="Arial"/>
                <w:sz w:val="24"/>
                <w:szCs w:val="24"/>
              </w:rPr>
              <w:t>Ora, como destacamos anteriormente, a constatação ou não da expansão física do complexo</w:t>
            </w:r>
            <w:r>
              <w:rPr>
                <w:rFonts w:ascii="Arial" w:hAnsi="Arial" w:cs="Arial"/>
                <w:sz w:val="24"/>
                <w:szCs w:val="24"/>
              </w:rPr>
              <w:t xml:space="preserve"> </w:t>
            </w:r>
            <w:r w:rsidRPr="0051313D">
              <w:rPr>
                <w:rFonts w:ascii="Arial" w:hAnsi="Arial" w:cs="Arial"/>
                <w:sz w:val="24"/>
                <w:szCs w:val="24"/>
              </w:rPr>
              <w:t>industrial estava a cargo da Gerência de Controle de Incentivos e Benefícios Fiscais, onde residiam</w:t>
            </w:r>
            <w:r>
              <w:rPr>
                <w:rFonts w:ascii="Arial" w:hAnsi="Arial" w:cs="Arial"/>
                <w:sz w:val="24"/>
                <w:szCs w:val="24"/>
              </w:rPr>
              <w:t xml:space="preserve"> </w:t>
            </w:r>
            <w:r w:rsidRPr="0051313D">
              <w:rPr>
                <w:rFonts w:ascii="Arial" w:hAnsi="Arial" w:cs="Arial"/>
                <w:sz w:val="24"/>
                <w:szCs w:val="24"/>
              </w:rPr>
              <w:t>profissionais da área de engenharia, com a expertise necessária para o efetivo acompanhamento da obra.</w:t>
            </w:r>
          </w:p>
          <w:p w14:paraId="4D7FDB94" w14:textId="5816F7E7" w:rsidR="00CC7EF3" w:rsidRDefault="0051313D" w:rsidP="00E6486F">
            <w:pPr>
              <w:jc w:val="both"/>
              <w:rPr>
                <w:rFonts w:ascii="Arial" w:hAnsi="Arial" w:cs="Arial"/>
                <w:sz w:val="24"/>
                <w:szCs w:val="24"/>
              </w:rPr>
            </w:pPr>
            <w:r w:rsidRPr="00E6486F">
              <w:rPr>
                <w:rFonts w:ascii="Arial" w:hAnsi="Arial" w:cs="Arial"/>
                <w:sz w:val="24"/>
                <w:szCs w:val="24"/>
              </w:rPr>
              <w:t xml:space="preserve">Quanto à análise dos números alcançados pela acordante relativamente à produção </w:t>
            </w:r>
            <w:r w:rsidR="00397262" w:rsidRPr="00E6486F">
              <w:rPr>
                <w:rFonts w:ascii="Arial" w:hAnsi="Arial" w:cs="Arial"/>
                <w:sz w:val="24"/>
                <w:szCs w:val="24"/>
              </w:rPr>
              <w:t>[...]</w:t>
            </w:r>
            <w:r w:rsidRPr="00E6486F">
              <w:rPr>
                <w:rFonts w:ascii="Arial" w:hAnsi="Arial" w:cs="Arial"/>
                <w:sz w:val="24"/>
                <w:szCs w:val="24"/>
              </w:rPr>
              <w:t xml:space="preserve">, </w:t>
            </w:r>
            <w:r w:rsidRPr="00E6486F">
              <w:rPr>
                <w:rFonts w:ascii="Arial" w:hAnsi="Arial" w:cs="Arial"/>
                <w:b/>
                <w:sz w:val="24"/>
                <w:szCs w:val="24"/>
              </w:rPr>
              <w:t xml:space="preserve">ficou evidenciado um </w:t>
            </w:r>
            <w:r w:rsidRPr="00E6486F">
              <w:rPr>
                <w:rFonts w:ascii="Arial" w:hAnsi="Arial" w:cs="Arial"/>
                <w:b/>
                <w:sz w:val="24"/>
                <w:szCs w:val="24"/>
              </w:rPr>
              <w:lastRenderedPageBreak/>
              <w:t>desalinhamento com aqueles originalmente projetados</w:t>
            </w:r>
            <w:r w:rsidRPr="00E6486F">
              <w:rPr>
                <w:rFonts w:ascii="Arial" w:hAnsi="Arial" w:cs="Arial"/>
                <w:sz w:val="24"/>
                <w:szCs w:val="24"/>
              </w:rPr>
              <w:t xml:space="preserve">. A justificativa da acordante para este fato está na redução do faturamento provocada pela crise econômica; enfrentada, não apenas pelo setor </w:t>
            </w:r>
            <w:r w:rsidR="00397262" w:rsidRPr="00E6486F">
              <w:rPr>
                <w:rFonts w:ascii="Arial" w:hAnsi="Arial" w:cs="Arial"/>
                <w:sz w:val="24"/>
                <w:szCs w:val="24"/>
              </w:rPr>
              <w:t>[...]</w:t>
            </w:r>
            <w:r w:rsidRPr="00E6486F">
              <w:rPr>
                <w:rFonts w:ascii="Arial" w:hAnsi="Arial" w:cs="Arial"/>
                <w:sz w:val="24"/>
                <w:szCs w:val="24"/>
              </w:rPr>
              <w:t xml:space="preserve">, mas por todos os setores da produção e consumo. Salientar, novamente, que o Acordo pactuado entre a acordante e o Estado de Goiás encerra-se em </w:t>
            </w:r>
            <w:r w:rsidR="00397262" w:rsidRPr="00E6486F">
              <w:rPr>
                <w:rFonts w:ascii="Arial" w:hAnsi="Arial" w:cs="Arial"/>
                <w:sz w:val="24"/>
                <w:szCs w:val="24"/>
              </w:rPr>
              <w:t>[...]</w:t>
            </w:r>
            <w:r w:rsidRPr="00E6486F">
              <w:rPr>
                <w:rFonts w:ascii="Arial" w:hAnsi="Arial" w:cs="Arial"/>
                <w:sz w:val="24"/>
                <w:szCs w:val="24"/>
              </w:rPr>
              <w:t>;</w:t>
            </w:r>
          </w:p>
        </w:tc>
      </w:tr>
      <w:tr w:rsidR="00CC7EF3" w14:paraId="44C283C8" w14:textId="77777777" w:rsidTr="00CC7EF3">
        <w:tc>
          <w:tcPr>
            <w:tcW w:w="4669" w:type="dxa"/>
          </w:tcPr>
          <w:p w14:paraId="4B27DEEE" w14:textId="786D7523" w:rsidR="00CC7EF3" w:rsidRDefault="000E627F" w:rsidP="000E4EE8">
            <w:pPr>
              <w:jc w:val="both"/>
              <w:rPr>
                <w:rFonts w:ascii="Arial" w:hAnsi="Arial" w:cs="Arial"/>
                <w:sz w:val="24"/>
                <w:szCs w:val="24"/>
              </w:rPr>
            </w:pPr>
            <w:r>
              <w:rPr>
                <w:rFonts w:ascii="Arial" w:hAnsi="Arial" w:cs="Arial"/>
                <w:sz w:val="24"/>
                <w:szCs w:val="24"/>
              </w:rPr>
              <w:lastRenderedPageBreak/>
              <w:t>Investimento mínimo</w:t>
            </w:r>
            <w:r w:rsidR="00522646" w:rsidRPr="00522646">
              <w:rPr>
                <w:rFonts w:ascii="Arial" w:hAnsi="Arial" w:cs="Arial"/>
                <w:sz w:val="24"/>
                <w:szCs w:val="24"/>
              </w:rPr>
              <w:t xml:space="preserve"> na execução de obras e aquisição de máquinas e</w:t>
            </w:r>
            <w:r w:rsidR="00522646">
              <w:rPr>
                <w:rFonts w:ascii="Arial" w:hAnsi="Arial" w:cs="Arial"/>
                <w:sz w:val="24"/>
                <w:szCs w:val="24"/>
              </w:rPr>
              <w:t xml:space="preserve"> </w:t>
            </w:r>
            <w:r w:rsidR="00522646" w:rsidRPr="00522646">
              <w:rPr>
                <w:rFonts w:ascii="Arial" w:hAnsi="Arial" w:cs="Arial"/>
                <w:sz w:val="24"/>
                <w:szCs w:val="24"/>
              </w:rPr>
              <w:t xml:space="preserve">equipamentos, podendo compreender ativo </w:t>
            </w:r>
            <w:r w:rsidR="00522646" w:rsidRPr="000E4EE8">
              <w:rPr>
                <w:rFonts w:ascii="Arial" w:hAnsi="Arial" w:cs="Arial"/>
                <w:sz w:val="24"/>
                <w:szCs w:val="24"/>
              </w:rPr>
              <w:t xml:space="preserve">imobilizado, pesquisa e desenvolvimento, </w:t>
            </w:r>
            <w:r w:rsidR="000E4EE8" w:rsidRPr="000E4EE8">
              <w:rPr>
                <w:rFonts w:ascii="Arial" w:hAnsi="Arial" w:cs="Arial"/>
                <w:sz w:val="22"/>
                <w:szCs w:val="22"/>
              </w:rPr>
              <w:t>[...]</w:t>
            </w:r>
            <w:r w:rsidR="00522646" w:rsidRPr="000E4EE8">
              <w:rPr>
                <w:rFonts w:ascii="Arial" w:hAnsi="Arial" w:cs="Arial"/>
                <w:sz w:val="24"/>
                <w:szCs w:val="24"/>
              </w:rPr>
              <w:t xml:space="preserve">, logística, publicidade, propaganda, </w:t>
            </w:r>
            <w:r w:rsidR="000E4EE8" w:rsidRPr="000E4EE8">
              <w:rPr>
                <w:rFonts w:ascii="Arial" w:hAnsi="Arial" w:cs="Arial"/>
                <w:sz w:val="22"/>
                <w:szCs w:val="22"/>
              </w:rPr>
              <w:t xml:space="preserve">[...] </w:t>
            </w:r>
            <w:r w:rsidR="00522646" w:rsidRPr="000E4EE8">
              <w:rPr>
                <w:rFonts w:ascii="Arial" w:hAnsi="Arial" w:cs="Arial"/>
                <w:sz w:val="24"/>
                <w:szCs w:val="24"/>
              </w:rPr>
              <w:t>e outros investimentos relacionados à atividade-fim do estabelecimento incentivado e demais investimentos fixos necessários à ampliação do projeto industrial, podendo ser abatido os valores já investidos relativos ao benefíc</w:t>
            </w:r>
            <w:r w:rsidR="00FC0ACE" w:rsidRPr="000E4EE8">
              <w:rPr>
                <w:rFonts w:ascii="Arial" w:hAnsi="Arial" w:cs="Arial"/>
                <w:sz w:val="24"/>
                <w:szCs w:val="24"/>
              </w:rPr>
              <w:t xml:space="preserve">io concedido </w:t>
            </w:r>
            <w:r w:rsidR="00FC0ACE">
              <w:rPr>
                <w:rFonts w:ascii="Arial" w:hAnsi="Arial" w:cs="Arial"/>
                <w:sz w:val="24"/>
                <w:szCs w:val="24"/>
              </w:rPr>
              <w:t>através do TARE</w:t>
            </w:r>
            <w:r w:rsidR="00522646" w:rsidRPr="00522646">
              <w:rPr>
                <w:rFonts w:ascii="Arial" w:hAnsi="Arial" w:cs="Arial"/>
                <w:sz w:val="24"/>
                <w:szCs w:val="24"/>
              </w:rPr>
              <w:t>.</w:t>
            </w:r>
          </w:p>
        </w:tc>
        <w:tc>
          <w:tcPr>
            <w:tcW w:w="4669" w:type="dxa"/>
          </w:tcPr>
          <w:p w14:paraId="291E9F90" w14:textId="2B3D9E61" w:rsidR="00522646" w:rsidRPr="007C4CF0" w:rsidRDefault="00522646" w:rsidP="00522646">
            <w:pPr>
              <w:jc w:val="both"/>
              <w:rPr>
                <w:rFonts w:ascii="Arial" w:hAnsi="Arial" w:cs="Arial"/>
                <w:b/>
                <w:sz w:val="24"/>
                <w:szCs w:val="24"/>
              </w:rPr>
            </w:pPr>
            <w:r w:rsidRPr="00522646">
              <w:rPr>
                <w:rFonts w:ascii="Arial" w:hAnsi="Arial" w:cs="Arial"/>
                <w:sz w:val="24"/>
                <w:szCs w:val="24"/>
              </w:rPr>
              <w:t>Conforme esclarecimento anterior, enfatizamos que as conferências realizadas alcançaram aspectos</w:t>
            </w:r>
            <w:r>
              <w:rPr>
                <w:rFonts w:ascii="Arial" w:hAnsi="Arial" w:cs="Arial"/>
                <w:sz w:val="24"/>
                <w:szCs w:val="24"/>
              </w:rPr>
              <w:t xml:space="preserve"> </w:t>
            </w:r>
            <w:r w:rsidRPr="00522646">
              <w:rPr>
                <w:rFonts w:ascii="Arial" w:hAnsi="Arial" w:cs="Arial"/>
                <w:sz w:val="24"/>
                <w:szCs w:val="24"/>
              </w:rPr>
              <w:t>meramente fiscais, tendo como universo apenas os registros documentais e saldos escritu</w:t>
            </w:r>
            <w:r w:rsidR="007C4CF0">
              <w:rPr>
                <w:rFonts w:ascii="Arial" w:hAnsi="Arial" w:cs="Arial"/>
                <w:sz w:val="24"/>
                <w:szCs w:val="24"/>
              </w:rPr>
              <w:t>rais [...]</w:t>
            </w:r>
            <w:r w:rsidRPr="00522646">
              <w:rPr>
                <w:rFonts w:ascii="Arial" w:hAnsi="Arial" w:cs="Arial"/>
                <w:sz w:val="24"/>
                <w:szCs w:val="24"/>
              </w:rPr>
              <w:t xml:space="preserve">. </w:t>
            </w:r>
            <w:r w:rsidRPr="007C4CF0">
              <w:rPr>
                <w:rFonts w:ascii="Arial" w:hAnsi="Arial" w:cs="Arial"/>
                <w:b/>
                <w:sz w:val="24"/>
                <w:szCs w:val="24"/>
              </w:rPr>
              <w:t>Verificações mais específicas que vão além das temáticas fiscais estariam, como discorrido anteriormente, a cargo da Gerência de</w:t>
            </w:r>
          </w:p>
          <w:p w14:paraId="16DC1A14" w14:textId="77777777" w:rsidR="00522646" w:rsidRPr="00522646" w:rsidRDefault="00522646" w:rsidP="00522646">
            <w:pPr>
              <w:jc w:val="both"/>
              <w:rPr>
                <w:rFonts w:ascii="Arial" w:hAnsi="Arial" w:cs="Arial"/>
                <w:sz w:val="24"/>
                <w:szCs w:val="24"/>
              </w:rPr>
            </w:pPr>
            <w:r w:rsidRPr="007C4CF0">
              <w:rPr>
                <w:rFonts w:ascii="Arial" w:hAnsi="Arial" w:cs="Arial"/>
                <w:b/>
                <w:sz w:val="24"/>
                <w:szCs w:val="24"/>
              </w:rPr>
              <w:t>Controle de Benefícios e Incentivos Fiscais – GCIF</w:t>
            </w:r>
            <w:r w:rsidRPr="00522646">
              <w:rPr>
                <w:rFonts w:ascii="Arial" w:hAnsi="Arial" w:cs="Arial"/>
                <w:sz w:val="24"/>
                <w:szCs w:val="24"/>
              </w:rPr>
              <w:t>, restando portanto, outras verificações.</w:t>
            </w:r>
          </w:p>
          <w:p w14:paraId="4B1D166E" w14:textId="7CCE902F" w:rsidR="00CC7EF3" w:rsidRDefault="00522646" w:rsidP="007C4CF0">
            <w:pPr>
              <w:jc w:val="both"/>
              <w:rPr>
                <w:rFonts w:ascii="Arial" w:hAnsi="Arial" w:cs="Arial"/>
                <w:sz w:val="24"/>
                <w:szCs w:val="24"/>
              </w:rPr>
            </w:pPr>
            <w:r w:rsidRPr="007C4CF0">
              <w:rPr>
                <w:rFonts w:ascii="Arial" w:hAnsi="Arial" w:cs="Arial"/>
                <w:b/>
                <w:sz w:val="24"/>
                <w:szCs w:val="24"/>
              </w:rPr>
              <w:t xml:space="preserve">Quanto aos valores investidos relativos ao TARE nº </w:t>
            </w:r>
            <w:r w:rsidR="007C4CF0" w:rsidRPr="007C4CF0">
              <w:rPr>
                <w:rFonts w:ascii="Arial" w:hAnsi="Arial" w:cs="Arial"/>
                <w:b/>
                <w:sz w:val="24"/>
                <w:szCs w:val="24"/>
              </w:rPr>
              <w:t>[...]</w:t>
            </w:r>
            <w:r w:rsidRPr="007C4CF0">
              <w:rPr>
                <w:rFonts w:ascii="Arial" w:hAnsi="Arial" w:cs="Arial"/>
                <w:b/>
                <w:sz w:val="24"/>
                <w:szCs w:val="24"/>
              </w:rPr>
              <w:t xml:space="preserve"> também entendemos que devam ser analisados pela referida gerência</w:t>
            </w:r>
            <w:r w:rsidRPr="00522646">
              <w:rPr>
                <w:rFonts w:ascii="Arial" w:hAnsi="Arial" w:cs="Arial"/>
                <w:sz w:val="24"/>
                <w:szCs w:val="24"/>
              </w:rPr>
              <w:t>. Este entendimento se baseia na</w:t>
            </w:r>
            <w:r w:rsidR="007C4CF0">
              <w:rPr>
                <w:rFonts w:ascii="Arial" w:hAnsi="Arial" w:cs="Arial"/>
                <w:sz w:val="24"/>
                <w:szCs w:val="24"/>
              </w:rPr>
              <w:t xml:space="preserve"> </w:t>
            </w:r>
            <w:r w:rsidRPr="00522646">
              <w:rPr>
                <w:rFonts w:ascii="Arial" w:hAnsi="Arial" w:cs="Arial"/>
                <w:sz w:val="24"/>
                <w:szCs w:val="24"/>
              </w:rPr>
              <w:t>existência de Relatórios de Auditoria de Investimentos, por ela elaborados, que abrangem períodos</w:t>
            </w:r>
            <w:r>
              <w:rPr>
                <w:rFonts w:ascii="Arial" w:hAnsi="Arial" w:cs="Arial"/>
                <w:sz w:val="24"/>
                <w:szCs w:val="24"/>
              </w:rPr>
              <w:t xml:space="preserve"> </w:t>
            </w:r>
            <w:r w:rsidRPr="00522646">
              <w:rPr>
                <w:rFonts w:ascii="Arial" w:hAnsi="Arial" w:cs="Arial"/>
                <w:sz w:val="24"/>
                <w:szCs w:val="24"/>
              </w:rPr>
              <w:t xml:space="preserve">sobrepostos, inclusive posteriores à vigência do TARE Nº </w:t>
            </w:r>
            <w:r w:rsidR="007C4CF0">
              <w:rPr>
                <w:rFonts w:ascii="Arial" w:hAnsi="Arial" w:cs="Arial"/>
                <w:sz w:val="24"/>
                <w:szCs w:val="24"/>
              </w:rPr>
              <w:t>[...]</w:t>
            </w:r>
            <w:r w:rsidRPr="00522646">
              <w:rPr>
                <w:rFonts w:ascii="Arial" w:hAnsi="Arial" w:cs="Arial"/>
                <w:sz w:val="24"/>
                <w:szCs w:val="24"/>
              </w:rPr>
              <w:t xml:space="preserve"> e portanto, também alcançados</w:t>
            </w:r>
            <w:r>
              <w:rPr>
                <w:rFonts w:ascii="Arial" w:hAnsi="Arial" w:cs="Arial"/>
                <w:sz w:val="24"/>
                <w:szCs w:val="24"/>
              </w:rPr>
              <w:t xml:space="preserve"> </w:t>
            </w:r>
            <w:r w:rsidRPr="00522646">
              <w:rPr>
                <w:rFonts w:ascii="Arial" w:hAnsi="Arial" w:cs="Arial"/>
                <w:sz w:val="24"/>
                <w:szCs w:val="24"/>
              </w:rPr>
              <w:t xml:space="preserve">pelo nosso trabalho de conferência contábil. </w:t>
            </w:r>
            <w:r w:rsidR="00397262">
              <w:rPr>
                <w:rFonts w:ascii="Arial" w:hAnsi="Arial" w:cs="Arial"/>
                <w:sz w:val="24"/>
                <w:szCs w:val="24"/>
              </w:rPr>
              <w:t>[...]</w:t>
            </w:r>
            <w:r w:rsidRPr="00522646">
              <w:rPr>
                <w:rFonts w:ascii="Arial" w:hAnsi="Arial" w:cs="Arial"/>
                <w:sz w:val="24"/>
                <w:szCs w:val="24"/>
              </w:rPr>
              <w:t xml:space="preserve"> Desta</w:t>
            </w:r>
            <w:r>
              <w:rPr>
                <w:rFonts w:ascii="Arial" w:hAnsi="Arial" w:cs="Arial"/>
                <w:sz w:val="24"/>
                <w:szCs w:val="24"/>
              </w:rPr>
              <w:t xml:space="preserve"> </w:t>
            </w:r>
            <w:r w:rsidRPr="00522646">
              <w:rPr>
                <w:rFonts w:ascii="Arial" w:hAnsi="Arial" w:cs="Arial"/>
                <w:sz w:val="24"/>
                <w:szCs w:val="24"/>
              </w:rPr>
              <w:t>forma, seria importante que, aproveitando os trabalhos de auditoria já realizados, fosse feita a separação</w:t>
            </w:r>
            <w:r>
              <w:rPr>
                <w:rFonts w:ascii="Arial" w:hAnsi="Arial" w:cs="Arial"/>
                <w:sz w:val="24"/>
                <w:szCs w:val="24"/>
              </w:rPr>
              <w:t xml:space="preserve"> </w:t>
            </w:r>
            <w:r w:rsidRPr="00522646">
              <w:rPr>
                <w:rFonts w:ascii="Arial" w:hAnsi="Arial" w:cs="Arial"/>
                <w:sz w:val="24"/>
                <w:szCs w:val="24"/>
              </w:rPr>
              <w:t xml:space="preserve">dos valores constantes nos respectivos relatórios de tal forma que ficasse evidenciado </w:t>
            </w:r>
            <w:r w:rsidRPr="00397262">
              <w:rPr>
                <w:rFonts w:ascii="Arial" w:hAnsi="Arial" w:cs="Arial"/>
                <w:sz w:val="24"/>
                <w:szCs w:val="24"/>
              </w:rPr>
              <w:t xml:space="preserve">aqueles que efetivamente estão vinculados à vigência do TARE nº </w:t>
            </w:r>
            <w:r w:rsidR="00397262" w:rsidRPr="00397262">
              <w:rPr>
                <w:rFonts w:ascii="Arial" w:hAnsi="Arial" w:cs="Arial"/>
                <w:sz w:val="24"/>
                <w:szCs w:val="24"/>
              </w:rPr>
              <w:t>[...]</w:t>
            </w:r>
            <w:r w:rsidRPr="00397262">
              <w:rPr>
                <w:rFonts w:ascii="Arial" w:hAnsi="Arial" w:cs="Arial"/>
                <w:sz w:val="24"/>
                <w:szCs w:val="24"/>
              </w:rPr>
              <w:t>.</w:t>
            </w:r>
          </w:p>
          <w:p w14:paraId="53A03949" w14:textId="1072A72D" w:rsidR="007C4CF0" w:rsidRDefault="007C4CF0" w:rsidP="007C4CF0">
            <w:pPr>
              <w:jc w:val="both"/>
              <w:rPr>
                <w:rFonts w:ascii="Arial" w:hAnsi="Arial" w:cs="Arial"/>
                <w:sz w:val="24"/>
                <w:szCs w:val="24"/>
              </w:rPr>
            </w:pPr>
            <w:r w:rsidRPr="007C4CF0">
              <w:rPr>
                <w:rFonts w:ascii="Arial" w:hAnsi="Arial" w:cs="Arial"/>
                <w:sz w:val="24"/>
                <w:szCs w:val="24"/>
              </w:rPr>
              <w:t>Obs.: Dentro da análise proposta, os valores deste item alcançaram o</w:t>
            </w:r>
            <w:r>
              <w:rPr>
                <w:rFonts w:ascii="Arial" w:hAnsi="Arial" w:cs="Arial"/>
                <w:sz w:val="24"/>
                <w:szCs w:val="24"/>
              </w:rPr>
              <w:t xml:space="preserve"> que foi inicialmente pactuado.</w:t>
            </w:r>
          </w:p>
        </w:tc>
      </w:tr>
      <w:tr w:rsidR="00CC7EF3" w14:paraId="2CE4145D" w14:textId="77777777" w:rsidTr="00CC7EF3">
        <w:tc>
          <w:tcPr>
            <w:tcW w:w="4669" w:type="dxa"/>
          </w:tcPr>
          <w:p w14:paraId="75465676" w14:textId="69C8DEE5" w:rsidR="00CC7EF3" w:rsidRDefault="00710168" w:rsidP="00397262">
            <w:pPr>
              <w:jc w:val="both"/>
              <w:rPr>
                <w:rFonts w:ascii="Arial" w:hAnsi="Arial" w:cs="Arial"/>
                <w:sz w:val="24"/>
                <w:szCs w:val="24"/>
              </w:rPr>
            </w:pPr>
            <w:r w:rsidRPr="00710168">
              <w:rPr>
                <w:rFonts w:ascii="Arial" w:hAnsi="Arial" w:cs="Arial"/>
                <w:sz w:val="24"/>
                <w:szCs w:val="24"/>
              </w:rPr>
              <w:t xml:space="preserve">Ao </w:t>
            </w:r>
            <w:r>
              <w:rPr>
                <w:rFonts w:ascii="Arial" w:hAnsi="Arial" w:cs="Arial"/>
                <w:sz w:val="24"/>
                <w:szCs w:val="24"/>
              </w:rPr>
              <w:t>final do projeto, geração de</w:t>
            </w:r>
            <w:r w:rsidRPr="00710168">
              <w:rPr>
                <w:rFonts w:ascii="Arial" w:hAnsi="Arial" w:cs="Arial"/>
                <w:sz w:val="24"/>
                <w:szCs w:val="24"/>
              </w:rPr>
              <w:t xml:space="preserve"> </w:t>
            </w:r>
            <w:r w:rsidR="00397262">
              <w:rPr>
                <w:rFonts w:ascii="Arial" w:hAnsi="Arial" w:cs="Arial"/>
                <w:sz w:val="24"/>
                <w:szCs w:val="24"/>
              </w:rPr>
              <w:t>determinada quantidade de</w:t>
            </w:r>
            <w:r w:rsidRPr="00710168">
              <w:rPr>
                <w:rFonts w:ascii="Arial" w:hAnsi="Arial" w:cs="Arial"/>
                <w:sz w:val="24"/>
                <w:szCs w:val="24"/>
              </w:rPr>
              <w:t xml:space="preserve"> empregos, utilizando-se, preferencialmente,</w:t>
            </w:r>
            <w:r>
              <w:rPr>
                <w:rFonts w:ascii="Arial" w:hAnsi="Arial" w:cs="Arial"/>
                <w:sz w:val="24"/>
                <w:szCs w:val="24"/>
              </w:rPr>
              <w:t xml:space="preserve"> de mão-</w:t>
            </w:r>
            <w:r>
              <w:rPr>
                <w:rFonts w:ascii="Arial" w:hAnsi="Arial" w:cs="Arial"/>
                <w:sz w:val="24"/>
                <w:szCs w:val="24"/>
              </w:rPr>
              <w:lastRenderedPageBreak/>
              <w:t xml:space="preserve">de-obra local, </w:t>
            </w:r>
            <w:r w:rsidR="00397262">
              <w:rPr>
                <w:rFonts w:ascii="Arial" w:hAnsi="Arial" w:cs="Arial"/>
                <w:sz w:val="24"/>
                <w:szCs w:val="24"/>
              </w:rPr>
              <w:t>entre empregos</w:t>
            </w:r>
            <w:r>
              <w:rPr>
                <w:rFonts w:ascii="Arial" w:hAnsi="Arial" w:cs="Arial"/>
                <w:sz w:val="24"/>
                <w:szCs w:val="24"/>
              </w:rPr>
              <w:t xml:space="preserve"> diretos e </w:t>
            </w:r>
            <w:r w:rsidRPr="00710168">
              <w:rPr>
                <w:rFonts w:ascii="Arial" w:hAnsi="Arial" w:cs="Arial"/>
                <w:sz w:val="24"/>
                <w:szCs w:val="24"/>
              </w:rPr>
              <w:t xml:space="preserve"> </w:t>
            </w:r>
            <w:r>
              <w:rPr>
                <w:rFonts w:ascii="Arial" w:hAnsi="Arial" w:cs="Arial"/>
                <w:sz w:val="24"/>
                <w:szCs w:val="24"/>
              </w:rPr>
              <w:t xml:space="preserve"> indiretos.</w:t>
            </w:r>
          </w:p>
        </w:tc>
        <w:tc>
          <w:tcPr>
            <w:tcW w:w="4669" w:type="dxa"/>
          </w:tcPr>
          <w:p w14:paraId="266FDFA9" w14:textId="23B6C9CA" w:rsidR="00CC7EF3" w:rsidRDefault="00625726" w:rsidP="00625726">
            <w:pPr>
              <w:jc w:val="both"/>
              <w:rPr>
                <w:rFonts w:ascii="Arial" w:hAnsi="Arial" w:cs="Arial"/>
                <w:sz w:val="24"/>
                <w:szCs w:val="24"/>
              </w:rPr>
            </w:pPr>
            <w:r w:rsidRPr="00625726">
              <w:rPr>
                <w:rFonts w:ascii="Arial" w:hAnsi="Arial" w:cs="Arial"/>
                <w:sz w:val="24"/>
                <w:szCs w:val="24"/>
              </w:rPr>
              <w:lastRenderedPageBreak/>
              <w:t>Obs.: Conforme justificativa da acordante, o fraco desempenho na geração de empregos teve como fator</w:t>
            </w:r>
            <w:r>
              <w:rPr>
                <w:rFonts w:ascii="Arial" w:hAnsi="Arial" w:cs="Arial"/>
                <w:sz w:val="24"/>
                <w:szCs w:val="24"/>
              </w:rPr>
              <w:t xml:space="preserve"> </w:t>
            </w:r>
            <w:r w:rsidRPr="00625726">
              <w:rPr>
                <w:rFonts w:ascii="Arial" w:hAnsi="Arial" w:cs="Arial"/>
                <w:sz w:val="24"/>
                <w:szCs w:val="24"/>
              </w:rPr>
              <w:t xml:space="preserve">determinante a </w:t>
            </w:r>
            <w:r w:rsidRPr="00625726">
              <w:rPr>
                <w:rFonts w:ascii="Arial" w:hAnsi="Arial" w:cs="Arial"/>
                <w:sz w:val="24"/>
                <w:szCs w:val="24"/>
              </w:rPr>
              <w:lastRenderedPageBreak/>
              <w:t>crise econômica, já mencionada anteriormente.</w:t>
            </w:r>
          </w:p>
        </w:tc>
      </w:tr>
      <w:tr w:rsidR="00CC7EF3" w14:paraId="42E08158" w14:textId="77777777" w:rsidTr="00CC7EF3">
        <w:tc>
          <w:tcPr>
            <w:tcW w:w="4669" w:type="dxa"/>
          </w:tcPr>
          <w:p w14:paraId="44EDEF94" w14:textId="68F01A0C" w:rsidR="00CC7EF3" w:rsidRDefault="003D093D" w:rsidP="00AB351B">
            <w:pPr>
              <w:jc w:val="both"/>
              <w:rPr>
                <w:rFonts w:ascii="Arial" w:hAnsi="Arial" w:cs="Arial"/>
                <w:sz w:val="24"/>
                <w:szCs w:val="24"/>
              </w:rPr>
            </w:pPr>
            <w:r>
              <w:rPr>
                <w:rFonts w:ascii="Arial" w:hAnsi="Arial" w:cs="Arial"/>
                <w:sz w:val="24"/>
                <w:szCs w:val="24"/>
              </w:rPr>
              <w:lastRenderedPageBreak/>
              <w:t>P</w:t>
            </w:r>
            <w:r w:rsidR="00AB351B" w:rsidRPr="00AB351B">
              <w:rPr>
                <w:rFonts w:ascii="Arial" w:hAnsi="Arial" w:cs="Arial"/>
                <w:sz w:val="24"/>
                <w:szCs w:val="24"/>
              </w:rPr>
              <w:t>referências às aquisições de insumos, produtos, equipamentos, contratações de obras e</w:t>
            </w:r>
            <w:r w:rsidR="00AB351B">
              <w:rPr>
                <w:rFonts w:ascii="Arial" w:hAnsi="Arial" w:cs="Arial"/>
                <w:sz w:val="24"/>
                <w:szCs w:val="24"/>
              </w:rPr>
              <w:t xml:space="preserve"> </w:t>
            </w:r>
            <w:r w:rsidR="00AB351B" w:rsidRPr="00AB351B">
              <w:rPr>
                <w:rFonts w:ascii="Arial" w:hAnsi="Arial" w:cs="Arial"/>
                <w:sz w:val="24"/>
                <w:szCs w:val="24"/>
              </w:rPr>
              <w:t>serviços, inclusive os relativos à ampliação da construção civil da indústria, de fornecedores localizados</w:t>
            </w:r>
            <w:r w:rsidR="00AB351B">
              <w:rPr>
                <w:rFonts w:ascii="Arial" w:hAnsi="Arial" w:cs="Arial"/>
                <w:sz w:val="24"/>
                <w:szCs w:val="24"/>
              </w:rPr>
              <w:t xml:space="preserve"> </w:t>
            </w:r>
            <w:r w:rsidR="00AB351B" w:rsidRPr="00AB351B">
              <w:rPr>
                <w:rFonts w:ascii="Arial" w:hAnsi="Arial" w:cs="Arial"/>
                <w:sz w:val="24"/>
                <w:szCs w:val="24"/>
              </w:rPr>
              <w:t>no Estado de Goiás, desde que atendidas as exigências técnicas e de qualidade.</w:t>
            </w:r>
          </w:p>
        </w:tc>
        <w:tc>
          <w:tcPr>
            <w:tcW w:w="4669" w:type="dxa"/>
          </w:tcPr>
          <w:p w14:paraId="770CD8A7" w14:textId="3F07B5EE" w:rsidR="00CC7EF3" w:rsidRDefault="00F86034" w:rsidP="00F86034">
            <w:pPr>
              <w:jc w:val="both"/>
              <w:rPr>
                <w:rFonts w:ascii="Arial" w:hAnsi="Arial" w:cs="Arial"/>
                <w:sz w:val="24"/>
                <w:szCs w:val="24"/>
              </w:rPr>
            </w:pPr>
            <w:r w:rsidRPr="00F86034">
              <w:rPr>
                <w:rFonts w:ascii="Arial" w:hAnsi="Arial" w:cs="Arial"/>
                <w:sz w:val="24"/>
                <w:szCs w:val="24"/>
              </w:rPr>
              <w:t>Ora, quanto ao disposto neste inciso, entendemos que a análise de ofício relativa ao cumprimento ou não</w:t>
            </w:r>
            <w:r>
              <w:rPr>
                <w:rFonts w:ascii="Arial" w:hAnsi="Arial" w:cs="Arial"/>
                <w:sz w:val="24"/>
                <w:szCs w:val="24"/>
              </w:rPr>
              <w:t xml:space="preserve"> </w:t>
            </w:r>
            <w:r w:rsidRPr="00F86034">
              <w:rPr>
                <w:rFonts w:ascii="Arial" w:hAnsi="Arial" w:cs="Arial"/>
                <w:sz w:val="24"/>
                <w:szCs w:val="24"/>
              </w:rPr>
              <w:t>das condições nele estabelecidas ficou prejudicada, uma vez que as exigências técnicas e de qualidade</w:t>
            </w:r>
            <w:r>
              <w:rPr>
                <w:rFonts w:ascii="Arial" w:hAnsi="Arial" w:cs="Arial"/>
                <w:sz w:val="24"/>
                <w:szCs w:val="24"/>
              </w:rPr>
              <w:t xml:space="preserve"> </w:t>
            </w:r>
            <w:r w:rsidRPr="00F86034">
              <w:rPr>
                <w:rFonts w:ascii="Arial" w:hAnsi="Arial" w:cs="Arial"/>
                <w:sz w:val="24"/>
                <w:szCs w:val="24"/>
              </w:rPr>
              <w:t>nas referidas aquisições só poderiam ser atestadas em laudo técnico emitido pelo setor de controle de</w:t>
            </w:r>
            <w:r>
              <w:rPr>
                <w:rFonts w:ascii="Arial" w:hAnsi="Arial" w:cs="Arial"/>
                <w:sz w:val="24"/>
                <w:szCs w:val="24"/>
              </w:rPr>
              <w:t xml:space="preserve"> </w:t>
            </w:r>
            <w:r w:rsidRPr="00F86034">
              <w:rPr>
                <w:rFonts w:ascii="Arial" w:hAnsi="Arial" w:cs="Arial"/>
                <w:sz w:val="24"/>
                <w:szCs w:val="24"/>
              </w:rPr>
              <w:t>qualidade da própria acordante, a maior interessada.</w:t>
            </w:r>
          </w:p>
        </w:tc>
      </w:tr>
    </w:tbl>
    <w:p w14:paraId="67524364" w14:textId="01656308" w:rsidR="00CC7EF3" w:rsidRDefault="00CC7EF3" w:rsidP="0051313D">
      <w:pPr>
        <w:ind w:firstLine="851"/>
        <w:jc w:val="both"/>
        <w:rPr>
          <w:rFonts w:ascii="Arial" w:hAnsi="Arial" w:cs="Arial"/>
          <w:sz w:val="24"/>
          <w:szCs w:val="24"/>
        </w:rPr>
      </w:pPr>
    </w:p>
    <w:p w14:paraId="1C10F92F" w14:textId="77777777" w:rsidR="00E20B38" w:rsidRDefault="00F86034" w:rsidP="0045427E">
      <w:pPr>
        <w:spacing w:line="360" w:lineRule="auto"/>
        <w:ind w:firstLine="851"/>
        <w:jc w:val="both"/>
        <w:rPr>
          <w:rFonts w:ascii="Arial" w:hAnsi="Arial" w:cs="Arial"/>
          <w:sz w:val="24"/>
          <w:szCs w:val="24"/>
        </w:rPr>
      </w:pPr>
      <w:r>
        <w:rPr>
          <w:rFonts w:ascii="Arial" w:hAnsi="Arial" w:cs="Arial"/>
          <w:sz w:val="24"/>
          <w:szCs w:val="24"/>
        </w:rPr>
        <w:t xml:space="preserve">Desse quadro resumo, </w:t>
      </w:r>
      <w:r w:rsidR="0045427E">
        <w:rPr>
          <w:rFonts w:ascii="Arial" w:hAnsi="Arial" w:cs="Arial"/>
          <w:sz w:val="24"/>
          <w:szCs w:val="24"/>
        </w:rPr>
        <w:t>percebe-se que</w:t>
      </w:r>
      <w:r w:rsidR="00B553B8">
        <w:rPr>
          <w:rFonts w:ascii="Arial" w:hAnsi="Arial" w:cs="Arial"/>
          <w:sz w:val="24"/>
          <w:szCs w:val="24"/>
        </w:rPr>
        <w:t xml:space="preserve">, a partir de uma fiscalização </w:t>
      </w:r>
      <w:r w:rsidR="006A6990">
        <w:rPr>
          <w:rFonts w:ascii="Arial" w:hAnsi="Arial" w:cs="Arial"/>
          <w:sz w:val="24"/>
          <w:szCs w:val="24"/>
        </w:rPr>
        <w:t xml:space="preserve">um pouco </w:t>
      </w:r>
      <w:r w:rsidR="00B553B8">
        <w:rPr>
          <w:rFonts w:ascii="Arial" w:hAnsi="Arial" w:cs="Arial"/>
          <w:sz w:val="24"/>
          <w:szCs w:val="24"/>
        </w:rPr>
        <w:t>mais detida – ainda que exclusivamente fiscal –</w:t>
      </w:r>
      <w:r w:rsidR="0045427E">
        <w:rPr>
          <w:rFonts w:ascii="Arial" w:hAnsi="Arial" w:cs="Arial"/>
          <w:sz w:val="24"/>
          <w:szCs w:val="24"/>
        </w:rPr>
        <w:t xml:space="preserve"> a empresa não vem cumprido as contrapartidas</w:t>
      </w:r>
      <w:r w:rsidR="00F932C3">
        <w:rPr>
          <w:rFonts w:ascii="Arial" w:hAnsi="Arial" w:cs="Arial"/>
          <w:sz w:val="24"/>
          <w:szCs w:val="24"/>
        </w:rPr>
        <w:t xml:space="preserve"> previstas no TARE, </w:t>
      </w:r>
      <w:r w:rsidR="00B553B8">
        <w:rPr>
          <w:rFonts w:ascii="Arial" w:hAnsi="Arial" w:cs="Arial"/>
          <w:sz w:val="24"/>
          <w:szCs w:val="24"/>
        </w:rPr>
        <w:t>ao argumento de crise econômica, como em relação à ampliação do complexo industrial e à geração de empregos.</w:t>
      </w:r>
    </w:p>
    <w:p w14:paraId="2F73848E" w14:textId="73FC989B" w:rsidR="00E20B38" w:rsidRDefault="00E20B38" w:rsidP="0045427E">
      <w:pPr>
        <w:spacing w:line="360" w:lineRule="auto"/>
        <w:ind w:firstLine="851"/>
        <w:jc w:val="both"/>
        <w:rPr>
          <w:rFonts w:ascii="Arial" w:hAnsi="Arial" w:cs="Arial"/>
          <w:sz w:val="24"/>
          <w:szCs w:val="24"/>
        </w:rPr>
      </w:pPr>
      <w:r>
        <w:rPr>
          <w:rFonts w:ascii="Arial" w:hAnsi="Arial" w:cs="Arial"/>
          <w:sz w:val="24"/>
          <w:szCs w:val="24"/>
        </w:rPr>
        <w:t xml:space="preserve">Aqui se percebe uma fragilidade na confecção do TARE, visto que mesmo sendo visível que a empresa se encontra desalinhada em vários aspectos, continua a fruir o crédito outorgado, e a manifestação de auditoria sugere que continuará a fazê-lo até </w:t>
      </w:r>
      <w:r w:rsidR="002D1314">
        <w:rPr>
          <w:rFonts w:ascii="Arial" w:hAnsi="Arial" w:cs="Arial"/>
          <w:sz w:val="24"/>
          <w:szCs w:val="24"/>
        </w:rPr>
        <w:t>o término do</w:t>
      </w:r>
      <w:r>
        <w:rPr>
          <w:rFonts w:ascii="Arial" w:hAnsi="Arial" w:cs="Arial"/>
          <w:sz w:val="24"/>
          <w:szCs w:val="24"/>
        </w:rPr>
        <w:t xml:space="preserve"> prazo final previsto no TARE. O ideal seria o estabelecimento de metas p</w:t>
      </w:r>
      <w:r w:rsidR="002D1314">
        <w:rPr>
          <w:rFonts w:ascii="Arial" w:hAnsi="Arial" w:cs="Arial"/>
          <w:sz w:val="24"/>
          <w:szCs w:val="24"/>
        </w:rPr>
        <w:t xml:space="preserve">eriódicas, de aferição objetiva, </w:t>
      </w:r>
      <w:r>
        <w:rPr>
          <w:rFonts w:ascii="Arial" w:hAnsi="Arial" w:cs="Arial"/>
          <w:sz w:val="24"/>
          <w:szCs w:val="24"/>
        </w:rPr>
        <w:t>em vez de projetá-las para verificação somente ao final do projeto, após decorridos anos ou até mesmo décadas.</w:t>
      </w:r>
      <w:r w:rsidR="002D1314">
        <w:rPr>
          <w:rFonts w:ascii="Arial" w:hAnsi="Arial" w:cs="Arial"/>
          <w:sz w:val="24"/>
          <w:szCs w:val="24"/>
        </w:rPr>
        <w:t xml:space="preserve"> A própria lei determina que a Administração Tributária ateste anualmente as contrapartidas exigidas (LC nº 138/2018, art. 44, § 2º), o que não vem sendo cumprido.</w:t>
      </w:r>
    </w:p>
    <w:p w14:paraId="10B8631C" w14:textId="77777777" w:rsidR="00A301DD" w:rsidRDefault="006D190E" w:rsidP="0045427E">
      <w:pPr>
        <w:spacing w:line="360" w:lineRule="auto"/>
        <w:ind w:firstLine="851"/>
        <w:jc w:val="both"/>
        <w:rPr>
          <w:rFonts w:ascii="Arial" w:hAnsi="Arial" w:cs="Arial"/>
          <w:sz w:val="24"/>
          <w:szCs w:val="24"/>
        </w:rPr>
      </w:pPr>
      <w:r>
        <w:rPr>
          <w:rFonts w:ascii="Arial" w:hAnsi="Arial" w:cs="Arial"/>
          <w:sz w:val="24"/>
          <w:szCs w:val="24"/>
        </w:rPr>
        <w:t xml:space="preserve">Além disso, </w:t>
      </w:r>
      <w:r w:rsidR="00A301DD">
        <w:rPr>
          <w:rFonts w:ascii="Arial" w:hAnsi="Arial" w:cs="Arial"/>
          <w:sz w:val="24"/>
          <w:szCs w:val="24"/>
        </w:rPr>
        <w:t xml:space="preserve">a fiscalização mostrou-se frágil também quanto ao último quesito, referente à preferência nas aquisições de fornecedores goianos, </w:t>
      </w:r>
      <w:r w:rsidR="00A301DD" w:rsidRPr="00AB351B">
        <w:rPr>
          <w:rFonts w:ascii="Arial" w:hAnsi="Arial" w:cs="Arial"/>
          <w:sz w:val="24"/>
          <w:szCs w:val="24"/>
        </w:rPr>
        <w:t>desde que atendidas as exigências técnicas e de qualidade</w:t>
      </w:r>
      <w:r w:rsidR="00A301DD">
        <w:rPr>
          <w:rFonts w:ascii="Arial" w:hAnsi="Arial" w:cs="Arial"/>
          <w:sz w:val="24"/>
          <w:szCs w:val="24"/>
        </w:rPr>
        <w:t xml:space="preserve">. O auditor fiscal simplesmente se manifestou sobre o último aspecto da exigência (de caráter mais subjetivo), no sentido de que quem deve aferir as </w:t>
      </w:r>
      <w:r w:rsidR="00A301DD" w:rsidRPr="00F86034">
        <w:rPr>
          <w:rFonts w:ascii="Arial" w:hAnsi="Arial" w:cs="Arial"/>
          <w:sz w:val="24"/>
          <w:szCs w:val="24"/>
        </w:rPr>
        <w:t>exigências técnicas e de qualidade</w:t>
      </w:r>
      <w:r w:rsidR="00A301DD">
        <w:rPr>
          <w:rFonts w:ascii="Arial" w:hAnsi="Arial" w:cs="Arial"/>
          <w:sz w:val="24"/>
          <w:szCs w:val="24"/>
        </w:rPr>
        <w:t xml:space="preserve"> </w:t>
      </w:r>
      <w:r w:rsidR="00A301DD" w:rsidRPr="00F86034">
        <w:rPr>
          <w:rFonts w:ascii="Arial" w:hAnsi="Arial" w:cs="Arial"/>
          <w:sz w:val="24"/>
          <w:szCs w:val="24"/>
        </w:rPr>
        <w:t xml:space="preserve">nas referidas aquisições </w:t>
      </w:r>
      <w:r w:rsidR="00A301DD">
        <w:rPr>
          <w:rFonts w:ascii="Arial" w:hAnsi="Arial" w:cs="Arial"/>
          <w:sz w:val="24"/>
          <w:szCs w:val="24"/>
        </w:rPr>
        <w:t>seria o próprio</w:t>
      </w:r>
      <w:r w:rsidR="00A301DD" w:rsidRPr="00F86034">
        <w:rPr>
          <w:rFonts w:ascii="Arial" w:hAnsi="Arial" w:cs="Arial"/>
          <w:sz w:val="24"/>
          <w:szCs w:val="24"/>
        </w:rPr>
        <w:t xml:space="preserve"> setor de controle de</w:t>
      </w:r>
      <w:r w:rsidR="00A301DD">
        <w:rPr>
          <w:rFonts w:ascii="Arial" w:hAnsi="Arial" w:cs="Arial"/>
          <w:sz w:val="24"/>
          <w:szCs w:val="24"/>
        </w:rPr>
        <w:t xml:space="preserve"> </w:t>
      </w:r>
      <w:r w:rsidR="00A301DD" w:rsidRPr="00F86034">
        <w:rPr>
          <w:rFonts w:ascii="Arial" w:hAnsi="Arial" w:cs="Arial"/>
          <w:sz w:val="24"/>
          <w:szCs w:val="24"/>
        </w:rPr>
        <w:t xml:space="preserve">qualidade da </w:t>
      </w:r>
      <w:r w:rsidR="00A301DD">
        <w:rPr>
          <w:rFonts w:ascii="Arial" w:hAnsi="Arial" w:cs="Arial"/>
          <w:sz w:val="24"/>
          <w:szCs w:val="24"/>
        </w:rPr>
        <w:t>empresa</w:t>
      </w:r>
      <w:r w:rsidR="00A301DD" w:rsidRPr="00F86034">
        <w:rPr>
          <w:rFonts w:ascii="Arial" w:hAnsi="Arial" w:cs="Arial"/>
          <w:sz w:val="24"/>
          <w:szCs w:val="24"/>
        </w:rPr>
        <w:t>, a maior interessada</w:t>
      </w:r>
      <w:r w:rsidR="00A301DD">
        <w:rPr>
          <w:rFonts w:ascii="Arial" w:hAnsi="Arial" w:cs="Arial"/>
          <w:sz w:val="24"/>
          <w:szCs w:val="24"/>
        </w:rPr>
        <w:t xml:space="preserve">. </w:t>
      </w:r>
    </w:p>
    <w:p w14:paraId="2994EA92" w14:textId="25164568" w:rsidR="00F86034" w:rsidRDefault="00A301DD" w:rsidP="0045427E">
      <w:pPr>
        <w:spacing w:line="360" w:lineRule="auto"/>
        <w:ind w:firstLine="851"/>
        <w:jc w:val="both"/>
        <w:rPr>
          <w:rFonts w:ascii="Arial" w:hAnsi="Arial" w:cs="Arial"/>
          <w:sz w:val="24"/>
          <w:szCs w:val="24"/>
        </w:rPr>
      </w:pPr>
      <w:r>
        <w:rPr>
          <w:rFonts w:ascii="Arial" w:hAnsi="Arial" w:cs="Arial"/>
          <w:sz w:val="24"/>
          <w:szCs w:val="24"/>
        </w:rPr>
        <w:t>Porém, ainda que se pudesse concordar em parte com esse raciocínio, cumpriria à fiscalização estadual observar o cumprimento do aspecto objetivo da exigência, qual seja, a verificação do percentual de aquisição de fornecedores goianos, como forma de incrementar a cadeia, o que já revela uma fragilidade enorme do relatório nesse tocante, a indicar que a Administração Tributária não tem analisado também esse aspecto</w:t>
      </w:r>
      <w:r w:rsidR="000131D6">
        <w:rPr>
          <w:rFonts w:ascii="Arial" w:hAnsi="Arial" w:cs="Arial"/>
          <w:sz w:val="24"/>
          <w:szCs w:val="24"/>
        </w:rPr>
        <w:t>, a despeito de sua exigência</w:t>
      </w:r>
      <w:r>
        <w:rPr>
          <w:rFonts w:ascii="Arial" w:hAnsi="Arial" w:cs="Arial"/>
          <w:sz w:val="24"/>
          <w:szCs w:val="24"/>
        </w:rPr>
        <w:t xml:space="preserve"> </w:t>
      </w:r>
      <w:r w:rsidR="000131D6">
        <w:rPr>
          <w:rFonts w:ascii="Arial" w:hAnsi="Arial" w:cs="Arial"/>
          <w:sz w:val="24"/>
          <w:szCs w:val="24"/>
        </w:rPr>
        <w:t xml:space="preserve">expressa </w:t>
      </w:r>
      <w:r>
        <w:rPr>
          <w:rFonts w:ascii="Arial" w:hAnsi="Arial" w:cs="Arial"/>
          <w:sz w:val="24"/>
          <w:szCs w:val="24"/>
        </w:rPr>
        <w:t>no TARE.</w:t>
      </w:r>
    </w:p>
    <w:p w14:paraId="67A23F19" w14:textId="796D4A9D" w:rsidR="009C17C7" w:rsidRDefault="009C17C7" w:rsidP="0045427E">
      <w:pPr>
        <w:spacing w:line="360" w:lineRule="auto"/>
        <w:ind w:firstLine="851"/>
        <w:jc w:val="both"/>
        <w:rPr>
          <w:rFonts w:ascii="Arial" w:hAnsi="Arial" w:cs="Arial"/>
          <w:sz w:val="24"/>
          <w:szCs w:val="24"/>
        </w:rPr>
      </w:pPr>
      <w:r>
        <w:rPr>
          <w:rFonts w:ascii="Arial" w:hAnsi="Arial" w:cs="Arial"/>
          <w:sz w:val="24"/>
          <w:szCs w:val="24"/>
        </w:rPr>
        <w:lastRenderedPageBreak/>
        <w:t>Por fim, o relatório termina com um simples “</w:t>
      </w:r>
      <w:r>
        <w:rPr>
          <w:rFonts w:ascii="TimesNewRoman" w:eastAsiaTheme="minorHAnsi" w:hAnsi="TimesNewRoman" w:cs="TimesNewRoman"/>
          <w:sz w:val="24"/>
          <w:szCs w:val="24"/>
          <w:lang w:eastAsia="en-US"/>
        </w:rPr>
        <w:t>esta é a nossa manifestação</w:t>
      </w:r>
      <w:r>
        <w:rPr>
          <w:rFonts w:ascii="Arial" w:hAnsi="Arial" w:cs="Arial"/>
          <w:sz w:val="24"/>
          <w:szCs w:val="24"/>
        </w:rPr>
        <w:t xml:space="preserve">”, sem apontar à autoridade superior recomendação pela fruição ou glosa do benefício; </w:t>
      </w:r>
      <w:r w:rsidR="00063349">
        <w:rPr>
          <w:rFonts w:ascii="Arial" w:hAnsi="Arial" w:cs="Arial"/>
          <w:sz w:val="24"/>
          <w:szCs w:val="24"/>
        </w:rPr>
        <w:t>pelo contexto</w:t>
      </w:r>
      <w:r>
        <w:rPr>
          <w:rFonts w:ascii="Arial" w:hAnsi="Arial" w:cs="Arial"/>
          <w:sz w:val="24"/>
          <w:szCs w:val="24"/>
        </w:rPr>
        <w:t xml:space="preserve"> dos fatos desbravados nesta CPI, imagina-se que a posição da Administração Tributária tenha sido a de permitir o crédito, mesmo com todas essas </w:t>
      </w:r>
      <w:r w:rsidR="00A2010F">
        <w:rPr>
          <w:rFonts w:ascii="Arial" w:hAnsi="Arial" w:cs="Arial"/>
          <w:sz w:val="24"/>
          <w:szCs w:val="24"/>
        </w:rPr>
        <w:t>irregularidades</w:t>
      </w:r>
      <w:r>
        <w:rPr>
          <w:rFonts w:ascii="Arial" w:hAnsi="Arial" w:cs="Arial"/>
          <w:sz w:val="24"/>
          <w:szCs w:val="24"/>
        </w:rPr>
        <w:t>.</w:t>
      </w:r>
    </w:p>
    <w:p w14:paraId="70D46830" w14:textId="77777777" w:rsidR="00B13EDE" w:rsidRDefault="00B13EDE" w:rsidP="0045427E">
      <w:pPr>
        <w:spacing w:line="360" w:lineRule="auto"/>
        <w:ind w:firstLine="851"/>
        <w:jc w:val="both"/>
        <w:rPr>
          <w:rFonts w:ascii="Arial" w:hAnsi="Arial" w:cs="Arial"/>
          <w:sz w:val="24"/>
          <w:szCs w:val="24"/>
        </w:rPr>
      </w:pPr>
    </w:p>
    <w:p w14:paraId="5D79BAA2" w14:textId="42A80AB5" w:rsidR="002E5B2D" w:rsidRDefault="002E5B2D" w:rsidP="002E5B2D">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w:t>
      </w:r>
      <w:r>
        <w:rPr>
          <w:rFonts w:ascii="Arial" w:hAnsi="Arial" w:cs="Arial"/>
          <w:b/>
          <w:sz w:val="24"/>
          <w:szCs w:val="24"/>
        </w:rPr>
        <w:t>2.4</w:t>
      </w:r>
      <w:r w:rsidRPr="0031082B">
        <w:rPr>
          <w:rFonts w:ascii="Arial" w:hAnsi="Arial" w:cs="Arial"/>
          <w:b/>
          <w:sz w:val="24"/>
          <w:szCs w:val="24"/>
        </w:rPr>
        <w:t>.</w:t>
      </w:r>
      <w:r>
        <w:rPr>
          <w:rFonts w:ascii="Arial" w:hAnsi="Arial" w:cs="Arial"/>
          <w:b/>
          <w:sz w:val="24"/>
          <w:szCs w:val="24"/>
        </w:rPr>
        <w:t>2</w:t>
      </w:r>
      <w:r w:rsidRPr="008E54B5">
        <w:rPr>
          <w:rFonts w:ascii="Arial" w:hAnsi="Arial" w:cs="Arial"/>
          <w:b/>
          <w:sz w:val="24"/>
          <w:szCs w:val="24"/>
        </w:rPr>
        <w:t>.</w:t>
      </w:r>
      <w:r>
        <w:rPr>
          <w:rFonts w:ascii="Arial" w:hAnsi="Arial" w:cs="Arial"/>
          <w:b/>
          <w:sz w:val="24"/>
          <w:szCs w:val="24"/>
        </w:rPr>
        <w:t xml:space="preserve">4. </w:t>
      </w:r>
      <w:r>
        <w:rPr>
          <w:rFonts w:ascii="Arial" w:hAnsi="Arial" w:cs="Arial"/>
          <w:sz w:val="24"/>
          <w:szCs w:val="24"/>
        </w:rPr>
        <w:t xml:space="preserve">Dos últimos 2 (dois) relatórios encaminhados a esta CPI, um conclui pela desistência do projeto e lançamento de ofício do ICMS em desfavor de uma empresa; e outro pela regularidade dos investimentos apresentados até o momento da lavratura da manifestação com indicação de vistoria </w:t>
      </w:r>
      <w:r w:rsidRPr="00A12ED0">
        <w:rPr>
          <w:rFonts w:ascii="Arial" w:hAnsi="Arial" w:cs="Arial"/>
          <w:i/>
          <w:sz w:val="24"/>
          <w:szCs w:val="24"/>
        </w:rPr>
        <w:t>in loco</w:t>
      </w:r>
      <w:r>
        <w:rPr>
          <w:rFonts w:ascii="Arial" w:hAnsi="Arial" w:cs="Arial"/>
          <w:sz w:val="24"/>
          <w:szCs w:val="24"/>
        </w:rPr>
        <w:t xml:space="preserve"> pela Gerência de Controle de Incentivos Fiscais, novamente aqui referida.</w:t>
      </w:r>
    </w:p>
    <w:p w14:paraId="1C121084" w14:textId="1876FA65" w:rsidR="002E5B2D" w:rsidRDefault="002E5B2D" w:rsidP="002E5B2D">
      <w:pPr>
        <w:spacing w:line="360" w:lineRule="auto"/>
        <w:ind w:firstLine="851"/>
        <w:jc w:val="both"/>
        <w:rPr>
          <w:rFonts w:ascii="Arial" w:hAnsi="Arial" w:cs="Arial"/>
          <w:sz w:val="24"/>
          <w:szCs w:val="24"/>
        </w:rPr>
      </w:pPr>
      <w:r>
        <w:rPr>
          <w:rFonts w:ascii="Arial" w:hAnsi="Arial" w:cs="Arial"/>
          <w:sz w:val="24"/>
          <w:szCs w:val="24"/>
        </w:rPr>
        <w:t>Nesse contexto, entende-se desnecessário transcrever o conteúdo desses últimos relatórios mencionados, tendo em vista que a ideia principal já foi sintetizada e revela aspectos já descritos ao longo deste relatório.</w:t>
      </w:r>
    </w:p>
    <w:p w14:paraId="591E517F" w14:textId="3111AC04" w:rsidR="002E5B2D" w:rsidRDefault="002E5B2D" w:rsidP="0045427E">
      <w:pPr>
        <w:spacing w:line="360" w:lineRule="auto"/>
        <w:ind w:firstLine="851"/>
        <w:jc w:val="both"/>
        <w:rPr>
          <w:rFonts w:ascii="Arial" w:hAnsi="Arial" w:cs="Arial"/>
          <w:sz w:val="24"/>
          <w:szCs w:val="24"/>
        </w:rPr>
      </w:pPr>
    </w:p>
    <w:p w14:paraId="0E00E3C2" w14:textId="63F681E6" w:rsidR="00414F02" w:rsidRDefault="00414F02" w:rsidP="0045427E">
      <w:pPr>
        <w:spacing w:line="360" w:lineRule="auto"/>
        <w:ind w:firstLine="851"/>
        <w:jc w:val="both"/>
        <w:rPr>
          <w:rFonts w:ascii="Arial" w:hAnsi="Arial" w:cs="Arial"/>
          <w:sz w:val="24"/>
          <w:szCs w:val="24"/>
        </w:rPr>
      </w:pPr>
      <w:r w:rsidRPr="0031082B">
        <w:rPr>
          <w:rFonts w:ascii="Arial" w:hAnsi="Arial" w:cs="Arial"/>
          <w:b/>
          <w:sz w:val="24"/>
          <w:szCs w:val="24"/>
        </w:rPr>
        <w:t>7.</w:t>
      </w:r>
      <w:r>
        <w:rPr>
          <w:rFonts w:ascii="Arial" w:hAnsi="Arial" w:cs="Arial"/>
          <w:b/>
          <w:sz w:val="24"/>
          <w:szCs w:val="24"/>
        </w:rPr>
        <w:t>4</w:t>
      </w:r>
      <w:r w:rsidRPr="0031082B">
        <w:rPr>
          <w:rFonts w:ascii="Arial" w:hAnsi="Arial" w:cs="Arial"/>
          <w:b/>
          <w:sz w:val="24"/>
          <w:szCs w:val="24"/>
        </w:rPr>
        <w:t>.</w:t>
      </w:r>
      <w:r>
        <w:rPr>
          <w:rFonts w:ascii="Arial" w:hAnsi="Arial" w:cs="Arial"/>
          <w:b/>
          <w:sz w:val="24"/>
          <w:szCs w:val="24"/>
        </w:rPr>
        <w:t xml:space="preserve">2.5 </w:t>
      </w:r>
      <w:r w:rsidR="008122E3">
        <w:rPr>
          <w:rFonts w:ascii="Arial" w:hAnsi="Arial" w:cs="Arial"/>
          <w:b/>
          <w:sz w:val="24"/>
          <w:szCs w:val="24"/>
        </w:rPr>
        <w:t>–</w:t>
      </w:r>
      <w:r>
        <w:rPr>
          <w:rFonts w:ascii="Arial" w:hAnsi="Arial" w:cs="Arial"/>
          <w:b/>
          <w:sz w:val="24"/>
          <w:szCs w:val="24"/>
        </w:rPr>
        <w:t xml:space="preserve"> </w:t>
      </w:r>
      <w:r w:rsidR="000D7C8D">
        <w:rPr>
          <w:rFonts w:ascii="Arial" w:hAnsi="Arial" w:cs="Arial"/>
          <w:b/>
          <w:sz w:val="24"/>
          <w:szCs w:val="24"/>
        </w:rPr>
        <w:t>Metodologia de avaliação, fiscalização e auditoria</w:t>
      </w:r>
    </w:p>
    <w:p w14:paraId="15ED82B3" w14:textId="77777777" w:rsidR="00431F5A" w:rsidRDefault="00431F5A" w:rsidP="00A9253D">
      <w:pPr>
        <w:spacing w:line="360" w:lineRule="auto"/>
        <w:ind w:firstLine="851"/>
        <w:jc w:val="both"/>
        <w:rPr>
          <w:rFonts w:ascii="Arial" w:hAnsi="Arial" w:cs="Arial"/>
          <w:sz w:val="24"/>
          <w:szCs w:val="24"/>
        </w:rPr>
      </w:pPr>
    </w:p>
    <w:p w14:paraId="7D1B303F" w14:textId="0F9DD101" w:rsidR="00DD29C6" w:rsidRDefault="00DD29C6" w:rsidP="00A9253D">
      <w:pPr>
        <w:spacing w:line="360" w:lineRule="auto"/>
        <w:ind w:firstLine="851"/>
        <w:jc w:val="both"/>
        <w:rPr>
          <w:rFonts w:ascii="Arial" w:hAnsi="Arial" w:cs="Arial"/>
          <w:sz w:val="24"/>
          <w:szCs w:val="24"/>
        </w:rPr>
      </w:pPr>
      <w:r>
        <w:rPr>
          <w:rFonts w:ascii="Arial" w:hAnsi="Arial" w:cs="Arial"/>
          <w:sz w:val="24"/>
          <w:szCs w:val="24"/>
        </w:rPr>
        <w:t>A fim de conhecer em detalhes o trabalho do fisco goiano, esta CPI requisitou informações no sentido de “e</w:t>
      </w:r>
      <w:r w:rsidRPr="00DD29C6">
        <w:rPr>
          <w:rFonts w:ascii="Arial" w:hAnsi="Arial" w:cs="Arial"/>
          <w:sz w:val="24"/>
          <w:szCs w:val="24"/>
        </w:rPr>
        <w:t xml:space="preserve">sclarecer a metodologia de análise e avaliação de contrapartidas de cada uma das categorias de benefícios fiscais, realizada pelo fisco ou outro órgão competente, notadamente acerca dos critérios a serem atendidos, formas de aferição (se exclusivamente documental ou também mediante visitas </w:t>
      </w:r>
      <w:r w:rsidRPr="00DD29C6">
        <w:rPr>
          <w:rFonts w:ascii="Arial" w:hAnsi="Arial" w:cs="Arial"/>
          <w:i/>
          <w:sz w:val="24"/>
          <w:szCs w:val="24"/>
        </w:rPr>
        <w:t>in loco</w:t>
      </w:r>
      <w:r w:rsidRPr="00DD29C6">
        <w:rPr>
          <w:rFonts w:ascii="Arial" w:hAnsi="Arial" w:cs="Arial"/>
          <w:sz w:val="24"/>
          <w:szCs w:val="24"/>
        </w:rPr>
        <w:t xml:space="preserve"> etc), eventual prazo para regularização de pendências encontradas e espécies de providências e penalidades que podem ser adotadas/aplicadas em caso de persistência das irregularidades</w:t>
      </w:r>
      <w:r w:rsidR="00F026C4">
        <w:rPr>
          <w:rFonts w:ascii="Arial" w:hAnsi="Arial" w:cs="Arial"/>
          <w:sz w:val="24"/>
          <w:szCs w:val="24"/>
        </w:rPr>
        <w:t>” (Ofício nº 09/2019-CPI, item 1).</w:t>
      </w:r>
    </w:p>
    <w:p w14:paraId="194301ED" w14:textId="3A9E24B5" w:rsidR="00C70E99" w:rsidRDefault="00F026C4" w:rsidP="00A9253D">
      <w:pPr>
        <w:spacing w:line="360" w:lineRule="auto"/>
        <w:ind w:firstLine="851"/>
        <w:jc w:val="both"/>
        <w:rPr>
          <w:rFonts w:ascii="Arial" w:hAnsi="Arial" w:cs="Arial"/>
          <w:sz w:val="24"/>
          <w:szCs w:val="24"/>
        </w:rPr>
      </w:pPr>
      <w:r>
        <w:rPr>
          <w:rFonts w:ascii="Arial" w:hAnsi="Arial" w:cs="Arial"/>
          <w:sz w:val="24"/>
          <w:szCs w:val="24"/>
        </w:rPr>
        <w:t>Referente a esse pedido, a Secretaria de Estado da Economia respondeu</w:t>
      </w:r>
      <w:r w:rsidR="001A0FF3">
        <w:rPr>
          <w:rFonts w:ascii="Arial" w:hAnsi="Arial" w:cs="Arial"/>
          <w:sz w:val="24"/>
          <w:szCs w:val="24"/>
        </w:rPr>
        <w:t>, em maio de 2019,</w:t>
      </w:r>
      <w:r>
        <w:rPr>
          <w:rFonts w:ascii="Arial" w:hAnsi="Arial" w:cs="Arial"/>
          <w:sz w:val="24"/>
          <w:szCs w:val="24"/>
        </w:rPr>
        <w:t xml:space="preserve"> no sentido de que os esclarecimentos pertinentes estavam em fase de elaboração e que seriam posteriormente atendidos (Ofício nº 2.756/2019-Economia, Despacho nº 2893/2019, item 1)</w:t>
      </w:r>
      <w:r w:rsidR="00AC0C52">
        <w:rPr>
          <w:rFonts w:ascii="Arial" w:hAnsi="Arial" w:cs="Arial"/>
          <w:sz w:val="24"/>
          <w:szCs w:val="24"/>
        </w:rPr>
        <w:t xml:space="preserve">. </w:t>
      </w:r>
      <w:r w:rsidR="009C18EC">
        <w:rPr>
          <w:rFonts w:ascii="Arial" w:hAnsi="Arial" w:cs="Arial"/>
          <w:sz w:val="24"/>
          <w:szCs w:val="24"/>
        </w:rPr>
        <w:t>Tendo em vista que</w:t>
      </w:r>
      <w:r w:rsidR="001A0FF3">
        <w:rPr>
          <w:rFonts w:ascii="Arial" w:hAnsi="Arial" w:cs="Arial"/>
          <w:sz w:val="24"/>
          <w:szCs w:val="24"/>
        </w:rPr>
        <w:t xml:space="preserve"> não houve resposta formal sobre o pedido</w:t>
      </w:r>
      <w:r w:rsidR="00854403">
        <w:rPr>
          <w:rFonts w:ascii="Arial" w:hAnsi="Arial" w:cs="Arial"/>
          <w:sz w:val="24"/>
          <w:szCs w:val="24"/>
        </w:rPr>
        <w:t xml:space="preserve">, </w:t>
      </w:r>
      <w:r w:rsidR="00EB2CBD">
        <w:rPr>
          <w:rFonts w:ascii="Arial" w:hAnsi="Arial" w:cs="Arial"/>
          <w:sz w:val="24"/>
          <w:szCs w:val="24"/>
        </w:rPr>
        <w:t>esta CPI reiterou o pedido</w:t>
      </w:r>
      <w:r w:rsidR="00670D12">
        <w:rPr>
          <w:rFonts w:ascii="Arial" w:hAnsi="Arial" w:cs="Arial"/>
          <w:sz w:val="24"/>
          <w:szCs w:val="24"/>
        </w:rPr>
        <w:t xml:space="preserve"> contido</w:t>
      </w:r>
      <w:r w:rsidR="00EB2CBD">
        <w:rPr>
          <w:rFonts w:ascii="Arial" w:hAnsi="Arial" w:cs="Arial"/>
          <w:sz w:val="24"/>
          <w:szCs w:val="24"/>
        </w:rPr>
        <w:t xml:space="preserve"> no item 4 </w:t>
      </w:r>
      <w:r w:rsidR="00670D12">
        <w:rPr>
          <w:rFonts w:ascii="Arial" w:hAnsi="Arial" w:cs="Arial"/>
          <w:sz w:val="24"/>
          <w:szCs w:val="24"/>
        </w:rPr>
        <w:t>do</w:t>
      </w:r>
      <w:r w:rsidR="00220FFB">
        <w:rPr>
          <w:rFonts w:ascii="Arial" w:hAnsi="Arial" w:cs="Arial"/>
          <w:sz w:val="24"/>
          <w:szCs w:val="24"/>
        </w:rPr>
        <w:t xml:space="preserve"> </w:t>
      </w:r>
      <w:r w:rsidR="00220FFB" w:rsidRPr="00220FFB">
        <w:rPr>
          <w:rFonts w:ascii="Arial" w:hAnsi="Arial" w:cs="Arial"/>
          <w:sz w:val="24"/>
          <w:szCs w:val="24"/>
        </w:rPr>
        <w:t>Ofício nº 31/20</w:t>
      </w:r>
      <w:r w:rsidR="00220FFB">
        <w:rPr>
          <w:rFonts w:ascii="Arial" w:hAnsi="Arial" w:cs="Arial"/>
          <w:sz w:val="24"/>
          <w:szCs w:val="24"/>
        </w:rPr>
        <w:t>19-CPI</w:t>
      </w:r>
      <w:r w:rsidR="00EB2CBD">
        <w:rPr>
          <w:rFonts w:ascii="Arial" w:hAnsi="Arial" w:cs="Arial"/>
          <w:sz w:val="24"/>
          <w:szCs w:val="24"/>
        </w:rPr>
        <w:t>, nos seguintes termos:</w:t>
      </w:r>
    </w:p>
    <w:p w14:paraId="5682FA47" w14:textId="77777777" w:rsidR="00742778" w:rsidRDefault="00742778" w:rsidP="00A9253D">
      <w:pPr>
        <w:spacing w:line="360" w:lineRule="auto"/>
        <w:ind w:firstLine="851"/>
        <w:jc w:val="both"/>
        <w:rPr>
          <w:rFonts w:ascii="Arial" w:hAnsi="Arial" w:cs="Arial"/>
          <w:sz w:val="24"/>
          <w:szCs w:val="24"/>
        </w:rPr>
      </w:pPr>
    </w:p>
    <w:p w14:paraId="0522BB34" w14:textId="4FD7BC68" w:rsidR="00F67C46" w:rsidRDefault="00F67C46" w:rsidP="00505254">
      <w:pPr>
        <w:ind w:left="2268"/>
        <w:jc w:val="both"/>
        <w:rPr>
          <w:rFonts w:ascii="Arial" w:hAnsi="Arial" w:cs="Arial"/>
          <w:color w:val="000000"/>
          <w:sz w:val="22"/>
          <w:szCs w:val="22"/>
        </w:rPr>
      </w:pPr>
      <w:r w:rsidRPr="00F67C46">
        <w:rPr>
          <w:rFonts w:ascii="Arial" w:hAnsi="Arial" w:cs="Arial"/>
          <w:b/>
          <w:color w:val="000000"/>
          <w:sz w:val="22"/>
          <w:szCs w:val="22"/>
        </w:rPr>
        <w:t>Qual o órgão e quantos técnicos são responsáveis atualmente pela realização das auditorias</w:t>
      </w:r>
      <w:r w:rsidRPr="00F67C46">
        <w:rPr>
          <w:rFonts w:ascii="Arial" w:hAnsi="Arial" w:cs="Arial"/>
          <w:color w:val="000000"/>
          <w:sz w:val="22"/>
          <w:szCs w:val="22"/>
        </w:rPr>
        <w:t xml:space="preserve"> </w:t>
      </w:r>
      <w:r w:rsidRPr="00F67C46">
        <w:rPr>
          <w:rFonts w:ascii="Arial" w:hAnsi="Arial" w:cs="Arial"/>
          <w:b/>
          <w:color w:val="000000"/>
          <w:sz w:val="22"/>
          <w:szCs w:val="22"/>
        </w:rPr>
        <w:t xml:space="preserve">e qual é a sistemática de trabalho </w:t>
      </w:r>
      <w:r w:rsidRPr="00F67C46">
        <w:rPr>
          <w:rFonts w:ascii="Arial" w:hAnsi="Arial" w:cs="Arial"/>
          <w:color w:val="000000"/>
          <w:sz w:val="22"/>
          <w:szCs w:val="22"/>
        </w:rPr>
        <w:t xml:space="preserve">(se é um </w:t>
      </w:r>
      <w:r w:rsidRPr="00F67C46">
        <w:rPr>
          <w:rFonts w:ascii="Arial" w:hAnsi="Arial" w:cs="Arial"/>
          <w:color w:val="000000"/>
          <w:sz w:val="22"/>
          <w:szCs w:val="22"/>
        </w:rPr>
        <w:lastRenderedPageBreak/>
        <w:t xml:space="preserve">único técnico ou mais de um que realiza a auditoria na mesma empresa, se de uma auditoria para outra na mesma empresa os técnicos são mantidos ou alterados, se a análise é exclusivamente documental ou também </w:t>
      </w:r>
      <w:r w:rsidRPr="00F67C46">
        <w:rPr>
          <w:rFonts w:ascii="Arial" w:hAnsi="Arial" w:cs="Arial"/>
          <w:i/>
          <w:color w:val="000000"/>
          <w:sz w:val="22"/>
          <w:szCs w:val="22"/>
        </w:rPr>
        <w:t>in loco</w:t>
      </w:r>
      <w:r w:rsidRPr="00F67C46">
        <w:rPr>
          <w:rFonts w:ascii="Arial" w:hAnsi="Arial" w:cs="Arial"/>
          <w:color w:val="000000"/>
          <w:sz w:val="22"/>
          <w:szCs w:val="22"/>
        </w:rPr>
        <w:t xml:space="preserve">, quantas auditorias </w:t>
      </w:r>
      <w:r w:rsidRPr="00F67C46">
        <w:rPr>
          <w:rFonts w:ascii="Arial" w:hAnsi="Arial" w:cs="Arial"/>
          <w:i/>
          <w:color w:val="000000"/>
          <w:sz w:val="22"/>
          <w:szCs w:val="22"/>
        </w:rPr>
        <w:t>in loco</w:t>
      </w:r>
      <w:r w:rsidRPr="00F67C46">
        <w:rPr>
          <w:rFonts w:ascii="Arial" w:hAnsi="Arial" w:cs="Arial"/>
          <w:color w:val="000000"/>
          <w:sz w:val="22"/>
          <w:szCs w:val="22"/>
        </w:rPr>
        <w:t xml:space="preserve"> foram efetuadas nos últimos cinco anos, se é comum a análise de cumprimento dos investimentos ser feita por amostragem etc)</w:t>
      </w:r>
      <w:r w:rsidR="000259BB">
        <w:rPr>
          <w:rFonts w:ascii="Arial" w:hAnsi="Arial" w:cs="Arial"/>
          <w:color w:val="000000"/>
          <w:sz w:val="22"/>
          <w:szCs w:val="22"/>
        </w:rPr>
        <w:t>.</w:t>
      </w:r>
    </w:p>
    <w:p w14:paraId="6C436A34" w14:textId="77777777" w:rsidR="00F67C46" w:rsidRDefault="00F67C46" w:rsidP="00A9253D">
      <w:pPr>
        <w:spacing w:line="360" w:lineRule="auto"/>
        <w:ind w:firstLine="851"/>
        <w:jc w:val="both"/>
        <w:rPr>
          <w:rFonts w:ascii="Arial" w:hAnsi="Arial" w:cs="Arial"/>
          <w:sz w:val="24"/>
          <w:szCs w:val="24"/>
        </w:rPr>
      </w:pPr>
    </w:p>
    <w:p w14:paraId="5F7A1E85" w14:textId="1DB8599B" w:rsidR="00F67C46" w:rsidRDefault="00670D12" w:rsidP="00A9253D">
      <w:pPr>
        <w:spacing w:line="360" w:lineRule="auto"/>
        <w:ind w:firstLine="851"/>
        <w:jc w:val="both"/>
        <w:rPr>
          <w:rFonts w:ascii="Arial" w:hAnsi="Arial" w:cs="Arial"/>
          <w:sz w:val="24"/>
          <w:szCs w:val="24"/>
        </w:rPr>
      </w:pPr>
      <w:r>
        <w:rPr>
          <w:rFonts w:ascii="Arial" w:hAnsi="Arial" w:cs="Arial"/>
          <w:sz w:val="24"/>
          <w:szCs w:val="24"/>
        </w:rPr>
        <w:t xml:space="preserve">Contudo, até </w:t>
      </w:r>
      <w:r w:rsidR="009C18EC">
        <w:rPr>
          <w:rFonts w:ascii="Arial" w:hAnsi="Arial" w:cs="Arial"/>
          <w:sz w:val="24"/>
          <w:szCs w:val="24"/>
        </w:rPr>
        <w:t>fevereiro</w:t>
      </w:r>
      <w:r>
        <w:rPr>
          <w:rFonts w:ascii="Arial" w:hAnsi="Arial" w:cs="Arial"/>
          <w:sz w:val="24"/>
          <w:szCs w:val="24"/>
        </w:rPr>
        <w:t xml:space="preserve"> de 2020, nenhuma resposta aportou a esta CPI em caráter formal</w:t>
      </w:r>
      <w:r w:rsidR="00351362">
        <w:rPr>
          <w:rFonts w:ascii="Arial" w:hAnsi="Arial" w:cs="Arial"/>
          <w:sz w:val="24"/>
          <w:szCs w:val="24"/>
        </w:rPr>
        <w:t>. Não obstante, a partir da documentação encaminhada após insistentes pedidos e reiterações desta CPI,</w:t>
      </w:r>
      <w:r w:rsidR="00873A3E">
        <w:rPr>
          <w:rFonts w:ascii="Arial" w:hAnsi="Arial" w:cs="Arial"/>
          <w:sz w:val="24"/>
          <w:szCs w:val="24"/>
        </w:rPr>
        <w:t xml:space="preserve"> foi possível</w:t>
      </w:r>
      <w:r w:rsidR="00351362">
        <w:rPr>
          <w:rFonts w:ascii="Arial" w:hAnsi="Arial" w:cs="Arial"/>
          <w:sz w:val="24"/>
          <w:szCs w:val="24"/>
        </w:rPr>
        <w:t xml:space="preserve"> </w:t>
      </w:r>
      <w:r w:rsidR="00873A3E">
        <w:rPr>
          <w:rFonts w:ascii="Arial" w:hAnsi="Arial" w:cs="Arial"/>
          <w:sz w:val="24"/>
          <w:szCs w:val="24"/>
        </w:rPr>
        <w:t>constatar o seguinte, em síntese:</w:t>
      </w:r>
    </w:p>
    <w:p w14:paraId="353C87BD" w14:textId="77777777" w:rsidR="00505254" w:rsidRDefault="00505254" w:rsidP="00A9253D">
      <w:pPr>
        <w:spacing w:line="360" w:lineRule="auto"/>
        <w:ind w:firstLine="851"/>
        <w:jc w:val="both"/>
        <w:rPr>
          <w:rFonts w:ascii="Arial" w:hAnsi="Arial" w:cs="Arial"/>
          <w:sz w:val="24"/>
          <w:szCs w:val="24"/>
        </w:rPr>
      </w:pPr>
    </w:p>
    <w:p w14:paraId="4C5C6205" w14:textId="161CA13F" w:rsidR="00873A3E" w:rsidRDefault="00F636E1" w:rsidP="00502615">
      <w:pPr>
        <w:pStyle w:val="PargrafodaLista"/>
        <w:numPr>
          <w:ilvl w:val="0"/>
          <w:numId w:val="25"/>
        </w:numPr>
        <w:spacing w:line="360" w:lineRule="auto"/>
        <w:jc w:val="both"/>
        <w:rPr>
          <w:rFonts w:ascii="Arial" w:hAnsi="Arial" w:cs="Arial"/>
          <w:sz w:val="24"/>
          <w:szCs w:val="24"/>
        </w:rPr>
      </w:pPr>
      <w:r>
        <w:rPr>
          <w:rFonts w:ascii="Arial" w:hAnsi="Arial" w:cs="Arial"/>
          <w:sz w:val="24"/>
          <w:szCs w:val="24"/>
          <w:u w:val="single"/>
        </w:rPr>
        <w:t>inexistência</w:t>
      </w:r>
      <w:r w:rsidR="003D51E8" w:rsidRPr="003D51E8">
        <w:rPr>
          <w:rFonts w:ascii="Arial" w:hAnsi="Arial" w:cs="Arial"/>
          <w:sz w:val="24"/>
          <w:szCs w:val="24"/>
          <w:u w:val="single"/>
        </w:rPr>
        <w:t>, em geral, rotina de fiscalização periódica sobre as empresas beneficiárias de incentivos fiscais</w:t>
      </w:r>
      <w:r w:rsidR="003D51E8">
        <w:rPr>
          <w:rFonts w:ascii="Arial" w:hAnsi="Arial" w:cs="Arial"/>
          <w:sz w:val="24"/>
          <w:szCs w:val="24"/>
        </w:rPr>
        <w:t xml:space="preserve">, </w:t>
      </w:r>
      <w:r>
        <w:rPr>
          <w:rFonts w:ascii="Arial" w:hAnsi="Arial" w:cs="Arial"/>
          <w:sz w:val="24"/>
          <w:szCs w:val="24"/>
        </w:rPr>
        <w:t>a revelar a ausência de um plano de fiscalização coordenado entre os diferentes órgãos envolvidos</w:t>
      </w:r>
      <w:r w:rsidR="006F0D7A">
        <w:rPr>
          <w:rFonts w:ascii="Arial" w:hAnsi="Arial" w:cs="Arial"/>
          <w:sz w:val="24"/>
          <w:szCs w:val="24"/>
        </w:rPr>
        <w:t xml:space="preserve"> e um acúmulo de períodos objeto da mesma ação fiscalizatória</w:t>
      </w:r>
      <w:r w:rsidR="003D51E8">
        <w:rPr>
          <w:rFonts w:ascii="Arial" w:hAnsi="Arial" w:cs="Arial"/>
          <w:sz w:val="24"/>
          <w:szCs w:val="24"/>
        </w:rPr>
        <w:t>;</w:t>
      </w:r>
    </w:p>
    <w:p w14:paraId="28DA522D" w14:textId="4311414F" w:rsidR="003D51E8" w:rsidRDefault="003D51E8" w:rsidP="00502615">
      <w:pPr>
        <w:pStyle w:val="PargrafodaLista"/>
        <w:numPr>
          <w:ilvl w:val="0"/>
          <w:numId w:val="25"/>
        </w:numPr>
        <w:spacing w:line="360" w:lineRule="auto"/>
        <w:jc w:val="both"/>
        <w:rPr>
          <w:rFonts w:ascii="Arial" w:hAnsi="Arial" w:cs="Arial"/>
          <w:sz w:val="24"/>
          <w:szCs w:val="24"/>
        </w:rPr>
      </w:pPr>
      <w:r>
        <w:rPr>
          <w:rFonts w:ascii="Arial" w:hAnsi="Arial" w:cs="Arial"/>
          <w:sz w:val="24"/>
          <w:szCs w:val="24"/>
          <w:u w:val="single"/>
        </w:rPr>
        <w:t>essa fiscalização, quando ocorre, tem se limitado, no mais das vezes, à análise de cunho exclusivamente fiscal</w:t>
      </w:r>
      <w:r>
        <w:rPr>
          <w:rFonts w:ascii="Arial" w:hAnsi="Arial" w:cs="Arial"/>
          <w:sz w:val="24"/>
          <w:szCs w:val="24"/>
        </w:rPr>
        <w:t xml:space="preserve">, </w:t>
      </w:r>
      <w:r w:rsidR="00FB4257">
        <w:rPr>
          <w:rFonts w:ascii="Arial" w:hAnsi="Arial" w:cs="Arial"/>
          <w:sz w:val="24"/>
          <w:szCs w:val="24"/>
        </w:rPr>
        <w:t>conforme reiteradamente registrado em relatórios da Gerência de Auditoria de Indústria e Atacado da Superintendência da Receita Estadual</w:t>
      </w:r>
      <w:r w:rsidR="005A4434">
        <w:rPr>
          <w:rFonts w:ascii="Arial" w:hAnsi="Arial" w:cs="Arial"/>
          <w:sz w:val="24"/>
          <w:szCs w:val="24"/>
        </w:rPr>
        <w:t>, fiscalizações essas que têm sido realizadas pelo mesmo auditor fiscal em se tratando das mesmas empresas por eles auditadas</w:t>
      </w:r>
      <w:r w:rsidR="00FB4257">
        <w:rPr>
          <w:rFonts w:ascii="Arial" w:hAnsi="Arial" w:cs="Arial"/>
          <w:sz w:val="24"/>
          <w:szCs w:val="24"/>
        </w:rPr>
        <w:t>;</w:t>
      </w:r>
    </w:p>
    <w:p w14:paraId="3B303260" w14:textId="6F818436" w:rsidR="00397A1F" w:rsidRPr="00397A1F" w:rsidRDefault="00397A1F" w:rsidP="00502615">
      <w:pPr>
        <w:pStyle w:val="PargrafodaLista"/>
        <w:numPr>
          <w:ilvl w:val="0"/>
          <w:numId w:val="25"/>
        </w:numPr>
        <w:spacing w:line="360" w:lineRule="auto"/>
        <w:jc w:val="both"/>
        <w:rPr>
          <w:rFonts w:ascii="Arial" w:hAnsi="Arial" w:cs="Arial"/>
          <w:sz w:val="24"/>
          <w:szCs w:val="24"/>
        </w:rPr>
      </w:pPr>
      <w:r w:rsidRPr="00397A1F">
        <w:rPr>
          <w:rFonts w:ascii="Arial" w:hAnsi="Arial" w:cs="Arial"/>
          <w:sz w:val="24"/>
          <w:szCs w:val="24"/>
          <w:u w:val="single"/>
        </w:rPr>
        <w:t xml:space="preserve">ausência </w:t>
      </w:r>
      <w:r w:rsidRPr="00A36220">
        <w:rPr>
          <w:rFonts w:ascii="Arial" w:hAnsi="Arial" w:cs="Arial"/>
          <w:sz w:val="24"/>
          <w:szCs w:val="24"/>
          <w:u w:val="single"/>
        </w:rPr>
        <w:t xml:space="preserve">de vistoria </w:t>
      </w:r>
      <w:r w:rsidRPr="00A36220">
        <w:rPr>
          <w:rFonts w:ascii="Arial" w:hAnsi="Arial" w:cs="Arial"/>
          <w:i/>
          <w:sz w:val="24"/>
          <w:szCs w:val="24"/>
          <w:u w:val="single"/>
        </w:rPr>
        <w:t>in loco</w:t>
      </w:r>
      <w:r w:rsidRPr="00A36220">
        <w:rPr>
          <w:rFonts w:ascii="Arial" w:hAnsi="Arial" w:cs="Arial"/>
          <w:sz w:val="24"/>
          <w:szCs w:val="24"/>
          <w:u w:val="single"/>
        </w:rPr>
        <w:t xml:space="preserve"> na sede das empresas, em caráter complementar às auditorias fiscais</w:t>
      </w:r>
      <w:r w:rsidR="008F0551">
        <w:rPr>
          <w:rStyle w:val="Refdenotaderodap"/>
          <w:rFonts w:ascii="Arial" w:hAnsi="Arial" w:cs="Arial"/>
          <w:sz w:val="24"/>
          <w:szCs w:val="24"/>
          <w:u w:val="single"/>
        </w:rPr>
        <w:footnoteReference w:id="80"/>
      </w:r>
      <w:r>
        <w:rPr>
          <w:rFonts w:ascii="Arial" w:hAnsi="Arial" w:cs="Arial"/>
          <w:sz w:val="24"/>
          <w:szCs w:val="24"/>
        </w:rPr>
        <w:t xml:space="preserve">, a fim de verificar se os produtos e serviços relacionados em notas fiscais apresentadas pelas empresas </w:t>
      </w:r>
      <w:r w:rsidR="00281BCE">
        <w:rPr>
          <w:rFonts w:ascii="Arial" w:hAnsi="Arial" w:cs="Arial"/>
          <w:sz w:val="24"/>
          <w:szCs w:val="24"/>
        </w:rPr>
        <w:t xml:space="preserve">a título de investimentos </w:t>
      </w:r>
      <w:r>
        <w:rPr>
          <w:rFonts w:ascii="Arial" w:hAnsi="Arial" w:cs="Arial"/>
          <w:sz w:val="24"/>
          <w:szCs w:val="24"/>
        </w:rPr>
        <w:t xml:space="preserve">foram de fato aplicados na expansão do complexo industrial ou em outro projeto previsto no respectivo TARE, tarefa que deveria ser executada preferencialmente </w:t>
      </w:r>
      <w:r w:rsidR="00A36220">
        <w:rPr>
          <w:rFonts w:ascii="Arial" w:hAnsi="Arial" w:cs="Arial"/>
          <w:sz w:val="24"/>
          <w:szCs w:val="24"/>
        </w:rPr>
        <w:t xml:space="preserve">por engenheiro ou </w:t>
      </w:r>
      <w:r>
        <w:rPr>
          <w:rFonts w:ascii="Arial" w:hAnsi="Arial" w:cs="Arial"/>
          <w:sz w:val="24"/>
          <w:szCs w:val="24"/>
        </w:rPr>
        <w:t xml:space="preserve">outro profissional com formação específica, </w:t>
      </w:r>
      <w:r w:rsidR="00A36220">
        <w:rPr>
          <w:rFonts w:ascii="Arial" w:hAnsi="Arial" w:cs="Arial"/>
          <w:sz w:val="24"/>
          <w:szCs w:val="24"/>
        </w:rPr>
        <w:t>em conjunto com o auditor fiscal</w:t>
      </w:r>
      <w:r w:rsidR="008F0551">
        <w:rPr>
          <w:rFonts w:ascii="Arial" w:hAnsi="Arial" w:cs="Arial"/>
          <w:sz w:val="24"/>
          <w:szCs w:val="24"/>
        </w:rPr>
        <w:t>;</w:t>
      </w:r>
    </w:p>
    <w:p w14:paraId="74C93845" w14:textId="39A8BC88" w:rsidR="008E29EF" w:rsidRDefault="00F636E1" w:rsidP="00502615">
      <w:pPr>
        <w:pStyle w:val="PargrafodaLista"/>
        <w:numPr>
          <w:ilvl w:val="0"/>
          <w:numId w:val="25"/>
        </w:numPr>
        <w:spacing w:line="360" w:lineRule="auto"/>
        <w:jc w:val="both"/>
        <w:rPr>
          <w:rFonts w:ascii="Arial" w:hAnsi="Arial" w:cs="Arial"/>
          <w:sz w:val="24"/>
          <w:szCs w:val="24"/>
        </w:rPr>
      </w:pPr>
      <w:r>
        <w:rPr>
          <w:rFonts w:ascii="Arial" w:hAnsi="Arial" w:cs="Arial"/>
          <w:sz w:val="24"/>
          <w:szCs w:val="24"/>
          <w:u w:val="single"/>
        </w:rPr>
        <w:t>nítido</w:t>
      </w:r>
      <w:r w:rsidR="008E29EF" w:rsidRPr="00F636E1">
        <w:rPr>
          <w:rFonts w:ascii="Arial" w:hAnsi="Arial" w:cs="Arial"/>
          <w:sz w:val="24"/>
          <w:szCs w:val="24"/>
          <w:u w:val="single"/>
        </w:rPr>
        <w:t xml:space="preserve"> impasse entre a Gerência de Auditoria de Indústria e Atacado e a Gerência de Controle de Benefícios Fiscais quanto à</w:t>
      </w:r>
      <w:r w:rsidR="00AE239E">
        <w:rPr>
          <w:rFonts w:ascii="Arial" w:hAnsi="Arial" w:cs="Arial"/>
          <w:sz w:val="24"/>
          <w:szCs w:val="24"/>
          <w:u w:val="single"/>
        </w:rPr>
        <w:t xml:space="preserve"> efetiva</w:t>
      </w:r>
      <w:r w:rsidR="008E29EF" w:rsidRPr="00F636E1">
        <w:rPr>
          <w:rFonts w:ascii="Arial" w:hAnsi="Arial" w:cs="Arial"/>
          <w:sz w:val="24"/>
          <w:szCs w:val="24"/>
          <w:u w:val="single"/>
        </w:rPr>
        <w:t xml:space="preserve"> fiscalização</w:t>
      </w:r>
      <w:r w:rsidR="008E29EF">
        <w:rPr>
          <w:rFonts w:ascii="Arial" w:hAnsi="Arial" w:cs="Arial"/>
          <w:sz w:val="24"/>
          <w:szCs w:val="24"/>
        </w:rPr>
        <w:t xml:space="preserve">, tendo preponderado o trabalho da primeira e a inatividade da segunda, a qual alega </w:t>
      </w:r>
      <w:r w:rsidR="00942C35">
        <w:rPr>
          <w:rFonts w:ascii="Arial" w:hAnsi="Arial" w:cs="Arial"/>
          <w:sz w:val="24"/>
          <w:szCs w:val="24"/>
        </w:rPr>
        <w:t xml:space="preserve">reiteradamente </w:t>
      </w:r>
      <w:r w:rsidR="008E29EF">
        <w:rPr>
          <w:rFonts w:ascii="Arial" w:hAnsi="Arial" w:cs="Arial"/>
          <w:sz w:val="24"/>
          <w:szCs w:val="24"/>
        </w:rPr>
        <w:t xml:space="preserve">carência de pessoal qualificado para vistorias </w:t>
      </w:r>
      <w:r w:rsidR="008E29EF" w:rsidRPr="008E29EF">
        <w:rPr>
          <w:rFonts w:ascii="Arial" w:hAnsi="Arial" w:cs="Arial"/>
          <w:i/>
          <w:sz w:val="24"/>
          <w:szCs w:val="24"/>
        </w:rPr>
        <w:t>in loco</w:t>
      </w:r>
      <w:r w:rsidR="008E29EF">
        <w:rPr>
          <w:rFonts w:ascii="Arial" w:hAnsi="Arial" w:cs="Arial"/>
          <w:sz w:val="24"/>
          <w:szCs w:val="24"/>
        </w:rPr>
        <w:t xml:space="preserve"> e também não ser de sua atribuição e responsabilidade realizá-las</w:t>
      </w:r>
      <w:r>
        <w:rPr>
          <w:rFonts w:ascii="Arial" w:hAnsi="Arial" w:cs="Arial"/>
          <w:sz w:val="24"/>
          <w:szCs w:val="24"/>
        </w:rPr>
        <w:t xml:space="preserve">, muito </w:t>
      </w:r>
      <w:r>
        <w:rPr>
          <w:rFonts w:ascii="Arial" w:hAnsi="Arial" w:cs="Arial"/>
          <w:sz w:val="24"/>
          <w:szCs w:val="24"/>
        </w:rPr>
        <w:lastRenderedPageBreak/>
        <w:t>embora j</w:t>
      </w:r>
      <w:r w:rsidR="00942C35">
        <w:rPr>
          <w:rFonts w:ascii="Arial" w:hAnsi="Arial" w:cs="Arial"/>
          <w:sz w:val="24"/>
          <w:szCs w:val="24"/>
        </w:rPr>
        <w:t>á tenha efetuado vistoria</w:t>
      </w:r>
      <w:r>
        <w:rPr>
          <w:rFonts w:ascii="Arial" w:hAnsi="Arial" w:cs="Arial"/>
          <w:sz w:val="24"/>
          <w:szCs w:val="24"/>
        </w:rPr>
        <w:t xml:space="preserve"> nesse sentido</w:t>
      </w:r>
      <w:r w:rsidR="00AE239E">
        <w:rPr>
          <w:rFonts w:ascii="Arial" w:hAnsi="Arial" w:cs="Arial"/>
          <w:sz w:val="24"/>
          <w:szCs w:val="24"/>
        </w:rPr>
        <w:t>,</w:t>
      </w:r>
      <w:r>
        <w:rPr>
          <w:rFonts w:ascii="Arial" w:hAnsi="Arial" w:cs="Arial"/>
          <w:sz w:val="24"/>
          <w:szCs w:val="24"/>
        </w:rPr>
        <w:t xml:space="preserve"> </w:t>
      </w:r>
      <w:r w:rsidR="00942C35">
        <w:rPr>
          <w:rFonts w:ascii="Arial" w:hAnsi="Arial" w:cs="Arial"/>
          <w:sz w:val="24"/>
          <w:szCs w:val="24"/>
        </w:rPr>
        <w:t>conforme amostra fornecida a esta CPI</w:t>
      </w:r>
      <w:r w:rsidR="008E29EF">
        <w:rPr>
          <w:rFonts w:ascii="Arial" w:hAnsi="Arial" w:cs="Arial"/>
          <w:sz w:val="24"/>
          <w:szCs w:val="24"/>
        </w:rPr>
        <w:t>;</w:t>
      </w:r>
    </w:p>
    <w:p w14:paraId="6C159A58" w14:textId="77ABCFCD" w:rsidR="00F636E1" w:rsidRPr="00E6486F" w:rsidRDefault="00793634" w:rsidP="00502615">
      <w:pPr>
        <w:pStyle w:val="PargrafodaLista"/>
        <w:numPr>
          <w:ilvl w:val="0"/>
          <w:numId w:val="25"/>
        </w:numPr>
        <w:spacing w:line="360" w:lineRule="auto"/>
        <w:jc w:val="both"/>
        <w:rPr>
          <w:rFonts w:ascii="Arial" w:hAnsi="Arial" w:cs="Arial"/>
          <w:sz w:val="24"/>
          <w:szCs w:val="24"/>
        </w:rPr>
      </w:pPr>
      <w:r w:rsidRPr="00793634">
        <w:rPr>
          <w:rFonts w:ascii="Arial" w:hAnsi="Arial" w:cs="Arial"/>
          <w:sz w:val="24"/>
          <w:szCs w:val="24"/>
          <w:u w:val="single"/>
        </w:rPr>
        <w:t>fragilidade de certos relatórios fiscais que se limitam a atestar a regularidade do cumprimento das contrapartidas</w:t>
      </w:r>
      <w:r>
        <w:rPr>
          <w:rFonts w:ascii="Arial" w:hAnsi="Arial" w:cs="Arial"/>
          <w:sz w:val="24"/>
          <w:szCs w:val="24"/>
        </w:rPr>
        <w:t xml:space="preserve">, sem tecer maiores considerações sobre o TARE e as obrigações nele previstas nem à metodologia empregada no trabalho, </w:t>
      </w:r>
      <w:r w:rsidRPr="00E6486F">
        <w:rPr>
          <w:rFonts w:ascii="Arial" w:hAnsi="Arial" w:cs="Arial"/>
          <w:sz w:val="24"/>
          <w:szCs w:val="24"/>
        </w:rPr>
        <w:t>além da suspeição em relação ao conteúdo de outros que confirmam integralmente todos os valores apresentados pelo contribuinte;</w:t>
      </w:r>
    </w:p>
    <w:p w14:paraId="154FDCD8" w14:textId="111AE417" w:rsidR="00793634" w:rsidRDefault="001E3B54" w:rsidP="00502615">
      <w:pPr>
        <w:pStyle w:val="PargrafodaLista"/>
        <w:numPr>
          <w:ilvl w:val="0"/>
          <w:numId w:val="25"/>
        </w:numPr>
        <w:spacing w:line="360" w:lineRule="auto"/>
        <w:jc w:val="both"/>
        <w:rPr>
          <w:rFonts w:ascii="Arial" w:hAnsi="Arial" w:cs="Arial"/>
          <w:sz w:val="24"/>
          <w:szCs w:val="24"/>
        </w:rPr>
      </w:pPr>
      <w:r>
        <w:rPr>
          <w:rFonts w:ascii="Arial" w:hAnsi="Arial" w:cs="Arial"/>
          <w:sz w:val="24"/>
          <w:szCs w:val="24"/>
          <w:u w:val="single"/>
        </w:rPr>
        <w:t>inexistência</w:t>
      </w:r>
      <w:r w:rsidR="00793634">
        <w:rPr>
          <w:rFonts w:ascii="Arial" w:hAnsi="Arial" w:cs="Arial"/>
          <w:sz w:val="24"/>
          <w:szCs w:val="24"/>
          <w:u w:val="single"/>
        </w:rPr>
        <w:t xml:space="preserve"> de programas de integridade (</w:t>
      </w:r>
      <w:r w:rsidR="00793634" w:rsidRPr="00DE6A87">
        <w:rPr>
          <w:rFonts w:ascii="Arial" w:hAnsi="Arial" w:cs="Arial"/>
          <w:i/>
          <w:sz w:val="24"/>
          <w:szCs w:val="24"/>
          <w:u w:val="single"/>
        </w:rPr>
        <w:t>compliance</w:t>
      </w:r>
      <w:r w:rsidR="00793634">
        <w:rPr>
          <w:rFonts w:ascii="Arial" w:hAnsi="Arial" w:cs="Arial"/>
          <w:sz w:val="24"/>
          <w:szCs w:val="24"/>
          <w:u w:val="single"/>
        </w:rPr>
        <w:t>) público</w:t>
      </w:r>
      <w:r w:rsidR="00793634">
        <w:rPr>
          <w:rFonts w:ascii="Arial" w:hAnsi="Arial" w:cs="Arial"/>
          <w:sz w:val="24"/>
          <w:szCs w:val="24"/>
        </w:rPr>
        <w:t>,</w:t>
      </w:r>
      <w:r w:rsidR="007D59B2">
        <w:rPr>
          <w:rFonts w:ascii="Arial" w:hAnsi="Arial" w:cs="Arial"/>
          <w:sz w:val="24"/>
          <w:szCs w:val="24"/>
        </w:rPr>
        <w:t xml:space="preserve"> a fim de detectar situaçõ</w:t>
      </w:r>
      <w:r w:rsidR="004767BC">
        <w:rPr>
          <w:rFonts w:ascii="Arial" w:hAnsi="Arial" w:cs="Arial"/>
          <w:sz w:val="24"/>
          <w:szCs w:val="24"/>
        </w:rPr>
        <w:t>es suspeitas e alertar as autoridades competentes para adoção de procedimentos de revisão</w:t>
      </w:r>
      <w:r w:rsidR="00AF5CB4">
        <w:rPr>
          <w:rFonts w:ascii="Arial" w:hAnsi="Arial" w:cs="Arial"/>
          <w:sz w:val="24"/>
          <w:szCs w:val="24"/>
        </w:rPr>
        <w:t xml:space="preserve"> e</w:t>
      </w:r>
      <w:r w:rsidR="004767BC">
        <w:rPr>
          <w:rFonts w:ascii="Arial" w:hAnsi="Arial" w:cs="Arial"/>
          <w:sz w:val="24"/>
          <w:szCs w:val="24"/>
        </w:rPr>
        <w:t xml:space="preserve"> de conferência das auditorias consideradas “fora do padrão”</w:t>
      </w:r>
      <w:r>
        <w:rPr>
          <w:rFonts w:ascii="Arial" w:hAnsi="Arial" w:cs="Arial"/>
          <w:sz w:val="24"/>
          <w:szCs w:val="24"/>
        </w:rPr>
        <w:t>, além da ausência de exigência de programas similares no âmbito das empresas beneficiárias</w:t>
      </w:r>
      <w:r w:rsidR="004767BC">
        <w:rPr>
          <w:rFonts w:ascii="Arial" w:hAnsi="Arial" w:cs="Arial"/>
          <w:sz w:val="24"/>
          <w:szCs w:val="24"/>
        </w:rPr>
        <w:t>;</w:t>
      </w:r>
    </w:p>
    <w:p w14:paraId="05E1453D" w14:textId="66C1664E" w:rsidR="009031C0" w:rsidRDefault="001E3B54" w:rsidP="00502615">
      <w:pPr>
        <w:pStyle w:val="PargrafodaLista"/>
        <w:numPr>
          <w:ilvl w:val="0"/>
          <w:numId w:val="25"/>
        </w:numPr>
        <w:spacing w:line="360" w:lineRule="auto"/>
        <w:jc w:val="both"/>
        <w:rPr>
          <w:rFonts w:ascii="Arial" w:hAnsi="Arial" w:cs="Arial"/>
          <w:sz w:val="24"/>
          <w:szCs w:val="24"/>
        </w:rPr>
      </w:pPr>
      <w:r>
        <w:rPr>
          <w:rFonts w:ascii="Arial" w:hAnsi="Arial" w:cs="Arial"/>
          <w:sz w:val="24"/>
          <w:szCs w:val="24"/>
          <w:u w:val="single"/>
        </w:rPr>
        <w:t>deficiência na</w:t>
      </w:r>
      <w:r w:rsidR="009031C0">
        <w:rPr>
          <w:rFonts w:ascii="Arial" w:hAnsi="Arial" w:cs="Arial"/>
          <w:sz w:val="24"/>
          <w:szCs w:val="24"/>
          <w:u w:val="single"/>
        </w:rPr>
        <w:t xml:space="preserve"> verificação de </w:t>
      </w:r>
      <w:r w:rsidR="00D62A27">
        <w:rPr>
          <w:rFonts w:ascii="Arial" w:hAnsi="Arial" w:cs="Arial"/>
          <w:sz w:val="24"/>
          <w:szCs w:val="24"/>
          <w:u w:val="single"/>
        </w:rPr>
        <w:t>certos</w:t>
      </w:r>
      <w:r w:rsidR="009031C0">
        <w:rPr>
          <w:rFonts w:ascii="Arial" w:hAnsi="Arial" w:cs="Arial"/>
          <w:sz w:val="24"/>
          <w:szCs w:val="24"/>
          <w:u w:val="single"/>
        </w:rPr>
        <w:t xml:space="preserve"> requisitos previstos </w:t>
      </w:r>
      <w:r w:rsidR="00761A9A">
        <w:rPr>
          <w:rFonts w:ascii="Arial" w:hAnsi="Arial" w:cs="Arial"/>
          <w:sz w:val="24"/>
          <w:szCs w:val="24"/>
          <w:u w:val="single"/>
        </w:rPr>
        <w:t>nos</w:t>
      </w:r>
      <w:r w:rsidR="009031C0">
        <w:rPr>
          <w:rFonts w:ascii="Arial" w:hAnsi="Arial" w:cs="Arial"/>
          <w:sz w:val="24"/>
          <w:szCs w:val="24"/>
          <w:u w:val="single"/>
        </w:rPr>
        <w:t xml:space="preserve"> TARE</w:t>
      </w:r>
      <w:r w:rsidR="00761A9A">
        <w:rPr>
          <w:rFonts w:ascii="Arial" w:hAnsi="Arial" w:cs="Arial"/>
          <w:sz w:val="24"/>
          <w:szCs w:val="24"/>
          <w:u w:val="single"/>
        </w:rPr>
        <w:t>’s</w:t>
      </w:r>
      <w:r w:rsidR="009031C0">
        <w:rPr>
          <w:rFonts w:ascii="Arial" w:hAnsi="Arial" w:cs="Arial"/>
          <w:sz w:val="24"/>
          <w:szCs w:val="24"/>
        </w:rPr>
        <w:t xml:space="preserve">, </w:t>
      </w:r>
      <w:r w:rsidR="00D62A27">
        <w:rPr>
          <w:rFonts w:ascii="Arial" w:hAnsi="Arial" w:cs="Arial"/>
          <w:sz w:val="24"/>
          <w:szCs w:val="24"/>
        </w:rPr>
        <w:t xml:space="preserve">como </w:t>
      </w:r>
      <w:r>
        <w:rPr>
          <w:rFonts w:ascii="Arial" w:hAnsi="Arial" w:cs="Arial"/>
          <w:sz w:val="24"/>
          <w:szCs w:val="24"/>
        </w:rPr>
        <w:t>quanto à</w:t>
      </w:r>
      <w:r w:rsidR="00D62A27">
        <w:rPr>
          <w:rFonts w:ascii="Arial" w:hAnsi="Arial" w:cs="Arial"/>
          <w:sz w:val="24"/>
          <w:szCs w:val="24"/>
        </w:rPr>
        <w:t xml:space="preserve"> aquisição de insumos e de outros produtos necessários ao projeto de fornecedores internos, isto é, localizados no Estado de Goiás</w:t>
      </w:r>
      <w:r w:rsidR="00D52316">
        <w:rPr>
          <w:rFonts w:ascii="Arial" w:hAnsi="Arial" w:cs="Arial"/>
          <w:sz w:val="24"/>
          <w:szCs w:val="24"/>
        </w:rPr>
        <w:t>;</w:t>
      </w:r>
    </w:p>
    <w:p w14:paraId="5736DC57" w14:textId="77777777" w:rsidR="00505254" w:rsidRDefault="00505254" w:rsidP="00A9253D">
      <w:pPr>
        <w:spacing w:line="360" w:lineRule="auto"/>
        <w:ind w:firstLine="851"/>
        <w:jc w:val="both"/>
        <w:rPr>
          <w:rFonts w:ascii="Arial" w:hAnsi="Arial" w:cs="Arial"/>
          <w:sz w:val="24"/>
          <w:szCs w:val="24"/>
        </w:rPr>
      </w:pPr>
    </w:p>
    <w:p w14:paraId="435EB711" w14:textId="04FC1ED1" w:rsidR="00446747" w:rsidRPr="00E6486F" w:rsidRDefault="00213903" w:rsidP="00A9253D">
      <w:pPr>
        <w:spacing w:line="360" w:lineRule="auto"/>
        <w:ind w:firstLine="851"/>
        <w:jc w:val="both"/>
        <w:rPr>
          <w:rFonts w:ascii="Arial" w:hAnsi="Arial" w:cs="Arial"/>
          <w:sz w:val="24"/>
          <w:szCs w:val="24"/>
        </w:rPr>
      </w:pPr>
      <w:r w:rsidRPr="00E6486F">
        <w:rPr>
          <w:rFonts w:ascii="Arial" w:hAnsi="Arial" w:cs="Arial"/>
          <w:sz w:val="24"/>
          <w:szCs w:val="24"/>
        </w:rPr>
        <w:t>Em relação ao</w:t>
      </w:r>
      <w:r w:rsidR="00E6033B" w:rsidRPr="00E6486F">
        <w:rPr>
          <w:rFonts w:ascii="Arial" w:hAnsi="Arial" w:cs="Arial"/>
          <w:sz w:val="24"/>
          <w:szCs w:val="24"/>
        </w:rPr>
        <w:t>s</w:t>
      </w:r>
      <w:r w:rsidRPr="00E6486F">
        <w:rPr>
          <w:rFonts w:ascii="Arial" w:hAnsi="Arial" w:cs="Arial"/>
          <w:sz w:val="24"/>
          <w:szCs w:val="24"/>
        </w:rPr>
        <w:t xml:space="preserve"> ite</w:t>
      </w:r>
      <w:r w:rsidR="00E6033B" w:rsidRPr="00E6486F">
        <w:rPr>
          <w:rFonts w:ascii="Arial" w:hAnsi="Arial" w:cs="Arial"/>
          <w:sz w:val="24"/>
          <w:szCs w:val="24"/>
        </w:rPr>
        <w:t>ns</w:t>
      </w:r>
      <w:r w:rsidRPr="00E6486F">
        <w:rPr>
          <w:rFonts w:ascii="Arial" w:hAnsi="Arial" w:cs="Arial"/>
          <w:sz w:val="24"/>
          <w:szCs w:val="24"/>
        </w:rPr>
        <w:t xml:space="preserve"> “c”</w:t>
      </w:r>
      <w:r w:rsidR="00E6033B" w:rsidRPr="00E6486F">
        <w:rPr>
          <w:rFonts w:ascii="Arial" w:hAnsi="Arial" w:cs="Arial"/>
          <w:sz w:val="24"/>
          <w:szCs w:val="24"/>
        </w:rPr>
        <w:t xml:space="preserve"> e “d”</w:t>
      </w:r>
      <w:r w:rsidRPr="00E6486F">
        <w:rPr>
          <w:rFonts w:ascii="Arial" w:hAnsi="Arial" w:cs="Arial"/>
          <w:sz w:val="24"/>
          <w:szCs w:val="24"/>
        </w:rPr>
        <w:t xml:space="preserve">, retro, esta CPI entende importante fazer um registro: embora os auditores fiscais tenham reiteradamente emitido opinião no sentido de que não lhes compete participar de vistorias </w:t>
      </w:r>
      <w:r w:rsidRPr="00E6486F">
        <w:rPr>
          <w:rFonts w:ascii="Arial" w:hAnsi="Arial" w:cs="Arial"/>
          <w:i/>
          <w:sz w:val="24"/>
          <w:szCs w:val="24"/>
        </w:rPr>
        <w:t>in loco</w:t>
      </w:r>
      <w:r w:rsidR="00446747" w:rsidRPr="00E6486F">
        <w:rPr>
          <w:rFonts w:ascii="Arial" w:hAnsi="Arial" w:cs="Arial"/>
          <w:sz w:val="24"/>
          <w:szCs w:val="24"/>
        </w:rPr>
        <w:t xml:space="preserve">, e sim apenas auditorias de cunho exclusivamente fiscal, </w:t>
      </w:r>
      <w:r w:rsidRPr="00E6486F">
        <w:rPr>
          <w:rFonts w:ascii="Arial" w:hAnsi="Arial" w:cs="Arial"/>
          <w:sz w:val="24"/>
          <w:szCs w:val="24"/>
        </w:rPr>
        <w:t>por força da Lei nº 13.266/1988</w:t>
      </w:r>
      <w:r w:rsidR="00446747" w:rsidRPr="00E6486F">
        <w:rPr>
          <w:rFonts w:ascii="Arial" w:hAnsi="Arial" w:cs="Arial"/>
          <w:sz w:val="24"/>
          <w:szCs w:val="24"/>
        </w:rPr>
        <w:t xml:space="preserve">, entende-se que não há vedação nesse sentido no diploma legal. </w:t>
      </w:r>
    </w:p>
    <w:p w14:paraId="5E5ADE77" w14:textId="77777777" w:rsidR="00446747" w:rsidRPr="00E6486F" w:rsidRDefault="00446747" w:rsidP="00A9253D">
      <w:pPr>
        <w:spacing w:line="360" w:lineRule="auto"/>
        <w:ind w:firstLine="851"/>
        <w:jc w:val="both"/>
        <w:rPr>
          <w:rFonts w:ascii="Arial" w:hAnsi="Arial" w:cs="Arial"/>
          <w:sz w:val="24"/>
          <w:szCs w:val="24"/>
        </w:rPr>
      </w:pPr>
      <w:r w:rsidRPr="00E6486F">
        <w:rPr>
          <w:rFonts w:ascii="Arial" w:hAnsi="Arial" w:cs="Arial"/>
          <w:sz w:val="24"/>
          <w:szCs w:val="24"/>
        </w:rPr>
        <w:t xml:space="preserve">Por se situarem os incentivos fiscais dentro da seara tributária, entende-se que o auditor fiscal tem competência legal para participar de vistorias de forma ampla para verificar o cumprimento das contrapartidas exigidas, embora se reconheça ser altamente recomendável que outros profissionais com expertise técnica o acompanhem no trabalho de fiscalização. </w:t>
      </w:r>
    </w:p>
    <w:p w14:paraId="60FC895F" w14:textId="1FB0C80F" w:rsidR="00220FFB" w:rsidRDefault="00E6486F" w:rsidP="00A9253D">
      <w:pPr>
        <w:spacing w:line="360" w:lineRule="auto"/>
        <w:ind w:firstLine="851"/>
        <w:jc w:val="both"/>
        <w:rPr>
          <w:rFonts w:ascii="Arial" w:hAnsi="Arial" w:cs="Arial"/>
          <w:sz w:val="24"/>
          <w:szCs w:val="24"/>
        </w:rPr>
      </w:pPr>
      <w:r>
        <w:rPr>
          <w:rFonts w:ascii="Arial" w:hAnsi="Arial" w:cs="Arial"/>
          <w:sz w:val="24"/>
          <w:szCs w:val="24"/>
        </w:rPr>
        <w:t>A</w:t>
      </w:r>
      <w:r w:rsidR="00446747" w:rsidRPr="00E6486F">
        <w:rPr>
          <w:rFonts w:ascii="Arial" w:hAnsi="Arial" w:cs="Arial"/>
          <w:sz w:val="24"/>
          <w:szCs w:val="24"/>
        </w:rPr>
        <w:t>qui</w:t>
      </w:r>
      <w:r w:rsidR="00446747">
        <w:rPr>
          <w:rFonts w:ascii="Arial" w:hAnsi="Arial" w:cs="Arial"/>
          <w:sz w:val="24"/>
          <w:szCs w:val="24"/>
        </w:rPr>
        <w:t xml:space="preserve"> já se percebe um enorme gargalo na Administração Tributária porque, no impasse entre as Gerências de Auditoria de Indústria e Atacado e de Incentivos e Benefícios Fiscais, na maior parte das vezes vistoria alguma é feita na </w:t>
      </w:r>
      <w:r w:rsidR="009C18EC">
        <w:rPr>
          <w:rFonts w:ascii="Arial" w:hAnsi="Arial" w:cs="Arial"/>
          <w:sz w:val="24"/>
          <w:szCs w:val="24"/>
        </w:rPr>
        <w:t xml:space="preserve">sede da </w:t>
      </w:r>
      <w:r w:rsidR="00446747">
        <w:rPr>
          <w:rFonts w:ascii="Arial" w:hAnsi="Arial" w:cs="Arial"/>
          <w:sz w:val="24"/>
          <w:szCs w:val="24"/>
        </w:rPr>
        <w:t>empresa e o incentivo</w:t>
      </w:r>
      <w:r w:rsidR="0051571D">
        <w:rPr>
          <w:rFonts w:ascii="Arial" w:hAnsi="Arial" w:cs="Arial"/>
          <w:sz w:val="24"/>
          <w:szCs w:val="24"/>
        </w:rPr>
        <w:t xml:space="preserve"> fiscal</w:t>
      </w:r>
      <w:r w:rsidR="00446747">
        <w:rPr>
          <w:rFonts w:ascii="Arial" w:hAnsi="Arial" w:cs="Arial"/>
          <w:sz w:val="24"/>
          <w:szCs w:val="24"/>
        </w:rPr>
        <w:t xml:space="preserve"> acaba sendo fruído por mera análise escritural de notas fiscais apresentadas pelo contribuinte.</w:t>
      </w:r>
    </w:p>
    <w:p w14:paraId="3809F297" w14:textId="79119706" w:rsidR="0044239F" w:rsidRPr="00B02D73" w:rsidRDefault="0044239F" w:rsidP="0044239F">
      <w:pPr>
        <w:spacing w:line="360" w:lineRule="auto"/>
        <w:ind w:firstLine="851"/>
        <w:jc w:val="both"/>
        <w:rPr>
          <w:rFonts w:ascii="Arial" w:hAnsi="Arial" w:cs="Arial"/>
          <w:sz w:val="24"/>
          <w:szCs w:val="24"/>
        </w:rPr>
      </w:pPr>
      <w:r w:rsidRPr="00B02D73">
        <w:rPr>
          <w:rFonts w:ascii="Arial" w:hAnsi="Arial" w:cs="Arial"/>
          <w:sz w:val="24"/>
          <w:szCs w:val="24"/>
        </w:rPr>
        <w:lastRenderedPageBreak/>
        <w:t xml:space="preserve">Em depoimento na 4ª reunião desta CPI, realizada em 13/05/2019, o servidor Adonídio Vieira Junior confirmou que a Gerência de Controle de Incentivos e Benefícios Fiscais teria essa competência para fazer vistorias </w:t>
      </w:r>
      <w:r w:rsidRPr="00B02D73">
        <w:rPr>
          <w:rFonts w:ascii="Arial" w:hAnsi="Arial" w:cs="Arial"/>
          <w:i/>
          <w:sz w:val="24"/>
          <w:szCs w:val="24"/>
        </w:rPr>
        <w:t>in loco</w:t>
      </w:r>
      <w:r w:rsidRPr="00B02D73">
        <w:rPr>
          <w:rFonts w:ascii="Arial" w:hAnsi="Arial" w:cs="Arial"/>
          <w:sz w:val="24"/>
          <w:szCs w:val="24"/>
        </w:rPr>
        <w:t xml:space="preserve"> e avaliações mais detalhadas, </w:t>
      </w:r>
      <w:r w:rsidR="00896375" w:rsidRPr="00B02D73">
        <w:rPr>
          <w:rFonts w:ascii="Arial" w:hAnsi="Arial" w:cs="Arial"/>
          <w:sz w:val="24"/>
          <w:szCs w:val="24"/>
        </w:rPr>
        <w:t>conforme se infere d</w:t>
      </w:r>
      <w:r w:rsidR="00550858" w:rsidRPr="00B02D73">
        <w:rPr>
          <w:rFonts w:ascii="Arial" w:hAnsi="Arial" w:cs="Arial"/>
          <w:sz w:val="24"/>
          <w:szCs w:val="24"/>
        </w:rPr>
        <w:t xml:space="preserve">a </w:t>
      </w:r>
      <w:r w:rsidR="00896375" w:rsidRPr="00B02D73">
        <w:rPr>
          <w:rFonts w:ascii="Arial" w:hAnsi="Arial" w:cs="Arial"/>
          <w:sz w:val="24"/>
          <w:szCs w:val="24"/>
        </w:rPr>
        <w:t xml:space="preserve">seguinte </w:t>
      </w:r>
      <w:r w:rsidR="00550858" w:rsidRPr="00B02D73">
        <w:rPr>
          <w:rFonts w:ascii="Arial" w:hAnsi="Arial" w:cs="Arial"/>
          <w:sz w:val="24"/>
          <w:szCs w:val="24"/>
        </w:rPr>
        <w:t>manifestação</w:t>
      </w:r>
      <w:r w:rsidRPr="00B02D73">
        <w:rPr>
          <w:rFonts w:ascii="Arial" w:hAnsi="Arial" w:cs="Arial"/>
          <w:sz w:val="24"/>
          <w:szCs w:val="24"/>
        </w:rPr>
        <w:t>:</w:t>
      </w:r>
    </w:p>
    <w:p w14:paraId="70AC5AE0" w14:textId="77777777" w:rsidR="0044239F" w:rsidRPr="00B02D73" w:rsidRDefault="0044239F" w:rsidP="0044239F">
      <w:pPr>
        <w:spacing w:line="360" w:lineRule="auto"/>
        <w:ind w:firstLine="851"/>
        <w:jc w:val="both"/>
        <w:rPr>
          <w:rFonts w:ascii="Arial" w:hAnsi="Arial" w:cs="Arial"/>
          <w:sz w:val="24"/>
          <w:szCs w:val="24"/>
        </w:rPr>
      </w:pPr>
    </w:p>
    <w:p w14:paraId="404CD708" w14:textId="77777777" w:rsidR="0044239F" w:rsidRPr="00B02D73" w:rsidRDefault="0044239F" w:rsidP="00505254">
      <w:pPr>
        <w:ind w:left="2268"/>
        <w:jc w:val="both"/>
        <w:rPr>
          <w:rFonts w:ascii="Arial" w:hAnsi="Arial" w:cs="Arial"/>
          <w:color w:val="000000"/>
          <w:sz w:val="22"/>
          <w:szCs w:val="22"/>
        </w:rPr>
      </w:pPr>
      <w:r w:rsidRPr="00B02D73">
        <w:rPr>
          <w:rFonts w:ascii="Arial" w:hAnsi="Arial" w:cs="Arial"/>
          <w:b/>
          <w:color w:val="000000"/>
          <w:sz w:val="22"/>
          <w:szCs w:val="22"/>
        </w:rPr>
        <w:t>Em relação à fiscalização das contrapartidas - e essa é até uma preocupação pessoal minha - existe uma gerência na Secretaria da Economia, que se chama Gerência de Controle de Benefícios e Incentivos Fiscais, que é a responsável - e não é por amostragem, mas na totalidade - por verificar o cumprimento das contrapartidas, dos benefícios que exigem contrapartidas</w:t>
      </w:r>
      <w:r w:rsidRPr="00B02D73">
        <w:rPr>
          <w:rFonts w:ascii="Arial" w:hAnsi="Arial" w:cs="Arial"/>
          <w:color w:val="000000"/>
          <w:sz w:val="22"/>
          <w:szCs w:val="22"/>
        </w:rPr>
        <w:t>. É feita uma auditoria anual, auditoria com visitas, quando necessário, ou olhando nosso sistema, quando se trata de uma contrapartida econômica, olhando CAGED, olhando todos os bancos de dados em relação a emprego. E, aí, fica só uma preocupação minha, porque parece que eu não achei essa gerência na nova reforma administrativa. Como eu não conversei lá, não sei para onde iria o trabalho dos colegas que lá estão, mas talvez seria assumido por uma outra gerência.</w:t>
      </w:r>
    </w:p>
    <w:p w14:paraId="7C5DF714" w14:textId="77777777" w:rsidR="0044239F" w:rsidRPr="00B02D73" w:rsidRDefault="0044239F" w:rsidP="00A9253D">
      <w:pPr>
        <w:spacing w:line="360" w:lineRule="auto"/>
        <w:ind w:firstLine="851"/>
        <w:jc w:val="both"/>
        <w:rPr>
          <w:rFonts w:ascii="Arial" w:hAnsi="Arial" w:cs="Arial"/>
          <w:sz w:val="24"/>
          <w:szCs w:val="24"/>
        </w:rPr>
      </w:pPr>
    </w:p>
    <w:p w14:paraId="0C93E4D9" w14:textId="33C173B5" w:rsidR="00550858" w:rsidRDefault="00550858" w:rsidP="00A9253D">
      <w:pPr>
        <w:spacing w:line="360" w:lineRule="auto"/>
        <w:ind w:firstLine="851"/>
        <w:jc w:val="both"/>
        <w:rPr>
          <w:rFonts w:ascii="Arial" w:hAnsi="Arial" w:cs="Arial"/>
          <w:sz w:val="24"/>
          <w:szCs w:val="24"/>
        </w:rPr>
      </w:pPr>
      <w:r w:rsidRPr="00B02D73">
        <w:rPr>
          <w:rFonts w:ascii="Arial" w:hAnsi="Arial" w:cs="Arial"/>
          <w:b/>
          <w:sz w:val="24"/>
          <w:szCs w:val="24"/>
        </w:rPr>
        <w:t>Contudo,</w:t>
      </w:r>
      <w:r w:rsidR="00C6018E" w:rsidRPr="00B02D73">
        <w:rPr>
          <w:rFonts w:ascii="Arial" w:hAnsi="Arial" w:cs="Arial"/>
          <w:b/>
          <w:sz w:val="24"/>
          <w:szCs w:val="24"/>
        </w:rPr>
        <w:t xml:space="preserve"> diferentemente do afirmado, </w:t>
      </w:r>
      <w:r w:rsidRPr="00B02D73">
        <w:rPr>
          <w:rFonts w:ascii="Arial" w:hAnsi="Arial" w:cs="Arial"/>
          <w:b/>
          <w:sz w:val="24"/>
          <w:szCs w:val="24"/>
        </w:rPr>
        <w:t>o que se verificou na prática é um verdadeiro impasse</w:t>
      </w:r>
      <w:r w:rsidRPr="00B02D73">
        <w:rPr>
          <w:rFonts w:ascii="Arial" w:hAnsi="Arial" w:cs="Arial"/>
          <w:sz w:val="24"/>
          <w:szCs w:val="24"/>
        </w:rPr>
        <w:t xml:space="preserve"> entre a mencionada Gerência e aquela responsável pela auditoria meramente fiscal, de modo a haver </w:t>
      </w:r>
      <w:r w:rsidRPr="00B02D73">
        <w:rPr>
          <w:rFonts w:ascii="Arial" w:hAnsi="Arial" w:cs="Arial"/>
          <w:sz w:val="24"/>
          <w:szCs w:val="24"/>
          <w:u w:val="single"/>
        </w:rPr>
        <w:t>verdadeira inatividade da Gerência de Controle de Benefícios e Incentivos Fiscais</w:t>
      </w:r>
      <w:r w:rsidR="00C6018E" w:rsidRPr="00B02D73">
        <w:rPr>
          <w:rFonts w:ascii="Arial" w:hAnsi="Arial" w:cs="Arial"/>
          <w:sz w:val="24"/>
          <w:szCs w:val="24"/>
        </w:rPr>
        <w:t xml:space="preserve"> em relação aos casos documentalmente fornecidos a esta CPI pela Secretaria de Estado da Economia </w:t>
      </w:r>
      <w:r w:rsidRPr="00B02D73">
        <w:rPr>
          <w:rFonts w:ascii="Arial" w:hAnsi="Arial" w:cs="Arial"/>
          <w:sz w:val="24"/>
          <w:szCs w:val="24"/>
        </w:rPr>
        <w:t xml:space="preserve">– </w:t>
      </w:r>
      <w:r w:rsidR="00C6018E" w:rsidRPr="00B02D73">
        <w:rPr>
          <w:rFonts w:ascii="Arial" w:hAnsi="Arial" w:cs="Arial"/>
          <w:sz w:val="24"/>
          <w:szCs w:val="24"/>
        </w:rPr>
        <w:t xml:space="preserve">exceto em relação </w:t>
      </w:r>
      <w:r w:rsidRPr="00B02D73">
        <w:rPr>
          <w:rFonts w:ascii="Arial" w:hAnsi="Arial" w:cs="Arial"/>
          <w:sz w:val="24"/>
          <w:szCs w:val="24"/>
        </w:rPr>
        <w:t xml:space="preserve">a uma única amostra </w:t>
      </w:r>
      <w:r w:rsidR="00C6018E" w:rsidRPr="00B02D73">
        <w:rPr>
          <w:rFonts w:ascii="Arial" w:hAnsi="Arial" w:cs="Arial"/>
          <w:sz w:val="24"/>
          <w:szCs w:val="24"/>
        </w:rPr>
        <w:t>na qual</w:t>
      </w:r>
      <w:r w:rsidRPr="00B02D73">
        <w:rPr>
          <w:rFonts w:ascii="Arial" w:hAnsi="Arial" w:cs="Arial"/>
          <w:sz w:val="24"/>
          <w:szCs w:val="24"/>
        </w:rPr>
        <w:t xml:space="preserve"> houve uma atuação um pouco mais efetiva – e</w:t>
      </w:r>
      <w:r w:rsidR="00C6018E" w:rsidRPr="00B02D73">
        <w:rPr>
          <w:rFonts w:ascii="Arial" w:hAnsi="Arial" w:cs="Arial"/>
          <w:sz w:val="24"/>
          <w:szCs w:val="24"/>
        </w:rPr>
        <w:t>,</w:t>
      </w:r>
      <w:r w:rsidRPr="00B02D73">
        <w:rPr>
          <w:rFonts w:ascii="Arial" w:hAnsi="Arial" w:cs="Arial"/>
          <w:sz w:val="24"/>
          <w:szCs w:val="24"/>
        </w:rPr>
        <w:t xml:space="preserve"> além disso</w:t>
      </w:r>
      <w:r w:rsidR="00C6018E" w:rsidRPr="00B02D73">
        <w:rPr>
          <w:rFonts w:ascii="Arial" w:hAnsi="Arial" w:cs="Arial"/>
          <w:sz w:val="24"/>
          <w:szCs w:val="24"/>
        </w:rPr>
        <w:t>,</w:t>
      </w:r>
      <w:r w:rsidRPr="00B02D73">
        <w:rPr>
          <w:rFonts w:ascii="Arial" w:hAnsi="Arial" w:cs="Arial"/>
          <w:sz w:val="24"/>
          <w:szCs w:val="24"/>
        </w:rPr>
        <w:t xml:space="preserve"> há manifestação da própria titular dessa Gerência alegando não ser de sua competência</w:t>
      </w:r>
      <w:r w:rsidR="00C6018E" w:rsidRPr="00B02D73">
        <w:rPr>
          <w:rFonts w:ascii="Arial" w:hAnsi="Arial" w:cs="Arial"/>
          <w:sz w:val="24"/>
          <w:szCs w:val="24"/>
        </w:rPr>
        <w:t xml:space="preserve"> proceder a esse tipo de avaliação das contrapartidas, como já demonstrado</w:t>
      </w:r>
      <w:r w:rsidRPr="00B02D73">
        <w:rPr>
          <w:rFonts w:ascii="Arial" w:hAnsi="Arial" w:cs="Arial"/>
          <w:sz w:val="24"/>
          <w:szCs w:val="24"/>
        </w:rPr>
        <w:t>.</w:t>
      </w:r>
    </w:p>
    <w:p w14:paraId="5FFF571E" w14:textId="59CC4585" w:rsidR="00881A1A" w:rsidRDefault="00881A1A" w:rsidP="00A9253D">
      <w:pPr>
        <w:spacing w:line="360" w:lineRule="auto"/>
        <w:ind w:firstLine="851"/>
        <w:jc w:val="both"/>
        <w:rPr>
          <w:rFonts w:ascii="Arial" w:hAnsi="Arial" w:cs="Arial"/>
          <w:sz w:val="24"/>
          <w:szCs w:val="24"/>
        </w:rPr>
      </w:pPr>
      <w:r>
        <w:rPr>
          <w:rFonts w:ascii="Arial" w:hAnsi="Arial" w:cs="Arial"/>
          <w:sz w:val="24"/>
          <w:szCs w:val="24"/>
        </w:rPr>
        <w:t xml:space="preserve">Importante notar que, desde janeiro de 2018, encontra-se em vigor a Lei Complementar nº 138/2018, a qual </w:t>
      </w:r>
      <w:r w:rsidR="00CB58D5">
        <w:rPr>
          <w:rFonts w:ascii="Arial" w:hAnsi="Arial" w:cs="Arial"/>
          <w:sz w:val="24"/>
          <w:szCs w:val="24"/>
        </w:rPr>
        <w:t>prevê o seguinte em seus arts. 44 e 45:</w:t>
      </w:r>
    </w:p>
    <w:p w14:paraId="4CDDFE3D" w14:textId="3801BD0D" w:rsidR="00CB58D5" w:rsidRDefault="00CB58D5" w:rsidP="00A9253D">
      <w:pPr>
        <w:spacing w:line="360" w:lineRule="auto"/>
        <w:ind w:firstLine="851"/>
        <w:jc w:val="both"/>
        <w:rPr>
          <w:rFonts w:ascii="Arial" w:hAnsi="Arial" w:cs="Arial"/>
          <w:sz w:val="24"/>
          <w:szCs w:val="24"/>
        </w:rPr>
      </w:pPr>
    </w:p>
    <w:p w14:paraId="08ED21D1" w14:textId="77777777" w:rsidR="000259BB" w:rsidRPr="000259BB" w:rsidRDefault="000259BB" w:rsidP="00505254">
      <w:pPr>
        <w:ind w:left="2268"/>
        <w:jc w:val="both"/>
        <w:rPr>
          <w:rFonts w:ascii="Arial" w:hAnsi="Arial" w:cs="Arial"/>
          <w:color w:val="000000"/>
          <w:sz w:val="22"/>
          <w:szCs w:val="22"/>
        </w:rPr>
      </w:pPr>
      <w:r w:rsidRPr="000259BB">
        <w:rPr>
          <w:rFonts w:ascii="Arial" w:hAnsi="Arial" w:cs="Arial"/>
          <w:color w:val="000000"/>
          <w:sz w:val="22"/>
          <w:szCs w:val="22"/>
        </w:rPr>
        <w:t>Art. 44. A concessão ou ampliação de incentivo ou benefício de natureza tributária da qual decorra renúncia de receita deverá estar acompanhada de estimativa do impacto orçamentário-financeiro no exercício em que deva iniciar sua vigência e nos dois seguintes, atender ao disposto na Lei de Diretrizes Orçamentárias e às seguintes condições: </w:t>
      </w:r>
    </w:p>
    <w:p w14:paraId="3F9AA6E9" w14:textId="6CC3A3C0" w:rsidR="000259BB" w:rsidRPr="000259BB" w:rsidRDefault="00391040" w:rsidP="00505254">
      <w:pPr>
        <w:ind w:left="2268"/>
        <w:jc w:val="both"/>
        <w:rPr>
          <w:rFonts w:ascii="Arial" w:hAnsi="Arial" w:cs="Arial"/>
          <w:color w:val="000000"/>
          <w:sz w:val="22"/>
          <w:szCs w:val="22"/>
        </w:rPr>
      </w:pPr>
      <w:r>
        <w:rPr>
          <w:rFonts w:ascii="Arial" w:hAnsi="Arial" w:cs="Arial"/>
          <w:color w:val="000000"/>
          <w:sz w:val="22"/>
          <w:szCs w:val="22"/>
        </w:rPr>
        <w:t>[...]</w:t>
      </w:r>
    </w:p>
    <w:p w14:paraId="2B020BD1" w14:textId="5FD90210" w:rsidR="000259BB" w:rsidRDefault="000259BB" w:rsidP="00505254">
      <w:pPr>
        <w:ind w:left="2268"/>
        <w:jc w:val="both"/>
        <w:rPr>
          <w:rFonts w:ascii="Arial" w:hAnsi="Arial" w:cs="Arial"/>
          <w:color w:val="000000"/>
          <w:sz w:val="22"/>
          <w:szCs w:val="22"/>
        </w:rPr>
      </w:pPr>
      <w:r w:rsidRPr="00391040">
        <w:rPr>
          <w:rFonts w:ascii="Arial" w:hAnsi="Arial" w:cs="Arial"/>
          <w:b/>
          <w:color w:val="000000"/>
          <w:sz w:val="22"/>
          <w:szCs w:val="22"/>
        </w:rPr>
        <w:t xml:space="preserve">§ 2° A concessão de benefícios fiscais deverá ter, como contrapartida das empresas, o alcance de metas sociais e econômicas bem definidas, cujo cumprimento deverá ser atestado anualmente pela administração tributária, cuja principal atenção será no sentido da modicidade da renúncia tributária envolvida e na </w:t>
      </w:r>
      <w:r w:rsidRPr="00391040">
        <w:rPr>
          <w:rFonts w:ascii="Arial" w:hAnsi="Arial" w:cs="Arial"/>
          <w:b/>
          <w:color w:val="000000"/>
          <w:sz w:val="22"/>
          <w:szCs w:val="22"/>
        </w:rPr>
        <w:lastRenderedPageBreak/>
        <w:t>amplitude da convergência no desenvolvimento regional a ser obtida</w:t>
      </w:r>
      <w:r w:rsidRPr="000259BB">
        <w:rPr>
          <w:rFonts w:ascii="Arial" w:hAnsi="Arial" w:cs="Arial"/>
          <w:color w:val="000000"/>
          <w:sz w:val="22"/>
          <w:szCs w:val="22"/>
        </w:rPr>
        <w:t>.</w:t>
      </w:r>
    </w:p>
    <w:p w14:paraId="23310BA3" w14:textId="77777777" w:rsidR="000259BB" w:rsidRPr="000259BB" w:rsidRDefault="000259BB" w:rsidP="00505254">
      <w:pPr>
        <w:ind w:left="2268"/>
        <w:jc w:val="both"/>
        <w:rPr>
          <w:rFonts w:ascii="Arial" w:hAnsi="Arial" w:cs="Arial"/>
          <w:color w:val="000000"/>
          <w:sz w:val="22"/>
          <w:szCs w:val="22"/>
        </w:rPr>
      </w:pPr>
    </w:p>
    <w:p w14:paraId="088C1C3C" w14:textId="77777777" w:rsidR="000259BB" w:rsidRPr="000259BB" w:rsidRDefault="000259BB" w:rsidP="00505254">
      <w:pPr>
        <w:ind w:left="2268"/>
        <w:jc w:val="both"/>
        <w:rPr>
          <w:rFonts w:ascii="Arial" w:hAnsi="Arial" w:cs="Arial"/>
          <w:color w:val="000000"/>
          <w:sz w:val="22"/>
          <w:szCs w:val="22"/>
        </w:rPr>
      </w:pPr>
      <w:r w:rsidRPr="000259BB">
        <w:rPr>
          <w:rFonts w:ascii="Arial" w:hAnsi="Arial" w:cs="Arial"/>
          <w:color w:val="000000"/>
          <w:sz w:val="22"/>
          <w:szCs w:val="22"/>
        </w:rPr>
        <w:t>Art. 45. A concessão de incentivos e benefícios fiscais no Estado de Goiás observará as seguintes condições, sem prejuízo da legislação do Estado que verse sobre a matéria:</w:t>
      </w:r>
    </w:p>
    <w:p w14:paraId="325495FA" w14:textId="0AA2FD9D" w:rsidR="000259BB" w:rsidRPr="000259BB" w:rsidRDefault="00354A52" w:rsidP="00505254">
      <w:pPr>
        <w:ind w:left="2268"/>
        <w:jc w:val="both"/>
        <w:rPr>
          <w:rFonts w:ascii="Arial" w:hAnsi="Arial" w:cs="Arial"/>
          <w:color w:val="000000"/>
          <w:sz w:val="22"/>
          <w:szCs w:val="22"/>
        </w:rPr>
      </w:pPr>
      <w:r>
        <w:rPr>
          <w:rFonts w:ascii="Arial" w:hAnsi="Arial" w:cs="Arial"/>
          <w:color w:val="000000"/>
          <w:sz w:val="22"/>
          <w:szCs w:val="22"/>
        </w:rPr>
        <w:t>[...].</w:t>
      </w:r>
    </w:p>
    <w:p w14:paraId="720A6A17" w14:textId="5C6AB978" w:rsidR="000259BB" w:rsidRDefault="000259BB" w:rsidP="00505254">
      <w:pPr>
        <w:ind w:left="2268"/>
        <w:jc w:val="both"/>
        <w:rPr>
          <w:rFonts w:ascii="Arial" w:hAnsi="Arial" w:cs="Arial"/>
          <w:color w:val="000000"/>
          <w:sz w:val="22"/>
          <w:szCs w:val="22"/>
        </w:rPr>
      </w:pPr>
      <w:r w:rsidRPr="00354A52">
        <w:rPr>
          <w:rFonts w:ascii="Arial" w:hAnsi="Arial" w:cs="Arial"/>
          <w:b/>
          <w:color w:val="000000"/>
          <w:sz w:val="22"/>
          <w:szCs w:val="22"/>
        </w:rPr>
        <w:t>III - avaliação dos efeitos do benefício fiscal realizado pela Secretaria da Fazenda</w:t>
      </w:r>
      <w:r w:rsidRPr="000259BB">
        <w:rPr>
          <w:rFonts w:ascii="Arial" w:hAnsi="Arial" w:cs="Arial"/>
          <w:color w:val="000000"/>
          <w:sz w:val="22"/>
          <w:szCs w:val="22"/>
        </w:rPr>
        <w:t>, a partir da aferição de indicadores de caráter econômico, tecnológico, ambiental e espacial, além do cumprimento de metas estabelecidas nos projetos em termos de volume de arrecadação de ICMS e número de empregos gerados no mercado local.</w:t>
      </w:r>
    </w:p>
    <w:p w14:paraId="2F45D1B4" w14:textId="77777777" w:rsidR="00BE699C" w:rsidRDefault="00BE699C" w:rsidP="00A9253D">
      <w:pPr>
        <w:spacing w:line="360" w:lineRule="auto"/>
        <w:ind w:firstLine="851"/>
        <w:jc w:val="both"/>
        <w:rPr>
          <w:rFonts w:ascii="Arial" w:hAnsi="Arial" w:cs="Arial"/>
          <w:sz w:val="24"/>
          <w:szCs w:val="24"/>
        </w:rPr>
      </w:pPr>
    </w:p>
    <w:p w14:paraId="07C43ABE" w14:textId="2F3AAF28" w:rsidR="00354A52" w:rsidRDefault="00354A52" w:rsidP="00A9253D">
      <w:pPr>
        <w:spacing w:line="360" w:lineRule="auto"/>
        <w:ind w:firstLine="851"/>
        <w:jc w:val="both"/>
        <w:rPr>
          <w:rFonts w:ascii="Arial" w:hAnsi="Arial" w:cs="Arial"/>
          <w:sz w:val="24"/>
          <w:szCs w:val="24"/>
        </w:rPr>
      </w:pPr>
      <w:r w:rsidRPr="00354A52">
        <w:rPr>
          <w:rFonts w:ascii="Arial" w:hAnsi="Arial" w:cs="Arial"/>
          <w:sz w:val="24"/>
          <w:szCs w:val="24"/>
          <w:u w:val="single"/>
        </w:rPr>
        <w:t>A documentação apresentada pela Secretaria de Estado da Economia</w:t>
      </w:r>
      <w:r w:rsidRPr="00354A52">
        <w:rPr>
          <w:rFonts w:ascii="Arial" w:hAnsi="Arial" w:cs="Arial"/>
          <w:sz w:val="24"/>
          <w:szCs w:val="24"/>
        </w:rPr>
        <w:t xml:space="preserve"> –</w:t>
      </w:r>
      <w:r>
        <w:rPr>
          <w:rFonts w:ascii="Arial" w:hAnsi="Arial" w:cs="Arial"/>
          <w:sz w:val="24"/>
          <w:szCs w:val="24"/>
        </w:rPr>
        <w:t xml:space="preserve"> embora revele a tentativa de demonstrar o seu melhor a esta CPI – </w:t>
      </w:r>
      <w:r w:rsidRPr="00354A52">
        <w:rPr>
          <w:rFonts w:ascii="Arial" w:hAnsi="Arial" w:cs="Arial"/>
          <w:sz w:val="24"/>
          <w:szCs w:val="24"/>
          <w:u w:val="single"/>
        </w:rPr>
        <w:t>passa muitíssimo longe dos comandos legais supra referidos e das boas práticas de fiscalização</w:t>
      </w:r>
      <w:r>
        <w:rPr>
          <w:rFonts w:ascii="Arial" w:hAnsi="Arial" w:cs="Arial"/>
          <w:sz w:val="24"/>
          <w:szCs w:val="24"/>
        </w:rPr>
        <w:t xml:space="preserve">, visto que esta ainda se revela deficiente em vários aspectos, </w:t>
      </w:r>
      <w:r w:rsidR="00514EF0">
        <w:rPr>
          <w:rFonts w:ascii="Arial" w:hAnsi="Arial" w:cs="Arial"/>
          <w:sz w:val="24"/>
          <w:szCs w:val="24"/>
        </w:rPr>
        <w:t>consoante já discorrido</w:t>
      </w:r>
      <w:r>
        <w:rPr>
          <w:rFonts w:ascii="Arial" w:hAnsi="Arial" w:cs="Arial"/>
          <w:sz w:val="24"/>
          <w:szCs w:val="24"/>
        </w:rPr>
        <w:t>.</w:t>
      </w:r>
    </w:p>
    <w:p w14:paraId="67FB6399" w14:textId="2B3CC608" w:rsidR="00B05D16" w:rsidRDefault="00B05D16" w:rsidP="00A9253D">
      <w:pPr>
        <w:spacing w:line="360" w:lineRule="auto"/>
        <w:ind w:firstLine="851"/>
        <w:jc w:val="both"/>
        <w:rPr>
          <w:rFonts w:ascii="Arial" w:hAnsi="Arial" w:cs="Arial"/>
          <w:sz w:val="24"/>
          <w:szCs w:val="24"/>
        </w:rPr>
      </w:pPr>
      <w:r>
        <w:rPr>
          <w:rFonts w:ascii="Arial" w:hAnsi="Arial" w:cs="Arial"/>
          <w:sz w:val="24"/>
          <w:szCs w:val="24"/>
        </w:rPr>
        <w:t>Esse fato vem inequivocamente confirmado, inclusive, pelo depoimento do servidor Adonídio Vieira Junior</w:t>
      </w:r>
      <w:r w:rsidR="00983CDE">
        <w:rPr>
          <w:rFonts w:ascii="Arial" w:hAnsi="Arial" w:cs="Arial"/>
          <w:sz w:val="24"/>
          <w:szCs w:val="24"/>
        </w:rPr>
        <w:t xml:space="preserve"> na 4ª reunião desta CPI, realizada em 13/05/2019</w:t>
      </w:r>
      <w:r>
        <w:rPr>
          <w:rFonts w:ascii="Arial" w:hAnsi="Arial" w:cs="Arial"/>
          <w:sz w:val="24"/>
          <w:szCs w:val="24"/>
        </w:rPr>
        <w:t>, em resposta à indagação do servidor TCE/GO Luciano Roque, que acompanhou algumas reuniões d</w:t>
      </w:r>
      <w:r w:rsidR="00983CDE">
        <w:rPr>
          <w:rFonts w:ascii="Arial" w:hAnsi="Arial" w:cs="Arial"/>
          <w:sz w:val="24"/>
          <w:szCs w:val="24"/>
        </w:rPr>
        <w:t>est</w:t>
      </w:r>
      <w:r>
        <w:rPr>
          <w:rFonts w:ascii="Arial" w:hAnsi="Arial" w:cs="Arial"/>
          <w:sz w:val="24"/>
          <w:szCs w:val="24"/>
        </w:rPr>
        <w:t>a CPI:</w:t>
      </w:r>
    </w:p>
    <w:p w14:paraId="18B6300F" w14:textId="237B271F" w:rsidR="00B05D16" w:rsidRDefault="00B05D16" w:rsidP="00A9253D">
      <w:pPr>
        <w:spacing w:line="360" w:lineRule="auto"/>
        <w:ind w:firstLine="851"/>
        <w:jc w:val="both"/>
        <w:rPr>
          <w:rFonts w:ascii="Arial" w:hAnsi="Arial" w:cs="Arial"/>
          <w:sz w:val="24"/>
          <w:szCs w:val="24"/>
        </w:rPr>
      </w:pPr>
    </w:p>
    <w:p w14:paraId="11BF3B22" w14:textId="6CD598CF" w:rsidR="00B05D16" w:rsidRPr="000259BB" w:rsidRDefault="00B05D16" w:rsidP="00505254">
      <w:pPr>
        <w:ind w:left="2268"/>
        <w:jc w:val="both"/>
        <w:rPr>
          <w:rFonts w:ascii="Arial" w:hAnsi="Arial" w:cs="Arial"/>
          <w:color w:val="000000"/>
          <w:sz w:val="22"/>
          <w:szCs w:val="22"/>
        </w:rPr>
      </w:pPr>
      <w:r w:rsidRPr="00B05D16">
        <w:rPr>
          <w:rFonts w:ascii="Arial" w:hAnsi="Arial" w:cs="Arial"/>
          <w:color w:val="000000"/>
          <w:sz w:val="22"/>
          <w:szCs w:val="22"/>
        </w:rPr>
        <w:t xml:space="preserve">O SR. ADONÍDIO VIEIRA JÚNIOR: - </w:t>
      </w:r>
      <w:r w:rsidRPr="009F6C65">
        <w:rPr>
          <w:rFonts w:ascii="Arial" w:hAnsi="Arial" w:cs="Arial"/>
          <w:b/>
          <w:color w:val="000000"/>
          <w:sz w:val="22"/>
          <w:szCs w:val="22"/>
        </w:rPr>
        <w:t xml:space="preserve">Quanto à fiscalização - e fazendo uma </w:t>
      </w:r>
      <w:r w:rsidRPr="009F6C65">
        <w:rPr>
          <w:rFonts w:ascii="Arial" w:hAnsi="Arial" w:cs="Arial"/>
          <w:b/>
          <w:i/>
          <w:iCs/>
          <w:color w:val="000000"/>
          <w:sz w:val="22"/>
          <w:szCs w:val="22"/>
        </w:rPr>
        <w:t xml:space="preserve">mea culpa </w:t>
      </w:r>
      <w:r w:rsidRPr="009F6C65">
        <w:rPr>
          <w:rFonts w:ascii="Arial" w:hAnsi="Arial" w:cs="Arial"/>
          <w:b/>
          <w:color w:val="000000"/>
          <w:sz w:val="22"/>
          <w:szCs w:val="22"/>
        </w:rPr>
        <w:t>-, a fiscalização vê tudo que está no termo de acordo do decreto das contrapartidas</w:t>
      </w:r>
      <w:r w:rsidRPr="00B05D16">
        <w:rPr>
          <w:rFonts w:ascii="Arial" w:hAnsi="Arial" w:cs="Arial"/>
          <w:color w:val="000000"/>
          <w:sz w:val="22"/>
          <w:szCs w:val="22"/>
        </w:rPr>
        <w:t xml:space="preserve">. </w:t>
      </w:r>
      <w:r w:rsidRPr="009F6C65">
        <w:rPr>
          <w:rFonts w:ascii="Arial" w:hAnsi="Arial" w:cs="Arial"/>
          <w:color w:val="000000"/>
          <w:sz w:val="22"/>
          <w:szCs w:val="22"/>
          <w:u w:val="single"/>
        </w:rPr>
        <w:t>Agora, em relação à eficácia, realmente tem poucos estudos em relação a isso</w:t>
      </w:r>
      <w:r w:rsidRPr="00B05D16">
        <w:rPr>
          <w:rFonts w:ascii="Arial" w:hAnsi="Arial" w:cs="Arial"/>
          <w:color w:val="000000"/>
          <w:sz w:val="22"/>
          <w:szCs w:val="22"/>
        </w:rPr>
        <w:t>. Então, assim, ele se comprometeu a gerar a 50 empregos e investir R$</w:t>
      </w:r>
      <w:r w:rsidR="00CF088D">
        <w:rPr>
          <w:rFonts w:ascii="Arial" w:hAnsi="Arial" w:cs="Arial"/>
          <w:color w:val="000000"/>
          <w:sz w:val="22"/>
          <w:szCs w:val="22"/>
        </w:rPr>
        <w:t xml:space="preserve"> </w:t>
      </w:r>
      <w:r w:rsidRPr="00B05D16">
        <w:rPr>
          <w:rFonts w:ascii="Arial" w:hAnsi="Arial" w:cs="Arial"/>
          <w:color w:val="000000"/>
          <w:sz w:val="22"/>
          <w:szCs w:val="22"/>
        </w:rPr>
        <w:t xml:space="preserve">1 milhão (hum milhão de reais), a empregar dez pessoas acima de 50 anos... Ele se comprometeu com isso. </w:t>
      </w:r>
      <w:r w:rsidRPr="009F6C65">
        <w:rPr>
          <w:rFonts w:ascii="Arial" w:hAnsi="Arial" w:cs="Arial"/>
          <w:color w:val="000000"/>
          <w:sz w:val="22"/>
          <w:szCs w:val="22"/>
          <w:u w:val="single"/>
        </w:rPr>
        <w:t>Então, a auditoria faz o "cara e crachá" aqui. Isso é o que faz. Agora, ir além e falar: "Tudo bem, ele fez isso tudo. Mas isso aqui foi bom para o Estado? Não foi bom? Pode ser um pouco menor?", realmente, isso, a pouco tempo - inclusive com essa nota técnica aqui - é que a administração tributária começou esse papel</w:t>
      </w:r>
      <w:r w:rsidRPr="00B05D16">
        <w:rPr>
          <w:rFonts w:ascii="Arial" w:hAnsi="Arial" w:cs="Arial"/>
          <w:color w:val="000000"/>
          <w:sz w:val="22"/>
          <w:szCs w:val="22"/>
        </w:rPr>
        <w:t xml:space="preserve">. Inclusive, acredito que, até essas mudanças do próprio tribunal, como relatei no começo... E a própria sociedade exige essa fiscalização das contrapartidas, que resultou, inclusive, naquela lei complementar que eu falei aqui, a Lei Complementar nº 138. </w:t>
      </w:r>
      <w:r w:rsidRPr="009F6C65">
        <w:rPr>
          <w:rFonts w:ascii="Arial" w:hAnsi="Arial" w:cs="Arial"/>
          <w:b/>
          <w:color w:val="000000"/>
          <w:sz w:val="22"/>
          <w:szCs w:val="22"/>
        </w:rPr>
        <w:t>Agora não é mais discricionário, é uma obrigação da administração tributária verificar esses benefícios fiscais</w:t>
      </w:r>
      <w:r w:rsidRPr="00B05D16">
        <w:rPr>
          <w:rFonts w:ascii="Arial" w:hAnsi="Arial" w:cs="Arial"/>
          <w:color w:val="000000"/>
          <w:sz w:val="22"/>
          <w:szCs w:val="22"/>
        </w:rPr>
        <w:t>.</w:t>
      </w:r>
    </w:p>
    <w:p w14:paraId="4698A41B" w14:textId="77777777" w:rsidR="00B05D16" w:rsidRDefault="00B05D16" w:rsidP="00A9253D">
      <w:pPr>
        <w:spacing w:line="360" w:lineRule="auto"/>
        <w:ind w:firstLine="851"/>
        <w:jc w:val="both"/>
        <w:rPr>
          <w:rFonts w:ascii="Arial" w:hAnsi="Arial" w:cs="Arial"/>
          <w:sz w:val="24"/>
          <w:szCs w:val="24"/>
        </w:rPr>
      </w:pPr>
    </w:p>
    <w:p w14:paraId="56944E69" w14:textId="7E5492C8" w:rsidR="00CB58D5" w:rsidRDefault="009F6C65" w:rsidP="00A9253D">
      <w:pPr>
        <w:spacing w:line="360" w:lineRule="auto"/>
        <w:ind w:firstLine="851"/>
        <w:jc w:val="both"/>
        <w:rPr>
          <w:rFonts w:ascii="Arial" w:hAnsi="Arial" w:cs="Arial"/>
          <w:sz w:val="24"/>
          <w:szCs w:val="24"/>
        </w:rPr>
      </w:pPr>
      <w:r>
        <w:rPr>
          <w:rFonts w:ascii="Arial" w:hAnsi="Arial" w:cs="Arial"/>
          <w:sz w:val="24"/>
          <w:szCs w:val="24"/>
        </w:rPr>
        <w:t>Contudo, m</w:t>
      </w:r>
      <w:r w:rsidR="00354A52">
        <w:rPr>
          <w:rFonts w:ascii="Arial" w:hAnsi="Arial" w:cs="Arial"/>
          <w:sz w:val="24"/>
          <w:szCs w:val="24"/>
        </w:rPr>
        <w:t>esmo após a mencionada inovação legal, pode-se afirmar que a Administração Tributária do Estado de Goiás não reform</w:t>
      </w:r>
      <w:r w:rsidR="003263F3">
        <w:rPr>
          <w:rFonts w:ascii="Arial" w:hAnsi="Arial" w:cs="Arial"/>
          <w:sz w:val="24"/>
          <w:szCs w:val="24"/>
        </w:rPr>
        <w:t>ulo</w:t>
      </w:r>
      <w:r w:rsidR="00354A52">
        <w:rPr>
          <w:rFonts w:ascii="Arial" w:hAnsi="Arial" w:cs="Arial"/>
          <w:sz w:val="24"/>
          <w:szCs w:val="24"/>
        </w:rPr>
        <w:t xml:space="preserve">u seus processos internos visando ao aumento da eficiência de suas análises fiscais, visto que permanece com todos os defeitos e problemas acima mencionados; </w:t>
      </w:r>
      <w:r w:rsidR="000D7C8D">
        <w:rPr>
          <w:rFonts w:ascii="Arial" w:hAnsi="Arial" w:cs="Arial"/>
          <w:sz w:val="24"/>
          <w:szCs w:val="24"/>
          <w:u w:val="single"/>
        </w:rPr>
        <w:t>assim</w:t>
      </w:r>
      <w:r w:rsidR="00545504" w:rsidRPr="00545504">
        <w:rPr>
          <w:rFonts w:ascii="Arial" w:hAnsi="Arial" w:cs="Arial"/>
          <w:sz w:val="24"/>
          <w:szCs w:val="24"/>
          <w:u w:val="single"/>
        </w:rPr>
        <w:t xml:space="preserve">, </w:t>
      </w:r>
      <w:r w:rsidR="00354A52" w:rsidRPr="00545504">
        <w:rPr>
          <w:rFonts w:ascii="Arial" w:hAnsi="Arial" w:cs="Arial"/>
          <w:sz w:val="24"/>
          <w:szCs w:val="24"/>
          <w:u w:val="single"/>
        </w:rPr>
        <w:t xml:space="preserve">afirma-se, sem medo de errar, </w:t>
      </w:r>
      <w:r w:rsidR="00354A52" w:rsidRPr="00545504">
        <w:rPr>
          <w:rFonts w:ascii="Arial" w:hAnsi="Arial" w:cs="Arial"/>
          <w:sz w:val="24"/>
          <w:szCs w:val="24"/>
          <w:u w:val="single"/>
        </w:rPr>
        <w:lastRenderedPageBreak/>
        <w:t xml:space="preserve">que a referida lei complementar continua sendo abertamente descumprida no âmbito da fiscalização dos </w:t>
      </w:r>
      <w:r w:rsidR="00A97D0D">
        <w:rPr>
          <w:rFonts w:ascii="Arial" w:hAnsi="Arial" w:cs="Arial"/>
          <w:sz w:val="24"/>
          <w:szCs w:val="24"/>
          <w:u w:val="single"/>
        </w:rPr>
        <w:t>incentivos fiscais em geral e, em especial, dos créditos</w:t>
      </w:r>
      <w:r w:rsidR="00354A52" w:rsidRPr="00545504">
        <w:rPr>
          <w:rFonts w:ascii="Arial" w:hAnsi="Arial" w:cs="Arial"/>
          <w:sz w:val="24"/>
          <w:szCs w:val="24"/>
          <w:u w:val="single"/>
        </w:rPr>
        <w:t xml:space="preserve"> outorgados</w:t>
      </w:r>
      <w:r w:rsidR="00354A52">
        <w:rPr>
          <w:rFonts w:ascii="Arial" w:hAnsi="Arial" w:cs="Arial"/>
          <w:sz w:val="24"/>
          <w:szCs w:val="24"/>
        </w:rPr>
        <w:t>.</w:t>
      </w:r>
      <w:r>
        <w:rPr>
          <w:rFonts w:ascii="Arial" w:hAnsi="Arial" w:cs="Arial"/>
          <w:sz w:val="24"/>
          <w:szCs w:val="24"/>
        </w:rPr>
        <w:t xml:space="preserve"> E, consoante demonstrado anteriormente, entende-se que até as auditorias do tipo “cara e crachá”, como mencionado, deixam a desejar em alguns aspectos, a exemplo da análise referente à aquisição preferencial de fornecedores goianos como uma das condições para fruição de créditos de investimento</w:t>
      </w:r>
      <w:r w:rsidR="003263F3">
        <w:rPr>
          <w:rFonts w:ascii="Arial" w:hAnsi="Arial" w:cs="Arial"/>
          <w:sz w:val="24"/>
          <w:szCs w:val="24"/>
        </w:rPr>
        <w:t xml:space="preserve"> e a predominância de análises de cunho exclusivamente fiscal</w:t>
      </w:r>
      <w:r>
        <w:rPr>
          <w:rFonts w:ascii="Arial" w:hAnsi="Arial" w:cs="Arial"/>
          <w:sz w:val="24"/>
          <w:szCs w:val="24"/>
        </w:rPr>
        <w:t>.</w:t>
      </w:r>
    </w:p>
    <w:p w14:paraId="2393A45D" w14:textId="33F23E31" w:rsidR="00AC6D2F" w:rsidRPr="001B27E2" w:rsidRDefault="00AC6D2F" w:rsidP="00B80EE8">
      <w:pPr>
        <w:spacing w:line="360" w:lineRule="auto"/>
        <w:ind w:firstLine="851"/>
        <w:jc w:val="both"/>
        <w:rPr>
          <w:rFonts w:ascii="Arial" w:hAnsi="Arial" w:cs="Arial"/>
          <w:sz w:val="24"/>
          <w:szCs w:val="24"/>
        </w:rPr>
      </w:pPr>
      <w:r w:rsidRPr="001B27E2">
        <w:rPr>
          <w:rFonts w:ascii="Arial" w:hAnsi="Arial" w:cs="Arial"/>
          <w:sz w:val="24"/>
          <w:szCs w:val="24"/>
        </w:rPr>
        <w:t xml:space="preserve">Além disso, entende-se que o critério legal de exigir contrapartidas mediante investimentos </w:t>
      </w:r>
      <w:r w:rsidR="00B80EE8" w:rsidRPr="001B27E2">
        <w:rPr>
          <w:rFonts w:ascii="Arial" w:hAnsi="Arial" w:cs="Arial"/>
          <w:sz w:val="24"/>
          <w:szCs w:val="24"/>
        </w:rPr>
        <w:t xml:space="preserve">deve ser conjugado com </w:t>
      </w:r>
      <w:r w:rsidRPr="001B27E2">
        <w:rPr>
          <w:rFonts w:ascii="Arial" w:hAnsi="Arial" w:cs="Arial"/>
          <w:sz w:val="24"/>
          <w:szCs w:val="24"/>
        </w:rPr>
        <w:t>o retorno econômico e social que esse</w:t>
      </w:r>
      <w:r w:rsidR="00B80EE8" w:rsidRPr="001B27E2">
        <w:rPr>
          <w:rFonts w:ascii="Arial" w:hAnsi="Arial" w:cs="Arial"/>
          <w:sz w:val="24"/>
          <w:szCs w:val="24"/>
        </w:rPr>
        <w:t>s</w:t>
      </w:r>
      <w:r w:rsidRPr="001B27E2">
        <w:rPr>
          <w:rFonts w:ascii="Arial" w:hAnsi="Arial" w:cs="Arial"/>
          <w:sz w:val="24"/>
          <w:szCs w:val="24"/>
        </w:rPr>
        <w:t xml:space="preserve"> investimento</w:t>
      </w:r>
      <w:r w:rsidR="00B80EE8" w:rsidRPr="001B27E2">
        <w:rPr>
          <w:rFonts w:ascii="Arial" w:hAnsi="Arial" w:cs="Arial"/>
          <w:sz w:val="24"/>
          <w:szCs w:val="24"/>
        </w:rPr>
        <w:t>s</w:t>
      </w:r>
      <w:r w:rsidRPr="001B27E2">
        <w:rPr>
          <w:rFonts w:ascii="Arial" w:hAnsi="Arial" w:cs="Arial"/>
          <w:sz w:val="24"/>
          <w:szCs w:val="24"/>
        </w:rPr>
        <w:t xml:space="preserve"> </w:t>
      </w:r>
      <w:r w:rsidR="00B80EE8" w:rsidRPr="001B27E2">
        <w:rPr>
          <w:rFonts w:ascii="Arial" w:hAnsi="Arial" w:cs="Arial"/>
          <w:sz w:val="24"/>
          <w:szCs w:val="24"/>
        </w:rPr>
        <w:t>trarão</w:t>
      </w:r>
      <w:r w:rsidRPr="001B27E2">
        <w:rPr>
          <w:rFonts w:ascii="Arial" w:hAnsi="Arial" w:cs="Arial"/>
          <w:sz w:val="24"/>
          <w:szCs w:val="24"/>
        </w:rPr>
        <w:t xml:space="preserve"> ao Estado, notadamente faixas de recolhimento mínimo de ICMS</w:t>
      </w:r>
      <w:r w:rsidR="00B80EE8" w:rsidRPr="001B27E2">
        <w:rPr>
          <w:rFonts w:ascii="Arial" w:hAnsi="Arial" w:cs="Arial"/>
          <w:sz w:val="24"/>
          <w:szCs w:val="24"/>
        </w:rPr>
        <w:t>,</w:t>
      </w:r>
      <w:r w:rsidRPr="001B27E2">
        <w:rPr>
          <w:rFonts w:ascii="Arial" w:hAnsi="Arial" w:cs="Arial"/>
          <w:sz w:val="24"/>
          <w:szCs w:val="24"/>
        </w:rPr>
        <w:t xml:space="preserve"> número de empregos efetiva</w:t>
      </w:r>
      <w:r w:rsidR="00B80EE8" w:rsidRPr="001B27E2">
        <w:rPr>
          <w:rFonts w:ascii="Arial" w:hAnsi="Arial" w:cs="Arial"/>
          <w:sz w:val="24"/>
          <w:szCs w:val="24"/>
        </w:rPr>
        <w:t>mente gerados no mercado local (</w:t>
      </w:r>
      <w:r w:rsidRPr="001B27E2">
        <w:rPr>
          <w:rFonts w:ascii="Arial" w:hAnsi="Arial" w:cs="Arial"/>
          <w:sz w:val="24"/>
          <w:szCs w:val="24"/>
        </w:rPr>
        <w:t>LC nº 138/2018</w:t>
      </w:r>
      <w:r w:rsidR="00B80EE8" w:rsidRPr="001B27E2">
        <w:rPr>
          <w:rFonts w:ascii="Arial" w:hAnsi="Arial" w:cs="Arial"/>
          <w:sz w:val="24"/>
          <w:szCs w:val="24"/>
        </w:rPr>
        <w:t>, art. 45, III), aquisição de produtos e insumos no mercado interno, dentre outros</w:t>
      </w:r>
      <w:r w:rsidRPr="001B27E2">
        <w:rPr>
          <w:rFonts w:ascii="Arial" w:hAnsi="Arial" w:cs="Arial"/>
          <w:sz w:val="24"/>
          <w:szCs w:val="24"/>
        </w:rPr>
        <w:t>.</w:t>
      </w:r>
    </w:p>
    <w:p w14:paraId="7C4DAD2E" w14:textId="77777777" w:rsidR="00AC6D2F" w:rsidRDefault="000D7C8D" w:rsidP="00AC6D2F">
      <w:pPr>
        <w:spacing w:line="360" w:lineRule="auto"/>
        <w:ind w:firstLine="851"/>
        <w:jc w:val="both"/>
        <w:rPr>
          <w:rFonts w:ascii="Arial" w:hAnsi="Arial" w:cs="Arial"/>
          <w:sz w:val="24"/>
          <w:szCs w:val="24"/>
        </w:rPr>
      </w:pPr>
      <w:r>
        <w:rPr>
          <w:rFonts w:ascii="Arial" w:hAnsi="Arial" w:cs="Arial"/>
          <w:sz w:val="24"/>
          <w:szCs w:val="24"/>
        </w:rPr>
        <w:t xml:space="preserve">Portanto, revela-se </w:t>
      </w:r>
      <w:r w:rsidRPr="00AC6D2F">
        <w:rPr>
          <w:rFonts w:ascii="Arial" w:hAnsi="Arial" w:cs="Arial"/>
          <w:b/>
          <w:sz w:val="24"/>
          <w:szCs w:val="24"/>
          <w:u w:val="single"/>
        </w:rPr>
        <w:t>extremamente urgente que o Estado de Goiás</w:t>
      </w:r>
      <w:r w:rsidR="00AC6D2F">
        <w:rPr>
          <w:rFonts w:ascii="Arial" w:hAnsi="Arial" w:cs="Arial"/>
          <w:sz w:val="24"/>
          <w:szCs w:val="24"/>
        </w:rPr>
        <w:t xml:space="preserve">: </w:t>
      </w:r>
    </w:p>
    <w:p w14:paraId="11010ADA" w14:textId="77777777" w:rsidR="00AC6D2F" w:rsidRDefault="00AC6D2F" w:rsidP="00AC6D2F">
      <w:pPr>
        <w:spacing w:line="360" w:lineRule="auto"/>
        <w:ind w:firstLine="851"/>
        <w:jc w:val="both"/>
        <w:rPr>
          <w:rFonts w:ascii="Arial" w:hAnsi="Arial" w:cs="Arial"/>
          <w:sz w:val="24"/>
          <w:szCs w:val="24"/>
        </w:rPr>
      </w:pPr>
      <w:r w:rsidRPr="00AC6D2F">
        <w:rPr>
          <w:rFonts w:ascii="Arial" w:hAnsi="Arial" w:cs="Arial"/>
          <w:b/>
          <w:sz w:val="24"/>
          <w:szCs w:val="24"/>
        </w:rPr>
        <w:t>a)</w:t>
      </w:r>
      <w:r w:rsidR="000D7C8D" w:rsidRPr="00AC6D2F">
        <w:rPr>
          <w:rFonts w:ascii="Arial" w:hAnsi="Arial" w:cs="Arial"/>
          <w:b/>
          <w:sz w:val="24"/>
          <w:szCs w:val="24"/>
        </w:rPr>
        <w:t xml:space="preserve"> reformule seus processos internos de fiscalização e auditoria</w:t>
      </w:r>
      <w:r w:rsidR="000D7C8D">
        <w:rPr>
          <w:rFonts w:ascii="Arial" w:hAnsi="Arial" w:cs="Arial"/>
          <w:sz w:val="24"/>
          <w:szCs w:val="24"/>
        </w:rPr>
        <w:t xml:space="preserve"> no âmbito dos incentivos fiscais, em especial créditos outorgados, de modo a sanar todos o</w:t>
      </w:r>
      <w:r>
        <w:rPr>
          <w:rFonts w:ascii="Arial" w:hAnsi="Arial" w:cs="Arial"/>
          <w:sz w:val="24"/>
          <w:szCs w:val="24"/>
        </w:rPr>
        <w:t>s problemas acima identificados</w:t>
      </w:r>
      <w:r w:rsidRPr="00AC6D2F">
        <w:rPr>
          <w:rFonts w:ascii="Arial" w:hAnsi="Arial" w:cs="Arial"/>
          <w:sz w:val="24"/>
          <w:szCs w:val="24"/>
        </w:rPr>
        <w:t xml:space="preserve">; </w:t>
      </w:r>
    </w:p>
    <w:p w14:paraId="31955231" w14:textId="6C5D50C4" w:rsidR="00AC6D2F" w:rsidRPr="00213903" w:rsidRDefault="00AC6D2F" w:rsidP="00AC6D2F">
      <w:pPr>
        <w:spacing w:line="360" w:lineRule="auto"/>
        <w:ind w:firstLine="851"/>
        <w:jc w:val="both"/>
        <w:rPr>
          <w:rFonts w:ascii="Arial" w:hAnsi="Arial" w:cs="Arial"/>
          <w:sz w:val="24"/>
          <w:szCs w:val="24"/>
        </w:rPr>
      </w:pPr>
      <w:r w:rsidRPr="00AC6D2F">
        <w:rPr>
          <w:rFonts w:ascii="Arial" w:hAnsi="Arial" w:cs="Arial"/>
          <w:b/>
          <w:sz w:val="24"/>
          <w:szCs w:val="24"/>
        </w:rPr>
        <w:t xml:space="preserve">b) revise todos seus TARE’s relativos a incentivos fiscais, em especial relativos a créditos outorgados, </w:t>
      </w:r>
      <w:r>
        <w:rPr>
          <w:rFonts w:ascii="Arial" w:hAnsi="Arial" w:cs="Arial"/>
          <w:b/>
          <w:sz w:val="24"/>
          <w:szCs w:val="24"/>
        </w:rPr>
        <w:t xml:space="preserve">para </w:t>
      </w:r>
      <w:r w:rsidRPr="00AC6D2F">
        <w:rPr>
          <w:rFonts w:ascii="Arial" w:hAnsi="Arial" w:cs="Arial"/>
          <w:b/>
          <w:sz w:val="24"/>
          <w:szCs w:val="24"/>
        </w:rPr>
        <w:t>contempla</w:t>
      </w:r>
      <w:r>
        <w:rPr>
          <w:rFonts w:ascii="Arial" w:hAnsi="Arial" w:cs="Arial"/>
          <w:b/>
          <w:sz w:val="24"/>
          <w:szCs w:val="24"/>
        </w:rPr>
        <w:t>r</w:t>
      </w:r>
      <w:r w:rsidRPr="00AC6D2F">
        <w:rPr>
          <w:rFonts w:ascii="Arial" w:hAnsi="Arial" w:cs="Arial"/>
          <w:b/>
          <w:sz w:val="24"/>
          <w:szCs w:val="24"/>
        </w:rPr>
        <w:t xml:space="preserve"> contrapartidas sociais e econômicas bem definidas</w:t>
      </w:r>
      <w:r w:rsidRPr="00AC6D2F">
        <w:rPr>
          <w:rFonts w:ascii="Arial" w:hAnsi="Arial" w:cs="Arial"/>
          <w:sz w:val="24"/>
          <w:szCs w:val="24"/>
        </w:rPr>
        <w:t>,</w:t>
      </w:r>
      <w:r>
        <w:rPr>
          <w:rFonts w:ascii="Arial" w:hAnsi="Arial" w:cs="Arial"/>
          <w:sz w:val="24"/>
          <w:szCs w:val="24"/>
        </w:rPr>
        <w:t xml:space="preserve"> principalmente faixas de recolhimento mínimo de ICMS</w:t>
      </w:r>
      <w:r w:rsidR="001B27E2">
        <w:rPr>
          <w:rFonts w:ascii="Arial" w:hAnsi="Arial" w:cs="Arial"/>
          <w:sz w:val="24"/>
          <w:szCs w:val="24"/>
        </w:rPr>
        <w:t>,</w:t>
      </w:r>
      <w:r>
        <w:rPr>
          <w:rFonts w:ascii="Arial" w:hAnsi="Arial" w:cs="Arial"/>
          <w:sz w:val="24"/>
          <w:szCs w:val="24"/>
        </w:rPr>
        <w:t xml:space="preserve"> número de empregos a serem gerados no </w:t>
      </w:r>
      <w:r w:rsidRPr="001B27E2">
        <w:rPr>
          <w:rFonts w:ascii="Arial" w:hAnsi="Arial" w:cs="Arial"/>
          <w:sz w:val="24"/>
          <w:szCs w:val="24"/>
        </w:rPr>
        <w:t xml:space="preserve">mercado </w:t>
      </w:r>
      <w:r w:rsidR="001B27E2" w:rsidRPr="001B27E2">
        <w:rPr>
          <w:rFonts w:ascii="Arial" w:hAnsi="Arial" w:cs="Arial"/>
          <w:sz w:val="24"/>
          <w:szCs w:val="24"/>
        </w:rPr>
        <w:t>local</w:t>
      </w:r>
      <w:r w:rsidRPr="001B27E2">
        <w:rPr>
          <w:rFonts w:ascii="Arial" w:hAnsi="Arial" w:cs="Arial"/>
          <w:sz w:val="24"/>
          <w:szCs w:val="24"/>
        </w:rPr>
        <w:t xml:space="preserve">, </w:t>
      </w:r>
      <w:r w:rsidR="001B27E2" w:rsidRPr="001B27E2">
        <w:rPr>
          <w:rFonts w:ascii="Arial" w:hAnsi="Arial" w:cs="Arial"/>
          <w:sz w:val="24"/>
          <w:szCs w:val="24"/>
        </w:rPr>
        <w:t>aquisição de produtos e insumos no mercado interno</w:t>
      </w:r>
      <w:r w:rsidR="001B27E2">
        <w:rPr>
          <w:rFonts w:ascii="Arial" w:hAnsi="Arial" w:cs="Arial"/>
          <w:sz w:val="24"/>
          <w:szCs w:val="24"/>
        </w:rPr>
        <w:t>, dentre outros,</w:t>
      </w:r>
      <w:r w:rsidR="001B27E2" w:rsidRPr="00AC6D2F">
        <w:rPr>
          <w:rFonts w:ascii="Arial" w:hAnsi="Arial" w:cs="Arial"/>
          <w:sz w:val="24"/>
          <w:szCs w:val="24"/>
        </w:rPr>
        <w:t xml:space="preserve"> </w:t>
      </w:r>
      <w:r w:rsidRPr="00AC6D2F">
        <w:rPr>
          <w:rFonts w:ascii="Arial" w:hAnsi="Arial" w:cs="Arial"/>
          <w:sz w:val="24"/>
          <w:szCs w:val="24"/>
        </w:rPr>
        <w:t>a</w:t>
      </w:r>
      <w:r w:rsidR="001B27E2">
        <w:rPr>
          <w:rFonts w:ascii="Arial" w:hAnsi="Arial" w:cs="Arial"/>
          <w:sz w:val="24"/>
          <w:szCs w:val="24"/>
        </w:rPr>
        <w:t xml:space="preserve"> serem atingido</w:t>
      </w:r>
      <w:r w:rsidRPr="00F833DF">
        <w:rPr>
          <w:rFonts w:ascii="Arial" w:hAnsi="Arial" w:cs="Arial"/>
          <w:sz w:val="24"/>
          <w:szCs w:val="24"/>
        </w:rPr>
        <w:t xml:space="preserve">s e comprovadas pelas empresas e atestadas pelo fisco em período não superior a 1 (um) ano, bem como </w:t>
      </w:r>
      <w:r w:rsidRPr="00597A3E">
        <w:rPr>
          <w:rFonts w:ascii="Arial" w:hAnsi="Arial" w:cs="Arial"/>
          <w:sz w:val="24"/>
          <w:szCs w:val="24"/>
        </w:rPr>
        <w:t>revogação dos TARE’s que não contemplem quaisquer dessas contrapartidas</w:t>
      </w:r>
      <w:r>
        <w:rPr>
          <w:rFonts w:ascii="Arial" w:hAnsi="Arial" w:cs="Arial"/>
          <w:sz w:val="24"/>
          <w:szCs w:val="24"/>
        </w:rPr>
        <w:t xml:space="preserve"> e em relação aos quais não se considere viável exigi-las</w:t>
      </w:r>
      <w:r w:rsidRPr="00597A3E">
        <w:rPr>
          <w:rFonts w:ascii="Arial" w:hAnsi="Arial" w:cs="Arial"/>
          <w:sz w:val="24"/>
          <w:szCs w:val="24"/>
        </w:rPr>
        <w:t>, nos termos do § 2º do art. 44 e no inciso III do art. 45 da LC nº 138/2018</w:t>
      </w:r>
      <w:r>
        <w:rPr>
          <w:rFonts w:ascii="Arial" w:hAnsi="Arial" w:cs="Arial"/>
          <w:sz w:val="24"/>
          <w:szCs w:val="24"/>
        </w:rPr>
        <w:t>.</w:t>
      </w:r>
    </w:p>
    <w:p w14:paraId="4CA3AEEF" w14:textId="7C21CAD9" w:rsidR="00722FAF" w:rsidRDefault="00722FAF" w:rsidP="009A3D3D">
      <w:pPr>
        <w:spacing w:line="360" w:lineRule="auto"/>
        <w:ind w:firstLine="851"/>
        <w:jc w:val="both"/>
        <w:rPr>
          <w:rFonts w:ascii="Arial" w:hAnsi="Arial" w:cs="Arial"/>
          <w:sz w:val="24"/>
          <w:szCs w:val="24"/>
        </w:rPr>
      </w:pPr>
    </w:p>
    <w:p w14:paraId="1E8B55A2" w14:textId="633B31C9" w:rsidR="00722FAF" w:rsidRPr="001B3428" w:rsidRDefault="00722FAF" w:rsidP="00722FAF">
      <w:pPr>
        <w:spacing w:line="360" w:lineRule="auto"/>
        <w:ind w:firstLine="851"/>
        <w:jc w:val="both"/>
        <w:rPr>
          <w:rFonts w:ascii="Arial" w:hAnsi="Arial" w:cs="Arial"/>
          <w:b/>
          <w:sz w:val="24"/>
          <w:szCs w:val="24"/>
        </w:rPr>
      </w:pPr>
      <w:r w:rsidRPr="001B3428">
        <w:rPr>
          <w:rFonts w:ascii="Arial" w:hAnsi="Arial" w:cs="Arial"/>
          <w:b/>
          <w:sz w:val="24"/>
          <w:szCs w:val="24"/>
        </w:rPr>
        <w:t>7.</w:t>
      </w:r>
      <w:r w:rsidR="007F1C47" w:rsidRPr="001B3428">
        <w:rPr>
          <w:rFonts w:ascii="Arial" w:hAnsi="Arial" w:cs="Arial"/>
          <w:b/>
          <w:sz w:val="24"/>
          <w:szCs w:val="24"/>
        </w:rPr>
        <w:t>5</w:t>
      </w:r>
      <w:r w:rsidRPr="001B3428">
        <w:rPr>
          <w:rFonts w:ascii="Arial" w:hAnsi="Arial" w:cs="Arial"/>
          <w:b/>
          <w:sz w:val="24"/>
          <w:szCs w:val="24"/>
        </w:rPr>
        <w:t xml:space="preserve"> </w:t>
      </w:r>
      <w:r w:rsidR="00A97D0D" w:rsidRPr="001B3428">
        <w:rPr>
          <w:rFonts w:ascii="Arial" w:hAnsi="Arial" w:cs="Arial"/>
          <w:b/>
          <w:sz w:val="24"/>
          <w:szCs w:val="24"/>
        </w:rPr>
        <w:t>– CRÉDITOS OUTORGADOS</w:t>
      </w:r>
      <w:r w:rsidR="00F27F68" w:rsidRPr="001B3428">
        <w:rPr>
          <w:rFonts w:ascii="Arial" w:hAnsi="Arial" w:cs="Arial"/>
          <w:b/>
          <w:sz w:val="24"/>
          <w:szCs w:val="24"/>
        </w:rPr>
        <w:t xml:space="preserve"> A</w:t>
      </w:r>
      <w:r w:rsidR="00A97D0D" w:rsidRPr="001B3428">
        <w:rPr>
          <w:rFonts w:ascii="Arial" w:hAnsi="Arial" w:cs="Arial"/>
          <w:b/>
          <w:sz w:val="24"/>
          <w:szCs w:val="24"/>
        </w:rPr>
        <w:t xml:space="preserve"> GRUPO ECONÔMICO </w:t>
      </w:r>
    </w:p>
    <w:p w14:paraId="22AB3E21" w14:textId="606D1D41" w:rsidR="00722FAF" w:rsidRPr="001B3428" w:rsidRDefault="00722FAF" w:rsidP="009A3D3D">
      <w:pPr>
        <w:spacing w:line="360" w:lineRule="auto"/>
        <w:ind w:firstLine="851"/>
        <w:jc w:val="both"/>
        <w:rPr>
          <w:rFonts w:ascii="Arial" w:hAnsi="Arial" w:cs="Arial"/>
          <w:sz w:val="24"/>
          <w:szCs w:val="24"/>
        </w:rPr>
      </w:pPr>
    </w:p>
    <w:p w14:paraId="5508429E" w14:textId="784BDC07" w:rsidR="00731845" w:rsidRPr="001B3428" w:rsidRDefault="00731845" w:rsidP="009A3D3D">
      <w:pPr>
        <w:spacing w:line="360" w:lineRule="auto"/>
        <w:ind w:firstLine="851"/>
        <w:jc w:val="both"/>
        <w:rPr>
          <w:rFonts w:ascii="Arial" w:hAnsi="Arial" w:cs="Arial"/>
          <w:sz w:val="24"/>
          <w:szCs w:val="24"/>
        </w:rPr>
      </w:pPr>
      <w:r w:rsidRPr="001B3428">
        <w:rPr>
          <w:rFonts w:ascii="Arial" w:hAnsi="Arial" w:cs="Arial"/>
          <w:sz w:val="24"/>
          <w:szCs w:val="24"/>
        </w:rPr>
        <w:t xml:space="preserve">A </w:t>
      </w:r>
      <w:r w:rsidRPr="001B3428">
        <w:rPr>
          <w:rFonts w:ascii="Arial" w:hAnsi="Arial" w:cs="Arial"/>
          <w:b/>
          <w:sz w:val="24"/>
          <w:szCs w:val="24"/>
        </w:rPr>
        <w:t>Lei nº 17.442/2011</w:t>
      </w:r>
      <w:r w:rsidR="00747953" w:rsidRPr="001B3428">
        <w:rPr>
          <w:rFonts w:ascii="Arial" w:hAnsi="Arial" w:cs="Arial"/>
          <w:sz w:val="24"/>
          <w:szCs w:val="24"/>
        </w:rPr>
        <w:t>, que</w:t>
      </w:r>
      <w:r w:rsidRPr="001B3428">
        <w:rPr>
          <w:rFonts w:ascii="Arial" w:hAnsi="Arial" w:cs="Arial"/>
          <w:sz w:val="24"/>
          <w:szCs w:val="24"/>
        </w:rPr>
        <w:t xml:space="preserve"> dispõe sobre o tratamento tributário do ICMS dispensado ao grupo econômico</w:t>
      </w:r>
      <w:r w:rsidR="00892857" w:rsidRPr="001B3428">
        <w:rPr>
          <w:rFonts w:ascii="Arial" w:hAnsi="Arial" w:cs="Arial"/>
          <w:sz w:val="24"/>
          <w:szCs w:val="24"/>
        </w:rPr>
        <w:t xml:space="preserve"> e</w:t>
      </w:r>
      <w:r w:rsidR="004C240F" w:rsidRPr="001B3428">
        <w:rPr>
          <w:rFonts w:ascii="Arial" w:hAnsi="Arial" w:cs="Arial"/>
          <w:sz w:val="24"/>
          <w:szCs w:val="24"/>
        </w:rPr>
        <w:t xml:space="preserve"> às pessoas jurídicas a ele vinculadas</w:t>
      </w:r>
      <w:r w:rsidR="00747953" w:rsidRPr="001B3428">
        <w:rPr>
          <w:rFonts w:ascii="Arial" w:hAnsi="Arial" w:cs="Arial"/>
          <w:sz w:val="24"/>
          <w:szCs w:val="24"/>
        </w:rPr>
        <w:t xml:space="preserve">, </w:t>
      </w:r>
      <w:r w:rsidR="004A6F3C" w:rsidRPr="001B3428">
        <w:rPr>
          <w:rFonts w:ascii="Arial" w:hAnsi="Arial" w:cs="Arial"/>
          <w:sz w:val="24"/>
          <w:szCs w:val="24"/>
        </w:rPr>
        <w:t xml:space="preserve">prevê os </w:t>
      </w:r>
      <w:r w:rsidR="004A6F3C" w:rsidRPr="001B3428">
        <w:rPr>
          <w:rFonts w:ascii="Arial" w:hAnsi="Arial" w:cs="Arial"/>
          <w:b/>
          <w:sz w:val="24"/>
          <w:szCs w:val="24"/>
        </w:rPr>
        <w:t>seguintes incentivos fiscais</w:t>
      </w:r>
      <w:r w:rsidR="00222ED8" w:rsidRPr="001B3428">
        <w:rPr>
          <w:rFonts w:ascii="Arial" w:hAnsi="Arial" w:cs="Arial"/>
          <w:sz w:val="24"/>
          <w:szCs w:val="24"/>
        </w:rPr>
        <w:t>, nos termos do art. 3º da Lei</w:t>
      </w:r>
      <w:r w:rsidR="004A6F3C" w:rsidRPr="001B3428">
        <w:rPr>
          <w:rFonts w:ascii="Arial" w:hAnsi="Arial" w:cs="Arial"/>
          <w:sz w:val="24"/>
          <w:szCs w:val="24"/>
        </w:rPr>
        <w:t>:</w:t>
      </w:r>
    </w:p>
    <w:p w14:paraId="1B05BC90" w14:textId="77777777" w:rsidR="00747953" w:rsidRPr="001B3428" w:rsidRDefault="00747953" w:rsidP="009A3D3D">
      <w:pPr>
        <w:spacing w:line="360" w:lineRule="auto"/>
        <w:ind w:firstLine="851"/>
        <w:jc w:val="both"/>
        <w:rPr>
          <w:rFonts w:ascii="Arial" w:hAnsi="Arial" w:cs="Arial"/>
          <w:sz w:val="24"/>
          <w:szCs w:val="24"/>
        </w:rPr>
      </w:pPr>
    </w:p>
    <w:p w14:paraId="73C27E6C" w14:textId="77777777" w:rsidR="00747953" w:rsidRPr="001B3428" w:rsidRDefault="00747953" w:rsidP="00505254">
      <w:pPr>
        <w:ind w:left="2268"/>
        <w:jc w:val="both"/>
        <w:rPr>
          <w:rFonts w:ascii="Arial" w:hAnsi="Arial" w:cs="Arial"/>
          <w:sz w:val="22"/>
          <w:szCs w:val="22"/>
        </w:rPr>
      </w:pPr>
      <w:r w:rsidRPr="001B3428">
        <w:rPr>
          <w:rFonts w:ascii="Arial" w:hAnsi="Arial" w:cs="Arial"/>
          <w:b/>
          <w:sz w:val="22"/>
          <w:szCs w:val="22"/>
        </w:rPr>
        <w:lastRenderedPageBreak/>
        <w:t>Art. 3º</w:t>
      </w:r>
      <w:r w:rsidRPr="001B3428">
        <w:rPr>
          <w:rFonts w:ascii="Arial" w:hAnsi="Arial" w:cs="Arial"/>
          <w:sz w:val="22"/>
          <w:szCs w:val="22"/>
        </w:rPr>
        <w:t xml:space="preserve"> O tratamento tributário conferido ao grupo econômico compreende:</w:t>
      </w:r>
    </w:p>
    <w:p w14:paraId="0778E88E" w14:textId="77777777" w:rsidR="00747953" w:rsidRPr="001B3428" w:rsidRDefault="00747953" w:rsidP="00505254">
      <w:pPr>
        <w:ind w:left="2268"/>
        <w:jc w:val="both"/>
        <w:rPr>
          <w:rFonts w:ascii="Arial" w:hAnsi="Arial" w:cs="Arial"/>
          <w:sz w:val="22"/>
          <w:szCs w:val="22"/>
        </w:rPr>
      </w:pPr>
      <w:r w:rsidRPr="001B3428">
        <w:rPr>
          <w:rFonts w:ascii="Arial" w:hAnsi="Arial" w:cs="Arial"/>
          <w:sz w:val="22"/>
          <w:szCs w:val="22"/>
        </w:rPr>
        <w:t>I - a aplicação sucessiva da substituição tributária pelas operações anteriores;</w:t>
      </w:r>
    </w:p>
    <w:p w14:paraId="447E31AE" w14:textId="77777777" w:rsidR="00747953" w:rsidRPr="001B3428" w:rsidRDefault="00747953" w:rsidP="00505254">
      <w:pPr>
        <w:ind w:left="2268"/>
        <w:jc w:val="both"/>
        <w:rPr>
          <w:rFonts w:ascii="Arial" w:hAnsi="Arial" w:cs="Arial"/>
          <w:sz w:val="22"/>
          <w:szCs w:val="22"/>
        </w:rPr>
      </w:pPr>
      <w:r w:rsidRPr="001B3428">
        <w:rPr>
          <w:rFonts w:ascii="Arial" w:hAnsi="Arial" w:cs="Arial"/>
          <w:b/>
          <w:sz w:val="22"/>
          <w:szCs w:val="22"/>
        </w:rPr>
        <w:t>II - a concessão dos seguintes benefícios fiscais relativos ao Imposto sobre Operações Relativas à Circulação de Mercadorias e sobre Prestações de Serviços de Transporte Interestadual e Intermunicipal e de Comunicação –ICMS–</w:t>
      </w:r>
      <w:r w:rsidRPr="001B3428">
        <w:rPr>
          <w:rFonts w:ascii="Arial" w:hAnsi="Arial" w:cs="Arial"/>
          <w:sz w:val="22"/>
          <w:szCs w:val="22"/>
        </w:rPr>
        <w:t>:</w:t>
      </w:r>
    </w:p>
    <w:p w14:paraId="3844AC7D" w14:textId="77777777" w:rsidR="00747953" w:rsidRPr="001B3428" w:rsidRDefault="00747953" w:rsidP="00505254">
      <w:pPr>
        <w:ind w:left="2268"/>
        <w:jc w:val="both"/>
        <w:rPr>
          <w:rFonts w:ascii="Arial" w:hAnsi="Arial" w:cs="Arial"/>
          <w:sz w:val="22"/>
          <w:szCs w:val="22"/>
        </w:rPr>
      </w:pPr>
      <w:r w:rsidRPr="001B3428">
        <w:rPr>
          <w:rFonts w:ascii="Arial" w:hAnsi="Arial" w:cs="Arial"/>
          <w:sz w:val="22"/>
          <w:szCs w:val="22"/>
          <w:u w:val="single"/>
        </w:rPr>
        <w:t>a) crédito outorgado nas operações internas e interestaduais</w:t>
      </w:r>
      <w:r w:rsidRPr="001B3428">
        <w:rPr>
          <w:rFonts w:ascii="Arial" w:hAnsi="Arial" w:cs="Arial"/>
          <w:sz w:val="22"/>
          <w:szCs w:val="22"/>
        </w:rPr>
        <w:t>;</w:t>
      </w:r>
    </w:p>
    <w:p w14:paraId="3D9A0DCE" w14:textId="77777777" w:rsidR="00747953" w:rsidRPr="001B3428" w:rsidRDefault="00747953" w:rsidP="00505254">
      <w:pPr>
        <w:ind w:left="2268"/>
        <w:jc w:val="both"/>
        <w:rPr>
          <w:rFonts w:ascii="Arial" w:hAnsi="Arial" w:cs="Arial"/>
          <w:sz w:val="22"/>
          <w:szCs w:val="22"/>
        </w:rPr>
      </w:pPr>
      <w:r w:rsidRPr="001B3428">
        <w:rPr>
          <w:rFonts w:ascii="Arial" w:hAnsi="Arial" w:cs="Arial"/>
          <w:sz w:val="22"/>
          <w:szCs w:val="22"/>
          <w:u w:val="single"/>
        </w:rPr>
        <w:t>b) redução da base de cálculo nas operações internas</w:t>
      </w:r>
      <w:r w:rsidRPr="001B3428">
        <w:rPr>
          <w:rFonts w:ascii="Arial" w:hAnsi="Arial" w:cs="Arial"/>
          <w:sz w:val="22"/>
          <w:szCs w:val="22"/>
        </w:rPr>
        <w:t>;</w:t>
      </w:r>
    </w:p>
    <w:p w14:paraId="5A105BDF" w14:textId="6BF5E27E" w:rsidR="00747953" w:rsidRPr="001B3428" w:rsidRDefault="00747953" w:rsidP="00505254">
      <w:pPr>
        <w:ind w:left="2268"/>
        <w:jc w:val="both"/>
        <w:rPr>
          <w:rFonts w:ascii="Arial" w:hAnsi="Arial" w:cs="Arial"/>
          <w:sz w:val="22"/>
          <w:szCs w:val="22"/>
        </w:rPr>
      </w:pPr>
      <w:r w:rsidRPr="001B3428">
        <w:rPr>
          <w:rFonts w:ascii="Arial" w:hAnsi="Arial" w:cs="Arial"/>
          <w:sz w:val="22"/>
          <w:szCs w:val="22"/>
        </w:rPr>
        <w:t>III - o pagamento do imposto devido na importação do exterior mediante lançamento a débito na escrituração fiscal.</w:t>
      </w:r>
    </w:p>
    <w:p w14:paraId="6212B794" w14:textId="1C6C1E59" w:rsidR="003766D6" w:rsidRPr="001B3428" w:rsidRDefault="003766D6" w:rsidP="009A3D3D">
      <w:pPr>
        <w:spacing w:line="360" w:lineRule="auto"/>
        <w:ind w:firstLine="851"/>
        <w:jc w:val="both"/>
        <w:rPr>
          <w:rFonts w:ascii="Arial" w:hAnsi="Arial" w:cs="Arial"/>
          <w:sz w:val="24"/>
          <w:szCs w:val="24"/>
        </w:rPr>
      </w:pPr>
    </w:p>
    <w:p w14:paraId="7AD506E2" w14:textId="5B50B309" w:rsidR="00747953" w:rsidRPr="001B3428" w:rsidRDefault="00747953" w:rsidP="009A3D3D">
      <w:pPr>
        <w:spacing w:line="360" w:lineRule="auto"/>
        <w:ind w:firstLine="851"/>
        <w:jc w:val="both"/>
        <w:rPr>
          <w:rFonts w:ascii="Arial" w:hAnsi="Arial" w:cs="Arial"/>
          <w:sz w:val="24"/>
          <w:szCs w:val="24"/>
        </w:rPr>
      </w:pPr>
      <w:r w:rsidRPr="001B3428">
        <w:rPr>
          <w:rFonts w:ascii="Arial" w:hAnsi="Arial" w:cs="Arial"/>
          <w:sz w:val="24"/>
          <w:szCs w:val="24"/>
        </w:rPr>
        <w:t xml:space="preserve">Como se percebe, </w:t>
      </w:r>
      <w:r w:rsidRPr="001B3428">
        <w:rPr>
          <w:rFonts w:ascii="Arial" w:hAnsi="Arial" w:cs="Arial"/>
          <w:b/>
          <w:sz w:val="24"/>
          <w:szCs w:val="24"/>
        </w:rPr>
        <w:t xml:space="preserve">a lei concedeu </w:t>
      </w:r>
      <w:r w:rsidR="007325D5" w:rsidRPr="001B3428">
        <w:rPr>
          <w:rFonts w:ascii="Arial" w:hAnsi="Arial" w:cs="Arial"/>
          <w:b/>
          <w:sz w:val="24"/>
          <w:szCs w:val="24"/>
        </w:rPr>
        <w:t xml:space="preserve">originalmente </w:t>
      </w:r>
      <w:r w:rsidRPr="001B3428">
        <w:rPr>
          <w:rFonts w:ascii="Arial" w:hAnsi="Arial" w:cs="Arial"/>
          <w:b/>
          <w:sz w:val="24"/>
          <w:szCs w:val="24"/>
        </w:rPr>
        <w:t>dois benefícios principais, crédito outorgado e redução da base de cálculo</w:t>
      </w:r>
      <w:r w:rsidR="00CE2E05" w:rsidRPr="001B3428">
        <w:rPr>
          <w:rFonts w:ascii="Arial" w:hAnsi="Arial" w:cs="Arial"/>
          <w:sz w:val="24"/>
          <w:szCs w:val="24"/>
        </w:rPr>
        <w:t xml:space="preserve">, inclusive com a permissão implícita de cumulação entre eles, visto que a única vedação expressa </w:t>
      </w:r>
      <w:r w:rsidR="000D2BFB" w:rsidRPr="001B3428">
        <w:rPr>
          <w:rFonts w:ascii="Arial" w:hAnsi="Arial" w:cs="Arial"/>
          <w:sz w:val="24"/>
          <w:szCs w:val="24"/>
        </w:rPr>
        <w:t>consistia, na redação originária, que a</w:t>
      </w:r>
      <w:r w:rsidR="00CF1287" w:rsidRPr="001B3428">
        <w:rPr>
          <w:rFonts w:ascii="Arial" w:hAnsi="Arial" w:cs="Arial"/>
          <w:sz w:val="24"/>
          <w:szCs w:val="24"/>
        </w:rPr>
        <w:t xml:space="preserve"> concessão do benefício fiscal na operação interna e do crédito outorgado na operação interestadual resulta</w:t>
      </w:r>
      <w:r w:rsidR="000D2BFB" w:rsidRPr="001B3428">
        <w:rPr>
          <w:rFonts w:ascii="Arial" w:hAnsi="Arial" w:cs="Arial"/>
          <w:sz w:val="24"/>
          <w:szCs w:val="24"/>
        </w:rPr>
        <w:t xml:space="preserve">sse </w:t>
      </w:r>
      <w:r w:rsidR="00CF1287" w:rsidRPr="001B3428">
        <w:rPr>
          <w:rFonts w:ascii="Arial" w:hAnsi="Arial" w:cs="Arial"/>
          <w:sz w:val="24"/>
          <w:szCs w:val="24"/>
        </w:rPr>
        <w:t>em carga tributária efetiva inferior a 2% (dois por cento).</w:t>
      </w:r>
      <w:r w:rsidR="006E2E16" w:rsidRPr="001B3428">
        <w:rPr>
          <w:rFonts w:ascii="Arial" w:hAnsi="Arial" w:cs="Arial"/>
          <w:sz w:val="24"/>
          <w:szCs w:val="24"/>
        </w:rPr>
        <w:t xml:space="preserve"> </w:t>
      </w:r>
      <w:r w:rsidR="002E2927" w:rsidRPr="001B3428">
        <w:rPr>
          <w:rFonts w:ascii="Arial" w:hAnsi="Arial" w:cs="Arial"/>
          <w:sz w:val="24"/>
          <w:szCs w:val="24"/>
        </w:rPr>
        <w:t xml:space="preserve">Originariamente </w:t>
      </w:r>
      <w:r w:rsidR="006E2E16" w:rsidRPr="001B3428">
        <w:rPr>
          <w:rFonts w:ascii="Arial" w:hAnsi="Arial" w:cs="Arial"/>
          <w:sz w:val="24"/>
          <w:szCs w:val="24"/>
        </w:rPr>
        <w:t>esse percentual se referia à totalidade das operações do grupo econômico, o que foi corrigid</w:t>
      </w:r>
      <w:r w:rsidR="002E2927" w:rsidRPr="001B3428">
        <w:rPr>
          <w:rFonts w:ascii="Arial" w:hAnsi="Arial" w:cs="Arial"/>
          <w:sz w:val="24"/>
          <w:szCs w:val="24"/>
        </w:rPr>
        <w:t>o</w:t>
      </w:r>
      <w:r w:rsidR="006E2E16" w:rsidRPr="001B3428">
        <w:rPr>
          <w:rFonts w:ascii="Arial" w:hAnsi="Arial" w:cs="Arial"/>
          <w:sz w:val="24"/>
          <w:szCs w:val="24"/>
        </w:rPr>
        <w:t xml:space="preserve"> pela Lei nº 20.590/2019 para que se referisse apenas às operações abrangidas pelo tratamento tributário previsto na Lei nº 17.442/2011.</w:t>
      </w:r>
    </w:p>
    <w:p w14:paraId="41F13C5B" w14:textId="08F442D6" w:rsidR="00F64505" w:rsidRPr="001B3428" w:rsidRDefault="00F64505" w:rsidP="009A3D3D">
      <w:pPr>
        <w:spacing w:line="360" w:lineRule="auto"/>
        <w:ind w:firstLine="851"/>
        <w:jc w:val="both"/>
        <w:rPr>
          <w:rFonts w:ascii="Arial" w:hAnsi="Arial" w:cs="Arial"/>
          <w:sz w:val="24"/>
          <w:szCs w:val="24"/>
        </w:rPr>
      </w:pPr>
      <w:r w:rsidRPr="001B3428">
        <w:rPr>
          <w:rFonts w:ascii="Arial" w:hAnsi="Arial" w:cs="Arial"/>
          <w:sz w:val="24"/>
          <w:szCs w:val="24"/>
        </w:rPr>
        <w:t>Entretanto, a lei transferiu quase que por completo a competência para conceder os benefícios ao Poder Executivo, e com isso, não permitindo um maior controle por parte do Poder Legislativo.</w:t>
      </w:r>
    </w:p>
    <w:p w14:paraId="1DB4C73D" w14:textId="56ADA5FD" w:rsidR="00F64505" w:rsidRPr="001B3428" w:rsidRDefault="00F64505" w:rsidP="009A3D3D">
      <w:pPr>
        <w:spacing w:line="360" w:lineRule="auto"/>
        <w:ind w:firstLine="851"/>
        <w:jc w:val="both"/>
        <w:rPr>
          <w:rFonts w:ascii="Arial" w:hAnsi="Arial" w:cs="Arial"/>
          <w:sz w:val="24"/>
          <w:szCs w:val="24"/>
        </w:rPr>
      </w:pPr>
      <w:r w:rsidRPr="001B3428">
        <w:rPr>
          <w:rFonts w:ascii="Arial" w:hAnsi="Arial" w:cs="Arial"/>
          <w:sz w:val="24"/>
          <w:szCs w:val="24"/>
        </w:rPr>
        <w:t>Essa situação não pode se perpetuar, merecendo maior controle por esta Casa.</w:t>
      </w:r>
    </w:p>
    <w:p w14:paraId="41A19A96" w14:textId="00B97C01" w:rsidR="003C3CA6" w:rsidRPr="001B3428" w:rsidRDefault="00F64505" w:rsidP="00CC44A1">
      <w:pPr>
        <w:spacing w:line="360" w:lineRule="auto"/>
        <w:ind w:firstLine="851"/>
        <w:jc w:val="both"/>
        <w:rPr>
          <w:rFonts w:ascii="Arial" w:hAnsi="Arial" w:cs="Arial"/>
          <w:sz w:val="24"/>
          <w:szCs w:val="24"/>
        </w:rPr>
      </w:pPr>
      <w:r w:rsidRPr="001B3428">
        <w:rPr>
          <w:rFonts w:ascii="Arial" w:hAnsi="Arial" w:cs="Arial"/>
          <w:b/>
          <w:sz w:val="24"/>
          <w:szCs w:val="24"/>
        </w:rPr>
        <w:t>Com a edição do</w:t>
      </w:r>
      <w:r w:rsidR="004B60FB" w:rsidRPr="001B3428">
        <w:rPr>
          <w:rFonts w:ascii="Arial" w:hAnsi="Arial" w:cs="Arial"/>
          <w:b/>
          <w:sz w:val="24"/>
          <w:szCs w:val="24"/>
        </w:rPr>
        <w:t xml:space="preserve"> Decreto nº 9.432/2019</w:t>
      </w:r>
      <w:r w:rsidR="004B60FB" w:rsidRPr="001B3428">
        <w:rPr>
          <w:rFonts w:ascii="Arial" w:hAnsi="Arial" w:cs="Arial"/>
          <w:sz w:val="24"/>
          <w:szCs w:val="24"/>
        </w:rPr>
        <w:t xml:space="preserve"> </w:t>
      </w:r>
      <w:r w:rsidRPr="001B3428">
        <w:rPr>
          <w:rFonts w:ascii="Arial" w:hAnsi="Arial" w:cs="Arial"/>
          <w:sz w:val="24"/>
          <w:szCs w:val="24"/>
        </w:rPr>
        <w:t>s</w:t>
      </w:r>
      <w:r w:rsidR="004B60FB" w:rsidRPr="001B3428">
        <w:rPr>
          <w:rFonts w:ascii="Arial" w:hAnsi="Arial" w:cs="Arial"/>
          <w:sz w:val="24"/>
          <w:szCs w:val="24"/>
        </w:rPr>
        <w:t xml:space="preserve">e determinou por força de seu: a) </w:t>
      </w:r>
      <w:r w:rsidR="003C3CA6" w:rsidRPr="001B3428">
        <w:rPr>
          <w:rFonts w:ascii="Arial" w:hAnsi="Arial" w:cs="Arial"/>
          <w:sz w:val="24"/>
          <w:szCs w:val="24"/>
          <w:u w:val="single"/>
        </w:rPr>
        <w:t>art. 4º</w:t>
      </w:r>
      <w:r w:rsidR="004B60FB" w:rsidRPr="001B3428">
        <w:rPr>
          <w:rFonts w:ascii="Arial" w:hAnsi="Arial" w:cs="Arial"/>
          <w:sz w:val="24"/>
          <w:szCs w:val="24"/>
        </w:rPr>
        <w:t>,</w:t>
      </w:r>
      <w:r w:rsidR="003C3CA6" w:rsidRPr="001B3428">
        <w:rPr>
          <w:rFonts w:ascii="Arial" w:hAnsi="Arial" w:cs="Arial"/>
          <w:sz w:val="24"/>
          <w:szCs w:val="24"/>
        </w:rPr>
        <w:t xml:space="preserve"> </w:t>
      </w:r>
      <w:r w:rsidR="004B60FB" w:rsidRPr="001B3428">
        <w:rPr>
          <w:rFonts w:ascii="Arial" w:hAnsi="Arial" w:cs="Arial"/>
          <w:sz w:val="24"/>
          <w:szCs w:val="24"/>
        </w:rPr>
        <w:t>que</w:t>
      </w:r>
      <w:r w:rsidR="003C3CA6" w:rsidRPr="001B3428">
        <w:rPr>
          <w:rFonts w:ascii="Arial" w:hAnsi="Arial" w:cs="Arial"/>
          <w:sz w:val="24"/>
          <w:szCs w:val="24"/>
        </w:rPr>
        <w:t xml:space="preserve"> a fruição do</w:t>
      </w:r>
      <w:r w:rsidR="004B60FB" w:rsidRPr="001B3428">
        <w:rPr>
          <w:rFonts w:ascii="Arial" w:hAnsi="Arial" w:cs="Arial"/>
          <w:sz w:val="24"/>
          <w:szCs w:val="24"/>
        </w:rPr>
        <w:t xml:space="preserve"> crédito outorgado previsto no inciso LXI do art. 11 do RCTE/GO</w:t>
      </w:r>
      <w:r w:rsidR="003C3CA6" w:rsidRPr="001B3428">
        <w:rPr>
          <w:rFonts w:ascii="Arial" w:hAnsi="Arial" w:cs="Arial"/>
          <w:sz w:val="24"/>
          <w:szCs w:val="24"/>
        </w:rPr>
        <w:t>, pelos contribuintes signatários de TARE celebrados até 26</w:t>
      </w:r>
      <w:r w:rsidR="004B60FB" w:rsidRPr="001B3428">
        <w:rPr>
          <w:rFonts w:ascii="Arial" w:hAnsi="Arial" w:cs="Arial"/>
          <w:sz w:val="24"/>
          <w:szCs w:val="24"/>
        </w:rPr>
        <w:t>/</w:t>
      </w:r>
      <w:r w:rsidR="003C3CA6" w:rsidRPr="001B3428">
        <w:rPr>
          <w:rFonts w:ascii="Arial" w:hAnsi="Arial" w:cs="Arial"/>
          <w:sz w:val="24"/>
          <w:szCs w:val="24"/>
        </w:rPr>
        <w:t>04</w:t>
      </w:r>
      <w:r w:rsidR="004B60FB" w:rsidRPr="001B3428">
        <w:rPr>
          <w:rFonts w:ascii="Arial" w:hAnsi="Arial" w:cs="Arial"/>
          <w:sz w:val="24"/>
          <w:szCs w:val="24"/>
        </w:rPr>
        <w:t>/20</w:t>
      </w:r>
      <w:r w:rsidR="003C3CA6" w:rsidRPr="001B3428">
        <w:rPr>
          <w:rFonts w:ascii="Arial" w:hAnsi="Arial" w:cs="Arial"/>
          <w:sz w:val="24"/>
          <w:szCs w:val="24"/>
        </w:rPr>
        <w:t>19, fica condicionada à celebração de novo TARE junto à Secretaria de Estado da Economia, a partir de 01</w:t>
      </w:r>
      <w:r w:rsidR="004B60FB" w:rsidRPr="001B3428">
        <w:rPr>
          <w:rFonts w:ascii="Arial" w:hAnsi="Arial" w:cs="Arial"/>
          <w:sz w:val="24"/>
          <w:szCs w:val="24"/>
        </w:rPr>
        <w:t>/</w:t>
      </w:r>
      <w:r w:rsidR="003C3CA6" w:rsidRPr="001B3428">
        <w:rPr>
          <w:rFonts w:ascii="Arial" w:hAnsi="Arial" w:cs="Arial"/>
          <w:sz w:val="24"/>
          <w:szCs w:val="24"/>
        </w:rPr>
        <w:t>04</w:t>
      </w:r>
      <w:r w:rsidR="004B60FB" w:rsidRPr="001B3428">
        <w:rPr>
          <w:rFonts w:ascii="Arial" w:hAnsi="Arial" w:cs="Arial"/>
          <w:sz w:val="24"/>
          <w:szCs w:val="24"/>
        </w:rPr>
        <w:t>/20</w:t>
      </w:r>
      <w:r w:rsidR="003C3CA6" w:rsidRPr="001B3428">
        <w:rPr>
          <w:rFonts w:ascii="Arial" w:hAnsi="Arial" w:cs="Arial"/>
          <w:sz w:val="24"/>
          <w:szCs w:val="24"/>
        </w:rPr>
        <w:t>19;</w:t>
      </w:r>
      <w:r w:rsidR="004B60FB" w:rsidRPr="001B3428">
        <w:rPr>
          <w:rFonts w:ascii="Arial" w:hAnsi="Arial" w:cs="Arial"/>
          <w:sz w:val="24"/>
          <w:szCs w:val="24"/>
        </w:rPr>
        <w:t xml:space="preserve"> b) </w:t>
      </w:r>
      <w:r w:rsidR="003C3CA6" w:rsidRPr="001B3428">
        <w:rPr>
          <w:rFonts w:ascii="Arial" w:hAnsi="Arial" w:cs="Arial"/>
          <w:sz w:val="24"/>
          <w:szCs w:val="24"/>
          <w:u w:val="single"/>
        </w:rPr>
        <w:t>art. 5º</w:t>
      </w:r>
      <w:r w:rsidR="004B60FB" w:rsidRPr="001B3428">
        <w:rPr>
          <w:rFonts w:ascii="Arial" w:hAnsi="Arial" w:cs="Arial"/>
          <w:sz w:val="24"/>
          <w:szCs w:val="24"/>
        </w:rPr>
        <w:t xml:space="preserve">, </w:t>
      </w:r>
      <w:r w:rsidR="003C3CA6" w:rsidRPr="001B3428">
        <w:rPr>
          <w:rFonts w:ascii="Arial" w:hAnsi="Arial" w:cs="Arial"/>
          <w:sz w:val="24"/>
          <w:szCs w:val="24"/>
        </w:rPr>
        <w:t>que a fruição do</w:t>
      </w:r>
      <w:r w:rsidR="004B60FB" w:rsidRPr="001B3428">
        <w:rPr>
          <w:rFonts w:ascii="Arial" w:hAnsi="Arial" w:cs="Arial"/>
          <w:sz w:val="24"/>
          <w:szCs w:val="24"/>
        </w:rPr>
        <w:t xml:space="preserve"> referido</w:t>
      </w:r>
      <w:r w:rsidR="003C3CA6" w:rsidRPr="001B3428">
        <w:rPr>
          <w:rFonts w:ascii="Arial" w:hAnsi="Arial" w:cs="Arial"/>
          <w:sz w:val="24"/>
          <w:szCs w:val="24"/>
        </w:rPr>
        <w:t xml:space="preserve"> crédito outorgado, pelos contribuintes signatários de TARE celebrados até 30</w:t>
      </w:r>
      <w:r w:rsidR="004B60FB" w:rsidRPr="001B3428">
        <w:rPr>
          <w:rFonts w:ascii="Arial" w:hAnsi="Arial" w:cs="Arial"/>
          <w:sz w:val="24"/>
          <w:szCs w:val="24"/>
        </w:rPr>
        <w:t>/03/</w:t>
      </w:r>
      <w:r w:rsidR="003C3CA6" w:rsidRPr="001B3428">
        <w:rPr>
          <w:rFonts w:ascii="Arial" w:hAnsi="Arial" w:cs="Arial"/>
          <w:sz w:val="24"/>
          <w:szCs w:val="24"/>
        </w:rPr>
        <w:t>2020, fica condicionada à celebração de novo TARE junto à Secretaria de Estado da Economia, a partir de 1º</w:t>
      </w:r>
      <w:r w:rsidR="00274976" w:rsidRPr="001B3428">
        <w:rPr>
          <w:rFonts w:ascii="Arial" w:hAnsi="Arial" w:cs="Arial"/>
          <w:sz w:val="24"/>
          <w:szCs w:val="24"/>
        </w:rPr>
        <w:t>/04/</w:t>
      </w:r>
      <w:r w:rsidR="003C3CA6" w:rsidRPr="001B3428">
        <w:rPr>
          <w:rFonts w:ascii="Arial" w:hAnsi="Arial" w:cs="Arial"/>
          <w:sz w:val="24"/>
          <w:szCs w:val="24"/>
        </w:rPr>
        <w:t>2020.</w:t>
      </w:r>
    </w:p>
    <w:p w14:paraId="66D6D893" w14:textId="3497C925" w:rsidR="00F64505" w:rsidRPr="001B3428" w:rsidRDefault="00F64505" w:rsidP="00CC44A1">
      <w:pPr>
        <w:spacing w:line="360" w:lineRule="auto"/>
        <w:ind w:firstLine="851"/>
        <w:jc w:val="both"/>
        <w:rPr>
          <w:rFonts w:ascii="Arial" w:hAnsi="Arial" w:cs="Arial"/>
          <w:sz w:val="24"/>
          <w:szCs w:val="24"/>
        </w:rPr>
      </w:pPr>
      <w:r w:rsidRPr="001B3428">
        <w:rPr>
          <w:rFonts w:ascii="Arial" w:hAnsi="Arial" w:cs="Arial"/>
          <w:sz w:val="24"/>
          <w:szCs w:val="24"/>
        </w:rPr>
        <w:t>Entretanto, ainda que esta Casa legislativa tenha corrigid</w:t>
      </w:r>
      <w:r w:rsidR="001C2BAC" w:rsidRPr="001B3428">
        <w:rPr>
          <w:rFonts w:ascii="Arial" w:hAnsi="Arial" w:cs="Arial"/>
          <w:sz w:val="24"/>
          <w:szCs w:val="24"/>
        </w:rPr>
        <w:t>o algumas distorções pela Lei nº</w:t>
      </w:r>
      <w:r w:rsidRPr="001B3428">
        <w:rPr>
          <w:rFonts w:ascii="Arial" w:hAnsi="Arial" w:cs="Arial"/>
          <w:sz w:val="24"/>
          <w:szCs w:val="24"/>
        </w:rPr>
        <w:t xml:space="preserve"> 20.590/2019, percebe-se que </w:t>
      </w:r>
      <w:r w:rsidR="001C2BAC" w:rsidRPr="001B3428">
        <w:rPr>
          <w:rFonts w:ascii="Arial" w:hAnsi="Arial" w:cs="Arial"/>
          <w:sz w:val="24"/>
          <w:szCs w:val="24"/>
        </w:rPr>
        <w:t xml:space="preserve">as </w:t>
      </w:r>
      <w:r w:rsidRPr="001B3428">
        <w:rPr>
          <w:rFonts w:ascii="Arial" w:hAnsi="Arial" w:cs="Arial"/>
          <w:sz w:val="24"/>
          <w:szCs w:val="24"/>
        </w:rPr>
        <w:t>inovações</w:t>
      </w:r>
      <w:r w:rsidR="001C2BAC" w:rsidRPr="001B3428">
        <w:rPr>
          <w:rFonts w:ascii="Arial" w:hAnsi="Arial" w:cs="Arial"/>
          <w:sz w:val="24"/>
          <w:szCs w:val="24"/>
        </w:rPr>
        <w:t xml:space="preserve"> trazidas pela mencionada lei</w:t>
      </w:r>
      <w:r w:rsidRPr="001B3428">
        <w:rPr>
          <w:rFonts w:ascii="Arial" w:hAnsi="Arial" w:cs="Arial"/>
          <w:sz w:val="24"/>
          <w:szCs w:val="24"/>
        </w:rPr>
        <w:t xml:space="preserve"> ainda não fora</w:t>
      </w:r>
      <w:r w:rsidR="001C2BAC" w:rsidRPr="001B3428">
        <w:rPr>
          <w:rFonts w:ascii="Arial" w:hAnsi="Arial" w:cs="Arial"/>
          <w:sz w:val="24"/>
          <w:szCs w:val="24"/>
        </w:rPr>
        <w:t>m</w:t>
      </w:r>
      <w:r w:rsidRPr="001B3428">
        <w:rPr>
          <w:rFonts w:ascii="Arial" w:hAnsi="Arial" w:cs="Arial"/>
          <w:sz w:val="24"/>
          <w:szCs w:val="24"/>
        </w:rPr>
        <w:t xml:space="preserve"> incorporadas no RCTE/GO tampouco nos TARE’s, o que leva esta CPI </w:t>
      </w:r>
      <w:r w:rsidRPr="001B3428">
        <w:rPr>
          <w:rFonts w:ascii="Arial" w:hAnsi="Arial" w:cs="Arial"/>
          <w:sz w:val="24"/>
          <w:szCs w:val="24"/>
        </w:rPr>
        <w:lastRenderedPageBreak/>
        <w:t>a concluir que, na prática, ainda não estejam sendo observadas, porque infelizmente no Brasil os regulamentos valem mais que a lei e a Constituição.</w:t>
      </w:r>
    </w:p>
    <w:p w14:paraId="1DB3B29F" w14:textId="5FFF2976" w:rsidR="004D4D6C" w:rsidRPr="001B3428" w:rsidRDefault="00F64505" w:rsidP="00F64505">
      <w:pPr>
        <w:spacing w:line="360" w:lineRule="auto"/>
        <w:ind w:firstLine="851"/>
        <w:jc w:val="both"/>
        <w:rPr>
          <w:rFonts w:ascii="Arial" w:hAnsi="Arial" w:cs="Arial"/>
          <w:b/>
          <w:sz w:val="24"/>
          <w:szCs w:val="24"/>
          <w:u w:val="single"/>
        </w:rPr>
      </w:pPr>
      <w:r w:rsidRPr="001B3428">
        <w:rPr>
          <w:rFonts w:ascii="Arial" w:hAnsi="Arial" w:cs="Arial"/>
          <w:b/>
          <w:sz w:val="24"/>
          <w:szCs w:val="24"/>
          <w:u w:val="single"/>
        </w:rPr>
        <w:t>Tendo em vista a situação antes transcrita</w:t>
      </w:r>
      <w:r w:rsidR="004D4D6C" w:rsidRPr="001B3428">
        <w:rPr>
          <w:rFonts w:ascii="Arial" w:hAnsi="Arial" w:cs="Arial"/>
          <w:sz w:val="24"/>
          <w:szCs w:val="24"/>
        </w:rPr>
        <w:t>, esta CPI recomenda</w:t>
      </w:r>
      <w:r w:rsidR="00C467C6" w:rsidRPr="001B3428">
        <w:rPr>
          <w:rFonts w:ascii="Arial" w:hAnsi="Arial" w:cs="Arial"/>
          <w:sz w:val="24"/>
          <w:szCs w:val="24"/>
        </w:rPr>
        <w:t>:</w:t>
      </w:r>
    </w:p>
    <w:p w14:paraId="7E6B5600" w14:textId="1C13FFAA" w:rsidR="009A1E6D" w:rsidRPr="001B3428" w:rsidRDefault="00225FF3" w:rsidP="00225FF3">
      <w:pPr>
        <w:spacing w:line="360" w:lineRule="auto"/>
        <w:ind w:firstLine="851"/>
        <w:jc w:val="both"/>
        <w:rPr>
          <w:rFonts w:ascii="Arial" w:hAnsi="Arial" w:cs="Arial"/>
          <w:sz w:val="24"/>
          <w:szCs w:val="24"/>
        </w:rPr>
      </w:pPr>
      <w:r w:rsidRPr="001B3428">
        <w:rPr>
          <w:rFonts w:ascii="Arial" w:hAnsi="Arial" w:cs="Arial"/>
          <w:b/>
          <w:sz w:val="24"/>
          <w:szCs w:val="24"/>
        </w:rPr>
        <w:t xml:space="preserve">a) </w:t>
      </w:r>
      <w:r w:rsidR="009A1E6D" w:rsidRPr="001B3428">
        <w:rPr>
          <w:rFonts w:ascii="Arial" w:hAnsi="Arial" w:cs="Arial"/>
          <w:b/>
          <w:sz w:val="24"/>
          <w:szCs w:val="24"/>
        </w:rPr>
        <w:t>uma revisão de todos os TARE’s firmados pelo grupo econômico com o Estado de Goiás</w:t>
      </w:r>
      <w:r w:rsidR="009A1E6D" w:rsidRPr="001B3428">
        <w:rPr>
          <w:rFonts w:ascii="Arial" w:hAnsi="Arial" w:cs="Arial"/>
          <w:sz w:val="24"/>
          <w:szCs w:val="24"/>
        </w:rPr>
        <w:t xml:space="preserve">, a fim de </w:t>
      </w:r>
      <w:r w:rsidR="00907AE1" w:rsidRPr="001B3428">
        <w:rPr>
          <w:rFonts w:ascii="Arial" w:hAnsi="Arial" w:cs="Arial"/>
          <w:sz w:val="24"/>
          <w:szCs w:val="24"/>
        </w:rPr>
        <w:t xml:space="preserve">acrescentar a exigência </w:t>
      </w:r>
      <w:r w:rsidR="00FE7A89" w:rsidRPr="001B3428">
        <w:rPr>
          <w:rFonts w:ascii="Arial" w:hAnsi="Arial" w:cs="Arial"/>
          <w:sz w:val="24"/>
          <w:szCs w:val="24"/>
        </w:rPr>
        <w:t xml:space="preserve">quantitativa e qualitativa </w:t>
      </w:r>
      <w:r w:rsidR="00907AE1" w:rsidRPr="001B3428">
        <w:rPr>
          <w:rFonts w:ascii="Arial" w:hAnsi="Arial" w:cs="Arial"/>
          <w:sz w:val="24"/>
          <w:szCs w:val="24"/>
        </w:rPr>
        <w:t xml:space="preserve">de </w:t>
      </w:r>
      <w:r w:rsidR="009A1E6D" w:rsidRPr="001B3428">
        <w:rPr>
          <w:rFonts w:ascii="Arial" w:hAnsi="Arial" w:cs="Arial"/>
          <w:sz w:val="24"/>
          <w:szCs w:val="24"/>
        </w:rPr>
        <w:t>contrapartidas</w:t>
      </w:r>
      <w:r w:rsidR="00B24969" w:rsidRPr="001B3428">
        <w:rPr>
          <w:rFonts w:ascii="Arial" w:hAnsi="Arial" w:cs="Arial"/>
          <w:sz w:val="24"/>
          <w:szCs w:val="24"/>
        </w:rPr>
        <w:t xml:space="preserve">, </w:t>
      </w:r>
      <w:r w:rsidR="00C30380" w:rsidRPr="001B3428">
        <w:rPr>
          <w:rFonts w:ascii="Arial" w:hAnsi="Arial" w:cs="Arial"/>
          <w:sz w:val="24"/>
          <w:szCs w:val="24"/>
        </w:rPr>
        <w:t>após minuciosa análise do que o grupo cumpriu até o momento</w:t>
      </w:r>
      <w:r w:rsidR="009A1E6D" w:rsidRPr="001B3428">
        <w:rPr>
          <w:rFonts w:ascii="Arial" w:hAnsi="Arial" w:cs="Arial"/>
          <w:sz w:val="24"/>
          <w:szCs w:val="24"/>
        </w:rPr>
        <w:t xml:space="preserve">, além de estabelecer parâmetros concretos para a respectiva fiscalização periódica, tanto fiscal como </w:t>
      </w:r>
      <w:r w:rsidR="009A1E6D" w:rsidRPr="001B3428">
        <w:rPr>
          <w:rFonts w:ascii="Arial" w:hAnsi="Arial" w:cs="Arial"/>
          <w:i/>
          <w:sz w:val="24"/>
          <w:szCs w:val="24"/>
        </w:rPr>
        <w:t>in loco</w:t>
      </w:r>
      <w:r w:rsidR="009A1E6D" w:rsidRPr="001B3428">
        <w:rPr>
          <w:rFonts w:ascii="Arial" w:hAnsi="Arial" w:cs="Arial"/>
          <w:sz w:val="24"/>
          <w:szCs w:val="24"/>
        </w:rPr>
        <w:t xml:space="preserve">, nos termos dos arts. 44, § 2º, e 45, III, da </w:t>
      </w:r>
      <w:r w:rsidR="003A0C32">
        <w:rPr>
          <w:rFonts w:ascii="Arial" w:hAnsi="Arial" w:cs="Arial"/>
          <w:sz w:val="24"/>
          <w:szCs w:val="24"/>
        </w:rPr>
        <w:t>LC</w:t>
      </w:r>
      <w:r w:rsidR="009A1E6D" w:rsidRPr="001B3428">
        <w:rPr>
          <w:rFonts w:ascii="Arial" w:hAnsi="Arial" w:cs="Arial"/>
          <w:sz w:val="24"/>
          <w:szCs w:val="24"/>
        </w:rPr>
        <w:t xml:space="preserve"> nº 138/2018;</w:t>
      </w:r>
    </w:p>
    <w:p w14:paraId="1E0722B8" w14:textId="26BC1481" w:rsidR="00225FF3" w:rsidRPr="001B3428" w:rsidRDefault="00225FF3" w:rsidP="00225FF3">
      <w:pPr>
        <w:spacing w:line="360" w:lineRule="auto"/>
        <w:ind w:firstLine="851"/>
        <w:jc w:val="both"/>
        <w:rPr>
          <w:rFonts w:ascii="Arial" w:hAnsi="Arial" w:cs="Arial"/>
          <w:sz w:val="24"/>
        </w:rPr>
      </w:pPr>
      <w:r w:rsidRPr="001B3428">
        <w:rPr>
          <w:rFonts w:ascii="Arial" w:hAnsi="Arial" w:cs="Arial"/>
          <w:b/>
          <w:sz w:val="24"/>
        </w:rPr>
        <w:t>b) aos órgãos de controle que procedam</w:t>
      </w:r>
      <w:r w:rsidR="008F011F">
        <w:rPr>
          <w:rFonts w:ascii="Arial" w:hAnsi="Arial" w:cs="Arial"/>
          <w:b/>
          <w:sz w:val="24"/>
        </w:rPr>
        <w:t xml:space="preserve"> a</w:t>
      </w:r>
      <w:r w:rsidRPr="001B3428">
        <w:rPr>
          <w:rFonts w:ascii="Arial" w:hAnsi="Arial" w:cs="Arial"/>
          <w:b/>
          <w:sz w:val="24"/>
        </w:rPr>
        <w:t xml:space="preserve"> uma auditoria específica mais aprofundada sobre o grupo econômico</w:t>
      </w:r>
      <w:r w:rsidRPr="001B3428">
        <w:rPr>
          <w:rFonts w:ascii="Arial" w:hAnsi="Arial" w:cs="Arial"/>
          <w:sz w:val="24"/>
        </w:rPr>
        <w:t>.</w:t>
      </w:r>
    </w:p>
    <w:p w14:paraId="0E97E122" w14:textId="77777777" w:rsidR="003744D8" w:rsidRDefault="003744D8" w:rsidP="00660027">
      <w:pPr>
        <w:spacing w:line="360" w:lineRule="auto"/>
        <w:ind w:firstLine="851"/>
        <w:jc w:val="both"/>
        <w:rPr>
          <w:rFonts w:ascii="Arial" w:hAnsi="Arial" w:cs="Arial"/>
          <w:sz w:val="24"/>
          <w:szCs w:val="24"/>
        </w:rPr>
      </w:pPr>
    </w:p>
    <w:p w14:paraId="599A4018" w14:textId="073A9A40" w:rsidR="00A0218B" w:rsidRDefault="00662769" w:rsidP="00660027">
      <w:pPr>
        <w:spacing w:line="360" w:lineRule="auto"/>
        <w:ind w:firstLine="851"/>
        <w:jc w:val="both"/>
        <w:rPr>
          <w:rFonts w:ascii="Arial" w:hAnsi="Arial" w:cs="Arial"/>
          <w:b/>
          <w:sz w:val="24"/>
          <w:szCs w:val="24"/>
        </w:rPr>
      </w:pPr>
      <w:r w:rsidRPr="00BD66E1">
        <w:rPr>
          <w:rFonts w:ascii="Arial" w:hAnsi="Arial" w:cs="Arial"/>
          <w:b/>
          <w:sz w:val="24"/>
          <w:szCs w:val="24"/>
        </w:rPr>
        <w:t>7.</w:t>
      </w:r>
      <w:r w:rsidR="001D706A">
        <w:rPr>
          <w:rFonts w:ascii="Arial" w:hAnsi="Arial" w:cs="Arial"/>
          <w:b/>
          <w:sz w:val="24"/>
          <w:szCs w:val="24"/>
        </w:rPr>
        <w:t>6</w:t>
      </w:r>
      <w:r w:rsidR="00511B9B">
        <w:rPr>
          <w:rFonts w:ascii="Arial" w:hAnsi="Arial" w:cs="Arial"/>
          <w:b/>
          <w:sz w:val="24"/>
          <w:szCs w:val="24"/>
        </w:rPr>
        <w:t xml:space="preserve"> –</w:t>
      </w:r>
      <w:r w:rsidR="007104CE">
        <w:rPr>
          <w:rFonts w:ascii="Arial" w:hAnsi="Arial" w:cs="Arial"/>
          <w:b/>
          <w:sz w:val="24"/>
          <w:szCs w:val="24"/>
        </w:rPr>
        <w:t xml:space="preserve"> </w:t>
      </w:r>
      <w:r w:rsidR="00660027">
        <w:rPr>
          <w:rFonts w:ascii="Arial" w:hAnsi="Arial" w:cs="Arial"/>
          <w:b/>
          <w:sz w:val="24"/>
          <w:szCs w:val="24"/>
        </w:rPr>
        <w:t xml:space="preserve">HIPÓTESES DE </w:t>
      </w:r>
      <w:r w:rsidR="00511B9B">
        <w:rPr>
          <w:rFonts w:ascii="Arial" w:hAnsi="Arial" w:cs="Arial"/>
          <w:b/>
          <w:sz w:val="24"/>
          <w:szCs w:val="24"/>
        </w:rPr>
        <w:t xml:space="preserve">CUMULAÇÃO </w:t>
      </w:r>
      <w:r w:rsidR="007104CE">
        <w:rPr>
          <w:rFonts w:ascii="Arial" w:hAnsi="Arial" w:cs="Arial"/>
          <w:b/>
          <w:sz w:val="24"/>
          <w:szCs w:val="24"/>
        </w:rPr>
        <w:t xml:space="preserve">DE CRÉDITO OUTORGADO </w:t>
      </w:r>
      <w:r w:rsidR="00511B9B">
        <w:rPr>
          <w:rFonts w:ascii="Arial" w:hAnsi="Arial" w:cs="Arial"/>
          <w:b/>
          <w:sz w:val="24"/>
          <w:szCs w:val="24"/>
        </w:rPr>
        <w:t>COM OUTROS BENEFÍCIOS</w:t>
      </w:r>
    </w:p>
    <w:p w14:paraId="6DBF8273" w14:textId="386CFD1A" w:rsidR="007C0530" w:rsidRDefault="007C0530" w:rsidP="000825A6">
      <w:pPr>
        <w:spacing w:line="360" w:lineRule="auto"/>
        <w:ind w:left="851"/>
        <w:jc w:val="both"/>
        <w:rPr>
          <w:rFonts w:ascii="Arial" w:hAnsi="Arial" w:cs="Arial"/>
          <w:b/>
          <w:sz w:val="24"/>
          <w:szCs w:val="24"/>
        </w:rPr>
      </w:pPr>
    </w:p>
    <w:p w14:paraId="08744BAC" w14:textId="5A1A2538" w:rsidR="007A1D03" w:rsidRDefault="007A1D03" w:rsidP="007A1D03">
      <w:pPr>
        <w:spacing w:line="360" w:lineRule="auto"/>
        <w:ind w:firstLine="851"/>
        <w:jc w:val="both"/>
        <w:rPr>
          <w:rFonts w:ascii="Arial" w:hAnsi="Arial" w:cs="Arial"/>
          <w:sz w:val="24"/>
          <w:szCs w:val="24"/>
        </w:rPr>
      </w:pPr>
      <w:r>
        <w:rPr>
          <w:rFonts w:ascii="Arial" w:hAnsi="Arial" w:cs="Arial"/>
          <w:sz w:val="24"/>
          <w:szCs w:val="24"/>
        </w:rPr>
        <w:t xml:space="preserve">Por meio do </w:t>
      </w:r>
      <w:r w:rsidRPr="007A1D03">
        <w:rPr>
          <w:rFonts w:ascii="Arial" w:hAnsi="Arial" w:cs="Arial"/>
          <w:b/>
          <w:sz w:val="24"/>
          <w:szCs w:val="24"/>
          <w:u w:val="single"/>
        </w:rPr>
        <w:t>Ofício nº 09/2019-CPI (item 4)</w:t>
      </w:r>
      <w:r w:rsidRPr="007A1D03">
        <w:rPr>
          <w:rFonts w:ascii="Arial" w:hAnsi="Arial" w:cs="Arial"/>
          <w:sz w:val="24"/>
          <w:szCs w:val="24"/>
        </w:rPr>
        <w:t xml:space="preserve">, esta Comissão requisitou da Secretaria de Estado da Economia que indicasse as pessoas jurídicas que, </w:t>
      </w:r>
      <w:r w:rsidRPr="007A1D03">
        <w:rPr>
          <w:rFonts w:ascii="Arial" w:hAnsi="Arial" w:cs="Arial"/>
          <w:b/>
          <w:sz w:val="24"/>
          <w:szCs w:val="24"/>
        </w:rPr>
        <w:t>no período de 2014 a 2018, acumularam o recebimento de mais de um benefício fiscal, pertencente ou não à mesma categoria</w:t>
      </w:r>
      <w:r w:rsidRPr="007A1D03">
        <w:rPr>
          <w:rFonts w:ascii="Arial" w:hAnsi="Arial" w:cs="Arial"/>
          <w:sz w:val="24"/>
          <w:szCs w:val="24"/>
        </w:rPr>
        <w:t xml:space="preserve">, com indicação dos valores correspondentes, considerando-se para esse fim inclusive eventual acumulação com </w:t>
      </w:r>
      <w:r w:rsidRPr="00F971DC">
        <w:rPr>
          <w:rFonts w:ascii="Arial" w:hAnsi="Arial" w:cs="Arial"/>
          <w:sz w:val="24"/>
          <w:szCs w:val="24"/>
        </w:rPr>
        <w:t xml:space="preserve">benefícios </w:t>
      </w:r>
      <w:r w:rsidR="00A9249A" w:rsidRPr="00F971DC">
        <w:rPr>
          <w:rFonts w:ascii="Arial" w:hAnsi="Arial" w:cs="Arial"/>
          <w:sz w:val="24"/>
          <w:szCs w:val="24"/>
        </w:rPr>
        <w:t xml:space="preserve">ditos </w:t>
      </w:r>
      <w:r w:rsidRPr="007A1D03">
        <w:rPr>
          <w:rFonts w:ascii="Arial" w:hAnsi="Arial" w:cs="Arial"/>
          <w:sz w:val="24"/>
          <w:szCs w:val="24"/>
        </w:rPr>
        <w:t>financeiros, a exemplo daqueles concedidos no âmbito dos Programas Produzir e Fomentar (instituídos pelas Leis nºs 9.489/1984 e 13.591/2000).</w:t>
      </w:r>
    </w:p>
    <w:p w14:paraId="3A52F9C3" w14:textId="548922E1" w:rsidR="00744AE6" w:rsidRDefault="007A1D03" w:rsidP="00744AE6">
      <w:pPr>
        <w:spacing w:line="360" w:lineRule="auto"/>
        <w:ind w:firstLine="851"/>
        <w:jc w:val="both"/>
        <w:rPr>
          <w:rFonts w:ascii="NimbusRomNo9L-Regu" w:eastAsiaTheme="minorHAnsi" w:hAnsi="NimbusRomNo9L-Regu" w:cs="NimbusRomNo9L-Regu"/>
          <w:sz w:val="25"/>
          <w:szCs w:val="25"/>
          <w:lang w:eastAsia="en-US"/>
        </w:rPr>
      </w:pPr>
      <w:r w:rsidRPr="00B558B1">
        <w:rPr>
          <w:rFonts w:ascii="Arial" w:hAnsi="Arial" w:cs="Arial"/>
          <w:b/>
          <w:sz w:val="24"/>
          <w:szCs w:val="24"/>
        </w:rPr>
        <w:t xml:space="preserve">A Secretaria encaminhou a esta CPI sua resposta na forma de extensa tabela, com 54 (cinquenta e quatro) </w:t>
      </w:r>
      <w:r w:rsidRPr="00042A8F">
        <w:rPr>
          <w:rFonts w:ascii="Arial" w:hAnsi="Arial" w:cs="Arial"/>
          <w:b/>
          <w:sz w:val="24"/>
          <w:szCs w:val="24"/>
        </w:rPr>
        <w:t>páginas</w:t>
      </w:r>
      <w:r w:rsidR="00042A8F" w:rsidRPr="00042A8F">
        <w:rPr>
          <w:rFonts w:ascii="Arial" w:hAnsi="Arial" w:cs="Arial"/>
          <w:b/>
          <w:sz w:val="24"/>
          <w:szCs w:val="24"/>
        </w:rPr>
        <w:t xml:space="preserve"> (Ofício nº 2.756/2019-Economia, p. 07/60)</w:t>
      </w:r>
      <w:r w:rsidRPr="00042A8F">
        <w:rPr>
          <w:rFonts w:ascii="Arial" w:hAnsi="Arial" w:cs="Arial"/>
          <w:sz w:val="24"/>
          <w:szCs w:val="24"/>
        </w:rPr>
        <w:t>,</w:t>
      </w:r>
      <w:r>
        <w:rPr>
          <w:rFonts w:ascii="Arial" w:hAnsi="Arial" w:cs="Arial"/>
          <w:sz w:val="24"/>
          <w:szCs w:val="24"/>
        </w:rPr>
        <w:t xml:space="preserve"> contendo o valor </w:t>
      </w:r>
      <w:r w:rsidRPr="00F30188">
        <w:rPr>
          <w:rFonts w:ascii="Arial" w:hAnsi="Arial" w:cs="Arial"/>
          <w:sz w:val="24"/>
          <w:szCs w:val="24"/>
        </w:rPr>
        <w:t xml:space="preserve">efetivamente escriturado pelas empresas </w:t>
      </w:r>
      <w:r w:rsidR="00042A8F" w:rsidRPr="00F30188">
        <w:rPr>
          <w:rFonts w:ascii="Arial" w:hAnsi="Arial" w:cs="Arial"/>
          <w:sz w:val="24"/>
          <w:szCs w:val="24"/>
        </w:rPr>
        <w:t xml:space="preserve">em cada ano no período de 2014 a 2018 </w:t>
      </w:r>
      <w:r w:rsidR="00F30188" w:rsidRPr="00F30188">
        <w:rPr>
          <w:rFonts w:ascii="Arial" w:hAnsi="Arial" w:cs="Arial"/>
          <w:sz w:val="24"/>
          <w:szCs w:val="24"/>
        </w:rPr>
        <w:t xml:space="preserve">por força dos programas FOMENTAR e PRODUZIR </w:t>
      </w:r>
      <w:r w:rsidRPr="00F30188">
        <w:rPr>
          <w:rFonts w:ascii="Arial" w:hAnsi="Arial" w:cs="Arial"/>
          <w:sz w:val="24"/>
          <w:szCs w:val="24"/>
        </w:rPr>
        <w:t>e</w:t>
      </w:r>
      <w:r w:rsidR="00744AE6" w:rsidRPr="00F30188">
        <w:rPr>
          <w:rFonts w:ascii="Arial" w:hAnsi="Arial" w:cs="Arial"/>
          <w:sz w:val="24"/>
          <w:szCs w:val="24"/>
        </w:rPr>
        <w:t>, quando existente, também de</w:t>
      </w:r>
      <w:r w:rsidRPr="00F30188">
        <w:rPr>
          <w:rFonts w:ascii="Arial" w:hAnsi="Arial" w:cs="Arial"/>
          <w:sz w:val="24"/>
          <w:szCs w:val="24"/>
        </w:rPr>
        <w:t xml:space="preserve"> crédito outorgado</w:t>
      </w:r>
      <w:r w:rsidR="00042A8F" w:rsidRPr="00F30188">
        <w:rPr>
          <w:rFonts w:ascii="Arial" w:hAnsi="Arial" w:cs="Arial"/>
          <w:sz w:val="24"/>
          <w:szCs w:val="24"/>
        </w:rPr>
        <w:t xml:space="preserve">; ainda, </w:t>
      </w:r>
      <w:r w:rsidR="00B558B1" w:rsidRPr="00F30188">
        <w:rPr>
          <w:rFonts w:ascii="Arial" w:hAnsi="Arial" w:cs="Arial"/>
          <w:sz w:val="24"/>
          <w:szCs w:val="24"/>
        </w:rPr>
        <w:t xml:space="preserve">justificou </w:t>
      </w:r>
      <w:r w:rsidR="00744AE6" w:rsidRPr="00F30188">
        <w:rPr>
          <w:rFonts w:ascii="Arial" w:hAnsi="Arial" w:cs="Arial"/>
          <w:sz w:val="24"/>
          <w:szCs w:val="24"/>
        </w:rPr>
        <w:t>que</w:t>
      </w:r>
      <w:r w:rsidR="00744AE6" w:rsidRPr="00F30188">
        <w:rPr>
          <w:rFonts w:ascii="Arial" w:eastAsiaTheme="minorHAnsi" w:hAnsi="Arial" w:cs="Arial"/>
          <w:sz w:val="24"/>
          <w:szCs w:val="24"/>
          <w:lang w:eastAsia="en-US"/>
        </w:rPr>
        <w:t>, “em razão da exiguidade do prazo e a complexidade em apurar de forma individualizada o montante usufruído a título de isenção e redução de base de cálculo, os levantamentos realizados não contemplam tais benefícios” (Ofício nº 2.756/2019-Eco</w:t>
      </w:r>
      <w:r w:rsidR="00042A8F" w:rsidRPr="00F30188">
        <w:rPr>
          <w:rFonts w:ascii="Arial" w:eastAsiaTheme="minorHAnsi" w:hAnsi="Arial" w:cs="Arial"/>
          <w:sz w:val="24"/>
          <w:szCs w:val="24"/>
          <w:lang w:eastAsia="en-US"/>
        </w:rPr>
        <w:t>nomia,</w:t>
      </w:r>
      <w:r w:rsidR="00744AE6" w:rsidRPr="00F30188">
        <w:rPr>
          <w:rFonts w:ascii="Arial" w:eastAsiaTheme="minorHAnsi" w:hAnsi="Arial" w:cs="Arial"/>
          <w:sz w:val="24"/>
          <w:szCs w:val="24"/>
          <w:lang w:eastAsia="en-US"/>
        </w:rPr>
        <w:t xml:space="preserve"> Despacho nº 2893/2019 – SER – 05503).</w:t>
      </w:r>
    </w:p>
    <w:p w14:paraId="55C75187" w14:textId="57248C3D" w:rsidR="007A1D03" w:rsidRDefault="00A55C08" w:rsidP="00660545">
      <w:pPr>
        <w:spacing w:line="360" w:lineRule="auto"/>
        <w:ind w:firstLine="851"/>
        <w:jc w:val="both"/>
        <w:rPr>
          <w:rFonts w:ascii="Arial" w:eastAsiaTheme="minorHAnsi" w:hAnsi="Arial" w:cs="Arial"/>
          <w:sz w:val="24"/>
          <w:szCs w:val="24"/>
          <w:lang w:eastAsia="en-US"/>
        </w:rPr>
      </w:pPr>
      <w:r w:rsidRPr="00FC4E46">
        <w:rPr>
          <w:rFonts w:ascii="Arial" w:eastAsiaTheme="minorHAnsi" w:hAnsi="Arial" w:cs="Arial"/>
          <w:sz w:val="24"/>
          <w:szCs w:val="24"/>
          <w:lang w:eastAsia="en-US"/>
        </w:rPr>
        <w:t xml:space="preserve">Ao analisar atentamente essa tabela, </w:t>
      </w:r>
      <w:r w:rsidRPr="00FC4E46">
        <w:rPr>
          <w:rFonts w:ascii="Arial" w:eastAsiaTheme="minorHAnsi" w:hAnsi="Arial" w:cs="Arial"/>
          <w:b/>
          <w:sz w:val="24"/>
          <w:szCs w:val="24"/>
          <w:lang w:eastAsia="en-US"/>
        </w:rPr>
        <w:t xml:space="preserve">percebe-se que das 100 (cem) maiores empresas beneficiárias de incentivos fiscais de ICMS no Estado de Goiás, 63 </w:t>
      </w:r>
      <w:r w:rsidRPr="00FC4E46">
        <w:rPr>
          <w:rFonts w:ascii="Arial" w:eastAsiaTheme="minorHAnsi" w:hAnsi="Arial" w:cs="Arial"/>
          <w:b/>
          <w:sz w:val="24"/>
          <w:szCs w:val="24"/>
          <w:lang w:eastAsia="en-US"/>
        </w:rPr>
        <w:lastRenderedPageBreak/>
        <w:t>(sessenta e três) cumulam ambas as formas de benefício</w:t>
      </w:r>
      <w:r w:rsidRPr="00FC4E46">
        <w:rPr>
          <w:rFonts w:ascii="Arial" w:eastAsiaTheme="minorHAnsi" w:hAnsi="Arial" w:cs="Arial"/>
          <w:sz w:val="24"/>
          <w:szCs w:val="24"/>
          <w:lang w:eastAsia="en-US"/>
        </w:rPr>
        <w:t xml:space="preserve">, isto é, crédito outorgado e </w:t>
      </w:r>
      <w:r w:rsidR="00F30188">
        <w:rPr>
          <w:rFonts w:ascii="Arial" w:eastAsiaTheme="minorHAnsi" w:hAnsi="Arial" w:cs="Arial"/>
          <w:sz w:val="24"/>
          <w:szCs w:val="24"/>
          <w:lang w:eastAsia="en-US"/>
        </w:rPr>
        <w:t xml:space="preserve">aqueles decorrentes dos programas </w:t>
      </w:r>
      <w:r w:rsidR="00F30188" w:rsidRPr="00FC4E46">
        <w:rPr>
          <w:rFonts w:ascii="Arial" w:eastAsiaTheme="minorHAnsi" w:hAnsi="Arial" w:cs="Arial"/>
          <w:sz w:val="24"/>
          <w:szCs w:val="24"/>
          <w:lang w:eastAsia="en-US"/>
        </w:rPr>
        <w:t>FOMENTAR</w:t>
      </w:r>
      <w:r w:rsidR="00F30188">
        <w:rPr>
          <w:rFonts w:ascii="Arial" w:eastAsiaTheme="minorHAnsi" w:hAnsi="Arial" w:cs="Arial"/>
          <w:sz w:val="24"/>
          <w:szCs w:val="24"/>
          <w:lang w:eastAsia="en-US"/>
        </w:rPr>
        <w:t xml:space="preserve"> e </w:t>
      </w:r>
      <w:r w:rsidR="00F30188" w:rsidRPr="00FC4E46">
        <w:rPr>
          <w:rFonts w:ascii="Arial" w:eastAsiaTheme="minorHAnsi" w:hAnsi="Arial" w:cs="Arial"/>
          <w:sz w:val="24"/>
          <w:szCs w:val="24"/>
          <w:lang w:eastAsia="en-US"/>
        </w:rPr>
        <w:t>PRODUZIR</w:t>
      </w:r>
      <w:r w:rsidRPr="00FC4E46">
        <w:rPr>
          <w:rFonts w:ascii="Arial" w:eastAsiaTheme="minorHAnsi" w:hAnsi="Arial" w:cs="Arial"/>
          <w:sz w:val="24"/>
          <w:szCs w:val="24"/>
          <w:lang w:eastAsia="en-US"/>
        </w:rPr>
        <w:t>, o que indica grande concentração de incentivos fiscais</w:t>
      </w:r>
      <w:r w:rsidR="00815184" w:rsidRPr="00FC4E46">
        <w:rPr>
          <w:rFonts w:ascii="Arial" w:eastAsiaTheme="minorHAnsi" w:hAnsi="Arial" w:cs="Arial"/>
          <w:sz w:val="24"/>
          <w:szCs w:val="24"/>
          <w:lang w:eastAsia="en-US"/>
        </w:rPr>
        <w:t xml:space="preserve"> de espécies diferentes a grandes empresas</w:t>
      </w:r>
      <w:r w:rsidRPr="00FC4E46">
        <w:rPr>
          <w:rFonts w:ascii="Arial" w:eastAsiaTheme="minorHAnsi" w:hAnsi="Arial" w:cs="Arial"/>
          <w:sz w:val="24"/>
          <w:szCs w:val="24"/>
          <w:lang w:eastAsia="en-US"/>
        </w:rPr>
        <w:t>.</w:t>
      </w:r>
    </w:p>
    <w:p w14:paraId="6379B43A" w14:textId="419B07BA" w:rsidR="00515D4E" w:rsidRDefault="00515D4E" w:rsidP="00815184">
      <w:pPr>
        <w:spacing w:line="360" w:lineRule="auto"/>
        <w:ind w:firstLine="851"/>
        <w:jc w:val="both"/>
        <w:rPr>
          <w:rFonts w:ascii="Arial" w:hAnsi="Arial" w:cs="Arial"/>
          <w:sz w:val="24"/>
          <w:szCs w:val="24"/>
        </w:rPr>
      </w:pPr>
      <w:r w:rsidRPr="00515D4E">
        <w:rPr>
          <w:rFonts w:ascii="Arial" w:hAnsi="Arial" w:cs="Arial"/>
          <w:sz w:val="24"/>
          <w:szCs w:val="24"/>
        </w:rPr>
        <w:t xml:space="preserve">A </w:t>
      </w:r>
      <w:r w:rsidRPr="0053232F">
        <w:rPr>
          <w:rFonts w:ascii="Arial" w:hAnsi="Arial" w:cs="Arial"/>
          <w:b/>
          <w:sz w:val="24"/>
          <w:szCs w:val="24"/>
        </w:rPr>
        <w:t>CGE/GO, no Informe de Auditoria nº 01/2019</w:t>
      </w:r>
      <w:r w:rsidR="00660545">
        <w:rPr>
          <w:rFonts w:ascii="Arial" w:hAnsi="Arial" w:cs="Arial"/>
          <w:sz w:val="24"/>
          <w:szCs w:val="24"/>
        </w:rPr>
        <w:t>, encaminhado a esta CPI, apontara</w:t>
      </w:r>
      <w:r w:rsidR="005324A0">
        <w:rPr>
          <w:rFonts w:ascii="Arial" w:hAnsi="Arial" w:cs="Arial"/>
          <w:sz w:val="24"/>
          <w:szCs w:val="24"/>
        </w:rPr>
        <w:t xml:space="preserve"> </w:t>
      </w:r>
      <w:r w:rsidR="00FA61BD">
        <w:rPr>
          <w:rFonts w:ascii="Arial" w:hAnsi="Arial" w:cs="Arial"/>
          <w:sz w:val="24"/>
          <w:szCs w:val="24"/>
        </w:rPr>
        <w:t>um conjunto de leis que permitem a concessão de crédito outorgado a determinados segmentos econômicos mesmo que já sejam beneficiários dos Programas Fomentar/Produzir, numa verdadeira cumulação de benefícios</w:t>
      </w:r>
      <w:r w:rsidR="0053232F">
        <w:rPr>
          <w:rFonts w:ascii="Arial" w:hAnsi="Arial" w:cs="Arial"/>
          <w:sz w:val="24"/>
          <w:szCs w:val="24"/>
        </w:rPr>
        <w:t>, conforme sintetizado</w:t>
      </w:r>
      <w:r w:rsidR="00DD0EF4">
        <w:rPr>
          <w:rFonts w:ascii="Arial" w:hAnsi="Arial" w:cs="Arial"/>
          <w:sz w:val="24"/>
          <w:szCs w:val="24"/>
        </w:rPr>
        <w:t xml:space="preserve"> na tabela abaixo:</w:t>
      </w:r>
    </w:p>
    <w:p w14:paraId="738440F6" w14:textId="77777777" w:rsidR="00567D95" w:rsidRDefault="00567D95" w:rsidP="00815184">
      <w:pPr>
        <w:spacing w:line="360" w:lineRule="auto"/>
        <w:ind w:firstLine="851"/>
        <w:jc w:val="both"/>
        <w:rPr>
          <w:rFonts w:ascii="Arial" w:hAnsi="Arial" w:cs="Arial"/>
          <w:sz w:val="24"/>
          <w:szCs w:val="24"/>
        </w:rPr>
      </w:pPr>
    </w:p>
    <w:tbl>
      <w:tblPr>
        <w:tblStyle w:val="Tabelacomgrade"/>
        <w:tblW w:w="9464" w:type="dxa"/>
        <w:tblLayout w:type="fixed"/>
        <w:tblLook w:val="04A0" w:firstRow="1" w:lastRow="0" w:firstColumn="1" w:lastColumn="0" w:noHBand="0" w:noVBand="1"/>
      </w:tblPr>
      <w:tblGrid>
        <w:gridCol w:w="1129"/>
        <w:gridCol w:w="1560"/>
        <w:gridCol w:w="1417"/>
        <w:gridCol w:w="1701"/>
        <w:gridCol w:w="1559"/>
        <w:gridCol w:w="2098"/>
      </w:tblGrid>
      <w:tr w:rsidR="00F411F3" w:rsidRPr="00F411F3" w14:paraId="2225AAEF" w14:textId="77777777" w:rsidTr="00FB4268">
        <w:trPr>
          <w:trHeight w:val="221"/>
        </w:trPr>
        <w:tc>
          <w:tcPr>
            <w:tcW w:w="9464" w:type="dxa"/>
            <w:gridSpan w:val="6"/>
            <w:vAlign w:val="center"/>
          </w:tcPr>
          <w:p w14:paraId="20BD8861" w14:textId="2ABA7801" w:rsidR="00F411F3" w:rsidRPr="00F411F3" w:rsidRDefault="00F411F3" w:rsidP="00FB4268">
            <w:pPr>
              <w:jc w:val="center"/>
              <w:rPr>
                <w:rFonts w:ascii="Arial" w:hAnsi="Arial" w:cs="Arial"/>
                <w:b/>
                <w:sz w:val="24"/>
                <w:szCs w:val="24"/>
              </w:rPr>
            </w:pPr>
            <w:r w:rsidRPr="00F411F3">
              <w:rPr>
                <w:rFonts w:ascii="Arial" w:hAnsi="Arial" w:cs="Arial"/>
                <w:b/>
                <w:sz w:val="24"/>
                <w:szCs w:val="24"/>
              </w:rPr>
              <w:t>Relação das leis que autorizam a concessão de crédito outorgado para empresas beneficiárias do Programa PRODUZIR</w:t>
            </w:r>
          </w:p>
        </w:tc>
      </w:tr>
      <w:tr w:rsidR="00F411F3" w:rsidRPr="00F411F3" w14:paraId="03B587A9" w14:textId="77777777" w:rsidTr="00A9249A">
        <w:trPr>
          <w:trHeight w:val="221"/>
        </w:trPr>
        <w:tc>
          <w:tcPr>
            <w:tcW w:w="1129" w:type="dxa"/>
            <w:vMerge w:val="restart"/>
            <w:vAlign w:val="center"/>
          </w:tcPr>
          <w:p w14:paraId="1A1B676C" w14:textId="77777777" w:rsidR="00F411F3" w:rsidRPr="00F411F3" w:rsidRDefault="00F411F3" w:rsidP="00FB4268">
            <w:pPr>
              <w:jc w:val="center"/>
              <w:rPr>
                <w:rFonts w:ascii="Arial" w:hAnsi="Arial" w:cs="Arial"/>
                <w:b/>
                <w:sz w:val="24"/>
                <w:szCs w:val="24"/>
              </w:rPr>
            </w:pPr>
            <w:r w:rsidRPr="00F411F3">
              <w:rPr>
                <w:rFonts w:ascii="Arial" w:hAnsi="Arial" w:cs="Arial"/>
                <w:b/>
                <w:sz w:val="24"/>
                <w:szCs w:val="24"/>
              </w:rPr>
              <w:t>Lei</w:t>
            </w:r>
          </w:p>
        </w:tc>
        <w:tc>
          <w:tcPr>
            <w:tcW w:w="1560" w:type="dxa"/>
            <w:vMerge w:val="restart"/>
            <w:vAlign w:val="center"/>
          </w:tcPr>
          <w:p w14:paraId="285B507C" w14:textId="77777777" w:rsidR="00F411F3" w:rsidRPr="00F411F3" w:rsidRDefault="00F411F3" w:rsidP="00FB4268">
            <w:pPr>
              <w:jc w:val="center"/>
              <w:rPr>
                <w:rFonts w:ascii="Arial" w:hAnsi="Arial" w:cs="Arial"/>
                <w:b/>
                <w:sz w:val="24"/>
                <w:szCs w:val="24"/>
              </w:rPr>
            </w:pPr>
            <w:r w:rsidRPr="00F411F3">
              <w:rPr>
                <w:rFonts w:ascii="Arial" w:hAnsi="Arial" w:cs="Arial"/>
                <w:b/>
                <w:sz w:val="24"/>
                <w:szCs w:val="24"/>
              </w:rPr>
              <w:t>Atividade econômica</w:t>
            </w:r>
          </w:p>
        </w:tc>
        <w:tc>
          <w:tcPr>
            <w:tcW w:w="1417" w:type="dxa"/>
            <w:vMerge w:val="restart"/>
            <w:vAlign w:val="center"/>
          </w:tcPr>
          <w:p w14:paraId="522B6C01" w14:textId="77777777" w:rsidR="00F411F3" w:rsidRPr="00F411F3" w:rsidRDefault="00F411F3" w:rsidP="00FB4268">
            <w:pPr>
              <w:jc w:val="center"/>
              <w:rPr>
                <w:rFonts w:ascii="Arial" w:hAnsi="Arial" w:cs="Arial"/>
                <w:b/>
                <w:sz w:val="24"/>
                <w:szCs w:val="24"/>
              </w:rPr>
            </w:pPr>
            <w:r w:rsidRPr="00F411F3">
              <w:rPr>
                <w:rFonts w:ascii="Arial" w:hAnsi="Arial" w:cs="Arial"/>
                <w:b/>
                <w:sz w:val="24"/>
                <w:szCs w:val="24"/>
              </w:rPr>
              <w:t>Tipo de projeto</w:t>
            </w:r>
          </w:p>
        </w:tc>
        <w:tc>
          <w:tcPr>
            <w:tcW w:w="5358" w:type="dxa"/>
            <w:gridSpan w:val="3"/>
            <w:vAlign w:val="center"/>
          </w:tcPr>
          <w:p w14:paraId="66DB3CBA" w14:textId="77777777" w:rsidR="00F411F3" w:rsidRPr="00F411F3" w:rsidRDefault="00F411F3" w:rsidP="00FB4268">
            <w:pPr>
              <w:jc w:val="center"/>
              <w:rPr>
                <w:rFonts w:ascii="Arial" w:hAnsi="Arial" w:cs="Arial"/>
                <w:b/>
                <w:sz w:val="24"/>
                <w:szCs w:val="24"/>
              </w:rPr>
            </w:pPr>
            <w:r w:rsidRPr="00F411F3">
              <w:rPr>
                <w:rFonts w:ascii="Arial" w:hAnsi="Arial" w:cs="Arial"/>
                <w:b/>
                <w:sz w:val="24"/>
                <w:szCs w:val="24"/>
              </w:rPr>
              <w:t>Crédito outorgado</w:t>
            </w:r>
          </w:p>
        </w:tc>
      </w:tr>
      <w:tr w:rsidR="00F411F3" w:rsidRPr="00F411F3" w14:paraId="6B9C339A" w14:textId="77777777" w:rsidTr="006F57E8">
        <w:trPr>
          <w:trHeight w:val="138"/>
        </w:trPr>
        <w:tc>
          <w:tcPr>
            <w:tcW w:w="1129" w:type="dxa"/>
            <w:vMerge/>
          </w:tcPr>
          <w:p w14:paraId="66221AEF" w14:textId="77777777" w:rsidR="00F411F3" w:rsidRPr="00F411F3" w:rsidRDefault="00F411F3" w:rsidP="00FB4268">
            <w:pPr>
              <w:jc w:val="both"/>
              <w:rPr>
                <w:rFonts w:ascii="Arial" w:hAnsi="Arial" w:cs="Arial"/>
                <w:b/>
                <w:sz w:val="24"/>
                <w:szCs w:val="24"/>
              </w:rPr>
            </w:pPr>
          </w:p>
        </w:tc>
        <w:tc>
          <w:tcPr>
            <w:tcW w:w="1560" w:type="dxa"/>
            <w:vMerge/>
          </w:tcPr>
          <w:p w14:paraId="45703A09" w14:textId="77777777" w:rsidR="00F411F3" w:rsidRPr="00F411F3" w:rsidRDefault="00F411F3" w:rsidP="00FB4268">
            <w:pPr>
              <w:jc w:val="both"/>
              <w:rPr>
                <w:rFonts w:ascii="Arial" w:hAnsi="Arial" w:cs="Arial"/>
                <w:b/>
                <w:sz w:val="24"/>
                <w:szCs w:val="24"/>
              </w:rPr>
            </w:pPr>
          </w:p>
        </w:tc>
        <w:tc>
          <w:tcPr>
            <w:tcW w:w="1417" w:type="dxa"/>
            <w:vMerge/>
          </w:tcPr>
          <w:p w14:paraId="7D6F44BB" w14:textId="77777777" w:rsidR="00F411F3" w:rsidRPr="00F411F3" w:rsidRDefault="00F411F3" w:rsidP="00FB4268">
            <w:pPr>
              <w:jc w:val="both"/>
              <w:rPr>
                <w:rFonts w:ascii="Arial" w:hAnsi="Arial" w:cs="Arial"/>
                <w:b/>
                <w:sz w:val="24"/>
                <w:szCs w:val="24"/>
              </w:rPr>
            </w:pPr>
          </w:p>
        </w:tc>
        <w:tc>
          <w:tcPr>
            <w:tcW w:w="1701" w:type="dxa"/>
            <w:vAlign w:val="center"/>
          </w:tcPr>
          <w:p w14:paraId="30ACB57E" w14:textId="2121666E" w:rsidR="00F411F3" w:rsidRPr="00F411F3" w:rsidRDefault="00F411F3" w:rsidP="00F971DC">
            <w:pPr>
              <w:jc w:val="center"/>
              <w:rPr>
                <w:rFonts w:ascii="Arial" w:hAnsi="Arial" w:cs="Arial"/>
                <w:b/>
                <w:sz w:val="24"/>
                <w:szCs w:val="24"/>
              </w:rPr>
            </w:pPr>
            <w:r w:rsidRPr="00F411F3">
              <w:rPr>
                <w:rFonts w:ascii="Arial" w:hAnsi="Arial" w:cs="Arial"/>
                <w:b/>
                <w:sz w:val="24"/>
                <w:szCs w:val="24"/>
              </w:rPr>
              <w:t xml:space="preserve">Sobre o saldo devedor </w:t>
            </w:r>
            <w:r w:rsidR="00F971DC">
              <w:rPr>
                <w:rFonts w:ascii="Arial" w:hAnsi="Arial" w:cs="Arial"/>
                <w:b/>
                <w:sz w:val="24"/>
                <w:szCs w:val="24"/>
              </w:rPr>
              <w:t>–</w:t>
            </w:r>
            <w:r w:rsidRPr="00F411F3">
              <w:rPr>
                <w:rFonts w:ascii="Arial" w:hAnsi="Arial" w:cs="Arial"/>
                <w:b/>
                <w:sz w:val="24"/>
                <w:szCs w:val="24"/>
              </w:rPr>
              <w:t xml:space="preserve"> saída</w:t>
            </w:r>
            <w:r w:rsidR="00F971DC">
              <w:rPr>
                <w:rFonts w:ascii="Arial" w:hAnsi="Arial" w:cs="Arial"/>
                <w:b/>
                <w:sz w:val="24"/>
                <w:szCs w:val="24"/>
              </w:rPr>
              <w:t xml:space="preserve"> não</w:t>
            </w:r>
            <w:r w:rsidRPr="00F411F3">
              <w:rPr>
                <w:rFonts w:ascii="Arial" w:hAnsi="Arial" w:cs="Arial"/>
                <w:b/>
                <w:sz w:val="24"/>
                <w:szCs w:val="24"/>
              </w:rPr>
              <w:t xml:space="preserve"> abrangida pelo</w:t>
            </w:r>
            <w:r w:rsidR="00815184">
              <w:rPr>
                <w:rFonts w:ascii="Arial" w:hAnsi="Arial" w:cs="Arial"/>
                <w:b/>
                <w:sz w:val="24"/>
                <w:szCs w:val="24"/>
              </w:rPr>
              <w:t xml:space="preserve"> </w:t>
            </w:r>
            <w:r w:rsidRPr="00F411F3">
              <w:rPr>
                <w:rFonts w:ascii="Arial" w:hAnsi="Arial" w:cs="Arial"/>
                <w:b/>
                <w:sz w:val="24"/>
                <w:szCs w:val="24"/>
              </w:rPr>
              <w:t>PRODUZIR</w:t>
            </w:r>
          </w:p>
        </w:tc>
        <w:tc>
          <w:tcPr>
            <w:tcW w:w="1559" w:type="dxa"/>
            <w:vAlign w:val="center"/>
          </w:tcPr>
          <w:p w14:paraId="6CBB6A7A" w14:textId="77777777" w:rsidR="00F411F3" w:rsidRPr="00F411F3" w:rsidRDefault="00F411F3" w:rsidP="00FB4268">
            <w:pPr>
              <w:jc w:val="center"/>
              <w:rPr>
                <w:rFonts w:ascii="Arial" w:hAnsi="Arial" w:cs="Arial"/>
                <w:b/>
                <w:sz w:val="24"/>
                <w:szCs w:val="24"/>
              </w:rPr>
            </w:pPr>
            <w:r w:rsidRPr="00F411F3">
              <w:rPr>
                <w:rFonts w:ascii="Arial" w:hAnsi="Arial" w:cs="Arial"/>
                <w:b/>
                <w:sz w:val="24"/>
                <w:szCs w:val="24"/>
              </w:rPr>
              <w:t>Sobre o valor da parcela não incentivada</w:t>
            </w:r>
          </w:p>
        </w:tc>
        <w:tc>
          <w:tcPr>
            <w:tcW w:w="2098" w:type="dxa"/>
            <w:vAlign w:val="center"/>
          </w:tcPr>
          <w:p w14:paraId="6CF0C400" w14:textId="77777777" w:rsidR="00F411F3" w:rsidRPr="00F411F3" w:rsidRDefault="00F411F3" w:rsidP="00FB4268">
            <w:pPr>
              <w:jc w:val="center"/>
              <w:rPr>
                <w:rFonts w:ascii="Arial" w:hAnsi="Arial" w:cs="Arial"/>
                <w:b/>
                <w:sz w:val="24"/>
                <w:szCs w:val="24"/>
              </w:rPr>
            </w:pPr>
            <w:r w:rsidRPr="00F411F3">
              <w:rPr>
                <w:rFonts w:ascii="Arial" w:hAnsi="Arial" w:cs="Arial"/>
                <w:b/>
                <w:sz w:val="24"/>
                <w:szCs w:val="24"/>
              </w:rPr>
              <w:t>Valor limite/Parcelas mensais</w:t>
            </w:r>
          </w:p>
        </w:tc>
      </w:tr>
      <w:tr w:rsidR="00F411F3" w:rsidRPr="00F411F3" w14:paraId="3ADA1D59" w14:textId="77777777" w:rsidTr="006F57E8">
        <w:trPr>
          <w:trHeight w:val="701"/>
        </w:trPr>
        <w:tc>
          <w:tcPr>
            <w:tcW w:w="1129" w:type="dxa"/>
            <w:vAlign w:val="center"/>
          </w:tcPr>
          <w:p w14:paraId="0B859CEB" w14:textId="77777777" w:rsidR="00815184" w:rsidRDefault="00F411F3" w:rsidP="00FB4268">
            <w:pPr>
              <w:jc w:val="center"/>
              <w:rPr>
                <w:rFonts w:ascii="Arial" w:hAnsi="Arial" w:cs="Arial"/>
                <w:sz w:val="20"/>
              </w:rPr>
            </w:pPr>
            <w:r w:rsidRPr="00815184">
              <w:rPr>
                <w:rFonts w:ascii="Arial" w:hAnsi="Arial" w:cs="Arial"/>
                <w:sz w:val="20"/>
              </w:rPr>
              <w:t>16.671/</w:t>
            </w:r>
          </w:p>
          <w:p w14:paraId="627481AC" w14:textId="0BCB2636" w:rsidR="00F411F3" w:rsidRPr="00815184" w:rsidRDefault="00815184" w:rsidP="00FB4268">
            <w:pPr>
              <w:jc w:val="center"/>
              <w:rPr>
                <w:rFonts w:ascii="Arial" w:hAnsi="Arial" w:cs="Arial"/>
                <w:sz w:val="20"/>
              </w:rPr>
            </w:pPr>
            <w:r w:rsidRPr="00815184">
              <w:rPr>
                <w:rFonts w:ascii="Arial" w:hAnsi="Arial" w:cs="Arial"/>
                <w:sz w:val="20"/>
              </w:rPr>
              <w:t>20</w:t>
            </w:r>
            <w:r w:rsidR="00F411F3" w:rsidRPr="00815184">
              <w:rPr>
                <w:rFonts w:ascii="Arial" w:hAnsi="Arial" w:cs="Arial"/>
                <w:sz w:val="20"/>
              </w:rPr>
              <w:t>09</w:t>
            </w:r>
          </w:p>
        </w:tc>
        <w:tc>
          <w:tcPr>
            <w:tcW w:w="1560" w:type="dxa"/>
            <w:vAlign w:val="center"/>
          </w:tcPr>
          <w:p w14:paraId="2A9F7E86" w14:textId="77777777" w:rsidR="00F411F3" w:rsidRPr="00815184" w:rsidRDefault="00F411F3" w:rsidP="00FB4268">
            <w:pPr>
              <w:jc w:val="center"/>
              <w:rPr>
                <w:rFonts w:ascii="Arial" w:hAnsi="Arial" w:cs="Arial"/>
                <w:sz w:val="20"/>
              </w:rPr>
            </w:pPr>
            <w:r w:rsidRPr="00815184">
              <w:rPr>
                <w:rFonts w:ascii="Arial" w:hAnsi="Arial" w:cs="Arial"/>
                <w:sz w:val="20"/>
              </w:rPr>
              <w:t>Industrial de veículo automotor</w:t>
            </w:r>
          </w:p>
        </w:tc>
        <w:tc>
          <w:tcPr>
            <w:tcW w:w="1417" w:type="dxa"/>
            <w:vAlign w:val="center"/>
          </w:tcPr>
          <w:p w14:paraId="43C5A8C1" w14:textId="77777777" w:rsidR="00F411F3" w:rsidRPr="00815184" w:rsidRDefault="00F411F3" w:rsidP="00FB4268">
            <w:pPr>
              <w:jc w:val="center"/>
              <w:rPr>
                <w:rFonts w:ascii="Arial" w:hAnsi="Arial" w:cs="Arial"/>
                <w:sz w:val="20"/>
              </w:rPr>
            </w:pPr>
            <w:r w:rsidRPr="00815184">
              <w:rPr>
                <w:rFonts w:ascii="Arial" w:hAnsi="Arial" w:cs="Arial"/>
                <w:sz w:val="20"/>
              </w:rPr>
              <w:t>Implantação Ampliação</w:t>
            </w:r>
          </w:p>
        </w:tc>
        <w:tc>
          <w:tcPr>
            <w:tcW w:w="1701" w:type="dxa"/>
            <w:vAlign w:val="center"/>
          </w:tcPr>
          <w:p w14:paraId="10E7D84C" w14:textId="77777777" w:rsidR="00F411F3" w:rsidRPr="007A673D" w:rsidRDefault="00F411F3" w:rsidP="00FB4268">
            <w:pPr>
              <w:jc w:val="center"/>
              <w:rPr>
                <w:rFonts w:ascii="Arial" w:hAnsi="Arial" w:cs="Arial"/>
                <w:sz w:val="20"/>
              </w:rPr>
            </w:pPr>
            <w:r w:rsidRPr="007A673D">
              <w:rPr>
                <w:rFonts w:ascii="Arial" w:hAnsi="Arial" w:cs="Arial"/>
                <w:sz w:val="20"/>
              </w:rPr>
              <w:t>98%</w:t>
            </w:r>
          </w:p>
        </w:tc>
        <w:tc>
          <w:tcPr>
            <w:tcW w:w="1559" w:type="dxa"/>
            <w:vAlign w:val="center"/>
          </w:tcPr>
          <w:p w14:paraId="29618978" w14:textId="77777777" w:rsidR="00F411F3" w:rsidRPr="007A673D" w:rsidRDefault="00F411F3" w:rsidP="00FB4268">
            <w:pPr>
              <w:jc w:val="center"/>
              <w:rPr>
                <w:rFonts w:ascii="Arial" w:hAnsi="Arial" w:cs="Arial"/>
                <w:sz w:val="20"/>
              </w:rPr>
            </w:pPr>
            <w:r w:rsidRPr="007A673D">
              <w:rPr>
                <w:rFonts w:ascii="Arial" w:hAnsi="Arial" w:cs="Arial"/>
                <w:sz w:val="20"/>
              </w:rPr>
              <w:t>92,593%</w:t>
            </w:r>
          </w:p>
        </w:tc>
        <w:tc>
          <w:tcPr>
            <w:tcW w:w="2098" w:type="dxa"/>
            <w:vAlign w:val="center"/>
          </w:tcPr>
          <w:p w14:paraId="1DE37A5E" w14:textId="77777777" w:rsidR="00F411F3" w:rsidRPr="007A673D" w:rsidRDefault="00F411F3" w:rsidP="00FB4268">
            <w:pPr>
              <w:jc w:val="center"/>
              <w:rPr>
                <w:rFonts w:ascii="Arial" w:hAnsi="Arial" w:cs="Arial"/>
                <w:sz w:val="20"/>
              </w:rPr>
            </w:pPr>
            <w:r w:rsidRPr="007A673D">
              <w:rPr>
                <w:rFonts w:ascii="Arial" w:hAnsi="Arial" w:cs="Arial"/>
                <w:sz w:val="20"/>
              </w:rPr>
              <w:t>90.000.000,00/60</w:t>
            </w:r>
          </w:p>
        </w:tc>
      </w:tr>
      <w:tr w:rsidR="00F411F3" w:rsidRPr="00F411F3" w14:paraId="07502EB2" w14:textId="77777777" w:rsidTr="006F57E8">
        <w:trPr>
          <w:trHeight w:val="701"/>
        </w:trPr>
        <w:tc>
          <w:tcPr>
            <w:tcW w:w="1129" w:type="dxa"/>
            <w:vAlign w:val="center"/>
          </w:tcPr>
          <w:p w14:paraId="075DAFF8" w14:textId="77777777" w:rsidR="00815184" w:rsidRDefault="00F411F3" w:rsidP="00FB4268">
            <w:pPr>
              <w:jc w:val="center"/>
              <w:rPr>
                <w:rFonts w:ascii="Arial" w:hAnsi="Arial" w:cs="Arial"/>
                <w:sz w:val="20"/>
              </w:rPr>
            </w:pPr>
            <w:r w:rsidRPr="00815184">
              <w:rPr>
                <w:rFonts w:ascii="Arial" w:hAnsi="Arial" w:cs="Arial"/>
                <w:sz w:val="20"/>
              </w:rPr>
              <w:t>16.671/</w:t>
            </w:r>
          </w:p>
          <w:p w14:paraId="5CA4B7D2" w14:textId="1D7E7778" w:rsidR="00F411F3" w:rsidRPr="00815184" w:rsidRDefault="00815184" w:rsidP="00815184">
            <w:pPr>
              <w:jc w:val="center"/>
              <w:rPr>
                <w:rFonts w:ascii="Arial" w:hAnsi="Arial" w:cs="Arial"/>
                <w:sz w:val="20"/>
              </w:rPr>
            </w:pPr>
            <w:r w:rsidRPr="00815184">
              <w:rPr>
                <w:rFonts w:ascii="Arial" w:hAnsi="Arial" w:cs="Arial"/>
                <w:sz w:val="20"/>
              </w:rPr>
              <w:t>20</w:t>
            </w:r>
            <w:r>
              <w:rPr>
                <w:rFonts w:ascii="Arial" w:hAnsi="Arial" w:cs="Arial"/>
                <w:sz w:val="20"/>
              </w:rPr>
              <w:t>09 (com alteração dada pela Lei nº 2</w:t>
            </w:r>
            <w:r w:rsidR="00F411F3" w:rsidRPr="00815184">
              <w:rPr>
                <w:rFonts w:ascii="Arial" w:hAnsi="Arial" w:cs="Arial"/>
                <w:sz w:val="20"/>
              </w:rPr>
              <w:t>0.367/18)</w:t>
            </w:r>
          </w:p>
        </w:tc>
        <w:tc>
          <w:tcPr>
            <w:tcW w:w="1560" w:type="dxa"/>
            <w:vAlign w:val="center"/>
          </w:tcPr>
          <w:p w14:paraId="362CE0FC" w14:textId="77777777" w:rsidR="00F411F3" w:rsidRPr="00815184" w:rsidRDefault="00F411F3" w:rsidP="00FB4268">
            <w:pPr>
              <w:jc w:val="center"/>
              <w:rPr>
                <w:rFonts w:ascii="Arial" w:hAnsi="Arial" w:cs="Arial"/>
                <w:sz w:val="20"/>
              </w:rPr>
            </w:pPr>
            <w:r w:rsidRPr="00815184">
              <w:rPr>
                <w:rFonts w:ascii="Arial" w:hAnsi="Arial" w:cs="Arial"/>
                <w:sz w:val="20"/>
              </w:rPr>
              <w:t>Industrial de veículo automotor</w:t>
            </w:r>
          </w:p>
        </w:tc>
        <w:tc>
          <w:tcPr>
            <w:tcW w:w="1417" w:type="dxa"/>
            <w:vAlign w:val="center"/>
          </w:tcPr>
          <w:p w14:paraId="72BFFA63" w14:textId="77777777" w:rsidR="00F411F3" w:rsidRPr="00815184" w:rsidRDefault="00F411F3" w:rsidP="00FB4268">
            <w:pPr>
              <w:jc w:val="center"/>
              <w:rPr>
                <w:rFonts w:ascii="Arial" w:hAnsi="Arial" w:cs="Arial"/>
                <w:sz w:val="20"/>
              </w:rPr>
            </w:pPr>
            <w:r w:rsidRPr="00815184">
              <w:rPr>
                <w:rFonts w:ascii="Arial" w:hAnsi="Arial" w:cs="Arial"/>
                <w:sz w:val="20"/>
              </w:rPr>
              <w:t>Implantação Ampliação</w:t>
            </w:r>
          </w:p>
        </w:tc>
        <w:tc>
          <w:tcPr>
            <w:tcW w:w="1701" w:type="dxa"/>
            <w:vAlign w:val="center"/>
          </w:tcPr>
          <w:p w14:paraId="49F595CF" w14:textId="77777777" w:rsidR="00F411F3" w:rsidRPr="007A673D" w:rsidRDefault="00F411F3" w:rsidP="00FB4268">
            <w:pPr>
              <w:jc w:val="center"/>
              <w:rPr>
                <w:rFonts w:ascii="Arial" w:hAnsi="Arial" w:cs="Arial"/>
                <w:sz w:val="20"/>
              </w:rPr>
            </w:pPr>
            <w:r w:rsidRPr="007A673D">
              <w:rPr>
                <w:rFonts w:ascii="Arial" w:hAnsi="Arial" w:cs="Arial"/>
                <w:sz w:val="20"/>
              </w:rPr>
              <w:t>85%</w:t>
            </w:r>
          </w:p>
        </w:tc>
        <w:tc>
          <w:tcPr>
            <w:tcW w:w="1559" w:type="dxa"/>
            <w:vAlign w:val="center"/>
          </w:tcPr>
          <w:p w14:paraId="6D810B20" w14:textId="77777777" w:rsidR="00F411F3" w:rsidRPr="007A673D" w:rsidRDefault="00F411F3" w:rsidP="00FB4268">
            <w:pPr>
              <w:jc w:val="center"/>
              <w:rPr>
                <w:rFonts w:ascii="Arial" w:hAnsi="Arial" w:cs="Arial"/>
                <w:sz w:val="20"/>
              </w:rPr>
            </w:pPr>
            <w:r w:rsidRPr="007A673D">
              <w:rPr>
                <w:rFonts w:ascii="Arial" w:hAnsi="Arial" w:cs="Arial"/>
                <w:sz w:val="20"/>
              </w:rPr>
              <w:t>44,44%</w:t>
            </w:r>
          </w:p>
        </w:tc>
        <w:tc>
          <w:tcPr>
            <w:tcW w:w="2098" w:type="dxa"/>
            <w:vAlign w:val="center"/>
          </w:tcPr>
          <w:p w14:paraId="0A94BE2B" w14:textId="77777777" w:rsidR="00F411F3" w:rsidRPr="007A673D" w:rsidRDefault="00F411F3" w:rsidP="00FB4268">
            <w:pPr>
              <w:jc w:val="center"/>
              <w:rPr>
                <w:rFonts w:ascii="Arial" w:hAnsi="Arial" w:cs="Arial"/>
                <w:sz w:val="20"/>
              </w:rPr>
            </w:pPr>
            <w:r w:rsidRPr="007A673D">
              <w:rPr>
                <w:rFonts w:ascii="Arial" w:hAnsi="Arial" w:cs="Arial"/>
                <w:sz w:val="20"/>
              </w:rPr>
              <w:t>-</w:t>
            </w:r>
          </w:p>
        </w:tc>
      </w:tr>
      <w:tr w:rsidR="00F411F3" w:rsidRPr="00F411F3" w14:paraId="433B5DA5" w14:textId="77777777" w:rsidTr="006F57E8">
        <w:trPr>
          <w:trHeight w:val="663"/>
        </w:trPr>
        <w:tc>
          <w:tcPr>
            <w:tcW w:w="1129" w:type="dxa"/>
            <w:vAlign w:val="center"/>
          </w:tcPr>
          <w:p w14:paraId="2A1C298C" w14:textId="77777777" w:rsidR="00F411F3" w:rsidRPr="00815184" w:rsidRDefault="00F411F3" w:rsidP="00FB4268">
            <w:pPr>
              <w:jc w:val="center"/>
              <w:rPr>
                <w:rFonts w:ascii="Arial" w:hAnsi="Arial" w:cs="Arial"/>
                <w:sz w:val="20"/>
              </w:rPr>
            </w:pPr>
            <w:r w:rsidRPr="00815184">
              <w:rPr>
                <w:rFonts w:ascii="Arial" w:hAnsi="Arial" w:cs="Arial"/>
                <w:sz w:val="20"/>
              </w:rPr>
              <w:t xml:space="preserve">17.441/11 </w:t>
            </w:r>
          </w:p>
        </w:tc>
        <w:tc>
          <w:tcPr>
            <w:tcW w:w="1560" w:type="dxa"/>
            <w:vAlign w:val="center"/>
          </w:tcPr>
          <w:p w14:paraId="1572B342" w14:textId="77777777" w:rsidR="00F411F3" w:rsidRPr="00815184" w:rsidRDefault="00F411F3" w:rsidP="00FB4268">
            <w:pPr>
              <w:jc w:val="center"/>
              <w:rPr>
                <w:rFonts w:ascii="Arial" w:hAnsi="Arial" w:cs="Arial"/>
                <w:sz w:val="20"/>
              </w:rPr>
            </w:pPr>
            <w:r w:rsidRPr="00815184">
              <w:rPr>
                <w:rFonts w:ascii="Arial" w:hAnsi="Arial" w:cs="Arial"/>
                <w:sz w:val="20"/>
              </w:rPr>
              <w:t>Produção de grupos geradores de energia elétrica</w:t>
            </w:r>
          </w:p>
        </w:tc>
        <w:tc>
          <w:tcPr>
            <w:tcW w:w="1417" w:type="dxa"/>
            <w:vAlign w:val="center"/>
          </w:tcPr>
          <w:p w14:paraId="6C53A4D2" w14:textId="77777777" w:rsidR="00F411F3" w:rsidRPr="00815184" w:rsidRDefault="00F411F3" w:rsidP="00FB4268">
            <w:pPr>
              <w:jc w:val="center"/>
              <w:rPr>
                <w:rFonts w:ascii="Arial" w:hAnsi="Arial" w:cs="Arial"/>
                <w:sz w:val="20"/>
              </w:rPr>
            </w:pPr>
            <w:r w:rsidRPr="00815184">
              <w:rPr>
                <w:rFonts w:ascii="Arial" w:hAnsi="Arial" w:cs="Arial"/>
                <w:sz w:val="20"/>
              </w:rPr>
              <w:t>Implantação</w:t>
            </w:r>
          </w:p>
        </w:tc>
        <w:tc>
          <w:tcPr>
            <w:tcW w:w="1701" w:type="dxa"/>
            <w:vAlign w:val="center"/>
          </w:tcPr>
          <w:p w14:paraId="5FE6EED1" w14:textId="77777777" w:rsidR="00F411F3" w:rsidRPr="007A673D" w:rsidRDefault="00F411F3" w:rsidP="00FB4268">
            <w:pPr>
              <w:jc w:val="center"/>
              <w:rPr>
                <w:rFonts w:ascii="Arial" w:hAnsi="Arial" w:cs="Arial"/>
                <w:sz w:val="20"/>
              </w:rPr>
            </w:pPr>
            <w:r w:rsidRPr="007A673D">
              <w:rPr>
                <w:rFonts w:ascii="Arial" w:hAnsi="Arial" w:cs="Arial"/>
                <w:sz w:val="20"/>
              </w:rPr>
              <w:t>98%</w:t>
            </w:r>
          </w:p>
        </w:tc>
        <w:tc>
          <w:tcPr>
            <w:tcW w:w="1559" w:type="dxa"/>
            <w:vAlign w:val="center"/>
          </w:tcPr>
          <w:p w14:paraId="3964C2BC" w14:textId="77777777" w:rsidR="00F411F3" w:rsidRPr="007A673D" w:rsidRDefault="00F411F3" w:rsidP="00FB4268">
            <w:pPr>
              <w:jc w:val="center"/>
              <w:rPr>
                <w:rFonts w:ascii="Arial" w:hAnsi="Arial" w:cs="Arial"/>
                <w:sz w:val="20"/>
              </w:rPr>
            </w:pPr>
            <w:r w:rsidRPr="007A673D">
              <w:rPr>
                <w:rFonts w:ascii="Arial" w:hAnsi="Arial" w:cs="Arial"/>
                <w:sz w:val="20"/>
              </w:rPr>
              <w:t>92,593%</w:t>
            </w:r>
          </w:p>
        </w:tc>
        <w:tc>
          <w:tcPr>
            <w:tcW w:w="2098" w:type="dxa"/>
            <w:vAlign w:val="center"/>
          </w:tcPr>
          <w:p w14:paraId="698F74F8" w14:textId="77777777" w:rsidR="00F411F3" w:rsidRPr="007A673D" w:rsidRDefault="00F411F3" w:rsidP="00FB4268">
            <w:pPr>
              <w:jc w:val="center"/>
              <w:rPr>
                <w:rFonts w:ascii="Arial" w:hAnsi="Arial" w:cs="Arial"/>
                <w:sz w:val="20"/>
              </w:rPr>
            </w:pPr>
            <w:r w:rsidRPr="007A673D">
              <w:rPr>
                <w:rFonts w:ascii="Arial" w:hAnsi="Arial" w:cs="Arial"/>
                <w:sz w:val="20"/>
              </w:rPr>
              <w:t>9.100.000,00</w:t>
            </w:r>
          </w:p>
          <w:p w14:paraId="3F8743A8" w14:textId="77777777" w:rsidR="00F411F3" w:rsidRPr="007A673D" w:rsidRDefault="00F411F3" w:rsidP="00FB4268">
            <w:pPr>
              <w:jc w:val="center"/>
              <w:rPr>
                <w:rFonts w:ascii="Arial" w:hAnsi="Arial" w:cs="Arial"/>
                <w:sz w:val="20"/>
              </w:rPr>
            </w:pPr>
            <w:r w:rsidRPr="007A673D">
              <w:rPr>
                <w:rFonts w:ascii="Arial" w:hAnsi="Arial" w:cs="Arial"/>
                <w:sz w:val="20"/>
              </w:rPr>
              <w:t>30.000.000,00*</w:t>
            </w:r>
          </w:p>
        </w:tc>
      </w:tr>
      <w:tr w:rsidR="00F411F3" w:rsidRPr="00F411F3" w14:paraId="7517AAED" w14:textId="77777777" w:rsidTr="006F57E8">
        <w:trPr>
          <w:trHeight w:val="663"/>
        </w:trPr>
        <w:tc>
          <w:tcPr>
            <w:tcW w:w="1129" w:type="dxa"/>
            <w:vAlign w:val="center"/>
          </w:tcPr>
          <w:p w14:paraId="57846612" w14:textId="77777777" w:rsidR="00F411F3" w:rsidRPr="00815184" w:rsidRDefault="00F411F3" w:rsidP="00FB4268">
            <w:pPr>
              <w:jc w:val="center"/>
              <w:rPr>
                <w:rFonts w:ascii="Arial" w:hAnsi="Arial" w:cs="Arial"/>
                <w:sz w:val="20"/>
              </w:rPr>
            </w:pPr>
            <w:r w:rsidRPr="00815184">
              <w:rPr>
                <w:rFonts w:ascii="Arial" w:hAnsi="Arial" w:cs="Arial"/>
                <w:sz w:val="20"/>
              </w:rPr>
              <w:t>17.441/11 (com alteração dada pela Lei 20.367/18)</w:t>
            </w:r>
          </w:p>
        </w:tc>
        <w:tc>
          <w:tcPr>
            <w:tcW w:w="1560" w:type="dxa"/>
            <w:vAlign w:val="center"/>
          </w:tcPr>
          <w:p w14:paraId="0D4CA64C" w14:textId="77777777" w:rsidR="00F411F3" w:rsidRPr="00815184" w:rsidRDefault="00F411F3" w:rsidP="00FB4268">
            <w:pPr>
              <w:jc w:val="center"/>
              <w:rPr>
                <w:rFonts w:ascii="Arial" w:hAnsi="Arial" w:cs="Arial"/>
                <w:sz w:val="20"/>
              </w:rPr>
            </w:pPr>
            <w:r w:rsidRPr="00815184">
              <w:rPr>
                <w:rFonts w:ascii="Arial" w:hAnsi="Arial" w:cs="Arial"/>
                <w:sz w:val="20"/>
              </w:rPr>
              <w:t>Produção de grupos geradores de energia elétrica</w:t>
            </w:r>
          </w:p>
        </w:tc>
        <w:tc>
          <w:tcPr>
            <w:tcW w:w="1417" w:type="dxa"/>
            <w:vAlign w:val="center"/>
          </w:tcPr>
          <w:p w14:paraId="50945859" w14:textId="77777777" w:rsidR="00F411F3" w:rsidRPr="00815184" w:rsidRDefault="00F411F3" w:rsidP="00FB4268">
            <w:pPr>
              <w:jc w:val="center"/>
              <w:rPr>
                <w:rFonts w:ascii="Arial" w:hAnsi="Arial" w:cs="Arial"/>
                <w:sz w:val="20"/>
              </w:rPr>
            </w:pPr>
            <w:r w:rsidRPr="00815184">
              <w:rPr>
                <w:rFonts w:ascii="Arial" w:hAnsi="Arial" w:cs="Arial"/>
                <w:sz w:val="20"/>
              </w:rPr>
              <w:t>Implantação</w:t>
            </w:r>
          </w:p>
        </w:tc>
        <w:tc>
          <w:tcPr>
            <w:tcW w:w="1701" w:type="dxa"/>
            <w:vAlign w:val="center"/>
          </w:tcPr>
          <w:p w14:paraId="660E24A6" w14:textId="77777777" w:rsidR="00F411F3" w:rsidRPr="007A673D" w:rsidRDefault="00F411F3" w:rsidP="00FB4268">
            <w:pPr>
              <w:jc w:val="center"/>
              <w:rPr>
                <w:rFonts w:ascii="Arial" w:hAnsi="Arial" w:cs="Arial"/>
                <w:sz w:val="20"/>
              </w:rPr>
            </w:pPr>
            <w:r w:rsidRPr="007A673D">
              <w:rPr>
                <w:rFonts w:ascii="Arial" w:hAnsi="Arial" w:cs="Arial"/>
                <w:sz w:val="20"/>
              </w:rPr>
              <w:t>85%</w:t>
            </w:r>
          </w:p>
        </w:tc>
        <w:tc>
          <w:tcPr>
            <w:tcW w:w="1559" w:type="dxa"/>
            <w:vAlign w:val="center"/>
          </w:tcPr>
          <w:p w14:paraId="47A0D7BC" w14:textId="77777777" w:rsidR="00F411F3" w:rsidRPr="007A673D" w:rsidRDefault="00F411F3" w:rsidP="00FB4268">
            <w:pPr>
              <w:jc w:val="center"/>
              <w:rPr>
                <w:rFonts w:ascii="Arial" w:hAnsi="Arial" w:cs="Arial"/>
                <w:sz w:val="20"/>
              </w:rPr>
            </w:pPr>
            <w:r w:rsidRPr="007A673D">
              <w:rPr>
                <w:rFonts w:ascii="Arial" w:hAnsi="Arial" w:cs="Arial"/>
                <w:sz w:val="20"/>
              </w:rPr>
              <w:t>44,44%</w:t>
            </w:r>
          </w:p>
        </w:tc>
        <w:tc>
          <w:tcPr>
            <w:tcW w:w="2098" w:type="dxa"/>
            <w:vAlign w:val="center"/>
          </w:tcPr>
          <w:p w14:paraId="00812290" w14:textId="77777777" w:rsidR="00F411F3" w:rsidRPr="007A673D" w:rsidRDefault="00F411F3" w:rsidP="00FB4268">
            <w:pPr>
              <w:jc w:val="center"/>
              <w:rPr>
                <w:rFonts w:ascii="Arial" w:hAnsi="Arial" w:cs="Arial"/>
                <w:sz w:val="20"/>
              </w:rPr>
            </w:pPr>
            <w:r w:rsidRPr="007A673D">
              <w:rPr>
                <w:rFonts w:ascii="Arial" w:hAnsi="Arial" w:cs="Arial"/>
                <w:sz w:val="20"/>
              </w:rPr>
              <w:t>-</w:t>
            </w:r>
          </w:p>
        </w:tc>
      </w:tr>
      <w:tr w:rsidR="00F411F3" w:rsidRPr="00F411F3" w14:paraId="4010DB14" w14:textId="77777777" w:rsidTr="006F57E8">
        <w:trPr>
          <w:trHeight w:val="663"/>
        </w:trPr>
        <w:tc>
          <w:tcPr>
            <w:tcW w:w="1129" w:type="dxa"/>
            <w:vAlign w:val="center"/>
          </w:tcPr>
          <w:p w14:paraId="28054448" w14:textId="77777777" w:rsidR="00F411F3" w:rsidRPr="00815184" w:rsidRDefault="00F411F3" w:rsidP="00FB4268">
            <w:pPr>
              <w:jc w:val="center"/>
              <w:rPr>
                <w:rFonts w:ascii="Arial" w:hAnsi="Arial" w:cs="Arial"/>
                <w:sz w:val="20"/>
              </w:rPr>
            </w:pPr>
            <w:r w:rsidRPr="00815184">
              <w:rPr>
                <w:rFonts w:ascii="Arial" w:hAnsi="Arial" w:cs="Arial"/>
                <w:sz w:val="20"/>
              </w:rPr>
              <w:t>17.383/11 (revogada em 2013)</w:t>
            </w:r>
          </w:p>
        </w:tc>
        <w:tc>
          <w:tcPr>
            <w:tcW w:w="1560" w:type="dxa"/>
            <w:vAlign w:val="center"/>
          </w:tcPr>
          <w:p w14:paraId="6D1938AC" w14:textId="77777777" w:rsidR="00F411F3" w:rsidRPr="00815184" w:rsidRDefault="00F411F3" w:rsidP="00FB4268">
            <w:pPr>
              <w:jc w:val="center"/>
              <w:rPr>
                <w:rFonts w:ascii="Arial" w:hAnsi="Arial" w:cs="Arial"/>
                <w:sz w:val="20"/>
              </w:rPr>
            </w:pPr>
            <w:r w:rsidRPr="00815184">
              <w:rPr>
                <w:rFonts w:ascii="Arial" w:hAnsi="Arial" w:cs="Arial"/>
                <w:sz w:val="20"/>
              </w:rPr>
              <w:t>Produtora de componente para aeronave e montadora de avião</w:t>
            </w:r>
          </w:p>
        </w:tc>
        <w:tc>
          <w:tcPr>
            <w:tcW w:w="1417" w:type="dxa"/>
            <w:vAlign w:val="center"/>
          </w:tcPr>
          <w:p w14:paraId="7BA0195D" w14:textId="77777777" w:rsidR="00F411F3" w:rsidRPr="00815184" w:rsidRDefault="00F411F3" w:rsidP="00FB4268">
            <w:pPr>
              <w:jc w:val="center"/>
              <w:rPr>
                <w:rFonts w:ascii="Arial" w:hAnsi="Arial" w:cs="Arial"/>
                <w:sz w:val="20"/>
              </w:rPr>
            </w:pPr>
            <w:r w:rsidRPr="00815184">
              <w:rPr>
                <w:rFonts w:ascii="Arial" w:hAnsi="Arial" w:cs="Arial"/>
                <w:sz w:val="20"/>
              </w:rPr>
              <w:t>Implantação</w:t>
            </w:r>
          </w:p>
        </w:tc>
        <w:tc>
          <w:tcPr>
            <w:tcW w:w="1701" w:type="dxa"/>
            <w:vAlign w:val="center"/>
          </w:tcPr>
          <w:p w14:paraId="47FA00CB" w14:textId="77777777" w:rsidR="00F411F3" w:rsidRPr="007A673D" w:rsidRDefault="00F411F3" w:rsidP="00FB4268">
            <w:pPr>
              <w:jc w:val="center"/>
              <w:rPr>
                <w:rFonts w:ascii="Arial" w:hAnsi="Arial" w:cs="Arial"/>
                <w:sz w:val="20"/>
              </w:rPr>
            </w:pPr>
            <w:r w:rsidRPr="007A673D">
              <w:rPr>
                <w:rFonts w:ascii="Arial" w:hAnsi="Arial" w:cs="Arial"/>
                <w:sz w:val="20"/>
              </w:rPr>
              <w:t>98%</w:t>
            </w:r>
          </w:p>
        </w:tc>
        <w:tc>
          <w:tcPr>
            <w:tcW w:w="1559" w:type="dxa"/>
            <w:vAlign w:val="center"/>
          </w:tcPr>
          <w:p w14:paraId="5CFD36E6" w14:textId="77777777" w:rsidR="00F411F3" w:rsidRPr="007A673D" w:rsidRDefault="00F411F3" w:rsidP="00FB4268">
            <w:pPr>
              <w:jc w:val="center"/>
              <w:rPr>
                <w:rFonts w:ascii="Arial" w:hAnsi="Arial" w:cs="Arial"/>
                <w:sz w:val="20"/>
              </w:rPr>
            </w:pPr>
            <w:r w:rsidRPr="007A673D">
              <w:rPr>
                <w:rFonts w:ascii="Arial" w:hAnsi="Arial" w:cs="Arial"/>
                <w:sz w:val="20"/>
              </w:rPr>
              <w:t>92,53%</w:t>
            </w:r>
          </w:p>
        </w:tc>
        <w:tc>
          <w:tcPr>
            <w:tcW w:w="2098" w:type="dxa"/>
            <w:vAlign w:val="center"/>
          </w:tcPr>
          <w:p w14:paraId="792FF682" w14:textId="77777777" w:rsidR="00F411F3" w:rsidRPr="007A673D" w:rsidRDefault="00F411F3" w:rsidP="00FB4268">
            <w:pPr>
              <w:jc w:val="center"/>
              <w:rPr>
                <w:rFonts w:ascii="Arial" w:hAnsi="Arial" w:cs="Arial"/>
                <w:sz w:val="20"/>
              </w:rPr>
            </w:pPr>
            <w:r w:rsidRPr="007A673D">
              <w:rPr>
                <w:rFonts w:ascii="Arial" w:hAnsi="Arial" w:cs="Arial"/>
                <w:sz w:val="20"/>
              </w:rPr>
              <w:t>90.000.000,00**</w:t>
            </w:r>
          </w:p>
        </w:tc>
      </w:tr>
      <w:tr w:rsidR="00F411F3" w:rsidRPr="00F411F3" w14:paraId="152AA1D7" w14:textId="77777777" w:rsidTr="006F57E8">
        <w:trPr>
          <w:trHeight w:val="663"/>
        </w:trPr>
        <w:tc>
          <w:tcPr>
            <w:tcW w:w="1129" w:type="dxa"/>
            <w:vAlign w:val="center"/>
          </w:tcPr>
          <w:p w14:paraId="61B15FDC" w14:textId="77777777" w:rsidR="00F411F3" w:rsidRPr="00815184" w:rsidRDefault="00F411F3" w:rsidP="00FB4268">
            <w:pPr>
              <w:jc w:val="center"/>
              <w:rPr>
                <w:rFonts w:ascii="Arial" w:hAnsi="Arial" w:cs="Arial"/>
                <w:sz w:val="20"/>
              </w:rPr>
            </w:pPr>
            <w:r w:rsidRPr="00815184">
              <w:rPr>
                <w:rFonts w:ascii="Arial" w:hAnsi="Arial" w:cs="Arial"/>
                <w:sz w:val="20"/>
              </w:rPr>
              <w:lastRenderedPageBreak/>
              <w:t>18.063/13</w:t>
            </w:r>
          </w:p>
        </w:tc>
        <w:tc>
          <w:tcPr>
            <w:tcW w:w="1560" w:type="dxa"/>
            <w:vAlign w:val="center"/>
          </w:tcPr>
          <w:p w14:paraId="6CB773B4" w14:textId="77777777" w:rsidR="00F411F3" w:rsidRPr="00815184" w:rsidRDefault="00F411F3" w:rsidP="00FB4268">
            <w:pPr>
              <w:jc w:val="center"/>
              <w:rPr>
                <w:rFonts w:ascii="Arial" w:hAnsi="Arial" w:cs="Arial"/>
                <w:sz w:val="20"/>
              </w:rPr>
            </w:pPr>
            <w:r w:rsidRPr="00815184">
              <w:rPr>
                <w:rFonts w:ascii="Arial" w:hAnsi="Arial" w:cs="Arial"/>
                <w:sz w:val="20"/>
              </w:rPr>
              <w:t>Fabricante de Equipamentos de Informática</w:t>
            </w:r>
          </w:p>
        </w:tc>
        <w:tc>
          <w:tcPr>
            <w:tcW w:w="1417" w:type="dxa"/>
            <w:vAlign w:val="center"/>
          </w:tcPr>
          <w:p w14:paraId="54DEB919" w14:textId="77777777" w:rsidR="00F411F3" w:rsidRPr="00815184" w:rsidRDefault="00F411F3" w:rsidP="00FB4268">
            <w:pPr>
              <w:jc w:val="center"/>
              <w:rPr>
                <w:rFonts w:ascii="Arial" w:hAnsi="Arial" w:cs="Arial"/>
                <w:sz w:val="20"/>
              </w:rPr>
            </w:pPr>
            <w:r w:rsidRPr="00815184">
              <w:rPr>
                <w:rFonts w:ascii="Arial" w:hAnsi="Arial" w:cs="Arial"/>
                <w:sz w:val="20"/>
              </w:rPr>
              <w:t>Implantação</w:t>
            </w:r>
          </w:p>
        </w:tc>
        <w:tc>
          <w:tcPr>
            <w:tcW w:w="1701" w:type="dxa"/>
            <w:vAlign w:val="center"/>
          </w:tcPr>
          <w:p w14:paraId="7F6FE5E5" w14:textId="77777777" w:rsidR="00F411F3" w:rsidRPr="007A673D" w:rsidRDefault="00F411F3" w:rsidP="00FB4268">
            <w:pPr>
              <w:jc w:val="center"/>
              <w:rPr>
                <w:rFonts w:ascii="Arial" w:hAnsi="Arial" w:cs="Arial"/>
                <w:sz w:val="20"/>
              </w:rPr>
            </w:pPr>
            <w:r w:rsidRPr="007A673D">
              <w:rPr>
                <w:rFonts w:ascii="Arial" w:hAnsi="Arial" w:cs="Arial"/>
                <w:sz w:val="20"/>
              </w:rPr>
              <w:t>80%</w:t>
            </w:r>
          </w:p>
        </w:tc>
        <w:tc>
          <w:tcPr>
            <w:tcW w:w="1559" w:type="dxa"/>
            <w:vAlign w:val="center"/>
          </w:tcPr>
          <w:p w14:paraId="02D37F07" w14:textId="77777777" w:rsidR="00F411F3" w:rsidRPr="007A673D" w:rsidRDefault="00F411F3" w:rsidP="00FB4268">
            <w:pPr>
              <w:jc w:val="center"/>
              <w:rPr>
                <w:rFonts w:ascii="Arial" w:hAnsi="Arial" w:cs="Arial"/>
                <w:sz w:val="20"/>
              </w:rPr>
            </w:pPr>
            <w:r w:rsidRPr="007A673D">
              <w:rPr>
                <w:rFonts w:ascii="Arial" w:hAnsi="Arial" w:cs="Arial"/>
                <w:sz w:val="20"/>
              </w:rPr>
              <w:t>25,93%</w:t>
            </w:r>
          </w:p>
        </w:tc>
        <w:tc>
          <w:tcPr>
            <w:tcW w:w="2098" w:type="dxa"/>
            <w:vAlign w:val="center"/>
          </w:tcPr>
          <w:p w14:paraId="06BCD456" w14:textId="77777777" w:rsidR="00F411F3" w:rsidRPr="007A673D" w:rsidRDefault="00F411F3" w:rsidP="00FB4268">
            <w:pPr>
              <w:jc w:val="center"/>
              <w:rPr>
                <w:rFonts w:ascii="Arial" w:hAnsi="Arial" w:cs="Arial"/>
                <w:sz w:val="20"/>
              </w:rPr>
            </w:pPr>
            <w:r w:rsidRPr="007A673D">
              <w:rPr>
                <w:rFonts w:ascii="Arial" w:hAnsi="Arial" w:cs="Arial"/>
                <w:sz w:val="20"/>
              </w:rPr>
              <w:t>-</w:t>
            </w:r>
          </w:p>
        </w:tc>
      </w:tr>
      <w:tr w:rsidR="00F411F3" w:rsidRPr="00F411F3" w14:paraId="20319A0F" w14:textId="77777777" w:rsidTr="006F57E8">
        <w:trPr>
          <w:trHeight w:val="663"/>
        </w:trPr>
        <w:tc>
          <w:tcPr>
            <w:tcW w:w="1129" w:type="dxa"/>
            <w:vAlign w:val="center"/>
          </w:tcPr>
          <w:p w14:paraId="1F8F813A" w14:textId="77777777" w:rsidR="00F411F3" w:rsidRPr="00815184" w:rsidRDefault="00F411F3" w:rsidP="00FB4268">
            <w:pPr>
              <w:jc w:val="center"/>
              <w:rPr>
                <w:rFonts w:ascii="Arial" w:hAnsi="Arial" w:cs="Arial"/>
                <w:sz w:val="20"/>
              </w:rPr>
            </w:pPr>
            <w:r w:rsidRPr="00815184">
              <w:rPr>
                <w:rFonts w:ascii="Arial" w:hAnsi="Arial" w:cs="Arial"/>
                <w:sz w:val="20"/>
              </w:rPr>
              <w:t>18.295/13</w:t>
            </w:r>
          </w:p>
        </w:tc>
        <w:tc>
          <w:tcPr>
            <w:tcW w:w="1560" w:type="dxa"/>
            <w:vAlign w:val="center"/>
          </w:tcPr>
          <w:p w14:paraId="5F5D4747" w14:textId="77777777" w:rsidR="00F411F3" w:rsidRPr="00815184" w:rsidRDefault="00F411F3" w:rsidP="00FB4268">
            <w:pPr>
              <w:jc w:val="center"/>
              <w:rPr>
                <w:rFonts w:ascii="Arial" w:hAnsi="Arial" w:cs="Arial"/>
                <w:sz w:val="20"/>
              </w:rPr>
            </w:pPr>
            <w:r w:rsidRPr="00815184">
              <w:rPr>
                <w:rFonts w:ascii="Arial" w:hAnsi="Arial" w:cs="Arial"/>
                <w:sz w:val="20"/>
              </w:rPr>
              <w:t>Fabricante de cerveja e chope</w:t>
            </w:r>
          </w:p>
        </w:tc>
        <w:tc>
          <w:tcPr>
            <w:tcW w:w="1417" w:type="dxa"/>
            <w:vAlign w:val="center"/>
          </w:tcPr>
          <w:p w14:paraId="18844FA4" w14:textId="77777777" w:rsidR="00F411F3" w:rsidRPr="00815184" w:rsidRDefault="00F411F3" w:rsidP="00FB4268">
            <w:pPr>
              <w:jc w:val="center"/>
              <w:rPr>
                <w:rFonts w:ascii="Arial" w:hAnsi="Arial" w:cs="Arial"/>
                <w:sz w:val="20"/>
              </w:rPr>
            </w:pPr>
            <w:r w:rsidRPr="00815184">
              <w:rPr>
                <w:rFonts w:ascii="Arial" w:hAnsi="Arial" w:cs="Arial"/>
                <w:sz w:val="20"/>
              </w:rPr>
              <w:t>Ampliação</w:t>
            </w:r>
          </w:p>
        </w:tc>
        <w:tc>
          <w:tcPr>
            <w:tcW w:w="1701" w:type="dxa"/>
            <w:vAlign w:val="center"/>
          </w:tcPr>
          <w:p w14:paraId="26F00479" w14:textId="77777777" w:rsidR="00F411F3" w:rsidRPr="007A673D" w:rsidRDefault="00F411F3" w:rsidP="00FB4268">
            <w:pPr>
              <w:jc w:val="center"/>
              <w:rPr>
                <w:rFonts w:ascii="Arial" w:hAnsi="Arial" w:cs="Arial"/>
                <w:sz w:val="20"/>
              </w:rPr>
            </w:pPr>
            <w:r w:rsidRPr="007A673D">
              <w:rPr>
                <w:rFonts w:ascii="Arial" w:hAnsi="Arial" w:cs="Arial"/>
                <w:sz w:val="20"/>
              </w:rPr>
              <w:t>-</w:t>
            </w:r>
          </w:p>
        </w:tc>
        <w:tc>
          <w:tcPr>
            <w:tcW w:w="1559" w:type="dxa"/>
            <w:vAlign w:val="center"/>
          </w:tcPr>
          <w:p w14:paraId="60E84AC8" w14:textId="77777777" w:rsidR="00F411F3" w:rsidRPr="007A673D" w:rsidRDefault="00F411F3" w:rsidP="00FB4268">
            <w:pPr>
              <w:jc w:val="center"/>
              <w:rPr>
                <w:rFonts w:ascii="Arial" w:hAnsi="Arial" w:cs="Arial"/>
                <w:sz w:val="20"/>
              </w:rPr>
            </w:pPr>
            <w:r w:rsidRPr="007A673D">
              <w:rPr>
                <w:rFonts w:ascii="Arial" w:hAnsi="Arial" w:cs="Arial"/>
                <w:sz w:val="20"/>
              </w:rPr>
              <w:t>-</w:t>
            </w:r>
          </w:p>
        </w:tc>
        <w:tc>
          <w:tcPr>
            <w:tcW w:w="2098" w:type="dxa"/>
            <w:vAlign w:val="center"/>
          </w:tcPr>
          <w:p w14:paraId="4A89B6AB" w14:textId="77777777" w:rsidR="00F411F3" w:rsidRPr="007A673D" w:rsidRDefault="00F411F3" w:rsidP="00FB4268">
            <w:pPr>
              <w:jc w:val="center"/>
              <w:rPr>
                <w:rFonts w:ascii="Arial" w:hAnsi="Arial" w:cs="Arial"/>
                <w:sz w:val="20"/>
              </w:rPr>
            </w:pPr>
            <w:r w:rsidRPr="007A673D">
              <w:rPr>
                <w:rFonts w:ascii="Arial" w:hAnsi="Arial" w:cs="Arial"/>
                <w:sz w:val="20"/>
              </w:rPr>
              <w:t>12.000.000,00/48</w:t>
            </w:r>
          </w:p>
        </w:tc>
      </w:tr>
      <w:tr w:rsidR="00F411F3" w:rsidRPr="00F411F3" w14:paraId="629D786E" w14:textId="77777777" w:rsidTr="006F57E8">
        <w:trPr>
          <w:trHeight w:val="442"/>
        </w:trPr>
        <w:tc>
          <w:tcPr>
            <w:tcW w:w="1129" w:type="dxa"/>
            <w:vAlign w:val="center"/>
          </w:tcPr>
          <w:p w14:paraId="29F0066B" w14:textId="77777777" w:rsidR="00F411F3" w:rsidRPr="00815184" w:rsidRDefault="00F411F3" w:rsidP="00FB4268">
            <w:pPr>
              <w:jc w:val="center"/>
              <w:rPr>
                <w:rFonts w:ascii="Arial" w:hAnsi="Arial" w:cs="Arial"/>
                <w:sz w:val="20"/>
              </w:rPr>
            </w:pPr>
            <w:r w:rsidRPr="00815184">
              <w:rPr>
                <w:rFonts w:ascii="Arial" w:hAnsi="Arial" w:cs="Arial"/>
                <w:sz w:val="20"/>
              </w:rPr>
              <w:t>19.143/15</w:t>
            </w:r>
          </w:p>
        </w:tc>
        <w:tc>
          <w:tcPr>
            <w:tcW w:w="1560" w:type="dxa"/>
            <w:vAlign w:val="center"/>
          </w:tcPr>
          <w:p w14:paraId="78330FF5" w14:textId="77777777" w:rsidR="00F411F3" w:rsidRPr="00815184" w:rsidRDefault="00F411F3" w:rsidP="00FB4268">
            <w:pPr>
              <w:jc w:val="center"/>
              <w:rPr>
                <w:rFonts w:ascii="Arial" w:hAnsi="Arial" w:cs="Arial"/>
                <w:sz w:val="20"/>
              </w:rPr>
            </w:pPr>
            <w:r w:rsidRPr="00815184">
              <w:rPr>
                <w:rFonts w:ascii="Arial" w:hAnsi="Arial" w:cs="Arial"/>
                <w:sz w:val="20"/>
              </w:rPr>
              <w:t>Industrial de atomatados</w:t>
            </w:r>
          </w:p>
        </w:tc>
        <w:tc>
          <w:tcPr>
            <w:tcW w:w="1417" w:type="dxa"/>
            <w:vAlign w:val="center"/>
          </w:tcPr>
          <w:p w14:paraId="59F82915" w14:textId="77777777" w:rsidR="00F411F3" w:rsidRPr="00815184" w:rsidRDefault="00F411F3" w:rsidP="00FB4268">
            <w:pPr>
              <w:jc w:val="center"/>
              <w:rPr>
                <w:rFonts w:ascii="Arial" w:hAnsi="Arial" w:cs="Arial"/>
                <w:sz w:val="20"/>
              </w:rPr>
            </w:pPr>
            <w:r w:rsidRPr="00815184">
              <w:rPr>
                <w:rFonts w:ascii="Arial" w:hAnsi="Arial" w:cs="Arial"/>
                <w:sz w:val="20"/>
              </w:rPr>
              <w:t>Implantação</w:t>
            </w:r>
          </w:p>
        </w:tc>
        <w:tc>
          <w:tcPr>
            <w:tcW w:w="1701" w:type="dxa"/>
            <w:vAlign w:val="center"/>
          </w:tcPr>
          <w:p w14:paraId="204CE6DE" w14:textId="77777777" w:rsidR="00F411F3" w:rsidRPr="007A673D" w:rsidRDefault="00F411F3" w:rsidP="00FB4268">
            <w:pPr>
              <w:jc w:val="center"/>
              <w:rPr>
                <w:rFonts w:ascii="Arial" w:hAnsi="Arial" w:cs="Arial"/>
                <w:sz w:val="20"/>
              </w:rPr>
            </w:pPr>
            <w:r w:rsidRPr="007A673D">
              <w:rPr>
                <w:rFonts w:ascii="Arial" w:hAnsi="Arial" w:cs="Arial"/>
                <w:sz w:val="20"/>
              </w:rPr>
              <w:t>-</w:t>
            </w:r>
          </w:p>
        </w:tc>
        <w:tc>
          <w:tcPr>
            <w:tcW w:w="1559" w:type="dxa"/>
            <w:vAlign w:val="center"/>
          </w:tcPr>
          <w:p w14:paraId="41419D21" w14:textId="77777777" w:rsidR="00F411F3" w:rsidRPr="007A673D" w:rsidRDefault="00F411F3" w:rsidP="00FB4268">
            <w:pPr>
              <w:jc w:val="center"/>
              <w:rPr>
                <w:rFonts w:ascii="Arial" w:hAnsi="Arial" w:cs="Arial"/>
                <w:sz w:val="20"/>
              </w:rPr>
            </w:pPr>
            <w:r w:rsidRPr="007A673D">
              <w:rPr>
                <w:rFonts w:ascii="Arial" w:hAnsi="Arial" w:cs="Arial"/>
                <w:sz w:val="20"/>
              </w:rPr>
              <w:t>-</w:t>
            </w:r>
          </w:p>
        </w:tc>
        <w:tc>
          <w:tcPr>
            <w:tcW w:w="2098" w:type="dxa"/>
            <w:vAlign w:val="center"/>
          </w:tcPr>
          <w:p w14:paraId="0D35C399" w14:textId="77777777" w:rsidR="00F411F3" w:rsidRPr="007A673D" w:rsidRDefault="00F411F3" w:rsidP="00FB4268">
            <w:pPr>
              <w:jc w:val="center"/>
              <w:rPr>
                <w:rFonts w:ascii="Arial" w:hAnsi="Arial" w:cs="Arial"/>
                <w:sz w:val="20"/>
              </w:rPr>
            </w:pPr>
            <w:r w:rsidRPr="007A673D">
              <w:rPr>
                <w:rFonts w:ascii="Arial" w:hAnsi="Arial" w:cs="Arial"/>
                <w:sz w:val="20"/>
              </w:rPr>
              <w:t>4.000.000,00/24</w:t>
            </w:r>
          </w:p>
        </w:tc>
      </w:tr>
      <w:tr w:rsidR="00F411F3" w:rsidRPr="00F411F3" w14:paraId="7228808C" w14:textId="77777777" w:rsidTr="006F57E8">
        <w:trPr>
          <w:trHeight w:val="442"/>
        </w:trPr>
        <w:tc>
          <w:tcPr>
            <w:tcW w:w="1129" w:type="dxa"/>
            <w:vAlign w:val="center"/>
          </w:tcPr>
          <w:p w14:paraId="4E220879" w14:textId="77777777" w:rsidR="00F411F3" w:rsidRPr="00815184" w:rsidRDefault="00F411F3" w:rsidP="00FB4268">
            <w:pPr>
              <w:jc w:val="center"/>
              <w:rPr>
                <w:rFonts w:ascii="Arial" w:hAnsi="Arial" w:cs="Arial"/>
                <w:sz w:val="20"/>
              </w:rPr>
            </w:pPr>
            <w:r w:rsidRPr="00815184">
              <w:rPr>
                <w:rFonts w:ascii="Arial" w:hAnsi="Arial" w:cs="Arial"/>
                <w:sz w:val="20"/>
              </w:rPr>
              <w:t>19.732/17</w:t>
            </w:r>
          </w:p>
        </w:tc>
        <w:tc>
          <w:tcPr>
            <w:tcW w:w="1560" w:type="dxa"/>
            <w:vAlign w:val="center"/>
          </w:tcPr>
          <w:p w14:paraId="0AABF51C" w14:textId="77777777" w:rsidR="00F411F3" w:rsidRPr="00815184" w:rsidRDefault="00F411F3" w:rsidP="00FB4268">
            <w:pPr>
              <w:jc w:val="center"/>
              <w:rPr>
                <w:rFonts w:ascii="Arial" w:hAnsi="Arial" w:cs="Arial"/>
                <w:sz w:val="20"/>
              </w:rPr>
            </w:pPr>
            <w:r w:rsidRPr="00815184">
              <w:rPr>
                <w:rFonts w:ascii="Arial" w:hAnsi="Arial" w:cs="Arial"/>
                <w:sz w:val="20"/>
              </w:rPr>
              <w:t>Fabricante de conservas, atomatados e alimentos</w:t>
            </w:r>
          </w:p>
        </w:tc>
        <w:tc>
          <w:tcPr>
            <w:tcW w:w="1417" w:type="dxa"/>
            <w:vAlign w:val="center"/>
          </w:tcPr>
          <w:p w14:paraId="01E6DCE9" w14:textId="77777777" w:rsidR="00F411F3" w:rsidRPr="00815184" w:rsidRDefault="00F411F3" w:rsidP="00FB4268">
            <w:pPr>
              <w:jc w:val="center"/>
              <w:rPr>
                <w:rFonts w:ascii="Arial" w:hAnsi="Arial" w:cs="Arial"/>
                <w:sz w:val="20"/>
              </w:rPr>
            </w:pPr>
            <w:r w:rsidRPr="00815184">
              <w:rPr>
                <w:rFonts w:ascii="Arial" w:hAnsi="Arial" w:cs="Arial"/>
                <w:sz w:val="20"/>
              </w:rPr>
              <w:t>Implantação Ampliação</w:t>
            </w:r>
          </w:p>
        </w:tc>
        <w:tc>
          <w:tcPr>
            <w:tcW w:w="1701" w:type="dxa"/>
            <w:vAlign w:val="center"/>
          </w:tcPr>
          <w:p w14:paraId="10B590CB" w14:textId="77777777" w:rsidR="00F411F3" w:rsidRPr="007A673D" w:rsidRDefault="00F411F3" w:rsidP="00FB4268">
            <w:pPr>
              <w:jc w:val="center"/>
              <w:rPr>
                <w:rFonts w:ascii="Arial" w:hAnsi="Arial" w:cs="Arial"/>
                <w:sz w:val="20"/>
              </w:rPr>
            </w:pPr>
            <w:r w:rsidRPr="007A673D">
              <w:rPr>
                <w:rFonts w:ascii="Arial" w:hAnsi="Arial" w:cs="Arial"/>
                <w:sz w:val="20"/>
              </w:rPr>
              <w:t>-</w:t>
            </w:r>
          </w:p>
        </w:tc>
        <w:tc>
          <w:tcPr>
            <w:tcW w:w="1559" w:type="dxa"/>
            <w:vAlign w:val="center"/>
          </w:tcPr>
          <w:p w14:paraId="20806D6E" w14:textId="77777777" w:rsidR="00F411F3" w:rsidRPr="007A673D" w:rsidRDefault="00F411F3" w:rsidP="00FB4268">
            <w:pPr>
              <w:jc w:val="center"/>
              <w:rPr>
                <w:rFonts w:ascii="Arial" w:hAnsi="Arial" w:cs="Arial"/>
                <w:sz w:val="20"/>
              </w:rPr>
            </w:pPr>
            <w:r w:rsidRPr="007A673D">
              <w:rPr>
                <w:rFonts w:ascii="Arial" w:hAnsi="Arial" w:cs="Arial"/>
                <w:sz w:val="20"/>
              </w:rPr>
              <w:t>-</w:t>
            </w:r>
          </w:p>
        </w:tc>
        <w:tc>
          <w:tcPr>
            <w:tcW w:w="2098" w:type="dxa"/>
            <w:vAlign w:val="center"/>
          </w:tcPr>
          <w:p w14:paraId="79F2C97C" w14:textId="77777777" w:rsidR="00F411F3" w:rsidRPr="007A673D" w:rsidRDefault="00F411F3" w:rsidP="00FB4268">
            <w:pPr>
              <w:jc w:val="center"/>
              <w:rPr>
                <w:rFonts w:ascii="Arial" w:hAnsi="Arial" w:cs="Arial"/>
                <w:sz w:val="20"/>
              </w:rPr>
            </w:pPr>
            <w:r w:rsidRPr="007A673D">
              <w:rPr>
                <w:rFonts w:ascii="Arial" w:hAnsi="Arial" w:cs="Arial"/>
                <w:sz w:val="20"/>
              </w:rPr>
              <w:t>48.000.000,00</w:t>
            </w:r>
          </w:p>
        </w:tc>
      </w:tr>
      <w:tr w:rsidR="00F411F3" w:rsidRPr="00F411F3" w14:paraId="00FDA92D" w14:textId="77777777" w:rsidTr="00A9249A">
        <w:trPr>
          <w:trHeight w:val="232"/>
        </w:trPr>
        <w:tc>
          <w:tcPr>
            <w:tcW w:w="4106" w:type="dxa"/>
            <w:gridSpan w:val="3"/>
            <w:vAlign w:val="center"/>
          </w:tcPr>
          <w:p w14:paraId="16D86749" w14:textId="77777777" w:rsidR="00F411F3" w:rsidRPr="007A673D" w:rsidRDefault="00F411F3" w:rsidP="00FB4268">
            <w:pPr>
              <w:jc w:val="center"/>
              <w:rPr>
                <w:rFonts w:ascii="Arial" w:hAnsi="Arial" w:cs="Arial"/>
                <w:b/>
                <w:sz w:val="20"/>
              </w:rPr>
            </w:pPr>
          </w:p>
        </w:tc>
        <w:tc>
          <w:tcPr>
            <w:tcW w:w="5358" w:type="dxa"/>
            <w:gridSpan w:val="3"/>
            <w:vAlign w:val="center"/>
          </w:tcPr>
          <w:p w14:paraId="06FF08B5" w14:textId="77777777" w:rsidR="00F411F3" w:rsidRPr="007A673D" w:rsidRDefault="00F411F3" w:rsidP="00FB4268">
            <w:pPr>
              <w:jc w:val="center"/>
              <w:rPr>
                <w:rFonts w:ascii="Arial" w:hAnsi="Arial" w:cs="Arial"/>
                <w:b/>
                <w:sz w:val="20"/>
              </w:rPr>
            </w:pPr>
            <w:r w:rsidRPr="007A673D">
              <w:rPr>
                <w:rFonts w:ascii="Arial" w:hAnsi="Arial" w:cs="Arial"/>
                <w:b/>
                <w:sz w:val="20"/>
              </w:rPr>
              <w:t>Crédito outorgado</w:t>
            </w:r>
          </w:p>
        </w:tc>
      </w:tr>
      <w:tr w:rsidR="00F411F3" w:rsidRPr="00F411F3" w14:paraId="6395E5FA" w14:textId="77777777" w:rsidTr="00A9249A">
        <w:trPr>
          <w:trHeight w:val="232"/>
        </w:trPr>
        <w:tc>
          <w:tcPr>
            <w:tcW w:w="1129" w:type="dxa"/>
            <w:vAlign w:val="center"/>
          </w:tcPr>
          <w:p w14:paraId="1E4FD746" w14:textId="77777777" w:rsidR="00F411F3" w:rsidRPr="007A673D" w:rsidRDefault="00F411F3" w:rsidP="00FB4268">
            <w:pPr>
              <w:jc w:val="center"/>
              <w:rPr>
                <w:rFonts w:ascii="Arial" w:hAnsi="Arial" w:cs="Arial"/>
                <w:sz w:val="20"/>
              </w:rPr>
            </w:pPr>
            <w:r w:rsidRPr="007A673D">
              <w:rPr>
                <w:rFonts w:ascii="Arial" w:hAnsi="Arial" w:cs="Arial"/>
                <w:sz w:val="20"/>
              </w:rPr>
              <w:t>19.226/16</w:t>
            </w:r>
          </w:p>
        </w:tc>
        <w:tc>
          <w:tcPr>
            <w:tcW w:w="1560" w:type="dxa"/>
            <w:vAlign w:val="center"/>
          </w:tcPr>
          <w:p w14:paraId="78026D8C" w14:textId="77777777" w:rsidR="00F411F3" w:rsidRPr="007A673D" w:rsidRDefault="00F411F3" w:rsidP="00FB4268">
            <w:pPr>
              <w:jc w:val="center"/>
              <w:rPr>
                <w:rFonts w:ascii="Arial" w:hAnsi="Arial" w:cs="Arial"/>
                <w:sz w:val="20"/>
              </w:rPr>
            </w:pPr>
            <w:r w:rsidRPr="007A673D">
              <w:rPr>
                <w:rFonts w:ascii="Arial" w:hAnsi="Arial" w:cs="Arial"/>
                <w:sz w:val="20"/>
              </w:rPr>
              <w:t>Fabricante de cerveja e chope</w:t>
            </w:r>
          </w:p>
        </w:tc>
        <w:tc>
          <w:tcPr>
            <w:tcW w:w="1417" w:type="dxa"/>
            <w:vAlign w:val="center"/>
          </w:tcPr>
          <w:p w14:paraId="10318664" w14:textId="77777777" w:rsidR="00F411F3" w:rsidRPr="007A673D" w:rsidRDefault="00F411F3" w:rsidP="00FB4268">
            <w:pPr>
              <w:jc w:val="center"/>
              <w:rPr>
                <w:rFonts w:ascii="Arial" w:hAnsi="Arial" w:cs="Arial"/>
                <w:sz w:val="20"/>
              </w:rPr>
            </w:pPr>
            <w:r w:rsidRPr="007A673D">
              <w:rPr>
                <w:rFonts w:ascii="Arial" w:hAnsi="Arial" w:cs="Arial"/>
                <w:sz w:val="20"/>
              </w:rPr>
              <w:t>Implantação</w:t>
            </w:r>
          </w:p>
        </w:tc>
        <w:tc>
          <w:tcPr>
            <w:tcW w:w="1701" w:type="dxa"/>
            <w:vAlign w:val="center"/>
          </w:tcPr>
          <w:p w14:paraId="56FD6333" w14:textId="77777777" w:rsidR="00F411F3" w:rsidRPr="007A673D" w:rsidRDefault="00F411F3" w:rsidP="00FB4268">
            <w:pPr>
              <w:jc w:val="center"/>
              <w:rPr>
                <w:rFonts w:ascii="Arial" w:hAnsi="Arial" w:cs="Arial"/>
                <w:sz w:val="20"/>
              </w:rPr>
            </w:pPr>
            <w:r w:rsidRPr="007A673D">
              <w:rPr>
                <w:rFonts w:ascii="Arial" w:hAnsi="Arial" w:cs="Arial"/>
                <w:sz w:val="20"/>
              </w:rPr>
              <w:t>12% do investimento da implantação (não pode ser inferior a R$ 800.000.000,00)</w:t>
            </w:r>
          </w:p>
        </w:tc>
        <w:tc>
          <w:tcPr>
            <w:tcW w:w="3657" w:type="dxa"/>
            <w:gridSpan w:val="2"/>
            <w:vAlign w:val="center"/>
          </w:tcPr>
          <w:p w14:paraId="51D37032" w14:textId="77777777" w:rsidR="00F411F3" w:rsidRPr="007A673D" w:rsidRDefault="00F411F3" w:rsidP="00FB4268">
            <w:pPr>
              <w:jc w:val="both"/>
              <w:rPr>
                <w:rFonts w:ascii="Arial" w:hAnsi="Arial" w:cs="Arial"/>
                <w:sz w:val="20"/>
              </w:rPr>
            </w:pPr>
            <w:r w:rsidRPr="007A673D">
              <w:rPr>
                <w:rFonts w:ascii="Arial" w:hAnsi="Arial" w:cs="Arial"/>
                <w:sz w:val="20"/>
              </w:rPr>
              <w:t>Ao efetivamente investido pelo fabricante em:</w:t>
            </w:r>
          </w:p>
          <w:p w14:paraId="378411BF" w14:textId="77777777" w:rsidR="00F411F3" w:rsidRPr="007A673D" w:rsidRDefault="00F411F3" w:rsidP="00FB4268">
            <w:pPr>
              <w:jc w:val="both"/>
              <w:rPr>
                <w:rFonts w:ascii="Arial" w:hAnsi="Arial" w:cs="Arial"/>
                <w:sz w:val="20"/>
              </w:rPr>
            </w:pPr>
            <w:r w:rsidRPr="007A673D">
              <w:rPr>
                <w:rFonts w:ascii="Arial" w:hAnsi="Arial" w:cs="Arial"/>
                <w:sz w:val="20"/>
              </w:rPr>
              <w:t>1. implantação de rede de energia elétrica, conexões e subestação</w:t>
            </w:r>
          </w:p>
          <w:p w14:paraId="60A98F39" w14:textId="77777777" w:rsidR="00F411F3" w:rsidRPr="007A673D" w:rsidRDefault="00F411F3" w:rsidP="00FB4268">
            <w:pPr>
              <w:jc w:val="both"/>
              <w:rPr>
                <w:rFonts w:ascii="Arial" w:hAnsi="Arial" w:cs="Arial"/>
                <w:sz w:val="20"/>
              </w:rPr>
            </w:pPr>
            <w:r w:rsidRPr="007A673D">
              <w:rPr>
                <w:rFonts w:ascii="Arial" w:hAnsi="Arial" w:cs="Arial"/>
                <w:sz w:val="20"/>
              </w:rPr>
              <w:t>2. implantação de sistemas de tratamento de água</w:t>
            </w:r>
          </w:p>
          <w:p w14:paraId="63E85871" w14:textId="77777777" w:rsidR="00F411F3" w:rsidRPr="007A673D" w:rsidRDefault="00F411F3" w:rsidP="00FB4268">
            <w:pPr>
              <w:jc w:val="both"/>
              <w:rPr>
                <w:rFonts w:ascii="Arial" w:hAnsi="Arial" w:cs="Arial"/>
                <w:sz w:val="20"/>
              </w:rPr>
            </w:pPr>
            <w:r w:rsidRPr="007A673D">
              <w:rPr>
                <w:rFonts w:ascii="Arial" w:hAnsi="Arial" w:cs="Arial"/>
                <w:sz w:val="20"/>
              </w:rPr>
              <w:t>3. construção de obras rodoviárias para acesso da rodovia à unidade industrial</w:t>
            </w:r>
          </w:p>
        </w:tc>
      </w:tr>
    </w:tbl>
    <w:p w14:paraId="08A49C7D" w14:textId="77777777" w:rsidR="00F411F3" w:rsidRPr="005043CB" w:rsidRDefault="00F411F3" w:rsidP="00F411F3">
      <w:pPr>
        <w:jc w:val="both"/>
        <w:rPr>
          <w:rFonts w:ascii="Arial" w:hAnsi="Arial" w:cs="Arial"/>
          <w:sz w:val="20"/>
          <w:szCs w:val="24"/>
        </w:rPr>
      </w:pPr>
      <w:r w:rsidRPr="005043CB">
        <w:rPr>
          <w:rFonts w:ascii="Arial" w:hAnsi="Arial" w:cs="Arial"/>
          <w:sz w:val="20"/>
          <w:szCs w:val="24"/>
        </w:rPr>
        <w:t>Fonte: Leis nºs 16.671/09, 17.441/11, 17.383/11, 18.063/13, 18.295/13, 19.143/15 e 19.226/16.</w:t>
      </w:r>
    </w:p>
    <w:p w14:paraId="2E1413C5" w14:textId="77777777" w:rsidR="00F411F3" w:rsidRPr="005043CB" w:rsidRDefault="00F411F3" w:rsidP="00F411F3">
      <w:pPr>
        <w:jc w:val="both"/>
        <w:rPr>
          <w:rFonts w:ascii="Arial" w:hAnsi="Arial" w:cs="Arial"/>
          <w:sz w:val="20"/>
          <w:szCs w:val="24"/>
        </w:rPr>
      </w:pPr>
      <w:r w:rsidRPr="005043CB">
        <w:rPr>
          <w:rFonts w:ascii="Arial" w:hAnsi="Arial" w:cs="Arial"/>
          <w:sz w:val="20"/>
          <w:szCs w:val="24"/>
        </w:rPr>
        <w:t>*o valor de R$ 9.100.000,00 pode ser apropriado após 31 de dezembro de 2020 (sendo que o valor será corrigido) e R$ 30.000.000,00 deve ser investido na execução de obras de engenharia de acesso do estabelecimento à rodovia, bem como na construção ou adequação de linhas de transmissão de energia elétrica, necessárias ao funcionamento do empreendimento indústria.</w:t>
      </w:r>
    </w:p>
    <w:p w14:paraId="5347346C" w14:textId="77777777" w:rsidR="00F411F3" w:rsidRPr="005043CB" w:rsidRDefault="00F411F3" w:rsidP="00F411F3">
      <w:pPr>
        <w:jc w:val="both"/>
        <w:rPr>
          <w:rFonts w:ascii="Arial" w:hAnsi="Arial" w:cs="Arial"/>
          <w:sz w:val="20"/>
          <w:szCs w:val="24"/>
        </w:rPr>
      </w:pPr>
      <w:r w:rsidRPr="005043CB">
        <w:rPr>
          <w:rFonts w:ascii="Arial" w:hAnsi="Arial" w:cs="Arial"/>
          <w:sz w:val="20"/>
          <w:szCs w:val="24"/>
        </w:rPr>
        <w:t xml:space="preserve">** para investimento em obras civis e na instalação de máquinas, equipamentos e instalações da unidade industrial. </w:t>
      </w:r>
    </w:p>
    <w:p w14:paraId="728D231A" w14:textId="75CF4F46" w:rsidR="00515D4E" w:rsidRDefault="00515D4E" w:rsidP="000825A6">
      <w:pPr>
        <w:spacing w:line="360" w:lineRule="auto"/>
        <w:ind w:left="851"/>
        <w:jc w:val="both"/>
        <w:rPr>
          <w:rFonts w:ascii="Arial" w:hAnsi="Arial" w:cs="Arial"/>
          <w:sz w:val="24"/>
          <w:szCs w:val="24"/>
        </w:rPr>
      </w:pPr>
    </w:p>
    <w:p w14:paraId="38C874BB" w14:textId="60826674" w:rsidR="007C0530" w:rsidRDefault="00590635" w:rsidP="00590635">
      <w:pPr>
        <w:spacing w:line="360" w:lineRule="auto"/>
        <w:ind w:firstLine="851"/>
        <w:jc w:val="both"/>
        <w:rPr>
          <w:rFonts w:ascii="Arial" w:hAnsi="Arial" w:cs="Arial"/>
          <w:sz w:val="24"/>
          <w:szCs w:val="24"/>
        </w:rPr>
      </w:pPr>
      <w:r>
        <w:rPr>
          <w:rFonts w:ascii="Arial" w:hAnsi="Arial" w:cs="Arial"/>
          <w:sz w:val="24"/>
          <w:szCs w:val="24"/>
        </w:rPr>
        <w:t xml:space="preserve">Ainda, conforme apontado no mencionado Informe de Auditoria, </w:t>
      </w:r>
      <w:r w:rsidR="007C0530" w:rsidRPr="007C0530">
        <w:rPr>
          <w:rFonts w:ascii="Arial" w:hAnsi="Arial" w:cs="Arial"/>
          <w:sz w:val="24"/>
          <w:szCs w:val="24"/>
        </w:rPr>
        <w:t>as empresas benefici</w:t>
      </w:r>
      <w:r w:rsidR="007C0530" w:rsidRPr="007C0530">
        <w:rPr>
          <w:rFonts w:ascii="Arial" w:hAnsi="Arial" w:cs="Arial" w:hint="cs"/>
          <w:sz w:val="24"/>
          <w:szCs w:val="24"/>
        </w:rPr>
        <w:t>á</w:t>
      </w:r>
      <w:r w:rsidR="007C0530" w:rsidRPr="007C0530">
        <w:rPr>
          <w:rFonts w:ascii="Arial" w:hAnsi="Arial" w:cs="Arial"/>
          <w:sz w:val="24"/>
          <w:szCs w:val="24"/>
        </w:rPr>
        <w:t>rias do PRODUZIR que tamb</w:t>
      </w:r>
      <w:r w:rsidR="007C0530" w:rsidRPr="007C0530">
        <w:rPr>
          <w:rFonts w:ascii="Arial" w:hAnsi="Arial" w:cs="Arial" w:hint="cs"/>
          <w:sz w:val="24"/>
          <w:szCs w:val="24"/>
        </w:rPr>
        <w:t>é</w:t>
      </w:r>
      <w:r w:rsidR="007C0530" w:rsidRPr="007C0530">
        <w:rPr>
          <w:rFonts w:ascii="Arial" w:hAnsi="Arial" w:cs="Arial"/>
          <w:sz w:val="24"/>
          <w:szCs w:val="24"/>
        </w:rPr>
        <w:t>m usufruam de cr</w:t>
      </w:r>
      <w:r w:rsidR="007C0530" w:rsidRPr="007C0530">
        <w:rPr>
          <w:rFonts w:ascii="Arial" w:hAnsi="Arial" w:cs="Arial" w:hint="cs"/>
          <w:sz w:val="24"/>
          <w:szCs w:val="24"/>
        </w:rPr>
        <w:t>é</w:t>
      </w:r>
      <w:r w:rsidR="007C0530" w:rsidRPr="007C0530">
        <w:rPr>
          <w:rFonts w:ascii="Arial" w:hAnsi="Arial" w:cs="Arial"/>
          <w:sz w:val="24"/>
          <w:szCs w:val="24"/>
        </w:rPr>
        <w:t>ditos outorgados praticamente n</w:t>
      </w:r>
      <w:r w:rsidR="007C0530" w:rsidRPr="007C0530">
        <w:rPr>
          <w:rFonts w:ascii="Arial" w:hAnsi="Arial" w:cs="Arial" w:hint="cs"/>
          <w:sz w:val="24"/>
          <w:szCs w:val="24"/>
        </w:rPr>
        <w:t>ã</w:t>
      </w:r>
      <w:r w:rsidR="007C0530" w:rsidRPr="007C0530">
        <w:rPr>
          <w:rFonts w:ascii="Arial" w:hAnsi="Arial" w:cs="Arial"/>
          <w:sz w:val="24"/>
          <w:szCs w:val="24"/>
        </w:rPr>
        <w:t>o</w:t>
      </w:r>
      <w:r w:rsidR="007C0530">
        <w:rPr>
          <w:rFonts w:ascii="Arial" w:hAnsi="Arial" w:cs="Arial"/>
          <w:sz w:val="24"/>
          <w:szCs w:val="24"/>
        </w:rPr>
        <w:t xml:space="preserve"> </w:t>
      </w:r>
      <w:r w:rsidR="007C0530" w:rsidRPr="007C0530">
        <w:rPr>
          <w:rFonts w:ascii="Arial" w:hAnsi="Arial" w:cs="Arial"/>
          <w:sz w:val="24"/>
          <w:szCs w:val="24"/>
        </w:rPr>
        <w:t>ter</w:t>
      </w:r>
      <w:r w:rsidR="007C0530" w:rsidRPr="007C0530">
        <w:rPr>
          <w:rFonts w:ascii="Arial" w:hAnsi="Arial" w:cs="Arial" w:hint="cs"/>
          <w:sz w:val="24"/>
          <w:szCs w:val="24"/>
        </w:rPr>
        <w:t>ã</w:t>
      </w:r>
      <w:r w:rsidR="007C0530" w:rsidRPr="007C0530">
        <w:rPr>
          <w:rFonts w:ascii="Arial" w:hAnsi="Arial" w:cs="Arial"/>
          <w:sz w:val="24"/>
          <w:szCs w:val="24"/>
        </w:rPr>
        <w:t>o ICMS a recolher.</w:t>
      </w:r>
      <w:r w:rsidR="00515D4E">
        <w:rPr>
          <w:rFonts w:ascii="Arial" w:hAnsi="Arial" w:cs="Arial"/>
          <w:sz w:val="24"/>
          <w:szCs w:val="24"/>
        </w:rPr>
        <w:t xml:space="preserve"> </w:t>
      </w:r>
      <w:r w:rsidR="007C0530" w:rsidRPr="007C0530">
        <w:rPr>
          <w:rFonts w:ascii="Arial" w:hAnsi="Arial" w:cs="Arial"/>
          <w:sz w:val="24"/>
          <w:szCs w:val="24"/>
        </w:rPr>
        <w:t>Sobre as mencionadas normas, impende ressaltar</w:t>
      </w:r>
      <w:r w:rsidR="00F30188">
        <w:rPr>
          <w:rFonts w:ascii="Arial" w:hAnsi="Arial" w:cs="Arial"/>
          <w:sz w:val="24"/>
          <w:szCs w:val="24"/>
        </w:rPr>
        <w:t xml:space="preserve"> que</w:t>
      </w:r>
      <w:r w:rsidR="007C0530" w:rsidRPr="007C0530">
        <w:rPr>
          <w:rFonts w:ascii="Arial" w:hAnsi="Arial" w:cs="Arial"/>
          <w:sz w:val="24"/>
          <w:szCs w:val="24"/>
        </w:rPr>
        <w:t>:</w:t>
      </w:r>
    </w:p>
    <w:p w14:paraId="65D9B1E4" w14:textId="77777777" w:rsidR="00567D95" w:rsidRPr="007C0530" w:rsidRDefault="00567D95" w:rsidP="00590635">
      <w:pPr>
        <w:spacing w:line="360" w:lineRule="auto"/>
        <w:ind w:firstLine="851"/>
        <w:jc w:val="both"/>
        <w:rPr>
          <w:rFonts w:ascii="Arial" w:hAnsi="Arial" w:cs="Arial"/>
          <w:sz w:val="24"/>
          <w:szCs w:val="24"/>
        </w:rPr>
      </w:pPr>
    </w:p>
    <w:p w14:paraId="278F46D7" w14:textId="38E0EA02" w:rsidR="007C0530" w:rsidRDefault="007C0530" w:rsidP="007C0530">
      <w:pPr>
        <w:spacing w:line="360" w:lineRule="auto"/>
        <w:ind w:left="851"/>
        <w:jc w:val="both"/>
        <w:rPr>
          <w:rFonts w:ascii="Arial" w:hAnsi="Arial" w:cs="Arial"/>
          <w:sz w:val="24"/>
          <w:szCs w:val="24"/>
        </w:rPr>
      </w:pPr>
      <w:r w:rsidRPr="007C0530">
        <w:rPr>
          <w:rFonts w:ascii="Arial" w:hAnsi="Arial" w:cs="Arial"/>
          <w:sz w:val="24"/>
          <w:szCs w:val="24"/>
        </w:rPr>
        <w:t xml:space="preserve">1) </w:t>
      </w:r>
      <w:r w:rsidR="00C905CE" w:rsidRPr="007C0530">
        <w:rPr>
          <w:rFonts w:ascii="Arial" w:hAnsi="Arial" w:cs="Arial"/>
          <w:sz w:val="24"/>
          <w:szCs w:val="24"/>
        </w:rPr>
        <w:t xml:space="preserve">os </w:t>
      </w:r>
      <w:r w:rsidRPr="007C0530">
        <w:rPr>
          <w:rFonts w:ascii="Arial" w:hAnsi="Arial" w:cs="Arial"/>
          <w:sz w:val="24"/>
          <w:szCs w:val="24"/>
        </w:rPr>
        <w:t>valores de cr</w:t>
      </w:r>
      <w:r w:rsidRPr="007C0530">
        <w:rPr>
          <w:rFonts w:ascii="Arial" w:hAnsi="Arial" w:cs="Arial" w:hint="cs"/>
          <w:sz w:val="24"/>
          <w:szCs w:val="24"/>
        </w:rPr>
        <w:t>é</w:t>
      </w:r>
      <w:r w:rsidRPr="007C0530">
        <w:rPr>
          <w:rFonts w:ascii="Arial" w:hAnsi="Arial" w:cs="Arial"/>
          <w:sz w:val="24"/>
          <w:szCs w:val="24"/>
        </w:rPr>
        <w:t xml:space="preserve">dito outorgado constantes na </w:t>
      </w:r>
      <w:r w:rsidRPr="007C0530">
        <w:rPr>
          <w:rFonts w:ascii="Arial" w:hAnsi="Arial" w:cs="Arial" w:hint="cs"/>
          <w:sz w:val="24"/>
          <w:szCs w:val="24"/>
        </w:rPr>
        <w:t>ú</w:t>
      </w:r>
      <w:r w:rsidRPr="007C0530">
        <w:rPr>
          <w:rFonts w:ascii="Arial" w:hAnsi="Arial" w:cs="Arial"/>
          <w:sz w:val="24"/>
          <w:szCs w:val="24"/>
        </w:rPr>
        <w:t>ltima coluna do Quadro, com exce</w:t>
      </w:r>
      <w:r w:rsidRPr="007C0530">
        <w:rPr>
          <w:rFonts w:ascii="Arial" w:hAnsi="Arial" w:cs="Arial" w:hint="cs"/>
          <w:sz w:val="24"/>
          <w:szCs w:val="24"/>
        </w:rPr>
        <w:t>çã</w:t>
      </w:r>
      <w:r w:rsidRPr="007C0530">
        <w:rPr>
          <w:rFonts w:ascii="Arial" w:hAnsi="Arial" w:cs="Arial"/>
          <w:sz w:val="24"/>
          <w:szCs w:val="24"/>
        </w:rPr>
        <w:t xml:space="preserve">o dos relativos </w:t>
      </w:r>
      <w:r w:rsidRPr="007C0530">
        <w:rPr>
          <w:rFonts w:ascii="Arial" w:hAnsi="Arial" w:cs="Arial" w:hint="cs"/>
          <w:sz w:val="24"/>
          <w:szCs w:val="24"/>
        </w:rPr>
        <w:t>à</w:t>
      </w:r>
      <w:r w:rsidRPr="007C0530">
        <w:rPr>
          <w:rFonts w:ascii="Arial" w:hAnsi="Arial" w:cs="Arial"/>
          <w:sz w:val="24"/>
          <w:szCs w:val="24"/>
        </w:rPr>
        <w:t>s Leis n</w:t>
      </w:r>
      <w:r w:rsidRPr="007C0530">
        <w:rPr>
          <w:rFonts w:ascii="Arial" w:hAnsi="Arial" w:cs="Arial" w:hint="cs"/>
          <w:sz w:val="24"/>
          <w:szCs w:val="24"/>
        </w:rPr>
        <w:t>º</w:t>
      </w:r>
      <w:r w:rsidRPr="007C0530">
        <w:rPr>
          <w:rFonts w:ascii="Arial" w:hAnsi="Arial" w:cs="Arial"/>
          <w:sz w:val="24"/>
          <w:szCs w:val="24"/>
        </w:rPr>
        <w:t xml:space="preserve"> 18.295/</w:t>
      </w:r>
      <w:r w:rsidR="009B6BDF">
        <w:rPr>
          <w:rFonts w:ascii="Arial" w:hAnsi="Arial" w:cs="Arial"/>
          <w:sz w:val="24"/>
          <w:szCs w:val="24"/>
        </w:rPr>
        <w:t>20</w:t>
      </w:r>
      <w:r w:rsidRPr="007C0530">
        <w:rPr>
          <w:rFonts w:ascii="Arial" w:hAnsi="Arial" w:cs="Arial"/>
          <w:sz w:val="24"/>
          <w:szCs w:val="24"/>
        </w:rPr>
        <w:t>13, 19.732/17 e de R$ 30.000.000,00 da Lei n</w:t>
      </w:r>
      <w:r w:rsidRPr="007C0530">
        <w:rPr>
          <w:rFonts w:ascii="Arial" w:hAnsi="Arial" w:cs="Arial" w:hint="cs"/>
          <w:sz w:val="24"/>
          <w:szCs w:val="24"/>
        </w:rPr>
        <w:t>º</w:t>
      </w:r>
      <w:r w:rsidR="005F1845">
        <w:rPr>
          <w:rFonts w:ascii="Arial" w:hAnsi="Arial" w:cs="Arial"/>
          <w:sz w:val="24"/>
          <w:szCs w:val="24"/>
        </w:rPr>
        <w:t xml:space="preserve"> 17.441/</w:t>
      </w:r>
      <w:r w:rsidR="009B6BDF">
        <w:rPr>
          <w:rFonts w:ascii="Arial" w:hAnsi="Arial" w:cs="Arial"/>
          <w:sz w:val="24"/>
          <w:szCs w:val="24"/>
        </w:rPr>
        <w:t>20</w:t>
      </w:r>
      <w:r w:rsidR="00E3206B">
        <w:rPr>
          <w:rFonts w:ascii="Arial" w:hAnsi="Arial" w:cs="Arial"/>
          <w:sz w:val="24"/>
          <w:szCs w:val="24"/>
        </w:rPr>
        <w:t>11, pode</w:t>
      </w:r>
      <w:r w:rsidRPr="007C0530">
        <w:rPr>
          <w:rFonts w:ascii="Arial" w:hAnsi="Arial" w:cs="Arial"/>
          <w:sz w:val="24"/>
          <w:szCs w:val="24"/>
        </w:rPr>
        <w:t>m ser transferidos para outro contribuinte localizado no Estado de Goi</w:t>
      </w:r>
      <w:r w:rsidRPr="007C0530">
        <w:rPr>
          <w:rFonts w:ascii="Arial" w:hAnsi="Arial" w:cs="Arial" w:hint="cs"/>
          <w:sz w:val="24"/>
          <w:szCs w:val="24"/>
        </w:rPr>
        <w:t>á</w:t>
      </w:r>
      <w:r w:rsidRPr="007C0530">
        <w:rPr>
          <w:rFonts w:ascii="Arial" w:hAnsi="Arial" w:cs="Arial"/>
          <w:sz w:val="24"/>
          <w:szCs w:val="24"/>
        </w:rPr>
        <w:t>s</w:t>
      </w:r>
      <w:r w:rsidR="00E3206B">
        <w:rPr>
          <w:rStyle w:val="Refdenotaderodap"/>
          <w:rFonts w:ascii="Arial" w:hAnsi="Arial" w:cs="Arial"/>
          <w:sz w:val="24"/>
          <w:szCs w:val="24"/>
        </w:rPr>
        <w:footnoteReference w:id="81"/>
      </w:r>
      <w:r w:rsidRPr="007C0530">
        <w:rPr>
          <w:rFonts w:ascii="Arial" w:hAnsi="Arial" w:cs="Arial"/>
          <w:sz w:val="24"/>
          <w:szCs w:val="24"/>
        </w:rPr>
        <w:t>.</w:t>
      </w:r>
    </w:p>
    <w:p w14:paraId="364BB1C0" w14:textId="2479D817" w:rsidR="007C0530" w:rsidRPr="007C0530" w:rsidRDefault="007C0530" w:rsidP="007C0530">
      <w:pPr>
        <w:spacing w:line="360" w:lineRule="auto"/>
        <w:ind w:left="851"/>
        <w:jc w:val="both"/>
        <w:rPr>
          <w:rFonts w:ascii="Arial" w:hAnsi="Arial" w:cs="Arial"/>
          <w:sz w:val="24"/>
          <w:szCs w:val="24"/>
        </w:rPr>
      </w:pPr>
      <w:r w:rsidRPr="007C0530">
        <w:rPr>
          <w:rFonts w:ascii="Arial" w:hAnsi="Arial" w:cs="Arial"/>
          <w:sz w:val="24"/>
          <w:szCs w:val="24"/>
        </w:rPr>
        <w:t xml:space="preserve">2) </w:t>
      </w:r>
      <w:r w:rsidR="00C905CE" w:rsidRPr="007C0530">
        <w:rPr>
          <w:rFonts w:ascii="Arial" w:hAnsi="Arial" w:cs="Arial"/>
          <w:sz w:val="24"/>
          <w:szCs w:val="24"/>
        </w:rPr>
        <w:t xml:space="preserve">os </w:t>
      </w:r>
      <w:r w:rsidRPr="007C0530">
        <w:rPr>
          <w:rFonts w:ascii="Arial" w:hAnsi="Arial" w:cs="Arial"/>
          <w:sz w:val="24"/>
          <w:szCs w:val="24"/>
        </w:rPr>
        <w:t>fabricantes de cerveja e chope e de ve</w:t>
      </w:r>
      <w:r w:rsidRPr="007C0530">
        <w:rPr>
          <w:rFonts w:ascii="Arial" w:hAnsi="Arial" w:cs="Arial" w:hint="cs"/>
          <w:sz w:val="24"/>
          <w:szCs w:val="24"/>
        </w:rPr>
        <w:t>í</w:t>
      </w:r>
      <w:r w:rsidRPr="007C0530">
        <w:rPr>
          <w:rFonts w:ascii="Arial" w:hAnsi="Arial" w:cs="Arial"/>
          <w:sz w:val="24"/>
          <w:szCs w:val="24"/>
        </w:rPr>
        <w:t>culos automotor benefici</w:t>
      </w:r>
      <w:r w:rsidRPr="007C0530">
        <w:rPr>
          <w:rFonts w:ascii="Arial" w:hAnsi="Arial" w:cs="Arial" w:hint="cs"/>
          <w:sz w:val="24"/>
          <w:szCs w:val="24"/>
        </w:rPr>
        <w:t>á</w:t>
      </w:r>
      <w:r w:rsidRPr="007C0530">
        <w:rPr>
          <w:rFonts w:ascii="Arial" w:hAnsi="Arial" w:cs="Arial"/>
          <w:sz w:val="24"/>
          <w:szCs w:val="24"/>
        </w:rPr>
        <w:t>rios de cr</w:t>
      </w:r>
      <w:r w:rsidRPr="007C0530">
        <w:rPr>
          <w:rFonts w:ascii="Arial" w:hAnsi="Arial" w:cs="Arial" w:hint="cs"/>
          <w:sz w:val="24"/>
          <w:szCs w:val="24"/>
        </w:rPr>
        <w:t>é</w:t>
      </w:r>
      <w:r w:rsidRPr="007C0530">
        <w:rPr>
          <w:rFonts w:ascii="Arial" w:hAnsi="Arial" w:cs="Arial"/>
          <w:sz w:val="24"/>
          <w:szCs w:val="24"/>
        </w:rPr>
        <w:t>dito outorgado est</w:t>
      </w:r>
      <w:r w:rsidRPr="007C0530">
        <w:rPr>
          <w:rFonts w:ascii="Arial" w:hAnsi="Arial" w:cs="Arial" w:hint="cs"/>
          <w:sz w:val="24"/>
          <w:szCs w:val="24"/>
        </w:rPr>
        <w:t>ã</w:t>
      </w:r>
      <w:r w:rsidRPr="007C0530">
        <w:rPr>
          <w:rFonts w:ascii="Arial" w:hAnsi="Arial" w:cs="Arial"/>
          <w:sz w:val="24"/>
          <w:szCs w:val="24"/>
        </w:rPr>
        <w:t>o dispensados do pagamento da</w:t>
      </w:r>
      <w:r>
        <w:rPr>
          <w:rFonts w:ascii="Arial" w:hAnsi="Arial" w:cs="Arial"/>
          <w:sz w:val="24"/>
          <w:szCs w:val="24"/>
        </w:rPr>
        <w:t xml:space="preserve"> </w:t>
      </w:r>
      <w:r w:rsidRPr="007C0530">
        <w:rPr>
          <w:rFonts w:ascii="Arial" w:hAnsi="Arial" w:cs="Arial"/>
          <w:sz w:val="24"/>
          <w:szCs w:val="24"/>
        </w:rPr>
        <w:t>antecipa</w:t>
      </w:r>
      <w:r w:rsidRPr="007C0530">
        <w:rPr>
          <w:rFonts w:ascii="Arial" w:hAnsi="Arial" w:cs="Arial" w:hint="cs"/>
          <w:sz w:val="24"/>
          <w:szCs w:val="24"/>
        </w:rPr>
        <w:t>çã</w:t>
      </w:r>
      <w:r w:rsidRPr="007C0530">
        <w:rPr>
          <w:rFonts w:ascii="Arial" w:hAnsi="Arial" w:cs="Arial"/>
          <w:sz w:val="24"/>
          <w:szCs w:val="24"/>
        </w:rPr>
        <w:t>o (10% sobre o valor da parcela financiada) e de presta</w:t>
      </w:r>
      <w:r w:rsidRPr="007C0530">
        <w:rPr>
          <w:rFonts w:ascii="Arial" w:hAnsi="Arial" w:cs="Arial" w:hint="cs"/>
          <w:sz w:val="24"/>
          <w:szCs w:val="24"/>
        </w:rPr>
        <w:t>çã</w:t>
      </w:r>
      <w:r w:rsidRPr="007C0530">
        <w:rPr>
          <w:rFonts w:ascii="Arial" w:hAnsi="Arial" w:cs="Arial"/>
          <w:sz w:val="24"/>
          <w:szCs w:val="24"/>
        </w:rPr>
        <w:t>o de garantia contratual relativos ao Programa PRODUZIR.</w:t>
      </w:r>
    </w:p>
    <w:p w14:paraId="10EED836" w14:textId="36620164" w:rsidR="007C0530" w:rsidRPr="007C0530" w:rsidRDefault="007C0530" w:rsidP="007C0530">
      <w:pPr>
        <w:spacing w:line="360" w:lineRule="auto"/>
        <w:ind w:left="851"/>
        <w:jc w:val="both"/>
        <w:rPr>
          <w:rFonts w:ascii="Arial" w:hAnsi="Arial" w:cs="Arial"/>
          <w:sz w:val="24"/>
          <w:szCs w:val="24"/>
        </w:rPr>
      </w:pPr>
      <w:r w:rsidRPr="007C0530">
        <w:rPr>
          <w:rFonts w:ascii="Arial" w:hAnsi="Arial" w:cs="Arial"/>
          <w:sz w:val="24"/>
          <w:szCs w:val="24"/>
        </w:rPr>
        <w:lastRenderedPageBreak/>
        <w:t xml:space="preserve">3) </w:t>
      </w:r>
      <w:r w:rsidR="00C905CE" w:rsidRPr="007C0530">
        <w:rPr>
          <w:rFonts w:ascii="Arial" w:hAnsi="Arial" w:cs="Arial"/>
          <w:sz w:val="24"/>
          <w:szCs w:val="24"/>
        </w:rPr>
        <w:t xml:space="preserve">o </w:t>
      </w:r>
      <w:r w:rsidRPr="007C0530">
        <w:rPr>
          <w:rFonts w:ascii="Arial" w:hAnsi="Arial" w:cs="Arial"/>
          <w:sz w:val="24"/>
          <w:szCs w:val="24"/>
        </w:rPr>
        <w:t>industrial de grupos geradores de energia el</w:t>
      </w:r>
      <w:r w:rsidRPr="007C0530">
        <w:rPr>
          <w:rFonts w:ascii="Arial" w:hAnsi="Arial" w:cs="Arial" w:hint="cs"/>
          <w:sz w:val="24"/>
          <w:szCs w:val="24"/>
        </w:rPr>
        <w:t>é</w:t>
      </w:r>
      <w:r w:rsidRPr="007C0530">
        <w:rPr>
          <w:rFonts w:ascii="Arial" w:hAnsi="Arial" w:cs="Arial"/>
          <w:sz w:val="24"/>
          <w:szCs w:val="24"/>
        </w:rPr>
        <w:t>trica est</w:t>
      </w:r>
      <w:r w:rsidRPr="007C0530">
        <w:rPr>
          <w:rFonts w:ascii="Arial" w:hAnsi="Arial" w:cs="Arial" w:hint="cs"/>
          <w:sz w:val="24"/>
          <w:szCs w:val="24"/>
        </w:rPr>
        <w:t>á</w:t>
      </w:r>
      <w:r w:rsidRPr="007C0530">
        <w:rPr>
          <w:rFonts w:ascii="Arial" w:hAnsi="Arial" w:cs="Arial"/>
          <w:sz w:val="24"/>
          <w:szCs w:val="24"/>
        </w:rPr>
        <w:t xml:space="preserve"> dispensado de efetuar a antecipa</w:t>
      </w:r>
      <w:r w:rsidRPr="007C0530">
        <w:rPr>
          <w:rFonts w:ascii="Arial" w:hAnsi="Arial" w:cs="Arial" w:hint="cs"/>
          <w:sz w:val="24"/>
          <w:szCs w:val="24"/>
        </w:rPr>
        <w:t>çã</w:t>
      </w:r>
      <w:r w:rsidRPr="007C0530">
        <w:rPr>
          <w:rFonts w:ascii="Arial" w:hAnsi="Arial" w:cs="Arial"/>
          <w:sz w:val="24"/>
          <w:szCs w:val="24"/>
        </w:rPr>
        <w:t>o.</w:t>
      </w:r>
    </w:p>
    <w:p w14:paraId="12283768" w14:textId="3D3E8BF1" w:rsidR="007C0530" w:rsidRDefault="007C0530" w:rsidP="007C0530">
      <w:pPr>
        <w:spacing w:line="360" w:lineRule="auto"/>
        <w:ind w:left="851"/>
        <w:jc w:val="both"/>
        <w:rPr>
          <w:rFonts w:ascii="Arial" w:hAnsi="Arial" w:cs="Arial"/>
          <w:sz w:val="24"/>
          <w:szCs w:val="24"/>
        </w:rPr>
      </w:pPr>
      <w:r w:rsidRPr="007C0530">
        <w:rPr>
          <w:rFonts w:ascii="Arial" w:hAnsi="Arial" w:cs="Arial"/>
          <w:sz w:val="24"/>
          <w:szCs w:val="24"/>
        </w:rPr>
        <w:t xml:space="preserve">4) </w:t>
      </w:r>
      <w:r w:rsidR="00C905CE" w:rsidRPr="007C0530">
        <w:rPr>
          <w:rFonts w:ascii="Arial" w:hAnsi="Arial" w:cs="Arial"/>
          <w:sz w:val="24"/>
          <w:szCs w:val="24"/>
        </w:rPr>
        <w:t xml:space="preserve">a </w:t>
      </w:r>
      <w:r w:rsidRPr="007C0530">
        <w:rPr>
          <w:rFonts w:ascii="Arial" w:hAnsi="Arial" w:cs="Arial"/>
          <w:sz w:val="24"/>
          <w:szCs w:val="24"/>
        </w:rPr>
        <w:t>unidade industrial de ve</w:t>
      </w:r>
      <w:r w:rsidRPr="007C0530">
        <w:rPr>
          <w:rFonts w:ascii="Arial" w:hAnsi="Arial" w:cs="Arial" w:hint="cs"/>
          <w:sz w:val="24"/>
          <w:szCs w:val="24"/>
        </w:rPr>
        <w:t>í</w:t>
      </w:r>
      <w:r w:rsidRPr="007C0530">
        <w:rPr>
          <w:rFonts w:ascii="Arial" w:hAnsi="Arial" w:cs="Arial"/>
          <w:sz w:val="24"/>
          <w:szCs w:val="24"/>
        </w:rPr>
        <w:t>culo automotor n</w:t>
      </w:r>
      <w:r w:rsidRPr="007C0530">
        <w:rPr>
          <w:rFonts w:ascii="Arial" w:hAnsi="Arial" w:cs="Arial" w:hint="cs"/>
          <w:sz w:val="24"/>
          <w:szCs w:val="24"/>
        </w:rPr>
        <w:t>ã</w:t>
      </w:r>
      <w:r w:rsidRPr="007C0530">
        <w:rPr>
          <w:rFonts w:ascii="Arial" w:hAnsi="Arial" w:cs="Arial"/>
          <w:sz w:val="24"/>
          <w:szCs w:val="24"/>
        </w:rPr>
        <w:t>o precisa aplicar o montante do desconto obtido no financiamento do Programa</w:t>
      </w:r>
      <w:r w:rsidR="00C905CE">
        <w:rPr>
          <w:rFonts w:ascii="Arial" w:hAnsi="Arial" w:cs="Arial"/>
          <w:sz w:val="24"/>
          <w:szCs w:val="24"/>
        </w:rPr>
        <w:t xml:space="preserve"> </w:t>
      </w:r>
      <w:r w:rsidRPr="007C0530">
        <w:rPr>
          <w:rFonts w:ascii="Arial" w:hAnsi="Arial" w:cs="Arial"/>
          <w:sz w:val="24"/>
          <w:szCs w:val="24"/>
        </w:rPr>
        <w:t>PRODUZIR em amplia</w:t>
      </w:r>
      <w:r w:rsidRPr="007C0530">
        <w:rPr>
          <w:rFonts w:ascii="Arial" w:hAnsi="Arial" w:cs="Arial" w:hint="cs"/>
          <w:sz w:val="24"/>
          <w:szCs w:val="24"/>
        </w:rPr>
        <w:t>çã</w:t>
      </w:r>
      <w:r w:rsidRPr="007C0530">
        <w:rPr>
          <w:rFonts w:ascii="Arial" w:hAnsi="Arial" w:cs="Arial"/>
          <w:sz w:val="24"/>
          <w:szCs w:val="24"/>
        </w:rPr>
        <w:t>o e moderniza</w:t>
      </w:r>
      <w:r w:rsidRPr="007C0530">
        <w:rPr>
          <w:rFonts w:ascii="Arial" w:hAnsi="Arial" w:cs="Arial" w:hint="cs"/>
          <w:sz w:val="24"/>
          <w:szCs w:val="24"/>
        </w:rPr>
        <w:t>çã</w:t>
      </w:r>
      <w:r w:rsidRPr="007C0530">
        <w:rPr>
          <w:rFonts w:ascii="Arial" w:hAnsi="Arial" w:cs="Arial"/>
          <w:sz w:val="24"/>
          <w:szCs w:val="24"/>
        </w:rPr>
        <w:t>o do parque industrial (subven</w:t>
      </w:r>
      <w:r w:rsidRPr="007C0530">
        <w:rPr>
          <w:rFonts w:ascii="Arial" w:hAnsi="Arial" w:cs="Arial" w:hint="cs"/>
          <w:sz w:val="24"/>
          <w:szCs w:val="24"/>
        </w:rPr>
        <w:t>çã</w:t>
      </w:r>
      <w:r w:rsidRPr="007C0530">
        <w:rPr>
          <w:rFonts w:ascii="Arial" w:hAnsi="Arial" w:cs="Arial"/>
          <w:sz w:val="24"/>
          <w:szCs w:val="24"/>
        </w:rPr>
        <w:t xml:space="preserve">o para investimento), podendo destinar o valor aos fins que convierem </w:t>
      </w:r>
      <w:r w:rsidRPr="007C0530">
        <w:rPr>
          <w:rFonts w:ascii="Arial" w:hAnsi="Arial" w:cs="Arial" w:hint="cs"/>
          <w:sz w:val="24"/>
          <w:szCs w:val="24"/>
        </w:rPr>
        <w:t>à</w:t>
      </w:r>
      <w:r w:rsidRPr="007C0530">
        <w:rPr>
          <w:rFonts w:ascii="Arial" w:hAnsi="Arial" w:cs="Arial"/>
          <w:sz w:val="24"/>
          <w:szCs w:val="24"/>
        </w:rPr>
        <w:t xml:space="preserve"> empresa</w:t>
      </w:r>
      <w:r w:rsidR="00C905CE">
        <w:rPr>
          <w:rFonts w:ascii="Arial" w:hAnsi="Arial" w:cs="Arial"/>
          <w:sz w:val="24"/>
          <w:szCs w:val="24"/>
        </w:rPr>
        <w:t xml:space="preserve"> </w:t>
      </w:r>
      <w:r w:rsidRPr="007C0530">
        <w:rPr>
          <w:rFonts w:ascii="Arial" w:hAnsi="Arial" w:cs="Arial"/>
          <w:sz w:val="24"/>
          <w:szCs w:val="24"/>
        </w:rPr>
        <w:t>e</w:t>
      </w:r>
      <w:r w:rsidR="00AC685F">
        <w:rPr>
          <w:rFonts w:ascii="Arial" w:hAnsi="Arial" w:cs="Arial"/>
          <w:sz w:val="24"/>
          <w:szCs w:val="24"/>
        </w:rPr>
        <w:t xml:space="preserve"> a</w:t>
      </w:r>
      <w:r w:rsidRPr="007C0530">
        <w:rPr>
          <w:rFonts w:ascii="Arial" w:hAnsi="Arial" w:cs="Arial"/>
          <w:sz w:val="24"/>
          <w:szCs w:val="24"/>
        </w:rPr>
        <w:t xml:space="preserve"> seus acionistas.</w:t>
      </w:r>
    </w:p>
    <w:p w14:paraId="6FFEB382" w14:textId="18125012" w:rsidR="00285E4B" w:rsidRDefault="00285E4B" w:rsidP="007C0530">
      <w:pPr>
        <w:spacing w:line="360" w:lineRule="auto"/>
        <w:ind w:left="851"/>
        <w:jc w:val="both"/>
        <w:rPr>
          <w:rFonts w:ascii="Arial" w:hAnsi="Arial" w:cs="Arial"/>
          <w:sz w:val="24"/>
          <w:szCs w:val="24"/>
        </w:rPr>
      </w:pPr>
    </w:p>
    <w:p w14:paraId="1196744B" w14:textId="5F76E233" w:rsidR="007345D2" w:rsidRDefault="007345D2" w:rsidP="007345D2">
      <w:pPr>
        <w:spacing w:line="360" w:lineRule="auto"/>
        <w:ind w:firstLine="851"/>
        <w:jc w:val="both"/>
        <w:rPr>
          <w:rFonts w:ascii="Arial" w:hAnsi="Arial" w:cs="Arial"/>
          <w:sz w:val="24"/>
          <w:szCs w:val="24"/>
        </w:rPr>
      </w:pPr>
      <w:r>
        <w:rPr>
          <w:rFonts w:ascii="Arial" w:hAnsi="Arial" w:cs="Arial"/>
          <w:sz w:val="24"/>
          <w:szCs w:val="24"/>
        </w:rPr>
        <w:t xml:space="preserve">Portanto, esta CPI entende que </w:t>
      </w:r>
      <w:r w:rsidRPr="007345D2">
        <w:rPr>
          <w:rFonts w:ascii="Arial" w:hAnsi="Arial" w:cs="Arial"/>
          <w:b/>
          <w:sz w:val="24"/>
          <w:szCs w:val="24"/>
        </w:rPr>
        <w:t>na lei geral de incentivos fiscais, a ser aprovada nesta Casa de Leis, seja limitado o direito à acumulação de incentivos fiscais de diferentes espécies com aqueles inerentes aos programas FOMENTAR e PRODUZIR</w:t>
      </w:r>
      <w:r>
        <w:rPr>
          <w:rFonts w:ascii="Arial" w:hAnsi="Arial" w:cs="Arial"/>
          <w:sz w:val="24"/>
          <w:szCs w:val="24"/>
        </w:rPr>
        <w:t>, ou ao menos previstos critérios objetivos e técnicos</w:t>
      </w:r>
      <w:r w:rsidR="00226A08">
        <w:rPr>
          <w:rFonts w:ascii="Arial" w:hAnsi="Arial" w:cs="Arial"/>
          <w:sz w:val="24"/>
          <w:szCs w:val="24"/>
        </w:rPr>
        <w:t xml:space="preserve"> para referida cumulação, notadamente a prévia avaliação de que trata o inciso III do art. 45 da LC nº 138/2018 e acerca dos requisitos exigidos até então, seguido de conclusão fundamentada da autoridade competente nesse sentido. </w:t>
      </w:r>
    </w:p>
    <w:p w14:paraId="0D92CAAF" w14:textId="77777777" w:rsidR="007345D2" w:rsidRDefault="007345D2" w:rsidP="007345D2">
      <w:pPr>
        <w:spacing w:line="360" w:lineRule="auto"/>
        <w:ind w:firstLine="851"/>
        <w:jc w:val="both"/>
        <w:rPr>
          <w:rFonts w:ascii="Arial" w:hAnsi="Arial" w:cs="Arial"/>
          <w:sz w:val="24"/>
          <w:szCs w:val="24"/>
        </w:rPr>
      </w:pPr>
    </w:p>
    <w:p w14:paraId="1AF37F1B" w14:textId="77777777" w:rsidR="002374D7" w:rsidRPr="00AE57E1" w:rsidRDefault="002374D7" w:rsidP="002374D7">
      <w:pPr>
        <w:spacing w:line="360" w:lineRule="auto"/>
        <w:ind w:firstLine="851"/>
        <w:jc w:val="both"/>
        <w:rPr>
          <w:rFonts w:ascii="Arial" w:hAnsi="Arial" w:cs="Arial"/>
          <w:b/>
          <w:sz w:val="24"/>
          <w:szCs w:val="24"/>
        </w:rPr>
      </w:pPr>
      <w:r w:rsidRPr="00AE57E1">
        <w:rPr>
          <w:rFonts w:ascii="Arial" w:hAnsi="Arial" w:cs="Arial"/>
          <w:b/>
          <w:sz w:val="24"/>
          <w:szCs w:val="24"/>
        </w:rPr>
        <w:t>7.7 – TRANSFERÊNCIA/CESSÃO DE CRÉDITOS A TERCEIROS</w:t>
      </w:r>
    </w:p>
    <w:p w14:paraId="0A5FE8A8" w14:textId="77777777" w:rsidR="002374D7" w:rsidRPr="00AE57E1" w:rsidRDefault="002374D7" w:rsidP="002374D7">
      <w:pPr>
        <w:spacing w:line="360" w:lineRule="auto"/>
        <w:ind w:firstLine="851"/>
        <w:jc w:val="both"/>
        <w:rPr>
          <w:rFonts w:ascii="Arial" w:hAnsi="Arial" w:cs="Arial"/>
          <w:b/>
          <w:sz w:val="24"/>
          <w:szCs w:val="24"/>
        </w:rPr>
      </w:pPr>
    </w:p>
    <w:p w14:paraId="1C6D3133" w14:textId="77777777" w:rsidR="002374D7" w:rsidRPr="00AE57E1" w:rsidRDefault="002374D7" w:rsidP="002374D7">
      <w:pPr>
        <w:spacing w:line="360" w:lineRule="auto"/>
        <w:ind w:firstLine="851"/>
        <w:jc w:val="both"/>
        <w:rPr>
          <w:rFonts w:ascii="Arial" w:hAnsi="Arial" w:cs="Arial"/>
          <w:b/>
          <w:sz w:val="24"/>
          <w:szCs w:val="24"/>
          <w:u w:val="single"/>
        </w:rPr>
      </w:pPr>
      <w:r w:rsidRPr="00AE57E1">
        <w:rPr>
          <w:rFonts w:ascii="Arial" w:hAnsi="Arial" w:cs="Arial"/>
          <w:b/>
          <w:sz w:val="24"/>
          <w:szCs w:val="24"/>
          <w:u w:val="single"/>
        </w:rPr>
        <w:t>7.7.1 – Créditos decorrentes da não cumulatividade x crédito outorgado</w:t>
      </w:r>
    </w:p>
    <w:p w14:paraId="240545E6" w14:textId="77777777" w:rsidR="002374D7" w:rsidRPr="00AE57E1" w:rsidRDefault="002374D7" w:rsidP="002374D7">
      <w:pPr>
        <w:spacing w:line="360" w:lineRule="auto"/>
        <w:ind w:firstLine="851"/>
        <w:jc w:val="both"/>
        <w:rPr>
          <w:rFonts w:ascii="Arial" w:hAnsi="Arial" w:cs="Arial"/>
          <w:sz w:val="24"/>
          <w:szCs w:val="24"/>
        </w:rPr>
      </w:pPr>
    </w:p>
    <w:p w14:paraId="79575042" w14:textId="77777777" w:rsidR="002374D7" w:rsidRPr="00AE57E1" w:rsidRDefault="002374D7" w:rsidP="002374D7">
      <w:pPr>
        <w:spacing w:line="360" w:lineRule="auto"/>
        <w:ind w:firstLine="851"/>
        <w:jc w:val="both"/>
        <w:rPr>
          <w:rFonts w:ascii="Arial" w:hAnsi="Arial" w:cs="Arial"/>
          <w:sz w:val="24"/>
          <w:szCs w:val="24"/>
        </w:rPr>
      </w:pPr>
      <w:r w:rsidRPr="00AE57E1">
        <w:rPr>
          <w:rFonts w:ascii="Arial" w:hAnsi="Arial" w:cs="Arial"/>
          <w:sz w:val="24"/>
          <w:szCs w:val="24"/>
        </w:rPr>
        <w:t xml:space="preserve">Conforme mencionado na introdução deste capítulo (item 7.1), </w:t>
      </w:r>
      <w:r w:rsidRPr="00AE57E1">
        <w:rPr>
          <w:rFonts w:ascii="Arial" w:hAnsi="Arial" w:cs="Arial"/>
          <w:b/>
          <w:sz w:val="24"/>
          <w:szCs w:val="24"/>
        </w:rPr>
        <w:t xml:space="preserve">não se pode confundir </w:t>
      </w:r>
      <w:r w:rsidRPr="00AE57E1">
        <w:rPr>
          <w:rFonts w:ascii="Arial" w:hAnsi="Arial" w:cs="Arial"/>
          <w:sz w:val="24"/>
          <w:szCs w:val="24"/>
        </w:rPr>
        <w:t xml:space="preserve">o </w:t>
      </w:r>
      <w:r w:rsidRPr="00AE57E1">
        <w:rPr>
          <w:rFonts w:ascii="Arial" w:hAnsi="Arial" w:cs="Arial"/>
          <w:sz w:val="24"/>
          <w:szCs w:val="24"/>
          <w:u w:val="single"/>
        </w:rPr>
        <w:t>crédito decorrente da não cumulatividade do ICMS (crédito natural)</w:t>
      </w:r>
      <w:r w:rsidRPr="00AE57E1">
        <w:rPr>
          <w:rFonts w:ascii="Arial" w:hAnsi="Arial" w:cs="Arial"/>
          <w:sz w:val="24"/>
          <w:szCs w:val="24"/>
        </w:rPr>
        <w:t>, previsto no art. 155, II c/c § 2º, I, da CRFB, com aquele denominado “</w:t>
      </w:r>
      <w:r w:rsidRPr="00AE57E1">
        <w:rPr>
          <w:rFonts w:ascii="Arial" w:hAnsi="Arial" w:cs="Arial"/>
          <w:sz w:val="24"/>
          <w:szCs w:val="24"/>
          <w:u w:val="single"/>
        </w:rPr>
        <w:t>crédito outorgado</w:t>
      </w:r>
      <w:r w:rsidRPr="00AE57E1">
        <w:rPr>
          <w:rFonts w:ascii="Arial" w:hAnsi="Arial" w:cs="Arial"/>
          <w:sz w:val="24"/>
          <w:szCs w:val="24"/>
        </w:rPr>
        <w:t>” (crédito artificial), previsto na legislação estadual.</w:t>
      </w:r>
    </w:p>
    <w:p w14:paraId="25AEEDA9" w14:textId="77777777" w:rsidR="002374D7" w:rsidRPr="00FC4E46" w:rsidRDefault="002374D7" w:rsidP="002374D7">
      <w:pPr>
        <w:spacing w:line="360" w:lineRule="auto"/>
        <w:ind w:firstLine="851"/>
        <w:jc w:val="both"/>
        <w:rPr>
          <w:rFonts w:ascii="Arial" w:hAnsi="Arial" w:cs="Arial"/>
          <w:sz w:val="24"/>
          <w:szCs w:val="24"/>
        </w:rPr>
      </w:pPr>
      <w:r w:rsidRPr="00FC4E46">
        <w:rPr>
          <w:rFonts w:ascii="Arial" w:hAnsi="Arial" w:cs="Arial"/>
          <w:sz w:val="24"/>
          <w:szCs w:val="24"/>
        </w:rPr>
        <w:t>O crédito natural do ICMS é aquele que nasce diretamente da concretização da sua hipótese de incidência, qual seja: realização de operações (negócio jurídico) de circulação (mudança de domínio) de mercadorias (bem móvel objeto de mercancia) e serviços (prestação) de telecomunicações e transporte.</w:t>
      </w:r>
    </w:p>
    <w:p w14:paraId="42E045A2" w14:textId="77777777" w:rsidR="002374D7" w:rsidRPr="00FC4E46" w:rsidRDefault="002374D7" w:rsidP="002374D7">
      <w:pPr>
        <w:spacing w:line="360" w:lineRule="auto"/>
        <w:ind w:firstLine="851"/>
        <w:jc w:val="both"/>
        <w:rPr>
          <w:rFonts w:ascii="Arial" w:hAnsi="Arial" w:cs="Arial"/>
          <w:sz w:val="24"/>
          <w:szCs w:val="24"/>
        </w:rPr>
      </w:pPr>
      <w:r w:rsidRPr="00FC4E46">
        <w:rPr>
          <w:rFonts w:ascii="Arial" w:hAnsi="Arial" w:cs="Arial"/>
          <w:sz w:val="24"/>
          <w:szCs w:val="24"/>
        </w:rPr>
        <w:t>Já o crédito artificial do ICMS, também conhecido por outorgado, nada tem a ver com o fato gerador do imposto, sendo fruto de uma ficção jurídica que presume a existência de determinado valor, resultante da aplicação de certo percentual sobre o valor do ICMS regularmente apurado, usado como parcela a ser deduzida do imposto devido em condições normais de apuração.</w:t>
      </w:r>
    </w:p>
    <w:p w14:paraId="30DC3E81" w14:textId="77777777" w:rsidR="002374D7" w:rsidRPr="00FC4E46" w:rsidRDefault="002374D7" w:rsidP="002374D7">
      <w:pPr>
        <w:spacing w:line="360" w:lineRule="auto"/>
        <w:ind w:firstLine="851"/>
        <w:jc w:val="both"/>
        <w:rPr>
          <w:rFonts w:ascii="Arial" w:hAnsi="Arial" w:cs="Arial"/>
          <w:sz w:val="24"/>
          <w:szCs w:val="24"/>
        </w:rPr>
      </w:pPr>
      <w:r w:rsidRPr="00FC4E46">
        <w:rPr>
          <w:rFonts w:ascii="Arial" w:hAnsi="Arial" w:cs="Arial"/>
          <w:sz w:val="24"/>
          <w:szCs w:val="24"/>
        </w:rPr>
        <w:lastRenderedPageBreak/>
        <w:t>Assim sendo, o crédito outorgado não resulta da entrada no estabelecimento de mercadoria ou serviço que sofreu tributação anterior, mas sim de método artificial de geração de parcelas dedutíveis do ICMS, permitindo que o sujeito passivo reduza a respectiva carga tributária, apoiado em algum modelo de benefício ou incentivo fiscal concedido pelo Estado.</w:t>
      </w:r>
    </w:p>
    <w:p w14:paraId="0C56AEDD" w14:textId="26A13579" w:rsidR="002374D7" w:rsidRPr="00AE57E1" w:rsidRDefault="002374D7" w:rsidP="002374D7">
      <w:pPr>
        <w:spacing w:line="360" w:lineRule="auto"/>
        <w:ind w:firstLine="851"/>
        <w:jc w:val="both"/>
        <w:rPr>
          <w:rFonts w:ascii="Arial" w:hAnsi="Arial" w:cs="Arial"/>
          <w:sz w:val="24"/>
          <w:szCs w:val="24"/>
        </w:rPr>
      </w:pPr>
      <w:r w:rsidRPr="00AE57E1">
        <w:rPr>
          <w:rFonts w:ascii="Arial" w:hAnsi="Arial" w:cs="Arial"/>
          <w:b/>
          <w:sz w:val="24"/>
          <w:szCs w:val="24"/>
        </w:rPr>
        <w:t xml:space="preserve">No primeiro caso, trata-se de direito legítimo do contribuinte a acumulação do crédito em sua escrita fiscal e </w:t>
      </w:r>
      <w:r w:rsidRPr="00152E7A">
        <w:rPr>
          <w:rFonts w:ascii="Arial" w:hAnsi="Arial" w:cs="Arial"/>
          <w:b/>
          <w:sz w:val="24"/>
          <w:szCs w:val="24"/>
        </w:rPr>
        <w:t>sua eventual cessão</w:t>
      </w:r>
      <w:r w:rsidRPr="00AE57E1">
        <w:rPr>
          <w:rFonts w:ascii="Arial" w:hAnsi="Arial" w:cs="Arial"/>
          <w:b/>
          <w:sz w:val="24"/>
          <w:szCs w:val="24"/>
        </w:rPr>
        <w:t xml:space="preserve"> a terceiros</w:t>
      </w:r>
      <w:r w:rsidRPr="00AE57E1">
        <w:rPr>
          <w:rFonts w:ascii="Arial" w:hAnsi="Arial" w:cs="Arial"/>
          <w:sz w:val="24"/>
          <w:szCs w:val="24"/>
        </w:rPr>
        <w:t xml:space="preserve">, porque há lastro comercial concreto na operação e o contribuinte, por conseguinte, pagou por aquela mercadoria ou serviço. Cite-se, como exemplo, </w:t>
      </w:r>
      <w:r w:rsidRPr="00AE57E1">
        <w:rPr>
          <w:rFonts w:ascii="Arial" w:hAnsi="Arial" w:cs="Arial"/>
          <w:sz w:val="24"/>
          <w:szCs w:val="24"/>
          <w:u w:val="single"/>
        </w:rPr>
        <w:t>o caso de um estabelecimento que, ao longo do mês, adquire insumos para sua atividade no total de R$ 30.000,00 (trinta mil reais)</w:t>
      </w:r>
      <w:r w:rsidRPr="00AE57E1">
        <w:rPr>
          <w:rFonts w:ascii="Arial" w:hAnsi="Arial" w:cs="Arial"/>
          <w:sz w:val="24"/>
          <w:szCs w:val="24"/>
        </w:rPr>
        <w:t>; o contribuinte paga nesse valor já embutido o ICMS, cuja sistemática de cálculo se faz “por dentro”.</w:t>
      </w:r>
    </w:p>
    <w:p w14:paraId="747EF926" w14:textId="77777777" w:rsidR="002374D7" w:rsidRPr="00AE57E1" w:rsidRDefault="002374D7" w:rsidP="002374D7">
      <w:pPr>
        <w:spacing w:line="360" w:lineRule="auto"/>
        <w:ind w:firstLine="851"/>
        <w:jc w:val="both"/>
        <w:rPr>
          <w:rFonts w:ascii="Arial" w:hAnsi="Arial" w:cs="Arial"/>
          <w:sz w:val="24"/>
          <w:szCs w:val="24"/>
        </w:rPr>
      </w:pPr>
      <w:r w:rsidRPr="00AE57E1">
        <w:rPr>
          <w:rFonts w:ascii="Arial" w:hAnsi="Arial" w:cs="Arial"/>
          <w:sz w:val="24"/>
          <w:szCs w:val="24"/>
        </w:rPr>
        <w:t xml:space="preserve">Assim, essa aquisição de insumos gera ao mencionado estabelecimento, considerando uma alíquota hipotética de 17% (dezessete por cento), o direito a crédito no valor de R$ 5.100,00 (cinco mil e cem reais), o qual poderá legitimamente, a critério do contribuinte, como decorrência da própria não cumulatividade do imposto, tanto ser deduzido das </w:t>
      </w:r>
      <w:r w:rsidRPr="00FC4E46">
        <w:rPr>
          <w:rFonts w:ascii="Arial" w:hAnsi="Arial" w:cs="Arial"/>
          <w:sz w:val="24"/>
          <w:szCs w:val="24"/>
        </w:rPr>
        <w:t>prestações ou operações posteriores em sua escrita fiscal como transferido a terceiros, porquanto</w:t>
      </w:r>
      <w:r w:rsidRPr="00AE57E1">
        <w:rPr>
          <w:rFonts w:ascii="Arial" w:hAnsi="Arial" w:cs="Arial"/>
          <w:sz w:val="24"/>
          <w:szCs w:val="24"/>
        </w:rPr>
        <w:t xml:space="preserve"> existente lastro comercial suficiente a embasar o aproveitamento do aludido crédito.</w:t>
      </w:r>
    </w:p>
    <w:p w14:paraId="46290EBB" w14:textId="3A3C8064" w:rsidR="002374D7" w:rsidRPr="00AE57E1" w:rsidRDefault="002374D7" w:rsidP="002374D7">
      <w:pPr>
        <w:spacing w:line="360" w:lineRule="auto"/>
        <w:ind w:firstLine="851"/>
        <w:jc w:val="both"/>
        <w:rPr>
          <w:rFonts w:ascii="Arial" w:hAnsi="Arial" w:cs="Arial"/>
          <w:sz w:val="24"/>
          <w:szCs w:val="24"/>
        </w:rPr>
      </w:pPr>
      <w:r w:rsidRPr="00AE57E1">
        <w:rPr>
          <w:rFonts w:ascii="Arial" w:hAnsi="Arial" w:cs="Arial"/>
          <w:b/>
          <w:sz w:val="24"/>
          <w:szCs w:val="24"/>
        </w:rPr>
        <w:t xml:space="preserve">No segundo </w:t>
      </w:r>
      <w:r w:rsidRPr="009A58DD">
        <w:rPr>
          <w:rFonts w:ascii="Arial" w:hAnsi="Arial" w:cs="Arial"/>
          <w:b/>
          <w:sz w:val="24"/>
          <w:szCs w:val="24"/>
        </w:rPr>
        <w:t>caso</w:t>
      </w:r>
      <w:r w:rsidRPr="007A673D">
        <w:rPr>
          <w:rFonts w:ascii="Arial" w:hAnsi="Arial" w:cs="Arial"/>
          <w:b/>
          <w:sz w:val="24"/>
          <w:szCs w:val="24"/>
        </w:rPr>
        <w:t xml:space="preserve">, </w:t>
      </w:r>
      <w:r w:rsidRPr="009A58DD">
        <w:rPr>
          <w:rFonts w:ascii="Arial" w:hAnsi="Arial" w:cs="Arial"/>
          <w:b/>
          <w:sz w:val="24"/>
          <w:szCs w:val="24"/>
        </w:rPr>
        <w:t>há de se fazer uma distinção</w:t>
      </w:r>
      <w:r w:rsidRPr="009A58DD">
        <w:rPr>
          <w:rFonts w:ascii="Arial" w:hAnsi="Arial" w:cs="Arial"/>
          <w:sz w:val="24"/>
          <w:szCs w:val="24"/>
        </w:rPr>
        <w:t>: tendo em vista que o crédito outorgado consiste em um incentivo fiscal concedido pelo Estado, não há lastro</w:t>
      </w:r>
      <w:r w:rsidRPr="00AE57E1">
        <w:rPr>
          <w:rFonts w:ascii="Arial" w:hAnsi="Arial" w:cs="Arial"/>
          <w:sz w:val="24"/>
          <w:szCs w:val="24"/>
        </w:rPr>
        <w:t xml:space="preserve"> comercial para o aproveitamento do benefício. </w:t>
      </w:r>
      <w:r>
        <w:rPr>
          <w:rFonts w:ascii="Arial" w:hAnsi="Arial" w:cs="Arial"/>
          <w:sz w:val="24"/>
          <w:szCs w:val="24"/>
        </w:rPr>
        <w:t>U</w:t>
      </w:r>
      <w:r w:rsidRPr="00AE57E1">
        <w:rPr>
          <w:rFonts w:ascii="Arial" w:hAnsi="Arial" w:cs="Arial"/>
          <w:sz w:val="24"/>
          <w:szCs w:val="24"/>
        </w:rPr>
        <w:t xml:space="preserve">m sistema tributário coerente </w:t>
      </w:r>
      <w:r>
        <w:rPr>
          <w:rFonts w:ascii="Arial" w:hAnsi="Arial" w:cs="Arial"/>
          <w:sz w:val="24"/>
          <w:szCs w:val="24"/>
        </w:rPr>
        <w:t>pressupõe que</w:t>
      </w:r>
      <w:r w:rsidRPr="00AE57E1">
        <w:rPr>
          <w:rFonts w:ascii="Arial" w:hAnsi="Arial" w:cs="Arial"/>
          <w:sz w:val="24"/>
          <w:szCs w:val="24"/>
        </w:rPr>
        <w:t xml:space="preserve"> o crédito outorgado </w:t>
      </w:r>
      <w:r>
        <w:rPr>
          <w:rFonts w:ascii="Arial" w:hAnsi="Arial" w:cs="Arial"/>
          <w:sz w:val="24"/>
          <w:szCs w:val="24"/>
        </w:rPr>
        <w:t xml:space="preserve">seja concebido como </w:t>
      </w:r>
      <w:r w:rsidRPr="00AE57E1">
        <w:rPr>
          <w:rFonts w:ascii="Arial" w:hAnsi="Arial" w:cs="Arial"/>
          <w:sz w:val="24"/>
          <w:szCs w:val="24"/>
        </w:rPr>
        <w:t>um benefício para uso específico do contribuinte, isto é, um incentivo a ser aplicado e escriturado para dedução do ICMS a pagar de suas operações regulares; assim, a possibilidade de transferência ou cessão onerosa desse crédito a terceiros constitui uma deformação desse sistema, na medida em que permite às empresas beneficiadas fazer “caixa” com dinheiro público.</w:t>
      </w:r>
    </w:p>
    <w:p w14:paraId="5BCB76D5" w14:textId="5FC0588A" w:rsidR="002374D7" w:rsidRPr="009A58DD" w:rsidRDefault="003360AB" w:rsidP="002374D7">
      <w:pPr>
        <w:spacing w:line="360" w:lineRule="auto"/>
        <w:ind w:firstLine="851"/>
        <w:jc w:val="both"/>
        <w:rPr>
          <w:rFonts w:ascii="Arial" w:hAnsi="Arial" w:cs="Arial"/>
          <w:sz w:val="24"/>
          <w:szCs w:val="24"/>
        </w:rPr>
      </w:pPr>
      <w:r>
        <w:rPr>
          <w:rFonts w:ascii="Arial" w:hAnsi="Arial" w:cs="Arial"/>
          <w:sz w:val="24"/>
          <w:szCs w:val="24"/>
        </w:rPr>
        <w:t>O crédito natural do ICMS se</w:t>
      </w:r>
      <w:r w:rsidR="002374D7" w:rsidRPr="009A58DD">
        <w:rPr>
          <w:rFonts w:ascii="Arial" w:hAnsi="Arial" w:cs="Arial"/>
          <w:sz w:val="24"/>
          <w:szCs w:val="24"/>
        </w:rPr>
        <w:t xml:space="preserve"> submete por completo aos princípios e limitações do poder de tributar, dentre quais destacamos o princípio da não cumulatividade do ICMS, que, em suma, significa que esse imposto não será cumulativo, compensando-se o que for devido em cada operação com o montante cobrado nas operações anteriores.</w:t>
      </w:r>
    </w:p>
    <w:p w14:paraId="279AB1FB" w14:textId="77777777" w:rsidR="002374D7" w:rsidRPr="009A58DD" w:rsidRDefault="002374D7" w:rsidP="002374D7">
      <w:pPr>
        <w:spacing w:line="360" w:lineRule="auto"/>
        <w:ind w:firstLine="851"/>
        <w:jc w:val="both"/>
        <w:rPr>
          <w:rFonts w:ascii="Arial" w:hAnsi="Arial" w:cs="Arial"/>
          <w:sz w:val="24"/>
          <w:szCs w:val="24"/>
        </w:rPr>
      </w:pPr>
      <w:r w:rsidRPr="009A58DD">
        <w:rPr>
          <w:rFonts w:ascii="Arial" w:hAnsi="Arial" w:cs="Arial"/>
          <w:sz w:val="24"/>
          <w:szCs w:val="24"/>
        </w:rPr>
        <w:lastRenderedPageBreak/>
        <w:t>A transferência do ICMS destacado na operação anterior para o próximo da cadeia de consumo, que por sua vez o utiliza para compensar o ICMS que será pelo mesmo devido em futuras operações e prestações, consiste, ordinariamente, na maneira de conferir efetividade ao princípio da não cumulatividade desse imposto.</w:t>
      </w:r>
    </w:p>
    <w:p w14:paraId="74AAB389" w14:textId="14323F8F" w:rsidR="002374D7" w:rsidRPr="009A58DD" w:rsidRDefault="002374D7" w:rsidP="002374D7">
      <w:pPr>
        <w:spacing w:line="360" w:lineRule="auto"/>
        <w:ind w:firstLine="851"/>
        <w:jc w:val="both"/>
        <w:rPr>
          <w:rFonts w:ascii="Arial" w:hAnsi="Arial" w:cs="Arial"/>
          <w:sz w:val="24"/>
          <w:szCs w:val="24"/>
        </w:rPr>
      </w:pPr>
      <w:r w:rsidRPr="009A58DD">
        <w:rPr>
          <w:rFonts w:ascii="Arial" w:hAnsi="Arial" w:cs="Arial"/>
          <w:sz w:val="24"/>
          <w:szCs w:val="24"/>
        </w:rPr>
        <w:t>O crédito natural do ICMS pode e deve ser tratado como um ativo da empresa, e, sendo assim, razoável o direito do proprietário em alienar a terceiros o</w:t>
      </w:r>
      <w:r w:rsidR="00C94885">
        <w:rPr>
          <w:rFonts w:ascii="Arial" w:hAnsi="Arial" w:cs="Arial"/>
          <w:sz w:val="24"/>
          <w:szCs w:val="24"/>
        </w:rPr>
        <w:t xml:space="preserve"> </w:t>
      </w:r>
      <w:r w:rsidR="00C94885" w:rsidRPr="007A673D">
        <w:rPr>
          <w:rFonts w:ascii="Arial" w:hAnsi="Arial" w:cs="Arial"/>
          <w:sz w:val="24"/>
          <w:szCs w:val="24"/>
        </w:rPr>
        <w:t>crédito de</w:t>
      </w:r>
      <w:r w:rsidRPr="009A58DD">
        <w:rPr>
          <w:rFonts w:ascii="Arial" w:hAnsi="Arial" w:cs="Arial"/>
          <w:sz w:val="24"/>
          <w:szCs w:val="24"/>
        </w:rPr>
        <w:t xml:space="preserve"> ICMS apropriado por ocasião das compras efetuadas e não compensados </w:t>
      </w:r>
      <w:r w:rsidR="00C94885">
        <w:rPr>
          <w:rFonts w:ascii="Arial" w:hAnsi="Arial" w:cs="Arial"/>
          <w:sz w:val="24"/>
          <w:szCs w:val="24"/>
        </w:rPr>
        <w:t>n</w:t>
      </w:r>
      <w:r w:rsidRPr="009A58DD">
        <w:rPr>
          <w:rFonts w:ascii="Arial" w:hAnsi="Arial" w:cs="Arial"/>
          <w:sz w:val="24"/>
          <w:szCs w:val="24"/>
        </w:rPr>
        <w:t>as saídas realizadas.</w:t>
      </w:r>
    </w:p>
    <w:p w14:paraId="53B6884D" w14:textId="77777777" w:rsidR="002374D7" w:rsidRPr="009A58DD" w:rsidRDefault="002374D7" w:rsidP="002374D7">
      <w:pPr>
        <w:spacing w:line="360" w:lineRule="auto"/>
        <w:ind w:firstLine="851"/>
        <w:jc w:val="both"/>
        <w:rPr>
          <w:rFonts w:ascii="Arial" w:hAnsi="Arial" w:cs="Arial"/>
          <w:sz w:val="24"/>
          <w:szCs w:val="24"/>
        </w:rPr>
      </w:pPr>
      <w:r w:rsidRPr="009A58DD">
        <w:rPr>
          <w:rFonts w:ascii="Arial" w:hAnsi="Arial" w:cs="Arial"/>
          <w:sz w:val="24"/>
          <w:szCs w:val="24"/>
        </w:rPr>
        <w:t>Entretanto, o mesmo não se pode afirmar sobre o crédito outorgado, que acaba desvirtuando e contaminando o princípio da não cumulatividade quando transferido para compensar o ICMS devido por terceiros.</w:t>
      </w:r>
    </w:p>
    <w:p w14:paraId="1C97E3CB" w14:textId="57DEA195" w:rsidR="002374D7" w:rsidRPr="009A58DD" w:rsidRDefault="002374D7" w:rsidP="002374D7">
      <w:pPr>
        <w:spacing w:line="360" w:lineRule="auto"/>
        <w:ind w:firstLine="851"/>
        <w:jc w:val="both"/>
        <w:rPr>
          <w:rFonts w:ascii="Arial" w:hAnsi="Arial" w:cs="Arial"/>
          <w:sz w:val="24"/>
          <w:szCs w:val="24"/>
        </w:rPr>
      </w:pPr>
      <w:r w:rsidRPr="009A58DD">
        <w:rPr>
          <w:rFonts w:ascii="Arial" w:hAnsi="Arial" w:cs="Arial"/>
          <w:sz w:val="24"/>
          <w:szCs w:val="24"/>
        </w:rPr>
        <w:t>O crédito artificial do ICMS não deve transcender a escrita comercial do contribuinte tomador do favor fiscal, apenas se</w:t>
      </w:r>
      <w:r w:rsidR="007F3EC0" w:rsidRPr="009A58DD">
        <w:rPr>
          <w:rFonts w:ascii="Arial" w:hAnsi="Arial" w:cs="Arial"/>
          <w:sz w:val="24"/>
          <w:szCs w:val="24"/>
        </w:rPr>
        <w:t>ndo</w:t>
      </w:r>
      <w:r w:rsidRPr="009A58DD">
        <w:rPr>
          <w:rFonts w:ascii="Arial" w:hAnsi="Arial" w:cs="Arial"/>
          <w:sz w:val="24"/>
          <w:szCs w:val="24"/>
        </w:rPr>
        <w:t xml:space="preserve"> deduzido do saldo devedor do ICMS apurado normalmente por seu beneficiário direto.</w:t>
      </w:r>
    </w:p>
    <w:p w14:paraId="52B08033" w14:textId="31BF66EE" w:rsidR="002374D7" w:rsidRPr="009A58DD" w:rsidRDefault="002374D7" w:rsidP="002374D7">
      <w:pPr>
        <w:spacing w:line="360" w:lineRule="auto"/>
        <w:ind w:firstLine="851"/>
        <w:jc w:val="both"/>
        <w:rPr>
          <w:rFonts w:ascii="Arial" w:hAnsi="Arial" w:cs="Arial"/>
          <w:sz w:val="24"/>
          <w:szCs w:val="24"/>
        </w:rPr>
      </w:pPr>
      <w:r w:rsidRPr="009A58DD">
        <w:rPr>
          <w:rFonts w:ascii="Arial" w:hAnsi="Arial" w:cs="Arial"/>
          <w:sz w:val="24"/>
          <w:szCs w:val="24"/>
        </w:rPr>
        <w:t>A propósito, a existência de demandas no sentido de transferir créditos outorgados a terceiros descortina uma incongruência grave e preocupante: o exagero na concessão de créditos artificiais do ICMS.</w:t>
      </w:r>
    </w:p>
    <w:p w14:paraId="5832F78C" w14:textId="6A310CCB" w:rsidR="002374D7" w:rsidRPr="009A58DD" w:rsidRDefault="002374D7" w:rsidP="002374D7">
      <w:pPr>
        <w:spacing w:line="360" w:lineRule="auto"/>
        <w:ind w:firstLine="851"/>
        <w:jc w:val="both"/>
        <w:rPr>
          <w:rFonts w:ascii="Arial" w:hAnsi="Arial" w:cs="Arial"/>
          <w:sz w:val="24"/>
          <w:szCs w:val="24"/>
        </w:rPr>
      </w:pPr>
      <w:r w:rsidRPr="009A58DD">
        <w:rPr>
          <w:rFonts w:ascii="Arial" w:hAnsi="Arial" w:cs="Arial"/>
          <w:sz w:val="24"/>
          <w:szCs w:val="24"/>
        </w:rPr>
        <w:t>Alguns exemplos dessa deformação no sistema tributário goiano pode</w:t>
      </w:r>
      <w:r w:rsidR="007A673D">
        <w:rPr>
          <w:rFonts w:ascii="Arial" w:hAnsi="Arial" w:cs="Arial"/>
          <w:sz w:val="24"/>
          <w:szCs w:val="24"/>
        </w:rPr>
        <w:t>m</w:t>
      </w:r>
      <w:r w:rsidRPr="009A58DD">
        <w:rPr>
          <w:rFonts w:ascii="Arial" w:hAnsi="Arial" w:cs="Arial"/>
          <w:sz w:val="24"/>
          <w:szCs w:val="24"/>
        </w:rPr>
        <w:t xml:space="preserve"> ser extraída da legislação estadual, como aqueles citados a seguir:</w:t>
      </w:r>
    </w:p>
    <w:p w14:paraId="364F9997" w14:textId="77777777" w:rsidR="002374D7" w:rsidRPr="00AE57E1" w:rsidRDefault="002374D7" w:rsidP="002374D7">
      <w:pPr>
        <w:spacing w:line="360" w:lineRule="auto"/>
        <w:ind w:firstLine="851"/>
        <w:jc w:val="both"/>
        <w:rPr>
          <w:rFonts w:ascii="Arial" w:hAnsi="Arial" w:cs="Arial"/>
          <w:sz w:val="24"/>
          <w:szCs w:val="24"/>
        </w:rPr>
      </w:pPr>
    </w:p>
    <w:p w14:paraId="26C406A1" w14:textId="77777777" w:rsidR="002374D7" w:rsidRPr="00AE57E1" w:rsidRDefault="002374D7" w:rsidP="002374D7">
      <w:pPr>
        <w:ind w:left="2268"/>
        <w:jc w:val="both"/>
        <w:rPr>
          <w:rFonts w:ascii="Arial" w:hAnsi="Arial" w:cs="Arial"/>
          <w:b/>
          <w:sz w:val="22"/>
          <w:szCs w:val="22"/>
          <w:u w:val="single"/>
        </w:rPr>
      </w:pPr>
      <w:r w:rsidRPr="00AE57E1">
        <w:rPr>
          <w:rFonts w:ascii="Arial" w:hAnsi="Arial" w:cs="Arial"/>
          <w:b/>
          <w:sz w:val="22"/>
          <w:szCs w:val="22"/>
          <w:u w:val="single"/>
        </w:rPr>
        <w:t>Lei nº 16.671/2009</w:t>
      </w:r>
    </w:p>
    <w:p w14:paraId="493F20FC"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 xml:space="preserve">Art. 1° Fica o Chefe do Poder Executivo, na forma, limite e condições que estabelecer, autorizado a conceder </w:t>
      </w:r>
      <w:r w:rsidRPr="00AE57E1">
        <w:rPr>
          <w:rFonts w:ascii="Arial" w:hAnsi="Arial" w:cs="Arial"/>
          <w:b/>
          <w:sz w:val="22"/>
          <w:szCs w:val="22"/>
        </w:rPr>
        <w:t>crédito outorgado</w:t>
      </w:r>
      <w:r w:rsidRPr="00AE57E1">
        <w:rPr>
          <w:rFonts w:ascii="Arial" w:hAnsi="Arial" w:cs="Arial"/>
          <w:sz w:val="22"/>
          <w:szCs w:val="22"/>
        </w:rPr>
        <w:t xml:space="preserve"> relativo ao Imposto sobre Operações Relativas à Circulação de Mercadorias e sobre Prestações de Serviços de Transporte Interestadual e Intermunicipal e de Comunicação -ICMS- </w:t>
      </w:r>
      <w:r w:rsidRPr="00AE57E1">
        <w:rPr>
          <w:rFonts w:ascii="Arial" w:hAnsi="Arial" w:cs="Arial"/>
          <w:b/>
          <w:sz w:val="22"/>
          <w:szCs w:val="22"/>
        </w:rPr>
        <w:t>devido por empresa que implantar ou ampliar empreendimento industrial de veículo automotor no Estado de Goiás</w:t>
      </w:r>
      <w:r w:rsidRPr="00AE57E1">
        <w:rPr>
          <w:rFonts w:ascii="Arial" w:hAnsi="Arial" w:cs="Arial"/>
          <w:sz w:val="22"/>
          <w:szCs w:val="22"/>
        </w:rPr>
        <w:t>.</w:t>
      </w:r>
    </w:p>
    <w:p w14:paraId="15E13CDD"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 xml:space="preserve">Parágrafo único. </w:t>
      </w:r>
      <w:r w:rsidRPr="00AE57E1">
        <w:rPr>
          <w:rFonts w:ascii="Arial" w:hAnsi="Arial" w:cs="Arial"/>
          <w:b/>
          <w:sz w:val="22"/>
          <w:szCs w:val="22"/>
        </w:rPr>
        <w:t>O disposto nesta Lei aplica-se inclusive ao industrial fabricante de extintores de incêndio descartáveis de polímero de engenharia de uso automotivo e cilindros em polímero para uso de GLP</w:t>
      </w:r>
      <w:r w:rsidRPr="00AE57E1">
        <w:rPr>
          <w:rFonts w:ascii="Arial" w:hAnsi="Arial" w:cs="Arial"/>
          <w:sz w:val="22"/>
          <w:szCs w:val="22"/>
        </w:rPr>
        <w:t>, desde que o beneficiário atenda aos requisitos previstos em regulamento específico e em termo de acordo de regime especial.</w:t>
      </w:r>
    </w:p>
    <w:p w14:paraId="7CE8B18A" w14:textId="77777777" w:rsidR="002374D7" w:rsidRPr="00AE57E1" w:rsidRDefault="002374D7" w:rsidP="002374D7">
      <w:pPr>
        <w:ind w:left="2268"/>
        <w:jc w:val="both"/>
        <w:rPr>
          <w:rFonts w:ascii="Arial" w:hAnsi="Arial" w:cs="Arial"/>
          <w:sz w:val="22"/>
          <w:szCs w:val="22"/>
        </w:rPr>
      </w:pPr>
    </w:p>
    <w:p w14:paraId="05EFF160"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Art. 3º Para o industrial de veículo automotor beneficiário do PRODUZIR, o crédito outorgado do ICMS:</w:t>
      </w:r>
    </w:p>
    <w:p w14:paraId="610B9543"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I - será concedido até o limite do valor equivalente:</w:t>
      </w:r>
    </w:p>
    <w:p w14:paraId="146A1DAF"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w:t>
      </w:r>
    </w:p>
    <w:p w14:paraId="46017D18" w14:textId="77777777" w:rsidR="002374D7" w:rsidRPr="00AE57E1" w:rsidRDefault="002374D7" w:rsidP="002374D7">
      <w:pPr>
        <w:ind w:left="2268"/>
        <w:jc w:val="both"/>
        <w:rPr>
          <w:rFonts w:ascii="Arial" w:hAnsi="Arial" w:cs="Arial"/>
          <w:sz w:val="22"/>
          <w:szCs w:val="22"/>
        </w:rPr>
      </w:pPr>
      <w:r w:rsidRPr="00AE57E1">
        <w:rPr>
          <w:rFonts w:ascii="Arial" w:hAnsi="Arial" w:cs="Arial"/>
          <w:b/>
          <w:sz w:val="22"/>
          <w:szCs w:val="22"/>
        </w:rPr>
        <w:t>c) a R$ 90.000.000,00</w:t>
      </w:r>
      <w:r w:rsidRPr="00AE57E1">
        <w:rPr>
          <w:rFonts w:ascii="Arial" w:hAnsi="Arial" w:cs="Arial"/>
          <w:sz w:val="22"/>
          <w:szCs w:val="22"/>
        </w:rPr>
        <w:t xml:space="preserve"> (noventa milhões de reais), em até 60 (sessenta) parcelas mensais, iguais e sucessivas;</w:t>
      </w:r>
    </w:p>
    <w:p w14:paraId="4228D63D"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lastRenderedPageBreak/>
        <w:t>[...].</w:t>
      </w:r>
    </w:p>
    <w:p w14:paraId="33AFB7CE" w14:textId="77777777" w:rsidR="002374D7" w:rsidRPr="00AE57E1" w:rsidRDefault="002374D7" w:rsidP="002374D7">
      <w:pPr>
        <w:ind w:left="2268"/>
        <w:jc w:val="both"/>
        <w:rPr>
          <w:rFonts w:ascii="Arial" w:hAnsi="Arial" w:cs="Arial"/>
          <w:sz w:val="22"/>
          <w:szCs w:val="22"/>
        </w:rPr>
      </w:pPr>
    </w:p>
    <w:p w14:paraId="772B24E9"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Art. 5º O valor do crédito outorgado do ICMS deve ser utilizado diretamente na subtração do ICMS a pagar correspondente à saída de veículos, suas partes e peças, materiais institucionais, inclusive os importados do exterior, após a aplicação do incentivo PRODUZIR ou FOMENTAR, se for o caso.</w:t>
      </w:r>
    </w:p>
    <w:p w14:paraId="4D33FEFF"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w:t>
      </w:r>
    </w:p>
    <w:p w14:paraId="5ECA5C52"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 xml:space="preserve">Parágrafo único. </w:t>
      </w:r>
      <w:r w:rsidRPr="00AE57E1">
        <w:rPr>
          <w:rFonts w:ascii="Arial" w:hAnsi="Arial" w:cs="Arial"/>
          <w:b/>
          <w:sz w:val="22"/>
          <w:szCs w:val="22"/>
        </w:rPr>
        <w:t>O crédito outorgado previsto</w:t>
      </w:r>
      <w:r w:rsidRPr="00AE57E1">
        <w:rPr>
          <w:rFonts w:ascii="Arial" w:hAnsi="Arial" w:cs="Arial"/>
          <w:sz w:val="22"/>
          <w:szCs w:val="22"/>
        </w:rPr>
        <w:t>:</w:t>
      </w:r>
    </w:p>
    <w:p w14:paraId="14448DE8"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w:t>
      </w:r>
    </w:p>
    <w:p w14:paraId="2504C823" w14:textId="77777777" w:rsidR="002374D7" w:rsidRPr="00AE57E1" w:rsidRDefault="002374D7" w:rsidP="002374D7">
      <w:pPr>
        <w:ind w:left="2268"/>
        <w:jc w:val="both"/>
        <w:rPr>
          <w:rFonts w:ascii="Arial" w:hAnsi="Arial" w:cs="Arial"/>
          <w:sz w:val="22"/>
          <w:szCs w:val="22"/>
        </w:rPr>
      </w:pPr>
      <w:r w:rsidRPr="00AE57E1">
        <w:rPr>
          <w:rFonts w:ascii="Arial" w:hAnsi="Arial" w:cs="Arial"/>
          <w:b/>
          <w:sz w:val="22"/>
          <w:szCs w:val="22"/>
        </w:rPr>
        <w:t xml:space="preserve">II - na alínea “c” do inciso I dos arts. 3º e 4º pode ser </w:t>
      </w:r>
      <w:r w:rsidRPr="00AE57E1">
        <w:rPr>
          <w:rFonts w:ascii="Arial" w:hAnsi="Arial" w:cs="Arial"/>
          <w:sz w:val="22"/>
          <w:szCs w:val="22"/>
        </w:rPr>
        <w:t xml:space="preserve">utilizado, também, na quitação do ICMS devido por substituição tributária ou </w:t>
      </w:r>
      <w:r w:rsidRPr="00AE57E1">
        <w:rPr>
          <w:rFonts w:ascii="Arial" w:hAnsi="Arial" w:cs="Arial"/>
          <w:b/>
          <w:sz w:val="22"/>
          <w:szCs w:val="22"/>
        </w:rPr>
        <w:t>transferido a outro contribuinte localizado no Estado de Goiás para quitação do ICMS a pagar</w:t>
      </w:r>
      <w:r w:rsidRPr="00AE57E1">
        <w:rPr>
          <w:rFonts w:ascii="Arial" w:hAnsi="Arial" w:cs="Arial"/>
          <w:sz w:val="22"/>
          <w:szCs w:val="22"/>
        </w:rPr>
        <w:t>.</w:t>
      </w:r>
    </w:p>
    <w:p w14:paraId="437EABCD" w14:textId="77777777" w:rsidR="002374D7" w:rsidRPr="00AE57E1" w:rsidRDefault="002374D7" w:rsidP="002374D7">
      <w:pPr>
        <w:ind w:left="2268"/>
        <w:jc w:val="both"/>
        <w:rPr>
          <w:rFonts w:ascii="Arial" w:hAnsi="Arial" w:cs="Arial"/>
          <w:sz w:val="22"/>
          <w:szCs w:val="22"/>
        </w:rPr>
      </w:pPr>
    </w:p>
    <w:p w14:paraId="6D919D14" w14:textId="77777777" w:rsidR="002374D7" w:rsidRPr="00AE57E1" w:rsidRDefault="002374D7" w:rsidP="002374D7">
      <w:pPr>
        <w:ind w:left="2268"/>
        <w:jc w:val="both"/>
        <w:rPr>
          <w:rFonts w:ascii="Arial" w:hAnsi="Arial" w:cs="Arial"/>
          <w:b/>
          <w:sz w:val="22"/>
          <w:szCs w:val="22"/>
          <w:u w:val="single"/>
        </w:rPr>
      </w:pPr>
      <w:r w:rsidRPr="00AE57E1">
        <w:rPr>
          <w:rFonts w:ascii="Arial" w:hAnsi="Arial" w:cs="Arial"/>
          <w:b/>
          <w:sz w:val="22"/>
          <w:szCs w:val="22"/>
          <w:u w:val="single"/>
        </w:rPr>
        <w:t>Lei nº 17.441/2011</w:t>
      </w:r>
    </w:p>
    <w:p w14:paraId="0643FEA8"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Art. 1° Fica instituído o Programa de Incentivo à Implantação de Empreendimento Industrial para a produção de grupos geradores de energia elétrica, que tem tratamento tributário e financeiro favorecido, aplicável a empreendimento localizado no Estado de Goiás.</w:t>
      </w:r>
    </w:p>
    <w:p w14:paraId="798D2634" w14:textId="77777777" w:rsidR="002374D7" w:rsidRPr="00AE57E1" w:rsidRDefault="002374D7" w:rsidP="002374D7">
      <w:pPr>
        <w:ind w:left="2268"/>
        <w:jc w:val="both"/>
        <w:rPr>
          <w:rFonts w:ascii="Arial" w:hAnsi="Arial" w:cs="Arial"/>
          <w:sz w:val="22"/>
          <w:szCs w:val="22"/>
        </w:rPr>
      </w:pPr>
    </w:p>
    <w:p w14:paraId="36FF9B6B"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Art. 5º Para o</w:t>
      </w:r>
      <w:r w:rsidRPr="00AE57E1">
        <w:rPr>
          <w:rFonts w:ascii="Arial" w:hAnsi="Arial" w:cs="Arial"/>
          <w:b/>
          <w:sz w:val="22"/>
          <w:szCs w:val="22"/>
        </w:rPr>
        <w:t xml:space="preserve"> industrial de grupos geradores de energia elétrica</w:t>
      </w:r>
      <w:r w:rsidRPr="00AE57E1">
        <w:rPr>
          <w:rFonts w:ascii="Arial" w:hAnsi="Arial" w:cs="Arial"/>
          <w:sz w:val="22"/>
          <w:szCs w:val="22"/>
        </w:rPr>
        <w:t xml:space="preserve">, beneficiário do PRODUZIR, o </w:t>
      </w:r>
      <w:r w:rsidRPr="00AE57E1">
        <w:rPr>
          <w:rFonts w:ascii="Arial" w:hAnsi="Arial" w:cs="Arial"/>
          <w:b/>
          <w:sz w:val="22"/>
          <w:szCs w:val="22"/>
        </w:rPr>
        <w:t>crédito outorgado</w:t>
      </w:r>
      <w:r w:rsidRPr="00AE57E1">
        <w:rPr>
          <w:rFonts w:ascii="Arial" w:hAnsi="Arial" w:cs="Arial"/>
          <w:sz w:val="22"/>
          <w:szCs w:val="22"/>
        </w:rPr>
        <w:t xml:space="preserve"> do ICMS será concedido até o limite do valor equivalente:</w:t>
      </w:r>
    </w:p>
    <w:p w14:paraId="06FA1B89"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w:t>
      </w:r>
    </w:p>
    <w:p w14:paraId="43FF0B12"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 xml:space="preserve">III - a </w:t>
      </w:r>
      <w:r w:rsidRPr="00AE57E1">
        <w:rPr>
          <w:rFonts w:ascii="Arial" w:hAnsi="Arial" w:cs="Arial"/>
          <w:b/>
          <w:sz w:val="22"/>
          <w:szCs w:val="22"/>
        </w:rPr>
        <w:t>R$ 9.100.000,00 (nove milhões e cem mil reais)</w:t>
      </w:r>
      <w:r w:rsidRPr="00AE57E1">
        <w:rPr>
          <w:rFonts w:ascii="Arial" w:hAnsi="Arial" w:cs="Arial"/>
          <w:sz w:val="22"/>
          <w:szCs w:val="22"/>
        </w:rPr>
        <w:t>, que pode ser apropriado após o prazo de que trata o § 4º, hipótese em que o valor será corrigido conforme dispuser ato do Secretário de Estado da Fazenda.</w:t>
      </w:r>
    </w:p>
    <w:p w14:paraId="2A588323"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w:t>
      </w:r>
    </w:p>
    <w:p w14:paraId="20ABA823"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 xml:space="preserve">§ 2º O </w:t>
      </w:r>
      <w:r w:rsidRPr="00AE57E1">
        <w:rPr>
          <w:rFonts w:ascii="Arial" w:hAnsi="Arial" w:cs="Arial"/>
          <w:b/>
          <w:sz w:val="22"/>
          <w:szCs w:val="22"/>
        </w:rPr>
        <w:t>crédito outorgado</w:t>
      </w:r>
      <w:r w:rsidRPr="00AE57E1">
        <w:rPr>
          <w:rFonts w:ascii="Arial" w:hAnsi="Arial" w:cs="Arial"/>
          <w:sz w:val="22"/>
          <w:szCs w:val="22"/>
        </w:rPr>
        <w:t xml:space="preserve"> previsto no inciso III </w:t>
      </w:r>
      <w:r w:rsidRPr="00AE57E1">
        <w:rPr>
          <w:rFonts w:ascii="Arial" w:hAnsi="Arial" w:cs="Arial"/>
          <w:b/>
          <w:sz w:val="22"/>
          <w:szCs w:val="22"/>
        </w:rPr>
        <w:t>pode ser</w:t>
      </w:r>
      <w:r w:rsidRPr="00AE57E1">
        <w:rPr>
          <w:rFonts w:ascii="Arial" w:hAnsi="Arial" w:cs="Arial"/>
          <w:sz w:val="22"/>
          <w:szCs w:val="22"/>
        </w:rPr>
        <w:t>, na seguinte ordem:</w:t>
      </w:r>
    </w:p>
    <w:p w14:paraId="745E190F"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w:t>
      </w:r>
    </w:p>
    <w:p w14:paraId="58F44630" w14:textId="58CB59BC" w:rsidR="002374D7" w:rsidRDefault="002374D7" w:rsidP="002374D7">
      <w:pPr>
        <w:ind w:left="2268"/>
        <w:jc w:val="both"/>
        <w:rPr>
          <w:rFonts w:ascii="Arial" w:hAnsi="Arial" w:cs="Arial"/>
          <w:sz w:val="22"/>
          <w:szCs w:val="22"/>
        </w:rPr>
      </w:pPr>
      <w:r w:rsidRPr="00AE57E1">
        <w:rPr>
          <w:rFonts w:ascii="Arial" w:hAnsi="Arial" w:cs="Arial"/>
          <w:sz w:val="22"/>
          <w:szCs w:val="22"/>
        </w:rPr>
        <w:t xml:space="preserve">II - </w:t>
      </w:r>
      <w:r w:rsidRPr="00AE57E1">
        <w:rPr>
          <w:rFonts w:ascii="Arial" w:hAnsi="Arial" w:cs="Arial"/>
          <w:sz w:val="22"/>
          <w:szCs w:val="22"/>
          <w:u w:val="single"/>
        </w:rPr>
        <w:t>transferido para outro contribuinte localizado no Estado de Goiás</w:t>
      </w:r>
      <w:r w:rsidRPr="00AE57E1">
        <w:rPr>
          <w:rFonts w:ascii="Arial" w:hAnsi="Arial" w:cs="Arial"/>
          <w:sz w:val="22"/>
          <w:szCs w:val="22"/>
        </w:rPr>
        <w:t>, independente de limite e da existência de relação comercial.</w:t>
      </w:r>
    </w:p>
    <w:p w14:paraId="0C3E627B" w14:textId="172596A0" w:rsidR="00EC29BA" w:rsidRDefault="00EC29BA" w:rsidP="002374D7">
      <w:pPr>
        <w:ind w:left="2268"/>
        <w:jc w:val="both"/>
        <w:rPr>
          <w:rFonts w:ascii="Arial" w:hAnsi="Arial" w:cs="Arial"/>
          <w:sz w:val="22"/>
          <w:szCs w:val="22"/>
        </w:rPr>
      </w:pPr>
    </w:p>
    <w:p w14:paraId="5F90C5FB" w14:textId="0D92F6EB" w:rsidR="00EC29BA" w:rsidRPr="00EC29BA" w:rsidRDefault="00EC29BA" w:rsidP="00EC29BA">
      <w:pPr>
        <w:ind w:left="2268"/>
        <w:jc w:val="both"/>
        <w:rPr>
          <w:rFonts w:ascii="Arial" w:hAnsi="Arial" w:cs="Arial"/>
          <w:b/>
          <w:sz w:val="22"/>
          <w:szCs w:val="22"/>
          <w:u w:val="single"/>
        </w:rPr>
      </w:pPr>
      <w:r w:rsidRPr="00EC29BA">
        <w:rPr>
          <w:rFonts w:ascii="Arial" w:hAnsi="Arial" w:cs="Arial"/>
          <w:b/>
          <w:sz w:val="22"/>
          <w:szCs w:val="22"/>
          <w:u w:val="single"/>
        </w:rPr>
        <w:t>Lei nº 17.442/2011</w:t>
      </w:r>
    </w:p>
    <w:p w14:paraId="7C4CB04B" w14:textId="30B9B63B" w:rsidR="00EC29BA" w:rsidRPr="00EC29BA" w:rsidRDefault="00EC29BA" w:rsidP="00EC29BA">
      <w:pPr>
        <w:ind w:left="2268"/>
        <w:jc w:val="both"/>
        <w:rPr>
          <w:rFonts w:ascii="Arial" w:hAnsi="Arial" w:cs="Arial"/>
          <w:sz w:val="22"/>
          <w:szCs w:val="22"/>
        </w:rPr>
      </w:pPr>
      <w:r w:rsidRPr="00EC29BA">
        <w:rPr>
          <w:rFonts w:ascii="Arial" w:hAnsi="Arial" w:cs="Arial"/>
          <w:sz w:val="22"/>
          <w:szCs w:val="22"/>
        </w:rPr>
        <w:t>Art. 5º O regime de substituição tributária previsto nesta Lei:</w:t>
      </w:r>
    </w:p>
    <w:p w14:paraId="25142B94" w14:textId="77777777" w:rsidR="00EC29BA" w:rsidRPr="00EC29BA" w:rsidRDefault="00EC29BA" w:rsidP="00EC29BA">
      <w:pPr>
        <w:ind w:left="2268"/>
        <w:jc w:val="both"/>
        <w:rPr>
          <w:rFonts w:ascii="Arial" w:hAnsi="Arial" w:cs="Arial"/>
          <w:sz w:val="22"/>
          <w:szCs w:val="22"/>
        </w:rPr>
      </w:pPr>
      <w:r w:rsidRPr="00EC29BA">
        <w:rPr>
          <w:rFonts w:ascii="Arial" w:hAnsi="Arial" w:cs="Arial"/>
          <w:sz w:val="22"/>
          <w:szCs w:val="22"/>
        </w:rPr>
        <w:t>I - pode ser estendido às saídas de uma para outra pessoa jurídica integrantes ao grupo econômico;</w:t>
      </w:r>
    </w:p>
    <w:p w14:paraId="11D889D6" w14:textId="77777777" w:rsidR="00EC29BA" w:rsidRPr="00EC29BA" w:rsidRDefault="00EC29BA" w:rsidP="00EC29BA">
      <w:pPr>
        <w:ind w:left="2268"/>
        <w:jc w:val="both"/>
        <w:rPr>
          <w:rFonts w:ascii="Arial" w:hAnsi="Arial" w:cs="Arial"/>
          <w:sz w:val="22"/>
          <w:szCs w:val="22"/>
        </w:rPr>
      </w:pPr>
      <w:r w:rsidRPr="00EC29BA">
        <w:rPr>
          <w:rFonts w:ascii="Arial" w:hAnsi="Arial" w:cs="Arial"/>
          <w:sz w:val="22"/>
          <w:szCs w:val="22"/>
        </w:rPr>
        <w:t>II - prevalece sobre qualquer outro regime de substituição existente ou que venha a ser instituído para a operação interna.</w:t>
      </w:r>
    </w:p>
    <w:p w14:paraId="27B175EC" w14:textId="210D9BCB" w:rsidR="00EC29BA" w:rsidRDefault="00EC29BA" w:rsidP="00EC29BA">
      <w:pPr>
        <w:ind w:left="2268"/>
        <w:jc w:val="both"/>
        <w:rPr>
          <w:rFonts w:ascii="Arial" w:hAnsi="Arial" w:cs="Arial"/>
          <w:sz w:val="22"/>
          <w:szCs w:val="22"/>
        </w:rPr>
      </w:pPr>
      <w:r w:rsidRPr="00EC29BA">
        <w:rPr>
          <w:rFonts w:ascii="Arial" w:hAnsi="Arial" w:cs="Arial"/>
          <w:b/>
          <w:sz w:val="22"/>
          <w:szCs w:val="22"/>
        </w:rPr>
        <w:t>Parágrafo único. Eventual saldo credor existente na escrituração fiscal da pessoa jurídica remetente, em virtude do disposto no inciso I, pode ser transferido para a pessoa jurídica adquirente do mesmo grupo econômico</w:t>
      </w:r>
      <w:r w:rsidRPr="00EC29BA">
        <w:rPr>
          <w:rFonts w:ascii="Arial" w:hAnsi="Arial" w:cs="Arial"/>
          <w:sz w:val="22"/>
          <w:szCs w:val="22"/>
        </w:rPr>
        <w:t>.</w:t>
      </w:r>
      <w:r>
        <w:rPr>
          <w:rStyle w:val="Refdenotaderodap"/>
          <w:rFonts w:ascii="Arial" w:hAnsi="Arial" w:cs="Arial"/>
          <w:sz w:val="22"/>
          <w:szCs w:val="22"/>
        </w:rPr>
        <w:footnoteReference w:id="82"/>
      </w:r>
    </w:p>
    <w:p w14:paraId="2E359573" w14:textId="54D640E5" w:rsidR="002374D7" w:rsidRPr="00AE57E1" w:rsidRDefault="002374D7" w:rsidP="00EC29BA">
      <w:pPr>
        <w:ind w:left="2268"/>
        <w:jc w:val="both"/>
        <w:rPr>
          <w:rFonts w:ascii="Arial" w:hAnsi="Arial" w:cs="Arial"/>
          <w:sz w:val="24"/>
          <w:szCs w:val="24"/>
        </w:rPr>
      </w:pPr>
    </w:p>
    <w:p w14:paraId="58B339D6" w14:textId="372A83D0" w:rsidR="002374D7" w:rsidRDefault="002374D7" w:rsidP="002374D7">
      <w:pPr>
        <w:spacing w:line="360" w:lineRule="auto"/>
        <w:ind w:firstLine="851"/>
        <w:jc w:val="both"/>
        <w:rPr>
          <w:rFonts w:ascii="Arial" w:hAnsi="Arial" w:cs="Arial"/>
          <w:sz w:val="24"/>
          <w:szCs w:val="24"/>
        </w:rPr>
      </w:pPr>
      <w:r>
        <w:rPr>
          <w:rFonts w:ascii="Arial" w:hAnsi="Arial" w:cs="Arial"/>
          <w:sz w:val="24"/>
          <w:szCs w:val="24"/>
        </w:rPr>
        <w:t>Assim, revela-se imperioso que a</w:t>
      </w:r>
      <w:r w:rsidR="00B72F10">
        <w:rPr>
          <w:rFonts w:ascii="Arial" w:hAnsi="Arial" w:cs="Arial"/>
          <w:sz w:val="24"/>
          <w:szCs w:val="24"/>
        </w:rPr>
        <w:t xml:space="preserve"> </w:t>
      </w:r>
      <w:r>
        <w:rPr>
          <w:rFonts w:ascii="Arial" w:hAnsi="Arial" w:cs="Arial"/>
          <w:sz w:val="24"/>
          <w:szCs w:val="24"/>
        </w:rPr>
        <w:t>escrituração fiscal digital das empresas individua</w:t>
      </w:r>
      <w:r w:rsidR="009F31CD">
        <w:rPr>
          <w:rFonts w:ascii="Arial" w:hAnsi="Arial" w:cs="Arial"/>
          <w:sz w:val="24"/>
          <w:szCs w:val="24"/>
        </w:rPr>
        <w:t>lize</w:t>
      </w:r>
      <w:r>
        <w:rPr>
          <w:rFonts w:ascii="Arial" w:hAnsi="Arial" w:cs="Arial"/>
          <w:sz w:val="24"/>
          <w:szCs w:val="24"/>
        </w:rPr>
        <w:t xml:space="preserve"> as diferentes naturezas daqueles créditos, a fim de possibilitar à fiscalização </w:t>
      </w:r>
      <w:r>
        <w:rPr>
          <w:rFonts w:ascii="Arial" w:hAnsi="Arial" w:cs="Arial"/>
          <w:sz w:val="24"/>
          <w:szCs w:val="24"/>
        </w:rPr>
        <w:lastRenderedPageBreak/>
        <w:t xml:space="preserve">o acesso claro às informações relativas à transferência desses créditos, se decorrentes da não cumulatividade do ICMS ou de créditos outorgados. </w:t>
      </w:r>
    </w:p>
    <w:p w14:paraId="6EBEB782" w14:textId="21DDA10D" w:rsidR="002374D7" w:rsidRDefault="002374D7" w:rsidP="002374D7">
      <w:pPr>
        <w:spacing w:line="360" w:lineRule="auto"/>
        <w:ind w:firstLine="851"/>
        <w:jc w:val="both"/>
        <w:rPr>
          <w:rFonts w:ascii="Arial" w:hAnsi="Arial" w:cs="Arial"/>
          <w:sz w:val="24"/>
          <w:szCs w:val="24"/>
        </w:rPr>
      </w:pPr>
      <w:r>
        <w:rPr>
          <w:rFonts w:ascii="Arial" w:hAnsi="Arial" w:cs="Arial"/>
          <w:sz w:val="24"/>
          <w:szCs w:val="24"/>
        </w:rPr>
        <w:t>Ainda, sugere-se a alteração da legislação, preferencialmente mediante a inclusão de dispositivo na lei geral sobre incentivos fiscais, para vedar a transferência ou cessão de crédito, admitida essa transferência apenas quando decorrente do princípio da não cumulatividade do ICMS.</w:t>
      </w:r>
    </w:p>
    <w:p w14:paraId="2592DE3B" w14:textId="77777777" w:rsidR="002374D7" w:rsidRPr="00AE57E1" w:rsidRDefault="002374D7" w:rsidP="002374D7">
      <w:pPr>
        <w:spacing w:line="360" w:lineRule="auto"/>
        <w:ind w:firstLine="851"/>
        <w:jc w:val="both"/>
        <w:rPr>
          <w:rFonts w:ascii="Arial" w:hAnsi="Arial" w:cs="Arial"/>
          <w:sz w:val="24"/>
          <w:szCs w:val="24"/>
        </w:rPr>
      </w:pPr>
      <w:r w:rsidRPr="00AE57E1">
        <w:rPr>
          <w:rFonts w:ascii="Arial" w:hAnsi="Arial" w:cs="Arial"/>
          <w:sz w:val="24"/>
          <w:szCs w:val="24"/>
        </w:rPr>
        <w:t>Nesse sentido, manifestou-se o servidor Adonídio Neto Vieira Junior, em resposta à indagação de membro desta Comissão, Deputado Talles Barreto, na 4ª reunião da CPI, realizada em 13/05/2019:</w:t>
      </w:r>
    </w:p>
    <w:p w14:paraId="0E643569" w14:textId="77777777" w:rsidR="002374D7" w:rsidRPr="00AE57E1" w:rsidRDefault="002374D7" w:rsidP="002374D7">
      <w:pPr>
        <w:spacing w:line="360" w:lineRule="auto"/>
        <w:ind w:firstLine="851"/>
        <w:jc w:val="both"/>
        <w:rPr>
          <w:rFonts w:ascii="Arial" w:hAnsi="Arial" w:cs="Arial"/>
          <w:sz w:val="24"/>
          <w:szCs w:val="24"/>
        </w:rPr>
      </w:pPr>
    </w:p>
    <w:p w14:paraId="3561A48F" w14:textId="77777777"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 xml:space="preserve">O SR. DEPUTADO TALLES BARRETO: - Outra situação, explica-me, há nesses benefícios algo que direcione, por exemplo, o crédito outorgado, mas podendo gastar somente na modernização da empresa, na aquisição de nova frota, na compra de avião, há alguma coisa específica nesses benefícios fiscais que hoje o Estado concede? Quero que você preste atenção nessa resposta, relator. Essa é importante. </w:t>
      </w:r>
    </w:p>
    <w:p w14:paraId="7DF2CA40" w14:textId="1197E01D" w:rsidR="002374D7" w:rsidRPr="00AE57E1" w:rsidRDefault="002374D7" w:rsidP="002374D7">
      <w:pPr>
        <w:ind w:left="2268"/>
        <w:jc w:val="both"/>
        <w:rPr>
          <w:rFonts w:ascii="Arial" w:hAnsi="Arial" w:cs="Arial"/>
          <w:sz w:val="22"/>
          <w:szCs w:val="22"/>
        </w:rPr>
      </w:pPr>
      <w:r w:rsidRPr="00AE57E1">
        <w:rPr>
          <w:rFonts w:ascii="Arial" w:hAnsi="Arial" w:cs="Arial"/>
          <w:sz w:val="22"/>
          <w:szCs w:val="22"/>
        </w:rPr>
        <w:t xml:space="preserve">O SR. ADONÍDIO VIEIRA JÚNIOR: - O Paulo Carmo está aqui, nosso sindicato até fez o material, entregou para a Secretária Cristiane. Isso é um sonho. </w:t>
      </w:r>
      <w:r w:rsidRPr="00657E42">
        <w:rPr>
          <w:rFonts w:ascii="Arial" w:hAnsi="Arial" w:cs="Arial"/>
          <w:b/>
          <w:sz w:val="22"/>
          <w:szCs w:val="22"/>
        </w:rPr>
        <w:t>E também respondendo à fala do Deputado Humberto, primeiro, hoje não há obrigatoriedade de se gastar nisso ou naquilo outro. Isso entra como caixa para a empresa. O trabalho do nosso sindicato é que a empresa - isso seria uma modificação legislativa desta Casa - só poderia usar o crédito ela mesma, aí poderia ter uma limitação de investimento e o que não conseguisse usar, num certo período, seis meses ou um ano, estornasse esse crédito, tirasse da escrita</w:t>
      </w:r>
      <w:r w:rsidRPr="00AE57E1">
        <w:rPr>
          <w:rFonts w:ascii="Arial" w:hAnsi="Arial" w:cs="Arial"/>
          <w:sz w:val="22"/>
          <w:szCs w:val="22"/>
        </w:rPr>
        <w:t>. Essa é uma sugestão elaborada pelo nosso sindicato, que foi repassada para a Dra. Cristiane.</w:t>
      </w:r>
      <w:r w:rsidR="00657E42">
        <w:rPr>
          <w:rFonts w:ascii="Arial" w:hAnsi="Arial" w:cs="Arial"/>
          <w:sz w:val="22"/>
          <w:szCs w:val="22"/>
        </w:rPr>
        <w:t xml:space="preserve"> [grifou-se]</w:t>
      </w:r>
    </w:p>
    <w:p w14:paraId="66460451" w14:textId="77777777" w:rsidR="002374D7" w:rsidRPr="00AE57E1" w:rsidRDefault="002374D7" w:rsidP="002374D7">
      <w:pPr>
        <w:spacing w:line="360" w:lineRule="auto"/>
        <w:ind w:firstLine="851"/>
        <w:jc w:val="both"/>
        <w:rPr>
          <w:rFonts w:ascii="Arial" w:hAnsi="Arial" w:cs="Arial"/>
          <w:sz w:val="24"/>
          <w:szCs w:val="24"/>
        </w:rPr>
      </w:pPr>
    </w:p>
    <w:p w14:paraId="1471A869" w14:textId="56358B05" w:rsidR="00D718D2" w:rsidRDefault="00D718D2" w:rsidP="00D718D2">
      <w:pPr>
        <w:spacing w:line="360" w:lineRule="auto"/>
        <w:ind w:firstLine="851"/>
        <w:jc w:val="both"/>
        <w:rPr>
          <w:rFonts w:ascii="Arial" w:hAnsi="Arial" w:cs="Arial"/>
          <w:sz w:val="24"/>
          <w:szCs w:val="24"/>
        </w:rPr>
      </w:pPr>
      <w:r w:rsidRPr="00CC5A95">
        <w:rPr>
          <w:rFonts w:ascii="Arial" w:hAnsi="Arial" w:cs="Arial"/>
          <w:b/>
          <w:sz w:val="24"/>
          <w:szCs w:val="24"/>
        </w:rPr>
        <w:t>Outra medida seria</w:t>
      </w:r>
      <w:r w:rsidR="00CC5A95">
        <w:rPr>
          <w:rFonts w:ascii="Arial" w:hAnsi="Arial" w:cs="Arial"/>
          <w:b/>
          <w:sz w:val="24"/>
          <w:szCs w:val="24"/>
        </w:rPr>
        <w:t xml:space="preserve"> também o de</w:t>
      </w:r>
      <w:r w:rsidRPr="00CC5A95">
        <w:rPr>
          <w:rFonts w:ascii="Arial" w:hAnsi="Arial" w:cs="Arial"/>
          <w:b/>
          <w:sz w:val="24"/>
          <w:szCs w:val="24"/>
        </w:rPr>
        <w:t xml:space="preserve"> evitar a utilização do crédito outorgado como forma de pagamento em programas de remissão, anistia e regularização fiscal</w:t>
      </w:r>
      <w:r w:rsidRPr="00CC5A95">
        <w:rPr>
          <w:rFonts w:ascii="Arial" w:hAnsi="Arial" w:cs="Arial"/>
          <w:sz w:val="24"/>
          <w:szCs w:val="24"/>
        </w:rPr>
        <w:t>, a exemplo daquela promovida pela conhecida “Lei JBS” (Lei Estadual nº 18.709/2014), que estabelecia como uma de suas medidas facilitadoras a “permissão para pagamento do débito por meio de crédito acumulado na escrita do sujeito passivo ou recebido em transferência” (art. 3º, VI), nos limites e condições previstas naquela lei (art. 4º e 7, § 3º)</w:t>
      </w:r>
      <w:r w:rsidR="00EC6B54" w:rsidRPr="00CC5A95">
        <w:rPr>
          <w:rFonts w:ascii="Arial" w:hAnsi="Arial" w:cs="Arial"/>
          <w:sz w:val="24"/>
          <w:szCs w:val="24"/>
        </w:rPr>
        <w:t>, sem fazer qualquer distinção quanto à natureza do crédito acumulado na escrita fiscal, o que permite a utilização do crédito outorgado para esse fim</w:t>
      </w:r>
      <w:r w:rsidRPr="00CC5A95">
        <w:rPr>
          <w:rFonts w:ascii="Arial" w:hAnsi="Arial" w:cs="Arial"/>
          <w:sz w:val="24"/>
          <w:szCs w:val="24"/>
        </w:rPr>
        <w:t>.</w:t>
      </w:r>
      <w:r w:rsidR="000C16CB" w:rsidRPr="00CC5A95">
        <w:rPr>
          <w:rFonts w:ascii="Arial" w:hAnsi="Arial" w:cs="Arial"/>
          <w:sz w:val="24"/>
          <w:szCs w:val="24"/>
        </w:rPr>
        <w:t xml:space="preserve"> </w:t>
      </w:r>
    </w:p>
    <w:p w14:paraId="27207610" w14:textId="23CB6E61" w:rsidR="002374D7" w:rsidRPr="004A0D8A" w:rsidRDefault="002374D7" w:rsidP="002374D7">
      <w:pPr>
        <w:spacing w:line="360" w:lineRule="auto"/>
        <w:ind w:firstLine="851"/>
        <w:jc w:val="both"/>
        <w:rPr>
          <w:rFonts w:ascii="Arial" w:hAnsi="Arial" w:cs="Arial"/>
          <w:sz w:val="24"/>
          <w:szCs w:val="24"/>
        </w:rPr>
      </w:pPr>
      <w:r w:rsidRPr="009A58DD">
        <w:rPr>
          <w:rFonts w:ascii="Arial" w:hAnsi="Arial" w:cs="Arial"/>
          <w:sz w:val="24"/>
          <w:szCs w:val="24"/>
        </w:rPr>
        <w:t>Portanto, recomenda-</w:t>
      </w:r>
      <w:r w:rsidRPr="004A0D8A">
        <w:rPr>
          <w:rFonts w:ascii="Arial" w:hAnsi="Arial" w:cs="Arial"/>
          <w:sz w:val="24"/>
          <w:szCs w:val="24"/>
        </w:rPr>
        <w:t xml:space="preserve">se </w:t>
      </w:r>
      <w:r w:rsidRPr="004A0D8A">
        <w:rPr>
          <w:rFonts w:ascii="Arial" w:hAnsi="Arial" w:cs="Arial"/>
          <w:bCs/>
          <w:sz w:val="24"/>
          <w:szCs w:val="24"/>
        </w:rPr>
        <w:t xml:space="preserve">a </w:t>
      </w:r>
      <w:r w:rsidRPr="000C16CB">
        <w:rPr>
          <w:rFonts w:ascii="Arial" w:hAnsi="Arial" w:cs="Arial"/>
          <w:b/>
          <w:bCs/>
          <w:sz w:val="24"/>
          <w:szCs w:val="24"/>
        </w:rPr>
        <w:t>alteração da legislação</w:t>
      </w:r>
      <w:r w:rsidRPr="004A0D8A">
        <w:rPr>
          <w:rFonts w:ascii="Arial" w:hAnsi="Arial" w:cs="Arial"/>
          <w:bCs/>
          <w:sz w:val="24"/>
          <w:szCs w:val="24"/>
        </w:rPr>
        <w:t xml:space="preserve"> para</w:t>
      </w:r>
      <w:r w:rsidR="004A0D8A" w:rsidRPr="004A0D8A">
        <w:rPr>
          <w:rFonts w:ascii="Arial" w:hAnsi="Arial" w:cs="Arial"/>
          <w:bCs/>
          <w:sz w:val="24"/>
          <w:szCs w:val="24"/>
        </w:rPr>
        <w:t xml:space="preserve"> esclarecer que o </w:t>
      </w:r>
      <w:r w:rsidR="004A0D8A" w:rsidRPr="000C16CB">
        <w:rPr>
          <w:rFonts w:ascii="Arial" w:hAnsi="Arial" w:cs="Arial"/>
          <w:bCs/>
          <w:sz w:val="24"/>
          <w:szCs w:val="24"/>
          <w:u w:val="single"/>
        </w:rPr>
        <w:t xml:space="preserve">contribuinte deve proceder à escrituração do crédito natural de ICMS de modo separado de eventual crédito outorgado ao qual faça jus, vedada a transferência deste último a </w:t>
      </w:r>
      <w:r w:rsidR="004A0D8A" w:rsidRPr="000C16CB">
        <w:rPr>
          <w:rFonts w:ascii="Arial" w:hAnsi="Arial" w:cs="Arial"/>
          <w:bCs/>
          <w:sz w:val="24"/>
          <w:szCs w:val="24"/>
          <w:u w:val="single"/>
        </w:rPr>
        <w:lastRenderedPageBreak/>
        <w:t xml:space="preserve">terceiros </w:t>
      </w:r>
      <w:r w:rsidR="004B7C82">
        <w:rPr>
          <w:rFonts w:ascii="Arial" w:hAnsi="Arial" w:cs="Arial"/>
          <w:bCs/>
          <w:sz w:val="24"/>
          <w:szCs w:val="24"/>
          <w:u w:val="single"/>
        </w:rPr>
        <w:t>ou, ao menos,</w:t>
      </w:r>
      <w:r w:rsidR="004A0D8A" w:rsidRPr="000C16CB">
        <w:rPr>
          <w:rFonts w:ascii="Arial" w:hAnsi="Arial" w:cs="Arial"/>
          <w:bCs/>
          <w:sz w:val="24"/>
          <w:szCs w:val="24"/>
          <w:u w:val="single"/>
        </w:rPr>
        <w:t xml:space="preserve"> seu aproveitamento para adesão e pagamento no contexto de programas de remissão, anistia e outros de regularização fiscal</w:t>
      </w:r>
      <w:r w:rsidR="004A0D8A">
        <w:rPr>
          <w:rFonts w:ascii="Arial" w:hAnsi="Arial" w:cs="Arial"/>
          <w:bCs/>
          <w:sz w:val="24"/>
          <w:szCs w:val="24"/>
        </w:rPr>
        <w:t xml:space="preserve"> periodicamente enviados pelo Poder Executivo a esta Casa de Leis</w:t>
      </w:r>
      <w:r w:rsidRPr="004A0D8A">
        <w:rPr>
          <w:rFonts w:ascii="Arial" w:hAnsi="Arial" w:cs="Arial"/>
          <w:sz w:val="24"/>
          <w:szCs w:val="24"/>
        </w:rPr>
        <w:t>.</w:t>
      </w:r>
    </w:p>
    <w:p w14:paraId="235E071A" w14:textId="77777777" w:rsidR="002374D7" w:rsidRPr="00AE57E1" w:rsidRDefault="002374D7" w:rsidP="002374D7">
      <w:pPr>
        <w:spacing w:line="360" w:lineRule="auto"/>
        <w:ind w:firstLine="851"/>
        <w:jc w:val="both"/>
        <w:rPr>
          <w:rFonts w:ascii="Arial" w:hAnsi="Arial" w:cs="Arial"/>
          <w:sz w:val="24"/>
          <w:szCs w:val="24"/>
        </w:rPr>
      </w:pPr>
    </w:p>
    <w:p w14:paraId="69432844" w14:textId="77777777" w:rsidR="002374D7" w:rsidRPr="0006164F" w:rsidRDefault="002374D7" w:rsidP="002374D7">
      <w:pPr>
        <w:spacing w:line="360" w:lineRule="auto"/>
        <w:ind w:firstLine="851"/>
        <w:jc w:val="both"/>
        <w:rPr>
          <w:rFonts w:ascii="Arial" w:hAnsi="Arial" w:cs="Arial"/>
          <w:b/>
          <w:sz w:val="24"/>
          <w:szCs w:val="24"/>
          <w:u w:val="single"/>
        </w:rPr>
      </w:pPr>
      <w:r w:rsidRPr="0006164F">
        <w:rPr>
          <w:rFonts w:ascii="Arial" w:hAnsi="Arial" w:cs="Arial"/>
          <w:b/>
          <w:sz w:val="24"/>
          <w:szCs w:val="24"/>
          <w:u w:val="single"/>
        </w:rPr>
        <w:t>7.7.2 – “Cessão de créditos” com deságio (fato gerador do ITCD)</w:t>
      </w:r>
    </w:p>
    <w:p w14:paraId="506C9EE8" w14:textId="77777777" w:rsidR="002374D7" w:rsidRPr="0006164F" w:rsidRDefault="002374D7" w:rsidP="002374D7">
      <w:pPr>
        <w:spacing w:line="360" w:lineRule="auto"/>
        <w:ind w:firstLine="851"/>
        <w:jc w:val="both"/>
        <w:rPr>
          <w:rFonts w:ascii="Arial" w:hAnsi="Arial" w:cs="Arial"/>
          <w:b/>
          <w:sz w:val="24"/>
          <w:szCs w:val="24"/>
        </w:rPr>
      </w:pPr>
    </w:p>
    <w:p w14:paraId="7218FAD4" w14:textId="77777777"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 xml:space="preserve">Chegou ao conhecimento desta CPI que é comum </w:t>
      </w:r>
      <w:r w:rsidRPr="0006164F">
        <w:rPr>
          <w:rFonts w:ascii="Arial" w:hAnsi="Arial" w:cs="Arial"/>
          <w:b/>
          <w:sz w:val="24"/>
          <w:szCs w:val="24"/>
        </w:rPr>
        <w:t>empresas que acumulam volume expressivo de crédito outorgado em sua escrita fiscal procederem à respectiva alienação (“venda”)</w:t>
      </w:r>
      <w:r w:rsidRPr="0006164F">
        <w:rPr>
          <w:rFonts w:ascii="Arial" w:hAnsi="Arial" w:cs="Arial"/>
          <w:sz w:val="24"/>
          <w:szCs w:val="24"/>
        </w:rPr>
        <w:t xml:space="preserve"> a outras que possuem débito de ICMS. Exemplo:</w:t>
      </w:r>
    </w:p>
    <w:p w14:paraId="435B7AF8" w14:textId="77777777" w:rsidR="002374D7" w:rsidRPr="0006164F" w:rsidRDefault="002374D7" w:rsidP="00502615">
      <w:pPr>
        <w:pStyle w:val="PargrafodaLista"/>
        <w:numPr>
          <w:ilvl w:val="0"/>
          <w:numId w:val="36"/>
        </w:numPr>
        <w:spacing w:line="360" w:lineRule="auto"/>
        <w:jc w:val="both"/>
        <w:rPr>
          <w:rFonts w:ascii="Arial" w:hAnsi="Arial" w:cs="Arial"/>
          <w:sz w:val="24"/>
          <w:szCs w:val="24"/>
        </w:rPr>
      </w:pPr>
      <w:r w:rsidRPr="0006164F">
        <w:rPr>
          <w:rFonts w:ascii="Arial" w:hAnsi="Arial" w:cs="Arial"/>
          <w:sz w:val="24"/>
          <w:szCs w:val="24"/>
          <w:u w:val="single"/>
        </w:rPr>
        <w:t>o estabelecimento A, grande atacadista, possui acumulado em sua escrita fiscal a quantia de R$ 1.000.000,00 (hum milhão de reais) a título de crédito outorgado</w:t>
      </w:r>
      <w:r w:rsidRPr="0006164F">
        <w:rPr>
          <w:rFonts w:ascii="Arial" w:hAnsi="Arial" w:cs="Arial"/>
          <w:sz w:val="24"/>
          <w:szCs w:val="24"/>
        </w:rPr>
        <w:t xml:space="preserve"> e o B, varejista de médio porte, possui um débito mensal de aproximadamente R$ 50.000,00 (cinquenta mil reais) de ICMS a recolher;</w:t>
      </w:r>
    </w:p>
    <w:p w14:paraId="278961EC" w14:textId="77777777" w:rsidR="002374D7" w:rsidRPr="0006164F" w:rsidRDefault="002374D7" w:rsidP="00502615">
      <w:pPr>
        <w:pStyle w:val="PargrafodaLista"/>
        <w:numPr>
          <w:ilvl w:val="0"/>
          <w:numId w:val="36"/>
        </w:numPr>
        <w:spacing w:line="360" w:lineRule="auto"/>
        <w:jc w:val="both"/>
        <w:rPr>
          <w:rFonts w:ascii="Arial" w:hAnsi="Arial" w:cs="Arial"/>
          <w:sz w:val="24"/>
          <w:szCs w:val="24"/>
        </w:rPr>
      </w:pPr>
      <w:r w:rsidRPr="0006164F">
        <w:rPr>
          <w:rFonts w:ascii="Arial" w:hAnsi="Arial" w:cs="Arial"/>
          <w:sz w:val="24"/>
          <w:szCs w:val="24"/>
          <w:u w:val="single"/>
        </w:rPr>
        <w:t>o estabelecimento B procura o A com interesse em se apropriar do respectivo crédito e o negociam com deságio</w:t>
      </w:r>
      <w:r w:rsidRPr="0006164F">
        <w:rPr>
          <w:rFonts w:ascii="Arial" w:hAnsi="Arial" w:cs="Arial"/>
          <w:sz w:val="24"/>
          <w:szCs w:val="24"/>
        </w:rPr>
        <w:t>, uma espécie de “desconto” (empresa A oferece por R$ 800.000,00, B oferece R$ 400.000,00 e acabam “fechando o negócio” por R$ 600.000,00);</w:t>
      </w:r>
    </w:p>
    <w:p w14:paraId="5C7E6ECD" w14:textId="77777777" w:rsidR="002374D7" w:rsidRPr="0006164F" w:rsidRDefault="002374D7" w:rsidP="00502615">
      <w:pPr>
        <w:pStyle w:val="PargrafodaLista"/>
        <w:numPr>
          <w:ilvl w:val="0"/>
          <w:numId w:val="36"/>
        </w:numPr>
        <w:spacing w:line="360" w:lineRule="auto"/>
        <w:jc w:val="both"/>
        <w:rPr>
          <w:rFonts w:ascii="Arial" w:hAnsi="Arial" w:cs="Arial"/>
          <w:sz w:val="24"/>
          <w:szCs w:val="24"/>
        </w:rPr>
      </w:pPr>
      <w:r w:rsidRPr="0006164F">
        <w:rPr>
          <w:rFonts w:ascii="Arial" w:hAnsi="Arial" w:cs="Arial"/>
          <w:sz w:val="24"/>
          <w:szCs w:val="24"/>
          <w:u w:val="single"/>
        </w:rPr>
        <w:t>após se apropriar do crédito outorgado recém-adquirido (R$ 1.000.000,00), por um preço significativamente inferior (R$ 600.000,00), o estabelecimento  B passa a utilizá-lo em sua escrita fiscal para deduzir o ICMS a recolher</w:t>
      </w:r>
      <w:r w:rsidRPr="0006164F">
        <w:rPr>
          <w:rFonts w:ascii="Arial" w:hAnsi="Arial" w:cs="Arial"/>
          <w:sz w:val="24"/>
          <w:szCs w:val="24"/>
        </w:rPr>
        <w:t>, de modo que o estabelecimento B possuirá crédito para dedução pelo período de 20 (vinte) meses (R$ 1.000.000,00 / R$ 50.000,00 = 20 meses);</w:t>
      </w:r>
    </w:p>
    <w:p w14:paraId="796DA707" w14:textId="77777777" w:rsidR="002374D7" w:rsidRPr="0006164F" w:rsidRDefault="002374D7" w:rsidP="00502615">
      <w:pPr>
        <w:pStyle w:val="PargrafodaLista"/>
        <w:numPr>
          <w:ilvl w:val="0"/>
          <w:numId w:val="36"/>
        </w:numPr>
        <w:spacing w:line="360" w:lineRule="auto"/>
        <w:jc w:val="both"/>
        <w:rPr>
          <w:rFonts w:ascii="Arial" w:hAnsi="Arial" w:cs="Arial"/>
          <w:sz w:val="24"/>
          <w:szCs w:val="24"/>
        </w:rPr>
      </w:pPr>
      <w:r w:rsidRPr="0006164F">
        <w:rPr>
          <w:rFonts w:ascii="Arial" w:hAnsi="Arial" w:cs="Arial"/>
          <w:sz w:val="24"/>
          <w:szCs w:val="24"/>
          <w:u w:val="single"/>
        </w:rPr>
        <w:t>porém, tendo em vista o deságio de 40% (quarenta por cento) acertado na negociação entre as partes</w:t>
      </w:r>
      <w:r w:rsidRPr="0006164F">
        <w:rPr>
          <w:rFonts w:ascii="Arial" w:hAnsi="Arial" w:cs="Arial"/>
          <w:sz w:val="24"/>
          <w:szCs w:val="24"/>
        </w:rPr>
        <w:t>, o débito de ICMS do estabelecimento B ao longo de 20 (vinte) meses, que seria de R$ 1.000.000,00 (um milhão de reais), acabou sendo quitada por R$ 600.000,00 (seiscentos mil reais).</w:t>
      </w:r>
    </w:p>
    <w:p w14:paraId="2B8A4231" w14:textId="607278F3" w:rsidR="00DC63A6" w:rsidRDefault="00F32627" w:rsidP="002374D7">
      <w:pPr>
        <w:spacing w:line="360" w:lineRule="auto"/>
        <w:ind w:firstLine="851"/>
        <w:jc w:val="both"/>
        <w:rPr>
          <w:rFonts w:ascii="Arial" w:hAnsi="Arial" w:cs="Arial"/>
          <w:sz w:val="24"/>
          <w:szCs w:val="24"/>
        </w:rPr>
      </w:pPr>
      <w:r>
        <w:rPr>
          <w:rFonts w:ascii="Arial" w:hAnsi="Arial" w:cs="Arial"/>
          <w:sz w:val="24"/>
          <w:szCs w:val="24"/>
        </w:rPr>
        <w:t>Situação ainda mais comum na transferência de créditos outorgados de ICMS ocorre em épocas de programas de remissão, anistia e regularização fiscal (R</w:t>
      </w:r>
      <w:r w:rsidRPr="00F32627">
        <w:rPr>
          <w:rFonts w:ascii="Arial" w:hAnsi="Arial" w:cs="Arial"/>
          <w:sz w:val="24"/>
          <w:szCs w:val="24"/>
        </w:rPr>
        <w:t>efis</w:t>
      </w:r>
      <w:r>
        <w:rPr>
          <w:rFonts w:ascii="Arial" w:hAnsi="Arial" w:cs="Arial"/>
          <w:sz w:val="24"/>
          <w:szCs w:val="24"/>
        </w:rPr>
        <w:t>), quando empresas que tenham débitos de ICMS se aproveitam das condições mais vantajosas para quitação e, como forma de pagamento, ainda “compram” aqueles créditos a um valor ainda inferior.</w:t>
      </w:r>
    </w:p>
    <w:p w14:paraId="3083F9BC" w14:textId="19CC3AB4" w:rsidR="00F32627" w:rsidRDefault="00F32627" w:rsidP="002374D7">
      <w:pPr>
        <w:spacing w:line="360" w:lineRule="auto"/>
        <w:ind w:firstLine="851"/>
        <w:jc w:val="both"/>
        <w:rPr>
          <w:rFonts w:ascii="Arial" w:hAnsi="Arial" w:cs="Arial"/>
          <w:sz w:val="24"/>
          <w:szCs w:val="24"/>
        </w:rPr>
      </w:pPr>
      <w:r>
        <w:rPr>
          <w:rFonts w:ascii="Arial" w:hAnsi="Arial" w:cs="Arial"/>
          <w:sz w:val="24"/>
          <w:szCs w:val="24"/>
        </w:rPr>
        <w:lastRenderedPageBreak/>
        <w:t xml:space="preserve">Por exemplo: </w:t>
      </w:r>
      <w:r w:rsidR="00DC63A6">
        <w:rPr>
          <w:rFonts w:ascii="Arial" w:hAnsi="Arial" w:cs="Arial"/>
          <w:sz w:val="24"/>
          <w:szCs w:val="24"/>
        </w:rPr>
        <w:t>a</w:t>
      </w:r>
      <w:r>
        <w:rPr>
          <w:rFonts w:ascii="Arial" w:hAnsi="Arial" w:cs="Arial"/>
          <w:sz w:val="24"/>
          <w:szCs w:val="24"/>
        </w:rPr>
        <w:t xml:space="preserve"> empresa </w:t>
      </w:r>
      <w:r w:rsidR="00DC63A6">
        <w:rPr>
          <w:rFonts w:ascii="Arial" w:hAnsi="Arial" w:cs="Arial"/>
          <w:sz w:val="24"/>
          <w:szCs w:val="24"/>
        </w:rPr>
        <w:t xml:space="preserve">A </w:t>
      </w:r>
      <w:r>
        <w:rPr>
          <w:rFonts w:ascii="Arial" w:hAnsi="Arial" w:cs="Arial"/>
          <w:sz w:val="24"/>
          <w:szCs w:val="24"/>
        </w:rPr>
        <w:t xml:space="preserve">possui débito de ICMS de R$ </w:t>
      </w:r>
      <w:r w:rsidR="005759D9">
        <w:rPr>
          <w:rFonts w:ascii="Arial" w:hAnsi="Arial" w:cs="Arial"/>
          <w:sz w:val="24"/>
          <w:szCs w:val="24"/>
        </w:rPr>
        <w:t>3</w:t>
      </w:r>
      <w:r>
        <w:rPr>
          <w:rFonts w:ascii="Arial" w:hAnsi="Arial" w:cs="Arial"/>
          <w:sz w:val="24"/>
          <w:szCs w:val="24"/>
        </w:rPr>
        <w:t>.000.000,00 (</w:t>
      </w:r>
      <w:r w:rsidR="005759D9">
        <w:rPr>
          <w:rFonts w:ascii="Arial" w:hAnsi="Arial" w:cs="Arial"/>
          <w:sz w:val="24"/>
          <w:szCs w:val="24"/>
        </w:rPr>
        <w:t>três</w:t>
      </w:r>
      <w:r>
        <w:rPr>
          <w:rFonts w:ascii="Arial" w:hAnsi="Arial" w:cs="Arial"/>
          <w:sz w:val="24"/>
          <w:szCs w:val="24"/>
        </w:rPr>
        <w:t xml:space="preserve"> milh</w:t>
      </w:r>
      <w:r w:rsidR="00DC63A6">
        <w:rPr>
          <w:rFonts w:ascii="Arial" w:hAnsi="Arial" w:cs="Arial"/>
          <w:sz w:val="24"/>
          <w:szCs w:val="24"/>
        </w:rPr>
        <w:t>ões de reais) e com sua adesão ao Refis pagará ape</w:t>
      </w:r>
      <w:r w:rsidR="005759D9">
        <w:rPr>
          <w:rFonts w:ascii="Arial" w:hAnsi="Arial" w:cs="Arial"/>
          <w:sz w:val="24"/>
          <w:szCs w:val="24"/>
        </w:rPr>
        <w:t>nas R$ 1</w:t>
      </w:r>
      <w:r w:rsidR="00DC63A6">
        <w:rPr>
          <w:rFonts w:ascii="Arial" w:hAnsi="Arial" w:cs="Arial"/>
          <w:sz w:val="24"/>
          <w:szCs w:val="24"/>
        </w:rPr>
        <w:t>.000.000,00 (</w:t>
      </w:r>
      <w:r w:rsidR="005759D9">
        <w:rPr>
          <w:rFonts w:ascii="Arial" w:hAnsi="Arial" w:cs="Arial"/>
          <w:sz w:val="24"/>
          <w:szCs w:val="24"/>
        </w:rPr>
        <w:t>um</w:t>
      </w:r>
      <w:r w:rsidR="00DC63A6">
        <w:rPr>
          <w:rFonts w:ascii="Arial" w:hAnsi="Arial" w:cs="Arial"/>
          <w:sz w:val="24"/>
          <w:szCs w:val="24"/>
        </w:rPr>
        <w:t xml:space="preserve"> </w:t>
      </w:r>
      <w:r w:rsidR="005759D9">
        <w:rPr>
          <w:rFonts w:ascii="Arial" w:hAnsi="Arial" w:cs="Arial"/>
          <w:sz w:val="24"/>
          <w:szCs w:val="24"/>
        </w:rPr>
        <w:t xml:space="preserve">milhão </w:t>
      </w:r>
      <w:r w:rsidR="00DC63A6">
        <w:rPr>
          <w:rFonts w:ascii="Arial" w:hAnsi="Arial" w:cs="Arial"/>
          <w:sz w:val="24"/>
          <w:szCs w:val="24"/>
        </w:rPr>
        <w:t xml:space="preserve">de reais); ela procura a empresa B, que tem acumulado em sua escrita fiscal essa última quantia a título de crédito outorgado, “fecham” o negócio por R$ </w:t>
      </w:r>
      <w:r w:rsidR="005759D9">
        <w:rPr>
          <w:rFonts w:ascii="Arial" w:hAnsi="Arial" w:cs="Arial"/>
          <w:sz w:val="24"/>
          <w:szCs w:val="24"/>
        </w:rPr>
        <w:t>5</w:t>
      </w:r>
      <w:r w:rsidR="00DC63A6">
        <w:rPr>
          <w:rFonts w:ascii="Arial" w:hAnsi="Arial" w:cs="Arial"/>
          <w:sz w:val="24"/>
          <w:szCs w:val="24"/>
        </w:rPr>
        <w:t>00.000,00 (</w:t>
      </w:r>
      <w:r w:rsidR="005759D9">
        <w:rPr>
          <w:rFonts w:ascii="Arial" w:hAnsi="Arial" w:cs="Arial"/>
          <w:sz w:val="24"/>
          <w:szCs w:val="24"/>
        </w:rPr>
        <w:t>quinhentos mil reais</w:t>
      </w:r>
      <w:r w:rsidR="0052397F">
        <w:rPr>
          <w:rFonts w:ascii="Arial" w:hAnsi="Arial" w:cs="Arial"/>
          <w:sz w:val="24"/>
          <w:szCs w:val="24"/>
        </w:rPr>
        <w:t>). Assim, a empresa A ganha 2 (duas) vezes: ao aderir ao Refis, com o que reduz seu débito, e ao adquirir o crédito outorgado com deságio visando à adesão ao Refis e consequente quitação integral da dívida.</w:t>
      </w:r>
    </w:p>
    <w:p w14:paraId="7EADC1B5" w14:textId="7391840E"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 xml:space="preserve">Inicialmente, </w:t>
      </w:r>
      <w:r w:rsidRPr="0006164F">
        <w:rPr>
          <w:rFonts w:ascii="Arial" w:hAnsi="Arial" w:cs="Arial"/>
          <w:b/>
          <w:sz w:val="24"/>
          <w:szCs w:val="24"/>
        </w:rPr>
        <w:t>registre-se que essa prática, embora cause certo espanto no senso comum, não é proibida em geral pela legislação</w:t>
      </w:r>
      <w:r w:rsidRPr="0006164F">
        <w:rPr>
          <w:rStyle w:val="Refdenotaderodap"/>
          <w:rFonts w:ascii="Arial" w:hAnsi="Arial" w:cs="Arial"/>
          <w:sz w:val="24"/>
          <w:szCs w:val="24"/>
        </w:rPr>
        <w:footnoteReference w:id="83"/>
      </w:r>
      <w:r w:rsidRPr="0006164F">
        <w:rPr>
          <w:rFonts w:ascii="Arial" w:hAnsi="Arial" w:cs="Arial"/>
          <w:sz w:val="24"/>
          <w:szCs w:val="24"/>
        </w:rPr>
        <w:t xml:space="preserve">; esta autoriza, via de regra, a cessão ou transferência de crédito, como mencionado no item 7.7.1 deste relatório, e os demais contornos do ajuste entre as partes seguem os parâmetros do Direito Civil. </w:t>
      </w:r>
    </w:p>
    <w:p w14:paraId="6AED3ADB" w14:textId="0CB70431"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b/>
          <w:bCs/>
          <w:sz w:val="24"/>
          <w:szCs w:val="24"/>
        </w:rPr>
        <w:t>Trata-se de um negócio muito lucrativo para os envolvidos em tais transações</w:t>
      </w:r>
      <w:r w:rsidRPr="0006164F">
        <w:rPr>
          <w:rFonts w:ascii="Arial" w:hAnsi="Arial" w:cs="Arial"/>
          <w:sz w:val="24"/>
          <w:szCs w:val="24"/>
        </w:rPr>
        <w:t>, na medida em que uma recebe gratuitamente do Estado, por exemplo, R$ 1.000.000,00 (um milhão de reais) em créditos do ICMS, para depois cedê-los a outra empresa em troca do pagamento de 50% (cinquenta por cento), em média, do valor de face dos créditos cedidos.</w:t>
      </w:r>
    </w:p>
    <w:p w14:paraId="29F7D860" w14:textId="7B460D6D"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b/>
          <w:bCs/>
          <w:sz w:val="24"/>
          <w:szCs w:val="24"/>
        </w:rPr>
        <w:t>Abstraindo-se da imoralidade desse tipo de negócio, apontou-se o seguinte questionamento</w:t>
      </w:r>
      <w:r w:rsidRPr="0006164F">
        <w:rPr>
          <w:rFonts w:ascii="Arial" w:hAnsi="Arial" w:cs="Arial"/>
          <w:sz w:val="24"/>
          <w:szCs w:val="24"/>
        </w:rPr>
        <w:t xml:space="preserve">: a parte dos créditos do ICMS cedidos gratuitamente – os outros 50% (cinquenta por cento), </w:t>
      </w:r>
      <w:r w:rsidR="00511094">
        <w:rPr>
          <w:rFonts w:ascii="Arial" w:hAnsi="Arial" w:cs="Arial"/>
          <w:sz w:val="24"/>
          <w:szCs w:val="24"/>
        </w:rPr>
        <w:t>em ambas as</w:t>
      </w:r>
      <w:r w:rsidRPr="0006164F">
        <w:rPr>
          <w:rFonts w:ascii="Arial" w:hAnsi="Arial" w:cs="Arial"/>
          <w:sz w:val="24"/>
          <w:szCs w:val="24"/>
        </w:rPr>
        <w:t xml:space="preserve"> situaç</w:t>
      </w:r>
      <w:r w:rsidR="00511094">
        <w:rPr>
          <w:rFonts w:ascii="Arial" w:hAnsi="Arial" w:cs="Arial"/>
          <w:sz w:val="24"/>
          <w:szCs w:val="24"/>
        </w:rPr>
        <w:t>ões</w:t>
      </w:r>
      <w:r w:rsidRPr="0006164F">
        <w:rPr>
          <w:rFonts w:ascii="Arial" w:hAnsi="Arial" w:cs="Arial"/>
          <w:sz w:val="24"/>
          <w:szCs w:val="24"/>
        </w:rPr>
        <w:t xml:space="preserve"> hipotética</w:t>
      </w:r>
      <w:r w:rsidR="00511094">
        <w:rPr>
          <w:rFonts w:ascii="Arial" w:hAnsi="Arial" w:cs="Arial"/>
          <w:sz w:val="24"/>
          <w:szCs w:val="24"/>
        </w:rPr>
        <w:t>s</w:t>
      </w:r>
      <w:r w:rsidRPr="0006164F">
        <w:rPr>
          <w:rFonts w:ascii="Arial" w:hAnsi="Arial" w:cs="Arial"/>
          <w:sz w:val="24"/>
          <w:szCs w:val="24"/>
        </w:rPr>
        <w:t xml:space="preserve"> – constitui fato gerador do imposto estadual sobre causa mortis e doações – ITCD? A regra matriz de incidência dessa espécie tributária responde que sim.</w:t>
      </w:r>
    </w:p>
    <w:p w14:paraId="2434953F" w14:textId="77777777"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 xml:space="preserve">O </w:t>
      </w:r>
      <w:r w:rsidRPr="0006164F">
        <w:rPr>
          <w:rFonts w:ascii="Arial" w:hAnsi="Arial" w:cs="Arial"/>
          <w:b/>
          <w:bCs/>
          <w:sz w:val="24"/>
          <w:szCs w:val="24"/>
        </w:rPr>
        <w:t>artigo 155, I, da CRFB</w:t>
      </w:r>
      <w:r w:rsidRPr="0006164F">
        <w:rPr>
          <w:rFonts w:ascii="Arial" w:hAnsi="Arial" w:cs="Arial"/>
          <w:sz w:val="24"/>
          <w:szCs w:val="24"/>
        </w:rPr>
        <w:t xml:space="preserve"> prescreve que a transmissão </w:t>
      </w:r>
      <w:r w:rsidRPr="0006164F">
        <w:rPr>
          <w:rFonts w:ascii="Arial" w:hAnsi="Arial" w:cs="Arial"/>
          <w:i/>
          <w:iCs/>
          <w:sz w:val="24"/>
          <w:szCs w:val="24"/>
        </w:rPr>
        <w:t>causa</w:t>
      </w:r>
      <w:r w:rsidRPr="0006164F">
        <w:rPr>
          <w:rFonts w:ascii="Arial" w:hAnsi="Arial" w:cs="Arial"/>
          <w:sz w:val="24"/>
          <w:szCs w:val="24"/>
        </w:rPr>
        <w:t xml:space="preserve"> </w:t>
      </w:r>
      <w:r w:rsidRPr="0006164F">
        <w:rPr>
          <w:rFonts w:ascii="Arial" w:hAnsi="Arial" w:cs="Arial"/>
          <w:i/>
          <w:iCs/>
          <w:sz w:val="24"/>
          <w:szCs w:val="24"/>
        </w:rPr>
        <w:t>mortis</w:t>
      </w:r>
      <w:r w:rsidRPr="0006164F">
        <w:rPr>
          <w:rFonts w:ascii="Arial" w:hAnsi="Arial" w:cs="Arial"/>
          <w:sz w:val="24"/>
          <w:szCs w:val="24"/>
        </w:rPr>
        <w:t xml:space="preserve">, bem como a doação de qualquer bem ou direito, constitui o fator gerador do ITCD. No caso em questão o critério material da regra matriz é a </w:t>
      </w:r>
      <w:r w:rsidRPr="0006164F">
        <w:rPr>
          <w:rFonts w:ascii="Arial" w:hAnsi="Arial" w:cs="Arial"/>
          <w:sz w:val="24"/>
          <w:szCs w:val="24"/>
          <w:u w:val="single"/>
        </w:rPr>
        <w:t>doação (transmissão não onerosa) entre pessoas vivas de quaisquer bens ou direitos</w:t>
      </w:r>
      <w:r w:rsidRPr="0006164F">
        <w:rPr>
          <w:rFonts w:ascii="Arial" w:hAnsi="Arial" w:cs="Arial"/>
          <w:sz w:val="24"/>
          <w:szCs w:val="24"/>
        </w:rPr>
        <w:t>.</w:t>
      </w:r>
    </w:p>
    <w:p w14:paraId="104E5879" w14:textId="77777777"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lastRenderedPageBreak/>
        <w:t xml:space="preserve">Nessa senda, dúvidas não restam de que o crédito do ICMS se trata de um direito do contribuinte registrado no ativo circulante de seus tomos comerciais, sendo assim a </w:t>
      </w:r>
      <w:r w:rsidRPr="0006164F">
        <w:rPr>
          <w:rFonts w:ascii="Arial" w:hAnsi="Arial" w:cs="Arial"/>
          <w:b/>
          <w:bCs/>
          <w:sz w:val="24"/>
          <w:szCs w:val="24"/>
        </w:rPr>
        <w:t>cessão não onerosa desse direito, parcial ou total, configura fato imponível do ITCD</w:t>
      </w:r>
      <w:r w:rsidRPr="0006164F">
        <w:rPr>
          <w:rFonts w:ascii="Arial" w:hAnsi="Arial" w:cs="Arial"/>
          <w:sz w:val="24"/>
          <w:szCs w:val="24"/>
        </w:rPr>
        <w:t xml:space="preserve">, conforme previsão clara dos arts. 72 e seguintes do CTE/GO, </w:t>
      </w:r>
      <w:r w:rsidRPr="0006164F">
        <w:rPr>
          <w:rFonts w:ascii="Arial" w:hAnsi="Arial" w:cs="Arial"/>
          <w:i/>
          <w:sz w:val="24"/>
          <w:szCs w:val="24"/>
        </w:rPr>
        <w:t>in verbis</w:t>
      </w:r>
      <w:r w:rsidRPr="0006164F">
        <w:rPr>
          <w:rFonts w:ascii="Arial" w:hAnsi="Arial" w:cs="Arial"/>
          <w:sz w:val="24"/>
          <w:szCs w:val="24"/>
        </w:rPr>
        <w:t>:</w:t>
      </w:r>
    </w:p>
    <w:p w14:paraId="28A4D17B" w14:textId="77777777" w:rsidR="002374D7" w:rsidRPr="0006164F" w:rsidRDefault="002374D7" w:rsidP="002374D7">
      <w:pPr>
        <w:spacing w:line="360" w:lineRule="auto"/>
        <w:ind w:firstLine="851"/>
        <w:jc w:val="both"/>
        <w:rPr>
          <w:rFonts w:ascii="Arial" w:hAnsi="Arial" w:cs="Arial"/>
          <w:sz w:val="24"/>
          <w:szCs w:val="24"/>
        </w:rPr>
      </w:pPr>
    </w:p>
    <w:p w14:paraId="56052603" w14:textId="77777777" w:rsidR="002374D7" w:rsidRPr="0006164F" w:rsidRDefault="002374D7" w:rsidP="002374D7">
      <w:pPr>
        <w:ind w:left="2268"/>
        <w:jc w:val="both"/>
        <w:rPr>
          <w:rFonts w:ascii="Arial" w:hAnsi="Arial" w:cs="Arial"/>
          <w:sz w:val="22"/>
          <w:szCs w:val="22"/>
        </w:rPr>
      </w:pPr>
      <w:bookmarkStart w:id="358" w:name="A72"/>
      <w:r w:rsidRPr="0006164F">
        <w:rPr>
          <w:rFonts w:ascii="Arial" w:hAnsi="Arial" w:cs="Arial"/>
          <w:b/>
          <w:sz w:val="22"/>
          <w:szCs w:val="22"/>
        </w:rPr>
        <w:t xml:space="preserve">Art. 72. </w:t>
      </w:r>
      <w:r w:rsidRPr="0006164F">
        <w:rPr>
          <w:rFonts w:ascii="Arial" w:hAnsi="Arial" w:cs="Arial"/>
          <w:sz w:val="22"/>
          <w:szCs w:val="22"/>
        </w:rPr>
        <w:t xml:space="preserve">O </w:t>
      </w:r>
      <w:r w:rsidRPr="0006164F">
        <w:rPr>
          <w:rFonts w:ascii="Arial" w:hAnsi="Arial" w:cs="Arial"/>
          <w:b/>
          <w:sz w:val="22"/>
          <w:szCs w:val="22"/>
          <w:u w:val="single"/>
        </w:rPr>
        <w:t>ITCD</w:t>
      </w:r>
      <w:r w:rsidRPr="0006164F">
        <w:rPr>
          <w:rFonts w:ascii="Arial" w:hAnsi="Arial" w:cs="Arial"/>
          <w:sz w:val="22"/>
          <w:szCs w:val="22"/>
        </w:rPr>
        <w:t xml:space="preserve"> incide sobre a </w:t>
      </w:r>
      <w:r w:rsidRPr="0006164F">
        <w:rPr>
          <w:rFonts w:ascii="Arial" w:hAnsi="Arial" w:cs="Arial"/>
          <w:b/>
          <w:sz w:val="22"/>
          <w:szCs w:val="22"/>
          <w:u w:val="single"/>
        </w:rPr>
        <w:t>transmissão de quaisquer bens ou direitos por</w:t>
      </w:r>
      <w:r w:rsidRPr="0006164F">
        <w:rPr>
          <w:rFonts w:ascii="Arial" w:hAnsi="Arial" w:cs="Arial"/>
          <w:sz w:val="22"/>
          <w:szCs w:val="22"/>
        </w:rPr>
        <w:t>:</w:t>
      </w:r>
    </w:p>
    <w:p w14:paraId="1E902220" w14:textId="77777777" w:rsidR="002374D7" w:rsidRPr="0006164F" w:rsidRDefault="002374D7" w:rsidP="002374D7">
      <w:pPr>
        <w:ind w:left="2268"/>
        <w:jc w:val="both"/>
        <w:rPr>
          <w:rFonts w:ascii="Arial" w:hAnsi="Arial" w:cs="Arial"/>
          <w:sz w:val="22"/>
          <w:szCs w:val="22"/>
        </w:rPr>
      </w:pPr>
      <w:bookmarkStart w:id="359" w:name="A72I"/>
      <w:r w:rsidRPr="0006164F">
        <w:rPr>
          <w:rFonts w:ascii="Arial" w:hAnsi="Arial" w:cs="Arial"/>
          <w:sz w:val="22"/>
          <w:szCs w:val="22"/>
        </w:rPr>
        <w:t>[...].</w:t>
      </w:r>
    </w:p>
    <w:p w14:paraId="1A79E1B8" w14:textId="77777777" w:rsidR="002374D7" w:rsidRPr="0006164F" w:rsidRDefault="002374D7" w:rsidP="002374D7">
      <w:pPr>
        <w:ind w:left="2268"/>
        <w:jc w:val="both"/>
        <w:rPr>
          <w:rFonts w:ascii="Arial" w:hAnsi="Arial" w:cs="Arial"/>
          <w:sz w:val="22"/>
          <w:szCs w:val="22"/>
        </w:rPr>
      </w:pPr>
      <w:bookmarkStart w:id="360" w:name="A72II"/>
      <w:bookmarkEnd w:id="359"/>
      <w:r w:rsidRPr="0006164F">
        <w:rPr>
          <w:rFonts w:ascii="Arial" w:hAnsi="Arial" w:cs="Arial"/>
          <w:b/>
          <w:sz w:val="22"/>
          <w:szCs w:val="22"/>
        </w:rPr>
        <w:t>II - doação</w:t>
      </w:r>
      <w:r w:rsidRPr="0006164F">
        <w:rPr>
          <w:rFonts w:ascii="Arial" w:hAnsi="Arial" w:cs="Arial"/>
          <w:sz w:val="22"/>
          <w:szCs w:val="22"/>
        </w:rPr>
        <w:t>, inclusive com encargos ou ônus.</w:t>
      </w:r>
      <w:bookmarkEnd w:id="358"/>
      <w:bookmarkEnd w:id="360"/>
    </w:p>
    <w:p w14:paraId="50D51D3E"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1ACFC5B7" w14:textId="77777777" w:rsidR="002374D7" w:rsidRPr="0006164F" w:rsidRDefault="002374D7" w:rsidP="002374D7">
      <w:pPr>
        <w:ind w:left="2268"/>
        <w:jc w:val="both"/>
        <w:rPr>
          <w:rFonts w:ascii="Arial" w:hAnsi="Arial" w:cs="Arial"/>
          <w:sz w:val="22"/>
          <w:szCs w:val="22"/>
        </w:rPr>
      </w:pPr>
      <w:bookmarkStart w:id="361" w:name="A72P2"/>
      <w:r w:rsidRPr="0006164F">
        <w:rPr>
          <w:rFonts w:ascii="Arial" w:hAnsi="Arial" w:cs="Arial"/>
          <w:b/>
          <w:sz w:val="22"/>
          <w:szCs w:val="22"/>
        </w:rPr>
        <w:t>§ 2º - Doação é</w:t>
      </w:r>
      <w:r w:rsidRPr="0006164F">
        <w:rPr>
          <w:rFonts w:ascii="Arial" w:hAnsi="Arial" w:cs="Arial"/>
          <w:sz w:val="22"/>
          <w:szCs w:val="22"/>
        </w:rPr>
        <w:t xml:space="preserve">: </w:t>
      </w:r>
    </w:p>
    <w:p w14:paraId="2FE0D06D" w14:textId="77777777" w:rsidR="002374D7" w:rsidRPr="0006164F" w:rsidRDefault="002374D7" w:rsidP="002374D7">
      <w:pPr>
        <w:ind w:left="2268"/>
        <w:jc w:val="both"/>
        <w:rPr>
          <w:rFonts w:ascii="Arial" w:hAnsi="Arial" w:cs="Arial"/>
          <w:sz w:val="22"/>
          <w:szCs w:val="22"/>
        </w:rPr>
      </w:pPr>
      <w:bookmarkStart w:id="362" w:name="A72P2I"/>
      <w:bookmarkEnd w:id="361"/>
      <w:r w:rsidRPr="0006164F">
        <w:rPr>
          <w:rFonts w:ascii="Arial" w:hAnsi="Arial" w:cs="Arial"/>
          <w:sz w:val="22"/>
          <w:szCs w:val="22"/>
          <w:u w:val="single"/>
        </w:rPr>
        <w:t>I - o ato contratual ou a situação</w:t>
      </w:r>
      <w:r w:rsidRPr="0006164F">
        <w:rPr>
          <w:rFonts w:ascii="Arial" w:hAnsi="Arial" w:cs="Arial"/>
          <w:b/>
          <w:sz w:val="22"/>
          <w:szCs w:val="22"/>
          <w:u w:val="single"/>
        </w:rPr>
        <w:t xml:space="preserve"> </w:t>
      </w:r>
      <w:r w:rsidRPr="0006164F">
        <w:rPr>
          <w:rFonts w:ascii="Arial" w:hAnsi="Arial" w:cs="Arial"/>
          <w:sz w:val="22"/>
          <w:szCs w:val="22"/>
          <w:u w:val="single"/>
        </w:rPr>
        <w:t>em que o doador, por liberalidade, transmite bem, vantagem ou direito de seu patrimônio ao donatário que o aceita, expressa, tácita ou presumidamente</w:t>
      </w:r>
      <w:r w:rsidRPr="0006164F">
        <w:rPr>
          <w:rFonts w:ascii="Arial" w:hAnsi="Arial" w:cs="Arial"/>
          <w:sz w:val="22"/>
          <w:szCs w:val="22"/>
        </w:rPr>
        <w:t xml:space="preserve">; </w:t>
      </w:r>
    </w:p>
    <w:p w14:paraId="5EA8C25B" w14:textId="77777777" w:rsidR="002374D7" w:rsidRPr="0006164F" w:rsidRDefault="002374D7" w:rsidP="002374D7">
      <w:pPr>
        <w:ind w:left="2268"/>
        <w:jc w:val="both"/>
        <w:rPr>
          <w:rFonts w:ascii="Arial" w:hAnsi="Arial" w:cs="Arial"/>
          <w:sz w:val="22"/>
          <w:szCs w:val="22"/>
        </w:rPr>
      </w:pPr>
      <w:bookmarkStart w:id="363" w:name="A72P2II"/>
      <w:bookmarkEnd w:id="362"/>
      <w:r w:rsidRPr="0006164F">
        <w:rPr>
          <w:rFonts w:ascii="Arial" w:hAnsi="Arial" w:cs="Arial"/>
          <w:sz w:val="22"/>
          <w:szCs w:val="22"/>
          <w:u w:val="single"/>
        </w:rPr>
        <w:t>II - a cessão não onerosa, a renúncia em favor de determinada pessoa</w:t>
      </w:r>
      <w:r w:rsidRPr="0006164F">
        <w:rPr>
          <w:rFonts w:ascii="Arial" w:hAnsi="Arial" w:cs="Arial"/>
          <w:sz w:val="22"/>
          <w:szCs w:val="22"/>
        </w:rPr>
        <w:t xml:space="preserve">, a instituição convencional de direito real e o excedente de quinhão ou de meação. </w:t>
      </w:r>
      <w:bookmarkEnd w:id="363"/>
    </w:p>
    <w:p w14:paraId="0B351852" w14:textId="77777777" w:rsidR="002374D7" w:rsidRPr="0006164F" w:rsidRDefault="002374D7" w:rsidP="002374D7">
      <w:pPr>
        <w:ind w:left="2268"/>
        <w:jc w:val="both"/>
        <w:rPr>
          <w:rFonts w:ascii="Arial" w:hAnsi="Arial" w:cs="Arial"/>
          <w:sz w:val="22"/>
          <w:szCs w:val="22"/>
        </w:rPr>
      </w:pPr>
      <w:bookmarkStart w:id="364" w:name="A72P3"/>
      <w:r w:rsidRPr="0006164F">
        <w:rPr>
          <w:rFonts w:ascii="Arial" w:hAnsi="Arial" w:cs="Arial"/>
          <w:b/>
          <w:sz w:val="22"/>
          <w:szCs w:val="22"/>
        </w:rPr>
        <w:t>§ 3º Entende-se como qualquer bem ou direito, o</w:t>
      </w:r>
      <w:r w:rsidRPr="0006164F">
        <w:rPr>
          <w:rFonts w:ascii="Arial" w:hAnsi="Arial" w:cs="Arial"/>
          <w:sz w:val="22"/>
          <w:szCs w:val="22"/>
        </w:rPr>
        <w:t>:</w:t>
      </w:r>
      <w:bookmarkEnd w:id="364"/>
    </w:p>
    <w:p w14:paraId="0EF2AD8D" w14:textId="77777777" w:rsidR="002374D7" w:rsidRPr="0006164F" w:rsidRDefault="002374D7" w:rsidP="002374D7">
      <w:pPr>
        <w:ind w:left="2268"/>
        <w:jc w:val="both"/>
        <w:rPr>
          <w:rFonts w:ascii="Arial" w:hAnsi="Arial" w:cs="Arial"/>
          <w:sz w:val="22"/>
          <w:szCs w:val="22"/>
        </w:rPr>
      </w:pPr>
      <w:bookmarkStart w:id="365" w:name="A72P3II"/>
      <w:r w:rsidRPr="0006164F">
        <w:rPr>
          <w:rFonts w:ascii="Arial" w:hAnsi="Arial" w:cs="Arial"/>
          <w:sz w:val="22"/>
          <w:szCs w:val="22"/>
        </w:rPr>
        <w:t>[...].</w:t>
      </w:r>
    </w:p>
    <w:p w14:paraId="0EF8B0B3" w14:textId="77777777" w:rsidR="002374D7" w:rsidRPr="0006164F" w:rsidRDefault="002374D7" w:rsidP="002374D7">
      <w:pPr>
        <w:ind w:left="2268"/>
        <w:jc w:val="both"/>
        <w:rPr>
          <w:rFonts w:ascii="Arial" w:hAnsi="Arial" w:cs="Arial"/>
          <w:sz w:val="22"/>
          <w:szCs w:val="22"/>
        </w:rPr>
      </w:pPr>
      <w:r w:rsidRPr="0006164F">
        <w:rPr>
          <w:rFonts w:ascii="Arial" w:hAnsi="Arial" w:cs="Arial"/>
          <w:b/>
          <w:sz w:val="22"/>
          <w:szCs w:val="22"/>
        </w:rPr>
        <w:t>II - bem móvel e os direitos a ele relativos</w:t>
      </w:r>
      <w:r w:rsidRPr="0006164F">
        <w:rPr>
          <w:rFonts w:ascii="Arial" w:hAnsi="Arial" w:cs="Arial"/>
          <w:sz w:val="22"/>
          <w:szCs w:val="22"/>
        </w:rPr>
        <w:t>, mesmo que representado por título, crédito, certificado ou registro, inclusive:</w:t>
      </w:r>
      <w:bookmarkEnd w:id="365"/>
    </w:p>
    <w:p w14:paraId="759F7886"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01DFA10C"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u w:val="single"/>
        </w:rPr>
        <w:t xml:space="preserve">f) </w:t>
      </w:r>
      <w:bookmarkStart w:id="366" w:name="A72P3IIf"/>
      <w:r w:rsidRPr="0006164F">
        <w:rPr>
          <w:rFonts w:ascii="Arial" w:hAnsi="Arial" w:cs="Arial"/>
          <w:sz w:val="22"/>
          <w:szCs w:val="22"/>
          <w:u w:val="single"/>
        </w:rPr>
        <w:t>qualquer outra parcela do patrimônio que for passível de mercancia ou de transmissão</w:t>
      </w:r>
      <w:r w:rsidRPr="0006164F">
        <w:rPr>
          <w:rFonts w:ascii="Arial" w:hAnsi="Arial" w:cs="Arial"/>
          <w:sz w:val="22"/>
          <w:szCs w:val="22"/>
        </w:rPr>
        <w:t>;</w:t>
      </w:r>
      <w:bookmarkEnd w:id="366"/>
    </w:p>
    <w:p w14:paraId="7B320047"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4841A978" w14:textId="77777777" w:rsidR="002374D7" w:rsidRPr="0006164F" w:rsidRDefault="002374D7" w:rsidP="002374D7">
      <w:pPr>
        <w:ind w:left="2268"/>
        <w:jc w:val="both"/>
        <w:rPr>
          <w:rFonts w:ascii="Arial" w:hAnsi="Arial" w:cs="Arial"/>
          <w:sz w:val="22"/>
          <w:szCs w:val="22"/>
        </w:rPr>
      </w:pPr>
    </w:p>
    <w:p w14:paraId="1A0F2CF3" w14:textId="77777777" w:rsidR="002374D7" w:rsidRPr="0006164F" w:rsidRDefault="002374D7" w:rsidP="002374D7">
      <w:pPr>
        <w:ind w:left="2268"/>
        <w:jc w:val="both"/>
        <w:rPr>
          <w:rFonts w:ascii="Arial" w:hAnsi="Arial" w:cs="Arial"/>
          <w:sz w:val="22"/>
          <w:szCs w:val="22"/>
        </w:rPr>
      </w:pPr>
      <w:bookmarkStart w:id="367" w:name="A74"/>
      <w:r w:rsidRPr="0006164F">
        <w:rPr>
          <w:rFonts w:ascii="Arial" w:hAnsi="Arial" w:cs="Arial"/>
          <w:b/>
          <w:sz w:val="22"/>
          <w:szCs w:val="22"/>
        </w:rPr>
        <w:t>Art. 74.</w:t>
      </w:r>
      <w:r w:rsidRPr="0006164F">
        <w:rPr>
          <w:rFonts w:ascii="Arial" w:hAnsi="Arial" w:cs="Arial"/>
          <w:sz w:val="22"/>
          <w:szCs w:val="22"/>
        </w:rPr>
        <w:t xml:space="preserve"> Ocorre o fato gerador do ITCD:</w:t>
      </w:r>
      <w:bookmarkEnd w:id="367"/>
    </w:p>
    <w:p w14:paraId="533C1D46"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443BECB5"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III - na data da formalização do ato ou negócio jurídico, nos casos não previstos nos incisos anteriores.</w:t>
      </w:r>
    </w:p>
    <w:p w14:paraId="49F4B345"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4B8E3DE6" w14:textId="77777777" w:rsidR="002374D7" w:rsidRPr="0006164F" w:rsidRDefault="002374D7" w:rsidP="002374D7">
      <w:pPr>
        <w:ind w:left="2268"/>
        <w:jc w:val="both"/>
        <w:rPr>
          <w:rFonts w:ascii="Arial" w:hAnsi="Arial" w:cs="Arial"/>
          <w:sz w:val="22"/>
          <w:szCs w:val="22"/>
        </w:rPr>
      </w:pPr>
    </w:p>
    <w:p w14:paraId="2AE9869C" w14:textId="77777777" w:rsidR="002374D7" w:rsidRPr="0006164F" w:rsidRDefault="002374D7" w:rsidP="002374D7">
      <w:pPr>
        <w:ind w:left="2268"/>
        <w:jc w:val="both"/>
        <w:rPr>
          <w:rFonts w:ascii="Arial" w:hAnsi="Arial" w:cs="Arial"/>
          <w:sz w:val="22"/>
          <w:szCs w:val="22"/>
        </w:rPr>
      </w:pPr>
      <w:r w:rsidRPr="0006164F">
        <w:rPr>
          <w:rFonts w:ascii="Arial" w:hAnsi="Arial" w:cs="Arial"/>
          <w:b/>
          <w:sz w:val="22"/>
          <w:szCs w:val="22"/>
        </w:rPr>
        <w:t xml:space="preserve">Art. 77. </w:t>
      </w:r>
      <w:r w:rsidRPr="0006164F">
        <w:rPr>
          <w:rFonts w:ascii="Arial" w:hAnsi="Arial" w:cs="Arial"/>
          <w:sz w:val="22"/>
          <w:szCs w:val="22"/>
        </w:rPr>
        <w:t xml:space="preserve">A </w:t>
      </w:r>
      <w:r w:rsidRPr="0006164F">
        <w:rPr>
          <w:rFonts w:ascii="Arial" w:hAnsi="Arial" w:cs="Arial"/>
          <w:b/>
          <w:sz w:val="22"/>
          <w:szCs w:val="22"/>
          <w:u w:val="single"/>
        </w:rPr>
        <w:t>base de cálculo</w:t>
      </w:r>
      <w:r w:rsidRPr="0006164F">
        <w:rPr>
          <w:rFonts w:ascii="Arial" w:hAnsi="Arial" w:cs="Arial"/>
          <w:sz w:val="22"/>
          <w:szCs w:val="22"/>
        </w:rPr>
        <w:t xml:space="preserve"> do ITCD é o valor de mercado do bem ou direito transmitido por </w:t>
      </w:r>
      <w:r w:rsidRPr="0006164F">
        <w:rPr>
          <w:rFonts w:ascii="Arial" w:hAnsi="Arial" w:cs="Arial"/>
          <w:i/>
          <w:iCs/>
          <w:sz w:val="22"/>
          <w:szCs w:val="22"/>
        </w:rPr>
        <w:t>causa mortis</w:t>
      </w:r>
      <w:r w:rsidRPr="0006164F">
        <w:rPr>
          <w:rFonts w:ascii="Arial" w:hAnsi="Arial" w:cs="Arial"/>
          <w:sz w:val="22"/>
          <w:szCs w:val="22"/>
        </w:rPr>
        <w:t xml:space="preserve"> ou por doação.</w:t>
      </w:r>
    </w:p>
    <w:p w14:paraId="5BDDD148" w14:textId="77777777" w:rsidR="002374D7" w:rsidRPr="0006164F" w:rsidRDefault="002374D7" w:rsidP="002374D7">
      <w:pPr>
        <w:ind w:left="2268"/>
        <w:jc w:val="both"/>
        <w:rPr>
          <w:rFonts w:ascii="Arial" w:hAnsi="Arial" w:cs="Arial"/>
          <w:sz w:val="22"/>
          <w:szCs w:val="22"/>
        </w:rPr>
      </w:pPr>
      <w:bookmarkStart w:id="368" w:name="A77P1"/>
      <w:r w:rsidRPr="0006164F">
        <w:rPr>
          <w:rFonts w:ascii="Arial" w:hAnsi="Arial" w:cs="Arial"/>
          <w:sz w:val="22"/>
          <w:szCs w:val="22"/>
        </w:rPr>
        <w:t>§ 1º O valor de mercado é apurado mediante avaliação judicial ou avaliação procedida pela Fazenda Pública Estadual e expresso em moeda nacional na data da declaração ou da avaliação.</w:t>
      </w:r>
      <w:bookmarkEnd w:id="368"/>
    </w:p>
    <w:p w14:paraId="67B2A35A" w14:textId="77777777" w:rsidR="002374D7" w:rsidRPr="0006164F" w:rsidRDefault="002374D7" w:rsidP="002374D7">
      <w:pPr>
        <w:ind w:left="2268"/>
        <w:jc w:val="both"/>
        <w:rPr>
          <w:rFonts w:ascii="Arial" w:hAnsi="Arial" w:cs="Arial"/>
          <w:sz w:val="22"/>
          <w:szCs w:val="22"/>
        </w:rPr>
      </w:pPr>
    </w:p>
    <w:p w14:paraId="4B3198A0" w14:textId="77777777" w:rsidR="002374D7" w:rsidRPr="0006164F" w:rsidRDefault="002374D7" w:rsidP="002374D7">
      <w:pPr>
        <w:ind w:left="2268"/>
        <w:jc w:val="both"/>
        <w:rPr>
          <w:rFonts w:ascii="Arial" w:hAnsi="Arial" w:cs="Arial"/>
          <w:sz w:val="22"/>
          <w:szCs w:val="22"/>
        </w:rPr>
      </w:pPr>
      <w:r w:rsidRPr="0006164F">
        <w:rPr>
          <w:rFonts w:ascii="Arial" w:hAnsi="Arial" w:cs="Arial"/>
          <w:b/>
          <w:sz w:val="22"/>
          <w:szCs w:val="22"/>
        </w:rPr>
        <w:t xml:space="preserve">Art. 78. </w:t>
      </w:r>
      <w:r w:rsidRPr="0006164F">
        <w:rPr>
          <w:rFonts w:ascii="Arial" w:hAnsi="Arial" w:cs="Arial"/>
          <w:sz w:val="22"/>
          <w:szCs w:val="22"/>
        </w:rPr>
        <w:t xml:space="preserve">As </w:t>
      </w:r>
      <w:r w:rsidRPr="0006164F">
        <w:rPr>
          <w:rFonts w:ascii="Arial" w:hAnsi="Arial" w:cs="Arial"/>
          <w:b/>
          <w:sz w:val="22"/>
          <w:szCs w:val="22"/>
          <w:u w:val="single"/>
        </w:rPr>
        <w:t>alíquotas progressivas</w:t>
      </w:r>
      <w:r w:rsidRPr="0006164F">
        <w:rPr>
          <w:rFonts w:ascii="Arial" w:hAnsi="Arial" w:cs="Arial"/>
          <w:sz w:val="22"/>
          <w:szCs w:val="22"/>
        </w:rPr>
        <w:t xml:space="preserve"> do ITCD são: </w:t>
      </w:r>
    </w:p>
    <w:p w14:paraId="48B8FF4D" w14:textId="77777777" w:rsidR="002374D7" w:rsidRPr="0006164F" w:rsidRDefault="002374D7" w:rsidP="002374D7">
      <w:pPr>
        <w:ind w:left="2268"/>
        <w:jc w:val="both"/>
        <w:rPr>
          <w:rFonts w:ascii="Arial" w:hAnsi="Arial" w:cs="Arial"/>
          <w:sz w:val="22"/>
          <w:szCs w:val="22"/>
        </w:rPr>
      </w:pPr>
      <w:r w:rsidRPr="0006164F">
        <w:rPr>
          <w:rFonts w:ascii="Arial" w:hAnsi="Arial" w:cs="Arial"/>
          <w:b/>
          <w:sz w:val="22"/>
          <w:szCs w:val="22"/>
        </w:rPr>
        <w:t>I - de 2% (dois por cento)</w:t>
      </w:r>
      <w:r w:rsidRPr="0006164F">
        <w:rPr>
          <w:rFonts w:ascii="Arial" w:hAnsi="Arial" w:cs="Arial"/>
          <w:sz w:val="22"/>
          <w:szCs w:val="22"/>
        </w:rPr>
        <w:t xml:space="preserve">, quando o valor da base de cálculo for até R$ 25.000,00 (vinte e cinco mil reais); </w:t>
      </w:r>
    </w:p>
    <w:p w14:paraId="7C270A41" w14:textId="77777777" w:rsidR="002374D7" w:rsidRPr="0006164F" w:rsidRDefault="002374D7" w:rsidP="002374D7">
      <w:pPr>
        <w:ind w:left="2268"/>
        <w:jc w:val="both"/>
        <w:rPr>
          <w:rFonts w:ascii="Arial" w:hAnsi="Arial" w:cs="Arial"/>
          <w:sz w:val="22"/>
          <w:szCs w:val="22"/>
        </w:rPr>
      </w:pPr>
      <w:r w:rsidRPr="0006164F">
        <w:rPr>
          <w:rFonts w:ascii="Arial" w:hAnsi="Arial" w:cs="Arial"/>
          <w:b/>
          <w:sz w:val="22"/>
          <w:szCs w:val="22"/>
        </w:rPr>
        <w:t>II - de 4% (quatro por cento)</w:t>
      </w:r>
      <w:r w:rsidRPr="0006164F">
        <w:rPr>
          <w:rFonts w:ascii="Arial" w:hAnsi="Arial" w:cs="Arial"/>
          <w:sz w:val="22"/>
          <w:szCs w:val="22"/>
        </w:rPr>
        <w:t xml:space="preserve">, sobre o valor da base de cálculo que exceder a R$ 25.000,00 (vinte e cinco mil reais) até R$ 200.000,00 (duzentos mil reais); </w:t>
      </w:r>
    </w:p>
    <w:p w14:paraId="00C1654A" w14:textId="77777777" w:rsidR="002374D7" w:rsidRPr="0006164F" w:rsidRDefault="002374D7" w:rsidP="002374D7">
      <w:pPr>
        <w:ind w:left="2268"/>
        <w:jc w:val="both"/>
        <w:rPr>
          <w:rFonts w:ascii="Arial" w:hAnsi="Arial" w:cs="Arial"/>
          <w:sz w:val="22"/>
          <w:szCs w:val="22"/>
        </w:rPr>
      </w:pPr>
      <w:r w:rsidRPr="0006164F">
        <w:rPr>
          <w:rFonts w:ascii="Arial" w:hAnsi="Arial" w:cs="Arial"/>
          <w:b/>
          <w:sz w:val="22"/>
          <w:szCs w:val="22"/>
        </w:rPr>
        <w:t>III - de 6% (seis por cento)</w:t>
      </w:r>
      <w:r w:rsidRPr="0006164F">
        <w:rPr>
          <w:rFonts w:ascii="Arial" w:hAnsi="Arial" w:cs="Arial"/>
          <w:sz w:val="22"/>
          <w:szCs w:val="22"/>
        </w:rPr>
        <w:t xml:space="preserve">, sobre o valor da base de cálculo que exceder a R$ 200.000,00 (duzentos mil reais) até R$ 600.000,00 (seiscentos mil reais); </w:t>
      </w:r>
    </w:p>
    <w:p w14:paraId="16577D29" w14:textId="77777777" w:rsidR="002374D7" w:rsidRPr="0006164F" w:rsidRDefault="002374D7" w:rsidP="002374D7">
      <w:pPr>
        <w:ind w:left="2268"/>
        <w:jc w:val="both"/>
        <w:rPr>
          <w:rFonts w:ascii="Arial" w:hAnsi="Arial" w:cs="Arial"/>
          <w:sz w:val="22"/>
          <w:szCs w:val="22"/>
        </w:rPr>
      </w:pPr>
      <w:r w:rsidRPr="0006164F">
        <w:rPr>
          <w:rFonts w:ascii="Arial" w:hAnsi="Arial" w:cs="Arial"/>
          <w:b/>
          <w:sz w:val="22"/>
          <w:szCs w:val="22"/>
        </w:rPr>
        <w:t>IV - de 8% (oito por cento)</w:t>
      </w:r>
      <w:r w:rsidRPr="0006164F">
        <w:rPr>
          <w:rFonts w:ascii="Arial" w:hAnsi="Arial" w:cs="Arial"/>
          <w:sz w:val="22"/>
          <w:szCs w:val="22"/>
        </w:rPr>
        <w:t>, sobre o valor da base de cálculo que exceder a R$ 600.000,00 (seiscentos mil reais).</w:t>
      </w:r>
    </w:p>
    <w:p w14:paraId="356946FE" w14:textId="77777777" w:rsidR="002374D7" w:rsidRPr="0006164F" w:rsidRDefault="002374D7" w:rsidP="002374D7">
      <w:pPr>
        <w:spacing w:line="360" w:lineRule="auto"/>
        <w:ind w:firstLine="851"/>
        <w:jc w:val="both"/>
        <w:rPr>
          <w:rFonts w:ascii="Arial" w:hAnsi="Arial" w:cs="Arial"/>
          <w:sz w:val="24"/>
          <w:szCs w:val="24"/>
        </w:rPr>
      </w:pPr>
    </w:p>
    <w:p w14:paraId="22D54CFD" w14:textId="77777777"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 xml:space="preserve">Uma vez esclarecida a ocorrência do fato gerador do ITCD nas transferências não onerosas de direitos creditórios relativos ao ICMS, </w:t>
      </w:r>
      <w:r w:rsidRPr="0006164F">
        <w:rPr>
          <w:rFonts w:ascii="Arial" w:hAnsi="Arial" w:cs="Arial"/>
          <w:b/>
          <w:bCs/>
          <w:sz w:val="24"/>
          <w:szCs w:val="24"/>
        </w:rPr>
        <w:t>surge um segundo questionamento</w:t>
      </w:r>
      <w:r w:rsidRPr="0006164F">
        <w:rPr>
          <w:rFonts w:ascii="Arial" w:hAnsi="Arial" w:cs="Arial"/>
          <w:sz w:val="24"/>
          <w:szCs w:val="24"/>
        </w:rPr>
        <w:t xml:space="preserve">: </w:t>
      </w:r>
      <w:r w:rsidRPr="0006164F">
        <w:rPr>
          <w:rFonts w:ascii="Arial" w:hAnsi="Arial" w:cs="Arial"/>
          <w:sz w:val="24"/>
          <w:szCs w:val="24"/>
          <w:u w:val="single"/>
        </w:rPr>
        <w:t>esse imposto foi pago ou cobrado nas milionárias transações de compra e venda do ICMS com “deságio” realizadas em Goiás?</w:t>
      </w:r>
      <w:r w:rsidRPr="0006164F">
        <w:rPr>
          <w:rFonts w:ascii="Arial" w:hAnsi="Arial" w:cs="Arial"/>
          <w:sz w:val="24"/>
          <w:szCs w:val="24"/>
        </w:rPr>
        <w:t xml:space="preserve"> Não se têm notícias de que isso tenha ocorrido.</w:t>
      </w:r>
    </w:p>
    <w:p w14:paraId="6BF74572" w14:textId="0C9C1C15"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 xml:space="preserve">Assim sendo, em </w:t>
      </w:r>
      <w:r w:rsidRPr="0006164F">
        <w:rPr>
          <w:rFonts w:ascii="Arial" w:hAnsi="Arial" w:cs="Arial"/>
          <w:b/>
          <w:sz w:val="24"/>
          <w:szCs w:val="24"/>
        </w:rPr>
        <w:t>cálculo aproximado</w:t>
      </w:r>
      <w:r w:rsidRPr="0006164F">
        <w:rPr>
          <w:rFonts w:ascii="Arial" w:hAnsi="Arial" w:cs="Arial"/>
          <w:sz w:val="24"/>
          <w:szCs w:val="24"/>
        </w:rPr>
        <w:t xml:space="preserve"> e sem muito rigor metodológico, levando</w:t>
      </w:r>
      <w:r w:rsidR="005962D6" w:rsidRPr="0006164F">
        <w:rPr>
          <w:rFonts w:ascii="Arial" w:hAnsi="Arial" w:cs="Arial"/>
          <w:sz w:val="24"/>
          <w:szCs w:val="24"/>
        </w:rPr>
        <w:t>-se em consideração as transações</w:t>
      </w:r>
      <w:r w:rsidRPr="0006164F">
        <w:rPr>
          <w:rFonts w:ascii="Arial" w:hAnsi="Arial" w:cs="Arial"/>
          <w:sz w:val="24"/>
          <w:szCs w:val="24"/>
        </w:rPr>
        <w:t xml:space="preserve"> realizadas nos últimos 5 (cinco) anos à uma alíquota que varia entre 4% (quatro por cento) e 8% (oito</w:t>
      </w:r>
      <w:bookmarkStart w:id="369" w:name="_Hlk33041979"/>
      <w:r w:rsidRPr="0006164F">
        <w:rPr>
          <w:rFonts w:ascii="Arial" w:hAnsi="Arial" w:cs="Arial"/>
          <w:sz w:val="24"/>
          <w:szCs w:val="24"/>
        </w:rPr>
        <w:t xml:space="preserve"> por cento</w:t>
      </w:r>
      <w:bookmarkEnd w:id="369"/>
      <w:r w:rsidRPr="0006164F">
        <w:rPr>
          <w:rFonts w:ascii="Arial" w:hAnsi="Arial" w:cs="Arial"/>
          <w:sz w:val="24"/>
          <w:szCs w:val="24"/>
        </w:rPr>
        <w:t xml:space="preserve">), </w:t>
      </w:r>
      <w:r w:rsidR="005962D6" w:rsidRPr="0006164F">
        <w:rPr>
          <w:rFonts w:ascii="Arial" w:hAnsi="Arial" w:cs="Arial"/>
          <w:sz w:val="24"/>
          <w:szCs w:val="24"/>
        </w:rPr>
        <w:t xml:space="preserve">esta CPI estima que </w:t>
      </w:r>
      <w:r w:rsidRPr="0006164F">
        <w:rPr>
          <w:rFonts w:ascii="Arial" w:hAnsi="Arial" w:cs="Arial"/>
          <w:sz w:val="24"/>
          <w:szCs w:val="24"/>
        </w:rPr>
        <w:t>Goiás tem a recuperar mais de R$ 100.</w:t>
      </w:r>
      <w:r w:rsidR="005962D6" w:rsidRPr="0006164F">
        <w:rPr>
          <w:rFonts w:ascii="Arial" w:hAnsi="Arial" w:cs="Arial"/>
          <w:sz w:val="24"/>
          <w:szCs w:val="24"/>
        </w:rPr>
        <w:t>000.0</w:t>
      </w:r>
      <w:r w:rsidRPr="0006164F">
        <w:rPr>
          <w:rFonts w:ascii="Arial" w:hAnsi="Arial" w:cs="Arial"/>
          <w:sz w:val="24"/>
          <w:szCs w:val="24"/>
        </w:rPr>
        <w:t>00,00 (cem milhões de reais) em ITCD sobre o total de transferências não onerosas de ICMS entre contribuintes goianos.</w:t>
      </w:r>
    </w:p>
    <w:p w14:paraId="083027D2" w14:textId="6D97E4BE"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 xml:space="preserve">A fiscalização dessa possível omissão também pode ajudar a esclarecer </w:t>
      </w:r>
      <w:r w:rsidRPr="0006164F">
        <w:rPr>
          <w:rFonts w:ascii="Arial" w:hAnsi="Arial" w:cs="Arial"/>
          <w:b/>
          <w:sz w:val="24"/>
          <w:szCs w:val="24"/>
        </w:rPr>
        <w:t>se o negócio jurídico da cessão foi registrado e contabilizado pelo cedente e cessionário com os valores reais da transação</w:t>
      </w:r>
      <w:r w:rsidRPr="0006164F">
        <w:rPr>
          <w:rFonts w:ascii="Arial" w:hAnsi="Arial" w:cs="Arial"/>
          <w:sz w:val="24"/>
          <w:szCs w:val="24"/>
        </w:rPr>
        <w:t xml:space="preserve">; </w:t>
      </w:r>
      <w:r w:rsidRPr="0006164F">
        <w:rPr>
          <w:rFonts w:ascii="Arial" w:hAnsi="Arial" w:cs="Arial"/>
          <w:sz w:val="24"/>
          <w:szCs w:val="24"/>
          <w:u w:val="single"/>
        </w:rPr>
        <w:t>caso contrário</w:t>
      </w:r>
      <w:r w:rsidRPr="0006164F">
        <w:rPr>
          <w:rFonts w:ascii="Arial" w:hAnsi="Arial" w:cs="Arial"/>
          <w:sz w:val="24"/>
          <w:szCs w:val="24"/>
        </w:rPr>
        <w:t xml:space="preserve">, </w:t>
      </w:r>
      <w:r w:rsidR="00A77677" w:rsidRPr="0006164F">
        <w:rPr>
          <w:rFonts w:ascii="Arial" w:hAnsi="Arial" w:cs="Arial"/>
          <w:sz w:val="24"/>
          <w:szCs w:val="24"/>
        </w:rPr>
        <w:t>tipificar-se-á o crime popularmente conhecido como “</w:t>
      </w:r>
      <w:r w:rsidRPr="0006164F">
        <w:rPr>
          <w:rFonts w:ascii="Arial" w:hAnsi="Arial" w:cs="Arial"/>
          <w:sz w:val="24"/>
          <w:szCs w:val="24"/>
          <w:u w:val="single"/>
        </w:rPr>
        <w:t>Caixa 2</w:t>
      </w:r>
      <w:r w:rsidR="00A77677" w:rsidRPr="0006164F">
        <w:rPr>
          <w:rFonts w:ascii="Arial" w:hAnsi="Arial" w:cs="Arial"/>
          <w:sz w:val="24"/>
          <w:szCs w:val="24"/>
        </w:rPr>
        <w:t>”</w:t>
      </w:r>
      <w:r w:rsidRPr="0006164F">
        <w:rPr>
          <w:rFonts w:ascii="Arial" w:hAnsi="Arial" w:cs="Arial"/>
          <w:sz w:val="24"/>
          <w:szCs w:val="24"/>
        </w:rPr>
        <w:t>, e o caso passa a também ter repercussões na esfera penal.</w:t>
      </w:r>
    </w:p>
    <w:p w14:paraId="3A744B14" w14:textId="77777777"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 xml:space="preserve">Na </w:t>
      </w:r>
      <w:r w:rsidRPr="0006164F">
        <w:rPr>
          <w:rFonts w:ascii="Arial" w:hAnsi="Arial" w:cs="Arial"/>
          <w:b/>
          <w:sz w:val="24"/>
          <w:szCs w:val="24"/>
        </w:rPr>
        <w:t>6ª reunião desta CPI, realizada em 12/06/2019</w:t>
      </w:r>
      <w:r w:rsidRPr="0006164F">
        <w:rPr>
          <w:rFonts w:ascii="Arial" w:hAnsi="Arial" w:cs="Arial"/>
          <w:sz w:val="24"/>
          <w:szCs w:val="24"/>
        </w:rPr>
        <w:t xml:space="preserve">, o depoimento da </w:t>
      </w:r>
      <w:r w:rsidRPr="0006164F">
        <w:rPr>
          <w:rFonts w:ascii="Arial" w:hAnsi="Arial" w:cs="Arial"/>
          <w:b/>
          <w:sz w:val="24"/>
          <w:szCs w:val="24"/>
        </w:rPr>
        <w:t>Drª Alessandra Virgínia Costa Pinto</w:t>
      </w:r>
      <w:r w:rsidRPr="0006164F">
        <w:rPr>
          <w:rFonts w:ascii="Arial" w:hAnsi="Arial" w:cs="Arial"/>
          <w:sz w:val="24"/>
          <w:szCs w:val="24"/>
        </w:rPr>
        <w:t>, que advoga em escritório com tradição na seara empresarial e tributária, contribuiu um pouco para o esclarecimento de como funciona essa questão, conforme excertos a seguir transcritos:</w:t>
      </w:r>
    </w:p>
    <w:p w14:paraId="1A71030D" w14:textId="77777777" w:rsidR="002374D7" w:rsidRPr="0006164F" w:rsidRDefault="002374D7" w:rsidP="002374D7">
      <w:pPr>
        <w:spacing w:line="360" w:lineRule="auto"/>
        <w:ind w:firstLine="851"/>
        <w:jc w:val="both"/>
        <w:rPr>
          <w:rFonts w:ascii="Arial" w:hAnsi="Arial" w:cs="Arial"/>
          <w:sz w:val="24"/>
          <w:szCs w:val="24"/>
        </w:rPr>
      </w:pPr>
    </w:p>
    <w:p w14:paraId="7C8ED9D1"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A SRA. ALESSANDRA VIRGÍNIA COSTA PINTO: - Cumprimento todos os presentes e no que o escritório puder colaborar com informações para esta CPI vamos colaborar tanto que recebemos o convite para essa reunião e prontamente nos movimentamos para vir, inclusive, antes de ontem eu tinha uma viagem a trabalho e adiei para poder estar aqui.</w:t>
      </w:r>
    </w:p>
    <w:p w14:paraId="0F472DCD"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38B4C327"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 xml:space="preserve">Agora, em relação a nossa atuação, eu sou Advogada há 15 anos, trabalhei aqui muito na defesa dos municípios, na época de questionamento do Índice de Participação dos Municípios [...]. A gente discutiu muito isso aqui. </w:t>
      </w:r>
    </w:p>
    <w:p w14:paraId="09AF730F"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Então, meu escritório vem atuando ao longo desses 15 anos para municípios. Hoje a gente não atua mais. Área Cível e Área Tributária também. Na parte que eu puder e não ofender o Estatuto de Ética da OAB, sigilo profissional, estou disposta a qualquer tipo de esclarecimento [...].</w:t>
      </w:r>
    </w:p>
    <w:p w14:paraId="2ADDA94B"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14B4677C"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 xml:space="preserve">Na época dos planos de anistia, é muito comum os escritórios serem procurados, inclusive o nosso, para saber se nós conhecemos algum </w:t>
      </w:r>
      <w:r w:rsidRPr="0006164F">
        <w:rPr>
          <w:rFonts w:ascii="Arial" w:hAnsi="Arial" w:cs="Arial"/>
          <w:sz w:val="22"/>
          <w:szCs w:val="22"/>
        </w:rPr>
        <w:lastRenderedPageBreak/>
        <w:t>cliente que poderia ter crédito para outra empresa comprar e abater na Lei de Regularização Fiscal, isso aconteceu muitas vezes. Mas nunca conseguimos fechar um negócio [...].</w:t>
      </w:r>
    </w:p>
    <w:p w14:paraId="67F2AD3A"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63EC7837"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 xml:space="preserve">O SR. DEPUTADO MAJOR ARAÚJO:- Talvez a gente não esteja usando o termo correto, mas sobre transferências de créditos, a senhora já atuou nessa questão? </w:t>
      </w:r>
    </w:p>
    <w:p w14:paraId="01CCB046"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A SRA. ALESSANDRA VIRGÍNIA COSTA PINTO:- Não, transferência de forma nenhuma e em nenhum tipo de transferência de crédito de uma empresa para outra. Nós sabemos do que se trata porque, atuando na área, a gente sabe que empresas, por exemplo, como a Mitsubishi, tem créditos, se não me engano, crédito especial de investimento. Esse crédito especial de investimento pode ser transferido para outras empresas.</w:t>
      </w:r>
    </w:p>
    <w:p w14:paraId="24931C30"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3AAD1E1B"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 xml:space="preserve">A SRA. ALESSANDRA VIRGÍNIA COSTA PINTO:- [...] </w:t>
      </w:r>
      <w:r w:rsidRPr="0006164F">
        <w:rPr>
          <w:rFonts w:ascii="Arial" w:hAnsi="Arial" w:cs="Arial"/>
          <w:b/>
          <w:sz w:val="22"/>
          <w:szCs w:val="22"/>
        </w:rPr>
        <w:t>se o crédito é legítimo e a empresa tem, a outra ponta, que é o empresário devedor, que precisa desse crédito, eles vão negociar a compra desse crédito</w:t>
      </w:r>
      <w:r w:rsidRPr="0006164F">
        <w:rPr>
          <w:rFonts w:ascii="Arial" w:hAnsi="Arial" w:cs="Arial"/>
          <w:sz w:val="22"/>
          <w:szCs w:val="22"/>
        </w:rPr>
        <w:t>. E tendo vaga na legislação, tendo brecha na legislação, algo que autorize, eles vão utilizar isso aí. Mas o nosso escritório nunca trabalhou com essa transferência de crédito [...].</w:t>
      </w:r>
    </w:p>
    <w:p w14:paraId="1E68B2EC"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31A4DBA8"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O SR. DEPUTADO HUMBERTO AIDAR: [...] Por que - olha, eu sei lá - há pouco a Senhora falou da Mistsubishi. A Mitsubishi tem um milhão (R$ 1.000.000,00) de crédito outorgado. Ela não vai usar, e a empresa X está precisando de um milhão (R$ 1.000.000,00) a pagar. O escritório descobre e oferece, faz a transação. Ela é legal. O escritório está aí fazendo o trabalho como advocacia. Tem escritórios aqui que atuam neste ramo? Ou as empresas descobrem do nada para comprar crédito de outra empresa, como ficam sabendo? A Senhora que atua nessa área tributária poderia nos ajudar nesse entendimento?</w:t>
      </w:r>
    </w:p>
    <w:p w14:paraId="1C8B804B"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2EC582EE"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 xml:space="preserve">A SRA. ADVOGADA DRA. ALESSANDRA VIRGÍNIA COSTA PINTO: - </w:t>
      </w:r>
      <w:r w:rsidRPr="0006164F">
        <w:rPr>
          <w:rFonts w:ascii="Arial" w:hAnsi="Arial" w:cs="Arial"/>
          <w:b/>
          <w:sz w:val="22"/>
          <w:szCs w:val="22"/>
        </w:rPr>
        <w:t>Como técnica, como advogada da área, eu posso te responder que nessas épocas de anistias em que é possível... Acho que duas ou três vezes já foi possível utilizar, como parte do pagamento, crédito</w:t>
      </w:r>
      <w:r w:rsidRPr="0006164F">
        <w:rPr>
          <w:rFonts w:ascii="Arial" w:hAnsi="Arial" w:cs="Arial"/>
          <w:sz w:val="22"/>
          <w:szCs w:val="22"/>
        </w:rPr>
        <w:t xml:space="preserve">. Você compra o crédito e paga o restante, REFIS, justo. </w:t>
      </w:r>
      <w:r w:rsidRPr="0006164F">
        <w:rPr>
          <w:rFonts w:ascii="Arial" w:hAnsi="Arial" w:cs="Arial"/>
          <w:sz w:val="22"/>
          <w:szCs w:val="22"/>
          <w:u w:val="single"/>
        </w:rPr>
        <w:t>E muitas empresas procuravam a gente para saber se algum cliente nosso tinha algum crédito que poderia ser vendido</w:t>
      </w:r>
      <w:r w:rsidRPr="0006164F">
        <w:rPr>
          <w:rFonts w:ascii="Arial" w:hAnsi="Arial" w:cs="Arial"/>
          <w:sz w:val="22"/>
          <w:szCs w:val="22"/>
        </w:rPr>
        <w:t xml:space="preserve">. Só que nosso escritório nunca conseguiu fechar um negócio de ponta a ponta porque é muito complicado. </w:t>
      </w:r>
      <w:r w:rsidRPr="0006164F">
        <w:rPr>
          <w:rFonts w:ascii="Arial" w:hAnsi="Arial" w:cs="Arial"/>
          <w:sz w:val="22"/>
          <w:szCs w:val="22"/>
          <w:u w:val="single"/>
        </w:rPr>
        <w:t>Quem tem o crédito quer vender com deságio, quem está comprando negocia muito esse deságio. O escritório realmente ganha comissão para fazer esse pedido, depois participar da homologação desses autos, o auto de infração tal vai ser pago com parte do crédito, parte em dinheiro</w:t>
      </w:r>
      <w:r w:rsidRPr="0006164F">
        <w:rPr>
          <w:rFonts w:ascii="Arial" w:hAnsi="Arial" w:cs="Arial"/>
          <w:sz w:val="22"/>
          <w:szCs w:val="22"/>
        </w:rPr>
        <w:t xml:space="preserve">. O advogado tem que acompanhar, porque, se deixar só o contador, pode ter algum erro. Mas nosso escritório nunca conseguiu fazer até hoje, nesses períodos de REFIS, unir essa ponta de alguém. Por exemplo, um cliente nosso que tinha ressarcimento, tinha crédito de ICMS sobrando na conta gráfica dele com alguém que nos procurasse. </w:t>
      </w:r>
      <w:r w:rsidRPr="0006164F">
        <w:rPr>
          <w:rFonts w:ascii="Arial" w:hAnsi="Arial" w:cs="Arial"/>
          <w:sz w:val="22"/>
          <w:szCs w:val="22"/>
          <w:u w:val="single"/>
        </w:rPr>
        <w:t>Por exemplo, o dono de uma rede de supermercados grande uma vez nos procurou: "Virgínia você tem algum cliente que tenha crédito de ICMS que pode ser utilizado nessa lei do REFIS? Que possa vender?". A gente até indicou</w:t>
      </w:r>
      <w:r w:rsidRPr="0006164F">
        <w:rPr>
          <w:rFonts w:ascii="Arial" w:hAnsi="Arial" w:cs="Arial"/>
          <w:sz w:val="22"/>
          <w:szCs w:val="22"/>
        </w:rPr>
        <w:t xml:space="preserve">, mas como é algo muito complicado, essa transação, não nos </w:t>
      </w:r>
      <w:r w:rsidRPr="0006164F">
        <w:rPr>
          <w:rFonts w:ascii="Arial" w:hAnsi="Arial" w:cs="Arial"/>
          <w:sz w:val="22"/>
          <w:szCs w:val="22"/>
        </w:rPr>
        <w:lastRenderedPageBreak/>
        <w:t xml:space="preserve">interessava, porque toma muito tempo, as comissões para os advogados são muito pequenas, dá muito trabalho. </w:t>
      </w:r>
      <w:r w:rsidRPr="0006164F">
        <w:rPr>
          <w:rFonts w:ascii="Arial" w:hAnsi="Arial" w:cs="Arial"/>
          <w:b/>
          <w:sz w:val="22"/>
          <w:szCs w:val="22"/>
        </w:rPr>
        <w:t>A gente sempre falava: “Nosso cliente tal tem crédito de ICMS, porque ele foi ressarcido de ICMS pago maior, de redução de base de cálculo que não estava utilizando. Ele tem esse crédito. O crédito é bom. Procura ele". Ele ia diretamente e certamente fazia</w:t>
      </w:r>
      <w:r w:rsidRPr="0006164F">
        <w:rPr>
          <w:rFonts w:ascii="Arial" w:hAnsi="Arial" w:cs="Arial"/>
          <w:sz w:val="22"/>
          <w:szCs w:val="22"/>
        </w:rPr>
        <w:t>. Mas a transação mesma de transferência nós nunca fizemos.</w:t>
      </w:r>
    </w:p>
    <w:p w14:paraId="6A3CBB73" w14:textId="77777777" w:rsidR="002374D7" w:rsidRPr="0006164F" w:rsidRDefault="002374D7" w:rsidP="002374D7">
      <w:pPr>
        <w:ind w:left="2268"/>
        <w:jc w:val="both"/>
        <w:rPr>
          <w:rFonts w:ascii="Arial" w:hAnsi="Arial" w:cs="Arial"/>
          <w:b/>
          <w:sz w:val="22"/>
          <w:szCs w:val="22"/>
        </w:rPr>
      </w:pPr>
      <w:r w:rsidRPr="0006164F">
        <w:rPr>
          <w:rFonts w:ascii="Arial" w:hAnsi="Arial" w:cs="Arial"/>
          <w:b/>
          <w:sz w:val="22"/>
          <w:szCs w:val="22"/>
        </w:rPr>
        <w:t xml:space="preserve">O SR. PRESIDENTE: - A comissão é 5%, normalmente? </w:t>
      </w:r>
    </w:p>
    <w:p w14:paraId="36F0268F" w14:textId="77777777" w:rsidR="002374D7" w:rsidRPr="0006164F" w:rsidRDefault="002374D7" w:rsidP="002374D7">
      <w:pPr>
        <w:ind w:left="2268"/>
        <w:jc w:val="both"/>
        <w:rPr>
          <w:rFonts w:ascii="Arial" w:hAnsi="Arial" w:cs="Arial"/>
          <w:b/>
          <w:sz w:val="22"/>
          <w:szCs w:val="22"/>
        </w:rPr>
      </w:pPr>
      <w:r w:rsidRPr="0006164F">
        <w:rPr>
          <w:rFonts w:ascii="Arial" w:hAnsi="Arial" w:cs="Arial"/>
          <w:b/>
          <w:sz w:val="22"/>
          <w:szCs w:val="22"/>
        </w:rPr>
        <w:t xml:space="preserve">A SRA. ADVOGADA DRA. ALESSANDRA VIRGÍNIA COSTA PINTO: - Eu não sei lhe falar. </w:t>
      </w:r>
    </w:p>
    <w:p w14:paraId="3604187D"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 xml:space="preserve">O SR. PRESIDENTE: - É porque a senhora disse que a comissão é pequena. Para eu entender, gira em torno de 5%? </w:t>
      </w:r>
    </w:p>
    <w:p w14:paraId="562C3366"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 xml:space="preserve">A SRA. ADVOGADA DRA. ALESSANDRA VIRGÍNIA COSTA PINTO: - Você fala a comissão para o advogado? </w:t>
      </w:r>
    </w:p>
    <w:p w14:paraId="78BCAE89"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 xml:space="preserve">O SR. PRESIDENTE: - Sim, a do advogado. </w:t>
      </w:r>
    </w:p>
    <w:p w14:paraId="7980BFD8"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 xml:space="preserve">A SRA. ADVOGADA DRA. ALESSANDRA VIRGÍNIA COSTA PINTO: - Vamos supor que você seja a empresa A, devedora de ICMS, e precisa de um crédito para abater num débito que você tem. </w:t>
      </w:r>
    </w:p>
    <w:p w14:paraId="5B4CA7E5"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 xml:space="preserve">O SR. DEPUTADO HUMBERTO AIDAR:- Sim. </w:t>
      </w:r>
    </w:p>
    <w:p w14:paraId="26D1E1B9" w14:textId="77777777" w:rsidR="002374D7" w:rsidRPr="0006164F" w:rsidRDefault="002374D7" w:rsidP="002374D7">
      <w:pPr>
        <w:ind w:left="2268"/>
        <w:jc w:val="both"/>
        <w:rPr>
          <w:rFonts w:ascii="Arial" w:hAnsi="Arial" w:cs="Arial"/>
          <w:sz w:val="22"/>
          <w:szCs w:val="22"/>
        </w:rPr>
      </w:pPr>
      <w:r w:rsidRPr="0006164F">
        <w:rPr>
          <w:rFonts w:ascii="Arial" w:hAnsi="Arial" w:cs="Arial"/>
          <w:b/>
          <w:sz w:val="22"/>
          <w:szCs w:val="22"/>
        </w:rPr>
        <w:t>A SRA. ALESSANDRA VIRGÍNIA:- Eu tenho esse crédito. Legítimo, foi um ICMS que eu paguei a mais, é um crédito outorgado que eu não utilizei e eu pude lançar depois na conta grafita ou até um crédito especial de investimento, eu tenho esse crédito aqui. Então, vamos fazer essa relação aqui para você entender como é que é</w:t>
      </w:r>
      <w:r w:rsidRPr="0006164F">
        <w:rPr>
          <w:rFonts w:ascii="Arial" w:hAnsi="Arial" w:cs="Arial"/>
          <w:sz w:val="22"/>
          <w:szCs w:val="22"/>
        </w:rPr>
        <w:t xml:space="preserve">. </w:t>
      </w:r>
    </w:p>
    <w:p w14:paraId="5CCD2E67"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u w:val="single"/>
        </w:rPr>
        <w:t>Você quer comprar esse crédito. Você vai chegar em mim e falar assim: Virgínia, me vende aí um milhão de crédito. Eu te pago aqui quinhentos mil à vista. Eu que tenho crédito, vou negociar com você: não, Humberto, me paga 80% disso aqui, um deságio só de 20%. Aí é vocês que negociam</w:t>
      </w:r>
      <w:r w:rsidRPr="0006164F">
        <w:rPr>
          <w:rFonts w:ascii="Arial" w:hAnsi="Arial" w:cs="Arial"/>
          <w:sz w:val="22"/>
          <w:szCs w:val="22"/>
        </w:rPr>
        <w:t xml:space="preserve">. Quem está nessa ponte aí geralmente escritório de advocacia, é muito desgastante, nós nunca quisemos atura nesta área. </w:t>
      </w:r>
      <w:r w:rsidRPr="0006164F">
        <w:rPr>
          <w:rFonts w:ascii="Arial" w:hAnsi="Arial" w:cs="Arial"/>
          <w:sz w:val="22"/>
          <w:szCs w:val="22"/>
          <w:u w:val="single"/>
        </w:rPr>
        <w:t>Sempre indicava: olha, aquele do varejo tem tantos milhões de crédito, eu entendo que é um crédito bom porque nós atuamos para essa empresa, nós sabemos que são créditos legítimos de ICMS acumulados na sua conta gráfica, procura o fulano lá do varejo. Vai direto</w:t>
      </w:r>
      <w:r w:rsidRPr="0006164F">
        <w:rPr>
          <w:rFonts w:ascii="Arial" w:hAnsi="Arial" w:cs="Arial"/>
          <w:sz w:val="22"/>
          <w:szCs w:val="22"/>
        </w:rPr>
        <w:t>. porque é um trabalho desgastante isso aí, sabe, para o Advogado é muito desgastante ele ter que negociar tudo isso e depois no final das contas acabam não negociando nada, muitos acabam nem aderindo à anistia. Então, o nosso escritório nunca fechou essa ponte da empresa A que quer comprar com a empresa B que quer vender. nunca foi feito nenhum tipo de transação de negociação em si lá no escritório, mas indicação sim. [grifou-se]</w:t>
      </w:r>
    </w:p>
    <w:p w14:paraId="467A0819" w14:textId="77777777" w:rsidR="002374D7" w:rsidRPr="0006164F" w:rsidRDefault="002374D7" w:rsidP="002374D7">
      <w:pPr>
        <w:ind w:left="2268" w:firstLine="284"/>
        <w:jc w:val="both"/>
        <w:rPr>
          <w:rFonts w:ascii="Arial" w:hAnsi="Arial" w:cs="Arial"/>
          <w:sz w:val="22"/>
          <w:szCs w:val="22"/>
        </w:rPr>
      </w:pPr>
    </w:p>
    <w:p w14:paraId="52958963" w14:textId="2A219548"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 xml:space="preserve">Embora esta CPI não acredite na versão apresentada de que seja um negócio complicado para os escritórios de advocacia fechar de “ponta a ponta” e não muito rentável para os escritórios, ficou muito claro do depoimento que </w:t>
      </w:r>
      <w:r w:rsidRPr="0006164F">
        <w:rPr>
          <w:rFonts w:ascii="Arial" w:hAnsi="Arial" w:cs="Arial"/>
          <w:b/>
          <w:sz w:val="24"/>
          <w:szCs w:val="24"/>
        </w:rPr>
        <w:t>as empresas que acumulam esses créditos nas respectivas escritas fiscais possuem interesse em “vendê-los”</w:t>
      </w:r>
      <w:r w:rsidRPr="0006164F">
        <w:rPr>
          <w:rFonts w:ascii="Arial" w:hAnsi="Arial" w:cs="Arial"/>
          <w:sz w:val="24"/>
          <w:szCs w:val="24"/>
        </w:rPr>
        <w:t xml:space="preserve"> e geralmente o fazem com deságio</w:t>
      </w:r>
      <w:r w:rsidR="00415905" w:rsidRPr="0006164F">
        <w:rPr>
          <w:rFonts w:ascii="Arial" w:hAnsi="Arial" w:cs="Arial"/>
          <w:sz w:val="24"/>
          <w:szCs w:val="24"/>
        </w:rPr>
        <w:t>, a fim de</w:t>
      </w:r>
      <w:r w:rsidRPr="0006164F">
        <w:rPr>
          <w:rFonts w:ascii="Arial" w:hAnsi="Arial" w:cs="Arial"/>
          <w:sz w:val="24"/>
          <w:szCs w:val="24"/>
        </w:rPr>
        <w:t xml:space="preserve"> viabilizar sua negociação com outra que possui débito de ICMS, a qual vê nesse negócio uma oportunidade para saldar suas dívidas tributárias, em especial em épocas de REFIS</w:t>
      </w:r>
      <w:r w:rsidR="00415905" w:rsidRPr="0006164F">
        <w:rPr>
          <w:rFonts w:ascii="Arial" w:hAnsi="Arial" w:cs="Arial"/>
          <w:sz w:val="24"/>
          <w:szCs w:val="24"/>
        </w:rPr>
        <w:t xml:space="preserve">, a um custo significativamente </w:t>
      </w:r>
      <w:r w:rsidR="00415905" w:rsidRPr="0006164F">
        <w:rPr>
          <w:rFonts w:ascii="Arial" w:hAnsi="Arial" w:cs="Arial"/>
          <w:sz w:val="24"/>
          <w:szCs w:val="24"/>
        </w:rPr>
        <w:lastRenderedPageBreak/>
        <w:t>menor; e,</w:t>
      </w:r>
      <w:r w:rsidRPr="0006164F">
        <w:rPr>
          <w:rFonts w:ascii="Arial" w:hAnsi="Arial" w:cs="Arial"/>
          <w:sz w:val="24"/>
          <w:szCs w:val="24"/>
        </w:rPr>
        <w:t xml:space="preserve"> acredita-se</w:t>
      </w:r>
      <w:r w:rsidR="00415905" w:rsidRPr="0006164F">
        <w:rPr>
          <w:rFonts w:ascii="Arial" w:hAnsi="Arial" w:cs="Arial"/>
          <w:sz w:val="24"/>
          <w:szCs w:val="24"/>
        </w:rPr>
        <w:t>,</w:t>
      </w:r>
      <w:r w:rsidRPr="0006164F">
        <w:rPr>
          <w:rFonts w:ascii="Arial" w:hAnsi="Arial" w:cs="Arial"/>
          <w:sz w:val="24"/>
          <w:szCs w:val="24"/>
        </w:rPr>
        <w:t xml:space="preserve"> também que se trata de negócio extremamente rentável e procurado por escritórios de advocacia.</w:t>
      </w:r>
    </w:p>
    <w:p w14:paraId="4DC480CB" w14:textId="77777777"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 xml:space="preserve">No caso, revela-se claro que </w:t>
      </w:r>
      <w:r w:rsidRPr="0006164F">
        <w:rPr>
          <w:rFonts w:ascii="Arial" w:hAnsi="Arial" w:cs="Arial"/>
          <w:b/>
          <w:sz w:val="24"/>
          <w:szCs w:val="24"/>
        </w:rPr>
        <w:t>a transferência de créditos outorgados configura inequívoca transação sujeita à incidência do ITCD no tocante ao objeto do deságio</w:t>
      </w:r>
      <w:r w:rsidRPr="0006164F">
        <w:rPr>
          <w:rFonts w:ascii="Arial" w:hAnsi="Arial" w:cs="Arial"/>
          <w:sz w:val="24"/>
          <w:szCs w:val="24"/>
        </w:rPr>
        <w:t>, por configurar doação ou cessão não onerosa em favor de outra pessoa jurídica. Exemplo: se o estabelecimento A possui crédito de R$ 300.000,00 (trezentos mil reais) em sua escrita fiscal e o aliena por metade R$ 150.000,00 (cento e cinquenta mil reais), deve incidir ITCD sobre a metade restante, obedecida a progressividade de alíquota até 8% (oito por cento), a ser recolhido aos cofres estaduais.</w:t>
      </w:r>
    </w:p>
    <w:p w14:paraId="068DBFD2" w14:textId="7D26704B"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 xml:space="preserve">Ressalta-se que, por não ter sido regularmente declarado e recolhido o valor devido aos cofres públicos, pode haver ainda a </w:t>
      </w:r>
      <w:r w:rsidRPr="0006164F">
        <w:rPr>
          <w:rFonts w:ascii="Arial" w:hAnsi="Arial" w:cs="Arial"/>
          <w:b/>
          <w:sz w:val="24"/>
          <w:szCs w:val="24"/>
        </w:rPr>
        <w:t>imposição de pena pecuniária (multa) de até 200% (duzentos por cento) do valor do imposto suprimido</w:t>
      </w:r>
      <w:r w:rsidRPr="0006164F">
        <w:rPr>
          <w:rFonts w:ascii="Arial" w:hAnsi="Arial" w:cs="Arial"/>
          <w:sz w:val="24"/>
          <w:szCs w:val="24"/>
        </w:rPr>
        <w:t>, nos termos do art. 89 do CTE/GO.</w:t>
      </w:r>
    </w:p>
    <w:p w14:paraId="07048720" w14:textId="77777777"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Desse modo, sendo a atividade de arrecadação tributária plenamente vinculada (CTN, art. 3º e 142), revela-se imperioso – e esta é a determinação desta CPI – para que a Administração Tributária proceda ao lançamento de ofício do ITCD relativamente a todas as operações de alienação de créditos outorgados ou de outra natureza, relativos ao ICMS, nos termos da legislação de regência, referente a fatos geradores ocorridos desde 2014.</w:t>
      </w:r>
    </w:p>
    <w:p w14:paraId="53C09411" w14:textId="77777777"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sz w:val="24"/>
          <w:szCs w:val="24"/>
        </w:rPr>
        <w:t>Contudo, esta CPI também chama a atenção para o fato de que esse agenciamento de clientes pelos escritórios de advocacia – ou qualquer outro profissional que se disponha a prestar essa assessoria tributária – e, principalmente, a cobrança de percentagem sobre os valores a serem deduzidos constitui crime contra a ordem tributária, nos termos do art. 2º da Lei federal nº 8.137/1990:</w:t>
      </w:r>
    </w:p>
    <w:p w14:paraId="1DFD27EB" w14:textId="77777777" w:rsidR="002374D7" w:rsidRPr="0006164F" w:rsidRDefault="002374D7" w:rsidP="002374D7">
      <w:pPr>
        <w:spacing w:line="360" w:lineRule="auto"/>
        <w:ind w:firstLine="851"/>
        <w:jc w:val="both"/>
        <w:rPr>
          <w:rFonts w:ascii="Arial" w:hAnsi="Arial" w:cs="Arial"/>
          <w:sz w:val="24"/>
          <w:szCs w:val="24"/>
        </w:rPr>
      </w:pPr>
    </w:p>
    <w:p w14:paraId="13F130C0" w14:textId="77777777" w:rsidR="002374D7" w:rsidRPr="0006164F" w:rsidRDefault="002374D7" w:rsidP="002374D7">
      <w:pPr>
        <w:ind w:left="2268"/>
        <w:jc w:val="both"/>
        <w:rPr>
          <w:rFonts w:ascii="Arial" w:hAnsi="Arial" w:cs="Arial"/>
          <w:sz w:val="22"/>
          <w:szCs w:val="22"/>
        </w:rPr>
      </w:pPr>
      <w:r w:rsidRPr="0006164F">
        <w:rPr>
          <w:rFonts w:ascii="Arial" w:hAnsi="Arial" w:cs="Arial"/>
          <w:b/>
          <w:sz w:val="22"/>
          <w:szCs w:val="22"/>
        </w:rPr>
        <w:t>Art. 1° Constitui crime contra a ordem tributária</w:t>
      </w:r>
      <w:r w:rsidRPr="0006164F">
        <w:rPr>
          <w:rFonts w:ascii="Arial" w:hAnsi="Arial" w:cs="Arial"/>
          <w:sz w:val="22"/>
          <w:szCs w:val="22"/>
        </w:rPr>
        <w:t xml:space="preserve"> suprimir ou reduzir tributo, ou contribuição social e qualquer acessório, mediante as seguintes condutas:   </w:t>
      </w:r>
    </w:p>
    <w:p w14:paraId="26E7E914"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29E56801" w14:textId="77777777" w:rsidR="002374D7" w:rsidRPr="0006164F" w:rsidRDefault="002374D7" w:rsidP="002374D7">
      <w:pPr>
        <w:ind w:left="2268"/>
        <w:jc w:val="both"/>
        <w:rPr>
          <w:rFonts w:ascii="Arial" w:hAnsi="Arial" w:cs="Arial"/>
          <w:sz w:val="22"/>
          <w:szCs w:val="22"/>
        </w:rPr>
      </w:pPr>
      <w:r w:rsidRPr="0006164F">
        <w:rPr>
          <w:rFonts w:ascii="Arial" w:hAnsi="Arial" w:cs="Arial"/>
          <w:b/>
          <w:sz w:val="22"/>
          <w:szCs w:val="22"/>
        </w:rPr>
        <w:t>Art. 2° Constitui crime da mesma natureza</w:t>
      </w:r>
      <w:r w:rsidRPr="0006164F">
        <w:rPr>
          <w:rFonts w:ascii="Arial" w:hAnsi="Arial" w:cs="Arial"/>
          <w:sz w:val="22"/>
          <w:szCs w:val="22"/>
        </w:rPr>
        <w:t>:  </w:t>
      </w:r>
    </w:p>
    <w:p w14:paraId="60D3A9A1"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331F7954"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u w:val="single"/>
        </w:rPr>
        <w:t>III - exigir, pagar ou receber, para si ou para o contribuinte beneficiário, qualquer percentagem sobre a parcela dedutível ou deduzida de imposto ou de contribuição como incentivo fiscal</w:t>
      </w:r>
      <w:r w:rsidRPr="0006164F">
        <w:rPr>
          <w:rFonts w:ascii="Arial" w:hAnsi="Arial" w:cs="Arial"/>
          <w:sz w:val="22"/>
          <w:szCs w:val="22"/>
        </w:rPr>
        <w:t>;</w:t>
      </w:r>
    </w:p>
    <w:p w14:paraId="597E5E4F" w14:textId="77777777" w:rsidR="002374D7" w:rsidRPr="0006164F" w:rsidRDefault="002374D7" w:rsidP="002374D7">
      <w:pPr>
        <w:ind w:left="2268"/>
        <w:jc w:val="both"/>
        <w:rPr>
          <w:rFonts w:ascii="Arial" w:hAnsi="Arial" w:cs="Arial"/>
          <w:sz w:val="22"/>
          <w:szCs w:val="22"/>
        </w:rPr>
      </w:pPr>
      <w:r w:rsidRPr="0006164F">
        <w:rPr>
          <w:rFonts w:ascii="Arial" w:hAnsi="Arial" w:cs="Arial"/>
          <w:sz w:val="22"/>
          <w:szCs w:val="22"/>
        </w:rPr>
        <w:t>[...]</w:t>
      </w:r>
    </w:p>
    <w:p w14:paraId="5FF4F1E3" w14:textId="77777777" w:rsidR="002374D7" w:rsidRPr="0006164F" w:rsidRDefault="002374D7" w:rsidP="002374D7">
      <w:pPr>
        <w:spacing w:line="360" w:lineRule="auto"/>
        <w:ind w:firstLine="851"/>
        <w:jc w:val="both"/>
        <w:rPr>
          <w:rFonts w:ascii="Arial" w:hAnsi="Arial" w:cs="Arial"/>
          <w:b/>
          <w:sz w:val="24"/>
          <w:szCs w:val="24"/>
        </w:rPr>
      </w:pPr>
    </w:p>
    <w:p w14:paraId="52F06E9A" w14:textId="77777777" w:rsidR="002374D7" w:rsidRPr="0006164F" w:rsidRDefault="002374D7" w:rsidP="002374D7">
      <w:pPr>
        <w:spacing w:line="360" w:lineRule="auto"/>
        <w:ind w:firstLine="851"/>
        <w:jc w:val="both"/>
        <w:rPr>
          <w:rFonts w:ascii="Arial" w:hAnsi="Arial" w:cs="Arial"/>
          <w:sz w:val="24"/>
          <w:szCs w:val="24"/>
        </w:rPr>
      </w:pPr>
      <w:r w:rsidRPr="0006164F">
        <w:rPr>
          <w:rFonts w:ascii="Arial" w:hAnsi="Arial" w:cs="Arial"/>
          <w:b/>
          <w:sz w:val="24"/>
          <w:szCs w:val="24"/>
        </w:rPr>
        <w:lastRenderedPageBreak/>
        <w:t xml:space="preserve">Essa disposição legal visa justamente a incriminar o </w:t>
      </w:r>
      <w:r w:rsidRPr="0006164F">
        <w:rPr>
          <w:rFonts w:ascii="Arial" w:hAnsi="Arial" w:cs="Arial"/>
          <w:b/>
          <w:i/>
          <w:sz w:val="24"/>
          <w:szCs w:val="24"/>
        </w:rPr>
        <w:t>lobby</w:t>
      </w:r>
      <w:r w:rsidRPr="0006164F">
        <w:rPr>
          <w:rFonts w:ascii="Arial" w:hAnsi="Arial" w:cs="Arial"/>
          <w:b/>
          <w:sz w:val="24"/>
          <w:szCs w:val="24"/>
        </w:rPr>
        <w:t xml:space="preserve"> praticado nessa seara</w:t>
      </w:r>
      <w:r w:rsidRPr="0006164F">
        <w:rPr>
          <w:rFonts w:ascii="Arial" w:hAnsi="Arial" w:cs="Arial"/>
          <w:sz w:val="24"/>
          <w:szCs w:val="24"/>
        </w:rPr>
        <w:t>, sobretudo por escritórios de advocacia e auditores fiscais aposentados que se prestam a esse tipo de “assessoria”, que cobram “percentagem” sobre a parcela dedutível ou deduzida do ICMS, o que pode abarcar tanto as “comissões” para viabilizar as alienações de crédito outorgado nos termos detalhados no depoimento supra como as investidas desses profissionais para obterem determinado favor fiscal diretamente das autoridades constituídas, como a aprovação de determinada lei, regulamento ou formalização de determinado TARE em certas condições etc.</w:t>
      </w:r>
    </w:p>
    <w:p w14:paraId="6CCFDB51" w14:textId="513493C6" w:rsidR="002374D7" w:rsidRPr="0006164F" w:rsidRDefault="00ED6DA1" w:rsidP="002374D7">
      <w:pPr>
        <w:spacing w:line="360" w:lineRule="auto"/>
        <w:ind w:firstLine="851"/>
        <w:jc w:val="both"/>
        <w:rPr>
          <w:rFonts w:ascii="Arial" w:hAnsi="Arial" w:cs="Arial"/>
          <w:sz w:val="24"/>
          <w:szCs w:val="24"/>
        </w:rPr>
      </w:pPr>
      <w:r w:rsidRPr="0006164F">
        <w:rPr>
          <w:rFonts w:ascii="Arial" w:hAnsi="Arial" w:cs="Arial"/>
          <w:sz w:val="24"/>
          <w:szCs w:val="24"/>
        </w:rPr>
        <w:t>Encaminha</w:t>
      </w:r>
      <w:r w:rsidR="002374D7" w:rsidRPr="0006164F">
        <w:rPr>
          <w:rFonts w:ascii="Arial" w:hAnsi="Arial" w:cs="Arial"/>
          <w:sz w:val="24"/>
          <w:szCs w:val="24"/>
        </w:rPr>
        <w:t>-se a presente orientação neste relatório para que o Ministério Público, deparando-se com alguma situação concreta, tome as medidas judiciais pertinentes na esfera criminal.</w:t>
      </w:r>
    </w:p>
    <w:p w14:paraId="62A0CA73" w14:textId="6D111BDF" w:rsidR="007F3EC0" w:rsidRDefault="007F3EC0">
      <w:pPr>
        <w:rPr>
          <w:rFonts w:ascii="Arial" w:hAnsi="Arial" w:cs="Arial"/>
          <w:b/>
          <w:sz w:val="24"/>
          <w:szCs w:val="24"/>
          <w:u w:val="single"/>
        </w:rPr>
      </w:pPr>
      <w:r>
        <w:rPr>
          <w:rFonts w:ascii="Arial" w:hAnsi="Arial" w:cs="Arial"/>
          <w:b/>
          <w:sz w:val="24"/>
          <w:szCs w:val="24"/>
          <w:u w:val="single"/>
        </w:rPr>
        <w:br w:type="page"/>
      </w:r>
    </w:p>
    <w:p w14:paraId="44672D7A" w14:textId="77777777" w:rsidR="00E11852" w:rsidRDefault="00E11852" w:rsidP="00603E38">
      <w:pPr>
        <w:spacing w:line="360" w:lineRule="auto"/>
        <w:ind w:firstLine="851"/>
        <w:jc w:val="both"/>
        <w:rPr>
          <w:rFonts w:ascii="Arial" w:hAnsi="Arial" w:cs="Arial"/>
          <w:b/>
          <w:sz w:val="24"/>
          <w:szCs w:val="24"/>
          <w:u w:val="single"/>
        </w:rPr>
      </w:pPr>
    </w:p>
    <w:p w14:paraId="10056257" w14:textId="09A1C946" w:rsidR="008B12BD" w:rsidRPr="00603E38" w:rsidRDefault="00383606" w:rsidP="00603E38">
      <w:pPr>
        <w:spacing w:line="360" w:lineRule="auto"/>
        <w:ind w:firstLine="851"/>
        <w:jc w:val="both"/>
        <w:rPr>
          <w:rFonts w:ascii="Arial" w:hAnsi="Arial" w:cs="Arial"/>
          <w:b/>
          <w:sz w:val="24"/>
          <w:szCs w:val="24"/>
          <w:u w:val="single"/>
        </w:rPr>
      </w:pPr>
      <w:r>
        <w:rPr>
          <w:rFonts w:ascii="Arial" w:hAnsi="Arial" w:cs="Arial"/>
          <w:b/>
          <w:sz w:val="24"/>
          <w:szCs w:val="24"/>
          <w:u w:val="single"/>
        </w:rPr>
        <w:t>8</w:t>
      </w:r>
      <w:r w:rsidR="00603E38" w:rsidRPr="00603E38">
        <w:rPr>
          <w:rFonts w:ascii="Arial" w:hAnsi="Arial" w:cs="Arial"/>
          <w:b/>
          <w:sz w:val="24"/>
          <w:szCs w:val="24"/>
          <w:u w:val="single"/>
        </w:rPr>
        <w:t xml:space="preserve"> – </w:t>
      </w:r>
      <w:r w:rsidR="005A4FA0">
        <w:rPr>
          <w:rFonts w:ascii="Arial" w:hAnsi="Arial" w:cs="Arial"/>
          <w:b/>
          <w:sz w:val="24"/>
          <w:szCs w:val="24"/>
          <w:u w:val="single"/>
        </w:rPr>
        <w:t>DESCUMPRIMENTO DE REQUISITOS CONSTITUCIONAIS E LEGAIS PARA CONCESSÃO E FRUIÇÃO DE INCENTIVOS FISCAIS</w:t>
      </w:r>
    </w:p>
    <w:p w14:paraId="2FAC914C" w14:textId="2E5609B8" w:rsidR="008B12BD" w:rsidRDefault="008B12BD" w:rsidP="008B12BD">
      <w:pPr>
        <w:spacing w:line="360" w:lineRule="auto"/>
        <w:ind w:left="851"/>
        <w:jc w:val="both"/>
        <w:rPr>
          <w:rFonts w:ascii="Arial" w:hAnsi="Arial" w:cs="Arial"/>
          <w:b/>
          <w:sz w:val="24"/>
          <w:szCs w:val="24"/>
        </w:rPr>
      </w:pPr>
    </w:p>
    <w:p w14:paraId="38B42326" w14:textId="2D7080A6" w:rsidR="00EC7D26" w:rsidRDefault="00EC7D26" w:rsidP="00EC7D26">
      <w:pPr>
        <w:spacing w:line="360" w:lineRule="auto"/>
        <w:ind w:firstLine="851"/>
        <w:jc w:val="both"/>
        <w:rPr>
          <w:rFonts w:ascii="Arial" w:hAnsi="Arial" w:cs="Arial"/>
          <w:sz w:val="24"/>
          <w:szCs w:val="24"/>
        </w:rPr>
      </w:pPr>
      <w:r>
        <w:rPr>
          <w:rFonts w:ascii="Arial" w:hAnsi="Arial" w:cs="Arial"/>
          <w:sz w:val="24"/>
          <w:szCs w:val="24"/>
        </w:rPr>
        <w:t xml:space="preserve">Em relação aos </w:t>
      </w:r>
      <w:r w:rsidRPr="00A06C89">
        <w:rPr>
          <w:rFonts w:ascii="Arial" w:hAnsi="Arial" w:cs="Arial"/>
          <w:b/>
          <w:sz w:val="24"/>
          <w:szCs w:val="24"/>
          <w:u w:val="single"/>
        </w:rPr>
        <w:t>requisitos gerais</w:t>
      </w:r>
      <w:r>
        <w:rPr>
          <w:rFonts w:ascii="Arial" w:hAnsi="Arial" w:cs="Arial"/>
          <w:b/>
          <w:sz w:val="24"/>
          <w:szCs w:val="24"/>
          <w:u w:val="single"/>
        </w:rPr>
        <w:t xml:space="preserve"> para concessão e fruição de incentivos fiscais</w:t>
      </w:r>
      <w:r>
        <w:rPr>
          <w:rFonts w:ascii="Arial" w:hAnsi="Arial" w:cs="Arial"/>
          <w:sz w:val="24"/>
          <w:szCs w:val="24"/>
        </w:rPr>
        <w:t xml:space="preserve">, serão objeto de análise neste capítulo os seguintes: </w:t>
      </w:r>
      <w:r w:rsidRPr="00A06C89">
        <w:rPr>
          <w:rFonts w:ascii="Arial" w:hAnsi="Arial" w:cs="Arial"/>
          <w:b/>
          <w:sz w:val="24"/>
          <w:szCs w:val="24"/>
        </w:rPr>
        <w:t>a) regularidade fiscal</w:t>
      </w:r>
      <w:r>
        <w:rPr>
          <w:rFonts w:ascii="Arial" w:hAnsi="Arial" w:cs="Arial"/>
          <w:sz w:val="24"/>
          <w:szCs w:val="24"/>
        </w:rPr>
        <w:t xml:space="preserve">, prevista em diversas leis e regulamentos estaduais; </w:t>
      </w:r>
      <w:r w:rsidRPr="00A06C89">
        <w:rPr>
          <w:rFonts w:ascii="Arial" w:hAnsi="Arial" w:cs="Arial"/>
          <w:b/>
          <w:sz w:val="24"/>
          <w:szCs w:val="24"/>
        </w:rPr>
        <w:t>b) regularidade previdenciária</w:t>
      </w:r>
      <w:r>
        <w:rPr>
          <w:rFonts w:ascii="Arial" w:hAnsi="Arial" w:cs="Arial"/>
          <w:sz w:val="24"/>
          <w:szCs w:val="24"/>
        </w:rPr>
        <w:t xml:space="preserve"> (CRFB, art. 195, § 3º); </w:t>
      </w:r>
      <w:r w:rsidRPr="00A06C89">
        <w:rPr>
          <w:rFonts w:ascii="Arial" w:hAnsi="Arial" w:cs="Arial"/>
          <w:b/>
          <w:sz w:val="24"/>
          <w:szCs w:val="24"/>
        </w:rPr>
        <w:t>c) regularidade ambiental</w:t>
      </w:r>
      <w:r>
        <w:rPr>
          <w:rFonts w:ascii="Arial" w:hAnsi="Arial" w:cs="Arial"/>
          <w:sz w:val="24"/>
          <w:szCs w:val="24"/>
        </w:rPr>
        <w:t xml:space="preserve"> (CE/GO, art. 132, § 4º); e </w:t>
      </w:r>
      <w:r w:rsidRPr="00A06C89">
        <w:rPr>
          <w:rFonts w:ascii="Arial" w:hAnsi="Arial" w:cs="Arial"/>
          <w:b/>
          <w:sz w:val="24"/>
          <w:szCs w:val="24"/>
        </w:rPr>
        <w:t>d) regularidade social</w:t>
      </w:r>
      <w:r>
        <w:rPr>
          <w:rFonts w:ascii="Arial" w:hAnsi="Arial" w:cs="Arial"/>
          <w:sz w:val="24"/>
          <w:szCs w:val="24"/>
        </w:rPr>
        <w:t xml:space="preserve"> (CE/GO, art. 136, § 2º).</w:t>
      </w:r>
    </w:p>
    <w:p w14:paraId="722C9EB3" w14:textId="77777777" w:rsidR="00582D71" w:rsidRDefault="003A1FF6" w:rsidP="00EC7D26">
      <w:pPr>
        <w:spacing w:line="360" w:lineRule="auto"/>
        <w:ind w:firstLine="851"/>
        <w:jc w:val="both"/>
        <w:rPr>
          <w:rFonts w:ascii="Arial" w:hAnsi="Arial" w:cs="Arial"/>
          <w:sz w:val="24"/>
          <w:szCs w:val="24"/>
        </w:rPr>
      </w:pPr>
      <w:r w:rsidRPr="003A1FF6">
        <w:rPr>
          <w:rFonts w:ascii="Arial" w:hAnsi="Arial" w:cs="Arial"/>
          <w:sz w:val="24"/>
          <w:szCs w:val="24"/>
        </w:rPr>
        <w:t>Neste capítulo</w:t>
      </w:r>
      <w:r>
        <w:rPr>
          <w:rFonts w:ascii="Arial" w:hAnsi="Arial" w:cs="Arial"/>
          <w:sz w:val="24"/>
          <w:szCs w:val="24"/>
        </w:rPr>
        <w:t xml:space="preserve">, evidenciar-se-á, em complemento às considerações realizadas nos capítulos 6 e 7 deste relatório, </w:t>
      </w:r>
      <w:r w:rsidRPr="00961BDA">
        <w:rPr>
          <w:rFonts w:ascii="Arial" w:hAnsi="Arial" w:cs="Arial"/>
          <w:sz w:val="24"/>
          <w:szCs w:val="24"/>
        </w:rPr>
        <w:t xml:space="preserve">que </w:t>
      </w:r>
      <w:r w:rsidRPr="00C159AE">
        <w:rPr>
          <w:rFonts w:ascii="Arial" w:hAnsi="Arial" w:cs="Arial"/>
          <w:b/>
          <w:sz w:val="24"/>
          <w:szCs w:val="24"/>
          <w:u w:val="single"/>
        </w:rPr>
        <w:t xml:space="preserve">a fiscalização estadual </w:t>
      </w:r>
      <w:r w:rsidR="00E855A0" w:rsidRPr="00C159AE">
        <w:rPr>
          <w:rFonts w:ascii="Arial" w:hAnsi="Arial" w:cs="Arial"/>
          <w:b/>
          <w:sz w:val="24"/>
          <w:szCs w:val="24"/>
          <w:u w:val="single"/>
        </w:rPr>
        <w:t>se revela</w:t>
      </w:r>
      <w:r w:rsidRPr="00C159AE">
        <w:rPr>
          <w:rFonts w:ascii="Arial" w:hAnsi="Arial" w:cs="Arial"/>
          <w:b/>
          <w:sz w:val="24"/>
          <w:szCs w:val="24"/>
          <w:u w:val="single"/>
        </w:rPr>
        <w:t xml:space="preserve"> praticamente inexistente</w:t>
      </w:r>
      <w:r w:rsidRPr="00EC7D26">
        <w:rPr>
          <w:rFonts w:ascii="Arial" w:hAnsi="Arial" w:cs="Arial"/>
          <w:sz w:val="24"/>
          <w:szCs w:val="24"/>
        </w:rPr>
        <w:t xml:space="preserve"> não só em relação às contrapartidas</w:t>
      </w:r>
      <w:r>
        <w:rPr>
          <w:rFonts w:ascii="Arial" w:hAnsi="Arial" w:cs="Arial"/>
          <w:sz w:val="24"/>
          <w:szCs w:val="24"/>
        </w:rPr>
        <w:t xml:space="preserve"> e requisitos específicos dos programas e incentivos fiscais, mas </w:t>
      </w:r>
      <w:r w:rsidRPr="00A06C89">
        <w:rPr>
          <w:rFonts w:ascii="Arial" w:hAnsi="Arial" w:cs="Arial"/>
          <w:b/>
          <w:sz w:val="24"/>
          <w:szCs w:val="24"/>
        </w:rPr>
        <w:t>também em relação a</w:t>
      </w:r>
      <w:r w:rsidR="00EC7D26">
        <w:rPr>
          <w:rFonts w:ascii="Arial" w:hAnsi="Arial" w:cs="Arial"/>
          <w:b/>
          <w:sz w:val="24"/>
          <w:szCs w:val="24"/>
        </w:rPr>
        <w:t>os próprios</w:t>
      </w:r>
      <w:r w:rsidRPr="00A06C89">
        <w:rPr>
          <w:rFonts w:ascii="Arial" w:hAnsi="Arial" w:cs="Arial"/>
          <w:b/>
          <w:sz w:val="24"/>
          <w:szCs w:val="24"/>
        </w:rPr>
        <w:t xml:space="preserve"> requisitos básicos para concessão e fruição previstos na CRFB, CE/GO e na</w:t>
      </w:r>
      <w:r w:rsidR="00171BE1">
        <w:rPr>
          <w:rFonts w:ascii="Arial" w:hAnsi="Arial" w:cs="Arial"/>
          <w:b/>
          <w:sz w:val="24"/>
          <w:szCs w:val="24"/>
        </w:rPr>
        <w:t>s demais normas aplicáveis</w:t>
      </w:r>
      <w:r>
        <w:rPr>
          <w:rFonts w:ascii="Arial" w:hAnsi="Arial" w:cs="Arial"/>
          <w:sz w:val="24"/>
          <w:szCs w:val="24"/>
        </w:rPr>
        <w:t>.</w:t>
      </w:r>
      <w:r w:rsidR="00790F9E">
        <w:rPr>
          <w:rFonts w:ascii="Arial" w:hAnsi="Arial" w:cs="Arial"/>
          <w:sz w:val="24"/>
          <w:szCs w:val="24"/>
        </w:rPr>
        <w:t xml:space="preserve"> </w:t>
      </w:r>
    </w:p>
    <w:p w14:paraId="61A84D59" w14:textId="1C896FB0" w:rsidR="00EC7D26" w:rsidRDefault="00EC7D26" w:rsidP="00EC7D26">
      <w:pPr>
        <w:spacing w:line="360" w:lineRule="auto"/>
        <w:ind w:firstLine="851"/>
        <w:jc w:val="both"/>
        <w:rPr>
          <w:rFonts w:ascii="Arial" w:hAnsi="Arial" w:cs="Arial"/>
          <w:sz w:val="24"/>
          <w:szCs w:val="24"/>
        </w:rPr>
      </w:pPr>
      <w:r w:rsidRPr="000B7C02">
        <w:rPr>
          <w:rFonts w:ascii="Arial" w:hAnsi="Arial" w:cs="Arial"/>
          <w:sz w:val="24"/>
          <w:szCs w:val="24"/>
        </w:rPr>
        <w:t xml:space="preserve">Ressalte-se que, </w:t>
      </w:r>
      <w:r w:rsidR="00790F9E" w:rsidRPr="000B7C02">
        <w:rPr>
          <w:rFonts w:ascii="Arial" w:hAnsi="Arial" w:cs="Arial"/>
          <w:sz w:val="24"/>
          <w:szCs w:val="24"/>
        </w:rPr>
        <w:t xml:space="preserve">no âmbito dos </w:t>
      </w:r>
      <w:r w:rsidRPr="000B7C02">
        <w:rPr>
          <w:rFonts w:ascii="Arial" w:hAnsi="Arial" w:cs="Arial"/>
          <w:sz w:val="24"/>
          <w:szCs w:val="24"/>
        </w:rPr>
        <w:t xml:space="preserve">créditos outorgados e dos Programas FOMENTAR e PRODUZIR, </w:t>
      </w:r>
      <w:r w:rsidR="00790F9E" w:rsidRPr="000B7C02">
        <w:rPr>
          <w:rFonts w:ascii="Arial" w:hAnsi="Arial" w:cs="Arial"/>
          <w:b/>
          <w:sz w:val="24"/>
          <w:szCs w:val="24"/>
        </w:rPr>
        <w:t>não chegou a esta CPI quaisquer auditorias ou atividades de fiscalização referentes à observância dos</w:t>
      </w:r>
      <w:r w:rsidRPr="000B7C02">
        <w:rPr>
          <w:rFonts w:ascii="Arial" w:hAnsi="Arial" w:cs="Arial"/>
          <w:b/>
          <w:bCs/>
          <w:sz w:val="24"/>
          <w:szCs w:val="24"/>
        </w:rPr>
        <w:t xml:space="preserve"> requisitos gerais acima mencionados</w:t>
      </w:r>
      <w:r w:rsidR="00582D71" w:rsidRPr="000B7C02">
        <w:rPr>
          <w:rFonts w:ascii="Arial" w:hAnsi="Arial" w:cs="Arial"/>
          <w:bCs/>
          <w:sz w:val="24"/>
          <w:szCs w:val="24"/>
        </w:rPr>
        <w:t>,</w:t>
      </w:r>
      <w:r w:rsidR="00582D71" w:rsidRPr="000B7C02">
        <w:rPr>
          <w:rFonts w:ascii="Arial" w:hAnsi="Arial" w:cs="Arial"/>
          <w:b/>
          <w:bCs/>
          <w:sz w:val="24"/>
          <w:szCs w:val="24"/>
        </w:rPr>
        <w:t xml:space="preserve"> </w:t>
      </w:r>
      <w:r w:rsidR="00582D71" w:rsidRPr="000B7C02">
        <w:rPr>
          <w:rFonts w:ascii="Arial" w:hAnsi="Arial" w:cs="Arial"/>
          <w:bCs/>
          <w:sz w:val="24"/>
          <w:szCs w:val="24"/>
        </w:rPr>
        <w:t xml:space="preserve">tampouco se tem ciência da penalização de quaisquer empresas nem de </w:t>
      </w:r>
      <w:r w:rsidR="000B7C02" w:rsidRPr="000B7C02">
        <w:rPr>
          <w:rFonts w:ascii="Arial" w:hAnsi="Arial" w:cs="Arial"/>
          <w:bCs/>
          <w:sz w:val="24"/>
          <w:szCs w:val="24"/>
        </w:rPr>
        <w:t>medidas visando à</w:t>
      </w:r>
      <w:r w:rsidR="00582D71" w:rsidRPr="000B7C02">
        <w:rPr>
          <w:rFonts w:ascii="Arial" w:hAnsi="Arial" w:cs="Arial"/>
          <w:bCs/>
          <w:sz w:val="24"/>
          <w:szCs w:val="24"/>
        </w:rPr>
        <w:t xml:space="preserve"> recuperação de crédito fruído irregularmente</w:t>
      </w:r>
      <w:r w:rsidR="000B7C02" w:rsidRPr="000B7C02">
        <w:rPr>
          <w:rFonts w:ascii="Arial" w:hAnsi="Arial" w:cs="Arial"/>
          <w:bCs/>
          <w:sz w:val="24"/>
          <w:szCs w:val="24"/>
        </w:rPr>
        <w:t xml:space="preserve"> em razão do não atendimento àqueles requisitos</w:t>
      </w:r>
      <w:r w:rsidRPr="000B7C02">
        <w:rPr>
          <w:rFonts w:ascii="Arial" w:hAnsi="Arial" w:cs="Arial"/>
          <w:sz w:val="24"/>
          <w:szCs w:val="24"/>
        </w:rPr>
        <w:t>.</w:t>
      </w:r>
    </w:p>
    <w:p w14:paraId="35154FBB" w14:textId="77777777" w:rsidR="00C159AE" w:rsidRDefault="00223280" w:rsidP="003A1FF6">
      <w:pPr>
        <w:spacing w:line="360" w:lineRule="auto"/>
        <w:ind w:firstLine="851"/>
        <w:jc w:val="both"/>
        <w:rPr>
          <w:rFonts w:ascii="Arial" w:hAnsi="Arial" w:cs="Arial"/>
          <w:sz w:val="24"/>
          <w:szCs w:val="24"/>
        </w:rPr>
      </w:pPr>
      <w:r>
        <w:rPr>
          <w:rFonts w:ascii="Arial" w:hAnsi="Arial" w:cs="Arial"/>
          <w:sz w:val="24"/>
          <w:szCs w:val="24"/>
        </w:rPr>
        <w:t xml:space="preserve">Interessante notar também que, até hoje, </w:t>
      </w:r>
      <w:r w:rsidRPr="00A06C89">
        <w:rPr>
          <w:rFonts w:ascii="Arial" w:hAnsi="Arial" w:cs="Arial"/>
          <w:b/>
          <w:sz w:val="24"/>
          <w:szCs w:val="24"/>
        </w:rPr>
        <w:t xml:space="preserve">os </w:t>
      </w:r>
      <w:r w:rsidRPr="004C5166">
        <w:rPr>
          <w:rFonts w:ascii="Arial" w:hAnsi="Arial" w:cs="Arial"/>
          <w:b/>
          <w:sz w:val="24"/>
          <w:szCs w:val="24"/>
          <w:u w:val="single"/>
        </w:rPr>
        <w:t>órgãos de controle</w:t>
      </w:r>
      <w:r w:rsidRPr="00A06C89">
        <w:rPr>
          <w:rFonts w:ascii="Arial" w:hAnsi="Arial" w:cs="Arial"/>
          <w:b/>
          <w:sz w:val="24"/>
          <w:szCs w:val="24"/>
        </w:rPr>
        <w:t xml:space="preserve"> não se debruçaram em</w:t>
      </w:r>
      <w:r w:rsidR="004C5166">
        <w:rPr>
          <w:rFonts w:ascii="Arial" w:hAnsi="Arial" w:cs="Arial"/>
          <w:b/>
          <w:sz w:val="24"/>
          <w:szCs w:val="24"/>
        </w:rPr>
        <w:t xml:space="preserve"> suas </w:t>
      </w:r>
      <w:r w:rsidR="004C5166" w:rsidRPr="00A06C89">
        <w:rPr>
          <w:rFonts w:ascii="Arial" w:hAnsi="Arial" w:cs="Arial"/>
          <w:b/>
          <w:sz w:val="24"/>
          <w:szCs w:val="24"/>
        </w:rPr>
        <w:t xml:space="preserve">análises </w:t>
      </w:r>
      <w:r w:rsidR="004C5166">
        <w:rPr>
          <w:rFonts w:ascii="Arial" w:hAnsi="Arial" w:cs="Arial"/>
          <w:b/>
          <w:sz w:val="24"/>
          <w:szCs w:val="24"/>
        </w:rPr>
        <w:t>e respectivos</w:t>
      </w:r>
      <w:r w:rsidRPr="00A06C89">
        <w:rPr>
          <w:rFonts w:ascii="Arial" w:hAnsi="Arial" w:cs="Arial"/>
          <w:b/>
          <w:sz w:val="24"/>
          <w:szCs w:val="24"/>
        </w:rPr>
        <w:t xml:space="preserve"> </w:t>
      </w:r>
      <w:r w:rsidR="004C5166">
        <w:rPr>
          <w:rFonts w:ascii="Arial" w:hAnsi="Arial" w:cs="Arial"/>
          <w:b/>
          <w:sz w:val="24"/>
          <w:szCs w:val="24"/>
        </w:rPr>
        <w:t xml:space="preserve">processos de auditorias </w:t>
      </w:r>
      <w:r w:rsidRPr="00A06C89">
        <w:rPr>
          <w:rFonts w:ascii="Arial" w:hAnsi="Arial" w:cs="Arial"/>
          <w:b/>
          <w:sz w:val="24"/>
          <w:szCs w:val="24"/>
        </w:rPr>
        <w:t>acerca desses requisitos</w:t>
      </w:r>
      <w:r>
        <w:rPr>
          <w:rFonts w:ascii="Arial" w:hAnsi="Arial" w:cs="Arial"/>
          <w:sz w:val="24"/>
          <w:szCs w:val="24"/>
        </w:rPr>
        <w:t xml:space="preserve">, à exceção de </w:t>
      </w:r>
      <w:r w:rsidR="00A06C89">
        <w:rPr>
          <w:rFonts w:ascii="Arial" w:hAnsi="Arial" w:cs="Arial"/>
          <w:sz w:val="24"/>
          <w:szCs w:val="24"/>
        </w:rPr>
        <w:t>recente</w:t>
      </w:r>
      <w:r>
        <w:rPr>
          <w:rFonts w:ascii="Arial" w:hAnsi="Arial" w:cs="Arial"/>
          <w:sz w:val="24"/>
          <w:szCs w:val="24"/>
        </w:rPr>
        <w:t xml:space="preserve"> intervenção da CGE/GO</w:t>
      </w:r>
      <w:r w:rsidR="00A06C89">
        <w:rPr>
          <w:rFonts w:ascii="Arial" w:hAnsi="Arial" w:cs="Arial"/>
          <w:sz w:val="24"/>
          <w:szCs w:val="24"/>
        </w:rPr>
        <w:t>,</w:t>
      </w:r>
      <w:r>
        <w:rPr>
          <w:rFonts w:ascii="Arial" w:hAnsi="Arial" w:cs="Arial"/>
          <w:sz w:val="24"/>
          <w:szCs w:val="24"/>
        </w:rPr>
        <w:t xml:space="preserve"> em seu Informe de Auditoria nº </w:t>
      </w:r>
      <w:r w:rsidR="004E00A9">
        <w:rPr>
          <w:rFonts w:ascii="Arial" w:hAnsi="Arial" w:cs="Arial"/>
          <w:sz w:val="24"/>
          <w:szCs w:val="24"/>
        </w:rPr>
        <w:t>01</w:t>
      </w:r>
      <w:r>
        <w:rPr>
          <w:rFonts w:ascii="Arial" w:hAnsi="Arial" w:cs="Arial"/>
          <w:sz w:val="24"/>
          <w:szCs w:val="24"/>
        </w:rPr>
        <w:t>/2019</w:t>
      </w:r>
      <w:r w:rsidR="00A06C89">
        <w:rPr>
          <w:rFonts w:ascii="Arial" w:hAnsi="Arial" w:cs="Arial"/>
          <w:sz w:val="24"/>
          <w:szCs w:val="24"/>
        </w:rPr>
        <w:t>, a respeito da constatação da ausência de</w:t>
      </w:r>
      <w:r>
        <w:rPr>
          <w:rFonts w:ascii="Arial" w:hAnsi="Arial" w:cs="Arial"/>
          <w:sz w:val="24"/>
          <w:szCs w:val="24"/>
        </w:rPr>
        <w:t xml:space="preserve"> regularidade fiscal </w:t>
      </w:r>
      <w:r w:rsidR="00C159AE">
        <w:rPr>
          <w:rFonts w:ascii="Arial" w:hAnsi="Arial" w:cs="Arial"/>
          <w:sz w:val="24"/>
          <w:szCs w:val="24"/>
        </w:rPr>
        <w:t xml:space="preserve">estadual </w:t>
      </w:r>
      <w:r>
        <w:rPr>
          <w:rFonts w:ascii="Arial" w:hAnsi="Arial" w:cs="Arial"/>
          <w:sz w:val="24"/>
          <w:szCs w:val="24"/>
        </w:rPr>
        <w:t>a partir</w:t>
      </w:r>
      <w:r w:rsidR="00903595">
        <w:rPr>
          <w:rFonts w:ascii="Arial" w:hAnsi="Arial" w:cs="Arial"/>
          <w:sz w:val="24"/>
          <w:szCs w:val="24"/>
        </w:rPr>
        <w:t xml:space="preserve"> de pequena amos</w:t>
      </w:r>
      <w:r w:rsidR="007C43B7">
        <w:rPr>
          <w:rFonts w:ascii="Arial" w:hAnsi="Arial" w:cs="Arial"/>
          <w:sz w:val="24"/>
          <w:szCs w:val="24"/>
        </w:rPr>
        <w:t>tra de empresas</w:t>
      </w:r>
      <w:r w:rsidR="00903595">
        <w:rPr>
          <w:rFonts w:ascii="Arial" w:hAnsi="Arial" w:cs="Arial"/>
          <w:sz w:val="24"/>
          <w:szCs w:val="24"/>
        </w:rPr>
        <w:t xml:space="preserve">. </w:t>
      </w:r>
    </w:p>
    <w:p w14:paraId="1BC7A937" w14:textId="23E220E9" w:rsidR="00223280" w:rsidRPr="003A1FF6" w:rsidRDefault="00903595" w:rsidP="003A1FF6">
      <w:pPr>
        <w:spacing w:line="360" w:lineRule="auto"/>
        <w:ind w:firstLine="851"/>
        <w:jc w:val="both"/>
        <w:rPr>
          <w:rFonts w:ascii="Arial" w:hAnsi="Arial" w:cs="Arial"/>
          <w:sz w:val="24"/>
          <w:szCs w:val="24"/>
        </w:rPr>
      </w:pPr>
      <w:r>
        <w:rPr>
          <w:rFonts w:ascii="Arial" w:hAnsi="Arial" w:cs="Arial"/>
          <w:sz w:val="24"/>
          <w:szCs w:val="24"/>
        </w:rPr>
        <w:t xml:space="preserve">Desse modo, </w:t>
      </w:r>
      <w:r w:rsidRPr="00C159AE">
        <w:rPr>
          <w:rFonts w:ascii="Arial" w:hAnsi="Arial" w:cs="Arial"/>
          <w:b/>
          <w:bCs/>
          <w:sz w:val="24"/>
          <w:szCs w:val="24"/>
          <w:u w:val="single"/>
        </w:rPr>
        <w:t>e</w:t>
      </w:r>
      <w:r w:rsidR="00223280" w:rsidRPr="00C159AE">
        <w:rPr>
          <w:rFonts w:ascii="Arial" w:hAnsi="Arial" w:cs="Arial"/>
          <w:b/>
          <w:bCs/>
          <w:sz w:val="24"/>
          <w:szCs w:val="24"/>
          <w:u w:val="single"/>
        </w:rPr>
        <w:t>sta CPI apela aos órgãos de controle</w:t>
      </w:r>
      <w:r w:rsidR="00223280" w:rsidRPr="00C159AE">
        <w:rPr>
          <w:rFonts w:ascii="Arial" w:hAnsi="Arial" w:cs="Arial"/>
          <w:b/>
          <w:bCs/>
          <w:sz w:val="24"/>
          <w:szCs w:val="24"/>
        </w:rPr>
        <w:t>, em especial CGE/GO e TCE/GO</w:t>
      </w:r>
      <w:r w:rsidR="00223280">
        <w:rPr>
          <w:rFonts w:ascii="Arial" w:hAnsi="Arial" w:cs="Arial"/>
          <w:sz w:val="24"/>
          <w:szCs w:val="24"/>
        </w:rPr>
        <w:t xml:space="preserve">, </w:t>
      </w:r>
      <w:r>
        <w:rPr>
          <w:rFonts w:ascii="Arial" w:hAnsi="Arial" w:cs="Arial"/>
          <w:sz w:val="24"/>
          <w:szCs w:val="24"/>
        </w:rPr>
        <w:t xml:space="preserve">para </w:t>
      </w:r>
      <w:r w:rsidR="00223280">
        <w:rPr>
          <w:rFonts w:ascii="Arial" w:hAnsi="Arial" w:cs="Arial"/>
          <w:sz w:val="24"/>
          <w:szCs w:val="24"/>
        </w:rPr>
        <w:t>que passem</w:t>
      </w:r>
      <w:r w:rsidR="008B6AD1">
        <w:rPr>
          <w:rFonts w:ascii="Arial" w:hAnsi="Arial" w:cs="Arial"/>
          <w:sz w:val="24"/>
          <w:szCs w:val="24"/>
        </w:rPr>
        <w:t xml:space="preserve"> a </w:t>
      </w:r>
      <w:r w:rsidR="00924988">
        <w:rPr>
          <w:rFonts w:ascii="Arial" w:hAnsi="Arial" w:cs="Arial"/>
          <w:sz w:val="24"/>
          <w:szCs w:val="24"/>
        </w:rPr>
        <w:t>realizar</w:t>
      </w:r>
      <w:r w:rsidR="008B6AD1">
        <w:rPr>
          <w:rFonts w:ascii="Arial" w:hAnsi="Arial" w:cs="Arial"/>
          <w:sz w:val="24"/>
          <w:szCs w:val="24"/>
        </w:rPr>
        <w:t xml:space="preserve"> auditorias periódicas acerca desses requisitos em relação a distintas amostras de empresas</w:t>
      </w:r>
      <w:r w:rsidR="00114EAA">
        <w:rPr>
          <w:rFonts w:ascii="Arial" w:hAnsi="Arial" w:cs="Arial"/>
          <w:sz w:val="24"/>
          <w:szCs w:val="24"/>
        </w:rPr>
        <w:t xml:space="preserve"> ou distintos requisitos para aferição</w:t>
      </w:r>
      <w:r w:rsidR="004A5A3F">
        <w:rPr>
          <w:rFonts w:ascii="Arial" w:hAnsi="Arial" w:cs="Arial"/>
          <w:sz w:val="24"/>
          <w:szCs w:val="24"/>
        </w:rPr>
        <w:t>, a ser definido em diálogo institucional entre os órgãos</w:t>
      </w:r>
      <w:r w:rsidR="008B6AD1">
        <w:rPr>
          <w:rFonts w:ascii="Arial" w:hAnsi="Arial" w:cs="Arial"/>
          <w:sz w:val="24"/>
          <w:szCs w:val="24"/>
        </w:rPr>
        <w:t>.</w:t>
      </w:r>
    </w:p>
    <w:p w14:paraId="448D1CE8" w14:textId="77777777" w:rsidR="003A1FF6" w:rsidRDefault="003A1FF6" w:rsidP="008B12BD">
      <w:pPr>
        <w:spacing w:line="360" w:lineRule="auto"/>
        <w:ind w:left="851"/>
        <w:jc w:val="both"/>
        <w:rPr>
          <w:rFonts w:ascii="Arial" w:hAnsi="Arial" w:cs="Arial"/>
          <w:b/>
          <w:sz w:val="24"/>
          <w:szCs w:val="24"/>
        </w:rPr>
      </w:pPr>
    </w:p>
    <w:p w14:paraId="19F2E05A" w14:textId="77777777" w:rsidR="00AE7781" w:rsidRDefault="00AE7781" w:rsidP="008B12BD">
      <w:pPr>
        <w:spacing w:line="360" w:lineRule="auto"/>
        <w:ind w:left="851"/>
        <w:jc w:val="both"/>
        <w:rPr>
          <w:rFonts w:ascii="Arial" w:hAnsi="Arial" w:cs="Arial"/>
          <w:b/>
          <w:sz w:val="24"/>
          <w:szCs w:val="24"/>
        </w:rPr>
      </w:pPr>
    </w:p>
    <w:p w14:paraId="7054682B" w14:textId="77777777" w:rsidR="00AE7781" w:rsidRDefault="00AE7781" w:rsidP="008B12BD">
      <w:pPr>
        <w:spacing w:line="360" w:lineRule="auto"/>
        <w:ind w:left="851"/>
        <w:jc w:val="both"/>
        <w:rPr>
          <w:rFonts w:ascii="Arial" w:hAnsi="Arial" w:cs="Arial"/>
          <w:b/>
          <w:sz w:val="24"/>
          <w:szCs w:val="24"/>
        </w:rPr>
      </w:pPr>
    </w:p>
    <w:p w14:paraId="08AF81FA" w14:textId="5F663D8E" w:rsidR="00827E6D" w:rsidRDefault="00827E6D" w:rsidP="008B12BD">
      <w:pPr>
        <w:spacing w:line="360" w:lineRule="auto"/>
        <w:ind w:left="851"/>
        <w:jc w:val="both"/>
        <w:rPr>
          <w:rFonts w:ascii="Arial" w:hAnsi="Arial" w:cs="Arial"/>
          <w:b/>
          <w:sz w:val="24"/>
          <w:szCs w:val="24"/>
        </w:rPr>
      </w:pPr>
      <w:r>
        <w:rPr>
          <w:rFonts w:ascii="Arial" w:hAnsi="Arial" w:cs="Arial"/>
          <w:b/>
          <w:sz w:val="24"/>
          <w:szCs w:val="24"/>
        </w:rPr>
        <w:lastRenderedPageBreak/>
        <w:t>8.1 –</w:t>
      </w:r>
      <w:r w:rsidR="009F2130">
        <w:rPr>
          <w:rFonts w:ascii="Arial" w:hAnsi="Arial" w:cs="Arial"/>
          <w:b/>
          <w:sz w:val="24"/>
          <w:szCs w:val="24"/>
        </w:rPr>
        <w:t xml:space="preserve"> REGULARIDADE FISCAL</w:t>
      </w:r>
      <w:r w:rsidR="00296B08">
        <w:rPr>
          <w:rFonts w:ascii="Arial" w:hAnsi="Arial" w:cs="Arial"/>
          <w:b/>
          <w:sz w:val="24"/>
          <w:szCs w:val="24"/>
        </w:rPr>
        <w:t xml:space="preserve"> E DEVEDORES CONTUMAZES</w:t>
      </w:r>
    </w:p>
    <w:p w14:paraId="50F6CF62" w14:textId="5DA7EB45" w:rsidR="00827E6D" w:rsidRDefault="00827E6D" w:rsidP="008B12BD">
      <w:pPr>
        <w:spacing w:line="360" w:lineRule="auto"/>
        <w:ind w:left="851"/>
        <w:jc w:val="both"/>
        <w:rPr>
          <w:rFonts w:ascii="Arial" w:hAnsi="Arial" w:cs="Arial"/>
          <w:b/>
          <w:sz w:val="24"/>
          <w:szCs w:val="24"/>
        </w:rPr>
      </w:pPr>
    </w:p>
    <w:p w14:paraId="4ED7A4B0" w14:textId="4B8CDA4D" w:rsidR="0043190E" w:rsidRDefault="003F4F12" w:rsidP="00E11377">
      <w:pPr>
        <w:spacing w:line="360" w:lineRule="auto"/>
        <w:ind w:firstLine="851"/>
        <w:jc w:val="both"/>
        <w:rPr>
          <w:rFonts w:ascii="Arial" w:hAnsi="Arial" w:cs="Arial"/>
          <w:sz w:val="24"/>
          <w:szCs w:val="24"/>
        </w:rPr>
      </w:pPr>
      <w:r w:rsidRPr="003F4F12">
        <w:rPr>
          <w:rFonts w:ascii="Arial" w:hAnsi="Arial" w:cs="Arial"/>
          <w:b/>
          <w:sz w:val="24"/>
          <w:szCs w:val="24"/>
        </w:rPr>
        <w:t>8.1.</w:t>
      </w:r>
      <w:r w:rsidR="00B51D1F">
        <w:rPr>
          <w:rFonts w:ascii="Arial" w:hAnsi="Arial" w:cs="Arial"/>
          <w:b/>
          <w:sz w:val="24"/>
          <w:szCs w:val="24"/>
        </w:rPr>
        <w:t>1.</w:t>
      </w:r>
      <w:r>
        <w:rPr>
          <w:rFonts w:ascii="Arial" w:hAnsi="Arial" w:cs="Arial"/>
          <w:sz w:val="24"/>
          <w:szCs w:val="24"/>
        </w:rPr>
        <w:t xml:space="preserve"> </w:t>
      </w:r>
      <w:r w:rsidR="00E11377" w:rsidRPr="00E11377">
        <w:rPr>
          <w:rFonts w:ascii="Arial" w:hAnsi="Arial" w:cs="Arial"/>
          <w:sz w:val="24"/>
          <w:szCs w:val="24"/>
        </w:rPr>
        <w:t>Conforme</w:t>
      </w:r>
      <w:r w:rsidR="00E11377">
        <w:rPr>
          <w:rFonts w:ascii="Arial" w:hAnsi="Arial" w:cs="Arial"/>
          <w:sz w:val="24"/>
          <w:szCs w:val="24"/>
        </w:rPr>
        <w:t xml:space="preserve"> abordado no capítulo 5 deste relatório, referente ao princípio da legalidade</w:t>
      </w:r>
      <w:r w:rsidR="001E03C5">
        <w:rPr>
          <w:rFonts w:ascii="Arial" w:hAnsi="Arial" w:cs="Arial"/>
          <w:sz w:val="24"/>
          <w:szCs w:val="24"/>
        </w:rPr>
        <w:t xml:space="preserve">, </w:t>
      </w:r>
      <w:r w:rsidR="00D46E29">
        <w:rPr>
          <w:rFonts w:ascii="Arial" w:hAnsi="Arial" w:cs="Arial"/>
          <w:sz w:val="24"/>
          <w:szCs w:val="24"/>
        </w:rPr>
        <w:t xml:space="preserve">embora não haja uma lei geral sobre requisitos para fruição de incentivos fiscais, </w:t>
      </w:r>
      <w:r w:rsidR="00D46E29" w:rsidRPr="002175D7">
        <w:rPr>
          <w:rFonts w:ascii="Arial" w:hAnsi="Arial" w:cs="Arial"/>
          <w:b/>
          <w:sz w:val="24"/>
          <w:szCs w:val="24"/>
          <w:u w:val="single"/>
        </w:rPr>
        <w:t>as leis</w:t>
      </w:r>
      <w:r w:rsidR="00BA1667" w:rsidRPr="002175D7">
        <w:rPr>
          <w:rFonts w:ascii="Arial" w:hAnsi="Arial" w:cs="Arial"/>
          <w:b/>
          <w:sz w:val="24"/>
          <w:szCs w:val="24"/>
          <w:u w:val="single"/>
        </w:rPr>
        <w:t xml:space="preserve"> esparsas que instituem esses incentivos</w:t>
      </w:r>
      <w:r w:rsidR="00D46E29" w:rsidRPr="002175D7">
        <w:rPr>
          <w:rFonts w:ascii="Arial" w:hAnsi="Arial" w:cs="Arial"/>
          <w:b/>
          <w:sz w:val="24"/>
          <w:szCs w:val="24"/>
          <w:u w:val="single"/>
        </w:rPr>
        <w:t xml:space="preserve"> geralmente preveem a </w:t>
      </w:r>
      <w:r w:rsidR="00FA4224" w:rsidRPr="002175D7">
        <w:rPr>
          <w:rFonts w:ascii="Arial" w:hAnsi="Arial" w:cs="Arial"/>
          <w:b/>
          <w:sz w:val="24"/>
          <w:szCs w:val="24"/>
          <w:u w:val="single"/>
        </w:rPr>
        <w:t xml:space="preserve">exigência de </w:t>
      </w:r>
      <w:r w:rsidR="00D46E29" w:rsidRPr="002175D7">
        <w:rPr>
          <w:rFonts w:ascii="Arial" w:hAnsi="Arial" w:cs="Arial"/>
          <w:b/>
          <w:sz w:val="24"/>
          <w:szCs w:val="24"/>
          <w:u w:val="single"/>
        </w:rPr>
        <w:t>regularidade perante o fisco estadual</w:t>
      </w:r>
      <w:r w:rsidR="00FA4224">
        <w:rPr>
          <w:rFonts w:ascii="Arial" w:hAnsi="Arial" w:cs="Arial"/>
          <w:sz w:val="24"/>
          <w:szCs w:val="24"/>
        </w:rPr>
        <w:t>, compreendida como a ausência de crédito tributário inscrito em dívida ativa</w:t>
      </w:r>
      <w:r w:rsidR="00C90F82">
        <w:rPr>
          <w:rFonts w:ascii="Arial" w:hAnsi="Arial" w:cs="Arial"/>
          <w:sz w:val="24"/>
          <w:szCs w:val="24"/>
        </w:rPr>
        <w:t>, exceto no caso de exigibilidade suspensa ou penhora de bens suficientes para o pagamento total da dívida.</w:t>
      </w:r>
    </w:p>
    <w:p w14:paraId="50B68370" w14:textId="271ECE82" w:rsidR="00B51A9C" w:rsidRDefault="00B51A9C" w:rsidP="00B51A9C">
      <w:pPr>
        <w:spacing w:line="360" w:lineRule="auto"/>
        <w:ind w:firstLine="851"/>
        <w:jc w:val="both"/>
        <w:rPr>
          <w:rFonts w:ascii="Arial" w:hAnsi="Arial" w:cs="Arial"/>
          <w:sz w:val="24"/>
          <w:szCs w:val="24"/>
        </w:rPr>
      </w:pPr>
      <w:r>
        <w:rPr>
          <w:rFonts w:ascii="Arial" w:hAnsi="Arial" w:cs="Arial"/>
          <w:sz w:val="24"/>
          <w:szCs w:val="24"/>
        </w:rPr>
        <w:t xml:space="preserve">Na 6ª reunião desta CPI, realizada em 12/06/2019, segundo o </w:t>
      </w:r>
      <w:r w:rsidRPr="00B51A9C">
        <w:rPr>
          <w:rFonts w:ascii="Arial" w:hAnsi="Arial" w:cs="Arial"/>
          <w:b/>
          <w:sz w:val="24"/>
          <w:szCs w:val="24"/>
        </w:rPr>
        <w:t>depoimento da Drª Alessandra Virgínia Costa Pinto</w:t>
      </w:r>
      <w:r>
        <w:rPr>
          <w:rFonts w:ascii="Arial" w:hAnsi="Arial" w:cs="Arial"/>
          <w:sz w:val="24"/>
          <w:szCs w:val="24"/>
        </w:rPr>
        <w:t xml:space="preserve">, que advoga em escritório com tradição na seara empresarial e tributária, há um controle rígido </w:t>
      </w:r>
      <w:r w:rsidR="00EA1F91">
        <w:rPr>
          <w:rFonts w:ascii="Arial" w:hAnsi="Arial" w:cs="Arial"/>
          <w:sz w:val="24"/>
          <w:szCs w:val="24"/>
        </w:rPr>
        <w:t xml:space="preserve">por parte do fisco </w:t>
      </w:r>
      <w:r>
        <w:rPr>
          <w:rFonts w:ascii="Arial" w:hAnsi="Arial" w:cs="Arial"/>
          <w:sz w:val="24"/>
          <w:szCs w:val="24"/>
        </w:rPr>
        <w:t xml:space="preserve">sobre as empresas em relação ao cumprimento dos requisitos, inclusive </w:t>
      </w:r>
      <w:r w:rsidR="00EA1F91">
        <w:rPr>
          <w:rFonts w:ascii="Arial" w:hAnsi="Arial" w:cs="Arial"/>
          <w:sz w:val="24"/>
          <w:szCs w:val="24"/>
        </w:rPr>
        <w:t>a ausência de inscrição em dívida ativa</w:t>
      </w:r>
      <w:r>
        <w:rPr>
          <w:rFonts w:ascii="Arial" w:hAnsi="Arial" w:cs="Arial"/>
          <w:sz w:val="24"/>
          <w:szCs w:val="24"/>
        </w:rPr>
        <w:t>, conforme excertos a seguir transcritos:</w:t>
      </w:r>
    </w:p>
    <w:p w14:paraId="04EBD4DA" w14:textId="77777777" w:rsidR="00B51A9C" w:rsidRDefault="00B51A9C" w:rsidP="00B51A9C">
      <w:pPr>
        <w:spacing w:line="360" w:lineRule="auto"/>
        <w:ind w:firstLine="851"/>
        <w:jc w:val="both"/>
        <w:rPr>
          <w:rFonts w:ascii="Arial" w:hAnsi="Arial" w:cs="Arial"/>
          <w:sz w:val="24"/>
          <w:szCs w:val="24"/>
        </w:rPr>
      </w:pPr>
    </w:p>
    <w:p w14:paraId="04DD3556" w14:textId="77777777" w:rsidR="00B51A9C" w:rsidRPr="003750FF" w:rsidRDefault="00B51A9C" w:rsidP="00411A73">
      <w:pPr>
        <w:ind w:left="2268"/>
        <w:jc w:val="both"/>
        <w:rPr>
          <w:rFonts w:ascii="Arial" w:hAnsi="Arial" w:cs="Arial"/>
          <w:sz w:val="22"/>
          <w:szCs w:val="22"/>
        </w:rPr>
      </w:pPr>
      <w:r w:rsidRPr="003750FF">
        <w:rPr>
          <w:rFonts w:ascii="Arial" w:hAnsi="Arial" w:cs="Arial"/>
          <w:sz w:val="22"/>
          <w:szCs w:val="22"/>
        </w:rPr>
        <w:t xml:space="preserve">A SRA. DRA. ALESSANDRA VIRGÍNIA COSTA PINTO: - Se a empresa não cumpre à risca todas as determinações da lei ou do termo de acordo, ela é autuada. Por exemplo, tivemos lá outro dia um cliente que nós cansamos de avisar: Olha, não pode ficar inadimplente com o ICMS, que você perde o seu LOGPRODUZIR, nesse caso. Avisamos o contador e tudo. O que aconteceu? </w:t>
      </w:r>
    </w:p>
    <w:p w14:paraId="3553C8F5" w14:textId="77777777" w:rsidR="00B51A9C" w:rsidRPr="003750FF" w:rsidRDefault="00B51A9C" w:rsidP="00411A73">
      <w:pPr>
        <w:ind w:left="2268"/>
        <w:jc w:val="both"/>
        <w:rPr>
          <w:rFonts w:ascii="Arial" w:hAnsi="Arial" w:cs="Arial"/>
          <w:sz w:val="22"/>
          <w:szCs w:val="22"/>
        </w:rPr>
      </w:pPr>
      <w:r w:rsidRPr="003750FF">
        <w:rPr>
          <w:rFonts w:ascii="Arial" w:hAnsi="Arial" w:cs="Arial"/>
          <w:sz w:val="22"/>
          <w:szCs w:val="22"/>
        </w:rPr>
        <w:t xml:space="preserve">Eles não tinham dinheiro para pagar o ICMS no mês. Acumulava dois meses, três meses para pagar, aí pagava de uma vez. Não podia naquele mês utilizar o benefício. O que aconteceu? Foi autuado. Então, </w:t>
      </w:r>
      <w:r w:rsidRPr="00EA1F91">
        <w:rPr>
          <w:rFonts w:ascii="Arial" w:hAnsi="Arial" w:cs="Arial"/>
          <w:b/>
          <w:sz w:val="22"/>
          <w:szCs w:val="22"/>
        </w:rPr>
        <w:t>elas são sempre monitoradas e fiscalizadas e quando não cumprem a obrigação, elas são autuadas. Se esquece um débito inscrito na dívida ativa, aquele TARE torna sem efeito. Ele é autuado</w:t>
      </w:r>
      <w:r w:rsidRPr="003750FF">
        <w:rPr>
          <w:rFonts w:ascii="Arial" w:hAnsi="Arial" w:cs="Arial"/>
          <w:sz w:val="22"/>
          <w:szCs w:val="22"/>
        </w:rPr>
        <w:t xml:space="preserve">. Se não paga o ICMS dentro do mês, naquele mês ele não pode usufruir do benefício fiscal que foi concedido, ele é autuado. </w:t>
      </w:r>
    </w:p>
    <w:p w14:paraId="490447E2" w14:textId="03A604A7" w:rsidR="00B51A9C" w:rsidRDefault="00B51A9C" w:rsidP="00411A73">
      <w:pPr>
        <w:ind w:left="2268"/>
        <w:jc w:val="both"/>
        <w:rPr>
          <w:rFonts w:ascii="Arial" w:hAnsi="Arial" w:cs="Arial"/>
          <w:sz w:val="22"/>
          <w:szCs w:val="22"/>
        </w:rPr>
      </w:pPr>
      <w:r w:rsidRPr="003750FF">
        <w:rPr>
          <w:rFonts w:ascii="Arial" w:hAnsi="Arial" w:cs="Arial"/>
          <w:sz w:val="22"/>
          <w:szCs w:val="22"/>
        </w:rPr>
        <w:t xml:space="preserve">Então, temos vários casos de autuações de clientes que esqueceram. O contador esqueceu, um débito foi para uma dívida ativa de um real, é suficiente para ele perder milhões de benefício fiscal, porque é tudo estornado. </w:t>
      </w:r>
      <w:r w:rsidRPr="00B51A9C">
        <w:rPr>
          <w:rFonts w:ascii="Arial" w:hAnsi="Arial" w:cs="Arial"/>
          <w:b/>
          <w:sz w:val="22"/>
          <w:szCs w:val="22"/>
        </w:rPr>
        <w:t>Se deixar uma dívida de um real inscrita na dívida ativa e o empresário não sabe disso, quem faz isso para ele é o contador, se o contador se esquece, e durante aquele período ele usa aquele crédito, aquele benefício, seja lá o que for, ele tem tudo aquilo estornado</w:t>
      </w:r>
      <w:r w:rsidRPr="003750FF">
        <w:rPr>
          <w:rFonts w:ascii="Arial" w:hAnsi="Arial" w:cs="Arial"/>
          <w:sz w:val="22"/>
          <w:szCs w:val="22"/>
        </w:rPr>
        <w:t>.</w:t>
      </w:r>
      <w:r>
        <w:rPr>
          <w:rFonts w:ascii="Arial" w:hAnsi="Arial" w:cs="Arial"/>
          <w:sz w:val="22"/>
          <w:szCs w:val="22"/>
        </w:rPr>
        <w:t xml:space="preserve"> [grifou-se]</w:t>
      </w:r>
    </w:p>
    <w:p w14:paraId="759F9B81" w14:textId="77777777" w:rsidR="00B51A9C" w:rsidRDefault="00B51A9C" w:rsidP="00E11377">
      <w:pPr>
        <w:spacing w:line="360" w:lineRule="auto"/>
        <w:ind w:firstLine="851"/>
        <w:jc w:val="both"/>
        <w:rPr>
          <w:rFonts w:ascii="Arial" w:hAnsi="Arial" w:cs="Arial"/>
          <w:sz w:val="24"/>
          <w:szCs w:val="24"/>
        </w:rPr>
      </w:pPr>
    </w:p>
    <w:p w14:paraId="76A6DC1F" w14:textId="2ABAD6DF" w:rsidR="002F5BE7" w:rsidRDefault="00EA1F91" w:rsidP="00E11377">
      <w:pPr>
        <w:spacing w:line="360" w:lineRule="auto"/>
        <w:ind w:firstLine="851"/>
        <w:jc w:val="both"/>
        <w:rPr>
          <w:rFonts w:ascii="Arial" w:hAnsi="Arial" w:cs="Arial"/>
          <w:sz w:val="24"/>
          <w:szCs w:val="24"/>
        </w:rPr>
      </w:pPr>
      <w:r>
        <w:rPr>
          <w:rFonts w:ascii="Arial" w:hAnsi="Arial" w:cs="Arial"/>
          <w:sz w:val="24"/>
          <w:szCs w:val="24"/>
        </w:rPr>
        <w:t xml:space="preserve">Porém, consoante se demonstrará adiante, </w:t>
      </w:r>
      <w:r w:rsidR="00331859">
        <w:rPr>
          <w:rFonts w:ascii="Arial" w:hAnsi="Arial" w:cs="Arial"/>
          <w:sz w:val="24"/>
          <w:szCs w:val="24"/>
        </w:rPr>
        <w:t xml:space="preserve">essa versão não corresponde à realidade, ao menos não na forma como apresentada. </w:t>
      </w:r>
      <w:r w:rsidR="0024111B">
        <w:rPr>
          <w:rFonts w:ascii="Arial" w:hAnsi="Arial" w:cs="Arial"/>
          <w:sz w:val="24"/>
          <w:szCs w:val="24"/>
        </w:rPr>
        <w:t>Por razões meramente didáticas</w:t>
      </w:r>
      <w:r w:rsidR="002F5BE7">
        <w:rPr>
          <w:rFonts w:ascii="Arial" w:hAnsi="Arial" w:cs="Arial"/>
          <w:sz w:val="24"/>
          <w:szCs w:val="24"/>
        </w:rPr>
        <w:t xml:space="preserve">, </w:t>
      </w:r>
      <w:r w:rsidR="002F5BE7" w:rsidRPr="0024111B">
        <w:rPr>
          <w:rFonts w:ascii="Arial" w:hAnsi="Arial" w:cs="Arial"/>
          <w:b/>
          <w:sz w:val="24"/>
          <w:szCs w:val="24"/>
        </w:rPr>
        <w:t xml:space="preserve">abordar-se-á abaixo </w:t>
      </w:r>
      <w:r w:rsidR="00331859">
        <w:rPr>
          <w:rFonts w:ascii="Arial" w:hAnsi="Arial" w:cs="Arial"/>
          <w:b/>
          <w:sz w:val="24"/>
          <w:szCs w:val="24"/>
        </w:rPr>
        <w:t>a</w:t>
      </w:r>
      <w:r w:rsidR="002F5BE7" w:rsidRPr="0024111B">
        <w:rPr>
          <w:rFonts w:ascii="Arial" w:hAnsi="Arial" w:cs="Arial"/>
          <w:b/>
          <w:sz w:val="24"/>
          <w:szCs w:val="24"/>
        </w:rPr>
        <w:t xml:space="preserve"> exigência</w:t>
      </w:r>
      <w:r w:rsidR="00331859">
        <w:rPr>
          <w:rFonts w:ascii="Arial" w:hAnsi="Arial" w:cs="Arial"/>
          <w:b/>
          <w:sz w:val="24"/>
          <w:szCs w:val="24"/>
        </w:rPr>
        <w:t xml:space="preserve"> de regularidade fiscal</w:t>
      </w:r>
      <w:r w:rsidR="0024111B" w:rsidRPr="0024111B">
        <w:rPr>
          <w:rFonts w:ascii="Arial" w:hAnsi="Arial" w:cs="Arial"/>
          <w:b/>
          <w:sz w:val="24"/>
          <w:szCs w:val="24"/>
        </w:rPr>
        <w:t xml:space="preserve"> à luz d</w:t>
      </w:r>
      <w:r w:rsidR="0024111B">
        <w:rPr>
          <w:rFonts w:ascii="Arial" w:hAnsi="Arial" w:cs="Arial"/>
          <w:b/>
          <w:sz w:val="24"/>
          <w:szCs w:val="24"/>
        </w:rPr>
        <w:t xml:space="preserve">e </w:t>
      </w:r>
      <w:r w:rsidR="002F5BE7" w:rsidRPr="0024111B">
        <w:rPr>
          <w:rFonts w:ascii="Arial" w:hAnsi="Arial" w:cs="Arial"/>
          <w:b/>
          <w:sz w:val="24"/>
          <w:szCs w:val="24"/>
        </w:rPr>
        <w:t xml:space="preserve">2 (dois) </w:t>
      </w:r>
      <w:r w:rsidR="0024111B">
        <w:rPr>
          <w:rFonts w:ascii="Arial" w:hAnsi="Arial" w:cs="Arial"/>
          <w:b/>
          <w:sz w:val="24"/>
          <w:szCs w:val="24"/>
        </w:rPr>
        <w:t xml:space="preserve">grandes </w:t>
      </w:r>
      <w:r w:rsidR="002F5BE7" w:rsidRPr="0024111B">
        <w:rPr>
          <w:rFonts w:ascii="Arial" w:hAnsi="Arial" w:cs="Arial"/>
          <w:b/>
          <w:sz w:val="24"/>
          <w:szCs w:val="24"/>
        </w:rPr>
        <w:t>grupos de incentivos fiscais</w:t>
      </w:r>
      <w:r w:rsidR="002F5BE7">
        <w:rPr>
          <w:rFonts w:ascii="Arial" w:hAnsi="Arial" w:cs="Arial"/>
          <w:sz w:val="24"/>
          <w:szCs w:val="24"/>
        </w:rPr>
        <w:t xml:space="preserve">, o primeiro composto por aqueles concedidos no âmbito </w:t>
      </w:r>
      <w:r w:rsidR="002F5BE7">
        <w:rPr>
          <w:rFonts w:ascii="Arial" w:hAnsi="Arial" w:cs="Arial"/>
          <w:sz w:val="24"/>
          <w:szCs w:val="24"/>
        </w:rPr>
        <w:lastRenderedPageBreak/>
        <w:t>dos Programas Fomentar</w:t>
      </w:r>
      <w:r w:rsidR="0024111B">
        <w:rPr>
          <w:rFonts w:ascii="Arial" w:hAnsi="Arial" w:cs="Arial"/>
          <w:sz w:val="24"/>
          <w:szCs w:val="24"/>
        </w:rPr>
        <w:t xml:space="preserve"> e </w:t>
      </w:r>
      <w:r w:rsidR="002F5BE7">
        <w:rPr>
          <w:rFonts w:ascii="Arial" w:hAnsi="Arial" w:cs="Arial"/>
          <w:sz w:val="24"/>
          <w:szCs w:val="24"/>
        </w:rPr>
        <w:t xml:space="preserve">Produzir e </w:t>
      </w:r>
      <w:r w:rsidR="0024111B">
        <w:rPr>
          <w:rFonts w:ascii="Arial" w:hAnsi="Arial" w:cs="Arial"/>
          <w:sz w:val="24"/>
          <w:szCs w:val="24"/>
        </w:rPr>
        <w:t>o segundo</w:t>
      </w:r>
      <w:r w:rsidR="002F5BE7">
        <w:rPr>
          <w:rFonts w:ascii="Arial" w:hAnsi="Arial" w:cs="Arial"/>
          <w:sz w:val="24"/>
          <w:szCs w:val="24"/>
        </w:rPr>
        <w:t xml:space="preserve"> constitu</w:t>
      </w:r>
      <w:r w:rsidR="0024111B">
        <w:rPr>
          <w:rFonts w:ascii="Arial" w:hAnsi="Arial" w:cs="Arial"/>
          <w:sz w:val="24"/>
          <w:szCs w:val="24"/>
        </w:rPr>
        <w:t>ído da</w:t>
      </w:r>
      <w:r w:rsidR="002F5BE7">
        <w:rPr>
          <w:rFonts w:ascii="Arial" w:hAnsi="Arial" w:cs="Arial"/>
          <w:sz w:val="24"/>
          <w:szCs w:val="24"/>
        </w:rPr>
        <w:t>s demais espécies de incentivos</w:t>
      </w:r>
      <w:r w:rsidR="0024111B">
        <w:rPr>
          <w:rFonts w:ascii="Arial" w:hAnsi="Arial" w:cs="Arial"/>
          <w:sz w:val="24"/>
          <w:szCs w:val="24"/>
        </w:rPr>
        <w:t xml:space="preserve"> fiscais</w:t>
      </w:r>
      <w:r w:rsidR="002F5BE7">
        <w:rPr>
          <w:rFonts w:ascii="Arial" w:hAnsi="Arial" w:cs="Arial"/>
          <w:sz w:val="24"/>
          <w:szCs w:val="24"/>
        </w:rPr>
        <w:t>, como isenção, redução de base de cálculo e crédito outorgado.</w:t>
      </w:r>
    </w:p>
    <w:p w14:paraId="1D30747F" w14:textId="77777777" w:rsidR="002175D7" w:rsidRDefault="002175D7" w:rsidP="00E11377">
      <w:pPr>
        <w:spacing w:line="360" w:lineRule="auto"/>
        <w:ind w:firstLine="851"/>
        <w:jc w:val="both"/>
        <w:rPr>
          <w:rFonts w:ascii="Arial" w:hAnsi="Arial" w:cs="Arial"/>
          <w:b/>
          <w:sz w:val="24"/>
          <w:szCs w:val="24"/>
        </w:rPr>
      </w:pPr>
    </w:p>
    <w:p w14:paraId="146A717A" w14:textId="447E0C24" w:rsidR="0043190E" w:rsidRDefault="003F4F12" w:rsidP="00E11377">
      <w:pPr>
        <w:spacing w:line="360" w:lineRule="auto"/>
        <w:ind w:firstLine="851"/>
        <w:jc w:val="both"/>
        <w:rPr>
          <w:rFonts w:ascii="Arial" w:hAnsi="Arial" w:cs="Arial"/>
          <w:sz w:val="24"/>
          <w:szCs w:val="24"/>
        </w:rPr>
      </w:pPr>
      <w:r>
        <w:rPr>
          <w:rFonts w:ascii="Arial" w:hAnsi="Arial" w:cs="Arial"/>
          <w:b/>
          <w:sz w:val="24"/>
          <w:szCs w:val="24"/>
        </w:rPr>
        <w:t>8.</w:t>
      </w:r>
      <w:r w:rsidR="00B51D1F">
        <w:rPr>
          <w:rFonts w:ascii="Arial" w:hAnsi="Arial" w:cs="Arial"/>
          <w:b/>
          <w:sz w:val="24"/>
          <w:szCs w:val="24"/>
        </w:rPr>
        <w:t>1.2</w:t>
      </w:r>
      <w:r w:rsidRPr="003F4F12">
        <w:rPr>
          <w:rFonts w:ascii="Arial" w:hAnsi="Arial" w:cs="Arial"/>
          <w:b/>
          <w:sz w:val="24"/>
          <w:szCs w:val="24"/>
        </w:rPr>
        <w:t>.</w:t>
      </w:r>
      <w:r w:rsidR="00A555BD">
        <w:rPr>
          <w:rFonts w:ascii="Arial" w:hAnsi="Arial" w:cs="Arial"/>
          <w:sz w:val="24"/>
          <w:szCs w:val="24"/>
        </w:rPr>
        <w:t xml:space="preserve"> </w:t>
      </w:r>
      <w:r w:rsidR="00F93FC3">
        <w:rPr>
          <w:rFonts w:ascii="Arial" w:hAnsi="Arial" w:cs="Arial"/>
          <w:sz w:val="24"/>
          <w:szCs w:val="24"/>
        </w:rPr>
        <w:t xml:space="preserve">Em relação ao </w:t>
      </w:r>
      <w:r w:rsidR="00F93FC3" w:rsidRPr="00A53393">
        <w:rPr>
          <w:rFonts w:ascii="Arial" w:hAnsi="Arial" w:cs="Arial"/>
          <w:b/>
          <w:sz w:val="24"/>
          <w:szCs w:val="24"/>
          <w:u w:val="single"/>
        </w:rPr>
        <w:t>primeiro grupo de incentivos fiscais</w:t>
      </w:r>
      <w:r w:rsidR="00F93FC3" w:rsidRPr="00A53393">
        <w:rPr>
          <w:rFonts w:ascii="Arial" w:hAnsi="Arial" w:cs="Arial"/>
          <w:b/>
          <w:sz w:val="24"/>
          <w:szCs w:val="24"/>
        </w:rPr>
        <w:t xml:space="preserve">, </w:t>
      </w:r>
      <w:r w:rsidR="00FB15BB" w:rsidRPr="00A53393">
        <w:rPr>
          <w:rFonts w:ascii="Arial" w:hAnsi="Arial" w:cs="Arial"/>
          <w:b/>
          <w:sz w:val="24"/>
          <w:szCs w:val="24"/>
        </w:rPr>
        <w:t>composto por aqueles concedidos n</w:t>
      </w:r>
      <w:r w:rsidR="00CE5991" w:rsidRPr="00A53393">
        <w:rPr>
          <w:rFonts w:ascii="Arial" w:hAnsi="Arial" w:cs="Arial"/>
          <w:b/>
          <w:sz w:val="24"/>
          <w:szCs w:val="24"/>
        </w:rPr>
        <w:t>o âmbito do</w:t>
      </w:r>
      <w:r w:rsidR="00FB15BB" w:rsidRPr="00A53393">
        <w:rPr>
          <w:rFonts w:ascii="Arial" w:hAnsi="Arial" w:cs="Arial"/>
          <w:b/>
          <w:sz w:val="24"/>
          <w:szCs w:val="24"/>
        </w:rPr>
        <w:t>s</w:t>
      </w:r>
      <w:r w:rsidR="00CE5991" w:rsidRPr="00A53393">
        <w:rPr>
          <w:rFonts w:ascii="Arial" w:hAnsi="Arial" w:cs="Arial"/>
          <w:b/>
          <w:sz w:val="24"/>
          <w:szCs w:val="24"/>
        </w:rPr>
        <w:t xml:space="preserve"> Programa</w:t>
      </w:r>
      <w:r w:rsidR="00FB15BB" w:rsidRPr="00A53393">
        <w:rPr>
          <w:rFonts w:ascii="Arial" w:hAnsi="Arial" w:cs="Arial"/>
          <w:b/>
          <w:sz w:val="24"/>
          <w:szCs w:val="24"/>
        </w:rPr>
        <w:t>s</w:t>
      </w:r>
      <w:r w:rsidR="00CE5991" w:rsidRPr="00A53393">
        <w:rPr>
          <w:rFonts w:ascii="Arial" w:hAnsi="Arial" w:cs="Arial"/>
          <w:b/>
          <w:sz w:val="24"/>
          <w:szCs w:val="24"/>
        </w:rPr>
        <w:t xml:space="preserve"> Fomentar</w:t>
      </w:r>
      <w:r w:rsidR="00FB15BB" w:rsidRPr="00A53393">
        <w:rPr>
          <w:rFonts w:ascii="Arial" w:hAnsi="Arial" w:cs="Arial"/>
          <w:b/>
          <w:sz w:val="24"/>
          <w:szCs w:val="24"/>
        </w:rPr>
        <w:t xml:space="preserve"> e Produzir</w:t>
      </w:r>
      <w:r w:rsidR="00CE5991">
        <w:rPr>
          <w:rFonts w:ascii="Arial" w:hAnsi="Arial" w:cs="Arial"/>
          <w:sz w:val="24"/>
          <w:szCs w:val="24"/>
        </w:rPr>
        <w:t xml:space="preserve">, </w:t>
      </w:r>
      <w:r w:rsidR="00FB15BB">
        <w:rPr>
          <w:rFonts w:ascii="Arial" w:hAnsi="Arial" w:cs="Arial"/>
          <w:sz w:val="24"/>
          <w:szCs w:val="24"/>
        </w:rPr>
        <w:t xml:space="preserve">verifica-se que </w:t>
      </w:r>
      <w:r w:rsidR="00CE5991">
        <w:rPr>
          <w:rFonts w:ascii="Arial" w:hAnsi="Arial" w:cs="Arial"/>
          <w:sz w:val="24"/>
          <w:szCs w:val="24"/>
        </w:rPr>
        <w:t>a exigência de regularidade fiscal consta das respectivas leis</w:t>
      </w:r>
      <w:r w:rsidR="00FB15BB">
        <w:rPr>
          <w:rFonts w:ascii="Arial" w:hAnsi="Arial" w:cs="Arial"/>
          <w:sz w:val="24"/>
          <w:szCs w:val="24"/>
        </w:rPr>
        <w:t xml:space="preserve"> instituidoras</w:t>
      </w:r>
      <w:r w:rsidR="00CE5991">
        <w:rPr>
          <w:rFonts w:ascii="Arial" w:hAnsi="Arial" w:cs="Arial"/>
          <w:sz w:val="24"/>
          <w:szCs w:val="24"/>
        </w:rPr>
        <w:t xml:space="preserve"> e regulamentos, a seguir transcritos:</w:t>
      </w:r>
    </w:p>
    <w:p w14:paraId="57A8A358" w14:textId="77777777" w:rsidR="008707CC" w:rsidRDefault="008707CC" w:rsidP="00E11377">
      <w:pPr>
        <w:spacing w:line="360" w:lineRule="auto"/>
        <w:ind w:firstLine="851"/>
        <w:jc w:val="both"/>
        <w:rPr>
          <w:rFonts w:ascii="Arial" w:hAnsi="Arial" w:cs="Arial"/>
          <w:sz w:val="24"/>
          <w:szCs w:val="24"/>
        </w:rPr>
      </w:pPr>
    </w:p>
    <w:p w14:paraId="1D1C8BB4" w14:textId="3C6BF6AF" w:rsidR="00FB15BB" w:rsidRPr="004F5E07" w:rsidRDefault="00FB15BB" w:rsidP="00411A73">
      <w:pPr>
        <w:ind w:left="2268"/>
        <w:jc w:val="both"/>
        <w:rPr>
          <w:rFonts w:ascii="Arial" w:hAnsi="Arial" w:cs="Arial"/>
          <w:b/>
          <w:color w:val="000000"/>
          <w:sz w:val="22"/>
          <w:szCs w:val="22"/>
          <w:u w:val="single"/>
        </w:rPr>
      </w:pPr>
      <w:r w:rsidRPr="004F5E07">
        <w:rPr>
          <w:rFonts w:ascii="Arial" w:hAnsi="Arial" w:cs="Arial"/>
          <w:b/>
          <w:color w:val="000000"/>
          <w:sz w:val="22"/>
          <w:szCs w:val="22"/>
          <w:u w:val="single"/>
        </w:rPr>
        <w:t xml:space="preserve">Lei nº </w:t>
      </w:r>
      <w:r w:rsidR="001A08EF">
        <w:rPr>
          <w:rFonts w:ascii="Arial" w:hAnsi="Arial" w:cs="Arial"/>
          <w:b/>
          <w:color w:val="000000"/>
          <w:sz w:val="22"/>
          <w:szCs w:val="22"/>
          <w:u w:val="single"/>
        </w:rPr>
        <w:t>11.180</w:t>
      </w:r>
      <w:r w:rsidRPr="004F5E07">
        <w:rPr>
          <w:rFonts w:ascii="Arial" w:hAnsi="Arial" w:cs="Arial"/>
          <w:b/>
          <w:color w:val="000000"/>
          <w:sz w:val="22"/>
          <w:szCs w:val="22"/>
          <w:u w:val="single"/>
        </w:rPr>
        <w:t>/</w:t>
      </w:r>
      <w:r w:rsidR="001A08EF">
        <w:rPr>
          <w:rFonts w:ascii="Arial" w:hAnsi="Arial" w:cs="Arial"/>
          <w:b/>
          <w:color w:val="000000"/>
          <w:sz w:val="22"/>
          <w:szCs w:val="22"/>
          <w:u w:val="single"/>
        </w:rPr>
        <w:t>1990</w:t>
      </w:r>
      <w:r w:rsidRPr="004F5E07">
        <w:rPr>
          <w:rFonts w:ascii="Arial" w:hAnsi="Arial" w:cs="Arial"/>
          <w:b/>
          <w:color w:val="000000"/>
          <w:sz w:val="22"/>
          <w:szCs w:val="22"/>
          <w:u w:val="single"/>
        </w:rPr>
        <w:t xml:space="preserve"> – FOMENTAR</w:t>
      </w:r>
    </w:p>
    <w:p w14:paraId="1731B566" w14:textId="2CE8ACFF" w:rsidR="008229DC" w:rsidRDefault="008229DC" w:rsidP="00411A73">
      <w:pPr>
        <w:ind w:left="2268"/>
        <w:jc w:val="both"/>
        <w:rPr>
          <w:rFonts w:ascii="Arial" w:hAnsi="Arial" w:cs="Arial"/>
          <w:color w:val="000000"/>
          <w:sz w:val="22"/>
          <w:szCs w:val="22"/>
        </w:rPr>
      </w:pPr>
      <w:r w:rsidRPr="008229DC">
        <w:rPr>
          <w:rFonts w:ascii="Arial" w:hAnsi="Arial" w:cs="Arial"/>
          <w:color w:val="000000"/>
          <w:sz w:val="22"/>
          <w:szCs w:val="22"/>
        </w:rPr>
        <w:t>Art. 7º</w:t>
      </w:r>
      <w:bookmarkStart w:id="370" w:name="A2I"/>
      <w:r w:rsidRPr="008229DC">
        <w:rPr>
          <w:rFonts w:ascii="Arial" w:hAnsi="Arial" w:cs="Arial"/>
          <w:color w:val="000000"/>
          <w:sz w:val="22"/>
          <w:szCs w:val="22"/>
        </w:rPr>
        <w:t> O contrato de financiamento poderá ser suspenso ou revogado pelo Conselho Deliberativo do FOMENTAR - CD/FOMENTAR.</w:t>
      </w:r>
      <w:bookmarkEnd w:id="370"/>
    </w:p>
    <w:p w14:paraId="65D3CAA6" w14:textId="7DA3FD19" w:rsidR="004F5E07" w:rsidRPr="004F5E07" w:rsidRDefault="004F5E07" w:rsidP="00411A73">
      <w:pPr>
        <w:ind w:left="2268"/>
        <w:jc w:val="both"/>
        <w:rPr>
          <w:rFonts w:ascii="Arial" w:hAnsi="Arial" w:cs="Arial"/>
          <w:color w:val="000000"/>
          <w:sz w:val="22"/>
          <w:szCs w:val="22"/>
        </w:rPr>
      </w:pPr>
      <w:r w:rsidRPr="004F5E07">
        <w:rPr>
          <w:rFonts w:ascii="Arial" w:hAnsi="Arial" w:cs="Arial"/>
          <w:color w:val="000000"/>
          <w:sz w:val="22"/>
          <w:szCs w:val="22"/>
        </w:rPr>
        <w:t xml:space="preserve">§ 1º O </w:t>
      </w:r>
      <w:r w:rsidRPr="00BB1EEE">
        <w:rPr>
          <w:rFonts w:ascii="Arial" w:hAnsi="Arial" w:cs="Arial"/>
          <w:b/>
          <w:color w:val="000000"/>
          <w:sz w:val="22"/>
          <w:szCs w:val="22"/>
        </w:rPr>
        <w:t>contrato</w:t>
      </w:r>
      <w:r w:rsidRPr="00BB1EEE">
        <w:rPr>
          <w:rFonts w:ascii="Arial" w:hAnsi="Arial" w:cs="Arial"/>
          <w:color w:val="000000"/>
          <w:sz w:val="22"/>
          <w:szCs w:val="22"/>
        </w:rPr>
        <w:t xml:space="preserve"> poderá ser </w:t>
      </w:r>
      <w:r w:rsidRPr="00BB1EEE">
        <w:rPr>
          <w:rFonts w:ascii="Arial" w:hAnsi="Arial" w:cs="Arial"/>
          <w:b/>
          <w:color w:val="000000"/>
          <w:sz w:val="22"/>
          <w:szCs w:val="22"/>
        </w:rPr>
        <w:t>suspenso</w:t>
      </w:r>
      <w:r w:rsidRPr="004F5E07">
        <w:rPr>
          <w:rFonts w:ascii="Arial" w:hAnsi="Arial" w:cs="Arial"/>
          <w:color w:val="000000"/>
          <w:sz w:val="22"/>
          <w:szCs w:val="22"/>
        </w:rPr>
        <w:t>, se ocorrer:</w:t>
      </w:r>
    </w:p>
    <w:p w14:paraId="01F37AE1" w14:textId="77777777" w:rsidR="004F5E07" w:rsidRPr="004F5E07" w:rsidRDefault="004F5E07" w:rsidP="00411A73">
      <w:pPr>
        <w:ind w:left="2268"/>
        <w:jc w:val="both"/>
        <w:rPr>
          <w:rFonts w:ascii="Arial" w:hAnsi="Arial" w:cs="Arial"/>
          <w:color w:val="000000"/>
          <w:sz w:val="22"/>
          <w:szCs w:val="22"/>
        </w:rPr>
      </w:pPr>
      <w:r w:rsidRPr="00BB1EEE">
        <w:rPr>
          <w:rFonts w:ascii="Arial" w:hAnsi="Arial" w:cs="Arial"/>
          <w:b/>
          <w:color w:val="000000"/>
          <w:sz w:val="22"/>
          <w:szCs w:val="22"/>
        </w:rPr>
        <w:t>I - a inadimplência da empresa para com suas obrigações tributárias estaduais, assim entendido a existência de crédito tributário inscrito em dívida ativa</w:t>
      </w:r>
      <w:r w:rsidRPr="004F5E07">
        <w:rPr>
          <w:rFonts w:ascii="Arial" w:hAnsi="Arial" w:cs="Arial"/>
          <w:color w:val="000000"/>
          <w:sz w:val="22"/>
          <w:szCs w:val="22"/>
        </w:rPr>
        <w:t>, exceto se o referido crédito estiver com sua exigibilidade suspensa nos termos da lei ou tiver sido oferecida fiança ou efetivada penhora de bens suficientes para o pagamento do total da dívida;</w:t>
      </w:r>
    </w:p>
    <w:p w14:paraId="02B9CC33" w14:textId="65D1ACBD" w:rsidR="00FB15BB" w:rsidRDefault="00FB15BB" w:rsidP="00411A73">
      <w:pPr>
        <w:ind w:left="2268"/>
        <w:jc w:val="both"/>
        <w:rPr>
          <w:rFonts w:ascii="Arial" w:hAnsi="Arial" w:cs="Arial"/>
          <w:color w:val="000000"/>
          <w:sz w:val="22"/>
          <w:szCs w:val="22"/>
        </w:rPr>
      </w:pPr>
      <w:r w:rsidRPr="004F5E07">
        <w:rPr>
          <w:rFonts w:ascii="Arial" w:hAnsi="Arial" w:cs="Arial"/>
          <w:color w:val="000000"/>
          <w:sz w:val="22"/>
          <w:szCs w:val="22"/>
        </w:rPr>
        <w:t>[...].</w:t>
      </w:r>
    </w:p>
    <w:p w14:paraId="37DCC3DA" w14:textId="20BBF984" w:rsidR="001A08EF" w:rsidRDefault="001A08EF" w:rsidP="00411A73">
      <w:pPr>
        <w:ind w:left="2268"/>
        <w:jc w:val="both"/>
        <w:rPr>
          <w:rFonts w:ascii="Arial" w:hAnsi="Arial" w:cs="Arial"/>
          <w:color w:val="000000"/>
          <w:sz w:val="22"/>
          <w:szCs w:val="22"/>
        </w:rPr>
      </w:pPr>
    </w:p>
    <w:p w14:paraId="68F23AAC" w14:textId="77777777" w:rsidR="001A08EF" w:rsidRDefault="001A08EF" w:rsidP="00411A73">
      <w:pPr>
        <w:ind w:left="2268"/>
        <w:jc w:val="both"/>
        <w:rPr>
          <w:rFonts w:ascii="Arial" w:hAnsi="Arial" w:cs="Arial"/>
          <w:color w:val="000000"/>
          <w:sz w:val="22"/>
          <w:szCs w:val="22"/>
        </w:rPr>
      </w:pPr>
      <w:r w:rsidRPr="001A08EF">
        <w:rPr>
          <w:rFonts w:ascii="Arial" w:hAnsi="Arial" w:cs="Arial"/>
          <w:color w:val="000000"/>
          <w:sz w:val="22"/>
          <w:szCs w:val="22"/>
        </w:rPr>
        <w:t xml:space="preserve">Art. 7º-A Na ocorrência de inscrição de crédito tributário em dívida ativa estadual, </w:t>
      </w:r>
      <w:r w:rsidRPr="00BB1EEE">
        <w:rPr>
          <w:rFonts w:ascii="Arial" w:hAnsi="Arial" w:cs="Arial"/>
          <w:b/>
          <w:color w:val="000000"/>
          <w:sz w:val="22"/>
          <w:szCs w:val="22"/>
        </w:rPr>
        <w:t>o contribuinte fica impedido de utilizar, em caráter definitivo, o benefício do financiamento na apuração do imposto correspondente ao mês da inscrição até a apuração do imposto correspondente ao mês anterior a sua regularização</w:t>
      </w:r>
      <w:r w:rsidRPr="001A08EF">
        <w:rPr>
          <w:rFonts w:ascii="Arial" w:hAnsi="Arial" w:cs="Arial"/>
          <w:color w:val="000000"/>
          <w:sz w:val="22"/>
          <w:szCs w:val="22"/>
        </w:rPr>
        <w:t>, independentemente da formalização da suspensão do termo de acordo de regime especial.</w:t>
      </w:r>
    </w:p>
    <w:p w14:paraId="5EECA3CE" w14:textId="1ECF719E" w:rsidR="001A08EF" w:rsidRDefault="001A08EF" w:rsidP="00411A73">
      <w:pPr>
        <w:ind w:left="2268"/>
        <w:jc w:val="both"/>
        <w:rPr>
          <w:rFonts w:ascii="Arial" w:hAnsi="Arial" w:cs="Arial"/>
          <w:color w:val="000000"/>
          <w:sz w:val="22"/>
          <w:szCs w:val="22"/>
        </w:rPr>
      </w:pPr>
      <w:r w:rsidRPr="001A08EF">
        <w:rPr>
          <w:rFonts w:ascii="Arial" w:hAnsi="Arial" w:cs="Arial"/>
          <w:color w:val="000000"/>
          <w:sz w:val="22"/>
          <w:szCs w:val="22"/>
        </w:rPr>
        <w:t>§ 1º Não impede a utilização do benefício a existência de crédito tributário inscrito em dívida ativa, cuja exigibilidade esteja suspensa, ou para o qual tenha sido oferecida fiança ou efetivada penhora de bens suficientes para o pagamento do total da dívida.</w:t>
      </w:r>
    </w:p>
    <w:p w14:paraId="37550255" w14:textId="77777777" w:rsidR="001A08EF" w:rsidRPr="001A08EF" w:rsidRDefault="001A08EF" w:rsidP="00411A73">
      <w:pPr>
        <w:ind w:left="2268"/>
        <w:jc w:val="both"/>
        <w:rPr>
          <w:rFonts w:ascii="Arial" w:hAnsi="Arial" w:cs="Arial"/>
          <w:color w:val="000000"/>
          <w:sz w:val="22"/>
          <w:szCs w:val="22"/>
        </w:rPr>
      </w:pPr>
      <w:r w:rsidRPr="001A08EF">
        <w:rPr>
          <w:rFonts w:ascii="Arial" w:hAnsi="Arial" w:cs="Arial"/>
          <w:color w:val="000000"/>
          <w:sz w:val="22"/>
          <w:szCs w:val="22"/>
        </w:rPr>
        <w:t>§ 2º A inscrição de crédito tributário em dívida ativa estadual não impede o contribuinte de utilizar o benefício do financiamento se a regularização ocorrer dentro do próprio mês de inscrição.</w:t>
      </w:r>
    </w:p>
    <w:p w14:paraId="7C5DB0C8" w14:textId="77777777" w:rsidR="00D52D16" w:rsidRDefault="00D52D16" w:rsidP="00411A73">
      <w:pPr>
        <w:ind w:left="2268"/>
        <w:jc w:val="both"/>
        <w:rPr>
          <w:rFonts w:ascii="Arial" w:hAnsi="Arial" w:cs="Arial"/>
          <w:b/>
          <w:color w:val="000000"/>
          <w:sz w:val="22"/>
          <w:szCs w:val="22"/>
          <w:u w:val="single"/>
        </w:rPr>
      </w:pPr>
    </w:p>
    <w:p w14:paraId="5037CD6E" w14:textId="1CCCEAF0" w:rsidR="00FB15BB" w:rsidRPr="00C62214" w:rsidRDefault="00FB15BB" w:rsidP="00411A73">
      <w:pPr>
        <w:ind w:left="2268"/>
        <w:jc w:val="both"/>
        <w:rPr>
          <w:rFonts w:ascii="Arial" w:hAnsi="Arial" w:cs="Arial"/>
          <w:b/>
          <w:color w:val="000000"/>
          <w:sz w:val="22"/>
          <w:szCs w:val="22"/>
          <w:u w:val="single"/>
        </w:rPr>
      </w:pPr>
      <w:r w:rsidRPr="00C62214">
        <w:rPr>
          <w:rFonts w:ascii="Arial" w:hAnsi="Arial" w:cs="Arial"/>
          <w:b/>
          <w:color w:val="000000"/>
          <w:sz w:val="22"/>
          <w:szCs w:val="22"/>
          <w:u w:val="single"/>
        </w:rPr>
        <w:t xml:space="preserve">Lei nº </w:t>
      </w:r>
      <w:r w:rsidR="00397A4A" w:rsidRPr="00C62214">
        <w:rPr>
          <w:rFonts w:ascii="Arial" w:hAnsi="Arial" w:cs="Arial"/>
          <w:b/>
          <w:color w:val="000000"/>
          <w:sz w:val="22"/>
          <w:szCs w:val="22"/>
          <w:u w:val="single"/>
        </w:rPr>
        <w:t>13.591</w:t>
      </w:r>
      <w:r w:rsidRPr="00C62214">
        <w:rPr>
          <w:rFonts w:ascii="Arial" w:hAnsi="Arial" w:cs="Arial"/>
          <w:b/>
          <w:color w:val="000000"/>
          <w:sz w:val="22"/>
          <w:szCs w:val="22"/>
          <w:u w:val="single"/>
        </w:rPr>
        <w:t>/</w:t>
      </w:r>
      <w:r w:rsidR="00397A4A" w:rsidRPr="00C62214">
        <w:rPr>
          <w:rFonts w:ascii="Arial" w:hAnsi="Arial" w:cs="Arial"/>
          <w:b/>
          <w:color w:val="000000"/>
          <w:sz w:val="22"/>
          <w:szCs w:val="22"/>
          <w:u w:val="single"/>
        </w:rPr>
        <w:t>2000</w:t>
      </w:r>
      <w:r w:rsidRPr="00C62214">
        <w:rPr>
          <w:rFonts w:ascii="Arial" w:hAnsi="Arial" w:cs="Arial"/>
          <w:b/>
          <w:color w:val="000000"/>
          <w:sz w:val="22"/>
          <w:szCs w:val="22"/>
          <w:u w:val="single"/>
        </w:rPr>
        <w:t xml:space="preserve"> – PRODUZIR</w:t>
      </w:r>
    </w:p>
    <w:p w14:paraId="2646D505" w14:textId="77777777" w:rsidR="00397A4A" w:rsidRPr="00C62214" w:rsidRDefault="00397A4A" w:rsidP="00411A73">
      <w:pPr>
        <w:ind w:left="2268"/>
        <w:jc w:val="both"/>
        <w:rPr>
          <w:rFonts w:ascii="Arial" w:hAnsi="Arial" w:cs="Arial"/>
          <w:color w:val="000000"/>
          <w:sz w:val="22"/>
          <w:szCs w:val="22"/>
        </w:rPr>
      </w:pPr>
      <w:r w:rsidRPr="00C62214">
        <w:rPr>
          <w:rFonts w:ascii="Arial" w:hAnsi="Arial" w:cs="Arial"/>
          <w:color w:val="000000"/>
          <w:sz w:val="22"/>
          <w:szCs w:val="22"/>
        </w:rPr>
        <w:t>Art. 24. O contrato de financiamento poderá ser suspenso ou revogado pela Comissão Executiva do PRODUZIR.</w:t>
      </w:r>
    </w:p>
    <w:p w14:paraId="0666E8E7" w14:textId="77777777" w:rsidR="00397A4A" w:rsidRPr="00C62214" w:rsidRDefault="00397A4A" w:rsidP="00411A73">
      <w:pPr>
        <w:ind w:left="2268"/>
        <w:jc w:val="both"/>
        <w:rPr>
          <w:rFonts w:ascii="Arial" w:hAnsi="Arial" w:cs="Arial"/>
          <w:color w:val="000000"/>
          <w:sz w:val="22"/>
          <w:szCs w:val="22"/>
        </w:rPr>
      </w:pPr>
      <w:r w:rsidRPr="00C62214">
        <w:rPr>
          <w:rFonts w:ascii="Arial" w:hAnsi="Arial" w:cs="Arial"/>
          <w:color w:val="000000"/>
          <w:sz w:val="22"/>
          <w:szCs w:val="22"/>
        </w:rPr>
        <w:t xml:space="preserve">§ 1º - O </w:t>
      </w:r>
      <w:r w:rsidRPr="00C62214">
        <w:rPr>
          <w:rFonts w:ascii="Arial" w:hAnsi="Arial" w:cs="Arial"/>
          <w:b/>
          <w:color w:val="000000"/>
          <w:sz w:val="22"/>
          <w:szCs w:val="22"/>
        </w:rPr>
        <w:t>contrato poderá ser suspenso</w:t>
      </w:r>
      <w:r w:rsidRPr="00C62214">
        <w:rPr>
          <w:rFonts w:ascii="Arial" w:hAnsi="Arial" w:cs="Arial"/>
          <w:color w:val="000000"/>
          <w:sz w:val="22"/>
          <w:szCs w:val="22"/>
        </w:rPr>
        <w:t>, se ocorrer:</w:t>
      </w:r>
    </w:p>
    <w:p w14:paraId="35018F5B" w14:textId="14CDF64A" w:rsidR="00397A4A" w:rsidRPr="00C62214" w:rsidRDefault="00397A4A" w:rsidP="00411A73">
      <w:pPr>
        <w:ind w:left="2268"/>
        <w:jc w:val="both"/>
        <w:rPr>
          <w:rFonts w:ascii="Arial" w:hAnsi="Arial" w:cs="Arial"/>
          <w:color w:val="000000"/>
          <w:sz w:val="22"/>
          <w:szCs w:val="22"/>
        </w:rPr>
      </w:pPr>
      <w:r w:rsidRPr="00C62214">
        <w:rPr>
          <w:rFonts w:ascii="Arial" w:hAnsi="Arial" w:cs="Arial"/>
          <w:b/>
          <w:color w:val="000000"/>
          <w:sz w:val="22"/>
          <w:szCs w:val="22"/>
        </w:rPr>
        <w:t xml:space="preserve">I </w:t>
      </w:r>
      <w:r w:rsidR="007D75B2" w:rsidRPr="00C62214">
        <w:rPr>
          <w:rFonts w:ascii="Arial" w:hAnsi="Arial" w:cs="Arial"/>
          <w:b/>
          <w:color w:val="000000"/>
          <w:sz w:val="22"/>
          <w:szCs w:val="22"/>
        </w:rPr>
        <w:t>–</w:t>
      </w:r>
      <w:r w:rsidRPr="00C62214">
        <w:rPr>
          <w:rFonts w:ascii="Arial" w:hAnsi="Arial" w:cs="Arial"/>
          <w:b/>
          <w:color w:val="000000"/>
          <w:sz w:val="22"/>
          <w:szCs w:val="22"/>
        </w:rPr>
        <w:t xml:space="preserve"> a inadimplência da empresa para com suas obrigações tributárias estaduais, assim entendido a existência de crédito tributário inscrito em dívida ativa</w:t>
      </w:r>
      <w:r w:rsidRPr="00C62214">
        <w:rPr>
          <w:rFonts w:ascii="Arial" w:hAnsi="Arial" w:cs="Arial"/>
          <w:color w:val="000000"/>
          <w:sz w:val="22"/>
          <w:szCs w:val="22"/>
        </w:rPr>
        <w:t>, exceto se o referido crédito estiver com sua exigibilidade suspensa nos termos da lei ou tiver sido efetivada a penhora de bens suficientes para o pagamento do total da dívida;</w:t>
      </w:r>
    </w:p>
    <w:p w14:paraId="17E55AB2" w14:textId="27EA4819" w:rsidR="00397A4A" w:rsidRDefault="00397A4A" w:rsidP="00411A73">
      <w:pPr>
        <w:ind w:left="2268"/>
        <w:jc w:val="both"/>
        <w:rPr>
          <w:rFonts w:ascii="Arial" w:hAnsi="Arial" w:cs="Arial"/>
          <w:color w:val="000000"/>
          <w:sz w:val="22"/>
          <w:szCs w:val="22"/>
        </w:rPr>
      </w:pPr>
      <w:r w:rsidRPr="00C62214">
        <w:rPr>
          <w:rFonts w:ascii="Arial" w:hAnsi="Arial" w:cs="Arial"/>
          <w:color w:val="000000"/>
          <w:sz w:val="22"/>
          <w:szCs w:val="22"/>
        </w:rPr>
        <w:t>[...]</w:t>
      </w:r>
    </w:p>
    <w:p w14:paraId="61DCA379" w14:textId="77777777" w:rsidR="004F5E07" w:rsidRPr="00C62214" w:rsidRDefault="004F5E07" w:rsidP="00411A73">
      <w:pPr>
        <w:ind w:left="2268"/>
        <w:jc w:val="both"/>
        <w:rPr>
          <w:rFonts w:ascii="Arial" w:hAnsi="Arial" w:cs="Arial"/>
          <w:color w:val="000000"/>
          <w:sz w:val="22"/>
          <w:szCs w:val="22"/>
        </w:rPr>
      </w:pPr>
    </w:p>
    <w:p w14:paraId="54D520D3" w14:textId="20F04ACE" w:rsidR="00397A4A" w:rsidRPr="00C62214" w:rsidRDefault="00397A4A" w:rsidP="00411A73">
      <w:pPr>
        <w:ind w:left="2268"/>
        <w:jc w:val="both"/>
        <w:rPr>
          <w:rFonts w:ascii="Arial" w:hAnsi="Arial" w:cs="Arial"/>
          <w:color w:val="000000"/>
          <w:sz w:val="22"/>
          <w:szCs w:val="22"/>
        </w:rPr>
      </w:pPr>
      <w:r w:rsidRPr="00C62214">
        <w:rPr>
          <w:rFonts w:ascii="Arial" w:hAnsi="Arial" w:cs="Arial"/>
          <w:color w:val="000000"/>
          <w:sz w:val="22"/>
          <w:szCs w:val="22"/>
        </w:rPr>
        <w:t xml:space="preserve">Art. 24-A. </w:t>
      </w:r>
      <w:r w:rsidRPr="00C62214">
        <w:rPr>
          <w:rFonts w:ascii="Arial" w:hAnsi="Arial" w:cs="Arial"/>
          <w:b/>
          <w:color w:val="000000"/>
          <w:sz w:val="22"/>
          <w:szCs w:val="22"/>
        </w:rPr>
        <w:t xml:space="preserve">Na ocorrência de inscrição de crédito tributário em dívida ativa estadual, o contribuinte fica impedido de utilizar, em caráter definitivo, o benefício do financiamento na apuração do imposto </w:t>
      </w:r>
      <w:r w:rsidRPr="00C62214">
        <w:rPr>
          <w:rFonts w:ascii="Arial" w:hAnsi="Arial" w:cs="Arial"/>
          <w:b/>
          <w:color w:val="000000"/>
          <w:sz w:val="22"/>
          <w:szCs w:val="22"/>
        </w:rPr>
        <w:lastRenderedPageBreak/>
        <w:t>correspondente ao mês da inscrição até a apuração do imposto correspondente ao mês anterior a sua regularização</w:t>
      </w:r>
      <w:r w:rsidRPr="00C62214">
        <w:rPr>
          <w:rFonts w:ascii="Arial" w:hAnsi="Arial" w:cs="Arial"/>
          <w:color w:val="000000"/>
          <w:sz w:val="22"/>
          <w:szCs w:val="22"/>
        </w:rPr>
        <w:t xml:space="preserve">, independentemente da formalização da suspensão do TARE </w:t>
      </w:r>
      <w:r w:rsidR="0029064F" w:rsidRPr="00C62214">
        <w:rPr>
          <w:rFonts w:ascii="Arial" w:hAnsi="Arial" w:cs="Arial"/>
          <w:color w:val="000000"/>
          <w:sz w:val="22"/>
          <w:szCs w:val="22"/>
        </w:rPr>
        <w:t>–</w:t>
      </w:r>
      <w:r w:rsidRPr="00C62214">
        <w:rPr>
          <w:rFonts w:ascii="Arial" w:hAnsi="Arial" w:cs="Arial"/>
          <w:color w:val="000000"/>
          <w:sz w:val="22"/>
          <w:szCs w:val="22"/>
        </w:rPr>
        <w:t xml:space="preserve"> Termo de Acordo de Regime Especial.</w:t>
      </w:r>
    </w:p>
    <w:p w14:paraId="0F592768" w14:textId="77777777" w:rsidR="00397A4A" w:rsidRPr="00C62214" w:rsidRDefault="00397A4A" w:rsidP="00411A73">
      <w:pPr>
        <w:ind w:left="2268"/>
        <w:jc w:val="both"/>
        <w:rPr>
          <w:rFonts w:ascii="Arial" w:hAnsi="Arial" w:cs="Arial"/>
          <w:color w:val="000000"/>
          <w:sz w:val="22"/>
          <w:szCs w:val="22"/>
        </w:rPr>
      </w:pPr>
      <w:r w:rsidRPr="00C62214">
        <w:rPr>
          <w:rFonts w:ascii="Arial" w:hAnsi="Arial" w:cs="Arial"/>
          <w:color w:val="000000"/>
          <w:sz w:val="22"/>
          <w:szCs w:val="22"/>
        </w:rPr>
        <w:t>§ 1º Não impede a utilização do benefício a existência de crédito tributário inscrito em dívida ativa, cuja exigibilidade esteja suspensa, ou para o qual tenha sido oferecida fiança ou efetivada penhora de bens suficientes para o pagamento do total da dívida.</w:t>
      </w:r>
    </w:p>
    <w:p w14:paraId="6A4971B5" w14:textId="77777777" w:rsidR="00397A4A" w:rsidRPr="00C62214" w:rsidRDefault="00397A4A" w:rsidP="00411A73">
      <w:pPr>
        <w:ind w:left="2268"/>
        <w:jc w:val="both"/>
        <w:rPr>
          <w:rFonts w:ascii="Arial" w:hAnsi="Arial" w:cs="Arial"/>
          <w:color w:val="000000"/>
          <w:sz w:val="22"/>
          <w:szCs w:val="22"/>
        </w:rPr>
      </w:pPr>
      <w:r w:rsidRPr="00C62214">
        <w:rPr>
          <w:rFonts w:ascii="Arial" w:hAnsi="Arial" w:cs="Arial"/>
          <w:color w:val="000000"/>
          <w:sz w:val="22"/>
          <w:szCs w:val="22"/>
        </w:rPr>
        <w:t>§ 2º A inscrição de crédito tributário em dívida ativa estadual não impede o contribuinte de utilizar o benefício do financiamento se a regularização ocorrer dentro do próprio mês de inscrição.</w:t>
      </w:r>
    </w:p>
    <w:p w14:paraId="0579099C" w14:textId="0E68A2CB" w:rsidR="00D52D16" w:rsidRDefault="00577515" w:rsidP="00411A73">
      <w:pPr>
        <w:ind w:left="2268"/>
        <w:jc w:val="both"/>
        <w:rPr>
          <w:rFonts w:ascii="Arial" w:hAnsi="Arial" w:cs="Arial"/>
          <w:color w:val="000000"/>
          <w:sz w:val="22"/>
          <w:szCs w:val="22"/>
        </w:rPr>
      </w:pPr>
      <w:r w:rsidRPr="00577515">
        <w:rPr>
          <w:rFonts w:ascii="Arial" w:hAnsi="Arial" w:cs="Arial"/>
          <w:color w:val="000000"/>
          <w:sz w:val="22"/>
          <w:szCs w:val="22"/>
        </w:rPr>
        <w:t>- Acrescido pela Lei nº 18.307, de 30-12-2013.</w:t>
      </w:r>
    </w:p>
    <w:p w14:paraId="5F39ED28" w14:textId="77777777" w:rsidR="00577515" w:rsidRDefault="00577515" w:rsidP="00411A73">
      <w:pPr>
        <w:ind w:left="2268"/>
        <w:jc w:val="both"/>
        <w:rPr>
          <w:rFonts w:ascii="Arial" w:hAnsi="Arial" w:cs="Arial"/>
          <w:color w:val="000000"/>
          <w:sz w:val="22"/>
          <w:szCs w:val="22"/>
        </w:rPr>
      </w:pPr>
    </w:p>
    <w:p w14:paraId="0F725421" w14:textId="77777777" w:rsidR="00D52D16" w:rsidRPr="0070467C" w:rsidRDefault="00D52D16" w:rsidP="00411A73">
      <w:pPr>
        <w:ind w:left="2268"/>
        <w:jc w:val="both"/>
        <w:rPr>
          <w:rFonts w:ascii="Arial" w:hAnsi="Arial" w:cs="Arial"/>
          <w:b/>
          <w:color w:val="000000"/>
          <w:sz w:val="22"/>
          <w:szCs w:val="22"/>
          <w:u w:val="single"/>
        </w:rPr>
      </w:pPr>
      <w:r w:rsidRPr="0070467C">
        <w:rPr>
          <w:rFonts w:ascii="Arial" w:hAnsi="Arial" w:cs="Arial"/>
          <w:b/>
          <w:color w:val="000000"/>
          <w:sz w:val="22"/>
          <w:szCs w:val="22"/>
          <w:u w:val="single"/>
        </w:rPr>
        <w:t xml:space="preserve">Decreto </w:t>
      </w:r>
      <w:r>
        <w:rPr>
          <w:rFonts w:ascii="Arial" w:hAnsi="Arial" w:cs="Arial"/>
          <w:b/>
          <w:color w:val="000000"/>
          <w:sz w:val="22"/>
          <w:szCs w:val="22"/>
          <w:u w:val="single"/>
        </w:rPr>
        <w:t xml:space="preserve">nº </w:t>
      </w:r>
      <w:r w:rsidRPr="00BB1EEE">
        <w:rPr>
          <w:rFonts w:ascii="Arial" w:hAnsi="Arial" w:cs="Arial"/>
          <w:b/>
          <w:color w:val="000000"/>
          <w:sz w:val="22"/>
          <w:szCs w:val="22"/>
          <w:u w:val="single"/>
        </w:rPr>
        <w:t>5.265/2000</w:t>
      </w:r>
      <w:r>
        <w:rPr>
          <w:rFonts w:ascii="Arial" w:hAnsi="Arial" w:cs="Arial"/>
          <w:b/>
          <w:color w:val="000000"/>
          <w:sz w:val="22"/>
          <w:szCs w:val="22"/>
          <w:u w:val="single"/>
        </w:rPr>
        <w:t xml:space="preserve"> </w:t>
      </w:r>
      <w:r w:rsidRPr="0070467C">
        <w:rPr>
          <w:rFonts w:ascii="Arial" w:hAnsi="Arial" w:cs="Arial"/>
          <w:b/>
          <w:color w:val="000000"/>
          <w:sz w:val="22"/>
          <w:szCs w:val="22"/>
          <w:u w:val="single"/>
        </w:rPr>
        <w:t>– PRODUZIR</w:t>
      </w:r>
    </w:p>
    <w:p w14:paraId="30124125" w14:textId="77777777" w:rsidR="00D52D16" w:rsidRPr="000B4568" w:rsidRDefault="00D52D16" w:rsidP="00411A73">
      <w:pPr>
        <w:ind w:left="2268"/>
        <w:jc w:val="both"/>
        <w:rPr>
          <w:rFonts w:ascii="Arial" w:hAnsi="Arial" w:cs="Arial"/>
          <w:color w:val="000000"/>
          <w:sz w:val="22"/>
          <w:szCs w:val="22"/>
        </w:rPr>
      </w:pPr>
      <w:r w:rsidRPr="000B4568">
        <w:rPr>
          <w:rFonts w:ascii="Arial" w:hAnsi="Arial" w:cs="Arial"/>
          <w:color w:val="000000"/>
          <w:sz w:val="22"/>
          <w:szCs w:val="22"/>
        </w:rPr>
        <w:t>Art. 43. O contrato de financiamento poderá ser suspenso ou revogado pela Comissão Executiva do PRODUZIR.</w:t>
      </w:r>
    </w:p>
    <w:p w14:paraId="4759E309" w14:textId="77777777" w:rsidR="00D52D16" w:rsidRPr="000B4568" w:rsidRDefault="00D52D16" w:rsidP="00411A73">
      <w:pPr>
        <w:ind w:left="2268"/>
        <w:jc w:val="both"/>
        <w:rPr>
          <w:rFonts w:ascii="Arial" w:hAnsi="Arial" w:cs="Arial"/>
          <w:color w:val="000000"/>
          <w:sz w:val="22"/>
          <w:szCs w:val="22"/>
        </w:rPr>
      </w:pPr>
      <w:r w:rsidRPr="000B4568">
        <w:rPr>
          <w:rFonts w:ascii="Arial" w:hAnsi="Arial" w:cs="Arial"/>
          <w:color w:val="000000"/>
          <w:sz w:val="22"/>
          <w:szCs w:val="22"/>
        </w:rPr>
        <w:t>[...]</w:t>
      </w:r>
    </w:p>
    <w:p w14:paraId="5E67ABC1" w14:textId="77777777" w:rsidR="00D52D16" w:rsidRPr="000B4568" w:rsidRDefault="00D52D16" w:rsidP="00411A73">
      <w:pPr>
        <w:ind w:left="2268"/>
        <w:jc w:val="both"/>
        <w:rPr>
          <w:rFonts w:ascii="Arial" w:hAnsi="Arial" w:cs="Arial"/>
          <w:color w:val="000000"/>
          <w:sz w:val="22"/>
          <w:szCs w:val="22"/>
        </w:rPr>
      </w:pPr>
      <w:r w:rsidRPr="000B4568">
        <w:rPr>
          <w:rFonts w:ascii="Arial" w:hAnsi="Arial" w:cs="Arial"/>
          <w:color w:val="000000"/>
          <w:sz w:val="22"/>
          <w:szCs w:val="22"/>
        </w:rPr>
        <w:t>§ 6º Na ocorrência de inscrição de crédito tributário em dívida ativa estadual, o contribuinte fica impedido de utilizar, em caráter definitivo, o benefício de financiamento na apuração do imposto correspondente ao mês da inscrição até a apuração do imposto correspondente ao mês anterior a sua regularização, dispensada a formalização da suspensão.:</w:t>
      </w:r>
    </w:p>
    <w:p w14:paraId="4A350300" w14:textId="77777777" w:rsidR="00D52D16" w:rsidRDefault="00D52D16" w:rsidP="00411A73">
      <w:pPr>
        <w:ind w:left="2268"/>
        <w:jc w:val="both"/>
        <w:rPr>
          <w:rFonts w:ascii="Arial" w:hAnsi="Arial" w:cs="Arial"/>
          <w:color w:val="000000"/>
          <w:sz w:val="22"/>
          <w:szCs w:val="22"/>
        </w:rPr>
      </w:pPr>
      <w:r w:rsidRPr="000B4568">
        <w:rPr>
          <w:rFonts w:ascii="Arial" w:hAnsi="Arial" w:cs="Arial"/>
          <w:color w:val="000000"/>
          <w:sz w:val="22"/>
          <w:szCs w:val="22"/>
        </w:rPr>
        <w:t>[...].</w:t>
      </w:r>
    </w:p>
    <w:p w14:paraId="71202295" w14:textId="77777777" w:rsidR="002B15F3" w:rsidRDefault="002B15F3" w:rsidP="00411A73">
      <w:pPr>
        <w:ind w:left="2268"/>
        <w:jc w:val="both"/>
        <w:rPr>
          <w:rFonts w:ascii="Arial" w:hAnsi="Arial" w:cs="Arial"/>
          <w:b/>
          <w:color w:val="000000"/>
          <w:sz w:val="22"/>
          <w:szCs w:val="22"/>
          <w:highlight w:val="yellow"/>
          <w:u w:val="single"/>
        </w:rPr>
      </w:pPr>
    </w:p>
    <w:p w14:paraId="28E68C38" w14:textId="77777777" w:rsidR="00223B77" w:rsidRDefault="00577515" w:rsidP="00065156">
      <w:pPr>
        <w:spacing w:line="360" w:lineRule="auto"/>
        <w:ind w:firstLine="851"/>
        <w:jc w:val="both"/>
        <w:rPr>
          <w:rFonts w:ascii="Arial" w:hAnsi="Arial" w:cs="Arial"/>
          <w:sz w:val="24"/>
          <w:szCs w:val="24"/>
        </w:rPr>
      </w:pPr>
      <w:r w:rsidRPr="00223B77">
        <w:rPr>
          <w:rFonts w:ascii="Arial" w:hAnsi="Arial" w:cs="Arial"/>
          <w:b/>
          <w:sz w:val="24"/>
          <w:szCs w:val="24"/>
        </w:rPr>
        <w:t xml:space="preserve">Embora o art. 7º </w:t>
      </w:r>
      <w:r w:rsidR="00223B77" w:rsidRPr="00223B77">
        <w:rPr>
          <w:rFonts w:ascii="Arial" w:hAnsi="Arial" w:cs="Arial"/>
          <w:b/>
          <w:sz w:val="24"/>
          <w:szCs w:val="24"/>
        </w:rPr>
        <w:t>da Lei nº 11.180/1990 (FOMENTAR) e o art. 24 da Lei nº 13.591/2000 (PRODUZIR)</w:t>
      </w:r>
      <w:r w:rsidR="00223B77">
        <w:rPr>
          <w:rFonts w:ascii="Arial" w:hAnsi="Arial" w:cs="Arial"/>
          <w:sz w:val="24"/>
          <w:szCs w:val="24"/>
        </w:rPr>
        <w:t xml:space="preserve"> estabeleçam que a inscrição em dívida ativa PODERÁ acarretar suspensão ou revogação do contrato de financiamento </w:t>
      </w:r>
      <w:r w:rsidR="00223B77" w:rsidRPr="00223B77">
        <w:rPr>
          <w:rFonts w:ascii="Arial" w:hAnsi="Arial" w:cs="Arial"/>
          <w:sz w:val="24"/>
          <w:szCs w:val="24"/>
        </w:rPr>
        <w:t>pel</w:t>
      </w:r>
      <w:r w:rsidR="00223B77">
        <w:rPr>
          <w:rFonts w:ascii="Arial" w:hAnsi="Arial" w:cs="Arial"/>
          <w:sz w:val="24"/>
          <w:szCs w:val="24"/>
        </w:rPr>
        <w:t xml:space="preserve">o Conselho Deliberativo ou Comissão Executiva dos Programas, conforme o caso, </w:t>
      </w:r>
      <w:r w:rsidR="00223B77" w:rsidRPr="00223B77">
        <w:rPr>
          <w:rFonts w:ascii="Arial" w:hAnsi="Arial" w:cs="Arial"/>
          <w:sz w:val="24"/>
          <w:szCs w:val="24"/>
          <w:u w:val="single"/>
        </w:rPr>
        <w:t>os arts. 7º-A e 24-A dos mesmos diplomas legais</w:t>
      </w:r>
      <w:r w:rsidR="00223B77">
        <w:rPr>
          <w:rFonts w:ascii="Arial" w:hAnsi="Arial" w:cs="Arial"/>
          <w:sz w:val="24"/>
          <w:szCs w:val="24"/>
          <w:u w:val="single"/>
        </w:rPr>
        <w:t>, respectivamente,</w:t>
      </w:r>
      <w:r w:rsidR="00223B77" w:rsidRPr="00223B77">
        <w:rPr>
          <w:rFonts w:ascii="Arial" w:hAnsi="Arial" w:cs="Arial"/>
          <w:sz w:val="24"/>
          <w:szCs w:val="24"/>
          <w:u w:val="single"/>
        </w:rPr>
        <w:t xml:space="preserve"> determinaram peremptoriamente que referida inscrição, ressalvadas as exceções legais, impedirá a fruição do benefício até a devida regularização</w:t>
      </w:r>
      <w:r w:rsidR="00223B77">
        <w:rPr>
          <w:rFonts w:ascii="Arial" w:hAnsi="Arial" w:cs="Arial"/>
          <w:sz w:val="24"/>
          <w:szCs w:val="24"/>
        </w:rPr>
        <w:t xml:space="preserve">, o que conduz ao entendimento de que não há margem de discricionariedade para que os referidos órgãos colegiados deixem de suspender ou revogar os contratos uma vez verificado desse requisito legal. </w:t>
      </w:r>
    </w:p>
    <w:p w14:paraId="60167C27" w14:textId="3CC5BDD3" w:rsidR="00577515" w:rsidRDefault="00223B77" w:rsidP="00065156">
      <w:pPr>
        <w:spacing w:line="360" w:lineRule="auto"/>
        <w:ind w:firstLine="851"/>
        <w:jc w:val="both"/>
        <w:rPr>
          <w:rFonts w:ascii="Arial" w:hAnsi="Arial" w:cs="Arial"/>
          <w:sz w:val="24"/>
          <w:szCs w:val="24"/>
        </w:rPr>
      </w:pPr>
      <w:r>
        <w:rPr>
          <w:rFonts w:ascii="Arial" w:hAnsi="Arial" w:cs="Arial"/>
          <w:sz w:val="24"/>
          <w:szCs w:val="24"/>
        </w:rPr>
        <w:t xml:space="preserve">Além disso, </w:t>
      </w:r>
      <w:r w:rsidRPr="00223B77">
        <w:rPr>
          <w:rFonts w:ascii="Arial" w:hAnsi="Arial" w:cs="Arial"/>
          <w:b/>
          <w:sz w:val="24"/>
          <w:szCs w:val="24"/>
        </w:rPr>
        <w:t>eventuais dispositivos previstos em decreto que acenam no sentido da facultatividade</w:t>
      </w:r>
      <w:r w:rsidR="00183B26">
        <w:rPr>
          <w:rFonts w:ascii="Arial" w:hAnsi="Arial" w:cs="Arial"/>
          <w:b/>
          <w:sz w:val="24"/>
          <w:szCs w:val="24"/>
        </w:rPr>
        <w:t xml:space="preserve"> da suspensão ou revogação do contrato</w:t>
      </w:r>
      <w:r w:rsidRPr="00223B77">
        <w:rPr>
          <w:rFonts w:ascii="Arial" w:hAnsi="Arial" w:cs="Arial"/>
          <w:b/>
          <w:sz w:val="24"/>
          <w:szCs w:val="24"/>
        </w:rPr>
        <w:t xml:space="preserve"> revelam-se manifestamente ilegais</w:t>
      </w:r>
      <w:r w:rsidRPr="00223B77">
        <w:rPr>
          <w:rFonts w:ascii="Arial" w:hAnsi="Arial" w:cs="Arial"/>
          <w:sz w:val="24"/>
          <w:szCs w:val="24"/>
        </w:rPr>
        <w:t xml:space="preserve">, até porque nem </w:t>
      </w:r>
      <w:r>
        <w:rPr>
          <w:rFonts w:ascii="Arial" w:hAnsi="Arial" w:cs="Arial"/>
          <w:sz w:val="24"/>
          <w:szCs w:val="24"/>
        </w:rPr>
        <w:t>os decretos governamentais são atualizados conforme as novidades legislativas, a gerar</w:t>
      </w:r>
      <w:r w:rsidR="00183B26">
        <w:rPr>
          <w:rFonts w:ascii="Arial" w:hAnsi="Arial" w:cs="Arial"/>
          <w:sz w:val="24"/>
          <w:szCs w:val="24"/>
        </w:rPr>
        <w:t xml:space="preserve"> nítida</w:t>
      </w:r>
      <w:r>
        <w:rPr>
          <w:rFonts w:ascii="Arial" w:hAnsi="Arial" w:cs="Arial"/>
          <w:sz w:val="24"/>
          <w:szCs w:val="24"/>
        </w:rPr>
        <w:t xml:space="preserve"> discrepância entre o conteúdo da lei e do decreto, de modo que, nessa situação, este deve ceder </w:t>
      </w:r>
      <w:r w:rsidR="00183B26">
        <w:rPr>
          <w:rFonts w:ascii="Arial" w:hAnsi="Arial" w:cs="Arial"/>
          <w:sz w:val="24"/>
          <w:szCs w:val="24"/>
        </w:rPr>
        <w:t xml:space="preserve">espaço </w:t>
      </w:r>
      <w:r>
        <w:rPr>
          <w:rFonts w:ascii="Arial" w:hAnsi="Arial" w:cs="Arial"/>
          <w:sz w:val="24"/>
          <w:szCs w:val="24"/>
        </w:rPr>
        <w:t>à</w:t>
      </w:r>
      <w:r w:rsidR="00183B26">
        <w:rPr>
          <w:rFonts w:ascii="Arial" w:hAnsi="Arial" w:cs="Arial"/>
          <w:sz w:val="24"/>
          <w:szCs w:val="24"/>
        </w:rPr>
        <w:t xml:space="preserve"> aplicação da</w:t>
      </w:r>
      <w:r>
        <w:rPr>
          <w:rFonts w:ascii="Arial" w:hAnsi="Arial" w:cs="Arial"/>
          <w:sz w:val="24"/>
          <w:szCs w:val="24"/>
        </w:rPr>
        <w:t>quela</w:t>
      </w:r>
      <w:r w:rsidRPr="00223B77">
        <w:rPr>
          <w:rFonts w:ascii="Arial" w:hAnsi="Arial" w:cs="Arial"/>
          <w:sz w:val="24"/>
          <w:szCs w:val="24"/>
        </w:rPr>
        <w:t>.</w:t>
      </w:r>
    </w:p>
    <w:p w14:paraId="4FE08282" w14:textId="0AA15147" w:rsidR="00065156" w:rsidRDefault="0084453D" w:rsidP="00065156">
      <w:pPr>
        <w:spacing w:line="360" w:lineRule="auto"/>
        <w:ind w:firstLine="851"/>
        <w:jc w:val="both"/>
        <w:rPr>
          <w:rFonts w:ascii="Arial" w:hAnsi="Arial" w:cs="Arial"/>
          <w:sz w:val="24"/>
          <w:szCs w:val="24"/>
        </w:rPr>
      </w:pPr>
      <w:r>
        <w:rPr>
          <w:rFonts w:ascii="Arial" w:hAnsi="Arial" w:cs="Arial"/>
          <w:sz w:val="24"/>
          <w:szCs w:val="24"/>
        </w:rPr>
        <w:t>Feito esse esclarecimento</w:t>
      </w:r>
      <w:r w:rsidR="00105725">
        <w:rPr>
          <w:rFonts w:ascii="Arial" w:hAnsi="Arial" w:cs="Arial"/>
          <w:sz w:val="24"/>
          <w:szCs w:val="24"/>
        </w:rPr>
        <w:t xml:space="preserve"> preliminar</w:t>
      </w:r>
      <w:r>
        <w:rPr>
          <w:rFonts w:ascii="Arial" w:hAnsi="Arial" w:cs="Arial"/>
          <w:sz w:val="24"/>
          <w:szCs w:val="24"/>
        </w:rPr>
        <w:t xml:space="preserve">, </w:t>
      </w:r>
      <w:r w:rsidR="00105725">
        <w:rPr>
          <w:rFonts w:ascii="Arial" w:hAnsi="Arial" w:cs="Arial"/>
          <w:sz w:val="24"/>
          <w:szCs w:val="24"/>
        </w:rPr>
        <w:t xml:space="preserve">registre-se que </w:t>
      </w:r>
      <w:r>
        <w:rPr>
          <w:rFonts w:ascii="Arial" w:hAnsi="Arial" w:cs="Arial"/>
          <w:sz w:val="24"/>
          <w:szCs w:val="24"/>
        </w:rPr>
        <w:t>n</w:t>
      </w:r>
      <w:r w:rsidR="00314092">
        <w:rPr>
          <w:rFonts w:ascii="Arial" w:hAnsi="Arial" w:cs="Arial"/>
          <w:sz w:val="24"/>
          <w:szCs w:val="24"/>
        </w:rPr>
        <w:t xml:space="preserve">o </w:t>
      </w:r>
      <w:r w:rsidR="00314092" w:rsidRPr="00C11E9B">
        <w:rPr>
          <w:rFonts w:ascii="Arial" w:hAnsi="Arial" w:cs="Arial"/>
          <w:b/>
          <w:sz w:val="24"/>
          <w:szCs w:val="24"/>
        </w:rPr>
        <w:t xml:space="preserve">Informe de Auditoria nº </w:t>
      </w:r>
      <w:r w:rsidR="000B4568" w:rsidRPr="000B4568">
        <w:rPr>
          <w:rFonts w:ascii="Arial" w:hAnsi="Arial" w:cs="Arial"/>
          <w:b/>
          <w:sz w:val="24"/>
          <w:szCs w:val="24"/>
        </w:rPr>
        <w:t>01</w:t>
      </w:r>
      <w:r w:rsidR="00314092" w:rsidRPr="00C11E9B">
        <w:rPr>
          <w:rFonts w:ascii="Arial" w:hAnsi="Arial" w:cs="Arial"/>
          <w:b/>
          <w:sz w:val="24"/>
          <w:szCs w:val="24"/>
        </w:rPr>
        <w:t>/2019, a CGE/GO</w:t>
      </w:r>
      <w:r w:rsidR="00314092">
        <w:rPr>
          <w:rFonts w:ascii="Arial" w:hAnsi="Arial" w:cs="Arial"/>
          <w:sz w:val="24"/>
          <w:szCs w:val="24"/>
        </w:rPr>
        <w:t xml:space="preserve"> já havia apontado que diversas empresas beneficiárias desses programas continuavam a fruir dos benefícios mesmo com crédito inscrito em dívida ativa e ausente qualquer ressalva prevista na legislação (como suspensão de exigibilidade e </w:t>
      </w:r>
      <w:r w:rsidR="00314092">
        <w:rPr>
          <w:rFonts w:ascii="Arial" w:hAnsi="Arial" w:cs="Arial"/>
          <w:sz w:val="24"/>
          <w:szCs w:val="24"/>
        </w:rPr>
        <w:lastRenderedPageBreak/>
        <w:t>penhora de bens suficiente para garantia da dívida).</w:t>
      </w:r>
      <w:r w:rsidR="0084067F">
        <w:rPr>
          <w:rFonts w:ascii="Arial" w:hAnsi="Arial" w:cs="Arial"/>
          <w:sz w:val="24"/>
          <w:szCs w:val="24"/>
        </w:rPr>
        <w:t xml:space="preserve"> Importante mencionar que, do universo de </w:t>
      </w:r>
      <w:r w:rsidR="0084067F" w:rsidRPr="009756A4">
        <w:rPr>
          <w:rFonts w:ascii="Arial" w:hAnsi="Arial" w:cs="Arial"/>
          <w:sz w:val="24"/>
          <w:szCs w:val="24"/>
        </w:rPr>
        <w:t>apenas 2</w:t>
      </w:r>
      <w:r w:rsidR="009756A4" w:rsidRPr="009756A4">
        <w:rPr>
          <w:rFonts w:ascii="Arial" w:hAnsi="Arial" w:cs="Arial"/>
          <w:sz w:val="24"/>
          <w:szCs w:val="24"/>
        </w:rPr>
        <w:t>6</w:t>
      </w:r>
      <w:r w:rsidR="0084067F" w:rsidRPr="009756A4">
        <w:rPr>
          <w:rFonts w:ascii="Arial" w:hAnsi="Arial" w:cs="Arial"/>
          <w:sz w:val="24"/>
          <w:szCs w:val="24"/>
        </w:rPr>
        <w:t xml:space="preserve"> (vinte e </w:t>
      </w:r>
      <w:r w:rsidR="009756A4" w:rsidRPr="009756A4">
        <w:rPr>
          <w:rFonts w:ascii="Arial" w:hAnsi="Arial" w:cs="Arial"/>
          <w:sz w:val="24"/>
          <w:szCs w:val="24"/>
        </w:rPr>
        <w:t>seis</w:t>
      </w:r>
      <w:r w:rsidR="0084067F" w:rsidRPr="009756A4">
        <w:rPr>
          <w:rFonts w:ascii="Arial" w:hAnsi="Arial" w:cs="Arial"/>
          <w:sz w:val="24"/>
          <w:szCs w:val="24"/>
        </w:rPr>
        <w:t>) empresas desses programas selecionadas como amostra para auditoria, 8 (oito)</w:t>
      </w:r>
      <w:r w:rsidR="0084067F">
        <w:rPr>
          <w:rFonts w:ascii="Arial" w:hAnsi="Arial" w:cs="Arial"/>
          <w:sz w:val="24"/>
          <w:szCs w:val="24"/>
        </w:rPr>
        <w:t xml:space="preserve"> estavam descumprindo a exigência de regularidade fiscal, isto é, </w:t>
      </w:r>
      <w:r w:rsidR="00071FE2">
        <w:rPr>
          <w:rFonts w:ascii="Arial" w:hAnsi="Arial" w:cs="Arial"/>
          <w:sz w:val="24"/>
          <w:szCs w:val="24"/>
        </w:rPr>
        <w:t>pouco mais</w:t>
      </w:r>
      <w:r w:rsidR="0084067F">
        <w:rPr>
          <w:rFonts w:ascii="Arial" w:hAnsi="Arial" w:cs="Arial"/>
          <w:sz w:val="24"/>
          <w:szCs w:val="24"/>
        </w:rPr>
        <w:t xml:space="preserve"> de 30% (trinta por cento).</w:t>
      </w:r>
    </w:p>
    <w:p w14:paraId="14091B94" w14:textId="171B73F5" w:rsidR="00A06229" w:rsidRDefault="00F505CA" w:rsidP="00065156">
      <w:pPr>
        <w:spacing w:line="360" w:lineRule="auto"/>
        <w:ind w:firstLine="851"/>
        <w:jc w:val="both"/>
        <w:rPr>
          <w:rFonts w:ascii="Arial" w:hAnsi="Arial" w:cs="Arial"/>
          <w:sz w:val="24"/>
          <w:szCs w:val="24"/>
        </w:rPr>
      </w:pPr>
      <w:r>
        <w:rPr>
          <w:rFonts w:ascii="Arial" w:hAnsi="Arial" w:cs="Arial"/>
          <w:sz w:val="24"/>
          <w:szCs w:val="24"/>
        </w:rPr>
        <w:t xml:space="preserve">Perplexa com essa situação, </w:t>
      </w:r>
      <w:r w:rsidRPr="006078A1">
        <w:rPr>
          <w:rFonts w:ascii="Arial" w:hAnsi="Arial" w:cs="Arial"/>
          <w:b/>
          <w:sz w:val="24"/>
          <w:szCs w:val="24"/>
        </w:rPr>
        <w:t xml:space="preserve">esta CPI procedeu </w:t>
      </w:r>
      <w:r w:rsidR="00A06229">
        <w:rPr>
          <w:rFonts w:ascii="Arial" w:hAnsi="Arial" w:cs="Arial"/>
          <w:b/>
          <w:sz w:val="24"/>
          <w:szCs w:val="24"/>
        </w:rPr>
        <w:t>a simples verificação</w:t>
      </w:r>
      <w:r w:rsidR="006078A1">
        <w:rPr>
          <w:rFonts w:ascii="Arial" w:hAnsi="Arial" w:cs="Arial"/>
          <w:b/>
          <w:sz w:val="24"/>
          <w:szCs w:val="24"/>
        </w:rPr>
        <w:t xml:space="preserve"> acerca do cumprimento</w:t>
      </w:r>
      <w:r w:rsidRPr="006078A1">
        <w:rPr>
          <w:rFonts w:ascii="Arial" w:hAnsi="Arial" w:cs="Arial"/>
          <w:b/>
          <w:sz w:val="24"/>
          <w:szCs w:val="24"/>
        </w:rPr>
        <w:t xml:space="preserve"> desse requisito em relação a todas as empresas beneficiárias </w:t>
      </w:r>
      <w:r w:rsidR="006078A1">
        <w:rPr>
          <w:rFonts w:ascii="Arial" w:hAnsi="Arial" w:cs="Arial"/>
          <w:b/>
          <w:sz w:val="24"/>
          <w:szCs w:val="24"/>
        </w:rPr>
        <w:t>desses</w:t>
      </w:r>
      <w:r w:rsidRPr="006078A1">
        <w:rPr>
          <w:rFonts w:ascii="Arial" w:hAnsi="Arial" w:cs="Arial"/>
          <w:b/>
          <w:sz w:val="24"/>
          <w:szCs w:val="24"/>
        </w:rPr>
        <w:t xml:space="preserve"> programa</w:t>
      </w:r>
      <w:r w:rsidR="006078A1">
        <w:rPr>
          <w:rFonts w:ascii="Arial" w:hAnsi="Arial" w:cs="Arial"/>
          <w:b/>
          <w:sz w:val="24"/>
          <w:szCs w:val="24"/>
        </w:rPr>
        <w:t>s</w:t>
      </w:r>
      <w:r>
        <w:rPr>
          <w:rFonts w:ascii="Arial" w:hAnsi="Arial" w:cs="Arial"/>
          <w:sz w:val="24"/>
          <w:szCs w:val="24"/>
        </w:rPr>
        <w:t>,</w:t>
      </w:r>
      <w:r w:rsidR="006078A1">
        <w:rPr>
          <w:rFonts w:ascii="Arial" w:hAnsi="Arial" w:cs="Arial"/>
          <w:sz w:val="24"/>
          <w:szCs w:val="24"/>
        </w:rPr>
        <w:t xml:space="preserve"> num universo total de 595 (quinhentos e noventa e cinco)</w:t>
      </w:r>
      <w:r w:rsidR="007B39E5">
        <w:rPr>
          <w:rFonts w:ascii="Arial" w:hAnsi="Arial" w:cs="Arial"/>
          <w:sz w:val="24"/>
          <w:szCs w:val="24"/>
        </w:rPr>
        <w:t xml:space="preserve"> empresas</w:t>
      </w:r>
      <w:r w:rsidR="00F8679F">
        <w:rPr>
          <w:rFonts w:ascii="Arial" w:hAnsi="Arial" w:cs="Arial"/>
          <w:sz w:val="24"/>
          <w:szCs w:val="24"/>
        </w:rPr>
        <w:t xml:space="preserve"> ativas em dezembro de 2018</w:t>
      </w:r>
      <w:r w:rsidR="007B39E5">
        <w:rPr>
          <w:rFonts w:ascii="Arial" w:hAnsi="Arial" w:cs="Arial"/>
          <w:sz w:val="24"/>
          <w:szCs w:val="24"/>
        </w:rPr>
        <w:t>,</w:t>
      </w:r>
      <w:r w:rsidR="00A06229">
        <w:rPr>
          <w:rFonts w:ascii="Arial" w:hAnsi="Arial" w:cs="Arial"/>
          <w:sz w:val="24"/>
          <w:szCs w:val="24"/>
        </w:rPr>
        <w:t xml:space="preserve"> </w:t>
      </w:r>
      <w:r>
        <w:rPr>
          <w:rFonts w:ascii="Arial" w:hAnsi="Arial" w:cs="Arial"/>
          <w:sz w:val="24"/>
          <w:szCs w:val="24"/>
        </w:rPr>
        <w:t>mediante simples consulta à</w:t>
      </w:r>
      <w:r w:rsidR="00A06229">
        <w:rPr>
          <w:rFonts w:ascii="Arial" w:hAnsi="Arial" w:cs="Arial"/>
          <w:sz w:val="24"/>
          <w:szCs w:val="24"/>
        </w:rPr>
        <w:t xml:space="preserve"> respectiva</w:t>
      </w:r>
      <w:r>
        <w:rPr>
          <w:rFonts w:ascii="Arial" w:hAnsi="Arial" w:cs="Arial"/>
          <w:sz w:val="24"/>
          <w:szCs w:val="24"/>
        </w:rPr>
        <w:t xml:space="preserve"> situaç</w:t>
      </w:r>
      <w:r w:rsidR="00A06229">
        <w:rPr>
          <w:rFonts w:ascii="Arial" w:hAnsi="Arial" w:cs="Arial"/>
          <w:sz w:val="24"/>
          <w:szCs w:val="24"/>
        </w:rPr>
        <w:t xml:space="preserve">ão fiscal publicada </w:t>
      </w:r>
      <w:r>
        <w:rPr>
          <w:rFonts w:ascii="Arial" w:hAnsi="Arial" w:cs="Arial"/>
          <w:sz w:val="24"/>
          <w:szCs w:val="24"/>
        </w:rPr>
        <w:t>na página eletrônica da Secretaria de Estado da Economia</w:t>
      </w:r>
      <w:r w:rsidR="00F94176">
        <w:rPr>
          <w:rFonts w:ascii="Arial" w:hAnsi="Arial" w:cs="Arial"/>
          <w:sz w:val="24"/>
          <w:szCs w:val="24"/>
        </w:rPr>
        <w:t>, durante</w:t>
      </w:r>
      <w:r w:rsidR="00F8679F">
        <w:rPr>
          <w:rFonts w:ascii="Arial" w:hAnsi="Arial" w:cs="Arial"/>
          <w:sz w:val="24"/>
          <w:szCs w:val="24"/>
        </w:rPr>
        <w:t xml:space="preserve"> o curso dos trabalhos desta CPI</w:t>
      </w:r>
      <w:r>
        <w:rPr>
          <w:rStyle w:val="Refdenotaderodap"/>
          <w:rFonts w:ascii="Arial" w:hAnsi="Arial" w:cs="Arial"/>
          <w:sz w:val="24"/>
          <w:szCs w:val="24"/>
        </w:rPr>
        <w:footnoteReference w:id="84"/>
      </w:r>
      <w:r w:rsidR="00476B1E">
        <w:rPr>
          <w:rFonts w:ascii="Arial" w:hAnsi="Arial" w:cs="Arial"/>
          <w:sz w:val="24"/>
          <w:szCs w:val="24"/>
        </w:rPr>
        <w:t>.</w:t>
      </w:r>
    </w:p>
    <w:p w14:paraId="47E7251D" w14:textId="656EA6EE" w:rsidR="0084067F" w:rsidRDefault="00A06229" w:rsidP="00065156">
      <w:pPr>
        <w:spacing w:line="360" w:lineRule="auto"/>
        <w:ind w:firstLine="851"/>
        <w:jc w:val="both"/>
        <w:rPr>
          <w:rFonts w:ascii="Arial" w:hAnsi="Arial" w:cs="Arial"/>
          <w:sz w:val="24"/>
          <w:szCs w:val="24"/>
        </w:rPr>
      </w:pPr>
      <w:r>
        <w:rPr>
          <w:rFonts w:ascii="Arial" w:hAnsi="Arial" w:cs="Arial"/>
          <w:sz w:val="24"/>
          <w:szCs w:val="24"/>
        </w:rPr>
        <w:t xml:space="preserve">Essa </w:t>
      </w:r>
      <w:r w:rsidRPr="00F574CC">
        <w:rPr>
          <w:rFonts w:ascii="Arial" w:hAnsi="Arial" w:cs="Arial"/>
          <w:sz w:val="24"/>
          <w:szCs w:val="24"/>
        </w:rPr>
        <w:t xml:space="preserve">simples verificação resultou na constatação de que </w:t>
      </w:r>
      <w:r w:rsidRPr="00F574CC">
        <w:rPr>
          <w:rFonts w:ascii="Arial" w:hAnsi="Arial" w:cs="Arial"/>
          <w:b/>
          <w:sz w:val="24"/>
          <w:szCs w:val="24"/>
        </w:rPr>
        <w:t>81 (oitenta e uma) empresas</w:t>
      </w:r>
      <w:r w:rsidR="004B435C" w:rsidRPr="00F574CC">
        <w:rPr>
          <w:rStyle w:val="Refdenotaderodap"/>
          <w:rFonts w:ascii="Arial" w:hAnsi="Arial" w:cs="Arial"/>
          <w:b/>
          <w:sz w:val="24"/>
          <w:szCs w:val="24"/>
        </w:rPr>
        <w:footnoteReference w:id="85"/>
      </w:r>
      <w:r w:rsidRPr="00F574CC">
        <w:rPr>
          <w:rFonts w:ascii="Arial" w:hAnsi="Arial" w:cs="Arial"/>
          <w:sz w:val="24"/>
          <w:szCs w:val="24"/>
        </w:rPr>
        <w:t xml:space="preserve"> encontrav</w:t>
      </w:r>
      <w:r>
        <w:rPr>
          <w:rFonts w:ascii="Arial" w:hAnsi="Arial" w:cs="Arial"/>
          <w:sz w:val="24"/>
          <w:szCs w:val="24"/>
        </w:rPr>
        <w:t xml:space="preserve">am-se com certidão positiva de débitos perante a receita estadual </w:t>
      </w:r>
      <w:r w:rsidR="00AB0E64">
        <w:rPr>
          <w:rFonts w:ascii="Arial" w:hAnsi="Arial" w:cs="Arial"/>
          <w:sz w:val="24"/>
          <w:szCs w:val="24"/>
        </w:rPr>
        <w:t xml:space="preserve">na data da consulta </w:t>
      </w:r>
      <w:r>
        <w:rPr>
          <w:rFonts w:ascii="Arial" w:hAnsi="Arial" w:cs="Arial"/>
          <w:sz w:val="24"/>
          <w:szCs w:val="24"/>
        </w:rPr>
        <w:t xml:space="preserve">– aproximadamente </w:t>
      </w:r>
      <w:r w:rsidRPr="008E0956">
        <w:rPr>
          <w:rFonts w:ascii="Arial" w:hAnsi="Arial" w:cs="Arial"/>
          <w:b/>
          <w:sz w:val="24"/>
          <w:szCs w:val="24"/>
        </w:rPr>
        <w:t>15</w:t>
      </w:r>
      <w:r w:rsidR="00A45275" w:rsidRPr="008E0956">
        <w:rPr>
          <w:rFonts w:ascii="Arial" w:hAnsi="Arial" w:cs="Arial"/>
          <w:b/>
          <w:sz w:val="24"/>
          <w:szCs w:val="24"/>
        </w:rPr>
        <w:t>%</w:t>
      </w:r>
      <w:r w:rsidRPr="008E0956">
        <w:rPr>
          <w:rFonts w:ascii="Arial" w:hAnsi="Arial" w:cs="Arial"/>
          <w:b/>
          <w:sz w:val="24"/>
          <w:szCs w:val="24"/>
        </w:rPr>
        <w:t xml:space="preserve"> (quinze por cento)</w:t>
      </w:r>
      <w:r>
        <w:rPr>
          <w:rFonts w:ascii="Arial" w:hAnsi="Arial" w:cs="Arial"/>
          <w:sz w:val="24"/>
          <w:szCs w:val="24"/>
        </w:rPr>
        <w:t xml:space="preserve"> – </w:t>
      </w:r>
      <w:r w:rsidR="00A45275">
        <w:rPr>
          <w:rFonts w:ascii="Arial" w:hAnsi="Arial" w:cs="Arial"/>
          <w:sz w:val="24"/>
          <w:szCs w:val="24"/>
        </w:rPr>
        <w:t>conforme ilustrado na seguinte tabela:</w:t>
      </w:r>
    </w:p>
    <w:p w14:paraId="75758F89" w14:textId="42D566E0" w:rsidR="00F505CA" w:rsidRPr="00411A73" w:rsidRDefault="00F505CA" w:rsidP="00065156">
      <w:pPr>
        <w:spacing w:line="360" w:lineRule="auto"/>
        <w:ind w:firstLine="851"/>
        <w:jc w:val="both"/>
        <w:rPr>
          <w:rFonts w:ascii="Arial" w:hAnsi="Arial" w:cs="Arial"/>
          <w:sz w:val="22"/>
          <w:szCs w:val="24"/>
        </w:rPr>
      </w:pPr>
    </w:p>
    <w:tbl>
      <w:tblPr>
        <w:tblW w:w="9634" w:type="dxa"/>
        <w:tblLayout w:type="fixed"/>
        <w:tblCellMar>
          <w:left w:w="70" w:type="dxa"/>
          <w:right w:w="70" w:type="dxa"/>
        </w:tblCellMar>
        <w:tblLook w:val="04A0" w:firstRow="1" w:lastRow="0" w:firstColumn="1" w:lastColumn="0" w:noHBand="0" w:noVBand="1"/>
      </w:tblPr>
      <w:tblGrid>
        <w:gridCol w:w="2405"/>
        <w:gridCol w:w="4536"/>
        <w:gridCol w:w="2693"/>
      </w:tblGrid>
      <w:tr w:rsidR="001A59FA" w:rsidRPr="00411A73" w14:paraId="18D95487" w14:textId="77777777" w:rsidTr="00411A73">
        <w:trPr>
          <w:trHeight w:val="300"/>
        </w:trPr>
        <w:tc>
          <w:tcPr>
            <w:tcW w:w="2405"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hideMark/>
          </w:tcPr>
          <w:p w14:paraId="6C622823" w14:textId="77777777" w:rsidR="001A59FA" w:rsidRPr="00411A73" w:rsidRDefault="001A59FA" w:rsidP="003A2A93">
            <w:pPr>
              <w:jc w:val="center"/>
              <w:rPr>
                <w:rFonts w:asciiTheme="minorHAnsi" w:hAnsiTheme="minorHAnsi" w:cstheme="minorHAnsi"/>
                <w:b/>
                <w:bCs/>
                <w:color w:val="000000"/>
                <w:sz w:val="22"/>
                <w:szCs w:val="22"/>
              </w:rPr>
            </w:pPr>
            <w:r w:rsidRPr="00411A73">
              <w:rPr>
                <w:rFonts w:asciiTheme="minorHAnsi" w:hAnsiTheme="minorHAnsi" w:cstheme="minorHAnsi"/>
                <w:b/>
                <w:bCs/>
                <w:color w:val="000000"/>
                <w:sz w:val="22"/>
                <w:szCs w:val="22"/>
              </w:rPr>
              <w:t>CNPJ</w:t>
            </w:r>
          </w:p>
        </w:tc>
        <w:tc>
          <w:tcPr>
            <w:tcW w:w="4536" w:type="dxa"/>
            <w:tcBorders>
              <w:top w:val="single" w:sz="4" w:space="0" w:color="auto"/>
              <w:left w:val="nil"/>
              <w:bottom w:val="single" w:sz="4" w:space="0" w:color="auto"/>
              <w:right w:val="single" w:sz="4" w:space="0" w:color="auto"/>
            </w:tcBorders>
            <w:shd w:val="clear" w:color="auto" w:fill="D0CECE" w:themeFill="background2" w:themeFillShade="E6"/>
            <w:noWrap/>
            <w:hideMark/>
          </w:tcPr>
          <w:p w14:paraId="0CAAACB2" w14:textId="77777777" w:rsidR="001A59FA" w:rsidRPr="00411A73" w:rsidRDefault="001A59FA" w:rsidP="003A2A93">
            <w:pPr>
              <w:jc w:val="center"/>
              <w:rPr>
                <w:rFonts w:asciiTheme="minorHAnsi" w:hAnsiTheme="minorHAnsi" w:cstheme="minorHAnsi"/>
                <w:b/>
                <w:bCs/>
                <w:color w:val="000000"/>
                <w:sz w:val="22"/>
                <w:szCs w:val="22"/>
              </w:rPr>
            </w:pPr>
            <w:r w:rsidRPr="00411A73">
              <w:rPr>
                <w:rFonts w:asciiTheme="minorHAnsi" w:hAnsiTheme="minorHAnsi" w:cstheme="minorHAnsi"/>
                <w:b/>
                <w:bCs/>
                <w:color w:val="000000"/>
                <w:sz w:val="22"/>
                <w:szCs w:val="22"/>
              </w:rPr>
              <w:t>NOME EMPRESA</w:t>
            </w:r>
          </w:p>
        </w:tc>
        <w:tc>
          <w:tcPr>
            <w:tcW w:w="2693" w:type="dxa"/>
            <w:tcBorders>
              <w:top w:val="single" w:sz="4" w:space="0" w:color="auto"/>
              <w:left w:val="nil"/>
              <w:bottom w:val="single" w:sz="4" w:space="0" w:color="auto"/>
              <w:right w:val="single" w:sz="4" w:space="0" w:color="auto"/>
            </w:tcBorders>
            <w:shd w:val="clear" w:color="auto" w:fill="D0CECE" w:themeFill="background2" w:themeFillShade="E6"/>
            <w:noWrap/>
            <w:vAlign w:val="bottom"/>
            <w:hideMark/>
          </w:tcPr>
          <w:p w14:paraId="0AAFE463" w14:textId="77777777" w:rsidR="001A59FA" w:rsidRPr="00411A73" w:rsidRDefault="001A59FA" w:rsidP="003A2A93">
            <w:pPr>
              <w:jc w:val="center"/>
              <w:rPr>
                <w:rFonts w:asciiTheme="minorHAnsi" w:hAnsiTheme="minorHAnsi" w:cstheme="minorHAnsi"/>
                <w:b/>
                <w:bCs/>
                <w:color w:val="000000"/>
                <w:sz w:val="22"/>
                <w:szCs w:val="22"/>
              </w:rPr>
            </w:pPr>
            <w:r w:rsidRPr="00411A73">
              <w:rPr>
                <w:rFonts w:asciiTheme="minorHAnsi" w:hAnsiTheme="minorHAnsi" w:cstheme="minorHAnsi"/>
                <w:b/>
                <w:bCs/>
                <w:color w:val="000000"/>
                <w:sz w:val="22"/>
                <w:szCs w:val="22"/>
              </w:rPr>
              <w:t>PROCESSOS</w:t>
            </w:r>
          </w:p>
        </w:tc>
      </w:tr>
      <w:tr w:rsidR="001A59FA" w:rsidRPr="00411A73" w14:paraId="1B2F7637" w14:textId="77777777" w:rsidTr="00411A73">
        <w:trPr>
          <w:cantSplit/>
          <w:trHeight w:val="1701"/>
        </w:trPr>
        <w:tc>
          <w:tcPr>
            <w:tcW w:w="2405" w:type="dxa"/>
            <w:tcBorders>
              <w:top w:val="nil"/>
              <w:left w:val="single" w:sz="4" w:space="0" w:color="auto"/>
              <w:bottom w:val="single" w:sz="4" w:space="0" w:color="auto"/>
              <w:right w:val="single" w:sz="4" w:space="0" w:color="auto"/>
            </w:tcBorders>
            <w:shd w:val="clear" w:color="auto" w:fill="auto"/>
            <w:noWrap/>
            <w:hideMark/>
          </w:tcPr>
          <w:p w14:paraId="648C791C" w14:textId="77777777" w:rsidR="001A59FA" w:rsidRPr="00411A73" w:rsidRDefault="001A59FA" w:rsidP="003A2A93">
            <w:pPr>
              <w:spacing w:before="240" w:after="240"/>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00.770676/0001-64</w:t>
            </w:r>
          </w:p>
          <w:p w14:paraId="7C0F1E9B" w14:textId="77777777" w:rsidR="001A59FA" w:rsidRPr="00411A73" w:rsidRDefault="001A59FA" w:rsidP="003A2A93">
            <w:pPr>
              <w:spacing w:before="240" w:after="240"/>
              <w:jc w:val="center"/>
              <w:rPr>
                <w:rFonts w:asciiTheme="minorHAnsi" w:hAnsiTheme="minorHAnsi" w:cstheme="minorHAnsi"/>
                <w:color w:val="000000"/>
                <w:sz w:val="22"/>
                <w:szCs w:val="22"/>
              </w:rPr>
            </w:pPr>
          </w:p>
        </w:tc>
        <w:tc>
          <w:tcPr>
            <w:tcW w:w="4536" w:type="dxa"/>
            <w:tcBorders>
              <w:top w:val="single" w:sz="4" w:space="0" w:color="auto"/>
              <w:left w:val="nil"/>
              <w:bottom w:val="single" w:sz="4" w:space="0" w:color="auto"/>
              <w:right w:val="single" w:sz="4" w:space="0" w:color="000000"/>
            </w:tcBorders>
            <w:shd w:val="clear" w:color="auto" w:fill="auto"/>
            <w:noWrap/>
            <w:hideMark/>
          </w:tcPr>
          <w:p w14:paraId="6B160EA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Ultra-Flex Colchões Indústria Brasileira LTDA - em Recuperação Judicial</w:t>
            </w:r>
          </w:p>
        </w:tc>
        <w:tc>
          <w:tcPr>
            <w:tcW w:w="2693" w:type="dxa"/>
            <w:tcBorders>
              <w:top w:val="nil"/>
              <w:left w:val="nil"/>
              <w:bottom w:val="single" w:sz="4" w:space="0" w:color="auto"/>
              <w:right w:val="single" w:sz="4" w:space="0" w:color="auto"/>
            </w:tcBorders>
            <w:shd w:val="clear" w:color="auto" w:fill="auto"/>
            <w:hideMark/>
          </w:tcPr>
          <w:p w14:paraId="483DF21E"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7 processos</w:t>
            </w:r>
          </w:p>
          <w:p w14:paraId="0B7E38B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4021700019990</w:t>
            </w:r>
          </w:p>
          <w:p w14:paraId="0451EFA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4011701650556</w:t>
            </w:r>
          </w:p>
          <w:p w14:paraId="56640EE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4011701650637</w:t>
            </w:r>
          </w:p>
          <w:p w14:paraId="579D361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4011801268777</w:t>
            </w:r>
          </w:p>
          <w:p w14:paraId="45321A8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4011801525176</w:t>
            </w:r>
          </w:p>
          <w:p w14:paraId="2E31848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1003071100000</w:t>
            </w:r>
          </w:p>
          <w:p w14:paraId="3CB5880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1003088200000</w:t>
            </w:r>
          </w:p>
        </w:tc>
      </w:tr>
      <w:tr w:rsidR="001A59FA" w:rsidRPr="00411A73" w14:paraId="58D78C83" w14:textId="77777777" w:rsidTr="00411A73">
        <w:trPr>
          <w:trHeight w:val="1871"/>
        </w:trPr>
        <w:tc>
          <w:tcPr>
            <w:tcW w:w="2405" w:type="dxa"/>
            <w:tcBorders>
              <w:top w:val="nil"/>
              <w:left w:val="single" w:sz="4" w:space="0" w:color="auto"/>
              <w:bottom w:val="single" w:sz="4" w:space="0" w:color="auto"/>
              <w:right w:val="single" w:sz="4" w:space="0" w:color="auto"/>
            </w:tcBorders>
            <w:shd w:val="clear" w:color="auto" w:fill="auto"/>
            <w:noWrap/>
            <w:hideMark/>
          </w:tcPr>
          <w:p w14:paraId="06D6EC62" w14:textId="77777777" w:rsidR="001A59FA" w:rsidRPr="00411A73" w:rsidRDefault="001A59FA" w:rsidP="003A2A93">
            <w:pPr>
              <w:spacing w:before="240"/>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01.378.322/0003-01</w:t>
            </w:r>
          </w:p>
        </w:tc>
        <w:tc>
          <w:tcPr>
            <w:tcW w:w="4536" w:type="dxa"/>
            <w:tcBorders>
              <w:top w:val="single" w:sz="4" w:space="0" w:color="auto"/>
              <w:left w:val="nil"/>
              <w:bottom w:val="single" w:sz="4" w:space="0" w:color="auto"/>
              <w:right w:val="single" w:sz="4" w:space="0" w:color="000000"/>
            </w:tcBorders>
            <w:shd w:val="clear" w:color="auto" w:fill="auto"/>
            <w:noWrap/>
            <w:hideMark/>
          </w:tcPr>
          <w:p w14:paraId="7E371B4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Lacel Laticínios Ceres LTDA-</w:t>
            </w:r>
          </w:p>
          <w:p w14:paraId="231D7A8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Em recuperação judicial</w:t>
            </w:r>
          </w:p>
        </w:tc>
        <w:tc>
          <w:tcPr>
            <w:tcW w:w="2693" w:type="dxa"/>
            <w:tcBorders>
              <w:top w:val="nil"/>
              <w:left w:val="nil"/>
              <w:bottom w:val="single" w:sz="4" w:space="0" w:color="auto"/>
              <w:right w:val="single" w:sz="4" w:space="0" w:color="auto"/>
            </w:tcBorders>
            <w:shd w:val="clear" w:color="auto" w:fill="auto"/>
            <w:vAlign w:val="bottom"/>
            <w:hideMark/>
          </w:tcPr>
          <w:p w14:paraId="3CF29F3B"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17 processos</w:t>
            </w:r>
          </w:p>
          <w:p w14:paraId="42D35C8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4021600064594</w:t>
            </w:r>
          </w:p>
          <w:p w14:paraId="41913C1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4021000018241</w:t>
            </w:r>
          </w:p>
          <w:p w14:paraId="7BBB667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2139007700019</w:t>
            </w:r>
          </w:p>
          <w:p w14:paraId="5F57E0B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2096456900034</w:t>
            </w:r>
          </w:p>
          <w:p w14:paraId="4953B5F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4021600064675</w:t>
            </w:r>
          </w:p>
          <w:p w14:paraId="2B78085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4021700018322</w:t>
            </w:r>
          </w:p>
          <w:p w14:paraId="36E4BC0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4011701107810</w:t>
            </w:r>
          </w:p>
          <w:p w14:paraId="000D80B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4011800774776</w:t>
            </w:r>
          </w:p>
          <w:p w14:paraId="21103DE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4011802254419</w:t>
            </w:r>
          </w:p>
          <w:p w14:paraId="0723BB1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2143596500000</w:t>
            </w:r>
          </w:p>
          <w:p w14:paraId="00CC046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2144305900004</w:t>
            </w:r>
          </w:p>
          <w:p w14:paraId="2DD1574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2145307800064</w:t>
            </w:r>
          </w:p>
          <w:p w14:paraId="530E2EA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2145902000060</w:t>
            </w:r>
          </w:p>
          <w:p w14:paraId="6220F60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2146013500096</w:t>
            </w:r>
          </w:p>
          <w:p w14:paraId="258A560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2124900800024</w:t>
            </w:r>
          </w:p>
          <w:p w14:paraId="471370A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2125783400007</w:t>
            </w:r>
          </w:p>
          <w:p w14:paraId="4FD5D19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2127596900022</w:t>
            </w:r>
          </w:p>
        </w:tc>
      </w:tr>
      <w:tr w:rsidR="001A59FA" w:rsidRPr="00411A73" w14:paraId="1411A654" w14:textId="77777777" w:rsidTr="00411A73">
        <w:trPr>
          <w:trHeight w:val="1559"/>
        </w:trPr>
        <w:tc>
          <w:tcPr>
            <w:tcW w:w="2405" w:type="dxa"/>
            <w:tcBorders>
              <w:top w:val="nil"/>
              <w:left w:val="single" w:sz="4" w:space="0" w:color="auto"/>
              <w:bottom w:val="single" w:sz="4" w:space="0" w:color="auto"/>
              <w:right w:val="single" w:sz="4" w:space="0" w:color="auto"/>
            </w:tcBorders>
            <w:shd w:val="clear" w:color="auto" w:fill="auto"/>
            <w:noWrap/>
            <w:hideMark/>
          </w:tcPr>
          <w:p w14:paraId="60366FE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01.534.080/0075-65</w:t>
            </w:r>
          </w:p>
          <w:p w14:paraId="2370DE5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01.534.080/0097-70</w:t>
            </w:r>
          </w:p>
        </w:tc>
        <w:tc>
          <w:tcPr>
            <w:tcW w:w="4536" w:type="dxa"/>
            <w:tcBorders>
              <w:top w:val="single" w:sz="4" w:space="0" w:color="auto"/>
              <w:left w:val="nil"/>
              <w:bottom w:val="single" w:sz="4" w:space="0" w:color="auto"/>
              <w:right w:val="single" w:sz="4" w:space="0" w:color="000000"/>
            </w:tcBorders>
            <w:shd w:val="clear" w:color="auto" w:fill="auto"/>
            <w:noWrap/>
            <w:hideMark/>
          </w:tcPr>
          <w:p w14:paraId="3C0EAA7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Novo Mundo Moveis e Utilidades LTDA</w:t>
            </w:r>
          </w:p>
        </w:tc>
        <w:tc>
          <w:tcPr>
            <w:tcW w:w="2693" w:type="dxa"/>
            <w:tcBorders>
              <w:top w:val="nil"/>
              <w:left w:val="nil"/>
              <w:bottom w:val="single" w:sz="4" w:space="0" w:color="auto"/>
              <w:right w:val="single" w:sz="4" w:space="0" w:color="auto"/>
            </w:tcBorders>
            <w:shd w:val="clear" w:color="auto" w:fill="auto"/>
            <w:vAlign w:val="bottom"/>
            <w:hideMark/>
          </w:tcPr>
          <w:p w14:paraId="19AF530E"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27 processos</w:t>
            </w:r>
          </w:p>
          <w:p w14:paraId="76120B2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1002915800000</w:t>
            </w:r>
          </w:p>
          <w:p w14:paraId="2D43244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1002929400000</w:t>
            </w:r>
          </w:p>
          <w:p w14:paraId="03D2649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1002937800000</w:t>
            </w:r>
          </w:p>
          <w:p w14:paraId="39690D2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1002964900000</w:t>
            </w:r>
          </w:p>
          <w:p w14:paraId="0E2A826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1002983300000</w:t>
            </w:r>
          </w:p>
          <w:p w14:paraId="0FD8D50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1003033100000</w:t>
            </w:r>
          </w:p>
          <w:p w14:paraId="0C72195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1003075700000</w:t>
            </w:r>
          </w:p>
          <w:p w14:paraId="1042A1E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1003075800000</w:t>
            </w:r>
          </w:p>
          <w:p w14:paraId="6749F47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1003088300000</w:t>
            </w:r>
          </w:p>
          <w:p w14:paraId="1B3408A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1003088300000</w:t>
            </w:r>
          </w:p>
          <w:p w14:paraId="363D4BA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1003093800000</w:t>
            </w:r>
          </w:p>
          <w:p w14:paraId="688B529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1003099600000</w:t>
            </w:r>
          </w:p>
          <w:p w14:paraId="43EBD19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1003104300000</w:t>
            </w:r>
          </w:p>
          <w:p w14:paraId="48D4F8F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1003141700000</w:t>
            </w:r>
          </w:p>
          <w:p w14:paraId="2D608E9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1003141700000</w:t>
            </w:r>
          </w:p>
          <w:p w14:paraId="6C4A6BA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1003151900000</w:t>
            </w:r>
          </w:p>
          <w:p w14:paraId="7E0FCB3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1003152600000</w:t>
            </w:r>
          </w:p>
          <w:p w14:paraId="3EF4D59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1010032617000</w:t>
            </w:r>
          </w:p>
          <w:p w14:paraId="51B2505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1003152800000</w:t>
            </w:r>
          </w:p>
          <w:p w14:paraId="40C07DE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1003261700000</w:t>
            </w:r>
          </w:p>
          <w:p w14:paraId="33AA190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1003265300000</w:t>
            </w:r>
          </w:p>
          <w:p w14:paraId="1F8DDCE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1003310900000</w:t>
            </w:r>
          </w:p>
          <w:p w14:paraId="20617EB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1003315900000</w:t>
            </w:r>
          </w:p>
          <w:p w14:paraId="5745F2D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1003331500000</w:t>
            </w:r>
          </w:p>
          <w:p w14:paraId="3180FD5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1003335700000</w:t>
            </w:r>
          </w:p>
          <w:p w14:paraId="3C83BC0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1003337500000</w:t>
            </w:r>
          </w:p>
          <w:p w14:paraId="24D17F6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1003368900000</w:t>
            </w:r>
          </w:p>
        </w:tc>
      </w:tr>
      <w:tr w:rsidR="001A59FA" w:rsidRPr="00411A73" w14:paraId="3B97F278"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0426AD6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01.559.046/0055-09</w:t>
            </w:r>
          </w:p>
        </w:tc>
        <w:tc>
          <w:tcPr>
            <w:tcW w:w="4536" w:type="dxa"/>
            <w:tcBorders>
              <w:top w:val="single" w:sz="4" w:space="0" w:color="auto"/>
              <w:left w:val="nil"/>
              <w:bottom w:val="single" w:sz="4" w:space="0" w:color="auto"/>
              <w:right w:val="single" w:sz="4" w:space="0" w:color="000000"/>
            </w:tcBorders>
            <w:shd w:val="clear" w:color="auto" w:fill="auto"/>
            <w:noWrap/>
            <w:hideMark/>
          </w:tcPr>
          <w:p w14:paraId="5AD7D7F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Irmãos Soares S/A - Em recuperação judicial</w:t>
            </w:r>
          </w:p>
        </w:tc>
        <w:tc>
          <w:tcPr>
            <w:tcW w:w="2693" w:type="dxa"/>
            <w:tcBorders>
              <w:top w:val="nil"/>
              <w:left w:val="nil"/>
              <w:bottom w:val="single" w:sz="4" w:space="0" w:color="auto"/>
              <w:right w:val="single" w:sz="4" w:space="0" w:color="auto"/>
            </w:tcBorders>
            <w:shd w:val="clear" w:color="auto" w:fill="auto"/>
            <w:noWrap/>
            <w:vAlign w:val="bottom"/>
            <w:hideMark/>
          </w:tcPr>
          <w:p w14:paraId="2584B609"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 processos</w:t>
            </w:r>
          </w:p>
          <w:p w14:paraId="6F483D8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4011202799520</w:t>
            </w:r>
          </w:p>
          <w:p w14:paraId="416E329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1003248400000</w:t>
            </w:r>
          </w:p>
        </w:tc>
      </w:tr>
      <w:tr w:rsidR="001A59FA" w:rsidRPr="00411A73" w14:paraId="49CEA309"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4F3DCC1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01.637.895/0192-32</w:t>
            </w:r>
          </w:p>
        </w:tc>
        <w:tc>
          <w:tcPr>
            <w:tcW w:w="4536" w:type="dxa"/>
            <w:tcBorders>
              <w:top w:val="single" w:sz="4" w:space="0" w:color="auto"/>
              <w:left w:val="nil"/>
              <w:bottom w:val="single" w:sz="4" w:space="0" w:color="auto"/>
              <w:right w:val="single" w:sz="4" w:space="0" w:color="000000"/>
            </w:tcBorders>
            <w:shd w:val="clear" w:color="auto" w:fill="auto"/>
            <w:noWrap/>
            <w:hideMark/>
          </w:tcPr>
          <w:p w14:paraId="10CBA12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Votorantim Cimentos S.A</w:t>
            </w:r>
          </w:p>
        </w:tc>
        <w:tc>
          <w:tcPr>
            <w:tcW w:w="2693" w:type="dxa"/>
            <w:tcBorders>
              <w:top w:val="nil"/>
              <w:left w:val="nil"/>
              <w:bottom w:val="single" w:sz="4" w:space="0" w:color="auto"/>
              <w:right w:val="single" w:sz="4" w:space="0" w:color="auto"/>
            </w:tcBorders>
            <w:shd w:val="clear" w:color="auto" w:fill="auto"/>
            <w:noWrap/>
            <w:vAlign w:val="center"/>
            <w:hideMark/>
          </w:tcPr>
          <w:p w14:paraId="6EF1B58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4011202799520</w:t>
            </w:r>
          </w:p>
        </w:tc>
      </w:tr>
      <w:tr w:rsidR="001A59FA" w:rsidRPr="00411A73" w14:paraId="77399AB7"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17516EC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01.838.723/0172-83</w:t>
            </w:r>
          </w:p>
        </w:tc>
        <w:tc>
          <w:tcPr>
            <w:tcW w:w="4536" w:type="dxa"/>
            <w:tcBorders>
              <w:top w:val="single" w:sz="4" w:space="0" w:color="auto"/>
              <w:left w:val="nil"/>
              <w:bottom w:val="single" w:sz="4" w:space="0" w:color="auto"/>
              <w:right w:val="single" w:sz="4" w:space="0" w:color="000000"/>
            </w:tcBorders>
            <w:shd w:val="clear" w:color="auto" w:fill="auto"/>
            <w:noWrap/>
            <w:hideMark/>
          </w:tcPr>
          <w:p w14:paraId="2A12BDD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BRF S.A.</w:t>
            </w:r>
          </w:p>
        </w:tc>
        <w:tc>
          <w:tcPr>
            <w:tcW w:w="2693" w:type="dxa"/>
            <w:tcBorders>
              <w:top w:val="nil"/>
              <w:left w:val="nil"/>
              <w:bottom w:val="single" w:sz="4" w:space="0" w:color="auto"/>
              <w:right w:val="single" w:sz="4" w:space="0" w:color="auto"/>
            </w:tcBorders>
            <w:shd w:val="clear" w:color="auto" w:fill="auto"/>
            <w:noWrap/>
            <w:vAlign w:val="center"/>
            <w:hideMark/>
          </w:tcPr>
          <w:p w14:paraId="2C092E1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3029179398550</w:t>
            </w:r>
          </w:p>
        </w:tc>
      </w:tr>
      <w:tr w:rsidR="001A59FA" w:rsidRPr="00411A73" w14:paraId="0971B0B4"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77F15C6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01.851.716/0001-65</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173F53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Cipa Industrial De Produtos Alimentares Ltda.</w:t>
            </w:r>
          </w:p>
        </w:tc>
        <w:tc>
          <w:tcPr>
            <w:tcW w:w="2693" w:type="dxa"/>
            <w:tcBorders>
              <w:top w:val="nil"/>
              <w:left w:val="nil"/>
              <w:bottom w:val="single" w:sz="4" w:space="0" w:color="auto"/>
              <w:right w:val="single" w:sz="4" w:space="0" w:color="auto"/>
            </w:tcBorders>
            <w:shd w:val="clear" w:color="auto" w:fill="auto"/>
            <w:noWrap/>
            <w:vAlign w:val="center"/>
            <w:hideMark/>
          </w:tcPr>
          <w:p w14:paraId="58928E8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3029280789097</w:t>
            </w:r>
          </w:p>
        </w:tc>
      </w:tr>
      <w:tr w:rsidR="001A59FA" w:rsidRPr="00411A73" w14:paraId="133189A5"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69948D0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02.003.402/0090-40</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2F43D9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Adm do Brasil Ltda.</w:t>
            </w:r>
          </w:p>
        </w:tc>
        <w:tc>
          <w:tcPr>
            <w:tcW w:w="2693" w:type="dxa"/>
            <w:tcBorders>
              <w:top w:val="nil"/>
              <w:left w:val="nil"/>
              <w:bottom w:val="single" w:sz="4" w:space="0" w:color="auto"/>
              <w:right w:val="single" w:sz="4" w:space="0" w:color="auto"/>
            </w:tcBorders>
            <w:shd w:val="clear" w:color="auto" w:fill="auto"/>
            <w:noWrap/>
            <w:vAlign w:val="bottom"/>
            <w:hideMark/>
          </w:tcPr>
          <w:p w14:paraId="6EEC563F"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 processos</w:t>
            </w:r>
          </w:p>
          <w:p w14:paraId="7BB5A12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3017658760077</w:t>
            </w:r>
          </w:p>
          <w:p w14:paraId="01F4461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3018396409015</w:t>
            </w:r>
          </w:p>
        </w:tc>
      </w:tr>
      <w:tr w:rsidR="001A59FA" w:rsidRPr="00411A73" w14:paraId="6D4CB952"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6E7A35A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02.382.105/0002-69</w:t>
            </w:r>
          </w:p>
        </w:tc>
        <w:tc>
          <w:tcPr>
            <w:tcW w:w="4536" w:type="dxa"/>
            <w:tcBorders>
              <w:top w:val="single" w:sz="4" w:space="0" w:color="auto"/>
              <w:left w:val="nil"/>
              <w:bottom w:val="single" w:sz="4" w:space="0" w:color="auto"/>
              <w:right w:val="single" w:sz="4" w:space="0" w:color="000000"/>
            </w:tcBorders>
            <w:shd w:val="clear" w:color="auto" w:fill="auto"/>
            <w:noWrap/>
            <w:hideMark/>
          </w:tcPr>
          <w:p w14:paraId="6168B5F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Transportes Fitebaldi Ltda.</w:t>
            </w:r>
          </w:p>
        </w:tc>
        <w:tc>
          <w:tcPr>
            <w:tcW w:w="2693" w:type="dxa"/>
            <w:tcBorders>
              <w:top w:val="nil"/>
              <w:left w:val="nil"/>
              <w:bottom w:val="single" w:sz="4" w:space="0" w:color="auto"/>
              <w:right w:val="single" w:sz="4" w:space="0" w:color="auto"/>
            </w:tcBorders>
            <w:shd w:val="clear" w:color="auto" w:fill="auto"/>
            <w:noWrap/>
            <w:vAlign w:val="bottom"/>
            <w:hideMark/>
          </w:tcPr>
          <w:p w14:paraId="091A637C"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 processos</w:t>
            </w:r>
          </w:p>
          <w:p w14:paraId="546744D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4011901282607</w:t>
            </w:r>
          </w:p>
          <w:p w14:paraId="18C8E02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4011901867320</w:t>
            </w:r>
          </w:p>
        </w:tc>
      </w:tr>
      <w:tr w:rsidR="001A59FA" w:rsidRPr="00411A73" w14:paraId="33B66615" w14:textId="77777777" w:rsidTr="00411A73">
        <w:trPr>
          <w:trHeight w:val="900"/>
        </w:trPr>
        <w:tc>
          <w:tcPr>
            <w:tcW w:w="2405" w:type="dxa"/>
            <w:tcBorders>
              <w:top w:val="nil"/>
              <w:left w:val="single" w:sz="4" w:space="0" w:color="auto"/>
              <w:bottom w:val="single" w:sz="4" w:space="0" w:color="auto"/>
              <w:right w:val="single" w:sz="4" w:space="0" w:color="auto"/>
            </w:tcBorders>
            <w:shd w:val="clear" w:color="auto" w:fill="auto"/>
            <w:noWrap/>
            <w:hideMark/>
          </w:tcPr>
          <w:p w14:paraId="336E679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02.780.550/0001-04</w:t>
            </w:r>
          </w:p>
        </w:tc>
        <w:tc>
          <w:tcPr>
            <w:tcW w:w="4536" w:type="dxa"/>
            <w:tcBorders>
              <w:top w:val="single" w:sz="4" w:space="0" w:color="auto"/>
              <w:left w:val="nil"/>
              <w:bottom w:val="single" w:sz="4" w:space="0" w:color="auto"/>
              <w:right w:val="single" w:sz="4" w:space="0" w:color="000000"/>
            </w:tcBorders>
            <w:shd w:val="clear" w:color="auto" w:fill="auto"/>
            <w:noWrap/>
            <w:hideMark/>
          </w:tcPr>
          <w:p w14:paraId="2D89D05F" w14:textId="5DD3AC2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Moinho de Trigo Centro Oeste Eireli</w:t>
            </w:r>
          </w:p>
        </w:tc>
        <w:tc>
          <w:tcPr>
            <w:tcW w:w="2693" w:type="dxa"/>
            <w:tcBorders>
              <w:top w:val="nil"/>
              <w:left w:val="nil"/>
              <w:bottom w:val="single" w:sz="4" w:space="0" w:color="auto"/>
              <w:right w:val="single" w:sz="4" w:space="0" w:color="auto"/>
            </w:tcBorders>
            <w:shd w:val="clear" w:color="auto" w:fill="auto"/>
            <w:vAlign w:val="bottom"/>
            <w:hideMark/>
          </w:tcPr>
          <w:p w14:paraId="1B0B9A4A"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8 processos</w:t>
            </w:r>
          </w:p>
          <w:p w14:paraId="272AD13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4011203691455</w:t>
            </w:r>
          </w:p>
          <w:p w14:paraId="30A8032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4011300710337</w:t>
            </w:r>
          </w:p>
          <w:p w14:paraId="388D5AB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2061639400046</w:t>
            </w:r>
          </w:p>
          <w:p w14:paraId="21DDE1C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4011303248022</w:t>
            </w:r>
          </w:p>
          <w:p w14:paraId="582AFA6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2096499200034</w:t>
            </w:r>
          </w:p>
          <w:p w14:paraId="03D48E2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4011502255401</w:t>
            </w:r>
          </w:p>
          <w:p w14:paraId="0C5ED82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2118714700029</w:t>
            </w:r>
          </w:p>
          <w:p w14:paraId="2D97CD9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2145065500048</w:t>
            </w:r>
          </w:p>
        </w:tc>
      </w:tr>
      <w:tr w:rsidR="001A59FA" w:rsidRPr="00411A73" w14:paraId="15F62807"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7776F9C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02.808.708/0041-96</w:t>
            </w:r>
          </w:p>
          <w:p w14:paraId="2A58884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02.808.708/0043-58</w:t>
            </w:r>
          </w:p>
          <w:p w14:paraId="2170EEE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07.526.557/0009-67</w:t>
            </w:r>
          </w:p>
          <w:p w14:paraId="048AB97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07.526.557/0010-09</w:t>
            </w:r>
          </w:p>
        </w:tc>
        <w:tc>
          <w:tcPr>
            <w:tcW w:w="4536" w:type="dxa"/>
            <w:tcBorders>
              <w:top w:val="single" w:sz="4" w:space="0" w:color="auto"/>
              <w:left w:val="nil"/>
              <w:bottom w:val="single" w:sz="4" w:space="0" w:color="auto"/>
              <w:right w:val="single" w:sz="4" w:space="0" w:color="000000"/>
            </w:tcBorders>
            <w:shd w:val="clear" w:color="auto" w:fill="auto"/>
            <w:noWrap/>
            <w:hideMark/>
          </w:tcPr>
          <w:p w14:paraId="58FABD8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Companhia de Bebidas das Américas - Ambev</w:t>
            </w:r>
          </w:p>
        </w:tc>
        <w:tc>
          <w:tcPr>
            <w:tcW w:w="2693" w:type="dxa"/>
            <w:tcBorders>
              <w:top w:val="nil"/>
              <w:left w:val="nil"/>
              <w:bottom w:val="single" w:sz="4" w:space="0" w:color="auto"/>
              <w:right w:val="single" w:sz="4" w:space="0" w:color="auto"/>
            </w:tcBorders>
            <w:shd w:val="clear" w:color="auto" w:fill="auto"/>
            <w:noWrap/>
            <w:vAlign w:val="bottom"/>
            <w:hideMark/>
          </w:tcPr>
          <w:p w14:paraId="264520E9"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5 processos</w:t>
            </w:r>
          </w:p>
          <w:p w14:paraId="450C47B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4010904215511</w:t>
            </w:r>
          </w:p>
          <w:p w14:paraId="0327EC6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4011101743685</w:t>
            </w:r>
          </w:p>
          <w:p w14:paraId="2DA4283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4011103313904</w:t>
            </w:r>
          </w:p>
          <w:p w14:paraId="0DA7C42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4010904987670</w:t>
            </w:r>
          </w:p>
          <w:p w14:paraId="781D453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4011500766930</w:t>
            </w:r>
          </w:p>
        </w:tc>
      </w:tr>
      <w:tr w:rsidR="001A59FA" w:rsidRPr="00411A73" w14:paraId="658375BD"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1F6A598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02.877.500/0002-12</w:t>
            </w:r>
          </w:p>
        </w:tc>
        <w:tc>
          <w:tcPr>
            <w:tcW w:w="4536" w:type="dxa"/>
            <w:tcBorders>
              <w:top w:val="single" w:sz="4" w:space="0" w:color="auto"/>
              <w:left w:val="nil"/>
              <w:bottom w:val="single" w:sz="4" w:space="0" w:color="auto"/>
              <w:right w:val="single" w:sz="4" w:space="0" w:color="000000"/>
            </w:tcBorders>
            <w:shd w:val="clear" w:color="auto" w:fill="auto"/>
            <w:noWrap/>
            <w:hideMark/>
          </w:tcPr>
          <w:p w14:paraId="4DFA5B3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Alpes Industria E Comercio de Plásticos Eireli</w:t>
            </w:r>
          </w:p>
        </w:tc>
        <w:tc>
          <w:tcPr>
            <w:tcW w:w="2693" w:type="dxa"/>
            <w:tcBorders>
              <w:top w:val="nil"/>
              <w:left w:val="nil"/>
              <w:bottom w:val="single" w:sz="4" w:space="0" w:color="auto"/>
              <w:right w:val="single" w:sz="4" w:space="0" w:color="auto"/>
            </w:tcBorders>
            <w:shd w:val="clear" w:color="auto" w:fill="auto"/>
            <w:noWrap/>
            <w:vAlign w:val="bottom"/>
            <w:hideMark/>
          </w:tcPr>
          <w:p w14:paraId="188A9438"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 processos</w:t>
            </w:r>
          </w:p>
          <w:p w14:paraId="1764DB2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4011502565605</w:t>
            </w:r>
          </w:p>
          <w:p w14:paraId="1337FA2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4011502570439</w:t>
            </w:r>
          </w:p>
        </w:tc>
      </w:tr>
      <w:tr w:rsidR="001A59FA" w:rsidRPr="00411A73" w14:paraId="4524B57D" w14:textId="77777777" w:rsidTr="00411A73">
        <w:trPr>
          <w:trHeight w:val="2400"/>
        </w:trPr>
        <w:tc>
          <w:tcPr>
            <w:tcW w:w="2405" w:type="dxa"/>
            <w:tcBorders>
              <w:top w:val="nil"/>
              <w:left w:val="single" w:sz="4" w:space="0" w:color="auto"/>
              <w:bottom w:val="single" w:sz="4" w:space="0" w:color="auto"/>
              <w:right w:val="single" w:sz="4" w:space="0" w:color="auto"/>
            </w:tcBorders>
            <w:shd w:val="clear" w:color="auto" w:fill="auto"/>
            <w:noWrap/>
            <w:hideMark/>
          </w:tcPr>
          <w:p w14:paraId="7F48C4E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02.896.264/0001-09</w:t>
            </w:r>
          </w:p>
        </w:tc>
        <w:tc>
          <w:tcPr>
            <w:tcW w:w="4536" w:type="dxa"/>
            <w:tcBorders>
              <w:top w:val="single" w:sz="4" w:space="0" w:color="auto"/>
              <w:left w:val="nil"/>
              <w:bottom w:val="single" w:sz="4" w:space="0" w:color="auto"/>
              <w:right w:val="single" w:sz="4" w:space="0" w:color="000000"/>
            </w:tcBorders>
            <w:shd w:val="clear" w:color="auto" w:fill="auto"/>
            <w:noWrap/>
            <w:hideMark/>
          </w:tcPr>
          <w:p w14:paraId="25B5B0D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Centroalcool S/A (Em Recuperação Judicial)</w:t>
            </w:r>
          </w:p>
        </w:tc>
        <w:tc>
          <w:tcPr>
            <w:tcW w:w="2693" w:type="dxa"/>
            <w:tcBorders>
              <w:top w:val="nil"/>
              <w:left w:val="nil"/>
              <w:bottom w:val="single" w:sz="4" w:space="0" w:color="auto"/>
              <w:right w:val="single" w:sz="4" w:space="0" w:color="auto"/>
            </w:tcBorders>
            <w:shd w:val="clear" w:color="auto" w:fill="auto"/>
            <w:vAlign w:val="bottom"/>
            <w:hideMark/>
          </w:tcPr>
          <w:p w14:paraId="464D5469"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29 processos</w:t>
            </w:r>
          </w:p>
          <w:p w14:paraId="1FAC1E1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3025781318914</w:t>
            </w:r>
          </w:p>
          <w:p w14:paraId="290BC31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3030890887428</w:t>
            </w:r>
          </w:p>
          <w:p w14:paraId="4348BFB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3034268902039</w:t>
            </w:r>
          </w:p>
          <w:p w14:paraId="58EFD8A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3035092907872</w:t>
            </w:r>
          </w:p>
          <w:p w14:paraId="04582EB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4011003991706</w:t>
            </w:r>
          </w:p>
          <w:p w14:paraId="4605732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4011002795822</w:t>
            </w:r>
          </w:p>
          <w:p w14:paraId="5A1F9A5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3035083820034</w:t>
            </w:r>
          </w:p>
          <w:p w14:paraId="097139D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4011102450606</w:t>
            </w:r>
          </w:p>
          <w:p w14:paraId="57C51AC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4011103491250</w:t>
            </w:r>
          </w:p>
          <w:p w14:paraId="3FA192D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4011104265024</w:t>
            </w:r>
          </w:p>
          <w:p w14:paraId="348C468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4011102283017</w:t>
            </w:r>
          </w:p>
          <w:p w14:paraId="047AC13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4011104329103</w:t>
            </w:r>
          </w:p>
          <w:p w14:paraId="74537E2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4011104804502</w:t>
            </w:r>
          </w:p>
          <w:p w14:paraId="421C4F5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4011104809067</w:t>
            </w:r>
          </w:p>
          <w:p w14:paraId="531D02C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4011200519864</w:t>
            </w:r>
          </w:p>
          <w:p w14:paraId="1B00EA1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3034618900676</w:t>
            </w:r>
          </w:p>
          <w:p w14:paraId="0D20F44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4010800768271</w:t>
            </w:r>
          </w:p>
          <w:p w14:paraId="4448410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4011004212301</w:t>
            </w:r>
          </w:p>
          <w:p w14:paraId="22F37F5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4010800793896</w:t>
            </w:r>
          </w:p>
          <w:p w14:paraId="7268DF4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4011004209785</w:t>
            </w:r>
          </w:p>
          <w:p w14:paraId="3C49B8B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3025410503594</w:t>
            </w:r>
          </w:p>
          <w:p w14:paraId="734071A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3034247401685</w:t>
            </w:r>
          </w:p>
          <w:p w14:paraId="0A5471A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3028377735660</w:t>
            </w:r>
          </w:p>
          <w:p w14:paraId="6498DBD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4011200675726</w:t>
            </w:r>
          </w:p>
          <w:p w14:paraId="5736046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3033045901794</w:t>
            </w:r>
          </w:p>
          <w:p w14:paraId="4E5463B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4011102656735</w:t>
            </w:r>
          </w:p>
          <w:p w14:paraId="16837F4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3034201592585</w:t>
            </w:r>
          </w:p>
          <w:p w14:paraId="4DB6F8B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3032563408663</w:t>
            </w:r>
          </w:p>
          <w:p w14:paraId="7F71A06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4011301183586</w:t>
            </w:r>
          </w:p>
        </w:tc>
      </w:tr>
      <w:tr w:rsidR="001A59FA" w:rsidRPr="00411A73" w14:paraId="078BD91D" w14:textId="77777777" w:rsidTr="00411A73">
        <w:trPr>
          <w:trHeight w:val="1500"/>
        </w:trPr>
        <w:tc>
          <w:tcPr>
            <w:tcW w:w="2405" w:type="dxa"/>
            <w:tcBorders>
              <w:top w:val="nil"/>
              <w:left w:val="single" w:sz="4" w:space="0" w:color="auto"/>
              <w:bottom w:val="single" w:sz="4" w:space="0" w:color="auto"/>
              <w:right w:val="single" w:sz="4" w:space="0" w:color="auto"/>
            </w:tcBorders>
            <w:shd w:val="clear" w:color="auto" w:fill="auto"/>
            <w:noWrap/>
            <w:hideMark/>
          </w:tcPr>
          <w:p w14:paraId="2C535D4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02.909.703/0001-62</w:t>
            </w:r>
          </w:p>
        </w:tc>
        <w:tc>
          <w:tcPr>
            <w:tcW w:w="4536" w:type="dxa"/>
            <w:tcBorders>
              <w:top w:val="single" w:sz="4" w:space="0" w:color="auto"/>
              <w:left w:val="nil"/>
              <w:bottom w:val="single" w:sz="4" w:space="0" w:color="auto"/>
              <w:right w:val="single" w:sz="4" w:space="0" w:color="000000"/>
            </w:tcBorders>
            <w:shd w:val="clear" w:color="auto" w:fill="auto"/>
            <w:noWrap/>
            <w:hideMark/>
          </w:tcPr>
          <w:p w14:paraId="152EDAC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Lajes Santa Ines Engenharia Industria e Comercio</w:t>
            </w:r>
          </w:p>
        </w:tc>
        <w:tc>
          <w:tcPr>
            <w:tcW w:w="2693" w:type="dxa"/>
            <w:tcBorders>
              <w:top w:val="nil"/>
              <w:left w:val="nil"/>
              <w:bottom w:val="single" w:sz="4" w:space="0" w:color="auto"/>
              <w:right w:val="single" w:sz="4" w:space="0" w:color="auto"/>
            </w:tcBorders>
            <w:shd w:val="clear" w:color="auto" w:fill="auto"/>
            <w:vAlign w:val="bottom"/>
            <w:hideMark/>
          </w:tcPr>
          <w:p w14:paraId="418B66D9"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17 processos</w:t>
            </w:r>
          </w:p>
          <w:p w14:paraId="1BF55DE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4011600222940</w:t>
            </w:r>
          </w:p>
          <w:p w14:paraId="2F208DA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4011603482462</w:t>
            </w:r>
          </w:p>
          <w:p w14:paraId="0EE65F7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2118561200041</w:t>
            </w:r>
          </w:p>
          <w:p w14:paraId="36E9030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4011701792008</w:t>
            </w:r>
          </w:p>
          <w:p w14:paraId="24257F6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2139024700056</w:t>
            </w:r>
          </w:p>
          <w:p w14:paraId="4D9663A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2139468600038</w:t>
            </w:r>
          </w:p>
          <w:p w14:paraId="1D7A869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2141307700032</w:t>
            </w:r>
          </w:p>
          <w:p w14:paraId="008B19A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2141790000070</w:t>
            </w:r>
          </w:p>
          <w:p w14:paraId="7364666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2143597400092</w:t>
            </w:r>
          </w:p>
          <w:p w14:paraId="6DBA2B0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2144091300044</w:t>
            </w:r>
          </w:p>
          <w:p w14:paraId="1A10AEC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2144306800003</w:t>
            </w:r>
          </w:p>
          <w:p w14:paraId="0D0E44B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4011900594397</w:t>
            </w:r>
          </w:p>
          <w:p w14:paraId="776FD9D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2145024700069</w:t>
            </w:r>
          </w:p>
          <w:p w14:paraId="19048BA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2145308400094</w:t>
            </w:r>
          </w:p>
          <w:p w14:paraId="5E6F812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2145902500039</w:t>
            </w:r>
          </w:p>
          <w:p w14:paraId="76BB9BE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2146014100016</w:t>
            </w:r>
          </w:p>
          <w:p w14:paraId="1659A14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4011502840088</w:t>
            </w:r>
          </w:p>
        </w:tc>
      </w:tr>
      <w:tr w:rsidR="001A59FA" w:rsidRPr="00411A73" w14:paraId="5ACE5011" w14:textId="77777777" w:rsidTr="00411A73">
        <w:trPr>
          <w:trHeight w:val="600"/>
        </w:trPr>
        <w:tc>
          <w:tcPr>
            <w:tcW w:w="2405" w:type="dxa"/>
            <w:tcBorders>
              <w:top w:val="nil"/>
              <w:left w:val="single" w:sz="4" w:space="0" w:color="auto"/>
              <w:bottom w:val="single" w:sz="4" w:space="0" w:color="auto"/>
              <w:right w:val="single" w:sz="4" w:space="0" w:color="auto"/>
            </w:tcBorders>
            <w:shd w:val="clear" w:color="auto" w:fill="auto"/>
            <w:noWrap/>
            <w:hideMark/>
          </w:tcPr>
          <w:p w14:paraId="1B14DE3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04.186.909/0001-37</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A9EA68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Carrocerias Flach e Furgoes Eireli</w:t>
            </w:r>
          </w:p>
        </w:tc>
        <w:tc>
          <w:tcPr>
            <w:tcW w:w="2693" w:type="dxa"/>
            <w:tcBorders>
              <w:top w:val="nil"/>
              <w:left w:val="nil"/>
              <w:bottom w:val="single" w:sz="4" w:space="0" w:color="auto"/>
              <w:right w:val="single" w:sz="4" w:space="0" w:color="auto"/>
            </w:tcBorders>
            <w:shd w:val="clear" w:color="auto" w:fill="auto"/>
            <w:vAlign w:val="bottom"/>
            <w:hideMark/>
          </w:tcPr>
          <w:p w14:paraId="03682147"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8 processos</w:t>
            </w:r>
          </w:p>
          <w:p w14:paraId="4CD1612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4011602979940</w:t>
            </w:r>
          </w:p>
          <w:p w14:paraId="1789167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4011700900044</w:t>
            </w:r>
          </w:p>
          <w:p w14:paraId="0130CD3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2118589200089</w:t>
            </w:r>
          </w:p>
          <w:p w14:paraId="483EABD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4011701252909</w:t>
            </w:r>
          </w:p>
          <w:p w14:paraId="2752918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4011701724932</w:t>
            </w:r>
          </w:p>
          <w:p w14:paraId="25A4A44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2139041000008</w:t>
            </w:r>
          </w:p>
          <w:p w14:paraId="383E39C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2139492700020</w:t>
            </w:r>
          </w:p>
          <w:p w14:paraId="463ADA1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2005775511198</w:t>
            </w:r>
          </w:p>
        </w:tc>
      </w:tr>
      <w:tr w:rsidR="001A59FA" w:rsidRPr="00411A73" w14:paraId="04F2E414"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37E28B9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04.413.369/0001-87</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91223E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Paulopel Industria E Comercio De Papeis Ltda.</w:t>
            </w:r>
          </w:p>
        </w:tc>
        <w:tc>
          <w:tcPr>
            <w:tcW w:w="2693" w:type="dxa"/>
            <w:tcBorders>
              <w:top w:val="nil"/>
              <w:left w:val="nil"/>
              <w:bottom w:val="single" w:sz="4" w:space="0" w:color="auto"/>
              <w:right w:val="single" w:sz="4" w:space="0" w:color="auto"/>
            </w:tcBorders>
            <w:shd w:val="clear" w:color="auto" w:fill="auto"/>
            <w:vAlign w:val="center"/>
            <w:hideMark/>
          </w:tcPr>
          <w:p w14:paraId="17F74A8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2118643800018</w:t>
            </w:r>
          </w:p>
        </w:tc>
      </w:tr>
      <w:tr w:rsidR="001A59FA" w:rsidRPr="00411A73" w14:paraId="682058D8" w14:textId="77777777" w:rsidTr="00411A73">
        <w:trPr>
          <w:trHeight w:val="600"/>
        </w:trPr>
        <w:tc>
          <w:tcPr>
            <w:tcW w:w="2405" w:type="dxa"/>
            <w:tcBorders>
              <w:top w:val="nil"/>
              <w:left w:val="single" w:sz="4" w:space="0" w:color="auto"/>
              <w:bottom w:val="single" w:sz="4" w:space="0" w:color="auto"/>
              <w:right w:val="single" w:sz="4" w:space="0" w:color="auto"/>
            </w:tcBorders>
            <w:shd w:val="clear" w:color="auto" w:fill="auto"/>
            <w:noWrap/>
            <w:hideMark/>
          </w:tcPr>
          <w:p w14:paraId="75248E3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04.764.558/0004-47</w:t>
            </w:r>
          </w:p>
        </w:tc>
        <w:tc>
          <w:tcPr>
            <w:tcW w:w="4536" w:type="dxa"/>
            <w:tcBorders>
              <w:top w:val="single" w:sz="4" w:space="0" w:color="auto"/>
              <w:left w:val="nil"/>
              <w:bottom w:val="single" w:sz="4" w:space="0" w:color="auto"/>
              <w:right w:val="single" w:sz="4" w:space="0" w:color="000000"/>
            </w:tcBorders>
            <w:shd w:val="clear" w:color="auto" w:fill="auto"/>
            <w:noWrap/>
            <w:hideMark/>
          </w:tcPr>
          <w:p w14:paraId="16716BC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Transportadora Especialista Ltda.</w:t>
            </w:r>
          </w:p>
        </w:tc>
        <w:tc>
          <w:tcPr>
            <w:tcW w:w="2693" w:type="dxa"/>
            <w:tcBorders>
              <w:top w:val="nil"/>
              <w:left w:val="nil"/>
              <w:bottom w:val="single" w:sz="4" w:space="0" w:color="auto"/>
              <w:right w:val="single" w:sz="4" w:space="0" w:color="auto"/>
            </w:tcBorders>
            <w:shd w:val="clear" w:color="auto" w:fill="auto"/>
            <w:vAlign w:val="bottom"/>
            <w:hideMark/>
          </w:tcPr>
          <w:p w14:paraId="183FFB46"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7 processos</w:t>
            </w:r>
          </w:p>
          <w:p w14:paraId="6997615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4011503615509</w:t>
            </w:r>
          </w:p>
          <w:p w14:paraId="6F7DB67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2141700400065</w:t>
            </w:r>
          </w:p>
          <w:p w14:paraId="44CEFDF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4011803043845</w:t>
            </w:r>
          </w:p>
          <w:p w14:paraId="53F14EF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4011900461249</w:t>
            </w:r>
          </w:p>
          <w:p w14:paraId="6B6FEF1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4011900980602</w:t>
            </w:r>
          </w:p>
          <w:p w14:paraId="4035160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4011901192101</w:t>
            </w:r>
          </w:p>
          <w:p w14:paraId="4F9A28E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4011901281988</w:t>
            </w:r>
          </w:p>
        </w:tc>
      </w:tr>
      <w:tr w:rsidR="001A59FA" w:rsidRPr="00411A73" w14:paraId="68F8EA36" w14:textId="77777777" w:rsidTr="00411A73">
        <w:trPr>
          <w:trHeight w:val="900"/>
        </w:trPr>
        <w:tc>
          <w:tcPr>
            <w:tcW w:w="2405" w:type="dxa"/>
            <w:tcBorders>
              <w:top w:val="nil"/>
              <w:left w:val="single" w:sz="4" w:space="0" w:color="auto"/>
              <w:bottom w:val="single" w:sz="4" w:space="0" w:color="auto"/>
              <w:right w:val="single" w:sz="4" w:space="0" w:color="auto"/>
            </w:tcBorders>
            <w:shd w:val="clear" w:color="auto" w:fill="auto"/>
            <w:noWrap/>
            <w:hideMark/>
          </w:tcPr>
          <w:p w14:paraId="3BFD4D6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05.153.990/0001-11</w:t>
            </w:r>
          </w:p>
        </w:tc>
        <w:tc>
          <w:tcPr>
            <w:tcW w:w="4536" w:type="dxa"/>
            <w:tcBorders>
              <w:top w:val="single" w:sz="4" w:space="0" w:color="auto"/>
              <w:left w:val="nil"/>
              <w:bottom w:val="single" w:sz="4" w:space="0" w:color="auto"/>
              <w:right w:val="single" w:sz="4" w:space="0" w:color="000000"/>
            </w:tcBorders>
            <w:shd w:val="clear" w:color="auto" w:fill="auto"/>
            <w:noWrap/>
            <w:hideMark/>
          </w:tcPr>
          <w:p w14:paraId="7F8E663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Idealfarma Industria E Comercio De Produtos Farmac.</w:t>
            </w:r>
          </w:p>
        </w:tc>
        <w:tc>
          <w:tcPr>
            <w:tcW w:w="2693" w:type="dxa"/>
            <w:tcBorders>
              <w:top w:val="nil"/>
              <w:left w:val="nil"/>
              <w:bottom w:val="single" w:sz="4" w:space="0" w:color="auto"/>
              <w:right w:val="single" w:sz="4" w:space="0" w:color="auto"/>
            </w:tcBorders>
            <w:shd w:val="clear" w:color="auto" w:fill="auto"/>
            <w:vAlign w:val="bottom"/>
            <w:hideMark/>
          </w:tcPr>
          <w:p w14:paraId="14F34B7B"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10 processos</w:t>
            </w:r>
          </w:p>
          <w:p w14:paraId="54A373E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2061320000004</w:t>
            </w:r>
          </w:p>
          <w:p w14:paraId="1DA1D33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4011104073540</w:t>
            </w:r>
          </w:p>
          <w:p w14:paraId="643183B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4011801215061</w:t>
            </w:r>
          </w:p>
          <w:p w14:paraId="5A977C1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4011801785089</w:t>
            </w:r>
          </w:p>
          <w:p w14:paraId="0080726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4011802539090</w:t>
            </w:r>
          </w:p>
          <w:p w14:paraId="5AB25A9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2144118300007</w:t>
            </w:r>
          </w:p>
          <w:p w14:paraId="07497BD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2144335500004</w:t>
            </w:r>
          </w:p>
          <w:p w14:paraId="2921B70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2145335300003</w:t>
            </w:r>
          </w:p>
          <w:p w14:paraId="0D76ACE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2145921500065</w:t>
            </w:r>
          </w:p>
          <w:p w14:paraId="1CD315D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2146034900026</w:t>
            </w:r>
          </w:p>
        </w:tc>
      </w:tr>
      <w:tr w:rsidR="001A59FA" w:rsidRPr="00411A73" w14:paraId="20501C21"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303DFA0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05.300.340/0003-13</w:t>
            </w:r>
          </w:p>
        </w:tc>
        <w:tc>
          <w:tcPr>
            <w:tcW w:w="4536" w:type="dxa"/>
            <w:tcBorders>
              <w:top w:val="single" w:sz="4" w:space="0" w:color="auto"/>
              <w:left w:val="nil"/>
              <w:bottom w:val="single" w:sz="4" w:space="0" w:color="auto"/>
              <w:right w:val="single" w:sz="4" w:space="0" w:color="000000"/>
            </w:tcBorders>
            <w:shd w:val="clear" w:color="auto" w:fill="auto"/>
            <w:noWrap/>
            <w:hideMark/>
          </w:tcPr>
          <w:p w14:paraId="54AE95CB" w14:textId="77777777" w:rsidR="001A59FA" w:rsidRPr="00411A73" w:rsidRDefault="001A59FA" w:rsidP="003A2A93">
            <w:pPr>
              <w:jc w:val="center"/>
              <w:rPr>
                <w:rFonts w:asciiTheme="minorHAnsi" w:hAnsiTheme="minorHAnsi" w:cstheme="minorHAnsi"/>
                <w:color w:val="000000"/>
                <w:sz w:val="22"/>
                <w:szCs w:val="22"/>
                <w:lang w:val="en-US"/>
              </w:rPr>
            </w:pPr>
            <w:r w:rsidRPr="00411A73">
              <w:rPr>
                <w:rFonts w:asciiTheme="minorHAnsi" w:hAnsiTheme="minorHAnsi" w:cstheme="minorHAnsi"/>
                <w:color w:val="000000"/>
                <w:sz w:val="22"/>
                <w:szCs w:val="22"/>
                <w:lang w:val="en-US"/>
              </w:rPr>
              <w:t>Dairy Partners Americas Manufacturing Brasil Ltda.</w:t>
            </w:r>
          </w:p>
        </w:tc>
        <w:tc>
          <w:tcPr>
            <w:tcW w:w="2693" w:type="dxa"/>
            <w:tcBorders>
              <w:top w:val="nil"/>
              <w:left w:val="nil"/>
              <w:bottom w:val="single" w:sz="4" w:space="0" w:color="auto"/>
              <w:right w:val="single" w:sz="4" w:space="0" w:color="auto"/>
            </w:tcBorders>
            <w:shd w:val="clear" w:color="auto" w:fill="auto"/>
            <w:noWrap/>
            <w:vAlign w:val="bottom"/>
            <w:hideMark/>
          </w:tcPr>
          <w:p w14:paraId="48B57B1E"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4 processos</w:t>
            </w:r>
          </w:p>
          <w:p w14:paraId="7540F6B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2061231600081</w:t>
            </w:r>
          </w:p>
          <w:p w14:paraId="58462CB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2061231700035</w:t>
            </w:r>
          </w:p>
          <w:p w14:paraId="172D442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2061231800099</w:t>
            </w:r>
          </w:p>
          <w:p w14:paraId="3E9CCC2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2061231900042</w:t>
            </w:r>
          </w:p>
        </w:tc>
      </w:tr>
      <w:tr w:rsidR="001A59FA" w:rsidRPr="00411A73" w14:paraId="7EE2167B"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3C53E76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05.350.918/0001-84</w:t>
            </w:r>
          </w:p>
        </w:tc>
        <w:tc>
          <w:tcPr>
            <w:tcW w:w="4536" w:type="dxa"/>
            <w:tcBorders>
              <w:top w:val="single" w:sz="4" w:space="0" w:color="auto"/>
              <w:left w:val="nil"/>
              <w:bottom w:val="single" w:sz="4" w:space="0" w:color="auto"/>
              <w:right w:val="single" w:sz="4" w:space="0" w:color="000000"/>
            </w:tcBorders>
            <w:shd w:val="clear" w:color="auto" w:fill="auto"/>
            <w:noWrap/>
            <w:hideMark/>
          </w:tcPr>
          <w:p w14:paraId="79E1CE0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Incepla-ind. E com. De embalagens plásticas ltda.</w:t>
            </w:r>
          </w:p>
        </w:tc>
        <w:tc>
          <w:tcPr>
            <w:tcW w:w="2693" w:type="dxa"/>
            <w:tcBorders>
              <w:top w:val="nil"/>
              <w:left w:val="nil"/>
              <w:bottom w:val="single" w:sz="4" w:space="0" w:color="auto"/>
              <w:right w:val="single" w:sz="4" w:space="0" w:color="auto"/>
            </w:tcBorders>
            <w:shd w:val="clear" w:color="auto" w:fill="auto"/>
            <w:noWrap/>
            <w:vAlign w:val="center"/>
            <w:hideMark/>
          </w:tcPr>
          <w:p w14:paraId="66A9104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2142734100003</w:t>
            </w:r>
          </w:p>
        </w:tc>
      </w:tr>
      <w:tr w:rsidR="001A59FA" w:rsidRPr="00411A73" w14:paraId="47B38228"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428570B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05.835.613/0001-62</w:t>
            </w:r>
          </w:p>
        </w:tc>
        <w:tc>
          <w:tcPr>
            <w:tcW w:w="4536" w:type="dxa"/>
            <w:tcBorders>
              <w:top w:val="single" w:sz="4" w:space="0" w:color="auto"/>
              <w:left w:val="nil"/>
              <w:bottom w:val="single" w:sz="4" w:space="0" w:color="auto"/>
              <w:right w:val="single" w:sz="4" w:space="0" w:color="000000"/>
            </w:tcBorders>
            <w:shd w:val="clear" w:color="auto" w:fill="auto"/>
            <w:noWrap/>
            <w:hideMark/>
          </w:tcPr>
          <w:p w14:paraId="1441ABB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Ferrbel Ind Com De Artefatos De Cimento Ltda. ME</w:t>
            </w:r>
          </w:p>
        </w:tc>
        <w:tc>
          <w:tcPr>
            <w:tcW w:w="2693" w:type="dxa"/>
            <w:tcBorders>
              <w:top w:val="nil"/>
              <w:left w:val="nil"/>
              <w:bottom w:val="single" w:sz="4" w:space="0" w:color="auto"/>
              <w:right w:val="single" w:sz="4" w:space="0" w:color="auto"/>
            </w:tcBorders>
            <w:shd w:val="clear" w:color="auto" w:fill="auto"/>
            <w:noWrap/>
            <w:vAlign w:val="center"/>
            <w:hideMark/>
          </w:tcPr>
          <w:p w14:paraId="36647A4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4011901225646</w:t>
            </w:r>
          </w:p>
        </w:tc>
      </w:tr>
      <w:tr w:rsidR="001A59FA" w:rsidRPr="00411A73" w14:paraId="236ADE5B"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4C95113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05.893.058/0001-25</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DC37A2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Mw Suplementos Alimentares Ltda.-me</w:t>
            </w:r>
          </w:p>
        </w:tc>
        <w:tc>
          <w:tcPr>
            <w:tcW w:w="2693" w:type="dxa"/>
            <w:tcBorders>
              <w:top w:val="nil"/>
              <w:left w:val="nil"/>
              <w:bottom w:val="single" w:sz="4" w:space="0" w:color="auto"/>
              <w:right w:val="single" w:sz="4" w:space="0" w:color="auto"/>
            </w:tcBorders>
            <w:shd w:val="clear" w:color="auto" w:fill="auto"/>
            <w:noWrap/>
            <w:vAlign w:val="bottom"/>
            <w:hideMark/>
          </w:tcPr>
          <w:p w14:paraId="1F30E81B"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4 processos</w:t>
            </w:r>
          </w:p>
          <w:p w14:paraId="32451C6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4011603806039</w:t>
            </w:r>
          </w:p>
          <w:p w14:paraId="205FE8B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4011700151505</w:t>
            </w:r>
          </w:p>
          <w:p w14:paraId="1A6FCF5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4011800023614</w:t>
            </w:r>
          </w:p>
          <w:p w14:paraId="4E72C13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2141341900014</w:t>
            </w:r>
          </w:p>
        </w:tc>
      </w:tr>
      <w:tr w:rsidR="001A59FA" w:rsidRPr="00411A73" w14:paraId="055ECF60"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55E1033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05.932.031/0001-02</w:t>
            </w:r>
          </w:p>
        </w:tc>
        <w:tc>
          <w:tcPr>
            <w:tcW w:w="4536" w:type="dxa"/>
            <w:tcBorders>
              <w:top w:val="single" w:sz="4" w:space="0" w:color="auto"/>
              <w:left w:val="nil"/>
              <w:bottom w:val="single" w:sz="4" w:space="0" w:color="auto"/>
              <w:right w:val="single" w:sz="4" w:space="0" w:color="000000"/>
            </w:tcBorders>
            <w:shd w:val="clear" w:color="auto" w:fill="auto"/>
            <w:noWrap/>
            <w:hideMark/>
          </w:tcPr>
          <w:p w14:paraId="3444B9E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Frigoind Frigorifico Goiás Industrial Ltda.</w:t>
            </w:r>
          </w:p>
        </w:tc>
        <w:tc>
          <w:tcPr>
            <w:tcW w:w="2693" w:type="dxa"/>
            <w:tcBorders>
              <w:top w:val="nil"/>
              <w:left w:val="nil"/>
              <w:bottom w:val="single" w:sz="4" w:space="0" w:color="auto"/>
              <w:right w:val="single" w:sz="4" w:space="0" w:color="auto"/>
            </w:tcBorders>
            <w:shd w:val="clear" w:color="auto" w:fill="auto"/>
            <w:noWrap/>
            <w:vAlign w:val="bottom"/>
            <w:hideMark/>
          </w:tcPr>
          <w:p w14:paraId="4B9DC9B5"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3 processos</w:t>
            </w:r>
          </w:p>
          <w:p w14:paraId="7F50145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4011602729162</w:t>
            </w:r>
          </w:p>
          <w:p w14:paraId="3E28796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4011700686611</w:t>
            </w:r>
          </w:p>
          <w:p w14:paraId="31C59E8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2141688700050</w:t>
            </w:r>
          </w:p>
        </w:tc>
      </w:tr>
      <w:tr w:rsidR="001A59FA" w:rsidRPr="00411A73" w14:paraId="26D2DB94"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214649C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05.935.048/0001-05</w:t>
            </w:r>
          </w:p>
        </w:tc>
        <w:tc>
          <w:tcPr>
            <w:tcW w:w="4536" w:type="dxa"/>
            <w:tcBorders>
              <w:top w:val="single" w:sz="4" w:space="0" w:color="auto"/>
              <w:left w:val="nil"/>
              <w:bottom w:val="single" w:sz="4" w:space="0" w:color="auto"/>
              <w:right w:val="single" w:sz="4" w:space="0" w:color="000000"/>
            </w:tcBorders>
            <w:shd w:val="clear" w:color="auto" w:fill="auto"/>
            <w:noWrap/>
            <w:hideMark/>
          </w:tcPr>
          <w:p w14:paraId="208A129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Usina São Paulo Energia e Etanol S/A</w:t>
            </w:r>
          </w:p>
        </w:tc>
        <w:tc>
          <w:tcPr>
            <w:tcW w:w="2693" w:type="dxa"/>
            <w:tcBorders>
              <w:top w:val="nil"/>
              <w:left w:val="nil"/>
              <w:bottom w:val="single" w:sz="4" w:space="0" w:color="auto"/>
              <w:right w:val="single" w:sz="4" w:space="0" w:color="auto"/>
            </w:tcBorders>
            <w:shd w:val="clear" w:color="auto" w:fill="auto"/>
            <w:noWrap/>
            <w:vAlign w:val="center"/>
            <w:hideMark/>
          </w:tcPr>
          <w:p w14:paraId="6BF811E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2061343800040</w:t>
            </w:r>
          </w:p>
        </w:tc>
      </w:tr>
      <w:tr w:rsidR="001A59FA" w:rsidRPr="00411A73" w14:paraId="722C80C2" w14:textId="77777777" w:rsidTr="00411A73">
        <w:trPr>
          <w:trHeight w:val="900"/>
        </w:trPr>
        <w:tc>
          <w:tcPr>
            <w:tcW w:w="2405" w:type="dxa"/>
            <w:tcBorders>
              <w:top w:val="nil"/>
              <w:left w:val="single" w:sz="4" w:space="0" w:color="auto"/>
              <w:bottom w:val="single" w:sz="4" w:space="0" w:color="auto"/>
              <w:right w:val="single" w:sz="4" w:space="0" w:color="auto"/>
            </w:tcBorders>
            <w:shd w:val="clear" w:color="auto" w:fill="auto"/>
            <w:noWrap/>
            <w:hideMark/>
          </w:tcPr>
          <w:p w14:paraId="023E738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06.128.161/0003-03</w:t>
            </w:r>
          </w:p>
        </w:tc>
        <w:tc>
          <w:tcPr>
            <w:tcW w:w="4536" w:type="dxa"/>
            <w:tcBorders>
              <w:top w:val="single" w:sz="4" w:space="0" w:color="auto"/>
              <w:left w:val="nil"/>
              <w:bottom w:val="single" w:sz="4" w:space="0" w:color="auto"/>
              <w:right w:val="single" w:sz="4" w:space="0" w:color="000000"/>
            </w:tcBorders>
            <w:shd w:val="clear" w:color="auto" w:fill="auto"/>
            <w:noWrap/>
            <w:hideMark/>
          </w:tcPr>
          <w:p w14:paraId="30E3468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Trilha Alimentos Eireli</w:t>
            </w:r>
          </w:p>
        </w:tc>
        <w:tc>
          <w:tcPr>
            <w:tcW w:w="2693" w:type="dxa"/>
            <w:tcBorders>
              <w:top w:val="nil"/>
              <w:left w:val="nil"/>
              <w:bottom w:val="single" w:sz="4" w:space="0" w:color="auto"/>
              <w:right w:val="single" w:sz="4" w:space="0" w:color="auto"/>
            </w:tcBorders>
            <w:shd w:val="clear" w:color="auto" w:fill="auto"/>
            <w:vAlign w:val="bottom"/>
            <w:hideMark/>
          </w:tcPr>
          <w:p w14:paraId="1A14A6BF"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12 processos</w:t>
            </w:r>
          </w:p>
          <w:p w14:paraId="254DBCB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4011702700700</w:t>
            </w:r>
          </w:p>
          <w:p w14:paraId="324E5FD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4011800836712</w:t>
            </w:r>
          </w:p>
          <w:p w14:paraId="03BFE2B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4011801508328</w:t>
            </w:r>
          </w:p>
          <w:p w14:paraId="7369935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4011602558503</w:t>
            </w:r>
          </w:p>
          <w:p w14:paraId="3446836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4011602908091</w:t>
            </w:r>
          </w:p>
          <w:p w14:paraId="102B66E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4011603821348</w:t>
            </w:r>
          </w:p>
          <w:p w14:paraId="6C16672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4011700595659</w:t>
            </w:r>
          </w:p>
          <w:p w14:paraId="328043D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4011701180142</w:t>
            </w:r>
          </w:p>
          <w:p w14:paraId="7DB6A47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4011702625067</w:t>
            </w:r>
          </w:p>
          <w:p w14:paraId="62D0F0A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4011800836984</w:t>
            </w:r>
          </w:p>
          <w:p w14:paraId="04AE0F9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4011801395701</w:t>
            </w:r>
          </w:p>
          <w:p w14:paraId="2497E4A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1003311200000</w:t>
            </w:r>
          </w:p>
        </w:tc>
      </w:tr>
      <w:tr w:rsidR="001A59FA" w:rsidRPr="00411A73" w14:paraId="42C9639B" w14:textId="77777777" w:rsidTr="00411A73">
        <w:trPr>
          <w:trHeight w:val="900"/>
        </w:trPr>
        <w:tc>
          <w:tcPr>
            <w:tcW w:w="2405" w:type="dxa"/>
            <w:tcBorders>
              <w:top w:val="nil"/>
              <w:left w:val="single" w:sz="4" w:space="0" w:color="auto"/>
              <w:bottom w:val="single" w:sz="4" w:space="0" w:color="auto"/>
              <w:right w:val="single" w:sz="4" w:space="0" w:color="auto"/>
            </w:tcBorders>
            <w:shd w:val="clear" w:color="auto" w:fill="auto"/>
            <w:noWrap/>
            <w:hideMark/>
          </w:tcPr>
          <w:p w14:paraId="3054905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06.982.640/0001-20</w:t>
            </w:r>
          </w:p>
        </w:tc>
        <w:tc>
          <w:tcPr>
            <w:tcW w:w="4536" w:type="dxa"/>
            <w:tcBorders>
              <w:top w:val="single" w:sz="4" w:space="0" w:color="auto"/>
              <w:left w:val="nil"/>
              <w:bottom w:val="single" w:sz="4" w:space="0" w:color="auto"/>
              <w:right w:val="single" w:sz="4" w:space="0" w:color="000000"/>
            </w:tcBorders>
            <w:shd w:val="clear" w:color="auto" w:fill="auto"/>
            <w:noWrap/>
            <w:hideMark/>
          </w:tcPr>
          <w:p w14:paraId="3732D2E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Midiz - Industria e Comercio de Fraldas S.A. Em recuperação judicial</w:t>
            </w:r>
          </w:p>
        </w:tc>
        <w:tc>
          <w:tcPr>
            <w:tcW w:w="2693" w:type="dxa"/>
            <w:tcBorders>
              <w:top w:val="nil"/>
              <w:left w:val="nil"/>
              <w:bottom w:val="single" w:sz="4" w:space="0" w:color="auto"/>
              <w:right w:val="single" w:sz="4" w:space="0" w:color="auto"/>
            </w:tcBorders>
            <w:shd w:val="clear" w:color="auto" w:fill="auto"/>
            <w:vAlign w:val="bottom"/>
            <w:hideMark/>
          </w:tcPr>
          <w:p w14:paraId="33D15AE2"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9 processos</w:t>
            </w:r>
          </w:p>
          <w:p w14:paraId="019852B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2061541900067</w:t>
            </w:r>
          </w:p>
          <w:p w14:paraId="4BA9FC5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2088600400012</w:t>
            </w:r>
          </w:p>
          <w:p w14:paraId="53416DF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4011402693750</w:t>
            </w:r>
          </w:p>
          <w:p w14:paraId="102581E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4011403426844</w:t>
            </w:r>
          </w:p>
          <w:p w14:paraId="09F5C34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4011500862068</w:t>
            </w:r>
          </w:p>
          <w:p w14:paraId="3451496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4011501444430</w:t>
            </w:r>
          </w:p>
          <w:p w14:paraId="2D796FE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2144334100037</w:t>
            </w:r>
          </w:p>
          <w:p w14:paraId="26C78E7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4011900726803</w:t>
            </w:r>
          </w:p>
          <w:p w14:paraId="50B1745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4011901326671</w:t>
            </w:r>
          </w:p>
        </w:tc>
      </w:tr>
      <w:tr w:rsidR="001A59FA" w:rsidRPr="00411A73" w14:paraId="0B2609EC" w14:textId="77777777" w:rsidTr="00411A73">
        <w:trPr>
          <w:trHeight w:val="900"/>
        </w:trPr>
        <w:tc>
          <w:tcPr>
            <w:tcW w:w="2405" w:type="dxa"/>
            <w:tcBorders>
              <w:top w:val="nil"/>
              <w:left w:val="single" w:sz="4" w:space="0" w:color="auto"/>
              <w:bottom w:val="single" w:sz="4" w:space="0" w:color="auto"/>
              <w:right w:val="single" w:sz="4" w:space="0" w:color="auto"/>
            </w:tcBorders>
            <w:shd w:val="clear" w:color="auto" w:fill="auto"/>
            <w:noWrap/>
            <w:hideMark/>
          </w:tcPr>
          <w:p w14:paraId="42FF130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07.080.737/0001-00</w:t>
            </w:r>
          </w:p>
        </w:tc>
        <w:tc>
          <w:tcPr>
            <w:tcW w:w="4536" w:type="dxa"/>
            <w:tcBorders>
              <w:top w:val="single" w:sz="4" w:space="0" w:color="auto"/>
              <w:left w:val="nil"/>
              <w:bottom w:val="single" w:sz="4" w:space="0" w:color="auto"/>
              <w:right w:val="single" w:sz="4" w:space="0" w:color="000000"/>
            </w:tcBorders>
            <w:shd w:val="clear" w:color="auto" w:fill="auto"/>
            <w:noWrap/>
            <w:hideMark/>
          </w:tcPr>
          <w:p w14:paraId="4E8954E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Aluminium Alumínios Goiás - Eireli</w:t>
            </w:r>
          </w:p>
        </w:tc>
        <w:tc>
          <w:tcPr>
            <w:tcW w:w="2693" w:type="dxa"/>
            <w:tcBorders>
              <w:top w:val="nil"/>
              <w:left w:val="nil"/>
              <w:bottom w:val="single" w:sz="4" w:space="0" w:color="auto"/>
              <w:right w:val="single" w:sz="4" w:space="0" w:color="auto"/>
            </w:tcBorders>
            <w:shd w:val="clear" w:color="auto" w:fill="auto"/>
            <w:vAlign w:val="bottom"/>
            <w:hideMark/>
          </w:tcPr>
          <w:p w14:paraId="058ACA3C"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9 processos</w:t>
            </w:r>
          </w:p>
          <w:p w14:paraId="387D08A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4011400164261</w:t>
            </w:r>
          </w:p>
          <w:p w14:paraId="2FC1087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2087203000001</w:t>
            </w:r>
          </w:p>
          <w:p w14:paraId="1B6EA05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4011401500176</w:t>
            </w:r>
          </w:p>
          <w:p w14:paraId="7E0ACF2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2088601000042</w:t>
            </w:r>
          </w:p>
          <w:p w14:paraId="7FBABE7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4011402678106</w:t>
            </w:r>
          </w:p>
          <w:p w14:paraId="3A29182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2096790800034</w:t>
            </w:r>
          </w:p>
          <w:p w14:paraId="5591141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4011500047224</w:t>
            </w:r>
          </w:p>
          <w:p w14:paraId="39BCBAD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2139505000086</w:t>
            </w:r>
          </w:p>
          <w:p w14:paraId="1858364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2143630000060</w:t>
            </w:r>
          </w:p>
        </w:tc>
      </w:tr>
      <w:tr w:rsidR="001A59FA" w:rsidRPr="00411A73" w14:paraId="656369D7" w14:textId="77777777" w:rsidTr="00411A73">
        <w:trPr>
          <w:trHeight w:val="600"/>
        </w:trPr>
        <w:tc>
          <w:tcPr>
            <w:tcW w:w="2405" w:type="dxa"/>
            <w:tcBorders>
              <w:top w:val="nil"/>
              <w:left w:val="single" w:sz="4" w:space="0" w:color="auto"/>
              <w:bottom w:val="single" w:sz="4" w:space="0" w:color="auto"/>
              <w:right w:val="single" w:sz="4" w:space="0" w:color="auto"/>
            </w:tcBorders>
            <w:shd w:val="clear" w:color="auto" w:fill="auto"/>
            <w:noWrap/>
            <w:hideMark/>
          </w:tcPr>
          <w:p w14:paraId="4D575FF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07.137.731/0001-22</w:t>
            </w:r>
          </w:p>
        </w:tc>
        <w:tc>
          <w:tcPr>
            <w:tcW w:w="4536" w:type="dxa"/>
            <w:tcBorders>
              <w:top w:val="single" w:sz="4" w:space="0" w:color="auto"/>
              <w:left w:val="nil"/>
              <w:bottom w:val="single" w:sz="4" w:space="0" w:color="auto"/>
              <w:right w:val="single" w:sz="4" w:space="0" w:color="000000"/>
            </w:tcBorders>
            <w:shd w:val="clear" w:color="auto" w:fill="auto"/>
            <w:noWrap/>
            <w:hideMark/>
          </w:tcPr>
          <w:p w14:paraId="2C08D67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Kolore Industria e Comercio Ltda.</w:t>
            </w:r>
          </w:p>
        </w:tc>
        <w:tc>
          <w:tcPr>
            <w:tcW w:w="2693" w:type="dxa"/>
            <w:tcBorders>
              <w:top w:val="nil"/>
              <w:left w:val="nil"/>
              <w:bottom w:val="single" w:sz="4" w:space="0" w:color="auto"/>
              <w:right w:val="single" w:sz="4" w:space="0" w:color="auto"/>
            </w:tcBorders>
            <w:shd w:val="clear" w:color="auto" w:fill="auto"/>
            <w:vAlign w:val="bottom"/>
            <w:hideMark/>
          </w:tcPr>
          <w:p w14:paraId="6A18E10E"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6 processos</w:t>
            </w:r>
          </w:p>
          <w:p w14:paraId="577ED50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2118605300097</w:t>
            </w:r>
          </w:p>
          <w:p w14:paraId="37BEC8C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2138932600071</w:t>
            </w:r>
          </w:p>
          <w:p w14:paraId="2D2866D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2139507100029</w:t>
            </w:r>
          </w:p>
          <w:p w14:paraId="01FDE79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2143632300010</w:t>
            </w:r>
          </w:p>
          <w:p w14:paraId="04AAB9D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2144336200080</w:t>
            </w:r>
          </w:p>
          <w:p w14:paraId="24A83E1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2146035400000</w:t>
            </w:r>
          </w:p>
        </w:tc>
      </w:tr>
      <w:tr w:rsidR="001A59FA" w:rsidRPr="00411A73" w14:paraId="46336E6B"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31E0381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07.445.656/0001-67</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1D5419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Jatai Agroindústria de Bio-Combustivel Eireli</w:t>
            </w:r>
          </w:p>
        </w:tc>
        <w:tc>
          <w:tcPr>
            <w:tcW w:w="2693" w:type="dxa"/>
            <w:tcBorders>
              <w:top w:val="nil"/>
              <w:left w:val="nil"/>
              <w:bottom w:val="single" w:sz="4" w:space="0" w:color="auto"/>
              <w:right w:val="single" w:sz="4" w:space="0" w:color="auto"/>
            </w:tcBorders>
            <w:shd w:val="clear" w:color="auto" w:fill="auto"/>
            <w:noWrap/>
            <w:vAlign w:val="center"/>
            <w:hideMark/>
          </w:tcPr>
          <w:p w14:paraId="6D43341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4011901478340</w:t>
            </w:r>
          </w:p>
        </w:tc>
      </w:tr>
      <w:tr w:rsidR="001A59FA" w:rsidRPr="00411A73" w14:paraId="5E173418"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3E1FD1A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07.670.837/0001-97</w:t>
            </w:r>
          </w:p>
        </w:tc>
        <w:tc>
          <w:tcPr>
            <w:tcW w:w="4536" w:type="dxa"/>
            <w:tcBorders>
              <w:top w:val="single" w:sz="4" w:space="0" w:color="auto"/>
              <w:left w:val="nil"/>
              <w:bottom w:val="single" w:sz="4" w:space="0" w:color="auto"/>
              <w:right w:val="single" w:sz="4" w:space="0" w:color="000000"/>
            </w:tcBorders>
            <w:shd w:val="clear" w:color="auto" w:fill="auto"/>
            <w:noWrap/>
            <w:hideMark/>
          </w:tcPr>
          <w:p w14:paraId="65BB5BF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Frigosan Industria e Comercio De Carnes Ltda.</w:t>
            </w:r>
          </w:p>
        </w:tc>
        <w:tc>
          <w:tcPr>
            <w:tcW w:w="2693" w:type="dxa"/>
            <w:tcBorders>
              <w:top w:val="nil"/>
              <w:left w:val="nil"/>
              <w:bottom w:val="single" w:sz="4" w:space="0" w:color="auto"/>
              <w:right w:val="single" w:sz="4" w:space="0" w:color="auto"/>
            </w:tcBorders>
            <w:shd w:val="clear" w:color="auto" w:fill="auto"/>
            <w:noWrap/>
            <w:vAlign w:val="center"/>
            <w:hideMark/>
          </w:tcPr>
          <w:p w14:paraId="5FC3300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4011900940643</w:t>
            </w:r>
          </w:p>
        </w:tc>
      </w:tr>
      <w:tr w:rsidR="001A59FA" w:rsidRPr="00411A73" w14:paraId="4E153DE4"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3B36609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07.887.395/0001-35</w:t>
            </w:r>
          </w:p>
          <w:p w14:paraId="3024AC4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07.887.395/0002-16</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9F2838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Global Vision Pack Brasil Ltda.</w:t>
            </w:r>
          </w:p>
        </w:tc>
        <w:tc>
          <w:tcPr>
            <w:tcW w:w="2693" w:type="dxa"/>
            <w:tcBorders>
              <w:top w:val="nil"/>
              <w:left w:val="nil"/>
              <w:bottom w:val="single" w:sz="4" w:space="0" w:color="auto"/>
              <w:right w:val="single" w:sz="4" w:space="0" w:color="auto"/>
            </w:tcBorders>
            <w:shd w:val="clear" w:color="auto" w:fill="auto"/>
            <w:noWrap/>
            <w:vAlign w:val="center"/>
            <w:hideMark/>
          </w:tcPr>
          <w:p w14:paraId="37AB9F9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2146038600043</w:t>
            </w:r>
          </w:p>
        </w:tc>
      </w:tr>
      <w:tr w:rsidR="001A59FA" w:rsidRPr="00411A73" w14:paraId="73F6A2B8" w14:textId="77777777" w:rsidTr="00411A73">
        <w:trPr>
          <w:trHeight w:val="600"/>
        </w:trPr>
        <w:tc>
          <w:tcPr>
            <w:tcW w:w="2405" w:type="dxa"/>
            <w:tcBorders>
              <w:top w:val="nil"/>
              <w:left w:val="single" w:sz="4" w:space="0" w:color="auto"/>
              <w:bottom w:val="single" w:sz="4" w:space="0" w:color="auto"/>
              <w:right w:val="single" w:sz="4" w:space="0" w:color="auto"/>
            </w:tcBorders>
            <w:shd w:val="clear" w:color="auto" w:fill="auto"/>
            <w:noWrap/>
            <w:hideMark/>
          </w:tcPr>
          <w:p w14:paraId="1FF420D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07.911.425/0001-00</w:t>
            </w:r>
          </w:p>
        </w:tc>
        <w:tc>
          <w:tcPr>
            <w:tcW w:w="4536" w:type="dxa"/>
            <w:tcBorders>
              <w:top w:val="single" w:sz="4" w:space="0" w:color="auto"/>
              <w:left w:val="nil"/>
              <w:bottom w:val="single" w:sz="4" w:space="0" w:color="auto"/>
              <w:right w:val="single" w:sz="4" w:space="0" w:color="000000"/>
            </w:tcBorders>
            <w:shd w:val="clear" w:color="auto" w:fill="auto"/>
            <w:noWrap/>
            <w:hideMark/>
          </w:tcPr>
          <w:p w14:paraId="739D40E8" w14:textId="1D7F5C4F" w:rsidR="001A59FA" w:rsidRPr="00411A73" w:rsidRDefault="001A59FA" w:rsidP="00E335BA">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 xml:space="preserve">Renovar Reciclagem de Materiais Importação </w:t>
            </w:r>
            <w:r w:rsidR="00E335BA" w:rsidRPr="00411A73">
              <w:rPr>
                <w:rFonts w:asciiTheme="minorHAnsi" w:hAnsiTheme="minorHAnsi" w:cstheme="minorHAnsi"/>
                <w:color w:val="000000"/>
                <w:sz w:val="22"/>
                <w:szCs w:val="22"/>
              </w:rPr>
              <w:t>e</w:t>
            </w:r>
            <w:r w:rsidRPr="00411A73">
              <w:rPr>
                <w:rFonts w:asciiTheme="minorHAnsi" w:hAnsiTheme="minorHAnsi" w:cstheme="minorHAnsi"/>
                <w:color w:val="000000"/>
                <w:sz w:val="22"/>
                <w:szCs w:val="22"/>
              </w:rPr>
              <w:t xml:space="preserve"> Expor</w:t>
            </w:r>
          </w:p>
        </w:tc>
        <w:tc>
          <w:tcPr>
            <w:tcW w:w="2693" w:type="dxa"/>
            <w:tcBorders>
              <w:top w:val="nil"/>
              <w:left w:val="nil"/>
              <w:bottom w:val="single" w:sz="4" w:space="0" w:color="auto"/>
              <w:right w:val="single" w:sz="4" w:space="0" w:color="auto"/>
            </w:tcBorders>
            <w:shd w:val="clear" w:color="auto" w:fill="auto"/>
            <w:vAlign w:val="bottom"/>
            <w:hideMark/>
          </w:tcPr>
          <w:p w14:paraId="72CFEBD4"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5 processos</w:t>
            </w:r>
          </w:p>
          <w:p w14:paraId="2D97256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4011701547976</w:t>
            </w:r>
          </w:p>
          <w:p w14:paraId="1A83480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4011701547623</w:t>
            </w:r>
          </w:p>
          <w:p w14:paraId="396ED2F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4011701547704</w:t>
            </w:r>
          </w:p>
          <w:p w14:paraId="6BA01DD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2124701600009</w:t>
            </w:r>
          </w:p>
          <w:p w14:paraId="78A52E8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2140538900039</w:t>
            </w:r>
          </w:p>
        </w:tc>
      </w:tr>
      <w:tr w:rsidR="001A59FA" w:rsidRPr="00411A73" w14:paraId="69508EBD" w14:textId="77777777" w:rsidTr="00411A73">
        <w:trPr>
          <w:trHeight w:val="600"/>
        </w:trPr>
        <w:tc>
          <w:tcPr>
            <w:tcW w:w="2405" w:type="dxa"/>
            <w:tcBorders>
              <w:top w:val="nil"/>
              <w:left w:val="single" w:sz="4" w:space="0" w:color="auto"/>
              <w:bottom w:val="single" w:sz="4" w:space="0" w:color="auto"/>
              <w:right w:val="single" w:sz="4" w:space="0" w:color="auto"/>
            </w:tcBorders>
            <w:shd w:val="clear" w:color="auto" w:fill="auto"/>
            <w:noWrap/>
            <w:hideMark/>
          </w:tcPr>
          <w:p w14:paraId="57CD572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07.921.132/0002-86</w:t>
            </w:r>
          </w:p>
        </w:tc>
        <w:tc>
          <w:tcPr>
            <w:tcW w:w="4536" w:type="dxa"/>
            <w:tcBorders>
              <w:top w:val="single" w:sz="4" w:space="0" w:color="auto"/>
              <w:left w:val="nil"/>
              <w:bottom w:val="single" w:sz="4" w:space="0" w:color="auto"/>
              <w:right w:val="single" w:sz="4" w:space="0" w:color="000000"/>
            </w:tcBorders>
            <w:shd w:val="clear" w:color="auto" w:fill="auto"/>
            <w:noWrap/>
            <w:hideMark/>
          </w:tcPr>
          <w:p w14:paraId="7B95DCD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Qualifrig Alimentos S/A</w:t>
            </w:r>
          </w:p>
        </w:tc>
        <w:tc>
          <w:tcPr>
            <w:tcW w:w="2693" w:type="dxa"/>
            <w:tcBorders>
              <w:top w:val="nil"/>
              <w:left w:val="nil"/>
              <w:bottom w:val="single" w:sz="4" w:space="0" w:color="auto"/>
              <w:right w:val="single" w:sz="4" w:space="0" w:color="auto"/>
            </w:tcBorders>
            <w:shd w:val="clear" w:color="auto" w:fill="auto"/>
            <w:vAlign w:val="bottom"/>
            <w:hideMark/>
          </w:tcPr>
          <w:p w14:paraId="3F471F18"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5 processos</w:t>
            </w:r>
          </w:p>
          <w:p w14:paraId="2680ABA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4021700038943</w:t>
            </w:r>
          </w:p>
          <w:p w14:paraId="314691B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4021700039087</w:t>
            </w:r>
          </w:p>
          <w:p w14:paraId="7B50139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4021700039168</w:t>
            </w:r>
          </w:p>
          <w:p w14:paraId="4A0C24A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4021700099144</w:t>
            </w:r>
          </w:p>
          <w:p w14:paraId="4EE604B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4011802257272</w:t>
            </w:r>
          </w:p>
        </w:tc>
      </w:tr>
      <w:tr w:rsidR="001A59FA" w:rsidRPr="00411A73" w14:paraId="38D374BF"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5280DED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07.959.708/0001-13</w:t>
            </w:r>
          </w:p>
        </w:tc>
        <w:tc>
          <w:tcPr>
            <w:tcW w:w="4536" w:type="dxa"/>
            <w:tcBorders>
              <w:top w:val="single" w:sz="4" w:space="0" w:color="auto"/>
              <w:left w:val="nil"/>
              <w:bottom w:val="single" w:sz="4" w:space="0" w:color="auto"/>
              <w:right w:val="single" w:sz="4" w:space="0" w:color="000000"/>
            </w:tcBorders>
            <w:shd w:val="clear" w:color="auto" w:fill="auto"/>
            <w:noWrap/>
            <w:hideMark/>
          </w:tcPr>
          <w:p w14:paraId="34F1094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Usina Serra do Caiapó S/A</w:t>
            </w:r>
          </w:p>
        </w:tc>
        <w:tc>
          <w:tcPr>
            <w:tcW w:w="2693" w:type="dxa"/>
            <w:tcBorders>
              <w:top w:val="nil"/>
              <w:left w:val="nil"/>
              <w:bottom w:val="single" w:sz="4" w:space="0" w:color="auto"/>
              <w:right w:val="single" w:sz="4" w:space="0" w:color="auto"/>
            </w:tcBorders>
            <w:shd w:val="clear" w:color="auto" w:fill="auto"/>
            <w:noWrap/>
            <w:vAlign w:val="bottom"/>
            <w:hideMark/>
          </w:tcPr>
          <w:p w14:paraId="1DFE1E0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2109668500094</w:t>
            </w:r>
          </w:p>
        </w:tc>
      </w:tr>
      <w:tr w:rsidR="001A59FA" w:rsidRPr="00411A73" w14:paraId="697CEFBC" w14:textId="77777777" w:rsidTr="00411A73">
        <w:trPr>
          <w:trHeight w:val="900"/>
        </w:trPr>
        <w:tc>
          <w:tcPr>
            <w:tcW w:w="2405" w:type="dxa"/>
            <w:tcBorders>
              <w:top w:val="nil"/>
              <w:left w:val="single" w:sz="4" w:space="0" w:color="auto"/>
              <w:bottom w:val="single" w:sz="4" w:space="0" w:color="auto"/>
              <w:right w:val="single" w:sz="4" w:space="0" w:color="auto"/>
            </w:tcBorders>
            <w:shd w:val="clear" w:color="auto" w:fill="auto"/>
            <w:noWrap/>
            <w:hideMark/>
          </w:tcPr>
          <w:p w14:paraId="23329AA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08.070.566/0011-73</w:t>
            </w:r>
          </w:p>
          <w:p w14:paraId="6764D02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08.070.566/0012-54</w:t>
            </w:r>
          </w:p>
        </w:tc>
        <w:tc>
          <w:tcPr>
            <w:tcW w:w="4536" w:type="dxa"/>
            <w:tcBorders>
              <w:top w:val="single" w:sz="4" w:space="0" w:color="auto"/>
              <w:left w:val="nil"/>
              <w:bottom w:val="single" w:sz="4" w:space="0" w:color="auto"/>
              <w:right w:val="single" w:sz="4" w:space="0" w:color="000000"/>
            </w:tcBorders>
            <w:shd w:val="clear" w:color="auto" w:fill="auto"/>
            <w:noWrap/>
            <w:hideMark/>
          </w:tcPr>
          <w:p w14:paraId="2191C12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 xml:space="preserve">Brenco Companhia Brasileira de Energia Renovável </w:t>
            </w:r>
          </w:p>
        </w:tc>
        <w:tc>
          <w:tcPr>
            <w:tcW w:w="2693" w:type="dxa"/>
            <w:tcBorders>
              <w:top w:val="nil"/>
              <w:left w:val="nil"/>
              <w:bottom w:val="single" w:sz="4" w:space="0" w:color="auto"/>
              <w:right w:val="single" w:sz="4" w:space="0" w:color="auto"/>
            </w:tcBorders>
            <w:shd w:val="clear" w:color="auto" w:fill="auto"/>
            <w:vAlign w:val="bottom"/>
            <w:hideMark/>
          </w:tcPr>
          <w:p w14:paraId="6FAAF6D6"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9 processos</w:t>
            </w:r>
          </w:p>
          <w:p w14:paraId="0CCC668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4011301602732</w:t>
            </w:r>
          </w:p>
          <w:p w14:paraId="188538F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4011300664718</w:t>
            </w:r>
          </w:p>
          <w:p w14:paraId="49E6DD8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4011204311770</w:t>
            </w:r>
          </w:p>
          <w:p w14:paraId="38CD6BA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4011303912160</w:t>
            </w:r>
          </w:p>
          <w:p w14:paraId="3BA860F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4011303911783</w:t>
            </w:r>
          </w:p>
          <w:p w14:paraId="459D393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4011304043858</w:t>
            </w:r>
          </w:p>
          <w:p w14:paraId="3BA8465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4011304043939</w:t>
            </w:r>
          </w:p>
          <w:p w14:paraId="419EAE1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4011301604190</w:t>
            </w:r>
          </w:p>
          <w:p w14:paraId="7F89EE0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2086081100092</w:t>
            </w:r>
          </w:p>
        </w:tc>
      </w:tr>
      <w:tr w:rsidR="001A59FA" w:rsidRPr="00411A73" w14:paraId="6B529D4D"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7905E8D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08.305.105/0001-60</w:t>
            </w:r>
          </w:p>
        </w:tc>
        <w:tc>
          <w:tcPr>
            <w:tcW w:w="4536" w:type="dxa"/>
            <w:tcBorders>
              <w:top w:val="single" w:sz="4" w:space="0" w:color="auto"/>
              <w:left w:val="nil"/>
              <w:bottom w:val="single" w:sz="4" w:space="0" w:color="auto"/>
              <w:right w:val="single" w:sz="4" w:space="0" w:color="000000"/>
            </w:tcBorders>
            <w:shd w:val="clear" w:color="auto" w:fill="auto"/>
            <w:noWrap/>
            <w:hideMark/>
          </w:tcPr>
          <w:p w14:paraId="72C38A3A" w14:textId="2B00E57A"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 xml:space="preserve">Porto brasil </w:t>
            </w:r>
            <w:r w:rsidR="00E335BA" w:rsidRPr="00411A73">
              <w:rPr>
                <w:rFonts w:asciiTheme="minorHAnsi" w:hAnsiTheme="minorHAnsi" w:cstheme="minorHAnsi"/>
                <w:color w:val="000000"/>
                <w:sz w:val="22"/>
                <w:szCs w:val="22"/>
              </w:rPr>
              <w:t>Ind</w:t>
            </w:r>
            <w:r w:rsidRPr="00411A73">
              <w:rPr>
                <w:rFonts w:asciiTheme="minorHAnsi" w:hAnsiTheme="minorHAnsi" w:cstheme="minorHAnsi"/>
                <w:color w:val="000000"/>
                <w:sz w:val="22"/>
                <w:szCs w:val="22"/>
              </w:rPr>
              <w:t>. Com. Imp. Exp. de alimentos Ltda.</w:t>
            </w:r>
          </w:p>
        </w:tc>
        <w:tc>
          <w:tcPr>
            <w:tcW w:w="2693" w:type="dxa"/>
            <w:tcBorders>
              <w:top w:val="nil"/>
              <w:left w:val="nil"/>
              <w:bottom w:val="single" w:sz="4" w:space="0" w:color="auto"/>
              <w:right w:val="single" w:sz="4" w:space="0" w:color="auto"/>
            </w:tcBorders>
            <w:shd w:val="clear" w:color="auto" w:fill="auto"/>
            <w:noWrap/>
            <w:vAlign w:val="bottom"/>
            <w:hideMark/>
          </w:tcPr>
          <w:p w14:paraId="529ABD65"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3 processos</w:t>
            </w:r>
          </w:p>
          <w:p w14:paraId="15609BF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4011602843704</w:t>
            </w:r>
          </w:p>
          <w:p w14:paraId="364B34A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2143674500068</w:t>
            </w:r>
          </w:p>
          <w:p w14:paraId="7E2EFAA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2144369500090</w:t>
            </w:r>
          </w:p>
        </w:tc>
      </w:tr>
      <w:tr w:rsidR="001A59FA" w:rsidRPr="00411A73" w14:paraId="6062AD72"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5B697B7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08.310.826/0001-69</w:t>
            </w:r>
          </w:p>
        </w:tc>
        <w:tc>
          <w:tcPr>
            <w:tcW w:w="4536" w:type="dxa"/>
            <w:tcBorders>
              <w:top w:val="single" w:sz="4" w:space="0" w:color="auto"/>
              <w:left w:val="nil"/>
              <w:bottom w:val="single" w:sz="4" w:space="0" w:color="auto"/>
              <w:right w:val="single" w:sz="4" w:space="0" w:color="000000"/>
            </w:tcBorders>
            <w:shd w:val="clear" w:color="auto" w:fill="auto"/>
            <w:noWrap/>
            <w:hideMark/>
          </w:tcPr>
          <w:p w14:paraId="78B39FF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 xml:space="preserve">Milano Temper Vidros e Esquadrias de Alumínio </w:t>
            </w:r>
          </w:p>
        </w:tc>
        <w:tc>
          <w:tcPr>
            <w:tcW w:w="2693" w:type="dxa"/>
            <w:tcBorders>
              <w:top w:val="nil"/>
              <w:left w:val="nil"/>
              <w:bottom w:val="single" w:sz="4" w:space="0" w:color="auto"/>
              <w:right w:val="single" w:sz="4" w:space="0" w:color="auto"/>
            </w:tcBorders>
            <w:shd w:val="clear" w:color="auto" w:fill="auto"/>
            <w:noWrap/>
            <w:vAlign w:val="center"/>
            <w:hideMark/>
          </w:tcPr>
          <w:p w14:paraId="1E0C7EA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2145709900012</w:t>
            </w:r>
          </w:p>
        </w:tc>
      </w:tr>
      <w:tr w:rsidR="001A59FA" w:rsidRPr="00411A73" w14:paraId="1A811E4B"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44A4C8C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08.386.477/0001-69</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0B7566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Abc Industria de Alimentos Ltda.</w:t>
            </w:r>
          </w:p>
        </w:tc>
        <w:tc>
          <w:tcPr>
            <w:tcW w:w="2693" w:type="dxa"/>
            <w:tcBorders>
              <w:top w:val="nil"/>
              <w:left w:val="nil"/>
              <w:bottom w:val="single" w:sz="4" w:space="0" w:color="auto"/>
              <w:right w:val="single" w:sz="4" w:space="0" w:color="auto"/>
            </w:tcBorders>
            <w:shd w:val="clear" w:color="auto" w:fill="auto"/>
            <w:noWrap/>
            <w:vAlign w:val="center"/>
            <w:hideMark/>
          </w:tcPr>
          <w:p w14:paraId="1479AA2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4011202892490</w:t>
            </w:r>
          </w:p>
        </w:tc>
      </w:tr>
      <w:tr w:rsidR="001A59FA" w:rsidRPr="00411A73" w14:paraId="2671EB43"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6673E1D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08.517.600/0001-33</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6AC25A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BP Bioenergia Itumbiara S.A</w:t>
            </w:r>
          </w:p>
        </w:tc>
        <w:tc>
          <w:tcPr>
            <w:tcW w:w="2693" w:type="dxa"/>
            <w:tcBorders>
              <w:top w:val="nil"/>
              <w:left w:val="nil"/>
              <w:bottom w:val="single" w:sz="4" w:space="0" w:color="auto"/>
              <w:right w:val="single" w:sz="4" w:space="0" w:color="auto"/>
            </w:tcBorders>
            <w:shd w:val="clear" w:color="auto" w:fill="auto"/>
            <w:noWrap/>
            <w:vAlign w:val="center"/>
            <w:hideMark/>
          </w:tcPr>
          <w:p w14:paraId="152E25E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4011101102388</w:t>
            </w:r>
          </w:p>
        </w:tc>
      </w:tr>
      <w:tr w:rsidR="001A59FA" w:rsidRPr="00411A73" w14:paraId="6D01B20F"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7B5B2DF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08.619.844/0003-99</w:t>
            </w:r>
          </w:p>
        </w:tc>
        <w:tc>
          <w:tcPr>
            <w:tcW w:w="4536" w:type="dxa"/>
            <w:tcBorders>
              <w:top w:val="single" w:sz="4" w:space="0" w:color="auto"/>
              <w:left w:val="nil"/>
              <w:bottom w:val="single" w:sz="4" w:space="0" w:color="auto"/>
              <w:right w:val="single" w:sz="4" w:space="0" w:color="000000"/>
            </w:tcBorders>
            <w:shd w:val="clear" w:color="auto" w:fill="auto"/>
            <w:noWrap/>
            <w:hideMark/>
          </w:tcPr>
          <w:p w14:paraId="73FF91F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Raizen Centroeste Açúcar E Álcool Ltda.</w:t>
            </w:r>
          </w:p>
        </w:tc>
        <w:tc>
          <w:tcPr>
            <w:tcW w:w="2693" w:type="dxa"/>
            <w:tcBorders>
              <w:top w:val="nil"/>
              <w:left w:val="nil"/>
              <w:bottom w:val="single" w:sz="4" w:space="0" w:color="auto"/>
              <w:right w:val="single" w:sz="4" w:space="0" w:color="auto"/>
            </w:tcBorders>
            <w:shd w:val="clear" w:color="auto" w:fill="auto"/>
            <w:noWrap/>
            <w:vAlign w:val="center"/>
            <w:hideMark/>
          </w:tcPr>
          <w:p w14:paraId="2E90330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4011503448505</w:t>
            </w:r>
          </w:p>
        </w:tc>
      </w:tr>
      <w:tr w:rsidR="001A59FA" w:rsidRPr="00411A73" w14:paraId="4AB13301" w14:textId="77777777" w:rsidTr="00411A73">
        <w:trPr>
          <w:trHeight w:val="600"/>
        </w:trPr>
        <w:tc>
          <w:tcPr>
            <w:tcW w:w="2405" w:type="dxa"/>
            <w:tcBorders>
              <w:top w:val="nil"/>
              <w:left w:val="single" w:sz="4" w:space="0" w:color="auto"/>
              <w:bottom w:val="single" w:sz="4" w:space="0" w:color="auto"/>
              <w:right w:val="single" w:sz="4" w:space="0" w:color="auto"/>
            </w:tcBorders>
            <w:shd w:val="clear" w:color="auto" w:fill="auto"/>
            <w:noWrap/>
            <w:hideMark/>
          </w:tcPr>
          <w:p w14:paraId="7518DD9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08.627.847/0001-02</w:t>
            </w:r>
          </w:p>
        </w:tc>
        <w:tc>
          <w:tcPr>
            <w:tcW w:w="4536" w:type="dxa"/>
            <w:tcBorders>
              <w:top w:val="single" w:sz="4" w:space="0" w:color="auto"/>
              <w:left w:val="nil"/>
              <w:bottom w:val="single" w:sz="4" w:space="0" w:color="auto"/>
              <w:right w:val="single" w:sz="4" w:space="0" w:color="000000"/>
            </w:tcBorders>
            <w:shd w:val="clear" w:color="auto" w:fill="auto"/>
            <w:noWrap/>
            <w:hideMark/>
          </w:tcPr>
          <w:p w14:paraId="55F9B24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Industria e Comercio Automotivo Reis Ltda.</w:t>
            </w:r>
          </w:p>
        </w:tc>
        <w:tc>
          <w:tcPr>
            <w:tcW w:w="2693" w:type="dxa"/>
            <w:tcBorders>
              <w:top w:val="nil"/>
              <w:left w:val="nil"/>
              <w:bottom w:val="single" w:sz="4" w:space="0" w:color="auto"/>
              <w:right w:val="single" w:sz="4" w:space="0" w:color="auto"/>
            </w:tcBorders>
            <w:shd w:val="clear" w:color="auto" w:fill="auto"/>
            <w:vAlign w:val="bottom"/>
            <w:hideMark/>
          </w:tcPr>
          <w:p w14:paraId="673A736A"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5 processos</w:t>
            </w:r>
          </w:p>
          <w:p w14:paraId="486A86D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4011802931704</w:t>
            </w:r>
          </w:p>
          <w:p w14:paraId="39C4D8E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4011802931291</w:t>
            </w:r>
          </w:p>
          <w:p w14:paraId="4FC2D39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4011802931453</w:t>
            </w:r>
          </w:p>
          <w:p w14:paraId="003D0DD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4011802931372</w:t>
            </w:r>
          </w:p>
          <w:p w14:paraId="4149E3B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4011102132825</w:t>
            </w:r>
          </w:p>
        </w:tc>
      </w:tr>
      <w:tr w:rsidR="001A59FA" w:rsidRPr="00411A73" w14:paraId="6B48C7DB" w14:textId="77777777" w:rsidTr="00411A73">
        <w:trPr>
          <w:trHeight w:val="600"/>
        </w:trPr>
        <w:tc>
          <w:tcPr>
            <w:tcW w:w="2405" w:type="dxa"/>
            <w:tcBorders>
              <w:top w:val="nil"/>
              <w:left w:val="single" w:sz="4" w:space="0" w:color="auto"/>
              <w:bottom w:val="single" w:sz="4" w:space="0" w:color="auto"/>
              <w:right w:val="single" w:sz="4" w:space="0" w:color="auto"/>
            </w:tcBorders>
            <w:shd w:val="clear" w:color="auto" w:fill="auto"/>
            <w:noWrap/>
            <w:hideMark/>
          </w:tcPr>
          <w:p w14:paraId="0AFE819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08.882.877/0001-65</w:t>
            </w:r>
          </w:p>
        </w:tc>
        <w:tc>
          <w:tcPr>
            <w:tcW w:w="4536" w:type="dxa"/>
            <w:tcBorders>
              <w:top w:val="single" w:sz="4" w:space="0" w:color="auto"/>
              <w:left w:val="nil"/>
              <w:bottom w:val="single" w:sz="4" w:space="0" w:color="auto"/>
              <w:right w:val="single" w:sz="4" w:space="0" w:color="000000"/>
            </w:tcBorders>
            <w:shd w:val="clear" w:color="auto" w:fill="auto"/>
            <w:noWrap/>
            <w:hideMark/>
          </w:tcPr>
          <w:p w14:paraId="60BE114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Tim Transportes de Cargas Eireli- Epp</w:t>
            </w:r>
          </w:p>
        </w:tc>
        <w:tc>
          <w:tcPr>
            <w:tcW w:w="2693" w:type="dxa"/>
            <w:tcBorders>
              <w:top w:val="nil"/>
              <w:left w:val="nil"/>
              <w:bottom w:val="single" w:sz="4" w:space="0" w:color="auto"/>
              <w:right w:val="single" w:sz="4" w:space="0" w:color="auto"/>
            </w:tcBorders>
            <w:shd w:val="clear" w:color="auto" w:fill="auto"/>
            <w:vAlign w:val="bottom"/>
            <w:hideMark/>
          </w:tcPr>
          <w:p w14:paraId="76A912E6"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7 processos</w:t>
            </w:r>
          </w:p>
          <w:p w14:paraId="4F47006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4011501042986</w:t>
            </w:r>
          </w:p>
          <w:p w14:paraId="71E7838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4021500007416</w:t>
            </w:r>
          </w:p>
          <w:p w14:paraId="59AE960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4011501746444</w:t>
            </w:r>
          </w:p>
          <w:p w14:paraId="19BE9AA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4011503682443</w:t>
            </w:r>
          </w:p>
          <w:p w14:paraId="403EF7A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4011700111201</w:t>
            </w:r>
          </w:p>
          <w:p w14:paraId="4AAF30A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4011700993972</w:t>
            </w:r>
          </w:p>
          <w:p w14:paraId="3DEA945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4011702814544</w:t>
            </w:r>
          </w:p>
        </w:tc>
      </w:tr>
      <w:tr w:rsidR="001A59FA" w:rsidRPr="00411A73" w14:paraId="4AD34F77"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622813F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09.167.817/0001-23</w:t>
            </w:r>
          </w:p>
        </w:tc>
        <w:tc>
          <w:tcPr>
            <w:tcW w:w="4536" w:type="dxa"/>
            <w:tcBorders>
              <w:top w:val="single" w:sz="4" w:space="0" w:color="auto"/>
              <w:left w:val="nil"/>
              <w:bottom w:val="single" w:sz="4" w:space="0" w:color="auto"/>
              <w:right w:val="single" w:sz="4" w:space="0" w:color="000000"/>
            </w:tcBorders>
            <w:shd w:val="clear" w:color="auto" w:fill="auto"/>
            <w:noWrap/>
            <w:hideMark/>
          </w:tcPr>
          <w:p w14:paraId="3693E5C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PP Industria e Comercio de Alimentos Ltda.</w:t>
            </w:r>
          </w:p>
        </w:tc>
        <w:tc>
          <w:tcPr>
            <w:tcW w:w="2693" w:type="dxa"/>
            <w:tcBorders>
              <w:top w:val="nil"/>
              <w:left w:val="nil"/>
              <w:bottom w:val="single" w:sz="4" w:space="0" w:color="auto"/>
              <w:right w:val="single" w:sz="4" w:space="0" w:color="auto"/>
            </w:tcBorders>
            <w:shd w:val="clear" w:color="auto" w:fill="auto"/>
            <w:vAlign w:val="center"/>
            <w:hideMark/>
          </w:tcPr>
          <w:p w14:paraId="62E3738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2118620600004</w:t>
            </w:r>
          </w:p>
        </w:tc>
      </w:tr>
      <w:tr w:rsidR="001A59FA" w:rsidRPr="00411A73" w14:paraId="2A9356B3" w14:textId="77777777" w:rsidTr="00411A73">
        <w:trPr>
          <w:trHeight w:val="567"/>
        </w:trPr>
        <w:tc>
          <w:tcPr>
            <w:tcW w:w="2405" w:type="dxa"/>
            <w:tcBorders>
              <w:top w:val="nil"/>
              <w:left w:val="single" w:sz="4" w:space="0" w:color="auto"/>
              <w:bottom w:val="single" w:sz="4" w:space="0" w:color="auto"/>
              <w:right w:val="single" w:sz="4" w:space="0" w:color="auto"/>
            </w:tcBorders>
            <w:shd w:val="clear" w:color="auto" w:fill="auto"/>
            <w:noWrap/>
            <w:hideMark/>
          </w:tcPr>
          <w:p w14:paraId="279C712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09.392.865/0001-15</w:t>
            </w:r>
          </w:p>
        </w:tc>
        <w:tc>
          <w:tcPr>
            <w:tcW w:w="4536" w:type="dxa"/>
            <w:tcBorders>
              <w:top w:val="single" w:sz="4" w:space="0" w:color="auto"/>
              <w:left w:val="nil"/>
              <w:bottom w:val="single" w:sz="4" w:space="0" w:color="auto"/>
              <w:right w:val="single" w:sz="4" w:space="0" w:color="000000"/>
            </w:tcBorders>
            <w:shd w:val="clear" w:color="auto" w:fill="auto"/>
            <w:noWrap/>
            <w:hideMark/>
          </w:tcPr>
          <w:p w14:paraId="37ACE43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JP Moinho de Trigo Eireli</w:t>
            </w:r>
          </w:p>
        </w:tc>
        <w:tc>
          <w:tcPr>
            <w:tcW w:w="2693" w:type="dxa"/>
            <w:tcBorders>
              <w:top w:val="nil"/>
              <w:left w:val="nil"/>
              <w:bottom w:val="single" w:sz="4" w:space="0" w:color="auto"/>
              <w:right w:val="single" w:sz="4" w:space="0" w:color="auto"/>
            </w:tcBorders>
            <w:shd w:val="clear" w:color="auto" w:fill="auto"/>
            <w:vAlign w:val="bottom"/>
            <w:hideMark/>
          </w:tcPr>
          <w:p w14:paraId="7EBBFB07"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20 processos</w:t>
            </w:r>
          </w:p>
          <w:p w14:paraId="0C9A2EB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2085636300099</w:t>
            </w:r>
          </w:p>
          <w:p w14:paraId="11FEB6A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4011401340977</w:t>
            </w:r>
          </w:p>
          <w:p w14:paraId="73B15FB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4011402014283</w:t>
            </w:r>
          </w:p>
          <w:p w14:paraId="76B284F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4011402029710</w:t>
            </w:r>
          </w:p>
          <w:p w14:paraId="39A2DCB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4011402300294</w:t>
            </w:r>
          </w:p>
          <w:p w14:paraId="37F9C66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2089339200068</w:t>
            </w:r>
          </w:p>
          <w:p w14:paraId="043DFFB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4011403261314</w:t>
            </w:r>
          </w:p>
          <w:p w14:paraId="5986F6B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4011500450703</w:t>
            </w:r>
          </w:p>
          <w:p w14:paraId="29B3233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4011500635169</w:t>
            </w:r>
          </w:p>
          <w:p w14:paraId="585AEE4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4011500635320</w:t>
            </w:r>
          </w:p>
          <w:p w14:paraId="337469A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4011502176617</w:t>
            </w:r>
          </w:p>
          <w:p w14:paraId="1405B3D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4011601008305</w:t>
            </w:r>
          </w:p>
          <w:p w14:paraId="39D0EAD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4011602506619</w:t>
            </w:r>
          </w:p>
          <w:p w14:paraId="1ECEFD2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4011603775486</w:t>
            </w:r>
          </w:p>
          <w:p w14:paraId="05D16A2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4011603822581</w:t>
            </w:r>
          </w:p>
          <w:p w14:paraId="4DE11BA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4011603823120</w:t>
            </w:r>
          </w:p>
          <w:p w14:paraId="4FEDA65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4011700209104</w:t>
            </w:r>
          </w:p>
          <w:p w14:paraId="6B13099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4011702318482</w:t>
            </w:r>
          </w:p>
          <w:p w14:paraId="546378E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4011802134006</w:t>
            </w:r>
          </w:p>
          <w:p w14:paraId="07217BB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2143645300099</w:t>
            </w:r>
          </w:p>
        </w:tc>
      </w:tr>
      <w:tr w:rsidR="001A59FA" w:rsidRPr="00411A73" w14:paraId="1369E346" w14:textId="77777777" w:rsidTr="00411A73">
        <w:trPr>
          <w:trHeight w:val="600"/>
        </w:trPr>
        <w:tc>
          <w:tcPr>
            <w:tcW w:w="2405" w:type="dxa"/>
            <w:tcBorders>
              <w:top w:val="nil"/>
              <w:left w:val="single" w:sz="4" w:space="0" w:color="auto"/>
              <w:bottom w:val="single" w:sz="4" w:space="0" w:color="auto"/>
              <w:right w:val="single" w:sz="4" w:space="0" w:color="auto"/>
            </w:tcBorders>
            <w:shd w:val="clear" w:color="auto" w:fill="auto"/>
            <w:noWrap/>
            <w:hideMark/>
          </w:tcPr>
          <w:p w14:paraId="7171CE3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09.432.935/0001-11</w:t>
            </w:r>
          </w:p>
        </w:tc>
        <w:tc>
          <w:tcPr>
            <w:tcW w:w="4536" w:type="dxa"/>
            <w:tcBorders>
              <w:top w:val="single" w:sz="4" w:space="0" w:color="auto"/>
              <w:left w:val="nil"/>
              <w:bottom w:val="single" w:sz="4" w:space="0" w:color="auto"/>
              <w:right w:val="single" w:sz="4" w:space="0" w:color="000000"/>
            </w:tcBorders>
            <w:shd w:val="clear" w:color="auto" w:fill="auto"/>
            <w:noWrap/>
            <w:hideMark/>
          </w:tcPr>
          <w:p w14:paraId="360209B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 xml:space="preserve">Engevel - Veículos Especiais Indu. e Comercio Importados </w:t>
            </w:r>
          </w:p>
        </w:tc>
        <w:tc>
          <w:tcPr>
            <w:tcW w:w="2693" w:type="dxa"/>
            <w:tcBorders>
              <w:top w:val="nil"/>
              <w:left w:val="nil"/>
              <w:bottom w:val="single" w:sz="4" w:space="0" w:color="auto"/>
              <w:right w:val="single" w:sz="4" w:space="0" w:color="auto"/>
            </w:tcBorders>
            <w:shd w:val="clear" w:color="auto" w:fill="auto"/>
            <w:vAlign w:val="bottom"/>
            <w:hideMark/>
          </w:tcPr>
          <w:p w14:paraId="073BD8F3"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5 processos</w:t>
            </w:r>
          </w:p>
          <w:p w14:paraId="1DFE947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2094045200024</w:t>
            </w:r>
          </w:p>
          <w:p w14:paraId="4A9300F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2110185100095</w:t>
            </w:r>
          </w:p>
          <w:p w14:paraId="0499964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2110724300001</w:t>
            </w:r>
          </w:p>
          <w:p w14:paraId="13269CE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2114125700072</w:t>
            </w:r>
          </w:p>
          <w:p w14:paraId="4B5EEAF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2125363700083</w:t>
            </w:r>
          </w:p>
        </w:tc>
      </w:tr>
      <w:tr w:rsidR="001A59FA" w:rsidRPr="00411A73" w14:paraId="6123CE84"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6040B57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10.675.555/0001-97</w:t>
            </w:r>
          </w:p>
        </w:tc>
        <w:tc>
          <w:tcPr>
            <w:tcW w:w="4536" w:type="dxa"/>
            <w:tcBorders>
              <w:top w:val="single" w:sz="4" w:space="0" w:color="auto"/>
              <w:left w:val="nil"/>
              <w:bottom w:val="single" w:sz="4" w:space="0" w:color="auto"/>
              <w:right w:val="single" w:sz="4" w:space="0" w:color="000000"/>
            </w:tcBorders>
            <w:shd w:val="clear" w:color="auto" w:fill="auto"/>
            <w:noWrap/>
            <w:hideMark/>
          </w:tcPr>
          <w:p w14:paraId="2D7E898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Tecnomont Montagens Industriais Ltda.</w:t>
            </w:r>
          </w:p>
        </w:tc>
        <w:tc>
          <w:tcPr>
            <w:tcW w:w="2693" w:type="dxa"/>
            <w:tcBorders>
              <w:top w:val="nil"/>
              <w:left w:val="nil"/>
              <w:bottom w:val="single" w:sz="4" w:space="0" w:color="auto"/>
              <w:right w:val="single" w:sz="4" w:space="0" w:color="auto"/>
            </w:tcBorders>
            <w:shd w:val="clear" w:color="auto" w:fill="auto"/>
            <w:noWrap/>
            <w:vAlign w:val="bottom"/>
            <w:hideMark/>
          </w:tcPr>
          <w:p w14:paraId="6A6F883D"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4 processos</w:t>
            </w:r>
          </w:p>
          <w:p w14:paraId="53CA77D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4011503579863</w:t>
            </w:r>
          </w:p>
          <w:p w14:paraId="196400E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4011601651178</w:t>
            </w:r>
          </w:p>
          <w:p w14:paraId="2C8314D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4011700050822</w:t>
            </w:r>
          </w:p>
          <w:p w14:paraId="3BC3C9D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2141717500076</w:t>
            </w:r>
          </w:p>
        </w:tc>
      </w:tr>
      <w:tr w:rsidR="001A59FA" w:rsidRPr="00411A73" w14:paraId="02C28E50"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35B696B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10.917.819/0006-86</w:t>
            </w:r>
          </w:p>
        </w:tc>
        <w:tc>
          <w:tcPr>
            <w:tcW w:w="4536" w:type="dxa"/>
            <w:tcBorders>
              <w:top w:val="single" w:sz="4" w:space="0" w:color="auto"/>
              <w:left w:val="nil"/>
              <w:bottom w:val="single" w:sz="4" w:space="0" w:color="auto"/>
              <w:right w:val="single" w:sz="4" w:space="0" w:color="000000"/>
            </w:tcBorders>
            <w:shd w:val="clear" w:color="auto" w:fill="auto"/>
            <w:noWrap/>
            <w:hideMark/>
          </w:tcPr>
          <w:p w14:paraId="38C1A30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Lafarge Brasil S.A.</w:t>
            </w:r>
          </w:p>
        </w:tc>
        <w:tc>
          <w:tcPr>
            <w:tcW w:w="2693" w:type="dxa"/>
            <w:tcBorders>
              <w:top w:val="nil"/>
              <w:left w:val="nil"/>
              <w:bottom w:val="single" w:sz="4" w:space="0" w:color="auto"/>
              <w:right w:val="single" w:sz="4" w:space="0" w:color="auto"/>
            </w:tcBorders>
            <w:shd w:val="clear" w:color="auto" w:fill="auto"/>
            <w:noWrap/>
            <w:vAlign w:val="center"/>
            <w:hideMark/>
          </w:tcPr>
          <w:p w14:paraId="77974F1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4011202799520</w:t>
            </w:r>
          </w:p>
        </w:tc>
      </w:tr>
      <w:tr w:rsidR="001A59FA" w:rsidRPr="00411A73" w14:paraId="0A1FFC81"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7CDA3BE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11.973.719/0001-25</w:t>
            </w:r>
          </w:p>
        </w:tc>
        <w:tc>
          <w:tcPr>
            <w:tcW w:w="4536" w:type="dxa"/>
            <w:tcBorders>
              <w:top w:val="single" w:sz="4" w:space="0" w:color="auto"/>
              <w:left w:val="nil"/>
              <w:bottom w:val="single" w:sz="4" w:space="0" w:color="auto"/>
              <w:right w:val="single" w:sz="4" w:space="0" w:color="000000"/>
            </w:tcBorders>
            <w:shd w:val="clear" w:color="auto" w:fill="auto"/>
            <w:noWrap/>
            <w:hideMark/>
          </w:tcPr>
          <w:p w14:paraId="5B38C02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Baby Mania Fraldas Descartáveis Ltda. - EPP</w:t>
            </w:r>
          </w:p>
        </w:tc>
        <w:tc>
          <w:tcPr>
            <w:tcW w:w="2693" w:type="dxa"/>
            <w:tcBorders>
              <w:top w:val="nil"/>
              <w:left w:val="nil"/>
              <w:bottom w:val="single" w:sz="4" w:space="0" w:color="auto"/>
              <w:right w:val="single" w:sz="4" w:space="0" w:color="auto"/>
            </w:tcBorders>
            <w:shd w:val="clear" w:color="auto" w:fill="auto"/>
            <w:noWrap/>
            <w:vAlign w:val="bottom"/>
            <w:hideMark/>
          </w:tcPr>
          <w:p w14:paraId="2B312BD5"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 processos</w:t>
            </w:r>
          </w:p>
          <w:p w14:paraId="186B47A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2143656600030</w:t>
            </w:r>
          </w:p>
          <w:p w14:paraId="66A95B4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2145061800020</w:t>
            </w:r>
          </w:p>
        </w:tc>
      </w:tr>
      <w:tr w:rsidR="001A59FA" w:rsidRPr="00411A73" w14:paraId="52F356DE"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0826937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12.006.775/0001-53</w:t>
            </w:r>
          </w:p>
        </w:tc>
        <w:tc>
          <w:tcPr>
            <w:tcW w:w="4536" w:type="dxa"/>
            <w:tcBorders>
              <w:top w:val="single" w:sz="4" w:space="0" w:color="auto"/>
              <w:left w:val="nil"/>
              <w:bottom w:val="single" w:sz="4" w:space="0" w:color="auto"/>
              <w:right w:val="single" w:sz="4" w:space="0" w:color="000000"/>
            </w:tcBorders>
            <w:shd w:val="clear" w:color="auto" w:fill="auto"/>
            <w:noWrap/>
            <w:hideMark/>
          </w:tcPr>
          <w:p w14:paraId="4AF320D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Toyama do Centro Oeste Maquinas Ltda.</w:t>
            </w:r>
          </w:p>
        </w:tc>
        <w:tc>
          <w:tcPr>
            <w:tcW w:w="2693" w:type="dxa"/>
            <w:tcBorders>
              <w:top w:val="nil"/>
              <w:left w:val="nil"/>
              <w:bottom w:val="single" w:sz="4" w:space="0" w:color="auto"/>
              <w:right w:val="single" w:sz="4" w:space="0" w:color="auto"/>
            </w:tcBorders>
            <w:shd w:val="clear" w:color="auto" w:fill="auto"/>
            <w:noWrap/>
            <w:vAlign w:val="center"/>
            <w:hideMark/>
          </w:tcPr>
          <w:p w14:paraId="6C3F497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2143655700049</w:t>
            </w:r>
          </w:p>
        </w:tc>
      </w:tr>
      <w:tr w:rsidR="001A59FA" w:rsidRPr="00411A73" w14:paraId="1F1993C9" w14:textId="77777777" w:rsidTr="00411A73">
        <w:trPr>
          <w:trHeight w:val="1500"/>
        </w:trPr>
        <w:tc>
          <w:tcPr>
            <w:tcW w:w="2405" w:type="dxa"/>
            <w:tcBorders>
              <w:top w:val="nil"/>
              <w:left w:val="single" w:sz="4" w:space="0" w:color="auto"/>
              <w:bottom w:val="single" w:sz="4" w:space="0" w:color="auto"/>
              <w:right w:val="single" w:sz="4" w:space="0" w:color="auto"/>
            </w:tcBorders>
            <w:shd w:val="clear" w:color="auto" w:fill="auto"/>
            <w:noWrap/>
            <w:hideMark/>
          </w:tcPr>
          <w:p w14:paraId="5C58524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13.005.496/0001-38</w:t>
            </w:r>
          </w:p>
        </w:tc>
        <w:tc>
          <w:tcPr>
            <w:tcW w:w="4536" w:type="dxa"/>
            <w:tcBorders>
              <w:top w:val="single" w:sz="4" w:space="0" w:color="auto"/>
              <w:left w:val="nil"/>
              <w:bottom w:val="single" w:sz="4" w:space="0" w:color="auto"/>
              <w:right w:val="single" w:sz="4" w:space="0" w:color="000000"/>
            </w:tcBorders>
            <w:shd w:val="clear" w:color="auto" w:fill="auto"/>
            <w:noWrap/>
            <w:hideMark/>
          </w:tcPr>
          <w:p w14:paraId="435A0AA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Kessler Industrial Alimentos Ltda.</w:t>
            </w:r>
          </w:p>
        </w:tc>
        <w:tc>
          <w:tcPr>
            <w:tcW w:w="2693" w:type="dxa"/>
            <w:tcBorders>
              <w:top w:val="nil"/>
              <w:left w:val="nil"/>
              <w:bottom w:val="single" w:sz="4" w:space="0" w:color="auto"/>
              <w:right w:val="single" w:sz="4" w:space="0" w:color="auto"/>
            </w:tcBorders>
            <w:shd w:val="clear" w:color="auto" w:fill="auto"/>
            <w:vAlign w:val="bottom"/>
            <w:hideMark/>
          </w:tcPr>
          <w:p w14:paraId="705832E3"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19 processos</w:t>
            </w:r>
          </w:p>
          <w:p w14:paraId="02A5167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2061637600064</w:t>
            </w:r>
          </w:p>
          <w:p w14:paraId="125BB19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2085649400011</w:t>
            </w:r>
          </w:p>
          <w:p w14:paraId="62B7D57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4011401019460</w:t>
            </w:r>
          </w:p>
          <w:p w14:paraId="4184A27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4011401233895</w:t>
            </w:r>
          </w:p>
          <w:p w14:paraId="1858F16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4011401340381</w:t>
            </w:r>
          </w:p>
          <w:p w14:paraId="27324EF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4011402828787</w:t>
            </w:r>
          </w:p>
          <w:p w14:paraId="500C434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2096498700068</w:t>
            </w:r>
          </w:p>
          <w:p w14:paraId="017EDE8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4011500225424</w:t>
            </w:r>
          </w:p>
          <w:p w14:paraId="7B2CB18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4011500462477</w:t>
            </w:r>
          </w:p>
          <w:p w14:paraId="7CA4180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4011500779594</w:t>
            </w:r>
          </w:p>
          <w:p w14:paraId="3E3ADDE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4011500803991</w:t>
            </w:r>
          </w:p>
          <w:p w14:paraId="736079A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4011600082161</w:t>
            </w:r>
          </w:p>
          <w:p w14:paraId="5728E4F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2138975500001</w:t>
            </w:r>
          </w:p>
          <w:p w14:paraId="56E4F98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4011800590969</w:t>
            </w:r>
          </w:p>
          <w:p w14:paraId="2944838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4011802858357</w:t>
            </w:r>
          </w:p>
          <w:p w14:paraId="4477D98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4011802915091</w:t>
            </w:r>
          </w:p>
          <w:p w14:paraId="44E1861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2143661200028</w:t>
            </w:r>
          </w:p>
          <w:p w14:paraId="1AE2A72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2144359300048</w:t>
            </w:r>
          </w:p>
          <w:p w14:paraId="0432775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2119576900000</w:t>
            </w:r>
          </w:p>
        </w:tc>
      </w:tr>
      <w:tr w:rsidR="001A59FA" w:rsidRPr="00411A73" w14:paraId="741A7EAB" w14:textId="77777777" w:rsidTr="00411A73">
        <w:trPr>
          <w:trHeight w:val="600"/>
        </w:trPr>
        <w:tc>
          <w:tcPr>
            <w:tcW w:w="2405" w:type="dxa"/>
            <w:tcBorders>
              <w:top w:val="nil"/>
              <w:left w:val="single" w:sz="4" w:space="0" w:color="auto"/>
              <w:bottom w:val="single" w:sz="4" w:space="0" w:color="auto"/>
              <w:right w:val="single" w:sz="4" w:space="0" w:color="auto"/>
            </w:tcBorders>
            <w:shd w:val="clear" w:color="auto" w:fill="auto"/>
            <w:noWrap/>
            <w:hideMark/>
          </w:tcPr>
          <w:p w14:paraId="3347429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13.036.559/0001-13</w:t>
            </w:r>
          </w:p>
        </w:tc>
        <w:tc>
          <w:tcPr>
            <w:tcW w:w="4536" w:type="dxa"/>
            <w:tcBorders>
              <w:top w:val="single" w:sz="4" w:space="0" w:color="auto"/>
              <w:left w:val="nil"/>
              <w:bottom w:val="single" w:sz="4" w:space="0" w:color="auto"/>
              <w:right w:val="single" w:sz="4" w:space="0" w:color="000000"/>
            </w:tcBorders>
            <w:shd w:val="clear" w:color="auto" w:fill="auto"/>
            <w:noWrap/>
            <w:hideMark/>
          </w:tcPr>
          <w:p w14:paraId="4FD15F2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Akron Pharma S/A</w:t>
            </w:r>
          </w:p>
        </w:tc>
        <w:tc>
          <w:tcPr>
            <w:tcW w:w="2693" w:type="dxa"/>
            <w:tcBorders>
              <w:top w:val="nil"/>
              <w:left w:val="nil"/>
              <w:bottom w:val="single" w:sz="4" w:space="0" w:color="auto"/>
              <w:right w:val="single" w:sz="4" w:space="0" w:color="auto"/>
            </w:tcBorders>
            <w:shd w:val="clear" w:color="auto" w:fill="auto"/>
            <w:vAlign w:val="bottom"/>
            <w:hideMark/>
          </w:tcPr>
          <w:p w14:paraId="2E3C815C"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7 processos</w:t>
            </w:r>
          </w:p>
          <w:p w14:paraId="623B7B9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4011800047807</w:t>
            </w:r>
          </w:p>
          <w:p w14:paraId="1F02240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4011800772560</w:t>
            </w:r>
          </w:p>
          <w:p w14:paraId="302D134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4011801784945</w:t>
            </w:r>
          </w:p>
          <w:p w14:paraId="4C48A85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4011802539170</w:t>
            </w:r>
          </w:p>
          <w:p w14:paraId="1A6ED18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2143660700051</w:t>
            </w:r>
          </w:p>
          <w:p w14:paraId="2868B2D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2144139300014</w:t>
            </w:r>
          </w:p>
          <w:p w14:paraId="53A1753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2144358900025</w:t>
            </w:r>
          </w:p>
        </w:tc>
      </w:tr>
      <w:tr w:rsidR="001A59FA" w:rsidRPr="00411A73" w14:paraId="5CF80A5D" w14:textId="77777777" w:rsidTr="00411A73">
        <w:trPr>
          <w:trHeight w:val="900"/>
        </w:trPr>
        <w:tc>
          <w:tcPr>
            <w:tcW w:w="2405" w:type="dxa"/>
            <w:tcBorders>
              <w:top w:val="nil"/>
              <w:left w:val="single" w:sz="4" w:space="0" w:color="auto"/>
              <w:bottom w:val="single" w:sz="4" w:space="0" w:color="auto"/>
              <w:right w:val="single" w:sz="4" w:space="0" w:color="auto"/>
            </w:tcBorders>
            <w:shd w:val="clear" w:color="auto" w:fill="auto"/>
            <w:noWrap/>
            <w:hideMark/>
          </w:tcPr>
          <w:p w14:paraId="377A4F1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13.130.403/0001-05</w:t>
            </w:r>
          </w:p>
        </w:tc>
        <w:tc>
          <w:tcPr>
            <w:tcW w:w="4536" w:type="dxa"/>
            <w:tcBorders>
              <w:top w:val="single" w:sz="4" w:space="0" w:color="auto"/>
              <w:left w:val="nil"/>
              <w:bottom w:val="single" w:sz="4" w:space="0" w:color="auto"/>
              <w:right w:val="single" w:sz="4" w:space="0" w:color="000000"/>
            </w:tcBorders>
            <w:shd w:val="clear" w:color="auto" w:fill="auto"/>
            <w:noWrap/>
            <w:hideMark/>
          </w:tcPr>
          <w:p w14:paraId="6A3937F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Peixe Brasil, Industria, Comercio e Exportação</w:t>
            </w:r>
          </w:p>
        </w:tc>
        <w:tc>
          <w:tcPr>
            <w:tcW w:w="2693" w:type="dxa"/>
            <w:tcBorders>
              <w:top w:val="nil"/>
              <w:left w:val="nil"/>
              <w:bottom w:val="single" w:sz="4" w:space="0" w:color="auto"/>
              <w:right w:val="single" w:sz="4" w:space="0" w:color="auto"/>
            </w:tcBorders>
            <w:shd w:val="clear" w:color="auto" w:fill="auto"/>
            <w:vAlign w:val="bottom"/>
            <w:hideMark/>
          </w:tcPr>
          <w:p w14:paraId="3025D0CF"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9 processos</w:t>
            </w:r>
          </w:p>
          <w:p w14:paraId="35C85E4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4011701096192</w:t>
            </w:r>
          </w:p>
          <w:p w14:paraId="62D4C14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4011801190484</w:t>
            </w:r>
          </w:p>
          <w:p w14:paraId="1707763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4011801335202</w:t>
            </w:r>
          </w:p>
          <w:p w14:paraId="144F096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4011801334311</w:t>
            </w:r>
          </w:p>
          <w:p w14:paraId="3727893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4011801335555</w:t>
            </w:r>
          </w:p>
          <w:p w14:paraId="02C78E3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4011801501072</w:t>
            </w:r>
          </w:p>
          <w:p w14:paraId="3CA7DDA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4011801494866</w:t>
            </w:r>
          </w:p>
          <w:p w14:paraId="0EEE107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4011801495161</w:t>
            </w:r>
          </w:p>
          <w:p w14:paraId="5DFA0E0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4011802539332</w:t>
            </w:r>
          </w:p>
        </w:tc>
      </w:tr>
      <w:tr w:rsidR="001A59FA" w:rsidRPr="00411A73" w14:paraId="01086EDB"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32B26EF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13.459.081/0001-34</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25904F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GSE Automotiva Ltda.</w:t>
            </w:r>
          </w:p>
        </w:tc>
        <w:tc>
          <w:tcPr>
            <w:tcW w:w="2693" w:type="dxa"/>
            <w:tcBorders>
              <w:top w:val="nil"/>
              <w:left w:val="nil"/>
              <w:bottom w:val="single" w:sz="4" w:space="0" w:color="auto"/>
              <w:right w:val="single" w:sz="4" w:space="0" w:color="auto"/>
            </w:tcBorders>
            <w:shd w:val="clear" w:color="auto" w:fill="auto"/>
            <w:noWrap/>
            <w:vAlign w:val="center"/>
            <w:hideMark/>
          </w:tcPr>
          <w:p w14:paraId="2C20CA9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2144143200029</w:t>
            </w:r>
          </w:p>
        </w:tc>
      </w:tr>
      <w:tr w:rsidR="001A59FA" w:rsidRPr="00411A73" w14:paraId="0DD27FE6" w14:textId="77777777" w:rsidTr="00411A73">
        <w:trPr>
          <w:trHeight w:val="900"/>
        </w:trPr>
        <w:tc>
          <w:tcPr>
            <w:tcW w:w="2405" w:type="dxa"/>
            <w:tcBorders>
              <w:top w:val="nil"/>
              <w:left w:val="single" w:sz="4" w:space="0" w:color="auto"/>
              <w:bottom w:val="single" w:sz="4" w:space="0" w:color="auto"/>
              <w:right w:val="single" w:sz="4" w:space="0" w:color="auto"/>
            </w:tcBorders>
            <w:shd w:val="clear" w:color="auto" w:fill="auto"/>
            <w:noWrap/>
            <w:hideMark/>
          </w:tcPr>
          <w:p w14:paraId="3B917EE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13.552.751/0001-62</w:t>
            </w:r>
          </w:p>
        </w:tc>
        <w:tc>
          <w:tcPr>
            <w:tcW w:w="4536" w:type="dxa"/>
            <w:tcBorders>
              <w:top w:val="single" w:sz="4" w:space="0" w:color="auto"/>
              <w:left w:val="nil"/>
              <w:bottom w:val="single" w:sz="4" w:space="0" w:color="auto"/>
              <w:right w:val="single" w:sz="4" w:space="0" w:color="000000"/>
            </w:tcBorders>
            <w:shd w:val="clear" w:color="auto" w:fill="auto"/>
            <w:noWrap/>
            <w:hideMark/>
          </w:tcPr>
          <w:p w14:paraId="57BF533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3G Express Transporte e Logística Eireli</w:t>
            </w:r>
          </w:p>
        </w:tc>
        <w:tc>
          <w:tcPr>
            <w:tcW w:w="2693" w:type="dxa"/>
            <w:tcBorders>
              <w:top w:val="nil"/>
              <w:left w:val="nil"/>
              <w:bottom w:val="single" w:sz="4" w:space="0" w:color="auto"/>
              <w:right w:val="single" w:sz="4" w:space="0" w:color="auto"/>
            </w:tcBorders>
            <w:shd w:val="clear" w:color="auto" w:fill="auto"/>
            <w:vAlign w:val="bottom"/>
            <w:hideMark/>
          </w:tcPr>
          <w:p w14:paraId="61E859B8"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11 processos</w:t>
            </w:r>
          </w:p>
          <w:p w14:paraId="29C6C18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4011702552590</w:t>
            </w:r>
          </w:p>
          <w:p w14:paraId="48FB688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4011702799308</w:t>
            </w:r>
          </w:p>
          <w:p w14:paraId="6FE4FE7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4011801744994</w:t>
            </w:r>
          </w:p>
          <w:p w14:paraId="3F041B9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4011802550220</w:t>
            </w:r>
          </w:p>
          <w:p w14:paraId="1BA428F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4011802981124</w:t>
            </w:r>
          </w:p>
          <w:p w14:paraId="03C501F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4011900067508</w:t>
            </w:r>
          </w:p>
          <w:p w14:paraId="37E875C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4011900255002</w:t>
            </w:r>
          </w:p>
          <w:p w14:paraId="6BFC585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4011900483137</w:t>
            </w:r>
          </w:p>
          <w:p w14:paraId="4AD51EA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4011900715445</w:t>
            </w:r>
          </w:p>
          <w:p w14:paraId="6D04BC0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4011901028654</w:t>
            </w:r>
          </w:p>
          <w:p w14:paraId="69AF86C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4011901272059</w:t>
            </w:r>
          </w:p>
        </w:tc>
      </w:tr>
      <w:tr w:rsidR="001A59FA" w:rsidRPr="00411A73" w14:paraId="7EB47CEF"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5F815AD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14.677.905/0001-05</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086E47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DF implementos industriais Ltda.</w:t>
            </w:r>
          </w:p>
        </w:tc>
        <w:tc>
          <w:tcPr>
            <w:tcW w:w="2693" w:type="dxa"/>
            <w:tcBorders>
              <w:top w:val="nil"/>
              <w:left w:val="nil"/>
              <w:bottom w:val="single" w:sz="4" w:space="0" w:color="auto"/>
              <w:right w:val="single" w:sz="4" w:space="0" w:color="auto"/>
            </w:tcBorders>
            <w:shd w:val="clear" w:color="auto" w:fill="auto"/>
            <w:noWrap/>
            <w:vAlign w:val="bottom"/>
            <w:hideMark/>
          </w:tcPr>
          <w:p w14:paraId="51F77475"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4 processos</w:t>
            </w:r>
          </w:p>
          <w:p w14:paraId="1D3B946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2096826900033</w:t>
            </w:r>
          </w:p>
          <w:p w14:paraId="11BA22C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2100965500079</w:t>
            </w:r>
          </w:p>
          <w:p w14:paraId="2CD58FA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2137104600019</w:t>
            </w:r>
          </w:p>
          <w:p w14:paraId="17F3CAB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2113453400093</w:t>
            </w:r>
          </w:p>
        </w:tc>
      </w:tr>
      <w:tr w:rsidR="001A59FA" w:rsidRPr="00411A73" w14:paraId="37191049"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6D29CE5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15.373.352/0001-60</w:t>
            </w:r>
          </w:p>
        </w:tc>
        <w:tc>
          <w:tcPr>
            <w:tcW w:w="4536" w:type="dxa"/>
            <w:tcBorders>
              <w:top w:val="single" w:sz="4" w:space="0" w:color="auto"/>
              <w:left w:val="nil"/>
              <w:bottom w:val="single" w:sz="4" w:space="0" w:color="auto"/>
              <w:right w:val="single" w:sz="4" w:space="0" w:color="000000"/>
            </w:tcBorders>
            <w:shd w:val="clear" w:color="auto" w:fill="auto"/>
            <w:noWrap/>
            <w:hideMark/>
          </w:tcPr>
          <w:p w14:paraId="77DDC0A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Microcervejaria Catalão Ltda.</w:t>
            </w:r>
          </w:p>
        </w:tc>
        <w:tc>
          <w:tcPr>
            <w:tcW w:w="2693" w:type="dxa"/>
            <w:tcBorders>
              <w:top w:val="nil"/>
              <w:left w:val="nil"/>
              <w:bottom w:val="single" w:sz="4" w:space="0" w:color="auto"/>
              <w:right w:val="single" w:sz="4" w:space="0" w:color="auto"/>
            </w:tcBorders>
            <w:shd w:val="clear" w:color="auto" w:fill="auto"/>
            <w:noWrap/>
            <w:vAlign w:val="bottom"/>
            <w:hideMark/>
          </w:tcPr>
          <w:p w14:paraId="11340FC0"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 processos</w:t>
            </w:r>
          </w:p>
          <w:p w14:paraId="154CE6D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2139550800070</w:t>
            </w:r>
          </w:p>
          <w:p w14:paraId="4240480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2144368700053</w:t>
            </w:r>
          </w:p>
        </w:tc>
      </w:tr>
      <w:tr w:rsidR="001A59FA" w:rsidRPr="00411A73" w14:paraId="14912ECB"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57929A2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16.694.362/0001-60</w:t>
            </w:r>
          </w:p>
        </w:tc>
        <w:tc>
          <w:tcPr>
            <w:tcW w:w="4536" w:type="dxa"/>
            <w:tcBorders>
              <w:top w:val="single" w:sz="4" w:space="0" w:color="auto"/>
              <w:left w:val="nil"/>
              <w:bottom w:val="single" w:sz="4" w:space="0" w:color="auto"/>
              <w:right w:val="single" w:sz="4" w:space="0" w:color="000000"/>
            </w:tcBorders>
            <w:shd w:val="clear" w:color="auto" w:fill="auto"/>
            <w:noWrap/>
            <w:hideMark/>
          </w:tcPr>
          <w:p w14:paraId="2E2FED7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Roots Industria e Comercio de Gêneros Alimentícios</w:t>
            </w:r>
          </w:p>
        </w:tc>
        <w:tc>
          <w:tcPr>
            <w:tcW w:w="2693" w:type="dxa"/>
            <w:tcBorders>
              <w:top w:val="nil"/>
              <w:left w:val="nil"/>
              <w:bottom w:val="single" w:sz="4" w:space="0" w:color="auto"/>
              <w:right w:val="single" w:sz="4" w:space="0" w:color="auto"/>
            </w:tcBorders>
            <w:shd w:val="clear" w:color="auto" w:fill="auto"/>
            <w:noWrap/>
            <w:vAlign w:val="center"/>
            <w:hideMark/>
          </w:tcPr>
          <w:p w14:paraId="7FB66D6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2118657400017</w:t>
            </w:r>
          </w:p>
        </w:tc>
      </w:tr>
      <w:tr w:rsidR="001A59FA" w:rsidRPr="00411A73" w14:paraId="6064A3B5"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20BCD1C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16.849.231/0016-90</w:t>
            </w:r>
          </w:p>
          <w:p w14:paraId="06C8835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16.849.231/0017-71</w:t>
            </w:r>
          </w:p>
        </w:tc>
        <w:tc>
          <w:tcPr>
            <w:tcW w:w="4536" w:type="dxa"/>
            <w:tcBorders>
              <w:top w:val="single" w:sz="4" w:space="0" w:color="auto"/>
              <w:left w:val="nil"/>
              <w:bottom w:val="single" w:sz="4" w:space="0" w:color="auto"/>
              <w:right w:val="single" w:sz="4" w:space="0" w:color="000000"/>
            </w:tcBorders>
            <w:shd w:val="clear" w:color="auto" w:fill="auto"/>
            <w:noWrap/>
            <w:hideMark/>
          </w:tcPr>
          <w:p w14:paraId="556304A8" w14:textId="4A7F7066" w:rsidR="001A59FA" w:rsidRPr="00411A73" w:rsidRDefault="001A59FA" w:rsidP="00411A7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Itamb</w:t>
            </w:r>
            <w:r w:rsidR="00411A73">
              <w:rPr>
                <w:rFonts w:asciiTheme="minorHAnsi" w:hAnsiTheme="minorHAnsi" w:cstheme="minorHAnsi"/>
                <w:color w:val="000000"/>
                <w:sz w:val="22"/>
                <w:szCs w:val="22"/>
              </w:rPr>
              <w:t>é</w:t>
            </w:r>
            <w:r w:rsidRPr="00411A73">
              <w:rPr>
                <w:rFonts w:asciiTheme="minorHAnsi" w:hAnsiTheme="minorHAnsi" w:cstheme="minorHAnsi"/>
                <w:color w:val="000000"/>
                <w:sz w:val="22"/>
                <w:szCs w:val="22"/>
              </w:rPr>
              <w:t xml:space="preserve"> </w:t>
            </w:r>
            <w:r w:rsidR="00411A73" w:rsidRPr="00411A73">
              <w:rPr>
                <w:rFonts w:asciiTheme="minorHAnsi" w:hAnsiTheme="minorHAnsi" w:cstheme="minorHAnsi"/>
                <w:color w:val="000000"/>
                <w:sz w:val="22"/>
                <w:szCs w:val="22"/>
              </w:rPr>
              <w:t xml:space="preserve">Alimentos </w:t>
            </w:r>
            <w:r w:rsidRPr="00411A73">
              <w:rPr>
                <w:rFonts w:asciiTheme="minorHAnsi" w:hAnsiTheme="minorHAnsi" w:cstheme="minorHAnsi"/>
                <w:color w:val="000000"/>
                <w:sz w:val="22"/>
                <w:szCs w:val="22"/>
              </w:rPr>
              <w:t>s.a.</w:t>
            </w:r>
          </w:p>
        </w:tc>
        <w:tc>
          <w:tcPr>
            <w:tcW w:w="2693" w:type="dxa"/>
            <w:tcBorders>
              <w:top w:val="nil"/>
              <w:left w:val="nil"/>
              <w:bottom w:val="single" w:sz="4" w:space="0" w:color="auto"/>
              <w:right w:val="single" w:sz="4" w:space="0" w:color="auto"/>
            </w:tcBorders>
            <w:shd w:val="clear" w:color="auto" w:fill="auto"/>
            <w:noWrap/>
            <w:vAlign w:val="bottom"/>
            <w:hideMark/>
          </w:tcPr>
          <w:p w14:paraId="52B68463"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 processos</w:t>
            </w:r>
          </w:p>
          <w:p w14:paraId="3F019E4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3031840995179</w:t>
            </w:r>
          </w:p>
          <w:p w14:paraId="3C21311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3031874629035</w:t>
            </w:r>
          </w:p>
        </w:tc>
      </w:tr>
      <w:tr w:rsidR="001A59FA" w:rsidRPr="00411A73" w14:paraId="5619DBEF"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0FE92F9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17.101.880/0004-38</w:t>
            </w:r>
          </w:p>
        </w:tc>
        <w:tc>
          <w:tcPr>
            <w:tcW w:w="4536" w:type="dxa"/>
            <w:tcBorders>
              <w:top w:val="single" w:sz="4" w:space="0" w:color="auto"/>
              <w:left w:val="nil"/>
              <w:bottom w:val="single" w:sz="4" w:space="0" w:color="auto"/>
              <w:right w:val="single" w:sz="4" w:space="0" w:color="000000"/>
            </w:tcBorders>
            <w:shd w:val="clear" w:color="auto" w:fill="auto"/>
            <w:noWrap/>
            <w:hideMark/>
          </w:tcPr>
          <w:p w14:paraId="7FD4AA9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Orsa Internacional Papear Embalagens Ltda.</w:t>
            </w:r>
          </w:p>
        </w:tc>
        <w:tc>
          <w:tcPr>
            <w:tcW w:w="2693" w:type="dxa"/>
            <w:tcBorders>
              <w:top w:val="nil"/>
              <w:left w:val="nil"/>
              <w:bottom w:val="single" w:sz="4" w:space="0" w:color="auto"/>
              <w:right w:val="single" w:sz="4" w:space="0" w:color="auto"/>
            </w:tcBorders>
            <w:shd w:val="clear" w:color="auto" w:fill="auto"/>
            <w:noWrap/>
            <w:vAlign w:val="center"/>
            <w:hideMark/>
          </w:tcPr>
          <w:p w14:paraId="1CA08BA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4011800144675</w:t>
            </w:r>
          </w:p>
        </w:tc>
      </w:tr>
      <w:tr w:rsidR="001A59FA" w:rsidRPr="00411A73" w14:paraId="21A41D8D" w14:textId="77777777" w:rsidTr="00411A73">
        <w:trPr>
          <w:trHeight w:val="1200"/>
        </w:trPr>
        <w:tc>
          <w:tcPr>
            <w:tcW w:w="2405" w:type="dxa"/>
            <w:tcBorders>
              <w:top w:val="nil"/>
              <w:left w:val="single" w:sz="4" w:space="0" w:color="auto"/>
              <w:bottom w:val="single" w:sz="4" w:space="0" w:color="auto"/>
              <w:right w:val="single" w:sz="4" w:space="0" w:color="auto"/>
            </w:tcBorders>
            <w:shd w:val="clear" w:color="auto" w:fill="auto"/>
            <w:noWrap/>
            <w:hideMark/>
          </w:tcPr>
          <w:p w14:paraId="391732F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18.740.458/0002-23</w:t>
            </w:r>
          </w:p>
        </w:tc>
        <w:tc>
          <w:tcPr>
            <w:tcW w:w="4536" w:type="dxa"/>
            <w:tcBorders>
              <w:top w:val="single" w:sz="4" w:space="0" w:color="auto"/>
              <w:left w:val="nil"/>
              <w:bottom w:val="single" w:sz="4" w:space="0" w:color="auto"/>
              <w:right w:val="single" w:sz="4" w:space="0" w:color="000000"/>
            </w:tcBorders>
            <w:shd w:val="clear" w:color="auto" w:fill="auto"/>
            <w:noWrap/>
            <w:hideMark/>
          </w:tcPr>
          <w:p w14:paraId="4A0C2BF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JJZ Alimentos SA - Em Recuperação Judicial</w:t>
            </w:r>
          </w:p>
        </w:tc>
        <w:tc>
          <w:tcPr>
            <w:tcW w:w="2693" w:type="dxa"/>
            <w:tcBorders>
              <w:top w:val="nil"/>
              <w:left w:val="nil"/>
              <w:bottom w:val="single" w:sz="4" w:space="0" w:color="auto"/>
              <w:right w:val="single" w:sz="4" w:space="0" w:color="auto"/>
            </w:tcBorders>
            <w:shd w:val="clear" w:color="auto" w:fill="auto"/>
            <w:vAlign w:val="bottom"/>
            <w:hideMark/>
          </w:tcPr>
          <w:p w14:paraId="4FFE8515"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15 processos</w:t>
            </w:r>
          </w:p>
          <w:p w14:paraId="724449D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4011401050979</w:t>
            </w:r>
          </w:p>
          <w:p w14:paraId="40D2E8A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4011401852790</w:t>
            </w:r>
          </w:p>
          <w:p w14:paraId="7633ECD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4011402056288</w:t>
            </w:r>
          </w:p>
          <w:p w14:paraId="4112BBD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4011402148131</w:t>
            </w:r>
          </w:p>
          <w:p w14:paraId="06BD142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4011402573932</w:t>
            </w:r>
          </w:p>
          <w:p w14:paraId="1EB9F47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4011402738443</w:t>
            </w:r>
          </w:p>
          <w:p w14:paraId="5EE4D8E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4011403196903</w:t>
            </w:r>
          </w:p>
          <w:p w14:paraId="0C61843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4011403462646</w:t>
            </w:r>
          </w:p>
          <w:p w14:paraId="141AD0B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4011403747993</w:t>
            </w:r>
          </w:p>
          <w:p w14:paraId="63C6751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4011500225777</w:t>
            </w:r>
          </w:p>
          <w:p w14:paraId="4F86E76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4011500401842</w:t>
            </w:r>
          </w:p>
          <w:p w14:paraId="0568DB9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4011501734608</w:t>
            </w:r>
          </w:p>
          <w:p w14:paraId="22BC58D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4011701271377</w:t>
            </w:r>
          </w:p>
          <w:p w14:paraId="2EA9F48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4011701274040</w:t>
            </w:r>
          </w:p>
          <w:p w14:paraId="491765A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4011801336608</w:t>
            </w:r>
          </w:p>
        </w:tc>
      </w:tr>
      <w:tr w:rsidR="001A59FA" w:rsidRPr="00411A73" w14:paraId="2115B636" w14:textId="77777777" w:rsidTr="00411A73">
        <w:trPr>
          <w:trHeight w:val="2700"/>
        </w:trPr>
        <w:tc>
          <w:tcPr>
            <w:tcW w:w="2405" w:type="dxa"/>
            <w:tcBorders>
              <w:top w:val="nil"/>
              <w:left w:val="single" w:sz="4" w:space="0" w:color="auto"/>
              <w:bottom w:val="single" w:sz="4" w:space="0" w:color="auto"/>
              <w:right w:val="single" w:sz="4" w:space="0" w:color="auto"/>
            </w:tcBorders>
            <w:shd w:val="clear" w:color="auto" w:fill="auto"/>
            <w:noWrap/>
            <w:hideMark/>
          </w:tcPr>
          <w:p w14:paraId="300E683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25.760.877/0129-75</w:t>
            </w:r>
          </w:p>
        </w:tc>
        <w:tc>
          <w:tcPr>
            <w:tcW w:w="4536" w:type="dxa"/>
            <w:tcBorders>
              <w:top w:val="single" w:sz="4" w:space="0" w:color="auto"/>
              <w:left w:val="nil"/>
              <w:bottom w:val="single" w:sz="4" w:space="0" w:color="auto"/>
              <w:right w:val="single" w:sz="4" w:space="0" w:color="000000"/>
            </w:tcBorders>
            <w:shd w:val="clear" w:color="auto" w:fill="auto"/>
            <w:noWrap/>
            <w:hideMark/>
          </w:tcPr>
          <w:p w14:paraId="33BFDB9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Carlos Saraiva Importação e Comercio S/A</w:t>
            </w:r>
          </w:p>
        </w:tc>
        <w:tc>
          <w:tcPr>
            <w:tcW w:w="2693" w:type="dxa"/>
            <w:tcBorders>
              <w:top w:val="nil"/>
              <w:left w:val="nil"/>
              <w:bottom w:val="single" w:sz="4" w:space="0" w:color="auto"/>
              <w:right w:val="single" w:sz="4" w:space="0" w:color="auto"/>
            </w:tcBorders>
            <w:shd w:val="clear" w:color="auto" w:fill="auto"/>
            <w:vAlign w:val="bottom"/>
            <w:hideMark/>
          </w:tcPr>
          <w:p w14:paraId="62582E1C"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34 processos</w:t>
            </w:r>
          </w:p>
          <w:p w14:paraId="6BEDC47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4011603426392</w:t>
            </w:r>
          </w:p>
          <w:p w14:paraId="1B979A7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4011603426988</w:t>
            </w:r>
          </w:p>
          <w:p w14:paraId="220EBEB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4011603427607</w:t>
            </w:r>
          </w:p>
          <w:p w14:paraId="2AB6943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4011600796016</w:t>
            </w:r>
          </w:p>
          <w:p w14:paraId="3961153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4011603124469</w:t>
            </w:r>
          </w:p>
          <w:p w14:paraId="5C77B5E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4011603124620</w:t>
            </w:r>
          </w:p>
          <w:p w14:paraId="778A070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4011503044323</w:t>
            </w:r>
          </w:p>
          <w:p w14:paraId="053B920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4011503050137</w:t>
            </w:r>
          </w:p>
          <w:p w14:paraId="595DAFF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4011503440350</w:t>
            </w:r>
          </w:p>
          <w:p w14:paraId="7A33A07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4011503441080</w:t>
            </w:r>
          </w:p>
          <w:p w14:paraId="29A0E9D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4011503441403</w:t>
            </w:r>
          </w:p>
          <w:p w14:paraId="1D380F3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4011503441675</w:t>
            </w:r>
          </w:p>
          <w:p w14:paraId="0AAC5B3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4011503444348</w:t>
            </w:r>
          </w:p>
          <w:p w14:paraId="11351E1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4011503444500</w:t>
            </w:r>
          </w:p>
          <w:p w14:paraId="3DCFED3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4011503445077</w:t>
            </w:r>
          </w:p>
          <w:p w14:paraId="6CCB10F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4011503546264</w:t>
            </w:r>
          </w:p>
          <w:p w14:paraId="4555EAD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4011305051145</w:t>
            </w:r>
          </w:p>
          <w:p w14:paraId="0C1EBBD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4011502322028</w:t>
            </w:r>
          </w:p>
          <w:p w14:paraId="121894A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4011502322966</w:t>
            </w:r>
          </w:p>
          <w:p w14:paraId="540C707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4011502324900</w:t>
            </w:r>
          </w:p>
          <w:p w14:paraId="7C4340D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4011502333577</w:t>
            </w:r>
          </w:p>
          <w:p w14:paraId="3B1C9B5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4011502336401</w:t>
            </w:r>
          </w:p>
          <w:p w14:paraId="537FCA2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4011502378163</w:t>
            </w:r>
          </w:p>
          <w:p w14:paraId="687AC51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4011502378597</w:t>
            </w:r>
          </w:p>
          <w:p w14:paraId="48E88A9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4011602476442</w:t>
            </w:r>
          </w:p>
          <w:p w14:paraId="1C192D9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4011602476795</w:t>
            </w:r>
          </w:p>
          <w:p w14:paraId="0CF64A2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4011700690643</w:t>
            </w:r>
          </w:p>
          <w:p w14:paraId="5F8692C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4011503577062</w:t>
            </w:r>
          </w:p>
          <w:p w14:paraId="48B9BE6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4011702087308</w:t>
            </w:r>
          </w:p>
          <w:p w14:paraId="18C939C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4011603750068</w:t>
            </w:r>
          </w:p>
          <w:p w14:paraId="7ABB278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4011603750904</w:t>
            </w:r>
          </w:p>
          <w:p w14:paraId="78E8D09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4011603751463</w:t>
            </w:r>
          </w:p>
          <w:p w14:paraId="1696393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4011502553771</w:t>
            </w:r>
          </w:p>
          <w:p w14:paraId="1C1D0A0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4010905418084</w:t>
            </w:r>
          </w:p>
        </w:tc>
      </w:tr>
      <w:tr w:rsidR="001A59FA" w:rsidRPr="00411A73" w14:paraId="018146AD"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58FBF40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26.033.593/0001-86</w:t>
            </w:r>
          </w:p>
        </w:tc>
        <w:tc>
          <w:tcPr>
            <w:tcW w:w="4536" w:type="dxa"/>
            <w:tcBorders>
              <w:top w:val="single" w:sz="4" w:space="0" w:color="auto"/>
              <w:left w:val="nil"/>
              <w:bottom w:val="single" w:sz="4" w:space="0" w:color="auto"/>
              <w:right w:val="single" w:sz="4" w:space="0" w:color="000000"/>
            </w:tcBorders>
            <w:shd w:val="clear" w:color="auto" w:fill="auto"/>
            <w:noWrap/>
            <w:hideMark/>
          </w:tcPr>
          <w:p w14:paraId="54CDBC8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A&amp;D Importação e Exportação e Distribuidora Ltda.</w:t>
            </w:r>
          </w:p>
        </w:tc>
        <w:tc>
          <w:tcPr>
            <w:tcW w:w="2693" w:type="dxa"/>
            <w:tcBorders>
              <w:top w:val="nil"/>
              <w:left w:val="nil"/>
              <w:bottom w:val="single" w:sz="4" w:space="0" w:color="auto"/>
              <w:right w:val="single" w:sz="4" w:space="0" w:color="auto"/>
            </w:tcBorders>
            <w:shd w:val="clear" w:color="auto" w:fill="auto"/>
            <w:noWrap/>
            <w:vAlign w:val="center"/>
            <w:hideMark/>
          </w:tcPr>
          <w:p w14:paraId="73C5ACC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2145965000017</w:t>
            </w:r>
          </w:p>
        </w:tc>
      </w:tr>
      <w:tr w:rsidR="001A59FA" w:rsidRPr="00411A73" w14:paraId="5E5077A4"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5781175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37.621.307/0001-10</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E68484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Inacel Ind. Nacional de Condutores Elétricos Ltda.</w:t>
            </w:r>
          </w:p>
        </w:tc>
        <w:tc>
          <w:tcPr>
            <w:tcW w:w="2693" w:type="dxa"/>
            <w:tcBorders>
              <w:top w:val="nil"/>
              <w:left w:val="nil"/>
              <w:bottom w:val="single" w:sz="4" w:space="0" w:color="auto"/>
              <w:right w:val="single" w:sz="4" w:space="0" w:color="auto"/>
            </w:tcBorders>
            <w:shd w:val="clear" w:color="auto" w:fill="auto"/>
            <w:noWrap/>
            <w:vAlign w:val="bottom"/>
            <w:hideMark/>
          </w:tcPr>
          <w:p w14:paraId="51AAC162"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 processos</w:t>
            </w:r>
          </w:p>
          <w:p w14:paraId="1EC9BFC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4011700047449</w:t>
            </w:r>
          </w:p>
          <w:p w14:paraId="3CCEA30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4011700049573</w:t>
            </w:r>
          </w:p>
        </w:tc>
      </w:tr>
      <w:tr w:rsidR="001A59FA" w:rsidRPr="00411A73" w14:paraId="0ADACD7E"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500AA857"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42.184.226/0017-05</w:t>
            </w:r>
          </w:p>
        </w:tc>
        <w:tc>
          <w:tcPr>
            <w:tcW w:w="4536" w:type="dxa"/>
            <w:tcBorders>
              <w:top w:val="single" w:sz="4" w:space="0" w:color="auto"/>
              <w:left w:val="nil"/>
              <w:bottom w:val="single" w:sz="4" w:space="0" w:color="auto"/>
              <w:right w:val="single" w:sz="4" w:space="0" w:color="000000"/>
            </w:tcBorders>
            <w:shd w:val="clear" w:color="auto" w:fill="auto"/>
            <w:noWrap/>
            <w:hideMark/>
          </w:tcPr>
          <w:p w14:paraId="43E902A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Anglo American Níquel Brasil Ltda.</w:t>
            </w:r>
          </w:p>
        </w:tc>
        <w:tc>
          <w:tcPr>
            <w:tcW w:w="2693" w:type="dxa"/>
            <w:tcBorders>
              <w:top w:val="nil"/>
              <w:left w:val="nil"/>
              <w:bottom w:val="single" w:sz="4" w:space="0" w:color="auto"/>
              <w:right w:val="single" w:sz="4" w:space="0" w:color="auto"/>
            </w:tcBorders>
            <w:shd w:val="clear" w:color="auto" w:fill="auto"/>
            <w:noWrap/>
            <w:vAlign w:val="bottom"/>
            <w:hideMark/>
          </w:tcPr>
          <w:p w14:paraId="5D185DF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4011103196177</w:t>
            </w:r>
          </w:p>
        </w:tc>
      </w:tr>
      <w:tr w:rsidR="001A59FA" w:rsidRPr="00411A73" w14:paraId="2CAF11FF"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070A03B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43.461.789/0007-86</w:t>
            </w:r>
          </w:p>
          <w:p w14:paraId="263C312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43.461.789/0016-77</w:t>
            </w:r>
          </w:p>
        </w:tc>
        <w:tc>
          <w:tcPr>
            <w:tcW w:w="4536" w:type="dxa"/>
            <w:tcBorders>
              <w:top w:val="single" w:sz="4" w:space="0" w:color="auto"/>
              <w:left w:val="nil"/>
              <w:bottom w:val="single" w:sz="4" w:space="0" w:color="auto"/>
              <w:right w:val="single" w:sz="4" w:space="0" w:color="000000"/>
            </w:tcBorders>
            <w:shd w:val="clear" w:color="auto" w:fill="auto"/>
            <w:noWrap/>
            <w:hideMark/>
          </w:tcPr>
          <w:p w14:paraId="6E36AA8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Química Amparo Ltda.</w:t>
            </w:r>
          </w:p>
        </w:tc>
        <w:tc>
          <w:tcPr>
            <w:tcW w:w="2693" w:type="dxa"/>
            <w:tcBorders>
              <w:top w:val="nil"/>
              <w:left w:val="nil"/>
              <w:bottom w:val="single" w:sz="4" w:space="0" w:color="auto"/>
              <w:right w:val="single" w:sz="4" w:space="0" w:color="auto"/>
            </w:tcBorders>
            <w:shd w:val="clear" w:color="auto" w:fill="auto"/>
            <w:noWrap/>
            <w:vAlign w:val="bottom"/>
            <w:hideMark/>
          </w:tcPr>
          <w:p w14:paraId="4239564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4011104297651</w:t>
            </w:r>
          </w:p>
        </w:tc>
      </w:tr>
      <w:tr w:rsidR="001A59FA" w:rsidRPr="00411A73" w14:paraId="65169D60"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53522C5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47.067.525/0076-25</w:t>
            </w:r>
          </w:p>
          <w:p w14:paraId="127B009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47.067.525/0184-06</w:t>
            </w:r>
          </w:p>
          <w:p w14:paraId="13D32AB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47.067.525/0192-08</w:t>
            </w:r>
          </w:p>
        </w:tc>
        <w:tc>
          <w:tcPr>
            <w:tcW w:w="4536" w:type="dxa"/>
            <w:tcBorders>
              <w:top w:val="single" w:sz="4" w:space="0" w:color="auto"/>
              <w:left w:val="nil"/>
              <w:bottom w:val="single" w:sz="4" w:space="0" w:color="auto"/>
              <w:right w:val="single" w:sz="4" w:space="0" w:color="000000"/>
            </w:tcBorders>
            <w:shd w:val="clear" w:color="auto" w:fill="auto"/>
            <w:noWrap/>
            <w:hideMark/>
          </w:tcPr>
          <w:p w14:paraId="271A008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Louis Dreyfus Company Brasil S. A.</w:t>
            </w:r>
          </w:p>
        </w:tc>
        <w:tc>
          <w:tcPr>
            <w:tcW w:w="2693" w:type="dxa"/>
            <w:tcBorders>
              <w:top w:val="nil"/>
              <w:left w:val="nil"/>
              <w:bottom w:val="single" w:sz="4" w:space="0" w:color="auto"/>
              <w:right w:val="single" w:sz="4" w:space="0" w:color="auto"/>
            </w:tcBorders>
            <w:shd w:val="clear" w:color="auto" w:fill="auto"/>
            <w:noWrap/>
            <w:vAlign w:val="center"/>
            <w:hideMark/>
          </w:tcPr>
          <w:p w14:paraId="2B93EDC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4010800726943</w:t>
            </w:r>
          </w:p>
        </w:tc>
      </w:tr>
      <w:tr w:rsidR="001A59FA" w:rsidRPr="00411A73" w14:paraId="49B72654"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hideMark/>
          </w:tcPr>
          <w:p w14:paraId="2FA045C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60.498.706/0066-00</w:t>
            </w:r>
          </w:p>
          <w:p w14:paraId="32A22F0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60.498.706/0130-54</w:t>
            </w:r>
          </w:p>
          <w:p w14:paraId="12F2CE73"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60.498.706/0130-54</w:t>
            </w:r>
          </w:p>
        </w:tc>
        <w:tc>
          <w:tcPr>
            <w:tcW w:w="4536" w:type="dxa"/>
            <w:tcBorders>
              <w:top w:val="single" w:sz="4" w:space="0" w:color="auto"/>
              <w:left w:val="nil"/>
              <w:bottom w:val="single" w:sz="4" w:space="0" w:color="auto"/>
              <w:right w:val="single" w:sz="4" w:space="0" w:color="000000"/>
            </w:tcBorders>
            <w:shd w:val="clear" w:color="auto" w:fill="auto"/>
            <w:noWrap/>
            <w:hideMark/>
          </w:tcPr>
          <w:p w14:paraId="07E6E06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Cargill Agrícola S/A</w:t>
            </w:r>
          </w:p>
        </w:tc>
        <w:tc>
          <w:tcPr>
            <w:tcW w:w="2693" w:type="dxa"/>
            <w:tcBorders>
              <w:top w:val="nil"/>
              <w:left w:val="nil"/>
              <w:bottom w:val="single" w:sz="4" w:space="0" w:color="auto"/>
              <w:right w:val="single" w:sz="4" w:space="0" w:color="auto"/>
            </w:tcBorders>
            <w:shd w:val="clear" w:color="auto" w:fill="auto"/>
            <w:noWrap/>
            <w:vAlign w:val="center"/>
            <w:hideMark/>
          </w:tcPr>
          <w:p w14:paraId="3F3AB17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4010902645888</w:t>
            </w:r>
          </w:p>
        </w:tc>
      </w:tr>
      <w:tr w:rsidR="001A59FA" w:rsidRPr="00411A73" w14:paraId="02919D1F" w14:textId="77777777" w:rsidTr="00411A73">
        <w:trPr>
          <w:trHeight w:val="300"/>
        </w:trPr>
        <w:tc>
          <w:tcPr>
            <w:tcW w:w="2405" w:type="dxa"/>
            <w:tcBorders>
              <w:top w:val="nil"/>
              <w:left w:val="single" w:sz="4" w:space="0" w:color="auto"/>
              <w:bottom w:val="single" w:sz="4" w:space="0" w:color="auto"/>
              <w:right w:val="single" w:sz="4" w:space="0" w:color="auto"/>
            </w:tcBorders>
            <w:shd w:val="clear" w:color="auto" w:fill="auto"/>
            <w:noWrap/>
          </w:tcPr>
          <w:p w14:paraId="1246474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02.259.289/0001-93</w:t>
            </w:r>
          </w:p>
        </w:tc>
        <w:tc>
          <w:tcPr>
            <w:tcW w:w="4536" w:type="dxa"/>
            <w:tcBorders>
              <w:top w:val="single" w:sz="4" w:space="0" w:color="auto"/>
              <w:left w:val="nil"/>
              <w:bottom w:val="single" w:sz="4" w:space="0" w:color="auto"/>
              <w:right w:val="single" w:sz="4" w:space="0" w:color="000000"/>
            </w:tcBorders>
            <w:shd w:val="clear" w:color="auto" w:fill="auto"/>
            <w:noWrap/>
          </w:tcPr>
          <w:p w14:paraId="2D290B58"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 xml:space="preserve">Gira Luz Industria, Distribuição e Comercio </w:t>
            </w:r>
          </w:p>
        </w:tc>
        <w:tc>
          <w:tcPr>
            <w:tcW w:w="2693" w:type="dxa"/>
            <w:tcBorders>
              <w:top w:val="nil"/>
              <w:left w:val="nil"/>
              <w:bottom w:val="single" w:sz="4" w:space="0" w:color="auto"/>
              <w:right w:val="single" w:sz="4" w:space="0" w:color="auto"/>
            </w:tcBorders>
            <w:shd w:val="clear" w:color="auto" w:fill="auto"/>
            <w:noWrap/>
            <w:vAlign w:val="bottom"/>
          </w:tcPr>
          <w:p w14:paraId="1AA4EA51"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 processos</w:t>
            </w:r>
          </w:p>
          <w:p w14:paraId="43BDD38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2061484600055</w:t>
            </w:r>
          </w:p>
          <w:p w14:paraId="6467F0E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2141663700056</w:t>
            </w:r>
          </w:p>
        </w:tc>
      </w:tr>
      <w:tr w:rsidR="001A59FA" w:rsidRPr="00411A73" w14:paraId="5F829EA0" w14:textId="77777777" w:rsidTr="00411A73">
        <w:trPr>
          <w:trHeight w:val="1619"/>
        </w:trPr>
        <w:tc>
          <w:tcPr>
            <w:tcW w:w="2405" w:type="dxa"/>
            <w:tcBorders>
              <w:top w:val="nil"/>
              <w:left w:val="single" w:sz="4" w:space="0" w:color="auto"/>
              <w:bottom w:val="single" w:sz="4" w:space="0" w:color="auto"/>
              <w:right w:val="single" w:sz="4" w:space="0" w:color="auto"/>
            </w:tcBorders>
            <w:shd w:val="clear" w:color="auto" w:fill="auto"/>
            <w:noWrap/>
            <w:hideMark/>
          </w:tcPr>
          <w:p w14:paraId="2745618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84.046.101/0057-48</w:t>
            </w:r>
          </w:p>
        </w:tc>
        <w:tc>
          <w:tcPr>
            <w:tcW w:w="4536" w:type="dxa"/>
            <w:tcBorders>
              <w:top w:val="single" w:sz="4" w:space="0" w:color="auto"/>
              <w:left w:val="nil"/>
              <w:bottom w:val="single" w:sz="4" w:space="0" w:color="auto"/>
              <w:right w:val="single" w:sz="4" w:space="0" w:color="000000"/>
            </w:tcBorders>
            <w:shd w:val="clear" w:color="auto" w:fill="auto"/>
            <w:noWrap/>
            <w:hideMark/>
          </w:tcPr>
          <w:p w14:paraId="2BBAC1B9"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Bunge Alimentos S/A</w:t>
            </w:r>
          </w:p>
        </w:tc>
        <w:tc>
          <w:tcPr>
            <w:tcW w:w="2693" w:type="dxa"/>
            <w:tcBorders>
              <w:top w:val="nil"/>
              <w:left w:val="nil"/>
              <w:bottom w:val="single" w:sz="4" w:space="0" w:color="auto"/>
              <w:right w:val="single" w:sz="4" w:space="0" w:color="auto"/>
            </w:tcBorders>
            <w:shd w:val="clear" w:color="auto" w:fill="auto"/>
            <w:vAlign w:val="bottom"/>
            <w:hideMark/>
          </w:tcPr>
          <w:p w14:paraId="36A6AC9A" w14:textId="77777777" w:rsidR="001A59FA" w:rsidRPr="00411A73" w:rsidRDefault="001A59FA" w:rsidP="003A2A93">
            <w:pPr>
              <w:jc w:val="center"/>
              <w:rPr>
                <w:rFonts w:asciiTheme="minorHAnsi" w:hAnsiTheme="minorHAnsi" w:cstheme="minorHAnsi"/>
                <w:b/>
                <w:color w:val="000000"/>
                <w:sz w:val="22"/>
                <w:szCs w:val="22"/>
              </w:rPr>
            </w:pPr>
            <w:r w:rsidRPr="00411A73">
              <w:rPr>
                <w:rFonts w:asciiTheme="minorHAnsi" w:hAnsiTheme="minorHAnsi" w:cstheme="minorHAnsi"/>
                <w:b/>
                <w:color w:val="000000"/>
                <w:sz w:val="22"/>
                <w:szCs w:val="22"/>
              </w:rPr>
              <w:t>21 processos</w:t>
            </w:r>
          </w:p>
          <w:p w14:paraId="333853F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2061210900027</w:t>
            </w:r>
          </w:p>
          <w:p w14:paraId="12FA9B5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2061211000089</w:t>
            </w:r>
          </w:p>
          <w:p w14:paraId="3325A282"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2061211100032</w:t>
            </w:r>
          </w:p>
          <w:p w14:paraId="45D8298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4011403096283</w:t>
            </w:r>
          </w:p>
          <w:p w14:paraId="10BDBA6C"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4011503172321</w:t>
            </w:r>
          </w:p>
          <w:p w14:paraId="59A5725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4011503321505</w:t>
            </w:r>
          </w:p>
          <w:p w14:paraId="3B1F3FE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4011503324016</w:t>
            </w:r>
          </w:p>
          <w:p w14:paraId="38E45146"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4011503342502</w:t>
            </w:r>
          </w:p>
          <w:p w14:paraId="2A0EACA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4011603681236</w:t>
            </w:r>
          </w:p>
          <w:p w14:paraId="1002E57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4011702884402</w:t>
            </w:r>
          </w:p>
          <w:p w14:paraId="5A2A4C7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4011200852792</w:t>
            </w:r>
          </w:p>
          <w:p w14:paraId="23C5491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4011200947076</w:t>
            </w:r>
          </w:p>
          <w:p w14:paraId="62914CCB"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lastRenderedPageBreak/>
              <w:t>4011104422901</w:t>
            </w:r>
          </w:p>
          <w:p w14:paraId="7B3C015A"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4011104425404</w:t>
            </w:r>
          </w:p>
          <w:p w14:paraId="480CD254"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4011104672258</w:t>
            </w:r>
          </w:p>
          <w:p w14:paraId="2EEDCB71"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4011104675516</w:t>
            </w:r>
          </w:p>
          <w:p w14:paraId="73A2693E"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4011104671952</w:t>
            </w:r>
          </w:p>
          <w:p w14:paraId="38AC5C65"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4011403273169</w:t>
            </w:r>
          </w:p>
          <w:p w14:paraId="476165AF"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4011503420759</w:t>
            </w:r>
          </w:p>
          <w:p w14:paraId="7E86BFFD"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4011503426013</w:t>
            </w:r>
          </w:p>
          <w:p w14:paraId="12804FD0" w14:textId="77777777" w:rsidR="001A59FA" w:rsidRPr="00411A73" w:rsidRDefault="001A59FA" w:rsidP="003A2A93">
            <w:pPr>
              <w:jc w:val="center"/>
              <w:rPr>
                <w:rFonts w:asciiTheme="minorHAnsi" w:hAnsiTheme="minorHAnsi" w:cstheme="minorHAnsi"/>
                <w:color w:val="000000"/>
                <w:sz w:val="22"/>
                <w:szCs w:val="22"/>
              </w:rPr>
            </w:pPr>
            <w:r w:rsidRPr="00411A73">
              <w:rPr>
                <w:rFonts w:asciiTheme="minorHAnsi" w:hAnsiTheme="minorHAnsi" w:cstheme="minorHAnsi"/>
                <w:color w:val="000000"/>
                <w:sz w:val="22"/>
                <w:szCs w:val="22"/>
              </w:rPr>
              <w:t>4011503428814</w:t>
            </w:r>
          </w:p>
        </w:tc>
      </w:tr>
    </w:tbl>
    <w:p w14:paraId="2065360A" w14:textId="77777777" w:rsidR="00314092" w:rsidRDefault="00314092" w:rsidP="00065156">
      <w:pPr>
        <w:spacing w:line="360" w:lineRule="auto"/>
        <w:ind w:firstLine="851"/>
        <w:jc w:val="both"/>
        <w:rPr>
          <w:rFonts w:ascii="Arial" w:hAnsi="Arial" w:cs="Arial"/>
          <w:sz w:val="24"/>
          <w:szCs w:val="24"/>
        </w:rPr>
      </w:pPr>
    </w:p>
    <w:p w14:paraId="53CD61D2" w14:textId="77777777" w:rsidR="001602E4" w:rsidRDefault="00C239FF" w:rsidP="00CE0AA2">
      <w:pPr>
        <w:spacing w:line="360" w:lineRule="auto"/>
        <w:ind w:firstLine="851"/>
        <w:jc w:val="both"/>
        <w:rPr>
          <w:rFonts w:ascii="Arial" w:hAnsi="Arial" w:cs="Arial"/>
          <w:sz w:val="24"/>
          <w:szCs w:val="24"/>
        </w:rPr>
      </w:pPr>
      <w:r w:rsidRPr="00C239FF">
        <w:rPr>
          <w:rFonts w:ascii="Arial" w:hAnsi="Arial" w:cs="Arial"/>
          <w:b/>
          <w:sz w:val="24"/>
          <w:szCs w:val="24"/>
        </w:rPr>
        <w:t>Não significa, necessariamente, que todas as empresas acima fruíram os benefícios do programa com inscrição em dívida ativa</w:t>
      </w:r>
      <w:r>
        <w:rPr>
          <w:rFonts w:ascii="Arial" w:hAnsi="Arial" w:cs="Arial"/>
          <w:sz w:val="24"/>
          <w:szCs w:val="24"/>
        </w:rPr>
        <w:t>,</w:t>
      </w:r>
      <w:r w:rsidR="00F8679F">
        <w:rPr>
          <w:rFonts w:ascii="Arial" w:hAnsi="Arial" w:cs="Arial"/>
          <w:sz w:val="24"/>
          <w:szCs w:val="24"/>
        </w:rPr>
        <w:t xml:space="preserve"> </w:t>
      </w:r>
      <w:r>
        <w:rPr>
          <w:rFonts w:ascii="Arial" w:hAnsi="Arial" w:cs="Arial"/>
          <w:sz w:val="24"/>
          <w:szCs w:val="24"/>
        </w:rPr>
        <w:t>mas há um alto indicativo de que isso tenha ocorrido, o que deve ser criteriosamente analisado pela fiscalização e órgãos de controle para aferir se há coincidência entre o período de fruição nos programas e inscrição em dívida ativa estadual.</w:t>
      </w:r>
      <w:r w:rsidR="002B4C0D">
        <w:rPr>
          <w:rFonts w:ascii="Arial" w:hAnsi="Arial" w:cs="Arial"/>
          <w:sz w:val="24"/>
          <w:szCs w:val="24"/>
        </w:rPr>
        <w:t xml:space="preserve"> </w:t>
      </w:r>
    </w:p>
    <w:p w14:paraId="6133B99A" w14:textId="2F26CFBE" w:rsidR="00C239FF" w:rsidRDefault="002B4C0D" w:rsidP="00CE0AA2">
      <w:pPr>
        <w:spacing w:line="360" w:lineRule="auto"/>
        <w:ind w:firstLine="851"/>
        <w:jc w:val="both"/>
        <w:rPr>
          <w:rFonts w:ascii="Arial" w:hAnsi="Arial" w:cs="Arial"/>
          <w:sz w:val="24"/>
          <w:szCs w:val="24"/>
        </w:rPr>
      </w:pPr>
      <w:r w:rsidRPr="001602E4">
        <w:rPr>
          <w:rFonts w:ascii="Arial" w:hAnsi="Arial" w:cs="Arial"/>
          <w:b/>
          <w:sz w:val="24"/>
          <w:szCs w:val="24"/>
        </w:rPr>
        <w:t xml:space="preserve">É possível, ainda, que </w:t>
      </w:r>
      <w:r w:rsidR="00F94176" w:rsidRPr="001602E4">
        <w:rPr>
          <w:rFonts w:ascii="Arial" w:hAnsi="Arial" w:cs="Arial"/>
          <w:b/>
          <w:sz w:val="24"/>
          <w:szCs w:val="24"/>
        </w:rPr>
        <w:t>existam outras empresas</w:t>
      </w:r>
      <w:r w:rsidR="00F45FC1">
        <w:rPr>
          <w:rFonts w:ascii="Arial" w:hAnsi="Arial" w:cs="Arial"/>
          <w:b/>
          <w:sz w:val="24"/>
          <w:szCs w:val="24"/>
        </w:rPr>
        <w:t xml:space="preserve"> inscritas nos programas,</w:t>
      </w:r>
      <w:r w:rsidR="00F94176" w:rsidRPr="001602E4">
        <w:rPr>
          <w:rFonts w:ascii="Arial" w:hAnsi="Arial" w:cs="Arial"/>
          <w:b/>
          <w:sz w:val="24"/>
          <w:szCs w:val="24"/>
        </w:rPr>
        <w:t xml:space="preserve"> fora da mencionada tabela</w:t>
      </w:r>
      <w:r w:rsidR="00F45FC1">
        <w:rPr>
          <w:rFonts w:ascii="Arial" w:hAnsi="Arial" w:cs="Arial"/>
          <w:b/>
          <w:sz w:val="24"/>
          <w:szCs w:val="24"/>
        </w:rPr>
        <w:t>,</w:t>
      </w:r>
      <w:r w:rsidR="001602E4">
        <w:rPr>
          <w:rFonts w:ascii="Arial" w:hAnsi="Arial" w:cs="Arial"/>
          <w:b/>
          <w:sz w:val="24"/>
          <w:szCs w:val="24"/>
        </w:rPr>
        <w:t xml:space="preserve"> que</w:t>
      </w:r>
      <w:r w:rsidR="00F94176" w:rsidRPr="001602E4">
        <w:rPr>
          <w:rFonts w:ascii="Arial" w:hAnsi="Arial" w:cs="Arial"/>
          <w:b/>
          <w:sz w:val="24"/>
          <w:szCs w:val="24"/>
        </w:rPr>
        <w:t xml:space="preserve"> tenham fruído irregularmente</w:t>
      </w:r>
      <w:r w:rsidR="00F94176">
        <w:rPr>
          <w:rFonts w:ascii="Arial" w:hAnsi="Arial" w:cs="Arial"/>
          <w:sz w:val="24"/>
          <w:szCs w:val="24"/>
        </w:rPr>
        <w:t xml:space="preserve">, </w:t>
      </w:r>
      <w:r w:rsidR="00F8679F">
        <w:rPr>
          <w:rFonts w:ascii="Arial" w:hAnsi="Arial" w:cs="Arial"/>
          <w:sz w:val="24"/>
          <w:szCs w:val="24"/>
        </w:rPr>
        <w:t>tendo em vista</w:t>
      </w:r>
      <w:r w:rsidR="001602E4">
        <w:rPr>
          <w:rFonts w:ascii="Arial" w:hAnsi="Arial" w:cs="Arial"/>
          <w:sz w:val="24"/>
          <w:szCs w:val="24"/>
        </w:rPr>
        <w:t xml:space="preserve"> que anteriormente à data da consulta por esta CPI empresas podem ter permanecido inscritas em dívida ativa e até a data da consulta essa situação já tivesse sido regularizada, o que não afasta a possibilidade de que durante o período de irregularidade tenha havido efetiva fruição dos benefícios dos programas.</w:t>
      </w:r>
    </w:p>
    <w:p w14:paraId="7C833FEC" w14:textId="2264D475" w:rsidR="00CE0AA2" w:rsidRDefault="001602E4" w:rsidP="00CE0AA2">
      <w:pPr>
        <w:spacing w:line="360" w:lineRule="auto"/>
        <w:ind w:firstLine="851"/>
        <w:jc w:val="both"/>
        <w:rPr>
          <w:rFonts w:ascii="Arial" w:hAnsi="Arial" w:cs="Arial"/>
          <w:sz w:val="24"/>
          <w:szCs w:val="24"/>
        </w:rPr>
      </w:pPr>
      <w:r>
        <w:rPr>
          <w:rFonts w:ascii="Arial" w:hAnsi="Arial" w:cs="Arial"/>
          <w:sz w:val="24"/>
          <w:szCs w:val="24"/>
        </w:rPr>
        <w:t>De todo modo</w:t>
      </w:r>
      <w:r w:rsidR="00CE0AA2">
        <w:rPr>
          <w:rFonts w:ascii="Arial" w:hAnsi="Arial" w:cs="Arial"/>
          <w:sz w:val="24"/>
          <w:szCs w:val="24"/>
        </w:rPr>
        <w:t xml:space="preserve">, </w:t>
      </w:r>
      <w:r w:rsidR="00CE0AA2" w:rsidRPr="00CE0AA2">
        <w:rPr>
          <w:rFonts w:ascii="Arial" w:hAnsi="Arial" w:cs="Arial"/>
          <w:b/>
          <w:sz w:val="24"/>
          <w:szCs w:val="24"/>
        </w:rPr>
        <w:t xml:space="preserve">verifica-se </w:t>
      </w:r>
      <w:r w:rsidR="00BF1A36">
        <w:rPr>
          <w:rFonts w:ascii="Arial" w:hAnsi="Arial" w:cs="Arial"/>
          <w:b/>
          <w:sz w:val="24"/>
          <w:szCs w:val="24"/>
        </w:rPr>
        <w:t>substancial des</w:t>
      </w:r>
      <w:r w:rsidR="00CE0AA2" w:rsidRPr="00CE0AA2">
        <w:rPr>
          <w:rFonts w:ascii="Arial" w:hAnsi="Arial" w:cs="Arial"/>
          <w:b/>
          <w:sz w:val="24"/>
          <w:szCs w:val="24"/>
        </w:rPr>
        <w:t xml:space="preserve">controle acerca da </w:t>
      </w:r>
      <w:r>
        <w:rPr>
          <w:rFonts w:ascii="Arial" w:hAnsi="Arial" w:cs="Arial"/>
          <w:b/>
          <w:sz w:val="24"/>
          <w:szCs w:val="24"/>
        </w:rPr>
        <w:t>observância do requisito de</w:t>
      </w:r>
      <w:r w:rsidR="00C33EDD">
        <w:rPr>
          <w:rFonts w:ascii="Arial" w:hAnsi="Arial" w:cs="Arial"/>
          <w:b/>
          <w:sz w:val="24"/>
          <w:szCs w:val="24"/>
        </w:rPr>
        <w:t xml:space="preserve"> </w:t>
      </w:r>
      <w:r w:rsidR="00CE0AA2" w:rsidRPr="00CE0AA2">
        <w:rPr>
          <w:rFonts w:ascii="Arial" w:hAnsi="Arial" w:cs="Arial"/>
          <w:b/>
          <w:sz w:val="24"/>
          <w:szCs w:val="24"/>
        </w:rPr>
        <w:t xml:space="preserve">regularidade fiscal </w:t>
      </w:r>
      <w:r>
        <w:rPr>
          <w:rFonts w:ascii="Arial" w:hAnsi="Arial" w:cs="Arial"/>
          <w:b/>
          <w:sz w:val="24"/>
          <w:szCs w:val="24"/>
        </w:rPr>
        <w:t xml:space="preserve">estadual </w:t>
      </w:r>
      <w:r w:rsidR="00CE0AA2" w:rsidRPr="00CE0AA2">
        <w:rPr>
          <w:rFonts w:ascii="Arial" w:hAnsi="Arial" w:cs="Arial"/>
          <w:b/>
          <w:sz w:val="24"/>
          <w:szCs w:val="24"/>
        </w:rPr>
        <w:t>por parte das empresas beneficiárias dos programas</w:t>
      </w:r>
      <w:r w:rsidR="001E2B38">
        <w:rPr>
          <w:rFonts w:ascii="Arial" w:hAnsi="Arial" w:cs="Arial"/>
          <w:b/>
          <w:sz w:val="24"/>
          <w:szCs w:val="24"/>
        </w:rPr>
        <w:t xml:space="preserve"> </w:t>
      </w:r>
      <w:r>
        <w:rPr>
          <w:rFonts w:ascii="Arial" w:hAnsi="Arial" w:cs="Arial"/>
          <w:b/>
          <w:sz w:val="24"/>
          <w:szCs w:val="24"/>
        </w:rPr>
        <w:t>FOMENTAR e PRODUZIR</w:t>
      </w:r>
      <w:r w:rsidR="00CE0AA2">
        <w:rPr>
          <w:rFonts w:ascii="Arial" w:hAnsi="Arial" w:cs="Arial"/>
          <w:sz w:val="24"/>
          <w:szCs w:val="24"/>
        </w:rPr>
        <w:t xml:space="preserve">. </w:t>
      </w:r>
      <w:r w:rsidR="00CE0AA2" w:rsidRPr="002E48FB">
        <w:rPr>
          <w:rFonts w:ascii="Arial" w:hAnsi="Arial" w:cs="Arial"/>
          <w:sz w:val="24"/>
          <w:szCs w:val="24"/>
        </w:rPr>
        <w:t>Em consulta</w:t>
      </w:r>
      <w:r w:rsidR="00CE0AA2">
        <w:rPr>
          <w:rFonts w:ascii="Arial" w:hAnsi="Arial" w:cs="Arial"/>
          <w:sz w:val="24"/>
          <w:szCs w:val="24"/>
        </w:rPr>
        <w:t xml:space="preserve"> à página oficial do </w:t>
      </w:r>
      <w:r w:rsidR="00CE0AA2" w:rsidRPr="00CE0AA2">
        <w:rPr>
          <w:rFonts w:ascii="Arial" w:hAnsi="Arial" w:cs="Arial"/>
          <w:sz w:val="24"/>
          <w:szCs w:val="24"/>
          <w:u w:val="single"/>
        </w:rPr>
        <w:t xml:space="preserve">Programa </w:t>
      </w:r>
      <w:r w:rsidR="00066327" w:rsidRPr="00CE0AA2">
        <w:rPr>
          <w:rFonts w:ascii="Arial" w:hAnsi="Arial" w:cs="Arial"/>
          <w:sz w:val="24"/>
          <w:szCs w:val="24"/>
          <w:u w:val="single"/>
        </w:rPr>
        <w:t>PRODUZIR</w:t>
      </w:r>
      <w:r w:rsidR="00CE0AA2">
        <w:rPr>
          <w:rStyle w:val="Refdenotaderodap"/>
          <w:rFonts w:ascii="Arial" w:hAnsi="Arial" w:cs="Arial"/>
          <w:sz w:val="24"/>
          <w:szCs w:val="24"/>
        </w:rPr>
        <w:footnoteReference w:id="86"/>
      </w:r>
      <w:r w:rsidR="00CE0AA2">
        <w:rPr>
          <w:rFonts w:ascii="Arial" w:hAnsi="Arial" w:cs="Arial"/>
          <w:sz w:val="24"/>
          <w:szCs w:val="24"/>
        </w:rPr>
        <w:t xml:space="preserve">, inclusive, constata-se </w:t>
      </w:r>
      <w:r w:rsidR="003147D9">
        <w:rPr>
          <w:rFonts w:ascii="Arial" w:hAnsi="Arial" w:cs="Arial"/>
          <w:sz w:val="24"/>
          <w:szCs w:val="24"/>
        </w:rPr>
        <w:t>a existência de</w:t>
      </w:r>
      <w:r w:rsidR="00CE0AA2">
        <w:rPr>
          <w:rFonts w:ascii="Arial" w:hAnsi="Arial" w:cs="Arial"/>
          <w:sz w:val="24"/>
          <w:szCs w:val="24"/>
        </w:rPr>
        <w:t xml:space="preserve"> </w:t>
      </w:r>
      <w:r w:rsidR="00066327">
        <w:rPr>
          <w:rFonts w:ascii="Arial" w:hAnsi="Arial" w:cs="Arial"/>
          <w:sz w:val="24"/>
          <w:szCs w:val="24"/>
          <w:u w:val="single"/>
        </w:rPr>
        <w:t>normativa</w:t>
      </w:r>
      <w:r w:rsidR="00CE0AA2" w:rsidRPr="00CE0AA2">
        <w:rPr>
          <w:rFonts w:ascii="Arial" w:hAnsi="Arial" w:cs="Arial"/>
          <w:sz w:val="24"/>
          <w:szCs w:val="24"/>
          <w:u w:val="single"/>
        </w:rPr>
        <w:t xml:space="preserve"> do respectivo Conselho Deliberativo</w:t>
      </w:r>
      <w:r w:rsidR="00672A4A">
        <w:rPr>
          <w:rFonts w:ascii="Arial" w:hAnsi="Arial" w:cs="Arial"/>
          <w:sz w:val="24"/>
          <w:szCs w:val="24"/>
          <w:u w:val="single"/>
        </w:rPr>
        <w:t xml:space="preserve"> (de 04/10/2016)</w:t>
      </w:r>
      <w:r w:rsidR="00CE0AA2" w:rsidRPr="00CE0AA2">
        <w:rPr>
          <w:rFonts w:ascii="Arial" w:hAnsi="Arial" w:cs="Arial"/>
          <w:sz w:val="24"/>
          <w:szCs w:val="24"/>
          <w:u w:val="single"/>
        </w:rPr>
        <w:t xml:space="preserve"> que praticamente faz com que a Secretaria de Indústria e Comércio</w:t>
      </w:r>
      <w:r w:rsidR="00CE0AA2">
        <w:rPr>
          <w:rFonts w:ascii="Arial" w:hAnsi="Arial" w:cs="Arial"/>
          <w:sz w:val="24"/>
          <w:szCs w:val="24"/>
          <w:u w:val="single"/>
        </w:rPr>
        <w:t xml:space="preserve"> – que gere o programa –</w:t>
      </w:r>
      <w:r w:rsidR="00CE0AA2" w:rsidRPr="00CE0AA2">
        <w:rPr>
          <w:rFonts w:ascii="Arial" w:hAnsi="Arial" w:cs="Arial"/>
          <w:sz w:val="24"/>
          <w:szCs w:val="24"/>
          <w:u w:val="single"/>
        </w:rPr>
        <w:t xml:space="preserve"> “lave suas mãos” em relação à </w:t>
      </w:r>
      <w:r w:rsidR="00CE0AA2">
        <w:rPr>
          <w:rFonts w:ascii="Arial" w:hAnsi="Arial" w:cs="Arial"/>
          <w:sz w:val="24"/>
          <w:szCs w:val="24"/>
          <w:u w:val="single"/>
        </w:rPr>
        <w:t>análise</w:t>
      </w:r>
      <w:r w:rsidR="00CE0AA2" w:rsidRPr="00CE0AA2">
        <w:rPr>
          <w:rFonts w:ascii="Arial" w:hAnsi="Arial" w:cs="Arial"/>
          <w:sz w:val="24"/>
          <w:szCs w:val="24"/>
          <w:u w:val="single"/>
        </w:rPr>
        <w:t xml:space="preserve"> dos </w:t>
      </w:r>
      <w:r w:rsidR="00CE0AA2" w:rsidRPr="008758DA">
        <w:rPr>
          <w:rFonts w:ascii="Arial" w:hAnsi="Arial" w:cs="Arial"/>
          <w:sz w:val="24"/>
          <w:szCs w:val="24"/>
          <w:u w:val="single"/>
        </w:rPr>
        <w:t>requisitos das empresas beneficiárias do programa</w:t>
      </w:r>
      <w:r w:rsidR="00CE0AA2">
        <w:rPr>
          <w:rFonts w:ascii="Arial" w:hAnsi="Arial" w:cs="Arial"/>
          <w:sz w:val="24"/>
          <w:szCs w:val="24"/>
        </w:rPr>
        <w:t>, inclusive com dispensa de apresentação mensal de CND, e transfere essa responsabilidade à então Secretaria de Estado da Fazenda (atual Economia), nos seguintes termos:</w:t>
      </w:r>
    </w:p>
    <w:p w14:paraId="2737E5E5" w14:textId="3822649D" w:rsidR="005050F9" w:rsidRDefault="005050F9" w:rsidP="00CE0AA2">
      <w:pPr>
        <w:spacing w:line="360" w:lineRule="auto"/>
        <w:ind w:firstLine="851"/>
        <w:jc w:val="both"/>
        <w:rPr>
          <w:rFonts w:ascii="Arial" w:hAnsi="Arial" w:cs="Arial"/>
          <w:sz w:val="24"/>
          <w:szCs w:val="24"/>
        </w:rPr>
      </w:pPr>
      <w:r w:rsidRPr="005050F9">
        <w:rPr>
          <w:rFonts w:ascii="Arial" w:hAnsi="Arial" w:cs="Arial"/>
          <w:noProof/>
          <w:sz w:val="24"/>
          <w:szCs w:val="24"/>
        </w:rPr>
        <w:lastRenderedPageBreak/>
        <w:drawing>
          <wp:inline distT="0" distB="0" distL="0" distR="0" wp14:anchorId="6E2FB7BE" wp14:editId="5DA768C8">
            <wp:extent cx="5935455" cy="4105275"/>
            <wp:effectExtent l="0" t="0" r="8255"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7080" cy="4106399"/>
                    </a:xfrm>
                    <a:prstGeom prst="rect">
                      <a:avLst/>
                    </a:prstGeom>
                    <a:noFill/>
                    <a:ln>
                      <a:noFill/>
                    </a:ln>
                  </pic:spPr>
                </pic:pic>
              </a:graphicData>
            </a:graphic>
          </wp:inline>
        </w:drawing>
      </w:r>
    </w:p>
    <w:p w14:paraId="50824724" w14:textId="77777777" w:rsidR="00CE0AA2" w:rsidRDefault="00CE0AA2" w:rsidP="00CE0AA2">
      <w:pPr>
        <w:spacing w:line="360" w:lineRule="auto"/>
        <w:ind w:firstLine="851"/>
        <w:jc w:val="both"/>
        <w:rPr>
          <w:rFonts w:ascii="Arial" w:hAnsi="Arial" w:cs="Arial"/>
          <w:sz w:val="24"/>
          <w:szCs w:val="24"/>
        </w:rPr>
      </w:pPr>
      <w:r w:rsidRPr="00CE0AA2">
        <w:rPr>
          <w:rFonts w:ascii="Arial" w:hAnsi="Arial" w:cs="Arial"/>
          <w:noProof/>
          <w:sz w:val="24"/>
          <w:szCs w:val="24"/>
        </w:rPr>
        <w:drawing>
          <wp:inline distT="0" distB="0" distL="0" distR="0" wp14:anchorId="30F01888" wp14:editId="1A6D2917">
            <wp:extent cx="5935400" cy="4305300"/>
            <wp:effectExtent l="0" t="0" r="825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7520" cy="4306838"/>
                    </a:xfrm>
                    <a:prstGeom prst="rect">
                      <a:avLst/>
                    </a:prstGeom>
                    <a:noFill/>
                    <a:ln>
                      <a:noFill/>
                    </a:ln>
                  </pic:spPr>
                </pic:pic>
              </a:graphicData>
            </a:graphic>
          </wp:inline>
        </w:drawing>
      </w:r>
    </w:p>
    <w:p w14:paraId="764CC606" w14:textId="77777777" w:rsidR="002B700A" w:rsidRDefault="002B700A" w:rsidP="00B51D1F">
      <w:pPr>
        <w:spacing w:line="360" w:lineRule="auto"/>
        <w:ind w:firstLine="851"/>
        <w:jc w:val="both"/>
        <w:rPr>
          <w:rFonts w:ascii="Arial" w:hAnsi="Arial" w:cs="Arial"/>
          <w:sz w:val="24"/>
          <w:szCs w:val="24"/>
        </w:rPr>
      </w:pPr>
    </w:p>
    <w:p w14:paraId="78A0F2B7" w14:textId="7B1216E0" w:rsidR="00B8779A" w:rsidRDefault="00614899" w:rsidP="00B8779A">
      <w:pPr>
        <w:spacing w:line="360" w:lineRule="auto"/>
        <w:ind w:firstLine="851"/>
        <w:jc w:val="both"/>
        <w:rPr>
          <w:rFonts w:ascii="Arial" w:hAnsi="Arial" w:cs="Arial"/>
          <w:sz w:val="24"/>
          <w:szCs w:val="24"/>
        </w:rPr>
      </w:pPr>
      <w:r>
        <w:rPr>
          <w:rFonts w:ascii="Arial" w:hAnsi="Arial" w:cs="Arial"/>
          <w:sz w:val="24"/>
          <w:szCs w:val="24"/>
        </w:rPr>
        <w:t xml:space="preserve">Em outras palavras, </w:t>
      </w:r>
      <w:r w:rsidRPr="003F69A4">
        <w:rPr>
          <w:rFonts w:ascii="Arial" w:hAnsi="Arial" w:cs="Arial"/>
          <w:b/>
          <w:sz w:val="24"/>
          <w:szCs w:val="24"/>
        </w:rPr>
        <w:t>o Conselho Deliberativo do Produzir passou a não exigir qualquer análise em relação aos requisitos para permanência no programa</w:t>
      </w:r>
      <w:r w:rsidRPr="003F69A4">
        <w:rPr>
          <w:rFonts w:ascii="Arial" w:hAnsi="Arial" w:cs="Arial"/>
          <w:sz w:val="24"/>
          <w:szCs w:val="24"/>
        </w:rPr>
        <w:t xml:space="preserve">; </w:t>
      </w:r>
      <w:r w:rsidRPr="003F69A4">
        <w:rPr>
          <w:rFonts w:ascii="Arial" w:hAnsi="Arial" w:cs="Arial"/>
          <w:sz w:val="24"/>
          <w:szCs w:val="24"/>
          <w:u w:val="single"/>
        </w:rPr>
        <w:t>e, de outro lado, a Secretaria de Es</w:t>
      </w:r>
      <w:r w:rsidR="00922956" w:rsidRPr="003F69A4">
        <w:rPr>
          <w:rFonts w:ascii="Arial" w:hAnsi="Arial" w:cs="Arial"/>
          <w:sz w:val="24"/>
          <w:szCs w:val="24"/>
          <w:u w:val="single"/>
        </w:rPr>
        <w:t>tado da Economia também não vem fiscalizando desde então esses requisitos</w:t>
      </w:r>
      <w:r w:rsidR="00922956">
        <w:rPr>
          <w:rFonts w:ascii="Arial" w:hAnsi="Arial" w:cs="Arial"/>
          <w:sz w:val="24"/>
          <w:szCs w:val="24"/>
        </w:rPr>
        <w:t xml:space="preserve">, nem sequer a regularidade fiscal, </w:t>
      </w:r>
      <w:r w:rsidR="003F69A4">
        <w:rPr>
          <w:rFonts w:ascii="Arial" w:hAnsi="Arial" w:cs="Arial"/>
          <w:sz w:val="24"/>
          <w:szCs w:val="24"/>
        </w:rPr>
        <w:t xml:space="preserve">que é o básico. Assim, a </w:t>
      </w:r>
      <w:r w:rsidR="00240C34">
        <w:rPr>
          <w:rFonts w:ascii="Arial" w:hAnsi="Arial" w:cs="Arial"/>
          <w:sz w:val="24"/>
          <w:szCs w:val="24"/>
        </w:rPr>
        <w:t xml:space="preserve">observância da </w:t>
      </w:r>
      <w:r w:rsidR="003F69A4">
        <w:rPr>
          <w:rFonts w:ascii="Arial" w:hAnsi="Arial" w:cs="Arial"/>
          <w:sz w:val="24"/>
          <w:szCs w:val="24"/>
        </w:rPr>
        <w:t>regularidade fiscal permanece totalmente ao léu, sem qualquer cobrança efetiva e manifesto descumprimento das normas legais e regulamentares.</w:t>
      </w:r>
      <w:r w:rsidR="00E11852">
        <w:rPr>
          <w:rFonts w:ascii="Arial" w:hAnsi="Arial" w:cs="Arial"/>
          <w:sz w:val="24"/>
          <w:szCs w:val="24"/>
        </w:rPr>
        <w:t xml:space="preserve"> </w:t>
      </w:r>
      <w:r w:rsidR="00BE6C2A">
        <w:rPr>
          <w:rFonts w:ascii="Arial" w:hAnsi="Arial" w:cs="Arial"/>
          <w:sz w:val="24"/>
          <w:szCs w:val="24"/>
        </w:rPr>
        <w:t xml:space="preserve">Desse modo, </w:t>
      </w:r>
      <w:r w:rsidR="00BE6C2A" w:rsidRPr="00B8779A">
        <w:rPr>
          <w:rFonts w:ascii="Arial" w:hAnsi="Arial" w:cs="Arial"/>
          <w:b/>
          <w:sz w:val="24"/>
          <w:szCs w:val="24"/>
        </w:rPr>
        <w:t>no âmbito do Fomentar/Produzir revela-se imperioso</w:t>
      </w:r>
      <w:r w:rsidR="00BE6C2A">
        <w:rPr>
          <w:rFonts w:ascii="Arial" w:hAnsi="Arial" w:cs="Arial"/>
          <w:sz w:val="24"/>
          <w:szCs w:val="24"/>
        </w:rPr>
        <w:t xml:space="preserve"> que</w:t>
      </w:r>
      <w:r w:rsidR="002D3485">
        <w:rPr>
          <w:rFonts w:ascii="Arial" w:hAnsi="Arial" w:cs="Arial"/>
          <w:sz w:val="24"/>
          <w:szCs w:val="24"/>
        </w:rPr>
        <w:t>:</w:t>
      </w:r>
    </w:p>
    <w:p w14:paraId="289FAF46" w14:textId="4E4E16AD" w:rsidR="0007628D" w:rsidRPr="0007628D" w:rsidRDefault="0056458D" w:rsidP="00502615">
      <w:pPr>
        <w:pStyle w:val="PargrafodaLista"/>
        <w:numPr>
          <w:ilvl w:val="0"/>
          <w:numId w:val="29"/>
        </w:numPr>
        <w:spacing w:line="360" w:lineRule="auto"/>
        <w:jc w:val="both"/>
        <w:rPr>
          <w:rFonts w:ascii="Arial" w:hAnsi="Arial" w:cs="Arial"/>
          <w:sz w:val="24"/>
          <w:szCs w:val="24"/>
        </w:rPr>
      </w:pPr>
      <w:r w:rsidRPr="0056458D">
        <w:rPr>
          <w:rFonts w:ascii="Arial" w:hAnsi="Arial" w:cs="Arial"/>
          <w:sz w:val="24"/>
          <w:szCs w:val="24"/>
          <w:u w:val="single"/>
        </w:rPr>
        <w:t xml:space="preserve">a pasta responsável pela </w:t>
      </w:r>
      <w:r w:rsidRPr="00B074FE">
        <w:rPr>
          <w:rFonts w:ascii="Arial" w:hAnsi="Arial" w:cs="Arial"/>
          <w:sz w:val="24"/>
          <w:szCs w:val="24"/>
          <w:u w:val="single"/>
        </w:rPr>
        <w:t>gestão direta dos programas (atualmente, Secretaria de Indústria e Comércio)</w:t>
      </w:r>
      <w:r w:rsidR="0007628D">
        <w:rPr>
          <w:rFonts w:ascii="Arial" w:hAnsi="Arial" w:cs="Arial"/>
          <w:sz w:val="24"/>
          <w:szCs w:val="24"/>
          <w:u w:val="single"/>
        </w:rPr>
        <w:t>:</w:t>
      </w:r>
    </w:p>
    <w:p w14:paraId="16E76844" w14:textId="661D0E6B" w:rsidR="00B8779A" w:rsidRDefault="0007628D" w:rsidP="0007628D">
      <w:pPr>
        <w:pStyle w:val="PargrafodaLista"/>
        <w:spacing w:line="360" w:lineRule="auto"/>
        <w:ind w:left="1211"/>
        <w:jc w:val="both"/>
        <w:rPr>
          <w:rFonts w:ascii="Arial" w:hAnsi="Arial" w:cs="Arial"/>
          <w:sz w:val="24"/>
          <w:szCs w:val="24"/>
        </w:rPr>
      </w:pPr>
      <w:r w:rsidRPr="0007628D">
        <w:rPr>
          <w:rFonts w:ascii="Arial" w:hAnsi="Arial" w:cs="Arial"/>
          <w:sz w:val="24"/>
          <w:szCs w:val="24"/>
        </w:rPr>
        <w:t>a.1)</w:t>
      </w:r>
      <w:r w:rsidR="0056458D" w:rsidRPr="0007628D">
        <w:rPr>
          <w:rFonts w:ascii="Arial" w:hAnsi="Arial" w:cs="Arial"/>
          <w:sz w:val="24"/>
          <w:szCs w:val="24"/>
        </w:rPr>
        <w:t xml:space="preserve"> </w:t>
      </w:r>
      <w:r w:rsidR="00B8779A" w:rsidRPr="0007628D">
        <w:rPr>
          <w:rFonts w:ascii="Arial" w:hAnsi="Arial" w:cs="Arial"/>
          <w:sz w:val="24"/>
          <w:szCs w:val="24"/>
        </w:rPr>
        <w:t>suspend</w:t>
      </w:r>
      <w:r w:rsidR="008707CC" w:rsidRPr="0007628D">
        <w:rPr>
          <w:rFonts w:ascii="Arial" w:hAnsi="Arial" w:cs="Arial"/>
          <w:sz w:val="24"/>
          <w:szCs w:val="24"/>
        </w:rPr>
        <w:t>a</w:t>
      </w:r>
      <w:r w:rsidR="00B842EC" w:rsidRPr="0007628D">
        <w:rPr>
          <w:rFonts w:ascii="Arial" w:hAnsi="Arial" w:cs="Arial"/>
          <w:sz w:val="24"/>
          <w:szCs w:val="24"/>
        </w:rPr>
        <w:t xml:space="preserve"> imediatamente a fruição</w:t>
      </w:r>
      <w:r w:rsidR="00B8779A" w:rsidRPr="0007628D">
        <w:rPr>
          <w:rFonts w:ascii="Arial" w:hAnsi="Arial" w:cs="Arial"/>
          <w:sz w:val="24"/>
          <w:szCs w:val="24"/>
        </w:rPr>
        <w:t xml:space="preserve"> </w:t>
      </w:r>
      <w:r w:rsidR="00B842EC" w:rsidRPr="0007628D">
        <w:rPr>
          <w:rFonts w:ascii="Arial" w:hAnsi="Arial" w:cs="Arial"/>
          <w:sz w:val="24"/>
          <w:szCs w:val="24"/>
        </w:rPr>
        <w:t>d</w:t>
      </w:r>
      <w:r w:rsidR="00B8779A" w:rsidRPr="0007628D">
        <w:rPr>
          <w:rFonts w:ascii="Arial" w:hAnsi="Arial" w:cs="Arial"/>
          <w:sz w:val="24"/>
          <w:szCs w:val="24"/>
        </w:rPr>
        <w:t>o benefício das empresas até a devida regularização</w:t>
      </w:r>
      <w:r w:rsidR="008707CC" w:rsidRPr="0007628D">
        <w:rPr>
          <w:rFonts w:ascii="Arial" w:hAnsi="Arial" w:cs="Arial"/>
          <w:sz w:val="24"/>
          <w:szCs w:val="24"/>
        </w:rPr>
        <w:t xml:space="preserve">, nos estritos termos da legislação de regência (Lei nº </w:t>
      </w:r>
      <w:r w:rsidR="008707CC" w:rsidRPr="008707CC">
        <w:rPr>
          <w:rFonts w:ascii="Arial" w:hAnsi="Arial" w:cs="Arial"/>
          <w:sz w:val="24"/>
          <w:szCs w:val="24"/>
        </w:rPr>
        <w:t>11.180/1990, art. 7º, § 1º, I, e 7º-A</w:t>
      </w:r>
      <w:r w:rsidR="008707CC">
        <w:rPr>
          <w:rFonts w:ascii="Arial" w:hAnsi="Arial" w:cs="Arial"/>
          <w:sz w:val="24"/>
          <w:szCs w:val="24"/>
        </w:rPr>
        <w:t xml:space="preserve">; </w:t>
      </w:r>
      <w:r w:rsidR="008707CC" w:rsidRPr="008707CC">
        <w:rPr>
          <w:rFonts w:ascii="Arial" w:hAnsi="Arial" w:cs="Arial"/>
          <w:sz w:val="24"/>
          <w:szCs w:val="24"/>
        </w:rPr>
        <w:t>Lei nº 13.591/2000, art. 24, § 1º, I e 24-A</w:t>
      </w:r>
      <w:r w:rsidR="008707CC">
        <w:rPr>
          <w:rFonts w:ascii="Arial" w:hAnsi="Arial" w:cs="Arial"/>
          <w:sz w:val="24"/>
          <w:szCs w:val="24"/>
        </w:rPr>
        <w:t xml:space="preserve">; </w:t>
      </w:r>
      <w:r w:rsidR="008707CC" w:rsidRPr="008707CC">
        <w:rPr>
          <w:rFonts w:ascii="Arial" w:hAnsi="Arial" w:cs="Arial"/>
          <w:sz w:val="24"/>
          <w:szCs w:val="24"/>
        </w:rPr>
        <w:t>Decreto nº 5.265/2000, art. 43, § 6º</w:t>
      </w:r>
      <w:r w:rsidR="008707CC">
        <w:rPr>
          <w:rFonts w:ascii="Arial" w:hAnsi="Arial" w:cs="Arial"/>
          <w:sz w:val="24"/>
          <w:szCs w:val="24"/>
        </w:rPr>
        <w:t>);</w:t>
      </w:r>
    </w:p>
    <w:p w14:paraId="03BF0707" w14:textId="23399B36" w:rsidR="0007628D" w:rsidRDefault="0007628D" w:rsidP="0007628D">
      <w:pPr>
        <w:pStyle w:val="PargrafodaLista"/>
        <w:spacing w:line="360" w:lineRule="auto"/>
        <w:ind w:left="1211"/>
        <w:jc w:val="both"/>
        <w:rPr>
          <w:rFonts w:ascii="Arial" w:hAnsi="Arial" w:cs="Arial"/>
          <w:sz w:val="24"/>
          <w:szCs w:val="24"/>
        </w:rPr>
      </w:pPr>
      <w:r>
        <w:rPr>
          <w:rFonts w:ascii="Arial" w:hAnsi="Arial" w:cs="Arial"/>
          <w:sz w:val="24"/>
          <w:szCs w:val="24"/>
        </w:rPr>
        <w:t>a.2) reporte imediatamente</w:t>
      </w:r>
      <w:r w:rsidR="000C31E5">
        <w:rPr>
          <w:rFonts w:ascii="Arial" w:hAnsi="Arial" w:cs="Arial"/>
          <w:sz w:val="24"/>
          <w:szCs w:val="24"/>
        </w:rPr>
        <w:t xml:space="preserve"> à</w:t>
      </w:r>
      <w:r w:rsidR="00E11852">
        <w:rPr>
          <w:rFonts w:ascii="Arial" w:hAnsi="Arial" w:cs="Arial"/>
          <w:sz w:val="24"/>
          <w:szCs w:val="24"/>
        </w:rPr>
        <w:t xml:space="preserve"> Secretaria de Estado da Economia</w:t>
      </w:r>
      <w:r w:rsidR="000C31E5">
        <w:rPr>
          <w:rFonts w:ascii="Arial" w:hAnsi="Arial" w:cs="Arial"/>
          <w:sz w:val="24"/>
          <w:szCs w:val="24"/>
        </w:rPr>
        <w:t xml:space="preserve"> as empresas que fruíram o benefício irregularmente para fins de inscrição em dívida ativa relativamente aos valores da fruição irregular e </w:t>
      </w:r>
      <w:r w:rsidR="00E11852">
        <w:rPr>
          <w:rFonts w:ascii="Arial" w:hAnsi="Arial" w:cs="Arial"/>
          <w:sz w:val="24"/>
          <w:szCs w:val="24"/>
        </w:rPr>
        <w:t xml:space="preserve">posterior encaminhamento à PGE/GO para </w:t>
      </w:r>
      <w:r w:rsidR="000C31E5">
        <w:rPr>
          <w:rFonts w:ascii="Arial" w:hAnsi="Arial" w:cs="Arial"/>
          <w:sz w:val="24"/>
          <w:szCs w:val="24"/>
        </w:rPr>
        <w:t>adoção das demais medidas executivas pertinentes (protesto extrajudicial da CDA, ajuizamento de execução fiscal e outra</w:t>
      </w:r>
      <w:r w:rsidR="00E11852">
        <w:rPr>
          <w:rFonts w:ascii="Arial" w:hAnsi="Arial" w:cs="Arial"/>
          <w:sz w:val="24"/>
          <w:szCs w:val="24"/>
        </w:rPr>
        <w:t>s</w:t>
      </w:r>
      <w:r w:rsidR="000C31E5">
        <w:rPr>
          <w:rFonts w:ascii="Arial" w:hAnsi="Arial" w:cs="Arial"/>
          <w:sz w:val="24"/>
          <w:szCs w:val="24"/>
        </w:rPr>
        <w:t xml:space="preserve"> ações judiciais cabíveis);</w:t>
      </w:r>
    </w:p>
    <w:p w14:paraId="3793AD56" w14:textId="2EDB4987" w:rsidR="002D3485" w:rsidRDefault="003E7C46" w:rsidP="00502615">
      <w:pPr>
        <w:pStyle w:val="PargrafodaLista"/>
        <w:numPr>
          <w:ilvl w:val="0"/>
          <w:numId w:val="29"/>
        </w:numPr>
        <w:spacing w:line="360" w:lineRule="auto"/>
        <w:jc w:val="both"/>
        <w:rPr>
          <w:rFonts w:ascii="Arial" w:hAnsi="Arial" w:cs="Arial"/>
          <w:sz w:val="24"/>
          <w:szCs w:val="24"/>
        </w:rPr>
      </w:pPr>
      <w:r>
        <w:rPr>
          <w:rFonts w:ascii="Arial" w:hAnsi="Arial" w:cs="Arial"/>
          <w:sz w:val="24"/>
          <w:szCs w:val="24"/>
          <w:u w:val="single"/>
        </w:rPr>
        <w:t xml:space="preserve">seja </w:t>
      </w:r>
      <w:r w:rsidRPr="002312C0">
        <w:rPr>
          <w:rFonts w:ascii="Arial" w:hAnsi="Arial" w:cs="Arial"/>
          <w:sz w:val="24"/>
          <w:szCs w:val="24"/>
          <w:u w:val="single"/>
        </w:rPr>
        <w:t xml:space="preserve">implantado </w:t>
      </w:r>
      <w:r w:rsidR="00666148" w:rsidRPr="002312C0">
        <w:rPr>
          <w:rFonts w:ascii="Arial" w:hAnsi="Arial" w:cs="Arial"/>
          <w:sz w:val="24"/>
          <w:szCs w:val="24"/>
          <w:u w:val="single"/>
        </w:rPr>
        <w:t xml:space="preserve">sistema que promova a </w:t>
      </w:r>
      <w:r w:rsidR="00B074FE">
        <w:rPr>
          <w:rFonts w:ascii="Arial" w:hAnsi="Arial" w:cs="Arial"/>
          <w:sz w:val="24"/>
          <w:szCs w:val="24"/>
          <w:u w:val="single"/>
        </w:rPr>
        <w:t xml:space="preserve">devida </w:t>
      </w:r>
      <w:r w:rsidR="00666148" w:rsidRPr="002312C0">
        <w:rPr>
          <w:rFonts w:ascii="Arial" w:hAnsi="Arial" w:cs="Arial"/>
          <w:sz w:val="24"/>
          <w:szCs w:val="24"/>
          <w:u w:val="single"/>
        </w:rPr>
        <w:t>integra</w:t>
      </w:r>
      <w:r w:rsidR="00666148" w:rsidRPr="002312C0">
        <w:rPr>
          <w:rFonts w:ascii="Arial" w:hAnsi="Arial" w:cs="Arial" w:hint="cs"/>
          <w:sz w:val="24"/>
          <w:szCs w:val="24"/>
          <w:u w:val="single"/>
        </w:rPr>
        <w:t>çã</w:t>
      </w:r>
      <w:r w:rsidR="00666148" w:rsidRPr="002312C0">
        <w:rPr>
          <w:rFonts w:ascii="Arial" w:hAnsi="Arial" w:cs="Arial"/>
          <w:sz w:val="24"/>
          <w:szCs w:val="24"/>
          <w:u w:val="single"/>
        </w:rPr>
        <w:t>o de informa</w:t>
      </w:r>
      <w:r w:rsidR="00666148" w:rsidRPr="002312C0">
        <w:rPr>
          <w:rFonts w:ascii="Arial" w:hAnsi="Arial" w:cs="Arial" w:hint="cs"/>
          <w:sz w:val="24"/>
          <w:szCs w:val="24"/>
          <w:u w:val="single"/>
        </w:rPr>
        <w:t>çõ</w:t>
      </w:r>
      <w:r w:rsidR="00666148" w:rsidRPr="002312C0">
        <w:rPr>
          <w:rFonts w:ascii="Arial" w:hAnsi="Arial" w:cs="Arial"/>
          <w:sz w:val="24"/>
          <w:szCs w:val="24"/>
          <w:u w:val="single"/>
        </w:rPr>
        <w:t>es entre as 3 (tr</w:t>
      </w:r>
      <w:r w:rsidR="00666148" w:rsidRPr="002312C0">
        <w:rPr>
          <w:rFonts w:ascii="Arial" w:hAnsi="Arial" w:cs="Arial" w:hint="cs"/>
          <w:sz w:val="24"/>
          <w:szCs w:val="24"/>
          <w:u w:val="single"/>
        </w:rPr>
        <w:t>ê</w:t>
      </w:r>
      <w:r w:rsidR="00666148" w:rsidRPr="002312C0">
        <w:rPr>
          <w:rFonts w:ascii="Arial" w:hAnsi="Arial" w:cs="Arial"/>
          <w:sz w:val="24"/>
          <w:szCs w:val="24"/>
          <w:u w:val="single"/>
        </w:rPr>
        <w:t xml:space="preserve">s) pastas </w:t>
      </w:r>
      <w:r w:rsidR="007F4DFE">
        <w:rPr>
          <w:rFonts w:ascii="Arial" w:hAnsi="Arial" w:cs="Arial"/>
          <w:sz w:val="24"/>
          <w:szCs w:val="24"/>
          <w:u w:val="single"/>
        </w:rPr>
        <w:t xml:space="preserve">atualmente </w:t>
      </w:r>
      <w:r w:rsidR="00666148" w:rsidRPr="002312C0">
        <w:rPr>
          <w:rFonts w:ascii="Arial" w:hAnsi="Arial" w:cs="Arial"/>
          <w:sz w:val="24"/>
          <w:szCs w:val="24"/>
          <w:u w:val="single"/>
        </w:rPr>
        <w:t>envolvidas na operacionaliza</w:t>
      </w:r>
      <w:r w:rsidR="00666148" w:rsidRPr="002312C0">
        <w:rPr>
          <w:rFonts w:ascii="Arial" w:hAnsi="Arial" w:cs="Arial" w:hint="cs"/>
          <w:sz w:val="24"/>
          <w:szCs w:val="24"/>
          <w:u w:val="single"/>
        </w:rPr>
        <w:t>çã</w:t>
      </w:r>
      <w:r w:rsidR="00666148" w:rsidRPr="002312C0">
        <w:rPr>
          <w:rFonts w:ascii="Arial" w:hAnsi="Arial" w:cs="Arial"/>
          <w:sz w:val="24"/>
          <w:szCs w:val="24"/>
          <w:u w:val="single"/>
        </w:rPr>
        <w:t>o do Programa</w:t>
      </w:r>
      <w:r w:rsidR="00666148" w:rsidRPr="00B8779A">
        <w:rPr>
          <w:rFonts w:ascii="Arial" w:hAnsi="Arial" w:cs="Arial"/>
          <w:sz w:val="24"/>
          <w:szCs w:val="24"/>
        </w:rPr>
        <w:t xml:space="preserve"> (Secretaria de Estado da Indústria e Comércio</w:t>
      </w:r>
      <w:r w:rsidR="00666148">
        <w:rPr>
          <w:rFonts w:ascii="Arial" w:hAnsi="Arial" w:cs="Arial"/>
          <w:sz w:val="24"/>
          <w:szCs w:val="24"/>
        </w:rPr>
        <w:t xml:space="preserve">; </w:t>
      </w:r>
      <w:r w:rsidR="00666148" w:rsidRPr="00B8779A">
        <w:rPr>
          <w:rFonts w:ascii="Arial" w:hAnsi="Arial" w:cs="Arial"/>
          <w:sz w:val="24"/>
          <w:szCs w:val="24"/>
        </w:rPr>
        <w:t xml:space="preserve">Secretaria de Estado </w:t>
      </w:r>
      <w:r w:rsidR="00666148">
        <w:rPr>
          <w:rFonts w:ascii="Arial" w:hAnsi="Arial" w:cs="Arial"/>
          <w:sz w:val="24"/>
          <w:szCs w:val="24"/>
        </w:rPr>
        <w:t>d</w:t>
      </w:r>
      <w:r w:rsidR="00666148" w:rsidRPr="00B8779A">
        <w:rPr>
          <w:rFonts w:ascii="Arial" w:hAnsi="Arial" w:cs="Arial"/>
          <w:sz w:val="24"/>
          <w:szCs w:val="24"/>
        </w:rPr>
        <w:t>a Economia</w:t>
      </w:r>
      <w:r w:rsidR="00666148">
        <w:rPr>
          <w:rFonts w:ascii="Arial" w:hAnsi="Arial" w:cs="Arial"/>
          <w:sz w:val="24"/>
          <w:szCs w:val="24"/>
        </w:rPr>
        <w:t>;</w:t>
      </w:r>
      <w:r w:rsidR="00666148" w:rsidRPr="00B8779A">
        <w:rPr>
          <w:rFonts w:ascii="Arial" w:hAnsi="Arial" w:cs="Arial"/>
          <w:sz w:val="24"/>
          <w:szCs w:val="24"/>
        </w:rPr>
        <w:t xml:space="preserve"> e GOIÁSFOMENTO</w:t>
      </w:r>
      <w:r w:rsidR="00666148">
        <w:rPr>
          <w:rFonts w:ascii="Arial" w:hAnsi="Arial" w:cs="Arial"/>
          <w:sz w:val="24"/>
          <w:szCs w:val="24"/>
        </w:rPr>
        <w:t>)</w:t>
      </w:r>
      <w:r w:rsidR="002312C0">
        <w:rPr>
          <w:rFonts w:ascii="Arial" w:hAnsi="Arial" w:cs="Arial"/>
          <w:sz w:val="24"/>
          <w:szCs w:val="24"/>
        </w:rPr>
        <w:t xml:space="preserve">, de modo a </w:t>
      </w:r>
      <w:r w:rsidR="002312C0" w:rsidRPr="002312C0">
        <w:rPr>
          <w:rFonts w:ascii="Arial" w:hAnsi="Arial" w:cs="Arial"/>
          <w:sz w:val="24"/>
          <w:szCs w:val="24"/>
        </w:rPr>
        <w:t>possibilita</w:t>
      </w:r>
      <w:r w:rsidR="002312C0">
        <w:rPr>
          <w:rFonts w:ascii="Arial" w:hAnsi="Arial" w:cs="Arial"/>
          <w:sz w:val="24"/>
          <w:szCs w:val="24"/>
        </w:rPr>
        <w:t>r</w:t>
      </w:r>
      <w:r w:rsidR="002312C0" w:rsidRPr="002312C0">
        <w:rPr>
          <w:rFonts w:ascii="Arial" w:hAnsi="Arial" w:cs="Arial"/>
          <w:sz w:val="24"/>
          <w:szCs w:val="24"/>
        </w:rPr>
        <w:t xml:space="preserve"> a suspensão tempestiva do contrato de financiamento e do benefício;</w:t>
      </w:r>
    </w:p>
    <w:p w14:paraId="4A491FB2" w14:textId="7BE0713D" w:rsidR="00441108" w:rsidRDefault="00441108" w:rsidP="00502615">
      <w:pPr>
        <w:pStyle w:val="PargrafodaLista"/>
        <w:numPr>
          <w:ilvl w:val="0"/>
          <w:numId w:val="29"/>
        </w:numPr>
        <w:spacing w:line="360" w:lineRule="auto"/>
        <w:jc w:val="both"/>
        <w:rPr>
          <w:rFonts w:ascii="Arial" w:hAnsi="Arial" w:cs="Arial"/>
          <w:sz w:val="24"/>
          <w:szCs w:val="24"/>
        </w:rPr>
      </w:pPr>
      <w:r w:rsidRPr="00441108">
        <w:rPr>
          <w:rFonts w:ascii="Arial" w:hAnsi="Arial" w:cs="Arial"/>
          <w:sz w:val="24"/>
          <w:szCs w:val="24"/>
          <w:u w:val="single"/>
        </w:rPr>
        <w:t>a Secretaria de Estado da Economia disponibilize mensalmente à Secretaria de Estado de Indústria e Comércio</w:t>
      </w:r>
      <w:r>
        <w:rPr>
          <w:rFonts w:ascii="Arial" w:hAnsi="Arial" w:cs="Arial"/>
          <w:sz w:val="24"/>
          <w:szCs w:val="24"/>
        </w:rPr>
        <w:t xml:space="preserve">, preferencialmente por meio de sistema informatizado nos termos da alínea </w:t>
      </w:r>
      <w:r w:rsidR="00AD40D2">
        <w:rPr>
          <w:rFonts w:ascii="Arial" w:hAnsi="Arial" w:cs="Arial"/>
          <w:sz w:val="24"/>
          <w:szCs w:val="24"/>
        </w:rPr>
        <w:t>“b”</w:t>
      </w:r>
      <w:r>
        <w:rPr>
          <w:rFonts w:ascii="Arial" w:hAnsi="Arial" w:cs="Arial"/>
          <w:sz w:val="24"/>
          <w:szCs w:val="24"/>
        </w:rPr>
        <w:t xml:space="preserve">, a relação de empresas inscritas </w:t>
      </w:r>
      <w:r w:rsidR="00B074FE">
        <w:rPr>
          <w:rFonts w:ascii="Arial" w:hAnsi="Arial" w:cs="Arial"/>
          <w:sz w:val="24"/>
          <w:szCs w:val="24"/>
        </w:rPr>
        <w:t>em dívida ativa</w:t>
      </w:r>
      <w:r w:rsidR="00166CA8">
        <w:rPr>
          <w:rFonts w:ascii="Arial" w:hAnsi="Arial" w:cs="Arial"/>
          <w:sz w:val="24"/>
          <w:szCs w:val="24"/>
        </w:rPr>
        <w:t xml:space="preserve">, ou que adote diretamente a cada mês as providências necessárias à suspensão imediata do benefício às empresas </w:t>
      </w:r>
      <w:r w:rsidR="007F4DFE">
        <w:rPr>
          <w:rFonts w:ascii="Arial" w:hAnsi="Arial" w:cs="Arial"/>
          <w:sz w:val="24"/>
          <w:szCs w:val="24"/>
        </w:rPr>
        <w:t xml:space="preserve">inscritas nos programas que estejam </w:t>
      </w:r>
      <w:r w:rsidR="00166CA8">
        <w:rPr>
          <w:rFonts w:ascii="Arial" w:hAnsi="Arial" w:cs="Arial"/>
          <w:sz w:val="24"/>
          <w:szCs w:val="24"/>
        </w:rPr>
        <w:t>em débito</w:t>
      </w:r>
      <w:r w:rsidR="007F4DFE">
        <w:rPr>
          <w:rFonts w:ascii="Arial" w:hAnsi="Arial" w:cs="Arial"/>
          <w:sz w:val="24"/>
          <w:szCs w:val="24"/>
        </w:rPr>
        <w:t xml:space="preserve"> com o Estado</w:t>
      </w:r>
      <w:r w:rsidR="00166CA8">
        <w:rPr>
          <w:rFonts w:ascii="Arial" w:hAnsi="Arial" w:cs="Arial"/>
          <w:sz w:val="24"/>
          <w:szCs w:val="24"/>
        </w:rPr>
        <w:t>, nos termos da alínea “a”;</w:t>
      </w:r>
    </w:p>
    <w:p w14:paraId="525252F2" w14:textId="77777777" w:rsidR="00AD40D2" w:rsidRDefault="00AD40D2" w:rsidP="00B51D1F">
      <w:pPr>
        <w:spacing w:line="360" w:lineRule="auto"/>
        <w:ind w:firstLine="851"/>
        <w:jc w:val="both"/>
        <w:rPr>
          <w:rFonts w:ascii="Arial" w:hAnsi="Arial" w:cs="Arial"/>
          <w:b/>
          <w:sz w:val="24"/>
          <w:szCs w:val="24"/>
        </w:rPr>
      </w:pPr>
    </w:p>
    <w:p w14:paraId="77AE38E3" w14:textId="607DB9EB" w:rsidR="00B51D1F" w:rsidRPr="008210BF" w:rsidRDefault="00B51D1F" w:rsidP="00B51D1F">
      <w:pPr>
        <w:spacing w:line="360" w:lineRule="auto"/>
        <w:ind w:firstLine="851"/>
        <w:jc w:val="both"/>
      </w:pPr>
      <w:r>
        <w:rPr>
          <w:rFonts w:ascii="Arial" w:hAnsi="Arial" w:cs="Arial"/>
          <w:b/>
          <w:sz w:val="24"/>
          <w:szCs w:val="24"/>
        </w:rPr>
        <w:lastRenderedPageBreak/>
        <w:t>8.1.3</w:t>
      </w:r>
      <w:r w:rsidRPr="003F4F12">
        <w:rPr>
          <w:rFonts w:ascii="Arial" w:hAnsi="Arial" w:cs="Arial"/>
          <w:b/>
          <w:sz w:val="24"/>
          <w:szCs w:val="24"/>
        </w:rPr>
        <w:t>.</w:t>
      </w:r>
      <w:r>
        <w:rPr>
          <w:rFonts w:ascii="Arial" w:hAnsi="Arial" w:cs="Arial"/>
          <w:sz w:val="24"/>
          <w:szCs w:val="24"/>
        </w:rPr>
        <w:t xml:space="preserve"> Relativamente ao </w:t>
      </w:r>
      <w:r w:rsidRPr="00213819">
        <w:rPr>
          <w:rFonts w:ascii="Arial" w:hAnsi="Arial" w:cs="Arial"/>
          <w:b/>
          <w:sz w:val="24"/>
          <w:szCs w:val="24"/>
          <w:u w:val="single"/>
        </w:rPr>
        <w:t>segundo grupo de incentivos fiscais</w:t>
      </w:r>
      <w:r w:rsidRPr="00213819">
        <w:rPr>
          <w:rFonts w:ascii="Arial" w:hAnsi="Arial" w:cs="Arial"/>
          <w:b/>
          <w:sz w:val="24"/>
          <w:szCs w:val="24"/>
        </w:rPr>
        <w:t xml:space="preserve"> (isenção, redução da base de cálculo e crédito outorgado),</w:t>
      </w:r>
      <w:r w:rsidR="00213819" w:rsidRPr="00213819">
        <w:rPr>
          <w:rFonts w:ascii="Arial" w:hAnsi="Arial" w:cs="Arial"/>
          <w:b/>
          <w:sz w:val="24"/>
          <w:szCs w:val="24"/>
        </w:rPr>
        <w:t xml:space="preserve"> a situação não é diferente</w:t>
      </w:r>
      <w:r w:rsidR="00213819">
        <w:rPr>
          <w:rFonts w:ascii="Arial" w:hAnsi="Arial" w:cs="Arial"/>
          <w:sz w:val="24"/>
          <w:szCs w:val="24"/>
        </w:rPr>
        <w:t xml:space="preserve">. O requisito também se encontra positivado em diversas leis, e a </w:t>
      </w:r>
      <w:r>
        <w:rPr>
          <w:rFonts w:ascii="Arial" w:hAnsi="Arial" w:cs="Arial"/>
          <w:sz w:val="24"/>
          <w:szCs w:val="24"/>
        </w:rPr>
        <w:t xml:space="preserve">título meramente exemplificativo transcrevem-se abaixo </w:t>
      </w:r>
      <w:r w:rsidR="00213819">
        <w:rPr>
          <w:rFonts w:ascii="Arial" w:hAnsi="Arial" w:cs="Arial"/>
          <w:sz w:val="24"/>
          <w:szCs w:val="24"/>
        </w:rPr>
        <w:t>as</w:t>
      </w:r>
      <w:r>
        <w:rPr>
          <w:rFonts w:ascii="Arial" w:hAnsi="Arial" w:cs="Arial"/>
          <w:sz w:val="24"/>
          <w:szCs w:val="24"/>
        </w:rPr>
        <w:t xml:space="preserve"> Leis nºs 13.194/1997, 13.453/1999, 16.671/2009 e 17.442/2011, apenas para citar os diplomas legais mais relevantes</w:t>
      </w:r>
      <w:r>
        <w:t>:</w:t>
      </w:r>
    </w:p>
    <w:p w14:paraId="71C94D4E" w14:textId="77777777" w:rsidR="00B51D1F" w:rsidRDefault="00B51D1F" w:rsidP="00B51D1F">
      <w:pPr>
        <w:spacing w:line="360" w:lineRule="auto"/>
        <w:ind w:firstLine="851"/>
        <w:jc w:val="both"/>
        <w:rPr>
          <w:rFonts w:ascii="Arial" w:hAnsi="Arial" w:cs="Arial"/>
          <w:sz w:val="24"/>
          <w:szCs w:val="24"/>
        </w:rPr>
      </w:pPr>
    </w:p>
    <w:p w14:paraId="52A79874" w14:textId="77777777" w:rsidR="00B51D1F" w:rsidRPr="0043190E" w:rsidRDefault="00B51D1F" w:rsidP="00411A73">
      <w:pPr>
        <w:ind w:left="2268"/>
        <w:jc w:val="both"/>
        <w:rPr>
          <w:rFonts w:ascii="Arial" w:hAnsi="Arial" w:cs="Arial"/>
          <w:b/>
          <w:color w:val="000000"/>
          <w:sz w:val="22"/>
          <w:szCs w:val="22"/>
          <w:u w:val="single"/>
        </w:rPr>
      </w:pPr>
      <w:r w:rsidRPr="003D6B66">
        <w:rPr>
          <w:rFonts w:ascii="Arial" w:hAnsi="Arial" w:cs="Arial"/>
          <w:b/>
          <w:color w:val="000000"/>
          <w:sz w:val="22"/>
          <w:szCs w:val="22"/>
          <w:u w:val="single"/>
        </w:rPr>
        <w:t>Lei nº 13.194/1997</w:t>
      </w:r>
    </w:p>
    <w:p w14:paraId="0290825F" w14:textId="77777777" w:rsidR="00B51D1F" w:rsidRDefault="00B51D1F" w:rsidP="00411A73">
      <w:pPr>
        <w:ind w:left="2268"/>
        <w:jc w:val="both"/>
        <w:rPr>
          <w:rFonts w:ascii="Arial" w:hAnsi="Arial" w:cs="Arial"/>
          <w:color w:val="000000"/>
          <w:sz w:val="22"/>
          <w:szCs w:val="22"/>
        </w:rPr>
      </w:pPr>
      <w:r w:rsidRPr="002030E8">
        <w:rPr>
          <w:rFonts w:ascii="Arial" w:hAnsi="Arial" w:cs="Arial"/>
          <w:color w:val="000000"/>
          <w:sz w:val="22"/>
          <w:szCs w:val="22"/>
        </w:rPr>
        <w:t>Art. 5º-A A utilização dos benefícios fiscais da redução de base de cálculo, do crédito outorgado e da isenção do ICMS previstos nesta Lei, em determinado mês, fica condicionada a que o sujeito passivo:</w:t>
      </w:r>
    </w:p>
    <w:p w14:paraId="7CE61D05" w14:textId="77777777" w:rsidR="00B51D1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22F456F6" w14:textId="77777777" w:rsidR="00B51D1F" w:rsidRDefault="00B51D1F" w:rsidP="00411A73">
      <w:pPr>
        <w:ind w:left="2268"/>
        <w:jc w:val="both"/>
        <w:rPr>
          <w:rFonts w:ascii="Arial" w:hAnsi="Arial" w:cs="Arial"/>
          <w:color w:val="000000"/>
          <w:sz w:val="22"/>
          <w:szCs w:val="22"/>
        </w:rPr>
      </w:pPr>
      <w:r w:rsidRPr="00E65F0D">
        <w:rPr>
          <w:rFonts w:ascii="Arial" w:hAnsi="Arial" w:cs="Arial"/>
          <w:b/>
          <w:color w:val="000000"/>
          <w:sz w:val="22"/>
          <w:szCs w:val="22"/>
        </w:rPr>
        <w:t>II - não possua crédito tributário inscrito em dívida ativa</w:t>
      </w:r>
      <w:r w:rsidRPr="002030E8">
        <w:rPr>
          <w:rFonts w:ascii="Arial" w:hAnsi="Arial" w:cs="Arial"/>
          <w:color w:val="000000"/>
          <w:sz w:val="22"/>
          <w:szCs w:val="22"/>
        </w:rPr>
        <w:t>, exceto se o referido crédito estiver com sua exigibilidade suspensa nos termos da lei ou tiver sido efetivada a penhora de bens suficientes para o pagamento do total da dívida;</w:t>
      </w:r>
    </w:p>
    <w:p w14:paraId="12B8D571" w14:textId="77777777" w:rsidR="00B51D1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57E0FAC2" w14:textId="77777777" w:rsidR="00B51D1F" w:rsidRDefault="00B51D1F" w:rsidP="00411A73">
      <w:pPr>
        <w:ind w:left="2268"/>
        <w:jc w:val="both"/>
        <w:rPr>
          <w:rFonts w:ascii="Arial" w:hAnsi="Arial" w:cs="Arial"/>
          <w:color w:val="000000"/>
          <w:sz w:val="22"/>
          <w:szCs w:val="22"/>
        </w:rPr>
      </w:pPr>
      <w:r w:rsidRPr="00E65F0D">
        <w:rPr>
          <w:rFonts w:ascii="Arial" w:hAnsi="Arial" w:cs="Arial"/>
          <w:color w:val="000000"/>
          <w:sz w:val="22"/>
          <w:szCs w:val="22"/>
        </w:rPr>
        <w:t>§ 2º Na hipótese prevista no inciso II do </w:t>
      </w:r>
      <w:r w:rsidRPr="00E65F0D">
        <w:rPr>
          <w:rFonts w:ascii="Arial" w:hAnsi="Arial" w:cs="Arial"/>
          <w:i/>
          <w:iCs/>
          <w:color w:val="000000"/>
          <w:sz w:val="22"/>
          <w:szCs w:val="22"/>
        </w:rPr>
        <w:t>caput</w:t>
      </w:r>
      <w:r w:rsidRPr="00E65F0D">
        <w:rPr>
          <w:rFonts w:ascii="Arial" w:hAnsi="Arial" w:cs="Arial"/>
          <w:color w:val="000000"/>
          <w:sz w:val="22"/>
          <w:szCs w:val="22"/>
        </w:rPr>
        <w:t xml:space="preserve">, </w:t>
      </w:r>
      <w:r w:rsidRPr="00E65F0D">
        <w:rPr>
          <w:rFonts w:ascii="Arial" w:hAnsi="Arial" w:cs="Arial"/>
          <w:b/>
          <w:color w:val="000000"/>
          <w:sz w:val="22"/>
          <w:szCs w:val="22"/>
        </w:rPr>
        <w:t>o sujeito passivo perde definitivamente o direito à utilização do benefício enquanto houver crédito tributário inscrito em dívida ativa</w:t>
      </w:r>
      <w:r w:rsidRPr="00E65F0D">
        <w:rPr>
          <w:rFonts w:ascii="Arial" w:hAnsi="Arial" w:cs="Arial"/>
          <w:color w:val="000000"/>
          <w:sz w:val="22"/>
          <w:szCs w:val="22"/>
        </w:rPr>
        <w:t>.</w:t>
      </w:r>
    </w:p>
    <w:p w14:paraId="6D00D2D8" w14:textId="77777777" w:rsidR="00B51D1F" w:rsidRDefault="00B51D1F" w:rsidP="00411A73">
      <w:pPr>
        <w:ind w:left="2268"/>
        <w:jc w:val="both"/>
        <w:rPr>
          <w:rFonts w:ascii="Arial" w:hAnsi="Arial" w:cs="Arial"/>
          <w:color w:val="000000"/>
          <w:sz w:val="22"/>
          <w:szCs w:val="22"/>
        </w:rPr>
      </w:pPr>
    </w:p>
    <w:p w14:paraId="53A597A9" w14:textId="77777777" w:rsidR="00B51D1F" w:rsidRPr="0043190E" w:rsidRDefault="00B51D1F" w:rsidP="00411A73">
      <w:pPr>
        <w:ind w:left="2268"/>
        <w:jc w:val="both"/>
        <w:rPr>
          <w:rFonts w:ascii="Arial" w:hAnsi="Arial" w:cs="Arial"/>
          <w:b/>
          <w:color w:val="000000"/>
          <w:sz w:val="22"/>
          <w:szCs w:val="22"/>
          <w:u w:val="single"/>
        </w:rPr>
      </w:pPr>
      <w:r w:rsidRPr="003D6B66">
        <w:rPr>
          <w:rFonts w:ascii="Arial" w:hAnsi="Arial" w:cs="Arial"/>
          <w:b/>
          <w:color w:val="000000"/>
          <w:sz w:val="22"/>
          <w:szCs w:val="22"/>
          <w:u w:val="single"/>
        </w:rPr>
        <w:t>Lei nº 13.4</w:t>
      </w:r>
      <w:r>
        <w:rPr>
          <w:rFonts w:ascii="Arial" w:hAnsi="Arial" w:cs="Arial"/>
          <w:b/>
          <w:color w:val="000000"/>
          <w:sz w:val="22"/>
          <w:szCs w:val="22"/>
          <w:u w:val="single"/>
        </w:rPr>
        <w:t>53/1999</w:t>
      </w:r>
    </w:p>
    <w:p w14:paraId="12B81D84" w14:textId="77777777" w:rsidR="00B51D1F" w:rsidRDefault="00B51D1F" w:rsidP="00411A73">
      <w:pPr>
        <w:ind w:left="2268"/>
        <w:jc w:val="both"/>
        <w:rPr>
          <w:rFonts w:ascii="Arial" w:hAnsi="Arial" w:cs="Arial"/>
          <w:color w:val="000000"/>
          <w:sz w:val="22"/>
          <w:szCs w:val="22"/>
        </w:rPr>
      </w:pPr>
      <w:r w:rsidRPr="0030490F">
        <w:rPr>
          <w:rFonts w:ascii="Arial" w:hAnsi="Arial" w:cs="Arial"/>
          <w:color w:val="000000"/>
          <w:sz w:val="22"/>
          <w:szCs w:val="22"/>
        </w:rPr>
        <w:t>Art. 3º-A A utilização dos benefícios fiscais da redução de base de cálculo, do crédito outorgado e da isenção do ICMS previstos nesta Lei, em determinado mês, fica condicionada a que o sujeito passivo:</w:t>
      </w:r>
    </w:p>
    <w:p w14:paraId="3C5112BE" w14:textId="77777777" w:rsidR="00B51D1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0D48C8EF" w14:textId="77777777" w:rsidR="00B51D1F" w:rsidRDefault="00B51D1F" w:rsidP="00411A73">
      <w:pPr>
        <w:ind w:left="2268"/>
        <w:jc w:val="both"/>
        <w:rPr>
          <w:rFonts w:ascii="Arial" w:hAnsi="Arial" w:cs="Arial"/>
          <w:color w:val="000000"/>
          <w:sz w:val="22"/>
          <w:szCs w:val="22"/>
        </w:rPr>
      </w:pPr>
      <w:r w:rsidRPr="001B1CE3">
        <w:rPr>
          <w:rFonts w:ascii="Arial" w:hAnsi="Arial" w:cs="Arial"/>
          <w:b/>
          <w:color w:val="000000"/>
          <w:sz w:val="22"/>
          <w:szCs w:val="22"/>
        </w:rPr>
        <w:t>II - não possua crédito tributário inscrito em dívida ativa</w:t>
      </w:r>
      <w:r w:rsidRPr="0030490F">
        <w:rPr>
          <w:rFonts w:ascii="Arial" w:hAnsi="Arial" w:cs="Arial"/>
          <w:color w:val="000000"/>
          <w:sz w:val="22"/>
          <w:szCs w:val="22"/>
        </w:rPr>
        <w:t>, exceto se o referido crédito estiver com sua exigibilidade suspensa nos termos da lei ou tiver sido efetivada a penhora de bens suficientes para o pagamento do total da dívida;</w:t>
      </w:r>
    </w:p>
    <w:p w14:paraId="3C513E5C" w14:textId="77777777" w:rsidR="00B51D1F" w:rsidRPr="0030490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13D2187B" w14:textId="77777777" w:rsidR="00B51D1F" w:rsidRDefault="00B51D1F" w:rsidP="00411A73">
      <w:pPr>
        <w:ind w:left="2268"/>
        <w:jc w:val="both"/>
        <w:rPr>
          <w:rFonts w:ascii="Arial" w:hAnsi="Arial" w:cs="Arial"/>
          <w:b/>
          <w:color w:val="000000"/>
          <w:sz w:val="22"/>
          <w:szCs w:val="22"/>
          <w:u w:val="single"/>
        </w:rPr>
      </w:pPr>
    </w:p>
    <w:p w14:paraId="7E01DDFA" w14:textId="77777777" w:rsidR="00B51D1F" w:rsidRPr="0043190E" w:rsidRDefault="00B51D1F" w:rsidP="00411A73">
      <w:pPr>
        <w:ind w:left="2268"/>
        <w:jc w:val="both"/>
        <w:rPr>
          <w:rFonts w:ascii="Arial" w:hAnsi="Arial" w:cs="Arial"/>
          <w:b/>
          <w:color w:val="000000"/>
          <w:sz w:val="22"/>
          <w:szCs w:val="22"/>
          <w:u w:val="single"/>
        </w:rPr>
      </w:pPr>
      <w:r w:rsidRPr="003D6B66">
        <w:rPr>
          <w:rFonts w:ascii="Arial" w:hAnsi="Arial" w:cs="Arial"/>
          <w:b/>
          <w:color w:val="000000"/>
          <w:sz w:val="22"/>
          <w:szCs w:val="22"/>
          <w:u w:val="single"/>
        </w:rPr>
        <w:t>Lei nº 1</w:t>
      </w:r>
      <w:r>
        <w:rPr>
          <w:rFonts w:ascii="Arial" w:hAnsi="Arial" w:cs="Arial"/>
          <w:b/>
          <w:color w:val="000000"/>
          <w:sz w:val="22"/>
          <w:szCs w:val="22"/>
          <w:u w:val="single"/>
        </w:rPr>
        <w:t>6</w:t>
      </w:r>
      <w:r w:rsidRPr="003D6B66">
        <w:rPr>
          <w:rFonts w:ascii="Arial" w:hAnsi="Arial" w:cs="Arial"/>
          <w:b/>
          <w:color w:val="000000"/>
          <w:sz w:val="22"/>
          <w:szCs w:val="22"/>
          <w:u w:val="single"/>
        </w:rPr>
        <w:t>.</w:t>
      </w:r>
      <w:r>
        <w:rPr>
          <w:rFonts w:ascii="Arial" w:hAnsi="Arial" w:cs="Arial"/>
          <w:b/>
          <w:color w:val="000000"/>
          <w:sz w:val="22"/>
          <w:szCs w:val="22"/>
          <w:u w:val="single"/>
        </w:rPr>
        <w:t>671/2009</w:t>
      </w:r>
    </w:p>
    <w:p w14:paraId="28ADC1F9" w14:textId="77777777" w:rsidR="00B51D1F" w:rsidRPr="002C42FF" w:rsidRDefault="00B51D1F" w:rsidP="00411A73">
      <w:pPr>
        <w:ind w:left="2268"/>
        <w:jc w:val="both"/>
        <w:rPr>
          <w:rFonts w:ascii="Arial" w:hAnsi="Arial" w:cs="Arial"/>
          <w:color w:val="000000"/>
          <w:sz w:val="22"/>
          <w:szCs w:val="22"/>
        </w:rPr>
      </w:pPr>
      <w:r w:rsidRPr="002C42FF">
        <w:rPr>
          <w:rFonts w:ascii="Arial" w:hAnsi="Arial" w:cs="Arial"/>
          <w:color w:val="000000"/>
          <w:sz w:val="22"/>
          <w:szCs w:val="22"/>
        </w:rPr>
        <w:t>Art. 7º Implica a revogação do regime especial a:</w:t>
      </w:r>
    </w:p>
    <w:p w14:paraId="2CF73491" w14:textId="77777777" w:rsidR="00B51D1F" w:rsidRPr="002C42FF" w:rsidRDefault="00B51D1F" w:rsidP="00411A73">
      <w:pPr>
        <w:ind w:left="2268"/>
        <w:jc w:val="both"/>
        <w:rPr>
          <w:rFonts w:ascii="Arial" w:hAnsi="Arial" w:cs="Arial"/>
          <w:color w:val="000000"/>
          <w:sz w:val="22"/>
          <w:szCs w:val="22"/>
        </w:rPr>
      </w:pPr>
      <w:r w:rsidRPr="002C42FF">
        <w:rPr>
          <w:rFonts w:ascii="Arial" w:hAnsi="Arial" w:cs="Arial"/>
          <w:color w:val="000000"/>
          <w:sz w:val="22"/>
          <w:szCs w:val="22"/>
        </w:rPr>
        <w:t>[...].</w:t>
      </w:r>
    </w:p>
    <w:p w14:paraId="22A8609D" w14:textId="77777777" w:rsidR="00B51D1F" w:rsidRPr="002C42FF" w:rsidRDefault="00B51D1F" w:rsidP="00411A73">
      <w:pPr>
        <w:ind w:left="2268"/>
        <w:jc w:val="both"/>
        <w:rPr>
          <w:rFonts w:ascii="Arial" w:hAnsi="Arial" w:cs="Arial"/>
          <w:color w:val="000000"/>
          <w:sz w:val="22"/>
          <w:szCs w:val="22"/>
        </w:rPr>
      </w:pPr>
      <w:r w:rsidRPr="002C42FF">
        <w:rPr>
          <w:rFonts w:ascii="Arial" w:hAnsi="Arial" w:cs="Arial"/>
          <w:b/>
          <w:color w:val="000000"/>
          <w:sz w:val="22"/>
          <w:szCs w:val="22"/>
        </w:rPr>
        <w:t>IV - existência de crédito tributário inscrito em dívida ativa</w:t>
      </w:r>
      <w:r w:rsidRPr="002C42FF">
        <w:rPr>
          <w:rFonts w:ascii="Arial" w:hAnsi="Arial" w:cs="Arial"/>
          <w:color w:val="000000"/>
          <w:sz w:val="22"/>
          <w:szCs w:val="22"/>
        </w:rPr>
        <w:t>, exceto se o referido crédito estiver com sua exigibilidade suspensa nos termos da lei ou tiver sido efetivada a penhora de bens suficientes para o pagamento do total da dívida.</w:t>
      </w:r>
    </w:p>
    <w:p w14:paraId="308F3AE2" w14:textId="77777777" w:rsidR="00B51D1F" w:rsidRPr="002C42FF" w:rsidRDefault="00B51D1F" w:rsidP="00411A73">
      <w:pPr>
        <w:ind w:left="2268"/>
        <w:jc w:val="both"/>
        <w:rPr>
          <w:rFonts w:ascii="Arial" w:hAnsi="Arial" w:cs="Arial"/>
          <w:color w:val="000000"/>
          <w:sz w:val="22"/>
          <w:szCs w:val="22"/>
        </w:rPr>
      </w:pPr>
      <w:r w:rsidRPr="002C42FF">
        <w:rPr>
          <w:rFonts w:ascii="Arial" w:hAnsi="Arial" w:cs="Arial"/>
          <w:color w:val="000000"/>
          <w:sz w:val="22"/>
          <w:szCs w:val="22"/>
        </w:rPr>
        <w:t>[...].</w:t>
      </w:r>
    </w:p>
    <w:p w14:paraId="01D2AD66" w14:textId="77777777" w:rsidR="00B51D1F" w:rsidRDefault="00B51D1F" w:rsidP="00411A73">
      <w:pPr>
        <w:ind w:left="2268"/>
        <w:jc w:val="both"/>
        <w:rPr>
          <w:rFonts w:ascii="Arial" w:hAnsi="Arial" w:cs="Arial"/>
          <w:b/>
          <w:color w:val="000000"/>
          <w:sz w:val="22"/>
          <w:szCs w:val="22"/>
          <w:u w:val="single"/>
        </w:rPr>
      </w:pPr>
    </w:p>
    <w:p w14:paraId="0A52C580" w14:textId="77777777" w:rsidR="00B51D1F" w:rsidRPr="0043190E" w:rsidRDefault="00B51D1F" w:rsidP="00411A73">
      <w:pPr>
        <w:ind w:left="2268"/>
        <w:jc w:val="both"/>
        <w:rPr>
          <w:rFonts w:ascii="Arial" w:hAnsi="Arial" w:cs="Arial"/>
          <w:b/>
          <w:color w:val="000000"/>
          <w:sz w:val="22"/>
          <w:szCs w:val="22"/>
          <w:u w:val="single"/>
        </w:rPr>
      </w:pPr>
      <w:r w:rsidRPr="003D6B66">
        <w:rPr>
          <w:rFonts w:ascii="Arial" w:hAnsi="Arial" w:cs="Arial"/>
          <w:b/>
          <w:color w:val="000000"/>
          <w:sz w:val="22"/>
          <w:szCs w:val="22"/>
          <w:u w:val="single"/>
        </w:rPr>
        <w:t>Lei nº 1</w:t>
      </w:r>
      <w:r>
        <w:rPr>
          <w:rFonts w:ascii="Arial" w:hAnsi="Arial" w:cs="Arial"/>
          <w:b/>
          <w:color w:val="000000"/>
          <w:sz w:val="22"/>
          <w:szCs w:val="22"/>
          <w:u w:val="single"/>
        </w:rPr>
        <w:t>7</w:t>
      </w:r>
      <w:r w:rsidRPr="003D6B66">
        <w:rPr>
          <w:rFonts w:ascii="Arial" w:hAnsi="Arial" w:cs="Arial"/>
          <w:b/>
          <w:color w:val="000000"/>
          <w:sz w:val="22"/>
          <w:szCs w:val="22"/>
          <w:u w:val="single"/>
        </w:rPr>
        <w:t>.</w:t>
      </w:r>
      <w:r>
        <w:rPr>
          <w:rFonts w:ascii="Arial" w:hAnsi="Arial" w:cs="Arial"/>
          <w:b/>
          <w:color w:val="000000"/>
          <w:sz w:val="22"/>
          <w:szCs w:val="22"/>
          <w:u w:val="single"/>
        </w:rPr>
        <w:t>442/2011</w:t>
      </w:r>
    </w:p>
    <w:p w14:paraId="246F6FC2" w14:textId="77777777" w:rsidR="00B51D1F" w:rsidRPr="0043190E" w:rsidRDefault="00B51D1F" w:rsidP="00411A73">
      <w:pPr>
        <w:ind w:left="2268"/>
        <w:jc w:val="both"/>
        <w:rPr>
          <w:rFonts w:ascii="Arial" w:hAnsi="Arial" w:cs="Arial"/>
          <w:color w:val="000000"/>
          <w:sz w:val="22"/>
          <w:szCs w:val="22"/>
        </w:rPr>
      </w:pPr>
      <w:r w:rsidRPr="0043190E">
        <w:rPr>
          <w:rFonts w:ascii="Arial" w:hAnsi="Arial" w:cs="Arial"/>
          <w:color w:val="000000"/>
          <w:sz w:val="22"/>
          <w:szCs w:val="22"/>
        </w:rPr>
        <w:t>Art. 8º A fruição dos benefícios concedidos por esta Lei depende da celebração de regime especial com a Secretaria da Fazenda.</w:t>
      </w:r>
    </w:p>
    <w:p w14:paraId="621F2F0C" w14:textId="77777777" w:rsidR="00B51D1F" w:rsidRPr="0043190E" w:rsidRDefault="00B51D1F" w:rsidP="00411A73">
      <w:pPr>
        <w:ind w:left="2268"/>
        <w:jc w:val="both"/>
        <w:rPr>
          <w:rFonts w:ascii="Arial" w:hAnsi="Arial" w:cs="Arial"/>
          <w:color w:val="000000"/>
          <w:sz w:val="22"/>
          <w:szCs w:val="22"/>
        </w:rPr>
      </w:pPr>
      <w:r w:rsidRPr="003D6B66">
        <w:rPr>
          <w:rFonts w:ascii="Arial" w:hAnsi="Arial" w:cs="Arial"/>
          <w:color w:val="000000"/>
          <w:sz w:val="22"/>
          <w:szCs w:val="22"/>
        </w:rPr>
        <w:t>[...].</w:t>
      </w:r>
    </w:p>
    <w:p w14:paraId="615CB82F" w14:textId="77777777" w:rsidR="00B51D1F" w:rsidRDefault="00B51D1F" w:rsidP="00411A73">
      <w:pPr>
        <w:ind w:left="2268"/>
        <w:jc w:val="both"/>
        <w:rPr>
          <w:rFonts w:ascii="Arial" w:hAnsi="Arial" w:cs="Arial"/>
          <w:color w:val="000000"/>
          <w:sz w:val="22"/>
          <w:szCs w:val="22"/>
        </w:rPr>
      </w:pPr>
      <w:r w:rsidRPr="0043190E">
        <w:rPr>
          <w:rFonts w:ascii="Arial" w:hAnsi="Arial" w:cs="Arial"/>
          <w:b/>
          <w:color w:val="000000"/>
          <w:sz w:val="22"/>
          <w:szCs w:val="22"/>
        </w:rPr>
        <w:t>II - a existência de crédito tributário inscrito em dívida ativa</w:t>
      </w:r>
      <w:r w:rsidRPr="0043190E">
        <w:rPr>
          <w:rFonts w:ascii="Arial" w:hAnsi="Arial" w:cs="Arial"/>
          <w:color w:val="000000"/>
          <w:sz w:val="22"/>
          <w:szCs w:val="22"/>
        </w:rPr>
        <w:t>, exceto se o referido crédito estiver com sua exigibilidade suspensa nos termos da lei ou tiver sido efetivada a penhora de bens suficientes para o pagamento do total da dívida.</w:t>
      </w:r>
    </w:p>
    <w:p w14:paraId="3D12DCE8" w14:textId="77777777" w:rsidR="00B51D1F" w:rsidRDefault="00B51D1F" w:rsidP="00B51D1F">
      <w:pPr>
        <w:spacing w:line="360" w:lineRule="auto"/>
        <w:ind w:firstLine="851"/>
        <w:jc w:val="both"/>
        <w:rPr>
          <w:rFonts w:ascii="Arial" w:hAnsi="Arial" w:cs="Arial"/>
          <w:sz w:val="24"/>
          <w:szCs w:val="24"/>
        </w:rPr>
      </w:pPr>
    </w:p>
    <w:p w14:paraId="17B19776" w14:textId="77777777" w:rsidR="00B51D1F" w:rsidRDefault="00B51D1F" w:rsidP="00B51D1F">
      <w:pPr>
        <w:spacing w:line="360" w:lineRule="auto"/>
        <w:ind w:firstLine="851"/>
        <w:jc w:val="both"/>
        <w:rPr>
          <w:rFonts w:ascii="Arial" w:hAnsi="Arial" w:cs="Arial"/>
          <w:sz w:val="24"/>
          <w:szCs w:val="24"/>
        </w:rPr>
      </w:pPr>
      <w:r>
        <w:rPr>
          <w:rFonts w:ascii="Arial" w:hAnsi="Arial" w:cs="Arial"/>
          <w:sz w:val="24"/>
          <w:szCs w:val="24"/>
        </w:rPr>
        <w:lastRenderedPageBreak/>
        <w:t xml:space="preserve">Em âmbito infralegal, os </w:t>
      </w:r>
      <w:r w:rsidRPr="001A566A">
        <w:rPr>
          <w:rFonts w:ascii="Arial" w:hAnsi="Arial" w:cs="Arial"/>
          <w:b/>
          <w:sz w:val="24"/>
          <w:szCs w:val="24"/>
        </w:rPr>
        <w:t>art</w:t>
      </w:r>
      <w:r>
        <w:rPr>
          <w:rFonts w:ascii="Arial" w:hAnsi="Arial" w:cs="Arial"/>
          <w:b/>
          <w:sz w:val="24"/>
          <w:szCs w:val="24"/>
        </w:rPr>
        <w:t>s</w:t>
      </w:r>
      <w:r w:rsidRPr="001A566A">
        <w:rPr>
          <w:rFonts w:ascii="Arial" w:hAnsi="Arial" w:cs="Arial"/>
          <w:b/>
          <w:sz w:val="24"/>
          <w:szCs w:val="24"/>
        </w:rPr>
        <w:t>. 1º</w:t>
      </w:r>
      <w:r>
        <w:rPr>
          <w:rFonts w:ascii="Arial" w:hAnsi="Arial" w:cs="Arial"/>
          <w:b/>
          <w:sz w:val="24"/>
          <w:szCs w:val="24"/>
        </w:rPr>
        <w:t xml:space="preserve"> e 5º</w:t>
      </w:r>
      <w:r w:rsidRPr="001A566A">
        <w:rPr>
          <w:rFonts w:ascii="Arial" w:hAnsi="Arial" w:cs="Arial"/>
          <w:b/>
          <w:sz w:val="24"/>
          <w:szCs w:val="24"/>
        </w:rPr>
        <w:t xml:space="preserve"> do </w:t>
      </w:r>
      <w:r w:rsidRPr="00740D26">
        <w:rPr>
          <w:rFonts w:ascii="Arial" w:hAnsi="Arial" w:cs="Arial"/>
          <w:b/>
          <w:sz w:val="24"/>
          <w:szCs w:val="24"/>
        </w:rPr>
        <w:t xml:space="preserve">Anexo IX do </w:t>
      </w:r>
      <w:r w:rsidRPr="001A566A">
        <w:rPr>
          <w:rFonts w:ascii="Arial" w:hAnsi="Arial" w:cs="Arial"/>
          <w:b/>
          <w:sz w:val="24"/>
          <w:szCs w:val="24"/>
        </w:rPr>
        <w:t>RCTE/GO</w:t>
      </w:r>
      <w:r>
        <w:rPr>
          <w:rFonts w:ascii="Arial" w:hAnsi="Arial" w:cs="Arial"/>
          <w:sz w:val="24"/>
          <w:szCs w:val="24"/>
        </w:rPr>
        <w:t xml:space="preserve"> preveem essa exigência para concessão, fruição e manutenção de TARE referente a</w:t>
      </w:r>
      <w:r w:rsidRPr="00034E76">
        <w:rPr>
          <w:rFonts w:ascii="Arial" w:hAnsi="Arial" w:cs="Arial"/>
          <w:sz w:val="24"/>
          <w:szCs w:val="24"/>
        </w:rPr>
        <w:t xml:space="preserve"> </w:t>
      </w:r>
      <w:r w:rsidRPr="00034E76">
        <w:rPr>
          <w:rFonts w:ascii="Arial" w:hAnsi="Arial" w:cs="Arial"/>
          <w:b/>
          <w:sz w:val="24"/>
          <w:szCs w:val="24"/>
        </w:rPr>
        <w:t>praticamente</w:t>
      </w:r>
      <w:r>
        <w:rPr>
          <w:rFonts w:ascii="Arial" w:hAnsi="Arial" w:cs="Arial"/>
          <w:sz w:val="24"/>
          <w:szCs w:val="24"/>
        </w:rPr>
        <w:t xml:space="preserve"> </w:t>
      </w:r>
      <w:r w:rsidRPr="008548CA">
        <w:rPr>
          <w:rFonts w:ascii="Arial" w:hAnsi="Arial" w:cs="Arial"/>
          <w:b/>
          <w:sz w:val="24"/>
          <w:szCs w:val="24"/>
        </w:rPr>
        <w:t>todos os incentivos fiscais previstos em seu texto</w:t>
      </w:r>
      <w:r>
        <w:rPr>
          <w:rFonts w:ascii="Arial" w:hAnsi="Arial" w:cs="Arial"/>
          <w:sz w:val="24"/>
          <w:szCs w:val="24"/>
        </w:rPr>
        <w:t xml:space="preserve"> – exceto aqueles concedidos no âmbito dos Programas Fomentar/Produzir – conforme transcritos a seguir:</w:t>
      </w:r>
    </w:p>
    <w:p w14:paraId="130C41EB" w14:textId="77777777" w:rsidR="00B51D1F" w:rsidRDefault="00B51D1F" w:rsidP="00B51D1F">
      <w:pPr>
        <w:spacing w:line="360" w:lineRule="auto"/>
        <w:ind w:firstLine="851"/>
        <w:jc w:val="both"/>
        <w:rPr>
          <w:rFonts w:ascii="Arial" w:hAnsi="Arial" w:cs="Arial"/>
          <w:sz w:val="24"/>
          <w:szCs w:val="24"/>
        </w:rPr>
      </w:pPr>
    </w:p>
    <w:p w14:paraId="584982C0" w14:textId="77777777" w:rsidR="00B51D1F" w:rsidRDefault="00B51D1F" w:rsidP="00411A73">
      <w:pPr>
        <w:ind w:left="2268"/>
        <w:jc w:val="both"/>
        <w:rPr>
          <w:rFonts w:ascii="Arial" w:hAnsi="Arial" w:cs="Arial"/>
          <w:color w:val="000000"/>
          <w:sz w:val="22"/>
          <w:szCs w:val="22"/>
        </w:rPr>
      </w:pPr>
      <w:r w:rsidRPr="00B73876">
        <w:rPr>
          <w:rFonts w:ascii="Arial" w:hAnsi="Arial" w:cs="Arial"/>
          <w:color w:val="000000"/>
          <w:sz w:val="22"/>
          <w:szCs w:val="22"/>
        </w:rPr>
        <w:t>Art. 1º Os benefícios fiscais, a que se referem os arts. 83 e 84 deste regulamento, são disciplinados pelas normas contidas neste anexo.</w:t>
      </w:r>
    </w:p>
    <w:p w14:paraId="1729EA4D" w14:textId="77777777" w:rsidR="00B51D1F" w:rsidRDefault="00B51D1F" w:rsidP="00411A73">
      <w:pPr>
        <w:ind w:left="2268"/>
        <w:jc w:val="both"/>
        <w:rPr>
          <w:rFonts w:ascii="Arial" w:hAnsi="Arial" w:cs="Arial"/>
          <w:color w:val="000000"/>
          <w:sz w:val="22"/>
          <w:szCs w:val="22"/>
        </w:rPr>
      </w:pPr>
      <w:r w:rsidRPr="00900C08">
        <w:rPr>
          <w:rFonts w:ascii="Arial" w:hAnsi="Arial" w:cs="Arial"/>
          <w:b/>
          <w:color w:val="000000"/>
          <w:sz w:val="22"/>
          <w:szCs w:val="22"/>
          <w:u w:val="single"/>
        </w:rPr>
        <w:t>§ 1º A utilização dos benefícios fiscais previstos neste anexo, cuja concessão tenha sido autorizada por lei estadual, fica condicionada a que o sujeito passivo</w:t>
      </w:r>
      <w:r w:rsidRPr="00363AFF">
        <w:rPr>
          <w:rFonts w:ascii="Arial" w:hAnsi="Arial" w:cs="Arial"/>
          <w:color w:val="000000"/>
          <w:sz w:val="22"/>
          <w:szCs w:val="22"/>
        </w:rPr>
        <w:t>:</w:t>
      </w:r>
    </w:p>
    <w:p w14:paraId="3E0E4AB0" w14:textId="77777777" w:rsidR="00B51D1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45541D0D" w14:textId="77777777" w:rsidR="00B51D1F" w:rsidRDefault="00B51D1F" w:rsidP="00411A73">
      <w:pPr>
        <w:ind w:left="2268"/>
        <w:jc w:val="both"/>
        <w:rPr>
          <w:rFonts w:ascii="Arial" w:hAnsi="Arial" w:cs="Arial"/>
          <w:color w:val="000000"/>
          <w:sz w:val="22"/>
          <w:szCs w:val="22"/>
        </w:rPr>
      </w:pPr>
      <w:r w:rsidRPr="00900C08">
        <w:rPr>
          <w:rFonts w:ascii="Arial" w:hAnsi="Arial" w:cs="Arial"/>
          <w:b/>
          <w:color w:val="000000"/>
          <w:sz w:val="22"/>
          <w:szCs w:val="22"/>
        </w:rPr>
        <w:t>II - não possua crédito tributário inscrito em dívida ativa</w:t>
      </w:r>
      <w:r w:rsidRPr="00363AFF">
        <w:rPr>
          <w:rFonts w:ascii="Arial" w:hAnsi="Arial" w:cs="Arial"/>
          <w:color w:val="000000"/>
          <w:sz w:val="22"/>
          <w:szCs w:val="22"/>
        </w:rPr>
        <w:t>.</w:t>
      </w:r>
    </w:p>
    <w:p w14:paraId="46EB50C4" w14:textId="77777777" w:rsidR="00B51D1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4C864F43" w14:textId="77777777" w:rsidR="00B51D1F" w:rsidRDefault="00B51D1F" w:rsidP="00411A73">
      <w:pPr>
        <w:ind w:left="2268"/>
        <w:jc w:val="both"/>
        <w:rPr>
          <w:rFonts w:ascii="Arial" w:hAnsi="Arial" w:cs="Arial"/>
          <w:color w:val="000000"/>
          <w:sz w:val="22"/>
          <w:szCs w:val="22"/>
        </w:rPr>
      </w:pPr>
      <w:r w:rsidRPr="00900C08">
        <w:rPr>
          <w:rFonts w:ascii="Arial" w:hAnsi="Arial" w:cs="Arial"/>
          <w:b/>
          <w:color w:val="000000"/>
          <w:sz w:val="22"/>
          <w:szCs w:val="22"/>
        </w:rPr>
        <w:t>§ 1º-A A condição estabelecida no inciso II do § 1º aplica-se, também, ao crédito outorgado</w:t>
      </w:r>
      <w:r w:rsidRPr="00363AFF">
        <w:rPr>
          <w:rFonts w:ascii="Arial" w:hAnsi="Arial" w:cs="Arial"/>
          <w:color w:val="000000"/>
          <w:sz w:val="22"/>
          <w:szCs w:val="22"/>
        </w:rPr>
        <w:t xml:space="preserve"> previsto neste anexo, cuja concessão decorra de convênio celebrado no âmbito do CONFAZ (Convênio ICMS 20/08).</w:t>
      </w:r>
    </w:p>
    <w:p w14:paraId="579B91EF" w14:textId="77777777" w:rsidR="00B51D1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063A5A70" w14:textId="77777777" w:rsidR="00B51D1F" w:rsidRPr="005F6993" w:rsidRDefault="00B51D1F" w:rsidP="00411A73">
      <w:pPr>
        <w:ind w:left="2268"/>
        <w:jc w:val="both"/>
        <w:rPr>
          <w:rFonts w:ascii="Arial" w:hAnsi="Arial" w:cs="Arial"/>
          <w:color w:val="000000"/>
          <w:sz w:val="22"/>
          <w:szCs w:val="22"/>
        </w:rPr>
      </w:pPr>
      <w:r w:rsidRPr="00900C08">
        <w:rPr>
          <w:rFonts w:ascii="Arial" w:hAnsi="Arial" w:cs="Arial"/>
          <w:b/>
          <w:color w:val="000000"/>
          <w:sz w:val="22"/>
          <w:szCs w:val="22"/>
        </w:rPr>
        <w:t>§ 2º Na hipótese prevista no inciso II do § 1º, o sujeito passivo perde definitivamente o direito à utilização do benefício, ficando impedido de utilizá-lo</w:t>
      </w:r>
      <w:r>
        <w:rPr>
          <w:rFonts w:ascii="Arial" w:hAnsi="Arial" w:cs="Arial"/>
          <w:color w:val="000000"/>
          <w:sz w:val="22"/>
          <w:szCs w:val="22"/>
        </w:rPr>
        <w:t>:</w:t>
      </w:r>
    </w:p>
    <w:p w14:paraId="07AC41A6" w14:textId="77777777" w:rsidR="00B51D1F" w:rsidRPr="005F6993" w:rsidRDefault="00B51D1F" w:rsidP="00411A73">
      <w:pPr>
        <w:ind w:left="2268"/>
        <w:jc w:val="both"/>
        <w:rPr>
          <w:rFonts w:ascii="Arial" w:hAnsi="Arial" w:cs="Arial"/>
          <w:color w:val="000000"/>
          <w:sz w:val="22"/>
          <w:szCs w:val="22"/>
        </w:rPr>
      </w:pPr>
      <w:r w:rsidRPr="005F6993">
        <w:rPr>
          <w:rFonts w:ascii="Arial" w:hAnsi="Arial" w:cs="Arial"/>
          <w:color w:val="000000"/>
          <w:sz w:val="22"/>
          <w:szCs w:val="22"/>
        </w:rPr>
        <w:t xml:space="preserve">I - se o benefício for aplicável sobre o valor da operação ou prestação, na operação ou prestação que ocorrer a partir do dia seguinte à data da inscrição do crédito em dívida ativa até o dia em que for sanada a irregularidade; </w:t>
      </w:r>
    </w:p>
    <w:p w14:paraId="765F314D" w14:textId="77777777" w:rsidR="00B51D1F" w:rsidRDefault="00B51D1F" w:rsidP="00411A73">
      <w:pPr>
        <w:ind w:left="2268"/>
        <w:jc w:val="both"/>
        <w:rPr>
          <w:rFonts w:ascii="Arial" w:hAnsi="Arial" w:cs="Arial"/>
          <w:color w:val="000000"/>
          <w:sz w:val="22"/>
          <w:szCs w:val="22"/>
        </w:rPr>
      </w:pPr>
      <w:r w:rsidRPr="005F6993">
        <w:rPr>
          <w:rFonts w:ascii="Arial" w:hAnsi="Arial" w:cs="Arial"/>
          <w:color w:val="000000"/>
          <w:sz w:val="22"/>
          <w:szCs w:val="22"/>
        </w:rPr>
        <w:t>II - se o benefício for aplicável sobre o valor do saldo devedor do imposto, na apuração do imposto correspondente ao mês em que o crédito for inscrito em dívida ativa até a apuração do imposto correspondente ao mês anterior ao que a irregularidade for sanada.</w:t>
      </w:r>
    </w:p>
    <w:p w14:paraId="3CF3596C" w14:textId="77777777" w:rsidR="00B51D1F" w:rsidRDefault="00B51D1F" w:rsidP="00411A73">
      <w:pPr>
        <w:ind w:left="2268"/>
        <w:jc w:val="both"/>
        <w:rPr>
          <w:rFonts w:ascii="Arial" w:hAnsi="Arial" w:cs="Arial"/>
          <w:color w:val="000000"/>
          <w:sz w:val="22"/>
          <w:szCs w:val="22"/>
        </w:rPr>
      </w:pPr>
    </w:p>
    <w:p w14:paraId="5EBA6737" w14:textId="77777777" w:rsidR="00B51D1F" w:rsidRPr="001E30CC" w:rsidRDefault="00B51D1F" w:rsidP="00411A73">
      <w:pPr>
        <w:ind w:left="2268"/>
        <w:jc w:val="both"/>
        <w:rPr>
          <w:rFonts w:ascii="Arial" w:hAnsi="Arial" w:cs="Arial"/>
          <w:color w:val="000000"/>
          <w:sz w:val="22"/>
          <w:szCs w:val="22"/>
        </w:rPr>
      </w:pPr>
      <w:r w:rsidRPr="007F6498">
        <w:rPr>
          <w:rFonts w:ascii="Arial" w:hAnsi="Arial" w:cs="Arial"/>
          <w:color w:val="000000"/>
          <w:sz w:val="22"/>
          <w:szCs w:val="22"/>
        </w:rPr>
        <w:t>Art. 5º</w:t>
      </w:r>
      <w:r w:rsidRPr="001E30CC">
        <w:rPr>
          <w:rFonts w:ascii="Arial" w:hAnsi="Arial" w:cs="Arial"/>
          <w:b/>
          <w:color w:val="000000"/>
          <w:sz w:val="22"/>
          <w:szCs w:val="22"/>
        </w:rPr>
        <w:t xml:space="preserve"> </w:t>
      </w:r>
      <w:r w:rsidRPr="001E30CC">
        <w:rPr>
          <w:rFonts w:ascii="Arial" w:hAnsi="Arial" w:cs="Arial"/>
          <w:color w:val="000000"/>
          <w:sz w:val="22"/>
          <w:szCs w:val="22"/>
        </w:rPr>
        <w:t xml:space="preserve">Constituindo a celebração de </w:t>
      </w:r>
      <w:r w:rsidRPr="007E452B">
        <w:rPr>
          <w:rFonts w:ascii="Arial" w:hAnsi="Arial" w:cs="Arial"/>
          <w:b/>
          <w:color w:val="000000"/>
          <w:sz w:val="22"/>
          <w:szCs w:val="22"/>
          <w:u w:val="single"/>
        </w:rPr>
        <w:t>termo de acordo de regime especial</w:t>
      </w:r>
      <w:r w:rsidRPr="001E30CC">
        <w:rPr>
          <w:rFonts w:ascii="Arial" w:hAnsi="Arial" w:cs="Arial"/>
          <w:color w:val="000000"/>
          <w:sz w:val="22"/>
          <w:szCs w:val="22"/>
        </w:rPr>
        <w:t xml:space="preserve"> com a Secretaria da Fazenda condição à aplicação de benefício fiscal, o termo deve ser firmado:</w:t>
      </w:r>
    </w:p>
    <w:p w14:paraId="301680CC" w14:textId="77777777" w:rsidR="00B51D1F" w:rsidRPr="001E30CC"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6A57E773" w14:textId="77777777" w:rsidR="00B51D1F" w:rsidRDefault="00B51D1F" w:rsidP="00411A73">
      <w:pPr>
        <w:ind w:left="2268"/>
        <w:jc w:val="both"/>
        <w:rPr>
          <w:rFonts w:ascii="Arial" w:hAnsi="Arial" w:cs="Arial"/>
          <w:color w:val="000000"/>
          <w:sz w:val="22"/>
          <w:szCs w:val="22"/>
        </w:rPr>
      </w:pPr>
      <w:r w:rsidRPr="001E30CC">
        <w:rPr>
          <w:rFonts w:ascii="Arial" w:hAnsi="Arial" w:cs="Arial"/>
          <w:b/>
          <w:color w:val="000000"/>
          <w:sz w:val="22"/>
          <w:szCs w:val="22"/>
        </w:rPr>
        <w:t>II - apenas quando o contribuinte não seja devedor da Fazenda Pública Estadual e prove sua regularidade fiscal para com a Seguridade Social</w:t>
      </w:r>
      <w:r w:rsidRPr="001E30CC">
        <w:rPr>
          <w:rFonts w:ascii="Arial" w:hAnsi="Arial" w:cs="Arial"/>
          <w:color w:val="000000"/>
          <w:sz w:val="22"/>
          <w:szCs w:val="22"/>
        </w:rPr>
        <w:t>;</w:t>
      </w:r>
    </w:p>
    <w:p w14:paraId="495722B5" w14:textId="77777777" w:rsidR="00B51D1F" w:rsidRPr="001E30CC" w:rsidRDefault="00B51D1F" w:rsidP="00411A73">
      <w:pPr>
        <w:ind w:left="2268"/>
        <w:jc w:val="both"/>
        <w:rPr>
          <w:rFonts w:ascii="Arial" w:hAnsi="Arial" w:cs="Arial"/>
          <w:color w:val="000000"/>
          <w:sz w:val="22"/>
          <w:szCs w:val="22"/>
        </w:rPr>
      </w:pPr>
      <w:r>
        <w:rPr>
          <w:rFonts w:ascii="Arial" w:hAnsi="Arial" w:cs="Arial"/>
          <w:color w:val="000000"/>
          <w:sz w:val="22"/>
          <w:szCs w:val="22"/>
        </w:rPr>
        <w:t xml:space="preserve"> [...].</w:t>
      </w:r>
    </w:p>
    <w:p w14:paraId="2EDB643A" w14:textId="77777777" w:rsidR="00B51D1F" w:rsidRDefault="00B51D1F" w:rsidP="00B51D1F">
      <w:pPr>
        <w:spacing w:line="360" w:lineRule="auto"/>
        <w:ind w:firstLine="851"/>
        <w:jc w:val="both"/>
        <w:rPr>
          <w:rFonts w:ascii="Arial" w:hAnsi="Arial" w:cs="Arial"/>
          <w:sz w:val="24"/>
          <w:szCs w:val="24"/>
        </w:rPr>
      </w:pPr>
    </w:p>
    <w:p w14:paraId="31A0E32E" w14:textId="77777777" w:rsidR="00B51D1F" w:rsidRDefault="00B51D1F" w:rsidP="00B51D1F">
      <w:pPr>
        <w:spacing w:line="360" w:lineRule="auto"/>
        <w:ind w:firstLine="851"/>
        <w:jc w:val="both"/>
        <w:rPr>
          <w:rFonts w:ascii="Arial" w:hAnsi="Arial" w:cs="Arial"/>
          <w:sz w:val="24"/>
          <w:szCs w:val="24"/>
        </w:rPr>
      </w:pPr>
      <w:r>
        <w:rPr>
          <w:rFonts w:ascii="Arial" w:hAnsi="Arial" w:cs="Arial"/>
          <w:sz w:val="24"/>
          <w:szCs w:val="24"/>
        </w:rPr>
        <w:t xml:space="preserve">Não obstante, </w:t>
      </w:r>
      <w:r w:rsidRPr="004565A5">
        <w:rPr>
          <w:rFonts w:ascii="Arial" w:hAnsi="Arial" w:cs="Arial"/>
          <w:b/>
          <w:sz w:val="24"/>
          <w:szCs w:val="24"/>
        </w:rPr>
        <w:t xml:space="preserve">o próprio RCTE/GO prevê em dispositivos específicos relacionados a determinados benefícios a regularidade fiscal </w:t>
      </w:r>
      <w:r>
        <w:rPr>
          <w:rFonts w:ascii="Arial" w:hAnsi="Arial" w:cs="Arial"/>
          <w:sz w:val="24"/>
          <w:szCs w:val="24"/>
        </w:rPr>
        <w:t>como requisito à respectiva concessão ou fruição ou motivo para revogação do TARE respectivo caso descumprido, conforme se infere dos arts. 8º e 11 do Anexo IX do RCTE/GO:</w:t>
      </w:r>
    </w:p>
    <w:p w14:paraId="04383AF3" w14:textId="77777777" w:rsidR="00B51D1F" w:rsidRDefault="00B51D1F" w:rsidP="00B51D1F">
      <w:pPr>
        <w:ind w:left="2268" w:firstLine="284"/>
        <w:jc w:val="both"/>
        <w:rPr>
          <w:rFonts w:ascii="Arial" w:hAnsi="Arial" w:cs="Arial"/>
          <w:color w:val="000000"/>
          <w:sz w:val="22"/>
          <w:szCs w:val="22"/>
        </w:rPr>
      </w:pPr>
      <w:bookmarkStart w:id="371" w:name="A8P5"/>
    </w:p>
    <w:p w14:paraId="7C3A2A94" w14:textId="77777777" w:rsidR="00B51D1F" w:rsidRPr="00D852C3" w:rsidRDefault="00B51D1F" w:rsidP="00411A73">
      <w:pPr>
        <w:ind w:left="2268"/>
        <w:jc w:val="both"/>
        <w:rPr>
          <w:rFonts w:ascii="Arial" w:hAnsi="Arial" w:cs="Arial"/>
          <w:color w:val="000000"/>
          <w:sz w:val="22"/>
          <w:szCs w:val="22"/>
        </w:rPr>
      </w:pPr>
      <w:r w:rsidRPr="00D852C3">
        <w:rPr>
          <w:rFonts w:ascii="Arial" w:hAnsi="Arial" w:cs="Arial"/>
          <w:color w:val="000000"/>
          <w:sz w:val="22"/>
          <w:szCs w:val="22"/>
        </w:rPr>
        <w:t xml:space="preserve">Art. 8º A </w:t>
      </w:r>
      <w:r w:rsidRPr="00A55F0F">
        <w:rPr>
          <w:rFonts w:ascii="Arial" w:hAnsi="Arial" w:cs="Arial"/>
          <w:b/>
          <w:color w:val="000000"/>
          <w:sz w:val="22"/>
          <w:szCs w:val="22"/>
          <w:u w:val="single"/>
        </w:rPr>
        <w:t>base de cálculo do ICMS é reduzida</w:t>
      </w:r>
      <w:r w:rsidRPr="00D852C3">
        <w:rPr>
          <w:rFonts w:ascii="Arial" w:hAnsi="Arial" w:cs="Arial"/>
          <w:color w:val="000000"/>
          <w:sz w:val="22"/>
          <w:szCs w:val="22"/>
        </w:rPr>
        <w:t>:</w:t>
      </w:r>
    </w:p>
    <w:p w14:paraId="5E8079B5" w14:textId="77777777" w:rsidR="00B51D1F" w:rsidRPr="00D852C3" w:rsidRDefault="00B51D1F" w:rsidP="00411A73">
      <w:pPr>
        <w:ind w:left="2268"/>
        <w:jc w:val="both"/>
        <w:rPr>
          <w:rFonts w:ascii="Arial" w:hAnsi="Arial" w:cs="Arial"/>
          <w:color w:val="000000"/>
          <w:sz w:val="22"/>
          <w:szCs w:val="22"/>
        </w:rPr>
      </w:pPr>
      <w:r w:rsidRPr="00D852C3">
        <w:rPr>
          <w:rFonts w:ascii="Arial" w:hAnsi="Arial" w:cs="Arial"/>
          <w:color w:val="000000"/>
          <w:sz w:val="22"/>
          <w:szCs w:val="22"/>
        </w:rPr>
        <w:t>[...]</w:t>
      </w:r>
    </w:p>
    <w:p w14:paraId="01C9FE08" w14:textId="77777777" w:rsidR="00B51D1F" w:rsidRPr="00B60F67" w:rsidRDefault="00B51D1F" w:rsidP="00411A73">
      <w:pPr>
        <w:ind w:left="2268"/>
        <w:jc w:val="both"/>
        <w:rPr>
          <w:rFonts w:ascii="Arial" w:hAnsi="Arial" w:cs="Arial"/>
          <w:color w:val="000000"/>
          <w:sz w:val="22"/>
          <w:szCs w:val="22"/>
        </w:rPr>
      </w:pPr>
      <w:r w:rsidRPr="00812E15">
        <w:rPr>
          <w:rFonts w:ascii="Arial" w:hAnsi="Arial" w:cs="Arial"/>
          <w:b/>
          <w:color w:val="000000"/>
          <w:sz w:val="22"/>
          <w:szCs w:val="22"/>
        </w:rPr>
        <w:lastRenderedPageBreak/>
        <w:t>LVI - de tal forma que resulte na aplicação sobre o valor da operação do equivalente ao percentual de 10% (dez por cento), na saída interna realizada por pessoa jurídica integrante de grupo econômico</w:t>
      </w:r>
      <w:r w:rsidRPr="00B60F67">
        <w:rPr>
          <w:rFonts w:ascii="Arial" w:hAnsi="Arial" w:cs="Arial"/>
          <w:color w:val="000000"/>
          <w:sz w:val="22"/>
          <w:szCs w:val="22"/>
        </w:rPr>
        <w:t xml:space="preserve"> que destine mercadoria para comercialização, produção ou industrialização, observado o disposto no § 4º (Lei nº 12.462/94, art. 1º e Lei nº 17.442/11, art. 3º, II, “b”, e art. 7º).</w:t>
      </w:r>
    </w:p>
    <w:p w14:paraId="3D233440" w14:textId="77777777" w:rsidR="00B51D1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0A984FB3" w14:textId="77777777" w:rsidR="00B51D1F" w:rsidRPr="00B60F67" w:rsidRDefault="00B51D1F" w:rsidP="00411A73">
      <w:pPr>
        <w:ind w:left="2268"/>
        <w:jc w:val="both"/>
        <w:rPr>
          <w:rFonts w:ascii="Arial" w:hAnsi="Arial" w:cs="Arial"/>
          <w:color w:val="000000"/>
          <w:sz w:val="22"/>
          <w:szCs w:val="22"/>
        </w:rPr>
      </w:pPr>
      <w:r w:rsidRPr="00812E15">
        <w:rPr>
          <w:rFonts w:ascii="Arial" w:hAnsi="Arial" w:cs="Arial"/>
          <w:b/>
          <w:color w:val="000000"/>
          <w:sz w:val="22"/>
          <w:szCs w:val="22"/>
        </w:rPr>
        <w:t xml:space="preserve">§ 5º O termo de acordo de regime especial, celebrado para a fruição do benefício fiscal da redução da base de cálculo previsto no inciso LVI do </w:t>
      </w:r>
      <w:r w:rsidRPr="00812E15">
        <w:rPr>
          <w:rFonts w:ascii="Arial" w:hAnsi="Arial" w:cs="Arial"/>
          <w:b/>
          <w:i/>
          <w:iCs/>
          <w:color w:val="000000"/>
          <w:sz w:val="22"/>
          <w:szCs w:val="22"/>
        </w:rPr>
        <w:t xml:space="preserve">caput </w:t>
      </w:r>
      <w:r w:rsidRPr="00812E15">
        <w:rPr>
          <w:rFonts w:ascii="Arial" w:hAnsi="Arial" w:cs="Arial"/>
          <w:b/>
          <w:color w:val="000000"/>
          <w:sz w:val="22"/>
          <w:szCs w:val="22"/>
        </w:rPr>
        <w:t>deste artigo</w:t>
      </w:r>
      <w:r w:rsidRPr="00B60F67">
        <w:rPr>
          <w:rFonts w:ascii="Arial" w:hAnsi="Arial" w:cs="Arial"/>
          <w:color w:val="000000"/>
          <w:sz w:val="22"/>
          <w:szCs w:val="22"/>
        </w:rPr>
        <w:t>, pode ser revogado 30 (trinta) dias após a notificação do contribuinte, permitida a regularização da situação dentro do referido prazo, nas seguintes hipóteses:</w:t>
      </w:r>
    </w:p>
    <w:p w14:paraId="10364558" w14:textId="77777777" w:rsidR="00B51D1F" w:rsidRPr="00B60F67" w:rsidRDefault="00B51D1F" w:rsidP="00411A73">
      <w:pPr>
        <w:ind w:left="2268"/>
        <w:jc w:val="both"/>
        <w:rPr>
          <w:rFonts w:ascii="Arial" w:hAnsi="Arial" w:cs="Arial"/>
          <w:color w:val="000000"/>
          <w:sz w:val="22"/>
          <w:szCs w:val="22"/>
        </w:rPr>
      </w:pPr>
      <w:r w:rsidRPr="00B60F67">
        <w:rPr>
          <w:rFonts w:ascii="Arial" w:hAnsi="Arial" w:cs="Arial"/>
          <w:color w:val="000000"/>
          <w:sz w:val="22"/>
          <w:szCs w:val="22"/>
        </w:rPr>
        <w:t>I - o cometimento de infração às disposições legais ou às cláusulas do regime especial;</w:t>
      </w:r>
    </w:p>
    <w:p w14:paraId="0D0F071B" w14:textId="77777777" w:rsidR="00B51D1F" w:rsidRDefault="00B51D1F" w:rsidP="00411A73">
      <w:pPr>
        <w:ind w:left="2268"/>
        <w:jc w:val="both"/>
        <w:rPr>
          <w:rFonts w:ascii="Arial" w:hAnsi="Arial" w:cs="Arial"/>
          <w:color w:val="000000"/>
          <w:sz w:val="22"/>
          <w:szCs w:val="22"/>
        </w:rPr>
      </w:pPr>
      <w:r w:rsidRPr="00812E15">
        <w:rPr>
          <w:rFonts w:ascii="Arial" w:hAnsi="Arial" w:cs="Arial"/>
          <w:b/>
          <w:color w:val="000000"/>
          <w:sz w:val="22"/>
          <w:szCs w:val="22"/>
        </w:rPr>
        <w:t>II - a existência de crédito tributário inscrito em dívida ativa</w:t>
      </w:r>
      <w:r w:rsidRPr="00B60F67">
        <w:rPr>
          <w:rFonts w:ascii="Arial" w:hAnsi="Arial" w:cs="Arial"/>
          <w:color w:val="000000"/>
          <w:sz w:val="22"/>
          <w:szCs w:val="22"/>
        </w:rPr>
        <w:t>, exceto se o referido crédito estiver com sua exigibilidade suspensa nos termos da lei ou tiver sido efetivada a penhora de bens suficientes para o pagamento do total da dívida.</w:t>
      </w:r>
      <w:bookmarkEnd w:id="371"/>
    </w:p>
    <w:p w14:paraId="14904AE3" w14:textId="77777777" w:rsidR="00B51D1F" w:rsidRDefault="00B51D1F" w:rsidP="00411A73">
      <w:pPr>
        <w:ind w:left="2268"/>
        <w:jc w:val="both"/>
        <w:rPr>
          <w:rFonts w:ascii="Arial" w:hAnsi="Arial" w:cs="Arial"/>
          <w:color w:val="000000"/>
          <w:sz w:val="22"/>
          <w:szCs w:val="22"/>
        </w:rPr>
      </w:pPr>
    </w:p>
    <w:p w14:paraId="7E95A327" w14:textId="77777777" w:rsidR="00B51D1F" w:rsidRDefault="00B51D1F" w:rsidP="00411A73">
      <w:pPr>
        <w:ind w:left="2268"/>
        <w:jc w:val="both"/>
        <w:rPr>
          <w:rFonts w:ascii="Arial" w:hAnsi="Arial" w:cs="Arial"/>
          <w:color w:val="000000"/>
          <w:sz w:val="22"/>
          <w:szCs w:val="22"/>
        </w:rPr>
      </w:pPr>
      <w:r w:rsidRPr="00D505DF">
        <w:rPr>
          <w:rFonts w:ascii="Arial" w:hAnsi="Arial" w:cs="Arial"/>
          <w:color w:val="000000"/>
          <w:sz w:val="22"/>
          <w:szCs w:val="22"/>
        </w:rPr>
        <w:t xml:space="preserve">Art. 11. Constituem </w:t>
      </w:r>
      <w:r w:rsidRPr="00A04F47">
        <w:rPr>
          <w:rFonts w:ascii="Arial" w:hAnsi="Arial" w:cs="Arial"/>
          <w:b/>
          <w:color w:val="000000"/>
          <w:sz w:val="22"/>
          <w:szCs w:val="22"/>
          <w:u w:val="single"/>
        </w:rPr>
        <w:t>créditos outorgados</w:t>
      </w:r>
      <w:r w:rsidRPr="00D505DF">
        <w:rPr>
          <w:rFonts w:ascii="Arial" w:hAnsi="Arial" w:cs="Arial"/>
          <w:color w:val="000000"/>
          <w:sz w:val="22"/>
          <w:szCs w:val="22"/>
        </w:rPr>
        <w:t xml:space="preserve"> para efeito de compensação com o ICMS devido:</w:t>
      </w:r>
    </w:p>
    <w:p w14:paraId="4DA11451" w14:textId="77777777" w:rsidR="00B51D1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379538B9" w14:textId="77777777" w:rsidR="00B51D1F" w:rsidRDefault="00B51D1F" w:rsidP="00411A73">
      <w:pPr>
        <w:ind w:left="2268"/>
        <w:jc w:val="both"/>
        <w:rPr>
          <w:rFonts w:ascii="Arial" w:hAnsi="Arial" w:cs="Arial"/>
          <w:color w:val="000000"/>
          <w:sz w:val="22"/>
          <w:szCs w:val="22"/>
        </w:rPr>
      </w:pPr>
      <w:r w:rsidRPr="007B1D4F">
        <w:rPr>
          <w:rFonts w:ascii="Arial" w:hAnsi="Arial" w:cs="Arial"/>
          <w:b/>
          <w:color w:val="000000"/>
          <w:sz w:val="22"/>
          <w:szCs w:val="22"/>
        </w:rPr>
        <w:t>LVII - para o industrial de veículo automotor e para o industrial fabricante de extintores de incêndio descartáveis de polímero de engenharia, de uso automotivo e cilindros em polímero para uso de GLP, beneficiários do Programa de Desenvolvimento Industrial de Goiás -PRODUZIR</w:t>
      </w:r>
      <w:r w:rsidRPr="007B1D4F">
        <w:rPr>
          <w:rFonts w:ascii="Arial" w:hAnsi="Arial" w:cs="Arial"/>
          <w:color w:val="000000"/>
          <w:sz w:val="22"/>
          <w:szCs w:val="22"/>
        </w:rPr>
        <w:t>-, que implantar ou ampliar empreendimento industrial no Estado de Goiás, nos limites, nas formas e condições estabelecidos em termo de acordo de regime especial celebrado com a Secretaria da Fazenda, observado o disposto nos §§ 21, 22, 22-A, 23, 24 25, 26, 27, 28 e 29, no valor equivalente a até (Lei nº 16.671/09, art. 1º, Parágrafo único e art. 3º)</w:t>
      </w:r>
    </w:p>
    <w:p w14:paraId="72ADEE1E" w14:textId="77777777" w:rsidR="00B51D1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1594D7BB" w14:textId="77777777" w:rsidR="00B51D1F" w:rsidRDefault="00B51D1F" w:rsidP="00411A73">
      <w:pPr>
        <w:ind w:left="2268"/>
        <w:jc w:val="both"/>
        <w:rPr>
          <w:rFonts w:ascii="Arial" w:hAnsi="Arial" w:cs="Arial"/>
          <w:color w:val="000000"/>
          <w:sz w:val="22"/>
          <w:szCs w:val="22"/>
        </w:rPr>
      </w:pPr>
      <w:r w:rsidRPr="007B1D4F">
        <w:rPr>
          <w:rFonts w:ascii="Arial" w:hAnsi="Arial" w:cs="Arial"/>
          <w:b/>
          <w:color w:val="000000"/>
          <w:sz w:val="22"/>
          <w:szCs w:val="22"/>
        </w:rPr>
        <w:t>LVIII - para o industrial de veículo automotor, beneficiário do Fundo de Participação e Fomento à Industrialização do Estado de Goiás -Fomentar-, que ampliar empreendimento industrial no Estado de Goiás</w:t>
      </w:r>
      <w:r w:rsidRPr="007B1D4F">
        <w:rPr>
          <w:rFonts w:ascii="Arial" w:hAnsi="Arial" w:cs="Arial"/>
          <w:color w:val="000000"/>
          <w:sz w:val="22"/>
          <w:szCs w:val="22"/>
        </w:rPr>
        <w:t>, nas formas limites e condições estabelecidos em termo de acordo de regime especial celebrado com a Secretaria da Fazenda, observado o disposto nos §§ 21, 22, 22-A, 23, 24 25, 26, 27, 28 e 29, no valor equivalente a até (Lei nº 16.671/09, art. 4º):</w:t>
      </w:r>
    </w:p>
    <w:p w14:paraId="0A24EAE4" w14:textId="77777777" w:rsidR="00B51D1F" w:rsidRDefault="00B51D1F" w:rsidP="00411A73">
      <w:pPr>
        <w:ind w:left="2268"/>
        <w:jc w:val="both"/>
        <w:rPr>
          <w:rFonts w:ascii="Arial" w:hAnsi="Arial" w:cs="Arial"/>
          <w:color w:val="000000"/>
          <w:sz w:val="22"/>
          <w:szCs w:val="22"/>
        </w:rPr>
      </w:pPr>
      <w:bookmarkStart w:id="372" w:name="a11p25"/>
      <w:r>
        <w:rPr>
          <w:rFonts w:ascii="Arial" w:hAnsi="Arial" w:cs="Arial"/>
          <w:color w:val="000000"/>
          <w:sz w:val="22"/>
          <w:szCs w:val="22"/>
        </w:rPr>
        <w:t>[...].</w:t>
      </w:r>
    </w:p>
    <w:p w14:paraId="4553EB05" w14:textId="77777777" w:rsidR="00B51D1F" w:rsidRDefault="00B51D1F" w:rsidP="00411A73">
      <w:pPr>
        <w:ind w:left="2268"/>
        <w:jc w:val="both"/>
        <w:rPr>
          <w:rFonts w:ascii="Arial" w:hAnsi="Arial" w:cs="Arial"/>
          <w:color w:val="000000"/>
          <w:sz w:val="22"/>
          <w:szCs w:val="22"/>
        </w:rPr>
      </w:pPr>
      <w:r w:rsidRPr="008C5AD9">
        <w:rPr>
          <w:rFonts w:ascii="Arial" w:hAnsi="Arial" w:cs="Arial"/>
          <w:color w:val="000000"/>
          <w:sz w:val="22"/>
          <w:szCs w:val="22"/>
        </w:rPr>
        <w:t>LIX - Revogado.</w:t>
      </w:r>
    </w:p>
    <w:p w14:paraId="3F6BEF84" w14:textId="77777777" w:rsidR="00B51D1F" w:rsidRDefault="00B51D1F" w:rsidP="00411A73">
      <w:pPr>
        <w:ind w:left="2268"/>
        <w:jc w:val="both"/>
        <w:rPr>
          <w:rFonts w:ascii="Arial" w:hAnsi="Arial" w:cs="Arial"/>
          <w:color w:val="000000"/>
          <w:sz w:val="22"/>
          <w:szCs w:val="22"/>
        </w:rPr>
      </w:pPr>
      <w:r w:rsidRPr="00A04F47">
        <w:rPr>
          <w:rFonts w:ascii="Arial" w:hAnsi="Arial" w:cs="Arial"/>
          <w:b/>
          <w:color w:val="000000"/>
          <w:sz w:val="22"/>
          <w:szCs w:val="22"/>
        </w:rPr>
        <w:t>LX - para a empresa industrial produtora de grupos geradores de energia elétrica, beneficiária do Programa de Desenvolvimento Industrial de Goiás - Produzir</w:t>
      </w:r>
      <w:r w:rsidRPr="008C5AD9">
        <w:rPr>
          <w:rFonts w:ascii="Arial" w:hAnsi="Arial" w:cs="Arial"/>
          <w:color w:val="000000"/>
          <w:sz w:val="22"/>
          <w:szCs w:val="22"/>
        </w:rPr>
        <w:t xml:space="preserve"> -, de que trata a Lei nº 19.591, de 18 de janeiro de 2000, observado o disposto nos §§ 21, 22-A, 24, 25, 26, 27 e 28, o valor equivalente (Lei nº 17.441/11, art. 5º):</w:t>
      </w:r>
    </w:p>
    <w:p w14:paraId="2AD0667C" w14:textId="77777777" w:rsidR="00B51D1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17F85A1F" w14:textId="77777777" w:rsidR="00B51D1F" w:rsidRDefault="00B51D1F" w:rsidP="00411A73">
      <w:pPr>
        <w:ind w:left="2268"/>
        <w:jc w:val="both"/>
        <w:rPr>
          <w:rFonts w:ascii="Arial" w:hAnsi="Arial" w:cs="Arial"/>
          <w:color w:val="000000"/>
          <w:sz w:val="22"/>
          <w:szCs w:val="22"/>
        </w:rPr>
      </w:pPr>
      <w:r w:rsidRPr="00812E15">
        <w:rPr>
          <w:rFonts w:ascii="Arial" w:hAnsi="Arial" w:cs="Arial"/>
          <w:b/>
          <w:color w:val="000000"/>
          <w:sz w:val="22"/>
          <w:szCs w:val="22"/>
        </w:rPr>
        <w:t>LXVII - para o industrial fabricante de cerveja e chopp beneficiário do Programa de Desenvolvimento Industrial de Goiás -PRODUZIR</w:t>
      </w:r>
      <w:r w:rsidRPr="00812E15">
        <w:rPr>
          <w:rFonts w:ascii="Arial" w:hAnsi="Arial" w:cs="Arial"/>
          <w:color w:val="000000"/>
          <w:sz w:val="22"/>
          <w:szCs w:val="22"/>
        </w:rPr>
        <w:t xml:space="preserve">-, o valor de até R$12.000.000,00 (doze milhões de reais), para ser efetivamente investido em obra civil, em aquisição de bem destinado ao ativo imobilizado e em direito correspondente à tecnologia necessária à </w:t>
      </w:r>
      <w:r w:rsidRPr="00812E15">
        <w:rPr>
          <w:rFonts w:ascii="Arial" w:hAnsi="Arial" w:cs="Arial"/>
          <w:color w:val="000000"/>
          <w:sz w:val="22"/>
          <w:szCs w:val="22"/>
        </w:rPr>
        <w:lastRenderedPageBreak/>
        <w:t>ampliação de empreendimento industrial, devendo ser observado o seguinte:</w:t>
      </w:r>
    </w:p>
    <w:p w14:paraId="2DA61E25" w14:textId="77777777" w:rsidR="00B51D1F"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58DF44D6" w14:textId="77777777" w:rsidR="00B51D1F" w:rsidRPr="00812E15" w:rsidRDefault="00B51D1F" w:rsidP="00411A73">
      <w:pPr>
        <w:ind w:left="2268"/>
        <w:jc w:val="both"/>
        <w:rPr>
          <w:rFonts w:ascii="Arial" w:hAnsi="Arial" w:cs="Arial"/>
          <w:color w:val="000000"/>
          <w:sz w:val="22"/>
          <w:szCs w:val="22"/>
        </w:rPr>
      </w:pPr>
      <w:r w:rsidRPr="00812E15">
        <w:rPr>
          <w:rFonts w:ascii="Arial" w:hAnsi="Arial" w:cs="Arial"/>
          <w:b/>
          <w:color w:val="000000"/>
          <w:sz w:val="22"/>
          <w:szCs w:val="22"/>
        </w:rPr>
        <w:t>g) impede a fruição do crédito outorgado e obriga o beneficiário a pagar os valores do crédito outorgado efetivamente utilizados, atualizados pelo IGP-DI</w:t>
      </w:r>
      <w:r w:rsidRPr="00812E15">
        <w:rPr>
          <w:rFonts w:ascii="Arial" w:hAnsi="Arial" w:cs="Arial"/>
          <w:color w:val="000000"/>
          <w:sz w:val="22"/>
          <w:szCs w:val="22"/>
        </w:rPr>
        <w:t xml:space="preserve">: </w:t>
      </w:r>
    </w:p>
    <w:p w14:paraId="0860A5F4" w14:textId="77777777" w:rsidR="00B51D1F" w:rsidRPr="00812E15"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7ECB3DCE" w14:textId="77777777" w:rsidR="00B51D1F" w:rsidRPr="00812E15" w:rsidRDefault="00B51D1F" w:rsidP="00411A73">
      <w:pPr>
        <w:ind w:left="2268"/>
        <w:jc w:val="both"/>
        <w:rPr>
          <w:rFonts w:ascii="Arial" w:hAnsi="Arial" w:cs="Arial"/>
          <w:color w:val="000000"/>
          <w:sz w:val="22"/>
          <w:szCs w:val="22"/>
        </w:rPr>
      </w:pPr>
      <w:r w:rsidRPr="00812E15">
        <w:rPr>
          <w:rFonts w:ascii="Arial" w:hAnsi="Arial" w:cs="Arial"/>
          <w:color w:val="000000"/>
          <w:sz w:val="22"/>
          <w:szCs w:val="22"/>
        </w:rPr>
        <w:t>3. a existência de crédito tributário inscrito em dívida ativa, exceto se o referido crédito estiver com sua exigibilidade suspensa nos termos da lei ou tiver sido efetivada a penhora de bens suficientes para o pagamento do total da dívida;</w:t>
      </w:r>
    </w:p>
    <w:p w14:paraId="560F0291" w14:textId="77777777" w:rsidR="00B51D1F" w:rsidRPr="00812E15"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18E262E6" w14:textId="77777777" w:rsidR="00B51D1F" w:rsidRPr="00070FF0" w:rsidRDefault="00B51D1F" w:rsidP="00411A73">
      <w:pPr>
        <w:ind w:left="2268"/>
        <w:jc w:val="both"/>
        <w:rPr>
          <w:rFonts w:ascii="Arial" w:hAnsi="Arial" w:cs="Arial"/>
          <w:color w:val="000000"/>
          <w:sz w:val="22"/>
          <w:szCs w:val="22"/>
        </w:rPr>
      </w:pPr>
      <w:r w:rsidRPr="00EF15A9">
        <w:rPr>
          <w:rFonts w:ascii="Arial" w:hAnsi="Arial" w:cs="Arial"/>
          <w:b/>
          <w:color w:val="000000"/>
          <w:sz w:val="22"/>
          <w:szCs w:val="22"/>
        </w:rPr>
        <w:t xml:space="preserve">§ 25. Implica a revogação do regime especial e impede a fruição dos créditos outorgados previstos nos incisos LVII, LVIII, LIX e LX do </w:t>
      </w:r>
      <w:r w:rsidRPr="00EF15A9">
        <w:rPr>
          <w:rFonts w:ascii="Arial" w:hAnsi="Arial" w:cs="Arial"/>
          <w:b/>
          <w:i/>
          <w:iCs/>
          <w:color w:val="000000"/>
          <w:sz w:val="22"/>
          <w:szCs w:val="22"/>
        </w:rPr>
        <w:t xml:space="preserve">caput </w:t>
      </w:r>
      <w:r w:rsidRPr="00EF15A9">
        <w:rPr>
          <w:rFonts w:ascii="Arial" w:hAnsi="Arial" w:cs="Arial"/>
          <w:b/>
          <w:color w:val="000000"/>
          <w:sz w:val="22"/>
          <w:szCs w:val="22"/>
        </w:rPr>
        <w:t>deste artigo</w:t>
      </w:r>
      <w:r w:rsidRPr="00070FF0">
        <w:rPr>
          <w:rFonts w:ascii="Arial" w:hAnsi="Arial" w:cs="Arial"/>
          <w:color w:val="000000"/>
          <w:sz w:val="22"/>
          <w:szCs w:val="22"/>
        </w:rPr>
        <w:t>:</w:t>
      </w:r>
    </w:p>
    <w:bookmarkEnd w:id="372"/>
    <w:p w14:paraId="3FF8CC73" w14:textId="77777777" w:rsidR="00B51D1F" w:rsidRPr="00070FF0" w:rsidRDefault="00B51D1F" w:rsidP="00411A73">
      <w:pPr>
        <w:ind w:left="2268"/>
        <w:jc w:val="both"/>
        <w:rPr>
          <w:rFonts w:ascii="Arial" w:hAnsi="Arial" w:cs="Arial"/>
          <w:color w:val="000000"/>
          <w:sz w:val="22"/>
          <w:szCs w:val="22"/>
        </w:rPr>
      </w:pPr>
      <w:r>
        <w:rPr>
          <w:rFonts w:ascii="Arial" w:hAnsi="Arial" w:cs="Arial"/>
          <w:color w:val="000000"/>
          <w:sz w:val="22"/>
          <w:szCs w:val="22"/>
        </w:rPr>
        <w:t>[...].</w:t>
      </w:r>
    </w:p>
    <w:p w14:paraId="46C828C6" w14:textId="77777777" w:rsidR="00B51D1F" w:rsidRDefault="00B51D1F" w:rsidP="00411A73">
      <w:pPr>
        <w:ind w:left="2268"/>
        <w:jc w:val="both"/>
        <w:rPr>
          <w:rFonts w:ascii="Arial" w:hAnsi="Arial" w:cs="Arial"/>
          <w:color w:val="000000"/>
          <w:sz w:val="22"/>
          <w:szCs w:val="22"/>
        </w:rPr>
      </w:pPr>
      <w:r w:rsidRPr="00EF15A9">
        <w:rPr>
          <w:rFonts w:ascii="Arial" w:hAnsi="Arial" w:cs="Arial"/>
          <w:b/>
          <w:color w:val="000000"/>
          <w:sz w:val="22"/>
          <w:szCs w:val="22"/>
        </w:rPr>
        <w:t>V - a existência de crédito tributário inscrito em dívida ativa</w:t>
      </w:r>
      <w:r w:rsidRPr="00070FF0">
        <w:rPr>
          <w:rFonts w:ascii="Arial" w:hAnsi="Arial" w:cs="Arial"/>
          <w:color w:val="000000"/>
          <w:sz w:val="22"/>
          <w:szCs w:val="22"/>
        </w:rPr>
        <w:t>, exceto se o referido crédito estiver com sua exigibilidade suspensa nos termos da lei ou tiver sido efetivada a penhora de bens suficientes para o pagamento do total da dívida.</w:t>
      </w:r>
    </w:p>
    <w:p w14:paraId="07D11B56" w14:textId="77777777" w:rsidR="00B51D1F" w:rsidRDefault="00B51D1F" w:rsidP="00411A73">
      <w:pPr>
        <w:ind w:left="2268"/>
        <w:jc w:val="both"/>
        <w:rPr>
          <w:rFonts w:ascii="Arial" w:hAnsi="Arial" w:cs="Arial"/>
          <w:color w:val="000000"/>
          <w:sz w:val="22"/>
          <w:szCs w:val="22"/>
        </w:rPr>
      </w:pPr>
      <w:r w:rsidRPr="00A04F47">
        <w:rPr>
          <w:rFonts w:ascii="Arial" w:hAnsi="Arial" w:cs="Arial"/>
          <w:color w:val="000000"/>
          <w:sz w:val="22"/>
          <w:szCs w:val="22"/>
        </w:rPr>
        <w:t>[...].</w:t>
      </w:r>
    </w:p>
    <w:p w14:paraId="5A52B778" w14:textId="77777777" w:rsidR="007545B8" w:rsidRDefault="007545B8" w:rsidP="00B51D1F">
      <w:pPr>
        <w:spacing w:line="360" w:lineRule="auto"/>
        <w:ind w:firstLine="851"/>
        <w:jc w:val="both"/>
        <w:rPr>
          <w:rFonts w:ascii="Arial" w:hAnsi="Arial" w:cs="Arial"/>
          <w:sz w:val="24"/>
          <w:szCs w:val="24"/>
        </w:rPr>
      </w:pPr>
    </w:p>
    <w:p w14:paraId="0DC2823C" w14:textId="4A9BE951" w:rsidR="00B51D1F" w:rsidRDefault="00B51D1F" w:rsidP="00B51D1F">
      <w:pPr>
        <w:spacing w:line="360" w:lineRule="auto"/>
        <w:ind w:firstLine="851"/>
        <w:jc w:val="both"/>
        <w:rPr>
          <w:rFonts w:ascii="Arial" w:hAnsi="Arial" w:cs="Arial"/>
          <w:sz w:val="24"/>
          <w:szCs w:val="24"/>
        </w:rPr>
      </w:pPr>
      <w:r>
        <w:rPr>
          <w:rFonts w:ascii="Arial" w:hAnsi="Arial" w:cs="Arial"/>
          <w:sz w:val="24"/>
          <w:szCs w:val="24"/>
        </w:rPr>
        <w:t xml:space="preserve">Contudo, </w:t>
      </w:r>
      <w:r w:rsidRPr="00876398">
        <w:rPr>
          <w:rFonts w:ascii="Arial" w:hAnsi="Arial" w:cs="Arial"/>
          <w:sz w:val="24"/>
          <w:szCs w:val="24"/>
        </w:rPr>
        <w:t>entende-se que a</w:t>
      </w:r>
      <w:r w:rsidRPr="00643673">
        <w:rPr>
          <w:rFonts w:ascii="Arial" w:hAnsi="Arial" w:cs="Arial"/>
          <w:b/>
          <w:sz w:val="24"/>
          <w:szCs w:val="24"/>
        </w:rPr>
        <w:t xml:space="preserve"> repetição dessa exigência no regramento específico de somente alguns dos benefícios acima listados</w:t>
      </w:r>
      <w:r>
        <w:rPr>
          <w:rFonts w:ascii="Arial" w:hAnsi="Arial" w:cs="Arial"/>
          <w:sz w:val="24"/>
          <w:szCs w:val="24"/>
        </w:rPr>
        <w:t xml:space="preserve"> não possui o condão afastar a necessidade de regularidade fiscal em relação a todos os incentivos fiscais previstos no Anexo IX do RCTE/GO.</w:t>
      </w:r>
    </w:p>
    <w:p w14:paraId="7A0AECD8" w14:textId="496290B5" w:rsidR="00B51D1F" w:rsidRDefault="00B51D1F" w:rsidP="00B51D1F">
      <w:pPr>
        <w:spacing w:line="360" w:lineRule="auto"/>
        <w:ind w:firstLine="851"/>
        <w:jc w:val="both"/>
        <w:rPr>
          <w:rFonts w:ascii="Arial" w:hAnsi="Arial" w:cs="Arial"/>
          <w:sz w:val="24"/>
          <w:szCs w:val="24"/>
        </w:rPr>
      </w:pPr>
      <w:r>
        <w:rPr>
          <w:rFonts w:ascii="Arial" w:hAnsi="Arial" w:cs="Arial"/>
          <w:sz w:val="24"/>
          <w:szCs w:val="24"/>
        </w:rPr>
        <w:t>Trata</w:t>
      </w:r>
      <w:r w:rsidRPr="003E61EB">
        <w:rPr>
          <w:rFonts w:ascii="Arial" w:hAnsi="Arial" w:cs="Arial"/>
          <w:sz w:val="24"/>
          <w:szCs w:val="24"/>
        </w:rPr>
        <w:t>-se, pois,</w:t>
      </w:r>
      <w:r>
        <w:rPr>
          <w:rFonts w:ascii="Arial" w:hAnsi="Arial" w:cs="Arial"/>
          <w:sz w:val="24"/>
          <w:szCs w:val="24"/>
        </w:rPr>
        <w:t xml:space="preserve"> apenas de uma </w:t>
      </w:r>
      <w:r w:rsidRPr="0042085B">
        <w:rPr>
          <w:rFonts w:ascii="Arial" w:hAnsi="Arial" w:cs="Arial"/>
          <w:b/>
          <w:sz w:val="24"/>
          <w:szCs w:val="24"/>
        </w:rPr>
        <w:t>superposição desnecessária de normas regulamentares sobre essa exigência</w:t>
      </w:r>
      <w:r w:rsidR="004565A5">
        <w:rPr>
          <w:rFonts w:ascii="Arial" w:hAnsi="Arial" w:cs="Arial"/>
          <w:sz w:val="24"/>
          <w:szCs w:val="24"/>
        </w:rPr>
        <w:t xml:space="preserve">, posto que </w:t>
      </w:r>
      <w:r w:rsidR="006C1B48">
        <w:rPr>
          <w:rFonts w:ascii="Arial" w:hAnsi="Arial" w:cs="Arial"/>
          <w:sz w:val="24"/>
          <w:szCs w:val="24"/>
        </w:rPr>
        <w:t>o</w:t>
      </w:r>
      <w:r>
        <w:rPr>
          <w:rFonts w:ascii="Arial" w:hAnsi="Arial" w:cs="Arial"/>
          <w:sz w:val="24"/>
          <w:szCs w:val="24"/>
        </w:rPr>
        <w:t xml:space="preserve"> dispos</w:t>
      </w:r>
      <w:r w:rsidR="006C1B48">
        <w:rPr>
          <w:rFonts w:ascii="Arial" w:hAnsi="Arial" w:cs="Arial"/>
          <w:sz w:val="24"/>
          <w:szCs w:val="24"/>
        </w:rPr>
        <w:t>to</w:t>
      </w:r>
      <w:r>
        <w:rPr>
          <w:rFonts w:ascii="Arial" w:hAnsi="Arial" w:cs="Arial"/>
          <w:sz w:val="24"/>
          <w:szCs w:val="24"/>
        </w:rPr>
        <w:t xml:space="preserve"> nos arts. 1º e 5º do A</w:t>
      </w:r>
      <w:r w:rsidR="00C16F52">
        <w:rPr>
          <w:rFonts w:ascii="Arial" w:hAnsi="Arial" w:cs="Arial"/>
          <w:sz w:val="24"/>
          <w:szCs w:val="24"/>
        </w:rPr>
        <w:t>nexo IX do RCTE/GO já se revela</w:t>
      </w:r>
      <w:r>
        <w:rPr>
          <w:rFonts w:ascii="Arial" w:hAnsi="Arial" w:cs="Arial"/>
          <w:sz w:val="24"/>
          <w:szCs w:val="24"/>
        </w:rPr>
        <w:t xml:space="preserve"> s</w:t>
      </w:r>
      <w:r w:rsidR="003C64CC">
        <w:rPr>
          <w:rFonts w:ascii="Arial" w:hAnsi="Arial" w:cs="Arial"/>
          <w:sz w:val="24"/>
          <w:szCs w:val="24"/>
        </w:rPr>
        <w:t>uficientemente claro ao exigir</w:t>
      </w:r>
      <w:r>
        <w:rPr>
          <w:rFonts w:ascii="Arial" w:hAnsi="Arial" w:cs="Arial"/>
          <w:sz w:val="24"/>
          <w:szCs w:val="24"/>
        </w:rPr>
        <w:t xml:space="preserve"> que todas as empresas beneficiárias de incentivos fiscais previstos naquele Anexo sujeit</w:t>
      </w:r>
      <w:r w:rsidR="003C64CC">
        <w:rPr>
          <w:rFonts w:ascii="Arial" w:hAnsi="Arial" w:cs="Arial"/>
          <w:sz w:val="24"/>
          <w:szCs w:val="24"/>
        </w:rPr>
        <w:t>e</w:t>
      </w:r>
      <w:r>
        <w:rPr>
          <w:rFonts w:ascii="Arial" w:hAnsi="Arial" w:cs="Arial"/>
          <w:sz w:val="24"/>
          <w:szCs w:val="24"/>
        </w:rPr>
        <w:t xml:space="preserve">m-se à mencionada exigência de regularidade fiscal, como requisito para a respectiva concessão e fruição. </w:t>
      </w:r>
    </w:p>
    <w:p w14:paraId="65565DD2" w14:textId="0C45EA7A" w:rsidR="002B75F0" w:rsidRDefault="002B66D4" w:rsidP="00B51D1F">
      <w:pPr>
        <w:spacing w:line="360" w:lineRule="auto"/>
        <w:ind w:firstLine="851"/>
        <w:jc w:val="both"/>
        <w:rPr>
          <w:rFonts w:ascii="Arial" w:hAnsi="Arial" w:cs="Arial"/>
          <w:sz w:val="24"/>
          <w:szCs w:val="24"/>
        </w:rPr>
      </w:pPr>
      <w:r>
        <w:rPr>
          <w:rFonts w:ascii="Arial" w:hAnsi="Arial" w:cs="Arial"/>
          <w:sz w:val="24"/>
          <w:szCs w:val="24"/>
        </w:rPr>
        <w:t xml:space="preserve">Não obstante, </w:t>
      </w:r>
      <w:r w:rsidR="009B5A7C">
        <w:rPr>
          <w:rFonts w:ascii="Arial" w:hAnsi="Arial" w:cs="Arial"/>
          <w:sz w:val="24"/>
          <w:szCs w:val="24"/>
        </w:rPr>
        <w:t xml:space="preserve">ao considerar </w:t>
      </w:r>
      <w:r w:rsidR="009B5A7C" w:rsidRPr="00D83947">
        <w:rPr>
          <w:rFonts w:ascii="Arial" w:hAnsi="Arial" w:cs="Arial"/>
          <w:b/>
          <w:sz w:val="24"/>
          <w:szCs w:val="24"/>
        </w:rPr>
        <w:t>as</w:t>
      </w:r>
      <w:r w:rsidR="00EB2A82" w:rsidRPr="00D83947">
        <w:rPr>
          <w:rFonts w:ascii="Arial" w:hAnsi="Arial" w:cs="Arial"/>
          <w:b/>
          <w:sz w:val="24"/>
          <w:szCs w:val="24"/>
        </w:rPr>
        <w:t xml:space="preserve"> empresas que</w:t>
      </w:r>
      <w:r w:rsidRPr="00D83947">
        <w:rPr>
          <w:rFonts w:ascii="Arial" w:hAnsi="Arial" w:cs="Arial"/>
          <w:b/>
          <w:sz w:val="24"/>
          <w:szCs w:val="24"/>
        </w:rPr>
        <w:t>, dentre</w:t>
      </w:r>
      <w:r w:rsidR="00EB2A82" w:rsidRPr="00D83947">
        <w:rPr>
          <w:rFonts w:ascii="Arial" w:hAnsi="Arial" w:cs="Arial"/>
          <w:b/>
          <w:sz w:val="24"/>
          <w:szCs w:val="24"/>
        </w:rPr>
        <w:t xml:space="preserve"> as</w:t>
      </w:r>
      <w:r w:rsidRPr="00D83947">
        <w:rPr>
          <w:rFonts w:ascii="Arial" w:hAnsi="Arial" w:cs="Arial"/>
          <w:b/>
          <w:sz w:val="24"/>
          <w:szCs w:val="24"/>
        </w:rPr>
        <w:t xml:space="preserve"> 100 (cem) maiores beneficiárias de incentivos</w:t>
      </w:r>
      <w:r w:rsidR="00D83947" w:rsidRPr="00D83947">
        <w:rPr>
          <w:rFonts w:ascii="Arial" w:hAnsi="Arial" w:cs="Arial"/>
          <w:b/>
          <w:sz w:val="24"/>
          <w:szCs w:val="24"/>
        </w:rPr>
        <w:t xml:space="preserve"> fiscais</w:t>
      </w:r>
      <w:r w:rsidR="00144769">
        <w:rPr>
          <w:rStyle w:val="Refdenotaderodap"/>
          <w:rFonts w:ascii="Arial" w:hAnsi="Arial" w:cs="Arial"/>
          <w:b/>
          <w:sz w:val="24"/>
          <w:szCs w:val="24"/>
        </w:rPr>
        <w:footnoteReference w:id="87"/>
      </w:r>
      <w:r w:rsidR="00EB2A82" w:rsidRPr="00D83947">
        <w:rPr>
          <w:rFonts w:ascii="Arial" w:hAnsi="Arial" w:cs="Arial"/>
          <w:b/>
          <w:sz w:val="24"/>
          <w:szCs w:val="24"/>
        </w:rPr>
        <w:t>, fruíram crédito outorgado</w:t>
      </w:r>
      <w:r w:rsidR="00EB2A82">
        <w:rPr>
          <w:rFonts w:ascii="Arial" w:hAnsi="Arial" w:cs="Arial"/>
          <w:sz w:val="24"/>
          <w:szCs w:val="24"/>
        </w:rPr>
        <w:t xml:space="preserve"> – com exceção daquelas </w:t>
      </w:r>
      <w:r w:rsidR="00AC77DC">
        <w:rPr>
          <w:rFonts w:ascii="Arial" w:hAnsi="Arial" w:cs="Arial"/>
          <w:sz w:val="24"/>
          <w:szCs w:val="24"/>
        </w:rPr>
        <w:t>também</w:t>
      </w:r>
      <w:r w:rsidR="00EB2A82">
        <w:rPr>
          <w:rFonts w:ascii="Arial" w:hAnsi="Arial" w:cs="Arial"/>
          <w:sz w:val="24"/>
          <w:szCs w:val="24"/>
        </w:rPr>
        <w:t xml:space="preserve"> </w:t>
      </w:r>
      <w:r w:rsidR="00D83947">
        <w:rPr>
          <w:rFonts w:ascii="Arial" w:hAnsi="Arial" w:cs="Arial"/>
          <w:sz w:val="24"/>
          <w:szCs w:val="24"/>
        </w:rPr>
        <w:t>inscritas nos programas</w:t>
      </w:r>
      <w:r w:rsidR="00EB2A82">
        <w:rPr>
          <w:rFonts w:ascii="Arial" w:hAnsi="Arial" w:cs="Arial"/>
          <w:sz w:val="24"/>
          <w:szCs w:val="24"/>
        </w:rPr>
        <w:t xml:space="preserve"> Fomentar/Pro</w:t>
      </w:r>
      <w:r w:rsidR="00D83947">
        <w:rPr>
          <w:rFonts w:ascii="Arial" w:hAnsi="Arial" w:cs="Arial"/>
          <w:sz w:val="24"/>
          <w:szCs w:val="24"/>
        </w:rPr>
        <w:t xml:space="preserve">duzir, </w:t>
      </w:r>
      <w:r w:rsidR="00AC77DC">
        <w:rPr>
          <w:rFonts w:ascii="Arial" w:hAnsi="Arial" w:cs="Arial"/>
          <w:sz w:val="24"/>
          <w:szCs w:val="24"/>
        </w:rPr>
        <w:t xml:space="preserve">objeto da análise anterior (item 8.1.3 deste relatório) – </w:t>
      </w:r>
      <w:r w:rsidR="00AC77DC" w:rsidRPr="007C6EB5">
        <w:rPr>
          <w:rFonts w:ascii="Arial" w:hAnsi="Arial" w:cs="Arial"/>
          <w:sz w:val="24"/>
          <w:szCs w:val="24"/>
          <w:u w:val="single"/>
        </w:rPr>
        <w:t xml:space="preserve">verifica-se </w:t>
      </w:r>
      <w:r w:rsidR="00EB2A82" w:rsidRPr="007C6EB5">
        <w:rPr>
          <w:rFonts w:ascii="Arial" w:hAnsi="Arial" w:cs="Arial"/>
          <w:sz w:val="24"/>
          <w:szCs w:val="24"/>
          <w:u w:val="single"/>
        </w:rPr>
        <w:t>que v</w:t>
      </w:r>
      <w:r w:rsidR="00AC77DC" w:rsidRPr="007C6EB5">
        <w:rPr>
          <w:rFonts w:ascii="Arial" w:hAnsi="Arial" w:cs="Arial"/>
          <w:sz w:val="24"/>
          <w:szCs w:val="24"/>
          <w:u w:val="single"/>
        </w:rPr>
        <w:t>árias delas, na data da consulta à respectiva situação fiscal</w:t>
      </w:r>
      <w:r w:rsidR="00066327">
        <w:rPr>
          <w:rStyle w:val="Refdenotaderodap"/>
          <w:rFonts w:ascii="Arial" w:hAnsi="Arial" w:cs="Arial"/>
          <w:sz w:val="24"/>
          <w:szCs w:val="24"/>
          <w:u w:val="single"/>
        </w:rPr>
        <w:footnoteReference w:id="88"/>
      </w:r>
      <w:r w:rsidR="00AC77DC" w:rsidRPr="007C6EB5">
        <w:rPr>
          <w:rFonts w:ascii="Arial" w:hAnsi="Arial" w:cs="Arial"/>
          <w:sz w:val="24"/>
          <w:szCs w:val="24"/>
          <w:u w:val="single"/>
        </w:rPr>
        <w:t>, encontravam-se inscritas em dívida ativa</w:t>
      </w:r>
      <w:r w:rsidR="00E7586E">
        <w:rPr>
          <w:rFonts w:ascii="Arial" w:hAnsi="Arial" w:cs="Arial"/>
          <w:sz w:val="24"/>
          <w:szCs w:val="24"/>
        </w:rPr>
        <w:t xml:space="preserve">, consoante </w:t>
      </w:r>
      <w:r w:rsidR="007C6EB5">
        <w:rPr>
          <w:rFonts w:ascii="Arial" w:hAnsi="Arial" w:cs="Arial"/>
          <w:sz w:val="24"/>
          <w:szCs w:val="24"/>
        </w:rPr>
        <w:t>sintetizado abaixo</w:t>
      </w:r>
      <w:r w:rsidR="00E7586E">
        <w:rPr>
          <w:rFonts w:ascii="Arial" w:hAnsi="Arial" w:cs="Arial"/>
          <w:sz w:val="24"/>
          <w:szCs w:val="24"/>
        </w:rPr>
        <w:t>:</w:t>
      </w:r>
    </w:p>
    <w:p w14:paraId="10E9F8B6" w14:textId="77777777" w:rsidR="00411A73" w:rsidRDefault="00411A73" w:rsidP="00B51D1F">
      <w:pPr>
        <w:spacing w:line="360" w:lineRule="auto"/>
        <w:ind w:firstLine="851"/>
        <w:jc w:val="both"/>
        <w:rPr>
          <w:rFonts w:ascii="Arial" w:hAnsi="Arial" w:cs="Arial"/>
          <w:sz w:val="24"/>
          <w:szCs w:val="24"/>
        </w:rPr>
      </w:pPr>
    </w:p>
    <w:tbl>
      <w:tblPr>
        <w:tblStyle w:val="TableGrid"/>
        <w:tblW w:w="9639" w:type="dxa"/>
        <w:jc w:val="center"/>
        <w:tblInd w:w="0" w:type="dxa"/>
        <w:tblCellMar>
          <w:top w:w="22" w:type="dxa"/>
          <w:right w:w="11" w:type="dxa"/>
        </w:tblCellMar>
        <w:tblLook w:val="04A0" w:firstRow="1" w:lastRow="0" w:firstColumn="1" w:lastColumn="0" w:noHBand="0" w:noVBand="1"/>
      </w:tblPr>
      <w:tblGrid>
        <w:gridCol w:w="2548"/>
        <w:gridCol w:w="4589"/>
        <w:gridCol w:w="2502"/>
      </w:tblGrid>
      <w:tr w:rsidR="004647CC" w:rsidRPr="004647CC" w14:paraId="5193084D" w14:textId="77777777" w:rsidTr="004647CC">
        <w:trPr>
          <w:trHeight w:val="496"/>
          <w:jc w:val="center"/>
        </w:trPr>
        <w:tc>
          <w:tcPr>
            <w:tcW w:w="2548" w:type="dxa"/>
            <w:tcBorders>
              <w:top w:val="single" w:sz="3" w:space="0" w:color="000000"/>
              <w:left w:val="single" w:sz="3" w:space="0" w:color="000000"/>
              <w:bottom w:val="single" w:sz="3" w:space="0" w:color="000000"/>
              <w:right w:val="single" w:sz="3" w:space="0" w:color="000000"/>
            </w:tcBorders>
            <w:shd w:val="clear" w:color="auto" w:fill="D9D9D9"/>
          </w:tcPr>
          <w:p w14:paraId="4C7513A3" w14:textId="77777777" w:rsidR="004647CC" w:rsidRPr="008D5153" w:rsidRDefault="004647CC" w:rsidP="00EE3640">
            <w:pPr>
              <w:spacing w:after="160" w:line="259" w:lineRule="auto"/>
              <w:jc w:val="center"/>
              <w:rPr>
                <w:rFonts w:ascii="Arial" w:hAnsi="Arial" w:cs="Arial"/>
                <w:sz w:val="24"/>
              </w:rPr>
            </w:pPr>
            <w:r w:rsidRPr="008D5153">
              <w:rPr>
                <w:rFonts w:ascii="Arial" w:hAnsi="Arial" w:cs="Arial"/>
                <w:b/>
                <w:sz w:val="24"/>
              </w:rPr>
              <w:lastRenderedPageBreak/>
              <w:t>CNPJ</w:t>
            </w:r>
          </w:p>
        </w:tc>
        <w:tc>
          <w:tcPr>
            <w:tcW w:w="4589" w:type="dxa"/>
            <w:tcBorders>
              <w:top w:val="single" w:sz="3" w:space="0" w:color="000000"/>
              <w:left w:val="single" w:sz="3" w:space="0" w:color="000000"/>
              <w:bottom w:val="single" w:sz="3" w:space="0" w:color="000000"/>
              <w:right w:val="single" w:sz="3" w:space="0" w:color="000000"/>
            </w:tcBorders>
            <w:shd w:val="clear" w:color="auto" w:fill="D9D9D9"/>
          </w:tcPr>
          <w:p w14:paraId="5EFDF43E" w14:textId="77777777" w:rsidR="004647CC" w:rsidRPr="008D5153" w:rsidRDefault="004647CC" w:rsidP="00EE3640">
            <w:pPr>
              <w:spacing w:after="160" w:line="259" w:lineRule="auto"/>
              <w:jc w:val="center"/>
              <w:rPr>
                <w:rFonts w:ascii="Arial" w:hAnsi="Arial" w:cs="Arial"/>
                <w:b/>
                <w:sz w:val="24"/>
              </w:rPr>
            </w:pPr>
            <w:r w:rsidRPr="008D5153">
              <w:rPr>
                <w:rFonts w:ascii="Arial" w:hAnsi="Arial" w:cs="Arial"/>
                <w:b/>
                <w:sz w:val="24"/>
              </w:rPr>
              <w:t>RAZÃO SOCIAL /</w:t>
            </w:r>
          </w:p>
          <w:p w14:paraId="427F450F" w14:textId="0D069979" w:rsidR="004647CC" w:rsidRPr="008D5153" w:rsidRDefault="004647CC" w:rsidP="00EE3640">
            <w:pPr>
              <w:spacing w:after="160" w:line="259" w:lineRule="auto"/>
              <w:jc w:val="center"/>
              <w:rPr>
                <w:rFonts w:ascii="Arial" w:hAnsi="Arial" w:cs="Arial"/>
                <w:sz w:val="24"/>
              </w:rPr>
            </w:pPr>
            <w:r w:rsidRPr="008D5153">
              <w:rPr>
                <w:rFonts w:ascii="Arial" w:hAnsi="Arial" w:cs="Arial"/>
                <w:b/>
                <w:sz w:val="24"/>
              </w:rPr>
              <w:t>NOME EMPRESARIAL</w:t>
            </w:r>
          </w:p>
        </w:tc>
        <w:tc>
          <w:tcPr>
            <w:tcW w:w="2502" w:type="dxa"/>
            <w:tcBorders>
              <w:top w:val="single" w:sz="3" w:space="0" w:color="000000"/>
              <w:left w:val="single" w:sz="3" w:space="0" w:color="000000"/>
              <w:right w:val="single" w:sz="3" w:space="0" w:color="000000"/>
            </w:tcBorders>
            <w:shd w:val="clear" w:color="auto" w:fill="D9D9D9"/>
          </w:tcPr>
          <w:p w14:paraId="2789190E" w14:textId="77777777" w:rsidR="004647CC" w:rsidRPr="008D5153" w:rsidRDefault="004647CC" w:rsidP="00EE3640">
            <w:pPr>
              <w:jc w:val="center"/>
              <w:rPr>
                <w:rFonts w:ascii="Arial" w:hAnsi="Arial" w:cs="Arial"/>
                <w:b/>
                <w:sz w:val="24"/>
              </w:rPr>
            </w:pPr>
            <w:r w:rsidRPr="008D5153">
              <w:rPr>
                <w:rFonts w:ascii="Arial" w:hAnsi="Arial" w:cs="Arial"/>
                <w:b/>
                <w:sz w:val="24"/>
              </w:rPr>
              <w:t>PROCESSOS DE INSCRIÇÃO EM DÍVIDA ATIVA</w:t>
            </w:r>
          </w:p>
        </w:tc>
      </w:tr>
      <w:tr w:rsidR="004647CC" w:rsidRPr="004647CC" w14:paraId="579F43BF" w14:textId="77777777" w:rsidTr="004647CC">
        <w:trPr>
          <w:trHeight w:val="118"/>
          <w:jc w:val="center"/>
        </w:trPr>
        <w:tc>
          <w:tcPr>
            <w:tcW w:w="2548" w:type="dxa"/>
            <w:tcBorders>
              <w:top w:val="single" w:sz="3" w:space="0" w:color="000000"/>
              <w:left w:val="single" w:sz="3" w:space="0" w:color="000000"/>
              <w:bottom w:val="single" w:sz="3" w:space="0" w:color="000000"/>
              <w:right w:val="single" w:sz="3" w:space="0" w:color="000000"/>
            </w:tcBorders>
          </w:tcPr>
          <w:p w14:paraId="5661A5F2" w14:textId="3FA4B305" w:rsidR="004647CC" w:rsidRPr="008D5153" w:rsidRDefault="004647CC" w:rsidP="00EE3640">
            <w:pPr>
              <w:spacing w:after="160" w:line="259" w:lineRule="auto"/>
              <w:ind w:left="113"/>
              <w:rPr>
                <w:rFonts w:ascii="Arial" w:hAnsi="Arial" w:cs="Arial"/>
                <w:sz w:val="24"/>
              </w:rPr>
            </w:pPr>
            <w:r w:rsidRPr="008D5153">
              <w:rPr>
                <w:rFonts w:ascii="Arial" w:hAnsi="Arial" w:cs="Arial"/>
                <w:sz w:val="24"/>
              </w:rPr>
              <w:t>42.184.226/0011-01</w:t>
            </w:r>
          </w:p>
        </w:tc>
        <w:tc>
          <w:tcPr>
            <w:tcW w:w="4589" w:type="dxa"/>
            <w:tcBorders>
              <w:top w:val="single" w:sz="3" w:space="0" w:color="000000"/>
              <w:left w:val="single" w:sz="3" w:space="0" w:color="000000"/>
              <w:bottom w:val="single" w:sz="3" w:space="0" w:color="000000"/>
              <w:right w:val="single" w:sz="3" w:space="0" w:color="000000"/>
            </w:tcBorders>
          </w:tcPr>
          <w:p w14:paraId="7B282AA9" w14:textId="7D999E60" w:rsidR="004647CC" w:rsidRPr="008D5153" w:rsidRDefault="002B4E9F" w:rsidP="00427767">
            <w:pPr>
              <w:spacing w:after="160" w:line="259" w:lineRule="auto"/>
              <w:ind w:left="113"/>
              <w:jc w:val="both"/>
              <w:rPr>
                <w:rFonts w:ascii="Arial" w:hAnsi="Arial" w:cs="Arial"/>
                <w:sz w:val="24"/>
              </w:rPr>
            </w:pPr>
            <w:r w:rsidRPr="008D5153">
              <w:rPr>
                <w:rFonts w:ascii="Arial" w:hAnsi="Arial" w:cs="Arial"/>
                <w:sz w:val="24"/>
              </w:rPr>
              <w:t xml:space="preserve">Anglo American Níquel Brasil </w:t>
            </w:r>
            <w:r w:rsidR="00E34AD1" w:rsidRPr="008D5153">
              <w:rPr>
                <w:rFonts w:ascii="Arial" w:hAnsi="Arial" w:cs="Arial"/>
                <w:sz w:val="24"/>
              </w:rPr>
              <w:t>Ltda</w:t>
            </w:r>
          </w:p>
        </w:tc>
        <w:tc>
          <w:tcPr>
            <w:tcW w:w="2502" w:type="dxa"/>
            <w:tcBorders>
              <w:top w:val="single" w:sz="3" w:space="0" w:color="000000"/>
              <w:left w:val="single" w:sz="3" w:space="0" w:color="000000"/>
              <w:bottom w:val="single" w:sz="3" w:space="0" w:color="000000"/>
              <w:right w:val="single" w:sz="3" w:space="0" w:color="000000"/>
            </w:tcBorders>
          </w:tcPr>
          <w:p w14:paraId="4EF99393" w14:textId="77777777" w:rsidR="004647CC" w:rsidRPr="008D5153" w:rsidRDefault="004647CC" w:rsidP="00EE3640">
            <w:pPr>
              <w:ind w:left="113"/>
              <w:rPr>
                <w:rFonts w:ascii="Arial" w:hAnsi="Arial" w:cs="Arial"/>
                <w:sz w:val="24"/>
              </w:rPr>
            </w:pPr>
            <w:r w:rsidRPr="008D5153">
              <w:rPr>
                <w:rFonts w:ascii="Arial" w:hAnsi="Arial" w:cs="Arial"/>
                <w:sz w:val="24"/>
              </w:rPr>
              <w:t>4011103196177</w:t>
            </w:r>
          </w:p>
        </w:tc>
      </w:tr>
      <w:tr w:rsidR="004647CC" w:rsidRPr="004647CC" w14:paraId="5D803C2D" w14:textId="77777777" w:rsidTr="004647CC">
        <w:trPr>
          <w:trHeight w:val="118"/>
          <w:jc w:val="center"/>
        </w:trPr>
        <w:tc>
          <w:tcPr>
            <w:tcW w:w="2548" w:type="dxa"/>
            <w:tcBorders>
              <w:top w:val="single" w:sz="3" w:space="0" w:color="000000"/>
              <w:left w:val="single" w:sz="3" w:space="0" w:color="000000"/>
              <w:bottom w:val="single" w:sz="3" w:space="0" w:color="000000"/>
              <w:right w:val="single" w:sz="3" w:space="0" w:color="000000"/>
            </w:tcBorders>
          </w:tcPr>
          <w:p w14:paraId="0F09AE57" w14:textId="61FB4482" w:rsidR="004647CC" w:rsidRPr="008D5153" w:rsidRDefault="004647CC" w:rsidP="00EE3640">
            <w:pPr>
              <w:spacing w:after="160" w:line="259" w:lineRule="auto"/>
              <w:ind w:left="113"/>
              <w:rPr>
                <w:rFonts w:ascii="Arial" w:hAnsi="Arial" w:cs="Arial"/>
                <w:sz w:val="24"/>
              </w:rPr>
            </w:pPr>
            <w:r w:rsidRPr="008D5153">
              <w:rPr>
                <w:rFonts w:ascii="Arial" w:hAnsi="Arial" w:cs="Arial"/>
                <w:sz w:val="24"/>
              </w:rPr>
              <w:t>02.003.402</w:t>
            </w:r>
            <w:r w:rsidR="008D23CD" w:rsidRPr="008D5153">
              <w:rPr>
                <w:rFonts w:ascii="Arial" w:hAnsi="Arial" w:cs="Arial"/>
                <w:sz w:val="24"/>
              </w:rPr>
              <w:t>/</w:t>
            </w:r>
            <w:r w:rsidRPr="008D5153">
              <w:rPr>
                <w:rFonts w:ascii="Arial" w:hAnsi="Arial" w:cs="Arial"/>
                <w:sz w:val="24"/>
              </w:rPr>
              <w:t>0090-40</w:t>
            </w:r>
          </w:p>
          <w:p w14:paraId="09D7DDA7" w14:textId="77777777" w:rsidR="00D8068A" w:rsidRPr="008D5153" w:rsidRDefault="00D8068A" w:rsidP="00D8068A">
            <w:pPr>
              <w:ind w:left="113"/>
              <w:rPr>
                <w:rFonts w:ascii="Arial" w:hAnsi="Arial" w:cs="Arial"/>
                <w:b/>
                <w:sz w:val="24"/>
              </w:rPr>
            </w:pPr>
            <w:r w:rsidRPr="008D5153">
              <w:rPr>
                <w:rFonts w:ascii="Arial" w:hAnsi="Arial" w:cs="Arial"/>
                <w:sz w:val="24"/>
              </w:rPr>
              <w:t>02.003.402/0076-92</w:t>
            </w:r>
          </w:p>
          <w:p w14:paraId="0551E9E7" w14:textId="73F16702" w:rsidR="00D8068A" w:rsidRPr="008D5153" w:rsidRDefault="00D8068A" w:rsidP="00EE3640">
            <w:pPr>
              <w:spacing w:after="160" w:line="259" w:lineRule="auto"/>
              <w:ind w:left="113"/>
              <w:rPr>
                <w:rFonts w:ascii="Arial" w:hAnsi="Arial" w:cs="Arial"/>
                <w:sz w:val="24"/>
              </w:rPr>
            </w:pPr>
          </w:p>
        </w:tc>
        <w:tc>
          <w:tcPr>
            <w:tcW w:w="4589" w:type="dxa"/>
            <w:tcBorders>
              <w:top w:val="single" w:sz="3" w:space="0" w:color="000000"/>
              <w:left w:val="single" w:sz="3" w:space="0" w:color="000000"/>
              <w:bottom w:val="single" w:sz="3" w:space="0" w:color="000000"/>
              <w:right w:val="single" w:sz="3" w:space="0" w:color="000000"/>
            </w:tcBorders>
          </w:tcPr>
          <w:p w14:paraId="3286EF47" w14:textId="1D8E33A4" w:rsidR="004647CC" w:rsidRPr="008D5153" w:rsidRDefault="005249B1" w:rsidP="00427767">
            <w:pPr>
              <w:spacing w:after="160" w:line="259" w:lineRule="auto"/>
              <w:ind w:left="113"/>
              <w:jc w:val="both"/>
              <w:rPr>
                <w:rFonts w:ascii="Arial" w:hAnsi="Arial" w:cs="Arial"/>
                <w:sz w:val="24"/>
              </w:rPr>
            </w:pPr>
            <w:r w:rsidRPr="008D5153">
              <w:rPr>
                <w:rFonts w:ascii="Arial" w:hAnsi="Arial" w:cs="Arial"/>
                <w:sz w:val="24"/>
              </w:rPr>
              <w:t>Adm do Brasil Ltda</w:t>
            </w:r>
          </w:p>
        </w:tc>
        <w:tc>
          <w:tcPr>
            <w:tcW w:w="2502" w:type="dxa"/>
            <w:tcBorders>
              <w:top w:val="single" w:sz="3" w:space="0" w:color="000000"/>
              <w:left w:val="single" w:sz="3" w:space="0" w:color="000000"/>
              <w:bottom w:val="single" w:sz="3" w:space="0" w:color="000000"/>
              <w:right w:val="single" w:sz="3" w:space="0" w:color="000000"/>
            </w:tcBorders>
          </w:tcPr>
          <w:p w14:paraId="7D963EA5" w14:textId="77777777" w:rsidR="004647CC" w:rsidRPr="008D5153" w:rsidRDefault="004647CC" w:rsidP="00EE3640">
            <w:pPr>
              <w:ind w:left="113"/>
              <w:rPr>
                <w:rFonts w:ascii="Arial" w:hAnsi="Arial" w:cs="Arial"/>
                <w:b/>
                <w:sz w:val="24"/>
              </w:rPr>
            </w:pPr>
            <w:r w:rsidRPr="008D5153">
              <w:rPr>
                <w:rFonts w:ascii="Arial" w:hAnsi="Arial" w:cs="Arial"/>
                <w:b/>
                <w:sz w:val="24"/>
              </w:rPr>
              <w:t>3 processos</w:t>
            </w:r>
          </w:p>
          <w:p w14:paraId="07EE4791" w14:textId="77777777" w:rsidR="004647CC" w:rsidRPr="008D5153" w:rsidRDefault="004647CC" w:rsidP="00EE3640">
            <w:pPr>
              <w:ind w:left="113"/>
              <w:rPr>
                <w:rFonts w:ascii="Arial" w:hAnsi="Arial" w:cs="Arial"/>
                <w:sz w:val="24"/>
              </w:rPr>
            </w:pPr>
            <w:r w:rsidRPr="008D5153">
              <w:rPr>
                <w:rFonts w:ascii="Arial" w:hAnsi="Arial" w:cs="Arial"/>
                <w:sz w:val="24"/>
              </w:rPr>
              <w:t xml:space="preserve">3017646161432 </w:t>
            </w:r>
          </w:p>
          <w:p w14:paraId="5B3C3075" w14:textId="77777777" w:rsidR="004647CC" w:rsidRPr="008D5153" w:rsidRDefault="004647CC" w:rsidP="00EE3640">
            <w:pPr>
              <w:ind w:left="113"/>
              <w:rPr>
                <w:rFonts w:ascii="Arial" w:hAnsi="Arial" w:cs="Arial"/>
                <w:sz w:val="24"/>
              </w:rPr>
            </w:pPr>
            <w:r w:rsidRPr="008D5153">
              <w:rPr>
                <w:rFonts w:ascii="Arial" w:hAnsi="Arial" w:cs="Arial"/>
                <w:sz w:val="24"/>
              </w:rPr>
              <w:t xml:space="preserve">3017658760077 </w:t>
            </w:r>
          </w:p>
          <w:p w14:paraId="2F1BEDD8" w14:textId="57CFFFC5" w:rsidR="00D8068A" w:rsidRPr="008D5153" w:rsidRDefault="004647CC" w:rsidP="00D8068A">
            <w:pPr>
              <w:ind w:left="113"/>
              <w:rPr>
                <w:rFonts w:ascii="Arial" w:hAnsi="Arial" w:cs="Arial"/>
                <w:sz w:val="24"/>
              </w:rPr>
            </w:pPr>
            <w:r w:rsidRPr="008D5153">
              <w:rPr>
                <w:rFonts w:ascii="Arial" w:hAnsi="Arial" w:cs="Arial"/>
                <w:sz w:val="24"/>
              </w:rPr>
              <w:t>3018396409015</w:t>
            </w:r>
          </w:p>
        </w:tc>
      </w:tr>
      <w:tr w:rsidR="004647CC" w:rsidRPr="004647CC" w14:paraId="3AE98B9A" w14:textId="77777777" w:rsidTr="004647CC">
        <w:trPr>
          <w:trHeight w:val="118"/>
          <w:jc w:val="center"/>
        </w:trPr>
        <w:tc>
          <w:tcPr>
            <w:tcW w:w="2548" w:type="dxa"/>
            <w:tcBorders>
              <w:top w:val="single" w:sz="3" w:space="0" w:color="000000"/>
              <w:left w:val="single" w:sz="3" w:space="0" w:color="000000"/>
              <w:bottom w:val="single" w:sz="3" w:space="0" w:color="000000"/>
              <w:right w:val="single" w:sz="3" w:space="0" w:color="000000"/>
            </w:tcBorders>
          </w:tcPr>
          <w:p w14:paraId="1B9179D8" w14:textId="314BD8A9" w:rsidR="004647CC" w:rsidRPr="008D5153" w:rsidRDefault="004647CC" w:rsidP="008A42BF">
            <w:pPr>
              <w:spacing w:after="160" w:line="259" w:lineRule="auto"/>
              <w:ind w:left="113"/>
              <w:rPr>
                <w:rFonts w:ascii="Arial" w:hAnsi="Arial" w:cs="Arial"/>
                <w:sz w:val="24"/>
              </w:rPr>
            </w:pPr>
            <w:r w:rsidRPr="008D5153">
              <w:rPr>
                <w:rFonts w:ascii="Arial" w:hAnsi="Arial" w:cs="Arial"/>
                <w:sz w:val="24"/>
              </w:rPr>
              <w:t>05.651.966</w:t>
            </w:r>
            <w:r w:rsidR="008A42BF" w:rsidRPr="008D5153">
              <w:rPr>
                <w:rFonts w:ascii="Arial" w:hAnsi="Arial" w:cs="Arial"/>
                <w:sz w:val="24"/>
              </w:rPr>
              <w:t>/</w:t>
            </w:r>
            <w:r w:rsidRPr="008D5153">
              <w:rPr>
                <w:rFonts w:ascii="Arial" w:hAnsi="Arial" w:cs="Arial"/>
                <w:sz w:val="24"/>
              </w:rPr>
              <w:t>0001-02</w:t>
            </w:r>
          </w:p>
        </w:tc>
        <w:tc>
          <w:tcPr>
            <w:tcW w:w="4589" w:type="dxa"/>
            <w:tcBorders>
              <w:top w:val="single" w:sz="3" w:space="0" w:color="000000"/>
              <w:left w:val="single" w:sz="3" w:space="0" w:color="000000"/>
              <w:bottom w:val="single" w:sz="3" w:space="0" w:color="000000"/>
              <w:right w:val="single" w:sz="3" w:space="0" w:color="000000"/>
            </w:tcBorders>
          </w:tcPr>
          <w:p w14:paraId="36FC11BC" w14:textId="33FDD7E2" w:rsidR="004647CC" w:rsidRPr="008D5153" w:rsidRDefault="004647CC" w:rsidP="00427767">
            <w:pPr>
              <w:spacing w:after="160" w:line="259" w:lineRule="auto"/>
              <w:ind w:left="113"/>
              <w:jc w:val="both"/>
              <w:rPr>
                <w:rFonts w:ascii="Arial" w:hAnsi="Arial" w:cs="Arial"/>
                <w:sz w:val="24"/>
              </w:rPr>
            </w:pPr>
            <w:r w:rsidRPr="008D5153">
              <w:rPr>
                <w:rFonts w:ascii="Arial" w:hAnsi="Arial" w:cs="Arial"/>
                <w:sz w:val="24"/>
              </w:rPr>
              <w:t xml:space="preserve">D </w:t>
            </w:r>
            <w:r w:rsidR="00066CC8" w:rsidRPr="008D5153">
              <w:rPr>
                <w:rFonts w:ascii="Arial" w:hAnsi="Arial" w:cs="Arial"/>
                <w:sz w:val="24"/>
              </w:rPr>
              <w:t>Center Distribuidora Ltda</w:t>
            </w:r>
          </w:p>
        </w:tc>
        <w:tc>
          <w:tcPr>
            <w:tcW w:w="2502" w:type="dxa"/>
            <w:tcBorders>
              <w:top w:val="single" w:sz="3" w:space="0" w:color="000000"/>
              <w:left w:val="single" w:sz="3" w:space="0" w:color="000000"/>
              <w:bottom w:val="single" w:sz="3" w:space="0" w:color="000000"/>
              <w:right w:val="single" w:sz="3" w:space="0" w:color="000000"/>
            </w:tcBorders>
          </w:tcPr>
          <w:p w14:paraId="7F4130F6" w14:textId="77777777" w:rsidR="004647CC" w:rsidRPr="008D5153" w:rsidRDefault="004647CC" w:rsidP="00EE3640">
            <w:pPr>
              <w:ind w:left="113"/>
              <w:rPr>
                <w:rFonts w:ascii="Arial" w:hAnsi="Arial" w:cs="Arial"/>
                <w:b/>
                <w:sz w:val="24"/>
              </w:rPr>
            </w:pPr>
            <w:r w:rsidRPr="008D5153">
              <w:rPr>
                <w:rFonts w:ascii="Arial" w:hAnsi="Arial" w:cs="Arial"/>
                <w:b/>
                <w:sz w:val="24"/>
              </w:rPr>
              <w:t>2 processos</w:t>
            </w:r>
          </w:p>
          <w:p w14:paraId="03003B24" w14:textId="77777777" w:rsidR="004647CC" w:rsidRPr="008D5153" w:rsidRDefault="004647CC" w:rsidP="00EE3640">
            <w:pPr>
              <w:ind w:left="113"/>
              <w:rPr>
                <w:rFonts w:ascii="Arial" w:hAnsi="Arial" w:cs="Arial"/>
                <w:sz w:val="24"/>
              </w:rPr>
            </w:pPr>
            <w:r w:rsidRPr="008D5153">
              <w:rPr>
                <w:rFonts w:ascii="Arial" w:hAnsi="Arial" w:cs="Arial"/>
                <w:sz w:val="24"/>
              </w:rPr>
              <w:t>4011004274501 4011603140740</w:t>
            </w:r>
          </w:p>
        </w:tc>
      </w:tr>
      <w:tr w:rsidR="004647CC" w:rsidRPr="004647CC" w14:paraId="61EA3131" w14:textId="77777777" w:rsidTr="004647CC">
        <w:trPr>
          <w:trHeight w:val="118"/>
          <w:jc w:val="center"/>
        </w:trPr>
        <w:tc>
          <w:tcPr>
            <w:tcW w:w="2548" w:type="dxa"/>
            <w:tcBorders>
              <w:top w:val="single" w:sz="3" w:space="0" w:color="000000"/>
              <w:left w:val="single" w:sz="3" w:space="0" w:color="000000"/>
              <w:bottom w:val="single" w:sz="3" w:space="0" w:color="000000"/>
              <w:right w:val="single" w:sz="3" w:space="0" w:color="000000"/>
            </w:tcBorders>
          </w:tcPr>
          <w:p w14:paraId="54526AC2" w14:textId="6AE02F9A" w:rsidR="004647CC" w:rsidRPr="008D5153" w:rsidRDefault="004647CC" w:rsidP="00EE3640">
            <w:pPr>
              <w:spacing w:after="160" w:line="259" w:lineRule="auto"/>
              <w:ind w:left="113"/>
              <w:rPr>
                <w:rFonts w:ascii="Arial" w:hAnsi="Arial" w:cs="Arial"/>
                <w:sz w:val="24"/>
              </w:rPr>
            </w:pPr>
            <w:r w:rsidRPr="008D5153">
              <w:rPr>
                <w:rFonts w:ascii="Arial" w:hAnsi="Arial" w:cs="Arial"/>
                <w:sz w:val="24"/>
              </w:rPr>
              <w:t>61.068.276/0306-07</w:t>
            </w:r>
          </w:p>
        </w:tc>
        <w:tc>
          <w:tcPr>
            <w:tcW w:w="4589" w:type="dxa"/>
            <w:tcBorders>
              <w:top w:val="single" w:sz="3" w:space="0" w:color="000000"/>
              <w:left w:val="single" w:sz="3" w:space="0" w:color="000000"/>
              <w:bottom w:val="single" w:sz="3" w:space="0" w:color="000000"/>
              <w:right w:val="single" w:sz="3" w:space="0" w:color="000000"/>
            </w:tcBorders>
          </w:tcPr>
          <w:p w14:paraId="78D68251" w14:textId="1FF98E6F" w:rsidR="004647CC" w:rsidRPr="008D5153" w:rsidRDefault="004647CC" w:rsidP="00427767">
            <w:pPr>
              <w:spacing w:after="160" w:line="259" w:lineRule="auto"/>
              <w:ind w:left="113"/>
              <w:jc w:val="both"/>
              <w:rPr>
                <w:rFonts w:ascii="Arial" w:hAnsi="Arial" w:cs="Arial"/>
                <w:sz w:val="24"/>
              </w:rPr>
            </w:pPr>
            <w:r w:rsidRPr="008D5153">
              <w:rPr>
                <w:rFonts w:ascii="Arial" w:hAnsi="Arial" w:cs="Arial"/>
                <w:sz w:val="24"/>
              </w:rPr>
              <w:t xml:space="preserve">Unilever Brasil </w:t>
            </w:r>
            <w:r w:rsidR="00113C5B" w:rsidRPr="008D5153">
              <w:rPr>
                <w:rFonts w:ascii="Arial" w:hAnsi="Arial" w:cs="Arial"/>
                <w:sz w:val="24"/>
              </w:rPr>
              <w:t>Ltda</w:t>
            </w:r>
          </w:p>
        </w:tc>
        <w:tc>
          <w:tcPr>
            <w:tcW w:w="2502" w:type="dxa"/>
            <w:tcBorders>
              <w:top w:val="single" w:sz="3" w:space="0" w:color="000000"/>
              <w:left w:val="single" w:sz="3" w:space="0" w:color="000000"/>
              <w:bottom w:val="single" w:sz="3" w:space="0" w:color="000000"/>
              <w:right w:val="single" w:sz="3" w:space="0" w:color="000000"/>
            </w:tcBorders>
          </w:tcPr>
          <w:p w14:paraId="58526891" w14:textId="77777777" w:rsidR="004647CC" w:rsidRPr="008D5153" w:rsidRDefault="004647CC" w:rsidP="00EE3640">
            <w:pPr>
              <w:ind w:left="113"/>
              <w:rPr>
                <w:rFonts w:ascii="Arial" w:hAnsi="Arial" w:cs="Arial"/>
                <w:b/>
                <w:sz w:val="24"/>
              </w:rPr>
            </w:pPr>
            <w:r w:rsidRPr="008D5153">
              <w:rPr>
                <w:rFonts w:ascii="Arial" w:hAnsi="Arial" w:cs="Arial"/>
                <w:b/>
                <w:sz w:val="24"/>
              </w:rPr>
              <w:t>4 processos</w:t>
            </w:r>
          </w:p>
          <w:p w14:paraId="6C82685A" w14:textId="77777777" w:rsidR="004647CC" w:rsidRPr="008D5153" w:rsidRDefault="004647CC" w:rsidP="00EE3640">
            <w:pPr>
              <w:ind w:left="113"/>
              <w:rPr>
                <w:rFonts w:ascii="Arial" w:hAnsi="Arial" w:cs="Arial"/>
                <w:sz w:val="24"/>
              </w:rPr>
            </w:pPr>
            <w:r w:rsidRPr="008D5153">
              <w:rPr>
                <w:rFonts w:ascii="Arial" w:hAnsi="Arial" w:cs="Arial"/>
                <w:sz w:val="24"/>
              </w:rPr>
              <w:t>4011403556110 4011403766432 4011501136450 4011501136700</w:t>
            </w:r>
          </w:p>
        </w:tc>
      </w:tr>
      <w:tr w:rsidR="004647CC" w:rsidRPr="004647CC" w14:paraId="43A8BD79" w14:textId="77777777" w:rsidTr="004647CC">
        <w:trPr>
          <w:trHeight w:val="118"/>
          <w:jc w:val="center"/>
        </w:trPr>
        <w:tc>
          <w:tcPr>
            <w:tcW w:w="2548" w:type="dxa"/>
            <w:tcBorders>
              <w:top w:val="single" w:sz="3" w:space="0" w:color="000000"/>
              <w:left w:val="single" w:sz="3" w:space="0" w:color="000000"/>
              <w:bottom w:val="single" w:sz="3" w:space="0" w:color="000000"/>
              <w:right w:val="single" w:sz="3" w:space="0" w:color="000000"/>
            </w:tcBorders>
          </w:tcPr>
          <w:p w14:paraId="706DFF3D" w14:textId="7C0D963E" w:rsidR="004647CC" w:rsidRPr="008D5153" w:rsidRDefault="004647CC" w:rsidP="00EE3640">
            <w:pPr>
              <w:spacing w:after="160" w:line="259" w:lineRule="auto"/>
              <w:ind w:left="113"/>
              <w:rPr>
                <w:rFonts w:ascii="Arial" w:hAnsi="Arial" w:cs="Arial"/>
                <w:sz w:val="24"/>
              </w:rPr>
            </w:pPr>
            <w:r w:rsidRPr="008D5153">
              <w:rPr>
                <w:rFonts w:ascii="Arial" w:hAnsi="Arial" w:cs="Arial"/>
                <w:sz w:val="24"/>
              </w:rPr>
              <w:t>08.195.806/0001-94</w:t>
            </w:r>
          </w:p>
        </w:tc>
        <w:tc>
          <w:tcPr>
            <w:tcW w:w="4589" w:type="dxa"/>
            <w:tcBorders>
              <w:top w:val="single" w:sz="3" w:space="0" w:color="000000"/>
              <w:left w:val="single" w:sz="3" w:space="0" w:color="000000"/>
              <w:bottom w:val="single" w:sz="3" w:space="0" w:color="000000"/>
              <w:right w:val="single" w:sz="3" w:space="0" w:color="000000"/>
            </w:tcBorders>
          </w:tcPr>
          <w:p w14:paraId="46E5AA37" w14:textId="43597B19" w:rsidR="004647CC" w:rsidRPr="008D5153" w:rsidRDefault="004647CC" w:rsidP="00427767">
            <w:pPr>
              <w:spacing w:after="160" w:line="259" w:lineRule="auto"/>
              <w:ind w:left="113"/>
              <w:jc w:val="both"/>
              <w:rPr>
                <w:rFonts w:ascii="Arial" w:hAnsi="Arial" w:cs="Arial"/>
                <w:sz w:val="24"/>
              </w:rPr>
            </w:pPr>
            <w:r w:rsidRPr="008D5153">
              <w:rPr>
                <w:rFonts w:ascii="Arial" w:hAnsi="Arial" w:cs="Arial"/>
                <w:sz w:val="24"/>
              </w:rPr>
              <w:t>Tropical Bioenergia S/A</w:t>
            </w:r>
          </w:p>
        </w:tc>
        <w:tc>
          <w:tcPr>
            <w:tcW w:w="2502" w:type="dxa"/>
            <w:tcBorders>
              <w:top w:val="single" w:sz="3" w:space="0" w:color="000000"/>
              <w:left w:val="single" w:sz="3" w:space="0" w:color="000000"/>
              <w:bottom w:val="single" w:sz="3" w:space="0" w:color="000000"/>
              <w:right w:val="single" w:sz="3" w:space="0" w:color="000000"/>
            </w:tcBorders>
          </w:tcPr>
          <w:p w14:paraId="73BFDEE9" w14:textId="77777777" w:rsidR="004647CC" w:rsidRPr="008D5153" w:rsidRDefault="004647CC" w:rsidP="00EE3640">
            <w:pPr>
              <w:ind w:left="113"/>
              <w:rPr>
                <w:rFonts w:ascii="Arial" w:hAnsi="Arial" w:cs="Arial"/>
                <w:b/>
                <w:sz w:val="24"/>
              </w:rPr>
            </w:pPr>
            <w:r w:rsidRPr="008D5153">
              <w:rPr>
                <w:rFonts w:ascii="Arial" w:hAnsi="Arial" w:cs="Arial"/>
                <w:b/>
                <w:sz w:val="24"/>
              </w:rPr>
              <w:t>3 processos</w:t>
            </w:r>
          </w:p>
          <w:p w14:paraId="22D7962B" w14:textId="77777777" w:rsidR="004647CC" w:rsidRPr="008D5153" w:rsidRDefault="004647CC" w:rsidP="00EE3640">
            <w:pPr>
              <w:ind w:left="113"/>
              <w:rPr>
                <w:rFonts w:ascii="Arial" w:hAnsi="Arial" w:cs="Arial"/>
                <w:sz w:val="24"/>
              </w:rPr>
            </w:pPr>
            <w:r w:rsidRPr="008D5153">
              <w:rPr>
                <w:rFonts w:ascii="Arial" w:hAnsi="Arial" w:cs="Arial"/>
                <w:sz w:val="24"/>
              </w:rPr>
              <w:t>4011602239661 4011003171903 4011003180066</w:t>
            </w:r>
          </w:p>
        </w:tc>
      </w:tr>
      <w:tr w:rsidR="004647CC" w:rsidRPr="004647CC" w14:paraId="18DB4E38" w14:textId="77777777" w:rsidTr="004647CC">
        <w:trPr>
          <w:trHeight w:val="118"/>
          <w:jc w:val="center"/>
        </w:trPr>
        <w:tc>
          <w:tcPr>
            <w:tcW w:w="2548" w:type="dxa"/>
            <w:tcBorders>
              <w:top w:val="single" w:sz="3" w:space="0" w:color="000000"/>
              <w:left w:val="single" w:sz="3" w:space="0" w:color="000000"/>
              <w:bottom w:val="single" w:sz="3" w:space="0" w:color="000000"/>
              <w:right w:val="single" w:sz="3" w:space="0" w:color="000000"/>
            </w:tcBorders>
          </w:tcPr>
          <w:p w14:paraId="3B799A3B" w14:textId="7D6A4C84" w:rsidR="004647CC" w:rsidRPr="008D5153" w:rsidRDefault="004647CC" w:rsidP="00EE3640">
            <w:pPr>
              <w:spacing w:after="160" w:line="259" w:lineRule="auto"/>
              <w:ind w:left="113"/>
              <w:rPr>
                <w:rFonts w:ascii="Arial" w:hAnsi="Arial" w:cs="Arial"/>
                <w:sz w:val="24"/>
              </w:rPr>
            </w:pPr>
            <w:r w:rsidRPr="008D5153">
              <w:rPr>
                <w:rFonts w:ascii="Arial" w:hAnsi="Arial" w:cs="Arial"/>
                <w:sz w:val="24"/>
              </w:rPr>
              <w:t>05.300.340/0005-85</w:t>
            </w:r>
          </w:p>
        </w:tc>
        <w:tc>
          <w:tcPr>
            <w:tcW w:w="4589" w:type="dxa"/>
            <w:tcBorders>
              <w:top w:val="single" w:sz="3" w:space="0" w:color="000000"/>
              <w:left w:val="single" w:sz="3" w:space="0" w:color="000000"/>
              <w:bottom w:val="single" w:sz="3" w:space="0" w:color="000000"/>
              <w:right w:val="single" w:sz="3" w:space="0" w:color="000000"/>
            </w:tcBorders>
          </w:tcPr>
          <w:p w14:paraId="431EAA04" w14:textId="0A19C8AA" w:rsidR="004647CC" w:rsidRPr="008D5153" w:rsidRDefault="004647CC" w:rsidP="00427767">
            <w:pPr>
              <w:spacing w:after="160" w:line="259" w:lineRule="auto"/>
              <w:ind w:left="113"/>
              <w:jc w:val="both"/>
              <w:rPr>
                <w:rFonts w:ascii="Arial" w:hAnsi="Arial" w:cs="Arial"/>
                <w:sz w:val="24"/>
                <w:lang w:val="en-US"/>
              </w:rPr>
            </w:pPr>
            <w:r w:rsidRPr="008D5153">
              <w:rPr>
                <w:rFonts w:ascii="Arial" w:hAnsi="Arial" w:cs="Arial"/>
                <w:sz w:val="24"/>
                <w:lang w:val="en-US"/>
              </w:rPr>
              <w:t>Dairy Partners Americas Manufacturing Brasil LTDA</w:t>
            </w:r>
          </w:p>
        </w:tc>
        <w:tc>
          <w:tcPr>
            <w:tcW w:w="2502" w:type="dxa"/>
            <w:tcBorders>
              <w:top w:val="single" w:sz="3" w:space="0" w:color="000000"/>
              <w:left w:val="single" w:sz="3" w:space="0" w:color="000000"/>
              <w:bottom w:val="single" w:sz="3" w:space="0" w:color="000000"/>
              <w:right w:val="single" w:sz="3" w:space="0" w:color="000000"/>
            </w:tcBorders>
          </w:tcPr>
          <w:p w14:paraId="0A6D3A77" w14:textId="77777777" w:rsidR="004647CC" w:rsidRPr="008D5153" w:rsidRDefault="004647CC" w:rsidP="00EE3640">
            <w:pPr>
              <w:ind w:left="113"/>
              <w:rPr>
                <w:rFonts w:ascii="Arial" w:hAnsi="Arial" w:cs="Arial"/>
                <w:b/>
                <w:sz w:val="24"/>
              </w:rPr>
            </w:pPr>
            <w:r w:rsidRPr="008D5153">
              <w:rPr>
                <w:rFonts w:ascii="Arial" w:hAnsi="Arial" w:cs="Arial"/>
                <w:b/>
                <w:sz w:val="24"/>
              </w:rPr>
              <w:t>4 processos</w:t>
            </w:r>
          </w:p>
          <w:p w14:paraId="1B68A6FF" w14:textId="77777777" w:rsidR="004647CC" w:rsidRPr="008D5153" w:rsidRDefault="004647CC" w:rsidP="00EE3640">
            <w:pPr>
              <w:ind w:left="113"/>
              <w:rPr>
                <w:rFonts w:ascii="Arial" w:hAnsi="Arial" w:cs="Arial"/>
                <w:sz w:val="24"/>
                <w:lang w:val="en-US"/>
              </w:rPr>
            </w:pPr>
            <w:r w:rsidRPr="008D5153">
              <w:rPr>
                <w:rFonts w:ascii="Arial" w:hAnsi="Arial" w:cs="Arial"/>
                <w:sz w:val="24"/>
              </w:rPr>
              <w:t>2061231600081 2061231700035 2061231800099 2061231900042</w:t>
            </w:r>
          </w:p>
        </w:tc>
      </w:tr>
      <w:tr w:rsidR="004647CC" w:rsidRPr="004647CC" w14:paraId="0C58F73B" w14:textId="77777777" w:rsidTr="004647CC">
        <w:trPr>
          <w:trHeight w:val="118"/>
          <w:jc w:val="center"/>
        </w:trPr>
        <w:tc>
          <w:tcPr>
            <w:tcW w:w="2548" w:type="dxa"/>
            <w:tcBorders>
              <w:top w:val="single" w:sz="3" w:space="0" w:color="000000"/>
              <w:left w:val="single" w:sz="3" w:space="0" w:color="000000"/>
              <w:bottom w:val="single" w:sz="3" w:space="0" w:color="000000"/>
              <w:right w:val="single" w:sz="3" w:space="0" w:color="000000"/>
            </w:tcBorders>
          </w:tcPr>
          <w:p w14:paraId="30547C0F" w14:textId="793860ED" w:rsidR="004647CC" w:rsidRPr="008D5153" w:rsidRDefault="004647CC" w:rsidP="00EE3640">
            <w:pPr>
              <w:spacing w:after="160" w:line="259" w:lineRule="auto"/>
              <w:ind w:left="113"/>
              <w:rPr>
                <w:rFonts w:ascii="Arial" w:hAnsi="Arial" w:cs="Arial"/>
                <w:sz w:val="24"/>
              </w:rPr>
            </w:pPr>
            <w:r w:rsidRPr="008D5153">
              <w:rPr>
                <w:rFonts w:ascii="Arial" w:hAnsi="Arial" w:cs="Arial"/>
                <w:sz w:val="24"/>
              </w:rPr>
              <w:t>67.620.377/0004-67</w:t>
            </w:r>
          </w:p>
        </w:tc>
        <w:tc>
          <w:tcPr>
            <w:tcW w:w="4589" w:type="dxa"/>
            <w:tcBorders>
              <w:top w:val="single" w:sz="3" w:space="0" w:color="000000"/>
              <w:left w:val="single" w:sz="3" w:space="0" w:color="000000"/>
              <w:bottom w:val="single" w:sz="3" w:space="0" w:color="000000"/>
              <w:right w:val="single" w:sz="3" w:space="0" w:color="000000"/>
            </w:tcBorders>
          </w:tcPr>
          <w:p w14:paraId="34280A64" w14:textId="33B0B6F2" w:rsidR="004647CC" w:rsidRPr="008D5153" w:rsidRDefault="004647CC" w:rsidP="00427767">
            <w:pPr>
              <w:spacing w:after="160" w:line="259" w:lineRule="auto"/>
              <w:ind w:left="113"/>
              <w:jc w:val="both"/>
              <w:rPr>
                <w:rFonts w:ascii="Arial" w:hAnsi="Arial" w:cs="Arial"/>
                <w:sz w:val="24"/>
              </w:rPr>
            </w:pPr>
            <w:r w:rsidRPr="008D5153">
              <w:rPr>
                <w:rFonts w:ascii="Arial" w:hAnsi="Arial" w:cs="Arial"/>
                <w:sz w:val="24"/>
              </w:rPr>
              <w:t>Minerva S.A</w:t>
            </w:r>
          </w:p>
        </w:tc>
        <w:tc>
          <w:tcPr>
            <w:tcW w:w="2502" w:type="dxa"/>
            <w:tcBorders>
              <w:top w:val="single" w:sz="3" w:space="0" w:color="000000"/>
              <w:left w:val="single" w:sz="3" w:space="0" w:color="000000"/>
              <w:bottom w:val="single" w:sz="3" w:space="0" w:color="000000"/>
              <w:right w:val="single" w:sz="3" w:space="0" w:color="000000"/>
            </w:tcBorders>
          </w:tcPr>
          <w:p w14:paraId="7F2367FB" w14:textId="77777777" w:rsidR="004647CC" w:rsidRPr="008D5153" w:rsidRDefault="004647CC" w:rsidP="00EE3640">
            <w:pPr>
              <w:ind w:left="113"/>
              <w:rPr>
                <w:rFonts w:ascii="Arial" w:hAnsi="Arial" w:cs="Arial"/>
                <w:sz w:val="24"/>
              </w:rPr>
            </w:pPr>
            <w:r w:rsidRPr="008D5153">
              <w:rPr>
                <w:rFonts w:ascii="Arial" w:hAnsi="Arial" w:cs="Arial"/>
                <w:sz w:val="24"/>
              </w:rPr>
              <w:t>4011503330849</w:t>
            </w:r>
          </w:p>
        </w:tc>
      </w:tr>
      <w:tr w:rsidR="004647CC" w:rsidRPr="004647CC" w14:paraId="1C8F25AF" w14:textId="77777777" w:rsidTr="004647CC">
        <w:trPr>
          <w:trHeight w:val="118"/>
          <w:jc w:val="center"/>
        </w:trPr>
        <w:tc>
          <w:tcPr>
            <w:tcW w:w="2548" w:type="dxa"/>
            <w:tcBorders>
              <w:top w:val="single" w:sz="3" w:space="0" w:color="000000"/>
              <w:left w:val="single" w:sz="3" w:space="0" w:color="000000"/>
              <w:bottom w:val="single" w:sz="3" w:space="0" w:color="000000"/>
              <w:right w:val="single" w:sz="3" w:space="0" w:color="000000"/>
            </w:tcBorders>
          </w:tcPr>
          <w:p w14:paraId="7D8589CF" w14:textId="0A516453" w:rsidR="004647CC" w:rsidRPr="008D5153" w:rsidRDefault="004647CC" w:rsidP="00EE3640">
            <w:pPr>
              <w:spacing w:after="160" w:line="259" w:lineRule="auto"/>
              <w:ind w:left="113"/>
              <w:rPr>
                <w:rFonts w:ascii="Arial" w:hAnsi="Arial" w:cs="Arial"/>
                <w:sz w:val="24"/>
              </w:rPr>
            </w:pPr>
            <w:r w:rsidRPr="008D5153">
              <w:rPr>
                <w:rFonts w:ascii="Arial" w:hAnsi="Arial" w:cs="Arial"/>
                <w:sz w:val="24"/>
              </w:rPr>
              <w:t>34.274.233/0306-05</w:t>
            </w:r>
          </w:p>
        </w:tc>
        <w:tc>
          <w:tcPr>
            <w:tcW w:w="4589" w:type="dxa"/>
            <w:tcBorders>
              <w:top w:val="single" w:sz="3" w:space="0" w:color="000000"/>
              <w:left w:val="single" w:sz="3" w:space="0" w:color="000000"/>
              <w:bottom w:val="single" w:sz="3" w:space="0" w:color="000000"/>
              <w:right w:val="single" w:sz="3" w:space="0" w:color="000000"/>
            </w:tcBorders>
          </w:tcPr>
          <w:p w14:paraId="0704CF33" w14:textId="3BAF6314" w:rsidR="004647CC" w:rsidRPr="008D5153" w:rsidRDefault="004647CC" w:rsidP="00427767">
            <w:pPr>
              <w:spacing w:after="160" w:line="259" w:lineRule="auto"/>
              <w:ind w:left="113"/>
              <w:jc w:val="both"/>
              <w:rPr>
                <w:rFonts w:ascii="Arial" w:hAnsi="Arial" w:cs="Arial"/>
                <w:sz w:val="24"/>
              </w:rPr>
            </w:pPr>
            <w:r w:rsidRPr="008D5153">
              <w:rPr>
                <w:rFonts w:ascii="Arial" w:hAnsi="Arial" w:cs="Arial"/>
                <w:sz w:val="24"/>
              </w:rPr>
              <w:t>Petrobras Distribuidora S/A</w:t>
            </w:r>
          </w:p>
        </w:tc>
        <w:tc>
          <w:tcPr>
            <w:tcW w:w="2502" w:type="dxa"/>
            <w:tcBorders>
              <w:top w:val="single" w:sz="3" w:space="0" w:color="000000"/>
              <w:left w:val="single" w:sz="3" w:space="0" w:color="000000"/>
              <w:bottom w:val="single" w:sz="3" w:space="0" w:color="000000"/>
              <w:right w:val="single" w:sz="3" w:space="0" w:color="000000"/>
            </w:tcBorders>
          </w:tcPr>
          <w:p w14:paraId="5E8D9AE3" w14:textId="77777777" w:rsidR="004647CC" w:rsidRPr="008D5153" w:rsidRDefault="004647CC" w:rsidP="00EE3640">
            <w:pPr>
              <w:ind w:left="113"/>
              <w:rPr>
                <w:rFonts w:ascii="Arial" w:hAnsi="Arial" w:cs="Arial"/>
                <w:b/>
                <w:sz w:val="24"/>
              </w:rPr>
            </w:pPr>
            <w:r w:rsidRPr="008D5153">
              <w:rPr>
                <w:rFonts w:ascii="Arial" w:hAnsi="Arial" w:cs="Arial"/>
                <w:b/>
                <w:sz w:val="24"/>
              </w:rPr>
              <w:t>64 processos</w:t>
            </w:r>
          </w:p>
          <w:p w14:paraId="797BDB9D" w14:textId="77777777" w:rsidR="004647CC" w:rsidRPr="008D5153" w:rsidRDefault="004647CC" w:rsidP="00EE3640">
            <w:pPr>
              <w:ind w:left="113"/>
              <w:rPr>
                <w:rFonts w:ascii="Arial" w:hAnsi="Arial" w:cs="Arial"/>
                <w:sz w:val="24"/>
              </w:rPr>
            </w:pPr>
            <w:r w:rsidRPr="008D5153">
              <w:rPr>
                <w:rFonts w:ascii="Arial" w:hAnsi="Arial" w:cs="Arial"/>
                <w:sz w:val="24"/>
              </w:rPr>
              <w:t xml:space="preserve">3010550979763 3010556588324 3011030678538 3021466905172 3021539200238 3023658127018 3026640971997 3024495792695 4011003682835 4011003725585 4011003780411 4011003780926 4011201998944 4011202089905 4011203130348 4011203994946 4011300353984 4011300878270 </w:t>
            </w:r>
            <w:r w:rsidRPr="008D5153">
              <w:rPr>
                <w:rFonts w:ascii="Arial" w:hAnsi="Arial" w:cs="Arial"/>
                <w:sz w:val="24"/>
              </w:rPr>
              <w:lastRenderedPageBreak/>
              <w:t>4011003778514 4011400422570 4011400515668 4011402654851 4011503411504 4011600016614 4011600485100 4011600649307 4011601267904 4011601810748 4011602464002 4011602616716 3027660783140 3026587473681 3026592804623 3027202803943</w:t>
            </w:r>
          </w:p>
          <w:p w14:paraId="1FA51E7B" w14:textId="77777777" w:rsidR="004647CC" w:rsidRPr="008D5153" w:rsidRDefault="004647CC" w:rsidP="00EE3640">
            <w:pPr>
              <w:ind w:left="113"/>
              <w:rPr>
                <w:rFonts w:ascii="Arial" w:hAnsi="Arial" w:cs="Arial"/>
                <w:sz w:val="24"/>
              </w:rPr>
            </w:pPr>
            <w:r w:rsidRPr="008D5153">
              <w:rPr>
                <w:rFonts w:ascii="Arial" w:hAnsi="Arial" w:cs="Arial"/>
                <w:sz w:val="24"/>
              </w:rPr>
              <w:t>E outras...</w:t>
            </w:r>
          </w:p>
        </w:tc>
      </w:tr>
      <w:tr w:rsidR="004647CC" w:rsidRPr="004647CC" w14:paraId="228DEEB5" w14:textId="77777777" w:rsidTr="004647CC">
        <w:trPr>
          <w:trHeight w:val="118"/>
          <w:jc w:val="center"/>
        </w:trPr>
        <w:tc>
          <w:tcPr>
            <w:tcW w:w="2548" w:type="dxa"/>
            <w:tcBorders>
              <w:top w:val="single" w:sz="3" w:space="0" w:color="000000"/>
              <w:left w:val="single" w:sz="3" w:space="0" w:color="000000"/>
              <w:bottom w:val="single" w:sz="3" w:space="0" w:color="000000"/>
              <w:right w:val="single" w:sz="3" w:space="0" w:color="000000"/>
            </w:tcBorders>
          </w:tcPr>
          <w:p w14:paraId="3AA56B9D" w14:textId="0C115864" w:rsidR="004647CC" w:rsidRPr="008D5153" w:rsidRDefault="004647CC" w:rsidP="00EE3640">
            <w:pPr>
              <w:spacing w:after="160" w:line="259" w:lineRule="auto"/>
              <w:ind w:left="113"/>
              <w:rPr>
                <w:rFonts w:ascii="Arial" w:hAnsi="Arial" w:cs="Arial"/>
                <w:sz w:val="24"/>
              </w:rPr>
            </w:pPr>
            <w:r w:rsidRPr="008D5153">
              <w:rPr>
                <w:rFonts w:ascii="Arial" w:hAnsi="Arial" w:cs="Arial"/>
                <w:sz w:val="24"/>
              </w:rPr>
              <w:lastRenderedPageBreak/>
              <w:t>10.912.900/0002-40</w:t>
            </w:r>
          </w:p>
        </w:tc>
        <w:tc>
          <w:tcPr>
            <w:tcW w:w="4589" w:type="dxa"/>
            <w:tcBorders>
              <w:top w:val="single" w:sz="3" w:space="0" w:color="000000"/>
              <w:left w:val="single" w:sz="3" w:space="0" w:color="000000"/>
              <w:bottom w:val="single" w:sz="3" w:space="0" w:color="000000"/>
              <w:right w:val="single" w:sz="3" w:space="0" w:color="000000"/>
            </w:tcBorders>
          </w:tcPr>
          <w:p w14:paraId="771E32FC" w14:textId="411A545F" w:rsidR="004647CC" w:rsidRPr="008D5153" w:rsidRDefault="004647CC" w:rsidP="00427767">
            <w:pPr>
              <w:spacing w:after="160" w:line="259" w:lineRule="auto"/>
              <w:ind w:left="113"/>
              <w:jc w:val="both"/>
              <w:rPr>
                <w:rFonts w:ascii="Arial" w:hAnsi="Arial" w:cs="Arial"/>
                <w:sz w:val="24"/>
              </w:rPr>
            </w:pPr>
            <w:r w:rsidRPr="008D5153">
              <w:rPr>
                <w:rFonts w:ascii="Arial" w:hAnsi="Arial" w:cs="Arial"/>
                <w:sz w:val="24"/>
              </w:rPr>
              <w:t>Rio Vermelho Distribuição de Alimentos Ltda</w:t>
            </w:r>
          </w:p>
        </w:tc>
        <w:tc>
          <w:tcPr>
            <w:tcW w:w="2502" w:type="dxa"/>
            <w:tcBorders>
              <w:top w:val="single" w:sz="3" w:space="0" w:color="000000"/>
              <w:left w:val="single" w:sz="3" w:space="0" w:color="000000"/>
              <w:bottom w:val="single" w:sz="3" w:space="0" w:color="000000"/>
              <w:right w:val="single" w:sz="3" w:space="0" w:color="000000"/>
            </w:tcBorders>
          </w:tcPr>
          <w:p w14:paraId="5C96DC4A" w14:textId="77777777" w:rsidR="004647CC" w:rsidRPr="008D5153" w:rsidRDefault="004647CC" w:rsidP="00EE3640">
            <w:pPr>
              <w:ind w:left="113"/>
              <w:rPr>
                <w:rFonts w:ascii="Arial" w:hAnsi="Arial" w:cs="Arial"/>
                <w:sz w:val="24"/>
              </w:rPr>
            </w:pPr>
            <w:r w:rsidRPr="008D5153">
              <w:rPr>
                <w:rFonts w:ascii="Arial" w:hAnsi="Arial" w:cs="Arial"/>
                <w:sz w:val="24"/>
              </w:rPr>
              <w:t>3028924722734</w:t>
            </w:r>
          </w:p>
        </w:tc>
      </w:tr>
    </w:tbl>
    <w:p w14:paraId="338C9FD5" w14:textId="1FCDD1F9" w:rsidR="004647CC" w:rsidRDefault="004647CC" w:rsidP="000A45B9">
      <w:pPr>
        <w:spacing w:line="360" w:lineRule="auto"/>
        <w:ind w:firstLine="851"/>
        <w:jc w:val="both"/>
        <w:rPr>
          <w:rFonts w:ascii="Arial" w:hAnsi="Arial" w:cs="Arial"/>
          <w:b/>
          <w:sz w:val="24"/>
          <w:szCs w:val="24"/>
        </w:rPr>
      </w:pPr>
    </w:p>
    <w:p w14:paraId="1D58095B" w14:textId="49AAC9E0" w:rsidR="0099016D" w:rsidRDefault="0099016D" w:rsidP="0099016D">
      <w:pPr>
        <w:spacing w:line="360" w:lineRule="auto"/>
        <w:ind w:firstLine="851"/>
        <w:jc w:val="both"/>
        <w:rPr>
          <w:rFonts w:ascii="Arial" w:hAnsi="Arial" w:cs="Arial"/>
          <w:sz w:val="24"/>
          <w:szCs w:val="24"/>
        </w:rPr>
      </w:pPr>
      <w:r w:rsidRPr="00C239FF">
        <w:rPr>
          <w:rFonts w:ascii="Arial" w:hAnsi="Arial" w:cs="Arial"/>
          <w:b/>
          <w:sz w:val="24"/>
          <w:szCs w:val="24"/>
        </w:rPr>
        <w:t xml:space="preserve">Não significa, necessariamente, que todas as empresas acima fruíram </w:t>
      </w:r>
      <w:r w:rsidR="009864F2">
        <w:rPr>
          <w:rFonts w:ascii="Arial" w:hAnsi="Arial" w:cs="Arial"/>
          <w:b/>
          <w:sz w:val="24"/>
          <w:szCs w:val="24"/>
        </w:rPr>
        <w:t>créditos outorgados</w:t>
      </w:r>
      <w:r w:rsidRPr="00C239FF">
        <w:rPr>
          <w:rFonts w:ascii="Arial" w:hAnsi="Arial" w:cs="Arial"/>
          <w:b/>
          <w:sz w:val="24"/>
          <w:szCs w:val="24"/>
        </w:rPr>
        <w:t xml:space="preserve"> com inscrição em dívida ativa</w:t>
      </w:r>
      <w:r>
        <w:rPr>
          <w:rFonts w:ascii="Arial" w:hAnsi="Arial" w:cs="Arial"/>
          <w:sz w:val="24"/>
          <w:szCs w:val="24"/>
        </w:rPr>
        <w:t>, mas há um alto indicativo de que isso tenha ocorrido,</w:t>
      </w:r>
      <w:r w:rsidR="009864F2">
        <w:rPr>
          <w:rFonts w:ascii="Arial" w:hAnsi="Arial" w:cs="Arial"/>
          <w:sz w:val="24"/>
          <w:szCs w:val="24"/>
        </w:rPr>
        <w:t xml:space="preserve"> sobretudo em relação à </w:t>
      </w:r>
      <w:r w:rsidR="009864F2" w:rsidRPr="008D5153">
        <w:rPr>
          <w:rFonts w:ascii="Arial" w:hAnsi="Arial" w:cs="Arial"/>
          <w:sz w:val="24"/>
        </w:rPr>
        <w:t>Petrobras Distribuidora S/A</w:t>
      </w:r>
      <w:r w:rsidR="009864F2">
        <w:rPr>
          <w:rFonts w:ascii="Arial" w:hAnsi="Arial" w:cs="Arial"/>
          <w:sz w:val="24"/>
        </w:rPr>
        <w:t>, tendo em vista o excessivo número de processos administrativos de inscrição,</w:t>
      </w:r>
      <w:r>
        <w:rPr>
          <w:rFonts w:ascii="Arial" w:hAnsi="Arial" w:cs="Arial"/>
          <w:sz w:val="24"/>
          <w:szCs w:val="24"/>
        </w:rPr>
        <w:t xml:space="preserve"> o que deve ser criteriosamente analisado pela fiscalização e órgãos de controle para aferir se há coincidência entre o período de fruição </w:t>
      </w:r>
      <w:r w:rsidR="009864F2">
        <w:rPr>
          <w:rFonts w:ascii="Arial" w:hAnsi="Arial" w:cs="Arial"/>
          <w:sz w:val="24"/>
          <w:szCs w:val="24"/>
        </w:rPr>
        <w:t>de crédito outorgado</w:t>
      </w:r>
      <w:r>
        <w:rPr>
          <w:rFonts w:ascii="Arial" w:hAnsi="Arial" w:cs="Arial"/>
          <w:sz w:val="24"/>
          <w:szCs w:val="24"/>
        </w:rPr>
        <w:t xml:space="preserve"> e inscrição em dívida ativa estadual. </w:t>
      </w:r>
    </w:p>
    <w:p w14:paraId="556BB083" w14:textId="588D7718" w:rsidR="0099016D" w:rsidRDefault="0099016D" w:rsidP="0099016D">
      <w:pPr>
        <w:spacing w:line="360" w:lineRule="auto"/>
        <w:ind w:firstLine="851"/>
        <w:jc w:val="both"/>
        <w:rPr>
          <w:rFonts w:ascii="Arial" w:hAnsi="Arial" w:cs="Arial"/>
          <w:sz w:val="24"/>
          <w:szCs w:val="24"/>
        </w:rPr>
      </w:pPr>
      <w:r w:rsidRPr="001602E4">
        <w:rPr>
          <w:rFonts w:ascii="Arial" w:hAnsi="Arial" w:cs="Arial"/>
          <w:b/>
          <w:sz w:val="24"/>
          <w:szCs w:val="24"/>
        </w:rPr>
        <w:t xml:space="preserve">É possível, ainda, que, existam </w:t>
      </w:r>
      <w:r w:rsidR="009864F2">
        <w:rPr>
          <w:rFonts w:ascii="Arial" w:hAnsi="Arial" w:cs="Arial"/>
          <w:b/>
          <w:sz w:val="24"/>
          <w:szCs w:val="24"/>
        </w:rPr>
        <w:t xml:space="preserve">outras empresas </w:t>
      </w:r>
      <w:r w:rsidRPr="001602E4">
        <w:rPr>
          <w:rFonts w:ascii="Arial" w:hAnsi="Arial" w:cs="Arial"/>
          <w:b/>
          <w:sz w:val="24"/>
          <w:szCs w:val="24"/>
        </w:rPr>
        <w:t>fora da mencionada tabela</w:t>
      </w:r>
      <w:r>
        <w:rPr>
          <w:rFonts w:ascii="Arial" w:hAnsi="Arial" w:cs="Arial"/>
          <w:b/>
          <w:sz w:val="24"/>
          <w:szCs w:val="24"/>
        </w:rPr>
        <w:t xml:space="preserve"> que</w:t>
      </w:r>
      <w:r w:rsidRPr="001602E4">
        <w:rPr>
          <w:rFonts w:ascii="Arial" w:hAnsi="Arial" w:cs="Arial"/>
          <w:b/>
          <w:sz w:val="24"/>
          <w:szCs w:val="24"/>
        </w:rPr>
        <w:t xml:space="preserve"> tenham fruído irregularmente</w:t>
      </w:r>
      <w:r w:rsidR="009864F2">
        <w:rPr>
          <w:rFonts w:ascii="Arial" w:hAnsi="Arial" w:cs="Arial"/>
          <w:b/>
          <w:sz w:val="24"/>
          <w:szCs w:val="24"/>
        </w:rPr>
        <w:t xml:space="preserve"> crédito outorgado</w:t>
      </w:r>
      <w:r>
        <w:rPr>
          <w:rFonts w:ascii="Arial" w:hAnsi="Arial" w:cs="Arial"/>
          <w:sz w:val="24"/>
          <w:szCs w:val="24"/>
        </w:rPr>
        <w:t xml:space="preserve">, tendo em vista que anteriormente à data da consulta por esta CPI empresas podem ter permanecido inscritas em dívida ativa e até a data da consulta desta CPI essa situação já tivesse sido regularizada, o que não afasta a possibilidade de que durante o período de irregularidade tenha havido efetiva fruição </w:t>
      </w:r>
      <w:r w:rsidR="009864F2">
        <w:rPr>
          <w:rFonts w:ascii="Arial" w:hAnsi="Arial" w:cs="Arial"/>
          <w:sz w:val="24"/>
          <w:szCs w:val="24"/>
        </w:rPr>
        <w:t>de incentivos fiscais</w:t>
      </w:r>
      <w:r>
        <w:rPr>
          <w:rFonts w:ascii="Arial" w:hAnsi="Arial" w:cs="Arial"/>
          <w:sz w:val="24"/>
          <w:szCs w:val="24"/>
        </w:rPr>
        <w:t>.</w:t>
      </w:r>
    </w:p>
    <w:p w14:paraId="1A9BCABB" w14:textId="77777777" w:rsidR="0099016D" w:rsidRDefault="0099016D" w:rsidP="000A45B9">
      <w:pPr>
        <w:spacing w:line="360" w:lineRule="auto"/>
        <w:ind w:firstLine="851"/>
        <w:jc w:val="both"/>
        <w:rPr>
          <w:rFonts w:ascii="Arial" w:hAnsi="Arial" w:cs="Arial"/>
          <w:b/>
          <w:sz w:val="24"/>
          <w:szCs w:val="24"/>
        </w:rPr>
      </w:pPr>
    </w:p>
    <w:p w14:paraId="53EB227B" w14:textId="0C31B954" w:rsidR="00AF4F4C" w:rsidRDefault="000A45B9" w:rsidP="000A45B9">
      <w:pPr>
        <w:spacing w:line="360" w:lineRule="auto"/>
        <w:ind w:firstLine="851"/>
        <w:jc w:val="both"/>
        <w:rPr>
          <w:rFonts w:ascii="Arial" w:hAnsi="Arial" w:cs="Arial"/>
          <w:sz w:val="24"/>
          <w:szCs w:val="24"/>
        </w:rPr>
      </w:pPr>
      <w:r>
        <w:rPr>
          <w:rFonts w:ascii="Arial" w:hAnsi="Arial" w:cs="Arial"/>
          <w:b/>
          <w:sz w:val="24"/>
          <w:szCs w:val="24"/>
        </w:rPr>
        <w:t>8.1.</w:t>
      </w:r>
      <w:r w:rsidR="00631C02">
        <w:rPr>
          <w:rFonts w:ascii="Arial" w:hAnsi="Arial" w:cs="Arial"/>
          <w:b/>
          <w:sz w:val="24"/>
          <w:szCs w:val="24"/>
        </w:rPr>
        <w:t>4</w:t>
      </w:r>
      <w:r w:rsidRPr="001B356D">
        <w:rPr>
          <w:rFonts w:ascii="Arial" w:hAnsi="Arial" w:cs="Arial"/>
          <w:b/>
          <w:sz w:val="24"/>
          <w:szCs w:val="24"/>
        </w:rPr>
        <w:t>.</w:t>
      </w:r>
      <w:r w:rsidRPr="00221633">
        <w:rPr>
          <w:rFonts w:ascii="Arial" w:hAnsi="Arial" w:cs="Arial"/>
          <w:sz w:val="24"/>
          <w:szCs w:val="24"/>
        </w:rPr>
        <w:t xml:space="preserve"> </w:t>
      </w:r>
      <w:r w:rsidR="00464A78">
        <w:rPr>
          <w:rFonts w:ascii="Arial" w:hAnsi="Arial" w:cs="Arial"/>
          <w:sz w:val="24"/>
          <w:szCs w:val="24"/>
        </w:rPr>
        <w:t>Interessante observar</w:t>
      </w:r>
      <w:r>
        <w:rPr>
          <w:rFonts w:ascii="Arial" w:hAnsi="Arial" w:cs="Arial"/>
          <w:sz w:val="24"/>
          <w:szCs w:val="24"/>
        </w:rPr>
        <w:t xml:space="preserve"> que mesmo pessoas jurídicas consideradas </w:t>
      </w:r>
      <w:r w:rsidRPr="004A6293">
        <w:rPr>
          <w:rFonts w:ascii="Arial" w:hAnsi="Arial" w:cs="Arial"/>
          <w:b/>
          <w:sz w:val="24"/>
          <w:szCs w:val="24"/>
          <w:u w:val="single"/>
        </w:rPr>
        <w:t>“devedores contumazes” do Estado de Goiás</w:t>
      </w:r>
      <w:r w:rsidRPr="00B10D2C">
        <w:rPr>
          <w:rFonts w:ascii="Arial" w:hAnsi="Arial" w:cs="Arial"/>
          <w:sz w:val="24"/>
          <w:szCs w:val="24"/>
        </w:rPr>
        <w:t xml:space="preserve"> </w:t>
      </w:r>
      <w:r w:rsidRPr="00B10D2C">
        <w:rPr>
          <w:rFonts w:ascii="Arial" w:hAnsi="Arial" w:cs="Arial"/>
          <w:b/>
          <w:sz w:val="24"/>
          <w:szCs w:val="24"/>
        </w:rPr>
        <w:t>fruíram incentivos fiscais</w:t>
      </w:r>
      <w:r w:rsidR="004A6293" w:rsidRPr="00B10D2C">
        <w:rPr>
          <w:rFonts w:ascii="Arial" w:hAnsi="Arial" w:cs="Arial"/>
          <w:b/>
          <w:sz w:val="24"/>
          <w:szCs w:val="24"/>
        </w:rPr>
        <w:t xml:space="preserve"> no período objeto de apuração</w:t>
      </w:r>
      <w:r w:rsidR="00AF4F4C">
        <w:rPr>
          <w:rFonts w:ascii="Arial" w:hAnsi="Arial" w:cs="Arial"/>
          <w:b/>
          <w:sz w:val="24"/>
          <w:szCs w:val="24"/>
        </w:rPr>
        <w:t xml:space="preserve"> desta CPI</w:t>
      </w:r>
      <w:r w:rsidR="004F0A95">
        <w:rPr>
          <w:rFonts w:ascii="Arial" w:hAnsi="Arial" w:cs="Arial"/>
          <w:b/>
          <w:sz w:val="24"/>
          <w:szCs w:val="24"/>
        </w:rPr>
        <w:t xml:space="preserve"> (2014 a 2018)</w:t>
      </w:r>
      <w:r w:rsidR="00305E0E">
        <w:rPr>
          <w:rFonts w:ascii="Arial" w:hAnsi="Arial" w:cs="Arial"/>
          <w:sz w:val="24"/>
          <w:szCs w:val="24"/>
        </w:rPr>
        <w:t>,</w:t>
      </w:r>
      <w:r w:rsidR="00E908FE">
        <w:rPr>
          <w:rFonts w:ascii="Arial" w:hAnsi="Arial" w:cs="Arial"/>
          <w:sz w:val="24"/>
          <w:szCs w:val="24"/>
        </w:rPr>
        <w:t xml:space="preserve"> informação que se obteve</w:t>
      </w:r>
      <w:r w:rsidR="00305E0E">
        <w:rPr>
          <w:rFonts w:ascii="Arial" w:hAnsi="Arial" w:cs="Arial"/>
          <w:sz w:val="24"/>
          <w:szCs w:val="24"/>
        </w:rPr>
        <w:t xml:space="preserve"> mediante cruzamento da relação de “devedores contumazes”, publicados no próprio sítio </w:t>
      </w:r>
      <w:r w:rsidR="00305E0E">
        <w:rPr>
          <w:rFonts w:ascii="Arial" w:hAnsi="Arial" w:cs="Arial"/>
          <w:sz w:val="24"/>
          <w:szCs w:val="24"/>
        </w:rPr>
        <w:lastRenderedPageBreak/>
        <w:t>eletrônico da Secretaria de Estado da Economia</w:t>
      </w:r>
      <w:r w:rsidR="001D0802">
        <w:rPr>
          <w:rStyle w:val="Refdenotaderodap"/>
          <w:rFonts w:ascii="Arial" w:hAnsi="Arial" w:cs="Arial"/>
          <w:sz w:val="24"/>
          <w:szCs w:val="24"/>
        </w:rPr>
        <w:footnoteReference w:id="89"/>
      </w:r>
      <w:r w:rsidR="00305E0E">
        <w:rPr>
          <w:rFonts w:ascii="Arial" w:hAnsi="Arial" w:cs="Arial"/>
          <w:sz w:val="24"/>
          <w:szCs w:val="24"/>
        </w:rPr>
        <w:t>, e da relação nominal das empresas beneficiárias de incentivos fiscais (Ofício nº 2.756/2019-CPI, p. 7/60)</w:t>
      </w:r>
      <w:r w:rsidRPr="00B10D2C">
        <w:rPr>
          <w:rFonts w:ascii="Arial" w:hAnsi="Arial" w:cs="Arial"/>
          <w:sz w:val="24"/>
          <w:szCs w:val="24"/>
        </w:rPr>
        <w:t>.</w:t>
      </w:r>
    </w:p>
    <w:p w14:paraId="1396513E" w14:textId="1BA2E9AC" w:rsidR="00B10D2C" w:rsidRDefault="00B10D2C" w:rsidP="000A45B9">
      <w:pPr>
        <w:spacing w:line="360" w:lineRule="auto"/>
        <w:ind w:firstLine="851"/>
        <w:jc w:val="both"/>
        <w:rPr>
          <w:rFonts w:ascii="Arial" w:hAnsi="Arial" w:cs="Arial"/>
          <w:sz w:val="24"/>
          <w:szCs w:val="24"/>
        </w:rPr>
      </w:pPr>
      <w:r>
        <w:rPr>
          <w:rFonts w:ascii="Arial" w:hAnsi="Arial" w:cs="Arial"/>
          <w:sz w:val="24"/>
          <w:szCs w:val="24"/>
        </w:rPr>
        <w:t>A figura jurídica do “</w:t>
      </w:r>
      <w:r w:rsidRPr="00D65CFB">
        <w:rPr>
          <w:rFonts w:ascii="Arial" w:hAnsi="Arial" w:cs="Arial"/>
          <w:sz w:val="24"/>
          <w:szCs w:val="24"/>
        </w:rPr>
        <w:t>devedor contumaz</w:t>
      </w:r>
      <w:r>
        <w:rPr>
          <w:rFonts w:ascii="Arial" w:hAnsi="Arial" w:cs="Arial"/>
          <w:sz w:val="24"/>
          <w:szCs w:val="24"/>
        </w:rPr>
        <w:t xml:space="preserve">” é prevista no </w:t>
      </w:r>
      <w:r w:rsidRPr="00D65CFB">
        <w:rPr>
          <w:rFonts w:ascii="Arial" w:hAnsi="Arial" w:cs="Arial"/>
          <w:sz w:val="24"/>
          <w:szCs w:val="24"/>
          <w:u w:val="single"/>
        </w:rPr>
        <w:t>art. 144 do CTE/GO</w:t>
      </w:r>
      <w:r>
        <w:rPr>
          <w:rFonts w:ascii="Arial" w:hAnsi="Arial" w:cs="Arial"/>
          <w:sz w:val="24"/>
          <w:szCs w:val="24"/>
        </w:rPr>
        <w:t xml:space="preserve">, </w:t>
      </w:r>
      <w:r w:rsidR="006536E6">
        <w:rPr>
          <w:rFonts w:ascii="Arial" w:hAnsi="Arial" w:cs="Arial"/>
          <w:sz w:val="24"/>
          <w:szCs w:val="24"/>
        </w:rPr>
        <w:t xml:space="preserve">incluída pela </w:t>
      </w:r>
      <w:r w:rsidR="006536E6" w:rsidRPr="00D65CFB">
        <w:rPr>
          <w:rFonts w:ascii="Arial" w:hAnsi="Arial" w:cs="Arial"/>
          <w:sz w:val="24"/>
          <w:szCs w:val="24"/>
          <w:u w:val="single"/>
        </w:rPr>
        <w:t>Lei nº 19.665</w:t>
      </w:r>
      <w:r w:rsidR="00D65CFB" w:rsidRPr="00D65CFB">
        <w:rPr>
          <w:rFonts w:ascii="Arial" w:hAnsi="Arial" w:cs="Arial"/>
          <w:sz w:val="24"/>
          <w:szCs w:val="24"/>
          <w:u w:val="single"/>
        </w:rPr>
        <w:t>, de 09/06/</w:t>
      </w:r>
      <w:r w:rsidR="006536E6" w:rsidRPr="00D65CFB">
        <w:rPr>
          <w:rFonts w:ascii="Arial" w:hAnsi="Arial" w:cs="Arial"/>
          <w:sz w:val="24"/>
          <w:szCs w:val="24"/>
          <w:u w:val="single"/>
        </w:rPr>
        <w:t>2017</w:t>
      </w:r>
      <w:r w:rsidR="006536E6">
        <w:rPr>
          <w:rFonts w:ascii="Arial" w:hAnsi="Arial" w:cs="Arial"/>
          <w:sz w:val="24"/>
          <w:szCs w:val="24"/>
        </w:rPr>
        <w:t xml:space="preserve">, </w:t>
      </w:r>
      <w:r>
        <w:rPr>
          <w:rFonts w:ascii="Arial" w:hAnsi="Arial" w:cs="Arial"/>
          <w:sz w:val="24"/>
          <w:szCs w:val="24"/>
        </w:rPr>
        <w:t>nos seguintes termos:</w:t>
      </w:r>
    </w:p>
    <w:p w14:paraId="571590F9" w14:textId="3477C101" w:rsidR="00B10D2C" w:rsidRDefault="00B10D2C" w:rsidP="000A45B9">
      <w:pPr>
        <w:spacing w:line="360" w:lineRule="auto"/>
        <w:ind w:firstLine="851"/>
        <w:jc w:val="both"/>
        <w:rPr>
          <w:rFonts w:ascii="Arial" w:hAnsi="Arial" w:cs="Arial"/>
          <w:sz w:val="24"/>
          <w:szCs w:val="24"/>
        </w:rPr>
      </w:pPr>
    </w:p>
    <w:p w14:paraId="5FF468AF" w14:textId="6D5B3C04" w:rsidR="00B10D2C" w:rsidRPr="00B10D2C" w:rsidRDefault="00B10D2C" w:rsidP="008D5153">
      <w:pPr>
        <w:pStyle w:val="ParNormal"/>
        <w:spacing w:before="0"/>
        <w:ind w:left="2268" w:firstLine="0"/>
        <w:rPr>
          <w:szCs w:val="22"/>
          <w:lang w:eastAsia="pt-BR"/>
        </w:rPr>
      </w:pPr>
      <w:bookmarkStart w:id="373" w:name="A144A"/>
      <w:bookmarkStart w:id="374" w:name="A145"/>
      <w:r w:rsidRPr="00B10D2C">
        <w:rPr>
          <w:b/>
          <w:szCs w:val="22"/>
          <w:lang w:eastAsia="pt-BR"/>
        </w:rPr>
        <w:t>Art. 144-A.</w:t>
      </w:r>
      <w:r w:rsidRPr="00B10D2C">
        <w:rPr>
          <w:szCs w:val="22"/>
          <w:lang w:eastAsia="pt-BR"/>
        </w:rPr>
        <w:t xml:space="preserve"> O sujeito passivo que, mediante </w:t>
      </w:r>
      <w:r w:rsidRPr="00B91913">
        <w:rPr>
          <w:b/>
          <w:szCs w:val="22"/>
          <w:lang w:eastAsia="pt-BR"/>
        </w:rPr>
        <w:t>Ato Declaratório do Superintendente da Receita</w:t>
      </w:r>
      <w:r w:rsidRPr="00B10D2C">
        <w:rPr>
          <w:szCs w:val="22"/>
          <w:lang w:eastAsia="pt-BR"/>
        </w:rPr>
        <w:t xml:space="preserve">, for considerado devedor contumaz poderá ser submetido a </w:t>
      </w:r>
      <w:r w:rsidRPr="00B91913">
        <w:rPr>
          <w:b/>
          <w:szCs w:val="22"/>
          <w:lang w:eastAsia="pt-BR"/>
        </w:rPr>
        <w:t>sistema especial de controle, fiscalização e arrecadação</w:t>
      </w:r>
      <w:r w:rsidRPr="00B10D2C">
        <w:rPr>
          <w:szCs w:val="22"/>
          <w:lang w:eastAsia="pt-BR"/>
        </w:rPr>
        <w:t xml:space="preserve">. </w:t>
      </w:r>
      <w:bookmarkEnd w:id="373"/>
    </w:p>
    <w:p w14:paraId="3E60DB57" w14:textId="77777777" w:rsidR="00B10D2C" w:rsidRPr="00B10D2C" w:rsidRDefault="00B10D2C" w:rsidP="008D5153">
      <w:pPr>
        <w:pStyle w:val="ParNormal"/>
        <w:spacing w:before="0"/>
        <w:ind w:left="2268" w:firstLine="0"/>
        <w:rPr>
          <w:szCs w:val="22"/>
          <w:lang w:eastAsia="pt-BR"/>
        </w:rPr>
      </w:pPr>
      <w:bookmarkStart w:id="375" w:name="A144AP1"/>
      <w:r w:rsidRPr="00B10D2C">
        <w:rPr>
          <w:szCs w:val="22"/>
          <w:lang w:eastAsia="pt-BR"/>
        </w:rPr>
        <w:t xml:space="preserve">§ 1º Considera-se como </w:t>
      </w:r>
      <w:r w:rsidRPr="00B91913">
        <w:rPr>
          <w:b/>
          <w:szCs w:val="22"/>
          <w:u w:val="single"/>
          <w:lang w:eastAsia="pt-BR"/>
        </w:rPr>
        <w:t>devedor contumaz</w:t>
      </w:r>
      <w:r w:rsidRPr="00B10D2C">
        <w:rPr>
          <w:szCs w:val="22"/>
          <w:lang w:eastAsia="pt-BR"/>
        </w:rPr>
        <w:t xml:space="preserve"> o sujeito passivo que, </w:t>
      </w:r>
      <w:r w:rsidRPr="00B91913">
        <w:rPr>
          <w:b/>
          <w:szCs w:val="22"/>
          <w:u w:val="single"/>
          <w:lang w:eastAsia="pt-BR"/>
        </w:rPr>
        <w:t>após notificado dos efeitos desta situação, alternativamente</w:t>
      </w:r>
      <w:r w:rsidRPr="00B10D2C">
        <w:rPr>
          <w:szCs w:val="22"/>
          <w:lang w:eastAsia="pt-BR"/>
        </w:rPr>
        <w:t>:</w:t>
      </w:r>
      <w:bookmarkEnd w:id="375"/>
    </w:p>
    <w:p w14:paraId="24CB6350" w14:textId="77777777" w:rsidR="00B10D2C" w:rsidRPr="00B10D2C" w:rsidRDefault="00B10D2C" w:rsidP="008D5153">
      <w:pPr>
        <w:pStyle w:val="ParNormal"/>
        <w:spacing w:before="0"/>
        <w:ind w:left="2268" w:firstLine="0"/>
        <w:rPr>
          <w:szCs w:val="22"/>
          <w:lang w:eastAsia="pt-BR"/>
        </w:rPr>
      </w:pPr>
      <w:bookmarkStart w:id="376" w:name="A144AP1I"/>
      <w:r w:rsidRPr="00B91913">
        <w:rPr>
          <w:b/>
          <w:szCs w:val="22"/>
          <w:lang w:eastAsia="pt-BR"/>
        </w:rPr>
        <w:t>I - deixe de recolher o ICMS declarado em documento que formalizar o cumprimento de obrigação acessória</w:t>
      </w:r>
      <w:r w:rsidRPr="00B10D2C">
        <w:rPr>
          <w:szCs w:val="22"/>
          <w:lang w:eastAsia="pt-BR"/>
        </w:rPr>
        <w:t xml:space="preserve">, comunicando a existência de crédito tributário, por </w:t>
      </w:r>
      <w:r w:rsidRPr="00B91913">
        <w:rPr>
          <w:szCs w:val="22"/>
          <w:u w:val="single"/>
          <w:lang w:eastAsia="pt-BR"/>
        </w:rPr>
        <w:t>quatro meses seguidos</w:t>
      </w:r>
      <w:r w:rsidRPr="00B10D2C">
        <w:rPr>
          <w:szCs w:val="22"/>
          <w:lang w:eastAsia="pt-BR"/>
        </w:rPr>
        <w:t xml:space="preserve"> ou </w:t>
      </w:r>
      <w:r w:rsidRPr="00B91913">
        <w:rPr>
          <w:szCs w:val="22"/>
          <w:u w:val="single"/>
          <w:lang w:eastAsia="pt-BR"/>
        </w:rPr>
        <w:t>oito meses intercalados</w:t>
      </w:r>
      <w:r w:rsidRPr="00B10D2C">
        <w:rPr>
          <w:szCs w:val="22"/>
          <w:lang w:eastAsia="pt-BR"/>
        </w:rPr>
        <w:t xml:space="preserve"> nos doze meses anteriores ao último inadimplemento;</w:t>
      </w:r>
      <w:bookmarkEnd w:id="376"/>
    </w:p>
    <w:p w14:paraId="29ADAB36" w14:textId="77777777" w:rsidR="00B10D2C" w:rsidRPr="00B10D2C" w:rsidRDefault="00B10D2C" w:rsidP="008D5153">
      <w:pPr>
        <w:pStyle w:val="ParNormal"/>
        <w:spacing w:before="0"/>
        <w:ind w:left="2268" w:firstLine="0"/>
        <w:rPr>
          <w:szCs w:val="22"/>
          <w:lang w:eastAsia="pt-BR"/>
        </w:rPr>
      </w:pPr>
      <w:bookmarkStart w:id="377" w:name="A144AP1II"/>
      <w:r w:rsidRPr="00B91913">
        <w:rPr>
          <w:b/>
          <w:szCs w:val="22"/>
          <w:lang w:eastAsia="pt-BR"/>
        </w:rPr>
        <w:t>II - tenha crédito tributário inscrito em dívida ativa relativos ao ICMS declarado e não recolhido no prazo legal</w:t>
      </w:r>
      <w:r w:rsidRPr="00B10D2C">
        <w:rPr>
          <w:szCs w:val="22"/>
          <w:lang w:eastAsia="pt-BR"/>
        </w:rPr>
        <w:t xml:space="preserve"> que abranjam </w:t>
      </w:r>
      <w:r w:rsidRPr="00B91913">
        <w:rPr>
          <w:szCs w:val="22"/>
          <w:u w:val="single"/>
          <w:lang w:eastAsia="pt-BR"/>
        </w:rPr>
        <w:t>mais de quatro períodos</w:t>
      </w:r>
      <w:r w:rsidRPr="00B10D2C">
        <w:rPr>
          <w:szCs w:val="22"/>
          <w:lang w:eastAsia="pt-BR"/>
        </w:rPr>
        <w:t xml:space="preserve"> de apuração e que </w:t>
      </w:r>
      <w:r w:rsidRPr="00B91913">
        <w:rPr>
          <w:szCs w:val="22"/>
          <w:u w:val="single"/>
          <w:lang w:eastAsia="pt-BR"/>
        </w:rPr>
        <w:t>ultrapasse os valores ou percentuais</w:t>
      </w:r>
      <w:r w:rsidRPr="00B10D2C">
        <w:rPr>
          <w:szCs w:val="22"/>
          <w:lang w:eastAsia="pt-BR"/>
        </w:rPr>
        <w:t xml:space="preserve"> a serem estabelecidos em </w:t>
      </w:r>
      <w:r w:rsidRPr="00B91913">
        <w:rPr>
          <w:szCs w:val="22"/>
          <w:u w:val="single"/>
          <w:lang w:eastAsia="pt-BR"/>
        </w:rPr>
        <w:t>regulamento</w:t>
      </w:r>
      <w:r w:rsidRPr="00B10D2C">
        <w:rPr>
          <w:szCs w:val="22"/>
          <w:lang w:eastAsia="pt-BR"/>
        </w:rPr>
        <w:t xml:space="preserve">. </w:t>
      </w:r>
      <w:bookmarkEnd w:id="377"/>
    </w:p>
    <w:p w14:paraId="068E0479" w14:textId="77777777" w:rsidR="00B10D2C" w:rsidRPr="00B10D2C" w:rsidRDefault="00B10D2C" w:rsidP="008D5153">
      <w:pPr>
        <w:pStyle w:val="ParNormal"/>
        <w:spacing w:before="0"/>
        <w:ind w:left="2268" w:firstLine="0"/>
        <w:rPr>
          <w:szCs w:val="22"/>
          <w:lang w:eastAsia="pt-BR"/>
        </w:rPr>
      </w:pPr>
      <w:bookmarkStart w:id="378" w:name="A144AP2"/>
      <w:r w:rsidRPr="00B10D2C">
        <w:rPr>
          <w:szCs w:val="22"/>
          <w:lang w:eastAsia="pt-BR"/>
        </w:rPr>
        <w:t xml:space="preserve">§ 2º O </w:t>
      </w:r>
      <w:r w:rsidRPr="00B91913">
        <w:rPr>
          <w:b/>
          <w:szCs w:val="22"/>
          <w:u w:val="single"/>
          <w:lang w:eastAsia="pt-BR"/>
        </w:rPr>
        <w:t>valor mínimo total</w:t>
      </w:r>
      <w:r w:rsidRPr="00B10D2C">
        <w:rPr>
          <w:szCs w:val="22"/>
          <w:lang w:eastAsia="pt-BR"/>
        </w:rPr>
        <w:t xml:space="preserve">, para efeitos do inciso I do § 1º do </w:t>
      </w:r>
      <w:r w:rsidRPr="00B10D2C">
        <w:rPr>
          <w:i/>
          <w:szCs w:val="22"/>
          <w:lang w:eastAsia="pt-BR"/>
        </w:rPr>
        <w:t>caput</w:t>
      </w:r>
      <w:r w:rsidRPr="00B10D2C">
        <w:rPr>
          <w:szCs w:val="22"/>
          <w:lang w:eastAsia="pt-BR"/>
        </w:rPr>
        <w:t xml:space="preserve">, a partir do qual o sujeito passivo será submetido ao sistema especial de controle, fiscalização, apuração e arrecadação é de </w:t>
      </w:r>
      <w:r w:rsidRPr="00B91913">
        <w:rPr>
          <w:b/>
          <w:szCs w:val="22"/>
          <w:lang w:eastAsia="pt-BR"/>
        </w:rPr>
        <w:t>R$ 100.000,00 (cem mil reais)</w:t>
      </w:r>
      <w:r w:rsidRPr="00B10D2C">
        <w:rPr>
          <w:szCs w:val="22"/>
          <w:lang w:eastAsia="pt-BR"/>
        </w:rPr>
        <w:t>.</w:t>
      </w:r>
      <w:bookmarkEnd w:id="378"/>
    </w:p>
    <w:p w14:paraId="114E3EDF" w14:textId="77777777" w:rsidR="00B10D2C" w:rsidRPr="00B10D2C" w:rsidRDefault="00B10D2C" w:rsidP="008D5153">
      <w:pPr>
        <w:pStyle w:val="ParNormal"/>
        <w:spacing w:before="0"/>
        <w:ind w:left="2268" w:firstLine="0"/>
        <w:rPr>
          <w:szCs w:val="22"/>
          <w:highlight w:val="yellow"/>
          <w:lang w:eastAsia="pt-BR"/>
        </w:rPr>
      </w:pPr>
      <w:bookmarkStart w:id="379" w:name="A144AP3"/>
      <w:r w:rsidRPr="00B10D2C">
        <w:rPr>
          <w:szCs w:val="22"/>
          <w:lang w:eastAsia="pt-BR"/>
        </w:rPr>
        <w:t xml:space="preserve">§ 3º O </w:t>
      </w:r>
      <w:r w:rsidRPr="00866755">
        <w:rPr>
          <w:b/>
          <w:szCs w:val="22"/>
          <w:u w:val="single"/>
          <w:lang w:eastAsia="pt-BR"/>
        </w:rPr>
        <w:t>Ato Declaratório</w:t>
      </w:r>
      <w:r w:rsidRPr="00B10D2C">
        <w:rPr>
          <w:szCs w:val="22"/>
          <w:lang w:eastAsia="pt-BR"/>
        </w:rPr>
        <w:t xml:space="preserve"> que submeter o sujeito passivo ao sistema especial de controle, fiscalização, apuração e arrecadação em razão do seu enquadramento como devedor contumaz, </w:t>
      </w:r>
      <w:r w:rsidRPr="005375E5">
        <w:rPr>
          <w:b/>
          <w:szCs w:val="22"/>
          <w:u w:val="single"/>
          <w:lang w:eastAsia="pt-BR"/>
        </w:rPr>
        <w:t>estabelecerá</w:t>
      </w:r>
      <w:r w:rsidRPr="00B10D2C">
        <w:rPr>
          <w:szCs w:val="22"/>
          <w:lang w:eastAsia="pt-BR"/>
        </w:rPr>
        <w:t xml:space="preserve">, além de outros, isolado ou conjuntamente, </w:t>
      </w:r>
      <w:r w:rsidRPr="005375E5">
        <w:rPr>
          <w:b/>
          <w:szCs w:val="22"/>
          <w:u w:val="single"/>
          <w:lang w:eastAsia="pt-BR"/>
        </w:rPr>
        <w:t>os seguintes efeitos</w:t>
      </w:r>
      <w:r w:rsidRPr="00B10D2C">
        <w:rPr>
          <w:szCs w:val="22"/>
          <w:lang w:eastAsia="pt-BR"/>
        </w:rPr>
        <w:t xml:space="preserve">: </w:t>
      </w:r>
      <w:bookmarkEnd w:id="379"/>
    </w:p>
    <w:p w14:paraId="01CEAB3C" w14:textId="77777777" w:rsidR="00B10D2C" w:rsidRPr="00B10D2C" w:rsidRDefault="00B10D2C" w:rsidP="008D5153">
      <w:pPr>
        <w:pStyle w:val="ParNormal"/>
        <w:spacing w:before="0"/>
        <w:ind w:left="2268" w:firstLine="0"/>
        <w:rPr>
          <w:szCs w:val="22"/>
          <w:lang w:eastAsia="pt-BR"/>
        </w:rPr>
      </w:pPr>
      <w:bookmarkStart w:id="380" w:name="A144AP3I"/>
      <w:r w:rsidRPr="005375E5">
        <w:rPr>
          <w:b/>
          <w:szCs w:val="22"/>
          <w:lang w:eastAsia="pt-BR"/>
        </w:rPr>
        <w:t>I - exigência do pagamento antecipado do ICMS</w:t>
      </w:r>
      <w:r w:rsidRPr="00B10D2C">
        <w:rPr>
          <w:szCs w:val="22"/>
          <w:lang w:eastAsia="pt-BR"/>
        </w:rPr>
        <w:t xml:space="preserve"> na </w:t>
      </w:r>
      <w:r w:rsidRPr="005375E5">
        <w:rPr>
          <w:szCs w:val="22"/>
          <w:u w:val="single"/>
          <w:lang w:eastAsia="pt-BR"/>
        </w:rPr>
        <w:t>entrada de mercadoria em seu estabelecimento</w:t>
      </w:r>
      <w:r w:rsidRPr="00B10D2C">
        <w:rPr>
          <w:szCs w:val="22"/>
          <w:lang w:eastAsia="pt-BR"/>
        </w:rPr>
        <w:t xml:space="preserve">; </w:t>
      </w:r>
      <w:bookmarkEnd w:id="380"/>
    </w:p>
    <w:p w14:paraId="708BD571" w14:textId="77777777" w:rsidR="00B10D2C" w:rsidRPr="00B10D2C" w:rsidRDefault="00B10D2C" w:rsidP="008D5153">
      <w:pPr>
        <w:pStyle w:val="ParNormal"/>
        <w:spacing w:before="0"/>
        <w:ind w:left="2268" w:firstLine="0"/>
        <w:rPr>
          <w:szCs w:val="22"/>
          <w:lang w:eastAsia="pt-BR"/>
        </w:rPr>
      </w:pPr>
      <w:bookmarkStart w:id="381" w:name="A144AP3II"/>
      <w:r w:rsidRPr="00B10D2C">
        <w:rPr>
          <w:szCs w:val="22"/>
          <w:lang w:eastAsia="pt-BR"/>
        </w:rPr>
        <w:t xml:space="preserve">II - exigência do pagamento antecipado do ICMS devido pela </w:t>
      </w:r>
      <w:r w:rsidRPr="005375E5">
        <w:rPr>
          <w:szCs w:val="22"/>
          <w:u w:val="single"/>
          <w:lang w:eastAsia="pt-BR"/>
        </w:rPr>
        <w:t>saída de mercadoria do seu estabelecimento</w:t>
      </w:r>
      <w:r w:rsidRPr="00B10D2C">
        <w:rPr>
          <w:szCs w:val="22"/>
          <w:lang w:eastAsia="pt-BR"/>
        </w:rPr>
        <w:t xml:space="preserve">.  </w:t>
      </w:r>
      <w:bookmarkEnd w:id="381"/>
    </w:p>
    <w:p w14:paraId="3F88362E" w14:textId="77777777" w:rsidR="00B10D2C" w:rsidRPr="00B10D2C" w:rsidRDefault="00B10D2C" w:rsidP="008D5153">
      <w:pPr>
        <w:pStyle w:val="ParNormal"/>
        <w:spacing w:before="0"/>
        <w:ind w:left="2268" w:firstLine="0"/>
        <w:rPr>
          <w:szCs w:val="22"/>
        </w:rPr>
      </w:pPr>
      <w:bookmarkStart w:id="382" w:name="A144AP4"/>
      <w:r w:rsidRPr="00B10D2C">
        <w:rPr>
          <w:szCs w:val="22"/>
          <w:lang w:eastAsia="pt-BR"/>
        </w:rPr>
        <w:t xml:space="preserve">§ 4º Para efeitos de aferição da inadimplência contumaz prevista no §1º, </w:t>
      </w:r>
      <w:r w:rsidRPr="005375E5">
        <w:rPr>
          <w:b/>
          <w:szCs w:val="22"/>
          <w:u w:val="single"/>
          <w:lang w:eastAsia="pt-BR"/>
        </w:rPr>
        <w:t>não será computado o crédito</w:t>
      </w:r>
      <w:r w:rsidRPr="00B10D2C">
        <w:rPr>
          <w:szCs w:val="22"/>
          <w:lang w:eastAsia="pt-BR"/>
        </w:rPr>
        <w:t xml:space="preserve"> que esteja com sua </w:t>
      </w:r>
      <w:r w:rsidRPr="005375E5">
        <w:rPr>
          <w:b/>
          <w:szCs w:val="22"/>
          <w:lang w:eastAsia="pt-BR"/>
        </w:rPr>
        <w:t>exigibilidade suspensa</w:t>
      </w:r>
      <w:r w:rsidRPr="00B10D2C">
        <w:rPr>
          <w:szCs w:val="22"/>
          <w:lang w:eastAsia="pt-BR"/>
        </w:rPr>
        <w:t xml:space="preserve"> ou que tenha sido efetivada a </w:t>
      </w:r>
      <w:r w:rsidRPr="005375E5">
        <w:rPr>
          <w:b/>
          <w:szCs w:val="22"/>
          <w:lang w:eastAsia="pt-BR"/>
        </w:rPr>
        <w:t>penhora de bens suficientes</w:t>
      </w:r>
      <w:r w:rsidRPr="00B10D2C">
        <w:rPr>
          <w:szCs w:val="22"/>
          <w:lang w:eastAsia="pt-BR"/>
        </w:rPr>
        <w:t xml:space="preserve"> para o pagamento total da dívida ou que o sujeito passivo esteja submetido à </w:t>
      </w:r>
      <w:r w:rsidRPr="005375E5">
        <w:rPr>
          <w:b/>
          <w:szCs w:val="22"/>
          <w:lang w:eastAsia="pt-BR"/>
        </w:rPr>
        <w:t>recuperação judicial</w:t>
      </w:r>
      <w:r w:rsidRPr="00B10D2C">
        <w:rPr>
          <w:szCs w:val="22"/>
          <w:lang w:eastAsia="pt-BR"/>
        </w:rPr>
        <w:t xml:space="preserve">. </w:t>
      </w:r>
      <w:bookmarkEnd w:id="374"/>
      <w:bookmarkEnd w:id="382"/>
    </w:p>
    <w:p w14:paraId="3EABE84D" w14:textId="77777777" w:rsidR="00927E9C" w:rsidRDefault="00927E9C" w:rsidP="001F658D">
      <w:pPr>
        <w:spacing w:line="360" w:lineRule="auto"/>
        <w:ind w:firstLine="851"/>
        <w:jc w:val="both"/>
        <w:rPr>
          <w:rFonts w:ascii="Arial" w:hAnsi="Arial" w:cs="Arial"/>
          <w:b/>
          <w:sz w:val="24"/>
          <w:szCs w:val="24"/>
        </w:rPr>
      </w:pPr>
    </w:p>
    <w:p w14:paraId="200A4A3E" w14:textId="77777777" w:rsidR="005B28B4" w:rsidRDefault="00927E9C" w:rsidP="001F658D">
      <w:pPr>
        <w:spacing w:line="360" w:lineRule="auto"/>
        <w:ind w:firstLine="851"/>
        <w:jc w:val="both"/>
        <w:rPr>
          <w:rFonts w:ascii="Arial" w:hAnsi="Arial" w:cs="Arial"/>
          <w:sz w:val="24"/>
          <w:szCs w:val="24"/>
        </w:rPr>
      </w:pPr>
      <w:r w:rsidRPr="00927E9C">
        <w:rPr>
          <w:rFonts w:ascii="Arial" w:hAnsi="Arial" w:cs="Arial"/>
          <w:sz w:val="24"/>
          <w:szCs w:val="24"/>
        </w:rPr>
        <w:t xml:space="preserve">O </w:t>
      </w:r>
      <w:r w:rsidRPr="005A3DF5">
        <w:rPr>
          <w:rFonts w:ascii="Arial" w:hAnsi="Arial" w:cs="Arial"/>
          <w:b/>
          <w:sz w:val="24"/>
          <w:szCs w:val="24"/>
        </w:rPr>
        <w:t>art. 463, § 3º, do RCTE/GO</w:t>
      </w:r>
      <w:r>
        <w:rPr>
          <w:rFonts w:ascii="Arial" w:hAnsi="Arial" w:cs="Arial"/>
          <w:sz w:val="24"/>
          <w:szCs w:val="24"/>
        </w:rPr>
        <w:t xml:space="preserve"> prevê que</w:t>
      </w:r>
      <w:bookmarkStart w:id="383" w:name="A463P3"/>
      <w:bookmarkStart w:id="384" w:name="A34"/>
      <w:bookmarkStart w:id="385" w:name="A76P5II"/>
      <w:bookmarkStart w:id="386" w:name="A76P6"/>
      <w:bookmarkStart w:id="387" w:name="A77"/>
      <w:r w:rsidRPr="00927E9C">
        <w:t xml:space="preserve"> </w:t>
      </w:r>
      <w:r>
        <w:rPr>
          <w:rFonts w:ascii="Arial" w:hAnsi="Arial" w:cs="Arial"/>
          <w:sz w:val="24"/>
          <w:szCs w:val="24"/>
        </w:rPr>
        <w:t>“o</w:t>
      </w:r>
      <w:r w:rsidRPr="00927E9C">
        <w:rPr>
          <w:rFonts w:ascii="Arial" w:hAnsi="Arial" w:cs="Arial"/>
          <w:sz w:val="24"/>
          <w:szCs w:val="24"/>
        </w:rPr>
        <w:t xml:space="preserve"> sujeito passivo que for considerado devedor contumaz será submetido ao sistema especial de controle, fiscalização e arrecadação</w:t>
      </w:r>
      <w:bookmarkEnd w:id="383"/>
      <w:bookmarkEnd w:id="384"/>
      <w:bookmarkEnd w:id="385"/>
      <w:bookmarkEnd w:id="386"/>
      <w:bookmarkEnd w:id="387"/>
      <w:r>
        <w:rPr>
          <w:rFonts w:ascii="Arial" w:hAnsi="Arial" w:cs="Arial"/>
          <w:sz w:val="24"/>
          <w:szCs w:val="24"/>
        </w:rPr>
        <w:t xml:space="preserve">”, e os </w:t>
      </w:r>
      <w:r w:rsidRPr="005A3DF5">
        <w:rPr>
          <w:rFonts w:ascii="Arial" w:hAnsi="Arial" w:cs="Arial"/>
          <w:b/>
          <w:sz w:val="24"/>
          <w:szCs w:val="24"/>
        </w:rPr>
        <w:t>arts. 463-A a 463-E</w:t>
      </w:r>
      <w:r>
        <w:rPr>
          <w:rFonts w:ascii="Arial" w:hAnsi="Arial" w:cs="Arial"/>
          <w:sz w:val="24"/>
          <w:szCs w:val="24"/>
        </w:rPr>
        <w:t xml:space="preserve"> estabelecem normas referentes ao sistema especial de controle, fiscalização e arrecadação para o devedor contumaz. </w:t>
      </w:r>
    </w:p>
    <w:p w14:paraId="19FADDA8" w14:textId="77777777" w:rsidR="00A27A5E" w:rsidRDefault="004F0A95" w:rsidP="001F658D">
      <w:pPr>
        <w:spacing w:line="360" w:lineRule="auto"/>
        <w:ind w:firstLine="851"/>
        <w:jc w:val="both"/>
        <w:rPr>
          <w:rFonts w:ascii="Arial" w:hAnsi="Arial" w:cs="Arial"/>
          <w:sz w:val="24"/>
          <w:szCs w:val="24"/>
        </w:rPr>
      </w:pPr>
      <w:r>
        <w:rPr>
          <w:rFonts w:ascii="Arial" w:hAnsi="Arial" w:cs="Arial"/>
          <w:sz w:val="24"/>
          <w:szCs w:val="24"/>
        </w:rPr>
        <w:lastRenderedPageBreak/>
        <w:t>Embora esse</w:t>
      </w:r>
      <w:r w:rsidR="005B28B4" w:rsidRPr="005B28B4">
        <w:rPr>
          <w:rFonts w:ascii="Arial" w:hAnsi="Arial" w:cs="Arial"/>
          <w:b/>
          <w:sz w:val="24"/>
          <w:szCs w:val="24"/>
        </w:rPr>
        <w:t xml:space="preserve"> conjunto normativo sobre o devedor contumaz </w:t>
      </w:r>
      <w:r w:rsidR="005A3DF5" w:rsidRPr="005B28B4">
        <w:rPr>
          <w:rFonts w:ascii="Arial" w:hAnsi="Arial" w:cs="Arial"/>
          <w:b/>
          <w:sz w:val="24"/>
          <w:szCs w:val="24"/>
        </w:rPr>
        <w:t xml:space="preserve">não </w:t>
      </w:r>
      <w:r>
        <w:rPr>
          <w:rFonts w:ascii="Arial" w:hAnsi="Arial" w:cs="Arial"/>
          <w:b/>
          <w:sz w:val="24"/>
          <w:szCs w:val="24"/>
        </w:rPr>
        <w:t xml:space="preserve">preveja expressamente </w:t>
      </w:r>
      <w:r w:rsidR="005B28B4" w:rsidRPr="005B28B4">
        <w:rPr>
          <w:rFonts w:ascii="Arial" w:hAnsi="Arial" w:cs="Arial"/>
          <w:b/>
          <w:sz w:val="24"/>
          <w:szCs w:val="24"/>
        </w:rPr>
        <w:t>a possibilidade de suspensão da fruição de benefícios fiscais</w:t>
      </w:r>
      <w:r w:rsidRPr="004F0A95">
        <w:rPr>
          <w:rFonts w:ascii="Arial" w:hAnsi="Arial" w:cs="Arial"/>
          <w:sz w:val="24"/>
          <w:szCs w:val="24"/>
        </w:rPr>
        <w:t xml:space="preserve">, </w:t>
      </w:r>
      <w:r>
        <w:rPr>
          <w:rFonts w:ascii="Arial" w:hAnsi="Arial" w:cs="Arial"/>
          <w:sz w:val="24"/>
          <w:szCs w:val="24"/>
        </w:rPr>
        <w:t xml:space="preserve">entende-se que isso </w:t>
      </w:r>
      <w:r w:rsidR="005B28B4" w:rsidRPr="00EF06F5">
        <w:rPr>
          <w:rFonts w:ascii="Arial" w:hAnsi="Arial" w:cs="Arial"/>
          <w:sz w:val="24"/>
          <w:szCs w:val="24"/>
          <w:u w:val="single"/>
        </w:rPr>
        <w:t>não significa “carta branca” à empresa para fru</w:t>
      </w:r>
      <w:r>
        <w:rPr>
          <w:rFonts w:ascii="Arial" w:hAnsi="Arial" w:cs="Arial"/>
          <w:sz w:val="24"/>
          <w:szCs w:val="24"/>
          <w:u w:val="single"/>
        </w:rPr>
        <w:t>í</w:t>
      </w:r>
      <w:r w:rsidR="005B28B4" w:rsidRPr="00EF06F5">
        <w:rPr>
          <w:rFonts w:ascii="Arial" w:hAnsi="Arial" w:cs="Arial"/>
          <w:sz w:val="24"/>
          <w:szCs w:val="24"/>
          <w:u w:val="single"/>
        </w:rPr>
        <w:t>-los</w:t>
      </w:r>
      <w:r w:rsidR="003C19C1" w:rsidRPr="00EF06F5">
        <w:rPr>
          <w:rFonts w:ascii="Arial" w:hAnsi="Arial" w:cs="Arial"/>
          <w:sz w:val="24"/>
          <w:szCs w:val="24"/>
          <w:u w:val="single"/>
        </w:rPr>
        <w:t>,</w:t>
      </w:r>
      <w:r w:rsidR="005B28B4" w:rsidRPr="00EF06F5">
        <w:rPr>
          <w:rFonts w:ascii="Arial" w:hAnsi="Arial" w:cs="Arial"/>
          <w:sz w:val="24"/>
          <w:szCs w:val="24"/>
          <w:u w:val="single"/>
        </w:rPr>
        <w:t xml:space="preserve"> visto que esse impedimento já decorre da parte geral do próprio RCTE/GO (arts. 1º, § 1º, II, e 5º, II)</w:t>
      </w:r>
      <w:r w:rsidR="003C19C1">
        <w:rPr>
          <w:rFonts w:ascii="Arial" w:hAnsi="Arial" w:cs="Arial"/>
          <w:sz w:val="24"/>
          <w:szCs w:val="24"/>
        </w:rPr>
        <w:t>, porque antes de a empresa ser devedora contumaz ela é devedora de ICMS como qualquer</w:t>
      </w:r>
      <w:r w:rsidR="004427CC">
        <w:rPr>
          <w:rFonts w:ascii="Arial" w:hAnsi="Arial" w:cs="Arial"/>
          <w:sz w:val="24"/>
          <w:szCs w:val="24"/>
        </w:rPr>
        <w:t xml:space="preserve"> outro</w:t>
      </w:r>
      <w:r w:rsidR="003C19C1">
        <w:rPr>
          <w:rFonts w:ascii="Arial" w:hAnsi="Arial" w:cs="Arial"/>
          <w:sz w:val="24"/>
          <w:szCs w:val="24"/>
        </w:rPr>
        <w:t xml:space="preserve"> contribuinte e isso, por si só, já se erige como obstáculo suficiente à fruição do benefício</w:t>
      </w:r>
      <w:r w:rsidR="005B28B4">
        <w:rPr>
          <w:rFonts w:ascii="Arial" w:hAnsi="Arial" w:cs="Arial"/>
          <w:sz w:val="24"/>
          <w:szCs w:val="24"/>
        </w:rPr>
        <w:t>.</w:t>
      </w:r>
      <w:r w:rsidR="00A27A5E">
        <w:rPr>
          <w:rFonts w:ascii="Arial" w:hAnsi="Arial" w:cs="Arial"/>
          <w:sz w:val="24"/>
          <w:szCs w:val="24"/>
        </w:rPr>
        <w:t xml:space="preserve"> </w:t>
      </w:r>
    </w:p>
    <w:p w14:paraId="4E2770EE" w14:textId="1BA9484D" w:rsidR="00927E9C" w:rsidRDefault="00A27A5E" w:rsidP="001F658D">
      <w:pPr>
        <w:spacing w:line="360" w:lineRule="auto"/>
        <w:ind w:firstLine="851"/>
        <w:jc w:val="both"/>
        <w:rPr>
          <w:rFonts w:ascii="Arial" w:hAnsi="Arial" w:cs="Arial"/>
          <w:sz w:val="24"/>
          <w:szCs w:val="24"/>
        </w:rPr>
      </w:pPr>
      <w:r w:rsidRPr="00A27A5E">
        <w:rPr>
          <w:rFonts w:ascii="Arial" w:hAnsi="Arial" w:cs="Arial"/>
          <w:b/>
          <w:sz w:val="24"/>
          <w:szCs w:val="24"/>
        </w:rPr>
        <w:t xml:space="preserve">A questão que se impõe, novamente, é que a fiscalização identifique se a </w:t>
      </w:r>
      <w:r>
        <w:rPr>
          <w:rFonts w:ascii="Arial" w:hAnsi="Arial" w:cs="Arial"/>
          <w:b/>
          <w:sz w:val="24"/>
          <w:szCs w:val="24"/>
        </w:rPr>
        <w:t xml:space="preserve">pessoa jurídica considerada </w:t>
      </w:r>
      <w:r w:rsidRPr="00A27A5E">
        <w:rPr>
          <w:rFonts w:ascii="Arial" w:hAnsi="Arial" w:cs="Arial"/>
          <w:b/>
          <w:sz w:val="24"/>
          <w:szCs w:val="24"/>
        </w:rPr>
        <w:t>“devedora contumaz” vem fruindo incentivos fiscais</w:t>
      </w:r>
      <w:r>
        <w:rPr>
          <w:rFonts w:ascii="Arial" w:hAnsi="Arial" w:cs="Arial"/>
          <w:sz w:val="24"/>
          <w:szCs w:val="24"/>
        </w:rPr>
        <w:t xml:space="preserve"> e, identificada essa situação, constitua o crédito tributário correspondente ao benefício irregularmente fruído</w:t>
      </w:r>
      <w:r w:rsidR="00412380">
        <w:rPr>
          <w:rFonts w:ascii="Arial" w:hAnsi="Arial" w:cs="Arial"/>
          <w:sz w:val="24"/>
          <w:szCs w:val="24"/>
        </w:rPr>
        <w:t>, sem prejuízo da adoção</w:t>
      </w:r>
      <w:r>
        <w:rPr>
          <w:rFonts w:ascii="Arial" w:hAnsi="Arial" w:cs="Arial"/>
          <w:sz w:val="24"/>
          <w:szCs w:val="24"/>
        </w:rPr>
        <w:t xml:space="preserve"> </w:t>
      </w:r>
      <w:r w:rsidR="00412380">
        <w:rPr>
          <w:rFonts w:ascii="Arial" w:hAnsi="Arial" w:cs="Arial"/>
          <w:sz w:val="24"/>
          <w:szCs w:val="24"/>
        </w:rPr>
        <w:t>d</w:t>
      </w:r>
      <w:r>
        <w:rPr>
          <w:rFonts w:ascii="Arial" w:hAnsi="Arial" w:cs="Arial"/>
          <w:sz w:val="24"/>
          <w:szCs w:val="24"/>
        </w:rPr>
        <w:t xml:space="preserve">as </w:t>
      </w:r>
      <w:r w:rsidR="00412380">
        <w:rPr>
          <w:rFonts w:ascii="Arial" w:hAnsi="Arial" w:cs="Arial"/>
          <w:sz w:val="24"/>
          <w:szCs w:val="24"/>
        </w:rPr>
        <w:t>de</w:t>
      </w:r>
      <w:r>
        <w:rPr>
          <w:rFonts w:ascii="Arial" w:hAnsi="Arial" w:cs="Arial"/>
          <w:sz w:val="24"/>
          <w:szCs w:val="24"/>
        </w:rPr>
        <w:t>mais medidas pertinentes.</w:t>
      </w:r>
    </w:p>
    <w:p w14:paraId="42D62C23" w14:textId="2C9CB783" w:rsidR="007D6AEC" w:rsidRDefault="001D0802" w:rsidP="001F658D">
      <w:pPr>
        <w:spacing w:line="360" w:lineRule="auto"/>
        <w:ind w:firstLine="851"/>
        <w:jc w:val="both"/>
        <w:rPr>
          <w:rFonts w:ascii="Arial" w:hAnsi="Arial" w:cs="Arial"/>
          <w:sz w:val="24"/>
          <w:szCs w:val="24"/>
        </w:rPr>
      </w:pPr>
      <w:r>
        <w:rPr>
          <w:rFonts w:ascii="Arial" w:hAnsi="Arial" w:cs="Arial"/>
          <w:sz w:val="24"/>
          <w:szCs w:val="24"/>
        </w:rPr>
        <w:t>Conforme já mencionado, a</w:t>
      </w:r>
      <w:r w:rsidR="00A8383C">
        <w:rPr>
          <w:rFonts w:ascii="Arial" w:hAnsi="Arial" w:cs="Arial"/>
          <w:sz w:val="24"/>
          <w:szCs w:val="24"/>
        </w:rPr>
        <w:t xml:space="preserve"> </w:t>
      </w:r>
      <w:r w:rsidR="00A8383C" w:rsidRPr="005D0892">
        <w:rPr>
          <w:rFonts w:ascii="Arial" w:hAnsi="Arial" w:cs="Arial"/>
          <w:b/>
          <w:sz w:val="24"/>
          <w:szCs w:val="24"/>
        </w:rPr>
        <w:t>relação das</w:t>
      </w:r>
      <w:r w:rsidR="00342E48" w:rsidRPr="005D0892">
        <w:rPr>
          <w:rFonts w:ascii="Arial" w:hAnsi="Arial" w:cs="Arial"/>
          <w:b/>
          <w:sz w:val="24"/>
          <w:szCs w:val="24"/>
        </w:rPr>
        <w:t xml:space="preserve"> pessoas jurídicas </w:t>
      </w:r>
      <w:r w:rsidR="00342E48" w:rsidRPr="007D1485">
        <w:rPr>
          <w:rFonts w:ascii="Arial" w:hAnsi="Arial" w:cs="Arial"/>
          <w:b/>
          <w:sz w:val="24"/>
          <w:szCs w:val="24"/>
        </w:rPr>
        <w:t>consideradas “devedoras contumazes”</w:t>
      </w:r>
      <w:r w:rsidR="00A8383C" w:rsidRPr="007D1485">
        <w:rPr>
          <w:rFonts w:ascii="Arial" w:hAnsi="Arial" w:cs="Arial"/>
          <w:b/>
          <w:sz w:val="24"/>
          <w:szCs w:val="24"/>
        </w:rPr>
        <w:t xml:space="preserve"> encontra-se publicada </w:t>
      </w:r>
      <w:r w:rsidR="00E074BA" w:rsidRPr="007D1485">
        <w:rPr>
          <w:rFonts w:ascii="Arial" w:hAnsi="Arial" w:cs="Arial"/>
          <w:b/>
          <w:sz w:val="24"/>
          <w:szCs w:val="24"/>
        </w:rPr>
        <w:t>na página oficial da Secretaria de Estado da Economia</w:t>
      </w:r>
      <w:r w:rsidR="00E074BA">
        <w:rPr>
          <w:rFonts w:ascii="Arial" w:hAnsi="Arial" w:cs="Arial"/>
          <w:sz w:val="24"/>
          <w:szCs w:val="24"/>
        </w:rPr>
        <w:t>,</w:t>
      </w:r>
      <w:r w:rsidR="00E074BA" w:rsidRPr="00BB72EA">
        <w:rPr>
          <w:rFonts w:ascii="Arial" w:hAnsi="Arial" w:cs="Arial"/>
          <w:sz w:val="24"/>
          <w:szCs w:val="24"/>
        </w:rPr>
        <w:t xml:space="preserve"> </w:t>
      </w:r>
      <w:r w:rsidR="005D0892">
        <w:rPr>
          <w:rFonts w:ascii="Arial" w:hAnsi="Arial" w:cs="Arial"/>
          <w:sz w:val="24"/>
          <w:szCs w:val="24"/>
        </w:rPr>
        <w:t>segundo a qual h</w:t>
      </w:r>
      <w:r w:rsidR="008E066A">
        <w:rPr>
          <w:rFonts w:ascii="Arial" w:hAnsi="Arial" w:cs="Arial"/>
          <w:sz w:val="24"/>
          <w:szCs w:val="24"/>
        </w:rPr>
        <w:t>avia</w:t>
      </w:r>
      <w:r w:rsidR="00E17211">
        <w:rPr>
          <w:rFonts w:ascii="Arial" w:hAnsi="Arial" w:cs="Arial"/>
          <w:sz w:val="24"/>
          <w:szCs w:val="24"/>
        </w:rPr>
        <w:t xml:space="preserve">, na data da consulta </w:t>
      </w:r>
      <w:r w:rsidR="008E066A">
        <w:rPr>
          <w:rFonts w:ascii="Arial" w:hAnsi="Arial" w:cs="Arial"/>
          <w:sz w:val="24"/>
          <w:szCs w:val="24"/>
        </w:rPr>
        <w:t xml:space="preserve">efetuada por esta CPI </w:t>
      </w:r>
      <w:r w:rsidR="00E17211">
        <w:rPr>
          <w:rFonts w:ascii="Arial" w:hAnsi="Arial" w:cs="Arial"/>
          <w:sz w:val="24"/>
          <w:szCs w:val="24"/>
        </w:rPr>
        <w:t xml:space="preserve">(11/02/2020), </w:t>
      </w:r>
      <w:r w:rsidR="008E066A">
        <w:rPr>
          <w:rFonts w:ascii="Arial" w:hAnsi="Arial" w:cs="Arial"/>
          <w:sz w:val="24"/>
          <w:szCs w:val="24"/>
        </w:rPr>
        <w:t xml:space="preserve">o </w:t>
      </w:r>
      <w:r w:rsidR="008E066A" w:rsidRPr="000E6B7C">
        <w:rPr>
          <w:rFonts w:ascii="Arial" w:hAnsi="Arial" w:cs="Arial"/>
          <w:sz w:val="24"/>
          <w:szCs w:val="24"/>
          <w:u w:val="single"/>
        </w:rPr>
        <w:t xml:space="preserve">total de </w:t>
      </w:r>
      <w:r w:rsidR="005D0892" w:rsidRPr="000E6B7C">
        <w:rPr>
          <w:rFonts w:ascii="Arial" w:hAnsi="Arial" w:cs="Arial"/>
          <w:sz w:val="24"/>
          <w:szCs w:val="24"/>
          <w:u w:val="single"/>
        </w:rPr>
        <w:t>51 (cinquenta e uma) empresas</w:t>
      </w:r>
      <w:r w:rsidR="005D0892" w:rsidRPr="00BB72EA">
        <w:rPr>
          <w:rFonts w:ascii="Arial" w:hAnsi="Arial" w:cs="Arial"/>
          <w:sz w:val="24"/>
          <w:szCs w:val="24"/>
        </w:rPr>
        <w:t xml:space="preserve"> </w:t>
      </w:r>
      <w:r w:rsidR="00E25EA3">
        <w:rPr>
          <w:rFonts w:ascii="Arial" w:hAnsi="Arial" w:cs="Arial"/>
          <w:sz w:val="24"/>
          <w:szCs w:val="24"/>
        </w:rPr>
        <w:t xml:space="preserve">enquadradas nessa </w:t>
      </w:r>
      <w:r w:rsidR="00F774C7">
        <w:rPr>
          <w:rFonts w:ascii="Arial" w:hAnsi="Arial" w:cs="Arial"/>
          <w:sz w:val="24"/>
          <w:szCs w:val="24"/>
        </w:rPr>
        <w:t>categoria</w:t>
      </w:r>
      <w:r w:rsidR="007D1485">
        <w:rPr>
          <w:rFonts w:ascii="Arial" w:hAnsi="Arial" w:cs="Arial"/>
          <w:sz w:val="24"/>
          <w:szCs w:val="24"/>
        </w:rPr>
        <w:t xml:space="preserve"> fiscal e, portanto, sujeitas a</w:t>
      </w:r>
      <w:r w:rsidR="00F774C7">
        <w:rPr>
          <w:rFonts w:ascii="Arial" w:hAnsi="Arial" w:cs="Arial"/>
          <w:sz w:val="24"/>
          <w:szCs w:val="24"/>
        </w:rPr>
        <w:t xml:space="preserve"> regime especial de fiscalização</w:t>
      </w:r>
      <w:r w:rsidR="00E25EA3">
        <w:rPr>
          <w:rFonts w:ascii="Arial" w:hAnsi="Arial" w:cs="Arial"/>
          <w:sz w:val="24"/>
          <w:szCs w:val="24"/>
        </w:rPr>
        <w:t>,</w:t>
      </w:r>
      <w:r w:rsidR="005D0892" w:rsidRPr="00BB72EA">
        <w:rPr>
          <w:rFonts w:ascii="Arial" w:hAnsi="Arial" w:cs="Arial"/>
          <w:sz w:val="24"/>
          <w:szCs w:val="24"/>
        </w:rPr>
        <w:t xml:space="preserve"> </w:t>
      </w:r>
      <w:r w:rsidR="001513C9">
        <w:rPr>
          <w:rFonts w:ascii="Arial" w:hAnsi="Arial" w:cs="Arial"/>
          <w:sz w:val="24"/>
          <w:szCs w:val="24"/>
        </w:rPr>
        <w:t xml:space="preserve">consoante atos declaratórios da </w:t>
      </w:r>
      <w:r w:rsidR="001513C9" w:rsidRPr="00BB72EA">
        <w:rPr>
          <w:rFonts w:ascii="Arial" w:hAnsi="Arial" w:cs="Arial"/>
          <w:sz w:val="24"/>
          <w:szCs w:val="24"/>
        </w:rPr>
        <w:t xml:space="preserve">Superintendência da Receita </w:t>
      </w:r>
      <w:r w:rsidR="001513C9">
        <w:rPr>
          <w:rFonts w:ascii="Arial" w:hAnsi="Arial" w:cs="Arial"/>
          <w:sz w:val="24"/>
          <w:szCs w:val="24"/>
        </w:rPr>
        <w:t xml:space="preserve">publicados </w:t>
      </w:r>
      <w:r w:rsidR="001513C9" w:rsidRPr="000E6B7C">
        <w:rPr>
          <w:rFonts w:ascii="Arial" w:hAnsi="Arial" w:cs="Arial"/>
          <w:sz w:val="24"/>
          <w:szCs w:val="24"/>
          <w:u w:val="single"/>
        </w:rPr>
        <w:t>entre</w:t>
      </w:r>
      <w:r w:rsidR="00E074BA" w:rsidRPr="000E6B7C">
        <w:rPr>
          <w:rFonts w:ascii="Arial" w:hAnsi="Arial" w:cs="Arial"/>
          <w:sz w:val="24"/>
          <w:szCs w:val="24"/>
          <w:u w:val="single"/>
        </w:rPr>
        <w:t xml:space="preserve"> dezembro de 2017 </w:t>
      </w:r>
      <w:r w:rsidR="001513C9" w:rsidRPr="000E6B7C">
        <w:rPr>
          <w:rFonts w:ascii="Arial" w:hAnsi="Arial" w:cs="Arial"/>
          <w:sz w:val="24"/>
          <w:szCs w:val="24"/>
          <w:u w:val="single"/>
        </w:rPr>
        <w:t xml:space="preserve">e </w:t>
      </w:r>
      <w:r w:rsidR="00F774C7" w:rsidRPr="000E6B7C">
        <w:rPr>
          <w:rFonts w:ascii="Arial" w:hAnsi="Arial" w:cs="Arial"/>
          <w:sz w:val="24"/>
          <w:szCs w:val="24"/>
          <w:u w:val="single"/>
        </w:rPr>
        <w:t>de</w:t>
      </w:r>
      <w:r w:rsidR="001513C9" w:rsidRPr="000E6B7C">
        <w:rPr>
          <w:rFonts w:ascii="Arial" w:hAnsi="Arial" w:cs="Arial"/>
          <w:sz w:val="24"/>
          <w:szCs w:val="24"/>
          <w:u w:val="single"/>
        </w:rPr>
        <w:t xml:space="preserve"> </w:t>
      </w:r>
      <w:r w:rsidR="00207B5F">
        <w:rPr>
          <w:rFonts w:ascii="Arial" w:hAnsi="Arial" w:cs="Arial"/>
          <w:sz w:val="24"/>
          <w:szCs w:val="24"/>
          <w:u w:val="single"/>
        </w:rPr>
        <w:t xml:space="preserve">dezembro de </w:t>
      </w:r>
      <w:r w:rsidR="001513C9" w:rsidRPr="000E6B7C">
        <w:rPr>
          <w:rFonts w:ascii="Arial" w:hAnsi="Arial" w:cs="Arial"/>
          <w:sz w:val="24"/>
          <w:szCs w:val="24"/>
          <w:u w:val="single"/>
        </w:rPr>
        <w:t>2018</w:t>
      </w:r>
      <w:r w:rsidR="001513C9">
        <w:rPr>
          <w:rFonts w:ascii="Arial" w:hAnsi="Arial" w:cs="Arial"/>
          <w:sz w:val="24"/>
          <w:szCs w:val="24"/>
        </w:rPr>
        <w:t>.</w:t>
      </w:r>
      <w:r w:rsidR="0036525F">
        <w:rPr>
          <w:rFonts w:ascii="Arial" w:hAnsi="Arial" w:cs="Arial"/>
          <w:sz w:val="24"/>
          <w:szCs w:val="24"/>
        </w:rPr>
        <w:t xml:space="preserve"> </w:t>
      </w:r>
    </w:p>
    <w:p w14:paraId="64BC96D7" w14:textId="3D2523FD" w:rsidR="00464A78" w:rsidRDefault="007D6AEC" w:rsidP="001F658D">
      <w:pPr>
        <w:spacing w:line="360" w:lineRule="auto"/>
        <w:ind w:firstLine="851"/>
        <w:jc w:val="both"/>
        <w:rPr>
          <w:rFonts w:ascii="Arial" w:hAnsi="Arial" w:cs="Arial"/>
          <w:sz w:val="24"/>
          <w:szCs w:val="24"/>
        </w:rPr>
      </w:pPr>
      <w:r w:rsidRPr="007D6AEC">
        <w:rPr>
          <w:rFonts w:ascii="Arial" w:hAnsi="Arial" w:cs="Arial"/>
          <w:b/>
          <w:sz w:val="24"/>
          <w:szCs w:val="24"/>
        </w:rPr>
        <w:t>Do total de empresas acima mencionadas</w:t>
      </w:r>
      <w:r w:rsidR="0036525F" w:rsidRPr="007D6AEC">
        <w:rPr>
          <w:rFonts w:ascii="Arial" w:hAnsi="Arial" w:cs="Arial"/>
          <w:b/>
          <w:sz w:val="24"/>
          <w:szCs w:val="24"/>
        </w:rPr>
        <w:t xml:space="preserve">, </w:t>
      </w:r>
      <w:r w:rsidR="00B85493" w:rsidRPr="007D6AEC">
        <w:rPr>
          <w:rFonts w:ascii="Arial" w:hAnsi="Arial" w:cs="Arial"/>
          <w:b/>
          <w:sz w:val="24"/>
          <w:szCs w:val="24"/>
        </w:rPr>
        <w:t>33 (trinta e três)</w:t>
      </w:r>
      <w:r w:rsidR="007D1485" w:rsidRPr="007D6AEC">
        <w:rPr>
          <w:rFonts w:ascii="Arial" w:hAnsi="Arial" w:cs="Arial"/>
          <w:b/>
          <w:sz w:val="24"/>
          <w:szCs w:val="24"/>
        </w:rPr>
        <w:t xml:space="preserve"> fruíram incentivos fiscais</w:t>
      </w:r>
      <w:r w:rsidR="007D1485">
        <w:rPr>
          <w:rFonts w:ascii="Arial" w:hAnsi="Arial" w:cs="Arial"/>
          <w:sz w:val="24"/>
          <w:szCs w:val="24"/>
        </w:rPr>
        <w:t xml:space="preserve"> </w:t>
      </w:r>
      <w:r w:rsidR="00AD7DFB">
        <w:rPr>
          <w:rFonts w:ascii="Arial" w:hAnsi="Arial" w:cs="Arial"/>
          <w:sz w:val="24"/>
          <w:szCs w:val="24"/>
        </w:rPr>
        <w:t>referente</w:t>
      </w:r>
      <w:r w:rsidR="001037FD">
        <w:rPr>
          <w:rFonts w:ascii="Arial" w:hAnsi="Arial" w:cs="Arial"/>
          <w:sz w:val="24"/>
          <w:szCs w:val="24"/>
        </w:rPr>
        <w:t>s</w:t>
      </w:r>
      <w:r w:rsidR="007D1485">
        <w:rPr>
          <w:rFonts w:ascii="Arial" w:hAnsi="Arial" w:cs="Arial"/>
          <w:sz w:val="24"/>
          <w:szCs w:val="24"/>
        </w:rPr>
        <w:t xml:space="preserve"> aos programas </w:t>
      </w:r>
      <w:r w:rsidR="001F3EAC">
        <w:rPr>
          <w:rFonts w:ascii="Arial" w:hAnsi="Arial" w:cs="Arial"/>
          <w:sz w:val="24"/>
          <w:szCs w:val="24"/>
        </w:rPr>
        <w:t xml:space="preserve">FOMENTAR, PRODUZIR </w:t>
      </w:r>
      <w:r w:rsidR="00F73E27">
        <w:rPr>
          <w:rFonts w:ascii="Arial" w:hAnsi="Arial" w:cs="Arial"/>
          <w:sz w:val="24"/>
          <w:szCs w:val="24"/>
        </w:rPr>
        <w:t>e/</w:t>
      </w:r>
      <w:r w:rsidR="007D1485">
        <w:rPr>
          <w:rFonts w:ascii="Arial" w:hAnsi="Arial" w:cs="Arial"/>
          <w:sz w:val="24"/>
          <w:szCs w:val="24"/>
        </w:rPr>
        <w:t>ou crédito outorgado</w:t>
      </w:r>
      <w:r w:rsidR="00642874">
        <w:rPr>
          <w:rFonts w:ascii="Arial" w:hAnsi="Arial" w:cs="Arial"/>
          <w:sz w:val="24"/>
          <w:szCs w:val="24"/>
        </w:rPr>
        <w:t xml:space="preserve"> em algum ano dentro do </w:t>
      </w:r>
      <w:r w:rsidR="00642874" w:rsidRPr="00642874">
        <w:rPr>
          <w:rFonts w:ascii="Arial" w:hAnsi="Arial" w:cs="Arial"/>
          <w:sz w:val="24"/>
          <w:szCs w:val="24"/>
          <w:u w:val="single"/>
        </w:rPr>
        <w:t>período objeto de investigação por esta CPI (2014 a 2018)</w:t>
      </w:r>
      <w:r w:rsidR="00642874">
        <w:rPr>
          <w:rFonts w:ascii="Arial" w:hAnsi="Arial" w:cs="Arial"/>
          <w:sz w:val="24"/>
          <w:szCs w:val="24"/>
        </w:rPr>
        <w:t>,</w:t>
      </w:r>
      <w:r w:rsidR="00207B5F">
        <w:rPr>
          <w:rFonts w:ascii="Arial" w:hAnsi="Arial" w:cs="Arial"/>
          <w:sz w:val="24"/>
          <w:szCs w:val="24"/>
        </w:rPr>
        <w:t xml:space="preserve"> o que correspondente a um total de </w:t>
      </w:r>
      <w:r>
        <w:rPr>
          <w:rFonts w:ascii="Arial" w:hAnsi="Arial" w:cs="Arial"/>
          <w:sz w:val="24"/>
          <w:szCs w:val="24"/>
        </w:rPr>
        <w:t xml:space="preserve">aproximadamente </w:t>
      </w:r>
      <w:r w:rsidRPr="00642874">
        <w:rPr>
          <w:rFonts w:ascii="Arial" w:hAnsi="Arial" w:cs="Arial"/>
          <w:sz w:val="24"/>
          <w:szCs w:val="24"/>
          <w:u w:val="single"/>
        </w:rPr>
        <w:t>60</w:t>
      </w:r>
      <w:r w:rsidR="00642874" w:rsidRPr="00642874">
        <w:rPr>
          <w:rFonts w:ascii="Arial" w:hAnsi="Arial" w:cs="Arial"/>
          <w:sz w:val="24"/>
          <w:szCs w:val="24"/>
          <w:u w:val="single"/>
        </w:rPr>
        <w:t>%</w:t>
      </w:r>
      <w:r w:rsidRPr="00642874">
        <w:rPr>
          <w:rFonts w:ascii="Arial" w:hAnsi="Arial" w:cs="Arial"/>
          <w:sz w:val="24"/>
          <w:szCs w:val="24"/>
          <w:u w:val="single"/>
        </w:rPr>
        <w:t xml:space="preserve"> (sessenta por cento)</w:t>
      </w:r>
      <w:r w:rsidR="00AD7DFB" w:rsidRPr="00642874">
        <w:rPr>
          <w:rFonts w:ascii="Arial" w:hAnsi="Arial" w:cs="Arial"/>
          <w:sz w:val="24"/>
          <w:szCs w:val="24"/>
          <w:u w:val="single"/>
        </w:rPr>
        <w:t xml:space="preserve"> das pessoas jurídicas consideradas “devedoras contumazes”</w:t>
      </w:r>
      <w:r w:rsidR="007D1485">
        <w:rPr>
          <w:rFonts w:ascii="Arial" w:hAnsi="Arial" w:cs="Arial"/>
          <w:sz w:val="24"/>
          <w:szCs w:val="24"/>
        </w:rPr>
        <w:t>.</w:t>
      </w:r>
    </w:p>
    <w:p w14:paraId="3B41FD10" w14:textId="6BEAFD94" w:rsidR="002561DD" w:rsidRDefault="002561DD" w:rsidP="001F658D">
      <w:pPr>
        <w:spacing w:line="360" w:lineRule="auto"/>
        <w:ind w:firstLine="851"/>
        <w:jc w:val="both"/>
        <w:rPr>
          <w:rFonts w:ascii="Arial" w:hAnsi="Arial" w:cs="Arial"/>
          <w:sz w:val="24"/>
          <w:szCs w:val="24"/>
        </w:rPr>
      </w:pPr>
      <w:r>
        <w:rPr>
          <w:rFonts w:ascii="Arial" w:hAnsi="Arial" w:cs="Arial"/>
          <w:sz w:val="24"/>
          <w:szCs w:val="24"/>
        </w:rPr>
        <w:t>Para melhor entender esse universo</w:t>
      </w:r>
      <w:r w:rsidR="00642874">
        <w:rPr>
          <w:rFonts w:ascii="Arial" w:hAnsi="Arial" w:cs="Arial"/>
          <w:sz w:val="24"/>
          <w:szCs w:val="24"/>
        </w:rPr>
        <w:t xml:space="preserve">, expor-se-ão abaixo, em diferentes tabelas, </w:t>
      </w:r>
      <w:r w:rsidR="00C07400" w:rsidRPr="00C07400">
        <w:rPr>
          <w:rFonts w:ascii="Arial" w:hAnsi="Arial" w:cs="Arial"/>
          <w:b/>
          <w:sz w:val="24"/>
          <w:szCs w:val="24"/>
        </w:rPr>
        <w:t xml:space="preserve">2 (dois) grupos de </w:t>
      </w:r>
      <w:r w:rsidR="00642874" w:rsidRPr="00C07400">
        <w:rPr>
          <w:rFonts w:ascii="Arial" w:hAnsi="Arial" w:cs="Arial"/>
          <w:b/>
          <w:sz w:val="24"/>
          <w:szCs w:val="24"/>
        </w:rPr>
        <w:t xml:space="preserve">empresas </w:t>
      </w:r>
      <w:r w:rsidR="00C07400" w:rsidRPr="00C07400">
        <w:rPr>
          <w:rFonts w:ascii="Arial" w:hAnsi="Arial" w:cs="Arial"/>
          <w:b/>
          <w:sz w:val="24"/>
          <w:szCs w:val="24"/>
        </w:rPr>
        <w:t>dentre aquelas</w:t>
      </w:r>
      <w:r w:rsidR="00C07400">
        <w:rPr>
          <w:rFonts w:ascii="Arial" w:hAnsi="Arial" w:cs="Arial"/>
          <w:sz w:val="24"/>
          <w:szCs w:val="24"/>
        </w:rPr>
        <w:t xml:space="preserve">, </w:t>
      </w:r>
      <w:r w:rsidR="00A15FFC">
        <w:rPr>
          <w:rFonts w:ascii="Arial" w:hAnsi="Arial" w:cs="Arial"/>
          <w:sz w:val="24"/>
          <w:szCs w:val="24"/>
        </w:rPr>
        <w:t xml:space="preserve">conforme o período </w:t>
      </w:r>
      <w:r w:rsidR="00B320A9">
        <w:rPr>
          <w:rFonts w:ascii="Arial" w:hAnsi="Arial" w:cs="Arial"/>
          <w:sz w:val="24"/>
          <w:szCs w:val="24"/>
        </w:rPr>
        <w:t>no qual tenha ocorrido a</w:t>
      </w:r>
      <w:r w:rsidR="00C07400">
        <w:rPr>
          <w:rFonts w:ascii="Arial" w:hAnsi="Arial" w:cs="Arial"/>
          <w:sz w:val="24"/>
          <w:szCs w:val="24"/>
        </w:rPr>
        <w:t xml:space="preserve"> respectiva fruição </w:t>
      </w:r>
      <w:r w:rsidR="00B320A9">
        <w:rPr>
          <w:rFonts w:ascii="Arial" w:hAnsi="Arial" w:cs="Arial"/>
          <w:sz w:val="24"/>
          <w:szCs w:val="24"/>
        </w:rPr>
        <w:t>ao longo dos anos de 2014 a 2018</w:t>
      </w:r>
      <w:r w:rsidR="00C07400">
        <w:rPr>
          <w:rFonts w:ascii="Arial" w:hAnsi="Arial" w:cs="Arial"/>
          <w:sz w:val="24"/>
          <w:szCs w:val="24"/>
        </w:rPr>
        <w:t xml:space="preserve">: </w:t>
      </w:r>
      <w:r w:rsidR="00C07400" w:rsidRPr="00C07400">
        <w:rPr>
          <w:rFonts w:ascii="Arial" w:hAnsi="Arial" w:cs="Arial"/>
          <w:sz w:val="24"/>
          <w:szCs w:val="24"/>
          <w:u w:val="single"/>
        </w:rPr>
        <w:t>a) durante o exercício em que foi declarada “devedora contumaz” ou nos seguintes</w:t>
      </w:r>
      <w:r w:rsidR="00B320A9">
        <w:rPr>
          <w:rFonts w:ascii="Arial" w:hAnsi="Arial" w:cs="Arial"/>
          <w:sz w:val="24"/>
          <w:szCs w:val="24"/>
          <w:u w:val="single"/>
        </w:rPr>
        <w:t xml:space="preserve"> (2017</w:t>
      </w:r>
      <w:r w:rsidR="003E1757">
        <w:rPr>
          <w:rFonts w:ascii="Arial" w:hAnsi="Arial" w:cs="Arial"/>
          <w:sz w:val="24"/>
          <w:szCs w:val="24"/>
          <w:u w:val="single"/>
        </w:rPr>
        <w:t xml:space="preserve"> </w:t>
      </w:r>
      <w:r w:rsidR="00B320A9">
        <w:rPr>
          <w:rFonts w:ascii="Arial" w:hAnsi="Arial" w:cs="Arial"/>
          <w:sz w:val="24"/>
          <w:szCs w:val="24"/>
          <w:u w:val="single"/>
        </w:rPr>
        <w:t>e</w:t>
      </w:r>
      <w:r w:rsidR="003E1757">
        <w:rPr>
          <w:rFonts w:ascii="Arial" w:hAnsi="Arial" w:cs="Arial"/>
          <w:sz w:val="24"/>
          <w:szCs w:val="24"/>
          <w:u w:val="single"/>
        </w:rPr>
        <w:t>/</w:t>
      </w:r>
      <w:r w:rsidR="00B320A9">
        <w:rPr>
          <w:rFonts w:ascii="Arial" w:hAnsi="Arial" w:cs="Arial"/>
          <w:sz w:val="24"/>
          <w:szCs w:val="24"/>
          <w:u w:val="single"/>
        </w:rPr>
        <w:t>ou 2018)</w:t>
      </w:r>
      <w:r w:rsidR="00C07400">
        <w:rPr>
          <w:rFonts w:ascii="Arial" w:hAnsi="Arial" w:cs="Arial"/>
          <w:sz w:val="24"/>
          <w:szCs w:val="24"/>
        </w:rPr>
        <w:t xml:space="preserve">; e </w:t>
      </w:r>
      <w:r w:rsidR="00C07400" w:rsidRPr="00C07400">
        <w:rPr>
          <w:rFonts w:ascii="Arial" w:hAnsi="Arial" w:cs="Arial"/>
          <w:sz w:val="24"/>
          <w:szCs w:val="24"/>
          <w:u w:val="single"/>
        </w:rPr>
        <w:t>b) em exercícios anteriores</w:t>
      </w:r>
      <w:r w:rsidR="00B320A9" w:rsidRPr="00B320A9">
        <w:rPr>
          <w:rFonts w:ascii="Arial" w:hAnsi="Arial" w:cs="Arial"/>
          <w:sz w:val="24"/>
          <w:szCs w:val="24"/>
        </w:rPr>
        <w:t xml:space="preserve"> (</w:t>
      </w:r>
      <w:r w:rsidR="00B320A9">
        <w:rPr>
          <w:rFonts w:ascii="Arial" w:hAnsi="Arial" w:cs="Arial"/>
          <w:sz w:val="24"/>
          <w:szCs w:val="24"/>
        </w:rPr>
        <w:t>2014, 2015</w:t>
      </w:r>
      <w:r w:rsidR="00593598">
        <w:rPr>
          <w:rFonts w:ascii="Arial" w:hAnsi="Arial" w:cs="Arial"/>
          <w:sz w:val="24"/>
          <w:szCs w:val="24"/>
        </w:rPr>
        <w:t>,</w:t>
      </w:r>
      <w:r w:rsidR="00B320A9">
        <w:rPr>
          <w:rFonts w:ascii="Arial" w:hAnsi="Arial" w:cs="Arial"/>
          <w:sz w:val="24"/>
          <w:szCs w:val="24"/>
        </w:rPr>
        <w:t xml:space="preserve"> 2016</w:t>
      </w:r>
      <w:r w:rsidR="00593598">
        <w:rPr>
          <w:rFonts w:ascii="Arial" w:hAnsi="Arial" w:cs="Arial"/>
          <w:sz w:val="24"/>
          <w:szCs w:val="24"/>
        </w:rPr>
        <w:t xml:space="preserve"> e/ou 2017</w:t>
      </w:r>
      <w:r w:rsidR="00B320A9" w:rsidRPr="00B320A9">
        <w:rPr>
          <w:rFonts w:ascii="Arial" w:hAnsi="Arial" w:cs="Arial"/>
          <w:sz w:val="24"/>
          <w:szCs w:val="24"/>
        </w:rPr>
        <w:t>)</w:t>
      </w:r>
      <w:r w:rsidR="00C07400">
        <w:rPr>
          <w:rFonts w:ascii="Arial" w:hAnsi="Arial" w:cs="Arial"/>
          <w:sz w:val="24"/>
          <w:szCs w:val="24"/>
        </w:rPr>
        <w:t>.</w:t>
      </w:r>
    </w:p>
    <w:p w14:paraId="4DA9AF57" w14:textId="0E57D94D" w:rsidR="00951264" w:rsidRDefault="00717B79" w:rsidP="001F658D">
      <w:pPr>
        <w:spacing w:line="360" w:lineRule="auto"/>
        <w:ind w:firstLine="851"/>
        <w:jc w:val="both"/>
        <w:rPr>
          <w:rFonts w:ascii="Arial" w:hAnsi="Arial" w:cs="Arial"/>
          <w:sz w:val="24"/>
          <w:szCs w:val="24"/>
        </w:rPr>
      </w:pPr>
      <w:r>
        <w:rPr>
          <w:rFonts w:ascii="Arial" w:hAnsi="Arial" w:cs="Arial"/>
          <w:sz w:val="24"/>
          <w:szCs w:val="24"/>
        </w:rPr>
        <w:t xml:space="preserve">O </w:t>
      </w:r>
      <w:r w:rsidRPr="009B7517">
        <w:rPr>
          <w:rFonts w:ascii="Arial" w:hAnsi="Arial" w:cs="Arial"/>
          <w:b/>
          <w:sz w:val="24"/>
          <w:szCs w:val="24"/>
        </w:rPr>
        <w:t>primeiro grupo</w:t>
      </w:r>
      <w:r>
        <w:rPr>
          <w:rFonts w:ascii="Arial" w:hAnsi="Arial" w:cs="Arial"/>
          <w:sz w:val="24"/>
          <w:szCs w:val="24"/>
        </w:rPr>
        <w:t xml:space="preserve"> comp</w:t>
      </w:r>
      <w:r w:rsidR="00036B9C">
        <w:rPr>
          <w:rFonts w:ascii="Arial" w:hAnsi="Arial" w:cs="Arial"/>
          <w:sz w:val="24"/>
          <w:szCs w:val="24"/>
        </w:rPr>
        <w:t xml:space="preserve">õe-se, por conseguinte, das </w:t>
      </w:r>
      <w:r w:rsidR="00036B9C" w:rsidRPr="00951264">
        <w:rPr>
          <w:rFonts w:ascii="Arial" w:hAnsi="Arial" w:cs="Arial"/>
          <w:sz w:val="24"/>
          <w:szCs w:val="24"/>
          <w:u w:val="single"/>
        </w:rPr>
        <w:t xml:space="preserve">pessoas jurídicas que fruíram alguma espécie daqueles incentivos fiscais após o respectivo enquadramento </w:t>
      </w:r>
      <w:r w:rsidR="002944C5" w:rsidRPr="00951264">
        <w:rPr>
          <w:rFonts w:ascii="Arial" w:hAnsi="Arial" w:cs="Arial"/>
          <w:sz w:val="24"/>
          <w:szCs w:val="24"/>
          <w:u w:val="single"/>
        </w:rPr>
        <w:t>como</w:t>
      </w:r>
      <w:r w:rsidR="00036B9C" w:rsidRPr="00951264">
        <w:rPr>
          <w:rFonts w:ascii="Arial" w:hAnsi="Arial" w:cs="Arial"/>
          <w:sz w:val="24"/>
          <w:szCs w:val="24"/>
          <w:u w:val="single"/>
        </w:rPr>
        <w:t xml:space="preserve"> “devedoras contumazes”</w:t>
      </w:r>
      <w:r w:rsidR="00036B9C">
        <w:rPr>
          <w:rFonts w:ascii="Arial" w:hAnsi="Arial" w:cs="Arial"/>
          <w:sz w:val="24"/>
          <w:szCs w:val="24"/>
        </w:rPr>
        <w:t xml:space="preserve">, </w:t>
      </w:r>
      <w:r w:rsidR="00F82FAA">
        <w:rPr>
          <w:rFonts w:ascii="Arial" w:hAnsi="Arial" w:cs="Arial"/>
          <w:sz w:val="24"/>
          <w:szCs w:val="24"/>
        </w:rPr>
        <w:t xml:space="preserve">o que </w:t>
      </w:r>
      <w:r w:rsidR="00AA44BE">
        <w:rPr>
          <w:rFonts w:ascii="Arial" w:hAnsi="Arial" w:cs="Arial"/>
          <w:sz w:val="24"/>
          <w:szCs w:val="24"/>
        </w:rPr>
        <w:t>constitui</w:t>
      </w:r>
      <w:r w:rsidR="00F82FAA">
        <w:rPr>
          <w:rFonts w:ascii="Arial" w:hAnsi="Arial" w:cs="Arial"/>
          <w:sz w:val="24"/>
          <w:szCs w:val="24"/>
        </w:rPr>
        <w:t xml:space="preserve"> irregularidade evidente</w:t>
      </w:r>
      <w:r w:rsidR="00951264">
        <w:rPr>
          <w:rFonts w:ascii="Arial" w:hAnsi="Arial" w:cs="Arial"/>
          <w:sz w:val="24"/>
          <w:szCs w:val="24"/>
        </w:rPr>
        <w:t xml:space="preserve"> (v.g. empresa</w:t>
      </w:r>
      <w:r w:rsidR="00AA44BE">
        <w:rPr>
          <w:rFonts w:ascii="Arial" w:hAnsi="Arial" w:cs="Arial"/>
          <w:sz w:val="24"/>
          <w:szCs w:val="24"/>
        </w:rPr>
        <w:t>s</w:t>
      </w:r>
      <w:r w:rsidR="00951264">
        <w:rPr>
          <w:rFonts w:ascii="Arial" w:hAnsi="Arial" w:cs="Arial"/>
          <w:sz w:val="24"/>
          <w:szCs w:val="24"/>
        </w:rPr>
        <w:t xml:space="preserve"> enquadrada</w:t>
      </w:r>
      <w:r w:rsidR="00AA44BE">
        <w:rPr>
          <w:rFonts w:ascii="Arial" w:hAnsi="Arial" w:cs="Arial"/>
          <w:sz w:val="24"/>
          <w:szCs w:val="24"/>
        </w:rPr>
        <w:t>s</w:t>
      </w:r>
      <w:r w:rsidR="00951264">
        <w:rPr>
          <w:rFonts w:ascii="Arial" w:hAnsi="Arial" w:cs="Arial"/>
          <w:sz w:val="24"/>
          <w:szCs w:val="24"/>
        </w:rPr>
        <w:t xml:space="preserve"> em 2017 como devedora</w:t>
      </w:r>
      <w:r w:rsidR="00AA44BE">
        <w:rPr>
          <w:rFonts w:ascii="Arial" w:hAnsi="Arial" w:cs="Arial"/>
          <w:sz w:val="24"/>
          <w:szCs w:val="24"/>
        </w:rPr>
        <w:t>s</w:t>
      </w:r>
      <w:r w:rsidR="00951264">
        <w:rPr>
          <w:rFonts w:ascii="Arial" w:hAnsi="Arial" w:cs="Arial"/>
          <w:sz w:val="24"/>
          <w:szCs w:val="24"/>
        </w:rPr>
        <w:t xml:space="preserve"> contumaz</w:t>
      </w:r>
      <w:r w:rsidR="00AA44BE">
        <w:rPr>
          <w:rFonts w:ascii="Arial" w:hAnsi="Arial" w:cs="Arial"/>
          <w:sz w:val="24"/>
          <w:szCs w:val="24"/>
        </w:rPr>
        <w:t>es</w:t>
      </w:r>
      <w:r w:rsidR="00951264">
        <w:rPr>
          <w:rFonts w:ascii="Arial" w:hAnsi="Arial" w:cs="Arial"/>
          <w:sz w:val="24"/>
          <w:szCs w:val="24"/>
        </w:rPr>
        <w:t xml:space="preserve"> fruindo benefícios em 2018); </w:t>
      </w:r>
      <w:r w:rsidR="00951264" w:rsidRPr="00951264">
        <w:rPr>
          <w:rFonts w:ascii="Arial" w:hAnsi="Arial" w:cs="Arial"/>
          <w:sz w:val="24"/>
          <w:szCs w:val="24"/>
          <w:u w:val="single"/>
        </w:rPr>
        <w:t xml:space="preserve">ou, ao </w:t>
      </w:r>
      <w:r w:rsidR="00951264" w:rsidRPr="00951264">
        <w:rPr>
          <w:rFonts w:ascii="Arial" w:hAnsi="Arial" w:cs="Arial"/>
          <w:sz w:val="24"/>
          <w:szCs w:val="24"/>
          <w:u w:val="single"/>
        </w:rPr>
        <w:lastRenderedPageBreak/>
        <w:t xml:space="preserve">menos, </w:t>
      </w:r>
      <w:r w:rsidR="00EC70A9">
        <w:rPr>
          <w:rFonts w:ascii="Arial" w:hAnsi="Arial" w:cs="Arial"/>
          <w:sz w:val="24"/>
          <w:szCs w:val="24"/>
          <w:u w:val="single"/>
        </w:rPr>
        <w:t xml:space="preserve">que fruíram </w:t>
      </w:r>
      <w:r w:rsidR="00951264" w:rsidRPr="00951264">
        <w:rPr>
          <w:rFonts w:ascii="Arial" w:hAnsi="Arial" w:cs="Arial"/>
          <w:sz w:val="24"/>
          <w:szCs w:val="24"/>
          <w:u w:val="single"/>
        </w:rPr>
        <w:t xml:space="preserve">no mesmo ano </w:t>
      </w:r>
      <w:r w:rsidR="00EC70A9">
        <w:rPr>
          <w:rFonts w:ascii="Arial" w:hAnsi="Arial" w:cs="Arial"/>
          <w:sz w:val="24"/>
          <w:szCs w:val="24"/>
          <w:u w:val="single"/>
        </w:rPr>
        <w:t>no qual</w:t>
      </w:r>
      <w:r w:rsidR="00951264" w:rsidRPr="00951264">
        <w:rPr>
          <w:rFonts w:ascii="Arial" w:hAnsi="Arial" w:cs="Arial"/>
          <w:sz w:val="24"/>
          <w:szCs w:val="24"/>
          <w:u w:val="single"/>
        </w:rPr>
        <w:t xml:space="preserve"> ocorreu o respectivo enquadramento</w:t>
      </w:r>
      <w:r w:rsidR="00951264">
        <w:rPr>
          <w:rFonts w:ascii="Arial" w:hAnsi="Arial" w:cs="Arial"/>
          <w:sz w:val="24"/>
          <w:szCs w:val="24"/>
        </w:rPr>
        <w:t>, neste último caso devendo ser apurado pelo fisco e demais órgãos de controle</w:t>
      </w:r>
      <w:r w:rsidR="007B5795">
        <w:rPr>
          <w:rFonts w:ascii="Arial" w:hAnsi="Arial" w:cs="Arial"/>
          <w:sz w:val="24"/>
          <w:szCs w:val="24"/>
        </w:rPr>
        <w:t xml:space="preserve"> a coincidência entre os períodos de inscrição em dívida ativa e fruição de incentivos</w:t>
      </w:r>
      <w:r w:rsidR="00951264">
        <w:rPr>
          <w:rFonts w:ascii="Arial" w:hAnsi="Arial" w:cs="Arial"/>
          <w:sz w:val="24"/>
          <w:szCs w:val="24"/>
        </w:rPr>
        <w:t xml:space="preserve"> (v.g. empresa enquadrada em janeiro de 2018 como devedora contumaz fruindo benefícios em 2018)</w:t>
      </w:r>
      <w:r w:rsidR="00F82FAA">
        <w:rPr>
          <w:rFonts w:ascii="Arial" w:hAnsi="Arial" w:cs="Arial"/>
          <w:sz w:val="24"/>
          <w:szCs w:val="24"/>
        </w:rPr>
        <w:t xml:space="preserve">. </w:t>
      </w:r>
    </w:p>
    <w:p w14:paraId="310F013D" w14:textId="6C2A1BF4" w:rsidR="00717B79" w:rsidRDefault="00F82FAA" w:rsidP="001F658D">
      <w:pPr>
        <w:spacing w:line="360" w:lineRule="auto"/>
        <w:ind w:firstLine="851"/>
        <w:jc w:val="both"/>
        <w:rPr>
          <w:rFonts w:ascii="Arial" w:hAnsi="Arial" w:cs="Arial"/>
          <w:sz w:val="24"/>
          <w:szCs w:val="24"/>
        </w:rPr>
      </w:pPr>
      <w:r w:rsidRPr="003755C0">
        <w:rPr>
          <w:rFonts w:ascii="Arial" w:hAnsi="Arial" w:cs="Arial"/>
          <w:b/>
          <w:sz w:val="24"/>
          <w:szCs w:val="24"/>
        </w:rPr>
        <w:t>Isso não afasta, porém, a possibilidade de que essas empresas possam ter fruído benefícios irregularmente antes da declaração da Superintendência da Receita Estadual</w:t>
      </w:r>
      <w:r>
        <w:rPr>
          <w:rFonts w:ascii="Arial" w:hAnsi="Arial" w:cs="Arial"/>
          <w:sz w:val="24"/>
          <w:szCs w:val="24"/>
        </w:rPr>
        <w:t xml:space="preserve">, </w:t>
      </w:r>
      <w:r w:rsidR="00DA7636">
        <w:rPr>
          <w:rFonts w:ascii="Arial" w:hAnsi="Arial" w:cs="Arial"/>
          <w:sz w:val="24"/>
          <w:szCs w:val="24"/>
        </w:rPr>
        <w:t xml:space="preserve">o que </w:t>
      </w:r>
      <w:r w:rsidR="003755C0">
        <w:rPr>
          <w:rFonts w:ascii="Arial" w:hAnsi="Arial" w:cs="Arial"/>
          <w:sz w:val="24"/>
          <w:szCs w:val="24"/>
        </w:rPr>
        <w:t xml:space="preserve">também </w:t>
      </w:r>
      <w:r w:rsidR="00DA7636">
        <w:rPr>
          <w:rFonts w:ascii="Arial" w:hAnsi="Arial" w:cs="Arial"/>
          <w:sz w:val="24"/>
          <w:szCs w:val="24"/>
        </w:rPr>
        <w:t>deverá ser devidamente apurado pela fiscalização e pelos órgãos de controle</w:t>
      </w:r>
      <w:r w:rsidR="007E4181">
        <w:rPr>
          <w:rFonts w:ascii="Arial" w:hAnsi="Arial" w:cs="Arial"/>
          <w:sz w:val="24"/>
          <w:szCs w:val="24"/>
        </w:rPr>
        <w:t xml:space="preserve"> quanto à coincidência de períodos de inscrição em dívida ativa e fruição de incentivos fiscais</w:t>
      </w:r>
      <w:r w:rsidR="00DA7636">
        <w:rPr>
          <w:rFonts w:ascii="Arial" w:hAnsi="Arial" w:cs="Arial"/>
          <w:sz w:val="24"/>
          <w:szCs w:val="24"/>
        </w:rPr>
        <w:t xml:space="preserve">. Esse primeiro grupo constitui-se </w:t>
      </w:r>
      <w:r w:rsidR="00DA7636" w:rsidRPr="00DA7636">
        <w:rPr>
          <w:rFonts w:ascii="Arial" w:hAnsi="Arial" w:cs="Arial"/>
          <w:sz w:val="24"/>
          <w:szCs w:val="24"/>
        </w:rPr>
        <w:t xml:space="preserve">de </w:t>
      </w:r>
      <w:r w:rsidR="00DA7636" w:rsidRPr="00DA7636">
        <w:rPr>
          <w:rFonts w:ascii="Arial" w:hAnsi="Arial" w:cs="Arial"/>
          <w:sz w:val="24"/>
          <w:szCs w:val="24"/>
          <w:u w:val="single"/>
        </w:rPr>
        <w:t>17 (dezessete) empresas</w:t>
      </w:r>
      <w:r w:rsidR="00DA7636" w:rsidRPr="00DA7636">
        <w:rPr>
          <w:rFonts w:ascii="Arial" w:hAnsi="Arial" w:cs="Arial"/>
          <w:sz w:val="24"/>
          <w:szCs w:val="24"/>
        </w:rPr>
        <w:t>,</w:t>
      </w:r>
      <w:r w:rsidR="00DA7636" w:rsidRPr="00DA7636">
        <w:rPr>
          <w:rFonts w:ascii="Arial" w:hAnsi="Arial" w:cs="Arial"/>
          <w:b/>
          <w:sz w:val="24"/>
          <w:szCs w:val="24"/>
        </w:rPr>
        <w:t xml:space="preserve"> </w:t>
      </w:r>
      <w:r w:rsidR="00630DF9" w:rsidRPr="00630DF9">
        <w:rPr>
          <w:rFonts w:ascii="Arial" w:hAnsi="Arial" w:cs="Arial"/>
          <w:sz w:val="24"/>
          <w:szCs w:val="24"/>
        </w:rPr>
        <w:t>cuj</w:t>
      </w:r>
      <w:r w:rsidR="00630DF9">
        <w:rPr>
          <w:rFonts w:ascii="Arial" w:hAnsi="Arial" w:cs="Arial"/>
          <w:sz w:val="24"/>
          <w:szCs w:val="24"/>
        </w:rPr>
        <w:t>o incentivo fiscal majoritariamente</w:t>
      </w:r>
      <w:r w:rsidR="00F323FF">
        <w:rPr>
          <w:rFonts w:ascii="Arial" w:hAnsi="Arial" w:cs="Arial"/>
          <w:sz w:val="24"/>
          <w:szCs w:val="24"/>
        </w:rPr>
        <w:t xml:space="preserve"> fruído </w:t>
      </w:r>
      <w:r w:rsidR="00630DF9">
        <w:rPr>
          <w:rFonts w:ascii="Arial" w:hAnsi="Arial" w:cs="Arial"/>
          <w:sz w:val="24"/>
          <w:szCs w:val="24"/>
        </w:rPr>
        <w:t>consistiu em créditos outorgados</w:t>
      </w:r>
      <w:r w:rsidR="00F323FF">
        <w:rPr>
          <w:rFonts w:ascii="Arial" w:hAnsi="Arial" w:cs="Arial"/>
          <w:sz w:val="24"/>
          <w:szCs w:val="24"/>
        </w:rPr>
        <w:t>, conforme</w:t>
      </w:r>
      <w:r w:rsidR="00630DF9">
        <w:rPr>
          <w:rFonts w:ascii="Arial" w:hAnsi="Arial" w:cs="Arial"/>
          <w:sz w:val="24"/>
          <w:szCs w:val="24"/>
        </w:rPr>
        <w:t xml:space="preserve"> </w:t>
      </w:r>
      <w:r w:rsidR="00DA7636" w:rsidRPr="00DA7636">
        <w:rPr>
          <w:rFonts w:ascii="Arial" w:hAnsi="Arial" w:cs="Arial"/>
          <w:sz w:val="24"/>
          <w:szCs w:val="24"/>
        </w:rPr>
        <w:t>rela</w:t>
      </w:r>
      <w:r w:rsidR="00F323FF">
        <w:rPr>
          <w:rFonts w:ascii="Arial" w:hAnsi="Arial" w:cs="Arial"/>
          <w:sz w:val="24"/>
          <w:szCs w:val="24"/>
        </w:rPr>
        <w:t>cionado</w:t>
      </w:r>
      <w:r w:rsidR="00DA7636" w:rsidRPr="00DA7636">
        <w:rPr>
          <w:rFonts w:ascii="Arial" w:hAnsi="Arial" w:cs="Arial"/>
          <w:sz w:val="24"/>
          <w:szCs w:val="24"/>
        </w:rPr>
        <w:t xml:space="preserve"> na tabela abaixo:</w:t>
      </w:r>
    </w:p>
    <w:p w14:paraId="546AA848" w14:textId="1B9204E0" w:rsidR="00DA7636" w:rsidRDefault="00DA7636" w:rsidP="001F658D">
      <w:pPr>
        <w:spacing w:line="360" w:lineRule="auto"/>
        <w:ind w:firstLine="851"/>
        <w:jc w:val="both"/>
        <w:rPr>
          <w:rFonts w:ascii="Arial" w:hAnsi="Arial" w:cs="Arial"/>
          <w:sz w:val="24"/>
          <w:szCs w:val="24"/>
        </w:rPr>
      </w:pPr>
    </w:p>
    <w:p w14:paraId="32E04A08" w14:textId="77777777" w:rsidR="00DA7636" w:rsidRDefault="00DA7636" w:rsidP="001F658D">
      <w:pPr>
        <w:spacing w:line="360" w:lineRule="auto"/>
        <w:ind w:firstLine="851"/>
        <w:jc w:val="both"/>
        <w:rPr>
          <w:rFonts w:ascii="Arial" w:hAnsi="Arial" w:cs="Arial"/>
          <w:sz w:val="24"/>
          <w:szCs w:val="24"/>
        </w:rPr>
      </w:pPr>
    </w:p>
    <w:p w14:paraId="1079B1ED" w14:textId="4D5FD4FD" w:rsidR="00410563" w:rsidRDefault="00410563" w:rsidP="001F658D">
      <w:pPr>
        <w:spacing w:line="360" w:lineRule="auto"/>
        <w:ind w:firstLine="851"/>
        <w:jc w:val="both"/>
        <w:rPr>
          <w:rFonts w:ascii="Arial" w:hAnsi="Arial" w:cs="Arial"/>
          <w:sz w:val="24"/>
          <w:szCs w:val="24"/>
        </w:rPr>
      </w:pPr>
    </w:p>
    <w:p w14:paraId="50E9C755" w14:textId="0394DD8A" w:rsidR="00410563" w:rsidRDefault="00410563" w:rsidP="001F658D">
      <w:pPr>
        <w:spacing w:line="360" w:lineRule="auto"/>
        <w:ind w:firstLine="851"/>
        <w:jc w:val="both"/>
        <w:rPr>
          <w:rFonts w:ascii="Arial" w:hAnsi="Arial" w:cs="Arial"/>
          <w:sz w:val="24"/>
          <w:szCs w:val="24"/>
        </w:rPr>
      </w:pPr>
    </w:p>
    <w:p w14:paraId="0103B481" w14:textId="7D6FE0E3" w:rsidR="00410563" w:rsidRDefault="00410563" w:rsidP="001F658D">
      <w:pPr>
        <w:spacing w:line="360" w:lineRule="auto"/>
        <w:ind w:firstLine="851"/>
        <w:jc w:val="both"/>
        <w:rPr>
          <w:rFonts w:ascii="Arial" w:hAnsi="Arial" w:cs="Arial"/>
          <w:sz w:val="24"/>
          <w:szCs w:val="24"/>
        </w:rPr>
      </w:pPr>
    </w:p>
    <w:p w14:paraId="42AA6EF6" w14:textId="77777777" w:rsidR="00A7203C" w:rsidRDefault="00A7203C" w:rsidP="001F658D">
      <w:pPr>
        <w:spacing w:line="360" w:lineRule="auto"/>
        <w:ind w:firstLine="851"/>
        <w:jc w:val="both"/>
        <w:rPr>
          <w:rFonts w:ascii="Arial" w:hAnsi="Arial" w:cs="Arial"/>
          <w:sz w:val="24"/>
          <w:szCs w:val="24"/>
        </w:rPr>
        <w:sectPr w:rsidR="00A7203C" w:rsidSect="00CA1C22">
          <w:pgSz w:w="11900" w:h="16840"/>
          <w:pgMar w:top="2268" w:right="851" w:bottom="1134" w:left="1701" w:header="567" w:footer="284" w:gutter="0"/>
          <w:cols w:space="708"/>
          <w:docGrid w:linePitch="360"/>
        </w:sectPr>
      </w:pPr>
    </w:p>
    <w:p w14:paraId="126AAEE8" w14:textId="6C4A0C3A" w:rsidR="00D74FBC" w:rsidRDefault="00D74FBC" w:rsidP="001F658D">
      <w:pPr>
        <w:spacing w:line="360" w:lineRule="auto"/>
        <w:ind w:firstLine="851"/>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2151"/>
        <w:gridCol w:w="3830"/>
        <w:gridCol w:w="1697"/>
        <w:gridCol w:w="2529"/>
        <w:gridCol w:w="1418"/>
        <w:gridCol w:w="1803"/>
      </w:tblGrid>
      <w:tr w:rsidR="00187917" w14:paraId="58F6BC3A" w14:textId="216EDC31" w:rsidTr="004B7C82">
        <w:trPr>
          <w:jc w:val="center"/>
        </w:trPr>
        <w:tc>
          <w:tcPr>
            <w:tcW w:w="2151" w:type="dxa"/>
            <w:shd w:val="clear" w:color="auto" w:fill="D9D9D9" w:themeFill="background1" w:themeFillShade="D9"/>
          </w:tcPr>
          <w:p w14:paraId="0B682635" w14:textId="5F64A039" w:rsidR="00187917" w:rsidRDefault="00187917" w:rsidP="00D74FBC">
            <w:pPr>
              <w:spacing w:line="360" w:lineRule="auto"/>
              <w:jc w:val="center"/>
              <w:rPr>
                <w:rFonts w:ascii="Arial" w:hAnsi="Arial" w:cs="Arial"/>
                <w:sz w:val="24"/>
                <w:szCs w:val="24"/>
              </w:rPr>
            </w:pPr>
            <w:r w:rsidRPr="0027044F">
              <w:rPr>
                <w:rFonts w:ascii="Arial" w:hAnsi="Arial" w:cs="Arial"/>
                <w:b/>
                <w:bCs/>
                <w:color w:val="000000"/>
                <w:sz w:val="24"/>
                <w:szCs w:val="24"/>
                <w:bdr w:val="none" w:sz="0" w:space="0" w:color="auto" w:frame="1"/>
              </w:rPr>
              <w:t>ATO DECLARATÓRIO</w:t>
            </w:r>
          </w:p>
        </w:tc>
        <w:tc>
          <w:tcPr>
            <w:tcW w:w="3830" w:type="dxa"/>
            <w:shd w:val="clear" w:color="auto" w:fill="D9D9D9" w:themeFill="background1" w:themeFillShade="D9"/>
          </w:tcPr>
          <w:p w14:paraId="358E6E3C" w14:textId="04789CB4" w:rsidR="00187917" w:rsidRDefault="00187917" w:rsidP="00D74FBC">
            <w:pPr>
              <w:spacing w:line="360" w:lineRule="auto"/>
              <w:jc w:val="center"/>
              <w:rPr>
                <w:rFonts w:ascii="Arial" w:hAnsi="Arial" w:cs="Arial"/>
                <w:sz w:val="24"/>
                <w:szCs w:val="24"/>
              </w:rPr>
            </w:pPr>
            <w:r w:rsidRPr="0027044F">
              <w:rPr>
                <w:rFonts w:ascii="Arial" w:hAnsi="Arial" w:cs="Arial"/>
                <w:b/>
                <w:bCs/>
                <w:color w:val="000000"/>
                <w:sz w:val="24"/>
                <w:szCs w:val="24"/>
                <w:bdr w:val="none" w:sz="0" w:space="0" w:color="auto" w:frame="1"/>
              </w:rPr>
              <w:t>EMPRESA</w:t>
            </w:r>
            <w:r>
              <w:rPr>
                <w:rFonts w:ascii="Arial" w:hAnsi="Arial" w:cs="Arial"/>
                <w:b/>
                <w:bCs/>
                <w:color w:val="000000"/>
                <w:sz w:val="24"/>
                <w:szCs w:val="24"/>
                <w:bdr w:val="none" w:sz="0" w:space="0" w:color="auto" w:frame="1"/>
              </w:rPr>
              <w:t xml:space="preserve"> / RAZÃO SOCIAL</w:t>
            </w:r>
          </w:p>
        </w:tc>
        <w:tc>
          <w:tcPr>
            <w:tcW w:w="1697" w:type="dxa"/>
            <w:shd w:val="clear" w:color="auto" w:fill="D9D9D9" w:themeFill="background1" w:themeFillShade="D9"/>
          </w:tcPr>
          <w:p w14:paraId="3486CC3B" w14:textId="77777777" w:rsidR="00187917" w:rsidRDefault="00187917" w:rsidP="00D74FBC">
            <w:pPr>
              <w:jc w:val="center"/>
              <w:rPr>
                <w:rFonts w:ascii="Arial" w:hAnsi="Arial" w:cs="Arial"/>
                <w:b/>
                <w:bCs/>
                <w:color w:val="000000"/>
                <w:sz w:val="24"/>
                <w:szCs w:val="24"/>
                <w:bdr w:val="none" w:sz="0" w:space="0" w:color="auto" w:frame="1"/>
              </w:rPr>
            </w:pPr>
            <w:r w:rsidRPr="0027044F">
              <w:rPr>
                <w:rFonts w:ascii="Arial" w:hAnsi="Arial" w:cs="Arial"/>
                <w:b/>
                <w:bCs/>
                <w:color w:val="000000"/>
                <w:sz w:val="24"/>
                <w:szCs w:val="24"/>
                <w:bdr w:val="none" w:sz="0" w:space="0" w:color="auto" w:frame="1"/>
              </w:rPr>
              <w:t>INSCRIÇÃO</w:t>
            </w:r>
          </w:p>
          <w:p w14:paraId="3427C95E" w14:textId="3255D54B" w:rsidR="00187917" w:rsidRDefault="00187917" w:rsidP="00D74FBC">
            <w:pPr>
              <w:spacing w:line="360" w:lineRule="auto"/>
              <w:jc w:val="center"/>
              <w:rPr>
                <w:rFonts w:ascii="Arial" w:hAnsi="Arial" w:cs="Arial"/>
                <w:sz w:val="24"/>
                <w:szCs w:val="24"/>
              </w:rPr>
            </w:pPr>
            <w:r>
              <w:rPr>
                <w:rFonts w:ascii="Arial" w:hAnsi="Arial" w:cs="Arial"/>
                <w:b/>
                <w:bCs/>
                <w:color w:val="000000"/>
                <w:sz w:val="24"/>
                <w:szCs w:val="24"/>
                <w:bdr w:val="none" w:sz="0" w:space="0" w:color="auto" w:frame="1"/>
              </w:rPr>
              <w:t>ESTADUAL</w:t>
            </w:r>
          </w:p>
        </w:tc>
        <w:tc>
          <w:tcPr>
            <w:tcW w:w="2529" w:type="dxa"/>
            <w:shd w:val="clear" w:color="auto" w:fill="D9D9D9" w:themeFill="background1" w:themeFillShade="D9"/>
          </w:tcPr>
          <w:p w14:paraId="7564DF41" w14:textId="768F388C" w:rsidR="00187917" w:rsidRPr="00D74FBC" w:rsidRDefault="00187917" w:rsidP="00D74FBC">
            <w:pPr>
              <w:spacing w:line="360" w:lineRule="auto"/>
              <w:jc w:val="center"/>
              <w:rPr>
                <w:rFonts w:ascii="Arial" w:hAnsi="Arial" w:cs="Arial"/>
                <w:b/>
                <w:sz w:val="24"/>
                <w:szCs w:val="24"/>
              </w:rPr>
            </w:pPr>
            <w:r w:rsidRPr="00D74FBC">
              <w:rPr>
                <w:rFonts w:ascii="Arial" w:hAnsi="Arial" w:cs="Arial"/>
                <w:b/>
                <w:sz w:val="24"/>
                <w:szCs w:val="24"/>
              </w:rPr>
              <w:t>CNPJ/MF</w:t>
            </w:r>
          </w:p>
        </w:tc>
        <w:tc>
          <w:tcPr>
            <w:tcW w:w="1418" w:type="dxa"/>
            <w:shd w:val="clear" w:color="auto" w:fill="D9D9D9" w:themeFill="background1" w:themeFillShade="D9"/>
          </w:tcPr>
          <w:p w14:paraId="39D5C516" w14:textId="6B8DF007" w:rsidR="00187917" w:rsidRPr="00D74FBC" w:rsidRDefault="00187917" w:rsidP="00D74FBC">
            <w:pPr>
              <w:spacing w:line="360" w:lineRule="auto"/>
              <w:jc w:val="center"/>
              <w:rPr>
                <w:rFonts w:ascii="Arial" w:hAnsi="Arial" w:cs="Arial"/>
                <w:b/>
                <w:sz w:val="24"/>
                <w:szCs w:val="24"/>
              </w:rPr>
            </w:pPr>
            <w:r w:rsidRPr="00D74FBC">
              <w:rPr>
                <w:rFonts w:ascii="Arial" w:hAnsi="Arial" w:cs="Arial"/>
                <w:b/>
                <w:sz w:val="24"/>
                <w:szCs w:val="24"/>
              </w:rPr>
              <w:t>DOE</w:t>
            </w:r>
          </w:p>
        </w:tc>
        <w:tc>
          <w:tcPr>
            <w:tcW w:w="1803" w:type="dxa"/>
            <w:shd w:val="clear" w:color="auto" w:fill="D9D9D9" w:themeFill="background1" w:themeFillShade="D9"/>
          </w:tcPr>
          <w:p w14:paraId="350207FD" w14:textId="40E7A40F" w:rsidR="00187917" w:rsidRPr="00D74FBC" w:rsidRDefault="00187917" w:rsidP="00511C84">
            <w:pPr>
              <w:spacing w:line="360" w:lineRule="auto"/>
              <w:jc w:val="center"/>
              <w:rPr>
                <w:rFonts w:ascii="Arial" w:hAnsi="Arial" w:cs="Arial"/>
                <w:b/>
                <w:sz w:val="24"/>
                <w:szCs w:val="24"/>
              </w:rPr>
            </w:pPr>
            <w:r>
              <w:rPr>
                <w:rFonts w:ascii="Arial" w:hAnsi="Arial" w:cs="Arial"/>
                <w:b/>
                <w:sz w:val="24"/>
                <w:szCs w:val="24"/>
              </w:rPr>
              <w:t>BENEFÍCIO</w:t>
            </w:r>
            <w:r w:rsidR="00633599">
              <w:rPr>
                <w:rFonts w:ascii="Arial" w:hAnsi="Arial" w:cs="Arial"/>
                <w:b/>
                <w:sz w:val="24"/>
                <w:szCs w:val="24"/>
              </w:rPr>
              <w:t>S</w:t>
            </w:r>
            <w:r w:rsidR="00511C84">
              <w:rPr>
                <w:rFonts w:ascii="Arial" w:hAnsi="Arial" w:cs="Arial"/>
                <w:b/>
                <w:sz w:val="24"/>
                <w:szCs w:val="24"/>
              </w:rPr>
              <w:t xml:space="preserve"> E</w:t>
            </w:r>
            <w:r w:rsidR="00D2506A">
              <w:rPr>
                <w:rFonts w:ascii="Arial" w:hAnsi="Arial" w:cs="Arial"/>
                <w:b/>
                <w:sz w:val="24"/>
                <w:szCs w:val="24"/>
              </w:rPr>
              <w:t xml:space="preserve"> </w:t>
            </w:r>
            <w:r w:rsidR="00511C84">
              <w:rPr>
                <w:rFonts w:ascii="Arial" w:hAnsi="Arial" w:cs="Arial"/>
                <w:b/>
                <w:sz w:val="24"/>
                <w:szCs w:val="24"/>
              </w:rPr>
              <w:t>PERÍODO DE FRUIÇÃO</w:t>
            </w:r>
          </w:p>
        </w:tc>
      </w:tr>
      <w:tr w:rsidR="00187917" w14:paraId="26F9DE0A" w14:textId="29F933A0" w:rsidTr="004B7C82">
        <w:trPr>
          <w:jc w:val="center"/>
        </w:trPr>
        <w:tc>
          <w:tcPr>
            <w:tcW w:w="2151" w:type="dxa"/>
            <w:vAlign w:val="bottom"/>
          </w:tcPr>
          <w:p w14:paraId="0C9FD1BE" w14:textId="321F9F7D" w:rsidR="00187917" w:rsidRDefault="00D2506A" w:rsidP="00187917">
            <w:pPr>
              <w:spacing w:line="360" w:lineRule="auto"/>
              <w:jc w:val="center"/>
              <w:rPr>
                <w:rFonts w:ascii="Arial" w:hAnsi="Arial" w:cs="Arial"/>
                <w:sz w:val="24"/>
                <w:szCs w:val="24"/>
              </w:rPr>
            </w:pPr>
            <w:r w:rsidRPr="0027044F">
              <w:rPr>
                <w:rFonts w:ascii="Arial" w:hAnsi="Arial" w:cs="Arial"/>
                <w:color w:val="000000"/>
                <w:sz w:val="24"/>
                <w:szCs w:val="24"/>
              </w:rPr>
              <w:t>002/2017-SRE</w:t>
            </w:r>
          </w:p>
        </w:tc>
        <w:tc>
          <w:tcPr>
            <w:tcW w:w="3830" w:type="dxa"/>
            <w:vAlign w:val="bottom"/>
          </w:tcPr>
          <w:p w14:paraId="6A3E233D" w14:textId="1E595CE3" w:rsidR="00187917" w:rsidRDefault="00187917" w:rsidP="00187917">
            <w:pPr>
              <w:spacing w:line="360" w:lineRule="auto"/>
              <w:jc w:val="center"/>
              <w:rPr>
                <w:rFonts w:ascii="Arial" w:hAnsi="Arial" w:cs="Arial"/>
                <w:sz w:val="24"/>
                <w:szCs w:val="24"/>
              </w:rPr>
            </w:pPr>
            <w:r w:rsidRPr="0027044F">
              <w:rPr>
                <w:rFonts w:ascii="Arial" w:hAnsi="Arial" w:cs="Arial"/>
                <w:color w:val="000000"/>
                <w:sz w:val="24"/>
                <w:szCs w:val="24"/>
              </w:rPr>
              <w:t xml:space="preserve">Frigorifico Frigoforte Ltda </w:t>
            </w:r>
            <w:r w:rsidR="00D95D9E">
              <w:rPr>
                <w:rFonts w:ascii="Arial" w:hAnsi="Arial" w:cs="Arial"/>
                <w:color w:val="000000"/>
                <w:sz w:val="24"/>
                <w:szCs w:val="24"/>
              </w:rPr>
              <w:t>–</w:t>
            </w:r>
            <w:r w:rsidRPr="0027044F">
              <w:rPr>
                <w:rFonts w:ascii="Arial" w:hAnsi="Arial" w:cs="Arial"/>
                <w:color w:val="000000"/>
                <w:sz w:val="24"/>
                <w:szCs w:val="24"/>
              </w:rPr>
              <w:t xml:space="preserve"> </w:t>
            </w:r>
            <w:r w:rsidR="00D95D9E" w:rsidRPr="0027044F">
              <w:rPr>
                <w:rFonts w:ascii="Arial" w:hAnsi="Arial" w:cs="Arial"/>
                <w:color w:val="000000"/>
                <w:sz w:val="24"/>
                <w:szCs w:val="24"/>
              </w:rPr>
              <w:t>ME</w:t>
            </w:r>
          </w:p>
        </w:tc>
        <w:tc>
          <w:tcPr>
            <w:tcW w:w="1697" w:type="dxa"/>
            <w:vAlign w:val="bottom"/>
          </w:tcPr>
          <w:p w14:paraId="6CDAC45B" w14:textId="6FC2BF2D" w:rsidR="00187917" w:rsidRDefault="00187917" w:rsidP="00187917">
            <w:pPr>
              <w:spacing w:line="360" w:lineRule="auto"/>
              <w:jc w:val="center"/>
              <w:rPr>
                <w:rFonts w:ascii="Arial" w:hAnsi="Arial" w:cs="Arial"/>
                <w:sz w:val="24"/>
                <w:szCs w:val="24"/>
              </w:rPr>
            </w:pPr>
            <w:r w:rsidRPr="0027044F">
              <w:rPr>
                <w:rFonts w:ascii="Arial" w:hAnsi="Arial" w:cs="Arial"/>
                <w:color w:val="000000"/>
                <w:sz w:val="24"/>
                <w:szCs w:val="24"/>
              </w:rPr>
              <w:t>10</w:t>
            </w:r>
            <w:r w:rsidR="00796682">
              <w:rPr>
                <w:rFonts w:ascii="Arial" w:hAnsi="Arial" w:cs="Arial"/>
                <w:color w:val="000000"/>
                <w:sz w:val="24"/>
                <w:szCs w:val="24"/>
              </w:rPr>
              <w:t>.</w:t>
            </w:r>
            <w:r w:rsidRPr="0027044F">
              <w:rPr>
                <w:rFonts w:ascii="Arial" w:hAnsi="Arial" w:cs="Arial"/>
                <w:color w:val="000000"/>
                <w:sz w:val="24"/>
                <w:szCs w:val="24"/>
              </w:rPr>
              <w:t>198415</w:t>
            </w:r>
            <w:r w:rsidR="00796682">
              <w:rPr>
                <w:rFonts w:ascii="Arial" w:hAnsi="Arial" w:cs="Arial"/>
                <w:color w:val="000000"/>
                <w:sz w:val="24"/>
                <w:szCs w:val="24"/>
              </w:rPr>
              <w:t>-</w:t>
            </w:r>
            <w:r w:rsidRPr="0027044F">
              <w:rPr>
                <w:rFonts w:ascii="Arial" w:hAnsi="Arial" w:cs="Arial"/>
                <w:color w:val="000000"/>
                <w:sz w:val="24"/>
                <w:szCs w:val="24"/>
              </w:rPr>
              <w:t>4</w:t>
            </w:r>
          </w:p>
        </w:tc>
        <w:tc>
          <w:tcPr>
            <w:tcW w:w="2529" w:type="dxa"/>
            <w:vAlign w:val="bottom"/>
          </w:tcPr>
          <w:p w14:paraId="1FABD82A" w14:textId="268A09D6" w:rsidR="00187917" w:rsidRDefault="00187917" w:rsidP="00187917">
            <w:pPr>
              <w:spacing w:line="360" w:lineRule="auto"/>
              <w:jc w:val="center"/>
              <w:rPr>
                <w:rFonts w:ascii="Arial" w:hAnsi="Arial" w:cs="Arial"/>
                <w:sz w:val="24"/>
                <w:szCs w:val="24"/>
              </w:rPr>
            </w:pPr>
            <w:r w:rsidRPr="0027044F">
              <w:rPr>
                <w:rFonts w:ascii="Arial" w:hAnsi="Arial" w:cs="Arial"/>
                <w:color w:val="000000"/>
                <w:sz w:val="24"/>
                <w:szCs w:val="24"/>
              </w:rPr>
              <w:t>25</w:t>
            </w:r>
            <w:r>
              <w:rPr>
                <w:rFonts w:ascii="Arial" w:hAnsi="Arial" w:cs="Arial"/>
                <w:color w:val="000000"/>
                <w:sz w:val="24"/>
                <w:szCs w:val="24"/>
              </w:rPr>
              <w:t>.</w:t>
            </w:r>
            <w:r w:rsidRPr="0027044F">
              <w:rPr>
                <w:rFonts w:ascii="Arial" w:hAnsi="Arial" w:cs="Arial"/>
                <w:color w:val="000000"/>
                <w:sz w:val="24"/>
                <w:szCs w:val="24"/>
              </w:rPr>
              <w:t>127</w:t>
            </w:r>
            <w:r>
              <w:rPr>
                <w:rFonts w:ascii="Arial" w:hAnsi="Arial" w:cs="Arial"/>
                <w:color w:val="000000"/>
                <w:sz w:val="24"/>
                <w:szCs w:val="24"/>
              </w:rPr>
              <w:t>.</w:t>
            </w:r>
            <w:r w:rsidRPr="0027044F">
              <w:rPr>
                <w:rFonts w:ascii="Arial" w:hAnsi="Arial" w:cs="Arial"/>
                <w:color w:val="000000"/>
                <w:sz w:val="24"/>
                <w:szCs w:val="24"/>
              </w:rPr>
              <w:t>978/0001-40</w:t>
            </w:r>
          </w:p>
        </w:tc>
        <w:tc>
          <w:tcPr>
            <w:tcW w:w="1418" w:type="dxa"/>
            <w:vAlign w:val="bottom"/>
          </w:tcPr>
          <w:p w14:paraId="1E907589" w14:textId="544713C7" w:rsidR="00187917" w:rsidRDefault="00187917" w:rsidP="00187917">
            <w:pPr>
              <w:spacing w:line="360" w:lineRule="auto"/>
              <w:jc w:val="center"/>
              <w:rPr>
                <w:rFonts w:ascii="Arial" w:hAnsi="Arial" w:cs="Arial"/>
                <w:sz w:val="24"/>
                <w:szCs w:val="24"/>
              </w:rPr>
            </w:pPr>
            <w:r w:rsidRPr="0027044F">
              <w:rPr>
                <w:rFonts w:ascii="Arial" w:hAnsi="Arial" w:cs="Arial"/>
                <w:color w:val="000000"/>
                <w:sz w:val="24"/>
                <w:szCs w:val="24"/>
              </w:rPr>
              <w:t>12/12/2017</w:t>
            </w:r>
          </w:p>
        </w:tc>
        <w:tc>
          <w:tcPr>
            <w:tcW w:w="1803" w:type="dxa"/>
          </w:tcPr>
          <w:p w14:paraId="12E56155" w14:textId="38F55C00" w:rsidR="00D2506A" w:rsidRDefault="00256C45" w:rsidP="00187917">
            <w:pPr>
              <w:spacing w:line="360" w:lineRule="auto"/>
              <w:jc w:val="center"/>
              <w:rPr>
                <w:rFonts w:ascii="Arial" w:hAnsi="Arial" w:cs="Arial"/>
                <w:color w:val="000000"/>
                <w:sz w:val="24"/>
                <w:szCs w:val="24"/>
              </w:rPr>
            </w:pPr>
            <w:r w:rsidRPr="009E51E8">
              <w:rPr>
                <w:rFonts w:ascii="Arial" w:hAnsi="Arial" w:cs="Arial"/>
                <w:b/>
                <w:color w:val="000000"/>
                <w:sz w:val="24"/>
                <w:szCs w:val="24"/>
              </w:rPr>
              <w:t>CO</w:t>
            </w:r>
          </w:p>
          <w:p w14:paraId="583E5C3D" w14:textId="62ACC05F" w:rsidR="00187917" w:rsidRPr="0027044F" w:rsidRDefault="00D2506A" w:rsidP="00187917">
            <w:pPr>
              <w:spacing w:line="360" w:lineRule="auto"/>
              <w:jc w:val="center"/>
              <w:rPr>
                <w:rFonts w:ascii="Arial" w:hAnsi="Arial" w:cs="Arial"/>
                <w:color w:val="000000"/>
                <w:sz w:val="24"/>
                <w:szCs w:val="24"/>
              </w:rPr>
            </w:pPr>
            <w:r>
              <w:rPr>
                <w:rFonts w:ascii="Arial" w:hAnsi="Arial" w:cs="Arial"/>
                <w:color w:val="000000"/>
                <w:sz w:val="24"/>
                <w:szCs w:val="24"/>
              </w:rPr>
              <w:t>2014</w:t>
            </w:r>
            <w:r w:rsidR="00D84442">
              <w:rPr>
                <w:rFonts w:ascii="Arial" w:hAnsi="Arial" w:cs="Arial"/>
                <w:color w:val="000000"/>
                <w:sz w:val="24"/>
                <w:szCs w:val="24"/>
              </w:rPr>
              <w:t xml:space="preserve"> a</w:t>
            </w:r>
            <w:r>
              <w:rPr>
                <w:rFonts w:ascii="Arial" w:hAnsi="Arial" w:cs="Arial"/>
                <w:color w:val="000000"/>
                <w:sz w:val="24"/>
                <w:szCs w:val="24"/>
              </w:rPr>
              <w:t xml:space="preserve"> 2018</w:t>
            </w:r>
          </w:p>
        </w:tc>
      </w:tr>
      <w:tr w:rsidR="00B73ACA" w14:paraId="3973200F" w14:textId="6B656534" w:rsidTr="004B7C82">
        <w:trPr>
          <w:jc w:val="center"/>
        </w:trPr>
        <w:tc>
          <w:tcPr>
            <w:tcW w:w="2151" w:type="dxa"/>
            <w:vAlign w:val="bottom"/>
          </w:tcPr>
          <w:p w14:paraId="5AC7F43B" w14:textId="5CA08FCA" w:rsidR="00B73ACA" w:rsidRDefault="00B73ACA" w:rsidP="00B73ACA">
            <w:pPr>
              <w:spacing w:line="360" w:lineRule="auto"/>
              <w:jc w:val="center"/>
              <w:rPr>
                <w:rFonts w:ascii="Arial" w:hAnsi="Arial" w:cs="Arial"/>
                <w:sz w:val="24"/>
                <w:szCs w:val="24"/>
              </w:rPr>
            </w:pPr>
            <w:r w:rsidRPr="00B73ACA">
              <w:rPr>
                <w:rFonts w:ascii="Arial" w:hAnsi="Arial" w:cs="Arial"/>
                <w:color w:val="000000"/>
                <w:sz w:val="24"/>
                <w:szCs w:val="24"/>
              </w:rPr>
              <w:t>004/2017-SRE</w:t>
            </w:r>
          </w:p>
        </w:tc>
        <w:tc>
          <w:tcPr>
            <w:tcW w:w="3830" w:type="dxa"/>
            <w:vAlign w:val="bottom"/>
          </w:tcPr>
          <w:p w14:paraId="43F16A07" w14:textId="16B9313F" w:rsidR="00B73ACA" w:rsidRDefault="00B73ACA" w:rsidP="00B73ACA">
            <w:pPr>
              <w:spacing w:line="360" w:lineRule="auto"/>
              <w:jc w:val="center"/>
              <w:rPr>
                <w:rFonts w:ascii="Arial" w:hAnsi="Arial" w:cs="Arial"/>
                <w:sz w:val="24"/>
                <w:szCs w:val="24"/>
              </w:rPr>
            </w:pPr>
            <w:r w:rsidRPr="00B73ACA">
              <w:rPr>
                <w:rFonts w:ascii="Arial" w:hAnsi="Arial" w:cs="Arial"/>
                <w:color w:val="000000"/>
                <w:sz w:val="24"/>
                <w:szCs w:val="24"/>
              </w:rPr>
              <w:t>Expresso São Luiz Ltda</w:t>
            </w:r>
          </w:p>
        </w:tc>
        <w:tc>
          <w:tcPr>
            <w:tcW w:w="1697" w:type="dxa"/>
            <w:vAlign w:val="bottom"/>
          </w:tcPr>
          <w:p w14:paraId="1F7D6C48" w14:textId="65F730AC" w:rsidR="00B73ACA" w:rsidRDefault="00B73ACA" w:rsidP="00B73ACA">
            <w:pPr>
              <w:spacing w:line="360" w:lineRule="auto"/>
              <w:jc w:val="center"/>
              <w:rPr>
                <w:rFonts w:ascii="Arial" w:hAnsi="Arial" w:cs="Arial"/>
                <w:sz w:val="24"/>
                <w:szCs w:val="24"/>
              </w:rPr>
            </w:pPr>
            <w:r w:rsidRPr="00B73ACA">
              <w:rPr>
                <w:rFonts w:ascii="Arial" w:hAnsi="Arial" w:cs="Arial"/>
                <w:color w:val="000000"/>
                <w:sz w:val="24"/>
                <w:szCs w:val="24"/>
              </w:rPr>
              <w:t>10</w:t>
            </w:r>
            <w:r w:rsidR="00796682">
              <w:rPr>
                <w:rFonts w:ascii="Arial" w:hAnsi="Arial" w:cs="Arial"/>
                <w:color w:val="000000"/>
                <w:sz w:val="24"/>
                <w:szCs w:val="24"/>
              </w:rPr>
              <w:t>.</w:t>
            </w:r>
            <w:r w:rsidRPr="00B73ACA">
              <w:rPr>
                <w:rFonts w:ascii="Arial" w:hAnsi="Arial" w:cs="Arial"/>
                <w:color w:val="000000"/>
                <w:sz w:val="24"/>
                <w:szCs w:val="24"/>
              </w:rPr>
              <w:t>040260</w:t>
            </w:r>
            <w:r w:rsidR="00796682">
              <w:rPr>
                <w:rFonts w:ascii="Arial" w:hAnsi="Arial" w:cs="Arial"/>
                <w:color w:val="000000"/>
                <w:sz w:val="24"/>
                <w:szCs w:val="24"/>
              </w:rPr>
              <w:t>-</w:t>
            </w:r>
            <w:r w:rsidRPr="00B73ACA">
              <w:rPr>
                <w:rFonts w:ascii="Arial" w:hAnsi="Arial" w:cs="Arial"/>
                <w:color w:val="000000"/>
                <w:sz w:val="24"/>
                <w:szCs w:val="24"/>
              </w:rPr>
              <w:t>7</w:t>
            </w:r>
          </w:p>
        </w:tc>
        <w:tc>
          <w:tcPr>
            <w:tcW w:w="2529" w:type="dxa"/>
            <w:vAlign w:val="bottom"/>
          </w:tcPr>
          <w:p w14:paraId="29AFC28D" w14:textId="6ADDEF52" w:rsidR="00B73ACA" w:rsidRDefault="00B73ACA" w:rsidP="00B73ACA">
            <w:pPr>
              <w:spacing w:line="360" w:lineRule="auto"/>
              <w:jc w:val="center"/>
              <w:rPr>
                <w:rFonts w:ascii="Arial" w:hAnsi="Arial" w:cs="Arial"/>
                <w:sz w:val="24"/>
                <w:szCs w:val="24"/>
              </w:rPr>
            </w:pPr>
            <w:r w:rsidRPr="00B73ACA">
              <w:rPr>
                <w:rFonts w:ascii="Arial" w:hAnsi="Arial" w:cs="Arial"/>
                <w:color w:val="000000"/>
                <w:sz w:val="24"/>
                <w:szCs w:val="24"/>
              </w:rPr>
              <w:t>01</w:t>
            </w:r>
            <w:r w:rsidR="00806A2F">
              <w:rPr>
                <w:rFonts w:ascii="Arial" w:hAnsi="Arial" w:cs="Arial"/>
                <w:color w:val="000000"/>
                <w:sz w:val="24"/>
                <w:szCs w:val="24"/>
              </w:rPr>
              <w:t>.</w:t>
            </w:r>
            <w:r w:rsidRPr="00B73ACA">
              <w:rPr>
                <w:rFonts w:ascii="Arial" w:hAnsi="Arial" w:cs="Arial"/>
                <w:color w:val="000000"/>
                <w:sz w:val="24"/>
                <w:szCs w:val="24"/>
              </w:rPr>
              <w:t>543</w:t>
            </w:r>
            <w:r w:rsidR="00806A2F">
              <w:rPr>
                <w:rFonts w:ascii="Arial" w:hAnsi="Arial" w:cs="Arial"/>
                <w:color w:val="000000"/>
                <w:sz w:val="24"/>
                <w:szCs w:val="24"/>
              </w:rPr>
              <w:t>.</w:t>
            </w:r>
            <w:r w:rsidRPr="00B73ACA">
              <w:rPr>
                <w:rFonts w:ascii="Arial" w:hAnsi="Arial" w:cs="Arial"/>
                <w:color w:val="000000"/>
                <w:sz w:val="24"/>
                <w:szCs w:val="24"/>
              </w:rPr>
              <w:t>354/0001-45</w:t>
            </w:r>
          </w:p>
        </w:tc>
        <w:tc>
          <w:tcPr>
            <w:tcW w:w="1418" w:type="dxa"/>
            <w:vAlign w:val="bottom"/>
          </w:tcPr>
          <w:p w14:paraId="56C75E22" w14:textId="646BD2A8" w:rsidR="00B73ACA" w:rsidRDefault="00B73ACA" w:rsidP="00B73ACA">
            <w:pPr>
              <w:spacing w:line="360" w:lineRule="auto"/>
              <w:jc w:val="center"/>
              <w:rPr>
                <w:rFonts w:ascii="Arial" w:hAnsi="Arial" w:cs="Arial"/>
                <w:sz w:val="24"/>
                <w:szCs w:val="24"/>
              </w:rPr>
            </w:pPr>
            <w:r w:rsidRPr="00B73ACA">
              <w:rPr>
                <w:rFonts w:ascii="Arial" w:hAnsi="Arial" w:cs="Arial"/>
                <w:color w:val="000000"/>
                <w:sz w:val="24"/>
                <w:szCs w:val="24"/>
              </w:rPr>
              <w:t>12/12/2017</w:t>
            </w:r>
          </w:p>
        </w:tc>
        <w:tc>
          <w:tcPr>
            <w:tcW w:w="1803" w:type="dxa"/>
          </w:tcPr>
          <w:p w14:paraId="2E6BD6AF" w14:textId="77777777" w:rsidR="00D84442" w:rsidRDefault="00B73ACA" w:rsidP="00D84442">
            <w:pPr>
              <w:spacing w:line="360" w:lineRule="auto"/>
              <w:jc w:val="center"/>
              <w:rPr>
                <w:rFonts w:ascii="Arial" w:hAnsi="Arial" w:cs="Arial"/>
                <w:sz w:val="24"/>
                <w:szCs w:val="24"/>
              </w:rPr>
            </w:pPr>
            <w:r w:rsidRPr="009E51E8">
              <w:rPr>
                <w:rFonts w:ascii="Arial" w:hAnsi="Arial" w:cs="Arial"/>
                <w:b/>
                <w:sz w:val="24"/>
                <w:szCs w:val="24"/>
              </w:rPr>
              <w:t>CO</w:t>
            </w:r>
            <w:r>
              <w:rPr>
                <w:rFonts w:ascii="Arial" w:hAnsi="Arial" w:cs="Arial"/>
                <w:sz w:val="24"/>
                <w:szCs w:val="24"/>
              </w:rPr>
              <w:t xml:space="preserve"> </w:t>
            </w:r>
          </w:p>
          <w:p w14:paraId="2BE85BF3" w14:textId="26268292" w:rsidR="00B73ACA" w:rsidRDefault="00B73ACA" w:rsidP="00D84442">
            <w:pPr>
              <w:spacing w:line="360" w:lineRule="auto"/>
              <w:jc w:val="center"/>
              <w:rPr>
                <w:rFonts w:ascii="Arial" w:hAnsi="Arial" w:cs="Arial"/>
                <w:sz w:val="24"/>
                <w:szCs w:val="24"/>
              </w:rPr>
            </w:pPr>
            <w:r>
              <w:rPr>
                <w:rFonts w:ascii="Arial" w:hAnsi="Arial" w:cs="Arial"/>
                <w:sz w:val="24"/>
                <w:szCs w:val="24"/>
              </w:rPr>
              <w:t>2018</w:t>
            </w:r>
          </w:p>
        </w:tc>
      </w:tr>
      <w:tr w:rsidR="002343A4" w14:paraId="64B0053F" w14:textId="0C1C4E06" w:rsidTr="004B7C82">
        <w:trPr>
          <w:jc w:val="center"/>
        </w:trPr>
        <w:tc>
          <w:tcPr>
            <w:tcW w:w="2151" w:type="dxa"/>
            <w:vAlign w:val="bottom"/>
          </w:tcPr>
          <w:p w14:paraId="10A1B3E6" w14:textId="7C5B4202"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006/2017-SRE</w:t>
            </w:r>
          </w:p>
        </w:tc>
        <w:tc>
          <w:tcPr>
            <w:tcW w:w="3830" w:type="dxa"/>
            <w:vAlign w:val="bottom"/>
          </w:tcPr>
          <w:p w14:paraId="267F26DE" w14:textId="54003013"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Mappisa Indústria e Comércio de Carnes Ltda</w:t>
            </w:r>
          </w:p>
        </w:tc>
        <w:tc>
          <w:tcPr>
            <w:tcW w:w="1697" w:type="dxa"/>
            <w:vAlign w:val="bottom"/>
          </w:tcPr>
          <w:p w14:paraId="7702E1D8" w14:textId="42F82B4F"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10</w:t>
            </w:r>
            <w:r w:rsidR="00796682">
              <w:rPr>
                <w:rFonts w:ascii="Arial" w:hAnsi="Arial" w:cs="Arial"/>
                <w:color w:val="000000"/>
                <w:sz w:val="24"/>
                <w:szCs w:val="24"/>
              </w:rPr>
              <w:t>.</w:t>
            </w:r>
            <w:r w:rsidRPr="002343A4">
              <w:rPr>
                <w:rFonts w:ascii="Arial" w:hAnsi="Arial" w:cs="Arial"/>
                <w:color w:val="000000"/>
                <w:sz w:val="24"/>
                <w:szCs w:val="24"/>
              </w:rPr>
              <w:t>389996</w:t>
            </w:r>
            <w:r w:rsidR="00796682">
              <w:rPr>
                <w:rFonts w:ascii="Arial" w:hAnsi="Arial" w:cs="Arial"/>
                <w:color w:val="000000"/>
                <w:sz w:val="24"/>
                <w:szCs w:val="24"/>
              </w:rPr>
              <w:t>-</w:t>
            </w:r>
            <w:r w:rsidRPr="002343A4">
              <w:rPr>
                <w:rFonts w:ascii="Arial" w:hAnsi="Arial" w:cs="Arial"/>
                <w:color w:val="000000"/>
                <w:sz w:val="24"/>
                <w:szCs w:val="24"/>
              </w:rPr>
              <w:t>0</w:t>
            </w:r>
          </w:p>
        </w:tc>
        <w:tc>
          <w:tcPr>
            <w:tcW w:w="2529" w:type="dxa"/>
            <w:vAlign w:val="bottom"/>
          </w:tcPr>
          <w:p w14:paraId="449F1B72" w14:textId="147EB488"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07</w:t>
            </w:r>
            <w:r w:rsidR="00826AC6">
              <w:rPr>
                <w:rFonts w:ascii="Arial" w:hAnsi="Arial" w:cs="Arial"/>
                <w:color w:val="000000"/>
                <w:sz w:val="24"/>
                <w:szCs w:val="24"/>
              </w:rPr>
              <w:t>.</w:t>
            </w:r>
            <w:r w:rsidRPr="002343A4">
              <w:rPr>
                <w:rFonts w:ascii="Arial" w:hAnsi="Arial" w:cs="Arial"/>
                <w:color w:val="000000"/>
                <w:sz w:val="24"/>
                <w:szCs w:val="24"/>
              </w:rPr>
              <w:t>313</w:t>
            </w:r>
            <w:r w:rsidR="00826AC6">
              <w:rPr>
                <w:rFonts w:ascii="Arial" w:hAnsi="Arial" w:cs="Arial"/>
                <w:color w:val="000000"/>
                <w:sz w:val="24"/>
                <w:szCs w:val="24"/>
              </w:rPr>
              <w:t>.</w:t>
            </w:r>
            <w:r w:rsidRPr="002343A4">
              <w:rPr>
                <w:rFonts w:ascii="Arial" w:hAnsi="Arial" w:cs="Arial"/>
                <w:color w:val="000000"/>
                <w:sz w:val="24"/>
                <w:szCs w:val="24"/>
              </w:rPr>
              <w:t>530/0001-39</w:t>
            </w:r>
          </w:p>
        </w:tc>
        <w:tc>
          <w:tcPr>
            <w:tcW w:w="1418" w:type="dxa"/>
            <w:vAlign w:val="bottom"/>
          </w:tcPr>
          <w:p w14:paraId="26ECC78C" w14:textId="3E63D430"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14/12/2017</w:t>
            </w:r>
          </w:p>
        </w:tc>
        <w:tc>
          <w:tcPr>
            <w:tcW w:w="1803" w:type="dxa"/>
          </w:tcPr>
          <w:p w14:paraId="617E4B34" w14:textId="77777777" w:rsidR="002343A4" w:rsidRDefault="009E51E8" w:rsidP="009E51E8">
            <w:pPr>
              <w:spacing w:line="360" w:lineRule="auto"/>
              <w:jc w:val="center"/>
              <w:rPr>
                <w:rFonts w:ascii="Arial" w:hAnsi="Arial" w:cs="Arial"/>
                <w:sz w:val="24"/>
                <w:szCs w:val="24"/>
              </w:rPr>
            </w:pPr>
            <w:r w:rsidRPr="009E51E8">
              <w:rPr>
                <w:rFonts w:ascii="Arial" w:hAnsi="Arial" w:cs="Arial"/>
                <w:b/>
                <w:sz w:val="24"/>
                <w:szCs w:val="24"/>
              </w:rPr>
              <w:t>CO</w:t>
            </w:r>
          </w:p>
          <w:p w14:paraId="34EA005E" w14:textId="3958AA19" w:rsidR="009E51E8" w:rsidRDefault="009E51E8" w:rsidP="009E51E8">
            <w:pPr>
              <w:spacing w:line="360" w:lineRule="auto"/>
              <w:jc w:val="center"/>
              <w:rPr>
                <w:rFonts w:ascii="Arial" w:hAnsi="Arial" w:cs="Arial"/>
                <w:sz w:val="24"/>
                <w:szCs w:val="24"/>
              </w:rPr>
            </w:pPr>
            <w:r>
              <w:rPr>
                <w:rFonts w:ascii="Arial" w:hAnsi="Arial" w:cs="Arial"/>
                <w:sz w:val="24"/>
                <w:szCs w:val="24"/>
              </w:rPr>
              <w:t>2016 a 2018</w:t>
            </w:r>
          </w:p>
        </w:tc>
      </w:tr>
      <w:tr w:rsidR="002343A4" w14:paraId="029C1281" w14:textId="101CD4DE" w:rsidTr="004B7C82">
        <w:trPr>
          <w:jc w:val="center"/>
        </w:trPr>
        <w:tc>
          <w:tcPr>
            <w:tcW w:w="2151" w:type="dxa"/>
            <w:vAlign w:val="bottom"/>
          </w:tcPr>
          <w:p w14:paraId="4FC6355A" w14:textId="16D001DE"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007/2017-SRE</w:t>
            </w:r>
          </w:p>
        </w:tc>
        <w:tc>
          <w:tcPr>
            <w:tcW w:w="3830" w:type="dxa"/>
            <w:vAlign w:val="bottom"/>
          </w:tcPr>
          <w:p w14:paraId="01F99404" w14:textId="44E45F9D"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MA Industria e Comercio de Alimentos Ltda Me</w:t>
            </w:r>
          </w:p>
        </w:tc>
        <w:tc>
          <w:tcPr>
            <w:tcW w:w="1697" w:type="dxa"/>
            <w:vAlign w:val="bottom"/>
          </w:tcPr>
          <w:p w14:paraId="5EB01A85" w14:textId="4CCB3A9F"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10</w:t>
            </w:r>
            <w:r w:rsidR="00796682">
              <w:rPr>
                <w:rFonts w:ascii="Arial" w:hAnsi="Arial" w:cs="Arial"/>
                <w:color w:val="000000"/>
                <w:sz w:val="24"/>
                <w:szCs w:val="24"/>
              </w:rPr>
              <w:t>.</w:t>
            </w:r>
            <w:r w:rsidRPr="002343A4">
              <w:rPr>
                <w:rFonts w:ascii="Arial" w:hAnsi="Arial" w:cs="Arial"/>
                <w:color w:val="000000"/>
                <w:sz w:val="24"/>
                <w:szCs w:val="24"/>
              </w:rPr>
              <w:t>401252</w:t>
            </w:r>
            <w:r w:rsidR="00796682">
              <w:rPr>
                <w:rFonts w:ascii="Arial" w:hAnsi="Arial" w:cs="Arial"/>
                <w:color w:val="000000"/>
                <w:sz w:val="24"/>
                <w:szCs w:val="24"/>
              </w:rPr>
              <w:t>-</w:t>
            </w:r>
            <w:r w:rsidRPr="002343A4">
              <w:rPr>
                <w:rFonts w:ascii="Arial" w:hAnsi="Arial" w:cs="Arial"/>
                <w:color w:val="000000"/>
                <w:sz w:val="24"/>
                <w:szCs w:val="24"/>
              </w:rPr>
              <w:t>8</w:t>
            </w:r>
          </w:p>
        </w:tc>
        <w:tc>
          <w:tcPr>
            <w:tcW w:w="2529" w:type="dxa"/>
            <w:vAlign w:val="bottom"/>
          </w:tcPr>
          <w:p w14:paraId="24F63B95" w14:textId="6A4F36E9"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07</w:t>
            </w:r>
            <w:r w:rsidR="00826AC6">
              <w:rPr>
                <w:rFonts w:ascii="Arial" w:hAnsi="Arial" w:cs="Arial"/>
                <w:color w:val="000000"/>
                <w:sz w:val="24"/>
                <w:szCs w:val="24"/>
              </w:rPr>
              <w:t>.</w:t>
            </w:r>
            <w:r w:rsidRPr="002343A4">
              <w:rPr>
                <w:rFonts w:ascii="Arial" w:hAnsi="Arial" w:cs="Arial"/>
                <w:color w:val="000000"/>
                <w:sz w:val="24"/>
                <w:szCs w:val="24"/>
              </w:rPr>
              <w:t>763</w:t>
            </w:r>
            <w:r w:rsidR="00826AC6">
              <w:rPr>
                <w:rFonts w:ascii="Arial" w:hAnsi="Arial" w:cs="Arial"/>
                <w:color w:val="000000"/>
                <w:sz w:val="24"/>
                <w:szCs w:val="24"/>
              </w:rPr>
              <w:t>.</w:t>
            </w:r>
            <w:r w:rsidRPr="002343A4">
              <w:rPr>
                <w:rFonts w:ascii="Arial" w:hAnsi="Arial" w:cs="Arial"/>
                <w:color w:val="000000"/>
                <w:sz w:val="24"/>
                <w:szCs w:val="24"/>
              </w:rPr>
              <w:t>951/0001-61</w:t>
            </w:r>
          </w:p>
        </w:tc>
        <w:tc>
          <w:tcPr>
            <w:tcW w:w="1418" w:type="dxa"/>
            <w:vAlign w:val="bottom"/>
          </w:tcPr>
          <w:p w14:paraId="155896C0" w14:textId="083FC19E"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20/12/2017</w:t>
            </w:r>
          </w:p>
        </w:tc>
        <w:tc>
          <w:tcPr>
            <w:tcW w:w="1803" w:type="dxa"/>
          </w:tcPr>
          <w:p w14:paraId="26603ADA" w14:textId="77777777" w:rsidR="0037081A" w:rsidRDefault="0037081A" w:rsidP="0037081A">
            <w:pPr>
              <w:spacing w:line="360" w:lineRule="auto"/>
              <w:jc w:val="center"/>
              <w:rPr>
                <w:rFonts w:ascii="Arial" w:hAnsi="Arial" w:cs="Arial"/>
                <w:sz w:val="24"/>
                <w:szCs w:val="24"/>
              </w:rPr>
            </w:pPr>
            <w:r w:rsidRPr="009E51E8">
              <w:rPr>
                <w:rFonts w:ascii="Arial" w:hAnsi="Arial" w:cs="Arial"/>
                <w:b/>
                <w:sz w:val="24"/>
                <w:szCs w:val="24"/>
              </w:rPr>
              <w:t>CO</w:t>
            </w:r>
          </w:p>
          <w:p w14:paraId="3D1EFD66" w14:textId="7301CFB5" w:rsidR="002343A4" w:rsidRDefault="0037081A" w:rsidP="0037081A">
            <w:pPr>
              <w:spacing w:line="360" w:lineRule="auto"/>
              <w:jc w:val="center"/>
              <w:rPr>
                <w:rFonts w:ascii="Arial" w:hAnsi="Arial" w:cs="Arial"/>
                <w:sz w:val="24"/>
                <w:szCs w:val="24"/>
              </w:rPr>
            </w:pPr>
            <w:r>
              <w:rPr>
                <w:rFonts w:ascii="Arial" w:hAnsi="Arial" w:cs="Arial"/>
                <w:sz w:val="24"/>
                <w:szCs w:val="24"/>
              </w:rPr>
              <w:t>2014 a 2018</w:t>
            </w:r>
          </w:p>
        </w:tc>
      </w:tr>
      <w:tr w:rsidR="002343A4" w14:paraId="4514B362" w14:textId="68EC0719" w:rsidTr="004B7C82">
        <w:trPr>
          <w:jc w:val="center"/>
        </w:trPr>
        <w:tc>
          <w:tcPr>
            <w:tcW w:w="2151" w:type="dxa"/>
            <w:vAlign w:val="bottom"/>
          </w:tcPr>
          <w:p w14:paraId="387E8EAB" w14:textId="10F3757C"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008/2017-SRE</w:t>
            </w:r>
          </w:p>
        </w:tc>
        <w:tc>
          <w:tcPr>
            <w:tcW w:w="3830" w:type="dxa"/>
            <w:vAlign w:val="bottom"/>
          </w:tcPr>
          <w:p w14:paraId="6A340B9D" w14:textId="73DE1B72"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 xml:space="preserve">Brasinha Indústria e Distribuidora Eireli </w:t>
            </w:r>
            <w:r w:rsidR="003C2C2E" w:rsidRPr="002343A4">
              <w:rPr>
                <w:rFonts w:ascii="Arial" w:hAnsi="Arial" w:cs="Arial"/>
                <w:color w:val="000000"/>
                <w:sz w:val="24"/>
                <w:szCs w:val="24"/>
              </w:rPr>
              <w:t>EPP</w:t>
            </w:r>
          </w:p>
        </w:tc>
        <w:tc>
          <w:tcPr>
            <w:tcW w:w="1697" w:type="dxa"/>
            <w:vAlign w:val="bottom"/>
          </w:tcPr>
          <w:p w14:paraId="69AE808A" w14:textId="524DD40F"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10</w:t>
            </w:r>
            <w:r w:rsidR="00796682">
              <w:rPr>
                <w:rFonts w:ascii="Arial" w:hAnsi="Arial" w:cs="Arial"/>
                <w:color w:val="000000"/>
                <w:sz w:val="24"/>
                <w:szCs w:val="24"/>
              </w:rPr>
              <w:t>.</w:t>
            </w:r>
            <w:r w:rsidRPr="002343A4">
              <w:rPr>
                <w:rFonts w:ascii="Arial" w:hAnsi="Arial" w:cs="Arial"/>
                <w:color w:val="000000"/>
                <w:sz w:val="24"/>
                <w:szCs w:val="24"/>
              </w:rPr>
              <w:t>356600</w:t>
            </w:r>
            <w:r w:rsidR="00796682">
              <w:rPr>
                <w:rFonts w:ascii="Arial" w:hAnsi="Arial" w:cs="Arial"/>
                <w:color w:val="000000"/>
                <w:sz w:val="24"/>
                <w:szCs w:val="24"/>
              </w:rPr>
              <w:t>-</w:t>
            </w:r>
            <w:r w:rsidRPr="002343A4">
              <w:rPr>
                <w:rFonts w:ascii="Arial" w:hAnsi="Arial" w:cs="Arial"/>
                <w:color w:val="000000"/>
                <w:sz w:val="24"/>
                <w:szCs w:val="24"/>
              </w:rPr>
              <w:t>7</w:t>
            </w:r>
          </w:p>
        </w:tc>
        <w:tc>
          <w:tcPr>
            <w:tcW w:w="2529" w:type="dxa"/>
            <w:vAlign w:val="bottom"/>
          </w:tcPr>
          <w:p w14:paraId="66862DA9" w14:textId="04632563"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05</w:t>
            </w:r>
            <w:r w:rsidR="00826AC6">
              <w:rPr>
                <w:rFonts w:ascii="Arial" w:hAnsi="Arial" w:cs="Arial"/>
                <w:color w:val="000000"/>
                <w:sz w:val="24"/>
                <w:szCs w:val="24"/>
              </w:rPr>
              <w:t>.</w:t>
            </w:r>
            <w:r w:rsidRPr="002343A4">
              <w:rPr>
                <w:rFonts w:ascii="Arial" w:hAnsi="Arial" w:cs="Arial"/>
                <w:color w:val="000000"/>
                <w:sz w:val="24"/>
                <w:szCs w:val="24"/>
              </w:rPr>
              <w:t>386</w:t>
            </w:r>
            <w:r w:rsidR="00826AC6">
              <w:rPr>
                <w:rFonts w:ascii="Arial" w:hAnsi="Arial" w:cs="Arial"/>
                <w:color w:val="000000"/>
                <w:sz w:val="24"/>
                <w:szCs w:val="24"/>
              </w:rPr>
              <w:t>.</w:t>
            </w:r>
            <w:r w:rsidRPr="002343A4">
              <w:rPr>
                <w:rFonts w:ascii="Arial" w:hAnsi="Arial" w:cs="Arial"/>
                <w:color w:val="000000"/>
                <w:sz w:val="24"/>
                <w:szCs w:val="24"/>
              </w:rPr>
              <w:t>739/0001-05</w:t>
            </w:r>
          </w:p>
        </w:tc>
        <w:tc>
          <w:tcPr>
            <w:tcW w:w="1418" w:type="dxa"/>
            <w:vAlign w:val="bottom"/>
          </w:tcPr>
          <w:p w14:paraId="44928C14" w14:textId="3464F93F" w:rsidR="002343A4" w:rsidRPr="002343A4" w:rsidRDefault="002343A4" w:rsidP="002343A4">
            <w:pPr>
              <w:spacing w:line="360" w:lineRule="auto"/>
              <w:jc w:val="center"/>
              <w:rPr>
                <w:rFonts w:ascii="Arial" w:hAnsi="Arial" w:cs="Arial"/>
                <w:sz w:val="24"/>
                <w:szCs w:val="24"/>
              </w:rPr>
            </w:pPr>
            <w:r w:rsidRPr="002343A4">
              <w:rPr>
                <w:rFonts w:ascii="Arial" w:hAnsi="Arial" w:cs="Arial"/>
                <w:color w:val="000000"/>
                <w:sz w:val="24"/>
                <w:szCs w:val="24"/>
              </w:rPr>
              <w:t>20/12/2017</w:t>
            </w:r>
          </w:p>
        </w:tc>
        <w:tc>
          <w:tcPr>
            <w:tcW w:w="1803" w:type="dxa"/>
          </w:tcPr>
          <w:p w14:paraId="37B6B59C" w14:textId="77777777" w:rsidR="003C2C2E" w:rsidRDefault="003C2C2E" w:rsidP="003C2C2E">
            <w:pPr>
              <w:spacing w:line="360" w:lineRule="auto"/>
              <w:jc w:val="center"/>
              <w:rPr>
                <w:rFonts w:ascii="Arial" w:hAnsi="Arial" w:cs="Arial"/>
                <w:sz w:val="24"/>
                <w:szCs w:val="24"/>
              </w:rPr>
            </w:pPr>
            <w:r w:rsidRPr="009E51E8">
              <w:rPr>
                <w:rFonts w:ascii="Arial" w:hAnsi="Arial" w:cs="Arial"/>
                <w:b/>
                <w:sz w:val="24"/>
                <w:szCs w:val="24"/>
              </w:rPr>
              <w:t>CO</w:t>
            </w:r>
          </w:p>
          <w:p w14:paraId="41D92A24" w14:textId="60137ACA" w:rsidR="002343A4" w:rsidRDefault="003C2C2E" w:rsidP="003C2C2E">
            <w:pPr>
              <w:spacing w:line="360" w:lineRule="auto"/>
              <w:jc w:val="center"/>
              <w:rPr>
                <w:rFonts w:ascii="Arial" w:hAnsi="Arial" w:cs="Arial"/>
                <w:sz w:val="24"/>
                <w:szCs w:val="24"/>
              </w:rPr>
            </w:pPr>
            <w:r>
              <w:rPr>
                <w:rFonts w:ascii="Arial" w:hAnsi="Arial" w:cs="Arial"/>
                <w:sz w:val="24"/>
                <w:szCs w:val="24"/>
              </w:rPr>
              <w:t>2016 a 2018</w:t>
            </w:r>
          </w:p>
        </w:tc>
      </w:tr>
      <w:tr w:rsidR="00177D71" w14:paraId="676E824A" w14:textId="00BD500B" w:rsidTr="004B7C82">
        <w:trPr>
          <w:jc w:val="center"/>
        </w:trPr>
        <w:tc>
          <w:tcPr>
            <w:tcW w:w="2151" w:type="dxa"/>
            <w:vAlign w:val="bottom"/>
          </w:tcPr>
          <w:p w14:paraId="0AA0B457" w14:textId="73A38024" w:rsidR="00177D71" w:rsidRDefault="00177D71" w:rsidP="00177D71">
            <w:pPr>
              <w:spacing w:line="360" w:lineRule="auto"/>
              <w:jc w:val="center"/>
              <w:rPr>
                <w:rFonts w:ascii="Arial" w:hAnsi="Arial" w:cs="Arial"/>
                <w:sz w:val="24"/>
                <w:szCs w:val="24"/>
              </w:rPr>
            </w:pPr>
            <w:r w:rsidRPr="00177D71">
              <w:rPr>
                <w:rFonts w:ascii="Arial" w:hAnsi="Arial" w:cs="Arial"/>
                <w:color w:val="000000"/>
                <w:sz w:val="24"/>
                <w:szCs w:val="24"/>
              </w:rPr>
              <w:t>012/2017-SRE</w:t>
            </w:r>
          </w:p>
        </w:tc>
        <w:tc>
          <w:tcPr>
            <w:tcW w:w="3830" w:type="dxa"/>
            <w:vAlign w:val="bottom"/>
          </w:tcPr>
          <w:p w14:paraId="523316D1" w14:textId="6277DD43" w:rsidR="00177D71" w:rsidRDefault="00177D71" w:rsidP="00177D71">
            <w:pPr>
              <w:spacing w:line="360" w:lineRule="auto"/>
              <w:jc w:val="center"/>
              <w:rPr>
                <w:rFonts w:ascii="Arial" w:hAnsi="Arial" w:cs="Arial"/>
                <w:sz w:val="24"/>
                <w:szCs w:val="24"/>
              </w:rPr>
            </w:pPr>
            <w:r w:rsidRPr="00177D71">
              <w:rPr>
                <w:rFonts w:ascii="Arial" w:hAnsi="Arial" w:cs="Arial"/>
                <w:color w:val="000000"/>
                <w:sz w:val="24"/>
                <w:szCs w:val="24"/>
              </w:rPr>
              <w:t>Frigorífico Sussego Ltda</w:t>
            </w:r>
          </w:p>
        </w:tc>
        <w:tc>
          <w:tcPr>
            <w:tcW w:w="1697" w:type="dxa"/>
            <w:vAlign w:val="bottom"/>
          </w:tcPr>
          <w:p w14:paraId="0CFF2606" w14:textId="0250CDAD" w:rsidR="00177D71" w:rsidRDefault="00177D71" w:rsidP="00177D71">
            <w:pPr>
              <w:spacing w:line="360" w:lineRule="auto"/>
              <w:jc w:val="center"/>
              <w:rPr>
                <w:rFonts w:ascii="Arial" w:hAnsi="Arial" w:cs="Arial"/>
                <w:sz w:val="24"/>
                <w:szCs w:val="24"/>
              </w:rPr>
            </w:pPr>
            <w:r w:rsidRPr="00177D71">
              <w:rPr>
                <w:rFonts w:ascii="Arial" w:hAnsi="Arial" w:cs="Arial"/>
                <w:color w:val="000000"/>
                <w:sz w:val="24"/>
                <w:szCs w:val="24"/>
              </w:rPr>
              <w:t>10</w:t>
            </w:r>
            <w:r w:rsidR="00796682">
              <w:rPr>
                <w:rFonts w:ascii="Arial" w:hAnsi="Arial" w:cs="Arial"/>
                <w:color w:val="000000"/>
                <w:sz w:val="24"/>
                <w:szCs w:val="24"/>
              </w:rPr>
              <w:t>.</w:t>
            </w:r>
            <w:r w:rsidRPr="00177D71">
              <w:rPr>
                <w:rFonts w:ascii="Arial" w:hAnsi="Arial" w:cs="Arial"/>
                <w:color w:val="000000"/>
                <w:sz w:val="24"/>
                <w:szCs w:val="24"/>
              </w:rPr>
              <w:t>396368</w:t>
            </w:r>
            <w:r w:rsidR="00796682">
              <w:rPr>
                <w:rFonts w:ascii="Arial" w:hAnsi="Arial" w:cs="Arial"/>
                <w:color w:val="000000"/>
                <w:sz w:val="24"/>
                <w:szCs w:val="24"/>
              </w:rPr>
              <w:t>-</w:t>
            </w:r>
            <w:r w:rsidRPr="00177D71">
              <w:rPr>
                <w:rFonts w:ascii="Arial" w:hAnsi="Arial" w:cs="Arial"/>
                <w:color w:val="000000"/>
                <w:sz w:val="24"/>
                <w:szCs w:val="24"/>
              </w:rPr>
              <w:t>5</w:t>
            </w:r>
          </w:p>
        </w:tc>
        <w:tc>
          <w:tcPr>
            <w:tcW w:w="2529" w:type="dxa"/>
            <w:vAlign w:val="bottom"/>
          </w:tcPr>
          <w:p w14:paraId="33625C58" w14:textId="5CC5F522" w:rsidR="00177D71" w:rsidRDefault="00177D71" w:rsidP="00177D71">
            <w:pPr>
              <w:spacing w:line="360" w:lineRule="auto"/>
              <w:jc w:val="center"/>
              <w:rPr>
                <w:rFonts w:ascii="Arial" w:hAnsi="Arial" w:cs="Arial"/>
                <w:sz w:val="24"/>
                <w:szCs w:val="24"/>
              </w:rPr>
            </w:pPr>
            <w:r w:rsidRPr="00177D71">
              <w:rPr>
                <w:rFonts w:ascii="Arial" w:hAnsi="Arial" w:cs="Arial"/>
                <w:color w:val="000000"/>
                <w:sz w:val="24"/>
                <w:szCs w:val="24"/>
              </w:rPr>
              <w:t>07</w:t>
            </w:r>
            <w:r w:rsidR="00826AC6">
              <w:rPr>
                <w:rFonts w:ascii="Arial" w:hAnsi="Arial" w:cs="Arial"/>
                <w:color w:val="000000"/>
                <w:sz w:val="24"/>
                <w:szCs w:val="24"/>
              </w:rPr>
              <w:t>.</w:t>
            </w:r>
            <w:r w:rsidRPr="00177D71">
              <w:rPr>
                <w:rFonts w:ascii="Arial" w:hAnsi="Arial" w:cs="Arial"/>
                <w:color w:val="000000"/>
                <w:sz w:val="24"/>
                <w:szCs w:val="24"/>
              </w:rPr>
              <w:t>649</w:t>
            </w:r>
            <w:r w:rsidR="00826AC6">
              <w:rPr>
                <w:rFonts w:ascii="Arial" w:hAnsi="Arial" w:cs="Arial"/>
                <w:color w:val="000000"/>
                <w:sz w:val="24"/>
                <w:szCs w:val="24"/>
              </w:rPr>
              <w:t>.</w:t>
            </w:r>
            <w:r w:rsidRPr="00177D71">
              <w:rPr>
                <w:rFonts w:ascii="Arial" w:hAnsi="Arial" w:cs="Arial"/>
                <w:color w:val="000000"/>
                <w:sz w:val="24"/>
                <w:szCs w:val="24"/>
              </w:rPr>
              <w:t>989/0001-08</w:t>
            </w:r>
          </w:p>
        </w:tc>
        <w:tc>
          <w:tcPr>
            <w:tcW w:w="1418" w:type="dxa"/>
            <w:vAlign w:val="bottom"/>
          </w:tcPr>
          <w:p w14:paraId="5F7D5D3B" w14:textId="6717704F" w:rsidR="00177D71" w:rsidRDefault="00177D71" w:rsidP="00177D71">
            <w:pPr>
              <w:spacing w:line="360" w:lineRule="auto"/>
              <w:jc w:val="center"/>
              <w:rPr>
                <w:rFonts w:ascii="Arial" w:hAnsi="Arial" w:cs="Arial"/>
                <w:sz w:val="24"/>
                <w:szCs w:val="24"/>
              </w:rPr>
            </w:pPr>
            <w:r w:rsidRPr="00177D71">
              <w:rPr>
                <w:rFonts w:ascii="Arial" w:hAnsi="Arial" w:cs="Arial"/>
                <w:color w:val="000000"/>
                <w:sz w:val="24"/>
                <w:szCs w:val="24"/>
              </w:rPr>
              <w:t>02/01/2018​</w:t>
            </w:r>
          </w:p>
        </w:tc>
        <w:tc>
          <w:tcPr>
            <w:tcW w:w="1803" w:type="dxa"/>
          </w:tcPr>
          <w:p w14:paraId="4A0BD2C0" w14:textId="77777777" w:rsidR="00177D71" w:rsidRDefault="00177D71" w:rsidP="00177D71">
            <w:pPr>
              <w:spacing w:line="360" w:lineRule="auto"/>
              <w:jc w:val="center"/>
              <w:rPr>
                <w:rFonts w:ascii="Arial" w:hAnsi="Arial" w:cs="Arial"/>
                <w:b/>
                <w:sz w:val="24"/>
                <w:szCs w:val="24"/>
              </w:rPr>
            </w:pPr>
            <w:r w:rsidRPr="00146792">
              <w:rPr>
                <w:rFonts w:ascii="Arial" w:hAnsi="Arial" w:cs="Arial"/>
                <w:b/>
                <w:sz w:val="24"/>
                <w:szCs w:val="24"/>
              </w:rPr>
              <w:t>CO</w:t>
            </w:r>
          </w:p>
          <w:p w14:paraId="79B469FF" w14:textId="6EF41F30" w:rsidR="00146792" w:rsidRPr="00146792" w:rsidRDefault="00146792" w:rsidP="00177D71">
            <w:pPr>
              <w:spacing w:line="360" w:lineRule="auto"/>
              <w:jc w:val="center"/>
              <w:rPr>
                <w:rFonts w:ascii="Arial" w:hAnsi="Arial" w:cs="Arial"/>
                <w:sz w:val="24"/>
                <w:szCs w:val="24"/>
              </w:rPr>
            </w:pPr>
            <w:r w:rsidRPr="00146792">
              <w:rPr>
                <w:rFonts w:ascii="Arial" w:hAnsi="Arial" w:cs="Arial"/>
                <w:sz w:val="24"/>
                <w:szCs w:val="24"/>
              </w:rPr>
              <w:t>2014</w:t>
            </w:r>
            <w:r>
              <w:rPr>
                <w:rFonts w:ascii="Arial" w:hAnsi="Arial" w:cs="Arial"/>
                <w:sz w:val="24"/>
                <w:szCs w:val="24"/>
              </w:rPr>
              <w:t>, 2015, 2017 e 2018</w:t>
            </w:r>
          </w:p>
        </w:tc>
      </w:tr>
      <w:tr w:rsidR="005945B0" w14:paraId="7D1AE141" w14:textId="10C223E2" w:rsidTr="004B7C82">
        <w:trPr>
          <w:jc w:val="center"/>
        </w:trPr>
        <w:tc>
          <w:tcPr>
            <w:tcW w:w="2151" w:type="dxa"/>
            <w:vAlign w:val="bottom"/>
          </w:tcPr>
          <w:p w14:paraId="264915EC" w14:textId="45B171E5" w:rsidR="005945B0" w:rsidRDefault="005945B0" w:rsidP="005945B0">
            <w:pPr>
              <w:spacing w:line="360" w:lineRule="auto"/>
              <w:jc w:val="center"/>
              <w:rPr>
                <w:rFonts w:ascii="Arial" w:hAnsi="Arial" w:cs="Arial"/>
                <w:sz w:val="24"/>
                <w:szCs w:val="24"/>
              </w:rPr>
            </w:pPr>
            <w:r w:rsidRPr="0027044F">
              <w:rPr>
                <w:rFonts w:ascii="Arial" w:hAnsi="Arial" w:cs="Arial"/>
                <w:color w:val="000000"/>
                <w:sz w:val="24"/>
                <w:szCs w:val="24"/>
              </w:rPr>
              <w:t>017/2018-SRE</w:t>
            </w:r>
          </w:p>
        </w:tc>
        <w:tc>
          <w:tcPr>
            <w:tcW w:w="3830" w:type="dxa"/>
            <w:vAlign w:val="bottom"/>
          </w:tcPr>
          <w:p w14:paraId="5CDAC6D0" w14:textId="436B2765" w:rsidR="005945B0" w:rsidRDefault="005945B0" w:rsidP="005945B0">
            <w:pPr>
              <w:spacing w:line="360" w:lineRule="auto"/>
              <w:jc w:val="center"/>
              <w:rPr>
                <w:rFonts w:ascii="Arial" w:hAnsi="Arial" w:cs="Arial"/>
                <w:sz w:val="24"/>
                <w:szCs w:val="24"/>
              </w:rPr>
            </w:pPr>
            <w:r w:rsidRPr="0027044F">
              <w:rPr>
                <w:rFonts w:ascii="Arial" w:hAnsi="Arial" w:cs="Arial"/>
                <w:color w:val="000000"/>
                <w:sz w:val="24"/>
                <w:szCs w:val="24"/>
              </w:rPr>
              <w:t>Bambolle Doces e Festas Ltda.</w:t>
            </w:r>
          </w:p>
        </w:tc>
        <w:tc>
          <w:tcPr>
            <w:tcW w:w="1697" w:type="dxa"/>
            <w:vAlign w:val="bottom"/>
          </w:tcPr>
          <w:p w14:paraId="500A0FB9" w14:textId="00D3394B" w:rsidR="005945B0" w:rsidRDefault="005945B0" w:rsidP="005945B0">
            <w:pPr>
              <w:spacing w:line="360" w:lineRule="auto"/>
              <w:jc w:val="center"/>
              <w:rPr>
                <w:rFonts w:ascii="Arial" w:hAnsi="Arial" w:cs="Arial"/>
                <w:sz w:val="24"/>
                <w:szCs w:val="24"/>
              </w:rPr>
            </w:pPr>
            <w:r w:rsidRPr="0027044F">
              <w:rPr>
                <w:rFonts w:ascii="Arial" w:hAnsi="Arial" w:cs="Arial"/>
                <w:color w:val="000000"/>
                <w:sz w:val="24"/>
                <w:szCs w:val="24"/>
              </w:rPr>
              <w:t>10.392413-2</w:t>
            </w:r>
          </w:p>
        </w:tc>
        <w:tc>
          <w:tcPr>
            <w:tcW w:w="2529" w:type="dxa"/>
            <w:vAlign w:val="bottom"/>
          </w:tcPr>
          <w:p w14:paraId="2D0A1735" w14:textId="42499F6E" w:rsidR="005945B0" w:rsidRDefault="005945B0" w:rsidP="005945B0">
            <w:pPr>
              <w:spacing w:line="360" w:lineRule="auto"/>
              <w:jc w:val="center"/>
              <w:rPr>
                <w:rFonts w:ascii="Arial" w:hAnsi="Arial" w:cs="Arial"/>
                <w:sz w:val="24"/>
                <w:szCs w:val="24"/>
              </w:rPr>
            </w:pPr>
            <w:r w:rsidRPr="0027044F">
              <w:rPr>
                <w:rFonts w:ascii="Arial" w:hAnsi="Arial" w:cs="Arial"/>
                <w:color w:val="000000"/>
                <w:sz w:val="24"/>
                <w:szCs w:val="24"/>
              </w:rPr>
              <w:t>07.554.962/0001-31</w:t>
            </w:r>
          </w:p>
        </w:tc>
        <w:tc>
          <w:tcPr>
            <w:tcW w:w="1418" w:type="dxa"/>
            <w:vAlign w:val="bottom"/>
          </w:tcPr>
          <w:p w14:paraId="77290E6A" w14:textId="1D7606BF" w:rsidR="005945B0" w:rsidRDefault="005945B0" w:rsidP="005945B0">
            <w:pPr>
              <w:spacing w:line="360" w:lineRule="auto"/>
              <w:jc w:val="center"/>
              <w:rPr>
                <w:rFonts w:ascii="Arial" w:hAnsi="Arial" w:cs="Arial"/>
                <w:sz w:val="24"/>
                <w:szCs w:val="24"/>
              </w:rPr>
            </w:pPr>
            <w:r w:rsidRPr="0027044F">
              <w:rPr>
                <w:rFonts w:ascii="Arial" w:hAnsi="Arial" w:cs="Arial"/>
                <w:color w:val="000000"/>
                <w:sz w:val="24"/>
                <w:szCs w:val="24"/>
              </w:rPr>
              <w:t>23/01/2018</w:t>
            </w:r>
          </w:p>
        </w:tc>
        <w:tc>
          <w:tcPr>
            <w:tcW w:w="1803" w:type="dxa"/>
          </w:tcPr>
          <w:p w14:paraId="46BB6150" w14:textId="77777777" w:rsidR="005945B0" w:rsidRDefault="005945B0" w:rsidP="005945B0">
            <w:pPr>
              <w:spacing w:line="360" w:lineRule="auto"/>
              <w:jc w:val="center"/>
              <w:rPr>
                <w:rFonts w:ascii="Arial" w:hAnsi="Arial" w:cs="Arial"/>
                <w:sz w:val="24"/>
                <w:szCs w:val="24"/>
              </w:rPr>
            </w:pPr>
            <w:r w:rsidRPr="009E51E8">
              <w:rPr>
                <w:rFonts w:ascii="Arial" w:hAnsi="Arial" w:cs="Arial"/>
                <w:b/>
                <w:sz w:val="24"/>
                <w:szCs w:val="24"/>
              </w:rPr>
              <w:t>CO</w:t>
            </w:r>
          </w:p>
          <w:p w14:paraId="02E75312" w14:textId="031EE4DE" w:rsidR="005945B0" w:rsidRDefault="005945B0" w:rsidP="005945B0">
            <w:pPr>
              <w:spacing w:line="360" w:lineRule="auto"/>
              <w:jc w:val="center"/>
              <w:rPr>
                <w:rFonts w:ascii="Arial" w:hAnsi="Arial" w:cs="Arial"/>
                <w:sz w:val="24"/>
                <w:szCs w:val="24"/>
              </w:rPr>
            </w:pPr>
            <w:r>
              <w:rPr>
                <w:rFonts w:ascii="Arial" w:hAnsi="Arial" w:cs="Arial"/>
                <w:sz w:val="24"/>
                <w:szCs w:val="24"/>
              </w:rPr>
              <w:t>2014 e 2018</w:t>
            </w:r>
          </w:p>
        </w:tc>
      </w:tr>
      <w:tr w:rsidR="00447178" w14:paraId="2F397C05" w14:textId="77777777" w:rsidTr="004B7C82">
        <w:trPr>
          <w:jc w:val="center"/>
        </w:trPr>
        <w:tc>
          <w:tcPr>
            <w:tcW w:w="2151" w:type="dxa"/>
            <w:vAlign w:val="bottom"/>
          </w:tcPr>
          <w:p w14:paraId="2987CE6A" w14:textId="4FBEA6E0" w:rsidR="00447178" w:rsidRPr="0027044F" w:rsidRDefault="00447178" w:rsidP="00447178">
            <w:pPr>
              <w:spacing w:line="360" w:lineRule="auto"/>
              <w:jc w:val="center"/>
              <w:rPr>
                <w:rFonts w:ascii="Arial" w:hAnsi="Arial" w:cs="Arial"/>
                <w:color w:val="000000"/>
                <w:sz w:val="24"/>
                <w:szCs w:val="24"/>
              </w:rPr>
            </w:pPr>
            <w:r w:rsidRPr="0027044F">
              <w:rPr>
                <w:rFonts w:ascii="Arial" w:hAnsi="Arial" w:cs="Arial"/>
                <w:color w:val="000000"/>
                <w:sz w:val="24"/>
                <w:szCs w:val="24"/>
              </w:rPr>
              <w:t>018/2018-SRE</w:t>
            </w:r>
          </w:p>
        </w:tc>
        <w:tc>
          <w:tcPr>
            <w:tcW w:w="3830" w:type="dxa"/>
            <w:vAlign w:val="bottom"/>
          </w:tcPr>
          <w:p w14:paraId="5A06903F" w14:textId="6014C9FF" w:rsidR="00447178" w:rsidRPr="0027044F" w:rsidRDefault="00447178" w:rsidP="00447178">
            <w:pPr>
              <w:spacing w:line="360" w:lineRule="auto"/>
              <w:jc w:val="center"/>
              <w:rPr>
                <w:rFonts w:ascii="Arial" w:hAnsi="Arial" w:cs="Arial"/>
                <w:color w:val="000000"/>
                <w:sz w:val="24"/>
                <w:szCs w:val="24"/>
              </w:rPr>
            </w:pPr>
            <w:r w:rsidRPr="0027044F">
              <w:rPr>
                <w:rFonts w:ascii="Arial" w:hAnsi="Arial" w:cs="Arial"/>
                <w:color w:val="000000"/>
                <w:sz w:val="24"/>
                <w:szCs w:val="24"/>
              </w:rPr>
              <w:t>Embalo Embalagens Lógicas Ltda.</w:t>
            </w:r>
          </w:p>
        </w:tc>
        <w:tc>
          <w:tcPr>
            <w:tcW w:w="1697" w:type="dxa"/>
            <w:vAlign w:val="bottom"/>
          </w:tcPr>
          <w:p w14:paraId="48D8B5A0" w14:textId="189627B0" w:rsidR="00447178" w:rsidRPr="0027044F" w:rsidRDefault="00447178" w:rsidP="00447178">
            <w:pPr>
              <w:spacing w:line="360" w:lineRule="auto"/>
              <w:jc w:val="center"/>
              <w:rPr>
                <w:rFonts w:ascii="Arial" w:hAnsi="Arial" w:cs="Arial"/>
                <w:color w:val="000000"/>
                <w:sz w:val="24"/>
                <w:szCs w:val="24"/>
              </w:rPr>
            </w:pPr>
            <w:r w:rsidRPr="0027044F">
              <w:rPr>
                <w:rFonts w:ascii="Arial" w:hAnsi="Arial" w:cs="Arial"/>
                <w:color w:val="000000"/>
                <w:sz w:val="24"/>
                <w:szCs w:val="24"/>
              </w:rPr>
              <w:t>10.070657-6</w:t>
            </w:r>
          </w:p>
        </w:tc>
        <w:tc>
          <w:tcPr>
            <w:tcW w:w="2529" w:type="dxa"/>
            <w:vAlign w:val="bottom"/>
          </w:tcPr>
          <w:p w14:paraId="3CBC94D1" w14:textId="537D3B91" w:rsidR="00447178" w:rsidRPr="0027044F" w:rsidRDefault="00447178" w:rsidP="00447178">
            <w:pPr>
              <w:spacing w:line="360" w:lineRule="auto"/>
              <w:jc w:val="center"/>
              <w:rPr>
                <w:rFonts w:ascii="Arial" w:hAnsi="Arial" w:cs="Arial"/>
                <w:color w:val="000000"/>
                <w:sz w:val="24"/>
                <w:szCs w:val="24"/>
              </w:rPr>
            </w:pPr>
            <w:r w:rsidRPr="0027044F">
              <w:rPr>
                <w:rFonts w:ascii="Arial" w:hAnsi="Arial" w:cs="Arial"/>
                <w:color w:val="000000"/>
                <w:sz w:val="24"/>
                <w:szCs w:val="24"/>
              </w:rPr>
              <w:t>01.500.016/0001-26</w:t>
            </w:r>
          </w:p>
        </w:tc>
        <w:tc>
          <w:tcPr>
            <w:tcW w:w="1418" w:type="dxa"/>
            <w:vAlign w:val="bottom"/>
          </w:tcPr>
          <w:p w14:paraId="29A5D9AA" w14:textId="0662FF19" w:rsidR="00447178" w:rsidRPr="0027044F" w:rsidRDefault="00447178" w:rsidP="00447178">
            <w:pPr>
              <w:spacing w:line="360" w:lineRule="auto"/>
              <w:jc w:val="center"/>
              <w:rPr>
                <w:rFonts w:ascii="Arial" w:hAnsi="Arial" w:cs="Arial"/>
                <w:color w:val="000000"/>
                <w:sz w:val="24"/>
                <w:szCs w:val="24"/>
              </w:rPr>
            </w:pPr>
            <w:r w:rsidRPr="0027044F">
              <w:rPr>
                <w:rFonts w:ascii="Arial" w:hAnsi="Arial" w:cs="Arial"/>
                <w:color w:val="000000"/>
                <w:sz w:val="24"/>
                <w:szCs w:val="24"/>
              </w:rPr>
              <w:t>23/01/2018</w:t>
            </w:r>
          </w:p>
        </w:tc>
        <w:tc>
          <w:tcPr>
            <w:tcW w:w="1803" w:type="dxa"/>
          </w:tcPr>
          <w:p w14:paraId="1EE11842" w14:textId="77777777" w:rsidR="00447178" w:rsidRDefault="00447178" w:rsidP="00447178">
            <w:pPr>
              <w:spacing w:line="360" w:lineRule="auto"/>
              <w:jc w:val="center"/>
              <w:rPr>
                <w:rFonts w:ascii="Arial" w:hAnsi="Arial" w:cs="Arial"/>
                <w:sz w:val="24"/>
                <w:szCs w:val="24"/>
              </w:rPr>
            </w:pPr>
            <w:r w:rsidRPr="009E51E8">
              <w:rPr>
                <w:rFonts w:ascii="Arial" w:hAnsi="Arial" w:cs="Arial"/>
                <w:b/>
                <w:sz w:val="24"/>
                <w:szCs w:val="24"/>
              </w:rPr>
              <w:t>CO</w:t>
            </w:r>
          </w:p>
          <w:p w14:paraId="5A9C0A06" w14:textId="3C6C5BF7" w:rsidR="00447178" w:rsidRPr="009E51E8" w:rsidRDefault="00447178" w:rsidP="00447178">
            <w:pPr>
              <w:spacing w:line="360" w:lineRule="auto"/>
              <w:jc w:val="center"/>
              <w:rPr>
                <w:rFonts w:ascii="Arial" w:hAnsi="Arial" w:cs="Arial"/>
                <w:b/>
                <w:sz w:val="24"/>
                <w:szCs w:val="24"/>
              </w:rPr>
            </w:pPr>
            <w:r>
              <w:rPr>
                <w:rFonts w:ascii="Arial" w:hAnsi="Arial" w:cs="Arial"/>
                <w:sz w:val="24"/>
                <w:szCs w:val="24"/>
              </w:rPr>
              <w:t>2014 a 2018</w:t>
            </w:r>
          </w:p>
        </w:tc>
      </w:tr>
      <w:tr w:rsidR="00447178" w14:paraId="26E3CF1E" w14:textId="77777777" w:rsidTr="004B7C82">
        <w:trPr>
          <w:jc w:val="center"/>
        </w:trPr>
        <w:tc>
          <w:tcPr>
            <w:tcW w:w="2151" w:type="dxa"/>
            <w:vAlign w:val="bottom"/>
          </w:tcPr>
          <w:p w14:paraId="0F528AE9" w14:textId="2410F138" w:rsidR="00447178" w:rsidRPr="0027044F" w:rsidRDefault="00447178" w:rsidP="00447178">
            <w:pPr>
              <w:spacing w:line="360" w:lineRule="auto"/>
              <w:jc w:val="center"/>
              <w:rPr>
                <w:rFonts w:ascii="Arial" w:hAnsi="Arial" w:cs="Arial"/>
                <w:color w:val="000000"/>
                <w:sz w:val="24"/>
                <w:szCs w:val="24"/>
              </w:rPr>
            </w:pPr>
            <w:r w:rsidRPr="0027044F">
              <w:rPr>
                <w:rFonts w:ascii="Arial" w:hAnsi="Arial" w:cs="Arial"/>
                <w:color w:val="000000"/>
                <w:sz w:val="24"/>
                <w:szCs w:val="24"/>
              </w:rPr>
              <w:t>026/2018-SRE</w:t>
            </w:r>
          </w:p>
        </w:tc>
        <w:tc>
          <w:tcPr>
            <w:tcW w:w="3830" w:type="dxa"/>
            <w:vAlign w:val="bottom"/>
          </w:tcPr>
          <w:p w14:paraId="6CA7CFC7" w14:textId="3902A6B2" w:rsidR="00447178" w:rsidRPr="0027044F" w:rsidRDefault="00447178" w:rsidP="00447178">
            <w:pPr>
              <w:spacing w:line="360" w:lineRule="auto"/>
              <w:jc w:val="center"/>
              <w:rPr>
                <w:rFonts w:ascii="Arial" w:hAnsi="Arial" w:cs="Arial"/>
                <w:color w:val="000000"/>
                <w:sz w:val="24"/>
                <w:szCs w:val="24"/>
              </w:rPr>
            </w:pPr>
            <w:r w:rsidRPr="0027044F">
              <w:rPr>
                <w:rFonts w:ascii="Arial" w:hAnsi="Arial" w:cs="Arial"/>
                <w:color w:val="000000"/>
                <w:sz w:val="24"/>
                <w:szCs w:val="24"/>
              </w:rPr>
              <w:t xml:space="preserve">Comercial Panda Ltda. </w:t>
            </w:r>
            <w:r>
              <w:rPr>
                <w:rFonts w:ascii="Arial" w:hAnsi="Arial" w:cs="Arial"/>
                <w:color w:val="000000"/>
                <w:sz w:val="24"/>
                <w:szCs w:val="24"/>
              </w:rPr>
              <w:t>–</w:t>
            </w:r>
            <w:r w:rsidRPr="0027044F">
              <w:rPr>
                <w:rFonts w:ascii="Arial" w:hAnsi="Arial" w:cs="Arial"/>
                <w:color w:val="000000"/>
                <w:sz w:val="24"/>
                <w:szCs w:val="24"/>
              </w:rPr>
              <w:t xml:space="preserve"> ME</w:t>
            </w:r>
          </w:p>
        </w:tc>
        <w:tc>
          <w:tcPr>
            <w:tcW w:w="1697" w:type="dxa"/>
            <w:vAlign w:val="bottom"/>
          </w:tcPr>
          <w:p w14:paraId="7CDAFBE7" w14:textId="35C1BABB" w:rsidR="00447178" w:rsidRPr="0027044F" w:rsidRDefault="00447178" w:rsidP="00447178">
            <w:pPr>
              <w:spacing w:line="360" w:lineRule="auto"/>
              <w:jc w:val="center"/>
              <w:rPr>
                <w:rFonts w:ascii="Arial" w:hAnsi="Arial" w:cs="Arial"/>
                <w:color w:val="000000"/>
                <w:sz w:val="24"/>
                <w:szCs w:val="24"/>
              </w:rPr>
            </w:pPr>
            <w:r w:rsidRPr="0027044F">
              <w:rPr>
                <w:rFonts w:ascii="Arial" w:hAnsi="Arial" w:cs="Arial"/>
                <w:color w:val="000000"/>
                <w:sz w:val="24"/>
                <w:szCs w:val="24"/>
              </w:rPr>
              <w:t>10.339306-4</w:t>
            </w:r>
          </w:p>
        </w:tc>
        <w:tc>
          <w:tcPr>
            <w:tcW w:w="2529" w:type="dxa"/>
            <w:vAlign w:val="bottom"/>
          </w:tcPr>
          <w:p w14:paraId="77FEBB6F" w14:textId="64255705" w:rsidR="00447178" w:rsidRPr="0027044F" w:rsidRDefault="00447178" w:rsidP="00447178">
            <w:pPr>
              <w:spacing w:line="360" w:lineRule="auto"/>
              <w:jc w:val="center"/>
              <w:rPr>
                <w:rFonts w:ascii="Arial" w:hAnsi="Arial" w:cs="Arial"/>
                <w:color w:val="000000"/>
                <w:sz w:val="24"/>
                <w:szCs w:val="24"/>
              </w:rPr>
            </w:pPr>
            <w:r w:rsidRPr="0027044F">
              <w:rPr>
                <w:rFonts w:ascii="Arial" w:hAnsi="Arial" w:cs="Arial"/>
                <w:color w:val="000000"/>
                <w:sz w:val="24"/>
                <w:szCs w:val="24"/>
              </w:rPr>
              <w:t>04.495.456/0001-20</w:t>
            </w:r>
          </w:p>
        </w:tc>
        <w:tc>
          <w:tcPr>
            <w:tcW w:w="1418" w:type="dxa"/>
            <w:vAlign w:val="bottom"/>
          </w:tcPr>
          <w:p w14:paraId="02698E89" w14:textId="078858C6" w:rsidR="00447178" w:rsidRPr="0027044F" w:rsidRDefault="00447178" w:rsidP="00447178">
            <w:pPr>
              <w:spacing w:line="360" w:lineRule="auto"/>
              <w:jc w:val="center"/>
              <w:rPr>
                <w:rFonts w:ascii="Arial" w:hAnsi="Arial" w:cs="Arial"/>
                <w:color w:val="000000"/>
                <w:sz w:val="24"/>
                <w:szCs w:val="24"/>
              </w:rPr>
            </w:pPr>
            <w:r w:rsidRPr="0027044F">
              <w:rPr>
                <w:rFonts w:ascii="Arial" w:hAnsi="Arial" w:cs="Arial"/>
                <w:color w:val="000000"/>
                <w:sz w:val="24"/>
                <w:szCs w:val="24"/>
              </w:rPr>
              <w:t>16/02/2018</w:t>
            </w:r>
          </w:p>
        </w:tc>
        <w:tc>
          <w:tcPr>
            <w:tcW w:w="1803" w:type="dxa"/>
          </w:tcPr>
          <w:p w14:paraId="14C2645F" w14:textId="77777777" w:rsidR="00447178" w:rsidRDefault="00447178" w:rsidP="00447178">
            <w:pPr>
              <w:spacing w:line="360" w:lineRule="auto"/>
              <w:jc w:val="center"/>
              <w:rPr>
                <w:rFonts w:ascii="Arial" w:hAnsi="Arial" w:cs="Arial"/>
                <w:sz w:val="24"/>
                <w:szCs w:val="24"/>
              </w:rPr>
            </w:pPr>
            <w:r w:rsidRPr="009E51E8">
              <w:rPr>
                <w:rFonts w:ascii="Arial" w:hAnsi="Arial" w:cs="Arial"/>
                <w:b/>
                <w:sz w:val="24"/>
                <w:szCs w:val="24"/>
              </w:rPr>
              <w:t>CO</w:t>
            </w:r>
          </w:p>
          <w:p w14:paraId="268DBEF7" w14:textId="00914C15" w:rsidR="00447178" w:rsidRPr="009E51E8" w:rsidRDefault="00447178" w:rsidP="00447178">
            <w:pPr>
              <w:spacing w:line="360" w:lineRule="auto"/>
              <w:jc w:val="center"/>
              <w:rPr>
                <w:rFonts w:ascii="Arial" w:hAnsi="Arial" w:cs="Arial"/>
                <w:b/>
                <w:sz w:val="24"/>
                <w:szCs w:val="24"/>
              </w:rPr>
            </w:pPr>
            <w:r>
              <w:rPr>
                <w:rFonts w:ascii="Arial" w:hAnsi="Arial" w:cs="Arial"/>
                <w:sz w:val="24"/>
                <w:szCs w:val="24"/>
              </w:rPr>
              <w:lastRenderedPageBreak/>
              <w:t>2014 a 2018</w:t>
            </w:r>
          </w:p>
        </w:tc>
      </w:tr>
      <w:tr w:rsidR="008B3A24" w14:paraId="22FD7178" w14:textId="77777777" w:rsidTr="004B7C82">
        <w:trPr>
          <w:jc w:val="center"/>
        </w:trPr>
        <w:tc>
          <w:tcPr>
            <w:tcW w:w="2151" w:type="dxa"/>
            <w:vAlign w:val="bottom"/>
          </w:tcPr>
          <w:p w14:paraId="0DEDD815" w14:textId="7D2426F0" w:rsidR="008B3A24" w:rsidRPr="0027044F" w:rsidRDefault="008B3A24" w:rsidP="008B3A24">
            <w:pPr>
              <w:spacing w:line="360" w:lineRule="auto"/>
              <w:jc w:val="center"/>
              <w:rPr>
                <w:rFonts w:ascii="Arial" w:hAnsi="Arial" w:cs="Arial"/>
                <w:color w:val="000000"/>
                <w:sz w:val="24"/>
                <w:szCs w:val="24"/>
              </w:rPr>
            </w:pPr>
            <w:r w:rsidRPr="0027044F">
              <w:rPr>
                <w:rFonts w:ascii="Arial" w:hAnsi="Arial" w:cs="Arial"/>
                <w:color w:val="000000"/>
                <w:sz w:val="24"/>
                <w:szCs w:val="24"/>
              </w:rPr>
              <w:lastRenderedPageBreak/>
              <w:t>028/2018-SRE</w:t>
            </w:r>
          </w:p>
        </w:tc>
        <w:tc>
          <w:tcPr>
            <w:tcW w:w="3830" w:type="dxa"/>
            <w:vAlign w:val="bottom"/>
          </w:tcPr>
          <w:p w14:paraId="78875573" w14:textId="21B576B1" w:rsidR="008B3A24" w:rsidRPr="0027044F" w:rsidRDefault="008B3A24" w:rsidP="008B3A24">
            <w:pPr>
              <w:spacing w:line="360" w:lineRule="auto"/>
              <w:jc w:val="center"/>
              <w:rPr>
                <w:rFonts w:ascii="Arial" w:hAnsi="Arial" w:cs="Arial"/>
                <w:color w:val="000000"/>
                <w:sz w:val="24"/>
                <w:szCs w:val="24"/>
              </w:rPr>
            </w:pPr>
            <w:r w:rsidRPr="0027044F">
              <w:rPr>
                <w:rFonts w:ascii="Arial" w:hAnsi="Arial" w:cs="Arial"/>
                <w:color w:val="000000"/>
                <w:sz w:val="24"/>
                <w:szCs w:val="24"/>
              </w:rPr>
              <w:t xml:space="preserve">RM &amp; CIA. Ltda. </w:t>
            </w:r>
            <w:r w:rsidR="000F05C5">
              <w:rPr>
                <w:rFonts w:ascii="Arial" w:hAnsi="Arial" w:cs="Arial"/>
                <w:color w:val="000000"/>
                <w:sz w:val="24"/>
                <w:szCs w:val="24"/>
              </w:rPr>
              <w:t>–</w:t>
            </w:r>
            <w:r w:rsidRPr="0027044F">
              <w:rPr>
                <w:rFonts w:ascii="Arial" w:hAnsi="Arial" w:cs="Arial"/>
                <w:color w:val="000000"/>
                <w:sz w:val="24"/>
                <w:szCs w:val="24"/>
              </w:rPr>
              <w:t xml:space="preserve"> EPP</w:t>
            </w:r>
          </w:p>
        </w:tc>
        <w:tc>
          <w:tcPr>
            <w:tcW w:w="1697" w:type="dxa"/>
            <w:vAlign w:val="bottom"/>
          </w:tcPr>
          <w:p w14:paraId="7AE602FA" w14:textId="0B7B2507" w:rsidR="008B3A24" w:rsidRPr="0027044F" w:rsidRDefault="008B3A24" w:rsidP="008B3A24">
            <w:pPr>
              <w:spacing w:line="360" w:lineRule="auto"/>
              <w:jc w:val="center"/>
              <w:rPr>
                <w:rFonts w:ascii="Arial" w:hAnsi="Arial" w:cs="Arial"/>
                <w:color w:val="000000"/>
                <w:sz w:val="24"/>
                <w:szCs w:val="24"/>
              </w:rPr>
            </w:pPr>
            <w:r w:rsidRPr="0027044F">
              <w:rPr>
                <w:rFonts w:ascii="Arial" w:hAnsi="Arial" w:cs="Arial"/>
                <w:color w:val="000000"/>
                <w:sz w:val="24"/>
                <w:szCs w:val="24"/>
              </w:rPr>
              <w:t>10.487094-0</w:t>
            </w:r>
          </w:p>
        </w:tc>
        <w:tc>
          <w:tcPr>
            <w:tcW w:w="2529" w:type="dxa"/>
            <w:vAlign w:val="bottom"/>
          </w:tcPr>
          <w:p w14:paraId="650D27BB" w14:textId="0E48355E" w:rsidR="008B3A24" w:rsidRPr="0027044F" w:rsidRDefault="008B3A24" w:rsidP="008B3A24">
            <w:pPr>
              <w:spacing w:line="360" w:lineRule="auto"/>
              <w:jc w:val="center"/>
              <w:rPr>
                <w:rFonts w:ascii="Arial" w:hAnsi="Arial" w:cs="Arial"/>
                <w:color w:val="000000"/>
                <w:sz w:val="24"/>
                <w:szCs w:val="24"/>
              </w:rPr>
            </w:pPr>
            <w:r w:rsidRPr="0027044F">
              <w:rPr>
                <w:rFonts w:ascii="Arial" w:hAnsi="Arial" w:cs="Arial"/>
                <w:color w:val="000000"/>
                <w:sz w:val="24"/>
                <w:szCs w:val="24"/>
              </w:rPr>
              <w:t>12.901.895/0001-14</w:t>
            </w:r>
          </w:p>
        </w:tc>
        <w:tc>
          <w:tcPr>
            <w:tcW w:w="1418" w:type="dxa"/>
            <w:vAlign w:val="bottom"/>
          </w:tcPr>
          <w:p w14:paraId="44BA14F7" w14:textId="033416FE" w:rsidR="008B3A24" w:rsidRPr="0027044F" w:rsidRDefault="008B3A24" w:rsidP="008B3A24">
            <w:pPr>
              <w:spacing w:line="360" w:lineRule="auto"/>
              <w:jc w:val="center"/>
              <w:rPr>
                <w:rFonts w:ascii="Arial" w:hAnsi="Arial" w:cs="Arial"/>
                <w:color w:val="000000"/>
                <w:sz w:val="24"/>
                <w:szCs w:val="24"/>
              </w:rPr>
            </w:pPr>
            <w:r w:rsidRPr="0027044F">
              <w:rPr>
                <w:rFonts w:ascii="Arial" w:hAnsi="Arial" w:cs="Arial"/>
                <w:color w:val="000000"/>
                <w:sz w:val="24"/>
                <w:szCs w:val="24"/>
              </w:rPr>
              <w:t>02/04/2018</w:t>
            </w:r>
          </w:p>
        </w:tc>
        <w:tc>
          <w:tcPr>
            <w:tcW w:w="1803" w:type="dxa"/>
          </w:tcPr>
          <w:p w14:paraId="740ADA97" w14:textId="77777777" w:rsidR="008B3A24" w:rsidRDefault="008B3A24" w:rsidP="008B3A24">
            <w:pPr>
              <w:spacing w:line="360" w:lineRule="auto"/>
              <w:jc w:val="center"/>
              <w:rPr>
                <w:rFonts w:ascii="Arial" w:hAnsi="Arial" w:cs="Arial"/>
                <w:sz w:val="24"/>
                <w:szCs w:val="24"/>
              </w:rPr>
            </w:pPr>
            <w:r w:rsidRPr="009E51E8">
              <w:rPr>
                <w:rFonts w:ascii="Arial" w:hAnsi="Arial" w:cs="Arial"/>
                <w:b/>
                <w:sz w:val="24"/>
                <w:szCs w:val="24"/>
              </w:rPr>
              <w:t>CO</w:t>
            </w:r>
          </w:p>
          <w:p w14:paraId="31C30E04" w14:textId="5F70CB30" w:rsidR="008B3A24" w:rsidRPr="009E51E8" w:rsidRDefault="008B3A24" w:rsidP="008B3A24">
            <w:pPr>
              <w:spacing w:line="360" w:lineRule="auto"/>
              <w:jc w:val="center"/>
              <w:rPr>
                <w:rFonts w:ascii="Arial" w:hAnsi="Arial" w:cs="Arial"/>
                <w:b/>
                <w:sz w:val="24"/>
                <w:szCs w:val="24"/>
              </w:rPr>
            </w:pPr>
            <w:r>
              <w:rPr>
                <w:rFonts w:ascii="Arial" w:hAnsi="Arial" w:cs="Arial"/>
                <w:sz w:val="24"/>
                <w:szCs w:val="24"/>
              </w:rPr>
              <w:t>2014 a 2018</w:t>
            </w:r>
          </w:p>
        </w:tc>
      </w:tr>
      <w:tr w:rsidR="00442079" w14:paraId="32C4E658" w14:textId="77777777" w:rsidTr="004B7C82">
        <w:trPr>
          <w:jc w:val="center"/>
        </w:trPr>
        <w:tc>
          <w:tcPr>
            <w:tcW w:w="2151" w:type="dxa"/>
            <w:vAlign w:val="bottom"/>
          </w:tcPr>
          <w:p w14:paraId="7C14C99B" w14:textId="2381B906" w:rsidR="00442079" w:rsidRPr="0027044F" w:rsidRDefault="00442079" w:rsidP="00442079">
            <w:pPr>
              <w:spacing w:line="360" w:lineRule="auto"/>
              <w:jc w:val="center"/>
              <w:rPr>
                <w:rFonts w:ascii="Arial" w:hAnsi="Arial" w:cs="Arial"/>
                <w:color w:val="000000"/>
                <w:sz w:val="24"/>
                <w:szCs w:val="24"/>
              </w:rPr>
            </w:pPr>
            <w:r w:rsidRPr="0027044F">
              <w:rPr>
                <w:rFonts w:ascii="Arial" w:hAnsi="Arial" w:cs="Arial"/>
                <w:color w:val="000000"/>
                <w:sz w:val="24"/>
                <w:szCs w:val="24"/>
              </w:rPr>
              <w:t>042/2018-SRE</w:t>
            </w:r>
          </w:p>
        </w:tc>
        <w:tc>
          <w:tcPr>
            <w:tcW w:w="3830" w:type="dxa"/>
            <w:vAlign w:val="bottom"/>
          </w:tcPr>
          <w:p w14:paraId="44874AAD" w14:textId="42A3CE35" w:rsidR="00442079" w:rsidRPr="0027044F" w:rsidRDefault="00442079" w:rsidP="00442079">
            <w:pPr>
              <w:spacing w:line="360" w:lineRule="auto"/>
              <w:jc w:val="center"/>
              <w:rPr>
                <w:rFonts w:ascii="Arial" w:hAnsi="Arial" w:cs="Arial"/>
                <w:color w:val="000000"/>
                <w:sz w:val="24"/>
                <w:szCs w:val="24"/>
              </w:rPr>
            </w:pPr>
            <w:r w:rsidRPr="0027044F">
              <w:rPr>
                <w:rFonts w:ascii="Arial" w:hAnsi="Arial" w:cs="Arial"/>
                <w:color w:val="000000"/>
                <w:sz w:val="24"/>
                <w:szCs w:val="24"/>
              </w:rPr>
              <w:t>Viação Asa Verde Ltda.</w:t>
            </w:r>
          </w:p>
        </w:tc>
        <w:tc>
          <w:tcPr>
            <w:tcW w:w="1697" w:type="dxa"/>
            <w:vAlign w:val="bottom"/>
          </w:tcPr>
          <w:p w14:paraId="1548A2FF" w14:textId="212A957B" w:rsidR="00442079" w:rsidRPr="0027044F" w:rsidRDefault="00442079" w:rsidP="00442079">
            <w:pPr>
              <w:spacing w:line="360" w:lineRule="auto"/>
              <w:jc w:val="center"/>
              <w:rPr>
                <w:rFonts w:ascii="Arial" w:hAnsi="Arial" w:cs="Arial"/>
                <w:color w:val="000000"/>
                <w:sz w:val="24"/>
                <w:szCs w:val="24"/>
              </w:rPr>
            </w:pPr>
            <w:r w:rsidRPr="0027044F">
              <w:rPr>
                <w:rFonts w:ascii="Arial" w:hAnsi="Arial" w:cs="Arial"/>
                <w:color w:val="000000"/>
                <w:sz w:val="24"/>
                <w:szCs w:val="24"/>
              </w:rPr>
              <w:t>10.194664-3</w:t>
            </w:r>
          </w:p>
        </w:tc>
        <w:tc>
          <w:tcPr>
            <w:tcW w:w="2529" w:type="dxa"/>
            <w:vAlign w:val="bottom"/>
          </w:tcPr>
          <w:p w14:paraId="1EA1C371" w14:textId="79B55B6F" w:rsidR="00442079" w:rsidRPr="0027044F" w:rsidRDefault="00442079" w:rsidP="00442079">
            <w:pPr>
              <w:spacing w:line="360" w:lineRule="auto"/>
              <w:jc w:val="center"/>
              <w:rPr>
                <w:rFonts w:ascii="Arial" w:hAnsi="Arial" w:cs="Arial"/>
                <w:color w:val="000000"/>
                <w:sz w:val="24"/>
                <w:szCs w:val="24"/>
              </w:rPr>
            </w:pPr>
            <w:r w:rsidRPr="0027044F">
              <w:rPr>
                <w:rFonts w:ascii="Arial" w:hAnsi="Arial" w:cs="Arial"/>
                <w:color w:val="000000"/>
                <w:sz w:val="24"/>
                <w:szCs w:val="24"/>
              </w:rPr>
              <w:t>02.620.813/0001-00</w:t>
            </w:r>
          </w:p>
        </w:tc>
        <w:tc>
          <w:tcPr>
            <w:tcW w:w="1418" w:type="dxa"/>
            <w:vAlign w:val="bottom"/>
          </w:tcPr>
          <w:p w14:paraId="3ED37F5F" w14:textId="3D81A3AA" w:rsidR="00442079" w:rsidRPr="0027044F" w:rsidRDefault="00442079" w:rsidP="00442079">
            <w:pPr>
              <w:spacing w:line="360" w:lineRule="auto"/>
              <w:jc w:val="center"/>
              <w:rPr>
                <w:rFonts w:ascii="Arial" w:hAnsi="Arial" w:cs="Arial"/>
                <w:color w:val="000000"/>
                <w:sz w:val="24"/>
                <w:szCs w:val="24"/>
              </w:rPr>
            </w:pPr>
            <w:r w:rsidRPr="0027044F">
              <w:rPr>
                <w:rFonts w:ascii="Arial" w:hAnsi="Arial" w:cs="Arial"/>
                <w:color w:val="000000"/>
                <w:sz w:val="24"/>
                <w:szCs w:val="24"/>
              </w:rPr>
              <w:t>08/11/2018</w:t>
            </w:r>
          </w:p>
        </w:tc>
        <w:tc>
          <w:tcPr>
            <w:tcW w:w="1803" w:type="dxa"/>
          </w:tcPr>
          <w:p w14:paraId="3B40C3C9" w14:textId="77777777" w:rsidR="00442079" w:rsidRDefault="00442079" w:rsidP="00442079">
            <w:pPr>
              <w:spacing w:line="360" w:lineRule="auto"/>
              <w:jc w:val="center"/>
              <w:rPr>
                <w:rFonts w:ascii="Arial" w:hAnsi="Arial" w:cs="Arial"/>
                <w:sz w:val="24"/>
                <w:szCs w:val="24"/>
              </w:rPr>
            </w:pPr>
            <w:r w:rsidRPr="009E51E8">
              <w:rPr>
                <w:rFonts w:ascii="Arial" w:hAnsi="Arial" w:cs="Arial"/>
                <w:b/>
                <w:sz w:val="24"/>
                <w:szCs w:val="24"/>
              </w:rPr>
              <w:t>CO</w:t>
            </w:r>
          </w:p>
          <w:p w14:paraId="52CA37A0" w14:textId="3EA3BBEE" w:rsidR="00442079" w:rsidRPr="009E51E8" w:rsidRDefault="00442079" w:rsidP="00442079">
            <w:pPr>
              <w:spacing w:line="360" w:lineRule="auto"/>
              <w:jc w:val="center"/>
              <w:rPr>
                <w:rFonts w:ascii="Arial" w:hAnsi="Arial" w:cs="Arial"/>
                <w:b/>
                <w:sz w:val="24"/>
                <w:szCs w:val="24"/>
              </w:rPr>
            </w:pPr>
            <w:r>
              <w:rPr>
                <w:rFonts w:ascii="Arial" w:hAnsi="Arial" w:cs="Arial"/>
                <w:sz w:val="24"/>
                <w:szCs w:val="24"/>
              </w:rPr>
              <w:t>2014 a 2018</w:t>
            </w:r>
          </w:p>
        </w:tc>
      </w:tr>
      <w:tr w:rsidR="006973DC" w14:paraId="747D0CA4" w14:textId="77777777" w:rsidTr="004B7C82">
        <w:trPr>
          <w:jc w:val="center"/>
        </w:trPr>
        <w:tc>
          <w:tcPr>
            <w:tcW w:w="2151" w:type="dxa"/>
            <w:vAlign w:val="bottom"/>
          </w:tcPr>
          <w:p w14:paraId="576CFA62" w14:textId="1F6EE7B0" w:rsidR="006973DC" w:rsidRPr="0027044F" w:rsidRDefault="006973DC" w:rsidP="006973DC">
            <w:pPr>
              <w:spacing w:line="360" w:lineRule="auto"/>
              <w:jc w:val="center"/>
              <w:rPr>
                <w:rFonts w:ascii="Arial" w:hAnsi="Arial" w:cs="Arial"/>
                <w:color w:val="000000"/>
                <w:sz w:val="24"/>
                <w:szCs w:val="24"/>
              </w:rPr>
            </w:pPr>
            <w:r w:rsidRPr="0027044F">
              <w:rPr>
                <w:rFonts w:ascii="Arial" w:hAnsi="Arial" w:cs="Arial"/>
                <w:color w:val="000000"/>
                <w:sz w:val="24"/>
                <w:szCs w:val="24"/>
              </w:rPr>
              <w:t>043/2018-SRE</w:t>
            </w:r>
          </w:p>
        </w:tc>
        <w:tc>
          <w:tcPr>
            <w:tcW w:w="3830" w:type="dxa"/>
            <w:vAlign w:val="bottom"/>
          </w:tcPr>
          <w:p w14:paraId="0ACE6509" w14:textId="7CBB15DD" w:rsidR="006973DC" w:rsidRPr="0027044F" w:rsidRDefault="006973DC" w:rsidP="006973DC">
            <w:pPr>
              <w:spacing w:line="360" w:lineRule="auto"/>
              <w:jc w:val="center"/>
              <w:rPr>
                <w:rFonts w:ascii="Arial" w:hAnsi="Arial" w:cs="Arial"/>
                <w:color w:val="000000"/>
                <w:sz w:val="24"/>
                <w:szCs w:val="24"/>
              </w:rPr>
            </w:pPr>
            <w:r w:rsidRPr="0027044F">
              <w:rPr>
                <w:rFonts w:ascii="Arial" w:hAnsi="Arial" w:cs="Arial"/>
                <w:color w:val="000000"/>
                <w:sz w:val="24"/>
                <w:szCs w:val="24"/>
              </w:rPr>
              <w:t>Cartonagem e Litografia Anapolina Ltda.</w:t>
            </w:r>
          </w:p>
        </w:tc>
        <w:tc>
          <w:tcPr>
            <w:tcW w:w="1697" w:type="dxa"/>
            <w:vAlign w:val="bottom"/>
          </w:tcPr>
          <w:p w14:paraId="2B06BF2C" w14:textId="3042C8B4" w:rsidR="006973DC" w:rsidRPr="0027044F" w:rsidRDefault="006973DC" w:rsidP="006973DC">
            <w:pPr>
              <w:spacing w:line="360" w:lineRule="auto"/>
              <w:jc w:val="center"/>
              <w:rPr>
                <w:rFonts w:ascii="Arial" w:hAnsi="Arial" w:cs="Arial"/>
                <w:color w:val="000000"/>
                <w:sz w:val="24"/>
                <w:szCs w:val="24"/>
              </w:rPr>
            </w:pPr>
            <w:r w:rsidRPr="0027044F">
              <w:rPr>
                <w:rFonts w:ascii="Arial" w:hAnsi="Arial" w:cs="Arial"/>
                <w:color w:val="000000"/>
                <w:sz w:val="24"/>
                <w:szCs w:val="24"/>
              </w:rPr>
              <w:t>10.192398-8</w:t>
            </w:r>
          </w:p>
        </w:tc>
        <w:tc>
          <w:tcPr>
            <w:tcW w:w="2529" w:type="dxa"/>
            <w:vAlign w:val="bottom"/>
          </w:tcPr>
          <w:p w14:paraId="3CE0B79A" w14:textId="0D1A8054" w:rsidR="006973DC" w:rsidRPr="0027044F" w:rsidRDefault="006973DC" w:rsidP="006973DC">
            <w:pPr>
              <w:spacing w:line="360" w:lineRule="auto"/>
              <w:jc w:val="center"/>
              <w:rPr>
                <w:rFonts w:ascii="Arial" w:hAnsi="Arial" w:cs="Arial"/>
                <w:color w:val="000000"/>
                <w:sz w:val="24"/>
                <w:szCs w:val="24"/>
              </w:rPr>
            </w:pPr>
            <w:r w:rsidRPr="0027044F">
              <w:rPr>
                <w:rFonts w:ascii="Arial" w:hAnsi="Arial" w:cs="Arial"/>
                <w:color w:val="000000"/>
                <w:sz w:val="24"/>
                <w:szCs w:val="24"/>
              </w:rPr>
              <w:t>25.121.120/0001-78</w:t>
            </w:r>
          </w:p>
        </w:tc>
        <w:tc>
          <w:tcPr>
            <w:tcW w:w="1418" w:type="dxa"/>
            <w:vAlign w:val="bottom"/>
          </w:tcPr>
          <w:p w14:paraId="13F066C4" w14:textId="4CB9CF50" w:rsidR="006973DC" w:rsidRPr="0027044F" w:rsidRDefault="006973DC" w:rsidP="006973DC">
            <w:pPr>
              <w:spacing w:line="360" w:lineRule="auto"/>
              <w:jc w:val="center"/>
              <w:rPr>
                <w:rFonts w:ascii="Arial" w:hAnsi="Arial" w:cs="Arial"/>
                <w:color w:val="000000"/>
                <w:sz w:val="24"/>
                <w:szCs w:val="24"/>
              </w:rPr>
            </w:pPr>
            <w:r w:rsidRPr="0027044F">
              <w:rPr>
                <w:rFonts w:ascii="Arial" w:hAnsi="Arial" w:cs="Arial"/>
                <w:color w:val="000000"/>
                <w:sz w:val="24"/>
                <w:szCs w:val="24"/>
              </w:rPr>
              <w:t>08/11/2018</w:t>
            </w:r>
          </w:p>
        </w:tc>
        <w:tc>
          <w:tcPr>
            <w:tcW w:w="1803" w:type="dxa"/>
          </w:tcPr>
          <w:p w14:paraId="05B94EDC" w14:textId="77777777" w:rsidR="006973DC" w:rsidRDefault="006973DC" w:rsidP="006973DC">
            <w:pPr>
              <w:spacing w:line="360" w:lineRule="auto"/>
              <w:jc w:val="center"/>
              <w:rPr>
                <w:rFonts w:ascii="Arial" w:hAnsi="Arial" w:cs="Arial"/>
                <w:sz w:val="24"/>
                <w:szCs w:val="24"/>
              </w:rPr>
            </w:pPr>
            <w:r w:rsidRPr="009E51E8">
              <w:rPr>
                <w:rFonts w:ascii="Arial" w:hAnsi="Arial" w:cs="Arial"/>
                <w:b/>
                <w:sz w:val="24"/>
                <w:szCs w:val="24"/>
              </w:rPr>
              <w:t>CO</w:t>
            </w:r>
          </w:p>
          <w:p w14:paraId="08A31C30" w14:textId="311314A8" w:rsidR="006973DC" w:rsidRPr="009E51E8" w:rsidRDefault="006973DC" w:rsidP="006973DC">
            <w:pPr>
              <w:spacing w:line="360" w:lineRule="auto"/>
              <w:jc w:val="center"/>
              <w:rPr>
                <w:rFonts w:ascii="Arial" w:hAnsi="Arial" w:cs="Arial"/>
                <w:b/>
                <w:sz w:val="24"/>
                <w:szCs w:val="24"/>
              </w:rPr>
            </w:pPr>
            <w:r>
              <w:rPr>
                <w:rFonts w:ascii="Arial" w:hAnsi="Arial" w:cs="Arial"/>
                <w:sz w:val="24"/>
                <w:szCs w:val="24"/>
              </w:rPr>
              <w:t>2014 a 2018</w:t>
            </w:r>
          </w:p>
        </w:tc>
      </w:tr>
      <w:tr w:rsidR="00B07B93" w14:paraId="535CA41E" w14:textId="77777777" w:rsidTr="004B7C82">
        <w:trPr>
          <w:jc w:val="center"/>
        </w:trPr>
        <w:tc>
          <w:tcPr>
            <w:tcW w:w="2151" w:type="dxa"/>
            <w:vAlign w:val="bottom"/>
          </w:tcPr>
          <w:p w14:paraId="5137DD28" w14:textId="5F848C58" w:rsidR="00B07B93" w:rsidRPr="0027044F" w:rsidRDefault="00B07B93" w:rsidP="00B07B93">
            <w:pPr>
              <w:spacing w:line="360" w:lineRule="auto"/>
              <w:jc w:val="center"/>
              <w:rPr>
                <w:rFonts w:ascii="Arial" w:hAnsi="Arial" w:cs="Arial"/>
                <w:color w:val="000000"/>
                <w:sz w:val="24"/>
                <w:szCs w:val="24"/>
              </w:rPr>
            </w:pPr>
            <w:r w:rsidRPr="0027044F">
              <w:rPr>
                <w:rFonts w:ascii="Arial" w:hAnsi="Arial" w:cs="Arial"/>
                <w:color w:val="000000"/>
                <w:sz w:val="24"/>
                <w:szCs w:val="24"/>
              </w:rPr>
              <w:t>047/2018-SRE</w:t>
            </w:r>
          </w:p>
        </w:tc>
        <w:tc>
          <w:tcPr>
            <w:tcW w:w="3830" w:type="dxa"/>
            <w:vAlign w:val="bottom"/>
          </w:tcPr>
          <w:p w14:paraId="672C17A1" w14:textId="7B08ED39" w:rsidR="00B07B93" w:rsidRPr="0027044F" w:rsidRDefault="00B07B93" w:rsidP="00B07B93">
            <w:pPr>
              <w:spacing w:line="360" w:lineRule="auto"/>
              <w:jc w:val="center"/>
              <w:rPr>
                <w:rFonts w:ascii="Arial" w:hAnsi="Arial" w:cs="Arial"/>
                <w:color w:val="000000"/>
                <w:sz w:val="24"/>
                <w:szCs w:val="24"/>
              </w:rPr>
            </w:pPr>
            <w:r w:rsidRPr="0027044F">
              <w:rPr>
                <w:rFonts w:ascii="Arial" w:hAnsi="Arial" w:cs="Arial"/>
                <w:color w:val="000000"/>
                <w:sz w:val="24"/>
                <w:szCs w:val="24"/>
              </w:rPr>
              <w:t>JP Moinho de Trigo Eireli</w:t>
            </w:r>
          </w:p>
        </w:tc>
        <w:tc>
          <w:tcPr>
            <w:tcW w:w="1697" w:type="dxa"/>
            <w:vAlign w:val="bottom"/>
          </w:tcPr>
          <w:p w14:paraId="21935C00" w14:textId="20819B12" w:rsidR="00B07B93" w:rsidRPr="0027044F" w:rsidRDefault="00B07B93" w:rsidP="00B07B93">
            <w:pPr>
              <w:spacing w:line="360" w:lineRule="auto"/>
              <w:jc w:val="center"/>
              <w:rPr>
                <w:rFonts w:ascii="Arial" w:hAnsi="Arial" w:cs="Arial"/>
                <w:color w:val="000000"/>
                <w:sz w:val="24"/>
                <w:szCs w:val="24"/>
              </w:rPr>
            </w:pPr>
            <w:r w:rsidRPr="0027044F">
              <w:rPr>
                <w:rFonts w:ascii="Arial" w:hAnsi="Arial" w:cs="Arial"/>
                <w:color w:val="000000"/>
                <w:sz w:val="24"/>
                <w:szCs w:val="24"/>
              </w:rPr>
              <w:t>10.429567-8</w:t>
            </w:r>
          </w:p>
        </w:tc>
        <w:tc>
          <w:tcPr>
            <w:tcW w:w="2529" w:type="dxa"/>
            <w:vAlign w:val="bottom"/>
          </w:tcPr>
          <w:p w14:paraId="2D3D1DAE" w14:textId="2726C2A7" w:rsidR="00B07B93" w:rsidRPr="0027044F" w:rsidRDefault="00B07B93" w:rsidP="00B07B93">
            <w:pPr>
              <w:spacing w:line="360" w:lineRule="auto"/>
              <w:jc w:val="center"/>
              <w:rPr>
                <w:rFonts w:ascii="Arial" w:hAnsi="Arial" w:cs="Arial"/>
                <w:color w:val="000000"/>
                <w:sz w:val="24"/>
                <w:szCs w:val="24"/>
              </w:rPr>
            </w:pPr>
            <w:r w:rsidRPr="0027044F">
              <w:rPr>
                <w:rFonts w:ascii="Arial" w:hAnsi="Arial" w:cs="Arial"/>
                <w:color w:val="000000"/>
                <w:sz w:val="24"/>
                <w:szCs w:val="24"/>
              </w:rPr>
              <w:t>09.392.865/0001-15</w:t>
            </w:r>
          </w:p>
        </w:tc>
        <w:tc>
          <w:tcPr>
            <w:tcW w:w="1418" w:type="dxa"/>
            <w:vAlign w:val="bottom"/>
          </w:tcPr>
          <w:p w14:paraId="1CA86019" w14:textId="15065497" w:rsidR="00B07B93" w:rsidRPr="0027044F" w:rsidRDefault="00B07B93" w:rsidP="00B07B93">
            <w:pPr>
              <w:spacing w:line="360" w:lineRule="auto"/>
              <w:jc w:val="center"/>
              <w:rPr>
                <w:rFonts w:ascii="Arial" w:hAnsi="Arial" w:cs="Arial"/>
                <w:color w:val="000000"/>
                <w:sz w:val="24"/>
                <w:szCs w:val="24"/>
              </w:rPr>
            </w:pPr>
            <w:r w:rsidRPr="0027044F">
              <w:rPr>
                <w:rFonts w:ascii="Arial" w:hAnsi="Arial" w:cs="Arial"/>
                <w:color w:val="000000"/>
                <w:sz w:val="24"/>
                <w:szCs w:val="24"/>
              </w:rPr>
              <w:t>08/11/2018</w:t>
            </w:r>
          </w:p>
        </w:tc>
        <w:tc>
          <w:tcPr>
            <w:tcW w:w="1803" w:type="dxa"/>
          </w:tcPr>
          <w:p w14:paraId="633C3AD4" w14:textId="25AC99BC" w:rsidR="00B07B93" w:rsidRDefault="00B07B93" w:rsidP="00B07B93">
            <w:pPr>
              <w:spacing w:line="360" w:lineRule="auto"/>
              <w:jc w:val="center"/>
              <w:rPr>
                <w:rFonts w:ascii="Arial" w:hAnsi="Arial" w:cs="Arial"/>
                <w:sz w:val="24"/>
                <w:szCs w:val="24"/>
              </w:rPr>
            </w:pPr>
            <w:r>
              <w:rPr>
                <w:rFonts w:ascii="Arial" w:hAnsi="Arial" w:cs="Arial"/>
                <w:b/>
                <w:sz w:val="24"/>
                <w:szCs w:val="24"/>
              </w:rPr>
              <w:t xml:space="preserve">FP + </w:t>
            </w:r>
            <w:r w:rsidRPr="009E51E8">
              <w:rPr>
                <w:rFonts w:ascii="Arial" w:hAnsi="Arial" w:cs="Arial"/>
                <w:b/>
                <w:sz w:val="24"/>
                <w:szCs w:val="24"/>
              </w:rPr>
              <w:t>CO</w:t>
            </w:r>
          </w:p>
          <w:p w14:paraId="027B684B" w14:textId="18A9C371" w:rsidR="00B07B93" w:rsidRPr="009E51E8" w:rsidRDefault="00B07B93" w:rsidP="00B07B93">
            <w:pPr>
              <w:spacing w:line="360" w:lineRule="auto"/>
              <w:jc w:val="center"/>
              <w:rPr>
                <w:rFonts w:ascii="Arial" w:hAnsi="Arial" w:cs="Arial"/>
                <w:b/>
                <w:sz w:val="24"/>
                <w:szCs w:val="24"/>
              </w:rPr>
            </w:pPr>
            <w:r>
              <w:rPr>
                <w:rFonts w:ascii="Arial" w:hAnsi="Arial" w:cs="Arial"/>
                <w:sz w:val="24"/>
                <w:szCs w:val="24"/>
              </w:rPr>
              <w:t>2014 a 2018</w:t>
            </w:r>
          </w:p>
        </w:tc>
      </w:tr>
      <w:tr w:rsidR="00841DF8" w14:paraId="65E2B714" w14:textId="77777777" w:rsidTr="004B7C82">
        <w:trPr>
          <w:jc w:val="center"/>
        </w:trPr>
        <w:tc>
          <w:tcPr>
            <w:tcW w:w="2151" w:type="dxa"/>
            <w:vAlign w:val="bottom"/>
          </w:tcPr>
          <w:p w14:paraId="27A7BA8C" w14:textId="377495F5" w:rsidR="00841DF8" w:rsidRPr="0027044F" w:rsidRDefault="00841DF8" w:rsidP="00841DF8">
            <w:pPr>
              <w:spacing w:line="360" w:lineRule="auto"/>
              <w:jc w:val="center"/>
              <w:rPr>
                <w:rFonts w:ascii="Arial" w:hAnsi="Arial" w:cs="Arial"/>
                <w:color w:val="000000"/>
                <w:sz w:val="24"/>
                <w:szCs w:val="24"/>
              </w:rPr>
            </w:pPr>
            <w:r w:rsidRPr="0027044F">
              <w:rPr>
                <w:rFonts w:ascii="Arial" w:hAnsi="Arial" w:cs="Arial"/>
                <w:color w:val="000000"/>
                <w:sz w:val="24"/>
                <w:szCs w:val="24"/>
              </w:rPr>
              <w:t>048/2018-SRE</w:t>
            </w:r>
          </w:p>
        </w:tc>
        <w:tc>
          <w:tcPr>
            <w:tcW w:w="3830" w:type="dxa"/>
            <w:vAlign w:val="bottom"/>
          </w:tcPr>
          <w:p w14:paraId="68AC619A" w14:textId="0EA9AC00" w:rsidR="00841DF8" w:rsidRPr="0027044F" w:rsidRDefault="00841DF8" w:rsidP="00841DF8">
            <w:pPr>
              <w:spacing w:line="360" w:lineRule="auto"/>
              <w:jc w:val="center"/>
              <w:rPr>
                <w:rFonts w:ascii="Arial" w:hAnsi="Arial" w:cs="Arial"/>
                <w:color w:val="000000"/>
                <w:sz w:val="24"/>
                <w:szCs w:val="24"/>
              </w:rPr>
            </w:pPr>
            <w:r w:rsidRPr="0027044F">
              <w:rPr>
                <w:rFonts w:ascii="Arial" w:hAnsi="Arial" w:cs="Arial"/>
                <w:color w:val="000000"/>
                <w:sz w:val="24"/>
                <w:szCs w:val="24"/>
              </w:rPr>
              <w:t>Fabiantex Ind. Com. Tec. Aviamentos Ltda</w:t>
            </w:r>
          </w:p>
        </w:tc>
        <w:tc>
          <w:tcPr>
            <w:tcW w:w="1697" w:type="dxa"/>
            <w:vAlign w:val="bottom"/>
          </w:tcPr>
          <w:p w14:paraId="38293B7F" w14:textId="1E38473B" w:rsidR="00841DF8" w:rsidRPr="0027044F" w:rsidRDefault="00841DF8" w:rsidP="00841DF8">
            <w:pPr>
              <w:spacing w:line="360" w:lineRule="auto"/>
              <w:jc w:val="center"/>
              <w:rPr>
                <w:rFonts w:ascii="Arial" w:hAnsi="Arial" w:cs="Arial"/>
                <w:color w:val="000000"/>
                <w:sz w:val="24"/>
                <w:szCs w:val="24"/>
              </w:rPr>
            </w:pPr>
            <w:r w:rsidRPr="0027044F">
              <w:rPr>
                <w:rFonts w:ascii="Arial" w:hAnsi="Arial" w:cs="Arial"/>
                <w:color w:val="000000"/>
                <w:sz w:val="24"/>
                <w:szCs w:val="24"/>
              </w:rPr>
              <w:t>10.275888-3</w:t>
            </w:r>
          </w:p>
        </w:tc>
        <w:tc>
          <w:tcPr>
            <w:tcW w:w="2529" w:type="dxa"/>
            <w:vAlign w:val="bottom"/>
          </w:tcPr>
          <w:p w14:paraId="20DC35DB" w14:textId="701163FE" w:rsidR="00841DF8" w:rsidRPr="0027044F" w:rsidRDefault="00841DF8" w:rsidP="00841DF8">
            <w:pPr>
              <w:spacing w:line="360" w:lineRule="auto"/>
              <w:jc w:val="center"/>
              <w:rPr>
                <w:rFonts w:ascii="Arial" w:hAnsi="Arial" w:cs="Arial"/>
                <w:color w:val="000000"/>
                <w:sz w:val="24"/>
                <w:szCs w:val="24"/>
              </w:rPr>
            </w:pPr>
            <w:r w:rsidRPr="0027044F">
              <w:rPr>
                <w:rFonts w:ascii="Arial" w:hAnsi="Arial" w:cs="Arial"/>
                <w:color w:val="000000"/>
                <w:sz w:val="24"/>
                <w:szCs w:val="24"/>
              </w:rPr>
              <w:t>00.740.727/0001-05</w:t>
            </w:r>
          </w:p>
        </w:tc>
        <w:tc>
          <w:tcPr>
            <w:tcW w:w="1418" w:type="dxa"/>
            <w:vAlign w:val="bottom"/>
          </w:tcPr>
          <w:p w14:paraId="3B0AC74F" w14:textId="66360500" w:rsidR="00841DF8" w:rsidRPr="0027044F" w:rsidRDefault="00841DF8" w:rsidP="00841DF8">
            <w:pPr>
              <w:spacing w:line="360" w:lineRule="auto"/>
              <w:jc w:val="center"/>
              <w:rPr>
                <w:rFonts w:ascii="Arial" w:hAnsi="Arial" w:cs="Arial"/>
                <w:color w:val="000000"/>
                <w:sz w:val="24"/>
                <w:szCs w:val="24"/>
              </w:rPr>
            </w:pPr>
            <w:r w:rsidRPr="0027044F">
              <w:rPr>
                <w:rFonts w:ascii="Arial" w:hAnsi="Arial" w:cs="Arial"/>
                <w:color w:val="000000"/>
                <w:sz w:val="24"/>
                <w:szCs w:val="24"/>
              </w:rPr>
              <w:t>08/11/2018</w:t>
            </w:r>
          </w:p>
        </w:tc>
        <w:tc>
          <w:tcPr>
            <w:tcW w:w="1803" w:type="dxa"/>
          </w:tcPr>
          <w:p w14:paraId="7D372000" w14:textId="77777777" w:rsidR="00841DF8" w:rsidRDefault="00841DF8" w:rsidP="00841DF8">
            <w:pPr>
              <w:spacing w:line="360" w:lineRule="auto"/>
              <w:jc w:val="center"/>
              <w:rPr>
                <w:rFonts w:ascii="Arial" w:hAnsi="Arial" w:cs="Arial"/>
                <w:sz w:val="24"/>
                <w:szCs w:val="24"/>
              </w:rPr>
            </w:pPr>
            <w:r w:rsidRPr="009E51E8">
              <w:rPr>
                <w:rFonts w:ascii="Arial" w:hAnsi="Arial" w:cs="Arial"/>
                <w:b/>
                <w:sz w:val="24"/>
                <w:szCs w:val="24"/>
              </w:rPr>
              <w:t>CO</w:t>
            </w:r>
          </w:p>
          <w:p w14:paraId="278CF6BF" w14:textId="46D3A034" w:rsidR="00841DF8" w:rsidRPr="009E51E8" w:rsidRDefault="00841DF8" w:rsidP="00841DF8">
            <w:pPr>
              <w:spacing w:line="360" w:lineRule="auto"/>
              <w:jc w:val="center"/>
              <w:rPr>
                <w:rFonts w:ascii="Arial" w:hAnsi="Arial" w:cs="Arial"/>
                <w:b/>
                <w:sz w:val="24"/>
                <w:szCs w:val="24"/>
              </w:rPr>
            </w:pPr>
            <w:r>
              <w:rPr>
                <w:rFonts w:ascii="Arial" w:hAnsi="Arial" w:cs="Arial"/>
                <w:sz w:val="24"/>
                <w:szCs w:val="24"/>
              </w:rPr>
              <w:t>2014 a 2018</w:t>
            </w:r>
          </w:p>
        </w:tc>
      </w:tr>
      <w:tr w:rsidR="00313CC9" w14:paraId="27FA14CC" w14:textId="77777777" w:rsidTr="004B7C82">
        <w:trPr>
          <w:jc w:val="center"/>
        </w:trPr>
        <w:tc>
          <w:tcPr>
            <w:tcW w:w="2151" w:type="dxa"/>
            <w:vAlign w:val="bottom"/>
          </w:tcPr>
          <w:p w14:paraId="6D4F70B5" w14:textId="30202C22" w:rsidR="00313CC9" w:rsidRPr="0027044F" w:rsidRDefault="00336319" w:rsidP="00313CC9">
            <w:pPr>
              <w:spacing w:line="360" w:lineRule="auto"/>
              <w:jc w:val="center"/>
              <w:rPr>
                <w:rFonts w:ascii="Arial" w:hAnsi="Arial" w:cs="Arial"/>
                <w:color w:val="000000"/>
                <w:sz w:val="24"/>
                <w:szCs w:val="24"/>
              </w:rPr>
            </w:pPr>
            <w:r w:rsidRPr="00336319">
              <w:rPr>
                <w:rFonts w:ascii="Arial" w:hAnsi="Arial" w:cs="Arial"/>
                <w:color w:val="000000"/>
                <w:sz w:val="24"/>
                <w:szCs w:val="24"/>
              </w:rPr>
              <w:t>049/2018-SRE</w:t>
            </w:r>
          </w:p>
        </w:tc>
        <w:tc>
          <w:tcPr>
            <w:tcW w:w="3830" w:type="dxa"/>
            <w:vAlign w:val="bottom"/>
          </w:tcPr>
          <w:p w14:paraId="1BA3D3EE" w14:textId="6B36821D" w:rsidR="00313CC9" w:rsidRPr="0027044F" w:rsidRDefault="00313CC9" w:rsidP="00313CC9">
            <w:pPr>
              <w:spacing w:line="360" w:lineRule="auto"/>
              <w:jc w:val="center"/>
              <w:rPr>
                <w:rFonts w:ascii="Arial" w:hAnsi="Arial" w:cs="Arial"/>
                <w:color w:val="000000"/>
                <w:sz w:val="24"/>
                <w:szCs w:val="24"/>
              </w:rPr>
            </w:pPr>
            <w:r w:rsidRPr="0027044F">
              <w:rPr>
                <w:rFonts w:ascii="Arial" w:hAnsi="Arial" w:cs="Arial"/>
                <w:color w:val="000000"/>
                <w:sz w:val="24"/>
                <w:szCs w:val="24"/>
              </w:rPr>
              <w:t>Alca Foods Limitada</w:t>
            </w:r>
          </w:p>
        </w:tc>
        <w:tc>
          <w:tcPr>
            <w:tcW w:w="1697" w:type="dxa"/>
            <w:vAlign w:val="bottom"/>
          </w:tcPr>
          <w:p w14:paraId="770614D2" w14:textId="252A85A1" w:rsidR="00313CC9" w:rsidRPr="0027044F" w:rsidRDefault="00313CC9" w:rsidP="00313CC9">
            <w:pPr>
              <w:spacing w:line="360" w:lineRule="auto"/>
              <w:jc w:val="center"/>
              <w:rPr>
                <w:rFonts w:ascii="Arial" w:hAnsi="Arial" w:cs="Arial"/>
                <w:color w:val="000000"/>
                <w:sz w:val="24"/>
                <w:szCs w:val="24"/>
              </w:rPr>
            </w:pPr>
            <w:r w:rsidRPr="0027044F">
              <w:rPr>
                <w:rFonts w:ascii="Arial" w:hAnsi="Arial" w:cs="Arial"/>
                <w:color w:val="000000"/>
                <w:sz w:val="24"/>
                <w:szCs w:val="24"/>
              </w:rPr>
              <w:t>10.273680-4</w:t>
            </w:r>
          </w:p>
        </w:tc>
        <w:tc>
          <w:tcPr>
            <w:tcW w:w="2529" w:type="dxa"/>
            <w:vAlign w:val="bottom"/>
          </w:tcPr>
          <w:p w14:paraId="3F59A171" w14:textId="6B5524F6" w:rsidR="00313CC9" w:rsidRPr="0027044F" w:rsidRDefault="00313CC9" w:rsidP="00313CC9">
            <w:pPr>
              <w:spacing w:line="360" w:lineRule="auto"/>
              <w:jc w:val="center"/>
              <w:rPr>
                <w:rFonts w:ascii="Arial" w:hAnsi="Arial" w:cs="Arial"/>
                <w:color w:val="000000"/>
                <w:sz w:val="24"/>
                <w:szCs w:val="24"/>
              </w:rPr>
            </w:pPr>
            <w:r w:rsidRPr="0027044F">
              <w:rPr>
                <w:rFonts w:ascii="Arial" w:hAnsi="Arial" w:cs="Arial"/>
                <w:color w:val="000000"/>
                <w:sz w:val="24"/>
                <w:szCs w:val="24"/>
              </w:rPr>
              <w:t>00.637.093/0001-60</w:t>
            </w:r>
          </w:p>
        </w:tc>
        <w:tc>
          <w:tcPr>
            <w:tcW w:w="1418" w:type="dxa"/>
            <w:vAlign w:val="bottom"/>
          </w:tcPr>
          <w:p w14:paraId="6C934E48" w14:textId="3C77E967" w:rsidR="00313CC9" w:rsidRPr="0027044F" w:rsidRDefault="00313CC9" w:rsidP="00313CC9">
            <w:pPr>
              <w:spacing w:line="360" w:lineRule="auto"/>
              <w:jc w:val="center"/>
              <w:rPr>
                <w:rFonts w:ascii="Arial" w:hAnsi="Arial" w:cs="Arial"/>
                <w:color w:val="000000"/>
                <w:sz w:val="24"/>
                <w:szCs w:val="24"/>
              </w:rPr>
            </w:pPr>
            <w:r w:rsidRPr="0027044F">
              <w:rPr>
                <w:rFonts w:ascii="Arial" w:hAnsi="Arial" w:cs="Arial"/>
                <w:color w:val="000000"/>
                <w:sz w:val="24"/>
                <w:szCs w:val="24"/>
              </w:rPr>
              <w:t>08/11/2018</w:t>
            </w:r>
          </w:p>
        </w:tc>
        <w:tc>
          <w:tcPr>
            <w:tcW w:w="1803" w:type="dxa"/>
          </w:tcPr>
          <w:p w14:paraId="25C588B1" w14:textId="77777777" w:rsidR="00E12D45" w:rsidRDefault="00E12D45" w:rsidP="00E12D45">
            <w:pPr>
              <w:spacing w:line="360" w:lineRule="auto"/>
              <w:jc w:val="center"/>
              <w:rPr>
                <w:rFonts w:ascii="Arial" w:hAnsi="Arial" w:cs="Arial"/>
                <w:sz w:val="24"/>
                <w:szCs w:val="24"/>
              </w:rPr>
            </w:pPr>
            <w:r>
              <w:rPr>
                <w:rFonts w:ascii="Arial" w:hAnsi="Arial" w:cs="Arial"/>
                <w:b/>
                <w:sz w:val="24"/>
                <w:szCs w:val="24"/>
              </w:rPr>
              <w:t xml:space="preserve">FP + </w:t>
            </w:r>
            <w:r w:rsidRPr="009E51E8">
              <w:rPr>
                <w:rFonts w:ascii="Arial" w:hAnsi="Arial" w:cs="Arial"/>
                <w:b/>
                <w:sz w:val="24"/>
                <w:szCs w:val="24"/>
              </w:rPr>
              <w:t>CO</w:t>
            </w:r>
          </w:p>
          <w:p w14:paraId="6A2EFF03" w14:textId="2619A60D" w:rsidR="00313CC9" w:rsidRPr="009E51E8" w:rsidRDefault="00E12D45" w:rsidP="00E12D45">
            <w:pPr>
              <w:spacing w:line="360" w:lineRule="auto"/>
              <w:jc w:val="center"/>
              <w:rPr>
                <w:rFonts w:ascii="Arial" w:hAnsi="Arial" w:cs="Arial"/>
                <w:b/>
                <w:sz w:val="24"/>
                <w:szCs w:val="24"/>
              </w:rPr>
            </w:pPr>
            <w:r>
              <w:rPr>
                <w:rFonts w:ascii="Arial" w:hAnsi="Arial" w:cs="Arial"/>
                <w:sz w:val="24"/>
                <w:szCs w:val="24"/>
              </w:rPr>
              <w:t>2014 a 2018</w:t>
            </w:r>
          </w:p>
        </w:tc>
      </w:tr>
      <w:tr w:rsidR="005C323D" w14:paraId="736E62F6" w14:textId="77777777" w:rsidTr="004B7C82">
        <w:trPr>
          <w:jc w:val="center"/>
        </w:trPr>
        <w:tc>
          <w:tcPr>
            <w:tcW w:w="2151" w:type="dxa"/>
            <w:vAlign w:val="bottom"/>
          </w:tcPr>
          <w:p w14:paraId="2CB4DCB3" w14:textId="75653640" w:rsidR="005C323D" w:rsidRPr="00336319" w:rsidRDefault="005C323D" w:rsidP="005C323D">
            <w:pPr>
              <w:spacing w:line="360" w:lineRule="auto"/>
              <w:jc w:val="center"/>
              <w:rPr>
                <w:rFonts w:ascii="Arial" w:hAnsi="Arial" w:cs="Arial"/>
                <w:color w:val="000000"/>
                <w:sz w:val="24"/>
                <w:szCs w:val="24"/>
              </w:rPr>
            </w:pPr>
            <w:r w:rsidRPr="005C323D">
              <w:rPr>
                <w:rFonts w:ascii="Arial" w:hAnsi="Arial" w:cs="Arial"/>
                <w:color w:val="000000"/>
                <w:sz w:val="24"/>
                <w:szCs w:val="24"/>
              </w:rPr>
              <w:t>056/2018-SRE</w:t>
            </w:r>
          </w:p>
        </w:tc>
        <w:tc>
          <w:tcPr>
            <w:tcW w:w="3830" w:type="dxa"/>
            <w:vAlign w:val="bottom"/>
          </w:tcPr>
          <w:p w14:paraId="31838C81" w14:textId="1215F808" w:rsidR="005C323D" w:rsidRPr="0027044F" w:rsidRDefault="005C323D" w:rsidP="005C323D">
            <w:pPr>
              <w:spacing w:line="360" w:lineRule="auto"/>
              <w:jc w:val="center"/>
              <w:rPr>
                <w:rFonts w:ascii="Arial" w:hAnsi="Arial" w:cs="Arial"/>
                <w:color w:val="000000"/>
                <w:sz w:val="24"/>
                <w:szCs w:val="24"/>
              </w:rPr>
            </w:pPr>
            <w:r w:rsidRPr="0027044F">
              <w:rPr>
                <w:rFonts w:ascii="Arial" w:hAnsi="Arial" w:cs="Arial"/>
                <w:color w:val="000000"/>
                <w:sz w:val="24"/>
                <w:szCs w:val="24"/>
              </w:rPr>
              <w:t>Frigorífico Terra do Boi Eireli</w:t>
            </w:r>
          </w:p>
        </w:tc>
        <w:tc>
          <w:tcPr>
            <w:tcW w:w="1697" w:type="dxa"/>
            <w:vAlign w:val="bottom"/>
          </w:tcPr>
          <w:p w14:paraId="1EB203A9" w14:textId="6FD90F50" w:rsidR="005C323D" w:rsidRPr="0027044F" w:rsidRDefault="005C323D" w:rsidP="005C323D">
            <w:pPr>
              <w:spacing w:line="360" w:lineRule="auto"/>
              <w:jc w:val="center"/>
              <w:rPr>
                <w:rFonts w:ascii="Arial" w:hAnsi="Arial" w:cs="Arial"/>
                <w:color w:val="000000"/>
                <w:sz w:val="24"/>
                <w:szCs w:val="24"/>
              </w:rPr>
            </w:pPr>
            <w:r w:rsidRPr="0027044F">
              <w:rPr>
                <w:rFonts w:ascii="Arial" w:hAnsi="Arial" w:cs="Arial"/>
                <w:color w:val="000000"/>
                <w:sz w:val="24"/>
                <w:szCs w:val="24"/>
              </w:rPr>
              <w:t>10.569347-2</w:t>
            </w:r>
          </w:p>
        </w:tc>
        <w:tc>
          <w:tcPr>
            <w:tcW w:w="2529" w:type="dxa"/>
            <w:vAlign w:val="bottom"/>
          </w:tcPr>
          <w:p w14:paraId="2E433938" w14:textId="752D6A0B" w:rsidR="005C323D" w:rsidRPr="0027044F" w:rsidRDefault="005C323D" w:rsidP="005C323D">
            <w:pPr>
              <w:spacing w:line="360" w:lineRule="auto"/>
              <w:jc w:val="center"/>
              <w:rPr>
                <w:rFonts w:ascii="Arial" w:hAnsi="Arial" w:cs="Arial"/>
                <w:color w:val="000000"/>
                <w:sz w:val="24"/>
                <w:szCs w:val="24"/>
              </w:rPr>
            </w:pPr>
            <w:r w:rsidRPr="0027044F">
              <w:rPr>
                <w:rFonts w:ascii="Arial" w:hAnsi="Arial" w:cs="Arial"/>
                <w:color w:val="000000"/>
                <w:sz w:val="24"/>
                <w:szCs w:val="24"/>
              </w:rPr>
              <w:t>04.315.703/0003-21</w:t>
            </w:r>
          </w:p>
        </w:tc>
        <w:tc>
          <w:tcPr>
            <w:tcW w:w="1418" w:type="dxa"/>
            <w:vAlign w:val="bottom"/>
          </w:tcPr>
          <w:p w14:paraId="63F6F67A" w14:textId="6A4A1D1B" w:rsidR="005C323D" w:rsidRPr="0027044F" w:rsidRDefault="005C323D" w:rsidP="005C323D">
            <w:pPr>
              <w:spacing w:line="360" w:lineRule="auto"/>
              <w:jc w:val="center"/>
              <w:rPr>
                <w:rFonts w:ascii="Arial" w:hAnsi="Arial" w:cs="Arial"/>
                <w:color w:val="000000"/>
                <w:sz w:val="24"/>
                <w:szCs w:val="24"/>
              </w:rPr>
            </w:pPr>
            <w:r w:rsidRPr="0027044F">
              <w:rPr>
                <w:rFonts w:ascii="Arial" w:hAnsi="Arial" w:cs="Arial"/>
                <w:color w:val="000000"/>
                <w:sz w:val="24"/>
                <w:szCs w:val="24"/>
              </w:rPr>
              <w:t>30/11/2018</w:t>
            </w:r>
          </w:p>
        </w:tc>
        <w:tc>
          <w:tcPr>
            <w:tcW w:w="1803" w:type="dxa"/>
          </w:tcPr>
          <w:p w14:paraId="5CBEBAB5" w14:textId="63627ECF" w:rsidR="00D22FA0" w:rsidRDefault="00D22FA0" w:rsidP="00D22FA0">
            <w:pPr>
              <w:spacing w:line="360" w:lineRule="auto"/>
              <w:jc w:val="center"/>
              <w:rPr>
                <w:rFonts w:ascii="Arial" w:hAnsi="Arial" w:cs="Arial"/>
                <w:sz w:val="24"/>
                <w:szCs w:val="24"/>
              </w:rPr>
            </w:pPr>
            <w:r w:rsidRPr="009E51E8">
              <w:rPr>
                <w:rFonts w:ascii="Arial" w:hAnsi="Arial" w:cs="Arial"/>
                <w:b/>
                <w:sz w:val="24"/>
                <w:szCs w:val="24"/>
              </w:rPr>
              <w:t>CO</w:t>
            </w:r>
          </w:p>
          <w:p w14:paraId="145A9E0F" w14:textId="1C0DA5E5" w:rsidR="005C323D" w:rsidRDefault="00D22FA0" w:rsidP="00D22FA0">
            <w:pPr>
              <w:spacing w:line="360" w:lineRule="auto"/>
              <w:jc w:val="center"/>
              <w:rPr>
                <w:rFonts w:ascii="Arial" w:hAnsi="Arial" w:cs="Arial"/>
                <w:b/>
                <w:sz w:val="24"/>
                <w:szCs w:val="24"/>
              </w:rPr>
            </w:pPr>
            <w:r>
              <w:rPr>
                <w:rFonts w:ascii="Arial" w:hAnsi="Arial" w:cs="Arial"/>
                <w:sz w:val="24"/>
                <w:szCs w:val="24"/>
              </w:rPr>
              <w:t>2014 a 2018</w:t>
            </w:r>
          </w:p>
        </w:tc>
      </w:tr>
      <w:tr w:rsidR="002810D6" w14:paraId="680DAC20" w14:textId="77777777" w:rsidTr="004B7C82">
        <w:trPr>
          <w:jc w:val="center"/>
        </w:trPr>
        <w:tc>
          <w:tcPr>
            <w:tcW w:w="13428" w:type="dxa"/>
            <w:gridSpan w:val="6"/>
            <w:vAlign w:val="bottom"/>
          </w:tcPr>
          <w:p w14:paraId="428E144D" w14:textId="5D60919B" w:rsidR="007D37A9" w:rsidRPr="007D37A9" w:rsidRDefault="007D37A9" w:rsidP="002810D6">
            <w:pPr>
              <w:spacing w:line="360" w:lineRule="auto"/>
              <w:jc w:val="both"/>
              <w:rPr>
                <w:rFonts w:ascii="Arial" w:hAnsi="Arial" w:cs="Arial"/>
                <w:b/>
                <w:sz w:val="24"/>
                <w:szCs w:val="24"/>
                <w:u w:val="single"/>
              </w:rPr>
            </w:pPr>
            <w:r w:rsidRPr="007D37A9">
              <w:rPr>
                <w:rFonts w:ascii="Arial" w:hAnsi="Arial" w:cs="Arial"/>
                <w:b/>
                <w:sz w:val="24"/>
                <w:szCs w:val="24"/>
                <w:u w:val="single"/>
              </w:rPr>
              <w:t>Legenda</w:t>
            </w:r>
          </w:p>
          <w:p w14:paraId="300853F0" w14:textId="0746CF5F" w:rsidR="002810D6" w:rsidRDefault="002810D6" w:rsidP="002810D6">
            <w:pPr>
              <w:spacing w:line="360" w:lineRule="auto"/>
              <w:jc w:val="both"/>
              <w:rPr>
                <w:rFonts w:ascii="Arial" w:hAnsi="Arial" w:cs="Arial"/>
                <w:sz w:val="24"/>
                <w:szCs w:val="24"/>
              </w:rPr>
            </w:pPr>
            <w:r>
              <w:rPr>
                <w:rFonts w:ascii="Arial" w:hAnsi="Arial" w:cs="Arial"/>
                <w:b/>
                <w:sz w:val="24"/>
                <w:szCs w:val="24"/>
              </w:rPr>
              <w:t>CO</w:t>
            </w:r>
            <w:r w:rsidRPr="002810D6">
              <w:rPr>
                <w:rFonts w:ascii="Arial" w:hAnsi="Arial" w:cs="Arial"/>
                <w:sz w:val="24"/>
                <w:szCs w:val="24"/>
              </w:rPr>
              <w:t>: crédito outorgado.</w:t>
            </w:r>
            <w:r>
              <w:rPr>
                <w:rFonts w:ascii="Arial" w:hAnsi="Arial" w:cs="Arial"/>
                <w:sz w:val="24"/>
                <w:szCs w:val="24"/>
              </w:rPr>
              <w:t xml:space="preserve"> </w:t>
            </w:r>
          </w:p>
          <w:p w14:paraId="575EB9E0" w14:textId="0EBB2299" w:rsidR="007D37A9" w:rsidRPr="007D37A9" w:rsidRDefault="002810D6" w:rsidP="002810D6">
            <w:pPr>
              <w:spacing w:line="360" w:lineRule="auto"/>
              <w:jc w:val="both"/>
              <w:rPr>
                <w:rFonts w:ascii="Arial" w:hAnsi="Arial" w:cs="Arial"/>
                <w:sz w:val="24"/>
                <w:szCs w:val="24"/>
              </w:rPr>
            </w:pPr>
            <w:r w:rsidRPr="002810D6">
              <w:rPr>
                <w:rFonts w:ascii="Arial" w:hAnsi="Arial" w:cs="Arial"/>
                <w:b/>
                <w:sz w:val="24"/>
                <w:szCs w:val="24"/>
              </w:rPr>
              <w:t>FP</w:t>
            </w:r>
            <w:r>
              <w:rPr>
                <w:rFonts w:ascii="Arial" w:hAnsi="Arial" w:cs="Arial"/>
                <w:sz w:val="24"/>
                <w:szCs w:val="24"/>
              </w:rPr>
              <w:t xml:space="preserve">: </w:t>
            </w:r>
            <w:r w:rsidR="0022716E">
              <w:rPr>
                <w:rFonts w:ascii="Arial" w:hAnsi="Arial" w:cs="Arial"/>
                <w:sz w:val="24"/>
                <w:szCs w:val="24"/>
              </w:rPr>
              <w:t xml:space="preserve">FOMENTAR </w:t>
            </w:r>
            <w:r>
              <w:rPr>
                <w:rFonts w:ascii="Arial" w:hAnsi="Arial" w:cs="Arial"/>
                <w:sz w:val="24"/>
                <w:szCs w:val="24"/>
              </w:rPr>
              <w:t xml:space="preserve">e/ou </w:t>
            </w:r>
            <w:r w:rsidR="0022716E">
              <w:rPr>
                <w:rFonts w:ascii="Arial" w:hAnsi="Arial" w:cs="Arial"/>
                <w:sz w:val="24"/>
                <w:szCs w:val="24"/>
              </w:rPr>
              <w:t>PRODUZIR</w:t>
            </w:r>
            <w:r w:rsidR="007D37A9">
              <w:rPr>
                <w:rFonts w:ascii="Arial" w:hAnsi="Arial" w:cs="Arial"/>
                <w:sz w:val="24"/>
                <w:szCs w:val="24"/>
              </w:rPr>
              <w:t>.</w:t>
            </w:r>
          </w:p>
        </w:tc>
      </w:tr>
    </w:tbl>
    <w:p w14:paraId="7464D403" w14:textId="77777777" w:rsidR="008D0829" w:rsidRDefault="008D0829" w:rsidP="0023798A">
      <w:pPr>
        <w:spacing w:line="360" w:lineRule="auto"/>
        <w:ind w:firstLine="851"/>
        <w:jc w:val="both"/>
        <w:rPr>
          <w:rFonts w:ascii="Arial" w:hAnsi="Arial" w:cs="Arial"/>
          <w:sz w:val="24"/>
          <w:szCs w:val="24"/>
        </w:rPr>
      </w:pPr>
    </w:p>
    <w:p w14:paraId="0DF3300A" w14:textId="77777777" w:rsidR="005374DE" w:rsidRDefault="005374DE" w:rsidP="0023798A">
      <w:pPr>
        <w:spacing w:line="360" w:lineRule="auto"/>
        <w:ind w:firstLine="851"/>
        <w:jc w:val="both"/>
        <w:rPr>
          <w:rFonts w:ascii="Arial" w:hAnsi="Arial" w:cs="Arial"/>
          <w:sz w:val="24"/>
          <w:szCs w:val="24"/>
        </w:rPr>
        <w:sectPr w:rsidR="005374DE" w:rsidSect="00A7203C">
          <w:pgSz w:w="16840" w:h="11900" w:orient="landscape"/>
          <w:pgMar w:top="1701" w:right="2268" w:bottom="851" w:left="1134" w:header="567" w:footer="284" w:gutter="0"/>
          <w:cols w:space="708"/>
          <w:docGrid w:linePitch="360"/>
        </w:sectPr>
      </w:pPr>
    </w:p>
    <w:p w14:paraId="1AA719BB" w14:textId="66F33AC7" w:rsidR="005374DE" w:rsidRDefault="005374DE" w:rsidP="0023798A">
      <w:pPr>
        <w:spacing w:line="360" w:lineRule="auto"/>
        <w:ind w:firstLine="851"/>
        <w:jc w:val="both"/>
        <w:rPr>
          <w:rFonts w:ascii="Arial" w:hAnsi="Arial" w:cs="Arial"/>
          <w:sz w:val="24"/>
          <w:szCs w:val="24"/>
        </w:rPr>
      </w:pPr>
      <w:r>
        <w:rPr>
          <w:rFonts w:ascii="Arial" w:hAnsi="Arial" w:cs="Arial"/>
          <w:sz w:val="24"/>
          <w:szCs w:val="24"/>
        </w:rPr>
        <w:lastRenderedPageBreak/>
        <w:t>D</w:t>
      </w:r>
      <w:r w:rsidR="00D95D9E">
        <w:rPr>
          <w:rFonts w:ascii="Arial" w:hAnsi="Arial" w:cs="Arial"/>
          <w:sz w:val="24"/>
          <w:szCs w:val="24"/>
        </w:rPr>
        <w:t>essa relação</w:t>
      </w:r>
      <w:r>
        <w:rPr>
          <w:rFonts w:ascii="Arial" w:hAnsi="Arial" w:cs="Arial"/>
          <w:sz w:val="24"/>
          <w:szCs w:val="24"/>
        </w:rPr>
        <w:t>, esta CPI de fato identificou que há empresas</w:t>
      </w:r>
      <w:r w:rsidR="00D95D9E">
        <w:rPr>
          <w:rFonts w:ascii="Arial" w:hAnsi="Arial" w:cs="Arial"/>
          <w:sz w:val="24"/>
          <w:szCs w:val="24"/>
        </w:rPr>
        <w:t xml:space="preserve"> que estão sendo executadas judicialmente visando à recuperação dos créditos tributários, a exemplo da empresa </w:t>
      </w:r>
      <w:r w:rsidR="00D95D9E" w:rsidRPr="00D95D9E">
        <w:rPr>
          <w:rFonts w:ascii="Arial" w:hAnsi="Arial" w:cs="Arial"/>
          <w:sz w:val="24"/>
          <w:szCs w:val="24"/>
        </w:rPr>
        <w:t xml:space="preserve">Frigorifico Frigoforte Ltda </w:t>
      </w:r>
      <w:r w:rsidR="0006143B">
        <w:rPr>
          <w:rFonts w:ascii="Arial" w:hAnsi="Arial" w:cs="Arial"/>
          <w:sz w:val="24"/>
          <w:szCs w:val="24"/>
        </w:rPr>
        <w:t>–</w:t>
      </w:r>
      <w:r w:rsidR="00D95D9E" w:rsidRPr="00D95D9E">
        <w:rPr>
          <w:rFonts w:ascii="Arial" w:hAnsi="Arial" w:cs="Arial"/>
          <w:sz w:val="24"/>
          <w:szCs w:val="24"/>
        </w:rPr>
        <w:t xml:space="preserve"> </w:t>
      </w:r>
      <w:r w:rsidR="0006143B" w:rsidRPr="00D95D9E">
        <w:rPr>
          <w:rFonts w:ascii="Arial" w:hAnsi="Arial" w:cs="Arial"/>
          <w:sz w:val="24"/>
          <w:szCs w:val="24"/>
        </w:rPr>
        <w:t xml:space="preserve">ME </w:t>
      </w:r>
      <w:r w:rsidR="00D95D9E">
        <w:rPr>
          <w:rFonts w:ascii="Arial" w:hAnsi="Arial" w:cs="Arial"/>
          <w:sz w:val="24"/>
          <w:szCs w:val="24"/>
        </w:rPr>
        <w:t xml:space="preserve">(CNPJ nº </w:t>
      </w:r>
      <w:r w:rsidR="00D95D9E" w:rsidRPr="0027044F">
        <w:rPr>
          <w:rFonts w:ascii="Arial" w:hAnsi="Arial" w:cs="Arial"/>
          <w:color w:val="000000"/>
          <w:sz w:val="24"/>
          <w:szCs w:val="24"/>
        </w:rPr>
        <w:t>25</w:t>
      </w:r>
      <w:r w:rsidR="00D95D9E">
        <w:rPr>
          <w:rFonts w:ascii="Arial" w:hAnsi="Arial" w:cs="Arial"/>
          <w:color w:val="000000"/>
          <w:sz w:val="24"/>
          <w:szCs w:val="24"/>
        </w:rPr>
        <w:t>.</w:t>
      </w:r>
      <w:r w:rsidR="00D95D9E" w:rsidRPr="0027044F">
        <w:rPr>
          <w:rFonts w:ascii="Arial" w:hAnsi="Arial" w:cs="Arial"/>
          <w:color w:val="000000"/>
          <w:sz w:val="24"/>
          <w:szCs w:val="24"/>
        </w:rPr>
        <w:t>127</w:t>
      </w:r>
      <w:r w:rsidR="00D95D9E">
        <w:rPr>
          <w:rFonts w:ascii="Arial" w:hAnsi="Arial" w:cs="Arial"/>
          <w:color w:val="000000"/>
          <w:sz w:val="24"/>
          <w:szCs w:val="24"/>
        </w:rPr>
        <w:t>.</w:t>
      </w:r>
      <w:r w:rsidR="00D95D9E" w:rsidRPr="0027044F">
        <w:rPr>
          <w:rFonts w:ascii="Arial" w:hAnsi="Arial" w:cs="Arial"/>
          <w:color w:val="000000"/>
          <w:sz w:val="24"/>
          <w:szCs w:val="24"/>
        </w:rPr>
        <w:t>978/0001-40</w:t>
      </w:r>
      <w:r w:rsidR="00D95D9E">
        <w:rPr>
          <w:rFonts w:ascii="Arial" w:hAnsi="Arial" w:cs="Arial"/>
          <w:sz w:val="24"/>
          <w:szCs w:val="24"/>
        </w:rPr>
        <w:t>)</w:t>
      </w:r>
      <w:r w:rsidR="00356464">
        <w:rPr>
          <w:rFonts w:ascii="Arial" w:hAnsi="Arial" w:cs="Arial"/>
          <w:sz w:val="24"/>
          <w:szCs w:val="24"/>
        </w:rPr>
        <w:t>,</w:t>
      </w:r>
      <w:r w:rsidR="00D95D9E">
        <w:rPr>
          <w:rFonts w:ascii="Arial" w:hAnsi="Arial" w:cs="Arial"/>
          <w:sz w:val="24"/>
          <w:szCs w:val="24"/>
        </w:rPr>
        <w:t xml:space="preserve"> que </w:t>
      </w:r>
      <w:r w:rsidR="0023798A">
        <w:rPr>
          <w:rFonts w:ascii="Arial" w:hAnsi="Arial" w:cs="Arial"/>
          <w:sz w:val="24"/>
          <w:szCs w:val="24"/>
        </w:rPr>
        <w:t xml:space="preserve">possui dezenas de execução fiscal ajuizadas em seu desfavor. </w:t>
      </w:r>
      <w:r w:rsidR="002A55F4">
        <w:rPr>
          <w:rFonts w:ascii="Arial" w:hAnsi="Arial" w:cs="Arial"/>
          <w:sz w:val="24"/>
          <w:szCs w:val="24"/>
        </w:rPr>
        <w:t>Porém, esta CPI não conseguiu identificar, numa análise perfunctória, se alguma dessas execuções tem por objeto a recuperação de créditos outorgados fruídos irregularmente.</w:t>
      </w:r>
    </w:p>
    <w:p w14:paraId="3B72D563" w14:textId="75E9AE46" w:rsidR="005374DE" w:rsidRDefault="0023798A" w:rsidP="0023798A">
      <w:pPr>
        <w:spacing w:line="360" w:lineRule="auto"/>
        <w:ind w:firstLine="851"/>
        <w:jc w:val="both"/>
        <w:rPr>
          <w:rFonts w:ascii="Arial" w:hAnsi="Arial" w:cs="Arial"/>
          <w:sz w:val="24"/>
          <w:szCs w:val="24"/>
        </w:rPr>
      </w:pPr>
      <w:r>
        <w:rPr>
          <w:rFonts w:ascii="Arial" w:hAnsi="Arial" w:cs="Arial"/>
          <w:sz w:val="24"/>
          <w:szCs w:val="24"/>
        </w:rPr>
        <w:t xml:space="preserve">No caso particular dessa empresa, constata-se </w:t>
      </w:r>
      <w:r w:rsidR="00984CF5">
        <w:rPr>
          <w:rFonts w:ascii="Arial" w:hAnsi="Arial" w:cs="Arial"/>
          <w:sz w:val="24"/>
          <w:szCs w:val="24"/>
        </w:rPr>
        <w:t xml:space="preserve">ainda </w:t>
      </w:r>
      <w:r>
        <w:rPr>
          <w:rFonts w:ascii="Arial" w:hAnsi="Arial" w:cs="Arial"/>
          <w:sz w:val="24"/>
          <w:szCs w:val="24"/>
        </w:rPr>
        <w:t xml:space="preserve">o nítido intuito de driblar o fisco, </w:t>
      </w:r>
      <w:r w:rsidR="008D0829">
        <w:rPr>
          <w:rFonts w:ascii="Arial" w:hAnsi="Arial" w:cs="Arial"/>
          <w:sz w:val="24"/>
          <w:szCs w:val="24"/>
        </w:rPr>
        <w:t xml:space="preserve">visto que os administradores constituíram outra pessoa jurídica de razão social similar, </w:t>
      </w:r>
      <w:r w:rsidR="008D0829" w:rsidRPr="0023798A">
        <w:rPr>
          <w:rFonts w:ascii="Arial" w:hAnsi="Arial" w:cs="Arial"/>
          <w:sz w:val="24"/>
          <w:szCs w:val="24"/>
        </w:rPr>
        <w:t xml:space="preserve">Frigo Prime </w:t>
      </w:r>
      <w:r w:rsidR="008D0829">
        <w:rPr>
          <w:rFonts w:ascii="Arial" w:hAnsi="Arial" w:cs="Arial"/>
          <w:sz w:val="24"/>
          <w:szCs w:val="24"/>
        </w:rPr>
        <w:t>Industria e Comercio de Carnes (</w:t>
      </w:r>
      <w:r w:rsidR="008D0829" w:rsidRPr="0023798A">
        <w:rPr>
          <w:rFonts w:ascii="Arial" w:hAnsi="Arial" w:cs="Arial"/>
          <w:sz w:val="24"/>
          <w:szCs w:val="24"/>
        </w:rPr>
        <w:t>CNPJ nº</w:t>
      </w:r>
      <w:r w:rsidR="008D0829">
        <w:rPr>
          <w:rFonts w:ascii="Arial" w:hAnsi="Arial" w:cs="Arial"/>
          <w:sz w:val="24"/>
          <w:szCs w:val="24"/>
        </w:rPr>
        <w:t xml:space="preserve"> </w:t>
      </w:r>
      <w:r w:rsidR="008D0829" w:rsidRPr="0023798A">
        <w:rPr>
          <w:rFonts w:ascii="Arial" w:hAnsi="Arial" w:cs="Arial"/>
          <w:sz w:val="24"/>
          <w:szCs w:val="24"/>
        </w:rPr>
        <w:t>25.099.650/0001-67</w:t>
      </w:r>
      <w:r w:rsidR="008D0829">
        <w:rPr>
          <w:rFonts w:ascii="Arial" w:hAnsi="Arial" w:cs="Arial"/>
          <w:sz w:val="24"/>
          <w:szCs w:val="24"/>
        </w:rPr>
        <w:t xml:space="preserve">), </w:t>
      </w:r>
      <w:r w:rsidR="00ED3580">
        <w:rPr>
          <w:rFonts w:ascii="Arial" w:hAnsi="Arial" w:cs="Arial"/>
          <w:sz w:val="24"/>
          <w:szCs w:val="24"/>
        </w:rPr>
        <w:t xml:space="preserve">com o fim inequívoco de continuar a exploração da mesma atividade comercial. </w:t>
      </w:r>
    </w:p>
    <w:p w14:paraId="6482C7EA" w14:textId="13F6BADB" w:rsidR="00DA7636" w:rsidRDefault="00ED3580" w:rsidP="0023798A">
      <w:pPr>
        <w:spacing w:line="360" w:lineRule="auto"/>
        <w:ind w:firstLine="851"/>
        <w:jc w:val="both"/>
        <w:rPr>
          <w:rFonts w:ascii="Arial" w:hAnsi="Arial" w:cs="Arial"/>
          <w:sz w:val="24"/>
          <w:szCs w:val="24"/>
        </w:rPr>
      </w:pPr>
      <w:r>
        <w:rPr>
          <w:rFonts w:ascii="Arial" w:hAnsi="Arial" w:cs="Arial"/>
          <w:sz w:val="24"/>
          <w:szCs w:val="24"/>
        </w:rPr>
        <w:t>A pedido da Procuradoria-Geral do Estado de Goiás, o Judiciário vem reconhecendo a sucessão empresarial</w:t>
      </w:r>
      <w:r w:rsidR="00546027">
        <w:rPr>
          <w:rFonts w:ascii="Arial" w:hAnsi="Arial" w:cs="Arial"/>
          <w:sz w:val="24"/>
          <w:szCs w:val="24"/>
        </w:rPr>
        <w:t xml:space="preserve"> da primeira pela última sociedade empresarial mencionada</w:t>
      </w:r>
      <w:r>
        <w:rPr>
          <w:rFonts w:ascii="Arial" w:hAnsi="Arial" w:cs="Arial"/>
          <w:sz w:val="24"/>
          <w:szCs w:val="24"/>
        </w:rPr>
        <w:t>, nos termos do art. 133 do CTN, conforme se infere da seguinte decisão judicial</w:t>
      </w:r>
      <w:r w:rsidR="002A2727">
        <w:rPr>
          <w:rFonts w:ascii="Arial" w:hAnsi="Arial" w:cs="Arial"/>
          <w:sz w:val="24"/>
          <w:szCs w:val="24"/>
        </w:rPr>
        <w:t xml:space="preserve"> (processo nº </w:t>
      </w:r>
      <w:r w:rsidR="002A2727" w:rsidRPr="002A2727">
        <w:rPr>
          <w:rFonts w:ascii="Arial" w:hAnsi="Arial" w:cs="Arial"/>
          <w:sz w:val="24"/>
          <w:szCs w:val="24"/>
        </w:rPr>
        <w:t>5597252.12.2019.8.09.0051</w:t>
      </w:r>
      <w:r w:rsidR="002A2727">
        <w:rPr>
          <w:rFonts w:ascii="Arial" w:hAnsi="Arial" w:cs="Arial"/>
          <w:sz w:val="24"/>
          <w:szCs w:val="24"/>
        </w:rPr>
        <w:t>)</w:t>
      </w:r>
      <w:r>
        <w:rPr>
          <w:rFonts w:ascii="Arial" w:hAnsi="Arial" w:cs="Arial"/>
          <w:sz w:val="24"/>
          <w:szCs w:val="24"/>
        </w:rPr>
        <w:t>:</w:t>
      </w:r>
    </w:p>
    <w:p w14:paraId="368FECDD" w14:textId="07E9C25C" w:rsidR="00ED3580" w:rsidRDefault="00ED3580" w:rsidP="0023798A">
      <w:pPr>
        <w:spacing w:line="360" w:lineRule="auto"/>
        <w:ind w:firstLine="851"/>
        <w:jc w:val="both"/>
        <w:rPr>
          <w:rFonts w:ascii="Arial" w:hAnsi="Arial" w:cs="Arial"/>
          <w:sz w:val="24"/>
          <w:szCs w:val="24"/>
        </w:rPr>
      </w:pPr>
    </w:p>
    <w:p w14:paraId="1CC9832B" w14:textId="77777777" w:rsidR="00ED3580" w:rsidRPr="00ED3580" w:rsidRDefault="00ED3580" w:rsidP="008D5153">
      <w:pPr>
        <w:ind w:left="2268"/>
        <w:jc w:val="both"/>
        <w:rPr>
          <w:rFonts w:ascii="Arial" w:hAnsi="Arial" w:cs="Arial"/>
          <w:sz w:val="22"/>
          <w:szCs w:val="22"/>
        </w:rPr>
      </w:pPr>
      <w:r w:rsidRPr="00ED3580">
        <w:rPr>
          <w:rFonts w:ascii="Arial" w:hAnsi="Arial" w:cs="Arial"/>
          <w:sz w:val="22"/>
          <w:szCs w:val="22"/>
        </w:rPr>
        <w:t xml:space="preserve">Na petição e documentos juntados no evento nº 10, o exequente pugna pelo reconhecimento da responsabilidade tributária por sucessão entre as empresas Frigorífico Frigoforte Ltda, CNPJ nº 25.127.978/0001-40, e a empresa Frigo Prime Indústria e Comércio de Carnes, CNPJ nº 25.099.650/0001-67. </w:t>
      </w:r>
    </w:p>
    <w:p w14:paraId="2DD1E837" w14:textId="0593E36D" w:rsidR="00ED3580" w:rsidRPr="00ED3580" w:rsidRDefault="00ED3580" w:rsidP="008D5153">
      <w:pPr>
        <w:ind w:left="2268"/>
        <w:jc w:val="both"/>
        <w:rPr>
          <w:rFonts w:ascii="Arial" w:hAnsi="Arial" w:cs="Arial"/>
          <w:sz w:val="22"/>
          <w:szCs w:val="22"/>
        </w:rPr>
      </w:pPr>
      <w:r w:rsidRPr="00ED3580">
        <w:rPr>
          <w:rFonts w:ascii="Arial" w:hAnsi="Arial" w:cs="Arial"/>
          <w:sz w:val="22"/>
          <w:szCs w:val="22"/>
        </w:rPr>
        <w:t>O Código Tributário Nacional, em seu art. 133, prevê a possibilidade de responsabilidade tributária entre empresas sucessoras, in verbis:</w:t>
      </w:r>
    </w:p>
    <w:p w14:paraId="158889AB" w14:textId="0354ABA3" w:rsidR="00ED3580" w:rsidRPr="00ED3580" w:rsidRDefault="00ED3580" w:rsidP="008D5153">
      <w:pPr>
        <w:ind w:left="2268"/>
        <w:jc w:val="both"/>
        <w:rPr>
          <w:rFonts w:ascii="Arial" w:hAnsi="Arial" w:cs="Arial"/>
          <w:sz w:val="22"/>
          <w:szCs w:val="22"/>
        </w:rPr>
      </w:pPr>
      <w:r w:rsidRPr="00ED3580">
        <w:rPr>
          <w:rFonts w:ascii="Arial" w:hAnsi="Arial" w:cs="Arial"/>
          <w:sz w:val="22"/>
          <w:szCs w:val="22"/>
        </w:rPr>
        <w:t>[...].</w:t>
      </w:r>
    </w:p>
    <w:p w14:paraId="6249472F" w14:textId="6C7EE398" w:rsidR="00ED3580" w:rsidRPr="00ED3580" w:rsidRDefault="00ED3580" w:rsidP="008D5153">
      <w:pPr>
        <w:ind w:left="2268"/>
        <w:jc w:val="both"/>
        <w:rPr>
          <w:rFonts w:ascii="Arial" w:hAnsi="Arial" w:cs="Arial"/>
          <w:sz w:val="22"/>
          <w:szCs w:val="22"/>
        </w:rPr>
      </w:pPr>
      <w:r w:rsidRPr="00ED3580">
        <w:rPr>
          <w:rFonts w:ascii="Arial" w:hAnsi="Arial" w:cs="Arial"/>
          <w:sz w:val="22"/>
          <w:szCs w:val="22"/>
        </w:rPr>
        <w:t>Pela análise dos documentos apresentados, nota-se que houve aquisição do fundo de comércio e continuidade na exploração da mesma atividade, utilização simultânea de endereços, maquinários, equipamentos e funcionários; relação de parentesco entre os sócios Elizoberto Antonio Silva, CPF nº 278.607.601-34 e José Barbosa dos Santos, CPF nº 253.779.221-15 e aumento e decréscimo de faturamento entre as empresas, caracterizando-se a sucessão tributária. Nesse sentido, o e. Tribunal de Justiça do Estado de Goiás já reconheceu a responsabilidade tributária por ocasião de sucessão empresarial:</w:t>
      </w:r>
    </w:p>
    <w:p w14:paraId="5AEE4158" w14:textId="2525D01C" w:rsidR="00ED3580" w:rsidRPr="00ED3580" w:rsidRDefault="00ED3580" w:rsidP="008D5153">
      <w:pPr>
        <w:ind w:left="2268"/>
        <w:jc w:val="both"/>
        <w:rPr>
          <w:rFonts w:ascii="Arial" w:hAnsi="Arial" w:cs="Arial"/>
          <w:sz w:val="22"/>
          <w:szCs w:val="22"/>
        </w:rPr>
      </w:pPr>
      <w:r w:rsidRPr="00ED3580">
        <w:rPr>
          <w:rFonts w:ascii="Arial" w:hAnsi="Arial" w:cs="Arial"/>
          <w:sz w:val="22"/>
          <w:szCs w:val="22"/>
        </w:rPr>
        <w:t>[...].</w:t>
      </w:r>
    </w:p>
    <w:p w14:paraId="36AD7786" w14:textId="57CC92C9" w:rsidR="00ED3580" w:rsidRPr="00ED3580" w:rsidRDefault="00ED3580" w:rsidP="008D5153">
      <w:pPr>
        <w:ind w:left="2268"/>
        <w:jc w:val="both"/>
        <w:rPr>
          <w:rFonts w:ascii="Arial" w:hAnsi="Arial" w:cs="Arial"/>
          <w:sz w:val="22"/>
          <w:szCs w:val="22"/>
        </w:rPr>
      </w:pPr>
      <w:r w:rsidRPr="00ED3580">
        <w:rPr>
          <w:rFonts w:ascii="Arial" w:hAnsi="Arial" w:cs="Arial"/>
          <w:sz w:val="22"/>
          <w:szCs w:val="22"/>
        </w:rPr>
        <w:t>Pelo exposto, defiro o pedido do exequente para em face da sucessão empresarial apontada, determinar a inclusão da sociedade empresária Frigo Prime Industria e Comercio de Carnes, CNPJ nº 25.099.650/0001-67, no polo passivo da execução, devendo esta responder integralmente pelos tributos devidos relativos à sociedade empresária Frigorífico Frigoforte Ltda, CNPJ nº 25.127.978/0001-40, na forma do art. 133, inciso II, do Código Tributário Nacional.</w:t>
      </w:r>
    </w:p>
    <w:p w14:paraId="121F46E1" w14:textId="19523240" w:rsidR="00ED3580" w:rsidRDefault="00ED3580" w:rsidP="0023798A">
      <w:pPr>
        <w:spacing w:line="360" w:lineRule="auto"/>
        <w:ind w:firstLine="851"/>
        <w:jc w:val="both"/>
        <w:rPr>
          <w:rFonts w:ascii="Arial" w:hAnsi="Arial" w:cs="Arial"/>
          <w:sz w:val="24"/>
          <w:szCs w:val="24"/>
        </w:rPr>
      </w:pPr>
    </w:p>
    <w:p w14:paraId="05BD38E9" w14:textId="594D9C2C" w:rsidR="002A2727" w:rsidRDefault="002A2727" w:rsidP="002A2727">
      <w:pPr>
        <w:spacing w:line="360" w:lineRule="auto"/>
        <w:ind w:firstLine="851"/>
        <w:jc w:val="both"/>
        <w:rPr>
          <w:rFonts w:ascii="Arial" w:hAnsi="Arial" w:cs="Arial"/>
          <w:color w:val="000000"/>
          <w:sz w:val="24"/>
          <w:szCs w:val="24"/>
        </w:rPr>
      </w:pPr>
      <w:r>
        <w:rPr>
          <w:rFonts w:ascii="Arial" w:hAnsi="Arial" w:cs="Arial"/>
          <w:sz w:val="24"/>
          <w:szCs w:val="24"/>
        </w:rPr>
        <w:lastRenderedPageBreak/>
        <w:t xml:space="preserve">De </w:t>
      </w:r>
      <w:r w:rsidR="002460F9">
        <w:rPr>
          <w:rFonts w:ascii="Arial" w:hAnsi="Arial" w:cs="Arial"/>
          <w:sz w:val="24"/>
          <w:szCs w:val="24"/>
        </w:rPr>
        <w:t>todo modo, recomenda-se que a</w:t>
      </w:r>
      <w:r w:rsidR="005374DE">
        <w:rPr>
          <w:rFonts w:ascii="Arial" w:hAnsi="Arial" w:cs="Arial"/>
          <w:color w:val="000000"/>
          <w:sz w:val="24"/>
          <w:szCs w:val="24"/>
        </w:rPr>
        <w:t xml:space="preserve">os </w:t>
      </w:r>
      <w:r w:rsidR="005374DE" w:rsidRPr="002460F9">
        <w:rPr>
          <w:rFonts w:ascii="Arial" w:hAnsi="Arial" w:cs="Arial"/>
          <w:b/>
          <w:color w:val="000000"/>
          <w:sz w:val="24"/>
          <w:szCs w:val="24"/>
        </w:rPr>
        <w:t>órgãos de controle</w:t>
      </w:r>
      <w:r w:rsidR="002460F9">
        <w:rPr>
          <w:rFonts w:ascii="Arial" w:hAnsi="Arial" w:cs="Arial"/>
          <w:color w:val="000000"/>
          <w:sz w:val="24"/>
          <w:szCs w:val="24"/>
        </w:rPr>
        <w:t>, notadamente a CGE/GO,</w:t>
      </w:r>
      <w:r w:rsidR="005374DE">
        <w:rPr>
          <w:rFonts w:ascii="Arial" w:hAnsi="Arial" w:cs="Arial"/>
          <w:color w:val="000000"/>
          <w:sz w:val="24"/>
          <w:szCs w:val="24"/>
        </w:rPr>
        <w:t xml:space="preserve"> cobrem as providências</w:t>
      </w:r>
      <w:r w:rsidR="002460F9">
        <w:rPr>
          <w:rFonts w:ascii="Arial" w:hAnsi="Arial" w:cs="Arial"/>
          <w:color w:val="000000"/>
          <w:sz w:val="24"/>
          <w:szCs w:val="24"/>
        </w:rPr>
        <w:t xml:space="preserve"> tomadas pelo fisco estadual e a PGE/GO visando à</w:t>
      </w:r>
      <w:r w:rsidR="005374DE">
        <w:rPr>
          <w:rFonts w:ascii="Arial" w:hAnsi="Arial" w:cs="Arial"/>
          <w:color w:val="000000"/>
          <w:sz w:val="24"/>
          <w:szCs w:val="24"/>
        </w:rPr>
        <w:t xml:space="preserve"> </w:t>
      </w:r>
      <w:r w:rsidR="002460F9">
        <w:rPr>
          <w:rFonts w:ascii="Arial" w:hAnsi="Arial" w:cs="Arial"/>
          <w:color w:val="000000"/>
          <w:sz w:val="24"/>
          <w:szCs w:val="24"/>
        </w:rPr>
        <w:t>recuperação do crédito tributário correspondente à fruição irregular por parte dessas empresas</w:t>
      </w:r>
      <w:r w:rsidR="005374DE">
        <w:rPr>
          <w:rFonts w:ascii="Arial" w:hAnsi="Arial" w:cs="Arial"/>
          <w:color w:val="000000"/>
          <w:sz w:val="24"/>
          <w:szCs w:val="24"/>
        </w:rPr>
        <w:t xml:space="preserve">, </w:t>
      </w:r>
      <w:r w:rsidR="0003163A">
        <w:rPr>
          <w:rFonts w:ascii="Arial" w:hAnsi="Arial" w:cs="Arial"/>
          <w:color w:val="000000"/>
          <w:sz w:val="24"/>
          <w:szCs w:val="24"/>
        </w:rPr>
        <w:t xml:space="preserve">bem como o </w:t>
      </w:r>
      <w:r w:rsidR="007A4383">
        <w:rPr>
          <w:rFonts w:ascii="Arial" w:hAnsi="Arial" w:cs="Arial"/>
          <w:color w:val="000000"/>
          <w:sz w:val="24"/>
          <w:szCs w:val="24"/>
        </w:rPr>
        <w:t xml:space="preserve">respectivo e constante </w:t>
      </w:r>
      <w:r w:rsidR="0003163A">
        <w:rPr>
          <w:rFonts w:ascii="Arial" w:hAnsi="Arial" w:cs="Arial"/>
          <w:color w:val="000000"/>
          <w:sz w:val="24"/>
          <w:szCs w:val="24"/>
        </w:rPr>
        <w:t>monitoramento</w:t>
      </w:r>
      <w:r w:rsidR="00C462BE">
        <w:rPr>
          <w:rFonts w:ascii="Arial" w:hAnsi="Arial" w:cs="Arial"/>
          <w:color w:val="000000"/>
          <w:sz w:val="24"/>
          <w:szCs w:val="24"/>
        </w:rPr>
        <w:t xml:space="preserve"> pelo fisco, a fim de</w:t>
      </w:r>
      <w:r w:rsidR="0003163A">
        <w:rPr>
          <w:rFonts w:ascii="Arial" w:hAnsi="Arial" w:cs="Arial"/>
          <w:color w:val="000000"/>
          <w:sz w:val="24"/>
          <w:szCs w:val="24"/>
        </w:rPr>
        <w:t xml:space="preserve"> </w:t>
      </w:r>
      <w:r w:rsidR="0019110D">
        <w:rPr>
          <w:rFonts w:ascii="Arial" w:hAnsi="Arial" w:cs="Arial"/>
          <w:color w:val="000000"/>
          <w:sz w:val="24"/>
          <w:szCs w:val="24"/>
        </w:rPr>
        <w:t>não perpetuar a fruição dos</w:t>
      </w:r>
      <w:r w:rsidR="0003163A">
        <w:rPr>
          <w:rFonts w:ascii="Arial" w:hAnsi="Arial" w:cs="Arial"/>
          <w:color w:val="000000"/>
          <w:sz w:val="24"/>
          <w:szCs w:val="24"/>
        </w:rPr>
        <w:t xml:space="preserve"> benef</w:t>
      </w:r>
      <w:r w:rsidR="0019110D">
        <w:rPr>
          <w:rFonts w:ascii="Arial" w:hAnsi="Arial" w:cs="Arial"/>
          <w:color w:val="000000"/>
          <w:sz w:val="24"/>
          <w:szCs w:val="24"/>
        </w:rPr>
        <w:t>ícios irregularmente</w:t>
      </w:r>
      <w:r w:rsidR="005374DE">
        <w:rPr>
          <w:rFonts w:ascii="Arial" w:hAnsi="Arial" w:cs="Arial"/>
          <w:color w:val="000000"/>
          <w:sz w:val="24"/>
          <w:szCs w:val="24"/>
        </w:rPr>
        <w:t>.</w:t>
      </w:r>
    </w:p>
    <w:p w14:paraId="5F20B71D" w14:textId="7CC9A705" w:rsidR="002944C5" w:rsidRPr="002944C5" w:rsidRDefault="000C1348" w:rsidP="000C1348">
      <w:pPr>
        <w:spacing w:line="360" w:lineRule="auto"/>
        <w:ind w:firstLine="851"/>
        <w:jc w:val="both"/>
        <w:rPr>
          <w:rFonts w:ascii="Arial" w:hAnsi="Arial" w:cs="Arial"/>
          <w:sz w:val="24"/>
          <w:szCs w:val="24"/>
        </w:rPr>
      </w:pPr>
      <w:r w:rsidRPr="002944C5">
        <w:rPr>
          <w:rFonts w:ascii="Arial" w:hAnsi="Arial" w:cs="Arial"/>
          <w:sz w:val="24"/>
          <w:szCs w:val="24"/>
        </w:rPr>
        <w:t xml:space="preserve">O </w:t>
      </w:r>
      <w:r w:rsidRPr="002944C5">
        <w:rPr>
          <w:rFonts w:ascii="Arial" w:hAnsi="Arial" w:cs="Arial"/>
          <w:b/>
          <w:sz w:val="24"/>
          <w:szCs w:val="24"/>
        </w:rPr>
        <w:t>segundo grupo</w:t>
      </w:r>
      <w:r w:rsidRPr="002944C5">
        <w:rPr>
          <w:rFonts w:ascii="Arial" w:hAnsi="Arial" w:cs="Arial"/>
          <w:sz w:val="24"/>
          <w:szCs w:val="24"/>
        </w:rPr>
        <w:t xml:space="preserve"> compõe-se, por conseguinte, das pessoas jurídicas que fruíram alguma espécie daqueles incentivos fiscais </w:t>
      </w:r>
      <w:r w:rsidR="002944C5" w:rsidRPr="002944C5">
        <w:rPr>
          <w:rFonts w:ascii="Arial" w:hAnsi="Arial" w:cs="Arial"/>
          <w:sz w:val="24"/>
          <w:szCs w:val="24"/>
        </w:rPr>
        <w:t>antes d</w:t>
      </w:r>
      <w:r w:rsidRPr="002944C5">
        <w:rPr>
          <w:rFonts w:ascii="Arial" w:hAnsi="Arial" w:cs="Arial"/>
          <w:sz w:val="24"/>
          <w:szCs w:val="24"/>
        </w:rPr>
        <w:t xml:space="preserve">o respectivo enquadramento </w:t>
      </w:r>
      <w:r w:rsidR="002944C5" w:rsidRPr="002944C5">
        <w:rPr>
          <w:rFonts w:ascii="Arial" w:hAnsi="Arial" w:cs="Arial"/>
          <w:sz w:val="24"/>
          <w:szCs w:val="24"/>
        </w:rPr>
        <w:t>como</w:t>
      </w:r>
      <w:r w:rsidRPr="002944C5">
        <w:rPr>
          <w:rFonts w:ascii="Arial" w:hAnsi="Arial" w:cs="Arial"/>
          <w:sz w:val="24"/>
          <w:szCs w:val="24"/>
        </w:rPr>
        <w:t xml:space="preserve"> “devedoras contumazes”, </w:t>
      </w:r>
      <w:r w:rsidR="002944C5" w:rsidRPr="002944C5">
        <w:rPr>
          <w:rFonts w:ascii="Arial" w:hAnsi="Arial" w:cs="Arial"/>
          <w:sz w:val="24"/>
          <w:szCs w:val="24"/>
        </w:rPr>
        <w:t xml:space="preserve">mas dentro do período de apuração desta CPI (2014 a 2018), o que pode indicar também a presença de </w:t>
      </w:r>
      <w:r w:rsidRPr="002944C5">
        <w:rPr>
          <w:rFonts w:ascii="Arial" w:hAnsi="Arial" w:cs="Arial"/>
          <w:sz w:val="24"/>
          <w:szCs w:val="24"/>
        </w:rPr>
        <w:t>irregularidade</w:t>
      </w:r>
      <w:r w:rsidR="000F6C75">
        <w:rPr>
          <w:rFonts w:ascii="Arial" w:hAnsi="Arial" w:cs="Arial"/>
          <w:sz w:val="24"/>
          <w:szCs w:val="24"/>
        </w:rPr>
        <w:t xml:space="preserve">, </w:t>
      </w:r>
      <w:r w:rsidR="0037623D">
        <w:rPr>
          <w:rFonts w:ascii="Arial" w:hAnsi="Arial" w:cs="Arial"/>
          <w:sz w:val="24"/>
          <w:szCs w:val="24"/>
        </w:rPr>
        <w:t>caso a inscrição em dívida ativa seja contemporânea à data de fruição</w:t>
      </w:r>
      <w:r w:rsidRPr="002944C5">
        <w:rPr>
          <w:rFonts w:ascii="Arial" w:hAnsi="Arial" w:cs="Arial"/>
          <w:sz w:val="24"/>
          <w:szCs w:val="24"/>
        </w:rPr>
        <w:t xml:space="preserve">. </w:t>
      </w:r>
    </w:p>
    <w:p w14:paraId="6B7A7060" w14:textId="747BE26C" w:rsidR="002944C5" w:rsidRDefault="002944C5" w:rsidP="000C1348">
      <w:pPr>
        <w:spacing w:line="360" w:lineRule="auto"/>
        <w:ind w:firstLine="851"/>
        <w:jc w:val="both"/>
        <w:rPr>
          <w:rFonts w:ascii="Arial" w:hAnsi="Arial" w:cs="Arial"/>
          <w:sz w:val="24"/>
          <w:szCs w:val="24"/>
        </w:rPr>
      </w:pPr>
      <w:r w:rsidRPr="002944C5">
        <w:rPr>
          <w:rFonts w:ascii="Arial" w:hAnsi="Arial" w:cs="Arial"/>
          <w:sz w:val="24"/>
          <w:szCs w:val="24"/>
        </w:rPr>
        <w:t xml:space="preserve">Isso porque, embora não tenha havido fruição </w:t>
      </w:r>
      <w:r w:rsidR="007D3F73">
        <w:rPr>
          <w:rFonts w:ascii="Arial" w:hAnsi="Arial" w:cs="Arial"/>
          <w:sz w:val="24"/>
          <w:szCs w:val="24"/>
        </w:rPr>
        <w:t xml:space="preserve">no exercício da declaração da </w:t>
      </w:r>
      <w:r w:rsidR="00FB263F" w:rsidRPr="002944C5">
        <w:rPr>
          <w:rFonts w:ascii="Arial" w:hAnsi="Arial" w:cs="Arial"/>
          <w:sz w:val="24"/>
          <w:szCs w:val="24"/>
        </w:rPr>
        <w:t xml:space="preserve">pessoa jurídica </w:t>
      </w:r>
      <w:r w:rsidR="007D3F73">
        <w:rPr>
          <w:rFonts w:ascii="Arial" w:hAnsi="Arial" w:cs="Arial"/>
          <w:sz w:val="24"/>
          <w:szCs w:val="24"/>
        </w:rPr>
        <w:t xml:space="preserve">como </w:t>
      </w:r>
      <w:r w:rsidRPr="002944C5">
        <w:rPr>
          <w:rFonts w:ascii="Arial" w:hAnsi="Arial" w:cs="Arial"/>
          <w:sz w:val="24"/>
          <w:szCs w:val="24"/>
        </w:rPr>
        <w:t>“devedora contumaz”</w:t>
      </w:r>
      <w:r w:rsidR="004758CA">
        <w:rPr>
          <w:rFonts w:ascii="Arial" w:hAnsi="Arial" w:cs="Arial"/>
          <w:sz w:val="24"/>
          <w:szCs w:val="24"/>
        </w:rPr>
        <w:t xml:space="preserve"> ou no </w:t>
      </w:r>
      <w:r w:rsidR="00BD5183">
        <w:rPr>
          <w:rFonts w:ascii="Arial" w:hAnsi="Arial" w:cs="Arial"/>
          <w:sz w:val="24"/>
          <w:szCs w:val="24"/>
        </w:rPr>
        <w:t xml:space="preserve">exercício </w:t>
      </w:r>
      <w:r w:rsidR="004758CA">
        <w:rPr>
          <w:rFonts w:ascii="Arial" w:hAnsi="Arial" w:cs="Arial"/>
          <w:sz w:val="24"/>
          <w:szCs w:val="24"/>
        </w:rPr>
        <w:t>subsequente</w:t>
      </w:r>
      <w:r w:rsidRPr="002944C5">
        <w:rPr>
          <w:rFonts w:ascii="Arial" w:hAnsi="Arial" w:cs="Arial"/>
          <w:sz w:val="24"/>
          <w:szCs w:val="24"/>
        </w:rPr>
        <w:t xml:space="preserve">, </w:t>
      </w:r>
      <w:r w:rsidRPr="00BD5183">
        <w:rPr>
          <w:rFonts w:ascii="Arial" w:hAnsi="Arial" w:cs="Arial"/>
          <w:sz w:val="24"/>
          <w:szCs w:val="24"/>
          <w:u w:val="single"/>
        </w:rPr>
        <w:t xml:space="preserve">revela-se plenamente possível – e mesmo provável – que a </w:t>
      </w:r>
      <w:r w:rsidR="00FB263F" w:rsidRPr="00BD5183">
        <w:rPr>
          <w:rFonts w:ascii="Arial" w:hAnsi="Arial" w:cs="Arial"/>
          <w:sz w:val="24"/>
          <w:szCs w:val="24"/>
          <w:u w:val="single"/>
        </w:rPr>
        <w:t xml:space="preserve">empresa </w:t>
      </w:r>
      <w:r w:rsidRPr="00BD5183">
        <w:rPr>
          <w:rFonts w:ascii="Arial" w:hAnsi="Arial" w:cs="Arial"/>
          <w:sz w:val="24"/>
          <w:szCs w:val="24"/>
          <w:u w:val="single"/>
        </w:rPr>
        <w:t>já viesse acumulando débitos de ICMS</w:t>
      </w:r>
      <w:r w:rsidR="004758CA" w:rsidRPr="00BD5183">
        <w:rPr>
          <w:rFonts w:ascii="Arial" w:hAnsi="Arial" w:cs="Arial"/>
          <w:sz w:val="24"/>
          <w:szCs w:val="24"/>
          <w:u w:val="single"/>
        </w:rPr>
        <w:t xml:space="preserve"> devido </w:t>
      </w:r>
      <w:r w:rsidR="002C07DA" w:rsidRPr="00BD5183">
        <w:rPr>
          <w:rFonts w:ascii="Arial" w:hAnsi="Arial" w:cs="Arial"/>
          <w:sz w:val="24"/>
          <w:szCs w:val="24"/>
          <w:u w:val="single"/>
        </w:rPr>
        <w:t>a sucessivas</w:t>
      </w:r>
      <w:r w:rsidR="004758CA" w:rsidRPr="00BD5183">
        <w:rPr>
          <w:rFonts w:ascii="Arial" w:hAnsi="Arial" w:cs="Arial"/>
          <w:sz w:val="24"/>
          <w:szCs w:val="24"/>
          <w:u w:val="single"/>
        </w:rPr>
        <w:t xml:space="preserve"> inscriç</w:t>
      </w:r>
      <w:r w:rsidR="002C07DA" w:rsidRPr="00BD5183">
        <w:rPr>
          <w:rFonts w:ascii="Arial" w:hAnsi="Arial" w:cs="Arial"/>
          <w:sz w:val="24"/>
          <w:szCs w:val="24"/>
          <w:u w:val="single"/>
        </w:rPr>
        <w:t>ões</w:t>
      </w:r>
      <w:r w:rsidR="004758CA" w:rsidRPr="00BD5183">
        <w:rPr>
          <w:rFonts w:ascii="Arial" w:hAnsi="Arial" w:cs="Arial"/>
          <w:sz w:val="24"/>
          <w:szCs w:val="24"/>
          <w:u w:val="single"/>
        </w:rPr>
        <w:t xml:space="preserve"> em dívida ativa</w:t>
      </w:r>
      <w:r w:rsidR="00C639FF" w:rsidRPr="00BD5183">
        <w:rPr>
          <w:rFonts w:ascii="Arial" w:hAnsi="Arial" w:cs="Arial"/>
          <w:sz w:val="24"/>
          <w:szCs w:val="24"/>
          <w:u w:val="single"/>
        </w:rPr>
        <w:t xml:space="preserve"> </w:t>
      </w:r>
      <w:r w:rsidR="002C07DA" w:rsidRPr="00BD5183">
        <w:rPr>
          <w:rFonts w:ascii="Arial" w:hAnsi="Arial" w:cs="Arial"/>
          <w:sz w:val="24"/>
          <w:szCs w:val="24"/>
          <w:u w:val="single"/>
        </w:rPr>
        <w:t>ao longo d</w:t>
      </w:r>
      <w:r w:rsidR="00C639FF" w:rsidRPr="00BD5183">
        <w:rPr>
          <w:rFonts w:ascii="Arial" w:hAnsi="Arial" w:cs="Arial"/>
          <w:sz w:val="24"/>
          <w:szCs w:val="24"/>
          <w:u w:val="single"/>
        </w:rPr>
        <w:t>os exercícios anteriores</w:t>
      </w:r>
      <w:r w:rsidRPr="002944C5">
        <w:rPr>
          <w:rFonts w:ascii="Arial" w:hAnsi="Arial" w:cs="Arial"/>
          <w:sz w:val="24"/>
          <w:szCs w:val="24"/>
        </w:rPr>
        <w:t>, o que pode coincidir com períodos em que efetivamente fruiu incentivos fiscais</w:t>
      </w:r>
      <w:r w:rsidR="00BD5183">
        <w:rPr>
          <w:rFonts w:ascii="Arial" w:hAnsi="Arial" w:cs="Arial"/>
          <w:sz w:val="24"/>
          <w:szCs w:val="24"/>
        </w:rPr>
        <w:t xml:space="preserve"> do Estado</w:t>
      </w:r>
      <w:r w:rsidRPr="002944C5">
        <w:rPr>
          <w:rFonts w:ascii="Arial" w:hAnsi="Arial" w:cs="Arial"/>
          <w:sz w:val="24"/>
          <w:szCs w:val="24"/>
        </w:rPr>
        <w:t>.</w:t>
      </w:r>
    </w:p>
    <w:p w14:paraId="7E607E22" w14:textId="060E8F90" w:rsidR="001E21FC" w:rsidRPr="002944C5" w:rsidRDefault="001E21FC" w:rsidP="000C1348">
      <w:pPr>
        <w:spacing w:line="360" w:lineRule="auto"/>
        <w:ind w:firstLine="851"/>
        <w:jc w:val="both"/>
        <w:rPr>
          <w:rFonts w:ascii="Arial" w:hAnsi="Arial" w:cs="Arial"/>
          <w:sz w:val="24"/>
          <w:szCs w:val="24"/>
        </w:rPr>
      </w:pPr>
      <w:r>
        <w:rPr>
          <w:rFonts w:ascii="Arial" w:hAnsi="Arial" w:cs="Arial"/>
          <w:sz w:val="24"/>
          <w:szCs w:val="24"/>
        </w:rPr>
        <w:t xml:space="preserve">Desse modo, apresenta-se na tabela a seguir as </w:t>
      </w:r>
      <w:r w:rsidRPr="008961A1">
        <w:rPr>
          <w:rFonts w:ascii="Arial" w:hAnsi="Arial" w:cs="Arial"/>
          <w:sz w:val="24"/>
          <w:szCs w:val="24"/>
          <w:u w:val="single"/>
        </w:rPr>
        <w:t>empresas que, dentro desse segundo grupo, mais gozaram de incentivos fiscais</w:t>
      </w:r>
      <w:r w:rsidR="00171256">
        <w:rPr>
          <w:rStyle w:val="Refdenotaderodap"/>
          <w:rFonts w:ascii="Arial" w:hAnsi="Arial" w:cs="Arial"/>
          <w:sz w:val="24"/>
          <w:szCs w:val="24"/>
          <w:u w:val="single"/>
        </w:rPr>
        <w:footnoteReference w:id="90"/>
      </w:r>
      <w:r w:rsidRPr="008961A1">
        <w:rPr>
          <w:rFonts w:ascii="Arial" w:hAnsi="Arial" w:cs="Arial"/>
          <w:sz w:val="24"/>
          <w:szCs w:val="24"/>
          <w:u w:val="single"/>
        </w:rPr>
        <w:t xml:space="preserve">, não necessariamente em ordem de valores, </w:t>
      </w:r>
      <w:r w:rsidR="005A330E" w:rsidRPr="008961A1">
        <w:rPr>
          <w:rFonts w:ascii="Arial" w:hAnsi="Arial" w:cs="Arial"/>
          <w:sz w:val="24"/>
          <w:szCs w:val="24"/>
          <w:u w:val="single"/>
        </w:rPr>
        <w:t>e que podem tê-los fruído após a respectiva inscrição em dívida ativa</w:t>
      </w:r>
      <w:r w:rsidR="005A330E">
        <w:rPr>
          <w:rFonts w:ascii="Arial" w:hAnsi="Arial" w:cs="Arial"/>
          <w:sz w:val="24"/>
          <w:szCs w:val="24"/>
        </w:rPr>
        <w:t>, o que deve ser apurado pelo fisco e órgãos de controle, notadamente a CGE/GO:</w:t>
      </w:r>
    </w:p>
    <w:p w14:paraId="10667528" w14:textId="03B9D194" w:rsidR="000C1348" w:rsidRDefault="000C1348" w:rsidP="0023798A">
      <w:pPr>
        <w:spacing w:line="360" w:lineRule="auto"/>
        <w:ind w:firstLine="851"/>
        <w:jc w:val="both"/>
        <w:rPr>
          <w:rFonts w:ascii="Arial" w:hAnsi="Arial" w:cs="Arial"/>
          <w:sz w:val="24"/>
          <w:szCs w:val="24"/>
        </w:rPr>
      </w:pPr>
    </w:p>
    <w:p w14:paraId="0AA9BE0F" w14:textId="77777777" w:rsidR="00171256" w:rsidRDefault="00171256" w:rsidP="0023798A">
      <w:pPr>
        <w:spacing w:line="360" w:lineRule="auto"/>
        <w:ind w:firstLine="851"/>
        <w:jc w:val="both"/>
        <w:rPr>
          <w:rFonts w:ascii="Arial" w:hAnsi="Arial" w:cs="Arial"/>
          <w:sz w:val="24"/>
          <w:szCs w:val="24"/>
        </w:rPr>
        <w:sectPr w:rsidR="00171256" w:rsidSect="005374DE">
          <w:pgSz w:w="11900" w:h="16840"/>
          <w:pgMar w:top="2268" w:right="851" w:bottom="1134" w:left="1701" w:header="567" w:footer="284" w:gutter="0"/>
          <w:cols w:space="708"/>
          <w:docGrid w:linePitch="360"/>
        </w:sectPr>
      </w:pPr>
    </w:p>
    <w:p w14:paraId="015E8E5B" w14:textId="4586AA87" w:rsidR="00ED3580" w:rsidRDefault="00ED3580" w:rsidP="0023798A">
      <w:pPr>
        <w:spacing w:line="360" w:lineRule="auto"/>
        <w:ind w:firstLine="851"/>
        <w:jc w:val="both"/>
        <w:rPr>
          <w:rFonts w:ascii="Arial" w:hAnsi="Arial" w:cs="Arial"/>
          <w:sz w:val="24"/>
          <w:szCs w:val="24"/>
        </w:rPr>
      </w:pPr>
    </w:p>
    <w:p w14:paraId="77793929" w14:textId="77777777" w:rsidR="00ED3580" w:rsidRDefault="00ED3580" w:rsidP="0023798A">
      <w:pPr>
        <w:spacing w:line="360" w:lineRule="auto"/>
        <w:ind w:firstLine="851"/>
        <w:jc w:val="both"/>
        <w:rPr>
          <w:rFonts w:ascii="Arial" w:hAnsi="Arial" w:cs="Arial"/>
          <w:sz w:val="24"/>
          <w:szCs w:val="24"/>
        </w:rPr>
      </w:pPr>
    </w:p>
    <w:tbl>
      <w:tblPr>
        <w:tblStyle w:val="Tabelacomgrade"/>
        <w:tblW w:w="14029" w:type="dxa"/>
        <w:tblLook w:val="04A0" w:firstRow="1" w:lastRow="0" w:firstColumn="1" w:lastColumn="0" w:noHBand="0" w:noVBand="1"/>
      </w:tblPr>
      <w:tblGrid>
        <w:gridCol w:w="2173"/>
        <w:gridCol w:w="3885"/>
        <w:gridCol w:w="1716"/>
        <w:gridCol w:w="2973"/>
        <w:gridCol w:w="1432"/>
        <w:gridCol w:w="1850"/>
      </w:tblGrid>
      <w:tr w:rsidR="00415103" w14:paraId="483A904F" w14:textId="77777777" w:rsidTr="007B6DDE">
        <w:tc>
          <w:tcPr>
            <w:tcW w:w="2173" w:type="dxa"/>
            <w:shd w:val="clear" w:color="auto" w:fill="D9D9D9" w:themeFill="background1" w:themeFillShade="D9"/>
          </w:tcPr>
          <w:p w14:paraId="20AF7C15" w14:textId="77777777" w:rsidR="005C6E48" w:rsidRDefault="005C6E48" w:rsidP="00EE3640">
            <w:pPr>
              <w:spacing w:line="360" w:lineRule="auto"/>
              <w:jc w:val="center"/>
              <w:rPr>
                <w:rFonts w:ascii="Arial" w:hAnsi="Arial" w:cs="Arial"/>
                <w:sz w:val="24"/>
                <w:szCs w:val="24"/>
              </w:rPr>
            </w:pPr>
            <w:r w:rsidRPr="0027044F">
              <w:rPr>
                <w:rFonts w:ascii="Arial" w:hAnsi="Arial" w:cs="Arial"/>
                <w:b/>
                <w:bCs/>
                <w:color w:val="000000"/>
                <w:sz w:val="24"/>
                <w:szCs w:val="24"/>
                <w:bdr w:val="none" w:sz="0" w:space="0" w:color="auto" w:frame="1"/>
              </w:rPr>
              <w:t>ATO DECLARATÓRIO</w:t>
            </w:r>
          </w:p>
        </w:tc>
        <w:tc>
          <w:tcPr>
            <w:tcW w:w="3885" w:type="dxa"/>
            <w:shd w:val="clear" w:color="auto" w:fill="D9D9D9" w:themeFill="background1" w:themeFillShade="D9"/>
          </w:tcPr>
          <w:p w14:paraId="0738009B" w14:textId="77777777" w:rsidR="005C6E48" w:rsidRDefault="005C6E48" w:rsidP="00EE3640">
            <w:pPr>
              <w:spacing w:line="360" w:lineRule="auto"/>
              <w:jc w:val="center"/>
              <w:rPr>
                <w:rFonts w:ascii="Arial" w:hAnsi="Arial" w:cs="Arial"/>
                <w:sz w:val="24"/>
                <w:szCs w:val="24"/>
              </w:rPr>
            </w:pPr>
            <w:r w:rsidRPr="0027044F">
              <w:rPr>
                <w:rFonts w:ascii="Arial" w:hAnsi="Arial" w:cs="Arial"/>
                <w:b/>
                <w:bCs/>
                <w:color w:val="000000"/>
                <w:sz w:val="24"/>
                <w:szCs w:val="24"/>
                <w:bdr w:val="none" w:sz="0" w:space="0" w:color="auto" w:frame="1"/>
              </w:rPr>
              <w:t>EMPRESA</w:t>
            </w:r>
            <w:r>
              <w:rPr>
                <w:rFonts w:ascii="Arial" w:hAnsi="Arial" w:cs="Arial"/>
                <w:b/>
                <w:bCs/>
                <w:color w:val="000000"/>
                <w:sz w:val="24"/>
                <w:szCs w:val="24"/>
                <w:bdr w:val="none" w:sz="0" w:space="0" w:color="auto" w:frame="1"/>
              </w:rPr>
              <w:t xml:space="preserve"> / RAZÃO SOCIAL</w:t>
            </w:r>
          </w:p>
        </w:tc>
        <w:tc>
          <w:tcPr>
            <w:tcW w:w="1716" w:type="dxa"/>
            <w:shd w:val="clear" w:color="auto" w:fill="D9D9D9" w:themeFill="background1" w:themeFillShade="D9"/>
          </w:tcPr>
          <w:p w14:paraId="0A7BFF05" w14:textId="77777777" w:rsidR="005C6E48" w:rsidRDefault="005C6E48" w:rsidP="00EE3640">
            <w:pPr>
              <w:jc w:val="center"/>
              <w:rPr>
                <w:rFonts w:ascii="Arial" w:hAnsi="Arial" w:cs="Arial"/>
                <w:b/>
                <w:bCs/>
                <w:color w:val="000000"/>
                <w:sz w:val="24"/>
                <w:szCs w:val="24"/>
                <w:bdr w:val="none" w:sz="0" w:space="0" w:color="auto" w:frame="1"/>
              </w:rPr>
            </w:pPr>
            <w:r w:rsidRPr="0027044F">
              <w:rPr>
                <w:rFonts w:ascii="Arial" w:hAnsi="Arial" w:cs="Arial"/>
                <w:b/>
                <w:bCs/>
                <w:color w:val="000000"/>
                <w:sz w:val="24"/>
                <w:szCs w:val="24"/>
                <w:bdr w:val="none" w:sz="0" w:space="0" w:color="auto" w:frame="1"/>
              </w:rPr>
              <w:t>INSCRIÇÃO</w:t>
            </w:r>
          </w:p>
          <w:p w14:paraId="51F32BF2" w14:textId="77777777" w:rsidR="005C6E48" w:rsidRDefault="005C6E48" w:rsidP="00EE3640">
            <w:pPr>
              <w:spacing w:line="360" w:lineRule="auto"/>
              <w:jc w:val="center"/>
              <w:rPr>
                <w:rFonts w:ascii="Arial" w:hAnsi="Arial" w:cs="Arial"/>
                <w:sz w:val="24"/>
                <w:szCs w:val="24"/>
              </w:rPr>
            </w:pPr>
            <w:r>
              <w:rPr>
                <w:rFonts w:ascii="Arial" w:hAnsi="Arial" w:cs="Arial"/>
                <w:b/>
                <w:bCs/>
                <w:color w:val="000000"/>
                <w:sz w:val="24"/>
                <w:szCs w:val="24"/>
                <w:bdr w:val="none" w:sz="0" w:space="0" w:color="auto" w:frame="1"/>
              </w:rPr>
              <w:t>ESTADUAL</w:t>
            </w:r>
          </w:p>
        </w:tc>
        <w:tc>
          <w:tcPr>
            <w:tcW w:w="2973" w:type="dxa"/>
            <w:shd w:val="clear" w:color="auto" w:fill="D9D9D9" w:themeFill="background1" w:themeFillShade="D9"/>
          </w:tcPr>
          <w:p w14:paraId="78E9C78A" w14:textId="77777777" w:rsidR="005C6E48" w:rsidRPr="00D74FBC" w:rsidRDefault="005C6E48" w:rsidP="00EE3640">
            <w:pPr>
              <w:spacing w:line="360" w:lineRule="auto"/>
              <w:jc w:val="center"/>
              <w:rPr>
                <w:rFonts w:ascii="Arial" w:hAnsi="Arial" w:cs="Arial"/>
                <w:b/>
                <w:sz w:val="24"/>
                <w:szCs w:val="24"/>
              </w:rPr>
            </w:pPr>
            <w:r w:rsidRPr="00D74FBC">
              <w:rPr>
                <w:rFonts w:ascii="Arial" w:hAnsi="Arial" w:cs="Arial"/>
                <w:b/>
                <w:sz w:val="24"/>
                <w:szCs w:val="24"/>
              </w:rPr>
              <w:t>CNPJ/MF</w:t>
            </w:r>
          </w:p>
        </w:tc>
        <w:tc>
          <w:tcPr>
            <w:tcW w:w="1432" w:type="dxa"/>
            <w:shd w:val="clear" w:color="auto" w:fill="D9D9D9" w:themeFill="background1" w:themeFillShade="D9"/>
          </w:tcPr>
          <w:p w14:paraId="3B98F72A" w14:textId="77777777" w:rsidR="005C6E48" w:rsidRPr="00D74FBC" w:rsidRDefault="005C6E48" w:rsidP="00EE3640">
            <w:pPr>
              <w:spacing w:line="360" w:lineRule="auto"/>
              <w:jc w:val="center"/>
              <w:rPr>
                <w:rFonts w:ascii="Arial" w:hAnsi="Arial" w:cs="Arial"/>
                <w:b/>
                <w:sz w:val="24"/>
                <w:szCs w:val="24"/>
              </w:rPr>
            </w:pPr>
            <w:r w:rsidRPr="00D74FBC">
              <w:rPr>
                <w:rFonts w:ascii="Arial" w:hAnsi="Arial" w:cs="Arial"/>
                <w:b/>
                <w:sz w:val="24"/>
                <w:szCs w:val="24"/>
              </w:rPr>
              <w:t>DOE</w:t>
            </w:r>
          </w:p>
        </w:tc>
        <w:tc>
          <w:tcPr>
            <w:tcW w:w="1850" w:type="dxa"/>
            <w:shd w:val="clear" w:color="auto" w:fill="D9D9D9" w:themeFill="background1" w:themeFillShade="D9"/>
          </w:tcPr>
          <w:p w14:paraId="764ECDD0" w14:textId="77777777" w:rsidR="005C6E48" w:rsidRPr="00D74FBC" w:rsidRDefault="005C6E48" w:rsidP="00EE3640">
            <w:pPr>
              <w:spacing w:line="360" w:lineRule="auto"/>
              <w:jc w:val="center"/>
              <w:rPr>
                <w:rFonts w:ascii="Arial" w:hAnsi="Arial" w:cs="Arial"/>
                <w:b/>
                <w:sz w:val="24"/>
                <w:szCs w:val="24"/>
              </w:rPr>
            </w:pPr>
            <w:r>
              <w:rPr>
                <w:rFonts w:ascii="Arial" w:hAnsi="Arial" w:cs="Arial"/>
                <w:b/>
                <w:sz w:val="24"/>
                <w:szCs w:val="24"/>
              </w:rPr>
              <w:t>BENEFÍCIO E ANO</w:t>
            </w:r>
          </w:p>
        </w:tc>
      </w:tr>
      <w:tr w:rsidR="004A5AB1" w14:paraId="6FCB2636" w14:textId="77777777" w:rsidTr="00656AB7">
        <w:tc>
          <w:tcPr>
            <w:tcW w:w="2173" w:type="dxa"/>
            <w:vAlign w:val="bottom"/>
          </w:tcPr>
          <w:p w14:paraId="09BF0856" w14:textId="648CCE61" w:rsidR="005C6E48" w:rsidRDefault="005C6E48" w:rsidP="005C6E48">
            <w:pPr>
              <w:spacing w:line="360" w:lineRule="auto"/>
              <w:jc w:val="center"/>
              <w:rPr>
                <w:rFonts w:ascii="Arial" w:hAnsi="Arial" w:cs="Arial"/>
                <w:sz w:val="24"/>
                <w:szCs w:val="24"/>
              </w:rPr>
            </w:pPr>
            <w:r w:rsidRPr="0027044F">
              <w:rPr>
                <w:rFonts w:ascii="Arial" w:hAnsi="Arial" w:cs="Arial"/>
                <w:color w:val="000000"/>
                <w:sz w:val="24"/>
                <w:szCs w:val="24"/>
              </w:rPr>
              <w:t>001/2017-SRE</w:t>
            </w:r>
          </w:p>
        </w:tc>
        <w:tc>
          <w:tcPr>
            <w:tcW w:w="3885" w:type="dxa"/>
            <w:vAlign w:val="bottom"/>
          </w:tcPr>
          <w:p w14:paraId="00AF725C" w14:textId="0540D0A2" w:rsidR="005C6E48" w:rsidRDefault="005C6E48" w:rsidP="005C6E48">
            <w:pPr>
              <w:spacing w:line="360" w:lineRule="auto"/>
              <w:jc w:val="center"/>
              <w:rPr>
                <w:rFonts w:ascii="Arial" w:hAnsi="Arial" w:cs="Arial"/>
                <w:sz w:val="24"/>
                <w:szCs w:val="24"/>
              </w:rPr>
            </w:pPr>
            <w:r w:rsidRPr="0027044F">
              <w:rPr>
                <w:rFonts w:ascii="Arial" w:hAnsi="Arial" w:cs="Arial"/>
                <w:color w:val="000000"/>
                <w:sz w:val="24"/>
                <w:szCs w:val="24"/>
              </w:rPr>
              <w:t>Irontec Const Metálica e Com Ltda</w:t>
            </w:r>
          </w:p>
        </w:tc>
        <w:tc>
          <w:tcPr>
            <w:tcW w:w="1716" w:type="dxa"/>
            <w:vAlign w:val="bottom"/>
          </w:tcPr>
          <w:p w14:paraId="65C2DFDA" w14:textId="37F70177" w:rsidR="005C6E48" w:rsidRDefault="005C6E48" w:rsidP="005C6E48">
            <w:pPr>
              <w:spacing w:line="360" w:lineRule="auto"/>
              <w:jc w:val="center"/>
              <w:rPr>
                <w:rFonts w:ascii="Arial" w:hAnsi="Arial" w:cs="Arial"/>
                <w:sz w:val="24"/>
                <w:szCs w:val="24"/>
              </w:rPr>
            </w:pPr>
            <w:r w:rsidRPr="0027044F">
              <w:rPr>
                <w:rFonts w:ascii="Arial" w:hAnsi="Arial" w:cs="Arial"/>
                <w:color w:val="000000"/>
                <w:sz w:val="24"/>
                <w:szCs w:val="24"/>
              </w:rPr>
              <w:t>10</w:t>
            </w:r>
            <w:r w:rsidR="004A5AB1">
              <w:rPr>
                <w:rFonts w:ascii="Arial" w:hAnsi="Arial" w:cs="Arial"/>
                <w:color w:val="000000"/>
                <w:sz w:val="24"/>
                <w:szCs w:val="24"/>
              </w:rPr>
              <w:t>.</w:t>
            </w:r>
            <w:r w:rsidRPr="0027044F">
              <w:rPr>
                <w:rFonts w:ascii="Arial" w:hAnsi="Arial" w:cs="Arial"/>
                <w:color w:val="000000"/>
                <w:sz w:val="24"/>
                <w:szCs w:val="24"/>
              </w:rPr>
              <w:t>370316</w:t>
            </w:r>
            <w:r w:rsidR="004A5AB1">
              <w:rPr>
                <w:rFonts w:ascii="Arial" w:hAnsi="Arial" w:cs="Arial"/>
                <w:color w:val="000000"/>
                <w:sz w:val="24"/>
                <w:szCs w:val="24"/>
              </w:rPr>
              <w:t>-</w:t>
            </w:r>
            <w:r w:rsidRPr="0027044F">
              <w:rPr>
                <w:rFonts w:ascii="Arial" w:hAnsi="Arial" w:cs="Arial"/>
                <w:color w:val="000000"/>
                <w:sz w:val="24"/>
                <w:szCs w:val="24"/>
              </w:rPr>
              <w:t>0</w:t>
            </w:r>
          </w:p>
        </w:tc>
        <w:tc>
          <w:tcPr>
            <w:tcW w:w="2973" w:type="dxa"/>
            <w:vAlign w:val="bottom"/>
          </w:tcPr>
          <w:p w14:paraId="0012A363" w14:textId="24DF7F39" w:rsidR="005C6E48" w:rsidRDefault="005C6E48" w:rsidP="005C6E48">
            <w:pPr>
              <w:spacing w:line="360" w:lineRule="auto"/>
              <w:jc w:val="center"/>
              <w:rPr>
                <w:rFonts w:ascii="Arial" w:hAnsi="Arial" w:cs="Arial"/>
                <w:sz w:val="24"/>
                <w:szCs w:val="24"/>
              </w:rPr>
            </w:pPr>
            <w:r w:rsidRPr="0027044F">
              <w:rPr>
                <w:rFonts w:ascii="Arial" w:hAnsi="Arial" w:cs="Arial"/>
                <w:color w:val="000000"/>
                <w:sz w:val="24"/>
                <w:szCs w:val="24"/>
              </w:rPr>
              <w:t>06</w:t>
            </w:r>
            <w:r w:rsidR="00415103">
              <w:rPr>
                <w:rFonts w:ascii="Arial" w:hAnsi="Arial" w:cs="Arial"/>
                <w:color w:val="000000"/>
                <w:sz w:val="24"/>
                <w:szCs w:val="24"/>
              </w:rPr>
              <w:t>.</w:t>
            </w:r>
            <w:r w:rsidRPr="0027044F">
              <w:rPr>
                <w:rFonts w:ascii="Arial" w:hAnsi="Arial" w:cs="Arial"/>
                <w:color w:val="000000"/>
                <w:sz w:val="24"/>
                <w:szCs w:val="24"/>
              </w:rPr>
              <w:t>125</w:t>
            </w:r>
            <w:r w:rsidR="00415103">
              <w:rPr>
                <w:rFonts w:ascii="Arial" w:hAnsi="Arial" w:cs="Arial"/>
                <w:color w:val="000000"/>
                <w:sz w:val="24"/>
                <w:szCs w:val="24"/>
              </w:rPr>
              <w:t>.</w:t>
            </w:r>
            <w:r w:rsidRPr="0027044F">
              <w:rPr>
                <w:rFonts w:ascii="Arial" w:hAnsi="Arial" w:cs="Arial"/>
                <w:color w:val="000000"/>
                <w:sz w:val="24"/>
                <w:szCs w:val="24"/>
              </w:rPr>
              <w:t>555/0001-46</w:t>
            </w:r>
          </w:p>
        </w:tc>
        <w:tc>
          <w:tcPr>
            <w:tcW w:w="1432" w:type="dxa"/>
            <w:vAlign w:val="bottom"/>
          </w:tcPr>
          <w:p w14:paraId="6612CF33" w14:textId="2CC74D54" w:rsidR="005C6E48" w:rsidRDefault="005C6E48" w:rsidP="005C6E48">
            <w:pPr>
              <w:spacing w:line="360" w:lineRule="auto"/>
              <w:jc w:val="center"/>
              <w:rPr>
                <w:rFonts w:ascii="Arial" w:hAnsi="Arial" w:cs="Arial"/>
                <w:sz w:val="24"/>
                <w:szCs w:val="24"/>
              </w:rPr>
            </w:pPr>
            <w:r w:rsidRPr="0027044F">
              <w:rPr>
                <w:rFonts w:ascii="Arial" w:hAnsi="Arial" w:cs="Arial"/>
                <w:color w:val="000000"/>
                <w:sz w:val="24"/>
                <w:szCs w:val="24"/>
              </w:rPr>
              <w:t>12/12/2017</w:t>
            </w:r>
          </w:p>
        </w:tc>
        <w:tc>
          <w:tcPr>
            <w:tcW w:w="1850" w:type="dxa"/>
          </w:tcPr>
          <w:p w14:paraId="7AA3C73E" w14:textId="559E2718" w:rsidR="005C6E48" w:rsidRPr="00D84442" w:rsidRDefault="005C6E48" w:rsidP="005C6E48">
            <w:pPr>
              <w:spacing w:line="360" w:lineRule="auto"/>
              <w:jc w:val="center"/>
              <w:rPr>
                <w:rFonts w:ascii="Arial" w:hAnsi="Arial" w:cs="Arial"/>
                <w:b/>
                <w:color w:val="000000"/>
                <w:sz w:val="24"/>
                <w:szCs w:val="24"/>
              </w:rPr>
            </w:pPr>
            <w:r w:rsidRPr="00D84442">
              <w:rPr>
                <w:rFonts w:ascii="Arial" w:hAnsi="Arial" w:cs="Arial"/>
                <w:b/>
                <w:color w:val="000000"/>
                <w:sz w:val="24"/>
                <w:szCs w:val="24"/>
              </w:rPr>
              <w:t>FP + CO</w:t>
            </w:r>
          </w:p>
          <w:p w14:paraId="781F9CB1" w14:textId="7A750354" w:rsidR="005C6E48" w:rsidRPr="0027044F" w:rsidRDefault="005C6E48" w:rsidP="005C6E48">
            <w:pPr>
              <w:spacing w:line="360" w:lineRule="auto"/>
              <w:jc w:val="center"/>
              <w:rPr>
                <w:rFonts w:ascii="Arial" w:hAnsi="Arial" w:cs="Arial"/>
                <w:color w:val="000000"/>
                <w:sz w:val="24"/>
                <w:szCs w:val="24"/>
              </w:rPr>
            </w:pPr>
            <w:r>
              <w:rPr>
                <w:rFonts w:ascii="Arial" w:hAnsi="Arial" w:cs="Arial"/>
                <w:color w:val="000000"/>
                <w:sz w:val="24"/>
                <w:szCs w:val="24"/>
              </w:rPr>
              <w:t>2014 e 2015</w:t>
            </w:r>
          </w:p>
        </w:tc>
      </w:tr>
      <w:tr w:rsidR="00D84442" w14:paraId="00AC9766" w14:textId="77777777" w:rsidTr="00656AB7">
        <w:tc>
          <w:tcPr>
            <w:tcW w:w="2173" w:type="dxa"/>
            <w:vAlign w:val="bottom"/>
          </w:tcPr>
          <w:p w14:paraId="0B5F0E16" w14:textId="7C305639" w:rsidR="00742346" w:rsidRDefault="00742346" w:rsidP="00742346">
            <w:pPr>
              <w:spacing w:line="360" w:lineRule="auto"/>
              <w:jc w:val="center"/>
              <w:rPr>
                <w:rFonts w:ascii="Arial" w:hAnsi="Arial" w:cs="Arial"/>
                <w:sz w:val="24"/>
                <w:szCs w:val="24"/>
              </w:rPr>
            </w:pPr>
            <w:r w:rsidRPr="0027044F">
              <w:rPr>
                <w:rFonts w:ascii="Arial" w:hAnsi="Arial" w:cs="Arial"/>
                <w:color w:val="000000"/>
                <w:sz w:val="24"/>
                <w:szCs w:val="24"/>
              </w:rPr>
              <w:t>005/2017-SRE</w:t>
            </w:r>
          </w:p>
        </w:tc>
        <w:tc>
          <w:tcPr>
            <w:tcW w:w="3885" w:type="dxa"/>
            <w:vAlign w:val="bottom"/>
          </w:tcPr>
          <w:p w14:paraId="58AC26DA" w14:textId="37C0E713" w:rsidR="00742346" w:rsidRDefault="00742346" w:rsidP="00742346">
            <w:pPr>
              <w:spacing w:line="360" w:lineRule="auto"/>
              <w:jc w:val="center"/>
              <w:rPr>
                <w:rFonts w:ascii="Arial" w:hAnsi="Arial" w:cs="Arial"/>
                <w:sz w:val="24"/>
                <w:szCs w:val="24"/>
              </w:rPr>
            </w:pPr>
            <w:r w:rsidRPr="0027044F">
              <w:rPr>
                <w:rFonts w:ascii="Arial" w:hAnsi="Arial" w:cs="Arial"/>
                <w:color w:val="000000"/>
                <w:sz w:val="24"/>
                <w:szCs w:val="24"/>
              </w:rPr>
              <w:t xml:space="preserve">Abatedouro Rio Bonito Eireli </w:t>
            </w:r>
            <w:r w:rsidR="00B716F5">
              <w:rPr>
                <w:rFonts w:ascii="Arial" w:hAnsi="Arial" w:cs="Arial"/>
                <w:color w:val="000000"/>
                <w:sz w:val="24"/>
                <w:szCs w:val="24"/>
              </w:rPr>
              <w:t>–</w:t>
            </w:r>
            <w:r w:rsidRPr="0027044F">
              <w:rPr>
                <w:rFonts w:ascii="Arial" w:hAnsi="Arial" w:cs="Arial"/>
                <w:color w:val="000000"/>
                <w:sz w:val="24"/>
                <w:szCs w:val="24"/>
              </w:rPr>
              <w:t xml:space="preserve"> Me</w:t>
            </w:r>
          </w:p>
        </w:tc>
        <w:tc>
          <w:tcPr>
            <w:tcW w:w="1716" w:type="dxa"/>
            <w:vAlign w:val="bottom"/>
          </w:tcPr>
          <w:p w14:paraId="5F5B5043" w14:textId="0C5A3A46" w:rsidR="00742346" w:rsidRDefault="00742346" w:rsidP="00742346">
            <w:pPr>
              <w:spacing w:line="360" w:lineRule="auto"/>
              <w:jc w:val="center"/>
              <w:rPr>
                <w:rFonts w:ascii="Arial" w:hAnsi="Arial" w:cs="Arial"/>
                <w:sz w:val="24"/>
                <w:szCs w:val="24"/>
              </w:rPr>
            </w:pPr>
            <w:r w:rsidRPr="0027044F">
              <w:rPr>
                <w:rFonts w:ascii="Arial" w:hAnsi="Arial" w:cs="Arial"/>
                <w:color w:val="000000"/>
                <w:sz w:val="24"/>
                <w:szCs w:val="24"/>
              </w:rPr>
              <w:t>10</w:t>
            </w:r>
            <w:r w:rsidR="004A5AB1">
              <w:rPr>
                <w:rFonts w:ascii="Arial" w:hAnsi="Arial" w:cs="Arial"/>
                <w:color w:val="000000"/>
                <w:sz w:val="24"/>
                <w:szCs w:val="24"/>
              </w:rPr>
              <w:t>.</w:t>
            </w:r>
            <w:r w:rsidRPr="0027044F">
              <w:rPr>
                <w:rFonts w:ascii="Arial" w:hAnsi="Arial" w:cs="Arial"/>
                <w:color w:val="000000"/>
                <w:sz w:val="24"/>
                <w:szCs w:val="24"/>
              </w:rPr>
              <w:t>440518</w:t>
            </w:r>
            <w:r w:rsidR="004A5AB1">
              <w:rPr>
                <w:rFonts w:ascii="Arial" w:hAnsi="Arial" w:cs="Arial"/>
                <w:color w:val="000000"/>
                <w:sz w:val="24"/>
                <w:szCs w:val="24"/>
              </w:rPr>
              <w:t>-</w:t>
            </w:r>
            <w:r w:rsidRPr="0027044F">
              <w:rPr>
                <w:rFonts w:ascii="Arial" w:hAnsi="Arial" w:cs="Arial"/>
                <w:color w:val="000000"/>
                <w:sz w:val="24"/>
                <w:szCs w:val="24"/>
              </w:rPr>
              <w:t>0</w:t>
            </w:r>
          </w:p>
        </w:tc>
        <w:tc>
          <w:tcPr>
            <w:tcW w:w="2973" w:type="dxa"/>
            <w:vAlign w:val="bottom"/>
          </w:tcPr>
          <w:p w14:paraId="4D22F6BA" w14:textId="7C73F268" w:rsidR="00742346" w:rsidRDefault="00742346" w:rsidP="00742346">
            <w:pPr>
              <w:spacing w:line="360" w:lineRule="auto"/>
              <w:jc w:val="center"/>
              <w:rPr>
                <w:rFonts w:ascii="Arial" w:hAnsi="Arial" w:cs="Arial"/>
                <w:sz w:val="24"/>
                <w:szCs w:val="24"/>
              </w:rPr>
            </w:pPr>
            <w:r w:rsidRPr="0027044F">
              <w:rPr>
                <w:rFonts w:ascii="Arial" w:hAnsi="Arial" w:cs="Arial"/>
                <w:color w:val="000000"/>
                <w:sz w:val="24"/>
                <w:szCs w:val="24"/>
              </w:rPr>
              <w:t>10</w:t>
            </w:r>
            <w:r w:rsidR="00415103">
              <w:rPr>
                <w:rFonts w:ascii="Arial" w:hAnsi="Arial" w:cs="Arial"/>
                <w:color w:val="000000"/>
                <w:sz w:val="24"/>
                <w:szCs w:val="24"/>
              </w:rPr>
              <w:t>.</w:t>
            </w:r>
            <w:r w:rsidRPr="0027044F">
              <w:rPr>
                <w:rFonts w:ascii="Arial" w:hAnsi="Arial" w:cs="Arial"/>
                <w:color w:val="000000"/>
                <w:sz w:val="24"/>
                <w:szCs w:val="24"/>
              </w:rPr>
              <w:t>392</w:t>
            </w:r>
            <w:r w:rsidR="00415103">
              <w:rPr>
                <w:rFonts w:ascii="Arial" w:hAnsi="Arial" w:cs="Arial"/>
                <w:color w:val="000000"/>
                <w:sz w:val="24"/>
                <w:szCs w:val="24"/>
              </w:rPr>
              <w:t>.</w:t>
            </w:r>
            <w:r w:rsidRPr="0027044F">
              <w:rPr>
                <w:rFonts w:ascii="Arial" w:hAnsi="Arial" w:cs="Arial"/>
                <w:color w:val="000000"/>
                <w:sz w:val="24"/>
                <w:szCs w:val="24"/>
              </w:rPr>
              <w:t>642/0001-37</w:t>
            </w:r>
          </w:p>
        </w:tc>
        <w:tc>
          <w:tcPr>
            <w:tcW w:w="1432" w:type="dxa"/>
            <w:vAlign w:val="bottom"/>
          </w:tcPr>
          <w:p w14:paraId="516015FC" w14:textId="2353806E" w:rsidR="00742346" w:rsidRDefault="00742346" w:rsidP="00742346">
            <w:pPr>
              <w:spacing w:line="360" w:lineRule="auto"/>
              <w:jc w:val="center"/>
              <w:rPr>
                <w:rFonts w:ascii="Arial" w:hAnsi="Arial" w:cs="Arial"/>
                <w:sz w:val="24"/>
                <w:szCs w:val="24"/>
              </w:rPr>
            </w:pPr>
            <w:r w:rsidRPr="0027044F">
              <w:rPr>
                <w:rFonts w:ascii="Arial" w:hAnsi="Arial" w:cs="Arial"/>
                <w:color w:val="000000"/>
                <w:sz w:val="24"/>
                <w:szCs w:val="24"/>
              </w:rPr>
              <w:t>14/12/2017</w:t>
            </w:r>
          </w:p>
        </w:tc>
        <w:tc>
          <w:tcPr>
            <w:tcW w:w="1850" w:type="dxa"/>
          </w:tcPr>
          <w:p w14:paraId="229E1474" w14:textId="7BCE6C4D" w:rsidR="00D84442" w:rsidRDefault="00742346" w:rsidP="00D84442">
            <w:pPr>
              <w:spacing w:line="360" w:lineRule="auto"/>
              <w:jc w:val="center"/>
              <w:rPr>
                <w:rFonts w:ascii="Arial" w:hAnsi="Arial" w:cs="Arial"/>
                <w:sz w:val="24"/>
                <w:szCs w:val="24"/>
              </w:rPr>
            </w:pPr>
            <w:r w:rsidRPr="00742346">
              <w:rPr>
                <w:rFonts w:ascii="Arial" w:hAnsi="Arial" w:cs="Arial"/>
                <w:b/>
                <w:sz w:val="24"/>
                <w:szCs w:val="24"/>
              </w:rPr>
              <w:t>CO</w:t>
            </w:r>
          </w:p>
          <w:p w14:paraId="6E384B45" w14:textId="6DC88042" w:rsidR="00742346" w:rsidRDefault="00AF5674" w:rsidP="00AF5674">
            <w:pPr>
              <w:spacing w:line="360" w:lineRule="auto"/>
              <w:jc w:val="center"/>
              <w:rPr>
                <w:rFonts w:ascii="Arial" w:hAnsi="Arial" w:cs="Arial"/>
                <w:sz w:val="24"/>
                <w:szCs w:val="24"/>
              </w:rPr>
            </w:pPr>
            <w:r>
              <w:rPr>
                <w:rFonts w:ascii="Arial" w:hAnsi="Arial" w:cs="Arial"/>
                <w:sz w:val="24"/>
                <w:szCs w:val="24"/>
              </w:rPr>
              <w:t>2014 a</w:t>
            </w:r>
            <w:r w:rsidR="00742346">
              <w:rPr>
                <w:rFonts w:ascii="Arial" w:hAnsi="Arial" w:cs="Arial"/>
                <w:sz w:val="24"/>
                <w:szCs w:val="24"/>
              </w:rPr>
              <w:t xml:space="preserve"> 2016</w:t>
            </w:r>
          </w:p>
        </w:tc>
      </w:tr>
      <w:tr w:rsidR="00105B75" w14:paraId="17BF55A0" w14:textId="77777777" w:rsidTr="00656AB7">
        <w:tc>
          <w:tcPr>
            <w:tcW w:w="2173" w:type="dxa"/>
            <w:vAlign w:val="bottom"/>
          </w:tcPr>
          <w:p w14:paraId="34B66654" w14:textId="600EB471" w:rsidR="00105B75" w:rsidRPr="0027044F" w:rsidRDefault="00105B75" w:rsidP="00105B75">
            <w:pPr>
              <w:spacing w:line="360" w:lineRule="auto"/>
              <w:jc w:val="center"/>
              <w:rPr>
                <w:rFonts w:ascii="Arial" w:hAnsi="Arial" w:cs="Arial"/>
                <w:color w:val="000000"/>
                <w:sz w:val="24"/>
                <w:szCs w:val="24"/>
              </w:rPr>
            </w:pPr>
            <w:r w:rsidRPr="002343A4">
              <w:rPr>
                <w:rFonts w:ascii="Arial" w:hAnsi="Arial" w:cs="Arial"/>
                <w:color w:val="000000"/>
                <w:sz w:val="24"/>
                <w:szCs w:val="24"/>
              </w:rPr>
              <w:t>009/2017-SRE</w:t>
            </w:r>
          </w:p>
        </w:tc>
        <w:tc>
          <w:tcPr>
            <w:tcW w:w="3885" w:type="dxa"/>
            <w:vAlign w:val="bottom"/>
          </w:tcPr>
          <w:p w14:paraId="5480646E" w14:textId="2F2D3BA7" w:rsidR="00105B75" w:rsidRPr="0027044F" w:rsidRDefault="00105B75" w:rsidP="00105B75">
            <w:pPr>
              <w:spacing w:line="360" w:lineRule="auto"/>
              <w:jc w:val="center"/>
              <w:rPr>
                <w:rFonts w:ascii="Arial" w:hAnsi="Arial" w:cs="Arial"/>
                <w:color w:val="000000"/>
                <w:sz w:val="24"/>
                <w:szCs w:val="24"/>
              </w:rPr>
            </w:pPr>
            <w:r w:rsidRPr="002343A4">
              <w:rPr>
                <w:rFonts w:ascii="Arial" w:hAnsi="Arial" w:cs="Arial"/>
                <w:color w:val="000000"/>
                <w:sz w:val="24"/>
                <w:szCs w:val="24"/>
              </w:rPr>
              <w:t>Mettanox Ind. e Comércio de Produtos em Inox Eireli - EPP</w:t>
            </w:r>
          </w:p>
        </w:tc>
        <w:tc>
          <w:tcPr>
            <w:tcW w:w="1716" w:type="dxa"/>
            <w:vAlign w:val="bottom"/>
          </w:tcPr>
          <w:p w14:paraId="5C99A77A" w14:textId="75563F05" w:rsidR="00105B75" w:rsidRPr="0027044F" w:rsidRDefault="00105B75" w:rsidP="00105B75">
            <w:pPr>
              <w:spacing w:line="360" w:lineRule="auto"/>
              <w:jc w:val="center"/>
              <w:rPr>
                <w:rFonts w:ascii="Arial" w:hAnsi="Arial" w:cs="Arial"/>
                <w:color w:val="000000"/>
                <w:sz w:val="24"/>
                <w:szCs w:val="24"/>
              </w:rPr>
            </w:pPr>
            <w:r w:rsidRPr="002343A4">
              <w:rPr>
                <w:rFonts w:ascii="Arial" w:hAnsi="Arial" w:cs="Arial"/>
                <w:color w:val="000000"/>
                <w:sz w:val="24"/>
                <w:szCs w:val="24"/>
              </w:rPr>
              <w:t>10</w:t>
            </w:r>
            <w:r>
              <w:rPr>
                <w:rFonts w:ascii="Arial" w:hAnsi="Arial" w:cs="Arial"/>
                <w:color w:val="000000"/>
                <w:sz w:val="24"/>
                <w:szCs w:val="24"/>
              </w:rPr>
              <w:t>.</w:t>
            </w:r>
            <w:r w:rsidRPr="002343A4">
              <w:rPr>
                <w:rFonts w:ascii="Arial" w:hAnsi="Arial" w:cs="Arial"/>
                <w:color w:val="000000"/>
                <w:sz w:val="24"/>
                <w:szCs w:val="24"/>
              </w:rPr>
              <w:t>414133</w:t>
            </w:r>
            <w:r>
              <w:rPr>
                <w:rFonts w:ascii="Arial" w:hAnsi="Arial" w:cs="Arial"/>
                <w:color w:val="000000"/>
                <w:sz w:val="24"/>
                <w:szCs w:val="24"/>
              </w:rPr>
              <w:t>-</w:t>
            </w:r>
            <w:r w:rsidRPr="002343A4">
              <w:rPr>
                <w:rFonts w:ascii="Arial" w:hAnsi="Arial" w:cs="Arial"/>
                <w:color w:val="000000"/>
                <w:sz w:val="24"/>
                <w:szCs w:val="24"/>
              </w:rPr>
              <w:t>6</w:t>
            </w:r>
          </w:p>
        </w:tc>
        <w:tc>
          <w:tcPr>
            <w:tcW w:w="2973" w:type="dxa"/>
            <w:vAlign w:val="bottom"/>
          </w:tcPr>
          <w:p w14:paraId="0DBAD328" w14:textId="6570A3C5" w:rsidR="00105B75" w:rsidRPr="0027044F" w:rsidRDefault="00105B75" w:rsidP="00105B75">
            <w:pPr>
              <w:spacing w:line="360" w:lineRule="auto"/>
              <w:jc w:val="center"/>
              <w:rPr>
                <w:rFonts w:ascii="Arial" w:hAnsi="Arial" w:cs="Arial"/>
                <w:color w:val="000000"/>
                <w:sz w:val="24"/>
                <w:szCs w:val="24"/>
              </w:rPr>
            </w:pPr>
            <w:r w:rsidRPr="002343A4">
              <w:rPr>
                <w:rFonts w:ascii="Arial" w:hAnsi="Arial" w:cs="Arial"/>
                <w:color w:val="000000"/>
                <w:sz w:val="24"/>
                <w:szCs w:val="24"/>
              </w:rPr>
              <w:t>08</w:t>
            </w:r>
            <w:r w:rsidR="00415103">
              <w:rPr>
                <w:rFonts w:ascii="Arial" w:hAnsi="Arial" w:cs="Arial"/>
                <w:color w:val="000000"/>
                <w:sz w:val="24"/>
                <w:szCs w:val="24"/>
              </w:rPr>
              <w:t>.</w:t>
            </w:r>
            <w:r w:rsidRPr="002343A4">
              <w:rPr>
                <w:rFonts w:ascii="Arial" w:hAnsi="Arial" w:cs="Arial"/>
                <w:color w:val="000000"/>
                <w:sz w:val="24"/>
                <w:szCs w:val="24"/>
              </w:rPr>
              <w:t>936</w:t>
            </w:r>
            <w:r w:rsidR="00415103">
              <w:rPr>
                <w:rFonts w:ascii="Arial" w:hAnsi="Arial" w:cs="Arial"/>
                <w:color w:val="000000"/>
                <w:sz w:val="24"/>
                <w:szCs w:val="24"/>
              </w:rPr>
              <w:t>.</w:t>
            </w:r>
            <w:r w:rsidRPr="002343A4">
              <w:rPr>
                <w:rFonts w:ascii="Arial" w:hAnsi="Arial" w:cs="Arial"/>
                <w:color w:val="000000"/>
                <w:sz w:val="24"/>
                <w:szCs w:val="24"/>
              </w:rPr>
              <w:t>840/0001-72</w:t>
            </w:r>
          </w:p>
        </w:tc>
        <w:tc>
          <w:tcPr>
            <w:tcW w:w="1432" w:type="dxa"/>
            <w:vAlign w:val="bottom"/>
          </w:tcPr>
          <w:p w14:paraId="53436538" w14:textId="46C6F426" w:rsidR="00105B75" w:rsidRPr="0027044F" w:rsidRDefault="00105B75" w:rsidP="00105B75">
            <w:pPr>
              <w:spacing w:line="360" w:lineRule="auto"/>
              <w:jc w:val="center"/>
              <w:rPr>
                <w:rFonts w:ascii="Arial" w:hAnsi="Arial" w:cs="Arial"/>
                <w:color w:val="000000"/>
                <w:sz w:val="24"/>
                <w:szCs w:val="24"/>
              </w:rPr>
            </w:pPr>
            <w:r w:rsidRPr="002343A4">
              <w:rPr>
                <w:rFonts w:ascii="Arial" w:hAnsi="Arial" w:cs="Arial"/>
                <w:color w:val="000000"/>
                <w:sz w:val="24"/>
                <w:szCs w:val="24"/>
              </w:rPr>
              <w:t>20/12/2017</w:t>
            </w:r>
          </w:p>
        </w:tc>
        <w:tc>
          <w:tcPr>
            <w:tcW w:w="1850" w:type="dxa"/>
          </w:tcPr>
          <w:p w14:paraId="59912C45" w14:textId="77777777" w:rsidR="00105B75" w:rsidRDefault="00105B75" w:rsidP="00105B75">
            <w:pPr>
              <w:spacing w:line="360" w:lineRule="auto"/>
              <w:jc w:val="center"/>
              <w:rPr>
                <w:rFonts w:ascii="Arial" w:hAnsi="Arial" w:cs="Arial"/>
                <w:b/>
                <w:sz w:val="24"/>
                <w:szCs w:val="24"/>
              </w:rPr>
            </w:pPr>
            <w:r>
              <w:rPr>
                <w:rFonts w:ascii="Arial" w:hAnsi="Arial" w:cs="Arial"/>
                <w:b/>
                <w:sz w:val="24"/>
                <w:szCs w:val="24"/>
              </w:rPr>
              <w:t xml:space="preserve">FP + </w:t>
            </w:r>
            <w:r w:rsidRPr="00DF2E3F">
              <w:rPr>
                <w:rFonts w:ascii="Arial" w:hAnsi="Arial" w:cs="Arial"/>
                <w:b/>
                <w:sz w:val="24"/>
                <w:szCs w:val="24"/>
              </w:rPr>
              <w:t>CO</w:t>
            </w:r>
          </w:p>
          <w:p w14:paraId="5B8EFE51" w14:textId="315C446F" w:rsidR="00105B75" w:rsidRPr="00742346" w:rsidRDefault="00105B75" w:rsidP="00105B75">
            <w:pPr>
              <w:spacing w:line="360" w:lineRule="auto"/>
              <w:jc w:val="center"/>
              <w:rPr>
                <w:rFonts w:ascii="Arial" w:hAnsi="Arial" w:cs="Arial"/>
                <w:b/>
                <w:sz w:val="24"/>
                <w:szCs w:val="24"/>
              </w:rPr>
            </w:pPr>
            <w:r w:rsidRPr="00DF2E3F">
              <w:rPr>
                <w:rFonts w:ascii="Arial" w:hAnsi="Arial" w:cs="Arial"/>
                <w:sz w:val="24"/>
                <w:szCs w:val="24"/>
              </w:rPr>
              <w:t>2014 a 2016</w:t>
            </w:r>
          </w:p>
        </w:tc>
      </w:tr>
      <w:tr w:rsidR="00E3737C" w14:paraId="32D0DCEB" w14:textId="77777777" w:rsidTr="00656AB7">
        <w:tc>
          <w:tcPr>
            <w:tcW w:w="2173" w:type="dxa"/>
            <w:vAlign w:val="bottom"/>
          </w:tcPr>
          <w:p w14:paraId="7838C4F2" w14:textId="7D1DFB05" w:rsidR="00E3737C" w:rsidRDefault="00E3737C" w:rsidP="00E3737C">
            <w:pPr>
              <w:spacing w:line="360" w:lineRule="auto"/>
              <w:jc w:val="center"/>
              <w:rPr>
                <w:rFonts w:ascii="Arial" w:hAnsi="Arial" w:cs="Arial"/>
                <w:sz w:val="24"/>
                <w:szCs w:val="24"/>
              </w:rPr>
            </w:pPr>
            <w:r w:rsidRPr="0027044F">
              <w:rPr>
                <w:rFonts w:ascii="Arial" w:hAnsi="Arial" w:cs="Arial"/>
                <w:color w:val="000000"/>
                <w:sz w:val="24"/>
                <w:szCs w:val="24"/>
              </w:rPr>
              <w:t>015/2017-SRE</w:t>
            </w:r>
          </w:p>
        </w:tc>
        <w:tc>
          <w:tcPr>
            <w:tcW w:w="3885" w:type="dxa"/>
            <w:vAlign w:val="bottom"/>
          </w:tcPr>
          <w:p w14:paraId="34E86E27" w14:textId="0233F039" w:rsidR="00E3737C" w:rsidRDefault="00E3737C" w:rsidP="00E3737C">
            <w:pPr>
              <w:spacing w:line="360" w:lineRule="auto"/>
              <w:jc w:val="center"/>
              <w:rPr>
                <w:rFonts w:ascii="Arial" w:hAnsi="Arial" w:cs="Arial"/>
                <w:sz w:val="24"/>
                <w:szCs w:val="24"/>
              </w:rPr>
            </w:pPr>
            <w:r w:rsidRPr="0027044F">
              <w:rPr>
                <w:rFonts w:ascii="Arial" w:hAnsi="Arial" w:cs="Arial"/>
                <w:color w:val="000000"/>
                <w:sz w:val="24"/>
                <w:szCs w:val="24"/>
              </w:rPr>
              <w:t>Transportes Gerais Botafogo Ltda</w:t>
            </w:r>
          </w:p>
        </w:tc>
        <w:tc>
          <w:tcPr>
            <w:tcW w:w="1716" w:type="dxa"/>
            <w:vAlign w:val="bottom"/>
          </w:tcPr>
          <w:p w14:paraId="53D6A54F" w14:textId="7DB2E1F9" w:rsidR="00E3737C" w:rsidRDefault="00E3737C" w:rsidP="00E3737C">
            <w:pPr>
              <w:spacing w:line="360" w:lineRule="auto"/>
              <w:jc w:val="center"/>
              <w:rPr>
                <w:rFonts w:ascii="Arial" w:hAnsi="Arial" w:cs="Arial"/>
                <w:sz w:val="24"/>
                <w:szCs w:val="24"/>
              </w:rPr>
            </w:pPr>
            <w:r w:rsidRPr="0027044F">
              <w:rPr>
                <w:rFonts w:ascii="Arial" w:hAnsi="Arial" w:cs="Arial"/>
                <w:color w:val="000000"/>
                <w:sz w:val="24"/>
                <w:szCs w:val="24"/>
              </w:rPr>
              <w:t>10</w:t>
            </w:r>
            <w:r w:rsidR="004A5AB1">
              <w:rPr>
                <w:rFonts w:ascii="Arial" w:hAnsi="Arial" w:cs="Arial"/>
                <w:color w:val="000000"/>
                <w:sz w:val="24"/>
                <w:szCs w:val="24"/>
              </w:rPr>
              <w:t>.</w:t>
            </w:r>
            <w:r w:rsidRPr="0027044F">
              <w:rPr>
                <w:rFonts w:ascii="Arial" w:hAnsi="Arial" w:cs="Arial"/>
                <w:color w:val="000000"/>
                <w:sz w:val="24"/>
                <w:szCs w:val="24"/>
              </w:rPr>
              <w:t>274394</w:t>
            </w:r>
            <w:r w:rsidR="004A5AB1">
              <w:rPr>
                <w:rFonts w:ascii="Arial" w:hAnsi="Arial" w:cs="Arial"/>
                <w:color w:val="000000"/>
                <w:sz w:val="24"/>
                <w:szCs w:val="24"/>
              </w:rPr>
              <w:t>-</w:t>
            </w:r>
            <w:r w:rsidRPr="0027044F">
              <w:rPr>
                <w:rFonts w:ascii="Arial" w:hAnsi="Arial" w:cs="Arial"/>
                <w:color w:val="000000"/>
                <w:sz w:val="24"/>
                <w:szCs w:val="24"/>
              </w:rPr>
              <w:t>0</w:t>
            </w:r>
          </w:p>
        </w:tc>
        <w:tc>
          <w:tcPr>
            <w:tcW w:w="2973" w:type="dxa"/>
            <w:vAlign w:val="bottom"/>
          </w:tcPr>
          <w:p w14:paraId="6C90AB0D" w14:textId="325E8D3D" w:rsidR="00E3737C" w:rsidRDefault="00E3737C" w:rsidP="00E3737C">
            <w:pPr>
              <w:spacing w:line="360" w:lineRule="auto"/>
              <w:jc w:val="center"/>
              <w:rPr>
                <w:rFonts w:ascii="Arial" w:hAnsi="Arial" w:cs="Arial"/>
                <w:sz w:val="24"/>
                <w:szCs w:val="24"/>
              </w:rPr>
            </w:pPr>
            <w:r w:rsidRPr="0027044F">
              <w:rPr>
                <w:rFonts w:ascii="Arial" w:hAnsi="Arial" w:cs="Arial"/>
                <w:color w:val="000000"/>
                <w:sz w:val="24"/>
                <w:szCs w:val="24"/>
              </w:rPr>
              <w:t>00</w:t>
            </w:r>
            <w:r w:rsidR="00415103">
              <w:rPr>
                <w:rFonts w:ascii="Arial" w:hAnsi="Arial" w:cs="Arial"/>
                <w:color w:val="000000"/>
                <w:sz w:val="24"/>
                <w:szCs w:val="24"/>
              </w:rPr>
              <w:t>.</w:t>
            </w:r>
            <w:r w:rsidRPr="0027044F">
              <w:rPr>
                <w:rFonts w:ascii="Arial" w:hAnsi="Arial" w:cs="Arial"/>
                <w:color w:val="000000"/>
                <w:sz w:val="24"/>
                <w:szCs w:val="24"/>
              </w:rPr>
              <w:t>072</w:t>
            </w:r>
            <w:r w:rsidR="00415103">
              <w:rPr>
                <w:rFonts w:ascii="Arial" w:hAnsi="Arial" w:cs="Arial"/>
                <w:color w:val="000000"/>
                <w:sz w:val="24"/>
                <w:szCs w:val="24"/>
              </w:rPr>
              <w:t>.</w:t>
            </w:r>
            <w:r w:rsidRPr="0027044F">
              <w:rPr>
                <w:rFonts w:ascii="Arial" w:hAnsi="Arial" w:cs="Arial"/>
                <w:color w:val="000000"/>
                <w:sz w:val="24"/>
                <w:szCs w:val="24"/>
              </w:rPr>
              <w:t>447/0006-80</w:t>
            </w:r>
          </w:p>
        </w:tc>
        <w:tc>
          <w:tcPr>
            <w:tcW w:w="1432" w:type="dxa"/>
            <w:vAlign w:val="bottom"/>
          </w:tcPr>
          <w:p w14:paraId="04FF0C62" w14:textId="541752D6" w:rsidR="00E3737C" w:rsidRDefault="00E3737C" w:rsidP="00E3737C">
            <w:pPr>
              <w:spacing w:line="360" w:lineRule="auto"/>
              <w:jc w:val="center"/>
              <w:rPr>
                <w:rFonts w:ascii="Arial" w:hAnsi="Arial" w:cs="Arial"/>
                <w:sz w:val="24"/>
                <w:szCs w:val="24"/>
              </w:rPr>
            </w:pPr>
            <w:r w:rsidRPr="0027044F">
              <w:rPr>
                <w:rFonts w:ascii="Arial" w:hAnsi="Arial" w:cs="Arial"/>
                <w:color w:val="000000"/>
                <w:sz w:val="24"/>
                <w:szCs w:val="24"/>
              </w:rPr>
              <w:t>02/01/2018​</w:t>
            </w:r>
          </w:p>
        </w:tc>
        <w:tc>
          <w:tcPr>
            <w:tcW w:w="1850" w:type="dxa"/>
          </w:tcPr>
          <w:p w14:paraId="1DD1B330" w14:textId="77777777" w:rsidR="00E3737C" w:rsidRDefault="00E3737C" w:rsidP="00E3737C">
            <w:pPr>
              <w:spacing w:line="360" w:lineRule="auto"/>
              <w:jc w:val="center"/>
              <w:rPr>
                <w:rFonts w:ascii="Arial" w:hAnsi="Arial" w:cs="Arial"/>
                <w:sz w:val="24"/>
                <w:szCs w:val="24"/>
              </w:rPr>
            </w:pPr>
            <w:r w:rsidRPr="009E51E8">
              <w:rPr>
                <w:rFonts w:ascii="Arial" w:hAnsi="Arial" w:cs="Arial"/>
                <w:b/>
                <w:sz w:val="24"/>
                <w:szCs w:val="24"/>
              </w:rPr>
              <w:t>CO</w:t>
            </w:r>
          </w:p>
          <w:p w14:paraId="478ACC6A" w14:textId="10D3EAF1" w:rsidR="00E3737C" w:rsidRDefault="00E3737C" w:rsidP="00E3737C">
            <w:pPr>
              <w:spacing w:line="360" w:lineRule="auto"/>
              <w:jc w:val="center"/>
              <w:rPr>
                <w:rFonts w:ascii="Arial" w:hAnsi="Arial" w:cs="Arial"/>
                <w:sz w:val="24"/>
                <w:szCs w:val="24"/>
              </w:rPr>
            </w:pPr>
            <w:r>
              <w:rPr>
                <w:rFonts w:ascii="Arial" w:hAnsi="Arial" w:cs="Arial"/>
                <w:sz w:val="24"/>
                <w:szCs w:val="24"/>
              </w:rPr>
              <w:t>2014 a 2017</w:t>
            </w:r>
          </w:p>
        </w:tc>
      </w:tr>
      <w:tr w:rsidR="000E5636" w14:paraId="04353871" w14:textId="77777777" w:rsidTr="00656AB7">
        <w:tc>
          <w:tcPr>
            <w:tcW w:w="2173" w:type="dxa"/>
            <w:vAlign w:val="bottom"/>
          </w:tcPr>
          <w:p w14:paraId="6601AE23" w14:textId="4E4C999C" w:rsidR="000E5636" w:rsidRDefault="000E5636" w:rsidP="000E5636">
            <w:pPr>
              <w:spacing w:line="360" w:lineRule="auto"/>
              <w:jc w:val="center"/>
              <w:rPr>
                <w:rFonts w:ascii="Arial" w:hAnsi="Arial" w:cs="Arial"/>
                <w:sz w:val="24"/>
                <w:szCs w:val="24"/>
              </w:rPr>
            </w:pPr>
            <w:r w:rsidRPr="0027044F">
              <w:rPr>
                <w:rFonts w:ascii="Arial" w:hAnsi="Arial" w:cs="Arial"/>
                <w:color w:val="000000"/>
                <w:sz w:val="24"/>
                <w:szCs w:val="24"/>
              </w:rPr>
              <w:t>035/2018-SRE</w:t>
            </w:r>
          </w:p>
        </w:tc>
        <w:tc>
          <w:tcPr>
            <w:tcW w:w="3885" w:type="dxa"/>
            <w:vAlign w:val="bottom"/>
          </w:tcPr>
          <w:p w14:paraId="69826900" w14:textId="6BADD102" w:rsidR="000E5636" w:rsidRDefault="000E5636" w:rsidP="000E5636">
            <w:pPr>
              <w:spacing w:line="360" w:lineRule="auto"/>
              <w:jc w:val="center"/>
              <w:rPr>
                <w:rFonts w:ascii="Arial" w:hAnsi="Arial" w:cs="Arial"/>
                <w:sz w:val="24"/>
                <w:szCs w:val="24"/>
              </w:rPr>
            </w:pPr>
            <w:r w:rsidRPr="0027044F">
              <w:rPr>
                <w:rFonts w:ascii="Arial" w:hAnsi="Arial" w:cs="Arial"/>
                <w:color w:val="000000"/>
                <w:sz w:val="24"/>
                <w:szCs w:val="24"/>
              </w:rPr>
              <w:t>Frigorífico Abelha Ltda.</w:t>
            </w:r>
          </w:p>
        </w:tc>
        <w:tc>
          <w:tcPr>
            <w:tcW w:w="1716" w:type="dxa"/>
            <w:vAlign w:val="bottom"/>
          </w:tcPr>
          <w:p w14:paraId="4B03219B" w14:textId="063823AE" w:rsidR="000E5636" w:rsidRDefault="000E5636" w:rsidP="000E5636">
            <w:pPr>
              <w:spacing w:line="360" w:lineRule="auto"/>
              <w:jc w:val="center"/>
              <w:rPr>
                <w:rFonts w:ascii="Arial" w:hAnsi="Arial" w:cs="Arial"/>
                <w:sz w:val="24"/>
                <w:szCs w:val="24"/>
              </w:rPr>
            </w:pPr>
            <w:r w:rsidRPr="0027044F">
              <w:rPr>
                <w:rFonts w:ascii="Arial" w:hAnsi="Arial" w:cs="Arial"/>
                <w:color w:val="000000"/>
                <w:sz w:val="24"/>
                <w:szCs w:val="24"/>
              </w:rPr>
              <w:t>10.396108-9</w:t>
            </w:r>
          </w:p>
        </w:tc>
        <w:tc>
          <w:tcPr>
            <w:tcW w:w="2973" w:type="dxa"/>
            <w:vAlign w:val="bottom"/>
          </w:tcPr>
          <w:p w14:paraId="522D13C5" w14:textId="32BD77B2" w:rsidR="000E5636" w:rsidRDefault="000E5636" w:rsidP="000E5636">
            <w:pPr>
              <w:spacing w:line="360" w:lineRule="auto"/>
              <w:jc w:val="center"/>
              <w:rPr>
                <w:rFonts w:ascii="Arial" w:hAnsi="Arial" w:cs="Arial"/>
                <w:sz w:val="24"/>
                <w:szCs w:val="24"/>
              </w:rPr>
            </w:pPr>
            <w:r w:rsidRPr="0027044F">
              <w:rPr>
                <w:rFonts w:ascii="Arial" w:hAnsi="Arial" w:cs="Arial"/>
                <w:color w:val="000000"/>
                <w:sz w:val="24"/>
                <w:szCs w:val="24"/>
              </w:rPr>
              <w:t>07.707.735/0001-07</w:t>
            </w:r>
          </w:p>
        </w:tc>
        <w:tc>
          <w:tcPr>
            <w:tcW w:w="1432" w:type="dxa"/>
            <w:vAlign w:val="bottom"/>
          </w:tcPr>
          <w:p w14:paraId="265C4BF4" w14:textId="29A5A4F5" w:rsidR="000E5636" w:rsidRDefault="000E5636" w:rsidP="000E5636">
            <w:pPr>
              <w:spacing w:line="360" w:lineRule="auto"/>
              <w:jc w:val="center"/>
              <w:rPr>
                <w:rFonts w:ascii="Arial" w:hAnsi="Arial" w:cs="Arial"/>
                <w:sz w:val="24"/>
                <w:szCs w:val="24"/>
              </w:rPr>
            </w:pPr>
            <w:r w:rsidRPr="0027044F">
              <w:rPr>
                <w:rFonts w:ascii="Arial" w:hAnsi="Arial" w:cs="Arial"/>
                <w:color w:val="000000"/>
                <w:sz w:val="24"/>
                <w:szCs w:val="24"/>
              </w:rPr>
              <w:t>02/07/2018</w:t>
            </w:r>
          </w:p>
        </w:tc>
        <w:tc>
          <w:tcPr>
            <w:tcW w:w="1850" w:type="dxa"/>
          </w:tcPr>
          <w:p w14:paraId="4E49DD6A" w14:textId="77777777" w:rsidR="000E5636" w:rsidRDefault="000E5636" w:rsidP="000E5636">
            <w:pPr>
              <w:spacing w:line="360" w:lineRule="auto"/>
              <w:jc w:val="center"/>
              <w:rPr>
                <w:rFonts w:ascii="Arial" w:hAnsi="Arial" w:cs="Arial"/>
                <w:sz w:val="24"/>
                <w:szCs w:val="24"/>
              </w:rPr>
            </w:pPr>
            <w:r w:rsidRPr="009E51E8">
              <w:rPr>
                <w:rFonts w:ascii="Arial" w:hAnsi="Arial" w:cs="Arial"/>
                <w:b/>
                <w:sz w:val="24"/>
                <w:szCs w:val="24"/>
              </w:rPr>
              <w:t>CO</w:t>
            </w:r>
          </w:p>
          <w:p w14:paraId="3DDA8BE2" w14:textId="02C00FC4" w:rsidR="000E5636" w:rsidRDefault="000E5636" w:rsidP="000E5636">
            <w:pPr>
              <w:spacing w:line="360" w:lineRule="auto"/>
              <w:jc w:val="center"/>
              <w:rPr>
                <w:rFonts w:ascii="Arial" w:hAnsi="Arial" w:cs="Arial"/>
                <w:sz w:val="24"/>
                <w:szCs w:val="24"/>
              </w:rPr>
            </w:pPr>
            <w:r>
              <w:rPr>
                <w:rFonts w:ascii="Arial" w:hAnsi="Arial" w:cs="Arial"/>
                <w:sz w:val="24"/>
                <w:szCs w:val="24"/>
              </w:rPr>
              <w:t>2014 a 2017</w:t>
            </w:r>
          </w:p>
        </w:tc>
      </w:tr>
      <w:tr w:rsidR="00041F15" w14:paraId="0D015062" w14:textId="77777777" w:rsidTr="00EE3640">
        <w:tc>
          <w:tcPr>
            <w:tcW w:w="2173" w:type="dxa"/>
            <w:vAlign w:val="bottom"/>
          </w:tcPr>
          <w:p w14:paraId="08C30AA4" w14:textId="1818969E" w:rsidR="00041F15" w:rsidRDefault="00041F15" w:rsidP="00041F15">
            <w:pPr>
              <w:spacing w:line="360" w:lineRule="auto"/>
              <w:jc w:val="center"/>
              <w:rPr>
                <w:rFonts w:ascii="Arial" w:hAnsi="Arial" w:cs="Arial"/>
                <w:sz w:val="24"/>
                <w:szCs w:val="24"/>
              </w:rPr>
            </w:pPr>
            <w:r w:rsidRPr="0027044F">
              <w:rPr>
                <w:rFonts w:ascii="Arial" w:hAnsi="Arial" w:cs="Arial"/>
                <w:color w:val="000000"/>
                <w:sz w:val="24"/>
                <w:szCs w:val="24"/>
              </w:rPr>
              <w:t>036/2018-SRE</w:t>
            </w:r>
          </w:p>
        </w:tc>
        <w:tc>
          <w:tcPr>
            <w:tcW w:w="3885" w:type="dxa"/>
            <w:vAlign w:val="bottom"/>
          </w:tcPr>
          <w:p w14:paraId="3D7BE2E9" w14:textId="0256E4CC" w:rsidR="00041F15" w:rsidRDefault="00041F15" w:rsidP="00041F15">
            <w:pPr>
              <w:spacing w:line="360" w:lineRule="auto"/>
              <w:jc w:val="center"/>
              <w:rPr>
                <w:rFonts w:ascii="Arial" w:hAnsi="Arial" w:cs="Arial"/>
                <w:sz w:val="24"/>
                <w:szCs w:val="24"/>
              </w:rPr>
            </w:pPr>
            <w:r w:rsidRPr="0027044F">
              <w:rPr>
                <w:rFonts w:ascii="Arial" w:hAnsi="Arial" w:cs="Arial"/>
                <w:color w:val="000000"/>
                <w:sz w:val="24"/>
                <w:szCs w:val="24"/>
              </w:rPr>
              <w:t>Viação Xavante Ltda.</w:t>
            </w:r>
          </w:p>
        </w:tc>
        <w:tc>
          <w:tcPr>
            <w:tcW w:w="1716" w:type="dxa"/>
            <w:vAlign w:val="bottom"/>
          </w:tcPr>
          <w:p w14:paraId="54BCDA5D" w14:textId="5A941ED4" w:rsidR="00041F15" w:rsidRDefault="00041F15" w:rsidP="00041F15">
            <w:pPr>
              <w:spacing w:line="360" w:lineRule="auto"/>
              <w:jc w:val="center"/>
              <w:rPr>
                <w:rFonts w:ascii="Arial" w:hAnsi="Arial" w:cs="Arial"/>
                <w:sz w:val="24"/>
                <w:szCs w:val="24"/>
              </w:rPr>
            </w:pPr>
            <w:r w:rsidRPr="0027044F">
              <w:rPr>
                <w:rFonts w:ascii="Arial" w:hAnsi="Arial" w:cs="Arial"/>
                <w:color w:val="000000"/>
                <w:sz w:val="24"/>
                <w:szCs w:val="24"/>
              </w:rPr>
              <w:t>10.243811-0</w:t>
            </w:r>
          </w:p>
        </w:tc>
        <w:tc>
          <w:tcPr>
            <w:tcW w:w="2973" w:type="dxa"/>
            <w:vAlign w:val="bottom"/>
          </w:tcPr>
          <w:p w14:paraId="6C11F3D4" w14:textId="7F6F981C" w:rsidR="00041F15" w:rsidRDefault="00041F15" w:rsidP="00041F15">
            <w:pPr>
              <w:spacing w:line="360" w:lineRule="auto"/>
              <w:jc w:val="center"/>
              <w:rPr>
                <w:rFonts w:ascii="Arial" w:hAnsi="Arial" w:cs="Arial"/>
                <w:sz w:val="24"/>
                <w:szCs w:val="24"/>
              </w:rPr>
            </w:pPr>
            <w:r w:rsidRPr="0027044F">
              <w:rPr>
                <w:rFonts w:ascii="Arial" w:hAnsi="Arial" w:cs="Arial"/>
                <w:color w:val="000000"/>
                <w:sz w:val="24"/>
                <w:szCs w:val="24"/>
              </w:rPr>
              <w:t>03.143.492/0008-39</w:t>
            </w:r>
          </w:p>
        </w:tc>
        <w:tc>
          <w:tcPr>
            <w:tcW w:w="1432" w:type="dxa"/>
            <w:vAlign w:val="bottom"/>
          </w:tcPr>
          <w:p w14:paraId="07C40840" w14:textId="772B6CFE" w:rsidR="00041F15" w:rsidRDefault="00041F15" w:rsidP="00041F15">
            <w:pPr>
              <w:spacing w:line="360" w:lineRule="auto"/>
              <w:jc w:val="center"/>
              <w:rPr>
                <w:rFonts w:ascii="Arial" w:hAnsi="Arial" w:cs="Arial"/>
                <w:sz w:val="24"/>
                <w:szCs w:val="24"/>
              </w:rPr>
            </w:pPr>
            <w:r w:rsidRPr="0027044F">
              <w:rPr>
                <w:rFonts w:ascii="Arial" w:hAnsi="Arial" w:cs="Arial"/>
                <w:color w:val="000000"/>
                <w:sz w:val="24"/>
                <w:szCs w:val="24"/>
              </w:rPr>
              <w:t>08/11/2018</w:t>
            </w:r>
          </w:p>
        </w:tc>
        <w:tc>
          <w:tcPr>
            <w:tcW w:w="1850" w:type="dxa"/>
          </w:tcPr>
          <w:p w14:paraId="79099258" w14:textId="77777777" w:rsidR="00041F15" w:rsidRDefault="00041F15" w:rsidP="00041F15">
            <w:pPr>
              <w:spacing w:line="360" w:lineRule="auto"/>
              <w:jc w:val="center"/>
              <w:rPr>
                <w:rFonts w:ascii="Arial" w:hAnsi="Arial" w:cs="Arial"/>
                <w:sz w:val="24"/>
                <w:szCs w:val="24"/>
              </w:rPr>
            </w:pPr>
            <w:r w:rsidRPr="009E51E8">
              <w:rPr>
                <w:rFonts w:ascii="Arial" w:hAnsi="Arial" w:cs="Arial"/>
                <w:b/>
                <w:sz w:val="24"/>
                <w:szCs w:val="24"/>
              </w:rPr>
              <w:t>CO</w:t>
            </w:r>
          </w:p>
          <w:p w14:paraId="067D3906" w14:textId="7F402710" w:rsidR="00041F15" w:rsidRDefault="00041F15" w:rsidP="00041F15">
            <w:pPr>
              <w:spacing w:line="360" w:lineRule="auto"/>
              <w:jc w:val="center"/>
              <w:rPr>
                <w:rFonts w:ascii="Arial" w:hAnsi="Arial" w:cs="Arial"/>
                <w:sz w:val="24"/>
                <w:szCs w:val="24"/>
              </w:rPr>
            </w:pPr>
            <w:r>
              <w:rPr>
                <w:rFonts w:ascii="Arial" w:hAnsi="Arial" w:cs="Arial"/>
                <w:sz w:val="24"/>
                <w:szCs w:val="24"/>
              </w:rPr>
              <w:t>2014 a 2017</w:t>
            </w:r>
          </w:p>
        </w:tc>
      </w:tr>
      <w:tr w:rsidR="0074274A" w14:paraId="2FDF54B2" w14:textId="77777777" w:rsidTr="00EE3640">
        <w:tc>
          <w:tcPr>
            <w:tcW w:w="2173" w:type="dxa"/>
            <w:vAlign w:val="bottom"/>
          </w:tcPr>
          <w:p w14:paraId="2FE16537" w14:textId="560FEB87" w:rsidR="0074274A" w:rsidRPr="0027044F" w:rsidRDefault="0074274A" w:rsidP="0074274A">
            <w:pPr>
              <w:spacing w:line="360" w:lineRule="auto"/>
              <w:jc w:val="center"/>
              <w:rPr>
                <w:rFonts w:ascii="Arial" w:hAnsi="Arial" w:cs="Arial"/>
                <w:color w:val="000000"/>
                <w:sz w:val="24"/>
                <w:szCs w:val="24"/>
              </w:rPr>
            </w:pPr>
            <w:r w:rsidRPr="0074274A">
              <w:rPr>
                <w:rFonts w:ascii="Arial" w:hAnsi="Arial" w:cs="Arial"/>
                <w:color w:val="000000"/>
                <w:sz w:val="24"/>
                <w:szCs w:val="24"/>
              </w:rPr>
              <w:t>057/2018-SRE</w:t>
            </w:r>
          </w:p>
        </w:tc>
        <w:tc>
          <w:tcPr>
            <w:tcW w:w="3885" w:type="dxa"/>
            <w:vAlign w:val="bottom"/>
          </w:tcPr>
          <w:p w14:paraId="74F4B975" w14:textId="29CBADBE" w:rsidR="0074274A" w:rsidRPr="0027044F" w:rsidRDefault="0074274A" w:rsidP="0074274A">
            <w:pPr>
              <w:spacing w:line="360" w:lineRule="auto"/>
              <w:jc w:val="center"/>
              <w:rPr>
                <w:rFonts w:ascii="Arial" w:hAnsi="Arial" w:cs="Arial"/>
                <w:color w:val="000000"/>
                <w:sz w:val="24"/>
                <w:szCs w:val="24"/>
              </w:rPr>
            </w:pPr>
            <w:r w:rsidRPr="0027044F">
              <w:rPr>
                <w:rFonts w:ascii="Arial" w:hAnsi="Arial" w:cs="Arial"/>
                <w:color w:val="000000"/>
                <w:sz w:val="24"/>
                <w:szCs w:val="24"/>
              </w:rPr>
              <w:t>Stock Comercial Hospitalar Ltda</w:t>
            </w:r>
          </w:p>
        </w:tc>
        <w:tc>
          <w:tcPr>
            <w:tcW w:w="1716" w:type="dxa"/>
            <w:vAlign w:val="bottom"/>
          </w:tcPr>
          <w:p w14:paraId="6B7BAC78" w14:textId="05D52546" w:rsidR="0074274A" w:rsidRPr="0027044F" w:rsidRDefault="0074274A" w:rsidP="0074274A">
            <w:pPr>
              <w:spacing w:line="360" w:lineRule="auto"/>
              <w:jc w:val="center"/>
              <w:rPr>
                <w:rFonts w:ascii="Arial" w:hAnsi="Arial" w:cs="Arial"/>
                <w:color w:val="000000"/>
                <w:sz w:val="24"/>
                <w:szCs w:val="24"/>
              </w:rPr>
            </w:pPr>
            <w:r w:rsidRPr="0027044F">
              <w:rPr>
                <w:rFonts w:ascii="Arial" w:hAnsi="Arial" w:cs="Arial"/>
                <w:color w:val="000000"/>
                <w:sz w:val="24"/>
                <w:szCs w:val="24"/>
              </w:rPr>
              <w:t>10.279621-1</w:t>
            </w:r>
          </w:p>
        </w:tc>
        <w:tc>
          <w:tcPr>
            <w:tcW w:w="2973" w:type="dxa"/>
            <w:vAlign w:val="bottom"/>
          </w:tcPr>
          <w:p w14:paraId="02947840" w14:textId="5D039A56" w:rsidR="0074274A" w:rsidRPr="0027044F" w:rsidRDefault="0074274A" w:rsidP="0074274A">
            <w:pPr>
              <w:spacing w:line="360" w:lineRule="auto"/>
              <w:jc w:val="center"/>
              <w:rPr>
                <w:rFonts w:ascii="Arial" w:hAnsi="Arial" w:cs="Arial"/>
                <w:color w:val="000000"/>
                <w:sz w:val="24"/>
                <w:szCs w:val="24"/>
              </w:rPr>
            </w:pPr>
            <w:r w:rsidRPr="0027044F">
              <w:rPr>
                <w:rFonts w:ascii="Arial" w:hAnsi="Arial" w:cs="Arial"/>
                <w:color w:val="000000"/>
                <w:sz w:val="24"/>
                <w:szCs w:val="24"/>
              </w:rPr>
              <w:t>00.995.371/0001-50</w:t>
            </w:r>
          </w:p>
        </w:tc>
        <w:tc>
          <w:tcPr>
            <w:tcW w:w="1432" w:type="dxa"/>
            <w:vAlign w:val="bottom"/>
          </w:tcPr>
          <w:p w14:paraId="14D5DE15" w14:textId="6E44C003" w:rsidR="0074274A" w:rsidRPr="0027044F" w:rsidRDefault="0074274A" w:rsidP="0074274A">
            <w:pPr>
              <w:spacing w:line="360" w:lineRule="auto"/>
              <w:jc w:val="center"/>
              <w:rPr>
                <w:rFonts w:ascii="Arial" w:hAnsi="Arial" w:cs="Arial"/>
                <w:color w:val="000000"/>
                <w:sz w:val="24"/>
                <w:szCs w:val="24"/>
              </w:rPr>
            </w:pPr>
            <w:r w:rsidRPr="0027044F">
              <w:rPr>
                <w:rFonts w:ascii="Arial" w:hAnsi="Arial" w:cs="Arial"/>
                <w:color w:val="000000"/>
                <w:sz w:val="24"/>
                <w:szCs w:val="24"/>
              </w:rPr>
              <w:t>30/11/2018</w:t>
            </w:r>
          </w:p>
        </w:tc>
        <w:tc>
          <w:tcPr>
            <w:tcW w:w="1850" w:type="dxa"/>
          </w:tcPr>
          <w:p w14:paraId="79686AE8" w14:textId="77777777" w:rsidR="0074274A" w:rsidRDefault="0074274A" w:rsidP="0074274A">
            <w:pPr>
              <w:spacing w:line="360" w:lineRule="auto"/>
              <w:jc w:val="center"/>
              <w:rPr>
                <w:rFonts w:ascii="Arial" w:hAnsi="Arial" w:cs="Arial"/>
                <w:sz w:val="24"/>
                <w:szCs w:val="24"/>
              </w:rPr>
            </w:pPr>
            <w:r w:rsidRPr="009E51E8">
              <w:rPr>
                <w:rFonts w:ascii="Arial" w:hAnsi="Arial" w:cs="Arial"/>
                <w:b/>
                <w:sz w:val="24"/>
                <w:szCs w:val="24"/>
              </w:rPr>
              <w:t>CO</w:t>
            </w:r>
          </w:p>
          <w:p w14:paraId="6BB59343" w14:textId="35DA37CC" w:rsidR="0074274A" w:rsidRPr="009E51E8" w:rsidRDefault="0074274A" w:rsidP="0074274A">
            <w:pPr>
              <w:spacing w:line="360" w:lineRule="auto"/>
              <w:jc w:val="center"/>
              <w:rPr>
                <w:rFonts w:ascii="Arial" w:hAnsi="Arial" w:cs="Arial"/>
                <w:b/>
                <w:sz w:val="24"/>
                <w:szCs w:val="24"/>
              </w:rPr>
            </w:pPr>
            <w:r>
              <w:rPr>
                <w:rFonts w:ascii="Arial" w:hAnsi="Arial" w:cs="Arial"/>
                <w:sz w:val="24"/>
                <w:szCs w:val="24"/>
              </w:rPr>
              <w:t>2014 a 2017</w:t>
            </w:r>
          </w:p>
        </w:tc>
      </w:tr>
      <w:tr w:rsidR="00CD6198" w14:paraId="041DB29B" w14:textId="77777777" w:rsidTr="00EE3640">
        <w:tc>
          <w:tcPr>
            <w:tcW w:w="14029" w:type="dxa"/>
            <w:gridSpan w:val="6"/>
            <w:vAlign w:val="bottom"/>
          </w:tcPr>
          <w:p w14:paraId="5CFBCA0B" w14:textId="77777777" w:rsidR="00CD6198" w:rsidRPr="007D37A9" w:rsidRDefault="00CD6198" w:rsidP="00CD6198">
            <w:pPr>
              <w:spacing w:line="360" w:lineRule="auto"/>
              <w:jc w:val="both"/>
              <w:rPr>
                <w:rFonts w:ascii="Arial" w:hAnsi="Arial" w:cs="Arial"/>
                <w:b/>
                <w:sz w:val="24"/>
                <w:szCs w:val="24"/>
                <w:u w:val="single"/>
              </w:rPr>
            </w:pPr>
            <w:r w:rsidRPr="007D37A9">
              <w:rPr>
                <w:rFonts w:ascii="Arial" w:hAnsi="Arial" w:cs="Arial"/>
                <w:b/>
                <w:sz w:val="24"/>
                <w:szCs w:val="24"/>
                <w:u w:val="single"/>
              </w:rPr>
              <w:t>Legenda</w:t>
            </w:r>
          </w:p>
          <w:p w14:paraId="4282F099" w14:textId="77777777" w:rsidR="00CD6198" w:rsidRDefault="00CD6198" w:rsidP="00CD6198">
            <w:pPr>
              <w:spacing w:line="360" w:lineRule="auto"/>
              <w:jc w:val="both"/>
              <w:rPr>
                <w:rFonts w:ascii="Arial" w:hAnsi="Arial" w:cs="Arial"/>
                <w:sz w:val="24"/>
                <w:szCs w:val="24"/>
              </w:rPr>
            </w:pPr>
            <w:r>
              <w:rPr>
                <w:rFonts w:ascii="Arial" w:hAnsi="Arial" w:cs="Arial"/>
                <w:b/>
                <w:sz w:val="24"/>
                <w:szCs w:val="24"/>
              </w:rPr>
              <w:t>CO</w:t>
            </w:r>
            <w:r w:rsidRPr="002810D6">
              <w:rPr>
                <w:rFonts w:ascii="Arial" w:hAnsi="Arial" w:cs="Arial"/>
                <w:sz w:val="24"/>
                <w:szCs w:val="24"/>
              </w:rPr>
              <w:t>: crédito outorgado.</w:t>
            </w:r>
            <w:r>
              <w:rPr>
                <w:rFonts w:ascii="Arial" w:hAnsi="Arial" w:cs="Arial"/>
                <w:sz w:val="24"/>
                <w:szCs w:val="24"/>
              </w:rPr>
              <w:t xml:space="preserve"> </w:t>
            </w:r>
          </w:p>
          <w:p w14:paraId="0CDC8D19" w14:textId="2DFA2351" w:rsidR="00CD6198" w:rsidRPr="009E51E8" w:rsidRDefault="00CD6198" w:rsidP="00CD6198">
            <w:pPr>
              <w:spacing w:line="360" w:lineRule="auto"/>
              <w:rPr>
                <w:rFonts w:ascii="Arial" w:hAnsi="Arial" w:cs="Arial"/>
                <w:b/>
                <w:sz w:val="24"/>
                <w:szCs w:val="24"/>
              </w:rPr>
            </w:pPr>
            <w:r w:rsidRPr="002810D6">
              <w:rPr>
                <w:rFonts w:ascii="Arial" w:hAnsi="Arial" w:cs="Arial"/>
                <w:b/>
                <w:sz w:val="24"/>
                <w:szCs w:val="24"/>
              </w:rPr>
              <w:t>FP</w:t>
            </w:r>
            <w:r>
              <w:rPr>
                <w:rFonts w:ascii="Arial" w:hAnsi="Arial" w:cs="Arial"/>
                <w:sz w:val="24"/>
                <w:szCs w:val="24"/>
              </w:rPr>
              <w:t xml:space="preserve">: </w:t>
            </w:r>
            <w:r w:rsidR="00984CF5">
              <w:rPr>
                <w:rFonts w:ascii="Arial" w:hAnsi="Arial" w:cs="Arial"/>
                <w:sz w:val="24"/>
                <w:szCs w:val="24"/>
              </w:rPr>
              <w:t xml:space="preserve">FOMENTAR </w:t>
            </w:r>
            <w:r>
              <w:rPr>
                <w:rFonts w:ascii="Arial" w:hAnsi="Arial" w:cs="Arial"/>
                <w:sz w:val="24"/>
                <w:szCs w:val="24"/>
              </w:rPr>
              <w:t xml:space="preserve">e/ou </w:t>
            </w:r>
            <w:r w:rsidR="00984CF5">
              <w:rPr>
                <w:rFonts w:ascii="Arial" w:hAnsi="Arial" w:cs="Arial"/>
                <w:sz w:val="24"/>
                <w:szCs w:val="24"/>
              </w:rPr>
              <w:t>PRODUZIR</w:t>
            </w:r>
            <w:r>
              <w:rPr>
                <w:rFonts w:ascii="Arial" w:hAnsi="Arial" w:cs="Arial"/>
                <w:sz w:val="24"/>
                <w:szCs w:val="24"/>
              </w:rPr>
              <w:t>.</w:t>
            </w:r>
          </w:p>
        </w:tc>
      </w:tr>
    </w:tbl>
    <w:p w14:paraId="550FFDFF" w14:textId="77777777" w:rsidR="00F61F49" w:rsidRDefault="00F61F49" w:rsidP="001F658D">
      <w:pPr>
        <w:spacing w:line="360" w:lineRule="auto"/>
        <w:ind w:firstLine="851"/>
        <w:jc w:val="both"/>
        <w:rPr>
          <w:rFonts w:ascii="Arial" w:hAnsi="Arial" w:cs="Arial"/>
          <w:sz w:val="24"/>
          <w:szCs w:val="24"/>
        </w:rPr>
      </w:pPr>
    </w:p>
    <w:p w14:paraId="186ED1C9" w14:textId="0A1E0A9D" w:rsidR="00A7203C" w:rsidRDefault="00A7203C" w:rsidP="001F658D">
      <w:pPr>
        <w:spacing w:line="360" w:lineRule="auto"/>
        <w:ind w:firstLine="851"/>
        <w:jc w:val="both"/>
        <w:rPr>
          <w:rFonts w:ascii="Arial" w:hAnsi="Arial" w:cs="Arial"/>
          <w:sz w:val="24"/>
          <w:szCs w:val="24"/>
        </w:rPr>
        <w:sectPr w:rsidR="00A7203C" w:rsidSect="00A7203C">
          <w:pgSz w:w="16840" w:h="11900" w:orient="landscape"/>
          <w:pgMar w:top="1701" w:right="2268" w:bottom="851" w:left="1134" w:header="567" w:footer="284" w:gutter="0"/>
          <w:cols w:space="708"/>
          <w:docGrid w:linePitch="360"/>
        </w:sectPr>
      </w:pPr>
    </w:p>
    <w:p w14:paraId="5335330F" w14:textId="659F5198" w:rsidR="00631C02" w:rsidRDefault="00631C02" w:rsidP="00631C02">
      <w:pPr>
        <w:spacing w:line="360" w:lineRule="auto"/>
        <w:ind w:firstLine="851"/>
        <w:jc w:val="both"/>
        <w:rPr>
          <w:rFonts w:ascii="Arial" w:hAnsi="Arial" w:cs="Arial"/>
          <w:sz w:val="24"/>
          <w:szCs w:val="24"/>
        </w:rPr>
      </w:pPr>
      <w:r w:rsidRPr="001B356D">
        <w:rPr>
          <w:rFonts w:ascii="Arial" w:hAnsi="Arial" w:cs="Arial"/>
          <w:b/>
          <w:sz w:val="24"/>
          <w:szCs w:val="24"/>
        </w:rPr>
        <w:lastRenderedPageBreak/>
        <w:t>8.1.</w:t>
      </w:r>
      <w:r>
        <w:rPr>
          <w:rFonts w:ascii="Arial" w:hAnsi="Arial" w:cs="Arial"/>
          <w:b/>
          <w:sz w:val="24"/>
          <w:szCs w:val="24"/>
        </w:rPr>
        <w:t>5</w:t>
      </w:r>
      <w:r w:rsidRPr="001B356D">
        <w:rPr>
          <w:rFonts w:ascii="Arial" w:hAnsi="Arial" w:cs="Arial"/>
          <w:b/>
          <w:sz w:val="24"/>
          <w:szCs w:val="24"/>
        </w:rPr>
        <w:t>.</w:t>
      </w:r>
      <w:r>
        <w:rPr>
          <w:rFonts w:ascii="Arial" w:hAnsi="Arial" w:cs="Arial"/>
          <w:sz w:val="24"/>
          <w:szCs w:val="24"/>
        </w:rPr>
        <w:t xml:space="preserve"> Importante ressaltar que </w:t>
      </w:r>
      <w:r w:rsidRPr="00DD4769">
        <w:rPr>
          <w:rFonts w:ascii="Arial" w:hAnsi="Arial" w:cs="Arial"/>
          <w:b/>
          <w:sz w:val="24"/>
          <w:szCs w:val="24"/>
          <w:u w:val="single"/>
        </w:rPr>
        <w:t xml:space="preserve">esse levantamento realizado pela CPI </w:t>
      </w:r>
      <w:r w:rsidR="00A013C2">
        <w:rPr>
          <w:rFonts w:ascii="Arial" w:hAnsi="Arial" w:cs="Arial"/>
          <w:b/>
          <w:sz w:val="24"/>
          <w:szCs w:val="24"/>
          <w:u w:val="single"/>
        </w:rPr>
        <w:t>aponta sérios indícios d</w:t>
      </w:r>
      <w:r w:rsidRPr="00DD4769">
        <w:rPr>
          <w:rFonts w:ascii="Arial" w:hAnsi="Arial" w:cs="Arial"/>
          <w:b/>
          <w:sz w:val="24"/>
          <w:szCs w:val="24"/>
          <w:u w:val="single"/>
        </w:rPr>
        <w:t>e irregularidades</w:t>
      </w:r>
      <w:r w:rsidRPr="00A013C2">
        <w:rPr>
          <w:rFonts w:ascii="Arial" w:hAnsi="Arial" w:cs="Arial"/>
          <w:b/>
          <w:sz w:val="24"/>
          <w:szCs w:val="24"/>
        </w:rPr>
        <w:t xml:space="preserve"> </w:t>
      </w:r>
      <w:r w:rsidRPr="00DD4769">
        <w:rPr>
          <w:rFonts w:ascii="Arial" w:hAnsi="Arial" w:cs="Arial"/>
          <w:b/>
          <w:sz w:val="24"/>
          <w:szCs w:val="24"/>
        </w:rPr>
        <w:t>em relação ao descumprimento desse requisito</w:t>
      </w:r>
      <w:r w:rsidR="00A013C2">
        <w:rPr>
          <w:rFonts w:ascii="Arial" w:hAnsi="Arial" w:cs="Arial"/>
          <w:b/>
          <w:sz w:val="24"/>
          <w:szCs w:val="24"/>
        </w:rPr>
        <w:t xml:space="preserve"> legal</w:t>
      </w:r>
      <w:r>
        <w:rPr>
          <w:rFonts w:ascii="Arial" w:hAnsi="Arial" w:cs="Arial"/>
          <w:sz w:val="24"/>
          <w:szCs w:val="24"/>
        </w:rPr>
        <w:t>, visto que a CPI se limitou a fazer simples consulta à página eletrônica da própria Secretaria de Estado da Economia referente à situação fiscal das empresas na data da pesquisa.</w:t>
      </w:r>
    </w:p>
    <w:p w14:paraId="3AF4A7A2" w14:textId="18543532" w:rsidR="00631C02" w:rsidRDefault="00631C02" w:rsidP="00631C02">
      <w:pPr>
        <w:spacing w:line="360" w:lineRule="auto"/>
        <w:ind w:firstLine="851"/>
        <w:jc w:val="both"/>
        <w:rPr>
          <w:rFonts w:ascii="Arial" w:hAnsi="Arial" w:cs="Arial"/>
          <w:sz w:val="24"/>
          <w:szCs w:val="24"/>
        </w:rPr>
      </w:pPr>
      <w:r w:rsidRPr="00EB5A66">
        <w:rPr>
          <w:rFonts w:ascii="Arial" w:hAnsi="Arial" w:cs="Arial"/>
          <w:b/>
          <w:sz w:val="24"/>
          <w:szCs w:val="24"/>
        </w:rPr>
        <w:t>Necessário, porém, que a própria Secretaria proceda a um levantamento mais completo</w:t>
      </w:r>
      <w:r>
        <w:rPr>
          <w:rFonts w:ascii="Arial" w:hAnsi="Arial" w:cs="Arial"/>
          <w:sz w:val="24"/>
          <w:szCs w:val="24"/>
        </w:rPr>
        <w:t xml:space="preserve"> – afinal, é a própria pasta que possui o acesso amplo à inscrição de todas as pessoas jurídicas em dívida ativa do Estado – </w:t>
      </w:r>
      <w:r w:rsidRPr="00A063B6">
        <w:rPr>
          <w:rFonts w:ascii="Arial" w:hAnsi="Arial" w:cs="Arial"/>
          <w:sz w:val="24"/>
          <w:szCs w:val="24"/>
          <w:u w:val="single"/>
        </w:rPr>
        <w:t xml:space="preserve">a fim de identificar </w:t>
      </w:r>
      <w:r>
        <w:rPr>
          <w:rFonts w:ascii="Arial" w:hAnsi="Arial" w:cs="Arial"/>
          <w:sz w:val="24"/>
          <w:szCs w:val="24"/>
          <w:u w:val="single"/>
        </w:rPr>
        <w:t xml:space="preserve">todas </w:t>
      </w:r>
      <w:r w:rsidRPr="00A063B6">
        <w:rPr>
          <w:rFonts w:ascii="Arial" w:hAnsi="Arial" w:cs="Arial"/>
          <w:sz w:val="24"/>
          <w:szCs w:val="24"/>
          <w:u w:val="single"/>
        </w:rPr>
        <w:t>as empresas que, desde 2014, tiveram ou ainda possuem algum débito inscrito em dívida ativa para</w:t>
      </w:r>
      <w:r>
        <w:rPr>
          <w:rFonts w:ascii="Arial" w:hAnsi="Arial" w:cs="Arial"/>
          <w:sz w:val="24"/>
          <w:szCs w:val="24"/>
          <w:u w:val="single"/>
        </w:rPr>
        <w:t xml:space="preserve"> que cessem imediatamente a fruição de incentivos fiscais e devolvam aos cofres públicos todos os valores fruídos durante o período </w:t>
      </w:r>
      <w:r w:rsidR="00AF4F4C">
        <w:rPr>
          <w:rFonts w:ascii="Arial" w:hAnsi="Arial" w:cs="Arial"/>
          <w:sz w:val="24"/>
          <w:szCs w:val="24"/>
          <w:u w:val="single"/>
        </w:rPr>
        <w:t>durante o qual perdurou a irregularidade</w:t>
      </w:r>
      <w:r>
        <w:rPr>
          <w:rFonts w:ascii="Arial" w:hAnsi="Arial" w:cs="Arial"/>
          <w:sz w:val="24"/>
          <w:szCs w:val="24"/>
          <w:u w:val="single"/>
        </w:rPr>
        <w:t>, nos estritos termos do § 2º do art. 1º do RCTE/GO</w:t>
      </w:r>
      <w:r w:rsidR="00AF4F4C" w:rsidRPr="00AF4F4C">
        <w:rPr>
          <w:rFonts w:ascii="Arial" w:hAnsi="Arial" w:cs="Arial"/>
          <w:sz w:val="24"/>
          <w:szCs w:val="24"/>
        </w:rPr>
        <w:t>.</w:t>
      </w:r>
    </w:p>
    <w:p w14:paraId="56CFBBE1" w14:textId="77777777" w:rsidR="00631C02" w:rsidRDefault="00631C02" w:rsidP="00631C02">
      <w:pPr>
        <w:spacing w:line="360" w:lineRule="auto"/>
        <w:ind w:firstLine="851"/>
        <w:jc w:val="both"/>
        <w:rPr>
          <w:rFonts w:ascii="Arial" w:hAnsi="Arial" w:cs="Arial"/>
          <w:sz w:val="24"/>
          <w:szCs w:val="24"/>
        </w:rPr>
      </w:pPr>
      <w:r>
        <w:rPr>
          <w:rFonts w:ascii="Arial" w:hAnsi="Arial" w:cs="Arial"/>
          <w:sz w:val="24"/>
          <w:szCs w:val="24"/>
        </w:rPr>
        <w:t xml:space="preserve">Ressalte-se que </w:t>
      </w:r>
      <w:r w:rsidRPr="00315602">
        <w:rPr>
          <w:rFonts w:ascii="Arial" w:hAnsi="Arial" w:cs="Arial"/>
          <w:b/>
          <w:sz w:val="24"/>
          <w:szCs w:val="24"/>
        </w:rPr>
        <w:t>o próprio RCTE/GO</w:t>
      </w:r>
      <w:r>
        <w:rPr>
          <w:rFonts w:ascii="Arial" w:hAnsi="Arial" w:cs="Arial"/>
          <w:sz w:val="24"/>
          <w:szCs w:val="24"/>
        </w:rPr>
        <w:t xml:space="preserve"> </w:t>
      </w:r>
      <w:r w:rsidRPr="00315602">
        <w:rPr>
          <w:rFonts w:ascii="Arial" w:hAnsi="Arial" w:cs="Arial"/>
          <w:b/>
          <w:sz w:val="24"/>
          <w:szCs w:val="24"/>
        </w:rPr>
        <w:t>impede O SUJEITO PASSIVO de utilizar os incentivos fiscais quando em débito perante o fisco estadual</w:t>
      </w:r>
      <w:r>
        <w:rPr>
          <w:rFonts w:ascii="Arial" w:hAnsi="Arial" w:cs="Arial"/>
          <w:sz w:val="24"/>
          <w:szCs w:val="24"/>
        </w:rPr>
        <w:t xml:space="preserve">, o que significa dizer que o contribuinte não precisa ser previamente notificado para deixar de fruí-los; uma vez verificada a inscrição em dívida ativa e ausentes quaisquer das exceções previstas no § 1º-C do Anexo IX do art. 1º RCTE/GO, </w:t>
      </w:r>
      <w:r w:rsidRPr="00386F76">
        <w:rPr>
          <w:rFonts w:ascii="Arial" w:hAnsi="Arial" w:cs="Arial"/>
          <w:sz w:val="24"/>
          <w:szCs w:val="24"/>
          <w:u w:val="single"/>
        </w:rPr>
        <w:t>imperioso que o próprio sujeito passivo deixe</w:t>
      </w:r>
      <w:r>
        <w:rPr>
          <w:rFonts w:ascii="Arial" w:hAnsi="Arial" w:cs="Arial"/>
          <w:sz w:val="24"/>
          <w:szCs w:val="24"/>
          <w:u w:val="single"/>
        </w:rPr>
        <w:t xml:space="preserve"> imediatamente</w:t>
      </w:r>
      <w:r w:rsidRPr="00386F76">
        <w:rPr>
          <w:rFonts w:ascii="Arial" w:hAnsi="Arial" w:cs="Arial"/>
          <w:sz w:val="24"/>
          <w:szCs w:val="24"/>
          <w:u w:val="single"/>
        </w:rPr>
        <w:t xml:space="preserve"> de lançar o benefício fiscal em sua escrituração fiscal digital</w:t>
      </w:r>
      <w:r>
        <w:rPr>
          <w:rFonts w:ascii="Arial" w:hAnsi="Arial" w:cs="Arial"/>
          <w:sz w:val="24"/>
          <w:szCs w:val="24"/>
        </w:rPr>
        <w:t xml:space="preserve">. </w:t>
      </w:r>
    </w:p>
    <w:p w14:paraId="7A679242" w14:textId="135F1151" w:rsidR="00631C02" w:rsidRDefault="00631C02" w:rsidP="00631C02">
      <w:pPr>
        <w:spacing w:line="360" w:lineRule="auto"/>
        <w:ind w:firstLine="851"/>
        <w:jc w:val="both"/>
        <w:rPr>
          <w:rFonts w:ascii="Arial" w:hAnsi="Arial" w:cs="Arial"/>
          <w:sz w:val="24"/>
          <w:szCs w:val="24"/>
        </w:rPr>
      </w:pPr>
      <w:r w:rsidRPr="00386F76">
        <w:rPr>
          <w:rFonts w:ascii="Arial" w:hAnsi="Arial" w:cs="Arial"/>
          <w:b/>
          <w:sz w:val="24"/>
          <w:szCs w:val="24"/>
        </w:rPr>
        <w:t>Para o sistema ser mais funcional</w:t>
      </w:r>
      <w:r>
        <w:rPr>
          <w:rFonts w:ascii="Arial" w:hAnsi="Arial" w:cs="Arial"/>
          <w:sz w:val="24"/>
          <w:szCs w:val="24"/>
        </w:rPr>
        <w:t xml:space="preserve">, esta CPI recomenda a inclusão de dispositivo na lei geral de incentivos fiscais a ser proposta nesta Casa Legislativa </w:t>
      </w:r>
      <w:r w:rsidRPr="00386F76">
        <w:rPr>
          <w:rFonts w:ascii="Arial" w:hAnsi="Arial" w:cs="Arial"/>
          <w:sz w:val="24"/>
          <w:szCs w:val="24"/>
        </w:rPr>
        <w:t>para</w:t>
      </w:r>
      <w:r w:rsidRPr="00386F76">
        <w:rPr>
          <w:rFonts w:ascii="Arial" w:hAnsi="Arial" w:cs="Arial"/>
          <w:b/>
          <w:sz w:val="24"/>
          <w:szCs w:val="24"/>
        </w:rPr>
        <w:t xml:space="preserve"> impor multa de 50% (cinquenta por cento) </w:t>
      </w:r>
      <w:r>
        <w:rPr>
          <w:rFonts w:ascii="Arial" w:hAnsi="Arial" w:cs="Arial"/>
          <w:b/>
          <w:sz w:val="24"/>
          <w:szCs w:val="24"/>
        </w:rPr>
        <w:t xml:space="preserve">ao sujeito passivo que aproveitar </w:t>
      </w:r>
      <w:r w:rsidRPr="00386F76">
        <w:rPr>
          <w:rFonts w:ascii="Arial" w:hAnsi="Arial" w:cs="Arial"/>
          <w:b/>
          <w:sz w:val="24"/>
          <w:szCs w:val="24"/>
        </w:rPr>
        <w:t xml:space="preserve">irregularmente </w:t>
      </w:r>
      <w:r>
        <w:rPr>
          <w:rFonts w:ascii="Arial" w:hAnsi="Arial" w:cs="Arial"/>
          <w:b/>
          <w:sz w:val="24"/>
          <w:szCs w:val="24"/>
        </w:rPr>
        <w:t>o incentivo fiscal</w:t>
      </w:r>
      <w:r>
        <w:rPr>
          <w:rFonts w:ascii="Arial" w:hAnsi="Arial" w:cs="Arial"/>
          <w:sz w:val="24"/>
          <w:szCs w:val="24"/>
        </w:rPr>
        <w:t>, aplicado sobre o valor total desses incentivos fruídos enquanto o sujeito passivo permaneceu inscrito em dívida ativa</w:t>
      </w:r>
      <w:r w:rsidR="00802DAA">
        <w:rPr>
          <w:rFonts w:ascii="Arial" w:hAnsi="Arial" w:cs="Arial"/>
          <w:sz w:val="24"/>
          <w:szCs w:val="24"/>
        </w:rPr>
        <w:t>, bem como a responsabilização solidária da pessoa física de todos os administradores constantes do contrato social</w:t>
      </w:r>
      <w:r>
        <w:rPr>
          <w:rFonts w:ascii="Arial" w:hAnsi="Arial" w:cs="Arial"/>
          <w:sz w:val="24"/>
          <w:szCs w:val="24"/>
        </w:rPr>
        <w:t>. Essa medida certamente compeliria as empresas</w:t>
      </w:r>
      <w:r w:rsidR="00802DAA">
        <w:rPr>
          <w:rFonts w:ascii="Arial" w:hAnsi="Arial" w:cs="Arial"/>
          <w:sz w:val="24"/>
          <w:szCs w:val="24"/>
        </w:rPr>
        <w:t xml:space="preserve"> e seus gestores</w:t>
      </w:r>
      <w:r>
        <w:rPr>
          <w:rFonts w:ascii="Arial" w:hAnsi="Arial" w:cs="Arial"/>
          <w:sz w:val="24"/>
          <w:szCs w:val="24"/>
        </w:rPr>
        <w:t xml:space="preserve"> a obser</w:t>
      </w:r>
      <w:r w:rsidR="000600AC">
        <w:rPr>
          <w:rFonts w:ascii="Arial" w:hAnsi="Arial" w:cs="Arial"/>
          <w:sz w:val="24"/>
          <w:szCs w:val="24"/>
        </w:rPr>
        <w:t>varem estritamente a legislação</w:t>
      </w:r>
      <w:r>
        <w:rPr>
          <w:rFonts w:ascii="Arial" w:hAnsi="Arial" w:cs="Arial"/>
          <w:sz w:val="24"/>
          <w:szCs w:val="24"/>
        </w:rPr>
        <w:t>.</w:t>
      </w:r>
    </w:p>
    <w:p w14:paraId="7262E0EA" w14:textId="11AC0C66" w:rsidR="00631C02" w:rsidRDefault="00631C02" w:rsidP="00631C02">
      <w:pPr>
        <w:spacing w:line="360" w:lineRule="auto"/>
        <w:ind w:firstLine="851"/>
        <w:jc w:val="both"/>
        <w:rPr>
          <w:rFonts w:ascii="Arial" w:hAnsi="Arial" w:cs="Arial"/>
          <w:sz w:val="24"/>
          <w:szCs w:val="24"/>
        </w:rPr>
      </w:pPr>
      <w:r>
        <w:rPr>
          <w:rFonts w:ascii="Arial" w:hAnsi="Arial" w:cs="Arial"/>
          <w:sz w:val="24"/>
          <w:szCs w:val="24"/>
        </w:rPr>
        <w:t xml:space="preserve">Assim, </w:t>
      </w:r>
      <w:r w:rsidRPr="00E95F7F">
        <w:rPr>
          <w:rFonts w:ascii="Arial" w:hAnsi="Arial" w:cs="Arial"/>
          <w:b/>
          <w:sz w:val="24"/>
          <w:szCs w:val="24"/>
        </w:rPr>
        <w:t>a fiscalização tributária deve ser permanente para verificar periodicamente, mês</w:t>
      </w:r>
      <w:r w:rsidR="00E523C9">
        <w:rPr>
          <w:rFonts w:ascii="Arial" w:hAnsi="Arial" w:cs="Arial"/>
          <w:b/>
          <w:sz w:val="24"/>
          <w:szCs w:val="24"/>
        </w:rPr>
        <w:t xml:space="preserve"> a mês</w:t>
      </w:r>
      <w:r w:rsidRPr="00E95F7F">
        <w:rPr>
          <w:rFonts w:ascii="Arial" w:hAnsi="Arial" w:cs="Arial"/>
          <w:b/>
          <w:sz w:val="24"/>
          <w:szCs w:val="24"/>
        </w:rPr>
        <w:t xml:space="preserve">, se o contribuinte inscrito em dívida ativa se aproveitou irregularmente de </w:t>
      </w:r>
      <w:r>
        <w:rPr>
          <w:rFonts w:ascii="Arial" w:hAnsi="Arial" w:cs="Arial"/>
          <w:b/>
          <w:sz w:val="24"/>
          <w:szCs w:val="24"/>
        </w:rPr>
        <w:t>incentivos fiscais</w:t>
      </w:r>
      <w:r w:rsidRPr="00E95F7F">
        <w:rPr>
          <w:rFonts w:ascii="Arial" w:hAnsi="Arial" w:cs="Arial"/>
          <w:b/>
          <w:sz w:val="24"/>
          <w:szCs w:val="24"/>
        </w:rPr>
        <w:t xml:space="preserve"> em sua escrituração fiscal digital</w:t>
      </w:r>
      <w:r>
        <w:rPr>
          <w:rFonts w:ascii="Arial" w:hAnsi="Arial" w:cs="Arial"/>
          <w:sz w:val="24"/>
          <w:szCs w:val="24"/>
        </w:rPr>
        <w:t xml:space="preserve"> e, constatada essa irregularidade, seja</w:t>
      </w:r>
      <w:r w:rsidR="000600AC">
        <w:rPr>
          <w:rFonts w:ascii="Arial" w:hAnsi="Arial" w:cs="Arial"/>
          <w:sz w:val="24"/>
          <w:szCs w:val="24"/>
        </w:rPr>
        <w:t>m</w:t>
      </w:r>
      <w:r>
        <w:rPr>
          <w:rFonts w:ascii="Arial" w:hAnsi="Arial" w:cs="Arial"/>
          <w:sz w:val="24"/>
          <w:szCs w:val="24"/>
        </w:rPr>
        <w:t xml:space="preserve"> </w:t>
      </w:r>
      <w:r w:rsidR="000600AC">
        <w:rPr>
          <w:rFonts w:ascii="Arial" w:hAnsi="Arial" w:cs="Arial"/>
          <w:sz w:val="24"/>
          <w:szCs w:val="24"/>
        </w:rPr>
        <w:t xml:space="preserve">adotadas </w:t>
      </w:r>
      <w:r>
        <w:rPr>
          <w:rFonts w:ascii="Arial" w:hAnsi="Arial" w:cs="Arial"/>
          <w:sz w:val="24"/>
          <w:szCs w:val="24"/>
        </w:rPr>
        <w:t xml:space="preserve">as medidas </w:t>
      </w:r>
      <w:r w:rsidR="000600AC">
        <w:rPr>
          <w:rFonts w:ascii="Arial" w:hAnsi="Arial" w:cs="Arial"/>
          <w:sz w:val="24"/>
          <w:szCs w:val="24"/>
        </w:rPr>
        <w:t xml:space="preserve">punitivas e executivas </w:t>
      </w:r>
      <w:r>
        <w:rPr>
          <w:rFonts w:ascii="Arial" w:hAnsi="Arial" w:cs="Arial"/>
          <w:sz w:val="24"/>
          <w:szCs w:val="24"/>
        </w:rPr>
        <w:t>pertinentes (</w:t>
      </w:r>
      <w:r w:rsidR="000600AC">
        <w:rPr>
          <w:rFonts w:ascii="Arial" w:hAnsi="Arial" w:cs="Arial"/>
          <w:sz w:val="24"/>
          <w:szCs w:val="24"/>
        </w:rPr>
        <w:t>autuação fiscal; suspensão do benefício e do contrato com a GOIÁSFOMENTO</w:t>
      </w:r>
      <w:r w:rsidR="00A31B3C">
        <w:rPr>
          <w:rFonts w:ascii="Arial" w:hAnsi="Arial" w:cs="Arial"/>
          <w:sz w:val="24"/>
          <w:szCs w:val="24"/>
        </w:rPr>
        <w:t>, no caso dos Programas Fomentar/Produzir</w:t>
      </w:r>
      <w:r w:rsidR="000600AC">
        <w:rPr>
          <w:rFonts w:ascii="Arial" w:hAnsi="Arial" w:cs="Arial"/>
          <w:sz w:val="24"/>
          <w:szCs w:val="24"/>
        </w:rPr>
        <w:t xml:space="preserve">; </w:t>
      </w:r>
      <w:r>
        <w:rPr>
          <w:rFonts w:ascii="Arial" w:hAnsi="Arial" w:cs="Arial"/>
          <w:sz w:val="24"/>
          <w:szCs w:val="24"/>
        </w:rPr>
        <w:t>revogação de TARE</w:t>
      </w:r>
      <w:r w:rsidR="000600AC">
        <w:rPr>
          <w:rFonts w:ascii="Arial" w:hAnsi="Arial" w:cs="Arial"/>
          <w:sz w:val="24"/>
          <w:szCs w:val="24"/>
        </w:rPr>
        <w:t>;</w:t>
      </w:r>
      <w:r>
        <w:rPr>
          <w:rFonts w:ascii="Arial" w:hAnsi="Arial" w:cs="Arial"/>
          <w:sz w:val="24"/>
          <w:szCs w:val="24"/>
        </w:rPr>
        <w:t xml:space="preserve"> </w:t>
      </w:r>
      <w:r>
        <w:rPr>
          <w:rFonts w:ascii="Arial" w:hAnsi="Arial" w:cs="Arial"/>
          <w:sz w:val="24"/>
          <w:szCs w:val="24"/>
        </w:rPr>
        <w:lastRenderedPageBreak/>
        <w:t xml:space="preserve">inscrição em dívida ativa relativamente ao benefício aproveitado irregularmente; protesto da CDA; ajuizamento de execução fiscal </w:t>
      </w:r>
      <w:r w:rsidR="0083581B">
        <w:rPr>
          <w:rFonts w:ascii="Arial" w:hAnsi="Arial" w:cs="Arial"/>
          <w:sz w:val="24"/>
          <w:szCs w:val="24"/>
        </w:rPr>
        <w:t xml:space="preserve">e outras ações judiciais cabíveis </w:t>
      </w:r>
      <w:r>
        <w:rPr>
          <w:rFonts w:ascii="Arial" w:hAnsi="Arial" w:cs="Arial"/>
          <w:sz w:val="24"/>
          <w:szCs w:val="24"/>
        </w:rPr>
        <w:t>etc).</w:t>
      </w:r>
    </w:p>
    <w:p w14:paraId="565B636C" w14:textId="77777777" w:rsidR="00631C02" w:rsidRDefault="00631C02" w:rsidP="00631C02">
      <w:pPr>
        <w:spacing w:line="360" w:lineRule="auto"/>
        <w:ind w:firstLine="851"/>
        <w:jc w:val="both"/>
        <w:rPr>
          <w:rFonts w:ascii="Arial" w:hAnsi="Arial" w:cs="Arial"/>
          <w:sz w:val="24"/>
          <w:szCs w:val="24"/>
        </w:rPr>
      </w:pPr>
      <w:r>
        <w:rPr>
          <w:rFonts w:ascii="Arial" w:hAnsi="Arial" w:cs="Arial"/>
          <w:sz w:val="24"/>
          <w:szCs w:val="24"/>
        </w:rPr>
        <w:t>De todo modo, o que se p</w:t>
      </w:r>
      <w:r w:rsidRPr="00327187">
        <w:rPr>
          <w:rFonts w:ascii="Arial" w:hAnsi="Arial" w:cs="Arial"/>
          <w:sz w:val="24"/>
          <w:szCs w:val="24"/>
        </w:rPr>
        <w:t>ercebe</w:t>
      </w:r>
      <w:r>
        <w:rPr>
          <w:rFonts w:ascii="Arial" w:hAnsi="Arial" w:cs="Arial"/>
          <w:sz w:val="24"/>
          <w:szCs w:val="24"/>
        </w:rPr>
        <w:t xml:space="preserve"> com absoluta clareza é que </w:t>
      </w:r>
      <w:r w:rsidRPr="00D033A6">
        <w:rPr>
          <w:rFonts w:ascii="Arial" w:hAnsi="Arial" w:cs="Arial"/>
          <w:b/>
          <w:sz w:val="24"/>
          <w:szCs w:val="24"/>
        </w:rPr>
        <w:t>nem</w:t>
      </w:r>
      <w:r>
        <w:rPr>
          <w:rFonts w:ascii="Arial" w:hAnsi="Arial" w:cs="Arial"/>
          <w:sz w:val="24"/>
          <w:szCs w:val="24"/>
        </w:rPr>
        <w:t xml:space="preserve"> </w:t>
      </w:r>
      <w:r w:rsidRPr="004570D1">
        <w:rPr>
          <w:rFonts w:ascii="Arial" w:hAnsi="Arial" w:cs="Arial"/>
          <w:b/>
          <w:sz w:val="24"/>
          <w:szCs w:val="24"/>
        </w:rPr>
        <w:t xml:space="preserve">a Secretaria de Indústria e Comércio </w:t>
      </w:r>
      <w:r>
        <w:rPr>
          <w:rFonts w:ascii="Arial" w:hAnsi="Arial" w:cs="Arial"/>
          <w:b/>
          <w:sz w:val="24"/>
          <w:szCs w:val="24"/>
        </w:rPr>
        <w:t xml:space="preserve">nem a de Economia </w:t>
      </w:r>
      <w:r w:rsidRPr="004570D1">
        <w:rPr>
          <w:rFonts w:ascii="Arial" w:hAnsi="Arial" w:cs="Arial"/>
          <w:b/>
          <w:sz w:val="24"/>
          <w:szCs w:val="24"/>
        </w:rPr>
        <w:t>possu</w:t>
      </w:r>
      <w:r>
        <w:rPr>
          <w:rFonts w:ascii="Arial" w:hAnsi="Arial" w:cs="Arial"/>
          <w:b/>
          <w:sz w:val="24"/>
          <w:szCs w:val="24"/>
        </w:rPr>
        <w:t>em</w:t>
      </w:r>
      <w:r w:rsidRPr="004570D1">
        <w:rPr>
          <w:rFonts w:ascii="Arial" w:hAnsi="Arial" w:cs="Arial"/>
          <w:b/>
          <w:sz w:val="24"/>
          <w:szCs w:val="24"/>
        </w:rPr>
        <w:t xml:space="preserve"> qualquer </w:t>
      </w:r>
      <w:r>
        <w:rPr>
          <w:rFonts w:ascii="Arial" w:hAnsi="Arial" w:cs="Arial"/>
          <w:b/>
          <w:sz w:val="24"/>
          <w:szCs w:val="24"/>
        </w:rPr>
        <w:t xml:space="preserve">sistema ou rotina de </w:t>
      </w:r>
      <w:r w:rsidRPr="004570D1">
        <w:rPr>
          <w:rFonts w:ascii="Arial" w:hAnsi="Arial" w:cs="Arial"/>
          <w:b/>
          <w:sz w:val="24"/>
          <w:szCs w:val="24"/>
        </w:rPr>
        <w:t xml:space="preserve">acompanhamento </w:t>
      </w:r>
      <w:r w:rsidRPr="003A30B5">
        <w:rPr>
          <w:rFonts w:ascii="Arial" w:hAnsi="Arial" w:cs="Arial"/>
          <w:b/>
          <w:sz w:val="24"/>
          <w:szCs w:val="24"/>
        </w:rPr>
        <w:t>periódico acerca da manutenção da regularidade fiscal</w:t>
      </w:r>
      <w:r>
        <w:rPr>
          <w:rFonts w:ascii="Arial" w:hAnsi="Arial" w:cs="Arial"/>
          <w:b/>
          <w:sz w:val="24"/>
          <w:szCs w:val="24"/>
        </w:rPr>
        <w:t xml:space="preserve"> por parte das empresas beneficiárias de incentivos fiscais no Estado de Goiás</w:t>
      </w:r>
      <w:r w:rsidRPr="00214D28">
        <w:rPr>
          <w:rFonts w:ascii="Arial" w:hAnsi="Arial" w:cs="Arial"/>
          <w:sz w:val="24"/>
          <w:szCs w:val="24"/>
        </w:rPr>
        <w:t xml:space="preserve">, </w:t>
      </w:r>
      <w:r>
        <w:rPr>
          <w:rFonts w:ascii="Arial" w:hAnsi="Arial" w:cs="Arial"/>
          <w:sz w:val="24"/>
          <w:szCs w:val="24"/>
        </w:rPr>
        <w:t>em relação àquelas que fruem os benefícios</w:t>
      </w:r>
      <w:r w:rsidRPr="00214D28">
        <w:rPr>
          <w:rFonts w:ascii="Arial" w:hAnsi="Arial" w:cs="Arial"/>
          <w:sz w:val="24"/>
          <w:szCs w:val="24"/>
        </w:rPr>
        <w:t xml:space="preserve"> dos Programas Fom</w:t>
      </w:r>
      <w:r>
        <w:rPr>
          <w:rFonts w:ascii="Arial" w:hAnsi="Arial" w:cs="Arial"/>
          <w:sz w:val="24"/>
          <w:szCs w:val="24"/>
        </w:rPr>
        <w:t xml:space="preserve">entar e </w:t>
      </w:r>
      <w:r w:rsidRPr="00214D28">
        <w:rPr>
          <w:rFonts w:ascii="Arial" w:hAnsi="Arial" w:cs="Arial"/>
          <w:sz w:val="24"/>
          <w:szCs w:val="24"/>
        </w:rPr>
        <w:t>Produzir</w:t>
      </w:r>
      <w:r>
        <w:rPr>
          <w:rFonts w:ascii="Arial" w:hAnsi="Arial" w:cs="Arial"/>
          <w:sz w:val="24"/>
          <w:szCs w:val="24"/>
        </w:rPr>
        <w:t xml:space="preserve"> e àquelas que fruem créditos outorgados e outras espécies de incentivos fiscais</w:t>
      </w:r>
      <w:r w:rsidRPr="00214D28">
        <w:rPr>
          <w:rFonts w:ascii="Arial" w:hAnsi="Arial" w:cs="Arial"/>
          <w:sz w:val="24"/>
          <w:szCs w:val="24"/>
        </w:rPr>
        <w:t>, o que revela o comp</w:t>
      </w:r>
      <w:r>
        <w:rPr>
          <w:rFonts w:ascii="Arial" w:hAnsi="Arial" w:cs="Arial"/>
          <w:sz w:val="24"/>
          <w:szCs w:val="24"/>
        </w:rPr>
        <w:t>leto desprezo às normas legais e regulamentares correspondentes e enseja, inclusive, responsabilidade dos agentes públicos omissos, cuja apuração esta CPI apela ao MPE/GO, sobretudo em relação à gestão anterior e, se a omissão continuar persistindo ao longo do presente exercício e dos seguintes, também para atual gestão.</w:t>
      </w:r>
    </w:p>
    <w:p w14:paraId="50D87C98" w14:textId="77777777" w:rsidR="0027044F" w:rsidRDefault="0027044F" w:rsidP="001F658D">
      <w:pPr>
        <w:spacing w:line="360" w:lineRule="auto"/>
        <w:ind w:firstLine="851"/>
        <w:jc w:val="both"/>
        <w:rPr>
          <w:rFonts w:ascii="Arial" w:hAnsi="Arial" w:cs="Arial"/>
          <w:b/>
          <w:sz w:val="24"/>
          <w:szCs w:val="24"/>
        </w:rPr>
      </w:pPr>
    </w:p>
    <w:p w14:paraId="1CF05302" w14:textId="23AA219E" w:rsidR="00434B49" w:rsidRDefault="000A45B9" w:rsidP="001F658D">
      <w:pPr>
        <w:spacing w:line="360" w:lineRule="auto"/>
        <w:ind w:firstLine="851"/>
        <w:jc w:val="both"/>
        <w:rPr>
          <w:rFonts w:ascii="Arial" w:hAnsi="Arial" w:cs="Arial"/>
          <w:sz w:val="24"/>
          <w:szCs w:val="24"/>
        </w:rPr>
      </w:pPr>
      <w:r>
        <w:rPr>
          <w:rFonts w:ascii="Arial" w:hAnsi="Arial" w:cs="Arial"/>
          <w:b/>
          <w:sz w:val="24"/>
          <w:szCs w:val="24"/>
        </w:rPr>
        <w:t>8.1.6</w:t>
      </w:r>
      <w:r w:rsidR="000C0C1D" w:rsidRPr="001B356D">
        <w:rPr>
          <w:rFonts w:ascii="Arial" w:hAnsi="Arial" w:cs="Arial"/>
          <w:b/>
          <w:sz w:val="24"/>
          <w:szCs w:val="24"/>
        </w:rPr>
        <w:t>.</w:t>
      </w:r>
      <w:r w:rsidR="00315D93" w:rsidRPr="00221633">
        <w:rPr>
          <w:rFonts w:ascii="Arial" w:hAnsi="Arial" w:cs="Arial"/>
          <w:sz w:val="24"/>
          <w:szCs w:val="24"/>
        </w:rPr>
        <w:t xml:space="preserve"> </w:t>
      </w:r>
      <w:r w:rsidR="00434B49">
        <w:rPr>
          <w:rFonts w:ascii="Arial" w:hAnsi="Arial" w:cs="Arial"/>
          <w:sz w:val="24"/>
          <w:szCs w:val="24"/>
        </w:rPr>
        <w:t xml:space="preserve">Outro </w:t>
      </w:r>
      <w:r w:rsidR="00434B49" w:rsidRPr="00434B49">
        <w:rPr>
          <w:rFonts w:ascii="Arial" w:hAnsi="Arial" w:cs="Arial"/>
          <w:b/>
          <w:sz w:val="24"/>
          <w:szCs w:val="24"/>
          <w:u w:val="single"/>
        </w:rPr>
        <w:t>ponto relevante</w:t>
      </w:r>
      <w:r w:rsidR="00434B49">
        <w:rPr>
          <w:rFonts w:ascii="Arial" w:hAnsi="Arial" w:cs="Arial"/>
          <w:sz w:val="24"/>
          <w:szCs w:val="24"/>
        </w:rPr>
        <w:t xml:space="preserve">, embora não constituam um descumprimento legal propriamente dito mas sim uma deformidade do sistema, é que </w:t>
      </w:r>
      <w:r w:rsidR="00434B49" w:rsidRPr="00434B49">
        <w:rPr>
          <w:rFonts w:ascii="Arial" w:hAnsi="Arial" w:cs="Arial"/>
          <w:b/>
          <w:sz w:val="24"/>
          <w:szCs w:val="24"/>
          <w:u w:val="single"/>
        </w:rPr>
        <w:t>empresas em débito com o Estado de Goiás podem continuar a fruir incentivos fiscais e aderir a longos parcelamentos de suas dívidas</w:t>
      </w:r>
      <w:r w:rsidR="00434B49">
        <w:rPr>
          <w:rFonts w:ascii="Arial" w:hAnsi="Arial" w:cs="Arial"/>
          <w:sz w:val="24"/>
          <w:szCs w:val="24"/>
        </w:rPr>
        <w:t>, o que configura, na prática, verdadeiro financiamento estatal em relação ao ICMS devido pela empresa.</w:t>
      </w:r>
    </w:p>
    <w:p w14:paraId="1A526500" w14:textId="4DB57896" w:rsidR="0015662A" w:rsidRPr="0015662A" w:rsidRDefault="00506FCF" w:rsidP="0015662A">
      <w:pPr>
        <w:spacing w:line="360" w:lineRule="auto"/>
        <w:ind w:firstLine="851"/>
        <w:jc w:val="both"/>
        <w:rPr>
          <w:rFonts w:ascii="Arial" w:hAnsi="Arial" w:cs="Arial"/>
          <w:sz w:val="24"/>
          <w:szCs w:val="24"/>
        </w:rPr>
      </w:pPr>
      <w:r>
        <w:rPr>
          <w:rFonts w:ascii="Arial" w:hAnsi="Arial" w:cs="Arial"/>
          <w:sz w:val="24"/>
          <w:szCs w:val="24"/>
        </w:rPr>
        <w:t xml:space="preserve">Conforme apurado no Informe de Auditoria nº 01/2019 da CGE/GO (Ofício nº </w:t>
      </w:r>
      <w:r w:rsidRPr="00506FCF">
        <w:rPr>
          <w:rFonts w:ascii="Arial" w:hAnsi="Arial" w:cs="Arial"/>
          <w:sz w:val="24"/>
          <w:szCs w:val="24"/>
        </w:rPr>
        <w:t>2098/2019</w:t>
      </w:r>
      <w:r>
        <w:rPr>
          <w:rFonts w:ascii="Arial" w:hAnsi="Arial" w:cs="Arial"/>
          <w:sz w:val="24"/>
          <w:szCs w:val="24"/>
        </w:rPr>
        <w:t>-</w:t>
      </w:r>
      <w:r w:rsidRPr="00506FCF">
        <w:rPr>
          <w:rFonts w:ascii="Arial" w:hAnsi="Arial" w:cs="Arial"/>
          <w:sz w:val="24"/>
          <w:szCs w:val="24"/>
        </w:rPr>
        <w:t>CGE</w:t>
      </w:r>
      <w:r>
        <w:rPr>
          <w:rFonts w:ascii="Arial" w:hAnsi="Arial" w:cs="Arial"/>
          <w:sz w:val="24"/>
          <w:szCs w:val="24"/>
        </w:rPr>
        <w:t xml:space="preserve">, p. 64), </w:t>
      </w:r>
      <w:r w:rsidR="001C1593" w:rsidRPr="004537A4">
        <w:rPr>
          <w:rFonts w:ascii="Arial" w:hAnsi="Arial" w:cs="Arial"/>
          <w:b/>
          <w:sz w:val="24"/>
          <w:szCs w:val="24"/>
        </w:rPr>
        <w:t xml:space="preserve">no âmbito dos Programas Fomentar/Produzir houve a edição de extensa legislação a qual contemplou </w:t>
      </w:r>
      <w:r w:rsidR="001C1593" w:rsidRPr="007B47D5">
        <w:rPr>
          <w:rFonts w:ascii="Arial" w:hAnsi="Arial" w:cs="Arial"/>
          <w:b/>
          <w:sz w:val="24"/>
          <w:szCs w:val="24"/>
        </w:rPr>
        <w:t>diversas</w:t>
      </w:r>
      <w:r w:rsidR="0015662A" w:rsidRPr="007B47D5">
        <w:rPr>
          <w:rFonts w:ascii="Arial" w:hAnsi="Arial" w:cs="Arial"/>
          <w:b/>
          <w:sz w:val="24"/>
          <w:szCs w:val="24"/>
        </w:rPr>
        <w:t xml:space="preserve"> medidas facilitadoras </w:t>
      </w:r>
      <w:r w:rsidR="004537A4" w:rsidRPr="004537A4">
        <w:rPr>
          <w:rFonts w:ascii="Arial" w:hAnsi="Arial" w:cs="Arial"/>
          <w:b/>
          <w:sz w:val="24"/>
          <w:szCs w:val="24"/>
        </w:rPr>
        <w:t>às</w:t>
      </w:r>
      <w:r w:rsidR="0015662A" w:rsidRPr="004537A4">
        <w:rPr>
          <w:rFonts w:ascii="Arial" w:hAnsi="Arial" w:cs="Arial"/>
          <w:b/>
          <w:sz w:val="24"/>
          <w:szCs w:val="24"/>
        </w:rPr>
        <w:t xml:space="preserve"> empresas que se encontravam em débito com o</w:t>
      </w:r>
      <w:r w:rsidRPr="004537A4">
        <w:rPr>
          <w:rFonts w:ascii="Arial" w:hAnsi="Arial" w:cs="Arial"/>
          <w:b/>
          <w:sz w:val="24"/>
          <w:szCs w:val="24"/>
        </w:rPr>
        <w:t>s</w:t>
      </w:r>
      <w:r w:rsidR="0015662A" w:rsidRPr="004537A4">
        <w:rPr>
          <w:rFonts w:ascii="Arial" w:hAnsi="Arial" w:cs="Arial"/>
          <w:b/>
          <w:sz w:val="24"/>
          <w:szCs w:val="24"/>
        </w:rPr>
        <w:t xml:space="preserve"> </w:t>
      </w:r>
      <w:r w:rsidRPr="004537A4">
        <w:rPr>
          <w:rFonts w:ascii="Arial" w:hAnsi="Arial" w:cs="Arial"/>
          <w:b/>
          <w:sz w:val="24"/>
          <w:szCs w:val="24"/>
        </w:rPr>
        <w:t>p</w:t>
      </w:r>
      <w:r w:rsidR="0015662A" w:rsidRPr="004537A4">
        <w:rPr>
          <w:rFonts w:ascii="Arial" w:hAnsi="Arial" w:cs="Arial"/>
          <w:b/>
          <w:sz w:val="24"/>
          <w:szCs w:val="24"/>
        </w:rPr>
        <w:t>rograma</w:t>
      </w:r>
      <w:r w:rsidRPr="004537A4">
        <w:rPr>
          <w:rFonts w:ascii="Arial" w:hAnsi="Arial" w:cs="Arial"/>
          <w:b/>
          <w:sz w:val="24"/>
          <w:szCs w:val="24"/>
        </w:rPr>
        <w:t>s</w:t>
      </w:r>
      <w:r w:rsidR="0015662A" w:rsidRPr="0015662A">
        <w:rPr>
          <w:rFonts w:ascii="Arial" w:hAnsi="Arial" w:cs="Arial"/>
          <w:sz w:val="24"/>
          <w:szCs w:val="24"/>
        </w:rPr>
        <w:t>: Leis nºs 16.462/</w:t>
      </w:r>
      <w:r w:rsidR="00030A3C">
        <w:rPr>
          <w:rFonts w:ascii="Arial" w:hAnsi="Arial" w:cs="Arial"/>
          <w:sz w:val="24"/>
          <w:szCs w:val="24"/>
        </w:rPr>
        <w:t>20</w:t>
      </w:r>
      <w:r w:rsidR="0015662A" w:rsidRPr="0015662A">
        <w:rPr>
          <w:rFonts w:ascii="Arial" w:hAnsi="Arial" w:cs="Arial"/>
          <w:sz w:val="24"/>
          <w:szCs w:val="24"/>
        </w:rPr>
        <w:t>08, 16.846/</w:t>
      </w:r>
      <w:r w:rsidR="00030A3C">
        <w:rPr>
          <w:rFonts w:ascii="Arial" w:hAnsi="Arial" w:cs="Arial"/>
          <w:sz w:val="24"/>
          <w:szCs w:val="24"/>
        </w:rPr>
        <w:t>20</w:t>
      </w:r>
      <w:r w:rsidR="0015662A" w:rsidRPr="0015662A">
        <w:rPr>
          <w:rFonts w:ascii="Arial" w:hAnsi="Arial" w:cs="Arial"/>
          <w:sz w:val="24"/>
          <w:szCs w:val="24"/>
        </w:rPr>
        <w:t>09, 17.152/</w:t>
      </w:r>
      <w:r w:rsidR="00030A3C">
        <w:rPr>
          <w:rFonts w:ascii="Arial" w:hAnsi="Arial" w:cs="Arial"/>
          <w:sz w:val="24"/>
          <w:szCs w:val="24"/>
        </w:rPr>
        <w:t>20</w:t>
      </w:r>
      <w:r w:rsidR="0015662A" w:rsidRPr="0015662A">
        <w:rPr>
          <w:rFonts w:ascii="Arial" w:hAnsi="Arial" w:cs="Arial"/>
          <w:sz w:val="24"/>
          <w:szCs w:val="24"/>
        </w:rPr>
        <w:t>10, 17.758/</w:t>
      </w:r>
      <w:r w:rsidR="00030A3C">
        <w:rPr>
          <w:rFonts w:ascii="Arial" w:hAnsi="Arial" w:cs="Arial"/>
          <w:sz w:val="24"/>
          <w:szCs w:val="24"/>
        </w:rPr>
        <w:t>20</w:t>
      </w:r>
      <w:r w:rsidR="0015662A" w:rsidRPr="0015662A">
        <w:rPr>
          <w:rFonts w:ascii="Arial" w:hAnsi="Arial" w:cs="Arial"/>
          <w:sz w:val="24"/>
          <w:szCs w:val="24"/>
        </w:rPr>
        <w:t>10, 17.664/</w:t>
      </w:r>
      <w:r w:rsidR="00030A3C">
        <w:rPr>
          <w:rFonts w:ascii="Arial" w:hAnsi="Arial" w:cs="Arial"/>
          <w:sz w:val="24"/>
          <w:szCs w:val="24"/>
        </w:rPr>
        <w:t>20</w:t>
      </w:r>
      <w:r w:rsidR="0015662A" w:rsidRPr="0015662A">
        <w:rPr>
          <w:rFonts w:ascii="Arial" w:hAnsi="Arial" w:cs="Arial"/>
          <w:sz w:val="24"/>
          <w:szCs w:val="24"/>
        </w:rPr>
        <w:t>12, 17.817/</w:t>
      </w:r>
      <w:r w:rsidR="00030A3C">
        <w:rPr>
          <w:rFonts w:ascii="Arial" w:hAnsi="Arial" w:cs="Arial"/>
          <w:sz w:val="24"/>
          <w:szCs w:val="24"/>
        </w:rPr>
        <w:t>20</w:t>
      </w:r>
      <w:r w:rsidR="0015662A" w:rsidRPr="0015662A">
        <w:rPr>
          <w:rFonts w:ascii="Arial" w:hAnsi="Arial" w:cs="Arial"/>
          <w:sz w:val="24"/>
          <w:szCs w:val="24"/>
        </w:rPr>
        <w:t>12, 18.657/</w:t>
      </w:r>
      <w:r w:rsidR="00030A3C">
        <w:rPr>
          <w:rFonts w:ascii="Arial" w:hAnsi="Arial" w:cs="Arial"/>
          <w:sz w:val="24"/>
          <w:szCs w:val="24"/>
        </w:rPr>
        <w:t>20</w:t>
      </w:r>
      <w:r w:rsidR="0015662A" w:rsidRPr="0015662A">
        <w:rPr>
          <w:rFonts w:ascii="Arial" w:hAnsi="Arial" w:cs="Arial"/>
          <w:sz w:val="24"/>
          <w:szCs w:val="24"/>
        </w:rPr>
        <w:t>14 e 19.738/</w:t>
      </w:r>
      <w:r w:rsidR="00030A3C">
        <w:rPr>
          <w:rFonts w:ascii="Arial" w:hAnsi="Arial" w:cs="Arial"/>
          <w:sz w:val="24"/>
          <w:szCs w:val="24"/>
        </w:rPr>
        <w:t>20</w:t>
      </w:r>
      <w:r w:rsidR="0015662A" w:rsidRPr="0015662A">
        <w:rPr>
          <w:rFonts w:ascii="Arial" w:hAnsi="Arial" w:cs="Arial"/>
          <w:sz w:val="24"/>
          <w:szCs w:val="24"/>
        </w:rPr>
        <w:t>17, bem como o Decreto nº 9.179/</w:t>
      </w:r>
      <w:r w:rsidR="00030A3C">
        <w:rPr>
          <w:rFonts w:ascii="Arial" w:hAnsi="Arial" w:cs="Arial"/>
          <w:sz w:val="24"/>
          <w:szCs w:val="24"/>
        </w:rPr>
        <w:t>20</w:t>
      </w:r>
      <w:r w:rsidR="0015662A" w:rsidRPr="0015662A">
        <w:rPr>
          <w:rFonts w:ascii="Arial" w:hAnsi="Arial" w:cs="Arial"/>
          <w:sz w:val="24"/>
          <w:szCs w:val="24"/>
        </w:rPr>
        <w:t>18.</w:t>
      </w:r>
    </w:p>
    <w:p w14:paraId="65F97ACD" w14:textId="3F4EDC22" w:rsidR="0015662A" w:rsidRPr="0015662A" w:rsidRDefault="0015662A" w:rsidP="0015662A">
      <w:pPr>
        <w:spacing w:line="360" w:lineRule="auto"/>
        <w:ind w:firstLine="851"/>
        <w:jc w:val="both"/>
        <w:rPr>
          <w:rFonts w:ascii="Arial" w:hAnsi="Arial" w:cs="Arial"/>
          <w:sz w:val="24"/>
          <w:szCs w:val="24"/>
        </w:rPr>
      </w:pPr>
      <w:r w:rsidRPr="0015662A">
        <w:rPr>
          <w:rFonts w:ascii="Arial" w:hAnsi="Arial" w:cs="Arial"/>
          <w:sz w:val="24"/>
          <w:szCs w:val="24"/>
        </w:rPr>
        <w:t xml:space="preserve">Para exemplificar essa situação, </w:t>
      </w:r>
      <w:r w:rsidR="004537A4">
        <w:rPr>
          <w:rFonts w:ascii="Arial" w:hAnsi="Arial" w:cs="Arial"/>
          <w:sz w:val="24"/>
          <w:szCs w:val="24"/>
        </w:rPr>
        <w:t>cite-se</w:t>
      </w:r>
      <w:r w:rsidRPr="0015662A">
        <w:rPr>
          <w:rFonts w:ascii="Arial" w:hAnsi="Arial" w:cs="Arial"/>
          <w:sz w:val="24"/>
          <w:szCs w:val="24"/>
        </w:rPr>
        <w:t xml:space="preserve"> a </w:t>
      </w:r>
      <w:r w:rsidRPr="004537A4">
        <w:rPr>
          <w:rFonts w:ascii="Arial" w:hAnsi="Arial" w:cs="Arial"/>
          <w:b/>
          <w:sz w:val="24"/>
          <w:szCs w:val="24"/>
        </w:rPr>
        <w:t>Lei nº 16.462/</w:t>
      </w:r>
      <w:r w:rsidR="004537A4">
        <w:rPr>
          <w:rFonts w:ascii="Arial" w:hAnsi="Arial" w:cs="Arial"/>
          <w:b/>
          <w:sz w:val="24"/>
          <w:szCs w:val="24"/>
        </w:rPr>
        <w:t>20</w:t>
      </w:r>
      <w:r w:rsidRPr="004537A4">
        <w:rPr>
          <w:rFonts w:ascii="Arial" w:hAnsi="Arial" w:cs="Arial"/>
          <w:b/>
          <w:sz w:val="24"/>
          <w:szCs w:val="24"/>
        </w:rPr>
        <w:t>08</w:t>
      </w:r>
      <w:r w:rsidRPr="0015662A">
        <w:rPr>
          <w:rFonts w:ascii="Arial" w:hAnsi="Arial" w:cs="Arial"/>
          <w:sz w:val="24"/>
          <w:szCs w:val="24"/>
        </w:rPr>
        <w:t>, que possibilitou que empresas que não realizaram o pagamento da parte não incentivada do benefício (regra geral, 27% do imposto devido) ou efetuaram o pagamento fora do prazo legal tivessem reconhecida a parcela incentivada do Programa (regra geral, 73%) utilizada até 31 de julho de 2008. Para tanto, o pagamento deveria ser realizado até 31 de março de 2009 ou dividido em 24</w:t>
      </w:r>
      <w:r w:rsidR="00C62980">
        <w:rPr>
          <w:rFonts w:ascii="Arial" w:hAnsi="Arial" w:cs="Arial"/>
          <w:sz w:val="24"/>
          <w:szCs w:val="24"/>
        </w:rPr>
        <w:t xml:space="preserve"> (vinte e quatro)</w:t>
      </w:r>
      <w:r w:rsidRPr="0015662A">
        <w:rPr>
          <w:rFonts w:ascii="Arial" w:hAnsi="Arial" w:cs="Arial"/>
          <w:sz w:val="24"/>
          <w:szCs w:val="24"/>
        </w:rPr>
        <w:t xml:space="preserve"> parcelas. No decorrer dos exercícios, foram feitas alterações na lei, que permitiram o pagamento em datas posteriores e em número maior de parcelas, conforme exposto</w:t>
      </w:r>
      <w:r w:rsidR="00C6122A">
        <w:rPr>
          <w:rFonts w:ascii="Arial" w:hAnsi="Arial" w:cs="Arial"/>
          <w:sz w:val="24"/>
          <w:szCs w:val="24"/>
        </w:rPr>
        <w:t xml:space="preserve"> na</w:t>
      </w:r>
      <w:r w:rsidRPr="0015662A">
        <w:rPr>
          <w:rFonts w:ascii="Arial" w:hAnsi="Arial" w:cs="Arial"/>
          <w:sz w:val="24"/>
          <w:szCs w:val="24"/>
        </w:rPr>
        <w:t xml:space="preserve"> </w:t>
      </w:r>
      <w:r w:rsidR="00C62980">
        <w:rPr>
          <w:rFonts w:ascii="Arial" w:hAnsi="Arial" w:cs="Arial"/>
          <w:sz w:val="24"/>
          <w:szCs w:val="24"/>
        </w:rPr>
        <w:t>t</w:t>
      </w:r>
      <w:r w:rsidRPr="0015662A">
        <w:rPr>
          <w:rFonts w:ascii="Arial" w:hAnsi="Arial" w:cs="Arial"/>
          <w:sz w:val="24"/>
          <w:szCs w:val="24"/>
        </w:rPr>
        <w:t xml:space="preserve">abela </w:t>
      </w:r>
      <w:r w:rsidR="00C62980">
        <w:rPr>
          <w:rFonts w:ascii="Arial" w:hAnsi="Arial" w:cs="Arial"/>
          <w:sz w:val="24"/>
          <w:szCs w:val="24"/>
        </w:rPr>
        <w:t>a seguir:</w:t>
      </w:r>
    </w:p>
    <w:p w14:paraId="2EE90774" w14:textId="77777777" w:rsidR="0015662A" w:rsidRPr="0015662A" w:rsidRDefault="0015662A" w:rsidP="0015662A">
      <w:pPr>
        <w:spacing w:line="360" w:lineRule="auto"/>
        <w:ind w:firstLine="1418"/>
        <w:jc w:val="both"/>
        <w:rPr>
          <w:rFonts w:ascii="Arial" w:hAnsi="Arial" w:cs="Arial"/>
        </w:rPr>
      </w:pPr>
    </w:p>
    <w:p w14:paraId="3CCFC615" w14:textId="77777777" w:rsidR="0015662A" w:rsidRPr="0015662A" w:rsidRDefault="0015662A" w:rsidP="0015662A">
      <w:pPr>
        <w:spacing w:line="360" w:lineRule="auto"/>
        <w:ind w:firstLine="1418"/>
        <w:jc w:val="both"/>
        <w:rPr>
          <w:rFonts w:ascii="Arial" w:hAnsi="Arial" w:cs="Arial"/>
        </w:rPr>
      </w:pPr>
    </w:p>
    <w:tbl>
      <w:tblPr>
        <w:tblW w:w="0" w:type="auto"/>
        <w:tblBorders>
          <w:insideH w:val="single" w:sz="4" w:space="0" w:color="000000"/>
          <w:insideV w:val="single" w:sz="4" w:space="0" w:color="000000"/>
        </w:tblBorders>
        <w:tblLook w:val="04A0" w:firstRow="1" w:lastRow="0" w:firstColumn="1" w:lastColumn="0" w:noHBand="0" w:noVBand="1"/>
      </w:tblPr>
      <w:tblGrid>
        <w:gridCol w:w="3142"/>
        <w:gridCol w:w="2789"/>
        <w:gridCol w:w="2789"/>
      </w:tblGrid>
      <w:tr w:rsidR="0015662A" w:rsidRPr="0015662A" w14:paraId="2BD72043" w14:textId="77777777" w:rsidTr="00EE3640">
        <w:tc>
          <w:tcPr>
            <w:tcW w:w="8720" w:type="dxa"/>
            <w:gridSpan w:val="3"/>
            <w:vAlign w:val="center"/>
          </w:tcPr>
          <w:p w14:paraId="09EEDE69" w14:textId="44CB3212" w:rsidR="0015662A" w:rsidRPr="0015662A" w:rsidRDefault="0015662A" w:rsidP="00BA47C4">
            <w:pPr>
              <w:jc w:val="center"/>
              <w:rPr>
                <w:rFonts w:ascii="Arial" w:hAnsi="Arial" w:cs="Arial"/>
                <w:b/>
              </w:rPr>
            </w:pPr>
            <w:r w:rsidRPr="0015662A">
              <w:rPr>
                <w:rFonts w:ascii="Arial" w:hAnsi="Arial" w:cs="Arial"/>
                <w:b/>
              </w:rPr>
              <w:t>Demonstrativo das datas para pagamento único e número de</w:t>
            </w:r>
            <w:r w:rsidR="00BA47C4">
              <w:rPr>
                <w:rFonts w:ascii="Arial" w:hAnsi="Arial" w:cs="Arial"/>
                <w:b/>
              </w:rPr>
              <w:t xml:space="preserve"> </w:t>
            </w:r>
            <w:r w:rsidRPr="0015662A">
              <w:rPr>
                <w:rFonts w:ascii="Arial" w:hAnsi="Arial" w:cs="Arial"/>
                <w:b/>
              </w:rPr>
              <w:t>parcelas</w:t>
            </w:r>
          </w:p>
        </w:tc>
      </w:tr>
      <w:tr w:rsidR="0015662A" w:rsidRPr="0015662A" w14:paraId="0D3A44DA" w14:textId="77777777" w:rsidTr="00EE3640">
        <w:tc>
          <w:tcPr>
            <w:tcW w:w="3142" w:type="dxa"/>
            <w:vAlign w:val="center"/>
          </w:tcPr>
          <w:p w14:paraId="76FD7411" w14:textId="77777777" w:rsidR="0015662A" w:rsidRPr="0015662A" w:rsidRDefault="0015662A" w:rsidP="00EE3640">
            <w:pPr>
              <w:jc w:val="center"/>
              <w:rPr>
                <w:rFonts w:ascii="Arial" w:hAnsi="Arial" w:cs="Arial"/>
                <w:b/>
              </w:rPr>
            </w:pPr>
            <w:r w:rsidRPr="0015662A">
              <w:rPr>
                <w:rFonts w:ascii="Arial" w:hAnsi="Arial" w:cs="Arial"/>
                <w:b/>
              </w:rPr>
              <w:t>Legislação</w:t>
            </w:r>
          </w:p>
        </w:tc>
        <w:tc>
          <w:tcPr>
            <w:tcW w:w="2789" w:type="dxa"/>
            <w:vAlign w:val="center"/>
          </w:tcPr>
          <w:p w14:paraId="745AA62F" w14:textId="77777777" w:rsidR="0015662A" w:rsidRPr="0015662A" w:rsidRDefault="0015662A" w:rsidP="00EE3640">
            <w:pPr>
              <w:jc w:val="center"/>
              <w:rPr>
                <w:rFonts w:ascii="Arial" w:hAnsi="Arial" w:cs="Arial"/>
                <w:b/>
              </w:rPr>
            </w:pPr>
            <w:r w:rsidRPr="0015662A">
              <w:rPr>
                <w:rFonts w:ascii="Arial" w:hAnsi="Arial" w:cs="Arial"/>
                <w:b/>
              </w:rPr>
              <w:t>Data para pagamento único</w:t>
            </w:r>
          </w:p>
        </w:tc>
        <w:tc>
          <w:tcPr>
            <w:tcW w:w="2789" w:type="dxa"/>
            <w:vAlign w:val="center"/>
          </w:tcPr>
          <w:p w14:paraId="54A65C93" w14:textId="77777777" w:rsidR="0015662A" w:rsidRPr="0015662A" w:rsidRDefault="0015662A" w:rsidP="00EE3640">
            <w:pPr>
              <w:jc w:val="center"/>
              <w:rPr>
                <w:rFonts w:ascii="Arial" w:hAnsi="Arial" w:cs="Arial"/>
                <w:b/>
              </w:rPr>
            </w:pPr>
            <w:r w:rsidRPr="0015662A">
              <w:rPr>
                <w:rFonts w:ascii="Arial" w:hAnsi="Arial" w:cs="Arial"/>
                <w:b/>
              </w:rPr>
              <w:t>Quantitativo de Parcelas</w:t>
            </w:r>
          </w:p>
        </w:tc>
      </w:tr>
      <w:tr w:rsidR="0015662A" w:rsidRPr="0015662A" w14:paraId="126316FE" w14:textId="77777777" w:rsidTr="00EE3640">
        <w:tc>
          <w:tcPr>
            <w:tcW w:w="3142" w:type="dxa"/>
            <w:vAlign w:val="center"/>
          </w:tcPr>
          <w:p w14:paraId="0F7023AF" w14:textId="77777777" w:rsidR="0015662A" w:rsidRPr="0015662A" w:rsidRDefault="0015662A" w:rsidP="00EE3640">
            <w:pPr>
              <w:jc w:val="center"/>
              <w:rPr>
                <w:rFonts w:ascii="Arial" w:hAnsi="Arial" w:cs="Arial"/>
              </w:rPr>
            </w:pPr>
            <w:r w:rsidRPr="0015662A">
              <w:rPr>
                <w:rFonts w:ascii="Arial" w:hAnsi="Arial" w:cs="Arial"/>
              </w:rPr>
              <w:t>Lei nº 16.462/08</w:t>
            </w:r>
          </w:p>
        </w:tc>
        <w:tc>
          <w:tcPr>
            <w:tcW w:w="2789" w:type="dxa"/>
            <w:vAlign w:val="center"/>
          </w:tcPr>
          <w:p w14:paraId="5C15A4CC" w14:textId="0B3F6C4A" w:rsidR="0015662A" w:rsidRPr="0015662A" w:rsidRDefault="0015662A" w:rsidP="00BA47C4">
            <w:pPr>
              <w:jc w:val="center"/>
              <w:rPr>
                <w:rFonts w:ascii="Arial" w:hAnsi="Arial" w:cs="Arial"/>
              </w:rPr>
            </w:pPr>
            <w:r w:rsidRPr="0015662A">
              <w:rPr>
                <w:rFonts w:ascii="Arial" w:hAnsi="Arial" w:cs="Arial"/>
              </w:rPr>
              <w:t>31</w:t>
            </w:r>
            <w:r w:rsidR="00BA47C4">
              <w:rPr>
                <w:rFonts w:ascii="Arial" w:hAnsi="Arial" w:cs="Arial"/>
              </w:rPr>
              <w:t>/03/</w:t>
            </w:r>
            <w:r w:rsidRPr="0015662A">
              <w:rPr>
                <w:rFonts w:ascii="Arial" w:hAnsi="Arial" w:cs="Arial"/>
              </w:rPr>
              <w:t>2009</w:t>
            </w:r>
          </w:p>
        </w:tc>
        <w:tc>
          <w:tcPr>
            <w:tcW w:w="2789" w:type="dxa"/>
            <w:vAlign w:val="center"/>
          </w:tcPr>
          <w:p w14:paraId="4560171A" w14:textId="77777777" w:rsidR="0015662A" w:rsidRPr="0015662A" w:rsidRDefault="0015662A" w:rsidP="00EE3640">
            <w:pPr>
              <w:jc w:val="center"/>
              <w:rPr>
                <w:rFonts w:ascii="Arial" w:hAnsi="Arial" w:cs="Arial"/>
              </w:rPr>
            </w:pPr>
            <w:r w:rsidRPr="0015662A">
              <w:rPr>
                <w:rFonts w:ascii="Arial" w:hAnsi="Arial" w:cs="Arial"/>
              </w:rPr>
              <w:t>24</w:t>
            </w:r>
          </w:p>
        </w:tc>
      </w:tr>
      <w:tr w:rsidR="0015662A" w:rsidRPr="0015662A" w14:paraId="24CDFEEF" w14:textId="77777777" w:rsidTr="00EE3640">
        <w:tc>
          <w:tcPr>
            <w:tcW w:w="3142" w:type="dxa"/>
            <w:vAlign w:val="center"/>
          </w:tcPr>
          <w:p w14:paraId="7E75B9E1" w14:textId="77777777" w:rsidR="0015662A" w:rsidRPr="0015662A" w:rsidRDefault="0015662A" w:rsidP="00EE3640">
            <w:pPr>
              <w:jc w:val="center"/>
              <w:rPr>
                <w:rFonts w:ascii="Arial" w:hAnsi="Arial" w:cs="Arial"/>
              </w:rPr>
            </w:pPr>
            <w:r w:rsidRPr="0015662A">
              <w:rPr>
                <w:rFonts w:ascii="Arial" w:hAnsi="Arial" w:cs="Arial"/>
              </w:rPr>
              <w:t>Lei nº 16.846/09</w:t>
            </w:r>
          </w:p>
        </w:tc>
        <w:tc>
          <w:tcPr>
            <w:tcW w:w="2789" w:type="dxa"/>
            <w:vAlign w:val="center"/>
          </w:tcPr>
          <w:p w14:paraId="0568E201" w14:textId="0AFE6A84" w:rsidR="0015662A" w:rsidRPr="0015662A" w:rsidRDefault="0015662A" w:rsidP="00BA47C4">
            <w:pPr>
              <w:jc w:val="center"/>
              <w:rPr>
                <w:rFonts w:ascii="Arial" w:hAnsi="Arial" w:cs="Arial"/>
              </w:rPr>
            </w:pPr>
            <w:r w:rsidRPr="0015662A">
              <w:rPr>
                <w:rFonts w:ascii="Arial" w:hAnsi="Arial" w:cs="Arial"/>
              </w:rPr>
              <w:t>30</w:t>
            </w:r>
            <w:r w:rsidR="00BA47C4">
              <w:rPr>
                <w:rFonts w:ascii="Arial" w:hAnsi="Arial" w:cs="Arial"/>
              </w:rPr>
              <w:t>/12/</w:t>
            </w:r>
            <w:r w:rsidRPr="0015662A">
              <w:rPr>
                <w:rFonts w:ascii="Arial" w:hAnsi="Arial" w:cs="Arial"/>
              </w:rPr>
              <w:t>2009</w:t>
            </w:r>
          </w:p>
        </w:tc>
        <w:tc>
          <w:tcPr>
            <w:tcW w:w="2789" w:type="dxa"/>
            <w:vAlign w:val="center"/>
          </w:tcPr>
          <w:p w14:paraId="23B2FE2E" w14:textId="77777777" w:rsidR="0015662A" w:rsidRPr="0015662A" w:rsidRDefault="0015662A" w:rsidP="00EE3640">
            <w:pPr>
              <w:jc w:val="center"/>
              <w:rPr>
                <w:rFonts w:ascii="Arial" w:hAnsi="Arial" w:cs="Arial"/>
              </w:rPr>
            </w:pPr>
            <w:r w:rsidRPr="0015662A">
              <w:rPr>
                <w:rFonts w:ascii="Arial" w:hAnsi="Arial" w:cs="Arial"/>
              </w:rPr>
              <w:t>60</w:t>
            </w:r>
          </w:p>
        </w:tc>
      </w:tr>
      <w:tr w:rsidR="0015662A" w:rsidRPr="0015662A" w14:paraId="2F5BA823" w14:textId="77777777" w:rsidTr="00EE3640">
        <w:tc>
          <w:tcPr>
            <w:tcW w:w="3142" w:type="dxa"/>
            <w:tcBorders>
              <w:bottom w:val="single" w:sz="4" w:space="0" w:color="000000"/>
            </w:tcBorders>
            <w:vAlign w:val="center"/>
          </w:tcPr>
          <w:p w14:paraId="0DB9D099" w14:textId="77777777" w:rsidR="0015662A" w:rsidRPr="0015662A" w:rsidRDefault="0015662A" w:rsidP="00EE3640">
            <w:pPr>
              <w:jc w:val="center"/>
              <w:rPr>
                <w:rFonts w:ascii="Arial" w:hAnsi="Arial" w:cs="Arial"/>
              </w:rPr>
            </w:pPr>
            <w:r w:rsidRPr="0015662A">
              <w:rPr>
                <w:rFonts w:ascii="Arial" w:hAnsi="Arial" w:cs="Arial"/>
              </w:rPr>
              <w:t>Lei nº 17.152/10</w:t>
            </w:r>
          </w:p>
        </w:tc>
        <w:tc>
          <w:tcPr>
            <w:tcW w:w="2789" w:type="dxa"/>
            <w:tcBorders>
              <w:bottom w:val="single" w:sz="4" w:space="0" w:color="000000"/>
            </w:tcBorders>
            <w:vAlign w:val="center"/>
          </w:tcPr>
          <w:p w14:paraId="2C8432C8" w14:textId="46372A2E" w:rsidR="0015662A" w:rsidRPr="0015662A" w:rsidRDefault="0015662A" w:rsidP="00BA47C4">
            <w:pPr>
              <w:jc w:val="center"/>
              <w:rPr>
                <w:rFonts w:ascii="Arial" w:hAnsi="Arial" w:cs="Arial"/>
              </w:rPr>
            </w:pPr>
            <w:r w:rsidRPr="0015662A">
              <w:rPr>
                <w:rFonts w:ascii="Arial" w:hAnsi="Arial" w:cs="Arial"/>
              </w:rPr>
              <w:t>30</w:t>
            </w:r>
            <w:r w:rsidR="00BA47C4">
              <w:rPr>
                <w:rFonts w:ascii="Arial" w:hAnsi="Arial" w:cs="Arial"/>
              </w:rPr>
              <w:t>/11/</w:t>
            </w:r>
            <w:r w:rsidRPr="0015662A">
              <w:rPr>
                <w:rFonts w:ascii="Arial" w:hAnsi="Arial" w:cs="Arial"/>
              </w:rPr>
              <w:t>2010</w:t>
            </w:r>
          </w:p>
        </w:tc>
        <w:tc>
          <w:tcPr>
            <w:tcW w:w="2789" w:type="dxa"/>
            <w:tcBorders>
              <w:bottom w:val="single" w:sz="4" w:space="0" w:color="000000"/>
            </w:tcBorders>
            <w:vAlign w:val="center"/>
          </w:tcPr>
          <w:p w14:paraId="669CFB25" w14:textId="77777777" w:rsidR="0015662A" w:rsidRPr="0015662A" w:rsidRDefault="0015662A" w:rsidP="00EE3640">
            <w:pPr>
              <w:jc w:val="center"/>
              <w:rPr>
                <w:rFonts w:ascii="Arial" w:hAnsi="Arial" w:cs="Arial"/>
              </w:rPr>
            </w:pPr>
            <w:r w:rsidRPr="0015662A">
              <w:rPr>
                <w:rFonts w:ascii="Arial" w:hAnsi="Arial" w:cs="Arial"/>
              </w:rPr>
              <w:t>60</w:t>
            </w:r>
          </w:p>
        </w:tc>
      </w:tr>
      <w:tr w:rsidR="0015662A" w:rsidRPr="0015662A" w14:paraId="6C404643" w14:textId="77777777" w:rsidTr="00EE3640">
        <w:tc>
          <w:tcPr>
            <w:tcW w:w="3142" w:type="dxa"/>
            <w:tcBorders>
              <w:top w:val="single" w:sz="4" w:space="0" w:color="000000"/>
              <w:bottom w:val="single" w:sz="4" w:space="0" w:color="000000"/>
            </w:tcBorders>
            <w:vAlign w:val="center"/>
          </w:tcPr>
          <w:p w14:paraId="6A4E1D8E" w14:textId="77777777" w:rsidR="0015662A" w:rsidRPr="0015662A" w:rsidRDefault="0015662A" w:rsidP="00EE3640">
            <w:pPr>
              <w:jc w:val="center"/>
              <w:rPr>
                <w:rFonts w:ascii="Arial" w:hAnsi="Arial" w:cs="Arial"/>
              </w:rPr>
            </w:pPr>
            <w:r w:rsidRPr="0015662A">
              <w:rPr>
                <w:rFonts w:ascii="Arial" w:hAnsi="Arial" w:cs="Arial"/>
              </w:rPr>
              <w:t>Lei nº 17.758/10</w:t>
            </w:r>
          </w:p>
        </w:tc>
        <w:tc>
          <w:tcPr>
            <w:tcW w:w="2789" w:type="dxa"/>
            <w:tcBorders>
              <w:top w:val="single" w:sz="4" w:space="0" w:color="000000"/>
              <w:bottom w:val="single" w:sz="4" w:space="0" w:color="000000"/>
            </w:tcBorders>
            <w:vAlign w:val="center"/>
          </w:tcPr>
          <w:p w14:paraId="51D0BE6E" w14:textId="44CAB8BF" w:rsidR="0015662A" w:rsidRPr="0015662A" w:rsidRDefault="0015662A" w:rsidP="00BA47C4">
            <w:pPr>
              <w:jc w:val="center"/>
              <w:rPr>
                <w:rFonts w:ascii="Arial" w:hAnsi="Arial" w:cs="Arial"/>
              </w:rPr>
            </w:pPr>
            <w:r w:rsidRPr="0015662A">
              <w:rPr>
                <w:rFonts w:ascii="Arial" w:hAnsi="Arial" w:cs="Arial"/>
              </w:rPr>
              <w:t>30</w:t>
            </w:r>
            <w:r w:rsidR="00BA47C4">
              <w:rPr>
                <w:rFonts w:ascii="Arial" w:hAnsi="Arial" w:cs="Arial"/>
              </w:rPr>
              <w:t>/09/</w:t>
            </w:r>
            <w:r w:rsidRPr="0015662A">
              <w:rPr>
                <w:rFonts w:ascii="Arial" w:hAnsi="Arial" w:cs="Arial"/>
              </w:rPr>
              <w:t>2012</w:t>
            </w:r>
          </w:p>
        </w:tc>
        <w:tc>
          <w:tcPr>
            <w:tcW w:w="2789" w:type="dxa"/>
            <w:tcBorders>
              <w:top w:val="single" w:sz="4" w:space="0" w:color="000000"/>
              <w:bottom w:val="single" w:sz="4" w:space="0" w:color="000000"/>
            </w:tcBorders>
            <w:vAlign w:val="center"/>
          </w:tcPr>
          <w:p w14:paraId="502666BD" w14:textId="77777777" w:rsidR="0015662A" w:rsidRPr="0015662A" w:rsidRDefault="0015662A" w:rsidP="00EE3640">
            <w:pPr>
              <w:jc w:val="center"/>
              <w:rPr>
                <w:rFonts w:ascii="Arial" w:hAnsi="Arial" w:cs="Arial"/>
              </w:rPr>
            </w:pPr>
            <w:r w:rsidRPr="0015662A">
              <w:rPr>
                <w:rFonts w:ascii="Arial" w:hAnsi="Arial" w:cs="Arial"/>
              </w:rPr>
              <w:t>60</w:t>
            </w:r>
          </w:p>
        </w:tc>
      </w:tr>
      <w:tr w:rsidR="0015662A" w:rsidRPr="0015662A" w14:paraId="673AEFE4" w14:textId="77777777" w:rsidTr="00EE3640">
        <w:tc>
          <w:tcPr>
            <w:tcW w:w="3142" w:type="dxa"/>
            <w:tcBorders>
              <w:top w:val="single" w:sz="4" w:space="0" w:color="000000"/>
              <w:bottom w:val="single" w:sz="4" w:space="0" w:color="auto"/>
            </w:tcBorders>
            <w:vAlign w:val="center"/>
          </w:tcPr>
          <w:p w14:paraId="78D45DDD" w14:textId="77777777" w:rsidR="0015662A" w:rsidRPr="0015662A" w:rsidRDefault="0015662A" w:rsidP="00EE3640">
            <w:pPr>
              <w:jc w:val="center"/>
              <w:rPr>
                <w:rFonts w:ascii="Arial" w:hAnsi="Arial" w:cs="Arial"/>
              </w:rPr>
            </w:pPr>
            <w:r w:rsidRPr="0015662A">
              <w:rPr>
                <w:rFonts w:ascii="Arial" w:hAnsi="Arial" w:cs="Arial"/>
              </w:rPr>
              <w:t>Lei nº 17.817/12</w:t>
            </w:r>
          </w:p>
        </w:tc>
        <w:tc>
          <w:tcPr>
            <w:tcW w:w="2789" w:type="dxa"/>
            <w:tcBorders>
              <w:top w:val="single" w:sz="4" w:space="0" w:color="000000"/>
              <w:bottom w:val="single" w:sz="4" w:space="0" w:color="auto"/>
            </w:tcBorders>
            <w:vAlign w:val="center"/>
          </w:tcPr>
          <w:p w14:paraId="0621EC49" w14:textId="553F29D1" w:rsidR="0015662A" w:rsidRPr="0015662A" w:rsidRDefault="0015662A" w:rsidP="00BA47C4">
            <w:pPr>
              <w:jc w:val="center"/>
              <w:rPr>
                <w:rFonts w:ascii="Arial" w:hAnsi="Arial" w:cs="Arial"/>
              </w:rPr>
            </w:pPr>
            <w:r w:rsidRPr="0015662A">
              <w:rPr>
                <w:rFonts w:ascii="Arial" w:hAnsi="Arial" w:cs="Arial"/>
              </w:rPr>
              <w:t>20</w:t>
            </w:r>
            <w:r w:rsidR="00BA47C4">
              <w:rPr>
                <w:rFonts w:ascii="Arial" w:hAnsi="Arial" w:cs="Arial"/>
              </w:rPr>
              <w:t>/11/</w:t>
            </w:r>
            <w:r w:rsidRPr="0015662A">
              <w:rPr>
                <w:rFonts w:ascii="Arial" w:hAnsi="Arial" w:cs="Arial"/>
              </w:rPr>
              <w:t>2012</w:t>
            </w:r>
          </w:p>
        </w:tc>
        <w:tc>
          <w:tcPr>
            <w:tcW w:w="2789" w:type="dxa"/>
            <w:tcBorders>
              <w:top w:val="single" w:sz="4" w:space="0" w:color="000000"/>
              <w:bottom w:val="single" w:sz="4" w:space="0" w:color="auto"/>
            </w:tcBorders>
            <w:vAlign w:val="center"/>
          </w:tcPr>
          <w:p w14:paraId="5E726FE1" w14:textId="77777777" w:rsidR="0015662A" w:rsidRPr="0015662A" w:rsidRDefault="0015662A" w:rsidP="00EE3640">
            <w:pPr>
              <w:jc w:val="center"/>
              <w:rPr>
                <w:rFonts w:ascii="Arial" w:hAnsi="Arial" w:cs="Arial"/>
              </w:rPr>
            </w:pPr>
            <w:r w:rsidRPr="0015662A">
              <w:rPr>
                <w:rFonts w:ascii="Arial" w:hAnsi="Arial" w:cs="Arial"/>
              </w:rPr>
              <w:t>60</w:t>
            </w:r>
          </w:p>
        </w:tc>
      </w:tr>
    </w:tbl>
    <w:p w14:paraId="1B27A55F" w14:textId="494AA45A" w:rsidR="00D64B94" w:rsidRDefault="0015662A" w:rsidP="00BA47C4">
      <w:pPr>
        <w:ind w:hanging="142"/>
        <w:jc w:val="both"/>
        <w:rPr>
          <w:rFonts w:ascii="Arial" w:hAnsi="Arial" w:cs="Arial"/>
          <w:sz w:val="24"/>
          <w:szCs w:val="24"/>
        </w:rPr>
      </w:pPr>
      <w:r w:rsidRPr="0015662A">
        <w:rPr>
          <w:rFonts w:ascii="Arial" w:hAnsi="Arial" w:cs="Arial"/>
          <w:sz w:val="20"/>
        </w:rPr>
        <w:t xml:space="preserve"> </w:t>
      </w:r>
    </w:p>
    <w:p w14:paraId="7CCFDDAF" w14:textId="77777777" w:rsidR="00F745AC" w:rsidRDefault="007F2557" w:rsidP="000E7A44">
      <w:pPr>
        <w:spacing w:line="360" w:lineRule="auto"/>
        <w:ind w:firstLine="851"/>
        <w:jc w:val="both"/>
        <w:rPr>
          <w:rFonts w:ascii="Arial" w:hAnsi="Arial" w:cs="Arial"/>
          <w:sz w:val="24"/>
          <w:szCs w:val="24"/>
        </w:rPr>
      </w:pPr>
      <w:r w:rsidRPr="007F2557">
        <w:rPr>
          <w:rFonts w:ascii="Arial" w:hAnsi="Arial" w:cs="Arial"/>
          <w:sz w:val="24"/>
          <w:szCs w:val="24"/>
        </w:rPr>
        <w:t xml:space="preserve">Relativamente ao </w:t>
      </w:r>
      <w:r w:rsidRPr="00EC09D8">
        <w:rPr>
          <w:rFonts w:ascii="Arial" w:hAnsi="Arial" w:cs="Arial"/>
          <w:b/>
          <w:sz w:val="24"/>
          <w:szCs w:val="24"/>
        </w:rPr>
        <w:t>crédito outorgado</w:t>
      </w:r>
      <w:r>
        <w:rPr>
          <w:rFonts w:ascii="Arial" w:hAnsi="Arial" w:cs="Arial"/>
          <w:sz w:val="24"/>
          <w:szCs w:val="24"/>
        </w:rPr>
        <w:t xml:space="preserve">, </w:t>
      </w:r>
      <w:r w:rsidR="00EC09D8">
        <w:rPr>
          <w:rFonts w:ascii="Arial" w:hAnsi="Arial" w:cs="Arial"/>
          <w:sz w:val="24"/>
          <w:szCs w:val="24"/>
        </w:rPr>
        <w:t xml:space="preserve">verifica-se que </w:t>
      </w:r>
      <w:r w:rsidR="00BB1229">
        <w:rPr>
          <w:rFonts w:ascii="Arial" w:hAnsi="Arial" w:cs="Arial"/>
          <w:sz w:val="24"/>
          <w:szCs w:val="24"/>
        </w:rPr>
        <w:t>grandes empresas vêm</w:t>
      </w:r>
      <w:r w:rsidR="00EC09D8">
        <w:rPr>
          <w:rFonts w:ascii="Arial" w:hAnsi="Arial" w:cs="Arial"/>
          <w:sz w:val="24"/>
          <w:szCs w:val="24"/>
        </w:rPr>
        <w:t xml:space="preserve"> se utilizando também de medidas facilitadoras previstas </w:t>
      </w:r>
      <w:r w:rsidR="00BB1229">
        <w:rPr>
          <w:rFonts w:ascii="Arial" w:hAnsi="Arial" w:cs="Arial"/>
          <w:sz w:val="24"/>
          <w:szCs w:val="24"/>
        </w:rPr>
        <w:t>na</w:t>
      </w:r>
      <w:r w:rsidR="00EC09D8">
        <w:rPr>
          <w:rFonts w:ascii="Arial" w:hAnsi="Arial" w:cs="Arial"/>
          <w:sz w:val="24"/>
          <w:szCs w:val="24"/>
        </w:rPr>
        <w:t xml:space="preserve"> legislação</w:t>
      </w:r>
      <w:r w:rsidR="001C7FE1">
        <w:rPr>
          <w:rFonts w:ascii="Arial" w:hAnsi="Arial" w:cs="Arial"/>
          <w:sz w:val="24"/>
          <w:szCs w:val="24"/>
        </w:rPr>
        <w:t xml:space="preserve">, a exemplo da </w:t>
      </w:r>
      <w:r w:rsidR="00176868" w:rsidRPr="00176868">
        <w:rPr>
          <w:rFonts w:ascii="Arial" w:hAnsi="Arial" w:cs="Arial"/>
          <w:sz w:val="24"/>
          <w:szCs w:val="24"/>
        </w:rPr>
        <w:t>Mataboi Alimentos Ltda</w:t>
      </w:r>
      <w:r w:rsidR="00176868">
        <w:rPr>
          <w:rFonts w:ascii="Arial" w:hAnsi="Arial" w:cs="Arial"/>
          <w:sz w:val="24"/>
          <w:szCs w:val="24"/>
        </w:rPr>
        <w:t xml:space="preserve"> (CNPJ nº </w:t>
      </w:r>
      <w:r w:rsidR="00176868" w:rsidRPr="00176868">
        <w:rPr>
          <w:rFonts w:ascii="Arial" w:hAnsi="Arial" w:cs="Arial"/>
          <w:sz w:val="24"/>
          <w:szCs w:val="24"/>
        </w:rPr>
        <w:t>16</w:t>
      </w:r>
      <w:r w:rsidR="00176868">
        <w:rPr>
          <w:rFonts w:ascii="Arial" w:hAnsi="Arial" w:cs="Arial"/>
          <w:sz w:val="24"/>
          <w:szCs w:val="24"/>
        </w:rPr>
        <w:t>.</w:t>
      </w:r>
      <w:r w:rsidR="00176868" w:rsidRPr="00176868">
        <w:rPr>
          <w:rFonts w:ascii="Arial" w:hAnsi="Arial" w:cs="Arial"/>
          <w:sz w:val="24"/>
          <w:szCs w:val="24"/>
        </w:rPr>
        <w:t>820</w:t>
      </w:r>
      <w:r w:rsidR="00176868">
        <w:rPr>
          <w:rFonts w:ascii="Arial" w:hAnsi="Arial" w:cs="Arial"/>
          <w:sz w:val="24"/>
          <w:szCs w:val="24"/>
        </w:rPr>
        <w:t>.</w:t>
      </w:r>
      <w:r w:rsidR="00176868" w:rsidRPr="00176868">
        <w:rPr>
          <w:rFonts w:ascii="Arial" w:hAnsi="Arial" w:cs="Arial"/>
          <w:sz w:val="24"/>
          <w:szCs w:val="24"/>
        </w:rPr>
        <w:t>052</w:t>
      </w:r>
      <w:r w:rsidR="00176868">
        <w:rPr>
          <w:rFonts w:ascii="Arial" w:hAnsi="Arial" w:cs="Arial"/>
          <w:sz w:val="24"/>
          <w:szCs w:val="24"/>
        </w:rPr>
        <w:t>/</w:t>
      </w:r>
      <w:r w:rsidR="00176868" w:rsidRPr="00176868">
        <w:rPr>
          <w:rFonts w:ascii="Arial" w:hAnsi="Arial" w:cs="Arial"/>
          <w:sz w:val="24"/>
          <w:szCs w:val="24"/>
        </w:rPr>
        <w:t>0015</w:t>
      </w:r>
      <w:r w:rsidR="00176868">
        <w:rPr>
          <w:rFonts w:ascii="Arial" w:hAnsi="Arial" w:cs="Arial"/>
          <w:sz w:val="24"/>
          <w:szCs w:val="24"/>
        </w:rPr>
        <w:t>-</w:t>
      </w:r>
      <w:r w:rsidR="00176868" w:rsidRPr="00176868">
        <w:rPr>
          <w:rFonts w:ascii="Arial" w:hAnsi="Arial" w:cs="Arial"/>
          <w:sz w:val="24"/>
          <w:szCs w:val="24"/>
        </w:rPr>
        <w:t>40</w:t>
      </w:r>
      <w:r w:rsidR="00176868">
        <w:rPr>
          <w:rFonts w:ascii="Arial" w:hAnsi="Arial" w:cs="Arial"/>
          <w:sz w:val="24"/>
          <w:szCs w:val="24"/>
        </w:rPr>
        <w:t xml:space="preserve">), </w:t>
      </w:r>
      <w:r w:rsidR="003354A1">
        <w:rPr>
          <w:rFonts w:ascii="Arial" w:hAnsi="Arial" w:cs="Arial"/>
          <w:sz w:val="24"/>
          <w:szCs w:val="24"/>
        </w:rPr>
        <w:t>que aderiu ao parcelamento previsto no</w:t>
      </w:r>
      <w:r w:rsidR="003354A1" w:rsidRPr="003354A1">
        <w:rPr>
          <w:rFonts w:ascii="Arial" w:hAnsi="Arial" w:cs="Arial"/>
          <w:sz w:val="24"/>
          <w:szCs w:val="24"/>
        </w:rPr>
        <w:t xml:space="preserve"> </w:t>
      </w:r>
      <w:r w:rsidR="003354A1" w:rsidRPr="00E239B5">
        <w:rPr>
          <w:rFonts w:ascii="Arial" w:hAnsi="Arial" w:cs="Arial"/>
          <w:sz w:val="24"/>
          <w:szCs w:val="24"/>
        </w:rPr>
        <w:t>Programa PRONEFI II, nos termos da Lei n</w:t>
      </w:r>
      <w:r w:rsidR="003354A1">
        <w:rPr>
          <w:rFonts w:ascii="Arial" w:hAnsi="Arial" w:cs="Arial"/>
          <w:sz w:val="24"/>
          <w:szCs w:val="24"/>
        </w:rPr>
        <w:t>º</w:t>
      </w:r>
      <w:r w:rsidR="003354A1" w:rsidRPr="00E239B5">
        <w:rPr>
          <w:rFonts w:ascii="Arial" w:hAnsi="Arial" w:cs="Arial"/>
          <w:sz w:val="24"/>
          <w:szCs w:val="24"/>
        </w:rPr>
        <w:t xml:space="preserve"> 19.738/2017</w:t>
      </w:r>
      <w:r w:rsidR="000D602A">
        <w:rPr>
          <w:rFonts w:ascii="Arial" w:hAnsi="Arial" w:cs="Arial"/>
          <w:sz w:val="24"/>
          <w:szCs w:val="24"/>
        </w:rPr>
        <w:t>.</w:t>
      </w:r>
      <w:r w:rsidR="003354A1">
        <w:rPr>
          <w:rFonts w:ascii="Arial" w:hAnsi="Arial" w:cs="Arial"/>
          <w:sz w:val="24"/>
          <w:szCs w:val="24"/>
        </w:rPr>
        <w:t xml:space="preserve"> </w:t>
      </w:r>
    </w:p>
    <w:p w14:paraId="19F80EEB" w14:textId="5418ADF6" w:rsidR="007F2557" w:rsidRDefault="00F745AC" w:rsidP="000E7A44">
      <w:pPr>
        <w:spacing w:line="360" w:lineRule="auto"/>
        <w:ind w:firstLine="851"/>
        <w:jc w:val="both"/>
        <w:rPr>
          <w:rFonts w:ascii="Arial" w:hAnsi="Arial" w:cs="Arial"/>
          <w:sz w:val="24"/>
          <w:szCs w:val="24"/>
        </w:rPr>
      </w:pPr>
      <w:r>
        <w:rPr>
          <w:rFonts w:ascii="Arial" w:hAnsi="Arial" w:cs="Arial"/>
          <w:sz w:val="24"/>
          <w:szCs w:val="24"/>
        </w:rPr>
        <w:t xml:space="preserve">Referida lei permitia, originalmente, a incidência de aludidas medidas facilitadoras em relação a </w:t>
      </w:r>
      <w:r w:rsidRPr="00F745AC">
        <w:rPr>
          <w:rFonts w:ascii="Arial" w:hAnsi="Arial" w:cs="Arial"/>
          <w:sz w:val="24"/>
          <w:szCs w:val="24"/>
        </w:rPr>
        <w:t>crédito tributário correspondente a fato gerador ou prática de infração ocorrida até o dia 31</w:t>
      </w:r>
      <w:r>
        <w:rPr>
          <w:rFonts w:ascii="Arial" w:hAnsi="Arial" w:cs="Arial"/>
          <w:sz w:val="24"/>
          <w:szCs w:val="24"/>
        </w:rPr>
        <w:t>/12/2016; e, após alteração pela Lei nº 20.342/2018, referido termo final foi estendido até 31/08/</w:t>
      </w:r>
      <w:r w:rsidRPr="00F745AC">
        <w:rPr>
          <w:rFonts w:ascii="Arial" w:hAnsi="Arial" w:cs="Arial"/>
          <w:sz w:val="24"/>
          <w:szCs w:val="24"/>
        </w:rPr>
        <w:t>2018</w:t>
      </w:r>
      <w:r>
        <w:rPr>
          <w:rFonts w:ascii="Arial" w:hAnsi="Arial" w:cs="Arial"/>
          <w:sz w:val="24"/>
          <w:szCs w:val="24"/>
        </w:rPr>
        <w:t>.</w:t>
      </w:r>
      <w:r w:rsidR="002075EC">
        <w:rPr>
          <w:rFonts w:ascii="Arial" w:hAnsi="Arial" w:cs="Arial"/>
          <w:sz w:val="24"/>
          <w:szCs w:val="24"/>
        </w:rPr>
        <w:t xml:space="preserve"> As medidas facilitadoras referentes ao PRONEFI II estão previstas especificamente no art. 3º da Lei nº 19.738/2017:</w:t>
      </w:r>
    </w:p>
    <w:p w14:paraId="51D6862A" w14:textId="7C583A3F" w:rsidR="002075EC" w:rsidRDefault="002075EC" w:rsidP="000E7A44">
      <w:pPr>
        <w:spacing w:line="360" w:lineRule="auto"/>
        <w:ind w:firstLine="851"/>
        <w:jc w:val="both"/>
        <w:rPr>
          <w:rFonts w:ascii="Arial" w:hAnsi="Arial" w:cs="Arial"/>
          <w:sz w:val="24"/>
          <w:szCs w:val="24"/>
        </w:rPr>
      </w:pPr>
    </w:p>
    <w:p w14:paraId="33903B59" w14:textId="77777777" w:rsidR="002075EC" w:rsidRPr="002075EC" w:rsidRDefault="002075EC" w:rsidP="008D5153">
      <w:pPr>
        <w:shd w:val="clear" w:color="auto" w:fill="FFFFFF"/>
        <w:ind w:left="2268"/>
        <w:jc w:val="both"/>
        <w:rPr>
          <w:rFonts w:ascii="Times New Roman" w:hAnsi="Times New Roman"/>
          <w:color w:val="000000"/>
          <w:sz w:val="22"/>
          <w:szCs w:val="22"/>
        </w:rPr>
      </w:pPr>
      <w:r w:rsidRPr="002075EC">
        <w:rPr>
          <w:rFonts w:ascii="Arial" w:hAnsi="Arial" w:cs="Arial"/>
          <w:b/>
          <w:color w:val="000000"/>
          <w:sz w:val="22"/>
          <w:szCs w:val="22"/>
        </w:rPr>
        <w:t>Art. 3º</w:t>
      </w:r>
      <w:r w:rsidRPr="002075EC">
        <w:rPr>
          <w:rFonts w:ascii="Arial" w:hAnsi="Arial" w:cs="Arial"/>
          <w:color w:val="000000"/>
          <w:sz w:val="22"/>
          <w:szCs w:val="22"/>
        </w:rPr>
        <w:t xml:space="preserve"> As medidas facilitadoras para quitação de débitos compreendem:</w:t>
      </w:r>
    </w:p>
    <w:p w14:paraId="3F41967B" w14:textId="77777777" w:rsidR="002075EC" w:rsidRPr="002075EC" w:rsidRDefault="002075EC" w:rsidP="008D5153">
      <w:pPr>
        <w:shd w:val="clear" w:color="auto" w:fill="FFFFFF"/>
        <w:ind w:left="2268"/>
        <w:jc w:val="both"/>
        <w:rPr>
          <w:rFonts w:ascii="Times New Roman" w:hAnsi="Times New Roman"/>
          <w:color w:val="000000"/>
          <w:sz w:val="22"/>
          <w:szCs w:val="22"/>
        </w:rPr>
      </w:pPr>
      <w:r w:rsidRPr="002075EC">
        <w:rPr>
          <w:rFonts w:ascii="Arial" w:hAnsi="Arial" w:cs="Arial"/>
          <w:color w:val="000000"/>
          <w:sz w:val="22"/>
          <w:szCs w:val="22"/>
        </w:rPr>
        <w:t>I - redução da multa, inclusive a de caráter moratório e dos juros de mora, quando for o caso;</w:t>
      </w:r>
    </w:p>
    <w:p w14:paraId="5236BBA8" w14:textId="77777777" w:rsidR="002075EC" w:rsidRPr="002075EC" w:rsidRDefault="002075EC" w:rsidP="008D5153">
      <w:pPr>
        <w:shd w:val="clear" w:color="auto" w:fill="FFFFFF"/>
        <w:ind w:left="2268"/>
        <w:jc w:val="both"/>
        <w:rPr>
          <w:rFonts w:ascii="Times New Roman" w:hAnsi="Times New Roman"/>
          <w:color w:val="000000"/>
          <w:sz w:val="22"/>
          <w:szCs w:val="22"/>
        </w:rPr>
      </w:pPr>
      <w:r w:rsidRPr="002075EC">
        <w:rPr>
          <w:rFonts w:ascii="Arial" w:hAnsi="Arial" w:cs="Arial"/>
          <w:color w:val="000000"/>
          <w:sz w:val="22"/>
          <w:szCs w:val="22"/>
        </w:rPr>
        <w:t>II - remissão total do crédito tributário inscrito em dívida ativa até 31 de dezembro de 2010, cujo montante apurado por processo, antes da aplicação das reduções previstas nesta Lei, não ultrapasse o valor de R$ 14.000,00 (quatorze mil reais);</w:t>
      </w:r>
    </w:p>
    <w:p w14:paraId="18CA071B" w14:textId="77777777" w:rsidR="002075EC" w:rsidRPr="002075EC" w:rsidRDefault="002075EC" w:rsidP="008D5153">
      <w:pPr>
        <w:shd w:val="clear" w:color="auto" w:fill="FFFFFF"/>
        <w:ind w:left="2268"/>
        <w:jc w:val="both"/>
        <w:rPr>
          <w:rFonts w:ascii="Times New Roman" w:hAnsi="Times New Roman"/>
          <w:color w:val="000000"/>
          <w:sz w:val="22"/>
          <w:szCs w:val="22"/>
        </w:rPr>
      </w:pPr>
      <w:r w:rsidRPr="002075EC">
        <w:rPr>
          <w:rFonts w:ascii="Arial" w:hAnsi="Arial" w:cs="Arial"/>
          <w:color w:val="000000"/>
          <w:sz w:val="22"/>
          <w:szCs w:val="22"/>
        </w:rPr>
        <w:t>II - pagamento à vista ou parcelado do crédito tributário favorecido por meio da:</w:t>
      </w:r>
    </w:p>
    <w:p w14:paraId="197F5FF1" w14:textId="77777777" w:rsidR="002075EC" w:rsidRPr="002075EC" w:rsidRDefault="002075EC" w:rsidP="008D5153">
      <w:pPr>
        <w:shd w:val="clear" w:color="auto" w:fill="FFFFFF"/>
        <w:ind w:left="2268"/>
        <w:jc w:val="both"/>
        <w:rPr>
          <w:rFonts w:ascii="Times New Roman" w:hAnsi="Times New Roman"/>
          <w:color w:val="000000"/>
          <w:sz w:val="22"/>
          <w:szCs w:val="22"/>
        </w:rPr>
      </w:pPr>
      <w:r w:rsidRPr="002075EC">
        <w:rPr>
          <w:rFonts w:ascii="Arial" w:hAnsi="Arial" w:cs="Arial"/>
          <w:color w:val="000000"/>
          <w:sz w:val="22"/>
          <w:szCs w:val="22"/>
        </w:rPr>
        <w:t>a) permissão para que seja pago em até 60 (sessenta) parcelas mensais, iguais e sucessivas, com exceção da primeira parcela que tem valor diferenciado;</w:t>
      </w:r>
    </w:p>
    <w:p w14:paraId="46905ED1" w14:textId="77777777" w:rsidR="002075EC" w:rsidRPr="002075EC" w:rsidRDefault="002075EC" w:rsidP="008D5153">
      <w:pPr>
        <w:shd w:val="clear" w:color="auto" w:fill="FFFFFF"/>
        <w:ind w:left="2268"/>
        <w:jc w:val="both"/>
        <w:rPr>
          <w:rFonts w:ascii="Times New Roman" w:hAnsi="Times New Roman"/>
          <w:color w:val="000000"/>
          <w:sz w:val="22"/>
          <w:szCs w:val="22"/>
        </w:rPr>
      </w:pPr>
      <w:r w:rsidRPr="002075EC">
        <w:rPr>
          <w:rFonts w:ascii="Arial" w:hAnsi="Arial" w:cs="Arial"/>
          <w:color w:val="000000"/>
          <w:sz w:val="22"/>
          <w:szCs w:val="22"/>
        </w:rPr>
        <w:t>b) não obrigatoriedade, ante a existência de mais de um processo relativo a crédito tributário de um mesmo sujeito passivo, ao pagamento de todos;</w:t>
      </w:r>
    </w:p>
    <w:p w14:paraId="2B924F98" w14:textId="77777777" w:rsidR="002075EC" w:rsidRPr="002075EC" w:rsidRDefault="002075EC" w:rsidP="008D5153">
      <w:pPr>
        <w:shd w:val="clear" w:color="auto" w:fill="FFFFFF"/>
        <w:ind w:left="2268"/>
        <w:jc w:val="both"/>
        <w:rPr>
          <w:rFonts w:ascii="Times New Roman" w:hAnsi="Times New Roman"/>
          <w:color w:val="000000"/>
          <w:sz w:val="22"/>
          <w:szCs w:val="22"/>
        </w:rPr>
      </w:pPr>
      <w:r w:rsidRPr="002075EC">
        <w:rPr>
          <w:rFonts w:ascii="Arial" w:hAnsi="Arial" w:cs="Arial"/>
          <w:color w:val="000000"/>
          <w:sz w:val="22"/>
          <w:szCs w:val="22"/>
        </w:rPr>
        <w:t>c) permissão para que o sujeito passivo, ante a existência de mais de um processo relativo a crédito tributário, efetue tantos parcelamentos quantos forem de seu interesse;</w:t>
      </w:r>
    </w:p>
    <w:p w14:paraId="270441A1" w14:textId="77777777" w:rsidR="002075EC" w:rsidRPr="002075EC" w:rsidRDefault="002075EC" w:rsidP="008D5153">
      <w:pPr>
        <w:shd w:val="clear" w:color="auto" w:fill="FFFFFF"/>
        <w:ind w:left="2268"/>
        <w:jc w:val="both"/>
        <w:rPr>
          <w:rFonts w:ascii="Times New Roman" w:hAnsi="Times New Roman"/>
          <w:color w:val="000000"/>
          <w:sz w:val="22"/>
          <w:szCs w:val="22"/>
        </w:rPr>
      </w:pPr>
      <w:r w:rsidRPr="002075EC">
        <w:rPr>
          <w:rFonts w:ascii="Arial" w:hAnsi="Arial" w:cs="Arial"/>
          <w:color w:val="000000"/>
          <w:sz w:val="22"/>
          <w:szCs w:val="22"/>
        </w:rPr>
        <w:t>d) permissão para que o pagamento da parte não litigiosa seja realizado com os benefícios inerentes ao programa;</w:t>
      </w:r>
    </w:p>
    <w:p w14:paraId="695674EF" w14:textId="12FD680A" w:rsidR="002075EC" w:rsidRDefault="002075EC" w:rsidP="008D5153">
      <w:pPr>
        <w:shd w:val="clear" w:color="auto" w:fill="FFFFFF"/>
        <w:ind w:left="2268"/>
        <w:jc w:val="both"/>
        <w:rPr>
          <w:rFonts w:ascii="Arial" w:hAnsi="Arial" w:cs="Arial"/>
          <w:color w:val="000000"/>
          <w:sz w:val="22"/>
          <w:szCs w:val="22"/>
        </w:rPr>
      </w:pPr>
      <w:r w:rsidRPr="002075EC">
        <w:rPr>
          <w:rFonts w:ascii="Arial" w:hAnsi="Arial" w:cs="Arial"/>
          <w:color w:val="000000"/>
          <w:sz w:val="22"/>
          <w:szCs w:val="22"/>
        </w:rPr>
        <w:lastRenderedPageBreak/>
        <w:t>IV - permissão para pagamento do débito por meio de crédito acumulado na escrita do sujeito passivo ou recebido em transferência para este fim, nos limites previstos nesta Lei.</w:t>
      </w:r>
    </w:p>
    <w:p w14:paraId="73823186" w14:textId="77777777" w:rsidR="002B6CD6" w:rsidRPr="002B6CD6" w:rsidRDefault="002B6CD6" w:rsidP="008D5153">
      <w:pPr>
        <w:shd w:val="clear" w:color="auto" w:fill="FFFFFF"/>
        <w:ind w:left="2268"/>
        <w:jc w:val="both"/>
        <w:rPr>
          <w:rFonts w:ascii="Arial" w:hAnsi="Arial" w:cs="Arial"/>
          <w:color w:val="000000"/>
          <w:sz w:val="22"/>
          <w:szCs w:val="22"/>
        </w:rPr>
      </w:pPr>
      <w:r w:rsidRPr="002B6CD6">
        <w:rPr>
          <w:rFonts w:ascii="Arial" w:hAnsi="Arial" w:cs="Arial"/>
          <w:color w:val="000000"/>
          <w:sz w:val="22"/>
          <w:szCs w:val="22"/>
        </w:rPr>
        <w:t>§ 1º Crédito tributário favorecido é o montante obtido pela soma dos valores do tributo devido, da multa reduzida, inclusive a de caráter moratório correspondente, e dos juros de mora reduzidos, quando for o caso, apurado na data do pagamento à vista ou do pagamento da primeira parcela.</w:t>
      </w:r>
    </w:p>
    <w:p w14:paraId="64B2E900" w14:textId="77777777" w:rsidR="002B6CD6" w:rsidRPr="002B6CD6" w:rsidRDefault="002B6CD6" w:rsidP="008D5153">
      <w:pPr>
        <w:shd w:val="clear" w:color="auto" w:fill="FFFFFF"/>
        <w:ind w:left="2268"/>
        <w:jc w:val="both"/>
        <w:rPr>
          <w:rFonts w:ascii="Arial" w:hAnsi="Arial" w:cs="Arial"/>
          <w:color w:val="000000"/>
          <w:sz w:val="22"/>
          <w:szCs w:val="22"/>
        </w:rPr>
      </w:pPr>
      <w:r w:rsidRPr="002B6CD6">
        <w:rPr>
          <w:rFonts w:ascii="Arial" w:hAnsi="Arial" w:cs="Arial"/>
          <w:color w:val="000000"/>
          <w:sz w:val="22"/>
          <w:szCs w:val="22"/>
        </w:rPr>
        <w:t>§ 2º Na hipótese de empresa em recuperação judicial o crédito tributário favorecido pode ser pago em até 84 (oitenta e quatro) parcelas, conforme dispuser ato do Secretário de Estado da Fazenda.</w:t>
      </w:r>
    </w:p>
    <w:p w14:paraId="3EA180A3" w14:textId="6EF01946" w:rsidR="002B6CD6" w:rsidRDefault="002B6CD6" w:rsidP="008D5153">
      <w:pPr>
        <w:shd w:val="clear" w:color="auto" w:fill="FFFFFF"/>
        <w:ind w:left="2268"/>
        <w:jc w:val="both"/>
        <w:rPr>
          <w:rFonts w:ascii="Arial" w:hAnsi="Arial" w:cs="Arial"/>
          <w:color w:val="000000"/>
          <w:sz w:val="22"/>
          <w:szCs w:val="22"/>
        </w:rPr>
      </w:pPr>
      <w:r w:rsidRPr="002B6CD6">
        <w:rPr>
          <w:rFonts w:ascii="Arial" w:hAnsi="Arial" w:cs="Arial"/>
          <w:color w:val="000000"/>
          <w:sz w:val="22"/>
          <w:szCs w:val="22"/>
        </w:rPr>
        <w:t>§ 3º A remissão de que trata o inciso II deste artigo aplica-se também ao crédito tributário relativo ao Imposto Sobre Propriedade de Veículo Automotor – IPVA.</w:t>
      </w:r>
    </w:p>
    <w:p w14:paraId="1F02DD9E" w14:textId="0E718665" w:rsidR="002075EC" w:rsidRDefault="002075EC" w:rsidP="000E7A44">
      <w:pPr>
        <w:spacing w:line="360" w:lineRule="auto"/>
        <w:ind w:firstLine="851"/>
        <w:jc w:val="both"/>
        <w:rPr>
          <w:rFonts w:ascii="Arial" w:hAnsi="Arial" w:cs="Arial"/>
          <w:sz w:val="24"/>
          <w:szCs w:val="24"/>
        </w:rPr>
      </w:pPr>
    </w:p>
    <w:p w14:paraId="343D8C09" w14:textId="68EB5F26" w:rsidR="002B6CD6" w:rsidRDefault="002B6CD6" w:rsidP="000E7A44">
      <w:pPr>
        <w:spacing w:line="360" w:lineRule="auto"/>
        <w:ind w:firstLine="851"/>
        <w:jc w:val="both"/>
        <w:rPr>
          <w:rFonts w:ascii="Arial" w:hAnsi="Arial" w:cs="Arial"/>
          <w:sz w:val="24"/>
          <w:szCs w:val="24"/>
        </w:rPr>
      </w:pPr>
      <w:r>
        <w:rPr>
          <w:rFonts w:ascii="Arial" w:hAnsi="Arial" w:cs="Arial"/>
          <w:sz w:val="24"/>
          <w:szCs w:val="24"/>
        </w:rPr>
        <w:t xml:space="preserve">Outras gigantes do crédito outorgado no Estado de Goiás aparecem com certidão positiva com efeitos de negativa ao consultar a respectiva situação fiscal na página da Secretaria de Estado da Economia, como Hypera S/A (CNPJ nº </w:t>
      </w:r>
      <w:r w:rsidRPr="002B6CD6">
        <w:rPr>
          <w:rFonts w:ascii="Arial" w:hAnsi="Arial" w:cs="Arial"/>
          <w:sz w:val="24"/>
          <w:szCs w:val="24"/>
        </w:rPr>
        <w:t>02</w:t>
      </w:r>
      <w:r>
        <w:rPr>
          <w:rFonts w:ascii="Arial" w:hAnsi="Arial" w:cs="Arial"/>
          <w:sz w:val="24"/>
          <w:szCs w:val="24"/>
        </w:rPr>
        <w:t>.</w:t>
      </w:r>
      <w:r w:rsidRPr="002B6CD6">
        <w:rPr>
          <w:rFonts w:ascii="Arial" w:hAnsi="Arial" w:cs="Arial"/>
          <w:sz w:val="24"/>
          <w:szCs w:val="24"/>
        </w:rPr>
        <w:t>932</w:t>
      </w:r>
      <w:r>
        <w:rPr>
          <w:rFonts w:ascii="Arial" w:hAnsi="Arial" w:cs="Arial"/>
          <w:sz w:val="24"/>
          <w:szCs w:val="24"/>
        </w:rPr>
        <w:t>.</w:t>
      </w:r>
      <w:r w:rsidRPr="002B6CD6">
        <w:rPr>
          <w:rFonts w:ascii="Arial" w:hAnsi="Arial" w:cs="Arial"/>
          <w:sz w:val="24"/>
          <w:szCs w:val="24"/>
        </w:rPr>
        <w:t>074</w:t>
      </w:r>
      <w:r>
        <w:rPr>
          <w:rFonts w:ascii="Arial" w:hAnsi="Arial" w:cs="Arial"/>
          <w:sz w:val="24"/>
          <w:szCs w:val="24"/>
        </w:rPr>
        <w:t>/</w:t>
      </w:r>
      <w:r w:rsidRPr="002B6CD6">
        <w:rPr>
          <w:rFonts w:ascii="Arial" w:hAnsi="Arial" w:cs="Arial"/>
          <w:sz w:val="24"/>
          <w:szCs w:val="24"/>
        </w:rPr>
        <w:t>0042</w:t>
      </w:r>
      <w:r>
        <w:rPr>
          <w:rFonts w:ascii="Arial" w:hAnsi="Arial" w:cs="Arial"/>
          <w:sz w:val="24"/>
          <w:szCs w:val="24"/>
        </w:rPr>
        <w:t>-</w:t>
      </w:r>
      <w:r w:rsidRPr="002B6CD6">
        <w:rPr>
          <w:rFonts w:ascii="Arial" w:hAnsi="Arial" w:cs="Arial"/>
          <w:sz w:val="24"/>
          <w:szCs w:val="24"/>
        </w:rPr>
        <w:t>60</w:t>
      </w:r>
      <w:r>
        <w:rPr>
          <w:rFonts w:ascii="Arial" w:hAnsi="Arial" w:cs="Arial"/>
          <w:sz w:val="24"/>
          <w:szCs w:val="24"/>
        </w:rPr>
        <w:t xml:space="preserve">), </w:t>
      </w:r>
      <w:r w:rsidR="006650FD" w:rsidRPr="006650FD">
        <w:rPr>
          <w:rFonts w:ascii="Arial" w:hAnsi="Arial" w:cs="Arial"/>
          <w:sz w:val="24"/>
          <w:szCs w:val="24"/>
        </w:rPr>
        <w:t xml:space="preserve">HNK BR </w:t>
      </w:r>
      <w:r w:rsidR="006650FD">
        <w:rPr>
          <w:rFonts w:ascii="Arial" w:hAnsi="Arial" w:cs="Arial"/>
          <w:sz w:val="24"/>
          <w:szCs w:val="24"/>
        </w:rPr>
        <w:t>Indú</w:t>
      </w:r>
      <w:r w:rsidR="006650FD" w:rsidRPr="006650FD">
        <w:rPr>
          <w:rFonts w:ascii="Arial" w:hAnsi="Arial" w:cs="Arial"/>
          <w:sz w:val="24"/>
          <w:szCs w:val="24"/>
        </w:rPr>
        <w:t>stria de Bebidas</w:t>
      </w:r>
      <w:r w:rsidR="006650FD">
        <w:rPr>
          <w:rFonts w:ascii="Arial" w:hAnsi="Arial" w:cs="Arial"/>
          <w:sz w:val="24"/>
          <w:szCs w:val="24"/>
        </w:rPr>
        <w:t xml:space="preserve"> </w:t>
      </w:r>
      <w:r>
        <w:rPr>
          <w:rFonts w:ascii="Arial" w:hAnsi="Arial" w:cs="Arial"/>
          <w:sz w:val="24"/>
          <w:szCs w:val="24"/>
        </w:rPr>
        <w:t>(</w:t>
      </w:r>
      <w:r w:rsidR="006650FD">
        <w:rPr>
          <w:rFonts w:ascii="Arial" w:hAnsi="Arial" w:cs="Arial"/>
          <w:sz w:val="24"/>
          <w:szCs w:val="24"/>
        </w:rPr>
        <w:t xml:space="preserve">Brasil Kirin – </w:t>
      </w:r>
      <w:r>
        <w:rPr>
          <w:rFonts w:ascii="Arial" w:hAnsi="Arial" w:cs="Arial"/>
          <w:sz w:val="24"/>
          <w:szCs w:val="24"/>
        </w:rPr>
        <w:t xml:space="preserve">CNPJ nº </w:t>
      </w:r>
      <w:r w:rsidRPr="00E239B5">
        <w:rPr>
          <w:rFonts w:ascii="Arial" w:hAnsi="Arial" w:cs="Arial"/>
          <w:sz w:val="24"/>
          <w:szCs w:val="24"/>
        </w:rPr>
        <w:t>50</w:t>
      </w:r>
      <w:r>
        <w:rPr>
          <w:rFonts w:ascii="Arial" w:hAnsi="Arial" w:cs="Arial"/>
          <w:sz w:val="24"/>
          <w:szCs w:val="24"/>
        </w:rPr>
        <w:t>.</w:t>
      </w:r>
      <w:r w:rsidRPr="00E239B5">
        <w:rPr>
          <w:rFonts w:ascii="Arial" w:hAnsi="Arial" w:cs="Arial"/>
          <w:sz w:val="24"/>
          <w:szCs w:val="24"/>
        </w:rPr>
        <w:t>221</w:t>
      </w:r>
      <w:r>
        <w:rPr>
          <w:rFonts w:ascii="Arial" w:hAnsi="Arial" w:cs="Arial"/>
          <w:sz w:val="24"/>
          <w:szCs w:val="24"/>
        </w:rPr>
        <w:t>.</w:t>
      </w:r>
      <w:r w:rsidRPr="00E239B5">
        <w:rPr>
          <w:rFonts w:ascii="Arial" w:hAnsi="Arial" w:cs="Arial"/>
          <w:sz w:val="24"/>
          <w:szCs w:val="24"/>
        </w:rPr>
        <w:t>019</w:t>
      </w:r>
      <w:r>
        <w:rPr>
          <w:rFonts w:ascii="Arial" w:hAnsi="Arial" w:cs="Arial"/>
          <w:sz w:val="24"/>
          <w:szCs w:val="24"/>
        </w:rPr>
        <w:t>/</w:t>
      </w:r>
      <w:r w:rsidRPr="00E239B5">
        <w:rPr>
          <w:rFonts w:ascii="Arial" w:hAnsi="Arial" w:cs="Arial"/>
          <w:sz w:val="24"/>
          <w:szCs w:val="24"/>
        </w:rPr>
        <w:t>0013</w:t>
      </w:r>
      <w:r>
        <w:rPr>
          <w:rFonts w:ascii="Arial" w:hAnsi="Arial" w:cs="Arial"/>
          <w:sz w:val="24"/>
          <w:szCs w:val="24"/>
        </w:rPr>
        <w:t>-</w:t>
      </w:r>
      <w:r w:rsidRPr="00E239B5">
        <w:rPr>
          <w:rFonts w:ascii="Arial" w:hAnsi="Arial" w:cs="Arial"/>
          <w:sz w:val="24"/>
          <w:szCs w:val="24"/>
        </w:rPr>
        <w:t>70</w:t>
      </w:r>
      <w:r>
        <w:rPr>
          <w:rFonts w:ascii="Arial" w:hAnsi="Arial" w:cs="Arial"/>
          <w:sz w:val="24"/>
          <w:szCs w:val="24"/>
        </w:rPr>
        <w:t xml:space="preserve">), </w:t>
      </w:r>
      <w:r w:rsidR="00A5306C">
        <w:rPr>
          <w:rFonts w:ascii="Arial" w:hAnsi="Arial" w:cs="Arial"/>
          <w:sz w:val="24"/>
          <w:szCs w:val="24"/>
        </w:rPr>
        <w:t xml:space="preserve">e </w:t>
      </w:r>
      <w:r>
        <w:rPr>
          <w:rFonts w:ascii="Arial" w:hAnsi="Arial" w:cs="Arial"/>
          <w:sz w:val="24"/>
          <w:szCs w:val="24"/>
        </w:rPr>
        <w:t>JBS S/</w:t>
      </w:r>
      <w:r w:rsidRPr="00E239B5">
        <w:rPr>
          <w:rFonts w:ascii="Arial" w:hAnsi="Arial" w:cs="Arial"/>
          <w:sz w:val="24"/>
          <w:szCs w:val="24"/>
        </w:rPr>
        <w:t>A</w:t>
      </w:r>
      <w:r>
        <w:rPr>
          <w:rFonts w:ascii="Arial" w:hAnsi="Arial" w:cs="Arial"/>
          <w:sz w:val="24"/>
          <w:szCs w:val="24"/>
        </w:rPr>
        <w:t xml:space="preserve"> (CNPJ nº </w:t>
      </w:r>
      <w:r w:rsidR="00A5306C" w:rsidRPr="00E239B5">
        <w:rPr>
          <w:rFonts w:ascii="Arial" w:hAnsi="Arial" w:cs="Arial"/>
          <w:sz w:val="24"/>
          <w:szCs w:val="24"/>
        </w:rPr>
        <w:t>02</w:t>
      </w:r>
      <w:r w:rsidR="00A5306C">
        <w:rPr>
          <w:rFonts w:ascii="Arial" w:hAnsi="Arial" w:cs="Arial"/>
          <w:sz w:val="24"/>
          <w:szCs w:val="24"/>
        </w:rPr>
        <w:t>.</w:t>
      </w:r>
      <w:r w:rsidR="00A5306C" w:rsidRPr="00E239B5">
        <w:rPr>
          <w:rFonts w:ascii="Arial" w:hAnsi="Arial" w:cs="Arial"/>
          <w:sz w:val="24"/>
          <w:szCs w:val="24"/>
        </w:rPr>
        <w:t>916</w:t>
      </w:r>
      <w:r w:rsidR="00A5306C">
        <w:rPr>
          <w:rFonts w:ascii="Arial" w:hAnsi="Arial" w:cs="Arial"/>
          <w:sz w:val="24"/>
          <w:szCs w:val="24"/>
        </w:rPr>
        <w:t>.</w:t>
      </w:r>
      <w:r w:rsidR="00A5306C" w:rsidRPr="00E239B5">
        <w:rPr>
          <w:rFonts w:ascii="Arial" w:hAnsi="Arial" w:cs="Arial"/>
          <w:sz w:val="24"/>
          <w:szCs w:val="24"/>
        </w:rPr>
        <w:t>265</w:t>
      </w:r>
      <w:r w:rsidR="00A5306C">
        <w:rPr>
          <w:rFonts w:ascii="Arial" w:hAnsi="Arial" w:cs="Arial"/>
          <w:sz w:val="24"/>
          <w:szCs w:val="24"/>
        </w:rPr>
        <w:t>/</w:t>
      </w:r>
      <w:r w:rsidR="00A5306C" w:rsidRPr="00E239B5">
        <w:rPr>
          <w:rFonts w:ascii="Arial" w:hAnsi="Arial" w:cs="Arial"/>
          <w:sz w:val="24"/>
          <w:szCs w:val="24"/>
        </w:rPr>
        <w:t>0083</w:t>
      </w:r>
      <w:r w:rsidR="00A5306C">
        <w:rPr>
          <w:rFonts w:ascii="Arial" w:hAnsi="Arial" w:cs="Arial"/>
          <w:sz w:val="24"/>
          <w:szCs w:val="24"/>
        </w:rPr>
        <w:t>-</w:t>
      </w:r>
      <w:r w:rsidR="00A5306C" w:rsidRPr="00E239B5">
        <w:rPr>
          <w:rFonts w:ascii="Arial" w:hAnsi="Arial" w:cs="Arial"/>
          <w:sz w:val="24"/>
          <w:szCs w:val="24"/>
        </w:rPr>
        <w:t>06</w:t>
      </w:r>
      <w:r w:rsidR="00A5306C">
        <w:rPr>
          <w:rFonts w:ascii="Arial" w:hAnsi="Arial" w:cs="Arial"/>
          <w:sz w:val="24"/>
          <w:szCs w:val="24"/>
        </w:rPr>
        <w:t xml:space="preserve">, </w:t>
      </w:r>
      <w:r w:rsidR="00A5306C" w:rsidRPr="00E239B5">
        <w:rPr>
          <w:rFonts w:ascii="Arial" w:hAnsi="Arial" w:cs="Arial"/>
          <w:sz w:val="24"/>
          <w:szCs w:val="24"/>
        </w:rPr>
        <w:t>02</w:t>
      </w:r>
      <w:r w:rsidR="00A5306C">
        <w:rPr>
          <w:rFonts w:ascii="Arial" w:hAnsi="Arial" w:cs="Arial"/>
          <w:sz w:val="24"/>
          <w:szCs w:val="24"/>
        </w:rPr>
        <w:t>.</w:t>
      </w:r>
      <w:r w:rsidR="00A5306C" w:rsidRPr="00E239B5">
        <w:rPr>
          <w:rFonts w:ascii="Arial" w:hAnsi="Arial" w:cs="Arial"/>
          <w:sz w:val="24"/>
          <w:szCs w:val="24"/>
        </w:rPr>
        <w:t>916</w:t>
      </w:r>
      <w:r w:rsidR="00A5306C">
        <w:rPr>
          <w:rFonts w:ascii="Arial" w:hAnsi="Arial" w:cs="Arial"/>
          <w:sz w:val="24"/>
          <w:szCs w:val="24"/>
        </w:rPr>
        <w:t>.</w:t>
      </w:r>
      <w:r w:rsidR="00A5306C" w:rsidRPr="00E239B5">
        <w:rPr>
          <w:rFonts w:ascii="Arial" w:hAnsi="Arial" w:cs="Arial"/>
          <w:sz w:val="24"/>
          <w:szCs w:val="24"/>
        </w:rPr>
        <w:t>265</w:t>
      </w:r>
      <w:r w:rsidR="00A5306C">
        <w:rPr>
          <w:rFonts w:ascii="Arial" w:hAnsi="Arial" w:cs="Arial"/>
          <w:sz w:val="24"/>
          <w:szCs w:val="24"/>
        </w:rPr>
        <w:t>/</w:t>
      </w:r>
      <w:r w:rsidR="00A5306C" w:rsidRPr="00E239B5">
        <w:rPr>
          <w:rFonts w:ascii="Arial" w:hAnsi="Arial" w:cs="Arial"/>
          <w:sz w:val="24"/>
          <w:szCs w:val="24"/>
        </w:rPr>
        <w:t>0200</w:t>
      </w:r>
      <w:r w:rsidR="00A5306C">
        <w:rPr>
          <w:rFonts w:ascii="Arial" w:hAnsi="Arial" w:cs="Arial"/>
          <w:sz w:val="24"/>
          <w:szCs w:val="24"/>
        </w:rPr>
        <w:t>-</w:t>
      </w:r>
      <w:r w:rsidR="00A5306C" w:rsidRPr="00E239B5">
        <w:rPr>
          <w:rFonts w:ascii="Arial" w:hAnsi="Arial" w:cs="Arial"/>
          <w:sz w:val="24"/>
          <w:szCs w:val="24"/>
        </w:rPr>
        <w:t>04</w:t>
      </w:r>
      <w:r w:rsidR="00A5306C">
        <w:rPr>
          <w:rFonts w:ascii="Arial" w:hAnsi="Arial" w:cs="Arial"/>
          <w:sz w:val="24"/>
          <w:szCs w:val="24"/>
        </w:rPr>
        <w:t xml:space="preserve">, </w:t>
      </w:r>
      <w:r w:rsidR="00A5306C" w:rsidRPr="00E239B5">
        <w:rPr>
          <w:rFonts w:ascii="Arial" w:hAnsi="Arial" w:cs="Arial"/>
          <w:sz w:val="24"/>
          <w:szCs w:val="24"/>
        </w:rPr>
        <w:t>02</w:t>
      </w:r>
      <w:r w:rsidR="00A5306C">
        <w:rPr>
          <w:rFonts w:ascii="Arial" w:hAnsi="Arial" w:cs="Arial"/>
          <w:sz w:val="24"/>
          <w:szCs w:val="24"/>
        </w:rPr>
        <w:t>.</w:t>
      </w:r>
      <w:r w:rsidR="00A5306C" w:rsidRPr="00E239B5">
        <w:rPr>
          <w:rFonts w:ascii="Arial" w:hAnsi="Arial" w:cs="Arial"/>
          <w:sz w:val="24"/>
          <w:szCs w:val="24"/>
        </w:rPr>
        <w:t>916</w:t>
      </w:r>
      <w:r w:rsidR="00A5306C">
        <w:rPr>
          <w:rFonts w:ascii="Arial" w:hAnsi="Arial" w:cs="Arial"/>
          <w:sz w:val="24"/>
          <w:szCs w:val="24"/>
        </w:rPr>
        <w:t>.</w:t>
      </w:r>
      <w:r w:rsidR="00A5306C" w:rsidRPr="00E239B5">
        <w:rPr>
          <w:rFonts w:ascii="Arial" w:hAnsi="Arial" w:cs="Arial"/>
          <w:sz w:val="24"/>
          <w:szCs w:val="24"/>
        </w:rPr>
        <w:t>265</w:t>
      </w:r>
      <w:r w:rsidR="00A5306C">
        <w:rPr>
          <w:rFonts w:ascii="Arial" w:hAnsi="Arial" w:cs="Arial"/>
          <w:sz w:val="24"/>
          <w:szCs w:val="24"/>
        </w:rPr>
        <w:t>/</w:t>
      </w:r>
      <w:r w:rsidR="00A5306C" w:rsidRPr="00E239B5">
        <w:rPr>
          <w:rFonts w:ascii="Arial" w:hAnsi="Arial" w:cs="Arial"/>
          <w:sz w:val="24"/>
          <w:szCs w:val="24"/>
        </w:rPr>
        <w:t>0005</w:t>
      </w:r>
      <w:r w:rsidR="00A5306C">
        <w:rPr>
          <w:rFonts w:ascii="Arial" w:hAnsi="Arial" w:cs="Arial"/>
          <w:sz w:val="24"/>
          <w:szCs w:val="24"/>
        </w:rPr>
        <w:t>-</w:t>
      </w:r>
      <w:r w:rsidR="00A5306C" w:rsidRPr="00E239B5">
        <w:rPr>
          <w:rFonts w:ascii="Arial" w:hAnsi="Arial" w:cs="Arial"/>
          <w:sz w:val="24"/>
          <w:szCs w:val="24"/>
        </w:rPr>
        <w:t>93</w:t>
      </w:r>
      <w:r w:rsidR="00A5306C">
        <w:rPr>
          <w:rFonts w:ascii="Arial" w:hAnsi="Arial" w:cs="Arial"/>
          <w:sz w:val="24"/>
          <w:szCs w:val="24"/>
        </w:rPr>
        <w:t>), o que, embora não demonstre necessariamente a adesão a programas de parcelamento, ao menos revela indícios de tal situaç</w:t>
      </w:r>
      <w:r w:rsidR="00063477">
        <w:rPr>
          <w:rFonts w:ascii="Arial" w:hAnsi="Arial" w:cs="Arial"/>
          <w:sz w:val="24"/>
          <w:szCs w:val="24"/>
        </w:rPr>
        <w:t>ão</w:t>
      </w:r>
      <w:r w:rsidR="000955DF">
        <w:rPr>
          <w:rFonts w:ascii="Arial" w:hAnsi="Arial" w:cs="Arial"/>
          <w:sz w:val="24"/>
          <w:szCs w:val="24"/>
        </w:rPr>
        <w:t xml:space="preserve">, </w:t>
      </w:r>
      <w:r w:rsidR="00840028">
        <w:rPr>
          <w:rFonts w:ascii="Arial" w:hAnsi="Arial" w:cs="Arial"/>
          <w:sz w:val="24"/>
          <w:szCs w:val="24"/>
        </w:rPr>
        <w:t>como é fato público e notório em relação à JBS, por exemplo</w:t>
      </w:r>
      <w:r w:rsidR="00751530">
        <w:rPr>
          <w:rStyle w:val="Refdenotaderodap"/>
          <w:rFonts w:ascii="Arial" w:hAnsi="Arial" w:cs="Arial"/>
          <w:sz w:val="24"/>
          <w:szCs w:val="24"/>
        </w:rPr>
        <w:footnoteReference w:id="91"/>
      </w:r>
      <w:r w:rsidR="000955DF">
        <w:rPr>
          <w:rFonts w:ascii="Arial" w:hAnsi="Arial" w:cs="Arial"/>
          <w:sz w:val="24"/>
          <w:szCs w:val="24"/>
        </w:rPr>
        <w:t>.</w:t>
      </w:r>
    </w:p>
    <w:p w14:paraId="25BDAE77" w14:textId="66F5A46E" w:rsidR="00840028" w:rsidRDefault="00840028" w:rsidP="000E7A44">
      <w:pPr>
        <w:spacing w:line="360" w:lineRule="auto"/>
        <w:ind w:firstLine="851"/>
        <w:jc w:val="both"/>
        <w:rPr>
          <w:rFonts w:ascii="Arial" w:hAnsi="Arial" w:cs="Arial"/>
          <w:sz w:val="24"/>
          <w:szCs w:val="24"/>
        </w:rPr>
      </w:pPr>
      <w:r>
        <w:rPr>
          <w:rFonts w:ascii="Arial" w:hAnsi="Arial" w:cs="Arial"/>
          <w:sz w:val="24"/>
          <w:szCs w:val="24"/>
        </w:rPr>
        <w:t xml:space="preserve">A </w:t>
      </w:r>
      <w:r w:rsidRPr="00840028">
        <w:rPr>
          <w:rFonts w:ascii="Arial" w:hAnsi="Arial" w:cs="Arial"/>
          <w:b/>
          <w:sz w:val="24"/>
          <w:szCs w:val="24"/>
        </w:rPr>
        <w:t>CPI da Previdência no Congresso Nacional</w:t>
      </w:r>
      <w:r>
        <w:rPr>
          <w:rFonts w:ascii="Arial" w:hAnsi="Arial" w:cs="Arial"/>
          <w:sz w:val="24"/>
          <w:szCs w:val="24"/>
        </w:rPr>
        <w:t xml:space="preserve">, cujo relatório foi divulgado em outubro de 2017, </w:t>
      </w:r>
      <w:r w:rsidRPr="00840028">
        <w:rPr>
          <w:rFonts w:ascii="Arial" w:hAnsi="Arial" w:cs="Arial"/>
          <w:sz w:val="24"/>
          <w:szCs w:val="24"/>
          <w:u w:val="single"/>
        </w:rPr>
        <w:t>chegou a conclusão similar ao identificar que várias empresas com parcelamento de seus débitos obtiveram vultosos empréstimos com o BNDS</w:t>
      </w:r>
      <w:r>
        <w:rPr>
          <w:rFonts w:ascii="Arial" w:hAnsi="Arial" w:cs="Arial"/>
          <w:sz w:val="24"/>
          <w:szCs w:val="24"/>
        </w:rPr>
        <w:t>, a recomendar critérios especiais e acompanhamento permanente acerca da situação, conforme exceto que se transcreve a seguir:</w:t>
      </w:r>
    </w:p>
    <w:p w14:paraId="78B20F90" w14:textId="0044DEB6" w:rsidR="00840028" w:rsidRDefault="00840028" w:rsidP="000E7A44">
      <w:pPr>
        <w:spacing w:line="360" w:lineRule="auto"/>
        <w:ind w:firstLine="851"/>
        <w:jc w:val="both"/>
        <w:rPr>
          <w:rFonts w:ascii="Arial" w:hAnsi="Arial" w:cs="Arial"/>
          <w:sz w:val="24"/>
          <w:szCs w:val="24"/>
        </w:rPr>
      </w:pPr>
    </w:p>
    <w:p w14:paraId="5964BBE8" w14:textId="7D54E345" w:rsidR="00840028" w:rsidRPr="002B6CD6" w:rsidRDefault="00840028" w:rsidP="008D5153">
      <w:pPr>
        <w:shd w:val="clear" w:color="auto" w:fill="FFFFFF"/>
        <w:ind w:left="2268"/>
        <w:jc w:val="both"/>
        <w:rPr>
          <w:rFonts w:ascii="Arial" w:hAnsi="Arial" w:cs="Arial"/>
          <w:color w:val="000000"/>
          <w:sz w:val="22"/>
          <w:szCs w:val="22"/>
        </w:rPr>
      </w:pPr>
      <w:r w:rsidRPr="00840028">
        <w:rPr>
          <w:rFonts w:ascii="Arial" w:hAnsi="Arial" w:cs="Arial"/>
          <w:color w:val="000000"/>
          <w:sz w:val="22"/>
          <w:szCs w:val="22"/>
        </w:rPr>
        <w:t xml:space="preserve">É importante frisar, também, que </w:t>
      </w:r>
      <w:r w:rsidRPr="00840028">
        <w:rPr>
          <w:rFonts w:ascii="Arial" w:hAnsi="Arial" w:cs="Arial"/>
          <w:b/>
          <w:color w:val="000000"/>
          <w:sz w:val="22"/>
          <w:szCs w:val="22"/>
        </w:rPr>
        <w:t>o parcelamento de dívidas tributárias, deveria colocar o devedor em regime especial de acompanhamento e fiscalização tributária, assim como restringir ou condicionar o acesso a crédito público em condições especiais</w:t>
      </w:r>
      <w:r w:rsidRPr="00840028">
        <w:rPr>
          <w:rFonts w:ascii="Arial" w:hAnsi="Arial" w:cs="Arial"/>
          <w:color w:val="000000"/>
          <w:sz w:val="22"/>
          <w:szCs w:val="22"/>
        </w:rPr>
        <w:t>, como é o caso do BNDES, mediante regras rígidas a fim de se evitar casos semelhantes aquele verificado com a JBS.</w:t>
      </w:r>
      <w:r>
        <w:rPr>
          <w:rFonts w:ascii="Arial" w:hAnsi="Arial" w:cs="Arial"/>
          <w:color w:val="000000"/>
          <w:sz w:val="22"/>
          <w:szCs w:val="22"/>
        </w:rPr>
        <w:t xml:space="preserve"> (p. 175 do relatório, grifou-se)</w:t>
      </w:r>
    </w:p>
    <w:p w14:paraId="15E0349D" w14:textId="77777777" w:rsidR="00840028" w:rsidRDefault="00840028" w:rsidP="000E7A44">
      <w:pPr>
        <w:spacing w:line="360" w:lineRule="auto"/>
        <w:ind w:firstLine="851"/>
        <w:jc w:val="both"/>
        <w:rPr>
          <w:rFonts w:ascii="Arial" w:hAnsi="Arial" w:cs="Arial"/>
          <w:sz w:val="24"/>
          <w:szCs w:val="24"/>
        </w:rPr>
      </w:pPr>
    </w:p>
    <w:p w14:paraId="1E3C4F67" w14:textId="3F64C66B" w:rsidR="00030A3C" w:rsidRDefault="007B47D5" w:rsidP="00C55DEE">
      <w:pPr>
        <w:spacing w:line="360" w:lineRule="auto"/>
        <w:ind w:firstLine="851"/>
        <w:jc w:val="both"/>
        <w:rPr>
          <w:rFonts w:ascii="Arial" w:hAnsi="Arial" w:cs="Arial"/>
          <w:sz w:val="24"/>
          <w:szCs w:val="24"/>
        </w:rPr>
      </w:pPr>
      <w:r>
        <w:rPr>
          <w:rFonts w:ascii="Arial" w:hAnsi="Arial" w:cs="Arial"/>
          <w:sz w:val="24"/>
          <w:szCs w:val="24"/>
        </w:rPr>
        <w:lastRenderedPageBreak/>
        <w:t>Portanto, e</w:t>
      </w:r>
      <w:r w:rsidR="00030A3C">
        <w:rPr>
          <w:rFonts w:ascii="Arial" w:hAnsi="Arial" w:cs="Arial"/>
          <w:sz w:val="24"/>
          <w:szCs w:val="24"/>
        </w:rPr>
        <w:t xml:space="preserve">ntende-se que </w:t>
      </w:r>
      <w:r w:rsidR="00030A3C" w:rsidRPr="00B2333C">
        <w:rPr>
          <w:rFonts w:ascii="Arial" w:hAnsi="Arial" w:cs="Arial"/>
          <w:b/>
          <w:sz w:val="24"/>
          <w:szCs w:val="24"/>
        </w:rPr>
        <w:t xml:space="preserve">a legislação deveria ser </w:t>
      </w:r>
      <w:r>
        <w:rPr>
          <w:rFonts w:ascii="Arial" w:hAnsi="Arial" w:cs="Arial"/>
          <w:b/>
          <w:sz w:val="24"/>
          <w:szCs w:val="24"/>
        </w:rPr>
        <w:t>endurecida</w:t>
      </w:r>
      <w:r w:rsidR="00030A3C" w:rsidRPr="00B2333C">
        <w:rPr>
          <w:rFonts w:ascii="Arial" w:hAnsi="Arial" w:cs="Arial"/>
          <w:b/>
          <w:sz w:val="24"/>
          <w:szCs w:val="24"/>
        </w:rPr>
        <w:t xml:space="preserve"> nesse tocante para que empresas beneficiárias de incentivos fiscais estaduais</w:t>
      </w:r>
      <w:r w:rsidR="00F3269E">
        <w:rPr>
          <w:rFonts w:ascii="Arial" w:hAnsi="Arial" w:cs="Arial"/>
          <w:b/>
          <w:sz w:val="24"/>
          <w:szCs w:val="24"/>
        </w:rPr>
        <w:t xml:space="preserve"> </w:t>
      </w:r>
      <w:r w:rsidR="00F3269E" w:rsidRPr="00F3269E">
        <w:rPr>
          <w:rFonts w:ascii="Arial" w:hAnsi="Arial" w:cs="Arial"/>
          <w:sz w:val="24"/>
          <w:szCs w:val="24"/>
        </w:rPr>
        <w:t xml:space="preserve">– ao menos em relação </w:t>
      </w:r>
      <w:r w:rsidR="00C55DEE">
        <w:rPr>
          <w:rFonts w:ascii="Arial" w:hAnsi="Arial" w:cs="Arial"/>
          <w:sz w:val="24"/>
          <w:szCs w:val="24"/>
        </w:rPr>
        <w:t xml:space="preserve">às </w:t>
      </w:r>
      <w:r w:rsidR="00F3269E" w:rsidRPr="00F3269E">
        <w:rPr>
          <w:rFonts w:ascii="Arial" w:hAnsi="Arial" w:cs="Arial"/>
          <w:sz w:val="24"/>
          <w:szCs w:val="24"/>
        </w:rPr>
        <w:t>maiores beneficiárias</w:t>
      </w:r>
      <w:r w:rsidR="00C55DEE">
        <w:rPr>
          <w:rFonts w:ascii="Arial" w:hAnsi="Arial" w:cs="Arial"/>
          <w:sz w:val="24"/>
          <w:szCs w:val="24"/>
        </w:rPr>
        <w:t>, após estabelecimento de um critério objetivo</w:t>
      </w:r>
      <w:r w:rsidR="00E77949">
        <w:rPr>
          <w:rFonts w:ascii="Arial" w:hAnsi="Arial" w:cs="Arial"/>
          <w:sz w:val="24"/>
          <w:szCs w:val="24"/>
        </w:rPr>
        <w:t xml:space="preserve"> para tanto</w:t>
      </w:r>
      <w:r w:rsidR="00C55DEE">
        <w:rPr>
          <w:rFonts w:ascii="Arial" w:hAnsi="Arial" w:cs="Arial"/>
          <w:sz w:val="24"/>
          <w:szCs w:val="24"/>
        </w:rPr>
        <w:t xml:space="preserve"> (por exemplo, as cem maiores</w:t>
      </w:r>
      <w:r w:rsidR="00E77949">
        <w:rPr>
          <w:rFonts w:ascii="Arial" w:hAnsi="Arial" w:cs="Arial"/>
          <w:sz w:val="24"/>
          <w:szCs w:val="24"/>
        </w:rPr>
        <w:t xml:space="preserve"> beneficiárias no acumulado dos últimos cinco anos</w:t>
      </w:r>
      <w:r w:rsidR="00C55DEE">
        <w:rPr>
          <w:rFonts w:ascii="Arial" w:hAnsi="Arial" w:cs="Arial"/>
          <w:sz w:val="24"/>
          <w:szCs w:val="24"/>
        </w:rPr>
        <w:t>)</w:t>
      </w:r>
      <w:r w:rsidR="00F3269E" w:rsidRPr="00F3269E">
        <w:rPr>
          <w:rFonts w:ascii="Arial" w:hAnsi="Arial" w:cs="Arial"/>
          <w:sz w:val="24"/>
          <w:szCs w:val="24"/>
        </w:rPr>
        <w:t xml:space="preserve"> –</w:t>
      </w:r>
      <w:r w:rsidR="00030A3C" w:rsidRPr="00F3269E">
        <w:rPr>
          <w:rFonts w:ascii="Arial" w:hAnsi="Arial" w:cs="Arial"/>
          <w:sz w:val="24"/>
          <w:szCs w:val="24"/>
        </w:rPr>
        <w:t xml:space="preserve"> tivessem suprimido o direito de parcelamento ou, ao menos, reduzido a no máximo 12 (doze) parcelas</w:t>
      </w:r>
      <w:r w:rsidRPr="00F3269E">
        <w:rPr>
          <w:rFonts w:ascii="Arial" w:hAnsi="Arial" w:cs="Arial"/>
          <w:sz w:val="24"/>
          <w:szCs w:val="24"/>
        </w:rPr>
        <w:t>,</w:t>
      </w:r>
      <w:r w:rsidRPr="007B47D5">
        <w:rPr>
          <w:rFonts w:ascii="Arial" w:hAnsi="Arial" w:cs="Arial"/>
          <w:sz w:val="24"/>
          <w:szCs w:val="24"/>
        </w:rPr>
        <w:t xml:space="preserve"> </w:t>
      </w:r>
      <w:r w:rsidR="00030A3C" w:rsidRPr="007B47D5">
        <w:rPr>
          <w:rFonts w:ascii="Arial" w:hAnsi="Arial" w:cs="Arial"/>
          <w:sz w:val="24"/>
          <w:szCs w:val="24"/>
        </w:rPr>
        <w:t>a</w:t>
      </w:r>
      <w:r w:rsidR="00030A3C">
        <w:rPr>
          <w:rFonts w:ascii="Arial" w:hAnsi="Arial" w:cs="Arial"/>
          <w:sz w:val="24"/>
          <w:szCs w:val="24"/>
        </w:rPr>
        <w:t xml:space="preserve"> fim de evitar que o benefício, em vez de financiar a atividade econômica e o desenvolvimento do Estado, acabe financiando o próprio débito com o Estado</w:t>
      </w:r>
      <w:r w:rsidR="00DC25E1">
        <w:rPr>
          <w:rFonts w:ascii="Arial" w:hAnsi="Arial" w:cs="Arial"/>
          <w:sz w:val="24"/>
          <w:szCs w:val="24"/>
        </w:rPr>
        <w:t xml:space="preserve"> e</w:t>
      </w:r>
      <w:r w:rsidR="00030A3C">
        <w:rPr>
          <w:rFonts w:ascii="Arial" w:hAnsi="Arial" w:cs="Arial"/>
          <w:sz w:val="24"/>
          <w:szCs w:val="24"/>
        </w:rPr>
        <w:t xml:space="preserve"> estimulando </w:t>
      </w:r>
      <w:r w:rsidR="00DC25E1">
        <w:rPr>
          <w:rFonts w:ascii="Arial" w:hAnsi="Arial" w:cs="Arial"/>
          <w:sz w:val="24"/>
          <w:szCs w:val="24"/>
        </w:rPr>
        <w:t>a pr</w:t>
      </w:r>
      <w:r w:rsidR="00DF0D26">
        <w:rPr>
          <w:rFonts w:ascii="Arial" w:hAnsi="Arial" w:cs="Arial"/>
          <w:sz w:val="24"/>
          <w:szCs w:val="24"/>
        </w:rPr>
        <w:t>ópria lucratividade de grandes</w:t>
      </w:r>
      <w:r w:rsidR="00DC25E1">
        <w:rPr>
          <w:rFonts w:ascii="Arial" w:hAnsi="Arial" w:cs="Arial"/>
          <w:sz w:val="24"/>
          <w:szCs w:val="24"/>
        </w:rPr>
        <w:t xml:space="preserve"> </w:t>
      </w:r>
      <w:r w:rsidR="00030A3C">
        <w:rPr>
          <w:rFonts w:ascii="Arial" w:hAnsi="Arial" w:cs="Arial"/>
          <w:sz w:val="24"/>
          <w:szCs w:val="24"/>
        </w:rPr>
        <w:t>empresas</w:t>
      </w:r>
      <w:r w:rsidR="00B456C4">
        <w:rPr>
          <w:rFonts w:ascii="Arial" w:hAnsi="Arial" w:cs="Arial"/>
          <w:sz w:val="24"/>
          <w:szCs w:val="24"/>
        </w:rPr>
        <w:t>, ou sujeição a outras condições especiais para a concessão e a fruição do benefício</w:t>
      </w:r>
      <w:r w:rsidR="00030A3C">
        <w:rPr>
          <w:rFonts w:ascii="Arial" w:hAnsi="Arial" w:cs="Arial"/>
          <w:sz w:val="24"/>
          <w:szCs w:val="24"/>
        </w:rPr>
        <w:t>.</w:t>
      </w:r>
    </w:p>
    <w:p w14:paraId="683906DB" w14:textId="77777777" w:rsidR="00030A3C" w:rsidRDefault="00030A3C" w:rsidP="000E7A44">
      <w:pPr>
        <w:spacing w:line="360" w:lineRule="auto"/>
        <w:ind w:firstLine="851"/>
        <w:jc w:val="both"/>
        <w:rPr>
          <w:rFonts w:ascii="Arial" w:hAnsi="Arial" w:cs="Arial"/>
          <w:sz w:val="24"/>
          <w:szCs w:val="24"/>
        </w:rPr>
      </w:pPr>
    </w:p>
    <w:p w14:paraId="499BF872" w14:textId="73408EAC" w:rsidR="0095633A" w:rsidRDefault="000A45B9" w:rsidP="001F658D">
      <w:pPr>
        <w:spacing w:line="360" w:lineRule="auto"/>
        <w:ind w:firstLine="851"/>
        <w:jc w:val="both"/>
        <w:rPr>
          <w:rFonts w:ascii="Arial" w:hAnsi="Arial" w:cs="Arial"/>
          <w:sz w:val="24"/>
          <w:szCs w:val="24"/>
        </w:rPr>
      </w:pPr>
      <w:r>
        <w:rPr>
          <w:rFonts w:ascii="Arial" w:hAnsi="Arial" w:cs="Arial"/>
          <w:b/>
          <w:sz w:val="24"/>
          <w:szCs w:val="24"/>
        </w:rPr>
        <w:t>8.1.7</w:t>
      </w:r>
      <w:r w:rsidR="000C0C1D" w:rsidRPr="001B356D">
        <w:rPr>
          <w:rFonts w:ascii="Arial" w:hAnsi="Arial" w:cs="Arial"/>
          <w:b/>
          <w:sz w:val="24"/>
          <w:szCs w:val="24"/>
        </w:rPr>
        <w:t>.</w:t>
      </w:r>
      <w:r w:rsidR="000C0C1D">
        <w:rPr>
          <w:rFonts w:ascii="Arial" w:hAnsi="Arial" w:cs="Arial"/>
          <w:sz w:val="24"/>
          <w:szCs w:val="24"/>
        </w:rPr>
        <w:t xml:space="preserve"> </w:t>
      </w:r>
      <w:r w:rsidR="0006197D">
        <w:rPr>
          <w:rFonts w:ascii="Arial" w:hAnsi="Arial" w:cs="Arial"/>
          <w:sz w:val="24"/>
          <w:szCs w:val="24"/>
        </w:rPr>
        <w:t xml:space="preserve">Portanto, esta CPI </w:t>
      </w:r>
      <w:r w:rsidR="0006197D" w:rsidRPr="0006197D">
        <w:rPr>
          <w:rFonts w:ascii="Arial" w:hAnsi="Arial" w:cs="Arial"/>
          <w:b/>
          <w:sz w:val="24"/>
          <w:szCs w:val="24"/>
          <w:u w:val="single"/>
        </w:rPr>
        <w:t>a</w:t>
      </w:r>
      <w:r w:rsidR="00001403" w:rsidRPr="0006197D">
        <w:rPr>
          <w:rFonts w:ascii="Arial" w:hAnsi="Arial" w:cs="Arial"/>
          <w:b/>
          <w:sz w:val="24"/>
          <w:szCs w:val="24"/>
          <w:u w:val="single"/>
        </w:rPr>
        <w:t>pela</w:t>
      </w:r>
      <w:r w:rsidR="00214D28" w:rsidRPr="0095633A">
        <w:rPr>
          <w:rFonts w:ascii="Arial" w:hAnsi="Arial" w:cs="Arial"/>
          <w:b/>
          <w:sz w:val="24"/>
          <w:szCs w:val="24"/>
          <w:u w:val="single"/>
        </w:rPr>
        <w:t xml:space="preserve"> fortemente</w:t>
      </w:r>
      <w:r w:rsidR="00214D28" w:rsidRPr="00001403">
        <w:rPr>
          <w:rFonts w:ascii="Arial" w:hAnsi="Arial" w:cs="Arial"/>
          <w:b/>
          <w:sz w:val="24"/>
          <w:szCs w:val="24"/>
        </w:rPr>
        <w:t xml:space="preserve"> aos</w:t>
      </w:r>
      <w:r w:rsidR="00001403" w:rsidRPr="00001403">
        <w:rPr>
          <w:rFonts w:ascii="Arial" w:hAnsi="Arial" w:cs="Arial"/>
          <w:b/>
          <w:sz w:val="24"/>
          <w:szCs w:val="24"/>
        </w:rPr>
        <w:t xml:space="preserve"> atuais</w:t>
      </w:r>
      <w:r w:rsidR="00214D28" w:rsidRPr="00001403">
        <w:rPr>
          <w:rFonts w:ascii="Arial" w:hAnsi="Arial" w:cs="Arial"/>
          <w:b/>
          <w:sz w:val="24"/>
          <w:szCs w:val="24"/>
        </w:rPr>
        <w:t xml:space="preserve"> Secretários</w:t>
      </w:r>
      <w:r w:rsidR="00214D28">
        <w:rPr>
          <w:rFonts w:ascii="Arial" w:hAnsi="Arial" w:cs="Arial"/>
          <w:sz w:val="24"/>
          <w:szCs w:val="24"/>
        </w:rPr>
        <w:t xml:space="preserve"> de Estado </w:t>
      </w:r>
      <w:r w:rsidR="00374C98">
        <w:rPr>
          <w:rFonts w:ascii="Arial" w:hAnsi="Arial" w:cs="Arial"/>
          <w:sz w:val="24"/>
          <w:szCs w:val="24"/>
        </w:rPr>
        <w:t>da Indústria e Comércio e da Economia</w:t>
      </w:r>
      <w:r w:rsidR="00214D28">
        <w:rPr>
          <w:rFonts w:ascii="Arial" w:hAnsi="Arial" w:cs="Arial"/>
          <w:sz w:val="24"/>
          <w:szCs w:val="24"/>
        </w:rPr>
        <w:t xml:space="preserve">, </w:t>
      </w:r>
      <w:r w:rsidR="00214D28" w:rsidRPr="00001403">
        <w:rPr>
          <w:rFonts w:ascii="Arial" w:hAnsi="Arial" w:cs="Arial"/>
          <w:b/>
          <w:sz w:val="24"/>
          <w:szCs w:val="24"/>
        </w:rPr>
        <w:t>e demais</w:t>
      </w:r>
      <w:r w:rsidR="00374C98">
        <w:rPr>
          <w:rFonts w:ascii="Arial" w:hAnsi="Arial" w:cs="Arial"/>
          <w:b/>
          <w:sz w:val="24"/>
          <w:szCs w:val="24"/>
        </w:rPr>
        <w:t xml:space="preserve"> órgãos e</w:t>
      </w:r>
      <w:r w:rsidR="00214D28" w:rsidRPr="00001403">
        <w:rPr>
          <w:rFonts w:ascii="Arial" w:hAnsi="Arial" w:cs="Arial"/>
          <w:b/>
          <w:sz w:val="24"/>
          <w:szCs w:val="24"/>
        </w:rPr>
        <w:t xml:space="preserve"> agentes públicos</w:t>
      </w:r>
      <w:r w:rsidR="00214D28">
        <w:rPr>
          <w:rFonts w:ascii="Arial" w:hAnsi="Arial" w:cs="Arial"/>
          <w:sz w:val="24"/>
          <w:szCs w:val="24"/>
        </w:rPr>
        <w:t xml:space="preserve"> responsáveis pela </w:t>
      </w:r>
      <w:r w:rsidR="00374C98">
        <w:rPr>
          <w:rFonts w:ascii="Arial" w:hAnsi="Arial" w:cs="Arial"/>
          <w:sz w:val="24"/>
          <w:szCs w:val="24"/>
        </w:rPr>
        <w:t>operacionalização</w:t>
      </w:r>
      <w:r w:rsidR="00214D28">
        <w:rPr>
          <w:rFonts w:ascii="Arial" w:hAnsi="Arial" w:cs="Arial"/>
          <w:sz w:val="24"/>
          <w:szCs w:val="24"/>
        </w:rPr>
        <w:t xml:space="preserve"> e acompanhamento dos requisitos de fruição dos incentivos fiscais, sob pena de responsabilidade a ser apurada pelo MPE/GO e demais órgãos de controle, </w:t>
      </w:r>
      <w:r w:rsidR="00214D28" w:rsidRPr="00001403">
        <w:rPr>
          <w:rFonts w:ascii="Arial" w:hAnsi="Arial" w:cs="Arial"/>
          <w:b/>
          <w:sz w:val="24"/>
          <w:szCs w:val="24"/>
        </w:rPr>
        <w:t>para que</w:t>
      </w:r>
      <w:r w:rsidR="0095633A" w:rsidRPr="006F00E0">
        <w:rPr>
          <w:rFonts w:ascii="Arial" w:hAnsi="Arial" w:cs="Arial"/>
          <w:sz w:val="24"/>
          <w:szCs w:val="24"/>
        </w:rPr>
        <w:t>:</w:t>
      </w:r>
    </w:p>
    <w:p w14:paraId="4A90C7EA" w14:textId="49EF2650" w:rsidR="00957FC3" w:rsidRPr="00957FC3" w:rsidRDefault="00957FC3" w:rsidP="00502615">
      <w:pPr>
        <w:pStyle w:val="PargrafodaLista"/>
        <w:numPr>
          <w:ilvl w:val="0"/>
          <w:numId w:val="28"/>
        </w:numPr>
        <w:spacing w:line="360" w:lineRule="auto"/>
        <w:jc w:val="both"/>
        <w:rPr>
          <w:rFonts w:ascii="Arial" w:hAnsi="Arial" w:cs="Arial"/>
          <w:sz w:val="24"/>
          <w:szCs w:val="24"/>
        </w:rPr>
      </w:pPr>
      <w:r w:rsidRPr="00957FC3">
        <w:rPr>
          <w:rFonts w:ascii="Arial" w:hAnsi="Arial" w:cs="Arial"/>
          <w:b/>
          <w:sz w:val="24"/>
          <w:szCs w:val="24"/>
        </w:rPr>
        <w:t>procedam a amplo levantamento de TODAS as empresas que fruíram incentivos fiscais no Estado de Goiás ou que alienaram os respectivos créditos outorgados a partir de 2014, inclusive</w:t>
      </w:r>
      <w:r w:rsidRPr="00957FC3">
        <w:rPr>
          <w:rFonts w:ascii="Arial" w:hAnsi="Arial" w:cs="Arial"/>
          <w:sz w:val="24"/>
          <w:szCs w:val="24"/>
        </w:rPr>
        <w:t>, a fim de identificar aquelas que tiveram inscrição em dívida ativa estadual no período e:</w:t>
      </w:r>
    </w:p>
    <w:p w14:paraId="41AC5FDF" w14:textId="1F18D4BA" w:rsidR="00EB5A66" w:rsidRPr="001F658D" w:rsidRDefault="0095633A" w:rsidP="0095633A">
      <w:pPr>
        <w:pStyle w:val="PargrafodaLista"/>
        <w:spacing w:line="360" w:lineRule="auto"/>
        <w:ind w:left="1211"/>
        <w:jc w:val="both"/>
        <w:rPr>
          <w:rFonts w:ascii="Arial" w:hAnsi="Arial" w:cs="Arial"/>
          <w:sz w:val="24"/>
          <w:szCs w:val="24"/>
        </w:rPr>
      </w:pPr>
      <w:r>
        <w:rPr>
          <w:rFonts w:ascii="Arial" w:hAnsi="Arial" w:cs="Arial"/>
          <w:sz w:val="24"/>
          <w:szCs w:val="24"/>
          <w:u w:val="single"/>
        </w:rPr>
        <w:t xml:space="preserve">a.1) </w:t>
      </w:r>
      <w:r w:rsidR="00154F74" w:rsidRPr="001F658D">
        <w:rPr>
          <w:rFonts w:ascii="Arial" w:hAnsi="Arial" w:cs="Arial"/>
          <w:sz w:val="24"/>
          <w:szCs w:val="24"/>
          <w:u w:val="single"/>
        </w:rPr>
        <w:t xml:space="preserve">identificado o aproveitamento </w:t>
      </w:r>
      <w:r w:rsidR="00957FC3">
        <w:rPr>
          <w:rFonts w:ascii="Arial" w:hAnsi="Arial" w:cs="Arial"/>
          <w:sz w:val="24"/>
          <w:szCs w:val="24"/>
          <w:u w:val="single"/>
        </w:rPr>
        <w:t>ou</w:t>
      </w:r>
      <w:r w:rsidR="00154F74" w:rsidRPr="001F658D">
        <w:rPr>
          <w:rFonts w:ascii="Arial" w:hAnsi="Arial" w:cs="Arial"/>
          <w:sz w:val="24"/>
          <w:szCs w:val="24"/>
          <w:u w:val="single"/>
        </w:rPr>
        <w:t xml:space="preserve"> </w:t>
      </w:r>
      <w:r w:rsidR="00957FC3">
        <w:rPr>
          <w:rFonts w:ascii="Arial" w:hAnsi="Arial" w:cs="Arial"/>
          <w:sz w:val="24"/>
          <w:szCs w:val="24"/>
          <w:u w:val="single"/>
        </w:rPr>
        <w:t xml:space="preserve">a alienação </w:t>
      </w:r>
      <w:r w:rsidR="00957FC3" w:rsidRPr="001F658D">
        <w:rPr>
          <w:rFonts w:ascii="Arial" w:hAnsi="Arial" w:cs="Arial"/>
          <w:sz w:val="24"/>
          <w:szCs w:val="24"/>
          <w:u w:val="single"/>
        </w:rPr>
        <w:t>irregular</w:t>
      </w:r>
      <w:r w:rsidR="00957FC3">
        <w:rPr>
          <w:rFonts w:ascii="Arial" w:hAnsi="Arial" w:cs="Arial"/>
          <w:sz w:val="24"/>
          <w:szCs w:val="24"/>
          <w:u w:val="single"/>
        </w:rPr>
        <w:t xml:space="preserve"> </w:t>
      </w:r>
      <w:r w:rsidR="00154F74" w:rsidRPr="001F658D">
        <w:rPr>
          <w:rFonts w:ascii="Arial" w:hAnsi="Arial" w:cs="Arial"/>
          <w:sz w:val="24"/>
          <w:szCs w:val="24"/>
          <w:u w:val="single"/>
        </w:rPr>
        <w:t>do benefício, nos termos do § 2º do art. 1º do RCTE/GO</w:t>
      </w:r>
      <w:r w:rsidR="00C64E8C" w:rsidRPr="001F658D">
        <w:rPr>
          <w:rFonts w:ascii="Arial" w:hAnsi="Arial" w:cs="Arial"/>
          <w:sz w:val="24"/>
          <w:szCs w:val="24"/>
        </w:rPr>
        <w:t>,</w:t>
      </w:r>
      <w:r w:rsidR="00FE0591" w:rsidRPr="001F658D">
        <w:rPr>
          <w:rFonts w:ascii="Arial" w:hAnsi="Arial" w:cs="Arial"/>
          <w:sz w:val="24"/>
          <w:szCs w:val="24"/>
        </w:rPr>
        <w:t xml:space="preserve"> </w:t>
      </w:r>
      <w:r w:rsidR="008F18B1">
        <w:rPr>
          <w:rFonts w:ascii="Arial" w:hAnsi="Arial" w:cs="Arial"/>
          <w:sz w:val="24"/>
          <w:szCs w:val="24"/>
        </w:rPr>
        <w:t>sejam adotadas as</w:t>
      </w:r>
      <w:r w:rsidR="00FE0591" w:rsidRPr="001F658D">
        <w:rPr>
          <w:rFonts w:ascii="Arial" w:hAnsi="Arial" w:cs="Arial"/>
          <w:sz w:val="24"/>
          <w:szCs w:val="24"/>
        </w:rPr>
        <w:t xml:space="preserve"> providências</w:t>
      </w:r>
      <w:r w:rsidR="001D6A35">
        <w:rPr>
          <w:rFonts w:ascii="Arial" w:hAnsi="Arial" w:cs="Arial"/>
          <w:sz w:val="24"/>
          <w:szCs w:val="24"/>
        </w:rPr>
        <w:t xml:space="preserve"> </w:t>
      </w:r>
      <w:r w:rsidR="00FE0591" w:rsidRPr="001F658D">
        <w:rPr>
          <w:rFonts w:ascii="Arial" w:hAnsi="Arial" w:cs="Arial"/>
          <w:sz w:val="24"/>
          <w:szCs w:val="24"/>
        </w:rPr>
        <w:t>que o caso requerer (</w:t>
      </w:r>
      <w:r w:rsidR="00903544">
        <w:rPr>
          <w:rFonts w:ascii="Arial" w:hAnsi="Arial" w:cs="Arial"/>
          <w:sz w:val="24"/>
          <w:szCs w:val="24"/>
        </w:rPr>
        <w:t xml:space="preserve">autuação fiscal; suspensão do benefício e do contrato com a GOIÁSFOMENTO, no caso dos Programas </w:t>
      </w:r>
      <w:r w:rsidR="00B65FB5">
        <w:rPr>
          <w:rFonts w:ascii="Arial" w:hAnsi="Arial" w:cs="Arial"/>
          <w:sz w:val="24"/>
          <w:szCs w:val="24"/>
        </w:rPr>
        <w:t>FOMENTAR e PRODUZIR</w:t>
      </w:r>
      <w:r w:rsidR="00903544">
        <w:rPr>
          <w:rFonts w:ascii="Arial" w:hAnsi="Arial" w:cs="Arial"/>
          <w:sz w:val="24"/>
          <w:szCs w:val="24"/>
        </w:rPr>
        <w:t>; revogação de TARE; inscrição em dívida ativa relativamente ao benefício aproveitado irregularmente; protesto da CDA; ajuizamento de execução fiscal e outras ações judiciais cabíveis etc</w:t>
      </w:r>
      <w:r w:rsidR="00336635">
        <w:rPr>
          <w:rFonts w:ascii="Arial" w:hAnsi="Arial" w:cs="Arial"/>
          <w:sz w:val="24"/>
          <w:szCs w:val="24"/>
        </w:rPr>
        <w:t>);</w:t>
      </w:r>
    </w:p>
    <w:p w14:paraId="01F2F70A" w14:textId="2FBE2182" w:rsidR="00F361D8" w:rsidRDefault="0095633A" w:rsidP="0095633A">
      <w:pPr>
        <w:pStyle w:val="PargrafodaLista"/>
        <w:spacing w:line="360" w:lineRule="auto"/>
        <w:ind w:left="1211"/>
        <w:jc w:val="both"/>
        <w:rPr>
          <w:rFonts w:ascii="Arial" w:hAnsi="Arial" w:cs="Arial"/>
          <w:sz w:val="24"/>
          <w:szCs w:val="24"/>
        </w:rPr>
      </w:pPr>
      <w:r>
        <w:rPr>
          <w:rFonts w:ascii="Arial" w:hAnsi="Arial" w:cs="Arial"/>
          <w:sz w:val="24"/>
          <w:szCs w:val="24"/>
          <w:u w:val="single"/>
        </w:rPr>
        <w:t xml:space="preserve">a.2) </w:t>
      </w:r>
      <w:r w:rsidR="00B608F6">
        <w:rPr>
          <w:rFonts w:ascii="Arial" w:hAnsi="Arial" w:cs="Arial"/>
          <w:sz w:val="24"/>
          <w:szCs w:val="24"/>
          <w:u w:val="single"/>
        </w:rPr>
        <w:t>as providências relacionadas no item “a.1”, retro</w:t>
      </w:r>
      <w:r w:rsidR="007B2442">
        <w:rPr>
          <w:rFonts w:ascii="Arial" w:hAnsi="Arial" w:cs="Arial"/>
          <w:sz w:val="24"/>
          <w:szCs w:val="24"/>
        </w:rPr>
        <w:t>,</w:t>
      </w:r>
      <w:r>
        <w:rPr>
          <w:rFonts w:ascii="Arial" w:hAnsi="Arial" w:cs="Arial"/>
          <w:sz w:val="24"/>
          <w:szCs w:val="24"/>
        </w:rPr>
        <w:t xml:space="preserve"> </w:t>
      </w:r>
      <w:r w:rsidR="00B608F6">
        <w:rPr>
          <w:rFonts w:ascii="Arial" w:hAnsi="Arial" w:cs="Arial"/>
          <w:sz w:val="24"/>
          <w:szCs w:val="24"/>
        </w:rPr>
        <w:t>sejam executadas primeiramente em relação às empresas com grande indício de irregularidade já apontad</w:t>
      </w:r>
      <w:r w:rsidR="00B65FB5">
        <w:rPr>
          <w:rFonts w:ascii="Arial" w:hAnsi="Arial" w:cs="Arial"/>
          <w:sz w:val="24"/>
          <w:szCs w:val="24"/>
        </w:rPr>
        <w:t>as</w:t>
      </w:r>
      <w:r w:rsidR="00B608F6">
        <w:rPr>
          <w:rFonts w:ascii="Arial" w:hAnsi="Arial" w:cs="Arial"/>
          <w:sz w:val="24"/>
          <w:szCs w:val="24"/>
        </w:rPr>
        <w:t xml:space="preserve"> neste relatório</w:t>
      </w:r>
      <w:r w:rsidR="00A513DF">
        <w:rPr>
          <w:rFonts w:ascii="Arial" w:hAnsi="Arial" w:cs="Arial"/>
          <w:sz w:val="24"/>
          <w:szCs w:val="24"/>
        </w:rPr>
        <w:t>;</w:t>
      </w:r>
    </w:p>
    <w:p w14:paraId="557E14A7" w14:textId="697EB2AB" w:rsidR="00336635" w:rsidRDefault="00336635" w:rsidP="0095633A">
      <w:pPr>
        <w:pStyle w:val="PargrafodaLista"/>
        <w:spacing w:line="360" w:lineRule="auto"/>
        <w:ind w:left="1211"/>
        <w:jc w:val="both"/>
        <w:rPr>
          <w:rFonts w:ascii="Arial" w:hAnsi="Arial" w:cs="Arial"/>
          <w:sz w:val="24"/>
          <w:szCs w:val="24"/>
        </w:rPr>
      </w:pPr>
      <w:r>
        <w:rPr>
          <w:rFonts w:ascii="Arial" w:hAnsi="Arial" w:cs="Arial"/>
          <w:sz w:val="24"/>
          <w:szCs w:val="24"/>
          <w:u w:val="single"/>
        </w:rPr>
        <w:t>a.3) encaminhe ao MPE/GO</w:t>
      </w:r>
      <w:r w:rsidR="00F85A82">
        <w:rPr>
          <w:rFonts w:ascii="Arial" w:hAnsi="Arial" w:cs="Arial"/>
          <w:sz w:val="24"/>
          <w:szCs w:val="24"/>
          <w:u w:val="single"/>
        </w:rPr>
        <w:t xml:space="preserve"> e à CGE/GO</w:t>
      </w:r>
      <w:r>
        <w:rPr>
          <w:rFonts w:ascii="Arial" w:hAnsi="Arial" w:cs="Arial"/>
          <w:sz w:val="24"/>
          <w:szCs w:val="24"/>
          <w:u w:val="single"/>
        </w:rPr>
        <w:t xml:space="preserve"> relatório</w:t>
      </w:r>
      <w:r>
        <w:rPr>
          <w:rFonts w:ascii="Arial" w:hAnsi="Arial" w:cs="Arial"/>
          <w:sz w:val="24"/>
          <w:szCs w:val="24"/>
        </w:rPr>
        <w:t xml:space="preserve"> sobre as providências adotadas em relação ao recomendado nos itens “a.1” e “a.2”, supra;</w:t>
      </w:r>
    </w:p>
    <w:p w14:paraId="5370CB72" w14:textId="09D224A8" w:rsidR="00E70D0F" w:rsidRDefault="00E70D0F" w:rsidP="00502615">
      <w:pPr>
        <w:pStyle w:val="PargrafodaLista"/>
        <w:numPr>
          <w:ilvl w:val="0"/>
          <w:numId w:val="28"/>
        </w:numPr>
        <w:spacing w:line="360" w:lineRule="auto"/>
        <w:jc w:val="both"/>
        <w:rPr>
          <w:rFonts w:ascii="Arial" w:hAnsi="Arial" w:cs="Arial"/>
          <w:sz w:val="24"/>
          <w:szCs w:val="24"/>
        </w:rPr>
      </w:pPr>
      <w:r>
        <w:rPr>
          <w:rFonts w:ascii="Arial" w:hAnsi="Arial" w:cs="Arial"/>
          <w:b/>
          <w:sz w:val="24"/>
          <w:szCs w:val="24"/>
        </w:rPr>
        <w:lastRenderedPageBreak/>
        <w:t xml:space="preserve">doravante, </w:t>
      </w:r>
      <w:r w:rsidRPr="0095633A">
        <w:rPr>
          <w:rFonts w:ascii="Arial" w:hAnsi="Arial" w:cs="Arial"/>
          <w:b/>
          <w:sz w:val="24"/>
          <w:szCs w:val="24"/>
        </w:rPr>
        <w:t xml:space="preserve">passem a adotar rotinas </w:t>
      </w:r>
      <w:r w:rsidR="00EE09FF">
        <w:rPr>
          <w:rFonts w:ascii="Arial" w:hAnsi="Arial" w:cs="Arial"/>
          <w:b/>
          <w:sz w:val="24"/>
          <w:szCs w:val="24"/>
        </w:rPr>
        <w:t>mensais</w:t>
      </w:r>
      <w:r w:rsidRPr="0095633A">
        <w:rPr>
          <w:rFonts w:ascii="Arial" w:hAnsi="Arial" w:cs="Arial"/>
          <w:b/>
          <w:sz w:val="24"/>
          <w:szCs w:val="24"/>
        </w:rPr>
        <w:t xml:space="preserve"> de fiscalização das empresas beneficiárias de incentivos fiscais</w:t>
      </w:r>
      <w:r w:rsidRPr="00E70D0F">
        <w:rPr>
          <w:rFonts w:ascii="Arial" w:hAnsi="Arial" w:cs="Arial"/>
          <w:sz w:val="24"/>
          <w:szCs w:val="24"/>
        </w:rPr>
        <w:t>, no que tange ao requisito de regularidade fiscal</w:t>
      </w:r>
      <w:r>
        <w:rPr>
          <w:rFonts w:ascii="Arial" w:hAnsi="Arial" w:cs="Arial"/>
          <w:sz w:val="24"/>
          <w:szCs w:val="24"/>
        </w:rPr>
        <w:t xml:space="preserve">, a fim de colocar em prática as recomendações indicadas nos subitens anteriores, </w:t>
      </w:r>
      <w:r w:rsidR="00BE07B1">
        <w:rPr>
          <w:rFonts w:ascii="Arial" w:hAnsi="Arial" w:cs="Arial"/>
          <w:sz w:val="24"/>
          <w:szCs w:val="24"/>
        </w:rPr>
        <w:t>seguido do</w:t>
      </w:r>
      <w:r>
        <w:rPr>
          <w:rFonts w:ascii="Arial" w:hAnsi="Arial" w:cs="Arial"/>
          <w:sz w:val="24"/>
          <w:szCs w:val="24"/>
        </w:rPr>
        <w:t xml:space="preserve"> encaminh</w:t>
      </w:r>
      <w:r w:rsidR="00BE07B1">
        <w:rPr>
          <w:rFonts w:ascii="Arial" w:hAnsi="Arial" w:cs="Arial"/>
          <w:sz w:val="24"/>
          <w:szCs w:val="24"/>
        </w:rPr>
        <w:t>amento de</w:t>
      </w:r>
      <w:r>
        <w:rPr>
          <w:rFonts w:ascii="Arial" w:hAnsi="Arial" w:cs="Arial"/>
          <w:sz w:val="24"/>
          <w:szCs w:val="24"/>
        </w:rPr>
        <w:t xml:space="preserve"> relatório anual com os números registrado</w:t>
      </w:r>
      <w:r w:rsidR="00BE07B1">
        <w:rPr>
          <w:rFonts w:ascii="Arial" w:hAnsi="Arial" w:cs="Arial"/>
          <w:sz w:val="24"/>
          <w:szCs w:val="24"/>
        </w:rPr>
        <w:t>s</w:t>
      </w:r>
      <w:r>
        <w:rPr>
          <w:rFonts w:ascii="Arial" w:hAnsi="Arial" w:cs="Arial"/>
          <w:sz w:val="24"/>
          <w:szCs w:val="24"/>
        </w:rPr>
        <w:t xml:space="preserve"> no exercício anterior à CGE/GO;</w:t>
      </w:r>
    </w:p>
    <w:p w14:paraId="491DC9F4" w14:textId="0B06183A" w:rsidR="001B356D" w:rsidRDefault="00E70D0F" w:rsidP="00502615">
      <w:pPr>
        <w:pStyle w:val="PargrafodaLista"/>
        <w:numPr>
          <w:ilvl w:val="0"/>
          <w:numId w:val="28"/>
        </w:numPr>
        <w:spacing w:line="360" w:lineRule="auto"/>
        <w:jc w:val="both"/>
        <w:rPr>
          <w:rFonts w:ascii="Arial" w:hAnsi="Arial" w:cs="Arial"/>
          <w:sz w:val="24"/>
          <w:szCs w:val="24"/>
        </w:rPr>
      </w:pPr>
      <w:r w:rsidRPr="00E70D0F">
        <w:rPr>
          <w:rFonts w:ascii="Arial" w:hAnsi="Arial" w:cs="Arial"/>
          <w:b/>
          <w:sz w:val="24"/>
          <w:szCs w:val="24"/>
        </w:rPr>
        <w:t>implante</w:t>
      </w:r>
      <w:r w:rsidR="00633438">
        <w:rPr>
          <w:rFonts w:ascii="Arial" w:hAnsi="Arial" w:cs="Arial"/>
          <w:b/>
          <w:sz w:val="24"/>
          <w:szCs w:val="24"/>
        </w:rPr>
        <w:t>m</w:t>
      </w:r>
      <w:r w:rsidR="0082115F">
        <w:rPr>
          <w:rFonts w:ascii="Arial" w:hAnsi="Arial" w:cs="Arial"/>
          <w:b/>
          <w:sz w:val="24"/>
          <w:szCs w:val="24"/>
        </w:rPr>
        <w:t xml:space="preserve"> neste exercício de 2020</w:t>
      </w:r>
      <w:r w:rsidRPr="00E70D0F">
        <w:rPr>
          <w:rFonts w:ascii="Arial" w:hAnsi="Arial" w:cs="Arial"/>
          <w:b/>
          <w:sz w:val="24"/>
          <w:szCs w:val="24"/>
        </w:rPr>
        <w:t xml:space="preserve"> </w:t>
      </w:r>
      <w:r w:rsidR="0095633A" w:rsidRPr="00E70D0F">
        <w:rPr>
          <w:rFonts w:ascii="Arial" w:hAnsi="Arial" w:cs="Arial"/>
          <w:b/>
          <w:sz w:val="24"/>
          <w:szCs w:val="24"/>
        </w:rPr>
        <w:t>sistema</w:t>
      </w:r>
      <w:r>
        <w:rPr>
          <w:rFonts w:ascii="Arial" w:hAnsi="Arial" w:cs="Arial"/>
          <w:b/>
          <w:sz w:val="24"/>
          <w:szCs w:val="24"/>
        </w:rPr>
        <w:t xml:space="preserve"> </w:t>
      </w:r>
      <w:r w:rsidR="0082115F">
        <w:rPr>
          <w:rFonts w:ascii="Arial" w:hAnsi="Arial" w:cs="Arial"/>
          <w:b/>
          <w:sz w:val="24"/>
          <w:szCs w:val="24"/>
        </w:rPr>
        <w:t xml:space="preserve">eletrônico </w:t>
      </w:r>
      <w:r w:rsidRPr="00E70D0F">
        <w:rPr>
          <w:rFonts w:ascii="Arial" w:hAnsi="Arial" w:cs="Arial"/>
          <w:b/>
          <w:sz w:val="24"/>
          <w:szCs w:val="24"/>
        </w:rPr>
        <w:t xml:space="preserve">que permita o </w:t>
      </w:r>
      <w:r w:rsidR="001A7DBD">
        <w:rPr>
          <w:rFonts w:ascii="Arial" w:hAnsi="Arial" w:cs="Arial"/>
          <w:b/>
          <w:sz w:val="24"/>
          <w:szCs w:val="24"/>
        </w:rPr>
        <w:t xml:space="preserve">acesso instantâneo </w:t>
      </w:r>
      <w:r w:rsidR="00633438">
        <w:rPr>
          <w:rFonts w:ascii="Arial" w:hAnsi="Arial" w:cs="Arial"/>
          <w:sz w:val="24"/>
          <w:szCs w:val="24"/>
        </w:rPr>
        <w:t>às</w:t>
      </w:r>
      <w:r>
        <w:rPr>
          <w:rFonts w:ascii="Arial" w:hAnsi="Arial" w:cs="Arial"/>
          <w:sz w:val="24"/>
          <w:szCs w:val="24"/>
        </w:rPr>
        <w:t xml:space="preserve"> pessoas jurídicas com</w:t>
      </w:r>
      <w:r w:rsidR="0095633A">
        <w:rPr>
          <w:rFonts w:ascii="Arial" w:hAnsi="Arial" w:cs="Arial"/>
          <w:sz w:val="24"/>
          <w:szCs w:val="24"/>
        </w:rPr>
        <w:t xml:space="preserve"> </w:t>
      </w:r>
      <w:r>
        <w:rPr>
          <w:rFonts w:ascii="Arial" w:hAnsi="Arial" w:cs="Arial"/>
          <w:sz w:val="24"/>
          <w:szCs w:val="24"/>
        </w:rPr>
        <w:t xml:space="preserve">inscrição </w:t>
      </w:r>
      <w:r w:rsidR="0095633A">
        <w:rPr>
          <w:rFonts w:ascii="Arial" w:hAnsi="Arial" w:cs="Arial"/>
          <w:sz w:val="24"/>
          <w:szCs w:val="24"/>
        </w:rPr>
        <w:t>em dívida ativa</w:t>
      </w:r>
      <w:r w:rsidR="00633438">
        <w:rPr>
          <w:rFonts w:ascii="Arial" w:hAnsi="Arial" w:cs="Arial"/>
          <w:sz w:val="24"/>
          <w:szCs w:val="24"/>
        </w:rPr>
        <w:t>, com data da inscrição, valores e data de eventual regularização, pelas pastas envolvidas na operacionalização dos incentivos fiscais</w:t>
      </w:r>
      <w:r w:rsidR="0095633A">
        <w:rPr>
          <w:rFonts w:ascii="Arial" w:hAnsi="Arial" w:cs="Arial"/>
          <w:sz w:val="24"/>
          <w:szCs w:val="24"/>
        </w:rPr>
        <w:t xml:space="preserve"> para as providências pertinentes</w:t>
      </w:r>
      <w:r w:rsidR="00B82ACA">
        <w:rPr>
          <w:rFonts w:ascii="Arial" w:hAnsi="Arial" w:cs="Arial"/>
          <w:sz w:val="24"/>
          <w:szCs w:val="24"/>
        </w:rPr>
        <w:t>, nos termos do item “a.1”, supra</w:t>
      </w:r>
      <w:r w:rsidR="00633438">
        <w:rPr>
          <w:rFonts w:ascii="Arial" w:hAnsi="Arial" w:cs="Arial"/>
          <w:sz w:val="24"/>
          <w:szCs w:val="24"/>
        </w:rPr>
        <w:t>;</w:t>
      </w:r>
    </w:p>
    <w:p w14:paraId="4024EBE2" w14:textId="52932262" w:rsidR="00AC36AE" w:rsidRDefault="004F356B" w:rsidP="00502615">
      <w:pPr>
        <w:pStyle w:val="PargrafodaLista"/>
        <w:numPr>
          <w:ilvl w:val="0"/>
          <w:numId w:val="28"/>
        </w:numPr>
        <w:spacing w:line="360" w:lineRule="auto"/>
        <w:jc w:val="both"/>
        <w:rPr>
          <w:rFonts w:ascii="Arial" w:hAnsi="Arial" w:cs="Arial"/>
          <w:sz w:val="24"/>
          <w:szCs w:val="24"/>
        </w:rPr>
      </w:pPr>
      <w:r w:rsidRPr="00633438">
        <w:rPr>
          <w:rFonts w:ascii="Arial" w:hAnsi="Arial" w:cs="Arial"/>
          <w:b/>
          <w:sz w:val="24"/>
          <w:szCs w:val="24"/>
        </w:rPr>
        <w:t xml:space="preserve">alterar </w:t>
      </w:r>
      <w:r>
        <w:rPr>
          <w:rFonts w:ascii="Arial" w:hAnsi="Arial" w:cs="Arial"/>
          <w:b/>
          <w:sz w:val="24"/>
          <w:szCs w:val="24"/>
        </w:rPr>
        <w:t xml:space="preserve">a </w:t>
      </w:r>
      <w:r w:rsidRPr="00633438">
        <w:rPr>
          <w:rFonts w:ascii="Arial" w:hAnsi="Arial" w:cs="Arial"/>
          <w:b/>
          <w:sz w:val="24"/>
          <w:szCs w:val="24"/>
        </w:rPr>
        <w:t xml:space="preserve">legislação </w:t>
      </w:r>
      <w:r>
        <w:rPr>
          <w:rFonts w:ascii="Arial" w:hAnsi="Arial" w:cs="Arial"/>
          <w:b/>
          <w:sz w:val="24"/>
          <w:szCs w:val="24"/>
        </w:rPr>
        <w:t xml:space="preserve">estadual </w:t>
      </w:r>
      <w:r w:rsidRPr="00633438">
        <w:rPr>
          <w:rFonts w:ascii="Arial" w:hAnsi="Arial" w:cs="Arial"/>
          <w:b/>
          <w:sz w:val="24"/>
          <w:szCs w:val="24"/>
        </w:rPr>
        <w:t xml:space="preserve">para impor multa de 50% (cinquenta por cento) ao sujeito passivo que aproveitar </w:t>
      </w:r>
      <w:r>
        <w:rPr>
          <w:rFonts w:ascii="Arial" w:hAnsi="Arial" w:cs="Arial"/>
          <w:b/>
          <w:sz w:val="24"/>
          <w:szCs w:val="24"/>
        </w:rPr>
        <w:t xml:space="preserve">ou alienar </w:t>
      </w:r>
      <w:r w:rsidR="00AC36AE" w:rsidRPr="00633438">
        <w:rPr>
          <w:rFonts w:ascii="Arial" w:hAnsi="Arial" w:cs="Arial"/>
          <w:b/>
          <w:sz w:val="24"/>
          <w:szCs w:val="24"/>
        </w:rPr>
        <w:t>irregularmente</w:t>
      </w:r>
      <w:r w:rsidR="00633438">
        <w:rPr>
          <w:rFonts w:ascii="Arial" w:hAnsi="Arial" w:cs="Arial"/>
          <w:b/>
          <w:sz w:val="24"/>
          <w:szCs w:val="24"/>
        </w:rPr>
        <w:t xml:space="preserve"> </w:t>
      </w:r>
      <w:r w:rsidR="006F567C">
        <w:rPr>
          <w:rFonts w:ascii="Arial" w:hAnsi="Arial" w:cs="Arial"/>
          <w:b/>
          <w:sz w:val="24"/>
          <w:szCs w:val="24"/>
        </w:rPr>
        <w:t>incentivos fiscais sem</w:t>
      </w:r>
      <w:r w:rsidR="00633438">
        <w:rPr>
          <w:rFonts w:ascii="Arial" w:hAnsi="Arial" w:cs="Arial"/>
          <w:b/>
          <w:sz w:val="24"/>
          <w:szCs w:val="24"/>
        </w:rPr>
        <w:t xml:space="preserve"> regularidade fiscal</w:t>
      </w:r>
      <w:r w:rsidR="00AC36AE" w:rsidRPr="00633438">
        <w:rPr>
          <w:rFonts w:ascii="Arial" w:hAnsi="Arial" w:cs="Arial"/>
          <w:sz w:val="24"/>
          <w:szCs w:val="24"/>
        </w:rPr>
        <w:t>, aplicado sobre o valor total desses incentivos fruídos enquanto o sujeito passivo permaneceu inscrito em dívida ativa, bem como a responsabilização solidária da pessoa física de todos os administradore</w:t>
      </w:r>
      <w:r w:rsidR="009F13A3">
        <w:rPr>
          <w:rFonts w:ascii="Arial" w:hAnsi="Arial" w:cs="Arial"/>
          <w:sz w:val="24"/>
          <w:szCs w:val="24"/>
        </w:rPr>
        <w:t>s constantes do contrato social.</w:t>
      </w:r>
    </w:p>
    <w:p w14:paraId="207F2300" w14:textId="77777777" w:rsidR="00AC36AE" w:rsidRDefault="00AC36AE" w:rsidP="008B12BD">
      <w:pPr>
        <w:spacing w:line="360" w:lineRule="auto"/>
        <w:ind w:left="851"/>
        <w:jc w:val="both"/>
        <w:rPr>
          <w:rFonts w:ascii="Arial" w:hAnsi="Arial" w:cs="Arial"/>
          <w:b/>
          <w:sz w:val="24"/>
          <w:szCs w:val="24"/>
        </w:rPr>
      </w:pPr>
    </w:p>
    <w:p w14:paraId="6300CE51" w14:textId="5496507C" w:rsidR="00574522" w:rsidRDefault="00574522" w:rsidP="00574522">
      <w:pPr>
        <w:spacing w:line="360" w:lineRule="auto"/>
        <w:ind w:left="851"/>
        <w:jc w:val="both"/>
        <w:rPr>
          <w:rFonts w:ascii="Arial" w:hAnsi="Arial" w:cs="Arial"/>
          <w:b/>
          <w:sz w:val="24"/>
          <w:szCs w:val="24"/>
        </w:rPr>
      </w:pPr>
      <w:r>
        <w:rPr>
          <w:rFonts w:ascii="Arial" w:hAnsi="Arial" w:cs="Arial"/>
          <w:b/>
          <w:sz w:val="24"/>
          <w:szCs w:val="24"/>
        </w:rPr>
        <w:t xml:space="preserve">8.2 – REGULARIDADE </w:t>
      </w:r>
      <w:r w:rsidR="00A33386">
        <w:rPr>
          <w:rFonts w:ascii="Arial" w:hAnsi="Arial" w:cs="Arial"/>
          <w:b/>
          <w:sz w:val="24"/>
          <w:szCs w:val="24"/>
        </w:rPr>
        <w:t>PERANTE O SISTEMA DE SEGURIDADE SOCIAL</w:t>
      </w:r>
      <w:r>
        <w:rPr>
          <w:rFonts w:ascii="Arial" w:hAnsi="Arial" w:cs="Arial"/>
          <w:b/>
          <w:sz w:val="24"/>
          <w:szCs w:val="24"/>
        </w:rPr>
        <w:t xml:space="preserve"> </w:t>
      </w:r>
    </w:p>
    <w:p w14:paraId="5FE7372D" w14:textId="76348FF7" w:rsidR="00574522" w:rsidRDefault="00574522" w:rsidP="008B12BD">
      <w:pPr>
        <w:spacing w:line="360" w:lineRule="auto"/>
        <w:ind w:left="851"/>
        <w:jc w:val="both"/>
        <w:rPr>
          <w:rFonts w:ascii="Arial" w:hAnsi="Arial" w:cs="Arial"/>
          <w:b/>
          <w:sz w:val="24"/>
          <w:szCs w:val="24"/>
        </w:rPr>
      </w:pPr>
    </w:p>
    <w:p w14:paraId="3DE26D1C" w14:textId="717BD8B8" w:rsidR="00D34848" w:rsidRDefault="00D34848" w:rsidP="00D5526C">
      <w:pPr>
        <w:spacing w:line="360" w:lineRule="auto"/>
        <w:ind w:firstLine="851"/>
        <w:jc w:val="both"/>
        <w:rPr>
          <w:rFonts w:ascii="Arial" w:hAnsi="Arial" w:cs="Arial"/>
          <w:sz w:val="24"/>
          <w:szCs w:val="24"/>
        </w:rPr>
      </w:pPr>
      <w:r w:rsidRPr="00D34848">
        <w:rPr>
          <w:rFonts w:ascii="Arial" w:hAnsi="Arial" w:cs="Arial"/>
          <w:b/>
          <w:sz w:val="24"/>
          <w:szCs w:val="24"/>
        </w:rPr>
        <w:t>8.2.1.</w:t>
      </w:r>
      <w:r>
        <w:rPr>
          <w:rFonts w:ascii="Arial" w:hAnsi="Arial" w:cs="Arial"/>
          <w:sz w:val="24"/>
          <w:szCs w:val="24"/>
        </w:rPr>
        <w:t xml:space="preserve"> </w:t>
      </w:r>
      <w:r w:rsidR="00A33386">
        <w:rPr>
          <w:rFonts w:ascii="Arial" w:hAnsi="Arial" w:cs="Arial"/>
          <w:sz w:val="24"/>
          <w:szCs w:val="24"/>
        </w:rPr>
        <w:t xml:space="preserve">Para bem compreender este tópico, primeiramente se faz necessário </w:t>
      </w:r>
      <w:r w:rsidR="006D3DFC">
        <w:rPr>
          <w:rFonts w:ascii="Arial" w:hAnsi="Arial" w:cs="Arial"/>
          <w:sz w:val="24"/>
          <w:szCs w:val="24"/>
        </w:rPr>
        <w:t>entender</w:t>
      </w:r>
      <w:r w:rsidR="00A33386">
        <w:rPr>
          <w:rFonts w:ascii="Arial" w:hAnsi="Arial" w:cs="Arial"/>
          <w:sz w:val="24"/>
          <w:szCs w:val="24"/>
        </w:rPr>
        <w:t xml:space="preserve"> a categoria</w:t>
      </w:r>
      <w:r w:rsidR="00637B84">
        <w:rPr>
          <w:rFonts w:ascii="Arial" w:hAnsi="Arial" w:cs="Arial"/>
          <w:sz w:val="24"/>
          <w:szCs w:val="24"/>
        </w:rPr>
        <w:t xml:space="preserve"> de </w:t>
      </w:r>
      <w:r w:rsidR="00637B84" w:rsidRPr="00637B84">
        <w:rPr>
          <w:rFonts w:ascii="Arial" w:hAnsi="Arial" w:cs="Arial"/>
          <w:b/>
          <w:sz w:val="24"/>
          <w:szCs w:val="24"/>
          <w:u w:val="single"/>
        </w:rPr>
        <w:t>“seguridade social”</w:t>
      </w:r>
      <w:r w:rsidR="00637B84">
        <w:rPr>
          <w:rFonts w:ascii="Arial" w:hAnsi="Arial" w:cs="Arial"/>
          <w:sz w:val="24"/>
          <w:szCs w:val="24"/>
        </w:rPr>
        <w:t>,</w:t>
      </w:r>
      <w:r w:rsidR="006D3DFC">
        <w:rPr>
          <w:rFonts w:ascii="Arial" w:hAnsi="Arial" w:cs="Arial"/>
          <w:sz w:val="24"/>
          <w:szCs w:val="24"/>
        </w:rPr>
        <w:t xml:space="preserve"> a qual, segundo o </w:t>
      </w:r>
      <w:r w:rsidR="006D3DFC" w:rsidRPr="005A6D4A">
        <w:rPr>
          <w:rFonts w:ascii="Arial" w:hAnsi="Arial" w:cs="Arial"/>
          <w:b/>
          <w:sz w:val="24"/>
          <w:szCs w:val="24"/>
        </w:rPr>
        <w:t xml:space="preserve">art. </w:t>
      </w:r>
      <w:r w:rsidR="00A33386" w:rsidRPr="005A6D4A">
        <w:rPr>
          <w:rFonts w:ascii="Arial" w:hAnsi="Arial" w:cs="Arial"/>
          <w:b/>
          <w:sz w:val="24"/>
          <w:szCs w:val="24"/>
        </w:rPr>
        <w:t>194</w:t>
      </w:r>
      <w:r w:rsidR="005A6D4A">
        <w:rPr>
          <w:rFonts w:ascii="Arial" w:hAnsi="Arial" w:cs="Arial"/>
          <w:b/>
          <w:sz w:val="24"/>
          <w:szCs w:val="24"/>
        </w:rPr>
        <w:t xml:space="preserve">, </w:t>
      </w:r>
      <w:r w:rsidR="005A6D4A" w:rsidRPr="005A6D4A">
        <w:rPr>
          <w:rFonts w:ascii="Arial" w:hAnsi="Arial" w:cs="Arial"/>
          <w:b/>
          <w:i/>
          <w:sz w:val="24"/>
          <w:szCs w:val="24"/>
        </w:rPr>
        <w:t>caput</w:t>
      </w:r>
      <w:r w:rsidR="005A6D4A">
        <w:rPr>
          <w:rFonts w:ascii="Arial" w:hAnsi="Arial" w:cs="Arial"/>
          <w:b/>
          <w:sz w:val="24"/>
          <w:szCs w:val="24"/>
        </w:rPr>
        <w:t>,</w:t>
      </w:r>
      <w:r w:rsidR="00A33386" w:rsidRPr="005A6D4A">
        <w:rPr>
          <w:rFonts w:ascii="Arial" w:hAnsi="Arial" w:cs="Arial"/>
          <w:b/>
          <w:sz w:val="24"/>
          <w:szCs w:val="24"/>
        </w:rPr>
        <w:t xml:space="preserve"> da CRFB</w:t>
      </w:r>
      <w:r w:rsidR="00A33386">
        <w:rPr>
          <w:rFonts w:ascii="Arial" w:hAnsi="Arial" w:cs="Arial"/>
          <w:sz w:val="24"/>
          <w:szCs w:val="24"/>
        </w:rPr>
        <w:t>, “</w:t>
      </w:r>
      <w:r w:rsidRPr="00D34848">
        <w:rPr>
          <w:rFonts w:ascii="Arial" w:hAnsi="Arial" w:cs="Arial"/>
          <w:sz w:val="24"/>
          <w:szCs w:val="24"/>
        </w:rPr>
        <w:t>compreende um conjunto integrado de ações de iniciativa dos Poderes Públicos e da sociedade, destinadas a assegurar os direitos relativos à saúde, à previdência e à assistência social</w:t>
      </w:r>
      <w:r w:rsidR="006D3DFC">
        <w:rPr>
          <w:rFonts w:ascii="Arial" w:hAnsi="Arial" w:cs="Arial"/>
          <w:sz w:val="24"/>
          <w:szCs w:val="24"/>
        </w:rPr>
        <w:t>”</w:t>
      </w:r>
      <w:r w:rsidRPr="00D34848">
        <w:rPr>
          <w:rFonts w:ascii="Arial" w:hAnsi="Arial" w:cs="Arial"/>
          <w:sz w:val="24"/>
          <w:szCs w:val="24"/>
        </w:rPr>
        <w:t>.</w:t>
      </w:r>
      <w:r w:rsidR="006D3DFC">
        <w:rPr>
          <w:rFonts w:ascii="Arial" w:hAnsi="Arial" w:cs="Arial"/>
          <w:sz w:val="24"/>
          <w:szCs w:val="24"/>
        </w:rPr>
        <w:t xml:space="preserve"> Trata-se, pois, de </w:t>
      </w:r>
      <w:r w:rsidR="006D3DFC" w:rsidRPr="006D3DFC">
        <w:rPr>
          <w:rFonts w:ascii="Arial" w:hAnsi="Arial" w:cs="Arial"/>
          <w:b/>
          <w:sz w:val="24"/>
          <w:szCs w:val="24"/>
        </w:rPr>
        <w:t>categoria que envolve um plexo de direitos</w:t>
      </w:r>
      <w:r w:rsidR="006D3DFC">
        <w:rPr>
          <w:rFonts w:ascii="Arial" w:hAnsi="Arial" w:cs="Arial"/>
          <w:sz w:val="24"/>
          <w:szCs w:val="24"/>
        </w:rPr>
        <w:t xml:space="preserve">, relacionados a prestações positivas do Estado naquelas </w:t>
      </w:r>
      <w:r w:rsidR="006D3DFC" w:rsidRPr="006D3DFC">
        <w:rPr>
          <w:rFonts w:ascii="Arial" w:hAnsi="Arial" w:cs="Arial"/>
          <w:b/>
          <w:sz w:val="24"/>
          <w:szCs w:val="24"/>
        </w:rPr>
        <w:t>três áreas considerada sensíveis</w:t>
      </w:r>
      <w:r w:rsidR="006D3DFC">
        <w:rPr>
          <w:rFonts w:ascii="Arial" w:hAnsi="Arial" w:cs="Arial"/>
          <w:sz w:val="24"/>
          <w:szCs w:val="24"/>
        </w:rPr>
        <w:t xml:space="preserve">, a saber, </w:t>
      </w:r>
      <w:r w:rsidR="006D3DFC" w:rsidRPr="006D3DFC">
        <w:rPr>
          <w:rFonts w:ascii="Arial" w:hAnsi="Arial" w:cs="Arial"/>
          <w:sz w:val="24"/>
          <w:szCs w:val="24"/>
          <w:u w:val="single"/>
        </w:rPr>
        <w:t>saúde</w:t>
      </w:r>
      <w:r w:rsidR="006D3DFC" w:rsidRPr="006D3DFC">
        <w:rPr>
          <w:rFonts w:ascii="Arial" w:hAnsi="Arial" w:cs="Arial"/>
          <w:sz w:val="24"/>
          <w:szCs w:val="24"/>
        </w:rPr>
        <w:t xml:space="preserve">, </w:t>
      </w:r>
      <w:r w:rsidR="006D3DFC" w:rsidRPr="006D3DFC">
        <w:rPr>
          <w:rFonts w:ascii="Arial" w:hAnsi="Arial" w:cs="Arial"/>
          <w:sz w:val="24"/>
          <w:szCs w:val="24"/>
          <w:u w:val="single"/>
        </w:rPr>
        <w:t>previdência</w:t>
      </w:r>
      <w:r w:rsidR="006D3DFC" w:rsidRPr="006D3DFC">
        <w:rPr>
          <w:rFonts w:ascii="Arial" w:hAnsi="Arial" w:cs="Arial"/>
          <w:sz w:val="24"/>
          <w:szCs w:val="24"/>
        </w:rPr>
        <w:t xml:space="preserve"> e </w:t>
      </w:r>
      <w:r w:rsidR="006D3DFC" w:rsidRPr="006D3DFC">
        <w:rPr>
          <w:rFonts w:ascii="Arial" w:hAnsi="Arial" w:cs="Arial"/>
          <w:sz w:val="24"/>
          <w:szCs w:val="24"/>
          <w:u w:val="single"/>
        </w:rPr>
        <w:t>assistência social</w:t>
      </w:r>
      <w:r w:rsidR="006D3DFC">
        <w:rPr>
          <w:rFonts w:ascii="Arial" w:hAnsi="Arial" w:cs="Arial"/>
          <w:sz w:val="24"/>
          <w:szCs w:val="24"/>
        </w:rPr>
        <w:t>.</w:t>
      </w:r>
    </w:p>
    <w:p w14:paraId="4A6A774A" w14:textId="63632418" w:rsidR="006D3DFC" w:rsidRDefault="006D3DFC" w:rsidP="00D5526C">
      <w:pPr>
        <w:spacing w:line="360" w:lineRule="auto"/>
        <w:ind w:firstLine="851"/>
        <w:jc w:val="both"/>
        <w:rPr>
          <w:rFonts w:ascii="Arial" w:hAnsi="Arial" w:cs="Arial"/>
          <w:sz w:val="24"/>
          <w:szCs w:val="24"/>
        </w:rPr>
      </w:pPr>
      <w:r>
        <w:rPr>
          <w:rFonts w:ascii="Arial" w:hAnsi="Arial" w:cs="Arial"/>
          <w:sz w:val="24"/>
          <w:szCs w:val="24"/>
        </w:rPr>
        <w:t xml:space="preserve">A fim de garantir </w:t>
      </w:r>
      <w:r w:rsidR="005A6D4A">
        <w:rPr>
          <w:rFonts w:ascii="Arial" w:hAnsi="Arial" w:cs="Arial"/>
          <w:sz w:val="24"/>
          <w:szCs w:val="24"/>
        </w:rPr>
        <w:t xml:space="preserve">a </w:t>
      </w:r>
      <w:r w:rsidR="003563CC">
        <w:rPr>
          <w:rFonts w:ascii="Arial" w:hAnsi="Arial" w:cs="Arial"/>
          <w:sz w:val="24"/>
          <w:szCs w:val="24"/>
        </w:rPr>
        <w:t>sustentabilidade financeira</w:t>
      </w:r>
      <w:r w:rsidR="005A6D4A">
        <w:rPr>
          <w:rFonts w:ascii="Arial" w:hAnsi="Arial" w:cs="Arial"/>
          <w:sz w:val="24"/>
          <w:szCs w:val="24"/>
        </w:rPr>
        <w:t xml:space="preserve"> do sistema, o </w:t>
      </w:r>
      <w:r w:rsidR="005A6D4A" w:rsidRPr="005A6D4A">
        <w:rPr>
          <w:rFonts w:ascii="Arial" w:hAnsi="Arial" w:cs="Arial"/>
          <w:b/>
          <w:sz w:val="24"/>
          <w:szCs w:val="24"/>
        </w:rPr>
        <w:t>art. 195 da CRFB</w:t>
      </w:r>
      <w:r w:rsidR="005A6D4A">
        <w:rPr>
          <w:rFonts w:ascii="Arial" w:hAnsi="Arial" w:cs="Arial"/>
          <w:sz w:val="24"/>
          <w:szCs w:val="24"/>
        </w:rPr>
        <w:t xml:space="preserve"> </w:t>
      </w:r>
      <w:r w:rsidR="009207FB">
        <w:rPr>
          <w:rFonts w:ascii="Arial" w:hAnsi="Arial" w:cs="Arial"/>
          <w:sz w:val="24"/>
          <w:szCs w:val="24"/>
        </w:rPr>
        <w:t xml:space="preserve">prevê </w:t>
      </w:r>
      <w:r w:rsidR="009207FB" w:rsidRPr="00451417">
        <w:rPr>
          <w:rFonts w:ascii="Arial" w:hAnsi="Arial" w:cs="Arial"/>
          <w:sz w:val="24"/>
          <w:szCs w:val="24"/>
        </w:rPr>
        <w:t xml:space="preserve">que </w:t>
      </w:r>
      <w:r w:rsidR="009207FB" w:rsidRPr="00451417">
        <w:rPr>
          <w:rFonts w:ascii="Arial" w:hAnsi="Arial" w:cs="Arial"/>
          <w:sz w:val="24"/>
          <w:szCs w:val="24"/>
          <w:u w:val="single"/>
        </w:rPr>
        <w:t>a</w:t>
      </w:r>
      <w:r w:rsidRPr="00451417">
        <w:rPr>
          <w:rFonts w:ascii="Arial" w:hAnsi="Arial" w:cs="Arial"/>
          <w:sz w:val="24"/>
          <w:szCs w:val="24"/>
          <w:u w:val="single"/>
        </w:rPr>
        <w:t xml:space="preserve"> seguridade social será financiada por toda a sociedade, de forma direta e indireta, nos termos da lei</w:t>
      </w:r>
      <w:r w:rsidRPr="006D3DFC">
        <w:rPr>
          <w:rFonts w:ascii="Arial" w:hAnsi="Arial" w:cs="Arial"/>
          <w:sz w:val="24"/>
          <w:szCs w:val="24"/>
        </w:rPr>
        <w:t>, mediante recursos provenientes dos orçamentos da União, dos Estados, do Distr</w:t>
      </w:r>
      <w:r w:rsidR="00451417">
        <w:rPr>
          <w:rFonts w:ascii="Arial" w:hAnsi="Arial" w:cs="Arial"/>
          <w:sz w:val="24"/>
          <w:szCs w:val="24"/>
        </w:rPr>
        <w:t xml:space="preserve">ito Federal e dos Municípios, além </w:t>
      </w:r>
      <w:r w:rsidRPr="006D3DFC">
        <w:rPr>
          <w:rFonts w:ascii="Arial" w:hAnsi="Arial" w:cs="Arial"/>
          <w:sz w:val="24"/>
          <w:szCs w:val="24"/>
        </w:rPr>
        <w:t>das seguintes contribuições sociais</w:t>
      </w:r>
      <w:r w:rsidR="00451417">
        <w:rPr>
          <w:rFonts w:ascii="Arial" w:hAnsi="Arial" w:cs="Arial"/>
          <w:sz w:val="24"/>
          <w:szCs w:val="24"/>
        </w:rPr>
        <w:t xml:space="preserve">: a) </w:t>
      </w:r>
      <w:r w:rsidR="00451417" w:rsidRPr="00451417">
        <w:rPr>
          <w:rFonts w:ascii="Arial" w:hAnsi="Arial" w:cs="Arial"/>
          <w:sz w:val="24"/>
          <w:szCs w:val="24"/>
        </w:rPr>
        <w:t>do empregador, da empresa e da entidade a ela equiparada na forma da lei</w:t>
      </w:r>
      <w:r w:rsidR="00451417">
        <w:rPr>
          <w:rFonts w:ascii="Arial" w:hAnsi="Arial" w:cs="Arial"/>
          <w:sz w:val="24"/>
          <w:szCs w:val="24"/>
        </w:rPr>
        <w:t xml:space="preserve"> (inciso I); b) </w:t>
      </w:r>
      <w:r w:rsidR="00451417" w:rsidRPr="00451417">
        <w:rPr>
          <w:rFonts w:ascii="Arial" w:hAnsi="Arial" w:cs="Arial"/>
          <w:sz w:val="24"/>
          <w:szCs w:val="24"/>
        </w:rPr>
        <w:t>do trabalhador e dos demais segurados da previdência social</w:t>
      </w:r>
      <w:r w:rsidR="00451417">
        <w:rPr>
          <w:rFonts w:ascii="Arial" w:hAnsi="Arial" w:cs="Arial"/>
          <w:sz w:val="24"/>
          <w:szCs w:val="24"/>
        </w:rPr>
        <w:t xml:space="preserve"> (inciso II); c) </w:t>
      </w:r>
      <w:r w:rsidR="00451417" w:rsidRPr="00451417">
        <w:rPr>
          <w:rFonts w:ascii="Arial" w:hAnsi="Arial" w:cs="Arial"/>
          <w:sz w:val="24"/>
          <w:szCs w:val="24"/>
        </w:rPr>
        <w:lastRenderedPageBreak/>
        <w:t>sobre a receita de concursos de prognósticos</w:t>
      </w:r>
      <w:r w:rsidR="00451417">
        <w:rPr>
          <w:rFonts w:ascii="Arial" w:hAnsi="Arial" w:cs="Arial"/>
          <w:sz w:val="24"/>
          <w:szCs w:val="24"/>
        </w:rPr>
        <w:t xml:space="preserve"> (inciso III); e d) </w:t>
      </w:r>
      <w:r w:rsidR="00451417" w:rsidRPr="00451417">
        <w:rPr>
          <w:rFonts w:ascii="Arial" w:hAnsi="Arial" w:cs="Arial"/>
          <w:sz w:val="24"/>
          <w:szCs w:val="24"/>
        </w:rPr>
        <w:t>do importador de bens ou serviços do exterior, ou de quem a lei a ele equiparar</w:t>
      </w:r>
      <w:r w:rsidR="00451417">
        <w:rPr>
          <w:rFonts w:ascii="Arial" w:hAnsi="Arial" w:cs="Arial"/>
          <w:sz w:val="24"/>
          <w:szCs w:val="24"/>
        </w:rPr>
        <w:t xml:space="preserve"> (inciso IV).</w:t>
      </w:r>
    </w:p>
    <w:p w14:paraId="6D6C928C" w14:textId="095EB930" w:rsidR="00237693" w:rsidRDefault="00237693" w:rsidP="00254F18">
      <w:pPr>
        <w:spacing w:line="360" w:lineRule="auto"/>
        <w:ind w:firstLine="851"/>
        <w:jc w:val="both"/>
        <w:rPr>
          <w:rFonts w:ascii="Arial" w:hAnsi="Arial" w:cs="Arial"/>
          <w:sz w:val="24"/>
          <w:szCs w:val="24"/>
        </w:rPr>
      </w:pPr>
      <w:r>
        <w:rPr>
          <w:rFonts w:ascii="Arial" w:hAnsi="Arial" w:cs="Arial"/>
          <w:sz w:val="24"/>
          <w:szCs w:val="24"/>
        </w:rPr>
        <w:t xml:space="preserve">Em relação à </w:t>
      </w:r>
      <w:r w:rsidR="00C52EA1">
        <w:rPr>
          <w:rFonts w:ascii="Arial" w:hAnsi="Arial" w:cs="Arial"/>
          <w:b/>
          <w:sz w:val="24"/>
          <w:szCs w:val="24"/>
        </w:rPr>
        <w:t>contribuição</w:t>
      </w:r>
      <w:r w:rsidRPr="00237693">
        <w:rPr>
          <w:rFonts w:ascii="Arial" w:hAnsi="Arial" w:cs="Arial"/>
          <w:b/>
          <w:sz w:val="24"/>
          <w:szCs w:val="24"/>
        </w:rPr>
        <w:t xml:space="preserve"> do empregador, da empresa e da entidade a ela equiparada na forma da lei</w:t>
      </w:r>
      <w:r>
        <w:rPr>
          <w:rFonts w:ascii="Arial" w:hAnsi="Arial" w:cs="Arial"/>
          <w:sz w:val="24"/>
          <w:szCs w:val="24"/>
        </w:rPr>
        <w:t xml:space="preserve">, </w:t>
      </w:r>
      <w:r w:rsidR="00254F18">
        <w:rPr>
          <w:rFonts w:ascii="Arial" w:hAnsi="Arial" w:cs="Arial"/>
          <w:sz w:val="24"/>
          <w:szCs w:val="24"/>
        </w:rPr>
        <w:t xml:space="preserve">esta </w:t>
      </w:r>
      <w:r w:rsidR="00971EEF">
        <w:rPr>
          <w:rFonts w:ascii="Arial" w:hAnsi="Arial" w:cs="Arial"/>
          <w:sz w:val="24"/>
          <w:szCs w:val="24"/>
        </w:rPr>
        <w:t>consiste em percentual</w:t>
      </w:r>
      <w:r w:rsidR="003B089C">
        <w:rPr>
          <w:rFonts w:ascii="Arial" w:hAnsi="Arial" w:cs="Arial"/>
          <w:sz w:val="24"/>
          <w:szCs w:val="24"/>
        </w:rPr>
        <w:t xml:space="preserve"> incidente</w:t>
      </w:r>
      <w:r w:rsidR="00971EEF">
        <w:rPr>
          <w:rFonts w:ascii="Arial" w:hAnsi="Arial" w:cs="Arial"/>
          <w:sz w:val="24"/>
          <w:szCs w:val="24"/>
        </w:rPr>
        <w:t xml:space="preserve"> sobre</w:t>
      </w:r>
      <w:r w:rsidR="00254F18">
        <w:rPr>
          <w:rFonts w:ascii="Arial" w:hAnsi="Arial" w:cs="Arial"/>
          <w:sz w:val="24"/>
          <w:szCs w:val="24"/>
        </w:rPr>
        <w:t xml:space="preserve">: </w:t>
      </w:r>
      <w:r w:rsidR="00254F18" w:rsidRPr="00254F18">
        <w:rPr>
          <w:rFonts w:ascii="Arial" w:hAnsi="Arial" w:cs="Arial"/>
          <w:sz w:val="24"/>
          <w:szCs w:val="24"/>
        </w:rPr>
        <w:t>a) a folha de salários e demais rendimentos do trabalho pagos ou creditados, a qualquer título, à pessoa física que lhe preste serviço, mesmo sem vínculo empregatício;</w:t>
      </w:r>
      <w:r w:rsidR="00254F18">
        <w:rPr>
          <w:rFonts w:ascii="Arial" w:hAnsi="Arial" w:cs="Arial"/>
          <w:sz w:val="24"/>
          <w:szCs w:val="24"/>
        </w:rPr>
        <w:t xml:space="preserve"> b) a</w:t>
      </w:r>
      <w:r w:rsidR="00254F18" w:rsidRPr="00254F18">
        <w:rPr>
          <w:rFonts w:ascii="Arial" w:hAnsi="Arial" w:cs="Arial"/>
          <w:sz w:val="24"/>
          <w:szCs w:val="24"/>
        </w:rPr>
        <w:t xml:space="preserve"> re</w:t>
      </w:r>
      <w:r w:rsidR="00254F18">
        <w:rPr>
          <w:rFonts w:ascii="Arial" w:hAnsi="Arial" w:cs="Arial"/>
          <w:sz w:val="24"/>
          <w:szCs w:val="24"/>
        </w:rPr>
        <w:t>ceita ou o faturamento; c) o lucro.</w:t>
      </w:r>
      <w:r w:rsidR="005C541B">
        <w:rPr>
          <w:rFonts w:ascii="Arial" w:hAnsi="Arial" w:cs="Arial"/>
          <w:sz w:val="24"/>
          <w:szCs w:val="24"/>
        </w:rPr>
        <w:t xml:space="preserve"> </w:t>
      </w:r>
      <w:r w:rsidR="00181A30">
        <w:rPr>
          <w:rFonts w:ascii="Arial" w:hAnsi="Arial" w:cs="Arial"/>
          <w:sz w:val="24"/>
          <w:szCs w:val="24"/>
        </w:rPr>
        <w:t xml:space="preserve">O empregador, a empresa e </w:t>
      </w:r>
      <w:r w:rsidR="00EE15E3">
        <w:rPr>
          <w:rFonts w:ascii="Arial" w:hAnsi="Arial" w:cs="Arial"/>
          <w:sz w:val="24"/>
          <w:szCs w:val="24"/>
        </w:rPr>
        <w:t>a entidade a ela equiparada</w:t>
      </w:r>
      <w:r w:rsidR="00181A30">
        <w:rPr>
          <w:rFonts w:ascii="Arial" w:hAnsi="Arial" w:cs="Arial"/>
          <w:sz w:val="24"/>
          <w:szCs w:val="24"/>
        </w:rPr>
        <w:t>,</w:t>
      </w:r>
      <w:r w:rsidR="00EE15E3">
        <w:rPr>
          <w:rFonts w:ascii="Arial" w:hAnsi="Arial" w:cs="Arial"/>
          <w:sz w:val="24"/>
          <w:szCs w:val="24"/>
        </w:rPr>
        <w:t xml:space="preserve"> na forma da lei</w:t>
      </w:r>
      <w:r w:rsidR="00181A30">
        <w:rPr>
          <w:rFonts w:ascii="Arial" w:hAnsi="Arial" w:cs="Arial"/>
          <w:sz w:val="24"/>
          <w:szCs w:val="24"/>
        </w:rPr>
        <w:t xml:space="preserve">, que retém dos empregados as respectivas contribuições, mas deixa de repassar ao sistema de seguridade social, podem sofrer, a depender das circunstâncias, enquadramento criminal, inclusive </w:t>
      </w:r>
      <w:r w:rsidR="00EE15E3">
        <w:rPr>
          <w:rFonts w:ascii="Arial" w:hAnsi="Arial" w:cs="Arial"/>
          <w:sz w:val="24"/>
          <w:szCs w:val="24"/>
        </w:rPr>
        <w:t>(Código Penal, art. 168-A</w:t>
      </w:r>
      <w:r w:rsidR="00181A30">
        <w:rPr>
          <w:rFonts w:ascii="Arial" w:hAnsi="Arial" w:cs="Arial"/>
          <w:sz w:val="24"/>
          <w:szCs w:val="24"/>
        </w:rPr>
        <w:t xml:space="preserve"> e 337-A</w:t>
      </w:r>
      <w:r w:rsidR="00EE15E3">
        <w:rPr>
          <w:rFonts w:ascii="Arial" w:hAnsi="Arial" w:cs="Arial"/>
          <w:sz w:val="24"/>
          <w:szCs w:val="24"/>
        </w:rPr>
        <w:t>)</w:t>
      </w:r>
      <w:r w:rsidR="00181A30">
        <w:rPr>
          <w:rFonts w:ascii="Arial" w:hAnsi="Arial" w:cs="Arial"/>
          <w:sz w:val="24"/>
          <w:szCs w:val="24"/>
        </w:rPr>
        <w:t>.</w:t>
      </w:r>
    </w:p>
    <w:p w14:paraId="5983DD15" w14:textId="7C00170E" w:rsidR="00337759" w:rsidRDefault="00C4630E" w:rsidP="00D5526C">
      <w:pPr>
        <w:spacing w:line="360" w:lineRule="auto"/>
        <w:ind w:firstLine="851"/>
        <w:jc w:val="both"/>
        <w:rPr>
          <w:rFonts w:ascii="Arial" w:hAnsi="Arial" w:cs="Arial"/>
          <w:sz w:val="24"/>
          <w:szCs w:val="24"/>
        </w:rPr>
      </w:pPr>
      <w:r>
        <w:rPr>
          <w:rFonts w:ascii="Arial" w:hAnsi="Arial" w:cs="Arial"/>
          <w:sz w:val="24"/>
          <w:szCs w:val="24"/>
        </w:rPr>
        <w:t>Porém, o que mais pertinente e relevante para esta CPI consiste a disposição contida no</w:t>
      </w:r>
      <w:r w:rsidR="00D5526C" w:rsidRPr="00C4630E">
        <w:rPr>
          <w:rFonts w:ascii="Arial" w:hAnsi="Arial" w:cs="Arial"/>
          <w:sz w:val="24"/>
          <w:szCs w:val="24"/>
        </w:rPr>
        <w:t xml:space="preserve"> </w:t>
      </w:r>
      <w:r w:rsidR="00D5526C" w:rsidRPr="00C4630E">
        <w:rPr>
          <w:rFonts w:ascii="Arial" w:hAnsi="Arial" w:cs="Arial"/>
          <w:b/>
          <w:sz w:val="24"/>
          <w:szCs w:val="24"/>
        </w:rPr>
        <w:t>art. 195, § 3º, da CRFB</w:t>
      </w:r>
      <w:r>
        <w:rPr>
          <w:rFonts w:ascii="Arial" w:hAnsi="Arial" w:cs="Arial"/>
          <w:sz w:val="24"/>
          <w:szCs w:val="24"/>
        </w:rPr>
        <w:t xml:space="preserve">, o qual </w:t>
      </w:r>
      <w:r w:rsidR="00D5526C" w:rsidRPr="00C4630E">
        <w:rPr>
          <w:rFonts w:ascii="Arial" w:hAnsi="Arial" w:cs="Arial"/>
          <w:sz w:val="24"/>
          <w:szCs w:val="24"/>
        </w:rPr>
        <w:t xml:space="preserve">preceitua que “a pessoa jurídica em débito com o </w:t>
      </w:r>
      <w:r w:rsidR="00D5526C" w:rsidRPr="00D5526C">
        <w:rPr>
          <w:rFonts w:ascii="Arial" w:hAnsi="Arial" w:cs="Arial"/>
          <w:sz w:val="24"/>
          <w:szCs w:val="24"/>
        </w:rPr>
        <w:t>sistema da seguridade social, como estabelecido em lei, não poderá contratar com o Poder Público nem dele receber benefícios ou incentivos fiscais ou creditícios</w:t>
      </w:r>
      <w:r w:rsidR="00D5526C">
        <w:rPr>
          <w:rFonts w:ascii="Arial" w:hAnsi="Arial" w:cs="Arial"/>
          <w:sz w:val="24"/>
          <w:szCs w:val="24"/>
        </w:rPr>
        <w:t>”.</w:t>
      </w:r>
      <w:r w:rsidR="00D34848">
        <w:rPr>
          <w:rFonts w:ascii="Arial" w:hAnsi="Arial" w:cs="Arial"/>
          <w:sz w:val="24"/>
          <w:szCs w:val="24"/>
        </w:rPr>
        <w:t xml:space="preserve"> Embora a doutrina e a jurisprudência pátrias não se debrucem com maior afinco sobre esse dispositivo</w:t>
      </w:r>
      <w:r w:rsidR="00323FE3">
        <w:rPr>
          <w:rFonts w:ascii="Arial" w:hAnsi="Arial" w:cs="Arial"/>
          <w:sz w:val="24"/>
          <w:szCs w:val="24"/>
        </w:rPr>
        <w:t xml:space="preserve"> constitucional</w:t>
      </w:r>
      <w:r w:rsidR="00D34848">
        <w:rPr>
          <w:rFonts w:ascii="Arial" w:hAnsi="Arial" w:cs="Arial"/>
          <w:sz w:val="24"/>
          <w:szCs w:val="24"/>
        </w:rPr>
        <w:t xml:space="preserve">, </w:t>
      </w:r>
      <w:r w:rsidR="00323FE3">
        <w:rPr>
          <w:rFonts w:ascii="Arial" w:hAnsi="Arial" w:cs="Arial"/>
          <w:sz w:val="24"/>
          <w:szCs w:val="24"/>
        </w:rPr>
        <w:t>sua</w:t>
      </w:r>
      <w:r w:rsidR="00D34848">
        <w:rPr>
          <w:rFonts w:ascii="Arial" w:hAnsi="Arial" w:cs="Arial"/>
          <w:sz w:val="24"/>
          <w:szCs w:val="24"/>
        </w:rPr>
        <w:t xml:space="preserve"> redação parece muito clara ao proibir que pessoas em dé</w:t>
      </w:r>
      <w:r w:rsidR="00323FE3">
        <w:rPr>
          <w:rFonts w:ascii="Arial" w:hAnsi="Arial" w:cs="Arial"/>
          <w:sz w:val="24"/>
          <w:szCs w:val="24"/>
        </w:rPr>
        <w:t>bito com a seguridade social</w:t>
      </w:r>
      <w:r w:rsidR="00751A2E">
        <w:rPr>
          <w:rStyle w:val="Refdenotaderodap"/>
          <w:rFonts w:ascii="Arial" w:hAnsi="Arial" w:cs="Arial"/>
          <w:sz w:val="24"/>
          <w:szCs w:val="24"/>
        </w:rPr>
        <w:footnoteReference w:id="92"/>
      </w:r>
      <w:r w:rsidR="00751A2E">
        <w:rPr>
          <w:rFonts w:ascii="Arial" w:hAnsi="Arial" w:cs="Arial"/>
          <w:sz w:val="24"/>
          <w:szCs w:val="24"/>
        </w:rPr>
        <w:t xml:space="preserve"> </w:t>
      </w:r>
      <w:r w:rsidR="00323FE3">
        <w:rPr>
          <w:rFonts w:ascii="Arial" w:hAnsi="Arial" w:cs="Arial"/>
          <w:sz w:val="24"/>
          <w:szCs w:val="24"/>
        </w:rPr>
        <w:t>não possam fruir incentivos ou benefícios fiscais.</w:t>
      </w:r>
    </w:p>
    <w:p w14:paraId="027A7DE0" w14:textId="77777777" w:rsidR="001C4440" w:rsidRDefault="00EA2AEA" w:rsidP="00D5526C">
      <w:pPr>
        <w:spacing w:line="360" w:lineRule="auto"/>
        <w:ind w:firstLine="851"/>
        <w:jc w:val="both"/>
        <w:rPr>
          <w:rFonts w:ascii="Arial" w:hAnsi="Arial" w:cs="Arial"/>
          <w:sz w:val="24"/>
          <w:szCs w:val="24"/>
        </w:rPr>
      </w:pPr>
      <w:r w:rsidRPr="00BA4FBC">
        <w:rPr>
          <w:rFonts w:ascii="Arial" w:hAnsi="Arial" w:cs="Arial"/>
          <w:b/>
          <w:sz w:val="24"/>
          <w:szCs w:val="24"/>
        </w:rPr>
        <w:t>Embora o art. 1º do Anexo IX do RCTE/GO n</w:t>
      </w:r>
      <w:r w:rsidR="00751A2E" w:rsidRPr="00BA4FBC">
        <w:rPr>
          <w:rFonts w:ascii="Arial" w:hAnsi="Arial" w:cs="Arial"/>
          <w:b/>
          <w:sz w:val="24"/>
          <w:szCs w:val="24"/>
        </w:rPr>
        <w:t>ão preveja</w:t>
      </w:r>
      <w:r w:rsidR="0082518C" w:rsidRPr="00BA4FBC">
        <w:rPr>
          <w:rFonts w:ascii="Arial" w:hAnsi="Arial" w:cs="Arial"/>
          <w:b/>
          <w:sz w:val="24"/>
          <w:szCs w:val="24"/>
        </w:rPr>
        <w:t xml:space="preserve"> a regularidade previdenciária</w:t>
      </w:r>
      <w:r w:rsidR="0082518C">
        <w:rPr>
          <w:rFonts w:ascii="Arial" w:hAnsi="Arial" w:cs="Arial"/>
          <w:sz w:val="24"/>
          <w:szCs w:val="24"/>
        </w:rPr>
        <w:t xml:space="preserve"> como requisito para concessão e fruição de incentivos fiscais, essa omissão não diminui – nem poderia fazê-lo – a força normativa da Constituição, que contém preceito claro e expresso sobre a questão, de eficácia plena.</w:t>
      </w:r>
      <w:r w:rsidR="00BA4FBC">
        <w:rPr>
          <w:rFonts w:ascii="Arial" w:hAnsi="Arial" w:cs="Arial"/>
          <w:sz w:val="24"/>
          <w:szCs w:val="24"/>
        </w:rPr>
        <w:t xml:space="preserve"> </w:t>
      </w:r>
    </w:p>
    <w:p w14:paraId="6D1832EE" w14:textId="2A4B5F19" w:rsidR="00EA2AEA" w:rsidRDefault="00BA4FBC" w:rsidP="00D5526C">
      <w:pPr>
        <w:spacing w:line="360" w:lineRule="auto"/>
        <w:ind w:firstLine="851"/>
        <w:jc w:val="both"/>
        <w:rPr>
          <w:rFonts w:ascii="Arial" w:hAnsi="Arial" w:cs="Arial"/>
          <w:sz w:val="24"/>
          <w:szCs w:val="24"/>
        </w:rPr>
      </w:pPr>
      <w:r>
        <w:rPr>
          <w:rFonts w:ascii="Arial" w:hAnsi="Arial" w:cs="Arial"/>
          <w:sz w:val="24"/>
          <w:szCs w:val="24"/>
        </w:rPr>
        <w:t xml:space="preserve">Ainda, o </w:t>
      </w:r>
      <w:r w:rsidRPr="001C4440">
        <w:rPr>
          <w:rFonts w:ascii="Arial" w:hAnsi="Arial" w:cs="Arial"/>
          <w:b/>
          <w:sz w:val="24"/>
          <w:szCs w:val="24"/>
        </w:rPr>
        <w:t>art. 5º, II, do mesmo Anexo IX</w:t>
      </w:r>
      <w:r>
        <w:rPr>
          <w:rFonts w:ascii="Arial" w:hAnsi="Arial" w:cs="Arial"/>
          <w:sz w:val="24"/>
          <w:szCs w:val="24"/>
        </w:rPr>
        <w:t xml:space="preserve"> prevê que uma das condições para celebração do TARE consiste justamente na ausência de débito perante a seguridade social. </w:t>
      </w:r>
      <w:r w:rsidR="001C4440">
        <w:rPr>
          <w:rFonts w:ascii="Arial" w:hAnsi="Arial" w:cs="Arial"/>
          <w:sz w:val="24"/>
          <w:szCs w:val="24"/>
        </w:rPr>
        <w:t xml:space="preserve">Na redação originária daquele dispositivo, exigia-se regularidade fiscal também em relação à União para formalização de TARE, esse requisito foi suprimido pelo </w:t>
      </w:r>
      <w:r w:rsidR="001C4440" w:rsidRPr="001C4440">
        <w:rPr>
          <w:rFonts w:ascii="Arial" w:hAnsi="Arial" w:cs="Arial"/>
          <w:sz w:val="24"/>
          <w:szCs w:val="24"/>
        </w:rPr>
        <w:t xml:space="preserve">Decreto </w:t>
      </w:r>
      <w:r w:rsidR="001C4440">
        <w:rPr>
          <w:rFonts w:ascii="Arial" w:hAnsi="Arial" w:cs="Arial"/>
          <w:sz w:val="24"/>
          <w:szCs w:val="24"/>
        </w:rPr>
        <w:t>nº 7.095/20</w:t>
      </w:r>
      <w:r w:rsidR="001C4440" w:rsidRPr="001C4440">
        <w:rPr>
          <w:rFonts w:ascii="Arial" w:hAnsi="Arial" w:cs="Arial"/>
          <w:sz w:val="24"/>
          <w:szCs w:val="24"/>
        </w:rPr>
        <w:t>10</w:t>
      </w:r>
      <w:r w:rsidR="001C4440">
        <w:rPr>
          <w:rFonts w:ascii="Arial" w:hAnsi="Arial" w:cs="Arial"/>
          <w:sz w:val="24"/>
          <w:szCs w:val="24"/>
        </w:rPr>
        <w:t>, que na nova redação conferida àquele inciso</w:t>
      </w:r>
      <w:r w:rsidR="00DF0E2A">
        <w:rPr>
          <w:rFonts w:ascii="Arial" w:hAnsi="Arial" w:cs="Arial"/>
          <w:sz w:val="24"/>
          <w:szCs w:val="24"/>
        </w:rPr>
        <w:t xml:space="preserve"> manteve apenas a regularidade previdenciária.</w:t>
      </w:r>
    </w:p>
    <w:p w14:paraId="288BFE53" w14:textId="59AE9F0A" w:rsidR="000820BA" w:rsidRDefault="000820BA" w:rsidP="00D5526C">
      <w:pPr>
        <w:spacing w:line="360" w:lineRule="auto"/>
        <w:ind w:firstLine="851"/>
        <w:jc w:val="both"/>
        <w:rPr>
          <w:rFonts w:ascii="Arial" w:hAnsi="Arial" w:cs="Arial"/>
          <w:sz w:val="24"/>
          <w:szCs w:val="24"/>
        </w:rPr>
      </w:pPr>
    </w:p>
    <w:p w14:paraId="2ACB3EBA" w14:textId="77777777" w:rsidR="00EB2B15" w:rsidRDefault="000820BA" w:rsidP="00EB2B15">
      <w:pPr>
        <w:spacing w:line="360" w:lineRule="auto"/>
        <w:ind w:firstLine="851"/>
        <w:jc w:val="both"/>
        <w:rPr>
          <w:rFonts w:ascii="Arial" w:hAnsi="Arial" w:cs="Arial"/>
          <w:sz w:val="24"/>
          <w:szCs w:val="24"/>
        </w:rPr>
      </w:pPr>
      <w:r>
        <w:rPr>
          <w:rFonts w:ascii="Arial" w:hAnsi="Arial" w:cs="Arial"/>
          <w:b/>
          <w:sz w:val="24"/>
          <w:szCs w:val="24"/>
        </w:rPr>
        <w:t>8.2.2.</w:t>
      </w:r>
      <w:r>
        <w:rPr>
          <w:rFonts w:ascii="Arial" w:hAnsi="Arial" w:cs="Arial"/>
          <w:sz w:val="24"/>
          <w:szCs w:val="24"/>
        </w:rPr>
        <w:t xml:space="preserve"> Se, conforme demonstrado no tópico anterior, não</w:t>
      </w:r>
      <w:r w:rsidR="0013794A">
        <w:rPr>
          <w:rFonts w:ascii="Arial" w:hAnsi="Arial" w:cs="Arial"/>
          <w:sz w:val="24"/>
          <w:szCs w:val="24"/>
        </w:rPr>
        <w:t xml:space="preserve"> há uma rotina nem um acompanhamento periódico de fiscalização quanto à própria regularidade fiscal estadual, </w:t>
      </w:r>
      <w:r w:rsidR="0013794A" w:rsidRPr="001F5FE9">
        <w:rPr>
          <w:rFonts w:ascii="Arial" w:hAnsi="Arial" w:cs="Arial"/>
          <w:b/>
          <w:sz w:val="24"/>
          <w:szCs w:val="24"/>
          <w:u w:val="single"/>
        </w:rPr>
        <w:t>não causa espanto que também não haja qualquer verificação em relação à regularidade previdenciária</w:t>
      </w:r>
      <w:r w:rsidR="0013794A" w:rsidRPr="00191EA9">
        <w:rPr>
          <w:rFonts w:ascii="Arial" w:hAnsi="Arial" w:cs="Arial"/>
          <w:b/>
          <w:sz w:val="24"/>
          <w:szCs w:val="24"/>
        </w:rPr>
        <w:t xml:space="preserve"> das empresas beneficiárias de incentivos fiscais no Estado de Goiás</w:t>
      </w:r>
      <w:r w:rsidR="0013794A">
        <w:rPr>
          <w:rFonts w:ascii="Arial" w:hAnsi="Arial" w:cs="Arial"/>
          <w:sz w:val="24"/>
          <w:szCs w:val="24"/>
        </w:rPr>
        <w:t>.</w:t>
      </w:r>
      <w:r w:rsidR="00191EA9">
        <w:rPr>
          <w:rFonts w:ascii="Arial" w:hAnsi="Arial" w:cs="Arial"/>
          <w:sz w:val="24"/>
          <w:szCs w:val="24"/>
        </w:rPr>
        <w:t xml:space="preserve"> </w:t>
      </w:r>
    </w:p>
    <w:p w14:paraId="6EEFA2F8" w14:textId="5A645201" w:rsidR="00574522" w:rsidRDefault="00EB2B15" w:rsidP="00EB2B15">
      <w:pPr>
        <w:spacing w:line="360" w:lineRule="auto"/>
        <w:ind w:firstLine="851"/>
        <w:jc w:val="both"/>
        <w:rPr>
          <w:rFonts w:ascii="Arial" w:hAnsi="Arial" w:cs="Arial"/>
          <w:sz w:val="24"/>
          <w:szCs w:val="24"/>
        </w:rPr>
      </w:pPr>
      <w:r>
        <w:rPr>
          <w:rFonts w:ascii="Arial" w:hAnsi="Arial" w:cs="Arial"/>
          <w:sz w:val="24"/>
          <w:szCs w:val="24"/>
        </w:rPr>
        <w:t xml:space="preserve">A fim de ilustrar essa realidade no âmbito dos Programas </w:t>
      </w:r>
      <w:r w:rsidR="002577B7">
        <w:rPr>
          <w:rFonts w:ascii="Arial" w:hAnsi="Arial" w:cs="Arial"/>
          <w:sz w:val="24"/>
          <w:szCs w:val="24"/>
        </w:rPr>
        <w:t>FOMENTAR e PRODUZIR</w:t>
      </w:r>
      <w:r>
        <w:rPr>
          <w:rFonts w:ascii="Arial" w:hAnsi="Arial" w:cs="Arial"/>
          <w:sz w:val="24"/>
          <w:szCs w:val="24"/>
        </w:rPr>
        <w:t>, registra</w:t>
      </w:r>
      <w:r w:rsidR="00C03357">
        <w:rPr>
          <w:rFonts w:ascii="Arial" w:hAnsi="Arial" w:cs="Arial"/>
          <w:sz w:val="24"/>
          <w:szCs w:val="24"/>
        </w:rPr>
        <w:t>m</w:t>
      </w:r>
      <w:r>
        <w:rPr>
          <w:rFonts w:ascii="Arial" w:hAnsi="Arial" w:cs="Arial"/>
          <w:sz w:val="24"/>
          <w:szCs w:val="24"/>
        </w:rPr>
        <w:t xml:space="preserve">-se na tabela </w:t>
      </w:r>
      <w:r w:rsidRPr="002577B7">
        <w:rPr>
          <w:rFonts w:ascii="Arial" w:hAnsi="Arial" w:cs="Arial"/>
          <w:b/>
          <w:sz w:val="24"/>
          <w:szCs w:val="24"/>
        </w:rPr>
        <w:t xml:space="preserve">abaixo </w:t>
      </w:r>
      <w:r w:rsidR="009743AF" w:rsidRPr="002577B7">
        <w:rPr>
          <w:rFonts w:ascii="Arial" w:hAnsi="Arial" w:cs="Arial"/>
          <w:b/>
          <w:sz w:val="24"/>
          <w:szCs w:val="24"/>
        </w:rPr>
        <w:t>59 (cinquenta e nove)</w:t>
      </w:r>
      <w:r w:rsidRPr="002577B7">
        <w:rPr>
          <w:rFonts w:ascii="Arial" w:hAnsi="Arial" w:cs="Arial"/>
          <w:b/>
          <w:sz w:val="24"/>
          <w:szCs w:val="24"/>
        </w:rPr>
        <w:t xml:space="preserve"> empresas</w:t>
      </w:r>
      <w:r w:rsidR="00CD2777">
        <w:rPr>
          <w:rStyle w:val="Refdenotaderodap"/>
          <w:rFonts w:ascii="Arial" w:hAnsi="Arial" w:cs="Arial"/>
          <w:sz w:val="24"/>
          <w:szCs w:val="24"/>
        </w:rPr>
        <w:footnoteReference w:id="93"/>
      </w:r>
      <w:r w:rsidR="00F07748">
        <w:rPr>
          <w:rFonts w:ascii="Arial" w:hAnsi="Arial" w:cs="Arial"/>
          <w:b/>
          <w:sz w:val="24"/>
          <w:szCs w:val="24"/>
        </w:rPr>
        <w:t xml:space="preserve"> </w:t>
      </w:r>
      <w:r w:rsidR="00C03357">
        <w:rPr>
          <w:rFonts w:ascii="Arial" w:hAnsi="Arial" w:cs="Arial"/>
          <w:sz w:val="24"/>
          <w:szCs w:val="24"/>
        </w:rPr>
        <w:t>em débito com a seguridade social</w:t>
      </w:r>
      <w:r>
        <w:rPr>
          <w:rFonts w:ascii="Arial" w:hAnsi="Arial" w:cs="Arial"/>
          <w:sz w:val="24"/>
          <w:szCs w:val="24"/>
        </w:rPr>
        <w:t>, confo</w:t>
      </w:r>
      <w:r w:rsidR="00C03357">
        <w:rPr>
          <w:rFonts w:ascii="Arial" w:hAnsi="Arial" w:cs="Arial"/>
          <w:sz w:val="24"/>
          <w:szCs w:val="24"/>
        </w:rPr>
        <w:t xml:space="preserve">rme consulta realizada por esta CPI no Programa </w:t>
      </w:r>
      <w:r w:rsidR="00C93D36">
        <w:rPr>
          <w:rFonts w:ascii="Arial" w:hAnsi="Arial" w:cs="Arial"/>
          <w:sz w:val="24"/>
          <w:szCs w:val="24"/>
        </w:rPr>
        <w:t>REGULARIZE</w:t>
      </w:r>
      <w:r w:rsidR="00C03357">
        <w:rPr>
          <w:rFonts w:ascii="Arial" w:hAnsi="Arial" w:cs="Arial"/>
          <w:sz w:val="24"/>
          <w:szCs w:val="24"/>
        </w:rPr>
        <w:t>, da Procuradoria Geral da Fazenda Nacional</w:t>
      </w:r>
      <w:r w:rsidR="00761258">
        <w:rPr>
          <w:rFonts w:ascii="Arial" w:hAnsi="Arial" w:cs="Arial"/>
          <w:sz w:val="24"/>
          <w:szCs w:val="24"/>
        </w:rPr>
        <w:t xml:space="preserve"> (PGFN)</w:t>
      </w:r>
      <w:r w:rsidR="00C03357">
        <w:rPr>
          <w:rStyle w:val="Refdenotaderodap"/>
          <w:rFonts w:ascii="Arial" w:hAnsi="Arial" w:cs="Arial"/>
          <w:sz w:val="24"/>
          <w:szCs w:val="24"/>
        </w:rPr>
        <w:footnoteReference w:id="94"/>
      </w:r>
      <w:r w:rsidR="006752DD">
        <w:rPr>
          <w:rFonts w:ascii="Arial" w:hAnsi="Arial" w:cs="Arial"/>
          <w:sz w:val="24"/>
          <w:szCs w:val="24"/>
        </w:rPr>
        <w:t>, eventualmente cumulada com a existência de outros débitos com a União</w:t>
      </w:r>
      <w:r w:rsidR="00C03357">
        <w:rPr>
          <w:rFonts w:ascii="Arial" w:hAnsi="Arial" w:cs="Arial"/>
          <w:sz w:val="24"/>
          <w:szCs w:val="24"/>
        </w:rPr>
        <w:t>:</w:t>
      </w:r>
    </w:p>
    <w:p w14:paraId="67EE1EAF" w14:textId="5513BE4A" w:rsidR="00EB2B15" w:rsidRDefault="00EB2B15" w:rsidP="00EB2B15">
      <w:pPr>
        <w:spacing w:line="360" w:lineRule="auto"/>
        <w:ind w:firstLine="851"/>
        <w:jc w:val="both"/>
        <w:rPr>
          <w:rFonts w:ascii="Arial" w:hAnsi="Arial" w:cs="Arial"/>
          <w:sz w:val="24"/>
          <w:szCs w:val="24"/>
        </w:rPr>
      </w:pPr>
    </w:p>
    <w:p w14:paraId="0DC9BC51" w14:textId="77777777" w:rsidR="00CF0623" w:rsidRDefault="00CF0623" w:rsidP="00EB2B15">
      <w:pPr>
        <w:spacing w:line="360" w:lineRule="auto"/>
        <w:ind w:firstLine="851"/>
        <w:jc w:val="both"/>
        <w:rPr>
          <w:rFonts w:ascii="Arial" w:hAnsi="Arial" w:cs="Arial"/>
          <w:sz w:val="24"/>
          <w:szCs w:val="24"/>
        </w:rPr>
        <w:sectPr w:rsidR="00CF0623" w:rsidSect="00CA1C22">
          <w:pgSz w:w="11900" w:h="16840"/>
          <w:pgMar w:top="2268" w:right="851" w:bottom="1134" w:left="1701" w:header="567" w:footer="284" w:gutter="0"/>
          <w:cols w:space="708"/>
          <w:docGrid w:linePitch="360"/>
        </w:sectPr>
      </w:pPr>
    </w:p>
    <w:p w14:paraId="38ABBA6B" w14:textId="2DF0E68F" w:rsidR="0035647A" w:rsidRDefault="0035647A" w:rsidP="00EB2B15">
      <w:pPr>
        <w:spacing w:line="360" w:lineRule="auto"/>
        <w:ind w:firstLine="851"/>
        <w:jc w:val="both"/>
        <w:rPr>
          <w:rFonts w:ascii="Arial" w:hAnsi="Arial" w:cs="Arial"/>
          <w:sz w:val="24"/>
          <w:szCs w:val="24"/>
        </w:rPr>
      </w:pPr>
    </w:p>
    <w:p w14:paraId="74E952AF" w14:textId="77777777" w:rsidR="0035647A" w:rsidRDefault="0035647A" w:rsidP="00EB2B15">
      <w:pPr>
        <w:spacing w:line="360" w:lineRule="auto"/>
        <w:ind w:firstLine="851"/>
        <w:jc w:val="both"/>
        <w:rPr>
          <w:rFonts w:ascii="Arial" w:hAnsi="Arial" w:cs="Arial"/>
          <w:sz w:val="24"/>
          <w:szCs w:val="24"/>
        </w:rPr>
      </w:pPr>
    </w:p>
    <w:tbl>
      <w:tblPr>
        <w:tblStyle w:val="Tabelacomgrade"/>
        <w:tblW w:w="14596" w:type="dxa"/>
        <w:tblLook w:val="04A0" w:firstRow="1" w:lastRow="0" w:firstColumn="1" w:lastColumn="0" w:noHBand="0" w:noVBand="1"/>
      </w:tblPr>
      <w:tblGrid>
        <w:gridCol w:w="2405"/>
        <w:gridCol w:w="5812"/>
        <w:gridCol w:w="2835"/>
        <w:gridCol w:w="3544"/>
      </w:tblGrid>
      <w:tr w:rsidR="00CF0623" w:rsidRPr="00CF0623" w14:paraId="2201D178" w14:textId="77777777" w:rsidTr="004A6AE9">
        <w:tc>
          <w:tcPr>
            <w:tcW w:w="2405" w:type="dxa"/>
            <w:tcBorders>
              <w:left w:val="single" w:sz="4" w:space="0" w:color="auto"/>
              <w:bottom w:val="single" w:sz="4" w:space="0" w:color="auto"/>
              <w:right w:val="single" w:sz="4" w:space="0" w:color="auto"/>
            </w:tcBorders>
            <w:shd w:val="clear" w:color="auto" w:fill="D9D9D9" w:themeFill="background1" w:themeFillShade="D9"/>
          </w:tcPr>
          <w:p w14:paraId="07B6C41F" w14:textId="77777777" w:rsidR="00CF0623" w:rsidRPr="00CF0623" w:rsidRDefault="00CF0623" w:rsidP="00EE3640">
            <w:pPr>
              <w:jc w:val="center"/>
              <w:rPr>
                <w:rFonts w:ascii="Arial" w:hAnsi="Arial" w:cs="Arial"/>
                <w:b/>
                <w:sz w:val="24"/>
                <w:szCs w:val="24"/>
              </w:rPr>
            </w:pPr>
            <w:r w:rsidRPr="00CF0623">
              <w:rPr>
                <w:rFonts w:ascii="Arial" w:hAnsi="Arial" w:cs="Arial"/>
                <w:b/>
                <w:sz w:val="24"/>
                <w:szCs w:val="24"/>
              </w:rPr>
              <w:t>CNPJ</w:t>
            </w:r>
          </w:p>
        </w:tc>
        <w:tc>
          <w:tcPr>
            <w:tcW w:w="5812" w:type="dxa"/>
            <w:tcBorders>
              <w:left w:val="single" w:sz="4" w:space="0" w:color="auto"/>
              <w:bottom w:val="single" w:sz="4" w:space="0" w:color="auto"/>
              <w:right w:val="single" w:sz="4" w:space="0" w:color="auto"/>
            </w:tcBorders>
            <w:shd w:val="clear" w:color="auto" w:fill="D9D9D9" w:themeFill="background1" w:themeFillShade="D9"/>
          </w:tcPr>
          <w:p w14:paraId="098E8C11" w14:textId="77777777" w:rsidR="00CF0623" w:rsidRPr="00CF0623" w:rsidRDefault="00CF0623" w:rsidP="00EE3640">
            <w:pPr>
              <w:jc w:val="center"/>
              <w:rPr>
                <w:rFonts w:ascii="Arial" w:hAnsi="Arial" w:cs="Arial"/>
                <w:b/>
                <w:sz w:val="24"/>
                <w:szCs w:val="24"/>
              </w:rPr>
            </w:pPr>
            <w:r w:rsidRPr="00CF0623">
              <w:rPr>
                <w:rFonts w:ascii="Arial" w:hAnsi="Arial" w:cs="Arial"/>
                <w:b/>
                <w:sz w:val="24"/>
                <w:szCs w:val="24"/>
              </w:rPr>
              <w:t>NOME</w:t>
            </w:r>
          </w:p>
        </w:tc>
        <w:tc>
          <w:tcPr>
            <w:tcW w:w="2835" w:type="dxa"/>
            <w:tcBorders>
              <w:left w:val="single" w:sz="4" w:space="0" w:color="auto"/>
              <w:bottom w:val="single" w:sz="4" w:space="0" w:color="auto"/>
              <w:right w:val="single" w:sz="4" w:space="0" w:color="auto"/>
            </w:tcBorders>
            <w:shd w:val="clear" w:color="auto" w:fill="D9D9D9" w:themeFill="background1" w:themeFillShade="D9"/>
          </w:tcPr>
          <w:p w14:paraId="3CA0217F" w14:textId="7702C2AD" w:rsidR="00CF0623" w:rsidRPr="00CF0623" w:rsidRDefault="00CF0623" w:rsidP="00C054AF">
            <w:pPr>
              <w:jc w:val="right"/>
              <w:rPr>
                <w:rFonts w:ascii="Arial" w:hAnsi="Arial" w:cs="Arial"/>
                <w:b/>
                <w:sz w:val="24"/>
                <w:szCs w:val="24"/>
              </w:rPr>
            </w:pPr>
            <w:r w:rsidRPr="00CF0623">
              <w:rPr>
                <w:rFonts w:ascii="Arial" w:hAnsi="Arial" w:cs="Arial"/>
                <w:b/>
                <w:sz w:val="24"/>
                <w:szCs w:val="24"/>
              </w:rPr>
              <w:t>DÍVIDA PGFN (R$)</w:t>
            </w:r>
          </w:p>
        </w:tc>
        <w:tc>
          <w:tcPr>
            <w:tcW w:w="3544" w:type="dxa"/>
            <w:tcBorders>
              <w:left w:val="single" w:sz="4" w:space="0" w:color="auto"/>
              <w:bottom w:val="single" w:sz="4" w:space="0" w:color="auto"/>
            </w:tcBorders>
            <w:shd w:val="clear" w:color="auto" w:fill="D9D9D9" w:themeFill="background1" w:themeFillShade="D9"/>
          </w:tcPr>
          <w:p w14:paraId="6631DD40" w14:textId="77777777" w:rsidR="00CF0623" w:rsidRPr="00CF0623" w:rsidRDefault="00CF0623" w:rsidP="00EE3640">
            <w:pPr>
              <w:jc w:val="center"/>
              <w:rPr>
                <w:rFonts w:ascii="Arial" w:hAnsi="Arial" w:cs="Arial"/>
                <w:b/>
                <w:sz w:val="24"/>
                <w:szCs w:val="24"/>
              </w:rPr>
            </w:pPr>
            <w:r w:rsidRPr="00CF0623">
              <w:rPr>
                <w:rFonts w:ascii="Arial" w:hAnsi="Arial" w:cs="Arial"/>
                <w:b/>
                <w:sz w:val="24"/>
                <w:szCs w:val="24"/>
              </w:rPr>
              <w:t>DÍVIDA PGFN (ESPECIFICAÇÃO)</w:t>
            </w:r>
          </w:p>
        </w:tc>
      </w:tr>
      <w:tr w:rsidR="00CF0623" w:rsidRPr="00CF0623" w14:paraId="2838ED57" w14:textId="77777777" w:rsidTr="009743AF">
        <w:trPr>
          <w:trHeight w:val="826"/>
        </w:trPr>
        <w:tc>
          <w:tcPr>
            <w:tcW w:w="2405" w:type="dxa"/>
            <w:tcBorders>
              <w:left w:val="single" w:sz="4" w:space="0" w:color="auto"/>
              <w:bottom w:val="single" w:sz="4" w:space="0" w:color="auto"/>
              <w:right w:val="single" w:sz="4" w:space="0" w:color="auto"/>
            </w:tcBorders>
          </w:tcPr>
          <w:p w14:paraId="7F8CB1D1" w14:textId="7F53DCCC" w:rsidR="00CF0623" w:rsidRPr="00D02AFD" w:rsidRDefault="00CF0623" w:rsidP="00D02AFD">
            <w:pPr>
              <w:jc w:val="center"/>
              <w:rPr>
                <w:rFonts w:ascii="Arial" w:hAnsi="Arial" w:cs="Arial"/>
                <w:sz w:val="24"/>
                <w:szCs w:val="24"/>
              </w:rPr>
            </w:pPr>
            <w:r w:rsidRPr="00D02AFD">
              <w:rPr>
                <w:rFonts w:ascii="Arial" w:hAnsi="Arial" w:cs="Arial"/>
                <w:sz w:val="24"/>
                <w:szCs w:val="24"/>
              </w:rPr>
              <w:t>00022244000175</w:t>
            </w:r>
          </w:p>
        </w:tc>
        <w:tc>
          <w:tcPr>
            <w:tcW w:w="5812" w:type="dxa"/>
            <w:tcBorders>
              <w:left w:val="single" w:sz="4" w:space="0" w:color="auto"/>
              <w:bottom w:val="single" w:sz="4" w:space="0" w:color="auto"/>
              <w:right w:val="single" w:sz="4" w:space="0" w:color="auto"/>
            </w:tcBorders>
          </w:tcPr>
          <w:p w14:paraId="538E9550" w14:textId="0F31AD0A" w:rsidR="00CF0623" w:rsidRPr="00CC2030" w:rsidRDefault="009743AF" w:rsidP="009743AF">
            <w:pPr>
              <w:rPr>
                <w:rFonts w:ascii="Arial" w:hAnsi="Arial" w:cs="Arial"/>
                <w:sz w:val="24"/>
                <w:szCs w:val="24"/>
              </w:rPr>
            </w:pPr>
            <w:r w:rsidRPr="00CC2030">
              <w:rPr>
                <w:rFonts w:ascii="Arial" w:hAnsi="Arial" w:cs="Arial"/>
                <w:sz w:val="24"/>
                <w:szCs w:val="24"/>
              </w:rPr>
              <w:t>Copocentro Indústria de Plásticos Ltda</w:t>
            </w:r>
          </w:p>
        </w:tc>
        <w:tc>
          <w:tcPr>
            <w:tcW w:w="2835" w:type="dxa"/>
            <w:tcBorders>
              <w:left w:val="single" w:sz="4" w:space="0" w:color="auto"/>
              <w:bottom w:val="single" w:sz="4" w:space="0" w:color="auto"/>
              <w:right w:val="single" w:sz="4" w:space="0" w:color="auto"/>
            </w:tcBorders>
          </w:tcPr>
          <w:p w14:paraId="50FC414D" w14:textId="77777777" w:rsidR="00313C20" w:rsidRPr="00CC2030" w:rsidRDefault="00313C20" w:rsidP="00313C20">
            <w:pPr>
              <w:jc w:val="right"/>
              <w:rPr>
                <w:rFonts w:ascii="Arial" w:hAnsi="Arial" w:cs="Arial"/>
                <w:b/>
                <w:sz w:val="24"/>
                <w:szCs w:val="24"/>
              </w:rPr>
            </w:pPr>
            <w:r w:rsidRPr="00CC2030">
              <w:rPr>
                <w:rFonts w:ascii="Arial" w:hAnsi="Arial" w:cs="Arial"/>
                <w:b/>
                <w:sz w:val="24"/>
                <w:szCs w:val="24"/>
              </w:rPr>
              <w:t>1.476.224,07</w:t>
            </w:r>
          </w:p>
          <w:p w14:paraId="2002F79B" w14:textId="77777777" w:rsidR="00CF0623" w:rsidRPr="00CC2030" w:rsidRDefault="00CF0623" w:rsidP="00EE3640">
            <w:pPr>
              <w:jc w:val="right"/>
              <w:rPr>
                <w:rFonts w:ascii="Arial" w:hAnsi="Arial" w:cs="Arial"/>
                <w:sz w:val="24"/>
                <w:szCs w:val="24"/>
              </w:rPr>
            </w:pPr>
            <w:r w:rsidRPr="00CC2030">
              <w:rPr>
                <w:rFonts w:ascii="Arial" w:hAnsi="Arial" w:cs="Arial"/>
                <w:sz w:val="24"/>
                <w:szCs w:val="24"/>
              </w:rPr>
              <w:t>8.764.825,77</w:t>
            </w:r>
          </w:p>
          <w:p w14:paraId="686E14AE" w14:textId="77777777" w:rsidR="00CF0623" w:rsidRPr="00CC2030" w:rsidRDefault="00CF0623" w:rsidP="00EE3640">
            <w:pPr>
              <w:jc w:val="right"/>
              <w:rPr>
                <w:rFonts w:ascii="Arial" w:hAnsi="Arial" w:cs="Arial"/>
                <w:sz w:val="24"/>
                <w:szCs w:val="24"/>
              </w:rPr>
            </w:pPr>
            <w:r w:rsidRPr="00CC2030">
              <w:rPr>
                <w:rFonts w:ascii="Arial" w:hAnsi="Arial" w:cs="Arial"/>
                <w:sz w:val="24"/>
                <w:szCs w:val="24"/>
              </w:rPr>
              <w:t>10.241.049,84</w:t>
            </w:r>
          </w:p>
        </w:tc>
        <w:tc>
          <w:tcPr>
            <w:tcW w:w="3544" w:type="dxa"/>
            <w:tcBorders>
              <w:left w:val="single" w:sz="4" w:space="0" w:color="auto"/>
              <w:bottom w:val="single" w:sz="4" w:space="0" w:color="auto"/>
            </w:tcBorders>
          </w:tcPr>
          <w:p w14:paraId="03256CE5" w14:textId="77777777" w:rsidR="00FD5A98" w:rsidRPr="00CC2030" w:rsidRDefault="00FD5A98" w:rsidP="00FD5A98">
            <w:pPr>
              <w:jc w:val="both"/>
              <w:rPr>
                <w:rFonts w:ascii="Arial" w:hAnsi="Arial" w:cs="Arial"/>
                <w:b/>
                <w:sz w:val="24"/>
                <w:szCs w:val="24"/>
              </w:rPr>
            </w:pPr>
            <w:r w:rsidRPr="00CC2030">
              <w:rPr>
                <w:rFonts w:ascii="Arial" w:hAnsi="Arial" w:cs="Arial"/>
                <w:b/>
                <w:sz w:val="24"/>
                <w:szCs w:val="24"/>
              </w:rPr>
              <w:t>Dívida Previdenciária</w:t>
            </w:r>
          </w:p>
          <w:p w14:paraId="621C4A4D" w14:textId="77777777" w:rsidR="00CF0623" w:rsidRPr="00CC2030" w:rsidRDefault="00CF0623" w:rsidP="00CF0623">
            <w:pPr>
              <w:jc w:val="both"/>
              <w:rPr>
                <w:rFonts w:ascii="Arial" w:hAnsi="Arial" w:cs="Arial"/>
                <w:sz w:val="24"/>
                <w:szCs w:val="24"/>
              </w:rPr>
            </w:pPr>
            <w:r w:rsidRPr="00CC2030">
              <w:rPr>
                <w:rFonts w:ascii="Arial" w:hAnsi="Arial" w:cs="Arial"/>
                <w:sz w:val="24"/>
                <w:szCs w:val="24"/>
              </w:rPr>
              <w:t>Demais débitos tributários</w:t>
            </w:r>
          </w:p>
          <w:p w14:paraId="32920E3C" w14:textId="77777777" w:rsidR="00CF0623" w:rsidRPr="00CC2030" w:rsidRDefault="00CF0623" w:rsidP="00CF0623">
            <w:pPr>
              <w:jc w:val="both"/>
              <w:rPr>
                <w:rFonts w:ascii="Arial" w:hAnsi="Arial" w:cs="Arial"/>
                <w:sz w:val="24"/>
                <w:szCs w:val="24"/>
              </w:rPr>
            </w:pPr>
            <w:r w:rsidRPr="00CC2030">
              <w:rPr>
                <w:rFonts w:ascii="Arial" w:hAnsi="Arial" w:cs="Arial"/>
                <w:sz w:val="24"/>
                <w:szCs w:val="24"/>
              </w:rPr>
              <w:t>Total</w:t>
            </w:r>
          </w:p>
        </w:tc>
      </w:tr>
      <w:tr w:rsidR="00CF0623" w:rsidRPr="00CF0623" w14:paraId="668BF789" w14:textId="77777777" w:rsidTr="009743AF">
        <w:trPr>
          <w:trHeight w:val="826"/>
        </w:trPr>
        <w:tc>
          <w:tcPr>
            <w:tcW w:w="2405" w:type="dxa"/>
            <w:tcBorders>
              <w:left w:val="single" w:sz="4" w:space="0" w:color="auto"/>
              <w:right w:val="single" w:sz="4" w:space="0" w:color="auto"/>
            </w:tcBorders>
          </w:tcPr>
          <w:p w14:paraId="347BD14B"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00080671000100</w:t>
            </w:r>
          </w:p>
        </w:tc>
        <w:tc>
          <w:tcPr>
            <w:tcW w:w="5812" w:type="dxa"/>
            <w:tcBorders>
              <w:left w:val="single" w:sz="4" w:space="0" w:color="auto"/>
              <w:right w:val="single" w:sz="4" w:space="0" w:color="auto"/>
            </w:tcBorders>
          </w:tcPr>
          <w:p w14:paraId="0D18F6FA" w14:textId="44119F50" w:rsidR="00CF0623" w:rsidRPr="00CF0623" w:rsidRDefault="00313C20" w:rsidP="00313C20">
            <w:pPr>
              <w:rPr>
                <w:rFonts w:ascii="Arial" w:hAnsi="Arial" w:cs="Arial"/>
                <w:sz w:val="24"/>
                <w:szCs w:val="24"/>
              </w:rPr>
            </w:pPr>
            <w:r>
              <w:rPr>
                <w:rFonts w:ascii="Arial" w:hAnsi="Arial" w:cs="Arial"/>
                <w:sz w:val="24"/>
                <w:szCs w:val="24"/>
              </w:rPr>
              <w:t>Caramuru A</w:t>
            </w:r>
            <w:r w:rsidRPr="00CF0623">
              <w:rPr>
                <w:rFonts w:ascii="Arial" w:hAnsi="Arial" w:cs="Arial"/>
                <w:sz w:val="24"/>
                <w:szCs w:val="24"/>
              </w:rPr>
              <w:t xml:space="preserve">limentos </w:t>
            </w:r>
            <w:r>
              <w:rPr>
                <w:rFonts w:ascii="Arial" w:hAnsi="Arial" w:cs="Arial"/>
                <w:sz w:val="24"/>
                <w:szCs w:val="24"/>
              </w:rPr>
              <w:t>S</w:t>
            </w:r>
            <w:r w:rsidRPr="00CF0623">
              <w:rPr>
                <w:rFonts w:ascii="Arial" w:hAnsi="Arial" w:cs="Arial"/>
                <w:sz w:val="24"/>
                <w:szCs w:val="24"/>
              </w:rPr>
              <w:t>.</w:t>
            </w:r>
            <w:r>
              <w:rPr>
                <w:rFonts w:ascii="Arial" w:hAnsi="Arial" w:cs="Arial"/>
                <w:sz w:val="24"/>
                <w:szCs w:val="24"/>
              </w:rPr>
              <w:t>A</w:t>
            </w:r>
            <w:r w:rsidRPr="00CF0623">
              <w:rPr>
                <w:rFonts w:ascii="Arial" w:hAnsi="Arial" w:cs="Arial"/>
                <w:sz w:val="24"/>
                <w:szCs w:val="24"/>
              </w:rPr>
              <w:t>.</w:t>
            </w:r>
          </w:p>
        </w:tc>
        <w:tc>
          <w:tcPr>
            <w:tcW w:w="2835" w:type="dxa"/>
            <w:tcBorders>
              <w:left w:val="single" w:sz="4" w:space="0" w:color="auto"/>
              <w:right w:val="single" w:sz="4" w:space="0" w:color="auto"/>
            </w:tcBorders>
          </w:tcPr>
          <w:p w14:paraId="6B481AFD" w14:textId="77777777" w:rsidR="00FD5A98" w:rsidRPr="00CF0623" w:rsidRDefault="00FD5A98" w:rsidP="00FD5A98">
            <w:pPr>
              <w:jc w:val="right"/>
              <w:rPr>
                <w:rFonts w:ascii="Arial" w:hAnsi="Arial" w:cs="Arial"/>
                <w:b/>
                <w:sz w:val="24"/>
                <w:szCs w:val="24"/>
              </w:rPr>
            </w:pPr>
            <w:r w:rsidRPr="00CF0623">
              <w:rPr>
                <w:rFonts w:ascii="Arial" w:hAnsi="Arial" w:cs="Arial"/>
                <w:b/>
                <w:sz w:val="24"/>
                <w:szCs w:val="24"/>
              </w:rPr>
              <w:t>614.705,52</w:t>
            </w:r>
          </w:p>
          <w:p w14:paraId="11C7884D"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66.357.347,70</w:t>
            </w:r>
          </w:p>
          <w:p w14:paraId="47D2AC8C"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66.972.053,22</w:t>
            </w:r>
          </w:p>
        </w:tc>
        <w:tc>
          <w:tcPr>
            <w:tcW w:w="3544" w:type="dxa"/>
            <w:tcBorders>
              <w:left w:val="single" w:sz="4" w:space="0" w:color="auto"/>
            </w:tcBorders>
          </w:tcPr>
          <w:p w14:paraId="5A785866" w14:textId="77777777" w:rsidR="00FD5A98" w:rsidRPr="00CF0623" w:rsidRDefault="00FD5A98" w:rsidP="00FD5A98">
            <w:pPr>
              <w:jc w:val="both"/>
              <w:rPr>
                <w:rFonts w:ascii="Arial" w:hAnsi="Arial" w:cs="Arial"/>
                <w:b/>
                <w:sz w:val="24"/>
                <w:szCs w:val="24"/>
              </w:rPr>
            </w:pPr>
            <w:r w:rsidRPr="00CF0623">
              <w:rPr>
                <w:rFonts w:ascii="Arial" w:hAnsi="Arial" w:cs="Arial"/>
                <w:b/>
                <w:sz w:val="24"/>
                <w:szCs w:val="24"/>
              </w:rPr>
              <w:t>Dívida Previdenciária</w:t>
            </w:r>
          </w:p>
          <w:p w14:paraId="78324515"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4AD4F370"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0015E65E" w14:textId="77777777" w:rsidTr="009743AF">
        <w:trPr>
          <w:trHeight w:val="1104"/>
        </w:trPr>
        <w:tc>
          <w:tcPr>
            <w:tcW w:w="2405" w:type="dxa"/>
          </w:tcPr>
          <w:p w14:paraId="113FEC6D"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00552646000181</w:t>
            </w:r>
          </w:p>
        </w:tc>
        <w:tc>
          <w:tcPr>
            <w:tcW w:w="5812" w:type="dxa"/>
          </w:tcPr>
          <w:p w14:paraId="5C5DD927" w14:textId="0F776E4E" w:rsidR="00CF0623" w:rsidRPr="00CF0623" w:rsidRDefault="00B767ED" w:rsidP="00EE3640">
            <w:pPr>
              <w:rPr>
                <w:rFonts w:ascii="Arial" w:hAnsi="Arial" w:cs="Arial"/>
                <w:sz w:val="24"/>
                <w:szCs w:val="24"/>
              </w:rPr>
            </w:pPr>
            <w:r>
              <w:rPr>
                <w:rFonts w:ascii="Arial" w:hAnsi="Arial" w:cs="Arial"/>
                <w:sz w:val="24"/>
                <w:szCs w:val="24"/>
              </w:rPr>
              <w:t>Industria e Comercio d</w:t>
            </w:r>
            <w:r w:rsidRPr="00CF0623">
              <w:rPr>
                <w:rFonts w:ascii="Arial" w:hAnsi="Arial" w:cs="Arial"/>
                <w:sz w:val="24"/>
                <w:szCs w:val="24"/>
              </w:rPr>
              <w:t>e Bebidas Imperial S.A</w:t>
            </w:r>
          </w:p>
        </w:tc>
        <w:tc>
          <w:tcPr>
            <w:tcW w:w="2835" w:type="dxa"/>
          </w:tcPr>
          <w:p w14:paraId="180D6032" w14:textId="77777777" w:rsidR="00FD5A98" w:rsidRPr="00CF0623" w:rsidRDefault="00FD5A98" w:rsidP="00FD5A98">
            <w:pPr>
              <w:jc w:val="right"/>
              <w:rPr>
                <w:rFonts w:ascii="Arial" w:hAnsi="Arial" w:cs="Arial"/>
                <w:b/>
                <w:sz w:val="24"/>
                <w:szCs w:val="24"/>
              </w:rPr>
            </w:pPr>
            <w:r w:rsidRPr="00CF0623">
              <w:rPr>
                <w:rFonts w:ascii="Arial" w:hAnsi="Arial" w:cs="Arial"/>
                <w:b/>
                <w:sz w:val="24"/>
                <w:szCs w:val="24"/>
              </w:rPr>
              <w:t>12.854.946,65</w:t>
            </w:r>
          </w:p>
          <w:p w14:paraId="176098EB"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96.503.857,37</w:t>
            </w:r>
          </w:p>
          <w:p w14:paraId="2C85E350"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542.595,49</w:t>
            </w:r>
          </w:p>
          <w:p w14:paraId="276E4F1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109.901.399,51</w:t>
            </w:r>
          </w:p>
        </w:tc>
        <w:tc>
          <w:tcPr>
            <w:tcW w:w="3544" w:type="dxa"/>
          </w:tcPr>
          <w:p w14:paraId="5A0FCC35" w14:textId="77777777" w:rsidR="00FD5A98" w:rsidRPr="00CF0623" w:rsidRDefault="00FD5A98" w:rsidP="00FD5A98">
            <w:pPr>
              <w:jc w:val="both"/>
              <w:rPr>
                <w:rFonts w:ascii="Arial" w:hAnsi="Arial" w:cs="Arial"/>
                <w:b/>
                <w:sz w:val="24"/>
                <w:szCs w:val="24"/>
              </w:rPr>
            </w:pPr>
            <w:r w:rsidRPr="00CF0623">
              <w:rPr>
                <w:rFonts w:ascii="Arial" w:hAnsi="Arial" w:cs="Arial"/>
                <w:b/>
                <w:sz w:val="24"/>
                <w:szCs w:val="24"/>
              </w:rPr>
              <w:t>Dívida previdenciária</w:t>
            </w:r>
          </w:p>
          <w:p w14:paraId="4DDD6685"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065B3C5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não tributários</w:t>
            </w:r>
          </w:p>
          <w:p w14:paraId="75274F30"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14BD8A47" w14:textId="77777777" w:rsidTr="009743AF">
        <w:trPr>
          <w:trHeight w:val="1661"/>
        </w:trPr>
        <w:tc>
          <w:tcPr>
            <w:tcW w:w="2405" w:type="dxa"/>
          </w:tcPr>
          <w:p w14:paraId="438768DE"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00595322000120</w:t>
            </w:r>
          </w:p>
        </w:tc>
        <w:tc>
          <w:tcPr>
            <w:tcW w:w="5812" w:type="dxa"/>
          </w:tcPr>
          <w:p w14:paraId="3CCEE8E3" w14:textId="49ADEB3B" w:rsidR="00CF0623" w:rsidRPr="00CF0623" w:rsidRDefault="00FD5A98" w:rsidP="00FD5A98">
            <w:pPr>
              <w:rPr>
                <w:rFonts w:ascii="Arial" w:hAnsi="Arial" w:cs="Arial"/>
                <w:sz w:val="24"/>
                <w:szCs w:val="24"/>
              </w:rPr>
            </w:pPr>
            <w:r w:rsidRPr="00CF0623">
              <w:rPr>
                <w:rFonts w:ascii="Arial" w:hAnsi="Arial" w:cs="Arial"/>
                <w:sz w:val="24"/>
                <w:szCs w:val="24"/>
              </w:rPr>
              <w:t>Denusa Destilaria Nova Uniao S</w:t>
            </w:r>
            <w:r>
              <w:rPr>
                <w:rFonts w:ascii="Arial" w:hAnsi="Arial" w:cs="Arial"/>
                <w:sz w:val="24"/>
                <w:szCs w:val="24"/>
              </w:rPr>
              <w:t>A</w:t>
            </w:r>
          </w:p>
        </w:tc>
        <w:tc>
          <w:tcPr>
            <w:tcW w:w="2835" w:type="dxa"/>
          </w:tcPr>
          <w:p w14:paraId="516EF6BD" w14:textId="77777777" w:rsidR="00FD5A98" w:rsidRPr="00CF0623" w:rsidRDefault="00FD5A98" w:rsidP="00FD5A98">
            <w:pPr>
              <w:jc w:val="right"/>
              <w:rPr>
                <w:rFonts w:ascii="Arial" w:hAnsi="Arial" w:cs="Arial"/>
                <w:b/>
                <w:sz w:val="24"/>
                <w:szCs w:val="24"/>
              </w:rPr>
            </w:pPr>
            <w:r w:rsidRPr="00CF0623">
              <w:rPr>
                <w:rFonts w:ascii="Arial" w:hAnsi="Arial" w:cs="Arial"/>
                <w:b/>
                <w:sz w:val="24"/>
                <w:szCs w:val="24"/>
              </w:rPr>
              <w:t>105.389.256,75</w:t>
            </w:r>
          </w:p>
          <w:p w14:paraId="68C916F1"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14.593.469,77</w:t>
            </w:r>
          </w:p>
          <w:p w14:paraId="68DA6A8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195.438,24</w:t>
            </w:r>
          </w:p>
          <w:p w14:paraId="1E35B18F"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51.228.897,07</w:t>
            </w:r>
          </w:p>
          <w:p w14:paraId="0CE97FBD"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124.797,51</w:t>
            </w:r>
          </w:p>
          <w:p w14:paraId="74D61F64"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171.531.859,34</w:t>
            </w:r>
          </w:p>
        </w:tc>
        <w:tc>
          <w:tcPr>
            <w:tcW w:w="3544" w:type="dxa"/>
          </w:tcPr>
          <w:p w14:paraId="31CABE1A" w14:textId="77777777" w:rsidR="00FD5A98" w:rsidRPr="00CF0623" w:rsidRDefault="00FD5A98" w:rsidP="00FD5A98">
            <w:pPr>
              <w:jc w:val="both"/>
              <w:rPr>
                <w:rFonts w:ascii="Arial" w:hAnsi="Arial" w:cs="Arial"/>
                <w:b/>
                <w:sz w:val="24"/>
                <w:szCs w:val="24"/>
              </w:rPr>
            </w:pPr>
            <w:r w:rsidRPr="00CF0623">
              <w:rPr>
                <w:rFonts w:ascii="Arial" w:hAnsi="Arial" w:cs="Arial"/>
                <w:b/>
                <w:sz w:val="24"/>
                <w:szCs w:val="24"/>
              </w:rPr>
              <w:t>Dívida previdenciária</w:t>
            </w:r>
          </w:p>
          <w:p w14:paraId="557F4633"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4D97A6E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4DEB9B4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não tributários</w:t>
            </w:r>
          </w:p>
          <w:p w14:paraId="62B1C491"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FGTS</w:t>
            </w:r>
          </w:p>
          <w:p w14:paraId="58CEE895"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76099139" w14:textId="77777777" w:rsidTr="009743AF">
        <w:trPr>
          <w:trHeight w:val="1104"/>
        </w:trPr>
        <w:tc>
          <w:tcPr>
            <w:tcW w:w="2405" w:type="dxa"/>
          </w:tcPr>
          <w:p w14:paraId="17405CF7"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00770676000164</w:t>
            </w:r>
          </w:p>
        </w:tc>
        <w:tc>
          <w:tcPr>
            <w:tcW w:w="5812" w:type="dxa"/>
          </w:tcPr>
          <w:p w14:paraId="1B3B3065" w14:textId="317D6668" w:rsidR="00CF0623" w:rsidRPr="00CF0623" w:rsidRDefault="00237938" w:rsidP="00EE3640">
            <w:pPr>
              <w:rPr>
                <w:rFonts w:ascii="Arial" w:hAnsi="Arial" w:cs="Arial"/>
                <w:sz w:val="24"/>
                <w:szCs w:val="24"/>
              </w:rPr>
            </w:pPr>
            <w:r w:rsidRPr="00CF0623">
              <w:rPr>
                <w:rFonts w:ascii="Arial" w:hAnsi="Arial" w:cs="Arial"/>
                <w:sz w:val="24"/>
                <w:szCs w:val="24"/>
              </w:rPr>
              <w:t xml:space="preserve">Ultra-Flex Colchões Indústria Brasileira </w:t>
            </w:r>
            <w:r w:rsidR="007E0CD9" w:rsidRPr="00CF0623">
              <w:rPr>
                <w:rFonts w:ascii="Arial" w:hAnsi="Arial" w:cs="Arial"/>
                <w:sz w:val="24"/>
                <w:szCs w:val="24"/>
              </w:rPr>
              <w:t>Ltda.</w:t>
            </w:r>
          </w:p>
        </w:tc>
        <w:tc>
          <w:tcPr>
            <w:tcW w:w="2835" w:type="dxa"/>
          </w:tcPr>
          <w:p w14:paraId="2E8D8E64" w14:textId="77777777" w:rsidR="00FD5A98" w:rsidRPr="00CF0623" w:rsidRDefault="00FD5A98" w:rsidP="00FD5A98">
            <w:pPr>
              <w:jc w:val="right"/>
              <w:rPr>
                <w:rFonts w:ascii="Arial" w:hAnsi="Arial" w:cs="Arial"/>
                <w:b/>
                <w:sz w:val="24"/>
                <w:szCs w:val="24"/>
              </w:rPr>
            </w:pPr>
            <w:r w:rsidRPr="00CF0623">
              <w:rPr>
                <w:rFonts w:ascii="Arial" w:hAnsi="Arial" w:cs="Arial"/>
                <w:b/>
                <w:sz w:val="24"/>
                <w:szCs w:val="24"/>
              </w:rPr>
              <w:t>3.551.783,86</w:t>
            </w:r>
          </w:p>
          <w:p w14:paraId="48BC632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5.477.809,22</w:t>
            </w:r>
          </w:p>
          <w:p w14:paraId="56FC7752"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9.737,80</w:t>
            </w:r>
          </w:p>
          <w:p w14:paraId="2E7A70E9"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9.039.330,88</w:t>
            </w:r>
          </w:p>
        </w:tc>
        <w:tc>
          <w:tcPr>
            <w:tcW w:w="3544" w:type="dxa"/>
          </w:tcPr>
          <w:p w14:paraId="088C5890" w14:textId="77777777" w:rsidR="00FD5A98" w:rsidRPr="00CF0623" w:rsidRDefault="00FD5A98" w:rsidP="00FD5A98">
            <w:pPr>
              <w:jc w:val="both"/>
              <w:rPr>
                <w:rFonts w:ascii="Arial" w:hAnsi="Arial" w:cs="Arial"/>
                <w:b/>
                <w:sz w:val="24"/>
                <w:szCs w:val="24"/>
              </w:rPr>
            </w:pPr>
            <w:r w:rsidRPr="00CF0623">
              <w:rPr>
                <w:rFonts w:ascii="Arial" w:hAnsi="Arial" w:cs="Arial"/>
                <w:b/>
                <w:sz w:val="24"/>
                <w:szCs w:val="24"/>
              </w:rPr>
              <w:t>Dívida previdenciária</w:t>
            </w:r>
          </w:p>
          <w:p w14:paraId="2A4A789B"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07EE4E39"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5C3B9D2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599330D4" w14:textId="77777777" w:rsidTr="009743AF">
        <w:trPr>
          <w:trHeight w:val="547"/>
        </w:trPr>
        <w:tc>
          <w:tcPr>
            <w:tcW w:w="2405" w:type="dxa"/>
          </w:tcPr>
          <w:p w14:paraId="119E70EE"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00771345000149</w:t>
            </w:r>
          </w:p>
        </w:tc>
        <w:tc>
          <w:tcPr>
            <w:tcW w:w="5812" w:type="dxa"/>
          </w:tcPr>
          <w:p w14:paraId="065F0639" w14:textId="7B2C405F" w:rsidR="00CF0623" w:rsidRPr="00CF0623" w:rsidRDefault="00237938" w:rsidP="00237938">
            <w:pPr>
              <w:rPr>
                <w:rFonts w:ascii="Arial" w:hAnsi="Arial" w:cs="Arial"/>
                <w:sz w:val="24"/>
                <w:szCs w:val="24"/>
              </w:rPr>
            </w:pPr>
            <w:r w:rsidRPr="00CF0623">
              <w:rPr>
                <w:rFonts w:ascii="Arial" w:hAnsi="Arial" w:cs="Arial"/>
                <w:sz w:val="24"/>
                <w:szCs w:val="24"/>
              </w:rPr>
              <w:t>S</w:t>
            </w:r>
            <w:r>
              <w:rPr>
                <w:rFonts w:ascii="Arial" w:hAnsi="Arial" w:cs="Arial"/>
                <w:sz w:val="24"/>
                <w:szCs w:val="24"/>
              </w:rPr>
              <w:t>TA</w:t>
            </w:r>
            <w:r w:rsidRPr="00CF0623">
              <w:rPr>
                <w:rFonts w:ascii="Arial" w:hAnsi="Arial" w:cs="Arial"/>
                <w:sz w:val="24"/>
                <w:szCs w:val="24"/>
              </w:rPr>
              <w:t xml:space="preserve"> Maquinas </w:t>
            </w:r>
            <w:r w:rsidR="007E0CD9" w:rsidRPr="00CF0623">
              <w:rPr>
                <w:rFonts w:ascii="Arial" w:hAnsi="Arial" w:cs="Arial"/>
                <w:sz w:val="24"/>
                <w:szCs w:val="24"/>
              </w:rPr>
              <w:t>Ltda.</w:t>
            </w:r>
          </w:p>
        </w:tc>
        <w:tc>
          <w:tcPr>
            <w:tcW w:w="2835" w:type="dxa"/>
          </w:tcPr>
          <w:p w14:paraId="067E6F2F"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131.002,38</w:t>
            </w:r>
          </w:p>
          <w:p w14:paraId="3B7C1393"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131.002,38</w:t>
            </w:r>
          </w:p>
        </w:tc>
        <w:tc>
          <w:tcPr>
            <w:tcW w:w="3544" w:type="dxa"/>
          </w:tcPr>
          <w:p w14:paraId="2207BC68"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1DD398A2"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0DB77E36" w14:textId="77777777" w:rsidTr="009743AF">
        <w:trPr>
          <w:trHeight w:val="1104"/>
        </w:trPr>
        <w:tc>
          <w:tcPr>
            <w:tcW w:w="2405" w:type="dxa"/>
          </w:tcPr>
          <w:p w14:paraId="69BACF03"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00894372000109</w:t>
            </w:r>
          </w:p>
        </w:tc>
        <w:tc>
          <w:tcPr>
            <w:tcW w:w="5812" w:type="dxa"/>
          </w:tcPr>
          <w:p w14:paraId="3EA49343" w14:textId="020F56D0" w:rsidR="00CF0623" w:rsidRPr="00CF0623" w:rsidRDefault="00CF0623" w:rsidP="00EE3640">
            <w:pPr>
              <w:rPr>
                <w:rFonts w:ascii="Arial" w:hAnsi="Arial" w:cs="Arial"/>
                <w:sz w:val="24"/>
                <w:szCs w:val="24"/>
              </w:rPr>
            </w:pPr>
            <w:r w:rsidRPr="00CF0623">
              <w:rPr>
                <w:rFonts w:ascii="Arial" w:hAnsi="Arial" w:cs="Arial"/>
                <w:sz w:val="24"/>
                <w:szCs w:val="24"/>
              </w:rPr>
              <w:t xml:space="preserve">MB </w:t>
            </w:r>
            <w:r w:rsidR="00237938" w:rsidRPr="00CF0623">
              <w:rPr>
                <w:rFonts w:ascii="Arial" w:hAnsi="Arial" w:cs="Arial"/>
                <w:sz w:val="24"/>
                <w:szCs w:val="24"/>
              </w:rPr>
              <w:t xml:space="preserve">Textil </w:t>
            </w:r>
            <w:r w:rsidR="007E0CD9" w:rsidRPr="00CF0623">
              <w:rPr>
                <w:rFonts w:ascii="Arial" w:hAnsi="Arial" w:cs="Arial"/>
                <w:sz w:val="24"/>
                <w:szCs w:val="24"/>
              </w:rPr>
              <w:t>Ltda.</w:t>
            </w:r>
          </w:p>
        </w:tc>
        <w:tc>
          <w:tcPr>
            <w:tcW w:w="2835" w:type="dxa"/>
          </w:tcPr>
          <w:p w14:paraId="0520D351" w14:textId="77777777" w:rsidR="00237938" w:rsidRPr="00CF0623" w:rsidRDefault="00237938" w:rsidP="00237938">
            <w:pPr>
              <w:jc w:val="right"/>
              <w:rPr>
                <w:rFonts w:ascii="Arial" w:hAnsi="Arial" w:cs="Arial"/>
                <w:b/>
                <w:sz w:val="24"/>
                <w:szCs w:val="24"/>
              </w:rPr>
            </w:pPr>
            <w:r w:rsidRPr="00CF0623">
              <w:rPr>
                <w:rFonts w:ascii="Arial" w:hAnsi="Arial" w:cs="Arial"/>
                <w:b/>
                <w:sz w:val="24"/>
                <w:szCs w:val="24"/>
              </w:rPr>
              <w:t>3.383.029,19</w:t>
            </w:r>
          </w:p>
          <w:p w14:paraId="4AB23DC4"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3.094.630,69</w:t>
            </w:r>
          </w:p>
          <w:p w14:paraId="7F687F8F"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54.474,75</w:t>
            </w:r>
          </w:p>
          <w:p w14:paraId="66F28F34"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6.532.134,63</w:t>
            </w:r>
          </w:p>
        </w:tc>
        <w:tc>
          <w:tcPr>
            <w:tcW w:w="3544" w:type="dxa"/>
            <w:tcBorders>
              <w:top w:val="single" w:sz="4" w:space="0" w:color="auto"/>
            </w:tcBorders>
          </w:tcPr>
          <w:p w14:paraId="0FFFF44B" w14:textId="77777777" w:rsidR="00237938" w:rsidRPr="00CF0623" w:rsidRDefault="00237938" w:rsidP="00237938">
            <w:pPr>
              <w:jc w:val="both"/>
              <w:rPr>
                <w:rFonts w:ascii="Arial" w:hAnsi="Arial" w:cs="Arial"/>
                <w:b/>
                <w:sz w:val="24"/>
                <w:szCs w:val="24"/>
              </w:rPr>
            </w:pPr>
            <w:r w:rsidRPr="00CF0623">
              <w:rPr>
                <w:rFonts w:ascii="Arial" w:hAnsi="Arial" w:cs="Arial"/>
                <w:b/>
                <w:sz w:val="24"/>
                <w:szCs w:val="24"/>
              </w:rPr>
              <w:t>Dívida previdenciária</w:t>
            </w:r>
          </w:p>
          <w:p w14:paraId="026C9A4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69FBCDFB"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FGTS</w:t>
            </w:r>
          </w:p>
          <w:p w14:paraId="7C1A0825"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422DC845" w14:textId="77777777" w:rsidTr="009743AF">
        <w:trPr>
          <w:trHeight w:val="826"/>
        </w:trPr>
        <w:tc>
          <w:tcPr>
            <w:tcW w:w="2405" w:type="dxa"/>
          </w:tcPr>
          <w:p w14:paraId="49227D02"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lastRenderedPageBreak/>
              <w:t>01535822000130</w:t>
            </w:r>
          </w:p>
        </w:tc>
        <w:tc>
          <w:tcPr>
            <w:tcW w:w="5812" w:type="dxa"/>
          </w:tcPr>
          <w:p w14:paraId="4B22926A" w14:textId="698D554A" w:rsidR="00CF0623" w:rsidRPr="00CF0623" w:rsidRDefault="00237938" w:rsidP="00EE3640">
            <w:pPr>
              <w:rPr>
                <w:rFonts w:ascii="Arial" w:hAnsi="Arial" w:cs="Arial"/>
                <w:sz w:val="24"/>
                <w:szCs w:val="24"/>
              </w:rPr>
            </w:pPr>
            <w:r>
              <w:rPr>
                <w:rFonts w:ascii="Arial" w:hAnsi="Arial" w:cs="Arial"/>
                <w:sz w:val="24"/>
                <w:szCs w:val="24"/>
              </w:rPr>
              <w:t>Goiarte Soluções Construtivas e</w:t>
            </w:r>
            <w:r w:rsidRPr="00CF0623">
              <w:rPr>
                <w:rFonts w:ascii="Arial" w:hAnsi="Arial" w:cs="Arial"/>
                <w:sz w:val="24"/>
                <w:szCs w:val="24"/>
              </w:rPr>
              <w:t xml:space="preserve">m Concreto </w:t>
            </w:r>
            <w:r w:rsidR="007E0CD9" w:rsidRPr="00CF0623">
              <w:rPr>
                <w:rFonts w:ascii="Arial" w:hAnsi="Arial" w:cs="Arial"/>
                <w:sz w:val="24"/>
                <w:szCs w:val="24"/>
              </w:rPr>
              <w:t>Ltda.</w:t>
            </w:r>
          </w:p>
        </w:tc>
        <w:tc>
          <w:tcPr>
            <w:tcW w:w="2835" w:type="dxa"/>
          </w:tcPr>
          <w:p w14:paraId="35F1D132" w14:textId="77777777" w:rsidR="00237938" w:rsidRPr="00CF0623" w:rsidRDefault="00237938" w:rsidP="00237938">
            <w:pPr>
              <w:jc w:val="right"/>
              <w:rPr>
                <w:rFonts w:ascii="Arial" w:hAnsi="Arial" w:cs="Arial"/>
                <w:b/>
                <w:sz w:val="24"/>
                <w:szCs w:val="24"/>
              </w:rPr>
            </w:pPr>
            <w:r w:rsidRPr="00CF0623">
              <w:rPr>
                <w:rFonts w:ascii="Arial" w:hAnsi="Arial" w:cs="Arial"/>
                <w:b/>
                <w:sz w:val="24"/>
                <w:szCs w:val="24"/>
              </w:rPr>
              <w:t>508.493,37</w:t>
            </w:r>
          </w:p>
          <w:p w14:paraId="0857BA70"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1.158.510,68</w:t>
            </w:r>
          </w:p>
          <w:p w14:paraId="6BDA3923"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1.667.004,05</w:t>
            </w:r>
          </w:p>
        </w:tc>
        <w:tc>
          <w:tcPr>
            <w:tcW w:w="3544" w:type="dxa"/>
          </w:tcPr>
          <w:p w14:paraId="04EBE971" w14:textId="77777777" w:rsidR="00237938" w:rsidRPr="00CF0623" w:rsidRDefault="00237938" w:rsidP="00237938">
            <w:pPr>
              <w:jc w:val="both"/>
              <w:rPr>
                <w:rFonts w:ascii="Arial" w:hAnsi="Arial" w:cs="Arial"/>
                <w:b/>
                <w:sz w:val="24"/>
                <w:szCs w:val="24"/>
              </w:rPr>
            </w:pPr>
            <w:r w:rsidRPr="00CF0623">
              <w:rPr>
                <w:rFonts w:ascii="Arial" w:hAnsi="Arial" w:cs="Arial"/>
                <w:b/>
                <w:sz w:val="24"/>
                <w:szCs w:val="24"/>
              </w:rPr>
              <w:t>Dívida previdenciária</w:t>
            </w:r>
          </w:p>
          <w:p w14:paraId="2DCED31A"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7E454324"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67F0BAAC" w14:textId="77777777" w:rsidTr="009743AF">
        <w:trPr>
          <w:trHeight w:val="826"/>
        </w:trPr>
        <w:tc>
          <w:tcPr>
            <w:tcW w:w="2405" w:type="dxa"/>
            <w:tcBorders>
              <w:bottom w:val="single" w:sz="4" w:space="0" w:color="auto"/>
            </w:tcBorders>
          </w:tcPr>
          <w:p w14:paraId="5D7B97C8"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01851716000165</w:t>
            </w:r>
          </w:p>
        </w:tc>
        <w:tc>
          <w:tcPr>
            <w:tcW w:w="5812" w:type="dxa"/>
            <w:tcBorders>
              <w:bottom w:val="single" w:sz="4" w:space="0" w:color="auto"/>
            </w:tcBorders>
          </w:tcPr>
          <w:p w14:paraId="697AB37D" w14:textId="3D2E8EFA" w:rsidR="00CF0623" w:rsidRPr="00CF0623" w:rsidRDefault="00CF0623" w:rsidP="00EE3640">
            <w:pPr>
              <w:rPr>
                <w:rFonts w:ascii="Arial" w:hAnsi="Arial" w:cs="Arial"/>
                <w:sz w:val="24"/>
                <w:szCs w:val="24"/>
              </w:rPr>
            </w:pPr>
            <w:r w:rsidRPr="00CF0623">
              <w:rPr>
                <w:rFonts w:ascii="Arial" w:hAnsi="Arial" w:cs="Arial"/>
                <w:sz w:val="24"/>
                <w:szCs w:val="24"/>
              </w:rPr>
              <w:t xml:space="preserve">CIPA </w:t>
            </w:r>
            <w:r w:rsidR="00B767ED">
              <w:rPr>
                <w:rFonts w:ascii="Arial" w:hAnsi="Arial" w:cs="Arial"/>
                <w:sz w:val="24"/>
                <w:szCs w:val="24"/>
              </w:rPr>
              <w:t>Industrial d</w:t>
            </w:r>
            <w:r w:rsidR="00237938" w:rsidRPr="00CF0623">
              <w:rPr>
                <w:rFonts w:ascii="Arial" w:hAnsi="Arial" w:cs="Arial"/>
                <w:sz w:val="24"/>
                <w:szCs w:val="24"/>
              </w:rPr>
              <w:t xml:space="preserve">e Produtos Alimentares </w:t>
            </w:r>
            <w:r w:rsidR="007E0CD9" w:rsidRPr="00CF0623">
              <w:rPr>
                <w:rFonts w:ascii="Arial" w:hAnsi="Arial" w:cs="Arial"/>
                <w:sz w:val="24"/>
                <w:szCs w:val="24"/>
              </w:rPr>
              <w:t>Ltda.</w:t>
            </w:r>
            <w:r w:rsidR="00237938" w:rsidRPr="00CF0623">
              <w:rPr>
                <w:rFonts w:ascii="Arial" w:hAnsi="Arial" w:cs="Arial"/>
                <w:sz w:val="24"/>
                <w:szCs w:val="24"/>
              </w:rPr>
              <w:t xml:space="preserve"> - Mabel</w:t>
            </w:r>
          </w:p>
        </w:tc>
        <w:tc>
          <w:tcPr>
            <w:tcW w:w="2835" w:type="dxa"/>
            <w:tcBorders>
              <w:bottom w:val="single" w:sz="4" w:space="0" w:color="auto"/>
            </w:tcBorders>
          </w:tcPr>
          <w:p w14:paraId="746B6455" w14:textId="77777777" w:rsidR="00237938" w:rsidRPr="00CF0623" w:rsidRDefault="00237938" w:rsidP="00237938">
            <w:pPr>
              <w:jc w:val="right"/>
              <w:rPr>
                <w:rFonts w:ascii="Arial" w:hAnsi="Arial" w:cs="Arial"/>
                <w:b/>
                <w:sz w:val="24"/>
                <w:szCs w:val="24"/>
              </w:rPr>
            </w:pPr>
            <w:r w:rsidRPr="00CF0623">
              <w:rPr>
                <w:rFonts w:ascii="Arial" w:hAnsi="Arial" w:cs="Arial"/>
                <w:b/>
                <w:sz w:val="24"/>
                <w:szCs w:val="24"/>
              </w:rPr>
              <w:t>151.132,18</w:t>
            </w:r>
          </w:p>
          <w:p w14:paraId="2344A87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1.231.012,98</w:t>
            </w:r>
          </w:p>
          <w:p w14:paraId="38A3E74D"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1.382.145,16</w:t>
            </w:r>
          </w:p>
        </w:tc>
        <w:tc>
          <w:tcPr>
            <w:tcW w:w="3544" w:type="dxa"/>
            <w:tcBorders>
              <w:bottom w:val="single" w:sz="4" w:space="0" w:color="auto"/>
            </w:tcBorders>
          </w:tcPr>
          <w:p w14:paraId="43E86F3E" w14:textId="77777777" w:rsidR="00237938" w:rsidRPr="00CF0623" w:rsidRDefault="00237938" w:rsidP="00237938">
            <w:pPr>
              <w:jc w:val="both"/>
              <w:rPr>
                <w:rFonts w:ascii="Arial" w:hAnsi="Arial" w:cs="Arial"/>
                <w:b/>
                <w:sz w:val="24"/>
                <w:szCs w:val="24"/>
              </w:rPr>
            </w:pPr>
            <w:r w:rsidRPr="00CF0623">
              <w:rPr>
                <w:rFonts w:ascii="Arial" w:hAnsi="Arial" w:cs="Arial"/>
                <w:b/>
                <w:sz w:val="24"/>
                <w:szCs w:val="24"/>
              </w:rPr>
              <w:t>Dívida previdenciária</w:t>
            </w:r>
          </w:p>
          <w:p w14:paraId="02ED59E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733C3601"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5BD7F5F3" w14:textId="77777777" w:rsidTr="009743AF">
        <w:trPr>
          <w:trHeight w:val="1104"/>
        </w:trPr>
        <w:tc>
          <w:tcPr>
            <w:tcW w:w="2405" w:type="dxa"/>
          </w:tcPr>
          <w:p w14:paraId="53E13606"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02414858000470</w:t>
            </w:r>
          </w:p>
        </w:tc>
        <w:tc>
          <w:tcPr>
            <w:tcW w:w="5812" w:type="dxa"/>
          </w:tcPr>
          <w:p w14:paraId="01E26990" w14:textId="158FAED0" w:rsidR="00CF0623" w:rsidRPr="00CF0623" w:rsidRDefault="00CF0623" w:rsidP="00EE3640">
            <w:pPr>
              <w:rPr>
                <w:rFonts w:ascii="Arial" w:hAnsi="Arial" w:cs="Arial"/>
                <w:sz w:val="24"/>
                <w:szCs w:val="24"/>
              </w:rPr>
            </w:pPr>
            <w:r w:rsidRPr="00CF0623">
              <w:rPr>
                <w:rFonts w:ascii="Arial" w:hAnsi="Arial" w:cs="Arial"/>
                <w:sz w:val="24"/>
                <w:szCs w:val="24"/>
              </w:rPr>
              <w:t xml:space="preserve">VALE </w:t>
            </w:r>
            <w:r w:rsidR="00AB6531" w:rsidRPr="00CF0623">
              <w:rPr>
                <w:rFonts w:ascii="Arial" w:hAnsi="Arial" w:cs="Arial"/>
                <w:sz w:val="24"/>
                <w:szCs w:val="24"/>
              </w:rPr>
              <w:t xml:space="preserve">Verde Empreendimentos Agrícolas </w:t>
            </w:r>
            <w:r w:rsidR="007E0CD9" w:rsidRPr="00CF0623">
              <w:rPr>
                <w:rFonts w:ascii="Arial" w:hAnsi="Arial" w:cs="Arial"/>
                <w:sz w:val="24"/>
                <w:szCs w:val="24"/>
              </w:rPr>
              <w:t>Ltda.</w:t>
            </w:r>
          </w:p>
        </w:tc>
        <w:tc>
          <w:tcPr>
            <w:tcW w:w="2835" w:type="dxa"/>
          </w:tcPr>
          <w:p w14:paraId="65F86392"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1.126.343,52</w:t>
            </w:r>
          </w:p>
          <w:p w14:paraId="0510C2F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3.516.594,69</w:t>
            </w:r>
          </w:p>
          <w:p w14:paraId="6F144FED"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25.939,80</w:t>
            </w:r>
          </w:p>
          <w:p w14:paraId="794B1AE6"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4.668.878,01</w:t>
            </w:r>
          </w:p>
        </w:tc>
        <w:tc>
          <w:tcPr>
            <w:tcW w:w="3544" w:type="dxa"/>
          </w:tcPr>
          <w:p w14:paraId="5153E7A9"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1AEB0CD9"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46589B20"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não tributários</w:t>
            </w:r>
          </w:p>
          <w:p w14:paraId="5044009A"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6D46AB09" w14:textId="77777777" w:rsidTr="009743AF">
        <w:trPr>
          <w:trHeight w:val="1383"/>
        </w:trPr>
        <w:tc>
          <w:tcPr>
            <w:tcW w:w="2405" w:type="dxa"/>
          </w:tcPr>
          <w:p w14:paraId="26DDBAC6"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02780550000104</w:t>
            </w:r>
          </w:p>
        </w:tc>
        <w:tc>
          <w:tcPr>
            <w:tcW w:w="5812" w:type="dxa"/>
          </w:tcPr>
          <w:p w14:paraId="23530EA1" w14:textId="38B9E09A" w:rsidR="00CF0623" w:rsidRPr="00CF0623" w:rsidRDefault="00B767ED" w:rsidP="00EE3640">
            <w:pPr>
              <w:rPr>
                <w:rFonts w:ascii="Arial" w:hAnsi="Arial" w:cs="Arial"/>
                <w:sz w:val="24"/>
                <w:szCs w:val="24"/>
              </w:rPr>
            </w:pPr>
            <w:r>
              <w:rPr>
                <w:rFonts w:ascii="Arial" w:hAnsi="Arial" w:cs="Arial"/>
                <w:sz w:val="24"/>
                <w:szCs w:val="24"/>
              </w:rPr>
              <w:t>Industria d</w:t>
            </w:r>
            <w:r w:rsidR="00AB6531" w:rsidRPr="00CF0623">
              <w:rPr>
                <w:rFonts w:ascii="Arial" w:hAnsi="Arial" w:cs="Arial"/>
                <w:sz w:val="24"/>
                <w:szCs w:val="24"/>
              </w:rPr>
              <w:t xml:space="preserve">e Alimentos Centro Oeste </w:t>
            </w:r>
            <w:r w:rsidR="007E0CD9" w:rsidRPr="00CF0623">
              <w:rPr>
                <w:rFonts w:ascii="Arial" w:hAnsi="Arial" w:cs="Arial"/>
                <w:sz w:val="24"/>
                <w:szCs w:val="24"/>
              </w:rPr>
              <w:t>Ltda.</w:t>
            </w:r>
          </w:p>
        </w:tc>
        <w:tc>
          <w:tcPr>
            <w:tcW w:w="2835" w:type="dxa"/>
          </w:tcPr>
          <w:p w14:paraId="03A8D8C2" w14:textId="77777777" w:rsidR="00AB6531" w:rsidRPr="00CF0623" w:rsidRDefault="00AB6531" w:rsidP="00AB6531">
            <w:pPr>
              <w:jc w:val="right"/>
              <w:rPr>
                <w:rFonts w:ascii="Arial" w:hAnsi="Arial" w:cs="Arial"/>
                <w:b/>
                <w:sz w:val="24"/>
                <w:szCs w:val="24"/>
              </w:rPr>
            </w:pPr>
            <w:r w:rsidRPr="00CF0623">
              <w:rPr>
                <w:rFonts w:ascii="Arial" w:hAnsi="Arial" w:cs="Arial"/>
                <w:b/>
                <w:sz w:val="24"/>
                <w:szCs w:val="24"/>
              </w:rPr>
              <w:t>1.432.987,01</w:t>
            </w:r>
          </w:p>
          <w:p w14:paraId="44650204"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3.023,46</w:t>
            </w:r>
          </w:p>
          <w:p w14:paraId="325F61B6"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24.414,26</w:t>
            </w:r>
          </w:p>
          <w:p w14:paraId="103456A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25.875,27</w:t>
            </w:r>
          </w:p>
          <w:p w14:paraId="42ED7F8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1.486.300</w:t>
            </w:r>
          </w:p>
        </w:tc>
        <w:tc>
          <w:tcPr>
            <w:tcW w:w="3544" w:type="dxa"/>
          </w:tcPr>
          <w:p w14:paraId="51471CD2" w14:textId="77777777" w:rsidR="00AB6531" w:rsidRPr="00CF0623" w:rsidRDefault="00AB6531" w:rsidP="00AB6531">
            <w:pPr>
              <w:jc w:val="both"/>
              <w:rPr>
                <w:rFonts w:ascii="Arial" w:hAnsi="Arial" w:cs="Arial"/>
                <w:b/>
                <w:sz w:val="24"/>
                <w:szCs w:val="24"/>
              </w:rPr>
            </w:pPr>
            <w:r w:rsidRPr="00CF0623">
              <w:rPr>
                <w:rFonts w:ascii="Arial" w:hAnsi="Arial" w:cs="Arial"/>
                <w:b/>
                <w:sz w:val="24"/>
                <w:szCs w:val="24"/>
              </w:rPr>
              <w:t>Dívida previdenciária</w:t>
            </w:r>
          </w:p>
          <w:p w14:paraId="2C42AB6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50D41AB9"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7411FBA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FGTS</w:t>
            </w:r>
          </w:p>
          <w:p w14:paraId="70F11F32"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15022617" w14:textId="77777777" w:rsidTr="009743AF">
        <w:trPr>
          <w:trHeight w:val="1661"/>
        </w:trPr>
        <w:tc>
          <w:tcPr>
            <w:tcW w:w="2405" w:type="dxa"/>
          </w:tcPr>
          <w:p w14:paraId="1C526236"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02783009000141</w:t>
            </w:r>
          </w:p>
        </w:tc>
        <w:tc>
          <w:tcPr>
            <w:tcW w:w="5812" w:type="dxa"/>
          </w:tcPr>
          <w:p w14:paraId="1F8E5FC6" w14:textId="48729716" w:rsidR="00CF0623" w:rsidRPr="00CF0623" w:rsidRDefault="00B767ED" w:rsidP="00EE3640">
            <w:pPr>
              <w:rPr>
                <w:rFonts w:ascii="Arial" w:hAnsi="Arial" w:cs="Arial"/>
                <w:sz w:val="24"/>
                <w:szCs w:val="24"/>
              </w:rPr>
            </w:pPr>
            <w:r>
              <w:rPr>
                <w:rFonts w:ascii="Arial" w:hAnsi="Arial" w:cs="Arial"/>
                <w:sz w:val="24"/>
                <w:szCs w:val="24"/>
              </w:rPr>
              <w:t>Anicuns S A Alcool e</w:t>
            </w:r>
            <w:r w:rsidR="00AB6531" w:rsidRPr="00CF0623">
              <w:rPr>
                <w:rFonts w:ascii="Arial" w:hAnsi="Arial" w:cs="Arial"/>
                <w:sz w:val="24"/>
                <w:szCs w:val="24"/>
              </w:rPr>
              <w:t xml:space="preserve"> Derivados</w:t>
            </w:r>
          </w:p>
        </w:tc>
        <w:tc>
          <w:tcPr>
            <w:tcW w:w="2835" w:type="dxa"/>
          </w:tcPr>
          <w:p w14:paraId="5D03C7DF" w14:textId="77777777" w:rsidR="00AB6531" w:rsidRPr="00CF0623" w:rsidRDefault="00AB6531" w:rsidP="00AB6531">
            <w:pPr>
              <w:jc w:val="right"/>
              <w:rPr>
                <w:rFonts w:ascii="Arial" w:hAnsi="Arial" w:cs="Arial"/>
                <w:b/>
                <w:sz w:val="24"/>
                <w:szCs w:val="24"/>
              </w:rPr>
            </w:pPr>
            <w:r w:rsidRPr="00CF0623">
              <w:rPr>
                <w:rFonts w:ascii="Arial" w:hAnsi="Arial" w:cs="Arial"/>
                <w:b/>
                <w:sz w:val="24"/>
                <w:szCs w:val="24"/>
              </w:rPr>
              <w:t>166.663.650,56</w:t>
            </w:r>
          </w:p>
          <w:p w14:paraId="33FD0493"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86.730.254,59</w:t>
            </w:r>
          </w:p>
          <w:p w14:paraId="3B8DB6AC"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3.859.334,91</w:t>
            </w:r>
          </w:p>
          <w:p w14:paraId="46A5C41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289.717,16</w:t>
            </w:r>
          </w:p>
          <w:p w14:paraId="60609DDD"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113.348,85</w:t>
            </w:r>
          </w:p>
          <w:p w14:paraId="75951C9F"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257.656.306,07</w:t>
            </w:r>
          </w:p>
        </w:tc>
        <w:tc>
          <w:tcPr>
            <w:tcW w:w="3544" w:type="dxa"/>
          </w:tcPr>
          <w:p w14:paraId="3D895889" w14:textId="77777777" w:rsidR="00AB6531" w:rsidRPr="00CF0623" w:rsidRDefault="00AB6531" w:rsidP="00AB6531">
            <w:pPr>
              <w:jc w:val="both"/>
              <w:rPr>
                <w:rFonts w:ascii="Arial" w:hAnsi="Arial" w:cs="Arial"/>
                <w:b/>
                <w:sz w:val="24"/>
                <w:szCs w:val="24"/>
              </w:rPr>
            </w:pPr>
            <w:r w:rsidRPr="00CF0623">
              <w:rPr>
                <w:rFonts w:ascii="Arial" w:hAnsi="Arial" w:cs="Arial"/>
                <w:b/>
                <w:sz w:val="24"/>
                <w:szCs w:val="24"/>
              </w:rPr>
              <w:t>Dívida previdenciária</w:t>
            </w:r>
          </w:p>
          <w:p w14:paraId="7477EAD5"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32C11B96"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354C2402"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não tributários</w:t>
            </w:r>
          </w:p>
          <w:p w14:paraId="450E2463"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FGTS</w:t>
            </w:r>
          </w:p>
          <w:p w14:paraId="4A96C4A1"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630F97BE" w14:textId="77777777" w:rsidTr="009743AF">
        <w:trPr>
          <w:trHeight w:val="1661"/>
        </w:trPr>
        <w:tc>
          <w:tcPr>
            <w:tcW w:w="2405" w:type="dxa"/>
          </w:tcPr>
          <w:p w14:paraId="432970DB"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02896264000109</w:t>
            </w:r>
          </w:p>
        </w:tc>
        <w:tc>
          <w:tcPr>
            <w:tcW w:w="5812" w:type="dxa"/>
          </w:tcPr>
          <w:p w14:paraId="27DB4CF0" w14:textId="517BE86F" w:rsidR="00CF0623" w:rsidRPr="00CF0623" w:rsidRDefault="00AB6531" w:rsidP="00EE3640">
            <w:pPr>
              <w:rPr>
                <w:rFonts w:ascii="Arial" w:hAnsi="Arial" w:cs="Arial"/>
                <w:sz w:val="24"/>
                <w:szCs w:val="24"/>
              </w:rPr>
            </w:pPr>
            <w:r w:rsidRPr="00CF0623">
              <w:rPr>
                <w:rFonts w:ascii="Arial" w:hAnsi="Arial" w:cs="Arial"/>
                <w:sz w:val="24"/>
                <w:szCs w:val="24"/>
              </w:rPr>
              <w:t>Centroalcool S.A - Cenasa</w:t>
            </w:r>
          </w:p>
        </w:tc>
        <w:tc>
          <w:tcPr>
            <w:tcW w:w="2835" w:type="dxa"/>
          </w:tcPr>
          <w:p w14:paraId="5D9622F1" w14:textId="77777777" w:rsidR="00AB6531" w:rsidRPr="00CF0623" w:rsidRDefault="00AB6531" w:rsidP="00AB6531">
            <w:pPr>
              <w:jc w:val="right"/>
              <w:rPr>
                <w:rFonts w:ascii="Arial" w:hAnsi="Arial" w:cs="Arial"/>
                <w:b/>
                <w:sz w:val="24"/>
                <w:szCs w:val="24"/>
              </w:rPr>
            </w:pPr>
            <w:r w:rsidRPr="00CF0623">
              <w:rPr>
                <w:rFonts w:ascii="Arial" w:hAnsi="Arial" w:cs="Arial"/>
                <w:b/>
                <w:sz w:val="24"/>
                <w:szCs w:val="24"/>
              </w:rPr>
              <w:t>190.174.395,31</w:t>
            </w:r>
          </w:p>
          <w:p w14:paraId="232362B0"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92.193.674,37</w:t>
            </w:r>
          </w:p>
          <w:p w14:paraId="1D673D76"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12.300.072,28</w:t>
            </w:r>
          </w:p>
          <w:p w14:paraId="1CAD98C2"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108.360.837,82</w:t>
            </w:r>
          </w:p>
          <w:p w14:paraId="4ACA097E"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13.895.262,24</w:t>
            </w:r>
          </w:p>
          <w:p w14:paraId="43DAF765"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416.924.242,02</w:t>
            </w:r>
          </w:p>
        </w:tc>
        <w:tc>
          <w:tcPr>
            <w:tcW w:w="3544" w:type="dxa"/>
          </w:tcPr>
          <w:p w14:paraId="2A866F56" w14:textId="77777777" w:rsidR="00AB6531" w:rsidRPr="00CF0623" w:rsidRDefault="00AB6531" w:rsidP="00AB6531">
            <w:pPr>
              <w:jc w:val="both"/>
              <w:rPr>
                <w:rFonts w:ascii="Arial" w:hAnsi="Arial" w:cs="Arial"/>
                <w:b/>
                <w:sz w:val="24"/>
                <w:szCs w:val="24"/>
              </w:rPr>
            </w:pPr>
            <w:r w:rsidRPr="00CF0623">
              <w:rPr>
                <w:rFonts w:ascii="Arial" w:hAnsi="Arial" w:cs="Arial"/>
                <w:b/>
                <w:sz w:val="24"/>
                <w:szCs w:val="24"/>
              </w:rPr>
              <w:t>Dívida previdenciária</w:t>
            </w:r>
          </w:p>
          <w:p w14:paraId="4251C89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09AB5DBB"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0E377F7E"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não tributários</w:t>
            </w:r>
          </w:p>
          <w:p w14:paraId="0222ACD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FGTS</w:t>
            </w:r>
          </w:p>
          <w:p w14:paraId="074E5495"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1DE4131B" w14:textId="77777777" w:rsidTr="009743AF">
        <w:trPr>
          <w:trHeight w:val="1104"/>
        </w:trPr>
        <w:tc>
          <w:tcPr>
            <w:tcW w:w="2405" w:type="dxa"/>
          </w:tcPr>
          <w:p w14:paraId="12C0B726"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02909703000162</w:t>
            </w:r>
          </w:p>
        </w:tc>
        <w:tc>
          <w:tcPr>
            <w:tcW w:w="5812" w:type="dxa"/>
          </w:tcPr>
          <w:p w14:paraId="063EE9BA" w14:textId="3D34C4BC" w:rsidR="00CF0623" w:rsidRPr="00CF0623" w:rsidRDefault="00AB6531" w:rsidP="00EE3640">
            <w:pPr>
              <w:rPr>
                <w:rFonts w:ascii="Arial" w:hAnsi="Arial" w:cs="Arial"/>
                <w:sz w:val="24"/>
                <w:szCs w:val="24"/>
              </w:rPr>
            </w:pPr>
            <w:r w:rsidRPr="00CF0623">
              <w:rPr>
                <w:rFonts w:ascii="Arial" w:hAnsi="Arial" w:cs="Arial"/>
                <w:sz w:val="24"/>
                <w:szCs w:val="24"/>
              </w:rPr>
              <w:t>Lajes Santa Ines Engenharia Ind.Com.</w:t>
            </w:r>
            <w:r w:rsidR="007E0CD9">
              <w:rPr>
                <w:rFonts w:ascii="Arial" w:hAnsi="Arial" w:cs="Arial"/>
                <w:sz w:val="24"/>
                <w:szCs w:val="24"/>
              </w:rPr>
              <w:t xml:space="preserve"> </w:t>
            </w:r>
            <w:r w:rsidRPr="00CF0623">
              <w:rPr>
                <w:rFonts w:ascii="Arial" w:hAnsi="Arial" w:cs="Arial"/>
                <w:sz w:val="24"/>
                <w:szCs w:val="24"/>
              </w:rPr>
              <w:t>Ltda</w:t>
            </w:r>
            <w:r w:rsidR="007E0CD9">
              <w:rPr>
                <w:rFonts w:ascii="Arial" w:hAnsi="Arial" w:cs="Arial"/>
                <w:sz w:val="24"/>
                <w:szCs w:val="24"/>
              </w:rPr>
              <w:t>.</w:t>
            </w:r>
          </w:p>
        </w:tc>
        <w:tc>
          <w:tcPr>
            <w:tcW w:w="2835" w:type="dxa"/>
          </w:tcPr>
          <w:p w14:paraId="6AFD1CD8" w14:textId="77777777" w:rsidR="00AB6531" w:rsidRPr="00CF0623" w:rsidRDefault="00AB6531" w:rsidP="00AB6531">
            <w:pPr>
              <w:jc w:val="right"/>
              <w:rPr>
                <w:rFonts w:ascii="Arial" w:hAnsi="Arial" w:cs="Arial"/>
                <w:b/>
                <w:sz w:val="24"/>
                <w:szCs w:val="24"/>
              </w:rPr>
            </w:pPr>
            <w:r w:rsidRPr="00CF0623">
              <w:rPr>
                <w:rFonts w:ascii="Arial" w:hAnsi="Arial" w:cs="Arial"/>
                <w:b/>
                <w:sz w:val="24"/>
                <w:szCs w:val="24"/>
              </w:rPr>
              <w:t>1.053.333,42</w:t>
            </w:r>
          </w:p>
          <w:p w14:paraId="36992B89"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2.471.828,88</w:t>
            </w:r>
          </w:p>
          <w:p w14:paraId="6F87568D"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1.341,35</w:t>
            </w:r>
          </w:p>
          <w:p w14:paraId="361061F9"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3.526.503,65</w:t>
            </w:r>
          </w:p>
        </w:tc>
        <w:tc>
          <w:tcPr>
            <w:tcW w:w="3544" w:type="dxa"/>
          </w:tcPr>
          <w:p w14:paraId="6014D548" w14:textId="77777777" w:rsidR="00AB6531" w:rsidRPr="00CF0623" w:rsidRDefault="00AB6531" w:rsidP="00AB6531">
            <w:pPr>
              <w:jc w:val="both"/>
              <w:rPr>
                <w:rFonts w:ascii="Arial" w:hAnsi="Arial" w:cs="Arial"/>
                <w:b/>
                <w:sz w:val="24"/>
                <w:szCs w:val="24"/>
              </w:rPr>
            </w:pPr>
            <w:r w:rsidRPr="00CF0623">
              <w:rPr>
                <w:rFonts w:ascii="Arial" w:hAnsi="Arial" w:cs="Arial"/>
                <w:b/>
                <w:sz w:val="24"/>
                <w:szCs w:val="24"/>
              </w:rPr>
              <w:t>Dívida previdenciária</w:t>
            </w:r>
          </w:p>
          <w:p w14:paraId="2D8B65F3"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504C5183"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1ADFFC70"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002E2273" w14:textId="77777777" w:rsidTr="009743AF">
        <w:trPr>
          <w:trHeight w:val="547"/>
        </w:trPr>
        <w:tc>
          <w:tcPr>
            <w:tcW w:w="2405" w:type="dxa"/>
          </w:tcPr>
          <w:p w14:paraId="75645BE2"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lastRenderedPageBreak/>
              <w:t>03387396000160</w:t>
            </w:r>
          </w:p>
        </w:tc>
        <w:tc>
          <w:tcPr>
            <w:tcW w:w="5812" w:type="dxa"/>
          </w:tcPr>
          <w:p w14:paraId="2625F207" w14:textId="6024AC83" w:rsidR="00CF0623" w:rsidRPr="00CF0623" w:rsidRDefault="00C1109D" w:rsidP="00EE3640">
            <w:pPr>
              <w:rPr>
                <w:rFonts w:ascii="Arial" w:hAnsi="Arial" w:cs="Arial"/>
                <w:sz w:val="24"/>
                <w:szCs w:val="24"/>
              </w:rPr>
            </w:pPr>
            <w:r w:rsidRPr="00CF0623">
              <w:rPr>
                <w:rFonts w:ascii="Arial" w:hAnsi="Arial" w:cs="Arial"/>
                <w:sz w:val="24"/>
                <w:szCs w:val="24"/>
              </w:rPr>
              <w:t>São Salvador Alimentos S/A</w:t>
            </w:r>
          </w:p>
        </w:tc>
        <w:tc>
          <w:tcPr>
            <w:tcW w:w="2835" w:type="dxa"/>
          </w:tcPr>
          <w:p w14:paraId="18C2B303"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346.351,91</w:t>
            </w:r>
          </w:p>
          <w:p w14:paraId="005A43F9"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346.351,91</w:t>
            </w:r>
          </w:p>
        </w:tc>
        <w:tc>
          <w:tcPr>
            <w:tcW w:w="3544" w:type="dxa"/>
          </w:tcPr>
          <w:p w14:paraId="21EE5EAE"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50B30E0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37284C2B" w14:textId="77777777" w:rsidTr="009743AF">
        <w:trPr>
          <w:trHeight w:val="826"/>
        </w:trPr>
        <w:tc>
          <w:tcPr>
            <w:tcW w:w="2405" w:type="dxa"/>
          </w:tcPr>
          <w:p w14:paraId="781C3046"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03857539000150</w:t>
            </w:r>
          </w:p>
        </w:tc>
        <w:tc>
          <w:tcPr>
            <w:tcW w:w="5812" w:type="dxa"/>
          </w:tcPr>
          <w:p w14:paraId="6C74EEE4" w14:textId="1E470C55" w:rsidR="00CF0623" w:rsidRPr="00CF0623" w:rsidRDefault="00C1109D" w:rsidP="00EE3640">
            <w:pPr>
              <w:rPr>
                <w:rFonts w:ascii="Arial" w:hAnsi="Arial" w:cs="Arial"/>
                <w:sz w:val="24"/>
                <w:szCs w:val="24"/>
              </w:rPr>
            </w:pPr>
            <w:r w:rsidRPr="00CF0623">
              <w:rPr>
                <w:rFonts w:ascii="Arial" w:hAnsi="Arial" w:cs="Arial"/>
                <w:sz w:val="24"/>
                <w:szCs w:val="24"/>
              </w:rPr>
              <w:t xml:space="preserve">Sorveteria Creme Mel </w:t>
            </w:r>
            <w:r w:rsidR="007E0CD9" w:rsidRPr="00CF0623">
              <w:rPr>
                <w:rFonts w:ascii="Arial" w:hAnsi="Arial" w:cs="Arial"/>
                <w:sz w:val="24"/>
                <w:szCs w:val="24"/>
              </w:rPr>
              <w:t>Ltda.</w:t>
            </w:r>
          </w:p>
        </w:tc>
        <w:tc>
          <w:tcPr>
            <w:tcW w:w="2835" w:type="dxa"/>
          </w:tcPr>
          <w:p w14:paraId="0C1D3154" w14:textId="77777777" w:rsidR="00C1109D" w:rsidRPr="00CF0623" w:rsidRDefault="00C1109D" w:rsidP="00C1109D">
            <w:pPr>
              <w:jc w:val="right"/>
              <w:rPr>
                <w:rFonts w:ascii="Arial" w:hAnsi="Arial" w:cs="Arial"/>
                <w:b/>
                <w:sz w:val="24"/>
                <w:szCs w:val="24"/>
              </w:rPr>
            </w:pPr>
            <w:r w:rsidRPr="00CF0623">
              <w:rPr>
                <w:rFonts w:ascii="Arial" w:hAnsi="Arial" w:cs="Arial"/>
                <w:b/>
                <w:sz w:val="24"/>
                <w:szCs w:val="24"/>
              </w:rPr>
              <w:t>9.049.511,53</w:t>
            </w:r>
          </w:p>
          <w:p w14:paraId="5CFD8575"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31.121.136,47</w:t>
            </w:r>
          </w:p>
          <w:p w14:paraId="609D8C43"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40.170.648</w:t>
            </w:r>
          </w:p>
        </w:tc>
        <w:tc>
          <w:tcPr>
            <w:tcW w:w="3544" w:type="dxa"/>
          </w:tcPr>
          <w:p w14:paraId="4DF8F3A9" w14:textId="77777777" w:rsidR="00C1109D" w:rsidRPr="00CF0623" w:rsidRDefault="00C1109D" w:rsidP="00C1109D">
            <w:pPr>
              <w:jc w:val="both"/>
              <w:rPr>
                <w:rFonts w:ascii="Arial" w:hAnsi="Arial" w:cs="Arial"/>
                <w:b/>
                <w:sz w:val="24"/>
                <w:szCs w:val="24"/>
              </w:rPr>
            </w:pPr>
            <w:r w:rsidRPr="00CF0623">
              <w:rPr>
                <w:rFonts w:ascii="Arial" w:hAnsi="Arial" w:cs="Arial"/>
                <w:b/>
                <w:sz w:val="24"/>
                <w:szCs w:val="24"/>
              </w:rPr>
              <w:t>Dívida previdenciária</w:t>
            </w:r>
          </w:p>
          <w:p w14:paraId="171AC00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257C9336"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122A9954" w14:textId="77777777" w:rsidTr="009743AF">
        <w:trPr>
          <w:trHeight w:val="276"/>
        </w:trPr>
        <w:tc>
          <w:tcPr>
            <w:tcW w:w="2405" w:type="dxa"/>
            <w:vMerge w:val="restart"/>
          </w:tcPr>
          <w:p w14:paraId="10FF8BAC"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04945225000171</w:t>
            </w:r>
          </w:p>
        </w:tc>
        <w:tc>
          <w:tcPr>
            <w:tcW w:w="5812" w:type="dxa"/>
            <w:vMerge w:val="restart"/>
          </w:tcPr>
          <w:p w14:paraId="369DFCA2" w14:textId="5BA4C5DC" w:rsidR="00CF0623" w:rsidRPr="00CF0623" w:rsidRDefault="00B767ED" w:rsidP="00EE3640">
            <w:pPr>
              <w:rPr>
                <w:rFonts w:ascii="Arial" w:hAnsi="Arial" w:cs="Arial"/>
                <w:sz w:val="24"/>
                <w:szCs w:val="24"/>
              </w:rPr>
            </w:pPr>
            <w:r>
              <w:rPr>
                <w:rFonts w:ascii="Arial" w:hAnsi="Arial" w:cs="Arial"/>
                <w:sz w:val="24"/>
                <w:szCs w:val="24"/>
              </w:rPr>
              <w:t>Dez Industria e</w:t>
            </w:r>
            <w:r w:rsidR="00C1109D">
              <w:rPr>
                <w:rFonts w:ascii="Arial" w:hAnsi="Arial" w:cs="Arial"/>
                <w:sz w:val="24"/>
                <w:szCs w:val="24"/>
              </w:rPr>
              <w:t xml:space="preserve"> Comercio d</w:t>
            </w:r>
            <w:r w:rsidR="00C1109D" w:rsidRPr="00CF0623">
              <w:rPr>
                <w:rFonts w:ascii="Arial" w:hAnsi="Arial" w:cs="Arial"/>
                <w:sz w:val="24"/>
                <w:szCs w:val="24"/>
              </w:rPr>
              <w:t xml:space="preserve">e Conservas </w:t>
            </w:r>
            <w:r w:rsidR="00D9044B" w:rsidRPr="00CF0623">
              <w:rPr>
                <w:rFonts w:ascii="Arial" w:hAnsi="Arial" w:cs="Arial"/>
                <w:sz w:val="24"/>
                <w:szCs w:val="24"/>
              </w:rPr>
              <w:t>Alimentícias</w:t>
            </w:r>
            <w:r w:rsidR="00C1109D" w:rsidRPr="00CF0623">
              <w:rPr>
                <w:rFonts w:ascii="Arial" w:hAnsi="Arial" w:cs="Arial"/>
                <w:sz w:val="24"/>
                <w:szCs w:val="24"/>
              </w:rPr>
              <w:t xml:space="preserve"> </w:t>
            </w:r>
            <w:r w:rsidR="007E0CD9" w:rsidRPr="00CF0623">
              <w:rPr>
                <w:rFonts w:ascii="Arial" w:hAnsi="Arial" w:cs="Arial"/>
                <w:sz w:val="24"/>
                <w:szCs w:val="24"/>
              </w:rPr>
              <w:t>Ltda.</w:t>
            </w:r>
          </w:p>
        </w:tc>
        <w:tc>
          <w:tcPr>
            <w:tcW w:w="2835" w:type="dxa"/>
            <w:vMerge w:val="restart"/>
          </w:tcPr>
          <w:p w14:paraId="47DB2D9D" w14:textId="77777777" w:rsidR="00C1109D" w:rsidRPr="00CF0623" w:rsidRDefault="00C1109D" w:rsidP="00C1109D">
            <w:pPr>
              <w:jc w:val="right"/>
              <w:rPr>
                <w:rFonts w:ascii="Arial" w:hAnsi="Arial" w:cs="Arial"/>
                <w:b/>
                <w:sz w:val="24"/>
                <w:szCs w:val="24"/>
              </w:rPr>
            </w:pPr>
            <w:r w:rsidRPr="00CF0623">
              <w:rPr>
                <w:rFonts w:ascii="Arial" w:hAnsi="Arial" w:cs="Arial"/>
                <w:b/>
                <w:sz w:val="24"/>
                <w:szCs w:val="24"/>
              </w:rPr>
              <w:t>5.641.012,95</w:t>
            </w:r>
          </w:p>
          <w:p w14:paraId="65F1A0B3"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873.028,20</w:t>
            </w:r>
          </w:p>
          <w:p w14:paraId="2E20A25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6.514.041,15</w:t>
            </w:r>
          </w:p>
        </w:tc>
        <w:tc>
          <w:tcPr>
            <w:tcW w:w="3544" w:type="dxa"/>
            <w:vMerge w:val="restart"/>
          </w:tcPr>
          <w:p w14:paraId="760639B9" w14:textId="77777777" w:rsidR="00C1109D" w:rsidRPr="00CF0623" w:rsidRDefault="00C1109D" w:rsidP="00C1109D">
            <w:pPr>
              <w:jc w:val="both"/>
              <w:rPr>
                <w:rFonts w:ascii="Arial" w:hAnsi="Arial" w:cs="Arial"/>
                <w:b/>
                <w:sz w:val="24"/>
                <w:szCs w:val="24"/>
              </w:rPr>
            </w:pPr>
            <w:r w:rsidRPr="00CF0623">
              <w:rPr>
                <w:rFonts w:ascii="Arial" w:hAnsi="Arial" w:cs="Arial"/>
                <w:b/>
                <w:sz w:val="24"/>
                <w:szCs w:val="24"/>
              </w:rPr>
              <w:t>Dívida previdenciária</w:t>
            </w:r>
          </w:p>
          <w:p w14:paraId="3500C29E"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4DC17822"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7816F63A" w14:textId="77777777" w:rsidTr="009743AF">
        <w:trPr>
          <w:trHeight w:val="276"/>
        </w:trPr>
        <w:tc>
          <w:tcPr>
            <w:tcW w:w="2405" w:type="dxa"/>
            <w:vMerge/>
          </w:tcPr>
          <w:p w14:paraId="145FC843" w14:textId="77777777" w:rsidR="00CF0623" w:rsidRPr="00D02AFD" w:rsidRDefault="00CF0623" w:rsidP="00D02AFD">
            <w:pPr>
              <w:jc w:val="center"/>
              <w:rPr>
                <w:rFonts w:ascii="Arial" w:hAnsi="Arial" w:cs="Arial"/>
                <w:sz w:val="24"/>
                <w:szCs w:val="24"/>
              </w:rPr>
            </w:pPr>
          </w:p>
        </w:tc>
        <w:tc>
          <w:tcPr>
            <w:tcW w:w="5812" w:type="dxa"/>
            <w:vMerge/>
          </w:tcPr>
          <w:p w14:paraId="39927F84" w14:textId="77777777" w:rsidR="00CF0623" w:rsidRPr="00CF0623" w:rsidRDefault="00CF0623" w:rsidP="00EE3640">
            <w:pPr>
              <w:rPr>
                <w:rFonts w:ascii="Arial" w:hAnsi="Arial" w:cs="Arial"/>
                <w:sz w:val="24"/>
                <w:szCs w:val="24"/>
              </w:rPr>
            </w:pPr>
          </w:p>
        </w:tc>
        <w:tc>
          <w:tcPr>
            <w:tcW w:w="2835" w:type="dxa"/>
            <w:vMerge/>
          </w:tcPr>
          <w:p w14:paraId="4432C83D" w14:textId="77777777" w:rsidR="00CF0623" w:rsidRPr="00CF0623" w:rsidRDefault="00CF0623" w:rsidP="00EE3640">
            <w:pPr>
              <w:jc w:val="right"/>
              <w:rPr>
                <w:rFonts w:ascii="Arial" w:hAnsi="Arial" w:cs="Arial"/>
                <w:sz w:val="24"/>
                <w:szCs w:val="24"/>
              </w:rPr>
            </w:pPr>
          </w:p>
        </w:tc>
        <w:tc>
          <w:tcPr>
            <w:tcW w:w="3544" w:type="dxa"/>
            <w:vMerge/>
          </w:tcPr>
          <w:p w14:paraId="6B38AB77" w14:textId="77777777" w:rsidR="00CF0623" w:rsidRPr="00CF0623" w:rsidRDefault="00CF0623" w:rsidP="00CF0623">
            <w:pPr>
              <w:jc w:val="both"/>
              <w:rPr>
                <w:rFonts w:ascii="Arial" w:hAnsi="Arial" w:cs="Arial"/>
                <w:sz w:val="24"/>
                <w:szCs w:val="24"/>
              </w:rPr>
            </w:pPr>
          </w:p>
        </w:tc>
      </w:tr>
      <w:tr w:rsidR="00CF0623" w:rsidRPr="00CF0623" w14:paraId="33DC08DA" w14:textId="77777777" w:rsidTr="009743AF">
        <w:trPr>
          <w:trHeight w:val="276"/>
        </w:trPr>
        <w:tc>
          <w:tcPr>
            <w:tcW w:w="2405" w:type="dxa"/>
            <w:vMerge/>
          </w:tcPr>
          <w:p w14:paraId="72BE3858" w14:textId="77777777" w:rsidR="00CF0623" w:rsidRPr="00D02AFD" w:rsidRDefault="00CF0623" w:rsidP="00D02AFD">
            <w:pPr>
              <w:jc w:val="center"/>
              <w:rPr>
                <w:rFonts w:ascii="Arial" w:hAnsi="Arial" w:cs="Arial"/>
                <w:sz w:val="24"/>
                <w:szCs w:val="24"/>
              </w:rPr>
            </w:pPr>
          </w:p>
        </w:tc>
        <w:tc>
          <w:tcPr>
            <w:tcW w:w="5812" w:type="dxa"/>
            <w:vMerge/>
          </w:tcPr>
          <w:p w14:paraId="06848866" w14:textId="77777777" w:rsidR="00CF0623" w:rsidRPr="00CF0623" w:rsidRDefault="00CF0623" w:rsidP="00EE3640">
            <w:pPr>
              <w:rPr>
                <w:rFonts w:ascii="Arial" w:hAnsi="Arial" w:cs="Arial"/>
                <w:sz w:val="24"/>
                <w:szCs w:val="24"/>
              </w:rPr>
            </w:pPr>
          </w:p>
        </w:tc>
        <w:tc>
          <w:tcPr>
            <w:tcW w:w="2835" w:type="dxa"/>
            <w:vMerge/>
          </w:tcPr>
          <w:p w14:paraId="2571716C" w14:textId="77777777" w:rsidR="00CF0623" w:rsidRPr="00CF0623" w:rsidRDefault="00CF0623" w:rsidP="00EE3640">
            <w:pPr>
              <w:jc w:val="right"/>
              <w:rPr>
                <w:rFonts w:ascii="Arial" w:hAnsi="Arial" w:cs="Arial"/>
                <w:sz w:val="24"/>
                <w:szCs w:val="24"/>
              </w:rPr>
            </w:pPr>
          </w:p>
        </w:tc>
        <w:tc>
          <w:tcPr>
            <w:tcW w:w="3544" w:type="dxa"/>
            <w:vMerge/>
          </w:tcPr>
          <w:p w14:paraId="0C18F0D6" w14:textId="77777777" w:rsidR="00CF0623" w:rsidRPr="00CF0623" w:rsidRDefault="00CF0623" w:rsidP="00CF0623">
            <w:pPr>
              <w:jc w:val="both"/>
              <w:rPr>
                <w:rFonts w:ascii="Arial" w:hAnsi="Arial" w:cs="Arial"/>
                <w:sz w:val="24"/>
                <w:szCs w:val="24"/>
              </w:rPr>
            </w:pPr>
          </w:p>
        </w:tc>
      </w:tr>
      <w:tr w:rsidR="00CF0623" w:rsidRPr="00CF0623" w14:paraId="12394B2F" w14:textId="77777777" w:rsidTr="009743AF">
        <w:trPr>
          <w:trHeight w:val="1104"/>
        </w:trPr>
        <w:tc>
          <w:tcPr>
            <w:tcW w:w="2405" w:type="dxa"/>
          </w:tcPr>
          <w:p w14:paraId="5A6ACD32"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05153990000111</w:t>
            </w:r>
          </w:p>
        </w:tc>
        <w:tc>
          <w:tcPr>
            <w:tcW w:w="5812" w:type="dxa"/>
          </w:tcPr>
          <w:p w14:paraId="4E4EDAD1" w14:textId="3E5C15BF" w:rsidR="00CF0623" w:rsidRPr="00CF0623" w:rsidRDefault="00C1109D" w:rsidP="00EE3640">
            <w:pPr>
              <w:rPr>
                <w:rFonts w:ascii="Arial" w:hAnsi="Arial" w:cs="Arial"/>
                <w:sz w:val="24"/>
                <w:szCs w:val="24"/>
              </w:rPr>
            </w:pPr>
            <w:r w:rsidRPr="00CF0623">
              <w:rPr>
                <w:rFonts w:ascii="Arial" w:hAnsi="Arial" w:cs="Arial"/>
                <w:sz w:val="24"/>
                <w:szCs w:val="24"/>
              </w:rPr>
              <w:t>Idealfarm</w:t>
            </w:r>
            <w:r>
              <w:rPr>
                <w:rFonts w:ascii="Arial" w:hAnsi="Arial" w:cs="Arial"/>
                <w:sz w:val="24"/>
                <w:szCs w:val="24"/>
              </w:rPr>
              <w:t>a Industria e Comercio d</w:t>
            </w:r>
            <w:r w:rsidRPr="00CF0623">
              <w:rPr>
                <w:rFonts w:ascii="Arial" w:hAnsi="Arial" w:cs="Arial"/>
                <w:sz w:val="24"/>
                <w:szCs w:val="24"/>
              </w:rPr>
              <w:t xml:space="preserve">e Produtos </w:t>
            </w:r>
            <w:r w:rsidR="00D9044B" w:rsidRPr="00CF0623">
              <w:rPr>
                <w:rFonts w:ascii="Arial" w:hAnsi="Arial" w:cs="Arial"/>
                <w:sz w:val="24"/>
                <w:szCs w:val="24"/>
              </w:rPr>
              <w:t>Farmacêuticos</w:t>
            </w:r>
            <w:r w:rsidRPr="00CF0623">
              <w:rPr>
                <w:rFonts w:ascii="Arial" w:hAnsi="Arial" w:cs="Arial"/>
                <w:sz w:val="24"/>
                <w:szCs w:val="24"/>
              </w:rPr>
              <w:t xml:space="preserve"> </w:t>
            </w:r>
            <w:r w:rsidR="007E0CD9" w:rsidRPr="00CF0623">
              <w:rPr>
                <w:rFonts w:ascii="Arial" w:hAnsi="Arial" w:cs="Arial"/>
                <w:sz w:val="24"/>
                <w:szCs w:val="24"/>
              </w:rPr>
              <w:t>Ltda.</w:t>
            </w:r>
          </w:p>
        </w:tc>
        <w:tc>
          <w:tcPr>
            <w:tcW w:w="2835" w:type="dxa"/>
          </w:tcPr>
          <w:p w14:paraId="1B54512B" w14:textId="77777777" w:rsidR="00C1109D" w:rsidRPr="00CF0623" w:rsidRDefault="00C1109D" w:rsidP="00C1109D">
            <w:pPr>
              <w:jc w:val="right"/>
              <w:rPr>
                <w:rFonts w:ascii="Arial" w:hAnsi="Arial" w:cs="Arial"/>
                <w:b/>
                <w:sz w:val="24"/>
                <w:szCs w:val="24"/>
              </w:rPr>
            </w:pPr>
            <w:r w:rsidRPr="00CF0623">
              <w:rPr>
                <w:rFonts w:ascii="Arial" w:hAnsi="Arial" w:cs="Arial"/>
                <w:b/>
                <w:sz w:val="24"/>
                <w:szCs w:val="24"/>
              </w:rPr>
              <w:t>1.104.080,95</w:t>
            </w:r>
          </w:p>
          <w:p w14:paraId="422D741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5.703.640,69</w:t>
            </w:r>
          </w:p>
          <w:p w14:paraId="70E0232E"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17.737,01</w:t>
            </w:r>
          </w:p>
          <w:p w14:paraId="61B28CD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6.825.458,65</w:t>
            </w:r>
          </w:p>
        </w:tc>
        <w:tc>
          <w:tcPr>
            <w:tcW w:w="3544" w:type="dxa"/>
          </w:tcPr>
          <w:p w14:paraId="122D9364" w14:textId="77777777" w:rsidR="00C1109D" w:rsidRPr="00CF0623" w:rsidRDefault="00C1109D" w:rsidP="00C1109D">
            <w:pPr>
              <w:jc w:val="both"/>
              <w:rPr>
                <w:rFonts w:ascii="Arial" w:hAnsi="Arial" w:cs="Arial"/>
                <w:b/>
                <w:sz w:val="24"/>
                <w:szCs w:val="24"/>
              </w:rPr>
            </w:pPr>
            <w:r w:rsidRPr="00CF0623">
              <w:rPr>
                <w:rFonts w:ascii="Arial" w:hAnsi="Arial" w:cs="Arial"/>
                <w:b/>
                <w:sz w:val="24"/>
                <w:szCs w:val="24"/>
              </w:rPr>
              <w:t>Dívida previdenciária</w:t>
            </w:r>
          </w:p>
          <w:p w14:paraId="19D26BD4"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07F8F233"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747045F9"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689A4CF4" w14:textId="77777777" w:rsidTr="009743AF">
        <w:trPr>
          <w:trHeight w:val="826"/>
        </w:trPr>
        <w:tc>
          <w:tcPr>
            <w:tcW w:w="2405" w:type="dxa"/>
          </w:tcPr>
          <w:p w14:paraId="7191C83C"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05229759000164</w:t>
            </w:r>
          </w:p>
        </w:tc>
        <w:tc>
          <w:tcPr>
            <w:tcW w:w="5812" w:type="dxa"/>
          </w:tcPr>
          <w:p w14:paraId="00BB98F7" w14:textId="0C408ECA" w:rsidR="00CF0623" w:rsidRPr="00CF0623" w:rsidRDefault="00D9044B" w:rsidP="00EE3640">
            <w:pPr>
              <w:rPr>
                <w:rFonts w:ascii="Arial" w:hAnsi="Arial" w:cs="Arial"/>
                <w:sz w:val="24"/>
                <w:szCs w:val="24"/>
              </w:rPr>
            </w:pPr>
            <w:r w:rsidRPr="00CF0623">
              <w:rPr>
                <w:rFonts w:ascii="Arial" w:hAnsi="Arial" w:cs="Arial"/>
                <w:sz w:val="24"/>
                <w:szCs w:val="24"/>
              </w:rPr>
              <w:t xml:space="preserve">A W Foods </w:t>
            </w:r>
            <w:r w:rsidR="007E0CD9" w:rsidRPr="00CF0623">
              <w:rPr>
                <w:rFonts w:ascii="Arial" w:hAnsi="Arial" w:cs="Arial"/>
                <w:sz w:val="24"/>
                <w:szCs w:val="24"/>
              </w:rPr>
              <w:t>Ltda.</w:t>
            </w:r>
          </w:p>
        </w:tc>
        <w:tc>
          <w:tcPr>
            <w:tcW w:w="2835" w:type="dxa"/>
          </w:tcPr>
          <w:p w14:paraId="6947755A"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2.484.451,99</w:t>
            </w:r>
          </w:p>
          <w:p w14:paraId="37E7F640"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602.594,91</w:t>
            </w:r>
          </w:p>
          <w:p w14:paraId="75EF6BAC"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77.080,72</w:t>
            </w:r>
          </w:p>
          <w:p w14:paraId="7D028EE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3.164.127,62</w:t>
            </w:r>
          </w:p>
        </w:tc>
        <w:tc>
          <w:tcPr>
            <w:tcW w:w="3544" w:type="dxa"/>
          </w:tcPr>
          <w:p w14:paraId="2107EFD7"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663149FF"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2C660429"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60BA5D4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57AFD0C9" w14:textId="77777777" w:rsidTr="009743AF">
        <w:trPr>
          <w:trHeight w:val="547"/>
        </w:trPr>
        <w:tc>
          <w:tcPr>
            <w:tcW w:w="2405" w:type="dxa"/>
          </w:tcPr>
          <w:p w14:paraId="1526BF49"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05350918000184</w:t>
            </w:r>
          </w:p>
        </w:tc>
        <w:tc>
          <w:tcPr>
            <w:tcW w:w="5812" w:type="dxa"/>
          </w:tcPr>
          <w:p w14:paraId="0A8502A8" w14:textId="2C0FB932" w:rsidR="00CF0623" w:rsidRPr="00CF0623" w:rsidRDefault="00B767ED" w:rsidP="00EE3640">
            <w:pPr>
              <w:rPr>
                <w:rFonts w:ascii="Arial" w:hAnsi="Arial" w:cs="Arial"/>
                <w:sz w:val="24"/>
                <w:szCs w:val="24"/>
              </w:rPr>
            </w:pPr>
            <w:r>
              <w:rPr>
                <w:rFonts w:ascii="Arial" w:hAnsi="Arial" w:cs="Arial"/>
                <w:sz w:val="24"/>
                <w:szCs w:val="24"/>
              </w:rPr>
              <w:t>Incepla Industria e Comercio d</w:t>
            </w:r>
            <w:r w:rsidR="00D9044B" w:rsidRPr="00CF0623">
              <w:rPr>
                <w:rFonts w:ascii="Arial" w:hAnsi="Arial" w:cs="Arial"/>
                <w:sz w:val="24"/>
                <w:szCs w:val="24"/>
              </w:rPr>
              <w:t xml:space="preserve">e Embalagens Plásticas </w:t>
            </w:r>
            <w:r w:rsidR="007E0CD9" w:rsidRPr="00CF0623">
              <w:rPr>
                <w:rFonts w:ascii="Arial" w:hAnsi="Arial" w:cs="Arial"/>
                <w:sz w:val="24"/>
                <w:szCs w:val="24"/>
              </w:rPr>
              <w:t>Ltda.</w:t>
            </w:r>
          </w:p>
        </w:tc>
        <w:tc>
          <w:tcPr>
            <w:tcW w:w="2835" w:type="dxa"/>
          </w:tcPr>
          <w:p w14:paraId="2BC394D0"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63.854,70</w:t>
            </w:r>
          </w:p>
          <w:p w14:paraId="0930C8BB"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63.854,70</w:t>
            </w:r>
          </w:p>
        </w:tc>
        <w:tc>
          <w:tcPr>
            <w:tcW w:w="3544" w:type="dxa"/>
          </w:tcPr>
          <w:p w14:paraId="2F916741"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783300BA"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307D484C" w14:textId="77777777" w:rsidTr="009743AF">
        <w:trPr>
          <w:trHeight w:val="826"/>
        </w:trPr>
        <w:tc>
          <w:tcPr>
            <w:tcW w:w="2405" w:type="dxa"/>
          </w:tcPr>
          <w:p w14:paraId="32DA9313"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05888347000136</w:t>
            </w:r>
          </w:p>
        </w:tc>
        <w:tc>
          <w:tcPr>
            <w:tcW w:w="5812" w:type="dxa"/>
          </w:tcPr>
          <w:p w14:paraId="06490BCF" w14:textId="061A40A6" w:rsidR="00CF0623" w:rsidRPr="00CF0623" w:rsidRDefault="00D9044B" w:rsidP="00EE3640">
            <w:pPr>
              <w:rPr>
                <w:rFonts w:ascii="Arial" w:hAnsi="Arial" w:cs="Arial"/>
                <w:sz w:val="24"/>
                <w:szCs w:val="24"/>
              </w:rPr>
            </w:pPr>
            <w:r w:rsidRPr="00CF0623">
              <w:rPr>
                <w:rFonts w:ascii="Arial" w:hAnsi="Arial" w:cs="Arial"/>
                <w:sz w:val="24"/>
                <w:szCs w:val="24"/>
              </w:rPr>
              <w:t>Est</w:t>
            </w:r>
            <w:r>
              <w:rPr>
                <w:rFonts w:ascii="Arial" w:hAnsi="Arial" w:cs="Arial"/>
                <w:sz w:val="24"/>
                <w:szCs w:val="24"/>
              </w:rPr>
              <w:t>rela Distribuidora d</w:t>
            </w:r>
            <w:r w:rsidRPr="00CF0623">
              <w:rPr>
                <w:rFonts w:ascii="Arial" w:hAnsi="Arial" w:cs="Arial"/>
                <w:sz w:val="24"/>
                <w:szCs w:val="24"/>
              </w:rPr>
              <w:t xml:space="preserve">e Eletrodoméstico </w:t>
            </w:r>
            <w:r w:rsidR="007E0CD9" w:rsidRPr="00CF0623">
              <w:rPr>
                <w:rFonts w:ascii="Arial" w:hAnsi="Arial" w:cs="Arial"/>
                <w:sz w:val="24"/>
                <w:szCs w:val="24"/>
              </w:rPr>
              <w:t>Ltda.</w:t>
            </w:r>
          </w:p>
        </w:tc>
        <w:tc>
          <w:tcPr>
            <w:tcW w:w="2835" w:type="dxa"/>
          </w:tcPr>
          <w:p w14:paraId="0A89AF14"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50.724.386,21</w:t>
            </w:r>
          </w:p>
          <w:p w14:paraId="3B56B7C0"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26.651.607,51</w:t>
            </w:r>
          </w:p>
          <w:p w14:paraId="4BDEE699"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77.375.993,72</w:t>
            </w:r>
          </w:p>
        </w:tc>
        <w:tc>
          <w:tcPr>
            <w:tcW w:w="3544" w:type="dxa"/>
          </w:tcPr>
          <w:p w14:paraId="21578B2D"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41414A2F"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08834F13"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2F6500DE" w14:textId="77777777" w:rsidTr="009743AF">
        <w:trPr>
          <w:trHeight w:val="826"/>
        </w:trPr>
        <w:tc>
          <w:tcPr>
            <w:tcW w:w="2405" w:type="dxa"/>
          </w:tcPr>
          <w:p w14:paraId="52C9622C"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05893058000125</w:t>
            </w:r>
          </w:p>
        </w:tc>
        <w:tc>
          <w:tcPr>
            <w:tcW w:w="5812" w:type="dxa"/>
          </w:tcPr>
          <w:p w14:paraId="12C806CE" w14:textId="438D150A" w:rsidR="00CF0623" w:rsidRPr="00CF0623" w:rsidRDefault="00B767ED" w:rsidP="00EE3640">
            <w:pPr>
              <w:rPr>
                <w:rFonts w:ascii="Arial" w:hAnsi="Arial" w:cs="Arial"/>
                <w:sz w:val="24"/>
                <w:szCs w:val="24"/>
              </w:rPr>
            </w:pPr>
            <w:r>
              <w:rPr>
                <w:rFonts w:ascii="Arial" w:hAnsi="Arial" w:cs="Arial"/>
                <w:sz w:val="24"/>
                <w:szCs w:val="24"/>
              </w:rPr>
              <w:t>Suplemente Industria e</w:t>
            </w:r>
            <w:r w:rsidR="00D9044B" w:rsidRPr="00CF0623">
              <w:rPr>
                <w:rFonts w:ascii="Arial" w:hAnsi="Arial" w:cs="Arial"/>
                <w:sz w:val="24"/>
                <w:szCs w:val="24"/>
              </w:rPr>
              <w:t xml:space="preserve"> Comercio </w:t>
            </w:r>
            <w:r w:rsidR="007E0CD9" w:rsidRPr="00CF0623">
              <w:rPr>
                <w:rFonts w:ascii="Arial" w:hAnsi="Arial" w:cs="Arial"/>
                <w:sz w:val="24"/>
                <w:szCs w:val="24"/>
              </w:rPr>
              <w:t>Ltda.</w:t>
            </w:r>
          </w:p>
        </w:tc>
        <w:tc>
          <w:tcPr>
            <w:tcW w:w="2835" w:type="dxa"/>
          </w:tcPr>
          <w:p w14:paraId="79937364"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46.202,94</w:t>
            </w:r>
          </w:p>
          <w:p w14:paraId="1EB9D7FE"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2.980.258,61</w:t>
            </w:r>
          </w:p>
          <w:p w14:paraId="43425123"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3.026.461,55</w:t>
            </w:r>
          </w:p>
        </w:tc>
        <w:tc>
          <w:tcPr>
            <w:tcW w:w="3544" w:type="dxa"/>
          </w:tcPr>
          <w:p w14:paraId="57274E00"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622F7D3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1D285581"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4B3D0A8C" w14:textId="77777777" w:rsidTr="009743AF">
        <w:trPr>
          <w:trHeight w:val="1104"/>
        </w:trPr>
        <w:tc>
          <w:tcPr>
            <w:tcW w:w="2405" w:type="dxa"/>
          </w:tcPr>
          <w:p w14:paraId="199BDEDA"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05895521000178</w:t>
            </w:r>
          </w:p>
        </w:tc>
        <w:tc>
          <w:tcPr>
            <w:tcW w:w="5812" w:type="dxa"/>
          </w:tcPr>
          <w:p w14:paraId="0BC121F9" w14:textId="19115E3F" w:rsidR="00CF0623" w:rsidRPr="00CF0623" w:rsidRDefault="00D9044B" w:rsidP="00D9044B">
            <w:pPr>
              <w:rPr>
                <w:rFonts w:ascii="Arial" w:hAnsi="Arial" w:cs="Arial"/>
                <w:sz w:val="24"/>
                <w:szCs w:val="24"/>
              </w:rPr>
            </w:pPr>
            <w:r>
              <w:rPr>
                <w:rFonts w:ascii="Arial" w:hAnsi="Arial" w:cs="Arial"/>
                <w:sz w:val="24"/>
                <w:szCs w:val="24"/>
              </w:rPr>
              <w:t>Empresa Nacional d</w:t>
            </w:r>
            <w:r w:rsidRPr="00CF0623">
              <w:rPr>
                <w:rFonts w:ascii="Arial" w:hAnsi="Arial" w:cs="Arial"/>
                <w:sz w:val="24"/>
                <w:szCs w:val="24"/>
              </w:rPr>
              <w:t>e Cerveja</w:t>
            </w:r>
            <w:r>
              <w:rPr>
                <w:rFonts w:ascii="Arial" w:hAnsi="Arial" w:cs="Arial"/>
                <w:sz w:val="24"/>
                <w:szCs w:val="24"/>
              </w:rPr>
              <w:t>s e</w:t>
            </w:r>
            <w:r w:rsidRPr="00CF0623">
              <w:rPr>
                <w:rFonts w:ascii="Arial" w:hAnsi="Arial" w:cs="Arial"/>
                <w:sz w:val="24"/>
                <w:szCs w:val="24"/>
              </w:rPr>
              <w:t xml:space="preserve"> Bebidas S</w:t>
            </w:r>
            <w:r>
              <w:rPr>
                <w:rFonts w:ascii="Arial" w:hAnsi="Arial" w:cs="Arial"/>
                <w:sz w:val="24"/>
                <w:szCs w:val="24"/>
              </w:rPr>
              <w:t>A</w:t>
            </w:r>
          </w:p>
        </w:tc>
        <w:tc>
          <w:tcPr>
            <w:tcW w:w="2835" w:type="dxa"/>
          </w:tcPr>
          <w:p w14:paraId="177144CB"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2.183.623,70</w:t>
            </w:r>
          </w:p>
          <w:p w14:paraId="0B40F99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96.241.992,73</w:t>
            </w:r>
          </w:p>
          <w:p w14:paraId="4FEB323E"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542.595,49</w:t>
            </w:r>
          </w:p>
          <w:p w14:paraId="0CF3446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98.968.211,92</w:t>
            </w:r>
          </w:p>
        </w:tc>
        <w:tc>
          <w:tcPr>
            <w:tcW w:w="3544" w:type="dxa"/>
          </w:tcPr>
          <w:p w14:paraId="52638F09"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6B93C8A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6827C072"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não tributários</w:t>
            </w:r>
          </w:p>
          <w:p w14:paraId="580ECF8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161FE904" w14:textId="77777777" w:rsidTr="009743AF">
        <w:trPr>
          <w:trHeight w:val="1104"/>
        </w:trPr>
        <w:tc>
          <w:tcPr>
            <w:tcW w:w="2405" w:type="dxa"/>
          </w:tcPr>
          <w:p w14:paraId="136F7744"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05932031000102</w:t>
            </w:r>
          </w:p>
        </w:tc>
        <w:tc>
          <w:tcPr>
            <w:tcW w:w="5812" w:type="dxa"/>
          </w:tcPr>
          <w:p w14:paraId="363F21E1" w14:textId="3CED5693" w:rsidR="00CF0623" w:rsidRPr="00CF0623" w:rsidRDefault="00D9044B" w:rsidP="00EE3640">
            <w:pPr>
              <w:rPr>
                <w:rFonts w:ascii="Arial" w:hAnsi="Arial" w:cs="Arial"/>
                <w:sz w:val="24"/>
                <w:szCs w:val="24"/>
              </w:rPr>
            </w:pPr>
            <w:r w:rsidRPr="00CF0623">
              <w:rPr>
                <w:rFonts w:ascii="Arial" w:hAnsi="Arial" w:cs="Arial"/>
                <w:sz w:val="24"/>
                <w:szCs w:val="24"/>
              </w:rPr>
              <w:t xml:space="preserve">Frigoind Frigorifico </w:t>
            </w:r>
            <w:r w:rsidR="00B767ED" w:rsidRPr="00CF0623">
              <w:rPr>
                <w:rFonts w:ascii="Arial" w:hAnsi="Arial" w:cs="Arial"/>
                <w:sz w:val="24"/>
                <w:szCs w:val="24"/>
              </w:rPr>
              <w:t>Goiás</w:t>
            </w:r>
            <w:r w:rsidRPr="00CF0623">
              <w:rPr>
                <w:rFonts w:ascii="Arial" w:hAnsi="Arial" w:cs="Arial"/>
                <w:sz w:val="24"/>
                <w:szCs w:val="24"/>
              </w:rPr>
              <w:t xml:space="preserve"> Industrial </w:t>
            </w:r>
            <w:r w:rsidR="007E0CD9" w:rsidRPr="00CF0623">
              <w:rPr>
                <w:rFonts w:ascii="Arial" w:hAnsi="Arial" w:cs="Arial"/>
                <w:sz w:val="24"/>
                <w:szCs w:val="24"/>
              </w:rPr>
              <w:t>Ltda.</w:t>
            </w:r>
          </w:p>
        </w:tc>
        <w:tc>
          <w:tcPr>
            <w:tcW w:w="2835" w:type="dxa"/>
          </w:tcPr>
          <w:p w14:paraId="1C3470B3"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87.097,30</w:t>
            </w:r>
          </w:p>
          <w:p w14:paraId="2F0374B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639.241,01</w:t>
            </w:r>
          </w:p>
          <w:p w14:paraId="076A0ECD"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2.619,93</w:t>
            </w:r>
          </w:p>
          <w:p w14:paraId="0AC68E8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728.958,24</w:t>
            </w:r>
          </w:p>
        </w:tc>
        <w:tc>
          <w:tcPr>
            <w:tcW w:w="3544" w:type="dxa"/>
          </w:tcPr>
          <w:p w14:paraId="06B331B0"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7E57033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4AF13F7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241D6106"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5C669981" w14:textId="77777777" w:rsidTr="009743AF">
        <w:trPr>
          <w:trHeight w:val="1383"/>
        </w:trPr>
        <w:tc>
          <w:tcPr>
            <w:tcW w:w="2405" w:type="dxa"/>
          </w:tcPr>
          <w:p w14:paraId="2F0975FE"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lastRenderedPageBreak/>
              <w:t>05935048000105</w:t>
            </w:r>
          </w:p>
        </w:tc>
        <w:tc>
          <w:tcPr>
            <w:tcW w:w="5812" w:type="dxa"/>
          </w:tcPr>
          <w:p w14:paraId="19006E90" w14:textId="22403321" w:rsidR="00CF0623" w:rsidRPr="00CF0623" w:rsidRDefault="00D9044B" w:rsidP="00EE3640">
            <w:pPr>
              <w:rPr>
                <w:rFonts w:ascii="Arial" w:hAnsi="Arial" w:cs="Arial"/>
                <w:sz w:val="24"/>
                <w:szCs w:val="24"/>
              </w:rPr>
            </w:pPr>
            <w:r w:rsidRPr="00CF0623">
              <w:rPr>
                <w:rFonts w:ascii="Arial" w:hAnsi="Arial" w:cs="Arial"/>
                <w:sz w:val="24"/>
                <w:szCs w:val="24"/>
              </w:rPr>
              <w:t>Usina S</w:t>
            </w:r>
            <w:r w:rsidR="00B767ED">
              <w:rPr>
                <w:rFonts w:ascii="Arial" w:hAnsi="Arial" w:cs="Arial"/>
                <w:sz w:val="24"/>
                <w:szCs w:val="24"/>
              </w:rPr>
              <w:t>ão Paulo Energia e</w:t>
            </w:r>
            <w:r w:rsidRPr="00CF0623">
              <w:rPr>
                <w:rFonts w:ascii="Arial" w:hAnsi="Arial" w:cs="Arial"/>
                <w:sz w:val="24"/>
                <w:szCs w:val="24"/>
              </w:rPr>
              <w:t xml:space="preserve"> Etanol S.A</w:t>
            </w:r>
          </w:p>
        </w:tc>
        <w:tc>
          <w:tcPr>
            <w:tcW w:w="2835" w:type="dxa"/>
          </w:tcPr>
          <w:p w14:paraId="06E732E4"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37.909.551,98</w:t>
            </w:r>
          </w:p>
          <w:p w14:paraId="409E4342"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51.797.468,93</w:t>
            </w:r>
          </w:p>
          <w:p w14:paraId="637B647E"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2.837.597,02</w:t>
            </w:r>
          </w:p>
          <w:p w14:paraId="0FCB1F5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2.553.793,00</w:t>
            </w:r>
          </w:p>
          <w:p w14:paraId="7E7E708C"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95.098.410,93</w:t>
            </w:r>
          </w:p>
        </w:tc>
        <w:tc>
          <w:tcPr>
            <w:tcW w:w="3544" w:type="dxa"/>
          </w:tcPr>
          <w:p w14:paraId="26813BFA"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53B0952F"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2277C43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67B0019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FGTS</w:t>
            </w:r>
          </w:p>
          <w:p w14:paraId="663A0F37"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2677B62D" w14:textId="77777777" w:rsidTr="009743AF">
        <w:trPr>
          <w:trHeight w:val="826"/>
        </w:trPr>
        <w:tc>
          <w:tcPr>
            <w:tcW w:w="2405" w:type="dxa"/>
          </w:tcPr>
          <w:p w14:paraId="316BA854"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06091998000163</w:t>
            </w:r>
          </w:p>
        </w:tc>
        <w:tc>
          <w:tcPr>
            <w:tcW w:w="5812" w:type="dxa"/>
          </w:tcPr>
          <w:p w14:paraId="0A256973" w14:textId="3CF43D0A" w:rsidR="00CF0623" w:rsidRPr="00CF0623" w:rsidRDefault="00D9044B" w:rsidP="00EE3640">
            <w:pPr>
              <w:rPr>
                <w:rFonts w:ascii="Arial" w:hAnsi="Arial" w:cs="Arial"/>
                <w:sz w:val="24"/>
                <w:szCs w:val="24"/>
              </w:rPr>
            </w:pPr>
            <w:r w:rsidRPr="00CF0623">
              <w:rPr>
                <w:rFonts w:ascii="Arial" w:hAnsi="Arial" w:cs="Arial"/>
                <w:sz w:val="24"/>
                <w:szCs w:val="24"/>
              </w:rPr>
              <w:t>Distribuidora Polo Materi</w:t>
            </w:r>
            <w:r>
              <w:rPr>
                <w:rFonts w:ascii="Arial" w:hAnsi="Arial" w:cs="Arial"/>
                <w:sz w:val="24"/>
                <w:szCs w:val="24"/>
              </w:rPr>
              <w:t>al d</w:t>
            </w:r>
            <w:r w:rsidRPr="00CF0623">
              <w:rPr>
                <w:rFonts w:ascii="Arial" w:hAnsi="Arial" w:cs="Arial"/>
                <w:sz w:val="24"/>
                <w:szCs w:val="24"/>
              </w:rPr>
              <w:t xml:space="preserve">e Construção </w:t>
            </w:r>
            <w:r w:rsidR="007E0CD9" w:rsidRPr="00CF0623">
              <w:rPr>
                <w:rFonts w:ascii="Arial" w:hAnsi="Arial" w:cs="Arial"/>
                <w:sz w:val="24"/>
                <w:szCs w:val="24"/>
              </w:rPr>
              <w:t>Ltda.</w:t>
            </w:r>
          </w:p>
        </w:tc>
        <w:tc>
          <w:tcPr>
            <w:tcW w:w="2835" w:type="dxa"/>
          </w:tcPr>
          <w:p w14:paraId="0AF990DB"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411.035,92</w:t>
            </w:r>
          </w:p>
          <w:p w14:paraId="584B067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316.101,13</w:t>
            </w:r>
          </w:p>
          <w:p w14:paraId="359E550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727.137,05</w:t>
            </w:r>
          </w:p>
        </w:tc>
        <w:tc>
          <w:tcPr>
            <w:tcW w:w="3544" w:type="dxa"/>
          </w:tcPr>
          <w:p w14:paraId="5B98BF1A"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1630C390"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796B5A64"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068F0B40" w14:textId="77777777" w:rsidTr="009743AF">
        <w:trPr>
          <w:trHeight w:val="1104"/>
        </w:trPr>
        <w:tc>
          <w:tcPr>
            <w:tcW w:w="2405" w:type="dxa"/>
          </w:tcPr>
          <w:p w14:paraId="35300E60"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06982640000120</w:t>
            </w:r>
          </w:p>
        </w:tc>
        <w:tc>
          <w:tcPr>
            <w:tcW w:w="5812" w:type="dxa"/>
          </w:tcPr>
          <w:p w14:paraId="0FA442D5" w14:textId="6B28AD14" w:rsidR="00CF0623" w:rsidRPr="00CF0623" w:rsidRDefault="00D9044B" w:rsidP="00EE3640">
            <w:pPr>
              <w:rPr>
                <w:rFonts w:ascii="Arial" w:hAnsi="Arial" w:cs="Arial"/>
                <w:sz w:val="24"/>
                <w:szCs w:val="24"/>
              </w:rPr>
            </w:pPr>
            <w:r>
              <w:rPr>
                <w:rFonts w:ascii="Arial" w:hAnsi="Arial" w:cs="Arial"/>
                <w:sz w:val="24"/>
                <w:szCs w:val="24"/>
              </w:rPr>
              <w:t>Midiz Industria e Comercio d</w:t>
            </w:r>
            <w:r w:rsidRPr="00CF0623">
              <w:rPr>
                <w:rFonts w:ascii="Arial" w:hAnsi="Arial" w:cs="Arial"/>
                <w:sz w:val="24"/>
                <w:szCs w:val="24"/>
              </w:rPr>
              <w:t xml:space="preserve">e Fraldas </w:t>
            </w:r>
            <w:r w:rsidR="007E0CD9" w:rsidRPr="00CF0623">
              <w:rPr>
                <w:rFonts w:ascii="Arial" w:hAnsi="Arial" w:cs="Arial"/>
                <w:sz w:val="24"/>
                <w:szCs w:val="24"/>
              </w:rPr>
              <w:t>Ltda.</w:t>
            </w:r>
          </w:p>
        </w:tc>
        <w:tc>
          <w:tcPr>
            <w:tcW w:w="2835" w:type="dxa"/>
          </w:tcPr>
          <w:p w14:paraId="44C9185D"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580.064,30</w:t>
            </w:r>
          </w:p>
          <w:p w14:paraId="2BA4A392"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19.799,73</w:t>
            </w:r>
          </w:p>
          <w:p w14:paraId="0AA46631"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4.836,32</w:t>
            </w:r>
          </w:p>
          <w:p w14:paraId="5FF11CDF"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604.700,35</w:t>
            </w:r>
          </w:p>
        </w:tc>
        <w:tc>
          <w:tcPr>
            <w:tcW w:w="3544" w:type="dxa"/>
          </w:tcPr>
          <w:p w14:paraId="6080C299"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3FED8442"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59763BB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27DDE460"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5B2F21D2" w14:textId="77777777" w:rsidTr="009743AF">
        <w:trPr>
          <w:trHeight w:val="1104"/>
        </w:trPr>
        <w:tc>
          <w:tcPr>
            <w:tcW w:w="2405" w:type="dxa"/>
          </w:tcPr>
          <w:p w14:paraId="34F4958A"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07080737000100</w:t>
            </w:r>
          </w:p>
        </w:tc>
        <w:tc>
          <w:tcPr>
            <w:tcW w:w="5812" w:type="dxa"/>
          </w:tcPr>
          <w:p w14:paraId="2619A860" w14:textId="2F1EADD7" w:rsidR="00CF0623" w:rsidRPr="00CF0623" w:rsidRDefault="00D9044B" w:rsidP="00EE3640">
            <w:pPr>
              <w:rPr>
                <w:rFonts w:ascii="Arial" w:hAnsi="Arial" w:cs="Arial"/>
                <w:sz w:val="24"/>
                <w:szCs w:val="24"/>
              </w:rPr>
            </w:pPr>
            <w:r w:rsidRPr="00CF0623">
              <w:rPr>
                <w:rFonts w:ascii="Arial" w:hAnsi="Arial" w:cs="Arial"/>
                <w:sz w:val="24"/>
                <w:szCs w:val="24"/>
              </w:rPr>
              <w:t xml:space="preserve">Aluminium Alumínios Goiás </w:t>
            </w:r>
            <w:r w:rsidR="007E0CD9" w:rsidRPr="00CF0623">
              <w:rPr>
                <w:rFonts w:ascii="Arial" w:hAnsi="Arial" w:cs="Arial"/>
                <w:sz w:val="24"/>
                <w:szCs w:val="24"/>
              </w:rPr>
              <w:t>Ltda.</w:t>
            </w:r>
          </w:p>
        </w:tc>
        <w:tc>
          <w:tcPr>
            <w:tcW w:w="2835" w:type="dxa"/>
          </w:tcPr>
          <w:p w14:paraId="07C7C758"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6.449.711,05</w:t>
            </w:r>
          </w:p>
          <w:p w14:paraId="415D2B2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1.341.699,45</w:t>
            </w:r>
          </w:p>
          <w:p w14:paraId="77888ED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42.816,53</w:t>
            </w:r>
          </w:p>
          <w:p w14:paraId="4CDCB60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7.834.227,03</w:t>
            </w:r>
          </w:p>
        </w:tc>
        <w:tc>
          <w:tcPr>
            <w:tcW w:w="3544" w:type="dxa"/>
          </w:tcPr>
          <w:p w14:paraId="49A2B33A"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4A402859"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5878E356"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30B642D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3AD3BD17" w14:textId="77777777" w:rsidTr="009743AF">
        <w:trPr>
          <w:trHeight w:val="826"/>
        </w:trPr>
        <w:tc>
          <w:tcPr>
            <w:tcW w:w="2405" w:type="dxa"/>
          </w:tcPr>
          <w:p w14:paraId="15755FF5"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07513409000150</w:t>
            </w:r>
          </w:p>
        </w:tc>
        <w:tc>
          <w:tcPr>
            <w:tcW w:w="5812" w:type="dxa"/>
          </w:tcPr>
          <w:p w14:paraId="52EF0289" w14:textId="79DF714D" w:rsidR="00CF0623" w:rsidRPr="00CF0623" w:rsidRDefault="00CF0623" w:rsidP="00EE3640">
            <w:pPr>
              <w:rPr>
                <w:rFonts w:ascii="Arial" w:hAnsi="Arial" w:cs="Arial"/>
                <w:sz w:val="24"/>
                <w:szCs w:val="24"/>
              </w:rPr>
            </w:pPr>
            <w:r w:rsidRPr="00CF0623">
              <w:rPr>
                <w:rFonts w:ascii="Arial" w:hAnsi="Arial" w:cs="Arial"/>
                <w:sz w:val="24"/>
                <w:szCs w:val="24"/>
              </w:rPr>
              <w:t>TGM</w:t>
            </w:r>
            <w:r w:rsidR="00B767ED">
              <w:rPr>
                <w:rFonts w:ascii="Arial" w:hAnsi="Arial" w:cs="Arial"/>
                <w:sz w:val="24"/>
                <w:szCs w:val="24"/>
              </w:rPr>
              <w:t xml:space="preserve"> Industria e Comercio d</w:t>
            </w:r>
            <w:r w:rsidR="00D9044B" w:rsidRPr="00CF0623">
              <w:rPr>
                <w:rFonts w:ascii="Arial" w:hAnsi="Arial" w:cs="Arial"/>
                <w:sz w:val="24"/>
                <w:szCs w:val="24"/>
              </w:rPr>
              <w:t xml:space="preserve">e Roupas </w:t>
            </w:r>
            <w:r w:rsidR="007E0CD9" w:rsidRPr="00CF0623">
              <w:rPr>
                <w:rFonts w:ascii="Arial" w:hAnsi="Arial" w:cs="Arial"/>
                <w:sz w:val="24"/>
                <w:szCs w:val="24"/>
              </w:rPr>
              <w:t>Ltda.</w:t>
            </w:r>
          </w:p>
        </w:tc>
        <w:tc>
          <w:tcPr>
            <w:tcW w:w="2835" w:type="dxa"/>
          </w:tcPr>
          <w:p w14:paraId="5783B5B9"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35.603,62</w:t>
            </w:r>
          </w:p>
          <w:p w14:paraId="36411504"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1.939.068,57</w:t>
            </w:r>
          </w:p>
          <w:p w14:paraId="3D84FFFB"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1.974.672,19</w:t>
            </w:r>
          </w:p>
        </w:tc>
        <w:tc>
          <w:tcPr>
            <w:tcW w:w="3544" w:type="dxa"/>
          </w:tcPr>
          <w:p w14:paraId="15640446"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325D13E1"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53107E8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1B711C34" w14:textId="77777777" w:rsidTr="009743AF">
        <w:trPr>
          <w:trHeight w:val="547"/>
        </w:trPr>
        <w:tc>
          <w:tcPr>
            <w:tcW w:w="2405" w:type="dxa"/>
          </w:tcPr>
          <w:p w14:paraId="61FC063B"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07809935000162</w:t>
            </w:r>
          </w:p>
        </w:tc>
        <w:tc>
          <w:tcPr>
            <w:tcW w:w="5812" w:type="dxa"/>
          </w:tcPr>
          <w:p w14:paraId="1C87E62B" w14:textId="658A9265" w:rsidR="00CF0623" w:rsidRPr="00CF0623" w:rsidRDefault="00D9044B" w:rsidP="00EE3640">
            <w:pPr>
              <w:rPr>
                <w:rFonts w:ascii="Arial" w:hAnsi="Arial" w:cs="Arial"/>
                <w:sz w:val="24"/>
                <w:szCs w:val="24"/>
              </w:rPr>
            </w:pPr>
            <w:r w:rsidRPr="00CF0623">
              <w:rPr>
                <w:rFonts w:ascii="Arial" w:hAnsi="Arial" w:cs="Arial"/>
                <w:sz w:val="24"/>
                <w:szCs w:val="24"/>
              </w:rPr>
              <w:t xml:space="preserve">Metal </w:t>
            </w:r>
            <w:r w:rsidR="00B767ED">
              <w:rPr>
                <w:rFonts w:ascii="Arial" w:hAnsi="Arial" w:cs="Arial"/>
                <w:sz w:val="24"/>
                <w:szCs w:val="24"/>
              </w:rPr>
              <w:t>Light Ind e Comercio d</w:t>
            </w:r>
            <w:r>
              <w:rPr>
                <w:rFonts w:ascii="Arial" w:hAnsi="Arial" w:cs="Arial"/>
                <w:sz w:val="24"/>
                <w:szCs w:val="24"/>
              </w:rPr>
              <w:t>e Moveis d</w:t>
            </w:r>
            <w:r w:rsidRPr="00CF0623">
              <w:rPr>
                <w:rFonts w:ascii="Arial" w:hAnsi="Arial" w:cs="Arial"/>
                <w:sz w:val="24"/>
                <w:szCs w:val="24"/>
              </w:rPr>
              <w:t xml:space="preserve">e Aço </w:t>
            </w:r>
            <w:r w:rsidR="007E0CD9" w:rsidRPr="00CF0623">
              <w:rPr>
                <w:rFonts w:ascii="Arial" w:hAnsi="Arial" w:cs="Arial"/>
                <w:sz w:val="24"/>
                <w:szCs w:val="24"/>
              </w:rPr>
              <w:t>Ltda.</w:t>
            </w:r>
          </w:p>
        </w:tc>
        <w:tc>
          <w:tcPr>
            <w:tcW w:w="2835" w:type="dxa"/>
          </w:tcPr>
          <w:p w14:paraId="2495C635"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387.007,41</w:t>
            </w:r>
          </w:p>
          <w:p w14:paraId="20E196C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387.007,41</w:t>
            </w:r>
          </w:p>
        </w:tc>
        <w:tc>
          <w:tcPr>
            <w:tcW w:w="3544" w:type="dxa"/>
          </w:tcPr>
          <w:p w14:paraId="09621AA0"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13A426C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0A30B7E2" w14:textId="77777777" w:rsidTr="009743AF">
        <w:trPr>
          <w:trHeight w:val="547"/>
        </w:trPr>
        <w:tc>
          <w:tcPr>
            <w:tcW w:w="2405" w:type="dxa"/>
          </w:tcPr>
          <w:p w14:paraId="719E3D12"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07911425000100</w:t>
            </w:r>
          </w:p>
        </w:tc>
        <w:tc>
          <w:tcPr>
            <w:tcW w:w="5812" w:type="dxa"/>
          </w:tcPr>
          <w:p w14:paraId="5E99D4D9" w14:textId="6C60FA18" w:rsidR="00CF0623" w:rsidRPr="00CF0623" w:rsidRDefault="00D9044B" w:rsidP="00EE3640">
            <w:pPr>
              <w:rPr>
                <w:rFonts w:ascii="Arial" w:hAnsi="Arial" w:cs="Arial"/>
                <w:sz w:val="24"/>
                <w:szCs w:val="24"/>
              </w:rPr>
            </w:pPr>
            <w:r>
              <w:rPr>
                <w:rFonts w:ascii="Arial" w:hAnsi="Arial" w:cs="Arial"/>
                <w:sz w:val="24"/>
                <w:szCs w:val="24"/>
              </w:rPr>
              <w:t>Renovar Reciclagem d</w:t>
            </w:r>
            <w:r w:rsidRPr="00CF0623">
              <w:rPr>
                <w:rFonts w:ascii="Arial" w:hAnsi="Arial" w:cs="Arial"/>
                <w:sz w:val="24"/>
                <w:szCs w:val="24"/>
              </w:rPr>
              <w:t xml:space="preserve">e Materiais </w:t>
            </w:r>
            <w:r w:rsidR="007E0CD9" w:rsidRPr="00CF0623">
              <w:rPr>
                <w:rFonts w:ascii="Arial" w:hAnsi="Arial" w:cs="Arial"/>
                <w:sz w:val="24"/>
                <w:szCs w:val="24"/>
              </w:rPr>
              <w:t>Ltda.</w:t>
            </w:r>
          </w:p>
        </w:tc>
        <w:tc>
          <w:tcPr>
            <w:tcW w:w="2835" w:type="dxa"/>
          </w:tcPr>
          <w:p w14:paraId="4E8765AB"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30.575,33</w:t>
            </w:r>
          </w:p>
          <w:p w14:paraId="3B542CFC"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30.575,33</w:t>
            </w:r>
          </w:p>
        </w:tc>
        <w:tc>
          <w:tcPr>
            <w:tcW w:w="3544" w:type="dxa"/>
          </w:tcPr>
          <w:p w14:paraId="274E8D8D"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0B991113"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306D213D" w14:textId="77777777" w:rsidTr="009743AF">
        <w:trPr>
          <w:trHeight w:val="826"/>
        </w:trPr>
        <w:tc>
          <w:tcPr>
            <w:tcW w:w="2405" w:type="dxa"/>
          </w:tcPr>
          <w:p w14:paraId="65D17138"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08096367000162</w:t>
            </w:r>
          </w:p>
        </w:tc>
        <w:tc>
          <w:tcPr>
            <w:tcW w:w="5812" w:type="dxa"/>
          </w:tcPr>
          <w:p w14:paraId="2EF15E71" w14:textId="7DFB1139" w:rsidR="00CF0623" w:rsidRPr="00CF0623" w:rsidRDefault="00CF0623" w:rsidP="00EE3640">
            <w:pPr>
              <w:rPr>
                <w:rFonts w:ascii="Arial" w:hAnsi="Arial" w:cs="Arial"/>
                <w:sz w:val="24"/>
                <w:szCs w:val="24"/>
              </w:rPr>
            </w:pPr>
            <w:r w:rsidRPr="00CF0623">
              <w:rPr>
                <w:rFonts w:ascii="Arial" w:hAnsi="Arial" w:cs="Arial"/>
                <w:sz w:val="24"/>
                <w:szCs w:val="24"/>
              </w:rPr>
              <w:t xml:space="preserve">D3 </w:t>
            </w:r>
            <w:r w:rsidR="00D9044B" w:rsidRPr="00CF0623">
              <w:rPr>
                <w:rFonts w:ascii="Arial" w:hAnsi="Arial" w:cs="Arial"/>
                <w:sz w:val="24"/>
                <w:szCs w:val="24"/>
              </w:rPr>
              <w:t>Logística</w:t>
            </w:r>
            <w:r w:rsidR="00B767ED">
              <w:rPr>
                <w:rFonts w:ascii="Arial" w:hAnsi="Arial" w:cs="Arial"/>
                <w:sz w:val="24"/>
                <w:szCs w:val="24"/>
              </w:rPr>
              <w:t>, Armazenagem e</w:t>
            </w:r>
            <w:r w:rsidR="00D9044B" w:rsidRPr="00CF0623">
              <w:rPr>
                <w:rFonts w:ascii="Arial" w:hAnsi="Arial" w:cs="Arial"/>
                <w:sz w:val="24"/>
                <w:szCs w:val="24"/>
              </w:rPr>
              <w:t xml:space="preserve"> Transporte </w:t>
            </w:r>
            <w:r w:rsidR="007E0CD9" w:rsidRPr="00CF0623">
              <w:rPr>
                <w:rFonts w:ascii="Arial" w:hAnsi="Arial" w:cs="Arial"/>
                <w:sz w:val="24"/>
                <w:szCs w:val="24"/>
              </w:rPr>
              <w:t>Ltda.</w:t>
            </w:r>
          </w:p>
        </w:tc>
        <w:tc>
          <w:tcPr>
            <w:tcW w:w="2835" w:type="dxa"/>
          </w:tcPr>
          <w:p w14:paraId="337E5DF2"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303.599,14</w:t>
            </w:r>
          </w:p>
          <w:p w14:paraId="7CC0DA82"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159.936,76</w:t>
            </w:r>
          </w:p>
          <w:p w14:paraId="3EF9EFC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463.535,90</w:t>
            </w:r>
          </w:p>
        </w:tc>
        <w:tc>
          <w:tcPr>
            <w:tcW w:w="3544" w:type="dxa"/>
          </w:tcPr>
          <w:p w14:paraId="71F3F285"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15708EA5"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685217EF"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704B4D04" w14:textId="77777777" w:rsidTr="00D9044B">
        <w:trPr>
          <w:trHeight w:val="806"/>
        </w:trPr>
        <w:tc>
          <w:tcPr>
            <w:tcW w:w="2405" w:type="dxa"/>
          </w:tcPr>
          <w:p w14:paraId="69AAB91D"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08305105000160</w:t>
            </w:r>
          </w:p>
        </w:tc>
        <w:tc>
          <w:tcPr>
            <w:tcW w:w="5812" w:type="dxa"/>
          </w:tcPr>
          <w:p w14:paraId="558C728A" w14:textId="70DD3899" w:rsidR="00CF0623" w:rsidRPr="00CF0623" w:rsidRDefault="00D9044B" w:rsidP="00EE3640">
            <w:pPr>
              <w:rPr>
                <w:rFonts w:ascii="Arial" w:hAnsi="Arial" w:cs="Arial"/>
                <w:sz w:val="24"/>
                <w:szCs w:val="24"/>
              </w:rPr>
            </w:pPr>
            <w:r w:rsidRPr="00CF0623">
              <w:rPr>
                <w:rFonts w:ascii="Arial" w:hAnsi="Arial" w:cs="Arial"/>
                <w:sz w:val="24"/>
                <w:szCs w:val="24"/>
              </w:rPr>
              <w:t>Porto Brasil Industria Comércio Importação</w:t>
            </w:r>
            <w:r>
              <w:rPr>
                <w:rFonts w:ascii="Arial" w:hAnsi="Arial" w:cs="Arial"/>
                <w:sz w:val="24"/>
                <w:szCs w:val="24"/>
              </w:rPr>
              <w:t xml:space="preserve"> e Exportação d</w:t>
            </w:r>
            <w:r w:rsidRPr="00CF0623">
              <w:rPr>
                <w:rFonts w:ascii="Arial" w:hAnsi="Arial" w:cs="Arial"/>
                <w:sz w:val="24"/>
                <w:szCs w:val="24"/>
              </w:rPr>
              <w:t xml:space="preserve">e Alimentos </w:t>
            </w:r>
            <w:r w:rsidR="007E0CD9" w:rsidRPr="00CF0623">
              <w:rPr>
                <w:rFonts w:ascii="Arial" w:hAnsi="Arial" w:cs="Arial"/>
                <w:sz w:val="24"/>
                <w:szCs w:val="24"/>
              </w:rPr>
              <w:t>Ltda.</w:t>
            </w:r>
          </w:p>
        </w:tc>
        <w:tc>
          <w:tcPr>
            <w:tcW w:w="2835" w:type="dxa"/>
          </w:tcPr>
          <w:p w14:paraId="6C559F1F" w14:textId="77777777" w:rsidR="00D9044B" w:rsidRPr="00CF0623" w:rsidRDefault="00D9044B" w:rsidP="00D9044B">
            <w:pPr>
              <w:jc w:val="right"/>
              <w:rPr>
                <w:rFonts w:ascii="Arial" w:hAnsi="Arial" w:cs="Arial"/>
                <w:b/>
                <w:sz w:val="24"/>
                <w:szCs w:val="24"/>
              </w:rPr>
            </w:pPr>
            <w:r w:rsidRPr="00CF0623">
              <w:rPr>
                <w:rFonts w:ascii="Arial" w:hAnsi="Arial" w:cs="Arial"/>
                <w:b/>
                <w:sz w:val="24"/>
                <w:szCs w:val="24"/>
              </w:rPr>
              <w:t>1.689.428,63</w:t>
            </w:r>
          </w:p>
          <w:p w14:paraId="0812EC4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3.907.790,54</w:t>
            </w:r>
          </w:p>
          <w:p w14:paraId="5238EEB0"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9.623,30</w:t>
            </w:r>
          </w:p>
          <w:p w14:paraId="6D29AE0D"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99.556,06</w:t>
            </w:r>
          </w:p>
          <w:p w14:paraId="730719F0"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5.706.398,53</w:t>
            </w:r>
          </w:p>
        </w:tc>
        <w:tc>
          <w:tcPr>
            <w:tcW w:w="3544" w:type="dxa"/>
          </w:tcPr>
          <w:p w14:paraId="222F9BCF" w14:textId="77777777" w:rsidR="00D9044B" w:rsidRPr="00CF0623" w:rsidRDefault="00D9044B" w:rsidP="00D9044B">
            <w:pPr>
              <w:jc w:val="both"/>
              <w:rPr>
                <w:rFonts w:ascii="Arial" w:hAnsi="Arial" w:cs="Arial"/>
                <w:b/>
                <w:sz w:val="24"/>
                <w:szCs w:val="24"/>
              </w:rPr>
            </w:pPr>
            <w:r w:rsidRPr="00CF0623">
              <w:rPr>
                <w:rFonts w:ascii="Arial" w:hAnsi="Arial" w:cs="Arial"/>
                <w:b/>
                <w:sz w:val="24"/>
                <w:szCs w:val="24"/>
              </w:rPr>
              <w:t>Dívida previdenciária</w:t>
            </w:r>
          </w:p>
          <w:p w14:paraId="727AF7B5"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5F4BD183"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7AB16B6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não tributários</w:t>
            </w:r>
          </w:p>
          <w:p w14:paraId="03731077"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030D0E50" w14:textId="77777777" w:rsidTr="009743AF">
        <w:trPr>
          <w:trHeight w:val="547"/>
        </w:trPr>
        <w:tc>
          <w:tcPr>
            <w:tcW w:w="2405" w:type="dxa"/>
          </w:tcPr>
          <w:p w14:paraId="269D4D32"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lastRenderedPageBreak/>
              <w:t>08310826000169</w:t>
            </w:r>
          </w:p>
        </w:tc>
        <w:tc>
          <w:tcPr>
            <w:tcW w:w="5812" w:type="dxa"/>
          </w:tcPr>
          <w:p w14:paraId="7BA73F3E" w14:textId="79AB9DF3" w:rsidR="00CF0623" w:rsidRPr="00CF0623" w:rsidRDefault="00D9044B" w:rsidP="00EE3640">
            <w:pPr>
              <w:rPr>
                <w:rFonts w:ascii="Arial" w:hAnsi="Arial" w:cs="Arial"/>
                <w:sz w:val="24"/>
                <w:szCs w:val="24"/>
              </w:rPr>
            </w:pPr>
            <w:r w:rsidRPr="00CF0623">
              <w:rPr>
                <w:rFonts w:ascii="Arial" w:hAnsi="Arial" w:cs="Arial"/>
                <w:sz w:val="24"/>
                <w:szCs w:val="24"/>
              </w:rPr>
              <w:t>Milano Temper V</w:t>
            </w:r>
            <w:r>
              <w:rPr>
                <w:rFonts w:ascii="Arial" w:hAnsi="Arial" w:cs="Arial"/>
                <w:sz w:val="24"/>
                <w:szCs w:val="24"/>
              </w:rPr>
              <w:t>idros e Esquadrias d</w:t>
            </w:r>
            <w:r w:rsidRPr="00CF0623">
              <w:rPr>
                <w:rFonts w:ascii="Arial" w:hAnsi="Arial" w:cs="Arial"/>
                <w:sz w:val="24"/>
                <w:szCs w:val="24"/>
              </w:rPr>
              <w:t>e Alumínio Ltda</w:t>
            </w:r>
          </w:p>
        </w:tc>
        <w:tc>
          <w:tcPr>
            <w:tcW w:w="2835" w:type="dxa"/>
          </w:tcPr>
          <w:p w14:paraId="5A3223AF"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234.146,50</w:t>
            </w:r>
          </w:p>
          <w:p w14:paraId="508FDBA5"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234.146,50</w:t>
            </w:r>
          </w:p>
        </w:tc>
        <w:tc>
          <w:tcPr>
            <w:tcW w:w="3544" w:type="dxa"/>
          </w:tcPr>
          <w:p w14:paraId="39EA386F"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6983DEF3"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4567FF08" w14:textId="77777777" w:rsidTr="009743AF">
        <w:trPr>
          <w:trHeight w:val="1383"/>
        </w:trPr>
        <w:tc>
          <w:tcPr>
            <w:tcW w:w="2405" w:type="dxa"/>
          </w:tcPr>
          <w:p w14:paraId="150C4DA0"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09392865000115</w:t>
            </w:r>
          </w:p>
        </w:tc>
        <w:tc>
          <w:tcPr>
            <w:tcW w:w="5812" w:type="dxa"/>
          </w:tcPr>
          <w:p w14:paraId="140AA721" w14:textId="2A99548B" w:rsidR="00CF0623" w:rsidRPr="00CF0623" w:rsidRDefault="00CF0623" w:rsidP="00EE3640">
            <w:pPr>
              <w:rPr>
                <w:rFonts w:ascii="Arial" w:hAnsi="Arial" w:cs="Arial"/>
                <w:sz w:val="24"/>
                <w:szCs w:val="24"/>
              </w:rPr>
            </w:pPr>
            <w:r w:rsidRPr="00CF0623">
              <w:rPr>
                <w:rFonts w:ascii="Arial" w:hAnsi="Arial" w:cs="Arial"/>
                <w:sz w:val="24"/>
                <w:szCs w:val="24"/>
              </w:rPr>
              <w:t xml:space="preserve">JP </w:t>
            </w:r>
            <w:r w:rsidR="007F0B38">
              <w:rPr>
                <w:rFonts w:ascii="Arial" w:hAnsi="Arial" w:cs="Arial"/>
                <w:sz w:val="24"/>
                <w:szCs w:val="24"/>
              </w:rPr>
              <w:t>Moinho d</w:t>
            </w:r>
            <w:r w:rsidR="007F0B38" w:rsidRPr="00CF0623">
              <w:rPr>
                <w:rFonts w:ascii="Arial" w:hAnsi="Arial" w:cs="Arial"/>
                <w:sz w:val="24"/>
                <w:szCs w:val="24"/>
              </w:rPr>
              <w:t xml:space="preserve">e Trigo </w:t>
            </w:r>
            <w:r w:rsidR="007E0CD9" w:rsidRPr="00CF0623">
              <w:rPr>
                <w:rFonts w:ascii="Arial" w:hAnsi="Arial" w:cs="Arial"/>
                <w:sz w:val="24"/>
                <w:szCs w:val="24"/>
              </w:rPr>
              <w:t>Ltda.</w:t>
            </w:r>
          </w:p>
        </w:tc>
        <w:tc>
          <w:tcPr>
            <w:tcW w:w="2835" w:type="dxa"/>
          </w:tcPr>
          <w:p w14:paraId="28138C7A" w14:textId="77777777" w:rsidR="007F0B38" w:rsidRPr="00CF0623" w:rsidRDefault="007F0B38" w:rsidP="007F0B38">
            <w:pPr>
              <w:jc w:val="right"/>
              <w:rPr>
                <w:rFonts w:ascii="Arial" w:hAnsi="Arial" w:cs="Arial"/>
                <w:b/>
                <w:sz w:val="24"/>
                <w:szCs w:val="24"/>
              </w:rPr>
            </w:pPr>
            <w:r w:rsidRPr="00CF0623">
              <w:rPr>
                <w:rFonts w:ascii="Arial" w:hAnsi="Arial" w:cs="Arial"/>
                <w:b/>
                <w:sz w:val="24"/>
                <w:szCs w:val="24"/>
              </w:rPr>
              <w:t>4.294.792,01</w:t>
            </w:r>
          </w:p>
          <w:p w14:paraId="77BA52B5"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60.960,13</w:t>
            </w:r>
          </w:p>
          <w:p w14:paraId="2C8EFE0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812,48</w:t>
            </w:r>
          </w:p>
          <w:p w14:paraId="04B42C03"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44.531,10</w:t>
            </w:r>
          </w:p>
          <w:p w14:paraId="0F091DEC"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4.401.095,72</w:t>
            </w:r>
          </w:p>
        </w:tc>
        <w:tc>
          <w:tcPr>
            <w:tcW w:w="3544" w:type="dxa"/>
          </w:tcPr>
          <w:p w14:paraId="36A60422" w14:textId="77777777" w:rsidR="007F0B38" w:rsidRPr="00CF0623" w:rsidRDefault="007F0B38" w:rsidP="007F0B38">
            <w:pPr>
              <w:jc w:val="both"/>
              <w:rPr>
                <w:rFonts w:ascii="Arial" w:hAnsi="Arial" w:cs="Arial"/>
                <w:b/>
                <w:sz w:val="24"/>
                <w:szCs w:val="24"/>
              </w:rPr>
            </w:pPr>
            <w:r w:rsidRPr="00CF0623">
              <w:rPr>
                <w:rFonts w:ascii="Arial" w:hAnsi="Arial" w:cs="Arial"/>
                <w:b/>
                <w:sz w:val="24"/>
                <w:szCs w:val="24"/>
              </w:rPr>
              <w:t>Dívida previdenciária</w:t>
            </w:r>
          </w:p>
          <w:p w14:paraId="6BCDAE5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4163C3F0"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2B609512"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FGTS</w:t>
            </w:r>
          </w:p>
          <w:p w14:paraId="3343A6EF"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74C32720" w14:textId="77777777" w:rsidTr="009743AF">
        <w:trPr>
          <w:trHeight w:val="1104"/>
        </w:trPr>
        <w:tc>
          <w:tcPr>
            <w:tcW w:w="2405" w:type="dxa"/>
          </w:tcPr>
          <w:p w14:paraId="0D43750F"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10213051000155</w:t>
            </w:r>
          </w:p>
        </w:tc>
        <w:tc>
          <w:tcPr>
            <w:tcW w:w="5812" w:type="dxa"/>
          </w:tcPr>
          <w:p w14:paraId="6FEE8827" w14:textId="383D6850" w:rsidR="00CF0623" w:rsidRPr="00CF0623" w:rsidRDefault="00CF0623" w:rsidP="00EE3640">
            <w:pPr>
              <w:rPr>
                <w:rFonts w:ascii="Arial" w:hAnsi="Arial" w:cs="Arial"/>
                <w:sz w:val="24"/>
                <w:szCs w:val="24"/>
              </w:rPr>
            </w:pPr>
            <w:r w:rsidRPr="00CF0623">
              <w:rPr>
                <w:rFonts w:ascii="Arial" w:hAnsi="Arial" w:cs="Arial"/>
                <w:sz w:val="24"/>
                <w:szCs w:val="24"/>
              </w:rPr>
              <w:t xml:space="preserve">RG </w:t>
            </w:r>
            <w:r w:rsidR="007F0B38" w:rsidRPr="00CF0623">
              <w:rPr>
                <w:rFonts w:ascii="Arial" w:hAnsi="Arial" w:cs="Arial"/>
                <w:sz w:val="24"/>
                <w:szCs w:val="24"/>
              </w:rPr>
              <w:t>Log Logística</w:t>
            </w:r>
            <w:r w:rsidR="007F0B38">
              <w:rPr>
                <w:rFonts w:ascii="Arial" w:hAnsi="Arial" w:cs="Arial"/>
                <w:sz w:val="24"/>
                <w:szCs w:val="24"/>
              </w:rPr>
              <w:t xml:space="preserve"> e</w:t>
            </w:r>
            <w:r w:rsidR="007F0B38" w:rsidRPr="00CF0623">
              <w:rPr>
                <w:rFonts w:ascii="Arial" w:hAnsi="Arial" w:cs="Arial"/>
                <w:sz w:val="24"/>
                <w:szCs w:val="24"/>
              </w:rPr>
              <w:t xml:space="preserve"> Transporte </w:t>
            </w:r>
            <w:r w:rsidR="007E0CD9" w:rsidRPr="00CF0623">
              <w:rPr>
                <w:rFonts w:ascii="Arial" w:hAnsi="Arial" w:cs="Arial"/>
                <w:sz w:val="24"/>
                <w:szCs w:val="24"/>
              </w:rPr>
              <w:t>Ltda.</w:t>
            </w:r>
          </w:p>
        </w:tc>
        <w:tc>
          <w:tcPr>
            <w:tcW w:w="2835" w:type="dxa"/>
          </w:tcPr>
          <w:p w14:paraId="797A5C1A" w14:textId="77777777" w:rsidR="007F0B38" w:rsidRPr="00CF0623" w:rsidRDefault="007F0B38" w:rsidP="007F0B38">
            <w:pPr>
              <w:jc w:val="right"/>
              <w:rPr>
                <w:rFonts w:ascii="Arial" w:hAnsi="Arial" w:cs="Arial"/>
                <w:b/>
                <w:sz w:val="24"/>
                <w:szCs w:val="24"/>
              </w:rPr>
            </w:pPr>
            <w:r w:rsidRPr="00CF0623">
              <w:rPr>
                <w:rFonts w:ascii="Arial" w:hAnsi="Arial" w:cs="Arial"/>
                <w:b/>
                <w:sz w:val="24"/>
                <w:szCs w:val="24"/>
              </w:rPr>
              <w:t>4.874.932,34</w:t>
            </w:r>
          </w:p>
          <w:p w14:paraId="2CEA39D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2.338.755,54</w:t>
            </w:r>
          </w:p>
          <w:p w14:paraId="733A3DF9"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1.101,33</w:t>
            </w:r>
          </w:p>
          <w:p w14:paraId="1C6873D1"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7.214.789,21</w:t>
            </w:r>
          </w:p>
        </w:tc>
        <w:tc>
          <w:tcPr>
            <w:tcW w:w="3544" w:type="dxa"/>
          </w:tcPr>
          <w:p w14:paraId="6162ACC8" w14:textId="77777777" w:rsidR="007F0B38" w:rsidRPr="00CF0623" w:rsidRDefault="007F0B38" w:rsidP="007F0B38">
            <w:pPr>
              <w:jc w:val="both"/>
              <w:rPr>
                <w:rFonts w:ascii="Arial" w:hAnsi="Arial" w:cs="Arial"/>
                <w:b/>
                <w:sz w:val="24"/>
                <w:szCs w:val="24"/>
              </w:rPr>
            </w:pPr>
            <w:r w:rsidRPr="00CF0623">
              <w:rPr>
                <w:rFonts w:ascii="Arial" w:hAnsi="Arial" w:cs="Arial"/>
                <w:b/>
                <w:sz w:val="24"/>
                <w:szCs w:val="24"/>
              </w:rPr>
              <w:t>Dívida previdenciária</w:t>
            </w:r>
          </w:p>
          <w:p w14:paraId="6E2FE43A"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22949DFA"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não tributários</w:t>
            </w:r>
          </w:p>
          <w:p w14:paraId="3A7D521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4E9964E0" w14:textId="77777777" w:rsidTr="009743AF">
        <w:trPr>
          <w:trHeight w:val="1383"/>
        </w:trPr>
        <w:tc>
          <w:tcPr>
            <w:tcW w:w="2405" w:type="dxa"/>
          </w:tcPr>
          <w:p w14:paraId="6DDB5F6B"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10675555000197</w:t>
            </w:r>
          </w:p>
        </w:tc>
        <w:tc>
          <w:tcPr>
            <w:tcW w:w="5812" w:type="dxa"/>
          </w:tcPr>
          <w:p w14:paraId="13E8887B" w14:textId="0BE2561F" w:rsidR="00CF0623" w:rsidRPr="00CF0623" w:rsidRDefault="007F0B38" w:rsidP="00EE3640">
            <w:pPr>
              <w:rPr>
                <w:rFonts w:ascii="Arial" w:hAnsi="Arial" w:cs="Arial"/>
                <w:sz w:val="24"/>
                <w:szCs w:val="24"/>
              </w:rPr>
            </w:pPr>
            <w:r w:rsidRPr="00CF0623">
              <w:rPr>
                <w:rFonts w:ascii="Arial" w:hAnsi="Arial" w:cs="Arial"/>
                <w:sz w:val="24"/>
                <w:szCs w:val="24"/>
              </w:rPr>
              <w:t xml:space="preserve">Tecnomont Montagens Industriais </w:t>
            </w:r>
            <w:r w:rsidR="007E0CD9" w:rsidRPr="00CF0623">
              <w:rPr>
                <w:rFonts w:ascii="Arial" w:hAnsi="Arial" w:cs="Arial"/>
                <w:sz w:val="24"/>
                <w:szCs w:val="24"/>
              </w:rPr>
              <w:t>Ltda.</w:t>
            </w:r>
          </w:p>
        </w:tc>
        <w:tc>
          <w:tcPr>
            <w:tcW w:w="2835" w:type="dxa"/>
          </w:tcPr>
          <w:p w14:paraId="350B5647" w14:textId="77777777" w:rsidR="007F0B38" w:rsidRPr="00CF0623" w:rsidRDefault="007F0B38" w:rsidP="007F0B38">
            <w:pPr>
              <w:jc w:val="right"/>
              <w:rPr>
                <w:rFonts w:ascii="Arial" w:hAnsi="Arial" w:cs="Arial"/>
                <w:b/>
                <w:sz w:val="24"/>
                <w:szCs w:val="24"/>
              </w:rPr>
            </w:pPr>
            <w:r w:rsidRPr="00CF0623">
              <w:rPr>
                <w:rFonts w:ascii="Arial" w:hAnsi="Arial" w:cs="Arial"/>
                <w:b/>
                <w:sz w:val="24"/>
                <w:szCs w:val="24"/>
              </w:rPr>
              <w:t>52.601.627,04</w:t>
            </w:r>
          </w:p>
          <w:p w14:paraId="5AC88CDB"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38.614.448,92</w:t>
            </w:r>
          </w:p>
          <w:p w14:paraId="0EC73022"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227.420,31</w:t>
            </w:r>
          </w:p>
          <w:p w14:paraId="0A8E3DB4"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868.936,91</w:t>
            </w:r>
          </w:p>
          <w:p w14:paraId="0DE1E275"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92.312.433,18</w:t>
            </w:r>
          </w:p>
        </w:tc>
        <w:tc>
          <w:tcPr>
            <w:tcW w:w="3544" w:type="dxa"/>
          </w:tcPr>
          <w:p w14:paraId="69D9549B" w14:textId="77777777" w:rsidR="007F0B38" w:rsidRPr="00CF0623" w:rsidRDefault="007F0B38" w:rsidP="007F0B38">
            <w:pPr>
              <w:jc w:val="both"/>
              <w:rPr>
                <w:rFonts w:ascii="Arial" w:hAnsi="Arial" w:cs="Arial"/>
                <w:b/>
                <w:sz w:val="24"/>
                <w:szCs w:val="24"/>
              </w:rPr>
            </w:pPr>
            <w:r w:rsidRPr="00CF0623">
              <w:rPr>
                <w:rFonts w:ascii="Arial" w:hAnsi="Arial" w:cs="Arial"/>
                <w:b/>
                <w:sz w:val="24"/>
                <w:szCs w:val="24"/>
              </w:rPr>
              <w:t>Dívida previdenciária</w:t>
            </w:r>
          </w:p>
          <w:p w14:paraId="2DB9619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62BA7B00"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Multa trabalhista</w:t>
            </w:r>
          </w:p>
          <w:p w14:paraId="270D90EF"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FGTS</w:t>
            </w:r>
          </w:p>
          <w:p w14:paraId="4E7DE3CF"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79FE573A" w14:textId="77777777" w:rsidTr="009743AF">
        <w:trPr>
          <w:trHeight w:val="826"/>
        </w:trPr>
        <w:tc>
          <w:tcPr>
            <w:tcW w:w="2405" w:type="dxa"/>
          </w:tcPr>
          <w:p w14:paraId="6EAA6313"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10769880000119</w:t>
            </w:r>
          </w:p>
        </w:tc>
        <w:tc>
          <w:tcPr>
            <w:tcW w:w="5812" w:type="dxa"/>
          </w:tcPr>
          <w:p w14:paraId="19A7C205" w14:textId="0167CD0B" w:rsidR="00CF0623" w:rsidRPr="00CF0623" w:rsidRDefault="007F0B38" w:rsidP="00EE3640">
            <w:pPr>
              <w:rPr>
                <w:rFonts w:ascii="Arial" w:hAnsi="Arial" w:cs="Arial"/>
                <w:sz w:val="24"/>
                <w:szCs w:val="24"/>
              </w:rPr>
            </w:pPr>
            <w:r w:rsidRPr="00CF0623">
              <w:rPr>
                <w:rFonts w:ascii="Arial" w:hAnsi="Arial" w:cs="Arial"/>
                <w:sz w:val="24"/>
                <w:szCs w:val="24"/>
              </w:rPr>
              <w:t xml:space="preserve">Attivos Magisttrais Industria E Comercio </w:t>
            </w:r>
            <w:r w:rsidR="007E0CD9" w:rsidRPr="00CF0623">
              <w:rPr>
                <w:rFonts w:ascii="Arial" w:hAnsi="Arial" w:cs="Arial"/>
                <w:sz w:val="24"/>
                <w:szCs w:val="24"/>
              </w:rPr>
              <w:t>Ltda.</w:t>
            </w:r>
          </w:p>
        </w:tc>
        <w:tc>
          <w:tcPr>
            <w:tcW w:w="2835" w:type="dxa"/>
          </w:tcPr>
          <w:p w14:paraId="109164FC" w14:textId="77777777" w:rsidR="007F0B38" w:rsidRPr="00CF0623" w:rsidRDefault="007F0B38" w:rsidP="007F0B38">
            <w:pPr>
              <w:jc w:val="right"/>
              <w:rPr>
                <w:rFonts w:ascii="Arial" w:hAnsi="Arial" w:cs="Arial"/>
                <w:b/>
                <w:sz w:val="24"/>
                <w:szCs w:val="24"/>
              </w:rPr>
            </w:pPr>
            <w:r w:rsidRPr="00CF0623">
              <w:rPr>
                <w:rFonts w:ascii="Arial" w:hAnsi="Arial" w:cs="Arial"/>
                <w:b/>
                <w:sz w:val="24"/>
                <w:szCs w:val="24"/>
              </w:rPr>
              <w:t>2.839.555,75</w:t>
            </w:r>
          </w:p>
          <w:p w14:paraId="53CB05DE"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2.856.440,48</w:t>
            </w:r>
          </w:p>
          <w:p w14:paraId="3D85E7E6"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5.695.996,23</w:t>
            </w:r>
          </w:p>
        </w:tc>
        <w:tc>
          <w:tcPr>
            <w:tcW w:w="3544" w:type="dxa"/>
          </w:tcPr>
          <w:p w14:paraId="7CC16BB1" w14:textId="77777777" w:rsidR="007F0B38" w:rsidRPr="00CF0623" w:rsidRDefault="007F0B38" w:rsidP="007F0B38">
            <w:pPr>
              <w:jc w:val="both"/>
              <w:rPr>
                <w:rFonts w:ascii="Arial" w:hAnsi="Arial" w:cs="Arial"/>
                <w:b/>
                <w:sz w:val="24"/>
                <w:szCs w:val="24"/>
              </w:rPr>
            </w:pPr>
            <w:r w:rsidRPr="00CF0623">
              <w:rPr>
                <w:rFonts w:ascii="Arial" w:hAnsi="Arial" w:cs="Arial"/>
                <w:b/>
                <w:sz w:val="24"/>
                <w:szCs w:val="24"/>
              </w:rPr>
              <w:t>Dívida previdenciária</w:t>
            </w:r>
          </w:p>
          <w:p w14:paraId="551E3892"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0D7C70C1"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63A4C9EA" w14:textId="77777777" w:rsidTr="009743AF">
        <w:trPr>
          <w:trHeight w:val="547"/>
        </w:trPr>
        <w:tc>
          <w:tcPr>
            <w:tcW w:w="2405" w:type="dxa"/>
          </w:tcPr>
          <w:p w14:paraId="23FAB648"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10904231000183</w:t>
            </w:r>
          </w:p>
        </w:tc>
        <w:tc>
          <w:tcPr>
            <w:tcW w:w="5812" w:type="dxa"/>
          </w:tcPr>
          <w:p w14:paraId="642FB63B" w14:textId="7C4449E0" w:rsidR="00CF0623" w:rsidRPr="00CF0623" w:rsidRDefault="00CF0623" w:rsidP="00EE3640">
            <w:pPr>
              <w:rPr>
                <w:rFonts w:ascii="Arial" w:hAnsi="Arial" w:cs="Arial"/>
                <w:sz w:val="24"/>
                <w:szCs w:val="24"/>
              </w:rPr>
            </w:pPr>
            <w:r w:rsidRPr="00CF0623">
              <w:rPr>
                <w:rFonts w:ascii="Arial" w:hAnsi="Arial" w:cs="Arial"/>
                <w:sz w:val="24"/>
                <w:szCs w:val="24"/>
              </w:rPr>
              <w:t xml:space="preserve">S A </w:t>
            </w:r>
            <w:r w:rsidR="007F0B38" w:rsidRPr="00CF0623">
              <w:rPr>
                <w:rFonts w:ascii="Arial" w:hAnsi="Arial" w:cs="Arial"/>
                <w:sz w:val="24"/>
                <w:szCs w:val="24"/>
              </w:rPr>
              <w:t xml:space="preserve">de Sousa </w:t>
            </w:r>
            <w:r w:rsidR="007F0B38">
              <w:rPr>
                <w:rFonts w:ascii="Arial" w:hAnsi="Arial" w:cs="Arial"/>
                <w:sz w:val="24"/>
                <w:szCs w:val="24"/>
              </w:rPr>
              <w:t>I</w:t>
            </w:r>
            <w:r w:rsidR="007F0B38" w:rsidRPr="00CF0623">
              <w:rPr>
                <w:rFonts w:ascii="Arial" w:hAnsi="Arial" w:cs="Arial"/>
                <w:sz w:val="24"/>
                <w:szCs w:val="24"/>
              </w:rPr>
              <w:t>ndústria</w:t>
            </w:r>
            <w:r w:rsidR="007F0B38">
              <w:rPr>
                <w:rFonts w:ascii="Arial" w:hAnsi="Arial" w:cs="Arial"/>
                <w:sz w:val="24"/>
                <w:szCs w:val="24"/>
              </w:rPr>
              <w:t xml:space="preserve"> e C</w:t>
            </w:r>
            <w:r w:rsidR="007F0B38" w:rsidRPr="00CF0623">
              <w:rPr>
                <w:rFonts w:ascii="Arial" w:hAnsi="Arial" w:cs="Arial"/>
                <w:sz w:val="24"/>
                <w:szCs w:val="24"/>
              </w:rPr>
              <w:t>omercio</w:t>
            </w:r>
          </w:p>
        </w:tc>
        <w:tc>
          <w:tcPr>
            <w:tcW w:w="2835" w:type="dxa"/>
          </w:tcPr>
          <w:p w14:paraId="156ED99E"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50.212,24</w:t>
            </w:r>
          </w:p>
          <w:p w14:paraId="589F3041"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50.212,24</w:t>
            </w:r>
          </w:p>
        </w:tc>
        <w:tc>
          <w:tcPr>
            <w:tcW w:w="3544" w:type="dxa"/>
          </w:tcPr>
          <w:p w14:paraId="6E0B0DBE"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391B33F3"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40A2840B" w14:textId="77777777" w:rsidTr="009743AF">
        <w:trPr>
          <w:trHeight w:val="826"/>
        </w:trPr>
        <w:tc>
          <w:tcPr>
            <w:tcW w:w="2405" w:type="dxa"/>
          </w:tcPr>
          <w:p w14:paraId="79288F2D"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11935231000103</w:t>
            </w:r>
          </w:p>
        </w:tc>
        <w:tc>
          <w:tcPr>
            <w:tcW w:w="5812" w:type="dxa"/>
          </w:tcPr>
          <w:p w14:paraId="24099FF2" w14:textId="0C30F99C" w:rsidR="00CF0623" w:rsidRPr="00CF0623" w:rsidRDefault="007F0B38" w:rsidP="00EE3640">
            <w:pPr>
              <w:rPr>
                <w:rFonts w:ascii="Arial" w:hAnsi="Arial" w:cs="Arial"/>
                <w:sz w:val="24"/>
                <w:szCs w:val="24"/>
              </w:rPr>
            </w:pPr>
            <w:r>
              <w:rPr>
                <w:rFonts w:ascii="Arial" w:hAnsi="Arial" w:cs="Arial"/>
                <w:sz w:val="24"/>
                <w:szCs w:val="24"/>
              </w:rPr>
              <w:t>Paranaferros Paraná Ferro e</w:t>
            </w:r>
            <w:r w:rsidRPr="00CF0623">
              <w:rPr>
                <w:rFonts w:ascii="Arial" w:hAnsi="Arial" w:cs="Arial"/>
                <w:sz w:val="24"/>
                <w:szCs w:val="24"/>
              </w:rPr>
              <w:t xml:space="preserve"> Aço </w:t>
            </w:r>
            <w:r w:rsidR="007E0CD9" w:rsidRPr="00CF0623">
              <w:rPr>
                <w:rFonts w:ascii="Arial" w:hAnsi="Arial" w:cs="Arial"/>
                <w:sz w:val="24"/>
                <w:szCs w:val="24"/>
              </w:rPr>
              <w:t>Ltda.</w:t>
            </w:r>
          </w:p>
        </w:tc>
        <w:tc>
          <w:tcPr>
            <w:tcW w:w="2835" w:type="dxa"/>
          </w:tcPr>
          <w:p w14:paraId="573E7369" w14:textId="77777777" w:rsidR="007F0B38" w:rsidRPr="00CF0623" w:rsidRDefault="007F0B38" w:rsidP="007F0B38">
            <w:pPr>
              <w:jc w:val="right"/>
              <w:rPr>
                <w:rFonts w:ascii="Arial" w:hAnsi="Arial" w:cs="Arial"/>
                <w:b/>
                <w:sz w:val="24"/>
                <w:szCs w:val="24"/>
              </w:rPr>
            </w:pPr>
            <w:r w:rsidRPr="00CF0623">
              <w:rPr>
                <w:rFonts w:ascii="Arial" w:hAnsi="Arial" w:cs="Arial"/>
                <w:b/>
                <w:sz w:val="24"/>
                <w:szCs w:val="24"/>
              </w:rPr>
              <w:t>923.068,60</w:t>
            </w:r>
          </w:p>
          <w:p w14:paraId="2049BE4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434.987,85</w:t>
            </w:r>
          </w:p>
          <w:p w14:paraId="093D3BB5"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1.358.056,45</w:t>
            </w:r>
          </w:p>
        </w:tc>
        <w:tc>
          <w:tcPr>
            <w:tcW w:w="3544" w:type="dxa"/>
          </w:tcPr>
          <w:p w14:paraId="54C5CDE7" w14:textId="77777777" w:rsidR="007F0B38" w:rsidRPr="00CF0623" w:rsidRDefault="007F0B38" w:rsidP="007F0B38">
            <w:pPr>
              <w:jc w:val="both"/>
              <w:rPr>
                <w:rFonts w:ascii="Arial" w:hAnsi="Arial" w:cs="Arial"/>
                <w:b/>
                <w:sz w:val="24"/>
                <w:szCs w:val="24"/>
              </w:rPr>
            </w:pPr>
            <w:r w:rsidRPr="00CF0623">
              <w:rPr>
                <w:rFonts w:ascii="Arial" w:hAnsi="Arial" w:cs="Arial"/>
                <w:b/>
                <w:sz w:val="24"/>
                <w:szCs w:val="24"/>
              </w:rPr>
              <w:t>Dívida previdenciária</w:t>
            </w:r>
          </w:p>
          <w:p w14:paraId="0D284A1A"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2F3C8AB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3F2C8EBE" w14:textId="77777777" w:rsidTr="009743AF">
        <w:trPr>
          <w:trHeight w:val="826"/>
        </w:trPr>
        <w:tc>
          <w:tcPr>
            <w:tcW w:w="2405" w:type="dxa"/>
          </w:tcPr>
          <w:p w14:paraId="4D500ACD"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11973719000125</w:t>
            </w:r>
          </w:p>
        </w:tc>
        <w:tc>
          <w:tcPr>
            <w:tcW w:w="5812" w:type="dxa"/>
          </w:tcPr>
          <w:p w14:paraId="12BB403A" w14:textId="4E59CFE9" w:rsidR="00CF0623" w:rsidRPr="00CF0623" w:rsidRDefault="00CF0623" w:rsidP="00EE3640">
            <w:pPr>
              <w:rPr>
                <w:rFonts w:ascii="Arial" w:hAnsi="Arial" w:cs="Arial"/>
                <w:sz w:val="24"/>
                <w:szCs w:val="24"/>
              </w:rPr>
            </w:pPr>
            <w:r w:rsidRPr="00CF0623">
              <w:rPr>
                <w:rFonts w:ascii="Arial" w:hAnsi="Arial" w:cs="Arial"/>
                <w:sz w:val="24"/>
                <w:szCs w:val="24"/>
              </w:rPr>
              <w:t xml:space="preserve">BABY </w:t>
            </w:r>
            <w:r w:rsidR="007F0B38" w:rsidRPr="00CF0623">
              <w:rPr>
                <w:rFonts w:ascii="Arial" w:hAnsi="Arial" w:cs="Arial"/>
                <w:sz w:val="24"/>
                <w:szCs w:val="24"/>
              </w:rPr>
              <w:t xml:space="preserve">Mania Fraldas Descartáveis </w:t>
            </w:r>
            <w:r w:rsidR="007E0CD9" w:rsidRPr="00CF0623">
              <w:rPr>
                <w:rFonts w:ascii="Arial" w:hAnsi="Arial" w:cs="Arial"/>
                <w:sz w:val="24"/>
                <w:szCs w:val="24"/>
              </w:rPr>
              <w:t>Ltda.</w:t>
            </w:r>
          </w:p>
        </w:tc>
        <w:tc>
          <w:tcPr>
            <w:tcW w:w="2835" w:type="dxa"/>
          </w:tcPr>
          <w:p w14:paraId="6629E117" w14:textId="77777777" w:rsidR="007F0B38" w:rsidRPr="00CF0623" w:rsidRDefault="007F0B38" w:rsidP="007F0B38">
            <w:pPr>
              <w:jc w:val="right"/>
              <w:rPr>
                <w:rFonts w:ascii="Arial" w:hAnsi="Arial" w:cs="Arial"/>
                <w:b/>
                <w:sz w:val="24"/>
                <w:szCs w:val="24"/>
              </w:rPr>
            </w:pPr>
            <w:r w:rsidRPr="00CF0623">
              <w:rPr>
                <w:rFonts w:ascii="Arial" w:hAnsi="Arial" w:cs="Arial"/>
                <w:b/>
                <w:sz w:val="24"/>
                <w:szCs w:val="24"/>
              </w:rPr>
              <w:t>377.033,91</w:t>
            </w:r>
          </w:p>
          <w:p w14:paraId="349BBE2C"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9.565.119,90</w:t>
            </w:r>
          </w:p>
          <w:p w14:paraId="5F09916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9.942.153,81</w:t>
            </w:r>
          </w:p>
        </w:tc>
        <w:tc>
          <w:tcPr>
            <w:tcW w:w="3544" w:type="dxa"/>
          </w:tcPr>
          <w:p w14:paraId="3B61BA46" w14:textId="77777777" w:rsidR="007F0B38" w:rsidRPr="00CF0623" w:rsidRDefault="007F0B38" w:rsidP="007F0B38">
            <w:pPr>
              <w:jc w:val="both"/>
              <w:rPr>
                <w:rFonts w:ascii="Arial" w:hAnsi="Arial" w:cs="Arial"/>
                <w:b/>
                <w:sz w:val="24"/>
                <w:szCs w:val="24"/>
              </w:rPr>
            </w:pPr>
            <w:r w:rsidRPr="00CF0623">
              <w:rPr>
                <w:rFonts w:ascii="Arial" w:hAnsi="Arial" w:cs="Arial"/>
                <w:b/>
                <w:sz w:val="24"/>
                <w:szCs w:val="24"/>
              </w:rPr>
              <w:t>Dívida previdenciária</w:t>
            </w:r>
          </w:p>
          <w:p w14:paraId="0D1BF7AF"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7A0F7C9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10B9860B" w14:textId="77777777" w:rsidTr="009743AF">
        <w:trPr>
          <w:trHeight w:val="826"/>
        </w:trPr>
        <w:tc>
          <w:tcPr>
            <w:tcW w:w="2405" w:type="dxa"/>
          </w:tcPr>
          <w:p w14:paraId="0B8D3F34"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12395039000134</w:t>
            </w:r>
          </w:p>
        </w:tc>
        <w:tc>
          <w:tcPr>
            <w:tcW w:w="5812" w:type="dxa"/>
          </w:tcPr>
          <w:p w14:paraId="44BE6184" w14:textId="2F09EE1E" w:rsidR="00CF0623" w:rsidRPr="00CF0623" w:rsidRDefault="007F0B38" w:rsidP="00EE3640">
            <w:pPr>
              <w:rPr>
                <w:rFonts w:ascii="Arial" w:hAnsi="Arial" w:cs="Arial"/>
                <w:sz w:val="24"/>
                <w:szCs w:val="24"/>
              </w:rPr>
            </w:pPr>
            <w:r>
              <w:rPr>
                <w:rFonts w:ascii="Arial" w:hAnsi="Arial" w:cs="Arial"/>
                <w:sz w:val="24"/>
                <w:szCs w:val="24"/>
              </w:rPr>
              <w:t>Center Sul Importação d</w:t>
            </w:r>
            <w:r w:rsidRPr="00CF0623">
              <w:rPr>
                <w:rFonts w:ascii="Arial" w:hAnsi="Arial" w:cs="Arial"/>
                <w:sz w:val="24"/>
                <w:szCs w:val="24"/>
              </w:rPr>
              <w:t xml:space="preserve">e Manufaturados </w:t>
            </w:r>
            <w:r w:rsidR="007E0CD9" w:rsidRPr="00CF0623">
              <w:rPr>
                <w:rFonts w:ascii="Arial" w:hAnsi="Arial" w:cs="Arial"/>
                <w:sz w:val="24"/>
                <w:szCs w:val="24"/>
              </w:rPr>
              <w:t>Ltda.</w:t>
            </w:r>
            <w:r w:rsidRPr="00CF0623">
              <w:rPr>
                <w:rFonts w:ascii="Arial" w:hAnsi="Arial" w:cs="Arial"/>
                <w:sz w:val="24"/>
                <w:szCs w:val="24"/>
              </w:rPr>
              <w:t xml:space="preserve"> - Me</w:t>
            </w:r>
          </w:p>
        </w:tc>
        <w:tc>
          <w:tcPr>
            <w:tcW w:w="2835" w:type="dxa"/>
          </w:tcPr>
          <w:p w14:paraId="38F8AD61" w14:textId="77777777" w:rsidR="007F0B38" w:rsidRPr="00CF0623" w:rsidRDefault="007F0B38" w:rsidP="007F0B38">
            <w:pPr>
              <w:jc w:val="right"/>
              <w:rPr>
                <w:rFonts w:ascii="Arial" w:hAnsi="Arial" w:cs="Arial"/>
                <w:b/>
                <w:sz w:val="24"/>
                <w:szCs w:val="24"/>
              </w:rPr>
            </w:pPr>
            <w:r w:rsidRPr="00CF0623">
              <w:rPr>
                <w:rFonts w:ascii="Arial" w:hAnsi="Arial" w:cs="Arial"/>
                <w:b/>
                <w:sz w:val="24"/>
                <w:szCs w:val="24"/>
              </w:rPr>
              <w:t>466.483,63</w:t>
            </w:r>
          </w:p>
          <w:p w14:paraId="56AFE490"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1.117.929,86</w:t>
            </w:r>
          </w:p>
          <w:p w14:paraId="190932D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1.584.413,49</w:t>
            </w:r>
          </w:p>
        </w:tc>
        <w:tc>
          <w:tcPr>
            <w:tcW w:w="3544" w:type="dxa"/>
          </w:tcPr>
          <w:p w14:paraId="1DA37381" w14:textId="77777777" w:rsidR="007F0B38" w:rsidRPr="00CF0623" w:rsidRDefault="007F0B38" w:rsidP="007F0B38">
            <w:pPr>
              <w:jc w:val="both"/>
              <w:rPr>
                <w:rFonts w:ascii="Arial" w:hAnsi="Arial" w:cs="Arial"/>
                <w:b/>
                <w:sz w:val="24"/>
                <w:szCs w:val="24"/>
              </w:rPr>
            </w:pPr>
            <w:r w:rsidRPr="00CF0623">
              <w:rPr>
                <w:rFonts w:ascii="Arial" w:hAnsi="Arial" w:cs="Arial"/>
                <w:b/>
                <w:sz w:val="24"/>
                <w:szCs w:val="24"/>
              </w:rPr>
              <w:t>Dívida previdenciária</w:t>
            </w:r>
          </w:p>
          <w:p w14:paraId="10F04D2E"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05866AB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65227DE4" w14:textId="77777777" w:rsidTr="009743AF">
        <w:trPr>
          <w:trHeight w:val="826"/>
        </w:trPr>
        <w:tc>
          <w:tcPr>
            <w:tcW w:w="2405" w:type="dxa"/>
          </w:tcPr>
          <w:p w14:paraId="226BB26B"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lastRenderedPageBreak/>
              <w:t>13005496000138</w:t>
            </w:r>
          </w:p>
        </w:tc>
        <w:tc>
          <w:tcPr>
            <w:tcW w:w="5812" w:type="dxa"/>
          </w:tcPr>
          <w:p w14:paraId="18A8769C" w14:textId="7618D4C1" w:rsidR="00CF0623" w:rsidRPr="00CF0623" w:rsidRDefault="007F0B38" w:rsidP="00EE3640">
            <w:pPr>
              <w:rPr>
                <w:rFonts w:ascii="Arial" w:hAnsi="Arial" w:cs="Arial"/>
                <w:sz w:val="24"/>
                <w:szCs w:val="24"/>
              </w:rPr>
            </w:pPr>
            <w:r w:rsidRPr="00CF0623">
              <w:rPr>
                <w:rFonts w:ascii="Arial" w:hAnsi="Arial" w:cs="Arial"/>
                <w:sz w:val="24"/>
                <w:szCs w:val="24"/>
              </w:rPr>
              <w:t>Souza &amp; Strieder Alimentos Ltda/Kessler Alimentos</w:t>
            </w:r>
          </w:p>
        </w:tc>
        <w:tc>
          <w:tcPr>
            <w:tcW w:w="2835" w:type="dxa"/>
          </w:tcPr>
          <w:p w14:paraId="14216BB5" w14:textId="77777777" w:rsidR="007F0B38" w:rsidRPr="00CF0623" w:rsidRDefault="007F0B38" w:rsidP="007F0B38">
            <w:pPr>
              <w:jc w:val="right"/>
              <w:rPr>
                <w:rFonts w:ascii="Arial" w:hAnsi="Arial" w:cs="Arial"/>
                <w:b/>
                <w:sz w:val="24"/>
                <w:szCs w:val="24"/>
              </w:rPr>
            </w:pPr>
            <w:r w:rsidRPr="00CF0623">
              <w:rPr>
                <w:rFonts w:ascii="Arial" w:hAnsi="Arial" w:cs="Arial"/>
                <w:b/>
                <w:sz w:val="24"/>
                <w:szCs w:val="24"/>
              </w:rPr>
              <w:t>292.178,43</w:t>
            </w:r>
          </w:p>
          <w:p w14:paraId="11DAF9F1"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264.588,77</w:t>
            </w:r>
          </w:p>
          <w:p w14:paraId="3477BF5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556.767,20</w:t>
            </w:r>
          </w:p>
        </w:tc>
        <w:tc>
          <w:tcPr>
            <w:tcW w:w="3544" w:type="dxa"/>
          </w:tcPr>
          <w:p w14:paraId="4F964417" w14:textId="77777777" w:rsidR="007F0B38" w:rsidRPr="00CF0623" w:rsidRDefault="007F0B38" w:rsidP="007F0B38">
            <w:pPr>
              <w:jc w:val="both"/>
              <w:rPr>
                <w:rFonts w:ascii="Arial" w:hAnsi="Arial" w:cs="Arial"/>
                <w:b/>
                <w:sz w:val="24"/>
                <w:szCs w:val="24"/>
              </w:rPr>
            </w:pPr>
            <w:r w:rsidRPr="00CF0623">
              <w:rPr>
                <w:rFonts w:ascii="Arial" w:hAnsi="Arial" w:cs="Arial"/>
                <w:b/>
                <w:sz w:val="24"/>
                <w:szCs w:val="24"/>
              </w:rPr>
              <w:t>Dívida previdenciária</w:t>
            </w:r>
          </w:p>
          <w:p w14:paraId="70F43B6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54413887"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0CA0EBD1" w14:textId="77777777" w:rsidTr="009743AF">
        <w:trPr>
          <w:trHeight w:val="826"/>
        </w:trPr>
        <w:tc>
          <w:tcPr>
            <w:tcW w:w="2405" w:type="dxa"/>
          </w:tcPr>
          <w:p w14:paraId="174CC981"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13036559000113</w:t>
            </w:r>
          </w:p>
        </w:tc>
        <w:tc>
          <w:tcPr>
            <w:tcW w:w="5812" w:type="dxa"/>
          </w:tcPr>
          <w:p w14:paraId="77DB0A0A" w14:textId="2FB05331" w:rsidR="00CF0623" w:rsidRPr="00CF0623" w:rsidRDefault="007F0B38" w:rsidP="007F0B38">
            <w:pPr>
              <w:rPr>
                <w:rFonts w:ascii="Arial" w:hAnsi="Arial" w:cs="Arial"/>
                <w:sz w:val="24"/>
                <w:szCs w:val="24"/>
              </w:rPr>
            </w:pPr>
            <w:r>
              <w:rPr>
                <w:rFonts w:ascii="Arial" w:hAnsi="Arial" w:cs="Arial"/>
                <w:sz w:val="24"/>
                <w:szCs w:val="24"/>
              </w:rPr>
              <w:t>Softech B</w:t>
            </w:r>
            <w:r w:rsidRPr="00CF0623">
              <w:rPr>
                <w:rFonts w:ascii="Arial" w:hAnsi="Arial" w:cs="Arial"/>
                <w:sz w:val="24"/>
                <w:szCs w:val="24"/>
              </w:rPr>
              <w:t xml:space="preserve">rasil </w:t>
            </w:r>
            <w:r>
              <w:rPr>
                <w:rFonts w:ascii="Arial" w:hAnsi="Arial" w:cs="Arial"/>
                <w:sz w:val="24"/>
                <w:szCs w:val="24"/>
              </w:rPr>
              <w:t>S</w:t>
            </w:r>
            <w:r w:rsidRPr="00CF0623">
              <w:rPr>
                <w:rFonts w:ascii="Arial" w:hAnsi="Arial" w:cs="Arial"/>
                <w:sz w:val="24"/>
                <w:szCs w:val="24"/>
              </w:rPr>
              <w:t>.</w:t>
            </w:r>
            <w:r>
              <w:rPr>
                <w:rFonts w:ascii="Arial" w:hAnsi="Arial" w:cs="Arial"/>
                <w:sz w:val="24"/>
                <w:szCs w:val="24"/>
              </w:rPr>
              <w:t>A</w:t>
            </w:r>
            <w:r w:rsidRPr="00CF0623">
              <w:rPr>
                <w:rFonts w:ascii="Arial" w:hAnsi="Arial" w:cs="Arial"/>
                <w:sz w:val="24"/>
                <w:szCs w:val="24"/>
              </w:rPr>
              <w:t>./</w:t>
            </w:r>
            <w:r>
              <w:rPr>
                <w:rFonts w:ascii="Arial" w:hAnsi="Arial" w:cs="Arial"/>
                <w:sz w:val="24"/>
                <w:szCs w:val="24"/>
              </w:rPr>
              <w:t>Akron P</w:t>
            </w:r>
            <w:r w:rsidRPr="00CF0623">
              <w:rPr>
                <w:rFonts w:ascii="Arial" w:hAnsi="Arial" w:cs="Arial"/>
                <w:sz w:val="24"/>
                <w:szCs w:val="24"/>
              </w:rPr>
              <w:t>harma SA</w:t>
            </w:r>
          </w:p>
        </w:tc>
        <w:tc>
          <w:tcPr>
            <w:tcW w:w="2835" w:type="dxa"/>
          </w:tcPr>
          <w:p w14:paraId="4EE7A0E2" w14:textId="77777777" w:rsidR="007F0B38" w:rsidRPr="00CF0623" w:rsidRDefault="007F0B38" w:rsidP="007F0B38">
            <w:pPr>
              <w:jc w:val="right"/>
              <w:rPr>
                <w:rFonts w:ascii="Arial" w:hAnsi="Arial" w:cs="Arial"/>
                <w:b/>
                <w:sz w:val="24"/>
                <w:szCs w:val="24"/>
              </w:rPr>
            </w:pPr>
            <w:r w:rsidRPr="00CF0623">
              <w:rPr>
                <w:rFonts w:ascii="Arial" w:hAnsi="Arial" w:cs="Arial"/>
                <w:b/>
                <w:sz w:val="24"/>
                <w:szCs w:val="24"/>
              </w:rPr>
              <w:t>1.805.301,54</w:t>
            </w:r>
          </w:p>
          <w:p w14:paraId="291D19F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3.291.037,31</w:t>
            </w:r>
          </w:p>
          <w:p w14:paraId="517D6D1E"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5.096.338,85</w:t>
            </w:r>
          </w:p>
        </w:tc>
        <w:tc>
          <w:tcPr>
            <w:tcW w:w="3544" w:type="dxa"/>
          </w:tcPr>
          <w:p w14:paraId="0419B78E" w14:textId="77777777" w:rsidR="007F0B38" w:rsidRPr="00CF0623" w:rsidRDefault="007F0B38" w:rsidP="007F0B38">
            <w:pPr>
              <w:jc w:val="both"/>
              <w:rPr>
                <w:rFonts w:ascii="Arial" w:hAnsi="Arial" w:cs="Arial"/>
                <w:b/>
                <w:sz w:val="24"/>
                <w:szCs w:val="24"/>
              </w:rPr>
            </w:pPr>
            <w:r w:rsidRPr="00CF0623">
              <w:rPr>
                <w:rFonts w:ascii="Arial" w:hAnsi="Arial" w:cs="Arial"/>
                <w:b/>
                <w:sz w:val="24"/>
                <w:szCs w:val="24"/>
              </w:rPr>
              <w:t>Dívida previdenciária</w:t>
            </w:r>
          </w:p>
          <w:p w14:paraId="53D00345"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02F1ADB0"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2F18E32B" w14:textId="77777777" w:rsidTr="009743AF">
        <w:trPr>
          <w:trHeight w:val="826"/>
        </w:trPr>
        <w:tc>
          <w:tcPr>
            <w:tcW w:w="2405" w:type="dxa"/>
          </w:tcPr>
          <w:p w14:paraId="119B35F9"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13130403000105</w:t>
            </w:r>
          </w:p>
        </w:tc>
        <w:tc>
          <w:tcPr>
            <w:tcW w:w="5812" w:type="dxa"/>
          </w:tcPr>
          <w:p w14:paraId="0A724460" w14:textId="4127F4EF" w:rsidR="00CF0623" w:rsidRPr="00CF0623" w:rsidRDefault="0021694D" w:rsidP="00EE3640">
            <w:pPr>
              <w:rPr>
                <w:rFonts w:ascii="Arial" w:hAnsi="Arial" w:cs="Arial"/>
                <w:sz w:val="24"/>
                <w:szCs w:val="24"/>
              </w:rPr>
            </w:pPr>
            <w:r w:rsidRPr="00CF0623">
              <w:rPr>
                <w:rFonts w:ascii="Arial" w:hAnsi="Arial" w:cs="Arial"/>
                <w:sz w:val="24"/>
                <w:szCs w:val="24"/>
              </w:rPr>
              <w:t xml:space="preserve">Peixe Brasil Ind Com Exportação </w:t>
            </w:r>
            <w:r w:rsidR="007E0CD9" w:rsidRPr="00CF0623">
              <w:rPr>
                <w:rFonts w:ascii="Arial" w:hAnsi="Arial" w:cs="Arial"/>
                <w:sz w:val="24"/>
                <w:szCs w:val="24"/>
              </w:rPr>
              <w:t>Ltda.</w:t>
            </w:r>
          </w:p>
        </w:tc>
        <w:tc>
          <w:tcPr>
            <w:tcW w:w="2835" w:type="dxa"/>
          </w:tcPr>
          <w:p w14:paraId="019FF509" w14:textId="77777777" w:rsidR="0021694D" w:rsidRPr="00CF0623" w:rsidRDefault="0021694D" w:rsidP="0021694D">
            <w:pPr>
              <w:jc w:val="right"/>
              <w:rPr>
                <w:rFonts w:ascii="Arial" w:hAnsi="Arial" w:cs="Arial"/>
                <w:b/>
                <w:sz w:val="24"/>
                <w:szCs w:val="24"/>
              </w:rPr>
            </w:pPr>
            <w:r w:rsidRPr="00CF0623">
              <w:rPr>
                <w:rFonts w:ascii="Arial" w:hAnsi="Arial" w:cs="Arial"/>
                <w:b/>
                <w:sz w:val="24"/>
                <w:szCs w:val="24"/>
              </w:rPr>
              <w:t>2.300.528,36</w:t>
            </w:r>
          </w:p>
          <w:p w14:paraId="5CB5C77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84.133,26</w:t>
            </w:r>
          </w:p>
          <w:p w14:paraId="7C83F2B5"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2.384.661,62</w:t>
            </w:r>
          </w:p>
        </w:tc>
        <w:tc>
          <w:tcPr>
            <w:tcW w:w="3544" w:type="dxa"/>
          </w:tcPr>
          <w:p w14:paraId="07D3D7BE" w14:textId="77777777" w:rsidR="0021694D" w:rsidRPr="00CF0623" w:rsidRDefault="0021694D" w:rsidP="0021694D">
            <w:pPr>
              <w:jc w:val="both"/>
              <w:rPr>
                <w:rFonts w:ascii="Arial" w:hAnsi="Arial" w:cs="Arial"/>
                <w:b/>
                <w:sz w:val="24"/>
                <w:szCs w:val="24"/>
              </w:rPr>
            </w:pPr>
            <w:r w:rsidRPr="00CF0623">
              <w:rPr>
                <w:rFonts w:ascii="Arial" w:hAnsi="Arial" w:cs="Arial"/>
                <w:b/>
                <w:sz w:val="24"/>
                <w:szCs w:val="24"/>
              </w:rPr>
              <w:t>Dívida previdenciária</w:t>
            </w:r>
          </w:p>
          <w:p w14:paraId="6D02FF9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706A0A45"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76EC0026" w14:textId="77777777" w:rsidTr="009743AF">
        <w:trPr>
          <w:trHeight w:val="826"/>
        </w:trPr>
        <w:tc>
          <w:tcPr>
            <w:tcW w:w="2405" w:type="dxa"/>
          </w:tcPr>
          <w:p w14:paraId="00CF2F4F"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13298832000188</w:t>
            </w:r>
          </w:p>
        </w:tc>
        <w:tc>
          <w:tcPr>
            <w:tcW w:w="5812" w:type="dxa"/>
          </w:tcPr>
          <w:p w14:paraId="27569622" w14:textId="0256A2EA" w:rsidR="00CF0623" w:rsidRPr="00CF0623" w:rsidRDefault="00B767ED" w:rsidP="00EE3640">
            <w:pPr>
              <w:rPr>
                <w:rFonts w:ascii="Arial" w:hAnsi="Arial" w:cs="Arial"/>
                <w:sz w:val="24"/>
                <w:szCs w:val="24"/>
              </w:rPr>
            </w:pPr>
            <w:r>
              <w:rPr>
                <w:rFonts w:ascii="Arial" w:hAnsi="Arial" w:cs="Arial"/>
                <w:sz w:val="24"/>
                <w:szCs w:val="24"/>
              </w:rPr>
              <w:t>Luziania Bispo d</w:t>
            </w:r>
            <w:r w:rsidR="00FA0F09" w:rsidRPr="00CF0623">
              <w:rPr>
                <w:rFonts w:ascii="Arial" w:hAnsi="Arial" w:cs="Arial"/>
                <w:sz w:val="24"/>
                <w:szCs w:val="24"/>
              </w:rPr>
              <w:t>e Camargo Jb Postes Eireli-Me/ Rondo Postes Eireli</w:t>
            </w:r>
          </w:p>
        </w:tc>
        <w:tc>
          <w:tcPr>
            <w:tcW w:w="2835" w:type="dxa"/>
          </w:tcPr>
          <w:p w14:paraId="12EC02E6" w14:textId="77777777" w:rsidR="00FA0F09" w:rsidRPr="00CF0623" w:rsidRDefault="00FA0F09" w:rsidP="00FA0F09">
            <w:pPr>
              <w:jc w:val="right"/>
              <w:rPr>
                <w:rFonts w:ascii="Arial" w:hAnsi="Arial" w:cs="Arial"/>
                <w:b/>
                <w:sz w:val="24"/>
                <w:szCs w:val="24"/>
              </w:rPr>
            </w:pPr>
            <w:r w:rsidRPr="00CF0623">
              <w:rPr>
                <w:rFonts w:ascii="Arial" w:hAnsi="Arial" w:cs="Arial"/>
                <w:b/>
                <w:sz w:val="24"/>
                <w:szCs w:val="24"/>
              </w:rPr>
              <w:t>1.053.564,38</w:t>
            </w:r>
          </w:p>
          <w:p w14:paraId="3FCA652D"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1.036.976,44</w:t>
            </w:r>
          </w:p>
          <w:p w14:paraId="39743E9B"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2.090.540,82</w:t>
            </w:r>
          </w:p>
        </w:tc>
        <w:tc>
          <w:tcPr>
            <w:tcW w:w="3544" w:type="dxa"/>
          </w:tcPr>
          <w:p w14:paraId="23D46284" w14:textId="77777777" w:rsidR="00FA0F09" w:rsidRPr="00CF0623" w:rsidRDefault="00FA0F09" w:rsidP="00FA0F09">
            <w:pPr>
              <w:jc w:val="both"/>
              <w:rPr>
                <w:rFonts w:ascii="Arial" w:hAnsi="Arial" w:cs="Arial"/>
                <w:b/>
                <w:sz w:val="24"/>
                <w:szCs w:val="24"/>
              </w:rPr>
            </w:pPr>
            <w:r w:rsidRPr="00CF0623">
              <w:rPr>
                <w:rFonts w:ascii="Arial" w:hAnsi="Arial" w:cs="Arial"/>
                <w:b/>
                <w:sz w:val="24"/>
                <w:szCs w:val="24"/>
              </w:rPr>
              <w:t>Dívida previdenciária</w:t>
            </w:r>
          </w:p>
          <w:p w14:paraId="3B9294E7"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70D6AE5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0B115985" w14:textId="77777777" w:rsidTr="009743AF">
        <w:trPr>
          <w:trHeight w:val="826"/>
        </w:trPr>
        <w:tc>
          <w:tcPr>
            <w:tcW w:w="2405" w:type="dxa"/>
          </w:tcPr>
          <w:p w14:paraId="4EE0F2E4"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13459081000134</w:t>
            </w:r>
          </w:p>
        </w:tc>
        <w:tc>
          <w:tcPr>
            <w:tcW w:w="5812" w:type="dxa"/>
          </w:tcPr>
          <w:p w14:paraId="26D2FE2E" w14:textId="6DD541A3" w:rsidR="00CF0623" w:rsidRPr="00CF0623" w:rsidRDefault="00FA0F09" w:rsidP="00EE3640">
            <w:pPr>
              <w:rPr>
                <w:rFonts w:ascii="Arial" w:hAnsi="Arial" w:cs="Arial"/>
                <w:sz w:val="24"/>
                <w:szCs w:val="24"/>
              </w:rPr>
            </w:pPr>
            <w:r w:rsidRPr="00CF0623">
              <w:rPr>
                <w:rFonts w:ascii="Arial" w:hAnsi="Arial" w:cs="Arial"/>
                <w:sz w:val="24"/>
                <w:szCs w:val="24"/>
              </w:rPr>
              <w:t xml:space="preserve">GSE Automotiva </w:t>
            </w:r>
            <w:r w:rsidR="007E0CD9" w:rsidRPr="00CF0623">
              <w:rPr>
                <w:rFonts w:ascii="Arial" w:hAnsi="Arial" w:cs="Arial"/>
                <w:sz w:val="24"/>
                <w:szCs w:val="24"/>
              </w:rPr>
              <w:t>Ltda.</w:t>
            </w:r>
            <w:r w:rsidRPr="00CF0623">
              <w:rPr>
                <w:rFonts w:ascii="Arial" w:hAnsi="Arial" w:cs="Arial"/>
                <w:sz w:val="24"/>
                <w:szCs w:val="24"/>
              </w:rPr>
              <w:t xml:space="preserve"> - Epp</w:t>
            </w:r>
          </w:p>
        </w:tc>
        <w:tc>
          <w:tcPr>
            <w:tcW w:w="2835" w:type="dxa"/>
          </w:tcPr>
          <w:p w14:paraId="59E793E9" w14:textId="77777777" w:rsidR="00FA0F09" w:rsidRPr="00CF0623" w:rsidRDefault="00FA0F09" w:rsidP="00FA0F09">
            <w:pPr>
              <w:jc w:val="right"/>
              <w:rPr>
                <w:rFonts w:ascii="Arial" w:hAnsi="Arial" w:cs="Arial"/>
                <w:b/>
                <w:sz w:val="24"/>
                <w:szCs w:val="24"/>
              </w:rPr>
            </w:pPr>
            <w:r w:rsidRPr="00CF0623">
              <w:rPr>
                <w:rFonts w:ascii="Arial" w:hAnsi="Arial" w:cs="Arial"/>
                <w:b/>
                <w:sz w:val="24"/>
                <w:szCs w:val="24"/>
              </w:rPr>
              <w:t>681.246,71</w:t>
            </w:r>
          </w:p>
          <w:p w14:paraId="076DED07"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1.453.430,30</w:t>
            </w:r>
          </w:p>
          <w:p w14:paraId="486756EA"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2.134.677,01</w:t>
            </w:r>
          </w:p>
        </w:tc>
        <w:tc>
          <w:tcPr>
            <w:tcW w:w="3544" w:type="dxa"/>
          </w:tcPr>
          <w:p w14:paraId="0FE612DD" w14:textId="77777777" w:rsidR="00FA0F09" w:rsidRPr="00CF0623" w:rsidRDefault="00FA0F09" w:rsidP="00FA0F09">
            <w:pPr>
              <w:jc w:val="both"/>
              <w:rPr>
                <w:rFonts w:ascii="Arial" w:hAnsi="Arial" w:cs="Arial"/>
                <w:b/>
                <w:sz w:val="24"/>
                <w:szCs w:val="24"/>
              </w:rPr>
            </w:pPr>
            <w:r w:rsidRPr="00CF0623">
              <w:rPr>
                <w:rFonts w:ascii="Arial" w:hAnsi="Arial" w:cs="Arial"/>
                <w:b/>
                <w:sz w:val="24"/>
                <w:szCs w:val="24"/>
              </w:rPr>
              <w:t>Dívida previdenciária</w:t>
            </w:r>
          </w:p>
          <w:p w14:paraId="3F7E1AB0"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20F5A6EB"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62F52DAB" w14:textId="77777777" w:rsidTr="009743AF">
        <w:trPr>
          <w:trHeight w:val="826"/>
        </w:trPr>
        <w:tc>
          <w:tcPr>
            <w:tcW w:w="2405" w:type="dxa"/>
          </w:tcPr>
          <w:p w14:paraId="3425BC95"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13552751000162</w:t>
            </w:r>
          </w:p>
        </w:tc>
        <w:tc>
          <w:tcPr>
            <w:tcW w:w="5812" w:type="dxa"/>
          </w:tcPr>
          <w:p w14:paraId="26C0783F" w14:textId="2AB6882D" w:rsidR="00CF0623" w:rsidRPr="00CF0623" w:rsidRDefault="00FA0F09" w:rsidP="00FA0F09">
            <w:pPr>
              <w:rPr>
                <w:rFonts w:ascii="Arial" w:hAnsi="Arial" w:cs="Arial"/>
                <w:sz w:val="24"/>
                <w:szCs w:val="24"/>
              </w:rPr>
            </w:pPr>
            <w:r>
              <w:rPr>
                <w:rFonts w:ascii="Arial" w:hAnsi="Arial" w:cs="Arial"/>
                <w:sz w:val="24"/>
                <w:szCs w:val="24"/>
              </w:rPr>
              <w:t>3G</w:t>
            </w:r>
            <w:r w:rsidRPr="00CF0623">
              <w:rPr>
                <w:rFonts w:ascii="Arial" w:hAnsi="Arial" w:cs="Arial"/>
                <w:sz w:val="24"/>
                <w:szCs w:val="24"/>
              </w:rPr>
              <w:t xml:space="preserve"> </w:t>
            </w:r>
            <w:r>
              <w:rPr>
                <w:rFonts w:ascii="Arial" w:hAnsi="Arial" w:cs="Arial"/>
                <w:sz w:val="24"/>
                <w:szCs w:val="24"/>
              </w:rPr>
              <w:t>E</w:t>
            </w:r>
            <w:r w:rsidRPr="00CF0623">
              <w:rPr>
                <w:rFonts w:ascii="Arial" w:hAnsi="Arial" w:cs="Arial"/>
                <w:sz w:val="24"/>
                <w:szCs w:val="24"/>
              </w:rPr>
              <w:t xml:space="preserve">xpress </w:t>
            </w:r>
            <w:r>
              <w:rPr>
                <w:rFonts w:ascii="Arial" w:hAnsi="Arial" w:cs="Arial"/>
                <w:sz w:val="24"/>
                <w:szCs w:val="24"/>
              </w:rPr>
              <w:t>T</w:t>
            </w:r>
            <w:r w:rsidRPr="00CF0623">
              <w:rPr>
                <w:rFonts w:ascii="Arial" w:hAnsi="Arial" w:cs="Arial"/>
                <w:sz w:val="24"/>
                <w:szCs w:val="24"/>
              </w:rPr>
              <w:t xml:space="preserve">ransporte e </w:t>
            </w:r>
            <w:r>
              <w:rPr>
                <w:rFonts w:ascii="Arial" w:hAnsi="Arial" w:cs="Arial"/>
                <w:sz w:val="24"/>
                <w:szCs w:val="24"/>
              </w:rPr>
              <w:t>L</w:t>
            </w:r>
            <w:r w:rsidRPr="00CF0623">
              <w:rPr>
                <w:rFonts w:ascii="Arial" w:hAnsi="Arial" w:cs="Arial"/>
                <w:sz w:val="24"/>
                <w:szCs w:val="24"/>
              </w:rPr>
              <w:t xml:space="preserve">ogistica </w:t>
            </w:r>
            <w:r>
              <w:rPr>
                <w:rFonts w:ascii="Arial" w:hAnsi="Arial" w:cs="Arial"/>
                <w:sz w:val="24"/>
                <w:szCs w:val="24"/>
              </w:rPr>
              <w:t>L</w:t>
            </w:r>
            <w:r w:rsidRPr="00CF0623">
              <w:rPr>
                <w:rFonts w:ascii="Arial" w:hAnsi="Arial" w:cs="Arial"/>
                <w:sz w:val="24"/>
                <w:szCs w:val="24"/>
              </w:rPr>
              <w:t>tda. me</w:t>
            </w:r>
          </w:p>
        </w:tc>
        <w:tc>
          <w:tcPr>
            <w:tcW w:w="2835" w:type="dxa"/>
          </w:tcPr>
          <w:p w14:paraId="491855F1" w14:textId="77777777" w:rsidR="00FA0F09" w:rsidRPr="00CF0623" w:rsidRDefault="00FA0F09" w:rsidP="00FA0F09">
            <w:pPr>
              <w:jc w:val="right"/>
              <w:rPr>
                <w:rFonts w:ascii="Arial" w:hAnsi="Arial" w:cs="Arial"/>
                <w:b/>
                <w:sz w:val="24"/>
                <w:szCs w:val="24"/>
              </w:rPr>
            </w:pPr>
            <w:r w:rsidRPr="00CF0623">
              <w:rPr>
                <w:rFonts w:ascii="Arial" w:hAnsi="Arial" w:cs="Arial"/>
                <w:b/>
                <w:sz w:val="24"/>
                <w:szCs w:val="24"/>
              </w:rPr>
              <w:t>1.219.368,43</w:t>
            </w:r>
          </w:p>
          <w:p w14:paraId="40D1D3BE"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1.185.692,04</w:t>
            </w:r>
          </w:p>
          <w:p w14:paraId="52C628C8"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2.405.060,47</w:t>
            </w:r>
          </w:p>
        </w:tc>
        <w:tc>
          <w:tcPr>
            <w:tcW w:w="3544" w:type="dxa"/>
          </w:tcPr>
          <w:p w14:paraId="29BACAD6" w14:textId="77777777" w:rsidR="00FA0F09" w:rsidRPr="00CF0623" w:rsidRDefault="00FA0F09" w:rsidP="00FA0F09">
            <w:pPr>
              <w:jc w:val="both"/>
              <w:rPr>
                <w:rFonts w:ascii="Arial" w:hAnsi="Arial" w:cs="Arial"/>
                <w:b/>
                <w:sz w:val="24"/>
                <w:szCs w:val="24"/>
              </w:rPr>
            </w:pPr>
            <w:r w:rsidRPr="00CF0623">
              <w:rPr>
                <w:rFonts w:ascii="Arial" w:hAnsi="Arial" w:cs="Arial"/>
                <w:b/>
                <w:sz w:val="24"/>
                <w:szCs w:val="24"/>
              </w:rPr>
              <w:t>Dívida previdenciária</w:t>
            </w:r>
          </w:p>
          <w:p w14:paraId="171750AF"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46B32DE9"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1C97EE05" w14:textId="77777777" w:rsidTr="009743AF">
        <w:trPr>
          <w:trHeight w:val="547"/>
        </w:trPr>
        <w:tc>
          <w:tcPr>
            <w:tcW w:w="2405" w:type="dxa"/>
          </w:tcPr>
          <w:p w14:paraId="75FA979D"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14741403000104</w:t>
            </w:r>
          </w:p>
        </w:tc>
        <w:tc>
          <w:tcPr>
            <w:tcW w:w="5812" w:type="dxa"/>
          </w:tcPr>
          <w:p w14:paraId="29975AE5" w14:textId="383ED82A" w:rsidR="00CF0623" w:rsidRPr="00CF0623" w:rsidRDefault="00FA0F09" w:rsidP="00FA0F09">
            <w:pPr>
              <w:rPr>
                <w:rFonts w:ascii="Arial" w:hAnsi="Arial" w:cs="Arial"/>
                <w:sz w:val="24"/>
                <w:szCs w:val="24"/>
              </w:rPr>
            </w:pPr>
            <w:r>
              <w:rPr>
                <w:rFonts w:ascii="Arial" w:hAnsi="Arial" w:cs="Arial"/>
                <w:sz w:val="24"/>
                <w:szCs w:val="24"/>
              </w:rPr>
              <w:t>Odorata Indústria e</w:t>
            </w:r>
            <w:r w:rsidRPr="00CF0623">
              <w:rPr>
                <w:rFonts w:ascii="Arial" w:hAnsi="Arial" w:cs="Arial"/>
                <w:sz w:val="24"/>
                <w:szCs w:val="24"/>
              </w:rPr>
              <w:t xml:space="preserve"> Comércio </w:t>
            </w:r>
            <w:r>
              <w:rPr>
                <w:rFonts w:ascii="Arial" w:hAnsi="Arial" w:cs="Arial"/>
                <w:sz w:val="24"/>
                <w:szCs w:val="24"/>
              </w:rPr>
              <w:t>d</w:t>
            </w:r>
            <w:r w:rsidRPr="00CF0623">
              <w:rPr>
                <w:rFonts w:ascii="Arial" w:hAnsi="Arial" w:cs="Arial"/>
                <w:sz w:val="24"/>
                <w:szCs w:val="24"/>
              </w:rPr>
              <w:t xml:space="preserve">e Cosméticos </w:t>
            </w:r>
            <w:r w:rsidR="007E0CD9" w:rsidRPr="00CF0623">
              <w:rPr>
                <w:rFonts w:ascii="Arial" w:hAnsi="Arial" w:cs="Arial"/>
                <w:sz w:val="24"/>
                <w:szCs w:val="24"/>
              </w:rPr>
              <w:t>Ltda.</w:t>
            </w:r>
          </w:p>
        </w:tc>
        <w:tc>
          <w:tcPr>
            <w:tcW w:w="2835" w:type="dxa"/>
          </w:tcPr>
          <w:p w14:paraId="2E86DC95"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11.212.852,21</w:t>
            </w:r>
          </w:p>
          <w:p w14:paraId="06C90E5C"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11.212.852,21</w:t>
            </w:r>
          </w:p>
        </w:tc>
        <w:tc>
          <w:tcPr>
            <w:tcW w:w="3544" w:type="dxa"/>
          </w:tcPr>
          <w:p w14:paraId="6A3884CF"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154BEB8B"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2B71C445" w14:textId="77777777" w:rsidTr="009743AF">
        <w:trPr>
          <w:trHeight w:val="826"/>
        </w:trPr>
        <w:tc>
          <w:tcPr>
            <w:tcW w:w="2405" w:type="dxa"/>
          </w:tcPr>
          <w:p w14:paraId="1D409D1A"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15182568000148</w:t>
            </w:r>
          </w:p>
        </w:tc>
        <w:tc>
          <w:tcPr>
            <w:tcW w:w="5812" w:type="dxa"/>
          </w:tcPr>
          <w:p w14:paraId="52D7B986" w14:textId="6B6787A2" w:rsidR="00CF0623" w:rsidRPr="00CF0623" w:rsidRDefault="00FA0F09" w:rsidP="00EE3640">
            <w:pPr>
              <w:rPr>
                <w:rFonts w:ascii="Arial" w:hAnsi="Arial" w:cs="Arial"/>
                <w:sz w:val="24"/>
                <w:szCs w:val="24"/>
              </w:rPr>
            </w:pPr>
            <w:r w:rsidRPr="00CF0623">
              <w:rPr>
                <w:rFonts w:ascii="Arial" w:hAnsi="Arial" w:cs="Arial"/>
                <w:sz w:val="24"/>
                <w:szCs w:val="24"/>
              </w:rPr>
              <w:t>Meia Ponte  Alimentos Eireli</w:t>
            </w:r>
          </w:p>
        </w:tc>
        <w:tc>
          <w:tcPr>
            <w:tcW w:w="2835" w:type="dxa"/>
          </w:tcPr>
          <w:p w14:paraId="4DC6A4B6" w14:textId="77777777" w:rsidR="00FA0F09" w:rsidRPr="00CF0623" w:rsidRDefault="00FA0F09" w:rsidP="00FA0F09">
            <w:pPr>
              <w:jc w:val="right"/>
              <w:rPr>
                <w:rFonts w:ascii="Arial" w:hAnsi="Arial" w:cs="Arial"/>
                <w:b/>
                <w:sz w:val="24"/>
                <w:szCs w:val="24"/>
              </w:rPr>
            </w:pPr>
            <w:r w:rsidRPr="00CF0623">
              <w:rPr>
                <w:rFonts w:ascii="Arial" w:hAnsi="Arial" w:cs="Arial"/>
                <w:b/>
                <w:sz w:val="24"/>
                <w:szCs w:val="24"/>
              </w:rPr>
              <w:t>4.501.868,29</w:t>
            </w:r>
          </w:p>
          <w:p w14:paraId="38F523AB"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3.389.248,68</w:t>
            </w:r>
          </w:p>
          <w:p w14:paraId="7F4E7514"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7.891.116,97</w:t>
            </w:r>
          </w:p>
        </w:tc>
        <w:tc>
          <w:tcPr>
            <w:tcW w:w="3544" w:type="dxa"/>
          </w:tcPr>
          <w:p w14:paraId="75D7ADC1" w14:textId="77777777" w:rsidR="00FA0F09" w:rsidRPr="00CF0623" w:rsidRDefault="00FA0F09" w:rsidP="00FA0F09">
            <w:pPr>
              <w:jc w:val="both"/>
              <w:rPr>
                <w:rFonts w:ascii="Arial" w:hAnsi="Arial" w:cs="Arial"/>
                <w:b/>
                <w:sz w:val="24"/>
                <w:szCs w:val="24"/>
              </w:rPr>
            </w:pPr>
            <w:r w:rsidRPr="00CF0623">
              <w:rPr>
                <w:rFonts w:ascii="Arial" w:hAnsi="Arial" w:cs="Arial"/>
                <w:b/>
                <w:sz w:val="24"/>
                <w:szCs w:val="24"/>
              </w:rPr>
              <w:t>Dívida previdenciária</w:t>
            </w:r>
          </w:p>
          <w:p w14:paraId="7FEE759A"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189BC8C4"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77A06E28" w14:textId="77777777" w:rsidTr="009743AF">
        <w:trPr>
          <w:trHeight w:val="826"/>
        </w:trPr>
        <w:tc>
          <w:tcPr>
            <w:tcW w:w="2405" w:type="dxa"/>
          </w:tcPr>
          <w:p w14:paraId="39F9877F"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15373352000160</w:t>
            </w:r>
          </w:p>
        </w:tc>
        <w:tc>
          <w:tcPr>
            <w:tcW w:w="5812" w:type="dxa"/>
          </w:tcPr>
          <w:p w14:paraId="34CFEAF4" w14:textId="16331619" w:rsidR="00CF0623" w:rsidRPr="00CF0623" w:rsidRDefault="00FA0F09" w:rsidP="00EE3640">
            <w:pPr>
              <w:rPr>
                <w:rFonts w:ascii="Arial" w:hAnsi="Arial" w:cs="Arial"/>
                <w:sz w:val="24"/>
                <w:szCs w:val="24"/>
              </w:rPr>
            </w:pPr>
            <w:r w:rsidRPr="00CF0623">
              <w:rPr>
                <w:rFonts w:ascii="Arial" w:hAnsi="Arial" w:cs="Arial"/>
                <w:sz w:val="24"/>
                <w:szCs w:val="24"/>
              </w:rPr>
              <w:t xml:space="preserve">Microcervejaria Catalão </w:t>
            </w:r>
            <w:r w:rsidR="007E0CD9" w:rsidRPr="00CF0623">
              <w:rPr>
                <w:rFonts w:ascii="Arial" w:hAnsi="Arial" w:cs="Arial"/>
                <w:sz w:val="24"/>
                <w:szCs w:val="24"/>
              </w:rPr>
              <w:t>Ltda.</w:t>
            </w:r>
          </w:p>
        </w:tc>
        <w:tc>
          <w:tcPr>
            <w:tcW w:w="2835" w:type="dxa"/>
          </w:tcPr>
          <w:p w14:paraId="15A62C9D" w14:textId="77777777" w:rsidR="00FA0F09" w:rsidRPr="00CF0623" w:rsidRDefault="00FA0F09" w:rsidP="00FA0F09">
            <w:pPr>
              <w:jc w:val="right"/>
              <w:rPr>
                <w:rFonts w:ascii="Arial" w:hAnsi="Arial" w:cs="Arial"/>
                <w:b/>
                <w:sz w:val="24"/>
                <w:szCs w:val="24"/>
              </w:rPr>
            </w:pPr>
            <w:r w:rsidRPr="00CF0623">
              <w:rPr>
                <w:rFonts w:ascii="Arial" w:hAnsi="Arial" w:cs="Arial"/>
                <w:b/>
                <w:sz w:val="24"/>
                <w:szCs w:val="24"/>
              </w:rPr>
              <w:t>80.447,20</w:t>
            </w:r>
          </w:p>
          <w:p w14:paraId="277567FC"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79.388,62</w:t>
            </w:r>
          </w:p>
          <w:p w14:paraId="0061B703"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159.835,82</w:t>
            </w:r>
          </w:p>
        </w:tc>
        <w:tc>
          <w:tcPr>
            <w:tcW w:w="3544" w:type="dxa"/>
          </w:tcPr>
          <w:p w14:paraId="0AEB445C" w14:textId="77777777" w:rsidR="00FA0F09" w:rsidRPr="00CF0623" w:rsidRDefault="00FA0F09" w:rsidP="00FA0F09">
            <w:pPr>
              <w:jc w:val="both"/>
              <w:rPr>
                <w:rFonts w:ascii="Arial" w:hAnsi="Arial" w:cs="Arial"/>
                <w:b/>
                <w:sz w:val="24"/>
                <w:szCs w:val="24"/>
              </w:rPr>
            </w:pPr>
            <w:r w:rsidRPr="00CF0623">
              <w:rPr>
                <w:rFonts w:ascii="Arial" w:hAnsi="Arial" w:cs="Arial"/>
                <w:b/>
                <w:sz w:val="24"/>
                <w:szCs w:val="24"/>
              </w:rPr>
              <w:t>Dívida previdenciária</w:t>
            </w:r>
          </w:p>
          <w:p w14:paraId="3FB6A5D6"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1F5E16E1"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163579AD" w14:textId="77777777" w:rsidTr="009743AF">
        <w:trPr>
          <w:trHeight w:val="826"/>
        </w:trPr>
        <w:tc>
          <w:tcPr>
            <w:tcW w:w="2405" w:type="dxa"/>
          </w:tcPr>
          <w:p w14:paraId="31A510D8"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16694362000160</w:t>
            </w:r>
          </w:p>
        </w:tc>
        <w:tc>
          <w:tcPr>
            <w:tcW w:w="5812" w:type="dxa"/>
          </w:tcPr>
          <w:p w14:paraId="2483EF0F" w14:textId="3180B58F" w:rsidR="00CF0623" w:rsidRPr="00CF0623" w:rsidRDefault="00FA0F09" w:rsidP="00EE3640">
            <w:pPr>
              <w:rPr>
                <w:rFonts w:ascii="Arial" w:hAnsi="Arial" w:cs="Arial"/>
                <w:sz w:val="24"/>
                <w:szCs w:val="24"/>
              </w:rPr>
            </w:pPr>
            <w:r w:rsidRPr="00CF0623">
              <w:rPr>
                <w:rFonts w:ascii="Arial" w:hAnsi="Arial" w:cs="Arial"/>
                <w:sz w:val="24"/>
                <w:szCs w:val="24"/>
              </w:rPr>
              <w:t>Roots</w:t>
            </w:r>
            <w:r>
              <w:rPr>
                <w:rFonts w:ascii="Arial" w:hAnsi="Arial" w:cs="Arial"/>
                <w:sz w:val="24"/>
                <w:szCs w:val="24"/>
              </w:rPr>
              <w:t xml:space="preserve"> Industria E Comercio d</w:t>
            </w:r>
            <w:r w:rsidRPr="00CF0623">
              <w:rPr>
                <w:rFonts w:ascii="Arial" w:hAnsi="Arial" w:cs="Arial"/>
                <w:sz w:val="24"/>
                <w:szCs w:val="24"/>
              </w:rPr>
              <w:t>e Generos Ali</w:t>
            </w:r>
            <w:r>
              <w:rPr>
                <w:rFonts w:ascii="Arial" w:hAnsi="Arial" w:cs="Arial"/>
                <w:sz w:val="24"/>
                <w:szCs w:val="24"/>
              </w:rPr>
              <w:t>menticios e</w:t>
            </w:r>
            <w:r w:rsidRPr="00CF0623">
              <w:rPr>
                <w:rFonts w:ascii="Arial" w:hAnsi="Arial" w:cs="Arial"/>
                <w:sz w:val="24"/>
                <w:szCs w:val="24"/>
              </w:rPr>
              <w:t xml:space="preserve"> Armazenagem Logistica </w:t>
            </w:r>
            <w:r w:rsidR="007E0CD9" w:rsidRPr="00CF0623">
              <w:rPr>
                <w:rFonts w:ascii="Arial" w:hAnsi="Arial" w:cs="Arial"/>
                <w:sz w:val="24"/>
                <w:szCs w:val="24"/>
              </w:rPr>
              <w:t>Ltda.</w:t>
            </w:r>
          </w:p>
        </w:tc>
        <w:tc>
          <w:tcPr>
            <w:tcW w:w="2835" w:type="dxa"/>
          </w:tcPr>
          <w:p w14:paraId="2CD0F6F2" w14:textId="77777777" w:rsidR="00FA0F09" w:rsidRPr="00CF0623" w:rsidRDefault="00FA0F09" w:rsidP="00FA0F09">
            <w:pPr>
              <w:jc w:val="right"/>
              <w:rPr>
                <w:rFonts w:ascii="Arial" w:hAnsi="Arial" w:cs="Arial"/>
                <w:b/>
                <w:sz w:val="24"/>
                <w:szCs w:val="24"/>
              </w:rPr>
            </w:pPr>
            <w:r w:rsidRPr="00CF0623">
              <w:rPr>
                <w:rFonts w:ascii="Arial" w:hAnsi="Arial" w:cs="Arial"/>
                <w:b/>
                <w:sz w:val="24"/>
                <w:szCs w:val="24"/>
              </w:rPr>
              <w:t>79.656,92</w:t>
            </w:r>
          </w:p>
          <w:p w14:paraId="7476DBF3"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246.406,00</w:t>
            </w:r>
          </w:p>
          <w:p w14:paraId="68E688CF"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326.062,92</w:t>
            </w:r>
          </w:p>
        </w:tc>
        <w:tc>
          <w:tcPr>
            <w:tcW w:w="3544" w:type="dxa"/>
          </w:tcPr>
          <w:p w14:paraId="6AF27F08" w14:textId="77777777" w:rsidR="00FA0F09" w:rsidRPr="00CF0623" w:rsidRDefault="00FA0F09" w:rsidP="00FA0F09">
            <w:pPr>
              <w:jc w:val="both"/>
              <w:rPr>
                <w:rFonts w:ascii="Arial" w:hAnsi="Arial" w:cs="Arial"/>
                <w:b/>
                <w:sz w:val="24"/>
                <w:szCs w:val="24"/>
              </w:rPr>
            </w:pPr>
            <w:r w:rsidRPr="00CF0623">
              <w:rPr>
                <w:rFonts w:ascii="Arial" w:hAnsi="Arial" w:cs="Arial"/>
                <w:b/>
                <w:sz w:val="24"/>
                <w:szCs w:val="24"/>
              </w:rPr>
              <w:t>Dívida previdenciária</w:t>
            </w:r>
          </w:p>
          <w:p w14:paraId="6F1B5CD7"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423213F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3F59D8A4" w14:textId="77777777" w:rsidTr="009743AF">
        <w:trPr>
          <w:trHeight w:val="365"/>
        </w:trPr>
        <w:tc>
          <w:tcPr>
            <w:tcW w:w="2405" w:type="dxa"/>
          </w:tcPr>
          <w:p w14:paraId="641E6F3D"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19480934000104</w:t>
            </w:r>
          </w:p>
        </w:tc>
        <w:tc>
          <w:tcPr>
            <w:tcW w:w="5812" w:type="dxa"/>
          </w:tcPr>
          <w:p w14:paraId="7E9E5C89" w14:textId="28642F7F" w:rsidR="00CF0623" w:rsidRPr="00CF0623" w:rsidRDefault="00494E75" w:rsidP="00EE3640">
            <w:pPr>
              <w:rPr>
                <w:rFonts w:ascii="Arial" w:hAnsi="Arial" w:cs="Arial"/>
                <w:sz w:val="24"/>
                <w:szCs w:val="24"/>
              </w:rPr>
            </w:pPr>
            <w:r>
              <w:rPr>
                <w:rFonts w:ascii="Arial" w:hAnsi="Arial" w:cs="Arial"/>
                <w:sz w:val="24"/>
                <w:szCs w:val="24"/>
              </w:rPr>
              <w:t>Custom Power Industria e Comercio De Equipamentos d</w:t>
            </w:r>
            <w:r w:rsidR="00FA0F09" w:rsidRPr="00CF0623">
              <w:rPr>
                <w:rFonts w:ascii="Arial" w:hAnsi="Arial" w:cs="Arial"/>
                <w:sz w:val="24"/>
                <w:szCs w:val="24"/>
              </w:rPr>
              <w:t xml:space="preserve">e Energia </w:t>
            </w:r>
            <w:r w:rsidR="007E0CD9" w:rsidRPr="00CF0623">
              <w:rPr>
                <w:rFonts w:ascii="Arial" w:hAnsi="Arial" w:cs="Arial"/>
                <w:sz w:val="24"/>
                <w:szCs w:val="24"/>
              </w:rPr>
              <w:t>Ltda.</w:t>
            </w:r>
            <w:r w:rsidR="00FA0F09" w:rsidRPr="00CF0623">
              <w:rPr>
                <w:rFonts w:ascii="Arial" w:hAnsi="Arial" w:cs="Arial"/>
                <w:sz w:val="24"/>
                <w:szCs w:val="24"/>
              </w:rPr>
              <w:t xml:space="preserve"> - Me</w:t>
            </w:r>
          </w:p>
        </w:tc>
        <w:tc>
          <w:tcPr>
            <w:tcW w:w="2835" w:type="dxa"/>
          </w:tcPr>
          <w:p w14:paraId="51E8D236" w14:textId="77777777" w:rsidR="00FA0F09" w:rsidRPr="00CF0623" w:rsidRDefault="00FA0F09" w:rsidP="00FA0F09">
            <w:pPr>
              <w:jc w:val="right"/>
              <w:rPr>
                <w:rFonts w:ascii="Arial" w:hAnsi="Arial" w:cs="Arial"/>
                <w:b/>
                <w:sz w:val="24"/>
                <w:szCs w:val="24"/>
              </w:rPr>
            </w:pPr>
            <w:r w:rsidRPr="00CF0623">
              <w:rPr>
                <w:rFonts w:ascii="Arial" w:hAnsi="Arial" w:cs="Arial"/>
                <w:b/>
                <w:sz w:val="24"/>
                <w:szCs w:val="24"/>
              </w:rPr>
              <w:t>180.839,04</w:t>
            </w:r>
          </w:p>
          <w:p w14:paraId="1C50EAC2"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128.705,78</w:t>
            </w:r>
          </w:p>
          <w:p w14:paraId="3D750FD4"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309.544,82</w:t>
            </w:r>
          </w:p>
        </w:tc>
        <w:tc>
          <w:tcPr>
            <w:tcW w:w="3544" w:type="dxa"/>
          </w:tcPr>
          <w:p w14:paraId="50F105E0" w14:textId="77777777" w:rsidR="00FA0F09" w:rsidRPr="00CF0623" w:rsidRDefault="00FA0F09" w:rsidP="00FA0F09">
            <w:pPr>
              <w:jc w:val="both"/>
              <w:rPr>
                <w:rFonts w:ascii="Arial" w:hAnsi="Arial" w:cs="Arial"/>
                <w:b/>
                <w:sz w:val="24"/>
                <w:szCs w:val="24"/>
              </w:rPr>
            </w:pPr>
            <w:r w:rsidRPr="00CF0623">
              <w:rPr>
                <w:rFonts w:ascii="Arial" w:hAnsi="Arial" w:cs="Arial"/>
                <w:b/>
                <w:sz w:val="24"/>
                <w:szCs w:val="24"/>
              </w:rPr>
              <w:t>Dívida previdenciária</w:t>
            </w:r>
          </w:p>
          <w:p w14:paraId="4EECFE86"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4A948908"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24B66D98" w14:textId="77777777" w:rsidTr="009743AF">
        <w:trPr>
          <w:trHeight w:val="405"/>
        </w:trPr>
        <w:tc>
          <w:tcPr>
            <w:tcW w:w="2405" w:type="dxa"/>
          </w:tcPr>
          <w:p w14:paraId="3D034CC8"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lastRenderedPageBreak/>
              <w:t>20129523000140</w:t>
            </w:r>
          </w:p>
        </w:tc>
        <w:tc>
          <w:tcPr>
            <w:tcW w:w="5812" w:type="dxa"/>
          </w:tcPr>
          <w:p w14:paraId="42A55F0F" w14:textId="5F87C35F" w:rsidR="00CF0623" w:rsidRPr="00CF0623" w:rsidRDefault="00494E75" w:rsidP="00EE3640">
            <w:pPr>
              <w:rPr>
                <w:rFonts w:ascii="Arial" w:hAnsi="Arial" w:cs="Arial"/>
                <w:sz w:val="24"/>
                <w:szCs w:val="24"/>
              </w:rPr>
            </w:pPr>
            <w:r w:rsidRPr="00CF0623">
              <w:rPr>
                <w:rFonts w:ascii="Arial" w:hAnsi="Arial" w:cs="Arial"/>
                <w:sz w:val="24"/>
                <w:szCs w:val="24"/>
              </w:rPr>
              <w:t>Logue Transportadora Logística</w:t>
            </w:r>
            <w:r>
              <w:rPr>
                <w:rFonts w:ascii="Arial" w:hAnsi="Arial" w:cs="Arial"/>
                <w:sz w:val="24"/>
                <w:szCs w:val="24"/>
              </w:rPr>
              <w:t xml:space="preserve"> e Comercio d</w:t>
            </w:r>
            <w:r w:rsidRPr="00CF0623">
              <w:rPr>
                <w:rFonts w:ascii="Arial" w:hAnsi="Arial" w:cs="Arial"/>
                <w:sz w:val="24"/>
                <w:szCs w:val="24"/>
              </w:rPr>
              <w:t xml:space="preserve">e Cereais </w:t>
            </w:r>
            <w:r w:rsidR="007E0CD9" w:rsidRPr="00CF0623">
              <w:rPr>
                <w:rFonts w:ascii="Arial" w:hAnsi="Arial" w:cs="Arial"/>
                <w:sz w:val="24"/>
                <w:szCs w:val="24"/>
              </w:rPr>
              <w:t>Ltda.</w:t>
            </w:r>
          </w:p>
        </w:tc>
        <w:tc>
          <w:tcPr>
            <w:tcW w:w="2835" w:type="dxa"/>
          </w:tcPr>
          <w:p w14:paraId="5D3CAA73"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385.404,08</w:t>
            </w:r>
          </w:p>
          <w:p w14:paraId="7B63DC1C"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385.404,08</w:t>
            </w:r>
          </w:p>
        </w:tc>
        <w:tc>
          <w:tcPr>
            <w:tcW w:w="3544" w:type="dxa"/>
          </w:tcPr>
          <w:p w14:paraId="41001250"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3ACB4F85"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22D4D835" w14:textId="77777777" w:rsidTr="009743AF">
        <w:trPr>
          <w:trHeight w:val="826"/>
        </w:trPr>
        <w:tc>
          <w:tcPr>
            <w:tcW w:w="2405" w:type="dxa"/>
          </w:tcPr>
          <w:p w14:paraId="1516E913"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20847915000144</w:t>
            </w:r>
          </w:p>
        </w:tc>
        <w:tc>
          <w:tcPr>
            <w:tcW w:w="5812" w:type="dxa"/>
          </w:tcPr>
          <w:p w14:paraId="2AF82EAF" w14:textId="572DF77D" w:rsidR="00CF0623" w:rsidRPr="00CF0623" w:rsidRDefault="00494E75" w:rsidP="00EE3640">
            <w:pPr>
              <w:rPr>
                <w:rFonts w:ascii="Arial" w:hAnsi="Arial" w:cs="Arial"/>
                <w:sz w:val="24"/>
                <w:szCs w:val="24"/>
              </w:rPr>
            </w:pPr>
            <w:r w:rsidRPr="00CF0623">
              <w:rPr>
                <w:rFonts w:ascii="Arial" w:hAnsi="Arial" w:cs="Arial"/>
                <w:sz w:val="24"/>
                <w:szCs w:val="24"/>
              </w:rPr>
              <w:t>Villa Transportes Eirel</w:t>
            </w:r>
            <w:r>
              <w:rPr>
                <w:rFonts w:ascii="Arial" w:hAnsi="Arial" w:cs="Arial"/>
                <w:sz w:val="24"/>
                <w:szCs w:val="24"/>
              </w:rPr>
              <w:t>i</w:t>
            </w:r>
            <w:r w:rsidR="00CF0623" w:rsidRPr="00CF0623">
              <w:rPr>
                <w:rFonts w:ascii="Arial" w:hAnsi="Arial" w:cs="Arial"/>
                <w:sz w:val="24"/>
                <w:szCs w:val="24"/>
              </w:rPr>
              <w:t xml:space="preserve"> - ME</w:t>
            </w:r>
          </w:p>
        </w:tc>
        <w:tc>
          <w:tcPr>
            <w:tcW w:w="2835" w:type="dxa"/>
          </w:tcPr>
          <w:p w14:paraId="73C56B83" w14:textId="77777777" w:rsidR="00494E75" w:rsidRPr="00CF0623" w:rsidRDefault="00494E75" w:rsidP="00494E75">
            <w:pPr>
              <w:jc w:val="right"/>
              <w:rPr>
                <w:rFonts w:ascii="Arial" w:hAnsi="Arial" w:cs="Arial"/>
                <w:b/>
                <w:sz w:val="24"/>
                <w:szCs w:val="24"/>
              </w:rPr>
            </w:pPr>
            <w:r w:rsidRPr="00CF0623">
              <w:rPr>
                <w:rFonts w:ascii="Arial" w:hAnsi="Arial" w:cs="Arial"/>
                <w:b/>
                <w:sz w:val="24"/>
                <w:szCs w:val="24"/>
              </w:rPr>
              <w:t>82.017,19</w:t>
            </w:r>
          </w:p>
          <w:p w14:paraId="0E23AC92"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29.970,94</w:t>
            </w:r>
          </w:p>
          <w:p w14:paraId="5BD1B332"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111.988,13</w:t>
            </w:r>
          </w:p>
        </w:tc>
        <w:tc>
          <w:tcPr>
            <w:tcW w:w="3544" w:type="dxa"/>
          </w:tcPr>
          <w:p w14:paraId="31EDF768" w14:textId="77777777" w:rsidR="00494E75" w:rsidRPr="00CF0623" w:rsidRDefault="00494E75" w:rsidP="00494E75">
            <w:pPr>
              <w:jc w:val="both"/>
              <w:rPr>
                <w:rFonts w:ascii="Arial" w:hAnsi="Arial" w:cs="Arial"/>
                <w:b/>
                <w:sz w:val="24"/>
                <w:szCs w:val="24"/>
              </w:rPr>
            </w:pPr>
            <w:r w:rsidRPr="00CF0623">
              <w:rPr>
                <w:rFonts w:ascii="Arial" w:hAnsi="Arial" w:cs="Arial"/>
                <w:b/>
                <w:sz w:val="24"/>
                <w:szCs w:val="24"/>
              </w:rPr>
              <w:t>Dívida previdenciária</w:t>
            </w:r>
          </w:p>
          <w:p w14:paraId="16D45C9C"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2AA8A529"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3AA64D4A" w14:textId="77777777" w:rsidTr="009743AF">
        <w:trPr>
          <w:trHeight w:val="547"/>
        </w:trPr>
        <w:tc>
          <w:tcPr>
            <w:tcW w:w="2405" w:type="dxa"/>
          </w:tcPr>
          <w:p w14:paraId="2AE8B1D1"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26193403000198</w:t>
            </w:r>
          </w:p>
        </w:tc>
        <w:tc>
          <w:tcPr>
            <w:tcW w:w="5812" w:type="dxa"/>
          </w:tcPr>
          <w:p w14:paraId="3BFA6A9B" w14:textId="43900B5C" w:rsidR="00CF0623" w:rsidRPr="00CF0623" w:rsidRDefault="00494E75" w:rsidP="00EE3640">
            <w:pPr>
              <w:rPr>
                <w:rFonts w:ascii="Arial" w:hAnsi="Arial" w:cs="Arial"/>
                <w:sz w:val="24"/>
                <w:szCs w:val="24"/>
              </w:rPr>
            </w:pPr>
            <w:r w:rsidRPr="00CF0623">
              <w:rPr>
                <w:rFonts w:ascii="Arial" w:hAnsi="Arial" w:cs="Arial"/>
                <w:sz w:val="24"/>
                <w:szCs w:val="24"/>
              </w:rPr>
              <w:t xml:space="preserve">Avodah Acessórios Ltda </w:t>
            </w:r>
            <w:r w:rsidR="00CF0623" w:rsidRPr="00CF0623">
              <w:rPr>
                <w:rFonts w:ascii="Arial" w:hAnsi="Arial" w:cs="Arial"/>
                <w:sz w:val="24"/>
                <w:szCs w:val="24"/>
              </w:rPr>
              <w:t>- ME</w:t>
            </w:r>
          </w:p>
        </w:tc>
        <w:tc>
          <w:tcPr>
            <w:tcW w:w="2835" w:type="dxa"/>
          </w:tcPr>
          <w:p w14:paraId="10D88152"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31.757,75</w:t>
            </w:r>
          </w:p>
          <w:p w14:paraId="5CE5E56D"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31.757,75</w:t>
            </w:r>
          </w:p>
        </w:tc>
        <w:tc>
          <w:tcPr>
            <w:tcW w:w="3544" w:type="dxa"/>
          </w:tcPr>
          <w:p w14:paraId="7A9F811A"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5428C1F9"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37398B0C" w14:textId="77777777" w:rsidTr="009743AF">
        <w:trPr>
          <w:trHeight w:val="547"/>
        </w:trPr>
        <w:tc>
          <w:tcPr>
            <w:tcW w:w="2405" w:type="dxa"/>
          </w:tcPr>
          <w:p w14:paraId="48BABACC"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33538406000181</w:t>
            </w:r>
          </w:p>
        </w:tc>
        <w:tc>
          <w:tcPr>
            <w:tcW w:w="5812" w:type="dxa"/>
          </w:tcPr>
          <w:p w14:paraId="3E9D104E" w14:textId="3EF092A4" w:rsidR="00CF0623" w:rsidRPr="00CF0623" w:rsidRDefault="00494E75" w:rsidP="00EE3640">
            <w:pPr>
              <w:rPr>
                <w:rFonts w:ascii="Arial" w:hAnsi="Arial" w:cs="Arial"/>
                <w:sz w:val="24"/>
                <w:szCs w:val="24"/>
              </w:rPr>
            </w:pPr>
            <w:r w:rsidRPr="00CF0623">
              <w:rPr>
                <w:rFonts w:ascii="Arial" w:hAnsi="Arial" w:cs="Arial"/>
                <w:sz w:val="24"/>
                <w:szCs w:val="24"/>
              </w:rPr>
              <w:t>Plastform Industria E Comercio Ltda</w:t>
            </w:r>
          </w:p>
        </w:tc>
        <w:tc>
          <w:tcPr>
            <w:tcW w:w="2835" w:type="dxa"/>
          </w:tcPr>
          <w:p w14:paraId="2A876544"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11.694.944,58</w:t>
            </w:r>
          </w:p>
          <w:p w14:paraId="2744AEE2"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11.694.944,58</w:t>
            </w:r>
          </w:p>
        </w:tc>
        <w:tc>
          <w:tcPr>
            <w:tcW w:w="3544" w:type="dxa"/>
          </w:tcPr>
          <w:p w14:paraId="10F5CB07"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407A847D"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74FDA0D2" w14:textId="77777777" w:rsidTr="009743AF">
        <w:trPr>
          <w:trHeight w:val="547"/>
        </w:trPr>
        <w:tc>
          <w:tcPr>
            <w:tcW w:w="2405" w:type="dxa"/>
          </w:tcPr>
          <w:p w14:paraId="29AF7D80"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36851632000106</w:t>
            </w:r>
          </w:p>
        </w:tc>
        <w:tc>
          <w:tcPr>
            <w:tcW w:w="5812" w:type="dxa"/>
          </w:tcPr>
          <w:p w14:paraId="4C6E6EB7" w14:textId="73E3BB52" w:rsidR="00CF0623" w:rsidRPr="00CF0623" w:rsidRDefault="00494E75" w:rsidP="00EE3640">
            <w:pPr>
              <w:rPr>
                <w:rFonts w:ascii="Arial" w:hAnsi="Arial" w:cs="Arial"/>
                <w:sz w:val="24"/>
                <w:szCs w:val="24"/>
              </w:rPr>
            </w:pPr>
            <w:r>
              <w:rPr>
                <w:rFonts w:ascii="Arial" w:hAnsi="Arial" w:cs="Arial"/>
                <w:sz w:val="24"/>
                <w:szCs w:val="24"/>
              </w:rPr>
              <w:t>Laticínios MB</w:t>
            </w:r>
            <w:r w:rsidRPr="00CF0623">
              <w:rPr>
                <w:rFonts w:ascii="Arial" w:hAnsi="Arial" w:cs="Arial"/>
                <w:sz w:val="24"/>
                <w:szCs w:val="24"/>
              </w:rPr>
              <w:t xml:space="preserve"> Ltda</w:t>
            </w:r>
          </w:p>
        </w:tc>
        <w:tc>
          <w:tcPr>
            <w:tcW w:w="2835" w:type="dxa"/>
          </w:tcPr>
          <w:p w14:paraId="439A4CCE" w14:textId="77777777" w:rsidR="00CF0623" w:rsidRPr="00CF0623" w:rsidRDefault="00CF0623" w:rsidP="00EE3640">
            <w:pPr>
              <w:jc w:val="right"/>
              <w:rPr>
                <w:rFonts w:ascii="Arial" w:hAnsi="Arial" w:cs="Arial"/>
                <w:b/>
                <w:sz w:val="24"/>
                <w:szCs w:val="24"/>
              </w:rPr>
            </w:pPr>
            <w:r w:rsidRPr="00CF0623">
              <w:rPr>
                <w:rFonts w:ascii="Arial" w:hAnsi="Arial" w:cs="Arial"/>
                <w:b/>
                <w:sz w:val="24"/>
                <w:szCs w:val="24"/>
              </w:rPr>
              <w:t>518.914,83</w:t>
            </w:r>
          </w:p>
          <w:p w14:paraId="11814B03"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518.914,83</w:t>
            </w:r>
          </w:p>
        </w:tc>
        <w:tc>
          <w:tcPr>
            <w:tcW w:w="3544" w:type="dxa"/>
          </w:tcPr>
          <w:p w14:paraId="28277334" w14:textId="77777777" w:rsidR="00CF0623" w:rsidRPr="00CF0623" w:rsidRDefault="00CF0623" w:rsidP="00CF0623">
            <w:pPr>
              <w:jc w:val="both"/>
              <w:rPr>
                <w:rFonts w:ascii="Arial" w:hAnsi="Arial" w:cs="Arial"/>
                <w:b/>
                <w:sz w:val="24"/>
                <w:szCs w:val="24"/>
              </w:rPr>
            </w:pPr>
            <w:r w:rsidRPr="00CF0623">
              <w:rPr>
                <w:rFonts w:ascii="Arial" w:hAnsi="Arial" w:cs="Arial"/>
                <w:b/>
                <w:sz w:val="24"/>
                <w:szCs w:val="24"/>
              </w:rPr>
              <w:t>Dívida previdenciária</w:t>
            </w:r>
          </w:p>
          <w:p w14:paraId="0C7B65D0"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r w:rsidR="00CF0623" w:rsidRPr="00CF0623" w14:paraId="31F489E9" w14:textId="77777777" w:rsidTr="009743AF">
        <w:trPr>
          <w:trHeight w:val="826"/>
        </w:trPr>
        <w:tc>
          <w:tcPr>
            <w:tcW w:w="2405" w:type="dxa"/>
          </w:tcPr>
          <w:p w14:paraId="0B54AE63" w14:textId="77777777" w:rsidR="00CF0623" w:rsidRPr="00D02AFD" w:rsidRDefault="00CF0623" w:rsidP="00D02AFD">
            <w:pPr>
              <w:jc w:val="center"/>
              <w:rPr>
                <w:rFonts w:ascii="Arial" w:hAnsi="Arial" w:cs="Arial"/>
                <w:sz w:val="24"/>
                <w:szCs w:val="24"/>
              </w:rPr>
            </w:pPr>
            <w:r w:rsidRPr="00D02AFD">
              <w:rPr>
                <w:rFonts w:ascii="Arial" w:hAnsi="Arial" w:cs="Arial"/>
                <w:sz w:val="24"/>
                <w:szCs w:val="24"/>
              </w:rPr>
              <w:t>36858520000187</w:t>
            </w:r>
          </w:p>
        </w:tc>
        <w:tc>
          <w:tcPr>
            <w:tcW w:w="5812" w:type="dxa"/>
          </w:tcPr>
          <w:p w14:paraId="4AB2C8F5" w14:textId="4CB8EEBC" w:rsidR="00CF0623" w:rsidRPr="00CF0623" w:rsidRDefault="00494E75" w:rsidP="00EE3640">
            <w:pPr>
              <w:rPr>
                <w:rFonts w:ascii="Arial" w:hAnsi="Arial" w:cs="Arial"/>
                <w:sz w:val="24"/>
                <w:szCs w:val="24"/>
              </w:rPr>
            </w:pPr>
            <w:r>
              <w:rPr>
                <w:rFonts w:ascii="Arial" w:hAnsi="Arial" w:cs="Arial"/>
                <w:sz w:val="24"/>
                <w:szCs w:val="24"/>
              </w:rPr>
              <w:t>Gravia Esquality I</w:t>
            </w:r>
            <w:r w:rsidRPr="00CF0623">
              <w:rPr>
                <w:rFonts w:ascii="Arial" w:hAnsi="Arial" w:cs="Arial"/>
                <w:sz w:val="24"/>
                <w:szCs w:val="24"/>
              </w:rPr>
              <w:t>nd. Metalúrgica ltda</w:t>
            </w:r>
          </w:p>
        </w:tc>
        <w:tc>
          <w:tcPr>
            <w:tcW w:w="2835" w:type="dxa"/>
          </w:tcPr>
          <w:p w14:paraId="01295A0F" w14:textId="77777777" w:rsidR="00494E75" w:rsidRPr="00CF0623" w:rsidRDefault="00494E75" w:rsidP="00494E75">
            <w:pPr>
              <w:jc w:val="right"/>
              <w:rPr>
                <w:rFonts w:ascii="Arial" w:hAnsi="Arial" w:cs="Arial"/>
                <w:b/>
                <w:sz w:val="24"/>
                <w:szCs w:val="24"/>
              </w:rPr>
            </w:pPr>
            <w:r w:rsidRPr="00CF0623">
              <w:rPr>
                <w:rFonts w:ascii="Arial" w:hAnsi="Arial" w:cs="Arial"/>
                <w:b/>
                <w:sz w:val="24"/>
                <w:szCs w:val="24"/>
              </w:rPr>
              <w:t>10.815.288,57</w:t>
            </w:r>
          </w:p>
          <w:p w14:paraId="47D4334C"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6.177.234,74</w:t>
            </w:r>
          </w:p>
          <w:p w14:paraId="2A3A0A8F" w14:textId="77777777" w:rsidR="00CF0623" w:rsidRPr="00CF0623" w:rsidRDefault="00CF0623" w:rsidP="00EE3640">
            <w:pPr>
              <w:jc w:val="right"/>
              <w:rPr>
                <w:rFonts w:ascii="Arial" w:hAnsi="Arial" w:cs="Arial"/>
                <w:sz w:val="24"/>
                <w:szCs w:val="24"/>
              </w:rPr>
            </w:pPr>
            <w:r w:rsidRPr="00CF0623">
              <w:rPr>
                <w:rFonts w:ascii="Arial" w:hAnsi="Arial" w:cs="Arial"/>
                <w:sz w:val="24"/>
                <w:szCs w:val="24"/>
              </w:rPr>
              <w:t>16.992.523,31</w:t>
            </w:r>
          </w:p>
        </w:tc>
        <w:tc>
          <w:tcPr>
            <w:tcW w:w="3544" w:type="dxa"/>
          </w:tcPr>
          <w:p w14:paraId="298D7D1B" w14:textId="77777777" w:rsidR="00494E75" w:rsidRPr="00CF0623" w:rsidRDefault="00494E75" w:rsidP="00494E75">
            <w:pPr>
              <w:jc w:val="both"/>
              <w:rPr>
                <w:rFonts w:ascii="Arial" w:hAnsi="Arial" w:cs="Arial"/>
                <w:b/>
                <w:sz w:val="24"/>
                <w:szCs w:val="24"/>
              </w:rPr>
            </w:pPr>
            <w:r w:rsidRPr="00CF0623">
              <w:rPr>
                <w:rFonts w:ascii="Arial" w:hAnsi="Arial" w:cs="Arial"/>
                <w:b/>
                <w:sz w:val="24"/>
                <w:szCs w:val="24"/>
              </w:rPr>
              <w:t>Dívida previdenciária</w:t>
            </w:r>
          </w:p>
          <w:p w14:paraId="0FB3E8D1"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Demais débitos tributários</w:t>
            </w:r>
          </w:p>
          <w:p w14:paraId="43D3DDE6" w14:textId="77777777" w:rsidR="00CF0623" w:rsidRPr="00CF0623" w:rsidRDefault="00CF0623" w:rsidP="00CF0623">
            <w:pPr>
              <w:jc w:val="both"/>
              <w:rPr>
                <w:rFonts w:ascii="Arial" w:hAnsi="Arial" w:cs="Arial"/>
                <w:sz w:val="24"/>
                <w:szCs w:val="24"/>
              </w:rPr>
            </w:pPr>
            <w:r w:rsidRPr="00CF0623">
              <w:rPr>
                <w:rFonts w:ascii="Arial" w:hAnsi="Arial" w:cs="Arial"/>
                <w:sz w:val="24"/>
                <w:szCs w:val="24"/>
              </w:rPr>
              <w:t>Total</w:t>
            </w:r>
          </w:p>
        </w:tc>
      </w:tr>
    </w:tbl>
    <w:p w14:paraId="68537F57" w14:textId="77777777" w:rsidR="0035647A" w:rsidRDefault="0035647A" w:rsidP="00EB2B15">
      <w:pPr>
        <w:spacing w:line="360" w:lineRule="auto"/>
        <w:ind w:firstLine="851"/>
        <w:jc w:val="both"/>
        <w:rPr>
          <w:rFonts w:ascii="Arial" w:hAnsi="Arial" w:cs="Arial"/>
          <w:sz w:val="24"/>
          <w:szCs w:val="24"/>
        </w:rPr>
      </w:pPr>
    </w:p>
    <w:p w14:paraId="223443B6" w14:textId="4814A10D" w:rsidR="004B7C82" w:rsidRDefault="004B7C82" w:rsidP="004B7C82">
      <w:pPr>
        <w:spacing w:line="360" w:lineRule="auto"/>
        <w:ind w:firstLine="851"/>
        <w:jc w:val="both"/>
        <w:rPr>
          <w:rFonts w:ascii="Arial" w:hAnsi="Arial" w:cs="Arial"/>
          <w:sz w:val="24"/>
          <w:szCs w:val="24"/>
        </w:rPr>
      </w:pPr>
      <w:r w:rsidRPr="00C239FF">
        <w:rPr>
          <w:rFonts w:ascii="Arial" w:hAnsi="Arial" w:cs="Arial"/>
          <w:b/>
          <w:sz w:val="24"/>
          <w:szCs w:val="24"/>
        </w:rPr>
        <w:t xml:space="preserve">Não significa, necessariamente, que todas as empresas acima fruíram </w:t>
      </w:r>
      <w:r>
        <w:rPr>
          <w:rFonts w:ascii="Arial" w:hAnsi="Arial" w:cs="Arial"/>
          <w:b/>
          <w:sz w:val="24"/>
          <w:szCs w:val="24"/>
        </w:rPr>
        <w:t>dos benefícios dos programas</w:t>
      </w:r>
      <w:r w:rsidRPr="00C239FF">
        <w:rPr>
          <w:rFonts w:ascii="Arial" w:hAnsi="Arial" w:cs="Arial"/>
          <w:b/>
          <w:sz w:val="24"/>
          <w:szCs w:val="24"/>
        </w:rPr>
        <w:t xml:space="preserve"> com inscrição em dívida ativa</w:t>
      </w:r>
      <w:r>
        <w:rPr>
          <w:rFonts w:ascii="Arial" w:hAnsi="Arial" w:cs="Arial"/>
          <w:b/>
          <w:sz w:val="24"/>
          <w:szCs w:val="24"/>
        </w:rPr>
        <w:t xml:space="preserve"> federal de natureza previdenciária</w:t>
      </w:r>
      <w:r>
        <w:rPr>
          <w:rFonts w:ascii="Arial" w:hAnsi="Arial" w:cs="Arial"/>
          <w:sz w:val="24"/>
          <w:szCs w:val="24"/>
        </w:rPr>
        <w:t xml:space="preserve">, mas há um alto indicativo de que isso tenha ocorrido, o que deve ser criteriosamente analisado pela fiscalização e órgãos de controle para aferir se há coincidência entre o período de fruição dos benefícios e a aludida inscrição. </w:t>
      </w:r>
    </w:p>
    <w:p w14:paraId="4A1673A9" w14:textId="2D56CF15" w:rsidR="004B7C82" w:rsidRDefault="004B7C82" w:rsidP="004B7C82">
      <w:pPr>
        <w:spacing w:line="360" w:lineRule="auto"/>
        <w:ind w:firstLine="851"/>
        <w:jc w:val="both"/>
        <w:rPr>
          <w:rFonts w:ascii="Arial" w:hAnsi="Arial" w:cs="Arial"/>
          <w:sz w:val="24"/>
          <w:szCs w:val="24"/>
        </w:rPr>
      </w:pPr>
      <w:r w:rsidRPr="001602E4">
        <w:rPr>
          <w:rFonts w:ascii="Arial" w:hAnsi="Arial" w:cs="Arial"/>
          <w:b/>
          <w:sz w:val="24"/>
          <w:szCs w:val="24"/>
        </w:rPr>
        <w:t xml:space="preserve">É possível, ainda, que existam </w:t>
      </w:r>
      <w:r>
        <w:rPr>
          <w:rFonts w:ascii="Arial" w:hAnsi="Arial" w:cs="Arial"/>
          <w:b/>
          <w:sz w:val="24"/>
          <w:szCs w:val="24"/>
        </w:rPr>
        <w:t xml:space="preserve">outras empresas inscritas nos programas, </w:t>
      </w:r>
      <w:r w:rsidRPr="001602E4">
        <w:rPr>
          <w:rFonts w:ascii="Arial" w:hAnsi="Arial" w:cs="Arial"/>
          <w:b/>
          <w:sz w:val="24"/>
          <w:szCs w:val="24"/>
        </w:rPr>
        <w:t>fora da mencionada tabela</w:t>
      </w:r>
      <w:r>
        <w:rPr>
          <w:rFonts w:ascii="Arial" w:hAnsi="Arial" w:cs="Arial"/>
          <w:b/>
          <w:sz w:val="24"/>
          <w:szCs w:val="24"/>
        </w:rPr>
        <w:t>, que</w:t>
      </w:r>
      <w:r w:rsidRPr="001602E4">
        <w:rPr>
          <w:rFonts w:ascii="Arial" w:hAnsi="Arial" w:cs="Arial"/>
          <w:b/>
          <w:sz w:val="24"/>
          <w:szCs w:val="24"/>
        </w:rPr>
        <w:t xml:space="preserve"> tenham fruído irregularmente</w:t>
      </w:r>
      <w:r>
        <w:rPr>
          <w:rFonts w:ascii="Arial" w:hAnsi="Arial" w:cs="Arial"/>
          <w:b/>
          <w:sz w:val="24"/>
          <w:szCs w:val="24"/>
        </w:rPr>
        <w:t xml:space="preserve"> os respectivos benefícios</w:t>
      </w:r>
      <w:r>
        <w:rPr>
          <w:rFonts w:ascii="Arial" w:hAnsi="Arial" w:cs="Arial"/>
          <w:sz w:val="24"/>
          <w:szCs w:val="24"/>
        </w:rPr>
        <w:t>, tendo em vista que anteriormente à data da consulta por esta CPI empresas podem ter permanecido inscritas em dívida ativa previdenciária federal e até a data da consulta desta CPI essa situação já tivesse sido regularizada, o que não afasta a possibilidade de que durante o período de irregularidade tenha havido efetiva fruição de benefícios dos programas.</w:t>
      </w:r>
    </w:p>
    <w:p w14:paraId="1D868EBD" w14:textId="77777777" w:rsidR="004B7C82" w:rsidRDefault="004B7C82" w:rsidP="00EB2B15">
      <w:pPr>
        <w:spacing w:line="360" w:lineRule="auto"/>
        <w:ind w:firstLine="851"/>
        <w:jc w:val="both"/>
        <w:rPr>
          <w:rFonts w:ascii="Arial" w:hAnsi="Arial" w:cs="Arial"/>
          <w:b/>
          <w:sz w:val="24"/>
          <w:szCs w:val="24"/>
        </w:rPr>
      </w:pPr>
    </w:p>
    <w:p w14:paraId="1AF81E9B" w14:textId="77777777" w:rsidR="00EE3640" w:rsidRDefault="00EE3640" w:rsidP="00EB2B15">
      <w:pPr>
        <w:spacing w:line="360" w:lineRule="auto"/>
        <w:ind w:firstLine="851"/>
        <w:jc w:val="both"/>
        <w:rPr>
          <w:rFonts w:ascii="Arial" w:hAnsi="Arial" w:cs="Arial"/>
          <w:sz w:val="24"/>
          <w:szCs w:val="24"/>
        </w:rPr>
      </w:pPr>
    </w:p>
    <w:p w14:paraId="51E0EFA8" w14:textId="77777777" w:rsidR="00EE3640" w:rsidRDefault="00EE3640" w:rsidP="00EB2B15">
      <w:pPr>
        <w:spacing w:line="360" w:lineRule="auto"/>
        <w:ind w:firstLine="851"/>
        <w:jc w:val="both"/>
        <w:rPr>
          <w:rFonts w:ascii="Arial" w:hAnsi="Arial" w:cs="Arial"/>
          <w:sz w:val="24"/>
          <w:szCs w:val="24"/>
        </w:rPr>
        <w:sectPr w:rsidR="00EE3640" w:rsidSect="004B7C82">
          <w:pgSz w:w="16840" w:h="11900" w:orient="landscape"/>
          <w:pgMar w:top="1701" w:right="1105" w:bottom="851" w:left="1134" w:header="567" w:footer="284" w:gutter="0"/>
          <w:cols w:space="708"/>
          <w:docGrid w:linePitch="360"/>
        </w:sectPr>
      </w:pPr>
    </w:p>
    <w:p w14:paraId="75A0CE08" w14:textId="77777777" w:rsidR="004D36CD" w:rsidRDefault="004B7C82" w:rsidP="00EB2B15">
      <w:pPr>
        <w:spacing w:line="360" w:lineRule="auto"/>
        <w:ind w:firstLine="851"/>
        <w:jc w:val="both"/>
        <w:rPr>
          <w:rFonts w:ascii="Arial" w:hAnsi="Arial" w:cs="Arial"/>
          <w:sz w:val="24"/>
          <w:szCs w:val="24"/>
        </w:rPr>
      </w:pPr>
      <w:r w:rsidRPr="00EE3640">
        <w:rPr>
          <w:rFonts w:ascii="Arial" w:hAnsi="Arial" w:cs="Arial"/>
          <w:b/>
          <w:sz w:val="24"/>
          <w:szCs w:val="24"/>
        </w:rPr>
        <w:lastRenderedPageBreak/>
        <w:t>No âmbito do crédito outorgado, a situação não é diferente</w:t>
      </w:r>
      <w:r>
        <w:rPr>
          <w:rFonts w:ascii="Arial" w:hAnsi="Arial" w:cs="Arial"/>
          <w:sz w:val="24"/>
          <w:szCs w:val="24"/>
        </w:rPr>
        <w:t xml:space="preserve">. Entre as 100 (cem) maiores beneficiárias de incentivos fiscais no Estado de Goiás no período objeto de apuração (2014 a 2018), ressalte-se a empresa </w:t>
      </w:r>
      <w:r w:rsidRPr="00EE3640">
        <w:rPr>
          <w:rFonts w:ascii="Arial" w:hAnsi="Arial" w:cs="Arial"/>
          <w:sz w:val="24"/>
          <w:szCs w:val="24"/>
          <w:u w:val="single"/>
        </w:rPr>
        <w:t>Boa Vista Alimentos Ltda (CNPJ nº 37.356.854/0001-15)</w:t>
      </w:r>
      <w:r>
        <w:rPr>
          <w:rFonts w:ascii="Arial" w:hAnsi="Arial" w:cs="Arial"/>
          <w:sz w:val="24"/>
          <w:szCs w:val="24"/>
        </w:rPr>
        <w:t>, a qual, embora não possua em princípio débito inscrito em dívida ativa estadual, na mesma data de consulta em relação às demais empresas constantes da tabela aci</w:t>
      </w:r>
      <w:r w:rsidR="007E7D18">
        <w:rPr>
          <w:rFonts w:ascii="Arial" w:hAnsi="Arial" w:cs="Arial"/>
          <w:sz w:val="24"/>
          <w:szCs w:val="24"/>
        </w:rPr>
        <w:t>m</w:t>
      </w:r>
      <w:r w:rsidR="00115C20">
        <w:rPr>
          <w:rFonts w:ascii="Arial" w:hAnsi="Arial" w:cs="Arial"/>
          <w:sz w:val="24"/>
          <w:szCs w:val="24"/>
        </w:rPr>
        <w:t>a</w:t>
      </w:r>
      <w:r>
        <w:rPr>
          <w:rFonts w:ascii="Arial" w:hAnsi="Arial" w:cs="Arial"/>
          <w:sz w:val="24"/>
          <w:szCs w:val="24"/>
        </w:rPr>
        <w:t xml:space="preserve"> apresentava o </w:t>
      </w:r>
      <w:r w:rsidRPr="00EE3640">
        <w:rPr>
          <w:rFonts w:ascii="Arial" w:hAnsi="Arial" w:cs="Arial"/>
          <w:sz w:val="24"/>
          <w:szCs w:val="24"/>
          <w:u w:val="single"/>
        </w:rPr>
        <w:t>total de R$ 27.603.988,85 (vinte e sete milhões, seiscentos e sessenta e três mil, novecentos e oitenta e oito reais e oitenta e cinco centavos) a título de débito previdenciário</w:t>
      </w:r>
      <w:r>
        <w:rPr>
          <w:rFonts w:ascii="Arial" w:hAnsi="Arial" w:cs="Arial"/>
          <w:sz w:val="24"/>
          <w:szCs w:val="24"/>
        </w:rPr>
        <w:t xml:space="preserve">. </w:t>
      </w:r>
    </w:p>
    <w:p w14:paraId="09E177D6" w14:textId="0AADADF2" w:rsidR="004D36CD" w:rsidRDefault="004D36CD" w:rsidP="004D36CD">
      <w:pPr>
        <w:spacing w:line="360" w:lineRule="auto"/>
        <w:ind w:firstLine="851"/>
        <w:jc w:val="both"/>
        <w:rPr>
          <w:rFonts w:ascii="Arial" w:hAnsi="Arial" w:cs="Arial"/>
          <w:sz w:val="24"/>
          <w:szCs w:val="24"/>
        </w:rPr>
      </w:pPr>
      <w:r w:rsidRPr="00C239FF">
        <w:rPr>
          <w:rFonts w:ascii="Arial" w:hAnsi="Arial" w:cs="Arial"/>
          <w:b/>
          <w:sz w:val="24"/>
          <w:szCs w:val="24"/>
        </w:rPr>
        <w:t xml:space="preserve">Não significa, necessariamente, que </w:t>
      </w:r>
      <w:r>
        <w:rPr>
          <w:rFonts w:ascii="Arial" w:hAnsi="Arial" w:cs="Arial"/>
          <w:b/>
          <w:sz w:val="24"/>
          <w:szCs w:val="24"/>
        </w:rPr>
        <w:t xml:space="preserve">referida </w:t>
      </w:r>
      <w:r w:rsidRPr="00C239FF">
        <w:rPr>
          <w:rFonts w:ascii="Arial" w:hAnsi="Arial" w:cs="Arial"/>
          <w:b/>
          <w:sz w:val="24"/>
          <w:szCs w:val="24"/>
        </w:rPr>
        <w:t xml:space="preserve">empresa </w:t>
      </w:r>
      <w:r>
        <w:rPr>
          <w:rFonts w:ascii="Arial" w:hAnsi="Arial" w:cs="Arial"/>
          <w:b/>
          <w:sz w:val="24"/>
          <w:szCs w:val="24"/>
        </w:rPr>
        <w:t xml:space="preserve">tenha </w:t>
      </w:r>
      <w:r w:rsidRPr="00C239FF">
        <w:rPr>
          <w:rFonts w:ascii="Arial" w:hAnsi="Arial" w:cs="Arial"/>
          <w:b/>
          <w:sz w:val="24"/>
          <w:szCs w:val="24"/>
        </w:rPr>
        <w:t>fruí</w:t>
      </w:r>
      <w:r>
        <w:rPr>
          <w:rFonts w:ascii="Arial" w:hAnsi="Arial" w:cs="Arial"/>
          <w:b/>
          <w:sz w:val="24"/>
          <w:szCs w:val="24"/>
        </w:rPr>
        <w:t>do</w:t>
      </w:r>
      <w:r w:rsidRPr="00C239FF">
        <w:rPr>
          <w:rFonts w:ascii="Arial" w:hAnsi="Arial" w:cs="Arial"/>
          <w:b/>
          <w:sz w:val="24"/>
          <w:szCs w:val="24"/>
        </w:rPr>
        <w:t xml:space="preserve"> </w:t>
      </w:r>
      <w:r>
        <w:rPr>
          <w:rFonts w:ascii="Arial" w:hAnsi="Arial" w:cs="Arial"/>
          <w:b/>
          <w:sz w:val="24"/>
          <w:szCs w:val="24"/>
        </w:rPr>
        <w:t>créditos outorgados</w:t>
      </w:r>
      <w:r w:rsidRPr="00C239FF">
        <w:rPr>
          <w:rFonts w:ascii="Arial" w:hAnsi="Arial" w:cs="Arial"/>
          <w:b/>
          <w:sz w:val="24"/>
          <w:szCs w:val="24"/>
        </w:rPr>
        <w:t xml:space="preserve"> com inscrição em dívida ativa</w:t>
      </w:r>
      <w:r>
        <w:rPr>
          <w:rFonts w:ascii="Arial" w:hAnsi="Arial" w:cs="Arial"/>
          <w:sz w:val="24"/>
          <w:szCs w:val="24"/>
        </w:rPr>
        <w:t xml:space="preserve">, mas há um alto indicativo de que isso tenha ocorrido, o que deve ser criteriosamente analisado pela fiscalização e órgãos de controle para aferir se há coincidência entre o período de fruição de crédito outorgado e inscrição em dívida ativa estadual. </w:t>
      </w:r>
    </w:p>
    <w:p w14:paraId="29BF0E15" w14:textId="0FCBA75D" w:rsidR="004D36CD" w:rsidRDefault="004D36CD" w:rsidP="004D36CD">
      <w:pPr>
        <w:spacing w:line="360" w:lineRule="auto"/>
        <w:ind w:firstLine="851"/>
        <w:jc w:val="both"/>
        <w:rPr>
          <w:rFonts w:ascii="Arial" w:hAnsi="Arial" w:cs="Arial"/>
          <w:sz w:val="24"/>
          <w:szCs w:val="24"/>
        </w:rPr>
      </w:pPr>
      <w:r w:rsidRPr="001602E4">
        <w:rPr>
          <w:rFonts w:ascii="Arial" w:hAnsi="Arial" w:cs="Arial"/>
          <w:b/>
          <w:sz w:val="24"/>
          <w:szCs w:val="24"/>
        </w:rPr>
        <w:t xml:space="preserve">É possível, ainda, que existam </w:t>
      </w:r>
      <w:r>
        <w:rPr>
          <w:rFonts w:ascii="Arial" w:hAnsi="Arial" w:cs="Arial"/>
          <w:b/>
          <w:sz w:val="24"/>
          <w:szCs w:val="24"/>
        </w:rPr>
        <w:t>outras empresas que</w:t>
      </w:r>
      <w:r w:rsidRPr="001602E4">
        <w:rPr>
          <w:rFonts w:ascii="Arial" w:hAnsi="Arial" w:cs="Arial"/>
          <w:b/>
          <w:sz w:val="24"/>
          <w:szCs w:val="24"/>
        </w:rPr>
        <w:t xml:space="preserve"> tenham fruído irregularmente</w:t>
      </w:r>
      <w:r>
        <w:rPr>
          <w:rFonts w:ascii="Arial" w:hAnsi="Arial" w:cs="Arial"/>
          <w:b/>
          <w:sz w:val="24"/>
          <w:szCs w:val="24"/>
        </w:rPr>
        <w:t xml:space="preserve"> crédito outorgado</w:t>
      </w:r>
      <w:r>
        <w:rPr>
          <w:rFonts w:ascii="Arial" w:hAnsi="Arial" w:cs="Arial"/>
          <w:sz w:val="24"/>
          <w:szCs w:val="24"/>
        </w:rPr>
        <w:t>, tendo em vista que anteriormente à data da consulta por esta CPI empresas podem ter permanecido inscritas em dívida ativa e até a data da consulta desta CPI essa situação já tivesse sido regularizada, o que não afasta a possibilidade de que durante o período de irregularidade tenha havido efetiva fruição de incentivos fiscais.</w:t>
      </w:r>
    </w:p>
    <w:p w14:paraId="717807F4" w14:textId="4AE6546D" w:rsidR="00EB2B15" w:rsidRDefault="00EE3640" w:rsidP="00EB2B15">
      <w:pPr>
        <w:spacing w:line="360" w:lineRule="auto"/>
        <w:ind w:firstLine="851"/>
        <w:jc w:val="both"/>
        <w:rPr>
          <w:rFonts w:ascii="Arial" w:hAnsi="Arial" w:cs="Arial"/>
          <w:sz w:val="24"/>
          <w:szCs w:val="24"/>
        </w:rPr>
      </w:pPr>
      <w:r>
        <w:rPr>
          <w:rFonts w:ascii="Arial" w:hAnsi="Arial" w:cs="Arial"/>
          <w:sz w:val="24"/>
          <w:szCs w:val="24"/>
        </w:rPr>
        <w:t>Verifica-se</w:t>
      </w:r>
      <w:r w:rsidR="004D36CD">
        <w:rPr>
          <w:rFonts w:ascii="Arial" w:hAnsi="Arial" w:cs="Arial"/>
          <w:sz w:val="24"/>
          <w:szCs w:val="24"/>
        </w:rPr>
        <w:t xml:space="preserve"> aqui</w:t>
      </w:r>
      <w:r>
        <w:rPr>
          <w:rFonts w:ascii="Arial" w:hAnsi="Arial" w:cs="Arial"/>
          <w:sz w:val="24"/>
          <w:szCs w:val="24"/>
        </w:rPr>
        <w:t xml:space="preserve">, pois, </w:t>
      </w:r>
      <w:r w:rsidRPr="00EE3640">
        <w:rPr>
          <w:rFonts w:ascii="Arial" w:hAnsi="Arial" w:cs="Arial"/>
          <w:b/>
          <w:sz w:val="24"/>
          <w:szCs w:val="24"/>
        </w:rPr>
        <w:t>outro gargalo na fiscalização</w:t>
      </w:r>
      <w:r>
        <w:rPr>
          <w:rFonts w:ascii="Arial" w:hAnsi="Arial" w:cs="Arial"/>
          <w:sz w:val="24"/>
          <w:szCs w:val="24"/>
        </w:rPr>
        <w:t>, visto que, e</w:t>
      </w:r>
      <w:r w:rsidR="00EB2B15">
        <w:rPr>
          <w:rFonts w:ascii="Arial" w:hAnsi="Arial" w:cs="Arial"/>
          <w:sz w:val="24"/>
          <w:szCs w:val="24"/>
        </w:rPr>
        <w:t>mbora seja requisito para celebração de TARE</w:t>
      </w:r>
      <w:r w:rsidR="00A825D5">
        <w:rPr>
          <w:rFonts w:ascii="Arial" w:hAnsi="Arial" w:cs="Arial"/>
          <w:sz w:val="24"/>
          <w:szCs w:val="24"/>
        </w:rPr>
        <w:t xml:space="preserve"> (RCTE/GO, art. 5º, II)</w:t>
      </w:r>
      <w:r w:rsidR="00EB2B15">
        <w:rPr>
          <w:rFonts w:ascii="Arial" w:hAnsi="Arial" w:cs="Arial"/>
          <w:sz w:val="24"/>
          <w:szCs w:val="24"/>
        </w:rPr>
        <w:t xml:space="preserve">, </w:t>
      </w:r>
      <w:r w:rsidR="003E4E58" w:rsidRPr="00A825D5">
        <w:rPr>
          <w:rFonts w:ascii="Arial" w:hAnsi="Arial" w:cs="Arial"/>
          <w:sz w:val="24"/>
          <w:szCs w:val="24"/>
          <w:u w:val="single"/>
        </w:rPr>
        <w:t>a regularidade previdenciária não tem sido observada por diversas empresas</w:t>
      </w:r>
      <w:r w:rsidR="00217743" w:rsidRPr="00A825D5">
        <w:rPr>
          <w:rFonts w:ascii="Arial" w:hAnsi="Arial" w:cs="Arial"/>
          <w:sz w:val="24"/>
          <w:szCs w:val="24"/>
          <w:u w:val="single"/>
        </w:rPr>
        <w:t xml:space="preserve"> no</w:t>
      </w:r>
      <w:r w:rsidR="00EB2B15" w:rsidRPr="00A825D5">
        <w:rPr>
          <w:rFonts w:ascii="Arial" w:hAnsi="Arial" w:cs="Arial"/>
          <w:sz w:val="24"/>
          <w:szCs w:val="24"/>
          <w:u w:val="single"/>
        </w:rPr>
        <w:t xml:space="preserve"> âmbito do</w:t>
      </w:r>
      <w:r w:rsidR="00217743" w:rsidRPr="00A825D5">
        <w:rPr>
          <w:rFonts w:ascii="Arial" w:hAnsi="Arial" w:cs="Arial"/>
          <w:sz w:val="24"/>
          <w:szCs w:val="24"/>
          <w:u w:val="single"/>
        </w:rPr>
        <w:t>s Programas</w:t>
      </w:r>
      <w:r w:rsidR="00EB2B15" w:rsidRPr="00A825D5">
        <w:rPr>
          <w:rFonts w:ascii="Arial" w:hAnsi="Arial" w:cs="Arial"/>
          <w:sz w:val="24"/>
          <w:szCs w:val="24"/>
          <w:u w:val="single"/>
        </w:rPr>
        <w:t xml:space="preserve"> </w:t>
      </w:r>
      <w:r w:rsidR="007E7D18" w:rsidRPr="00A825D5">
        <w:rPr>
          <w:rFonts w:ascii="Arial" w:hAnsi="Arial" w:cs="Arial"/>
          <w:sz w:val="24"/>
          <w:szCs w:val="24"/>
          <w:u w:val="single"/>
        </w:rPr>
        <w:t xml:space="preserve">FOMENTAR e PRODUZIR </w:t>
      </w:r>
      <w:r w:rsidRPr="00A825D5">
        <w:rPr>
          <w:rFonts w:ascii="Arial" w:hAnsi="Arial" w:cs="Arial"/>
          <w:sz w:val="24"/>
          <w:szCs w:val="24"/>
          <w:u w:val="single"/>
        </w:rPr>
        <w:t>nem no âmbito dos créditos outorgados</w:t>
      </w:r>
      <w:r w:rsidR="00A825D5" w:rsidRPr="00A825D5">
        <w:rPr>
          <w:rFonts w:ascii="Arial" w:hAnsi="Arial" w:cs="Arial"/>
          <w:sz w:val="24"/>
          <w:szCs w:val="24"/>
          <w:u w:val="single"/>
        </w:rPr>
        <w:t>; ou é observado apenas no momento da celebração do  TARE, sem qualquer acompanhamento sobre a manutenção desse requisito</w:t>
      </w:r>
      <w:r w:rsidR="00EB2B15">
        <w:rPr>
          <w:rFonts w:ascii="Arial" w:hAnsi="Arial" w:cs="Arial"/>
          <w:sz w:val="24"/>
          <w:szCs w:val="24"/>
        </w:rPr>
        <w:t xml:space="preserve">. </w:t>
      </w:r>
      <w:r>
        <w:rPr>
          <w:rFonts w:ascii="Arial" w:hAnsi="Arial" w:cs="Arial"/>
          <w:sz w:val="24"/>
          <w:szCs w:val="24"/>
        </w:rPr>
        <w:t>Tanto o fisco como os órgãos de controle devem passar a exigir a demonstração mensal desse requisito por parte das empresas beneficiárias de incentivos fiscais no Estado</w:t>
      </w:r>
      <w:r w:rsidR="002B1B7F">
        <w:rPr>
          <w:rFonts w:ascii="Arial" w:hAnsi="Arial" w:cs="Arial"/>
          <w:sz w:val="24"/>
          <w:szCs w:val="24"/>
        </w:rPr>
        <w:t xml:space="preserve"> ou eles próprios acompanharem mensalmente a observância desse critério</w:t>
      </w:r>
      <w:r>
        <w:rPr>
          <w:rFonts w:ascii="Arial" w:hAnsi="Arial" w:cs="Arial"/>
          <w:sz w:val="24"/>
          <w:szCs w:val="24"/>
        </w:rPr>
        <w:t>.</w:t>
      </w:r>
    </w:p>
    <w:p w14:paraId="3B70ACBA" w14:textId="0330468D" w:rsidR="00EE3640" w:rsidRDefault="00EE3640" w:rsidP="00EB2B15">
      <w:pPr>
        <w:spacing w:line="360" w:lineRule="auto"/>
        <w:ind w:firstLine="851"/>
        <w:jc w:val="both"/>
        <w:rPr>
          <w:rFonts w:ascii="Arial" w:hAnsi="Arial" w:cs="Arial"/>
          <w:sz w:val="24"/>
          <w:szCs w:val="24"/>
        </w:rPr>
      </w:pPr>
      <w:r>
        <w:rPr>
          <w:rFonts w:ascii="Arial" w:hAnsi="Arial" w:cs="Arial"/>
          <w:sz w:val="24"/>
          <w:szCs w:val="24"/>
        </w:rPr>
        <w:t>Causa maior espanto, ainda, o fato de o Brasil e o Estado de Goiás vivenciarem uma crise fiscal alegadamente grave, com reformas duras como a Reforma da Previdência (EC nº 103/2019 no âmbito nacional; EC nº 65/2019</w:t>
      </w:r>
      <w:r w:rsidR="00A56A83">
        <w:rPr>
          <w:rFonts w:ascii="Arial" w:hAnsi="Arial" w:cs="Arial"/>
          <w:sz w:val="24"/>
          <w:szCs w:val="24"/>
        </w:rPr>
        <w:t xml:space="preserve"> no âmbito estadual</w:t>
      </w:r>
      <w:r>
        <w:rPr>
          <w:rFonts w:ascii="Arial" w:hAnsi="Arial" w:cs="Arial"/>
          <w:sz w:val="24"/>
          <w:szCs w:val="24"/>
        </w:rPr>
        <w:t>)</w:t>
      </w:r>
      <w:r w:rsidR="007E7D18">
        <w:rPr>
          <w:rFonts w:ascii="Arial" w:hAnsi="Arial" w:cs="Arial"/>
          <w:sz w:val="24"/>
          <w:szCs w:val="24"/>
        </w:rPr>
        <w:t>, e deixare</w:t>
      </w:r>
      <w:r w:rsidR="00F772EE">
        <w:rPr>
          <w:rFonts w:ascii="Arial" w:hAnsi="Arial" w:cs="Arial"/>
          <w:sz w:val="24"/>
          <w:szCs w:val="24"/>
        </w:rPr>
        <w:t xml:space="preserve">m empresas receberem milhões em incentivos fiscais sem a devida fiscalização </w:t>
      </w:r>
      <w:r w:rsidR="00F772EE">
        <w:rPr>
          <w:rFonts w:ascii="Arial" w:hAnsi="Arial" w:cs="Arial"/>
          <w:sz w:val="24"/>
          <w:szCs w:val="24"/>
        </w:rPr>
        <w:lastRenderedPageBreak/>
        <w:t>e cobrança por parte do fisco e demais órgãos de controle</w:t>
      </w:r>
      <w:r w:rsidR="007E7D18">
        <w:rPr>
          <w:rFonts w:ascii="Arial" w:hAnsi="Arial" w:cs="Arial"/>
          <w:sz w:val="24"/>
          <w:szCs w:val="24"/>
        </w:rPr>
        <w:t xml:space="preserve"> quanto a esse importante requisito constitucional</w:t>
      </w:r>
      <w:r w:rsidR="00115C20">
        <w:rPr>
          <w:rFonts w:ascii="Arial" w:hAnsi="Arial" w:cs="Arial"/>
          <w:sz w:val="24"/>
          <w:szCs w:val="24"/>
        </w:rPr>
        <w:t xml:space="preserve"> para a respectiva fruição</w:t>
      </w:r>
      <w:r w:rsidR="00761258">
        <w:rPr>
          <w:rFonts w:ascii="Arial" w:hAnsi="Arial" w:cs="Arial"/>
          <w:sz w:val="24"/>
          <w:szCs w:val="24"/>
        </w:rPr>
        <w:t>.</w:t>
      </w:r>
    </w:p>
    <w:p w14:paraId="139C0F6C" w14:textId="77777777" w:rsidR="00761258" w:rsidRDefault="00761258" w:rsidP="00761258">
      <w:pPr>
        <w:spacing w:line="360" w:lineRule="auto"/>
        <w:ind w:firstLine="851"/>
        <w:jc w:val="both"/>
        <w:rPr>
          <w:rFonts w:ascii="Arial" w:hAnsi="Arial" w:cs="Arial"/>
          <w:b/>
          <w:sz w:val="24"/>
          <w:szCs w:val="24"/>
        </w:rPr>
      </w:pPr>
    </w:p>
    <w:p w14:paraId="57AA28BE" w14:textId="11A0A52E" w:rsidR="00761258" w:rsidRDefault="00761258" w:rsidP="00761258">
      <w:pPr>
        <w:spacing w:line="360" w:lineRule="auto"/>
        <w:ind w:firstLine="851"/>
        <w:jc w:val="both"/>
        <w:rPr>
          <w:rFonts w:ascii="Arial" w:hAnsi="Arial" w:cs="Arial"/>
          <w:sz w:val="24"/>
          <w:szCs w:val="24"/>
        </w:rPr>
      </w:pPr>
      <w:r w:rsidRPr="001B356D">
        <w:rPr>
          <w:rFonts w:ascii="Arial" w:hAnsi="Arial" w:cs="Arial"/>
          <w:b/>
          <w:sz w:val="24"/>
          <w:szCs w:val="24"/>
        </w:rPr>
        <w:t>8.</w:t>
      </w:r>
      <w:r>
        <w:rPr>
          <w:rFonts w:ascii="Arial" w:hAnsi="Arial" w:cs="Arial"/>
          <w:b/>
          <w:sz w:val="24"/>
          <w:szCs w:val="24"/>
        </w:rPr>
        <w:t>2</w:t>
      </w:r>
      <w:r w:rsidRPr="001B356D">
        <w:rPr>
          <w:rFonts w:ascii="Arial" w:hAnsi="Arial" w:cs="Arial"/>
          <w:b/>
          <w:sz w:val="24"/>
          <w:szCs w:val="24"/>
        </w:rPr>
        <w:t>.</w:t>
      </w:r>
      <w:r>
        <w:rPr>
          <w:rFonts w:ascii="Arial" w:hAnsi="Arial" w:cs="Arial"/>
          <w:b/>
          <w:sz w:val="24"/>
          <w:szCs w:val="24"/>
        </w:rPr>
        <w:t>3</w:t>
      </w:r>
      <w:r w:rsidRPr="001B356D">
        <w:rPr>
          <w:rFonts w:ascii="Arial" w:hAnsi="Arial" w:cs="Arial"/>
          <w:b/>
          <w:sz w:val="24"/>
          <w:szCs w:val="24"/>
        </w:rPr>
        <w:t>.</w:t>
      </w:r>
      <w:r>
        <w:rPr>
          <w:rFonts w:ascii="Arial" w:hAnsi="Arial" w:cs="Arial"/>
          <w:sz w:val="24"/>
          <w:szCs w:val="24"/>
        </w:rPr>
        <w:t xml:space="preserve"> </w:t>
      </w:r>
      <w:r w:rsidR="00385824">
        <w:rPr>
          <w:rFonts w:ascii="Arial" w:hAnsi="Arial" w:cs="Arial"/>
          <w:sz w:val="24"/>
          <w:szCs w:val="24"/>
        </w:rPr>
        <w:t xml:space="preserve">Importante ressaltar que </w:t>
      </w:r>
      <w:r w:rsidR="00385824" w:rsidRPr="00DD4769">
        <w:rPr>
          <w:rFonts w:ascii="Arial" w:hAnsi="Arial" w:cs="Arial"/>
          <w:b/>
          <w:sz w:val="24"/>
          <w:szCs w:val="24"/>
          <w:u w:val="single"/>
        </w:rPr>
        <w:t xml:space="preserve">esse levantamento realizado pela CPI </w:t>
      </w:r>
      <w:r w:rsidR="00385824">
        <w:rPr>
          <w:rFonts w:ascii="Arial" w:hAnsi="Arial" w:cs="Arial"/>
          <w:b/>
          <w:sz w:val="24"/>
          <w:szCs w:val="24"/>
          <w:u w:val="single"/>
        </w:rPr>
        <w:t>aponta sérios indícios d</w:t>
      </w:r>
      <w:r w:rsidR="00385824" w:rsidRPr="00DD4769">
        <w:rPr>
          <w:rFonts w:ascii="Arial" w:hAnsi="Arial" w:cs="Arial"/>
          <w:b/>
          <w:sz w:val="24"/>
          <w:szCs w:val="24"/>
          <w:u w:val="single"/>
        </w:rPr>
        <w:t>e irregularidades</w:t>
      </w:r>
      <w:r w:rsidR="00385824" w:rsidRPr="00A013C2">
        <w:rPr>
          <w:rFonts w:ascii="Arial" w:hAnsi="Arial" w:cs="Arial"/>
          <w:b/>
          <w:sz w:val="24"/>
          <w:szCs w:val="24"/>
        </w:rPr>
        <w:t xml:space="preserve"> </w:t>
      </w:r>
      <w:r w:rsidR="00385824" w:rsidRPr="00DD4769">
        <w:rPr>
          <w:rFonts w:ascii="Arial" w:hAnsi="Arial" w:cs="Arial"/>
          <w:b/>
          <w:sz w:val="24"/>
          <w:szCs w:val="24"/>
        </w:rPr>
        <w:t>em relação ao descumprimento desse requisito</w:t>
      </w:r>
      <w:r w:rsidR="00385824">
        <w:rPr>
          <w:rFonts w:ascii="Arial" w:hAnsi="Arial" w:cs="Arial"/>
          <w:b/>
          <w:sz w:val="24"/>
          <w:szCs w:val="24"/>
        </w:rPr>
        <w:t xml:space="preserve"> legal</w:t>
      </w:r>
      <w:r w:rsidR="00385824">
        <w:rPr>
          <w:rFonts w:ascii="Arial" w:hAnsi="Arial" w:cs="Arial"/>
          <w:sz w:val="24"/>
          <w:szCs w:val="24"/>
        </w:rPr>
        <w:t>, visto que a CPI se limitou a fazer simples consulta à página eletrônica da própria Secretaria de Estado da Economia referente à situação fiscal das empresas na data da pesquisa</w:t>
      </w:r>
      <w:r w:rsidR="006D4437">
        <w:rPr>
          <w:rFonts w:ascii="Arial" w:hAnsi="Arial" w:cs="Arial"/>
          <w:sz w:val="24"/>
          <w:szCs w:val="24"/>
        </w:rPr>
        <w:t xml:space="preserve"> (04/02/20</w:t>
      </w:r>
      <w:r w:rsidR="00945663">
        <w:rPr>
          <w:rFonts w:ascii="Arial" w:hAnsi="Arial" w:cs="Arial"/>
          <w:sz w:val="24"/>
          <w:szCs w:val="24"/>
        </w:rPr>
        <w:t>20</w:t>
      </w:r>
      <w:r w:rsidR="006D4437">
        <w:rPr>
          <w:rFonts w:ascii="Arial" w:hAnsi="Arial" w:cs="Arial"/>
          <w:sz w:val="24"/>
          <w:szCs w:val="24"/>
        </w:rPr>
        <w:t>)</w:t>
      </w:r>
      <w:r>
        <w:rPr>
          <w:rFonts w:ascii="Arial" w:hAnsi="Arial" w:cs="Arial"/>
          <w:sz w:val="24"/>
          <w:szCs w:val="24"/>
        </w:rPr>
        <w:t>.</w:t>
      </w:r>
    </w:p>
    <w:p w14:paraId="40B32125" w14:textId="77777777" w:rsidR="0057010C" w:rsidRDefault="001D35E1" w:rsidP="00761258">
      <w:pPr>
        <w:spacing w:line="360" w:lineRule="auto"/>
        <w:ind w:firstLine="851"/>
        <w:jc w:val="both"/>
        <w:rPr>
          <w:rFonts w:ascii="Arial" w:hAnsi="Arial" w:cs="Arial"/>
          <w:sz w:val="24"/>
          <w:szCs w:val="24"/>
        </w:rPr>
      </w:pPr>
      <w:r>
        <w:rPr>
          <w:rFonts w:ascii="Arial" w:hAnsi="Arial" w:cs="Arial"/>
          <w:sz w:val="24"/>
          <w:szCs w:val="24"/>
        </w:rPr>
        <w:t xml:space="preserve">Sabe-se, por exemplo, que </w:t>
      </w:r>
      <w:r w:rsidRPr="001D35E1">
        <w:rPr>
          <w:rFonts w:ascii="Arial" w:hAnsi="Arial" w:cs="Arial"/>
          <w:b/>
          <w:sz w:val="24"/>
          <w:szCs w:val="24"/>
        </w:rPr>
        <w:t xml:space="preserve">a JBS S/A encabeçava a lista dos 500 (quinhentos) maiores devedoras da </w:t>
      </w:r>
      <w:r w:rsidR="004329AB" w:rsidRPr="001D35E1">
        <w:rPr>
          <w:rFonts w:ascii="Arial" w:hAnsi="Arial" w:cs="Arial"/>
          <w:b/>
          <w:sz w:val="24"/>
          <w:szCs w:val="24"/>
        </w:rPr>
        <w:t>Previdência</w:t>
      </w:r>
      <w:r w:rsidR="004329AB">
        <w:rPr>
          <w:rFonts w:ascii="Arial" w:hAnsi="Arial" w:cs="Arial"/>
          <w:b/>
          <w:sz w:val="24"/>
          <w:szCs w:val="24"/>
        </w:rPr>
        <w:t xml:space="preserve"> Social</w:t>
      </w:r>
      <w:r>
        <w:rPr>
          <w:rFonts w:ascii="Arial" w:hAnsi="Arial" w:cs="Arial"/>
          <w:sz w:val="24"/>
          <w:szCs w:val="24"/>
        </w:rPr>
        <w:t>, em levantamento divulgado pela PGFN</w:t>
      </w:r>
      <w:r w:rsidR="007B2BF7">
        <w:rPr>
          <w:rFonts w:ascii="Arial" w:hAnsi="Arial" w:cs="Arial"/>
          <w:sz w:val="24"/>
          <w:szCs w:val="24"/>
        </w:rPr>
        <w:t xml:space="preserve"> por ocasião da CPI da Previdência do Congresso Nacional</w:t>
      </w:r>
      <w:r w:rsidR="004329AB">
        <w:rPr>
          <w:rFonts w:ascii="Arial" w:hAnsi="Arial" w:cs="Arial"/>
          <w:sz w:val="24"/>
          <w:szCs w:val="24"/>
        </w:rPr>
        <w:t xml:space="preserve"> em </w:t>
      </w:r>
      <w:r w:rsidR="00F64D54">
        <w:rPr>
          <w:rFonts w:ascii="Arial" w:hAnsi="Arial" w:cs="Arial"/>
          <w:sz w:val="24"/>
          <w:szCs w:val="24"/>
        </w:rPr>
        <w:t xml:space="preserve">outubro de </w:t>
      </w:r>
      <w:r w:rsidR="004329AB">
        <w:rPr>
          <w:rFonts w:ascii="Arial" w:hAnsi="Arial" w:cs="Arial"/>
          <w:sz w:val="24"/>
          <w:szCs w:val="24"/>
        </w:rPr>
        <w:t>2017</w:t>
      </w:r>
      <w:r w:rsidR="00F64D54">
        <w:rPr>
          <w:rFonts w:ascii="Arial" w:hAnsi="Arial" w:cs="Arial"/>
          <w:sz w:val="24"/>
          <w:szCs w:val="24"/>
        </w:rPr>
        <w:t>, poucos meses após a</w:t>
      </w:r>
      <w:r w:rsidR="00FF22BE">
        <w:rPr>
          <w:rFonts w:ascii="Arial" w:hAnsi="Arial" w:cs="Arial"/>
          <w:sz w:val="24"/>
          <w:szCs w:val="24"/>
        </w:rPr>
        <w:t xml:space="preserve"> enorme repercussão negativa que circundou a polêmica delação premiada formalizada por executivos da JBS</w:t>
      </w:r>
      <w:r w:rsidR="00F64D54">
        <w:rPr>
          <w:rFonts w:ascii="Arial" w:hAnsi="Arial" w:cs="Arial"/>
          <w:sz w:val="24"/>
          <w:szCs w:val="24"/>
        </w:rPr>
        <w:t xml:space="preserve">. </w:t>
      </w:r>
    </w:p>
    <w:p w14:paraId="6684F5BD" w14:textId="6DA37681" w:rsidR="001D35E1" w:rsidRDefault="00F64D54" w:rsidP="00761258">
      <w:pPr>
        <w:spacing w:line="360" w:lineRule="auto"/>
        <w:ind w:firstLine="851"/>
        <w:jc w:val="both"/>
        <w:rPr>
          <w:rFonts w:ascii="Arial" w:hAnsi="Arial" w:cs="Arial"/>
          <w:sz w:val="24"/>
          <w:szCs w:val="24"/>
        </w:rPr>
      </w:pPr>
      <w:r>
        <w:rPr>
          <w:rFonts w:ascii="Arial" w:hAnsi="Arial" w:cs="Arial"/>
          <w:sz w:val="24"/>
          <w:szCs w:val="24"/>
        </w:rPr>
        <w:t xml:space="preserve">Nesse contexto, </w:t>
      </w:r>
      <w:r w:rsidRPr="0057010C">
        <w:rPr>
          <w:rFonts w:ascii="Arial" w:hAnsi="Arial" w:cs="Arial"/>
          <w:b/>
          <w:sz w:val="24"/>
          <w:szCs w:val="24"/>
        </w:rPr>
        <w:t>apenas em novembro de 2017 é que a JBS S/A formalizou parcelamento de seus débitos previdenciários</w:t>
      </w:r>
      <w:r w:rsidR="0057010C" w:rsidRPr="0057010C">
        <w:rPr>
          <w:rFonts w:ascii="Arial" w:hAnsi="Arial" w:cs="Arial"/>
          <w:b/>
          <w:sz w:val="24"/>
          <w:szCs w:val="24"/>
        </w:rPr>
        <w:t xml:space="preserve"> e de outros débitos com a União</w:t>
      </w:r>
      <w:r>
        <w:rPr>
          <w:rFonts w:ascii="Arial" w:hAnsi="Arial" w:cs="Arial"/>
          <w:sz w:val="24"/>
          <w:szCs w:val="24"/>
        </w:rPr>
        <w:t>, conforme amplamente divulgado pela imprensa na época</w:t>
      </w:r>
      <w:r w:rsidR="00867B78">
        <w:rPr>
          <w:rFonts w:ascii="Arial" w:hAnsi="Arial" w:cs="Arial"/>
          <w:sz w:val="24"/>
          <w:szCs w:val="24"/>
        </w:rPr>
        <w:t>, conforme ilustrado pela seguinte notícia do G1 de 07/11/2017</w:t>
      </w:r>
      <w:r w:rsidR="0057010C">
        <w:rPr>
          <w:rFonts w:ascii="Arial" w:hAnsi="Arial" w:cs="Arial"/>
          <w:sz w:val="24"/>
          <w:szCs w:val="24"/>
        </w:rPr>
        <w:t>, intitulada “</w:t>
      </w:r>
      <w:r w:rsidR="0057010C" w:rsidRPr="0057010C">
        <w:rPr>
          <w:rFonts w:ascii="Arial" w:hAnsi="Arial" w:cs="Arial"/>
          <w:sz w:val="24"/>
          <w:szCs w:val="24"/>
        </w:rPr>
        <w:t>JBS adere ao Refis com dívidas de R$ 4,2 bilhões e economiza R$ 1,1 bilhão</w:t>
      </w:r>
      <w:r w:rsidR="0057010C">
        <w:rPr>
          <w:rFonts w:ascii="Arial" w:hAnsi="Arial" w:cs="Arial"/>
          <w:sz w:val="24"/>
          <w:szCs w:val="24"/>
        </w:rPr>
        <w:t>”</w:t>
      </w:r>
      <w:r w:rsidR="00867B78">
        <w:rPr>
          <w:rStyle w:val="Refdenotaderodap"/>
          <w:rFonts w:ascii="Arial" w:hAnsi="Arial" w:cs="Arial"/>
          <w:sz w:val="24"/>
          <w:szCs w:val="24"/>
        </w:rPr>
        <w:footnoteReference w:id="95"/>
      </w:r>
      <w:r>
        <w:rPr>
          <w:rFonts w:ascii="Arial" w:hAnsi="Arial" w:cs="Arial"/>
          <w:sz w:val="24"/>
          <w:szCs w:val="24"/>
        </w:rPr>
        <w:t>:</w:t>
      </w:r>
    </w:p>
    <w:p w14:paraId="6D21FE66" w14:textId="0257FEE3" w:rsidR="00867B78" w:rsidRDefault="00867B78" w:rsidP="00761258">
      <w:pPr>
        <w:spacing w:line="360" w:lineRule="auto"/>
        <w:ind w:firstLine="851"/>
        <w:jc w:val="both"/>
        <w:rPr>
          <w:rFonts w:ascii="Arial" w:hAnsi="Arial" w:cs="Arial"/>
          <w:sz w:val="24"/>
          <w:szCs w:val="24"/>
        </w:rPr>
      </w:pPr>
    </w:p>
    <w:p w14:paraId="4F0079FE" w14:textId="77777777" w:rsidR="00867B78" w:rsidRPr="00867B78" w:rsidRDefault="00867B78" w:rsidP="008D5153">
      <w:pPr>
        <w:ind w:left="2268"/>
        <w:jc w:val="both"/>
        <w:rPr>
          <w:rFonts w:ascii="Arial" w:hAnsi="Arial" w:cs="Arial"/>
          <w:sz w:val="22"/>
          <w:szCs w:val="22"/>
        </w:rPr>
      </w:pPr>
      <w:r w:rsidRPr="00867B78">
        <w:rPr>
          <w:rFonts w:ascii="Arial" w:hAnsi="Arial" w:cs="Arial"/>
          <w:sz w:val="22"/>
          <w:szCs w:val="22"/>
        </w:rPr>
        <w:t>A JBS anunciou nesta terça-feira (7) que aderiu ao Programa de Parcelamento Fiscal (Refis) para regularizar débitos com a União.</w:t>
      </w:r>
    </w:p>
    <w:p w14:paraId="6054F032" w14:textId="77777777" w:rsidR="00867B78" w:rsidRPr="00867B78" w:rsidRDefault="00867B78" w:rsidP="008D5153">
      <w:pPr>
        <w:ind w:left="2268"/>
        <w:jc w:val="both"/>
        <w:rPr>
          <w:rFonts w:ascii="Arial" w:hAnsi="Arial" w:cs="Arial"/>
          <w:sz w:val="22"/>
          <w:szCs w:val="22"/>
        </w:rPr>
      </w:pPr>
      <w:r w:rsidRPr="00867B78">
        <w:rPr>
          <w:rFonts w:ascii="Arial" w:hAnsi="Arial" w:cs="Arial"/>
          <w:sz w:val="22"/>
          <w:szCs w:val="22"/>
        </w:rPr>
        <w:t>As dívidas negociadas somam cerca de R$ 4,2 bilhões, incluindo as reduções previstas.</w:t>
      </w:r>
    </w:p>
    <w:p w14:paraId="358F8FB9" w14:textId="77777777" w:rsidR="00867B78" w:rsidRPr="00867B78" w:rsidRDefault="00867B78" w:rsidP="008D5153">
      <w:pPr>
        <w:ind w:left="2268"/>
        <w:jc w:val="both"/>
        <w:rPr>
          <w:rFonts w:ascii="Arial" w:hAnsi="Arial" w:cs="Arial"/>
          <w:sz w:val="22"/>
          <w:szCs w:val="22"/>
        </w:rPr>
      </w:pPr>
      <w:r w:rsidRPr="00867B78">
        <w:rPr>
          <w:rFonts w:ascii="Arial" w:hAnsi="Arial" w:cs="Arial"/>
          <w:sz w:val="22"/>
          <w:szCs w:val="22"/>
        </w:rPr>
        <w:t>Uma fatia de R$ 1,1 bilhão dos débitos será paga em parcelas mensais até dezembro de 2017.</w:t>
      </w:r>
    </w:p>
    <w:p w14:paraId="5F8972B7" w14:textId="77777777" w:rsidR="00867B78" w:rsidRPr="00867B78" w:rsidRDefault="00867B78" w:rsidP="008D5153">
      <w:pPr>
        <w:ind w:left="2268"/>
        <w:jc w:val="both"/>
        <w:rPr>
          <w:rFonts w:ascii="Arial" w:hAnsi="Arial" w:cs="Arial"/>
          <w:sz w:val="22"/>
          <w:szCs w:val="22"/>
        </w:rPr>
      </w:pPr>
      <w:r w:rsidRPr="00867B78">
        <w:rPr>
          <w:rFonts w:ascii="Arial" w:hAnsi="Arial" w:cs="Arial"/>
          <w:sz w:val="22"/>
          <w:szCs w:val="22"/>
        </w:rPr>
        <w:t>Os valores são referentes a dívidas de INSS, PIS, Cofins, Imposto de Renda e Contribuição Social sobre o Lucro Líquido (CSLL).</w:t>
      </w:r>
    </w:p>
    <w:p w14:paraId="3702AD66" w14:textId="77777777" w:rsidR="00867B78" w:rsidRPr="00867B78" w:rsidRDefault="00867B78" w:rsidP="008D5153">
      <w:pPr>
        <w:ind w:left="2268"/>
        <w:jc w:val="both"/>
        <w:rPr>
          <w:rFonts w:ascii="Arial" w:hAnsi="Arial" w:cs="Arial"/>
          <w:sz w:val="22"/>
          <w:szCs w:val="22"/>
        </w:rPr>
      </w:pPr>
      <w:r w:rsidRPr="00867B78">
        <w:rPr>
          <w:rFonts w:ascii="Arial" w:hAnsi="Arial" w:cs="Arial"/>
          <w:sz w:val="22"/>
          <w:szCs w:val="22"/>
        </w:rPr>
        <w:t>As dívidas no âmbito da Receita Federal serão pagas à vista por meio de créditos tributários, no valor de R$ 1,6 bilhão.</w:t>
      </w:r>
    </w:p>
    <w:p w14:paraId="7CC2F080" w14:textId="77777777" w:rsidR="00867B78" w:rsidRPr="00867B78" w:rsidRDefault="00867B78" w:rsidP="008D5153">
      <w:pPr>
        <w:ind w:left="2268"/>
        <w:jc w:val="both"/>
        <w:rPr>
          <w:rFonts w:ascii="Arial" w:hAnsi="Arial" w:cs="Arial"/>
          <w:sz w:val="22"/>
          <w:szCs w:val="22"/>
        </w:rPr>
      </w:pPr>
      <w:r w:rsidRPr="00867B78">
        <w:rPr>
          <w:rFonts w:ascii="Arial" w:hAnsi="Arial" w:cs="Arial"/>
          <w:sz w:val="22"/>
          <w:szCs w:val="22"/>
        </w:rPr>
        <w:t>Já as de competência da Procuradoria-Geral da Fazenda Nacional serão quitadas em 145 parcelas mensais e sucessivas, a partir de janeiro de 2018, totalizando R$ 1,5 bilhão.</w:t>
      </w:r>
    </w:p>
    <w:p w14:paraId="5D916585" w14:textId="77777777" w:rsidR="00867B78" w:rsidRPr="00867B78" w:rsidRDefault="00867B78" w:rsidP="008D5153">
      <w:pPr>
        <w:ind w:left="2268"/>
        <w:jc w:val="both"/>
        <w:rPr>
          <w:rFonts w:ascii="Arial" w:hAnsi="Arial" w:cs="Arial"/>
          <w:sz w:val="22"/>
          <w:szCs w:val="22"/>
        </w:rPr>
      </w:pPr>
      <w:r w:rsidRPr="00867B78">
        <w:rPr>
          <w:rFonts w:ascii="Arial" w:hAnsi="Arial" w:cs="Arial"/>
          <w:sz w:val="22"/>
          <w:szCs w:val="22"/>
        </w:rPr>
        <w:t>Com a adesão ao Refis, a empresa conseguiu economizar cerca de R$ 1,1 bilhão. Ela obteve reduções de 80% dos juros de mora, 50% das multas de mora e de ofício e 100% dos encargos legais.</w:t>
      </w:r>
    </w:p>
    <w:p w14:paraId="2DF08572" w14:textId="77777777" w:rsidR="00867B78" w:rsidRPr="00867B78" w:rsidRDefault="00867B78" w:rsidP="008D5153">
      <w:pPr>
        <w:ind w:left="2268"/>
        <w:jc w:val="both"/>
        <w:rPr>
          <w:rFonts w:ascii="Arial" w:hAnsi="Arial" w:cs="Arial"/>
          <w:sz w:val="22"/>
          <w:szCs w:val="22"/>
        </w:rPr>
      </w:pPr>
      <w:r w:rsidRPr="00867B78">
        <w:rPr>
          <w:rFonts w:ascii="Arial" w:hAnsi="Arial" w:cs="Arial"/>
          <w:sz w:val="22"/>
          <w:szCs w:val="22"/>
        </w:rPr>
        <w:t>Os valores parcelados sofrerão atualização pela taxa básica de juros (Selic).</w:t>
      </w:r>
    </w:p>
    <w:p w14:paraId="7F3C2FFD" w14:textId="77777777" w:rsidR="00867B78" w:rsidRPr="00867B78" w:rsidRDefault="00867B78" w:rsidP="008D5153">
      <w:pPr>
        <w:ind w:left="2268"/>
        <w:jc w:val="both"/>
        <w:rPr>
          <w:rFonts w:ascii="Arial" w:hAnsi="Arial" w:cs="Arial"/>
          <w:sz w:val="22"/>
          <w:szCs w:val="22"/>
        </w:rPr>
      </w:pPr>
      <w:r w:rsidRPr="00867B78">
        <w:rPr>
          <w:rFonts w:ascii="Arial" w:hAnsi="Arial" w:cs="Arial"/>
          <w:sz w:val="22"/>
          <w:szCs w:val="22"/>
        </w:rPr>
        <w:lastRenderedPageBreak/>
        <w:t>Por conta da negociação das dívidas dentro do Refis, a JBS apurou perda de R$ 2,3 bilhões em seu lucro líquido do terceiro trimestre - a empresa divulgará o balanço do período na semana que vem. Esse valor já inclui reduções concedidas pelo programa e provisões constituídas anteriormente.</w:t>
      </w:r>
    </w:p>
    <w:p w14:paraId="04DA0EE1" w14:textId="77777777" w:rsidR="00867B78" w:rsidRDefault="00867B78" w:rsidP="00761258">
      <w:pPr>
        <w:spacing w:line="360" w:lineRule="auto"/>
        <w:ind w:firstLine="851"/>
        <w:jc w:val="both"/>
        <w:rPr>
          <w:rFonts w:ascii="Arial" w:hAnsi="Arial" w:cs="Arial"/>
          <w:sz w:val="24"/>
          <w:szCs w:val="24"/>
        </w:rPr>
      </w:pPr>
    </w:p>
    <w:p w14:paraId="51268053" w14:textId="6627187F" w:rsidR="00867B78" w:rsidRDefault="006102CA" w:rsidP="00761258">
      <w:pPr>
        <w:spacing w:line="360" w:lineRule="auto"/>
        <w:ind w:firstLine="851"/>
        <w:jc w:val="both"/>
        <w:rPr>
          <w:rFonts w:ascii="Arial" w:hAnsi="Arial" w:cs="Arial"/>
          <w:sz w:val="24"/>
          <w:szCs w:val="24"/>
        </w:rPr>
      </w:pPr>
      <w:r>
        <w:rPr>
          <w:rFonts w:ascii="Arial" w:hAnsi="Arial" w:cs="Arial"/>
          <w:sz w:val="24"/>
          <w:szCs w:val="24"/>
        </w:rPr>
        <w:t xml:space="preserve">Certamente, trata-se de </w:t>
      </w:r>
      <w:r w:rsidRPr="00B23407">
        <w:rPr>
          <w:rFonts w:ascii="Arial" w:hAnsi="Arial" w:cs="Arial"/>
          <w:b/>
          <w:sz w:val="24"/>
          <w:szCs w:val="24"/>
        </w:rPr>
        <w:t>uma das empresas que, ao lado das demais relacionadas no item 8.2.2 deste relatório, merece uma auditoria específica para analisar exatamente o total de incentivos fiscais de ICMS fruídos</w:t>
      </w:r>
      <w:r>
        <w:rPr>
          <w:rFonts w:ascii="Arial" w:hAnsi="Arial" w:cs="Arial"/>
          <w:sz w:val="24"/>
          <w:szCs w:val="24"/>
        </w:rPr>
        <w:t>, em todos os seus CNPJ’s, durante o período que antecedeu a adesão ao mencionado REFIS com a União.</w:t>
      </w:r>
      <w:r w:rsidR="0042104D">
        <w:rPr>
          <w:rFonts w:ascii="Arial" w:hAnsi="Arial" w:cs="Arial"/>
          <w:sz w:val="24"/>
          <w:szCs w:val="24"/>
        </w:rPr>
        <w:t xml:space="preserve"> Pelos dados que chegaram a esta CPI</w:t>
      </w:r>
      <w:r w:rsidR="00B23407">
        <w:rPr>
          <w:rFonts w:ascii="Arial" w:hAnsi="Arial" w:cs="Arial"/>
          <w:sz w:val="24"/>
          <w:szCs w:val="24"/>
        </w:rPr>
        <w:t xml:space="preserve"> (Ofício nº 2.756/2019-Economia, p. 7)</w:t>
      </w:r>
      <w:r w:rsidR="0042104D">
        <w:rPr>
          <w:rFonts w:ascii="Arial" w:hAnsi="Arial" w:cs="Arial"/>
          <w:sz w:val="24"/>
          <w:szCs w:val="24"/>
        </w:rPr>
        <w:t xml:space="preserve">, nos anos de 2014 a 2017 houve a fruição de quantias vultosas de incentivos fiscais pela JBS S/A, </w:t>
      </w:r>
      <w:r w:rsidR="00B23407">
        <w:rPr>
          <w:rFonts w:ascii="Arial" w:hAnsi="Arial" w:cs="Arial"/>
          <w:sz w:val="24"/>
          <w:szCs w:val="24"/>
        </w:rPr>
        <w:t>que inclusive encontra-se entre as maiores beneficiárias de incentivos fiscais do Estado.</w:t>
      </w:r>
    </w:p>
    <w:p w14:paraId="35E9DE9C" w14:textId="20CFB135" w:rsidR="00761258" w:rsidRDefault="00761258" w:rsidP="00761258">
      <w:pPr>
        <w:spacing w:line="360" w:lineRule="auto"/>
        <w:ind w:firstLine="851"/>
        <w:jc w:val="both"/>
        <w:rPr>
          <w:rFonts w:ascii="Arial" w:hAnsi="Arial" w:cs="Arial"/>
          <w:sz w:val="24"/>
          <w:szCs w:val="24"/>
        </w:rPr>
      </w:pPr>
      <w:r w:rsidRPr="00EB5A66">
        <w:rPr>
          <w:rFonts w:ascii="Arial" w:hAnsi="Arial" w:cs="Arial"/>
          <w:b/>
          <w:sz w:val="24"/>
          <w:szCs w:val="24"/>
        </w:rPr>
        <w:t>Necessário, porém, que a própria Secretaria proceda a um levantamento mais completo</w:t>
      </w:r>
      <w:r>
        <w:rPr>
          <w:rFonts w:ascii="Arial" w:hAnsi="Arial" w:cs="Arial"/>
          <w:sz w:val="24"/>
          <w:szCs w:val="24"/>
        </w:rPr>
        <w:t xml:space="preserve"> – </w:t>
      </w:r>
      <w:r w:rsidR="00F974A3" w:rsidRPr="00370DB9">
        <w:rPr>
          <w:rFonts w:ascii="Arial" w:hAnsi="Arial" w:cs="Arial"/>
          <w:sz w:val="24"/>
          <w:szCs w:val="24"/>
        </w:rPr>
        <w:t>m</w:t>
      </w:r>
      <w:r w:rsidR="00F974A3">
        <w:rPr>
          <w:rFonts w:ascii="Arial" w:hAnsi="Arial" w:cs="Arial"/>
          <w:sz w:val="24"/>
          <w:szCs w:val="24"/>
        </w:rPr>
        <w:t xml:space="preserve">ediante a requisição das informações correspondentes </w:t>
      </w:r>
      <w:r w:rsidR="00E20AEF">
        <w:rPr>
          <w:rFonts w:ascii="Arial" w:hAnsi="Arial" w:cs="Arial"/>
          <w:sz w:val="24"/>
          <w:szCs w:val="24"/>
        </w:rPr>
        <w:t xml:space="preserve">à </w:t>
      </w:r>
      <w:r w:rsidR="00784949">
        <w:rPr>
          <w:rFonts w:ascii="Arial" w:hAnsi="Arial" w:cs="Arial"/>
          <w:sz w:val="24"/>
          <w:szCs w:val="24"/>
        </w:rPr>
        <w:t>PGFN</w:t>
      </w:r>
      <w:r w:rsidR="001C145A">
        <w:rPr>
          <w:rFonts w:ascii="Arial" w:hAnsi="Arial" w:cs="Arial"/>
          <w:sz w:val="24"/>
          <w:szCs w:val="24"/>
        </w:rPr>
        <w:t xml:space="preserve"> </w:t>
      </w:r>
      <w:r>
        <w:rPr>
          <w:rFonts w:ascii="Arial" w:hAnsi="Arial" w:cs="Arial"/>
          <w:sz w:val="24"/>
          <w:szCs w:val="24"/>
        </w:rPr>
        <w:t xml:space="preserve">– </w:t>
      </w:r>
      <w:r w:rsidRPr="00A063B6">
        <w:rPr>
          <w:rFonts w:ascii="Arial" w:hAnsi="Arial" w:cs="Arial"/>
          <w:sz w:val="24"/>
          <w:szCs w:val="24"/>
          <w:u w:val="single"/>
        </w:rPr>
        <w:t xml:space="preserve">a fim de identificar </w:t>
      </w:r>
      <w:r>
        <w:rPr>
          <w:rFonts w:ascii="Arial" w:hAnsi="Arial" w:cs="Arial"/>
          <w:sz w:val="24"/>
          <w:szCs w:val="24"/>
          <w:u w:val="single"/>
        </w:rPr>
        <w:t xml:space="preserve">todas </w:t>
      </w:r>
      <w:r w:rsidRPr="00A063B6">
        <w:rPr>
          <w:rFonts w:ascii="Arial" w:hAnsi="Arial" w:cs="Arial"/>
          <w:sz w:val="24"/>
          <w:szCs w:val="24"/>
          <w:u w:val="single"/>
        </w:rPr>
        <w:t xml:space="preserve">as empresas que, desde 2014, tiveram ou ainda possuem algum débito </w:t>
      </w:r>
      <w:r w:rsidR="00711DCB">
        <w:rPr>
          <w:rFonts w:ascii="Arial" w:hAnsi="Arial" w:cs="Arial"/>
          <w:sz w:val="24"/>
          <w:szCs w:val="24"/>
          <w:u w:val="single"/>
        </w:rPr>
        <w:t>com a seguridade social</w:t>
      </w:r>
      <w:r w:rsidR="00711DCB" w:rsidRPr="005609FC">
        <w:rPr>
          <w:rFonts w:ascii="Arial" w:hAnsi="Arial" w:cs="Arial"/>
          <w:sz w:val="24"/>
          <w:szCs w:val="24"/>
        </w:rPr>
        <w:t>,</w:t>
      </w:r>
      <w:r w:rsidRPr="00711DCB">
        <w:rPr>
          <w:rFonts w:ascii="Arial" w:hAnsi="Arial" w:cs="Arial"/>
          <w:sz w:val="24"/>
          <w:szCs w:val="24"/>
        </w:rPr>
        <w:t xml:space="preserve"> </w:t>
      </w:r>
      <w:r w:rsidR="00AD75AB">
        <w:rPr>
          <w:rFonts w:ascii="Arial" w:hAnsi="Arial" w:cs="Arial"/>
          <w:sz w:val="24"/>
          <w:szCs w:val="24"/>
        </w:rPr>
        <w:t>para</w:t>
      </w:r>
      <w:r w:rsidRPr="00711DCB">
        <w:rPr>
          <w:rFonts w:ascii="Arial" w:hAnsi="Arial" w:cs="Arial"/>
          <w:sz w:val="24"/>
          <w:szCs w:val="24"/>
        </w:rPr>
        <w:t xml:space="preserve"> que cessem imediatamente a fruição de incentivos fiscais e devolvam aos cofres públicos todos os valores fruídos durante o período durante o qual perdurou a irregularidade, </w:t>
      </w:r>
      <w:r w:rsidR="00AD75AB">
        <w:rPr>
          <w:rFonts w:ascii="Arial" w:hAnsi="Arial" w:cs="Arial"/>
          <w:sz w:val="24"/>
          <w:szCs w:val="24"/>
        </w:rPr>
        <w:t>com fulcro</w:t>
      </w:r>
      <w:r w:rsidRPr="00711DCB">
        <w:rPr>
          <w:rFonts w:ascii="Arial" w:hAnsi="Arial" w:cs="Arial"/>
          <w:sz w:val="24"/>
          <w:szCs w:val="24"/>
        </w:rPr>
        <w:t xml:space="preserve"> </w:t>
      </w:r>
      <w:r w:rsidR="00AD75AB">
        <w:rPr>
          <w:rFonts w:ascii="Arial" w:hAnsi="Arial" w:cs="Arial"/>
          <w:sz w:val="24"/>
          <w:szCs w:val="24"/>
        </w:rPr>
        <w:t>n</w:t>
      </w:r>
      <w:r w:rsidRPr="00711DCB">
        <w:rPr>
          <w:rFonts w:ascii="Arial" w:hAnsi="Arial" w:cs="Arial"/>
          <w:sz w:val="24"/>
          <w:szCs w:val="24"/>
        </w:rPr>
        <w:t xml:space="preserve">o § </w:t>
      </w:r>
      <w:r w:rsidR="006F4D44">
        <w:rPr>
          <w:rFonts w:ascii="Arial" w:hAnsi="Arial" w:cs="Arial"/>
          <w:sz w:val="24"/>
          <w:szCs w:val="24"/>
        </w:rPr>
        <w:t>3</w:t>
      </w:r>
      <w:r w:rsidRPr="00711DCB">
        <w:rPr>
          <w:rFonts w:ascii="Arial" w:hAnsi="Arial" w:cs="Arial"/>
          <w:sz w:val="24"/>
          <w:szCs w:val="24"/>
        </w:rPr>
        <w:t>º do art. 1</w:t>
      </w:r>
      <w:r w:rsidR="006F4D44">
        <w:rPr>
          <w:rFonts w:ascii="Arial" w:hAnsi="Arial" w:cs="Arial"/>
          <w:sz w:val="24"/>
          <w:szCs w:val="24"/>
        </w:rPr>
        <w:t>95</w:t>
      </w:r>
      <w:r w:rsidRPr="00711DCB">
        <w:rPr>
          <w:rFonts w:ascii="Arial" w:hAnsi="Arial" w:cs="Arial"/>
          <w:sz w:val="24"/>
          <w:szCs w:val="24"/>
        </w:rPr>
        <w:t xml:space="preserve"> d</w:t>
      </w:r>
      <w:r w:rsidR="006F4D44">
        <w:rPr>
          <w:rFonts w:ascii="Arial" w:hAnsi="Arial" w:cs="Arial"/>
          <w:sz w:val="24"/>
          <w:szCs w:val="24"/>
        </w:rPr>
        <w:t>a CRFB</w:t>
      </w:r>
      <w:r w:rsidRPr="00711DCB">
        <w:rPr>
          <w:rFonts w:ascii="Arial" w:hAnsi="Arial" w:cs="Arial"/>
          <w:sz w:val="24"/>
          <w:szCs w:val="24"/>
        </w:rPr>
        <w:t>.</w:t>
      </w:r>
    </w:p>
    <w:p w14:paraId="680DDB7D" w14:textId="65A9DC82" w:rsidR="00761258" w:rsidRPr="00370DB9" w:rsidRDefault="004B6D52" w:rsidP="004B6D52">
      <w:pPr>
        <w:spacing w:line="360" w:lineRule="auto"/>
        <w:ind w:firstLine="851"/>
        <w:jc w:val="both"/>
        <w:rPr>
          <w:rFonts w:ascii="Arial" w:hAnsi="Arial" w:cs="Arial"/>
          <w:sz w:val="24"/>
          <w:szCs w:val="24"/>
          <w:highlight w:val="yellow"/>
        </w:rPr>
      </w:pPr>
      <w:r>
        <w:rPr>
          <w:rFonts w:ascii="Arial" w:hAnsi="Arial" w:cs="Arial"/>
          <w:sz w:val="24"/>
          <w:szCs w:val="24"/>
        </w:rPr>
        <w:t>Embora não esteja expresso no RCTE/GO, entende-se que o dispositivo constitucional revela-</w:t>
      </w:r>
      <w:r w:rsidRPr="004B6D52">
        <w:rPr>
          <w:rFonts w:ascii="Arial" w:hAnsi="Arial" w:cs="Arial"/>
          <w:sz w:val="24"/>
          <w:szCs w:val="24"/>
        </w:rPr>
        <w:t>se de clareza solar ao proibir que empresas com dívidas dessa natureza fruam incentivos fiscais,</w:t>
      </w:r>
      <w:r w:rsidR="00761258" w:rsidRPr="004B6D52">
        <w:rPr>
          <w:rFonts w:ascii="Arial" w:hAnsi="Arial" w:cs="Arial"/>
          <w:sz w:val="24"/>
          <w:szCs w:val="24"/>
        </w:rPr>
        <w:t xml:space="preserve"> o que significa dizer que </w:t>
      </w:r>
      <w:r w:rsidR="00761258" w:rsidRPr="004B6D52">
        <w:rPr>
          <w:rFonts w:ascii="Arial" w:hAnsi="Arial" w:cs="Arial"/>
          <w:b/>
          <w:sz w:val="24"/>
          <w:szCs w:val="24"/>
        </w:rPr>
        <w:t>o contribuinte não precisa ser previamente notificado para deixar de fruí-los</w:t>
      </w:r>
      <w:r w:rsidR="00761258" w:rsidRPr="004B6D52">
        <w:rPr>
          <w:rFonts w:ascii="Arial" w:hAnsi="Arial" w:cs="Arial"/>
          <w:sz w:val="24"/>
          <w:szCs w:val="24"/>
        </w:rPr>
        <w:t>; uma vez verificada a inscrição em dívida ativa</w:t>
      </w:r>
      <w:r w:rsidRPr="004B6D52">
        <w:rPr>
          <w:rFonts w:ascii="Arial" w:hAnsi="Arial" w:cs="Arial"/>
          <w:sz w:val="24"/>
          <w:szCs w:val="24"/>
        </w:rPr>
        <w:t xml:space="preserve"> federal relativamente a dívida previdenciária</w:t>
      </w:r>
      <w:r w:rsidR="00761258" w:rsidRPr="004B6D52">
        <w:rPr>
          <w:rFonts w:ascii="Arial" w:hAnsi="Arial" w:cs="Arial"/>
          <w:sz w:val="24"/>
          <w:szCs w:val="24"/>
        </w:rPr>
        <w:t xml:space="preserve">, </w:t>
      </w:r>
      <w:r w:rsidR="00761258" w:rsidRPr="004B6D52">
        <w:rPr>
          <w:rFonts w:ascii="Arial" w:hAnsi="Arial" w:cs="Arial"/>
          <w:sz w:val="24"/>
          <w:szCs w:val="24"/>
          <w:u w:val="single"/>
        </w:rPr>
        <w:t xml:space="preserve">imperioso que o próprio sujeito passivo deixe imediatamente de </w:t>
      </w:r>
      <w:r w:rsidR="006D21F2">
        <w:rPr>
          <w:rFonts w:ascii="Arial" w:hAnsi="Arial" w:cs="Arial"/>
          <w:sz w:val="24"/>
          <w:szCs w:val="24"/>
          <w:u w:val="single"/>
        </w:rPr>
        <w:t>aproveitar</w:t>
      </w:r>
      <w:r w:rsidR="00761258" w:rsidRPr="004B6D52">
        <w:rPr>
          <w:rFonts w:ascii="Arial" w:hAnsi="Arial" w:cs="Arial"/>
          <w:sz w:val="24"/>
          <w:szCs w:val="24"/>
          <w:u w:val="single"/>
        </w:rPr>
        <w:t xml:space="preserve"> o benefício em sua escrituração fiscal digital</w:t>
      </w:r>
      <w:r w:rsidR="00761258" w:rsidRPr="004B6D52">
        <w:rPr>
          <w:rFonts w:ascii="Arial" w:hAnsi="Arial" w:cs="Arial"/>
          <w:sz w:val="24"/>
          <w:szCs w:val="24"/>
        </w:rPr>
        <w:t xml:space="preserve">. </w:t>
      </w:r>
    </w:p>
    <w:p w14:paraId="76AA3BEC" w14:textId="47C2380B" w:rsidR="00761258" w:rsidRPr="00EE64B3" w:rsidRDefault="00761258" w:rsidP="00761258">
      <w:pPr>
        <w:spacing w:line="360" w:lineRule="auto"/>
        <w:ind w:firstLine="851"/>
        <w:jc w:val="both"/>
        <w:rPr>
          <w:rFonts w:ascii="Arial" w:hAnsi="Arial" w:cs="Arial"/>
          <w:sz w:val="24"/>
          <w:szCs w:val="24"/>
        </w:rPr>
      </w:pPr>
      <w:r w:rsidRPr="00EE64B3">
        <w:rPr>
          <w:rFonts w:ascii="Arial" w:hAnsi="Arial" w:cs="Arial"/>
          <w:b/>
          <w:sz w:val="24"/>
          <w:szCs w:val="24"/>
        </w:rPr>
        <w:t>Para o sistema ser mais funcional</w:t>
      </w:r>
      <w:r w:rsidRPr="00EE64B3">
        <w:rPr>
          <w:rFonts w:ascii="Arial" w:hAnsi="Arial" w:cs="Arial"/>
          <w:sz w:val="24"/>
          <w:szCs w:val="24"/>
        </w:rPr>
        <w:t>, esta CPI recomenda a inclusão de dispositivo na lei geral de incentivos fiscais a ser proposta nesta Casa Legislativa para</w:t>
      </w:r>
      <w:r w:rsidRPr="00EE64B3">
        <w:rPr>
          <w:rFonts w:ascii="Arial" w:hAnsi="Arial" w:cs="Arial"/>
          <w:b/>
          <w:sz w:val="24"/>
          <w:szCs w:val="24"/>
        </w:rPr>
        <w:t xml:space="preserve"> impor multa de 50% (cinquenta por cento) ao sujeito passivo que aproveitar incentivo fiscal</w:t>
      </w:r>
      <w:r w:rsidR="00010699">
        <w:rPr>
          <w:rFonts w:ascii="Arial" w:hAnsi="Arial" w:cs="Arial"/>
          <w:b/>
          <w:sz w:val="24"/>
          <w:szCs w:val="24"/>
        </w:rPr>
        <w:t xml:space="preserve"> sem regularidade previdenciária</w:t>
      </w:r>
      <w:r w:rsidRPr="00EE64B3">
        <w:rPr>
          <w:rFonts w:ascii="Arial" w:hAnsi="Arial" w:cs="Arial"/>
          <w:sz w:val="24"/>
          <w:szCs w:val="24"/>
        </w:rPr>
        <w:t xml:space="preserve">, aplicado sobre o valor total </w:t>
      </w:r>
      <w:r w:rsidR="00D75213">
        <w:rPr>
          <w:rFonts w:ascii="Arial" w:hAnsi="Arial" w:cs="Arial"/>
          <w:sz w:val="24"/>
          <w:szCs w:val="24"/>
        </w:rPr>
        <w:t>dos</w:t>
      </w:r>
      <w:r w:rsidRPr="00EE64B3">
        <w:rPr>
          <w:rFonts w:ascii="Arial" w:hAnsi="Arial" w:cs="Arial"/>
          <w:sz w:val="24"/>
          <w:szCs w:val="24"/>
        </w:rPr>
        <w:t xml:space="preserve"> incentivos fruídos enquanto o sujeito passivo permaneceu inscrito em dívida ativa</w:t>
      </w:r>
      <w:r w:rsidR="00EE64B3" w:rsidRPr="00EE64B3">
        <w:rPr>
          <w:rFonts w:ascii="Arial" w:hAnsi="Arial" w:cs="Arial"/>
          <w:sz w:val="24"/>
          <w:szCs w:val="24"/>
        </w:rPr>
        <w:t xml:space="preserve"> de natureza previdenciária</w:t>
      </w:r>
      <w:r w:rsidRPr="00EE64B3">
        <w:rPr>
          <w:rFonts w:ascii="Arial" w:hAnsi="Arial" w:cs="Arial"/>
          <w:sz w:val="24"/>
          <w:szCs w:val="24"/>
        </w:rPr>
        <w:t>, bem como a responsabilização solidária da pessoa física de todos os administradores constantes do contrato social. Essa medida certamente compeliria as empresas e seus gestores a observarem estritamente a legislação.</w:t>
      </w:r>
    </w:p>
    <w:p w14:paraId="7BC9D40D" w14:textId="2A24E7DB" w:rsidR="00761258" w:rsidRPr="00224A0B" w:rsidRDefault="00761258" w:rsidP="00761258">
      <w:pPr>
        <w:spacing w:line="360" w:lineRule="auto"/>
        <w:ind w:firstLine="851"/>
        <w:jc w:val="both"/>
        <w:rPr>
          <w:rFonts w:ascii="Arial" w:hAnsi="Arial" w:cs="Arial"/>
          <w:sz w:val="24"/>
          <w:szCs w:val="24"/>
        </w:rPr>
      </w:pPr>
      <w:r w:rsidRPr="00224A0B">
        <w:rPr>
          <w:rFonts w:ascii="Arial" w:hAnsi="Arial" w:cs="Arial"/>
          <w:sz w:val="24"/>
          <w:szCs w:val="24"/>
        </w:rPr>
        <w:lastRenderedPageBreak/>
        <w:t xml:space="preserve">Assim, </w:t>
      </w:r>
      <w:r w:rsidRPr="00224A0B">
        <w:rPr>
          <w:rFonts w:ascii="Arial" w:hAnsi="Arial" w:cs="Arial"/>
          <w:b/>
          <w:sz w:val="24"/>
          <w:szCs w:val="24"/>
        </w:rPr>
        <w:t>a fiscalização tributária deve ser permanente para verificar periodicamente, mês a mês, se o contribuinte inscrito em dívida ativa</w:t>
      </w:r>
      <w:r w:rsidR="00224A0B" w:rsidRPr="00224A0B">
        <w:rPr>
          <w:rFonts w:ascii="Arial" w:hAnsi="Arial" w:cs="Arial"/>
          <w:b/>
          <w:sz w:val="24"/>
          <w:szCs w:val="24"/>
        </w:rPr>
        <w:t xml:space="preserve"> </w:t>
      </w:r>
      <w:r w:rsidR="008C40D4">
        <w:rPr>
          <w:rFonts w:ascii="Arial" w:hAnsi="Arial" w:cs="Arial"/>
          <w:b/>
          <w:sz w:val="24"/>
          <w:szCs w:val="24"/>
        </w:rPr>
        <w:t>por débito previdenciário</w:t>
      </w:r>
      <w:r w:rsidRPr="00224A0B">
        <w:rPr>
          <w:rFonts w:ascii="Arial" w:hAnsi="Arial" w:cs="Arial"/>
          <w:b/>
          <w:sz w:val="24"/>
          <w:szCs w:val="24"/>
        </w:rPr>
        <w:t xml:space="preserve"> se aproveitou irregularmente de incentivos fiscais em sua escrituração fiscal digital</w:t>
      </w:r>
      <w:r w:rsidRPr="00224A0B">
        <w:rPr>
          <w:rFonts w:ascii="Arial" w:hAnsi="Arial" w:cs="Arial"/>
          <w:sz w:val="24"/>
          <w:szCs w:val="24"/>
        </w:rPr>
        <w:t xml:space="preserve"> e, constatada essa irregularidade, sejam adotadas as medidas punitivas e executivas pertinentes (autuação fiscal; suspensão do benefício e do contrato com a GOIÁSFOMENTO, no caso dos Programas Fomentar/Produzir; revogação de TARE; inscrição em dívida ativa relativamente ao benefício aproveitado irregularmente; protesto da CDA; ajuizamento de execução fiscal e outras ações judiciais cabíveis etc).</w:t>
      </w:r>
    </w:p>
    <w:p w14:paraId="08D8F8BA" w14:textId="11AE3099" w:rsidR="00761258" w:rsidRDefault="00761258" w:rsidP="00761258">
      <w:pPr>
        <w:spacing w:line="360" w:lineRule="auto"/>
        <w:ind w:firstLine="851"/>
        <w:jc w:val="both"/>
        <w:rPr>
          <w:rFonts w:ascii="Arial" w:hAnsi="Arial" w:cs="Arial"/>
          <w:sz w:val="24"/>
          <w:szCs w:val="24"/>
        </w:rPr>
      </w:pPr>
      <w:r w:rsidRPr="00224A0B">
        <w:rPr>
          <w:rFonts w:ascii="Arial" w:hAnsi="Arial" w:cs="Arial"/>
          <w:sz w:val="24"/>
          <w:szCs w:val="24"/>
        </w:rPr>
        <w:t xml:space="preserve">De todo modo, o que se percebe com absoluta clareza é que </w:t>
      </w:r>
      <w:r w:rsidRPr="00224A0B">
        <w:rPr>
          <w:rFonts w:ascii="Arial" w:hAnsi="Arial" w:cs="Arial"/>
          <w:b/>
          <w:sz w:val="24"/>
          <w:szCs w:val="24"/>
        </w:rPr>
        <w:t>nem</w:t>
      </w:r>
      <w:r w:rsidRPr="00224A0B">
        <w:rPr>
          <w:rFonts w:ascii="Arial" w:hAnsi="Arial" w:cs="Arial"/>
          <w:sz w:val="24"/>
          <w:szCs w:val="24"/>
        </w:rPr>
        <w:t xml:space="preserve"> </w:t>
      </w:r>
      <w:r w:rsidRPr="00224A0B">
        <w:rPr>
          <w:rFonts w:ascii="Arial" w:hAnsi="Arial" w:cs="Arial"/>
          <w:b/>
          <w:sz w:val="24"/>
          <w:szCs w:val="24"/>
        </w:rPr>
        <w:t xml:space="preserve">a Secretaria de Indústria e Comércio nem a de Economia possuem qualquer </w:t>
      </w:r>
      <w:r w:rsidR="00CE58F5">
        <w:rPr>
          <w:rFonts w:ascii="Arial" w:hAnsi="Arial" w:cs="Arial"/>
          <w:b/>
          <w:sz w:val="24"/>
          <w:szCs w:val="24"/>
        </w:rPr>
        <w:t>controle acerca</w:t>
      </w:r>
      <w:r w:rsidRPr="00224A0B">
        <w:rPr>
          <w:rFonts w:ascii="Arial" w:hAnsi="Arial" w:cs="Arial"/>
          <w:b/>
          <w:sz w:val="24"/>
          <w:szCs w:val="24"/>
        </w:rPr>
        <w:t xml:space="preserve"> da regularidade </w:t>
      </w:r>
      <w:r w:rsidR="00CE58F5">
        <w:rPr>
          <w:rFonts w:ascii="Arial" w:hAnsi="Arial" w:cs="Arial"/>
          <w:b/>
          <w:sz w:val="24"/>
          <w:szCs w:val="24"/>
        </w:rPr>
        <w:t>previdenciária</w:t>
      </w:r>
      <w:r w:rsidRPr="00224A0B">
        <w:rPr>
          <w:rFonts w:ascii="Arial" w:hAnsi="Arial" w:cs="Arial"/>
          <w:b/>
          <w:sz w:val="24"/>
          <w:szCs w:val="24"/>
        </w:rPr>
        <w:t xml:space="preserve"> por parte das empresas beneficiárias de incentivos fiscais no Estado de Goiás</w:t>
      </w:r>
      <w:r w:rsidRPr="00224A0B">
        <w:rPr>
          <w:rFonts w:ascii="Arial" w:hAnsi="Arial" w:cs="Arial"/>
          <w:sz w:val="24"/>
          <w:szCs w:val="24"/>
        </w:rPr>
        <w:t>, em relação àquelas que fruem os benefícios dos Programas Fomentar e Produzir e àquelas que fruem créditos outorgados e outras espécies de incentivos fiscais, o q</w:t>
      </w:r>
      <w:r w:rsidR="00224A0B" w:rsidRPr="00224A0B">
        <w:rPr>
          <w:rFonts w:ascii="Arial" w:hAnsi="Arial" w:cs="Arial"/>
          <w:sz w:val="24"/>
          <w:szCs w:val="24"/>
        </w:rPr>
        <w:t>ue revela o completo desprezo à</w:t>
      </w:r>
      <w:r w:rsidRPr="00224A0B">
        <w:rPr>
          <w:rFonts w:ascii="Arial" w:hAnsi="Arial" w:cs="Arial"/>
          <w:sz w:val="24"/>
          <w:szCs w:val="24"/>
        </w:rPr>
        <w:t xml:space="preserve"> norma </w:t>
      </w:r>
      <w:r w:rsidR="00224A0B" w:rsidRPr="00224A0B">
        <w:rPr>
          <w:rFonts w:ascii="Arial" w:hAnsi="Arial" w:cs="Arial"/>
          <w:sz w:val="24"/>
          <w:szCs w:val="24"/>
        </w:rPr>
        <w:t>constitucional supra, o que</w:t>
      </w:r>
      <w:r w:rsidRPr="00224A0B">
        <w:rPr>
          <w:rFonts w:ascii="Arial" w:hAnsi="Arial" w:cs="Arial"/>
          <w:sz w:val="24"/>
          <w:szCs w:val="24"/>
        </w:rPr>
        <w:t xml:space="preserve"> enseja, inclusive, responsabilidade dos agentes públicos omissos, cuja apuração esta CPI apela ao </w:t>
      </w:r>
      <w:r w:rsidRPr="00BE41AD">
        <w:rPr>
          <w:rFonts w:ascii="Arial" w:hAnsi="Arial" w:cs="Arial"/>
          <w:sz w:val="24"/>
          <w:szCs w:val="24"/>
        </w:rPr>
        <w:t>MPE/GO, sobretudo em relação à gestão anterior e, se a omissão continuar persistindo ao longo do presente exercício e dos seguintes, também para atual gestão.</w:t>
      </w:r>
    </w:p>
    <w:p w14:paraId="01BF04EC" w14:textId="77777777" w:rsidR="00F90F2D" w:rsidRDefault="00F90F2D" w:rsidP="00761258">
      <w:pPr>
        <w:spacing w:line="360" w:lineRule="auto"/>
        <w:ind w:firstLine="851"/>
        <w:jc w:val="both"/>
        <w:rPr>
          <w:rFonts w:ascii="Arial" w:hAnsi="Arial" w:cs="Arial"/>
          <w:sz w:val="24"/>
          <w:szCs w:val="24"/>
        </w:rPr>
      </w:pPr>
    </w:p>
    <w:p w14:paraId="628B0837" w14:textId="32B9FC5F" w:rsidR="005D5A82" w:rsidRPr="00BE41AD" w:rsidRDefault="00F90F2D" w:rsidP="00761258">
      <w:pPr>
        <w:spacing w:line="360" w:lineRule="auto"/>
        <w:ind w:firstLine="851"/>
        <w:jc w:val="both"/>
        <w:rPr>
          <w:rFonts w:ascii="Arial" w:hAnsi="Arial" w:cs="Arial"/>
          <w:sz w:val="24"/>
          <w:szCs w:val="24"/>
        </w:rPr>
      </w:pPr>
      <w:r w:rsidRPr="001B356D">
        <w:rPr>
          <w:rFonts w:ascii="Arial" w:hAnsi="Arial" w:cs="Arial"/>
          <w:b/>
          <w:sz w:val="24"/>
          <w:szCs w:val="24"/>
        </w:rPr>
        <w:t>8.</w:t>
      </w:r>
      <w:r>
        <w:rPr>
          <w:rFonts w:ascii="Arial" w:hAnsi="Arial" w:cs="Arial"/>
          <w:b/>
          <w:sz w:val="24"/>
          <w:szCs w:val="24"/>
        </w:rPr>
        <w:t>2</w:t>
      </w:r>
      <w:r w:rsidRPr="001B356D">
        <w:rPr>
          <w:rFonts w:ascii="Arial" w:hAnsi="Arial" w:cs="Arial"/>
          <w:b/>
          <w:sz w:val="24"/>
          <w:szCs w:val="24"/>
        </w:rPr>
        <w:t>.</w:t>
      </w:r>
      <w:r>
        <w:rPr>
          <w:rFonts w:ascii="Arial" w:hAnsi="Arial" w:cs="Arial"/>
          <w:b/>
          <w:sz w:val="24"/>
          <w:szCs w:val="24"/>
        </w:rPr>
        <w:t>4</w:t>
      </w:r>
      <w:r w:rsidRPr="001B356D">
        <w:rPr>
          <w:rFonts w:ascii="Arial" w:hAnsi="Arial" w:cs="Arial"/>
          <w:b/>
          <w:sz w:val="24"/>
          <w:szCs w:val="24"/>
        </w:rPr>
        <w:t>.</w:t>
      </w:r>
      <w:r>
        <w:rPr>
          <w:rFonts w:ascii="Arial" w:hAnsi="Arial" w:cs="Arial"/>
          <w:sz w:val="24"/>
          <w:szCs w:val="24"/>
        </w:rPr>
        <w:t xml:space="preserve"> </w:t>
      </w:r>
      <w:r w:rsidR="005D5A82">
        <w:rPr>
          <w:rFonts w:ascii="Arial" w:hAnsi="Arial" w:cs="Arial"/>
          <w:sz w:val="24"/>
          <w:szCs w:val="24"/>
        </w:rPr>
        <w:t xml:space="preserve">Por fim, em relação ao </w:t>
      </w:r>
      <w:r w:rsidR="005D5A82" w:rsidRPr="00F90F2D">
        <w:rPr>
          <w:rFonts w:ascii="Arial" w:hAnsi="Arial" w:cs="Arial"/>
          <w:b/>
          <w:sz w:val="24"/>
          <w:szCs w:val="24"/>
          <w:u w:val="single"/>
        </w:rPr>
        <w:t>Programa Produzir</w:t>
      </w:r>
      <w:r w:rsidR="005D5A82">
        <w:rPr>
          <w:rFonts w:ascii="Arial" w:hAnsi="Arial" w:cs="Arial"/>
          <w:sz w:val="24"/>
          <w:szCs w:val="24"/>
        </w:rPr>
        <w:t xml:space="preserve">, a própria Secretaria de Estado da Indústria e Comércio informou (Ofício nº 1.531/2019-SIC, fl. 336) que, para celebração de contrato com a GOIÁSFOMENTO, </w:t>
      </w:r>
      <w:r w:rsidR="005D5A82" w:rsidRPr="00652B14">
        <w:rPr>
          <w:rFonts w:ascii="Arial" w:hAnsi="Arial" w:cs="Arial"/>
          <w:b/>
          <w:sz w:val="24"/>
          <w:szCs w:val="24"/>
        </w:rPr>
        <w:t>exige-se como parte da documentação necessária a certidão de regularidade em relação ao FGTS e demais débitos federais</w:t>
      </w:r>
      <w:r w:rsidR="00652B14" w:rsidRPr="00652B14">
        <w:rPr>
          <w:rFonts w:ascii="Arial" w:hAnsi="Arial" w:cs="Arial"/>
          <w:b/>
          <w:sz w:val="24"/>
          <w:szCs w:val="24"/>
        </w:rPr>
        <w:t xml:space="preserve"> (Decreto nº 5.265/2000, art. 22, § 1º, II)</w:t>
      </w:r>
      <w:r w:rsidR="005D5A82">
        <w:rPr>
          <w:rFonts w:ascii="Arial" w:hAnsi="Arial" w:cs="Arial"/>
          <w:sz w:val="24"/>
          <w:szCs w:val="24"/>
        </w:rPr>
        <w:t>, além de frisar que, “sem a documentação completa, não há benefício”.</w:t>
      </w:r>
      <w:r w:rsidR="0033368C">
        <w:rPr>
          <w:rFonts w:ascii="Arial" w:hAnsi="Arial" w:cs="Arial"/>
          <w:sz w:val="24"/>
          <w:szCs w:val="24"/>
        </w:rPr>
        <w:t xml:space="preserve"> </w:t>
      </w:r>
      <w:r w:rsidR="0033368C" w:rsidRPr="00652B14">
        <w:rPr>
          <w:rFonts w:ascii="Arial" w:hAnsi="Arial" w:cs="Arial"/>
          <w:sz w:val="24"/>
          <w:szCs w:val="24"/>
          <w:u w:val="single"/>
        </w:rPr>
        <w:t>Porém</w:t>
      </w:r>
      <w:r w:rsidR="0033368C" w:rsidRPr="00652B14">
        <w:rPr>
          <w:rFonts w:ascii="Arial" w:hAnsi="Arial" w:cs="Arial"/>
          <w:sz w:val="24"/>
          <w:szCs w:val="24"/>
        </w:rPr>
        <w:t>, consoante se observa da relação de empresas constantes do item 8.2.2 (que deve ser muito maior na realidade</w:t>
      </w:r>
      <w:r>
        <w:rPr>
          <w:rFonts w:ascii="Arial" w:hAnsi="Arial" w:cs="Arial"/>
          <w:sz w:val="24"/>
          <w:szCs w:val="24"/>
        </w:rPr>
        <w:t>, se for aprofundado em auditoria</w:t>
      </w:r>
      <w:r w:rsidR="0033368C" w:rsidRPr="00652B14">
        <w:rPr>
          <w:rFonts w:ascii="Arial" w:hAnsi="Arial" w:cs="Arial"/>
          <w:sz w:val="24"/>
          <w:szCs w:val="24"/>
        </w:rPr>
        <w:t>) verifica-se que se alguma conferência existe desses requisitos isso se dá apenas n</w:t>
      </w:r>
      <w:r>
        <w:rPr>
          <w:rFonts w:ascii="Arial" w:hAnsi="Arial" w:cs="Arial"/>
          <w:sz w:val="24"/>
          <w:szCs w:val="24"/>
        </w:rPr>
        <w:t>o momento da</w:t>
      </w:r>
      <w:r w:rsidR="0033368C" w:rsidRPr="00652B14">
        <w:rPr>
          <w:rFonts w:ascii="Arial" w:hAnsi="Arial" w:cs="Arial"/>
          <w:sz w:val="24"/>
          <w:szCs w:val="24"/>
        </w:rPr>
        <w:t xml:space="preserve"> celebração do contrato</w:t>
      </w:r>
      <w:r w:rsidR="0033368C">
        <w:rPr>
          <w:rFonts w:ascii="Arial" w:hAnsi="Arial" w:cs="Arial"/>
          <w:sz w:val="24"/>
          <w:szCs w:val="24"/>
        </w:rPr>
        <w:t xml:space="preserve">, mas </w:t>
      </w:r>
      <w:r w:rsidR="0033368C" w:rsidRPr="00652B14">
        <w:rPr>
          <w:rFonts w:ascii="Arial" w:hAnsi="Arial" w:cs="Arial"/>
          <w:sz w:val="24"/>
          <w:szCs w:val="24"/>
          <w:u w:val="single"/>
        </w:rPr>
        <w:t>sem um acompanhamento efetivo por parte dos órgãos que operacionalizam o programa</w:t>
      </w:r>
      <w:r w:rsidR="0033368C">
        <w:rPr>
          <w:rFonts w:ascii="Arial" w:hAnsi="Arial" w:cs="Arial"/>
          <w:sz w:val="24"/>
          <w:szCs w:val="24"/>
        </w:rPr>
        <w:t>.</w:t>
      </w:r>
    </w:p>
    <w:p w14:paraId="720121C3" w14:textId="77777777" w:rsidR="00F90F2D" w:rsidRDefault="00F90F2D" w:rsidP="00761258">
      <w:pPr>
        <w:spacing w:line="360" w:lineRule="auto"/>
        <w:ind w:firstLine="851"/>
        <w:jc w:val="both"/>
        <w:rPr>
          <w:rFonts w:ascii="Arial" w:hAnsi="Arial" w:cs="Arial"/>
          <w:sz w:val="24"/>
          <w:szCs w:val="24"/>
        </w:rPr>
      </w:pPr>
    </w:p>
    <w:p w14:paraId="06CAB0BF" w14:textId="7498178D" w:rsidR="00761258" w:rsidRDefault="00F90F2D" w:rsidP="00761258">
      <w:pPr>
        <w:spacing w:line="360" w:lineRule="auto"/>
        <w:ind w:firstLine="851"/>
        <w:jc w:val="both"/>
        <w:rPr>
          <w:rFonts w:ascii="Arial" w:hAnsi="Arial" w:cs="Arial"/>
          <w:sz w:val="24"/>
          <w:szCs w:val="24"/>
        </w:rPr>
      </w:pPr>
      <w:r w:rsidRPr="001B356D">
        <w:rPr>
          <w:rFonts w:ascii="Arial" w:hAnsi="Arial" w:cs="Arial"/>
          <w:b/>
          <w:sz w:val="24"/>
          <w:szCs w:val="24"/>
        </w:rPr>
        <w:lastRenderedPageBreak/>
        <w:t>8.</w:t>
      </w:r>
      <w:r>
        <w:rPr>
          <w:rFonts w:ascii="Arial" w:hAnsi="Arial" w:cs="Arial"/>
          <w:b/>
          <w:sz w:val="24"/>
          <w:szCs w:val="24"/>
        </w:rPr>
        <w:t>2</w:t>
      </w:r>
      <w:r w:rsidRPr="001B356D">
        <w:rPr>
          <w:rFonts w:ascii="Arial" w:hAnsi="Arial" w:cs="Arial"/>
          <w:b/>
          <w:sz w:val="24"/>
          <w:szCs w:val="24"/>
        </w:rPr>
        <w:t>.</w:t>
      </w:r>
      <w:r>
        <w:rPr>
          <w:rFonts w:ascii="Arial" w:hAnsi="Arial" w:cs="Arial"/>
          <w:b/>
          <w:sz w:val="24"/>
          <w:szCs w:val="24"/>
        </w:rPr>
        <w:t>5</w:t>
      </w:r>
      <w:r w:rsidRPr="001B356D">
        <w:rPr>
          <w:rFonts w:ascii="Arial" w:hAnsi="Arial" w:cs="Arial"/>
          <w:b/>
          <w:sz w:val="24"/>
          <w:szCs w:val="24"/>
        </w:rPr>
        <w:t>.</w:t>
      </w:r>
      <w:r>
        <w:rPr>
          <w:rFonts w:ascii="Arial" w:hAnsi="Arial" w:cs="Arial"/>
          <w:sz w:val="24"/>
          <w:szCs w:val="24"/>
        </w:rPr>
        <w:t xml:space="preserve"> </w:t>
      </w:r>
      <w:r w:rsidR="00761258" w:rsidRPr="00BE41AD">
        <w:rPr>
          <w:rFonts w:ascii="Arial" w:hAnsi="Arial" w:cs="Arial"/>
          <w:sz w:val="24"/>
          <w:szCs w:val="24"/>
        </w:rPr>
        <w:t xml:space="preserve">Portanto, esta CPI </w:t>
      </w:r>
      <w:r w:rsidR="00761258" w:rsidRPr="00BE41AD">
        <w:rPr>
          <w:rFonts w:ascii="Arial" w:hAnsi="Arial" w:cs="Arial"/>
          <w:b/>
          <w:sz w:val="24"/>
          <w:szCs w:val="24"/>
          <w:u w:val="single"/>
        </w:rPr>
        <w:t>apela fortemente</w:t>
      </w:r>
      <w:r w:rsidR="00761258" w:rsidRPr="00BE41AD">
        <w:rPr>
          <w:rFonts w:ascii="Arial" w:hAnsi="Arial" w:cs="Arial"/>
          <w:b/>
          <w:sz w:val="24"/>
          <w:szCs w:val="24"/>
        </w:rPr>
        <w:t xml:space="preserve"> aos atuais Secretários</w:t>
      </w:r>
      <w:r w:rsidR="00761258" w:rsidRPr="00BE41AD">
        <w:rPr>
          <w:rFonts w:ascii="Arial" w:hAnsi="Arial" w:cs="Arial"/>
          <w:sz w:val="24"/>
          <w:szCs w:val="24"/>
        </w:rPr>
        <w:t xml:space="preserve"> de Estado da Indústria e Comércio e da Economia, </w:t>
      </w:r>
      <w:r w:rsidR="00761258" w:rsidRPr="00BE41AD">
        <w:rPr>
          <w:rFonts w:ascii="Arial" w:hAnsi="Arial" w:cs="Arial"/>
          <w:b/>
          <w:sz w:val="24"/>
          <w:szCs w:val="24"/>
        </w:rPr>
        <w:t>e demais órgãos e agentes públicos</w:t>
      </w:r>
      <w:r w:rsidR="00761258" w:rsidRPr="00BE41AD">
        <w:rPr>
          <w:rFonts w:ascii="Arial" w:hAnsi="Arial" w:cs="Arial"/>
          <w:sz w:val="24"/>
          <w:szCs w:val="24"/>
        </w:rPr>
        <w:t xml:space="preserve"> responsáveis pela operacionalização e acompanhamento dos requisitos de fruição dos incentivos fiscais, sob pena de responsabilidade a ser apurada pelo MPE/GO e demais órgãos de controle, </w:t>
      </w:r>
      <w:r w:rsidR="00761258" w:rsidRPr="00BE41AD">
        <w:rPr>
          <w:rFonts w:ascii="Arial" w:hAnsi="Arial" w:cs="Arial"/>
          <w:b/>
          <w:sz w:val="24"/>
          <w:szCs w:val="24"/>
        </w:rPr>
        <w:t>pa</w:t>
      </w:r>
      <w:r w:rsidR="00761258" w:rsidRPr="00AC1BA2">
        <w:rPr>
          <w:rFonts w:ascii="Arial" w:hAnsi="Arial" w:cs="Arial"/>
          <w:b/>
          <w:sz w:val="24"/>
          <w:szCs w:val="24"/>
        </w:rPr>
        <w:t>ra que</w:t>
      </w:r>
      <w:r w:rsidR="00761258" w:rsidRPr="00AC1BA2">
        <w:rPr>
          <w:rFonts w:ascii="Arial" w:hAnsi="Arial" w:cs="Arial"/>
          <w:sz w:val="24"/>
          <w:szCs w:val="24"/>
        </w:rPr>
        <w:t>:</w:t>
      </w:r>
    </w:p>
    <w:p w14:paraId="28EB3334" w14:textId="1CE290A3" w:rsidR="00761258" w:rsidRPr="00AC1BA2" w:rsidRDefault="00761258" w:rsidP="00502615">
      <w:pPr>
        <w:pStyle w:val="PargrafodaLista"/>
        <w:numPr>
          <w:ilvl w:val="0"/>
          <w:numId w:val="30"/>
        </w:numPr>
        <w:spacing w:line="360" w:lineRule="auto"/>
        <w:jc w:val="both"/>
        <w:rPr>
          <w:rFonts w:ascii="Arial" w:hAnsi="Arial" w:cs="Arial"/>
          <w:sz w:val="24"/>
          <w:szCs w:val="24"/>
        </w:rPr>
      </w:pPr>
      <w:r w:rsidRPr="00AC1BA2">
        <w:rPr>
          <w:rFonts w:ascii="Arial" w:hAnsi="Arial" w:cs="Arial"/>
          <w:b/>
          <w:sz w:val="24"/>
          <w:szCs w:val="24"/>
        </w:rPr>
        <w:t xml:space="preserve">procedam a amplo levantamento de TODAS as empresas que fruíram incentivos fiscais no Estado de Goiás </w:t>
      </w:r>
      <w:r w:rsidR="00B8224F" w:rsidRPr="00AC1BA2">
        <w:rPr>
          <w:rFonts w:ascii="Arial" w:hAnsi="Arial" w:cs="Arial"/>
          <w:b/>
          <w:sz w:val="24"/>
          <w:szCs w:val="24"/>
        </w:rPr>
        <w:t>ou que alienaram os respectivos créditos</w:t>
      </w:r>
      <w:r w:rsidR="00F550C4" w:rsidRPr="00AC1BA2">
        <w:rPr>
          <w:rFonts w:ascii="Arial" w:hAnsi="Arial" w:cs="Arial"/>
          <w:b/>
          <w:sz w:val="24"/>
          <w:szCs w:val="24"/>
        </w:rPr>
        <w:t xml:space="preserve"> outorgados</w:t>
      </w:r>
      <w:r w:rsidR="00B8224F" w:rsidRPr="00AC1BA2">
        <w:rPr>
          <w:rFonts w:ascii="Arial" w:hAnsi="Arial" w:cs="Arial"/>
          <w:b/>
          <w:sz w:val="24"/>
          <w:szCs w:val="24"/>
        </w:rPr>
        <w:t xml:space="preserve"> </w:t>
      </w:r>
      <w:r w:rsidR="008959C5" w:rsidRPr="00AC1BA2">
        <w:rPr>
          <w:rFonts w:ascii="Arial" w:hAnsi="Arial" w:cs="Arial"/>
          <w:b/>
          <w:sz w:val="24"/>
          <w:szCs w:val="24"/>
        </w:rPr>
        <w:t xml:space="preserve">a partir de </w:t>
      </w:r>
      <w:r w:rsidRPr="00AC1BA2">
        <w:rPr>
          <w:rFonts w:ascii="Arial" w:hAnsi="Arial" w:cs="Arial"/>
          <w:b/>
          <w:sz w:val="24"/>
          <w:szCs w:val="24"/>
        </w:rPr>
        <w:t>2014, inclusive</w:t>
      </w:r>
      <w:r w:rsidRPr="00AC1BA2">
        <w:rPr>
          <w:rFonts w:ascii="Arial" w:hAnsi="Arial" w:cs="Arial"/>
          <w:sz w:val="24"/>
          <w:szCs w:val="24"/>
        </w:rPr>
        <w:t>,</w:t>
      </w:r>
      <w:r w:rsidR="00982599" w:rsidRPr="00AC1BA2">
        <w:rPr>
          <w:rFonts w:ascii="Arial" w:hAnsi="Arial" w:cs="Arial"/>
          <w:sz w:val="24"/>
          <w:szCs w:val="24"/>
        </w:rPr>
        <w:t xml:space="preserve"> </w:t>
      </w:r>
      <w:r w:rsidRPr="00AC1BA2">
        <w:rPr>
          <w:rFonts w:ascii="Arial" w:hAnsi="Arial" w:cs="Arial"/>
          <w:sz w:val="24"/>
          <w:szCs w:val="24"/>
        </w:rPr>
        <w:t>a fim de identificar aquelas que tiveram inscrição em dívida ativa</w:t>
      </w:r>
      <w:r w:rsidR="00BE41AD" w:rsidRPr="00AC1BA2">
        <w:rPr>
          <w:rFonts w:ascii="Arial" w:hAnsi="Arial" w:cs="Arial"/>
          <w:sz w:val="24"/>
          <w:szCs w:val="24"/>
        </w:rPr>
        <w:t xml:space="preserve"> federal relativamente a débito previdenciário</w:t>
      </w:r>
      <w:r w:rsidR="00F550C4" w:rsidRPr="00AC1BA2">
        <w:rPr>
          <w:rFonts w:ascii="Arial" w:hAnsi="Arial" w:cs="Arial"/>
          <w:sz w:val="24"/>
          <w:szCs w:val="24"/>
        </w:rPr>
        <w:t xml:space="preserve"> no período</w:t>
      </w:r>
      <w:r w:rsidRPr="00AC1BA2">
        <w:rPr>
          <w:rFonts w:ascii="Arial" w:hAnsi="Arial" w:cs="Arial"/>
          <w:sz w:val="24"/>
          <w:szCs w:val="24"/>
        </w:rPr>
        <w:t xml:space="preserve"> e:</w:t>
      </w:r>
    </w:p>
    <w:p w14:paraId="621824FC" w14:textId="48AFB7DA" w:rsidR="00761258" w:rsidRPr="00AC1BA2" w:rsidRDefault="00761258" w:rsidP="00761258">
      <w:pPr>
        <w:pStyle w:val="PargrafodaLista"/>
        <w:spacing w:line="360" w:lineRule="auto"/>
        <w:ind w:left="1211"/>
        <w:jc w:val="both"/>
        <w:rPr>
          <w:rFonts w:ascii="Arial" w:hAnsi="Arial" w:cs="Arial"/>
          <w:sz w:val="24"/>
          <w:szCs w:val="24"/>
        </w:rPr>
      </w:pPr>
      <w:r w:rsidRPr="00AC1BA2">
        <w:rPr>
          <w:rFonts w:ascii="Arial" w:hAnsi="Arial" w:cs="Arial"/>
          <w:sz w:val="24"/>
          <w:szCs w:val="24"/>
          <w:u w:val="single"/>
        </w:rPr>
        <w:t>a.1) identificado o aproveitamento irregular do benefício</w:t>
      </w:r>
      <w:r w:rsidR="008959C5" w:rsidRPr="00AC1BA2">
        <w:rPr>
          <w:rFonts w:ascii="Arial" w:hAnsi="Arial" w:cs="Arial"/>
          <w:sz w:val="24"/>
          <w:szCs w:val="24"/>
          <w:u w:val="single"/>
        </w:rPr>
        <w:t xml:space="preserve"> ou sua alienação</w:t>
      </w:r>
      <w:r w:rsidRPr="00AC1BA2">
        <w:rPr>
          <w:rFonts w:ascii="Arial" w:hAnsi="Arial" w:cs="Arial"/>
          <w:sz w:val="24"/>
          <w:szCs w:val="24"/>
          <w:u w:val="single"/>
        </w:rPr>
        <w:t>,</w:t>
      </w:r>
      <w:r w:rsidR="00BE41AD" w:rsidRPr="00AC1BA2">
        <w:rPr>
          <w:rFonts w:ascii="Arial" w:hAnsi="Arial" w:cs="Arial"/>
          <w:sz w:val="24"/>
          <w:szCs w:val="24"/>
          <w:u w:val="single"/>
        </w:rPr>
        <w:t xml:space="preserve"> </w:t>
      </w:r>
      <w:r w:rsidR="0066297E" w:rsidRPr="00AC1BA2">
        <w:rPr>
          <w:rFonts w:ascii="Arial" w:hAnsi="Arial" w:cs="Arial"/>
          <w:sz w:val="24"/>
          <w:szCs w:val="24"/>
          <w:u w:val="single"/>
        </w:rPr>
        <w:t>com infringência ao disposto</w:t>
      </w:r>
      <w:r w:rsidR="00BE41AD" w:rsidRPr="00AC1BA2">
        <w:rPr>
          <w:rFonts w:ascii="Arial" w:hAnsi="Arial" w:cs="Arial"/>
          <w:sz w:val="24"/>
          <w:szCs w:val="24"/>
          <w:u w:val="single"/>
        </w:rPr>
        <w:t xml:space="preserve"> </w:t>
      </w:r>
      <w:r w:rsidR="0066297E" w:rsidRPr="00AC1BA2">
        <w:rPr>
          <w:rFonts w:ascii="Arial" w:hAnsi="Arial" w:cs="Arial"/>
          <w:sz w:val="24"/>
          <w:szCs w:val="24"/>
          <w:u w:val="single"/>
        </w:rPr>
        <w:t>n</w:t>
      </w:r>
      <w:r w:rsidR="00BE41AD" w:rsidRPr="00AC1BA2">
        <w:rPr>
          <w:rFonts w:ascii="Arial" w:hAnsi="Arial" w:cs="Arial"/>
          <w:sz w:val="24"/>
          <w:szCs w:val="24"/>
          <w:u w:val="single"/>
        </w:rPr>
        <w:t>o § 3</w:t>
      </w:r>
      <w:r w:rsidRPr="00AC1BA2">
        <w:rPr>
          <w:rFonts w:ascii="Arial" w:hAnsi="Arial" w:cs="Arial"/>
          <w:sz w:val="24"/>
          <w:szCs w:val="24"/>
          <w:u w:val="single"/>
        </w:rPr>
        <w:t>º do art. 1</w:t>
      </w:r>
      <w:r w:rsidR="00BE41AD" w:rsidRPr="00AC1BA2">
        <w:rPr>
          <w:rFonts w:ascii="Arial" w:hAnsi="Arial" w:cs="Arial"/>
          <w:sz w:val="24"/>
          <w:szCs w:val="24"/>
          <w:u w:val="single"/>
        </w:rPr>
        <w:t>95</w:t>
      </w:r>
      <w:r w:rsidRPr="00AC1BA2">
        <w:rPr>
          <w:rFonts w:ascii="Arial" w:hAnsi="Arial" w:cs="Arial"/>
          <w:sz w:val="24"/>
          <w:szCs w:val="24"/>
          <w:u w:val="single"/>
        </w:rPr>
        <w:t xml:space="preserve"> d</w:t>
      </w:r>
      <w:r w:rsidR="00BE41AD" w:rsidRPr="00AC1BA2">
        <w:rPr>
          <w:rFonts w:ascii="Arial" w:hAnsi="Arial" w:cs="Arial"/>
          <w:sz w:val="24"/>
          <w:szCs w:val="24"/>
          <w:u w:val="single"/>
        </w:rPr>
        <w:t>a CRFB</w:t>
      </w:r>
      <w:r w:rsidRPr="00AC1BA2">
        <w:rPr>
          <w:rFonts w:ascii="Arial" w:hAnsi="Arial" w:cs="Arial"/>
          <w:sz w:val="24"/>
          <w:szCs w:val="24"/>
        </w:rPr>
        <w:t xml:space="preserve">, sejam adotadas as providências que o caso requerer (autuação fiscal; suspensão do benefício e do contrato com a GOIÁSFOMENTO, no caso dos Programas </w:t>
      </w:r>
      <w:r w:rsidR="00AD7B1C" w:rsidRPr="00AC1BA2">
        <w:rPr>
          <w:rFonts w:ascii="Arial" w:hAnsi="Arial" w:cs="Arial"/>
          <w:sz w:val="24"/>
          <w:szCs w:val="24"/>
        </w:rPr>
        <w:t>FOMENTAR</w:t>
      </w:r>
      <w:r w:rsidR="00AD7B1C">
        <w:rPr>
          <w:rFonts w:ascii="Arial" w:hAnsi="Arial" w:cs="Arial"/>
          <w:sz w:val="24"/>
          <w:szCs w:val="24"/>
        </w:rPr>
        <w:t xml:space="preserve"> e </w:t>
      </w:r>
      <w:r w:rsidR="00AD7B1C" w:rsidRPr="00AC1BA2">
        <w:rPr>
          <w:rFonts w:ascii="Arial" w:hAnsi="Arial" w:cs="Arial"/>
          <w:sz w:val="24"/>
          <w:szCs w:val="24"/>
        </w:rPr>
        <w:t>PRODUZIR</w:t>
      </w:r>
      <w:r w:rsidRPr="00AC1BA2">
        <w:rPr>
          <w:rFonts w:ascii="Arial" w:hAnsi="Arial" w:cs="Arial"/>
          <w:sz w:val="24"/>
          <w:szCs w:val="24"/>
        </w:rPr>
        <w:t>; revogação de TARE; inscrição em dívida ativa relativamente ao benefício aproveitado irregularmente; protesto da CDA; ajuizamento de execução fiscal e outras ações judiciais cabíveis etc);</w:t>
      </w:r>
    </w:p>
    <w:p w14:paraId="534FC23E" w14:textId="1F8214C4" w:rsidR="00761258" w:rsidRPr="00AC1BA2" w:rsidRDefault="00761258" w:rsidP="00761258">
      <w:pPr>
        <w:pStyle w:val="PargrafodaLista"/>
        <w:spacing w:line="360" w:lineRule="auto"/>
        <w:ind w:left="1211"/>
        <w:jc w:val="both"/>
        <w:rPr>
          <w:rFonts w:ascii="Arial" w:hAnsi="Arial" w:cs="Arial"/>
          <w:sz w:val="24"/>
          <w:szCs w:val="24"/>
        </w:rPr>
      </w:pPr>
      <w:r w:rsidRPr="00AC1BA2">
        <w:rPr>
          <w:rFonts w:ascii="Arial" w:hAnsi="Arial" w:cs="Arial"/>
          <w:sz w:val="24"/>
          <w:szCs w:val="24"/>
          <w:u w:val="single"/>
        </w:rPr>
        <w:t>a.2) as providências relacionadas no item “a.1”, retro</w:t>
      </w:r>
      <w:r w:rsidRPr="00AC1BA2">
        <w:rPr>
          <w:rFonts w:ascii="Arial" w:hAnsi="Arial" w:cs="Arial"/>
          <w:sz w:val="24"/>
          <w:szCs w:val="24"/>
        </w:rPr>
        <w:t>, sejam executadas primeiramente em relação às empresas com grande indício de irregularidade já apontad</w:t>
      </w:r>
      <w:r w:rsidR="00653048">
        <w:rPr>
          <w:rFonts w:ascii="Arial" w:hAnsi="Arial" w:cs="Arial"/>
          <w:sz w:val="24"/>
          <w:szCs w:val="24"/>
        </w:rPr>
        <w:t>as</w:t>
      </w:r>
      <w:r w:rsidRPr="00AC1BA2">
        <w:rPr>
          <w:rFonts w:ascii="Arial" w:hAnsi="Arial" w:cs="Arial"/>
          <w:sz w:val="24"/>
          <w:szCs w:val="24"/>
        </w:rPr>
        <w:t xml:space="preserve"> neste relatório</w:t>
      </w:r>
      <w:r w:rsidR="009A549B">
        <w:rPr>
          <w:rFonts w:ascii="Arial" w:hAnsi="Arial" w:cs="Arial"/>
          <w:sz w:val="24"/>
          <w:szCs w:val="24"/>
        </w:rPr>
        <w:t xml:space="preserve"> (item 8.2.2 e JBS S/A)</w:t>
      </w:r>
      <w:r w:rsidRPr="00AC1BA2">
        <w:rPr>
          <w:rFonts w:ascii="Arial" w:hAnsi="Arial" w:cs="Arial"/>
          <w:sz w:val="24"/>
          <w:szCs w:val="24"/>
        </w:rPr>
        <w:t>;</w:t>
      </w:r>
    </w:p>
    <w:p w14:paraId="35DBB78A" w14:textId="77777777" w:rsidR="00761258" w:rsidRPr="00AC1BA2" w:rsidRDefault="00761258" w:rsidP="00761258">
      <w:pPr>
        <w:pStyle w:val="PargrafodaLista"/>
        <w:spacing w:line="360" w:lineRule="auto"/>
        <w:ind w:left="1211"/>
        <w:jc w:val="both"/>
        <w:rPr>
          <w:rFonts w:ascii="Arial" w:hAnsi="Arial" w:cs="Arial"/>
          <w:sz w:val="24"/>
          <w:szCs w:val="24"/>
        </w:rPr>
      </w:pPr>
      <w:r w:rsidRPr="00AC1BA2">
        <w:rPr>
          <w:rFonts w:ascii="Arial" w:hAnsi="Arial" w:cs="Arial"/>
          <w:sz w:val="24"/>
          <w:szCs w:val="24"/>
          <w:u w:val="single"/>
        </w:rPr>
        <w:t>a.3) encaminhe ao MPE/GO e à CGE/GO relatório</w:t>
      </w:r>
      <w:r w:rsidRPr="00AC1BA2">
        <w:rPr>
          <w:rFonts w:ascii="Arial" w:hAnsi="Arial" w:cs="Arial"/>
          <w:sz w:val="24"/>
          <w:szCs w:val="24"/>
        </w:rPr>
        <w:t xml:space="preserve"> sobre as providências adotadas em relação ao recomendado nos itens “a.1” e “a.2”, supra;</w:t>
      </w:r>
    </w:p>
    <w:p w14:paraId="6F77713A" w14:textId="36AD0CEE" w:rsidR="00784949" w:rsidRPr="00AC1BA2" w:rsidRDefault="00784949" w:rsidP="00502615">
      <w:pPr>
        <w:pStyle w:val="PargrafodaLista"/>
        <w:numPr>
          <w:ilvl w:val="0"/>
          <w:numId w:val="30"/>
        </w:numPr>
        <w:spacing w:line="360" w:lineRule="auto"/>
        <w:jc w:val="both"/>
        <w:rPr>
          <w:rFonts w:ascii="Arial" w:hAnsi="Arial" w:cs="Arial"/>
          <w:sz w:val="24"/>
          <w:szCs w:val="24"/>
        </w:rPr>
      </w:pPr>
      <w:r w:rsidRPr="00AC1BA2">
        <w:rPr>
          <w:rFonts w:ascii="Arial" w:hAnsi="Arial" w:cs="Arial"/>
          <w:b/>
          <w:sz w:val="24"/>
          <w:szCs w:val="24"/>
        </w:rPr>
        <w:t>a Secretaria de Estado da Economia formalize convênio com a PGFN</w:t>
      </w:r>
      <w:r w:rsidRPr="00AC1BA2">
        <w:rPr>
          <w:rFonts w:ascii="Arial" w:hAnsi="Arial" w:cs="Arial"/>
          <w:sz w:val="24"/>
          <w:szCs w:val="24"/>
        </w:rPr>
        <w:t xml:space="preserve">, com espeque no art. 199, </w:t>
      </w:r>
      <w:r w:rsidRPr="00AC1BA2">
        <w:rPr>
          <w:rFonts w:ascii="Arial" w:hAnsi="Arial" w:cs="Arial"/>
          <w:i/>
          <w:sz w:val="24"/>
          <w:szCs w:val="24"/>
        </w:rPr>
        <w:t>caput</w:t>
      </w:r>
      <w:r w:rsidRPr="00AC1BA2">
        <w:rPr>
          <w:rFonts w:ascii="Arial" w:hAnsi="Arial" w:cs="Arial"/>
          <w:sz w:val="24"/>
          <w:szCs w:val="24"/>
        </w:rPr>
        <w:t>, do CTN</w:t>
      </w:r>
      <w:r w:rsidRPr="00AC1BA2">
        <w:rPr>
          <w:rStyle w:val="Refdenotaderodap"/>
          <w:rFonts w:ascii="Arial" w:hAnsi="Arial" w:cs="Arial"/>
          <w:sz w:val="24"/>
          <w:szCs w:val="24"/>
        </w:rPr>
        <w:footnoteReference w:id="96"/>
      </w:r>
      <w:r w:rsidRPr="00AC1BA2">
        <w:rPr>
          <w:rFonts w:ascii="Arial" w:hAnsi="Arial" w:cs="Arial"/>
          <w:sz w:val="24"/>
          <w:szCs w:val="24"/>
        </w:rPr>
        <w:t xml:space="preserve">, a fim de que </w:t>
      </w:r>
      <w:r w:rsidR="004D40FF" w:rsidRPr="00AC1BA2">
        <w:rPr>
          <w:rFonts w:ascii="Arial" w:hAnsi="Arial" w:cs="Arial"/>
          <w:sz w:val="24"/>
          <w:szCs w:val="24"/>
        </w:rPr>
        <w:t>o Estado de Goiás tenha</w:t>
      </w:r>
      <w:r w:rsidRPr="00AC1BA2">
        <w:rPr>
          <w:rFonts w:ascii="Arial" w:hAnsi="Arial" w:cs="Arial"/>
          <w:sz w:val="24"/>
          <w:szCs w:val="24"/>
        </w:rPr>
        <w:t xml:space="preserve"> </w:t>
      </w:r>
      <w:r w:rsidR="004D40FF" w:rsidRPr="00AC1BA2">
        <w:rPr>
          <w:rFonts w:ascii="Arial" w:hAnsi="Arial" w:cs="Arial"/>
          <w:sz w:val="24"/>
          <w:szCs w:val="24"/>
        </w:rPr>
        <w:t>acesso imediato à situação fiscal das empresas beneficiárias dos Programas Fomentar/Produzir e de créditos outorgados, no tocante a dívidas de natureza</w:t>
      </w:r>
      <w:r w:rsidRPr="00AC1BA2">
        <w:rPr>
          <w:rFonts w:ascii="Arial" w:hAnsi="Arial" w:cs="Arial"/>
          <w:sz w:val="24"/>
          <w:szCs w:val="24"/>
        </w:rPr>
        <w:t xml:space="preserve"> previdenciária</w:t>
      </w:r>
      <w:r w:rsidR="00926263" w:rsidRPr="00AC1BA2">
        <w:rPr>
          <w:rFonts w:ascii="Arial" w:hAnsi="Arial" w:cs="Arial"/>
          <w:sz w:val="24"/>
          <w:szCs w:val="24"/>
        </w:rPr>
        <w:t xml:space="preserve">, </w:t>
      </w:r>
      <w:r w:rsidR="00926263" w:rsidRPr="00AC1BA2">
        <w:rPr>
          <w:rFonts w:ascii="Arial" w:hAnsi="Arial" w:cs="Arial"/>
          <w:sz w:val="24"/>
          <w:szCs w:val="24"/>
          <w:u w:val="single"/>
        </w:rPr>
        <w:t>ou passe a exigir a apresentação mensal de certidão negativa dessa natureza</w:t>
      </w:r>
      <w:r w:rsidR="00926263" w:rsidRPr="00AC1BA2">
        <w:rPr>
          <w:rFonts w:ascii="Arial" w:hAnsi="Arial" w:cs="Arial"/>
          <w:sz w:val="24"/>
          <w:szCs w:val="24"/>
        </w:rPr>
        <w:t>, de modo a conhecer as pessoas jurídicas que a cada mês fruem irregularmente o benefício fiscal em razão do descumprimento desse requisito</w:t>
      </w:r>
      <w:r w:rsidR="0012736F">
        <w:rPr>
          <w:rFonts w:ascii="Arial" w:hAnsi="Arial" w:cs="Arial"/>
          <w:sz w:val="24"/>
          <w:szCs w:val="24"/>
        </w:rPr>
        <w:t xml:space="preserve">, </w:t>
      </w:r>
      <w:r w:rsidR="0012736F" w:rsidRPr="0012736F">
        <w:rPr>
          <w:rFonts w:ascii="Arial" w:hAnsi="Arial" w:cs="Arial"/>
          <w:sz w:val="24"/>
          <w:szCs w:val="24"/>
          <w:u w:val="single"/>
        </w:rPr>
        <w:t xml:space="preserve">e compartilhamento dessas informações </w:t>
      </w:r>
      <w:r w:rsidR="0012736F" w:rsidRPr="0012736F">
        <w:rPr>
          <w:rFonts w:ascii="Arial" w:hAnsi="Arial" w:cs="Arial"/>
          <w:sz w:val="24"/>
          <w:szCs w:val="24"/>
          <w:u w:val="single"/>
        </w:rPr>
        <w:lastRenderedPageBreak/>
        <w:t>aos demais órgãos e agentes envolvidos na operacionalização dos incentivos fiscais</w:t>
      </w:r>
      <w:r w:rsidR="00926263" w:rsidRPr="00AC1BA2">
        <w:rPr>
          <w:rFonts w:ascii="Arial" w:hAnsi="Arial" w:cs="Arial"/>
          <w:sz w:val="24"/>
          <w:szCs w:val="24"/>
        </w:rPr>
        <w:t>;</w:t>
      </w:r>
    </w:p>
    <w:p w14:paraId="491CFC01" w14:textId="60B5100F" w:rsidR="00761258" w:rsidRDefault="00761258" w:rsidP="00502615">
      <w:pPr>
        <w:pStyle w:val="PargrafodaLista"/>
        <w:numPr>
          <w:ilvl w:val="0"/>
          <w:numId w:val="30"/>
        </w:numPr>
        <w:spacing w:line="360" w:lineRule="auto"/>
        <w:jc w:val="both"/>
        <w:rPr>
          <w:rFonts w:ascii="Arial" w:hAnsi="Arial" w:cs="Arial"/>
          <w:sz w:val="24"/>
          <w:szCs w:val="24"/>
        </w:rPr>
      </w:pPr>
      <w:r w:rsidRPr="00AC1BA2">
        <w:rPr>
          <w:rFonts w:ascii="Arial" w:hAnsi="Arial" w:cs="Arial"/>
          <w:b/>
          <w:sz w:val="24"/>
          <w:szCs w:val="24"/>
        </w:rPr>
        <w:t>doravante, passem a adotar rotinas periódicas de fiscalização das empresas beneficiárias de incentivos fiscais</w:t>
      </w:r>
      <w:r w:rsidRPr="00AC1BA2">
        <w:rPr>
          <w:rFonts w:ascii="Arial" w:hAnsi="Arial" w:cs="Arial"/>
          <w:sz w:val="24"/>
          <w:szCs w:val="24"/>
        </w:rPr>
        <w:t xml:space="preserve">, no que tange ao requisito de regularidade </w:t>
      </w:r>
      <w:r w:rsidR="00AE287F" w:rsidRPr="00AC1BA2">
        <w:rPr>
          <w:rFonts w:ascii="Arial" w:hAnsi="Arial" w:cs="Arial"/>
          <w:sz w:val="24"/>
          <w:szCs w:val="24"/>
        </w:rPr>
        <w:t>previdenciária</w:t>
      </w:r>
      <w:r w:rsidR="00F90F2D">
        <w:rPr>
          <w:rFonts w:ascii="Arial" w:hAnsi="Arial" w:cs="Arial"/>
          <w:sz w:val="24"/>
          <w:szCs w:val="24"/>
        </w:rPr>
        <w:t xml:space="preserve"> e, no tocante ao Programa Produzir, também em relação aos demais requisitos previstos no inciso II do § 1º do art. 22 do Decreto nº 5.265/2000</w:t>
      </w:r>
      <w:r w:rsidRPr="00AC1BA2">
        <w:rPr>
          <w:rFonts w:ascii="Arial" w:hAnsi="Arial" w:cs="Arial"/>
          <w:sz w:val="24"/>
          <w:szCs w:val="24"/>
        </w:rPr>
        <w:t>, a fim de colocar em prática as recomendações indicadas nos subitens anteriores, seguido do encaminhamento de relatório anual com os números registrados no exercício anterior à CGE/GO;</w:t>
      </w:r>
    </w:p>
    <w:p w14:paraId="4732449F" w14:textId="7E342C7D" w:rsidR="00AC1BA2" w:rsidRDefault="00AC1BA2" w:rsidP="00502615">
      <w:pPr>
        <w:pStyle w:val="PargrafodaLista"/>
        <w:numPr>
          <w:ilvl w:val="0"/>
          <w:numId w:val="30"/>
        </w:numPr>
        <w:spacing w:line="360" w:lineRule="auto"/>
        <w:jc w:val="both"/>
        <w:rPr>
          <w:rFonts w:ascii="Arial" w:hAnsi="Arial" w:cs="Arial"/>
          <w:sz w:val="24"/>
          <w:szCs w:val="24"/>
        </w:rPr>
      </w:pPr>
      <w:r w:rsidRPr="00633438">
        <w:rPr>
          <w:rFonts w:ascii="Arial" w:hAnsi="Arial" w:cs="Arial"/>
          <w:b/>
          <w:sz w:val="24"/>
          <w:szCs w:val="24"/>
        </w:rPr>
        <w:t xml:space="preserve">alterar </w:t>
      </w:r>
      <w:r w:rsidR="0029380C">
        <w:rPr>
          <w:rFonts w:ascii="Arial" w:hAnsi="Arial" w:cs="Arial"/>
          <w:b/>
          <w:sz w:val="24"/>
          <w:szCs w:val="24"/>
        </w:rPr>
        <w:t xml:space="preserve">a </w:t>
      </w:r>
      <w:r w:rsidRPr="00633438">
        <w:rPr>
          <w:rFonts w:ascii="Arial" w:hAnsi="Arial" w:cs="Arial"/>
          <w:b/>
          <w:sz w:val="24"/>
          <w:szCs w:val="24"/>
        </w:rPr>
        <w:t xml:space="preserve">legislação </w:t>
      </w:r>
      <w:r>
        <w:rPr>
          <w:rFonts w:ascii="Arial" w:hAnsi="Arial" w:cs="Arial"/>
          <w:b/>
          <w:sz w:val="24"/>
          <w:szCs w:val="24"/>
        </w:rPr>
        <w:t xml:space="preserve">estadual </w:t>
      </w:r>
      <w:r w:rsidRPr="00633438">
        <w:rPr>
          <w:rFonts w:ascii="Arial" w:hAnsi="Arial" w:cs="Arial"/>
          <w:b/>
          <w:sz w:val="24"/>
          <w:szCs w:val="24"/>
        </w:rPr>
        <w:t xml:space="preserve">para impor multa de 50% (cinquenta por cento) ao sujeito passivo que aproveitar </w:t>
      </w:r>
      <w:r w:rsidR="004F356B">
        <w:rPr>
          <w:rFonts w:ascii="Arial" w:hAnsi="Arial" w:cs="Arial"/>
          <w:b/>
          <w:sz w:val="24"/>
          <w:szCs w:val="24"/>
        </w:rPr>
        <w:t xml:space="preserve">ou alienar </w:t>
      </w:r>
      <w:r w:rsidRPr="00633438">
        <w:rPr>
          <w:rFonts w:ascii="Arial" w:hAnsi="Arial" w:cs="Arial"/>
          <w:b/>
          <w:sz w:val="24"/>
          <w:szCs w:val="24"/>
        </w:rPr>
        <w:t>irregularmente</w:t>
      </w:r>
      <w:r>
        <w:rPr>
          <w:rFonts w:ascii="Arial" w:hAnsi="Arial" w:cs="Arial"/>
          <w:b/>
          <w:sz w:val="24"/>
          <w:szCs w:val="24"/>
        </w:rPr>
        <w:t xml:space="preserve"> incentivos fiscais sem regularidade previdenciária</w:t>
      </w:r>
      <w:r w:rsidRPr="00633438">
        <w:rPr>
          <w:rFonts w:ascii="Arial" w:hAnsi="Arial" w:cs="Arial"/>
          <w:sz w:val="24"/>
          <w:szCs w:val="24"/>
        </w:rPr>
        <w:t xml:space="preserve">, aplicado sobre o valor total </w:t>
      </w:r>
      <w:r>
        <w:rPr>
          <w:rFonts w:ascii="Arial" w:hAnsi="Arial" w:cs="Arial"/>
          <w:sz w:val="24"/>
          <w:szCs w:val="24"/>
        </w:rPr>
        <w:t>dos</w:t>
      </w:r>
      <w:r w:rsidRPr="00633438">
        <w:rPr>
          <w:rFonts w:ascii="Arial" w:hAnsi="Arial" w:cs="Arial"/>
          <w:sz w:val="24"/>
          <w:szCs w:val="24"/>
        </w:rPr>
        <w:t xml:space="preserve"> incentivos fruídos enquanto o sujeito passivo permaneceu inscrito em dívida ativa</w:t>
      </w:r>
      <w:r>
        <w:rPr>
          <w:rFonts w:ascii="Arial" w:hAnsi="Arial" w:cs="Arial"/>
          <w:sz w:val="24"/>
          <w:szCs w:val="24"/>
        </w:rPr>
        <w:t xml:space="preserve"> federal por débito previdenciário</w:t>
      </w:r>
      <w:r w:rsidRPr="00633438">
        <w:rPr>
          <w:rFonts w:ascii="Arial" w:hAnsi="Arial" w:cs="Arial"/>
          <w:sz w:val="24"/>
          <w:szCs w:val="24"/>
        </w:rPr>
        <w:t>, bem como a responsabilização solidária da pessoa física de todos os administradore</w:t>
      </w:r>
      <w:r w:rsidR="00E03096">
        <w:rPr>
          <w:rFonts w:ascii="Arial" w:hAnsi="Arial" w:cs="Arial"/>
          <w:sz w:val="24"/>
          <w:szCs w:val="24"/>
        </w:rPr>
        <w:t>s constantes do contrato social.</w:t>
      </w:r>
    </w:p>
    <w:p w14:paraId="0C8A1EC3" w14:textId="77777777" w:rsidR="00574522" w:rsidRDefault="00574522" w:rsidP="008B12BD">
      <w:pPr>
        <w:spacing w:line="360" w:lineRule="auto"/>
        <w:ind w:left="851"/>
        <w:jc w:val="both"/>
        <w:rPr>
          <w:rFonts w:ascii="Arial" w:hAnsi="Arial" w:cs="Arial"/>
          <w:b/>
          <w:sz w:val="24"/>
          <w:szCs w:val="24"/>
        </w:rPr>
      </w:pPr>
    </w:p>
    <w:p w14:paraId="51F112DA" w14:textId="5E2B5525" w:rsidR="00827E6D" w:rsidRDefault="00574522" w:rsidP="00827E6D">
      <w:pPr>
        <w:spacing w:line="360" w:lineRule="auto"/>
        <w:ind w:left="851"/>
        <w:jc w:val="both"/>
        <w:rPr>
          <w:rFonts w:ascii="Arial" w:hAnsi="Arial" w:cs="Arial"/>
          <w:b/>
          <w:sz w:val="24"/>
          <w:szCs w:val="24"/>
        </w:rPr>
      </w:pPr>
      <w:r>
        <w:rPr>
          <w:rFonts w:ascii="Arial" w:hAnsi="Arial" w:cs="Arial"/>
          <w:b/>
          <w:sz w:val="24"/>
          <w:szCs w:val="24"/>
        </w:rPr>
        <w:t>8.3</w:t>
      </w:r>
      <w:r w:rsidR="00827E6D">
        <w:rPr>
          <w:rFonts w:ascii="Arial" w:hAnsi="Arial" w:cs="Arial"/>
          <w:b/>
          <w:sz w:val="24"/>
          <w:szCs w:val="24"/>
        </w:rPr>
        <w:t xml:space="preserve"> – REGULARIDADE AMBIENTAL </w:t>
      </w:r>
    </w:p>
    <w:p w14:paraId="4818213F" w14:textId="55E6514A" w:rsidR="00827E6D" w:rsidRDefault="00827E6D" w:rsidP="008B12BD">
      <w:pPr>
        <w:spacing w:line="360" w:lineRule="auto"/>
        <w:ind w:left="851"/>
        <w:jc w:val="both"/>
        <w:rPr>
          <w:rFonts w:ascii="Arial" w:hAnsi="Arial" w:cs="Arial"/>
          <w:b/>
          <w:sz w:val="24"/>
          <w:szCs w:val="24"/>
        </w:rPr>
      </w:pPr>
    </w:p>
    <w:p w14:paraId="7FC97685" w14:textId="1056DEC7" w:rsidR="00394366" w:rsidRDefault="00B34F58" w:rsidP="00B77413">
      <w:pPr>
        <w:spacing w:line="360" w:lineRule="auto"/>
        <w:ind w:firstLine="851"/>
        <w:jc w:val="both"/>
        <w:rPr>
          <w:rFonts w:ascii="Arial" w:hAnsi="Arial" w:cs="Arial"/>
          <w:sz w:val="24"/>
          <w:szCs w:val="24"/>
        </w:rPr>
      </w:pPr>
      <w:r w:rsidRPr="00B34F58">
        <w:rPr>
          <w:rFonts w:ascii="Arial" w:hAnsi="Arial" w:cs="Arial"/>
          <w:b/>
          <w:sz w:val="24"/>
          <w:szCs w:val="24"/>
        </w:rPr>
        <w:t>8.3.1.</w:t>
      </w:r>
      <w:r>
        <w:rPr>
          <w:rFonts w:ascii="Arial" w:hAnsi="Arial" w:cs="Arial"/>
          <w:sz w:val="24"/>
          <w:szCs w:val="24"/>
        </w:rPr>
        <w:t xml:space="preserve"> </w:t>
      </w:r>
      <w:r w:rsidR="00BB28CB">
        <w:rPr>
          <w:rFonts w:ascii="Arial" w:hAnsi="Arial" w:cs="Arial"/>
          <w:sz w:val="24"/>
          <w:szCs w:val="24"/>
        </w:rPr>
        <w:t xml:space="preserve">O </w:t>
      </w:r>
      <w:r w:rsidR="00BB28CB" w:rsidRPr="004D1D41">
        <w:rPr>
          <w:rFonts w:ascii="Arial" w:hAnsi="Arial" w:cs="Arial"/>
          <w:sz w:val="24"/>
          <w:szCs w:val="24"/>
        </w:rPr>
        <w:t xml:space="preserve">direito ao </w:t>
      </w:r>
      <w:r w:rsidR="00BB28CB" w:rsidRPr="004D1D41">
        <w:rPr>
          <w:rFonts w:ascii="Arial" w:hAnsi="Arial" w:cs="Arial"/>
          <w:b/>
          <w:sz w:val="24"/>
          <w:szCs w:val="24"/>
          <w:u w:val="single"/>
        </w:rPr>
        <w:t>meio ambiente ecologicamente equilibrado</w:t>
      </w:r>
      <w:r w:rsidR="00442E34">
        <w:rPr>
          <w:rFonts w:ascii="Arial" w:hAnsi="Arial" w:cs="Arial"/>
          <w:sz w:val="24"/>
          <w:szCs w:val="24"/>
        </w:rPr>
        <w:t xml:space="preserve"> </w:t>
      </w:r>
      <w:r w:rsidR="00B77413">
        <w:rPr>
          <w:rFonts w:ascii="Arial" w:hAnsi="Arial" w:cs="Arial"/>
          <w:sz w:val="24"/>
          <w:szCs w:val="24"/>
        </w:rPr>
        <w:t xml:space="preserve">constitui </w:t>
      </w:r>
      <w:r w:rsidR="00810796">
        <w:rPr>
          <w:rFonts w:ascii="Arial" w:hAnsi="Arial" w:cs="Arial"/>
          <w:sz w:val="24"/>
          <w:szCs w:val="24"/>
        </w:rPr>
        <w:t xml:space="preserve">uma </w:t>
      </w:r>
      <w:r w:rsidR="00DB53B0">
        <w:rPr>
          <w:rFonts w:ascii="Arial" w:hAnsi="Arial" w:cs="Arial"/>
          <w:sz w:val="24"/>
          <w:szCs w:val="24"/>
        </w:rPr>
        <w:t xml:space="preserve">das </w:t>
      </w:r>
      <w:r w:rsidR="004D1D41">
        <w:rPr>
          <w:rFonts w:ascii="Arial" w:hAnsi="Arial" w:cs="Arial"/>
          <w:sz w:val="24"/>
          <w:szCs w:val="24"/>
        </w:rPr>
        <w:t xml:space="preserve">grandes </w:t>
      </w:r>
      <w:r w:rsidR="00810796">
        <w:rPr>
          <w:rFonts w:ascii="Arial" w:hAnsi="Arial" w:cs="Arial"/>
          <w:sz w:val="24"/>
          <w:szCs w:val="24"/>
        </w:rPr>
        <w:t>das p</w:t>
      </w:r>
      <w:r w:rsidR="00B77413">
        <w:rPr>
          <w:rFonts w:ascii="Arial" w:hAnsi="Arial" w:cs="Arial"/>
          <w:sz w:val="24"/>
          <w:szCs w:val="24"/>
        </w:rPr>
        <w:t>reocupaç</w:t>
      </w:r>
      <w:r w:rsidR="00810796">
        <w:rPr>
          <w:rFonts w:ascii="Arial" w:hAnsi="Arial" w:cs="Arial"/>
          <w:sz w:val="24"/>
          <w:szCs w:val="24"/>
        </w:rPr>
        <w:t>ões</w:t>
      </w:r>
      <w:r w:rsidR="00B77413">
        <w:rPr>
          <w:rFonts w:ascii="Arial" w:hAnsi="Arial" w:cs="Arial"/>
          <w:sz w:val="24"/>
          <w:szCs w:val="24"/>
        </w:rPr>
        <w:t xml:space="preserve"> do Constituinte de 1988</w:t>
      </w:r>
      <w:r w:rsidR="00674EE5">
        <w:rPr>
          <w:rFonts w:ascii="Arial" w:hAnsi="Arial" w:cs="Arial"/>
          <w:sz w:val="24"/>
          <w:szCs w:val="24"/>
        </w:rPr>
        <w:t xml:space="preserve">, </w:t>
      </w:r>
      <w:r w:rsidR="00DB53B0">
        <w:rPr>
          <w:rFonts w:ascii="Arial" w:hAnsi="Arial" w:cs="Arial"/>
          <w:sz w:val="24"/>
          <w:szCs w:val="24"/>
        </w:rPr>
        <w:t>que dedicou um capítulo específico à disciplina do tema, constituído</w:t>
      </w:r>
      <w:r w:rsidR="00674EE5">
        <w:rPr>
          <w:rFonts w:ascii="Arial" w:hAnsi="Arial" w:cs="Arial"/>
          <w:sz w:val="24"/>
          <w:szCs w:val="24"/>
        </w:rPr>
        <w:t xml:space="preserve"> do art. </w:t>
      </w:r>
      <w:r w:rsidR="00810796">
        <w:rPr>
          <w:rFonts w:ascii="Arial" w:hAnsi="Arial" w:cs="Arial"/>
          <w:sz w:val="24"/>
          <w:szCs w:val="24"/>
        </w:rPr>
        <w:t>225</w:t>
      </w:r>
      <w:r w:rsidR="00674EE5">
        <w:rPr>
          <w:rFonts w:ascii="Arial" w:hAnsi="Arial" w:cs="Arial"/>
          <w:sz w:val="24"/>
          <w:szCs w:val="24"/>
        </w:rPr>
        <w:t xml:space="preserve"> da CRFB</w:t>
      </w:r>
      <w:r w:rsidR="00DB53B0">
        <w:rPr>
          <w:rFonts w:ascii="Arial" w:hAnsi="Arial" w:cs="Arial"/>
          <w:sz w:val="24"/>
          <w:szCs w:val="24"/>
        </w:rPr>
        <w:t>, transcrito no útil</w:t>
      </w:r>
      <w:r w:rsidR="00674EE5">
        <w:rPr>
          <w:rFonts w:ascii="Arial" w:hAnsi="Arial" w:cs="Arial"/>
          <w:sz w:val="24"/>
          <w:szCs w:val="24"/>
        </w:rPr>
        <w:t>:</w:t>
      </w:r>
    </w:p>
    <w:p w14:paraId="25A01966" w14:textId="2E461BC0" w:rsidR="00810796" w:rsidRDefault="00810796" w:rsidP="00B77413">
      <w:pPr>
        <w:spacing w:line="360" w:lineRule="auto"/>
        <w:ind w:firstLine="851"/>
        <w:jc w:val="both"/>
        <w:rPr>
          <w:rFonts w:ascii="Arial" w:hAnsi="Arial" w:cs="Arial"/>
          <w:sz w:val="24"/>
          <w:szCs w:val="24"/>
        </w:rPr>
      </w:pPr>
    </w:p>
    <w:p w14:paraId="151D5BC7" w14:textId="1453B05C" w:rsidR="00810796" w:rsidRPr="00810796" w:rsidRDefault="00810796" w:rsidP="008D5153">
      <w:pPr>
        <w:pStyle w:val="NormalWeb"/>
        <w:spacing w:before="0" w:beforeAutospacing="0" w:after="0" w:afterAutospacing="0"/>
        <w:ind w:left="2268"/>
        <w:jc w:val="both"/>
        <w:rPr>
          <w:color w:val="000000"/>
          <w:sz w:val="22"/>
          <w:szCs w:val="22"/>
        </w:rPr>
      </w:pPr>
      <w:r w:rsidRPr="00810796">
        <w:rPr>
          <w:rFonts w:ascii="Arial" w:hAnsi="Arial" w:cs="Arial"/>
          <w:color w:val="000000"/>
          <w:sz w:val="22"/>
          <w:szCs w:val="22"/>
        </w:rPr>
        <w:t xml:space="preserve">Art. 225. </w:t>
      </w:r>
      <w:r w:rsidRPr="00DB53B0">
        <w:rPr>
          <w:rFonts w:ascii="Arial" w:hAnsi="Arial" w:cs="Arial"/>
          <w:b/>
          <w:color w:val="000000"/>
          <w:sz w:val="22"/>
          <w:szCs w:val="22"/>
        </w:rPr>
        <w:t>Todos têm direito ao meio ambiente ecologicamente equilibrado</w:t>
      </w:r>
      <w:r w:rsidRPr="00810796">
        <w:rPr>
          <w:rFonts w:ascii="Arial" w:hAnsi="Arial" w:cs="Arial"/>
          <w:color w:val="000000"/>
          <w:sz w:val="22"/>
          <w:szCs w:val="22"/>
        </w:rPr>
        <w:t xml:space="preserve">, bem de uso comum do povo e essencial à sadia qualidade de vida, impondo-se ao Poder Público e à coletividade o </w:t>
      </w:r>
      <w:r w:rsidR="004D1D41">
        <w:rPr>
          <w:rFonts w:ascii="Arial" w:hAnsi="Arial" w:cs="Arial"/>
          <w:color w:val="000000"/>
          <w:sz w:val="22"/>
          <w:szCs w:val="22"/>
        </w:rPr>
        <w:t>dever de defendê-lo e preservá-</w:t>
      </w:r>
      <w:r w:rsidRPr="00810796">
        <w:rPr>
          <w:rFonts w:ascii="Arial" w:hAnsi="Arial" w:cs="Arial"/>
          <w:color w:val="000000"/>
          <w:sz w:val="22"/>
          <w:szCs w:val="22"/>
        </w:rPr>
        <w:t>lo para as presentes e futuras gerações.</w:t>
      </w:r>
    </w:p>
    <w:p w14:paraId="2256A255" w14:textId="77777777" w:rsidR="00810796" w:rsidRPr="00810796" w:rsidRDefault="00810796" w:rsidP="008D5153">
      <w:pPr>
        <w:pStyle w:val="NormalWeb"/>
        <w:spacing w:before="0" w:beforeAutospacing="0" w:after="0" w:afterAutospacing="0"/>
        <w:ind w:left="2268"/>
        <w:jc w:val="both"/>
        <w:rPr>
          <w:color w:val="000000"/>
          <w:sz w:val="22"/>
          <w:szCs w:val="22"/>
        </w:rPr>
      </w:pPr>
      <w:r w:rsidRPr="00810796">
        <w:rPr>
          <w:rFonts w:ascii="Arial" w:hAnsi="Arial" w:cs="Arial"/>
          <w:color w:val="000000"/>
          <w:sz w:val="22"/>
          <w:szCs w:val="22"/>
        </w:rPr>
        <w:t xml:space="preserve">§ 1º </w:t>
      </w:r>
      <w:r w:rsidRPr="00073C3F">
        <w:rPr>
          <w:rFonts w:ascii="Arial" w:hAnsi="Arial" w:cs="Arial"/>
          <w:color w:val="000000"/>
          <w:sz w:val="22"/>
          <w:szCs w:val="22"/>
        </w:rPr>
        <w:t>Para assegurar a efetividade desse direito,</w:t>
      </w:r>
      <w:r w:rsidRPr="00DB53B0">
        <w:rPr>
          <w:rFonts w:ascii="Arial" w:hAnsi="Arial" w:cs="Arial"/>
          <w:b/>
          <w:color w:val="000000"/>
          <w:sz w:val="22"/>
          <w:szCs w:val="22"/>
        </w:rPr>
        <w:t xml:space="preserve"> </w:t>
      </w:r>
      <w:r w:rsidRPr="00073C3F">
        <w:rPr>
          <w:rFonts w:ascii="Arial" w:hAnsi="Arial" w:cs="Arial"/>
          <w:b/>
          <w:color w:val="000000"/>
          <w:sz w:val="22"/>
          <w:szCs w:val="22"/>
          <w:u w:val="single"/>
        </w:rPr>
        <w:t>incumbe ao Poder Público</w:t>
      </w:r>
      <w:r w:rsidRPr="00810796">
        <w:rPr>
          <w:rFonts w:ascii="Arial" w:hAnsi="Arial" w:cs="Arial"/>
          <w:color w:val="000000"/>
          <w:sz w:val="22"/>
          <w:szCs w:val="22"/>
        </w:rPr>
        <w:t>:</w:t>
      </w:r>
    </w:p>
    <w:p w14:paraId="709E63D4" w14:textId="557AEE21" w:rsidR="00810796" w:rsidRPr="00810796" w:rsidRDefault="00810796" w:rsidP="008D5153">
      <w:pPr>
        <w:pStyle w:val="NormalWeb"/>
        <w:spacing w:before="0" w:beforeAutospacing="0" w:after="0" w:afterAutospacing="0"/>
        <w:ind w:left="2268"/>
        <w:jc w:val="both"/>
        <w:rPr>
          <w:color w:val="000000"/>
          <w:sz w:val="22"/>
          <w:szCs w:val="22"/>
        </w:rPr>
      </w:pPr>
      <w:r w:rsidRPr="00073C3F">
        <w:rPr>
          <w:rFonts w:ascii="Arial" w:hAnsi="Arial" w:cs="Arial"/>
          <w:b/>
          <w:color w:val="000000"/>
          <w:sz w:val="22"/>
          <w:szCs w:val="22"/>
        </w:rPr>
        <w:t>I - preservar e restaurar os processos ecológicos essenciais</w:t>
      </w:r>
      <w:r w:rsidRPr="00810796">
        <w:rPr>
          <w:rFonts w:ascii="Arial" w:hAnsi="Arial" w:cs="Arial"/>
          <w:color w:val="000000"/>
          <w:sz w:val="22"/>
          <w:szCs w:val="22"/>
        </w:rPr>
        <w:t xml:space="preserve"> e prover o manejo ecológico das espécies e ecossistemas;    </w:t>
      </w:r>
      <w:r w:rsidRPr="00810796">
        <w:rPr>
          <w:color w:val="000000"/>
          <w:sz w:val="22"/>
          <w:szCs w:val="22"/>
        </w:rPr>
        <w:t xml:space="preserve"> </w:t>
      </w:r>
    </w:p>
    <w:p w14:paraId="0768AAC3" w14:textId="2826D70D" w:rsidR="00810796" w:rsidRPr="00810796" w:rsidRDefault="00810796" w:rsidP="008D5153">
      <w:pPr>
        <w:pStyle w:val="NormalWeb"/>
        <w:spacing w:before="0" w:beforeAutospacing="0" w:after="0" w:afterAutospacing="0"/>
        <w:ind w:left="2268"/>
        <w:jc w:val="both"/>
        <w:rPr>
          <w:color w:val="000000"/>
          <w:sz w:val="22"/>
          <w:szCs w:val="22"/>
        </w:rPr>
      </w:pPr>
      <w:r w:rsidRPr="00073C3F">
        <w:rPr>
          <w:rFonts w:ascii="Arial" w:hAnsi="Arial" w:cs="Arial"/>
          <w:b/>
          <w:color w:val="000000"/>
          <w:sz w:val="22"/>
          <w:szCs w:val="22"/>
        </w:rPr>
        <w:t>II - preservar a diversidade e a integridade do patrimônio genético do País</w:t>
      </w:r>
      <w:r w:rsidRPr="00810796">
        <w:rPr>
          <w:rFonts w:ascii="Arial" w:hAnsi="Arial" w:cs="Arial"/>
          <w:color w:val="000000"/>
          <w:sz w:val="22"/>
          <w:szCs w:val="22"/>
        </w:rPr>
        <w:t xml:space="preserve"> e fiscalizar as entidades dedicadas à pesquisa e manipulação de material genético;         </w:t>
      </w:r>
      <w:r w:rsidRPr="00810796">
        <w:rPr>
          <w:color w:val="000000"/>
          <w:sz w:val="22"/>
          <w:szCs w:val="22"/>
        </w:rPr>
        <w:t xml:space="preserve"> </w:t>
      </w:r>
    </w:p>
    <w:p w14:paraId="556BC04C" w14:textId="2BA1882D" w:rsidR="00810796" w:rsidRPr="00810796" w:rsidRDefault="00810796" w:rsidP="008D5153">
      <w:pPr>
        <w:pStyle w:val="NormalWeb"/>
        <w:spacing w:before="0" w:beforeAutospacing="0" w:after="0" w:afterAutospacing="0"/>
        <w:ind w:left="2268"/>
        <w:jc w:val="both"/>
        <w:rPr>
          <w:color w:val="000000"/>
          <w:sz w:val="22"/>
          <w:szCs w:val="22"/>
        </w:rPr>
      </w:pPr>
      <w:r w:rsidRPr="00073C3F">
        <w:rPr>
          <w:rFonts w:ascii="Arial" w:hAnsi="Arial" w:cs="Arial"/>
          <w:b/>
          <w:color w:val="000000"/>
          <w:sz w:val="22"/>
          <w:szCs w:val="22"/>
        </w:rPr>
        <w:t>III - definir, em todas as unidades da Federação, espaços territoriais e seus componentes a serem especialmente protegidos</w:t>
      </w:r>
      <w:r w:rsidRPr="00810796">
        <w:rPr>
          <w:rFonts w:ascii="Arial" w:hAnsi="Arial" w:cs="Arial"/>
          <w:color w:val="000000"/>
          <w:sz w:val="22"/>
          <w:szCs w:val="22"/>
        </w:rPr>
        <w:t xml:space="preserve">, sendo a alteração e a supressão permitidas somente através de lei, vedada </w:t>
      </w:r>
      <w:r w:rsidRPr="00810796">
        <w:rPr>
          <w:rFonts w:ascii="Arial" w:hAnsi="Arial" w:cs="Arial"/>
          <w:color w:val="000000"/>
          <w:sz w:val="22"/>
          <w:szCs w:val="22"/>
        </w:rPr>
        <w:lastRenderedPageBreak/>
        <w:t>qualquer utilização que comprometa a integridade dos atributos que justifiquem sua proteção;        </w:t>
      </w:r>
      <w:r w:rsidRPr="00810796">
        <w:rPr>
          <w:color w:val="000000"/>
          <w:sz w:val="22"/>
          <w:szCs w:val="22"/>
        </w:rPr>
        <w:t xml:space="preserve"> </w:t>
      </w:r>
    </w:p>
    <w:p w14:paraId="21BD0C10" w14:textId="298598C5" w:rsidR="00810796" w:rsidRPr="00810796" w:rsidRDefault="00810796" w:rsidP="008D5153">
      <w:pPr>
        <w:pStyle w:val="NormalWeb"/>
        <w:spacing w:before="0" w:beforeAutospacing="0" w:after="0" w:afterAutospacing="0"/>
        <w:ind w:left="2268"/>
        <w:jc w:val="both"/>
        <w:rPr>
          <w:color w:val="000000"/>
          <w:sz w:val="22"/>
          <w:szCs w:val="22"/>
        </w:rPr>
      </w:pPr>
      <w:r w:rsidRPr="00073C3F">
        <w:rPr>
          <w:rFonts w:ascii="Arial" w:hAnsi="Arial" w:cs="Arial"/>
          <w:b/>
          <w:color w:val="000000"/>
          <w:sz w:val="22"/>
          <w:szCs w:val="22"/>
        </w:rPr>
        <w:t>IV - exigir, na forma da lei</w:t>
      </w:r>
      <w:r w:rsidRPr="00810796">
        <w:rPr>
          <w:rFonts w:ascii="Arial" w:hAnsi="Arial" w:cs="Arial"/>
          <w:color w:val="000000"/>
          <w:sz w:val="22"/>
          <w:szCs w:val="22"/>
        </w:rPr>
        <w:t xml:space="preserve">, para instalação de obra ou atividade potencialmente causadora de significativa degradação do meio ambiente, </w:t>
      </w:r>
      <w:r w:rsidRPr="00073C3F">
        <w:rPr>
          <w:rFonts w:ascii="Arial" w:hAnsi="Arial" w:cs="Arial"/>
          <w:b/>
          <w:color w:val="000000"/>
          <w:sz w:val="22"/>
          <w:szCs w:val="22"/>
        </w:rPr>
        <w:t>estudo prévio de impacto ambiental, a que se dará publicidade</w:t>
      </w:r>
      <w:r w:rsidRPr="00810796">
        <w:rPr>
          <w:rFonts w:ascii="Arial" w:hAnsi="Arial" w:cs="Arial"/>
          <w:color w:val="000000"/>
          <w:sz w:val="22"/>
          <w:szCs w:val="22"/>
        </w:rPr>
        <w:t>;         </w:t>
      </w:r>
      <w:r w:rsidRPr="00810796">
        <w:rPr>
          <w:color w:val="000000"/>
          <w:sz w:val="22"/>
          <w:szCs w:val="22"/>
        </w:rPr>
        <w:t xml:space="preserve"> </w:t>
      </w:r>
    </w:p>
    <w:p w14:paraId="6C847D3A" w14:textId="76A9CF1E" w:rsidR="00810796" w:rsidRPr="00810796" w:rsidRDefault="00810796" w:rsidP="008D5153">
      <w:pPr>
        <w:pStyle w:val="NormalWeb"/>
        <w:spacing w:before="0" w:beforeAutospacing="0" w:after="0" w:afterAutospacing="0"/>
        <w:ind w:left="2268"/>
        <w:jc w:val="both"/>
        <w:rPr>
          <w:color w:val="000000"/>
          <w:sz w:val="22"/>
          <w:szCs w:val="22"/>
        </w:rPr>
      </w:pPr>
      <w:r w:rsidRPr="00073C3F">
        <w:rPr>
          <w:rFonts w:ascii="Arial" w:hAnsi="Arial" w:cs="Arial"/>
          <w:b/>
          <w:color w:val="000000"/>
          <w:sz w:val="22"/>
          <w:szCs w:val="22"/>
        </w:rPr>
        <w:t>V - controlar a produção, a comercialização e o emprego de técnicas, métodos e substâncias</w:t>
      </w:r>
      <w:r w:rsidRPr="00810796">
        <w:rPr>
          <w:rFonts w:ascii="Arial" w:hAnsi="Arial" w:cs="Arial"/>
          <w:color w:val="000000"/>
          <w:sz w:val="22"/>
          <w:szCs w:val="22"/>
        </w:rPr>
        <w:t xml:space="preserve"> que comportem risco para a vida, a qualidade de vida e</w:t>
      </w:r>
      <w:r>
        <w:rPr>
          <w:rFonts w:ascii="Arial" w:hAnsi="Arial" w:cs="Arial"/>
          <w:color w:val="000000"/>
          <w:sz w:val="22"/>
          <w:szCs w:val="22"/>
        </w:rPr>
        <w:t xml:space="preserve"> o meio ambiente;</w:t>
      </w:r>
    </w:p>
    <w:p w14:paraId="31C51BD9" w14:textId="77777777" w:rsidR="00810796" w:rsidRPr="00810796" w:rsidRDefault="00810796" w:rsidP="008D5153">
      <w:pPr>
        <w:pStyle w:val="NormalWeb"/>
        <w:spacing w:before="0" w:beforeAutospacing="0" w:after="0" w:afterAutospacing="0"/>
        <w:ind w:left="2268"/>
        <w:jc w:val="both"/>
        <w:rPr>
          <w:color w:val="000000"/>
          <w:sz w:val="22"/>
          <w:szCs w:val="22"/>
        </w:rPr>
      </w:pPr>
      <w:r w:rsidRPr="00073C3F">
        <w:rPr>
          <w:rFonts w:ascii="Arial" w:hAnsi="Arial" w:cs="Arial"/>
          <w:b/>
          <w:color w:val="000000"/>
          <w:sz w:val="22"/>
          <w:szCs w:val="22"/>
        </w:rPr>
        <w:t>VI - promover a educação ambiental</w:t>
      </w:r>
      <w:r w:rsidRPr="00810796">
        <w:rPr>
          <w:rFonts w:ascii="Arial" w:hAnsi="Arial" w:cs="Arial"/>
          <w:color w:val="000000"/>
          <w:sz w:val="22"/>
          <w:szCs w:val="22"/>
        </w:rPr>
        <w:t xml:space="preserve"> em todos os níveis de ensino e a conscientização pública para a preservação do meio ambiente;</w:t>
      </w:r>
    </w:p>
    <w:p w14:paraId="71CA1E62" w14:textId="72F1AFE0" w:rsidR="00810796" w:rsidRDefault="00810796" w:rsidP="008D5153">
      <w:pPr>
        <w:pStyle w:val="NormalWeb"/>
        <w:spacing w:before="0" w:beforeAutospacing="0" w:after="0" w:afterAutospacing="0"/>
        <w:ind w:left="2268"/>
        <w:jc w:val="both"/>
        <w:rPr>
          <w:rFonts w:ascii="Arial" w:hAnsi="Arial" w:cs="Arial"/>
          <w:color w:val="000000"/>
          <w:sz w:val="22"/>
          <w:szCs w:val="22"/>
        </w:rPr>
      </w:pPr>
      <w:r w:rsidRPr="00073C3F">
        <w:rPr>
          <w:rFonts w:ascii="Arial" w:hAnsi="Arial" w:cs="Arial"/>
          <w:b/>
          <w:color w:val="000000"/>
          <w:sz w:val="22"/>
          <w:szCs w:val="22"/>
        </w:rPr>
        <w:t>VII - proteger a fauna e a flora</w:t>
      </w:r>
      <w:r w:rsidRPr="00810796">
        <w:rPr>
          <w:rFonts w:ascii="Arial" w:hAnsi="Arial" w:cs="Arial"/>
          <w:color w:val="000000"/>
          <w:sz w:val="22"/>
          <w:szCs w:val="22"/>
        </w:rPr>
        <w:t>, vedadas, na forma da lei, as práticas que coloquem em risco sua função ecológica, provoquem a extinção de espécies ou submetam os animais a crueldade.  </w:t>
      </w:r>
    </w:p>
    <w:p w14:paraId="52A36B71" w14:textId="10D16B3D" w:rsidR="00810796" w:rsidRDefault="00810796" w:rsidP="00B77413">
      <w:pPr>
        <w:spacing w:line="360" w:lineRule="auto"/>
        <w:ind w:firstLine="851"/>
        <w:jc w:val="both"/>
        <w:rPr>
          <w:rFonts w:ascii="Arial" w:hAnsi="Arial" w:cs="Arial"/>
          <w:sz w:val="24"/>
          <w:szCs w:val="24"/>
        </w:rPr>
      </w:pPr>
    </w:p>
    <w:p w14:paraId="4D0BC279" w14:textId="3B2C07EF" w:rsidR="00810796" w:rsidRDefault="00A922FE" w:rsidP="00B77413">
      <w:pPr>
        <w:spacing w:line="360" w:lineRule="auto"/>
        <w:ind w:firstLine="851"/>
        <w:jc w:val="both"/>
        <w:rPr>
          <w:rFonts w:ascii="Arial" w:hAnsi="Arial" w:cs="Arial"/>
          <w:sz w:val="24"/>
          <w:szCs w:val="24"/>
        </w:rPr>
      </w:pPr>
      <w:r>
        <w:rPr>
          <w:rFonts w:ascii="Arial" w:hAnsi="Arial" w:cs="Arial"/>
          <w:sz w:val="24"/>
          <w:szCs w:val="24"/>
        </w:rPr>
        <w:t>Int</w:t>
      </w:r>
      <w:r w:rsidR="00531DB4">
        <w:rPr>
          <w:rFonts w:ascii="Arial" w:hAnsi="Arial" w:cs="Arial"/>
          <w:sz w:val="24"/>
          <w:szCs w:val="24"/>
        </w:rPr>
        <w:t>eressante</w:t>
      </w:r>
      <w:r>
        <w:rPr>
          <w:rFonts w:ascii="Arial" w:hAnsi="Arial" w:cs="Arial"/>
          <w:sz w:val="24"/>
          <w:szCs w:val="24"/>
        </w:rPr>
        <w:t xml:space="preserve"> notar, porém</w:t>
      </w:r>
      <w:r w:rsidR="00531DB4">
        <w:rPr>
          <w:rFonts w:ascii="Arial" w:hAnsi="Arial" w:cs="Arial"/>
          <w:sz w:val="24"/>
          <w:szCs w:val="24"/>
        </w:rPr>
        <w:t>,</w:t>
      </w:r>
      <w:r>
        <w:rPr>
          <w:rFonts w:ascii="Arial" w:hAnsi="Arial" w:cs="Arial"/>
          <w:sz w:val="24"/>
          <w:szCs w:val="24"/>
        </w:rPr>
        <w:t xml:space="preserve"> que </w:t>
      </w:r>
      <w:r w:rsidRPr="00531DB4">
        <w:rPr>
          <w:rFonts w:ascii="Arial" w:hAnsi="Arial" w:cs="Arial"/>
          <w:b/>
          <w:sz w:val="24"/>
          <w:szCs w:val="24"/>
        </w:rPr>
        <w:t>a Carta estadual foi ainda mais longe</w:t>
      </w:r>
      <w:r>
        <w:rPr>
          <w:rFonts w:ascii="Arial" w:hAnsi="Arial" w:cs="Arial"/>
          <w:sz w:val="24"/>
          <w:szCs w:val="24"/>
        </w:rPr>
        <w:t xml:space="preserve">, ao </w:t>
      </w:r>
      <w:r w:rsidR="00531DB4">
        <w:rPr>
          <w:rFonts w:ascii="Arial" w:hAnsi="Arial" w:cs="Arial"/>
          <w:sz w:val="24"/>
          <w:szCs w:val="24"/>
        </w:rPr>
        <w:t xml:space="preserve">instituir uma </w:t>
      </w:r>
      <w:r w:rsidR="00257445">
        <w:rPr>
          <w:rFonts w:ascii="Arial" w:hAnsi="Arial" w:cs="Arial"/>
          <w:sz w:val="24"/>
          <w:szCs w:val="24"/>
        </w:rPr>
        <w:t xml:space="preserve">preocupação ainda maior em relação a </w:t>
      </w:r>
      <w:r w:rsidR="00257445" w:rsidRPr="00257445">
        <w:rPr>
          <w:rFonts w:ascii="Arial" w:hAnsi="Arial" w:cs="Arial"/>
          <w:sz w:val="24"/>
          <w:szCs w:val="24"/>
          <w:u w:val="single"/>
        </w:rPr>
        <w:t>atividades econômicas efetiva ou potencialmente poluidoras</w:t>
      </w:r>
      <w:r w:rsidR="00257445">
        <w:rPr>
          <w:rFonts w:ascii="Arial" w:hAnsi="Arial" w:cs="Arial"/>
          <w:sz w:val="24"/>
          <w:szCs w:val="24"/>
        </w:rPr>
        <w:t>, ao proibir que o Estado conceda incentivos fiscais a essas atividades quando exercidas em desacordo com as normas de proteção ambiental,</w:t>
      </w:r>
      <w:r w:rsidR="00173A29">
        <w:rPr>
          <w:rFonts w:ascii="Arial" w:hAnsi="Arial" w:cs="Arial"/>
          <w:sz w:val="24"/>
          <w:szCs w:val="24"/>
        </w:rPr>
        <w:t xml:space="preserve"> nos termos do </w:t>
      </w:r>
      <w:r w:rsidR="00173A29" w:rsidRPr="00257445">
        <w:rPr>
          <w:rFonts w:ascii="Arial" w:hAnsi="Arial" w:cs="Arial"/>
          <w:sz w:val="24"/>
          <w:szCs w:val="24"/>
          <w:u w:val="single"/>
        </w:rPr>
        <w:t>art. 132, § 4º, da CE/GO</w:t>
      </w:r>
      <w:r w:rsidR="00173A29">
        <w:rPr>
          <w:rFonts w:ascii="Arial" w:hAnsi="Arial" w:cs="Arial"/>
          <w:sz w:val="24"/>
          <w:szCs w:val="24"/>
        </w:rPr>
        <w:t>:</w:t>
      </w:r>
    </w:p>
    <w:p w14:paraId="2E000B3B" w14:textId="79C7CAB1" w:rsidR="00810796" w:rsidRDefault="00810796" w:rsidP="00B77413">
      <w:pPr>
        <w:spacing w:line="360" w:lineRule="auto"/>
        <w:ind w:firstLine="851"/>
        <w:jc w:val="both"/>
        <w:rPr>
          <w:rFonts w:ascii="Arial" w:hAnsi="Arial" w:cs="Arial"/>
          <w:sz w:val="24"/>
          <w:szCs w:val="24"/>
        </w:rPr>
      </w:pPr>
    </w:p>
    <w:p w14:paraId="008737C1" w14:textId="65D68BFC" w:rsidR="00480285" w:rsidRPr="00480285" w:rsidRDefault="00480285" w:rsidP="008D5153">
      <w:pPr>
        <w:pStyle w:val="NormalWeb"/>
        <w:spacing w:before="0" w:beforeAutospacing="0" w:after="0" w:afterAutospacing="0"/>
        <w:ind w:left="2268"/>
        <w:jc w:val="both"/>
        <w:rPr>
          <w:rFonts w:ascii="Arial" w:hAnsi="Arial" w:cs="Arial"/>
          <w:color w:val="000000"/>
          <w:sz w:val="22"/>
          <w:szCs w:val="22"/>
        </w:rPr>
      </w:pPr>
      <w:r w:rsidRPr="00480285">
        <w:rPr>
          <w:rFonts w:ascii="Arial" w:hAnsi="Arial" w:cs="Arial"/>
          <w:b/>
          <w:bCs/>
          <w:color w:val="000000"/>
          <w:sz w:val="22"/>
          <w:szCs w:val="22"/>
        </w:rPr>
        <w:t>Art. 132</w:t>
      </w:r>
      <w:r w:rsidRPr="00480285">
        <w:rPr>
          <w:rFonts w:ascii="Arial" w:hAnsi="Arial" w:cs="Arial"/>
          <w:color w:val="000000"/>
          <w:sz w:val="22"/>
          <w:szCs w:val="22"/>
        </w:rPr>
        <w:t> - O Estado criará organismo, com nível de Secretaria de Estado, para formulação, avaliação periódica e execução da política ambiental, cabendo-lhe apreciar:</w:t>
      </w:r>
    </w:p>
    <w:p w14:paraId="72C538A2" w14:textId="3019C037" w:rsidR="00480285" w:rsidRPr="008C41A0" w:rsidRDefault="00480285" w:rsidP="008D5153">
      <w:pPr>
        <w:pStyle w:val="NormalWeb"/>
        <w:spacing w:before="0" w:beforeAutospacing="0" w:after="0" w:afterAutospacing="0"/>
        <w:ind w:left="2268"/>
        <w:jc w:val="both"/>
        <w:rPr>
          <w:rFonts w:ascii="Arial" w:hAnsi="Arial" w:cs="Arial"/>
          <w:color w:val="000000"/>
          <w:sz w:val="22"/>
          <w:szCs w:val="22"/>
        </w:rPr>
      </w:pPr>
      <w:r w:rsidRPr="008C41A0">
        <w:rPr>
          <w:rFonts w:ascii="Arial" w:hAnsi="Arial" w:cs="Arial"/>
          <w:bCs/>
          <w:color w:val="000000"/>
          <w:sz w:val="22"/>
          <w:szCs w:val="22"/>
        </w:rPr>
        <w:t>[</w:t>
      </w:r>
      <w:r w:rsidRPr="008C41A0">
        <w:rPr>
          <w:rFonts w:ascii="Arial" w:hAnsi="Arial" w:cs="Arial"/>
          <w:color w:val="000000"/>
          <w:sz w:val="22"/>
          <w:szCs w:val="22"/>
        </w:rPr>
        <w:t>...].</w:t>
      </w:r>
    </w:p>
    <w:p w14:paraId="73188AB5" w14:textId="18B128B0" w:rsidR="00480285" w:rsidRDefault="00480285" w:rsidP="008D5153">
      <w:pPr>
        <w:pStyle w:val="NormalWeb"/>
        <w:spacing w:before="0" w:beforeAutospacing="0" w:after="0" w:afterAutospacing="0"/>
        <w:ind w:left="2268"/>
        <w:jc w:val="both"/>
        <w:rPr>
          <w:rFonts w:ascii="Arial" w:hAnsi="Arial" w:cs="Arial"/>
          <w:color w:val="000000"/>
          <w:sz w:val="22"/>
          <w:szCs w:val="22"/>
        </w:rPr>
      </w:pPr>
      <w:r w:rsidRPr="00480285">
        <w:rPr>
          <w:rFonts w:ascii="Arial" w:hAnsi="Arial" w:cs="Arial"/>
          <w:color w:val="000000"/>
          <w:sz w:val="22"/>
          <w:szCs w:val="22"/>
        </w:rPr>
        <w:t>§ 4º - É vedada a concessão de incentivos ou isenções tributárias a atividades agropecuárias, industriais ou outras, efetiva ou potencialmente poluidoras, quando não exercidas de acordo com as normas de proteção ambiental.</w:t>
      </w:r>
    </w:p>
    <w:p w14:paraId="00B7E4FC" w14:textId="49682C89" w:rsidR="00480285" w:rsidRDefault="00480285" w:rsidP="00B77413">
      <w:pPr>
        <w:spacing w:line="360" w:lineRule="auto"/>
        <w:ind w:firstLine="851"/>
        <w:jc w:val="both"/>
        <w:rPr>
          <w:rFonts w:ascii="Arial" w:hAnsi="Arial" w:cs="Arial"/>
          <w:sz w:val="24"/>
          <w:szCs w:val="24"/>
        </w:rPr>
      </w:pPr>
    </w:p>
    <w:p w14:paraId="15A51CEF" w14:textId="5B88658C" w:rsidR="008A3E75" w:rsidRDefault="00485E44" w:rsidP="00B77413">
      <w:pPr>
        <w:spacing w:line="360" w:lineRule="auto"/>
        <w:ind w:firstLine="851"/>
        <w:jc w:val="both"/>
        <w:rPr>
          <w:rFonts w:ascii="Arial" w:hAnsi="Arial" w:cs="Arial"/>
          <w:sz w:val="24"/>
          <w:szCs w:val="24"/>
        </w:rPr>
      </w:pPr>
      <w:r>
        <w:rPr>
          <w:rFonts w:ascii="Arial" w:hAnsi="Arial" w:cs="Arial"/>
          <w:sz w:val="24"/>
          <w:szCs w:val="24"/>
        </w:rPr>
        <w:t>Posteriormente</w:t>
      </w:r>
      <w:r w:rsidR="008A3E75">
        <w:rPr>
          <w:rFonts w:ascii="Arial" w:hAnsi="Arial" w:cs="Arial"/>
          <w:sz w:val="24"/>
          <w:szCs w:val="24"/>
        </w:rPr>
        <w:t xml:space="preserve">, </w:t>
      </w:r>
      <w:r w:rsidR="00C767F7">
        <w:rPr>
          <w:rFonts w:ascii="Arial" w:hAnsi="Arial" w:cs="Arial"/>
          <w:sz w:val="24"/>
          <w:szCs w:val="24"/>
        </w:rPr>
        <w:t xml:space="preserve">a </w:t>
      </w:r>
      <w:r w:rsidR="00C767F7" w:rsidRPr="00C767F7">
        <w:rPr>
          <w:rFonts w:ascii="Arial" w:hAnsi="Arial" w:cs="Arial"/>
          <w:b/>
          <w:sz w:val="24"/>
          <w:szCs w:val="24"/>
        </w:rPr>
        <w:t xml:space="preserve">Lei federal nº 9.605/1998 </w:t>
      </w:r>
      <w:r w:rsidR="00C767F7">
        <w:rPr>
          <w:rFonts w:ascii="Arial" w:hAnsi="Arial" w:cs="Arial"/>
          <w:sz w:val="24"/>
          <w:szCs w:val="24"/>
        </w:rPr>
        <w:t>prev</w:t>
      </w:r>
      <w:r>
        <w:rPr>
          <w:rFonts w:ascii="Arial" w:hAnsi="Arial" w:cs="Arial"/>
          <w:sz w:val="24"/>
          <w:szCs w:val="24"/>
        </w:rPr>
        <w:t>iu</w:t>
      </w:r>
      <w:r w:rsidR="002B7796">
        <w:rPr>
          <w:rFonts w:ascii="Arial" w:hAnsi="Arial" w:cs="Arial"/>
          <w:sz w:val="24"/>
          <w:szCs w:val="24"/>
        </w:rPr>
        <w:t>: a)</w:t>
      </w:r>
      <w:r w:rsidR="00C767F7">
        <w:rPr>
          <w:rFonts w:ascii="Arial" w:hAnsi="Arial" w:cs="Arial"/>
          <w:sz w:val="24"/>
          <w:szCs w:val="24"/>
        </w:rPr>
        <w:t xml:space="preserve"> como </w:t>
      </w:r>
      <w:r w:rsidR="00C767F7" w:rsidRPr="00C767F7">
        <w:rPr>
          <w:rFonts w:ascii="Arial" w:hAnsi="Arial" w:cs="Arial"/>
          <w:sz w:val="24"/>
          <w:szCs w:val="24"/>
          <w:u w:val="single"/>
        </w:rPr>
        <w:t>penalidade administrativa</w:t>
      </w:r>
      <w:r w:rsidR="00F406D9">
        <w:rPr>
          <w:rFonts w:ascii="Arial" w:hAnsi="Arial" w:cs="Arial"/>
          <w:sz w:val="24"/>
          <w:szCs w:val="24"/>
          <w:u w:val="single"/>
        </w:rPr>
        <w:t xml:space="preserve"> restritiva de direitos</w:t>
      </w:r>
      <w:r w:rsidR="00C767F7">
        <w:rPr>
          <w:rFonts w:ascii="Arial" w:hAnsi="Arial" w:cs="Arial"/>
          <w:sz w:val="24"/>
          <w:szCs w:val="24"/>
        </w:rPr>
        <w:t xml:space="preserve"> a proibição de o condenado receber incentivos fiscais</w:t>
      </w:r>
      <w:r w:rsidR="00F406D9">
        <w:rPr>
          <w:rFonts w:ascii="Arial" w:hAnsi="Arial" w:cs="Arial"/>
          <w:sz w:val="24"/>
          <w:szCs w:val="24"/>
        </w:rPr>
        <w:t xml:space="preserve">, bem como sua perda </w:t>
      </w:r>
      <w:r>
        <w:rPr>
          <w:rFonts w:ascii="Arial" w:hAnsi="Arial" w:cs="Arial"/>
          <w:sz w:val="24"/>
          <w:szCs w:val="24"/>
        </w:rPr>
        <w:t>ou</w:t>
      </w:r>
      <w:r w:rsidR="00F406D9">
        <w:rPr>
          <w:rFonts w:ascii="Arial" w:hAnsi="Arial" w:cs="Arial"/>
          <w:sz w:val="24"/>
          <w:szCs w:val="24"/>
        </w:rPr>
        <w:t xml:space="preserve"> restrição</w:t>
      </w:r>
      <w:r>
        <w:rPr>
          <w:rFonts w:ascii="Arial" w:hAnsi="Arial" w:cs="Arial"/>
          <w:sz w:val="24"/>
          <w:szCs w:val="24"/>
        </w:rPr>
        <w:t xml:space="preserve"> caso os esteja fruindo</w:t>
      </w:r>
      <w:r w:rsidR="00F406D9">
        <w:rPr>
          <w:rFonts w:ascii="Arial" w:hAnsi="Arial" w:cs="Arial"/>
          <w:sz w:val="24"/>
          <w:szCs w:val="24"/>
        </w:rPr>
        <w:t xml:space="preserve"> (arts. 10 e 72, § 8º, III);</w:t>
      </w:r>
      <w:r w:rsidR="00C767F7">
        <w:rPr>
          <w:rFonts w:ascii="Arial" w:hAnsi="Arial" w:cs="Arial"/>
          <w:sz w:val="24"/>
          <w:szCs w:val="24"/>
        </w:rPr>
        <w:t xml:space="preserve"> e</w:t>
      </w:r>
      <w:r w:rsidR="00966A5C">
        <w:rPr>
          <w:rFonts w:ascii="Arial" w:hAnsi="Arial" w:cs="Arial"/>
          <w:sz w:val="24"/>
          <w:szCs w:val="24"/>
        </w:rPr>
        <w:t xml:space="preserve"> </w:t>
      </w:r>
      <w:r w:rsidR="002B7796">
        <w:rPr>
          <w:rFonts w:ascii="Arial" w:hAnsi="Arial" w:cs="Arial"/>
          <w:sz w:val="24"/>
          <w:szCs w:val="24"/>
        </w:rPr>
        <w:t>b)</w:t>
      </w:r>
      <w:r w:rsidR="00C2176D">
        <w:rPr>
          <w:rFonts w:ascii="Arial" w:hAnsi="Arial" w:cs="Arial"/>
          <w:sz w:val="24"/>
          <w:szCs w:val="24"/>
        </w:rPr>
        <w:t xml:space="preserve"> como</w:t>
      </w:r>
      <w:r w:rsidR="00C767F7">
        <w:rPr>
          <w:rFonts w:ascii="Arial" w:hAnsi="Arial" w:cs="Arial"/>
          <w:sz w:val="24"/>
          <w:szCs w:val="24"/>
        </w:rPr>
        <w:t xml:space="preserve"> </w:t>
      </w:r>
      <w:r w:rsidR="00C2176D" w:rsidRPr="00966A5C">
        <w:rPr>
          <w:rFonts w:ascii="Arial" w:hAnsi="Arial" w:cs="Arial"/>
          <w:sz w:val="24"/>
          <w:szCs w:val="24"/>
          <w:u w:val="single"/>
        </w:rPr>
        <w:t>circunstância agravante</w:t>
      </w:r>
      <w:r w:rsidR="00C2176D">
        <w:rPr>
          <w:rFonts w:ascii="Arial" w:hAnsi="Arial" w:cs="Arial"/>
          <w:sz w:val="24"/>
          <w:szCs w:val="24"/>
        </w:rPr>
        <w:t xml:space="preserve"> na aplicação de penalidade administrativa o fato de</w:t>
      </w:r>
      <w:r w:rsidR="00C2176D" w:rsidRPr="00C2176D">
        <w:rPr>
          <w:rFonts w:ascii="Arial" w:hAnsi="Arial" w:cs="Arial"/>
          <w:sz w:val="24"/>
          <w:szCs w:val="24"/>
        </w:rPr>
        <w:t xml:space="preserve"> a </w:t>
      </w:r>
      <w:r w:rsidR="00C2176D">
        <w:rPr>
          <w:rFonts w:ascii="Arial" w:hAnsi="Arial" w:cs="Arial"/>
          <w:sz w:val="24"/>
          <w:szCs w:val="24"/>
        </w:rPr>
        <w:t xml:space="preserve">infração ter sido cometida </w:t>
      </w:r>
      <w:r w:rsidR="00C2176D" w:rsidRPr="00C2176D">
        <w:rPr>
          <w:rFonts w:ascii="Arial" w:hAnsi="Arial" w:cs="Arial"/>
          <w:sz w:val="24"/>
          <w:szCs w:val="24"/>
        </w:rPr>
        <w:t>no interesse de pessoa jurídica mantida, total ou parcialmente, por verbas públicas ou beneficiada por incentivos fiscais</w:t>
      </w:r>
      <w:r w:rsidR="00C2176D">
        <w:rPr>
          <w:rFonts w:ascii="Arial" w:hAnsi="Arial" w:cs="Arial"/>
          <w:sz w:val="24"/>
          <w:szCs w:val="24"/>
        </w:rPr>
        <w:t xml:space="preserve"> (art. 15, II, “p”</w:t>
      </w:r>
      <w:r w:rsidR="002B7796">
        <w:rPr>
          <w:rFonts w:ascii="Arial" w:hAnsi="Arial" w:cs="Arial"/>
          <w:sz w:val="24"/>
          <w:szCs w:val="24"/>
        </w:rPr>
        <w:t>).</w:t>
      </w:r>
      <w:r w:rsidR="00001B12">
        <w:rPr>
          <w:rFonts w:ascii="Arial" w:hAnsi="Arial" w:cs="Arial"/>
          <w:sz w:val="24"/>
          <w:szCs w:val="24"/>
        </w:rPr>
        <w:t xml:space="preserve"> </w:t>
      </w:r>
      <w:r w:rsidR="007C23E4">
        <w:rPr>
          <w:rFonts w:ascii="Arial" w:hAnsi="Arial" w:cs="Arial"/>
          <w:sz w:val="24"/>
          <w:szCs w:val="24"/>
        </w:rPr>
        <w:t>Anos mais tarde, a</w:t>
      </w:r>
      <w:r w:rsidR="00001B12">
        <w:rPr>
          <w:rFonts w:ascii="Arial" w:hAnsi="Arial" w:cs="Arial"/>
          <w:sz w:val="24"/>
          <w:szCs w:val="24"/>
        </w:rPr>
        <w:t xml:space="preserve"> </w:t>
      </w:r>
      <w:r w:rsidR="00001B12" w:rsidRPr="00B62FBC">
        <w:rPr>
          <w:rFonts w:ascii="Arial" w:hAnsi="Arial" w:cs="Arial"/>
          <w:b/>
          <w:sz w:val="24"/>
          <w:szCs w:val="24"/>
        </w:rPr>
        <w:t>Lei nº 18.102/2013</w:t>
      </w:r>
      <w:r w:rsidR="00001B12">
        <w:rPr>
          <w:rFonts w:ascii="Arial" w:hAnsi="Arial" w:cs="Arial"/>
          <w:sz w:val="24"/>
          <w:szCs w:val="24"/>
        </w:rPr>
        <w:t xml:space="preserve"> reproduziu essas disposições no ordenamento jurídico estadual (arts. 5º, II, “o”, </w:t>
      </w:r>
      <w:r w:rsidR="0048756C">
        <w:rPr>
          <w:rFonts w:ascii="Arial" w:hAnsi="Arial" w:cs="Arial"/>
          <w:sz w:val="24"/>
          <w:szCs w:val="24"/>
        </w:rPr>
        <w:t xml:space="preserve">e </w:t>
      </w:r>
      <w:r w:rsidR="00001B12">
        <w:rPr>
          <w:rFonts w:ascii="Arial" w:hAnsi="Arial" w:cs="Arial"/>
          <w:sz w:val="24"/>
          <w:szCs w:val="24"/>
        </w:rPr>
        <w:t>25, III).</w:t>
      </w:r>
    </w:p>
    <w:p w14:paraId="1AAC9FDA" w14:textId="7ADA375E" w:rsidR="00C66458" w:rsidRDefault="00C66458" w:rsidP="00B77413">
      <w:pPr>
        <w:spacing w:line="360" w:lineRule="auto"/>
        <w:ind w:firstLine="851"/>
        <w:jc w:val="both"/>
        <w:rPr>
          <w:rFonts w:ascii="Arial" w:hAnsi="Arial" w:cs="Arial"/>
          <w:sz w:val="24"/>
          <w:szCs w:val="24"/>
        </w:rPr>
      </w:pPr>
      <w:r w:rsidRPr="00A6367B">
        <w:rPr>
          <w:rFonts w:ascii="Arial" w:hAnsi="Arial" w:cs="Arial"/>
          <w:sz w:val="24"/>
          <w:szCs w:val="24"/>
        </w:rPr>
        <w:t>No âmbito do</w:t>
      </w:r>
      <w:r w:rsidRPr="00A6367B">
        <w:rPr>
          <w:rFonts w:ascii="Arial" w:hAnsi="Arial" w:cs="Arial"/>
          <w:b/>
          <w:sz w:val="24"/>
          <w:szCs w:val="24"/>
        </w:rPr>
        <w:t xml:space="preserve"> </w:t>
      </w:r>
      <w:r w:rsidR="00A6367B" w:rsidRPr="00A6367B">
        <w:rPr>
          <w:rFonts w:ascii="Arial" w:hAnsi="Arial" w:cs="Arial"/>
          <w:b/>
          <w:sz w:val="24"/>
          <w:szCs w:val="24"/>
        </w:rPr>
        <w:t xml:space="preserve">Programa </w:t>
      </w:r>
      <w:r w:rsidRPr="00A6367B">
        <w:rPr>
          <w:rFonts w:ascii="Arial" w:hAnsi="Arial" w:cs="Arial"/>
          <w:b/>
          <w:sz w:val="24"/>
          <w:szCs w:val="24"/>
        </w:rPr>
        <w:t>Produzir</w:t>
      </w:r>
      <w:r w:rsidRPr="00A6367B">
        <w:rPr>
          <w:rFonts w:ascii="Arial" w:hAnsi="Arial" w:cs="Arial"/>
          <w:sz w:val="24"/>
          <w:szCs w:val="24"/>
        </w:rPr>
        <w:t xml:space="preserve">, a </w:t>
      </w:r>
      <w:r w:rsidRPr="00A6367B">
        <w:rPr>
          <w:rFonts w:ascii="Arial" w:hAnsi="Arial" w:cs="Arial"/>
          <w:sz w:val="24"/>
          <w:szCs w:val="24"/>
          <w:u w:val="single"/>
        </w:rPr>
        <w:t>Lei nº 13.591/2000</w:t>
      </w:r>
      <w:r w:rsidRPr="00A6367B">
        <w:rPr>
          <w:rFonts w:ascii="Arial" w:hAnsi="Arial" w:cs="Arial"/>
          <w:sz w:val="24"/>
          <w:szCs w:val="24"/>
        </w:rPr>
        <w:t xml:space="preserve"> previu</w:t>
      </w:r>
      <w:r>
        <w:rPr>
          <w:rFonts w:ascii="Arial" w:hAnsi="Arial" w:cs="Arial"/>
          <w:sz w:val="24"/>
          <w:szCs w:val="24"/>
        </w:rPr>
        <w:t>, como hipótese de suspensão ou revogação do contrato de financiamento com a GOIÁSFOMENTO pela Comissão Executiva do Programa,</w:t>
      </w:r>
      <w:r w:rsidR="009C5D61">
        <w:rPr>
          <w:rFonts w:ascii="Arial" w:hAnsi="Arial" w:cs="Arial"/>
          <w:sz w:val="24"/>
          <w:szCs w:val="24"/>
        </w:rPr>
        <w:t xml:space="preserve"> a “</w:t>
      </w:r>
      <w:r w:rsidR="009C5D61" w:rsidRPr="009C5D61">
        <w:rPr>
          <w:rFonts w:ascii="Arial" w:hAnsi="Arial" w:cs="Arial"/>
          <w:sz w:val="24"/>
          <w:szCs w:val="24"/>
        </w:rPr>
        <w:t xml:space="preserve">conduta ou atividade lesiva ao meio ambiente, </w:t>
      </w:r>
      <w:r w:rsidR="009C5D61" w:rsidRPr="009C5D61">
        <w:rPr>
          <w:rFonts w:ascii="Arial" w:hAnsi="Arial" w:cs="Arial"/>
          <w:sz w:val="24"/>
          <w:szCs w:val="24"/>
        </w:rPr>
        <w:lastRenderedPageBreak/>
        <w:t>tipificada no Capítulo V, “dos crimes contra o meio ambiente”, artigos 29 a 69, da Lei Federal nº 9.605, de 12 de fevereiro de 1998</w:t>
      </w:r>
      <w:r w:rsidR="009C5D61">
        <w:rPr>
          <w:rFonts w:ascii="Arial" w:hAnsi="Arial" w:cs="Arial"/>
          <w:sz w:val="24"/>
          <w:szCs w:val="24"/>
        </w:rPr>
        <w:t xml:space="preserve">”. Posteriormente, a </w:t>
      </w:r>
      <w:r w:rsidR="009C5D61" w:rsidRPr="00A6367B">
        <w:rPr>
          <w:rFonts w:ascii="Arial" w:hAnsi="Arial" w:cs="Arial"/>
          <w:sz w:val="24"/>
          <w:szCs w:val="24"/>
          <w:u w:val="single"/>
        </w:rPr>
        <w:t>Lei nº 18.307/2013</w:t>
      </w:r>
      <w:r>
        <w:rPr>
          <w:rFonts w:ascii="Arial" w:hAnsi="Arial" w:cs="Arial"/>
          <w:sz w:val="24"/>
          <w:szCs w:val="24"/>
        </w:rPr>
        <w:t xml:space="preserve"> </w:t>
      </w:r>
      <w:r w:rsidR="009C5D61">
        <w:rPr>
          <w:rFonts w:ascii="Arial" w:hAnsi="Arial" w:cs="Arial"/>
          <w:sz w:val="24"/>
          <w:szCs w:val="24"/>
        </w:rPr>
        <w:t>imprimiu nova redação ao dispositivo para constar simplesmente “</w:t>
      </w:r>
      <w:r w:rsidR="009C5D61" w:rsidRPr="009C5D61">
        <w:rPr>
          <w:rFonts w:ascii="Arial" w:hAnsi="Arial" w:cs="Arial"/>
          <w:sz w:val="24"/>
          <w:szCs w:val="24"/>
        </w:rPr>
        <w:t>conduta ou atividade lesiva ao meio ambiente, tipificada em lei específica</w:t>
      </w:r>
      <w:r w:rsidR="009C5D61">
        <w:rPr>
          <w:rFonts w:ascii="Arial" w:hAnsi="Arial" w:cs="Arial"/>
          <w:sz w:val="24"/>
          <w:szCs w:val="24"/>
        </w:rPr>
        <w:t xml:space="preserve">”, de modo a conferir maior amplitude ao comando legal. Por fim, a </w:t>
      </w:r>
      <w:r w:rsidR="009C5D61" w:rsidRPr="00A6367B">
        <w:rPr>
          <w:rFonts w:ascii="Arial" w:hAnsi="Arial" w:cs="Arial"/>
          <w:sz w:val="24"/>
          <w:szCs w:val="24"/>
          <w:u w:val="single"/>
        </w:rPr>
        <w:t>Lei nº 18.933/2015</w:t>
      </w:r>
      <w:r w:rsidR="009C5D61">
        <w:rPr>
          <w:rFonts w:ascii="Arial" w:hAnsi="Arial" w:cs="Arial"/>
          <w:sz w:val="24"/>
          <w:szCs w:val="24"/>
        </w:rPr>
        <w:t xml:space="preserve"> trouxe ao dispositivo sua última alteração, que é a redação atual,</w:t>
      </w:r>
      <w:r w:rsidR="00B25E8E">
        <w:rPr>
          <w:rFonts w:ascii="Arial" w:hAnsi="Arial" w:cs="Arial"/>
          <w:sz w:val="24"/>
          <w:szCs w:val="24"/>
        </w:rPr>
        <w:t xml:space="preserve"> com o acréscimo negritado abaixo</w:t>
      </w:r>
      <w:r w:rsidR="009C5D61">
        <w:rPr>
          <w:rFonts w:ascii="Arial" w:hAnsi="Arial" w:cs="Arial"/>
          <w:sz w:val="24"/>
          <w:szCs w:val="24"/>
        </w:rPr>
        <w:t>:</w:t>
      </w:r>
    </w:p>
    <w:p w14:paraId="28F805C6" w14:textId="77777777" w:rsidR="009C5D61" w:rsidRPr="009C5D61" w:rsidRDefault="009C5D61" w:rsidP="00B77413">
      <w:pPr>
        <w:spacing w:line="360" w:lineRule="auto"/>
        <w:ind w:firstLine="851"/>
        <w:jc w:val="both"/>
        <w:rPr>
          <w:rFonts w:ascii="Arial" w:hAnsi="Arial" w:cs="Arial"/>
          <w:sz w:val="24"/>
          <w:szCs w:val="24"/>
        </w:rPr>
      </w:pPr>
    </w:p>
    <w:p w14:paraId="5C2B1753" w14:textId="64AD8074" w:rsidR="00C66458" w:rsidRPr="00C66458" w:rsidRDefault="00C66458" w:rsidP="008D5153">
      <w:pPr>
        <w:pStyle w:val="Corpodetexto"/>
        <w:spacing w:after="0"/>
        <w:ind w:left="2268"/>
        <w:jc w:val="both"/>
        <w:rPr>
          <w:rFonts w:cs="Arial"/>
          <w:color w:val="000000"/>
          <w:sz w:val="22"/>
          <w:szCs w:val="22"/>
        </w:rPr>
      </w:pPr>
      <w:r w:rsidRPr="00C66458">
        <w:rPr>
          <w:rFonts w:cs="Arial"/>
          <w:color w:val="000000"/>
          <w:sz w:val="22"/>
          <w:szCs w:val="22"/>
        </w:rPr>
        <w:t xml:space="preserve">Art. 24. O contrato de financiamento poderá ser suspenso ou revogado pela </w:t>
      </w:r>
      <w:r>
        <w:rPr>
          <w:rFonts w:cs="Arial"/>
          <w:color w:val="000000"/>
          <w:sz w:val="22"/>
          <w:szCs w:val="22"/>
        </w:rPr>
        <w:t>Comissão Executiva do PRODUZIR.</w:t>
      </w:r>
    </w:p>
    <w:p w14:paraId="0B3F137E" w14:textId="77777777" w:rsidR="00C66458" w:rsidRPr="00C66458" w:rsidRDefault="00C66458" w:rsidP="008D5153">
      <w:pPr>
        <w:pStyle w:val="NormalWeb"/>
        <w:spacing w:before="0" w:beforeAutospacing="0" w:after="0" w:afterAutospacing="0"/>
        <w:ind w:left="2268"/>
        <w:rPr>
          <w:rFonts w:ascii="Arial" w:hAnsi="Arial" w:cs="Arial"/>
          <w:color w:val="000000"/>
          <w:sz w:val="22"/>
          <w:szCs w:val="22"/>
        </w:rPr>
      </w:pPr>
      <w:r w:rsidRPr="00C66458">
        <w:rPr>
          <w:rFonts w:ascii="Arial" w:hAnsi="Arial" w:cs="Arial"/>
          <w:color w:val="000000"/>
          <w:sz w:val="22"/>
          <w:szCs w:val="22"/>
        </w:rPr>
        <w:t>§ 1º - O contrato poderá ser suspenso, se ocorrer:</w:t>
      </w:r>
    </w:p>
    <w:p w14:paraId="39EA47B1" w14:textId="582D8EB2" w:rsidR="00C66458" w:rsidRDefault="00C66458" w:rsidP="008D5153">
      <w:pPr>
        <w:pStyle w:val="NormalWeb"/>
        <w:spacing w:before="0" w:beforeAutospacing="0" w:after="0" w:afterAutospacing="0"/>
        <w:ind w:left="2268"/>
        <w:jc w:val="both"/>
        <w:rPr>
          <w:rFonts w:ascii="Arial" w:hAnsi="Arial" w:cs="Arial"/>
          <w:color w:val="000000"/>
          <w:sz w:val="22"/>
          <w:szCs w:val="22"/>
        </w:rPr>
      </w:pPr>
      <w:r w:rsidRPr="00C66458">
        <w:rPr>
          <w:rFonts w:ascii="Arial" w:hAnsi="Arial" w:cs="Arial"/>
          <w:color w:val="000000"/>
          <w:sz w:val="22"/>
          <w:szCs w:val="22"/>
        </w:rPr>
        <w:t xml:space="preserve">IV - conduta ou atividade lesiva ao meio ambiente, tipificada em lei específica, </w:t>
      </w:r>
      <w:r w:rsidRPr="00B25E8E">
        <w:rPr>
          <w:rFonts w:ascii="Arial" w:hAnsi="Arial" w:cs="Arial"/>
          <w:b/>
          <w:color w:val="000000"/>
          <w:sz w:val="22"/>
          <w:szCs w:val="22"/>
        </w:rPr>
        <w:t>reconhecida em decisão final do órgão julgador ambiental em processo administrativo nas esferas municipais, estaduais e federais ou por órgão colegiado na instância judicial</w:t>
      </w:r>
      <w:r w:rsidRPr="00C66458">
        <w:rPr>
          <w:rFonts w:ascii="Arial" w:hAnsi="Arial" w:cs="Arial"/>
          <w:color w:val="000000"/>
          <w:sz w:val="22"/>
          <w:szCs w:val="22"/>
        </w:rPr>
        <w:t>;</w:t>
      </w:r>
    </w:p>
    <w:p w14:paraId="66C8384D" w14:textId="6AA31E28" w:rsidR="00C66458" w:rsidRPr="00C66458" w:rsidRDefault="00C66458" w:rsidP="008D5153">
      <w:pPr>
        <w:pStyle w:val="NormalWeb"/>
        <w:spacing w:before="0" w:beforeAutospacing="0" w:after="0" w:afterAutospacing="0"/>
        <w:ind w:left="2268"/>
        <w:rPr>
          <w:rFonts w:ascii="Arial" w:hAnsi="Arial" w:cs="Arial"/>
          <w:color w:val="000000"/>
          <w:sz w:val="22"/>
          <w:szCs w:val="22"/>
        </w:rPr>
      </w:pPr>
      <w:r>
        <w:rPr>
          <w:rFonts w:ascii="Arial" w:hAnsi="Arial" w:cs="Arial"/>
          <w:color w:val="000000"/>
          <w:sz w:val="22"/>
          <w:szCs w:val="22"/>
        </w:rPr>
        <w:t>[...].</w:t>
      </w:r>
    </w:p>
    <w:p w14:paraId="6595BA79" w14:textId="77777777" w:rsidR="00C66458" w:rsidRDefault="00C66458" w:rsidP="00B77413">
      <w:pPr>
        <w:spacing w:line="360" w:lineRule="auto"/>
        <w:ind w:firstLine="851"/>
        <w:jc w:val="both"/>
        <w:rPr>
          <w:rFonts w:ascii="Arial" w:hAnsi="Arial" w:cs="Arial"/>
          <w:sz w:val="24"/>
          <w:szCs w:val="24"/>
        </w:rPr>
      </w:pPr>
    </w:p>
    <w:p w14:paraId="02EB6887" w14:textId="3EEBB940" w:rsidR="00B25E8E" w:rsidRDefault="00B25E8E" w:rsidP="00B77413">
      <w:pPr>
        <w:spacing w:line="360" w:lineRule="auto"/>
        <w:ind w:firstLine="851"/>
        <w:jc w:val="both"/>
        <w:rPr>
          <w:rFonts w:ascii="Arial" w:hAnsi="Arial" w:cs="Arial"/>
          <w:sz w:val="24"/>
          <w:szCs w:val="24"/>
        </w:rPr>
      </w:pPr>
      <w:r w:rsidRPr="000F3910">
        <w:rPr>
          <w:rFonts w:ascii="Arial" w:hAnsi="Arial" w:cs="Arial"/>
          <w:b/>
          <w:sz w:val="24"/>
          <w:szCs w:val="24"/>
        </w:rPr>
        <w:t>No âmbito do Programa Fomentar, a Lei nº 18.199/2013 incluiu a possibilidade de suspensão ou revogação do contrato de financiamento com a GOIÁSFOMENTO</w:t>
      </w:r>
      <w:r>
        <w:rPr>
          <w:rFonts w:ascii="Arial" w:hAnsi="Arial" w:cs="Arial"/>
          <w:sz w:val="24"/>
          <w:szCs w:val="24"/>
        </w:rPr>
        <w:t xml:space="preserve"> pelo Conselho Deliberativo do programa</w:t>
      </w:r>
      <w:r w:rsidR="00A6367B">
        <w:rPr>
          <w:rFonts w:ascii="Arial" w:hAnsi="Arial" w:cs="Arial"/>
          <w:sz w:val="24"/>
          <w:szCs w:val="24"/>
        </w:rPr>
        <w:t xml:space="preserve"> em razão de “</w:t>
      </w:r>
      <w:r w:rsidR="00A6367B" w:rsidRPr="00A6367B">
        <w:rPr>
          <w:rFonts w:ascii="Arial" w:hAnsi="Arial" w:cs="Arial"/>
          <w:sz w:val="24"/>
          <w:szCs w:val="24"/>
        </w:rPr>
        <w:t>conduta ou atividade lesiva ao meio ambiente, tipificada em lei específica</w:t>
      </w:r>
      <w:r w:rsidR="00A6367B">
        <w:rPr>
          <w:rFonts w:ascii="Arial" w:hAnsi="Arial" w:cs="Arial"/>
          <w:sz w:val="24"/>
          <w:szCs w:val="24"/>
        </w:rPr>
        <w:t>” – mesma redação trazida pela Lei nº 18.307/2013 em relação ao Programa Produzir – texto que vige até hoje</w:t>
      </w:r>
      <w:r w:rsidR="000F3910">
        <w:rPr>
          <w:rFonts w:ascii="Arial" w:hAnsi="Arial" w:cs="Arial"/>
          <w:sz w:val="24"/>
          <w:szCs w:val="24"/>
        </w:rPr>
        <w:t xml:space="preserve"> (Lei nº 11.180/1990, art. 7º, § 1º, III)</w:t>
      </w:r>
      <w:r w:rsidR="00A6367B">
        <w:rPr>
          <w:rFonts w:ascii="Arial" w:hAnsi="Arial" w:cs="Arial"/>
          <w:sz w:val="24"/>
          <w:szCs w:val="24"/>
        </w:rPr>
        <w:t>.</w:t>
      </w:r>
    </w:p>
    <w:p w14:paraId="06E929A5" w14:textId="25352579" w:rsidR="00E7453B" w:rsidRPr="00BF2CB7" w:rsidRDefault="00E7453B" w:rsidP="00B77413">
      <w:pPr>
        <w:spacing w:line="360" w:lineRule="auto"/>
        <w:ind w:firstLine="851"/>
        <w:jc w:val="both"/>
        <w:rPr>
          <w:rFonts w:ascii="Arial" w:hAnsi="Arial" w:cs="Arial"/>
          <w:sz w:val="24"/>
          <w:szCs w:val="24"/>
        </w:rPr>
      </w:pPr>
      <w:r>
        <w:rPr>
          <w:rFonts w:ascii="Arial" w:hAnsi="Arial" w:cs="Arial"/>
          <w:sz w:val="24"/>
          <w:szCs w:val="24"/>
        </w:rPr>
        <w:t xml:space="preserve">A fim de entender melhor como o Estado de Goiás vem </w:t>
      </w:r>
      <w:r w:rsidR="00FF3D56">
        <w:rPr>
          <w:rFonts w:ascii="Arial" w:hAnsi="Arial" w:cs="Arial"/>
          <w:sz w:val="24"/>
          <w:szCs w:val="24"/>
        </w:rPr>
        <w:t>aplicando</w:t>
      </w:r>
      <w:r>
        <w:rPr>
          <w:rFonts w:ascii="Arial" w:hAnsi="Arial" w:cs="Arial"/>
          <w:sz w:val="24"/>
          <w:szCs w:val="24"/>
        </w:rPr>
        <w:t>, na prática, esses dispositivos constitucionais e legais</w:t>
      </w:r>
      <w:r w:rsidR="00FF3D56">
        <w:rPr>
          <w:rFonts w:ascii="Arial" w:hAnsi="Arial" w:cs="Arial"/>
          <w:sz w:val="24"/>
          <w:szCs w:val="24"/>
        </w:rPr>
        <w:t xml:space="preserve"> às empresas beneficiárias de incentivos fiscais</w:t>
      </w:r>
      <w:r>
        <w:rPr>
          <w:rFonts w:ascii="Arial" w:hAnsi="Arial" w:cs="Arial"/>
          <w:sz w:val="24"/>
          <w:szCs w:val="24"/>
        </w:rPr>
        <w:t>,</w:t>
      </w:r>
      <w:r w:rsidR="00FF3D56">
        <w:rPr>
          <w:rFonts w:ascii="Arial" w:hAnsi="Arial" w:cs="Arial"/>
          <w:sz w:val="24"/>
          <w:szCs w:val="24"/>
        </w:rPr>
        <w:t xml:space="preserve"> </w:t>
      </w:r>
      <w:r w:rsidR="00FF3D56" w:rsidRPr="00E87207">
        <w:rPr>
          <w:rFonts w:ascii="Arial" w:hAnsi="Arial" w:cs="Arial"/>
          <w:b/>
          <w:sz w:val="24"/>
          <w:szCs w:val="24"/>
        </w:rPr>
        <w:t>esta CPI oficiou à</w:t>
      </w:r>
      <w:r w:rsidR="00F6210E" w:rsidRPr="00E87207">
        <w:rPr>
          <w:rFonts w:ascii="Arial" w:hAnsi="Arial" w:cs="Arial"/>
          <w:b/>
          <w:sz w:val="24"/>
          <w:szCs w:val="24"/>
        </w:rPr>
        <w:t>s</w:t>
      </w:r>
      <w:r w:rsidR="00FF3D56" w:rsidRPr="00E87207">
        <w:rPr>
          <w:rFonts w:ascii="Arial" w:hAnsi="Arial" w:cs="Arial"/>
          <w:b/>
          <w:sz w:val="24"/>
          <w:szCs w:val="24"/>
        </w:rPr>
        <w:t xml:space="preserve"> Secretaria</w:t>
      </w:r>
      <w:r w:rsidR="00F6210E" w:rsidRPr="00E87207">
        <w:rPr>
          <w:rFonts w:ascii="Arial" w:hAnsi="Arial" w:cs="Arial"/>
          <w:b/>
          <w:sz w:val="24"/>
          <w:szCs w:val="24"/>
        </w:rPr>
        <w:t>s de Estado</w:t>
      </w:r>
      <w:r w:rsidR="00FF3D56" w:rsidRPr="00BF2CB7">
        <w:rPr>
          <w:rFonts w:ascii="Arial" w:hAnsi="Arial" w:cs="Arial"/>
          <w:sz w:val="24"/>
          <w:szCs w:val="24"/>
        </w:rPr>
        <w:t xml:space="preserve"> </w:t>
      </w:r>
      <w:r w:rsidR="003E4F3F" w:rsidRPr="00BF2CB7">
        <w:rPr>
          <w:rFonts w:ascii="Arial" w:hAnsi="Arial" w:cs="Arial"/>
          <w:sz w:val="24"/>
          <w:szCs w:val="24"/>
        </w:rPr>
        <w:t xml:space="preserve">de </w:t>
      </w:r>
      <w:r w:rsidR="003E4F3F" w:rsidRPr="00E87207">
        <w:rPr>
          <w:rFonts w:ascii="Arial" w:hAnsi="Arial" w:cs="Arial"/>
          <w:sz w:val="24"/>
          <w:szCs w:val="24"/>
          <w:u w:val="single"/>
        </w:rPr>
        <w:t>Meio Ambiente e Desenvolvimento Sustentável</w:t>
      </w:r>
      <w:r w:rsidR="00BF2CB7" w:rsidRPr="00BF2CB7">
        <w:rPr>
          <w:rFonts w:ascii="Arial" w:hAnsi="Arial" w:cs="Arial"/>
          <w:b/>
          <w:sz w:val="24"/>
          <w:szCs w:val="24"/>
        </w:rPr>
        <w:t xml:space="preserve"> </w:t>
      </w:r>
      <w:r w:rsidR="003E4F3F" w:rsidRPr="00BF2CB7">
        <w:rPr>
          <w:rFonts w:ascii="Arial" w:hAnsi="Arial" w:cs="Arial"/>
          <w:sz w:val="24"/>
          <w:szCs w:val="24"/>
        </w:rPr>
        <w:t>(</w:t>
      </w:r>
      <w:r w:rsidR="00813C3A" w:rsidRPr="00BF2CB7">
        <w:rPr>
          <w:rFonts w:ascii="Arial" w:hAnsi="Arial" w:cs="Arial"/>
          <w:sz w:val="24"/>
          <w:szCs w:val="24"/>
        </w:rPr>
        <w:t>Ofício nº 24/2019-CPI</w:t>
      </w:r>
      <w:r w:rsidR="003E4F3F" w:rsidRPr="00BF2CB7">
        <w:rPr>
          <w:rFonts w:ascii="Arial" w:hAnsi="Arial" w:cs="Arial"/>
          <w:sz w:val="24"/>
          <w:szCs w:val="24"/>
        </w:rPr>
        <w:t>),</w:t>
      </w:r>
      <w:r w:rsidR="00FE5A23" w:rsidRPr="00BF2CB7">
        <w:rPr>
          <w:rFonts w:ascii="Arial" w:hAnsi="Arial" w:cs="Arial"/>
          <w:sz w:val="24"/>
          <w:szCs w:val="24"/>
        </w:rPr>
        <w:t xml:space="preserve"> da</w:t>
      </w:r>
      <w:r w:rsidR="003E4F3F" w:rsidRPr="00BF2CB7">
        <w:rPr>
          <w:rFonts w:ascii="Arial" w:hAnsi="Arial" w:cs="Arial"/>
          <w:sz w:val="24"/>
          <w:szCs w:val="24"/>
        </w:rPr>
        <w:t xml:space="preserve"> </w:t>
      </w:r>
      <w:r w:rsidR="00FF3D56" w:rsidRPr="00E87207">
        <w:rPr>
          <w:rFonts w:ascii="Arial" w:hAnsi="Arial" w:cs="Arial"/>
          <w:sz w:val="24"/>
          <w:szCs w:val="24"/>
          <w:u w:val="single"/>
        </w:rPr>
        <w:t>Economia</w:t>
      </w:r>
      <w:r w:rsidR="00FF3D56" w:rsidRPr="00BF2CB7">
        <w:rPr>
          <w:rFonts w:ascii="Arial" w:hAnsi="Arial" w:cs="Arial"/>
          <w:sz w:val="24"/>
          <w:szCs w:val="24"/>
        </w:rPr>
        <w:t xml:space="preserve"> (Ofício nº 26/2019-CPI), </w:t>
      </w:r>
      <w:r w:rsidR="00A10A2B" w:rsidRPr="00BF2CB7">
        <w:rPr>
          <w:rFonts w:ascii="Arial" w:hAnsi="Arial" w:cs="Arial"/>
          <w:sz w:val="24"/>
          <w:szCs w:val="24"/>
        </w:rPr>
        <w:t>e de</w:t>
      </w:r>
      <w:r w:rsidR="00FF3D56" w:rsidRPr="00BF2CB7">
        <w:rPr>
          <w:rFonts w:ascii="Arial" w:hAnsi="Arial" w:cs="Arial"/>
          <w:sz w:val="24"/>
          <w:szCs w:val="24"/>
        </w:rPr>
        <w:t xml:space="preserve"> </w:t>
      </w:r>
      <w:r w:rsidR="00FF3D56" w:rsidRPr="00E87207">
        <w:rPr>
          <w:rFonts w:ascii="Arial" w:hAnsi="Arial" w:cs="Arial"/>
          <w:sz w:val="24"/>
          <w:szCs w:val="24"/>
          <w:u w:val="single"/>
        </w:rPr>
        <w:t>Indústria</w:t>
      </w:r>
      <w:r w:rsidR="00F6210E" w:rsidRPr="00E87207">
        <w:rPr>
          <w:rFonts w:ascii="Arial" w:hAnsi="Arial" w:cs="Arial"/>
          <w:sz w:val="24"/>
          <w:szCs w:val="24"/>
          <w:u w:val="single"/>
        </w:rPr>
        <w:t xml:space="preserve"> e Comércio</w:t>
      </w:r>
      <w:r w:rsidR="00F6210E" w:rsidRPr="00BF2CB7">
        <w:rPr>
          <w:rFonts w:ascii="Arial" w:hAnsi="Arial" w:cs="Arial"/>
          <w:sz w:val="24"/>
          <w:szCs w:val="24"/>
        </w:rPr>
        <w:t xml:space="preserve"> (Ofício nº 30/2019-CPI)</w:t>
      </w:r>
      <w:r w:rsidR="003C7A97" w:rsidRPr="00BF2CB7">
        <w:rPr>
          <w:rFonts w:ascii="Arial" w:hAnsi="Arial" w:cs="Arial"/>
          <w:sz w:val="24"/>
          <w:szCs w:val="24"/>
        </w:rPr>
        <w:t>.</w:t>
      </w:r>
    </w:p>
    <w:p w14:paraId="4677AAD8" w14:textId="77777777" w:rsidR="00E87207" w:rsidRDefault="00E87207" w:rsidP="00B77413">
      <w:pPr>
        <w:spacing w:line="360" w:lineRule="auto"/>
        <w:ind w:firstLine="851"/>
        <w:jc w:val="both"/>
        <w:rPr>
          <w:rFonts w:ascii="Arial" w:hAnsi="Arial" w:cs="Arial"/>
          <w:b/>
          <w:sz w:val="24"/>
          <w:szCs w:val="24"/>
        </w:rPr>
      </w:pPr>
    </w:p>
    <w:p w14:paraId="4905D11C" w14:textId="77777777" w:rsidR="00C03504" w:rsidRDefault="00225AE1" w:rsidP="00225AE1">
      <w:pPr>
        <w:spacing w:line="360" w:lineRule="auto"/>
        <w:ind w:firstLine="851"/>
        <w:jc w:val="both"/>
        <w:rPr>
          <w:rFonts w:ascii="Arial" w:hAnsi="Arial" w:cs="Arial"/>
          <w:sz w:val="24"/>
          <w:szCs w:val="24"/>
        </w:rPr>
      </w:pPr>
      <w:r>
        <w:rPr>
          <w:rFonts w:ascii="Arial" w:hAnsi="Arial" w:cs="Arial"/>
          <w:b/>
          <w:sz w:val="24"/>
          <w:szCs w:val="24"/>
        </w:rPr>
        <w:t>8.3.2</w:t>
      </w:r>
      <w:r w:rsidRPr="00B34F58">
        <w:rPr>
          <w:rFonts w:ascii="Arial" w:hAnsi="Arial" w:cs="Arial"/>
          <w:b/>
          <w:sz w:val="24"/>
          <w:szCs w:val="24"/>
        </w:rPr>
        <w:t>.</w:t>
      </w:r>
      <w:r w:rsidR="00FC56C1" w:rsidRPr="00FC56C1">
        <w:rPr>
          <w:rFonts w:ascii="Arial" w:hAnsi="Arial" w:cs="Arial"/>
          <w:sz w:val="24"/>
          <w:szCs w:val="24"/>
        </w:rPr>
        <w:t xml:space="preserve"> </w:t>
      </w:r>
      <w:r w:rsidR="00FC56C1">
        <w:rPr>
          <w:rFonts w:ascii="Arial" w:hAnsi="Arial" w:cs="Arial"/>
          <w:sz w:val="24"/>
          <w:szCs w:val="24"/>
        </w:rPr>
        <w:t xml:space="preserve">Esta CPI </w:t>
      </w:r>
      <w:r w:rsidR="00FC56C1" w:rsidRPr="008E5050">
        <w:rPr>
          <w:rFonts w:ascii="Arial" w:hAnsi="Arial" w:cs="Arial"/>
          <w:sz w:val="24"/>
          <w:szCs w:val="24"/>
        </w:rPr>
        <w:t>requisitou das mencionadas pastas</w:t>
      </w:r>
      <w:r w:rsidR="008E5050">
        <w:rPr>
          <w:rFonts w:ascii="Arial" w:hAnsi="Arial" w:cs="Arial"/>
          <w:sz w:val="24"/>
          <w:szCs w:val="24"/>
        </w:rPr>
        <w:t xml:space="preserve"> </w:t>
      </w:r>
      <w:r w:rsidR="00240F6C">
        <w:rPr>
          <w:rFonts w:ascii="Arial" w:hAnsi="Arial" w:cs="Arial"/>
          <w:sz w:val="24"/>
          <w:szCs w:val="24"/>
        </w:rPr>
        <w:t xml:space="preserve">informação sobre a existência de </w:t>
      </w:r>
      <w:r w:rsidR="00240F6C" w:rsidRPr="00DC1C4F">
        <w:rPr>
          <w:rFonts w:ascii="Arial" w:hAnsi="Arial" w:cs="Arial"/>
          <w:b/>
          <w:sz w:val="24"/>
          <w:szCs w:val="24"/>
          <w:u w:val="single"/>
        </w:rPr>
        <w:t>sistema ou cruzamento de informações</w:t>
      </w:r>
      <w:r w:rsidR="00DC1C4F">
        <w:rPr>
          <w:rFonts w:ascii="Arial" w:hAnsi="Arial" w:cs="Arial"/>
          <w:sz w:val="24"/>
          <w:szCs w:val="24"/>
        </w:rPr>
        <w:t>,</w:t>
      </w:r>
      <w:r w:rsidR="00240F6C">
        <w:rPr>
          <w:rFonts w:ascii="Arial" w:hAnsi="Arial" w:cs="Arial"/>
          <w:sz w:val="24"/>
          <w:szCs w:val="24"/>
        </w:rPr>
        <w:t xml:space="preserve"> </w:t>
      </w:r>
      <w:r w:rsidR="00C03504">
        <w:rPr>
          <w:rFonts w:ascii="Arial" w:hAnsi="Arial" w:cs="Arial"/>
          <w:sz w:val="24"/>
          <w:szCs w:val="24"/>
        </w:rPr>
        <w:t>a fim de</w:t>
      </w:r>
      <w:r w:rsidR="00A25297">
        <w:rPr>
          <w:rFonts w:ascii="Arial" w:hAnsi="Arial" w:cs="Arial"/>
          <w:sz w:val="24"/>
          <w:szCs w:val="24"/>
        </w:rPr>
        <w:t xml:space="preserve"> que os órgãos envolvidos na operacionalização do</w:t>
      </w:r>
      <w:r w:rsidR="00C03504">
        <w:rPr>
          <w:rFonts w:ascii="Arial" w:hAnsi="Arial" w:cs="Arial"/>
          <w:sz w:val="24"/>
          <w:szCs w:val="24"/>
        </w:rPr>
        <w:t>s incentivos fiscais tenham</w:t>
      </w:r>
      <w:r w:rsidR="00A25297">
        <w:rPr>
          <w:rFonts w:ascii="Arial" w:hAnsi="Arial" w:cs="Arial"/>
          <w:sz w:val="24"/>
          <w:szCs w:val="24"/>
        </w:rPr>
        <w:t xml:space="preserve"> ciência das empresas beneficiárias </w:t>
      </w:r>
      <w:r w:rsidR="00C03504">
        <w:rPr>
          <w:rFonts w:ascii="Arial" w:hAnsi="Arial" w:cs="Arial"/>
          <w:sz w:val="24"/>
          <w:szCs w:val="24"/>
        </w:rPr>
        <w:t>em desfavor das quais pese</w:t>
      </w:r>
      <w:r w:rsidR="00A25297">
        <w:rPr>
          <w:rFonts w:ascii="Arial" w:hAnsi="Arial" w:cs="Arial"/>
          <w:sz w:val="24"/>
          <w:szCs w:val="24"/>
        </w:rPr>
        <w:t xml:space="preserve"> alguma espécie de condenação ambiental.</w:t>
      </w:r>
      <w:r w:rsidR="00C03504">
        <w:rPr>
          <w:rFonts w:ascii="Arial" w:hAnsi="Arial" w:cs="Arial"/>
          <w:sz w:val="24"/>
          <w:szCs w:val="24"/>
        </w:rPr>
        <w:t xml:space="preserve"> </w:t>
      </w:r>
    </w:p>
    <w:p w14:paraId="5F4709F0" w14:textId="58856BF9" w:rsidR="00225AE1" w:rsidRDefault="00C03504" w:rsidP="00225AE1">
      <w:pPr>
        <w:spacing w:line="360" w:lineRule="auto"/>
        <w:ind w:firstLine="851"/>
        <w:jc w:val="both"/>
        <w:rPr>
          <w:rFonts w:ascii="Arial" w:hAnsi="Arial" w:cs="Arial"/>
          <w:sz w:val="24"/>
          <w:szCs w:val="24"/>
        </w:rPr>
      </w:pPr>
      <w:r>
        <w:rPr>
          <w:rFonts w:ascii="Arial" w:hAnsi="Arial" w:cs="Arial"/>
          <w:sz w:val="24"/>
          <w:szCs w:val="24"/>
        </w:rPr>
        <w:t xml:space="preserve">Em relação a esse ponto, tanto a </w:t>
      </w:r>
      <w:r w:rsidRPr="00BC5B39">
        <w:rPr>
          <w:rFonts w:ascii="Arial" w:hAnsi="Arial" w:cs="Arial"/>
          <w:b/>
          <w:sz w:val="24"/>
          <w:szCs w:val="24"/>
        </w:rPr>
        <w:t xml:space="preserve">Secretaria </w:t>
      </w:r>
      <w:r w:rsidRPr="003B02CC">
        <w:rPr>
          <w:rFonts w:ascii="Arial" w:hAnsi="Arial" w:cs="Arial"/>
          <w:sz w:val="24"/>
          <w:szCs w:val="24"/>
        </w:rPr>
        <w:t xml:space="preserve">de Estado da </w:t>
      </w:r>
      <w:r w:rsidRPr="003B02CC">
        <w:rPr>
          <w:rFonts w:ascii="Arial" w:hAnsi="Arial" w:cs="Arial"/>
          <w:sz w:val="24"/>
          <w:szCs w:val="24"/>
          <w:u w:val="single"/>
        </w:rPr>
        <w:t>Economia</w:t>
      </w:r>
      <w:r>
        <w:rPr>
          <w:rFonts w:ascii="Arial" w:hAnsi="Arial" w:cs="Arial"/>
          <w:sz w:val="24"/>
          <w:szCs w:val="24"/>
        </w:rPr>
        <w:t xml:space="preserve"> como a de </w:t>
      </w:r>
      <w:r w:rsidRPr="003B02CC">
        <w:rPr>
          <w:rFonts w:ascii="Arial" w:hAnsi="Arial" w:cs="Arial"/>
          <w:sz w:val="24"/>
          <w:szCs w:val="24"/>
          <w:u w:val="single"/>
        </w:rPr>
        <w:t>Indústria e Comércio</w:t>
      </w:r>
      <w:r>
        <w:rPr>
          <w:rFonts w:ascii="Arial" w:hAnsi="Arial" w:cs="Arial"/>
          <w:sz w:val="24"/>
          <w:szCs w:val="24"/>
        </w:rPr>
        <w:t xml:space="preserve"> foram claras em afirmar a inexistência desse sistema ou controle, nos seguintes termos:</w:t>
      </w:r>
    </w:p>
    <w:p w14:paraId="118C13DD" w14:textId="77777777" w:rsidR="00BF3762" w:rsidRDefault="00BF3762" w:rsidP="00225AE1">
      <w:pPr>
        <w:spacing w:line="360" w:lineRule="auto"/>
        <w:ind w:firstLine="851"/>
        <w:jc w:val="both"/>
        <w:rPr>
          <w:rFonts w:ascii="Arial" w:hAnsi="Arial" w:cs="Arial"/>
          <w:sz w:val="24"/>
          <w:szCs w:val="24"/>
        </w:rPr>
      </w:pPr>
    </w:p>
    <w:p w14:paraId="5AC5C5A9" w14:textId="77777777" w:rsidR="00C03504" w:rsidRDefault="00C03504" w:rsidP="008D5153">
      <w:pPr>
        <w:pStyle w:val="NormalWeb"/>
        <w:spacing w:before="0" w:beforeAutospacing="0" w:after="0" w:afterAutospacing="0"/>
        <w:ind w:left="2268"/>
        <w:jc w:val="both"/>
        <w:rPr>
          <w:rFonts w:ascii="Arial" w:hAnsi="Arial" w:cs="Arial"/>
          <w:color w:val="000000"/>
          <w:sz w:val="22"/>
          <w:szCs w:val="22"/>
        </w:rPr>
      </w:pPr>
      <w:r w:rsidRPr="00C03504">
        <w:rPr>
          <w:rFonts w:ascii="Arial" w:hAnsi="Arial" w:cs="Arial"/>
          <w:color w:val="000000"/>
          <w:sz w:val="22"/>
          <w:szCs w:val="22"/>
        </w:rPr>
        <w:t>1- Quando das análises e procedimentos realizados no âmbito desta Secretaria,</w:t>
      </w:r>
      <w:r>
        <w:rPr>
          <w:rFonts w:ascii="Arial" w:hAnsi="Arial" w:cs="Arial"/>
          <w:color w:val="000000"/>
          <w:sz w:val="22"/>
          <w:szCs w:val="22"/>
        </w:rPr>
        <w:t xml:space="preserve"> </w:t>
      </w:r>
      <w:r w:rsidRPr="00C03504">
        <w:rPr>
          <w:rFonts w:ascii="Arial" w:hAnsi="Arial" w:cs="Arial"/>
          <w:color w:val="000000"/>
          <w:sz w:val="22"/>
          <w:szCs w:val="22"/>
        </w:rPr>
        <w:t>referentes à concessão ou ampliação de incentivos ou benefícios fiscais, nas situações exigidas na</w:t>
      </w:r>
      <w:r>
        <w:rPr>
          <w:rFonts w:ascii="Arial" w:hAnsi="Arial" w:cs="Arial"/>
          <w:color w:val="000000"/>
          <w:sz w:val="22"/>
          <w:szCs w:val="22"/>
        </w:rPr>
        <w:t xml:space="preserve"> </w:t>
      </w:r>
      <w:r w:rsidRPr="00C03504">
        <w:rPr>
          <w:rFonts w:ascii="Arial" w:hAnsi="Arial" w:cs="Arial"/>
          <w:color w:val="000000"/>
          <w:sz w:val="22"/>
          <w:szCs w:val="22"/>
        </w:rPr>
        <w:t>legislação tributária estadual (LTE), não há cruzamento de informações entre as bases de dados da</w:t>
      </w:r>
      <w:r>
        <w:rPr>
          <w:rFonts w:ascii="Arial" w:hAnsi="Arial" w:cs="Arial"/>
          <w:color w:val="000000"/>
          <w:sz w:val="22"/>
          <w:szCs w:val="22"/>
        </w:rPr>
        <w:t xml:space="preserve"> </w:t>
      </w:r>
      <w:r w:rsidRPr="00C03504">
        <w:rPr>
          <w:rFonts w:ascii="Arial" w:hAnsi="Arial" w:cs="Arial"/>
          <w:color w:val="000000"/>
          <w:sz w:val="22"/>
          <w:szCs w:val="22"/>
        </w:rPr>
        <w:t>Secretaria de Estado da Economia e da Secretaria de Meio Ambiente e Desenvolvimento Sustentável;</w:t>
      </w:r>
    </w:p>
    <w:p w14:paraId="3A10DE82" w14:textId="3A3AFD1C" w:rsidR="00C03504" w:rsidRDefault="00C03504" w:rsidP="008D5153">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w:t>
      </w:r>
      <w:r w:rsidRPr="00C03504">
        <w:rPr>
          <w:rFonts w:ascii="Arial" w:hAnsi="Arial" w:cs="Arial"/>
          <w:color w:val="000000"/>
          <w:sz w:val="22"/>
          <w:szCs w:val="22"/>
        </w:rPr>
        <w:t xml:space="preserve"> </w:t>
      </w:r>
      <w:r>
        <w:rPr>
          <w:rFonts w:ascii="Arial" w:hAnsi="Arial" w:cs="Arial"/>
          <w:color w:val="000000"/>
          <w:sz w:val="22"/>
          <w:szCs w:val="22"/>
        </w:rPr>
        <w:t xml:space="preserve">(Ofício nº </w:t>
      </w:r>
      <w:r w:rsidRPr="002E7FDD">
        <w:rPr>
          <w:rFonts w:ascii="Arial" w:hAnsi="Arial" w:cs="Arial"/>
          <w:color w:val="000000"/>
          <w:sz w:val="22"/>
          <w:szCs w:val="22"/>
        </w:rPr>
        <w:t>7</w:t>
      </w:r>
      <w:r>
        <w:rPr>
          <w:rFonts w:ascii="Arial" w:hAnsi="Arial" w:cs="Arial"/>
          <w:color w:val="000000"/>
          <w:sz w:val="22"/>
          <w:szCs w:val="22"/>
        </w:rPr>
        <w:t>.</w:t>
      </w:r>
      <w:r w:rsidRPr="002E7FDD">
        <w:rPr>
          <w:rFonts w:ascii="Arial" w:hAnsi="Arial" w:cs="Arial"/>
          <w:color w:val="000000"/>
          <w:sz w:val="22"/>
          <w:szCs w:val="22"/>
        </w:rPr>
        <w:t>923</w:t>
      </w:r>
      <w:r>
        <w:rPr>
          <w:rFonts w:ascii="Arial" w:hAnsi="Arial" w:cs="Arial"/>
          <w:color w:val="000000"/>
          <w:sz w:val="22"/>
          <w:szCs w:val="22"/>
        </w:rPr>
        <w:t xml:space="preserve">/2019-Economia, p. 8; </w:t>
      </w:r>
      <w:r w:rsidRPr="002E7FDD">
        <w:rPr>
          <w:rFonts w:ascii="Arial" w:hAnsi="Arial" w:cs="Arial"/>
          <w:color w:val="000000"/>
          <w:sz w:val="22"/>
          <w:szCs w:val="22"/>
        </w:rPr>
        <w:t xml:space="preserve">Despacho </w:t>
      </w:r>
      <w:r>
        <w:rPr>
          <w:rFonts w:ascii="Arial" w:hAnsi="Arial" w:cs="Arial"/>
          <w:color w:val="000000"/>
          <w:sz w:val="22"/>
          <w:szCs w:val="22"/>
        </w:rPr>
        <w:t>n</w:t>
      </w:r>
      <w:r w:rsidRPr="002E7FDD">
        <w:rPr>
          <w:rFonts w:ascii="Arial" w:hAnsi="Arial" w:cs="Arial"/>
          <w:color w:val="000000"/>
          <w:sz w:val="22"/>
          <w:szCs w:val="22"/>
        </w:rPr>
        <w:t>º 5394/2019 - SRE- 05503</w:t>
      </w:r>
      <w:r>
        <w:rPr>
          <w:rFonts w:ascii="Arial" w:hAnsi="Arial" w:cs="Arial"/>
          <w:color w:val="000000"/>
          <w:sz w:val="22"/>
          <w:szCs w:val="22"/>
        </w:rPr>
        <w:t>)</w:t>
      </w:r>
    </w:p>
    <w:p w14:paraId="040CF7B6" w14:textId="68CE6C53" w:rsidR="00370251" w:rsidRDefault="00370251" w:rsidP="008D5153">
      <w:pPr>
        <w:pStyle w:val="NormalWeb"/>
        <w:spacing w:before="0" w:beforeAutospacing="0" w:after="0" w:afterAutospacing="0"/>
        <w:ind w:left="2268"/>
        <w:jc w:val="both"/>
        <w:rPr>
          <w:rFonts w:ascii="Arial" w:hAnsi="Arial" w:cs="Arial"/>
          <w:color w:val="000000"/>
          <w:sz w:val="22"/>
          <w:szCs w:val="22"/>
        </w:rPr>
      </w:pPr>
    </w:p>
    <w:p w14:paraId="521EAAB5" w14:textId="4AC43343" w:rsidR="00370251" w:rsidRDefault="00476450" w:rsidP="008D5153">
      <w:pPr>
        <w:pStyle w:val="NormalWeb"/>
        <w:spacing w:before="0" w:beforeAutospacing="0" w:after="0" w:afterAutospacing="0"/>
        <w:ind w:left="2268"/>
        <w:jc w:val="both"/>
        <w:rPr>
          <w:rFonts w:ascii="Arial" w:hAnsi="Arial" w:cs="Arial"/>
          <w:color w:val="000000"/>
          <w:sz w:val="22"/>
          <w:szCs w:val="22"/>
        </w:rPr>
      </w:pPr>
      <w:r w:rsidRPr="00476450">
        <w:rPr>
          <w:rFonts w:ascii="Arial" w:hAnsi="Arial" w:cs="Arial"/>
          <w:color w:val="000000"/>
          <w:sz w:val="22"/>
          <w:szCs w:val="22"/>
        </w:rPr>
        <w:t xml:space="preserve">Não há cruzamento de dados entre os sistemas desta Secretaria com a Secretaria de Meio Ambiente. Porém, a Licença Ambiental é exigida no momento da Contratação perante o agente financeiro </w:t>
      </w:r>
      <w:r>
        <w:rPr>
          <w:rFonts w:ascii="Arial" w:hAnsi="Arial" w:cs="Arial"/>
          <w:color w:val="000000"/>
          <w:sz w:val="22"/>
          <w:szCs w:val="22"/>
        </w:rPr>
        <w:t>–</w:t>
      </w:r>
      <w:r w:rsidRPr="00476450">
        <w:rPr>
          <w:rFonts w:ascii="Arial" w:hAnsi="Arial" w:cs="Arial"/>
          <w:color w:val="000000"/>
          <w:sz w:val="22"/>
          <w:szCs w:val="22"/>
        </w:rPr>
        <w:t xml:space="preserve"> Licenciamento Ambiental e Cert</w:t>
      </w:r>
      <w:r w:rsidR="00B71095">
        <w:rPr>
          <w:rFonts w:ascii="Arial" w:hAnsi="Arial" w:cs="Arial"/>
          <w:color w:val="000000"/>
          <w:sz w:val="22"/>
          <w:szCs w:val="22"/>
        </w:rPr>
        <w:t>idão de Regularidade Ambiental –</w:t>
      </w:r>
      <w:r w:rsidRPr="00476450">
        <w:rPr>
          <w:rFonts w:ascii="Arial" w:hAnsi="Arial" w:cs="Arial"/>
          <w:color w:val="000000"/>
          <w:sz w:val="22"/>
          <w:szCs w:val="22"/>
        </w:rPr>
        <w:t xml:space="preserve"> SECIMA/GO </w:t>
      </w:r>
      <w:r w:rsidR="007709E9">
        <w:rPr>
          <w:rFonts w:ascii="Arial" w:hAnsi="Arial" w:cs="Arial"/>
          <w:color w:val="000000"/>
          <w:sz w:val="22"/>
          <w:szCs w:val="22"/>
        </w:rPr>
        <w:t>–</w:t>
      </w:r>
      <w:r w:rsidRPr="00476450">
        <w:rPr>
          <w:rFonts w:ascii="Arial" w:hAnsi="Arial" w:cs="Arial"/>
          <w:color w:val="000000"/>
          <w:sz w:val="22"/>
          <w:szCs w:val="22"/>
        </w:rPr>
        <w:t xml:space="preserve"> e, o Conselho Deliberativo do PRODUZIR e do FOMENTAR, possui como membro efetivo o Secretário de Estado de Meio Ambiente e Desenvolvimento Sustentável, assim como da Secretaria da Economia. </w:t>
      </w:r>
      <w:r w:rsidR="00370251">
        <w:rPr>
          <w:rFonts w:ascii="Arial" w:hAnsi="Arial" w:cs="Arial"/>
          <w:color w:val="000000"/>
          <w:sz w:val="22"/>
          <w:szCs w:val="22"/>
        </w:rPr>
        <w:t>(Ofício nº 1.531/2019-</w:t>
      </w:r>
      <w:r w:rsidR="00370251" w:rsidRPr="009C3E7D">
        <w:rPr>
          <w:rFonts w:ascii="Arial" w:hAnsi="Arial" w:cs="Arial"/>
          <w:color w:val="000000"/>
          <w:sz w:val="22"/>
          <w:szCs w:val="22"/>
        </w:rPr>
        <w:t>SIC, fl. 35</w:t>
      </w:r>
      <w:r w:rsidR="009C3E7D" w:rsidRPr="009C3E7D">
        <w:rPr>
          <w:rFonts w:ascii="Arial" w:hAnsi="Arial" w:cs="Arial"/>
          <w:color w:val="000000"/>
          <w:sz w:val="22"/>
          <w:szCs w:val="22"/>
        </w:rPr>
        <w:t>0</w:t>
      </w:r>
      <w:r w:rsidR="00370251" w:rsidRPr="009C3E7D">
        <w:rPr>
          <w:rFonts w:ascii="Arial" w:hAnsi="Arial" w:cs="Arial"/>
          <w:color w:val="000000"/>
          <w:sz w:val="22"/>
          <w:szCs w:val="22"/>
        </w:rPr>
        <w:t>; Despacho</w:t>
      </w:r>
      <w:r w:rsidR="00370251" w:rsidRPr="002E7FDD">
        <w:rPr>
          <w:rFonts w:ascii="Arial" w:hAnsi="Arial" w:cs="Arial"/>
          <w:color w:val="000000"/>
          <w:sz w:val="22"/>
          <w:szCs w:val="22"/>
        </w:rPr>
        <w:t xml:space="preserve"> </w:t>
      </w:r>
      <w:r w:rsidR="00370251">
        <w:rPr>
          <w:rFonts w:ascii="Arial" w:hAnsi="Arial" w:cs="Arial"/>
          <w:color w:val="000000"/>
          <w:sz w:val="22"/>
          <w:szCs w:val="22"/>
        </w:rPr>
        <w:t>n</w:t>
      </w:r>
      <w:r w:rsidR="00370251" w:rsidRPr="002E7FDD">
        <w:rPr>
          <w:rFonts w:ascii="Arial" w:hAnsi="Arial" w:cs="Arial"/>
          <w:color w:val="000000"/>
          <w:sz w:val="22"/>
          <w:szCs w:val="22"/>
        </w:rPr>
        <w:t xml:space="preserve">º </w:t>
      </w:r>
      <w:r w:rsidR="00370251">
        <w:rPr>
          <w:rFonts w:ascii="Arial" w:hAnsi="Arial" w:cs="Arial"/>
          <w:color w:val="000000"/>
          <w:sz w:val="22"/>
          <w:szCs w:val="22"/>
        </w:rPr>
        <w:t>830</w:t>
      </w:r>
      <w:r w:rsidR="00370251" w:rsidRPr="002E7FDD">
        <w:rPr>
          <w:rFonts w:ascii="Arial" w:hAnsi="Arial" w:cs="Arial"/>
          <w:color w:val="000000"/>
          <w:sz w:val="22"/>
          <w:szCs w:val="22"/>
        </w:rPr>
        <w:t>/2019 - S</w:t>
      </w:r>
      <w:r w:rsidR="00370251">
        <w:rPr>
          <w:rFonts w:ascii="Arial" w:hAnsi="Arial" w:cs="Arial"/>
          <w:color w:val="000000"/>
          <w:sz w:val="22"/>
          <w:szCs w:val="22"/>
        </w:rPr>
        <w:t>PF</w:t>
      </w:r>
      <w:r w:rsidR="00370251" w:rsidRPr="002E7FDD">
        <w:rPr>
          <w:rFonts w:ascii="Arial" w:hAnsi="Arial" w:cs="Arial"/>
          <w:color w:val="000000"/>
          <w:sz w:val="22"/>
          <w:szCs w:val="22"/>
        </w:rPr>
        <w:t xml:space="preserve">- </w:t>
      </w:r>
      <w:r>
        <w:rPr>
          <w:rFonts w:ascii="Arial" w:hAnsi="Arial" w:cs="Arial"/>
          <w:color w:val="000000"/>
          <w:sz w:val="22"/>
          <w:szCs w:val="22"/>
        </w:rPr>
        <w:t>17612, item e.1</w:t>
      </w:r>
      <w:r w:rsidR="00370251">
        <w:rPr>
          <w:rFonts w:ascii="Arial" w:hAnsi="Arial" w:cs="Arial"/>
          <w:color w:val="000000"/>
          <w:sz w:val="22"/>
          <w:szCs w:val="22"/>
        </w:rPr>
        <w:t>)</w:t>
      </w:r>
    </w:p>
    <w:p w14:paraId="35AFD2B2" w14:textId="77777777" w:rsidR="00370251" w:rsidRDefault="00370251" w:rsidP="00B77413">
      <w:pPr>
        <w:spacing w:line="360" w:lineRule="auto"/>
        <w:ind w:firstLine="851"/>
        <w:jc w:val="both"/>
        <w:rPr>
          <w:rFonts w:ascii="Arial" w:hAnsi="Arial" w:cs="Arial"/>
          <w:b/>
          <w:sz w:val="24"/>
          <w:szCs w:val="24"/>
        </w:rPr>
      </w:pPr>
    </w:p>
    <w:p w14:paraId="64E5255E" w14:textId="012D1700" w:rsidR="00D90552" w:rsidRDefault="00A845C7" w:rsidP="00476450">
      <w:pPr>
        <w:spacing w:line="360" w:lineRule="auto"/>
        <w:ind w:firstLine="851"/>
        <w:jc w:val="both"/>
        <w:rPr>
          <w:rFonts w:ascii="Arial" w:hAnsi="Arial" w:cs="Arial"/>
          <w:sz w:val="24"/>
          <w:szCs w:val="24"/>
        </w:rPr>
      </w:pPr>
      <w:r w:rsidRPr="00D93FD2">
        <w:rPr>
          <w:rFonts w:ascii="Arial" w:hAnsi="Arial" w:cs="Arial"/>
          <w:b/>
          <w:sz w:val="24"/>
          <w:szCs w:val="24"/>
        </w:rPr>
        <w:t>A única ressalva foi aquela apontada pela SIC no sentido de que se exige licença ambiental</w:t>
      </w:r>
      <w:r w:rsidR="00360FDF" w:rsidRPr="00D93FD2">
        <w:rPr>
          <w:rFonts w:ascii="Arial" w:hAnsi="Arial" w:cs="Arial"/>
          <w:b/>
          <w:sz w:val="24"/>
          <w:szCs w:val="24"/>
        </w:rPr>
        <w:t xml:space="preserve"> e Certidão de Regularidade Ambiental</w:t>
      </w:r>
      <w:r w:rsidR="00360FDF">
        <w:rPr>
          <w:rFonts w:ascii="Arial" w:hAnsi="Arial" w:cs="Arial"/>
          <w:sz w:val="24"/>
          <w:szCs w:val="24"/>
        </w:rPr>
        <w:t xml:space="preserve"> no momento da formalização do contrato das empresas beneficiárias dos Programas Fomentar/Produzir perante o agente financeiro (GOIÁSFOMENTO), porém essa exigência é limitada a esses programas (exclui, portanto, o crédito outorgado) e só ocorre no momento específico da referida formalização contratual, sem um acompanhamento periódico para aferir se a regularidade ambiental permanece ao longo da fruição daqueles programas.</w:t>
      </w:r>
      <w:r w:rsidR="009B31B9">
        <w:rPr>
          <w:rFonts w:ascii="Arial" w:hAnsi="Arial" w:cs="Arial"/>
          <w:sz w:val="24"/>
          <w:szCs w:val="24"/>
        </w:rPr>
        <w:t xml:space="preserve"> Além disso, a mera presença do</w:t>
      </w:r>
      <w:r w:rsidR="00121690">
        <w:rPr>
          <w:rFonts w:ascii="Arial" w:hAnsi="Arial" w:cs="Arial"/>
          <w:sz w:val="24"/>
          <w:szCs w:val="24"/>
        </w:rPr>
        <w:t xml:space="preserve"> titular da SEMAD. </w:t>
      </w:r>
    </w:p>
    <w:p w14:paraId="39D801F7" w14:textId="5877FDB0" w:rsidR="000257BA" w:rsidRDefault="000257BA" w:rsidP="00476450">
      <w:pPr>
        <w:spacing w:line="360" w:lineRule="auto"/>
        <w:ind w:firstLine="851"/>
        <w:jc w:val="both"/>
        <w:rPr>
          <w:rFonts w:ascii="Arial" w:hAnsi="Arial" w:cs="Arial"/>
          <w:sz w:val="24"/>
          <w:szCs w:val="24"/>
        </w:rPr>
      </w:pPr>
      <w:r>
        <w:rPr>
          <w:rFonts w:ascii="Arial" w:hAnsi="Arial" w:cs="Arial"/>
          <w:sz w:val="24"/>
          <w:szCs w:val="24"/>
        </w:rPr>
        <w:t xml:space="preserve">A </w:t>
      </w:r>
      <w:r w:rsidRPr="006F2D28">
        <w:rPr>
          <w:rFonts w:ascii="Arial" w:hAnsi="Arial" w:cs="Arial"/>
          <w:b/>
          <w:sz w:val="24"/>
          <w:szCs w:val="24"/>
        </w:rPr>
        <w:t>possibilidade de cruzamento de informações entre a SEMAD e as pastas envolvidas diretamente na operacionalização de incentivos fiscais</w:t>
      </w:r>
      <w:r>
        <w:rPr>
          <w:rFonts w:ascii="Arial" w:hAnsi="Arial" w:cs="Arial"/>
          <w:sz w:val="24"/>
          <w:szCs w:val="24"/>
        </w:rPr>
        <w:t xml:space="preserve"> também resta evidente </w:t>
      </w:r>
      <w:r w:rsidR="008F1AF3">
        <w:rPr>
          <w:rFonts w:ascii="Arial" w:hAnsi="Arial" w:cs="Arial"/>
          <w:sz w:val="24"/>
          <w:szCs w:val="24"/>
        </w:rPr>
        <w:t xml:space="preserve">ante o teor do </w:t>
      </w:r>
      <w:r w:rsidR="006F2D28" w:rsidRPr="006F2D28">
        <w:rPr>
          <w:rFonts w:ascii="Arial" w:hAnsi="Arial" w:cs="Arial"/>
          <w:sz w:val="24"/>
          <w:szCs w:val="24"/>
          <w:u w:val="single"/>
        </w:rPr>
        <w:t xml:space="preserve">Despacho </w:t>
      </w:r>
      <w:r w:rsidR="008F1AF3" w:rsidRPr="006F2D28">
        <w:rPr>
          <w:rFonts w:ascii="Arial" w:hAnsi="Arial" w:cs="Arial"/>
          <w:sz w:val="24"/>
          <w:szCs w:val="24"/>
          <w:u w:val="single"/>
        </w:rPr>
        <w:t>Nº 806/2019 - SPADS- 18320</w:t>
      </w:r>
      <w:r w:rsidR="008F1AF3">
        <w:rPr>
          <w:rFonts w:ascii="Arial" w:hAnsi="Arial" w:cs="Arial"/>
          <w:sz w:val="24"/>
          <w:szCs w:val="24"/>
        </w:rPr>
        <w:t>, pelo qual o</w:t>
      </w:r>
      <w:r w:rsidR="008F1AF3" w:rsidRPr="008F1AF3">
        <w:rPr>
          <w:rFonts w:ascii="NimbusRoman-Regular" w:eastAsiaTheme="minorHAnsi" w:hAnsi="NimbusRoman-Regular" w:cs="NimbusRoman-Regular"/>
          <w:sz w:val="23"/>
          <w:szCs w:val="23"/>
          <w:lang w:eastAsia="en-US"/>
        </w:rPr>
        <w:t xml:space="preserve"> </w:t>
      </w:r>
      <w:r w:rsidR="008F1AF3" w:rsidRPr="008F1AF3">
        <w:rPr>
          <w:rFonts w:ascii="Arial" w:hAnsi="Arial" w:cs="Arial"/>
          <w:sz w:val="24"/>
          <w:szCs w:val="24"/>
        </w:rPr>
        <w:t>Superintendente de Proteção Ambiental e Desenvolvimento Sustentável</w:t>
      </w:r>
      <w:r w:rsidR="008F1AF3">
        <w:rPr>
          <w:rFonts w:ascii="Arial" w:hAnsi="Arial" w:cs="Arial"/>
          <w:sz w:val="24"/>
          <w:szCs w:val="24"/>
        </w:rPr>
        <w:t xml:space="preserve"> assim se manifestou acerca da </w:t>
      </w:r>
      <w:r w:rsidR="008F1AF3" w:rsidRPr="006F2D28">
        <w:rPr>
          <w:rFonts w:ascii="Arial" w:hAnsi="Arial" w:cs="Arial"/>
          <w:sz w:val="24"/>
          <w:szCs w:val="24"/>
          <w:u w:val="single"/>
        </w:rPr>
        <w:t>requisição desta CPI acerca da situação ambiental das empresas beneficiárias dos Programas Fomentar/Produzir</w:t>
      </w:r>
      <w:r w:rsidR="008F1AF3">
        <w:rPr>
          <w:rFonts w:ascii="Arial" w:hAnsi="Arial" w:cs="Arial"/>
          <w:sz w:val="24"/>
          <w:szCs w:val="24"/>
        </w:rPr>
        <w:t xml:space="preserve"> (Ofício nº 24/2019-CPI):</w:t>
      </w:r>
    </w:p>
    <w:p w14:paraId="45AB778B" w14:textId="594A10AF" w:rsidR="000257BA" w:rsidRDefault="000257BA" w:rsidP="00476450">
      <w:pPr>
        <w:spacing w:line="360" w:lineRule="auto"/>
        <w:ind w:firstLine="851"/>
        <w:jc w:val="both"/>
        <w:rPr>
          <w:rFonts w:ascii="Arial" w:hAnsi="Arial" w:cs="Arial"/>
          <w:sz w:val="24"/>
          <w:szCs w:val="24"/>
        </w:rPr>
      </w:pPr>
    </w:p>
    <w:p w14:paraId="4609F316" w14:textId="77777777" w:rsidR="000257BA" w:rsidRPr="000257BA" w:rsidRDefault="000257BA" w:rsidP="008D5153">
      <w:pPr>
        <w:pStyle w:val="NormalWeb"/>
        <w:spacing w:before="0" w:beforeAutospacing="0" w:after="0" w:afterAutospacing="0"/>
        <w:ind w:left="2268"/>
        <w:jc w:val="both"/>
        <w:rPr>
          <w:rFonts w:ascii="Arial" w:hAnsi="Arial" w:cs="Arial"/>
          <w:color w:val="000000"/>
          <w:sz w:val="22"/>
          <w:szCs w:val="22"/>
        </w:rPr>
      </w:pPr>
      <w:r w:rsidRPr="000257BA">
        <w:rPr>
          <w:rFonts w:ascii="Arial" w:hAnsi="Arial" w:cs="Arial"/>
          <w:color w:val="000000"/>
          <w:sz w:val="22"/>
          <w:szCs w:val="22"/>
        </w:rPr>
        <w:t>Visando subsidiar resposta da SEMAD ao Ofício N°24/2019-ALEGO</w:t>
      </w:r>
      <w:r>
        <w:rPr>
          <w:rFonts w:ascii="Arial" w:hAnsi="Arial" w:cs="Arial"/>
          <w:color w:val="000000"/>
          <w:sz w:val="22"/>
          <w:szCs w:val="22"/>
        </w:rPr>
        <w:t xml:space="preserve"> </w:t>
      </w:r>
      <w:r w:rsidRPr="000257BA">
        <w:rPr>
          <w:rFonts w:ascii="Arial" w:hAnsi="Arial" w:cs="Arial"/>
          <w:color w:val="000000"/>
          <w:sz w:val="22"/>
          <w:szCs w:val="22"/>
        </w:rPr>
        <w:t>(000010219054), solicito que seja realizado cruzamento das informações da relação</w:t>
      </w:r>
      <w:r>
        <w:rPr>
          <w:rFonts w:ascii="Arial" w:hAnsi="Arial" w:cs="Arial"/>
          <w:color w:val="000000"/>
          <w:sz w:val="22"/>
          <w:szCs w:val="22"/>
        </w:rPr>
        <w:t xml:space="preserve"> </w:t>
      </w:r>
      <w:r w:rsidRPr="000257BA">
        <w:rPr>
          <w:rFonts w:ascii="Arial" w:hAnsi="Arial" w:cs="Arial"/>
          <w:color w:val="000000"/>
          <w:sz w:val="22"/>
          <w:szCs w:val="22"/>
        </w:rPr>
        <w:t>das empresas beneficiárias do Fomentar/Produzir e/ou Respectivos Subprogramas</w:t>
      </w:r>
      <w:r>
        <w:rPr>
          <w:rFonts w:ascii="Arial" w:hAnsi="Arial" w:cs="Arial"/>
          <w:color w:val="000000"/>
          <w:sz w:val="22"/>
          <w:szCs w:val="22"/>
        </w:rPr>
        <w:t xml:space="preserve"> </w:t>
      </w:r>
      <w:r w:rsidRPr="000257BA">
        <w:rPr>
          <w:rFonts w:ascii="Arial" w:hAnsi="Arial" w:cs="Arial"/>
          <w:color w:val="000000"/>
          <w:sz w:val="22"/>
          <w:szCs w:val="22"/>
        </w:rPr>
        <w:t>(Documento SEI 000010351054) com o banco de dados do Sistema de Gestão</w:t>
      </w:r>
      <w:r>
        <w:rPr>
          <w:rFonts w:ascii="Arial" w:hAnsi="Arial" w:cs="Arial"/>
          <w:color w:val="000000"/>
          <w:sz w:val="22"/>
          <w:szCs w:val="22"/>
        </w:rPr>
        <w:t xml:space="preserve"> </w:t>
      </w:r>
      <w:r w:rsidRPr="000257BA">
        <w:rPr>
          <w:rFonts w:ascii="Arial" w:hAnsi="Arial" w:cs="Arial"/>
          <w:color w:val="000000"/>
          <w:sz w:val="22"/>
          <w:szCs w:val="22"/>
        </w:rPr>
        <w:t>Ambiental.</w:t>
      </w:r>
    </w:p>
    <w:p w14:paraId="06BF6C3C" w14:textId="2D640B9A" w:rsidR="000257BA" w:rsidRDefault="000257BA" w:rsidP="008D5153">
      <w:pPr>
        <w:pStyle w:val="NormalWeb"/>
        <w:spacing w:before="0" w:beforeAutospacing="0" w:after="0" w:afterAutospacing="0"/>
        <w:ind w:left="2268"/>
        <w:jc w:val="both"/>
        <w:rPr>
          <w:rFonts w:ascii="Arial" w:hAnsi="Arial" w:cs="Arial"/>
          <w:color w:val="000000"/>
          <w:sz w:val="22"/>
          <w:szCs w:val="22"/>
        </w:rPr>
      </w:pPr>
      <w:r w:rsidRPr="000257BA">
        <w:rPr>
          <w:rFonts w:ascii="Arial" w:hAnsi="Arial" w:cs="Arial"/>
          <w:color w:val="000000"/>
          <w:sz w:val="22"/>
          <w:szCs w:val="22"/>
        </w:rPr>
        <w:t>O cruzamento deve verificar quais das empresas relacionadas possui</w:t>
      </w:r>
      <w:r>
        <w:rPr>
          <w:rFonts w:ascii="Arial" w:hAnsi="Arial" w:cs="Arial"/>
          <w:color w:val="000000"/>
          <w:sz w:val="22"/>
          <w:szCs w:val="22"/>
        </w:rPr>
        <w:t xml:space="preserve"> </w:t>
      </w:r>
      <w:r w:rsidRPr="000257BA">
        <w:rPr>
          <w:rFonts w:ascii="Arial" w:hAnsi="Arial" w:cs="Arial"/>
          <w:color w:val="000000"/>
          <w:sz w:val="22"/>
          <w:szCs w:val="22"/>
        </w:rPr>
        <w:t xml:space="preserve">processo da tipologia "Auto de Infração" e/ou "Auto de Embargo" </w:t>
      </w:r>
      <w:r w:rsidRPr="000257BA">
        <w:rPr>
          <w:rFonts w:ascii="Arial" w:hAnsi="Arial" w:cs="Arial"/>
          <w:color w:val="000000"/>
          <w:sz w:val="22"/>
          <w:szCs w:val="22"/>
        </w:rPr>
        <w:lastRenderedPageBreak/>
        <w:t>relacionando em</w:t>
      </w:r>
      <w:r>
        <w:rPr>
          <w:rFonts w:ascii="Arial" w:hAnsi="Arial" w:cs="Arial"/>
          <w:color w:val="000000"/>
          <w:sz w:val="22"/>
          <w:szCs w:val="22"/>
        </w:rPr>
        <w:t xml:space="preserve"> </w:t>
      </w:r>
      <w:r w:rsidRPr="000257BA">
        <w:rPr>
          <w:rFonts w:ascii="Arial" w:hAnsi="Arial" w:cs="Arial"/>
          <w:color w:val="000000"/>
          <w:sz w:val="22"/>
          <w:szCs w:val="22"/>
        </w:rPr>
        <w:t>planilha ".csv" no mínimo as seguintes informações: cnpj, razão social, número do</w:t>
      </w:r>
      <w:r>
        <w:rPr>
          <w:rFonts w:ascii="Arial" w:hAnsi="Arial" w:cs="Arial"/>
          <w:color w:val="000000"/>
          <w:sz w:val="22"/>
          <w:szCs w:val="22"/>
        </w:rPr>
        <w:t xml:space="preserve"> </w:t>
      </w:r>
      <w:r w:rsidRPr="000257BA">
        <w:rPr>
          <w:rFonts w:ascii="Arial" w:hAnsi="Arial" w:cs="Arial"/>
          <w:color w:val="000000"/>
          <w:sz w:val="22"/>
          <w:szCs w:val="22"/>
        </w:rPr>
        <w:t>processo, propriedade/empreendimento, status do processo, histórico do trâmite</w:t>
      </w:r>
      <w:r>
        <w:rPr>
          <w:rFonts w:ascii="Arial" w:hAnsi="Arial" w:cs="Arial"/>
          <w:color w:val="000000"/>
          <w:sz w:val="22"/>
          <w:szCs w:val="22"/>
        </w:rPr>
        <w:t xml:space="preserve"> </w:t>
      </w:r>
      <w:r w:rsidRPr="000257BA">
        <w:rPr>
          <w:rFonts w:ascii="Arial" w:hAnsi="Arial" w:cs="Arial"/>
          <w:color w:val="000000"/>
          <w:sz w:val="22"/>
          <w:szCs w:val="22"/>
        </w:rPr>
        <w:t>processual, número auto de infração, descrição infração, número auto embargo,</w:t>
      </w:r>
      <w:r>
        <w:rPr>
          <w:rFonts w:ascii="Arial" w:hAnsi="Arial" w:cs="Arial"/>
          <w:color w:val="000000"/>
          <w:sz w:val="22"/>
          <w:szCs w:val="22"/>
        </w:rPr>
        <w:t xml:space="preserve"> </w:t>
      </w:r>
      <w:r w:rsidRPr="000257BA">
        <w:rPr>
          <w:rFonts w:ascii="Arial" w:hAnsi="Arial" w:cs="Arial"/>
          <w:color w:val="000000"/>
          <w:sz w:val="22"/>
          <w:szCs w:val="22"/>
        </w:rPr>
        <w:t>descrição embargo e a localização atual do processo físico e lógico no referido</w:t>
      </w:r>
      <w:r>
        <w:rPr>
          <w:rFonts w:ascii="Arial" w:hAnsi="Arial" w:cs="Arial"/>
          <w:color w:val="000000"/>
          <w:sz w:val="22"/>
          <w:szCs w:val="22"/>
        </w:rPr>
        <w:t xml:space="preserve"> </w:t>
      </w:r>
      <w:r w:rsidRPr="000257BA">
        <w:rPr>
          <w:rFonts w:ascii="Arial" w:hAnsi="Arial" w:cs="Arial"/>
          <w:color w:val="000000"/>
          <w:sz w:val="22"/>
          <w:szCs w:val="22"/>
        </w:rPr>
        <w:t>sistema.</w:t>
      </w:r>
      <w:r w:rsidR="001C009B">
        <w:rPr>
          <w:rFonts w:ascii="Arial" w:hAnsi="Arial" w:cs="Arial"/>
          <w:color w:val="000000"/>
          <w:sz w:val="22"/>
          <w:szCs w:val="22"/>
        </w:rPr>
        <w:t xml:space="preserve"> (</w:t>
      </w:r>
      <w:r w:rsidR="001C009B" w:rsidRPr="001C009B">
        <w:rPr>
          <w:rFonts w:ascii="Arial" w:hAnsi="Arial" w:cs="Arial"/>
          <w:color w:val="000000"/>
          <w:sz w:val="22"/>
          <w:szCs w:val="22"/>
        </w:rPr>
        <w:t xml:space="preserve">Ofício nº 4498/2019-SEMAD, p. </w:t>
      </w:r>
      <w:r w:rsidR="0059627F">
        <w:rPr>
          <w:rFonts w:ascii="Arial" w:hAnsi="Arial" w:cs="Arial"/>
          <w:color w:val="000000"/>
          <w:sz w:val="22"/>
          <w:szCs w:val="22"/>
        </w:rPr>
        <w:t>32</w:t>
      </w:r>
      <w:r w:rsidR="001C009B">
        <w:rPr>
          <w:rFonts w:ascii="Arial" w:hAnsi="Arial" w:cs="Arial"/>
          <w:color w:val="000000"/>
          <w:sz w:val="22"/>
          <w:szCs w:val="22"/>
        </w:rPr>
        <w:t>)</w:t>
      </w:r>
    </w:p>
    <w:p w14:paraId="096EFE8A" w14:textId="77777777" w:rsidR="000257BA" w:rsidRDefault="000257BA" w:rsidP="00476450">
      <w:pPr>
        <w:spacing w:line="360" w:lineRule="auto"/>
        <w:ind w:firstLine="851"/>
        <w:jc w:val="both"/>
        <w:rPr>
          <w:rFonts w:ascii="Arial" w:hAnsi="Arial" w:cs="Arial"/>
          <w:sz w:val="24"/>
          <w:szCs w:val="24"/>
        </w:rPr>
      </w:pPr>
    </w:p>
    <w:p w14:paraId="4101A3B6" w14:textId="7C90FD79" w:rsidR="0040282B" w:rsidRDefault="004227DB" w:rsidP="00476450">
      <w:pPr>
        <w:spacing w:line="360" w:lineRule="auto"/>
        <w:ind w:firstLine="851"/>
        <w:jc w:val="both"/>
        <w:rPr>
          <w:rFonts w:ascii="Arial" w:hAnsi="Arial" w:cs="Arial"/>
          <w:sz w:val="24"/>
          <w:szCs w:val="24"/>
        </w:rPr>
      </w:pPr>
      <w:r>
        <w:rPr>
          <w:rFonts w:ascii="Arial" w:hAnsi="Arial" w:cs="Arial"/>
          <w:sz w:val="24"/>
          <w:szCs w:val="24"/>
        </w:rPr>
        <w:t xml:space="preserve">Recentemente, </w:t>
      </w:r>
      <w:r w:rsidRPr="00D93FD2">
        <w:rPr>
          <w:rFonts w:ascii="Arial" w:hAnsi="Arial" w:cs="Arial"/>
          <w:b/>
          <w:sz w:val="24"/>
          <w:szCs w:val="24"/>
        </w:rPr>
        <w:t xml:space="preserve">a SEMAD divulgou em sua página oficial notícia </w:t>
      </w:r>
      <w:r w:rsidR="00306BAB" w:rsidRPr="00D93FD2">
        <w:rPr>
          <w:rFonts w:ascii="Arial" w:hAnsi="Arial" w:cs="Arial"/>
          <w:b/>
          <w:sz w:val="24"/>
          <w:szCs w:val="24"/>
        </w:rPr>
        <w:t>que destaca o sucesso da Secretaria ao liberar novas 39 (trinta e nove) licenças ambientais</w:t>
      </w:r>
      <w:r w:rsidR="00306BAB">
        <w:rPr>
          <w:rFonts w:ascii="Arial" w:hAnsi="Arial" w:cs="Arial"/>
          <w:sz w:val="24"/>
          <w:szCs w:val="24"/>
        </w:rPr>
        <w:t xml:space="preserve">, as quais devem viabilizar investimentos da ordem de meio bilhão de reais, </w:t>
      </w:r>
      <w:r w:rsidR="00D93FD2" w:rsidRPr="00D93FD2">
        <w:rPr>
          <w:rFonts w:ascii="Arial" w:hAnsi="Arial" w:cs="Arial"/>
          <w:i/>
          <w:sz w:val="24"/>
          <w:szCs w:val="24"/>
        </w:rPr>
        <w:t>in verbis</w:t>
      </w:r>
      <w:r w:rsidR="00306BAB">
        <w:rPr>
          <w:rFonts w:ascii="Arial" w:hAnsi="Arial" w:cs="Arial"/>
          <w:sz w:val="24"/>
          <w:szCs w:val="24"/>
        </w:rPr>
        <w:t xml:space="preserve">: </w:t>
      </w:r>
    </w:p>
    <w:p w14:paraId="4C031D80" w14:textId="4234BA08" w:rsidR="00306BAB" w:rsidRDefault="00306BAB" w:rsidP="00476450">
      <w:pPr>
        <w:spacing w:line="360" w:lineRule="auto"/>
        <w:ind w:firstLine="851"/>
        <w:jc w:val="both"/>
        <w:rPr>
          <w:rFonts w:ascii="Arial" w:hAnsi="Arial" w:cs="Arial"/>
          <w:sz w:val="24"/>
          <w:szCs w:val="24"/>
        </w:rPr>
      </w:pPr>
    </w:p>
    <w:p w14:paraId="1FC103F9" w14:textId="4D3A3052" w:rsidR="00306BAB" w:rsidRDefault="00306BAB" w:rsidP="008D5153">
      <w:pPr>
        <w:pStyle w:val="NormalWeb"/>
        <w:spacing w:before="0" w:beforeAutospacing="0" w:after="0" w:afterAutospacing="0"/>
        <w:ind w:left="2268"/>
        <w:jc w:val="both"/>
        <w:rPr>
          <w:rFonts w:ascii="Arial" w:hAnsi="Arial" w:cs="Arial"/>
          <w:color w:val="000000"/>
          <w:sz w:val="22"/>
          <w:szCs w:val="22"/>
        </w:rPr>
      </w:pPr>
      <w:r w:rsidRPr="00D128AE">
        <w:rPr>
          <w:rFonts w:ascii="Arial" w:hAnsi="Arial" w:cs="Arial"/>
          <w:b/>
          <w:color w:val="000000"/>
          <w:sz w:val="22"/>
          <w:szCs w:val="22"/>
        </w:rPr>
        <w:t>O Governo de Goiás fechou o último mês de janeiro com a marca de 39 licenças ambientais emitidas pela Secretaria de Meio Ambiente e Desenvolvimento Sustentável (Semad)</w:t>
      </w:r>
      <w:r w:rsidRPr="004227DB">
        <w:rPr>
          <w:rFonts w:ascii="Arial" w:hAnsi="Arial" w:cs="Arial"/>
          <w:color w:val="000000"/>
          <w:sz w:val="22"/>
          <w:szCs w:val="22"/>
        </w:rPr>
        <w:t xml:space="preserve"> em empreendimentos que devem gerar um investimento de cerca de R$ 500</w:t>
      </w:r>
      <w:r>
        <w:rPr>
          <w:rFonts w:ascii="Arial" w:hAnsi="Arial" w:cs="Arial"/>
          <w:color w:val="000000"/>
          <w:sz w:val="22"/>
          <w:szCs w:val="22"/>
        </w:rPr>
        <w:t xml:space="preserve"> </w:t>
      </w:r>
      <w:r w:rsidRPr="004227DB">
        <w:rPr>
          <w:rFonts w:ascii="Arial" w:hAnsi="Arial" w:cs="Arial"/>
          <w:color w:val="000000"/>
          <w:sz w:val="22"/>
          <w:szCs w:val="22"/>
        </w:rPr>
        <w:t>milhões. São liberações de todas as complexidades, entre empreendimentos privados e obras de infraestrutura vitais para a retomada</w:t>
      </w:r>
      <w:r>
        <w:rPr>
          <w:rFonts w:ascii="Arial" w:hAnsi="Arial" w:cs="Arial"/>
          <w:color w:val="000000"/>
          <w:sz w:val="22"/>
          <w:szCs w:val="22"/>
        </w:rPr>
        <w:t xml:space="preserve"> </w:t>
      </w:r>
      <w:r w:rsidRPr="004227DB">
        <w:rPr>
          <w:rFonts w:ascii="Arial" w:hAnsi="Arial" w:cs="Arial"/>
          <w:color w:val="000000"/>
          <w:sz w:val="22"/>
          <w:szCs w:val="22"/>
        </w:rPr>
        <w:t>do crescimento da economia de Goiás.</w:t>
      </w:r>
    </w:p>
    <w:p w14:paraId="4C5C9401" w14:textId="5FF716C4" w:rsidR="00D128AE" w:rsidRDefault="00D128AE" w:rsidP="008D5153">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w:t>
      </w:r>
    </w:p>
    <w:p w14:paraId="4AC23BAD" w14:textId="498BBD35" w:rsidR="00306BAB" w:rsidRDefault="00306BAB" w:rsidP="008D5153">
      <w:pPr>
        <w:pStyle w:val="NormalWeb"/>
        <w:spacing w:before="0" w:beforeAutospacing="0" w:after="0" w:afterAutospacing="0"/>
        <w:ind w:left="2268"/>
        <w:jc w:val="both"/>
        <w:rPr>
          <w:rFonts w:ascii="Arial" w:hAnsi="Arial" w:cs="Arial"/>
          <w:color w:val="000000"/>
          <w:sz w:val="22"/>
          <w:szCs w:val="22"/>
        </w:rPr>
      </w:pPr>
      <w:r w:rsidRPr="004227DB">
        <w:rPr>
          <w:rFonts w:ascii="Arial" w:hAnsi="Arial" w:cs="Arial"/>
          <w:color w:val="000000"/>
          <w:sz w:val="22"/>
          <w:szCs w:val="22"/>
        </w:rPr>
        <w:t>Nesse momento, tudo está sendo preparado para que a lei, recém sancionada pelo governador Ronaldo Caiado, seja efetivamente</w:t>
      </w:r>
      <w:r>
        <w:rPr>
          <w:rFonts w:ascii="Arial" w:hAnsi="Arial" w:cs="Arial"/>
          <w:color w:val="000000"/>
          <w:sz w:val="22"/>
          <w:szCs w:val="22"/>
        </w:rPr>
        <w:t xml:space="preserve"> i</w:t>
      </w:r>
      <w:r w:rsidRPr="004227DB">
        <w:rPr>
          <w:rFonts w:ascii="Arial" w:hAnsi="Arial" w:cs="Arial"/>
          <w:color w:val="000000"/>
          <w:sz w:val="22"/>
          <w:szCs w:val="22"/>
        </w:rPr>
        <w:t xml:space="preserve">mplementada. </w:t>
      </w:r>
      <w:r w:rsidRPr="00306BAB">
        <w:rPr>
          <w:rFonts w:ascii="Arial" w:hAnsi="Arial" w:cs="Arial"/>
          <w:b/>
          <w:color w:val="000000"/>
          <w:sz w:val="22"/>
          <w:szCs w:val="22"/>
        </w:rPr>
        <w:t>O primeiro passo é a edição do decreto regulamentador e a implantação do sistema eletrônico que recepcionará todos os pedidos de licenças de maneira totalmente eletrônica</w:t>
      </w:r>
      <w:r w:rsidRPr="004227DB">
        <w:rPr>
          <w:rFonts w:ascii="Arial" w:hAnsi="Arial" w:cs="Arial"/>
          <w:color w:val="000000"/>
          <w:sz w:val="22"/>
          <w:szCs w:val="22"/>
        </w:rPr>
        <w:t>.</w:t>
      </w:r>
      <w:r>
        <w:rPr>
          <w:rStyle w:val="Refdenotaderodap"/>
          <w:rFonts w:ascii="Arial" w:hAnsi="Arial" w:cs="Arial"/>
          <w:color w:val="000000"/>
          <w:sz w:val="22"/>
          <w:szCs w:val="22"/>
        </w:rPr>
        <w:footnoteReference w:id="97"/>
      </w:r>
    </w:p>
    <w:p w14:paraId="7BD18D49" w14:textId="77777777" w:rsidR="00306BAB" w:rsidRDefault="00306BAB" w:rsidP="00476450">
      <w:pPr>
        <w:spacing w:line="360" w:lineRule="auto"/>
        <w:ind w:firstLine="851"/>
        <w:jc w:val="both"/>
        <w:rPr>
          <w:rFonts w:ascii="Arial" w:hAnsi="Arial" w:cs="Arial"/>
          <w:sz w:val="24"/>
          <w:szCs w:val="24"/>
        </w:rPr>
      </w:pPr>
    </w:p>
    <w:p w14:paraId="25172AEC" w14:textId="7C79EE14" w:rsidR="00E064BD" w:rsidRPr="00E064BD" w:rsidRDefault="00591478" w:rsidP="00476450">
      <w:pPr>
        <w:spacing w:line="360" w:lineRule="auto"/>
        <w:ind w:firstLine="851"/>
        <w:jc w:val="both"/>
        <w:rPr>
          <w:rFonts w:ascii="Arial" w:hAnsi="Arial" w:cs="Arial"/>
          <w:sz w:val="24"/>
          <w:szCs w:val="24"/>
        </w:rPr>
      </w:pPr>
      <w:r>
        <w:rPr>
          <w:rFonts w:ascii="Arial" w:hAnsi="Arial" w:cs="Arial"/>
          <w:sz w:val="24"/>
          <w:szCs w:val="24"/>
        </w:rPr>
        <w:t xml:space="preserve">Assim como a própria </w:t>
      </w:r>
      <w:r w:rsidRPr="00AD41DE">
        <w:rPr>
          <w:rFonts w:ascii="Arial" w:hAnsi="Arial" w:cs="Arial"/>
          <w:b/>
          <w:sz w:val="24"/>
          <w:szCs w:val="24"/>
        </w:rPr>
        <w:t>SEMAD</w:t>
      </w:r>
      <w:r>
        <w:rPr>
          <w:rFonts w:ascii="Arial" w:hAnsi="Arial" w:cs="Arial"/>
          <w:sz w:val="24"/>
          <w:szCs w:val="24"/>
        </w:rPr>
        <w:t xml:space="preserve"> pretende implantar </w:t>
      </w:r>
      <w:r w:rsidRPr="00591478">
        <w:rPr>
          <w:rFonts w:ascii="Arial" w:hAnsi="Arial" w:cs="Arial"/>
          <w:sz w:val="24"/>
          <w:szCs w:val="24"/>
        </w:rPr>
        <w:t>sistema que recepcionará todos os pedidos de licenças de maneira totalmente eletrônica</w:t>
      </w:r>
      <w:r>
        <w:rPr>
          <w:rFonts w:ascii="Arial" w:hAnsi="Arial" w:cs="Arial"/>
          <w:sz w:val="24"/>
          <w:szCs w:val="24"/>
        </w:rPr>
        <w:t xml:space="preserve">, </w:t>
      </w:r>
      <w:r w:rsidR="00D128AE">
        <w:rPr>
          <w:rFonts w:ascii="Arial" w:hAnsi="Arial" w:cs="Arial"/>
          <w:sz w:val="24"/>
          <w:szCs w:val="24"/>
        </w:rPr>
        <w:t xml:space="preserve">como noticiado acima, </w:t>
      </w:r>
      <w:r>
        <w:rPr>
          <w:rFonts w:ascii="Arial" w:hAnsi="Arial" w:cs="Arial"/>
          <w:sz w:val="24"/>
          <w:szCs w:val="24"/>
        </w:rPr>
        <w:t xml:space="preserve">entende-se que deveria </w:t>
      </w:r>
      <w:r w:rsidR="00AB0EC2">
        <w:rPr>
          <w:rFonts w:ascii="Arial" w:hAnsi="Arial" w:cs="Arial"/>
          <w:sz w:val="24"/>
          <w:szCs w:val="24"/>
        </w:rPr>
        <w:t xml:space="preserve">também </w:t>
      </w:r>
      <w:r w:rsidRPr="00AD41DE">
        <w:rPr>
          <w:rFonts w:ascii="Arial" w:hAnsi="Arial" w:cs="Arial"/>
          <w:b/>
          <w:sz w:val="24"/>
          <w:szCs w:val="24"/>
        </w:rPr>
        <w:t>viabilizar um sistema, interligado com as Secretarias de Estado da Economia e da Indústria e Comércio</w:t>
      </w:r>
      <w:r>
        <w:rPr>
          <w:rFonts w:ascii="Arial" w:hAnsi="Arial" w:cs="Arial"/>
          <w:sz w:val="24"/>
          <w:szCs w:val="24"/>
        </w:rPr>
        <w:t xml:space="preserve">, pelo qual se </w:t>
      </w:r>
      <w:r w:rsidR="001C009B">
        <w:rPr>
          <w:rFonts w:ascii="Arial" w:hAnsi="Arial" w:cs="Arial"/>
          <w:sz w:val="24"/>
          <w:szCs w:val="24"/>
        </w:rPr>
        <w:t>possa</w:t>
      </w:r>
      <w:r>
        <w:rPr>
          <w:rFonts w:ascii="Arial" w:hAnsi="Arial" w:cs="Arial"/>
          <w:sz w:val="24"/>
          <w:szCs w:val="24"/>
        </w:rPr>
        <w:t xml:space="preserve"> </w:t>
      </w:r>
      <w:r w:rsidRPr="00AD41DE">
        <w:rPr>
          <w:rFonts w:ascii="Arial" w:hAnsi="Arial" w:cs="Arial"/>
          <w:sz w:val="24"/>
          <w:szCs w:val="24"/>
          <w:u w:val="single"/>
        </w:rPr>
        <w:t>acompanhar, em tempo real, autuações e condenações ambientais em desfavor das empresas beneficiárias de incentivos fiscais no Estado de Goiás</w:t>
      </w:r>
      <w:r w:rsidR="00AB0EC2" w:rsidRPr="00AD41DE">
        <w:rPr>
          <w:rFonts w:ascii="Arial" w:hAnsi="Arial" w:cs="Arial"/>
          <w:sz w:val="24"/>
          <w:szCs w:val="24"/>
          <w:u w:val="single"/>
        </w:rPr>
        <w:t xml:space="preserve"> e</w:t>
      </w:r>
      <w:r w:rsidR="001017B2" w:rsidRPr="00AD41DE">
        <w:rPr>
          <w:rFonts w:ascii="Arial" w:hAnsi="Arial" w:cs="Arial"/>
          <w:sz w:val="24"/>
          <w:szCs w:val="24"/>
          <w:u w:val="single"/>
        </w:rPr>
        <w:t xml:space="preserve"> também a</w:t>
      </w:r>
      <w:r w:rsidR="00AB0EC2" w:rsidRPr="00AD41DE">
        <w:rPr>
          <w:rFonts w:ascii="Arial" w:hAnsi="Arial" w:cs="Arial"/>
          <w:sz w:val="24"/>
          <w:szCs w:val="24"/>
          <w:u w:val="single"/>
        </w:rPr>
        <w:t xml:space="preserve"> situação das respectivas licenças ambientais</w:t>
      </w:r>
      <w:r w:rsidR="00D93FD2">
        <w:rPr>
          <w:rFonts w:ascii="Arial" w:hAnsi="Arial" w:cs="Arial"/>
          <w:sz w:val="24"/>
          <w:szCs w:val="24"/>
        </w:rPr>
        <w:t>, de modo a facilitar o trâmite dessas informações entre as referidas pastas de forma</w:t>
      </w:r>
      <w:r w:rsidR="009C131B">
        <w:rPr>
          <w:rFonts w:ascii="Arial" w:hAnsi="Arial" w:cs="Arial"/>
          <w:sz w:val="24"/>
          <w:szCs w:val="24"/>
        </w:rPr>
        <w:t xml:space="preserve"> célere,</w:t>
      </w:r>
      <w:r w:rsidR="00D93FD2">
        <w:rPr>
          <w:rFonts w:ascii="Arial" w:hAnsi="Arial" w:cs="Arial"/>
          <w:sz w:val="24"/>
          <w:szCs w:val="24"/>
        </w:rPr>
        <w:t xml:space="preserve"> sem necessidade de requisições formais</w:t>
      </w:r>
      <w:r>
        <w:rPr>
          <w:rFonts w:ascii="Arial" w:hAnsi="Arial" w:cs="Arial"/>
          <w:sz w:val="24"/>
          <w:szCs w:val="24"/>
        </w:rPr>
        <w:t>.</w:t>
      </w:r>
    </w:p>
    <w:p w14:paraId="2C5170B7" w14:textId="77777777" w:rsidR="00E064BD" w:rsidRDefault="00E064BD" w:rsidP="00B77413">
      <w:pPr>
        <w:spacing w:line="360" w:lineRule="auto"/>
        <w:ind w:firstLine="851"/>
        <w:jc w:val="both"/>
        <w:rPr>
          <w:rFonts w:ascii="Arial" w:hAnsi="Arial" w:cs="Arial"/>
          <w:b/>
          <w:sz w:val="24"/>
          <w:szCs w:val="24"/>
        </w:rPr>
      </w:pPr>
    </w:p>
    <w:p w14:paraId="4B367FB6" w14:textId="1DC211EE" w:rsidR="003A2A93" w:rsidRDefault="00E87207" w:rsidP="00B77413">
      <w:pPr>
        <w:spacing w:line="360" w:lineRule="auto"/>
        <w:ind w:firstLine="851"/>
        <w:jc w:val="both"/>
        <w:rPr>
          <w:rFonts w:ascii="Arial" w:hAnsi="Arial" w:cs="Arial"/>
          <w:sz w:val="24"/>
          <w:szCs w:val="24"/>
        </w:rPr>
      </w:pPr>
      <w:r>
        <w:rPr>
          <w:rFonts w:ascii="Arial" w:hAnsi="Arial" w:cs="Arial"/>
          <w:b/>
          <w:sz w:val="24"/>
          <w:szCs w:val="24"/>
        </w:rPr>
        <w:lastRenderedPageBreak/>
        <w:t>8.3.</w:t>
      </w:r>
      <w:r w:rsidR="00225AE1">
        <w:rPr>
          <w:rFonts w:ascii="Arial" w:hAnsi="Arial" w:cs="Arial"/>
          <w:b/>
          <w:sz w:val="24"/>
          <w:szCs w:val="24"/>
        </w:rPr>
        <w:t>3</w:t>
      </w:r>
      <w:r w:rsidR="00BE40D6" w:rsidRPr="00BE40D6">
        <w:rPr>
          <w:rFonts w:ascii="Arial" w:hAnsi="Arial" w:cs="Arial"/>
          <w:b/>
          <w:sz w:val="24"/>
          <w:szCs w:val="24"/>
        </w:rPr>
        <w:t>.</w:t>
      </w:r>
      <w:r w:rsidR="00BE40D6">
        <w:rPr>
          <w:rFonts w:ascii="Arial" w:hAnsi="Arial" w:cs="Arial"/>
          <w:sz w:val="24"/>
          <w:szCs w:val="24"/>
        </w:rPr>
        <w:t xml:space="preserve"> </w:t>
      </w:r>
      <w:r w:rsidR="003F27E2">
        <w:rPr>
          <w:rFonts w:ascii="Arial" w:hAnsi="Arial" w:cs="Arial"/>
          <w:sz w:val="24"/>
          <w:szCs w:val="24"/>
        </w:rPr>
        <w:t xml:space="preserve">Esta CPI </w:t>
      </w:r>
      <w:r w:rsidR="003A2A93">
        <w:rPr>
          <w:rFonts w:ascii="Arial" w:hAnsi="Arial" w:cs="Arial"/>
          <w:sz w:val="24"/>
          <w:szCs w:val="24"/>
        </w:rPr>
        <w:t xml:space="preserve">também </w:t>
      </w:r>
      <w:r w:rsidR="003A2A93" w:rsidRPr="00FC56C1">
        <w:rPr>
          <w:rFonts w:ascii="Arial" w:hAnsi="Arial" w:cs="Arial"/>
          <w:sz w:val="24"/>
          <w:szCs w:val="24"/>
        </w:rPr>
        <w:t>requisitou</w:t>
      </w:r>
      <w:r w:rsidR="00BE40D6" w:rsidRPr="00FC56C1">
        <w:rPr>
          <w:rFonts w:ascii="Arial" w:hAnsi="Arial" w:cs="Arial"/>
          <w:sz w:val="24"/>
          <w:szCs w:val="24"/>
        </w:rPr>
        <w:t xml:space="preserve"> </w:t>
      </w:r>
      <w:r w:rsidR="003A2A93" w:rsidRPr="00FC56C1">
        <w:rPr>
          <w:rFonts w:ascii="Arial" w:hAnsi="Arial" w:cs="Arial"/>
          <w:sz w:val="24"/>
          <w:szCs w:val="24"/>
        </w:rPr>
        <w:t>da</w:t>
      </w:r>
      <w:r w:rsidR="00BE40D6" w:rsidRPr="00FC56C1">
        <w:rPr>
          <w:rFonts w:ascii="Arial" w:hAnsi="Arial" w:cs="Arial"/>
          <w:sz w:val="24"/>
          <w:szCs w:val="24"/>
        </w:rPr>
        <w:t>s mencionadas pastas</w:t>
      </w:r>
      <w:r w:rsidR="00FC56C1">
        <w:rPr>
          <w:rFonts w:ascii="Arial" w:hAnsi="Arial" w:cs="Arial"/>
          <w:sz w:val="24"/>
          <w:szCs w:val="24"/>
        </w:rPr>
        <w:t xml:space="preserve"> informações sobre a </w:t>
      </w:r>
      <w:r w:rsidR="00FC56C1" w:rsidRPr="008B4445">
        <w:rPr>
          <w:rFonts w:ascii="Arial" w:hAnsi="Arial" w:cs="Arial"/>
          <w:b/>
          <w:sz w:val="24"/>
          <w:szCs w:val="24"/>
          <w:u w:val="single"/>
        </w:rPr>
        <w:t>competência para aplicação da penalidade de perda ou restrição de incentivos fiscais</w:t>
      </w:r>
      <w:r w:rsidR="00FC56C1">
        <w:rPr>
          <w:rFonts w:ascii="Arial" w:hAnsi="Arial" w:cs="Arial"/>
          <w:sz w:val="24"/>
          <w:szCs w:val="24"/>
        </w:rPr>
        <w:t xml:space="preserve">, </w:t>
      </w:r>
      <w:r w:rsidR="008B4445">
        <w:rPr>
          <w:rFonts w:ascii="Arial" w:hAnsi="Arial" w:cs="Arial"/>
          <w:sz w:val="24"/>
          <w:szCs w:val="24"/>
        </w:rPr>
        <w:t xml:space="preserve">nos termos do </w:t>
      </w:r>
      <w:r w:rsidR="008B4445" w:rsidRPr="008B4445">
        <w:rPr>
          <w:rFonts w:ascii="Arial" w:hAnsi="Arial" w:cs="Arial"/>
          <w:sz w:val="24"/>
          <w:szCs w:val="24"/>
        </w:rPr>
        <w:t>art. 132</w:t>
      </w:r>
      <w:r w:rsidR="005222E0">
        <w:rPr>
          <w:rFonts w:ascii="Arial" w:hAnsi="Arial" w:cs="Arial"/>
          <w:sz w:val="24"/>
          <w:szCs w:val="24"/>
        </w:rPr>
        <w:t>,</w:t>
      </w:r>
      <w:r w:rsidR="005222E0" w:rsidRPr="005222E0">
        <w:rPr>
          <w:rFonts w:ascii="Arial" w:hAnsi="Arial" w:cs="Arial"/>
          <w:sz w:val="24"/>
          <w:szCs w:val="24"/>
        </w:rPr>
        <w:t xml:space="preserve"> </w:t>
      </w:r>
      <w:r w:rsidR="005222E0" w:rsidRPr="008B4445">
        <w:rPr>
          <w:rFonts w:ascii="Arial" w:hAnsi="Arial" w:cs="Arial"/>
          <w:sz w:val="24"/>
          <w:szCs w:val="24"/>
        </w:rPr>
        <w:t>§ 4º</w:t>
      </w:r>
      <w:r w:rsidR="005222E0">
        <w:rPr>
          <w:rFonts w:ascii="Arial" w:hAnsi="Arial" w:cs="Arial"/>
          <w:sz w:val="24"/>
          <w:szCs w:val="24"/>
        </w:rPr>
        <w:t>,</w:t>
      </w:r>
      <w:r w:rsidR="005222E0" w:rsidRPr="008B4445">
        <w:rPr>
          <w:rFonts w:ascii="Arial" w:hAnsi="Arial" w:cs="Arial"/>
          <w:sz w:val="24"/>
          <w:szCs w:val="24"/>
        </w:rPr>
        <w:t xml:space="preserve"> </w:t>
      </w:r>
      <w:r w:rsidR="008B4445" w:rsidRPr="008B4445">
        <w:rPr>
          <w:rFonts w:ascii="Arial" w:hAnsi="Arial" w:cs="Arial"/>
          <w:sz w:val="24"/>
          <w:szCs w:val="24"/>
        </w:rPr>
        <w:t xml:space="preserve">da </w:t>
      </w:r>
      <w:r w:rsidR="0031496D">
        <w:rPr>
          <w:rFonts w:ascii="Arial" w:hAnsi="Arial" w:cs="Arial"/>
          <w:sz w:val="24"/>
          <w:szCs w:val="24"/>
        </w:rPr>
        <w:t>CE/GO</w:t>
      </w:r>
      <w:r w:rsidR="008B4445" w:rsidRPr="008B4445">
        <w:rPr>
          <w:rFonts w:ascii="Arial" w:hAnsi="Arial" w:cs="Arial"/>
          <w:sz w:val="24"/>
          <w:szCs w:val="24"/>
        </w:rPr>
        <w:t xml:space="preserve"> e do art. 25, III, da Lei nº 18.102/2013</w:t>
      </w:r>
      <w:r w:rsidR="005222E0">
        <w:rPr>
          <w:rFonts w:ascii="Arial" w:hAnsi="Arial" w:cs="Arial"/>
          <w:sz w:val="24"/>
          <w:szCs w:val="24"/>
        </w:rPr>
        <w:t xml:space="preserve">, </w:t>
      </w:r>
      <w:r w:rsidR="006D322D">
        <w:rPr>
          <w:rFonts w:ascii="Arial" w:hAnsi="Arial" w:cs="Arial"/>
          <w:sz w:val="24"/>
          <w:szCs w:val="24"/>
        </w:rPr>
        <w:t>bem como</w:t>
      </w:r>
      <w:r w:rsidR="005222E0">
        <w:rPr>
          <w:rFonts w:ascii="Arial" w:hAnsi="Arial" w:cs="Arial"/>
          <w:sz w:val="24"/>
          <w:szCs w:val="24"/>
        </w:rPr>
        <w:t xml:space="preserve"> n</w:t>
      </w:r>
      <w:r w:rsidR="006D322D">
        <w:rPr>
          <w:rFonts w:ascii="Arial" w:hAnsi="Arial" w:cs="Arial"/>
          <w:sz w:val="24"/>
          <w:szCs w:val="24"/>
        </w:rPr>
        <w:t>úmero</w:t>
      </w:r>
      <w:r w:rsidR="005222E0">
        <w:rPr>
          <w:rFonts w:ascii="Arial" w:hAnsi="Arial" w:cs="Arial"/>
          <w:sz w:val="24"/>
          <w:szCs w:val="24"/>
        </w:rPr>
        <w:t xml:space="preserve"> de penalidades efetivamente aplicadas, nos seguintes termos</w:t>
      </w:r>
      <w:r w:rsidR="003A2A93">
        <w:rPr>
          <w:rFonts w:ascii="Arial" w:hAnsi="Arial" w:cs="Arial"/>
          <w:sz w:val="24"/>
          <w:szCs w:val="24"/>
        </w:rPr>
        <w:t>:</w:t>
      </w:r>
    </w:p>
    <w:p w14:paraId="39368E76" w14:textId="77777777" w:rsidR="008D5153" w:rsidRDefault="008D5153" w:rsidP="00B77413">
      <w:pPr>
        <w:spacing w:line="360" w:lineRule="auto"/>
        <w:ind w:firstLine="851"/>
        <w:jc w:val="both"/>
        <w:rPr>
          <w:rFonts w:ascii="Arial" w:hAnsi="Arial" w:cs="Arial"/>
          <w:sz w:val="24"/>
          <w:szCs w:val="24"/>
        </w:rPr>
      </w:pPr>
    </w:p>
    <w:p w14:paraId="63813376" w14:textId="312C799E" w:rsidR="00DC445B" w:rsidRDefault="003A2A93" w:rsidP="00B77413">
      <w:pPr>
        <w:spacing w:line="360" w:lineRule="auto"/>
        <w:ind w:firstLine="851"/>
        <w:jc w:val="both"/>
        <w:rPr>
          <w:rFonts w:ascii="Arial" w:hAnsi="Arial" w:cs="Arial"/>
          <w:sz w:val="24"/>
          <w:szCs w:val="24"/>
        </w:rPr>
      </w:pPr>
      <w:r w:rsidRPr="005222E0">
        <w:rPr>
          <w:rFonts w:ascii="Arial" w:hAnsi="Arial" w:cs="Arial"/>
          <w:b/>
          <w:color w:val="000000"/>
        </w:rPr>
        <w:t xml:space="preserve">a) </w:t>
      </w:r>
      <w:r w:rsidRPr="005222E0">
        <w:rPr>
          <w:rFonts w:ascii="Arial" w:hAnsi="Arial" w:cs="Arial"/>
          <w:b/>
          <w:sz w:val="24"/>
          <w:szCs w:val="24"/>
        </w:rPr>
        <w:t>se</w:t>
      </w:r>
      <w:r w:rsidR="003F27E2" w:rsidRPr="005222E0">
        <w:rPr>
          <w:rFonts w:ascii="Arial" w:hAnsi="Arial" w:cs="Arial"/>
          <w:b/>
          <w:color w:val="000000"/>
        </w:rPr>
        <w:t xml:space="preserve"> </w:t>
      </w:r>
      <w:r w:rsidR="003F27E2" w:rsidRPr="005222E0">
        <w:rPr>
          <w:rFonts w:ascii="Arial" w:hAnsi="Arial" w:cs="Arial"/>
          <w:b/>
          <w:sz w:val="24"/>
          <w:szCs w:val="24"/>
        </w:rPr>
        <w:t xml:space="preserve">a própria </w:t>
      </w:r>
      <w:r w:rsidR="00BE40D6" w:rsidRPr="005222E0">
        <w:rPr>
          <w:rFonts w:ascii="Arial" w:hAnsi="Arial" w:cs="Arial"/>
          <w:b/>
          <w:sz w:val="24"/>
          <w:szCs w:val="24"/>
        </w:rPr>
        <w:t>SEMAD</w:t>
      </w:r>
      <w:r w:rsidR="003F27E2" w:rsidRPr="005222E0">
        <w:rPr>
          <w:rFonts w:ascii="Arial" w:hAnsi="Arial" w:cs="Arial"/>
          <w:b/>
          <w:sz w:val="24"/>
          <w:szCs w:val="24"/>
        </w:rPr>
        <w:t xml:space="preserve"> aplica a pena restritiva de direitos</w:t>
      </w:r>
      <w:r w:rsidR="003F27E2" w:rsidRPr="003A2A93">
        <w:rPr>
          <w:rFonts w:ascii="Arial" w:hAnsi="Arial" w:cs="Arial"/>
          <w:sz w:val="24"/>
          <w:szCs w:val="24"/>
        </w:rPr>
        <w:t xml:space="preserve"> de perda ou restrição de incentivos e benefícios fiscais</w:t>
      </w:r>
      <w:r w:rsidR="003F27E2" w:rsidRPr="00E87207">
        <w:rPr>
          <w:rFonts w:ascii="Arial" w:hAnsi="Arial" w:cs="Arial"/>
          <w:b/>
          <w:sz w:val="24"/>
          <w:szCs w:val="24"/>
        </w:rPr>
        <w:t xml:space="preserve"> </w:t>
      </w:r>
      <w:r w:rsidR="003F27E2" w:rsidRPr="005222E0">
        <w:rPr>
          <w:rFonts w:ascii="Arial" w:hAnsi="Arial" w:cs="Arial"/>
          <w:sz w:val="24"/>
          <w:szCs w:val="24"/>
          <w:u w:val="single"/>
        </w:rPr>
        <w:t>ou se é feita comunicação</w:t>
      </w:r>
      <w:r w:rsidR="003F27E2" w:rsidRPr="003F27E2">
        <w:rPr>
          <w:rFonts w:ascii="Arial" w:hAnsi="Arial" w:cs="Arial"/>
          <w:sz w:val="24"/>
          <w:szCs w:val="24"/>
        </w:rPr>
        <w:t xml:space="preserve"> da penalidade, sempre que aplicada, </w:t>
      </w:r>
      <w:r w:rsidR="003F27E2" w:rsidRPr="005222E0">
        <w:rPr>
          <w:rFonts w:ascii="Arial" w:hAnsi="Arial" w:cs="Arial"/>
          <w:sz w:val="24"/>
          <w:szCs w:val="24"/>
          <w:u w:val="single"/>
        </w:rPr>
        <w:t>à Secretaria de Estado da Economia</w:t>
      </w:r>
      <w:r w:rsidR="003F27E2" w:rsidRPr="003F27E2">
        <w:rPr>
          <w:rFonts w:ascii="Arial" w:hAnsi="Arial" w:cs="Arial"/>
          <w:sz w:val="24"/>
          <w:szCs w:val="24"/>
        </w:rPr>
        <w:t xml:space="preserve"> para esta </w:t>
      </w:r>
      <w:r>
        <w:rPr>
          <w:rFonts w:ascii="Arial" w:hAnsi="Arial" w:cs="Arial"/>
          <w:sz w:val="24"/>
          <w:szCs w:val="24"/>
        </w:rPr>
        <w:t>tomar as providências cabíveis;</w:t>
      </w:r>
    </w:p>
    <w:p w14:paraId="579286F5" w14:textId="084964B4" w:rsidR="003A2A93" w:rsidRDefault="003A2A93" w:rsidP="00B77413">
      <w:pPr>
        <w:spacing w:line="360" w:lineRule="auto"/>
        <w:ind w:firstLine="851"/>
        <w:jc w:val="both"/>
        <w:rPr>
          <w:rFonts w:ascii="Arial" w:hAnsi="Arial" w:cs="Arial"/>
          <w:sz w:val="24"/>
          <w:szCs w:val="24"/>
        </w:rPr>
      </w:pPr>
      <w:r w:rsidRPr="003A2A93">
        <w:rPr>
          <w:rFonts w:ascii="Arial" w:hAnsi="Arial" w:cs="Arial"/>
          <w:b/>
          <w:sz w:val="24"/>
          <w:szCs w:val="24"/>
        </w:rPr>
        <w:t>b) que informasse todos os casos de autuações efetuadas desde 2013 que tenham resultado, total ou parcialmente, em perda ou restrição de incentivos e benefícios fiscais (Lei nº 18.102/2013, art. 25, III)</w:t>
      </w:r>
      <w:r w:rsidRPr="003A2A93">
        <w:rPr>
          <w:rFonts w:ascii="Arial" w:hAnsi="Arial" w:cs="Arial"/>
          <w:sz w:val="24"/>
          <w:szCs w:val="24"/>
        </w:rPr>
        <w:t xml:space="preserve">, com discriminação dos dados </w:t>
      </w:r>
      <w:r>
        <w:rPr>
          <w:rFonts w:ascii="Arial" w:hAnsi="Arial" w:cs="Arial"/>
          <w:sz w:val="24"/>
          <w:szCs w:val="24"/>
        </w:rPr>
        <w:t>correspondentes</w:t>
      </w:r>
      <w:r w:rsidRPr="003A2A93">
        <w:rPr>
          <w:rFonts w:ascii="Arial" w:hAnsi="Arial" w:cs="Arial"/>
          <w:sz w:val="24"/>
          <w:szCs w:val="24"/>
        </w:rPr>
        <w:t xml:space="preserve"> e o valor dos benefícios fiscais cuja perda ou suspensão foi decretada e, neste último caso</w:t>
      </w:r>
      <w:r>
        <w:rPr>
          <w:rFonts w:ascii="Arial" w:hAnsi="Arial" w:cs="Arial"/>
          <w:sz w:val="24"/>
          <w:szCs w:val="24"/>
        </w:rPr>
        <w:t>, também o período de suspensão; e,</w:t>
      </w:r>
      <w:r w:rsidRPr="003A2A93">
        <w:rPr>
          <w:rFonts w:ascii="Arial" w:hAnsi="Arial" w:cs="Arial"/>
          <w:sz w:val="24"/>
          <w:szCs w:val="24"/>
        </w:rPr>
        <w:t xml:space="preserve"> </w:t>
      </w:r>
      <w:r>
        <w:rPr>
          <w:rFonts w:ascii="Arial" w:hAnsi="Arial" w:cs="Arial"/>
          <w:sz w:val="24"/>
          <w:szCs w:val="24"/>
        </w:rPr>
        <w:t xml:space="preserve">no caso de </w:t>
      </w:r>
      <w:r w:rsidRPr="003A2A93">
        <w:rPr>
          <w:rFonts w:ascii="Arial" w:hAnsi="Arial" w:cs="Arial"/>
          <w:sz w:val="24"/>
          <w:szCs w:val="24"/>
        </w:rPr>
        <w:t>mera comunicação, cópia dos ofícios que comunicaram as penalidades aplicadas desde 2013</w:t>
      </w:r>
      <w:r w:rsidR="00CD4E6E">
        <w:rPr>
          <w:rFonts w:ascii="Arial" w:hAnsi="Arial" w:cs="Arial"/>
          <w:sz w:val="24"/>
          <w:szCs w:val="24"/>
        </w:rPr>
        <w:t>.</w:t>
      </w:r>
    </w:p>
    <w:p w14:paraId="5D862D25" w14:textId="77777777" w:rsidR="008D5153" w:rsidRDefault="008D5153" w:rsidP="00B77413">
      <w:pPr>
        <w:spacing w:line="360" w:lineRule="auto"/>
        <w:ind w:firstLine="851"/>
        <w:jc w:val="both"/>
        <w:rPr>
          <w:rFonts w:ascii="Arial" w:hAnsi="Arial" w:cs="Arial"/>
          <w:sz w:val="24"/>
          <w:szCs w:val="24"/>
        </w:rPr>
      </w:pPr>
    </w:p>
    <w:p w14:paraId="4AB9B2B9" w14:textId="49C67513" w:rsidR="00BE40D6" w:rsidRDefault="00BE40D6" w:rsidP="00B77413">
      <w:pPr>
        <w:spacing w:line="360" w:lineRule="auto"/>
        <w:ind w:firstLine="851"/>
        <w:jc w:val="both"/>
        <w:rPr>
          <w:rFonts w:ascii="Arial" w:hAnsi="Arial" w:cs="Arial"/>
          <w:sz w:val="24"/>
          <w:szCs w:val="24"/>
        </w:rPr>
      </w:pPr>
      <w:r>
        <w:rPr>
          <w:rFonts w:ascii="Arial" w:hAnsi="Arial" w:cs="Arial"/>
          <w:sz w:val="24"/>
          <w:szCs w:val="24"/>
        </w:rPr>
        <w:t xml:space="preserve">Em relação a esse ponto, </w:t>
      </w:r>
      <w:r w:rsidRPr="00E87207">
        <w:rPr>
          <w:rFonts w:ascii="Arial" w:hAnsi="Arial" w:cs="Arial"/>
          <w:sz w:val="24"/>
          <w:szCs w:val="24"/>
        </w:rPr>
        <w:t xml:space="preserve">a </w:t>
      </w:r>
      <w:r w:rsidR="002E7FDD" w:rsidRPr="00CD4E6E">
        <w:rPr>
          <w:rFonts w:ascii="Arial" w:hAnsi="Arial" w:cs="Arial"/>
          <w:sz w:val="24"/>
          <w:szCs w:val="24"/>
          <w:u w:val="single"/>
        </w:rPr>
        <w:t>Secretaria de Estado da Economia se manifestou no sentido de que cabe ao órgão ambiental</w:t>
      </w:r>
      <w:r w:rsidR="002E7FDD" w:rsidRPr="00E87207">
        <w:rPr>
          <w:rFonts w:ascii="Arial" w:hAnsi="Arial" w:cs="Arial"/>
          <w:sz w:val="24"/>
          <w:szCs w:val="24"/>
        </w:rPr>
        <w:t xml:space="preserve"> aplicar a penalidade </w:t>
      </w:r>
      <w:r w:rsidR="00164252" w:rsidRPr="00E87207">
        <w:rPr>
          <w:rFonts w:ascii="Arial" w:hAnsi="Arial" w:cs="Arial"/>
          <w:sz w:val="24"/>
          <w:szCs w:val="24"/>
        </w:rPr>
        <w:t>e comunicá-la para</w:t>
      </w:r>
      <w:r w:rsidR="0020278F" w:rsidRPr="00E87207">
        <w:rPr>
          <w:rFonts w:ascii="Arial" w:hAnsi="Arial" w:cs="Arial"/>
          <w:sz w:val="24"/>
          <w:szCs w:val="24"/>
        </w:rPr>
        <w:t xml:space="preserve"> inscrição da pessoa condenada em cadastro próprio</w:t>
      </w:r>
      <w:r w:rsidR="00301E0E">
        <w:rPr>
          <w:rFonts w:ascii="Arial" w:hAnsi="Arial" w:cs="Arial"/>
          <w:sz w:val="24"/>
          <w:szCs w:val="24"/>
        </w:rPr>
        <w:t xml:space="preserve">, a fim de </w:t>
      </w:r>
      <w:r w:rsidR="0020278F">
        <w:rPr>
          <w:rFonts w:ascii="Arial" w:hAnsi="Arial" w:cs="Arial"/>
          <w:sz w:val="24"/>
          <w:szCs w:val="24"/>
        </w:rPr>
        <w:t>impedi-la de receber incentivos fiscais no período de vigência da penalidade, nos seguintes termos</w:t>
      </w:r>
      <w:r w:rsidR="00BF2CB7">
        <w:rPr>
          <w:rFonts w:ascii="Arial" w:hAnsi="Arial" w:cs="Arial"/>
          <w:sz w:val="24"/>
          <w:szCs w:val="24"/>
        </w:rPr>
        <w:t>:</w:t>
      </w:r>
    </w:p>
    <w:p w14:paraId="61EA3B38" w14:textId="77777777" w:rsidR="00567785" w:rsidRDefault="00567785" w:rsidP="00B77413">
      <w:pPr>
        <w:spacing w:line="360" w:lineRule="auto"/>
        <w:ind w:firstLine="851"/>
        <w:jc w:val="both"/>
        <w:rPr>
          <w:rFonts w:ascii="Arial" w:hAnsi="Arial" w:cs="Arial"/>
          <w:sz w:val="24"/>
          <w:szCs w:val="24"/>
        </w:rPr>
      </w:pPr>
    </w:p>
    <w:p w14:paraId="591E9CBA" w14:textId="50811DDD" w:rsidR="00285AE0" w:rsidRDefault="00285AE0" w:rsidP="008D5153">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w:t>
      </w:r>
    </w:p>
    <w:p w14:paraId="23A73889" w14:textId="0ED694FE" w:rsidR="002E7FDD" w:rsidRPr="002E7FDD" w:rsidRDefault="002E7FDD" w:rsidP="008D5153">
      <w:pPr>
        <w:pStyle w:val="NormalWeb"/>
        <w:spacing w:before="0" w:beforeAutospacing="0" w:after="0" w:afterAutospacing="0"/>
        <w:ind w:left="2268"/>
        <w:jc w:val="both"/>
        <w:rPr>
          <w:rFonts w:ascii="Arial" w:hAnsi="Arial" w:cs="Arial"/>
          <w:color w:val="000000"/>
          <w:sz w:val="22"/>
          <w:szCs w:val="22"/>
        </w:rPr>
      </w:pPr>
      <w:r w:rsidRPr="002E7FDD">
        <w:rPr>
          <w:rFonts w:ascii="Arial" w:hAnsi="Arial" w:cs="Arial"/>
          <w:color w:val="000000"/>
          <w:sz w:val="22"/>
          <w:szCs w:val="22"/>
        </w:rPr>
        <w:t>2</w:t>
      </w:r>
      <w:r>
        <w:rPr>
          <w:rFonts w:ascii="Arial" w:hAnsi="Arial" w:cs="Arial"/>
          <w:color w:val="000000"/>
          <w:sz w:val="22"/>
          <w:szCs w:val="22"/>
        </w:rPr>
        <w:t xml:space="preserve"> </w:t>
      </w:r>
      <w:r w:rsidRPr="002E7FDD">
        <w:rPr>
          <w:rFonts w:ascii="Arial" w:hAnsi="Arial" w:cs="Arial"/>
          <w:color w:val="000000"/>
          <w:sz w:val="22"/>
          <w:szCs w:val="22"/>
        </w:rPr>
        <w:t>- Conforme disposto na Lei nº 18.102/13, que trata das infrações administrativas</w:t>
      </w:r>
      <w:r>
        <w:rPr>
          <w:rFonts w:ascii="Arial" w:hAnsi="Arial" w:cs="Arial"/>
          <w:color w:val="000000"/>
          <w:sz w:val="22"/>
          <w:szCs w:val="22"/>
        </w:rPr>
        <w:t xml:space="preserve"> </w:t>
      </w:r>
      <w:r w:rsidRPr="002E7FDD">
        <w:rPr>
          <w:rFonts w:ascii="Arial" w:hAnsi="Arial" w:cs="Arial"/>
          <w:color w:val="000000"/>
          <w:sz w:val="22"/>
          <w:szCs w:val="22"/>
        </w:rPr>
        <w:t>ambientais e as correspondentes sanções, bem como sobre a instituição do processo administrativo para</w:t>
      </w:r>
      <w:r>
        <w:rPr>
          <w:rFonts w:ascii="Arial" w:hAnsi="Arial" w:cs="Arial"/>
          <w:color w:val="000000"/>
          <w:sz w:val="22"/>
          <w:szCs w:val="22"/>
        </w:rPr>
        <w:t xml:space="preserve"> </w:t>
      </w:r>
      <w:r w:rsidRPr="002E7FDD">
        <w:rPr>
          <w:rFonts w:ascii="Arial" w:hAnsi="Arial" w:cs="Arial"/>
          <w:color w:val="000000"/>
          <w:sz w:val="22"/>
          <w:szCs w:val="22"/>
        </w:rPr>
        <w:t>sua apuração, a competência para apuração, julgamento e aplicação de penalidades ao infrator é do órgão</w:t>
      </w:r>
      <w:r>
        <w:rPr>
          <w:rFonts w:ascii="Arial" w:hAnsi="Arial" w:cs="Arial"/>
          <w:color w:val="000000"/>
          <w:sz w:val="22"/>
          <w:szCs w:val="22"/>
        </w:rPr>
        <w:t xml:space="preserve"> </w:t>
      </w:r>
      <w:r w:rsidRPr="002E7FDD">
        <w:rPr>
          <w:rFonts w:ascii="Arial" w:hAnsi="Arial" w:cs="Arial"/>
          <w:color w:val="000000"/>
          <w:sz w:val="22"/>
          <w:szCs w:val="22"/>
        </w:rPr>
        <w:t>estadual de meio ambiente;</w:t>
      </w:r>
    </w:p>
    <w:p w14:paraId="723ADA8A" w14:textId="251030EA" w:rsidR="002E7FDD" w:rsidRDefault="002E7FDD" w:rsidP="008D5153">
      <w:pPr>
        <w:pStyle w:val="NormalWeb"/>
        <w:spacing w:before="0" w:beforeAutospacing="0" w:after="0" w:afterAutospacing="0"/>
        <w:ind w:left="2268"/>
        <w:jc w:val="both"/>
        <w:rPr>
          <w:rFonts w:ascii="Arial" w:hAnsi="Arial" w:cs="Arial"/>
          <w:color w:val="000000"/>
          <w:sz w:val="22"/>
          <w:szCs w:val="22"/>
        </w:rPr>
      </w:pPr>
      <w:r w:rsidRPr="002E7FDD">
        <w:rPr>
          <w:rFonts w:ascii="Arial" w:hAnsi="Arial" w:cs="Arial"/>
          <w:color w:val="000000"/>
          <w:sz w:val="22"/>
          <w:szCs w:val="22"/>
        </w:rPr>
        <w:t>3- Sendo esta Secretaria comunicada pelos órgãos competentes sobre condenações de</w:t>
      </w:r>
      <w:r>
        <w:rPr>
          <w:rFonts w:ascii="Arial" w:hAnsi="Arial" w:cs="Arial"/>
          <w:color w:val="000000"/>
          <w:sz w:val="22"/>
          <w:szCs w:val="22"/>
        </w:rPr>
        <w:t xml:space="preserve"> </w:t>
      </w:r>
      <w:r w:rsidRPr="002E7FDD">
        <w:rPr>
          <w:rFonts w:ascii="Arial" w:hAnsi="Arial" w:cs="Arial"/>
          <w:color w:val="000000"/>
          <w:sz w:val="22"/>
          <w:szCs w:val="22"/>
        </w:rPr>
        <w:t>pessoas físicas ou jurídicas, que impliquem em perda do direito ao recebimento de benefícios ou</w:t>
      </w:r>
      <w:r>
        <w:rPr>
          <w:rFonts w:ascii="Arial" w:hAnsi="Arial" w:cs="Arial"/>
          <w:color w:val="000000"/>
          <w:sz w:val="22"/>
          <w:szCs w:val="22"/>
        </w:rPr>
        <w:t xml:space="preserve"> </w:t>
      </w:r>
      <w:r w:rsidRPr="002E7FDD">
        <w:rPr>
          <w:rFonts w:ascii="Arial" w:hAnsi="Arial" w:cs="Arial"/>
          <w:color w:val="000000"/>
          <w:sz w:val="22"/>
          <w:szCs w:val="22"/>
        </w:rPr>
        <w:t>incentivos fiscais, como nas situações previstas no Art. 25, Inciso III da Lei nº 18.102/13 e no Art. 136, §</w:t>
      </w:r>
      <w:r>
        <w:rPr>
          <w:rFonts w:ascii="Arial" w:hAnsi="Arial" w:cs="Arial"/>
          <w:color w:val="000000"/>
          <w:sz w:val="22"/>
          <w:szCs w:val="22"/>
        </w:rPr>
        <w:t xml:space="preserve"> </w:t>
      </w:r>
      <w:r w:rsidRPr="002E7FDD">
        <w:rPr>
          <w:rFonts w:ascii="Arial" w:hAnsi="Arial" w:cs="Arial"/>
          <w:color w:val="000000"/>
          <w:sz w:val="22"/>
          <w:szCs w:val="22"/>
        </w:rPr>
        <w:t>2º da Constituição Estadual, os dados destes condenados são incluídos no sistema denominado "Cadastro</w:t>
      </w:r>
      <w:r>
        <w:rPr>
          <w:rFonts w:ascii="Arial" w:hAnsi="Arial" w:cs="Arial"/>
          <w:color w:val="000000"/>
          <w:sz w:val="22"/>
          <w:szCs w:val="22"/>
        </w:rPr>
        <w:t xml:space="preserve"> </w:t>
      </w:r>
      <w:r w:rsidRPr="002E7FDD">
        <w:rPr>
          <w:rFonts w:ascii="Arial" w:hAnsi="Arial" w:cs="Arial"/>
          <w:color w:val="000000"/>
          <w:sz w:val="22"/>
          <w:szCs w:val="22"/>
        </w:rPr>
        <w:t>de Pessoas Impedidas" e ficam impossibilitadas de receber tais vantagens pelo período de vigência da</w:t>
      </w:r>
      <w:r>
        <w:rPr>
          <w:rFonts w:ascii="Arial" w:hAnsi="Arial" w:cs="Arial"/>
          <w:color w:val="000000"/>
          <w:sz w:val="22"/>
          <w:szCs w:val="22"/>
        </w:rPr>
        <w:t xml:space="preserve"> </w:t>
      </w:r>
      <w:r w:rsidRPr="002E7FDD">
        <w:rPr>
          <w:rFonts w:ascii="Arial" w:hAnsi="Arial" w:cs="Arial"/>
          <w:color w:val="000000"/>
          <w:sz w:val="22"/>
          <w:szCs w:val="22"/>
        </w:rPr>
        <w:t>sanção;</w:t>
      </w:r>
      <w:r>
        <w:rPr>
          <w:rFonts w:ascii="Arial" w:hAnsi="Arial" w:cs="Arial"/>
          <w:color w:val="000000"/>
          <w:sz w:val="22"/>
          <w:szCs w:val="22"/>
        </w:rPr>
        <w:t xml:space="preserve"> </w:t>
      </w:r>
    </w:p>
    <w:p w14:paraId="60900D82" w14:textId="77777777" w:rsidR="00AD54D5" w:rsidRDefault="00AD54D5" w:rsidP="008D5153">
      <w:pPr>
        <w:pStyle w:val="NormalWeb"/>
        <w:spacing w:before="0" w:beforeAutospacing="0" w:after="0" w:afterAutospacing="0"/>
        <w:ind w:left="2268"/>
        <w:jc w:val="both"/>
        <w:rPr>
          <w:rFonts w:ascii="Arial" w:hAnsi="Arial" w:cs="Arial"/>
          <w:color w:val="000000"/>
          <w:sz w:val="22"/>
          <w:szCs w:val="22"/>
        </w:rPr>
      </w:pPr>
      <w:r w:rsidRPr="00AD54D5">
        <w:rPr>
          <w:rFonts w:ascii="Arial" w:hAnsi="Arial" w:cs="Arial"/>
          <w:color w:val="000000"/>
          <w:sz w:val="22"/>
          <w:szCs w:val="22"/>
        </w:rPr>
        <w:t>4- Além da impossibilidade de recebimento de benefícios ou incentivos fiscais, o</w:t>
      </w:r>
      <w:r>
        <w:rPr>
          <w:rFonts w:ascii="Arial" w:hAnsi="Arial" w:cs="Arial"/>
          <w:color w:val="000000"/>
          <w:sz w:val="22"/>
          <w:szCs w:val="22"/>
        </w:rPr>
        <w:t xml:space="preserve"> </w:t>
      </w:r>
      <w:r w:rsidRPr="00AD54D5">
        <w:rPr>
          <w:rFonts w:ascii="Arial" w:hAnsi="Arial" w:cs="Arial"/>
          <w:color w:val="000000"/>
          <w:sz w:val="22"/>
          <w:szCs w:val="22"/>
        </w:rPr>
        <w:t>Código Tributário Estadual também prevê, em seu art. 155, inciso II, alínea "g", a possibilidade de</w:t>
      </w:r>
      <w:r>
        <w:rPr>
          <w:rFonts w:ascii="Arial" w:hAnsi="Arial" w:cs="Arial"/>
          <w:color w:val="000000"/>
          <w:sz w:val="22"/>
          <w:szCs w:val="22"/>
        </w:rPr>
        <w:t xml:space="preserve"> </w:t>
      </w:r>
      <w:r w:rsidRPr="00AD54D5">
        <w:rPr>
          <w:rFonts w:ascii="Arial" w:hAnsi="Arial" w:cs="Arial"/>
          <w:color w:val="000000"/>
          <w:sz w:val="22"/>
          <w:szCs w:val="22"/>
        </w:rPr>
        <w:t>cassação da eficácia da inscrição estadual, de ofício, quando da revogação ou cancelamento do registro ou</w:t>
      </w:r>
      <w:r>
        <w:rPr>
          <w:rFonts w:ascii="Arial" w:hAnsi="Arial" w:cs="Arial"/>
          <w:color w:val="000000"/>
          <w:sz w:val="22"/>
          <w:szCs w:val="22"/>
        </w:rPr>
        <w:t xml:space="preserve"> </w:t>
      </w:r>
      <w:r w:rsidRPr="00AD54D5">
        <w:rPr>
          <w:rFonts w:ascii="Arial" w:hAnsi="Arial" w:cs="Arial"/>
          <w:color w:val="000000"/>
          <w:sz w:val="22"/>
          <w:szCs w:val="22"/>
        </w:rPr>
        <w:lastRenderedPageBreak/>
        <w:t>autorização de funcionamento do estabelecimento pelo órgão regulador da atividade ou do meio ambiente;</w:t>
      </w:r>
    </w:p>
    <w:p w14:paraId="6959804C" w14:textId="3E1D09CB" w:rsidR="00285AE0" w:rsidRDefault="00285AE0" w:rsidP="008D5153">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w:t>
      </w:r>
      <w:r w:rsidR="00C03504">
        <w:rPr>
          <w:rFonts w:ascii="Arial" w:hAnsi="Arial" w:cs="Arial"/>
          <w:color w:val="000000"/>
          <w:sz w:val="22"/>
          <w:szCs w:val="22"/>
        </w:rPr>
        <w:t xml:space="preserve"> (Ofício nº </w:t>
      </w:r>
      <w:r w:rsidR="00C03504" w:rsidRPr="002E7FDD">
        <w:rPr>
          <w:rFonts w:ascii="Arial" w:hAnsi="Arial" w:cs="Arial"/>
          <w:color w:val="000000"/>
          <w:sz w:val="22"/>
          <w:szCs w:val="22"/>
        </w:rPr>
        <w:t>7</w:t>
      </w:r>
      <w:r w:rsidR="00C03504">
        <w:rPr>
          <w:rFonts w:ascii="Arial" w:hAnsi="Arial" w:cs="Arial"/>
          <w:color w:val="000000"/>
          <w:sz w:val="22"/>
          <w:szCs w:val="22"/>
        </w:rPr>
        <w:t>.</w:t>
      </w:r>
      <w:r w:rsidR="00C03504" w:rsidRPr="002E7FDD">
        <w:rPr>
          <w:rFonts w:ascii="Arial" w:hAnsi="Arial" w:cs="Arial"/>
          <w:color w:val="000000"/>
          <w:sz w:val="22"/>
          <w:szCs w:val="22"/>
        </w:rPr>
        <w:t>923</w:t>
      </w:r>
      <w:r w:rsidR="00C03504">
        <w:rPr>
          <w:rFonts w:ascii="Arial" w:hAnsi="Arial" w:cs="Arial"/>
          <w:color w:val="000000"/>
          <w:sz w:val="22"/>
          <w:szCs w:val="22"/>
        </w:rPr>
        <w:t xml:space="preserve">/2019-Economia, p. 8; </w:t>
      </w:r>
      <w:r w:rsidR="00C03504" w:rsidRPr="002E7FDD">
        <w:rPr>
          <w:rFonts w:ascii="Arial" w:hAnsi="Arial" w:cs="Arial"/>
          <w:color w:val="000000"/>
          <w:sz w:val="22"/>
          <w:szCs w:val="22"/>
        </w:rPr>
        <w:t xml:space="preserve">Despacho </w:t>
      </w:r>
      <w:r w:rsidR="00C03504">
        <w:rPr>
          <w:rFonts w:ascii="Arial" w:hAnsi="Arial" w:cs="Arial"/>
          <w:color w:val="000000"/>
          <w:sz w:val="22"/>
          <w:szCs w:val="22"/>
        </w:rPr>
        <w:t>n</w:t>
      </w:r>
      <w:r w:rsidR="00C03504" w:rsidRPr="002E7FDD">
        <w:rPr>
          <w:rFonts w:ascii="Arial" w:hAnsi="Arial" w:cs="Arial"/>
          <w:color w:val="000000"/>
          <w:sz w:val="22"/>
          <w:szCs w:val="22"/>
        </w:rPr>
        <w:t>º 5394/2019 - SRE- 05503</w:t>
      </w:r>
      <w:r w:rsidR="00C03504">
        <w:rPr>
          <w:rFonts w:ascii="Arial" w:hAnsi="Arial" w:cs="Arial"/>
          <w:color w:val="000000"/>
          <w:sz w:val="22"/>
          <w:szCs w:val="22"/>
        </w:rPr>
        <w:t>)</w:t>
      </w:r>
    </w:p>
    <w:p w14:paraId="0DF76827" w14:textId="78EC7F2C" w:rsidR="002E7FDD" w:rsidRDefault="002E7FDD" w:rsidP="00B77413">
      <w:pPr>
        <w:spacing w:line="360" w:lineRule="auto"/>
        <w:ind w:firstLine="851"/>
        <w:jc w:val="both"/>
        <w:rPr>
          <w:rFonts w:ascii="Arial" w:hAnsi="Arial" w:cs="Arial"/>
          <w:sz w:val="24"/>
          <w:szCs w:val="24"/>
        </w:rPr>
      </w:pPr>
    </w:p>
    <w:p w14:paraId="49055627" w14:textId="5E6840E6" w:rsidR="00252B38" w:rsidRDefault="00252B38" w:rsidP="002E7FDD">
      <w:pPr>
        <w:spacing w:line="360" w:lineRule="auto"/>
        <w:ind w:firstLine="851"/>
        <w:jc w:val="both"/>
        <w:rPr>
          <w:rFonts w:ascii="Arial" w:hAnsi="Arial" w:cs="Arial"/>
          <w:sz w:val="24"/>
          <w:szCs w:val="24"/>
        </w:rPr>
      </w:pPr>
      <w:r w:rsidRPr="00CD4E6E">
        <w:rPr>
          <w:rFonts w:ascii="Arial" w:hAnsi="Arial" w:cs="Arial"/>
          <w:sz w:val="24"/>
          <w:szCs w:val="24"/>
          <w:u w:val="single"/>
        </w:rPr>
        <w:t>A Secretaria de Estado da Indústria e Comércio, por sua vez, também se manifestou no sentido de ser competência da SEMAD</w:t>
      </w:r>
      <w:r>
        <w:rPr>
          <w:rFonts w:ascii="Arial" w:hAnsi="Arial" w:cs="Arial"/>
          <w:sz w:val="24"/>
          <w:szCs w:val="24"/>
        </w:rPr>
        <w:t xml:space="preserve">, embora tenha consignado que </w:t>
      </w:r>
      <w:r w:rsidR="00B833EE">
        <w:rPr>
          <w:rFonts w:ascii="Arial" w:hAnsi="Arial" w:cs="Arial"/>
          <w:sz w:val="24"/>
          <w:szCs w:val="24"/>
        </w:rPr>
        <w:t>recebeu da GOIÁSFOMENTO relação de empresas beneficiárias do Fomentar/Produzir com licenças perto de vencer e encaminharam-na à SEMAD questionando a situação de cada uma, nos seguintes termos:</w:t>
      </w:r>
    </w:p>
    <w:p w14:paraId="608EA420" w14:textId="77777777" w:rsidR="00B525BF" w:rsidRDefault="00B525BF" w:rsidP="002E7FDD">
      <w:pPr>
        <w:spacing w:line="360" w:lineRule="auto"/>
        <w:ind w:firstLine="851"/>
        <w:jc w:val="both"/>
        <w:rPr>
          <w:rFonts w:ascii="Arial" w:hAnsi="Arial" w:cs="Arial"/>
          <w:sz w:val="24"/>
          <w:szCs w:val="24"/>
        </w:rPr>
      </w:pPr>
    </w:p>
    <w:p w14:paraId="0DD58F7E" w14:textId="77777777" w:rsidR="00B833EE" w:rsidRDefault="00B833EE" w:rsidP="008D5153">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w:t>
      </w:r>
    </w:p>
    <w:p w14:paraId="5E3B6D6E" w14:textId="62F9518B" w:rsidR="00B833EE" w:rsidRDefault="00B833EE" w:rsidP="008D5153">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Esta Superintendência entende que é de competência da Secretaria de Meio Ambiente de [sic] Desenvolvimento Sustentável informar as empresas com restrições, não temos como saber se alguma empresa beneficiária dos programas está irregular. Porém, recebemos ofício da Agência de Fomento informando quais empresas estão com licença perto de vencer, como foi o protocolado pelo processo nº 201900059000269. Esta Superintendência encaminhou os autos à Secretaria do Meio Ambiente, questionando a situação de cada uma das beneficiárias e notificou cada empresa para apresenta a licença</w:t>
      </w:r>
      <w:r w:rsidRPr="002E7FDD">
        <w:rPr>
          <w:rFonts w:ascii="Arial" w:hAnsi="Arial" w:cs="Arial"/>
          <w:color w:val="000000"/>
          <w:sz w:val="22"/>
          <w:szCs w:val="22"/>
        </w:rPr>
        <w:t>;</w:t>
      </w:r>
      <w:r>
        <w:rPr>
          <w:rFonts w:ascii="Arial" w:hAnsi="Arial" w:cs="Arial"/>
          <w:color w:val="000000"/>
          <w:sz w:val="22"/>
          <w:szCs w:val="22"/>
        </w:rPr>
        <w:t xml:space="preserve"> (Ofício nº </w:t>
      </w:r>
      <w:r w:rsidR="00F04469">
        <w:rPr>
          <w:rFonts w:ascii="Arial" w:hAnsi="Arial" w:cs="Arial"/>
          <w:color w:val="000000"/>
          <w:sz w:val="22"/>
          <w:szCs w:val="22"/>
        </w:rPr>
        <w:t>1</w:t>
      </w:r>
      <w:r>
        <w:rPr>
          <w:rFonts w:ascii="Arial" w:hAnsi="Arial" w:cs="Arial"/>
          <w:color w:val="000000"/>
          <w:sz w:val="22"/>
          <w:szCs w:val="22"/>
        </w:rPr>
        <w:t>.</w:t>
      </w:r>
      <w:r w:rsidR="00F04469">
        <w:rPr>
          <w:rFonts w:ascii="Arial" w:hAnsi="Arial" w:cs="Arial"/>
          <w:color w:val="000000"/>
          <w:sz w:val="22"/>
          <w:szCs w:val="22"/>
        </w:rPr>
        <w:t>531</w:t>
      </w:r>
      <w:r>
        <w:rPr>
          <w:rFonts w:ascii="Arial" w:hAnsi="Arial" w:cs="Arial"/>
          <w:color w:val="000000"/>
          <w:sz w:val="22"/>
          <w:szCs w:val="22"/>
        </w:rPr>
        <w:t>/2019-</w:t>
      </w:r>
      <w:r w:rsidR="00F04469" w:rsidRPr="009C3E7D">
        <w:rPr>
          <w:rFonts w:ascii="Arial" w:hAnsi="Arial" w:cs="Arial"/>
          <w:color w:val="000000"/>
          <w:sz w:val="22"/>
          <w:szCs w:val="22"/>
        </w:rPr>
        <w:t>SIC, fl</w:t>
      </w:r>
      <w:r w:rsidRPr="009C3E7D">
        <w:rPr>
          <w:rFonts w:ascii="Arial" w:hAnsi="Arial" w:cs="Arial"/>
          <w:color w:val="000000"/>
          <w:sz w:val="22"/>
          <w:szCs w:val="22"/>
        </w:rPr>
        <w:t xml:space="preserve">. </w:t>
      </w:r>
      <w:r w:rsidR="009C3E7D" w:rsidRPr="009C3E7D">
        <w:rPr>
          <w:rFonts w:ascii="Arial" w:hAnsi="Arial" w:cs="Arial"/>
          <w:color w:val="000000"/>
          <w:sz w:val="22"/>
          <w:szCs w:val="22"/>
        </w:rPr>
        <w:t>3</w:t>
      </w:r>
      <w:r w:rsidR="00F04469" w:rsidRPr="009C3E7D">
        <w:rPr>
          <w:rFonts w:ascii="Arial" w:hAnsi="Arial" w:cs="Arial"/>
          <w:color w:val="000000"/>
          <w:sz w:val="22"/>
          <w:szCs w:val="22"/>
        </w:rPr>
        <w:t>5</w:t>
      </w:r>
      <w:r w:rsidR="009C3E7D" w:rsidRPr="009C3E7D">
        <w:rPr>
          <w:rFonts w:ascii="Arial" w:hAnsi="Arial" w:cs="Arial"/>
          <w:color w:val="000000"/>
          <w:sz w:val="22"/>
          <w:szCs w:val="22"/>
        </w:rPr>
        <w:t>0</w:t>
      </w:r>
      <w:r w:rsidRPr="009C3E7D">
        <w:rPr>
          <w:rFonts w:ascii="Arial" w:hAnsi="Arial" w:cs="Arial"/>
          <w:color w:val="000000"/>
          <w:sz w:val="22"/>
          <w:szCs w:val="22"/>
        </w:rPr>
        <w:t>; Despacho</w:t>
      </w:r>
      <w:r w:rsidRPr="002E7FDD">
        <w:rPr>
          <w:rFonts w:ascii="Arial" w:hAnsi="Arial" w:cs="Arial"/>
          <w:color w:val="000000"/>
          <w:sz w:val="22"/>
          <w:szCs w:val="22"/>
        </w:rPr>
        <w:t xml:space="preserve"> </w:t>
      </w:r>
      <w:r>
        <w:rPr>
          <w:rFonts w:ascii="Arial" w:hAnsi="Arial" w:cs="Arial"/>
          <w:color w:val="000000"/>
          <w:sz w:val="22"/>
          <w:szCs w:val="22"/>
        </w:rPr>
        <w:t>n</w:t>
      </w:r>
      <w:r w:rsidRPr="002E7FDD">
        <w:rPr>
          <w:rFonts w:ascii="Arial" w:hAnsi="Arial" w:cs="Arial"/>
          <w:color w:val="000000"/>
          <w:sz w:val="22"/>
          <w:szCs w:val="22"/>
        </w:rPr>
        <w:t xml:space="preserve">º </w:t>
      </w:r>
      <w:r w:rsidR="00442434">
        <w:rPr>
          <w:rFonts w:ascii="Arial" w:hAnsi="Arial" w:cs="Arial"/>
          <w:color w:val="000000"/>
          <w:sz w:val="22"/>
          <w:szCs w:val="22"/>
        </w:rPr>
        <w:t>830</w:t>
      </w:r>
      <w:r w:rsidRPr="002E7FDD">
        <w:rPr>
          <w:rFonts w:ascii="Arial" w:hAnsi="Arial" w:cs="Arial"/>
          <w:color w:val="000000"/>
          <w:sz w:val="22"/>
          <w:szCs w:val="22"/>
        </w:rPr>
        <w:t>/2019 - S</w:t>
      </w:r>
      <w:r w:rsidR="00442434">
        <w:rPr>
          <w:rFonts w:ascii="Arial" w:hAnsi="Arial" w:cs="Arial"/>
          <w:color w:val="000000"/>
          <w:sz w:val="22"/>
          <w:szCs w:val="22"/>
        </w:rPr>
        <w:t>PF</w:t>
      </w:r>
      <w:r w:rsidRPr="002E7FDD">
        <w:rPr>
          <w:rFonts w:ascii="Arial" w:hAnsi="Arial" w:cs="Arial"/>
          <w:color w:val="000000"/>
          <w:sz w:val="22"/>
          <w:szCs w:val="22"/>
        </w:rPr>
        <w:t xml:space="preserve">- </w:t>
      </w:r>
      <w:r w:rsidR="00442434">
        <w:rPr>
          <w:rFonts w:ascii="Arial" w:hAnsi="Arial" w:cs="Arial"/>
          <w:color w:val="000000"/>
          <w:sz w:val="22"/>
          <w:szCs w:val="22"/>
        </w:rPr>
        <w:t>17612</w:t>
      </w:r>
      <w:r w:rsidR="0095041C">
        <w:rPr>
          <w:rFonts w:ascii="Arial" w:hAnsi="Arial" w:cs="Arial"/>
          <w:color w:val="000000"/>
          <w:sz w:val="22"/>
          <w:szCs w:val="22"/>
        </w:rPr>
        <w:t>, item e.2</w:t>
      </w:r>
      <w:r>
        <w:rPr>
          <w:rFonts w:ascii="Arial" w:hAnsi="Arial" w:cs="Arial"/>
          <w:color w:val="000000"/>
          <w:sz w:val="22"/>
          <w:szCs w:val="22"/>
        </w:rPr>
        <w:t>)</w:t>
      </w:r>
    </w:p>
    <w:p w14:paraId="28E1F22C" w14:textId="77777777" w:rsidR="00B833EE" w:rsidRDefault="00B833EE" w:rsidP="008D5153">
      <w:pPr>
        <w:pStyle w:val="NormalWeb"/>
        <w:spacing w:before="0" w:beforeAutospacing="0" w:after="0" w:afterAutospacing="0"/>
        <w:ind w:left="2268"/>
        <w:jc w:val="both"/>
        <w:rPr>
          <w:rFonts w:ascii="Arial" w:hAnsi="Arial" w:cs="Arial"/>
          <w:color w:val="000000"/>
          <w:sz w:val="22"/>
          <w:szCs w:val="22"/>
        </w:rPr>
      </w:pPr>
      <w:r>
        <w:rPr>
          <w:rFonts w:ascii="Arial" w:hAnsi="Arial" w:cs="Arial"/>
          <w:color w:val="000000"/>
          <w:sz w:val="22"/>
          <w:szCs w:val="22"/>
        </w:rPr>
        <w:t>[...].</w:t>
      </w:r>
    </w:p>
    <w:p w14:paraId="6BCF0471" w14:textId="77777777" w:rsidR="00B833EE" w:rsidRPr="00252B38" w:rsidRDefault="00B833EE" w:rsidP="002E7FDD">
      <w:pPr>
        <w:spacing w:line="360" w:lineRule="auto"/>
        <w:ind w:firstLine="851"/>
        <w:jc w:val="both"/>
        <w:rPr>
          <w:rFonts w:ascii="Arial" w:hAnsi="Arial" w:cs="Arial"/>
          <w:sz w:val="24"/>
          <w:szCs w:val="24"/>
        </w:rPr>
      </w:pPr>
    </w:p>
    <w:p w14:paraId="415D5270" w14:textId="34492666" w:rsidR="0008079B" w:rsidRDefault="0008079B" w:rsidP="002E7FDD">
      <w:pPr>
        <w:spacing w:line="360" w:lineRule="auto"/>
        <w:ind w:firstLine="851"/>
        <w:jc w:val="both"/>
        <w:rPr>
          <w:rFonts w:ascii="Arial" w:hAnsi="Arial" w:cs="Arial"/>
          <w:b/>
          <w:sz w:val="24"/>
          <w:szCs w:val="24"/>
        </w:rPr>
      </w:pPr>
      <w:r w:rsidRPr="00CD4E6E">
        <w:rPr>
          <w:rFonts w:ascii="Arial" w:hAnsi="Arial" w:cs="Arial"/>
          <w:sz w:val="24"/>
          <w:szCs w:val="24"/>
          <w:u w:val="single"/>
        </w:rPr>
        <w:t>Ambas as Secretarias supramencionadas informaram não ter identificado qualquer registro de perda ou suspensão de incentivos fiscais</w:t>
      </w:r>
      <w:r w:rsidRPr="0008079B">
        <w:rPr>
          <w:rFonts w:ascii="Arial" w:hAnsi="Arial" w:cs="Arial"/>
          <w:sz w:val="24"/>
          <w:szCs w:val="24"/>
        </w:rPr>
        <w:t>, em razão do art. 132, § 4º, da CE/GO ou art. 25, III, da Lei nº 18.102/2013 (</w:t>
      </w:r>
      <w:r w:rsidR="00117700" w:rsidRPr="00117700">
        <w:rPr>
          <w:rFonts w:ascii="Arial" w:hAnsi="Arial" w:cs="Arial"/>
          <w:sz w:val="24"/>
          <w:szCs w:val="24"/>
        </w:rPr>
        <w:t>Ofício nº 7.923/2019-Economia, p. 8; Despacho nº 5394/2019 - SRE- 05503</w:t>
      </w:r>
      <w:r w:rsidR="00117700">
        <w:rPr>
          <w:rFonts w:ascii="Arial" w:hAnsi="Arial" w:cs="Arial"/>
          <w:sz w:val="24"/>
          <w:szCs w:val="24"/>
        </w:rPr>
        <w:t xml:space="preserve">, item 5; </w:t>
      </w:r>
      <w:r w:rsidRPr="0008079B">
        <w:rPr>
          <w:rFonts w:ascii="Arial" w:hAnsi="Arial" w:cs="Arial"/>
          <w:sz w:val="24"/>
          <w:szCs w:val="24"/>
        </w:rPr>
        <w:t xml:space="preserve">Ofício nº 1.531/2019-SIC, </w:t>
      </w:r>
      <w:r w:rsidRPr="009C3E7D">
        <w:rPr>
          <w:rFonts w:ascii="Arial" w:hAnsi="Arial" w:cs="Arial"/>
          <w:sz w:val="24"/>
          <w:szCs w:val="24"/>
        </w:rPr>
        <w:t>fl. 35</w:t>
      </w:r>
      <w:r w:rsidR="009C3E7D" w:rsidRPr="009C3E7D">
        <w:rPr>
          <w:rFonts w:ascii="Arial" w:hAnsi="Arial" w:cs="Arial"/>
          <w:sz w:val="24"/>
          <w:szCs w:val="24"/>
        </w:rPr>
        <w:t>0</w:t>
      </w:r>
      <w:r w:rsidRPr="0008079B">
        <w:rPr>
          <w:rFonts w:ascii="Arial" w:hAnsi="Arial" w:cs="Arial"/>
          <w:sz w:val="24"/>
          <w:szCs w:val="24"/>
        </w:rPr>
        <w:t>; Despacho nº 830/2019 - SPF- 17612</w:t>
      </w:r>
      <w:r w:rsidR="00117700">
        <w:rPr>
          <w:rFonts w:ascii="Arial" w:hAnsi="Arial" w:cs="Arial"/>
          <w:sz w:val="24"/>
          <w:szCs w:val="24"/>
        </w:rPr>
        <w:t>, item e.3</w:t>
      </w:r>
      <w:r w:rsidRPr="0008079B">
        <w:rPr>
          <w:rFonts w:ascii="Arial" w:hAnsi="Arial" w:cs="Arial"/>
          <w:sz w:val="24"/>
          <w:szCs w:val="24"/>
        </w:rPr>
        <w:t>).</w:t>
      </w:r>
    </w:p>
    <w:p w14:paraId="337A4075" w14:textId="3E217F94" w:rsidR="00BF2CB7" w:rsidRDefault="00BF2CB7" w:rsidP="002E7FDD">
      <w:pPr>
        <w:spacing w:line="360" w:lineRule="auto"/>
        <w:ind w:firstLine="851"/>
        <w:jc w:val="both"/>
        <w:rPr>
          <w:rFonts w:ascii="Arial" w:hAnsi="Arial" w:cs="Arial"/>
          <w:sz w:val="24"/>
          <w:szCs w:val="24"/>
        </w:rPr>
      </w:pPr>
      <w:r w:rsidRPr="00CD4E6E">
        <w:rPr>
          <w:rFonts w:ascii="Arial" w:hAnsi="Arial" w:cs="Arial"/>
          <w:sz w:val="24"/>
          <w:szCs w:val="24"/>
          <w:u w:val="single"/>
        </w:rPr>
        <w:t xml:space="preserve">A SEMAD, por sua vez, manifestou-se no sentido de que não </w:t>
      </w:r>
      <w:r w:rsidR="004230F6" w:rsidRPr="00CD4E6E">
        <w:rPr>
          <w:rFonts w:ascii="Arial" w:hAnsi="Arial" w:cs="Arial"/>
          <w:sz w:val="24"/>
          <w:szCs w:val="24"/>
          <w:u w:val="single"/>
        </w:rPr>
        <w:t>há qualquer registro de aplicação de penalidade de perda ou restrição de incentivos fiscais</w:t>
      </w:r>
      <w:r w:rsidR="00F57C88">
        <w:rPr>
          <w:rFonts w:ascii="Arial" w:hAnsi="Arial" w:cs="Arial"/>
          <w:sz w:val="24"/>
          <w:szCs w:val="24"/>
        </w:rPr>
        <w:t>,</w:t>
      </w:r>
      <w:r w:rsidR="00A46833">
        <w:rPr>
          <w:rFonts w:ascii="Arial" w:hAnsi="Arial" w:cs="Arial"/>
          <w:sz w:val="24"/>
          <w:szCs w:val="24"/>
        </w:rPr>
        <w:t xml:space="preserve"> embora </w:t>
      </w:r>
      <w:r w:rsidR="00BC5064">
        <w:rPr>
          <w:rFonts w:ascii="Arial" w:hAnsi="Arial" w:cs="Arial"/>
          <w:sz w:val="24"/>
          <w:szCs w:val="24"/>
        </w:rPr>
        <w:t xml:space="preserve">tenha aplicado </w:t>
      </w:r>
      <w:r w:rsidR="008C595C">
        <w:rPr>
          <w:rFonts w:ascii="Arial" w:hAnsi="Arial" w:cs="Arial"/>
          <w:sz w:val="24"/>
          <w:szCs w:val="24"/>
        </w:rPr>
        <w:t>o</w:t>
      </w:r>
      <w:r w:rsidR="00BC5064">
        <w:rPr>
          <w:rFonts w:ascii="Arial" w:hAnsi="Arial" w:cs="Arial"/>
          <w:sz w:val="24"/>
          <w:szCs w:val="24"/>
        </w:rPr>
        <w:t xml:space="preserve"> </w:t>
      </w:r>
      <w:r w:rsidR="00A46833">
        <w:rPr>
          <w:rFonts w:ascii="Arial" w:hAnsi="Arial" w:cs="Arial"/>
          <w:sz w:val="24"/>
          <w:szCs w:val="24"/>
        </w:rPr>
        <w:t xml:space="preserve">agravamento </w:t>
      </w:r>
      <w:r w:rsidR="008C595C">
        <w:rPr>
          <w:rFonts w:ascii="Arial" w:hAnsi="Arial" w:cs="Arial"/>
          <w:sz w:val="24"/>
          <w:szCs w:val="24"/>
        </w:rPr>
        <w:t>previsto</w:t>
      </w:r>
      <w:r w:rsidR="00BC5064">
        <w:rPr>
          <w:rFonts w:ascii="Arial" w:hAnsi="Arial" w:cs="Arial"/>
          <w:sz w:val="24"/>
          <w:szCs w:val="24"/>
        </w:rPr>
        <w:t xml:space="preserve"> em lei devido </w:t>
      </w:r>
      <w:r w:rsidR="00A46833">
        <w:rPr>
          <w:rFonts w:ascii="Arial" w:hAnsi="Arial" w:cs="Arial"/>
          <w:sz w:val="24"/>
          <w:szCs w:val="24"/>
        </w:rPr>
        <w:t>a pessoa condenada ser beneficiária de incentivos fiscais,</w:t>
      </w:r>
      <w:r w:rsidR="00F57C88">
        <w:rPr>
          <w:rFonts w:ascii="Arial" w:hAnsi="Arial" w:cs="Arial"/>
          <w:sz w:val="24"/>
          <w:szCs w:val="24"/>
        </w:rPr>
        <w:t xml:space="preserve"> nos seguintes termos</w:t>
      </w:r>
      <w:r w:rsidR="009343CB">
        <w:rPr>
          <w:rFonts w:ascii="Arial" w:hAnsi="Arial" w:cs="Arial"/>
          <w:sz w:val="24"/>
          <w:szCs w:val="24"/>
        </w:rPr>
        <w:t>:</w:t>
      </w:r>
    </w:p>
    <w:p w14:paraId="6D40EC81" w14:textId="77777777" w:rsidR="009343CB" w:rsidRDefault="009343CB" w:rsidP="002E7FDD">
      <w:pPr>
        <w:spacing w:line="360" w:lineRule="auto"/>
        <w:ind w:firstLine="851"/>
        <w:jc w:val="both"/>
        <w:rPr>
          <w:rFonts w:ascii="Arial" w:hAnsi="Arial" w:cs="Arial"/>
          <w:sz w:val="24"/>
          <w:szCs w:val="24"/>
        </w:rPr>
      </w:pPr>
    </w:p>
    <w:p w14:paraId="406B555E" w14:textId="77777777" w:rsidR="009343CB" w:rsidRPr="009343CB" w:rsidRDefault="009343CB" w:rsidP="00111340">
      <w:pPr>
        <w:pStyle w:val="NormalWeb"/>
        <w:spacing w:before="0" w:beforeAutospacing="0" w:after="0" w:afterAutospacing="0"/>
        <w:ind w:left="2268"/>
        <w:jc w:val="both"/>
        <w:rPr>
          <w:rFonts w:ascii="Arial" w:hAnsi="Arial" w:cs="Arial"/>
          <w:color w:val="000000"/>
          <w:sz w:val="22"/>
          <w:szCs w:val="22"/>
        </w:rPr>
      </w:pPr>
      <w:r w:rsidRPr="00666D5E">
        <w:rPr>
          <w:rFonts w:ascii="Arial" w:hAnsi="Arial" w:cs="Arial"/>
          <w:b/>
          <w:color w:val="000000"/>
          <w:sz w:val="22"/>
          <w:szCs w:val="22"/>
        </w:rPr>
        <w:t>Não há qualquer julgamento em que tenha sido decretada a perda de incentivos e benefícios fiscais</w:t>
      </w:r>
      <w:r w:rsidRPr="009343CB">
        <w:rPr>
          <w:rFonts w:ascii="Arial" w:hAnsi="Arial" w:cs="Arial"/>
          <w:color w:val="000000"/>
          <w:sz w:val="22"/>
          <w:szCs w:val="22"/>
        </w:rPr>
        <w:t xml:space="preserve">, tal como possibilita a norma do art. 25, III da Lei Estadual 18.102/2013, </w:t>
      </w:r>
      <w:r w:rsidRPr="00666D5E">
        <w:rPr>
          <w:rFonts w:ascii="Arial" w:hAnsi="Arial" w:cs="Arial"/>
          <w:color w:val="000000"/>
          <w:sz w:val="22"/>
          <w:szCs w:val="22"/>
          <w:u w:val="single"/>
        </w:rPr>
        <w:t>possivelmente em razão da falta de hábito com esta modalidade sancionatória entre as autoridades julgadoras</w:t>
      </w:r>
      <w:r w:rsidRPr="009343CB">
        <w:rPr>
          <w:rFonts w:ascii="Arial" w:hAnsi="Arial" w:cs="Arial"/>
          <w:color w:val="000000"/>
          <w:sz w:val="22"/>
          <w:szCs w:val="22"/>
        </w:rPr>
        <w:t>.</w:t>
      </w:r>
    </w:p>
    <w:p w14:paraId="70B6C2AC" w14:textId="138B1896" w:rsidR="009343CB" w:rsidRPr="009343CB" w:rsidRDefault="009343CB" w:rsidP="00111340">
      <w:pPr>
        <w:pStyle w:val="NormalWeb"/>
        <w:spacing w:before="0" w:beforeAutospacing="0" w:after="0" w:afterAutospacing="0"/>
        <w:ind w:left="2268"/>
        <w:jc w:val="both"/>
        <w:rPr>
          <w:rFonts w:ascii="Arial" w:hAnsi="Arial" w:cs="Arial"/>
          <w:color w:val="000000"/>
          <w:sz w:val="22"/>
          <w:szCs w:val="22"/>
        </w:rPr>
      </w:pPr>
      <w:r w:rsidRPr="00666D5E">
        <w:rPr>
          <w:rFonts w:ascii="Arial" w:hAnsi="Arial" w:cs="Arial"/>
          <w:b/>
          <w:color w:val="000000"/>
          <w:sz w:val="22"/>
          <w:szCs w:val="22"/>
        </w:rPr>
        <w:t xml:space="preserve">Por outro lado, temos conhecimento da existência de processos cuja sanção foi majorada pela incidência da agravante prevista na </w:t>
      </w:r>
      <w:r w:rsidRPr="00666D5E">
        <w:rPr>
          <w:rFonts w:ascii="Arial" w:hAnsi="Arial" w:cs="Arial"/>
          <w:b/>
          <w:color w:val="000000"/>
          <w:sz w:val="22"/>
          <w:szCs w:val="22"/>
        </w:rPr>
        <w:lastRenderedPageBreak/>
        <w:t>norma do art. 5º, II, "o" do mesmo diploma lega</w:t>
      </w:r>
      <w:r w:rsidRPr="009343CB">
        <w:rPr>
          <w:rFonts w:ascii="Arial" w:hAnsi="Arial" w:cs="Arial"/>
          <w:color w:val="000000"/>
          <w:sz w:val="22"/>
          <w:szCs w:val="22"/>
        </w:rPr>
        <w:t xml:space="preserve">l. (Ofício nº 4498/2019-SEMAD, </w:t>
      </w:r>
      <w:r w:rsidR="0057207E">
        <w:rPr>
          <w:rFonts w:ascii="Arial" w:hAnsi="Arial" w:cs="Arial"/>
          <w:color w:val="000000"/>
          <w:sz w:val="22"/>
          <w:szCs w:val="22"/>
        </w:rPr>
        <w:t xml:space="preserve">p. 124; </w:t>
      </w:r>
      <w:r w:rsidRPr="009343CB">
        <w:rPr>
          <w:rFonts w:ascii="Arial" w:hAnsi="Arial" w:cs="Arial"/>
          <w:color w:val="000000"/>
          <w:sz w:val="22"/>
          <w:szCs w:val="22"/>
        </w:rPr>
        <w:t>Despacho nº 661/2019 – GECAD – 17204</w:t>
      </w:r>
      <w:r w:rsidR="002F1635">
        <w:rPr>
          <w:rFonts w:ascii="Arial" w:hAnsi="Arial" w:cs="Arial"/>
          <w:color w:val="000000"/>
          <w:sz w:val="22"/>
          <w:szCs w:val="22"/>
        </w:rPr>
        <w:t>, grifou-se</w:t>
      </w:r>
      <w:r w:rsidRPr="009343CB">
        <w:rPr>
          <w:rFonts w:ascii="Arial" w:hAnsi="Arial" w:cs="Arial"/>
          <w:color w:val="000000"/>
          <w:sz w:val="22"/>
          <w:szCs w:val="22"/>
        </w:rPr>
        <w:t>)</w:t>
      </w:r>
    </w:p>
    <w:p w14:paraId="2DA31915" w14:textId="3B4035D6" w:rsidR="008C41A0" w:rsidRDefault="008C41A0" w:rsidP="00B77413">
      <w:pPr>
        <w:spacing w:line="360" w:lineRule="auto"/>
        <w:ind w:firstLine="851"/>
        <w:jc w:val="both"/>
        <w:rPr>
          <w:rFonts w:ascii="Arial" w:hAnsi="Arial" w:cs="Arial"/>
          <w:sz w:val="24"/>
          <w:szCs w:val="24"/>
        </w:rPr>
      </w:pPr>
    </w:p>
    <w:p w14:paraId="1649F55A" w14:textId="77E6C998" w:rsidR="00431ABB" w:rsidRDefault="00666D5E" w:rsidP="00B77413">
      <w:pPr>
        <w:spacing w:line="360" w:lineRule="auto"/>
        <w:ind w:firstLine="851"/>
        <w:jc w:val="both"/>
        <w:rPr>
          <w:rFonts w:ascii="Arial" w:hAnsi="Arial" w:cs="Arial"/>
          <w:sz w:val="24"/>
          <w:szCs w:val="24"/>
        </w:rPr>
      </w:pPr>
      <w:r w:rsidRPr="00662F95">
        <w:rPr>
          <w:rFonts w:ascii="Arial" w:hAnsi="Arial" w:cs="Arial"/>
          <w:sz w:val="24"/>
          <w:szCs w:val="24"/>
          <w:u w:val="single"/>
        </w:rPr>
        <w:t>A resposta</w:t>
      </w:r>
      <w:r w:rsidR="00662F95">
        <w:rPr>
          <w:rFonts w:ascii="Arial" w:hAnsi="Arial" w:cs="Arial"/>
          <w:sz w:val="24"/>
          <w:szCs w:val="24"/>
          <w:u w:val="single"/>
        </w:rPr>
        <w:t xml:space="preserve"> da SEMAD</w:t>
      </w:r>
      <w:r w:rsidRPr="00662F95">
        <w:rPr>
          <w:rFonts w:ascii="Arial" w:hAnsi="Arial" w:cs="Arial"/>
          <w:sz w:val="24"/>
          <w:szCs w:val="24"/>
          <w:u w:val="single"/>
        </w:rPr>
        <w:t>, contudo, foi vazia e genérica</w:t>
      </w:r>
      <w:r w:rsidR="0023025D">
        <w:rPr>
          <w:rFonts w:ascii="Arial" w:hAnsi="Arial" w:cs="Arial"/>
          <w:sz w:val="24"/>
          <w:szCs w:val="24"/>
        </w:rPr>
        <w:t>, posto que não indicou nenhum critério objetivo para a</w:t>
      </w:r>
      <w:r w:rsidR="00F165CC">
        <w:rPr>
          <w:rFonts w:ascii="Arial" w:hAnsi="Arial" w:cs="Arial"/>
          <w:sz w:val="24"/>
          <w:szCs w:val="24"/>
        </w:rPr>
        <w:t xml:space="preserve"> não</w:t>
      </w:r>
      <w:r w:rsidR="0023025D">
        <w:rPr>
          <w:rFonts w:ascii="Arial" w:hAnsi="Arial" w:cs="Arial"/>
          <w:sz w:val="24"/>
          <w:szCs w:val="24"/>
        </w:rPr>
        <w:t xml:space="preserve"> aplicação da sanção administrativa de perda ou restrição de incentivos fiscais, apenas a “falta de hábito” das autoridades julgadoras, </w:t>
      </w:r>
      <w:r w:rsidR="0023025D" w:rsidRPr="0008079B">
        <w:rPr>
          <w:rFonts w:ascii="Arial" w:hAnsi="Arial" w:cs="Arial"/>
          <w:sz w:val="24"/>
          <w:szCs w:val="24"/>
          <w:u w:val="single"/>
        </w:rPr>
        <w:t>além de não ter indicado o nome nem sequer o número de pessoas jurídicas que ao menos tiveram a penalidade agravada em razão do disposto no art. 5º, II, “o”, da Lei nº 18.102/2013</w:t>
      </w:r>
      <w:r w:rsidR="0023025D">
        <w:rPr>
          <w:rFonts w:ascii="Arial" w:hAnsi="Arial" w:cs="Arial"/>
          <w:sz w:val="24"/>
          <w:szCs w:val="24"/>
        </w:rPr>
        <w:t>.</w:t>
      </w:r>
      <w:r w:rsidR="008960C7">
        <w:rPr>
          <w:rFonts w:ascii="Arial" w:hAnsi="Arial" w:cs="Arial"/>
          <w:sz w:val="24"/>
          <w:szCs w:val="24"/>
        </w:rPr>
        <w:t xml:space="preserve"> </w:t>
      </w:r>
    </w:p>
    <w:p w14:paraId="6BD0BA23" w14:textId="4744177D" w:rsidR="00F165CC" w:rsidRPr="00730FC9" w:rsidRDefault="00F165CC" w:rsidP="00B77413">
      <w:pPr>
        <w:spacing w:line="360" w:lineRule="auto"/>
        <w:ind w:firstLine="851"/>
        <w:jc w:val="both"/>
        <w:rPr>
          <w:rFonts w:ascii="Arial" w:hAnsi="Arial" w:cs="Arial"/>
          <w:sz w:val="24"/>
          <w:szCs w:val="24"/>
        </w:rPr>
      </w:pPr>
      <w:r w:rsidRPr="00730FC9">
        <w:rPr>
          <w:rFonts w:ascii="Arial" w:hAnsi="Arial" w:cs="Arial"/>
          <w:sz w:val="24"/>
          <w:szCs w:val="24"/>
          <w:u w:val="single"/>
        </w:rPr>
        <w:t xml:space="preserve">Além disso, </w:t>
      </w:r>
      <w:r w:rsidR="006A5033" w:rsidRPr="00730FC9">
        <w:rPr>
          <w:rFonts w:ascii="Arial" w:hAnsi="Arial" w:cs="Arial"/>
          <w:sz w:val="24"/>
          <w:szCs w:val="24"/>
          <w:u w:val="single"/>
        </w:rPr>
        <w:t>o argumento revela-se totalmente carente de substrato jurídico, porquanto não cabe à autoridade julgadora aplicar as penalidades ambientais, e sim a própria fiscalização</w:t>
      </w:r>
      <w:r w:rsidR="006A5033" w:rsidRPr="00730FC9">
        <w:rPr>
          <w:rFonts w:ascii="Arial" w:hAnsi="Arial" w:cs="Arial"/>
          <w:sz w:val="24"/>
          <w:szCs w:val="24"/>
        </w:rPr>
        <w:t>; a autoridade julgadora somente atuar</w:t>
      </w:r>
      <w:r w:rsidR="00DA1A27" w:rsidRPr="00730FC9">
        <w:rPr>
          <w:rFonts w:ascii="Arial" w:hAnsi="Arial" w:cs="Arial"/>
          <w:sz w:val="24"/>
          <w:szCs w:val="24"/>
        </w:rPr>
        <w:t>á quando o autuado, sentindo-se lesado pela conduta do fiscal ambiental, oferecer defesa contra o auto de infração</w:t>
      </w:r>
      <w:r w:rsidR="00B059FD" w:rsidRPr="00730FC9">
        <w:rPr>
          <w:rFonts w:ascii="Arial" w:hAnsi="Arial" w:cs="Arial"/>
          <w:sz w:val="24"/>
          <w:szCs w:val="24"/>
        </w:rPr>
        <w:t xml:space="preserve"> (Lei nº 18.102/2013, art. 50, </w:t>
      </w:r>
      <w:r w:rsidR="00B059FD" w:rsidRPr="00730FC9">
        <w:rPr>
          <w:rFonts w:ascii="Arial" w:hAnsi="Arial" w:cs="Arial"/>
          <w:i/>
          <w:sz w:val="24"/>
          <w:szCs w:val="24"/>
        </w:rPr>
        <w:t>caput</w:t>
      </w:r>
      <w:r w:rsidR="00B059FD" w:rsidRPr="00730FC9">
        <w:rPr>
          <w:rFonts w:ascii="Arial" w:hAnsi="Arial" w:cs="Arial"/>
          <w:sz w:val="24"/>
          <w:szCs w:val="24"/>
        </w:rPr>
        <w:t>)</w:t>
      </w:r>
      <w:r w:rsidR="00DA1A27" w:rsidRPr="00730FC9">
        <w:rPr>
          <w:rFonts w:ascii="Arial" w:hAnsi="Arial" w:cs="Arial"/>
          <w:sz w:val="24"/>
          <w:szCs w:val="24"/>
        </w:rPr>
        <w:t>.</w:t>
      </w:r>
      <w:r w:rsidR="000F3910" w:rsidRPr="00730FC9">
        <w:rPr>
          <w:rFonts w:ascii="Arial" w:hAnsi="Arial" w:cs="Arial"/>
          <w:sz w:val="24"/>
          <w:szCs w:val="24"/>
        </w:rPr>
        <w:t xml:space="preserve"> E mais: no âmbito dos Programas Fomentar e Produzir, cabe ao Conselho Deliberativo e à Comissão Executiva desses programas, respectivamente, suspender o contrato com a GOIÁSFOMENTO no caso de</w:t>
      </w:r>
      <w:r w:rsidR="00D76EEF" w:rsidRPr="00730FC9">
        <w:rPr>
          <w:rFonts w:ascii="Arial" w:hAnsi="Arial" w:cs="Arial"/>
          <w:sz w:val="24"/>
          <w:szCs w:val="24"/>
        </w:rPr>
        <w:t xml:space="preserve"> infração à legislação ambiental, </w:t>
      </w:r>
      <w:r w:rsidR="000867C3" w:rsidRPr="00730FC9">
        <w:rPr>
          <w:rFonts w:ascii="Arial" w:hAnsi="Arial" w:cs="Arial"/>
          <w:sz w:val="24"/>
          <w:szCs w:val="24"/>
        </w:rPr>
        <w:t>o que nunca ocorreu.</w:t>
      </w:r>
      <w:r w:rsidR="00D76EEF" w:rsidRPr="00730FC9">
        <w:rPr>
          <w:rFonts w:ascii="Arial" w:hAnsi="Arial" w:cs="Arial"/>
          <w:sz w:val="24"/>
          <w:szCs w:val="24"/>
        </w:rPr>
        <w:t xml:space="preserve"> </w:t>
      </w:r>
    </w:p>
    <w:p w14:paraId="56978E60" w14:textId="700BBB13" w:rsidR="00727D95" w:rsidRDefault="00727D95" w:rsidP="00B77413">
      <w:pPr>
        <w:spacing w:line="360" w:lineRule="auto"/>
        <w:ind w:firstLine="851"/>
        <w:jc w:val="both"/>
        <w:rPr>
          <w:rFonts w:ascii="Arial" w:hAnsi="Arial" w:cs="Arial"/>
          <w:sz w:val="24"/>
          <w:szCs w:val="24"/>
        </w:rPr>
      </w:pPr>
      <w:r w:rsidRPr="00730FC9">
        <w:rPr>
          <w:rFonts w:ascii="Arial" w:hAnsi="Arial" w:cs="Arial"/>
          <w:sz w:val="24"/>
          <w:szCs w:val="24"/>
        </w:rPr>
        <w:t xml:space="preserve">Com efeito, entende-se que </w:t>
      </w:r>
      <w:r w:rsidR="00666DE9" w:rsidRPr="00730FC9">
        <w:rPr>
          <w:rFonts w:ascii="Arial" w:hAnsi="Arial" w:cs="Arial"/>
          <w:sz w:val="24"/>
          <w:szCs w:val="24"/>
          <w:u w:val="single"/>
        </w:rPr>
        <w:t>cabe mesmo à autoridade ambiental</w:t>
      </w:r>
      <w:r w:rsidR="00636F81" w:rsidRPr="00730FC9">
        <w:rPr>
          <w:rFonts w:ascii="Arial" w:hAnsi="Arial" w:cs="Arial"/>
          <w:sz w:val="24"/>
          <w:szCs w:val="24"/>
          <w:u w:val="single"/>
        </w:rPr>
        <w:t xml:space="preserve"> (fiscal)</w:t>
      </w:r>
      <w:r w:rsidR="00666DE9" w:rsidRPr="00730FC9">
        <w:rPr>
          <w:rFonts w:ascii="Arial" w:hAnsi="Arial" w:cs="Arial"/>
          <w:sz w:val="24"/>
          <w:szCs w:val="24"/>
          <w:u w:val="single"/>
        </w:rPr>
        <w:t xml:space="preserve"> </w:t>
      </w:r>
      <w:r w:rsidRPr="00730FC9">
        <w:rPr>
          <w:rFonts w:ascii="Arial" w:hAnsi="Arial" w:cs="Arial"/>
          <w:sz w:val="24"/>
          <w:szCs w:val="24"/>
          <w:u w:val="single"/>
        </w:rPr>
        <w:t>aplica</w:t>
      </w:r>
      <w:r w:rsidR="00666DE9" w:rsidRPr="00730FC9">
        <w:rPr>
          <w:rFonts w:ascii="Arial" w:hAnsi="Arial" w:cs="Arial"/>
          <w:sz w:val="24"/>
          <w:szCs w:val="24"/>
          <w:u w:val="single"/>
        </w:rPr>
        <w:t>r</w:t>
      </w:r>
      <w:r w:rsidR="00666DE9" w:rsidRPr="003E1888">
        <w:rPr>
          <w:rFonts w:ascii="Arial" w:hAnsi="Arial" w:cs="Arial"/>
          <w:sz w:val="24"/>
          <w:szCs w:val="24"/>
          <w:u w:val="single"/>
        </w:rPr>
        <w:t xml:space="preserve"> a sanção prevista no</w:t>
      </w:r>
      <w:r w:rsidRPr="003E1888">
        <w:rPr>
          <w:rFonts w:ascii="Arial" w:hAnsi="Arial" w:cs="Arial"/>
          <w:sz w:val="24"/>
          <w:szCs w:val="24"/>
          <w:u w:val="single"/>
        </w:rPr>
        <w:t xml:space="preserve"> art. 25, III, da Lei nº 18.102/2013</w:t>
      </w:r>
      <w:r>
        <w:rPr>
          <w:rFonts w:ascii="Arial" w:hAnsi="Arial" w:cs="Arial"/>
          <w:sz w:val="24"/>
          <w:szCs w:val="24"/>
        </w:rPr>
        <w:t xml:space="preserve">, </w:t>
      </w:r>
      <w:r w:rsidR="00666DE9">
        <w:rPr>
          <w:rFonts w:ascii="Arial" w:hAnsi="Arial" w:cs="Arial"/>
          <w:sz w:val="24"/>
          <w:szCs w:val="24"/>
        </w:rPr>
        <w:t xml:space="preserve">bem como </w:t>
      </w:r>
      <w:r w:rsidRPr="00727D95">
        <w:rPr>
          <w:rFonts w:ascii="Arial" w:hAnsi="Arial" w:cs="Arial"/>
          <w:sz w:val="24"/>
          <w:szCs w:val="24"/>
        </w:rPr>
        <w:t>fixar</w:t>
      </w:r>
      <w:r w:rsidR="00666DE9">
        <w:rPr>
          <w:rFonts w:ascii="Arial" w:hAnsi="Arial" w:cs="Arial"/>
          <w:sz w:val="24"/>
          <w:szCs w:val="24"/>
        </w:rPr>
        <w:t xml:space="preserve"> o período da respectiva vigência, nos termos do § 1º do mesmo</w:t>
      </w:r>
      <w:r w:rsidRPr="00727D95">
        <w:rPr>
          <w:rFonts w:ascii="Arial" w:hAnsi="Arial" w:cs="Arial"/>
          <w:sz w:val="24"/>
          <w:szCs w:val="24"/>
        </w:rPr>
        <w:t xml:space="preserve"> artigo</w:t>
      </w:r>
      <w:r w:rsidR="00666DE9">
        <w:rPr>
          <w:rFonts w:ascii="Arial" w:hAnsi="Arial" w:cs="Arial"/>
          <w:sz w:val="24"/>
          <w:szCs w:val="24"/>
        </w:rPr>
        <w:t>.</w:t>
      </w:r>
      <w:r w:rsidR="003E1888">
        <w:rPr>
          <w:rFonts w:ascii="Arial" w:hAnsi="Arial" w:cs="Arial"/>
          <w:sz w:val="24"/>
          <w:szCs w:val="24"/>
        </w:rPr>
        <w:t xml:space="preserve"> Porém, para a devida aplicação desse dispositivo revela-se necessário que a autoridade ambiental tenha prévia ciência acerca de eventual recebimento de incentivos fiscais pelas pessoas jurídicas autuadas.</w:t>
      </w:r>
    </w:p>
    <w:p w14:paraId="51EE4864" w14:textId="28F3A278" w:rsidR="00F74F01" w:rsidRDefault="00F74F01" w:rsidP="00B77413">
      <w:pPr>
        <w:spacing w:line="360" w:lineRule="auto"/>
        <w:ind w:firstLine="851"/>
        <w:jc w:val="both"/>
        <w:rPr>
          <w:rFonts w:ascii="Arial" w:hAnsi="Arial" w:cs="Arial"/>
          <w:sz w:val="24"/>
          <w:szCs w:val="24"/>
        </w:rPr>
      </w:pPr>
    </w:p>
    <w:p w14:paraId="3BE933B6" w14:textId="4971FF08" w:rsidR="00F26B93" w:rsidRDefault="00A92230" w:rsidP="00A92230">
      <w:pPr>
        <w:spacing w:line="360" w:lineRule="auto"/>
        <w:ind w:firstLine="851"/>
        <w:jc w:val="both"/>
        <w:rPr>
          <w:rFonts w:ascii="Arial" w:hAnsi="Arial" w:cs="Arial"/>
          <w:sz w:val="24"/>
          <w:szCs w:val="24"/>
        </w:rPr>
      </w:pPr>
      <w:r>
        <w:rPr>
          <w:rFonts w:ascii="Arial" w:hAnsi="Arial" w:cs="Arial"/>
          <w:b/>
          <w:sz w:val="24"/>
          <w:szCs w:val="24"/>
        </w:rPr>
        <w:t>8.3.4</w:t>
      </w:r>
      <w:r w:rsidRPr="00BE40D6">
        <w:rPr>
          <w:rFonts w:ascii="Arial" w:hAnsi="Arial" w:cs="Arial"/>
          <w:b/>
          <w:sz w:val="24"/>
          <w:szCs w:val="24"/>
        </w:rPr>
        <w:t>.</w:t>
      </w:r>
      <w:r>
        <w:rPr>
          <w:rFonts w:ascii="Arial" w:hAnsi="Arial" w:cs="Arial"/>
          <w:sz w:val="24"/>
          <w:szCs w:val="24"/>
        </w:rPr>
        <w:t xml:space="preserve"> </w:t>
      </w:r>
      <w:r w:rsidR="00F26B93">
        <w:rPr>
          <w:rFonts w:ascii="Arial" w:hAnsi="Arial" w:cs="Arial"/>
          <w:sz w:val="24"/>
          <w:szCs w:val="24"/>
        </w:rPr>
        <w:t xml:space="preserve">Desse breve apanhado de informações prestadas pelas próprias Secretarias, pode-se concluir sem maior dificuldade que tanto </w:t>
      </w:r>
      <w:r w:rsidR="00F26B93" w:rsidRPr="006C17F4">
        <w:rPr>
          <w:rFonts w:ascii="Arial" w:hAnsi="Arial" w:cs="Arial"/>
          <w:b/>
          <w:sz w:val="24"/>
          <w:szCs w:val="24"/>
          <w:u w:val="single"/>
        </w:rPr>
        <w:t>o § 4º do art. 132 da CE/GO como o inciso III do art. 25 da Lei nº 18.102/2013 foram praticamente “letra morta</w:t>
      </w:r>
      <w:r w:rsidR="00F26B93" w:rsidRPr="008E3CB1">
        <w:rPr>
          <w:rFonts w:ascii="Arial" w:hAnsi="Arial" w:cs="Arial"/>
          <w:b/>
          <w:sz w:val="24"/>
          <w:szCs w:val="24"/>
          <w:u w:val="single"/>
        </w:rPr>
        <w:t>”</w:t>
      </w:r>
      <w:r w:rsidR="00F26B93" w:rsidRPr="008E3CB1">
        <w:rPr>
          <w:rFonts w:ascii="Arial" w:hAnsi="Arial" w:cs="Arial"/>
          <w:b/>
          <w:sz w:val="24"/>
          <w:szCs w:val="24"/>
        </w:rPr>
        <w:t xml:space="preserve"> </w:t>
      </w:r>
      <w:r w:rsidR="006C17F4" w:rsidRPr="008E3CB1">
        <w:rPr>
          <w:rFonts w:ascii="Arial" w:hAnsi="Arial" w:cs="Arial"/>
          <w:b/>
          <w:sz w:val="24"/>
          <w:szCs w:val="24"/>
        </w:rPr>
        <w:t>no período objeto de investigação por esta CPI</w:t>
      </w:r>
      <w:r w:rsidR="008E3CB1">
        <w:rPr>
          <w:rFonts w:ascii="Arial" w:hAnsi="Arial" w:cs="Arial"/>
          <w:b/>
          <w:sz w:val="24"/>
          <w:szCs w:val="24"/>
        </w:rPr>
        <w:t xml:space="preserve"> (2014 a 2018)</w:t>
      </w:r>
      <w:r w:rsidR="008E3CB1" w:rsidRPr="008E3CB1">
        <w:rPr>
          <w:rFonts w:ascii="Arial" w:hAnsi="Arial" w:cs="Arial"/>
          <w:sz w:val="24"/>
          <w:szCs w:val="24"/>
        </w:rPr>
        <w:t>,</w:t>
      </w:r>
      <w:r w:rsidR="006C17F4">
        <w:rPr>
          <w:rFonts w:ascii="Arial" w:hAnsi="Arial" w:cs="Arial"/>
          <w:sz w:val="24"/>
          <w:szCs w:val="24"/>
        </w:rPr>
        <w:t xml:space="preserve"> e provavelmente</w:t>
      </w:r>
      <w:r w:rsidR="008E3CB1">
        <w:rPr>
          <w:rFonts w:ascii="Arial" w:hAnsi="Arial" w:cs="Arial"/>
          <w:sz w:val="24"/>
          <w:szCs w:val="24"/>
        </w:rPr>
        <w:t xml:space="preserve"> isso tenha ocorrido</w:t>
      </w:r>
      <w:r w:rsidR="006C17F4">
        <w:rPr>
          <w:rFonts w:ascii="Arial" w:hAnsi="Arial" w:cs="Arial"/>
          <w:sz w:val="24"/>
          <w:szCs w:val="24"/>
        </w:rPr>
        <w:t xml:space="preserve"> durante décadas</w:t>
      </w:r>
      <w:r w:rsidR="008E3CB1">
        <w:rPr>
          <w:rFonts w:ascii="Arial" w:hAnsi="Arial" w:cs="Arial"/>
          <w:sz w:val="24"/>
          <w:szCs w:val="24"/>
        </w:rPr>
        <w:t xml:space="preserve">, isto é, </w:t>
      </w:r>
      <w:r w:rsidR="00D05E06">
        <w:rPr>
          <w:rFonts w:ascii="Arial" w:hAnsi="Arial" w:cs="Arial"/>
          <w:sz w:val="24"/>
          <w:szCs w:val="24"/>
        </w:rPr>
        <w:t>sem que a perda e a suspensão de incentivos fiscais tivesse servido como mecanismo de coerção para cumprimento das normas ambientais, como determina o texto constitucional.</w:t>
      </w:r>
    </w:p>
    <w:p w14:paraId="07C5E0EB" w14:textId="2859ABC9" w:rsidR="00997A86" w:rsidRDefault="00A92230" w:rsidP="00A92230">
      <w:pPr>
        <w:spacing w:line="360" w:lineRule="auto"/>
        <w:ind w:firstLine="851"/>
        <w:jc w:val="both"/>
        <w:rPr>
          <w:rFonts w:ascii="Arial" w:hAnsi="Arial" w:cs="Arial"/>
          <w:sz w:val="24"/>
          <w:szCs w:val="24"/>
        </w:rPr>
      </w:pPr>
      <w:r>
        <w:rPr>
          <w:rFonts w:ascii="Arial" w:hAnsi="Arial" w:cs="Arial"/>
          <w:sz w:val="24"/>
          <w:szCs w:val="24"/>
        </w:rPr>
        <w:t>Embora</w:t>
      </w:r>
      <w:r w:rsidR="00D05E06">
        <w:rPr>
          <w:rFonts w:ascii="Arial" w:hAnsi="Arial" w:cs="Arial"/>
          <w:sz w:val="24"/>
          <w:szCs w:val="24"/>
        </w:rPr>
        <w:t xml:space="preserve"> esta CPI não possa apontar, nesse cenário, um descumprimento da Lei nº 18.102/2013 – por suposta “falta de hábito” das autoridades julgadoras em aplicar referida penalidade</w:t>
      </w:r>
      <w:r w:rsidR="0090350A">
        <w:rPr>
          <w:rFonts w:ascii="Arial" w:hAnsi="Arial" w:cs="Arial"/>
          <w:sz w:val="24"/>
          <w:szCs w:val="24"/>
        </w:rPr>
        <w:t xml:space="preserve"> de forma autônoma</w:t>
      </w:r>
      <w:r w:rsidR="000608CA">
        <w:rPr>
          <w:rFonts w:ascii="Arial" w:hAnsi="Arial" w:cs="Arial"/>
          <w:sz w:val="24"/>
          <w:szCs w:val="24"/>
        </w:rPr>
        <w:t>, como alegado pela SEMAD</w:t>
      </w:r>
      <w:r w:rsidR="00D05E06">
        <w:rPr>
          <w:rFonts w:ascii="Arial" w:hAnsi="Arial" w:cs="Arial"/>
          <w:sz w:val="24"/>
          <w:szCs w:val="24"/>
        </w:rPr>
        <w:t xml:space="preserve"> – entende-se que </w:t>
      </w:r>
      <w:r w:rsidR="00D05E06" w:rsidRPr="00D05E06">
        <w:rPr>
          <w:rFonts w:ascii="Arial" w:hAnsi="Arial" w:cs="Arial"/>
          <w:b/>
          <w:sz w:val="24"/>
          <w:szCs w:val="24"/>
        </w:rPr>
        <w:lastRenderedPageBreak/>
        <w:t xml:space="preserve">o § 4º do art. </w:t>
      </w:r>
      <w:r w:rsidR="00D05E06" w:rsidRPr="00997A86">
        <w:rPr>
          <w:rFonts w:ascii="Arial" w:hAnsi="Arial" w:cs="Arial"/>
          <w:b/>
          <w:sz w:val="24"/>
          <w:szCs w:val="24"/>
        </w:rPr>
        <w:t xml:space="preserve">132 da CE/GO </w:t>
      </w:r>
      <w:r w:rsidR="00997A86" w:rsidRPr="00997A86">
        <w:rPr>
          <w:rFonts w:ascii="Arial" w:hAnsi="Arial" w:cs="Arial"/>
          <w:b/>
          <w:sz w:val="24"/>
          <w:szCs w:val="24"/>
        </w:rPr>
        <w:t>constitui verdadeira</w:t>
      </w:r>
      <w:r w:rsidRPr="00904A3E">
        <w:rPr>
          <w:rFonts w:ascii="Arial" w:hAnsi="Arial" w:cs="Arial"/>
          <w:b/>
          <w:sz w:val="24"/>
          <w:szCs w:val="24"/>
        </w:rPr>
        <w:t xml:space="preserve"> proteção adicional ao meio ambiente contida particularmente em nosso ordenamento jurídico estadual</w:t>
      </w:r>
      <w:r>
        <w:rPr>
          <w:rFonts w:ascii="Arial" w:hAnsi="Arial" w:cs="Arial"/>
          <w:sz w:val="24"/>
          <w:szCs w:val="24"/>
        </w:rPr>
        <w:t xml:space="preserve">, </w:t>
      </w:r>
      <w:r w:rsidR="00997A86">
        <w:rPr>
          <w:rFonts w:ascii="Arial" w:hAnsi="Arial" w:cs="Arial"/>
          <w:sz w:val="24"/>
          <w:szCs w:val="24"/>
        </w:rPr>
        <w:t>o</w:t>
      </w:r>
      <w:r>
        <w:rPr>
          <w:rFonts w:ascii="Arial" w:hAnsi="Arial" w:cs="Arial"/>
          <w:sz w:val="24"/>
          <w:szCs w:val="24"/>
        </w:rPr>
        <w:t xml:space="preserve"> qual </w:t>
      </w:r>
      <w:r w:rsidR="00997A86">
        <w:rPr>
          <w:rFonts w:ascii="Arial" w:hAnsi="Arial" w:cs="Arial"/>
          <w:sz w:val="24"/>
          <w:szCs w:val="24"/>
        </w:rPr>
        <w:t xml:space="preserve">possui força normativa própria, de modo que sua incidência não depende, necessariamente, de </w:t>
      </w:r>
      <w:r w:rsidR="00D01F8C">
        <w:rPr>
          <w:rFonts w:ascii="Arial" w:hAnsi="Arial" w:cs="Arial"/>
          <w:sz w:val="24"/>
          <w:szCs w:val="24"/>
        </w:rPr>
        <w:t>a autoridade ambiental ter</w:t>
      </w:r>
      <w:r w:rsidR="00997A86">
        <w:rPr>
          <w:rFonts w:ascii="Arial" w:hAnsi="Arial" w:cs="Arial"/>
          <w:sz w:val="24"/>
          <w:szCs w:val="24"/>
        </w:rPr>
        <w:t xml:space="preserve"> aplica</w:t>
      </w:r>
      <w:r w:rsidR="00D01F8C">
        <w:rPr>
          <w:rFonts w:ascii="Arial" w:hAnsi="Arial" w:cs="Arial"/>
          <w:sz w:val="24"/>
          <w:szCs w:val="24"/>
        </w:rPr>
        <w:t>do em concreto</w:t>
      </w:r>
      <w:r w:rsidR="00997A86">
        <w:rPr>
          <w:rFonts w:ascii="Arial" w:hAnsi="Arial" w:cs="Arial"/>
          <w:sz w:val="24"/>
          <w:szCs w:val="24"/>
        </w:rPr>
        <w:t xml:space="preserve"> a perda ou </w:t>
      </w:r>
      <w:r w:rsidR="00D01F8C">
        <w:rPr>
          <w:rFonts w:ascii="Arial" w:hAnsi="Arial" w:cs="Arial"/>
          <w:sz w:val="24"/>
          <w:szCs w:val="24"/>
        </w:rPr>
        <w:t xml:space="preserve">a </w:t>
      </w:r>
      <w:r w:rsidR="00997A86">
        <w:rPr>
          <w:rFonts w:ascii="Arial" w:hAnsi="Arial" w:cs="Arial"/>
          <w:sz w:val="24"/>
          <w:szCs w:val="24"/>
        </w:rPr>
        <w:t>suspensão de incentivos fiscais como uma penalidade especí</w:t>
      </w:r>
      <w:r w:rsidR="000F2CBC">
        <w:rPr>
          <w:rFonts w:ascii="Arial" w:hAnsi="Arial" w:cs="Arial"/>
          <w:sz w:val="24"/>
          <w:szCs w:val="24"/>
        </w:rPr>
        <w:t>fica</w:t>
      </w:r>
      <w:r w:rsidR="00997A86">
        <w:rPr>
          <w:rFonts w:ascii="Arial" w:hAnsi="Arial" w:cs="Arial"/>
          <w:sz w:val="24"/>
          <w:szCs w:val="24"/>
        </w:rPr>
        <w:t xml:space="preserve"> </w:t>
      </w:r>
      <w:r w:rsidR="000F2CBC">
        <w:rPr>
          <w:rFonts w:ascii="Arial" w:hAnsi="Arial" w:cs="Arial"/>
          <w:sz w:val="24"/>
          <w:szCs w:val="24"/>
        </w:rPr>
        <w:t>(</w:t>
      </w:r>
      <w:r w:rsidR="00997A86">
        <w:rPr>
          <w:rFonts w:ascii="Arial" w:hAnsi="Arial" w:cs="Arial"/>
          <w:sz w:val="24"/>
          <w:szCs w:val="24"/>
        </w:rPr>
        <w:t>o que também é possível nos termos da legislaç</w:t>
      </w:r>
      <w:r w:rsidR="00DC4586">
        <w:rPr>
          <w:rFonts w:ascii="Arial" w:hAnsi="Arial" w:cs="Arial"/>
          <w:sz w:val="24"/>
          <w:szCs w:val="24"/>
        </w:rPr>
        <w:t>ão</w:t>
      </w:r>
      <w:r w:rsidR="000F2CBC">
        <w:rPr>
          <w:rFonts w:ascii="Arial" w:hAnsi="Arial" w:cs="Arial"/>
          <w:sz w:val="24"/>
          <w:szCs w:val="24"/>
        </w:rPr>
        <w:t>)</w:t>
      </w:r>
      <w:r w:rsidR="00DC4586">
        <w:rPr>
          <w:rFonts w:ascii="Arial" w:hAnsi="Arial" w:cs="Arial"/>
          <w:sz w:val="24"/>
          <w:szCs w:val="24"/>
        </w:rPr>
        <w:t>.</w:t>
      </w:r>
    </w:p>
    <w:p w14:paraId="4E3FAB4D" w14:textId="1FD99C85" w:rsidR="005A19E8" w:rsidRDefault="0032577B" w:rsidP="00A92230">
      <w:pPr>
        <w:spacing w:line="360" w:lineRule="auto"/>
        <w:ind w:firstLine="851"/>
        <w:jc w:val="both"/>
        <w:rPr>
          <w:rFonts w:ascii="Arial" w:hAnsi="Arial" w:cs="Arial"/>
          <w:sz w:val="24"/>
          <w:szCs w:val="24"/>
        </w:rPr>
      </w:pPr>
      <w:r>
        <w:rPr>
          <w:rFonts w:ascii="Arial" w:hAnsi="Arial" w:cs="Arial"/>
          <w:b/>
          <w:sz w:val="24"/>
          <w:szCs w:val="24"/>
        </w:rPr>
        <w:t xml:space="preserve">Desse modo, </w:t>
      </w:r>
      <w:r w:rsidR="00997A86" w:rsidRPr="00997A86">
        <w:rPr>
          <w:rFonts w:ascii="Arial" w:hAnsi="Arial" w:cs="Arial"/>
          <w:b/>
          <w:sz w:val="24"/>
          <w:szCs w:val="24"/>
        </w:rPr>
        <w:t>entende</w:t>
      </w:r>
      <w:r>
        <w:rPr>
          <w:rFonts w:ascii="Arial" w:hAnsi="Arial" w:cs="Arial"/>
          <w:b/>
          <w:sz w:val="24"/>
          <w:szCs w:val="24"/>
        </w:rPr>
        <w:t>-se</w:t>
      </w:r>
      <w:r w:rsidR="00997A86" w:rsidRPr="00997A86">
        <w:rPr>
          <w:rFonts w:ascii="Arial" w:hAnsi="Arial" w:cs="Arial"/>
          <w:b/>
          <w:sz w:val="24"/>
          <w:szCs w:val="24"/>
        </w:rPr>
        <w:t xml:space="preserve"> que o critério para incidência do mencionado dispositivo constitucional deve ser</w:t>
      </w:r>
      <w:r w:rsidR="00D01F8C">
        <w:rPr>
          <w:rFonts w:ascii="Arial" w:hAnsi="Arial" w:cs="Arial"/>
          <w:b/>
          <w:sz w:val="24"/>
          <w:szCs w:val="24"/>
        </w:rPr>
        <w:t xml:space="preserve"> o de</w:t>
      </w:r>
      <w:r w:rsidR="00997A86" w:rsidRPr="00997A86">
        <w:rPr>
          <w:rFonts w:ascii="Arial" w:hAnsi="Arial" w:cs="Arial"/>
          <w:b/>
          <w:sz w:val="24"/>
          <w:szCs w:val="24"/>
        </w:rPr>
        <w:t xml:space="preserve"> identificar se uma atividade está funcionando em desacordo com as normas de proteção ambiental</w:t>
      </w:r>
      <w:r w:rsidR="00A217B5">
        <w:rPr>
          <w:rFonts w:ascii="Arial" w:hAnsi="Arial" w:cs="Arial"/>
          <w:b/>
          <w:sz w:val="24"/>
          <w:szCs w:val="24"/>
        </w:rPr>
        <w:t xml:space="preserve"> o período em que perdurar a irregularidade</w:t>
      </w:r>
      <w:r w:rsidR="00997A86">
        <w:rPr>
          <w:rFonts w:ascii="Arial" w:hAnsi="Arial" w:cs="Arial"/>
          <w:sz w:val="24"/>
          <w:szCs w:val="24"/>
        </w:rPr>
        <w:t xml:space="preserve">, o que significa dizer que </w:t>
      </w:r>
      <w:r w:rsidR="005A19E8">
        <w:rPr>
          <w:rFonts w:ascii="Arial" w:hAnsi="Arial" w:cs="Arial"/>
          <w:sz w:val="24"/>
          <w:szCs w:val="24"/>
        </w:rPr>
        <w:t xml:space="preserve">a </w:t>
      </w:r>
      <w:r w:rsidR="00997A86">
        <w:rPr>
          <w:rFonts w:ascii="Arial" w:hAnsi="Arial" w:cs="Arial"/>
          <w:sz w:val="24"/>
          <w:szCs w:val="24"/>
        </w:rPr>
        <w:t xml:space="preserve">perda ou </w:t>
      </w:r>
      <w:r w:rsidR="00D01F8C">
        <w:rPr>
          <w:rFonts w:ascii="Arial" w:hAnsi="Arial" w:cs="Arial"/>
          <w:sz w:val="24"/>
          <w:szCs w:val="24"/>
        </w:rPr>
        <w:t>restrição</w:t>
      </w:r>
      <w:r w:rsidR="00997A86">
        <w:rPr>
          <w:rFonts w:ascii="Arial" w:hAnsi="Arial" w:cs="Arial"/>
          <w:sz w:val="24"/>
          <w:szCs w:val="24"/>
        </w:rPr>
        <w:t xml:space="preserve"> de incentivos fiscais </w:t>
      </w:r>
      <w:r w:rsidR="00A217B5">
        <w:rPr>
          <w:rFonts w:ascii="Arial" w:hAnsi="Arial" w:cs="Arial"/>
          <w:sz w:val="24"/>
          <w:szCs w:val="24"/>
        </w:rPr>
        <w:t>deve</w:t>
      </w:r>
      <w:r w:rsidR="00997A86">
        <w:rPr>
          <w:rFonts w:ascii="Arial" w:hAnsi="Arial" w:cs="Arial"/>
          <w:sz w:val="24"/>
          <w:szCs w:val="24"/>
        </w:rPr>
        <w:t xml:space="preserve"> </w:t>
      </w:r>
      <w:r w:rsidR="00A217B5">
        <w:rPr>
          <w:rFonts w:ascii="Arial" w:hAnsi="Arial" w:cs="Arial"/>
          <w:sz w:val="24"/>
          <w:szCs w:val="24"/>
        </w:rPr>
        <w:t>t</w:t>
      </w:r>
      <w:r w:rsidR="00997A86">
        <w:rPr>
          <w:rFonts w:ascii="Arial" w:hAnsi="Arial" w:cs="Arial"/>
          <w:sz w:val="24"/>
          <w:szCs w:val="24"/>
        </w:rPr>
        <w:t xml:space="preserve">er </w:t>
      </w:r>
      <w:r w:rsidR="005A19E8">
        <w:rPr>
          <w:rFonts w:ascii="Arial" w:hAnsi="Arial" w:cs="Arial"/>
          <w:sz w:val="24"/>
          <w:szCs w:val="24"/>
        </w:rPr>
        <w:t>incidir</w:t>
      </w:r>
      <w:r w:rsidR="00997A86">
        <w:rPr>
          <w:rFonts w:ascii="Arial" w:hAnsi="Arial" w:cs="Arial"/>
          <w:sz w:val="24"/>
          <w:szCs w:val="24"/>
        </w:rPr>
        <w:t xml:space="preserve"> como penalidade acessória de outra principal aplicada</w:t>
      </w:r>
      <w:r w:rsidR="007C052F">
        <w:rPr>
          <w:rFonts w:ascii="Arial" w:hAnsi="Arial" w:cs="Arial"/>
          <w:sz w:val="24"/>
          <w:szCs w:val="24"/>
        </w:rPr>
        <w:t>,</w:t>
      </w:r>
      <w:r w:rsidR="007D49E8">
        <w:rPr>
          <w:rFonts w:ascii="Arial" w:hAnsi="Arial" w:cs="Arial"/>
          <w:sz w:val="24"/>
          <w:szCs w:val="24"/>
        </w:rPr>
        <w:t xml:space="preserve"> enquanto esta perdurar</w:t>
      </w:r>
      <w:r w:rsidR="007C052F">
        <w:rPr>
          <w:rFonts w:ascii="Arial" w:hAnsi="Arial" w:cs="Arial"/>
          <w:sz w:val="24"/>
          <w:szCs w:val="24"/>
        </w:rPr>
        <w:t xml:space="preserve">, ou mesmo </w:t>
      </w:r>
      <w:r w:rsidR="00D01F8C">
        <w:rPr>
          <w:rFonts w:ascii="Arial" w:hAnsi="Arial" w:cs="Arial"/>
          <w:sz w:val="24"/>
          <w:szCs w:val="24"/>
        </w:rPr>
        <w:t>como um</w:t>
      </w:r>
      <w:r w:rsidR="007C052F">
        <w:rPr>
          <w:rFonts w:ascii="Arial" w:hAnsi="Arial" w:cs="Arial"/>
          <w:sz w:val="24"/>
          <w:szCs w:val="24"/>
        </w:rPr>
        <w:t xml:space="preserve"> penalidade</w:t>
      </w:r>
      <w:r w:rsidR="00D01F8C">
        <w:rPr>
          <w:rFonts w:ascii="Arial" w:hAnsi="Arial" w:cs="Arial"/>
          <w:sz w:val="24"/>
          <w:szCs w:val="24"/>
        </w:rPr>
        <w:t xml:space="preserve"> autônoma</w:t>
      </w:r>
      <w:r w:rsidR="00997A86">
        <w:rPr>
          <w:rFonts w:ascii="Arial" w:hAnsi="Arial" w:cs="Arial"/>
          <w:sz w:val="24"/>
          <w:szCs w:val="24"/>
        </w:rPr>
        <w:t xml:space="preserve">. </w:t>
      </w:r>
    </w:p>
    <w:p w14:paraId="3F3A9558" w14:textId="36A79CB2" w:rsidR="008F6A26" w:rsidRDefault="00A169FF" w:rsidP="00A92230">
      <w:pPr>
        <w:spacing w:line="360" w:lineRule="auto"/>
        <w:ind w:firstLine="851"/>
        <w:jc w:val="both"/>
        <w:rPr>
          <w:rFonts w:ascii="Arial" w:hAnsi="Arial" w:cs="Arial"/>
          <w:sz w:val="24"/>
          <w:szCs w:val="24"/>
        </w:rPr>
      </w:pPr>
      <w:r>
        <w:rPr>
          <w:rFonts w:ascii="Arial" w:hAnsi="Arial" w:cs="Arial"/>
          <w:sz w:val="24"/>
          <w:szCs w:val="24"/>
        </w:rPr>
        <w:t xml:space="preserve">Citem-se </w:t>
      </w:r>
      <w:r w:rsidR="005A19E8">
        <w:rPr>
          <w:rFonts w:ascii="Arial" w:hAnsi="Arial" w:cs="Arial"/>
          <w:sz w:val="24"/>
          <w:szCs w:val="24"/>
        </w:rPr>
        <w:t xml:space="preserve">como </w:t>
      </w:r>
      <w:r>
        <w:rPr>
          <w:rFonts w:ascii="Arial" w:hAnsi="Arial" w:cs="Arial"/>
          <w:sz w:val="24"/>
          <w:szCs w:val="24"/>
        </w:rPr>
        <w:t>exemplos</w:t>
      </w:r>
      <w:r w:rsidR="005A19E8">
        <w:rPr>
          <w:rFonts w:ascii="Arial" w:hAnsi="Arial" w:cs="Arial"/>
          <w:sz w:val="24"/>
          <w:szCs w:val="24"/>
        </w:rPr>
        <w:t xml:space="preserve"> que ilustram </w:t>
      </w:r>
      <w:r>
        <w:rPr>
          <w:rFonts w:ascii="Arial" w:hAnsi="Arial" w:cs="Arial"/>
          <w:sz w:val="24"/>
          <w:szCs w:val="24"/>
        </w:rPr>
        <w:t xml:space="preserve">esse </w:t>
      </w:r>
      <w:r w:rsidRPr="000724DD">
        <w:rPr>
          <w:rFonts w:ascii="Arial" w:hAnsi="Arial" w:cs="Arial"/>
          <w:sz w:val="24"/>
          <w:szCs w:val="24"/>
        </w:rPr>
        <w:t>raciocínio</w:t>
      </w:r>
      <w:r w:rsidR="000724DD" w:rsidRPr="000724DD">
        <w:rPr>
          <w:rFonts w:ascii="Arial" w:hAnsi="Arial" w:cs="Arial"/>
          <w:sz w:val="24"/>
          <w:szCs w:val="24"/>
        </w:rPr>
        <w:t xml:space="preserve"> </w:t>
      </w:r>
      <w:r w:rsidR="005A19E8">
        <w:rPr>
          <w:rFonts w:ascii="Arial" w:hAnsi="Arial" w:cs="Arial"/>
          <w:sz w:val="24"/>
          <w:szCs w:val="24"/>
        </w:rPr>
        <w:t>as seguintes situações</w:t>
      </w:r>
      <w:r w:rsidR="005A19E8" w:rsidRPr="000724DD">
        <w:rPr>
          <w:rFonts w:ascii="Arial" w:hAnsi="Arial" w:cs="Arial"/>
          <w:sz w:val="24"/>
          <w:szCs w:val="24"/>
        </w:rPr>
        <w:t xml:space="preserve"> </w:t>
      </w:r>
      <w:r w:rsidR="005A19E8">
        <w:rPr>
          <w:rFonts w:ascii="Arial" w:hAnsi="Arial" w:cs="Arial"/>
          <w:sz w:val="24"/>
          <w:szCs w:val="24"/>
        </w:rPr>
        <w:t xml:space="preserve">nas quais pode se encontrar </w:t>
      </w:r>
      <w:r w:rsidR="000724DD" w:rsidRPr="000724DD">
        <w:rPr>
          <w:rFonts w:ascii="Arial" w:hAnsi="Arial" w:cs="Arial"/>
          <w:sz w:val="24"/>
          <w:szCs w:val="24"/>
        </w:rPr>
        <w:t>uma empresa</w:t>
      </w:r>
      <w:r w:rsidR="005A19E8">
        <w:rPr>
          <w:rFonts w:ascii="Arial" w:hAnsi="Arial" w:cs="Arial"/>
          <w:sz w:val="24"/>
          <w:szCs w:val="24"/>
        </w:rPr>
        <w:t xml:space="preserve"> </w:t>
      </w:r>
      <w:r w:rsidR="000724DD" w:rsidRPr="000724DD">
        <w:rPr>
          <w:rFonts w:ascii="Arial" w:hAnsi="Arial" w:cs="Arial"/>
          <w:sz w:val="24"/>
          <w:szCs w:val="24"/>
        </w:rPr>
        <w:t>benefici</w:t>
      </w:r>
      <w:r w:rsidR="005A19E8">
        <w:rPr>
          <w:rFonts w:ascii="Arial" w:hAnsi="Arial" w:cs="Arial"/>
          <w:sz w:val="24"/>
          <w:szCs w:val="24"/>
        </w:rPr>
        <w:t>ária</w:t>
      </w:r>
      <w:r w:rsidR="00DA5EC3">
        <w:rPr>
          <w:rFonts w:ascii="Arial" w:hAnsi="Arial" w:cs="Arial"/>
          <w:sz w:val="24"/>
          <w:szCs w:val="24"/>
        </w:rPr>
        <w:t>, alternativa ou cumulativamente</w:t>
      </w:r>
      <w:r>
        <w:rPr>
          <w:rFonts w:ascii="Arial" w:hAnsi="Arial" w:cs="Arial"/>
          <w:sz w:val="24"/>
          <w:szCs w:val="24"/>
        </w:rPr>
        <w:t>:</w:t>
      </w:r>
    </w:p>
    <w:p w14:paraId="573328E9" w14:textId="77777777" w:rsidR="00111340" w:rsidRDefault="00111340" w:rsidP="00A92230">
      <w:pPr>
        <w:spacing w:line="360" w:lineRule="auto"/>
        <w:ind w:firstLine="851"/>
        <w:jc w:val="both"/>
        <w:rPr>
          <w:rFonts w:ascii="Arial" w:hAnsi="Arial" w:cs="Arial"/>
          <w:sz w:val="24"/>
          <w:szCs w:val="24"/>
        </w:rPr>
      </w:pPr>
    </w:p>
    <w:p w14:paraId="277242FD" w14:textId="3F479472" w:rsidR="00A169FF" w:rsidRDefault="00A169FF" w:rsidP="00502615">
      <w:pPr>
        <w:pStyle w:val="PargrafodaLista"/>
        <w:numPr>
          <w:ilvl w:val="0"/>
          <w:numId w:val="34"/>
        </w:numPr>
        <w:spacing w:line="360" w:lineRule="auto"/>
        <w:jc w:val="both"/>
        <w:rPr>
          <w:rFonts w:ascii="Arial" w:hAnsi="Arial" w:cs="Arial"/>
          <w:sz w:val="24"/>
          <w:szCs w:val="24"/>
        </w:rPr>
      </w:pPr>
      <w:r w:rsidRPr="00C54042">
        <w:rPr>
          <w:rFonts w:ascii="Arial" w:hAnsi="Arial" w:cs="Arial"/>
          <w:sz w:val="24"/>
          <w:szCs w:val="24"/>
          <w:u w:val="single"/>
        </w:rPr>
        <w:t xml:space="preserve">sofre embargo de sua atividade e </w:t>
      </w:r>
      <w:r w:rsidR="0079080E">
        <w:rPr>
          <w:rFonts w:ascii="Arial" w:hAnsi="Arial" w:cs="Arial"/>
          <w:sz w:val="24"/>
          <w:szCs w:val="24"/>
          <w:u w:val="single"/>
        </w:rPr>
        <w:t xml:space="preserve">vem a descumprir esse embargo até que essa descumprimento seja objeto de nova fiscalização </w:t>
      </w:r>
      <w:r w:rsidRPr="00C54042">
        <w:rPr>
          <w:rFonts w:ascii="Arial" w:hAnsi="Arial" w:cs="Arial"/>
          <w:sz w:val="24"/>
          <w:szCs w:val="24"/>
          <w:u w:val="single"/>
        </w:rPr>
        <w:t>6 (seis) meses</w:t>
      </w:r>
      <w:r w:rsidR="0079080E">
        <w:rPr>
          <w:rFonts w:ascii="Arial" w:hAnsi="Arial" w:cs="Arial"/>
          <w:sz w:val="24"/>
          <w:szCs w:val="24"/>
          <w:u w:val="single"/>
        </w:rPr>
        <w:t xml:space="preserve"> após</w:t>
      </w:r>
      <w:r w:rsidR="00D86C0D">
        <w:rPr>
          <w:rFonts w:ascii="Arial" w:hAnsi="Arial" w:cs="Arial"/>
          <w:sz w:val="24"/>
          <w:szCs w:val="24"/>
        </w:rPr>
        <w:t>: nesse caso</w:t>
      </w:r>
      <w:r w:rsidR="000724DD">
        <w:rPr>
          <w:rFonts w:ascii="Arial" w:hAnsi="Arial" w:cs="Arial"/>
          <w:sz w:val="24"/>
          <w:szCs w:val="24"/>
        </w:rPr>
        <w:t xml:space="preserve">, </w:t>
      </w:r>
      <w:r>
        <w:rPr>
          <w:rFonts w:ascii="Arial" w:hAnsi="Arial" w:cs="Arial"/>
          <w:sz w:val="24"/>
          <w:szCs w:val="24"/>
        </w:rPr>
        <w:t>a pessoa jurídica deveria permanecer impedida</w:t>
      </w:r>
      <w:r w:rsidR="0079080E">
        <w:rPr>
          <w:rFonts w:ascii="Arial" w:hAnsi="Arial" w:cs="Arial"/>
          <w:sz w:val="24"/>
          <w:szCs w:val="24"/>
        </w:rPr>
        <w:t xml:space="preserve"> de fruir incentivos fiscais desde o início da atividade nociva até o embargo também durante o semestre subsequente (no qual verificado o descumprimento)</w:t>
      </w:r>
      <w:r>
        <w:rPr>
          <w:rFonts w:ascii="Arial" w:hAnsi="Arial" w:cs="Arial"/>
          <w:sz w:val="24"/>
          <w:szCs w:val="24"/>
        </w:rPr>
        <w:t>, porquanto se revela contraditório à luz daquela proteção constit</w:t>
      </w:r>
      <w:r w:rsidR="006A721E">
        <w:rPr>
          <w:rFonts w:ascii="Arial" w:hAnsi="Arial" w:cs="Arial"/>
          <w:sz w:val="24"/>
          <w:szCs w:val="24"/>
        </w:rPr>
        <w:t>ucional que a empresa frua</w:t>
      </w:r>
      <w:r>
        <w:rPr>
          <w:rFonts w:ascii="Arial" w:hAnsi="Arial" w:cs="Arial"/>
          <w:sz w:val="24"/>
          <w:szCs w:val="24"/>
        </w:rPr>
        <w:t xml:space="preserve"> incentivos fiscais</w:t>
      </w:r>
      <w:r w:rsidR="000724DD">
        <w:rPr>
          <w:rFonts w:ascii="Arial" w:hAnsi="Arial" w:cs="Arial"/>
          <w:sz w:val="24"/>
          <w:szCs w:val="24"/>
        </w:rPr>
        <w:t xml:space="preserve"> do Estado</w:t>
      </w:r>
      <w:r w:rsidR="006A721E">
        <w:rPr>
          <w:rFonts w:ascii="Arial" w:hAnsi="Arial" w:cs="Arial"/>
          <w:sz w:val="24"/>
          <w:szCs w:val="24"/>
        </w:rPr>
        <w:t xml:space="preserve"> no período em que estiver manifestamente contrária à legislação ambiental;</w:t>
      </w:r>
    </w:p>
    <w:p w14:paraId="4A7ED487" w14:textId="78B97BBC" w:rsidR="00A169FF" w:rsidRDefault="00DE63A4" w:rsidP="00502615">
      <w:pPr>
        <w:pStyle w:val="PargrafodaLista"/>
        <w:numPr>
          <w:ilvl w:val="0"/>
          <w:numId w:val="34"/>
        </w:numPr>
        <w:spacing w:line="360" w:lineRule="auto"/>
        <w:jc w:val="both"/>
        <w:rPr>
          <w:rFonts w:ascii="Arial" w:hAnsi="Arial" w:cs="Arial"/>
          <w:sz w:val="24"/>
          <w:szCs w:val="24"/>
        </w:rPr>
      </w:pPr>
      <w:r w:rsidRPr="00DE63A4">
        <w:rPr>
          <w:rFonts w:ascii="Arial" w:hAnsi="Arial" w:cs="Arial"/>
          <w:sz w:val="24"/>
          <w:szCs w:val="24"/>
          <w:u w:val="single"/>
        </w:rPr>
        <w:t xml:space="preserve">recebe visita da fiscalização ambiental, a qual, em vez de autuá-la e aplicar-lhe uma penalidade, </w:t>
      </w:r>
      <w:r w:rsidR="009712CF">
        <w:rPr>
          <w:rFonts w:ascii="Arial" w:hAnsi="Arial" w:cs="Arial"/>
          <w:sz w:val="24"/>
          <w:szCs w:val="24"/>
          <w:u w:val="single"/>
        </w:rPr>
        <w:t xml:space="preserve">descreve a irregularidade e </w:t>
      </w:r>
      <w:r w:rsidRPr="00DE63A4">
        <w:rPr>
          <w:rFonts w:ascii="Arial" w:hAnsi="Arial" w:cs="Arial"/>
          <w:sz w:val="24"/>
          <w:szCs w:val="24"/>
          <w:u w:val="single"/>
        </w:rPr>
        <w:t xml:space="preserve">concede prazo para </w:t>
      </w:r>
      <w:r w:rsidR="009712CF">
        <w:rPr>
          <w:rFonts w:ascii="Arial" w:hAnsi="Arial" w:cs="Arial"/>
          <w:sz w:val="24"/>
          <w:szCs w:val="24"/>
          <w:u w:val="single"/>
        </w:rPr>
        <w:t xml:space="preserve">a devida </w:t>
      </w:r>
      <w:r w:rsidRPr="00DE63A4">
        <w:rPr>
          <w:rFonts w:ascii="Arial" w:hAnsi="Arial" w:cs="Arial"/>
          <w:sz w:val="24"/>
          <w:szCs w:val="24"/>
          <w:u w:val="single"/>
        </w:rPr>
        <w:t>regularização</w:t>
      </w:r>
      <w:r w:rsidR="00DA5EC3" w:rsidRPr="00DA5EC3">
        <w:rPr>
          <w:rFonts w:ascii="Arial" w:hAnsi="Arial" w:cs="Arial"/>
          <w:sz w:val="24"/>
          <w:szCs w:val="24"/>
        </w:rPr>
        <w:t>:</w:t>
      </w:r>
      <w:r w:rsidR="00DA5EC3">
        <w:rPr>
          <w:rFonts w:ascii="Arial" w:hAnsi="Arial" w:cs="Arial"/>
          <w:sz w:val="24"/>
          <w:szCs w:val="24"/>
        </w:rPr>
        <w:t xml:space="preserve"> nesse caso,</w:t>
      </w:r>
      <w:r>
        <w:rPr>
          <w:rFonts w:ascii="Arial" w:hAnsi="Arial" w:cs="Arial"/>
          <w:sz w:val="24"/>
          <w:szCs w:val="24"/>
        </w:rPr>
        <w:t xml:space="preserve"> deveria</w:t>
      </w:r>
      <w:r w:rsidR="00DA5EC3">
        <w:rPr>
          <w:rFonts w:ascii="Arial" w:hAnsi="Arial" w:cs="Arial"/>
          <w:sz w:val="24"/>
          <w:szCs w:val="24"/>
        </w:rPr>
        <w:t xml:space="preserve"> haver impedimento à </w:t>
      </w:r>
      <w:r>
        <w:rPr>
          <w:rFonts w:ascii="Arial" w:hAnsi="Arial" w:cs="Arial"/>
          <w:sz w:val="24"/>
          <w:szCs w:val="24"/>
        </w:rPr>
        <w:t xml:space="preserve">fruição dos incentivos fiscais até a devida adequação aos padrões </w:t>
      </w:r>
      <w:r w:rsidR="0014134E">
        <w:rPr>
          <w:rFonts w:ascii="Arial" w:hAnsi="Arial" w:cs="Arial"/>
          <w:sz w:val="24"/>
          <w:szCs w:val="24"/>
        </w:rPr>
        <w:t>de qualidade ambiental</w:t>
      </w:r>
      <w:r w:rsidR="00B65A67">
        <w:rPr>
          <w:rFonts w:ascii="Arial" w:hAnsi="Arial" w:cs="Arial"/>
          <w:sz w:val="24"/>
          <w:szCs w:val="24"/>
        </w:rPr>
        <w:t>;</w:t>
      </w:r>
    </w:p>
    <w:p w14:paraId="1727B6AE" w14:textId="15761A45" w:rsidR="00B65A67" w:rsidRDefault="00B65A67" w:rsidP="00502615">
      <w:pPr>
        <w:pStyle w:val="PargrafodaLista"/>
        <w:numPr>
          <w:ilvl w:val="0"/>
          <w:numId w:val="34"/>
        </w:numPr>
        <w:spacing w:line="360" w:lineRule="auto"/>
        <w:jc w:val="both"/>
        <w:rPr>
          <w:rFonts w:ascii="Arial" w:hAnsi="Arial" w:cs="Arial"/>
          <w:sz w:val="24"/>
          <w:szCs w:val="24"/>
        </w:rPr>
      </w:pPr>
      <w:r>
        <w:rPr>
          <w:rFonts w:ascii="Arial" w:hAnsi="Arial" w:cs="Arial"/>
          <w:sz w:val="24"/>
          <w:szCs w:val="24"/>
          <w:u w:val="single"/>
        </w:rPr>
        <w:t xml:space="preserve">sofre autuação e multa, </w:t>
      </w:r>
      <w:r w:rsidR="00DA5EC3">
        <w:rPr>
          <w:rFonts w:ascii="Arial" w:hAnsi="Arial" w:cs="Arial"/>
          <w:sz w:val="24"/>
          <w:szCs w:val="24"/>
          <w:u w:val="single"/>
        </w:rPr>
        <w:t xml:space="preserve">a qual </w:t>
      </w:r>
      <w:r>
        <w:rPr>
          <w:rFonts w:ascii="Arial" w:hAnsi="Arial" w:cs="Arial"/>
          <w:sz w:val="24"/>
          <w:szCs w:val="24"/>
          <w:u w:val="single"/>
        </w:rPr>
        <w:t xml:space="preserve">é mantida no julgamento final na esfera </w:t>
      </w:r>
      <w:r w:rsidRPr="00DA5EC3">
        <w:rPr>
          <w:rFonts w:ascii="Arial" w:hAnsi="Arial" w:cs="Arial"/>
          <w:sz w:val="24"/>
          <w:szCs w:val="24"/>
          <w:u w:val="single"/>
        </w:rPr>
        <w:t>administrativa,</w:t>
      </w:r>
      <w:r w:rsidR="00DA5EC3" w:rsidRPr="00DA5EC3">
        <w:rPr>
          <w:rFonts w:ascii="Arial" w:hAnsi="Arial" w:cs="Arial"/>
          <w:sz w:val="24"/>
          <w:szCs w:val="24"/>
          <w:u w:val="single"/>
        </w:rPr>
        <w:t xml:space="preserve"> </w:t>
      </w:r>
      <w:r w:rsidR="00D65C7B" w:rsidRPr="00DA5EC3">
        <w:rPr>
          <w:rFonts w:ascii="Arial" w:hAnsi="Arial" w:cs="Arial"/>
          <w:sz w:val="24"/>
          <w:szCs w:val="24"/>
          <w:u w:val="single"/>
        </w:rPr>
        <w:t xml:space="preserve">mas só vem a pagar referido débito </w:t>
      </w:r>
      <w:r w:rsidR="00DA5EC3" w:rsidRPr="00DA5EC3">
        <w:rPr>
          <w:rFonts w:ascii="Arial" w:hAnsi="Arial" w:cs="Arial"/>
          <w:sz w:val="24"/>
          <w:szCs w:val="24"/>
          <w:u w:val="single"/>
        </w:rPr>
        <w:t>após de 6 (seis) meses</w:t>
      </w:r>
      <w:r w:rsidR="00DA5EC3">
        <w:rPr>
          <w:rFonts w:ascii="Arial" w:hAnsi="Arial" w:cs="Arial"/>
          <w:sz w:val="24"/>
          <w:szCs w:val="24"/>
        </w:rPr>
        <w:t>:</w:t>
      </w:r>
      <w:r w:rsidR="00D65C7B">
        <w:rPr>
          <w:rFonts w:ascii="Arial" w:hAnsi="Arial" w:cs="Arial"/>
          <w:sz w:val="24"/>
          <w:szCs w:val="24"/>
        </w:rPr>
        <w:t xml:space="preserve"> nesse período também deveria estar impedida de </w:t>
      </w:r>
      <w:r w:rsidR="00B610D4">
        <w:rPr>
          <w:rFonts w:ascii="Arial" w:hAnsi="Arial" w:cs="Arial"/>
          <w:sz w:val="24"/>
          <w:szCs w:val="24"/>
        </w:rPr>
        <w:t xml:space="preserve">fruir incentivos fiscais, porque confessa que </w:t>
      </w:r>
      <w:r w:rsidR="00D73262">
        <w:rPr>
          <w:rFonts w:ascii="Arial" w:hAnsi="Arial" w:cs="Arial"/>
          <w:sz w:val="24"/>
          <w:szCs w:val="24"/>
        </w:rPr>
        <w:t>está em débito com a SEMAD;</w:t>
      </w:r>
    </w:p>
    <w:p w14:paraId="6EDA7559" w14:textId="56883B48" w:rsidR="00D73262" w:rsidRPr="00FA4624" w:rsidRDefault="00D73262" w:rsidP="00502615">
      <w:pPr>
        <w:pStyle w:val="PargrafodaLista"/>
        <w:numPr>
          <w:ilvl w:val="0"/>
          <w:numId w:val="34"/>
        </w:numPr>
        <w:spacing w:line="360" w:lineRule="auto"/>
        <w:jc w:val="both"/>
        <w:rPr>
          <w:rFonts w:ascii="Arial" w:hAnsi="Arial" w:cs="Arial"/>
          <w:sz w:val="24"/>
          <w:szCs w:val="24"/>
        </w:rPr>
      </w:pPr>
      <w:r>
        <w:rPr>
          <w:rFonts w:ascii="Arial" w:hAnsi="Arial" w:cs="Arial"/>
          <w:sz w:val="24"/>
          <w:szCs w:val="24"/>
          <w:u w:val="single"/>
        </w:rPr>
        <w:lastRenderedPageBreak/>
        <w:t>sofre autuação e multa</w:t>
      </w:r>
      <w:r w:rsidR="00FA4624">
        <w:rPr>
          <w:rFonts w:ascii="Arial" w:hAnsi="Arial" w:cs="Arial"/>
          <w:sz w:val="24"/>
          <w:szCs w:val="24"/>
          <w:u w:val="single"/>
        </w:rPr>
        <w:t xml:space="preserve"> em 2018 </w:t>
      </w:r>
      <w:r w:rsidR="00FA4624" w:rsidRPr="00DA5EC3">
        <w:rPr>
          <w:rFonts w:ascii="Arial" w:hAnsi="Arial" w:cs="Arial"/>
          <w:sz w:val="24"/>
          <w:szCs w:val="24"/>
          <w:u w:val="single"/>
        </w:rPr>
        <w:t xml:space="preserve">referente a uma poluição que perdurou </w:t>
      </w:r>
      <w:r w:rsidR="00FA4624">
        <w:rPr>
          <w:rFonts w:ascii="Arial" w:hAnsi="Arial" w:cs="Arial"/>
          <w:sz w:val="24"/>
          <w:szCs w:val="24"/>
          <w:u w:val="single"/>
        </w:rPr>
        <w:t>durante todo o ano de 2016</w:t>
      </w:r>
      <w:r>
        <w:rPr>
          <w:rFonts w:ascii="Arial" w:hAnsi="Arial" w:cs="Arial"/>
          <w:sz w:val="24"/>
          <w:szCs w:val="24"/>
          <w:u w:val="single"/>
        </w:rPr>
        <w:t xml:space="preserve">, </w:t>
      </w:r>
      <w:r w:rsidR="00FA4624">
        <w:rPr>
          <w:rFonts w:ascii="Arial" w:hAnsi="Arial" w:cs="Arial"/>
          <w:sz w:val="24"/>
          <w:szCs w:val="24"/>
          <w:u w:val="single"/>
        </w:rPr>
        <w:t>a penalidade é mantida na esfera administrativa e paga no prazo estabelecido</w:t>
      </w:r>
      <w:r w:rsidR="00FA4624" w:rsidRPr="00FA4624">
        <w:rPr>
          <w:rFonts w:ascii="Arial" w:hAnsi="Arial" w:cs="Arial"/>
          <w:sz w:val="24"/>
          <w:szCs w:val="24"/>
        </w:rPr>
        <w:t>:</w:t>
      </w:r>
      <w:r w:rsidR="00FA4624">
        <w:rPr>
          <w:rFonts w:ascii="Arial" w:hAnsi="Arial" w:cs="Arial"/>
          <w:sz w:val="24"/>
          <w:szCs w:val="24"/>
        </w:rPr>
        <w:t xml:space="preserve"> </w:t>
      </w:r>
      <w:r w:rsidR="0018339D">
        <w:rPr>
          <w:rFonts w:ascii="Arial" w:hAnsi="Arial" w:cs="Arial"/>
          <w:sz w:val="24"/>
          <w:szCs w:val="24"/>
        </w:rPr>
        <w:t>nesse caso eventual fruição ao longo do exercício de 2016 foi irregular, devendo ser estornada</w:t>
      </w:r>
      <w:r w:rsidR="00B07282">
        <w:rPr>
          <w:rFonts w:ascii="Arial" w:hAnsi="Arial" w:cs="Arial"/>
          <w:sz w:val="24"/>
          <w:szCs w:val="24"/>
        </w:rPr>
        <w:t xml:space="preserve"> pela beneficiária e</w:t>
      </w:r>
      <w:r w:rsidR="0018339D">
        <w:rPr>
          <w:rFonts w:ascii="Arial" w:hAnsi="Arial" w:cs="Arial"/>
          <w:sz w:val="24"/>
          <w:szCs w:val="24"/>
        </w:rPr>
        <w:t xml:space="preserve">, </w:t>
      </w:r>
      <w:r w:rsidR="00B07282">
        <w:rPr>
          <w:rFonts w:ascii="Arial" w:hAnsi="Arial" w:cs="Arial"/>
          <w:sz w:val="24"/>
          <w:szCs w:val="24"/>
        </w:rPr>
        <w:t>caso não seja feito o estorno</w:t>
      </w:r>
      <w:r w:rsidR="0018339D">
        <w:rPr>
          <w:rFonts w:ascii="Arial" w:hAnsi="Arial" w:cs="Arial"/>
          <w:sz w:val="24"/>
          <w:szCs w:val="24"/>
        </w:rPr>
        <w:t xml:space="preserve">, </w:t>
      </w:r>
      <w:r w:rsidR="00B07282">
        <w:rPr>
          <w:rFonts w:ascii="Arial" w:hAnsi="Arial" w:cs="Arial"/>
          <w:sz w:val="24"/>
          <w:szCs w:val="24"/>
        </w:rPr>
        <w:t>deve-se encaminhar o caso</w:t>
      </w:r>
      <w:r w:rsidR="0018339D">
        <w:rPr>
          <w:rFonts w:ascii="Arial" w:hAnsi="Arial" w:cs="Arial"/>
          <w:sz w:val="24"/>
          <w:szCs w:val="24"/>
        </w:rPr>
        <w:t xml:space="preserve"> para o órgão de advocacia</w:t>
      </w:r>
      <w:r w:rsidR="00B07282">
        <w:rPr>
          <w:rFonts w:ascii="Arial" w:hAnsi="Arial" w:cs="Arial"/>
          <w:sz w:val="24"/>
          <w:szCs w:val="24"/>
        </w:rPr>
        <w:t xml:space="preserve"> pública</w:t>
      </w:r>
      <w:r w:rsidR="0018339D">
        <w:rPr>
          <w:rFonts w:ascii="Arial" w:hAnsi="Arial" w:cs="Arial"/>
          <w:sz w:val="24"/>
          <w:szCs w:val="24"/>
        </w:rPr>
        <w:t xml:space="preserve"> tomar as medidas judiciais e extrajudiciais pertinentes</w:t>
      </w:r>
      <w:r w:rsidR="00B132B1">
        <w:rPr>
          <w:rFonts w:ascii="Arial" w:hAnsi="Arial" w:cs="Arial"/>
          <w:sz w:val="24"/>
          <w:szCs w:val="24"/>
        </w:rPr>
        <w:t>.</w:t>
      </w:r>
      <w:r w:rsidRPr="00FA4624">
        <w:rPr>
          <w:rFonts w:ascii="Arial" w:hAnsi="Arial" w:cs="Arial"/>
          <w:sz w:val="24"/>
          <w:szCs w:val="24"/>
        </w:rPr>
        <w:t xml:space="preserve"> </w:t>
      </w:r>
    </w:p>
    <w:p w14:paraId="56B6BD6D" w14:textId="77777777" w:rsidR="00111340" w:rsidRDefault="00111340" w:rsidP="00331086">
      <w:pPr>
        <w:spacing w:line="360" w:lineRule="auto"/>
        <w:ind w:firstLine="851"/>
        <w:jc w:val="both"/>
        <w:rPr>
          <w:rFonts w:ascii="Arial" w:hAnsi="Arial" w:cs="Arial"/>
          <w:sz w:val="24"/>
          <w:szCs w:val="24"/>
        </w:rPr>
      </w:pPr>
    </w:p>
    <w:p w14:paraId="5BCC9BA0" w14:textId="092E77CE" w:rsidR="00331086" w:rsidRDefault="00C54042" w:rsidP="00331086">
      <w:pPr>
        <w:spacing w:line="360" w:lineRule="auto"/>
        <w:ind w:firstLine="851"/>
        <w:jc w:val="both"/>
        <w:rPr>
          <w:rFonts w:ascii="Arial" w:hAnsi="Arial" w:cs="Arial"/>
          <w:sz w:val="24"/>
          <w:szCs w:val="24"/>
        </w:rPr>
      </w:pPr>
      <w:r>
        <w:rPr>
          <w:rFonts w:ascii="Arial" w:hAnsi="Arial" w:cs="Arial"/>
          <w:sz w:val="24"/>
          <w:szCs w:val="24"/>
        </w:rPr>
        <w:t xml:space="preserve">Assim, </w:t>
      </w:r>
      <w:r w:rsidRPr="00C54042">
        <w:rPr>
          <w:rFonts w:ascii="Arial" w:hAnsi="Arial" w:cs="Arial"/>
          <w:b/>
          <w:sz w:val="24"/>
          <w:szCs w:val="24"/>
        </w:rPr>
        <w:t>referido dispositivo constitucional aperfeiçoa o arcabouço jurídico estadual</w:t>
      </w:r>
      <w:r>
        <w:rPr>
          <w:rFonts w:ascii="Arial" w:hAnsi="Arial" w:cs="Arial"/>
          <w:sz w:val="24"/>
          <w:szCs w:val="24"/>
        </w:rPr>
        <w:t xml:space="preserve"> para além da mera possibilidade de decretação de perda ou restrição do benefício como penalidade principal decorrente da Lei federal nº 9.605/1998 e da 18.102/2013, tendo em vista que </w:t>
      </w:r>
      <w:r w:rsidRPr="00C54042">
        <w:rPr>
          <w:rFonts w:ascii="Arial" w:hAnsi="Arial" w:cs="Arial"/>
          <w:sz w:val="24"/>
          <w:szCs w:val="24"/>
        </w:rPr>
        <w:t>finalidade do § 4º do art. 132 do CE/GO consiste justamente em proibir o Estado de subsidiar atividades nocivas ao meio ambiente</w:t>
      </w:r>
      <w:r w:rsidR="0012633D">
        <w:rPr>
          <w:rFonts w:ascii="Arial" w:hAnsi="Arial" w:cs="Arial"/>
          <w:sz w:val="24"/>
          <w:szCs w:val="24"/>
        </w:rPr>
        <w:t xml:space="preserve"> enquanto se mostrarem como tais</w:t>
      </w:r>
      <w:r w:rsidR="00F80A8F">
        <w:rPr>
          <w:rFonts w:ascii="Arial" w:hAnsi="Arial" w:cs="Arial"/>
          <w:sz w:val="24"/>
          <w:szCs w:val="24"/>
        </w:rPr>
        <w:t xml:space="preserve">. </w:t>
      </w:r>
      <w:r w:rsidR="001154C7">
        <w:rPr>
          <w:rFonts w:ascii="Arial" w:hAnsi="Arial" w:cs="Arial"/>
          <w:sz w:val="24"/>
          <w:szCs w:val="24"/>
        </w:rPr>
        <w:t xml:space="preserve">Desse modo, </w:t>
      </w:r>
      <w:r w:rsidR="001154C7" w:rsidRPr="001154C7">
        <w:rPr>
          <w:rFonts w:ascii="Arial" w:hAnsi="Arial" w:cs="Arial"/>
          <w:sz w:val="24"/>
          <w:szCs w:val="24"/>
          <w:u w:val="single"/>
        </w:rPr>
        <w:t>n</w:t>
      </w:r>
      <w:r w:rsidR="001154C7">
        <w:rPr>
          <w:rFonts w:ascii="Arial" w:hAnsi="Arial" w:cs="Arial"/>
          <w:sz w:val="24"/>
          <w:szCs w:val="24"/>
          <w:u w:val="single"/>
        </w:rPr>
        <w:t xml:space="preserve">o período em que ficar evidenciada a vigência de uma </w:t>
      </w:r>
      <w:r w:rsidR="00FA3C9A" w:rsidRPr="00751DE5">
        <w:rPr>
          <w:rFonts w:ascii="Arial" w:hAnsi="Arial" w:cs="Arial"/>
          <w:sz w:val="24"/>
          <w:szCs w:val="24"/>
          <w:u w:val="single"/>
        </w:rPr>
        <w:t xml:space="preserve">penalidade </w:t>
      </w:r>
      <w:r w:rsidR="00F80A8F" w:rsidRPr="00751DE5">
        <w:rPr>
          <w:rFonts w:ascii="Arial" w:hAnsi="Arial" w:cs="Arial"/>
          <w:sz w:val="24"/>
          <w:szCs w:val="24"/>
          <w:u w:val="single"/>
        </w:rPr>
        <w:t xml:space="preserve">ou determinação </w:t>
      </w:r>
      <w:r w:rsidR="00FA3C9A" w:rsidRPr="00751DE5">
        <w:rPr>
          <w:rFonts w:ascii="Arial" w:hAnsi="Arial" w:cs="Arial"/>
          <w:sz w:val="24"/>
          <w:szCs w:val="24"/>
          <w:u w:val="single"/>
        </w:rPr>
        <w:t>administrativa</w:t>
      </w:r>
      <w:r w:rsidR="001154C7">
        <w:rPr>
          <w:rFonts w:ascii="Arial" w:hAnsi="Arial" w:cs="Arial"/>
          <w:sz w:val="24"/>
          <w:szCs w:val="24"/>
          <w:u w:val="single"/>
        </w:rPr>
        <w:t xml:space="preserve"> ou a desconformidade com os </w:t>
      </w:r>
      <w:r w:rsidR="001154C7" w:rsidRPr="00751DE5">
        <w:rPr>
          <w:rFonts w:ascii="Arial" w:hAnsi="Arial" w:cs="Arial"/>
          <w:sz w:val="24"/>
          <w:szCs w:val="24"/>
          <w:u w:val="single"/>
        </w:rPr>
        <w:t>padrões de qualidade ambiental</w:t>
      </w:r>
      <w:r w:rsidR="00FA3C9A" w:rsidRPr="00751DE5">
        <w:rPr>
          <w:rFonts w:ascii="Arial" w:hAnsi="Arial" w:cs="Arial"/>
          <w:sz w:val="24"/>
          <w:szCs w:val="24"/>
          <w:u w:val="single"/>
        </w:rPr>
        <w:t xml:space="preserve">, não pode </w:t>
      </w:r>
      <w:r w:rsidR="001154C7">
        <w:rPr>
          <w:rFonts w:ascii="Arial" w:hAnsi="Arial" w:cs="Arial"/>
          <w:sz w:val="24"/>
          <w:szCs w:val="24"/>
          <w:u w:val="single"/>
        </w:rPr>
        <w:t xml:space="preserve">haver </w:t>
      </w:r>
      <w:r w:rsidR="00FA3C9A" w:rsidRPr="00751DE5">
        <w:rPr>
          <w:rFonts w:ascii="Arial" w:hAnsi="Arial" w:cs="Arial"/>
          <w:sz w:val="24"/>
          <w:szCs w:val="24"/>
          <w:u w:val="single"/>
        </w:rPr>
        <w:t xml:space="preserve">concessão nem </w:t>
      </w:r>
      <w:r w:rsidR="001154C7">
        <w:rPr>
          <w:rFonts w:ascii="Arial" w:hAnsi="Arial" w:cs="Arial"/>
          <w:sz w:val="24"/>
          <w:szCs w:val="24"/>
          <w:u w:val="single"/>
        </w:rPr>
        <w:t xml:space="preserve">subsistir </w:t>
      </w:r>
      <w:r w:rsidR="00FA3C9A" w:rsidRPr="00751DE5">
        <w:rPr>
          <w:rFonts w:ascii="Arial" w:hAnsi="Arial" w:cs="Arial"/>
          <w:sz w:val="24"/>
          <w:szCs w:val="24"/>
          <w:u w:val="single"/>
        </w:rPr>
        <w:t>fruição de incentivos fiscais</w:t>
      </w:r>
      <w:r>
        <w:rPr>
          <w:rFonts w:ascii="Arial" w:hAnsi="Arial" w:cs="Arial"/>
          <w:sz w:val="24"/>
          <w:szCs w:val="24"/>
        </w:rPr>
        <w:t>.</w:t>
      </w:r>
    </w:p>
    <w:p w14:paraId="6ABCCC8A" w14:textId="05DCC81B" w:rsidR="00331086" w:rsidRDefault="00331086" w:rsidP="00A92230">
      <w:pPr>
        <w:spacing w:line="360" w:lineRule="auto"/>
        <w:ind w:firstLine="851"/>
        <w:jc w:val="both"/>
        <w:rPr>
          <w:rFonts w:ascii="Arial" w:hAnsi="Arial" w:cs="Arial"/>
          <w:sz w:val="24"/>
          <w:szCs w:val="24"/>
        </w:rPr>
      </w:pPr>
      <w:r w:rsidRPr="00331086">
        <w:rPr>
          <w:rFonts w:ascii="Arial" w:hAnsi="Arial" w:cs="Arial"/>
          <w:b/>
          <w:sz w:val="24"/>
          <w:szCs w:val="24"/>
        </w:rPr>
        <w:t xml:space="preserve">Evidente que mencionado dispositivo constitucional pode adquirir </w:t>
      </w:r>
      <w:r w:rsidR="00C969D6">
        <w:rPr>
          <w:rFonts w:ascii="Arial" w:hAnsi="Arial" w:cs="Arial"/>
          <w:b/>
          <w:sz w:val="24"/>
          <w:szCs w:val="24"/>
        </w:rPr>
        <w:t xml:space="preserve">inúmeros </w:t>
      </w:r>
      <w:r w:rsidRPr="00331086">
        <w:rPr>
          <w:rFonts w:ascii="Arial" w:hAnsi="Arial" w:cs="Arial"/>
          <w:b/>
          <w:sz w:val="24"/>
          <w:szCs w:val="24"/>
        </w:rPr>
        <w:t>outros contornos</w:t>
      </w:r>
      <w:r w:rsidR="00C969D6">
        <w:rPr>
          <w:rFonts w:ascii="Arial" w:hAnsi="Arial" w:cs="Arial"/>
          <w:b/>
          <w:sz w:val="24"/>
          <w:szCs w:val="24"/>
        </w:rPr>
        <w:t>, sobretudo</w:t>
      </w:r>
      <w:r w:rsidRPr="00331086">
        <w:rPr>
          <w:rFonts w:ascii="Arial" w:hAnsi="Arial" w:cs="Arial"/>
          <w:b/>
          <w:sz w:val="24"/>
          <w:szCs w:val="24"/>
        </w:rPr>
        <w:t xml:space="preserve"> no âmbito judicia</w:t>
      </w:r>
      <w:r w:rsidR="00C969D6">
        <w:rPr>
          <w:rFonts w:ascii="Arial" w:hAnsi="Arial" w:cs="Arial"/>
          <w:b/>
          <w:sz w:val="24"/>
          <w:szCs w:val="24"/>
        </w:rPr>
        <w:t>l</w:t>
      </w:r>
      <w:r>
        <w:rPr>
          <w:rFonts w:ascii="Arial" w:hAnsi="Arial" w:cs="Arial"/>
          <w:sz w:val="24"/>
          <w:szCs w:val="24"/>
        </w:rPr>
        <w:t xml:space="preserve">, como decisões sobre crime ambiental, reconhecimento de dano ambiental e condenação à respectiva reparação e eventuais danos morais coletivos etc. Porém, </w:t>
      </w:r>
      <w:r w:rsidRPr="00331086">
        <w:rPr>
          <w:rFonts w:ascii="Arial" w:hAnsi="Arial" w:cs="Arial"/>
          <w:sz w:val="24"/>
          <w:szCs w:val="24"/>
          <w:u w:val="single"/>
        </w:rPr>
        <w:t xml:space="preserve">tendo em vista as limitações desta CPI, não foi possível aprofundar essa linha de </w:t>
      </w:r>
      <w:r w:rsidRPr="001A6966">
        <w:rPr>
          <w:rFonts w:ascii="Arial" w:hAnsi="Arial" w:cs="Arial"/>
          <w:sz w:val="24"/>
          <w:szCs w:val="24"/>
          <w:u w:val="single"/>
        </w:rPr>
        <w:t>investigação</w:t>
      </w:r>
      <w:r w:rsidR="00EE0BC5" w:rsidRPr="001A6966">
        <w:rPr>
          <w:rFonts w:ascii="Arial" w:hAnsi="Arial" w:cs="Arial"/>
          <w:sz w:val="24"/>
          <w:szCs w:val="24"/>
          <w:u w:val="single"/>
        </w:rPr>
        <w:t xml:space="preserve">, mas </w:t>
      </w:r>
      <w:r w:rsidR="007B4432" w:rsidRPr="001A6966">
        <w:rPr>
          <w:rFonts w:ascii="Arial" w:hAnsi="Arial" w:cs="Arial"/>
          <w:sz w:val="24"/>
          <w:szCs w:val="24"/>
          <w:u w:val="single"/>
        </w:rPr>
        <w:t xml:space="preserve">fica a recomendação </w:t>
      </w:r>
      <w:r w:rsidR="00EE0BC5" w:rsidRPr="001A6966">
        <w:rPr>
          <w:rFonts w:ascii="Arial" w:hAnsi="Arial" w:cs="Arial"/>
          <w:sz w:val="24"/>
          <w:szCs w:val="24"/>
          <w:u w:val="single"/>
        </w:rPr>
        <w:t xml:space="preserve">ao Ministério Público </w:t>
      </w:r>
      <w:r w:rsidR="007B4432" w:rsidRPr="001A6966">
        <w:rPr>
          <w:rFonts w:ascii="Arial" w:hAnsi="Arial" w:cs="Arial"/>
          <w:sz w:val="24"/>
          <w:szCs w:val="24"/>
          <w:u w:val="single"/>
        </w:rPr>
        <w:t>para o devido</w:t>
      </w:r>
      <w:r w:rsidR="00EE0BC5" w:rsidRPr="001A6966">
        <w:rPr>
          <w:rFonts w:ascii="Arial" w:hAnsi="Arial" w:cs="Arial"/>
          <w:sz w:val="24"/>
          <w:szCs w:val="24"/>
          <w:u w:val="single"/>
        </w:rPr>
        <w:t xml:space="preserve"> aprofund</w:t>
      </w:r>
      <w:r w:rsidR="007B4432" w:rsidRPr="001A6966">
        <w:rPr>
          <w:rFonts w:ascii="Arial" w:hAnsi="Arial" w:cs="Arial"/>
          <w:sz w:val="24"/>
          <w:szCs w:val="24"/>
          <w:u w:val="single"/>
        </w:rPr>
        <w:t>amento dessa questão</w:t>
      </w:r>
      <w:r w:rsidR="00EE0BC5">
        <w:rPr>
          <w:rFonts w:ascii="Arial" w:hAnsi="Arial" w:cs="Arial"/>
          <w:sz w:val="24"/>
          <w:szCs w:val="24"/>
        </w:rPr>
        <w:t>.</w:t>
      </w:r>
    </w:p>
    <w:p w14:paraId="6B4BAF1C" w14:textId="77777777" w:rsidR="0090350A" w:rsidRDefault="0090350A" w:rsidP="00F74F01">
      <w:pPr>
        <w:spacing w:line="360" w:lineRule="auto"/>
        <w:ind w:firstLine="851"/>
        <w:jc w:val="both"/>
        <w:rPr>
          <w:rFonts w:ascii="Arial" w:hAnsi="Arial" w:cs="Arial"/>
          <w:b/>
          <w:sz w:val="24"/>
          <w:szCs w:val="24"/>
        </w:rPr>
      </w:pPr>
    </w:p>
    <w:p w14:paraId="45154E8D" w14:textId="0831EE7F" w:rsidR="00D70C7A" w:rsidRDefault="00F74F01" w:rsidP="00F74F01">
      <w:pPr>
        <w:spacing w:line="360" w:lineRule="auto"/>
        <w:ind w:firstLine="851"/>
        <w:jc w:val="both"/>
        <w:rPr>
          <w:rFonts w:ascii="Arial" w:hAnsi="Arial" w:cs="Arial"/>
          <w:sz w:val="24"/>
          <w:szCs w:val="24"/>
        </w:rPr>
      </w:pPr>
      <w:r>
        <w:rPr>
          <w:rFonts w:ascii="Arial" w:hAnsi="Arial" w:cs="Arial"/>
          <w:b/>
          <w:sz w:val="24"/>
          <w:szCs w:val="24"/>
        </w:rPr>
        <w:t>8.3.</w:t>
      </w:r>
      <w:r w:rsidR="00015067">
        <w:rPr>
          <w:rFonts w:ascii="Arial" w:hAnsi="Arial" w:cs="Arial"/>
          <w:b/>
          <w:sz w:val="24"/>
          <w:szCs w:val="24"/>
        </w:rPr>
        <w:t>5</w:t>
      </w:r>
      <w:r w:rsidRPr="00BE40D6">
        <w:rPr>
          <w:rFonts w:ascii="Arial" w:hAnsi="Arial" w:cs="Arial"/>
          <w:b/>
          <w:sz w:val="24"/>
          <w:szCs w:val="24"/>
        </w:rPr>
        <w:t>.</w:t>
      </w:r>
      <w:r>
        <w:rPr>
          <w:rFonts w:ascii="Arial" w:hAnsi="Arial" w:cs="Arial"/>
          <w:sz w:val="24"/>
          <w:szCs w:val="24"/>
        </w:rPr>
        <w:t xml:space="preserve"> </w:t>
      </w:r>
      <w:r w:rsidR="00F65C11">
        <w:rPr>
          <w:rFonts w:ascii="Arial" w:hAnsi="Arial" w:cs="Arial"/>
          <w:sz w:val="24"/>
          <w:szCs w:val="24"/>
        </w:rPr>
        <w:t xml:space="preserve">A fim de </w:t>
      </w:r>
      <w:r w:rsidR="00015067">
        <w:rPr>
          <w:rFonts w:ascii="Arial" w:hAnsi="Arial" w:cs="Arial"/>
          <w:sz w:val="24"/>
          <w:szCs w:val="24"/>
        </w:rPr>
        <w:t>perquirir</w:t>
      </w:r>
      <w:r w:rsidR="00F65C11">
        <w:rPr>
          <w:rFonts w:ascii="Arial" w:hAnsi="Arial" w:cs="Arial"/>
          <w:sz w:val="24"/>
          <w:szCs w:val="24"/>
        </w:rPr>
        <w:t xml:space="preserve"> melhor a </w:t>
      </w:r>
      <w:r w:rsidR="00F65C11" w:rsidRPr="00272495">
        <w:rPr>
          <w:rFonts w:ascii="Arial" w:hAnsi="Arial" w:cs="Arial"/>
          <w:b/>
          <w:sz w:val="24"/>
          <w:szCs w:val="24"/>
          <w:u w:val="single"/>
        </w:rPr>
        <w:t xml:space="preserve">situação das empresas </w:t>
      </w:r>
      <w:r w:rsidR="007E02AF" w:rsidRPr="00272495">
        <w:rPr>
          <w:rFonts w:ascii="Arial" w:hAnsi="Arial" w:cs="Arial"/>
          <w:b/>
          <w:sz w:val="24"/>
          <w:szCs w:val="24"/>
          <w:u w:val="single"/>
        </w:rPr>
        <w:t>beneficiárias d</w:t>
      </w:r>
      <w:r w:rsidR="00D70C7A" w:rsidRPr="00272495">
        <w:rPr>
          <w:rFonts w:ascii="Arial" w:hAnsi="Arial" w:cs="Arial"/>
          <w:b/>
          <w:sz w:val="24"/>
          <w:szCs w:val="24"/>
          <w:u w:val="single"/>
        </w:rPr>
        <w:t>os</w:t>
      </w:r>
      <w:r w:rsidR="007E02AF" w:rsidRPr="00272495">
        <w:rPr>
          <w:rFonts w:ascii="Arial" w:hAnsi="Arial" w:cs="Arial"/>
          <w:b/>
          <w:sz w:val="24"/>
          <w:szCs w:val="24"/>
          <w:u w:val="single"/>
        </w:rPr>
        <w:t xml:space="preserve"> </w:t>
      </w:r>
      <w:r w:rsidR="00D70C7A" w:rsidRPr="00272495">
        <w:rPr>
          <w:rFonts w:ascii="Arial" w:hAnsi="Arial" w:cs="Arial"/>
          <w:b/>
          <w:sz w:val="24"/>
          <w:szCs w:val="24"/>
          <w:u w:val="single"/>
        </w:rPr>
        <w:t>Programas Fomentar/Produzir</w:t>
      </w:r>
      <w:r w:rsidR="00F0382A" w:rsidRPr="00272495">
        <w:rPr>
          <w:rFonts w:ascii="Arial" w:hAnsi="Arial" w:cs="Arial"/>
          <w:b/>
          <w:sz w:val="24"/>
          <w:szCs w:val="24"/>
          <w:u w:val="single"/>
        </w:rPr>
        <w:t xml:space="preserve"> e seus subprogramas</w:t>
      </w:r>
      <w:r w:rsidR="00D70C7A" w:rsidRPr="00272495">
        <w:rPr>
          <w:rFonts w:ascii="Arial" w:hAnsi="Arial" w:cs="Arial"/>
          <w:b/>
          <w:sz w:val="24"/>
          <w:szCs w:val="24"/>
          <w:u w:val="single"/>
        </w:rPr>
        <w:t xml:space="preserve"> </w:t>
      </w:r>
      <w:r w:rsidR="00272495" w:rsidRPr="00272495">
        <w:rPr>
          <w:rFonts w:ascii="Arial" w:hAnsi="Arial" w:cs="Arial"/>
          <w:b/>
          <w:sz w:val="24"/>
          <w:szCs w:val="24"/>
          <w:u w:val="single"/>
        </w:rPr>
        <w:t xml:space="preserve">autuadas por infração ambiental desde 2013 </w:t>
      </w:r>
      <w:r w:rsidR="007E02AF" w:rsidRPr="00272495">
        <w:rPr>
          <w:rFonts w:ascii="Arial" w:hAnsi="Arial" w:cs="Arial"/>
          <w:b/>
          <w:sz w:val="24"/>
          <w:szCs w:val="24"/>
          <w:u w:val="single"/>
        </w:rPr>
        <w:t xml:space="preserve">na esfera </w:t>
      </w:r>
      <w:r w:rsidR="007E02AF" w:rsidRPr="00343AB3">
        <w:rPr>
          <w:rFonts w:ascii="Arial" w:hAnsi="Arial" w:cs="Arial"/>
          <w:b/>
          <w:sz w:val="24"/>
          <w:szCs w:val="24"/>
          <w:u w:val="single"/>
        </w:rPr>
        <w:t>administrativa</w:t>
      </w:r>
      <w:r w:rsidR="007E02AF" w:rsidRPr="00343AB3">
        <w:rPr>
          <w:rFonts w:ascii="Arial" w:hAnsi="Arial" w:cs="Arial"/>
          <w:b/>
          <w:sz w:val="24"/>
          <w:szCs w:val="24"/>
        </w:rPr>
        <w:t>, e</w:t>
      </w:r>
      <w:r w:rsidRPr="00343AB3">
        <w:rPr>
          <w:rFonts w:ascii="Arial" w:hAnsi="Arial" w:cs="Arial"/>
          <w:b/>
          <w:sz w:val="24"/>
          <w:szCs w:val="24"/>
        </w:rPr>
        <w:t>sta CPI também requisitou da</w:t>
      </w:r>
      <w:r w:rsidR="007E02AF" w:rsidRPr="00343AB3">
        <w:rPr>
          <w:rFonts w:ascii="Arial" w:hAnsi="Arial" w:cs="Arial"/>
          <w:b/>
          <w:sz w:val="24"/>
          <w:szCs w:val="24"/>
        </w:rPr>
        <w:t xml:space="preserve"> SEMAD as seguintes informações</w:t>
      </w:r>
      <w:r w:rsidR="00272495" w:rsidRPr="00343AB3">
        <w:rPr>
          <w:rFonts w:ascii="Arial" w:hAnsi="Arial" w:cs="Arial"/>
          <w:b/>
          <w:sz w:val="24"/>
          <w:szCs w:val="24"/>
        </w:rPr>
        <w:t xml:space="preserve"> (Ofício nº 24/2019-CPI</w:t>
      </w:r>
      <w:r w:rsidR="001F73E6">
        <w:rPr>
          <w:rFonts w:ascii="Arial" w:hAnsi="Arial" w:cs="Arial"/>
          <w:b/>
          <w:sz w:val="24"/>
          <w:szCs w:val="24"/>
        </w:rPr>
        <w:t>, item 1</w:t>
      </w:r>
      <w:r w:rsidR="00272495" w:rsidRPr="00343AB3">
        <w:rPr>
          <w:rFonts w:ascii="Arial" w:hAnsi="Arial" w:cs="Arial"/>
          <w:b/>
          <w:sz w:val="24"/>
          <w:szCs w:val="24"/>
        </w:rPr>
        <w:t>)</w:t>
      </w:r>
      <w:r w:rsidR="00D70C7A" w:rsidRPr="00D70C7A">
        <w:rPr>
          <w:rFonts w:ascii="Arial" w:hAnsi="Arial" w:cs="Arial"/>
          <w:sz w:val="24"/>
          <w:szCs w:val="24"/>
        </w:rPr>
        <w:t xml:space="preserve">: a) </w:t>
      </w:r>
      <w:r w:rsidR="00D70C7A" w:rsidRPr="00343AB3">
        <w:rPr>
          <w:rFonts w:ascii="Arial" w:hAnsi="Arial" w:cs="Arial"/>
          <w:sz w:val="24"/>
          <w:szCs w:val="24"/>
          <w:u w:val="single"/>
        </w:rPr>
        <w:t>CNPJ</w:t>
      </w:r>
      <w:r w:rsidR="00D70C7A" w:rsidRPr="00D70C7A">
        <w:rPr>
          <w:rFonts w:ascii="Arial" w:hAnsi="Arial" w:cs="Arial"/>
          <w:sz w:val="24"/>
          <w:szCs w:val="24"/>
        </w:rPr>
        <w:t xml:space="preserve">; b) </w:t>
      </w:r>
      <w:r w:rsidR="00D70C7A" w:rsidRPr="00343AB3">
        <w:rPr>
          <w:rFonts w:ascii="Arial" w:hAnsi="Arial" w:cs="Arial"/>
          <w:sz w:val="24"/>
          <w:szCs w:val="24"/>
          <w:u w:val="single"/>
        </w:rPr>
        <w:t>razão social</w:t>
      </w:r>
      <w:r w:rsidR="00D70C7A" w:rsidRPr="00D70C7A">
        <w:rPr>
          <w:rFonts w:ascii="Arial" w:hAnsi="Arial" w:cs="Arial"/>
          <w:sz w:val="24"/>
          <w:szCs w:val="24"/>
        </w:rPr>
        <w:t xml:space="preserve">; c) </w:t>
      </w:r>
      <w:r w:rsidR="00D70C7A" w:rsidRPr="00343AB3">
        <w:rPr>
          <w:rFonts w:ascii="Arial" w:hAnsi="Arial" w:cs="Arial"/>
          <w:sz w:val="24"/>
          <w:szCs w:val="24"/>
          <w:u w:val="single"/>
        </w:rPr>
        <w:t>número do processo</w:t>
      </w:r>
      <w:r w:rsidR="00D70C7A" w:rsidRPr="00D70C7A">
        <w:rPr>
          <w:rFonts w:ascii="Arial" w:hAnsi="Arial" w:cs="Arial"/>
          <w:sz w:val="24"/>
          <w:szCs w:val="24"/>
        </w:rPr>
        <w:t xml:space="preserve">; d) </w:t>
      </w:r>
      <w:r w:rsidR="00D70C7A" w:rsidRPr="00343AB3">
        <w:rPr>
          <w:rFonts w:ascii="Arial" w:hAnsi="Arial" w:cs="Arial"/>
          <w:sz w:val="24"/>
          <w:szCs w:val="24"/>
          <w:u w:val="single"/>
        </w:rPr>
        <w:t>propriedade/empreendimento</w:t>
      </w:r>
      <w:r w:rsidR="00D70C7A" w:rsidRPr="00D70C7A">
        <w:rPr>
          <w:rFonts w:ascii="Arial" w:hAnsi="Arial" w:cs="Arial"/>
          <w:sz w:val="24"/>
          <w:szCs w:val="24"/>
        </w:rPr>
        <w:t xml:space="preserve">; e) </w:t>
      </w:r>
      <w:r w:rsidR="00D70C7A" w:rsidRPr="00343AB3">
        <w:rPr>
          <w:rFonts w:ascii="Arial" w:hAnsi="Arial" w:cs="Arial"/>
          <w:sz w:val="24"/>
          <w:szCs w:val="24"/>
          <w:u w:val="single"/>
        </w:rPr>
        <w:t>estado do processo</w:t>
      </w:r>
      <w:r w:rsidR="00D70C7A" w:rsidRPr="00D70C7A">
        <w:rPr>
          <w:rFonts w:ascii="Arial" w:hAnsi="Arial" w:cs="Arial"/>
          <w:sz w:val="24"/>
          <w:szCs w:val="24"/>
        </w:rPr>
        <w:t xml:space="preserve">; f) </w:t>
      </w:r>
      <w:r w:rsidR="00D70C7A" w:rsidRPr="00343AB3">
        <w:rPr>
          <w:rFonts w:ascii="Arial" w:hAnsi="Arial" w:cs="Arial"/>
          <w:sz w:val="24"/>
          <w:szCs w:val="24"/>
          <w:u w:val="single"/>
        </w:rPr>
        <w:t>data da decisão definitiva</w:t>
      </w:r>
      <w:r w:rsidR="00D70C7A" w:rsidRPr="00D70C7A">
        <w:rPr>
          <w:rFonts w:ascii="Arial" w:hAnsi="Arial" w:cs="Arial"/>
          <w:sz w:val="24"/>
          <w:szCs w:val="24"/>
        </w:rPr>
        <w:t xml:space="preserve"> na esfera administrativa, caso haja; g) </w:t>
      </w:r>
      <w:r w:rsidR="00D70C7A" w:rsidRPr="00343AB3">
        <w:rPr>
          <w:rFonts w:ascii="Arial" w:hAnsi="Arial" w:cs="Arial"/>
          <w:sz w:val="24"/>
          <w:szCs w:val="24"/>
          <w:u w:val="single"/>
        </w:rPr>
        <w:t>penalidades aplicadas e confirmadas em decisão final administrativa</w:t>
      </w:r>
      <w:r w:rsidR="00D70C7A" w:rsidRPr="00D70C7A">
        <w:rPr>
          <w:rFonts w:ascii="Arial" w:hAnsi="Arial" w:cs="Arial"/>
          <w:sz w:val="24"/>
          <w:szCs w:val="24"/>
        </w:rPr>
        <w:t xml:space="preserve"> (inclusive valores de multa), e, destas, quais ainda se encontram pendentes de cumprimento (pagamento de multa, etc); e h) </w:t>
      </w:r>
      <w:r w:rsidR="00D70C7A" w:rsidRPr="00343AB3">
        <w:rPr>
          <w:rFonts w:ascii="Arial" w:hAnsi="Arial" w:cs="Arial"/>
          <w:sz w:val="24"/>
          <w:szCs w:val="24"/>
          <w:u w:val="single"/>
        </w:rPr>
        <w:t xml:space="preserve">eventual reconhecimento de prescrição intercorrente na esfera administrativa e as </w:t>
      </w:r>
      <w:r w:rsidR="00D70C7A" w:rsidRPr="00343AB3">
        <w:rPr>
          <w:rFonts w:ascii="Arial" w:hAnsi="Arial" w:cs="Arial"/>
          <w:sz w:val="24"/>
          <w:szCs w:val="24"/>
          <w:u w:val="single"/>
        </w:rPr>
        <w:lastRenderedPageBreak/>
        <w:t>providências tomadas pelo órgão</w:t>
      </w:r>
      <w:r w:rsidR="00D70C7A" w:rsidRPr="00D70C7A">
        <w:rPr>
          <w:rFonts w:ascii="Arial" w:hAnsi="Arial" w:cs="Arial"/>
          <w:sz w:val="24"/>
          <w:szCs w:val="24"/>
        </w:rPr>
        <w:t xml:space="preserve"> (abertura de processo administrativo disciplinar, aplicação de sanção ao servidor público faltoso, se ao menos houve a reparação do dano pela empresa etc)</w:t>
      </w:r>
      <w:r w:rsidR="00272495">
        <w:rPr>
          <w:rFonts w:ascii="Arial" w:hAnsi="Arial" w:cs="Arial"/>
          <w:sz w:val="24"/>
          <w:szCs w:val="24"/>
        </w:rPr>
        <w:t>.</w:t>
      </w:r>
    </w:p>
    <w:p w14:paraId="2AD771F0" w14:textId="4CC883C5" w:rsidR="00272495" w:rsidRDefault="002417A4" w:rsidP="00F74F01">
      <w:pPr>
        <w:spacing w:line="360" w:lineRule="auto"/>
        <w:ind w:firstLine="851"/>
        <w:jc w:val="both"/>
        <w:rPr>
          <w:rFonts w:ascii="Arial" w:hAnsi="Arial" w:cs="Arial"/>
          <w:sz w:val="24"/>
          <w:szCs w:val="24"/>
        </w:rPr>
      </w:pPr>
      <w:r w:rsidRPr="002417A4">
        <w:rPr>
          <w:rFonts w:ascii="Arial" w:hAnsi="Arial" w:cs="Arial"/>
          <w:b/>
          <w:sz w:val="24"/>
          <w:szCs w:val="24"/>
        </w:rPr>
        <w:t>Em relação a esses pedidos, a SEMAD entregou a esta CPI inicialmente um grande arquivo em PDF praticamente ininteligível</w:t>
      </w:r>
      <w:r w:rsidR="00B06D4D">
        <w:rPr>
          <w:rFonts w:ascii="Arial" w:hAnsi="Arial" w:cs="Arial"/>
          <w:sz w:val="24"/>
          <w:szCs w:val="24"/>
        </w:rPr>
        <w:t xml:space="preserve">, com vários recortes de 2 (duas) grandes tabelas em formato “excel” (Ofício nº </w:t>
      </w:r>
      <w:r w:rsidR="00B06D4D" w:rsidRPr="00B06D4D">
        <w:rPr>
          <w:rFonts w:ascii="Arial" w:hAnsi="Arial" w:cs="Arial"/>
          <w:sz w:val="24"/>
          <w:szCs w:val="24"/>
        </w:rPr>
        <w:t>4</w:t>
      </w:r>
      <w:r w:rsidR="00B06D4D">
        <w:rPr>
          <w:rFonts w:ascii="Arial" w:hAnsi="Arial" w:cs="Arial"/>
          <w:sz w:val="24"/>
          <w:szCs w:val="24"/>
        </w:rPr>
        <w:t>.</w:t>
      </w:r>
      <w:r w:rsidR="00B06D4D" w:rsidRPr="00B06D4D">
        <w:rPr>
          <w:rFonts w:ascii="Arial" w:hAnsi="Arial" w:cs="Arial"/>
          <w:sz w:val="24"/>
          <w:szCs w:val="24"/>
        </w:rPr>
        <w:t>498/2019-SEMAD</w:t>
      </w:r>
      <w:r w:rsidR="006D56DD">
        <w:rPr>
          <w:rFonts w:ascii="Arial" w:hAnsi="Arial" w:cs="Arial"/>
          <w:sz w:val="24"/>
          <w:szCs w:val="24"/>
        </w:rPr>
        <w:t xml:space="preserve">, p. </w:t>
      </w:r>
      <w:r w:rsidR="00AD4B9A">
        <w:rPr>
          <w:rFonts w:ascii="Arial" w:hAnsi="Arial" w:cs="Arial"/>
          <w:sz w:val="24"/>
          <w:szCs w:val="24"/>
        </w:rPr>
        <w:t>34/132</w:t>
      </w:r>
      <w:r w:rsidR="00B06D4D">
        <w:rPr>
          <w:rFonts w:ascii="Arial" w:hAnsi="Arial" w:cs="Arial"/>
          <w:sz w:val="24"/>
          <w:szCs w:val="24"/>
        </w:rPr>
        <w:t xml:space="preserve">). Após novo contato com a SEMAD, foram disponibilizados os arquivos digitais, a partir dos quais foi possível que esta CPI avançasse na respectiva análise. Ainda, </w:t>
      </w:r>
      <w:r w:rsidR="00AD4B9A">
        <w:rPr>
          <w:rFonts w:ascii="Arial" w:hAnsi="Arial" w:cs="Arial"/>
          <w:sz w:val="24"/>
          <w:szCs w:val="24"/>
        </w:rPr>
        <w:t>e</w:t>
      </w:r>
      <w:r w:rsidR="00272495">
        <w:rPr>
          <w:rFonts w:ascii="Arial" w:hAnsi="Arial" w:cs="Arial"/>
          <w:sz w:val="24"/>
          <w:szCs w:val="24"/>
        </w:rPr>
        <w:t xml:space="preserve">mbora tenha também </w:t>
      </w:r>
      <w:r w:rsidR="003A4C15">
        <w:rPr>
          <w:rFonts w:ascii="Arial" w:hAnsi="Arial" w:cs="Arial"/>
          <w:sz w:val="24"/>
          <w:szCs w:val="24"/>
        </w:rPr>
        <w:t>requisitado</w:t>
      </w:r>
      <w:r w:rsidR="00AD4B9A">
        <w:rPr>
          <w:rFonts w:ascii="Arial" w:hAnsi="Arial" w:cs="Arial"/>
          <w:sz w:val="24"/>
          <w:szCs w:val="24"/>
        </w:rPr>
        <w:t xml:space="preserve"> – no mesmo ofício </w:t>
      </w:r>
      <w:r w:rsidR="00AD4B9A" w:rsidRPr="001F73E6">
        <w:rPr>
          <w:rFonts w:ascii="Arial" w:hAnsi="Arial" w:cs="Arial"/>
          <w:sz w:val="24"/>
          <w:szCs w:val="24"/>
        </w:rPr>
        <w:t>(Ofício nº 24/2019</w:t>
      </w:r>
      <w:r w:rsidR="00AD4B9A">
        <w:rPr>
          <w:rFonts w:ascii="Arial" w:hAnsi="Arial" w:cs="Arial"/>
          <w:sz w:val="24"/>
          <w:szCs w:val="24"/>
        </w:rPr>
        <w:t>-CPI, item 4</w:t>
      </w:r>
      <w:r w:rsidR="00AD4B9A" w:rsidRPr="001F73E6">
        <w:rPr>
          <w:rFonts w:ascii="Arial" w:hAnsi="Arial" w:cs="Arial"/>
          <w:sz w:val="24"/>
          <w:szCs w:val="24"/>
        </w:rPr>
        <w:t>)</w:t>
      </w:r>
      <w:r w:rsidR="003A4C15">
        <w:rPr>
          <w:rFonts w:ascii="Arial" w:hAnsi="Arial" w:cs="Arial"/>
          <w:sz w:val="24"/>
          <w:szCs w:val="24"/>
        </w:rPr>
        <w:t xml:space="preserve"> </w:t>
      </w:r>
      <w:r w:rsidR="00AD4B9A">
        <w:rPr>
          <w:rFonts w:ascii="Arial" w:hAnsi="Arial" w:cs="Arial"/>
          <w:sz w:val="24"/>
          <w:szCs w:val="24"/>
        </w:rPr>
        <w:t xml:space="preserve">– </w:t>
      </w:r>
      <w:r>
        <w:rPr>
          <w:rFonts w:ascii="Arial" w:hAnsi="Arial" w:cs="Arial"/>
          <w:sz w:val="24"/>
          <w:szCs w:val="24"/>
        </w:rPr>
        <w:t>a</w:t>
      </w:r>
      <w:r w:rsidR="00272495" w:rsidRPr="00272495">
        <w:rPr>
          <w:rFonts w:ascii="Arial" w:hAnsi="Arial" w:cs="Arial"/>
          <w:sz w:val="24"/>
          <w:szCs w:val="24"/>
        </w:rPr>
        <w:t xml:space="preserve"> rela</w:t>
      </w:r>
      <w:r w:rsidR="00272495" w:rsidRPr="00272495">
        <w:rPr>
          <w:rFonts w:ascii="Arial" w:hAnsi="Arial" w:cs="Arial" w:hint="cs"/>
          <w:sz w:val="24"/>
          <w:szCs w:val="24"/>
        </w:rPr>
        <w:t>ç</w:t>
      </w:r>
      <w:r>
        <w:rPr>
          <w:rFonts w:ascii="Arial" w:hAnsi="Arial" w:cs="Arial"/>
          <w:sz w:val="24"/>
          <w:szCs w:val="24"/>
        </w:rPr>
        <w:t>ão</w:t>
      </w:r>
      <w:r w:rsidR="00272495" w:rsidRPr="00272495">
        <w:rPr>
          <w:rFonts w:ascii="Arial" w:hAnsi="Arial" w:cs="Arial"/>
          <w:sz w:val="24"/>
          <w:szCs w:val="24"/>
        </w:rPr>
        <w:t xml:space="preserve"> de empresas autuadas por infra</w:t>
      </w:r>
      <w:r w:rsidR="00272495" w:rsidRPr="00272495">
        <w:rPr>
          <w:rFonts w:ascii="Arial" w:hAnsi="Arial" w:cs="Arial" w:hint="cs"/>
          <w:sz w:val="24"/>
          <w:szCs w:val="24"/>
        </w:rPr>
        <w:t>çã</w:t>
      </w:r>
      <w:r>
        <w:rPr>
          <w:rFonts w:ascii="Arial" w:hAnsi="Arial" w:cs="Arial"/>
          <w:sz w:val="24"/>
          <w:szCs w:val="24"/>
        </w:rPr>
        <w:t>o ambiental</w:t>
      </w:r>
      <w:r w:rsidR="00272495" w:rsidRPr="00272495">
        <w:rPr>
          <w:rFonts w:ascii="Arial" w:hAnsi="Arial" w:cs="Arial"/>
          <w:sz w:val="24"/>
          <w:szCs w:val="24"/>
        </w:rPr>
        <w:t xml:space="preserve"> desde 2001, com base na Lei n</w:t>
      </w:r>
      <w:r w:rsidR="00272495" w:rsidRPr="00272495">
        <w:rPr>
          <w:rFonts w:ascii="Arial" w:hAnsi="Arial" w:cs="Arial" w:hint="cs"/>
          <w:sz w:val="24"/>
          <w:szCs w:val="24"/>
        </w:rPr>
        <w:t>º</w:t>
      </w:r>
      <w:r w:rsidR="00272495" w:rsidRPr="00272495">
        <w:rPr>
          <w:rFonts w:ascii="Arial" w:hAnsi="Arial" w:cs="Arial"/>
          <w:sz w:val="24"/>
          <w:szCs w:val="24"/>
        </w:rPr>
        <w:t xml:space="preserve"> 13.823/2001</w:t>
      </w:r>
      <w:r w:rsidR="001F73E6">
        <w:rPr>
          <w:rFonts w:ascii="Arial" w:hAnsi="Arial" w:cs="Arial"/>
          <w:sz w:val="24"/>
          <w:szCs w:val="24"/>
        </w:rPr>
        <w:t>, a SEMAD não forneceu essa informação.</w:t>
      </w:r>
    </w:p>
    <w:p w14:paraId="43740385" w14:textId="5DB6E666" w:rsidR="00A1456C" w:rsidRDefault="00A1456C" w:rsidP="00F74F01">
      <w:pPr>
        <w:spacing w:line="360" w:lineRule="auto"/>
        <w:ind w:firstLine="851"/>
        <w:jc w:val="both"/>
        <w:rPr>
          <w:rFonts w:ascii="Arial" w:hAnsi="Arial" w:cs="Arial"/>
          <w:sz w:val="24"/>
          <w:szCs w:val="24"/>
        </w:rPr>
      </w:pPr>
      <w:r>
        <w:rPr>
          <w:rFonts w:ascii="Arial" w:hAnsi="Arial" w:cs="Arial"/>
          <w:sz w:val="24"/>
          <w:szCs w:val="24"/>
        </w:rPr>
        <w:t>A partir das informações efetivamente prestadas pela SEMAD</w:t>
      </w:r>
      <w:r w:rsidR="00D96752">
        <w:rPr>
          <w:rFonts w:ascii="Arial" w:hAnsi="Arial" w:cs="Arial"/>
          <w:sz w:val="24"/>
          <w:szCs w:val="24"/>
        </w:rPr>
        <w:t xml:space="preserve">, pode-se categorizar ao </w:t>
      </w:r>
      <w:r w:rsidR="00D96752" w:rsidRPr="00770543">
        <w:rPr>
          <w:rFonts w:ascii="Arial" w:hAnsi="Arial" w:cs="Arial"/>
          <w:b/>
          <w:sz w:val="24"/>
          <w:szCs w:val="24"/>
        </w:rPr>
        <w:t xml:space="preserve">menos </w:t>
      </w:r>
      <w:r w:rsidR="00770543" w:rsidRPr="00770543">
        <w:rPr>
          <w:rFonts w:ascii="Arial" w:hAnsi="Arial" w:cs="Arial"/>
          <w:b/>
          <w:sz w:val="24"/>
          <w:szCs w:val="24"/>
        </w:rPr>
        <w:t>4</w:t>
      </w:r>
      <w:r w:rsidR="00D96752" w:rsidRPr="00770543">
        <w:rPr>
          <w:rFonts w:ascii="Arial" w:hAnsi="Arial" w:cs="Arial"/>
          <w:b/>
          <w:sz w:val="24"/>
          <w:szCs w:val="24"/>
        </w:rPr>
        <w:t xml:space="preserve"> (</w:t>
      </w:r>
      <w:r w:rsidR="00770543" w:rsidRPr="00770543">
        <w:rPr>
          <w:rFonts w:ascii="Arial" w:hAnsi="Arial" w:cs="Arial"/>
          <w:b/>
          <w:sz w:val="24"/>
          <w:szCs w:val="24"/>
        </w:rPr>
        <w:t>quatro</w:t>
      </w:r>
      <w:r w:rsidR="00D96752" w:rsidRPr="00770543">
        <w:rPr>
          <w:rFonts w:ascii="Arial" w:hAnsi="Arial" w:cs="Arial"/>
          <w:b/>
          <w:sz w:val="24"/>
          <w:szCs w:val="24"/>
        </w:rPr>
        <w:t xml:space="preserve">) </w:t>
      </w:r>
      <w:r w:rsidR="00D33B8C">
        <w:rPr>
          <w:rFonts w:ascii="Arial" w:hAnsi="Arial" w:cs="Arial"/>
          <w:b/>
          <w:sz w:val="24"/>
          <w:szCs w:val="24"/>
        </w:rPr>
        <w:t>situações</w:t>
      </w:r>
      <w:r w:rsidR="00770543" w:rsidRPr="00795EEC">
        <w:rPr>
          <w:rFonts w:ascii="Arial" w:hAnsi="Arial" w:cs="Arial"/>
          <w:sz w:val="24"/>
          <w:szCs w:val="24"/>
        </w:rPr>
        <w:t xml:space="preserve">: </w:t>
      </w:r>
      <w:r w:rsidR="00770543" w:rsidRPr="00F23483">
        <w:rPr>
          <w:rFonts w:ascii="Arial" w:hAnsi="Arial" w:cs="Arial"/>
          <w:sz w:val="24"/>
          <w:szCs w:val="24"/>
          <w:u w:val="single"/>
        </w:rPr>
        <w:t>a) excessivos casos de prescrição intercorrente</w:t>
      </w:r>
      <w:r w:rsidR="00770543">
        <w:rPr>
          <w:rFonts w:ascii="Arial" w:hAnsi="Arial" w:cs="Arial"/>
          <w:sz w:val="24"/>
          <w:szCs w:val="24"/>
        </w:rPr>
        <w:t xml:space="preserve">; </w:t>
      </w:r>
      <w:r w:rsidR="00770543" w:rsidRPr="00D33B8C">
        <w:rPr>
          <w:rFonts w:ascii="Arial" w:hAnsi="Arial" w:cs="Arial"/>
          <w:sz w:val="24"/>
          <w:szCs w:val="24"/>
          <w:u w:val="single"/>
        </w:rPr>
        <w:t xml:space="preserve">b) </w:t>
      </w:r>
      <w:r w:rsidR="00D33B8C" w:rsidRPr="00D33B8C">
        <w:rPr>
          <w:rFonts w:ascii="Arial" w:hAnsi="Arial" w:cs="Arial"/>
          <w:sz w:val="24"/>
          <w:szCs w:val="24"/>
          <w:u w:val="single"/>
        </w:rPr>
        <w:t>empresas apenadas com multa</w:t>
      </w:r>
      <w:r w:rsidR="00D33B8C">
        <w:rPr>
          <w:rFonts w:ascii="Arial" w:hAnsi="Arial" w:cs="Arial"/>
          <w:sz w:val="24"/>
          <w:szCs w:val="24"/>
        </w:rPr>
        <w:t xml:space="preserve">; </w:t>
      </w:r>
      <w:r w:rsidR="00D33B8C" w:rsidRPr="00D33B8C">
        <w:rPr>
          <w:rFonts w:ascii="Arial" w:hAnsi="Arial" w:cs="Arial"/>
          <w:sz w:val="24"/>
          <w:szCs w:val="24"/>
          <w:u w:val="single"/>
        </w:rPr>
        <w:t>c) empresas embargadas</w:t>
      </w:r>
      <w:r w:rsidR="00D33B8C">
        <w:rPr>
          <w:rFonts w:ascii="Arial" w:hAnsi="Arial" w:cs="Arial"/>
          <w:sz w:val="24"/>
          <w:szCs w:val="24"/>
        </w:rPr>
        <w:t xml:space="preserve">; </w:t>
      </w:r>
      <w:r w:rsidR="00D33B8C" w:rsidRPr="00D33B8C">
        <w:rPr>
          <w:rFonts w:ascii="Arial" w:hAnsi="Arial" w:cs="Arial"/>
          <w:sz w:val="24"/>
          <w:szCs w:val="24"/>
          <w:u w:val="single"/>
        </w:rPr>
        <w:t>d) processos aguardando julgamento ou recurso</w:t>
      </w:r>
      <w:r w:rsidR="00D33B8C">
        <w:rPr>
          <w:rFonts w:ascii="Arial" w:hAnsi="Arial" w:cs="Arial"/>
          <w:sz w:val="24"/>
          <w:szCs w:val="24"/>
        </w:rPr>
        <w:t>.</w:t>
      </w:r>
    </w:p>
    <w:p w14:paraId="4CB1BFF4" w14:textId="6011C40B" w:rsidR="00D33B8C" w:rsidRDefault="00D33B8C" w:rsidP="00F74F01">
      <w:pPr>
        <w:spacing w:line="360" w:lineRule="auto"/>
        <w:ind w:firstLine="851"/>
        <w:jc w:val="both"/>
        <w:rPr>
          <w:rFonts w:ascii="Arial" w:hAnsi="Arial" w:cs="Arial"/>
          <w:sz w:val="24"/>
          <w:szCs w:val="24"/>
        </w:rPr>
      </w:pPr>
    </w:p>
    <w:p w14:paraId="249ACA64" w14:textId="1275804F" w:rsidR="00D33B8C" w:rsidRDefault="00D33B8C" w:rsidP="00F74F01">
      <w:pPr>
        <w:spacing w:line="360" w:lineRule="auto"/>
        <w:ind w:firstLine="851"/>
        <w:jc w:val="both"/>
        <w:rPr>
          <w:rFonts w:ascii="Arial" w:hAnsi="Arial" w:cs="Arial"/>
          <w:sz w:val="24"/>
          <w:szCs w:val="24"/>
        </w:rPr>
      </w:pPr>
      <w:r>
        <w:rPr>
          <w:rFonts w:ascii="Arial" w:hAnsi="Arial" w:cs="Arial"/>
          <w:b/>
          <w:sz w:val="24"/>
          <w:szCs w:val="24"/>
        </w:rPr>
        <w:t>8.3.6</w:t>
      </w:r>
      <w:r w:rsidRPr="00BE40D6">
        <w:rPr>
          <w:rFonts w:ascii="Arial" w:hAnsi="Arial" w:cs="Arial"/>
          <w:b/>
          <w:sz w:val="24"/>
          <w:szCs w:val="24"/>
        </w:rPr>
        <w:t>.</w:t>
      </w:r>
      <w:r>
        <w:rPr>
          <w:rFonts w:ascii="Arial" w:hAnsi="Arial" w:cs="Arial"/>
          <w:sz w:val="24"/>
          <w:szCs w:val="24"/>
        </w:rPr>
        <w:t xml:space="preserve"> </w:t>
      </w:r>
      <w:r w:rsidR="00246DEC">
        <w:rPr>
          <w:rFonts w:ascii="Arial" w:hAnsi="Arial" w:cs="Arial"/>
          <w:sz w:val="24"/>
          <w:szCs w:val="24"/>
        </w:rPr>
        <w:t xml:space="preserve">Acerca da </w:t>
      </w:r>
      <w:r w:rsidR="00246DEC" w:rsidRPr="00D10960">
        <w:rPr>
          <w:rFonts w:ascii="Arial" w:hAnsi="Arial" w:cs="Arial"/>
          <w:b/>
          <w:sz w:val="24"/>
          <w:szCs w:val="24"/>
          <w:u w:val="single"/>
        </w:rPr>
        <w:t>prescrição</w:t>
      </w:r>
      <w:r w:rsidR="00AE40BA" w:rsidRPr="00D10960">
        <w:rPr>
          <w:rFonts w:ascii="Arial" w:hAnsi="Arial" w:cs="Arial"/>
          <w:b/>
          <w:sz w:val="24"/>
          <w:szCs w:val="24"/>
          <w:u w:val="single"/>
        </w:rPr>
        <w:t xml:space="preserve"> e respectivos</w:t>
      </w:r>
      <w:r w:rsidR="002D0C68" w:rsidRPr="00D10960">
        <w:rPr>
          <w:rFonts w:ascii="Arial" w:hAnsi="Arial" w:cs="Arial"/>
          <w:b/>
          <w:sz w:val="24"/>
          <w:szCs w:val="24"/>
          <w:u w:val="single"/>
        </w:rPr>
        <w:t xml:space="preserve"> prazos em matéria ambiental</w:t>
      </w:r>
      <w:r w:rsidR="00246DEC">
        <w:rPr>
          <w:rFonts w:ascii="Arial" w:hAnsi="Arial" w:cs="Arial"/>
          <w:sz w:val="24"/>
          <w:szCs w:val="24"/>
        </w:rPr>
        <w:t xml:space="preserve">, assim dispõe o </w:t>
      </w:r>
      <w:r w:rsidR="00246DEC" w:rsidRPr="00D10960">
        <w:rPr>
          <w:rFonts w:ascii="Arial" w:hAnsi="Arial" w:cs="Arial"/>
          <w:b/>
          <w:sz w:val="24"/>
          <w:szCs w:val="24"/>
        </w:rPr>
        <w:t xml:space="preserve">art. 26 da Lei nº </w:t>
      </w:r>
      <w:r w:rsidR="00AE40BA" w:rsidRPr="00D10960">
        <w:rPr>
          <w:rFonts w:ascii="Arial" w:hAnsi="Arial" w:cs="Arial"/>
          <w:b/>
          <w:sz w:val="24"/>
          <w:szCs w:val="24"/>
        </w:rPr>
        <w:t>18.102/2013</w:t>
      </w:r>
      <w:r w:rsidR="00AE40BA">
        <w:rPr>
          <w:rFonts w:ascii="Arial" w:hAnsi="Arial" w:cs="Arial"/>
          <w:sz w:val="24"/>
          <w:szCs w:val="24"/>
        </w:rPr>
        <w:t>:</w:t>
      </w:r>
    </w:p>
    <w:p w14:paraId="0BC4462A" w14:textId="10FF6B68" w:rsidR="00AE40BA" w:rsidRDefault="00AE40BA" w:rsidP="00F74F01">
      <w:pPr>
        <w:spacing w:line="360" w:lineRule="auto"/>
        <w:ind w:firstLine="851"/>
        <w:jc w:val="both"/>
        <w:rPr>
          <w:rFonts w:ascii="Arial" w:hAnsi="Arial" w:cs="Arial"/>
          <w:sz w:val="24"/>
          <w:szCs w:val="24"/>
        </w:rPr>
      </w:pPr>
    </w:p>
    <w:p w14:paraId="17EFDBE8" w14:textId="77777777" w:rsidR="00AE40BA" w:rsidRPr="00AE40BA" w:rsidRDefault="00AE40BA" w:rsidP="00111340">
      <w:pPr>
        <w:ind w:left="2268"/>
        <w:jc w:val="both"/>
        <w:rPr>
          <w:rFonts w:ascii="Times New Roman" w:hAnsi="Times New Roman"/>
          <w:color w:val="000000"/>
          <w:sz w:val="22"/>
          <w:szCs w:val="22"/>
        </w:rPr>
      </w:pPr>
      <w:r w:rsidRPr="00AE40BA">
        <w:rPr>
          <w:rFonts w:ascii="Arial" w:hAnsi="Arial" w:cs="Arial"/>
          <w:color w:val="000000"/>
          <w:sz w:val="22"/>
          <w:szCs w:val="22"/>
        </w:rPr>
        <w:t xml:space="preserve">Art. 26. </w:t>
      </w:r>
      <w:r w:rsidRPr="00AE40BA">
        <w:rPr>
          <w:rFonts w:ascii="Arial" w:hAnsi="Arial" w:cs="Arial"/>
          <w:b/>
          <w:color w:val="000000"/>
          <w:sz w:val="22"/>
          <w:szCs w:val="22"/>
          <w:u w:val="single"/>
        </w:rPr>
        <w:t>Prescreve em 5 (cinco) anos</w:t>
      </w:r>
      <w:r w:rsidRPr="00AE40BA">
        <w:rPr>
          <w:rFonts w:ascii="Arial" w:hAnsi="Arial" w:cs="Arial"/>
          <w:color w:val="000000"/>
          <w:sz w:val="22"/>
          <w:szCs w:val="22"/>
        </w:rPr>
        <w:t xml:space="preserve"> a ação da Administração objetivando apurar a prática de infrações contra o meio ambiente, contados da data da prática do ato, ou, no caso de infração permanente ou continuada, do dia em que esta tiver cessado.</w:t>
      </w:r>
    </w:p>
    <w:p w14:paraId="67D40D80" w14:textId="77777777" w:rsidR="00AE40BA" w:rsidRPr="00AE40BA" w:rsidRDefault="00AE40BA" w:rsidP="00111340">
      <w:pPr>
        <w:ind w:left="2268"/>
        <w:jc w:val="both"/>
        <w:rPr>
          <w:rFonts w:ascii="Times New Roman" w:hAnsi="Times New Roman"/>
          <w:color w:val="000000"/>
          <w:sz w:val="22"/>
          <w:szCs w:val="22"/>
        </w:rPr>
      </w:pPr>
      <w:r w:rsidRPr="00AE40BA">
        <w:rPr>
          <w:rFonts w:ascii="Arial" w:hAnsi="Arial" w:cs="Arial"/>
          <w:color w:val="000000"/>
          <w:sz w:val="22"/>
          <w:szCs w:val="22"/>
        </w:rPr>
        <w:t>§ 1º Considera-se iniciada a ação de apuração de infração ambiental pela Administração com a lavratura do auto de infração.</w:t>
      </w:r>
    </w:p>
    <w:p w14:paraId="4D16C682" w14:textId="77777777" w:rsidR="00AE40BA" w:rsidRPr="00AE40BA" w:rsidRDefault="00AE40BA" w:rsidP="00111340">
      <w:pPr>
        <w:ind w:left="2268"/>
        <w:jc w:val="both"/>
        <w:rPr>
          <w:rFonts w:ascii="Times New Roman" w:hAnsi="Times New Roman"/>
          <w:color w:val="000000"/>
          <w:sz w:val="22"/>
          <w:szCs w:val="22"/>
        </w:rPr>
      </w:pPr>
      <w:r w:rsidRPr="00AE40BA">
        <w:rPr>
          <w:rFonts w:ascii="Arial" w:hAnsi="Arial" w:cs="Arial"/>
          <w:b/>
          <w:color w:val="000000"/>
          <w:sz w:val="22"/>
          <w:szCs w:val="22"/>
        </w:rPr>
        <w:t>§ 2º Incide a prescrição no procedimento de apuração de auto de infração paralisado por mais de 3 (três) anos</w:t>
      </w:r>
      <w:r w:rsidRPr="00AE40BA">
        <w:rPr>
          <w:rFonts w:ascii="Arial" w:hAnsi="Arial" w:cs="Arial"/>
          <w:color w:val="000000"/>
          <w:sz w:val="22"/>
          <w:szCs w:val="22"/>
        </w:rPr>
        <w:t>, pendente de julgamento ou despacho, cujo processo será arquivado de ofício ou mediante requerimento da parte interessada, sem prejuízo da apuração da responsabilidade funcional decorrente da paralisação.</w:t>
      </w:r>
    </w:p>
    <w:p w14:paraId="7DCA4F5A" w14:textId="77777777" w:rsidR="00AE40BA" w:rsidRPr="00AE40BA" w:rsidRDefault="00AE40BA" w:rsidP="00111340">
      <w:pPr>
        <w:ind w:left="2268"/>
        <w:jc w:val="both"/>
        <w:rPr>
          <w:rFonts w:ascii="Times New Roman" w:hAnsi="Times New Roman"/>
          <w:color w:val="000000"/>
          <w:sz w:val="22"/>
          <w:szCs w:val="22"/>
        </w:rPr>
      </w:pPr>
      <w:r w:rsidRPr="00AE40BA">
        <w:rPr>
          <w:rFonts w:ascii="Arial" w:hAnsi="Arial" w:cs="Arial"/>
          <w:color w:val="000000"/>
          <w:sz w:val="22"/>
          <w:szCs w:val="22"/>
        </w:rPr>
        <w:t xml:space="preserve">§ 3º Quando a infração constituir também </w:t>
      </w:r>
      <w:r w:rsidRPr="00AE40BA">
        <w:rPr>
          <w:rFonts w:ascii="Arial" w:hAnsi="Arial" w:cs="Arial"/>
          <w:b/>
          <w:color w:val="000000"/>
          <w:sz w:val="22"/>
          <w:szCs w:val="22"/>
        </w:rPr>
        <w:t>crime</w:t>
      </w:r>
      <w:r w:rsidRPr="00AE40BA">
        <w:rPr>
          <w:rFonts w:ascii="Arial" w:hAnsi="Arial" w:cs="Arial"/>
          <w:color w:val="000000"/>
          <w:sz w:val="22"/>
          <w:szCs w:val="22"/>
        </w:rPr>
        <w:t xml:space="preserve">, a prescrição de que trata o caput deste artigo reger-se-á pelo </w:t>
      </w:r>
      <w:r w:rsidRPr="00AE40BA">
        <w:rPr>
          <w:rFonts w:ascii="Arial" w:hAnsi="Arial" w:cs="Arial"/>
          <w:color w:val="000000"/>
          <w:sz w:val="22"/>
          <w:szCs w:val="22"/>
          <w:u w:val="single"/>
        </w:rPr>
        <w:t>prazo previsto na lei penal</w:t>
      </w:r>
      <w:r w:rsidRPr="00AE40BA">
        <w:rPr>
          <w:rFonts w:ascii="Arial" w:hAnsi="Arial" w:cs="Arial"/>
          <w:color w:val="000000"/>
          <w:sz w:val="22"/>
          <w:szCs w:val="22"/>
        </w:rPr>
        <w:t>.</w:t>
      </w:r>
    </w:p>
    <w:p w14:paraId="55531FA3" w14:textId="77777777" w:rsidR="00AE40BA" w:rsidRPr="00AE40BA" w:rsidRDefault="00AE40BA" w:rsidP="00111340">
      <w:pPr>
        <w:ind w:left="2268"/>
        <w:jc w:val="both"/>
        <w:rPr>
          <w:rFonts w:ascii="Times New Roman" w:hAnsi="Times New Roman"/>
          <w:color w:val="000000"/>
          <w:sz w:val="22"/>
          <w:szCs w:val="22"/>
        </w:rPr>
      </w:pPr>
      <w:r w:rsidRPr="00AE40BA">
        <w:rPr>
          <w:rFonts w:ascii="Arial" w:hAnsi="Arial" w:cs="Arial"/>
          <w:color w:val="000000"/>
          <w:sz w:val="22"/>
          <w:szCs w:val="22"/>
        </w:rPr>
        <w:t xml:space="preserve">§ 4º A </w:t>
      </w:r>
      <w:r w:rsidRPr="00AE40BA">
        <w:rPr>
          <w:rFonts w:ascii="Arial" w:hAnsi="Arial" w:cs="Arial"/>
          <w:b/>
          <w:color w:val="000000"/>
          <w:sz w:val="22"/>
          <w:szCs w:val="22"/>
        </w:rPr>
        <w:t>prescrição</w:t>
      </w:r>
      <w:r w:rsidRPr="00AE40BA">
        <w:rPr>
          <w:rFonts w:ascii="Arial" w:hAnsi="Arial" w:cs="Arial"/>
          <w:color w:val="000000"/>
          <w:sz w:val="22"/>
          <w:szCs w:val="22"/>
        </w:rPr>
        <w:t xml:space="preserve"> da pretensão punitiva da Administração </w:t>
      </w:r>
      <w:r w:rsidRPr="00AE40BA">
        <w:rPr>
          <w:rFonts w:ascii="Arial" w:hAnsi="Arial" w:cs="Arial"/>
          <w:color w:val="000000"/>
          <w:sz w:val="22"/>
          <w:szCs w:val="22"/>
          <w:u w:val="single"/>
        </w:rPr>
        <w:t>não elide a obrigação de reparar o dano ambiental</w:t>
      </w:r>
      <w:r w:rsidRPr="00AE40BA">
        <w:rPr>
          <w:rFonts w:ascii="Arial" w:hAnsi="Arial" w:cs="Arial"/>
          <w:color w:val="000000"/>
          <w:sz w:val="22"/>
          <w:szCs w:val="22"/>
        </w:rPr>
        <w:t>.</w:t>
      </w:r>
    </w:p>
    <w:p w14:paraId="31C82DCE" w14:textId="77777777" w:rsidR="00AE40BA" w:rsidRDefault="00AE40BA" w:rsidP="00F74F01">
      <w:pPr>
        <w:spacing w:line="360" w:lineRule="auto"/>
        <w:ind w:firstLine="851"/>
        <w:jc w:val="both"/>
        <w:rPr>
          <w:rFonts w:ascii="Arial" w:hAnsi="Arial" w:cs="Arial"/>
          <w:sz w:val="24"/>
          <w:szCs w:val="24"/>
        </w:rPr>
      </w:pPr>
    </w:p>
    <w:p w14:paraId="4EA21C08" w14:textId="5E85D595" w:rsidR="00D33B8C" w:rsidRDefault="008E2789" w:rsidP="00F74F01">
      <w:pPr>
        <w:spacing w:line="360" w:lineRule="auto"/>
        <w:ind w:firstLine="851"/>
        <w:jc w:val="both"/>
        <w:rPr>
          <w:rFonts w:ascii="Arial" w:hAnsi="Arial" w:cs="Arial"/>
          <w:sz w:val="24"/>
          <w:szCs w:val="24"/>
        </w:rPr>
      </w:pPr>
      <w:r>
        <w:rPr>
          <w:rFonts w:ascii="Arial" w:hAnsi="Arial" w:cs="Arial"/>
          <w:sz w:val="24"/>
          <w:szCs w:val="24"/>
        </w:rPr>
        <w:t xml:space="preserve">As </w:t>
      </w:r>
      <w:r w:rsidRPr="00D10960">
        <w:rPr>
          <w:rFonts w:ascii="Arial" w:hAnsi="Arial" w:cs="Arial"/>
          <w:b/>
          <w:sz w:val="24"/>
          <w:szCs w:val="24"/>
        </w:rPr>
        <w:t>empresas beneficiárias</w:t>
      </w:r>
      <w:r>
        <w:rPr>
          <w:rFonts w:ascii="Arial" w:hAnsi="Arial" w:cs="Arial"/>
          <w:sz w:val="24"/>
          <w:szCs w:val="24"/>
        </w:rPr>
        <w:t xml:space="preserve"> dos Programas Fomentar/Produzir em relação às quais houve o </w:t>
      </w:r>
      <w:r w:rsidRPr="00D10960">
        <w:rPr>
          <w:rFonts w:ascii="Arial" w:hAnsi="Arial" w:cs="Arial"/>
          <w:b/>
          <w:sz w:val="24"/>
          <w:szCs w:val="24"/>
        </w:rPr>
        <w:t>reconhecimento da prescrição</w:t>
      </w:r>
      <w:r>
        <w:rPr>
          <w:rFonts w:ascii="Arial" w:hAnsi="Arial" w:cs="Arial"/>
          <w:sz w:val="24"/>
          <w:szCs w:val="24"/>
        </w:rPr>
        <w:t xml:space="preserve"> podem ser indicadas na seguinte tabela:</w:t>
      </w:r>
    </w:p>
    <w:p w14:paraId="0F3C1851" w14:textId="77777777" w:rsidR="008E2789" w:rsidRDefault="008E2789" w:rsidP="00F74F01">
      <w:pPr>
        <w:spacing w:line="360" w:lineRule="auto"/>
        <w:ind w:firstLine="851"/>
        <w:jc w:val="both"/>
        <w:rPr>
          <w:rFonts w:ascii="Arial" w:hAnsi="Arial" w:cs="Arial"/>
          <w:sz w:val="24"/>
          <w:szCs w:val="24"/>
        </w:rPr>
        <w:sectPr w:rsidR="008E2789" w:rsidSect="00EE3640">
          <w:pgSz w:w="11900" w:h="16840"/>
          <w:pgMar w:top="2268" w:right="851" w:bottom="1134" w:left="1701" w:header="567" w:footer="284" w:gutter="0"/>
          <w:cols w:space="708"/>
          <w:docGrid w:linePitch="360"/>
        </w:sectPr>
      </w:pPr>
    </w:p>
    <w:p w14:paraId="57BC6BF2" w14:textId="2535B622" w:rsidR="00D33B8C" w:rsidRDefault="00D33B8C" w:rsidP="00F74F01">
      <w:pPr>
        <w:spacing w:line="360" w:lineRule="auto"/>
        <w:ind w:firstLine="851"/>
        <w:jc w:val="both"/>
        <w:rPr>
          <w:rFonts w:ascii="Arial" w:hAnsi="Arial" w:cs="Arial"/>
          <w:sz w:val="24"/>
          <w:szCs w:val="24"/>
        </w:rPr>
      </w:pPr>
    </w:p>
    <w:tbl>
      <w:tblPr>
        <w:tblStyle w:val="TabeladeGrade6Colorida-nfase3"/>
        <w:tblW w:w="5329" w:type="pct"/>
        <w:tblLook w:val="04A0" w:firstRow="1" w:lastRow="0" w:firstColumn="1" w:lastColumn="0" w:noHBand="0" w:noVBand="1"/>
      </w:tblPr>
      <w:tblGrid>
        <w:gridCol w:w="2689"/>
        <w:gridCol w:w="3042"/>
        <w:gridCol w:w="1993"/>
        <w:gridCol w:w="1934"/>
        <w:gridCol w:w="4654"/>
      </w:tblGrid>
      <w:tr w:rsidR="008E2789" w:rsidRPr="00867CB6" w14:paraId="5488F0EB" w14:textId="77777777" w:rsidTr="0091297D">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2A4FED99" w14:textId="77777777" w:rsidR="008E2789" w:rsidRPr="00867CB6" w:rsidRDefault="008E2789" w:rsidP="00262A3C">
            <w:pPr>
              <w:spacing w:before="100" w:beforeAutospacing="1" w:after="100" w:afterAutospacing="1" w:line="360" w:lineRule="auto"/>
              <w:jc w:val="center"/>
              <w:rPr>
                <w:rFonts w:ascii="Arial" w:eastAsiaTheme="minorEastAsia" w:hAnsi="Arial" w:cs="Arial"/>
                <w:color w:val="auto"/>
                <w:sz w:val="22"/>
                <w:szCs w:val="22"/>
              </w:rPr>
            </w:pPr>
            <w:r w:rsidRPr="00867CB6">
              <w:rPr>
                <w:rFonts w:ascii="Arial" w:eastAsiaTheme="minorEastAsia" w:hAnsi="Arial" w:cs="Arial"/>
                <w:color w:val="auto"/>
                <w:sz w:val="22"/>
                <w:szCs w:val="22"/>
              </w:rPr>
              <w:t>CNPJ</w:t>
            </w:r>
          </w:p>
        </w:tc>
        <w:tc>
          <w:tcPr>
            <w:tcW w:w="3042" w:type="dxa"/>
            <w:vAlign w:val="center"/>
          </w:tcPr>
          <w:p w14:paraId="575ABD81" w14:textId="77777777" w:rsidR="008E2789" w:rsidRPr="00867CB6" w:rsidRDefault="008E2789" w:rsidP="00432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Razão Social</w:t>
            </w:r>
          </w:p>
        </w:tc>
        <w:tc>
          <w:tcPr>
            <w:tcW w:w="1993" w:type="dxa"/>
            <w:vAlign w:val="center"/>
          </w:tcPr>
          <w:p w14:paraId="4F24DD2C" w14:textId="77777777" w:rsidR="008E2789" w:rsidRPr="00867CB6" w:rsidRDefault="008E2789" w:rsidP="00432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Nº. Processo (s)</w:t>
            </w:r>
          </w:p>
        </w:tc>
        <w:tc>
          <w:tcPr>
            <w:tcW w:w="1934" w:type="dxa"/>
            <w:vAlign w:val="center"/>
          </w:tcPr>
          <w:p w14:paraId="5445BC9F" w14:textId="77777777" w:rsidR="008E2789" w:rsidRPr="00867CB6" w:rsidRDefault="008E2789" w:rsidP="00432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Data da decisão</w:t>
            </w:r>
          </w:p>
        </w:tc>
        <w:tc>
          <w:tcPr>
            <w:tcW w:w="4654" w:type="dxa"/>
            <w:vAlign w:val="center"/>
          </w:tcPr>
          <w:p w14:paraId="1261FF39" w14:textId="77777777" w:rsidR="008E2789" w:rsidRPr="00867CB6" w:rsidRDefault="008E2789" w:rsidP="00432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Observação</w:t>
            </w:r>
          </w:p>
        </w:tc>
      </w:tr>
      <w:tr w:rsidR="0091297D" w:rsidRPr="00867CB6" w14:paraId="0C9AB625" w14:textId="77777777" w:rsidTr="0091297D">
        <w:trPr>
          <w:cnfStyle w:val="000000100000" w:firstRow="0" w:lastRow="0" w:firstColumn="0" w:lastColumn="0" w:oddVBand="0" w:evenVBand="0" w:oddHBand="1" w:evenHBand="0" w:firstRowFirstColumn="0" w:firstRowLastColumn="0" w:lastRowFirstColumn="0" w:lastRowLastColumn="0"/>
          <w:cantSplit/>
          <w:trHeight w:val="67"/>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248F3E97" w14:textId="2A9F6C1B"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w:t>
            </w:r>
            <w:r w:rsidR="008E2789" w:rsidRPr="00867CB6">
              <w:rPr>
                <w:rFonts w:ascii="Arial" w:hAnsi="Arial" w:cs="Arial"/>
                <w:b w:val="0"/>
                <w:color w:val="000000"/>
                <w:sz w:val="22"/>
                <w:szCs w:val="22"/>
              </w:rPr>
              <w:t>8.704.527/0001-09</w:t>
            </w:r>
          </w:p>
        </w:tc>
        <w:tc>
          <w:tcPr>
            <w:tcW w:w="3042" w:type="dxa"/>
            <w:vAlign w:val="center"/>
          </w:tcPr>
          <w:p w14:paraId="2660EAD1"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Usina Panorama SA</w:t>
            </w:r>
          </w:p>
        </w:tc>
        <w:tc>
          <w:tcPr>
            <w:tcW w:w="1993" w:type="dxa"/>
            <w:vAlign w:val="center"/>
          </w:tcPr>
          <w:p w14:paraId="6F1D2419"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12467/2010</w:t>
            </w:r>
          </w:p>
        </w:tc>
        <w:tc>
          <w:tcPr>
            <w:tcW w:w="1934" w:type="dxa"/>
            <w:vAlign w:val="center"/>
          </w:tcPr>
          <w:p w14:paraId="4BFEBA8F"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18/05/2017</w:t>
            </w:r>
          </w:p>
        </w:tc>
        <w:tc>
          <w:tcPr>
            <w:tcW w:w="4654" w:type="dxa"/>
            <w:vAlign w:val="center"/>
          </w:tcPr>
          <w:p w14:paraId="0647D3F3"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10356 - por funcionar usina de açúcar, álcool e cogeração de energia em desacordo com a Licença de Funcionamento nº 233/2009.</w:t>
            </w:r>
          </w:p>
        </w:tc>
      </w:tr>
      <w:tr w:rsidR="008E2789" w:rsidRPr="00867CB6" w14:paraId="6A43B0F9"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264A6B01" w14:textId="2349F096"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00.</w:t>
            </w:r>
            <w:r w:rsidR="008E2789" w:rsidRPr="00867CB6">
              <w:rPr>
                <w:rFonts w:ascii="Arial" w:hAnsi="Arial" w:cs="Arial"/>
                <w:b w:val="0"/>
                <w:color w:val="000000"/>
                <w:sz w:val="22"/>
                <w:szCs w:val="22"/>
              </w:rPr>
              <w:t>279.832/0001-99</w:t>
            </w:r>
          </w:p>
        </w:tc>
        <w:tc>
          <w:tcPr>
            <w:tcW w:w="3042" w:type="dxa"/>
            <w:vAlign w:val="center"/>
          </w:tcPr>
          <w:p w14:paraId="0FF7DCBC"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Recipel Ind. e Com. de Insumos Reciclados Ltda. – EPP</w:t>
            </w:r>
          </w:p>
        </w:tc>
        <w:tc>
          <w:tcPr>
            <w:tcW w:w="1993" w:type="dxa"/>
            <w:vAlign w:val="center"/>
          </w:tcPr>
          <w:p w14:paraId="32DBC3D5"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1098/2013</w:t>
            </w:r>
          </w:p>
        </w:tc>
        <w:tc>
          <w:tcPr>
            <w:tcW w:w="1934" w:type="dxa"/>
            <w:vAlign w:val="center"/>
          </w:tcPr>
          <w:p w14:paraId="33F48A50"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06/09/2017</w:t>
            </w:r>
          </w:p>
        </w:tc>
        <w:tc>
          <w:tcPr>
            <w:tcW w:w="4654" w:type="dxa"/>
            <w:vAlign w:val="center"/>
          </w:tcPr>
          <w:p w14:paraId="476AE0ED"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Documentos de defesa do Auto de Inf. nº 0699/2013 - por deixar de cumprir com o Auto de Advertência SÉRIE B nº 0664, onde deveria apresentar junto a SEMARH a licença ambiental de funcionamento, para a  atividade de reciclagem.</w:t>
            </w:r>
          </w:p>
        </w:tc>
      </w:tr>
      <w:tr w:rsidR="0091297D" w:rsidRPr="00867CB6" w14:paraId="576DB9F6"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41E9283C" w14:textId="02016DB3"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00.</w:t>
            </w:r>
            <w:r w:rsidR="008E2789" w:rsidRPr="00867CB6">
              <w:rPr>
                <w:rFonts w:ascii="Arial" w:hAnsi="Arial" w:cs="Arial"/>
                <w:b w:val="0"/>
                <w:color w:val="000000"/>
                <w:sz w:val="22"/>
                <w:szCs w:val="22"/>
              </w:rPr>
              <w:t>289.348/0001-40</w:t>
            </w:r>
          </w:p>
        </w:tc>
        <w:tc>
          <w:tcPr>
            <w:tcW w:w="3042" w:type="dxa"/>
            <w:vAlign w:val="center"/>
          </w:tcPr>
          <w:p w14:paraId="28B94F3A"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Isoeste – Ind. e Com. de Isolantes Térmicos Ltda.</w:t>
            </w:r>
          </w:p>
        </w:tc>
        <w:tc>
          <w:tcPr>
            <w:tcW w:w="1993" w:type="dxa"/>
            <w:vAlign w:val="center"/>
          </w:tcPr>
          <w:p w14:paraId="68213E35"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8583/2014</w:t>
            </w:r>
          </w:p>
        </w:tc>
        <w:tc>
          <w:tcPr>
            <w:tcW w:w="1934" w:type="dxa"/>
            <w:vAlign w:val="center"/>
          </w:tcPr>
          <w:p w14:paraId="5E5C64CC"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16/11/2017</w:t>
            </w:r>
          </w:p>
        </w:tc>
        <w:tc>
          <w:tcPr>
            <w:tcW w:w="4654" w:type="dxa"/>
            <w:vAlign w:val="center"/>
          </w:tcPr>
          <w:p w14:paraId="1993D561"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1634 SÉRIE B - pelo não cumprimento do auto de advertência nº 1264 SÉRIE B, no que diz respeito à não construção da central de resíduos.</w:t>
            </w:r>
          </w:p>
        </w:tc>
      </w:tr>
      <w:tr w:rsidR="008E2789" w:rsidRPr="00867CB6" w14:paraId="4B4E1959"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2783F666" w14:textId="45D1735F"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00.</w:t>
            </w:r>
            <w:r w:rsidR="008E2789" w:rsidRPr="00867CB6">
              <w:rPr>
                <w:rFonts w:ascii="Arial" w:hAnsi="Arial" w:cs="Arial"/>
                <w:b w:val="0"/>
                <w:color w:val="000000"/>
                <w:sz w:val="22"/>
                <w:szCs w:val="22"/>
              </w:rPr>
              <w:t>898.098/0001-46</w:t>
            </w:r>
          </w:p>
        </w:tc>
        <w:tc>
          <w:tcPr>
            <w:tcW w:w="3042" w:type="dxa"/>
            <w:vAlign w:val="center"/>
          </w:tcPr>
          <w:p w14:paraId="0C906D57"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Nova Moda Confecções Ltda.</w:t>
            </w:r>
          </w:p>
        </w:tc>
        <w:tc>
          <w:tcPr>
            <w:tcW w:w="1993" w:type="dxa"/>
            <w:vAlign w:val="center"/>
          </w:tcPr>
          <w:p w14:paraId="1BBF649F"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3826/2014</w:t>
            </w:r>
          </w:p>
        </w:tc>
        <w:tc>
          <w:tcPr>
            <w:tcW w:w="1934" w:type="dxa"/>
            <w:vAlign w:val="center"/>
          </w:tcPr>
          <w:p w14:paraId="1883DC37"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27/10/2017</w:t>
            </w:r>
          </w:p>
        </w:tc>
        <w:tc>
          <w:tcPr>
            <w:tcW w:w="4654" w:type="dxa"/>
            <w:vAlign w:val="center"/>
          </w:tcPr>
          <w:p w14:paraId="15A3E327"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2110 SÉRIE B - pelo descumprimento do auto de advertência nº 1263/2013 SÉRIE B, visto que a documentação apresentada não atende as exigências técnicas da SEMARH.</w:t>
            </w:r>
          </w:p>
        </w:tc>
      </w:tr>
      <w:tr w:rsidR="0091297D" w:rsidRPr="00867CB6" w14:paraId="71DFC93B" w14:textId="77777777" w:rsidTr="0091297D">
        <w:trPr>
          <w:cnfStyle w:val="000000100000" w:firstRow="0" w:lastRow="0" w:firstColumn="0" w:lastColumn="0" w:oddVBand="0" w:evenVBand="0" w:oddHBand="1" w:evenHBand="0" w:firstRowFirstColumn="0" w:firstRowLastColumn="0" w:lastRowFirstColumn="0" w:lastRowLastColumn="0"/>
          <w:cantSplit/>
          <w:trHeight w:val="114"/>
        </w:trPr>
        <w:tc>
          <w:tcPr>
            <w:cnfStyle w:val="001000000000" w:firstRow="0" w:lastRow="0" w:firstColumn="1" w:lastColumn="0" w:oddVBand="0" w:evenVBand="0" w:oddHBand="0" w:evenHBand="0" w:firstRowFirstColumn="0" w:firstRowLastColumn="0" w:lastRowFirstColumn="0" w:lastRowLastColumn="0"/>
            <w:tcW w:w="2689" w:type="dxa"/>
            <w:vMerge w:val="restart"/>
            <w:noWrap/>
            <w:vAlign w:val="center"/>
          </w:tcPr>
          <w:p w14:paraId="0E2F3E6E" w14:textId="7F3BCE81"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w:t>
            </w:r>
            <w:r w:rsidR="008E2789" w:rsidRPr="00867CB6">
              <w:rPr>
                <w:rFonts w:ascii="Arial" w:hAnsi="Arial" w:cs="Arial"/>
                <w:b w:val="0"/>
                <w:color w:val="000000"/>
                <w:sz w:val="22"/>
                <w:szCs w:val="22"/>
              </w:rPr>
              <w:t>2.658.844/0001-50</w:t>
            </w:r>
          </w:p>
        </w:tc>
        <w:tc>
          <w:tcPr>
            <w:tcW w:w="3042" w:type="dxa"/>
            <w:vMerge w:val="restart"/>
            <w:vAlign w:val="center"/>
          </w:tcPr>
          <w:p w14:paraId="457AC64C"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Portelat Indústria e Comércio de Laticínios Ltda.</w:t>
            </w:r>
          </w:p>
        </w:tc>
        <w:tc>
          <w:tcPr>
            <w:tcW w:w="1993" w:type="dxa"/>
            <w:tcBorders>
              <w:bottom w:val="single" w:sz="4" w:space="0" w:color="C9C9C9" w:themeColor="accent3" w:themeTint="99"/>
            </w:tcBorders>
            <w:vAlign w:val="center"/>
          </w:tcPr>
          <w:p w14:paraId="12161E44"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1600/2013</w:t>
            </w:r>
          </w:p>
        </w:tc>
        <w:tc>
          <w:tcPr>
            <w:tcW w:w="1934" w:type="dxa"/>
            <w:tcBorders>
              <w:bottom w:val="single" w:sz="4" w:space="0" w:color="C9C9C9" w:themeColor="accent3" w:themeTint="99"/>
            </w:tcBorders>
            <w:vAlign w:val="center"/>
          </w:tcPr>
          <w:p w14:paraId="7593C335"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12/09/2017</w:t>
            </w:r>
          </w:p>
        </w:tc>
        <w:tc>
          <w:tcPr>
            <w:tcW w:w="4654" w:type="dxa"/>
            <w:tcBorders>
              <w:bottom w:val="single" w:sz="4" w:space="0" w:color="C9C9C9" w:themeColor="accent3" w:themeTint="99"/>
            </w:tcBorders>
            <w:vAlign w:val="center"/>
          </w:tcPr>
          <w:p w14:paraId="40B4C469"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0288 SÉRIE B - por fazer funcionar atividade utilizadora de recursos ambientais considerada efetiva ou potencialmente poluidora sem licença ambiental.</w:t>
            </w:r>
          </w:p>
        </w:tc>
      </w:tr>
      <w:tr w:rsidR="00391C1A" w:rsidRPr="00867CB6" w14:paraId="0FE70050" w14:textId="77777777" w:rsidTr="0091297D">
        <w:trPr>
          <w:cantSplit/>
          <w:trHeight w:val="134"/>
        </w:trPr>
        <w:tc>
          <w:tcPr>
            <w:cnfStyle w:val="001000000000" w:firstRow="0" w:lastRow="0" w:firstColumn="1" w:lastColumn="0" w:oddVBand="0" w:evenVBand="0" w:oddHBand="0" w:evenHBand="0" w:firstRowFirstColumn="0" w:firstRowLastColumn="0" w:lastRowFirstColumn="0" w:lastRowLastColumn="0"/>
            <w:tcW w:w="2689" w:type="dxa"/>
            <w:vMerge/>
            <w:noWrap/>
            <w:vAlign w:val="center"/>
          </w:tcPr>
          <w:p w14:paraId="3137DB83"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p>
        </w:tc>
        <w:tc>
          <w:tcPr>
            <w:tcW w:w="3042" w:type="dxa"/>
            <w:vMerge/>
            <w:vAlign w:val="center"/>
          </w:tcPr>
          <w:p w14:paraId="46ED0CD4"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1993" w:type="dxa"/>
            <w:tcBorders>
              <w:top w:val="single" w:sz="4" w:space="0" w:color="C9C9C9" w:themeColor="accent3" w:themeTint="99"/>
            </w:tcBorders>
            <w:shd w:val="clear" w:color="auto" w:fill="EDEDED" w:themeFill="accent3" w:themeFillTint="33"/>
            <w:vAlign w:val="center"/>
          </w:tcPr>
          <w:p w14:paraId="0F11EB7F"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8365/2014</w:t>
            </w:r>
          </w:p>
        </w:tc>
        <w:tc>
          <w:tcPr>
            <w:tcW w:w="1934" w:type="dxa"/>
            <w:tcBorders>
              <w:top w:val="single" w:sz="4" w:space="0" w:color="C9C9C9" w:themeColor="accent3" w:themeTint="99"/>
            </w:tcBorders>
            <w:shd w:val="clear" w:color="auto" w:fill="EDEDED" w:themeFill="accent3" w:themeFillTint="33"/>
            <w:vAlign w:val="center"/>
          </w:tcPr>
          <w:p w14:paraId="3D842FBE"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23/11/2017</w:t>
            </w:r>
          </w:p>
        </w:tc>
        <w:tc>
          <w:tcPr>
            <w:tcW w:w="4654" w:type="dxa"/>
            <w:tcBorders>
              <w:top w:val="single" w:sz="4" w:space="0" w:color="C9C9C9" w:themeColor="accent3" w:themeTint="99"/>
            </w:tcBorders>
            <w:shd w:val="clear" w:color="auto" w:fill="EDEDED" w:themeFill="accent3" w:themeFillTint="33"/>
            <w:vAlign w:val="center"/>
          </w:tcPr>
          <w:p w14:paraId="1328663D"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1691 SÉRIE B - por fazer funcionar atividade (fabricação de laticínio) sem a licença da SEMARH.</w:t>
            </w:r>
          </w:p>
        </w:tc>
      </w:tr>
      <w:tr w:rsidR="00867CB6" w:rsidRPr="00867CB6" w14:paraId="2E7E1C27" w14:textId="77777777" w:rsidTr="0091297D">
        <w:trPr>
          <w:cnfStyle w:val="000000100000" w:firstRow="0" w:lastRow="0" w:firstColumn="0" w:lastColumn="0" w:oddVBand="0" w:evenVBand="0" w:oddHBand="1" w:evenHBand="0" w:firstRowFirstColumn="0" w:firstRowLastColumn="0" w:lastRowFirstColumn="0" w:lastRowLastColumn="0"/>
          <w:cantSplit/>
          <w:trHeight w:val="64"/>
        </w:trPr>
        <w:tc>
          <w:tcPr>
            <w:cnfStyle w:val="001000000000" w:firstRow="0" w:lastRow="0" w:firstColumn="1" w:lastColumn="0" w:oddVBand="0" w:evenVBand="0" w:oddHBand="0" w:evenHBand="0" w:firstRowFirstColumn="0" w:firstRowLastColumn="0" w:lastRowFirstColumn="0" w:lastRowLastColumn="0"/>
            <w:tcW w:w="2689" w:type="dxa"/>
            <w:vMerge w:val="restart"/>
            <w:shd w:val="clear" w:color="auto" w:fill="auto"/>
            <w:noWrap/>
            <w:vAlign w:val="center"/>
          </w:tcPr>
          <w:p w14:paraId="2C03C1D9" w14:textId="2B53AD7D"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w:t>
            </w:r>
            <w:r w:rsidR="008E2789" w:rsidRPr="00867CB6">
              <w:rPr>
                <w:rFonts w:ascii="Arial" w:hAnsi="Arial" w:cs="Arial"/>
                <w:b w:val="0"/>
                <w:color w:val="000000"/>
                <w:sz w:val="22"/>
                <w:szCs w:val="22"/>
              </w:rPr>
              <w:t>3.347.747/0001-09</w:t>
            </w:r>
          </w:p>
        </w:tc>
        <w:tc>
          <w:tcPr>
            <w:tcW w:w="3042" w:type="dxa"/>
            <w:vMerge w:val="restart"/>
            <w:shd w:val="clear" w:color="auto" w:fill="auto"/>
            <w:vAlign w:val="center"/>
          </w:tcPr>
          <w:p w14:paraId="273071EF"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Cooperativa Agroindustrial de Rubiataba Ltda.</w:t>
            </w:r>
          </w:p>
        </w:tc>
        <w:tc>
          <w:tcPr>
            <w:tcW w:w="1993" w:type="dxa"/>
            <w:shd w:val="clear" w:color="auto" w:fill="auto"/>
            <w:vAlign w:val="center"/>
          </w:tcPr>
          <w:p w14:paraId="088F97F9"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18327/2014</w:t>
            </w:r>
          </w:p>
        </w:tc>
        <w:tc>
          <w:tcPr>
            <w:tcW w:w="1934" w:type="dxa"/>
            <w:shd w:val="clear" w:color="auto" w:fill="auto"/>
            <w:vAlign w:val="center"/>
          </w:tcPr>
          <w:p w14:paraId="07C5DD23"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06/11/2017</w:t>
            </w:r>
          </w:p>
        </w:tc>
        <w:tc>
          <w:tcPr>
            <w:tcW w:w="4654" w:type="dxa"/>
            <w:shd w:val="clear" w:color="auto" w:fill="auto"/>
            <w:vAlign w:val="center"/>
          </w:tcPr>
          <w:p w14:paraId="4CC14B99"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1704 SÉRIE B – por lançar resíduos e substâncias oleosas em desacordo com as exigências estabelecidas em leis ou atos normativos e deixar de atender condicionantes da licença.</w:t>
            </w:r>
          </w:p>
        </w:tc>
      </w:tr>
      <w:tr w:rsidR="008E2789" w:rsidRPr="00867CB6" w14:paraId="6EF71595"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vMerge/>
            <w:noWrap/>
            <w:vAlign w:val="center"/>
          </w:tcPr>
          <w:p w14:paraId="370AC967"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p>
        </w:tc>
        <w:tc>
          <w:tcPr>
            <w:tcW w:w="3042" w:type="dxa"/>
            <w:vMerge/>
            <w:vAlign w:val="center"/>
          </w:tcPr>
          <w:p w14:paraId="33DD47F7"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1993" w:type="dxa"/>
            <w:vAlign w:val="center"/>
          </w:tcPr>
          <w:p w14:paraId="4B1E9683"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17229/2013</w:t>
            </w:r>
          </w:p>
        </w:tc>
        <w:tc>
          <w:tcPr>
            <w:tcW w:w="1934" w:type="dxa"/>
            <w:vAlign w:val="center"/>
          </w:tcPr>
          <w:p w14:paraId="6F80F9E0"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25/08/2017</w:t>
            </w:r>
          </w:p>
        </w:tc>
        <w:tc>
          <w:tcPr>
            <w:tcW w:w="4654" w:type="dxa"/>
            <w:vAlign w:val="center"/>
          </w:tcPr>
          <w:p w14:paraId="41FF01DB"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1062 SÉRIE B - por falta de autorização para captar água no córrego da serra.</w:t>
            </w:r>
          </w:p>
        </w:tc>
      </w:tr>
      <w:tr w:rsidR="0091297D" w:rsidRPr="00867CB6" w14:paraId="094C6401" w14:textId="77777777" w:rsidTr="0091297D">
        <w:trPr>
          <w:cnfStyle w:val="000000100000" w:firstRow="0" w:lastRow="0" w:firstColumn="0" w:lastColumn="0" w:oddVBand="0" w:evenVBand="0" w:oddHBand="1" w:evenHBand="0" w:firstRowFirstColumn="0" w:firstRowLastColumn="0" w:lastRowFirstColumn="0" w:lastRowLastColumn="0"/>
          <w:cantSplit/>
          <w:trHeight w:val="100"/>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1803EBF8" w14:textId="57ACDA5A"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w:t>
            </w:r>
            <w:r w:rsidR="008E2789" w:rsidRPr="00867CB6">
              <w:rPr>
                <w:rFonts w:ascii="Arial" w:hAnsi="Arial" w:cs="Arial"/>
                <w:b w:val="0"/>
                <w:color w:val="000000"/>
                <w:sz w:val="22"/>
                <w:szCs w:val="22"/>
              </w:rPr>
              <w:t>3.769.300/0001-28</w:t>
            </w:r>
          </w:p>
        </w:tc>
        <w:tc>
          <w:tcPr>
            <w:tcW w:w="3042" w:type="dxa"/>
            <w:vAlign w:val="center"/>
          </w:tcPr>
          <w:p w14:paraId="69803FDD"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Têxtil San Indústria e Comércio Ltda.</w:t>
            </w:r>
          </w:p>
        </w:tc>
        <w:tc>
          <w:tcPr>
            <w:tcW w:w="1993" w:type="dxa"/>
            <w:vAlign w:val="center"/>
          </w:tcPr>
          <w:p w14:paraId="781EF904"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9830/2014</w:t>
            </w:r>
          </w:p>
        </w:tc>
        <w:tc>
          <w:tcPr>
            <w:tcW w:w="1934" w:type="dxa"/>
            <w:vAlign w:val="center"/>
          </w:tcPr>
          <w:p w14:paraId="574418B2"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24/11/2017</w:t>
            </w:r>
          </w:p>
        </w:tc>
        <w:tc>
          <w:tcPr>
            <w:tcW w:w="4654" w:type="dxa"/>
            <w:vAlign w:val="center"/>
          </w:tcPr>
          <w:p w14:paraId="6A744372"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1308 SÉRIE-B - por receber em seu estabelecimento 23 (vinte e três) estéreos de lenha nativa sem documento de origem florestal.</w:t>
            </w:r>
          </w:p>
        </w:tc>
      </w:tr>
      <w:tr w:rsidR="008E2789" w:rsidRPr="00867CB6" w14:paraId="384DB1EA"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52A529F1" w14:textId="16CAF7A9"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w:t>
            </w:r>
            <w:r w:rsidR="008E2789" w:rsidRPr="00867CB6">
              <w:rPr>
                <w:rFonts w:ascii="Arial" w:hAnsi="Arial" w:cs="Arial"/>
                <w:b w:val="0"/>
                <w:color w:val="000000"/>
                <w:sz w:val="22"/>
                <w:szCs w:val="22"/>
              </w:rPr>
              <w:t>4.338.716/0001-54</w:t>
            </w:r>
          </w:p>
        </w:tc>
        <w:tc>
          <w:tcPr>
            <w:tcW w:w="3042" w:type="dxa"/>
            <w:vAlign w:val="center"/>
          </w:tcPr>
          <w:p w14:paraId="2546E981"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Ind. Farmacêutica Melcon do Brasil S.A</w:t>
            </w:r>
          </w:p>
        </w:tc>
        <w:tc>
          <w:tcPr>
            <w:tcW w:w="1993" w:type="dxa"/>
            <w:vAlign w:val="center"/>
          </w:tcPr>
          <w:p w14:paraId="2C78C35F"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19669/2013</w:t>
            </w:r>
          </w:p>
        </w:tc>
        <w:tc>
          <w:tcPr>
            <w:tcW w:w="1934" w:type="dxa"/>
            <w:vAlign w:val="center"/>
          </w:tcPr>
          <w:p w14:paraId="2FEBCE42"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23/08/2017</w:t>
            </w:r>
          </w:p>
        </w:tc>
        <w:tc>
          <w:tcPr>
            <w:tcW w:w="4654" w:type="dxa"/>
            <w:vAlign w:val="center"/>
          </w:tcPr>
          <w:p w14:paraId="04547D0B"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1218 SÉRIE B.</w:t>
            </w:r>
          </w:p>
        </w:tc>
      </w:tr>
      <w:tr w:rsidR="0091297D" w:rsidRPr="00867CB6" w14:paraId="0D6073EE"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17AF2A36" w14:textId="41F5E5A0"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w:t>
            </w:r>
            <w:r w:rsidR="008E2789" w:rsidRPr="00867CB6">
              <w:rPr>
                <w:rFonts w:ascii="Arial" w:hAnsi="Arial" w:cs="Arial"/>
                <w:b w:val="0"/>
                <w:color w:val="000000"/>
                <w:sz w:val="22"/>
                <w:szCs w:val="22"/>
              </w:rPr>
              <w:t>4.376.121/0001-93</w:t>
            </w:r>
          </w:p>
        </w:tc>
        <w:tc>
          <w:tcPr>
            <w:tcW w:w="3042" w:type="dxa"/>
            <w:vAlign w:val="center"/>
          </w:tcPr>
          <w:p w14:paraId="35F3290B"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Genix Indústria Farmacêutica Ltda.</w:t>
            </w:r>
          </w:p>
        </w:tc>
        <w:tc>
          <w:tcPr>
            <w:tcW w:w="1993" w:type="dxa"/>
            <w:vAlign w:val="center"/>
          </w:tcPr>
          <w:p w14:paraId="4C7A5327"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21755/2013</w:t>
            </w:r>
          </w:p>
        </w:tc>
        <w:tc>
          <w:tcPr>
            <w:tcW w:w="1934" w:type="dxa"/>
            <w:vAlign w:val="center"/>
          </w:tcPr>
          <w:p w14:paraId="0BD4D5F0"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25/08/2017</w:t>
            </w:r>
          </w:p>
        </w:tc>
        <w:tc>
          <w:tcPr>
            <w:tcW w:w="4654" w:type="dxa"/>
            <w:vAlign w:val="center"/>
          </w:tcPr>
          <w:p w14:paraId="7F2018B2"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 1275 SÉRIE B - por fazer funcionar atividade potencialmente poluidora (posto de abastecimento de combustível) sem o devido funcionamento ambiental.</w:t>
            </w:r>
          </w:p>
        </w:tc>
      </w:tr>
      <w:tr w:rsidR="008E2789" w:rsidRPr="00867CB6" w14:paraId="3ED220F9"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484C3053" w14:textId="5D60E2B0"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w:t>
            </w:r>
            <w:r w:rsidR="008E2789" w:rsidRPr="00867CB6">
              <w:rPr>
                <w:rFonts w:ascii="Arial" w:hAnsi="Arial" w:cs="Arial"/>
                <w:b w:val="0"/>
                <w:color w:val="000000"/>
                <w:sz w:val="22"/>
                <w:szCs w:val="22"/>
              </w:rPr>
              <w:t>5.017.780/0018-44</w:t>
            </w:r>
          </w:p>
        </w:tc>
        <w:tc>
          <w:tcPr>
            <w:tcW w:w="3042" w:type="dxa"/>
            <w:vAlign w:val="center"/>
          </w:tcPr>
          <w:p w14:paraId="2DE6C934"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Rio Branco Alimentos S.A</w:t>
            </w:r>
          </w:p>
        </w:tc>
        <w:tc>
          <w:tcPr>
            <w:tcW w:w="1993" w:type="dxa"/>
            <w:vAlign w:val="center"/>
          </w:tcPr>
          <w:p w14:paraId="09C19CB2"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13514/2013</w:t>
            </w:r>
          </w:p>
        </w:tc>
        <w:tc>
          <w:tcPr>
            <w:tcW w:w="1934" w:type="dxa"/>
            <w:vAlign w:val="center"/>
          </w:tcPr>
          <w:p w14:paraId="63A5131B"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28/08/2017</w:t>
            </w:r>
          </w:p>
        </w:tc>
        <w:tc>
          <w:tcPr>
            <w:tcW w:w="4654" w:type="dxa"/>
            <w:vAlign w:val="center"/>
          </w:tcPr>
          <w:p w14:paraId="4EDAE6B9"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2101 SÉRIE B - pelo não cumprimento da advertência nº 0699 SÉRIE B - a lagoa de tratamento no momento da fiscalização apresenta com presença da vegetação na crosta</w:t>
            </w:r>
          </w:p>
        </w:tc>
      </w:tr>
      <w:tr w:rsidR="0091297D" w:rsidRPr="00867CB6" w14:paraId="49594243"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1E47BB2A" w14:textId="31A797D4"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w:t>
            </w:r>
            <w:r w:rsidR="008E2789" w:rsidRPr="00867CB6">
              <w:rPr>
                <w:rFonts w:ascii="Arial" w:hAnsi="Arial" w:cs="Arial"/>
                <w:b w:val="0"/>
                <w:color w:val="000000"/>
                <w:sz w:val="22"/>
                <w:szCs w:val="22"/>
              </w:rPr>
              <w:t>5.935.048/0001-05</w:t>
            </w:r>
          </w:p>
        </w:tc>
        <w:tc>
          <w:tcPr>
            <w:tcW w:w="3042" w:type="dxa"/>
            <w:vAlign w:val="center"/>
          </w:tcPr>
          <w:p w14:paraId="40E3F168"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Usina São Paulo Energia e Etanol S.A</w:t>
            </w:r>
          </w:p>
        </w:tc>
        <w:tc>
          <w:tcPr>
            <w:tcW w:w="1993" w:type="dxa"/>
            <w:vAlign w:val="center"/>
          </w:tcPr>
          <w:p w14:paraId="03B0F0A3"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5648/2014</w:t>
            </w:r>
          </w:p>
        </w:tc>
        <w:tc>
          <w:tcPr>
            <w:tcW w:w="1934" w:type="dxa"/>
            <w:vAlign w:val="center"/>
          </w:tcPr>
          <w:p w14:paraId="360C4620"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21/03/2017</w:t>
            </w:r>
          </w:p>
        </w:tc>
        <w:tc>
          <w:tcPr>
            <w:tcW w:w="4654" w:type="dxa"/>
            <w:vAlign w:val="center"/>
          </w:tcPr>
          <w:p w14:paraId="0FEB1A36"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1279 SÉRIE B - por não atender integralmente o Auto de Advertência nº 1590 SÉRIE B.</w:t>
            </w:r>
          </w:p>
        </w:tc>
      </w:tr>
      <w:tr w:rsidR="008E2789" w:rsidRPr="00867CB6" w14:paraId="7A7BD2BF"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vMerge w:val="restart"/>
            <w:noWrap/>
            <w:vAlign w:val="center"/>
          </w:tcPr>
          <w:p w14:paraId="004FEA79" w14:textId="53579F04"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w:t>
            </w:r>
            <w:r w:rsidR="008E2789" w:rsidRPr="00867CB6">
              <w:rPr>
                <w:rFonts w:ascii="Arial" w:hAnsi="Arial" w:cs="Arial"/>
                <w:b w:val="0"/>
                <w:color w:val="000000"/>
                <w:sz w:val="22"/>
                <w:szCs w:val="22"/>
              </w:rPr>
              <w:t>7.014.305/0001-00</w:t>
            </w:r>
          </w:p>
        </w:tc>
        <w:tc>
          <w:tcPr>
            <w:tcW w:w="3042" w:type="dxa"/>
            <w:vMerge w:val="restart"/>
            <w:vAlign w:val="center"/>
          </w:tcPr>
          <w:p w14:paraId="14E2C72D"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Fricó Indústria e Comércio de Alimentos Ltda.</w:t>
            </w:r>
          </w:p>
        </w:tc>
        <w:tc>
          <w:tcPr>
            <w:tcW w:w="1993" w:type="dxa"/>
            <w:vAlign w:val="center"/>
          </w:tcPr>
          <w:p w14:paraId="5AFFCB0F"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9641/2014</w:t>
            </w:r>
          </w:p>
        </w:tc>
        <w:tc>
          <w:tcPr>
            <w:tcW w:w="1934" w:type="dxa"/>
            <w:vAlign w:val="center"/>
          </w:tcPr>
          <w:p w14:paraId="221DF21F"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29/08/2017</w:t>
            </w:r>
          </w:p>
        </w:tc>
        <w:tc>
          <w:tcPr>
            <w:tcW w:w="4654" w:type="dxa"/>
            <w:vAlign w:val="center"/>
          </w:tcPr>
          <w:p w14:paraId="71DE5BFC"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0917 SÉRIE B - por fazer funcionar atividade potencialmente poluidora (indústria de transformação e embutidos) sem a licença ambiental.</w:t>
            </w:r>
          </w:p>
        </w:tc>
      </w:tr>
      <w:tr w:rsidR="0091297D" w:rsidRPr="00867CB6" w14:paraId="0D3A077A"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vMerge/>
            <w:noWrap/>
            <w:vAlign w:val="center"/>
          </w:tcPr>
          <w:p w14:paraId="7B50E17E"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p>
        </w:tc>
        <w:tc>
          <w:tcPr>
            <w:tcW w:w="3042" w:type="dxa"/>
            <w:vMerge/>
            <w:vAlign w:val="center"/>
          </w:tcPr>
          <w:p w14:paraId="68E7A591"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tc>
        <w:tc>
          <w:tcPr>
            <w:tcW w:w="1993" w:type="dxa"/>
            <w:shd w:val="clear" w:color="auto" w:fill="auto"/>
            <w:vAlign w:val="center"/>
          </w:tcPr>
          <w:p w14:paraId="19C7A330"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14028/2015</w:t>
            </w:r>
          </w:p>
        </w:tc>
        <w:tc>
          <w:tcPr>
            <w:tcW w:w="1934" w:type="dxa"/>
            <w:shd w:val="clear" w:color="auto" w:fill="auto"/>
            <w:vAlign w:val="center"/>
          </w:tcPr>
          <w:p w14:paraId="1ACC376A"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02/12/2018</w:t>
            </w:r>
          </w:p>
        </w:tc>
        <w:tc>
          <w:tcPr>
            <w:tcW w:w="4654" w:type="dxa"/>
            <w:shd w:val="clear" w:color="auto" w:fill="auto"/>
            <w:vAlign w:val="center"/>
          </w:tcPr>
          <w:p w14:paraId="2776A238"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4464 SÉRIE B - por descumprir o solicitado no Auto de Advertência nº 4451 que notifica o empreendimento a apresentar análise dois efluentes produzidos pela ETE do empreendimento realizado por laboratório terceirizado.</w:t>
            </w:r>
          </w:p>
        </w:tc>
      </w:tr>
      <w:tr w:rsidR="00391C1A" w:rsidRPr="00867CB6" w14:paraId="7AEFAAAF"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vMerge w:val="restart"/>
            <w:shd w:val="clear" w:color="auto" w:fill="EDEDED" w:themeFill="accent3" w:themeFillTint="33"/>
            <w:noWrap/>
            <w:vAlign w:val="center"/>
          </w:tcPr>
          <w:p w14:paraId="063D9197" w14:textId="472B9F4B"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lastRenderedPageBreak/>
              <w:t>0</w:t>
            </w:r>
            <w:r w:rsidR="008E2789" w:rsidRPr="00867CB6">
              <w:rPr>
                <w:rFonts w:ascii="Arial" w:hAnsi="Arial" w:cs="Arial"/>
                <w:b w:val="0"/>
                <w:color w:val="000000"/>
                <w:sz w:val="22"/>
                <w:szCs w:val="22"/>
              </w:rPr>
              <w:t>7.137.731/0001-22</w:t>
            </w:r>
          </w:p>
        </w:tc>
        <w:tc>
          <w:tcPr>
            <w:tcW w:w="3042" w:type="dxa"/>
            <w:vMerge w:val="restart"/>
            <w:shd w:val="clear" w:color="auto" w:fill="EDEDED" w:themeFill="accent3" w:themeFillTint="33"/>
            <w:vAlign w:val="center"/>
          </w:tcPr>
          <w:p w14:paraId="0306FF2A"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Centrox Óxido Ferro Centro Oeste Brasil</w:t>
            </w:r>
          </w:p>
        </w:tc>
        <w:tc>
          <w:tcPr>
            <w:tcW w:w="1993" w:type="dxa"/>
            <w:shd w:val="clear" w:color="auto" w:fill="EDEDED" w:themeFill="accent3" w:themeFillTint="33"/>
            <w:vAlign w:val="center"/>
          </w:tcPr>
          <w:p w14:paraId="3E778F4D"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9793/2014</w:t>
            </w:r>
          </w:p>
        </w:tc>
        <w:tc>
          <w:tcPr>
            <w:tcW w:w="1934" w:type="dxa"/>
            <w:shd w:val="clear" w:color="auto" w:fill="EDEDED" w:themeFill="accent3" w:themeFillTint="33"/>
            <w:vAlign w:val="center"/>
          </w:tcPr>
          <w:p w14:paraId="0BC15ACA"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22/11/2017</w:t>
            </w:r>
          </w:p>
        </w:tc>
        <w:tc>
          <w:tcPr>
            <w:tcW w:w="4654" w:type="dxa"/>
            <w:shd w:val="clear" w:color="auto" w:fill="EDEDED" w:themeFill="accent3" w:themeFillTint="33"/>
            <w:vAlign w:val="center"/>
          </w:tcPr>
          <w:p w14:paraId="13C4AB63"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1696 SÉRIE B - deixar de atender as exigências legais ou regulamentares quando devidamente notificado.</w:t>
            </w:r>
          </w:p>
        </w:tc>
      </w:tr>
      <w:tr w:rsidR="0091297D" w:rsidRPr="00867CB6" w14:paraId="613CAFC9"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vMerge/>
            <w:noWrap/>
            <w:vAlign w:val="center"/>
          </w:tcPr>
          <w:p w14:paraId="577404D7"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p>
        </w:tc>
        <w:tc>
          <w:tcPr>
            <w:tcW w:w="3042" w:type="dxa"/>
            <w:vMerge/>
            <w:vAlign w:val="center"/>
          </w:tcPr>
          <w:p w14:paraId="18EAA352" w14:textId="77777777" w:rsidR="008E2789" w:rsidRPr="00867CB6" w:rsidRDefault="008E2789" w:rsidP="0043207C">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tc>
        <w:tc>
          <w:tcPr>
            <w:tcW w:w="1993" w:type="dxa"/>
            <w:vAlign w:val="center"/>
          </w:tcPr>
          <w:p w14:paraId="7C8833E3"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16086/2014</w:t>
            </w:r>
          </w:p>
        </w:tc>
        <w:tc>
          <w:tcPr>
            <w:tcW w:w="1934" w:type="dxa"/>
            <w:vAlign w:val="center"/>
          </w:tcPr>
          <w:p w14:paraId="103B8706"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25/11/2017</w:t>
            </w:r>
          </w:p>
        </w:tc>
        <w:tc>
          <w:tcPr>
            <w:tcW w:w="4654" w:type="dxa"/>
            <w:vAlign w:val="center"/>
          </w:tcPr>
          <w:p w14:paraId="56B7B8E3"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1615 SÉRIE B - por não atender as exigências técnicas da SEMARH referente ao tratamento de efluentes líquidos industriais e armazenamento adequado de resíduos sólidos em local aberto com piso impermeável.</w:t>
            </w:r>
          </w:p>
        </w:tc>
      </w:tr>
      <w:tr w:rsidR="008E2789" w:rsidRPr="00867CB6" w14:paraId="0FF748A6"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70308B42" w14:textId="514B3D0E"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w:t>
            </w:r>
            <w:r w:rsidR="008E2789" w:rsidRPr="00867CB6">
              <w:rPr>
                <w:rFonts w:ascii="Arial" w:hAnsi="Arial" w:cs="Arial"/>
                <w:b w:val="0"/>
                <w:color w:val="000000"/>
                <w:sz w:val="22"/>
                <w:szCs w:val="22"/>
              </w:rPr>
              <w:t>7.164.263/0001-85</w:t>
            </w:r>
          </w:p>
        </w:tc>
        <w:tc>
          <w:tcPr>
            <w:tcW w:w="3042" w:type="dxa"/>
            <w:vAlign w:val="center"/>
          </w:tcPr>
          <w:p w14:paraId="115B49A2"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Kadão Indústria de Alimentos Ltda.</w:t>
            </w:r>
          </w:p>
        </w:tc>
        <w:tc>
          <w:tcPr>
            <w:tcW w:w="1993" w:type="dxa"/>
            <w:vAlign w:val="center"/>
          </w:tcPr>
          <w:p w14:paraId="762479A1"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10335/2014</w:t>
            </w:r>
          </w:p>
        </w:tc>
        <w:tc>
          <w:tcPr>
            <w:tcW w:w="1934" w:type="dxa"/>
            <w:vAlign w:val="center"/>
          </w:tcPr>
          <w:p w14:paraId="705B1503"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09/11/2017</w:t>
            </w:r>
          </w:p>
        </w:tc>
        <w:tc>
          <w:tcPr>
            <w:tcW w:w="4654" w:type="dxa"/>
            <w:vAlign w:val="center"/>
          </w:tcPr>
          <w:p w14:paraId="71421A49"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1740 SÉRIE B - por deixar de atender ao Auto de Advertência nº 1433 SÉRIE B que notifica o descumprimento à condicionante n. 02 da Licença de Funcionamento nº 813/2014 - lançar efluente em desacordo com as exigências.</w:t>
            </w:r>
          </w:p>
        </w:tc>
      </w:tr>
      <w:tr w:rsidR="0091297D" w:rsidRPr="00867CB6" w14:paraId="69800977"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1CAAD1F6"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16.694.362/0001-60</w:t>
            </w:r>
          </w:p>
        </w:tc>
        <w:tc>
          <w:tcPr>
            <w:tcW w:w="3042" w:type="dxa"/>
            <w:vAlign w:val="center"/>
          </w:tcPr>
          <w:p w14:paraId="6045930C"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Roots Ind. e Com. de Gêneros Alimentícios e Armazenagem Log.</w:t>
            </w:r>
          </w:p>
        </w:tc>
        <w:tc>
          <w:tcPr>
            <w:tcW w:w="1993" w:type="dxa"/>
            <w:vAlign w:val="center"/>
          </w:tcPr>
          <w:p w14:paraId="6827148A"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19373/2013</w:t>
            </w:r>
          </w:p>
        </w:tc>
        <w:tc>
          <w:tcPr>
            <w:tcW w:w="1934" w:type="dxa"/>
            <w:vAlign w:val="center"/>
          </w:tcPr>
          <w:p w14:paraId="3E4BE287"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24/08/2017</w:t>
            </w:r>
          </w:p>
        </w:tc>
        <w:tc>
          <w:tcPr>
            <w:tcW w:w="4654" w:type="dxa"/>
            <w:vAlign w:val="center"/>
          </w:tcPr>
          <w:p w14:paraId="003E1A35"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0939 SÉRIE B - por fazer funcionar empreendimento potencialmente poluidor sem licença ambiental lançando efluente líquido sem tratamento.</w:t>
            </w:r>
          </w:p>
        </w:tc>
      </w:tr>
      <w:tr w:rsidR="008E2789" w:rsidRPr="00867CB6" w14:paraId="3E3CDC04"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vMerge w:val="restart"/>
            <w:noWrap/>
            <w:vAlign w:val="center"/>
          </w:tcPr>
          <w:p w14:paraId="6FF80C7F" w14:textId="7EB0970A" w:rsidR="008E2789" w:rsidRPr="00867CB6" w:rsidRDefault="0091297D"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0</w:t>
            </w:r>
            <w:r w:rsidR="008E2789" w:rsidRPr="00867CB6">
              <w:rPr>
                <w:rFonts w:ascii="Arial" w:hAnsi="Arial" w:cs="Arial"/>
                <w:b w:val="0"/>
                <w:color w:val="000000"/>
                <w:sz w:val="22"/>
                <w:szCs w:val="22"/>
              </w:rPr>
              <w:t>7.591.275/0001-96</w:t>
            </w:r>
          </w:p>
        </w:tc>
        <w:tc>
          <w:tcPr>
            <w:tcW w:w="3042" w:type="dxa"/>
            <w:vMerge w:val="restart"/>
            <w:vAlign w:val="center"/>
          </w:tcPr>
          <w:p w14:paraId="1A044C71"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Maroca Indústria de Laticínios Ltda.</w:t>
            </w:r>
          </w:p>
        </w:tc>
        <w:tc>
          <w:tcPr>
            <w:tcW w:w="1993" w:type="dxa"/>
            <w:vAlign w:val="center"/>
          </w:tcPr>
          <w:p w14:paraId="31F53889"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1592/2011</w:t>
            </w:r>
          </w:p>
        </w:tc>
        <w:tc>
          <w:tcPr>
            <w:tcW w:w="1934" w:type="dxa"/>
            <w:vAlign w:val="center"/>
          </w:tcPr>
          <w:p w14:paraId="27869D10"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19/06/2017</w:t>
            </w:r>
          </w:p>
        </w:tc>
        <w:tc>
          <w:tcPr>
            <w:tcW w:w="4654" w:type="dxa"/>
            <w:vAlign w:val="center"/>
          </w:tcPr>
          <w:p w14:paraId="7244389D"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Por lançar substancias oleosas no solo em desacordo com as normas estabelecidas em lei.</w:t>
            </w:r>
          </w:p>
        </w:tc>
      </w:tr>
      <w:tr w:rsidR="0091297D" w:rsidRPr="00867CB6" w14:paraId="1F5B1E90"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vMerge/>
            <w:noWrap/>
            <w:vAlign w:val="center"/>
          </w:tcPr>
          <w:p w14:paraId="3FD15E65"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p>
        </w:tc>
        <w:tc>
          <w:tcPr>
            <w:tcW w:w="3042" w:type="dxa"/>
            <w:vMerge/>
            <w:vAlign w:val="center"/>
          </w:tcPr>
          <w:p w14:paraId="5E1F1378"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tc>
        <w:tc>
          <w:tcPr>
            <w:tcW w:w="1993" w:type="dxa"/>
            <w:shd w:val="clear" w:color="auto" w:fill="auto"/>
            <w:vAlign w:val="center"/>
          </w:tcPr>
          <w:p w14:paraId="693AC712"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6236/2014</w:t>
            </w:r>
          </w:p>
        </w:tc>
        <w:tc>
          <w:tcPr>
            <w:tcW w:w="1934" w:type="dxa"/>
            <w:shd w:val="clear" w:color="auto" w:fill="auto"/>
            <w:vAlign w:val="center"/>
          </w:tcPr>
          <w:p w14:paraId="0EF3EDA3"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25/10/2017</w:t>
            </w:r>
          </w:p>
        </w:tc>
        <w:tc>
          <w:tcPr>
            <w:tcW w:w="4654" w:type="dxa"/>
            <w:shd w:val="clear" w:color="auto" w:fill="auto"/>
            <w:vAlign w:val="center"/>
          </w:tcPr>
          <w:p w14:paraId="3EF02F80"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1731 SÉRIE B - por fazer funcionar laticínio sem o devido licenciamento. Licença indeferida proc. 5069/2010.</w:t>
            </w:r>
          </w:p>
        </w:tc>
      </w:tr>
      <w:tr w:rsidR="00391C1A" w:rsidRPr="00867CB6" w14:paraId="769EAA61"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vMerge w:val="restart"/>
            <w:shd w:val="clear" w:color="auto" w:fill="EDEDED" w:themeFill="accent3" w:themeFillTint="33"/>
            <w:noWrap/>
            <w:vAlign w:val="center"/>
          </w:tcPr>
          <w:p w14:paraId="05B044B8"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11.092.881/0001-34</w:t>
            </w:r>
          </w:p>
        </w:tc>
        <w:tc>
          <w:tcPr>
            <w:tcW w:w="3042" w:type="dxa"/>
            <w:vMerge w:val="restart"/>
            <w:shd w:val="clear" w:color="auto" w:fill="EDEDED" w:themeFill="accent3" w:themeFillTint="33"/>
            <w:vAlign w:val="center"/>
          </w:tcPr>
          <w:p w14:paraId="5649087B"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Bom Sucesso Agroindústria Ltda.</w:t>
            </w:r>
          </w:p>
        </w:tc>
        <w:tc>
          <w:tcPr>
            <w:tcW w:w="1993" w:type="dxa"/>
            <w:shd w:val="clear" w:color="auto" w:fill="EDEDED" w:themeFill="accent3" w:themeFillTint="33"/>
            <w:vAlign w:val="center"/>
          </w:tcPr>
          <w:p w14:paraId="4AD73505"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2079/2014</w:t>
            </w:r>
          </w:p>
        </w:tc>
        <w:tc>
          <w:tcPr>
            <w:tcW w:w="1934" w:type="dxa"/>
            <w:shd w:val="clear" w:color="auto" w:fill="EDEDED" w:themeFill="accent3" w:themeFillTint="33"/>
            <w:vAlign w:val="center"/>
          </w:tcPr>
          <w:p w14:paraId="3D19CE98"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20/10/2017</w:t>
            </w:r>
          </w:p>
        </w:tc>
        <w:tc>
          <w:tcPr>
            <w:tcW w:w="4654" w:type="dxa"/>
            <w:shd w:val="clear" w:color="auto" w:fill="EDEDED" w:themeFill="accent3" w:themeFillTint="33"/>
            <w:vAlign w:val="center"/>
          </w:tcPr>
          <w:p w14:paraId="22176587"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1319 SÉRIE B - por descumprir parcialmente  ao que foi solicitado no Auto de Advertência nº 0519 SÉRIE B.</w:t>
            </w:r>
          </w:p>
        </w:tc>
      </w:tr>
      <w:tr w:rsidR="0091297D" w:rsidRPr="00867CB6" w14:paraId="3C675A00"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vMerge/>
            <w:noWrap/>
            <w:vAlign w:val="center"/>
          </w:tcPr>
          <w:p w14:paraId="3FFB503D"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p>
        </w:tc>
        <w:tc>
          <w:tcPr>
            <w:tcW w:w="3042" w:type="dxa"/>
            <w:vMerge/>
            <w:vAlign w:val="center"/>
          </w:tcPr>
          <w:p w14:paraId="2741F786"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tc>
        <w:tc>
          <w:tcPr>
            <w:tcW w:w="1993" w:type="dxa"/>
            <w:vAlign w:val="center"/>
          </w:tcPr>
          <w:p w14:paraId="28C18E79"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16958/2014</w:t>
            </w:r>
          </w:p>
        </w:tc>
        <w:tc>
          <w:tcPr>
            <w:tcW w:w="1934" w:type="dxa"/>
            <w:vAlign w:val="center"/>
          </w:tcPr>
          <w:p w14:paraId="248373AD"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08/11/2017</w:t>
            </w:r>
          </w:p>
        </w:tc>
        <w:tc>
          <w:tcPr>
            <w:tcW w:w="4654" w:type="dxa"/>
            <w:vAlign w:val="center"/>
          </w:tcPr>
          <w:p w14:paraId="61F984C5"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2521 SÉRIE B - não cumprimento do Auto de Advertência nº 1738 SÉRIE B no prazo estabelecido no processo 11204/2014 - não cumprimento das condicionantes nºˢ 1,3,6,8,9,11,12,15 e 16 - Licença de Funcionamento nº 1892/2011 - processo 6428/2011.</w:t>
            </w:r>
          </w:p>
        </w:tc>
      </w:tr>
      <w:tr w:rsidR="008E2789" w:rsidRPr="00867CB6" w14:paraId="09DB9ADE"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63F48312"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11.973.719/0001-25</w:t>
            </w:r>
          </w:p>
        </w:tc>
        <w:tc>
          <w:tcPr>
            <w:tcW w:w="3042" w:type="dxa"/>
            <w:vAlign w:val="center"/>
          </w:tcPr>
          <w:p w14:paraId="365537E9"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Baby Mania Fraldas Descartáveis Ltda.</w:t>
            </w:r>
          </w:p>
        </w:tc>
        <w:tc>
          <w:tcPr>
            <w:tcW w:w="1993" w:type="dxa"/>
            <w:vAlign w:val="center"/>
          </w:tcPr>
          <w:p w14:paraId="7E4EAE79"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1225/2014</w:t>
            </w:r>
          </w:p>
        </w:tc>
        <w:tc>
          <w:tcPr>
            <w:tcW w:w="1934" w:type="dxa"/>
            <w:vAlign w:val="center"/>
          </w:tcPr>
          <w:p w14:paraId="2B884714"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30/10/2017</w:t>
            </w:r>
          </w:p>
        </w:tc>
        <w:tc>
          <w:tcPr>
            <w:tcW w:w="4654" w:type="dxa"/>
            <w:vAlign w:val="center"/>
          </w:tcPr>
          <w:p w14:paraId="261B8C21"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2108 SÉRIE B - pelo descumprimento do Auto de Advertência nº 1262, referente a apresentação do certificado de conformidade do corpo de bombeiros atualizado e a declaração anual de resíduos sólidos.</w:t>
            </w:r>
          </w:p>
        </w:tc>
      </w:tr>
      <w:tr w:rsidR="0091297D" w:rsidRPr="00867CB6" w14:paraId="0EC0D13B"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48D0F810"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15.182.568/0001-48</w:t>
            </w:r>
          </w:p>
        </w:tc>
        <w:tc>
          <w:tcPr>
            <w:tcW w:w="3042" w:type="dxa"/>
            <w:vAlign w:val="center"/>
          </w:tcPr>
          <w:p w14:paraId="13C9473F"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Meia Ponte Alimentos Eireli</w:t>
            </w:r>
          </w:p>
        </w:tc>
        <w:tc>
          <w:tcPr>
            <w:tcW w:w="1993" w:type="dxa"/>
            <w:vAlign w:val="center"/>
          </w:tcPr>
          <w:p w14:paraId="2BBEEFAA"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13099/2014</w:t>
            </w:r>
          </w:p>
        </w:tc>
        <w:tc>
          <w:tcPr>
            <w:tcW w:w="1934" w:type="dxa"/>
            <w:vAlign w:val="center"/>
          </w:tcPr>
          <w:p w14:paraId="56FD13F0"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19/09/2017</w:t>
            </w:r>
          </w:p>
        </w:tc>
        <w:tc>
          <w:tcPr>
            <w:tcW w:w="4654" w:type="dxa"/>
            <w:vAlign w:val="center"/>
          </w:tcPr>
          <w:p w14:paraId="45F2CD75"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1873 SÉRIE B - por deixar de atender o Auto de Advertência nº 1640 SÉRIE B no prazo determinado - construir/reformar sem a devida licença. Ref. ao processo nº 644/2014.</w:t>
            </w:r>
          </w:p>
        </w:tc>
      </w:tr>
      <w:tr w:rsidR="008E2789" w:rsidRPr="00867CB6" w14:paraId="7BA69EFC"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1627821A"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 xml:space="preserve"> 25.006.271/0001-85</w:t>
            </w:r>
          </w:p>
        </w:tc>
        <w:tc>
          <w:tcPr>
            <w:tcW w:w="3042" w:type="dxa"/>
            <w:vAlign w:val="center"/>
          </w:tcPr>
          <w:p w14:paraId="04B6E5BB"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GEM Agroindustrial e Comercial Ltda.</w:t>
            </w:r>
          </w:p>
        </w:tc>
        <w:tc>
          <w:tcPr>
            <w:tcW w:w="1993" w:type="dxa"/>
            <w:vAlign w:val="center"/>
          </w:tcPr>
          <w:p w14:paraId="7797F8F1"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7397/2013</w:t>
            </w:r>
          </w:p>
        </w:tc>
        <w:tc>
          <w:tcPr>
            <w:tcW w:w="1934" w:type="dxa"/>
            <w:vAlign w:val="center"/>
          </w:tcPr>
          <w:p w14:paraId="1C3636BB"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06/02/2018</w:t>
            </w:r>
          </w:p>
        </w:tc>
        <w:tc>
          <w:tcPr>
            <w:tcW w:w="4654" w:type="dxa"/>
            <w:vAlign w:val="center"/>
          </w:tcPr>
          <w:p w14:paraId="66DE5D1A"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2128 SÉRIE B – por deixar de atender o Auto de Advertência nº 1022 referente a destinação e armazenamento inadequado dos resíduos de produção e também pela queima de resíduos sólidos no pátio da empresa</w:t>
            </w:r>
          </w:p>
        </w:tc>
      </w:tr>
      <w:tr w:rsidR="0091297D" w:rsidRPr="00867CB6" w14:paraId="3BEF048C"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422E2301"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26.664.110/0001-41</w:t>
            </w:r>
          </w:p>
        </w:tc>
        <w:tc>
          <w:tcPr>
            <w:tcW w:w="3042" w:type="dxa"/>
            <w:vAlign w:val="center"/>
          </w:tcPr>
          <w:p w14:paraId="7F01C822"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Agroindústria Búfalo Nobre Ltda.</w:t>
            </w:r>
          </w:p>
        </w:tc>
        <w:tc>
          <w:tcPr>
            <w:tcW w:w="1993" w:type="dxa"/>
            <w:vAlign w:val="center"/>
          </w:tcPr>
          <w:p w14:paraId="0267BA57"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1101/2014</w:t>
            </w:r>
          </w:p>
        </w:tc>
        <w:tc>
          <w:tcPr>
            <w:tcW w:w="1934" w:type="dxa"/>
            <w:vAlign w:val="center"/>
          </w:tcPr>
          <w:p w14:paraId="606443FD"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67CB6">
              <w:rPr>
                <w:rFonts w:ascii="Arial" w:hAnsi="Arial" w:cs="Arial"/>
                <w:bCs/>
                <w:color w:val="000000"/>
                <w:sz w:val="22"/>
                <w:szCs w:val="22"/>
              </w:rPr>
              <w:t>06/11/2017</w:t>
            </w:r>
          </w:p>
        </w:tc>
        <w:tc>
          <w:tcPr>
            <w:tcW w:w="4654" w:type="dxa"/>
            <w:vAlign w:val="center"/>
          </w:tcPr>
          <w:p w14:paraId="01913D73"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Infração nº 1317 SÉRIE B - estabelecimento funcionando sem a licença dos órgãos ambientais competentes (licença indeferida - processo nº 4264/2008).</w:t>
            </w:r>
          </w:p>
        </w:tc>
      </w:tr>
      <w:tr w:rsidR="008E2789" w:rsidRPr="00867CB6" w14:paraId="10053915"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vMerge w:val="restart"/>
            <w:noWrap/>
            <w:vAlign w:val="center"/>
          </w:tcPr>
          <w:p w14:paraId="5B8E494C"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p>
        </w:tc>
        <w:tc>
          <w:tcPr>
            <w:tcW w:w="3042" w:type="dxa"/>
            <w:vMerge w:val="restart"/>
            <w:vAlign w:val="center"/>
          </w:tcPr>
          <w:p w14:paraId="7C9ED720"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Laticínios Montes Belos Ltda.</w:t>
            </w:r>
          </w:p>
        </w:tc>
        <w:tc>
          <w:tcPr>
            <w:tcW w:w="1993" w:type="dxa"/>
            <w:vAlign w:val="center"/>
          </w:tcPr>
          <w:p w14:paraId="74AFE3C1"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13748/2013</w:t>
            </w:r>
          </w:p>
        </w:tc>
        <w:tc>
          <w:tcPr>
            <w:tcW w:w="1934" w:type="dxa"/>
            <w:vAlign w:val="center"/>
          </w:tcPr>
          <w:p w14:paraId="1AC14A24"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23/08/2017</w:t>
            </w:r>
          </w:p>
        </w:tc>
        <w:tc>
          <w:tcPr>
            <w:tcW w:w="4654" w:type="dxa"/>
            <w:vAlign w:val="center"/>
          </w:tcPr>
          <w:p w14:paraId="044617A1"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1994 SÉRIE B - fazer funcionar sem licença emitida por órgão ambiental.</w:t>
            </w:r>
          </w:p>
        </w:tc>
      </w:tr>
      <w:tr w:rsidR="00391C1A" w:rsidRPr="00867CB6" w14:paraId="14C1A339"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vMerge/>
            <w:noWrap/>
            <w:vAlign w:val="center"/>
          </w:tcPr>
          <w:p w14:paraId="336B99F2"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p>
        </w:tc>
        <w:tc>
          <w:tcPr>
            <w:tcW w:w="3042" w:type="dxa"/>
            <w:vMerge/>
            <w:vAlign w:val="center"/>
          </w:tcPr>
          <w:p w14:paraId="41FD9F0C"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1993" w:type="dxa"/>
            <w:shd w:val="clear" w:color="auto" w:fill="FFFFFF" w:themeFill="background1"/>
            <w:vAlign w:val="center"/>
          </w:tcPr>
          <w:p w14:paraId="39CB69CC"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14529/2014</w:t>
            </w:r>
          </w:p>
        </w:tc>
        <w:tc>
          <w:tcPr>
            <w:tcW w:w="1934" w:type="dxa"/>
            <w:shd w:val="clear" w:color="auto" w:fill="FFFFFF" w:themeFill="background1"/>
            <w:vAlign w:val="center"/>
          </w:tcPr>
          <w:p w14:paraId="4BA69A2A"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24/08/2019</w:t>
            </w:r>
          </w:p>
        </w:tc>
        <w:tc>
          <w:tcPr>
            <w:tcW w:w="4654" w:type="dxa"/>
            <w:shd w:val="clear" w:color="auto" w:fill="FFFFFF" w:themeFill="background1"/>
            <w:vAlign w:val="center"/>
          </w:tcPr>
          <w:p w14:paraId="51751C0B"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Infração nº 3011 SÉRIE B - por realizar descarte irregular de resíduos provenientes da atividade de laticínio, contrariando as exigências técnicas complementares n. 6 da Licença de Funcionamento n. 463/2014 - SEMARH.</w:t>
            </w:r>
          </w:p>
        </w:tc>
      </w:tr>
      <w:tr w:rsidR="008E2789" w:rsidRPr="00867CB6" w14:paraId="007CC847"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vMerge/>
            <w:noWrap/>
            <w:vAlign w:val="center"/>
          </w:tcPr>
          <w:p w14:paraId="639F7149"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p>
        </w:tc>
        <w:tc>
          <w:tcPr>
            <w:tcW w:w="3042" w:type="dxa"/>
            <w:vMerge/>
            <w:vAlign w:val="center"/>
          </w:tcPr>
          <w:p w14:paraId="76C9E478"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1993" w:type="dxa"/>
            <w:vAlign w:val="center"/>
          </w:tcPr>
          <w:p w14:paraId="3A4EBF76"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14543/2014</w:t>
            </w:r>
          </w:p>
        </w:tc>
        <w:tc>
          <w:tcPr>
            <w:tcW w:w="1934" w:type="dxa"/>
            <w:vAlign w:val="center"/>
          </w:tcPr>
          <w:p w14:paraId="7A13F30C"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25/01/2018</w:t>
            </w:r>
          </w:p>
        </w:tc>
        <w:tc>
          <w:tcPr>
            <w:tcW w:w="4654" w:type="dxa"/>
            <w:vAlign w:val="center"/>
          </w:tcPr>
          <w:p w14:paraId="6A6003C0"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Infração nº 3013 SÉRIE B - por lançar resíduos líquidos (efluentes) em desacordo com as exigências estabelecidas em leis ou atos normativos.</w:t>
            </w:r>
          </w:p>
        </w:tc>
      </w:tr>
      <w:tr w:rsidR="0091297D" w:rsidRPr="00867CB6" w14:paraId="2C8BA078"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4E1BF202"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36.851.632/0001-06</w:t>
            </w:r>
          </w:p>
        </w:tc>
        <w:tc>
          <w:tcPr>
            <w:tcW w:w="3042" w:type="dxa"/>
            <w:vAlign w:val="center"/>
          </w:tcPr>
          <w:p w14:paraId="212002A2"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Laticínios MB Ltda.</w:t>
            </w:r>
          </w:p>
        </w:tc>
        <w:tc>
          <w:tcPr>
            <w:tcW w:w="1993" w:type="dxa"/>
            <w:vAlign w:val="center"/>
          </w:tcPr>
          <w:p w14:paraId="6411BFDD"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15782/2013</w:t>
            </w:r>
          </w:p>
        </w:tc>
        <w:tc>
          <w:tcPr>
            <w:tcW w:w="1934" w:type="dxa"/>
            <w:vAlign w:val="center"/>
          </w:tcPr>
          <w:p w14:paraId="17FA7846"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21/09/2017</w:t>
            </w:r>
          </w:p>
        </w:tc>
        <w:tc>
          <w:tcPr>
            <w:tcW w:w="4654" w:type="dxa"/>
            <w:vAlign w:val="center"/>
          </w:tcPr>
          <w:p w14:paraId="7EE4D9FC"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2040 SÉRIE B - funcionando sem o devido licenciamento ambiental.</w:t>
            </w:r>
          </w:p>
        </w:tc>
      </w:tr>
      <w:tr w:rsidR="008E2789" w:rsidRPr="00867CB6" w14:paraId="51BD329C"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0397E241"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37.668.399/0001-93</w:t>
            </w:r>
          </w:p>
        </w:tc>
        <w:tc>
          <w:tcPr>
            <w:tcW w:w="3042" w:type="dxa"/>
            <w:vAlign w:val="center"/>
          </w:tcPr>
          <w:p w14:paraId="74CF961A"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Biopele Indústria Comércio de Cosméticos Ltda.</w:t>
            </w:r>
          </w:p>
        </w:tc>
        <w:tc>
          <w:tcPr>
            <w:tcW w:w="1993" w:type="dxa"/>
            <w:vAlign w:val="center"/>
          </w:tcPr>
          <w:p w14:paraId="5ABE5004"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17641/2014</w:t>
            </w:r>
          </w:p>
        </w:tc>
        <w:tc>
          <w:tcPr>
            <w:tcW w:w="1934" w:type="dxa"/>
            <w:vAlign w:val="center"/>
          </w:tcPr>
          <w:p w14:paraId="52108AEF"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08/11/2017</w:t>
            </w:r>
          </w:p>
        </w:tc>
        <w:tc>
          <w:tcPr>
            <w:tcW w:w="4654" w:type="dxa"/>
            <w:vAlign w:val="center"/>
          </w:tcPr>
          <w:p w14:paraId="5FAED8BA"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2571 SÉRIE B - por fazer funcionar atividade potencialmente poluidora sem licença ou autorização dos órgãos ambientais.</w:t>
            </w:r>
          </w:p>
        </w:tc>
      </w:tr>
      <w:tr w:rsidR="0091297D" w:rsidRPr="00867CB6" w14:paraId="684B2DF8"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624B58BF"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47.067.525/0076-25</w:t>
            </w:r>
          </w:p>
        </w:tc>
        <w:tc>
          <w:tcPr>
            <w:tcW w:w="3042" w:type="dxa"/>
            <w:vAlign w:val="center"/>
          </w:tcPr>
          <w:p w14:paraId="7F987B90"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Louis Dreyfus Commodities Brasil S.A</w:t>
            </w:r>
          </w:p>
        </w:tc>
        <w:tc>
          <w:tcPr>
            <w:tcW w:w="1993" w:type="dxa"/>
            <w:vAlign w:val="center"/>
          </w:tcPr>
          <w:p w14:paraId="17C93DE6"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5134/2015</w:t>
            </w:r>
          </w:p>
        </w:tc>
        <w:tc>
          <w:tcPr>
            <w:tcW w:w="1934" w:type="dxa"/>
            <w:vAlign w:val="center"/>
          </w:tcPr>
          <w:p w14:paraId="1E585A54"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18/05/2018</w:t>
            </w:r>
          </w:p>
        </w:tc>
        <w:tc>
          <w:tcPr>
            <w:tcW w:w="4654" w:type="dxa"/>
            <w:vAlign w:val="center"/>
          </w:tcPr>
          <w:p w14:paraId="3E8DFDB7"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4126 SÉRIE B - pelo não atendimento do Auto de Advertência nº 3004 SÉRIE B no prazo estabelecido, referente ao processo nº 4063/2014.</w:t>
            </w:r>
          </w:p>
        </w:tc>
      </w:tr>
      <w:tr w:rsidR="008E2789" w:rsidRPr="00867CB6" w14:paraId="37C1C479"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272F70CA"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61.161.139/0004-54</w:t>
            </w:r>
          </w:p>
        </w:tc>
        <w:tc>
          <w:tcPr>
            <w:tcW w:w="3042" w:type="dxa"/>
            <w:vAlign w:val="center"/>
          </w:tcPr>
          <w:p w14:paraId="6206CC39"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CMP – Companhia Metalgraphica Paulista</w:t>
            </w:r>
          </w:p>
        </w:tc>
        <w:tc>
          <w:tcPr>
            <w:tcW w:w="1993" w:type="dxa"/>
            <w:vAlign w:val="center"/>
          </w:tcPr>
          <w:p w14:paraId="39D5948D"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1009/2014</w:t>
            </w:r>
          </w:p>
        </w:tc>
        <w:tc>
          <w:tcPr>
            <w:tcW w:w="1934" w:type="dxa"/>
            <w:vAlign w:val="center"/>
          </w:tcPr>
          <w:p w14:paraId="51B0CA00"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30/10/2017</w:t>
            </w:r>
          </w:p>
        </w:tc>
        <w:tc>
          <w:tcPr>
            <w:tcW w:w="4654" w:type="dxa"/>
            <w:vAlign w:val="center"/>
          </w:tcPr>
          <w:p w14:paraId="0642479B"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por não atender a exigência do Auto de Advertência nº 1496 SÉRIE B.</w:t>
            </w:r>
          </w:p>
        </w:tc>
      </w:tr>
      <w:tr w:rsidR="0091297D" w:rsidRPr="00867CB6" w14:paraId="30F38783" w14:textId="77777777" w:rsidTr="0091297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1F9B3485"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74.299.660/0009-09</w:t>
            </w:r>
          </w:p>
        </w:tc>
        <w:tc>
          <w:tcPr>
            <w:tcW w:w="3042" w:type="dxa"/>
            <w:vAlign w:val="center"/>
          </w:tcPr>
          <w:p w14:paraId="203A8EA3"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Bonduelle do Brasil Produtos Alimentícios Ltda</w:t>
            </w:r>
          </w:p>
        </w:tc>
        <w:tc>
          <w:tcPr>
            <w:tcW w:w="1993" w:type="dxa"/>
            <w:vAlign w:val="center"/>
          </w:tcPr>
          <w:p w14:paraId="017EBF29"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21757/2013</w:t>
            </w:r>
          </w:p>
        </w:tc>
        <w:tc>
          <w:tcPr>
            <w:tcW w:w="1934" w:type="dxa"/>
            <w:vAlign w:val="center"/>
          </w:tcPr>
          <w:p w14:paraId="7678475B" w14:textId="77777777" w:rsidR="008E2789" w:rsidRPr="00867CB6" w:rsidRDefault="008E2789"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23/08/2017</w:t>
            </w:r>
          </w:p>
        </w:tc>
        <w:tc>
          <w:tcPr>
            <w:tcW w:w="4654" w:type="dxa"/>
            <w:vAlign w:val="center"/>
          </w:tcPr>
          <w:p w14:paraId="7F56687D" w14:textId="77777777" w:rsidR="008E2789" w:rsidRPr="00867CB6" w:rsidRDefault="008E2789"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 1501 SÉRIE B - por funcionar estabelecimento ou atividade utilizadora de recursos ambientais sem a licença de funcionamento em vigor.</w:t>
            </w:r>
          </w:p>
        </w:tc>
      </w:tr>
      <w:tr w:rsidR="008E2789" w:rsidRPr="00867CB6" w14:paraId="13B8BD85" w14:textId="77777777" w:rsidTr="0091297D">
        <w:trPr>
          <w:cantSplit/>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09A26910" w14:textId="77777777" w:rsidR="008E2789" w:rsidRPr="00867CB6" w:rsidRDefault="008E2789" w:rsidP="0043207C">
            <w:pPr>
              <w:spacing w:before="100" w:beforeAutospacing="1" w:after="100" w:afterAutospacing="1" w:line="360" w:lineRule="auto"/>
              <w:jc w:val="center"/>
              <w:rPr>
                <w:rFonts w:ascii="Arial" w:hAnsi="Arial" w:cs="Arial"/>
                <w:b w:val="0"/>
                <w:color w:val="000000"/>
                <w:sz w:val="22"/>
                <w:szCs w:val="22"/>
              </w:rPr>
            </w:pPr>
            <w:r w:rsidRPr="00867CB6">
              <w:rPr>
                <w:rFonts w:ascii="Arial" w:hAnsi="Arial" w:cs="Arial"/>
                <w:b w:val="0"/>
                <w:color w:val="000000"/>
                <w:sz w:val="22"/>
                <w:szCs w:val="22"/>
              </w:rPr>
              <w:t>78.876.950/0043-20</w:t>
            </w:r>
          </w:p>
        </w:tc>
        <w:tc>
          <w:tcPr>
            <w:tcW w:w="3042" w:type="dxa"/>
            <w:vAlign w:val="center"/>
          </w:tcPr>
          <w:p w14:paraId="36A52E54"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Cia Hering</w:t>
            </w:r>
          </w:p>
        </w:tc>
        <w:tc>
          <w:tcPr>
            <w:tcW w:w="1993" w:type="dxa"/>
            <w:vAlign w:val="center"/>
          </w:tcPr>
          <w:p w14:paraId="79EF2A19"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12979/2015</w:t>
            </w:r>
          </w:p>
        </w:tc>
        <w:tc>
          <w:tcPr>
            <w:tcW w:w="1934" w:type="dxa"/>
            <w:vAlign w:val="center"/>
          </w:tcPr>
          <w:p w14:paraId="672EFC43" w14:textId="77777777" w:rsidR="008E2789" w:rsidRPr="00867CB6" w:rsidRDefault="008E2789"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67CB6">
              <w:rPr>
                <w:rFonts w:ascii="Arial" w:hAnsi="Arial" w:cs="Arial"/>
                <w:color w:val="000000"/>
                <w:sz w:val="22"/>
                <w:szCs w:val="22"/>
              </w:rPr>
              <w:t>12/11/2018</w:t>
            </w:r>
          </w:p>
        </w:tc>
        <w:tc>
          <w:tcPr>
            <w:tcW w:w="4654" w:type="dxa"/>
            <w:vAlign w:val="center"/>
          </w:tcPr>
          <w:p w14:paraId="109087DC" w14:textId="77777777" w:rsidR="008E2789" w:rsidRPr="00867CB6" w:rsidRDefault="008E2789"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67CB6">
              <w:rPr>
                <w:rFonts w:ascii="Arial" w:eastAsiaTheme="minorEastAsia" w:hAnsi="Arial" w:cs="Arial"/>
                <w:color w:val="auto"/>
                <w:sz w:val="22"/>
                <w:szCs w:val="22"/>
              </w:rPr>
              <w:t>Auto de Inf. nº 4500 SÉRIE B - por lançar resíduos líquidos óleos ou substâncias oleosas em desacordo com as exigências estabelecidas em leis ou atos normativos. E por deixar de atender as exigências legais devidamente notificado.</w:t>
            </w:r>
          </w:p>
        </w:tc>
      </w:tr>
    </w:tbl>
    <w:p w14:paraId="036F14A2" w14:textId="77777777" w:rsidR="008E2789" w:rsidRDefault="008E2789" w:rsidP="00F74F01">
      <w:pPr>
        <w:spacing w:line="360" w:lineRule="auto"/>
        <w:ind w:firstLine="851"/>
        <w:jc w:val="both"/>
        <w:rPr>
          <w:rFonts w:ascii="Arial" w:hAnsi="Arial" w:cs="Arial"/>
          <w:sz w:val="24"/>
          <w:szCs w:val="24"/>
        </w:rPr>
      </w:pPr>
    </w:p>
    <w:p w14:paraId="60D70EF5" w14:textId="77777777" w:rsidR="008E2789" w:rsidRDefault="008E2789" w:rsidP="00F74F01">
      <w:pPr>
        <w:spacing w:line="360" w:lineRule="auto"/>
        <w:ind w:firstLine="851"/>
        <w:jc w:val="both"/>
        <w:rPr>
          <w:rFonts w:ascii="Arial" w:hAnsi="Arial" w:cs="Arial"/>
          <w:sz w:val="24"/>
          <w:szCs w:val="24"/>
        </w:rPr>
        <w:sectPr w:rsidR="008E2789" w:rsidSect="008E2789">
          <w:pgSz w:w="16840" w:h="11900" w:orient="landscape"/>
          <w:pgMar w:top="1701" w:right="2268" w:bottom="851" w:left="1134" w:header="567" w:footer="284" w:gutter="0"/>
          <w:cols w:space="708"/>
          <w:docGrid w:linePitch="360"/>
        </w:sectPr>
      </w:pPr>
    </w:p>
    <w:p w14:paraId="402B96E0" w14:textId="0F7D9C04" w:rsidR="00D33B8C" w:rsidRDefault="00D33B8C" w:rsidP="00F74F01">
      <w:pPr>
        <w:spacing w:line="360" w:lineRule="auto"/>
        <w:ind w:firstLine="851"/>
        <w:jc w:val="both"/>
        <w:rPr>
          <w:rFonts w:ascii="Arial" w:hAnsi="Arial" w:cs="Arial"/>
          <w:sz w:val="24"/>
          <w:szCs w:val="24"/>
        </w:rPr>
      </w:pPr>
    </w:p>
    <w:p w14:paraId="0236D6BD" w14:textId="106F8234" w:rsidR="00D33B8C" w:rsidRDefault="00867CB6" w:rsidP="00F74F01">
      <w:pPr>
        <w:spacing w:line="360" w:lineRule="auto"/>
        <w:ind w:firstLine="851"/>
        <w:jc w:val="both"/>
        <w:rPr>
          <w:rFonts w:ascii="Arial" w:hAnsi="Arial" w:cs="Arial"/>
          <w:sz w:val="24"/>
          <w:szCs w:val="24"/>
        </w:rPr>
      </w:pPr>
      <w:r>
        <w:rPr>
          <w:rFonts w:ascii="Arial" w:hAnsi="Arial" w:cs="Arial"/>
          <w:sz w:val="24"/>
          <w:szCs w:val="24"/>
        </w:rPr>
        <w:t xml:space="preserve">Ao justificar o porquê do grande número de casos em que reconhecida a prescrição, </w:t>
      </w:r>
      <w:r w:rsidRPr="00D10960">
        <w:rPr>
          <w:rFonts w:ascii="Arial" w:hAnsi="Arial" w:cs="Arial"/>
          <w:b/>
          <w:sz w:val="24"/>
          <w:szCs w:val="24"/>
        </w:rPr>
        <w:t xml:space="preserve">a SEMAD argumentou a ausência de </w:t>
      </w:r>
      <w:r w:rsidR="0038775F" w:rsidRPr="00D10960">
        <w:rPr>
          <w:rFonts w:ascii="Arial" w:hAnsi="Arial" w:cs="Arial"/>
          <w:b/>
          <w:sz w:val="24"/>
          <w:szCs w:val="24"/>
        </w:rPr>
        <w:t>provimento de autoridades julgadoras</w:t>
      </w:r>
      <w:r w:rsidRPr="00D10960">
        <w:rPr>
          <w:rFonts w:ascii="Arial" w:hAnsi="Arial" w:cs="Arial"/>
          <w:b/>
          <w:sz w:val="24"/>
          <w:szCs w:val="24"/>
        </w:rPr>
        <w:t xml:space="preserve"> no período de </w:t>
      </w:r>
      <w:r w:rsidR="008557B6" w:rsidRPr="00D10960">
        <w:rPr>
          <w:rFonts w:ascii="Arial" w:hAnsi="Arial" w:cs="Arial"/>
          <w:b/>
          <w:sz w:val="24"/>
          <w:szCs w:val="24"/>
        </w:rPr>
        <w:t>outubro de 2009 e agosto de 2013</w:t>
      </w:r>
      <w:r w:rsidR="00265C6B">
        <w:rPr>
          <w:rFonts w:ascii="Arial" w:hAnsi="Arial" w:cs="Arial"/>
          <w:sz w:val="24"/>
          <w:szCs w:val="24"/>
        </w:rPr>
        <w:t>, nos seguintes termos:</w:t>
      </w:r>
    </w:p>
    <w:p w14:paraId="62A7853B" w14:textId="77777777" w:rsidR="004079F6" w:rsidRDefault="004079F6" w:rsidP="00F74F01">
      <w:pPr>
        <w:spacing w:line="360" w:lineRule="auto"/>
        <w:ind w:firstLine="851"/>
        <w:jc w:val="both"/>
        <w:rPr>
          <w:rFonts w:ascii="Arial" w:hAnsi="Arial" w:cs="Arial"/>
          <w:sz w:val="24"/>
          <w:szCs w:val="24"/>
        </w:rPr>
      </w:pPr>
    </w:p>
    <w:p w14:paraId="7E97F1BA" w14:textId="5B93B7A0" w:rsidR="00265C6B" w:rsidRPr="004079F6" w:rsidRDefault="00265C6B" w:rsidP="00111340">
      <w:pPr>
        <w:ind w:left="2268"/>
        <w:jc w:val="both"/>
        <w:rPr>
          <w:rFonts w:ascii="Arial" w:hAnsi="Arial" w:cs="Arial"/>
          <w:sz w:val="22"/>
          <w:szCs w:val="22"/>
        </w:rPr>
      </w:pPr>
      <w:r w:rsidRPr="004079F6">
        <w:rPr>
          <w:rFonts w:ascii="Arial" w:hAnsi="Arial" w:cs="Arial"/>
          <w:sz w:val="22"/>
          <w:szCs w:val="22"/>
        </w:rPr>
        <w:t xml:space="preserve">Assinale-se que o elevado número de processos cuja pretensão sancionatória do Estado de Goiás prescreveu decorre do largo intervalo de tempo em que deixou de ser provido o quadro de autoridades julgadoras. Com efeito, </w:t>
      </w:r>
      <w:r w:rsidRPr="000E6EE7">
        <w:rPr>
          <w:rFonts w:ascii="Arial" w:hAnsi="Arial" w:cs="Arial"/>
          <w:b/>
          <w:sz w:val="22"/>
          <w:szCs w:val="22"/>
        </w:rPr>
        <w:t>nos quatro anos em que esta situação ocorreu (16/10/2009 a 28/08/2013), não houve qualquer julgamento de processos versando sobre atos de poder de polícia ambiental</w:t>
      </w:r>
      <w:r w:rsidRPr="004079F6">
        <w:rPr>
          <w:rFonts w:ascii="Arial" w:hAnsi="Arial" w:cs="Arial"/>
          <w:sz w:val="22"/>
          <w:szCs w:val="22"/>
        </w:rPr>
        <w:t xml:space="preserve">. O acúmulo de processos pendentes de julgamento neste intervalo foi bastante significativo: em ordem de grandeza, estimamos </w:t>
      </w:r>
      <w:r w:rsidRPr="000E6EE7">
        <w:rPr>
          <w:rFonts w:ascii="Arial" w:hAnsi="Arial" w:cs="Arial"/>
          <w:sz w:val="22"/>
          <w:szCs w:val="22"/>
          <w:u w:val="single"/>
        </w:rPr>
        <w:t>aproximadamente 3.000 a 4.000 processos cuja pretensão sancionatória estadual restou alcançada pela prescrição</w:t>
      </w:r>
      <w:r w:rsidRPr="004079F6">
        <w:rPr>
          <w:rFonts w:ascii="Arial" w:hAnsi="Arial" w:cs="Arial"/>
          <w:sz w:val="22"/>
          <w:szCs w:val="22"/>
        </w:rPr>
        <w:t>.</w:t>
      </w:r>
      <w:r w:rsidR="00B60854">
        <w:rPr>
          <w:rFonts w:ascii="Arial" w:hAnsi="Arial" w:cs="Arial"/>
          <w:sz w:val="22"/>
          <w:szCs w:val="22"/>
        </w:rPr>
        <w:t xml:space="preserve"> </w:t>
      </w:r>
      <w:r w:rsidR="00B60854" w:rsidRPr="00B60854">
        <w:rPr>
          <w:rFonts w:ascii="Arial" w:hAnsi="Arial" w:cs="Arial"/>
          <w:sz w:val="22"/>
          <w:szCs w:val="22"/>
        </w:rPr>
        <w:t>(Ofício nº 4498/2019-SEMAD, p. 124; Despacho nº 661/2019 – GECAD – 17204, grifou-se)</w:t>
      </w:r>
    </w:p>
    <w:p w14:paraId="0EAACB97" w14:textId="1854FE4D" w:rsidR="00D33B8C" w:rsidRDefault="00D33B8C" w:rsidP="00F74F01">
      <w:pPr>
        <w:spacing w:line="360" w:lineRule="auto"/>
        <w:ind w:firstLine="851"/>
        <w:jc w:val="both"/>
        <w:rPr>
          <w:rFonts w:ascii="Arial" w:hAnsi="Arial" w:cs="Arial"/>
          <w:sz w:val="24"/>
          <w:szCs w:val="24"/>
        </w:rPr>
      </w:pPr>
    </w:p>
    <w:p w14:paraId="60185656" w14:textId="7908826E" w:rsidR="00C40E31" w:rsidRPr="00E95794" w:rsidRDefault="00893C63" w:rsidP="00567785">
      <w:pPr>
        <w:spacing w:line="360" w:lineRule="auto"/>
        <w:ind w:firstLine="851"/>
        <w:jc w:val="both"/>
        <w:rPr>
          <w:rFonts w:ascii="Arial" w:hAnsi="Arial" w:cs="Arial"/>
          <w:sz w:val="24"/>
          <w:szCs w:val="24"/>
        </w:rPr>
      </w:pPr>
      <w:r>
        <w:rPr>
          <w:rFonts w:ascii="Arial" w:hAnsi="Arial" w:cs="Arial"/>
          <w:sz w:val="24"/>
          <w:szCs w:val="24"/>
        </w:rPr>
        <w:t xml:space="preserve">Contudo, </w:t>
      </w:r>
      <w:r w:rsidRPr="00D10960">
        <w:rPr>
          <w:rFonts w:ascii="Arial" w:hAnsi="Arial" w:cs="Arial"/>
          <w:b/>
          <w:sz w:val="24"/>
          <w:szCs w:val="24"/>
        </w:rPr>
        <w:t xml:space="preserve">esta CPI considera </w:t>
      </w:r>
      <w:r w:rsidR="002538B1" w:rsidRPr="00D10960">
        <w:rPr>
          <w:rFonts w:ascii="Arial" w:hAnsi="Arial" w:cs="Arial"/>
          <w:b/>
          <w:sz w:val="24"/>
          <w:szCs w:val="24"/>
        </w:rPr>
        <w:t>ess</w:t>
      </w:r>
      <w:r w:rsidRPr="00D10960">
        <w:rPr>
          <w:rFonts w:ascii="Arial" w:hAnsi="Arial" w:cs="Arial"/>
          <w:b/>
          <w:sz w:val="24"/>
          <w:szCs w:val="24"/>
        </w:rPr>
        <w:t>a resposta manifestamente insatisfatória</w:t>
      </w:r>
      <w:r>
        <w:rPr>
          <w:rFonts w:ascii="Arial" w:hAnsi="Arial" w:cs="Arial"/>
          <w:sz w:val="24"/>
          <w:szCs w:val="24"/>
        </w:rPr>
        <w:t>, visto que</w:t>
      </w:r>
      <w:r w:rsidR="003A11B3">
        <w:rPr>
          <w:rFonts w:ascii="Arial" w:hAnsi="Arial" w:cs="Arial"/>
          <w:sz w:val="24"/>
          <w:szCs w:val="24"/>
        </w:rPr>
        <w:t xml:space="preserve">: </w:t>
      </w:r>
      <w:r w:rsidR="003A11B3" w:rsidRPr="00C40E31">
        <w:rPr>
          <w:rFonts w:ascii="Arial" w:hAnsi="Arial" w:cs="Arial"/>
          <w:sz w:val="24"/>
          <w:szCs w:val="24"/>
          <w:u w:val="single"/>
        </w:rPr>
        <w:t>a)</w:t>
      </w:r>
      <w:r w:rsidR="002538B1" w:rsidRPr="00C40E31">
        <w:rPr>
          <w:rFonts w:ascii="Arial" w:hAnsi="Arial" w:cs="Arial"/>
          <w:sz w:val="24"/>
          <w:szCs w:val="24"/>
          <w:u w:val="single"/>
        </w:rPr>
        <w:t xml:space="preserve"> </w:t>
      </w:r>
      <w:r w:rsidR="00D10960" w:rsidRPr="00C40E31">
        <w:rPr>
          <w:rFonts w:ascii="Arial" w:hAnsi="Arial" w:cs="Arial"/>
          <w:sz w:val="24"/>
          <w:szCs w:val="24"/>
          <w:u w:val="single"/>
        </w:rPr>
        <w:t>não foi apontado qualquer motivo ou circunstância relevante</w:t>
      </w:r>
      <w:r w:rsidR="00D10960">
        <w:rPr>
          <w:rFonts w:ascii="Arial" w:hAnsi="Arial" w:cs="Arial"/>
          <w:sz w:val="24"/>
          <w:szCs w:val="24"/>
        </w:rPr>
        <w:t xml:space="preserve"> para referida ausência de provimento do quadro de autoridades julgadoras</w:t>
      </w:r>
      <w:r w:rsidR="00567785">
        <w:rPr>
          <w:rFonts w:ascii="Arial" w:hAnsi="Arial" w:cs="Arial"/>
          <w:sz w:val="24"/>
          <w:szCs w:val="24"/>
        </w:rPr>
        <w:t>, sendo que cabe ao Governador do Estado definir, por ato seu, as autoridades julgadoras (Lei nº 18.102/2013, art. 62)</w:t>
      </w:r>
      <w:r w:rsidR="003A11B3">
        <w:rPr>
          <w:rFonts w:ascii="Arial" w:hAnsi="Arial" w:cs="Arial"/>
          <w:sz w:val="24"/>
          <w:szCs w:val="24"/>
        </w:rPr>
        <w:t xml:space="preserve">; </w:t>
      </w:r>
      <w:r w:rsidR="003A11B3" w:rsidRPr="00C40E31">
        <w:rPr>
          <w:rFonts w:ascii="Arial" w:hAnsi="Arial" w:cs="Arial"/>
          <w:sz w:val="24"/>
          <w:szCs w:val="24"/>
          <w:u w:val="single"/>
        </w:rPr>
        <w:t xml:space="preserve">b) continuou persistindo </w:t>
      </w:r>
      <w:r w:rsidR="00D10960" w:rsidRPr="00C40E31">
        <w:rPr>
          <w:rFonts w:ascii="Arial" w:hAnsi="Arial" w:cs="Arial"/>
          <w:sz w:val="24"/>
          <w:szCs w:val="24"/>
          <w:u w:val="single"/>
        </w:rPr>
        <w:t xml:space="preserve">o elevado número de casos nos quais a prescrição </w:t>
      </w:r>
      <w:r w:rsidR="0069365F" w:rsidRPr="00C40E31">
        <w:rPr>
          <w:rFonts w:ascii="Arial" w:hAnsi="Arial" w:cs="Arial"/>
          <w:sz w:val="24"/>
          <w:szCs w:val="24"/>
          <w:u w:val="single"/>
        </w:rPr>
        <w:t xml:space="preserve">foi </w:t>
      </w:r>
      <w:r w:rsidR="00D10960" w:rsidRPr="00C40E31">
        <w:rPr>
          <w:rFonts w:ascii="Arial" w:hAnsi="Arial" w:cs="Arial"/>
          <w:sz w:val="24"/>
          <w:szCs w:val="24"/>
          <w:u w:val="single"/>
        </w:rPr>
        <w:t>reconhecida</w:t>
      </w:r>
      <w:r w:rsidR="00D10960">
        <w:rPr>
          <w:rFonts w:ascii="Arial" w:hAnsi="Arial" w:cs="Arial"/>
          <w:sz w:val="24"/>
          <w:szCs w:val="24"/>
        </w:rPr>
        <w:t xml:space="preserve"> mesmo após o alegado provimento dos quadros (28/08/2013)</w:t>
      </w:r>
      <w:r w:rsidR="003A11B3">
        <w:rPr>
          <w:rFonts w:ascii="Arial" w:hAnsi="Arial" w:cs="Arial"/>
          <w:sz w:val="24"/>
          <w:szCs w:val="24"/>
        </w:rPr>
        <w:t xml:space="preserve">, conforme ilustrado na tabela supra (2017, 2018 e até 2019, referente a processos autuados há mais de três anos da data do mencionado reconhecimento); </w:t>
      </w:r>
      <w:r w:rsidR="003A11B3" w:rsidRPr="00C40E31">
        <w:rPr>
          <w:rFonts w:ascii="Arial" w:hAnsi="Arial" w:cs="Arial"/>
          <w:sz w:val="24"/>
          <w:szCs w:val="24"/>
          <w:u w:val="single"/>
        </w:rPr>
        <w:t xml:space="preserve">c) </w:t>
      </w:r>
      <w:r w:rsidR="00C40E31" w:rsidRPr="00C40E31">
        <w:rPr>
          <w:rFonts w:ascii="Arial" w:hAnsi="Arial" w:cs="Arial"/>
          <w:sz w:val="24"/>
          <w:szCs w:val="24"/>
          <w:u w:val="single"/>
        </w:rPr>
        <w:t>não houve qualquer apuração de ilícito funcional</w:t>
      </w:r>
      <w:r w:rsidR="00C40E31" w:rsidRPr="00C40E31">
        <w:rPr>
          <w:rFonts w:ascii="Arial" w:hAnsi="Arial" w:cs="Arial"/>
          <w:sz w:val="24"/>
          <w:szCs w:val="24"/>
        </w:rPr>
        <w:t xml:space="preserve">, decorrente da mencionada paralisação excessiva de processos, </w:t>
      </w:r>
      <w:r w:rsidR="009F3BD7">
        <w:rPr>
          <w:rFonts w:ascii="Arial" w:hAnsi="Arial" w:cs="Arial"/>
          <w:sz w:val="24"/>
          <w:szCs w:val="24"/>
        </w:rPr>
        <w:t xml:space="preserve">como determina </w:t>
      </w:r>
      <w:r w:rsidR="00C40E31" w:rsidRPr="00C40E31">
        <w:rPr>
          <w:rFonts w:ascii="Arial" w:hAnsi="Arial" w:cs="Arial"/>
          <w:sz w:val="24"/>
          <w:szCs w:val="24"/>
        </w:rPr>
        <w:t xml:space="preserve">o § </w:t>
      </w:r>
      <w:r w:rsidR="00650ECC">
        <w:rPr>
          <w:rFonts w:ascii="Arial" w:hAnsi="Arial" w:cs="Arial"/>
          <w:sz w:val="24"/>
          <w:szCs w:val="24"/>
        </w:rPr>
        <w:t>2</w:t>
      </w:r>
      <w:r w:rsidR="00C40E31" w:rsidRPr="00C40E31">
        <w:rPr>
          <w:rFonts w:ascii="Arial" w:hAnsi="Arial" w:cs="Arial"/>
          <w:sz w:val="24"/>
          <w:szCs w:val="24"/>
        </w:rPr>
        <w:t xml:space="preserve">º do </w:t>
      </w:r>
      <w:r w:rsidR="00C40E31">
        <w:rPr>
          <w:rFonts w:ascii="Arial" w:hAnsi="Arial" w:cs="Arial"/>
          <w:sz w:val="24"/>
          <w:szCs w:val="24"/>
        </w:rPr>
        <w:t>art. 26 da Lei nº 18.102/2013</w:t>
      </w:r>
      <w:r w:rsidR="00650ECC">
        <w:rPr>
          <w:rFonts w:ascii="Arial" w:hAnsi="Arial" w:cs="Arial"/>
          <w:sz w:val="24"/>
          <w:szCs w:val="24"/>
        </w:rPr>
        <w:t xml:space="preserve">; </w:t>
      </w:r>
      <w:r w:rsidR="00650ECC" w:rsidRPr="00650ECC">
        <w:rPr>
          <w:rFonts w:ascii="Arial" w:hAnsi="Arial" w:cs="Arial"/>
          <w:sz w:val="24"/>
          <w:szCs w:val="24"/>
          <w:u w:val="single"/>
        </w:rPr>
        <w:t>d) não houve qualquer explicação sobre a efetiva reparação do dano ambiental</w:t>
      </w:r>
      <w:r w:rsidR="00650ECC">
        <w:rPr>
          <w:rFonts w:ascii="Arial" w:hAnsi="Arial" w:cs="Arial"/>
          <w:sz w:val="24"/>
          <w:szCs w:val="24"/>
        </w:rPr>
        <w:t xml:space="preserve">, </w:t>
      </w:r>
      <w:r w:rsidR="009F3BD7">
        <w:rPr>
          <w:rFonts w:ascii="Arial" w:hAnsi="Arial" w:cs="Arial"/>
          <w:sz w:val="24"/>
          <w:szCs w:val="24"/>
        </w:rPr>
        <w:t>como prevê a parte final do § 2º do art. 26 da Lei nº 18.102/2013.</w:t>
      </w:r>
      <w:r w:rsidR="00E95794">
        <w:rPr>
          <w:rFonts w:ascii="Arial" w:hAnsi="Arial" w:cs="Arial"/>
          <w:sz w:val="24"/>
          <w:szCs w:val="24"/>
        </w:rPr>
        <w:t xml:space="preserve"> </w:t>
      </w:r>
      <w:r w:rsidR="00E95794" w:rsidRPr="00567785">
        <w:rPr>
          <w:rFonts w:ascii="Arial" w:hAnsi="Arial" w:cs="Arial"/>
          <w:b/>
          <w:sz w:val="24"/>
          <w:szCs w:val="24"/>
        </w:rPr>
        <w:t>Tendo em vista esse cenário caótico, recomenda-se que</w:t>
      </w:r>
      <w:r w:rsidR="00E95794">
        <w:rPr>
          <w:rFonts w:ascii="Arial" w:hAnsi="Arial" w:cs="Arial"/>
          <w:sz w:val="24"/>
          <w:szCs w:val="24"/>
        </w:rPr>
        <w:t>:</w:t>
      </w:r>
      <w:r w:rsidR="00567785">
        <w:rPr>
          <w:rFonts w:ascii="Arial" w:hAnsi="Arial" w:cs="Arial"/>
          <w:sz w:val="24"/>
          <w:szCs w:val="24"/>
        </w:rPr>
        <w:t xml:space="preserve"> a) </w:t>
      </w:r>
      <w:r w:rsidR="00E95794" w:rsidRPr="00E95794">
        <w:rPr>
          <w:rFonts w:ascii="Arial" w:hAnsi="Arial" w:cs="Arial"/>
          <w:sz w:val="24"/>
          <w:szCs w:val="24"/>
        </w:rPr>
        <w:t>o MPGO apure a responsabilidade funcional decorrente da paralisação e cobre a efetiva reparação do dano ambiental, como determina a legislação;</w:t>
      </w:r>
      <w:r w:rsidR="00567785">
        <w:rPr>
          <w:rFonts w:ascii="Arial" w:hAnsi="Arial" w:cs="Arial"/>
          <w:sz w:val="24"/>
          <w:szCs w:val="24"/>
        </w:rPr>
        <w:t xml:space="preserve"> b) </w:t>
      </w:r>
      <w:r w:rsidR="00E95794">
        <w:rPr>
          <w:rFonts w:ascii="Arial" w:hAnsi="Arial" w:cs="Arial"/>
          <w:sz w:val="24"/>
          <w:szCs w:val="24"/>
        </w:rPr>
        <w:t>SEMAD apure</w:t>
      </w:r>
      <w:r w:rsidR="0010394F">
        <w:rPr>
          <w:rFonts w:ascii="Arial" w:hAnsi="Arial" w:cs="Arial"/>
          <w:sz w:val="24"/>
          <w:szCs w:val="24"/>
        </w:rPr>
        <w:t xml:space="preserve"> se em relação aos casos mencionados é possível determinar o período, a partir de 2014,</w:t>
      </w:r>
      <w:r w:rsidR="00E95794" w:rsidRPr="00E95794">
        <w:rPr>
          <w:rFonts w:ascii="Arial" w:hAnsi="Arial" w:cs="Arial"/>
          <w:sz w:val="24"/>
          <w:szCs w:val="24"/>
        </w:rPr>
        <w:t xml:space="preserve"> durante o qual perdurou</w:t>
      </w:r>
      <w:r w:rsidR="0010394F">
        <w:rPr>
          <w:rFonts w:ascii="Arial" w:hAnsi="Arial" w:cs="Arial"/>
          <w:sz w:val="24"/>
          <w:szCs w:val="24"/>
        </w:rPr>
        <w:t xml:space="preserve"> a irregularidade e, uma vez formalizada essa identificação, seja o feito encaminhado para inscrição em dívida ativa relativamente aos valores indevidamente fruídos a título de incentivos fiscais e posterior adoção das medidas executivas pertinentes pelo órgão de advocacia pública</w:t>
      </w:r>
      <w:r w:rsidR="006A721E">
        <w:rPr>
          <w:rFonts w:ascii="Arial" w:hAnsi="Arial" w:cs="Arial"/>
          <w:sz w:val="24"/>
          <w:szCs w:val="24"/>
        </w:rPr>
        <w:t xml:space="preserve"> estatal</w:t>
      </w:r>
      <w:r w:rsidR="0010394F">
        <w:rPr>
          <w:rFonts w:ascii="Arial" w:hAnsi="Arial" w:cs="Arial"/>
          <w:sz w:val="24"/>
          <w:szCs w:val="24"/>
        </w:rPr>
        <w:t>.</w:t>
      </w:r>
    </w:p>
    <w:p w14:paraId="32C62750" w14:textId="30571A44" w:rsidR="00D33B8C" w:rsidRDefault="00D33B8C" w:rsidP="00F74F01">
      <w:pPr>
        <w:spacing w:line="360" w:lineRule="auto"/>
        <w:ind w:firstLine="851"/>
        <w:jc w:val="both"/>
        <w:rPr>
          <w:rFonts w:ascii="Arial" w:hAnsi="Arial" w:cs="Arial"/>
          <w:sz w:val="24"/>
          <w:szCs w:val="24"/>
        </w:rPr>
      </w:pPr>
    </w:p>
    <w:p w14:paraId="6987AD8D" w14:textId="77777777" w:rsidR="00722594" w:rsidRDefault="00722594" w:rsidP="00F17663">
      <w:pPr>
        <w:spacing w:line="360" w:lineRule="auto"/>
        <w:ind w:firstLine="851"/>
        <w:jc w:val="both"/>
        <w:rPr>
          <w:rFonts w:ascii="Arial" w:hAnsi="Arial" w:cs="Arial"/>
          <w:b/>
          <w:sz w:val="24"/>
          <w:szCs w:val="24"/>
        </w:rPr>
        <w:sectPr w:rsidR="00722594" w:rsidSect="00EE3640">
          <w:pgSz w:w="11900" w:h="16840"/>
          <w:pgMar w:top="2268" w:right="851" w:bottom="1134" w:left="1701" w:header="567" w:footer="284" w:gutter="0"/>
          <w:cols w:space="708"/>
          <w:docGrid w:linePitch="360"/>
        </w:sectPr>
      </w:pPr>
    </w:p>
    <w:p w14:paraId="498E2025" w14:textId="77777777" w:rsidR="00722594" w:rsidRDefault="00722594" w:rsidP="00F17663">
      <w:pPr>
        <w:spacing w:line="360" w:lineRule="auto"/>
        <w:ind w:firstLine="851"/>
        <w:jc w:val="both"/>
        <w:rPr>
          <w:rFonts w:ascii="Arial" w:hAnsi="Arial" w:cs="Arial"/>
          <w:b/>
          <w:sz w:val="24"/>
          <w:szCs w:val="24"/>
        </w:rPr>
      </w:pPr>
    </w:p>
    <w:p w14:paraId="634BB9AB" w14:textId="7F321B04" w:rsidR="00F17663" w:rsidRDefault="00F17663" w:rsidP="00F17663">
      <w:pPr>
        <w:spacing w:line="360" w:lineRule="auto"/>
        <w:ind w:firstLine="851"/>
        <w:jc w:val="both"/>
        <w:rPr>
          <w:rFonts w:ascii="Arial" w:hAnsi="Arial" w:cs="Arial"/>
          <w:sz w:val="24"/>
          <w:szCs w:val="24"/>
        </w:rPr>
      </w:pPr>
      <w:r>
        <w:rPr>
          <w:rFonts w:ascii="Arial" w:hAnsi="Arial" w:cs="Arial"/>
          <w:b/>
          <w:sz w:val="24"/>
          <w:szCs w:val="24"/>
        </w:rPr>
        <w:t>8.3.7</w:t>
      </w:r>
      <w:r w:rsidRPr="00BE40D6">
        <w:rPr>
          <w:rFonts w:ascii="Arial" w:hAnsi="Arial" w:cs="Arial"/>
          <w:b/>
          <w:sz w:val="24"/>
          <w:szCs w:val="24"/>
        </w:rPr>
        <w:t>.</w:t>
      </w:r>
      <w:r>
        <w:rPr>
          <w:rFonts w:ascii="Arial" w:hAnsi="Arial" w:cs="Arial"/>
          <w:sz w:val="24"/>
          <w:szCs w:val="24"/>
        </w:rPr>
        <w:t xml:space="preserve"> O </w:t>
      </w:r>
      <w:r w:rsidRPr="006C2A1A">
        <w:rPr>
          <w:rFonts w:ascii="Arial" w:hAnsi="Arial" w:cs="Arial"/>
          <w:b/>
          <w:sz w:val="24"/>
          <w:szCs w:val="24"/>
          <w:u w:val="single"/>
        </w:rPr>
        <w:t>segundo grupo de empresas identificado por esta CPI recebeu penalidade de multa</w:t>
      </w:r>
      <w:r>
        <w:rPr>
          <w:rFonts w:ascii="Arial" w:hAnsi="Arial" w:cs="Arial"/>
          <w:sz w:val="24"/>
          <w:szCs w:val="24"/>
        </w:rPr>
        <w:t xml:space="preserve">, tendo sido a maioria delas pagas e um único caso inscrito em dívida ativa, conforme ilustrado na tabela abaixo: </w:t>
      </w:r>
    </w:p>
    <w:tbl>
      <w:tblPr>
        <w:tblStyle w:val="TabeladeGrade6Colorida-nfase3"/>
        <w:tblW w:w="5487" w:type="pct"/>
        <w:tblLook w:val="04A0" w:firstRow="1" w:lastRow="0" w:firstColumn="1" w:lastColumn="0" w:noHBand="0" w:noVBand="1"/>
      </w:tblPr>
      <w:tblGrid>
        <w:gridCol w:w="2406"/>
        <w:gridCol w:w="2164"/>
        <w:gridCol w:w="1586"/>
        <w:gridCol w:w="1608"/>
        <w:gridCol w:w="1618"/>
        <w:gridCol w:w="1565"/>
        <w:gridCol w:w="3789"/>
      </w:tblGrid>
      <w:tr w:rsidR="005A24EE" w:rsidRPr="005C500D" w14:paraId="79AB15B7" w14:textId="77777777" w:rsidTr="008C59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59FED6FA" w14:textId="77777777" w:rsidR="006C2A1A" w:rsidRPr="005C500D" w:rsidRDefault="006C2A1A" w:rsidP="0043207C">
            <w:pPr>
              <w:spacing w:before="100" w:beforeAutospacing="1" w:after="100" w:afterAutospacing="1" w:line="360" w:lineRule="auto"/>
              <w:jc w:val="center"/>
              <w:rPr>
                <w:rFonts w:ascii="Arial" w:eastAsiaTheme="minorEastAsia" w:hAnsi="Arial" w:cs="Arial"/>
                <w:color w:val="auto"/>
                <w:sz w:val="24"/>
                <w:szCs w:val="24"/>
              </w:rPr>
            </w:pPr>
            <w:r w:rsidRPr="005C500D">
              <w:rPr>
                <w:rFonts w:ascii="Arial" w:eastAsiaTheme="minorEastAsia" w:hAnsi="Arial" w:cs="Arial"/>
                <w:color w:val="auto"/>
                <w:sz w:val="24"/>
                <w:szCs w:val="24"/>
              </w:rPr>
              <w:t>CNPJ</w:t>
            </w:r>
          </w:p>
        </w:tc>
        <w:tc>
          <w:tcPr>
            <w:tcW w:w="2037" w:type="dxa"/>
            <w:vAlign w:val="center"/>
          </w:tcPr>
          <w:p w14:paraId="208A0E10" w14:textId="77777777" w:rsidR="006C2A1A" w:rsidRPr="005C500D" w:rsidRDefault="006C2A1A" w:rsidP="00432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Razão Social</w:t>
            </w:r>
          </w:p>
        </w:tc>
        <w:tc>
          <w:tcPr>
            <w:tcW w:w="1593" w:type="dxa"/>
            <w:vAlign w:val="center"/>
          </w:tcPr>
          <w:p w14:paraId="6B4A3C19" w14:textId="77777777" w:rsidR="006C2A1A" w:rsidRPr="005C500D" w:rsidRDefault="006C2A1A" w:rsidP="00432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Nº. Processo (s)</w:t>
            </w:r>
          </w:p>
        </w:tc>
        <w:tc>
          <w:tcPr>
            <w:tcW w:w="1612" w:type="dxa"/>
            <w:vAlign w:val="center"/>
          </w:tcPr>
          <w:p w14:paraId="19F08571" w14:textId="77777777" w:rsidR="006C2A1A" w:rsidRPr="005C500D" w:rsidRDefault="006C2A1A" w:rsidP="00432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Data da decisão</w:t>
            </w:r>
          </w:p>
        </w:tc>
        <w:tc>
          <w:tcPr>
            <w:tcW w:w="1618" w:type="dxa"/>
            <w:vAlign w:val="center"/>
          </w:tcPr>
          <w:p w14:paraId="3B3C0B5B" w14:textId="77777777" w:rsidR="006C2A1A" w:rsidRPr="005C500D" w:rsidRDefault="006C2A1A" w:rsidP="00432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Valor da Multa (R$)</w:t>
            </w:r>
          </w:p>
        </w:tc>
        <w:tc>
          <w:tcPr>
            <w:tcW w:w="1575" w:type="dxa"/>
            <w:vAlign w:val="center"/>
          </w:tcPr>
          <w:p w14:paraId="098C6A98" w14:textId="77777777" w:rsidR="006C2A1A" w:rsidRPr="005C500D" w:rsidRDefault="006C2A1A" w:rsidP="00432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Valor pago   (R$)</w:t>
            </w:r>
          </w:p>
        </w:tc>
        <w:tc>
          <w:tcPr>
            <w:tcW w:w="3896" w:type="dxa"/>
            <w:vAlign w:val="center"/>
          </w:tcPr>
          <w:p w14:paraId="6AE1F619" w14:textId="77777777" w:rsidR="006C2A1A" w:rsidRPr="005C500D" w:rsidRDefault="006C2A1A" w:rsidP="00432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Observação</w:t>
            </w:r>
          </w:p>
        </w:tc>
      </w:tr>
      <w:tr w:rsidR="006C2A1A" w:rsidRPr="005C500D" w14:paraId="5A8DE67E" w14:textId="77777777" w:rsidTr="008C595C">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03293FCB" w14:textId="77777777" w:rsidR="004B3C83" w:rsidRPr="005C500D" w:rsidRDefault="004B3C83" w:rsidP="0043207C">
            <w:pPr>
              <w:spacing w:before="100" w:beforeAutospacing="1" w:after="100" w:afterAutospacing="1" w:line="360" w:lineRule="auto"/>
              <w:jc w:val="center"/>
              <w:rPr>
                <w:rFonts w:ascii="Arial" w:hAnsi="Arial" w:cs="Arial"/>
                <w:b w:val="0"/>
                <w:color w:val="000000"/>
                <w:sz w:val="24"/>
                <w:szCs w:val="24"/>
              </w:rPr>
            </w:pPr>
          </w:p>
          <w:p w14:paraId="621767E5" w14:textId="00E8EF19"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00.080.671/0021-53</w:t>
            </w:r>
          </w:p>
          <w:p w14:paraId="336CF867" w14:textId="662E7EB3"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p>
        </w:tc>
        <w:tc>
          <w:tcPr>
            <w:tcW w:w="2037" w:type="dxa"/>
            <w:vAlign w:val="center"/>
          </w:tcPr>
          <w:p w14:paraId="7682690C" w14:textId="77777777" w:rsidR="006C2A1A" w:rsidRPr="005C500D" w:rsidRDefault="006C2A1A" w:rsidP="006E7987">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Caramuru Alimentos S.A</w:t>
            </w:r>
          </w:p>
        </w:tc>
        <w:tc>
          <w:tcPr>
            <w:tcW w:w="1593" w:type="dxa"/>
            <w:vAlign w:val="center"/>
          </w:tcPr>
          <w:p w14:paraId="0404E534"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6253/2013</w:t>
            </w:r>
          </w:p>
        </w:tc>
        <w:tc>
          <w:tcPr>
            <w:tcW w:w="1612" w:type="dxa"/>
            <w:vAlign w:val="center"/>
          </w:tcPr>
          <w:p w14:paraId="4AD9A879"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03/06/2013</w:t>
            </w:r>
          </w:p>
        </w:tc>
        <w:tc>
          <w:tcPr>
            <w:tcW w:w="1618" w:type="dxa"/>
            <w:vAlign w:val="center"/>
          </w:tcPr>
          <w:p w14:paraId="1B2106B9"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3.000,00</w:t>
            </w:r>
          </w:p>
        </w:tc>
        <w:tc>
          <w:tcPr>
            <w:tcW w:w="1575" w:type="dxa"/>
            <w:vAlign w:val="center"/>
          </w:tcPr>
          <w:p w14:paraId="5D0B95BC"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3.000,00</w:t>
            </w:r>
          </w:p>
        </w:tc>
        <w:tc>
          <w:tcPr>
            <w:tcW w:w="3896" w:type="dxa"/>
            <w:vAlign w:val="center"/>
          </w:tcPr>
          <w:p w14:paraId="207C45C9"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 0574 SÉRIE B - pelo descumprimento ao Of. n° 010/2013, da não instalação do sistema de contenção de água de lavagem das cinzas; por não dar destinação correta a estas e pela não instalação de filtro de manga dentro do prazo estipulado.</w:t>
            </w:r>
          </w:p>
        </w:tc>
      </w:tr>
      <w:tr w:rsidR="005A24EE" w:rsidRPr="005C500D" w14:paraId="6331377C" w14:textId="77777777" w:rsidTr="008C595C">
        <w:trPr>
          <w:trHeight w:val="313"/>
        </w:trPr>
        <w:tc>
          <w:tcPr>
            <w:cnfStyle w:val="001000000000" w:firstRow="0" w:lastRow="0" w:firstColumn="1" w:lastColumn="0" w:oddVBand="0" w:evenVBand="0" w:oddHBand="0" w:evenHBand="0" w:firstRowFirstColumn="0" w:firstRowLastColumn="0" w:lastRowFirstColumn="0" w:lastRowLastColumn="0"/>
            <w:tcW w:w="2405" w:type="dxa"/>
            <w:vMerge w:val="restart"/>
            <w:noWrap/>
            <w:vAlign w:val="center"/>
          </w:tcPr>
          <w:p w14:paraId="506E8138" w14:textId="77777777" w:rsidR="004B3C83" w:rsidRPr="005C500D" w:rsidRDefault="004B3C83" w:rsidP="0043207C">
            <w:pPr>
              <w:spacing w:before="100" w:beforeAutospacing="1" w:after="100" w:afterAutospacing="1" w:line="360" w:lineRule="auto"/>
              <w:jc w:val="center"/>
              <w:rPr>
                <w:rFonts w:ascii="Arial" w:hAnsi="Arial" w:cs="Arial"/>
                <w:b w:val="0"/>
                <w:color w:val="000000"/>
                <w:sz w:val="24"/>
                <w:szCs w:val="24"/>
              </w:rPr>
            </w:pPr>
          </w:p>
          <w:p w14:paraId="106EF869" w14:textId="44BE37C6"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00.</w:t>
            </w:r>
            <w:r w:rsidR="006C2A1A" w:rsidRPr="005C500D">
              <w:rPr>
                <w:rFonts w:ascii="Arial" w:hAnsi="Arial" w:cs="Arial"/>
                <w:b w:val="0"/>
                <w:color w:val="000000"/>
                <w:sz w:val="24"/>
                <w:szCs w:val="24"/>
              </w:rPr>
              <w:t>321.240/0014-02</w:t>
            </w:r>
          </w:p>
          <w:p w14:paraId="10D04BA4" w14:textId="63B2E8DF" w:rsidR="004B3C83" w:rsidRPr="005C500D" w:rsidRDefault="004B3C83" w:rsidP="0043207C">
            <w:pPr>
              <w:spacing w:before="100" w:beforeAutospacing="1" w:after="100" w:afterAutospacing="1" w:line="360" w:lineRule="auto"/>
              <w:jc w:val="center"/>
              <w:rPr>
                <w:rFonts w:ascii="Arial" w:hAnsi="Arial" w:cs="Arial"/>
                <w:b w:val="0"/>
                <w:color w:val="000000"/>
                <w:sz w:val="24"/>
                <w:szCs w:val="24"/>
              </w:rPr>
            </w:pPr>
          </w:p>
        </w:tc>
        <w:tc>
          <w:tcPr>
            <w:tcW w:w="2037" w:type="dxa"/>
            <w:vMerge w:val="restart"/>
            <w:vAlign w:val="center"/>
          </w:tcPr>
          <w:p w14:paraId="21F27A38"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Móveis German – Ind. e Com. Hotéis e Turismo</w:t>
            </w:r>
          </w:p>
        </w:tc>
        <w:tc>
          <w:tcPr>
            <w:tcW w:w="1593" w:type="dxa"/>
            <w:tcBorders>
              <w:bottom w:val="single" w:sz="4" w:space="0" w:color="C9C9C9" w:themeColor="accent3" w:themeTint="99"/>
            </w:tcBorders>
            <w:vAlign w:val="center"/>
          </w:tcPr>
          <w:p w14:paraId="6E476D30"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4727/2017</w:t>
            </w:r>
          </w:p>
        </w:tc>
        <w:tc>
          <w:tcPr>
            <w:tcW w:w="1612" w:type="dxa"/>
            <w:tcBorders>
              <w:bottom w:val="single" w:sz="4" w:space="0" w:color="C9C9C9" w:themeColor="accent3" w:themeTint="99"/>
            </w:tcBorders>
            <w:vAlign w:val="center"/>
          </w:tcPr>
          <w:p w14:paraId="4534C924"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19/06/2017</w:t>
            </w:r>
          </w:p>
        </w:tc>
        <w:tc>
          <w:tcPr>
            <w:tcW w:w="1618" w:type="dxa"/>
            <w:tcBorders>
              <w:bottom w:val="single" w:sz="4" w:space="0" w:color="C9C9C9" w:themeColor="accent3" w:themeTint="99"/>
            </w:tcBorders>
            <w:vAlign w:val="center"/>
          </w:tcPr>
          <w:p w14:paraId="151549EA"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1.500,00</w:t>
            </w:r>
          </w:p>
        </w:tc>
        <w:tc>
          <w:tcPr>
            <w:tcW w:w="1575" w:type="dxa"/>
            <w:tcBorders>
              <w:bottom w:val="single" w:sz="4" w:space="0" w:color="C9C9C9" w:themeColor="accent3" w:themeTint="99"/>
            </w:tcBorders>
            <w:vAlign w:val="center"/>
          </w:tcPr>
          <w:p w14:paraId="6CC155B2"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1.050,00</w:t>
            </w:r>
          </w:p>
        </w:tc>
        <w:tc>
          <w:tcPr>
            <w:tcW w:w="3896" w:type="dxa"/>
            <w:tcBorders>
              <w:bottom w:val="single" w:sz="4" w:space="0" w:color="C9C9C9" w:themeColor="accent3" w:themeTint="99"/>
            </w:tcBorders>
            <w:vAlign w:val="center"/>
          </w:tcPr>
          <w:p w14:paraId="500176A3"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3823 SÉRIE B - por deixar de informar a destinação final de 577,9062m³ de produtos florestais de origem nativa (madeira serrada prancha, tábua, viga e sarrafo) no sistema oficial de controle.</w:t>
            </w:r>
          </w:p>
        </w:tc>
      </w:tr>
      <w:tr w:rsidR="006C2A1A" w:rsidRPr="005C500D" w14:paraId="0CBFF77B" w14:textId="77777777" w:rsidTr="008C595C">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2405" w:type="dxa"/>
            <w:vMerge/>
            <w:noWrap/>
            <w:vAlign w:val="center"/>
          </w:tcPr>
          <w:p w14:paraId="722A7BF1"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p>
        </w:tc>
        <w:tc>
          <w:tcPr>
            <w:tcW w:w="2037" w:type="dxa"/>
            <w:vMerge/>
            <w:vAlign w:val="center"/>
          </w:tcPr>
          <w:p w14:paraId="62E1BBF8"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p>
        </w:tc>
        <w:tc>
          <w:tcPr>
            <w:tcW w:w="1593" w:type="dxa"/>
            <w:tcBorders>
              <w:top w:val="single" w:sz="4" w:space="0" w:color="C9C9C9" w:themeColor="accent3" w:themeTint="99"/>
            </w:tcBorders>
            <w:shd w:val="clear" w:color="auto" w:fill="FFFFFF" w:themeFill="background1"/>
            <w:vAlign w:val="center"/>
          </w:tcPr>
          <w:p w14:paraId="08F4F6D5"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4734/2017</w:t>
            </w:r>
          </w:p>
        </w:tc>
        <w:tc>
          <w:tcPr>
            <w:tcW w:w="1612" w:type="dxa"/>
            <w:tcBorders>
              <w:top w:val="single" w:sz="4" w:space="0" w:color="C9C9C9" w:themeColor="accent3" w:themeTint="99"/>
            </w:tcBorders>
            <w:shd w:val="clear" w:color="auto" w:fill="FFFFFF" w:themeFill="background1"/>
            <w:vAlign w:val="center"/>
          </w:tcPr>
          <w:p w14:paraId="38AE05C6"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19/06/2017</w:t>
            </w:r>
          </w:p>
        </w:tc>
        <w:tc>
          <w:tcPr>
            <w:tcW w:w="1618" w:type="dxa"/>
            <w:tcBorders>
              <w:top w:val="single" w:sz="4" w:space="0" w:color="C9C9C9" w:themeColor="accent3" w:themeTint="99"/>
            </w:tcBorders>
            <w:shd w:val="clear" w:color="auto" w:fill="FFFFFF" w:themeFill="background1"/>
            <w:vAlign w:val="center"/>
          </w:tcPr>
          <w:p w14:paraId="07203FD8"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1.500,00</w:t>
            </w:r>
          </w:p>
        </w:tc>
        <w:tc>
          <w:tcPr>
            <w:tcW w:w="1575" w:type="dxa"/>
            <w:tcBorders>
              <w:top w:val="single" w:sz="4" w:space="0" w:color="C9C9C9" w:themeColor="accent3" w:themeTint="99"/>
            </w:tcBorders>
            <w:shd w:val="clear" w:color="auto" w:fill="FFFFFF" w:themeFill="background1"/>
            <w:vAlign w:val="center"/>
          </w:tcPr>
          <w:p w14:paraId="7B3DFCCF"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1.050,00</w:t>
            </w:r>
          </w:p>
        </w:tc>
        <w:tc>
          <w:tcPr>
            <w:tcW w:w="3896" w:type="dxa"/>
            <w:tcBorders>
              <w:top w:val="single" w:sz="4" w:space="0" w:color="C9C9C9" w:themeColor="accent3" w:themeTint="99"/>
            </w:tcBorders>
            <w:shd w:val="clear" w:color="auto" w:fill="FFFFFF" w:themeFill="background1"/>
            <w:vAlign w:val="center"/>
          </w:tcPr>
          <w:p w14:paraId="14188C02"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3824 SÉRIE B - por prestar informações falsas no sistema oficial de controle (sistema DOF) ao informar o recebimento de documentos de origem florestal fora do prazo de validade dos mesmos.</w:t>
            </w:r>
          </w:p>
        </w:tc>
      </w:tr>
      <w:tr w:rsidR="006C2A1A" w:rsidRPr="005C500D" w14:paraId="52AADF89" w14:textId="77777777" w:rsidTr="008C595C">
        <w:trPr>
          <w:trHeight w:val="516"/>
        </w:trPr>
        <w:tc>
          <w:tcPr>
            <w:cnfStyle w:val="001000000000" w:firstRow="0" w:lastRow="0" w:firstColumn="1" w:lastColumn="0" w:oddVBand="0" w:evenVBand="0" w:oddHBand="0" w:evenHBand="0" w:firstRowFirstColumn="0" w:firstRowLastColumn="0" w:lastRowFirstColumn="0" w:lastRowLastColumn="0"/>
            <w:tcW w:w="2405" w:type="dxa"/>
            <w:shd w:val="clear" w:color="auto" w:fill="EDEDED" w:themeFill="accent3" w:themeFillTint="33"/>
            <w:noWrap/>
            <w:vAlign w:val="center"/>
          </w:tcPr>
          <w:p w14:paraId="3B85D97D" w14:textId="313C1E67"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lastRenderedPageBreak/>
              <w:t>00.</w:t>
            </w:r>
            <w:r w:rsidR="006C2A1A" w:rsidRPr="005C500D">
              <w:rPr>
                <w:rFonts w:ascii="Arial" w:hAnsi="Arial" w:cs="Arial"/>
                <w:b w:val="0"/>
                <w:color w:val="000000"/>
                <w:sz w:val="24"/>
                <w:szCs w:val="24"/>
              </w:rPr>
              <w:t>892.208/0001-62</w:t>
            </w:r>
          </w:p>
        </w:tc>
        <w:tc>
          <w:tcPr>
            <w:tcW w:w="2037" w:type="dxa"/>
            <w:shd w:val="clear" w:color="auto" w:fill="EDEDED" w:themeFill="accent3" w:themeFillTint="33"/>
            <w:vAlign w:val="center"/>
          </w:tcPr>
          <w:p w14:paraId="18F565E8"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Villas – Ind. e Com. De Couros Ltda</w:t>
            </w:r>
          </w:p>
        </w:tc>
        <w:tc>
          <w:tcPr>
            <w:tcW w:w="1593" w:type="dxa"/>
            <w:shd w:val="clear" w:color="auto" w:fill="EDEDED" w:themeFill="accent3" w:themeFillTint="33"/>
            <w:vAlign w:val="center"/>
          </w:tcPr>
          <w:p w14:paraId="1953326D"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8681/2014</w:t>
            </w:r>
          </w:p>
        </w:tc>
        <w:tc>
          <w:tcPr>
            <w:tcW w:w="1612" w:type="dxa"/>
            <w:shd w:val="clear" w:color="auto" w:fill="EDEDED" w:themeFill="accent3" w:themeFillTint="33"/>
            <w:vAlign w:val="center"/>
          </w:tcPr>
          <w:p w14:paraId="27C23B78"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08/03/2018</w:t>
            </w:r>
          </w:p>
        </w:tc>
        <w:tc>
          <w:tcPr>
            <w:tcW w:w="1618" w:type="dxa"/>
            <w:shd w:val="clear" w:color="auto" w:fill="EDEDED" w:themeFill="accent3" w:themeFillTint="33"/>
            <w:vAlign w:val="center"/>
          </w:tcPr>
          <w:p w14:paraId="61702317"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100.000,00</w:t>
            </w:r>
          </w:p>
        </w:tc>
        <w:tc>
          <w:tcPr>
            <w:tcW w:w="1575" w:type="dxa"/>
            <w:shd w:val="clear" w:color="auto" w:fill="EDEDED" w:themeFill="accent3" w:themeFillTint="33"/>
            <w:vAlign w:val="center"/>
          </w:tcPr>
          <w:p w14:paraId="25FF018C"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18.229,97</w:t>
            </w:r>
          </w:p>
        </w:tc>
        <w:tc>
          <w:tcPr>
            <w:tcW w:w="3896" w:type="dxa"/>
            <w:shd w:val="clear" w:color="auto" w:fill="EDEDED" w:themeFill="accent3" w:themeFillTint="33"/>
            <w:vAlign w:val="center"/>
          </w:tcPr>
          <w:p w14:paraId="5AA4A35B"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1175 SÉRIE B - por lançar resíduos líquidos, sólidos e industriais no solo em área de influência da empresa em desacordo com a legislação em vigor.</w:t>
            </w:r>
          </w:p>
          <w:p w14:paraId="42EB29AE" w14:textId="63897195" w:rsidR="00C11B6C" w:rsidRPr="005C500D" w:rsidRDefault="00C11B6C" w:rsidP="0043207C">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b/>
                <w:color w:val="000000"/>
                <w:sz w:val="24"/>
                <w:szCs w:val="24"/>
              </w:rPr>
              <w:t>Valor do auto foi minorado para R$  15.000,00 – Decisão de 2ª Instância</w:t>
            </w:r>
            <w:r w:rsidRPr="005C500D">
              <w:rPr>
                <w:rFonts w:ascii="Arial" w:hAnsi="Arial" w:cs="Arial"/>
                <w:color w:val="000000"/>
                <w:sz w:val="24"/>
                <w:szCs w:val="24"/>
              </w:rPr>
              <w:t>.</w:t>
            </w:r>
          </w:p>
        </w:tc>
      </w:tr>
      <w:tr w:rsidR="006C2A1A" w:rsidRPr="005C500D" w14:paraId="45300D79"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noWrap/>
            <w:vAlign w:val="center"/>
          </w:tcPr>
          <w:p w14:paraId="004E771F" w14:textId="29853650"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w:t>
            </w:r>
            <w:r w:rsidR="006C2A1A" w:rsidRPr="005C500D">
              <w:rPr>
                <w:rFonts w:ascii="Arial" w:hAnsi="Arial" w:cs="Arial"/>
                <w:b w:val="0"/>
                <w:color w:val="000000"/>
                <w:sz w:val="24"/>
                <w:szCs w:val="24"/>
              </w:rPr>
              <w:t>2.089.969/0005-30</w:t>
            </w:r>
          </w:p>
        </w:tc>
        <w:tc>
          <w:tcPr>
            <w:tcW w:w="2037" w:type="dxa"/>
            <w:shd w:val="clear" w:color="auto" w:fill="auto"/>
            <w:vAlign w:val="center"/>
          </w:tcPr>
          <w:p w14:paraId="5D3C8666"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Laticínios Bela Vista Ltda</w:t>
            </w:r>
          </w:p>
        </w:tc>
        <w:tc>
          <w:tcPr>
            <w:tcW w:w="1593" w:type="dxa"/>
            <w:shd w:val="clear" w:color="auto" w:fill="auto"/>
            <w:vAlign w:val="center"/>
          </w:tcPr>
          <w:p w14:paraId="75FCE25A"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16633/2013</w:t>
            </w:r>
          </w:p>
        </w:tc>
        <w:tc>
          <w:tcPr>
            <w:tcW w:w="1612" w:type="dxa"/>
            <w:shd w:val="clear" w:color="auto" w:fill="auto"/>
            <w:vAlign w:val="center"/>
          </w:tcPr>
          <w:p w14:paraId="0184831F"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22/04/2019</w:t>
            </w:r>
          </w:p>
        </w:tc>
        <w:tc>
          <w:tcPr>
            <w:tcW w:w="1618" w:type="dxa"/>
            <w:shd w:val="clear" w:color="auto" w:fill="auto"/>
            <w:vAlign w:val="center"/>
          </w:tcPr>
          <w:p w14:paraId="53A6E971"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100.000,00</w:t>
            </w:r>
          </w:p>
        </w:tc>
        <w:tc>
          <w:tcPr>
            <w:tcW w:w="1575" w:type="dxa"/>
            <w:shd w:val="clear" w:color="auto" w:fill="auto"/>
            <w:vAlign w:val="center"/>
          </w:tcPr>
          <w:p w14:paraId="45568232"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96.906,63</w:t>
            </w:r>
          </w:p>
        </w:tc>
        <w:tc>
          <w:tcPr>
            <w:tcW w:w="3896" w:type="dxa"/>
            <w:shd w:val="clear" w:color="auto" w:fill="auto"/>
            <w:vAlign w:val="center"/>
          </w:tcPr>
          <w:p w14:paraId="22CD9DEB"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0748 SÉRIE B - por lançar dejetos no córrego sussuapara.</w:t>
            </w:r>
          </w:p>
        </w:tc>
      </w:tr>
      <w:tr w:rsidR="006C2A1A" w:rsidRPr="005C500D" w14:paraId="03F0AF21" w14:textId="77777777" w:rsidTr="008C595C">
        <w:tc>
          <w:tcPr>
            <w:cnfStyle w:val="001000000000" w:firstRow="0" w:lastRow="0" w:firstColumn="1" w:lastColumn="0" w:oddVBand="0" w:evenVBand="0" w:oddHBand="0" w:evenHBand="0" w:firstRowFirstColumn="0" w:firstRowLastColumn="0" w:lastRowFirstColumn="0" w:lastRowLastColumn="0"/>
            <w:tcW w:w="2405" w:type="dxa"/>
            <w:shd w:val="clear" w:color="auto" w:fill="EDEDED" w:themeFill="accent3" w:themeFillTint="33"/>
            <w:noWrap/>
            <w:vAlign w:val="center"/>
          </w:tcPr>
          <w:p w14:paraId="5F81B146" w14:textId="5BF69A06"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w:t>
            </w:r>
            <w:r w:rsidR="006C2A1A" w:rsidRPr="005C500D">
              <w:rPr>
                <w:rFonts w:ascii="Arial" w:hAnsi="Arial" w:cs="Arial"/>
                <w:b w:val="0"/>
                <w:color w:val="000000"/>
                <w:sz w:val="24"/>
                <w:szCs w:val="24"/>
              </w:rPr>
              <w:t>2.207.934/0001-24</w:t>
            </w:r>
          </w:p>
        </w:tc>
        <w:tc>
          <w:tcPr>
            <w:tcW w:w="2037" w:type="dxa"/>
            <w:shd w:val="clear" w:color="auto" w:fill="EDEDED" w:themeFill="accent3" w:themeFillTint="33"/>
            <w:vAlign w:val="center"/>
          </w:tcPr>
          <w:p w14:paraId="0D7AADDD"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Biocap Indústria de Cosméticos Ltda</w:t>
            </w:r>
          </w:p>
        </w:tc>
        <w:tc>
          <w:tcPr>
            <w:tcW w:w="1593" w:type="dxa"/>
            <w:shd w:val="clear" w:color="auto" w:fill="EDEDED" w:themeFill="accent3" w:themeFillTint="33"/>
            <w:vAlign w:val="center"/>
          </w:tcPr>
          <w:p w14:paraId="366CAC2F"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15265/2015</w:t>
            </w:r>
          </w:p>
        </w:tc>
        <w:tc>
          <w:tcPr>
            <w:tcW w:w="1612" w:type="dxa"/>
            <w:shd w:val="clear" w:color="auto" w:fill="EDEDED" w:themeFill="accent3" w:themeFillTint="33"/>
            <w:vAlign w:val="center"/>
          </w:tcPr>
          <w:p w14:paraId="02166A0F"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10/12/2018</w:t>
            </w:r>
          </w:p>
        </w:tc>
        <w:tc>
          <w:tcPr>
            <w:tcW w:w="1618" w:type="dxa"/>
            <w:shd w:val="clear" w:color="auto" w:fill="EDEDED" w:themeFill="accent3" w:themeFillTint="33"/>
            <w:vAlign w:val="center"/>
          </w:tcPr>
          <w:p w14:paraId="30EF72E7"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w:t>
            </w:r>
          </w:p>
        </w:tc>
        <w:tc>
          <w:tcPr>
            <w:tcW w:w="1575" w:type="dxa"/>
            <w:shd w:val="clear" w:color="auto" w:fill="EDEDED" w:themeFill="accent3" w:themeFillTint="33"/>
            <w:vAlign w:val="center"/>
          </w:tcPr>
          <w:p w14:paraId="6D17DD43"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3.997,98</w:t>
            </w:r>
          </w:p>
        </w:tc>
        <w:tc>
          <w:tcPr>
            <w:tcW w:w="3896" w:type="dxa"/>
            <w:tcBorders>
              <w:bottom w:val="single" w:sz="4" w:space="0" w:color="C9C9C9" w:themeColor="accent3" w:themeTint="99"/>
            </w:tcBorders>
            <w:shd w:val="clear" w:color="auto" w:fill="EDEDED" w:themeFill="accent3" w:themeFillTint="33"/>
            <w:vAlign w:val="center"/>
          </w:tcPr>
          <w:p w14:paraId="47903FE9"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4434 SÉRIE  - por deixar de atender e apresentar relatório e informação ambiental nos prazos determinados considerando o Doc. nº 11813/2015 SLQA processo nº 11767/2013.</w:t>
            </w:r>
          </w:p>
        </w:tc>
      </w:tr>
      <w:tr w:rsidR="004E720E" w:rsidRPr="005C500D" w14:paraId="45CEC0A7"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FFFFFF" w:themeFill="background1"/>
            <w:noWrap/>
            <w:vAlign w:val="center"/>
          </w:tcPr>
          <w:p w14:paraId="4765471C" w14:textId="11219606" w:rsidR="004E720E" w:rsidRPr="005C500D" w:rsidRDefault="004E720E" w:rsidP="004E720E">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02.312.244/0001-35</w:t>
            </w:r>
          </w:p>
        </w:tc>
        <w:tc>
          <w:tcPr>
            <w:tcW w:w="2037" w:type="dxa"/>
            <w:shd w:val="clear" w:color="auto" w:fill="FFFFFF" w:themeFill="background1"/>
            <w:vAlign w:val="center"/>
          </w:tcPr>
          <w:p w14:paraId="1365DB6F" w14:textId="50852990" w:rsidR="004E720E" w:rsidRPr="005C500D" w:rsidRDefault="004E720E" w:rsidP="004E72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color w:val="000000"/>
                <w:sz w:val="24"/>
                <w:szCs w:val="24"/>
              </w:rPr>
              <w:t>Petrópolis Industrial Produtos de Limpeza</w:t>
            </w:r>
          </w:p>
        </w:tc>
        <w:tc>
          <w:tcPr>
            <w:tcW w:w="1593" w:type="dxa"/>
            <w:shd w:val="clear" w:color="auto" w:fill="FFFFFF" w:themeFill="background1"/>
            <w:vAlign w:val="center"/>
          </w:tcPr>
          <w:p w14:paraId="459FF822" w14:textId="1F985ACC" w:rsidR="004E720E" w:rsidRPr="005C500D" w:rsidRDefault="004E720E" w:rsidP="004E72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color w:val="000000"/>
                <w:sz w:val="24"/>
                <w:szCs w:val="24"/>
              </w:rPr>
              <w:t>4858/2018</w:t>
            </w:r>
          </w:p>
        </w:tc>
        <w:tc>
          <w:tcPr>
            <w:tcW w:w="1612" w:type="dxa"/>
            <w:shd w:val="clear" w:color="auto" w:fill="FFFFFF" w:themeFill="background1"/>
            <w:vAlign w:val="center"/>
          </w:tcPr>
          <w:p w14:paraId="24FEFCC8" w14:textId="32E003A6" w:rsidR="004E720E" w:rsidRPr="005C500D" w:rsidRDefault="004E720E" w:rsidP="004E72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color w:val="000000"/>
                <w:sz w:val="24"/>
                <w:szCs w:val="24"/>
              </w:rPr>
              <w:t>02/07/2018</w:t>
            </w:r>
          </w:p>
        </w:tc>
        <w:tc>
          <w:tcPr>
            <w:tcW w:w="1618" w:type="dxa"/>
            <w:shd w:val="clear" w:color="auto" w:fill="FFFFFF" w:themeFill="background1"/>
            <w:vAlign w:val="center"/>
          </w:tcPr>
          <w:p w14:paraId="6534429F" w14:textId="56F8D257" w:rsidR="004E720E" w:rsidRPr="005C500D" w:rsidRDefault="004E720E" w:rsidP="004E72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w:t>
            </w:r>
          </w:p>
        </w:tc>
        <w:tc>
          <w:tcPr>
            <w:tcW w:w="1575" w:type="dxa"/>
            <w:shd w:val="clear" w:color="auto" w:fill="FFFFFF" w:themeFill="background1"/>
            <w:vAlign w:val="center"/>
          </w:tcPr>
          <w:p w14:paraId="20ECAFEC" w14:textId="22AA480C" w:rsidR="004E720E" w:rsidRPr="005C500D" w:rsidRDefault="004E720E" w:rsidP="004E72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3.500,00</w:t>
            </w:r>
          </w:p>
        </w:tc>
        <w:tc>
          <w:tcPr>
            <w:tcW w:w="3896" w:type="dxa"/>
            <w:tcBorders>
              <w:bottom w:val="single" w:sz="4" w:space="0" w:color="C9C9C9" w:themeColor="accent3" w:themeTint="99"/>
            </w:tcBorders>
            <w:shd w:val="clear" w:color="auto" w:fill="FFFFFF" w:themeFill="background1"/>
            <w:vAlign w:val="center"/>
          </w:tcPr>
          <w:p w14:paraId="3325A243" w14:textId="0E40DDB7" w:rsidR="004E720E" w:rsidRPr="005C500D" w:rsidRDefault="004E720E" w:rsidP="004E720E">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4"/>
                <w:szCs w:val="24"/>
              </w:rPr>
            </w:pPr>
            <w:r w:rsidRPr="005C500D">
              <w:rPr>
                <w:rFonts w:ascii="Arial" w:eastAsiaTheme="minorEastAsia" w:hAnsi="Arial" w:cs="Arial"/>
                <w:color w:val="auto"/>
                <w:sz w:val="24"/>
                <w:szCs w:val="24"/>
              </w:rPr>
              <w:t>Auto de Infração nº 4775 SÉRIE B - por deixar de atender o Auto de Advertência nº 4759 SÉRIE B em relação a acondicionamento de resíduos, sucatas e tambores contendo produtos químicos, estando assim espelhados pelo pátio da empresa</w:t>
            </w:r>
          </w:p>
        </w:tc>
      </w:tr>
      <w:tr w:rsidR="004E720E" w:rsidRPr="005C500D" w14:paraId="6DCC85FB" w14:textId="77777777" w:rsidTr="008C595C">
        <w:tc>
          <w:tcPr>
            <w:cnfStyle w:val="001000000000" w:firstRow="0" w:lastRow="0" w:firstColumn="1" w:lastColumn="0" w:oddVBand="0" w:evenVBand="0" w:oddHBand="0" w:evenHBand="0" w:firstRowFirstColumn="0" w:firstRowLastColumn="0" w:lastRowFirstColumn="0" w:lastRowLastColumn="0"/>
            <w:tcW w:w="2405" w:type="dxa"/>
            <w:vMerge w:val="restart"/>
            <w:shd w:val="clear" w:color="auto" w:fill="F2F2F2" w:themeFill="background1" w:themeFillShade="F2"/>
            <w:noWrap/>
            <w:vAlign w:val="center"/>
          </w:tcPr>
          <w:p w14:paraId="5C6BEFE5" w14:textId="27C02F30"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w:t>
            </w:r>
            <w:r w:rsidR="006C2A1A" w:rsidRPr="005C500D">
              <w:rPr>
                <w:rFonts w:ascii="Arial" w:hAnsi="Arial" w:cs="Arial"/>
                <w:b w:val="0"/>
                <w:color w:val="000000"/>
                <w:sz w:val="24"/>
                <w:szCs w:val="24"/>
              </w:rPr>
              <w:t>2.859.452/0002-30</w:t>
            </w:r>
          </w:p>
        </w:tc>
        <w:tc>
          <w:tcPr>
            <w:tcW w:w="2037" w:type="dxa"/>
            <w:vMerge w:val="restart"/>
            <w:shd w:val="clear" w:color="auto" w:fill="F2F2F2" w:themeFill="background1" w:themeFillShade="F2"/>
            <w:vAlign w:val="center"/>
          </w:tcPr>
          <w:p w14:paraId="33DF14CF"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Vale do Verdão S.A – Açúcar e Álcool</w:t>
            </w:r>
          </w:p>
        </w:tc>
        <w:tc>
          <w:tcPr>
            <w:tcW w:w="1593" w:type="dxa"/>
            <w:shd w:val="clear" w:color="auto" w:fill="F2F2F2" w:themeFill="background1" w:themeFillShade="F2"/>
            <w:vAlign w:val="center"/>
          </w:tcPr>
          <w:p w14:paraId="102E2344"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15362/2017</w:t>
            </w:r>
          </w:p>
        </w:tc>
        <w:tc>
          <w:tcPr>
            <w:tcW w:w="1612" w:type="dxa"/>
            <w:shd w:val="clear" w:color="auto" w:fill="F2F2F2" w:themeFill="background1" w:themeFillShade="F2"/>
            <w:vAlign w:val="center"/>
          </w:tcPr>
          <w:p w14:paraId="550BA7EA"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14/03/2016</w:t>
            </w:r>
          </w:p>
        </w:tc>
        <w:tc>
          <w:tcPr>
            <w:tcW w:w="1618" w:type="dxa"/>
            <w:shd w:val="clear" w:color="auto" w:fill="F2F2F2" w:themeFill="background1" w:themeFillShade="F2"/>
            <w:vAlign w:val="center"/>
          </w:tcPr>
          <w:p w14:paraId="3B35AF66"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w:t>
            </w:r>
          </w:p>
        </w:tc>
        <w:tc>
          <w:tcPr>
            <w:tcW w:w="1575" w:type="dxa"/>
            <w:shd w:val="clear" w:color="auto" w:fill="F2F2F2" w:themeFill="background1" w:themeFillShade="F2"/>
            <w:vAlign w:val="center"/>
          </w:tcPr>
          <w:p w14:paraId="1596AB68"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3.500,00</w:t>
            </w:r>
          </w:p>
        </w:tc>
        <w:tc>
          <w:tcPr>
            <w:tcW w:w="3896" w:type="dxa"/>
            <w:shd w:val="clear" w:color="auto" w:fill="F2F2F2" w:themeFill="background1" w:themeFillShade="F2"/>
            <w:vAlign w:val="center"/>
          </w:tcPr>
          <w:p w14:paraId="503A75F8"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3200 SÉRIE B - por  deixar de atender com o  estabelecido no Auto de Advertência nº 3140 SÉRIE B dentro do prazo concedido.</w:t>
            </w:r>
          </w:p>
        </w:tc>
      </w:tr>
      <w:tr w:rsidR="006C2A1A" w:rsidRPr="005C500D" w14:paraId="08FF97E8"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F2F2F2" w:themeFill="background1" w:themeFillShade="F2"/>
            <w:noWrap/>
            <w:vAlign w:val="center"/>
          </w:tcPr>
          <w:p w14:paraId="5A3CD4AF"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p>
        </w:tc>
        <w:tc>
          <w:tcPr>
            <w:tcW w:w="2037" w:type="dxa"/>
            <w:vMerge/>
            <w:shd w:val="clear" w:color="auto" w:fill="F2F2F2" w:themeFill="background1" w:themeFillShade="F2"/>
            <w:vAlign w:val="center"/>
          </w:tcPr>
          <w:p w14:paraId="6AB829FE"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p>
        </w:tc>
        <w:tc>
          <w:tcPr>
            <w:tcW w:w="1593" w:type="dxa"/>
            <w:shd w:val="clear" w:color="auto" w:fill="F2F2F2" w:themeFill="background1" w:themeFillShade="F2"/>
            <w:vAlign w:val="center"/>
          </w:tcPr>
          <w:p w14:paraId="362FEF1C"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2317/2018</w:t>
            </w:r>
          </w:p>
        </w:tc>
        <w:tc>
          <w:tcPr>
            <w:tcW w:w="1612" w:type="dxa"/>
            <w:shd w:val="clear" w:color="auto" w:fill="F2F2F2" w:themeFill="background1" w:themeFillShade="F2"/>
            <w:vAlign w:val="center"/>
          </w:tcPr>
          <w:p w14:paraId="67F4C5FC"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23/05/2018</w:t>
            </w:r>
          </w:p>
        </w:tc>
        <w:tc>
          <w:tcPr>
            <w:tcW w:w="1618" w:type="dxa"/>
            <w:shd w:val="clear" w:color="auto" w:fill="F2F2F2" w:themeFill="background1" w:themeFillShade="F2"/>
            <w:vAlign w:val="center"/>
          </w:tcPr>
          <w:p w14:paraId="345C32F5"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w:t>
            </w:r>
          </w:p>
        </w:tc>
        <w:tc>
          <w:tcPr>
            <w:tcW w:w="1575" w:type="dxa"/>
            <w:shd w:val="clear" w:color="auto" w:fill="F2F2F2" w:themeFill="background1" w:themeFillShade="F2"/>
            <w:vAlign w:val="center"/>
          </w:tcPr>
          <w:p w14:paraId="501BB5BF"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35.000,00</w:t>
            </w:r>
          </w:p>
        </w:tc>
        <w:tc>
          <w:tcPr>
            <w:tcW w:w="3896" w:type="dxa"/>
            <w:shd w:val="clear" w:color="auto" w:fill="F2F2F2" w:themeFill="background1" w:themeFillShade="F2"/>
            <w:vAlign w:val="center"/>
          </w:tcPr>
          <w:p w14:paraId="52184AEF"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4782 SÉRIE B - por não comunicar ao órgão ambiental - SECIMA - com o incidente ocorrido com os lavadores de gases da caldeira, ocorrido que ocasionou fuligem para população.</w:t>
            </w:r>
          </w:p>
        </w:tc>
      </w:tr>
      <w:tr w:rsidR="004E720E" w:rsidRPr="005C500D" w14:paraId="09884FF5" w14:textId="77777777" w:rsidTr="008C595C">
        <w:tc>
          <w:tcPr>
            <w:cnfStyle w:val="001000000000" w:firstRow="0" w:lastRow="0" w:firstColumn="1" w:lastColumn="0" w:oddVBand="0" w:evenVBand="0" w:oddHBand="0" w:evenHBand="0" w:firstRowFirstColumn="0" w:firstRowLastColumn="0" w:lastRowFirstColumn="0" w:lastRowLastColumn="0"/>
            <w:tcW w:w="2405" w:type="dxa"/>
            <w:vMerge/>
            <w:shd w:val="clear" w:color="auto" w:fill="F2F2F2" w:themeFill="background1" w:themeFillShade="F2"/>
            <w:noWrap/>
            <w:vAlign w:val="center"/>
          </w:tcPr>
          <w:p w14:paraId="50735408"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p>
        </w:tc>
        <w:tc>
          <w:tcPr>
            <w:tcW w:w="2037" w:type="dxa"/>
            <w:vMerge/>
            <w:shd w:val="clear" w:color="auto" w:fill="F2F2F2" w:themeFill="background1" w:themeFillShade="F2"/>
            <w:vAlign w:val="center"/>
          </w:tcPr>
          <w:p w14:paraId="736B8BF2"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tc>
        <w:tc>
          <w:tcPr>
            <w:tcW w:w="1593" w:type="dxa"/>
            <w:shd w:val="clear" w:color="auto" w:fill="F2F2F2" w:themeFill="background1" w:themeFillShade="F2"/>
            <w:vAlign w:val="center"/>
          </w:tcPr>
          <w:p w14:paraId="7FE4C955"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6975/2017</w:t>
            </w:r>
          </w:p>
        </w:tc>
        <w:tc>
          <w:tcPr>
            <w:tcW w:w="1612" w:type="dxa"/>
            <w:shd w:val="clear" w:color="auto" w:fill="F2F2F2" w:themeFill="background1" w:themeFillShade="F2"/>
            <w:vAlign w:val="center"/>
          </w:tcPr>
          <w:p w14:paraId="070CBCFD"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03/08/2017</w:t>
            </w:r>
          </w:p>
        </w:tc>
        <w:tc>
          <w:tcPr>
            <w:tcW w:w="1618" w:type="dxa"/>
            <w:shd w:val="clear" w:color="auto" w:fill="F2F2F2" w:themeFill="background1" w:themeFillShade="F2"/>
            <w:vAlign w:val="center"/>
          </w:tcPr>
          <w:p w14:paraId="0EBAFA2C"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50.000,00</w:t>
            </w:r>
          </w:p>
        </w:tc>
        <w:tc>
          <w:tcPr>
            <w:tcW w:w="1575" w:type="dxa"/>
            <w:shd w:val="clear" w:color="auto" w:fill="F2F2F2" w:themeFill="background1" w:themeFillShade="F2"/>
            <w:vAlign w:val="center"/>
          </w:tcPr>
          <w:p w14:paraId="361C2FAB"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3.500,00</w:t>
            </w:r>
          </w:p>
        </w:tc>
        <w:tc>
          <w:tcPr>
            <w:tcW w:w="3896" w:type="dxa"/>
            <w:shd w:val="clear" w:color="auto" w:fill="F2F2F2" w:themeFill="background1" w:themeFillShade="F2"/>
            <w:vAlign w:val="center"/>
          </w:tcPr>
          <w:p w14:paraId="725D8A1C"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3976 SÉRIE B - por utilizar recurso hídrico (poço artesiano sem a devida outorga de uso de água) e por armazenar irregularmente embalagens vazias de agrotóxicos na fazenda fronteira - descumprimento das condicionantes da Licença de Funcionamento nº 461/2009.</w:t>
            </w:r>
          </w:p>
        </w:tc>
      </w:tr>
      <w:tr w:rsidR="006C2A1A" w:rsidRPr="005C500D" w14:paraId="3A36489E"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noWrap/>
            <w:vAlign w:val="center"/>
          </w:tcPr>
          <w:p w14:paraId="4D70202D"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p>
        </w:tc>
        <w:tc>
          <w:tcPr>
            <w:tcW w:w="2037" w:type="dxa"/>
            <w:vMerge/>
            <w:vAlign w:val="center"/>
          </w:tcPr>
          <w:p w14:paraId="618F44B3"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p>
        </w:tc>
        <w:tc>
          <w:tcPr>
            <w:tcW w:w="1593" w:type="dxa"/>
            <w:vAlign w:val="center"/>
          </w:tcPr>
          <w:p w14:paraId="504B6583"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1955/2015</w:t>
            </w:r>
          </w:p>
        </w:tc>
        <w:tc>
          <w:tcPr>
            <w:tcW w:w="1612" w:type="dxa"/>
            <w:vAlign w:val="center"/>
          </w:tcPr>
          <w:p w14:paraId="77822E4D"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07/10/2019</w:t>
            </w:r>
          </w:p>
        </w:tc>
        <w:tc>
          <w:tcPr>
            <w:tcW w:w="1618" w:type="dxa"/>
            <w:vAlign w:val="center"/>
          </w:tcPr>
          <w:p w14:paraId="58372666"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50.000,00</w:t>
            </w:r>
          </w:p>
        </w:tc>
        <w:tc>
          <w:tcPr>
            <w:tcW w:w="1575" w:type="dxa"/>
            <w:shd w:val="clear" w:color="auto" w:fill="F2F2F2" w:themeFill="background1" w:themeFillShade="F2"/>
            <w:vAlign w:val="center"/>
          </w:tcPr>
          <w:p w14:paraId="56C8FC95"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3.500,00</w:t>
            </w:r>
          </w:p>
        </w:tc>
        <w:tc>
          <w:tcPr>
            <w:tcW w:w="3896" w:type="dxa"/>
            <w:shd w:val="clear" w:color="auto" w:fill="F2F2F2" w:themeFill="background1" w:themeFillShade="F2"/>
            <w:vAlign w:val="center"/>
          </w:tcPr>
          <w:p w14:paraId="778EBEAF"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2529 SÉRIE B - por descumprir condicionantes da Licença de Funcionamento nº 2004/2013.</w:t>
            </w:r>
          </w:p>
        </w:tc>
      </w:tr>
      <w:tr w:rsidR="004E720E" w:rsidRPr="005C500D" w14:paraId="1B0961A5" w14:textId="77777777" w:rsidTr="008C595C">
        <w:tc>
          <w:tcPr>
            <w:cnfStyle w:val="001000000000" w:firstRow="0" w:lastRow="0" w:firstColumn="1" w:lastColumn="0" w:oddVBand="0" w:evenVBand="0" w:oddHBand="0" w:evenHBand="0" w:firstRowFirstColumn="0" w:firstRowLastColumn="0" w:lastRowFirstColumn="0" w:lastRowLastColumn="0"/>
            <w:tcW w:w="2405" w:type="dxa"/>
            <w:vMerge/>
            <w:noWrap/>
            <w:vAlign w:val="center"/>
          </w:tcPr>
          <w:p w14:paraId="4F8CB7C7"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p>
        </w:tc>
        <w:tc>
          <w:tcPr>
            <w:tcW w:w="2037" w:type="dxa"/>
            <w:vMerge/>
            <w:vAlign w:val="center"/>
          </w:tcPr>
          <w:p w14:paraId="64733A16"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tc>
        <w:tc>
          <w:tcPr>
            <w:tcW w:w="1593" w:type="dxa"/>
            <w:shd w:val="clear" w:color="auto" w:fill="F2F2F2" w:themeFill="background1" w:themeFillShade="F2"/>
            <w:vAlign w:val="center"/>
          </w:tcPr>
          <w:p w14:paraId="3388544E"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2319/2018</w:t>
            </w:r>
          </w:p>
        </w:tc>
        <w:tc>
          <w:tcPr>
            <w:tcW w:w="1612" w:type="dxa"/>
            <w:shd w:val="clear" w:color="auto" w:fill="F2F2F2" w:themeFill="background1" w:themeFillShade="F2"/>
            <w:vAlign w:val="center"/>
          </w:tcPr>
          <w:p w14:paraId="101706E9"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23/05/2018</w:t>
            </w:r>
          </w:p>
        </w:tc>
        <w:tc>
          <w:tcPr>
            <w:tcW w:w="1618" w:type="dxa"/>
            <w:shd w:val="clear" w:color="auto" w:fill="F2F2F2" w:themeFill="background1" w:themeFillShade="F2"/>
            <w:vAlign w:val="center"/>
          </w:tcPr>
          <w:p w14:paraId="5E70D290"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50.000,00</w:t>
            </w:r>
          </w:p>
        </w:tc>
        <w:tc>
          <w:tcPr>
            <w:tcW w:w="1575" w:type="dxa"/>
            <w:shd w:val="clear" w:color="auto" w:fill="F2F2F2" w:themeFill="background1" w:themeFillShade="F2"/>
            <w:vAlign w:val="center"/>
          </w:tcPr>
          <w:p w14:paraId="294AC7D0"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3.500,00</w:t>
            </w:r>
          </w:p>
        </w:tc>
        <w:tc>
          <w:tcPr>
            <w:tcW w:w="3896" w:type="dxa"/>
            <w:shd w:val="clear" w:color="auto" w:fill="F2F2F2" w:themeFill="background1" w:themeFillShade="F2"/>
            <w:vAlign w:val="center"/>
          </w:tcPr>
          <w:p w14:paraId="34E046D0"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4783 SÉRIE B - por lançar resíduos gasosos ou detritos nas caldeiras (d) e (a), provenientes da emissão de poluentes atmosféricos gerados em processos de calor a partir da construção , em desacordo com as exigências.</w:t>
            </w:r>
          </w:p>
        </w:tc>
      </w:tr>
      <w:tr w:rsidR="006C2A1A" w:rsidRPr="005C500D" w14:paraId="7229821D"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noWrap/>
            <w:vAlign w:val="center"/>
          </w:tcPr>
          <w:p w14:paraId="51F3C6BD"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p>
        </w:tc>
        <w:tc>
          <w:tcPr>
            <w:tcW w:w="2037" w:type="dxa"/>
            <w:vMerge/>
            <w:vAlign w:val="center"/>
          </w:tcPr>
          <w:p w14:paraId="101C2BA9"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p>
        </w:tc>
        <w:tc>
          <w:tcPr>
            <w:tcW w:w="1593" w:type="dxa"/>
            <w:vAlign w:val="center"/>
          </w:tcPr>
          <w:p w14:paraId="23C3B48F"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2322/2018</w:t>
            </w:r>
          </w:p>
        </w:tc>
        <w:tc>
          <w:tcPr>
            <w:tcW w:w="1612" w:type="dxa"/>
            <w:vAlign w:val="center"/>
          </w:tcPr>
          <w:p w14:paraId="25F29456"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23/05/2018</w:t>
            </w:r>
          </w:p>
        </w:tc>
        <w:tc>
          <w:tcPr>
            <w:tcW w:w="1618" w:type="dxa"/>
            <w:vAlign w:val="center"/>
          </w:tcPr>
          <w:p w14:paraId="66317E88"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50.000,00</w:t>
            </w:r>
          </w:p>
        </w:tc>
        <w:tc>
          <w:tcPr>
            <w:tcW w:w="1575" w:type="dxa"/>
            <w:shd w:val="clear" w:color="auto" w:fill="F2F2F2" w:themeFill="background1" w:themeFillShade="F2"/>
            <w:vAlign w:val="center"/>
          </w:tcPr>
          <w:p w14:paraId="13D018B3"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3.500,00</w:t>
            </w:r>
          </w:p>
        </w:tc>
        <w:tc>
          <w:tcPr>
            <w:tcW w:w="3896" w:type="dxa"/>
            <w:shd w:val="clear" w:color="auto" w:fill="F2F2F2" w:themeFill="background1" w:themeFillShade="F2"/>
            <w:vAlign w:val="center"/>
          </w:tcPr>
          <w:p w14:paraId="31505715"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 xml:space="preserve">Auto de Inf. nº 4784 SÉRIE B - por descumprir o item 3 das exigências técnicas </w:t>
            </w:r>
            <w:r w:rsidRPr="005C500D">
              <w:rPr>
                <w:rFonts w:ascii="Arial" w:eastAsiaTheme="minorEastAsia" w:hAnsi="Arial" w:cs="Arial"/>
                <w:color w:val="auto"/>
                <w:sz w:val="24"/>
                <w:szCs w:val="24"/>
              </w:rPr>
              <w:lastRenderedPageBreak/>
              <w:t>complementares da Licença de Funcionamento nº 2204/2013.</w:t>
            </w:r>
          </w:p>
        </w:tc>
      </w:tr>
      <w:tr w:rsidR="006C2A1A" w:rsidRPr="005C500D" w14:paraId="1D672DC1" w14:textId="77777777" w:rsidTr="008C595C">
        <w:tc>
          <w:tcPr>
            <w:cnfStyle w:val="001000000000" w:firstRow="0" w:lastRow="0" w:firstColumn="1" w:lastColumn="0" w:oddVBand="0" w:evenVBand="0" w:oddHBand="0" w:evenHBand="0" w:firstRowFirstColumn="0" w:firstRowLastColumn="0" w:lastRowFirstColumn="0" w:lastRowLastColumn="0"/>
            <w:tcW w:w="2405" w:type="dxa"/>
            <w:shd w:val="clear" w:color="auto" w:fill="auto"/>
            <w:noWrap/>
            <w:vAlign w:val="center"/>
          </w:tcPr>
          <w:p w14:paraId="3D71894C" w14:textId="79B639CD"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lastRenderedPageBreak/>
              <w:t>0</w:t>
            </w:r>
            <w:r w:rsidR="006C2A1A" w:rsidRPr="005C500D">
              <w:rPr>
                <w:rFonts w:ascii="Arial" w:hAnsi="Arial" w:cs="Arial"/>
                <w:b w:val="0"/>
                <w:color w:val="000000"/>
                <w:sz w:val="24"/>
                <w:szCs w:val="24"/>
              </w:rPr>
              <w:t>3.347.747/0001-09</w:t>
            </w:r>
          </w:p>
        </w:tc>
        <w:tc>
          <w:tcPr>
            <w:tcW w:w="2037" w:type="dxa"/>
            <w:shd w:val="clear" w:color="auto" w:fill="auto"/>
            <w:vAlign w:val="center"/>
          </w:tcPr>
          <w:p w14:paraId="47ACFEB4"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Cooperativa Agroindustrial de Rubiataba Ltda.</w:t>
            </w:r>
          </w:p>
        </w:tc>
        <w:tc>
          <w:tcPr>
            <w:tcW w:w="1593" w:type="dxa"/>
            <w:shd w:val="clear" w:color="auto" w:fill="auto"/>
            <w:vAlign w:val="center"/>
          </w:tcPr>
          <w:p w14:paraId="52B40DEA"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17391/2013</w:t>
            </w:r>
          </w:p>
        </w:tc>
        <w:tc>
          <w:tcPr>
            <w:tcW w:w="1612" w:type="dxa"/>
            <w:shd w:val="clear" w:color="auto" w:fill="auto"/>
            <w:vAlign w:val="center"/>
          </w:tcPr>
          <w:p w14:paraId="6086B1A2"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28/11/2013</w:t>
            </w:r>
          </w:p>
        </w:tc>
        <w:tc>
          <w:tcPr>
            <w:tcW w:w="1618" w:type="dxa"/>
            <w:shd w:val="clear" w:color="auto" w:fill="auto"/>
            <w:vAlign w:val="center"/>
          </w:tcPr>
          <w:p w14:paraId="2A5975B6"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1.000,00</w:t>
            </w:r>
          </w:p>
        </w:tc>
        <w:tc>
          <w:tcPr>
            <w:tcW w:w="1575" w:type="dxa"/>
            <w:shd w:val="clear" w:color="auto" w:fill="auto"/>
            <w:vAlign w:val="center"/>
          </w:tcPr>
          <w:p w14:paraId="45058323"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700,00</w:t>
            </w:r>
          </w:p>
        </w:tc>
        <w:tc>
          <w:tcPr>
            <w:tcW w:w="3896" w:type="dxa"/>
            <w:shd w:val="clear" w:color="auto" w:fill="auto"/>
            <w:vAlign w:val="center"/>
          </w:tcPr>
          <w:p w14:paraId="7F849C25"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1063 SÉRIE B - por deixar de atender a exigências legais quando devidamente notificado pela autoridade ambiental competente no prazo concedido - Auto de Advertência nº 494 SÉRIE B.</w:t>
            </w:r>
          </w:p>
        </w:tc>
      </w:tr>
      <w:tr w:rsidR="006C2A1A" w:rsidRPr="005C500D" w14:paraId="0BC1E60B"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1A5317C3" w14:textId="4952674F"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w:t>
            </w:r>
            <w:r w:rsidR="006C2A1A" w:rsidRPr="005C500D">
              <w:rPr>
                <w:rFonts w:ascii="Arial" w:hAnsi="Arial" w:cs="Arial"/>
                <w:b w:val="0"/>
                <w:color w:val="000000"/>
                <w:sz w:val="24"/>
                <w:szCs w:val="24"/>
              </w:rPr>
              <w:t>3.387.396/0001-60</w:t>
            </w:r>
          </w:p>
        </w:tc>
        <w:tc>
          <w:tcPr>
            <w:tcW w:w="2037" w:type="dxa"/>
            <w:vAlign w:val="center"/>
          </w:tcPr>
          <w:p w14:paraId="00C354BB"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São Salvador Alimentos S.A</w:t>
            </w:r>
          </w:p>
        </w:tc>
        <w:tc>
          <w:tcPr>
            <w:tcW w:w="1593" w:type="dxa"/>
            <w:vAlign w:val="center"/>
          </w:tcPr>
          <w:p w14:paraId="609648F2"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8100/2015</w:t>
            </w:r>
          </w:p>
        </w:tc>
        <w:tc>
          <w:tcPr>
            <w:tcW w:w="1612" w:type="dxa"/>
            <w:vAlign w:val="center"/>
          </w:tcPr>
          <w:p w14:paraId="007962E8"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06/10/2015</w:t>
            </w:r>
          </w:p>
        </w:tc>
        <w:tc>
          <w:tcPr>
            <w:tcW w:w="1618" w:type="dxa"/>
            <w:vAlign w:val="center"/>
          </w:tcPr>
          <w:p w14:paraId="4BD407F1"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10.000,00</w:t>
            </w:r>
          </w:p>
        </w:tc>
        <w:tc>
          <w:tcPr>
            <w:tcW w:w="1575" w:type="dxa"/>
            <w:vAlign w:val="center"/>
          </w:tcPr>
          <w:p w14:paraId="20418218"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7.131,13</w:t>
            </w:r>
          </w:p>
        </w:tc>
        <w:tc>
          <w:tcPr>
            <w:tcW w:w="3896" w:type="dxa"/>
            <w:vAlign w:val="center"/>
          </w:tcPr>
          <w:p w14:paraId="0C2893FC"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 xml:space="preserve">Auto de Inf. nº 4374 </w:t>
            </w:r>
            <w:r w:rsidRPr="005C500D">
              <w:rPr>
                <w:rFonts w:ascii="Arial" w:hAnsi="Arial" w:cs="Arial"/>
                <w:color w:val="auto"/>
                <w:sz w:val="24"/>
                <w:szCs w:val="24"/>
              </w:rPr>
              <w:t>SÉRIE B -</w:t>
            </w:r>
            <w:r w:rsidRPr="005C500D">
              <w:rPr>
                <w:rFonts w:ascii="Arial" w:eastAsiaTheme="minorEastAsia" w:hAnsi="Arial" w:cs="Arial"/>
                <w:color w:val="auto"/>
                <w:sz w:val="24"/>
                <w:szCs w:val="24"/>
              </w:rPr>
              <w:t xml:space="preserve"> por deixar de informar a destinação final de 1.297,83 st. de lenha de origem nativa no sistema DOF. Omissão de atualização do pátio e divergência do saldo contábil em relação ao estoque físico.</w:t>
            </w:r>
          </w:p>
        </w:tc>
      </w:tr>
      <w:tr w:rsidR="006C2A1A" w:rsidRPr="005C500D" w14:paraId="7F368290" w14:textId="77777777" w:rsidTr="008C595C">
        <w:tc>
          <w:tcPr>
            <w:cnfStyle w:val="001000000000" w:firstRow="0" w:lastRow="0" w:firstColumn="1" w:lastColumn="0" w:oddVBand="0" w:evenVBand="0" w:oddHBand="0" w:evenHBand="0" w:firstRowFirstColumn="0" w:firstRowLastColumn="0" w:lastRowFirstColumn="0" w:lastRowLastColumn="0"/>
            <w:tcW w:w="2405" w:type="dxa"/>
            <w:shd w:val="clear" w:color="auto" w:fill="auto"/>
            <w:noWrap/>
            <w:vAlign w:val="center"/>
          </w:tcPr>
          <w:p w14:paraId="28A2F004" w14:textId="670BC6D4"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w:t>
            </w:r>
            <w:r w:rsidR="006C2A1A" w:rsidRPr="005C500D">
              <w:rPr>
                <w:rFonts w:ascii="Arial" w:hAnsi="Arial" w:cs="Arial"/>
                <w:b w:val="0"/>
                <w:color w:val="000000"/>
                <w:sz w:val="24"/>
                <w:szCs w:val="24"/>
              </w:rPr>
              <w:t>3.485.572/0001-04</w:t>
            </w:r>
          </w:p>
        </w:tc>
        <w:tc>
          <w:tcPr>
            <w:tcW w:w="2037" w:type="dxa"/>
            <w:shd w:val="clear" w:color="auto" w:fill="auto"/>
            <w:vAlign w:val="center"/>
          </w:tcPr>
          <w:p w14:paraId="0DDE8FE4"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Geolab Indústria Farmacêutica Ltda.</w:t>
            </w:r>
          </w:p>
        </w:tc>
        <w:tc>
          <w:tcPr>
            <w:tcW w:w="1593" w:type="dxa"/>
            <w:shd w:val="clear" w:color="auto" w:fill="auto"/>
            <w:vAlign w:val="center"/>
          </w:tcPr>
          <w:p w14:paraId="2E42C76A"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17368/2013</w:t>
            </w:r>
          </w:p>
        </w:tc>
        <w:tc>
          <w:tcPr>
            <w:tcW w:w="1612" w:type="dxa"/>
            <w:shd w:val="clear" w:color="auto" w:fill="auto"/>
            <w:vAlign w:val="center"/>
          </w:tcPr>
          <w:p w14:paraId="52E90014"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06/11/2013</w:t>
            </w:r>
          </w:p>
        </w:tc>
        <w:tc>
          <w:tcPr>
            <w:tcW w:w="1618" w:type="dxa"/>
            <w:shd w:val="clear" w:color="auto" w:fill="auto"/>
            <w:vAlign w:val="center"/>
          </w:tcPr>
          <w:p w14:paraId="4FB4DF8C"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10.000,00</w:t>
            </w:r>
          </w:p>
        </w:tc>
        <w:tc>
          <w:tcPr>
            <w:tcW w:w="1575" w:type="dxa"/>
            <w:shd w:val="clear" w:color="auto" w:fill="auto"/>
            <w:vAlign w:val="center"/>
          </w:tcPr>
          <w:p w14:paraId="68F0E75B"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7.000,00</w:t>
            </w:r>
          </w:p>
        </w:tc>
        <w:tc>
          <w:tcPr>
            <w:tcW w:w="3896" w:type="dxa"/>
            <w:shd w:val="clear" w:color="auto" w:fill="auto"/>
            <w:vAlign w:val="center"/>
          </w:tcPr>
          <w:p w14:paraId="7CE884AB"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2104 SÉRIE B - por lançar efluente líquido industrial sem tratamento no corpo receptor (rede do DAIA), sem a devida comunicação. Pelo descumprimento da condicionante nº 13 das exigências técnicas complementares da Licença de funcionamento n° 151/2010.</w:t>
            </w:r>
          </w:p>
        </w:tc>
      </w:tr>
      <w:tr w:rsidR="006C2A1A" w:rsidRPr="005C500D" w14:paraId="1D92708B"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693BC49F" w14:textId="06A858BF"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w:t>
            </w:r>
            <w:r w:rsidR="006C2A1A" w:rsidRPr="005C500D">
              <w:rPr>
                <w:rFonts w:ascii="Arial" w:hAnsi="Arial" w:cs="Arial"/>
                <w:b w:val="0"/>
                <w:color w:val="000000"/>
                <w:sz w:val="24"/>
                <w:szCs w:val="24"/>
              </w:rPr>
              <w:t>3.937.452/0001-92</w:t>
            </w:r>
          </w:p>
        </w:tc>
        <w:tc>
          <w:tcPr>
            <w:tcW w:w="2037" w:type="dxa"/>
            <w:vAlign w:val="center"/>
          </w:tcPr>
          <w:p w14:paraId="34F300C6"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CRV Industrial Ltda.</w:t>
            </w:r>
          </w:p>
        </w:tc>
        <w:tc>
          <w:tcPr>
            <w:tcW w:w="1593" w:type="dxa"/>
            <w:vAlign w:val="center"/>
          </w:tcPr>
          <w:p w14:paraId="69716CD1"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18175/2014</w:t>
            </w:r>
          </w:p>
        </w:tc>
        <w:tc>
          <w:tcPr>
            <w:tcW w:w="1612" w:type="dxa"/>
            <w:vAlign w:val="center"/>
          </w:tcPr>
          <w:p w14:paraId="3F68734E"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05/01/2015</w:t>
            </w:r>
          </w:p>
        </w:tc>
        <w:tc>
          <w:tcPr>
            <w:tcW w:w="1618" w:type="dxa"/>
            <w:vAlign w:val="center"/>
          </w:tcPr>
          <w:p w14:paraId="251C47F6"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50.000,00</w:t>
            </w:r>
          </w:p>
        </w:tc>
        <w:tc>
          <w:tcPr>
            <w:tcW w:w="1575" w:type="dxa"/>
            <w:vAlign w:val="center"/>
          </w:tcPr>
          <w:p w14:paraId="49016CED"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35.000,00</w:t>
            </w:r>
          </w:p>
        </w:tc>
        <w:tc>
          <w:tcPr>
            <w:tcW w:w="3896" w:type="dxa"/>
            <w:vAlign w:val="center"/>
          </w:tcPr>
          <w:p w14:paraId="56BCA1A7"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 xml:space="preserve">Auto de Inf. nº 2404 SÉRIE B - por deixar de atender as exigências contidas no Auto de Advertência nº 1382 SÉRIE B no prazo concedido; descumprindo as condicionantes nº 06, 09 e 11 das </w:t>
            </w:r>
            <w:r w:rsidRPr="005C500D">
              <w:rPr>
                <w:rFonts w:ascii="Arial" w:eastAsiaTheme="minorEastAsia" w:hAnsi="Arial" w:cs="Arial"/>
                <w:color w:val="auto"/>
                <w:sz w:val="24"/>
                <w:szCs w:val="24"/>
              </w:rPr>
              <w:lastRenderedPageBreak/>
              <w:t>exigências técnicas complementares referente a Licença de funcionamento n° 3322/2011.</w:t>
            </w:r>
          </w:p>
        </w:tc>
      </w:tr>
      <w:tr w:rsidR="006C2A1A" w:rsidRPr="005C500D" w14:paraId="725B43D4" w14:textId="77777777" w:rsidTr="008C595C">
        <w:tc>
          <w:tcPr>
            <w:cnfStyle w:val="001000000000" w:firstRow="0" w:lastRow="0" w:firstColumn="1" w:lastColumn="0" w:oddVBand="0" w:evenVBand="0" w:oddHBand="0" w:evenHBand="0" w:firstRowFirstColumn="0" w:firstRowLastColumn="0" w:lastRowFirstColumn="0" w:lastRowLastColumn="0"/>
            <w:tcW w:w="2405" w:type="dxa"/>
            <w:shd w:val="clear" w:color="auto" w:fill="auto"/>
            <w:noWrap/>
            <w:vAlign w:val="center"/>
          </w:tcPr>
          <w:p w14:paraId="15F4350D" w14:textId="596799FB"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lastRenderedPageBreak/>
              <w:t>0</w:t>
            </w:r>
            <w:r w:rsidR="006C2A1A" w:rsidRPr="005C500D">
              <w:rPr>
                <w:rFonts w:ascii="Arial" w:hAnsi="Arial" w:cs="Arial"/>
                <w:b w:val="0"/>
                <w:color w:val="000000"/>
                <w:sz w:val="24"/>
                <w:szCs w:val="24"/>
              </w:rPr>
              <w:t>4.338.716/0001-54</w:t>
            </w:r>
          </w:p>
        </w:tc>
        <w:tc>
          <w:tcPr>
            <w:tcW w:w="2037" w:type="dxa"/>
            <w:shd w:val="clear" w:color="auto" w:fill="auto"/>
            <w:vAlign w:val="center"/>
          </w:tcPr>
          <w:p w14:paraId="54A4022C"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Ind. Farmacêutica Melcon do Brasil S.A</w:t>
            </w:r>
          </w:p>
        </w:tc>
        <w:tc>
          <w:tcPr>
            <w:tcW w:w="1593" w:type="dxa"/>
            <w:shd w:val="clear" w:color="auto" w:fill="auto"/>
            <w:vAlign w:val="center"/>
          </w:tcPr>
          <w:p w14:paraId="32F432A5"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13724/2014</w:t>
            </w:r>
          </w:p>
        </w:tc>
        <w:tc>
          <w:tcPr>
            <w:tcW w:w="1612" w:type="dxa"/>
            <w:shd w:val="clear" w:color="auto" w:fill="auto"/>
            <w:vAlign w:val="center"/>
          </w:tcPr>
          <w:p w14:paraId="5D47A38E"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09/10/2014</w:t>
            </w:r>
          </w:p>
        </w:tc>
        <w:tc>
          <w:tcPr>
            <w:tcW w:w="1618" w:type="dxa"/>
            <w:shd w:val="clear" w:color="auto" w:fill="auto"/>
            <w:vAlign w:val="center"/>
          </w:tcPr>
          <w:p w14:paraId="205A6098"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20.000,00</w:t>
            </w:r>
          </w:p>
        </w:tc>
        <w:tc>
          <w:tcPr>
            <w:tcW w:w="1575" w:type="dxa"/>
            <w:shd w:val="clear" w:color="auto" w:fill="auto"/>
            <w:vAlign w:val="center"/>
          </w:tcPr>
          <w:p w14:paraId="4638712C"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14.000,00</w:t>
            </w:r>
          </w:p>
        </w:tc>
        <w:tc>
          <w:tcPr>
            <w:tcW w:w="3896" w:type="dxa"/>
            <w:shd w:val="clear" w:color="auto" w:fill="auto"/>
            <w:vAlign w:val="center"/>
          </w:tcPr>
          <w:p w14:paraId="7E5A8989"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1840 SÉRIE B - por deixar de atender a exigências estabelecidas no Auto de Advertência nº 1497  SÉRIE B, lavrado em 06/11/2013, dentro do prazo concedido pela autoridade ambiental competente.</w:t>
            </w:r>
          </w:p>
        </w:tc>
      </w:tr>
      <w:tr w:rsidR="006C2A1A" w:rsidRPr="005C500D" w14:paraId="5265028C"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32460DFC" w14:textId="2B71F61E"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w:t>
            </w:r>
            <w:r w:rsidR="006C2A1A" w:rsidRPr="005C500D">
              <w:rPr>
                <w:rFonts w:ascii="Arial" w:hAnsi="Arial" w:cs="Arial"/>
                <w:b w:val="0"/>
                <w:color w:val="000000"/>
                <w:sz w:val="24"/>
                <w:szCs w:val="24"/>
              </w:rPr>
              <w:t>5.604.243/0001-52</w:t>
            </w:r>
          </w:p>
        </w:tc>
        <w:tc>
          <w:tcPr>
            <w:tcW w:w="2037" w:type="dxa"/>
            <w:vAlign w:val="center"/>
          </w:tcPr>
          <w:p w14:paraId="44933AAA"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Goiáspack Indústria e Comércio Ltda.</w:t>
            </w:r>
          </w:p>
        </w:tc>
        <w:tc>
          <w:tcPr>
            <w:tcW w:w="1593" w:type="dxa"/>
            <w:vAlign w:val="center"/>
          </w:tcPr>
          <w:p w14:paraId="5F3E557C"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2413/2015</w:t>
            </w:r>
          </w:p>
        </w:tc>
        <w:tc>
          <w:tcPr>
            <w:tcW w:w="1612" w:type="dxa"/>
            <w:vAlign w:val="center"/>
          </w:tcPr>
          <w:p w14:paraId="75626C0E"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30/03/2015</w:t>
            </w:r>
          </w:p>
        </w:tc>
        <w:tc>
          <w:tcPr>
            <w:tcW w:w="1618" w:type="dxa"/>
            <w:vAlign w:val="center"/>
          </w:tcPr>
          <w:p w14:paraId="5BD85882"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w:t>
            </w:r>
          </w:p>
        </w:tc>
        <w:tc>
          <w:tcPr>
            <w:tcW w:w="1575" w:type="dxa"/>
            <w:vAlign w:val="center"/>
          </w:tcPr>
          <w:p w14:paraId="15C86425"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3.500,00</w:t>
            </w:r>
          </w:p>
        </w:tc>
        <w:tc>
          <w:tcPr>
            <w:tcW w:w="3896" w:type="dxa"/>
            <w:vAlign w:val="center"/>
          </w:tcPr>
          <w:p w14:paraId="43B6AF04"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1815 SÉRIE B – por não cumprir as exigências técnicas dos órgãos ambiental referente ao armazenamento inadequado dos resíduos .</w:t>
            </w:r>
          </w:p>
        </w:tc>
      </w:tr>
      <w:tr w:rsidR="006C2A1A" w:rsidRPr="005C500D" w14:paraId="031D6FE8" w14:textId="77777777" w:rsidTr="008C595C">
        <w:tc>
          <w:tcPr>
            <w:cnfStyle w:val="001000000000" w:firstRow="0" w:lastRow="0" w:firstColumn="1" w:lastColumn="0" w:oddVBand="0" w:evenVBand="0" w:oddHBand="0" w:evenHBand="0" w:firstRowFirstColumn="0" w:firstRowLastColumn="0" w:lastRowFirstColumn="0" w:lastRowLastColumn="0"/>
            <w:tcW w:w="2405" w:type="dxa"/>
            <w:shd w:val="clear" w:color="auto" w:fill="auto"/>
            <w:noWrap/>
            <w:vAlign w:val="center"/>
          </w:tcPr>
          <w:p w14:paraId="081F8363" w14:textId="1D5051AE"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w:t>
            </w:r>
            <w:r w:rsidR="006C2A1A" w:rsidRPr="005C500D">
              <w:rPr>
                <w:rFonts w:ascii="Arial" w:hAnsi="Arial" w:cs="Arial"/>
                <w:b w:val="0"/>
                <w:color w:val="000000"/>
                <w:sz w:val="24"/>
                <w:szCs w:val="24"/>
              </w:rPr>
              <w:t>5.915.146/0001-80</w:t>
            </w:r>
          </w:p>
        </w:tc>
        <w:tc>
          <w:tcPr>
            <w:tcW w:w="2037" w:type="dxa"/>
            <w:shd w:val="clear" w:color="auto" w:fill="auto"/>
            <w:vAlign w:val="center"/>
          </w:tcPr>
          <w:p w14:paraId="3C002E3A"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Lactosul Indústria de Laticínios Ltda.</w:t>
            </w:r>
          </w:p>
        </w:tc>
        <w:tc>
          <w:tcPr>
            <w:tcW w:w="1593" w:type="dxa"/>
            <w:shd w:val="clear" w:color="auto" w:fill="auto"/>
            <w:vAlign w:val="center"/>
          </w:tcPr>
          <w:p w14:paraId="6DFA48ED"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6235/2014</w:t>
            </w:r>
          </w:p>
        </w:tc>
        <w:tc>
          <w:tcPr>
            <w:tcW w:w="1612" w:type="dxa"/>
            <w:shd w:val="clear" w:color="auto" w:fill="auto"/>
            <w:vAlign w:val="center"/>
          </w:tcPr>
          <w:p w14:paraId="35CC8E7B"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22/05/2014</w:t>
            </w:r>
          </w:p>
        </w:tc>
        <w:tc>
          <w:tcPr>
            <w:tcW w:w="1618" w:type="dxa"/>
            <w:shd w:val="clear" w:color="auto" w:fill="auto"/>
            <w:vAlign w:val="center"/>
          </w:tcPr>
          <w:p w14:paraId="0382CB32"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10.000,00</w:t>
            </w:r>
          </w:p>
        </w:tc>
        <w:tc>
          <w:tcPr>
            <w:tcW w:w="1575" w:type="dxa"/>
            <w:shd w:val="clear" w:color="auto" w:fill="auto"/>
            <w:vAlign w:val="center"/>
          </w:tcPr>
          <w:p w14:paraId="4BB9EDB8"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7.000,00</w:t>
            </w:r>
          </w:p>
        </w:tc>
        <w:tc>
          <w:tcPr>
            <w:tcW w:w="3896" w:type="dxa"/>
            <w:shd w:val="clear" w:color="auto" w:fill="auto"/>
            <w:vAlign w:val="center"/>
          </w:tcPr>
          <w:p w14:paraId="36E17A4B"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1609 SÉRIE B - por fazer funcionar atividade em desacordo com os itens nº 03; 11; 13 e 04 das exigências técnicas complementares da Licença de Funcionamento nº 355/2010, referente ao processo nº 13876/2009.</w:t>
            </w:r>
          </w:p>
        </w:tc>
      </w:tr>
      <w:tr w:rsidR="006C2A1A" w:rsidRPr="005C500D" w14:paraId="62825723"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1B5AD6E6" w14:textId="2DB5D5EB"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0</w:t>
            </w:r>
            <w:r w:rsidR="006C2A1A" w:rsidRPr="005C500D">
              <w:rPr>
                <w:rFonts w:ascii="Arial" w:hAnsi="Arial" w:cs="Arial"/>
                <w:b w:val="0"/>
                <w:color w:val="000000"/>
                <w:sz w:val="24"/>
                <w:szCs w:val="24"/>
              </w:rPr>
              <w:t>5.915.146/0002-61</w:t>
            </w:r>
          </w:p>
        </w:tc>
        <w:tc>
          <w:tcPr>
            <w:tcW w:w="2037" w:type="dxa"/>
            <w:vAlign w:val="center"/>
          </w:tcPr>
          <w:p w14:paraId="06F2F134"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Lactosul Indústria de Laticínios Ltda. (Filial)</w:t>
            </w:r>
          </w:p>
        </w:tc>
        <w:tc>
          <w:tcPr>
            <w:tcW w:w="1593" w:type="dxa"/>
            <w:vAlign w:val="center"/>
          </w:tcPr>
          <w:p w14:paraId="311C127C"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4743/2017</w:t>
            </w:r>
          </w:p>
        </w:tc>
        <w:tc>
          <w:tcPr>
            <w:tcW w:w="1612" w:type="dxa"/>
            <w:vAlign w:val="center"/>
          </w:tcPr>
          <w:p w14:paraId="1CFDFA89"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11/09/2017</w:t>
            </w:r>
          </w:p>
        </w:tc>
        <w:tc>
          <w:tcPr>
            <w:tcW w:w="1618" w:type="dxa"/>
            <w:vAlign w:val="center"/>
          </w:tcPr>
          <w:p w14:paraId="56812B4A" w14:textId="1CF244E1" w:rsidR="006C2A1A" w:rsidRPr="005C500D" w:rsidRDefault="00BC564C" w:rsidP="00BC564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1.155.341,54</w:t>
            </w:r>
          </w:p>
        </w:tc>
        <w:tc>
          <w:tcPr>
            <w:tcW w:w="1575" w:type="dxa"/>
            <w:vAlign w:val="center"/>
          </w:tcPr>
          <w:p w14:paraId="3466A7B3"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7.013,93</w:t>
            </w:r>
          </w:p>
        </w:tc>
        <w:tc>
          <w:tcPr>
            <w:tcW w:w="3896" w:type="dxa"/>
            <w:vAlign w:val="center"/>
          </w:tcPr>
          <w:p w14:paraId="152B1507"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3683 SÉRIE B - por omitir informação em destinação final de 33.693,25 st. de lenha de origem nativa e 90,894 m³ de madeira serrada diversas da origem nativa no sistema oficial de controle.</w:t>
            </w:r>
          </w:p>
          <w:p w14:paraId="613C547E" w14:textId="00C66844" w:rsidR="00BC564C" w:rsidRPr="005C500D" w:rsidRDefault="00BC564C"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b/>
                <w:color w:val="auto"/>
                <w:sz w:val="24"/>
                <w:szCs w:val="24"/>
              </w:rPr>
              <w:lastRenderedPageBreak/>
              <w:t>Valor do auto foi minorado para R$  10.000,00 – Decisão de 1ª Instância</w:t>
            </w:r>
            <w:r w:rsidRPr="005C500D">
              <w:rPr>
                <w:rFonts w:ascii="Arial" w:eastAsiaTheme="minorEastAsia" w:hAnsi="Arial" w:cs="Arial"/>
                <w:color w:val="auto"/>
                <w:sz w:val="24"/>
                <w:szCs w:val="24"/>
              </w:rPr>
              <w:t>.</w:t>
            </w:r>
          </w:p>
        </w:tc>
      </w:tr>
      <w:tr w:rsidR="006C2A1A" w:rsidRPr="005C500D" w14:paraId="4A281AAE" w14:textId="77777777" w:rsidTr="008C595C">
        <w:tc>
          <w:tcPr>
            <w:cnfStyle w:val="001000000000" w:firstRow="0" w:lastRow="0" w:firstColumn="1" w:lastColumn="0" w:oddVBand="0" w:evenVBand="0" w:oddHBand="0" w:evenHBand="0" w:firstRowFirstColumn="0" w:firstRowLastColumn="0" w:lastRowFirstColumn="0" w:lastRowLastColumn="0"/>
            <w:tcW w:w="2405" w:type="dxa"/>
            <w:shd w:val="clear" w:color="auto" w:fill="auto"/>
            <w:noWrap/>
            <w:vAlign w:val="center"/>
          </w:tcPr>
          <w:p w14:paraId="3D55D319" w14:textId="30015B01" w:rsidR="006C2A1A" w:rsidRPr="005C500D" w:rsidRDefault="004B3C83"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lastRenderedPageBreak/>
              <w:t>0</w:t>
            </w:r>
            <w:r w:rsidR="006C2A1A" w:rsidRPr="005C500D">
              <w:rPr>
                <w:rFonts w:ascii="Arial" w:hAnsi="Arial" w:cs="Arial"/>
                <w:b w:val="0"/>
                <w:color w:val="000000"/>
                <w:sz w:val="24"/>
                <w:szCs w:val="24"/>
              </w:rPr>
              <w:t>6.042.880/0001-45</w:t>
            </w:r>
          </w:p>
        </w:tc>
        <w:tc>
          <w:tcPr>
            <w:tcW w:w="2037" w:type="dxa"/>
            <w:shd w:val="clear" w:color="auto" w:fill="auto"/>
            <w:vAlign w:val="center"/>
          </w:tcPr>
          <w:p w14:paraId="209049D0"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Copalimpa Indústria Têxtil Ltda.</w:t>
            </w:r>
          </w:p>
        </w:tc>
        <w:tc>
          <w:tcPr>
            <w:tcW w:w="1593" w:type="dxa"/>
            <w:shd w:val="clear" w:color="auto" w:fill="auto"/>
            <w:vAlign w:val="center"/>
          </w:tcPr>
          <w:p w14:paraId="5A6C8155"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10151/2014</w:t>
            </w:r>
          </w:p>
        </w:tc>
        <w:tc>
          <w:tcPr>
            <w:tcW w:w="1612" w:type="dxa"/>
            <w:shd w:val="clear" w:color="auto" w:fill="auto"/>
            <w:vAlign w:val="center"/>
          </w:tcPr>
          <w:p w14:paraId="0FAA92BE"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24/10/2014</w:t>
            </w:r>
          </w:p>
        </w:tc>
        <w:tc>
          <w:tcPr>
            <w:tcW w:w="1618" w:type="dxa"/>
            <w:shd w:val="clear" w:color="auto" w:fill="auto"/>
            <w:vAlign w:val="center"/>
          </w:tcPr>
          <w:p w14:paraId="1DCC35FA"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1.000,00</w:t>
            </w:r>
          </w:p>
        </w:tc>
        <w:tc>
          <w:tcPr>
            <w:tcW w:w="1575" w:type="dxa"/>
            <w:shd w:val="clear" w:color="auto" w:fill="auto"/>
            <w:vAlign w:val="center"/>
          </w:tcPr>
          <w:p w14:paraId="3E3F7F14"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729,14</w:t>
            </w:r>
          </w:p>
        </w:tc>
        <w:tc>
          <w:tcPr>
            <w:tcW w:w="3896" w:type="dxa"/>
            <w:shd w:val="clear" w:color="auto" w:fill="auto"/>
            <w:vAlign w:val="center"/>
          </w:tcPr>
          <w:p w14:paraId="24FAF224" w14:textId="77777777" w:rsidR="006C2A1A" w:rsidRPr="005C500D" w:rsidRDefault="006C2A1A" w:rsidP="009620B8">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1614 SÉRIE B - por lançar efluentes líquidos sem os devidos tratamentos na rede do DAIA e estar promovendo a obstrução da tubulação.</w:t>
            </w:r>
          </w:p>
        </w:tc>
      </w:tr>
      <w:tr w:rsidR="006C2A1A" w:rsidRPr="005C500D" w14:paraId="63591D67"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7F94699C"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10.198.974/0008-51</w:t>
            </w:r>
          </w:p>
        </w:tc>
        <w:tc>
          <w:tcPr>
            <w:tcW w:w="2037" w:type="dxa"/>
            <w:vAlign w:val="center"/>
          </w:tcPr>
          <w:p w14:paraId="7BA49528"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Plena Alimentos Ltda.</w:t>
            </w:r>
          </w:p>
        </w:tc>
        <w:tc>
          <w:tcPr>
            <w:tcW w:w="1593" w:type="dxa"/>
            <w:vAlign w:val="center"/>
          </w:tcPr>
          <w:p w14:paraId="73FB19BD"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1446/2015</w:t>
            </w:r>
          </w:p>
        </w:tc>
        <w:tc>
          <w:tcPr>
            <w:tcW w:w="1612" w:type="dxa"/>
            <w:vAlign w:val="center"/>
          </w:tcPr>
          <w:p w14:paraId="03174B65"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20/04/2018</w:t>
            </w:r>
          </w:p>
        </w:tc>
        <w:tc>
          <w:tcPr>
            <w:tcW w:w="1618" w:type="dxa"/>
            <w:vAlign w:val="center"/>
          </w:tcPr>
          <w:p w14:paraId="2FB40C2D"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10.000,00</w:t>
            </w:r>
          </w:p>
        </w:tc>
        <w:tc>
          <w:tcPr>
            <w:tcW w:w="1575" w:type="dxa"/>
            <w:vAlign w:val="center"/>
          </w:tcPr>
          <w:p w14:paraId="2943F3D1"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11.533,92</w:t>
            </w:r>
          </w:p>
        </w:tc>
        <w:tc>
          <w:tcPr>
            <w:tcW w:w="3896" w:type="dxa"/>
            <w:vAlign w:val="center"/>
          </w:tcPr>
          <w:p w14:paraId="2EED5EC3" w14:textId="77777777" w:rsidR="006C2A1A" w:rsidRPr="005C500D" w:rsidRDefault="006C2A1A" w:rsidP="009620B8">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3082 SÉRIE B - por deixar de informar a destinação final de 1810 estéreos de lenha nativa no DOF/divergência de saldo contábil em relação ao estoque físico.</w:t>
            </w:r>
          </w:p>
        </w:tc>
      </w:tr>
      <w:tr w:rsidR="006C2A1A" w:rsidRPr="005C500D" w14:paraId="0A0E2865" w14:textId="77777777" w:rsidTr="008C595C">
        <w:tc>
          <w:tcPr>
            <w:cnfStyle w:val="001000000000" w:firstRow="0" w:lastRow="0" w:firstColumn="1" w:lastColumn="0" w:oddVBand="0" w:evenVBand="0" w:oddHBand="0" w:evenHBand="0" w:firstRowFirstColumn="0" w:firstRowLastColumn="0" w:lastRowFirstColumn="0" w:lastRowLastColumn="0"/>
            <w:tcW w:w="2405" w:type="dxa"/>
            <w:shd w:val="clear" w:color="auto" w:fill="auto"/>
            <w:noWrap/>
            <w:vAlign w:val="center"/>
          </w:tcPr>
          <w:p w14:paraId="6CC9EBF4"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10.404.860/0001-44</w:t>
            </w:r>
          </w:p>
        </w:tc>
        <w:tc>
          <w:tcPr>
            <w:tcW w:w="2037" w:type="dxa"/>
            <w:shd w:val="clear" w:color="auto" w:fill="auto"/>
            <w:vAlign w:val="center"/>
          </w:tcPr>
          <w:p w14:paraId="196DF34B"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Mineração Rio do Sal Ltda.</w:t>
            </w:r>
          </w:p>
        </w:tc>
        <w:tc>
          <w:tcPr>
            <w:tcW w:w="1593" w:type="dxa"/>
            <w:shd w:val="clear" w:color="auto" w:fill="auto"/>
            <w:vAlign w:val="center"/>
          </w:tcPr>
          <w:p w14:paraId="2A1B3D45"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14756/2014</w:t>
            </w:r>
          </w:p>
        </w:tc>
        <w:tc>
          <w:tcPr>
            <w:tcW w:w="1612" w:type="dxa"/>
            <w:shd w:val="clear" w:color="auto" w:fill="auto"/>
            <w:vAlign w:val="center"/>
          </w:tcPr>
          <w:p w14:paraId="720A3C4E"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16/04/2015</w:t>
            </w:r>
          </w:p>
        </w:tc>
        <w:tc>
          <w:tcPr>
            <w:tcW w:w="1618" w:type="dxa"/>
            <w:shd w:val="clear" w:color="auto" w:fill="auto"/>
            <w:vAlign w:val="center"/>
          </w:tcPr>
          <w:p w14:paraId="0DB87E0A"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62.000,00</w:t>
            </w:r>
          </w:p>
        </w:tc>
        <w:tc>
          <w:tcPr>
            <w:tcW w:w="1575" w:type="dxa"/>
            <w:shd w:val="clear" w:color="auto" w:fill="auto"/>
            <w:vAlign w:val="center"/>
          </w:tcPr>
          <w:p w14:paraId="79C8094A"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1.953,27</w:t>
            </w:r>
          </w:p>
        </w:tc>
        <w:tc>
          <w:tcPr>
            <w:tcW w:w="3896" w:type="dxa"/>
            <w:shd w:val="clear" w:color="auto" w:fill="auto"/>
            <w:vAlign w:val="center"/>
          </w:tcPr>
          <w:p w14:paraId="05E28A55" w14:textId="77777777" w:rsidR="006C2A1A" w:rsidRPr="005C500D" w:rsidRDefault="006C2A1A" w:rsidP="009620B8">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1744 SÉRIE B - por descumprimento das condicionantes nº 02,03,04,06 e 12 do item exigências técnicas complementares da Licença de Funcionamento nº 657/2013 e por executar a extração de minerais em desacordo com a licença ambiental obtida.</w:t>
            </w:r>
          </w:p>
          <w:p w14:paraId="0A195CEA" w14:textId="29F29165" w:rsidR="005A24EE" w:rsidRPr="005C500D" w:rsidRDefault="005A24EE" w:rsidP="009620B8">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b/>
                <w:color w:val="auto"/>
                <w:sz w:val="24"/>
                <w:szCs w:val="24"/>
              </w:rPr>
            </w:pPr>
            <w:r w:rsidRPr="005C500D">
              <w:rPr>
                <w:rFonts w:ascii="Arial" w:eastAsiaTheme="minorEastAsia" w:hAnsi="Arial" w:cs="Arial"/>
                <w:b/>
                <w:color w:val="auto"/>
                <w:sz w:val="24"/>
                <w:szCs w:val="24"/>
              </w:rPr>
              <w:t>Valor do auto foi minorado para R$  2.475,00 – Decisão de 1ª Instância</w:t>
            </w:r>
          </w:p>
        </w:tc>
      </w:tr>
      <w:tr w:rsidR="006C2A1A" w:rsidRPr="005C500D" w14:paraId="069D3B20"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5C3064AF"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16.005.431/0001-80</w:t>
            </w:r>
          </w:p>
        </w:tc>
        <w:tc>
          <w:tcPr>
            <w:tcW w:w="2037" w:type="dxa"/>
            <w:vAlign w:val="center"/>
          </w:tcPr>
          <w:p w14:paraId="47937E0B"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Laticínios J.L Ltda.</w:t>
            </w:r>
          </w:p>
        </w:tc>
        <w:tc>
          <w:tcPr>
            <w:tcW w:w="1593" w:type="dxa"/>
            <w:vAlign w:val="center"/>
          </w:tcPr>
          <w:p w14:paraId="00573821"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8944/2018</w:t>
            </w:r>
          </w:p>
        </w:tc>
        <w:tc>
          <w:tcPr>
            <w:tcW w:w="1612" w:type="dxa"/>
            <w:vAlign w:val="center"/>
          </w:tcPr>
          <w:p w14:paraId="2D10EC15"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12/10/2018</w:t>
            </w:r>
          </w:p>
        </w:tc>
        <w:tc>
          <w:tcPr>
            <w:tcW w:w="1618" w:type="dxa"/>
            <w:vAlign w:val="center"/>
          </w:tcPr>
          <w:p w14:paraId="7D3DADE7"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4.500,00</w:t>
            </w:r>
          </w:p>
        </w:tc>
        <w:tc>
          <w:tcPr>
            <w:tcW w:w="1575" w:type="dxa"/>
            <w:vAlign w:val="center"/>
          </w:tcPr>
          <w:p w14:paraId="4245820F"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3.150,00</w:t>
            </w:r>
          </w:p>
        </w:tc>
        <w:tc>
          <w:tcPr>
            <w:tcW w:w="3896" w:type="dxa"/>
            <w:vAlign w:val="center"/>
          </w:tcPr>
          <w:p w14:paraId="7F9B5F20" w14:textId="77777777" w:rsidR="006C2A1A" w:rsidRPr="005C500D" w:rsidRDefault="006C2A1A" w:rsidP="009620B8">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5408 SÉRIE B - por lançar e depositar óleos e substâncias oleosas em local inadequado.</w:t>
            </w:r>
          </w:p>
        </w:tc>
      </w:tr>
      <w:tr w:rsidR="006C2A1A" w:rsidRPr="005C500D" w14:paraId="5DC022EC" w14:textId="77777777" w:rsidTr="008C595C">
        <w:tc>
          <w:tcPr>
            <w:cnfStyle w:val="001000000000" w:firstRow="0" w:lastRow="0" w:firstColumn="1" w:lastColumn="0" w:oddVBand="0" w:evenVBand="0" w:oddHBand="0" w:evenHBand="0" w:firstRowFirstColumn="0" w:firstRowLastColumn="0" w:lastRowFirstColumn="0" w:lastRowLastColumn="0"/>
            <w:tcW w:w="2405" w:type="dxa"/>
            <w:vMerge w:val="restart"/>
            <w:shd w:val="clear" w:color="auto" w:fill="auto"/>
            <w:noWrap/>
            <w:vAlign w:val="center"/>
          </w:tcPr>
          <w:p w14:paraId="58F1EEB3"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17.833.812/0001-10</w:t>
            </w:r>
          </w:p>
        </w:tc>
        <w:tc>
          <w:tcPr>
            <w:tcW w:w="2037" w:type="dxa"/>
            <w:vMerge w:val="restart"/>
            <w:shd w:val="clear" w:color="auto" w:fill="auto"/>
            <w:vAlign w:val="center"/>
          </w:tcPr>
          <w:p w14:paraId="545F2C15"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Dantas Mineiros</w:t>
            </w:r>
          </w:p>
        </w:tc>
        <w:tc>
          <w:tcPr>
            <w:tcW w:w="1593" w:type="dxa"/>
            <w:shd w:val="clear" w:color="auto" w:fill="auto"/>
            <w:vAlign w:val="center"/>
          </w:tcPr>
          <w:p w14:paraId="622B0069"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17631/2014</w:t>
            </w:r>
          </w:p>
        </w:tc>
        <w:tc>
          <w:tcPr>
            <w:tcW w:w="1612" w:type="dxa"/>
            <w:shd w:val="clear" w:color="auto" w:fill="auto"/>
            <w:vAlign w:val="center"/>
          </w:tcPr>
          <w:p w14:paraId="26BBB3BB"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19/05/2016</w:t>
            </w:r>
          </w:p>
        </w:tc>
        <w:tc>
          <w:tcPr>
            <w:tcW w:w="1618" w:type="dxa"/>
            <w:shd w:val="clear" w:color="auto" w:fill="auto"/>
            <w:vAlign w:val="center"/>
          </w:tcPr>
          <w:p w14:paraId="09EAE2E1"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3.000,00</w:t>
            </w:r>
          </w:p>
        </w:tc>
        <w:tc>
          <w:tcPr>
            <w:tcW w:w="1575" w:type="dxa"/>
            <w:shd w:val="clear" w:color="auto" w:fill="auto"/>
            <w:vAlign w:val="center"/>
          </w:tcPr>
          <w:p w14:paraId="130E9254"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3.000,00</w:t>
            </w:r>
          </w:p>
        </w:tc>
        <w:tc>
          <w:tcPr>
            <w:tcW w:w="3896" w:type="dxa"/>
            <w:shd w:val="clear" w:color="auto" w:fill="auto"/>
            <w:vAlign w:val="center"/>
          </w:tcPr>
          <w:p w14:paraId="31106A06"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Sem observações pela SEMAD.</w:t>
            </w:r>
          </w:p>
        </w:tc>
      </w:tr>
      <w:tr w:rsidR="006C2A1A" w:rsidRPr="005C500D" w14:paraId="34270EF3"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noWrap/>
            <w:vAlign w:val="center"/>
          </w:tcPr>
          <w:p w14:paraId="2F08A129"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p>
        </w:tc>
        <w:tc>
          <w:tcPr>
            <w:tcW w:w="2037" w:type="dxa"/>
            <w:vMerge/>
            <w:shd w:val="clear" w:color="auto" w:fill="auto"/>
            <w:vAlign w:val="center"/>
          </w:tcPr>
          <w:p w14:paraId="791B6B2C"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p>
        </w:tc>
        <w:tc>
          <w:tcPr>
            <w:tcW w:w="1593" w:type="dxa"/>
            <w:shd w:val="clear" w:color="auto" w:fill="auto"/>
            <w:vAlign w:val="center"/>
          </w:tcPr>
          <w:p w14:paraId="2BEB698D"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17914/2014</w:t>
            </w:r>
          </w:p>
        </w:tc>
        <w:tc>
          <w:tcPr>
            <w:tcW w:w="1612" w:type="dxa"/>
            <w:shd w:val="clear" w:color="auto" w:fill="auto"/>
            <w:vAlign w:val="center"/>
          </w:tcPr>
          <w:p w14:paraId="013D15BA"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19/05/2016</w:t>
            </w:r>
          </w:p>
        </w:tc>
        <w:tc>
          <w:tcPr>
            <w:tcW w:w="1618" w:type="dxa"/>
            <w:shd w:val="clear" w:color="auto" w:fill="auto"/>
            <w:vAlign w:val="center"/>
          </w:tcPr>
          <w:p w14:paraId="1F772955"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1.000,00</w:t>
            </w:r>
          </w:p>
        </w:tc>
        <w:tc>
          <w:tcPr>
            <w:tcW w:w="1575" w:type="dxa"/>
            <w:shd w:val="clear" w:color="auto" w:fill="auto"/>
            <w:vAlign w:val="center"/>
          </w:tcPr>
          <w:p w14:paraId="39797487"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7000,00</w:t>
            </w:r>
          </w:p>
        </w:tc>
        <w:tc>
          <w:tcPr>
            <w:tcW w:w="3896" w:type="dxa"/>
            <w:shd w:val="clear" w:color="auto" w:fill="auto"/>
            <w:vAlign w:val="center"/>
          </w:tcPr>
          <w:p w14:paraId="03782B70"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Sem observações pela SEMAD.</w:t>
            </w:r>
          </w:p>
        </w:tc>
      </w:tr>
      <w:tr w:rsidR="004E720E" w:rsidRPr="005C500D" w14:paraId="3E01F8CB" w14:textId="77777777" w:rsidTr="008C595C">
        <w:tc>
          <w:tcPr>
            <w:cnfStyle w:val="001000000000" w:firstRow="0" w:lastRow="0" w:firstColumn="1" w:lastColumn="0" w:oddVBand="0" w:evenVBand="0" w:oddHBand="0" w:evenHBand="0" w:firstRowFirstColumn="0" w:firstRowLastColumn="0" w:lastRowFirstColumn="0" w:lastRowLastColumn="0"/>
            <w:tcW w:w="2405" w:type="dxa"/>
            <w:shd w:val="clear" w:color="auto" w:fill="F2F2F2" w:themeFill="background1" w:themeFillShade="F2"/>
            <w:noWrap/>
            <w:vAlign w:val="center"/>
          </w:tcPr>
          <w:p w14:paraId="59756102"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18.740.458/0002-23</w:t>
            </w:r>
          </w:p>
        </w:tc>
        <w:tc>
          <w:tcPr>
            <w:tcW w:w="2037" w:type="dxa"/>
            <w:shd w:val="clear" w:color="auto" w:fill="F2F2F2" w:themeFill="background1" w:themeFillShade="F2"/>
            <w:vAlign w:val="center"/>
          </w:tcPr>
          <w:p w14:paraId="071776AD"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JJZ Alimentos S.A</w:t>
            </w:r>
          </w:p>
        </w:tc>
        <w:tc>
          <w:tcPr>
            <w:tcW w:w="1593" w:type="dxa"/>
            <w:shd w:val="clear" w:color="auto" w:fill="F2F2F2" w:themeFill="background1" w:themeFillShade="F2"/>
            <w:vAlign w:val="center"/>
          </w:tcPr>
          <w:p w14:paraId="2A30825F"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2206/2015</w:t>
            </w:r>
          </w:p>
        </w:tc>
        <w:tc>
          <w:tcPr>
            <w:tcW w:w="1612" w:type="dxa"/>
            <w:shd w:val="clear" w:color="auto" w:fill="F2F2F2" w:themeFill="background1" w:themeFillShade="F2"/>
            <w:vAlign w:val="center"/>
          </w:tcPr>
          <w:p w14:paraId="220640D8"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10/05/2016</w:t>
            </w:r>
          </w:p>
        </w:tc>
        <w:tc>
          <w:tcPr>
            <w:tcW w:w="1618" w:type="dxa"/>
            <w:shd w:val="clear" w:color="auto" w:fill="F2F2F2" w:themeFill="background1" w:themeFillShade="F2"/>
            <w:vAlign w:val="center"/>
          </w:tcPr>
          <w:p w14:paraId="64F25923"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3.000,00</w:t>
            </w:r>
          </w:p>
        </w:tc>
        <w:tc>
          <w:tcPr>
            <w:tcW w:w="1575" w:type="dxa"/>
            <w:shd w:val="clear" w:color="auto" w:fill="F2F2F2" w:themeFill="background1" w:themeFillShade="F2"/>
            <w:vAlign w:val="center"/>
          </w:tcPr>
          <w:p w14:paraId="4052762C"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3.830,55</w:t>
            </w:r>
          </w:p>
        </w:tc>
        <w:tc>
          <w:tcPr>
            <w:tcW w:w="3896" w:type="dxa"/>
            <w:shd w:val="clear" w:color="auto" w:fill="F2F2F2" w:themeFill="background1" w:themeFillShade="F2"/>
            <w:vAlign w:val="center"/>
          </w:tcPr>
          <w:p w14:paraId="368C4363" w14:textId="77777777" w:rsidR="006C2A1A" w:rsidRPr="005C500D" w:rsidRDefault="006C2A1A" w:rsidP="004E720E">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2464 SÉRIE B - por deixar de atender as exigências legais do órgão competente.</w:t>
            </w:r>
          </w:p>
        </w:tc>
      </w:tr>
      <w:tr w:rsidR="006C2A1A" w:rsidRPr="005C500D" w14:paraId="3E362601"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noWrap/>
            <w:vAlign w:val="center"/>
          </w:tcPr>
          <w:p w14:paraId="6CB256B0"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44.015.477/0006-20</w:t>
            </w:r>
          </w:p>
        </w:tc>
        <w:tc>
          <w:tcPr>
            <w:tcW w:w="2037" w:type="dxa"/>
            <w:shd w:val="clear" w:color="auto" w:fill="auto"/>
            <w:vAlign w:val="center"/>
          </w:tcPr>
          <w:p w14:paraId="10B4A111"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 xml:space="preserve">SM Empreendimentos Farmacêuticos Ltda. </w:t>
            </w:r>
          </w:p>
        </w:tc>
        <w:tc>
          <w:tcPr>
            <w:tcW w:w="1593" w:type="dxa"/>
            <w:shd w:val="clear" w:color="auto" w:fill="auto"/>
            <w:vAlign w:val="center"/>
          </w:tcPr>
          <w:p w14:paraId="7C93B7DA"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3280/2015</w:t>
            </w:r>
          </w:p>
        </w:tc>
        <w:tc>
          <w:tcPr>
            <w:tcW w:w="1612" w:type="dxa"/>
            <w:shd w:val="clear" w:color="auto" w:fill="auto"/>
            <w:vAlign w:val="center"/>
          </w:tcPr>
          <w:p w14:paraId="4A012C9E"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22/01/2018</w:t>
            </w:r>
          </w:p>
        </w:tc>
        <w:tc>
          <w:tcPr>
            <w:tcW w:w="1618" w:type="dxa"/>
            <w:shd w:val="clear" w:color="auto" w:fill="auto"/>
            <w:vAlign w:val="center"/>
          </w:tcPr>
          <w:p w14:paraId="2A197E25"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w:t>
            </w:r>
          </w:p>
        </w:tc>
        <w:tc>
          <w:tcPr>
            <w:tcW w:w="1575" w:type="dxa"/>
            <w:shd w:val="clear" w:color="auto" w:fill="auto"/>
            <w:vAlign w:val="center"/>
          </w:tcPr>
          <w:p w14:paraId="2F0915A1"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7.872,79</w:t>
            </w:r>
          </w:p>
        </w:tc>
        <w:tc>
          <w:tcPr>
            <w:tcW w:w="3896" w:type="dxa"/>
            <w:shd w:val="clear" w:color="auto" w:fill="auto"/>
            <w:vAlign w:val="center"/>
          </w:tcPr>
          <w:p w14:paraId="0A8F8035"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1820 SÉRIE B - não atendimento do Auto de Advertência 3528 onde a adequação do sistema  de tratamento de efluente não atendeu os parâmetros estabelecidos pela Goiás Industrial referente processo nº 16080/2014.</w:t>
            </w:r>
          </w:p>
        </w:tc>
      </w:tr>
      <w:tr w:rsidR="004E720E" w:rsidRPr="005C500D" w14:paraId="4549A856" w14:textId="77777777" w:rsidTr="008C595C">
        <w:tc>
          <w:tcPr>
            <w:cnfStyle w:val="001000000000" w:firstRow="0" w:lastRow="0" w:firstColumn="1" w:lastColumn="0" w:oddVBand="0" w:evenVBand="0" w:oddHBand="0" w:evenHBand="0" w:firstRowFirstColumn="0" w:firstRowLastColumn="0" w:lastRowFirstColumn="0" w:lastRowLastColumn="0"/>
            <w:tcW w:w="2405" w:type="dxa"/>
            <w:shd w:val="clear" w:color="auto" w:fill="F2F2F2" w:themeFill="background1" w:themeFillShade="F2"/>
            <w:noWrap/>
            <w:vAlign w:val="center"/>
          </w:tcPr>
          <w:p w14:paraId="3E5CC968"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50.955.707/0004-72</w:t>
            </w:r>
          </w:p>
        </w:tc>
        <w:tc>
          <w:tcPr>
            <w:tcW w:w="2037" w:type="dxa"/>
            <w:shd w:val="clear" w:color="auto" w:fill="F2F2F2" w:themeFill="background1" w:themeFillShade="F2"/>
            <w:vAlign w:val="center"/>
          </w:tcPr>
          <w:p w14:paraId="08A77AD8"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Heinz Brasil S.A</w:t>
            </w:r>
          </w:p>
        </w:tc>
        <w:tc>
          <w:tcPr>
            <w:tcW w:w="1593" w:type="dxa"/>
            <w:shd w:val="clear" w:color="auto" w:fill="F2F2F2" w:themeFill="background1" w:themeFillShade="F2"/>
            <w:vAlign w:val="center"/>
          </w:tcPr>
          <w:p w14:paraId="1C205EB4"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10818/2017</w:t>
            </w:r>
          </w:p>
        </w:tc>
        <w:tc>
          <w:tcPr>
            <w:tcW w:w="1612" w:type="dxa"/>
            <w:shd w:val="clear" w:color="auto" w:fill="F2F2F2" w:themeFill="background1" w:themeFillShade="F2"/>
            <w:vAlign w:val="center"/>
          </w:tcPr>
          <w:p w14:paraId="20DDD5A4"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13/11/2019</w:t>
            </w:r>
          </w:p>
        </w:tc>
        <w:tc>
          <w:tcPr>
            <w:tcW w:w="1618" w:type="dxa"/>
            <w:shd w:val="clear" w:color="auto" w:fill="F2F2F2" w:themeFill="background1" w:themeFillShade="F2"/>
            <w:vAlign w:val="center"/>
          </w:tcPr>
          <w:p w14:paraId="7959BB88"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6.000,00</w:t>
            </w:r>
          </w:p>
        </w:tc>
        <w:tc>
          <w:tcPr>
            <w:tcW w:w="1575" w:type="dxa"/>
            <w:shd w:val="clear" w:color="auto" w:fill="F2F2F2" w:themeFill="background1" w:themeFillShade="F2"/>
            <w:vAlign w:val="center"/>
          </w:tcPr>
          <w:p w14:paraId="027C5123"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4.023,50</w:t>
            </w:r>
          </w:p>
        </w:tc>
        <w:tc>
          <w:tcPr>
            <w:tcW w:w="3896" w:type="dxa"/>
            <w:shd w:val="clear" w:color="auto" w:fill="F2F2F2" w:themeFill="background1" w:themeFillShade="F2"/>
            <w:vAlign w:val="center"/>
          </w:tcPr>
          <w:p w14:paraId="76416196"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4369 SÉRIE B - por descumprir o art. 1º da Portaria nº  044/2011; por descumprir o item 1, inciso VI, art.4º da Portaria nº 044/2011;  por descumprir o inciso V, art.4º da portaria nº 043/2011.</w:t>
            </w:r>
          </w:p>
        </w:tc>
      </w:tr>
      <w:tr w:rsidR="006C2A1A" w:rsidRPr="005C500D" w14:paraId="6F31FB6D"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noWrap/>
            <w:vAlign w:val="center"/>
          </w:tcPr>
          <w:p w14:paraId="35CBCAED"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58.514.928/0042-42</w:t>
            </w:r>
          </w:p>
        </w:tc>
        <w:tc>
          <w:tcPr>
            <w:tcW w:w="2037" w:type="dxa"/>
            <w:shd w:val="clear" w:color="auto" w:fill="auto"/>
            <w:vAlign w:val="center"/>
          </w:tcPr>
          <w:p w14:paraId="6634BE36"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Mexichem Brasil Ind. de Transformação Plastica Ltda.</w:t>
            </w:r>
          </w:p>
        </w:tc>
        <w:tc>
          <w:tcPr>
            <w:tcW w:w="1593" w:type="dxa"/>
            <w:shd w:val="clear" w:color="auto" w:fill="auto"/>
            <w:vAlign w:val="center"/>
          </w:tcPr>
          <w:p w14:paraId="10720ED6"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6034/2015</w:t>
            </w:r>
          </w:p>
        </w:tc>
        <w:tc>
          <w:tcPr>
            <w:tcW w:w="1612" w:type="dxa"/>
            <w:shd w:val="clear" w:color="auto" w:fill="auto"/>
            <w:vAlign w:val="center"/>
          </w:tcPr>
          <w:p w14:paraId="02AFECD5"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14/07/20158</w:t>
            </w:r>
          </w:p>
        </w:tc>
        <w:tc>
          <w:tcPr>
            <w:tcW w:w="1618" w:type="dxa"/>
            <w:shd w:val="clear" w:color="auto" w:fill="auto"/>
            <w:vAlign w:val="center"/>
          </w:tcPr>
          <w:p w14:paraId="321D46A0"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7.000,00</w:t>
            </w:r>
          </w:p>
        </w:tc>
        <w:tc>
          <w:tcPr>
            <w:tcW w:w="1575" w:type="dxa"/>
            <w:shd w:val="clear" w:color="auto" w:fill="auto"/>
            <w:vAlign w:val="center"/>
          </w:tcPr>
          <w:p w14:paraId="282B3827"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4.900,00</w:t>
            </w:r>
          </w:p>
        </w:tc>
        <w:tc>
          <w:tcPr>
            <w:tcW w:w="3896" w:type="dxa"/>
            <w:shd w:val="clear" w:color="auto" w:fill="auto"/>
            <w:vAlign w:val="center"/>
          </w:tcPr>
          <w:p w14:paraId="1D15FA59"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3147 SÉRIE B - por descumprir as exigências contidas no Auto de Advertência nº 3346 SÉRIE B no prazo estabelecido, no que se refere ao adequado armazenamento dos subprodutos da empresa, processo nº  19622/2014.</w:t>
            </w:r>
          </w:p>
        </w:tc>
      </w:tr>
      <w:tr w:rsidR="004E720E" w:rsidRPr="005C500D" w14:paraId="5B5CBB32" w14:textId="77777777" w:rsidTr="008C595C">
        <w:tc>
          <w:tcPr>
            <w:cnfStyle w:val="001000000000" w:firstRow="0" w:lastRow="0" w:firstColumn="1" w:lastColumn="0" w:oddVBand="0" w:evenVBand="0" w:oddHBand="0" w:evenHBand="0" w:firstRowFirstColumn="0" w:firstRowLastColumn="0" w:lastRowFirstColumn="0" w:lastRowLastColumn="0"/>
            <w:tcW w:w="2405" w:type="dxa"/>
            <w:shd w:val="clear" w:color="auto" w:fill="F2F2F2" w:themeFill="background1" w:themeFillShade="F2"/>
            <w:noWrap/>
            <w:vAlign w:val="center"/>
          </w:tcPr>
          <w:p w14:paraId="6B876F4B"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60.498.706/0370-77</w:t>
            </w:r>
          </w:p>
        </w:tc>
        <w:tc>
          <w:tcPr>
            <w:tcW w:w="2037" w:type="dxa"/>
            <w:shd w:val="clear" w:color="auto" w:fill="F2F2F2" w:themeFill="background1" w:themeFillShade="F2"/>
            <w:vAlign w:val="center"/>
          </w:tcPr>
          <w:p w14:paraId="45C58343"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Cargill Agrícola S.A</w:t>
            </w:r>
          </w:p>
        </w:tc>
        <w:tc>
          <w:tcPr>
            <w:tcW w:w="1593" w:type="dxa"/>
            <w:shd w:val="clear" w:color="auto" w:fill="F2F2F2" w:themeFill="background1" w:themeFillShade="F2"/>
            <w:vAlign w:val="center"/>
          </w:tcPr>
          <w:p w14:paraId="45497449"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6338/2016</w:t>
            </w:r>
          </w:p>
        </w:tc>
        <w:tc>
          <w:tcPr>
            <w:tcW w:w="1612" w:type="dxa"/>
            <w:shd w:val="clear" w:color="auto" w:fill="F2F2F2" w:themeFill="background1" w:themeFillShade="F2"/>
            <w:vAlign w:val="center"/>
          </w:tcPr>
          <w:p w14:paraId="2DFEF148"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03/09/2018</w:t>
            </w:r>
          </w:p>
        </w:tc>
        <w:tc>
          <w:tcPr>
            <w:tcW w:w="1618" w:type="dxa"/>
            <w:shd w:val="clear" w:color="auto" w:fill="F2F2F2" w:themeFill="background1" w:themeFillShade="F2"/>
            <w:vAlign w:val="center"/>
          </w:tcPr>
          <w:p w14:paraId="287B2C0D"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100.000,00</w:t>
            </w:r>
          </w:p>
        </w:tc>
        <w:tc>
          <w:tcPr>
            <w:tcW w:w="1575" w:type="dxa"/>
            <w:shd w:val="clear" w:color="auto" w:fill="F2F2F2" w:themeFill="background1" w:themeFillShade="F2"/>
            <w:vAlign w:val="center"/>
          </w:tcPr>
          <w:p w14:paraId="1855C0D9"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18.900,00</w:t>
            </w:r>
          </w:p>
        </w:tc>
        <w:tc>
          <w:tcPr>
            <w:tcW w:w="3896" w:type="dxa"/>
            <w:shd w:val="clear" w:color="auto" w:fill="F2F2F2" w:themeFill="background1" w:themeFillShade="F2"/>
            <w:vAlign w:val="center"/>
          </w:tcPr>
          <w:p w14:paraId="3E56EED8"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4458 SÉRIE B - por depositar rejeitos provenientes da estação de tratamento de efluentes.</w:t>
            </w:r>
          </w:p>
          <w:p w14:paraId="2CD3FB4E" w14:textId="3F71F2BD" w:rsidR="001C0937" w:rsidRPr="00B65FB6" w:rsidRDefault="001C0937"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b/>
                <w:color w:val="auto"/>
                <w:sz w:val="24"/>
                <w:szCs w:val="24"/>
              </w:rPr>
              <w:lastRenderedPageBreak/>
              <w:t>Valor do auto foi minorado para R$  27.000,00 – Decisão de 1ª Instância</w:t>
            </w:r>
            <w:r w:rsidR="00B65FB6">
              <w:rPr>
                <w:rFonts w:ascii="Arial" w:eastAsiaTheme="minorEastAsia" w:hAnsi="Arial" w:cs="Arial"/>
                <w:b/>
                <w:color w:val="auto"/>
                <w:sz w:val="24"/>
                <w:szCs w:val="24"/>
              </w:rPr>
              <w:t>.</w:t>
            </w:r>
          </w:p>
        </w:tc>
      </w:tr>
      <w:tr w:rsidR="006C2A1A" w:rsidRPr="005C500D" w14:paraId="050A6E58" w14:textId="77777777" w:rsidTr="008C5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noWrap/>
            <w:vAlign w:val="center"/>
          </w:tcPr>
          <w:p w14:paraId="0F866188"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lastRenderedPageBreak/>
              <w:t>78.876.950/0043-20</w:t>
            </w:r>
          </w:p>
        </w:tc>
        <w:tc>
          <w:tcPr>
            <w:tcW w:w="2037" w:type="dxa"/>
            <w:shd w:val="clear" w:color="auto" w:fill="auto"/>
            <w:vAlign w:val="center"/>
          </w:tcPr>
          <w:p w14:paraId="31585541"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Cia Henring</w:t>
            </w:r>
          </w:p>
        </w:tc>
        <w:tc>
          <w:tcPr>
            <w:tcW w:w="1593" w:type="dxa"/>
            <w:shd w:val="clear" w:color="auto" w:fill="auto"/>
            <w:vAlign w:val="center"/>
          </w:tcPr>
          <w:p w14:paraId="24CB76F5"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1042/2014</w:t>
            </w:r>
          </w:p>
        </w:tc>
        <w:tc>
          <w:tcPr>
            <w:tcW w:w="1612" w:type="dxa"/>
            <w:shd w:val="clear" w:color="auto" w:fill="auto"/>
            <w:vAlign w:val="center"/>
          </w:tcPr>
          <w:p w14:paraId="2C9F4E67"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28/02/2014</w:t>
            </w:r>
          </w:p>
        </w:tc>
        <w:tc>
          <w:tcPr>
            <w:tcW w:w="1618" w:type="dxa"/>
            <w:shd w:val="clear" w:color="auto" w:fill="auto"/>
            <w:vAlign w:val="center"/>
          </w:tcPr>
          <w:p w14:paraId="768F7E23"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5.000,00</w:t>
            </w:r>
          </w:p>
        </w:tc>
        <w:tc>
          <w:tcPr>
            <w:tcW w:w="1575" w:type="dxa"/>
            <w:shd w:val="clear" w:color="auto" w:fill="auto"/>
            <w:vAlign w:val="center"/>
          </w:tcPr>
          <w:p w14:paraId="79E6F1CF" w14:textId="77777777" w:rsidR="006C2A1A" w:rsidRPr="005C500D" w:rsidRDefault="006C2A1A" w:rsidP="0043207C">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3.500,00</w:t>
            </w:r>
          </w:p>
        </w:tc>
        <w:tc>
          <w:tcPr>
            <w:tcW w:w="3896" w:type="dxa"/>
            <w:shd w:val="clear" w:color="auto" w:fill="auto"/>
            <w:vAlign w:val="center"/>
          </w:tcPr>
          <w:p w14:paraId="2BD77E06" w14:textId="77777777" w:rsidR="006C2A1A" w:rsidRPr="005C500D" w:rsidRDefault="006C2A1A" w:rsidP="0043207C">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2107 SÉRIE B - pelo descumprimento da Advertência nº 1170 referente as condições da Licença de Funcionamento nº 569/2012.</w:t>
            </w:r>
          </w:p>
        </w:tc>
      </w:tr>
      <w:tr w:rsidR="004E720E" w:rsidRPr="005C500D" w14:paraId="6334E05C" w14:textId="77777777" w:rsidTr="008C595C">
        <w:tc>
          <w:tcPr>
            <w:cnfStyle w:val="001000000000" w:firstRow="0" w:lastRow="0" w:firstColumn="1" w:lastColumn="0" w:oddVBand="0" w:evenVBand="0" w:oddHBand="0" w:evenHBand="0" w:firstRowFirstColumn="0" w:firstRowLastColumn="0" w:lastRowFirstColumn="0" w:lastRowLastColumn="0"/>
            <w:tcW w:w="2405" w:type="dxa"/>
            <w:shd w:val="clear" w:color="auto" w:fill="F2F2F2" w:themeFill="background1" w:themeFillShade="F2"/>
            <w:noWrap/>
            <w:vAlign w:val="center"/>
          </w:tcPr>
          <w:p w14:paraId="7C37E85A" w14:textId="77777777" w:rsidR="006C2A1A" w:rsidRPr="005C500D" w:rsidRDefault="006C2A1A" w:rsidP="0043207C">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84.046.101/0057-48</w:t>
            </w:r>
          </w:p>
        </w:tc>
        <w:tc>
          <w:tcPr>
            <w:tcW w:w="2037" w:type="dxa"/>
            <w:shd w:val="clear" w:color="auto" w:fill="F2F2F2" w:themeFill="background1" w:themeFillShade="F2"/>
            <w:vAlign w:val="center"/>
          </w:tcPr>
          <w:p w14:paraId="07D9C25B"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Bunge Alimentos S.A</w:t>
            </w:r>
          </w:p>
        </w:tc>
        <w:tc>
          <w:tcPr>
            <w:tcW w:w="1593" w:type="dxa"/>
            <w:shd w:val="clear" w:color="auto" w:fill="F2F2F2" w:themeFill="background1" w:themeFillShade="F2"/>
            <w:vAlign w:val="center"/>
          </w:tcPr>
          <w:p w14:paraId="4801C1B3"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5C500D">
              <w:rPr>
                <w:rFonts w:ascii="Arial" w:hAnsi="Arial" w:cs="Arial"/>
                <w:bCs/>
                <w:color w:val="000000"/>
                <w:sz w:val="24"/>
                <w:szCs w:val="24"/>
              </w:rPr>
              <w:t>9584/2016</w:t>
            </w:r>
          </w:p>
        </w:tc>
        <w:tc>
          <w:tcPr>
            <w:tcW w:w="1612" w:type="dxa"/>
            <w:shd w:val="clear" w:color="auto" w:fill="F2F2F2" w:themeFill="background1" w:themeFillShade="F2"/>
            <w:vAlign w:val="center"/>
          </w:tcPr>
          <w:p w14:paraId="0670C30D"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04/12/2019</w:t>
            </w:r>
          </w:p>
        </w:tc>
        <w:tc>
          <w:tcPr>
            <w:tcW w:w="1618" w:type="dxa"/>
            <w:shd w:val="clear" w:color="auto" w:fill="F2F2F2" w:themeFill="background1" w:themeFillShade="F2"/>
            <w:vAlign w:val="center"/>
          </w:tcPr>
          <w:p w14:paraId="2EF78717"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200.000,00</w:t>
            </w:r>
          </w:p>
        </w:tc>
        <w:tc>
          <w:tcPr>
            <w:tcW w:w="1575" w:type="dxa"/>
            <w:shd w:val="clear" w:color="auto" w:fill="F2F2F2" w:themeFill="background1" w:themeFillShade="F2"/>
            <w:vAlign w:val="center"/>
          </w:tcPr>
          <w:p w14:paraId="69064E20" w14:textId="77777777" w:rsidR="006C2A1A" w:rsidRPr="005C500D" w:rsidRDefault="006C2A1A" w:rsidP="00432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218.658,12</w:t>
            </w:r>
          </w:p>
        </w:tc>
        <w:tc>
          <w:tcPr>
            <w:tcW w:w="3896" w:type="dxa"/>
            <w:shd w:val="clear" w:color="auto" w:fill="F2F2F2" w:themeFill="background1" w:themeFillShade="F2"/>
            <w:vAlign w:val="center"/>
          </w:tcPr>
          <w:p w14:paraId="31F01A7C" w14:textId="77777777" w:rsidR="006C2A1A" w:rsidRPr="005C500D" w:rsidRDefault="006C2A1A" w:rsidP="0043207C">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nº 3676 SÉRIE B - por deixar de informar destinação final de 14,371 m² de madeira serrada 30.736,06 st. de lenha de origem nativa no sistema e 136.022,73 st. de lenha exótica, no oficial controle DOF.</w:t>
            </w:r>
          </w:p>
        </w:tc>
      </w:tr>
    </w:tbl>
    <w:p w14:paraId="04066463" w14:textId="77777777" w:rsidR="001347B8" w:rsidRPr="005C500D" w:rsidRDefault="001347B8" w:rsidP="00F17663">
      <w:pPr>
        <w:spacing w:line="360" w:lineRule="auto"/>
        <w:ind w:firstLine="851"/>
        <w:jc w:val="both"/>
        <w:rPr>
          <w:rFonts w:ascii="Arial" w:hAnsi="Arial" w:cs="Arial"/>
          <w:sz w:val="24"/>
          <w:szCs w:val="24"/>
        </w:rPr>
      </w:pPr>
    </w:p>
    <w:p w14:paraId="3DE34BBC" w14:textId="096E8719" w:rsidR="001347B8" w:rsidRPr="005C500D" w:rsidRDefault="001347B8" w:rsidP="00F17663">
      <w:pPr>
        <w:spacing w:line="360" w:lineRule="auto"/>
        <w:ind w:firstLine="851"/>
        <w:jc w:val="both"/>
        <w:rPr>
          <w:rFonts w:ascii="Arial" w:hAnsi="Arial" w:cs="Arial"/>
          <w:sz w:val="24"/>
          <w:szCs w:val="24"/>
        </w:rPr>
      </w:pPr>
      <w:r w:rsidRPr="005C500D">
        <w:rPr>
          <w:rFonts w:ascii="Arial" w:hAnsi="Arial" w:cs="Arial"/>
          <w:sz w:val="24"/>
          <w:szCs w:val="24"/>
        </w:rPr>
        <w:t xml:space="preserve">Ainda, segundo a SEMAD, há outra pessoa jurídica que seria a única cuja </w:t>
      </w:r>
      <w:r w:rsidRPr="005C500D">
        <w:rPr>
          <w:rFonts w:ascii="Arial" w:hAnsi="Arial" w:cs="Arial"/>
          <w:b/>
          <w:sz w:val="24"/>
          <w:szCs w:val="24"/>
        </w:rPr>
        <w:t>multa foi inscrita em dívida ativa</w:t>
      </w:r>
      <w:r w:rsidRPr="005C500D">
        <w:rPr>
          <w:rFonts w:ascii="Arial" w:hAnsi="Arial" w:cs="Arial"/>
          <w:sz w:val="24"/>
          <w:szCs w:val="24"/>
        </w:rPr>
        <w:t>, a saber:</w:t>
      </w:r>
    </w:p>
    <w:p w14:paraId="70418A85" w14:textId="77777777" w:rsidR="001347B8" w:rsidRPr="005C500D" w:rsidRDefault="001347B8" w:rsidP="00F17663">
      <w:pPr>
        <w:spacing w:line="360" w:lineRule="auto"/>
        <w:ind w:firstLine="851"/>
        <w:jc w:val="both"/>
        <w:rPr>
          <w:rFonts w:ascii="Arial" w:hAnsi="Arial" w:cs="Arial"/>
          <w:sz w:val="24"/>
          <w:szCs w:val="24"/>
        </w:rPr>
      </w:pPr>
    </w:p>
    <w:tbl>
      <w:tblPr>
        <w:tblStyle w:val="TabeladeGrade6Colorida-nfase3"/>
        <w:tblW w:w="5487" w:type="pct"/>
        <w:tblLook w:val="04A0" w:firstRow="1" w:lastRow="0" w:firstColumn="1" w:lastColumn="0" w:noHBand="0" w:noVBand="1"/>
      </w:tblPr>
      <w:tblGrid>
        <w:gridCol w:w="2269"/>
        <w:gridCol w:w="2237"/>
        <w:gridCol w:w="1691"/>
        <w:gridCol w:w="1688"/>
        <w:gridCol w:w="1682"/>
        <w:gridCol w:w="5169"/>
      </w:tblGrid>
      <w:tr w:rsidR="001347B8" w:rsidRPr="005C500D" w14:paraId="067F93E8" w14:textId="77777777" w:rsidTr="00DB3E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noWrap/>
            <w:vAlign w:val="center"/>
          </w:tcPr>
          <w:p w14:paraId="53DD334D" w14:textId="77777777" w:rsidR="001347B8" w:rsidRPr="005C500D" w:rsidRDefault="001347B8" w:rsidP="0079080E">
            <w:pPr>
              <w:spacing w:before="100" w:beforeAutospacing="1" w:after="100" w:afterAutospacing="1" w:line="360" w:lineRule="auto"/>
              <w:jc w:val="center"/>
              <w:rPr>
                <w:rFonts w:ascii="Arial" w:eastAsiaTheme="minorEastAsia" w:hAnsi="Arial" w:cs="Arial"/>
                <w:color w:val="auto"/>
                <w:sz w:val="24"/>
                <w:szCs w:val="24"/>
              </w:rPr>
            </w:pPr>
            <w:r w:rsidRPr="005C500D">
              <w:rPr>
                <w:rFonts w:ascii="Arial" w:eastAsiaTheme="minorEastAsia" w:hAnsi="Arial" w:cs="Arial"/>
                <w:color w:val="auto"/>
                <w:sz w:val="24"/>
                <w:szCs w:val="24"/>
              </w:rPr>
              <w:t>CNPJ</w:t>
            </w:r>
          </w:p>
        </w:tc>
        <w:tc>
          <w:tcPr>
            <w:tcW w:w="2237" w:type="dxa"/>
            <w:vAlign w:val="center"/>
          </w:tcPr>
          <w:p w14:paraId="6806002A" w14:textId="77777777" w:rsidR="001347B8" w:rsidRPr="005C500D" w:rsidRDefault="001347B8" w:rsidP="0079080E">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Razão Social</w:t>
            </w:r>
          </w:p>
        </w:tc>
        <w:tc>
          <w:tcPr>
            <w:tcW w:w="1691" w:type="dxa"/>
            <w:vAlign w:val="center"/>
          </w:tcPr>
          <w:p w14:paraId="49413A60" w14:textId="77777777" w:rsidR="001347B8" w:rsidRPr="005C500D" w:rsidRDefault="001347B8" w:rsidP="0079080E">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Nº. Processo (s)</w:t>
            </w:r>
          </w:p>
        </w:tc>
        <w:tc>
          <w:tcPr>
            <w:tcW w:w="1688" w:type="dxa"/>
            <w:vAlign w:val="center"/>
          </w:tcPr>
          <w:p w14:paraId="66695D06" w14:textId="77777777" w:rsidR="001347B8" w:rsidRPr="005C500D" w:rsidRDefault="001347B8" w:rsidP="0079080E">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Data da decisão</w:t>
            </w:r>
          </w:p>
        </w:tc>
        <w:tc>
          <w:tcPr>
            <w:tcW w:w="1682" w:type="dxa"/>
            <w:vAlign w:val="center"/>
          </w:tcPr>
          <w:p w14:paraId="73229B73" w14:textId="77777777" w:rsidR="001347B8" w:rsidRPr="005C500D" w:rsidRDefault="001347B8" w:rsidP="0079080E">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Valor da Multa (R$)</w:t>
            </w:r>
          </w:p>
        </w:tc>
        <w:tc>
          <w:tcPr>
            <w:tcW w:w="5170" w:type="dxa"/>
            <w:vAlign w:val="center"/>
          </w:tcPr>
          <w:p w14:paraId="11B276AD" w14:textId="77777777" w:rsidR="001347B8" w:rsidRPr="005C500D" w:rsidRDefault="001347B8" w:rsidP="0079080E">
            <w:pPr>
              <w:spacing w:after="160" w:line="259" w:lineRule="auto"/>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Observação</w:t>
            </w:r>
          </w:p>
        </w:tc>
      </w:tr>
      <w:tr w:rsidR="001347B8" w:rsidRPr="005C500D" w14:paraId="208970D0" w14:textId="77777777" w:rsidTr="00DB3E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noWrap/>
            <w:vAlign w:val="center"/>
          </w:tcPr>
          <w:p w14:paraId="6759E294" w14:textId="77777777" w:rsidR="001347B8" w:rsidRPr="005C500D" w:rsidRDefault="001347B8" w:rsidP="0079080E">
            <w:pPr>
              <w:spacing w:before="100" w:beforeAutospacing="1" w:after="100" w:afterAutospacing="1" w:line="360" w:lineRule="auto"/>
              <w:jc w:val="center"/>
              <w:rPr>
                <w:rFonts w:ascii="Arial" w:hAnsi="Arial" w:cs="Arial"/>
                <w:b w:val="0"/>
                <w:color w:val="000000"/>
                <w:sz w:val="24"/>
                <w:szCs w:val="24"/>
              </w:rPr>
            </w:pPr>
            <w:r w:rsidRPr="005C500D">
              <w:rPr>
                <w:rFonts w:ascii="Arial" w:hAnsi="Arial" w:cs="Arial"/>
                <w:b w:val="0"/>
                <w:color w:val="000000"/>
                <w:sz w:val="24"/>
                <w:szCs w:val="24"/>
              </w:rPr>
              <w:t>2.896.264/0001-09</w:t>
            </w:r>
          </w:p>
        </w:tc>
        <w:tc>
          <w:tcPr>
            <w:tcW w:w="2237" w:type="dxa"/>
            <w:vAlign w:val="center"/>
          </w:tcPr>
          <w:p w14:paraId="7E56238D" w14:textId="77777777" w:rsidR="001347B8" w:rsidRPr="005C500D" w:rsidRDefault="001347B8"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Centroálcool S.A – Cenasa</w:t>
            </w:r>
          </w:p>
        </w:tc>
        <w:tc>
          <w:tcPr>
            <w:tcW w:w="1691" w:type="dxa"/>
            <w:vAlign w:val="center"/>
          </w:tcPr>
          <w:p w14:paraId="499EC59E" w14:textId="77777777" w:rsidR="001347B8" w:rsidRPr="005C500D" w:rsidRDefault="001347B8"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17357/2013</w:t>
            </w:r>
          </w:p>
        </w:tc>
        <w:tc>
          <w:tcPr>
            <w:tcW w:w="1688" w:type="dxa"/>
            <w:vAlign w:val="center"/>
          </w:tcPr>
          <w:p w14:paraId="6B101FBA" w14:textId="77777777" w:rsidR="001347B8" w:rsidRPr="005C500D" w:rsidRDefault="001347B8"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11/01/2019</w:t>
            </w:r>
          </w:p>
        </w:tc>
        <w:tc>
          <w:tcPr>
            <w:tcW w:w="1682" w:type="dxa"/>
            <w:vAlign w:val="center"/>
          </w:tcPr>
          <w:p w14:paraId="649E20E6" w14:textId="77777777" w:rsidR="001347B8" w:rsidRPr="005C500D" w:rsidRDefault="001347B8"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5C500D">
              <w:rPr>
                <w:rFonts w:ascii="Arial" w:hAnsi="Arial" w:cs="Arial"/>
                <w:color w:val="000000"/>
                <w:sz w:val="24"/>
                <w:szCs w:val="24"/>
              </w:rPr>
              <w:t>20.000,00</w:t>
            </w:r>
          </w:p>
        </w:tc>
        <w:tc>
          <w:tcPr>
            <w:tcW w:w="5170" w:type="dxa"/>
            <w:vAlign w:val="center"/>
          </w:tcPr>
          <w:p w14:paraId="2160FAFD" w14:textId="77777777" w:rsidR="001347B8" w:rsidRPr="005C500D" w:rsidRDefault="001347B8" w:rsidP="0079080E">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4"/>
                <w:szCs w:val="24"/>
              </w:rPr>
            </w:pPr>
            <w:r w:rsidRPr="005C500D">
              <w:rPr>
                <w:rFonts w:ascii="Arial" w:eastAsiaTheme="minorEastAsia" w:hAnsi="Arial" w:cs="Arial"/>
                <w:color w:val="auto"/>
                <w:sz w:val="24"/>
                <w:szCs w:val="24"/>
              </w:rPr>
              <w:t>Auto de Inf. n° 1187 SÉRIE B - por fazer funcionar atividade poluidora, fabricação de álcool, sem autorização ambiental. A Licença de Funcionamento venceu em 07/12/2012. Ref. ao processo n° 17448/2012.</w:t>
            </w:r>
          </w:p>
        </w:tc>
      </w:tr>
    </w:tbl>
    <w:p w14:paraId="26A9E547" w14:textId="758657CD" w:rsidR="006C2A1A" w:rsidRPr="005C500D" w:rsidRDefault="006C2A1A" w:rsidP="00F17663">
      <w:pPr>
        <w:spacing w:line="360" w:lineRule="auto"/>
        <w:ind w:firstLine="851"/>
        <w:jc w:val="both"/>
        <w:rPr>
          <w:rFonts w:ascii="Arial" w:hAnsi="Arial" w:cs="Arial"/>
          <w:sz w:val="24"/>
          <w:szCs w:val="24"/>
        </w:rPr>
      </w:pPr>
    </w:p>
    <w:p w14:paraId="1623739D" w14:textId="77777777" w:rsidR="009C3E7D" w:rsidRDefault="009C3E7D" w:rsidP="003E2B64">
      <w:pPr>
        <w:spacing w:line="360" w:lineRule="auto"/>
        <w:ind w:firstLine="851"/>
        <w:jc w:val="both"/>
        <w:rPr>
          <w:rFonts w:ascii="Arial" w:hAnsi="Arial" w:cs="Arial"/>
          <w:sz w:val="24"/>
          <w:szCs w:val="24"/>
        </w:rPr>
      </w:pPr>
    </w:p>
    <w:p w14:paraId="5C749DB1" w14:textId="77777777" w:rsidR="009C3E7D" w:rsidRDefault="009C3E7D" w:rsidP="003E2B64">
      <w:pPr>
        <w:spacing w:line="360" w:lineRule="auto"/>
        <w:ind w:firstLine="851"/>
        <w:jc w:val="both"/>
        <w:rPr>
          <w:rFonts w:ascii="Arial" w:hAnsi="Arial" w:cs="Arial"/>
          <w:sz w:val="24"/>
          <w:szCs w:val="24"/>
        </w:rPr>
      </w:pPr>
    </w:p>
    <w:p w14:paraId="622377C9" w14:textId="77777777" w:rsidR="009C3E7D" w:rsidRDefault="009C3E7D" w:rsidP="003E2B64">
      <w:pPr>
        <w:spacing w:line="360" w:lineRule="auto"/>
        <w:ind w:firstLine="851"/>
        <w:jc w:val="both"/>
        <w:rPr>
          <w:rFonts w:ascii="Arial" w:hAnsi="Arial" w:cs="Arial"/>
          <w:sz w:val="24"/>
          <w:szCs w:val="24"/>
        </w:rPr>
      </w:pPr>
    </w:p>
    <w:p w14:paraId="189770DB" w14:textId="62FB6A22" w:rsidR="00D33B8C" w:rsidRPr="005C500D" w:rsidRDefault="003E2B64" w:rsidP="003E2B64">
      <w:pPr>
        <w:spacing w:line="360" w:lineRule="auto"/>
        <w:ind w:firstLine="851"/>
        <w:jc w:val="both"/>
        <w:rPr>
          <w:rFonts w:ascii="Arial" w:hAnsi="Arial" w:cs="Arial"/>
          <w:sz w:val="24"/>
          <w:szCs w:val="24"/>
        </w:rPr>
      </w:pPr>
      <w:r w:rsidRPr="005C500D">
        <w:rPr>
          <w:rFonts w:ascii="Arial" w:hAnsi="Arial" w:cs="Arial"/>
          <w:sz w:val="24"/>
          <w:szCs w:val="24"/>
        </w:rPr>
        <w:t xml:space="preserve">Um </w:t>
      </w:r>
      <w:r w:rsidRPr="005C500D">
        <w:rPr>
          <w:rFonts w:ascii="Arial" w:hAnsi="Arial" w:cs="Arial"/>
          <w:b/>
          <w:sz w:val="24"/>
          <w:szCs w:val="24"/>
        </w:rPr>
        <w:t>primeiro achado</w:t>
      </w:r>
      <w:r w:rsidRPr="005C500D">
        <w:rPr>
          <w:rFonts w:ascii="Arial" w:hAnsi="Arial" w:cs="Arial"/>
          <w:sz w:val="24"/>
          <w:szCs w:val="24"/>
        </w:rPr>
        <w:t xml:space="preserve">, que pode ser extraído da </w:t>
      </w:r>
      <w:r w:rsidR="002A1245">
        <w:rPr>
          <w:rFonts w:ascii="Arial" w:hAnsi="Arial" w:cs="Arial"/>
          <w:sz w:val="24"/>
          <w:szCs w:val="24"/>
        </w:rPr>
        <w:t>primeira tabela deste item do relatório</w:t>
      </w:r>
      <w:r w:rsidRPr="005C500D">
        <w:rPr>
          <w:rFonts w:ascii="Arial" w:hAnsi="Arial" w:cs="Arial"/>
          <w:sz w:val="24"/>
          <w:szCs w:val="24"/>
        </w:rPr>
        <w:t xml:space="preserve">, consiste no fato de que </w:t>
      </w:r>
      <w:r w:rsidRPr="005C500D">
        <w:rPr>
          <w:rFonts w:ascii="Arial" w:hAnsi="Arial" w:cs="Arial"/>
          <w:sz w:val="24"/>
          <w:szCs w:val="24"/>
          <w:u w:val="single"/>
        </w:rPr>
        <w:t>4 (quatro) empresas</w:t>
      </w:r>
      <w:r w:rsidRPr="005C500D">
        <w:rPr>
          <w:rFonts w:ascii="Arial" w:hAnsi="Arial" w:cs="Arial"/>
          <w:sz w:val="24"/>
          <w:szCs w:val="24"/>
        </w:rPr>
        <w:t xml:space="preserve"> obtiveram, por decisão de primeira ou segunda instância, a </w:t>
      </w:r>
      <w:r w:rsidRPr="005C500D">
        <w:rPr>
          <w:rFonts w:ascii="Arial" w:hAnsi="Arial" w:cs="Arial"/>
          <w:sz w:val="24"/>
          <w:szCs w:val="24"/>
          <w:u w:val="single"/>
        </w:rPr>
        <w:t>redução substancial do valor da multa aplicada</w:t>
      </w:r>
      <w:r w:rsidRPr="005C500D">
        <w:rPr>
          <w:rFonts w:ascii="Arial" w:hAnsi="Arial" w:cs="Arial"/>
          <w:sz w:val="24"/>
          <w:szCs w:val="24"/>
        </w:rPr>
        <w:t xml:space="preserve">, </w:t>
      </w:r>
      <w:r w:rsidR="00DB3E2F">
        <w:rPr>
          <w:rFonts w:ascii="Arial" w:hAnsi="Arial" w:cs="Arial"/>
          <w:sz w:val="24"/>
          <w:szCs w:val="24"/>
        </w:rPr>
        <w:t xml:space="preserve">em aparente violação, no mínimo, ao art. 5º, II, “o”, da Lei nº 18.102/2013, </w:t>
      </w:r>
      <w:r w:rsidRPr="005C500D">
        <w:rPr>
          <w:rFonts w:ascii="Arial" w:hAnsi="Arial" w:cs="Arial"/>
          <w:sz w:val="24"/>
          <w:szCs w:val="24"/>
        </w:rPr>
        <w:t>conforme informações da própria SEMAD e ilustrado na tabela abaixo:</w:t>
      </w:r>
    </w:p>
    <w:tbl>
      <w:tblPr>
        <w:tblStyle w:val="TabeladeGrade6Colorida-nfase3"/>
        <w:tblW w:w="5487" w:type="pct"/>
        <w:tblLook w:val="04A0" w:firstRow="1" w:lastRow="0" w:firstColumn="1" w:lastColumn="0" w:noHBand="0" w:noVBand="1"/>
      </w:tblPr>
      <w:tblGrid>
        <w:gridCol w:w="2365"/>
        <w:gridCol w:w="2125"/>
        <w:gridCol w:w="1623"/>
        <w:gridCol w:w="1631"/>
        <w:gridCol w:w="1624"/>
        <w:gridCol w:w="1582"/>
        <w:gridCol w:w="3786"/>
      </w:tblGrid>
      <w:tr w:rsidR="003E2B64" w:rsidRPr="006C2A1A" w14:paraId="24DD6CFA" w14:textId="77777777" w:rsidTr="00DB3E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noWrap/>
          </w:tcPr>
          <w:p w14:paraId="0958E04C" w14:textId="77777777" w:rsidR="003E2B64" w:rsidRPr="006C2A1A" w:rsidRDefault="003E2B64" w:rsidP="00467E0B">
            <w:pPr>
              <w:spacing w:before="100" w:beforeAutospacing="1" w:after="100" w:afterAutospacing="1" w:line="360" w:lineRule="auto"/>
              <w:jc w:val="center"/>
              <w:rPr>
                <w:rFonts w:ascii="Arial" w:eastAsiaTheme="minorEastAsia" w:hAnsi="Arial" w:cs="Arial"/>
                <w:color w:val="auto"/>
                <w:sz w:val="22"/>
                <w:szCs w:val="22"/>
              </w:rPr>
            </w:pPr>
            <w:r w:rsidRPr="006C2A1A">
              <w:rPr>
                <w:rFonts w:ascii="Arial" w:eastAsiaTheme="minorEastAsia" w:hAnsi="Arial" w:cs="Arial"/>
                <w:color w:val="auto"/>
                <w:sz w:val="22"/>
                <w:szCs w:val="22"/>
              </w:rPr>
              <w:t>CNPJ</w:t>
            </w:r>
          </w:p>
        </w:tc>
        <w:tc>
          <w:tcPr>
            <w:tcW w:w="2125" w:type="dxa"/>
          </w:tcPr>
          <w:p w14:paraId="31A1694D" w14:textId="77777777" w:rsidR="003E2B64" w:rsidRPr="006C2A1A" w:rsidRDefault="003E2B64" w:rsidP="00467E0B">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6C2A1A">
              <w:rPr>
                <w:rFonts w:ascii="Arial" w:eastAsiaTheme="minorEastAsia" w:hAnsi="Arial" w:cs="Arial"/>
                <w:color w:val="auto"/>
                <w:sz w:val="22"/>
                <w:szCs w:val="22"/>
              </w:rPr>
              <w:t>Razão Social</w:t>
            </w:r>
          </w:p>
        </w:tc>
        <w:tc>
          <w:tcPr>
            <w:tcW w:w="1623" w:type="dxa"/>
          </w:tcPr>
          <w:p w14:paraId="18517076" w14:textId="77777777" w:rsidR="003E2B64" w:rsidRPr="006C2A1A" w:rsidRDefault="003E2B64" w:rsidP="00467E0B">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6C2A1A">
              <w:rPr>
                <w:rFonts w:ascii="Arial" w:eastAsiaTheme="minorEastAsia" w:hAnsi="Arial" w:cs="Arial"/>
                <w:color w:val="auto"/>
                <w:sz w:val="22"/>
                <w:szCs w:val="22"/>
              </w:rPr>
              <w:t>Nº. Processo (s)</w:t>
            </w:r>
          </w:p>
        </w:tc>
        <w:tc>
          <w:tcPr>
            <w:tcW w:w="1631" w:type="dxa"/>
          </w:tcPr>
          <w:p w14:paraId="07542F45" w14:textId="77777777" w:rsidR="003E2B64" w:rsidRPr="006C2A1A" w:rsidRDefault="003E2B64" w:rsidP="00467E0B">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6C2A1A">
              <w:rPr>
                <w:rFonts w:ascii="Arial" w:eastAsiaTheme="minorEastAsia" w:hAnsi="Arial" w:cs="Arial"/>
                <w:color w:val="auto"/>
                <w:sz w:val="22"/>
                <w:szCs w:val="22"/>
              </w:rPr>
              <w:t>Data da decisão</w:t>
            </w:r>
          </w:p>
        </w:tc>
        <w:tc>
          <w:tcPr>
            <w:tcW w:w="1624" w:type="dxa"/>
          </w:tcPr>
          <w:p w14:paraId="43A619B9" w14:textId="77777777" w:rsidR="003E2B64" w:rsidRPr="006C2A1A" w:rsidRDefault="003E2B64" w:rsidP="00467E0B">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6C2A1A">
              <w:rPr>
                <w:rFonts w:ascii="Arial" w:eastAsiaTheme="minorEastAsia" w:hAnsi="Arial" w:cs="Arial"/>
                <w:color w:val="auto"/>
                <w:sz w:val="22"/>
                <w:szCs w:val="22"/>
              </w:rPr>
              <w:t>Valor da Multa (R$)</w:t>
            </w:r>
          </w:p>
        </w:tc>
        <w:tc>
          <w:tcPr>
            <w:tcW w:w="1582" w:type="dxa"/>
          </w:tcPr>
          <w:p w14:paraId="563595C3" w14:textId="77777777" w:rsidR="003E2B64" w:rsidRPr="006C2A1A" w:rsidRDefault="003E2B64" w:rsidP="00467E0B">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6C2A1A">
              <w:rPr>
                <w:rFonts w:ascii="Arial" w:eastAsiaTheme="minorEastAsia" w:hAnsi="Arial" w:cs="Arial"/>
                <w:color w:val="auto"/>
                <w:sz w:val="22"/>
                <w:szCs w:val="22"/>
              </w:rPr>
              <w:t>Valor pago   (R$)</w:t>
            </w:r>
          </w:p>
        </w:tc>
        <w:tc>
          <w:tcPr>
            <w:tcW w:w="3786" w:type="dxa"/>
          </w:tcPr>
          <w:p w14:paraId="60BF4596" w14:textId="77777777" w:rsidR="003E2B64" w:rsidRPr="006C2A1A" w:rsidRDefault="003E2B64" w:rsidP="00467E0B">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6C2A1A">
              <w:rPr>
                <w:rFonts w:ascii="Arial" w:eastAsiaTheme="minorEastAsia" w:hAnsi="Arial" w:cs="Arial"/>
                <w:color w:val="auto"/>
                <w:sz w:val="22"/>
                <w:szCs w:val="22"/>
              </w:rPr>
              <w:t>Observação</w:t>
            </w:r>
          </w:p>
        </w:tc>
      </w:tr>
      <w:tr w:rsidR="003E2B64" w:rsidRPr="006C2A1A" w14:paraId="442A457C" w14:textId="77777777" w:rsidTr="00DB3E2F">
        <w:tblPrEx>
          <w:jc w:val="center"/>
        </w:tblPrEx>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2365" w:type="dxa"/>
            <w:noWrap/>
            <w:vAlign w:val="center"/>
          </w:tcPr>
          <w:p w14:paraId="5DAA725C" w14:textId="77777777" w:rsidR="003E2B64" w:rsidRPr="007B2C4C" w:rsidRDefault="003E2B64" w:rsidP="00467E0B">
            <w:pPr>
              <w:spacing w:before="100" w:beforeAutospacing="1" w:after="100" w:afterAutospacing="1" w:line="360" w:lineRule="auto"/>
              <w:jc w:val="center"/>
              <w:rPr>
                <w:rFonts w:ascii="Arial" w:hAnsi="Arial" w:cs="Arial"/>
                <w:b w:val="0"/>
                <w:color w:val="000000"/>
                <w:sz w:val="22"/>
                <w:szCs w:val="22"/>
              </w:rPr>
            </w:pPr>
            <w:r w:rsidRPr="007B2C4C">
              <w:rPr>
                <w:rFonts w:ascii="Arial" w:hAnsi="Arial" w:cs="Arial"/>
                <w:b w:val="0"/>
                <w:color w:val="000000"/>
                <w:sz w:val="22"/>
                <w:szCs w:val="22"/>
              </w:rPr>
              <w:t>00.892.208/0001-62</w:t>
            </w:r>
          </w:p>
        </w:tc>
        <w:tc>
          <w:tcPr>
            <w:tcW w:w="2125" w:type="dxa"/>
            <w:vAlign w:val="center"/>
          </w:tcPr>
          <w:p w14:paraId="6EF20E75" w14:textId="1B19EF55" w:rsidR="003E2B64" w:rsidRPr="007B2C4C" w:rsidRDefault="003E2B64" w:rsidP="0090651F">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7B2C4C">
              <w:rPr>
                <w:rFonts w:ascii="Arial" w:hAnsi="Arial" w:cs="Arial"/>
                <w:bCs/>
                <w:color w:val="000000"/>
                <w:sz w:val="22"/>
                <w:szCs w:val="22"/>
              </w:rPr>
              <w:t xml:space="preserve">Villas – Ind. e Com. </w:t>
            </w:r>
            <w:r w:rsidR="0090651F">
              <w:rPr>
                <w:rFonts w:ascii="Arial" w:hAnsi="Arial" w:cs="Arial"/>
                <w:bCs/>
                <w:color w:val="000000"/>
                <w:sz w:val="22"/>
                <w:szCs w:val="22"/>
              </w:rPr>
              <w:t>d</w:t>
            </w:r>
            <w:r w:rsidRPr="007B2C4C">
              <w:rPr>
                <w:rFonts w:ascii="Arial" w:hAnsi="Arial" w:cs="Arial"/>
                <w:bCs/>
                <w:color w:val="000000"/>
                <w:sz w:val="22"/>
                <w:szCs w:val="22"/>
              </w:rPr>
              <w:t>e Couros Ltda</w:t>
            </w:r>
          </w:p>
        </w:tc>
        <w:tc>
          <w:tcPr>
            <w:tcW w:w="1623" w:type="dxa"/>
            <w:vAlign w:val="center"/>
          </w:tcPr>
          <w:p w14:paraId="572192F1" w14:textId="77777777" w:rsidR="003E2B64" w:rsidRPr="007B2C4C" w:rsidRDefault="003E2B64" w:rsidP="00467E0B">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7B2C4C">
              <w:rPr>
                <w:rFonts w:ascii="Arial" w:hAnsi="Arial" w:cs="Arial"/>
                <w:bCs/>
                <w:color w:val="000000"/>
                <w:sz w:val="22"/>
                <w:szCs w:val="22"/>
              </w:rPr>
              <w:t>8681/2014</w:t>
            </w:r>
          </w:p>
        </w:tc>
        <w:tc>
          <w:tcPr>
            <w:tcW w:w="1631" w:type="dxa"/>
            <w:vAlign w:val="center"/>
          </w:tcPr>
          <w:p w14:paraId="3E0F0BE1" w14:textId="77777777" w:rsidR="003E2B64" w:rsidRPr="007B2C4C" w:rsidRDefault="003E2B64" w:rsidP="00467E0B">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7B2C4C">
              <w:rPr>
                <w:rFonts w:ascii="Arial" w:hAnsi="Arial" w:cs="Arial"/>
                <w:color w:val="000000"/>
                <w:sz w:val="22"/>
                <w:szCs w:val="22"/>
              </w:rPr>
              <w:t>08/03/2018</w:t>
            </w:r>
          </w:p>
        </w:tc>
        <w:tc>
          <w:tcPr>
            <w:tcW w:w="1624" w:type="dxa"/>
            <w:vAlign w:val="center"/>
          </w:tcPr>
          <w:p w14:paraId="624798E4" w14:textId="77777777" w:rsidR="003E2B64" w:rsidRPr="00D15679" w:rsidRDefault="003E2B64" w:rsidP="00467E0B">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u w:val="single"/>
              </w:rPr>
            </w:pPr>
            <w:r w:rsidRPr="00D15679">
              <w:rPr>
                <w:rFonts w:ascii="Arial" w:hAnsi="Arial" w:cs="Arial"/>
                <w:b/>
                <w:color w:val="000000"/>
                <w:sz w:val="22"/>
                <w:szCs w:val="22"/>
                <w:u w:val="single"/>
              </w:rPr>
              <w:t>100.000,00</w:t>
            </w:r>
          </w:p>
        </w:tc>
        <w:tc>
          <w:tcPr>
            <w:tcW w:w="1582" w:type="dxa"/>
            <w:vAlign w:val="center"/>
          </w:tcPr>
          <w:p w14:paraId="6FC16114" w14:textId="77777777" w:rsidR="003E2B64" w:rsidRPr="00D15679" w:rsidRDefault="003E2B64" w:rsidP="00467E0B">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sidRPr="00D15679">
              <w:rPr>
                <w:rFonts w:ascii="Arial" w:hAnsi="Arial" w:cs="Arial"/>
                <w:b/>
                <w:color w:val="000000"/>
                <w:sz w:val="22"/>
                <w:szCs w:val="22"/>
              </w:rPr>
              <w:t>18.229,97</w:t>
            </w:r>
          </w:p>
        </w:tc>
        <w:tc>
          <w:tcPr>
            <w:tcW w:w="3786" w:type="dxa"/>
            <w:vAlign w:val="center"/>
          </w:tcPr>
          <w:p w14:paraId="32997500" w14:textId="77777777" w:rsidR="003E2B64" w:rsidRPr="007B2C4C" w:rsidRDefault="003E2B64" w:rsidP="00467E0B">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7B2C4C">
              <w:rPr>
                <w:rFonts w:ascii="Arial" w:hAnsi="Arial" w:cs="Arial"/>
                <w:b/>
                <w:color w:val="000000"/>
                <w:sz w:val="22"/>
                <w:szCs w:val="22"/>
              </w:rPr>
              <w:t>Valor do auto foi minorado para R$  15.000,00 – Decisão de 2ª Instância</w:t>
            </w:r>
            <w:r w:rsidRPr="007B2C4C">
              <w:rPr>
                <w:rFonts w:ascii="Arial" w:hAnsi="Arial" w:cs="Arial"/>
                <w:color w:val="000000"/>
                <w:sz w:val="22"/>
                <w:szCs w:val="22"/>
              </w:rPr>
              <w:t>.</w:t>
            </w:r>
          </w:p>
        </w:tc>
      </w:tr>
      <w:tr w:rsidR="003E2B64" w:rsidRPr="006C2A1A" w14:paraId="1886B42B" w14:textId="77777777" w:rsidTr="00DB3E2F">
        <w:tc>
          <w:tcPr>
            <w:cnfStyle w:val="001000000000" w:firstRow="0" w:lastRow="0" w:firstColumn="1" w:lastColumn="0" w:oddVBand="0" w:evenVBand="0" w:oddHBand="0" w:evenHBand="0" w:firstRowFirstColumn="0" w:firstRowLastColumn="0" w:lastRowFirstColumn="0" w:lastRowLastColumn="0"/>
            <w:tcW w:w="2365" w:type="dxa"/>
            <w:noWrap/>
          </w:tcPr>
          <w:p w14:paraId="24B880A3" w14:textId="199E95B6" w:rsidR="003E2B64" w:rsidRPr="006C2A1A" w:rsidRDefault="003E2B64" w:rsidP="00467E0B">
            <w:pPr>
              <w:spacing w:before="100" w:beforeAutospacing="1" w:after="100" w:afterAutospacing="1" w:line="360" w:lineRule="auto"/>
              <w:jc w:val="center"/>
              <w:rPr>
                <w:rFonts w:ascii="Arial" w:hAnsi="Arial" w:cs="Arial"/>
                <w:b w:val="0"/>
                <w:color w:val="000000"/>
                <w:sz w:val="22"/>
                <w:szCs w:val="22"/>
              </w:rPr>
            </w:pPr>
            <w:r>
              <w:rPr>
                <w:rFonts w:ascii="Arial" w:hAnsi="Arial" w:cs="Arial"/>
                <w:b w:val="0"/>
                <w:color w:val="000000"/>
                <w:sz w:val="22"/>
                <w:szCs w:val="22"/>
              </w:rPr>
              <w:t>0</w:t>
            </w:r>
            <w:r w:rsidRPr="006C2A1A">
              <w:rPr>
                <w:rFonts w:ascii="Arial" w:hAnsi="Arial" w:cs="Arial"/>
                <w:b w:val="0"/>
                <w:color w:val="000000"/>
                <w:sz w:val="22"/>
                <w:szCs w:val="22"/>
              </w:rPr>
              <w:t>5.915.146/0002-61</w:t>
            </w:r>
          </w:p>
        </w:tc>
        <w:tc>
          <w:tcPr>
            <w:tcW w:w="2125" w:type="dxa"/>
          </w:tcPr>
          <w:p w14:paraId="552BB7D8" w14:textId="35B830F0" w:rsidR="003E2B64" w:rsidRPr="006C2A1A" w:rsidRDefault="003E2B64" w:rsidP="00467E0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6C2A1A">
              <w:rPr>
                <w:rFonts w:ascii="Arial" w:hAnsi="Arial" w:cs="Arial"/>
                <w:color w:val="000000"/>
                <w:sz w:val="22"/>
                <w:szCs w:val="22"/>
              </w:rPr>
              <w:t>Lactosul Indústria de Laticínios Ltda. (Filial)</w:t>
            </w:r>
          </w:p>
        </w:tc>
        <w:tc>
          <w:tcPr>
            <w:tcW w:w="1623" w:type="dxa"/>
          </w:tcPr>
          <w:p w14:paraId="0938B004" w14:textId="37413DDC" w:rsidR="003E2B64" w:rsidRPr="006C2A1A" w:rsidRDefault="003E2B64" w:rsidP="00467E0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6C2A1A">
              <w:rPr>
                <w:rFonts w:ascii="Arial" w:hAnsi="Arial" w:cs="Arial"/>
                <w:color w:val="000000"/>
                <w:sz w:val="22"/>
                <w:szCs w:val="22"/>
              </w:rPr>
              <w:t>4743/2017</w:t>
            </w:r>
          </w:p>
        </w:tc>
        <w:tc>
          <w:tcPr>
            <w:tcW w:w="1631" w:type="dxa"/>
          </w:tcPr>
          <w:p w14:paraId="5EC5350F" w14:textId="6779FDC0" w:rsidR="003E2B64" w:rsidRPr="006C2A1A" w:rsidRDefault="003E2B64" w:rsidP="00467E0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6C2A1A">
              <w:rPr>
                <w:rFonts w:ascii="Arial" w:hAnsi="Arial" w:cs="Arial"/>
                <w:color w:val="000000"/>
                <w:sz w:val="22"/>
                <w:szCs w:val="22"/>
              </w:rPr>
              <w:t>11/09/2017</w:t>
            </w:r>
          </w:p>
        </w:tc>
        <w:tc>
          <w:tcPr>
            <w:tcW w:w="1624" w:type="dxa"/>
          </w:tcPr>
          <w:p w14:paraId="4E9175B6" w14:textId="1858CF4C" w:rsidR="003E2B64" w:rsidRPr="00D15679" w:rsidRDefault="003E2B64" w:rsidP="00467E0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2"/>
                <w:szCs w:val="22"/>
                <w:u w:val="single"/>
              </w:rPr>
            </w:pPr>
            <w:r w:rsidRPr="00D15679">
              <w:rPr>
                <w:rFonts w:ascii="Arial" w:hAnsi="Arial" w:cs="Arial"/>
                <w:b/>
                <w:color w:val="000000"/>
                <w:sz w:val="22"/>
                <w:szCs w:val="22"/>
                <w:u w:val="single"/>
              </w:rPr>
              <w:t>1.155.341,54</w:t>
            </w:r>
          </w:p>
        </w:tc>
        <w:tc>
          <w:tcPr>
            <w:tcW w:w="1582" w:type="dxa"/>
          </w:tcPr>
          <w:p w14:paraId="3D5DAB39" w14:textId="431B463C" w:rsidR="003E2B64" w:rsidRPr="00D15679" w:rsidRDefault="003E2B64" w:rsidP="00467E0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2"/>
                <w:szCs w:val="22"/>
              </w:rPr>
            </w:pPr>
            <w:r w:rsidRPr="00D15679">
              <w:rPr>
                <w:rFonts w:ascii="Arial" w:hAnsi="Arial" w:cs="Arial"/>
                <w:b/>
                <w:color w:val="000000"/>
                <w:sz w:val="22"/>
                <w:szCs w:val="22"/>
              </w:rPr>
              <w:t>7.013,93</w:t>
            </w:r>
          </w:p>
        </w:tc>
        <w:tc>
          <w:tcPr>
            <w:tcW w:w="3786" w:type="dxa"/>
          </w:tcPr>
          <w:p w14:paraId="4D7E76F5" w14:textId="77777777" w:rsidR="003E2B64" w:rsidRDefault="003E2B64" w:rsidP="00467E0B">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6C2A1A">
              <w:rPr>
                <w:rFonts w:ascii="Arial" w:eastAsiaTheme="minorEastAsia" w:hAnsi="Arial" w:cs="Arial"/>
                <w:color w:val="auto"/>
                <w:sz w:val="22"/>
                <w:szCs w:val="22"/>
              </w:rPr>
              <w:t>Auto de Inf. nº 3683 SÉRIE B - por omitir informação em destinação final de 33.693,25 st. de lenha de origem nativa e 90,894 m³ de madeira serrada diversas da origem nativa no sistema oficial de controle.</w:t>
            </w:r>
          </w:p>
          <w:p w14:paraId="07A67943" w14:textId="77777777" w:rsidR="003E2B64" w:rsidRPr="006C2A1A" w:rsidRDefault="003E2B64" w:rsidP="00467E0B">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BC564C">
              <w:rPr>
                <w:rFonts w:ascii="Arial" w:eastAsiaTheme="minorEastAsia" w:hAnsi="Arial" w:cs="Arial"/>
                <w:b/>
                <w:color w:val="auto"/>
                <w:sz w:val="22"/>
                <w:szCs w:val="22"/>
              </w:rPr>
              <w:t>Valor do auto foi minorado para R$  10.000,00 – Decisão de 1ª Instância</w:t>
            </w:r>
            <w:r>
              <w:rPr>
                <w:rFonts w:ascii="Arial" w:eastAsiaTheme="minorEastAsia" w:hAnsi="Arial" w:cs="Arial"/>
                <w:color w:val="auto"/>
                <w:sz w:val="22"/>
                <w:szCs w:val="22"/>
              </w:rPr>
              <w:t>.</w:t>
            </w:r>
          </w:p>
        </w:tc>
      </w:tr>
      <w:tr w:rsidR="003E2B64" w:rsidRPr="005A24EE" w14:paraId="4EE15990" w14:textId="77777777" w:rsidTr="00DB3E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noWrap/>
          </w:tcPr>
          <w:p w14:paraId="02BA8B46" w14:textId="77777777" w:rsidR="003E2B64" w:rsidRPr="006C2A1A" w:rsidRDefault="003E2B64" w:rsidP="00467E0B">
            <w:pPr>
              <w:spacing w:before="100" w:beforeAutospacing="1" w:after="100" w:afterAutospacing="1" w:line="360" w:lineRule="auto"/>
              <w:jc w:val="center"/>
              <w:rPr>
                <w:rFonts w:ascii="Arial" w:hAnsi="Arial" w:cs="Arial"/>
                <w:b w:val="0"/>
                <w:color w:val="000000"/>
                <w:sz w:val="22"/>
                <w:szCs w:val="22"/>
              </w:rPr>
            </w:pPr>
            <w:r w:rsidRPr="006C2A1A">
              <w:rPr>
                <w:rFonts w:ascii="Arial" w:hAnsi="Arial" w:cs="Arial"/>
                <w:b w:val="0"/>
                <w:color w:val="000000"/>
                <w:sz w:val="22"/>
                <w:szCs w:val="22"/>
              </w:rPr>
              <w:t>10.404.860/0001-44</w:t>
            </w:r>
          </w:p>
        </w:tc>
        <w:tc>
          <w:tcPr>
            <w:tcW w:w="2125" w:type="dxa"/>
          </w:tcPr>
          <w:p w14:paraId="497DB201" w14:textId="77777777" w:rsidR="003E2B64" w:rsidRPr="006C2A1A" w:rsidRDefault="003E2B64" w:rsidP="00467E0B">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6C2A1A">
              <w:rPr>
                <w:rFonts w:ascii="Arial" w:hAnsi="Arial" w:cs="Arial"/>
                <w:bCs/>
                <w:color w:val="000000"/>
                <w:sz w:val="22"/>
                <w:szCs w:val="22"/>
              </w:rPr>
              <w:t>Mineração Rio do Sal Ltda.</w:t>
            </w:r>
          </w:p>
        </w:tc>
        <w:tc>
          <w:tcPr>
            <w:tcW w:w="1623" w:type="dxa"/>
          </w:tcPr>
          <w:p w14:paraId="7622A555" w14:textId="77777777" w:rsidR="003E2B64" w:rsidRPr="006C2A1A" w:rsidRDefault="003E2B64" w:rsidP="00467E0B">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6C2A1A">
              <w:rPr>
                <w:rFonts w:ascii="Arial" w:hAnsi="Arial" w:cs="Arial"/>
                <w:bCs/>
                <w:color w:val="000000"/>
                <w:sz w:val="22"/>
                <w:szCs w:val="22"/>
              </w:rPr>
              <w:t>14756/2014</w:t>
            </w:r>
          </w:p>
        </w:tc>
        <w:tc>
          <w:tcPr>
            <w:tcW w:w="1631" w:type="dxa"/>
          </w:tcPr>
          <w:p w14:paraId="2A2D9DF9" w14:textId="77777777" w:rsidR="003E2B64" w:rsidRPr="006C2A1A" w:rsidRDefault="003E2B64" w:rsidP="00467E0B">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C2A1A">
              <w:rPr>
                <w:rFonts w:ascii="Arial" w:hAnsi="Arial" w:cs="Arial"/>
                <w:color w:val="000000"/>
                <w:sz w:val="22"/>
                <w:szCs w:val="22"/>
              </w:rPr>
              <w:t>16/04/2015</w:t>
            </w:r>
          </w:p>
        </w:tc>
        <w:tc>
          <w:tcPr>
            <w:tcW w:w="1624" w:type="dxa"/>
          </w:tcPr>
          <w:p w14:paraId="3312291B" w14:textId="77777777" w:rsidR="003E2B64" w:rsidRPr="00D15679" w:rsidRDefault="003E2B64" w:rsidP="00467E0B">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u w:val="single"/>
              </w:rPr>
            </w:pPr>
            <w:r w:rsidRPr="00D15679">
              <w:rPr>
                <w:rFonts w:ascii="Arial" w:hAnsi="Arial" w:cs="Arial"/>
                <w:b/>
                <w:color w:val="000000"/>
                <w:sz w:val="22"/>
                <w:szCs w:val="22"/>
                <w:u w:val="single"/>
              </w:rPr>
              <w:t>62.000,00</w:t>
            </w:r>
          </w:p>
        </w:tc>
        <w:tc>
          <w:tcPr>
            <w:tcW w:w="1582" w:type="dxa"/>
          </w:tcPr>
          <w:p w14:paraId="5ABFCDDE" w14:textId="77777777" w:rsidR="003E2B64" w:rsidRPr="00D15679" w:rsidRDefault="003E2B64" w:rsidP="00467E0B">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sidRPr="00D15679">
              <w:rPr>
                <w:rFonts w:ascii="Arial" w:hAnsi="Arial" w:cs="Arial"/>
                <w:b/>
                <w:color w:val="000000"/>
                <w:sz w:val="22"/>
                <w:szCs w:val="22"/>
              </w:rPr>
              <w:t>1.953,27</w:t>
            </w:r>
          </w:p>
        </w:tc>
        <w:tc>
          <w:tcPr>
            <w:tcW w:w="3786" w:type="dxa"/>
          </w:tcPr>
          <w:p w14:paraId="24B50083" w14:textId="011E1372" w:rsidR="003E2B64" w:rsidRPr="005A24EE" w:rsidRDefault="003E2B64" w:rsidP="00D15679">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auto"/>
                <w:sz w:val="22"/>
                <w:szCs w:val="22"/>
              </w:rPr>
            </w:pPr>
            <w:r w:rsidRPr="006C2A1A">
              <w:rPr>
                <w:rFonts w:ascii="Arial" w:eastAsiaTheme="minorEastAsia" w:hAnsi="Arial" w:cs="Arial"/>
                <w:color w:val="auto"/>
                <w:sz w:val="22"/>
                <w:szCs w:val="22"/>
              </w:rPr>
              <w:t>Auto de Inf. nº 1744 SÉRIE B - por descumprimento das condicionantes nº 02,03,04,06 e 12 do item exigências técnicas complementares da Licença de Funcionamento nº 657/2013 e por executar a extração de minerais em desacordo com a licença ambiental obtida.</w:t>
            </w:r>
            <w:r w:rsidR="00D15679">
              <w:rPr>
                <w:rFonts w:ascii="Arial" w:eastAsiaTheme="minorEastAsia" w:hAnsi="Arial" w:cs="Arial"/>
                <w:color w:val="auto"/>
                <w:sz w:val="22"/>
                <w:szCs w:val="22"/>
              </w:rPr>
              <w:t xml:space="preserve"> </w:t>
            </w:r>
            <w:r w:rsidRPr="005A24EE">
              <w:rPr>
                <w:rFonts w:ascii="Arial" w:eastAsiaTheme="minorEastAsia" w:hAnsi="Arial" w:cs="Arial"/>
                <w:b/>
                <w:color w:val="auto"/>
                <w:sz w:val="22"/>
                <w:szCs w:val="22"/>
              </w:rPr>
              <w:t>Valor do auto foi minorado para R$  2.475,00 – Decisão de 1ª Instância</w:t>
            </w:r>
          </w:p>
        </w:tc>
      </w:tr>
      <w:tr w:rsidR="003E2B64" w:rsidRPr="001C0937" w14:paraId="1684ECCD" w14:textId="77777777" w:rsidTr="00DB3E2F">
        <w:tc>
          <w:tcPr>
            <w:cnfStyle w:val="001000000000" w:firstRow="0" w:lastRow="0" w:firstColumn="1" w:lastColumn="0" w:oddVBand="0" w:evenVBand="0" w:oddHBand="0" w:evenHBand="0" w:firstRowFirstColumn="0" w:firstRowLastColumn="0" w:lastRowFirstColumn="0" w:lastRowLastColumn="0"/>
            <w:tcW w:w="2365" w:type="dxa"/>
            <w:noWrap/>
          </w:tcPr>
          <w:p w14:paraId="3635B717" w14:textId="77777777" w:rsidR="003E2B64" w:rsidRPr="006C2A1A" w:rsidRDefault="003E2B64" w:rsidP="00467E0B">
            <w:pPr>
              <w:spacing w:before="100" w:beforeAutospacing="1" w:after="100" w:afterAutospacing="1" w:line="360" w:lineRule="auto"/>
              <w:jc w:val="center"/>
              <w:rPr>
                <w:rFonts w:ascii="Arial" w:hAnsi="Arial" w:cs="Arial"/>
                <w:b w:val="0"/>
                <w:color w:val="000000"/>
                <w:sz w:val="22"/>
                <w:szCs w:val="22"/>
              </w:rPr>
            </w:pPr>
            <w:r w:rsidRPr="006C2A1A">
              <w:rPr>
                <w:rFonts w:ascii="Arial" w:hAnsi="Arial" w:cs="Arial"/>
                <w:b w:val="0"/>
                <w:color w:val="000000"/>
                <w:sz w:val="22"/>
                <w:szCs w:val="22"/>
              </w:rPr>
              <w:t>60.498.706/0370-77</w:t>
            </w:r>
          </w:p>
        </w:tc>
        <w:tc>
          <w:tcPr>
            <w:tcW w:w="2125" w:type="dxa"/>
          </w:tcPr>
          <w:p w14:paraId="45BDB5A9" w14:textId="77777777" w:rsidR="003E2B64" w:rsidRPr="006C2A1A" w:rsidRDefault="003E2B64" w:rsidP="00467E0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6C2A1A">
              <w:rPr>
                <w:rFonts w:ascii="Arial" w:hAnsi="Arial" w:cs="Arial"/>
                <w:color w:val="000000"/>
                <w:sz w:val="22"/>
                <w:szCs w:val="22"/>
              </w:rPr>
              <w:t>Cargill Agrícola S.A</w:t>
            </w:r>
          </w:p>
        </w:tc>
        <w:tc>
          <w:tcPr>
            <w:tcW w:w="1623" w:type="dxa"/>
          </w:tcPr>
          <w:p w14:paraId="19EEF91A" w14:textId="77777777" w:rsidR="003E2B64" w:rsidRPr="006C2A1A" w:rsidRDefault="003E2B64" w:rsidP="00467E0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6C2A1A">
              <w:rPr>
                <w:rFonts w:ascii="Arial" w:hAnsi="Arial" w:cs="Arial"/>
                <w:color w:val="000000"/>
                <w:sz w:val="22"/>
                <w:szCs w:val="22"/>
              </w:rPr>
              <w:t>6338/2016</w:t>
            </w:r>
          </w:p>
        </w:tc>
        <w:tc>
          <w:tcPr>
            <w:tcW w:w="1631" w:type="dxa"/>
          </w:tcPr>
          <w:p w14:paraId="7FD712B7" w14:textId="77777777" w:rsidR="003E2B64" w:rsidRPr="006C2A1A" w:rsidRDefault="003E2B64" w:rsidP="00467E0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6C2A1A">
              <w:rPr>
                <w:rFonts w:ascii="Arial" w:hAnsi="Arial" w:cs="Arial"/>
                <w:color w:val="000000"/>
                <w:sz w:val="22"/>
                <w:szCs w:val="22"/>
              </w:rPr>
              <w:t>03/09/2018</w:t>
            </w:r>
          </w:p>
        </w:tc>
        <w:tc>
          <w:tcPr>
            <w:tcW w:w="1624" w:type="dxa"/>
          </w:tcPr>
          <w:p w14:paraId="78F5E020" w14:textId="77777777" w:rsidR="003E2B64" w:rsidRPr="00D15679" w:rsidRDefault="003E2B64" w:rsidP="00467E0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2"/>
                <w:szCs w:val="22"/>
                <w:u w:val="single"/>
              </w:rPr>
            </w:pPr>
            <w:r w:rsidRPr="00D15679">
              <w:rPr>
                <w:rFonts w:ascii="Arial" w:hAnsi="Arial" w:cs="Arial"/>
                <w:b/>
                <w:color w:val="000000"/>
                <w:sz w:val="22"/>
                <w:szCs w:val="22"/>
                <w:u w:val="single"/>
              </w:rPr>
              <w:t>100.000,00</w:t>
            </w:r>
          </w:p>
        </w:tc>
        <w:tc>
          <w:tcPr>
            <w:tcW w:w="1582" w:type="dxa"/>
          </w:tcPr>
          <w:p w14:paraId="0BA43054" w14:textId="77777777" w:rsidR="003E2B64" w:rsidRPr="00D15679" w:rsidRDefault="003E2B64" w:rsidP="00467E0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2"/>
                <w:szCs w:val="22"/>
              </w:rPr>
            </w:pPr>
            <w:r w:rsidRPr="00D15679">
              <w:rPr>
                <w:rFonts w:ascii="Arial" w:hAnsi="Arial" w:cs="Arial"/>
                <w:b/>
                <w:color w:val="000000"/>
                <w:sz w:val="22"/>
                <w:szCs w:val="22"/>
              </w:rPr>
              <w:t>18.900,00</w:t>
            </w:r>
          </w:p>
        </w:tc>
        <w:tc>
          <w:tcPr>
            <w:tcW w:w="3786" w:type="dxa"/>
          </w:tcPr>
          <w:p w14:paraId="34DEAE01" w14:textId="77777777" w:rsidR="003E2B64" w:rsidRDefault="003E2B64" w:rsidP="00467E0B">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6C2A1A">
              <w:rPr>
                <w:rFonts w:ascii="Arial" w:eastAsiaTheme="minorEastAsia" w:hAnsi="Arial" w:cs="Arial"/>
                <w:color w:val="auto"/>
                <w:sz w:val="22"/>
                <w:szCs w:val="22"/>
              </w:rPr>
              <w:t>Auto de Inf. nº 4458 SÉRIE B - por depositar rejeitos provenientes da estação de tratamento de efluentes.</w:t>
            </w:r>
          </w:p>
          <w:p w14:paraId="5DC62BA3" w14:textId="77777777" w:rsidR="003E2B64" w:rsidRPr="001C0937" w:rsidRDefault="003E2B64" w:rsidP="00467E0B">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b/>
                <w:color w:val="auto"/>
                <w:sz w:val="22"/>
                <w:szCs w:val="22"/>
              </w:rPr>
            </w:pPr>
            <w:r w:rsidRPr="001C0937">
              <w:rPr>
                <w:rFonts w:ascii="Arial" w:eastAsiaTheme="minorEastAsia" w:hAnsi="Arial" w:cs="Arial"/>
                <w:b/>
                <w:color w:val="auto"/>
                <w:sz w:val="22"/>
                <w:szCs w:val="22"/>
              </w:rPr>
              <w:lastRenderedPageBreak/>
              <w:t>Valor do auto foi minorado para R$  27.000,00 – Decisão de 1ª Instância</w:t>
            </w:r>
          </w:p>
        </w:tc>
      </w:tr>
    </w:tbl>
    <w:p w14:paraId="22A3A06D" w14:textId="511E4624" w:rsidR="00DB3E2F" w:rsidRDefault="00DB3E2F" w:rsidP="00DB3E2F">
      <w:pPr>
        <w:spacing w:line="360" w:lineRule="auto"/>
        <w:ind w:firstLine="851"/>
        <w:jc w:val="both"/>
        <w:rPr>
          <w:rFonts w:ascii="Arial" w:hAnsi="Arial" w:cs="Arial"/>
          <w:sz w:val="24"/>
          <w:szCs w:val="24"/>
        </w:rPr>
        <w:sectPr w:rsidR="00DB3E2F" w:rsidSect="00722594">
          <w:pgSz w:w="16840" w:h="11900" w:orient="landscape"/>
          <w:pgMar w:top="1701" w:right="2268" w:bottom="851" w:left="1134" w:header="567" w:footer="284" w:gutter="0"/>
          <w:cols w:space="708"/>
          <w:docGrid w:linePitch="360"/>
        </w:sectPr>
      </w:pPr>
      <w:r>
        <w:rPr>
          <w:rFonts w:ascii="Arial" w:hAnsi="Arial" w:cs="Arial"/>
          <w:sz w:val="24"/>
          <w:szCs w:val="24"/>
        </w:rPr>
        <w:lastRenderedPageBreak/>
        <w:t xml:space="preserve">Um </w:t>
      </w:r>
      <w:r w:rsidRPr="00DB3E2F">
        <w:rPr>
          <w:rFonts w:ascii="Arial" w:hAnsi="Arial" w:cs="Arial"/>
          <w:b/>
          <w:sz w:val="24"/>
          <w:szCs w:val="24"/>
        </w:rPr>
        <w:t>segundo achado</w:t>
      </w:r>
      <w:r>
        <w:rPr>
          <w:rFonts w:ascii="Arial" w:hAnsi="Arial" w:cs="Arial"/>
          <w:sz w:val="24"/>
          <w:szCs w:val="24"/>
        </w:rPr>
        <w:t xml:space="preserve"> consiste em que, além das 3 (três) últimas </w:t>
      </w:r>
      <w:r w:rsidR="00B316DC">
        <w:rPr>
          <w:rFonts w:ascii="Arial" w:hAnsi="Arial" w:cs="Arial"/>
          <w:sz w:val="24"/>
          <w:szCs w:val="24"/>
        </w:rPr>
        <w:t xml:space="preserve">empresas </w:t>
      </w:r>
      <w:r>
        <w:rPr>
          <w:rFonts w:ascii="Arial" w:hAnsi="Arial" w:cs="Arial"/>
          <w:sz w:val="24"/>
          <w:szCs w:val="24"/>
        </w:rPr>
        <w:t xml:space="preserve">mencionadas na tabela acima, </w:t>
      </w:r>
      <w:r w:rsidR="00B316DC">
        <w:rPr>
          <w:rFonts w:ascii="Arial" w:hAnsi="Arial" w:cs="Arial"/>
          <w:sz w:val="24"/>
          <w:szCs w:val="24"/>
        </w:rPr>
        <w:t xml:space="preserve">segundo a própria SEMAD, </w:t>
      </w:r>
      <w:r>
        <w:rPr>
          <w:rFonts w:ascii="Arial" w:hAnsi="Arial" w:cs="Arial"/>
          <w:sz w:val="24"/>
          <w:szCs w:val="24"/>
        </w:rPr>
        <w:t xml:space="preserve">há diversas outras </w:t>
      </w:r>
      <w:r w:rsidR="00B316DC">
        <w:rPr>
          <w:rFonts w:ascii="Arial" w:hAnsi="Arial" w:cs="Arial"/>
          <w:sz w:val="24"/>
          <w:szCs w:val="24"/>
        </w:rPr>
        <w:t>pagaram valores inferiores àqueles fixados pela decisão final administrativa, o que não possui qualquer explicação plausível</w:t>
      </w:r>
      <w:r>
        <w:rPr>
          <w:rFonts w:ascii="Arial" w:hAnsi="Arial" w:cs="Arial"/>
          <w:sz w:val="24"/>
          <w:szCs w:val="24"/>
        </w:rPr>
        <w:t>, ao menos nenhum esclarecimento foi reportado a esta CPI</w:t>
      </w:r>
      <w:r w:rsidR="00B316DC">
        <w:rPr>
          <w:rFonts w:ascii="Arial" w:hAnsi="Arial" w:cs="Arial"/>
          <w:sz w:val="24"/>
          <w:szCs w:val="24"/>
        </w:rPr>
        <w:t>.</w:t>
      </w:r>
    </w:p>
    <w:p w14:paraId="6B549E69" w14:textId="4A35E4FF" w:rsidR="00EA4632" w:rsidRDefault="00EA4632" w:rsidP="006A7A1D">
      <w:pPr>
        <w:spacing w:line="360" w:lineRule="auto"/>
        <w:ind w:firstLine="851"/>
        <w:jc w:val="both"/>
        <w:rPr>
          <w:rFonts w:ascii="Arial" w:hAnsi="Arial" w:cs="Arial"/>
          <w:sz w:val="24"/>
          <w:szCs w:val="24"/>
        </w:rPr>
      </w:pPr>
      <w:r>
        <w:rPr>
          <w:rFonts w:ascii="Arial" w:hAnsi="Arial" w:cs="Arial"/>
          <w:sz w:val="24"/>
          <w:szCs w:val="24"/>
        </w:rPr>
        <w:lastRenderedPageBreak/>
        <w:t xml:space="preserve">Contudo, </w:t>
      </w:r>
      <w:r w:rsidRPr="005E22DE">
        <w:rPr>
          <w:rFonts w:ascii="Arial" w:hAnsi="Arial" w:cs="Arial"/>
          <w:b/>
          <w:sz w:val="24"/>
          <w:szCs w:val="24"/>
        </w:rPr>
        <w:t xml:space="preserve">ainda que não tenha sido oportunamente aplicada referida disposição legal, </w:t>
      </w:r>
      <w:r w:rsidR="003F5448" w:rsidRPr="005E22DE">
        <w:rPr>
          <w:rFonts w:ascii="Arial" w:hAnsi="Arial" w:cs="Arial"/>
          <w:b/>
          <w:sz w:val="24"/>
          <w:szCs w:val="24"/>
        </w:rPr>
        <w:t>esta CPI entende que remanesce espaço para perda dos incentivos fiscais</w:t>
      </w:r>
      <w:r w:rsidR="003F5448">
        <w:rPr>
          <w:rFonts w:ascii="Arial" w:hAnsi="Arial" w:cs="Arial"/>
          <w:sz w:val="24"/>
          <w:szCs w:val="24"/>
        </w:rPr>
        <w:t xml:space="preserve">, com base no § </w:t>
      </w:r>
      <w:r w:rsidR="00F91833">
        <w:rPr>
          <w:rFonts w:ascii="Arial" w:hAnsi="Arial" w:cs="Arial"/>
          <w:sz w:val="24"/>
          <w:szCs w:val="24"/>
        </w:rPr>
        <w:t>4</w:t>
      </w:r>
      <w:r w:rsidR="003F5448">
        <w:rPr>
          <w:rFonts w:ascii="Arial" w:hAnsi="Arial" w:cs="Arial"/>
          <w:sz w:val="24"/>
          <w:szCs w:val="24"/>
        </w:rPr>
        <w:t>º do art. 13</w:t>
      </w:r>
      <w:r w:rsidR="00F91833">
        <w:rPr>
          <w:rFonts w:ascii="Arial" w:hAnsi="Arial" w:cs="Arial"/>
          <w:sz w:val="24"/>
          <w:szCs w:val="24"/>
        </w:rPr>
        <w:t>2</w:t>
      </w:r>
      <w:r w:rsidR="003F5448">
        <w:rPr>
          <w:rFonts w:ascii="Arial" w:hAnsi="Arial" w:cs="Arial"/>
          <w:sz w:val="24"/>
          <w:szCs w:val="24"/>
        </w:rPr>
        <w:t xml:space="preserve"> do CE/GO, relativamente </w:t>
      </w:r>
      <w:r w:rsidR="00A02913">
        <w:rPr>
          <w:rFonts w:ascii="Arial" w:hAnsi="Arial" w:cs="Arial"/>
          <w:sz w:val="24"/>
          <w:szCs w:val="24"/>
        </w:rPr>
        <w:t xml:space="preserve">ao período </w:t>
      </w:r>
      <w:r w:rsidR="00142500">
        <w:rPr>
          <w:rFonts w:ascii="Arial" w:hAnsi="Arial" w:cs="Arial"/>
          <w:sz w:val="24"/>
          <w:szCs w:val="24"/>
        </w:rPr>
        <w:t>no qual cada uma da</w:t>
      </w:r>
      <w:r w:rsidR="00CC18B9">
        <w:rPr>
          <w:rFonts w:ascii="Arial" w:hAnsi="Arial" w:cs="Arial"/>
          <w:sz w:val="24"/>
          <w:szCs w:val="24"/>
        </w:rPr>
        <w:t>s empresas</w:t>
      </w:r>
      <w:r w:rsidR="00142500">
        <w:rPr>
          <w:rFonts w:ascii="Arial" w:hAnsi="Arial" w:cs="Arial"/>
          <w:sz w:val="24"/>
          <w:szCs w:val="24"/>
        </w:rPr>
        <w:t xml:space="preserve"> multadas </w:t>
      </w:r>
      <w:r w:rsidR="00041010">
        <w:rPr>
          <w:rFonts w:ascii="Arial" w:hAnsi="Arial" w:cs="Arial"/>
          <w:sz w:val="24"/>
          <w:szCs w:val="24"/>
        </w:rPr>
        <w:t>e mencionadas</w:t>
      </w:r>
      <w:r w:rsidR="005E22DE">
        <w:rPr>
          <w:rFonts w:ascii="Arial" w:hAnsi="Arial" w:cs="Arial"/>
          <w:sz w:val="24"/>
          <w:szCs w:val="24"/>
        </w:rPr>
        <w:t xml:space="preserve"> neste relatório</w:t>
      </w:r>
      <w:r w:rsidR="003F5448">
        <w:rPr>
          <w:rFonts w:ascii="Arial" w:hAnsi="Arial" w:cs="Arial"/>
          <w:sz w:val="24"/>
          <w:szCs w:val="24"/>
        </w:rPr>
        <w:t>:</w:t>
      </w:r>
    </w:p>
    <w:p w14:paraId="109EDCD6" w14:textId="77777777" w:rsidR="00111340" w:rsidRDefault="00111340" w:rsidP="006A7A1D">
      <w:pPr>
        <w:spacing w:line="360" w:lineRule="auto"/>
        <w:ind w:firstLine="851"/>
        <w:jc w:val="both"/>
        <w:rPr>
          <w:rFonts w:ascii="Arial" w:hAnsi="Arial" w:cs="Arial"/>
          <w:sz w:val="24"/>
          <w:szCs w:val="24"/>
        </w:rPr>
      </w:pPr>
    </w:p>
    <w:p w14:paraId="70897372" w14:textId="01573E63" w:rsidR="00B16F43" w:rsidRDefault="00744C45" w:rsidP="00502615">
      <w:pPr>
        <w:pStyle w:val="PargrafodaLista"/>
        <w:numPr>
          <w:ilvl w:val="0"/>
          <w:numId w:val="37"/>
        </w:numPr>
        <w:spacing w:line="360" w:lineRule="auto"/>
        <w:jc w:val="both"/>
        <w:rPr>
          <w:rFonts w:ascii="Arial" w:hAnsi="Arial" w:cs="Arial"/>
          <w:sz w:val="24"/>
          <w:szCs w:val="24"/>
        </w:rPr>
      </w:pPr>
      <w:r>
        <w:rPr>
          <w:rFonts w:ascii="Arial" w:hAnsi="Arial" w:cs="Arial"/>
          <w:sz w:val="24"/>
          <w:szCs w:val="24"/>
          <w:u w:val="single"/>
        </w:rPr>
        <w:t>p</w:t>
      </w:r>
      <w:r w:rsidR="00B16F43">
        <w:rPr>
          <w:rFonts w:ascii="Arial" w:hAnsi="Arial" w:cs="Arial"/>
          <w:sz w:val="24"/>
          <w:szCs w:val="24"/>
          <w:u w:val="single"/>
        </w:rPr>
        <w:t>ermaneceram</w:t>
      </w:r>
      <w:r>
        <w:rPr>
          <w:rFonts w:ascii="Arial" w:hAnsi="Arial" w:cs="Arial"/>
          <w:sz w:val="24"/>
          <w:szCs w:val="24"/>
          <w:u w:val="single"/>
        </w:rPr>
        <w:t xml:space="preserve"> </w:t>
      </w:r>
      <w:r w:rsidR="00B16F43" w:rsidRPr="00B16F43">
        <w:rPr>
          <w:rFonts w:ascii="Arial" w:hAnsi="Arial" w:cs="Arial"/>
          <w:sz w:val="24"/>
          <w:szCs w:val="24"/>
          <w:u w:val="single"/>
        </w:rPr>
        <w:t>comprovadamente em desacordo com a legislação ambiental</w:t>
      </w:r>
      <w:r w:rsidR="00B16F43">
        <w:rPr>
          <w:rFonts w:ascii="Arial" w:hAnsi="Arial" w:cs="Arial"/>
          <w:sz w:val="24"/>
          <w:szCs w:val="24"/>
        </w:rPr>
        <w:t>, desde que seja possível aferir com segurança essa informação do processo administrativo do qual resultou a aplicação de multa;</w:t>
      </w:r>
    </w:p>
    <w:p w14:paraId="7F6C601A" w14:textId="59109DCB" w:rsidR="00E7549A" w:rsidRDefault="00E7549A" w:rsidP="00502615">
      <w:pPr>
        <w:pStyle w:val="PargrafodaLista"/>
        <w:numPr>
          <w:ilvl w:val="0"/>
          <w:numId w:val="37"/>
        </w:numPr>
        <w:spacing w:line="360" w:lineRule="auto"/>
        <w:jc w:val="both"/>
        <w:rPr>
          <w:rFonts w:ascii="Arial" w:hAnsi="Arial" w:cs="Arial"/>
          <w:sz w:val="24"/>
          <w:szCs w:val="24"/>
        </w:rPr>
      </w:pPr>
      <w:r w:rsidRPr="00755EF0">
        <w:rPr>
          <w:rFonts w:ascii="Arial" w:hAnsi="Arial" w:cs="Arial"/>
          <w:sz w:val="24"/>
          <w:szCs w:val="24"/>
          <w:u w:val="single"/>
        </w:rPr>
        <w:t>permaneceram em débito com a SEMAD quanto ao pagamento da multa imposta</w:t>
      </w:r>
      <w:r w:rsidRPr="00E7549A">
        <w:rPr>
          <w:rFonts w:ascii="Arial" w:hAnsi="Arial" w:cs="Arial"/>
          <w:sz w:val="24"/>
          <w:szCs w:val="24"/>
        </w:rPr>
        <w:t>,</w:t>
      </w:r>
      <w:r w:rsidR="004C0C8F">
        <w:rPr>
          <w:rFonts w:ascii="Arial" w:hAnsi="Arial" w:cs="Arial"/>
          <w:sz w:val="24"/>
          <w:szCs w:val="24"/>
        </w:rPr>
        <w:t xml:space="preserve"> considerado o momento a partir do qual a penalidade se tornou definitiva no âmbito administrativo, independentemente de eventual inscrição em </w:t>
      </w:r>
      <w:r w:rsidRPr="00E7549A">
        <w:rPr>
          <w:rFonts w:ascii="Arial" w:hAnsi="Arial" w:cs="Arial"/>
          <w:sz w:val="24"/>
          <w:szCs w:val="24"/>
        </w:rPr>
        <w:t>dívida ativa</w:t>
      </w:r>
      <w:r w:rsidR="00C66458">
        <w:rPr>
          <w:rFonts w:ascii="Arial" w:hAnsi="Arial" w:cs="Arial"/>
          <w:sz w:val="24"/>
          <w:szCs w:val="24"/>
        </w:rPr>
        <w:t>;</w:t>
      </w:r>
    </w:p>
    <w:p w14:paraId="6D8250C1" w14:textId="2E2465BF" w:rsidR="00C66458" w:rsidRDefault="00C66458" w:rsidP="00502615">
      <w:pPr>
        <w:pStyle w:val="PargrafodaLista"/>
        <w:numPr>
          <w:ilvl w:val="0"/>
          <w:numId w:val="37"/>
        </w:numPr>
        <w:spacing w:line="360" w:lineRule="auto"/>
        <w:jc w:val="both"/>
        <w:rPr>
          <w:rFonts w:ascii="Arial" w:hAnsi="Arial" w:cs="Arial"/>
          <w:sz w:val="24"/>
          <w:szCs w:val="24"/>
        </w:rPr>
      </w:pPr>
      <w:r>
        <w:rPr>
          <w:rFonts w:ascii="Arial" w:hAnsi="Arial" w:cs="Arial"/>
          <w:sz w:val="24"/>
          <w:szCs w:val="24"/>
          <w:u w:val="single"/>
        </w:rPr>
        <w:t xml:space="preserve">ainda, </w:t>
      </w:r>
      <w:r w:rsidRPr="00A75807">
        <w:rPr>
          <w:rFonts w:ascii="Arial" w:hAnsi="Arial" w:cs="Arial"/>
          <w:sz w:val="24"/>
          <w:szCs w:val="24"/>
          <w:u w:val="single"/>
        </w:rPr>
        <w:t xml:space="preserve">sejam revogados todos os TARE’s ou instrumentos congêneres pelos quais tenham sido concedidos incentivos fiscais </w:t>
      </w:r>
      <w:r>
        <w:rPr>
          <w:rFonts w:ascii="Arial" w:hAnsi="Arial" w:cs="Arial"/>
          <w:sz w:val="24"/>
          <w:szCs w:val="24"/>
          <w:u w:val="single"/>
        </w:rPr>
        <w:t>a essas empresas</w:t>
      </w:r>
      <w:r>
        <w:rPr>
          <w:rFonts w:ascii="Arial" w:hAnsi="Arial" w:cs="Arial"/>
          <w:sz w:val="24"/>
          <w:szCs w:val="24"/>
        </w:rPr>
        <w:t>, ao menos em relação ao benefícios que não exijam contrapartidas, promovendo-se as alterações e/ou revogações legislativas e normativas eventualmente necessárias.</w:t>
      </w:r>
    </w:p>
    <w:p w14:paraId="5DFBD7F2" w14:textId="1C9F072E" w:rsidR="00BA3C0F" w:rsidRDefault="00BA3C0F" w:rsidP="00BA3C0F">
      <w:pPr>
        <w:spacing w:line="360" w:lineRule="auto"/>
        <w:jc w:val="both"/>
        <w:rPr>
          <w:rFonts w:ascii="Arial" w:hAnsi="Arial" w:cs="Arial"/>
          <w:sz w:val="24"/>
          <w:szCs w:val="24"/>
        </w:rPr>
      </w:pPr>
    </w:p>
    <w:p w14:paraId="4CBD7C0B" w14:textId="01C93D24" w:rsidR="00BA3C0F" w:rsidRDefault="00BA3C0F" w:rsidP="00BA3C0F">
      <w:pPr>
        <w:spacing w:line="360" w:lineRule="auto"/>
        <w:ind w:firstLine="851"/>
        <w:jc w:val="both"/>
        <w:rPr>
          <w:rFonts w:ascii="Arial" w:hAnsi="Arial" w:cs="Arial"/>
          <w:sz w:val="24"/>
          <w:szCs w:val="24"/>
        </w:rPr>
      </w:pPr>
      <w:r>
        <w:rPr>
          <w:rFonts w:ascii="Arial" w:hAnsi="Arial" w:cs="Arial"/>
          <w:b/>
          <w:sz w:val="24"/>
          <w:szCs w:val="24"/>
        </w:rPr>
        <w:t>8.3.8</w:t>
      </w:r>
      <w:r w:rsidRPr="00BE40D6">
        <w:rPr>
          <w:rFonts w:ascii="Arial" w:hAnsi="Arial" w:cs="Arial"/>
          <w:b/>
          <w:sz w:val="24"/>
          <w:szCs w:val="24"/>
        </w:rPr>
        <w:t>.</w:t>
      </w:r>
      <w:r>
        <w:rPr>
          <w:rFonts w:ascii="Arial" w:hAnsi="Arial" w:cs="Arial"/>
          <w:sz w:val="24"/>
          <w:szCs w:val="24"/>
        </w:rPr>
        <w:t xml:space="preserve"> O </w:t>
      </w:r>
      <w:r w:rsidR="00157447">
        <w:rPr>
          <w:rFonts w:ascii="Arial" w:hAnsi="Arial" w:cs="Arial"/>
          <w:b/>
          <w:sz w:val="24"/>
          <w:szCs w:val="24"/>
          <w:u w:val="single"/>
        </w:rPr>
        <w:t>terceiro</w:t>
      </w:r>
      <w:r w:rsidRPr="006C2A1A">
        <w:rPr>
          <w:rFonts w:ascii="Arial" w:hAnsi="Arial" w:cs="Arial"/>
          <w:b/>
          <w:sz w:val="24"/>
          <w:szCs w:val="24"/>
          <w:u w:val="single"/>
        </w:rPr>
        <w:t xml:space="preserve"> grupo de empresas identificado por esta CPI recebeu penalidade de </w:t>
      </w:r>
      <w:r w:rsidR="008F4D6A">
        <w:rPr>
          <w:rFonts w:ascii="Arial" w:hAnsi="Arial" w:cs="Arial"/>
          <w:b/>
          <w:sz w:val="24"/>
          <w:szCs w:val="24"/>
          <w:u w:val="single"/>
        </w:rPr>
        <w:t>embargo</w:t>
      </w:r>
      <w:r w:rsidR="00331140">
        <w:rPr>
          <w:rFonts w:ascii="Arial" w:hAnsi="Arial" w:cs="Arial"/>
          <w:sz w:val="24"/>
          <w:szCs w:val="24"/>
        </w:rPr>
        <w:t>, cuja previsão e disciplina encontram-se nos arts. 19 e 23, transcritos a seguir para melhor compreensão:</w:t>
      </w:r>
      <w:r>
        <w:rPr>
          <w:rFonts w:ascii="Arial" w:hAnsi="Arial" w:cs="Arial"/>
          <w:sz w:val="24"/>
          <w:szCs w:val="24"/>
        </w:rPr>
        <w:t xml:space="preserve"> </w:t>
      </w:r>
    </w:p>
    <w:p w14:paraId="203B3EC9" w14:textId="16DE2EFC" w:rsidR="00331140" w:rsidRDefault="00331140" w:rsidP="00BA3C0F">
      <w:pPr>
        <w:spacing w:line="360" w:lineRule="auto"/>
        <w:ind w:firstLine="851"/>
        <w:jc w:val="both"/>
        <w:rPr>
          <w:rFonts w:ascii="Arial" w:hAnsi="Arial" w:cs="Arial"/>
          <w:sz w:val="24"/>
          <w:szCs w:val="24"/>
        </w:rPr>
      </w:pPr>
    </w:p>
    <w:p w14:paraId="5B0FF7B2" w14:textId="11C1B071" w:rsidR="00331140" w:rsidRDefault="00331140" w:rsidP="00111340">
      <w:pPr>
        <w:ind w:left="2268"/>
        <w:jc w:val="both"/>
        <w:rPr>
          <w:rFonts w:ascii="Arial" w:hAnsi="Arial" w:cs="Arial"/>
          <w:sz w:val="22"/>
          <w:szCs w:val="22"/>
        </w:rPr>
      </w:pPr>
      <w:r w:rsidRPr="00331140">
        <w:rPr>
          <w:rFonts w:ascii="Arial" w:hAnsi="Arial" w:cs="Arial"/>
          <w:sz w:val="22"/>
          <w:szCs w:val="22"/>
        </w:rPr>
        <w:t xml:space="preserve">Art. 19. </w:t>
      </w:r>
      <w:r w:rsidRPr="00331140">
        <w:rPr>
          <w:rFonts w:ascii="Arial" w:hAnsi="Arial" w:cs="Arial"/>
          <w:b/>
          <w:sz w:val="22"/>
          <w:szCs w:val="22"/>
        </w:rPr>
        <w:t>O embargo de obra ou atividade restringe-se aos locais onde efetivamente incidiu a infração ambiental</w:t>
      </w:r>
      <w:r w:rsidRPr="00331140">
        <w:rPr>
          <w:rFonts w:ascii="Arial" w:hAnsi="Arial" w:cs="Arial"/>
          <w:sz w:val="22"/>
          <w:szCs w:val="22"/>
        </w:rPr>
        <w:t>, não alcançando as demais atividades realizadas em áreas não embargadas do imóvel ou não correlacionadas com a infração.</w:t>
      </w:r>
    </w:p>
    <w:p w14:paraId="4E9A8C9B" w14:textId="77777777" w:rsidR="00331140" w:rsidRPr="00331140" w:rsidRDefault="00331140" w:rsidP="00111340">
      <w:pPr>
        <w:ind w:left="2268"/>
        <w:jc w:val="both"/>
        <w:rPr>
          <w:rFonts w:ascii="Arial" w:hAnsi="Arial" w:cs="Arial"/>
          <w:sz w:val="22"/>
          <w:szCs w:val="22"/>
        </w:rPr>
      </w:pPr>
    </w:p>
    <w:p w14:paraId="0E9E604D" w14:textId="317CF4AB" w:rsidR="00331140" w:rsidRDefault="00331140" w:rsidP="00111340">
      <w:pPr>
        <w:ind w:left="2268"/>
        <w:jc w:val="both"/>
        <w:rPr>
          <w:rFonts w:ascii="Arial" w:hAnsi="Arial" w:cs="Arial"/>
          <w:sz w:val="22"/>
          <w:szCs w:val="22"/>
        </w:rPr>
      </w:pPr>
      <w:r w:rsidRPr="00331140">
        <w:rPr>
          <w:rFonts w:ascii="Arial" w:hAnsi="Arial" w:cs="Arial"/>
          <w:sz w:val="22"/>
          <w:szCs w:val="22"/>
        </w:rPr>
        <w:t xml:space="preserve">Art. 20. </w:t>
      </w:r>
      <w:r w:rsidRPr="00331140">
        <w:rPr>
          <w:rFonts w:ascii="Arial" w:hAnsi="Arial" w:cs="Arial"/>
          <w:b/>
          <w:sz w:val="22"/>
          <w:szCs w:val="22"/>
        </w:rPr>
        <w:t>A cessação das sanções de suspensão e embargo dependerá de decisão da autoridade ambiental</w:t>
      </w:r>
      <w:r w:rsidRPr="00331140">
        <w:rPr>
          <w:rFonts w:ascii="Arial" w:hAnsi="Arial" w:cs="Arial"/>
          <w:sz w:val="22"/>
          <w:szCs w:val="22"/>
        </w:rPr>
        <w:t>, comprovada a regularização da obra ou atividade.</w:t>
      </w:r>
    </w:p>
    <w:p w14:paraId="21C303AA" w14:textId="77777777" w:rsidR="00331140" w:rsidRPr="00331140" w:rsidRDefault="00331140" w:rsidP="00111340">
      <w:pPr>
        <w:ind w:left="2268"/>
        <w:jc w:val="both"/>
        <w:rPr>
          <w:rFonts w:ascii="Arial" w:hAnsi="Arial" w:cs="Arial"/>
          <w:sz w:val="22"/>
          <w:szCs w:val="22"/>
        </w:rPr>
      </w:pPr>
    </w:p>
    <w:p w14:paraId="6CE12E61" w14:textId="77777777" w:rsidR="00331140" w:rsidRPr="00331140" w:rsidRDefault="00331140" w:rsidP="00111340">
      <w:pPr>
        <w:ind w:left="2268"/>
        <w:jc w:val="both"/>
        <w:rPr>
          <w:rFonts w:ascii="Arial" w:hAnsi="Arial" w:cs="Arial"/>
          <w:sz w:val="22"/>
          <w:szCs w:val="22"/>
        </w:rPr>
      </w:pPr>
      <w:r w:rsidRPr="00331140">
        <w:rPr>
          <w:rFonts w:ascii="Arial" w:hAnsi="Arial" w:cs="Arial"/>
          <w:sz w:val="22"/>
          <w:szCs w:val="22"/>
        </w:rPr>
        <w:t xml:space="preserve">Art. 21. </w:t>
      </w:r>
      <w:r w:rsidRPr="00331140">
        <w:rPr>
          <w:rFonts w:ascii="Arial" w:hAnsi="Arial" w:cs="Arial"/>
          <w:b/>
          <w:sz w:val="22"/>
          <w:szCs w:val="22"/>
        </w:rPr>
        <w:t>No caso de áreas irregularmente desmatadas ou queimadas, o agente autuante embargará quaisquer obras ou atividades nelas localizadas ou desenvolvidas</w:t>
      </w:r>
      <w:r w:rsidRPr="00331140">
        <w:rPr>
          <w:rFonts w:ascii="Arial" w:hAnsi="Arial" w:cs="Arial"/>
          <w:sz w:val="22"/>
          <w:szCs w:val="22"/>
        </w:rPr>
        <w:t>, excetuadas as atividades de subsistência.</w:t>
      </w:r>
    </w:p>
    <w:p w14:paraId="15BD3939" w14:textId="77777777" w:rsidR="00331140" w:rsidRPr="00331140" w:rsidRDefault="00331140" w:rsidP="00111340">
      <w:pPr>
        <w:ind w:left="2268"/>
        <w:jc w:val="both"/>
        <w:rPr>
          <w:rFonts w:ascii="Arial" w:hAnsi="Arial" w:cs="Arial"/>
          <w:sz w:val="22"/>
          <w:szCs w:val="22"/>
        </w:rPr>
      </w:pPr>
      <w:r w:rsidRPr="00331140">
        <w:rPr>
          <w:rFonts w:ascii="Arial" w:hAnsi="Arial" w:cs="Arial"/>
          <w:b/>
          <w:sz w:val="22"/>
          <w:szCs w:val="22"/>
        </w:rPr>
        <w:t>§ 1º O agente autuante deverá colher todas as provas possíveis de autoria e materialidade, bem como da extensão do dano, apoiando-se em documentos, fotografias e dados de localização</w:t>
      </w:r>
      <w:r w:rsidRPr="00331140">
        <w:rPr>
          <w:rFonts w:ascii="Arial" w:hAnsi="Arial" w:cs="Arial"/>
          <w:sz w:val="22"/>
          <w:szCs w:val="22"/>
        </w:rPr>
        <w:t xml:space="preserve">, incluídas as </w:t>
      </w:r>
      <w:r w:rsidRPr="00331140">
        <w:rPr>
          <w:rFonts w:ascii="Arial" w:hAnsi="Arial" w:cs="Arial"/>
          <w:sz w:val="22"/>
          <w:szCs w:val="22"/>
        </w:rPr>
        <w:lastRenderedPageBreak/>
        <w:t>coordenadas geográficas da área embargada, que deverão constar do respectivo auto de infração para posterior georreferenciamento.</w:t>
      </w:r>
    </w:p>
    <w:p w14:paraId="17490E76" w14:textId="77777777" w:rsidR="00331140" w:rsidRPr="00331140" w:rsidRDefault="00331140" w:rsidP="00111340">
      <w:pPr>
        <w:ind w:left="2268"/>
        <w:jc w:val="both"/>
        <w:rPr>
          <w:rFonts w:ascii="Arial" w:hAnsi="Arial" w:cs="Arial"/>
          <w:sz w:val="22"/>
          <w:szCs w:val="22"/>
        </w:rPr>
      </w:pPr>
      <w:r w:rsidRPr="00331140">
        <w:rPr>
          <w:rFonts w:ascii="Arial" w:hAnsi="Arial" w:cs="Arial"/>
          <w:sz w:val="22"/>
          <w:szCs w:val="22"/>
        </w:rPr>
        <w:t>§ 2º Não se aplicará a sanção de embargo de obra, atividade, ou área, nos casos em que a infração de que trata o caput deste artigo se der fora da área de preservação permanente ou reserva legal, salvo quando se tratar de desmatamento de mata nativa não autorizado.</w:t>
      </w:r>
    </w:p>
    <w:p w14:paraId="6D977026" w14:textId="77777777" w:rsidR="00331140" w:rsidRDefault="00331140" w:rsidP="00111340">
      <w:pPr>
        <w:ind w:left="2268"/>
        <w:jc w:val="both"/>
        <w:rPr>
          <w:rFonts w:ascii="Arial" w:hAnsi="Arial" w:cs="Arial"/>
          <w:sz w:val="22"/>
          <w:szCs w:val="22"/>
        </w:rPr>
      </w:pPr>
    </w:p>
    <w:p w14:paraId="68BC74AB" w14:textId="0E356A6A" w:rsidR="00331140" w:rsidRDefault="00331140" w:rsidP="00111340">
      <w:pPr>
        <w:ind w:left="2268"/>
        <w:jc w:val="both"/>
        <w:rPr>
          <w:rFonts w:ascii="Arial" w:hAnsi="Arial" w:cs="Arial"/>
          <w:sz w:val="22"/>
          <w:szCs w:val="22"/>
        </w:rPr>
      </w:pPr>
      <w:r w:rsidRPr="00331140">
        <w:rPr>
          <w:rFonts w:ascii="Arial" w:hAnsi="Arial" w:cs="Arial"/>
          <w:sz w:val="22"/>
          <w:szCs w:val="22"/>
        </w:rPr>
        <w:t xml:space="preserve">Art. 22. </w:t>
      </w:r>
      <w:r w:rsidRPr="00331140">
        <w:rPr>
          <w:rFonts w:ascii="Arial" w:hAnsi="Arial" w:cs="Arial"/>
          <w:b/>
          <w:sz w:val="22"/>
          <w:szCs w:val="22"/>
        </w:rPr>
        <w:t>O embargo de área irregularmente explorada e objeto de plano de manejo florestal sustentável não exonera seu detentor da execução de atividades de manutenção ou recuperação da floresta</w:t>
      </w:r>
      <w:r w:rsidRPr="00331140">
        <w:rPr>
          <w:rFonts w:ascii="Arial" w:hAnsi="Arial" w:cs="Arial"/>
          <w:sz w:val="22"/>
          <w:szCs w:val="22"/>
        </w:rPr>
        <w:t>, na forma e nos prazos fixados no Plano e no termo de responsabilidade de manutenção da floresta.</w:t>
      </w:r>
    </w:p>
    <w:p w14:paraId="32400B52" w14:textId="77777777" w:rsidR="00331140" w:rsidRPr="00331140" w:rsidRDefault="00331140" w:rsidP="00111340">
      <w:pPr>
        <w:ind w:left="2268"/>
        <w:jc w:val="both"/>
        <w:rPr>
          <w:rFonts w:ascii="Arial" w:hAnsi="Arial" w:cs="Arial"/>
          <w:sz w:val="22"/>
          <w:szCs w:val="22"/>
        </w:rPr>
      </w:pPr>
    </w:p>
    <w:p w14:paraId="20D4BFFB" w14:textId="77777777" w:rsidR="00331140" w:rsidRPr="00331140" w:rsidRDefault="00331140" w:rsidP="00111340">
      <w:pPr>
        <w:ind w:left="2268"/>
        <w:jc w:val="both"/>
        <w:rPr>
          <w:rFonts w:ascii="Arial" w:hAnsi="Arial" w:cs="Arial"/>
          <w:sz w:val="22"/>
          <w:szCs w:val="22"/>
        </w:rPr>
      </w:pPr>
      <w:r w:rsidRPr="00331140">
        <w:rPr>
          <w:rFonts w:ascii="Arial" w:hAnsi="Arial" w:cs="Arial"/>
          <w:sz w:val="22"/>
          <w:szCs w:val="22"/>
        </w:rPr>
        <w:t xml:space="preserve">Art. 23. </w:t>
      </w:r>
      <w:r w:rsidRPr="00331140">
        <w:rPr>
          <w:rFonts w:ascii="Arial" w:hAnsi="Arial" w:cs="Arial"/>
          <w:b/>
          <w:sz w:val="22"/>
          <w:szCs w:val="22"/>
        </w:rPr>
        <w:t>O descumprimento total ou parcial de embargo ensejará a aplicação cumulativa das seguintes sanções</w:t>
      </w:r>
      <w:r w:rsidRPr="00331140">
        <w:rPr>
          <w:rFonts w:ascii="Arial" w:hAnsi="Arial" w:cs="Arial"/>
          <w:sz w:val="22"/>
          <w:szCs w:val="22"/>
        </w:rPr>
        <w:t>:</w:t>
      </w:r>
    </w:p>
    <w:p w14:paraId="1CD5BD54" w14:textId="77777777" w:rsidR="00331140" w:rsidRPr="00331140" w:rsidRDefault="00331140" w:rsidP="00111340">
      <w:pPr>
        <w:ind w:left="2268"/>
        <w:jc w:val="both"/>
        <w:rPr>
          <w:rFonts w:ascii="Arial" w:hAnsi="Arial" w:cs="Arial"/>
          <w:sz w:val="22"/>
          <w:szCs w:val="22"/>
        </w:rPr>
      </w:pPr>
      <w:r w:rsidRPr="00331140">
        <w:rPr>
          <w:rFonts w:ascii="Arial" w:hAnsi="Arial" w:cs="Arial"/>
          <w:sz w:val="22"/>
          <w:szCs w:val="22"/>
          <w:u w:val="single"/>
        </w:rPr>
        <w:t>I – suspensão da atividade que originou a infração e da venda de produtos ou subprodutos</w:t>
      </w:r>
      <w:r w:rsidRPr="00331140">
        <w:rPr>
          <w:rFonts w:ascii="Arial" w:hAnsi="Arial" w:cs="Arial"/>
          <w:sz w:val="22"/>
          <w:szCs w:val="22"/>
        </w:rPr>
        <w:t xml:space="preserve"> criados ou produzidos na área ou local objeto do embargo infringido; e</w:t>
      </w:r>
    </w:p>
    <w:p w14:paraId="4ECCFB62" w14:textId="77777777" w:rsidR="00331140" w:rsidRPr="00331140" w:rsidRDefault="00331140" w:rsidP="00111340">
      <w:pPr>
        <w:ind w:left="2268"/>
        <w:jc w:val="both"/>
        <w:rPr>
          <w:rFonts w:ascii="Arial" w:hAnsi="Arial" w:cs="Arial"/>
          <w:sz w:val="22"/>
          <w:szCs w:val="22"/>
        </w:rPr>
      </w:pPr>
      <w:r w:rsidRPr="00331140">
        <w:rPr>
          <w:rFonts w:ascii="Arial" w:hAnsi="Arial" w:cs="Arial"/>
          <w:sz w:val="22"/>
          <w:szCs w:val="22"/>
          <w:u w:val="single"/>
        </w:rPr>
        <w:t>II – cancelamento de registros, licenças ou autorizações</w:t>
      </w:r>
      <w:r w:rsidRPr="00331140">
        <w:rPr>
          <w:rFonts w:ascii="Arial" w:hAnsi="Arial" w:cs="Arial"/>
          <w:sz w:val="22"/>
          <w:szCs w:val="22"/>
        </w:rPr>
        <w:t xml:space="preserve"> de funcionamento da atividade econômica junto aos órgãos ambientais e de fiscalização.</w:t>
      </w:r>
    </w:p>
    <w:p w14:paraId="28D4BD76" w14:textId="77777777" w:rsidR="00331140" w:rsidRPr="00331140" w:rsidRDefault="00331140" w:rsidP="00111340">
      <w:pPr>
        <w:ind w:left="2268"/>
        <w:jc w:val="both"/>
        <w:rPr>
          <w:rFonts w:ascii="Arial" w:hAnsi="Arial" w:cs="Arial"/>
          <w:sz w:val="22"/>
          <w:szCs w:val="22"/>
        </w:rPr>
      </w:pPr>
      <w:r w:rsidRPr="00331140">
        <w:rPr>
          <w:rFonts w:ascii="Arial" w:hAnsi="Arial" w:cs="Arial"/>
          <w:sz w:val="22"/>
          <w:szCs w:val="22"/>
        </w:rPr>
        <w:t>§ 1º O órgão estadual de meio ambiente promoverá a divulgação dos dados do imóvel rural, da área ou local embargado e do nome do respectivo titular em lista oficial, resguardados os dados protegidos por legislação específica para efeitos do disposto no inciso III do art. 4º da Lei nº 10.650, de 16 de abril de 2003, especificando o exato local da área embargada e informando que o auto de infração se encontra julgado ou pendente de julgamento, conforme o caso.</w:t>
      </w:r>
    </w:p>
    <w:p w14:paraId="04753010" w14:textId="77777777" w:rsidR="00331140" w:rsidRPr="00331140" w:rsidRDefault="00331140" w:rsidP="00111340">
      <w:pPr>
        <w:ind w:left="2268"/>
        <w:jc w:val="both"/>
        <w:rPr>
          <w:rFonts w:ascii="Arial" w:hAnsi="Arial" w:cs="Arial"/>
          <w:sz w:val="22"/>
          <w:szCs w:val="22"/>
        </w:rPr>
      </w:pPr>
      <w:r w:rsidRPr="00331140">
        <w:rPr>
          <w:rFonts w:ascii="Arial" w:hAnsi="Arial" w:cs="Arial"/>
          <w:sz w:val="22"/>
          <w:szCs w:val="22"/>
        </w:rPr>
        <w:t>§ 2º A pedido do interessado, o órgão estadual do meio ambiente emitirá certidão em que constem a atividade, a obra e a parte da área do imóvel objeto do embargo, indicando, por coordenadas geográficas, o local efetivamente atingido, conforme o caso.</w:t>
      </w:r>
    </w:p>
    <w:p w14:paraId="3644E7A5" w14:textId="5B34C7A2" w:rsidR="008F4D6A" w:rsidRDefault="008F4D6A" w:rsidP="00331140">
      <w:pPr>
        <w:spacing w:line="360" w:lineRule="auto"/>
        <w:ind w:firstLine="851"/>
        <w:jc w:val="both"/>
        <w:rPr>
          <w:rFonts w:ascii="Arial" w:hAnsi="Arial" w:cs="Arial"/>
          <w:sz w:val="24"/>
          <w:szCs w:val="24"/>
        </w:rPr>
      </w:pPr>
    </w:p>
    <w:p w14:paraId="2615B2CB" w14:textId="31D5A471" w:rsidR="00CA646B" w:rsidRDefault="00CA646B" w:rsidP="00331140">
      <w:pPr>
        <w:spacing w:line="360" w:lineRule="auto"/>
        <w:ind w:firstLine="851"/>
        <w:jc w:val="both"/>
        <w:rPr>
          <w:rFonts w:ascii="Arial" w:hAnsi="Arial" w:cs="Arial"/>
          <w:sz w:val="24"/>
          <w:szCs w:val="24"/>
        </w:rPr>
      </w:pPr>
      <w:r>
        <w:rPr>
          <w:rFonts w:ascii="Arial" w:hAnsi="Arial" w:cs="Arial"/>
          <w:sz w:val="24"/>
          <w:szCs w:val="24"/>
        </w:rPr>
        <w:t xml:space="preserve">Tendo em vista a disciplina legal específica trazida nesses dispositivos, entende-se que, para fins do § 4º do art. 132 do CE/GO, a perda de incentivos fiscais fruídos por pessoas jurídicas objeto de embargo ambiental deve </w:t>
      </w:r>
      <w:r w:rsidR="004E3E7B">
        <w:rPr>
          <w:rFonts w:ascii="Arial" w:hAnsi="Arial" w:cs="Arial"/>
          <w:sz w:val="24"/>
          <w:szCs w:val="24"/>
        </w:rPr>
        <w:t>ser decretada nos seguintes termos</w:t>
      </w:r>
      <w:r w:rsidR="00B96F7E">
        <w:rPr>
          <w:rFonts w:ascii="Arial" w:hAnsi="Arial" w:cs="Arial"/>
          <w:sz w:val="24"/>
          <w:szCs w:val="24"/>
        </w:rPr>
        <w:t>, sem prejuízo de outros critérios técnicos da SEMAD</w:t>
      </w:r>
      <w:r>
        <w:rPr>
          <w:rFonts w:ascii="Arial" w:hAnsi="Arial" w:cs="Arial"/>
          <w:sz w:val="24"/>
          <w:szCs w:val="24"/>
        </w:rPr>
        <w:t>:</w:t>
      </w:r>
    </w:p>
    <w:p w14:paraId="6C125B17" w14:textId="77777777" w:rsidR="00111340" w:rsidRDefault="00111340" w:rsidP="00331140">
      <w:pPr>
        <w:spacing w:line="360" w:lineRule="auto"/>
        <w:ind w:firstLine="851"/>
        <w:jc w:val="both"/>
        <w:rPr>
          <w:rFonts w:ascii="Arial" w:hAnsi="Arial" w:cs="Arial"/>
          <w:sz w:val="24"/>
          <w:szCs w:val="24"/>
        </w:rPr>
      </w:pPr>
    </w:p>
    <w:p w14:paraId="187552C0" w14:textId="39358400" w:rsidR="00DD2DBB" w:rsidRPr="004E3E7B" w:rsidRDefault="00255498" w:rsidP="00502615">
      <w:pPr>
        <w:pStyle w:val="PargrafodaLista"/>
        <w:numPr>
          <w:ilvl w:val="0"/>
          <w:numId w:val="38"/>
        </w:numPr>
        <w:spacing w:line="360" w:lineRule="auto"/>
        <w:jc w:val="both"/>
        <w:rPr>
          <w:rFonts w:ascii="Arial" w:hAnsi="Arial" w:cs="Arial"/>
          <w:sz w:val="24"/>
          <w:szCs w:val="24"/>
        </w:rPr>
      </w:pPr>
      <w:r w:rsidRPr="00B83F8E">
        <w:rPr>
          <w:rFonts w:ascii="Arial" w:hAnsi="Arial" w:cs="Arial"/>
          <w:sz w:val="24"/>
          <w:szCs w:val="24"/>
          <w:u w:val="single"/>
        </w:rPr>
        <w:t xml:space="preserve">desde a </w:t>
      </w:r>
      <w:r w:rsidRPr="004E3E7B">
        <w:rPr>
          <w:rFonts w:ascii="Arial" w:hAnsi="Arial" w:cs="Arial"/>
          <w:sz w:val="24"/>
          <w:szCs w:val="24"/>
          <w:u w:val="single"/>
        </w:rPr>
        <w:t>data em que iniciada a infração ambiental até a data do embargo</w:t>
      </w:r>
      <w:r>
        <w:rPr>
          <w:rStyle w:val="Refdenotaderodap"/>
          <w:rFonts w:ascii="Arial" w:hAnsi="Arial" w:cs="Arial"/>
          <w:sz w:val="24"/>
          <w:szCs w:val="24"/>
          <w:u w:val="single"/>
        </w:rPr>
        <w:footnoteReference w:id="98"/>
      </w:r>
      <w:r w:rsidRPr="004E3E7B">
        <w:rPr>
          <w:rFonts w:ascii="Arial" w:hAnsi="Arial" w:cs="Arial"/>
          <w:sz w:val="24"/>
          <w:szCs w:val="24"/>
          <w:u w:val="single"/>
        </w:rPr>
        <w:t>, inclusive</w:t>
      </w:r>
      <w:r w:rsidRPr="006E531D">
        <w:rPr>
          <w:rFonts w:ascii="Arial" w:hAnsi="Arial" w:cs="Arial"/>
          <w:sz w:val="24"/>
          <w:szCs w:val="24"/>
        </w:rPr>
        <w:t xml:space="preserve">, </w:t>
      </w:r>
      <w:r>
        <w:rPr>
          <w:rFonts w:ascii="Arial" w:hAnsi="Arial" w:cs="Arial"/>
          <w:sz w:val="24"/>
          <w:szCs w:val="24"/>
        </w:rPr>
        <w:t>e caso não seja possível identificar o marco inicial a vedação incidiria sobre o mês em que decretado o embargo</w:t>
      </w:r>
      <w:r w:rsidR="00DD2DBB">
        <w:rPr>
          <w:rFonts w:ascii="Arial" w:hAnsi="Arial" w:cs="Arial"/>
          <w:sz w:val="24"/>
          <w:szCs w:val="24"/>
        </w:rPr>
        <w:t xml:space="preserve">; </w:t>
      </w:r>
    </w:p>
    <w:p w14:paraId="7697508D" w14:textId="7D2E9A92" w:rsidR="00CA646B" w:rsidRDefault="00DD2DBB" w:rsidP="00502615">
      <w:pPr>
        <w:pStyle w:val="PargrafodaLista"/>
        <w:numPr>
          <w:ilvl w:val="0"/>
          <w:numId w:val="38"/>
        </w:numPr>
        <w:spacing w:line="360" w:lineRule="auto"/>
        <w:jc w:val="both"/>
        <w:rPr>
          <w:rFonts w:ascii="Arial" w:hAnsi="Arial" w:cs="Arial"/>
          <w:sz w:val="24"/>
          <w:szCs w:val="24"/>
        </w:rPr>
      </w:pPr>
      <w:r>
        <w:rPr>
          <w:rFonts w:ascii="Arial" w:hAnsi="Arial" w:cs="Arial"/>
          <w:sz w:val="24"/>
          <w:szCs w:val="24"/>
          <w:u w:val="single"/>
        </w:rPr>
        <w:lastRenderedPageBreak/>
        <w:t xml:space="preserve">desde a </w:t>
      </w:r>
      <w:r w:rsidRPr="007F44F2">
        <w:rPr>
          <w:rFonts w:ascii="Arial" w:hAnsi="Arial" w:cs="Arial"/>
          <w:sz w:val="24"/>
          <w:szCs w:val="24"/>
          <w:u w:val="single"/>
        </w:rPr>
        <w:t>data do embargo até a data em que verificado seu descumprimento total ou parcial (art. 23)</w:t>
      </w:r>
      <w:r>
        <w:rPr>
          <w:rFonts w:ascii="Arial" w:hAnsi="Arial" w:cs="Arial"/>
          <w:sz w:val="24"/>
          <w:szCs w:val="24"/>
        </w:rPr>
        <w:t>, salvo se a empresa comprovar que a violação se deu num período menor e devidamente especificado de tempo</w:t>
      </w:r>
      <w:r w:rsidR="007F44F2">
        <w:rPr>
          <w:rFonts w:ascii="Arial" w:hAnsi="Arial" w:cs="Arial"/>
          <w:sz w:val="24"/>
          <w:szCs w:val="24"/>
        </w:rPr>
        <w:t>, havendo a necessidade de nova verificação para aferir se houve ou não o cumprimento do embargo anterior</w:t>
      </w:r>
      <w:r w:rsidR="00255498">
        <w:rPr>
          <w:rFonts w:ascii="Arial" w:hAnsi="Arial" w:cs="Arial"/>
          <w:sz w:val="24"/>
          <w:szCs w:val="24"/>
        </w:rPr>
        <w:t>;</w:t>
      </w:r>
    </w:p>
    <w:p w14:paraId="7FD2A24B" w14:textId="77777777" w:rsidR="00255498" w:rsidRDefault="00255498" w:rsidP="00502615">
      <w:pPr>
        <w:pStyle w:val="PargrafodaLista"/>
        <w:numPr>
          <w:ilvl w:val="0"/>
          <w:numId w:val="38"/>
        </w:numPr>
        <w:spacing w:line="360" w:lineRule="auto"/>
        <w:jc w:val="both"/>
        <w:rPr>
          <w:rFonts w:ascii="Arial" w:hAnsi="Arial" w:cs="Arial"/>
          <w:sz w:val="24"/>
          <w:szCs w:val="24"/>
        </w:rPr>
      </w:pPr>
      <w:r>
        <w:rPr>
          <w:rFonts w:ascii="Arial" w:hAnsi="Arial" w:cs="Arial"/>
          <w:sz w:val="24"/>
          <w:szCs w:val="24"/>
          <w:u w:val="single"/>
        </w:rPr>
        <w:t xml:space="preserve">relativamente ao </w:t>
      </w:r>
      <w:r w:rsidRPr="0055534A">
        <w:rPr>
          <w:rFonts w:ascii="Arial" w:hAnsi="Arial" w:cs="Arial"/>
          <w:sz w:val="24"/>
          <w:szCs w:val="24"/>
          <w:u w:val="single"/>
        </w:rPr>
        <w:t>período durante o qual permaneceu ausente a execução de atividades de manutenção ou recuperação da floresta</w:t>
      </w:r>
      <w:r>
        <w:rPr>
          <w:rFonts w:ascii="Arial" w:hAnsi="Arial" w:cs="Arial"/>
          <w:sz w:val="24"/>
          <w:szCs w:val="24"/>
        </w:rPr>
        <w:t>,</w:t>
      </w:r>
      <w:r w:rsidRPr="004E3E7B">
        <w:rPr>
          <w:rFonts w:ascii="Arial" w:hAnsi="Arial" w:cs="Arial"/>
          <w:sz w:val="24"/>
          <w:szCs w:val="24"/>
        </w:rPr>
        <w:t xml:space="preserve"> </w:t>
      </w:r>
      <w:r>
        <w:rPr>
          <w:rFonts w:ascii="Arial" w:hAnsi="Arial" w:cs="Arial"/>
          <w:sz w:val="24"/>
          <w:szCs w:val="24"/>
        </w:rPr>
        <w:t>no caso de</w:t>
      </w:r>
      <w:r w:rsidRPr="004E3E7B">
        <w:rPr>
          <w:rFonts w:ascii="Arial" w:hAnsi="Arial" w:cs="Arial"/>
          <w:sz w:val="24"/>
          <w:szCs w:val="24"/>
        </w:rPr>
        <w:t xml:space="preserve"> embargo de área irregularmente explorada e objeto de plano de manejo florestal sustentável não exonera seu detentor</w:t>
      </w:r>
      <w:r>
        <w:rPr>
          <w:rFonts w:ascii="Arial" w:hAnsi="Arial" w:cs="Arial"/>
          <w:sz w:val="24"/>
          <w:szCs w:val="24"/>
        </w:rPr>
        <w:t xml:space="preserve"> (art. 22);</w:t>
      </w:r>
    </w:p>
    <w:p w14:paraId="0EDA78D0" w14:textId="77777777" w:rsidR="00111340" w:rsidRDefault="00111340" w:rsidP="00255498">
      <w:pPr>
        <w:spacing w:line="360" w:lineRule="auto"/>
        <w:ind w:firstLine="851"/>
        <w:jc w:val="both"/>
        <w:rPr>
          <w:rFonts w:ascii="Arial" w:hAnsi="Arial" w:cs="Arial"/>
          <w:sz w:val="24"/>
          <w:szCs w:val="24"/>
        </w:rPr>
      </w:pPr>
    </w:p>
    <w:p w14:paraId="0E1CC15A" w14:textId="3D4EB09E" w:rsidR="00DD2DBB" w:rsidRDefault="00DD2DBB" w:rsidP="00255498">
      <w:pPr>
        <w:spacing w:line="360" w:lineRule="auto"/>
        <w:ind w:firstLine="851"/>
        <w:jc w:val="both"/>
        <w:rPr>
          <w:rFonts w:ascii="Arial" w:hAnsi="Arial" w:cs="Arial"/>
          <w:sz w:val="24"/>
          <w:szCs w:val="24"/>
        </w:rPr>
      </w:pPr>
      <w:r w:rsidRPr="00DD2DBB">
        <w:rPr>
          <w:rFonts w:ascii="Arial" w:hAnsi="Arial" w:cs="Arial"/>
          <w:sz w:val="24"/>
          <w:szCs w:val="24"/>
        </w:rPr>
        <w:t>Todas essa</w:t>
      </w:r>
      <w:r>
        <w:rPr>
          <w:rFonts w:ascii="Arial" w:hAnsi="Arial" w:cs="Arial"/>
          <w:sz w:val="24"/>
          <w:szCs w:val="24"/>
        </w:rPr>
        <w:t>s questões</w:t>
      </w:r>
      <w:r w:rsidR="00FF6F6E">
        <w:rPr>
          <w:rFonts w:ascii="Arial" w:hAnsi="Arial" w:cs="Arial"/>
          <w:sz w:val="24"/>
          <w:szCs w:val="24"/>
        </w:rPr>
        <w:t>, se devidamente comprovadas nos respectivos processos administrativos que tramitaram junto à SEMAD, devem ser informadas à Secretaria de Estado da Economia para procederam às providências cabíveis visando à recuperação do crédito decorrente da fruição irregular do benefício.</w:t>
      </w:r>
      <w:r w:rsidR="00255498">
        <w:rPr>
          <w:rFonts w:ascii="Arial" w:hAnsi="Arial" w:cs="Arial"/>
          <w:sz w:val="24"/>
          <w:szCs w:val="24"/>
        </w:rPr>
        <w:t xml:space="preserve"> A seguir, relacionam-se as pessoas jurídicas objeto de embargo no período objeto de investigação por esta CPI (2014 a 2018):</w:t>
      </w:r>
    </w:p>
    <w:p w14:paraId="6AEF87DB" w14:textId="77777777" w:rsidR="00DD2DBB" w:rsidRPr="00DD2DBB" w:rsidRDefault="00DD2DBB" w:rsidP="00CA646B">
      <w:pPr>
        <w:spacing w:line="360" w:lineRule="auto"/>
        <w:jc w:val="both"/>
        <w:rPr>
          <w:rFonts w:ascii="Arial" w:hAnsi="Arial" w:cs="Arial"/>
          <w:sz w:val="24"/>
          <w:szCs w:val="24"/>
        </w:rPr>
        <w:sectPr w:rsidR="00DD2DBB" w:rsidRPr="00DD2DBB" w:rsidSect="00A5707A">
          <w:pgSz w:w="11900" w:h="16840"/>
          <w:pgMar w:top="2268" w:right="851" w:bottom="1134" w:left="1701" w:header="567" w:footer="284" w:gutter="0"/>
          <w:cols w:space="708"/>
          <w:docGrid w:linePitch="360"/>
        </w:sectPr>
      </w:pPr>
    </w:p>
    <w:p w14:paraId="3AE38B46" w14:textId="77777777" w:rsidR="00F74F01" w:rsidRDefault="00F74F01" w:rsidP="00B77413">
      <w:pPr>
        <w:spacing w:line="360" w:lineRule="auto"/>
        <w:ind w:firstLine="851"/>
        <w:jc w:val="both"/>
        <w:rPr>
          <w:rFonts w:ascii="Arial" w:hAnsi="Arial" w:cs="Arial"/>
          <w:sz w:val="24"/>
          <w:szCs w:val="24"/>
        </w:rPr>
      </w:pPr>
    </w:p>
    <w:tbl>
      <w:tblPr>
        <w:tblStyle w:val="TabeladeGrade6Colorida-nfase3"/>
        <w:tblW w:w="14708" w:type="dxa"/>
        <w:tblLook w:val="04A0" w:firstRow="1" w:lastRow="0" w:firstColumn="1" w:lastColumn="0" w:noHBand="0" w:noVBand="1"/>
      </w:tblPr>
      <w:tblGrid>
        <w:gridCol w:w="2399"/>
        <w:gridCol w:w="2398"/>
        <w:gridCol w:w="1798"/>
        <w:gridCol w:w="1819"/>
        <w:gridCol w:w="1798"/>
        <w:gridCol w:w="4496"/>
      </w:tblGrid>
      <w:tr w:rsidR="008F4D6A" w:rsidRPr="008F4D6A" w14:paraId="44581E0E" w14:textId="77777777" w:rsidTr="008F4D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noWrap/>
            <w:vAlign w:val="center"/>
          </w:tcPr>
          <w:p w14:paraId="56EBE9BA" w14:textId="77777777" w:rsidR="008F4D6A" w:rsidRPr="008F4D6A" w:rsidRDefault="008F4D6A" w:rsidP="0079080E">
            <w:pPr>
              <w:spacing w:before="100" w:beforeAutospacing="1" w:after="100" w:afterAutospacing="1" w:line="360" w:lineRule="auto"/>
              <w:jc w:val="center"/>
              <w:rPr>
                <w:rFonts w:ascii="Arial" w:eastAsiaTheme="minorEastAsia" w:hAnsi="Arial" w:cs="Arial"/>
                <w:color w:val="auto"/>
                <w:sz w:val="22"/>
                <w:szCs w:val="22"/>
              </w:rPr>
            </w:pPr>
            <w:r w:rsidRPr="008F4D6A">
              <w:rPr>
                <w:rFonts w:ascii="Arial" w:eastAsiaTheme="minorEastAsia" w:hAnsi="Arial" w:cs="Arial"/>
                <w:color w:val="auto"/>
                <w:sz w:val="22"/>
                <w:szCs w:val="22"/>
              </w:rPr>
              <w:t>CNPJ</w:t>
            </w:r>
          </w:p>
        </w:tc>
        <w:tc>
          <w:tcPr>
            <w:tcW w:w="2268" w:type="dxa"/>
            <w:vAlign w:val="center"/>
          </w:tcPr>
          <w:p w14:paraId="33725DBC" w14:textId="77777777" w:rsidR="008F4D6A" w:rsidRPr="008F4D6A" w:rsidRDefault="008F4D6A" w:rsidP="0079080E">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Razão Social</w:t>
            </w:r>
          </w:p>
        </w:tc>
        <w:tc>
          <w:tcPr>
            <w:tcW w:w="1701" w:type="dxa"/>
            <w:vAlign w:val="center"/>
          </w:tcPr>
          <w:p w14:paraId="4582D4FB" w14:textId="77777777" w:rsidR="008F4D6A" w:rsidRPr="008F4D6A" w:rsidRDefault="008F4D6A" w:rsidP="0079080E">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Nº. Processo (s)</w:t>
            </w:r>
          </w:p>
        </w:tc>
        <w:tc>
          <w:tcPr>
            <w:tcW w:w="1701" w:type="dxa"/>
            <w:vAlign w:val="center"/>
          </w:tcPr>
          <w:p w14:paraId="4731794D" w14:textId="583FA244" w:rsidR="008F4D6A" w:rsidRPr="008F4D6A" w:rsidRDefault="00864C79" w:rsidP="0079080E">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Pr>
                <w:rFonts w:ascii="Arial" w:eastAsiaTheme="minorEastAsia" w:hAnsi="Arial" w:cs="Arial"/>
                <w:color w:val="auto"/>
                <w:sz w:val="22"/>
                <w:szCs w:val="22"/>
              </w:rPr>
              <w:t>Estado</w:t>
            </w:r>
            <w:r w:rsidR="008F4D6A" w:rsidRPr="008F4D6A">
              <w:rPr>
                <w:rFonts w:ascii="Arial" w:eastAsiaTheme="minorEastAsia" w:hAnsi="Arial" w:cs="Arial"/>
                <w:color w:val="auto"/>
                <w:sz w:val="22"/>
                <w:szCs w:val="22"/>
              </w:rPr>
              <w:t xml:space="preserve"> do processo</w:t>
            </w:r>
          </w:p>
        </w:tc>
        <w:tc>
          <w:tcPr>
            <w:tcW w:w="1701" w:type="dxa"/>
          </w:tcPr>
          <w:p w14:paraId="500749D3" w14:textId="77777777" w:rsidR="008F4D6A" w:rsidRPr="008F4D6A" w:rsidRDefault="008F4D6A" w:rsidP="0079080E">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sz w:val="22"/>
                <w:szCs w:val="22"/>
              </w:rPr>
            </w:pPr>
            <w:r w:rsidRPr="008F4D6A">
              <w:rPr>
                <w:rFonts w:ascii="Arial" w:eastAsiaTheme="minorEastAsia" w:hAnsi="Arial" w:cs="Arial"/>
                <w:color w:val="auto"/>
                <w:sz w:val="22"/>
                <w:szCs w:val="22"/>
              </w:rPr>
              <w:t>Data da decisão</w:t>
            </w:r>
          </w:p>
        </w:tc>
        <w:tc>
          <w:tcPr>
            <w:tcW w:w="4253" w:type="dxa"/>
            <w:vAlign w:val="center"/>
          </w:tcPr>
          <w:p w14:paraId="42A80F1A" w14:textId="77777777" w:rsidR="008F4D6A" w:rsidRPr="008F4D6A" w:rsidRDefault="008F4D6A" w:rsidP="0079080E">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Observação</w:t>
            </w:r>
          </w:p>
        </w:tc>
      </w:tr>
      <w:tr w:rsidR="008F4D6A" w:rsidRPr="008F4D6A" w14:paraId="45EEDD0C" w14:textId="77777777" w:rsidTr="008F4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noWrap/>
            <w:vAlign w:val="center"/>
          </w:tcPr>
          <w:p w14:paraId="0385CF1D" w14:textId="6C33E3B8" w:rsidR="008F4D6A" w:rsidRPr="008F4D6A" w:rsidRDefault="003F26B3" w:rsidP="0079080E">
            <w:pPr>
              <w:spacing w:before="100" w:beforeAutospacing="1" w:after="100" w:afterAutospacing="1" w:line="360" w:lineRule="auto"/>
              <w:jc w:val="center"/>
              <w:rPr>
                <w:rFonts w:ascii="Arial" w:hAnsi="Arial" w:cs="Arial"/>
                <w:b w:val="0"/>
                <w:color w:val="000000"/>
                <w:sz w:val="22"/>
                <w:szCs w:val="22"/>
              </w:rPr>
            </w:pPr>
            <w:r>
              <w:rPr>
                <w:rFonts w:ascii="Arial" w:hAnsi="Arial" w:cs="Arial"/>
                <w:b w:val="0"/>
                <w:color w:val="000000"/>
                <w:sz w:val="22"/>
                <w:szCs w:val="22"/>
              </w:rPr>
              <w:t>0</w:t>
            </w:r>
            <w:r w:rsidR="008F4D6A" w:rsidRPr="008F4D6A">
              <w:rPr>
                <w:rFonts w:ascii="Arial" w:hAnsi="Arial" w:cs="Arial"/>
                <w:b w:val="0"/>
                <w:color w:val="000000"/>
                <w:sz w:val="22"/>
                <w:szCs w:val="22"/>
              </w:rPr>
              <w:t>2.658.844/0001-50</w:t>
            </w:r>
          </w:p>
        </w:tc>
        <w:tc>
          <w:tcPr>
            <w:tcW w:w="2268" w:type="dxa"/>
            <w:vAlign w:val="center"/>
          </w:tcPr>
          <w:p w14:paraId="3F673EB6" w14:textId="77777777" w:rsidR="008F4D6A" w:rsidRPr="008F4D6A" w:rsidRDefault="008F4D6A"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Portelat Indústria e Comércio de Laticínios Ltda.</w:t>
            </w:r>
          </w:p>
        </w:tc>
        <w:tc>
          <w:tcPr>
            <w:tcW w:w="1701" w:type="dxa"/>
            <w:vAlign w:val="center"/>
          </w:tcPr>
          <w:p w14:paraId="76DDA847" w14:textId="77777777" w:rsidR="008F4D6A" w:rsidRPr="008F4D6A" w:rsidRDefault="008F4D6A"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1608/2013</w:t>
            </w:r>
          </w:p>
        </w:tc>
        <w:tc>
          <w:tcPr>
            <w:tcW w:w="1701" w:type="dxa"/>
            <w:vAlign w:val="center"/>
          </w:tcPr>
          <w:p w14:paraId="308D95AB" w14:textId="77777777" w:rsidR="008F4D6A" w:rsidRPr="008F4D6A" w:rsidRDefault="008F4D6A"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Embargo mantido</w:t>
            </w:r>
          </w:p>
        </w:tc>
        <w:tc>
          <w:tcPr>
            <w:tcW w:w="1701" w:type="dxa"/>
            <w:vAlign w:val="center"/>
          </w:tcPr>
          <w:p w14:paraId="42B38DEC" w14:textId="77777777" w:rsidR="008F4D6A" w:rsidRPr="008F4D6A" w:rsidRDefault="008F4D6A" w:rsidP="0079080E">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F4D6A">
              <w:rPr>
                <w:rFonts w:ascii="Arial" w:hAnsi="Arial" w:cs="Arial"/>
                <w:color w:val="auto"/>
                <w:sz w:val="22"/>
                <w:szCs w:val="22"/>
              </w:rPr>
              <w:t>24/02/2014</w:t>
            </w:r>
          </w:p>
        </w:tc>
        <w:tc>
          <w:tcPr>
            <w:tcW w:w="4253" w:type="dxa"/>
            <w:vAlign w:val="center"/>
          </w:tcPr>
          <w:p w14:paraId="7D58778A" w14:textId="77777777" w:rsidR="008F4D6A" w:rsidRPr="008F4D6A" w:rsidRDefault="008F4D6A" w:rsidP="0079080E">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Auto de Inf. nº 1615 SÉRIE B - por não atender as exigências técnicas da SEMARH referente ao tratamento de efluentes líquidos industriais e armazenamento adequado de resíduos sólidos em local aberto com piso impermeável.</w:t>
            </w:r>
          </w:p>
        </w:tc>
      </w:tr>
      <w:tr w:rsidR="008F4D6A" w:rsidRPr="008F4D6A" w14:paraId="33D69A0B" w14:textId="77777777" w:rsidTr="008F4D6A">
        <w:trPr>
          <w:trHeight w:val="70"/>
        </w:trPr>
        <w:tc>
          <w:tcPr>
            <w:cnfStyle w:val="001000000000" w:firstRow="0" w:lastRow="0" w:firstColumn="1" w:lastColumn="0" w:oddVBand="0" w:evenVBand="0" w:oddHBand="0" w:evenHBand="0" w:firstRowFirstColumn="0" w:firstRowLastColumn="0" w:lastRowFirstColumn="0" w:lastRowLastColumn="0"/>
            <w:tcW w:w="2268" w:type="dxa"/>
            <w:noWrap/>
            <w:vAlign w:val="center"/>
          </w:tcPr>
          <w:p w14:paraId="77A2EF32" w14:textId="1EDB75E3" w:rsidR="008F4D6A" w:rsidRPr="008F4D6A" w:rsidRDefault="003F26B3" w:rsidP="0079080E">
            <w:pPr>
              <w:spacing w:before="100" w:beforeAutospacing="1" w:after="100" w:afterAutospacing="1" w:line="360" w:lineRule="auto"/>
              <w:jc w:val="center"/>
              <w:rPr>
                <w:rFonts w:ascii="Arial" w:hAnsi="Arial" w:cs="Arial"/>
                <w:b w:val="0"/>
                <w:color w:val="000000"/>
                <w:sz w:val="22"/>
                <w:szCs w:val="22"/>
              </w:rPr>
            </w:pPr>
            <w:r>
              <w:rPr>
                <w:rFonts w:ascii="Arial" w:hAnsi="Arial" w:cs="Arial"/>
                <w:b w:val="0"/>
                <w:color w:val="000000"/>
                <w:sz w:val="22"/>
                <w:szCs w:val="22"/>
              </w:rPr>
              <w:t>0</w:t>
            </w:r>
            <w:r w:rsidR="008F4D6A" w:rsidRPr="008F4D6A">
              <w:rPr>
                <w:rFonts w:ascii="Arial" w:hAnsi="Arial" w:cs="Arial"/>
                <w:b w:val="0"/>
                <w:color w:val="000000"/>
                <w:sz w:val="22"/>
                <w:szCs w:val="22"/>
              </w:rPr>
              <w:t>5.915.146/0001-80</w:t>
            </w:r>
          </w:p>
        </w:tc>
        <w:tc>
          <w:tcPr>
            <w:tcW w:w="2268" w:type="dxa"/>
            <w:vAlign w:val="center"/>
          </w:tcPr>
          <w:p w14:paraId="40BF4933" w14:textId="77777777" w:rsidR="008F4D6A" w:rsidRPr="008F4D6A" w:rsidRDefault="008F4D6A" w:rsidP="0079080E">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2"/>
                <w:szCs w:val="22"/>
              </w:rPr>
            </w:pPr>
            <w:r w:rsidRPr="008F4D6A">
              <w:rPr>
                <w:rFonts w:ascii="Arial" w:hAnsi="Arial" w:cs="Arial"/>
                <w:bCs/>
                <w:color w:val="000000"/>
                <w:sz w:val="22"/>
                <w:szCs w:val="22"/>
              </w:rPr>
              <w:t>Lactosul Indústria de Laticínios Ltda.</w:t>
            </w:r>
          </w:p>
        </w:tc>
        <w:tc>
          <w:tcPr>
            <w:tcW w:w="1701" w:type="dxa"/>
            <w:vAlign w:val="center"/>
          </w:tcPr>
          <w:p w14:paraId="05680312" w14:textId="77777777" w:rsidR="008F4D6A" w:rsidRPr="008F4D6A" w:rsidRDefault="008F4D6A" w:rsidP="0079080E">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4737/2017</w:t>
            </w:r>
          </w:p>
        </w:tc>
        <w:tc>
          <w:tcPr>
            <w:tcW w:w="1701" w:type="dxa"/>
            <w:vAlign w:val="center"/>
          </w:tcPr>
          <w:p w14:paraId="024A7F57" w14:textId="77777777" w:rsidR="008F4D6A" w:rsidRPr="008F4D6A" w:rsidRDefault="008F4D6A" w:rsidP="0079080E">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Desembargado</w:t>
            </w:r>
          </w:p>
        </w:tc>
        <w:tc>
          <w:tcPr>
            <w:tcW w:w="1701" w:type="dxa"/>
            <w:vAlign w:val="center"/>
          </w:tcPr>
          <w:p w14:paraId="7F03F01D" w14:textId="77777777" w:rsidR="008F4D6A" w:rsidRPr="008F4D6A" w:rsidRDefault="008F4D6A" w:rsidP="0079080E">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24/07/2017</w:t>
            </w:r>
          </w:p>
        </w:tc>
        <w:tc>
          <w:tcPr>
            <w:tcW w:w="4253" w:type="dxa"/>
            <w:vAlign w:val="center"/>
          </w:tcPr>
          <w:p w14:paraId="551F7BA0" w14:textId="77777777" w:rsidR="008F4D6A" w:rsidRPr="008F4D6A" w:rsidRDefault="008F4D6A" w:rsidP="0079080E">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Embargo das operações no Sistema Oficial de controle -sistema DOF -, referente ao pátio denominado Nova Lactosul. Pela omissão e informar destinação final dos produtos recebidos no pátio.</w:t>
            </w:r>
          </w:p>
        </w:tc>
      </w:tr>
      <w:tr w:rsidR="008F4D6A" w:rsidRPr="008F4D6A" w14:paraId="14959AE1" w14:textId="77777777" w:rsidTr="008F4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noWrap/>
            <w:vAlign w:val="center"/>
          </w:tcPr>
          <w:p w14:paraId="4AE06792" w14:textId="77777777" w:rsidR="008F4D6A" w:rsidRPr="008F4D6A" w:rsidRDefault="008F4D6A" w:rsidP="0079080E">
            <w:pPr>
              <w:spacing w:before="100" w:beforeAutospacing="1" w:after="100" w:afterAutospacing="1" w:line="360" w:lineRule="auto"/>
              <w:jc w:val="center"/>
              <w:rPr>
                <w:rFonts w:ascii="Arial" w:hAnsi="Arial" w:cs="Arial"/>
                <w:b w:val="0"/>
                <w:color w:val="000000"/>
                <w:sz w:val="22"/>
                <w:szCs w:val="22"/>
              </w:rPr>
            </w:pPr>
            <w:r w:rsidRPr="008F4D6A">
              <w:rPr>
                <w:rFonts w:ascii="Arial" w:hAnsi="Arial" w:cs="Arial"/>
                <w:b w:val="0"/>
                <w:color w:val="000000"/>
                <w:sz w:val="22"/>
                <w:szCs w:val="22"/>
              </w:rPr>
              <w:t>16.694.362/0001-60</w:t>
            </w:r>
          </w:p>
        </w:tc>
        <w:tc>
          <w:tcPr>
            <w:tcW w:w="2268" w:type="dxa"/>
            <w:vAlign w:val="center"/>
          </w:tcPr>
          <w:p w14:paraId="1DF22222" w14:textId="77777777" w:rsidR="008F4D6A" w:rsidRPr="008F4D6A" w:rsidRDefault="008F4D6A"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F4D6A">
              <w:rPr>
                <w:rFonts w:ascii="Arial" w:hAnsi="Arial" w:cs="Arial"/>
                <w:bCs/>
                <w:color w:val="000000"/>
                <w:sz w:val="22"/>
                <w:szCs w:val="22"/>
              </w:rPr>
              <w:t>Roots Ind. e Com. de Gêneros Alimentícios e Armazenagem Log.</w:t>
            </w:r>
          </w:p>
        </w:tc>
        <w:tc>
          <w:tcPr>
            <w:tcW w:w="1701" w:type="dxa"/>
            <w:vAlign w:val="center"/>
          </w:tcPr>
          <w:p w14:paraId="6D1440E0" w14:textId="77777777" w:rsidR="008F4D6A" w:rsidRPr="008F4D6A" w:rsidRDefault="008F4D6A"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19442/2013</w:t>
            </w:r>
          </w:p>
        </w:tc>
        <w:tc>
          <w:tcPr>
            <w:tcW w:w="1701" w:type="dxa"/>
            <w:vAlign w:val="center"/>
          </w:tcPr>
          <w:p w14:paraId="3D09B900" w14:textId="77777777" w:rsidR="008F4D6A" w:rsidRPr="008F4D6A" w:rsidRDefault="008F4D6A"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Desembargado</w:t>
            </w:r>
          </w:p>
        </w:tc>
        <w:tc>
          <w:tcPr>
            <w:tcW w:w="1701" w:type="dxa"/>
            <w:vAlign w:val="center"/>
          </w:tcPr>
          <w:p w14:paraId="390B16EF" w14:textId="77777777" w:rsidR="008F4D6A" w:rsidRPr="008F4D6A" w:rsidRDefault="008F4D6A" w:rsidP="0079080E">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15/04/2014</w:t>
            </w:r>
          </w:p>
        </w:tc>
        <w:tc>
          <w:tcPr>
            <w:tcW w:w="4253" w:type="dxa"/>
            <w:vAlign w:val="center"/>
          </w:tcPr>
          <w:p w14:paraId="797B91CF" w14:textId="77777777" w:rsidR="008F4D6A" w:rsidRPr="008F4D6A" w:rsidRDefault="008F4D6A" w:rsidP="0079080E">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Ficam embargadas as atividades da empresa devido ao funcionamento sem o devido licenciamento ambiental</w:t>
            </w:r>
          </w:p>
        </w:tc>
      </w:tr>
      <w:tr w:rsidR="008F4D6A" w:rsidRPr="008F4D6A" w14:paraId="352D1316" w14:textId="77777777" w:rsidTr="008F4D6A">
        <w:trPr>
          <w:trHeight w:val="488"/>
        </w:trPr>
        <w:tc>
          <w:tcPr>
            <w:cnfStyle w:val="001000000000" w:firstRow="0" w:lastRow="0" w:firstColumn="1" w:lastColumn="0" w:oddVBand="0" w:evenVBand="0" w:oddHBand="0" w:evenHBand="0" w:firstRowFirstColumn="0" w:firstRowLastColumn="0" w:lastRowFirstColumn="0" w:lastRowLastColumn="0"/>
            <w:tcW w:w="2268" w:type="dxa"/>
            <w:vMerge w:val="restart"/>
            <w:noWrap/>
            <w:vAlign w:val="center"/>
          </w:tcPr>
          <w:p w14:paraId="4A6353C6" w14:textId="77777777" w:rsidR="008F4D6A" w:rsidRPr="008F4D6A" w:rsidRDefault="008F4D6A" w:rsidP="0079080E">
            <w:pPr>
              <w:spacing w:before="100" w:beforeAutospacing="1" w:after="100" w:afterAutospacing="1" w:line="360" w:lineRule="auto"/>
              <w:jc w:val="center"/>
              <w:rPr>
                <w:rFonts w:ascii="Arial" w:hAnsi="Arial" w:cs="Arial"/>
                <w:b w:val="0"/>
                <w:color w:val="000000"/>
                <w:sz w:val="22"/>
                <w:szCs w:val="22"/>
              </w:rPr>
            </w:pPr>
            <w:r w:rsidRPr="008F4D6A">
              <w:rPr>
                <w:rFonts w:ascii="Arial" w:hAnsi="Arial" w:cs="Arial"/>
                <w:b w:val="0"/>
                <w:color w:val="000000"/>
                <w:sz w:val="22"/>
                <w:szCs w:val="22"/>
              </w:rPr>
              <w:t>10.404.860/0001-44</w:t>
            </w:r>
          </w:p>
        </w:tc>
        <w:tc>
          <w:tcPr>
            <w:tcW w:w="2268" w:type="dxa"/>
            <w:vMerge w:val="restart"/>
            <w:vAlign w:val="center"/>
          </w:tcPr>
          <w:p w14:paraId="5F91A8F2" w14:textId="77777777" w:rsidR="008F4D6A" w:rsidRPr="008F4D6A" w:rsidRDefault="008F4D6A" w:rsidP="0079080E">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2"/>
                <w:szCs w:val="22"/>
              </w:rPr>
            </w:pPr>
            <w:r w:rsidRPr="008F4D6A">
              <w:rPr>
                <w:rFonts w:ascii="Arial" w:hAnsi="Arial" w:cs="Arial"/>
                <w:bCs/>
                <w:color w:val="000000"/>
                <w:sz w:val="22"/>
                <w:szCs w:val="22"/>
              </w:rPr>
              <w:t>Mineração Rio do Sal Ltda.</w:t>
            </w:r>
          </w:p>
        </w:tc>
        <w:tc>
          <w:tcPr>
            <w:tcW w:w="1701" w:type="dxa"/>
            <w:tcBorders>
              <w:bottom w:val="single" w:sz="4" w:space="0" w:color="C9C9C9" w:themeColor="accent3" w:themeTint="99"/>
            </w:tcBorders>
            <w:vAlign w:val="center"/>
          </w:tcPr>
          <w:p w14:paraId="720B39D5" w14:textId="77777777" w:rsidR="008F4D6A" w:rsidRPr="008F4D6A" w:rsidRDefault="008F4D6A" w:rsidP="0079080E">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14751/2014</w:t>
            </w:r>
          </w:p>
        </w:tc>
        <w:tc>
          <w:tcPr>
            <w:tcW w:w="1701" w:type="dxa"/>
            <w:tcBorders>
              <w:bottom w:val="single" w:sz="4" w:space="0" w:color="C9C9C9" w:themeColor="accent3" w:themeTint="99"/>
            </w:tcBorders>
          </w:tcPr>
          <w:p w14:paraId="33B68C20" w14:textId="77777777" w:rsidR="008F4D6A" w:rsidRPr="008F4D6A" w:rsidRDefault="008F4D6A" w:rsidP="0079080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8F4D6A">
              <w:rPr>
                <w:rFonts w:ascii="Arial" w:hAnsi="Arial" w:cs="Arial"/>
                <w:color w:val="000000"/>
                <w:sz w:val="22"/>
                <w:szCs w:val="22"/>
              </w:rPr>
              <w:t>Desembargado</w:t>
            </w:r>
          </w:p>
        </w:tc>
        <w:tc>
          <w:tcPr>
            <w:tcW w:w="1701" w:type="dxa"/>
            <w:tcBorders>
              <w:bottom w:val="single" w:sz="4" w:space="0" w:color="C9C9C9" w:themeColor="accent3" w:themeTint="99"/>
            </w:tcBorders>
            <w:vAlign w:val="center"/>
          </w:tcPr>
          <w:p w14:paraId="7D2A8941" w14:textId="77777777" w:rsidR="008F4D6A" w:rsidRPr="008F4D6A" w:rsidRDefault="008F4D6A" w:rsidP="0079080E">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06/02/2015</w:t>
            </w:r>
          </w:p>
        </w:tc>
        <w:tc>
          <w:tcPr>
            <w:tcW w:w="4253" w:type="dxa"/>
            <w:tcBorders>
              <w:bottom w:val="single" w:sz="4" w:space="0" w:color="C9C9C9" w:themeColor="accent3" w:themeTint="99"/>
            </w:tcBorders>
            <w:vAlign w:val="center"/>
          </w:tcPr>
          <w:p w14:paraId="63E07673" w14:textId="77777777" w:rsidR="008F4D6A" w:rsidRPr="008F4D6A" w:rsidRDefault="008F4D6A" w:rsidP="0079080E">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Fica a área embargada inserida no polígono em UTM SAD69 devido realizar desmatamento sem a devida autorização ambiental.</w:t>
            </w:r>
          </w:p>
        </w:tc>
      </w:tr>
      <w:tr w:rsidR="008F4D6A" w:rsidRPr="008F4D6A" w14:paraId="58859F12" w14:textId="77777777" w:rsidTr="008F4D6A">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2268" w:type="dxa"/>
            <w:vMerge/>
            <w:noWrap/>
            <w:vAlign w:val="center"/>
          </w:tcPr>
          <w:p w14:paraId="1D420FC1" w14:textId="77777777" w:rsidR="008F4D6A" w:rsidRPr="008F4D6A" w:rsidRDefault="008F4D6A" w:rsidP="0079080E">
            <w:pPr>
              <w:spacing w:before="100" w:beforeAutospacing="1" w:after="100" w:afterAutospacing="1" w:line="360" w:lineRule="auto"/>
              <w:jc w:val="center"/>
              <w:rPr>
                <w:rFonts w:ascii="Arial" w:hAnsi="Arial" w:cs="Arial"/>
                <w:b w:val="0"/>
                <w:color w:val="000000"/>
                <w:sz w:val="22"/>
                <w:szCs w:val="22"/>
              </w:rPr>
            </w:pPr>
          </w:p>
        </w:tc>
        <w:tc>
          <w:tcPr>
            <w:tcW w:w="2268" w:type="dxa"/>
            <w:vMerge/>
            <w:vAlign w:val="center"/>
          </w:tcPr>
          <w:p w14:paraId="0A633403" w14:textId="77777777" w:rsidR="008F4D6A" w:rsidRPr="008F4D6A" w:rsidRDefault="008F4D6A"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tc>
        <w:tc>
          <w:tcPr>
            <w:tcW w:w="1701" w:type="dxa"/>
            <w:tcBorders>
              <w:top w:val="single" w:sz="4" w:space="0" w:color="C9C9C9" w:themeColor="accent3" w:themeTint="99"/>
            </w:tcBorders>
            <w:shd w:val="clear" w:color="auto" w:fill="FFFFFF" w:themeFill="background1"/>
            <w:vAlign w:val="center"/>
          </w:tcPr>
          <w:p w14:paraId="1ACF02DA" w14:textId="77777777" w:rsidR="008F4D6A" w:rsidRPr="008F4D6A" w:rsidRDefault="008F4D6A"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14758/2014</w:t>
            </w:r>
          </w:p>
        </w:tc>
        <w:tc>
          <w:tcPr>
            <w:tcW w:w="1701" w:type="dxa"/>
            <w:tcBorders>
              <w:top w:val="single" w:sz="4" w:space="0" w:color="C9C9C9" w:themeColor="accent3" w:themeTint="99"/>
            </w:tcBorders>
            <w:shd w:val="clear" w:color="auto" w:fill="FFFFFF" w:themeFill="background1"/>
          </w:tcPr>
          <w:p w14:paraId="12AD1BAC" w14:textId="77777777" w:rsidR="008F4D6A" w:rsidRPr="008F4D6A" w:rsidRDefault="008F4D6A" w:rsidP="0079080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Desembargado</w:t>
            </w:r>
          </w:p>
        </w:tc>
        <w:tc>
          <w:tcPr>
            <w:tcW w:w="1701" w:type="dxa"/>
            <w:tcBorders>
              <w:top w:val="single" w:sz="4" w:space="0" w:color="C9C9C9" w:themeColor="accent3" w:themeTint="99"/>
            </w:tcBorders>
            <w:shd w:val="clear" w:color="auto" w:fill="FFFFFF" w:themeFill="background1"/>
            <w:vAlign w:val="center"/>
          </w:tcPr>
          <w:p w14:paraId="160B4AFC" w14:textId="77777777" w:rsidR="008F4D6A" w:rsidRPr="008F4D6A" w:rsidRDefault="008F4D6A" w:rsidP="0079080E">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06/02/2015</w:t>
            </w:r>
          </w:p>
        </w:tc>
        <w:tc>
          <w:tcPr>
            <w:tcW w:w="4253" w:type="dxa"/>
            <w:tcBorders>
              <w:top w:val="single" w:sz="4" w:space="0" w:color="C9C9C9" w:themeColor="accent3" w:themeTint="99"/>
            </w:tcBorders>
            <w:shd w:val="clear" w:color="auto" w:fill="FFFFFF" w:themeFill="background1"/>
            <w:vAlign w:val="center"/>
          </w:tcPr>
          <w:p w14:paraId="4A48738C" w14:textId="77777777" w:rsidR="008F4D6A" w:rsidRPr="008F4D6A" w:rsidRDefault="008F4D6A" w:rsidP="0079080E">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Fica a área embargada devido estar sendo realizada a extração de minério sem a licença ambiental em uma área de 1,65 ha. Processo nº 7140/2012.</w:t>
            </w:r>
          </w:p>
        </w:tc>
      </w:tr>
      <w:tr w:rsidR="008F4D6A" w:rsidRPr="008F4D6A" w14:paraId="0E3395C8" w14:textId="77777777" w:rsidTr="008F4D6A">
        <w:trPr>
          <w:trHeight w:val="348"/>
        </w:trPr>
        <w:tc>
          <w:tcPr>
            <w:cnfStyle w:val="001000000000" w:firstRow="0" w:lastRow="0" w:firstColumn="1" w:lastColumn="0" w:oddVBand="0" w:evenVBand="0" w:oddHBand="0" w:evenHBand="0" w:firstRowFirstColumn="0" w:firstRowLastColumn="0" w:lastRowFirstColumn="0" w:lastRowLastColumn="0"/>
            <w:tcW w:w="2268" w:type="dxa"/>
            <w:shd w:val="clear" w:color="auto" w:fill="EDEDED" w:themeFill="accent3" w:themeFillTint="33"/>
            <w:noWrap/>
            <w:vAlign w:val="center"/>
          </w:tcPr>
          <w:p w14:paraId="19344DE2" w14:textId="77777777" w:rsidR="008F4D6A" w:rsidRPr="008F4D6A" w:rsidRDefault="008F4D6A" w:rsidP="0079080E">
            <w:pPr>
              <w:spacing w:before="100" w:beforeAutospacing="1" w:after="100" w:afterAutospacing="1" w:line="360" w:lineRule="auto"/>
              <w:jc w:val="center"/>
              <w:rPr>
                <w:rFonts w:ascii="Arial" w:hAnsi="Arial" w:cs="Arial"/>
                <w:b w:val="0"/>
                <w:color w:val="000000"/>
                <w:sz w:val="22"/>
                <w:szCs w:val="22"/>
              </w:rPr>
            </w:pPr>
            <w:r w:rsidRPr="008F4D6A">
              <w:rPr>
                <w:rFonts w:ascii="Arial" w:hAnsi="Arial" w:cs="Arial"/>
                <w:b w:val="0"/>
                <w:color w:val="000000"/>
                <w:sz w:val="22"/>
                <w:szCs w:val="22"/>
              </w:rPr>
              <w:t>26.664.110/0001-41</w:t>
            </w:r>
          </w:p>
        </w:tc>
        <w:tc>
          <w:tcPr>
            <w:tcW w:w="2268" w:type="dxa"/>
            <w:shd w:val="clear" w:color="auto" w:fill="EDEDED" w:themeFill="accent3" w:themeFillTint="33"/>
            <w:vAlign w:val="center"/>
          </w:tcPr>
          <w:p w14:paraId="069C9080" w14:textId="77777777" w:rsidR="008F4D6A" w:rsidRPr="008F4D6A" w:rsidRDefault="008F4D6A" w:rsidP="0079080E">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2"/>
                <w:szCs w:val="22"/>
              </w:rPr>
            </w:pPr>
            <w:r w:rsidRPr="008F4D6A">
              <w:rPr>
                <w:rFonts w:ascii="Arial" w:hAnsi="Arial" w:cs="Arial"/>
                <w:bCs/>
                <w:color w:val="000000"/>
                <w:sz w:val="22"/>
                <w:szCs w:val="22"/>
              </w:rPr>
              <w:t>Agroindústria Búfalo Nobre Ltda.</w:t>
            </w:r>
          </w:p>
        </w:tc>
        <w:tc>
          <w:tcPr>
            <w:tcW w:w="1701" w:type="dxa"/>
            <w:shd w:val="clear" w:color="auto" w:fill="EDEDED" w:themeFill="accent3" w:themeFillTint="33"/>
            <w:vAlign w:val="center"/>
          </w:tcPr>
          <w:p w14:paraId="3F603739" w14:textId="77777777" w:rsidR="008F4D6A" w:rsidRPr="008F4D6A" w:rsidRDefault="008F4D6A" w:rsidP="0079080E">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1103/2014</w:t>
            </w:r>
          </w:p>
        </w:tc>
        <w:tc>
          <w:tcPr>
            <w:tcW w:w="1701" w:type="dxa"/>
            <w:shd w:val="clear" w:color="auto" w:fill="EDEDED" w:themeFill="accent3" w:themeFillTint="33"/>
          </w:tcPr>
          <w:p w14:paraId="69334C70" w14:textId="77777777" w:rsidR="008F4D6A" w:rsidRPr="008F4D6A" w:rsidRDefault="008F4D6A" w:rsidP="0079080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8F4D6A">
              <w:rPr>
                <w:rFonts w:ascii="Arial" w:hAnsi="Arial" w:cs="Arial"/>
                <w:color w:val="000000"/>
                <w:sz w:val="22"/>
                <w:szCs w:val="22"/>
              </w:rPr>
              <w:t>Desembargado</w:t>
            </w:r>
          </w:p>
        </w:tc>
        <w:tc>
          <w:tcPr>
            <w:tcW w:w="1701" w:type="dxa"/>
            <w:shd w:val="clear" w:color="auto" w:fill="EDEDED" w:themeFill="accent3" w:themeFillTint="33"/>
            <w:vAlign w:val="center"/>
          </w:tcPr>
          <w:p w14:paraId="70085082" w14:textId="77777777" w:rsidR="008F4D6A" w:rsidRPr="008F4D6A" w:rsidRDefault="008F4D6A" w:rsidP="0079080E">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23/04/2014</w:t>
            </w:r>
          </w:p>
        </w:tc>
        <w:tc>
          <w:tcPr>
            <w:tcW w:w="4253" w:type="dxa"/>
            <w:shd w:val="clear" w:color="auto" w:fill="EDEDED" w:themeFill="accent3" w:themeFillTint="33"/>
            <w:vAlign w:val="center"/>
          </w:tcPr>
          <w:p w14:paraId="0A0573AE" w14:textId="77777777" w:rsidR="008F4D6A" w:rsidRPr="008F4D6A" w:rsidRDefault="008F4D6A" w:rsidP="0079080E">
            <w:pPr>
              <w:jc w:val="both"/>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Fica o empreendimento embargado devido estar funcionando sem a devida licença ambiental.</w:t>
            </w:r>
          </w:p>
        </w:tc>
      </w:tr>
      <w:tr w:rsidR="008F4D6A" w:rsidRPr="008F4D6A" w14:paraId="2621E7E9" w14:textId="77777777" w:rsidTr="008F4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noWrap/>
            <w:vAlign w:val="center"/>
          </w:tcPr>
          <w:p w14:paraId="6C05DCA4" w14:textId="77777777" w:rsidR="008F4D6A" w:rsidRPr="008F4D6A" w:rsidRDefault="008F4D6A" w:rsidP="0079080E">
            <w:pPr>
              <w:spacing w:before="100" w:beforeAutospacing="1" w:after="100" w:afterAutospacing="1" w:line="360" w:lineRule="auto"/>
              <w:jc w:val="center"/>
              <w:rPr>
                <w:rFonts w:ascii="Arial" w:hAnsi="Arial" w:cs="Arial"/>
                <w:b w:val="0"/>
                <w:color w:val="000000"/>
                <w:sz w:val="22"/>
                <w:szCs w:val="22"/>
              </w:rPr>
            </w:pPr>
            <w:r w:rsidRPr="008F4D6A">
              <w:rPr>
                <w:rFonts w:ascii="Arial" w:hAnsi="Arial" w:cs="Arial"/>
                <w:b w:val="0"/>
                <w:color w:val="000000"/>
                <w:sz w:val="22"/>
                <w:szCs w:val="22"/>
              </w:rPr>
              <w:t>84.046.101/0057-48</w:t>
            </w:r>
          </w:p>
        </w:tc>
        <w:tc>
          <w:tcPr>
            <w:tcW w:w="2268" w:type="dxa"/>
            <w:shd w:val="clear" w:color="auto" w:fill="auto"/>
            <w:vAlign w:val="center"/>
          </w:tcPr>
          <w:p w14:paraId="37EE6841" w14:textId="77777777" w:rsidR="008F4D6A" w:rsidRPr="008F4D6A" w:rsidRDefault="008F4D6A"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8F4D6A">
              <w:rPr>
                <w:rFonts w:ascii="Arial" w:hAnsi="Arial" w:cs="Arial"/>
                <w:bCs/>
                <w:color w:val="000000"/>
                <w:sz w:val="22"/>
                <w:szCs w:val="22"/>
              </w:rPr>
              <w:t>Bunge Alimentos S.A</w:t>
            </w:r>
          </w:p>
        </w:tc>
        <w:tc>
          <w:tcPr>
            <w:tcW w:w="1701" w:type="dxa"/>
            <w:shd w:val="clear" w:color="auto" w:fill="auto"/>
            <w:vAlign w:val="center"/>
          </w:tcPr>
          <w:p w14:paraId="50225603" w14:textId="77777777" w:rsidR="008F4D6A" w:rsidRPr="008F4D6A" w:rsidRDefault="008F4D6A" w:rsidP="0079080E">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8F4D6A">
              <w:rPr>
                <w:rFonts w:ascii="Arial" w:hAnsi="Arial" w:cs="Arial"/>
                <w:color w:val="000000"/>
                <w:sz w:val="22"/>
                <w:szCs w:val="22"/>
              </w:rPr>
              <w:t>97668/2016</w:t>
            </w:r>
          </w:p>
        </w:tc>
        <w:tc>
          <w:tcPr>
            <w:tcW w:w="1701" w:type="dxa"/>
            <w:shd w:val="clear" w:color="auto" w:fill="auto"/>
          </w:tcPr>
          <w:p w14:paraId="504A871B" w14:textId="77777777" w:rsidR="008F4D6A" w:rsidRPr="008F4D6A" w:rsidRDefault="008F4D6A" w:rsidP="0079080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8F4D6A">
              <w:rPr>
                <w:rFonts w:ascii="Arial" w:hAnsi="Arial" w:cs="Arial"/>
                <w:color w:val="000000"/>
                <w:sz w:val="22"/>
                <w:szCs w:val="22"/>
              </w:rPr>
              <w:t>Desembargado</w:t>
            </w:r>
          </w:p>
        </w:tc>
        <w:tc>
          <w:tcPr>
            <w:tcW w:w="1701" w:type="dxa"/>
            <w:shd w:val="clear" w:color="auto" w:fill="auto"/>
            <w:vAlign w:val="center"/>
          </w:tcPr>
          <w:p w14:paraId="562E04BA" w14:textId="77777777" w:rsidR="008F4D6A" w:rsidRPr="008F4D6A" w:rsidRDefault="008F4D6A" w:rsidP="0079080E">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29/04/2019</w:t>
            </w:r>
          </w:p>
        </w:tc>
        <w:tc>
          <w:tcPr>
            <w:tcW w:w="4253" w:type="dxa"/>
            <w:shd w:val="clear" w:color="auto" w:fill="auto"/>
            <w:vAlign w:val="center"/>
          </w:tcPr>
          <w:p w14:paraId="3E783F51" w14:textId="77777777" w:rsidR="008F4D6A" w:rsidRPr="008F4D6A" w:rsidRDefault="008F4D6A" w:rsidP="000B2DA7">
            <w:pPr>
              <w:jc w:val="both"/>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auto"/>
                <w:sz w:val="22"/>
                <w:szCs w:val="22"/>
              </w:rPr>
            </w:pPr>
            <w:r w:rsidRPr="008F4D6A">
              <w:rPr>
                <w:rFonts w:ascii="Arial" w:eastAsiaTheme="minorEastAsia" w:hAnsi="Arial" w:cs="Arial"/>
                <w:color w:val="auto"/>
                <w:sz w:val="22"/>
                <w:szCs w:val="22"/>
              </w:rPr>
              <w:t>Sem observações pela SEMAD.</w:t>
            </w:r>
          </w:p>
        </w:tc>
      </w:tr>
    </w:tbl>
    <w:p w14:paraId="5E65984B" w14:textId="77777777" w:rsidR="00252B38" w:rsidRDefault="00252B38" w:rsidP="00B77413">
      <w:pPr>
        <w:spacing w:line="360" w:lineRule="auto"/>
        <w:ind w:firstLine="851"/>
        <w:jc w:val="both"/>
        <w:rPr>
          <w:rFonts w:ascii="Arial" w:hAnsi="Arial" w:cs="Arial"/>
          <w:b/>
          <w:sz w:val="24"/>
          <w:szCs w:val="24"/>
        </w:rPr>
      </w:pPr>
    </w:p>
    <w:p w14:paraId="1293C541" w14:textId="5146FD8A" w:rsidR="00722594" w:rsidRDefault="00722594" w:rsidP="00B77413">
      <w:pPr>
        <w:spacing w:line="360" w:lineRule="auto"/>
        <w:ind w:firstLine="851"/>
        <w:jc w:val="both"/>
        <w:rPr>
          <w:rFonts w:ascii="Arial" w:hAnsi="Arial" w:cs="Arial"/>
          <w:sz w:val="24"/>
          <w:szCs w:val="24"/>
        </w:rPr>
      </w:pPr>
    </w:p>
    <w:p w14:paraId="1ED46E5A" w14:textId="77777777" w:rsidR="00722594" w:rsidRDefault="00722594" w:rsidP="00B77413">
      <w:pPr>
        <w:spacing w:line="360" w:lineRule="auto"/>
        <w:ind w:firstLine="851"/>
        <w:jc w:val="both"/>
        <w:rPr>
          <w:rFonts w:ascii="Arial" w:hAnsi="Arial" w:cs="Arial"/>
          <w:sz w:val="24"/>
          <w:szCs w:val="24"/>
        </w:rPr>
        <w:sectPr w:rsidR="00722594" w:rsidSect="00722594">
          <w:pgSz w:w="16840" w:h="11900" w:orient="landscape"/>
          <w:pgMar w:top="1701" w:right="2268" w:bottom="851" w:left="1134" w:header="567" w:footer="284" w:gutter="0"/>
          <w:cols w:space="708"/>
          <w:docGrid w:linePitch="360"/>
        </w:sectPr>
      </w:pPr>
    </w:p>
    <w:p w14:paraId="2B7975FE" w14:textId="5A5D13A4" w:rsidR="00722594" w:rsidRDefault="003F26B3" w:rsidP="00B77413">
      <w:pPr>
        <w:spacing w:line="360" w:lineRule="auto"/>
        <w:ind w:firstLine="851"/>
        <w:jc w:val="both"/>
        <w:rPr>
          <w:rFonts w:ascii="Arial" w:hAnsi="Arial" w:cs="Arial"/>
          <w:sz w:val="24"/>
          <w:szCs w:val="24"/>
        </w:rPr>
      </w:pPr>
      <w:r>
        <w:rPr>
          <w:rFonts w:ascii="Arial" w:hAnsi="Arial" w:cs="Arial"/>
          <w:sz w:val="24"/>
          <w:szCs w:val="24"/>
        </w:rPr>
        <w:lastRenderedPageBreak/>
        <w:t xml:space="preserve">Em relação à </w:t>
      </w:r>
      <w:r w:rsidRPr="003F26B3">
        <w:rPr>
          <w:rFonts w:ascii="Arial" w:hAnsi="Arial" w:cs="Arial"/>
          <w:b/>
          <w:sz w:val="24"/>
          <w:szCs w:val="24"/>
        </w:rPr>
        <w:t>Portelat Indústria e Comércio de Laticínios Ltda</w:t>
      </w:r>
      <w:r>
        <w:rPr>
          <w:rFonts w:ascii="Arial" w:hAnsi="Arial" w:cs="Arial"/>
          <w:sz w:val="24"/>
          <w:szCs w:val="24"/>
        </w:rPr>
        <w:t xml:space="preserve"> (CNPJ nº </w:t>
      </w:r>
      <w:r w:rsidRPr="003F26B3">
        <w:rPr>
          <w:rFonts w:ascii="Arial" w:hAnsi="Arial" w:cs="Arial"/>
          <w:sz w:val="24"/>
          <w:szCs w:val="24"/>
        </w:rPr>
        <w:t>2.658.844/0001-50</w:t>
      </w:r>
      <w:r>
        <w:rPr>
          <w:rFonts w:ascii="Arial" w:hAnsi="Arial" w:cs="Arial"/>
          <w:sz w:val="24"/>
          <w:szCs w:val="24"/>
        </w:rPr>
        <w:t>), o embargo aplicado em 2013 foi mantido na decisão final em 2014</w:t>
      </w:r>
      <w:r w:rsidR="0060050B">
        <w:rPr>
          <w:rFonts w:ascii="Arial" w:hAnsi="Arial" w:cs="Arial"/>
          <w:sz w:val="24"/>
          <w:szCs w:val="24"/>
        </w:rPr>
        <w:t>, caberia apurar o início da atividade que ensejou o embargo e se</w:t>
      </w:r>
      <w:r w:rsidR="001A18D9">
        <w:rPr>
          <w:rFonts w:ascii="Arial" w:hAnsi="Arial" w:cs="Arial"/>
          <w:sz w:val="24"/>
          <w:szCs w:val="24"/>
        </w:rPr>
        <w:t>, da data de aplicação do embargo até hoje,</w:t>
      </w:r>
      <w:r w:rsidR="0060050B">
        <w:rPr>
          <w:rFonts w:ascii="Arial" w:hAnsi="Arial" w:cs="Arial"/>
          <w:sz w:val="24"/>
          <w:szCs w:val="24"/>
        </w:rPr>
        <w:t xml:space="preserve"> houve </w:t>
      </w:r>
      <w:r>
        <w:rPr>
          <w:rFonts w:ascii="Arial" w:hAnsi="Arial" w:cs="Arial"/>
          <w:sz w:val="24"/>
          <w:szCs w:val="24"/>
        </w:rPr>
        <w:t xml:space="preserve">o </w:t>
      </w:r>
      <w:r w:rsidR="001A18D9">
        <w:rPr>
          <w:rFonts w:ascii="Arial" w:hAnsi="Arial" w:cs="Arial"/>
          <w:sz w:val="24"/>
          <w:szCs w:val="24"/>
        </w:rPr>
        <w:t>estrito</w:t>
      </w:r>
      <w:r w:rsidR="0060050B">
        <w:rPr>
          <w:rFonts w:ascii="Arial" w:hAnsi="Arial" w:cs="Arial"/>
          <w:sz w:val="24"/>
          <w:szCs w:val="24"/>
        </w:rPr>
        <w:t xml:space="preserve"> </w:t>
      </w:r>
      <w:r>
        <w:rPr>
          <w:rFonts w:ascii="Arial" w:hAnsi="Arial" w:cs="Arial"/>
          <w:sz w:val="24"/>
          <w:szCs w:val="24"/>
        </w:rPr>
        <w:t xml:space="preserve">cumprimento </w:t>
      </w:r>
      <w:r w:rsidR="001A18D9">
        <w:rPr>
          <w:rFonts w:ascii="Arial" w:hAnsi="Arial" w:cs="Arial"/>
          <w:sz w:val="24"/>
          <w:szCs w:val="24"/>
        </w:rPr>
        <w:t xml:space="preserve">do embargo decretado </w:t>
      </w:r>
      <w:r>
        <w:rPr>
          <w:rFonts w:ascii="Arial" w:hAnsi="Arial" w:cs="Arial"/>
          <w:sz w:val="24"/>
          <w:szCs w:val="24"/>
        </w:rPr>
        <w:t>(art. 23)</w:t>
      </w:r>
      <w:r w:rsidR="0060050B">
        <w:rPr>
          <w:rFonts w:ascii="Arial" w:hAnsi="Arial" w:cs="Arial"/>
          <w:sz w:val="24"/>
          <w:szCs w:val="24"/>
        </w:rPr>
        <w:t>, a fim de identificar o período em que a empresa não poderia ter fruído incentivos fiscais</w:t>
      </w:r>
      <w:r>
        <w:rPr>
          <w:rFonts w:ascii="Arial" w:hAnsi="Arial" w:cs="Arial"/>
          <w:sz w:val="24"/>
          <w:szCs w:val="24"/>
        </w:rPr>
        <w:t>.</w:t>
      </w:r>
    </w:p>
    <w:p w14:paraId="48018ECD" w14:textId="3757E1EC" w:rsidR="003F26B3" w:rsidRDefault="0060050B" w:rsidP="00B77413">
      <w:pPr>
        <w:spacing w:line="360" w:lineRule="auto"/>
        <w:ind w:firstLine="851"/>
        <w:jc w:val="both"/>
        <w:rPr>
          <w:rFonts w:ascii="Arial" w:hAnsi="Arial" w:cs="Arial"/>
          <w:sz w:val="24"/>
          <w:szCs w:val="24"/>
        </w:rPr>
      </w:pPr>
      <w:r>
        <w:rPr>
          <w:rFonts w:ascii="Arial" w:hAnsi="Arial" w:cs="Arial"/>
          <w:sz w:val="24"/>
          <w:szCs w:val="24"/>
        </w:rPr>
        <w:t xml:space="preserve">Quanto às </w:t>
      </w:r>
      <w:r w:rsidRPr="0060050B">
        <w:rPr>
          <w:rFonts w:ascii="Arial" w:hAnsi="Arial" w:cs="Arial"/>
          <w:b/>
          <w:sz w:val="24"/>
          <w:szCs w:val="24"/>
        </w:rPr>
        <w:t>demais empresas mencionadas na tabela</w:t>
      </w:r>
      <w:r>
        <w:rPr>
          <w:rFonts w:ascii="Arial" w:hAnsi="Arial" w:cs="Arial"/>
          <w:sz w:val="24"/>
          <w:szCs w:val="24"/>
        </w:rPr>
        <w:t>, objeto de desembargo por ocasião da decisão final administrativa, caberia</w:t>
      </w:r>
      <w:r w:rsidR="00AE7184">
        <w:rPr>
          <w:rFonts w:ascii="Arial" w:hAnsi="Arial" w:cs="Arial"/>
          <w:sz w:val="24"/>
          <w:szCs w:val="24"/>
        </w:rPr>
        <w:t xml:space="preserve"> proceder à mesma análise, porém limitadamente à data do desembargo, ato pelo qual a fiscalização atesta a regularização da atividade até então exercida em desconformidade com os padrões ambientais.</w:t>
      </w:r>
    </w:p>
    <w:p w14:paraId="26BAF1FA" w14:textId="77777777" w:rsidR="003F26B3" w:rsidRDefault="003F26B3" w:rsidP="00456C39">
      <w:pPr>
        <w:spacing w:line="360" w:lineRule="auto"/>
        <w:ind w:firstLine="851"/>
        <w:jc w:val="both"/>
        <w:rPr>
          <w:rFonts w:ascii="Arial" w:hAnsi="Arial" w:cs="Arial"/>
          <w:b/>
          <w:sz w:val="24"/>
          <w:szCs w:val="24"/>
        </w:rPr>
      </w:pPr>
    </w:p>
    <w:p w14:paraId="487D32E7" w14:textId="6A8FB90C" w:rsidR="00456C39" w:rsidRDefault="00456C39" w:rsidP="00456C39">
      <w:pPr>
        <w:spacing w:line="360" w:lineRule="auto"/>
        <w:ind w:firstLine="851"/>
        <w:jc w:val="both"/>
        <w:rPr>
          <w:rFonts w:ascii="Arial" w:hAnsi="Arial" w:cs="Arial"/>
          <w:sz w:val="24"/>
          <w:szCs w:val="24"/>
        </w:rPr>
      </w:pPr>
      <w:r>
        <w:rPr>
          <w:rFonts w:ascii="Arial" w:hAnsi="Arial" w:cs="Arial"/>
          <w:b/>
          <w:sz w:val="24"/>
          <w:szCs w:val="24"/>
        </w:rPr>
        <w:t>8.3.9</w:t>
      </w:r>
      <w:r w:rsidRPr="00BE40D6">
        <w:rPr>
          <w:rFonts w:ascii="Arial" w:hAnsi="Arial" w:cs="Arial"/>
          <w:b/>
          <w:sz w:val="24"/>
          <w:szCs w:val="24"/>
        </w:rPr>
        <w:t>.</w:t>
      </w:r>
      <w:r>
        <w:rPr>
          <w:rFonts w:ascii="Arial" w:hAnsi="Arial" w:cs="Arial"/>
          <w:sz w:val="24"/>
          <w:szCs w:val="24"/>
        </w:rPr>
        <w:t xml:space="preserve"> O </w:t>
      </w:r>
      <w:r>
        <w:rPr>
          <w:rFonts w:ascii="Arial" w:hAnsi="Arial" w:cs="Arial"/>
          <w:b/>
          <w:sz w:val="24"/>
          <w:szCs w:val="24"/>
          <w:u w:val="single"/>
        </w:rPr>
        <w:t>quarto</w:t>
      </w:r>
      <w:r w:rsidRPr="006C2A1A">
        <w:rPr>
          <w:rFonts w:ascii="Arial" w:hAnsi="Arial" w:cs="Arial"/>
          <w:b/>
          <w:sz w:val="24"/>
          <w:szCs w:val="24"/>
          <w:u w:val="single"/>
        </w:rPr>
        <w:t xml:space="preserve"> grupo de empresas identificado por esta CPI </w:t>
      </w:r>
      <w:r>
        <w:rPr>
          <w:rFonts w:ascii="Arial" w:hAnsi="Arial" w:cs="Arial"/>
          <w:b/>
          <w:sz w:val="24"/>
          <w:szCs w:val="24"/>
          <w:u w:val="single"/>
        </w:rPr>
        <w:t>se refere àquelas beneficiárias exclusivamente de crédito outorgado que receberam alguma</w:t>
      </w:r>
      <w:r w:rsidRPr="006C2A1A">
        <w:rPr>
          <w:rFonts w:ascii="Arial" w:hAnsi="Arial" w:cs="Arial"/>
          <w:b/>
          <w:sz w:val="24"/>
          <w:szCs w:val="24"/>
          <w:u w:val="single"/>
        </w:rPr>
        <w:t xml:space="preserve"> penalidade </w:t>
      </w:r>
      <w:r>
        <w:rPr>
          <w:rFonts w:ascii="Arial" w:hAnsi="Arial" w:cs="Arial"/>
          <w:b/>
          <w:sz w:val="24"/>
          <w:szCs w:val="24"/>
          <w:u w:val="single"/>
        </w:rPr>
        <w:t>de natureza ambiental</w:t>
      </w:r>
      <w:r>
        <w:rPr>
          <w:rFonts w:ascii="Arial" w:hAnsi="Arial" w:cs="Arial"/>
          <w:sz w:val="24"/>
          <w:szCs w:val="24"/>
        </w:rPr>
        <w:t>.</w:t>
      </w:r>
    </w:p>
    <w:p w14:paraId="78683ACD" w14:textId="78FF3294" w:rsidR="00456C39" w:rsidRDefault="00456C39" w:rsidP="00456C39">
      <w:pPr>
        <w:spacing w:line="360" w:lineRule="auto"/>
        <w:ind w:firstLine="851"/>
        <w:jc w:val="both"/>
        <w:rPr>
          <w:rFonts w:ascii="Arial" w:hAnsi="Arial" w:cs="Arial"/>
          <w:sz w:val="24"/>
          <w:szCs w:val="24"/>
        </w:rPr>
      </w:pPr>
      <w:r>
        <w:rPr>
          <w:rFonts w:ascii="Arial" w:hAnsi="Arial" w:cs="Arial"/>
          <w:sz w:val="24"/>
          <w:szCs w:val="24"/>
        </w:rPr>
        <w:t xml:space="preserve">Até o item 8.3.8 deste relatório, </w:t>
      </w:r>
      <w:r w:rsidR="00CE3D30" w:rsidRPr="008A057E">
        <w:rPr>
          <w:rFonts w:ascii="Arial" w:hAnsi="Arial" w:cs="Arial"/>
          <w:b/>
          <w:sz w:val="24"/>
          <w:szCs w:val="24"/>
        </w:rPr>
        <w:t>conseguiu</w:t>
      </w:r>
      <w:r w:rsidR="008A057E" w:rsidRPr="008A057E">
        <w:rPr>
          <w:rFonts w:ascii="Arial" w:hAnsi="Arial" w:cs="Arial"/>
          <w:b/>
          <w:sz w:val="24"/>
          <w:szCs w:val="24"/>
        </w:rPr>
        <w:t>-se</w:t>
      </w:r>
      <w:r w:rsidR="00CE3D30" w:rsidRPr="008A057E">
        <w:rPr>
          <w:rFonts w:ascii="Arial" w:hAnsi="Arial" w:cs="Arial"/>
          <w:b/>
          <w:sz w:val="24"/>
          <w:szCs w:val="24"/>
        </w:rPr>
        <w:t xml:space="preserve"> fazer uma análise mais abrangente sobre as empresas beneficiárias do Fomentar/Produzir</w:t>
      </w:r>
      <w:r w:rsidR="00CE3D30">
        <w:rPr>
          <w:rFonts w:ascii="Arial" w:hAnsi="Arial" w:cs="Arial"/>
          <w:sz w:val="24"/>
          <w:szCs w:val="24"/>
        </w:rPr>
        <w:t>, visto que a requisição desta CPI contemplou todas as 595 (quinhentas e noventa e cinco) inscritas num daqueles programas</w:t>
      </w:r>
      <w:r w:rsidR="008A057E">
        <w:rPr>
          <w:rFonts w:ascii="Arial" w:hAnsi="Arial" w:cs="Arial"/>
          <w:sz w:val="24"/>
          <w:szCs w:val="24"/>
        </w:rPr>
        <w:t>.</w:t>
      </w:r>
      <w:r w:rsidR="003F26B3">
        <w:rPr>
          <w:rFonts w:ascii="Arial" w:hAnsi="Arial" w:cs="Arial"/>
          <w:sz w:val="24"/>
          <w:szCs w:val="24"/>
        </w:rPr>
        <w:t xml:space="preserve"> Tendo em vista a diversidade de base de dados entre as Secretarias de Indústria e Comércio e da Economia, nessa relação não estavam as empresas que fruíram créditos outorgados mesmo sem estarem contemplas num daqueles programas.</w:t>
      </w:r>
    </w:p>
    <w:p w14:paraId="4958CA55" w14:textId="6C2CB5DF" w:rsidR="00722594" w:rsidRDefault="008230A4" w:rsidP="00B77413">
      <w:pPr>
        <w:spacing w:line="360" w:lineRule="auto"/>
        <w:ind w:firstLine="851"/>
        <w:jc w:val="both"/>
        <w:rPr>
          <w:rFonts w:ascii="Arial" w:hAnsi="Arial" w:cs="Arial"/>
          <w:sz w:val="24"/>
          <w:szCs w:val="24"/>
        </w:rPr>
      </w:pPr>
      <w:r>
        <w:rPr>
          <w:rFonts w:ascii="Arial" w:hAnsi="Arial" w:cs="Arial"/>
          <w:sz w:val="24"/>
          <w:szCs w:val="24"/>
        </w:rPr>
        <w:t xml:space="preserve">Não obstante esse desencontro de informações, </w:t>
      </w:r>
      <w:r w:rsidRPr="00EB7C07">
        <w:rPr>
          <w:rFonts w:ascii="Arial" w:hAnsi="Arial" w:cs="Arial"/>
          <w:b/>
          <w:sz w:val="24"/>
          <w:szCs w:val="24"/>
        </w:rPr>
        <w:t>esta CPI efetuou simples pesquisa na página oficial da SEMAD</w:t>
      </w:r>
      <w:r w:rsidR="00BF32A0">
        <w:rPr>
          <w:rStyle w:val="Refdenotaderodap"/>
          <w:rFonts w:ascii="Arial" w:hAnsi="Arial" w:cs="Arial"/>
          <w:b/>
          <w:sz w:val="24"/>
          <w:szCs w:val="24"/>
        </w:rPr>
        <w:footnoteReference w:id="99"/>
      </w:r>
      <w:r w:rsidRPr="00EB7C07">
        <w:rPr>
          <w:rFonts w:ascii="Arial" w:hAnsi="Arial" w:cs="Arial"/>
          <w:b/>
          <w:sz w:val="24"/>
          <w:szCs w:val="24"/>
        </w:rPr>
        <w:t xml:space="preserve"> por certidões negativas ambientais</w:t>
      </w:r>
      <w:r>
        <w:rPr>
          <w:rFonts w:ascii="Arial" w:hAnsi="Arial" w:cs="Arial"/>
          <w:sz w:val="24"/>
          <w:szCs w:val="24"/>
        </w:rPr>
        <w:t xml:space="preserve"> em relação às empresas que, dentre as 100 (cem) maiores beneficiárias de incentivos fiscais no Estado de Goiás, aparecem com alguma pendência perante a SEMAD,</w:t>
      </w:r>
      <w:r w:rsidR="00EB7C07">
        <w:rPr>
          <w:rFonts w:ascii="Arial" w:hAnsi="Arial" w:cs="Arial"/>
          <w:sz w:val="24"/>
          <w:szCs w:val="24"/>
        </w:rPr>
        <w:t xml:space="preserve"> organizadas por empresas,</w:t>
      </w:r>
      <w:r>
        <w:rPr>
          <w:rFonts w:ascii="Arial" w:hAnsi="Arial" w:cs="Arial"/>
          <w:sz w:val="24"/>
          <w:szCs w:val="24"/>
        </w:rPr>
        <w:t xml:space="preserve"> nos seguintes termos:</w:t>
      </w:r>
    </w:p>
    <w:p w14:paraId="50C721FF" w14:textId="17B56880" w:rsidR="008230A4" w:rsidRDefault="008230A4" w:rsidP="00B77413">
      <w:pPr>
        <w:spacing w:line="360" w:lineRule="auto"/>
        <w:ind w:firstLine="851"/>
        <w:jc w:val="both"/>
        <w:rPr>
          <w:rFonts w:ascii="Arial" w:hAnsi="Arial" w:cs="Arial"/>
          <w:sz w:val="24"/>
          <w:szCs w:val="24"/>
        </w:rPr>
      </w:pPr>
    </w:p>
    <w:p w14:paraId="2576AB67" w14:textId="3B2AB5F3" w:rsidR="008230A4" w:rsidRDefault="008230A4" w:rsidP="00B77413">
      <w:pPr>
        <w:spacing w:line="360" w:lineRule="auto"/>
        <w:ind w:firstLine="851"/>
        <w:jc w:val="both"/>
        <w:rPr>
          <w:rFonts w:ascii="Arial" w:hAnsi="Arial" w:cs="Arial"/>
          <w:sz w:val="24"/>
          <w:szCs w:val="24"/>
        </w:rPr>
      </w:pPr>
    </w:p>
    <w:p w14:paraId="308668A9" w14:textId="6C60B0B0" w:rsidR="008B10C2" w:rsidRDefault="008B10C2" w:rsidP="008B10C2">
      <w:pPr>
        <w:spacing w:line="360" w:lineRule="auto"/>
        <w:jc w:val="both"/>
        <w:rPr>
          <w:rFonts w:ascii="Arial" w:hAnsi="Arial" w:cs="Arial"/>
          <w:sz w:val="24"/>
          <w:szCs w:val="24"/>
        </w:rPr>
      </w:pPr>
    </w:p>
    <w:p w14:paraId="54673F21" w14:textId="296A722F" w:rsidR="008B10C2" w:rsidRDefault="008B10C2" w:rsidP="008B10C2">
      <w:pPr>
        <w:spacing w:line="360" w:lineRule="auto"/>
        <w:jc w:val="both"/>
        <w:rPr>
          <w:rFonts w:ascii="Arial" w:hAnsi="Arial" w:cs="Arial"/>
          <w:sz w:val="24"/>
          <w:szCs w:val="24"/>
        </w:rPr>
      </w:pPr>
    </w:p>
    <w:p w14:paraId="73AB3788" w14:textId="77777777" w:rsidR="008B10C2" w:rsidRDefault="008B10C2" w:rsidP="008B10C2">
      <w:pPr>
        <w:spacing w:line="360" w:lineRule="auto"/>
        <w:jc w:val="both"/>
        <w:rPr>
          <w:rFonts w:ascii="Arial" w:hAnsi="Arial" w:cs="Arial"/>
          <w:sz w:val="24"/>
          <w:szCs w:val="24"/>
        </w:rPr>
      </w:pPr>
    </w:p>
    <w:p w14:paraId="6A271B1E" w14:textId="77777777" w:rsidR="00EB7C07" w:rsidRDefault="00EB7C07" w:rsidP="00B77413">
      <w:pPr>
        <w:spacing w:line="360" w:lineRule="auto"/>
        <w:ind w:firstLine="851"/>
        <w:jc w:val="both"/>
        <w:rPr>
          <w:rFonts w:ascii="Arial" w:hAnsi="Arial" w:cs="Arial"/>
          <w:sz w:val="24"/>
          <w:szCs w:val="24"/>
        </w:rPr>
        <w:sectPr w:rsidR="00EB7C07" w:rsidSect="00EE3640">
          <w:pgSz w:w="11900" w:h="16840"/>
          <w:pgMar w:top="2268" w:right="851" w:bottom="1134" w:left="1701" w:header="567" w:footer="284" w:gutter="0"/>
          <w:cols w:space="708"/>
          <w:docGrid w:linePitch="360"/>
        </w:sectPr>
      </w:pPr>
    </w:p>
    <w:p w14:paraId="0CE22F75" w14:textId="0D17EE8C" w:rsidR="00722594" w:rsidRDefault="00722594" w:rsidP="00B77413">
      <w:pPr>
        <w:spacing w:line="360" w:lineRule="auto"/>
        <w:ind w:firstLine="851"/>
        <w:jc w:val="both"/>
        <w:rPr>
          <w:rFonts w:ascii="Arial" w:hAnsi="Arial" w:cs="Arial"/>
          <w:sz w:val="24"/>
          <w:szCs w:val="24"/>
        </w:rPr>
      </w:pPr>
    </w:p>
    <w:p w14:paraId="62B8B1D8" w14:textId="414771AE" w:rsidR="00EB7C07" w:rsidRDefault="00EB7C07" w:rsidP="008B12BD">
      <w:pPr>
        <w:spacing w:line="360" w:lineRule="auto"/>
        <w:ind w:left="851"/>
        <w:jc w:val="both"/>
        <w:rPr>
          <w:rFonts w:ascii="Arial" w:hAnsi="Arial" w:cs="Arial"/>
          <w:sz w:val="24"/>
          <w:szCs w:val="24"/>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Layout w:type="fixed"/>
        <w:tblCellMar>
          <w:top w:w="75" w:type="dxa"/>
          <w:left w:w="75" w:type="dxa"/>
          <w:bottom w:w="75" w:type="dxa"/>
          <w:right w:w="75" w:type="dxa"/>
        </w:tblCellMar>
        <w:tblLook w:val="04A0" w:firstRow="1" w:lastRow="0" w:firstColumn="1" w:lastColumn="0" w:noHBand="0" w:noVBand="1"/>
      </w:tblPr>
      <w:tblGrid>
        <w:gridCol w:w="2545"/>
        <w:gridCol w:w="1841"/>
        <w:gridCol w:w="1560"/>
        <w:gridCol w:w="1560"/>
        <w:gridCol w:w="5916"/>
      </w:tblGrid>
      <w:tr w:rsidR="00676DA3" w:rsidRPr="0023666A" w14:paraId="2ECCF26B" w14:textId="77777777" w:rsidTr="009C3E7D">
        <w:trPr>
          <w:tblCellSpacing w:w="0" w:type="dxa"/>
          <w:jc w:val="center"/>
        </w:trPr>
        <w:tc>
          <w:tcPr>
            <w:tcW w:w="948" w:type="pct"/>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32DA382D" w14:textId="77777777" w:rsidR="00676DA3" w:rsidRPr="000024F0" w:rsidRDefault="00676DA3" w:rsidP="0079080E">
            <w:pPr>
              <w:jc w:val="center"/>
              <w:rPr>
                <w:rFonts w:ascii="Arial" w:hAnsi="Arial" w:cs="Arial"/>
                <w:b/>
                <w:sz w:val="22"/>
                <w:szCs w:val="22"/>
              </w:rPr>
            </w:pPr>
            <w:r w:rsidRPr="000024F0">
              <w:rPr>
                <w:rFonts w:ascii="Arial" w:hAnsi="Arial" w:cs="Arial"/>
                <w:b/>
                <w:sz w:val="22"/>
                <w:szCs w:val="22"/>
              </w:rPr>
              <w:t>CNPJ</w:t>
            </w:r>
          </w:p>
        </w:tc>
        <w:tc>
          <w:tcPr>
            <w:tcW w:w="686" w:type="pct"/>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78A9E385" w14:textId="77777777" w:rsidR="00676DA3" w:rsidRPr="000024F0" w:rsidRDefault="00676DA3" w:rsidP="0079080E">
            <w:pPr>
              <w:jc w:val="center"/>
              <w:rPr>
                <w:rFonts w:ascii="Arial" w:hAnsi="Arial" w:cs="Arial"/>
                <w:b/>
                <w:sz w:val="22"/>
                <w:szCs w:val="22"/>
              </w:rPr>
            </w:pPr>
            <w:r w:rsidRPr="000024F0">
              <w:rPr>
                <w:rFonts w:ascii="Arial" w:hAnsi="Arial" w:cs="Arial"/>
                <w:b/>
                <w:sz w:val="22"/>
                <w:szCs w:val="22"/>
              </w:rPr>
              <w:t>Razão Social</w:t>
            </w:r>
          </w:p>
        </w:tc>
        <w:tc>
          <w:tcPr>
            <w:tcW w:w="581" w:type="pct"/>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14:paraId="288A68F8" w14:textId="77777777" w:rsidR="00676DA3" w:rsidRPr="000024F0" w:rsidRDefault="00676DA3" w:rsidP="0079080E">
            <w:pPr>
              <w:jc w:val="center"/>
              <w:rPr>
                <w:rFonts w:ascii="Arial" w:hAnsi="Arial" w:cs="Arial"/>
                <w:b/>
                <w:sz w:val="22"/>
                <w:szCs w:val="22"/>
              </w:rPr>
            </w:pPr>
            <w:r w:rsidRPr="000024F0">
              <w:rPr>
                <w:rFonts w:ascii="Arial" w:hAnsi="Arial" w:cs="Arial"/>
                <w:b/>
                <w:sz w:val="22"/>
                <w:szCs w:val="22"/>
              </w:rPr>
              <w:t>Nº Processo (s)</w:t>
            </w:r>
          </w:p>
        </w:tc>
        <w:tc>
          <w:tcPr>
            <w:tcW w:w="581" w:type="pct"/>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60E9AB1D" w14:textId="77777777" w:rsidR="00676DA3" w:rsidRPr="000024F0" w:rsidRDefault="00676DA3" w:rsidP="0079080E">
            <w:pPr>
              <w:jc w:val="center"/>
              <w:rPr>
                <w:rFonts w:ascii="Arial" w:hAnsi="Arial" w:cs="Arial"/>
                <w:b/>
                <w:sz w:val="22"/>
                <w:szCs w:val="22"/>
              </w:rPr>
            </w:pPr>
            <w:r w:rsidRPr="000024F0">
              <w:rPr>
                <w:rFonts w:ascii="Arial" w:hAnsi="Arial" w:cs="Arial"/>
                <w:b/>
                <w:sz w:val="22"/>
                <w:szCs w:val="22"/>
              </w:rPr>
              <w:t>Estado do processo</w:t>
            </w:r>
          </w:p>
        </w:tc>
        <w:tc>
          <w:tcPr>
            <w:tcW w:w="2204" w:type="pct"/>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7F565A23" w14:textId="539DFA06" w:rsidR="00676DA3" w:rsidRPr="000024F0" w:rsidRDefault="009C3E7D" w:rsidP="0079080E">
            <w:pPr>
              <w:jc w:val="center"/>
              <w:rPr>
                <w:rFonts w:ascii="Arial" w:hAnsi="Arial" w:cs="Arial"/>
                <w:b/>
                <w:sz w:val="22"/>
                <w:szCs w:val="22"/>
                <w:shd w:val="clear" w:color="auto" w:fill="FFFFFF"/>
              </w:rPr>
            </w:pPr>
            <w:r w:rsidRPr="009C3E7D">
              <w:rPr>
                <w:rFonts w:ascii="Arial" w:hAnsi="Arial" w:cs="Arial"/>
                <w:b/>
                <w:sz w:val="22"/>
                <w:szCs w:val="22"/>
                <w:highlight w:val="lightGray"/>
                <w:shd w:val="clear" w:color="auto" w:fill="FFFFFF"/>
              </w:rPr>
              <w:t>Observações</w:t>
            </w:r>
          </w:p>
        </w:tc>
      </w:tr>
      <w:tr w:rsidR="00676DA3" w:rsidRPr="0023666A" w14:paraId="15B1C545" w14:textId="77777777" w:rsidTr="0079080E">
        <w:trPr>
          <w:tblCellSpacing w:w="0" w:type="dxa"/>
          <w:jc w:val="center"/>
        </w:trPr>
        <w:tc>
          <w:tcPr>
            <w:tcW w:w="948" w:type="pct"/>
            <w:tcBorders>
              <w:top w:val="outset" w:sz="6" w:space="0" w:color="auto"/>
              <w:left w:val="outset" w:sz="6" w:space="0" w:color="auto"/>
              <w:bottom w:val="outset" w:sz="6" w:space="0" w:color="auto"/>
              <w:right w:val="outset" w:sz="6" w:space="0" w:color="auto"/>
            </w:tcBorders>
            <w:vAlign w:val="center"/>
            <w:hideMark/>
          </w:tcPr>
          <w:p w14:paraId="077CB689"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02.916.265/0058-03</w:t>
            </w:r>
          </w:p>
        </w:tc>
        <w:tc>
          <w:tcPr>
            <w:tcW w:w="686" w:type="pct"/>
            <w:tcBorders>
              <w:top w:val="outset" w:sz="6" w:space="0" w:color="auto"/>
              <w:left w:val="outset" w:sz="6" w:space="0" w:color="auto"/>
              <w:bottom w:val="outset" w:sz="6" w:space="0" w:color="auto"/>
              <w:right w:val="outset" w:sz="6" w:space="0" w:color="auto"/>
            </w:tcBorders>
            <w:vAlign w:val="center"/>
            <w:hideMark/>
          </w:tcPr>
          <w:p w14:paraId="56735A12"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JBS S/A</w:t>
            </w:r>
          </w:p>
        </w:tc>
        <w:tc>
          <w:tcPr>
            <w:tcW w:w="581" w:type="pct"/>
            <w:tcBorders>
              <w:top w:val="outset" w:sz="6" w:space="0" w:color="auto"/>
              <w:left w:val="outset" w:sz="6" w:space="0" w:color="auto"/>
              <w:bottom w:val="outset" w:sz="6" w:space="0" w:color="auto"/>
              <w:right w:val="outset" w:sz="6" w:space="0" w:color="auto"/>
            </w:tcBorders>
            <w:vAlign w:val="center"/>
            <w:hideMark/>
          </w:tcPr>
          <w:p w14:paraId="22533623"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16462/2013</w:t>
            </w:r>
          </w:p>
        </w:tc>
        <w:tc>
          <w:tcPr>
            <w:tcW w:w="581" w:type="pct"/>
            <w:tcBorders>
              <w:top w:val="outset" w:sz="6" w:space="0" w:color="auto"/>
              <w:left w:val="outset" w:sz="6" w:space="0" w:color="auto"/>
              <w:bottom w:val="outset" w:sz="6" w:space="0" w:color="auto"/>
              <w:right w:val="outset" w:sz="6" w:space="0" w:color="auto"/>
            </w:tcBorders>
          </w:tcPr>
          <w:p w14:paraId="6D50AF22"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Julgado em definitivo 1ª Instância</w:t>
            </w:r>
          </w:p>
        </w:tc>
        <w:tc>
          <w:tcPr>
            <w:tcW w:w="2204" w:type="pct"/>
            <w:tcBorders>
              <w:top w:val="outset" w:sz="6" w:space="0" w:color="auto"/>
              <w:left w:val="outset" w:sz="6" w:space="0" w:color="auto"/>
              <w:bottom w:val="outset" w:sz="6" w:space="0" w:color="auto"/>
              <w:right w:val="outset" w:sz="6" w:space="0" w:color="auto"/>
            </w:tcBorders>
          </w:tcPr>
          <w:p w14:paraId="4B5BA410" w14:textId="6D3C51D2" w:rsidR="00676DA3" w:rsidRPr="000024F0" w:rsidRDefault="00676DA3" w:rsidP="0079080E">
            <w:pPr>
              <w:jc w:val="both"/>
              <w:rPr>
                <w:rFonts w:ascii="Arial" w:hAnsi="Arial" w:cs="Arial"/>
                <w:sz w:val="22"/>
                <w:szCs w:val="22"/>
              </w:rPr>
            </w:pPr>
            <w:r w:rsidRPr="000024F0">
              <w:rPr>
                <w:rFonts w:ascii="Arial" w:hAnsi="Arial" w:cs="Arial"/>
                <w:sz w:val="22"/>
                <w:szCs w:val="22"/>
                <w:shd w:val="clear" w:color="auto" w:fill="FFFFFF"/>
              </w:rPr>
              <w:t>Auto de Infração n</w:t>
            </w:r>
            <w:r>
              <w:rPr>
                <w:rFonts w:ascii="Arial" w:hAnsi="Arial" w:cs="Arial"/>
                <w:sz w:val="22"/>
                <w:szCs w:val="22"/>
                <w:shd w:val="clear" w:color="auto" w:fill="FFFFFF"/>
              </w:rPr>
              <w:t>º</w:t>
            </w:r>
            <w:r w:rsidRPr="000024F0">
              <w:rPr>
                <w:rFonts w:ascii="Arial" w:hAnsi="Arial" w:cs="Arial"/>
                <w:sz w:val="22"/>
                <w:szCs w:val="22"/>
                <w:shd w:val="clear" w:color="auto" w:fill="FFFFFF"/>
              </w:rPr>
              <w:t xml:space="preserve"> 2103 – Série</w:t>
            </w:r>
            <w:r>
              <w:rPr>
                <w:rFonts w:ascii="Arial" w:hAnsi="Arial" w:cs="Arial"/>
                <w:sz w:val="22"/>
                <w:szCs w:val="22"/>
                <w:shd w:val="clear" w:color="auto" w:fill="FFFFFF"/>
              </w:rPr>
              <w:t>-</w:t>
            </w:r>
            <w:r w:rsidRPr="000024F0">
              <w:rPr>
                <w:rFonts w:ascii="Arial" w:hAnsi="Arial" w:cs="Arial"/>
                <w:sz w:val="22"/>
                <w:szCs w:val="22"/>
                <w:shd w:val="clear" w:color="auto" w:fill="FFFFFF"/>
              </w:rPr>
              <w:t xml:space="preserve">B – </w:t>
            </w:r>
            <w:r w:rsidR="006A018D" w:rsidRPr="000024F0">
              <w:rPr>
                <w:rFonts w:ascii="Arial" w:hAnsi="Arial" w:cs="Arial"/>
                <w:sz w:val="22"/>
                <w:szCs w:val="22"/>
                <w:shd w:val="clear" w:color="auto" w:fill="FFFFFF"/>
              </w:rPr>
              <w:t xml:space="preserve">Descumprimento </w:t>
            </w:r>
            <w:r w:rsidRPr="000024F0">
              <w:rPr>
                <w:rFonts w:ascii="Arial" w:hAnsi="Arial" w:cs="Arial"/>
                <w:sz w:val="22"/>
                <w:szCs w:val="22"/>
                <w:shd w:val="clear" w:color="auto" w:fill="FFFFFF"/>
              </w:rPr>
              <w:t xml:space="preserve">das exigências técnicas constante na </w:t>
            </w:r>
            <w:r w:rsidR="00254DF0" w:rsidRPr="000024F0">
              <w:rPr>
                <w:rFonts w:ascii="Arial" w:hAnsi="Arial" w:cs="Arial"/>
                <w:sz w:val="22"/>
                <w:szCs w:val="22"/>
                <w:shd w:val="clear" w:color="auto" w:fill="FFFFFF"/>
              </w:rPr>
              <w:t xml:space="preserve">Advertência </w:t>
            </w:r>
            <w:r w:rsidRPr="000024F0">
              <w:rPr>
                <w:rFonts w:ascii="Arial" w:hAnsi="Arial" w:cs="Arial"/>
                <w:sz w:val="22"/>
                <w:szCs w:val="22"/>
                <w:shd w:val="clear" w:color="auto" w:fill="FFFFFF"/>
              </w:rPr>
              <w:t>n. 6948, para a estação de tratamento de efluente liquido industrial.</w:t>
            </w:r>
          </w:p>
        </w:tc>
      </w:tr>
      <w:tr w:rsidR="00676DA3" w:rsidRPr="0023666A" w14:paraId="005E25C6" w14:textId="77777777" w:rsidTr="0079080E">
        <w:trPr>
          <w:tblCellSpacing w:w="0" w:type="dxa"/>
          <w:jc w:val="center"/>
        </w:trPr>
        <w:tc>
          <w:tcPr>
            <w:tcW w:w="948" w:type="pct"/>
            <w:tcBorders>
              <w:top w:val="outset" w:sz="6" w:space="0" w:color="auto"/>
              <w:left w:val="outset" w:sz="6" w:space="0" w:color="auto"/>
              <w:bottom w:val="outset" w:sz="6" w:space="0" w:color="auto"/>
              <w:right w:val="outset" w:sz="6" w:space="0" w:color="auto"/>
            </w:tcBorders>
            <w:vAlign w:val="center"/>
          </w:tcPr>
          <w:p w14:paraId="5FE9982B"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02.916.265/0200-04</w:t>
            </w:r>
          </w:p>
        </w:tc>
        <w:tc>
          <w:tcPr>
            <w:tcW w:w="686" w:type="pct"/>
            <w:tcBorders>
              <w:top w:val="outset" w:sz="6" w:space="0" w:color="auto"/>
              <w:left w:val="outset" w:sz="6" w:space="0" w:color="auto"/>
              <w:bottom w:val="outset" w:sz="6" w:space="0" w:color="auto"/>
              <w:right w:val="outset" w:sz="6" w:space="0" w:color="auto"/>
            </w:tcBorders>
            <w:vAlign w:val="center"/>
          </w:tcPr>
          <w:p w14:paraId="1F7F9AFD"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JBS S/A</w:t>
            </w:r>
          </w:p>
        </w:tc>
        <w:tc>
          <w:tcPr>
            <w:tcW w:w="581" w:type="pct"/>
            <w:tcBorders>
              <w:top w:val="outset" w:sz="6" w:space="0" w:color="auto"/>
              <w:left w:val="outset" w:sz="6" w:space="0" w:color="auto"/>
              <w:bottom w:val="outset" w:sz="6" w:space="0" w:color="auto"/>
              <w:right w:val="outset" w:sz="6" w:space="0" w:color="auto"/>
            </w:tcBorders>
            <w:vAlign w:val="center"/>
          </w:tcPr>
          <w:p w14:paraId="7D69AEED"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4026/2015</w:t>
            </w:r>
          </w:p>
        </w:tc>
        <w:tc>
          <w:tcPr>
            <w:tcW w:w="581" w:type="pct"/>
            <w:tcBorders>
              <w:top w:val="outset" w:sz="6" w:space="0" w:color="auto"/>
              <w:left w:val="outset" w:sz="6" w:space="0" w:color="auto"/>
              <w:bottom w:val="outset" w:sz="6" w:space="0" w:color="auto"/>
              <w:right w:val="outset" w:sz="6" w:space="0" w:color="auto"/>
            </w:tcBorders>
            <w:vAlign w:val="center"/>
          </w:tcPr>
          <w:p w14:paraId="5A68C430"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Pago dívida ativa</w:t>
            </w:r>
          </w:p>
        </w:tc>
        <w:tc>
          <w:tcPr>
            <w:tcW w:w="2204" w:type="pct"/>
            <w:tcBorders>
              <w:top w:val="outset" w:sz="6" w:space="0" w:color="auto"/>
              <w:left w:val="outset" w:sz="6" w:space="0" w:color="auto"/>
              <w:bottom w:val="outset" w:sz="6" w:space="0" w:color="auto"/>
              <w:right w:val="outset" w:sz="6" w:space="0" w:color="auto"/>
            </w:tcBorders>
            <w:vAlign w:val="center"/>
          </w:tcPr>
          <w:p w14:paraId="003B5CA7" w14:textId="77777777" w:rsidR="00676DA3" w:rsidRPr="000024F0" w:rsidRDefault="00676DA3" w:rsidP="0079080E">
            <w:pPr>
              <w:jc w:val="both"/>
              <w:rPr>
                <w:rFonts w:ascii="Arial" w:hAnsi="Arial" w:cs="Arial"/>
                <w:sz w:val="22"/>
                <w:szCs w:val="22"/>
                <w:shd w:val="clear" w:color="auto" w:fill="FFFFFF"/>
              </w:rPr>
            </w:pPr>
            <w:r w:rsidRPr="000024F0">
              <w:rPr>
                <w:rFonts w:ascii="Arial" w:hAnsi="Arial" w:cs="Arial"/>
                <w:sz w:val="22"/>
                <w:szCs w:val="22"/>
                <w:shd w:val="clear" w:color="auto" w:fill="FFFFFF"/>
              </w:rPr>
              <w:t>Auto de Infração nº 4123 – Série-B – Pelo não atendimento do auto de advertência nº 3344 Série-B, no que diz respeito a promover a limpeza da vegetação que está crescendo sobre a crosta das lagoas anaeróbias.</w:t>
            </w:r>
          </w:p>
        </w:tc>
      </w:tr>
      <w:tr w:rsidR="00676DA3" w:rsidRPr="0023666A" w14:paraId="0E27376A" w14:textId="77777777" w:rsidTr="0079080E">
        <w:trPr>
          <w:tblCellSpacing w:w="0" w:type="dxa"/>
          <w:jc w:val="center"/>
        </w:trPr>
        <w:tc>
          <w:tcPr>
            <w:tcW w:w="948" w:type="pct"/>
            <w:tcBorders>
              <w:top w:val="outset" w:sz="6" w:space="0" w:color="auto"/>
              <w:left w:val="outset" w:sz="6" w:space="0" w:color="auto"/>
              <w:bottom w:val="outset" w:sz="6" w:space="0" w:color="auto"/>
              <w:right w:val="outset" w:sz="6" w:space="0" w:color="auto"/>
            </w:tcBorders>
            <w:vAlign w:val="center"/>
          </w:tcPr>
          <w:p w14:paraId="36DBCBC3"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02.916.265/0200-04</w:t>
            </w:r>
          </w:p>
        </w:tc>
        <w:tc>
          <w:tcPr>
            <w:tcW w:w="686" w:type="pct"/>
            <w:tcBorders>
              <w:top w:val="outset" w:sz="6" w:space="0" w:color="auto"/>
              <w:left w:val="outset" w:sz="6" w:space="0" w:color="auto"/>
              <w:bottom w:val="outset" w:sz="6" w:space="0" w:color="auto"/>
              <w:right w:val="outset" w:sz="6" w:space="0" w:color="auto"/>
            </w:tcBorders>
            <w:vAlign w:val="center"/>
          </w:tcPr>
          <w:p w14:paraId="2924CDD9"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JBS S/A</w:t>
            </w:r>
          </w:p>
        </w:tc>
        <w:tc>
          <w:tcPr>
            <w:tcW w:w="581" w:type="pct"/>
            <w:tcBorders>
              <w:top w:val="outset" w:sz="6" w:space="0" w:color="auto"/>
              <w:left w:val="outset" w:sz="6" w:space="0" w:color="auto"/>
              <w:bottom w:val="outset" w:sz="6" w:space="0" w:color="auto"/>
              <w:right w:val="outset" w:sz="6" w:space="0" w:color="auto"/>
            </w:tcBorders>
            <w:vAlign w:val="center"/>
          </w:tcPr>
          <w:p w14:paraId="03F9BFC6"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4646/2016</w:t>
            </w:r>
          </w:p>
        </w:tc>
        <w:tc>
          <w:tcPr>
            <w:tcW w:w="581" w:type="pct"/>
            <w:tcBorders>
              <w:top w:val="outset" w:sz="6" w:space="0" w:color="auto"/>
              <w:left w:val="outset" w:sz="6" w:space="0" w:color="auto"/>
              <w:bottom w:val="outset" w:sz="6" w:space="0" w:color="auto"/>
              <w:right w:val="outset" w:sz="6" w:space="0" w:color="auto"/>
            </w:tcBorders>
            <w:vAlign w:val="center"/>
          </w:tcPr>
          <w:p w14:paraId="1F3EBC6A"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Auto Pago</w:t>
            </w:r>
          </w:p>
        </w:tc>
        <w:tc>
          <w:tcPr>
            <w:tcW w:w="2204" w:type="pct"/>
            <w:tcBorders>
              <w:top w:val="outset" w:sz="6" w:space="0" w:color="auto"/>
              <w:left w:val="outset" w:sz="6" w:space="0" w:color="auto"/>
              <w:bottom w:val="outset" w:sz="6" w:space="0" w:color="auto"/>
              <w:right w:val="outset" w:sz="6" w:space="0" w:color="auto"/>
            </w:tcBorders>
            <w:vAlign w:val="center"/>
          </w:tcPr>
          <w:p w14:paraId="5138E147" w14:textId="79C116E1" w:rsidR="00676DA3" w:rsidRPr="000024F0" w:rsidRDefault="00676DA3" w:rsidP="006A018D">
            <w:pPr>
              <w:jc w:val="both"/>
              <w:rPr>
                <w:rFonts w:ascii="Arial" w:hAnsi="Arial" w:cs="Arial"/>
                <w:sz w:val="22"/>
                <w:szCs w:val="22"/>
                <w:shd w:val="clear" w:color="auto" w:fill="FFFFFF"/>
              </w:rPr>
            </w:pPr>
            <w:r w:rsidRPr="000024F0">
              <w:rPr>
                <w:rFonts w:ascii="Arial" w:hAnsi="Arial" w:cs="Arial"/>
                <w:sz w:val="22"/>
                <w:szCs w:val="22"/>
              </w:rPr>
              <w:t xml:space="preserve">Rodovia GO 020 KM 10 - FRIGORIFICO </w:t>
            </w:r>
            <w:r w:rsidR="006A018D">
              <w:rPr>
                <w:rFonts w:ascii="Arial" w:hAnsi="Arial" w:cs="Arial"/>
                <w:sz w:val="22"/>
                <w:szCs w:val="22"/>
              </w:rPr>
              <w:t>–</w:t>
            </w:r>
            <w:r w:rsidRPr="000024F0">
              <w:rPr>
                <w:rFonts w:ascii="Arial" w:hAnsi="Arial" w:cs="Arial"/>
                <w:sz w:val="22"/>
                <w:szCs w:val="22"/>
              </w:rPr>
              <w:t xml:space="preserve"> Senador Canedo</w:t>
            </w:r>
            <w:r w:rsidR="006A018D">
              <w:rPr>
                <w:rFonts w:ascii="Arial" w:hAnsi="Arial" w:cs="Arial"/>
                <w:sz w:val="22"/>
                <w:szCs w:val="22"/>
              </w:rPr>
              <w:t xml:space="preserve">. </w:t>
            </w:r>
            <w:r w:rsidRPr="000024F0">
              <w:rPr>
                <w:rFonts w:ascii="Arial" w:hAnsi="Arial" w:cs="Arial"/>
                <w:sz w:val="22"/>
                <w:szCs w:val="22"/>
                <w:shd w:val="clear" w:color="auto" w:fill="FFFFFF"/>
              </w:rPr>
              <w:t>Auto de Infração número 4627 – Série-B – deixar de atender os itens das exigências técnicas complementares – 03,06,08 e 18 - das licença de funcionamento número 472/2014.</w:t>
            </w:r>
          </w:p>
        </w:tc>
      </w:tr>
      <w:tr w:rsidR="00676DA3" w:rsidRPr="0023666A" w14:paraId="459DEF00" w14:textId="77777777" w:rsidTr="0079080E">
        <w:trPr>
          <w:tblCellSpacing w:w="0" w:type="dxa"/>
          <w:jc w:val="center"/>
        </w:trPr>
        <w:tc>
          <w:tcPr>
            <w:tcW w:w="948" w:type="pct"/>
            <w:tcBorders>
              <w:top w:val="outset" w:sz="6" w:space="0" w:color="auto"/>
              <w:left w:val="outset" w:sz="6" w:space="0" w:color="auto"/>
              <w:bottom w:val="outset" w:sz="6" w:space="0" w:color="auto"/>
              <w:right w:val="outset" w:sz="6" w:space="0" w:color="auto"/>
            </w:tcBorders>
            <w:vAlign w:val="center"/>
          </w:tcPr>
          <w:p w14:paraId="11859016"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02.916.265/0200-04</w:t>
            </w:r>
          </w:p>
        </w:tc>
        <w:tc>
          <w:tcPr>
            <w:tcW w:w="686" w:type="pct"/>
            <w:tcBorders>
              <w:top w:val="outset" w:sz="6" w:space="0" w:color="auto"/>
              <w:left w:val="outset" w:sz="6" w:space="0" w:color="auto"/>
              <w:bottom w:val="outset" w:sz="6" w:space="0" w:color="auto"/>
              <w:right w:val="outset" w:sz="6" w:space="0" w:color="auto"/>
            </w:tcBorders>
            <w:vAlign w:val="center"/>
          </w:tcPr>
          <w:p w14:paraId="4BF566C5"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JBS S/A</w:t>
            </w:r>
          </w:p>
        </w:tc>
        <w:tc>
          <w:tcPr>
            <w:tcW w:w="581" w:type="pct"/>
            <w:tcBorders>
              <w:top w:val="outset" w:sz="6" w:space="0" w:color="auto"/>
              <w:left w:val="outset" w:sz="6" w:space="0" w:color="auto"/>
              <w:bottom w:val="outset" w:sz="6" w:space="0" w:color="auto"/>
              <w:right w:val="outset" w:sz="6" w:space="0" w:color="auto"/>
            </w:tcBorders>
            <w:vAlign w:val="center"/>
          </w:tcPr>
          <w:p w14:paraId="2074780C"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8858/2016</w:t>
            </w:r>
          </w:p>
        </w:tc>
        <w:tc>
          <w:tcPr>
            <w:tcW w:w="581" w:type="pct"/>
            <w:tcBorders>
              <w:top w:val="outset" w:sz="6" w:space="0" w:color="auto"/>
              <w:left w:val="outset" w:sz="6" w:space="0" w:color="auto"/>
              <w:bottom w:val="outset" w:sz="6" w:space="0" w:color="auto"/>
              <w:right w:val="outset" w:sz="6" w:space="0" w:color="auto"/>
            </w:tcBorders>
            <w:vAlign w:val="center"/>
          </w:tcPr>
          <w:p w14:paraId="2F2E2E17"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Fase de Recurso</w:t>
            </w:r>
          </w:p>
        </w:tc>
        <w:tc>
          <w:tcPr>
            <w:tcW w:w="2204" w:type="pct"/>
            <w:tcBorders>
              <w:top w:val="outset" w:sz="6" w:space="0" w:color="auto"/>
              <w:left w:val="outset" w:sz="6" w:space="0" w:color="auto"/>
              <w:bottom w:val="outset" w:sz="6" w:space="0" w:color="auto"/>
              <w:right w:val="outset" w:sz="6" w:space="0" w:color="auto"/>
            </w:tcBorders>
            <w:vAlign w:val="center"/>
          </w:tcPr>
          <w:p w14:paraId="4EF91B6C" w14:textId="0ED86685" w:rsidR="00676DA3" w:rsidRPr="000024F0" w:rsidRDefault="00676DA3" w:rsidP="006A018D">
            <w:pPr>
              <w:jc w:val="both"/>
              <w:rPr>
                <w:rFonts w:ascii="Arial" w:hAnsi="Arial" w:cs="Arial"/>
                <w:sz w:val="22"/>
                <w:szCs w:val="22"/>
                <w:shd w:val="clear" w:color="auto" w:fill="FFFFFF"/>
              </w:rPr>
            </w:pPr>
            <w:r w:rsidRPr="000024F0">
              <w:rPr>
                <w:rFonts w:ascii="Arial" w:hAnsi="Arial" w:cs="Arial"/>
                <w:sz w:val="22"/>
                <w:szCs w:val="22"/>
              </w:rPr>
              <w:t>Rodovia GO 020 KM 10 – Frigorífico – Senador Canedo</w:t>
            </w:r>
            <w:r w:rsidR="006A018D">
              <w:rPr>
                <w:rFonts w:ascii="Arial" w:hAnsi="Arial" w:cs="Arial"/>
                <w:sz w:val="22"/>
                <w:szCs w:val="22"/>
              </w:rPr>
              <w:t xml:space="preserve">. </w:t>
            </w:r>
            <w:r w:rsidRPr="000024F0">
              <w:rPr>
                <w:rFonts w:ascii="Arial" w:hAnsi="Arial" w:cs="Arial"/>
                <w:sz w:val="22"/>
                <w:szCs w:val="22"/>
                <w:shd w:val="clear" w:color="auto" w:fill="FFFFFF"/>
              </w:rPr>
              <w:t xml:space="preserve">Auto de Infração nº 4168 – Série-B – </w:t>
            </w:r>
            <w:r w:rsidR="006A018D" w:rsidRPr="000024F0">
              <w:rPr>
                <w:rFonts w:ascii="Arial" w:hAnsi="Arial" w:cs="Arial"/>
                <w:sz w:val="22"/>
                <w:szCs w:val="22"/>
                <w:shd w:val="clear" w:color="auto" w:fill="FFFFFF"/>
              </w:rPr>
              <w:t xml:space="preserve">Deixar </w:t>
            </w:r>
            <w:r w:rsidRPr="000024F0">
              <w:rPr>
                <w:rFonts w:ascii="Arial" w:hAnsi="Arial" w:cs="Arial"/>
                <w:sz w:val="22"/>
                <w:szCs w:val="22"/>
                <w:shd w:val="clear" w:color="auto" w:fill="FFFFFF"/>
              </w:rPr>
              <w:t>de comunicar o órgão ambiental sobre o acidente ocorrido na planta do empreendimento, referente ao vazamento de gás amônia, no dia 20/09/2016, descumprindo as cond. da LF 472/2014/causar poluição atmosférica.</w:t>
            </w:r>
          </w:p>
        </w:tc>
      </w:tr>
      <w:tr w:rsidR="00676DA3" w:rsidRPr="0023666A" w14:paraId="07AC80E2" w14:textId="77777777" w:rsidTr="0079080E">
        <w:trPr>
          <w:tblCellSpacing w:w="0" w:type="dxa"/>
          <w:jc w:val="center"/>
        </w:trPr>
        <w:tc>
          <w:tcPr>
            <w:tcW w:w="948" w:type="pct"/>
            <w:tcBorders>
              <w:top w:val="outset" w:sz="6" w:space="0" w:color="auto"/>
              <w:left w:val="outset" w:sz="6" w:space="0" w:color="auto"/>
              <w:bottom w:val="outset" w:sz="6" w:space="0" w:color="auto"/>
              <w:right w:val="outset" w:sz="6" w:space="0" w:color="auto"/>
            </w:tcBorders>
            <w:vAlign w:val="center"/>
          </w:tcPr>
          <w:p w14:paraId="56E6BB00"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02.916.265/0231-00</w:t>
            </w:r>
          </w:p>
        </w:tc>
        <w:tc>
          <w:tcPr>
            <w:tcW w:w="686" w:type="pct"/>
            <w:tcBorders>
              <w:top w:val="outset" w:sz="6" w:space="0" w:color="auto"/>
              <w:left w:val="outset" w:sz="6" w:space="0" w:color="auto"/>
              <w:bottom w:val="outset" w:sz="6" w:space="0" w:color="auto"/>
              <w:right w:val="outset" w:sz="6" w:space="0" w:color="auto"/>
            </w:tcBorders>
            <w:vAlign w:val="center"/>
          </w:tcPr>
          <w:p w14:paraId="6CA0CD55"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JBS S/A</w:t>
            </w:r>
          </w:p>
        </w:tc>
        <w:tc>
          <w:tcPr>
            <w:tcW w:w="581" w:type="pct"/>
            <w:tcBorders>
              <w:top w:val="outset" w:sz="6" w:space="0" w:color="auto"/>
              <w:left w:val="outset" w:sz="6" w:space="0" w:color="auto"/>
              <w:bottom w:val="outset" w:sz="6" w:space="0" w:color="auto"/>
              <w:right w:val="outset" w:sz="6" w:space="0" w:color="auto"/>
            </w:tcBorders>
            <w:vAlign w:val="center"/>
          </w:tcPr>
          <w:p w14:paraId="6FF22A04"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6896/2016</w:t>
            </w:r>
          </w:p>
        </w:tc>
        <w:tc>
          <w:tcPr>
            <w:tcW w:w="581" w:type="pct"/>
            <w:tcBorders>
              <w:top w:val="outset" w:sz="6" w:space="0" w:color="auto"/>
              <w:left w:val="outset" w:sz="6" w:space="0" w:color="auto"/>
              <w:bottom w:val="outset" w:sz="6" w:space="0" w:color="auto"/>
              <w:right w:val="outset" w:sz="6" w:space="0" w:color="auto"/>
            </w:tcBorders>
            <w:vAlign w:val="center"/>
          </w:tcPr>
          <w:p w14:paraId="3842CA46"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Fase de Recurso</w:t>
            </w:r>
          </w:p>
        </w:tc>
        <w:tc>
          <w:tcPr>
            <w:tcW w:w="2204" w:type="pct"/>
            <w:tcBorders>
              <w:top w:val="outset" w:sz="6" w:space="0" w:color="auto"/>
              <w:left w:val="outset" w:sz="6" w:space="0" w:color="auto"/>
              <w:bottom w:val="outset" w:sz="6" w:space="0" w:color="auto"/>
              <w:right w:val="outset" w:sz="6" w:space="0" w:color="auto"/>
            </w:tcBorders>
            <w:vAlign w:val="center"/>
          </w:tcPr>
          <w:p w14:paraId="1908F505" w14:textId="2E62399E" w:rsidR="00676DA3" w:rsidRPr="000024F0" w:rsidRDefault="00676DA3" w:rsidP="006A018D">
            <w:pPr>
              <w:jc w:val="both"/>
              <w:rPr>
                <w:rFonts w:ascii="Arial" w:hAnsi="Arial" w:cs="Arial"/>
                <w:sz w:val="22"/>
                <w:szCs w:val="22"/>
              </w:rPr>
            </w:pPr>
            <w:r w:rsidRPr="000024F0">
              <w:rPr>
                <w:rFonts w:ascii="Arial" w:hAnsi="Arial" w:cs="Arial"/>
                <w:sz w:val="22"/>
                <w:szCs w:val="22"/>
              </w:rPr>
              <w:t>Rodovia BR 364 KM 55</w:t>
            </w:r>
            <w:r w:rsidR="006A018D">
              <w:rPr>
                <w:rFonts w:ascii="Arial" w:hAnsi="Arial" w:cs="Arial"/>
                <w:sz w:val="22"/>
                <w:szCs w:val="22"/>
              </w:rPr>
              <w:t xml:space="preserve">. </w:t>
            </w:r>
            <w:r w:rsidRPr="000024F0">
              <w:rPr>
                <w:rFonts w:ascii="Arial" w:hAnsi="Arial" w:cs="Arial"/>
                <w:sz w:val="22"/>
                <w:szCs w:val="22"/>
                <w:shd w:val="clear" w:color="auto" w:fill="FFFFFF"/>
              </w:rPr>
              <w:t>Auto de Infração n° 3391 – Serie-B – Por fazer funcionar atividade potencialmente poluidora sem licenciamento ambiental, contrariando as normas legais e regulamentos pertinentes. Referente ao processo n° 21221/2013</w:t>
            </w:r>
          </w:p>
        </w:tc>
      </w:tr>
      <w:tr w:rsidR="00676DA3" w:rsidRPr="0023666A" w14:paraId="0208BDBA" w14:textId="77777777" w:rsidTr="0079080E">
        <w:trPr>
          <w:tblCellSpacing w:w="0" w:type="dxa"/>
          <w:jc w:val="center"/>
        </w:trPr>
        <w:tc>
          <w:tcPr>
            <w:tcW w:w="948" w:type="pct"/>
            <w:tcBorders>
              <w:top w:val="outset" w:sz="6" w:space="0" w:color="auto"/>
              <w:left w:val="outset" w:sz="6" w:space="0" w:color="auto"/>
              <w:bottom w:val="outset" w:sz="6" w:space="0" w:color="auto"/>
              <w:right w:val="outset" w:sz="6" w:space="0" w:color="auto"/>
            </w:tcBorders>
            <w:vAlign w:val="center"/>
          </w:tcPr>
          <w:p w14:paraId="7FD91D30"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02.916.265/0083-06</w:t>
            </w:r>
          </w:p>
        </w:tc>
        <w:tc>
          <w:tcPr>
            <w:tcW w:w="686" w:type="pct"/>
            <w:tcBorders>
              <w:top w:val="outset" w:sz="6" w:space="0" w:color="auto"/>
              <w:left w:val="outset" w:sz="6" w:space="0" w:color="auto"/>
              <w:bottom w:val="outset" w:sz="6" w:space="0" w:color="auto"/>
              <w:right w:val="outset" w:sz="6" w:space="0" w:color="auto"/>
            </w:tcBorders>
            <w:vAlign w:val="center"/>
          </w:tcPr>
          <w:p w14:paraId="4741B864"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JBS S/A</w:t>
            </w:r>
          </w:p>
        </w:tc>
        <w:tc>
          <w:tcPr>
            <w:tcW w:w="581" w:type="pct"/>
            <w:tcBorders>
              <w:top w:val="outset" w:sz="6" w:space="0" w:color="auto"/>
              <w:left w:val="outset" w:sz="6" w:space="0" w:color="auto"/>
              <w:bottom w:val="outset" w:sz="6" w:space="0" w:color="auto"/>
              <w:right w:val="outset" w:sz="6" w:space="0" w:color="auto"/>
            </w:tcBorders>
            <w:vAlign w:val="center"/>
          </w:tcPr>
          <w:p w14:paraId="3F4BBB34"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9965/2018</w:t>
            </w:r>
          </w:p>
        </w:tc>
        <w:tc>
          <w:tcPr>
            <w:tcW w:w="581" w:type="pct"/>
            <w:tcBorders>
              <w:top w:val="outset" w:sz="6" w:space="0" w:color="auto"/>
              <w:left w:val="outset" w:sz="6" w:space="0" w:color="auto"/>
              <w:bottom w:val="outset" w:sz="6" w:space="0" w:color="auto"/>
              <w:right w:val="outset" w:sz="6" w:space="0" w:color="auto"/>
            </w:tcBorders>
            <w:vAlign w:val="center"/>
          </w:tcPr>
          <w:p w14:paraId="5759A2CA"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Auto Pago</w:t>
            </w:r>
          </w:p>
        </w:tc>
        <w:tc>
          <w:tcPr>
            <w:tcW w:w="2204" w:type="pct"/>
            <w:tcBorders>
              <w:top w:val="outset" w:sz="6" w:space="0" w:color="auto"/>
              <w:left w:val="outset" w:sz="6" w:space="0" w:color="auto"/>
              <w:bottom w:val="outset" w:sz="6" w:space="0" w:color="auto"/>
              <w:right w:val="outset" w:sz="6" w:space="0" w:color="auto"/>
            </w:tcBorders>
            <w:vAlign w:val="center"/>
          </w:tcPr>
          <w:p w14:paraId="24C7049D" w14:textId="5AD115D7" w:rsidR="00676DA3" w:rsidRPr="000024F0" w:rsidRDefault="00676DA3" w:rsidP="0079080E">
            <w:pPr>
              <w:jc w:val="both"/>
              <w:rPr>
                <w:rFonts w:ascii="Arial" w:hAnsi="Arial" w:cs="Arial"/>
                <w:sz w:val="22"/>
                <w:szCs w:val="22"/>
              </w:rPr>
            </w:pPr>
            <w:r w:rsidRPr="000024F0">
              <w:rPr>
                <w:rFonts w:ascii="Arial" w:hAnsi="Arial" w:cs="Arial"/>
                <w:sz w:val="22"/>
                <w:szCs w:val="22"/>
                <w:shd w:val="clear" w:color="auto" w:fill="FFFFFF"/>
              </w:rPr>
              <w:t xml:space="preserve">Auto de Infração nº 5129 – Série-B – e </w:t>
            </w:r>
            <w:r w:rsidR="005E2575" w:rsidRPr="000024F0">
              <w:rPr>
                <w:rFonts w:ascii="Arial" w:hAnsi="Arial" w:cs="Arial"/>
                <w:sz w:val="22"/>
                <w:szCs w:val="22"/>
                <w:shd w:val="clear" w:color="auto" w:fill="FFFFFF"/>
              </w:rPr>
              <w:t xml:space="preserve">Auto </w:t>
            </w:r>
            <w:r w:rsidRPr="000024F0">
              <w:rPr>
                <w:rFonts w:ascii="Arial" w:hAnsi="Arial" w:cs="Arial"/>
                <w:sz w:val="22"/>
                <w:szCs w:val="22"/>
                <w:shd w:val="clear" w:color="auto" w:fill="FFFFFF"/>
              </w:rPr>
              <w:t xml:space="preserve">de </w:t>
            </w:r>
            <w:r w:rsidR="005E2575" w:rsidRPr="000024F0">
              <w:rPr>
                <w:rFonts w:ascii="Arial" w:hAnsi="Arial" w:cs="Arial"/>
                <w:sz w:val="22"/>
                <w:szCs w:val="22"/>
                <w:shd w:val="clear" w:color="auto" w:fill="FFFFFF"/>
              </w:rPr>
              <w:t xml:space="preserve">Advertência </w:t>
            </w:r>
            <w:r w:rsidRPr="000024F0">
              <w:rPr>
                <w:rFonts w:ascii="Arial" w:hAnsi="Arial" w:cs="Arial"/>
                <w:sz w:val="22"/>
                <w:szCs w:val="22"/>
                <w:shd w:val="clear" w:color="auto" w:fill="FFFFFF"/>
              </w:rPr>
              <w:t>nº 3904 – Sé</w:t>
            </w:r>
            <w:r w:rsidR="005E2575">
              <w:rPr>
                <w:rFonts w:ascii="Arial" w:hAnsi="Arial" w:cs="Arial"/>
                <w:sz w:val="22"/>
                <w:szCs w:val="22"/>
                <w:shd w:val="clear" w:color="auto" w:fill="FFFFFF"/>
              </w:rPr>
              <w:t>rie-</w:t>
            </w:r>
            <w:r w:rsidRPr="000024F0">
              <w:rPr>
                <w:rFonts w:ascii="Arial" w:hAnsi="Arial" w:cs="Arial"/>
                <w:sz w:val="22"/>
                <w:szCs w:val="22"/>
                <w:shd w:val="clear" w:color="auto" w:fill="FFFFFF"/>
              </w:rPr>
              <w:t xml:space="preserve">B – por infringir normas estabelecidas no regulamentos administrativos compreendo instruções e </w:t>
            </w:r>
            <w:r w:rsidRPr="000024F0">
              <w:rPr>
                <w:rFonts w:ascii="Arial" w:hAnsi="Arial" w:cs="Arial"/>
                <w:sz w:val="22"/>
                <w:szCs w:val="22"/>
                <w:shd w:val="clear" w:color="auto" w:fill="FFFFFF"/>
              </w:rPr>
              <w:lastRenderedPageBreak/>
              <w:t>procedimentos fixados pelo órgão competente fixadas na Portaria 650/2011 GAB</w:t>
            </w:r>
          </w:p>
        </w:tc>
      </w:tr>
      <w:tr w:rsidR="00676DA3" w:rsidRPr="0023666A" w14:paraId="087E10A5" w14:textId="77777777" w:rsidTr="0079080E">
        <w:trPr>
          <w:tblCellSpacing w:w="0" w:type="dxa"/>
          <w:jc w:val="center"/>
        </w:trPr>
        <w:tc>
          <w:tcPr>
            <w:tcW w:w="948" w:type="pct"/>
            <w:vMerge w:val="restart"/>
            <w:tcBorders>
              <w:top w:val="outset" w:sz="6" w:space="0" w:color="auto"/>
              <w:left w:val="outset" w:sz="6" w:space="0" w:color="auto"/>
              <w:right w:val="outset" w:sz="6" w:space="0" w:color="auto"/>
            </w:tcBorders>
            <w:vAlign w:val="center"/>
            <w:hideMark/>
          </w:tcPr>
          <w:p w14:paraId="24632F03"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lastRenderedPageBreak/>
              <w:t>16.820.052/0015-40</w:t>
            </w:r>
          </w:p>
        </w:tc>
        <w:tc>
          <w:tcPr>
            <w:tcW w:w="686" w:type="pct"/>
            <w:vMerge w:val="restart"/>
            <w:tcBorders>
              <w:top w:val="outset" w:sz="6" w:space="0" w:color="auto"/>
              <w:left w:val="outset" w:sz="6" w:space="0" w:color="auto"/>
              <w:right w:val="outset" w:sz="6" w:space="0" w:color="auto"/>
            </w:tcBorders>
            <w:vAlign w:val="center"/>
            <w:hideMark/>
          </w:tcPr>
          <w:p w14:paraId="0C0F408A"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Frigorifico Mataboi Alimentos Ltda</w:t>
            </w:r>
          </w:p>
        </w:tc>
        <w:tc>
          <w:tcPr>
            <w:tcW w:w="581" w:type="pct"/>
            <w:tcBorders>
              <w:top w:val="outset" w:sz="6" w:space="0" w:color="auto"/>
              <w:left w:val="outset" w:sz="6" w:space="0" w:color="auto"/>
              <w:bottom w:val="outset" w:sz="6" w:space="0" w:color="auto"/>
              <w:right w:val="outset" w:sz="6" w:space="0" w:color="auto"/>
            </w:tcBorders>
            <w:vAlign w:val="center"/>
            <w:hideMark/>
          </w:tcPr>
          <w:p w14:paraId="402BAC53"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14910/2013</w:t>
            </w:r>
          </w:p>
        </w:tc>
        <w:tc>
          <w:tcPr>
            <w:tcW w:w="581" w:type="pct"/>
            <w:tcBorders>
              <w:top w:val="outset" w:sz="6" w:space="0" w:color="auto"/>
              <w:left w:val="outset" w:sz="6" w:space="0" w:color="auto"/>
              <w:bottom w:val="outset" w:sz="6" w:space="0" w:color="auto"/>
              <w:right w:val="outset" w:sz="6" w:space="0" w:color="auto"/>
            </w:tcBorders>
          </w:tcPr>
          <w:p w14:paraId="667EBCD9" w14:textId="77777777" w:rsidR="00676DA3" w:rsidRPr="000024F0" w:rsidRDefault="00676DA3" w:rsidP="0079080E">
            <w:pPr>
              <w:jc w:val="center"/>
              <w:rPr>
                <w:rFonts w:ascii="Arial" w:hAnsi="Arial" w:cs="Arial"/>
                <w:sz w:val="22"/>
                <w:szCs w:val="22"/>
                <w:shd w:val="clear" w:color="auto" w:fill="FFFFFF"/>
              </w:rPr>
            </w:pPr>
            <w:r w:rsidRPr="000024F0">
              <w:rPr>
                <w:rFonts w:ascii="Arial" w:hAnsi="Arial" w:cs="Arial"/>
                <w:sz w:val="22"/>
                <w:szCs w:val="22"/>
                <w:shd w:val="clear" w:color="auto" w:fill="FFFFFF"/>
              </w:rPr>
              <w:t>Julgado em definitivo 1ª Instância</w:t>
            </w:r>
          </w:p>
        </w:tc>
        <w:tc>
          <w:tcPr>
            <w:tcW w:w="2204" w:type="pct"/>
            <w:tcBorders>
              <w:top w:val="outset" w:sz="6" w:space="0" w:color="auto"/>
              <w:left w:val="outset" w:sz="6" w:space="0" w:color="auto"/>
              <w:bottom w:val="outset" w:sz="6" w:space="0" w:color="auto"/>
              <w:right w:val="outset" w:sz="6" w:space="0" w:color="auto"/>
            </w:tcBorders>
          </w:tcPr>
          <w:p w14:paraId="271FC2BA" w14:textId="77777777" w:rsidR="00676DA3" w:rsidRPr="000024F0" w:rsidRDefault="00676DA3" w:rsidP="0079080E">
            <w:pPr>
              <w:jc w:val="both"/>
              <w:rPr>
                <w:rFonts w:ascii="Arial" w:hAnsi="Arial" w:cs="Arial"/>
                <w:sz w:val="22"/>
                <w:szCs w:val="22"/>
                <w:shd w:val="clear" w:color="auto" w:fill="FFFFFF"/>
              </w:rPr>
            </w:pPr>
            <w:r w:rsidRPr="000024F0">
              <w:rPr>
                <w:rFonts w:ascii="Arial" w:hAnsi="Arial" w:cs="Arial"/>
                <w:sz w:val="22"/>
                <w:szCs w:val="22"/>
                <w:shd w:val="clear" w:color="auto" w:fill="FFFFFF"/>
              </w:rPr>
              <w:t>Auto de Infração N. 0934 – Série-B – lançar efluente no corpo receptor; córrego da serra de forma inadequada em desacordo com as exigências estabelecidas em lei causando poluição em níveis tais que passam a resultar danos à saúde humana</w:t>
            </w:r>
          </w:p>
        </w:tc>
      </w:tr>
      <w:tr w:rsidR="00676DA3" w:rsidRPr="0023666A" w14:paraId="55DC15D5" w14:textId="77777777" w:rsidTr="0079080E">
        <w:trPr>
          <w:tblCellSpacing w:w="0" w:type="dxa"/>
          <w:jc w:val="center"/>
        </w:trPr>
        <w:tc>
          <w:tcPr>
            <w:tcW w:w="948" w:type="pct"/>
            <w:vMerge/>
            <w:tcBorders>
              <w:left w:val="outset" w:sz="6" w:space="0" w:color="auto"/>
              <w:bottom w:val="outset" w:sz="6" w:space="0" w:color="auto"/>
              <w:right w:val="outset" w:sz="6" w:space="0" w:color="auto"/>
            </w:tcBorders>
            <w:vAlign w:val="center"/>
          </w:tcPr>
          <w:p w14:paraId="675150D2" w14:textId="77777777" w:rsidR="00676DA3" w:rsidRPr="000024F0" w:rsidRDefault="00676DA3" w:rsidP="0079080E">
            <w:pPr>
              <w:jc w:val="center"/>
              <w:rPr>
                <w:rFonts w:ascii="Arial" w:hAnsi="Arial" w:cs="Arial"/>
                <w:sz w:val="22"/>
                <w:szCs w:val="22"/>
              </w:rPr>
            </w:pPr>
          </w:p>
        </w:tc>
        <w:tc>
          <w:tcPr>
            <w:tcW w:w="686" w:type="pct"/>
            <w:vMerge/>
            <w:tcBorders>
              <w:left w:val="outset" w:sz="6" w:space="0" w:color="auto"/>
              <w:bottom w:val="outset" w:sz="6" w:space="0" w:color="auto"/>
              <w:right w:val="outset" w:sz="6" w:space="0" w:color="auto"/>
            </w:tcBorders>
            <w:vAlign w:val="center"/>
          </w:tcPr>
          <w:p w14:paraId="3596820C" w14:textId="77777777" w:rsidR="00676DA3" w:rsidRPr="000024F0" w:rsidRDefault="00676DA3" w:rsidP="0079080E">
            <w:pPr>
              <w:jc w:val="center"/>
              <w:rPr>
                <w:rFonts w:ascii="Arial" w:hAnsi="Arial" w:cs="Arial"/>
                <w:sz w:val="22"/>
                <w:szCs w:val="22"/>
              </w:rPr>
            </w:pPr>
          </w:p>
        </w:tc>
        <w:tc>
          <w:tcPr>
            <w:tcW w:w="581" w:type="pct"/>
            <w:tcBorders>
              <w:top w:val="outset" w:sz="6" w:space="0" w:color="auto"/>
              <w:left w:val="outset" w:sz="6" w:space="0" w:color="auto"/>
              <w:bottom w:val="outset" w:sz="6" w:space="0" w:color="auto"/>
              <w:right w:val="outset" w:sz="6" w:space="0" w:color="auto"/>
            </w:tcBorders>
            <w:vAlign w:val="center"/>
          </w:tcPr>
          <w:p w14:paraId="6A07E691"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6241/2014</w:t>
            </w:r>
          </w:p>
        </w:tc>
        <w:tc>
          <w:tcPr>
            <w:tcW w:w="581" w:type="pct"/>
            <w:tcBorders>
              <w:top w:val="outset" w:sz="6" w:space="0" w:color="auto"/>
              <w:left w:val="outset" w:sz="6" w:space="0" w:color="auto"/>
              <w:bottom w:val="outset" w:sz="6" w:space="0" w:color="auto"/>
              <w:right w:val="outset" w:sz="6" w:space="0" w:color="auto"/>
            </w:tcBorders>
            <w:vAlign w:val="center"/>
          </w:tcPr>
          <w:p w14:paraId="4C252B35" w14:textId="77777777" w:rsidR="00676DA3" w:rsidRPr="000024F0" w:rsidRDefault="00676DA3" w:rsidP="0079080E">
            <w:pPr>
              <w:jc w:val="center"/>
              <w:rPr>
                <w:rFonts w:ascii="Arial" w:hAnsi="Arial" w:cs="Arial"/>
                <w:sz w:val="22"/>
                <w:szCs w:val="22"/>
                <w:shd w:val="clear" w:color="auto" w:fill="FFFFFF"/>
              </w:rPr>
            </w:pPr>
            <w:r w:rsidRPr="000024F0">
              <w:rPr>
                <w:rFonts w:ascii="Arial" w:hAnsi="Arial" w:cs="Arial"/>
                <w:sz w:val="22"/>
                <w:szCs w:val="22"/>
              </w:rPr>
              <w:t>Julgado em definitivo 1ª Instância</w:t>
            </w:r>
          </w:p>
        </w:tc>
        <w:tc>
          <w:tcPr>
            <w:tcW w:w="2204" w:type="pct"/>
            <w:tcBorders>
              <w:top w:val="outset" w:sz="6" w:space="0" w:color="auto"/>
              <w:left w:val="outset" w:sz="6" w:space="0" w:color="auto"/>
              <w:bottom w:val="outset" w:sz="6" w:space="0" w:color="auto"/>
              <w:right w:val="outset" w:sz="6" w:space="0" w:color="auto"/>
            </w:tcBorders>
            <w:vAlign w:val="center"/>
          </w:tcPr>
          <w:p w14:paraId="48F7649F" w14:textId="2F45E869" w:rsidR="00676DA3" w:rsidRPr="000024F0" w:rsidRDefault="00676DA3" w:rsidP="0079080E">
            <w:pPr>
              <w:jc w:val="both"/>
              <w:rPr>
                <w:rFonts w:ascii="Arial" w:hAnsi="Arial" w:cs="Arial"/>
                <w:sz w:val="22"/>
                <w:szCs w:val="22"/>
                <w:shd w:val="clear" w:color="auto" w:fill="FFFFFF"/>
              </w:rPr>
            </w:pPr>
            <w:r w:rsidRPr="000024F0">
              <w:rPr>
                <w:rFonts w:ascii="Arial" w:hAnsi="Arial" w:cs="Arial"/>
                <w:sz w:val="22"/>
                <w:szCs w:val="22"/>
                <w:shd w:val="clear" w:color="auto" w:fill="FFFFFF"/>
              </w:rPr>
              <w:t xml:space="preserve">Auto de Infração Nº 1238 – Série-B – </w:t>
            </w:r>
            <w:r w:rsidR="006A018D" w:rsidRPr="000024F0">
              <w:rPr>
                <w:rFonts w:ascii="Arial" w:hAnsi="Arial" w:cs="Arial"/>
                <w:sz w:val="22"/>
                <w:szCs w:val="22"/>
                <w:shd w:val="clear" w:color="auto" w:fill="FFFFFF"/>
              </w:rPr>
              <w:t xml:space="preserve">Deixar </w:t>
            </w:r>
            <w:r w:rsidRPr="000024F0">
              <w:rPr>
                <w:rFonts w:ascii="Arial" w:hAnsi="Arial" w:cs="Arial"/>
                <w:sz w:val="22"/>
                <w:szCs w:val="22"/>
                <w:shd w:val="clear" w:color="auto" w:fill="FFFFFF"/>
              </w:rPr>
              <w:t xml:space="preserve">de atender as exigências legais quando devidamente notificado pela autoridade ambiental. </w:t>
            </w:r>
            <w:r w:rsidR="0029338F" w:rsidRPr="000024F0">
              <w:rPr>
                <w:rFonts w:ascii="Arial" w:hAnsi="Arial" w:cs="Arial"/>
                <w:sz w:val="22"/>
                <w:szCs w:val="22"/>
                <w:shd w:val="clear" w:color="auto" w:fill="FFFFFF"/>
              </w:rPr>
              <w:t xml:space="preserve">Referente </w:t>
            </w:r>
            <w:r w:rsidRPr="000024F0">
              <w:rPr>
                <w:rFonts w:ascii="Arial" w:hAnsi="Arial" w:cs="Arial"/>
                <w:sz w:val="22"/>
                <w:szCs w:val="22"/>
                <w:shd w:val="clear" w:color="auto" w:fill="FFFFFF"/>
              </w:rPr>
              <w:t>ao processo 16456/2009 da LF 633/2011</w:t>
            </w:r>
          </w:p>
        </w:tc>
      </w:tr>
      <w:tr w:rsidR="00676DA3" w:rsidRPr="0023666A" w14:paraId="2FCD4A31" w14:textId="77777777" w:rsidTr="0079080E">
        <w:trPr>
          <w:tblCellSpacing w:w="0" w:type="dxa"/>
          <w:jc w:val="center"/>
        </w:trPr>
        <w:tc>
          <w:tcPr>
            <w:tcW w:w="948" w:type="pct"/>
            <w:tcBorders>
              <w:top w:val="outset" w:sz="6" w:space="0" w:color="auto"/>
              <w:left w:val="outset" w:sz="6" w:space="0" w:color="auto"/>
              <w:bottom w:val="outset" w:sz="6" w:space="0" w:color="auto"/>
              <w:right w:val="outset" w:sz="6" w:space="0" w:color="auto"/>
            </w:tcBorders>
            <w:vAlign w:val="center"/>
          </w:tcPr>
          <w:p w14:paraId="773E5FB2"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02.184.226/0011-01</w:t>
            </w:r>
          </w:p>
        </w:tc>
        <w:tc>
          <w:tcPr>
            <w:tcW w:w="686" w:type="pct"/>
            <w:tcBorders>
              <w:top w:val="outset" w:sz="6" w:space="0" w:color="auto"/>
              <w:left w:val="outset" w:sz="6" w:space="0" w:color="auto"/>
              <w:bottom w:val="outset" w:sz="6" w:space="0" w:color="auto"/>
              <w:right w:val="outset" w:sz="6" w:space="0" w:color="auto"/>
            </w:tcBorders>
            <w:vAlign w:val="center"/>
          </w:tcPr>
          <w:p w14:paraId="2EEA2F45"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Anglo American Niquel Brasil</w:t>
            </w:r>
          </w:p>
        </w:tc>
        <w:tc>
          <w:tcPr>
            <w:tcW w:w="581" w:type="pct"/>
            <w:tcBorders>
              <w:top w:val="outset" w:sz="6" w:space="0" w:color="auto"/>
              <w:left w:val="outset" w:sz="6" w:space="0" w:color="auto"/>
              <w:bottom w:val="outset" w:sz="6" w:space="0" w:color="auto"/>
              <w:right w:val="outset" w:sz="6" w:space="0" w:color="auto"/>
            </w:tcBorders>
            <w:vAlign w:val="center"/>
          </w:tcPr>
          <w:p w14:paraId="69242A6D"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17753/2014</w:t>
            </w:r>
          </w:p>
        </w:tc>
        <w:tc>
          <w:tcPr>
            <w:tcW w:w="581" w:type="pct"/>
            <w:tcBorders>
              <w:top w:val="outset" w:sz="6" w:space="0" w:color="auto"/>
              <w:left w:val="outset" w:sz="6" w:space="0" w:color="auto"/>
              <w:bottom w:val="outset" w:sz="6" w:space="0" w:color="auto"/>
              <w:right w:val="outset" w:sz="6" w:space="0" w:color="auto"/>
            </w:tcBorders>
            <w:vAlign w:val="center"/>
          </w:tcPr>
          <w:p w14:paraId="2B7C98ED"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Julgado em definitivo 1ª Instância</w:t>
            </w:r>
          </w:p>
        </w:tc>
        <w:tc>
          <w:tcPr>
            <w:tcW w:w="2204" w:type="pct"/>
            <w:tcBorders>
              <w:top w:val="outset" w:sz="6" w:space="0" w:color="auto"/>
              <w:left w:val="outset" w:sz="6" w:space="0" w:color="auto"/>
              <w:bottom w:val="outset" w:sz="6" w:space="0" w:color="auto"/>
              <w:right w:val="outset" w:sz="6" w:space="0" w:color="auto"/>
            </w:tcBorders>
            <w:vAlign w:val="center"/>
          </w:tcPr>
          <w:p w14:paraId="66038334" w14:textId="77777777" w:rsidR="00676DA3" w:rsidRPr="000024F0" w:rsidRDefault="00676DA3" w:rsidP="0079080E">
            <w:pPr>
              <w:jc w:val="both"/>
              <w:rPr>
                <w:rFonts w:ascii="Arial" w:hAnsi="Arial" w:cs="Arial"/>
                <w:sz w:val="22"/>
                <w:szCs w:val="22"/>
              </w:rPr>
            </w:pPr>
            <w:r w:rsidRPr="000024F0">
              <w:rPr>
                <w:rFonts w:ascii="Arial" w:hAnsi="Arial" w:cs="Arial"/>
                <w:sz w:val="22"/>
                <w:szCs w:val="22"/>
              </w:rPr>
              <w:t xml:space="preserve">Auto de Infração </w:t>
            </w:r>
            <w:r w:rsidRPr="000024F0">
              <w:rPr>
                <w:rFonts w:ascii="Arial" w:hAnsi="Arial" w:cs="Arial"/>
                <w:sz w:val="22"/>
                <w:szCs w:val="22"/>
                <w:shd w:val="clear" w:color="auto" w:fill="FFFFFF"/>
              </w:rPr>
              <w:t xml:space="preserve">– </w:t>
            </w:r>
            <w:r w:rsidRPr="000024F0">
              <w:rPr>
                <w:rFonts w:ascii="Arial" w:hAnsi="Arial" w:cs="Arial"/>
                <w:sz w:val="22"/>
                <w:szCs w:val="22"/>
              </w:rPr>
              <w:t xml:space="preserve">Série-B </w:t>
            </w:r>
            <w:r w:rsidRPr="000024F0">
              <w:rPr>
                <w:rFonts w:ascii="Arial" w:hAnsi="Arial" w:cs="Arial"/>
                <w:sz w:val="22"/>
                <w:szCs w:val="22"/>
                <w:shd w:val="clear" w:color="auto" w:fill="FFFFFF"/>
              </w:rPr>
              <w:t>– n</w:t>
            </w:r>
            <w:r w:rsidRPr="000024F0">
              <w:rPr>
                <w:rFonts w:ascii="Arial" w:hAnsi="Arial" w:cs="Arial"/>
                <w:sz w:val="22"/>
                <w:szCs w:val="22"/>
              </w:rPr>
              <w:t>º 2403. Deixar de atender às exigências da SEMARH.</w:t>
            </w:r>
          </w:p>
        </w:tc>
      </w:tr>
      <w:tr w:rsidR="00676DA3" w:rsidRPr="0023666A" w14:paraId="74CA4BB8" w14:textId="77777777" w:rsidTr="0079080E">
        <w:trPr>
          <w:tblCellSpacing w:w="0" w:type="dxa"/>
          <w:jc w:val="center"/>
        </w:trPr>
        <w:tc>
          <w:tcPr>
            <w:tcW w:w="948" w:type="pct"/>
            <w:tcBorders>
              <w:top w:val="outset" w:sz="6" w:space="0" w:color="auto"/>
              <w:left w:val="outset" w:sz="6" w:space="0" w:color="auto"/>
              <w:bottom w:val="outset" w:sz="6" w:space="0" w:color="auto"/>
              <w:right w:val="outset" w:sz="6" w:space="0" w:color="auto"/>
            </w:tcBorders>
            <w:vAlign w:val="center"/>
          </w:tcPr>
          <w:p w14:paraId="71A40DA5"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05.300.340/0004-02</w:t>
            </w:r>
          </w:p>
        </w:tc>
        <w:tc>
          <w:tcPr>
            <w:tcW w:w="686" w:type="pct"/>
            <w:tcBorders>
              <w:top w:val="outset" w:sz="6" w:space="0" w:color="auto"/>
              <w:left w:val="outset" w:sz="6" w:space="0" w:color="auto"/>
              <w:bottom w:val="outset" w:sz="6" w:space="0" w:color="auto"/>
              <w:right w:val="outset" w:sz="6" w:space="0" w:color="auto"/>
            </w:tcBorders>
            <w:vAlign w:val="center"/>
          </w:tcPr>
          <w:p w14:paraId="3DAC5699" w14:textId="77777777" w:rsidR="00676DA3" w:rsidRPr="000024F0" w:rsidRDefault="00676DA3" w:rsidP="0079080E">
            <w:pPr>
              <w:jc w:val="center"/>
              <w:rPr>
                <w:rFonts w:ascii="Arial" w:hAnsi="Arial" w:cs="Arial"/>
                <w:sz w:val="22"/>
                <w:szCs w:val="22"/>
                <w:lang w:val="en-US"/>
              </w:rPr>
            </w:pPr>
            <w:r w:rsidRPr="000024F0">
              <w:rPr>
                <w:rFonts w:ascii="Arial" w:hAnsi="Arial" w:cs="Arial"/>
                <w:sz w:val="22"/>
                <w:szCs w:val="22"/>
                <w:lang w:val="en-US"/>
              </w:rPr>
              <w:t>Dairy Partners Americas Manufacturing Brasil Ltda.</w:t>
            </w:r>
          </w:p>
        </w:tc>
        <w:tc>
          <w:tcPr>
            <w:tcW w:w="581" w:type="pct"/>
            <w:tcBorders>
              <w:top w:val="outset" w:sz="6" w:space="0" w:color="auto"/>
              <w:left w:val="outset" w:sz="6" w:space="0" w:color="auto"/>
              <w:bottom w:val="outset" w:sz="6" w:space="0" w:color="auto"/>
              <w:right w:val="outset" w:sz="6" w:space="0" w:color="auto"/>
            </w:tcBorders>
            <w:vAlign w:val="center"/>
          </w:tcPr>
          <w:p w14:paraId="1782F58A"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15944/2014</w:t>
            </w:r>
          </w:p>
        </w:tc>
        <w:tc>
          <w:tcPr>
            <w:tcW w:w="581" w:type="pct"/>
            <w:tcBorders>
              <w:top w:val="outset" w:sz="6" w:space="0" w:color="auto"/>
              <w:left w:val="outset" w:sz="6" w:space="0" w:color="auto"/>
              <w:bottom w:val="outset" w:sz="6" w:space="0" w:color="auto"/>
              <w:right w:val="outset" w:sz="6" w:space="0" w:color="auto"/>
            </w:tcBorders>
            <w:vAlign w:val="center"/>
          </w:tcPr>
          <w:p w14:paraId="16126D54"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Julgado em definitivo 1ª Instância</w:t>
            </w:r>
          </w:p>
        </w:tc>
        <w:tc>
          <w:tcPr>
            <w:tcW w:w="2204" w:type="pct"/>
            <w:tcBorders>
              <w:top w:val="outset" w:sz="6" w:space="0" w:color="auto"/>
              <w:left w:val="outset" w:sz="6" w:space="0" w:color="auto"/>
              <w:bottom w:val="outset" w:sz="6" w:space="0" w:color="auto"/>
              <w:right w:val="outset" w:sz="6" w:space="0" w:color="auto"/>
            </w:tcBorders>
            <w:vAlign w:val="center"/>
          </w:tcPr>
          <w:p w14:paraId="5BF8D9D9" w14:textId="77777777" w:rsidR="00676DA3" w:rsidRPr="000024F0" w:rsidRDefault="00676DA3" w:rsidP="0079080E">
            <w:pPr>
              <w:jc w:val="both"/>
              <w:rPr>
                <w:rFonts w:ascii="Arial" w:hAnsi="Arial" w:cs="Arial"/>
                <w:sz w:val="22"/>
                <w:szCs w:val="22"/>
              </w:rPr>
            </w:pPr>
            <w:r w:rsidRPr="000024F0">
              <w:rPr>
                <w:rFonts w:ascii="Arial" w:hAnsi="Arial" w:cs="Arial"/>
                <w:sz w:val="22"/>
                <w:szCs w:val="22"/>
                <w:shd w:val="clear" w:color="auto" w:fill="FFFFFF"/>
              </w:rPr>
              <w:t xml:space="preserve">Auto de Infração Nº 2482 – </w:t>
            </w:r>
            <w:r w:rsidRPr="000024F0">
              <w:rPr>
                <w:rFonts w:ascii="Arial" w:hAnsi="Arial" w:cs="Arial"/>
                <w:sz w:val="22"/>
                <w:szCs w:val="22"/>
              </w:rPr>
              <w:t>Série-</w:t>
            </w:r>
            <w:r w:rsidRPr="000024F0">
              <w:rPr>
                <w:rFonts w:ascii="Arial" w:hAnsi="Arial" w:cs="Arial"/>
                <w:sz w:val="22"/>
                <w:szCs w:val="22"/>
                <w:shd w:val="clear" w:color="auto" w:fill="FFFFFF"/>
              </w:rPr>
              <w:t>B – Descumprir exigência técnica complementar nº 5 da LF nº 490/2009 Proc. 408/2008. Acerca da apresentação do relatório de auto monitoramento ambiental das atividades da empresa.</w:t>
            </w:r>
          </w:p>
        </w:tc>
      </w:tr>
      <w:tr w:rsidR="00676DA3" w:rsidRPr="0023666A" w14:paraId="23B7842A" w14:textId="77777777" w:rsidTr="0079080E">
        <w:trPr>
          <w:tblCellSpacing w:w="0" w:type="dxa"/>
          <w:jc w:val="center"/>
        </w:trPr>
        <w:tc>
          <w:tcPr>
            <w:tcW w:w="948" w:type="pct"/>
            <w:tcBorders>
              <w:top w:val="outset" w:sz="6" w:space="0" w:color="auto"/>
              <w:left w:val="outset" w:sz="6" w:space="0" w:color="auto"/>
              <w:bottom w:val="outset" w:sz="6" w:space="0" w:color="auto"/>
              <w:right w:val="outset" w:sz="6" w:space="0" w:color="auto"/>
            </w:tcBorders>
            <w:vAlign w:val="center"/>
          </w:tcPr>
          <w:p w14:paraId="0FC7D5A5"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03.853.896/0012-00</w:t>
            </w:r>
          </w:p>
        </w:tc>
        <w:tc>
          <w:tcPr>
            <w:tcW w:w="686" w:type="pct"/>
            <w:tcBorders>
              <w:top w:val="outset" w:sz="6" w:space="0" w:color="auto"/>
              <w:left w:val="outset" w:sz="6" w:space="0" w:color="auto"/>
              <w:bottom w:val="outset" w:sz="6" w:space="0" w:color="auto"/>
              <w:right w:val="outset" w:sz="6" w:space="0" w:color="auto"/>
            </w:tcBorders>
            <w:vAlign w:val="center"/>
          </w:tcPr>
          <w:p w14:paraId="005BE1E7" w14:textId="77777777" w:rsidR="00676DA3" w:rsidRPr="000024F0" w:rsidRDefault="00676DA3" w:rsidP="0079080E">
            <w:pPr>
              <w:jc w:val="center"/>
              <w:rPr>
                <w:rFonts w:ascii="Arial" w:hAnsi="Arial" w:cs="Arial"/>
                <w:sz w:val="22"/>
                <w:szCs w:val="22"/>
                <w:lang w:val="en-US"/>
              </w:rPr>
            </w:pPr>
            <w:r w:rsidRPr="000024F0">
              <w:rPr>
                <w:rFonts w:ascii="Arial" w:hAnsi="Arial" w:cs="Arial"/>
                <w:sz w:val="22"/>
                <w:szCs w:val="22"/>
                <w:lang w:val="en-US"/>
              </w:rPr>
              <w:t>Marfrig Global Foods S.A</w:t>
            </w:r>
          </w:p>
        </w:tc>
        <w:tc>
          <w:tcPr>
            <w:tcW w:w="581" w:type="pct"/>
            <w:tcBorders>
              <w:top w:val="outset" w:sz="6" w:space="0" w:color="auto"/>
              <w:left w:val="outset" w:sz="6" w:space="0" w:color="auto"/>
              <w:bottom w:val="outset" w:sz="6" w:space="0" w:color="auto"/>
              <w:right w:val="outset" w:sz="6" w:space="0" w:color="auto"/>
            </w:tcBorders>
            <w:vAlign w:val="center"/>
          </w:tcPr>
          <w:p w14:paraId="5FF60EEB"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15394/2014</w:t>
            </w:r>
          </w:p>
        </w:tc>
        <w:tc>
          <w:tcPr>
            <w:tcW w:w="581" w:type="pct"/>
            <w:tcBorders>
              <w:top w:val="outset" w:sz="6" w:space="0" w:color="auto"/>
              <w:left w:val="outset" w:sz="6" w:space="0" w:color="auto"/>
              <w:bottom w:val="outset" w:sz="6" w:space="0" w:color="auto"/>
              <w:right w:val="outset" w:sz="6" w:space="0" w:color="auto"/>
            </w:tcBorders>
            <w:vAlign w:val="center"/>
          </w:tcPr>
          <w:p w14:paraId="7DA72975"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Julgado em definitivo 1ª Instância</w:t>
            </w:r>
          </w:p>
        </w:tc>
        <w:tc>
          <w:tcPr>
            <w:tcW w:w="2204" w:type="pct"/>
            <w:tcBorders>
              <w:top w:val="outset" w:sz="6" w:space="0" w:color="auto"/>
              <w:left w:val="outset" w:sz="6" w:space="0" w:color="auto"/>
              <w:bottom w:val="outset" w:sz="6" w:space="0" w:color="auto"/>
              <w:right w:val="outset" w:sz="6" w:space="0" w:color="auto"/>
            </w:tcBorders>
            <w:vAlign w:val="center"/>
          </w:tcPr>
          <w:p w14:paraId="10EE5ECC" w14:textId="53E63D7A" w:rsidR="00676DA3" w:rsidRPr="000024F0" w:rsidRDefault="00676DA3" w:rsidP="0079080E">
            <w:pPr>
              <w:jc w:val="both"/>
              <w:rPr>
                <w:rFonts w:ascii="Arial" w:hAnsi="Arial" w:cs="Arial"/>
                <w:sz w:val="22"/>
                <w:szCs w:val="22"/>
              </w:rPr>
            </w:pPr>
            <w:r w:rsidRPr="000024F0">
              <w:rPr>
                <w:rFonts w:ascii="Arial" w:hAnsi="Arial" w:cs="Arial"/>
                <w:sz w:val="22"/>
                <w:szCs w:val="22"/>
                <w:shd w:val="clear" w:color="auto" w:fill="FFFFFF"/>
              </w:rPr>
              <w:t xml:space="preserve">Auto de Infração nº 1842 – </w:t>
            </w:r>
            <w:r w:rsidRPr="000024F0">
              <w:rPr>
                <w:rFonts w:ascii="Arial" w:hAnsi="Arial" w:cs="Arial"/>
                <w:sz w:val="22"/>
                <w:szCs w:val="22"/>
              </w:rPr>
              <w:t>Série-</w:t>
            </w:r>
            <w:r w:rsidRPr="000024F0">
              <w:rPr>
                <w:rFonts w:ascii="Arial" w:hAnsi="Arial" w:cs="Arial"/>
                <w:sz w:val="22"/>
                <w:szCs w:val="22"/>
                <w:shd w:val="clear" w:color="auto" w:fill="FFFFFF"/>
              </w:rPr>
              <w:t xml:space="preserve">B – </w:t>
            </w:r>
            <w:r w:rsidR="006A018D" w:rsidRPr="000024F0">
              <w:rPr>
                <w:rFonts w:ascii="Arial" w:hAnsi="Arial" w:cs="Arial"/>
                <w:sz w:val="22"/>
                <w:szCs w:val="22"/>
                <w:shd w:val="clear" w:color="auto" w:fill="FFFFFF"/>
              </w:rPr>
              <w:t xml:space="preserve">Por </w:t>
            </w:r>
            <w:r w:rsidRPr="000024F0">
              <w:rPr>
                <w:rFonts w:ascii="Arial" w:hAnsi="Arial" w:cs="Arial"/>
                <w:sz w:val="22"/>
                <w:szCs w:val="22"/>
                <w:shd w:val="clear" w:color="auto" w:fill="FFFFFF"/>
              </w:rPr>
              <w:t>lançar diretamente no solo, efluente proveniente da atividade de abate de bovinos/lançar efluente em curso hídrico valores superiores ao valor máximo permitido.</w:t>
            </w:r>
          </w:p>
        </w:tc>
      </w:tr>
      <w:tr w:rsidR="00676DA3" w:rsidRPr="0023666A" w14:paraId="4FAA9C8E" w14:textId="77777777" w:rsidTr="0079080E">
        <w:trPr>
          <w:tblCellSpacing w:w="0" w:type="dxa"/>
          <w:jc w:val="center"/>
        </w:trPr>
        <w:tc>
          <w:tcPr>
            <w:tcW w:w="948" w:type="pct"/>
            <w:tcBorders>
              <w:top w:val="outset" w:sz="6" w:space="0" w:color="auto"/>
              <w:left w:val="outset" w:sz="6" w:space="0" w:color="auto"/>
              <w:bottom w:val="outset" w:sz="6" w:space="0" w:color="auto"/>
              <w:right w:val="outset" w:sz="6" w:space="0" w:color="auto"/>
            </w:tcBorders>
            <w:vAlign w:val="center"/>
          </w:tcPr>
          <w:p w14:paraId="525600BF"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08.195.806/0001-94</w:t>
            </w:r>
          </w:p>
        </w:tc>
        <w:tc>
          <w:tcPr>
            <w:tcW w:w="686" w:type="pct"/>
            <w:tcBorders>
              <w:top w:val="outset" w:sz="6" w:space="0" w:color="auto"/>
              <w:left w:val="outset" w:sz="6" w:space="0" w:color="auto"/>
              <w:bottom w:val="outset" w:sz="6" w:space="0" w:color="auto"/>
              <w:right w:val="outset" w:sz="6" w:space="0" w:color="auto"/>
            </w:tcBorders>
            <w:vAlign w:val="center"/>
          </w:tcPr>
          <w:p w14:paraId="48676FC9"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BP Bioenergia Tropical S.A.</w:t>
            </w:r>
          </w:p>
        </w:tc>
        <w:tc>
          <w:tcPr>
            <w:tcW w:w="581" w:type="pct"/>
            <w:tcBorders>
              <w:top w:val="outset" w:sz="6" w:space="0" w:color="auto"/>
              <w:left w:val="outset" w:sz="6" w:space="0" w:color="auto"/>
              <w:bottom w:val="outset" w:sz="6" w:space="0" w:color="auto"/>
              <w:right w:val="outset" w:sz="6" w:space="0" w:color="auto"/>
            </w:tcBorders>
            <w:vAlign w:val="center"/>
          </w:tcPr>
          <w:p w14:paraId="4338480A"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3853/2016</w:t>
            </w:r>
          </w:p>
        </w:tc>
        <w:tc>
          <w:tcPr>
            <w:tcW w:w="581" w:type="pct"/>
            <w:tcBorders>
              <w:top w:val="outset" w:sz="6" w:space="0" w:color="auto"/>
              <w:left w:val="outset" w:sz="6" w:space="0" w:color="auto"/>
              <w:bottom w:val="outset" w:sz="6" w:space="0" w:color="auto"/>
              <w:right w:val="outset" w:sz="6" w:space="0" w:color="auto"/>
            </w:tcBorders>
            <w:vAlign w:val="center"/>
          </w:tcPr>
          <w:p w14:paraId="61306F30" w14:textId="77777777" w:rsidR="00676DA3" w:rsidRPr="000024F0" w:rsidRDefault="00676DA3" w:rsidP="0079080E">
            <w:pPr>
              <w:jc w:val="center"/>
              <w:rPr>
                <w:rFonts w:ascii="Arial" w:hAnsi="Arial" w:cs="Arial"/>
                <w:sz w:val="22"/>
                <w:szCs w:val="22"/>
              </w:rPr>
            </w:pPr>
            <w:r w:rsidRPr="000024F0">
              <w:rPr>
                <w:rFonts w:ascii="Arial" w:hAnsi="Arial" w:cs="Arial"/>
                <w:sz w:val="22"/>
                <w:szCs w:val="22"/>
              </w:rPr>
              <w:t>Auto Pago</w:t>
            </w:r>
          </w:p>
        </w:tc>
        <w:tc>
          <w:tcPr>
            <w:tcW w:w="2204" w:type="pct"/>
            <w:tcBorders>
              <w:top w:val="outset" w:sz="6" w:space="0" w:color="auto"/>
              <w:left w:val="outset" w:sz="6" w:space="0" w:color="auto"/>
              <w:bottom w:val="outset" w:sz="6" w:space="0" w:color="auto"/>
              <w:right w:val="outset" w:sz="6" w:space="0" w:color="auto"/>
            </w:tcBorders>
            <w:vAlign w:val="center"/>
          </w:tcPr>
          <w:p w14:paraId="1A267030" w14:textId="77777777" w:rsidR="00676DA3" w:rsidRPr="000024F0" w:rsidRDefault="00676DA3" w:rsidP="0079080E">
            <w:pPr>
              <w:jc w:val="both"/>
              <w:rPr>
                <w:rFonts w:ascii="Arial" w:hAnsi="Arial" w:cs="Arial"/>
                <w:sz w:val="22"/>
                <w:szCs w:val="22"/>
              </w:rPr>
            </w:pPr>
            <w:r w:rsidRPr="000024F0">
              <w:rPr>
                <w:rFonts w:ascii="Arial" w:hAnsi="Arial" w:cs="Arial"/>
                <w:sz w:val="22"/>
                <w:szCs w:val="22"/>
                <w:shd w:val="clear" w:color="auto" w:fill="FFFFFF"/>
              </w:rPr>
              <w:t>Auto de Infração nº 3366 – Série-B – Deixar descumprir o Auto de Advertência nº 4752 por poluição do solo.</w:t>
            </w:r>
          </w:p>
        </w:tc>
      </w:tr>
    </w:tbl>
    <w:p w14:paraId="5FA223C4" w14:textId="2EA93BE8" w:rsidR="00676DA3" w:rsidRDefault="00676DA3" w:rsidP="008B12BD">
      <w:pPr>
        <w:spacing w:line="360" w:lineRule="auto"/>
        <w:ind w:left="851"/>
        <w:jc w:val="both"/>
        <w:rPr>
          <w:rFonts w:ascii="Arial" w:hAnsi="Arial" w:cs="Arial"/>
          <w:sz w:val="24"/>
          <w:szCs w:val="24"/>
        </w:rPr>
      </w:pPr>
    </w:p>
    <w:p w14:paraId="44E3F459" w14:textId="77777777" w:rsidR="00C9288E" w:rsidRDefault="00C9288E" w:rsidP="005E2575">
      <w:pPr>
        <w:spacing w:line="360" w:lineRule="auto"/>
        <w:ind w:firstLine="851"/>
        <w:jc w:val="both"/>
        <w:rPr>
          <w:rFonts w:ascii="Arial" w:hAnsi="Arial" w:cs="Arial"/>
          <w:sz w:val="24"/>
          <w:szCs w:val="24"/>
        </w:rPr>
      </w:pPr>
    </w:p>
    <w:p w14:paraId="7793F2DE" w14:textId="77777777" w:rsidR="00C9288E" w:rsidRDefault="00C9288E" w:rsidP="005E2575">
      <w:pPr>
        <w:spacing w:line="360" w:lineRule="auto"/>
        <w:ind w:firstLine="851"/>
        <w:jc w:val="both"/>
        <w:rPr>
          <w:rFonts w:ascii="Arial" w:hAnsi="Arial" w:cs="Arial"/>
          <w:sz w:val="24"/>
          <w:szCs w:val="24"/>
        </w:rPr>
      </w:pPr>
    </w:p>
    <w:p w14:paraId="6603BF8D" w14:textId="77777777" w:rsidR="00C9288E" w:rsidRDefault="00C9288E" w:rsidP="005E2575">
      <w:pPr>
        <w:spacing w:line="360" w:lineRule="auto"/>
        <w:ind w:firstLine="851"/>
        <w:jc w:val="both"/>
        <w:rPr>
          <w:rFonts w:ascii="Arial" w:hAnsi="Arial" w:cs="Arial"/>
          <w:sz w:val="24"/>
          <w:szCs w:val="24"/>
        </w:rPr>
      </w:pPr>
    </w:p>
    <w:p w14:paraId="2D6C0E8C" w14:textId="54F2007B" w:rsidR="00676DA3" w:rsidRDefault="00676DA3" w:rsidP="005E2575">
      <w:pPr>
        <w:spacing w:line="360" w:lineRule="auto"/>
        <w:ind w:firstLine="851"/>
        <w:jc w:val="both"/>
        <w:rPr>
          <w:rFonts w:ascii="Arial" w:hAnsi="Arial" w:cs="Arial"/>
          <w:sz w:val="24"/>
          <w:szCs w:val="24"/>
        </w:rPr>
        <w:sectPr w:rsidR="00676DA3" w:rsidSect="00EB7C07">
          <w:pgSz w:w="16840" w:h="11900" w:orient="landscape"/>
          <w:pgMar w:top="1701" w:right="2268" w:bottom="851" w:left="1134" w:header="567" w:footer="284" w:gutter="0"/>
          <w:cols w:space="708"/>
          <w:docGrid w:linePitch="360"/>
        </w:sectPr>
      </w:pPr>
    </w:p>
    <w:p w14:paraId="47DB5A77" w14:textId="41238947" w:rsidR="00C9288E" w:rsidRDefault="00C9288E" w:rsidP="004C0B16">
      <w:pPr>
        <w:spacing w:line="360" w:lineRule="auto"/>
        <w:ind w:firstLine="851"/>
        <w:jc w:val="both"/>
        <w:rPr>
          <w:rFonts w:ascii="Arial" w:hAnsi="Arial" w:cs="Arial"/>
          <w:sz w:val="24"/>
          <w:szCs w:val="24"/>
        </w:rPr>
      </w:pPr>
      <w:r>
        <w:rPr>
          <w:rFonts w:ascii="Arial" w:hAnsi="Arial" w:cs="Arial"/>
          <w:sz w:val="24"/>
          <w:szCs w:val="24"/>
        </w:rPr>
        <w:lastRenderedPageBreak/>
        <w:t>Impressiona como a JBS S/A lidera com folga, em seus vários CNPJ’s, o ranking das empresas recebedoras de crédito outorgado mais poluentes, por assim dizer, ou ao menos com maior número de autuações ambientais, situação que vem se mantendo ao longo dos anos. A empresa recebe incentivos milionários do Estado e, quando recebe uma autuação ambiental, simplesmente quita uma multa de poucos mil reais e não recebe maior censura estatal.</w:t>
      </w:r>
    </w:p>
    <w:p w14:paraId="17C29908" w14:textId="49CC90C9" w:rsidR="00574522" w:rsidRDefault="004C0B16" w:rsidP="004C0B16">
      <w:pPr>
        <w:spacing w:line="360" w:lineRule="auto"/>
        <w:ind w:firstLine="851"/>
        <w:jc w:val="both"/>
        <w:rPr>
          <w:rFonts w:ascii="Arial" w:hAnsi="Arial" w:cs="Arial"/>
          <w:sz w:val="24"/>
          <w:szCs w:val="24"/>
        </w:rPr>
      </w:pPr>
      <w:r>
        <w:rPr>
          <w:rFonts w:ascii="Arial" w:hAnsi="Arial" w:cs="Arial"/>
          <w:sz w:val="24"/>
          <w:szCs w:val="24"/>
        </w:rPr>
        <w:t>Além de reiterar as recomendações já lançadas no item 8.3.7 deste relatório (no tocante à tentativa de recuperação de valores de incentivos fiscais fruídos possivelmente de forma irregular</w:t>
      </w:r>
      <w:r w:rsidR="000662CD">
        <w:rPr>
          <w:rFonts w:ascii="Arial" w:hAnsi="Arial" w:cs="Arial"/>
          <w:sz w:val="24"/>
          <w:szCs w:val="24"/>
        </w:rPr>
        <w:t xml:space="preserve"> por empresas às quais foram aplicadas multas ambientais</w:t>
      </w:r>
      <w:r>
        <w:rPr>
          <w:rFonts w:ascii="Arial" w:hAnsi="Arial" w:cs="Arial"/>
          <w:sz w:val="24"/>
          <w:szCs w:val="24"/>
        </w:rPr>
        <w:t xml:space="preserve">), </w:t>
      </w:r>
      <w:r w:rsidR="000662CD">
        <w:rPr>
          <w:rFonts w:ascii="Arial" w:hAnsi="Arial" w:cs="Arial"/>
          <w:sz w:val="24"/>
          <w:szCs w:val="24"/>
        </w:rPr>
        <w:t>esta CPI acrescenta o seguinte quanto a este 4º grupo de empresas:</w:t>
      </w:r>
    </w:p>
    <w:p w14:paraId="5E3D3DB5" w14:textId="77777777" w:rsidR="00111340" w:rsidRDefault="00111340" w:rsidP="004C0B16">
      <w:pPr>
        <w:spacing w:line="360" w:lineRule="auto"/>
        <w:ind w:firstLine="851"/>
        <w:jc w:val="both"/>
        <w:rPr>
          <w:rFonts w:ascii="Arial" w:hAnsi="Arial" w:cs="Arial"/>
          <w:sz w:val="24"/>
          <w:szCs w:val="24"/>
        </w:rPr>
      </w:pPr>
    </w:p>
    <w:p w14:paraId="14F5EEB4" w14:textId="48F3EDCE" w:rsidR="0093361F" w:rsidRPr="00B316DC" w:rsidRDefault="00B316DC" w:rsidP="00502615">
      <w:pPr>
        <w:pStyle w:val="PargrafodaLista"/>
        <w:numPr>
          <w:ilvl w:val="0"/>
          <w:numId w:val="39"/>
        </w:numPr>
        <w:spacing w:line="360" w:lineRule="auto"/>
        <w:jc w:val="both"/>
        <w:rPr>
          <w:rFonts w:ascii="Arial" w:hAnsi="Arial" w:cs="Arial"/>
          <w:sz w:val="24"/>
          <w:szCs w:val="24"/>
        </w:rPr>
      </w:pPr>
      <w:r w:rsidRPr="00B316DC">
        <w:rPr>
          <w:rFonts w:ascii="Arial" w:hAnsi="Arial" w:cs="Arial"/>
          <w:sz w:val="24"/>
          <w:szCs w:val="24"/>
          <w:u w:val="single"/>
        </w:rPr>
        <w:t>sejam os TARE’s das 100 (cem) maiores beneficiadas por incentivos fiscais no Estado de Goiás que tenham escriturado apenas crédito outorgado</w:t>
      </w:r>
      <w:r w:rsidR="007404B0">
        <w:rPr>
          <w:rFonts w:ascii="Arial" w:hAnsi="Arial" w:cs="Arial"/>
          <w:sz w:val="24"/>
          <w:szCs w:val="24"/>
          <w:u w:val="single"/>
        </w:rPr>
        <w:t xml:space="preserve"> e condenadas por infração ambiental</w:t>
      </w:r>
      <w:r w:rsidRPr="00B316DC">
        <w:rPr>
          <w:rFonts w:ascii="Arial" w:hAnsi="Arial" w:cs="Arial"/>
          <w:sz w:val="24"/>
          <w:szCs w:val="24"/>
        </w:rPr>
        <w:t xml:space="preserve">, </w:t>
      </w:r>
      <w:r w:rsidR="007404B0" w:rsidRPr="007404B0">
        <w:rPr>
          <w:rFonts w:ascii="Arial" w:hAnsi="Arial" w:cs="Arial"/>
          <w:sz w:val="24"/>
          <w:szCs w:val="24"/>
        </w:rPr>
        <w:t>suspens</w:t>
      </w:r>
      <w:r w:rsidR="007404B0">
        <w:rPr>
          <w:rFonts w:ascii="Arial" w:hAnsi="Arial" w:cs="Arial"/>
          <w:sz w:val="24"/>
          <w:szCs w:val="24"/>
        </w:rPr>
        <w:t>ão essa</w:t>
      </w:r>
      <w:r w:rsidR="007404B0" w:rsidRPr="007404B0">
        <w:rPr>
          <w:rFonts w:ascii="Arial" w:hAnsi="Arial" w:cs="Arial"/>
          <w:sz w:val="24"/>
          <w:szCs w:val="24"/>
        </w:rPr>
        <w:t xml:space="preserve"> pelo período mínimo de 2 (dois) meses, duplicado a cada reincidência</w:t>
      </w:r>
      <w:r w:rsidR="007404B0">
        <w:rPr>
          <w:rFonts w:ascii="Arial" w:hAnsi="Arial" w:cs="Arial"/>
          <w:sz w:val="24"/>
          <w:szCs w:val="24"/>
        </w:rPr>
        <w:t>, além da revogação do</w:t>
      </w:r>
      <w:r w:rsidRPr="00B316DC">
        <w:rPr>
          <w:rFonts w:ascii="Arial" w:hAnsi="Arial" w:cs="Arial"/>
          <w:sz w:val="24"/>
          <w:szCs w:val="24"/>
        </w:rPr>
        <w:t>s TARE’s de todos os CNPJ’s da JBS S/A, inclusive os não referidos especificamente ne</w:t>
      </w:r>
      <w:r w:rsidR="007404B0">
        <w:rPr>
          <w:rFonts w:ascii="Arial" w:hAnsi="Arial" w:cs="Arial"/>
          <w:sz w:val="24"/>
          <w:szCs w:val="24"/>
        </w:rPr>
        <w:t>ste relatório</w:t>
      </w:r>
      <w:r w:rsidR="00CF14AA" w:rsidRPr="00B316DC">
        <w:rPr>
          <w:rFonts w:ascii="Arial" w:hAnsi="Arial" w:cs="Arial"/>
          <w:sz w:val="24"/>
          <w:szCs w:val="24"/>
        </w:rPr>
        <w:t>;</w:t>
      </w:r>
    </w:p>
    <w:p w14:paraId="77B6F14D" w14:textId="47C4DE00" w:rsidR="00CF14AA" w:rsidRPr="0093361F" w:rsidRDefault="00CF14AA" w:rsidP="00502615">
      <w:pPr>
        <w:pStyle w:val="PargrafodaLista"/>
        <w:numPr>
          <w:ilvl w:val="0"/>
          <w:numId w:val="39"/>
        </w:numPr>
        <w:spacing w:line="360" w:lineRule="auto"/>
        <w:jc w:val="both"/>
        <w:rPr>
          <w:rFonts w:ascii="Arial" w:hAnsi="Arial" w:cs="Arial"/>
          <w:sz w:val="24"/>
          <w:szCs w:val="24"/>
        </w:rPr>
      </w:pPr>
      <w:r w:rsidRPr="00CF14AA">
        <w:rPr>
          <w:rFonts w:ascii="Arial" w:hAnsi="Arial" w:cs="Arial"/>
          <w:sz w:val="24"/>
          <w:szCs w:val="24"/>
          <w:u w:val="single"/>
        </w:rPr>
        <w:t xml:space="preserve">não seja reduzido o valor da multa imposta </w:t>
      </w:r>
      <w:r w:rsidR="00C66458">
        <w:rPr>
          <w:rFonts w:ascii="Arial" w:hAnsi="Arial" w:cs="Arial"/>
          <w:sz w:val="24"/>
          <w:szCs w:val="24"/>
          <w:u w:val="single"/>
        </w:rPr>
        <w:t xml:space="preserve">ou mantida </w:t>
      </w:r>
      <w:r w:rsidRPr="00CF14AA">
        <w:rPr>
          <w:rFonts w:ascii="Arial" w:hAnsi="Arial" w:cs="Arial"/>
          <w:sz w:val="24"/>
          <w:szCs w:val="24"/>
          <w:u w:val="single"/>
        </w:rPr>
        <w:t>em 1ª instância</w:t>
      </w:r>
      <w:r>
        <w:rPr>
          <w:rFonts w:ascii="Arial" w:hAnsi="Arial" w:cs="Arial"/>
          <w:sz w:val="24"/>
          <w:szCs w:val="24"/>
        </w:rPr>
        <w:t>, nos processos que estejam em fase recursal</w:t>
      </w:r>
      <w:r w:rsidR="00254DF0">
        <w:rPr>
          <w:rFonts w:ascii="Arial" w:hAnsi="Arial" w:cs="Arial"/>
          <w:sz w:val="24"/>
          <w:szCs w:val="24"/>
        </w:rPr>
        <w:t xml:space="preserve"> (nºs </w:t>
      </w:r>
      <w:r w:rsidR="00254DF0" w:rsidRPr="00254DF0">
        <w:rPr>
          <w:rFonts w:ascii="Arial" w:hAnsi="Arial" w:cs="Arial"/>
          <w:sz w:val="24"/>
          <w:szCs w:val="24"/>
        </w:rPr>
        <w:t>6896/2016</w:t>
      </w:r>
      <w:r w:rsidR="00254DF0">
        <w:rPr>
          <w:rFonts w:ascii="Arial" w:hAnsi="Arial" w:cs="Arial"/>
          <w:sz w:val="24"/>
          <w:szCs w:val="24"/>
        </w:rPr>
        <w:t xml:space="preserve"> e </w:t>
      </w:r>
      <w:r w:rsidR="00254DF0" w:rsidRPr="00254DF0">
        <w:rPr>
          <w:rFonts w:ascii="Arial" w:hAnsi="Arial" w:cs="Arial"/>
          <w:sz w:val="24"/>
          <w:szCs w:val="24"/>
        </w:rPr>
        <w:t>8858/2016</w:t>
      </w:r>
      <w:r w:rsidR="007404B0">
        <w:rPr>
          <w:rFonts w:ascii="Arial" w:hAnsi="Arial" w:cs="Arial"/>
          <w:sz w:val="24"/>
          <w:szCs w:val="24"/>
        </w:rPr>
        <w:t>).</w:t>
      </w:r>
    </w:p>
    <w:p w14:paraId="7B5AE912" w14:textId="77777777" w:rsidR="00EB7C07" w:rsidRDefault="00EB7C07" w:rsidP="00574522">
      <w:pPr>
        <w:spacing w:line="360" w:lineRule="auto"/>
        <w:ind w:left="851"/>
        <w:jc w:val="both"/>
        <w:rPr>
          <w:rFonts w:ascii="Arial" w:hAnsi="Arial" w:cs="Arial"/>
          <w:b/>
          <w:sz w:val="24"/>
          <w:szCs w:val="24"/>
        </w:rPr>
      </w:pPr>
    </w:p>
    <w:p w14:paraId="703221EC" w14:textId="0A6B512B" w:rsidR="007404B0" w:rsidRDefault="007404B0" w:rsidP="007404B0">
      <w:pPr>
        <w:spacing w:line="360" w:lineRule="auto"/>
        <w:ind w:firstLine="851"/>
        <w:jc w:val="both"/>
        <w:rPr>
          <w:rFonts w:ascii="Arial" w:hAnsi="Arial" w:cs="Arial"/>
          <w:sz w:val="24"/>
          <w:szCs w:val="24"/>
        </w:rPr>
      </w:pPr>
      <w:r>
        <w:rPr>
          <w:rFonts w:ascii="Arial" w:hAnsi="Arial" w:cs="Arial"/>
          <w:b/>
          <w:sz w:val="24"/>
          <w:szCs w:val="24"/>
        </w:rPr>
        <w:t>8.3.10</w:t>
      </w:r>
      <w:r w:rsidRPr="00BE40D6">
        <w:rPr>
          <w:rFonts w:ascii="Arial" w:hAnsi="Arial" w:cs="Arial"/>
          <w:b/>
          <w:sz w:val="24"/>
          <w:szCs w:val="24"/>
        </w:rPr>
        <w:t>.</w:t>
      </w:r>
      <w:r>
        <w:rPr>
          <w:rFonts w:ascii="Arial" w:hAnsi="Arial" w:cs="Arial"/>
          <w:b/>
          <w:sz w:val="24"/>
          <w:szCs w:val="24"/>
        </w:rPr>
        <w:t xml:space="preserve"> </w:t>
      </w:r>
      <w:r w:rsidRPr="00BE41AD">
        <w:rPr>
          <w:rFonts w:ascii="Arial" w:hAnsi="Arial" w:cs="Arial"/>
          <w:sz w:val="24"/>
          <w:szCs w:val="24"/>
        </w:rPr>
        <w:t xml:space="preserve">Portanto, esta CPI </w:t>
      </w:r>
      <w:r w:rsidRPr="00BE41AD">
        <w:rPr>
          <w:rFonts w:ascii="Arial" w:hAnsi="Arial" w:cs="Arial"/>
          <w:b/>
          <w:sz w:val="24"/>
          <w:szCs w:val="24"/>
          <w:u w:val="single"/>
        </w:rPr>
        <w:t>apela fortemente</w:t>
      </w:r>
      <w:r w:rsidRPr="00BE41AD">
        <w:rPr>
          <w:rFonts w:ascii="Arial" w:hAnsi="Arial" w:cs="Arial"/>
          <w:b/>
          <w:sz w:val="24"/>
          <w:szCs w:val="24"/>
        </w:rPr>
        <w:t xml:space="preserve"> aos atuais Secretários</w:t>
      </w:r>
      <w:r w:rsidRPr="00BE41AD">
        <w:rPr>
          <w:rFonts w:ascii="Arial" w:hAnsi="Arial" w:cs="Arial"/>
          <w:sz w:val="24"/>
          <w:szCs w:val="24"/>
        </w:rPr>
        <w:t xml:space="preserve"> de Estado da Indústria e Comércio</w:t>
      </w:r>
      <w:r>
        <w:rPr>
          <w:rFonts w:ascii="Arial" w:hAnsi="Arial" w:cs="Arial"/>
          <w:sz w:val="24"/>
          <w:szCs w:val="24"/>
        </w:rPr>
        <w:t>,</w:t>
      </w:r>
      <w:r w:rsidRPr="00BE41AD">
        <w:rPr>
          <w:rFonts w:ascii="Arial" w:hAnsi="Arial" w:cs="Arial"/>
          <w:sz w:val="24"/>
          <w:szCs w:val="24"/>
        </w:rPr>
        <w:t xml:space="preserve"> da Economia</w:t>
      </w:r>
      <w:r>
        <w:rPr>
          <w:rFonts w:ascii="Arial" w:hAnsi="Arial" w:cs="Arial"/>
          <w:sz w:val="24"/>
          <w:szCs w:val="24"/>
        </w:rPr>
        <w:t xml:space="preserve"> e do Meio Ambiente e Desenvolvimento Sustentável</w:t>
      </w:r>
      <w:r w:rsidRPr="00BE41AD">
        <w:rPr>
          <w:rFonts w:ascii="Arial" w:hAnsi="Arial" w:cs="Arial"/>
          <w:sz w:val="24"/>
          <w:szCs w:val="24"/>
        </w:rPr>
        <w:t xml:space="preserve">, </w:t>
      </w:r>
      <w:r w:rsidRPr="00C43AD2">
        <w:rPr>
          <w:rFonts w:ascii="Arial" w:hAnsi="Arial" w:cs="Arial"/>
          <w:b/>
          <w:sz w:val="24"/>
          <w:szCs w:val="24"/>
        </w:rPr>
        <w:t>além dos</w:t>
      </w:r>
      <w:r w:rsidRPr="00BE41AD">
        <w:rPr>
          <w:rFonts w:ascii="Arial" w:hAnsi="Arial" w:cs="Arial"/>
          <w:b/>
          <w:sz w:val="24"/>
          <w:szCs w:val="24"/>
        </w:rPr>
        <w:t xml:space="preserve"> demais órgãos e agentes públicos</w:t>
      </w:r>
      <w:r w:rsidRPr="00BE41AD">
        <w:rPr>
          <w:rFonts w:ascii="Arial" w:hAnsi="Arial" w:cs="Arial"/>
          <w:sz w:val="24"/>
          <w:szCs w:val="24"/>
        </w:rPr>
        <w:t xml:space="preserve"> responsáveis pela operacionalização e acompanhamento dos requisitos de fruição dos incentivos fiscais, sob pena de responsabilidade a ser apurada pelo MPE/GO e demais órgãos de controle, </w:t>
      </w:r>
      <w:r w:rsidRPr="00BE41AD">
        <w:rPr>
          <w:rFonts w:ascii="Arial" w:hAnsi="Arial" w:cs="Arial"/>
          <w:b/>
          <w:sz w:val="24"/>
          <w:szCs w:val="24"/>
        </w:rPr>
        <w:t>pa</w:t>
      </w:r>
      <w:r w:rsidRPr="00AC1BA2">
        <w:rPr>
          <w:rFonts w:ascii="Arial" w:hAnsi="Arial" w:cs="Arial"/>
          <w:b/>
          <w:sz w:val="24"/>
          <w:szCs w:val="24"/>
        </w:rPr>
        <w:t>ra que</w:t>
      </w:r>
      <w:r w:rsidRPr="00AC1BA2">
        <w:rPr>
          <w:rFonts w:ascii="Arial" w:hAnsi="Arial" w:cs="Arial"/>
          <w:sz w:val="24"/>
          <w:szCs w:val="24"/>
        </w:rPr>
        <w:t>:</w:t>
      </w:r>
    </w:p>
    <w:p w14:paraId="5215A773" w14:textId="77777777" w:rsidR="00111340" w:rsidRPr="00AC1BA2" w:rsidRDefault="00111340" w:rsidP="007404B0">
      <w:pPr>
        <w:spacing w:line="360" w:lineRule="auto"/>
        <w:ind w:firstLine="851"/>
        <w:jc w:val="both"/>
        <w:rPr>
          <w:rFonts w:ascii="Arial" w:hAnsi="Arial" w:cs="Arial"/>
          <w:sz w:val="24"/>
          <w:szCs w:val="24"/>
        </w:rPr>
      </w:pPr>
    </w:p>
    <w:p w14:paraId="4E4C4C40" w14:textId="7385D978" w:rsidR="007404B0" w:rsidRDefault="007404B0" w:rsidP="00502615">
      <w:pPr>
        <w:pStyle w:val="PargrafodaLista"/>
        <w:numPr>
          <w:ilvl w:val="0"/>
          <w:numId w:val="41"/>
        </w:numPr>
        <w:spacing w:line="360" w:lineRule="auto"/>
        <w:jc w:val="both"/>
        <w:rPr>
          <w:rFonts w:ascii="Arial" w:hAnsi="Arial" w:cs="Arial"/>
          <w:sz w:val="24"/>
          <w:szCs w:val="24"/>
        </w:rPr>
      </w:pPr>
      <w:r w:rsidRPr="00AD41DE">
        <w:rPr>
          <w:rFonts w:ascii="Arial" w:hAnsi="Arial" w:cs="Arial"/>
          <w:b/>
          <w:sz w:val="24"/>
          <w:szCs w:val="24"/>
        </w:rPr>
        <w:t>viabiliz</w:t>
      </w:r>
      <w:r>
        <w:rPr>
          <w:rFonts w:ascii="Arial" w:hAnsi="Arial" w:cs="Arial"/>
          <w:b/>
          <w:sz w:val="24"/>
          <w:szCs w:val="24"/>
        </w:rPr>
        <w:t>em</w:t>
      </w:r>
      <w:r w:rsidRPr="00AD41DE">
        <w:rPr>
          <w:rFonts w:ascii="Arial" w:hAnsi="Arial" w:cs="Arial"/>
          <w:b/>
          <w:sz w:val="24"/>
          <w:szCs w:val="24"/>
        </w:rPr>
        <w:t xml:space="preserve"> </w:t>
      </w:r>
      <w:r>
        <w:rPr>
          <w:rFonts w:ascii="Arial" w:hAnsi="Arial" w:cs="Arial"/>
          <w:b/>
          <w:sz w:val="24"/>
          <w:szCs w:val="24"/>
        </w:rPr>
        <w:t xml:space="preserve">e implantem </w:t>
      </w:r>
      <w:r w:rsidRPr="00AD41DE">
        <w:rPr>
          <w:rFonts w:ascii="Arial" w:hAnsi="Arial" w:cs="Arial"/>
          <w:b/>
          <w:sz w:val="24"/>
          <w:szCs w:val="24"/>
        </w:rPr>
        <w:t>um sistema</w:t>
      </w:r>
      <w:r>
        <w:rPr>
          <w:rFonts w:ascii="Arial" w:hAnsi="Arial" w:cs="Arial"/>
          <w:b/>
          <w:sz w:val="24"/>
          <w:szCs w:val="24"/>
        </w:rPr>
        <w:t xml:space="preserve"> integrado entre as mencionadas Secretarias</w:t>
      </w:r>
      <w:r w:rsidRPr="00AD41DE">
        <w:rPr>
          <w:rFonts w:ascii="Arial" w:hAnsi="Arial" w:cs="Arial"/>
          <w:b/>
          <w:sz w:val="24"/>
          <w:szCs w:val="24"/>
        </w:rPr>
        <w:t xml:space="preserve">, </w:t>
      </w:r>
      <w:r>
        <w:rPr>
          <w:rFonts w:ascii="Arial" w:hAnsi="Arial" w:cs="Arial"/>
          <w:sz w:val="24"/>
          <w:szCs w:val="24"/>
        </w:rPr>
        <w:t xml:space="preserve">pelo qual se possa </w:t>
      </w:r>
      <w:r w:rsidRPr="00AD41DE">
        <w:rPr>
          <w:rFonts w:ascii="Arial" w:hAnsi="Arial" w:cs="Arial"/>
          <w:sz w:val="24"/>
          <w:szCs w:val="24"/>
          <w:u w:val="single"/>
        </w:rPr>
        <w:t xml:space="preserve">acompanhar, em tempo real, </w:t>
      </w:r>
      <w:r>
        <w:rPr>
          <w:rFonts w:ascii="Arial" w:hAnsi="Arial" w:cs="Arial"/>
          <w:sz w:val="24"/>
          <w:szCs w:val="24"/>
          <w:u w:val="single"/>
        </w:rPr>
        <w:t xml:space="preserve">a existência de </w:t>
      </w:r>
      <w:r w:rsidRPr="00AD41DE">
        <w:rPr>
          <w:rFonts w:ascii="Arial" w:hAnsi="Arial" w:cs="Arial"/>
          <w:sz w:val="24"/>
          <w:szCs w:val="24"/>
          <w:u w:val="single"/>
        </w:rPr>
        <w:t>autuações e condenações ambientais em desfavor das empresas beneficiárias de incentivos fiscais no Estado de Goiás e também a situação das respectivas licenças ambientais</w:t>
      </w:r>
      <w:r>
        <w:rPr>
          <w:rFonts w:ascii="Arial" w:hAnsi="Arial" w:cs="Arial"/>
          <w:sz w:val="24"/>
          <w:szCs w:val="24"/>
        </w:rPr>
        <w:t xml:space="preserve">, de modo a facilitar o trâmite dessas </w:t>
      </w:r>
      <w:r>
        <w:rPr>
          <w:rFonts w:ascii="Arial" w:hAnsi="Arial" w:cs="Arial"/>
          <w:sz w:val="24"/>
          <w:szCs w:val="24"/>
        </w:rPr>
        <w:lastRenderedPageBreak/>
        <w:t>informações entre as referidas pastas de forma célere, sem necessidade de requisições formais;</w:t>
      </w:r>
    </w:p>
    <w:p w14:paraId="70F4D4D7" w14:textId="7188FA0B" w:rsidR="002A1E43" w:rsidRDefault="002A1E43" w:rsidP="00502615">
      <w:pPr>
        <w:pStyle w:val="PargrafodaLista"/>
        <w:numPr>
          <w:ilvl w:val="0"/>
          <w:numId w:val="41"/>
        </w:numPr>
        <w:spacing w:line="360" w:lineRule="auto"/>
        <w:jc w:val="both"/>
        <w:rPr>
          <w:rFonts w:ascii="Arial" w:hAnsi="Arial" w:cs="Arial"/>
          <w:sz w:val="24"/>
          <w:szCs w:val="24"/>
        </w:rPr>
      </w:pPr>
      <w:r w:rsidRPr="00B70092">
        <w:rPr>
          <w:rFonts w:ascii="Arial" w:hAnsi="Arial" w:cs="Arial"/>
          <w:b/>
          <w:sz w:val="24"/>
          <w:szCs w:val="24"/>
        </w:rPr>
        <w:t xml:space="preserve">formalizem convênio </w:t>
      </w:r>
      <w:r>
        <w:rPr>
          <w:rFonts w:ascii="Arial" w:hAnsi="Arial" w:cs="Arial"/>
          <w:b/>
          <w:sz w:val="24"/>
          <w:szCs w:val="24"/>
        </w:rPr>
        <w:t>com</w:t>
      </w:r>
      <w:r w:rsidRPr="00B70092">
        <w:rPr>
          <w:rFonts w:ascii="Arial" w:hAnsi="Arial" w:cs="Arial"/>
          <w:b/>
          <w:sz w:val="24"/>
          <w:szCs w:val="24"/>
        </w:rPr>
        <w:t xml:space="preserve"> o</w:t>
      </w:r>
      <w:r>
        <w:rPr>
          <w:rFonts w:ascii="Arial" w:hAnsi="Arial" w:cs="Arial"/>
          <w:b/>
          <w:sz w:val="24"/>
          <w:szCs w:val="24"/>
        </w:rPr>
        <w:t>s</w:t>
      </w:r>
      <w:r w:rsidRPr="00B70092">
        <w:rPr>
          <w:rFonts w:ascii="Arial" w:hAnsi="Arial" w:cs="Arial"/>
          <w:b/>
          <w:sz w:val="24"/>
          <w:szCs w:val="24"/>
        </w:rPr>
        <w:t xml:space="preserve"> órgão</w:t>
      </w:r>
      <w:r>
        <w:rPr>
          <w:rFonts w:ascii="Arial" w:hAnsi="Arial" w:cs="Arial"/>
          <w:b/>
          <w:sz w:val="24"/>
          <w:szCs w:val="24"/>
        </w:rPr>
        <w:t>s ambientais</w:t>
      </w:r>
      <w:r w:rsidRPr="00B70092">
        <w:rPr>
          <w:rFonts w:ascii="Arial" w:hAnsi="Arial" w:cs="Arial"/>
          <w:b/>
          <w:sz w:val="24"/>
          <w:szCs w:val="24"/>
        </w:rPr>
        <w:t xml:space="preserve"> competente</w:t>
      </w:r>
      <w:r>
        <w:rPr>
          <w:rFonts w:ascii="Arial" w:hAnsi="Arial" w:cs="Arial"/>
          <w:b/>
          <w:sz w:val="24"/>
          <w:szCs w:val="24"/>
        </w:rPr>
        <w:t>s, ao menos em nível federal num primeiro momento (IBAMA e ICMBIO)</w:t>
      </w:r>
      <w:r w:rsidRPr="002A1E43">
        <w:rPr>
          <w:rFonts w:ascii="Arial" w:hAnsi="Arial" w:cs="Arial"/>
          <w:sz w:val="24"/>
          <w:szCs w:val="24"/>
        </w:rPr>
        <w:t>,</w:t>
      </w:r>
      <w:r>
        <w:rPr>
          <w:rFonts w:ascii="Arial" w:hAnsi="Arial" w:cs="Arial"/>
          <w:b/>
          <w:sz w:val="24"/>
          <w:szCs w:val="24"/>
        </w:rPr>
        <w:t xml:space="preserve"> </w:t>
      </w:r>
      <w:r>
        <w:rPr>
          <w:rFonts w:ascii="Arial" w:hAnsi="Arial" w:cs="Arial"/>
          <w:sz w:val="24"/>
          <w:szCs w:val="24"/>
        </w:rPr>
        <w:t>a fim de conhecer as empresas beneficiárias de incentivos fiscais no Estado de Goiás que eventualmente tenham sido autuadas e condenadas por decisão final administrativa desses órgãos ambientais;</w:t>
      </w:r>
    </w:p>
    <w:p w14:paraId="4EDC41C9" w14:textId="62D7BE92" w:rsidR="002C2020" w:rsidRDefault="002C2020" w:rsidP="00502615">
      <w:pPr>
        <w:pStyle w:val="PargrafodaLista"/>
        <w:numPr>
          <w:ilvl w:val="0"/>
          <w:numId w:val="41"/>
        </w:numPr>
        <w:spacing w:line="360" w:lineRule="auto"/>
        <w:jc w:val="both"/>
        <w:rPr>
          <w:rFonts w:ascii="Arial" w:hAnsi="Arial" w:cs="Arial"/>
          <w:sz w:val="24"/>
          <w:szCs w:val="24"/>
        </w:rPr>
      </w:pPr>
      <w:r>
        <w:rPr>
          <w:rFonts w:ascii="Arial" w:hAnsi="Arial" w:cs="Arial"/>
          <w:b/>
          <w:sz w:val="24"/>
          <w:szCs w:val="24"/>
        </w:rPr>
        <w:t>independentemente do disposto na</w:t>
      </w:r>
      <w:r w:rsidR="002A1E43">
        <w:rPr>
          <w:rFonts w:ascii="Arial" w:hAnsi="Arial" w:cs="Arial"/>
          <w:b/>
          <w:sz w:val="24"/>
          <w:szCs w:val="24"/>
        </w:rPr>
        <w:t>s</w:t>
      </w:r>
      <w:r>
        <w:rPr>
          <w:rFonts w:ascii="Arial" w:hAnsi="Arial" w:cs="Arial"/>
          <w:b/>
          <w:sz w:val="24"/>
          <w:szCs w:val="24"/>
        </w:rPr>
        <w:t xml:space="preserve"> alínea</w:t>
      </w:r>
      <w:r w:rsidR="002A1E43">
        <w:rPr>
          <w:rFonts w:ascii="Arial" w:hAnsi="Arial" w:cs="Arial"/>
          <w:b/>
          <w:sz w:val="24"/>
          <w:szCs w:val="24"/>
        </w:rPr>
        <w:t>s</w:t>
      </w:r>
      <w:r>
        <w:rPr>
          <w:rFonts w:ascii="Arial" w:hAnsi="Arial" w:cs="Arial"/>
          <w:b/>
          <w:sz w:val="24"/>
          <w:szCs w:val="24"/>
        </w:rPr>
        <w:t xml:space="preserve"> “a”</w:t>
      </w:r>
      <w:r w:rsidR="002A1E43">
        <w:rPr>
          <w:rFonts w:ascii="Arial" w:hAnsi="Arial" w:cs="Arial"/>
          <w:b/>
          <w:sz w:val="24"/>
          <w:szCs w:val="24"/>
        </w:rPr>
        <w:t xml:space="preserve"> e “b”</w:t>
      </w:r>
      <w:r>
        <w:rPr>
          <w:rFonts w:ascii="Arial" w:hAnsi="Arial" w:cs="Arial"/>
          <w:b/>
          <w:sz w:val="24"/>
          <w:szCs w:val="24"/>
        </w:rPr>
        <w:t>, retro, sejam adotadas rotinas periódicas de fiscalização quanto à regularidade ambiental</w:t>
      </w:r>
      <w:r>
        <w:rPr>
          <w:rFonts w:ascii="Arial" w:hAnsi="Arial" w:cs="Arial"/>
          <w:sz w:val="24"/>
          <w:szCs w:val="24"/>
        </w:rPr>
        <w:t>, no âmbito dos Programas Fomentar/Produzir, crédito outorgado</w:t>
      </w:r>
      <w:r w:rsidR="001014A9">
        <w:rPr>
          <w:rFonts w:ascii="Arial" w:hAnsi="Arial" w:cs="Arial"/>
          <w:sz w:val="24"/>
          <w:szCs w:val="24"/>
        </w:rPr>
        <w:t xml:space="preserve"> e outros incentivos fiscais</w:t>
      </w:r>
      <w:r>
        <w:rPr>
          <w:rFonts w:ascii="Arial" w:hAnsi="Arial" w:cs="Arial"/>
          <w:sz w:val="24"/>
          <w:szCs w:val="24"/>
        </w:rPr>
        <w:t>;</w:t>
      </w:r>
    </w:p>
    <w:p w14:paraId="60161448" w14:textId="77777777" w:rsidR="007404B0" w:rsidRDefault="007404B0" w:rsidP="00502615">
      <w:pPr>
        <w:pStyle w:val="PargrafodaLista"/>
        <w:numPr>
          <w:ilvl w:val="0"/>
          <w:numId w:val="41"/>
        </w:numPr>
        <w:spacing w:line="360" w:lineRule="auto"/>
        <w:jc w:val="both"/>
        <w:rPr>
          <w:rFonts w:ascii="Arial" w:hAnsi="Arial" w:cs="Arial"/>
          <w:sz w:val="24"/>
          <w:szCs w:val="24"/>
        </w:rPr>
      </w:pPr>
      <w:r w:rsidRPr="00747FF2">
        <w:rPr>
          <w:rFonts w:ascii="Arial" w:hAnsi="Arial" w:cs="Arial"/>
          <w:b/>
          <w:sz w:val="24"/>
          <w:szCs w:val="24"/>
        </w:rPr>
        <w:t>a fiscalização ambiental</w:t>
      </w:r>
      <w:r>
        <w:rPr>
          <w:rFonts w:ascii="Arial" w:hAnsi="Arial" w:cs="Arial"/>
          <w:b/>
          <w:sz w:val="24"/>
          <w:szCs w:val="24"/>
        </w:rPr>
        <w:t xml:space="preserve"> </w:t>
      </w:r>
      <w:r w:rsidRPr="00747FF2">
        <w:rPr>
          <w:rFonts w:ascii="Arial" w:hAnsi="Arial" w:cs="Arial"/>
          <w:b/>
          <w:sz w:val="24"/>
          <w:szCs w:val="24"/>
        </w:rPr>
        <w:t>passe</w:t>
      </w:r>
      <w:r>
        <w:rPr>
          <w:rFonts w:ascii="Arial" w:hAnsi="Arial" w:cs="Arial"/>
          <w:b/>
          <w:sz w:val="24"/>
          <w:szCs w:val="24"/>
        </w:rPr>
        <w:t xml:space="preserve"> a</w:t>
      </w:r>
      <w:r>
        <w:rPr>
          <w:rFonts w:ascii="Arial" w:hAnsi="Arial" w:cs="Arial"/>
          <w:sz w:val="24"/>
          <w:szCs w:val="24"/>
        </w:rPr>
        <w:t>:</w:t>
      </w:r>
    </w:p>
    <w:p w14:paraId="3AE15F16" w14:textId="77777777" w:rsidR="00464B6C" w:rsidRDefault="00464B6C" w:rsidP="00464B6C">
      <w:pPr>
        <w:spacing w:line="360" w:lineRule="auto"/>
        <w:ind w:left="1211"/>
        <w:jc w:val="both"/>
        <w:rPr>
          <w:rFonts w:ascii="Arial" w:hAnsi="Arial" w:cs="Arial"/>
          <w:sz w:val="24"/>
          <w:szCs w:val="24"/>
        </w:rPr>
      </w:pPr>
      <w:r>
        <w:rPr>
          <w:rFonts w:ascii="Arial" w:hAnsi="Arial" w:cs="Arial"/>
          <w:sz w:val="24"/>
          <w:szCs w:val="24"/>
          <w:u w:val="single"/>
        </w:rPr>
        <w:t xml:space="preserve">d.1) </w:t>
      </w:r>
      <w:r w:rsidR="007404B0" w:rsidRPr="00464B6C">
        <w:rPr>
          <w:rFonts w:ascii="Arial" w:hAnsi="Arial" w:cs="Arial"/>
          <w:sz w:val="24"/>
          <w:szCs w:val="24"/>
          <w:u w:val="single"/>
        </w:rPr>
        <w:t>descrever claramente, no auto de infração, o termo inicial da prática nociva</w:t>
      </w:r>
      <w:r w:rsidR="007404B0" w:rsidRPr="00464B6C">
        <w:rPr>
          <w:rFonts w:ascii="Arial" w:hAnsi="Arial" w:cs="Arial"/>
          <w:sz w:val="24"/>
          <w:szCs w:val="24"/>
        </w:rPr>
        <w:t xml:space="preserve"> ao meio ambiente que ensejar a autuação da empresa e o período durante o qual permaneceu a referida prática;</w:t>
      </w:r>
    </w:p>
    <w:p w14:paraId="205F8470" w14:textId="18D783C4" w:rsidR="007404B0" w:rsidRDefault="00464B6C" w:rsidP="00464B6C">
      <w:pPr>
        <w:spacing w:line="360" w:lineRule="auto"/>
        <w:ind w:left="1211"/>
        <w:jc w:val="both"/>
        <w:rPr>
          <w:rFonts w:ascii="Arial" w:hAnsi="Arial" w:cs="Arial"/>
          <w:sz w:val="24"/>
          <w:szCs w:val="24"/>
        </w:rPr>
      </w:pPr>
      <w:r>
        <w:rPr>
          <w:rFonts w:ascii="Arial" w:hAnsi="Arial" w:cs="Arial"/>
          <w:sz w:val="24"/>
          <w:szCs w:val="24"/>
          <w:u w:val="single"/>
        </w:rPr>
        <w:t xml:space="preserve">d.2) </w:t>
      </w:r>
      <w:r w:rsidR="007404B0" w:rsidRPr="00464B6C">
        <w:rPr>
          <w:rFonts w:ascii="Arial" w:hAnsi="Arial" w:cs="Arial"/>
          <w:sz w:val="24"/>
          <w:szCs w:val="24"/>
          <w:u w:val="single"/>
        </w:rPr>
        <w:t>consignar no auto de infração a perda de incentivos fiscais</w:t>
      </w:r>
      <w:r w:rsidR="007404B0" w:rsidRPr="00464B6C">
        <w:rPr>
          <w:rFonts w:ascii="Arial" w:hAnsi="Arial" w:cs="Arial"/>
          <w:sz w:val="24"/>
          <w:szCs w:val="24"/>
        </w:rPr>
        <w:t>, relativamente a todo o período durante o qual permaneceu o descumprimento da legislação ambiental</w:t>
      </w:r>
      <w:r w:rsidR="00396573">
        <w:rPr>
          <w:rFonts w:ascii="Arial" w:hAnsi="Arial" w:cs="Arial"/>
          <w:sz w:val="24"/>
          <w:szCs w:val="24"/>
        </w:rPr>
        <w:t xml:space="preserve"> </w:t>
      </w:r>
      <w:r w:rsidR="00396573" w:rsidRPr="00396573">
        <w:rPr>
          <w:rFonts w:ascii="Arial" w:hAnsi="Arial" w:cs="Arial"/>
          <w:sz w:val="24"/>
          <w:szCs w:val="24"/>
        </w:rPr>
        <w:t>(CE/GO, art. 132, § 4º)</w:t>
      </w:r>
      <w:r w:rsidR="007404B0" w:rsidRPr="00464B6C">
        <w:rPr>
          <w:rFonts w:ascii="Arial" w:hAnsi="Arial" w:cs="Arial"/>
          <w:sz w:val="24"/>
          <w:szCs w:val="24"/>
        </w:rPr>
        <w:t xml:space="preserve">, </w:t>
      </w:r>
      <w:r w:rsidR="007404B0" w:rsidRPr="00464B6C">
        <w:rPr>
          <w:rFonts w:ascii="Arial" w:hAnsi="Arial" w:cs="Arial"/>
          <w:sz w:val="24"/>
          <w:szCs w:val="24"/>
          <w:u w:val="single"/>
        </w:rPr>
        <w:t>e eventual restrição para sua utilização em períodos futuros, especificado pela autoridade ambiental fiscalizadora</w:t>
      </w:r>
      <w:r w:rsidR="007404B0" w:rsidRPr="00464B6C">
        <w:rPr>
          <w:rFonts w:ascii="Arial" w:hAnsi="Arial" w:cs="Arial"/>
          <w:sz w:val="24"/>
          <w:szCs w:val="24"/>
        </w:rPr>
        <w:t>, nos termos do art. 25, III, da Lei nº 18.102/2013, sem prejuízo das demais medidas e penalidades que o caso requerer;</w:t>
      </w:r>
    </w:p>
    <w:p w14:paraId="0B688885" w14:textId="37D2B2F3" w:rsidR="007404B0" w:rsidRDefault="007404B0" w:rsidP="00502615">
      <w:pPr>
        <w:pStyle w:val="PargrafodaLista"/>
        <w:numPr>
          <w:ilvl w:val="0"/>
          <w:numId w:val="41"/>
        </w:numPr>
        <w:spacing w:line="360" w:lineRule="auto"/>
        <w:jc w:val="both"/>
        <w:rPr>
          <w:rFonts w:ascii="Arial" w:hAnsi="Arial" w:cs="Arial"/>
          <w:sz w:val="24"/>
          <w:szCs w:val="24"/>
        </w:rPr>
      </w:pPr>
      <w:r>
        <w:rPr>
          <w:rFonts w:ascii="Arial" w:hAnsi="Arial" w:cs="Arial"/>
          <w:b/>
          <w:sz w:val="24"/>
          <w:szCs w:val="24"/>
        </w:rPr>
        <w:t>tendo em vista os excessivos números quanto à prescrição de processos administrativos</w:t>
      </w:r>
      <w:r w:rsidRPr="00504D8C">
        <w:rPr>
          <w:rFonts w:ascii="Arial" w:hAnsi="Arial" w:cs="Arial"/>
          <w:sz w:val="24"/>
          <w:szCs w:val="24"/>
        </w:rPr>
        <w:t xml:space="preserve">, </w:t>
      </w:r>
      <w:r w:rsidRPr="00504D8C">
        <w:rPr>
          <w:rFonts w:ascii="Arial" w:hAnsi="Arial" w:cs="Arial"/>
          <w:sz w:val="24"/>
          <w:szCs w:val="24"/>
          <w:u w:val="single"/>
        </w:rPr>
        <w:t>a SEMAD apure eventua</w:t>
      </w:r>
      <w:r w:rsidR="00CE032E">
        <w:rPr>
          <w:rFonts w:ascii="Arial" w:hAnsi="Arial" w:cs="Arial"/>
          <w:sz w:val="24"/>
          <w:szCs w:val="24"/>
          <w:u w:val="single"/>
        </w:rPr>
        <w:t>is</w:t>
      </w:r>
      <w:r>
        <w:rPr>
          <w:rFonts w:ascii="Arial" w:hAnsi="Arial" w:cs="Arial"/>
          <w:sz w:val="24"/>
          <w:szCs w:val="24"/>
          <w:u w:val="single"/>
        </w:rPr>
        <w:t xml:space="preserve"> ilícitos funcionais </w:t>
      </w:r>
      <w:r w:rsidRPr="00AB2E83">
        <w:rPr>
          <w:rFonts w:ascii="Arial" w:hAnsi="Arial" w:cs="Arial"/>
          <w:sz w:val="24"/>
          <w:szCs w:val="24"/>
          <w:u w:val="single"/>
        </w:rPr>
        <w:t xml:space="preserve">decorrente da excessiva paralização dos processos administrativos ambientais </w:t>
      </w:r>
      <w:r>
        <w:rPr>
          <w:rFonts w:ascii="Arial" w:hAnsi="Arial" w:cs="Arial"/>
          <w:sz w:val="24"/>
          <w:szCs w:val="24"/>
          <w:u w:val="single"/>
        </w:rPr>
        <w:t xml:space="preserve">e determine </w:t>
      </w:r>
      <w:r w:rsidRPr="0087334D">
        <w:rPr>
          <w:rFonts w:ascii="Arial" w:hAnsi="Arial" w:cs="Arial"/>
          <w:sz w:val="24"/>
          <w:szCs w:val="24"/>
          <w:u w:val="single"/>
        </w:rPr>
        <w:t xml:space="preserve">a efetiva reparação do dano </w:t>
      </w:r>
      <w:r w:rsidRPr="00AB2E83">
        <w:rPr>
          <w:rFonts w:ascii="Arial" w:hAnsi="Arial" w:cs="Arial"/>
          <w:sz w:val="24"/>
          <w:szCs w:val="24"/>
          <w:u w:val="single"/>
        </w:rPr>
        <w:t xml:space="preserve">ambiental das empresas que tiveram reconhecido em seu favor a </w:t>
      </w:r>
      <w:r w:rsidRPr="00504D8C">
        <w:rPr>
          <w:rFonts w:ascii="Arial" w:hAnsi="Arial" w:cs="Arial"/>
          <w:sz w:val="24"/>
          <w:szCs w:val="24"/>
          <w:u w:val="single"/>
        </w:rPr>
        <w:t>prescrição (Lei nº 18.102/2013, art. 26, §§ 2º e 4º)</w:t>
      </w:r>
      <w:r>
        <w:rPr>
          <w:rFonts w:ascii="Arial" w:hAnsi="Arial" w:cs="Arial"/>
          <w:sz w:val="24"/>
          <w:szCs w:val="24"/>
        </w:rPr>
        <w:t xml:space="preserve">, sem prejuízo da </w:t>
      </w:r>
      <w:r w:rsidRPr="00AB2E83">
        <w:rPr>
          <w:rFonts w:ascii="Arial" w:hAnsi="Arial" w:cs="Arial"/>
          <w:sz w:val="24"/>
          <w:szCs w:val="24"/>
        </w:rPr>
        <w:t>apuração do MPGO acerca de eventual ato de improbidade administrativa</w:t>
      </w:r>
      <w:r>
        <w:rPr>
          <w:rFonts w:ascii="Arial" w:hAnsi="Arial" w:cs="Arial"/>
          <w:sz w:val="24"/>
          <w:szCs w:val="24"/>
        </w:rPr>
        <w:t xml:space="preserve"> dos agentes públicos envolvidos</w:t>
      </w:r>
      <w:r w:rsidRPr="00AB2E83">
        <w:rPr>
          <w:rFonts w:ascii="Arial" w:hAnsi="Arial" w:cs="Arial"/>
          <w:sz w:val="24"/>
          <w:szCs w:val="24"/>
        </w:rPr>
        <w:t xml:space="preserve"> decorrente </w:t>
      </w:r>
      <w:r>
        <w:rPr>
          <w:rFonts w:ascii="Arial" w:hAnsi="Arial" w:cs="Arial"/>
          <w:sz w:val="24"/>
          <w:szCs w:val="24"/>
        </w:rPr>
        <w:t>dos mesmos fatos e omissões e do disposto na alínea “e”, abaixo;</w:t>
      </w:r>
    </w:p>
    <w:p w14:paraId="444A02E6" w14:textId="484D4284" w:rsidR="007404B0" w:rsidRDefault="007404B0" w:rsidP="00502615">
      <w:pPr>
        <w:pStyle w:val="PargrafodaLista"/>
        <w:numPr>
          <w:ilvl w:val="0"/>
          <w:numId w:val="41"/>
        </w:numPr>
        <w:spacing w:line="360" w:lineRule="auto"/>
        <w:jc w:val="both"/>
        <w:rPr>
          <w:rFonts w:ascii="Arial" w:hAnsi="Arial" w:cs="Arial"/>
          <w:sz w:val="24"/>
          <w:szCs w:val="24"/>
        </w:rPr>
      </w:pPr>
      <w:r w:rsidRPr="00AB2E83">
        <w:rPr>
          <w:rFonts w:ascii="Arial" w:hAnsi="Arial" w:cs="Arial"/>
          <w:b/>
          <w:sz w:val="24"/>
          <w:szCs w:val="24"/>
        </w:rPr>
        <w:t xml:space="preserve">apurem o motivo de </w:t>
      </w:r>
      <w:r>
        <w:rPr>
          <w:rFonts w:ascii="Arial" w:hAnsi="Arial" w:cs="Arial"/>
          <w:b/>
          <w:sz w:val="24"/>
          <w:szCs w:val="24"/>
        </w:rPr>
        <w:t>diversas</w:t>
      </w:r>
      <w:r w:rsidRPr="00AB2E83">
        <w:rPr>
          <w:rFonts w:ascii="Arial" w:hAnsi="Arial" w:cs="Arial"/>
          <w:b/>
          <w:sz w:val="24"/>
          <w:szCs w:val="24"/>
        </w:rPr>
        <w:t xml:space="preserve"> empresas terem </w:t>
      </w:r>
      <w:r>
        <w:rPr>
          <w:rFonts w:ascii="Arial" w:hAnsi="Arial" w:cs="Arial"/>
          <w:b/>
          <w:sz w:val="24"/>
          <w:szCs w:val="24"/>
        </w:rPr>
        <w:t>quitado</w:t>
      </w:r>
      <w:r w:rsidRPr="00AB2E83">
        <w:rPr>
          <w:rFonts w:ascii="Arial" w:hAnsi="Arial" w:cs="Arial"/>
          <w:b/>
          <w:sz w:val="24"/>
          <w:szCs w:val="24"/>
        </w:rPr>
        <w:t xml:space="preserve"> valor inferior ao fixado na decisão administrativa final</w:t>
      </w:r>
      <w:r>
        <w:rPr>
          <w:rFonts w:ascii="Arial" w:hAnsi="Arial" w:cs="Arial"/>
          <w:sz w:val="24"/>
          <w:szCs w:val="24"/>
        </w:rPr>
        <w:t xml:space="preserve">, nos termos do item 8.3.7 deste relatório, e, caso não constatem qualquer justificativa, seja encaminhado ao </w:t>
      </w:r>
      <w:r>
        <w:rPr>
          <w:rFonts w:ascii="Arial" w:hAnsi="Arial" w:cs="Arial"/>
          <w:sz w:val="24"/>
          <w:szCs w:val="24"/>
        </w:rPr>
        <w:lastRenderedPageBreak/>
        <w:t xml:space="preserve">órgão competente para inscrição em dívida ativa relativamente à diferença apurada e demais providências </w:t>
      </w:r>
      <w:r w:rsidR="00CE032E">
        <w:rPr>
          <w:rFonts w:ascii="Arial" w:hAnsi="Arial" w:cs="Arial"/>
          <w:sz w:val="24"/>
          <w:szCs w:val="24"/>
        </w:rPr>
        <w:t>que o caso requerer;</w:t>
      </w:r>
    </w:p>
    <w:p w14:paraId="665E0E50" w14:textId="432A69B8" w:rsidR="007404B0" w:rsidRDefault="007404B0" w:rsidP="00502615">
      <w:pPr>
        <w:pStyle w:val="PargrafodaLista"/>
        <w:numPr>
          <w:ilvl w:val="0"/>
          <w:numId w:val="41"/>
        </w:numPr>
        <w:spacing w:line="360" w:lineRule="auto"/>
        <w:jc w:val="both"/>
        <w:rPr>
          <w:rFonts w:ascii="Arial" w:hAnsi="Arial" w:cs="Arial"/>
          <w:sz w:val="24"/>
          <w:szCs w:val="24"/>
        </w:rPr>
      </w:pPr>
      <w:r w:rsidRPr="00E169D1">
        <w:rPr>
          <w:rFonts w:ascii="Arial" w:hAnsi="Arial" w:cs="Arial"/>
          <w:b/>
          <w:sz w:val="24"/>
          <w:szCs w:val="24"/>
        </w:rPr>
        <w:t>a SEMAD apure se</w:t>
      </w:r>
      <w:r>
        <w:rPr>
          <w:rFonts w:ascii="Arial" w:hAnsi="Arial" w:cs="Arial"/>
          <w:b/>
          <w:sz w:val="24"/>
          <w:szCs w:val="24"/>
        </w:rPr>
        <w:t>,</w:t>
      </w:r>
      <w:r w:rsidRPr="00E169D1">
        <w:rPr>
          <w:rFonts w:ascii="Arial" w:hAnsi="Arial" w:cs="Arial"/>
          <w:b/>
          <w:sz w:val="24"/>
          <w:szCs w:val="24"/>
        </w:rPr>
        <w:t xml:space="preserve"> em relação </w:t>
      </w:r>
      <w:r>
        <w:rPr>
          <w:rFonts w:ascii="Arial" w:hAnsi="Arial" w:cs="Arial"/>
          <w:b/>
          <w:sz w:val="24"/>
          <w:szCs w:val="24"/>
        </w:rPr>
        <w:t>às empresas autuadas e mencionadas neste relatório,</w:t>
      </w:r>
      <w:r w:rsidRPr="00E169D1">
        <w:rPr>
          <w:rFonts w:ascii="Arial" w:hAnsi="Arial" w:cs="Arial"/>
          <w:b/>
          <w:sz w:val="24"/>
          <w:szCs w:val="24"/>
        </w:rPr>
        <w:t xml:space="preserve"> é possível determinar o período, a partir de 2014, durante o qual perdurou a irregularidade</w:t>
      </w:r>
      <w:r>
        <w:rPr>
          <w:rFonts w:ascii="Arial" w:hAnsi="Arial" w:cs="Arial"/>
          <w:b/>
          <w:sz w:val="24"/>
          <w:szCs w:val="24"/>
        </w:rPr>
        <w:t xml:space="preserve"> ambiental</w:t>
      </w:r>
      <w:r w:rsidRPr="00E169D1">
        <w:rPr>
          <w:rFonts w:ascii="Arial" w:hAnsi="Arial" w:cs="Arial"/>
          <w:b/>
          <w:sz w:val="24"/>
          <w:szCs w:val="24"/>
        </w:rPr>
        <w:t xml:space="preserve">, </w:t>
      </w:r>
      <w:r w:rsidR="00DB3E2F" w:rsidRPr="00E169D1">
        <w:rPr>
          <w:rFonts w:ascii="Arial" w:hAnsi="Arial" w:cs="Arial"/>
          <w:b/>
          <w:sz w:val="24"/>
          <w:szCs w:val="24"/>
        </w:rPr>
        <w:t xml:space="preserve">nos termos </w:t>
      </w:r>
      <w:r w:rsidR="00DB3E2F">
        <w:rPr>
          <w:rFonts w:ascii="Arial" w:hAnsi="Arial" w:cs="Arial"/>
          <w:b/>
          <w:sz w:val="24"/>
          <w:szCs w:val="24"/>
        </w:rPr>
        <w:t xml:space="preserve">dos itens 8.3.7 e 8.3.8 </w:t>
      </w:r>
      <w:r w:rsidR="00DB3E2F" w:rsidRPr="00E169D1">
        <w:rPr>
          <w:rFonts w:ascii="Arial" w:hAnsi="Arial" w:cs="Arial"/>
          <w:b/>
          <w:sz w:val="24"/>
          <w:szCs w:val="24"/>
        </w:rPr>
        <w:t>deste relatório</w:t>
      </w:r>
      <w:r w:rsidRPr="00E169D1">
        <w:rPr>
          <w:rFonts w:ascii="Arial" w:hAnsi="Arial" w:cs="Arial"/>
          <w:b/>
          <w:sz w:val="24"/>
          <w:szCs w:val="24"/>
        </w:rPr>
        <w:t xml:space="preserve"> e de outras diretrizes técnicas do órgão</w:t>
      </w:r>
      <w:r>
        <w:rPr>
          <w:rFonts w:ascii="Arial" w:hAnsi="Arial" w:cs="Arial"/>
          <w:sz w:val="24"/>
          <w:szCs w:val="24"/>
        </w:rPr>
        <w:t>,</w:t>
      </w:r>
      <w:r w:rsidRPr="0087334D">
        <w:rPr>
          <w:rFonts w:ascii="Arial" w:hAnsi="Arial" w:cs="Arial"/>
          <w:sz w:val="24"/>
          <w:szCs w:val="24"/>
        </w:rPr>
        <w:t xml:space="preserve"> e, uma vez formalizada essa identificação, seja o feito encaminhado </w:t>
      </w:r>
      <w:r>
        <w:rPr>
          <w:rFonts w:ascii="Arial" w:hAnsi="Arial" w:cs="Arial"/>
          <w:sz w:val="24"/>
          <w:szCs w:val="24"/>
        </w:rPr>
        <w:t xml:space="preserve">à Secretaria de Estado da Economia para constituição do respectivo crédito tributário e posterior </w:t>
      </w:r>
      <w:r w:rsidRPr="0087334D">
        <w:rPr>
          <w:rFonts w:ascii="Arial" w:hAnsi="Arial" w:cs="Arial"/>
          <w:sz w:val="24"/>
          <w:szCs w:val="24"/>
        </w:rPr>
        <w:t>inscrição em dívida ativa</w:t>
      </w:r>
      <w:r>
        <w:rPr>
          <w:rFonts w:ascii="Arial" w:hAnsi="Arial" w:cs="Arial"/>
          <w:sz w:val="24"/>
          <w:szCs w:val="24"/>
        </w:rPr>
        <w:t>, se necessário,</w:t>
      </w:r>
      <w:r w:rsidRPr="0087334D">
        <w:rPr>
          <w:rFonts w:ascii="Arial" w:hAnsi="Arial" w:cs="Arial"/>
          <w:sz w:val="24"/>
          <w:szCs w:val="24"/>
        </w:rPr>
        <w:t xml:space="preserve"> relativamente aos valores indevidamente fruídos a título de incentivos fiscais e posterior adoção das medidas executivas pertinentes pelo órgão de advocacia pública</w:t>
      </w:r>
      <w:r>
        <w:rPr>
          <w:rFonts w:ascii="Arial" w:hAnsi="Arial" w:cs="Arial"/>
          <w:sz w:val="24"/>
          <w:szCs w:val="24"/>
        </w:rPr>
        <w:t xml:space="preserve"> estatal, com fulcro no § 4º do art. 132 da CE/GO;</w:t>
      </w:r>
    </w:p>
    <w:p w14:paraId="41580E52" w14:textId="77777777" w:rsidR="007404B0" w:rsidRDefault="007404B0" w:rsidP="00502615">
      <w:pPr>
        <w:pStyle w:val="PargrafodaLista"/>
        <w:numPr>
          <w:ilvl w:val="0"/>
          <w:numId w:val="41"/>
        </w:numPr>
        <w:spacing w:line="360" w:lineRule="auto"/>
        <w:jc w:val="both"/>
        <w:rPr>
          <w:rFonts w:ascii="Arial" w:hAnsi="Arial" w:cs="Arial"/>
          <w:sz w:val="24"/>
          <w:szCs w:val="24"/>
        </w:rPr>
      </w:pPr>
      <w:r w:rsidRPr="004C521A">
        <w:rPr>
          <w:rFonts w:ascii="Arial" w:hAnsi="Arial" w:cs="Arial"/>
          <w:b/>
          <w:sz w:val="24"/>
          <w:szCs w:val="24"/>
        </w:rPr>
        <w:t xml:space="preserve">sejam </w:t>
      </w:r>
      <w:r>
        <w:rPr>
          <w:rFonts w:ascii="Arial" w:hAnsi="Arial" w:cs="Arial"/>
          <w:b/>
          <w:sz w:val="24"/>
          <w:szCs w:val="24"/>
        </w:rPr>
        <w:t>suspensos os contratos das empresas inscritas nos Programas Fomentar/Produzir autuadas por infração ambiental nos termos dos itens 8.3.7 deste relatório</w:t>
      </w:r>
      <w:r>
        <w:rPr>
          <w:rFonts w:ascii="Arial" w:hAnsi="Arial" w:cs="Arial"/>
          <w:sz w:val="24"/>
          <w:szCs w:val="24"/>
        </w:rPr>
        <w:t>, pelo período mínimo de 2 (dois) meses, duplicado a cada reincidência, nos termos dos arts. 7º, § 1º, III, da Lei nº 11.180/1990 e 24, § 1º, IV, da Lei nº 13.591/2000, sem prejuízo das demais penalidades aplicadas e da revogação do contrato e TARE firmados especificamente com as seguintes pessoas jurídicas:</w:t>
      </w:r>
    </w:p>
    <w:p w14:paraId="6A2A31E9" w14:textId="4A167819" w:rsidR="007404B0" w:rsidRDefault="00CE032E" w:rsidP="007404B0">
      <w:pPr>
        <w:pStyle w:val="PargrafodaLista"/>
        <w:spacing w:line="360" w:lineRule="auto"/>
        <w:ind w:left="1211"/>
        <w:jc w:val="both"/>
        <w:rPr>
          <w:rFonts w:ascii="Arial" w:hAnsi="Arial" w:cs="Arial"/>
          <w:sz w:val="24"/>
          <w:szCs w:val="24"/>
        </w:rPr>
      </w:pPr>
      <w:r>
        <w:rPr>
          <w:rFonts w:ascii="Arial" w:hAnsi="Arial" w:cs="Arial"/>
          <w:sz w:val="24"/>
          <w:szCs w:val="24"/>
          <w:u w:val="single"/>
        </w:rPr>
        <w:t>h</w:t>
      </w:r>
      <w:r w:rsidR="007404B0" w:rsidRPr="00FF73A1">
        <w:rPr>
          <w:rFonts w:ascii="Arial" w:hAnsi="Arial" w:cs="Arial"/>
          <w:sz w:val="24"/>
          <w:szCs w:val="24"/>
          <w:u w:val="single"/>
        </w:rPr>
        <w:t xml:space="preserve">.1) </w:t>
      </w:r>
      <w:r w:rsidR="007404B0" w:rsidRPr="00FF73A1">
        <w:rPr>
          <w:rFonts w:ascii="Arial" w:hAnsi="Arial" w:cs="Arial"/>
          <w:color w:val="000000"/>
          <w:sz w:val="24"/>
          <w:szCs w:val="24"/>
          <w:u w:val="single"/>
        </w:rPr>
        <w:t>Vale do Verdão S.A – Açúcar e Álcool</w:t>
      </w:r>
      <w:r w:rsidR="007404B0">
        <w:rPr>
          <w:rFonts w:ascii="Arial" w:hAnsi="Arial" w:cs="Arial"/>
          <w:color w:val="000000"/>
          <w:sz w:val="24"/>
          <w:szCs w:val="24"/>
        </w:rPr>
        <w:t xml:space="preserve"> (CNPJ nº </w:t>
      </w:r>
      <w:r w:rsidR="007404B0" w:rsidRPr="00307953">
        <w:rPr>
          <w:rFonts w:ascii="Arial" w:hAnsi="Arial" w:cs="Arial"/>
          <w:color w:val="000000"/>
          <w:sz w:val="24"/>
          <w:szCs w:val="24"/>
        </w:rPr>
        <w:t>02.859.452/0002-30</w:t>
      </w:r>
      <w:r w:rsidR="007404B0">
        <w:rPr>
          <w:rFonts w:ascii="Arial" w:hAnsi="Arial" w:cs="Arial"/>
          <w:color w:val="000000"/>
          <w:sz w:val="24"/>
          <w:szCs w:val="24"/>
        </w:rPr>
        <w:t>), devido ao excessivo número de autos de infração contra a pessoa jurídica</w:t>
      </w:r>
      <w:r w:rsidR="007404B0">
        <w:rPr>
          <w:rFonts w:ascii="Arial" w:hAnsi="Arial" w:cs="Arial"/>
          <w:sz w:val="24"/>
          <w:szCs w:val="24"/>
        </w:rPr>
        <w:t>;</w:t>
      </w:r>
    </w:p>
    <w:p w14:paraId="6FC9947A" w14:textId="05FE1E2D" w:rsidR="007404B0" w:rsidRPr="00FF73A1" w:rsidRDefault="00CE032E" w:rsidP="007404B0">
      <w:pPr>
        <w:pStyle w:val="PargrafodaLista"/>
        <w:spacing w:line="360" w:lineRule="auto"/>
        <w:ind w:left="1211"/>
        <w:jc w:val="both"/>
        <w:rPr>
          <w:rFonts w:ascii="Arial" w:hAnsi="Arial" w:cs="Arial"/>
          <w:color w:val="000000"/>
          <w:sz w:val="24"/>
          <w:szCs w:val="24"/>
        </w:rPr>
      </w:pPr>
      <w:r>
        <w:rPr>
          <w:rFonts w:ascii="Arial" w:hAnsi="Arial" w:cs="Arial"/>
          <w:sz w:val="24"/>
          <w:szCs w:val="24"/>
          <w:u w:val="single"/>
        </w:rPr>
        <w:t>h</w:t>
      </w:r>
      <w:r w:rsidR="007404B0" w:rsidRPr="00FF73A1">
        <w:rPr>
          <w:rFonts w:ascii="Arial" w:hAnsi="Arial" w:cs="Arial"/>
          <w:sz w:val="24"/>
          <w:szCs w:val="24"/>
          <w:u w:val="single"/>
        </w:rPr>
        <w:t>.</w:t>
      </w:r>
      <w:r w:rsidR="007404B0">
        <w:rPr>
          <w:rFonts w:ascii="Arial" w:hAnsi="Arial" w:cs="Arial"/>
          <w:sz w:val="24"/>
          <w:szCs w:val="24"/>
          <w:u w:val="single"/>
        </w:rPr>
        <w:t>2</w:t>
      </w:r>
      <w:r w:rsidR="007404B0" w:rsidRPr="00FF73A1">
        <w:rPr>
          <w:rFonts w:ascii="Arial" w:hAnsi="Arial" w:cs="Arial"/>
          <w:sz w:val="24"/>
          <w:szCs w:val="24"/>
          <w:u w:val="single"/>
        </w:rPr>
        <w:t xml:space="preserve">) </w:t>
      </w:r>
      <w:r w:rsidR="007404B0">
        <w:rPr>
          <w:rFonts w:ascii="Arial" w:hAnsi="Arial" w:cs="Arial"/>
          <w:sz w:val="24"/>
          <w:szCs w:val="24"/>
          <w:u w:val="single"/>
        </w:rPr>
        <w:t>de todas as pessoas jurídicas cujo valor total de multa aplicado exceder a R$ 50.000,00 (cinquenta mil reais)</w:t>
      </w:r>
      <w:r w:rsidR="007404B0" w:rsidRPr="00FF73A1">
        <w:rPr>
          <w:rFonts w:ascii="Arial" w:hAnsi="Arial" w:cs="Arial"/>
          <w:sz w:val="24"/>
          <w:szCs w:val="24"/>
        </w:rPr>
        <w:t xml:space="preserve">, </w:t>
      </w:r>
      <w:r w:rsidR="007404B0">
        <w:rPr>
          <w:rFonts w:ascii="Arial" w:hAnsi="Arial" w:cs="Arial"/>
          <w:sz w:val="24"/>
          <w:szCs w:val="24"/>
        </w:rPr>
        <w:t xml:space="preserve">como </w:t>
      </w:r>
      <w:r w:rsidR="007404B0" w:rsidRPr="00FF73A1">
        <w:rPr>
          <w:rFonts w:ascii="Arial" w:hAnsi="Arial" w:cs="Arial"/>
          <w:color w:val="000000"/>
          <w:sz w:val="24"/>
          <w:szCs w:val="24"/>
        </w:rPr>
        <w:t>Bela Vista Ltda (CNPJ nº 02.089.969/0005-30)</w:t>
      </w:r>
      <w:r w:rsidR="007404B0">
        <w:rPr>
          <w:rFonts w:ascii="Arial" w:hAnsi="Arial" w:cs="Arial"/>
          <w:color w:val="000000"/>
          <w:sz w:val="24"/>
          <w:szCs w:val="24"/>
        </w:rPr>
        <w:t>,</w:t>
      </w:r>
      <w:r w:rsidR="007404B0" w:rsidRPr="00FF73A1">
        <w:rPr>
          <w:rFonts w:ascii="Arial" w:hAnsi="Arial" w:cs="Arial"/>
          <w:color w:val="000000"/>
          <w:sz w:val="24"/>
          <w:szCs w:val="24"/>
        </w:rPr>
        <w:t xml:space="preserve"> Bunge Alimentos S.A (CNPJ nº 84.046.101/0057-48)</w:t>
      </w:r>
      <w:r w:rsidR="007404B0">
        <w:rPr>
          <w:rFonts w:ascii="Arial" w:hAnsi="Arial" w:cs="Arial"/>
          <w:color w:val="000000"/>
          <w:sz w:val="24"/>
          <w:szCs w:val="24"/>
        </w:rPr>
        <w:t xml:space="preserve"> e outras;</w:t>
      </w:r>
    </w:p>
    <w:p w14:paraId="23520E8C" w14:textId="77777777" w:rsidR="007404B0" w:rsidRDefault="007404B0" w:rsidP="00502615">
      <w:pPr>
        <w:pStyle w:val="PargrafodaLista"/>
        <w:numPr>
          <w:ilvl w:val="0"/>
          <w:numId w:val="41"/>
        </w:numPr>
        <w:spacing w:line="360" w:lineRule="auto"/>
        <w:jc w:val="both"/>
        <w:rPr>
          <w:rFonts w:ascii="Arial" w:hAnsi="Arial" w:cs="Arial"/>
          <w:sz w:val="24"/>
          <w:szCs w:val="24"/>
        </w:rPr>
      </w:pPr>
      <w:r>
        <w:rPr>
          <w:rFonts w:ascii="Arial" w:hAnsi="Arial" w:cs="Arial"/>
          <w:b/>
          <w:sz w:val="24"/>
          <w:szCs w:val="24"/>
        </w:rPr>
        <w:t>sejam suspensos os TARE’s da</w:t>
      </w:r>
      <w:r w:rsidRPr="00076F8D">
        <w:rPr>
          <w:rFonts w:ascii="Arial" w:hAnsi="Arial" w:cs="Arial"/>
          <w:b/>
          <w:sz w:val="24"/>
          <w:szCs w:val="24"/>
        </w:rPr>
        <w:t>s 100 (cem)</w:t>
      </w:r>
      <w:r>
        <w:rPr>
          <w:rFonts w:ascii="Arial" w:hAnsi="Arial" w:cs="Arial"/>
          <w:b/>
          <w:sz w:val="24"/>
          <w:szCs w:val="24"/>
        </w:rPr>
        <w:t xml:space="preserve"> </w:t>
      </w:r>
      <w:r w:rsidRPr="00076F8D">
        <w:rPr>
          <w:rFonts w:ascii="Arial" w:hAnsi="Arial" w:cs="Arial"/>
          <w:b/>
          <w:sz w:val="24"/>
          <w:szCs w:val="24"/>
        </w:rPr>
        <w:t>maiores beneficiadas por incentivos fiscais no Es</w:t>
      </w:r>
      <w:r w:rsidRPr="00FF73A1">
        <w:rPr>
          <w:rFonts w:ascii="Arial" w:hAnsi="Arial" w:cs="Arial"/>
          <w:b/>
          <w:sz w:val="24"/>
          <w:szCs w:val="24"/>
        </w:rPr>
        <w:t>tado de Goiás que tenham escriturado apenas crédito outorgado</w:t>
      </w:r>
      <w:r>
        <w:rPr>
          <w:rFonts w:ascii="Arial" w:hAnsi="Arial" w:cs="Arial"/>
          <w:b/>
          <w:sz w:val="24"/>
          <w:szCs w:val="24"/>
        </w:rPr>
        <w:t xml:space="preserve"> </w:t>
      </w:r>
      <w:r w:rsidRPr="00504D8C">
        <w:rPr>
          <w:rFonts w:ascii="Arial" w:hAnsi="Arial" w:cs="Arial"/>
          <w:b/>
          <w:sz w:val="24"/>
          <w:szCs w:val="24"/>
        </w:rPr>
        <w:t>e condenadas por infração ambiental</w:t>
      </w:r>
      <w:r>
        <w:rPr>
          <w:rFonts w:ascii="Arial" w:hAnsi="Arial" w:cs="Arial"/>
          <w:sz w:val="24"/>
          <w:szCs w:val="24"/>
        </w:rPr>
        <w:t xml:space="preserve">, nos termos do </w:t>
      </w:r>
      <w:r w:rsidRPr="00FF73A1">
        <w:rPr>
          <w:rFonts w:ascii="Arial" w:hAnsi="Arial" w:cs="Arial"/>
          <w:sz w:val="24"/>
          <w:szCs w:val="24"/>
        </w:rPr>
        <w:t>item 8.3.8 deste relatório,</w:t>
      </w:r>
      <w:r>
        <w:rPr>
          <w:rFonts w:ascii="Arial" w:hAnsi="Arial" w:cs="Arial"/>
          <w:b/>
          <w:sz w:val="24"/>
          <w:szCs w:val="24"/>
        </w:rPr>
        <w:t xml:space="preserve"> </w:t>
      </w:r>
      <w:r w:rsidRPr="00504D8C">
        <w:rPr>
          <w:rFonts w:ascii="Arial" w:hAnsi="Arial" w:cs="Arial"/>
          <w:sz w:val="24"/>
          <w:szCs w:val="24"/>
        </w:rPr>
        <w:t xml:space="preserve">suspensão essa </w:t>
      </w:r>
      <w:r>
        <w:rPr>
          <w:rFonts w:ascii="Arial" w:hAnsi="Arial" w:cs="Arial"/>
          <w:sz w:val="24"/>
          <w:szCs w:val="24"/>
        </w:rPr>
        <w:t>pelo período mínimo de 2 (dois) meses,</w:t>
      </w:r>
      <w:r w:rsidRPr="00076F8D">
        <w:rPr>
          <w:rFonts w:ascii="Arial" w:hAnsi="Arial" w:cs="Arial"/>
          <w:sz w:val="24"/>
          <w:szCs w:val="24"/>
        </w:rPr>
        <w:t xml:space="preserve"> </w:t>
      </w:r>
      <w:r>
        <w:rPr>
          <w:rFonts w:ascii="Arial" w:hAnsi="Arial" w:cs="Arial"/>
          <w:sz w:val="24"/>
          <w:szCs w:val="24"/>
        </w:rPr>
        <w:t>duplicado a cada reincidência, além da revogação do</w:t>
      </w:r>
      <w:r w:rsidRPr="00B316DC">
        <w:rPr>
          <w:rFonts w:ascii="Arial" w:hAnsi="Arial" w:cs="Arial"/>
          <w:sz w:val="24"/>
          <w:szCs w:val="24"/>
        </w:rPr>
        <w:t>s TARE’s de todos os CNPJ’s da JBS S/A</w:t>
      </w:r>
      <w:r>
        <w:rPr>
          <w:rFonts w:ascii="Arial" w:hAnsi="Arial" w:cs="Arial"/>
          <w:sz w:val="24"/>
          <w:szCs w:val="24"/>
        </w:rPr>
        <w:t>, inclusive os não referidos especificamente neste relatório</w:t>
      </w:r>
      <w:r w:rsidRPr="00076F8D">
        <w:rPr>
          <w:rFonts w:ascii="Arial" w:hAnsi="Arial" w:cs="Arial"/>
          <w:sz w:val="24"/>
          <w:szCs w:val="24"/>
        </w:rPr>
        <w:t>;</w:t>
      </w:r>
    </w:p>
    <w:p w14:paraId="1E04DF03" w14:textId="5AEDE318" w:rsidR="007404B0" w:rsidRDefault="007404B0" w:rsidP="00502615">
      <w:pPr>
        <w:pStyle w:val="PargrafodaLista"/>
        <w:numPr>
          <w:ilvl w:val="0"/>
          <w:numId w:val="41"/>
        </w:numPr>
        <w:spacing w:line="360" w:lineRule="auto"/>
        <w:jc w:val="both"/>
        <w:rPr>
          <w:rFonts w:ascii="Arial" w:hAnsi="Arial" w:cs="Arial"/>
          <w:sz w:val="24"/>
          <w:szCs w:val="24"/>
        </w:rPr>
      </w:pPr>
      <w:r w:rsidRPr="009862C2">
        <w:rPr>
          <w:rFonts w:ascii="Arial" w:hAnsi="Arial" w:cs="Arial"/>
          <w:b/>
          <w:sz w:val="24"/>
          <w:szCs w:val="24"/>
        </w:rPr>
        <w:lastRenderedPageBreak/>
        <w:t>não seja reduzido o valor da multa imposta ou mantida em 1ª instância</w:t>
      </w:r>
      <w:r>
        <w:rPr>
          <w:rFonts w:ascii="Arial" w:hAnsi="Arial" w:cs="Arial"/>
          <w:b/>
          <w:sz w:val="24"/>
          <w:szCs w:val="24"/>
        </w:rPr>
        <w:t xml:space="preserve"> administrativa</w:t>
      </w:r>
      <w:r>
        <w:rPr>
          <w:rFonts w:ascii="Arial" w:hAnsi="Arial" w:cs="Arial"/>
          <w:sz w:val="24"/>
          <w:szCs w:val="24"/>
        </w:rPr>
        <w:t xml:space="preserve">, por motivo de infração à legislação ambiental, nos processos que ainda estejam em fase recursal de pessoas jurídicas beneficiárias de incentivos fiscais do Estado de Goiás, a exemplo dos casos constatados por esta CPI em consulta à página da SEMAD (nºs </w:t>
      </w:r>
      <w:r w:rsidRPr="00254DF0">
        <w:rPr>
          <w:rFonts w:ascii="Arial" w:hAnsi="Arial" w:cs="Arial"/>
          <w:sz w:val="24"/>
          <w:szCs w:val="24"/>
        </w:rPr>
        <w:t>6896/2016</w:t>
      </w:r>
      <w:r>
        <w:rPr>
          <w:rFonts w:ascii="Arial" w:hAnsi="Arial" w:cs="Arial"/>
          <w:sz w:val="24"/>
          <w:szCs w:val="24"/>
        </w:rPr>
        <w:t xml:space="preserve"> e </w:t>
      </w:r>
      <w:r w:rsidRPr="00254DF0">
        <w:rPr>
          <w:rFonts w:ascii="Arial" w:hAnsi="Arial" w:cs="Arial"/>
          <w:sz w:val="24"/>
          <w:szCs w:val="24"/>
        </w:rPr>
        <w:t>8858/2016</w:t>
      </w:r>
      <w:r>
        <w:rPr>
          <w:rFonts w:ascii="Arial" w:hAnsi="Arial" w:cs="Arial"/>
          <w:sz w:val="24"/>
          <w:szCs w:val="24"/>
        </w:rPr>
        <w:t>)</w:t>
      </w:r>
      <w:r w:rsidR="002C2020">
        <w:rPr>
          <w:rFonts w:ascii="Arial" w:hAnsi="Arial" w:cs="Arial"/>
          <w:sz w:val="24"/>
          <w:szCs w:val="24"/>
        </w:rPr>
        <w:t>;</w:t>
      </w:r>
    </w:p>
    <w:p w14:paraId="224B7558" w14:textId="77777777" w:rsidR="007404B0" w:rsidRPr="00AB2E83" w:rsidRDefault="007404B0" w:rsidP="007404B0">
      <w:pPr>
        <w:spacing w:line="360" w:lineRule="auto"/>
        <w:jc w:val="both"/>
        <w:rPr>
          <w:rFonts w:ascii="Arial" w:hAnsi="Arial" w:cs="Arial"/>
          <w:sz w:val="24"/>
          <w:szCs w:val="24"/>
        </w:rPr>
      </w:pPr>
    </w:p>
    <w:p w14:paraId="43E17454" w14:textId="77777777" w:rsidR="007404B0" w:rsidRDefault="007404B0" w:rsidP="007404B0">
      <w:pPr>
        <w:spacing w:line="360" w:lineRule="auto"/>
        <w:ind w:firstLine="851"/>
        <w:jc w:val="both"/>
        <w:rPr>
          <w:rFonts w:ascii="Arial" w:hAnsi="Arial" w:cs="Arial"/>
          <w:sz w:val="24"/>
          <w:szCs w:val="24"/>
        </w:rPr>
      </w:pPr>
      <w:r w:rsidRPr="00E169D1">
        <w:rPr>
          <w:rFonts w:ascii="Arial" w:hAnsi="Arial" w:cs="Arial"/>
          <w:b/>
          <w:sz w:val="24"/>
          <w:szCs w:val="24"/>
        </w:rPr>
        <w:t>8.3.11.</w:t>
      </w:r>
      <w:r>
        <w:rPr>
          <w:rFonts w:ascii="Arial" w:hAnsi="Arial" w:cs="Arial"/>
          <w:sz w:val="24"/>
          <w:szCs w:val="24"/>
        </w:rPr>
        <w:t xml:space="preserve"> Além disso, </w:t>
      </w:r>
      <w:r w:rsidRPr="00E169D1">
        <w:rPr>
          <w:rFonts w:ascii="Arial" w:hAnsi="Arial" w:cs="Arial"/>
          <w:b/>
          <w:sz w:val="24"/>
          <w:szCs w:val="24"/>
        </w:rPr>
        <w:t xml:space="preserve">sugerem-se as </w:t>
      </w:r>
      <w:r w:rsidRPr="00E169D1">
        <w:rPr>
          <w:rFonts w:ascii="Arial" w:hAnsi="Arial" w:cs="Arial"/>
          <w:b/>
          <w:sz w:val="24"/>
          <w:szCs w:val="24"/>
          <w:u w:val="single"/>
        </w:rPr>
        <w:t>seguintes medidas</w:t>
      </w:r>
      <w:r>
        <w:rPr>
          <w:rFonts w:ascii="Arial" w:hAnsi="Arial" w:cs="Arial"/>
          <w:sz w:val="24"/>
          <w:szCs w:val="24"/>
        </w:rPr>
        <w:t>:</w:t>
      </w:r>
    </w:p>
    <w:p w14:paraId="3B389FAB" w14:textId="77777777" w:rsidR="007404B0" w:rsidRPr="00E169D1" w:rsidRDefault="007404B0" w:rsidP="00502615">
      <w:pPr>
        <w:pStyle w:val="PargrafodaLista"/>
        <w:numPr>
          <w:ilvl w:val="0"/>
          <w:numId w:val="40"/>
        </w:numPr>
        <w:spacing w:line="360" w:lineRule="auto"/>
        <w:jc w:val="both"/>
        <w:rPr>
          <w:rFonts w:ascii="Arial" w:hAnsi="Arial" w:cs="Arial"/>
          <w:sz w:val="24"/>
          <w:szCs w:val="24"/>
        </w:rPr>
      </w:pPr>
      <w:r w:rsidRPr="00E169D1">
        <w:rPr>
          <w:rFonts w:ascii="Arial" w:hAnsi="Arial" w:cs="Arial"/>
          <w:b/>
          <w:sz w:val="24"/>
          <w:szCs w:val="24"/>
        </w:rPr>
        <w:t>a este parlamento</w:t>
      </w:r>
      <w:r>
        <w:rPr>
          <w:rFonts w:ascii="Arial" w:hAnsi="Arial" w:cs="Arial"/>
          <w:sz w:val="24"/>
          <w:szCs w:val="24"/>
        </w:rPr>
        <w:t>:</w:t>
      </w:r>
    </w:p>
    <w:p w14:paraId="06524535" w14:textId="77777777" w:rsidR="007404B0" w:rsidRDefault="007404B0" w:rsidP="007404B0">
      <w:pPr>
        <w:pStyle w:val="PargrafodaLista"/>
        <w:spacing w:line="360" w:lineRule="auto"/>
        <w:ind w:left="1211"/>
        <w:jc w:val="both"/>
        <w:rPr>
          <w:rFonts w:ascii="Arial" w:hAnsi="Arial" w:cs="Arial"/>
          <w:sz w:val="24"/>
          <w:szCs w:val="24"/>
        </w:rPr>
      </w:pPr>
      <w:r w:rsidRPr="00E169D1">
        <w:rPr>
          <w:rFonts w:ascii="Arial" w:hAnsi="Arial" w:cs="Arial"/>
          <w:sz w:val="24"/>
          <w:szCs w:val="24"/>
          <w:u w:val="single"/>
        </w:rPr>
        <w:t>a.1.1) acréscimo de § 3º ao art. 25 da Lei nº 18.102/2013</w:t>
      </w:r>
      <w:r>
        <w:rPr>
          <w:rFonts w:ascii="Arial" w:hAnsi="Arial" w:cs="Arial"/>
          <w:sz w:val="24"/>
          <w:szCs w:val="24"/>
        </w:rPr>
        <w:t>, para prever que a penalidade de perda ou restrição de incentivos fiscais seja sempre aplicada quando da autuação de empresa beneficiária, sem prejuízo de outras penalidades, devendo compreender a perda durante todo o período em que verificada a permanência da atividade nociva e a restrição à fruição por, no mínimo, 2 (dois) meses contados da data da autuação;</w:t>
      </w:r>
    </w:p>
    <w:p w14:paraId="1D35ACD1" w14:textId="77777777" w:rsidR="007404B0" w:rsidRDefault="007404B0" w:rsidP="007404B0">
      <w:pPr>
        <w:pStyle w:val="PargrafodaLista"/>
        <w:spacing w:line="360" w:lineRule="auto"/>
        <w:ind w:left="1211"/>
        <w:jc w:val="both"/>
        <w:rPr>
          <w:rFonts w:ascii="Arial" w:hAnsi="Arial" w:cs="Arial"/>
          <w:sz w:val="24"/>
          <w:szCs w:val="24"/>
        </w:rPr>
      </w:pPr>
      <w:r w:rsidRPr="00E169D1">
        <w:rPr>
          <w:rFonts w:ascii="Arial" w:hAnsi="Arial" w:cs="Arial"/>
          <w:sz w:val="24"/>
          <w:szCs w:val="24"/>
          <w:u w:val="single"/>
        </w:rPr>
        <w:t>a.1.2) alteração do § 2º do art. 26 da Lei nº 18.102/2013</w:t>
      </w:r>
      <w:r>
        <w:rPr>
          <w:rFonts w:ascii="Arial" w:hAnsi="Arial" w:cs="Arial"/>
          <w:sz w:val="24"/>
          <w:szCs w:val="24"/>
        </w:rPr>
        <w:t>, para eliminar ou majorar o prazo de prescrição intercorrente para no mínimo 5 (cinco) anos;</w:t>
      </w:r>
    </w:p>
    <w:p w14:paraId="2F3387FF" w14:textId="77777777" w:rsidR="007404B0" w:rsidRDefault="007404B0" w:rsidP="007404B0">
      <w:pPr>
        <w:pStyle w:val="PargrafodaLista"/>
        <w:spacing w:line="360" w:lineRule="auto"/>
        <w:ind w:left="1211"/>
        <w:jc w:val="both"/>
        <w:rPr>
          <w:rFonts w:ascii="Arial" w:hAnsi="Arial" w:cs="Arial"/>
          <w:sz w:val="24"/>
          <w:szCs w:val="24"/>
        </w:rPr>
      </w:pPr>
      <w:r>
        <w:rPr>
          <w:rFonts w:ascii="Arial" w:hAnsi="Arial" w:cs="Arial"/>
          <w:sz w:val="24"/>
          <w:szCs w:val="24"/>
          <w:u w:val="single"/>
        </w:rPr>
        <w:t>a.1.3</w:t>
      </w:r>
      <w:r w:rsidRPr="00E169D1">
        <w:rPr>
          <w:rFonts w:ascii="Arial" w:hAnsi="Arial" w:cs="Arial"/>
          <w:sz w:val="24"/>
          <w:szCs w:val="24"/>
          <w:u w:val="single"/>
        </w:rPr>
        <w:t>) acréscimo de § 6º ao art. 34 da Lei nº 18.102/2013</w:t>
      </w:r>
      <w:r>
        <w:rPr>
          <w:rFonts w:ascii="Arial" w:hAnsi="Arial" w:cs="Arial"/>
          <w:sz w:val="24"/>
          <w:szCs w:val="24"/>
        </w:rPr>
        <w:t>, para prever que conste do auto de infração a data de início da atividade nociva ao meio ambiente que ensejar a autuação da empresa;</w:t>
      </w:r>
    </w:p>
    <w:p w14:paraId="66F512B5" w14:textId="5A98B095" w:rsidR="007404B0" w:rsidRDefault="007404B0" w:rsidP="00502615">
      <w:pPr>
        <w:pStyle w:val="PargrafodaLista"/>
        <w:numPr>
          <w:ilvl w:val="0"/>
          <w:numId w:val="40"/>
        </w:numPr>
        <w:spacing w:line="360" w:lineRule="auto"/>
        <w:jc w:val="both"/>
        <w:rPr>
          <w:rFonts w:ascii="Arial" w:hAnsi="Arial" w:cs="Arial"/>
          <w:sz w:val="24"/>
          <w:szCs w:val="24"/>
        </w:rPr>
      </w:pPr>
      <w:r w:rsidRPr="00E169D1">
        <w:rPr>
          <w:rFonts w:ascii="Arial" w:hAnsi="Arial" w:cs="Arial"/>
          <w:b/>
          <w:sz w:val="24"/>
          <w:szCs w:val="24"/>
        </w:rPr>
        <w:t>ao MPGO, que investigue a substancial redução da multa deferida em favor de 4 (quatro) empresas específicas</w:t>
      </w:r>
      <w:r>
        <w:rPr>
          <w:rFonts w:ascii="Arial" w:hAnsi="Arial" w:cs="Arial"/>
          <w:sz w:val="24"/>
          <w:szCs w:val="24"/>
        </w:rPr>
        <w:t xml:space="preserve">, nos termos do item 8.3.7 deste relatório, sem prejuízo do disposto na alínea “e” do item 8.3.10, e acompanhe o efetivo atendimento das demais recomendações desta CPI </w:t>
      </w:r>
      <w:r w:rsidR="002A1E43">
        <w:rPr>
          <w:rFonts w:ascii="Arial" w:hAnsi="Arial" w:cs="Arial"/>
          <w:sz w:val="24"/>
          <w:szCs w:val="24"/>
        </w:rPr>
        <w:t xml:space="preserve">aos Secretários de Estado </w:t>
      </w:r>
      <w:r>
        <w:rPr>
          <w:rFonts w:ascii="Arial" w:hAnsi="Arial" w:cs="Arial"/>
          <w:sz w:val="24"/>
          <w:szCs w:val="24"/>
        </w:rPr>
        <w:t>em matéria de regularidade ambiental.</w:t>
      </w:r>
    </w:p>
    <w:p w14:paraId="28C7137D" w14:textId="77777777" w:rsidR="00FC2443" w:rsidRPr="00FC2443" w:rsidRDefault="00FC2443" w:rsidP="00FC2443">
      <w:pPr>
        <w:spacing w:line="360" w:lineRule="auto"/>
        <w:ind w:firstLine="851"/>
        <w:jc w:val="both"/>
        <w:rPr>
          <w:rFonts w:ascii="Arial" w:hAnsi="Arial" w:cs="Arial"/>
          <w:sz w:val="24"/>
          <w:szCs w:val="24"/>
        </w:rPr>
      </w:pPr>
    </w:p>
    <w:p w14:paraId="2717852E" w14:textId="71F19DD2" w:rsidR="00574522" w:rsidRDefault="00574522" w:rsidP="00574522">
      <w:pPr>
        <w:spacing w:line="360" w:lineRule="auto"/>
        <w:ind w:left="851"/>
        <w:jc w:val="both"/>
        <w:rPr>
          <w:rFonts w:ascii="Arial" w:hAnsi="Arial" w:cs="Arial"/>
          <w:b/>
          <w:sz w:val="24"/>
          <w:szCs w:val="24"/>
        </w:rPr>
      </w:pPr>
      <w:r>
        <w:rPr>
          <w:rFonts w:ascii="Arial" w:hAnsi="Arial" w:cs="Arial"/>
          <w:b/>
          <w:sz w:val="24"/>
          <w:szCs w:val="24"/>
        </w:rPr>
        <w:t xml:space="preserve">8.4 – REGULARIDADE SOCIAL </w:t>
      </w:r>
    </w:p>
    <w:p w14:paraId="21A005C8" w14:textId="77777777" w:rsidR="00574522" w:rsidRDefault="00574522" w:rsidP="008B12BD">
      <w:pPr>
        <w:spacing w:line="360" w:lineRule="auto"/>
        <w:ind w:left="851"/>
        <w:jc w:val="both"/>
        <w:rPr>
          <w:rFonts w:ascii="Arial" w:hAnsi="Arial" w:cs="Arial"/>
          <w:sz w:val="24"/>
          <w:szCs w:val="24"/>
        </w:rPr>
      </w:pPr>
    </w:p>
    <w:p w14:paraId="34648476" w14:textId="4071DEFD" w:rsidR="0041358A" w:rsidRDefault="00054FA5" w:rsidP="00B32A29">
      <w:pPr>
        <w:spacing w:line="360" w:lineRule="auto"/>
        <w:ind w:firstLine="851"/>
        <w:jc w:val="both"/>
        <w:rPr>
          <w:rFonts w:ascii="Arial" w:hAnsi="Arial" w:cs="Arial"/>
          <w:sz w:val="24"/>
          <w:szCs w:val="24"/>
        </w:rPr>
      </w:pPr>
      <w:r w:rsidRPr="00054FA5">
        <w:rPr>
          <w:rFonts w:ascii="Arial" w:hAnsi="Arial" w:cs="Arial"/>
          <w:b/>
          <w:sz w:val="24"/>
          <w:szCs w:val="24"/>
        </w:rPr>
        <w:t>8.4.1.</w:t>
      </w:r>
      <w:r>
        <w:rPr>
          <w:rFonts w:ascii="Arial" w:hAnsi="Arial" w:cs="Arial"/>
          <w:sz w:val="24"/>
          <w:szCs w:val="24"/>
        </w:rPr>
        <w:t xml:space="preserve"> </w:t>
      </w:r>
      <w:r w:rsidR="0041358A">
        <w:rPr>
          <w:rFonts w:ascii="Arial" w:hAnsi="Arial" w:cs="Arial"/>
          <w:sz w:val="24"/>
          <w:szCs w:val="24"/>
        </w:rPr>
        <w:t xml:space="preserve">De modo similar </w:t>
      </w:r>
      <w:r w:rsidR="00E03096">
        <w:rPr>
          <w:rFonts w:ascii="Arial" w:hAnsi="Arial" w:cs="Arial"/>
          <w:sz w:val="24"/>
          <w:szCs w:val="24"/>
        </w:rPr>
        <w:t>à exigência de regularidade ambiental</w:t>
      </w:r>
      <w:r w:rsidR="0041358A">
        <w:rPr>
          <w:rFonts w:ascii="Arial" w:hAnsi="Arial" w:cs="Arial"/>
          <w:sz w:val="24"/>
          <w:szCs w:val="24"/>
        </w:rPr>
        <w:t xml:space="preserve">, o </w:t>
      </w:r>
      <w:r w:rsidR="0041358A" w:rsidRPr="003E0752">
        <w:rPr>
          <w:rFonts w:ascii="Arial" w:hAnsi="Arial" w:cs="Arial"/>
          <w:b/>
          <w:sz w:val="24"/>
          <w:szCs w:val="24"/>
          <w:u w:val="single"/>
        </w:rPr>
        <w:t>art. 136, § 2º, da CE/</w:t>
      </w:r>
      <w:r w:rsidR="0041358A" w:rsidRPr="00315A99">
        <w:rPr>
          <w:rFonts w:ascii="Arial" w:hAnsi="Arial" w:cs="Arial"/>
          <w:b/>
          <w:sz w:val="24"/>
          <w:szCs w:val="24"/>
          <w:u w:val="single"/>
        </w:rPr>
        <w:t>GO</w:t>
      </w:r>
      <w:r w:rsidR="0041358A" w:rsidRPr="00315A99">
        <w:rPr>
          <w:rFonts w:ascii="Arial" w:hAnsi="Arial" w:cs="Arial"/>
          <w:b/>
          <w:sz w:val="24"/>
          <w:szCs w:val="24"/>
        </w:rPr>
        <w:t xml:space="preserve"> </w:t>
      </w:r>
      <w:r w:rsidR="00E03096" w:rsidRPr="00315A99">
        <w:rPr>
          <w:rFonts w:ascii="Arial" w:hAnsi="Arial" w:cs="Arial"/>
          <w:b/>
          <w:sz w:val="24"/>
          <w:szCs w:val="24"/>
        </w:rPr>
        <w:t>prevê verdadeira exigência de regularidade social</w:t>
      </w:r>
      <w:r w:rsidR="00E03096">
        <w:rPr>
          <w:rFonts w:ascii="Arial" w:hAnsi="Arial" w:cs="Arial"/>
          <w:sz w:val="24"/>
          <w:szCs w:val="24"/>
        </w:rPr>
        <w:t xml:space="preserve">, </w:t>
      </w:r>
      <w:r w:rsidR="00315A99">
        <w:rPr>
          <w:rFonts w:ascii="Arial" w:hAnsi="Arial" w:cs="Arial"/>
          <w:sz w:val="24"/>
          <w:szCs w:val="24"/>
        </w:rPr>
        <w:t xml:space="preserve">ao </w:t>
      </w:r>
      <w:r w:rsidR="00936B66">
        <w:rPr>
          <w:rFonts w:ascii="Arial" w:hAnsi="Arial" w:cs="Arial"/>
          <w:sz w:val="24"/>
          <w:szCs w:val="24"/>
        </w:rPr>
        <w:t>veda</w:t>
      </w:r>
      <w:r w:rsidR="00315A99">
        <w:rPr>
          <w:rFonts w:ascii="Arial" w:hAnsi="Arial" w:cs="Arial"/>
          <w:sz w:val="24"/>
          <w:szCs w:val="24"/>
        </w:rPr>
        <w:t>r</w:t>
      </w:r>
      <w:r w:rsidR="00936B66">
        <w:rPr>
          <w:rFonts w:ascii="Arial" w:hAnsi="Arial" w:cs="Arial"/>
          <w:sz w:val="24"/>
          <w:szCs w:val="24"/>
        </w:rPr>
        <w:t xml:space="preserve"> o recebimento </w:t>
      </w:r>
      <w:r w:rsidR="00315A99">
        <w:rPr>
          <w:rFonts w:ascii="Arial" w:hAnsi="Arial" w:cs="Arial"/>
          <w:sz w:val="24"/>
          <w:szCs w:val="24"/>
        </w:rPr>
        <w:t xml:space="preserve">de incentivos fiscais por parte de </w:t>
      </w:r>
      <w:r w:rsidR="00804165">
        <w:rPr>
          <w:rFonts w:ascii="Arial" w:hAnsi="Arial" w:cs="Arial"/>
          <w:sz w:val="24"/>
          <w:szCs w:val="24"/>
        </w:rPr>
        <w:t>empresas</w:t>
      </w:r>
      <w:r w:rsidR="00315A99">
        <w:rPr>
          <w:rFonts w:ascii="Arial" w:hAnsi="Arial" w:cs="Arial"/>
          <w:sz w:val="24"/>
          <w:szCs w:val="24"/>
        </w:rPr>
        <w:t xml:space="preserve"> e</w:t>
      </w:r>
      <w:r w:rsidR="00936B66">
        <w:rPr>
          <w:rFonts w:ascii="Arial" w:hAnsi="Arial" w:cs="Arial"/>
          <w:sz w:val="24"/>
          <w:szCs w:val="24"/>
        </w:rPr>
        <w:t>m relaç</w:t>
      </w:r>
      <w:r w:rsidR="00315A99">
        <w:rPr>
          <w:rFonts w:ascii="Arial" w:hAnsi="Arial" w:cs="Arial"/>
          <w:sz w:val="24"/>
          <w:szCs w:val="24"/>
        </w:rPr>
        <w:t>ão à</w:t>
      </w:r>
      <w:r w:rsidR="00936B66">
        <w:rPr>
          <w:rFonts w:ascii="Arial" w:hAnsi="Arial" w:cs="Arial"/>
          <w:sz w:val="24"/>
          <w:szCs w:val="24"/>
        </w:rPr>
        <w:t>s quais se verifique qualquer forma de discriminação contra o trabalhador, nos seguintes termos</w:t>
      </w:r>
      <w:r w:rsidR="00FA6B04">
        <w:rPr>
          <w:rFonts w:ascii="Arial" w:hAnsi="Arial" w:cs="Arial"/>
          <w:sz w:val="24"/>
          <w:szCs w:val="24"/>
        </w:rPr>
        <w:t>:</w:t>
      </w:r>
    </w:p>
    <w:p w14:paraId="7286D73F" w14:textId="2F85A743" w:rsidR="0041358A" w:rsidRDefault="0041358A" w:rsidP="00B32A29">
      <w:pPr>
        <w:spacing w:line="360" w:lineRule="auto"/>
        <w:ind w:firstLine="851"/>
        <w:jc w:val="both"/>
        <w:rPr>
          <w:rFonts w:ascii="Arial" w:hAnsi="Arial" w:cs="Arial"/>
          <w:sz w:val="24"/>
          <w:szCs w:val="24"/>
        </w:rPr>
      </w:pPr>
    </w:p>
    <w:p w14:paraId="29809757" w14:textId="77777777" w:rsidR="0041358A" w:rsidRPr="00B32A29" w:rsidRDefault="0041358A" w:rsidP="00111340">
      <w:pPr>
        <w:ind w:left="2268"/>
        <w:jc w:val="both"/>
        <w:rPr>
          <w:rFonts w:ascii="Arial" w:hAnsi="Arial" w:cs="Arial"/>
          <w:sz w:val="22"/>
          <w:szCs w:val="22"/>
        </w:rPr>
      </w:pPr>
      <w:r w:rsidRPr="00B32A29">
        <w:rPr>
          <w:rFonts w:ascii="Arial" w:hAnsi="Arial" w:cs="Arial"/>
          <w:b/>
          <w:bCs/>
          <w:sz w:val="22"/>
          <w:szCs w:val="22"/>
        </w:rPr>
        <w:lastRenderedPageBreak/>
        <w:t>Art. 136</w:t>
      </w:r>
      <w:r w:rsidRPr="00B32A29">
        <w:rPr>
          <w:rFonts w:ascii="Arial" w:hAnsi="Arial" w:cs="Arial"/>
          <w:sz w:val="22"/>
          <w:szCs w:val="22"/>
        </w:rPr>
        <w:t> - Como agente e regulador da atividade econômica, o Estado exercerá, na forma da lei, as funções de fiscalização, incentivo e planejamento, sendo este determinante para o setor público e indicativo para o privado.</w:t>
      </w:r>
    </w:p>
    <w:p w14:paraId="453ABEBF" w14:textId="77777777" w:rsidR="0041358A" w:rsidRPr="00B32A29" w:rsidRDefault="0041358A" w:rsidP="00111340">
      <w:pPr>
        <w:ind w:left="2268"/>
        <w:jc w:val="both"/>
        <w:rPr>
          <w:rFonts w:ascii="Arial" w:hAnsi="Arial" w:cs="Arial"/>
          <w:sz w:val="22"/>
          <w:szCs w:val="22"/>
        </w:rPr>
      </w:pPr>
      <w:r w:rsidRPr="00B32A29">
        <w:rPr>
          <w:rFonts w:ascii="Arial" w:hAnsi="Arial" w:cs="Arial"/>
          <w:sz w:val="22"/>
          <w:szCs w:val="22"/>
        </w:rPr>
        <w:t>[...].</w:t>
      </w:r>
    </w:p>
    <w:p w14:paraId="79B46C91" w14:textId="77777777" w:rsidR="0041358A" w:rsidRPr="00B32A29" w:rsidRDefault="0041358A" w:rsidP="00111340">
      <w:pPr>
        <w:ind w:left="2268"/>
        <w:jc w:val="both"/>
        <w:rPr>
          <w:rFonts w:ascii="Arial" w:hAnsi="Arial" w:cs="Arial"/>
          <w:sz w:val="22"/>
          <w:szCs w:val="22"/>
        </w:rPr>
      </w:pPr>
      <w:r w:rsidRPr="00B32A29">
        <w:rPr>
          <w:rFonts w:ascii="Arial" w:hAnsi="Arial" w:cs="Arial"/>
          <w:sz w:val="22"/>
          <w:szCs w:val="22"/>
        </w:rPr>
        <w:t>§ 2º -</w:t>
      </w:r>
      <w:r w:rsidRPr="00B32A29">
        <w:rPr>
          <w:rFonts w:ascii="Arial" w:hAnsi="Arial" w:cs="Arial"/>
          <w:b/>
          <w:sz w:val="22"/>
          <w:szCs w:val="22"/>
        </w:rPr>
        <w:t xml:space="preserve"> </w:t>
      </w:r>
      <w:r w:rsidRPr="00B32A29">
        <w:rPr>
          <w:rFonts w:ascii="Arial" w:hAnsi="Arial" w:cs="Arial"/>
          <w:sz w:val="22"/>
          <w:szCs w:val="22"/>
        </w:rPr>
        <w:t>O Estado não dará incentivos fiscais ou outras vantagens correlatas a empresas em cuja</w:t>
      </w:r>
      <w:r w:rsidRPr="00B32A29">
        <w:rPr>
          <w:rFonts w:ascii="Arial" w:hAnsi="Arial" w:cs="Arial"/>
          <w:b/>
          <w:sz w:val="22"/>
          <w:szCs w:val="22"/>
        </w:rPr>
        <w:t xml:space="preserve"> </w:t>
      </w:r>
      <w:r w:rsidRPr="00B32A29">
        <w:rPr>
          <w:rFonts w:ascii="Arial" w:hAnsi="Arial" w:cs="Arial"/>
          <w:b/>
          <w:sz w:val="22"/>
          <w:szCs w:val="22"/>
          <w:u w:val="single"/>
        </w:rPr>
        <w:t>atividade se comprove qualquer forma de discriminação contra o trabalhador</w:t>
      </w:r>
      <w:r w:rsidRPr="00B32A29">
        <w:rPr>
          <w:rFonts w:ascii="Arial" w:hAnsi="Arial" w:cs="Arial"/>
          <w:sz w:val="22"/>
          <w:szCs w:val="22"/>
        </w:rPr>
        <w:t>.</w:t>
      </w:r>
    </w:p>
    <w:p w14:paraId="19B5E5F2" w14:textId="77777777" w:rsidR="0041358A" w:rsidRPr="00B32A29" w:rsidRDefault="0041358A" w:rsidP="00111340">
      <w:pPr>
        <w:ind w:left="2268"/>
        <w:jc w:val="both"/>
        <w:rPr>
          <w:rFonts w:ascii="Arial" w:hAnsi="Arial" w:cs="Arial"/>
          <w:sz w:val="22"/>
          <w:szCs w:val="22"/>
        </w:rPr>
      </w:pPr>
      <w:r w:rsidRPr="00B32A29">
        <w:rPr>
          <w:rFonts w:ascii="Arial" w:hAnsi="Arial" w:cs="Arial"/>
          <w:sz w:val="22"/>
          <w:szCs w:val="22"/>
        </w:rPr>
        <w:t>[...].</w:t>
      </w:r>
    </w:p>
    <w:p w14:paraId="356E6F7C" w14:textId="77777777" w:rsidR="0041358A" w:rsidRDefault="0041358A" w:rsidP="00B32A29">
      <w:pPr>
        <w:spacing w:line="360" w:lineRule="auto"/>
        <w:ind w:firstLine="851"/>
        <w:jc w:val="both"/>
        <w:rPr>
          <w:rFonts w:ascii="Arial" w:hAnsi="Arial" w:cs="Arial"/>
          <w:sz w:val="24"/>
          <w:szCs w:val="24"/>
        </w:rPr>
      </w:pPr>
    </w:p>
    <w:p w14:paraId="33EF1B1C" w14:textId="5E7FC21F" w:rsidR="000E38A1" w:rsidRDefault="000E38A1" w:rsidP="00B32A29">
      <w:pPr>
        <w:spacing w:line="360" w:lineRule="auto"/>
        <w:ind w:firstLine="851"/>
        <w:jc w:val="both"/>
        <w:rPr>
          <w:rFonts w:ascii="Arial" w:hAnsi="Arial" w:cs="Arial"/>
          <w:sz w:val="24"/>
          <w:szCs w:val="24"/>
        </w:rPr>
      </w:pPr>
      <w:r w:rsidRPr="000E38A1">
        <w:rPr>
          <w:rFonts w:ascii="Arial" w:hAnsi="Arial" w:cs="Arial"/>
          <w:sz w:val="24"/>
          <w:szCs w:val="24"/>
        </w:rPr>
        <w:t>Assim</w:t>
      </w:r>
      <w:r>
        <w:rPr>
          <w:rFonts w:ascii="Arial" w:hAnsi="Arial" w:cs="Arial"/>
          <w:sz w:val="24"/>
          <w:szCs w:val="24"/>
        </w:rPr>
        <w:t xml:space="preserve"> com</w:t>
      </w:r>
      <w:r w:rsidR="004C55C5">
        <w:rPr>
          <w:rFonts w:ascii="Arial" w:hAnsi="Arial" w:cs="Arial"/>
          <w:sz w:val="24"/>
          <w:szCs w:val="24"/>
        </w:rPr>
        <w:t>o</w:t>
      </w:r>
      <w:r>
        <w:rPr>
          <w:rFonts w:ascii="Arial" w:hAnsi="Arial" w:cs="Arial"/>
          <w:sz w:val="24"/>
          <w:szCs w:val="24"/>
        </w:rPr>
        <w:t xml:space="preserve"> os demais dispositivos constitucionais que trazem vedações </w:t>
      </w:r>
      <w:r w:rsidR="00D409DA">
        <w:rPr>
          <w:rFonts w:ascii="Arial" w:hAnsi="Arial" w:cs="Arial"/>
          <w:sz w:val="24"/>
          <w:szCs w:val="24"/>
        </w:rPr>
        <w:t xml:space="preserve">em </w:t>
      </w:r>
      <w:r>
        <w:rPr>
          <w:rFonts w:ascii="Arial" w:hAnsi="Arial" w:cs="Arial"/>
          <w:sz w:val="24"/>
          <w:szCs w:val="24"/>
        </w:rPr>
        <w:t xml:space="preserve">matéria de incentivos fiscais, </w:t>
      </w:r>
      <w:r w:rsidRPr="00D409DA">
        <w:rPr>
          <w:rFonts w:ascii="Arial" w:hAnsi="Arial" w:cs="Arial"/>
          <w:b/>
          <w:sz w:val="24"/>
          <w:szCs w:val="24"/>
        </w:rPr>
        <w:t>entende-se que o § 2º do art. 136 da CE/GO também possui eficácia plena</w:t>
      </w:r>
      <w:r>
        <w:rPr>
          <w:rFonts w:ascii="Arial" w:hAnsi="Arial" w:cs="Arial"/>
          <w:sz w:val="24"/>
          <w:szCs w:val="24"/>
        </w:rPr>
        <w:t xml:space="preserve">, </w:t>
      </w:r>
      <w:r w:rsidR="00A0283B">
        <w:rPr>
          <w:rFonts w:ascii="Arial" w:hAnsi="Arial" w:cs="Arial"/>
          <w:sz w:val="24"/>
          <w:szCs w:val="24"/>
        </w:rPr>
        <w:t>de modo que a vedação</w:t>
      </w:r>
      <w:r w:rsidR="005F1B41">
        <w:rPr>
          <w:rFonts w:ascii="Arial" w:hAnsi="Arial" w:cs="Arial"/>
          <w:sz w:val="24"/>
          <w:szCs w:val="24"/>
        </w:rPr>
        <w:t xml:space="preserve"> nele contida</w:t>
      </w:r>
      <w:r w:rsidR="00A0283B">
        <w:rPr>
          <w:rFonts w:ascii="Arial" w:hAnsi="Arial" w:cs="Arial"/>
          <w:sz w:val="24"/>
          <w:szCs w:val="24"/>
        </w:rPr>
        <w:t xml:space="preserve"> </w:t>
      </w:r>
      <w:r w:rsidR="005F1B41">
        <w:rPr>
          <w:rFonts w:ascii="Arial" w:hAnsi="Arial" w:cs="Arial"/>
          <w:sz w:val="24"/>
          <w:szCs w:val="24"/>
        </w:rPr>
        <w:t xml:space="preserve">aplica-se </w:t>
      </w:r>
      <w:r w:rsidR="00A0283B">
        <w:rPr>
          <w:rFonts w:ascii="Arial" w:hAnsi="Arial" w:cs="Arial"/>
          <w:sz w:val="24"/>
          <w:szCs w:val="24"/>
        </w:rPr>
        <w:t>ao menos nas seguintes situações, sem prejuí</w:t>
      </w:r>
      <w:r w:rsidR="004C55C5">
        <w:rPr>
          <w:rFonts w:ascii="Arial" w:hAnsi="Arial" w:cs="Arial"/>
          <w:sz w:val="24"/>
          <w:szCs w:val="24"/>
        </w:rPr>
        <w:t>zo de eventual regulamento</w:t>
      </w:r>
      <w:r w:rsidR="00A0283B">
        <w:rPr>
          <w:rFonts w:ascii="Arial" w:hAnsi="Arial" w:cs="Arial"/>
          <w:sz w:val="24"/>
          <w:szCs w:val="24"/>
        </w:rPr>
        <w:t xml:space="preserve"> </w:t>
      </w:r>
      <w:r w:rsidR="004C55C5">
        <w:rPr>
          <w:rFonts w:ascii="Arial" w:hAnsi="Arial" w:cs="Arial"/>
          <w:sz w:val="24"/>
          <w:szCs w:val="24"/>
        </w:rPr>
        <w:t>estender essa vedação para outras hipóteses</w:t>
      </w:r>
      <w:r w:rsidR="00A0283B">
        <w:rPr>
          <w:rFonts w:ascii="Arial" w:hAnsi="Arial" w:cs="Arial"/>
          <w:sz w:val="24"/>
          <w:szCs w:val="24"/>
        </w:rPr>
        <w:t>:</w:t>
      </w:r>
    </w:p>
    <w:p w14:paraId="6646F98C" w14:textId="77777777" w:rsidR="00111340" w:rsidRDefault="00111340" w:rsidP="00B32A29">
      <w:pPr>
        <w:spacing w:line="360" w:lineRule="auto"/>
        <w:ind w:firstLine="851"/>
        <w:jc w:val="both"/>
        <w:rPr>
          <w:rFonts w:ascii="Arial" w:hAnsi="Arial" w:cs="Arial"/>
          <w:sz w:val="24"/>
          <w:szCs w:val="24"/>
        </w:rPr>
      </w:pPr>
    </w:p>
    <w:p w14:paraId="6556086A" w14:textId="46CA081B" w:rsidR="00A0283B" w:rsidRDefault="00012BDE" w:rsidP="00502615">
      <w:pPr>
        <w:pStyle w:val="PargrafodaLista"/>
        <w:numPr>
          <w:ilvl w:val="0"/>
          <w:numId w:val="33"/>
        </w:numPr>
        <w:spacing w:line="360" w:lineRule="auto"/>
        <w:jc w:val="both"/>
        <w:rPr>
          <w:rFonts w:ascii="Arial" w:hAnsi="Arial" w:cs="Arial"/>
          <w:sz w:val="24"/>
          <w:szCs w:val="24"/>
        </w:rPr>
      </w:pPr>
      <w:r w:rsidRPr="00DF7D3D">
        <w:rPr>
          <w:rFonts w:ascii="Arial" w:hAnsi="Arial" w:cs="Arial"/>
          <w:sz w:val="24"/>
          <w:szCs w:val="24"/>
          <w:u w:val="single"/>
        </w:rPr>
        <w:t>autuação</w:t>
      </w:r>
      <w:r w:rsidR="00DF7D3D" w:rsidRPr="00DF7D3D">
        <w:rPr>
          <w:rFonts w:ascii="Arial" w:hAnsi="Arial" w:cs="Arial"/>
          <w:sz w:val="24"/>
          <w:szCs w:val="24"/>
          <w:u w:val="single"/>
        </w:rPr>
        <w:t xml:space="preserve"> administrativa</w:t>
      </w:r>
      <w:r w:rsidRPr="00DF7D3D">
        <w:rPr>
          <w:rFonts w:ascii="Arial" w:hAnsi="Arial" w:cs="Arial"/>
          <w:sz w:val="24"/>
          <w:szCs w:val="24"/>
          <w:u w:val="single"/>
        </w:rPr>
        <w:t xml:space="preserve"> por discriminação contra o trabalhador</w:t>
      </w:r>
      <w:r>
        <w:rPr>
          <w:rFonts w:ascii="Arial" w:hAnsi="Arial" w:cs="Arial"/>
          <w:sz w:val="24"/>
          <w:szCs w:val="24"/>
        </w:rPr>
        <w:t>,</w:t>
      </w:r>
      <w:r w:rsidR="00DF7D3D">
        <w:rPr>
          <w:rFonts w:ascii="Arial" w:hAnsi="Arial" w:cs="Arial"/>
          <w:sz w:val="24"/>
          <w:szCs w:val="24"/>
        </w:rPr>
        <w:t xml:space="preserve"> pelos órgãos responsáveis pela fiscalização do trabalho</w:t>
      </w:r>
      <w:r w:rsidR="00457D76">
        <w:rPr>
          <w:rFonts w:ascii="Arial" w:hAnsi="Arial" w:cs="Arial"/>
          <w:sz w:val="24"/>
          <w:szCs w:val="24"/>
        </w:rPr>
        <w:t>, desde a data em que a autuação se torne definitiva no âmbito administrativo</w:t>
      </w:r>
      <w:r w:rsidR="007C4093">
        <w:rPr>
          <w:rFonts w:ascii="Arial" w:hAnsi="Arial" w:cs="Arial"/>
          <w:sz w:val="24"/>
          <w:szCs w:val="24"/>
        </w:rPr>
        <w:t xml:space="preserve"> até o encerramento da penalidade aplicada</w:t>
      </w:r>
      <w:r w:rsidR="00457D76">
        <w:rPr>
          <w:rFonts w:ascii="Arial" w:hAnsi="Arial" w:cs="Arial"/>
          <w:sz w:val="24"/>
          <w:szCs w:val="24"/>
        </w:rPr>
        <w:t>, independentemente da efetiva inscrição em dívida ativa de eventual multa aplicada</w:t>
      </w:r>
      <w:r w:rsidR="00457D76">
        <w:rPr>
          <w:rStyle w:val="Refdenotaderodap"/>
          <w:rFonts w:ascii="Arial" w:hAnsi="Arial" w:cs="Arial"/>
          <w:sz w:val="24"/>
          <w:szCs w:val="24"/>
        </w:rPr>
        <w:footnoteReference w:id="100"/>
      </w:r>
      <w:r w:rsidR="00DF7D3D">
        <w:rPr>
          <w:rFonts w:ascii="Arial" w:hAnsi="Arial" w:cs="Arial"/>
          <w:sz w:val="24"/>
          <w:szCs w:val="24"/>
        </w:rPr>
        <w:t>;</w:t>
      </w:r>
    </w:p>
    <w:p w14:paraId="56BCC3A0" w14:textId="615BDDBD" w:rsidR="00A0283B" w:rsidRDefault="00012BDE" w:rsidP="00502615">
      <w:pPr>
        <w:pStyle w:val="PargrafodaLista"/>
        <w:numPr>
          <w:ilvl w:val="0"/>
          <w:numId w:val="33"/>
        </w:numPr>
        <w:spacing w:line="360" w:lineRule="auto"/>
        <w:jc w:val="both"/>
        <w:rPr>
          <w:rFonts w:ascii="Arial" w:hAnsi="Arial" w:cs="Arial"/>
          <w:sz w:val="24"/>
          <w:szCs w:val="24"/>
        </w:rPr>
      </w:pPr>
      <w:r w:rsidRPr="00CD4676">
        <w:rPr>
          <w:rFonts w:ascii="Arial" w:hAnsi="Arial" w:cs="Arial"/>
          <w:sz w:val="24"/>
          <w:szCs w:val="24"/>
          <w:u w:val="single"/>
        </w:rPr>
        <w:t>sentença judicial</w:t>
      </w:r>
      <w:r w:rsidR="00DF7D3D" w:rsidRPr="00CD4676">
        <w:rPr>
          <w:rFonts w:ascii="Arial" w:hAnsi="Arial" w:cs="Arial"/>
          <w:sz w:val="24"/>
          <w:szCs w:val="24"/>
          <w:u w:val="single"/>
        </w:rPr>
        <w:t xml:space="preserve"> trabalhista que reconheça discriminação contra o </w:t>
      </w:r>
      <w:r w:rsidR="00DF7D3D" w:rsidRPr="000F5915">
        <w:rPr>
          <w:rFonts w:ascii="Arial" w:hAnsi="Arial" w:cs="Arial"/>
          <w:sz w:val="24"/>
          <w:szCs w:val="24"/>
          <w:u w:val="single"/>
        </w:rPr>
        <w:t>trabalhador,</w:t>
      </w:r>
      <w:r w:rsidR="00CD4676" w:rsidRPr="000F5915">
        <w:rPr>
          <w:rFonts w:ascii="Arial" w:hAnsi="Arial" w:cs="Arial"/>
          <w:sz w:val="24"/>
          <w:szCs w:val="24"/>
          <w:u w:val="single"/>
        </w:rPr>
        <w:t xml:space="preserve"> a partir do trânsito em julgado</w:t>
      </w:r>
      <w:r w:rsidR="00CD4676">
        <w:rPr>
          <w:rFonts w:ascii="Arial" w:hAnsi="Arial" w:cs="Arial"/>
          <w:sz w:val="24"/>
          <w:szCs w:val="24"/>
        </w:rPr>
        <w:t>, que é o critério</w:t>
      </w:r>
      <w:r w:rsidR="000F5915">
        <w:rPr>
          <w:rFonts w:ascii="Arial" w:hAnsi="Arial" w:cs="Arial"/>
          <w:sz w:val="24"/>
          <w:szCs w:val="24"/>
        </w:rPr>
        <w:t xml:space="preserve"> temporal seguro a partir do qual se pode afirmar, com segurança, que a empresa praticou discriminação contra o trabalhador (ou, ao menos, o trânsito em julgado do capítulo da sentença que reconheceu essa infraç</w:t>
      </w:r>
      <w:r w:rsidR="00C94464">
        <w:rPr>
          <w:rFonts w:ascii="Arial" w:hAnsi="Arial" w:cs="Arial"/>
          <w:sz w:val="24"/>
          <w:szCs w:val="24"/>
        </w:rPr>
        <w:t>ão)</w:t>
      </w:r>
      <w:r w:rsidR="00851066">
        <w:rPr>
          <w:rFonts w:ascii="Arial" w:hAnsi="Arial" w:cs="Arial"/>
          <w:sz w:val="24"/>
          <w:szCs w:val="24"/>
        </w:rPr>
        <w:t xml:space="preserve">, </w:t>
      </w:r>
      <w:r w:rsidR="00851066" w:rsidRPr="00BF718C">
        <w:rPr>
          <w:rFonts w:ascii="Arial" w:hAnsi="Arial" w:cs="Arial"/>
          <w:sz w:val="24"/>
          <w:szCs w:val="24"/>
          <w:u w:val="single"/>
        </w:rPr>
        <w:t>até a data de pagamento da indenização reconhecida em favor do reclamante</w:t>
      </w:r>
      <w:r w:rsidR="00C94464">
        <w:rPr>
          <w:rFonts w:ascii="Arial" w:hAnsi="Arial" w:cs="Arial"/>
          <w:sz w:val="24"/>
          <w:szCs w:val="24"/>
        </w:rPr>
        <w:t>.</w:t>
      </w:r>
    </w:p>
    <w:p w14:paraId="35F24A69" w14:textId="32CCF281" w:rsidR="00A0283B" w:rsidRPr="00A0283B" w:rsidRDefault="00A0283B" w:rsidP="00A0283B">
      <w:pPr>
        <w:pStyle w:val="PargrafodaLista"/>
        <w:spacing w:line="360" w:lineRule="auto"/>
        <w:ind w:left="1211"/>
        <w:jc w:val="both"/>
        <w:rPr>
          <w:rFonts w:ascii="Arial" w:hAnsi="Arial" w:cs="Arial"/>
          <w:sz w:val="24"/>
          <w:szCs w:val="24"/>
        </w:rPr>
      </w:pPr>
    </w:p>
    <w:p w14:paraId="578612C4" w14:textId="130B4ECC" w:rsidR="00B32A29" w:rsidRDefault="00CC77C9" w:rsidP="00B32A29">
      <w:pPr>
        <w:spacing w:line="360" w:lineRule="auto"/>
        <w:ind w:firstLine="851"/>
        <w:jc w:val="both"/>
        <w:rPr>
          <w:rFonts w:ascii="Arial" w:hAnsi="Arial" w:cs="Arial"/>
          <w:sz w:val="24"/>
          <w:szCs w:val="24"/>
        </w:rPr>
      </w:pPr>
      <w:r w:rsidRPr="00CC77C9">
        <w:rPr>
          <w:rFonts w:ascii="Arial" w:hAnsi="Arial" w:cs="Arial"/>
          <w:b/>
          <w:sz w:val="24"/>
          <w:szCs w:val="24"/>
        </w:rPr>
        <w:t xml:space="preserve">8.4.2. </w:t>
      </w:r>
      <w:r w:rsidR="00B32A29" w:rsidRPr="00B32A29">
        <w:rPr>
          <w:rFonts w:ascii="Arial" w:hAnsi="Arial" w:cs="Arial"/>
          <w:sz w:val="24"/>
          <w:szCs w:val="24"/>
        </w:rPr>
        <w:t>Por meio</w:t>
      </w:r>
      <w:r w:rsidR="00B32A29">
        <w:rPr>
          <w:rFonts w:ascii="Arial" w:hAnsi="Arial" w:cs="Arial"/>
          <w:sz w:val="24"/>
          <w:szCs w:val="24"/>
        </w:rPr>
        <w:t xml:space="preserve"> do </w:t>
      </w:r>
      <w:r w:rsidR="00B32A29" w:rsidRPr="00CC77C9">
        <w:rPr>
          <w:rFonts w:ascii="Arial" w:hAnsi="Arial" w:cs="Arial"/>
          <w:b/>
          <w:sz w:val="24"/>
          <w:szCs w:val="24"/>
          <w:u w:val="single"/>
        </w:rPr>
        <w:t>Ofício nº 25/</w:t>
      </w:r>
      <w:r w:rsidR="00B32A29" w:rsidRPr="00BA14B1">
        <w:rPr>
          <w:rFonts w:ascii="Arial" w:hAnsi="Arial" w:cs="Arial"/>
          <w:b/>
          <w:sz w:val="24"/>
          <w:szCs w:val="24"/>
          <w:u w:val="single"/>
        </w:rPr>
        <w:t>2019-CPI</w:t>
      </w:r>
      <w:r w:rsidR="00B867D7" w:rsidRPr="00BA14B1">
        <w:rPr>
          <w:rFonts w:ascii="Arial" w:hAnsi="Arial" w:cs="Arial"/>
          <w:b/>
          <w:sz w:val="24"/>
          <w:szCs w:val="24"/>
        </w:rPr>
        <w:t xml:space="preserve"> </w:t>
      </w:r>
      <w:r w:rsidR="00B867D7" w:rsidRPr="00406E1C">
        <w:rPr>
          <w:rFonts w:ascii="Arial" w:hAnsi="Arial" w:cs="Arial"/>
          <w:b/>
          <w:sz w:val="24"/>
          <w:szCs w:val="24"/>
        </w:rPr>
        <w:t xml:space="preserve">(fls. </w:t>
      </w:r>
      <w:r w:rsidR="00406E1C" w:rsidRPr="00406E1C">
        <w:rPr>
          <w:rFonts w:ascii="Arial" w:hAnsi="Arial" w:cs="Arial"/>
          <w:b/>
          <w:sz w:val="24"/>
          <w:szCs w:val="24"/>
        </w:rPr>
        <w:t>301</w:t>
      </w:r>
      <w:r w:rsidR="00B867D7" w:rsidRPr="00406E1C">
        <w:rPr>
          <w:rFonts w:ascii="Arial" w:hAnsi="Arial" w:cs="Arial"/>
          <w:b/>
          <w:sz w:val="24"/>
          <w:szCs w:val="24"/>
        </w:rPr>
        <w:t>/</w:t>
      </w:r>
      <w:r w:rsidR="00406E1C" w:rsidRPr="00406E1C">
        <w:rPr>
          <w:rFonts w:ascii="Arial" w:hAnsi="Arial" w:cs="Arial"/>
          <w:b/>
          <w:sz w:val="24"/>
          <w:szCs w:val="24"/>
        </w:rPr>
        <w:t>302</w:t>
      </w:r>
      <w:r w:rsidR="00B867D7" w:rsidRPr="00406E1C">
        <w:rPr>
          <w:rFonts w:ascii="Arial" w:hAnsi="Arial" w:cs="Arial"/>
          <w:b/>
          <w:sz w:val="24"/>
          <w:szCs w:val="24"/>
        </w:rPr>
        <w:t>)</w:t>
      </w:r>
      <w:r w:rsidR="00B32A29" w:rsidRPr="00406E1C">
        <w:rPr>
          <w:rFonts w:ascii="Arial" w:hAnsi="Arial" w:cs="Arial"/>
          <w:b/>
          <w:sz w:val="24"/>
          <w:szCs w:val="24"/>
        </w:rPr>
        <w:t>,</w:t>
      </w:r>
      <w:r w:rsidR="00B32A29" w:rsidRPr="00BA14B1">
        <w:rPr>
          <w:rFonts w:ascii="Arial" w:hAnsi="Arial" w:cs="Arial"/>
          <w:b/>
          <w:sz w:val="24"/>
          <w:szCs w:val="24"/>
        </w:rPr>
        <w:t xml:space="preserve"> esta Comissão requisitou informações à Superintend</w:t>
      </w:r>
      <w:r w:rsidR="00B867D7" w:rsidRPr="00BA14B1">
        <w:rPr>
          <w:rFonts w:ascii="Arial" w:hAnsi="Arial" w:cs="Arial"/>
          <w:b/>
          <w:sz w:val="24"/>
          <w:szCs w:val="24"/>
        </w:rPr>
        <w:t xml:space="preserve">ência </w:t>
      </w:r>
      <w:r w:rsidR="00B32A29" w:rsidRPr="00BA14B1">
        <w:rPr>
          <w:rFonts w:ascii="Arial" w:hAnsi="Arial" w:cs="Arial"/>
          <w:b/>
          <w:sz w:val="24"/>
          <w:szCs w:val="24"/>
        </w:rPr>
        <w:t>Regiona</w:t>
      </w:r>
      <w:r w:rsidR="00B867D7" w:rsidRPr="00BA14B1">
        <w:rPr>
          <w:rFonts w:ascii="Arial" w:hAnsi="Arial" w:cs="Arial"/>
          <w:b/>
          <w:sz w:val="24"/>
          <w:szCs w:val="24"/>
        </w:rPr>
        <w:t>l do Trabalho e Emprego em Goiás</w:t>
      </w:r>
      <w:r w:rsidR="00B867D7">
        <w:rPr>
          <w:rFonts w:ascii="Arial" w:hAnsi="Arial" w:cs="Arial"/>
          <w:sz w:val="24"/>
          <w:szCs w:val="24"/>
        </w:rPr>
        <w:t xml:space="preserve">, </w:t>
      </w:r>
      <w:r>
        <w:rPr>
          <w:rFonts w:ascii="Arial" w:hAnsi="Arial" w:cs="Arial"/>
          <w:sz w:val="24"/>
          <w:szCs w:val="24"/>
        </w:rPr>
        <w:t>visando a reunir informações sobre o primeiro aspecto mencionado (alínea “a”</w:t>
      </w:r>
      <w:r w:rsidR="005505A2">
        <w:rPr>
          <w:rFonts w:ascii="Arial" w:hAnsi="Arial" w:cs="Arial"/>
          <w:sz w:val="24"/>
          <w:szCs w:val="24"/>
        </w:rPr>
        <w:t xml:space="preserve"> do item 8.4.1 deste relatório</w:t>
      </w:r>
      <w:r>
        <w:rPr>
          <w:rFonts w:ascii="Arial" w:hAnsi="Arial" w:cs="Arial"/>
          <w:sz w:val="24"/>
          <w:szCs w:val="24"/>
        </w:rPr>
        <w:t xml:space="preserve">), </w:t>
      </w:r>
      <w:r w:rsidR="00B867D7">
        <w:rPr>
          <w:rFonts w:ascii="Arial" w:hAnsi="Arial" w:cs="Arial"/>
          <w:sz w:val="24"/>
          <w:szCs w:val="24"/>
        </w:rPr>
        <w:t>nos seguintes ter</w:t>
      </w:r>
      <w:r w:rsidR="00B867D7" w:rsidRPr="00454CC9">
        <w:rPr>
          <w:rFonts w:ascii="Arial" w:hAnsi="Arial" w:cs="Arial"/>
          <w:sz w:val="24"/>
          <w:szCs w:val="24"/>
        </w:rPr>
        <w:t>mos:</w:t>
      </w:r>
    </w:p>
    <w:p w14:paraId="023AF436" w14:textId="77777777" w:rsidR="00111340" w:rsidRPr="00454CC9" w:rsidRDefault="00111340" w:rsidP="00B32A29">
      <w:pPr>
        <w:spacing w:line="360" w:lineRule="auto"/>
        <w:ind w:firstLine="851"/>
        <w:jc w:val="both"/>
        <w:rPr>
          <w:rFonts w:ascii="Arial" w:hAnsi="Arial" w:cs="Arial"/>
          <w:sz w:val="24"/>
          <w:szCs w:val="24"/>
        </w:rPr>
      </w:pPr>
    </w:p>
    <w:p w14:paraId="477D87CA" w14:textId="77777777" w:rsidR="00454CC9" w:rsidRPr="00454CC9" w:rsidRDefault="00454CC9" w:rsidP="00502615">
      <w:pPr>
        <w:pStyle w:val="textojustificadoesp15"/>
        <w:numPr>
          <w:ilvl w:val="0"/>
          <w:numId w:val="31"/>
        </w:numPr>
        <w:spacing w:before="120" w:beforeAutospacing="0" w:after="0" w:afterAutospacing="0" w:line="360" w:lineRule="auto"/>
        <w:ind w:left="839" w:right="119" w:firstLine="0"/>
        <w:jc w:val="both"/>
        <w:rPr>
          <w:rFonts w:ascii="Arial" w:hAnsi="Arial" w:cs="Arial"/>
          <w:color w:val="000000"/>
        </w:rPr>
      </w:pPr>
      <w:r w:rsidRPr="00454CC9">
        <w:rPr>
          <w:rFonts w:ascii="Arial" w:hAnsi="Arial" w:cs="Arial"/>
          <w:u w:val="single"/>
        </w:rPr>
        <w:t>Relação, em planilha de excel ou equivalente, de todas as empresas beneficiárias dos Programas Fomentar/Produzir e seus subprogramas (relação anexa) que foram autuadas por discriminação contra o trabalhador</w:t>
      </w:r>
      <w:r w:rsidRPr="00454CC9">
        <w:rPr>
          <w:rFonts w:ascii="Arial" w:hAnsi="Arial" w:cs="Arial"/>
        </w:rPr>
        <w:t>, com os seguintes dados: a) CNPJ; b) razão social da empresa; c) número do processo; d) situação atual do processo; e) data da decisão definitiva na esfera administrativa, caso haja; f) penalidades aplicadas e confirmadas em decisão final administrativa (inclusive valores de multa), e, destas, quais ainda se encontram pendentes de cumprimento (pagamento de multa, etc)</w:t>
      </w:r>
      <w:r w:rsidRPr="00454CC9">
        <w:rPr>
          <w:rFonts w:ascii="Arial" w:hAnsi="Arial" w:cs="Arial"/>
          <w:color w:val="000000"/>
        </w:rPr>
        <w:t>; e g) eventual reconhecimento de prescrição intercorrente na esfera administrativa e informar as providências tomadas pelo órgão;</w:t>
      </w:r>
    </w:p>
    <w:p w14:paraId="35CF1E89" w14:textId="41A89E87" w:rsidR="00454CC9" w:rsidRPr="00454CC9" w:rsidRDefault="00454CC9" w:rsidP="00502615">
      <w:pPr>
        <w:pStyle w:val="textojustificadoesp15"/>
        <w:numPr>
          <w:ilvl w:val="0"/>
          <w:numId w:val="31"/>
        </w:numPr>
        <w:spacing w:before="120" w:beforeAutospacing="0" w:after="0" w:afterAutospacing="0" w:line="360" w:lineRule="auto"/>
        <w:ind w:left="839" w:right="119" w:firstLine="0"/>
        <w:jc w:val="both"/>
        <w:rPr>
          <w:rFonts w:ascii="Arial" w:hAnsi="Arial" w:cs="Arial"/>
          <w:color w:val="000000"/>
        </w:rPr>
      </w:pPr>
      <w:r w:rsidRPr="00454CC9">
        <w:rPr>
          <w:rFonts w:ascii="Arial" w:hAnsi="Arial" w:cs="Arial"/>
          <w:color w:val="000000"/>
          <w:u w:val="single"/>
        </w:rPr>
        <w:t>Para os efeitos do § 2º do art. 136 da Constituição Estadual</w:t>
      </w:r>
      <w:r w:rsidRPr="00454CC9">
        <w:rPr>
          <w:rStyle w:val="Refdenotaderodap"/>
          <w:rFonts w:ascii="Arial" w:hAnsi="Arial" w:cs="Arial"/>
          <w:color w:val="000000"/>
          <w:u w:val="single"/>
        </w:rPr>
        <w:footnoteReference w:id="101"/>
      </w:r>
      <w:r w:rsidRPr="00454CC9">
        <w:rPr>
          <w:rFonts w:ascii="Arial" w:hAnsi="Arial" w:cs="Arial"/>
          <w:color w:val="000000"/>
        </w:rPr>
        <w:t xml:space="preserve">, se </w:t>
      </w:r>
      <w:r>
        <w:rPr>
          <w:rFonts w:ascii="Arial" w:hAnsi="Arial" w:cs="Arial"/>
          <w:color w:val="000000"/>
        </w:rPr>
        <w:t xml:space="preserve">a Superintendência </w:t>
      </w:r>
      <w:r w:rsidRPr="00454CC9">
        <w:rPr>
          <w:rFonts w:ascii="Arial" w:hAnsi="Arial" w:cs="Arial"/>
          <w:color w:val="000000"/>
        </w:rPr>
        <w:t>já comunicou ao Governo do Estado de Goiás ou a quaisquer de seus órgãos ou entidades a relação de empregadores autuados por discriminação contra o trabalhador, para fins de decretação de perda ou suspensão do benefício:</w:t>
      </w:r>
    </w:p>
    <w:p w14:paraId="648A55E7" w14:textId="77777777" w:rsidR="00454CC9" w:rsidRPr="00454CC9" w:rsidRDefault="00454CC9" w:rsidP="00502615">
      <w:pPr>
        <w:pStyle w:val="textojustificadoesp15"/>
        <w:numPr>
          <w:ilvl w:val="1"/>
          <w:numId w:val="32"/>
        </w:numPr>
        <w:spacing w:before="120" w:beforeAutospacing="0" w:after="0" w:afterAutospacing="0" w:line="360" w:lineRule="auto"/>
        <w:ind w:right="119"/>
        <w:jc w:val="both"/>
        <w:rPr>
          <w:rFonts w:ascii="Arial" w:hAnsi="Arial" w:cs="Arial"/>
          <w:color w:val="000000"/>
        </w:rPr>
      </w:pPr>
      <w:r w:rsidRPr="00454CC9">
        <w:rPr>
          <w:rFonts w:ascii="Arial" w:hAnsi="Arial" w:cs="Arial"/>
          <w:color w:val="000000"/>
        </w:rPr>
        <w:t xml:space="preserve">Em caso positivo, requer-se cópia dos ofícios correspondentes; </w:t>
      </w:r>
    </w:p>
    <w:p w14:paraId="2E9E300F" w14:textId="4C794CF6" w:rsidR="00B867D7" w:rsidRPr="00454CC9" w:rsidRDefault="00454CC9" w:rsidP="00502615">
      <w:pPr>
        <w:pStyle w:val="textojustificadoesp15"/>
        <w:numPr>
          <w:ilvl w:val="1"/>
          <w:numId w:val="32"/>
        </w:numPr>
        <w:spacing w:before="120" w:beforeAutospacing="0" w:after="0" w:afterAutospacing="0" w:line="360" w:lineRule="auto"/>
        <w:ind w:right="119"/>
        <w:jc w:val="both"/>
        <w:rPr>
          <w:rFonts w:ascii="Arial" w:hAnsi="Arial" w:cs="Arial"/>
          <w:color w:val="000000"/>
        </w:rPr>
      </w:pPr>
      <w:r w:rsidRPr="00454CC9">
        <w:rPr>
          <w:rFonts w:ascii="Arial" w:hAnsi="Arial" w:cs="Arial"/>
          <w:color w:val="000000"/>
        </w:rPr>
        <w:t>Em caso negativo, solicita-se o encaminhamento de mencionada relação ao menos anualmente à Secretaria de Estado da Economia de Goiás, para fins de cumprimento efetivo do disposto na referida norma constitucional estadual, inclusive, se for o caso, mediante a formalização de protocolo, convênio ou instrumento congênere com mencionada secretaria.</w:t>
      </w:r>
    </w:p>
    <w:p w14:paraId="5282A4CC" w14:textId="77777777" w:rsidR="00111340" w:rsidRDefault="00111340" w:rsidP="00B32A29">
      <w:pPr>
        <w:spacing w:line="360" w:lineRule="auto"/>
        <w:ind w:firstLine="851"/>
        <w:jc w:val="both"/>
        <w:rPr>
          <w:rFonts w:ascii="Arial" w:hAnsi="Arial" w:cs="Arial"/>
          <w:sz w:val="24"/>
          <w:szCs w:val="24"/>
        </w:rPr>
      </w:pPr>
    </w:p>
    <w:p w14:paraId="38091B5B" w14:textId="06A8F938" w:rsidR="00581C31" w:rsidRPr="00BF718C" w:rsidRDefault="00C17CA9" w:rsidP="00B32A29">
      <w:pPr>
        <w:spacing w:line="360" w:lineRule="auto"/>
        <w:ind w:firstLine="851"/>
        <w:jc w:val="both"/>
        <w:rPr>
          <w:rFonts w:ascii="Arial" w:hAnsi="Arial" w:cs="Arial"/>
          <w:sz w:val="24"/>
          <w:szCs w:val="24"/>
        </w:rPr>
      </w:pPr>
      <w:r>
        <w:rPr>
          <w:rFonts w:ascii="Arial" w:hAnsi="Arial" w:cs="Arial"/>
          <w:sz w:val="24"/>
          <w:szCs w:val="24"/>
        </w:rPr>
        <w:t xml:space="preserve">Porém, </w:t>
      </w:r>
      <w:r w:rsidRPr="00BF718C">
        <w:rPr>
          <w:rFonts w:ascii="Arial" w:hAnsi="Arial" w:cs="Arial"/>
          <w:sz w:val="24"/>
          <w:szCs w:val="24"/>
          <w:u w:val="single"/>
        </w:rPr>
        <w:t xml:space="preserve">a CPI não </w:t>
      </w:r>
      <w:r w:rsidR="008566BF" w:rsidRPr="00BF718C">
        <w:rPr>
          <w:rFonts w:ascii="Arial" w:hAnsi="Arial" w:cs="Arial"/>
          <w:sz w:val="24"/>
          <w:szCs w:val="24"/>
          <w:u w:val="single"/>
        </w:rPr>
        <w:t>obteve informações mais concretas referentes a essa requisição</w:t>
      </w:r>
      <w:r>
        <w:rPr>
          <w:rFonts w:ascii="Arial" w:hAnsi="Arial" w:cs="Arial"/>
          <w:sz w:val="24"/>
          <w:szCs w:val="24"/>
        </w:rPr>
        <w:t xml:space="preserve">, tendo em </w:t>
      </w:r>
      <w:r w:rsidRPr="00BF718C">
        <w:rPr>
          <w:rFonts w:ascii="Arial" w:hAnsi="Arial" w:cs="Arial"/>
          <w:sz w:val="24"/>
          <w:szCs w:val="24"/>
        </w:rPr>
        <w:t>vista que a resposta da Superintendência Regional do Trabalho e Emprego em Goiás</w:t>
      </w:r>
      <w:r w:rsidR="00581C31" w:rsidRPr="00BF718C">
        <w:rPr>
          <w:rFonts w:ascii="Arial" w:hAnsi="Arial" w:cs="Arial"/>
          <w:sz w:val="24"/>
          <w:szCs w:val="24"/>
        </w:rPr>
        <w:t xml:space="preserve"> – veiculada por meio de despacho datado de 03/12/2019, </w:t>
      </w:r>
      <w:r w:rsidR="003E47EC" w:rsidRPr="00BF718C">
        <w:rPr>
          <w:rFonts w:ascii="Arial" w:hAnsi="Arial" w:cs="Arial"/>
          <w:sz w:val="24"/>
          <w:szCs w:val="24"/>
        </w:rPr>
        <w:t xml:space="preserve">subscrito </w:t>
      </w:r>
      <w:r w:rsidR="00581C31" w:rsidRPr="00BF718C">
        <w:rPr>
          <w:rFonts w:ascii="Arial" w:hAnsi="Arial" w:cs="Arial"/>
          <w:sz w:val="24"/>
          <w:szCs w:val="24"/>
        </w:rPr>
        <w:t xml:space="preserve">pelo Auditor Fiscal do Trabalho, Helder Cordeiro da Conceição, nos autos do processo </w:t>
      </w:r>
      <w:r w:rsidR="00581C31" w:rsidRPr="00BF718C">
        <w:rPr>
          <w:rFonts w:ascii="Arial" w:hAnsi="Arial" w:cs="Arial"/>
          <w:sz w:val="24"/>
          <w:szCs w:val="24"/>
        </w:rPr>
        <w:lastRenderedPageBreak/>
        <w:t>nº 10162.103501/2019-</w:t>
      </w:r>
      <w:r w:rsidR="00581C31" w:rsidRPr="00406E1C">
        <w:rPr>
          <w:rFonts w:ascii="Arial" w:hAnsi="Arial" w:cs="Arial"/>
          <w:sz w:val="24"/>
          <w:szCs w:val="24"/>
        </w:rPr>
        <w:t xml:space="preserve">66 (fl. </w:t>
      </w:r>
      <w:r w:rsidR="00406E1C" w:rsidRPr="00406E1C">
        <w:rPr>
          <w:rFonts w:ascii="Arial" w:hAnsi="Arial" w:cs="Arial"/>
          <w:sz w:val="24"/>
          <w:szCs w:val="24"/>
        </w:rPr>
        <w:t>330</w:t>
      </w:r>
      <w:r w:rsidR="00581C31" w:rsidRPr="00406E1C">
        <w:rPr>
          <w:rFonts w:ascii="Arial" w:hAnsi="Arial" w:cs="Arial"/>
          <w:sz w:val="24"/>
          <w:szCs w:val="24"/>
        </w:rPr>
        <w:t>) – não</w:t>
      </w:r>
      <w:r w:rsidR="00581C31" w:rsidRPr="00BF718C">
        <w:rPr>
          <w:rFonts w:ascii="Arial" w:hAnsi="Arial" w:cs="Arial"/>
          <w:sz w:val="24"/>
          <w:szCs w:val="24"/>
        </w:rPr>
        <w:t xml:space="preserve"> foi conclusiva a respeito, tendo se limitado a </w:t>
      </w:r>
      <w:r w:rsidR="00BA14B1" w:rsidRPr="00BF718C">
        <w:rPr>
          <w:rFonts w:ascii="Arial" w:hAnsi="Arial" w:cs="Arial"/>
          <w:sz w:val="24"/>
          <w:szCs w:val="24"/>
        </w:rPr>
        <w:t>consignar</w:t>
      </w:r>
      <w:r w:rsidR="00581C31" w:rsidRPr="00BF718C">
        <w:rPr>
          <w:rFonts w:ascii="Arial" w:hAnsi="Arial" w:cs="Arial"/>
          <w:sz w:val="24"/>
          <w:szCs w:val="24"/>
        </w:rPr>
        <w:t xml:space="preserve"> o seguinte:</w:t>
      </w:r>
    </w:p>
    <w:p w14:paraId="27DFDA46" w14:textId="77777777" w:rsidR="003B0E93" w:rsidRDefault="003B0E93" w:rsidP="00B32A29">
      <w:pPr>
        <w:spacing w:line="360" w:lineRule="auto"/>
        <w:ind w:firstLine="851"/>
        <w:jc w:val="both"/>
        <w:rPr>
          <w:rFonts w:ascii="Arial" w:hAnsi="Arial" w:cs="Arial"/>
          <w:sz w:val="24"/>
          <w:szCs w:val="24"/>
        </w:rPr>
      </w:pPr>
    </w:p>
    <w:p w14:paraId="09BB43FF" w14:textId="77777777" w:rsidR="00D7577B" w:rsidRPr="002F17D6" w:rsidRDefault="00D7577B" w:rsidP="00111340">
      <w:pPr>
        <w:ind w:left="2268"/>
        <w:jc w:val="both"/>
        <w:rPr>
          <w:rFonts w:ascii="Arial" w:hAnsi="Arial" w:cs="Arial"/>
          <w:sz w:val="22"/>
          <w:szCs w:val="22"/>
        </w:rPr>
      </w:pPr>
      <w:r w:rsidRPr="002F17D6">
        <w:rPr>
          <w:rFonts w:ascii="Arial" w:hAnsi="Arial" w:cs="Arial"/>
          <w:sz w:val="22"/>
          <w:szCs w:val="22"/>
        </w:rPr>
        <w:t xml:space="preserve">Trata-se de solicitação da Presidente da Comissão Parlamentar de Inquérito dos Incentivos Fiscais da Assembleia Legislativa do Estado de Goiás, Deputado Álvaro Guimarães, para que esta Superintendência informe o nome das empresas beneficiárias do programa FOMENTAR que sofreram autuação por discriminação trabalhista, além de outros dados especificados no ofício n° 25/201--CPI-IF. </w:t>
      </w:r>
    </w:p>
    <w:p w14:paraId="702C55CA" w14:textId="77777777" w:rsidR="00D7577B" w:rsidRPr="002F17D6" w:rsidRDefault="00D7577B" w:rsidP="00111340">
      <w:pPr>
        <w:ind w:left="2268"/>
        <w:jc w:val="both"/>
        <w:rPr>
          <w:rFonts w:ascii="Arial" w:hAnsi="Arial" w:cs="Arial"/>
          <w:sz w:val="22"/>
          <w:szCs w:val="22"/>
        </w:rPr>
      </w:pPr>
      <w:r w:rsidRPr="002F17D6">
        <w:rPr>
          <w:rFonts w:ascii="Arial" w:hAnsi="Arial" w:cs="Arial"/>
          <w:sz w:val="22"/>
          <w:szCs w:val="22"/>
        </w:rPr>
        <w:t xml:space="preserve">Acompanha o ofício relação com o nome das empresas e CNPJ, cujo layout do número do CNPJ não é o padrão daquele cadastro, gerando, inclusive, dificuldades para identificar o número correto. </w:t>
      </w:r>
    </w:p>
    <w:p w14:paraId="6FE42383" w14:textId="77777777" w:rsidR="00D7577B" w:rsidRPr="002F17D6" w:rsidRDefault="00D7577B" w:rsidP="00111340">
      <w:pPr>
        <w:ind w:left="2268"/>
        <w:jc w:val="both"/>
        <w:rPr>
          <w:rFonts w:ascii="Arial" w:hAnsi="Arial" w:cs="Arial"/>
          <w:sz w:val="22"/>
          <w:szCs w:val="22"/>
        </w:rPr>
      </w:pPr>
      <w:r w:rsidRPr="002F17D6">
        <w:rPr>
          <w:rFonts w:ascii="Arial" w:hAnsi="Arial" w:cs="Arial"/>
          <w:sz w:val="22"/>
          <w:szCs w:val="22"/>
        </w:rPr>
        <w:t xml:space="preserve">A princípio, identificamos as seguintes ementas relacionadas ao tema discriminação: 001766-3, 001767-1, 001768-0, 001769-8, 001770-1, 001771-0, 001772-8, 001773-6, 001731-0, 001732-9, 001733-7, 001734-5, 001736-1, 001737-0, 001746-9, 001756-6, 001747-7, 001750-7, 001741-8, 001755-8, 001754-0, 001745-0, 001759-0, 001753-1 001744-2, 001758-2, 001752-3, 001749-3, 001743-4, 001757-4, 001751-5, 001748-5 e 001742-6. </w:t>
      </w:r>
    </w:p>
    <w:p w14:paraId="1E333F9E" w14:textId="77777777" w:rsidR="00D7577B" w:rsidRPr="002F17D6" w:rsidRDefault="00D7577B" w:rsidP="00111340">
      <w:pPr>
        <w:ind w:left="2268"/>
        <w:jc w:val="both"/>
        <w:rPr>
          <w:rFonts w:ascii="Arial" w:hAnsi="Arial" w:cs="Arial"/>
          <w:sz w:val="22"/>
          <w:szCs w:val="22"/>
        </w:rPr>
      </w:pPr>
      <w:r w:rsidRPr="002F17D6">
        <w:rPr>
          <w:rFonts w:ascii="Arial" w:hAnsi="Arial" w:cs="Arial"/>
          <w:sz w:val="22"/>
          <w:szCs w:val="22"/>
        </w:rPr>
        <w:t xml:space="preserve">Considerando o grande número de empresas relacionadas no anexo e ementas envolvidas na pesquisa e as limitações das funcionalidades de pesquisa do Sistema de Controle de Processos, Multas e Recursos (CPMR), que, por exemplo, não faz filtragem por ementas, não é possível esta Seção de Multas e Recursos atender o pleito. </w:t>
      </w:r>
    </w:p>
    <w:p w14:paraId="2F1C60F3" w14:textId="77777777" w:rsidR="00D7577B" w:rsidRPr="002F17D6" w:rsidRDefault="00D7577B" w:rsidP="00111340">
      <w:pPr>
        <w:ind w:left="2268"/>
        <w:jc w:val="both"/>
        <w:rPr>
          <w:rFonts w:ascii="Arial" w:hAnsi="Arial" w:cs="Arial"/>
          <w:sz w:val="22"/>
          <w:szCs w:val="22"/>
        </w:rPr>
      </w:pPr>
      <w:r w:rsidRPr="002F17D6">
        <w:rPr>
          <w:rFonts w:ascii="Arial" w:hAnsi="Arial" w:cs="Arial"/>
          <w:sz w:val="22"/>
          <w:szCs w:val="22"/>
        </w:rPr>
        <w:t xml:space="preserve">Ademais, várias cidades do Estado de Goiás são fiscalizadas pela Superintendência Regional do Trabalho do Distrito Federal, a quem caberia prestar as informações solicitadas. </w:t>
      </w:r>
    </w:p>
    <w:p w14:paraId="4B0B752E" w14:textId="6EC007DE" w:rsidR="00D7577B" w:rsidRPr="002F17D6" w:rsidRDefault="00D7577B" w:rsidP="00111340">
      <w:pPr>
        <w:ind w:left="2268"/>
        <w:jc w:val="both"/>
        <w:rPr>
          <w:rFonts w:ascii="Arial" w:hAnsi="Arial" w:cs="Arial"/>
          <w:sz w:val="22"/>
          <w:szCs w:val="22"/>
        </w:rPr>
      </w:pPr>
      <w:r w:rsidRPr="002F17D6">
        <w:rPr>
          <w:rFonts w:ascii="Arial" w:hAnsi="Arial" w:cs="Arial"/>
          <w:sz w:val="22"/>
          <w:szCs w:val="22"/>
        </w:rPr>
        <w:t>Destarte, sugere-se ao Gabinete que informe ao Presidente da Comissão Parlamentar de Inquérito que os dados devem ser solicitados diretamente à Subsecretaria de Inspeção do Trabalho do Ministério da Economia, em Brasília.</w:t>
      </w:r>
    </w:p>
    <w:p w14:paraId="6AB63BEA" w14:textId="77777777" w:rsidR="00581C31" w:rsidRDefault="00581C31" w:rsidP="00B32A29">
      <w:pPr>
        <w:spacing w:line="360" w:lineRule="auto"/>
        <w:ind w:firstLine="851"/>
        <w:jc w:val="both"/>
        <w:rPr>
          <w:rFonts w:ascii="Arial" w:hAnsi="Arial" w:cs="Arial"/>
          <w:sz w:val="24"/>
          <w:szCs w:val="24"/>
        </w:rPr>
      </w:pPr>
    </w:p>
    <w:p w14:paraId="3CED8C6F" w14:textId="796AAD4D" w:rsidR="00C324A7" w:rsidRDefault="00700859" w:rsidP="00B32A29">
      <w:pPr>
        <w:spacing w:line="360" w:lineRule="auto"/>
        <w:ind w:firstLine="851"/>
        <w:jc w:val="both"/>
        <w:rPr>
          <w:rFonts w:ascii="Arial" w:hAnsi="Arial" w:cs="Arial"/>
          <w:sz w:val="24"/>
          <w:szCs w:val="24"/>
        </w:rPr>
      </w:pPr>
      <w:r>
        <w:rPr>
          <w:rFonts w:ascii="Arial" w:hAnsi="Arial" w:cs="Arial"/>
          <w:sz w:val="24"/>
          <w:szCs w:val="24"/>
        </w:rPr>
        <w:t xml:space="preserve">Verifica-se, pois, que </w:t>
      </w:r>
      <w:r w:rsidRPr="00BF718C">
        <w:rPr>
          <w:rFonts w:ascii="Arial" w:hAnsi="Arial" w:cs="Arial"/>
          <w:sz w:val="24"/>
          <w:szCs w:val="24"/>
          <w:u w:val="single"/>
        </w:rPr>
        <w:t>o órgão também opôs obstáculos de ordem funcional para a prestação das informações</w:t>
      </w:r>
      <w:r>
        <w:rPr>
          <w:rFonts w:ascii="Arial" w:hAnsi="Arial" w:cs="Arial"/>
          <w:sz w:val="24"/>
          <w:szCs w:val="24"/>
        </w:rPr>
        <w:t>, embora não tenha entrado em contato com esta CPI visando a eventual adequação da relação de empresas por esta encaminhada para o atendimento do pedido, além de ter indicado a esta CPI fazer nova requisição a outro órgão em vez de encaminhar-lhe diretamente o pleito desta CPI.</w:t>
      </w:r>
      <w:r w:rsidR="00D619F6">
        <w:rPr>
          <w:rFonts w:ascii="Arial" w:hAnsi="Arial" w:cs="Arial"/>
          <w:sz w:val="24"/>
          <w:szCs w:val="24"/>
        </w:rPr>
        <w:t xml:space="preserve"> Ainda, </w:t>
      </w:r>
      <w:r w:rsidR="00D619F6" w:rsidRPr="001676D0">
        <w:rPr>
          <w:rFonts w:ascii="Arial" w:hAnsi="Arial" w:cs="Arial"/>
          <w:sz w:val="24"/>
          <w:szCs w:val="24"/>
          <w:u w:val="single"/>
        </w:rPr>
        <w:t>não</w:t>
      </w:r>
      <w:r w:rsidR="00C324A7" w:rsidRPr="001676D0">
        <w:rPr>
          <w:rFonts w:ascii="Arial" w:hAnsi="Arial" w:cs="Arial"/>
          <w:sz w:val="24"/>
          <w:szCs w:val="24"/>
          <w:u w:val="single"/>
        </w:rPr>
        <w:t xml:space="preserve"> obstante </w:t>
      </w:r>
      <w:r w:rsidR="00D619F6" w:rsidRPr="001676D0">
        <w:rPr>
          <w:rFonts w:ascii="Arial" w:hAnsi="Arial" w:cs="Arial"/>
          <w:sz w:val="24"/>
          <w:szCs w:val="24"/>
          <w:u w:val="single"/>
        </w:rPr>
        <w:t xml:space="preserve">os </w:t>
      </w:r>
      <w:r w:rsidR="00C324A7" w:rsidRPr="001676D0">
        <w:rPr>
          <w:rFonts w:ascii="Arial" w:hAnsi="Arial" w:cs="Arial"/>
          <w:sz w:val="24"/>
          <w:szCs w:val="24"/>
          <w:u w:val="single"/>
        </w:rPr>
        <w:t xml:space="preserve">contatos telefônicos </w:t>
      </w:r>
      <w:r w:rsidR="00C94464">
        <w:rPr>
          <w:rFonts w:ascii="Arial" w:hAnsi="Arial" w:cs="Arial"/>
          <w:sz w:val="24"/>
          <w:szCs w:val="24"/>
          <w:u w:val="single"/>
        </w:rPr>
        <w:t>da</w:t>
      </w:r>
      <w:r w:rsidR="00C324A7" w:rsidRPr="001676D0">
        <w:rPr>
          <w:rFonts w:ascii="Arial" w:hAnsi="Arial" w:cs="Arial"/>
          <w:sz w:val="24"/>
          <w:szCs w:val="24"/>
          <w:u w:val="single"/>
        </w:rPr>
        <w:t xml:space="preserve"> Secretaria desta CPI com mencionado órgão, não foi possível obter nem sequer o nome das empresas a que se referem as ementas</w:t>
      </w:r>
      <w:r w:rsidR="00C324A7">
        <w:rPr>
          <w:rFonts w:ascii="Arial" w:hAnsi="Arial" w:cs="Arial"/>
          <w:sz w:val="24"/>
          <w:szCs w:val="24"/>
        </w:rPr>
        <w:t xml:space="preserve"> acima relacionadas nem outras informações complementares de interesse desta Comissão.</w:t>
      </w:r>
      <w:r>
        <w:rPr>
          <w:rFonts w:ascii="Arial" w:hAnsi="Arial" w:cs="Arial"/>
          <w:sz w:val="24"/>
          <w:szCs w:val="24"/>
        </w:rPr>
        <w:t xml:space="preserve"> </w:t>
      </w:r>
    </w:p>
    <w:p w14:paraId="0C875FE2" w14:textId="1A18AF7F" w:rsidR="00A9507F" w:rsidRDefault="00A9507F" w:rsidP="00B32A29">
      <w:pPr>
        <w:spacing w:line="360" w:lineRule="auto"/>
        <w:ind w:firstLine="851"/>
        <w:jc w:val="both"/>
        <w:rPr>
          <w:rFonts w:ascii="Arial" w:hAnsi="Arial" w:cs="Arial"/>
          <w:sz w:val="24"/>
          <w:szCs w:val="24"/>
        </w:rPr>
      </w:pPr>
      <w:r>
        <w:rPr>
          <w:rFonts w:ascii="Arial" w:hAnsi="Arial" w:cs="Arial"/>
          <w:sz w:val="24"/>
          <w:szCs w:val="24"/>
        </w:rPr>
        <w:t xml:space="preserve">Em relação ao </w:t>
      </w:r>
      <w:r w:rsidRPr="00BE1917">
        <w:rPr>
          <w:rFonts w:ascii="Arial" w:hAnsi="Arial" w:cs="Arial"/>
          <w:b/>
          <w:sz w:val="24"/>
          <w:szCs w:val="24"/>
        </w:rPr>
        <w:t>segundo critério</w:t>
      </w:r>
      <w:r w:rsidR="00BF718C" w:rsidRPr="00BE1917">
        <w:rPr>
          <w:rFonts w:ascii="Arial" w:hAnsi="Arial" w:cs="Arial"/>
          <w:b/>
          <w:sz w:val="24"/>
          <w:szCs w:val="24"/>
        </w:rPr>
        <w:t xml:space="preserve"> (alínea “b”</w:t>
      </w:r>
      <w:r w:rsidR="00BE1917" w:rsidRPr="00BE1917">
        <w:rPr>
          <w:rFonts w:ascii="Arial" w:hAnsi="Arial" w:cs="Arial"/>
          <w:b/>
          <w:sz w:val="24"/>
          <w:szCs w:val="24"/>
        </w:rPr>
        <w:t xml:space="preserve"> do item 8.4.1 deste relatório</w:t>
      </w:r>
      <w:r w:rsidR="00BF718C" w:rsidRPr="00BE1917">
        <w:rPr>
          <w:rFonts w:ascii="Arial" w:hAnsi="Arial" w:cs="Arial"/>
          <w:b/>
          <w:sz w:val="24"/>
          <w:szCs w:val="24"/>
        </w:rPr>
        <w:t>)</w:t>
      </w:r>
      <w:r>
        <w:rPr>
          <w:rFonts w:ascii="Arial" w:hAnsi="Arial" w:cs="Arial"/>
          <w:sz w:val="24"/>
          <w:szCs w:val="24"/>
        </w:rPr>
        <w:t xml:space="preserve">, </w:t>
      </w:r>
      <w:r w:rsidR="007671C0" w:rsidRPr="00BE1917">
        <w:rPr>
          <w:rFonts w:ascii="Arial" w:hAnsi="Arial" w:cs="Arial"/>
          <w:sz w:val="24"/>
          <w:szCs w:val="24"/>
          <w:u w:val="single"/>
        </w:rPr>
        <w:t xml:space="preserve">não era o escopo desta CPI proceder a </w:t>
      </w:r>
      <w:r w:rsidR="00BF718C" w:rsidRPr="00BE1917">
        <w:rPr>
          <w:rFonts w:ascii="Arial" w:hAnsi="Arial" w:cs="Arial"/>
          <w:sz w:val="24"/>
          <w:szCs w:val="24"/>
          <w:u w:val="single"/>
        </w:rPr>
        <w:t>uma análise mais detalhada, processo a processo</w:t>
      </w:r>
      <w:r w:rsidR="007671C0" w:rsidRPr="00BE1917">
        <w:rPr>
          <w:rFonts w:ascii="Arial" w:hAnsi="Arial" w:cs="Arial"/>
          <w:sz w:val="24"/>
          <w:szCs w:val="24"/>
          <w:u w:val="single"/>
        </w:rPr>
        <w:t>,</w:t>
      </w:r>
      <w:r w:rsidR="00BF718C" w:rsidRPr="00BE1917">
        <w:rPr>
          <w:rFonts w:ascii="Arial" w:hAnsi="Arial" w:cs="Arial"/>
          <w:sz w:val="24"/>
          <w:szCs w:val="24"/>
          <w:u w:val="single"/>
        </w:rPr>
        <w:t xml:space="preserve"> na Justiça do Trabalho</w:t>
      </w:r>
      <w:r w:rsidR="00BF718C">
        <w:rPr>
          <w:rFonts w:ascii="Arial" w:hAnsi="Arial" w:cs="Arial"/>
          <w:sz w:val="24"/>
          <w:szCs w:val="24"/>
        </w:rPr>
        <w:t>, a fim de identificar</w:t>
      </w:r>
      <w:r w:rsidR="007671C0">
        <w:rPr>
          <w:rFonts w:ascii="Arial" w:hAnsi="Arial" w:cs="Arial"/>
          <w:sz w:val="24"/>
          <w:szCs w:val="24"/>
        </w:rPr>
        <w:t xml:space="preserve"> as empresas benefici</w:t>
      </w:r>
      <w:r w:rsidR="00BB19CA">
        <w:rPr>
          <w:rFonts w:ascii="Arial" w:hAnsi="Arial" w:cs="Arial"/>
          <w:sz w:val="24"/>
          <w:szCs w:val="24"/>
        </w:rPr>
        <w:t xml:space="preserve">árias de incentivos </w:t>
      </w:r>
      <w:r w:rsidR="00BB19CA">
        <w:rPr>
          <w:rFonts w:ascii="Arial" w:hAnsi="Arial" w:cs="Arial"/>
          <w:sz w:val="24"/>
          <w:szCs w:val="24"/>
        </w:rPr>
        <w:lastRenderedPageBreak/>
        <w:t xml:space="preserve">fiscais que </w:t>
      </w:r>
      <w:r w:rsidR="00E51CF7">
        <w:rPr>
          <w:rFonts w:ascii="Arial" w:hAnsi="Arial" w:cs="Arial"/>
          <w:sz w:val="24"/>
          <w:szCs w:val="24"/>
        </w:rPr>
        <w:t>tiveram condenações judiciais por discriminação co</w:t>
      </w:r>
      <w:r w:rsidR="00A57C67">
        <w:rPr>
          <w:rFonts w:ascii="Arial" w:hAnsi="Arial" w:cs="Arial"/>
          <w:sz w:val="24"/>
          <w:szCs w:val="24"/>
        </w:rPr>
        <w:t xml:space="preserve">ntra o trabalhador, </w:t>
      </w:r>
      <w:r w:rsidR="00B85A25">
        <w:rPr>
          <w:rFonts w:ascii="Arial" w:hAnsi="Arial" w:cs="Arial"/>
          <w:sz w:val="24"/>
          <w:szCs w:val="24"/>
        </w:rPr>
        <w:t xml:space="preserve">respectivas períodos e se haveria coincidência com o período de fruição de incentivos fiscais, </w:t>
      </w:r>
      <w:r w:rsidR="00A57C67">
        <w:rPr>
          <w:rFonts w:ascii="Arial" w:hAnsi="Arial" w:cs="Arial"/>
          <w:sz w:val="24"/>
          <w:szCs w:val="24"/>
        </w:rPr>
        <w:t>o que exigiria uma auditoria ou mesmo força-tarefa só para essa finalidade.</w:t>
      </w:r>
    </w:p>
    <w:p w14:paraId="6A0A7DD0" w14:textId="4242792F" w:rsidR="00A57C67" w:rsidRDefault="00A57C67" w:rsidP="00B32A29">
      <w:pPr>
        <w:spacing w:line="360" w:lineRule="auto"/>
        <w:ind w:firstLine="851"/>
        <w:jc w:val="both"/>
        <w:rPr>
          <w:rFonts w:ascii="Arial" w:hAnsi="Arial" w:cs="Arial"/>
          <w:sz w:val="24"/>
          <w:szCs w:val="24"/>
        </w:rPr>
      </w:pPr>
      <w:r>
        <w:rPr>
          <w:rFonts w:ascii="Arial" w:hAnsi="Arial" w:cs="Arial"/>
          <w:sz w:val="24"/>
          <w:szCs w:val="24"/>
        </w:rPr>
        <w:t xml:space="preserve">Porém, </w:t>
      </w:r>
      <w:r w:rsidR="001F6F08">
        <w:rPr>
          <w:rFonts w:ascii="Arial" w:hAnsi="Arial" w:cs="Arial"/>
          <w:sz w:val="24"/>
          <w:szCs w:val="24"/>
        </w:rPr>
        <w:t>entende-se que,</w:t>
      </w:r>
      <w:r w:rsidR="00ED34D1">
        <w:rPr>
          <w:rFonts w:ascii="Arial" w:hAnsi="Arial" w:cs="Arial"/>
          <w:sz w:val="24"/>
          <w:szCs w:val="24"/>
        </w:rPr>
        <w:t xml:space="preserve"> doravante,</w:t>
      </w:r>
      <w:r w:rsidR="001F6F08">
        <w:rPr>
          <w:rFonts w:ascii="Arial" w:hAnsi="Arial" w:cs="Arial"/>
          <w:sz w:val="24"/>
          <w:szCs w:val="24"/>
        </w:rPr>
        <w:t xml:space="preserve"> </w:t>
      </w:r>
      <w:r w:rsidR="001F6F08" w:rsidRPr="001E3C02">
        <w:rPr>
          <w:rFonts w:ascii="Arial" w:hAnsi="Arial" w:cs="Arial"/>
          <w:sz w:val="24"/>
          <w:szCs w:val="24"/>
          <w:u w:val="single"/>
        </w:rPr>
        <w:t xml:space="preserve">chegando ao conhecimento das pastas responsáveis pela operacionalização dos incentivos fiscais que determinada empresa encontra-se com condenação judicial por discriminação contra </w:t>
      </w:r>
      <w:r w:rsidR="00FB54DD">
        <w:rPr>
          <w:rFonts w:ascii="Arial" w:hAnsi="Arial" w:cs="Arial"/>
          <w:sz w:val="24"/>
          <w:szCs w:val="24"/>
          <w:u w:val="single"/>
        </w:rPr>
        <w:t>determinado</w:t>
      </w:r>
      <w:r w:rsidR="00EB2A3A">
        <w:rPr>
          <w:rFonts w:ascii="Arial" w:hAnsi="Arial" w:cs="Arial"/>
          <w:sz w:val="24"/>
          <w:szCs w:val="24"/>
          <w:u w:val="single"/>
        </w:rPr>
        <w:t>(s)</w:t>
      </w:r>
      <w:r w:rsidR="001F6F08" w:rsidRPr="001E3C02">
        <w:rPr>
          <w:rFonts w:ascii="Arial" w:hAnsi="Arial" w:cs="Arial"/>
          <w:sz w:val="24"/>
          <w:szCs w:val="24"/>
          <w:u w:val="single"/>
        </w:rPr>
        <w:t xml:space="preserve"> trabalhador</w:t>
      </w:r>
      <w:r w:rsidR="00EB2A3A">
        <w:rPr>
          <w:rFonts w:ascii="Arial" w:hAnsi="Arial" w:cs="Arial"/>
          <w:sz w:val="24"/>
          <w:szCs w:val="24"/>
          <w:u w:val="single"/>
        </w:rPr>
        <w:t>(es) ou categoria profissional</w:t>
      </w:r>
      <w:r w:rsidR="001F6F08">
        <w:rPr>
          <w:rFonts w:ascii="Arial" w:hAnsi="Arial" w:cs="Arial"/>
          <w:sz w:val="24"/>
          <w:szCs w:val="24"/>
        </w:rPr>
        <w:t xml:space="preserve"> – informação que inclusive pode ser </w:t>
      </w:r>
      <w:r w:rsidR="00FB54DD">
        <w:rPr>
          <w:rFonts w:ascii="Arial" w:hAnsi="Arial" w:cs="Arial"/>
          <w:sz w:val="24"/>
          <w:szCs w:val="24"/>
        </w:rPr>
        <w:t xml:space="preserve">trazida diretamente </w:t>
      </w:r>
      <w:r w:rsidR="001F6F08">
        <w:rPr>
          <w:rFonts w:ascii="Arial" w:hAnsi="Arial" w:cs="Arial"/>
          <w:sz w:val="24"/>
          <w:szCs w:val="24"/>
        </w:rPr>
        <w:t>pelos próprios reclamantes ou seus procuradores – deve-se considerar irregular eventual fruição</w:t>
      </w:r>
      <w:r w:rsidR="001E3C02">
        <w:rPr>
          <w:rFonts w:ascii="Arial" w:hAnsi="Arial" w:cs="Arial"/>
          <w:sz w:val="24"/>
          <w:szCs w:val="24"/>
        </w:rPr>
        <w:t xml:space="preserve"> durante o trânsito em julgado</w:t>
      </w:r>
      <w:r w:rsidR="003C7B1C">
        <w:rPr>
          <w:rFonts w:ascii="Arial" w:hAnsi="Arial" w:cs="Arial"/>
          <w:sz w:val="24"/>
          <w:szCs w:val="24"/>
        </w:rPr>
        <w:t xml:space="preserve"> da respectiva condenação judicial</w:t>
      </w:r>
      <w:r w:rsidR="001F6F08">
        <w:rPr>
          <w:rFonts w:ascii="Arial" w:hAnsi="Arial" w:cs="Arial"/>
          <w:sz w:val="24"/>
          <w:szCs w:val="24"/>
        </w:rPr>
        <w:t xml:space="preserve"> até o pagamento integral do débito na Justiça do Trabalho</w:t>
      </w:r>
      <w:r w:rsidR="00324796">
        <w:rPr>
          <w:rFonts w:ascii="Arial" w:hAnsi="Arial" w:cs="Arial"/>
          <w:sz w:val="24"/>
          <w:szCs w:val="24"/>
        </w:rPr>
        <w:t>, por imperativo constitucional (CE/GO, art. 136, § 2º)</w:t>
      </w:r>
      <w:r w:rsidR="001E3C02">
        <w:rPr>
          <w:rFonts w:ascii="Arial" w:hAnsi="Arial" w:cs="Arial"/>
          <w:sz w:val="24"/>
          <w:szCs w:val="24"/>
        </w:rPr>
        <w:t>.</w:t>
      </w:r>
    </w:p>
    <w:p w14:paraId="4C309726" w14:textId="77777777" w:rsidR="00FC4BD1" w:rsidRDefault="00FC4BD1" w:rsidP="00B32A29">
      <w:pPr>
        <w:spacing w:line="360" w:lineRule="auto"/>
        <w:ind w:firstLine="851"/>
        <w:jc w:val="both"/>
        <w:rPr>
          <w:rFonts w:ascii="Arial" w:hAnsi="Arial" w:cs="Arial"/>
          <w:b/>
          <w:sz w:val="24"/>
          <w:szCs w:val="24"/>
        </w:rPr>
      </w:pPr>
    </w:p>
    <w:p w14:paraId="2C8B5700" w14:textId="501C92D6" w:rsidR="00A9507F" w:rsidRDefault="001F06D2" w:rsidP="00A9507F">
      <w:pPr>
        <w:spacing w:line="360" w:lineRule="auto"/>
        <w:ind w:firstLine="851"/>
        <w:jc w:val="both"/>
        <w:rPr>
          <w:rFonts w:ascii="Arial" w:hAnsi="Arial" w:cs="Arial"/>
          <w:sz w:val="24"/>
          <w:szCs w:val="24"/>
        </w:rPr>
      </w:pPr>
      <w:r w:rsidRPr="001B356D">
        <w:rPr>
          <w:rFonts w:ascii="Arial" w:hAnsi="Arial" w:cs="Arial"/>
          <w:b/>
          <w:sz w:val="24"/>
          <w:szCs w:val="24"/>
        </w:rPr>
        <w:t>8.</w:t>
      </w:r>
      <w:r w:rsidR="00BF718C">
        <w:rPr>
          <w:rFonts w:ascii="Arial" w:hAnsi="Arial" w:cs="Arial"/>
          <w:b/>
          <w:sz w:val="24"/>
          <w:szCs w:val="24"/>
        </w:rPr>
        <w:t>4</w:t>
      </w:r>
      <w:r w:rsidRPr="001B356D">
        <w:rPr>
          <w:rFonts w:ascii="Arial" w:hAnsi="Arial" w:cs="Arial"/>
          <w:b/>
          <w:sz w:val="24"/>
          <w:szCs w:val="24"/>
        </w:rPr>
        <w:t>.</w:t>
      </w:r>
      <w:r>
        <w:rPr>
          <w:rFonts w:ascii="Arial" w:hAnsi="Arial" w:cs="Arial"/>
          <w:b/>
          <w:sz w:val="24"/>
          <w:szCs w:val="24"/>
        </w:rPr>
        <w:t>3</w:t>
      </w:r>
      <w:r w:rsidRPr="001B356D">
        <w:rPr>
          <w:rFonts w:ascii="Arial" w:hAnsi="Arial" w:cs="Arial"/>
          <w:b/>
          <w:sz w:val="24"/>
          <w:szCs w:val="24"/>
        </w:rPr>
        <w:t>.</w:t>
      </w:r>
      <w:r>
        <w:rPr>
          <w:rFonts w:ascii="Arial" w:hAnsi="Arial" w:cs="Arial"/>
          <w:sz w:val="24"/>
          <w:szCs w:val="24"/>
        </w:rPr>
        <w:t xml:space="preserve"> </w:t>
      </w:r>
      <w:r w:rsidR="00A9507F">
        <w:rPr>
          <w:rFonts w:ascii="Arial" w:hAnsi="Arial" w:cs="Arial"/>
          <w:sz w:val="24"/>
          <w:szCs w:val="24"/>
        </w:rPr>
        <w:t xml:space="preserve">Não obstante, </w:t>
      </w:r>
      <w:r w:rsidR="00A9507F" w:rsidRPr="00A72AE2">
        <w:rPr>
          <w:rFonts w:ascii="Arial" w:hAnsi="Arial" w:cs="Arial"/>
          <w:b/>
          <w:sz w:val="24"/>
          <w:szCs w:val="24"/>
        </w:rPr>
        <w:t>esta Comissão, por meio dos Ofícios nºs 26/2019-CPI (item 2) e 29/2019-CPI (alínea “e”)</w:t>
      </w:r>
      <w:r w:rsidR="00A9507F" w:rsidRPr="00A72AE2">
        <w:rPr>
          <w:rFonts w:ascii="Arial" w:hAnsi="Arial" w:cs="Arial"/>
          <w:sz w:val="24"/>
          <w:szCs w:val="24"/>
        </w:rPr>
        <w:t xml:space="preserve">, também </w:t>
      </w:r>
      <w:r w:rsidR="00A9507F" w:rsidRPr="00923435">
        <w:rPr>
          <w:rFonts w:ascii="Arial" w:hAnsi="Arial" w:cs="Arial"/>
          <w:sz w:val="24"/>
          <w:szCs w:val="24"/>
        </w:rPr>
        <w:t>requisitou informações às Secretarias da Indústria e Comércio e da Economia sobr</w:t>
      </w:r>
      <w:r w:rsidR="00A9507F" w:rsidRPr="00C548A8">
        <w:rPr>
          <w:rFonts w:ascii="Arial" w:hAnsi="Arial" w:cs="Arial"/>
          <w:sz w:val="24"/>
          <w:szCs w:val="24"/>
        </w:rPr>
        <w:t xml:space="preserve">e: </w:t>
      </w:r>
      <w:r w:rsidR="00A9507F" w:rsidRPr="00923435">
        <w:rPr>
          <w:rFonts w:ascii="Arial" w:hAnsi="Arial" w:cs="Arial"/>
          <w:sz w:val="24"/>
          <w:szCs w:val="24"/>
          <w:u w:val="single"/>
        </w:rPr>
        <w:t>a) qual o critério ou forma de controle</w:t>
      </w:r>
      <w:r w:rsidR="00A9507F" w:rsidRPr="00923435">
        <w:rPr>
          <w:rFonts w:ascii="Arial" w:hAnsi="Arial" w:cs="Arial"/>
          <w:sz w:val="24"/>
          <w:szCs w:val="24"/>
        </w:rPr>
        <w:t xml:space="preserve">, por parte dessas pastas, quanto àquele requisito constitucional; </w:t>
      </w:r>
      <w:r w:rsidR="00A9507F" w:rsidRPr="00A31583">
        <w:rPr>
          <w:rFonts w:ascii="Arial" w:hAnsi="Arial" w:cs="Arial"/>
          <w:sz w:val="24"/>
          <w:szCs w:val="24"/>
          <w:u w:val="single"/>
        </w:rPr>
        <w:t>b)</w:t>
      </w:r>
      <w:r w:rsidR="00A9507F" w:rsidRPr="00A31583">
        <w:rPr>
          <w:rFonts w:ascii="Arial" w:hAnsi="Arial" w:cs="Arial"/>
          <w:color w:val="000000"/>
          <w:sz w:val="24"/>
          <w:szCs w:val="24"/>
          <w:u w:val="single"/>
        </w:rPr>
        <w:t xml:space="preserve"> se mencionadas s</w:t>
      </w:r>
      <w:r w:rsidR="00A9507F" w:rsidRPr="00A31583">
        <w:rPr>
          <w:rFonts w:ascii="Arial" w:hAnsi="Arial" w:cs="Arial"/>
          <w:sz w:val="24"/>
          <w:szCs w:val="24"/>
          <w:u w:val="single"/>
        </w:rPr>
        <w:t>ecretarias já deixaram de conceder ou já decretaram a perda ou suspensão de incentivos fiscais</w:t>
      </w:r>
      <w:r w:rsidR="00A9507F" w:rsidRPr="00923435">
        <w:rPr>
          <w:rFonts w:ascii="Arial" w:hAnsi="Arial" w:cs="Arial"/>
          <w:sz w:val="24"/>
          <w:szCs w:val="24"/>
        </w:rPr>
        <w:t xml:space="preserve"> com fundamento naquele dispositivo constitucional.</w:t>
      </w:r>
    </w:p>
    <w:p w14:paraId="054CF2B1" w14:textId="6DE2D826" w:rsidR="001F06D2" w:rsidRDefault="00407442" w:rsidP="00B32A29">
      <w:pPr>
        <w:spacing w:line="360" w:lineRule="auto"/>
        <w:ind w:firstLine="851"/>
        <w:jc w:val="both"/>
        <w:rPr>
          <w:rFonts w:ascii="Arial" w:hAnsi="Arial" w:cs="Arial"/>
          <w:sz w:val="24"/>
          <w:szCs w:val="24"/>
        </w:rPr>
      </w:pPr>
      <w:r>
        <w:rPr>
          <w:rFonts w:ascii="Arial" w:hAnsi="Arial" w:cs="Arial"/>
          <w:sz w:val="24"/>
          <w:szCs w:val="24"/>
        </w:rPr>
        <w:t>Por meio dos Ofícios nº</w:t>
      </w:r>
      <w:r w:rsidR="0032180D">
        <w:rPr>
          <w:rFonts w:ascii="Arial" w:hAnsi="Arial" w:cs="Arial"/>
          <w:sz w:val="24"/>
          <w:szCs w:val="24"/>
        </w:rPr>
        <w:t>s</w:t>
      </w:r>
      <w:r>
        <w:rPr>
          <w:rFonts w:ascii="Arial" w:hAnsi="Arial" w:cs="Arial"/>
          <w:sz w:val="24"/>
          <w:szCs w:val="24"/>
        </w:rPr>
        <w:t xml:space="preserve"> 7.923/2019-Economia</w:t>
      </w:r>
      <w:r w:rsidR="006C0C46">
        <w:rPr>
          <w:rFonts w:ascii="Arial" w:hAnsi="Arial" w:cs="Arial"/>
          <w:sz w:val="24"/>
          <w:szCs w:val="24"/>
        </w:rPr>
        <w:t xml:space="preserve"> </w:t>
      </w:r>
      <w:r w:rsidR="006C0C46" w:rsidRPr="007F3318">
        <w:rPr>
          <w:rFonts w:ascii="Arial" w:hAnsi="Arial" w:cs="Arial"/>
          <w:sz w:val="24"/>
          <w:szCs w:val="24"/>
        </w:rPr>
        <w:t>(fl</w:t>
      </w:r>
      <w:r w:rsidR="007F3318" w:rsidRPr="007F3318">
        <w:rPr>
          <w:rFonts w:ascii="Arial" w:hAnsi="Arial" w:cs="Arial"/>
          <w:sz w:val="24"/>
          <w:szCs w:val="24"/>
        </w:rPr>
        <w:t>s</w:t>
      </w:r>
      <w:r w:rsidR="006C0C46" w:rsidRPr="007F3318">
        <w:rPr>
          <w:rFonts w:ascii="Arial" w:hAnsi="Arial" w:cs="Arial"/>
          <w:sz w:val="24"/>
          <w:szCs w:val="24"/>
        </w:rPr>
        <w:t xml:space="preserve">. </w:t>
      </w:r>
      <w:r w:rsidR="00406E1C" w:rsidRPr="007F3318">
        <w:rPr>
          <w:rFonts w:ascii="Arial" w:hAnsi="Arial" w:cs="Arial"/>
          <w:sz w:val="24"/>
          <w:szCs w:val="24"/>
        </w:rPr>
        <w:t>343</w:t>
      </w:r>
      <w:r w:rsidR="007F3318">
        <w:rPr>
          <w:rFonts w:ascii="Arial" w:hAnsi="Arial" w:cs="Arial"/>
          <w:sz w:val="24"/>
          <w:szCs w:val="24"/>
        </w:rPr>
        <w:t>/347</w:t>
      </w:r>
      <w:r w:rsidR="0032180D">
        <w:rPr>
          <w:rFonts w:ascii="Arial" w:hAnsi="Arial" w:cs="Arial"/>
          <w:sz w:val="24"/>
          <w:szCs w:val="24"/>
        </w:rPr>
        <w:t>) e 1.531/2019-SIC (fl</w:t>
      </w:r>
      <w:r w:rsidR="007F3318">
        <w:rPr>
          <w:rFonts w:ascii="Arial" w:hAnsi="Arial" w:cs="Arial"/>
          <w:sz w:val="24"/>
          <w:szCs w:val="24"/>
        </w:rPr>
        <w:t>s</w:t>
      </w:r>
      <w:r w:rsidR="0032180D">
        <w:rPr>
          <w:rFonts w:ascii="Arial" w:hAnsi="Arial" w:cs="Arial"/>
          <w:sz w:val="24"/>
          <w:szCs w:val="24"/>
        </w:rPr>
        <w:t xml:space="preserve">. </w:t>
      </w:r>
      <w:r w:rsidR="007F3318">
        <w:rPr>
          <w:rFonts w:ascii="Arial" w:hAnsi="Arial" w:cs="Arial"/>
          <w:sz w:val="24"/>
          <w:szCs w:val="24"/>
        </w:rPr>
        <w:t>350/353</w:t>
      </w:r>
      <w:r w:rsidR="0032180D">
        <w:rPr>
          <w:rFonts w:ascii="Arial" w:hAnsi="Arial" w:cs="Arial"/>
          <w:sz w:val="24"/>
          <w:szCs w:val="24"/>
        </w:rPr>
        <w:t xml:space="preserve">), </w:t>
      </w:r>
      <w:r w:rsidR="0032180D" w:rsidRPr="00084E6D">
        <w:rPr>
          <w:rFonts w:ascii="Arial" w:hAnsi="Arial" w:cs="Arial"/>
          <w:b/>
          <w:sz w:val="24"/>
          <w:szCs w:val="24"/>
        </w:rPr>
        <w:t xml:space="preserve">as </w:t>
      </w:r>
      <w:r w:rsidR="0032180D" w:rsidRPr="001F06D2">
        <w:rPr>
          <w:rFonts w:ascii="Arial" w:hAnsi="Arial" w:cs="Arial"/>
          <w:b/>
          <w:sz w:val="24"/>
          <w:szCs w:val="24"/>
          <w:u w:val="single"/>
        </w:rPr>
        <w:t>respectivas pastas não apontaram nenhuma exigência específica</w:t>
      </w:r>
      <w:r w:rsidR="0032180D" w:rsidRPr="00084E6D">
        <w:rPr>
          <w:rFonts w:ascii="Arial" w:hAnsi="Arial" w:cs="Arial"/>
          <w:b/>
          <w:sz w:val="24"/>
          <w:szCs w:val="24"/>
        </w:rPr>
        <w:t xml:space="preserve"> para conferir efetividade ao mencionado dispositivo constitucional</w:t>
      </w:r>
      <w:r w:rsidR="0032180D">
        <w:rPr>
          <w:rFonts w:ascii="Arial" w:hAnsi="Arial" w:cs="Arial"/>
          <w:sz w:val="24"/>
          <w:szCs w:val="24"/>
        </w:rPr>
        <w:t xml:space="preserve">, embora a Secretaria de Estado da Indústria e Comércio tenha indicado que </w:t>
      </w:r>
      <w:r w:rsidR="00084E6D">
        <w:rPr>
          <w:rFonts w:ascii="Arial" w:hAnsi="Arial" w:cs="Arial"/>
          <w:sz w:val="24"/>
          <w:szCs w:val="24"/>
        </w:rPr>
        <w:t>é exigida a comprovação de regularidade do FGTS como parte da documentação obrigatória para adesão ao</w:t>
      </w:r>
      <w:r w:rsidR="001F06D2">
        <w:rPr>
          <w:rFonts w:ascii="Arial" w:hAnsi="Arial" w:cs="Arial"/>
          <w:sz w:val="24"/>
          <w:szCs w:val="24"/>
        </w:rPr>
        <w:t xml:space="preserve"> Programa</w:t>
      </w:r>
      <w:r w:rsidR="00084E6D">
        <w:rPr>
          <w:rFonts w:ascii="Arial" w:hAnsi="Arial" w:cs="Arial"/>
          <w:sz w:val="24"/>
          <w:szCs w:val="24"/>
        </w:rPr>
        <w:t xml:space="preserve"> Produzir junto à GOIÁSFOMENTO</w:t>
      </w:r>
      <w:r w:rsidR="001F06D2">
        <w:rPr>
          <w:rFonts w:ascii="Arial" w:hAnsi="Arial" w:cs="Arial"/>
          <w:sz w:val="24"/>
          <w:szCs w:val="24"/>
        </w:rPr>
        <w:t xml:space="preserve">; </w:t>
      </w:r>
      <w:r w:rsidR="001F06D2" w:rsidRPr="00A9507F">
        <w:rPr>
          <w:rFonts w:ascii="Arial" w:hAnsi="Arial" w:cs="Arial"/>
          <w:sz w:val="24"/>
          <w:szCs w:val="24"/>
          <w:u w:val="single"/>
        </w:rPr>
        <w:t>ainda, mencionaram que, em consulta aos respectivos sistemas, não localizaram qualquer registro de suspensão ou perda de incentivos fiscais no Estado de Goiás com base no § 2º do art. 136 da CE/GO</w:t>
      </w:r>
      <w:r w:rsidR="0032180D">
        <w:rPr>
          <w:rFonts w:ascii="Arial" w:hAnsi="Arial" w:cs="Arial"/>
          <w:sz w:val="24"/>
          <w:szCs w:val="24"/>
        </w:rPr>
        <w:t>.</w:t>
      </w:r>
      <w:r w:rsidR="001F06D2">
        <w:rPr>
          <w:rFonts w:ascii="Arial" w:hAnsi="Arial" w:cs="Arial"/>
          <w:sz w:val="24"/>
          <w:szCs w:val="24"/>
        </w:rPr>
        <w:t xml:space="preserve"> </w:t>
      </w:r>
    </w:p>
    <w:p w14:paraId="616F7266" w14:textId="77777777" w:rsidR="00FC4BD1" w:rsidRDefault="00FC4BD1" w:rsidP="00FC4BD1">
      <w:pPr>
        <w:spacing w:line="360" w:lineRule="auto"/>
        <w:ind w:firstLine="851"/>
        <w:jc w:val="both"/>
        <w:rPr>
          <w:rFonts w:ascii="Arial" w:hAnsi="Arial" w:cs="Arial"/>
          <w:sz w:val="24"/>
          <w:szCs w:val="24"/>
        </w:rPr>
      </w:pPr>
    </w:p>
    <w:p w14:paraId="2371C789" w14:textId="74B9F2A9" w:rsidR="00FC4BD1" w:rsidRDefault="00FC4BD1" w:rsidP="00FC4BD1">
      <w:pPr>
        <w:spacing w:line="360" w:lineRule="auto"/>
        <w:ind w:firstLine="851"/>
        <w:jc w:val="both"/>
        <w:rPr>
          <w:rFonts w:ascii="Arial" w:hAnsi="Arial" w:cs="Arial"/>
          <w:sz w:val="24"/>
          <w:szCs w:val="24"/>
        </w:rPr>
      </w:pPr>
      <w:r w:rsidRPr="001B356D">
        <w:rPr>
          <w:rFonts w:ascii="Arial" w:hAnsi="Arial" w:cs="Arial"/>
          <w:b/>
          <w:sz w:val="24"/>
          <w:szCs w:val="24"/>
        </w:rPr>
        <w:t>8.</w:t>
      </w:r>
      <w:r>
        <w:rPr>
          <w:rFonts w:ascii="Arial" w:hAnsi="Arial" w:cs="Arial"/>
          <w:b/>
          <w:sz w:val="24"/>
          <w:szCs w:val="24"/>
        </w:rPr>
        <w:t>4</w:t>
      </w:r>
      <w:r w:rsidRPr="001B356D">
        <w:rPr>
          <w:rFonts w:ascii="Arial" w:hAnsi="Arial" w:cs="Arial"/>
          <w:b/>
          <w:sz w:val="24"/>
          <w:szCs w:val="24"/>
        </w:rPr>
        <w:t>.</w:t>
      </w:r>
      <w:r>
        <w:rPr>
          <w:rFonts w:ascii="Arial" w:hAnsi="Arial" w:cs="Arial"/>
          <w:b/>
          <w:sz w:val="24"/>
          <w:szCs w:val="24"/>
        </w:rPr>
        <w:t>4</w:t>
      </w:r>
      <w:r w:rsidRPr="001B356D">
        <w:rPr>
          <w:rFonts w:ascii="Arial" w:hAnsi="Arial" w:cs="Arial"/>
          <w:b/>
          <w:sz w:val="24"/>
          <w:szCs w:val="24"/>
        </w:rPr>
        <w:t>.</w:t>
      </w:r>
      <w:r>
        <w:rPr>
          <w:rFonts w:ascii="Arial" w:hAnsi="Arial" w:cs="Arial"/>
          <w:sz w:val="24"/>
          <w:szCs w:val="24"/>
        </w:rPr>
        <w:t xml:space="preserve"> Tendo em vista todas essas considerações, </w:t>
      </w:r>
      <w:r w:rsidRPr="00FC4BD1">
        <w:rPr>
          <w:rFonts w:ascii="Arial" w:hAnsi="Arial" w:cs="Arial"/>
          <w:b/>
          <w:sz w:val="24"/>
          <w:szCs w:val="24"/>
          <w:u w:val="single"/>
        </w:rPr>
        <w:t>recomenda-se aos atuais Secretários</w:t>
      </w:r>
      <w:r w:rsidRPr="00FC4BD1">
        <w:rPr>
          <w:rFonts w:ascii="Arial" w:hAnsi="Arial" w:cs="Arial"/>
          <w:sz w:val="24"/>
          <w:szCs w:val="24"/>
        </w:rPr>
        <w:t xml:space="preserve"> de Estado da </w:t>
      </w:r>
      <w:r w:rsidRPr="00FC4BD1">
        <w:rPr>
          <w:rFonts w:ascii="Arial" w:hAnsi="Arial" w:cs="Arial"/>
          <w:b/>
          <w:sz w:val="24"/>
          <w:szCs w:val="24"/>
        </w:rPr>
        <w:t>Indústria e Comércio</w:t>
      </w:r>
      <w:r w:rsidRPr="00FC4BD1">
        <w:rPr>
          <w:rFonts w:ascii="Arial" w:hAnsi="Arial" w:cs="Arial"/>
          <w:sz w:val="24"/>
          <w:szCs w:val="24"/>
        </w:rPr>
        <w:t xml:space="preserve"> e da </w:t>
      </w:r>
      <w:r w:rsidRPr="00FC4BD1">
        <w:rPr>
          <w:rFonts w:ascii="Arial" w:hAnsi="Arial" w:cs="Arial"/>
          <w:b/>
          <w:sz w:val="24"/>
          <w:szCs w:val="24"/>
        </w:rPr>
        <w:t>Economia</w:t>
      </w:r>
      <w:r w:rsidRPr="00FC4BD1">
        <w:rPr>
          <w:rFonts w:ascii="Arial" w:hAnsi="Arial" w:cs="Arial"/>
          <w:sz w:val="24"/>
          <w:szCs w:val="24"/>
        </w:rPr>
        <w:t xml:space="preserve">, </w:t>
      </w:r>
      <w:r w:rsidRPr="00FC4BD1">
        <w:rPr>
          <w:rFonts w:ascii="Arial" w:hAnsi="Arial" w:cs="Arial"/>
          <w:b/>
          <w:sz w:val="24"/>
          <w:szCs w:val="24"/>
        </w:rPr>
        <w:t>e demais órgãos e agentes públicos</w:t>
      </w:r>
      <w:r w:rsidRPr="00FC4BD1">
        <w:rPr>
          <w:rFonts w:ascii="Arial" w:hAnsi="Arial" w:cs="Arial"/>
          <w:sz w:val="24"/>
          <w:szCs w:val="24"/>
        </w:rPr>
        <w:t xml:space="preserve"> responsáveis pela operacionalização e acompanhamento dos requisitos de fruição dos incentivos fiscais, sob pena de responsabilidade a ser apurada pelo MPE/GO e demais órgãos de controle, </w:t>
      </w:r>
      <w:r>
        <w:rPr>
          <w:rFonts w:ascii="Arial" w:hAnsi="Arial" w:cs="Arial"/>
          <w:sz w:val="24"/>
          <w:szCs w:val="24"/>
        </w:rPr>
        <w:t>que:</w:t>
      </w:r>
    </w:p>
    <w:p w14:paraId="1C9F2FBD" w14:textId="77777777" w:rsidR="00111340" w:rsidRDefault="00111340" w:rsidP="00FC4BD1">
      <w:pPr>
        <w:spacing w:line="360" w:lineRule="auto"/>
        <w:ind w:firstLine="851"/>
        <w:jc w:val="both"/>
        <w:rPr>
          <w:rFonts w:ascii="Arial" w:hAnsi="Arial" w:cs="Arial"/>
          <w:sz w:val="24"/>
          <w:szCs w:val="24"/>
        </w:rPr>
      </w:pPr>
    </w:p>
    <w:p w14:paraId="01070B5D" w14:textId="56826C2A" w:rsidR="004F156D" w:rsidRDefault="00FC4BD1" w:rsidP="00FC4BD1">
      <w:pPr>
        <w:spacing w:line="360" w:lineRule="auto"/>
        <w:ind w:firstLine="851"/>
        <w:jc w:val="both"/>
        <w:rPr>
          <w:rFonts w:ascii="Arial" w:hAnsi="Arial" w:cs="Arial"/>
          <w:sz w:val="24"/>
          <w:szCs w:val="24"/>
        </w:rPr>
      </w:pPr>
      <w:r w:rsidRPr="004F156D">
        <w:rPr>
          <w:rFonts w:ascii="Arial" w:hAnsi="Arial" w:cs="Arial"/>
          <w:b/>
          <w:sz w:val="24"/>
          <w:szCs w:val="24"/>
        </w:rPr>
        <w:t xml:space="preserve">a) chegando ao conhecimento das pastas responsáveis pela operacionalização dos incentivos fiscais que determinada empresa encontra-se com </w:t>
      </w:r>
      <w:r w:rsidR="004F156D">
        <w:rPr>
          <w:rFonts w:ascii="Arial" w:hAnsi="Arial" w:cs="Arial"/>
          <w:b/>
          <w:sz w:val="24"/>
          <w:szCs w:val="24"/>
        </w:rPr>
        <w:t xml:space="preserve">autuação por auditor fiscal do trabalho ou </w:t>
      </w:r>
      <w:r w:rsidRPr="004F156D">
        <w:rPr>
          <w:rFonts w:ascii="Arial" w:hAnsi="Arial" w:cs="Arial"/>
          <w:b/>
          <w:sz w:val="24"/>
          <w:szCs w:val="24"/>
        </w:rPr>
        <w:t>condenação judicial por discriminação contra determinado(s) trabalhador(es) ou categoria profissional</w:t>
      </w:r>
      <w:r>
        <w:rPr>
          <w:rFonts w:ascii="Arial" w:hAnsi="Arial" w:cs="Arial"/>
          <w:sz w:val="24"/>
          <w:szCs w:val="24"/>
        </w:rPr>
        <w:t xml:space="preserve"> – informação que inclusive pode ser trazida diretamente pelos próprios reclamantes ou seus procuradores – deve-se considerar irregular eventual fruição</w:t>
      </w:r>
      <w:r w:rsidR="004F156D">
        <w:rPr>
          <w:rFonts w:ascii="Arial" w:hAnsi="Arial" w:cs="Arial"/>
          <w:sz w:val="24"/>
          <w:szCs w:val="24"/>
        </w:rPr>
        <w:t xml:space="preserve"> durante</w:t>
      </w:r>
      <w:r w:rsidR="00955EF1">
        <w:rPr>
          <w:rFonts w:ascii="Arial" w:hAnsi="Arial" w:cs="Arial"/>
          <w:sz w:val="24"/>
          <w:szCs w:val="24"/>
        </w:rPr>
        <w:t xml:space="preserve"> o período</w:t>
      </w:r>
      <w:r w:rsidR="00BC3DDF">
        <w:rPr>
          <w:rFonts w:ascii="Arial" w:hAnsi="Arial" w:cs="Arial"/>
          <w:sz w:val="24"/>
          <w:szCs w:val="24"/>
        </w:rPr>
        <w:t xml:space="preserve"> de</w:t>
      </w:r>
      <w:r w:rsidR="004F156D">
        <w:rPr>
          <w:rFonts w:ascii="Arial" w:hAnsi="Arial" w:cs="Arial"/>
          <w:sz w:val="24"/>
          <w:szCs w:val="24"/>
        </w:rPr>
        <w:t>:</w:t>
      </w:r>
    </w:p>
    <w:p w14:paraId="7A8C21CB" w14:textId="299634D3" w:rsidR="00955EF1" w:rsidRDefault="004F156D" w:rsidP="00955EF1">
      <w:pPr>
        <w:spacing w:line="360" w:lineRule="auto"/>
        <w:ind w:firstLine="851"/>
        <w:jc w:val="both"/>
        <w:rPr>
          <w:rFonts w:ascii="Arial" w:hAnsi="Arial" w:cs="Arial"/>
          <w:sz w:val="24"/>
          <w:szCs w:val="24"/>
        </w:rPr>
      </w:pPr>
      <w:r w:rsidRPr="00BC3DDF">
        <w:rPr>
          <w:rFonts w:ascii="Arial" w:hAnsi="Arial" w:cs="Arial"/>
          <w:sz w:val="24"/>
          <w:szCs w:val="24"/>
          <w:u w:val="single"/>
        </w:rPr>
        <w:t xml:space="preserve">a.1) </w:t>
      </w:r>
      <w:r w:rsidR="00955EF1" w:rsidRPr="00BC3DDF">
        <w:rPr>
          <w:rFonts w:ascii="Arial" w:hAnsi="Arial" w:cs="Arial"/>
          <w:sz w:val="24"/>
          <w:szCs w:val="24"/>
          <w:u w:val="single"/>
        </w:rPr>
        <w:t>vigência da penalidade administrativa aplicada</w:t>
      </w:r>
      <w:r w:rsidR="00955EF1">
        <w:rPr>
          <w:rFonts w:ascii="Arial" w:hAnsi="Arial" w:cs="Arial"/>
          <w:sz w:val="24"/>
          <w:szCs w:val="24"/>
        </w:rPr>
        <w:t>, isto é, desde a data em que a penalidade se torne definitiva no âmbito administrativo até o encerramento dos respectivos efeitos, independentemente da efetiva inscrição em dívida ativa de eventual multa aplicada;</w:t>
      </w:r>
    </w:p>
    <w:p w14:paraId="6CF95AB6" w14:textId="7827D4CB" w:rsidR="00955EF1" w:rsidRPr="00117975" w:rsidRDefault="00955EF1" w:rsidP="00117975">
      <w:pPr>
        <w:spacing w:line="360" w:lineRule="auto"/>
        <w:ind w:firstLine="851"/>
        <w:jc w:val="both"/>
        <w:rPr>
          <w:rFonts w:ascii="Arial" w:hAnsi="Arial" w:cs="Arial"/>
          <w:sz w:val="24"/>
          <w:szCs w:val="24"/>
        </w:rPr>
      </w:pPr>
      <w:r w:rsidRPr="006E103A">
        <w:rPr>
          <w:rFonts w:ascii="Arial" w:hAnsi="Arial" w:cs="Arial"/>
          <w:sz w:val="24"/>
          <w:szCs w:val="24"/>
          <w:u w:val="single"/>
        </w:rPr>
        <w:t xml:space="preserve">a.2) </w:t>
      </w:r>
      <w:r w:rsidR="00117975" w:rsidRPr="006E103A">
        <w:rPr>
          <w:rFonts w:ascii="Arial" w:hAnsi="Arial" w:cs="Arial"/>
          <w:sz w:val="24"/>
          <w:szCs w:val="24"/>
          <w:u w:val="single"/>
        </w:rPr>
        <w:t>vigência</w:t>
      </w:r>
      <w:r w:rsidR="00117975" w:rsidRPr="00BC3DDF">
        <w:rPr>
          <w:rFonts w:ascii="Arial" w:hAnsi="Arial" w:cs="Arial"/>
          <w:sz w:val="24"/>
          <w:szCs w:val="24"/>
          <w:u w:val="single"/>
        </w:rPr>
        <w:t xml:space="preserve"> da </w:t>
      </w:r>
      <w:r w:rsidR="00117975">
        <w:rPr>
          <w:rFonts w:ascii="Arial" w:hAnsi="Arial" w:cs="Arial"/>
          <w:sz w:val="24"/>
          <w:szCs w:val="24"/>
          <w:u w:val="single"/>
        </w:rPr>
        <w:t xml:space="preserve">condenação judicial </w:t>
      </w:r>
      <w:r w:rsidR="00117975" w:rsidRPr="00653E65">
        <w:rPr>
          <w:rFonts w:ascii="Arial" w:hAnsi="Arial" w:cs="Arial"/>
          <w:sz w:val="24"/>
          <w:szCs w:val="24"/>
          <w:u w:val="single"/>
        </w:rPr>
        <w:t xml:space="preserve">proferida, ou seja, desde </w:t>
      </w:r>
      <w:r w:rsidRPr="00653E65">
        <w:rPr>
          <w:rFonts w:ascii="Arial" w:hAnsi="Arial" w:cs="Arial"/>
          <w:sz w:val="24"/>
          <w:szCs w:val="24"/>
          <w:u w:val="single"/>
        </w:rPr>
        <w:t>o tr</w:t>
      </w:r>
      <w:r w:rsidR="00653E65" w:rsidRPr="00653E65">
        <w:rPr>
          <w:rFonts w:ascii="Arial" w:hAnsi="Arial" w:cs="Arial"/>
          <w:sz w:val="24"/>
          <w:szCs w:val="24"/>
          <w:u w:val="single"/>
        </w:rPr>
        <w:t xml:space="preserve">ânsito em julgado </w:t>
      </w:r>
      <w:r w:rsidR="00653E65">
        <w:rPr>
          <w:rFonts w:ascii="Arial" w:hAnsi="Arial" w:cs="Arial"/>
          <w:sz w:val="24"/>
          <w:szCs w:val="24"/>
        </w:rPr>
        <w:t>(</w:t>
      </w:r>
      <w:r w:rsidR="00653E65" w:rsidRPr="00117975">
        <w:rPr>
          <w:rFonts w:ascii="Arial" w:hAnsi="Arial" w:cs="Arial"/>
          <w:sz w:val="24"/>
          <w:szCs w:val="24"/>
        </w:rPr>
        <w:t>que é o critério temporal seguro a partir do qual se pode afirmar, com segurança, que a empresa praticou discriminação contra o trabalhador</w:t>
      </w:r>
      <w:r w:rsidR="00653E65">
        <w:rPr>
          <w:rFonts w:ascii="Arial" w:hAnsi="Arial" w:cs="Arial"/>
          <w:sz w:val="24"/>
          <w:szCs w:val="24"/>
        </w:rPr>
        <w:t xml:space="preserve">; </w:t>
      </w:r>
      <w:r w:rsidR="00653E65" w:rsidRPr="00117975">
        <w:rPr>
          <w:rFonts w:ascii="Arial" w:hAnsi="Arial" w:cs="Arial"/>
          <w:sz w:val="24"/>
          <w:szCs w:val="24"/>
        </w:rPr>
        <w:t>ou, ao menos, o trânsito em julgado do capítulo da sentença que reconheceu essa infraç</w:t>
      </w:r>
      <w:r w:rsidR="00653E65">
        <w:rPr>
          <w:rFonts w:ascii="Arial" w:hAnsi="Arial" w:cs="Arial"/>
          <w:sz w:val="24"/>
          <w:szCs w:val="24"/>
        </w:rPr>
        <w:t xml:space="preserve">ão) </w:t>
      </w:r>
      <w:r w:rsidR="00653E65" w:rsidRPr="00653E65">
        <w:rPr>
          <w:rFonts w:ascii="Arial" w:hAnsi="Arial" w:cs="Arial"/>
          <w:sz w:val="24"/>
          <w:szCs w:val="24"/>
          <w:u w:val="single"/>
        </w:rPr>
        <w:t>até a data de pagamento da indenização reconhecida em favor do reclamante</w:t>
      </w:r>
      <w:r w:rsidR="008352C0">
        <w:rPr>
          <w:rFonts w:ascii="Arial" w:hAnsi="Arial" w:cs="Arial"/>
          <w:sz w:val="24"/>
          <w:szCs w:val="24"/>
        </w:rPr>
        <w:t>;</w:t>
      </w:r>
    </w:p>
    <w:p w14:paraId="2198B98D" w14:textId="77777777" w:rsidR="00B70092" w:rsidRDefault="008933D2" w:rsidP="008933D2">
      <w:pPr>
        <w:spacing w:line="360" w:lineRule="auto"/>
        <w:ind w:firstLine="851"/>
        <w:jc w:val="both"/>
        <w:rPr>
          <w:rFonts w:ascii="Arial" w:hAnsi="Arial" w:cs="Arial"/>
          <w:sz w:val="24"/>
          <w:szCs w:val="24"/>
        </w:rPr>
      </w:pPr>
      <w:r w:rsidRPr="00B70092">
        <w:rPr>
          <w:rFonts w:ascii="Arial" w:hAnsi="Arial" w:cs="Arial"/>
          <w:b/>
          <w:sz w:val="24"/>
          <w:szCs w:val="24"/>
        </w:rPr>
        <w:t xml:space="preserve">b) </w:t>
      </w:r>
      <w:r w:rsidR="00FC4BD1" w:rsidRPr="00B70092">
        <w:rPr>
          <w:rFonts w:ascii="Arial" w:hAnsi="Arial" w:cs="Arial"/>
          <w:b/>
          <w:sz w:val="24"/>
          <w:szCs w:val="24"/>
        </w:rPr>
        <w:t>formaliz</w:t>
      </w:r>
      <w:r w:rsidR="009E559B" w:rsidRPr="00B70092">
        <w:rPr>
          <w:rFonts w:ascii="Arial" w:hAnsi="Arial" w:cs="Arial"/>
          <w:b/>
          <w:sz w:val="24"/>
          <w:szCs w:val="24"/>
        </w:rPr>
        <w:t>em</w:t>
      </w:r>
      <w:r w:rsidR="00FC4BD1" w:rsidRPr="00B70092">
        <w:rPr>
          <w:rFonts w:ascii="Arial" w:hAnsi="Arial" w:cs="Arial"/>
          <w:b/>
          <w:sz w:val="24"/>
          <w:szCs w:val="24"/>
        </w:rPr>
        <w:t xml:space="preserve"> convênio </w:t>
      </w:r>
      <w:r w:rsidR="00B70092">
        <w:rPr>
          <w:rFonts w:ascii="Arial" w:hAnsi="Arial" w:cs="Arial"/>
          <w:b/>
          <w:sz w:val="24"/>
          <w:szCs w:val="24"/>
        </w:rPr>
        <w:t>com</w:t>
      </w:r>
      <w:r w:rsidR="00FC4BD1" w:rsidRPr="00B70092">
        <w:rPr>
          <w:rFonts w:ascii="Arial" w:hAnsi="Arial" w:cs="Arial"/>
          <w:b/>
          <w:sz w:val="24"/>
          <w:szCs w:val="24"/>
        </w:rPr>
        <w:t xml:space="preserve"> o órgão competente para apuração de infrações trabalhistas no âmbito administrativo e com a Justiça do Trabalho em Goiás</w:t>
      </w:r>
      <w:r w:rsidR="00FC4BD1">
        <w:rPr>
          <w:rFonts w:ascii="Arial" w:hAnsi="Arial" w:cs="Arial"/>
          <w:sz w:val="24"/>
          <w:szCs w:val="24"/>
        </w:rPr>
        <w:t>, a fim de que encaminh</w:t>
      </w:r>
      <w:r w:rsidR="00B70092">
        <w:rPr>
          <w:rFonts w:ascii="Arial" w:hAnsi="Arial" w:cs="Arial"/>
          <w:sz w:val="24"/>
          <w:szCs w:val="24"/>
        </w:rPr>
        <w:t>ar</w:t>
      </w:r>
      <w:r w:rsidR="00FC4BD1">
        <w:rPr>
          <w:rFonts w:ascii="Arial" w:hAnsi="Arial" w:cs="Arial"/>
          <w:sz w:val="24"/>
          <w:szCs w:val="24"/>
        </w:rPr>
        <w:t xml:space="preserve">em à Secretaria de Estado da Economia: </w:t>
      </w:r>
    </w:p>
    <w:p w14:paraId="2AD88346" w14:textId="6131B87E" w:rsidR="00DF773F" w:rsidRPr="00DF773F" w:rsidRDefault="00DF773F" w:rsidP="00DF773F">
      <w:pPr>
        <w:spacing w:line="360" w:lineRule="auto"/>
        <w:ind w:firstLine="851"/>
        <w:jc w:val="both"/>
        <w:rPr>
          <w:rFonts w:ascii="Arial" w:hAnsi="Arial" w:cs="Arial"/>
          <w:sz w:val="24"/>
          <w:szCs w:val="24"/>
        </w:rPr>
      </w:pPr>
      <w:r w:rsidRPr="00DF773F">
        <w:rPr>
          <w:rFonts w:ascii="Arial" w:hAnsi="Arial" w:cs="Arial"/>
          <w:sz w:val="24"/>
          <w:szCs w:val="24"/>
          <w:u w:val="single"/>
        </w:rPr>
        <w:t>b.1</w:t>
      </w:r>
      <w:r w:rsidR="001F4BBE" w:rsidRPr="00DF773F">
        <w:rPr>
          <w:rFonts w:ascii="Arial" w:hAnsi="Arial" w:cs="Arial"/>
          <w:sz w:val="24"/>
          <w:szCs w:val="24"/>
          <w:u w:val="single"/>
        </w:rPr>
        <w:t xml:space="preserve">) </w:t>
      </w:r>
      <w:r w:rsidRPr="00DF773F">
        <w:rPr>
          <w:rFonts w:ascii="Arial" w:hAnsi="Arial" w:cs="Arial"/>
          <w:sz w:val="24"/>
          <w:szCs w:val="24"/>
          <w:u w:val="single"/>
        </w:rPr>
        <w:t>imediatamente, quanto à</w:t>
      </w:r>
      <w:r w:rsidR="001F4BBE" w:rsidRPr="00DF773F">
        <w:rPr>
          <w:rFonts w:ascii="Arial" w:hAnsi="Arial" w:cs="Arial"/>
          <w:sz w:val="24"/>
          <w:szCs w:val="24"/>
          <w:u w:val="single"/>
        </w:rPr>
        <w:t xml:space="preserve">s autuações ou condenações que houverem proferido contra as empresas </w:t>
      </w:r>
      <w:r>
        <w:rPr>
          <w:rFonts w:ascii="Arial" w:hAnsi="Arial" w:cs="Arial"/>
          <w:sz w:val="24"/>
          <w:szCs w:val="24"/>
          <w:u w:val="single"/>
        </w:rPr>
        <w:t>beneficiárias de incentivos fiscais</w:t>
      </w:r>
      <w:r w:rsidRPr="00DF773F">
        <w:rPr>
          <w:rFonts w:ascii="Arial" w:hAnsi="Arial" w:cs="Arial"/>
          <w:sz w:val="24"/>
          <w:szCs w:val="24"/>
          <w:u w:val="single"/>
        </w:rPr>
        <w:t xml:space="preserve"> </w:t>
      </w:r>
      <w:r>
        <w:rPr>
          <w:rFonts w:ascii="Arial" w:hAnsi="Arial" w:cs="Arial"/>
          <w:sz w:val="24"/>
          <w:szCs w:val="24"/>
          <w:u w:val="single"/>
        </w:rPr>
        <w:t xml:space="preserve">no </w:t>
      </w:r>
      <w:r w:rsidR="001F4BBE" w:rsidRPr="00DF773F">
        <w:rPr>
          <w:rFonts w:ascii="Arial" w:hAnsi="Arial" w:cs="Arial"/>
          <w:sz w:val="24"/>
          <w:szCs w:val="24"/>
          <w:u w:val="single"/>
        </w:rPr>
        <w:t>Estado de Goiás</w:t>
      </w:r>
      <w:r w:rsidR="001F4BBE" w:rsidRPr="00DF773F">
        <w:rPr>
          <w:rFonts w:ascii="Arial" w:hAnsi="Arial" w:cs="Arial"/>
          <w:sz w:val="24"/>
          <w:szCs w:val="24"/>
        </w:rPr>
        <w:t xml:space="preserve">, para posterior exame dos órgãos estaduais no sentido de aferir se é beneficiária de incentivos fiscais, verificar eventual fruição irregular e adotar as demais medidas pertinentes; ou </w:t>
      </w:r>
    </w:p>
    <w:p w14:paraId="56140D79" w14:textId="7DE415B0" w:rsidR="000825A6" w:rsidRPr="00DF773F" w:rsidRDefault="00DF773F" w:rsidP="00DF773F">
      <w:pPr>
        <w:spacing w:line="360" w:lineRule="auto"/>
        <w:ind w:firstLine="851"/>
        <w:jc w:val="both"/>
        <w:rPr>
          <w:rFonts w:ascii="Arial" w:hAnsi="Arial" w:cs="Arial"/>
          <w:b/>
          <w:sz w:val="24"/>
          <w:szCs w:val="24"/>
          <w:u w:val="single"/>
        </w:rPr>
      </w:pPr>
      <w:r w:rsidRPr="00DF773F">
        <w:rPr>
          <w:rFonts w:ascii="Arial" w:hAnsi="Arial" w:cs="Arial"/>
          <w:sz w:val="24"/>
          <w:szCs w:val="24"/>
          <w:u w:val="single"/>
        </w:rPr>
        <w:t xml:space="preserve">b.2) periodicamente, as empresas </w:t>
      </w:r>
      <w:r>
        <w:rPr>
          <w:rFonts w:ascii="Arial" w:hAnsi="Arial" w:cs="Arial"/>
          <w:sz w:val="24"/>
          <w:szCs w:val="24"/>
          <w:u w:val="single"/>
        </w:rPr>
        <w:t>beneficiárias de incentivos fiscais</w:t>
      </w:r>
      <w:r w:rsidRPr="00DF773F">
        <w:rPr>
          <w:rFonts w:ascii="Arial" w:hAnsi="Arial" w:cs="Arial"/>
          <w:sz w:val="24"/>
          <w:szCs w:val="24"/>
          <w:u w:val="single"/>
        </w:rPr>
        <w:t xml:space="preserve"> no Estado de Goiás</w:t>
      </w:r>
      <w:r>
        <w:rPr>
          <w:rFonts w:ascii="Arial" w:hAnsi="Arial" w:cs="Arial"/>
          <w:sz w:val="24"/>
          <w:szCs w:val="24"/>
          <w:u w:val="single"/>
        </w:rPr>
        <w:t xml:space="preserve"> </w:t>
      </w:r>
      <w:r w:rsidRPr="00DF773F">
        <w:rPr>
          <w:rFonts w:ascii="Arial" w:hAnsi="Arial" w:cs="Arial"/>
          <w:sz w:val="24"/>
          <w:szCs w:val="24"/>
          <w:u w:val="single"/>
        </w:rPr>
        <w:t>que sofreram condenação judicial ou autuação administrativa</w:t>
      </w:r>
      <w:r w:rsidRPr="00DF773F">
        <w:rPr>
          <w:rFonts w:ascii="Arial" w:hAnsi="Arial" w:cs="Arial"/>
          <w:sz w:val="24"/>
          <w:szCs w:val="24"/>
        </w:rPr>
        <w:t>.</w:t>
      </w:r>
    </w:p>
    <w:p w14:paraId="0C5DE5D4" w14:textId="77777777" w:rsidR="00B1663A" w:rsidRDefault="00B1663A" w:rsidP="002A1E43">
      <w:pPr>
        <w:spacing w:line="360" w:lineRule="auto"/>
        <w:ind w:firstLine="851"/>
        <w:jc w:val="both"/>
        <w:rPr>
          <w:rFonts w:ascii="Arial" w:hAnsi="Arial" w:cs="Arial"/>
          <w:b/>
          <w:sz w:val="24"/>
          <w:szCs w:val="24"/>
          <w:u w:val="single"/>
        </w:rPr>
      </w:pPr>
    </w:p>
    <w:p w14:paraId="48D1DB92" w14:textId="13E8FB8E" w:rsidR="006356F1" w:rsidRDefault="006356F1">
      <w:pPr>
        <w:rPr>
          <w:rFonts w:ascii="Arial" w:hAnsi="Arial" w:cs="Arial"/>
          <w:b/>
          <w:sz w:val="24"/>
          <w:szCs w:val="24"/>
          <w:u w:val="single"/>
        </w:rPr>
      </w:pPr>
      <w:r>
        <w:rPr>
          <w:rFonts w:ascii="Arial" w:hAnsi="Arial" w:cs="Arial"/>
          <w:b/>
          <w:sz w:val="24"/>
          <w:szCs w:val="24"/>
          <w:u w:val="single"/>
        </w:rPr>
        <w:br w:type="page"/>
      </w:r>
    </w:p>
    <w:p w14:paraId="6C073380" w14:textId="77777777" w:rsidR="00B1663A" w:rsidRDefault="00B1663A" w:rsidP="002A1E43">
      <w:pPr>
        <w:spacing w:line="360" w:lineRule="auto"/>
        <w:ind w:firstLine="851"/>
        <w:jc w:val="both"/>
        <w:rPr>
          <w:rFonts w:ascii="Arial" w:hAnsi="Arial" w:cs="Arial"/>
          <w:b/>
          <w:sz w:val="24"/>
          <w:szCs w:val="24"/>
          <w:u w:val="single"/>
        </w:rPr>
      </w:pPr>
    </w:p>
    <w:p w14:paraId="116F10EF" w14:textId="77777777" w:rsidR="006356F1" w:rsidRDefault="006356F1" w:rsidP="006356F1">
      <w:pPr>
        <w:spacing w:line="360" w:lineRule="auto"/>
        <w:ind w:firstLine="851"/>
        <w:jc w:val="both"/>
        <w:rPr>
          <w:rFonts w:ascii="Arial" w:hAnsi="Arial" w:cs="Arial"/>
          <w:b/>
          <w:sz w:val="24"/>
          <w:szCs w:val="24"/>
          <w:u w:val="single"/>
        </w:rPr>
      </w:pPr>
      <w:r>
        <w:rPr>
          <w:rFonts w:ascii="Arial" w:hAnsi="Arial" w:cs="Arial"/>
          <w:b/>
          <w:sz w:val="24"/>
          <w:szCs w:val="24"/>
          <w:u w:val="single"/>
        </w:rPr>
        <w:t>9</w:t>
      </w:r>
      <w:r w:rsidRPr="007A561D">
        <w:rPr>
          <w:rFonts w:ascii="Arial" w:hAnsi="Arial" w:cs="Arial"/>
          <w:b/>
          <w:sz w:val="24"/>
          <w:szCs w:val="24"/>
          <w:u w:val="single"/>
        </w:rPr>
        <w:t xml:space="preserve"> – </w:t>
      </w:r>
      <w:r>
        <w:rPr>
          <w:rFonts w:ascii="Arial" w:hAnsi="Arial" w:cs="Arial"/>
          <w:b/>
          <w:sz w:val="24"/>
          <w:szCs w:val="24"/>
          <w:u w:val="single"/>
        </w:rPr>
        <w:t>OUTROS ACHADOS DESTA CPI</w:t>
      </w:r>
    </w:p>
    <w:p w14:paraId="6CE96DEC" w14:textId="77777777" w:rsidR="006356F1" w:rsidRDefault="006356F1" w:rsidP="006356F1">
      <w:pPr>
        <w:spacing w:line="360" w:lineRule="auto"/>
        <w:ind w:firstLine="851"/>
        <w:jc w:val="both"/>
        <w:rPr>
          <w:rFonts w:ascii="Arial" w:hAnsi="Arial" w:cs="Arial"/>
          <w:b/>
          <w:sz w:val="24"/>
          <w:szCs w:val="24"/>
          <w:u w:val="single"/>
        </w:rPr>
      </w:pPr>
    </w:p>
    <w:p w14:paraId="522AF36A" w14:textId="77777777" w:rsidR="006356F1" w:rsidRDefault="006356F1" w:rsidP="006356F1">
      <w:pPr>
        <w:spacing w:line="360" w:lineRule="auto"/>
        <w:ind w:firstLine="851"/>
        <w:jc w:val="both"/>
        <w:rPr>
          <w:rFonts w:ascii="Arial" w:hAnsi="Arial" w:cs="Arial"/>
          <w:b/>
          <w:bCs/>
          <w:sz w:val="24"/>
          <w:szCs w:val="24"/>
        </w:rPr>
      </w:pPr>
      <w:r w:rsidRPr="000F499D">
        <w:rPr>
          <w:rFonts w:ascii="Arial" w:hAnsi="Arial" w:cs="Arial"/>
          <w:b/>
          <w:bCs/>
          <w:sz w:val="24"/>
          <w:szCs w:val="24"/>
        </w:rPr>
        <w:t>9.1</w:t>
      </w:r>
      <w:r>
        <w:rPr>
          <w:rFonts w:ascii="Arial" w:hAnsi="Arial" w:cs="Arial"/>
          <w:b/>
          <w:bCs/>
          <w:sz w:val="24"/>
          <w:szCs w:val="24"/>
        </w:rPr>
        <w:t xml:space="preserve"> – EMPRESAS IDENTIFICADAS COMO MICROEMPRESAS OU EMPRESAS DE PEQUENO PORTE COM MOVIMENTAÇÃO FINANCEIRA EM APARENTE INCOMPATIBILIDADE COM O ART. 3º DA COMPLEMENTAR FEDERAL Nº 123/2006</w:t>
      </w:r>
    </w:p>
    <w:p w14:paraId="54C90CF0" w14:textId="77777777" w:rsidR="006356F1" w:rsidRDefault="006356F1" w:rsidP="006356F1">
      <w:pPr>
        <w:spacing w:line="360" w:lineRule="auto"/>
        <w:ind w:firstLine="851"/>
        <w:jc w:val="both"/>
        <w:rPr>
          <w:rFonts w:ascii="Arial" w:hAnsi="Arial" w:cs="Arial"/>
          <w:b/>
          <w:bCs/>
          <w:sz w:val="24"/>
          <w:szCs w:val="24"/>
        </w:rPr>
      </w:pPr>
    </w:p>
    <w:p w14:paraId="40022E73" w14:textId="77777777" w:rsidR="006356F1" w:rsidRDefault="006356F1" w:rsidP="006356F1">
      <w:pPr>
        <w:tabs>
          <w:tab w:val="left" w:pos="3420"/>
        </w:tabs>
        <w:spacing w:line="360" w:lineRule="auto"/>
        <w:ind w:firstLine="851"/>
        <w:jc w:val="both"/>
        <w:rPr>
          <w:rFonts w:ascii="Arial" w:hAnsi="Arial" w:cs="Arial"/>
          <w:sz w:val="24"/>
          <w:szCs w:val="24"/>
        </w:rPr>
      </w:pPr>
      <w:r w:rsidRPr="00CF7E35">
        <w:rPr>
          <w:rFonts w:ascii="Arial" w:hAnsi="Arial" w:cs="Arial"/>
          <w:b/>
          <w:bCs/>
          <w:sz w:val="24"/>
          <w:szCs w:val="24"/>
        </w:rPr>
        <w:t xml:space="preserve">9.1.1. </w:t>
      </w:r>
      <w:r>
        <w:rPr>
          <w:rFonts w:ascii="Arial" w:hAnsi="Arial" w:cs="Arial"/>
          <w:sz w:val="24"/>
          <w:szCs w:val="24"/>
        </w:rPr>
        <w:t xml:space="preserve">Por meio do </w:t>
      </w:r>
      <w:r w:rsidRPr="008841A7">
        <w:rPr>
          <w:rFonts w:ascii="Arial" w:hAnsi="Arial" w:cs="Arial"/>
          <w:b/>
          <w:bCs/>
          <w:sz w:val="24"/>
          <w:szCs w:val="24"/>
          <w:u w:val="single"/>
        </w:rPr>
        <w:t xml:space="preserve">Ofício nº </w:t>
      </w:r>
      <w:r>
        <w:rPr>
          <w:rFonts w:ascii="Arial" w:hAnsi="Arial" w:cs="Arial"/>
          <w:b/>
          <w:bCs/>
          <w:sz w:val="24"/>
          <w:szCs w:val="24"/>
          <w:u w:val="single"/>
        </w:rPr>
        <w:t>2.756</w:t>
      </w:r>
      <w:r w:rsidRPr="008841A7">
        <w:rPr>
          <w:rFonts w:ascii="Arial" w:hAnsi="Arial" w:cs="Arial"/>
          <w:b/>
          <w:bCs/>
          <w:sz w:val="24"/>
          <w:szCs w:val="24"/>
          <w:u w:val="single"/>
        </w:rPr>
        <w:t>/2019-</w:t>
      </w:r>
      <w:r>
        <w:rPr>
          <w:rFonts w:ascii="Arial" w:hAnsi="Arial" w:cs="Arial"/>
          <w:b/>
          <w:bCs/>
          <w:sz w:val="24"/>
          <w:szCs w:val="24"/>
          <w:u w:val="single"/>
        </w:rPr>
        <w:t>Economia</w:t>
      </w:r>
      <w:r w:rsidRPr="008841A7">
        <w:rPr>
          <w:rFonts w:ascii="Arial" w:hAnsi="Arial" w:cs="Arial"/>
          <w:b/>
          <w:bCs/>
          <w:sz w:val="24"/>
          <w:szCs w:val="24"/>
          <w:u w:val="single"/>
        </w:rPr>
        <w:t xml:space="preserve"> (</w:t>
      </w:r>
      <w:r>
        <w:rPr>
          <w:rFonts w:ascii="Arial" w:hAnsi="Arial" w:cs="Arial"/>
          <w:b/>
          <w:bCs/>
          <w:sz w:val="24"/>
          <w:szCs w:val="24"/>
          <w:u w:val="single"/>
        </w:rPr>
        <w:t>p. 7/60</w:t>
      </w:r>
      <w:r w:rsidRPr="008841A7">
        <w:rPr>
          <w:rFonts w:ascii="Arial" w:hAnsi="Arial" w:cs="Arial"/>
          <w:b/>
          <w:bCs/>
          <w:sz w:val="24"/>
          <w:szCs w:val="24"/>
          <w:u w:val="single"/>
        </w:rPr>
        <w:t>)</w:t>
      </w:r>
      <w:r w:rsidRPr="008841A7">
        <w:rPr>
          <w:rFonts w:ascii="Arial" w:hAnsi="Arial" w:cs="Arial"/>
          <w:b/>
          <w:bCs/>
          <w:sz w:val="24"/>
          <w:szCs w:val="24"/>
        </w:rPr>
        <w:t xml:space="preserve">, a Secretaria de Estado da Economia </w:t>
      </w:r>
      <w:r>
        <w:rPr>
          <w:rFonts w:ascii="Arial" w:hAnsi="Arial" w:cs="Arial"/>
          <w:b/>
          <w:bCs/>
          <w:sz w:val="24"/>
          <w:szCs w:val="24"/>
        </w:rPr>
        <w:t xml:space="preserve">forneceu a esta CPI </w:t>
      </w:r>
      <w:r w:rsidRPr="008841A7">
        <w:rPr>
          <w:rFonts w:ascii="Arial" w:hAnsi="Arial" w:cs="Arial"/>
          <w:b/>
          <w:bCs/>
          <w:sz w:val="24"/>
          <w:szCs w:val="24"/>
        </w:rPr>
        <w:t>a relação nominal e completa de pessoas jurídicas beneficiárias d</w:t>
      </w:r>
      <w:r>
        <w:rPr>
          <w:rFonts w:ascii="Arial" w:hAnsi="Arial" w:cs="Arial"/>
          <w:b/>
          <w:bCs/>
          <w:sz w:val="24"/>
          <w:szCs w:val="24"/>
        </w:rPr>
        <w:t>os Programas Fomentar/Produzir e/ou de crédito outorgado</w:t>
      </w:r>
      <w:r>
        <w:rPr>
          <w:rFonts w:ascii="Arial" w:hAnsi="Arial" w:cs="Arial"/>
          <w:sz w:val="24"/>
          <w:szCs w:val="24"/>
        </w:rPr>
        <w:t>, com discriminação do respectivo CNPJ, nome empresarial/razão social, e valores conforme a espécie de benefícios fruídos ao longo dos anos de 2014 a 2018, consoante já informado ao longo do capítulo 7 deste relatório.</w:t>
      </w:r>
    </w:p>
    <w:p w14:paraId="2EBCD4C2" w14:textId="77777777" w:rsidR="006356F1" w:rsidRDefault="006356F1" w:rsidP="006356F1">
      <w:pPr>
        <w:spacing w:line="360" w:lineRule="auto"/>
        <w:ind w:firstLine="851"/>
        <w:jc w:val="both"/>
        <w:rPr>
          <w:rFonts w:ascii="Arial" w:hAnsi="Arial" w:cs="Arial"/>
          <w:sz w:val="24"/>
          <w:szCs w:val="24"/>
        </w:rPr>
      </w:pPr>
      <w:r w:rsidRPr="00B02C47">
        <w:rPr>
          <w:rFonts w:ascii="Arial" w:hAnsi="Arial" w:cs="Arial"/>
          <w:sz w:val="24"/>
          <w:szCs w:val="24"/>
        </w:rPr>
        <w:t xml:space="preserve">Da </w:t>
      </w:r>
      <w:r>
        <w:rPr>
          <w:rFonts w:ascii="Arial" w:hAnsi="Arial" w:cs="Arial"/>
          <w:sz w:val="24"/>
          <w:szCs w:val="24"/>
        </w:rPr>
        <w:t xml:space="preserve">atenta análise da mencionada relação, um fato que chamou atenção desta CPI foi a </w:t>
      </w:r>
      <w:r w:rsidRPr="004E68ED">
        <w:rPr>
          <w:rFonts w:ascii="Arial" w:hAnsi="Arial" w:cs="Arial"/>
          <w:b/>
          <w:bCs/>
          <w:sz w:val="24"/>
          <w:szCs w:val="24"/>
        </w:rPr>
        <w:t>existência de</w:t>
      </w:r>
      <w:r>
        <w:rPr>
          <w:rFonts w:ascii="Arial" w:hAnsi="Arial" w:cs="Arial"/>
          <w:b/>
          <w:bCs/>
          <w:sz w:val="24"/>
          <w:szCs w:val="24"/>
        </w:rPr>
        <w:t xml:space="preserve"> </w:t>
      </w:r>
      <w:r w:rsidRPr="004E68ED">
        <w:rPr>
          <w:rFonts w:ascii="Arial" w:hAnsi="Arial" w:cs="Arial"/>
          <w:b/>
          <w:bCs/>
          <w:sz w:val="24"/>
          <w:szCs w:val="24"/>
        </w:rPr>
        <w:t>empresa</w:t>
      </w:r>
      <w:r>
        <w:rPr>
          <w:rFonts w:ascii="Arial" w:hAnsi="Arial" w:cs="Arial"/>
          <w:b/>
          <w:bCs/>
          <w:sz w:val="24"/>
          <w:szCs w:val="24"/>
        </w:rPr>
        <w:t>s</w:t>
      </w:r>
      <w:r w:rsidRPr="004E68ED">
        <w:rPr>
          <w:rFonts w:ascii="Arial" w:hAnsi="Arial" w:cs="Arial"/>
          <w:b/>
          <w:bCs/>
          <w:sz w:val="24"/>
          <w:szCs w:val="24"/>
        </w:rPr>
        <w:t xml:space="preserve"> em cuja razão social aparecia a sigla </w:t>
      </w:r>
      <w:r>
        <w:rPr>
          <w:rFonts w:ascii="Arial" w:hAnsi="Arial" w:cs="Arial"/>
          <w:b/>
          <w:bCs/>
          <w:sz w:val="24"/>
          <w:szCs w:val="24"/>
        </w:rPr>
        <w:t xml:space="preserve">ME ou </w:t>
      </w:r>
      <w:r w:rsidRPr="004E68ED">
        <w:rPr>
          <w:rFonts w:ascii="Arial" w:hAnsi="Arial" w:cs="Arial"/>
          <w:b/>
          <w:bCs/>
          <w:sz w:val="24"/>
          <w:szCs w:val="24"/>
        </w:rPr>
        <w:t>EPP</w:t>
      </w:r>
      <w:r w:rsidRPr="004E68ED">
        <w:rPr>
          <w:rFonts w:ascii="Arial" w:hAnsi="Arial" w:cs="Arial"/>
          <w:sz w:val="24"/>
          <w:szCs w:val="24"/>
        </w:rPr>
        <w:t>,</w:t>
      </w:r>
      <w:r>
        <w:rPr>
          <w:rFonts w:ascii="Arial" w:hAnsi="Arial" w:cs="Arial"/>
          <w:sz w:val="24"/>
          <w:szCs w:val="24"/>
        </w:rPr>
        <w:t xml:space="preserve"> como indicativo de se tratar de microempresa ou empresa de pequeno porte, </w:t>
      </w:r>
      <w:r w:rsidRPr="000F4375">
        <w:rPr>
          <w:rFonts w:ascii="Arial" w:hAnsi="Arial" w:cs="Arial"/>
          <w:sz w:val="24"/>
          <w:szCs w:val="24"/>
          <w:u w:val="single"/>
        </w:rPr>
        <w:t>mas</w:t>
      </w:r>
      <w:r w:rsidRPr="000F4375">
        <w:rPr>
          <w:rFonts w:ascii="Arial" w:hAnsi="Arial" w:cs="Arial"/>
          <w:bCs/>
          <w:sz w:val="24"/>
          <w:szCs w:val="24"/>
          <w:u w:val="single"/>
        </w:rPr>
        <w:t xml:space="preserve"> que fruíram incentivos fiscais aparentemente incompatíveis com o limite de receita bruta especificado nesse diploma legal para enquadramento no regime do Simples Nacional</w:t>
      </w:r>
      <w:r>
        <w:rPr>
          <w:rFonts w:ascii="Arial" w:hAnsi="Arial" w:cs="Arial"/>
          <w:bCs/>
          <w:sz w:val="24"/>
          <w:szCs w:val="24"/>
          <w:u w:val="single"/>
        </w:rPr>
        <w:t xml:space="preserve">, </w:t>
      </w:r>
      <w:r>
        <w:rPr>
          <w:rFonts w:ascii="Arial" w:hAnsi="Arial" w:cs="Arial"/>
          <w:sz w:val="24"/>
          <w:szCs w:val="24"/>
        </w:rPr>
        <w:t>nos termos da Lei Complementar federal (LCf) nº 123/2006.</w:t>
      </w:r>
    </w:p>
    <w:p w14:paraId="1D3AEE4C"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Com efeito, é cediço que, nos termos do </w:t>
      </w:r>
      <w:r w:rsidRPr="00CD421F">
        <w:rPr>
          <w:rFonts w:ascii="Arial" w:hAnsi="Arial" w:cs="Arial"/>
          <w:b/>
          <w:bCs/>
          <w:sz w:val="24"/>
          <w:szCs w:val="24"/>
        </w:rPr>
        <w:t>art. 3º da LCf nº 123/2006</w:t>
      </w:r>
      <w:r>
        <w:rPr>
          <w:rFonts w:ascii="Arial" w:hAnsi="Arial" w:cs="Arial"/>
          <w:sz w:val="24"/>
          <w:szCs w:val="24"/>
        </w:rPr>
        <w:t xml:space="preserve">, a categorização da pessoa jurídica como </w:t>
      </w:r>
      <w:r w:rsidRPr="00CD421F">
        <w:rPr>
          <w:rFonts w:ascii="Arial" w:hAnsi="Arial" w:cs="Arial"/>
          <w:sz w:val="24"/>
          <w:szCs w:val="24"/>
          <w:u w:val="single"/>
        </w:rPr>
        <w:t>microempresa</w:t>
      </w:r>
      <w:r>
        <w:rPr>
          <w:rFonts w:ascii="Arial" w:hAnsi="Arial" w:cs="Arial"/>
          <w:sz w:val="24"/>
          <w:szCs w:val="24"/>
        </w:rPr>
        <w:t xml:space="preserve"> (ME) e </w:t>
      </w:r>
      <w:r w:rsidRPr="00CD421F">
        <w:rPr>
          <w:rFonts w:ascii="Arial" w:hAnsi="Arial" w:cs="Arial"/>
          <w:sz w:val="24"/>
          <w:szCs w:val="24"/>
          <w:u w:val="single"/>
        </w:rPr>
        <w:t>empresa de pequeno porte</w:t>
      </w:r>
      <w:r>
        <w:rPr>
          <w:rFonts w:ascii="Arial" w:hAnsi="Arial" w:cs="Arial"/>
          <w:sz w:val="24"/>
          <w:szCs w:val="24"/>
        </w:rPr>
        <w:t xml:space="preserve"> (EPP) depende do </w:t>
      </w:r>
      <w:r w:rsidRPr="00CD421F">
        <w:rPr>
          <w:rFonts w:ascii="Arial" w:hAnsi="Arial" w:cs="Arial"/>
          <w:b/>
          <w:bCs/>
          <w:sz w:val="24"/>
          <w:szCs w:val="24"/>
        </w:rPr>
        <w:t xml:space="preserve">valor da receita bruta </w:t>
      </w:r>
      <w:r>
        <w:rPr>
          <w:rFonts w:ascii="Arial" w:hAnsi="Arial" w:cs="Arial"/>
          <w:b/>
          <w:bCs/>
          <w:sz w:val="24"/>
          <w:szCs w:val="24"/>
        </w:rPr>
        <w:t>auferida</w:t>
      </w:r>
      <w:r w:rsidRPr="00CD421F">
        <w:rPr>
          <w:rFonts w:ascii="Arial" w:hAnsi="Arial" w:cs="Arial"/>
          <w:b/>
          <w:bCs/>
          <w:sz w:val="24"/>
          <w:szCs w:val="24"/>
        </w:rPr>
        <w:t xml:space="preserve"> no respectivo ano-calendário</w:t>
      </w:r>
      <w:r w:rsidRPr="00111AD4">
        <w:rPr>
          <w:rFonts w:ascii="Arial" w:hAnsi="Arial" w:cs="Arial"/>
          <w:sz w:val="24"/>
          <w:szCs w:val="24"/>
        </w:rPr>
        <w:t>,</w:t>
      </w:r>
      <w:r>
        <w:rPr>
          <w:rFonts w:ascii="Arial" w:hAnsi="Arial" w:cs="Arial"/>
          <w:sz w:val="24"/>
          <w:szCs w:val="24"/>
        </w:rPr>
        <w:t xml:space="preserve"> nos seguintes termos:</w:t>
      </w:r>
    </w:p>
    <w:tbl>
      <w:tblPr>
        <w:tblStyle w:val="Tabelacomgrade"/>
        <w:tblW w:w="0" w:type="auto"/>
        <w:jc w:val="center"/>
        <w:tblLook w:val="04A0" w:firstRow="1" w:lastRow="0" w:firstColumn="1" w:lastColumn="0" w:noHBand="0" w:noVBand="1"/>
      </w:tblPr>
      <w:tblGrid>
        <w:gridCol w:w="4247"/>
        <w:gridCol w:w="4247"/>
      </w:tblGrid>
      <w:tr w:rsidR="006356F1" w14:paraId="79C9BFDB" w14:textId="77777777" w:rsidTr="007F3318">
        <w:trPr>
          <w:jc w:val="center"/>
        </w:trPr>
        <w:tc>
          <w:tcPr>
            <w:tcW w:w="4247" w:type="dxa"/>
            <w:shd w:val="clear" w:color="auto" w:fill="D9D9D9" w:themeFill="background1" w:themeFillShade="D9"/>
          </w:tcPr>
          <w:p w14:paraId="78D48896" w14:textId="77777777" w:rsidR="006356F1" w:rsidRPr="00492142" w:rsidRDefault="006356F1" w:rsidP="00217400">
            <w:pPr>
              <w:spacing w:line="360" w:lineRule="auto"/>
              <w:jc w:val="center"/>
              <w:rPr>
                <w:rFonts w:ascii="Arial" w:hAnsi="Arial" w:cs="Arial"/>
                <w:b/>
                <w:bCs/>
                <w:sz w:val="24"/>
                <w:szCs w:val="24"/>
              </w:rPr>
            </w:pPr>
            <w:r w:rsidRPr="00492142">
              <w:rPr>
                <w:rFonts w:ascii="Arial" w:hAnsi="Arial" w:cs="Arial"/>
                <w:b/>
                <w:bCs/>
                <w:sz w:val="24"/>
                <w:szCs w:val="24"/>
              </w:rPr>
              <w:t>CATEGORIA</w:t>
            </w:r>
          </w:p>
        </w:tc>
        <w:tc>
          <w:tcPr>
            <w:tcW w:w="4247" w:type="dxa"/>
            <w:shd w:val="clear" w:color="auto" w:fill="D9D9D9" w:themeFill="background1" w:themeFillShade="D9"/>
          </w:tcPr>
          <w:p w14:paraId="0C88DE6D" w14:textId="77777777" w:rsidR="006356F1" w:rsidRPr="00492142" w:rsidRDefault="006356F1" w:rsidP="00217400">
            <w:pPr>
              <w:spacing w:line="360" w:lineRule="auto"/>
              <w:jc w:val="center"/>
              <w:rPr>
                <w:rFonts w:ascii="Arial" w:hAnsi="Arial" w:cs="Arial"/>
                <w:b/>
                <w:bCs/>
                <w:sz w:val="24"/>
                <w:szCs w:val="24"/>
              </w:rPr>
            </w:pPr>
            <w:r w:rsidRPr="00492142">
              <w:rPr>
                <w:rFonts w:ascii="Arial" w:hAnsi="Arial" w:cs="Arial"/>
                <w:b/>
                <w:bCs/>
                <w:sz w:val="24"/>
                <w:szCs w:val="24"/>
              </w:rPr>
              <w:t>RECEITA BRUTA</w:t>
            </w:r>
          </w:p>
        </w:tc>
      </w:tr>
      <w:tr w:rsidR="006356F1" w14:paraId="5B596C22" w14:textId="77777777" w:rsidTr="00217400">
        <w:trPr>
          <w:jc w:val="center"/>
        </w:trPr>
        <w:tc>
          <w:tcPr>
            <w:tcW w:w="4247" w:type="dxa"/>
          </w:tcPr>
          <w:p w14:paraId="4BD2209B" w14:textId="77777777" w:rsidR="006356F1" w:rsidRDefault="006356F1" w:rsidP="00217400">
            <w:pPr>
              <w:spacing w:line="360" w:lineRule="auto"/>
              <w:jc w:val="center"/>
              <w:rPr>
                <w:rFonts w:ascii="Arial" w:hAnsi="Arial" w:cs="Arial"/>
                <w:sz w:val="24"/>
                <w:szCs w:val="24"/>
              </w:rPr>
            </w:pPr>
            <w:r>
              <w:rPr>
                <w:rFonts w:ascii="Arial" w:hAnsi="Arial" w:cs="Arial"/>
                <w:sz w:val="24"/>
                <w:szCs w:val="24"/>
              </w:rPr>
              <w:t>M</w:t>
            </w:r>
            <w:r w:rsidRPr="00492142">
              <w:rPr>
                <w:rFonts w:ascii="Arial" w:hAnsi="Arial" w:cs="Arial"/>
                <w:sz w:val="24"/>
                <w:szCs w:val="24"/>
              </w:rPr>
              <w:t>icroempresa (ME)</w:t>
            </w:r>
          </w:p>
        </w:tc>
        <w:tc>
          <w:tcPr>
            <w:tcW w:w="4247" w:type="dxa"/>
          </w:tcPr>
          <w:p w14:paraId="5739B173" w14:textId="77777777" w:rsidR="006356F1" w:rsidRDefault="006356F1" w:rsidP="00217400">
            <w:pPr>
              <w:spacing w:line="360" w:lineRule="auto"/>
              <w:jc w:val="center"/>
              <w:rPr>
                <w:rFonts w:ascii="Arial" w:hAnsi="Arial" w:cs="Arial"/>
                <w:sz w:val="24"/>
                <w:szCs w:val="24"/>
              </w:rPr>
            </w:pPr>
            <w:r>
              <w:rPr>
                <w:rFonts w:ascii="Arial" w:hAnsi="Arial" w:cs="Arial"/>
                <w:sz w:val="24"/>
                <w:szCs w:val="24"/>
              </w:rPr>
              <w:t>I</w:t>
            </w:r>
            <w:r w:rsidRPr="0072112C">
              <w:rPr>
                <w:rFonts w:ascii="Arial" w:hAnsi="Arial" w:cs="Arial"/>
                <w:sz w:val="24"/>
                <w:szCs w:val="24"/>
              </w:rPr>
              <w:t>gual ou inferior a R$ 360.000,00</w:t>
            </w:r>
          </w:p>
        </w:tc>
      </w:tr>
      <w:tr w:rsidR="006356F1" w14:paraId="5955C72E" w14:textId="77777777" w:rsidTr="00217400">
        <w:trPr>
          <w:jc w:val="center"/>
        </w:trPr>
        <w:tc>
          <w:tcPr>
            <w:tcW w:w="4247" w:type="dxa"/>
          </w:tcPr>
          <w:p w14:paraId="109628A6" w14:textId="77777777" w:rsidR="006356F1" w:rsidRDefault="006356F1" w:rsidP="00217400">
            <w:pPr>
              <w:spacing w:line="360" w:lineRule="auto"/>
              <w:jc w:val="center"/>
              <w:rPr>
                <w:rFonts w:ascii="Arial" w:hAnsi="Arial" w:cs="Arial"/>
                <w:sz w:val="24"/>
                <w:szCs w:val="24"/>
              </w:rPr>
            </w:pPr>
          </w:p>
          <w:p w14:paraId="6BA2290A" w14:textId="77777777" w:rsidR="006356F1" w:rsidRDefault="006356F1" w:rsidP="00217400">
            <w:pPr>
              <w:spacing w:line="360" w:lineRule="auto"/>
              <w:jc w:val="center"/>
              <w:rPr>
                <w:rFonts w:ascii="Arial" w:hAnsi="Arial" w:cs="Arial"/>
                <w:sz w:val="24"/>
                <w:szCs w:val="24"/>
              </w:rPr>
            </w:pPr>
          </w:p>
          <w:p w14:paraId="470D6270" w14:textId="77777777" w:rsidR="006356F1" w:rsidRDefault="006356F1" w:rsidP="00217400">
            <w:pPr>
              <w:spacing w:line="360" w:lineRule="auto"/>
              <w:jc w:val="center"/>
              <w:rPr>
                <w:rFonts w:ascii="Arial" w:hAnsi="Arial" w:cs="Arial"/>
                <w:sz w:val="24"/>
                <w:szCs w:val="24"/>
              </w:rPr>
            </w:pPr>
            <w:r>
              <w:rPr>
                <w:rFonts w:ascii="Arial" w:hAnsi="Arial" w:cs="Arial"/>
                <w:sz w:val="24"/>
                <w:szCs w:val="24"/>
              </w:rPr>
              <w:t>E</w:t>
            </w:r>
            <w:r w:rsidRPr="00316837">
              <w:rPr>
                <w:rFonts w:ascii="Arial" w:hAnsi="Arial" w:cs="Arial"/>
                <w:sz w:val="24"/>
                <w:szCs w:val="24"/>
              </w:rPr>
              <w:t>mpresa de pequeno porte (EPP)</w:t>
            </w:r>
          </w:p>
        </w:tc>
        <w:tc>
          <w:tcPr>
            <w:tcW w:w="4247" w:type="dxa"/>
          </w:tcPr>
          <w:p w14:paraId="67863BA0" w14:textId="77777777" w:rsidR="006356F1" w:rsidRDefault="006356F1" w:rsidP="00217400">
            <w:pPr>
              <w:spacing w:line="360" w:lineRule="auto"/>
              <w:jc w:val="center"/>
              <w:rPr>
                <w:rFonts w:ascii="Arial" w:hAnsi="Arial" w:cs="Arial"/>
                <w:sz w:val="24"/>
                <w:szCs w:val="24"/>
              </w:rPr>
            </w:pPr>
            <w:r w:rsidRPr="0072112C">
              <w:rPr>
                <w:rFonts w:ascii="Arial" w:hAnsi="Arial" w:cs="Arial"/>
                <w:b/>
                <w:bCs/>
                <w:sz w:val="24"/>
                <w:szCs w:val="24"/>
              </w:rPr>
              <w:t>Até</w:t>
            </w:r>
            <w:r>
              <w:rPr>
                <w:rFonts w:ascii="Arial" w:hAnsi="Arial" w:cs="Arial"/>
                <w:sz w:val="24"/>
                <w:szCs w:val="24"/>
              </w:rPr>
              <w:t xml:space="preserve"> </w:t>
            </w:r>
            <w:r w:rsidRPr="0072112C">
              <w:rPr>
                <w:rFonts w:ascii="Arial" w:hAnsi="Arial" w:cs="Arial"/>
                <w:b/>
                <w:bCs/>
                <w:sz w:val="24"/>
                <w:szCs w:val="24"/>
              </w:rPr>
              <w:t>2017</w:t>
            </w:r>
            <w:r>
              <w:rPr>
                <w:rFonts w:ascii="Arial" w:hAnsi="Arial" w:cs="Arial"/>
                <w:sz w:val="24"/>
                <w:szCs w:val="24"/>
              </w:rPr>
              <w:t xml:space="preserve">: superior </w:t>
            </w:r>
            <w:r w:rsidRPr="0072112C">
              <w:rPr>
                <w:rFonts w:ascii="Arial" w:hAnsi="Arial" w:cs="Arial"/>
                <w:sz w:val="24"/>
                <w:szCs w:val="24"/>
              </w:rPr>
              <w:t>a R$ 360.000,00 e igual ou inferior a R$ 3.600.000,00</w:t>
            </w:r>
          </w:p>
          <w:p w14:paraId="23AA5A45" w14:textId="77777777" w:rsidR="006356F1" w:rsidRDefault="006356F1" w:rsidP="00217400">
            <w:pPr>
              <w:spacing w:line="360" w:lineRule="auto"/>
              <w:jc w:val="center"/>
              <w:rPr>
                <w:rFonts w:ascii="Arial" w:hAnsi="Arial" w:cs="Arial"/>
                <w:sz w:val="24"/>
                <w:szCs w:val="24"/>
              </w:rPr>
            </w:pPr>
            <w:r w:rsidRPr="0072112C">
              <w:rPr>
                <w:rFonts w:ascii="Arial" w:hAnsi="Arial" w:cs="Arial"/>
                <w:b/>
                <w:bCs/>
                <w:sz w:val="24"/>
                <w:szCs w:val="24"/>
              </w:rPr>
              <w:t>A partir de 2018</w:t>
            </w:r>
            <w:r>
              <w:rPr>
                <w:rFonts w:ascii="Arial" w:hAnsi="Arial" w:cs="Arial"/>
                <w:sz w:val="24"/>
                <w:szCs w:val="24"/>
              </w:rPr>
              <w:t xml:space="preserve">: superior </w:t>
            </w:r>
            <w:r w:rsidRPr="0072112C">
              <w:rPr>
                <w:rFonts w:ascii="Arial" w:hAnsi="Arial" w:cs="Arial"/>
                <w:sz w:val="24"/>
                <w:szCs w:val="24"/>
              </w:rPr>
              <w:t>a R$ 360.000,00 e igual ou inferior a</w:t>
            </w:r>
            <w:r>
              <w:rPr>
                <w:rFonts w:ascii="Arial" w:hAnsi="Arial" w:cs="Arial"/>
                <w:sz w:val="24"/>
                <w:szCs w:val="24"/>
              </w:rPr>
              <w:t xml:space="preserve"> </w:t>
            </w:r>
            <w:r>
              <w:rPr>
                <w:rFonts w:ascii="Arial" w:hAnsi="Arial" w:cs="Arial"/>
                <w:color w:val="000000"/>
              </w:rPr>
              <w:t>R$</w:t>
            </w:r>
            <w:r>
              <w:rPr>
                <w:rFonts w:ascii="Arial" w:hAnsi="Arial" w:cs="Arial"/>
                <w:color w:val="000000"/>
                <w:spacing w:val="6"/>
              </w:rPr>
              <w:t> </w:t>
            </w:r>
            <w:r>
              <w:rPr>
                <w:rFonts w:ascii="Arial" w:hAnsi="Arial" w:cs="Arial"/>
                <w:color w:val="000000"/>
              </w:rPr>
              <w:t>4.800.000,</w:t>
            </w:r>
            <w:r>
              <w:rPr>
                <w:rFonts w:ascii="Arial" w:hAnsi="Arial" w:cs="Arial"/>
                <w:color w:val="000000"/>
                <w:spacing w:val="2"/>
              </w:rPr>
              <w:t>0</w:t>
            </w:r>
            <w:r>
              <w:rPr>
                <w:rFonts w:ascii="Arial" w:hAnsi="Arial" w:cs="Arial"/>
                <w:color w:val="000000"/>
              </w:rPr>
              <w:t>0</w:t>
            </w:r>
          </w:p>
        </w:tc>
      </w:tr>
    </w:tbl>
    <w:p w14:paraId="4AC71FCE" w14:textId="77777777" w:rsidR="006356F1" w:rsidRDefault="006356F1" w:rsidP="006356F1">
      <w:pPr>
        <w:spacing w:line="360" w:lineRule="auto"/>
        <w:ind w:firstLine="851"/>
        <w:jc w:val="both"/>
        <w:rPr>
          <w:rFonts w:ascii="Arial" w:hAnsi="Arial" w:cs="Arial"/>
          <w:sz w:val="24"/>
          <w:szCs w:val="24"/>
        </w:rPr>
      </w:pPr>
      <w:r w:rsidRPr="00BE295E">
        <w:rPr>
          <w:rFonts w:ascii="Arial" w:hAnsi="Arial" w:cs="Arial"/>
          <w:sz w:val="24"/>
          <w:szCs w:val="24"/>
        </w:rPr>
        <w:lastRenderedPageBreak/>
        <w:t xml:space="preserve">Não se olvida </w:t>
      </w:r>
      <w:r w:rsidRPr="00846E5F">
        <w:rPr>
          <w:rFonts w:ascii="Arial" w:hAnsi="Arial" w:cs="Arial"/>
          <w:sz w:val="24"/>
          <w:szCs w:val="24"/>
        </w:rPr>
        <w:t xml:space="preserve">que o simples fato de constar, no nome ou razão social, a sigla </w:t>
      </w:r>
      <w:r>
        <w:rPr>
          <w:rFonts w:ascii="Arial" w:hAnsi="Arial" w:cs="Arial"/>
          <w:sz w:val="24"/>
          <w:szCs w:val="24"/>
        </w:rPr>
        <w:t xml:space="preserve">ME ou </w:t>
      </w:r>
      <w:r w:rsidRPr="00846E5F">
        <w:rPr>
          <w:rFonts w:ascii="Arial" w:hAnsi="Arial" w:cs="Arial"/>
          <w:sz w:val="24"/>
          <w:szCs w:val="24"/>
        </w:rPr>
        <w:t xml:space="preserve">EPP não significa que a empresa seja, de fato, </w:t>
      </w:r>
      <w:r>
        <w:rPr>
          <w:rFonts w:ascii="Arial" w:hAnsi="Arial" w:cs="Arial"/>
          <w:sz w:val="24"/>
          <w:szCs w:val="24"/>
        </w:rPr>
        <w:t xml:space="preserve">microempresa ou empresa </w:t>
      </w:r>
      <w:r w:rsidRPr="00846E5F">
        <w:rPr>
          <w:rFonts w:ascii="Arial" w:hAnsi="Arial" w:cs="Arial"/>
          <w:sz w:val="24"/>
          <w:szCs w:val="24"/>
        </w:rPr>
        <w:t>de pequeno porte, porquanto ela pode ter sido desenquadrada desse regime</w:t>
      </w:r>
      <w:r w:rsidRPr="00BE295E">
        <w:rPr>
          <w:rFonts w:ascii="Arial" w:hAnsi="Arial" w:cs="Arial"/>
          <w:sz w:val="24"/>
          <w:szCs w:val="24"/>
        </w:rPr>
        <w:t xml:space="preserve"> e passar a ser submetida ao regime ordinário de tributação, sendo </w:t>
      </w:r>
      <w:r>
        <w:rPr>
          <w:rFonts w:ascii="Arial" w:hAnsi="Arial" w:cs="Arial"/>
          <w:sz w:val="24"/>
          <w:szCs w:val="24"/>
        </w:rPr>
        <w:t>necessária apenas a atualização cadastral peran</w:t>
      </w:r>
      <w:r w:rsidRPr="00BE295E">
        <w:rPr>
          <w:rFonts w:ascii="Arial" w:hAnsi="Arial" w:cs="Arial"/>
          <w:sz w:val="24"/>
          <w:szCs w:val="24"/>
        </w:rPr>
        <w:t>te a Junta Comercial</w:t>
      </w:r>
      <w:r>
        <w:rPr>
          <w:rFonts w:ascii="Arial" w:hAnsi="Arial" w:cs="Arial"/>
          <w:sz w:val="24"/>
          <w:szCs w:val="24"/>
        </w:rPr>
        <w:t xml:space="preserve"> (JUCEG)</w:t>
      </w:r>
      <w:r w:rsidRPr="00BE295E">
        <w:rPr>
          <w:rFonts w:ascii="Arial" w:hAnsi="Arial" w:cs="Arial"/>
          <w:sz w:val="24"/>
          <w:szCs w:val="24"/>
        </w:rPr>
        <w:t xml:space="preserve">. </w:t>
      </w:r>
    </w:p>
    <w:p w14:paraId="541BF17C" w14:textId="77777777" w:rsidR="006356F1" w:rsidRDefault="006356F1" w:rsidP="006356F1">
      <w:pPr>
        <w:spacing w:line="360" w:lineRule="auto"/>
        <w:ind w:firstLine="851"/>
        <w:jc w:val="both"/>
        <w:rPr>
          <w:rFonts w:ascii="Arial" w:hAnsi="Arial" w:cs="Arial"/>
          <w:bCs/>
          <w:sz w:val="24"/>
          <w:szCs w:val="24"/>
        </w:rPr>
      </w:pPr>
      <w:r w:rsidRPr="00D37422">
        <w:rPr>
          <w:rFonts w:ascii="Arial" w:hAnsi="Arial" w:cs="Arial"/>
          <w:sz w:val="24"/>
          <w:szCs w:val="24"/>
        </w:rPr>
        <w:t xml:space="preserve">Contudo, pode também revelar que essas empresas estejam efetivamente enquadradas como de pequeno porte e fruindo incentivos fiscais </w:t>
      </w:r>
      <w:r w:rsidRPr="00D37422">
        <w:rPr>
          <w:rFonts w:ascii="Arial" w:hAnsi="Arial" w:cs="Arial"/>
          <w:bCs/>
          <w:sz w:val="24"/>
          <w:szCs w:val="24"/>
        </w:rPr>
        <w:t>de forma incompatível com os limites legais de faturamento bruto previstos na legislação federal</w:t>
      </w:r>
      <w:r>
        <w:rPr>
          <w:rFonts w:ascii="Arial" w:hAnsi="Arial" w:cs="Arial"/>
          <w:bCs/>
          <w:sz w:val="24"/>
          <w:szCs w:val="24"/>
        </w:rPr>
        <w:t xml:space="preserve">, o que pode indicar um enquadramento equivocado na legislação do Simples Nacional e, por conseguinte, a necessidade de recolhimento a maior de ICMS. </w:t>
      </w:r>
    </w:p>
    <w:p w14:paraId="4F0BFF1B" w14:textId="77777777" w:rsidR="006356F1" w:rsidRDefault="006356F1" w:rsidP="006356F1">
      <w:pPr>
        <w:spacing w:line="360" w:lineRule="auto"/>
        <w:ind w:firstLine="851"/>
        <w:jc w:val="both"/>
        <w:rPr>
          <w:rFonts w:ascii="Arial" w:hAnsi="Arial" w:cs="Arial"/>
          <w:bCs/>
          <w:sz w:val="24"/>
          <w:szCs w:val="24"/>
        </w:rPr>
      </w:pPr>
      <w:r>
        <w:rPr>
          <w:rFonts w:ascii="Arial" w:hAnsi="Arial" w:cs="Arial"/>
          <w:bCs/>
          <w:sz w:val="24"/>
          <w:szCs w:val="24"/>
        </w:rPr>
        <w:t>Há, por exemplo, empresa relacionada pela Secretaria de Estado da Economia como EPP</w:t>
      </w:r>
      <w:r>
        <w:rPr>
          <w:rStyle w:val="Refdenotaderodap"/>
          <w:rFonts w:ascii="Arial" w:hAnsi="Arial" w:cs="Arial"/>
          <w:bCs/>
          <w:sz w:val="24"/>
          <w:szCs w:val="24"/>
        </w:rPr>
        <w:footnoteReference w:id="102"/>
      </w:r>
      <w:r>
        <w:rPr>
          <w:rFonts w:ascii="Arial" w:hAnsi="Arial" w:cs="Arial"/>
          <w:bCs/>
          <w:sz w:val="24"/>
          <w:szCs w:val="24"/>
        </w:rPr>
        <w:t xml:space="preserve">, do ramo de </w:t>
      </w:r>
      <w:r w:rsidRPr="00B175BA">
        <w:rPr>
          <w:rFonts w:ascii="Arial" w:hAnsi="Arial" w:cs="Arial"/>
          <w:bCs/>
          <w:sz w:val="24"/>
          <w:szCs w:val="24"/>
        </w:rPr>
        <w:t>fabricação de papel</w:t>
      </w:r>
      <w:r>
        <w:rPr>
          <w:rFonts w:ascii="Arial" w:hAnsi="Arial" w:cs="Arial"/>
          <w:bCs/>
          <w:sz w:val="24"/>
          <w:szCs w:val="24"/>
        </w:rPr>
        <w:t>, que fruiu entre R$ 1.100.000,00 (um milhão e cem mil reais) e R$ 1.600.000,00 (um milhão e seiscentos mil reais) a título de crédito outorgado em cada um dos exercícios no período objeto de investigação (2014 a 2018). Porém, o percentual a título de crédito outorgado para o benefício fruído pelo contribuinte não chega a 10% (dez por cento), o que indicaria uma movimentação de produtos ou serviços superior a 10 (dez) vezes as quantias acima indicadas, o que possivelmente extrapolaria, e muito, o disposto na legislação federal como limite de receita bruta anual para uma EPP; esta CPI estima que haja pelo menos outras 10 (dez) pessoas jurídicas que podem se enquadrar nessa situação, o que só uma investigação mais profunda poderá revelar se existe irregularidade ou não nesse quadro.</w:t>
      </w:r>
    </w:p>
    <w:p w14:paraId="1A469F94" w14:textId="77777777" w:rsidR="006356F1" w:rsidRDefault="006356F1" w:rsidP="006356F1">
      <w:pPr>
        <w:tabs>
          <w:tab w:val="left" w:pos="3420"/>
        </w:tabs>
        <w:spacing w:line="360" w:lineRule="auto"/>
        <w:ind w:firstLine="851"/>
        <w:jc w:val="both"/>
        <w:rPr>
          <w:rFonts w:ascii="Arial" w:hAnsi="Arial" w:cs="Arial"/>
          <w:sz w:val="24"/>
          <w:szCs w:val="24"/>
          <w:highlight w:val="yellow"/>
        </w:rPr>
      </w:pPr>
    </w:p>
    <w:p w14:paraId="2264B268" w14:textId="77777777" w:rsidR="006356F1" w:rsidRPr="00477B1D" w:rsidRDefault="006356F1" w:rsidP="006356F1">
      <w:pPr>
        <w:tabs>
          <w:tab w:val="left" w:pos="3420"/>
        </w:tabs>
        <w:spacing w:line="360" w:lineRule="auto"/>
        <w:ind w:firstLine="851"/>
        <w:jc w:val="both"/>
        <w:rPr>
          <w:rFonts w:ascii="Arial" w:hAnsi="Arial" w:cs="Arial"/>
          <w:sz w:val="24"/>
          <w:szCs w:val="24"/>
        </w:rPr>
      </w:pPr>
      <w:r w:rsidRPr="00CF7E35">
        <w:rPr>
          <w:rFonts w:ascii="Arial" w:hAnsi="Arial" w:cs="Arial"/>
          <w:b/>
          <w:bCs/>
          <w:sz w:val="24"/>
          <w:szCs w:val="24"/>
        </w:rPr>
        <w:t>9.1.</w:t>
      </w:r>
      <w:r>
        <w:rPr>
          <w:rFonts w:ascii="Arial" w:hAnsi="Arial" w:cs="Arial"/>
          <w:b/>
          <w:bCs/>
          <w:sz w:val="24"/>
          <w:szCs w:val="24"/>
        </w:rPr>
        <w:t>2</w:t>
      </w:r>
      <w:r w:rsidRPr="00477B1D">
        <w:rPr>
          <w:rFonts w:ascii="Arial" w:hAnsi="Arial" w:cs="Arial"/>
          <w:b/>
          <w:bCs/>
          <w:sz w:val="24"/>
          <w:szCs w:val="24"/>
        </w:rPr>
        <w:t xml:space="preserve">. </w:t>
      </w:r>
      <w:r w:rsidRPr="00477B1D">
        <w:rPr>
          <w:rFonts w:ascii="Arial" w:hAnsi="Arial" w:cs="Arial"/>
          <w:sz w:val="24"/>
          <w:szCs w:val="24"/>
        </w:rPr>
        <w:t xml:space="preserve">Esta CPI requisitou, no </w:t>
      </w:r>
      <w:r w:rsidRPr="00477B1D">
        <w:rPr>
          <w:rFonts w:ascii="Arial" w:hAnsi="Arial" w:cs="Arial"/>
          <w:b/>
          <w:sz w:val="24"/>
          <w:szCs w:val="24"/>
          <w:u w:val="single"/>
        </w:rPr>
        <w:t xml:space="preserve">item </w:t>
      </w:r>
      <w:r w:rsidRPr="00477B1D">
        <w:rPr>
          <w:rFonts w:ascii="Arial" w:hAnsi="Arial" w:cs="Arial"/>
          <w:b/>
          <w:bCs/>
          <w:sz w:val="24"/>
          <w:szCs w:val="24"/>
          <w:u w:val="single"/>
        </w:rPr>
        <w:t>2 do Ofício nº 27/2019-CPI</w:t>
      </w:r>
      <w:r w:rsidRPr="00477B1D">
        <w:rPr>
          <w:rFonts w:ascii="Arial" w:hAnsi="Arial" w:cs="Arial"/>
          <w:sz w:val="24"/>
          <w:szCs w:val="24"/>
        </w:rPr>
        <w:t xml:space="preserve">, informações à Secretaria de Estado da Economia acerca da </w:t>
      </w:r>
      <w:r w:rsidRPr="00477B1D">
        <w:rPr>
          <w:rFonts w:ascii="Arial" w:hAnsi="Arial" w:cs="Arial"/>
          <w:b/>
          <w:bCs/>
          <w:sz w:val="24"/>
          <w:szCs w:val="24"/>
        </w:rPr>
        <w:t>existência de algum programa ou política de incentivos fiscais específicos a ME’s e EPP’s</w:t>
      </w:r>
      <w:r w:rsidRPr="00477B1D">
        <w:rPr>
          <w:rFonts w:ascii="Arial" w:hAnsi="Arial" w:cs="Arial"/>
          <w:sz w:val="24"/>
          <w:szCs w:val="24"/>
        </w:rPr>
        <w:t>, resposta que até hoje não chegou a esta CPI. Não obstante essa omissão, detectaram-se pelo menos 2 (dois) programas estaduais que podem contemplar a possibilidade de fruição por ME’s e EPP’s, a saber, o FOMENTAR e o MICROPRODUZIR, este último subprograma do PRODUZIR.</w:t>
      </w:r>
    </w:p>
    <w:p w14:paraId="0C1CF7C2" w14:textId="77777777" w:rsidR="006356F1" w:rsidRPr="00477B1D" w:rsidRDefault="006356F1" w:rsidP="006356F1">
      <w:pPr>
        <w:tabs>
          <w:tab w:val="left" w:pos="3420"/>
        </w:tabs>
        <w:spacing w:line="360" w:lineRule="auto"/>
        <w:ind w:firstLine="851"/>
        <w:jc w:val="both"/>
        <w:rPr>
          <w:rFonts w:ascii="Arial" w:hAnsi="Arial" w:cs="Arial"/>
          <w:bCs/>
          <w:sz w:val="24"/>
          <w:szCs w:val="24"/>
        </w:rPr>
      </w:pPr>
      <w:r w:rsidRPr="00477B1D">
        <w:rPr>
          <w:rFonts w:ascii="Arial" w:hAnsi="Arial" w:cs="Arial"/>
          <w:sz w:val="24"/>
          <w:szCs w:val="24"/>
        </w:rPr>
        <w:t xml:space="preserve">O </w:t>
      </w:r>
      <w:r w:rsidRPr="00477B1D">
        <w:rPr>
          <w:rFonts w:ascii="Arial" w:hAnsi="Arial" w:cs="Arial"/>
          <w:b/>
          <w:sz w:val="24"/>
          <w:szCs w:val="24"/>
        </w:rPr>
        <w:t>Programa FOMENTAR</w:t>
      </w:r>
      <w:r w:rsidRPr="00477B1D">
        <w:rPr>
          <w:rFonts w:ascii="Arial" w:hAnsi="Arial" w:cs="Arial"/>
          <w:sz w:val="24"/>
          <w:szCs w:val="24"/>
        </w:rPr>
        <w:t xml:space="preserve">, desde sua concepção original, tem como um de seus objetivos “apoiar técnica e financeiramente as atividades destinadas ao desenvolvimento dos setores de micros, pequenas e médias empresas” (Lei nº 11.180/1990, art. 1º, II), o </w:t>
      </w:r>
      <w:r w:rsidRPr="00477B1D">
        <w:rPr>
          <w:rFonts w:ascii="Arial" w:hAnsi="Arial" w:cs="Arial"/>
          <w:sz w:val="24"/>
          <w:szCs w:val="24"/>
        </w:rPr>
        <w:lastRenderedPageBreak/>
        <w:t xml:space="preserve">que revela certa abertura do programa a esse segmento, embora não se destine a este exclusivamente. De outro lado, </w:t>
      </w:r>
      <w:r w:rsidRPr="00477B1D">
        <w:rPr>
          <w:rFonts w:ascii="Arial" w:hAnsi="Arial" w:cs="Arial"/>
          <w:bCs/>
          <w:sz w:val="24"/>
          <w:szCs w:val="24"/>
        </w:rPr>
        <w:t xml:space="preserve">o </w:t>
      </w:r>
      <w:r w:rsidRPr="00477B1D">
        <w:rPr>
          <w:rFonts w:ascii="Arial" w:hAnsi="Arial" w:cs="Arial"/>
          <w:b/>
          <w:bCs/>
          <w:sz w:val="24"/>
          <w:szCs w:val="24"/>
        </w:rPr>
        <w:t>MICROPRODUZIR</w:t>
      </w:r>
      <w:r w:rsidRPr="00477B1D">
        <w:rPr>
          <w:rFonts w:ascii="Arial" w:hAnsi="Arial" w:cs="Arial"/>
          <w:bCs/>
          <w:sz w:val="24"/>
          <w:szCs w:val="24"/>
        </w:rPr>
        <w:t xml:space="preserve"> pressupõe que a empresa tenha faturamento limitado aos ditames estabelecidos na legislação </w:t>
      </w:r>
      <w:r>
        <w:rPr>
          <w:rFonts w:ascii="Arial" w:hAnsi="Arial" w:cs="Arial"/>
          <w:bCs/>
          <w:sz w:val="24"/>
          <w:szCs w:val="24"/>
        </w:rPr>
        <w:t>do Simples Nacional</w:t>
      </w:r>
      <w:r w:rsidRPr="00477B1D">
        <w:rPr>
          <w:rFonts w:ascii="Arial" w:hAnsi="Arial" w:cs="Arial"/>
          <w:bCs/>
          <w:sz w:val="24"/>
          <w:szCs w:val="24"/>
        </w:rPr>
        <w:t xml:space="preserve"> e confere os seguintes benefícios às empresas</w:t>
      </w:r>
      <w:r>
        <w:rPr>
          <w:rFonts w:ascii="Arial" w:hAnsi="Arial" w:cs="Arial"/>
          <w:bCs/>
          <w:sz w:val="24"/>
          <w:szCs w:val="24"/>
        </w:rPr>
        <w:t xml:space="preserve"> que atendam a esse requisito</w:t>
      </w:r>
      <w:r w:rsidRPr="00477B1D">
        <w:rPr>
          <w:rFonts w:ascii="Arial" w:hAnsi="Arial" w:cs="Arial"/>
          <w:bCs/>
          <w:sz w:val="24"/>
          <w:szCs w:val="24"/>
        </w:rPr>
        <w:t>:</w:t>
      </w:r>
    </w:p>
    <w:p w14:paraId="4E5974E3" w14:textId="77777777" w:rsidR="006356F1" w:rsidRPr="00477B1D" w:rsidRDefault="006356F1" w:rsidP="006356F1">
      <w:pPr>
        <w:spacing w:line="360" w:lineRule="auto"/>
        <w:ind w:firstLine="851"/>
        <w:jc w:val="both"/>
        <w:rPr>
          <w:rFonts w:ascii="Arial" w:hAnsi="Arial" w:cs="Arial"/>
          <w:bCs/>
          <w:sz w:val="24"/>
          <w:szCs w:val="24"/>
        </w:rPr>
      </w:pPr>
    </w:p>
    <w:p w14:paraId="58E61722" w14:textId="77777777" w:rsidR="006356F1" w:rsidRPr="00477B1D" w:rsidRDefault="006356F1" w:rsidP="006356F1">
      <w:pPr>
        <w:ind w:left="2268" w:firstLine="284"/>
        <w:jc w:val="both"/>
        <w:rPr>
          <w:rFonts w:ascii="Arial" w:hAnsi="Arial" w:cs="Arial"/>
          <w:b/>
          <w:bCs/>
          <w:sz w:val="22"/>
          <w:szCs w:val="22"/>
          <w:u w:val="single"/>
        </w:rPr>
      </w:pPr>
      <w:r w:rsidRPr="00477B1D">
        <w:rPr>
          <w:rFonts w:ascii="Arial" w:hAnsi="Arial" w:cs="Arial"/>
          <w:b/>
          <w:bCs/>
          <w:sz w:val="22"/>
          <w:szCs w:val="22"/>
          <w:u w:val="single"/>
        </w:rPr>
        <w:t>Lei 13.591/2000</w:t>
      </w:r>
    </w:p>
    <w:p w14:paraId="0E12580F" w14:textId="77777777" w:rsidR="006356F1" w:rsidRPr="00477B1D" w:rsidRDefault="006356F1" w:rsidP="006356F1">
      <w:pPr>
        <w:ind w:left="2268" w:firstLine="284"/>
        <w:jc w:val="both"/>
        <w:rPr>
          <w:rFonts w:ascii="Arial" w:hAnsi="Arial" w:cs="Arial"/>
          <w:bCs/>
          <w:sz w:val="22"/>
          <w:szCs w:val="22"/>
        </w:rPr>
      </w:pPr>
      <w:r w:rsidRPr="00477B1D">
        <w:rPr>
          <w:rFonts w:ascii="Arial" w:hAnsi="Arial" w:cs="Arial"/>
          <w:bCs/>
          <w:sz w:val="22"/>
          <w:szCs w:val="22"/>
        </w:rPr>
        <w:t xml:space="preserve">Art. 7º Fica instituído o </w:t>
      </w:r>
      <w:r w:rsidRPr="00477B1D">
        <w:rPr>
          <w:rFonts w:ascii="Arial" w:hAnsi="Arial" w:cs="Arial"/>
          <w:b/>
          <w:bCs/>
          <w:sz w:val="22"/>
          <w:szCs w:val="22"/>
          <w:u w:val="single"/>
        </w:rPr>
        <w:t>MICROPRODUZIR</w:t>
      </w:r>
      <w:r w:rsidRPr="00477B1D">
        <w:rPr>
          <w:rFonts w:ascii="Arial" w:hAnsi="Arial" w:cs="Arial"/>
          <w:bCs/>
          <w:sz w:val="22"/>
          <w:szCs w:val="22"/>
        </w:rPr>
        <w:t xml:space="preserve">, subprograma integrante do PRODUZIR, considerado prioritário e que abrangerá as ações voltadas para as empresas industriais, enquadradas ou não no Regime Especial Unificado de Arrecadação de Tributos e Contribuições devidos pelas Microempresas e Empresas de Pequeno Porte - Simples Nacional -, </w:t>
      </w:r>
      <w:r w:rsidRPr="00477B1D">
        <w:rPr>
          <w:rFonts w:ascii="Arial" w:hAnsi="Arial" w:cs="Arial"/>
          <w:b/>
          <w:bCs/>
          <w:sz w:val="22"/>
          <w:szCs w:val="22"/>
        </w:rPr>
        <w:t>desde que o faturamento não ultrapasse o limite fixado para o enquadramento no mencionado regime</w:t>
      </w:r>
      <w:r w:rsidRPr="00477B1D">
        <w:rPr>
          <w:rFonts w:ascii="Arial" w:hAnsi="Arial" w:cs="Arial"/>
          <w:bCs/>
          <w:sz w:val="22"/>
          <w:szCs w:val="22"/>
        </w:rPr>
        <w:t>.</w:t>
      </w:r>
    </w:p>
    <w:p w14:paraId="70C8EFB8" w14:textId="77777777" w:rsidR="006356F1" w:rsidRPr="00477B1D" w:rsidRDefault="006356F1" w:rsidP="006356F1">
      <w:pPr>
        <w:ind w:left="2268" w:firstLine="284"/>
        <w:jc w:val="both"/>
        <w:rPr>
          <w:rFonts w:ascii="Arial" w:hAnsi="Arial" w:cs="Arial"/>
          <w:bCs/>
          <w:sz w:val="22"/>
          <w:szCs w:val="22"/>
        </w:rPr>
      </w:pPr>
      <w:r w:rsidRPr="00477B1D">
        <w:rPr>
          <w:rFonts w:ascii="Arial" w:hAnsi="Arial" w:cs="Arial"/>
          <w:b/>
          <w:bCs/>
          <w:sz w:val="22"/>
          <w:szCs w:val="22"/>
        </w:rPr>
        <w:t>§ 1º As empresas beneficiárias do MICROPRODUZIR terão enquadramento diferenciado e privilegiado, nos termos do regulamento, quanto</w:t>
      </w:r>
      <w:r w:rsidRPr="00477B1D">
        <w:rPr>
          <w:rFonts w:ascii="Arial" w:hAnsi="Arial" w:cs="Arial"/>
          <w:bCs/>
          <w:sz w:val="22"/>
          <w:szCs w:val="22"/>
        </w:rPr>
        <w:t>:</w:t>
      </w:r>
    </w:p>
    <w:p w14:paraId="67A14F7E" w14:textId="77777777" w:rsidR="006356F1" w:rsidRPr="00477B1D" w:rsidRDefault="006356F1" w:rsidP="006356F1">
      <w:pPr>
        <w:ind w:left="2268" w:firstLine="284"/>
        <w:jc w:val="both"/>
        <w:rPr>
          <w:rFonts w:ascii="Arial" w:hAnsi="Arial" w:cs="Arial"/>
          <w:bCs/>
          <w:sz w:val="22"/>
          <w:szCs w:val="22"/>
        </w:rPr>
      </w:pPr>
      <w:r w:rsidRPr="00477B1D">
        <w:rPr>
          <w:rFonts w:ascii="Arial" w:hAnsi="Arial" w:cs="Arial"/>
          <w:bCs/>
          <w:sz w:val="22"/>
          <w:szCs w:val="22"/>
        </w:rPr>
        <w:t>I – a valor da parcela mensal do financiamento, que poderá ser de até 98% (noventa e oito por cento);</w:t>
      </w:r>
    </w:p>
    <w:p w14:paraId="3273731C" w14:textId="77777777" w:rsidR="006356F1" w:rsidRPr="00477B1D" w:rsidRDefault="006356F1" w:rsidP="006356F1">
      <w:pPr>
        <w:ind w:left="2268" w:firstLine="284"/>
        <w:jc w:val="both"/>
        <w:rPr>
          <w:rFonts w:ascii="Arial" w:hAnsi="Arial" w:cs="Arial"/>
          <w:bCs/>
          <w:sz w:val="22"/>
          <w:szCs w:val="22"/>
        </w:rPr>
      </w:pPr>
      <w:r w:rsidRPr="00477B1D">
        <w:rPr>
          <w:rFonts w:ascii="Arial" w:hAnsi="Arial" w:cs="Arial"/>
          <w:bCs/>
          <w:sz w:val="22"/>
          <w:szCs w:val="22"/>
        </w:rPr>
        <w:t>II – a encargos financeiros;</w:t>
      </w:r>
    </w:p>
    <w:p w14:paraId="1213C6F3" w14:textId="77777777" w:rsidR="006356F1" w:rsidRPr="00477B1D" w:rsidRDefault="006356F1" w:rsidP="006356F1">
      <w:pPr>
        <w:ind w:left="2268" w:firstLine="284"/>
        <w:jc w:val="both"/>
        <w:rPr>
          <w:rFonts w:ascii="Arial" w:hAnsi="Arial" w:cs="Arial"/>
          <w:bCs/>
          <w:sz w:val="22"/>
          <w:szCs w:val="22"/>
        </w:rPr>
      </w:pPr>
      <w:r w:rsidRPr="00477B1D">
        <w:rPr>
          <w:rFonts w:ascii="Arial" w:hAnsi="Arial" w:cs="Arial"/>
          <w:bCs/>
          <w:sz w:val="22"/>
          <w:szCs w:val="22"/>
        </w:rPr>
        <w:t>III – a subvenção para investimento;</w:t>
      </w:r>
    </w:p>
    <w:p w14:paraId="1BC42096" w14:textId="77777777" w:rsidR="006356F1" w:rsidRPr="00477B1D" w:rsidRDefault="006356F1" w:rsidP="006356F1">
      <w:pPr>
        <w:ind w:left="2268" w:firstLine="284"/>
        <w:jc w:val="both"/>
        <w:rPr>
          <w:rFonts w:ascii="Arial" w:hAnsi="Arial" w:cs="Arial"/>
          <w:bCs/>
          <w:sz w:val="22"/>
          <w:szCs w:val="22"/>
        </w:rPr>
      </w:pPr>
      <w:r w:rsidRPr="00477B1D">
        <w:rPr>
          <w:rFonts w:ascii="Arial" w:hAnsi="Arial" w:cs="Arial"/>
          <w:bCs/>
          <w:sz w:val="22"/>
          <w:szCs w:val="22"/>
        </w:rPr>
        <w:t>IV – a regime burocrático.</w:t>
      </w:r>
    </w:p>
    <w:p w14:paraId="4E22D8D5" w14:textId="77777777" w:rsidR="006356F1" w:rsidRPr="00477B1D" w:rsidRDefault="006356F1" w:rsidP="006356F1">
      <w:pPr>
        <w:ind w:left="2268" w:firstLine="284"/>
        <w:jc w:val="both"/>
        <w:rPr>
          <w:rFonts w:ascii="Arial" w:hAnsi="Arial" w:cs="Arial"/>
          <w:bCs/>
          <w:sz w:val="22"/>
          <w:szCs w:val="22"/>
        </w:rPr>
      </w:pPr>
      <w:r w:rsidRPr="00477B1D">
        <w:rPr>
          <w:rFonts w:ascii="Arial" w:hAnsi="Arial" w:cs="Arial"/>
          <w:bCs/>
          <w:sz w:val="22"/>
          <w:szCs w:val="22"/>
        </w:rPr>
        <w:t>[...]. [grifou-se]</w:t>
      </w:r>
    </w:p>
    <w:p w14:paraId="29E54204" w14:textId="77777777" w:rsidR="006356F1" w:rsidRPr="00477B1D" w:rsidRDefault="006356F1" w:rsidP="006356F1">
      <w:pPr>
        <w:spacing w:line="360" w:lineRule="auto"/>
        <w:ind w:firstLine="851"/>
        <w:jc w:val="both"/>
        <w:rPr>
          <w:rFonts w:ascii="Arial" w:hAnsi="Arial" w:cs="Arial"/>
          <w:sz w:val="24"/>
          <w:szCs w:val="24"/>
        </w:rPr>
      </w:pPr>
    </w:p>
    <w:p w14:paraId="5B2256BD" w14:textId="77777777" w:rsidR="006356F1" w:rsidRDefault="006356F1" w:rsidP="006356F1">
      <w:pPr>
        <w:tabs>
          <w:tab w:val="left" w:pos="3420"/>
        </w:tabs>
        <w:spacing w:line="360" w:lineRule="auto"/>
        <w:ind w:firstLine="851"/>
        <w:jc w:val="both"/>
        <w:rPr>
          <w:rFonts w:ascii="Arial" w:hAnsi="Arial" w:cs="Arial"/>
          <w:sz w:val="24"/>
          <w:szCs w:val="24"/>
        </w:rPr>
      </w:pPr>
      <w:r w:rsidRPr="00477B1D">
        <w:rPr>
          <w:rFonts w:ascii="Arial" w:hAnsi="Arial" w:cs="Arial"/>
          <w:sz w:val="24"/>
          <w:szCs w:val="24"/>
        </w:rPr>
        <w:t xml:space="preserve">Não obstante o objetivo louvável do Estado de Goiás em apoiar e desenvolver as ME’s e EPP’s, </w:t>
      </w:r>
      <w:r w:rsidRPr="00A1183C">
        <w:rPr>
          <w:rFonts w:ascii="Arial" w:hAnsi="Arial" w:cs="Arial"/>
          <w:b/>
          <w:sz w:val="24"/>
          <w:szCs w:val="24"/>
        </w:rPr>
        <w:t>torna-se imprescindível que o fisco estadual afira, anualmente, a real situação econômica dessas empresas e eventual enquadramento no Simples Nacional</w:t>
      </w:r>
      <w:r w:rsidRPr="00477B1D">
        <w:rPr>
          <w:rFonts w:ascii="Arial" w:hAnsi="Arial" w:cs="Arial"/>
          <w:sz w:val="24"/>
          <w:szCs w:val="24"/>
        </w:rPr>
        <w:t>, quando a legislação estadual exigir como condição para concessão e fruição do benef</w:t>
      </w:r>
      <w:r>
        <w:rPr>
          <w:rFonts w:ascii="Arial" w:hAnsi="Arial" w:cs="Arial"/>
          <w:sz w:val="24"/>
          <w:szCs w:val="24"/>
        </w:rPr>
        <w:t>ício</w:t>
      </w:r>
      <w:r w:rsidRPr="00477B1D">
        <w:rPr>
          <w:rFonts w:ascii="Arial" w:hAnsi="Arial" w:cs="Arial"/>
          <w:sz w:val="24"/>
          <w:szCs w:val="24"/>
        </w:rPr>
        <w:t xml:space="preserve"> </w:t>
      </w:r>
      <w:r>
        <w:rPr>
          <w:rFonts w:ascii="Arial" w:hAnsi="Arial" w:cs="Arial"/>
          <w:sz w:val="24"/>
          <w:szCs w:val="24"/>
        </w:rPr>
        <w:t xml:space="preserve">estadual </w:t>
      </w:r>
      <w:r w:rsidRPr="00477B1D">
        <w:rPr>
          <w:rFonts w:ascii="Arial" w:hAnsi="Arial" w:cs="Arial"/>
          <w:sz w:val="24"/>
          <w:szCs w:val="24"/>
        </w:rPr>
        <w:t xml:space="preserve">que a empresa tenha faturamento até </w:t>
      </w:r>
      <w:r>
        <w:rPr>
          <w:rFonts w:ascii="Arial" w:hAnsi="Arial" w:cs="Arial"/>
          <w:sz w:val="24"/>
          <w:szCs w:val="24"/>
        </w:rPr>
        <w:t>o valor-limite previsto no inciso II do art. 3º da LCf nº 123/2006; fiscalização essa que também parece inexistir</w:t>
      </w:r>
      <w:r w:rsidRPr="00477B1D">
        <w:rPr>
          <w:rFonts w:ascii="Arial" w:hAnsi="Arial" w:cs="Arial"/>
          <w:sz w:val="24"/>
          <w:szCs w:val="24"/>
        </w:rPr>
        <w:t>.</w:t>
      </w:r>
    </w:p>
    <w:p w14:paraId="4F666ED8" w14:textId="77777777" w:rsidR="006356F1" w:rsidRDefault="006356F1" w:rsidP="006356F1">
      <w:pPr>
        <w:spacing w:line="360" w:lineRule="auto"/>
        <w:ind w:firstLine="851"/>
        <w:jc w:val="both"/>
        <w:rPr>
          <w:rFonts w:ascii="Arial" w:hAnsi="Arial" w:cs="Arial"/>
          <w:bCs/>
          <w:sz w:val="24"/>
          <w:szCs w:val="24"/>
        </w:rPr>
      </w:pPr>
    </w:p>
    <w:p w14:paraId="27B73AAC" w14:textId="77777777" w:rsidR="006356F1" w:rsidRDefault="006356F1" w:rsidP="006356F1">
      <w:pPr>
        <w:spacing w:line="360" w:lineRule="auto"/>
        <w:ind w:firstLine="851"/>
        <w:jc w:val="both"/>
        <w:rPr>
          <w:rFonts w:ascii="Arial" w:hAnsi="Arial" w:cs="Arial"/>
          <w:bCs/>
          <w:sz w:val="24"/>
          <w:szCs w:val="24"/>
        </w:rPr>
      </w:pPr>
      <w:r w:rsidRPr="008A51AA">
        <w:rPr>
          <w:rFonts w:ascii="Arial" w:hAnsi="Arial" w:cs="Arial"/>
          <w:b/>
          <w:bCs/>
          <w:sz w:val="24"/>
          <w:szCs w:val="24"/>
        </w:rPr>
        <w:t>9.1.3.</w:t>
      </w:r>
      <w:r>
        <w:rPr>
          <w:rFonts w:ascii="Arial" w:hAnsi="Arial" w:cs="Arial"/>
          <w:bCs/>
          <w:sz w:val="24"/>
          <w:szCs w:val="24"/>
        </w:rPr>
        <w:t xml:space="preserve"> Assim, </w:t>
      </w:r>
      <w:r w:rsidRPr="00A61DF9">
        <w:rPr>
          <w:rFonts w:ascii="Arial" w:hAnsi="Arial" w:cs="Arial"/>
          <w:b/>
          <w:bCs/>
          <w:sz w:val="24"/>
          <w:szCs w:val="24"/>
          <w:u w:val="single"/>
        </w:rPr>
        <w:t>podem-se cogitar das seguintes hipóteses de irregularidade</w:t>
      </w:r>
      <w:r>
        <w:rPr>
          <w:rFonts w:ascii="Arial" w:hAnsi="Arial" w:cs="Arial"/>
          <w:bCs/>
          <w:sz w:val="24"/>
          <w:szCs w:val="24"/>
        </w:rPr>
        <w:t xml:space="preserve"> – que só uma investigação mais aprofundada sobre essa questão poderá apontar –  como no caso de determinada empresa:</w:t>
      </w:r>
    </w:p>
    <w:p w14:paraId="3B52A908" w14:textId="77777777" w:rsidR="006356F1" w:rsidRDefault="006356F1" w:rsidP="006356F1">
      <w:pPr>
        <w:spacing w:line="360" w:lineRule="auto"/>
        <w:ind w:firstLine="851"/>
        <w:jc w:val="both"/>
        <w:rPr>
          <w:rFonts w:ascii="Arial" w:hAnsi="Arial" w:cs="Arial"/>
          <w:bCs/>
          <w:sz w:val="24"/>
          <w:szCs w:val="24"/>
        </w:rPr>
      </w:pPr>
      <w:r w:rsidRPr="00A61DF9">
        <w:rPr>
          <w:rFonts w:ascii="Arial" w:hAnsi="Arial" w:cs="Arial"/>
          <w:b/>
          <w:bCs/>
          <w:sz w:val="24"/>
          <w:szCs w:val="24"/>
        </w:rPr>
        <w:t>a) começar a fruir incentivos fiscais no âmbito do MICROPRODUZIR ou outro programa similar, por estar dentro do limite de receita bruta anual prevista na legislação federal para adesão ao programa estadual de incentivos fiscais</w:t>
      </w:r>
      <w:r>
        <w:rPr>
          <w:rFonts w:ascii="Arial" w:hAnsi="Arial" w:cs="Arial"/>
          <w:bCs/>
          <w:sz w:val="24"/>
          <w:szCs w:val="24"/>
        </w:rPr>
        <w:t xml:space="preserve">, mas ao longo de anos de fruição do programa a empresa crescer e atingir um faturamento que excede aquele previsto na legislação do Simples Nacional, o que em tese a desqualificaria para continuar a fruir do programa (necessário seria um controle anual </w:t>
      </w:r>
      <w:r>
        <w:rPr>
          <w:rFonts w:ascii="Arial" w:hAnsi="Arial" w:cs="Arial"/>
          <w:bCs/>
          <w:sz w:val="24"/>
          <w:szCs w:val="24"/>
        </w:rPr>
        <w:lastRenderedPageBreak/>
        <w:t>para verificar se a empresa continua se qualificando como ME ou EPP quando esta condição seja requisito para fruição do incentivo fiscal estadual, como no caso do MICROPRODUZIR);</w:t>
      </w:r>
    </w:p>
    <w:p w14:paraId="6D2B7BDC" w14:textId="77777777" w:rsidR="006356F1" w:rsidRPr="00BE295E" w:rsidRDefault="006356F1" w:rsidP="006356F1">
      <w:pPr>
        <w:spacing w:line="360" w:lineRule="auto"/>
        <w:ind w:firstLine="851"/>
        <w:jc w:val="both"/>
        <w:rPr>
          <w:rFonts w:ascii="Arial" w:hAnsi="Arial" w:cs="Arial"/>
          <w:sz w:val="24"/>
          <w:szCs w:val="24"/>
        </w:rPr>
      </w:pPr>
      <w:r w:rsidRPr="00A61DF9">
        <w:rPr>
          <w:rFonts w:ascii="Arial" w:hAnsi="Arial" w:cs="Arial"/>
          <w:b/>
          <w:bCs/>
          <w:sz w:val="24"/>
          <w:szCs w:val="24"/>
        </w:rPr>
        <w:t>b) estar enquadrada equivocadamente como ME ou EPP no Simples Nacional, por estar movimentando mercadorias ou prestando serviços em volume nitidamente incompatível com o limite de receita bruta anual prevista na legislação</w:t>
      </w:r>
      <w:r>
        <w:rPr>
          <w:rFonts w:ascii="Arial" w:hAnsi="Arial" w:cs="Arial"/>
          <w:bCs/>
          <w:sz w:val="24"/>
          <w:szCs w:val="24"/>
        </w:rPr>
        <w:t>, o que em tese indicaria a necessidade de recolhimento a maior de ICMS, recolhido em quantia inferior na sistemática do Simples Nacional.</w:t>
      </w:r>
    </w:p>
    <w:p w14:paraId="383B8C9A" w14:textId="65C1CC1F" w:rsidR="006356F1" w:rsidRDefault="006356F1" w:rsidP="006356F1">
      <w:pPr>
        <w:tabs>
          <w:tab w:val="left" w:pos="3420"/>
        </w:tabs>
        <w:spacing w:line="360" w:lineRule="auto"/>
        <w:ind w:firstLine="851"/>
        <w:jc w:val="both"/>
        <w:rPr>
          <w:rFonts w:ascii="Arial" w:hAnsi="Arial" w:cs="Arial"/>
          <w:sz w:val="24"/>
          <w:szCs w:val="24"/>
        </w:rPr>
      </w:pPr>
      <w:r w:rsidRPr="00BA1B48">
        <w:rPr>
          <w:rFonts w:ascii="Arial" w:hAnsi="Arial" w:cs="Arial"/>
          <w:sz w:val="24"/>
          <w:szCs w:val="24"/>
        </w:rPr>
        <w:t xml:space="preserve">Portanto, </w:t>
      </w:r>
      <w:r w:rsidRPr="00BA1B48">
        <w:rPr>
          <w:rFonts w:ascii="Arial" w:hAnsi="Arial" w:cs="Arial"/>
          <w:b/>
          <w:bCs/>
          <w:sz w:val="24"/>
          <w:szCs w:val="24"/>
        </w:rPr>
        <w:t>recomenda-se</w:t>
      </w:r>
      <w:r>
        <w:rPr>
          <w:rFonts w:ascii="Arial" w:hAnsi="Arial" w:cs="Arial"/>
          <w:b/>
          <w:bCs/>
          <w:sz w:val="24"/>
          <w:szCs w:val="24"/>
        </w:rPr>
        <w:t xml:space="preserve"> ao Poder Executivo e</w:t>
      </w:r>
      <w:r w:rsidRPr="00BA1B48">
        <w:rPr>
          <w:rFonts w:ascii="Arial" w:hAnsi="Arial" w:cs="Arial"/>
          <w:b/>
          <w:bCs/>
          <w:sz w:val="24"/>
          <w:szCs w:val="24"/>
        </w:rPr>
        <w:t xml:space="preserve"> aos órgãos de controle que averiguem a real situação financeira e enquadramento fiscal </w:t>
      </w:r>
      <w:r w:rsidR="009618E0">
        <w:rPr>
          <w:rFonts w:ascii="Arial" w:hAnsi="Arial" w:cs="Arial"/>
          <w:b/>
          <w:bCs/>
          <w:sz w:val="24"/>
          <w:szCs w:val="24"/>
        </w:rPr>
        <w:t xml:space="preserve">de pelo menos </w:t>
      </w:r>
      <w:r>
        <w:rPr>
          <w:rFonts w:ascii="Arial" w:hAnsi="Arial" w:cs="Arial"/>
          <w:b/>
          <w:bCs/>
          <w:sz w:val="24"/>
          <w:szCs w:val="24"/>
        </w:rPr>
        <w:t>as 20 (vinte)</w:t>
      </w:r>
      <w:r w:rsidRPr="00BA1B48">
        <w:rPr>
          <w:rFonts w:ascii="Arial" w:hAnsi="Arial" w:cs="Arial"/>
          <w:b/>
          <w:bCs/>
          <w:sz w:val="24"/>
          <w:szCs w:val="24"/>
        </w:rPr>
        <w:t xml:space="preserve"> </w:t>
      </w:r>
      <w:r>
        <w:rPr>
          <w:rFonts w:ascii="Arial" w:hAnsi="Arial" w:cs="Arial"/>
          <w:b/>
          <w:bCs/>
          <w:sz w:val="24"/>
          <w:szCs w:val="24"/>
        </w:rPr>
        <w:t>maiores empresas beneficiárias de incentivos fiscais dentre aquelas relacionadas pela Secretaria de Estado da Economia como ME ou EPP</w:t>
      </w:r>
      <w:r w:rsidRPr="00BA1B48">
        <w:rPr>
          <w:rFonts w:ascii="Arial" w:hAnsi="Arial" w:cs="Arial"/>
          <w:b/>
          <w:bCs/>
          <w:sz w:val="24"/>
          <w:szCs w:val="24"/>
        </w:rPr>
        <w:t xml:space="preserve"> </w:t>
      </w:r>
      <w:r>
        <w:rPr>
          <w:rFonts w:ascii="Arial" w:hAnsi="Arial" w:cs="Arial"/>
          <w:b/>
          <w:bCs/>
          <w:sz w:val="24"/>
          <w:szCs w:val="24"/>
        </w:rPr>
        <w:t>(Ofício nº 2.756/2019-Economia, p. 7/60)</w:t>
      </w:r>
      <w:r w:rsidR="00B342A7">
        <w:rPr>
          <w:rStyle w:val="Refdenotaderodap"/>
          <w:rFonts w:ascii="Arial" w:hAnsi="Arial" w:cs="Arial"/>
          <w:b/>
          <w:bCs/>
          <w:sz w:val="24"/>
          <w:szCs w:val="24"/>
        </w:rPr>
        <w:footnoteReference w:id="103"/>
      </w:r>
      <w:r w:rsidR="00B342A7">
        <w:rPr>
          <w:rFonts w:ascii="Arial" w:hAnsi="Arial" w:cs="Arial"/>
          <w:bCs/>
          <w:sz w:val="24"/>
          <w:szCs w:val="24"/>
        </w:rPr>
        <w:t xml:space="preserve">, </w:t>
      </w:r>
      <w:r w:rsidRPr="008E5A3B">
        <w:rPr>
          <w:rFonts w:ascii="Arial" w:hAnsi="Arial" w:cs="Arial"/>
          <w:bCs/>
          <w:sz w:val="24"/>
          <w:szCs w:val="24"/>
        </w:rPr>
        <w:t xml:space="preserve">perante a </w:t>
      </w:r>
      <w:r w:rsidRPr="008E5A3B">
        <w:rPr>
          <w:rFonts w:ascii="Arial" w:hAnsi="Arial" w:cs="Arial"/>
          <w:bCs/>
          <w:sz w:val="24"/>
          <w:szCs w:val="24"/>
          <w:u w:val="single"/>
        </w:rPr>
        <w:t>Junta Comercial</w:t>
      </w:r>
      <w:r w:rsidRPr="008E5A3B">
        <w:rPr>
          <w:rFonts w:ascii="Arial" w:hAnsi="Arial" w:cs="Arial"/>
          <w:bCs/>
          <w:sz w:val="24"/>
          <w:szCs w:val="24"/>
        </w:rPr>
        <w:t xml:space="preserve"> (se cadastradas como ME e EPP) e às </w:t>
      </w:r>
      <w:r w:rsidRPr="008E5A3B">
        <w:rPr>
          <w:rFonts w:ascii="Arial" w:hAnsi="Arial" w:cs="Arial"/>
          <w:bCs/>
          <w:sz w:val="24"/>
          <w:szCs w:val="24"/>
          <w:u w:val="single"/>
        </w:rPr>
        <w:t>Receitas Federal e Estadual</w:t>
      </w:r>
      <w:r w:rsidRPr="008E5A3B">
        <w:rPr>
          <w:rFonts w:ascii="Arial" w:hAnsi="Arial" w:cs="Arial"/>
          <w:bCs/>
          <w:sz w:val="24"/>
          <w:szCs w:val="24"/>
        </w:rPr>
        <w:t xml:space="preserve"> (se cadastradas como ME, EPP e </w:t>
      </w:r>
      <w:r w:rsidRPr="00BA1B48">
        <w:rPr>
          <w:rFonts w:ascii="Arial" w:hAnsi="Arial" w:cs="Arial"/>
          <w:bCs/>
          <w:sz w:val="24"/>
          <w:szCs w:val="24"/>
        </w:rPr>
        <w:t>eventual enquadramento no Simples Nacional)</w:t>
      </w:r>
      <w:r w:rsidRPr="00BA1B48">
        <w:rPr>
          <w:rFonts w:ascii="Arial" w:hAnsi="Arial" w:cs="Arial"/>
          <w:sz w:val="24"/>
          <w:szCs w:val="24"/>
        </w:rPr>
        <w:t>, bem como eventual incompatibilidade entre o valor de incentivos fiscais fruídos no âmbito dos programas estaduais e</w:t>
      </w:r>
      <w:r>
        <w:rPr>
          <w:rFonts w:ascii="Arial" w:hAnsi="Arial" w:cs="Arial"/>
          <w:sz w:val="24"/>
          <w:szCs w:val="24"/>
        </w:rPr>
        <w:t xml:space="preserve"> de</w:t>
      </w:r>
      <w:r w:rsidRPr="00BA1B48">
        <w:rPr>
          <w:rFonts w:ascii="Arial" w:hAnsi="Arial" w:cs="Arial"/>
          <w:sz w:val="24"/>
          <w:szCs w:val="24"/>
        </w:rPr>
        <w:t xml:space="preserve"> crédito outorgado.</w:t>
      </w:r>
    </w:p>
    <w:p w14:paraId="5F8DB627" w14:textId="77777777" w:rsidR="006356F1" w:rsidRDefault="006356F1" w:rsidP="006356F1">
      <w:pPr>
        <w:tabs>
          <w:tab w:val="left" w:pos="3420"/>
        </w:tabs>
        <w:spacing w:line="360" w:lineRule="auto"/>
        <w:ind w:firstLine="851"/>
        <w:jc w:val="both"/>
        <w:rPr>
          <w:rFonts w:ascii="Arial" w:hAnsi="Arial" w:cs="Arial"/>
          <w:b/>
          <w:bCs/>
          <w:sz w:val="24"/>
          <w:szCs w:val="24"/>
        </w:rPr>
      </w:pPr>
    </w:p>
    <w:p w14:paraId="5A91D793" w14:textId="77777777" w:rsidR="006356F1" w:rsidRDefault="006356F1" w:rsidP="006356F1">
      <w:pPr>
        <w:spacing w:line="360" w:lineRule="auto"/>
        <w:ind w:firstLine="851"/>
        <w:jc w:val="both"/>
        <w:rPr>
          <w:rFonts w:ascii="Arial" w:hAnsi="Arial" w:cs="Arial"/>
          <w:b/>
          <w:bCs/>
          <w:sz w:val="24"/>
          <w:szCs w:val="24"/>
        </w:rPr>
      </w:pPr>
      <w:r w:rsidRPr="000F499D">
        <w:rPr>
          <w:rFonts w:ascii="Arial" w:hAnsi="Arial" w:cs="Arial"/>
          <w:b/>
          <w:bCs/>
          <w:sz w:val="24"/>
          <w:szCs w:val="24"/>
        </w:rPr>
        <w:t>9.</w:t>
      </w:r>
      <w:r>
        <w:rPr>
          <w:rFonts w:ascii="Arial" w:hAnsi="Arial" w:cs="Arial"/>
          <w:b/>
          <w:bCs/>
          <w:sz w:val="24"/>
          <w:szCs w:val="24"/>
        </w:rPr>
        <w:t>2 – PESSOAS JURÍDICAS BENEFICIÁRIAS DE INCENTIVOS FISCAIS COM ALTO CUSTO ANUAL MÉDIO DE EMPREGO</w:t>
      </w:r>
    </w:p>
    <w:p w14:paraId="28080157" w14:textId="77777777" w:rsidR="006356F1" w:rsidRDefault="006356F1" w:rsidP="006356F1">
      <w:pPr>
        <w:spacing w:line="360" w:lineRule="auto"/>
        <w:ind w:firstLine="851"/>
        <w:jc w:val="both"/>
        <w:rPr>
          <w:rFonts w:ascii="Arial" w:hAnsi="Arial" w:cs="Arial"/>
          <w:b/>
          <w:bCs/>
          <w:sz w:val="24"/>
          <w:szCs w:val="24"/>
        </w:rPr>
      </w:pPr>
    </w:p>
    <w:p w14:paraId="56281F66" w14:textId="77777777" w:rsidR="006356F1" w:rsidRDefault="006356F1" w:rsidP="006356F1">
      <w:pPr>
        <w:spacing w:line="360" w:lineRule="auto"/>
        <w:ind w:firstLine="851"/>
        <w:jc w:val="both"/>
        <w:rPr>
          <w:rFonts w:ascii="Arial" w:hAnsi="Arial" w:cs="Arial"/>
          <w:sz w:val="24"/>
          <w:szCs w:val="24"/>
        </w:rPr>
      </w:pPr>
      <w:r w:rsidRPr="00BE115E">
        <w:rPr>
          <w:rFonts w:ascii="Arial" w:hAnsi="Arial" w:cs="Arial"/>
          <w:b/>
          <w:sz w:val="24"/>
          <w:szCs w:val="24"/>
        </w:rPr>
        <w:t>9.2.1.</w:t>
      </w:r>
      <w:r>
        <w:rPr>
          <w:rFonts w:ascii="Arial" w:hAnsi="Arial" w:cs="Arial"/>
          <w:sz w:val="24"/>
          <w:szCs w:val="24"/>
        </w:rPr>
        <w:t xml:space="preserve"> </w:t>
      </w:r>
      <w:r w:rsidRPr="00D71DF4">
        <w:rPr>
          <w:rFonts w:ascii="Arial" w:hAnsi="Arial" w:cs="Arial"/>
          <w:sz w:val="24"/>
          <w:szCs w:val="24"/>
        </w:rPr>
        <w:t xml:space="preserve">Ao tomar conhecimento da relação das </w:t>
      </w:r>
      <w:r w:rsidRPr="00580A91">
        <w:rPr>
          <w:rFonts w:ascii="Arial" w:hAnsi="Arial" w:cs="Arial"/>
          <w:b/>
          <w:sz w:val="24"/>
          <w:szCs w:val="24"/>
          <w:u w:val="single"/>
        </w:rPr>
        <w:t>100 (cem) maiores beneficiárias de incentivos fiscais no Estado de Goiás</w:t>
      </w:r>
      <w:r>
        <w:rPr>
          <w:rFonts w:ascii="Arial" w:hAnsi="Arial" w:cs="Arial"/>
          <w:sz w:val="24"/>
          <w:szCs w:val="24"/>
        </w:rPr>
        <w:t xml:space="preserve">, esta CPI se deparou com empresas que apresentavam altíssimo custo médio anual para cada emprego gerado. Para tanto, </w:t>
      </w:r>
      <w:r w:rsidRPr="00084959">
        <w:rPr>
          <w:rFonts w:ascii="Arial" w:hAnsi="Arial" w:cs="Arial"/>
          <w:b/>
          <w:sz w:val="24"/>
          <w:szCs w:val="24"/>
        </w:rPr>
        <w:t>esta CPI utilizou a seguinte metodologia</w:t>
      </w:r>
      <w:r>
        <w:rPr>
          <w:rFonts w:ascii="Arial" w:hAnsi="Arial" w:cs="Arial"/>
          <w:b/>
          <w:sz w:val="24"/>
          <w:szCs w:val="24"/>
        </w:rPr>
        <w:t xml:space="preserve"> de trabalho</w:t>
      </w:r>
      <w:r w:rsidRPr="00084959">
        <w:rPr>
          <w:rFonts w:ascii="Arial" w:hAnsi="Arial" w:cs="Arial"/>
          <w:b/>
          <w:sz w:val="24"/>
          <w:szCs w:val="24"/>
        </w:rPr>
        <w:t>, com o auxílio da CGE</w:t>
      </w:r>
      <w:r>
        <w:rPr>
          <w:rFonts w:ascii="Arial" w:hAnsi="Arial" w:cs="Arial"/>
          <w:sz w:val="24"/>
          <w:szCs w:val="24"/>
        </w:rPr>
        <w:t xml:space="preserve">: </w:t>
      </w:r>
    </w:p>
    <w:p w14:paraId="5C49801E" w14:textId="77777777" w:rsidR="006356F1" w:rsidRDefault="006356F1" w:rsidP="006356F1">
      <w:pPr>
        <w:spacing w:line="360" w:lineRule="auto"/>
        <w:ind w:firstLine="851"/>
        <w:jc w:val="both"/>
        <w:rPr>
          <w:rFonts w:ascii="Arial" w:hAnsi="Arial" w:cs="Arial"/>
          <w:sz w:val="24"/>
          <w:szCs w:val="24"/>
        </w:rPr>
      </w:pPr>
      <w:r w:rsidRPr="008533C0">
        <w:rPr>
          <w:rFonts w:ascii="Arial" w:hAnsi="Arial" w:cs="Arial"/>
          <w:sz w:val="24"/>
          <w:szCs w:val="24"/>
          <w:u w:val="single"/>
        </w:rPr>
        <w:t>a) divisão do total, em reais, d</w:t>
      </w:r>
      <w:r>
        <w:rPr>
          <w:rFonts w:ascii="Arial" w:hAnsi="Arial" w:cs="Arial"/>
          <w:sz w:val="24"/>
          <w:szCs w:val="24"/>
          <w:u w:val="single"/>
        </w:rPr>
        <w:t>o total d</w:t>
      </w:r>
      <w:r w:rsidRPr="008533C0">
        <w:rPr>
          <w:rFonts w:ascii="Arial" w:hAnsi="Arial" w:cs="Arial"/>
          <w:sz w:val="24"/>
          <w:szCs w:val="24"/>
          <w:u w:val="single"/>
        </w:rPr>
        <w:t>e incentivos fiscais efetivamente fruídos pelas empresas beneficiárias dos Programas FOMENTAR, PRODUZIR ou de crédito outorgado</w:t>
      </w:r>
      <w:r>
        <w:rPr>
          <w:rFonts w:ascii="Arial" w:hAnsi="Arial" w:cs="Arial"/>
          <w:sz w:val="24"/>
          <w:szCs w:val="24"/>
          <w:u w:val="single"/>
        </w:rPr>
        <w:t xml:space="preserve"> </w:t>
      </w:r>
      <w:r w:rsidRPr="008533C0">
        <w:rPr>
          <w:rFonts w:ascii="Arial" w:hAnsi="Arial" w:cs="Arial"/>
          <w:sz w:val="24"/>
          <w:szCs w:val="24"/>
          <w:u w:val="single"/>
        </w:rPr>
        <w:t>por 5 (cinco)</w:t>
      </w:r>
      <w:r>
        <w:rPr>
          <w:rFonts w:ascii="Arial" w:hAnsi="Arial" w:cs="Arial"/>
          <w:sz w:val="24"/>
          <w:szCs w:val="24"/>
        </w:rPr>
        <w:t xml:space="preserve"> (Ofício nº 2.756/2019-Economia, p. 7/8), referentes aos exercícios de 2014 a 2018; assim, chegou-se ao valor médio de incentivos fruídos por cada empresa ao longo de cada um dos 5 (cinco) anos daquele período;</w:t>
      </w:r>
    </w:p>
    <w:p w14:paraId="0AC4E69A" w14:textId="52D732B0" w:rsidR="006356F1" w:rsidRDefault="006356F1" w:rsidP="006356F1">
      <w:pPr>
        <w:spacing w:line="360" w:lineRule="auto"/>
        <w:ind w:firstLine="851"/>
        <w:jc w:val="both"/>
        <w:rPr>
          <w:rFonts w:ascii="Arial" w:hAnsi="Arial" w:cs="Arial"/>
          <w:sz w:val="24"/>
          <w:szCs w:val="24"/>
        </w:rPr>
      </w:pPr>
      <w:r w:rsidRPr="008533C0">
        <w:rPr>
          <w:rFonts w:ascii="Arial" w:hAnsi="Arial" w:cs="Arial"/>
          <w:sz w:val="24"/>
          <w:szCs w:val="24"/>
          <w:u w:val="single"/>
        </w:rPr>
        <w:lastRenderedPageBreak/>
        <w:t xml:space="preserve">b) divisão da somatória de empregos em estoque </w:t>
      </w:r>
      <w:r>
        <w:rPr>
          <w:rFonts w:ascii="Arial" w:hAnsi="Arial" w:cs="Arial"/>
          <w:sz w:val="24"/>
          <w:szCs w:val="24"/>
          <w:u w:val="single"/>
        </w:rPr>
        <w:t xml:space="preserve">das empresas beneficiárias </w:t>
      </w:r>
      <w:r w:rsidRPr="008533C0">
        <w:rPr>
          <w:rFonts w:ascii="Arial" w:hAnsi="Arial" w:cs="Arial"/>
          <w:sz w:val="24"/>
          <w:szCs w:val="24"/>
          <w:u w:val="single"/>
        </w:rPr>
        <w:t>dos Programas FOMENTAR, PRODUZIR ou de crédito outorgado no período de 2014 a 2017 por 4 (quatro)</w:t>
      </w:r>
      <w:r>
        <w:rPr>
          <w:rFonts w:ascii="Arial" w:hAnsi="Arial" w:cs="Arial"/>
          <w:sz w:val="24"/>
          <w:szCs w:val="24"/>
        </w:rPr>
        <w:t xml:space="preserve">, conforme o número de </w:t>
      </w:r>
      <w:r w:rsidRPr="000E521F">
        <w:rPr>
          <w:rFonts w:ascii="Arial" w:hAnsi="Arial" w:cs="Arial"/>
          <w:sz w:val="24"/>
          <w:szCs w:val="24"/>
        </w:rPr>
        <w:t>empregos</w:t>
      </w:r>
      <w:r>
        <w:rPr>
          <w:rFonts w:ascii="Arial" w:hAnsi="Arial" w:cs="Arial"/>
          <w:sz w:val="24"/>
          <w:szCs w:val="24"/>
        </w:rPr>
        <w:t xml:space="preserve"> em </w:t>
      </w:r>
      <w:r w:rsidRPr="000E521F">
        <w:rPr>
          <w:rFonts w:ascii="Arial" w:hAnsi="Arial" w:cs="Arial"/>
          <w:sz w:val="24"/>
          <w:szCs w:val="24"/>
        </w:rPr>
        <w:t>estoque registrados na Relação Anual de Informações Sociais (RAIS) de cada empresa daquele período</w:t>
      </w:r>
      <w:r>
        <w:rPr>
          <w:rFonts w:ascii="Arial" w:hAnsi="Arial" w:cs="Arial"/>
          <w:sz w:val="24"/>
          <w:szCs w:val="24"/>
        </w:rPr>
        <w:t xml:space="preserve">. </w:t>
      </w:r>
    </w:p>
    <w:p w14:paraId="3ECF6468" w14:textId="7655ED26"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Encontrou-se, dessa forma, </w:t>
      </w:r>
      <w:r w:rsidRPr="004414F8">
        <w:rPr>
          <w:rFonts w:ascii="Arial" w:hAnsi="Arial" w:cs="Arial"/>
          <w:b/>
          <w:sz w:val="24"/>
          <w:szCs w:val="24"/>
        </w:rPr>
        <w:t>o custo médio anual por emprego de cada uma das 100 (cem) maiores beneficiárias de incentivos fiscais no Estado de Goiás</w:t>
      </w:r>
      <w:r>
        <w:rPr>
          <w:rFonts w:ascii="Arial" w:hAnsi="Arial" w:cs="Arial"/>
          <w:sz w:val="24"/>
          <w:szCs w:val="24"/>
        </w:rPr>
        <w:t xml:space="preserve">, considerado como empresa o CNPJ informado pela Secretaria de Estado da Economia, independentemente de a empresa possuir 2 (dois) ou mais CNPJ’s que não se encontrem na relação dessas </w:t>
      </w:r>
      <w:r w:rsidR="008710EE">
        <w:rPr>
          <w:rFonts w:ascii="Arial" w:hAnsi="Arial" w:cs="Arial"/>
          <w:sz w:val="24"/>
          <w:szCs w:val="24"/>
        </w:rPr>
        <w:t>100 (</w:t>
      </w:r>
      <w:r>
        <w:rPr>
          <w:rFonts w:ascii="Arial" w:hAnsi="Arial" w:cs="Arial"/>
          <w:sz w:val="24"/>
          <w:szCs w:val="24"/>
        </w:rPr>
        <w:t>cem</w:t>
      </w:r>
      <w:r w:rsidR="008710EE">
        <w:rPr>
          <w:rFonts w:ascii="Arial" w:hAnsi="Arial" w:cs="Arial"/>
          <w:sz w:val="24"/>
          <w:szCs w:val="24"/>
        </w:rPr>
        <w:t>)</w:t>
      </w:r>
      <w:r>
        <w:rPr>
          <w:rFonts w:ascii="Arial" w:hAnsi="Arial" w:cs="Arial"/>
          <w:sz w:val="24"/>
          <w:szCs w:val="24"/>
        </w:rPr>
        <w:t xml:space="preserve"> maiores beneficiárias.</w:t>
      </w:r>
    </w:p>
    <w:p w14:paraId="354BC80B"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Ao proceder a essa análise, conforme a metodologia acima explicitada, verifica-se que </w:t>
      </w:r>
      <w:r w:rsidRPr="00564589">
        <w:rPr>
          <w:rFonts w:ascii="Arial" w:hAnsi="Arial" w:cs="Arial"/>
          <w:b/>
          <w:sz w:val="24"/>
          <w:szCs w:val="24"/>
        </w:rPr>
        <w:t>o custo médio anual por emprego da maior parte daquelas empresas se encontra no intervalo entre R$ 11.000,00 (onze mil reais) e R$ 150.000,00 (cento e cinquenta mil reais)</w:t>
      </w:r>
      <w:r>
        <w:rPr>
          <w:rFonts w:ascii="Arial" w:hAnsi="Arial" w:cs="Arial"/>
          <w:sz w:val="24"/>
          <w:szCs w:val="24"/>
        </w:rPr>
        <w:t xml:space="preserve">, isto é, a quantia correspondente a cada emprego constante na RAIS das empresas ao longo do período de amostragem analisado (2014 a 2017). </w:t>
      </w:r>
      <w:r w:rsidRPr="0060093C">
        <w:rPr>
          <w:rFonts w:ascii="Arial" w:hAnsi="Arial" w:cs="Arial"/>
          <w:sz w:val="24"/>
          <w:szCs w:val="24"/>
          <w:u w:val="single"/>
        </w:rPr>
        <w:t>Contudo, há empresas que apresentam número muito superior, destoando demasiadamente da média, inclusive algumas cujo custo médio anual por emprego passa de R$ 10.000.000,00 (dez milhões de reais)</w:t>
      </w:r>
      <w:r>
        <w:rPr>
          <w:rFonts w:ascii="Arial" w:hAnsi="Arial" w:cs="Arial"/>
          <w:sz w:val="24"/>
          <w:szCs w:val="24"/>
        </w:rPr>
        <w:t>.</w:t>
      </w:r>
    </w:p>
    <w:p w14:paraId="374614CE" w14:textId="2A4BF384" w:rsidR="006356F1" w:rsidRDefault="006356F1" w:rsidP="006356F1">
      <w:pPr>
        <w:spacing w:line="360" w:lineRule="auto"/>
        <w:ind w:firstLine="851"/>
        <w:jc w:val="both"/>
        <w:rPr>
          <w:rFonts w:ascii="Arial" w:hAnsi="Arial" w:cs="Arial"/>
          <w:sz w:val="24"/>
          <w:szCs w:val="24"/>
        </w:rPr>
        <w:sectPr w:rsidR="006356F1" w:rsidSect="00CA1C22">
          <w:headerReference w:type="even" r:id="rId60"/>
          <w:headerReference w:type="default" r:id="rId61"/>
          <w:footerReference w:type="even" r:id="rId62"/>
          <w:footerReference w:type="default" r:id="rId63"/>
          <w:headerReference w:type="first" r:id="rId64"/>
          <w:pgSz w:w="11900" w:h="16840"/>
          <w:pgMar w:top="2268" w:right="851" w:bottom="1134" w:left="1701" w:header="567" w:footer="284" w:gutter="0"/>
          <w:cols w:space="708"/>
          <w:docGrid w:linePitch="360"/>
        </w:sectPr>
      </w:pPr>
      <w:r>
        <w:rPr>
          <w:rFonts w:ascii="Arial" w:hAnsi="Arial" w:cs="Arial"/>
          <w:sz w:val="24"/>
          <w:szCs w:val="24"/>
        </w:rPr>
        <w:t xml:space="preserve">Embora a intenção deste relator fosse o de divulgar, em relação a cada uma dessas pessoas jurídicas, o valor total dos benefícios fruídos, dos empregos registrados na RAIS e, com base nisso, o custo médio de cada emprego, por cautela e em razão da atual orientação jurisprudencial acerca do sigilo fiscal, </w:t>
      </w:r>
      <w:r w:rsidRPr="004338F6">
        <w:rPr>
          <w:rFonts w:ascii="Arial" w:hAnsi="Arial" w:cs="Arial"/>
          <w:b/>
          <w:sz w:val="24"/>
          <w:szCs w:val="24"/>
        </w:rPr>
        <w:t>adotar-se-á uma postura mais conservadora</w:t>
      </w:r>
      <w:r w:rsidRPr="004338F6">
        <w:rPr>
          <w:rFonts w:ascii="Arial" w:hAnsi="Arial" w:cs="Arial"/>
          <w:sz w:val="24"/>
          <w:szCs w:val="24"/>
        </w:rPr>
        <w:t xml:space="preserve">, no sentido de </w:t>
      </w:r>
      <w:r>
        <w:rPr>
          <w:rFonts w:ascii="Arial" w:hAnsi="Arial" w:cs="Arial"/>
          <w:sz w:val="24"/>
          <w:szCs w:val="24"/>
        </w:rPr>
        <w:t>listar</w:t>
      </w:r>
      <w:r w:rsidRPr="004338F6">
        <w:rPr>
          <w:rFonts w:ascii="Arial" w:hAnsi="Arial" w:cs="Arial"/>
          <w:sz w:val="24"/>
          <w:szCs w:val="24"/>
        </w:rPr>
        <w:t xml:space="preserve"> </w:t>
      </w:r>
      <w:r>
        <w:rPr>
          <w:rFonts w:ascii="Arial" w:hAnsi="Arial" w:cs="Arial"/>
          <w:sz w:val="24"/>
          <w:szCs w:val="24"/>
          <w:u w:val="single"/>
        </w:rPr>
        <w:t>as 100 (cem) maiores beneficiárias de incentivos fiscais no Estado de Goiás de forma codificada e ranqueadas pelo critério do maior custo anual médio por emprego</w:t>
      </w:r>
      <w:r w:rsidRPr="00490D50">
        <w:rPr>
          <w:rFonts w:ascii="Arial" w:hAnsi="Arial" w:cs="Arial"/>
          <w:sz w:val="24"/>
          <w:szCs w:val="24"/>
        </w:rPr>
        <w:t>, consoante ilustrado na tabela abaixo</w:t>
      </w:r>
      <w:r w:rsidR="00403FA4">
        <w:rPr>
          <w:rStyle w:val="Refdenotaderodap"/>
          <w:rFonts w:ascii="Arial" w:hAnsi="Arial" w:cs="Arial"/>
          <w:sz w:val="24"/>
          <w:szCs w:val="24"/>
        </w:rPr>
        <w:footnoteReference w:id="104"/>
      </w:r>
      <w:r w:rsidRPr="00490D50">
        <w:rPr>
          <w:rFonts w:ascii="Arial" w:hAnsi="Arial" w:cs="Arial"/>
          <w:sz w:val="24"/>
          <w:szCs w:val="24"/>
        </w:rPr>
        <w:t>:</w:t>
      </w:r>
    </w:p>
    <w:p w14:paraId="1698EF44" w14:textId="77777777" w:rsidR="006356F1" w:rsidRDefault="006356F1" w:rsidP="006356F1">
      <w:pPr>
        <w:spacing w:line="360" w:lineRule="auto"/>
        <w:ind w:firstLine="851"/>
        <w:jc w:val="both"/>
        <w:rPr>
          <w:rFonts w:ascii="Arial" w:hAnsi="Arial" w:cs="Arial"/>
          <w:sz w:val="24"/>
          <w:szCs w:val="24"/>
        </w:rPr>
      </w:pPr>
    </w:p>
    <w:tbl>
      <w:tblPr>
        <w:tblW w:w="4289" w:type="pct"/>
        <w:jc w:val="center"/>
        <w:tblCellMar>
          <w:left w:w="70" w:type="dxa"/>
          <w:right w:w="70" w:type="dxa"/>
        </w:tblCellMar>
        <w:tblLook w:val="04A0" w:firstRow="1" w:lastRow="0" w:firstColumn="1" w:lastColumn="0" w:noHBand="0" w:noVBand="1"/>
      </w:tblPr>
      <w:tblGrid>
        <w:gridCol w:w="2231"/>
        <w:gridCol w:w="843"/>
        <w:gridCol w:w="848"/>
        <w:gridCol w:w="752"/>
        <w:gridCol w:w="752"/>
        <w:gridCol w:w="1096"/>
        <w:gridCol w:w="1607"/>
        <w:gridCol w:w="1570"/>
        <w:gridCol w:w="1828"/>
      </w:tblGrid>
      <w:tr w:rsidR="006356F1" w:rsidRPr="00822E74" w14:paraId="2DA224EA" w14:textId="77777777" w:rsidTr="00217400">
        <w:trPr>
          <w:trHeight w:val="300"/>
          <w:tblHeader/>
          <w:jc w:val="center"/>
        </w:trPr>
        <w:tc>
          <w:tcPr>
            <w:tcW w:w="968" w:type="pct"/>
            <w:vMerge w:val="restart"/>
            <w:tcBorders>
              <w:top w:val="single" w:sz="4" w:space="0" w:color="auto"/>
              <w:bottom w:val="single" w:sz="4" w:space="0" w:color="auto"/>
              <w:right w:val="single" w:sz="4" w:space="0" w:color="auto"/>
            </w:tcBorders>
            <w:shd w:val="clear" w:color="DDEBF7" w:fill="DDEBF7"/>
            <w:noWrap/>
            <w:vAlign w:val="center"/>
            <w:hideMark/>
          </w:tcPr>
          <w:p w14:paraId="041FC1AC" w14:textId="77777777" w:rsidR="006356F1" w:rsidRPr="00822E74" w:rsidRDefault="006356F1" w:rsidP="00217400">
            <w:pPr>
              <w:jc w:val="center"/>
              <w:rPr>
                <w:rFonts w:ascii="Arial" w:hAnsi="Arial" w:cs="Arial"/>
                <w:b/>
                <w:bCs/>
                <w:color w:val="000000"/>
                <w:sz w:val="20"/>
              </w:rPr>
            </w:pPr>
            <w:r w:rsidRPr="00822E74">
              <w:rPr>
                <w:rFonts w:ascii="Arial" w:hAnsi="Arial" w:cs="Arial"/>
                <w:b/>
                <w:bCs/>
                <w:color w:val="000000"/>
                <w:sz w:val="20"/>
              </w:rPr>
              <w:t>Razão Social</w:t>
            </w:r>
          </w:p>
        </w:tc>
        <w:tc>
          <w:tcPr>
            <w:tcW w:w="1861" w:type="pct"/>
            <w:gridSpan w:val="5"/>
            <w:tcBorders>
              <w:top w:val="single" w:sz="4" w:space="0" w:color="auto"/>
              <w:left w:val="nil"/>
              <w:bottom w:val="single" w:sz="4" w:space="0" w:color="auto"/>
              <w:right w:val="single" w:sz="4" w:space="0" w:color="auto"/>
            </w:tcBorders>
            <w:shd w:val="clear" w:color="DDEBF7" w:fill="DDEBF7"/>
            <w:noWrap/>
            <w:vAlign w:val="center"/>
            <w:hideMark/>
          </w:tcPr>
          <w:p w14:paraId="51559F47" w14:textId="77777777" w:rsidR="006356F1" w:rsidRPr="00822E74" w:rsidRDefault="006356F1" w:rsidP="00217400">
            <w:pPr>
              <w:jc w:val="center"/>
              <w:rPr>
                <w:rFonts w:ascii="Arial" w:hAnsi="Arial" w:cs="Arial"/>
                <w:b/>
                <w:bCs/>
                <w:color w:val="000000"/>
                <w:sz w:val="20"/>
              </w:rPr>
            </w:pPr>
            <w:r w:rsidRPr="00822E74">
              <w:rPr>
                <w:rFonts w:ascii="Arial" w:hAnsi="Arial" w:cs="Arial"/>
                <w:b/>
                <w:bCs/>
                <w:color w:val="000000"/>
                <w:sz w:val="20"/>
              </w:rPr>
              <w:t>Quantidade de empregos (RAIS)</w:t>
            </w:r>
          </w:p>
        </w:tc>
        <w:tc>
          <w:tcPr>
            <w:tcW w:w="1378" w:type="pct"/>
            <w:gridSpan w:val="2"/>
            <w:tcBorders>
              <w:top w:val="single" w:sz="4" w:space="0" w:color="auto"/>
              <w:left w:val="nil"/>
              <w:bottom w:val="single" w:sz="4" w:space="0" w:color="auto"/>
              <w:right w:val="single" w:sz="4" w:space="0" w:color="000000"/>
            </w:tcBorders>
            <w:shd w:val="clear" w:color="DDEBF7" w:fill="DDEBF7"/>
            <w:noWrap/>
            <w:vAlign w:val="center"/>
            <w:hideMark/>
          </w:tcPr>
          <w:p w14:paraId="5CCC3EAF" w14:textId="77777777" w:rsidR="006356F1" w:rsidRPr="00822E74" w:rsidRDefault="006356F1" w:rsidP="00217400">
            <w:pPr>
              <w:jc w:val="center"/>
              <w:rPr>
                <w:rFonts w:ascii="Arial" w:hAnsi="Arial" w:cs="Arial"/>
                <w:b/>
                <w:bCs/>
                <w:color w:val="000000"/>
                <w:sz w:val="20"/>
              </w:rPr>
            </w:pPr>
            <w:r w:rsidRPr="00822E74">
              <w:rPr>
                <w:rFonts w:ascii="Arial" w:hAnsi="Arial" w:cs="Arial"/>
                <w:b/>
                <w:bCs/>
                <w:color w:val="000000"/>
                <w:sz w:val="20"/>
              </w:rPr>
              <w:t>Participação percentual no total</w:t>
            </w:r>
          </w:p>
        </w:tc>
        <w:tc>
          <w:tcPr>
            <w:tcW w:w="793" w:type="pct"/>
            <w:vMerge w:val="restart"/>
            <w:tcBorders>
              <w:top w:val="single" w:sz="4" w:space="0" w:color="auto"/>
              <w:left w:val="single" w:sz="4" w:space="0" w:color="auto"/>
              <w:bottom w:val="single" w:sz="4" w:space="0" w:color="auto"/>
            </w:tcBorders>
            <w:shd w:val="clear" w:color="DDEBF7" w:fill="DDEBF7"/>
            <w:vAlign w:val="center"/>
            <w:hideMark/>
          </w:tcPr>
          <w:p w14:paraId="228D9BE3" w14:textId="77777777" w:rsidR="006356F1" w:rsidRPr="00822E74" w:rsidRDefault="006356F1" w:rsidP="00217400">
            <w:pPr>
              <w:jc w:val="center"/>
              <w:rPr>
                <w:rFonts w:ascii="Arial" w:hAnsi="Arial" w:cs="Arial"/>
                <w:b/>
                <w:bCs/>
                <w:color w:val="000000"/>
                <w:sz w:val="20"/>
              </w:rPr>
            </w:pPr>
            <w:r w:rsidRPr="00822E74">
              <w:rPr>
                <w:rFonts w:ascii="Arial" w:hAnsi="Arial" w:cs="Arial"/>
                <w:b/>
                <w:bCs/>
                <w:color w:val="000000"/>
                <w:sz w:val="20"/>
              </w:rPr>
              <w:t xml:space="preserve">Média anual dos benefícios </w:t>
            </w:r>
            <w:r w:rsidRPr="00822E74">
              <w:rPr>
                <w:rFonts w:ascii="Arial" w:hAnsi="Arial" w:cs="Arial"/>
                <w:b/>
                <w:bCs/>
                <w:i/>
                <w:color w:val="000000"/>
                <w:sz w:val="20"/>
              </w:rPr>
              <w:t>versus</w:t>
            </w:r>
            <w:r w:rsidRPr="00822E74">
              <w:rPr>
                <w:rFonts w:ascii="Arial" w:hAnsi="Arial" w:cs="Arial"/>
                <w:b/>
                <w:bCs/>
                <w:color w:val="000000"/>
                <w:sz w:val="20"/>
              </w:rPr>
              <w:t xml:space="preserve"> média anual dos empregos</w:t>
            </w:r>
          </w:p>
        </w:tc>
      </w:tr>
      <w:tr w:rsidR="006356F1" w:rsidRPr="00822E74" w14:paraId="4F683C0C" w14:textId="77777777" w:rsidTr="00217400">
        <w:trPr>
          <w:trHeight w:val="900"/>
          <w:tblHeader/>
          <w:jc w:val="center"/>
        </w:trPr>
        <w:tc>
          <w:tcPr>
            <w:tcW w:w="968" w:type="pct"/>
            <w:vMerge/>
            <w:tcBorders>
              <w:top w:val="single" w:sz="4" w:space="0" w:color="000000"/>
              <w:bottom w:val="single" w:sz="4" w:space="0" w:color="auto"/>
              <w:right w:val="single" w:sz="4" w:space="0" w:color="auto"/>
            </w:tcBorders>
            <w:vAlign w:val="center"/>
            <w:hideMark/>
          </w:tcPr>
          <w:p w14:paraId="406EE97E" w14:textId="77777777" w:rsidR="006356F1" w:rsidRPr="00822E74" w:rsidRDefault="006356F1" w:rsidP="00217400">
            <w:pPr>
              <w:rPr>
                <w:rFonts w:ascii="Arial" w:hAnsi="Arial" w:cs="Arial"/>
                <w:b/>
                <w:bCs/>
                <w:color w:val="000000"/>
                <w:sz w:val="20"/>
              </w:rPr>
            </w:pPr>
          </w:p>
        </w:tc>
        <w:tc>
          <w:tcPr>
            <w:tcW w:w="366" w:type="pct"/>
            <w:tcBorders>
              <w:top w:val="nil"/>
              <w:left w:val="nil"/>
              <w:bottom w:val="single" w:sz="4" w:space="0" w:color="auto"/>
              <w:right w:val="single" w:sz="4" w:space="0" w:color="auto"/>
            </w:tcBorders>
            <w:shd w:val="clear" w:color="DDEBF7" w:fill="DDEBF7"/>
            <w:noWrap/>
            <w:vAlign w:val="center"/>
            <w:hideMark/>
          </w:tcPr>
          <w:p w14:paraId="7A00615C" w14:textId="77777777" w:rsidR="006356F1" w:rsidRPr="00822E74" w:rsidRDefault="006356F1" w:rsidP="00217400">
            <w:pPr>
              <w:jc w:val="center"/>
              <w:rPr>
                <w:rFonts w:ascii="Arial" w:hAnsi="Arial" w:cs="Arial"/>
                <w:b/>
                <w:bCs/>
                <w:color w:val="000000"/>
                <w:sz w:val="20"/>
              </w:rPr>
            </w:pPr>
            <w:r w:rsidRPr="00822E74">
              <w:rPr>
                <w:rFonts w:ascii="Arial" w:hAnsi="Arial" w:cs="Arial"/>
                <w:b/>
                <w:bCs/>
                <w:color w:val="000000"/>
                <w:sz w:val="20"/>
              </w:rPr>
              <w:t>2014</w:t>
            </w:r>
          </w:p>
        </w:tc>
        <w:tc>
          <w:tcPr>
            <w:tcW w:w="368" w:type="pct"/>
            <w:tcBorders>
              <w:top w:val="nil"/>
              <w:left w:val="nil"/>
              <w:bottom w:val="single" w:sz="4" w:space="0" w:color="auto"/>
              <w:right w:val="single" w:sz="4" w:space="0" w:color="auto"/>
            </w:tcBorders>
            <w:shd w:val="clear" w:color="DDEBF7" w:fill="DDEBF7"/>
            <w:noWrap/>
            <w:vAlign w:val="center"/>
            <w:hideMark/>
          </w:tcPr>
          <w:p w14:paraId="7BA3F769" w14:textId="77777777" w:rsidR="006356F1" w:rsidRPr="00822E74" w:rsidRDefault="006356F1" w:rsidP="00217400">
            <w:pPr>
              <w:jc w:val="center"/>
              <w:rPr>
                <w:rFonts w:ascii="Arial" w:hAnsi="Arial" w:cs="Arial"/>
                <w:b/>
                <w:bCs/>
                <w:color w:val="000000"/>
                <w:sz w:val="20"/>
              </w:rPr>
            </w:pPr>
            <w:r w:rsidRPr="00822E74">
              <w:rPr>
                <w:rFonts w:ascii="Arial" w:hAnsi="Arial" w:cs="Arial"/>
                <w:b/>
                <w:bCs/>
                <w:color w:val="000000"/>
                <w:sz w:val="20"/>
              </w:rPr>
              <w:t>2015</w:t>
            </w:r>
          </w:p>
        </w:tc>
        <w:tc>
          <w:tcPr>
            <w:tcW w:w="326" w:type="pct"/>
            <w:tcBorders>
              <w:top w:val="nil"/>
              <w:left w:val="nil"/>
              <w:bottom w:val="single" w:sz="4" w:space="0" w:color="auto"/>
              <w:right w:val="single" w:sz="4" w:space="0" w:color="auto"/>
            </w:tcBorders>
            <w:shd w:val="clear" w:color="DDEBF7" w:fill="DDEBF7"/>
            <w:noWrap/>
            <w:vAlign w:val="center"/>
            <w:hideMark/>
          </w:tcPr>
          <w:p w14:paraId="5C57740C" w14:textId="77777777" w:rsidR="006356F1" w:rsidRPr="00822E74" w:rsidRDefault="006356F1" w:rsidP="00217400">
            <w:pPr>
              <w:jc w:val="center"/>
              <w:rPr>
                <w:rFonts w:ascii="Arial" w:hAnsi="Arial" w:cs="Arial"/>
                <w:b/>
                <w:bCs/>
                <w:color w:val="000000"/>
                <w:sz w:val="20"/>
              </w:rPr>
            </w:pPr>
            <w:r w:rsidRPr="00822E74">
              <w:rPr>
                <w:rFonts w:ascii="Arial" w:hAnsi="Arial" w:cs="Arial"/>
                <w:b/>
                <w:bCs/>
                <w:color w:val="000000"/>
                <w:sz w:val="20"/>
              </w:rPr>
              <w:t>2016</w:t>
            </w:r>
          </w:p>
        </w:tc>
        <w:tc>
          <w:tcPr>
            <w:tcW w:w="326" w:type="pct"/>
            <w:tcBorders>
              <w:top w:val="nil"/>
              <w:left w:val="nil"/>
              <w:bottom w:val="single" w:sz="4" w:space="0" w:color="auto"/>
              <w:right w:val="single" w:sz="4" w:space="0" w:color="auto"/>
            </w:tcBorders>
            <w:shd w:val="clear" w:color="DDEBF7" w:fill="DDEBF7"/>
            <w:noWrap/>
            <w:vAlign w:val="center"/>
            <w:hideMark/>
          </w:tcPr>
          <w:p w14:paraId="220BE8C5" w14:textId="77777777" w:rsidR="006356F1" w:rsidRPr="00822E74" w:rsidRDefault="006356F1" w:rsidP="00217400">
            <w:pPr>
              <w:jc w:val="center"/>
              <w:rPr>
                <w:rFonts w:ascii="Arial" w:hAnsi="Arial" w:cs="Arial"/>
                <w:b/>
                <w:bCs/>
                <w:color w:val="000000"/>
                <w:sz w:val="20"/>
              </w:rPr>
            </w:pPr>
            <w:r w:rsidRPr="00822E74">
              <w:rPr>
                <w:rFonts w:ascii="Arial" w:hAnsi="Arial" w:cs="Arial"/>
                <w:b/>
                <w:bCs/>
                <w:color w:val="000000"/>
                <w:sz w:val="20"/>
              </w:rPr>
              <w:t>2017</w:t>
            </w:r>
          </w:p>
        </w:tc>
        <w:tc>
          <w:tcPr>
            <w:tcW w:w="475" w:type="pct"/>
            <w:tcBorders>
              <w:top w:val="nil"/>
              <w:left w:val="nil"/>
              <w:bottom w:val="single" w:sz="4" w:space="0" w:color="auto"/>
              <w:right w:val="single" w:sz="4" w:space="0" w:color="auto"/>
            </w:tcBorders>
            <w:shd w:val="clear" w:color="DDEBF7" w:fill="DDEBF7"/>
            <w:vAlign w:val="center"/>
            <w:hideMark/>
          </w:tcPr>
          <w:p w14:paraId="3DEDA36F" w14:textId="77777777" w:rsidR="006356F1" w:rsidRPr="00822E74" w:rsidRDefault="006356F1" w:rsidP="00217400">
            <w:pPr>
              <w:jc w:val="center"/>
              <w:rPr>
                <w:rFonts w:ascii="Arial" w:hAnsi="Arial" w:cs="Arial"/>
                <w:b/>
                <w:bCs/>
                <w:color w:val="000000"/>
                <w:sz w:val="20"/>
              </w:rPr>
            </w:pPr>
            <w:r w:rsidRPr="00822E74">
              <w:rPr>
                <w:rFonts w:ascii="Arial" w:hAnsi="Arial" w:cs="Arial"/>
                <w:b/>
                <w:bCs/>
                <w:color w:val="000000"/>
                <w:sz w:val="20"/>
              </w:rPr>
              <w:t xml:space="preserve">Média de empregos </w:t>
            </w:r>
          </w:p>
        </w:tc>
        <w:tc>
          <w:tcPr>
            <w:tcW w:w="697" w:type="pct"/>
            <w:tcBorders>
              <w:top w:val="nil"/>
              <w:left w:val="nil"/>
              <w:bottom w:val="single" w:sz="4" w:space="0" w:color="auto"/>
              <w:right w:val="single" w:sz="4" w:space="0" w:color="auto"/>
            </w:tcBorders>
            <w:shd w:val="clear" w:color="DDEBF7" w:fill="DDEBF7"/>
            <w:vAlign w:val="center"/>
            <w:hideMark/>
          </w:tcPr>
          <w:p w14:paraId="60A3B94E" w14:textId="77777777" w:rsidR="006356F1" w:rsidRPr="00822E74" w:rsidRDefault="006356F1" w:rsidP="00217400">
            <w:pPr>
              <w:jc w:val="center"/>
              <w:rPr>
                <w:rFonts w:ascii="Arial" w:hAnsi="Arial" w:cs="Arial"/>
                <w:b/>
                <w:bCs/>
                <w:color w:val="000000"/>
                <w:sz w:val="20"/>
              </w:rPr>
            </w:pPr>
            <w:r w:rsidRPr="00822E74">
              <w:rPr>
                <w:rFonts w:ascii="Arial" w:hAnsi="Arial" w:cs="Arial"/>
                <w:b/>
                <w:bCs/>
                <w:color w:val="000000"/>
                <w:sz w:val="20"/>
              </w:rPr>
              <w:t>Proporção de empregos</w:t>
            </w:r>
          </w:p>
        </w:tc>
        <w:tc>
          <w:tcPr>
            <w:tcW w:w="681" w:type="pct"/>
            <w:tcBorders>
              <w:top w:val="nil"/>
              <w:left w:val="nil"/>
              <w:bottom w:val="single" w:sz="4" w:space="0" w:color="auto"/>
              <w:right w:val="single" w:sz="4" w:space="0" w:color="auto"/>
            </w:tcBorders>
            <w:shd w:val="clear" w:color="DDEBF7" w:fill="DDEBF7"/>
            <w:vAlign w:val="center"/>
            <w:hideMark/>
          </w:tcPr>
          <w:p w14:paraId="0408D954" w14:textId="77777777" w:rsidR="006356F1" w:rsidRPr="00822E74" w:rsidRDefault="006356F1" w:rsidP="00217400">
            <w:pPr>
              <w:jc w:val="center"/>
              <w:rPr>
                <w:rFonts w:ascii="Arial" w:hAnsi="Arial" w:cs="Arial"/>
                <w:b/>
                <w:bCs/>
                <w:color w:val="000000"/>
                <w:sz w:val="20"/>
              </w:rPr>
            </w:pPr>
            <w:r w:rsidRPr="00822E74">
              <w:rPr>
                <w:rFonts w:ascii="Arial" w:hAnsi="Arial" w:cs="Arial"/>
                <w:b/>
                <w:bCs/>
                <w:color w:val="000000"/>
                <w:sz w:val="20"/>
              </w:rPr>
              <w:t>Proporção de benefícios</w:t>
            </w:r>
          </w:p>
        </w:tc>
        <w:tc>
          <w:tcPr>
            <w:tcW w:w="793" w:type="pct"/>
            <w:vMerge/>
            <w:tcBorders>
              <w:top w:val="single" w:sz="4" w:space="0" w:color="auto"/>
              <w:left w:val="single" w:sz="4" w:space="0" w:color="auto"/>
              <w:bottom w:val="single" w:sz="4" w:space="0" w:color="auto"/>
            </w:tcBorders>
            <w:vAlign w:val="center"/>
            <w:hideMark/>
          </w:tcPr>
          <w:p w14:paraId="628625E2" w14:textId="77777777" w:rsidR="006356F1" w:rsidRPr="00822E74" w:rsidRDefault="006356F1" w:rsidP="00217400">
            <w:pPr>
              <w:jc w:val="center"/>
              <w:rPr>
                <w:rFonts w:ascii="Arial" w:hAnsi="Arial" w:cs="Arial"/>
                <w:b/>
                <w:bCs/>
                <w:color w:val="000000"/>
                <w:sz w:val="20"/>
              </w:rPr>
            </w:pPr>
          </w:p>
        </w:tc>
      </w:tr>
      <w:tr w:rsidR="006356F1" w:rsidRPr="00822E74" w14:paraId="34189E4E"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CD4763E"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 </w:t>
            </w:r>
          </w:p>
        </w:tc>
        <w:tc>
          <w:tcPr>
            <w:tcW w:w="366" w:type="pct"/>
            <w:tcBorders>
              <w:top w:val="single" w:sz="4" w:space="0" w:color="auto"/>
              <w:left w:val="nil"/>
              <w:bottom w:val="single" w:sz="4" w:space="0" w:color="auto"/>
              <w:right w:val="nil"/>
            </w:tcBorders>
            <w:shd w:val="clear" w:color="auto" w:fill="auto"/>
            <w:noWrap/>
            <w:vAlign w:val="center"/>
            <w:hideMark/>
          </w:tcPr>
          <w:p w14:paraId="2DC9193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w:t>
            </w:r>
          </w:p>
        </w:tc>
        <w:tc>
          <w:tcPr>
            <w:tcW w:w="368" w:type="pct"/>
            <w:tcBorders>
              <w:top w:val="single" w:sz="4" w:space="0" w:color="auto"/>
              <w:left w:val="nil"/>
              <w:bottom w:val="single" w:sz="4" w:space="0" w:color="auto"/>
              <w:right w:val="nil"/>
            </w:tcBorders>
            <w:shd w:val="clear" w:color="auto" w:fill="auto"/>
            <w:noWrap/>
            <w:vAlign w:val="center"/>
            <w:hideMark/>
          </w:tcPr>
          <w:p w14:paraId="16D9340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w:t>
            </w:r>
          </w:p>
        </w:tc>
        <w:tc>
          <w:tcPr>
            <w:tcW w:w="326" w:type="pct"/>
            <w:tcBorders>
              <w:top w:val="single" w:sz="4" w:space="0" w:color="auto"/>
              <w:left w:val="nil"/>
              <w:bottom w:val="single" w:sz="4" w:space="0" w:color="auto"/>
              <w:right w:val="nil"/>
            </w:tcBorders>
            <w:shd w:val="clear" w:color="auto" w:fill="auto"/>
            <w:noWrap/>
            <w:vAlign w:val="center"/>
            <w:hideMark/>
          </w:tcPr>
          <w:p w14:paraId="25AD398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w:t>
            </w:r>
          </w:p>
        </w:tc>
        <w:tc>
          <w:tcPr>
            <w:tcW w:w="326" w:type="pct"/>
            <w:tcBorders>
              <w:top w:val="single" w:sz="4" w:space="0" w:color="auto"/>
              <w:left w:val="nil"/>
              <w:bottom w:val="single" w:sz="4" w:space="0" w:color="auto"/>
              <w:right w:val="nil"/>
            </w:tcBorders>
            <w:shd w:val="clear" w:color="auto" w:fill="auto"/>
            <w:noWrap/>
            <w:vAlign w:val="center"/>
            <w:hideMark/>
          </w:tcPr>
          <w:p w14:paraId="01857D4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w:t>
            </w:r>
          </w:p>
        </w:tc>
        <w:tc>
          <w:tcPr>
            <w:tcW w:w="475" w:type="pct"/>
            <w:tcBorders>
              <w:top w:val="single" w:sz="4" w:space="0" w:color="auto"/>
              <w:left w:val="nil"/>
              <w:bottom w:val="single" w:sz="4" w:space="0" w:color="auto"/>
              <w:right w:val="nil"/>
            </w:tcBorders>
            <w:shd w:val="clear" w:color="auto" w:fill="auto"/>
            <w:noWrap/>
            <w:vAlign w:val="center"/>
            <w:hideMark/>
          </w:tcPr>
          <w:p w14:paraId="79233F2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w:t>
            </w:r>
          </w:p>
        </w:tc>
        <w:tc>
          <w:tcPr>
            <w:tcW w:w="697" w:type="pct"/>
            <w:tcBorders>
              <w:top w:val="single" w:sz="4" w:space="0" w:color="auto"/>
              <w:left w:val="nil"/>
              <w:bottom w:val="single" w:sz="4" w:space="0" w:color="auto"/>
              <w:right w:val="nil"/>
            </w:tcBorders>
            <w:shd w:val="clear" w:color="auto" w:fill="auto"/>
            <w:noWrap/>
            <w:vAlign w:val="center"/>
            <w:hideMark/>
          </w:tcPr>
          <w:p w14:paraId="583B279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0,00</w:t>
            </w:r>
          </w:p>
        </w:tc>
        <w:tc>
          <w:tcPr>
            <w:tcW w:w="681" w:type="pct"/>
            <w:tcBorders>
              <w:top w:val="single" w:sz="4" w:space="0" w:color="auto"/>
              <w:left w:val="nil"/>
              <w:bottom w:val="single" w:sz="4" w:space="0" w:color="auto"/>
              <w:right w:val="nil"/>
            </w:tcBorders>
            <w:shd w:val="clear" w:color="auto" w:fill="auto"/>
            <w:noWrap/>
            <w:vAlign w:val="center"/>
            <w:hideMark/>
          </w:tcPr>
          <w:p w14:paraId="7069CE0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0,58</w:t>
            </w:r>
          </w:p>
        </w:tc>
        <w:tc>
          <w:tcPr>
            <w:tcW w:w="793" w:type="pct"/>
            <w:tcBorders>
              <w:top w:val="single" w:sz="4" w:space="0" w:color="auto"/>
              <w:left w:val="nil"/>
              <w:bottom w:val="single" w:sz="4" w:space="0" w:color="auto"/>
              <w:right w:val="nil"/>
            </w:tcBorders>
            <w:shd w:val="clear" w:color="auto" w:fill="auto"/>
            <w:noWrap/>
            <w:vAlign w:val="center"/>
            <w:hideMark/>
          </w:tcPr>
          <w:p w14:paraId="2612A38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21.530.269</w:t>
            </w:r>
          </w:p>
        </w:tc>
      </w:tr>
      <w:tr w:rsidR="006356F1" w:rsidRPr="00822E74" w14:paraId="5AC0B37D"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F7DE084"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2 </w:t>
            </w:r>
          </w:p>
        </w:tc>
        <w:tc>
          <w:tcPr>
            <w:tcW w:w="366" w:type="pct"/>
            <w:tcBorders>
              <w:top w:val="single" w:sz="4" w:space="0" w:color="auto"/>
              <w:left w:val="nil"/>
              <w:bottom w:val="single" w:sz="4" w:space="0" w:color="auto"/>
              <w:right w:val="nil"/>
            </w:tcBorders>
            <w:shd w:val="clear" w:color="auto" w:fill="auto"/>
            <w:noWrap/>
            <w:vAlign w:val="center"/>
            <w:hideMark/>
          </w:tcPr>
          <w:p w14:paraId="0B1AFB0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w:t>
            </w:r>
          </w:p>
        </w:tc>
        <w:tc>
          <w:tcPr>
            <w:tcW w:w="368" w:type="pct"/>
            <w:tcBorders>
              <w:top w:val="single" w:sz="4" w:space="0" w:color="auto"/>
              <w:left w:val="nil"/>
              <w:bottom w:val="single" w:sz="4" w:space="0" w:color="auto"/>
              <w:right w:val="nil"/>
            </w:tcBorders>
            <w:shd w:val="clear" w:color="auto" w:fill="auto"/>
            <w:noWrap/>
            <w:vAlign w:val="center"/>
            <w:hideMark/>
          </w:tcPr>
          <w:p w14:paraId="251DE60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w:t>
            </w:r>
          </w:p>
        </w:tc>
        <w:tc>
          <w:tcPr>
            <w:tcW w:w="326" w:type="pct"/>
            <w:tcBorders>
              <w:top w:val="single" w:sz="4" w:space="0" w:color="auto"/>
              <w:left w:val="nil"/>
              <w:bottom w:val="single" w:sz="4" w:space="0" w:color="auto"/>
              <w:right w:val="nil"/>
            </w:tcBorders>
            <w:shd w:val="clear" w:color="auto" w:fill="auto"/>
            <w:noWrap/>
            <w:vAlign w:val="center"/>
            <w:hideMark/>
          </w:tcPr>
          <w:p w14:paraId="070F9A1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w:t>
            </w:r>
          </w:p>
        </w:tc>
        <w:tc>
          <w:tcPr>
            <w:tcW w:w="326" w:type="pct"/>
            <w:tcBorders>
              <w:top w:val="single" w:sz="4" w:space="0" w:color="auto"/>
              <w:left w:val="nil"/>
              <w:bottom w:val="single" w:sz="4" w:space="0" w:color="auto"/>
              <w:right w:val="nil"/>
            </w:tcBorders>
            <w:shd w:val="clear" w:color="auto" w:fill="auto"/>
            <w:noWrap/>
            <w:vAlign w:val="center"/>
            <w:hideMark/>
          </w:tcPr>
          <w:p w14:paraId="7C97AA5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w:t>
            </w:r>
          </w:p>
        </w:tc>
        <w:tc>
          <w:tcPr>
            <w:tcW w:w="475" w:type="pct"/>
            <w:tcBorders>
              <w:top w:val="single" w:sz="4" w:space="0" w:color="auto"/>
              <w:left w:val="nil"/>
              <w:bottom w:val="single" w:sz="4" w:space="0" w:color="auto"/>
              <w:right w:val="nil"/>
            </w:tcBorders>
            <w:shd w:val="clear" w:color="auto" w:fill="auto"/>
            <w:noWrap/>
            <w:vAlign w:val="center"/>
            <w:hideMark/>
          </w:tcPr>
          <w:p w14:paraId="616DBB3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w:t>
            </w:r>
          </w:p>
        </w:tc>
        <w:tc>
          <w:tcPr>
            <w:tcW w:w="697" w:type="pct"/>
            <w:tcBorders>
              <w:top w:val="single" w:sz="4" w:space="0" w:color="auto"/>
              <w:left w:val="nil"/>
              <w:bottom w:val="single" w:sz="4" w:space="0" w:color="auto"/>
              <w:right w:val="nil"/>
            </w:tcBorders>
            <w:shd w:val="clear" w:color="auto" w:fill="auto"/>
            <w:noWrap/>
            <w:vAlign w:val="center"/>
            <w:hideMark/>
          </w:tcPr>
          <w:p w14:paraId="49B42C6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0,00</w:t>
            </w:r>
          </w:p>
        </w:tc>
        <w:tc>
          <w:tcPr>
            <w:tcW w:w="681" w:type="pct"/>
            <w:tcBorders>
              <w:top w:val="single" w:sz="4" w:space="0" w:color="auto"/>
              <w:left w:val="nil"/>
              <w:bottom w:val="single" w:sz="4" w:space="0" w:color="auto"/>
              <w:right w:val="nil"/>
            </w:tcBorders>
            <w:shd w:val="clear" w:color="auto" w:fill="auto"/>
            <w:noWrap/>
            <w:vAlign w:val="center"/>
            <w:hideMark/>
          </w:tcPr>
          <w:p w14:paraId="2019770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0,38</w:t>
            </w:r>
          </w:p>
        </w:tc>
        <w:tc>
          <w:tcPr>
            <w:tcW w:w="793" w:type="pct"/>
            <w:tcBorders>
              <w:top w:val="single" w:sz="4" w:space="0" w:color="auto"/>
              <w:left w:val="nil"/>
              <w:bottom w:val="single" w:sz="4" w:space="0" w:color="auto"/>
              <w:right w:val="nil"/>
            </w:tcBorders>
            <w:shd w:val="clear" w:color="auto" w:fill="auto"/>
            <w:noWrap/>
            <w:vAlign w:val="center"/>
            <w:hideMark/>
          </w:tcPr>
          <w:p w14:paraId="0BF896D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17.523.641</w:t>
            </w:r>
          </w:p>
        </w:tc>
      </w:tr>
      <w:tr w:rsidR="006356F1" w:rsidRPr="00822E74" w14:paraId="31F9F4FF"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DB2B161"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3 </w:t>
            </w:r>
          </w:p>
        </w:tc>
        <w:tc>
          <w:tcPr>
            <w:tcW w:w="366" w:type="pct"/>
            <w:tcBorders>
              <w:top w:val="single" w:sz="4" w:space="0" w:color="auto"/>
              <w:left w:val="nil"/>
              <w:bottom w:val="single" w:sz="4" w:space="0" w:color="auto"/>
              <w:right w:val="nil"/>
            </w:tcBorders>
            <w:shd w:val="clear" w:color="auto" w:fill="auto"/>
            <w:noWrap/>
            <w:vAlign w:val="center"/>
            <w:hideMark/>
          </w:tcPr>
          <w:p w14:paraId="3B4BB07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w:t>
            </w:r>
          </w:p>
        </w:tc>
        <w:tc>
          <w:tcPr>
            <w:tcW w:w="368" w:type="pct"/>
            <w:tcBorders>
              <w:top w:val="single" w:sz="4" w:space="0" w:color="auto"/>
              <w:left w:val="nil"/>
              <w:bottom w:val="single" w:sz="4" w:space="0" w:color="auto"/>
              <w:right w:val="nil"/>
            </w:tcBorders>
            <w:shd w:val="clear" w:color="auto" w:fill="auto"/>
            <w:noWrap/>
            <w:vAlign w:val="center"/>
            <w:hideMark/>
          </w:tcPr>
          <w:p w14:paraId="61BD204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w:t>
            </w:r>
          </w:p>
        </w:tc>
        <w:tc>
          <w:tcPr>
            <w:tcW w:w="326" w:type="pct"/>
            <w:tcBorders>
              <w:top w:val="single" w:sz="4" w:space="0" w:color="auto"/>
              <w:left w:val="nil"/>
              <w:bottom w:val="single" w:sz="4" w:space="0" w:color="auto"/>
              <w:right w:val="nil"/>
            </w:tcBorders>
            <w:shd w:val="clear" w:color="auto" w:fill="auto"/>
            <w:noWrap/>
            <w:vAlign w:val="center"/>
            <w:hideMark/>
          </w:tcPr>
          <w:p w14:paraId="2F8CA20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w:t>
            </w:r>
          </w:p>
        </w:tc>
        <w:tc>
          <w:tcPr>
            <w:tcW w:w="326" w:type="pct"/>
            <w:tcBorders>
              <w:top w:val="single" w:sz="4" w:space="0" w:color="auto"/>
              <w:left w:val="nil"/>
              <w:bottom w:val="single" w:sz="4" w:space="0" w:color="auto"/>
              <w:right w:val="nil"/>
            </w:tcBorders>
            <w:shd w:val="clear" w:color="auto" w:fill="auto"/>
            <w:noWrap/>
            <w:vAlign w:val="center"/>
            <w:hideMark/>
          </w:tcPr>
          <w:p w14:paraId="4130DD0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w:t>
            </w:r>
          </w:p>
        </w:tc>
        <w:tc>
          <w:tcPr>
            <w:tcW w:w="475" w:type="pct"/>
            <w:tcBorders>
              <w:top w:val="single" w:sz="4" w:space="0" w:color="auto"/>
              <w:left w:val="nil"/>
              <w:bottom w:val="single" w:sz="4" w:space="0" w:color="auto"/>
              <w:right w:val="nil"/>
            </w:tcBorders>
            <w:shd w:val="clear" w:color="auto" w:fill="auto"/>
            <w:noWrap/>
            <w:vAlign w:val="center"/>
            <w:hideMark/>
          </w:tcPr>
          <w:p w14:paraId="0A9B4FE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w:t>
            </w:r>
          </w:p>
        </w:tc>
        <w:tc>
          <w:tcPr>
            <w:tcW w:w="697" w:type="pct"/>
            <w:tcBorders>
              <w:top w:val="single" w:sz="4" w:space="0" w:color="auto"/>
              <w:left w:val="nil"/>
              <w:bottom w:val="single" w:sz="4" w:space="0" w:color="auto"/>
              <w:right w:val="nil"/>
            </w:tcBorders>
            <w:shd w:val="clear" w:color="auto" w:fill="auto"/>
            <w:noWrap/>
            <w:vAlign w:val="center"/>
            <w:hideMark/>
          </w:tcPr>
          <w:p w14:paraId="0353F60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0,02</w:t>
            </w:r>
          </w:p>
        </w:tc>
        <w:tc>
          <w:tcPr>
            <w:tcW w:w="681" w:type="pct"/>
            <w:tcBorders>
              <w:top w:val="single" w:sz="4" w:space="0" w:color="auto"/>
              <w:left w:val="nil"/>
              <w:bottom w:val="single" w:sz="4" w:space="0" w:color="auto"/>
              <w:right w:val="nil"/>
            </w:tcBorders>
            <w:shd w:val="clear" w:color="auto" w:fill="auto"/>
            <w:noWrap/>
            <w:vAlign w:val="center"/>
            <w:hideMark/>
          </w:tcPr>
          <w:p w14:paraId="47133AF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3,81</w:t>
            </w:r>
          </w:p>
        </w:tc>
        <w:tc>
          <w:tcPr>
            <w:tcW w:w="793" w:type="pct"/>
            <w:tcBorders>
              <w:top w:val="single" w:sz="4" w:space="0" w:color="auto"/>
              <w:left w:val="nil"/>
              <w:bottom w:val="single" w:sz="4" w:space="0" w:color="auto"/>
              <w:right w:val="nil"/>
            </w:tcBorders>
            <w:shd w:val="clear" w:color="auto" w:fill="auto"/>
            <w:noWrap/>
            <w:vAlign w:val="center"/>
            <w:hideMark/>
          </w:tcPr>
          <w:p w14:paraId="47CA2BA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12.993.222</w:t>
            </w:r>
          </w:p>
        </w:tc>
      </w:tr>
      <w:tr w:rsidR="006356F1" w:rsidRPr="00822E74" w14:paraId="5F44E0E1"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D38A51D"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4 </w:t>
            </w:r>
          </w:p>
        </w:tc>
        <w:tc>
          <w:tcPr>
            <w:tcW w:w="366" w:type="pct"/>
            <w:tcBorders>
              <w:top w:val="single" w:sz="4" w:space="0" w:color="auto"/>
              <w:left w:val="nil"/>
              <w:bottom w:val="single" w:sz="4" w:space="0" w:color="auto"/>
              <w:right w:val="nil"/>
            </w:tcBorders>
            <w:shd w:val="clear" w:color="auto" w:fill="auto"/>
            <w:noWrap/>
            <w:vAlign w:val="center"/>
            <w:hideMark/>
          </w:tcPr>
          <w:p w14:paraId="6123388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w:t>
            </w:r>
          </w:p>
        </w:tc>
        <w:tc>
          <w:tcPr>
            <w:tcW w:w="368" w:type="pct"/>
            <w:tcBorders>
              <w:top w:val="single" w:sz="4" w:space="0" w:color="auto"/>
              <w:left w:val="nil"/>
              <w:bottom w:val="single" w:sz="4" w:space="0" w:color="auto"/>
              <w:right w:val="nil"/>
            </w:tcBorders>
            <w:shd w:val="clear" w:color="auto" w:fill="auto"/>
            <w:noWrap/>
            <w:vAlign w:val="center"/>
            <w:hideMark/>
          </w:tcPr>
          <w:p w14:paraId="1F3B871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w:t>
            </w:r>
          </w:p>
        </w:tc>
        <w:tc>
          <w:tcPr>
            <w:tcW w:w="326" w:type="pct"/>
            <w:tcBorders>
              <w:top w:val="single" w:sz="4" w:space="0" w:color="auto"/>
              <w:left w:val="nil"/>
              <w:bottom w:val="single" w:sz="4" w:space="0" w:color="auto"/>
              <w:right w:val="nil"/>
            </w:tcBorders>
            <w:shd w:val="clear" w:color="auto" w:fill="auto"/>
            <w:noWrap/>
            <w:vAlign w:val="center"/>
            <w:hideMark/>
          </w:tcPr>
          <w:p w14:paraId="49B9D86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w:t>
            </w:r>
          </w:p>
        </w:tc>
        <w:tc>
          <w:tcPr>
            <w:tcW w:w="326" w:type="pct"/>
            <w:tcBorders>
              <w:top w:val="single" w:sz="4" w:space="0" w:color="auto"/>
              <w:left w:val="nil"/>
              <w:bottom w:val="single" w:sz="4" w:space="0" w:color="auto"/>
              <w:right w:val="nil"/>
            </w:tcBorders>
            <w:shd w:val="clear" w:color="auto" w:fill="auto"/>
            <w:noWrap/>
            <w:vAlign w:val="center"/>
            <w:hideMark/>
          </w:tcPr>
          <w:p w14:paraId="79B045A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w:t>
            </w:r>
          </w:p>
        </w:tc>
        <w:tc>
          <w:tcPr>
            <w:tcW w:w="475" w:type="pct"/>
            <w:tcBorders>
              <w:top w:val="single" w:sz="4" w:space="0" w:color="auto"/>
              <w:left w:val="nil"/>
              <w:bottom w:val="single" w:sz="4" w:space="0" w:color="auto"/>
              <w:right w:val="nil"/>
            </w:tcBorders>
            <w:shd w:val="clear" w:color="auto" w:fill="auto"/>
            <w:noWrap/>
            <w:vAlign w:val="center"/>
            <w:hideMark/>
          </w:tcPr>
          <w:p w14:paraId="7A6D0E2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w:t>
            </w:r>
          </w:p>
        </w:tc>
        <w:tc>
          <w:tcPr>
            <w:tcW w:w="697" w:type="pct"/>
            <w:tcBorders>
              <w:top w:val="single" w:sz="4" w:space="0" w:color="auto"/>
              <w:left w:val="nil"/>
              <w:bottom w:val="single" w:sz="4" w:space="0" w:color="auto"/>
              <w:right w:val="nil"/>
            </w:tcBorders>
            <w:shd w:val="clear" w:color="auto" w:fill="auto"/>
            <w:noWrap/>
            <w:vAlign w:val="center"/>
            <w:hideMark/>
          </w:tcPr>
          <w:p w14:paraId="44C3E89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0,01</w:t>
            </w:r>
          </w:p>
        </w:tc>
        <w:tc>
          <w:tcPr>
            <w:tcW w:w="681" w:type="pct"/>
            <w:tcBorders>
              <w:top w:val="single" w:sz="4" w:space="0" w:color="auto"/>
              <w:left w:val="nil"/>
              <w:bottom w:val="single" w:sz="4" w:space="0" w:color="auto"/>
              <w:right w:val="nil"/>
            </w:tcBorders>
            <w:shd w:val="clear" w:color="auto" w:fill="auto"/>
            <w:noWrap/>
            <w:vAlign w:val="center"/>
            <w:hideMark/>
          </w:tcPr>
          <w:p w14:paraId="2ABE082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1,05</w:t>
            </w:r>
          </w:p>
        </w:tc>
        <w:tc>
          <w:tcPr>
            <w:tcW w:w="793" w:type="pct"/>
            <w:tcBorders>
              <w:top w:val="single" w:sz="4" w:space="0" w:color="auto"/>
              <w:left w:val="nil"/>
              <w:bottom w:val="single" w:sz="4" w:space="0" w:color="auto"/>
              <w:right w:val="nil"/>
            </w:tcBorders>
            <w:shd w:val="clear" w:color="auto" w:fill="auto"/>
            <w:noWrap/>
            <w:vAlign w:val="center"/>
            <w:hideMark/>
          </w:tcPr>
          <w:p w14:paraId="574A7A5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9.706.499</w:t>
            </w:r>
          </w:p>
        </w:tc>
      </w:tr>
      <w:tr w:rsidR="006356F1" w:rsidRPr="00822E74" w14:paraId="149C37FA"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70740030"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5 </w:t>
            </w:r>
          </w:p>
        </w:tc>
        <w:tc>
          <w:tcPr>
            <w:tcW w:w="366" w:type="pct"/>
            <w:tcBorders>
              <w:top w:val="single" w:sz="4" w:space="0" w:color="auto"/>
              <w:left w:val="nil"/>
              <w:bottom w:val="single" w:sz="4" w:space="0" w:color="auto"/>
              <w:right w:val="nil"/>
            </w:tcBorders>
            <w:shd w:val="clear" w:color="auto" w:fill="auto"/>
            <w:noWrap/>
            <w:vAlign w:val="center"/>
            <w:hideMark/>
          </w:tcPr>
          <w:p w14:paraId="2D38133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w:t>
            </w:r>
          </w:p>
        </w:tc>
        <w:tc>
          <w:tcPr>
            <w:tcW w:w="368" w:type="pct"/>
            <w:tcBorders>
              <w:top w:val="single" w:sz="4" w:space="0" w:color="auto"/>
              <w:left w:val="nil"/>
              <w:bottom w:val="single" w:sz="4" w:space="0" w:color="auto"/>
              <w:right w:val="nil"/>
            </w:tcBorders>
            <w:shd w:val="clear" w:color="auto" w:fill="auto"/>
            <w:noWrap/>
            <w:vAlign w:val="center"/>
            <w:hideMark/>
          </w:tcPr>
          <w:p w14:paraId="5B4626D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w:t>
            </w:r>
          </w:p>
        </w:tc>
        <w:tc>
          <w:tcPr>
            <w:tcW w:w="326" w:type="pct"/>
            <w:tcBorders>
              <w:top w:val="single" w:sz="4" w:space="0" w:color="auto"/>
              <w:left w:val="nil"/>
              <w:bottom w:val="single" w:sz="4" w:space="0" w:color="auto"/>
              <w:right w:val="nil"/>
            </w:tcBorders>
            <w:shd w:val="clear" w:color="auto" w:fill="auto"/>
            <w:noWrap/>
            <w:vAlign w:val="center"/>
            <w:hideMark/>
          </w:tcPr>
          <w:p w14:paraId="2D4C8AE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w:t>
            </w:r>
          </w:p>
        </w:tc>
        <w:tc>
          <w:tcPr>
            <w:tcW w:w="326" w:type="pct"/>
            <w:tcBorders>
              <w:top w:val="single" w:sz="4" w:space="0" w:color="auto"/>
              <w:left w:val="nil"/>
              <w:bottom w:val="single" w:sz="4" w:space="0" w:color="auto"/>
              <w:right w:val="nil"/>
            </w:tcBorders>
            <w:shd w:val="clear" w:color="auto" w:fill="auto"/>
            <w:noWrap/>
            <w:vAlign w:val="center"/>
            <w:hideMark/>
          </w:tcPr>
          <w:p w14:paraId="6C798B5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w:t>
            </w:r>
          </w:p>
        </w:tc>
        <w:tc>
          <w:tcPr>
            <w:tcW w:w="475" w:type="pct"/>
            <w:tcBorders>
              <w:top w:val="single" w:sz="4" w:space="0" w:color="auto"/>
              <w:left w:val="nil"/>
              <w:bottom w:val="single" w:sz="4" w:space="0" w:color="auto"/>
              <w:right w:val="nil"/>
            </w:tcBorders>
            <w:shd w:val="clear" w:color="auto" w:fill="auto"/>
            <w:noWrap/>
            <w:vAlign w:val="center"/>
            <w:hideMark/>
          </w:tcPr>
          <w:p w14:paraId="0DE491F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w:t>
            </w:r>
          </w:p>
        </w:tc>
        <w:tc>
          <w:tcPr>
            <w:tcW w:w="697" w:type="pct"/>
            <w:tcBorders>
              <w:top w:val="single" w:sz="4" w:space="0" w:color="auto"/>
              <w:left w:val="nil"/>
              <w:bottom w:val="single" w:sz="4" w:space="0" w:color="auto"/>
              <w:right w:val="nil"/>
            </w:tcBorders>
            <w:shd w:val="clear" w:color="auto" w:fill="auto"/>
            <w:noWrap/>
            <w:vAlign w:val="center"/>
            <w:hideMark/>
          </w:tcPr>
          <w:p w14:paraId="14C1155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0,01</w:t>
            </w:r>
          </w:p>
        </w:tc>
        <w:tc>
          <w:tcPr>
            <w:tcW w:w="681" w:type="pct"/>
            <w:tcBorders>
              <w:top w:val="single" w:sz="4" w:space="0" w:color="auto"/>
              <w:left w:val="nil"/>
              <w:bottom w:val="single" w:sz="4" w:space="0" w:color="auto"/>
              <w:right w:val="nil"/>
            </w:tcBorders>
            <w:shd w:val="clear" w:color="auto" w:fill="auto"/>
            <w:noWrap/>
            <w:vAlign w:val="center"/>
            <w:hideMark/>
          </w:tcPr>
          <w:p w14:paraId="4E5C653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1,46</w:t>
            </w:r>
          </w:p>
        </w:tc>
        <w:tc>
          <w:tcPr>
            <w:tcW w:w="793" w:type="pct"/>
            <w:tcBorders>
              <w:top w:val="single" w:sz="4" w:space="0" w:color="auto"/>
              <w:left w:val="nil"/>
              <w:bottom w:val="single" w:sz="4" w:space="0" w:color="auto"/>
              <w:right w:val="nil"/>
            </w:tcBorders>
            <w:shd w:val="clear" w:color="auto" w:fill="auto"/>
            <w:noWrap/>
            <w:vAlign w:val="center"/>
            <w:hideMark/>
          </w:tcPr>
          <w:p w14:paraId="49A3310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9.300.942</w:t>
            </w:r>
          </w:p>
        </w:tc>
      </w:tr>
      <w:tr w:rsidR="006356F1" w:rsidRPr="00822E74" w14:paraId="671A0312"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481C3D46"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6 </w:t>
            </w:r>
          </w:p>
        </w:tc>
        <w:tc>
          <w:tcPr>
            <w:tcW w:w="366" w:type="pct"/>
            <w:tcBorders>
              <w:top w:val="single" w:sz="4" w:space="0" w:color="auto"/>
              <w:left w:val="nil"/>
              <w:bottom w:val="single" w:sz="4" w:space="0" w:color="auto"/>
              <w:right w:val="nil"/>
            </w:tcBorders>
            <w:shd w:val="clear" w:color="auto" w:fill="auto"/>
            <w:noWrap/>
            <w:vAlign w:val="center"/>
            <w:hideMark/>
          </w:tcPr>
          <w:p w14:paraId="7E677CE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w:t>
            </w:r>
          </w:p>
        </w:tc>
        <w:tc>
          <w:tcPr>
            <w:tcW w:w="368" w:type="pct"/>
            <w:tcBorders>
              <w:top w:val="single" w:sz="4" w:space="0" w:color="auto"/>
              <w:left w:val="nil"/>
              <w:bottom w:val="single" w:sz="4" w:space="0" w:color="auto"/>
              <w:right w:val="nil"/>
            </w:tcBorders>
            <w:shd w:val="clear" w:color="auto" w:fill="auto"/>
            <w:noWrap/>
            <w:vAlign w:val="center"/>
            <w:hideMark/>
          </w:tcPr>
          <w:p w14:paraId="632F4E8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w:t>
            </w:r>
          </w:p>
        </w:tc>
        <w:tc>
          <w:tcPr>
            <w:tcW w:w="326" w:type="pct"/>
            <w:tcBorders>
              <w:top w:val="single" w:sz="4" w:space="0" w:color="auto"/>
              <w:left w:val="nil"/>
              <w:bottom w:val="single" w:sz="4" w:space="0" w:color="auto"/>
              <w:right w:val="nil"/>
            </w:tcBorders>
            <w:shd w:val="clear" w:color="auto" w:fill="auto"/>
            <w:noWrap/>
            <w:vAlign w:val="center"/>
            <w:hideMark/>
          </w:tcPr>
          <w:p w14:paraId="28E5970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w:t>
            </w:r>
          </w:p>
        </w:tc>
        <w:tc>
          <w:tcPr>
            <w:tcW w:w="326" w:type="pct"/>
            <w:tcBorders>
              <w:top w:val="single" w:sz="4" w:space="0" w:color="auto"/>
              <w:left w:val="nil"/>
              <w:bottom w:val="single" w:sz="4" w:space="0" w:color="auto"/>
              <w:right w:val="nil"/>
            </w:tcBorders>
            <w:shd w:val="clear" w:color="auto" w:fill="auto"/>
            <w:noWrap/>
            <w:vAlign w:val="center"/>
            <w:hideMark/>
          </w:tcPr>
          <w:p w14:paraId="0AE06BB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w:t>
            </w:r>
          </w:p>
        </w:tc>
        <w:tc>
          <w:tcPr>
            <w:tcW w:w="475" w:type="pct"/>
            <w:tcBorders>
              <w:top w:val="single" w:sz="4" w:space="0" w:color="auto"/>
              <w:left w:val="nil"/>
              <w:bottom w:val="single" w:sz="4" w:space="0" w:color="auto"/>
              <w:right w:val="nil"/>
            </w:tcBorders>
            <w:shd w:val="clear" w:color="auto" w:fill="auto"/>
            <w:noWrap/>
            <w:vAlign w:val="center"/>
            <w:hideMark/>
          </w:tcPr>
          <w:p w14:paraId="5E90585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w:t>
            </w:r>
          </w:p>
        </w:tc>
        <w:tc>
          <w:tcPr>
            <w:tcW w:w="697" w:type="pct"/>
            <w:tcBorders>
              <w:top w:val="single" w:sz="4" w:space="0" w:color="auto"/>
              <w:left w:val="nil"/>
              <w:bottom w:val="single" w:sz="4" w:space="0" w:color="auto"/>
              <w:right w:val="nil"/>
            </w:tcBorders>
            <w:shd w:val="clear" w:color="auto" w:fill="auto"/>
            <w:noWrap/>
            <w:vAlign w:val="center"/>
            <w:hideMark/>
          </w:tcPr>
          <w:p w14:paraId="6298EE4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0,00</w:t>
            </w:r>
          </w:p>
        </w:tc>
        <w:tc>
          <w:tcPr>
            <w:tcW w:w="681" w:type="pct"/>
            <w:tcBorders>
              <w:top w:val="single" w:sz="4" w:space="0" w:color="auto"/>
              <w:left w:val="nil"/>
              <w:bottom w:val="single" w:sz="4" w:space="0" w:color="auto"/>
              <w:right w:val="nil"/>
            </w:tcBorders>
            <w:shd w:val="clear" w:color="auto" w:fill="auto"/>
            <w:noWrap/>
            <w:vAlign w:val="center"/>
            <w:hideMark/>
          </w:tcPr>
          <w:p w14:paraId="1FFAAF6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0,48</w:t>
            </w:r>
          </w:p>
        </w:tc>
        <w:tc>
          <w:tcPr>
            <w:tcW w:w="793" w:type="pct"/>
            <w:tcBorders>
              <w:top w:val="single" w:sz="4" w:space="0" w:color="auto"/>
              <w:left w:val="nil"/>
              <w:bottom w:val="single" w:sz="4" w:space="0" w:color="auto"/>
              <w:right w:val="nil"/>
            </w:tcBorders>
            <w:shd w:val="clear" w:color="auto" w:fill="auto"/>
            <w:noWrap/>
            <w:vAlign w:val="center"/>
            <w:hideMark/>
          </w:tcPr>
          <w:p w14:paraId="6F27DB6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8.106.597</w:t>
            </w:r>
          </w:p>
        </w:tc>
      </w:tr>
      <w:tr w:rsidR="006356F1" w:rsidRPr="00822E74" w14:paraId="362C56B9"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BF4A9F8"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7 </w:t>
            </w:r>
          </w:p>
        </w:tc>
        <w:tc>
          <w:tcPr>
            <w:tcW w:w="366" w:type="pct"/>
            <w:tcBorders>
              <w:top w:val="single" w:sz="4" w:space="0" w:color="auto"/>
              <w:left w:val="nil"/>
              <w:bottom w:val="single" w:sz="4" w:space="0" w:color="auto"/>
              <w:right w:val="nil"/>
            </w:tcBorders>
            <w:shd w:val="clear" w:color="auto" w:fill="auto"/>
            <w:noWrap/>
            <w:vAlign w:val="center"/>
            <w:hideMark/>
          </w:tcPr>
          <w:p w14:paraId="2429868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w:t>
            </w:r>
          </w:p>
        </w:tc>
        <w:tc>
          <w:tcPr>
            <w:tcW w:w="368" w:type="pct"/>
            <w:tcBorders>
              <w:top w:val="single" w:sz="4" w:space="0" w:color="auto"/>
              <w:left w:val="nil"/>
              <w:bottom w:val="single" w:sz="4" w:space="0" w:color="auto"/>
              <w:right w:val="nil"/>
            </w:tcBorders>
            <w:shd w:val="clear" w:color="auto" w:fill="auto"/>
            <w:noWrap/>
            <w:vAlign w:val="center"/>
            <w:hideMark/>
          </w:tcPr>
          <w:p w14:paraId="681AD78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w:t>
            </w:r>
          </w:p>
        </w:tc>
        <w:tc>
          <w:tcPr>
            <w:tcW w:w="326" w:type="pct"/>
            <w:tcBorders>
              <w:top w:val="single" w:sz="4" w:space="0" w:color="auto"/>
              <w:left w:val="nil"/>
              <w:bottom w:val="single" w:sz="4" w:space="0" w:color="auto"/>
              <w:right w:val="nil"/>
            </w:tcBorders>
            <w:shd w:val="clear" w:color="auto" w:fill="auto"/>
            <w:noWrap/>
            <w:vAlign w:val="center"/>
            <w:hideMark/>
          </w:tcPr>
          <w:p w14:paraId="68CC861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w:t>
            </w:r>
          </w:p>
        </w:tc>
        <w:tc>
          <w:tcPr>
            <w:tcW w:w="326" w:type="pct"/>
            <w:tcBorders>
              <w:top w:val="single" w:sz="4" w:space="0" w:color="auto"/>
              <w:left w:val="nil"/>
              <w:bottom w:val="single" w:sz="4" w:space="0" w:color="auto"/>
              <w:right w:val="nil"/>
            </w:tcBorders>
            <w:shd w:val="clear" w:color="auto" w:fill="auto"/>
            <w:noWrap/>
            <w:vAlign w:val="center"/>
            <w:hideMark/>
          </w:tcPr>
          <w:p w14:paraId="0940942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w:t>
            </w:r>
          </w:p>
        </w:tc>
        <w:tc>
          <w:tcPr>
            <w:tcW w:w="475" w:type="pct"/>
            <w:tcBorders>
              <w:top w:val="single" w:sz="4" w:space="0" w:color="auto"/>
              <w:left w:val="nil"/>
              <w:bottom w:val="single" w:sz="4" w:space="0" w:color="auto"/>
              <w:right w:val="nil"/>
            </w:tcBorders>
            <w:shd w:val="clear" w:color="auto" w:fill="auto"/>
            <w:noWrap/>
            <w:vAlign w:val="center"/>
            <w:hideMark/>
          </w:tcPr>
          <w:p w14:paraId="0D8011F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w:t>
            </w:r>
          </w:p>
        </w:tc>
        <w:tc>
          <w:tcPr>
            <w:tcW w:w="697" w:type="pct"/>
            <w:tcBorders>
              <w:top w:val="single" w:sz="4" w:space="0" w:color="auto"/>
              <w:left w:val="nil"/>
              <w:bottom w:val="single" w:sz="4" w:space="0" w:color="auto"/>
              <w:right w:val="nil"/>
            </w:tcBorders>
            <w:shd w:val="clear" w:color="auto" w:fill="auto"/>
            <w:noWrap/>
            <w:vAlign w:val="center"/>
            <w:hideMark/>
          </w:tcPr>
          <w:p w14:paraId="053E890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0,01</w:t>
            </w:r>
          </w:p>
        </w:tc>
        <w:tc>
          <w:tcPr>
            <w:tcW w:w="681" w:type="pct"/>
            <w:tcBorders>
              <w:top w:val="single" w:sz="4" w:space="0" w:color="auto"/>
              <w:left w:val="nil"/>
              <w:bottom w:val="single" w:sz="4" w:space="0" w:color="auto"/>
              <w:right w:val="nil"/>
            </w:tcBorders>
            <w:shd w:val="clear" w:color="auto" w:fill="auto"/>
            <w:noWrap/>
            <w:vAlign w:val="center"/>
            <w:hideMark/>
          </w:tcPr>
          <w:p w14:paraId="4B1C7A6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1,20</w:t>
            </w:r>
          </w:p>
        </w:tc>
        <w:tc>
          <w:tcPr>
            <w:tcW w:w="793" w:type="pct"/>
            <w:tcBorders>
              <w:top w:val="single" w:sz="4" w:space="0" w:color="auto"/>
              <w:left w:val="nil"/>
              <w:bottom w:val="single" w:sz="4" w:space="0" w:color="auto"/>
              <w:right w:val="nil"/>
            </w:tcBorders>
            <w:shd w:val="clear" w:color="auto" w:fill="auto"/>
            <w:noWrap/>
            <w:vAlign w:val="center"/>
            <w:hideMark/>
          </w:tcPr>
          <w:p w14:paraId="1E90DAF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4.602.082</w:t>
            </w:r>
          </w:p>
        </w:tc>
      </w:tr>
      <w:tr w:rsidR="006356F1" w:rsidRPr="00822E74" w14:paraId="77444C5E"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E07C4C2"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8 </w:t>
            </w:r>
          </w:p>
        </w:tc>
        <w:tc>
          <w:tcPr>
            <w:tcW w:w="366" w:type="pct"/>
            <w:tcBorders>
              <w:top w:val="single" w:sz="4" w:space="0" w:color="auto"/>
              <w:left w:val="nil"/>
              <w:bottom w:val="single" w:sz="4" w:space="0" w:color="auto"/>
              <w:right w:val="nil"/>
            </w:tcBorders>
            <w:shd w:val="clear" w:color="auto" w:fill="auto"/>
            <w:noWrap/>
            <w:vAlign w:val="center"/>
            <w:hideMark/>
          </w:tcPr>
          <w:p w14:paraId="6B14203D" w14:textId="77777777" w:rsidR="006356F1" w:rsidRPr="00822E74" w:rsidRDefault="006356F1" w:rsidP="00217400">
            <w:pPr>
              <w:jc w:val="right"/>
              <w:rPr>
                <w:rFonts w:ascii="Arial" w:hAnsi="Arial" w:cs="Arial"/>
                <w:color w:val="000000"/>
                <w:sz w:val="20"/>
              </w:rPr>
            </w:pPr>
          </w:p>
        </w:tc>
        <w:tc>
          <w:tcPr>
            <w:tcW w:w="368" w:type="pct"/>
            <w:tcBorders>
              <w:top w:val="single" w:sz="4" w:space="0" w:color="auto"/>
              <w:left w:val="nil"/>
              <w:bottom w:val="single" w:sz="4" w:space="0" w:color="auto"/>
              <w:right w:val="nil"/>
            </w:tcBorders>
            <w:shd w:val="clear" w:color="auto" w:fill="auto"/>
            <w:noWrap/>
            <w:vAlign w:val="center"/>
            <w:hideMark/>
          </w:tcPr>
          <w:p w14:paraId="7E25B53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w:t>
            </w:r>
          </w:p>
        </w:tc>
        <w:tc>
          <w:tcPr>
            <w:tcW w:w="326" w:type="pct"/>
            <w:tcBorders>
              <w:top w:val="single" w:sz="4" w:space="0" w:color="auto"/>
              <w:left w:val="nil"/>
              <w:bottom w:val="single" w:sz="4" w:space="0" w:color="auto"/>
              <w:right w:val="nil"/>
            </w:tcBorders>
            <w:shd w:val="clear" w:color="auto" w:fill="auto"/>
            <w:noWrap/>
            <w:vAlign w:val="center"/>
            <w:hideMark/>
          </w:tcPr>
          <w:p w14:paraId="07A64FA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w:t>
            </w:r>
          </w:p>
        </w:tc>
        <w:tc>
          <w:tcPr>
            <w:tcW w:w="326" w:type="pct"/>
            <w:tcBorders>
              <w:top w:val="single" w:sz="4" w:space="0" w:color="auto"/>
              <w:left w:val="nil"/>
              <w:bottom w:val="single" w:sz="4" w:space="0" w:color="auto"/>
              <w:right w:val="nil"/>
            </w:tcBorders>
            <w:shd w:val="clear" w:color="auto" w:fill="auto"/>
            <w:noWrap/>
            <w:vAlign w:val="center"/>
            <w:hideMark/>
          </w:tcPr>
          <w:p w14:paraId="124AB4E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w:t>
            </w:r>
          </w:p>
        </w:tc>
        <w:tc>
          <w:tcPr>
            <w:tcW w:w="475" w:type="pct"/>
            <w:tcBorders>
              <w:top w:val="single" w:sz="4" w:space="0" w:color="auto"/>
              <w:left w:val="nil"/>
              <w:bottom w:val="single" w:sz="4" w:space="0" w:color="auto"/>
              <w:right w:val="nil"/>
            </w:tcBorders>
            <w:shd w:val="clear" w:color="auto" w:fill="auto"/>
            <w:noWrap/>
            <w:vAlign w:val="center"/>
            <w:hideMark/>
          </w:tcPr>
          <w:p w14:paraId="570BBA3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w:t>
            </w:r>
          </w:p>
        </w:tc>
        <w:tc>
          <w:tcPr>
            <w:tcW w:w="697" w:type="pct"/>
            <w:tcBorders>
              <w:top w:val="single" w:sz="4" w:space="0" w:color="auto"/>
              <w:left w:val="nil"/>
              <w:bottom w:val="single" w:sz="4" w:space="0" w:color="auto"/>
              <w:right w:val="nil"/>
            </w:tcBorders>
            <w:shd w:val="clear" w:color="auto" w:fill="auto"/>
            <w:noWrap/>
            <w:vAlign w:val="center"/>
            <w:hideMark/>
          </w:tcPr>
          <w:p w14:paraId="77F3D32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0,00</w:t>
            </w:r>
          </w:p>
        </w:tc>
        <w:tc>
          <w:tcPr>
            <w:tcW w:w="681" w:type="pct"/>
            <w:tcBorders>
              <w:top w:val="single" w:sz="4" w:space="0" w:color="auto"/>
              <w:left w:val="nil"/>
              <w:bottom w:val="single" w:sz="4" w:space="0" w:color="auto"/>
              <w:right w:val="nil"/>
            </w:tcBorders>
            <w:shd w:val="clear" w:color="auto" w:fill="auto"/>
            <w:noWrap/>
            <w:vAlign w:val="center"/>
            <w:hideMark/>
          </w:tcPr>
          <w:p w14:paraId="5FF9679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0,28</w:t>
            </w:r>
          </w:p>
        </w:tc>
        <w:tc>
          <w:tcPr>
            <w:tcW w:w="793" w:type="pct"/>
            <w:tcBorders>
              <w:top w:val="single" w:sz="4" w:space="0" w:color="auto"/>
              <w:left w:val="nil"/>
              <w:bottom w:val="single" w:sz="4" w:space="0" w:color="auto"/>
              <w:right w:val="nil"/>
            </w:tcBorders>
            <w:shd w:val="clear" w:color="auto" w:fill="auto"/>
            <w:noWrap/>
            <w:vAlign w:val="center"/>
            <w:hideMark/>
          </w:tcPr>
          <w:p w14:paraId="7E07408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3.550.438</w:t>
            </w:r>
          </w:p>
        </w:tc>
      </w:tr>
      <w:tr w:rsidR="006356F1" w:rsidRPr="00822E74" w14:paraId="4FE5D3C5"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232A8C3"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9 </w:t>
            </w:r>
          </w:p>
        </w:tc>
        <w:tc>
          <w:tcPr>
            <w:tcW w:w="366" w:type="pct"/>
            <w:tcBorders>
              <w:top w:val="single" w:sz="4" w:space="0" w:color="auto"/>
              <w:left w:val="nil"/>
              <w:bottom w:val="single" w:sz="4" w:space="0" w:color="auto"/>
              <w:right w:val="nil"/>
            </w:tcBorders>
            <w:shd w:val="clear" w:color="auto" w:fill="auto"/>
            <w:noWrap/>
            <w:vAlign w:val="center"/>
            <w:hideMark/>
          </w:tcPr>
          <w:p w14:paraId="3C8108F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w:t>
            </w:r>
          </w:p>
        </w:tc>
        <w:tc>
          <w:tcPr>
            <w:tcW w:w="368" w:type="pct"/>
            <w:tcBorders>
              <w:top w:val="single" w:sz="4" w:space="0" w:color="auto"/>
              <w:left w:val="nil"/>
              <w:bottom w:val="single" w:sz="4" w:space="0" w:color="auto"/>
              <w:right w:val="nil"/>
            </w:tcBorders>
            <w:shd w:val="clear" w:color="auto" w:fill="auto"/>
            <w:noWrap/>
            <w:vAlign w:val="center"/>
            <w:hideMark/>
          </w:tcPr>
          <w:p w14:paraId="3D42F56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w:t>
            </w:r>
          </w:p>
        </w:tc>
        <w:tc>
          <w:tcPr>
            <w:tcW w:w="326" w:type="pct"/>
            <w:tcBorders>
              <w:top w:val="single" w:sz="4" w:space="0" w:color="auto"/>
              <w:left w:val="nil"/>
              <w:bottom w:val="single" w:sz="4" w:space="0" w:color="auto"/>
              <w:right w:val="nil"/>
            </w:tcBorders>
            <w:shd w:val="clear" w:color="auto" w:fill="auto"/>
            <w:noWrap/>
            <w:vAlign w:val="center"/>
            <w:hideMark/>
          </w:tcPr>
          <w:p w14:paraId="4CCD574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w:t>
            </w:r>
          </w:p>
        </w:tc>
        <w:tc>
          <w:tcPr>
            <w:tcW w:w="326" w:type="pct"/>
            <w:tcBorders>
              <w:top w:val="single" w:sz="4" w:space="0" w:color="auto"/>
              <w:left w:val="nil"/>
              <w:bottom w:val="single" w:sz="4" w:space="0" w:color="auto"/>
              <w:right w:val="nil"/>
            </w:tcBorders>
            <w:shd w:val="clear" w:color="auto" w:fill="auto"/>
            <w:noWrap/>
            <w:vAlign w:val="center"/>
            <w:hideMark/>
          </w:tcPr>
          <w:p w14:paraId="7C9AC12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w:t>
            </w:r>
          </w:p>
        </w:tc>
        <w:tc>
          <w:tcPr>
            <w:tcW w:w="475" w:type="pct"/>
            <w:tcBorders>
              <w:top w:val="single" w:sz="4" w:space="0" w:color="auto"/>
              <w:left w:val="nil"/>
              <w:bottom w:val="single" w:sz="4" w:space="0" w:color="auto"/>
              <w:right w:val="nil"/>
            </w:tcBorders>
            <w:shd w:val="clear" w:color="auto" w:fill="auto"/>
            <w:noWrap/>
            <w:vAlign w:val="center"/>
            <w:hideMark/>
          </w:tcPr>
          <w:p w14:paraId="57F08DA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w:t>
            </w:r>
          </w:p>
        </w:tc>
        <w:tc>
          <w:tcPr>
            <w:tcW w:w="697" w:type="pct"/>
            <w:tcBorders>
              <w:top w:val="single" w:sz="4" w:space="0" w:color="auto"/>
              <w:left w:val="nil"/>
              <w:bottom w:val="single" w:sz="4" w:space="0" w:color="auto"/>
              <w:right w:val="nil"/>
            </w:tcBorders>
            <w:shd w:val="clear" w:color="auto" w:fill="auto"/>
            <w:noWrap/>
            <w:vAlign w:val="center"/>
            <w:hideMark/>
          </w:tcPr>
          <w:p w14:paraId="4277C23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0,01</w:t>
            </w:r>
          </w:p>
        </w:tc>
        <w:tc>
          <w:tcPr>
            <w:tcW w:w="681" w:type="pct"/>
            <w:tcBorders>
              <w:top w:val="single" w:sz="4" w:space="0" w:color="auto"/>
              <w:left w:val="nil"/>
              <w:bottom w:val="single" w:sz="4" w:space="0" w:color="auto"/>
              <w:right w:val="nil"/>
            </w:tcBorders>
            <w:shd w:val="clear" w:color="auto" w:fill="auto"/>
            <w:noWrap/>
            <w:vAlign w:val="center"/>
            <w:hideMark/>
          </w:tcPr>
          <w:p w14:paraId="0763BEA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0,58</w:t>
            </w:r>
          </w:p>
        </w:tc>
        <w:tc>
          <w:tcPr>
            <w:tcW w:w="793" w:type="pct"/>
            <w:tcBorders>
              <w:top w:val="single" w:sz="4" w:space="0" w:color="auto"/>
              <w:left w:val="nil"/>
              <w:bottom w:val="single" w:sz="4" w:space="0" w:color="auto"/>
              <w:right w:val="nil"/>
            </w:tcBorders>
            <w:shd w:val="clear" w:color="auto" w:fill="auto"/>
            <w:noWrap/>
            <w:vAlign w:val="center"/>
            <w:hideMark/>
          </w:tcPr>
          <w:p w14:paraId="18960FB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2.078.729</w:t>
            </w:r>
          </w:p>
        </w:tc>
      </w:tr>
      <w:tr w:rsidR="006356F1" w:rsidRPr="00822E74" w14:paraId="68A544D4"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3EFA02CF"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10 </w:t>
            </w:r>
          </w:p>
        </w:tc>
        <w:tc>
          <w:tcPr>
            <w:tcW w:w="366" w:type="pct"/>
            <w:tcBorders>
              <w:top w:val="single" w:sz="4" w:space="0" w:color="auto"/>
              <w:left w:val="nil"/>
              <w:bottom w:val="single" w:sz="4" w:space="0" w:color="auto"/>
              <w:right w:val="nil"/>
            </w:tcBorders>
            <w:shd w:val="clear" w:color="auto" w:fill="auto"/>
            <w:noWrap/>
            <w:vAlign w:val="center"/>
            <w:hideMark/>
          </w:tcPr>
          <w:p w14:paraId="184A9BA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w:t>
            </w:r>
          </w:p>
        </w:tc>
        <w:tc>
          <w:tcPr>
            <w:tcW w:w="368" w:type="pct"/>
            <w:tcBorders>
              <w:top w:val="single" w:sz="4" w:space="0" w:color="auto"/>
              <w:left w:val="nil"/>
              <w:bottom w:val="single" w:sz="4" w:space="0" w:color="auto"/>
              <w:right w:val="nil"/>
            </w:tcBorders>
            <w:shd w:val="clear" w:color="auto" w:fill="auto"/>
            <w:noWrap/>
            <w:vAlign w:val="center"/>
            <w:hideMark/>
          </w:tcPr>
          <w:p w14:paraId="014281C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w:t>
            </w:r>
          </w:p>
        </w:tc>
        <w:tc>
          <w:tcPr>
            <w:tcW w:w="326" w:type="pct"/>
            <w:tcBorders>
              <w:top w:val="single" w:sz="4" w:space="0" w:color="auto"/>
              <w:left w:val="nil"/>
              <w:bottom w:val="single" w:sz="4" w:space="0" w:color="auto"/>
              <w:right w:val="nil"/>
            </w:tcBorders>
            <w:shd w:val="clear" w:color="auto" w:fill="auto"/>
            <w:noWrap/>
            <w:vAlign w:val="center"/>
            <w:hideMark/>
          </w:tcPr>
          <w:p w14:paraId="6F7991E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w:t>
            </w:r>
          </w:p>
        </w:tc>
        <w:tc>
          <w:tcPr>
            <w:tcW w:w="326" w:type="pct"/>
            <w:tcBorders>
              <w:top w:val="single" w:sz="4" w:space="0" w:color="auto"/>
              <w:left w:val="nil"/>
              <w:bottom w:val="single" w:sz="4" w:space="0" w:color="auto"/>
              <w:right w:val="nil"/>
            </w:tcBorders>
            <w:shd w:val="clear" w:color="auto" w:fill="auto"/>
            <w:noWrap/>
            <w:vAlign w:val="center"/>
            <w:hideMark/>
          </w:tcPr>
          <w:p w14:paraId="25DEFFE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w:t>
            </w:r>
          </w:p>
        </w:tc>
        <w:tc>
          <w:tcPr>
            <w:tcW w:w="475" w:type="pct"/>
            <w:tcBorders>
              <w:top w:val="single" w:sz="4" w:space="0" w:color="auto"/>
              <w:left w:val="nil"/>
              <w:bottom w:val="single" w:sz="4" w:space="0" w:color="auto"/>
              <w:right w:val="nil"/>
            </w:tcBorders>
            <w:shd w:val="clear" w:color="auto" w:fill="auto"/>
            <w:noWrap/>
            <w:vAlign w:val="center"/>
            <w:hideMark/>
          </w:tcPr>
          <w:p w14:paraId="770BC36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w:t>
            </w:r>
          </w:p>
        </w:tc>
        <w:tc>
          <w:tcPr>
            <w:tcW w:w="697" w:type="pct"/>
            <w:tcBorders>
              <w:top w:val="single" w:sz="4" w:space="0" w:color="auto"/>
              <w:left w:val="nil"/>
              <w:bottom w:val="single" w:sz="4" w:space="0" w:color="auto"/>
              <w:right w:val="nil"/>
            </w:tcBorders>
            <w:shd w:val="clear" w:color="auto" w:fill="auto"/>
            <w:noWrap/>
            <w:vAlign w:val="center"/>
            <w:hideMark/>
          </w:tcPr>
          <w:p w14:paraId="1953ACF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0,02</w:t>
            </w:r>
          </w:p>
        </w:tc>
        <w:tc>
          <w:tcPr>
            <w:tcW w:w="681" w:type="pct"/>
            <w:tcBorders>
              <w:top w:val="single" w:sz="4" w:space="0" w:color="auto"/>
              <w:left w:val="nil"/>
              <w:bottom w:val="single" w:sz="4" w:space="0" w:color="auto"/>
              <w:right w:val="nil"/>
            </w:tcBorders>
            <w:shd w:val="clear" w:color="auto" w:fill="auto"/>
            <w:noWrap/>
            <w:vAlign w:val="center"/>
            <w:hideMark/>
          </w:tcPr>
          <w:p w14:paraId="3A1E7CA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0,33</w:t>
            </w:r>
          </w:p>
        </w:tc>
        <w:tc>
          <w:tcPr>
            <w:tcW w:w="793" w:type="pct"/>
            <w:tcBorders>
              <w:top w:val="single" w:sz="4" w:space="0" w:color="auto"/>
              <w:left w:val="nil"/>
              <w:bottom w:val="single" w:sz="4" w:space="0" w:color="auto"/>
              <w:right w:val="nil"/>
            </w:tcBorders>
            <w:shd w:val="clear" w:color="auto" w:fill="auto"/>
            <w:noWrap/>
            <w:vAlign w:val="center"/>
            <w:hideMark/>
          </w:tcPr>
          <w:p w14:paraId="3EA204F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1.127.992</w:t>
            </w:r>
          </w:p>
        </w:tc>
      </w:tr>
      <w:tr w:rsidR="006356F1" w:rsidRPr="00822E74" w14:paraId="41DC7D95"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74E75B3"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11 </w:t>
            </w:r>
          </w:p>
        </w:tc>
        <w:tc>
          <w:tcPr>
            <w:tcW w:w="366" w:type="pct"/>
            <w:tcBorders>
              <w:top w:val="single" w:sz="4" w:space="0" w:color="auto"/>
              <w:left w:val="nil"/>
              <w:bottom w:val="single" w:sz="4" w:space="0" w:color="auto"/>
              <w:right w:val="nil"/>
            </w:tcBorders>
            <w:shd w:val="clear" w:color="auto" w:fill="auto"/>
            <w:noWrap/>
            <w:vAlign w:val="center"/>
            <w:hideMark/>
          </w:tcPr>
          <w:p w14:paraId="0806111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w:t>
            </w:r>
          </w:p>
        </w:tc>
        <w:tc>
          <w:tcPr>
            <w:tcW w:w="368" w:type="pct"/>
            <w:tcBorders>
              <w:top w:val="single" w:sz="4" w:space="0" w:color="auto"/>
              <w:left w:val="nil"/>
              <w:bottom w:val="single" w:sz="4" w:space="0" w:color="auto"/>
              <w:right w:val="nil"/>
            </w:tcBorders>
            <w:shd w:val="clear" w:color="auto" w:fill="auto"/>
            <w:noWrap/>
            <w:vAlign w:val="center"/>
            <w:hideMark/>
          </w:tcPr>
          <w:p w14:paraId="6BCAA0F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w:t>
            </w:r>
          </w:p>
        </w:tc>
        <w:tc>
          <w:tcPr>
            <w:tcW w:w="326" w:type="pct"/>
            <w:tcBorders>
              <w:top w:val="single" w:sz="4" w:space="0" w:color="auto"/>
              <w:left w:val="nil"/>
              <w:bottom w:val="single" w:sz="4" w:space="0" w:color="auto"/>
              <w:right w:val="nil"/>
            </w:tcBorders>
            <w:shd w:val="clear" w:color="auto" w:fill="auto"/>
            <w:noWrap/>
            <w:vAlign w:val="center"/>
            <w:hideMark/>
          </w:tcPr>
          <w:p w14:paraId="578EA02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w:t>
            </w:r>
          </w:p>
        </w:tc>
        <w:tc>
          <w:tcPr>
            <w:tcW w:w="326" w:type="pct"/>
            <w:tcBorders>
              <w:top w:val="single" w:sz="4" w:space="0" w:color="auto"/>
              <w:left w:val="nil"/>
              <w:bottom w:val="single" w:sz="4" w:space="0" w:color="auto"/>
              <w:right w:val="nil"/>
            </w:tcBorders>
            <w:shd w:val="clear" w:color="auto" w:fill="auto"/>
            <w:noWrap/>
            <w:vAlign w:val="center"/>
            <w:hideMark/>
          </w:tcPr>
          <w:p w14:paraId="15A3432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w:t>
            </w:r>
          </w:p>
        </w:tc>
        <w:tc>
          <w:tcPr>
            <w:tcW w:w="475" w:type="pct"/>
            <w:tcBorders>
              <w:top w:val="single" w:sz="4" w:space="0" w:color="auto"/>
              <w:left w:val="nil"/>
              <w:bottom w:val="single" w:sz="4" w:space="0" w:color="auto"/>
              <w:right w:val="nil"/>
            </w:tcBorders>
            <w:shd w:val="clear" w:color="auto" w:fill="auto"/>
            <w:noWrap/>
            <w:vAlign w:val="center"/>
            <w:hideMark/>
          </w:tcPr>
          <w:p w14:paraId="3353E51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w:t>
            </w:r>
          </w:p>
        </w:tc>
        <w:tc>
          <w:tcPr>
            <w:tcW w:w="697" w:type="pct"/>
            <w:tcBorders>
              <w:top w:val="single" w:sz="4" w:space="0" w:color="auto"/>
              <w:left w:val="nil"/>
              <w:bottom w:val="single" w:sz="4" w:space="0" w:color="auto"/>
              <w:right w:val="nil"/>
            </w:tcBorders>
            <w:shd w:val="clear" w:color="auto" w:fill="auto"/>
            <w:noWrap/>
            <w:vAlign w:val="center"/>
            <w:hideMark/>
          </w:tcPr>
          <w:p w14:paraId="3489815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0,02</w:t>
            </w:r>
          </w:p>
        </w:tc>
        <w:tc>
          <w:tcPr>
            <w:tcW w:w="681" w:type="pct"/>
            <w:tcBorders>
              <w:top w:val="single" w:sz="4" w:space="0" w:color="auto"/>
              <w:left w:val="nil"/>
              <w:bottom w:val="single" w:sz="4" w:space="0" w:color="auto"/>
              <w:right w:val="nil"/>
            </w:tcBorders>
            <w:shd w:val="clear" w:color="auto" w:fill="auto"/>
            <w:noWrap/>
            <w:vAlign w:val="center"/>
            <w:hideMark/>
          </w:tcPr>
          <w:p w14:paraId="1A33F7D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0,28</w:t>
            </w:r>
          </w:p>
        </w:tc>
        <w:tc>
          <w:tcPr>
            <w:tcW w:w="793" w:type="pct"/>
            <w:tcBorders>
              <w:top w:val="single" w:sz="4" w:space="0" w:color="auto"/>
              <w:left w:val="nil"/>
              <w:bottom w:val="single" w:sz="4" w:space="0" w:color="auto"/>
              <w:right w:val="nil"/>
            </w:tcBorders>
            <w:shd w:val="clear" w:color="auto" w:fill="auto"/>
            <w:noWrap/>
            <w:vAlign w:val="center"/>
            <w:hideMark/>
          </w:tcPr>
          <w:p w14:paraId="56B6E78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880.074</w:t>
            </w:r>
          </w:p>
        </w:tc>
      </w:tr>
      <w:tr w:rsidR="006356F1" w:rsidRPr="00822E74" w14:paraId="54A2E701"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42CA93AC"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12 </w:t>
            </w:r>
          </w:p>
        </w:tc>
        <w:tc>
          <w:tcPr>
            <w:tcW w:w="366" w:type="pct"/>
            <w:tcBorders>
              <w:top w:val="single" w:sz="4" w:space="0" w:color="auto"/>
              <w:left w:val="nil"/>
              <w:bottom w:val="single" w:sz="4" w:space="0" w:color="auto"/>
              <w:right w:val="nil"/>
            </w:tcBorders>
            <w:shd w:val="clear" w:color="auto" w:fill="auto"/>
            <w:noWrap/>
            <w:vAlign w:val="center"/>
            <w:hideMark/>
          </w:tcPr>
          <w:p w14:paraId="708FFF7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48</w:t>
            </w:r>
          </w:p>
        </w:tc>
        <w:tc>
          <w:tcPr>
            <w:tcW w:w="368" w:type="pct"/>
            <w:tcBorders>
              <w:top w:val="single" w:sz="4" w:space="0" w:color="auto"/>
              <w:left w:val="nil"/>
              <w:bottom w:val="single" w:sz="4" w:space="0" w:color="auto"/>
              <w:right w:val="nil"/>
            </w:tcBorders>
            <w:shd w:val="clear" w:color="auto" w:fill="auto"/>
            <w:noWrap/>
            <w:vAlign w:val="center"/>
            <w:hideMark/>
          </w:tcPr>
          <w:p w14:paraId="5F47FA6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47</w:t>
            </w:r>
          </w:p>
        </w:tc>
        <w:tc>
          <w:tcPr>
            <w:tcW w:w="326" w:type="pct"/>
            <w:tcBorders>
              <w:top w:val="single" w:sz="4" w:space="0" w:color="auto"/>
              <w:left w:val="nil"/>
              <w:bottom w:val="single" w:sz="4" w:space="0" w:color="auto"/>
              <w:right w:val="nil"/>
            </w:tcBorders>
            <w:shd w:val="clear" w:color="auto" w:fill="auto"/>
            <w:noWrap/>
            <w:vAlign w:val="center"/>
            <w:hideMark/>
          </w:tcPr>
          <w:p w14:paraId="675E259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43</w:t>
            </w:r>
          </w:p>
        </w:tc>
        <w:tc>
          <w:tcPr>
            <w:tcW w:w="326" w:type="pct"/>
            <w:tcBorders>
              <w:top w:val="single" w:sz="4" w:space="0" w:color="auto"/>
              <w:left w:val="nil"/>
              <w:bottom w:val="single" w:sz="4" w:space="0" w:color="auto"/>
              <w:right w:val="nil"/>
            </w:tcBorders>
            <w:shd w:val="clear" w:color="auto" w:fill="auto"/>
            <w:noWrap/>
            <w:vAlign w:val="center"/>
            <w:hideMark/>
          </w:tcPr>
          <w:p w14:paraId="21D532C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w:t>
            </w:r>
          </w:p>
        </w:tc>
        <w:tc>
          <w:tcPr>
            <w:tcW w:w="475" w:type="pct"/>
            <w:tcBorders>
              <w:top w:val="single" w:sz="4" w:space="0" w:color="auto"/>
              <w:left w:val="nil"/>
              <w:bottom w:val="single" w:sz="4" w:space="0" w:color="auto"/>
              <w:right w:val="nil"/>
            </w:tcBorders>
            <w:shd w:val="clear" w:color="auto" w:fill="auto"/>
            <w:noWrap/>
            <w:vAlign w:val="center"/>
            <w:hideMark/>
          </w:tcPr>
          <w:p w14:paraId="0B0AC29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43</w:t>
            </w:r>
          </w:p>
        </w:tc>
        <w:tc>
          <w:tcPr>
            <w:tcW w:w="697" w:type="pct"/>
            <w:tcBorders>
              <w:top w:val="single" w:sz="4" w:space="0" w:color="auto"/>
              <w:left w:val="nil"/>
              <w:bottom w:val="single" w:sz="4" w:space="0" w:color="auto"/>
              <w:right w:val="nil"/>
            </w:tcBorders>
            <w:shd w:val="clear" w:color="auto" w:fill="auto"/>
            <w:noWrap/>
            <w:vAlign w:val="center"/>
            <w:hideMark/>
          </w:tcPr>
          <w:p w14:paraId="36D88FD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0,05</w:t>
            </w:r>
          </w:p>
        </w:tc>
        <w:tc>
          <w:tcPr>
            <w:tcW w:w="681" w:type="pct"/>
            <w:tcBorders>
              <w:top w:val="single" w:sz="4" w:space="0" w:color="auto"/>
              <w:left w:val="nil"/>
              <w:bottom w:val="single" w:sz="4" w:space="0" w:color="auto"/>
              <w:right w:val="nil"/>
            </w:tcBorders>
            <w:shd w:val="clear" w:color="auto" w:fill="auto"/>
            <w:noWrap/>
            <w:vAlign w:val="center"/>
            <w:hideMark/>
          </w:tcPr>
          <w:p w14:paraId="2D14368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0,32</w:t>
            </w:r>
          </w:p>
        </w:tc>
        <w:tc>
          <w:tcPr>
            <w:tcW w:w="793" w:type="pct"/>
            <w:tcBorders>
              <w:top w:val="single" w:sz="4" w:space="0" w:color="auto"/>
              <w:left w:val="nil"/>
              <w:bottom w:val="single" w:sz="4" w:space="0" w:color="auto"/>
              <w:right w:val="nil"/>
            </w:tcBorders>
            <w:shd w:val="clear" w:color="auto" w:fill="auto"/>
            <w:noWrap/>
            <w:vAlign w:val="center"/>
            <w:hideMark/>
          </w:tcPr>
          <w:p w14:paraId="7B7BBA3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343.077</w:t>
            </w:r>
          </w:p>
        </w:tc>
      </w:tr>
      <w:tr w:rsidR="006356F1" w:rsidRPr="00822E74" w14:paraId="5E19BC80"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884FF49"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13 </w:t>
            </w:r>
          </w:p>
        </w:tc>
        <w:tc>
          <w:tcPr>
            <w:tcW w:w="366" w:type="pct"/>
            <w:tcBorders>
              <w:top w:val="single" w:sz="4" w:space="0" w:color="auto"/>
              <w:left w:val="nil"/>
              <w:bottom w:val="single" w:sz="4" w:space="0" w:color="auto"/>
              <w:right w:val="nil"/>
            </w:tcBorders>
            <w:shd w:val="clear" w:color="auto" w:fill="auto"/>
            <w:noWrap/>
            <w:vAlign w:val="center"/>
            <w:hideMark/>
          </w:tcPr>
          <w:p w14:paraId="714258E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54</w:t>
            </w:r>
          </w:p>
        </w:tc>
        <w:tc>
          <w:tcPr>
            <w:tcW w:w="368" w:type="pct"/>
            <w:tcBorders>
              <w:top w:val="single" w:sz="4" w:space="0" w:color="auto"/>
              <w:left w:val="nil"/>
              <w:bottom w:val="single" w:sz="4" w:space="0" w:color="auto"/>
              <w:right w:val="nil"/>
            </w:tcBorders>
            <w:shd w:val="clear" w:color="auto" w:fill="auto"/>
            <w:noWrap/>
            <w:vAlign w:val="center"/>
            <w:hideMark/>
          </w:tcPr>
          <w:p w14:paraId="1959776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55</w:t>
            </w:r>
          </w:p>
        </w:tc>
        <w:tc>
          <w:tcPr>
            <w:tcW w:w="326" w:type="pct"/>
            <w:tcBorders>
              <w:top w:val="single" w:sz="4" w:space="0" w:color="auto"/>
              <w:left w:val="nil"/>
              <w:bottom w:val="single" w:sz="4" w:space="0" w:color="auto"/>
              <w:right w:val="nil"/>
            </w:tcBorders>
            <w:shd w:val="clear" w:color="auto" w:fill="auto"/>
            <w:noWrap/>
            <w:vAlign w:val="center"/>
            <w:hideMark/>
          </w:tcPr>
          <w:p w14:paraId="18466A0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57</w:t>
            </w:r>
          </w:p>
        </w:tc>
        <w:tc>
          <w:tcPr>
            <w:tcW w:w="326" w:type="pct"/>
            <w:tcBorders>
              <w:top w:val="single" w:sz="4" w:space="0" w:color="auto"/>
              <w:left w:val="nil"/>
              <w:bottom w:val="single" w:sz="4" w:space="0" w:color="auto"/>
              <w:right w:val="nil"/>
            </w:tcBorders>
            <w:shd w:val="clear" w:color="auto" w:fill="auto"/>
            <w:noWrap/>
            <w:vAlign w:val="center"/>
            <w:hideMark/>
          </w:tcPr>
          <w:p w14:paraId="605E96E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55</w:t>
            </w:r>
          </w:p>
        </w:tc>
        <w:tc>
          <w:tcPr>
            <w:tcW w:w="475" w:type="pct"/>
            <w:tcBorders>
              <w:top w:val="single" w:sz="4" w:space="0" w:color="auto"/>
              <w:left w:val="nil"/>
              <w:bottom w:val="single" w:sz="4" w:space="0" w:color="auto"/>
              <w:right w:val="nil"/>
            </w:tcBorders>
            <w:shd w:val="clear" w:color="auto" w:fill="auto"/>
            <w:noWrap/>
            <w:vAlign w:val="center"/>
            <w:hideMark/>
          </w:tcPr>
          <w:p w14:paraId="27D058F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55</w:t>
            </w:r>
          </w:p>
        </w:tc>
        <w:tc>
          <w:tcPr>
            <w:tcW w:w="697" w:type="pct"/>
            <w:tcBorders>
              <w:top w:val="single" w:sz="4" w:space="0" w:color="auto"/>
              <w:left w:val="nil"/>
              <w:bottom w:val="single" w:sz="4" w:space="0" w:color="auto"/>
              <w:right w:val="nil"/>
            </w:tcBorders>
            <w:shd w:val="clear" w:color="auto" w:fill="auto"/>
            <w:noWrap/>
            <w:vAlign w:val="center"/>
            <w:hideMark/>
          </w:tcPr>
          <w:p w14:paraId="7EF1B9E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0,06</w:t>
            </w:r>
          </w:p>
        </w:tc>
        <w:tc>
          <w:tcPr>
            <w:tcW w:w="681" w:type="pct"/>
            <w:tcBorders>
              <w:top w:val="single" w:sz="4" w:space="0" w:color="auto"/>
              <w:left w:val="nil"/>
              <w:bottom w:val="single" w:sz="4" w:space="0" w:color="auto"/>
              <w:right w:val="nil"/>
            </w:tcBorders>
            <w:shd w:val="clear" w:color="auto" w:fill="auto"/>
            <w:noWrap/>
            <w:vAlign w:val="center"/>
            <w:hideMark/>
          </w:tcPr>
          <w:p w14:paraId="1A76636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0,36</w:t>
            </w:r>
          </w:p>
        </w:tc>
        <w:tc>
          <w:tcPr>
            <w:tcW w:w="793" w:type="pct"/>
            <w:tcBorders>
              <w:top w:val="single" w:sz="4" w:space="0" w:color="auto"/>
              <w:left w:val="nil"/>
              <w:bottom w:val="single" w:sz="4" w:space="0" w:color="auto"/>
              <w:right w:val="nil"/>
            </w:tcBorders>
            <w:shd w:val="clear" w:color="auto" w:fill="auto"/>
            <w:noWrap/>
            <w:vAlign w:val="center"/>
            <w:hideMark/>
          </w:tcPr>
          <w:p w14:paraId="4AD164E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301.923</w:t>
            </w:r>
          </w:p>
        </w:tc>
      </w:tr>
      <w:tr w:rsidR="006356F1" w:rsidRPr="00822E74" w14:paraId="26DC1C24"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C6163A0"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14 </w:t>
            </w:r>
          </w:p>
        </w:tc>
        <w:tc>
          <w:tcPr>
            <w:tcW w:w="366" w:type="pct"/>
            <w:tcBorders>
              <w:top w:val="single" w:sz="4" w:space="0" w:color="auto"/>
              <w:left w:val="nil"/>
              <w:bottom w:val="single" w:sz="4" w:space="0" w:color="auto"/>
              <w:right w:val="nil"/>
            </w:tcBorders>
            <w:shd w:val="clear" w:color="auto" w:fill="auto"/>
            <w:noWrap/>
            <w:vAlign w:val="center"/>
            <w:hideMark/>
          </w:tcPr>
          <w:p w14:paraId="5F37C4E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411</w:t>
            </w:r>
          </w:p>
        </w:tc>
        <w:tc>
          <w:tcPr>
            <w:tcW w:w="368" w:type="pct"/>
            <w:tcBorders>
              <w:top w:val="single" w:sz="4" w:space="0" w:color="auto"/>
              <w:left w:val="nil"/>
              <w:bottom w:val="single" w:sz="4" w:space="0" w:color="auto"/>
              <w:right w:val="nil"/>
            </w:tcBorders>
            <w:shd w:val="clear" w:color="auto" w:fill="auto"/>
            <w:noWrap/>
            <w:vAlign w:val="center"/>
            <w:hideMark/>
          </w:tcPr>
          <w:p w14:paraId="798961E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436</w:t>
            </w:r>
          </w:p>
        </w:tc>
        <w:tc>
          <w:tcPr>
            <w:tcW w:w="326" w:type="pct"/>
            <w:tcBorders>
              <w:top w:val="single" w:sz="4" w:space="0" w:color="auto"/>
              <w:left w:val="nil"/>
              <w:bottom w:val="single" w:sz="4" w:space="0" w:color="auto"/>
              <w:right w:val="nil"/>
            </w:tcBorders>
            <w:shd w:val="clear" w:color="auto" w:fill="auto"/>
            <w:noWrap/>
            <w:vAlign w:val="center"/>
            <w:hideMark/>
          </w:tcPr>
          <w:p w14:paraId="267CC2A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399</w:t>
            </w:r>
          </w:p>
        </w:tc>
        <w:tc>
          <w:tcPr>
            <w:tcW w:w="326" w:type="pct"/>
            <w:tcBorders>
              <w:top w:val="single" w:sz="4" w:space="0" w:color="auto"/>
              <w:left w:val="nil"/>
              <w:bottom w:val="single" w:sz="4" w:space="0" w:color="auto"/>
              <w:right w:val="nil"/>
            </w:tcBorders>
            <w:shd w:val="clear" w:color="auto" w:fill="auto"/>
            <w:noWrap/>
            <w:vAlign w:val="center"/>
            <w:hideMark/>
          </w:tcPr>
          <w:p w14:paraId="1B44CA0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324</w:t>
            </w:r>
          </w:p>
        </w:tc>
        <w:tc>
          <w:tcPr>
            <w:tcW w:w="475" w:type="pct"/>
            <w:tcBorders>
              <w:top w:val="single" w:sz="4" w:space="0" w:color="auto"/>
              <w:left w:val="nil"/>
              <w:bottom w:val="single" w:sz="4" w:space="0" w:color="auto"/>
              <w:right w:val="nil"/>
            </w:tcBorders>
            <w:shd w:val="clear" w:color="auto" w:fill="auto"/>
            <w:noWrap/>
            <w:vAlign w:val="center"/>
            <w:hideMark/>
          </w:tcPr>
          <w:p w14:paraId="39063E7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393</w:t>
            </w:r>
          </w:p>
        </w:tc>
        <w:tc>
          <w:tcPr>
            <w:tcW w:w="697" w:type="pct"/>
            <w:tcBorders>
              <w:top w:val="single" w:sz="4" w:space="0" w:color="auto"/>
              <w:left w:val="nil"/>
              <w:bottom w:val="single" w:sz="4" w:space="0" w:color="auto"/>
              <w:right w:val="nil"/>
            </w:tcBorders>
            <w:shd w:val="clear" w:color="auto" w:fill="auto"/>
            <w:noWrap/>
            <w:vAlign w:val="center"/>
            <w:hideMark/>
          </w:tcPr>
          <w:p w14:paraId="3F97144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0,45</w:t>
            </w:r>
          </w:p>
        </w:tc>
        <w:tc>
          <w:tcPr>
            <w:tcW w:w="681" w:type="pct"/>
            <w:tcBorders>
              <w:top w:val="single" w:sz="4" w:space="0" w:color="auto"/>
              <w:left w:val="nil"/>
              <w:bottom w:val="single" w:sz="4" w:space="0" w:color="auto"/>
              <w:right w:val="nil"/>
            </w:tcBorders>
            <w:shd w:val="clear" w:color="auto" w:fill="auto"/>
            <w:noWrap/>
            <w:vAlign w:val="center"/>
            <w:hideMark/>
          </w:tcPr>
          <w:p w14:paraId="21F0BDD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2,56</w:t>
            </w:r>
          </w:p>
        </w:tc>
        <w:tc>
          <w:tcPr>
            <w:tcW w:w="793" w:type="pct"/>
            <w:tcBorders>
              <w:top w:val="single" w:sz="4" w:space="0" w:color="auto"/>
              <w:left w:val="nil"/>
              <w:bottom w:val="single" w:sz="4" w:space="0" w:color="auto"/>
              <w:right w:val="nil"/>
            </w:tcBorders>
            <w:shd w:val="clear" w:color="auto" w:fill="auto"/>
            <w:noWrap/>
            <w:vAlign w:val="center"/>
            <w:hideMark/>
          </w:tcPr>
          <w:p w14:paraId="2BB055E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300.563</w:t>
            </w:r>
          </w:p>
        </w:tc>
      </w:tr>
      <w:tr w:rsidR="006356F1" w:rsidRPr="00822E74" w14:paraId="752F926F"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53064C5"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15 </w:t>
            </w:r>
          </w:p>
        </w:tc>
        <w:tc>
          <w:tcPr>
            <w:tcW w:w="366" w:type="pct"/>
            <w:tcBorders>
              <w:top w:val="single" w:sz="4" w:space="0" w:color="auto"/>
              <w:left w:val="nil"/>
              <w:bottom w:val="single" w:sz="4" w:space="0" w:color="auto"/>
              <w:right w:val="nil"/>
            </w:tcBorders>
            <w:shd w:val="clear" w:color="auto" w:fill="auto"/>
            <w:noWrap/>
            <w:vAlign w:val="center"/>
            <w:hideMark/>
          </w:tcPr>
          <w:p w14:paraId="0C96D5A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70</w:t>
            </w:r>
          </w:p>
        </w:tc>
        <w:tc>
          <w:tcPr>
            <w:tcW w:w="368" w:type="pct"/>
            <w:tcBorders>
              <w:top w:val="single" w:sz="4" w:space="0" w:color="auto"/>
              <w:left w:val="nil"/>
              <w:bottom w:val="single" w:sz="4" w:space="0" w:color="auto"/>
              <w:right w:val="nil"/>
            </w:tcBorders>
            <w:shd w:val="clear" w:color="auto" w:fill="auto"/>
            <w:noWrap/>
            <w:vAlign w:val="center"/>
            <w:hideMark/>
          </w:tcPr>
          <w:p w14:paraId="118F135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68</w:t>
            </w:r>
          </w:p>
        </w:tc>
        <w:tc>
          <w:tcPr>
            <w:tcW w:w="326" w:type="pct"/>
            <w:tcBorders>
              <w:top w:val="single" w:sz="4" w:space="0" w:color="auto"/>
              <w:left w:val="nil"/>
              <w:bottom w:val="single" w:sz="4" w:space="0" w:color="auto"/>
              <w:right w:val="nil"/>
            </w:tcBorders>
            <w:shd w:val="clear" w:color="auto" w:fill="auto"/>
            <w:noWrap/>
            <w:vAlign w:val="center"/>
            <w:hideMark/>
          </w:tcPr>
          <w:p w14:paraId="38E6399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78</w:t>
            </w:r>
          </w:p>
        </w:tc>
        <w:tc>
          <w:tcPr>
            <w:tcW w:w="326" w:type="pct"/>
            <w:tcBorders>
              <w:top w:val="single" w:sz="4" w:space="0" w:color="auto"/>
              <w:left w:val="nil"/>
              <w:bottom w:val="single" w:sz="4" w:space="0" w:color="auto"/>
              <w:right w:val="nil"/>
            </w:tcBorders>
            <w:shd w:val="clear" w:color="auto" w:fill="auto"/>
            <w:noWrap/>
            <w:vAlign w:val="center"/>
            <w:hideMark/>
          </w:tcPr>
          <w:p w14:paraId="733B294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74</w:t>
            </w:r>
          </w:p>
        </w:tc>
        <w:tc>
          <w:tcPr>
            <w:tcW w:w="475" w:type="pct"/>
            <w:tcBorders>
              <w:top w:val="single" w:sz="4" w:space="0" w:color="auto"/>
              <w:left w:val="nil"/>
              <w:bottom w:val="single" w:sz="4" w:space="0" w:color="auto"/>
              <w:right w:val="nil"/>
            </w:tcBorders>
            <w:shd w:val="clear" w:color="auto" w:fill="auto"/>
            <w:noWrap/>
            <w:vAlign w:val="center"/>
            <w:hideMark/>
          </w:tcPr>
          <w:p w14:paraId="3FAC163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73</w:t>
            </w:r>
          </w:p>
        </w:tc>
        <w:tc>
          <w:tcPr>
            <w:tcW w:w="697" w:type="pct"/>
            <w:tcBorders>
              <w:top w:val="single" w:sz="4" w:space="0" w:color="auto"/>
              <w:left w:val="nil"/>
              <w:bottom w:val="single" w:sz="4" w:space="0" w:color="auto"/>
              <w:right w:val="nil"/>
            </w:tcBorders>
            <w:shd w:val="clear" w:color="auto" w:fill="auto"/>
            <w:noWrap/>
            <w:vAlign w:val="center"/>
            <w:hideMark/>
          </w:tcPr>
          <w:p w14:paraId="47DDDC8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0,08</w:t>
            </w:r>
          </w:p>
        </w:tc>
        <w:tc>
          <w:tcPr>
            <w:tcW w:w="681" w:type="pct"/>
            <w:tcBorders>
              <w:top w:val="single" w:sz="4" w:space="0" w:color="auto"/>
              <w:left w:val="nil"/>
              <w:bottom w:val="single" w:sz="4" w:space="0" w:color="auto"/>
              <w:right w:val="nil"/>
            </w:tcBorders>
            <w:shd w:val="clear" w:color="auto" w:fill="auto"/>
            <w:noWrap/>
            <w:vAlign w:val="center"/>
            <w:hideMark/>
          </w:tcPr>
          <w:p w14:paraId="256213F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0,41</w:t>
            </w:r>
          </w:p>
        </w:tc>
        <w:tc>
          <w:tcPr>
            <w:tcW w:w="793" w:type="pct"/>
            <w:tcBorders>
              <w:top w:val="single" w:sz="4" w:space="0" w:color="auto"/>
              <w:left w:val="nil"/>
              <w:bottom w:val="single" w:sz="4" w:space="0" w:color="auto"/>
              <w:right w:val="nil"/>
            </w:tcBorders>
            <w:shd w:val="clear" w:color="auto" w:fill="auto"/>
            <w:noWrap/>
            <w:vAlign w:val="center"/>
            <w:hideMark/>
          </w:tcPr>
          <w:p w14:paraId="3EA5AEC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259.167</w:t>
            </w:r>
          </w:p>
        </w:tc>
      </w:tr>
      <w:tr w:rsidR="006356F1" w:rsidRPr="00822E74" w14:paraId="5D2FCE57"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3D11B3B8"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16 </w:t>
            </w:r>
          </w:p>
        </w:tc>
        <w:tc>
          <w:tcPr>
            <w:tcW w:w="366" w:type="pct"/>
            <w:tcBorders>
              <w:top w:val="single" w:sz="4" w:space="0" w:color="auto"/>
              <w:left w:val="nil"/>
              <w:bottom w:val="single" w:sz="4" w:space="0" w:color="auto"/>
              <w:right w:val="nil"/>
            </w:tcBorders>
            <w:shd w:val="clear" w:color="auto" w:fill="auto"/>
            <w:noWrap/>
            <w:vAlign w:val="center"/>
            <w:hideMark/>
          </w:tcPr>
          <w:p w14:paraId="6B287C5F" w14:textId="77777777" w:rsidR="006356F1" w:rsidRPr="00822E74" w:rsidRDefault="006356F1" w:rsidP="00217400">
            <w:pPr>
              <w:jc w:val="right"/>
              <w:rPr>
                <w:rFonts w:ascii="Arial" w:hAnsi="Arial" w:cs="Arial"/>
                <w:color w:val="000000"/>
                <w:sz w:val="20"/>
              </w:rPr>
            </w:pPr>
          </w:p>
        </w:tc>
        <w:tc>
          <w:tcPr>
            <w:tcW w:w="368" w:type="pct"/>
            <w:tcBorders>
              <w:top w:val="single" w:sz="4" w:space="0" w:color="auto"/>
              <w:left w:val="nil"/>
              <w:bottom w:val="single" w:sz="4" w:space="0" w:color="auto"/>
              <w:right w:val="nil"/>
            </w:tcBorders>
            <w:shd w:val="clear" w:color="auto" w:fill="auto"/>
            <w:noWrap/>
            <w:vAlign w:val="center"/>
            <w:hideMark/>
          </w:tcPr>
          <w:p w14:paraId="0B38433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59</w:t>
            </w:r>
          </w:p>
        </w:tc>
        <w:tc>
          <w:tcPr>
            <w:tcW w:w="326" w:type="pct"/>
            <w:tcBorders>
              <w:top w:val="single" w:sz="4" w:space="0" w:color="auto"/>
              <w:left w:val="nil"/>
              <w:bottom w:val="single" w:sz="4" w:space="0" w:color="auto"/>
              <w:right w:val="nil"/>
            </w:tcBorders>
            <w:shd w:val="clear" w:color="auto" w:fill="auto"/>
            <w:noWrap/>
            <w:vAlign w:val="center"/>
            <w:hideMark/>
          </w:tcPr>
          <w:p w14:paraId="08788FB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51</w:t>
            </w:r>
          </w:p>
        </w:tc>
        <w:tc>
          <w:tcPr>
            <w:tcW w:w="326" w:type="pct"/>
            <w:tcBorders>
              <w:top w:val="single" w:sz="4" w:space="0" w:color="auto"/>
              <w:left w:val="nil"/>
              <w:bottom w:val="single" w:sz="4" w:space="0" w:color="auto"/>
              <w:right w:val="nil"/>
            </w:tcBorders>
            <w:shd w:val="clear" w:color="auto" w:fill="auto"/>
            <w:noWrap/>
            <w:vAlign w:val="center"/>
            <w:hideMark/>
          </w:tcPr>
          <w:p w14:paraId="142F4D49" w14:textId="77777777" w:rsidR="006356F1" w:rsidRPr="00822E74" w:rsidRDefault="006356F1" w:rsidP="00217400">
            <w:pPr>
              <w:jc w:val="right"/>
              <w:rPr>
                <w:rFonts w:ascii="Arial" w:hAnsi="Arial" w:cs="Arial"/>
                <w:color w:val="000000"/>
                <w:sz w:val="20"/>
              </w:rPr>
            </w:pPr>
          </w:p>
        </w:tc>
        <w:tc>
          <w:tcPr>
            <w:tcW w:w="475" w:type="pct"/>
            <w:tcBorders>
              <w:top w:val="single" w:sz="4" w:space="0" w:color="auto"/>
              <w:left w:val="nil"/>
              <w:bottom w:val="single" w:sz="4" w:space="0" w:color="auto"/>
              <w:right w:val="nil"/>
            </w:tcBorders>
            <w:shd w:val="clear" w:color="auto" w:fill="auto"/>
            <w:noWrap/>
            <w:vAlign w:val="center"/>
            <w:hideMark/>
          </w:tcPr>
          <w:p w14:paraId="75B4942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55</w:t>
            </w:r>
          </w:p>
        </w:tc>
        <w:tc>
          <w:tcPr>
            <w:tcW w:w="697" w:type="pct"/>
            <w:tcBorders>
              <w:top w:val="single" w:sz="4" w:space="0" w:color="auto"/>
              <w:left w:val="nil"/>
              <w:bottom w:val="single" w:sz="4" w:space="0" w:color="auto"/>
              <w:right w:val="nil"/>
            </w:tcBorders>
            <w:shd w:val="clear" w:color="auto" w:fill="auto"/>
            <w:noWrap/>
            <w:vAlign w:val="center"/>
            <w:hideMark/>
          </w:tcPr>
          <w:p w14:paraId="2BA4839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0,06</w:t>
            </w:r>
          </w:p>
        </w:tc>
        <w:tc>
          <w:tcPr>
            <w:tcW w:w="681" w:type="pct"/>
            <w:tcBorders>
              <w:top w:val="single" w:sz="4" w:space="0" w:color="auto"/>
              <w:left w:val="nil"/>
              <w:bottom w:val="single" w:sz="4" w:space="0" w:color="auto"/>
              <w:right w:val="nil"/>
            </w:tcBorders>
            <w:shd w:val="clear" w:color="auto" w:fill="auto"/>
            <w:noWrap/>
            <w:vAlign w:val="center"/>
            <w:hideMark/>
          </w:tcPr>
          <w:p w14:paraId="615844F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0,30</w:t>
            </w:r>
          </w:p>
        </w:tc>
        <w:tc>
          <w:tcPr>
            <w:tcW w:w="793" w:type="pct"/>
            <w:tcBorders>
              <w:top w:val="single" w:sz="4" w:space="0" w:color="auto"/>
              <w:left w:val="nil"/>
              <w:bottom w:val="single" w:sz="4" w:space="0" w:color="auto"/>
              <w:right w:val="nil"/>
            </w:tcBorders>
            <w:shd w:val="clear" w:color="auto" w:fill="auto"/>
            <w:noWrap/>
            <w:vAlign w:val="center"/>
            <w:hideMark/>
          </w:tcPr>
          <w:p w14:paraId="125B8CA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249.642</w:t>
            </w:r>
          </w:p>
        </w:tc>
      </w:tr>
      <w:tr w:rsidR="006356F1" w:rsidRPr="00822E74" w14:paraId="70A384D5"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E0BBA1F"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17 </w:t>
            </w:r>
          </w:p>
        </w:tc>
        <w:tc>
          <w:tcPr>
            <w:tcW w:w="366" w:type="pct"/>
            <w:tcBorders>
              <w:top w:val="single" w:sz="4" w:space="0" w:color="auto"/>
              <w:left w:val="nil"/>
              <w:bottom w:val="single" w:sz="4" w:space="0" w:color="auto"/>
              <w:right w:val="nil"/>
            </w:tcBorders>
            <w:shd w:val="clear" w:color="auto" w:fill="auto"/>
            <w:noWrap/>
            <w:vAlign w:val="center"/>
            <w:hideMark/>
          </w:tcPr>
          <w:p w14:paraId="72EFFAE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117</w:t>
            </w:r>
          </w:p>
        </w:tc>
        <w:tc>
          <w:tcPr>
            <w:tcW w:w="368" w:type="pct"/>
            <w:tcBorders>
              <w:top w:val="single" w:sz="4" w:space="0" w:color="auto"/>
              <w:left w:val="nil"/>
              <w:bottom w:val="single" w:sz="4" w:space="0" w:color="auto"/>
              <w:right w:val="nil"/>
            </w:tcBorders>
            <w:shd w:val="clear" w:color="auto" w:fill="auto"/>
            <w:noWrap/>
            <w:vAlign w:val="center"/>
            <w:hideMark/>
          </w:tcPr>
          <w:p w14:paraId="7B7A0A6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106</w:t>
            </w:r>
          </w:p>
        </w:tc>
        <w:tc>
          <w:tcPr>
            <w:tcW w:w="326" w:type="pct"/>
            <w:tcBorders>
              <w:top w:val="single" w:sz="4" w:space="0" w:color="auto"/>
              <w:left w:val="nil"/>
              <w:bottom w:val="single" w:sz="4" w:space="0" w:color="auto"/>
              <w:right w:val="nil"/>
            </w:tcBorders>
            <w:shd w:val="clear" w:color="auto" w:fill="auto"/>
            <w:noWrap/>
            <w:vAlign w:val="center"/>
            <w:hideMark/>
          </w:tcPr>
          <w:p w14:paraId="13EDBCC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101</w:t>
            </w:r>
          </w:p>
        </w:tc>
        <w:tc>
          <w:tcPr>
            <w:tcW w:w="326" w:type="pct"/>
            <w:tcBorders>
              <w:top w:val="single" w:sz="4" w:space="0" w:color="auto"/>
              <w:left w:val="nil"/>
              <w:bottom w:val="single" w:sz="4" w:space="0" w:color="auto"/>
              <w:right w:val="nil"/>
            </w:tcBorders>
            <w:shd w:val="clear" w:color="auto" w:fill="auto"/>
            <w:noWrap/>
            <w:vAlign w:val="center"/>
            <w:hideMark/>
          </w:tcPr>
          <w:p w14:paraId="2270E4E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100</w:t>
            </w:r>
          </w:p>
        </w:tc>
        <w:tc>
          <w:tcPr>
            <w:tcW w:w="475" w:type="pct"/>
            <w:tcBorders>
              <w:top w:val="single" w:sz="4" w:space="0" w:color="auto"/>
              <w:left w:val="nil"/>
              <w:bottom w:val="single" w:sz="4" w:space="0" w:color="auto"/>
              <w:right w:val="nil"/>
            </w:tcBorders>
            <w:shd w:val="clear" w:color="auto" w:fill="auto"/>
            <w:noWrap/>
            <w:vAlign w:val="center"/>
            <w:hideMark/>
          </w:tcPr>
          <w:p w14:paraId="600A695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106</w:t>
            </w:r>
          </w:p>
        </w:tc>
        <w:tc>
          <w:tcPr>
            <w:tcW w:w="697" w:type="pct"/>
            <w:tcBorders>
              <w:top w:val="single" w:sz="4" w:space="0" w:color="auto"/>
              <w:left w:val="nil"/>
              <w:bottom w:val="single" w:sz="4" w:space="0" w:color="auto"/>
              <w:right w:val="nil"/>
            </w:tcBorders>
            <w:shd w:val="clear" w:color="auto" w:fill="auto"/>
            <w:noWrap/>
            <w:vAlign w:val="center"/>
            <w:hideMark/>
          </w:tcPr>
          <w:p w14:paraId="0A78901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0,12</w:t>
            </w:r>
          </w:p>
        </w:tc>
        <w:tc>
          <w:tcPr>
            <w:tcW w:w="681" w:type="pct"/>
            <w:tcBorders>
              <w:top w:val="single" w:sz="4" w:space="0" w:color="auto"/>
              <w:left w:val="nil"/>
              <w:bottom w:val="single" w:sz="4" w:space="0" w:color="auto"/>
              <w:right w:val="nil"/>
            </w:tcBorders>
            <w:shd w:val="clear" w:color="auto" w:fill="auto"/>
            <w:noWrap/>
            <w:vAlign w:val="center"/>
            <w:hideMark/>
          </w:tcPr>
          <w:p w14:paraId="4E3BA50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0,46</w:t>
            </w:r>
          </w:p>
        </w:tc>
        <w:tc>
          <w:tcPr>
            <w:tcW w:w="793" w:type="pct"/>
            <w:tcBorders>
              <w:top w:val="single" w:sz="4" w:space="0" w:color="auto"/>
              <w:left w:val="nil"/>
              <w:bottom w:val="single" w:sz="4" w:space="0" w:color="auto"/>
              <w:right w:val="nil"/>
            </w:tcBorders>
            <w:shd w:val="clear" w:color="auto" w:fill="auto"/>
            <w:noWrap/>
            <w:vAlign w:val="center"/>
            <w:hideMark/>
          </w:tcPr>
          <w:p w14:paraId="6136067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201.625</w:t>
            </w:r>
          </w:p>
        </w:tc>
      </w:tr>
      <w:tr w:rsidR="006356F1" w:rsidRPr="00822E74" w14:paraId="3A6C67C5"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4C2BCBA6"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18 </w:t>
            </w:r>
          </w:p>
        </w:tc>
        <w:tc>
          <w:tcPr>
            <w:tcW w:w="366" w:type="pct"/>
            <w:tcBorders>
              <w:top w:val="single" w:sz="4" w:space="0" w:color="auto"/>
              <w:left w:val="nil"/>
              <w:bottom w:val="single" w:sz="4" w:space="0" w:color="auto"/>
              <w:right w:val="nil"/>
            </w:tcBorders>
            <w:shd w:val="clear" w:color="auto" w:fill="auto"/>
            <w:noWrap/>
            <w:vAlign w:val="center"/>
            <w:hideMark/>
          </w:tcPr>
          <w:p w14:paraId="47308B4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1.868</w:t>
            </w:r>
          </w:p>
        </w:tc>
        <w:tc>
          <w:tcPr>
            <w:tcW w:w="368" w:type="pct"/>
            <w:tcBorders>
              <w:top w:val="single" w:sz="4" w:space="0" w:color="auto"/>
              <w:left w:val="nil"/>
              <w:bottom w:val="single" w:sz="4" w:space="0" w:color="auto"/>
              <w:right w:val="nil"/>
            </w:tcBorders>
            <w:shd w:val="clear" w:color="auto" w:fill="auto"/>
            <w:noWrap/>
            <w:vAlign w:val="center"/>
            <w:hideMark/>
          </w:tcPr>
          <w:p w14:paraId="2C5BF2D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1.379</w:t>
            </w:r>
          </w:p>
        </w:tc>
        <w:tc>
          <w:tcPr>
            <w:tcW w:w="326" w:type="pct"/>
            <w:tcBorders>
              <w:top w:val="single" w:sz="4" w:space="0" w:color="auto"/>
              <w:left w:val="nil"/>
              <w:bottom w:val="single" w:sz="4" w:space="0" w:color="auto"/>
              <w:right w:val="nil"/>
            </w:tcBorders>
            <w:shd w:val="clear" w:color="auto" w:fill="auto"/>
            <w:noWrap/>
            <w:vAlign w:val="center"/>
            <w:hideMark/>
          </w:tcPr>
          <w:p w14:paraId="5E7F157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1.334</w:t>
            </w:r>
          </w:p>
        </w:tc>
        <w:tc>
          <w:tcPr>
            <w:tcW w:w="326" w:type="pct"/>
            <w:tcBorders>
              <w:top w:val="single" w:sz="4" w:space="0" w:color="auto"/>
              <w:left w:val="nil"/>
              <w:bottom w:val="single" w:sz="4" w:space="0" w:color="auto"/>
              <w:right w:val="nil"/>
            </w:tcBorders>
            <w:shd w:val="clear" w:color="auto" w:fill="auto"/>
            <w:noWrap/>
            <w:vAlign w:val="center"/>
            <w:hideMark/>
          </w:tcPr>
          <w:p w14:paraId="4C67526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1.262</w:t>
            </w:r>
          </w:p>
        </w:tc>
        <w:tc>
          <w:tcPr>
            <w:tcW w:w="475" w:type="pct"/>
            <w:tcBorders>
              <w:top w:val="single" w:sz="4" w:space="0" w:color="auto"/>
              <w:left w:val="nil"/>
              <w:bottom w:val="single" w:sz="4" w:space="0" w:color="auto"/>
              <w:right w:val="nil"/>
            </w:tcBorders>
            <w:shd w:val="clear" w:color="auto" w:fill="auto"/>
            <w:noWrap/>
            <w:vAlign w:val="center"/>
            <w:hideMark/>
          </w:tcPr>
          <w:p w14:paraId="32D0B03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1.461</w:t>
            </w:r>
          </w:p>
        </w:tc>
        <w:tc>
          <w:tcPr>
            <w:tcW w:w="697" w:type="pct"/>
            <w:tcBorders>
              <w:top w:val="single" w:sz="4" w:space="0" w:color="auto"/>
              <w:left w:val="nil"/>
              <w:bottom w:val="single" w:sz="4" w:space="0" w:color="auto"/>
              <w:right w:val="nil"/>
            </w:tcBorders>
            <w:shd w:val="clear" w:color="auto" w:fill="auto"/>
            <w:noWrap/>
            <w:vAlign w:val="center"/>
            <w:hideMark/>
          </w:tcPr>
          <w:p w14:paraId="0B04879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1,69</w:t>
            </w:r>
          </w:p>
        </w:tc>
        <w:tc>
          <w:tcPr>
            <w:tcW w:w="681" w:type="pct"/>
            <w:tcBorders>
              <w:top w:val="single" w:sz="4" w:space="0" w:color="auto"/>
              <w:left w:val="nil"/>
              <w:bottom w:val="single" w:sz="4" w:space="0" w:color="auto"/>
              <w:right w:val="nil"/>
            </w:tcBorders>
            <w:shd w:val="clear" w:color="auto" w:fill="auto"/>
            <w:noWrap/>
            <w:vAlign w:val="center"/>
            <w:hideMark/>
          </w:tcPr>
          <w:p w14:paraId="47D3923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6,24</w:t>
            </w:r>
          </w:p>
        </w:tc>
        <w:tc>
          <w:tcPr>
            <w:tcW w:w="793" w:type="pct"/>
            <w:tcBorders>
              <w:top w:val="single" w:sz="4" w:space="0" w:color="auto"/>
              <w:left w:val="nil"/>
              <w:bottom w:val="single" w:sz="4" w:space="0" w:color="auto"/>
              <w:right w:val="nil"/>
            </w:tcBorders>
            <w:shd w:val="clear" w:color="auto" w:fill="auto"/>
            <w:noWrap/>
            <w:vAlign w:val="center"/>
            <w:hideMark/>
          </w:tcPr>
          <w:p w14:paraId="1A9DFFD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196.750</w:t>
            </w:r>
          </w:p>
        </w:tc>
      </w:tr>
      <w:tr w:rsidR="006356F1" w:rsidRPr="00822E74" w14:paraId="55C504F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BD5BECA"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19 </w:t>
            </w:r>
          </w:p>
        </w:tc>
        <w:tc>
          <w:tcPr>
            <w:tcW w:w="366" w:type="pct"/>
            <w:tcBorders>
              <w:top w:val="single" w:sz="4" w:space="0" w:color="auto"/>
              <w:left w:val="nil"/>
              <w:bottom w:val="single" w:sz="4" w:space="0" w:color="auto"/>
              <w:right w:val="nil"/>
            </w:tcBorders>
            <w:shd w:val="clear" w:color="auto" w:fill="auto"/>
            <w:noWrap/>
            <w:vAlign w:val="center"/>
            <w:hideMark/>
          </w:tcPr>
          <w:p w14:paraId="02053D8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150</w:t>
            </w:r>
          </w:p>
        </w:tc>
        <w:tc>
          <w:tcPr>
            <w:tcW w:w="368" w:type="pct"/>
            <w:tcBorders>
              <w:top w:val="single" w:sz="4" w:space="0" w:color="auto"/>
              <w:left w:val="nil"/>
              <w:bottom w:val="single" w:sz="4" w:space="0" w:color="auto"/>
              <w:right w:val="nil"/>
            </w:tcBorders>
            <w:shd w:val="clear" w:color="auto" w:fill="auto"/>
            <w:noWrap/>
            <w:vAlign w:val="center"/>
            <w:hideMark/>
          </w:tcPr>
          <w:p w14:paraId="1E15238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192</w:t>
            </w:r>
          </w:p>
        </w:tc>
        <w:tc>
          <w:tcPr>
            <w:tcW w:w="326" w:type="pct"/>
            <w:tcBorders>
              <w:top w:val="single" w:sz="4" w:space="0" w:color="auto"/>
              <w:left w:val="nil"/>
              <w:bottom w:val="single" w:sz="4" w:space="0" w:color="auto"/>
              <w:right w:val="nil"/>
            </w:tcBorders>
            <w:shd w:val="clear" w:color="auto" w:fill="auto"/>
            <w:noWrap/>
            <w:vAlign w:val="center"/>
            <w:hideMark/>
          </w:tcPr>
          <w:p w14:paraId="2C01C01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198</w:t>
            </w:r>
          </w:p>
        </w:tc>
        <w:tc>
          <w:tcPr>
            <w:tcW w:w="326" w:type="pct"/>
            <w:tcBorders>
              <w:top w:val="single" w:sz="4" w:space="0" w:color="auto"/>
              <w:left w:val="nil"/>
              <w:bottom w:val="single" w:sz="4" w:space="0" w:color="auto"/>
              <w:right w:val="nil"/>
            </w:tcBorders>
            <w:shd w:val="clear" w:color="auto" w:fill="auto"/>
            <w:noWrap/>
            <w:vAlign w:val="center"/>
            <w:hideMark/>
          </w:tcPr>
          <w:p w14:paraId="5A32804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194</w:t>
            </w:r>
          </w:p>
        </w:tc>
        <w:tc>
          <w:tcPr>
            <w:tcW w:w="475" w:type="pct"/>
            <w:tcBorders>
              <w:top w:val="single" w:sz="4" w:space="0" w:color="auto"/>
              <w:left w:val="nil"/>
              <w:bottom w:val="single" w:sz="4" w:space="0" w:color="auto"/>
              <w:right w:val="nil"/>
            </w:tcBorders>
            <w:shd w:val="clear" w:color="auto" w:fill="auto"/>
            <w:noWrap/>
            <w:vAlign w:val="center"/>
            <w:hideMark/>
          </w:tcPr>
          <w:p w14:paraId="5E70FD4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184</w:t>
            </w:r>
          </w:p>
        </w:tc>
        <w:tc>
          <w:tcPr>
            <w:tcW w:w="697" w:type="pct"/>
            <w:tcBorders>
              <w:top w:val="single" w:sz="4" w:space="0" w:color="auto"/>
              <w:left w:val="nil"/>
              <w:bottom w:val="single" w:sz="4" w:space="0" w:color="auto"/>
              <w:right w:val="nil"/>
            </w:tcBorders>
            <w:shd w:val="clear" w:color="auto" w:fill="auto"/>
            <w:noWrap/>
            <w:vAlign w:val="center"/>
            <w:hideMark/>
          </w:tcPr>
          <w:p w14:paraId="2FB1C84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0,21</w:t>
            </w:r>
          </w:p>
        </w:tc>
        <w:tc>
          <w:tcPr>
            <w:tcW w:w="681" w:type="pct"/>
            <w:tcBorders>
              <w:top w:val="single" w:sz="4" w:space="0" w:color="auto"/>
              <w:left w:val="nil"/>
              <w:bottom w:val="single" w:sz="4" w:space="0" w:color="auto"/>
              <w:right w:val="nil"/>
            </w:tcBorders>
            <w:shd w:val="clear" w:color="auto" w:fill="auto"/>
            <w:noWrap/>
            <w:vAlign w:val="center"/>
            <w:hideMark/>
          </w:tcPr>
          <w:p w14:paraId="525C9E0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0,77</w:t>
            </w:r>
          </w:p>
        </w:tc>
        <w:tc>
          <w:tcPr>
            <w:tcW w:w="793" w:type="pct"/>
            <w:tcBorders>
              <w:top w:val="single" w:sz="4" w:space="0" w:color="auto"/>
              <w:left w:val="nil"/>
              <w:bottom w:val="single" w:sz="4" w:space="0" w:color="auto"/>
              <w:right w:val="nil"/>
            </w:tcBorders>
            <w:shd w:val="clear" w:color="auto" w:fill="auto"/>
            <w:noWrap/>
            <w:vAlign w:val="center"/>
            <w:hideMark/>
          </w:tcPr>
          <w:p w14:paraId="4626B39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192.224</w:t>
            </w:r>
          </w:p>
        </w:tc>
      </w:tr>
      <w:tr w:rsidR="006356F1" w:rsidRPr="00822E74" w14:paraId="35C62175"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25C78C3"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20 </w:t>
            </w:r>
          </w:p>
        </w:tc>
        <w:tc>
          <w:tcPr>
            <w:tcW w:w="366" w:type="pct"/>
            <w:tcBorders>
              <w:top w:val="single" w:sz="4" w:space="0" w:color="auto"/>
              <w:left w:val="nil"/>
              <w:bottom w:val="single" w:sz="4" w:space="0" w:color="auto"/>
              <w:right w:val="nil"/>
            </w:tcBorders>
            <w:shd w:val="clear" w:color="auto" w:fill="auto"/>
            <w:noWrap/>
            <w:vAlign w:val="center"/>
            <w:hideMark/>
          </w:tcPr>
          <w:p w14:paraId="30917C1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151</w:t>
            </w:r>
          </w:p>
        </w:tc>
        <w:tc>
          <w:tcPr>
            <w:tcW w:w="368" w:type="pct"/>
            <w:tcBorders>
              <w:top w:val="single" w:sz="4" w:space="0" w:color="auto"/>
              <w:left w:val="nil"/>
              <w:bottom w:val="single" w:sz="4" w:space="0" w:color="auto"/>
              <w:right w:val="nil"/>
            </w:tcBorders>
            <w:shd w:val="clear" w:color="auto" w:fill="auto"/>
            <w:noWrap/>
            <w:vAlign w:val="center"/>
            <w:hideMark/>
          </w:tcPr>
          <w:p w14:paraId="5851B75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153</w:t>
            </w:r>
          </w:p>
        </w:tc>
        <w:tc>
          <w:tcPr>
            <w:tcW w:w="326" w:type="pct"/>
            <w:tcBorders>
              <w:top w:val="single" w:sz="4" w:space="0" w:color="auto"/>
              <w:left w:val="nil"/>
              <w:bottom w:val="single" w:sz="4" w:space="0" w:color="auto"/>
              <w:right w:val="nil"/>
            </w:tcBorders>
            <w:shd w:val="clear" w:color="auto" w:fill="auto"/>
            <w:noWrap/>
            <w:vAlign w:val="center"/>
            <w:hideMark/>
          </w:tcPr>
          <w:p w14:paraId="51F2D48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152</w:t>
            </w:r>
          </w:p>
        </w:tc>
        <w:tc>
          <w:tcPr>
            <w:tcW w:w="326" w:type="pct"/>
            <w:tcBorders>
              <w:top w:val="single" w:sz="4" w:space="0" w:color="auto"/>
              <w:left w:val="nil"/>
              <w:bottom w:val="single" w:sz="4" w:space="0" w:color="auto"/>
              <w:right w:val="nil"/>
            </w:tcBorders>
            <w:shd w:val="clear" w:color="auto" w:fill="auto"/>
            <w:noWrap/>
            <w:vAlign w:val="center"/>
            <w:hideMark/>
          </w:tcPr>
          <w:p w14:paraId="6BCF1B2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154</w:t>
            </w:r>
          </w:p>
        </w:tc>
        <w:tc>
          <w:tcPr>
            <w:tcW w:w="475" w:type="pct"/>
            <w:tcBorders>
              <w:top w:val="single" w:sz="4" w:space="0" w:color="auto"/>
              <w:left w:val="nil"/>
              <w:bottom w:val="single" w:sz="4" w:space="0" w:color="auto"/>
              <w:right w:val="nil"/>
            </w:tcBorders>
            <w:shd w:val="clear" w:color="auto" w:fill="auto"/>
            <w:noWrap/>
            <w:vAlign w:val="center"/>
            <w:hideMark/>
          </w:tcPr>
          <w:p w14:paraId="03525DA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153</w:t>
            </w:r>
          </w:p>
        </w:tc>
        <w:tc>
          <w:tcPr>
            <w:tcW w:w="697" w:type="pct"/>
            <w:tcBorders>
              <w:top w:val="single" w:sz="4" w:space="0" w:color="auto"/>
              <w:left w:val="nil"/>
              <w:bottom w:val="single" w:sz="4" w:space="0" w:color="auto"/>
              <w:right w:val="nil"/>
            </w:tcBorders>
            <w:shd w:val="clear" w:color="auto" w:fill="auto"/>
            <w:noWrap/>
            <w:vAlign w:val="center"/>
            <w:hideMark/>
          </w:tcPr>
          <w:p w14:paraId="09E05E8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0,18</w:t>
            </w:r>
          </w:p>
        </w:tc>
        <w:tc>
          <w:tcPr>
            <w:tcW w:w="681" w:type="pct"/>
            <w:tcBorders>
              <w:top w:val="single" w:sz="4" w:space="0" w:color="auto"/>
              <w:left w:val="nil"/>
              <w:bottom w:val="single" w:sz="4" w:space="0" w:color="auto"/>
              <w:right w:val="nil"/>
            </w:tcBorders>
            <w:shd w:val="clear" w:color="auto" w:fill="auto"/>
            <w:noWrap/>
            <w:vAlign w:val="center"/>
            <w:hideMark/>
          </w:tcPr>
          <w:p w14:paraId="7F97797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0,59</w:t>
            </w:r>
          </w:p>
        </w:tc>
        <w:tc>
          <w:tcPr>
            <w:tcW w:w="793" w:type="pct"/>
            <w:tcBorders>
              <w:top w:val="single" w:sz="4" w:space="0" w:color="auto"/>
              <w:left w:val="nil"/>
              <w:bottom w:val="single" w:sz="4" w:space="0" w:color="auto"/>
              <w:right w:val="nil"/>
            </w:tcBorders>
            <w:shd w:val="clear" w:color="auto" w:fill="auto"/>
            <w:noWrap/>
            <w:vAlign w:val="center"/>
            <w:hideMark/>
          </w:tcPr>
          <w:p w14:paraId="711B0CC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179.429</w:t>
            </w:r>
          </w:p>
        </w:tc>
      </w:tr>
      <w:tr w:rsidR="006356F1" w:rsidRPr="00822E74" w14:paraId="5AB5811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CFE6664"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21 </w:t>
            </w:r>
          </w:p>
        </w:tc>
        <w:tc>
          <w:tcPr>
            <w:tcW w:w="366" w:type="pct"/>
            <w:tcBorders>
              <w:top w:val="single" w:sz="4" w:space="0" w:color="auto"/>
              <w:left w:val="nil"/>
              <w:bottom w:val="single" w:sz="4" w:space="0" w:color="auto"/>
              <w:right w:val="nil"/>
            </w:tcBorders>
            <w:shd w:val="clear" w:color="auto" w:fill="auto"/>
            <w:noWrap/>
            <w:vAlign w:val="center"/>
            <w:hideMark/>
          </w:tcPr>
          <w:p w14:paraId="16AAB87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825</w:t>
            </w:r>
          </w:p>
        </w:tc>
        <w:tc>
          <w:tcPr>
            <w:tcW w:w="368" w:type="pct"/>
            <w:tcBorders>
              <w:top w:val="single" w:sz="4" w:space="0" w:color="auto"/>
              <w:left w:val="nil"/>
              <w:bottom w:val="single" w:sz="4" w:space="0" w:color="auto"/>
              <w:right w:val="nil"/>
            </w:tcBorders>
            <w:shd w:val="clear" w:color="auto" w:fill="auto"/>
            <w:noWrap/>
            <w:vAlign w:val="center"/>
            <w:hideMark/>
          </w:tcPr>
          <w:p w14:paraId="2E7442B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784</w:t>
            </w:r>
          </w:p>
        </w:tc>
        <w:tc>
          <w:tcPr>
            <w:tcW w:w="326" w:type="pct"/>
            <w:tcBorders>
              <w:top w:val="single" w:sz="4" w:space="0" w:color="auto"/>
              <w:left w:val="nil"/>
              <w:bottom w:val="single" w:sz="4" w:space="0" w:color="auto"/>
              <w:right w:val="nil"/>
            </w:tcBorders>
            <w:shd w:val="clear" w:color="auto" w:fill="auto"/>
            <w:noWrap/>
            <w:vAlign w:val="center"/>
            <w:hideMark/>
          </w:tcPr>
          <w:p w14:paraId="3D2F4B6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711</w:t>
            </w:r>
          </w:p>
        </w:tc>
        <w:tc>
          <w:tcPr>
            <w:tcW w:w="326" w:type="pct"/>
            <w:tcBorders>
              <w:top w:val="single" w:sz="4" w:space="0" w:color="auto"/>
              <w:left w:val="nil"/>
              <w:bottom w:val="single" w:sz="4" w:space="0" w:color="auto"/>
              <w:right w:val="nil"/>
            </w:tcBorders>
            <w:shd w:val="clear" w:color="auto" w:fill="auto"/>
            <w:noWrap/>
            <w:vAlign w:val="center"/>
            <w:hideMark/>
          </w:tcPr>
          <w:p w14:paraId="5A6BA23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702</w:t>
            </w:r>
          </w:p>
        </w:tc>
        <w:tc>
          <w:tcPr>
            <w:tcW w:w="475" w:type="pct"/>
            <w:tcBorders>
              <w:top w:val="single" w:sz="4" w:space="0" w:color="auto"/>
              <w:left w:val="nil"/>
              <w:bottom w:val="single" w:sz="4" w:space="0" w:color="auto"/>
              <w:right w:val="nil"/>
            </w:tcBorders>
            <w:shd w:val="clear" w:color="auto" w:fill="auto"/>
            <w:noWrap/>
            <w:vAlign w:val="center"/>
            <w:hideMark/>
          </w:tcPr>
          <w:p w14:paraId="6E3B6AA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756</w:t>
            </w:r>
          </w:p>
        </w:tc>
        <w:tc>
          <w:tcPr>
            <w:tcW w:w="697" w:type="pct"/>
            <w:tcBorders>
              <w:top w:val="single" w:sz="4" w:space="0" w:color="auto"/>
              <w:left w:val="nil"/>
              <w:bottom w:val="single" w:sz="4" w:space="0" w:color="auto"/>
              <w:right w:val="nil"/>
            </w:tcBorders>
            <w:shd w:val="clear" w:color="auto" w:fill="auto"/>
            <w:noWrap/>
            <w:vAlign w:val="center"/>
            <w:hideMark/>
          </w:tcPr>
          <w:p w14:paraId="7878665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0,87</w:t>
            </w:r>
          </w:p>
        </w:tc>
        <w:tc>
          <w:tcPr>
            <w:tcW w:w="681" w:type="pct"/>
            <w:tcBorders>
              <w:top w:val="single" w:sz="4" w:space="0" w:color="auto"/>
              <w:left w:val="nil"/>
              <w:bottom w:val="single" w:sz="4" w:space="0" w:color="auto"/>
              <w:right w:val="nil"/>
            </w:tcBorders>
            <w:shd w:val="clear" w:color="auto" w:fill="auto"/>
            <w:noWrap/>
            <w:vAlign w:val="center"/>
            <w:hideMark/>
          </w:tcPr>
          <w:p w14:paraId="3DFBA67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2,93</w:t>
            </w:r>
          </w:p>
        </w:tc>
        <w:tc>
          <w:tcPr>
            <w:tcW w:w="793" w:type="pct"/>
            <w:tcBorders>
              <w:top w:val="single" w:sz="4" w:space="0" w:color="auto"/>
              <w:left w:val="nil"/>
              <w:bottom w:val="single" w:sz="4" w:space="0" w:color="auto"/>
              <w:right w:val="nil"/>
            </w:tcBorders>
            <w:shd w:val="clear" w:color="auto" w:fill="auto"/>
            <w:noWrap/>
            <w:vAlign w:val="center"/>
            <w:hideMark/>
          </w:tcPr>
          <w:p w14:paraId="7A2E3BB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178.603</w:t>
            </w:r>
          </w:p>
        </w:tc>
      </w:tr>
      <w:tr w:rsidR="006356F1" w:rsidRPr="00822E74" w14:paraId="2F71E0DF"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02656C1"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22 </w:t>
            </w:r>
          </w:p>
        </w:tc>
        <w:tc>
          <w:tcPr>
            <w:tcW w:w="366" w:type="pct"/>
            <w:tcBorders>
              <w:top w:val="single" w:sz="4" w:space="0" w:color="auto"/>
              <w:left w:val="nil"/>
              <w:bottom w:val="single" w:sz="4" w:space="0" w:color="auto"/>
              <w:right w:val="nil"/>
            </w:tcBorders>
            <w:shd w:val="clear" w:color="auto" w:fill="auto"/>
            <w:noWrap/>
            <w:vAlign w:val="center"/>
            <w:hideMark/>
          </w:tcPr>
          <w:p w14:paraId="59DAE63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376</w:t>
            </w:r>
          </w:p>
        </w:tc>
        <w:tc>
          <w:tcPr>
            <w:tcW w:w="368" w:type="pct"/>
            <w:tcBorders>
              <w:top w:val="single" w:sz="4" w:space="0" w:color="auto"/>
              <w:left w:val="nil"/>
              <w:bottom w:val="single" w:sz="4" w:space="0" w:color="auto"/>
              <w:right w:val="nil"/>
            </w:tcBorders>
            <w:shd w:val="clear" w:color="auto" w:fill="auto"/>
            <w:noWrap/>
            <w:vAlign w:val="center"/>
            <w:hideMark/>
          </w:tcPr>
          <w:p w14:paraId="3DBE4CA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387</w:t>
            </w:r>
          </w:p>
        </w:tc>
        <w:tc>
          <w:tcPr>
            <w:tcW w:w="326" w:type="pct"/>
            <w:tcBorders>
              <w:top w:val="single" w:sz="4" w:space="0" w:color="auto"/>
              <w:left w:val="nil"/>
              <w:bottom w:val="single" w:sz="4" w:space="0" w:color="auto"/>
              <w:right w:val="nil"/>
            </w:tcBorders>
            <w:shd w:val="clear" w:color="auto" w:fill="auto"/>
            <w:noWrap/>
            <w:vAlign w:val="center"/>
            <w:hideMark/>
          </w:tcPr>
          <w:p w14:paraId="488FA33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419</w:t>
            </w:r>
          </w:p>
        </w:tc>
        <w:tc>
          <w:tcPr>
            <w:tcW w:w="326" w:type="pct"/>
            <w:tcBorders>
              <w:top w:val="single" w:sz="4" w:space="0" w:color="auto"/>
              <w:left w:val="nil"/>
              <w:bottom w:val="single" w:sz="4" w:space="0" w:color="auto"/>
              <w:right w:val="nil"/>
            </w:tcBorders>
            <w:shd w:val="clear" w:color="auto" w:fill="auto"/>
            <w:noWrap/>
            <w:vAlign w:val="center"/>
            <w:hideMark/>
          </w:tcPr>
          <w:p w14:paraId="4976760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391</w:t>
            </w:r>
          </w:p>
        </w:tc>
        <w:tc>
          <w:tcPr>
            <w:tcW w:w="475" w:type="pct"/>
            <w:tcBorders>
              <w:top w:val="single" w:sz="4" w:space="0" w:color="auto"/>
              <w:left w:val="nil"/>
              <w:bottom w:val="single" w:sz="4" w:space="0" w:color="auto"/>
              <w:right w:val="nil"/>
            </w:tcBorders>
            <w:shd w:val="clear" w:color="auto" w:fill="auto"/>
            <w:noWrap/>
            <w:vAlign w:val="center"/>
            <w:hideMark/>
          </w:tcPr>
          <w:p w14:paraId="609B226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393</w:t>
            </w:r>
          </w:p>
        </w:tc>
        <w:tc>
          <w:tcPr>
            <w:tcW w:w="697" w:type="pct"/>
            <w:tcBorders>
              <w:top w:val="single" w:sz="4" w:space="0" w:color="auto"/>
              <w:left w:val="nil"/>
              <w:bottom w:val="single" w:sz="4" w:space="0" w:color="auto"/>
              <w:right w:val="nil"/>
            </w:tcBorders>
            <w:shd w:val="clear" w:color="auto" w:fill="auto"/>
            <w:noWrap/>
            <w:vAlign w:val="center"/>
            <w:hideMark/>
          </w:tcPr>
          <w:p w14:paraId="3A8432F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0,45</w:t>
            </w:r>
          </w:p>
        </w:tc>
        <w:tc>
          <w:tcPr>
            <w:tcW w:w="681" w:type="pct"/>
            <w:tcBorders>
              <w:top w:val="single" w:sz="4" w:space="0" w:color="auto"/>
              <w:left w:val="nil"/>
              <w:bottom w:val="single" w:sz="4" w:space="0" w:color="auto"/>
              <w:right w:val="nil"/>
            </w:tcBorders>
            <w:shd w:val="clear" w:color="auto" w:fill="auto"/>
            <w:noWrap/>
            <w:vAlign w:val="center"/>
            <w:hideMark/>
          </w:tcPr>
          <w:p w14:paraId="7CA4349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1,46</w:t>
            </w:r>
          </w:p>
        </w:tc>
        <w:tc>
          <w:tcPr>
            <w:tcW w:w="793" w:type="pct"/>
            <w:tcBorders>
              <w:top w:val="single" w:sz="4" w:space="0" w:color="auto"/>
              <w:left w:val="nil"/>
              <w:bottom w:val="single" w:sz="4" w:space="0" w:color="auto"/>
              <w:right w:val="nil"/>
            </w:tcBorders>
            <w:shd w:val="clear" w:color="auto" w:fill="auto"/>
            <w:noWrap/>
            <w:vAlign w:val="center"/>
            <w:hideMark/>
          </w:tcPr>
          <w:p w14:paraId="4282CFF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171.497</w:t>
            </w:r>
          </w:p>
        </w:tc>
      </w:tr>
      <w:tr w:rsidR="006356F1" w:rsidRPr="00822E74" w14:paraId="0B0B19AB"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3ECC9B2F"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23 </w:t>
            </w:r>
          </w:p>
        </w:tc>
        <w:tc>
          <w:tcPr>
            <w:tcW w:w="366" w:type="pct"/>
            <w:tcBorders>
              <w:top w:val="single" w:sz="4" w:space="0" w:color="auto"/>
              <w:left w:val="nil"/>
              <w:bottom w:val="single" w:sz="4" w:space="0" w:color="auto"/>
              <w:right w:val="nil"/>
            </w:tcBorders>
            <w:shd w:val="clear" w:color="auto" w:fill="auto"/>
            <w:noWrap/>
            <w:vAlign w:val="center"/>
            <w:hideMark/>
          </w:tcPr>
          <w:p w14:paraId="4A6A418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1.723</w:t>
            </w:r>
          </w:p>
        </w:tc>
        <w:tc>
          <w:tcPr>
            <w:tcW w:w="368" w:type="pct"/>
            <w:tcBorders>
              <w:top w:val="single" w:sz="4" w:space="0" w:color="auto"/>
              <w:left w:val="nil"/>
              <w:bottom w:val="single" w:sz="4" w:space="0" w:color="auto"/>
              <w:right w:val="nil"/>
            </w:tcBorders>
            <w:shd w:val="clear" w:color="auto" w:fill="auto"/>
            <w:noWrap/>
            <w:vAlign w:val="center"/>
            <w:hideMark/>
          </w:tcPr>
          <w:p w14:paraId="6961922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1.497</w:t>
            </w:r>
          </w:p>
        </w:tc>
        <w:tc>
          <w:tcPr>
            <w:tcW w:w="326" w:type="pct"/>
            <w:tcBorders>
              <w:top w:val="single" w:sz="4" w:space="0" w:color="auto"/>
              <w:left w:val="nil"/>
              <w:bottom w:val="single" w:sz="4" w:space="0" w:color="auto"/>
              <w:right w:val="nil"/>
            </w:tcBorders>
            <w:shd w:val="clear" w:color="auto" w:fill="auto"/>
            <w:noWrap/>
            <w:vAlign w:val="center"/>
            <w:hideMark/>
          </w:tcPr>
          <w:p w14:paraId="5F3059B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1.334</w:t>
            </w:r>
          </w:p>
        </w:tc>
        <w:tc>
          <w:tcPr>
            <w:tcW w:w="326" w:type="pct"/>
            <w:tcBorders>
              <w:top w:val="single" w:sz="4" w:space="0" w:color="auto"/>
              <w:left w:val="nil"/>
              <w:bottom w:val="single" w:sz="4" w:space="0" w:color="auto"/>
              <w:right w:val="nil"/>
            </w:tcBorders>
            <w:shd w:val="clear" w:color="auto" w:fill="auto"/>
            <w:noWrap/>
            <w:vAlign w:val="center"/>
            <w:hideMark/>
          </w:tcPr>
          <w:p w14:paraId="5CEE141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1.268</w:t>
            </w:r>
          </w:p>
        </w:tc>
        <w:tc>
          <w:tcPr>
            <w:tcW w:w="475" w:type="pct"/>
            <w:tcBorders>
              <w:top w:val="single" w:sz="4" w:space="0" w:color="auto"/>
              <w:left w:val="nil"/>
              <w:bottom w:val="single" w:sz="4" w:space="0" w:color="auto"/>
              <w:right w:val="nil"/>
            </w:tcBorders>
            <w:shd w:val="clear" w:color="auto" w:fill="auto"/>
            <w:noWrap/>
            <w:vAlign w:val="center"/>
            <w:hideMark/>
          </w:tcPr>
          <w:p w14:paraId="3484F3E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1.456</w:t>
            </w:r>
          </w:p>
        </w:tc>
        <w:tc>
          <w:tcPr>
            <w:tcW w:w="697" w:type="pct"/>
            <w:tcBorders>
              <w:top w:val="single" w:sz="4" w:space="0" w:color="auto"/>
              <w:left w:val="nil"/>
              <w:bottom w:val="single" w:sz="4" w:space="0" w:color="auto"/>
              <w:right w:val="nil"/>
            </w:tcBorders>
            <w:shd w:val="clear" w:color="auto" w:fill="auto"/>
            <w:noWrap/>
            <w:vAlign w:val="center"/>
            <w:hideMark/>
          </w:tcPr>
          <w:p w14:paraId="6B8D6D9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1,68</w:t>
            </w:r>
          </w:p>
        </w:tc>
        <w:tc>
          <w:tcPr>
            <w:tcW w:w="681" w:type="pct"/>
            <w:tcBorders>
              <w:top w:val="single" w:sz="4" w:space="0" w:color="auto"/>
              <w:left w:val="nil"/>
              <w:bottom w:val="single" w:sz="4" w:space="0" w:color="auto"/>
              <w:right w:val="nil"/>
            </w:tcBorders>
            <w:shd w:val="clear" w:color="auto" w:fill="auto"/>
            <w:noWrap/>
            <w:vAlign w:val="center"/>
            <w:hideMark/>
          </w:tcPr>
          <w:p w14:paraId="2BB2D63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5,11</w:t>
            </w:r>
          </w:p>
        </w:tc>
        <w:tc>
          <w:tcPr>
            <w:tcW w:w="793" w:type="pct"/>
            <w:tcBorders>
              <w:top w:val="single" w:sz="4" w:space="0" w:color="auto"/>
              <w:left w:val="nil"/>
              <w:bottom w:val="single" w:sz="4" w:space="0" w:color="auto"/>
              <w:right w:val="nil"/>
            </w:tcBorders>
            <w:shd w:val="clear" w:color="auto" w:fill="auto"/>
            <w:noWrap/>
            <w:vAlign w:val="center"/>
            <w:hideMark/>
          </w:tcPr>
          <w:p w14:paraId="06D095A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161.967</w:t>
            </w:r>
          </w:p>
        </w:tc>
      </w:tr>
      <w:tr w:rsidR="006356F1" w:rsidRPr="00822E74" w14:paraId="4151491F"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43E46659"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24 </w:t>
            </w:r>
          </w:p>
        </w:tc>
        <w:tc>
          <w:tcPr>
            <w:tcW w:w="366" w:type="pct"/>
            <w:tcBorders>
              <w:top w:val="single" w:sz="4" w:space="0" w:color="auto"/>
              <w:left w:val="nil"/>
              <w:bottom w:val="single" w:sz="4" w:space="0" w:color="auto"/>
              <w:right w:val="nil"/>
            </w:tcBorders>
            <w:shd w:val="clear" w:color="auto" w:fill="auto"/>
            <w:noWrap/>
            <w:vAlign w:val="center"/>
            <w:hideMark/>
          </w:tcPr>
          <w:p w14:paraId="2C374B2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239</w:t>
            </w:r>
          </w:p>
        </w:tc>
        <w:tc>
          <w:tcPr>
            <w:tcW w:w="368" w:type="pct"/>
            <w:tcBorders>
              <w:top w:val="single" w:sz="4" w:space="0" w:color="auto"/>
              <w:left w:val="nil"/>
              <w:bottom w:val="single" w:sz="4" w:space="0" w:color="auto"/>
              <w:right w:val="nil"/>
            </w:tcBorders>
            <w:shd w:val="clear" w:color="auto" w:fill="auto"/>
            <w:noWrap/>
            <w:vAlign w:val="center"/>
            <w:hideMark/>
          </w:tcPr>
          <w:p w14:paraId="604A394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195</w:t>
            </w:r>
          </w:p>
        </w:tc>
        <w:tc>
          <w:tcPr>
            <w:tcW w:w="326" w:type="pct"/>
            <w:tcBorders>
              <w:top w:val="single" w:sz="4" w:space="0" w:color="auto"/>
              <w:left w:val="nil"/>
              <w:bottom w:val="single" w:sz="4" w:space="0" w:color="auto"/>
              <w:right w:val="nil"/>
            </w:tcBorders>
            <w:shd w:val="clear" w:color="auto" w:fill="auto"/>
            <w:noWrap/>
            <w:vAlign w:val="center"/>
            <w:hideMark/>
          </w:tcPr>
          <w:p w14:paraId="1A84688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138</w:t>
            </w:r>
          </w:p>
        </w:tc>
        <w:tc>
          <w:tcPr>
            <w:tcW w:w="326" w:type="pct"/>
            <w:tcBorders>
              <w:top w:val="single" w:sz="4" w:space="0" w:color="auto"/>
              <w:left w:val="nil"/>
              <w:bottom w:val="single" w:sz="4" w:space="0" w:color="auto"/>
              <w:right w:val="nil"/>
            </w:tcBorders>
            <w:shd w:val="clear" w:color="auto" w:fill="auto"/>
            <w:noWrap/>
            <w:vAlign w:val="center"/>
            <w:hideMark/>
          </w:tcPr>
          <w:p w14:paraId="64AA058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128</w:t>
            </w:r>
          </w:p>
        </w:tc>
        <w:tc>
          <w:tcPr>
            <w:tcW w:w="475" w:type="pct"/>
            <w:tcBorders>
              <w:top w:val="single" w:sz="4" w:space="0" w:color="auto"/>
              <w:left w:val="nil"/>
              <w:bottom w:val="single" w:sz="4" w:space="0" w:color="auto"/>
              <w:right w:val="nil"/>
            </w:tcBorders>
            <w:shd w:val="clear" w:color="auto" w:fill="auto"/>
            <w:noWrap/>
            <w:vAlign w:val="center"/>
            <w:hideMark/>
          </w:tcPr>
          <w:p w14:paraId="69A34F7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175</w:t>
            </w:r>
          </w:p>
        </w:tc>
        <w:tc>
          <w:tcPr>
            <w:tcW w:w="697" w:type="pct"/>
            <w:tcBorders>
              <w:top w:val="single" w:sz="4" w:space="0" w:color="auto"/>
              <w:left w:val="nil"/>
              <w:bottom w:val="single" w:sz="4" w:space="0" w:color="auto"/>
              <w:right w:val="nil"/>
            </w:tcBorders>
            <w:shd w:val="clear" w:color="auto" w:fill="auto"/>
            <w:noWrap/>
            <w:vAlign w:val="center"/>
            <w:hideMark/>
          </w:tcPr>
          <w:p w14:paraId="392C0A8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0,20</w:t>
            </w:r>
          </w:p>
        </w:tc>
        <w:tc>
          <w:tcPr>
            <w:tcW w:w="681" w:type="pct"/>
            <w:tcBorders>
              <w:top w:val="single" w:sz="4" w:space="0" w:color="auto"/>
              <w:left w:val="nil"/>
              <w:bottom w:val="single" w:sz="4" w:space="0" w:color="auto"/>
              <w:right w:val="nil"/>
            </w:tcBorders>
            <w:shd w:val="clear" w:color="auto" w:fill="auto"/>
            <w:noWrap/>
            <w:vAlign w:val="center"/>
            <w:hideMark/>
          </w:tcPr>
          <w:p w14:paraId="699DB54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0,59</w:t>
            </w:r>
          </w:p>
        </w:tc>
        <w:tc>
          <w:tcPr>
            <w:tcW w:w="793" w:type="pct"/>
            <w:tcBorders>
              <w:top w:val="single" w:sz="4" w:space="0" w:color="auto"/>
              <w:left w:val="nil"/>
              <w:bottom w:val="single" w:sz="4" w:space="0" w:color="auto"/>
              <w:right w:val="nil"/>
            </w:tcBorders>
            <w:shd w:val="clear" w:color="auto" w:fill="auto"/>
            <w:noWrap/>
            <w:vAlign w:val="center"/>
            <w:hideMark/>
          </w:tcPr>
          <w:p w14:paraId="623FB6B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155.792</w:t>
            </w:r>
          </w:p>
        </w:tc>
      </w:tr>
      <w:tr w:rsidR="006356F1" w:rsidRPr="00822E74" w14:paraId="08B8B1B9"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66EFE67"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25 </w:t>
            </w:r>
          </w:p>
        </w:tc>
        <w:tc>
          <w:tcPr>
            <w:tcW w:w="366" w:type="pct"/>
            <w:tcBorders>
              <w:top w:val="single" w:sz="4" w:space="0" w:color="auto"/>
              <w:left w:val="nil"/>
              <w:bottom w:val="single" w:sz="4" w:space="0" w:color="auto"/>
              <w:right w:val="nil"/>
            </w:tcBorders>
            <w:shd w:val="clear" w:color="auto" w:fill="auto"/>
            <w:noWrap/>
            <w:vAlign w:val="center"/>
            <w:hideMark/>
          </w:tcPr>
          <w:p w14:paraId="4B22B4F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272</w:t>
            </w:r>
          </w:p>
        </w:tc>
        <w:tc>
          <w:tcPr>
            <w:tcW w:w="368" w:type="pct"/>
            <w:tcBorders>
              <w:top w:val="single" w:sz="4" w:space="0" w:color="auto"/>
              <w:left w:val="nil"/>
              <w:bottom w:val="single" w:sz="4" w:space="0" w:color="auto"/>
              <w:right w:val="nil"/>
            </w:tcBorders>
            <w:shd w:val="clear" w:color="auto" w:fill="auto"/>
            <w:noWrap/>
            <w:vAlign w:val="center"/>
            <w:hideMark/>
          </w:tcPr>
          <w:p w14:paraId="0D84879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207</w:t>
            </w:r>
          </w:p>
        </w:tc>
        <w:tc>
          <w:tcPr>
            <w:tcW w:w="326" w:type="pct"/>
            <w:tcBorders>
              <w:top w:val="single" w:sz="4" w:space="0" w:color="auto"/>
              <w:left w:val="nil"/>
              <w:bottom w:val="single" w:sz="4" w:space="0" w:color="auto"/>
              <w:right w:val="nil"/>
            </w:tcBorders>
            <w:shd w:val="clear" w:color="auto" w:fill="auto"/>
            <w:noWrap/>
            <w:vAlign w:val="center"/>
            <w:hideMark/>
          </w:tcPr>
          <w:p w14:paraId="3052D0B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205</w:t>
            </w:r>
          </w:p>
        </w:tc>
        <w:tc>
          <w:tcPr>
            <w:tcW w:w="326" w:type="pct"/>
            <w:tcBorders>
              <w:top w:val="single" w:sz="4" w:space="0" w:color="auto"/>
              <w:left w:val="nil"/>
              <w:bottom w:val="single" w:sz="4" w:space="0" w:color="auto"/>
              <w:right w:val="nil"/>
            </w:tcBorders>
            <w:shd w:val="clear" w:color="auto" w:fill="auto"/>
            <w:noWrap/>
            <w:vAlign w:val="center"/>
            <w:hideMark/>
          </w:tcPr>
          <w:p w14:paraId="741D2DE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201</w:t>
            </w:r>
          </w:p>
        </w:tc>
        <w:tc>
          <w:tcPr>
            <w:tcW w:w="475" w:type="pct"/>
            <w:tcBorders>
              <w:top w:val="single" w:sz="4" w:space="0" w:color="auto"/>
              <w:left w:val="nil"/>
              <w:bottom w:val="single" w:sz="4" w:space="0" w:color="auto"/>
              <w:right w:val="nil"/>
            </w:tcBorders>
            <w:shd w:val="clear" w:color="auto" w:fill="auto"/>
            <w:noWrap/>
            <w:vAlign w:val="center"/>
            <w:hideMark/>
          </w:tcPr>
          <w:p w14:paraId="1E75FC3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221</w:t>
            </w:r>
          </w:p>
        </w:tc>
        <w:tc>
          <w:tcPr>
            <w:tcW w:w="697" w:type="pct"/>
            <w:tcBorders>
              <w:top w:val="single" w:sz="4" w:space="0" w:color="auto"/>
              <w:left w:val="nil"/>
              <w:bottom w:val="single" w:sz="4" w:space="0" w:color="auto"/>
              <w:right w:val="nil"/>
            </w:tcBorders>
            <w:shd w:val="clear" w:color="auto" w:fill="auto"/>
            <w:noWrap/>
            <w:vAlign w:val="center"/>
            <w:hideMark/>
          </w:tcPr>
          <w:p w14:paraId="2F58833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0,26</w:t>
            </w:r>
          </w:p>
        </w:tc>
        <w:tc>
          <w:tcPr>
            <w:tcW w:w="681" w:type="pct"/>
            <w:tcBorders>
              <w:top w:val="single" w:sz="4" w:space="0" w:color="auto"/>
              <w:left w:val="nil"/>
              <w:bottom w:val="single" w:sz="4" w:space="0" w:color="auto"/>
              <w:right w:val="nil"/>
            </w:tcBorders>
            <w:shd w:val="clear" w:color="auto" w:fill="auto"/>
            <w:noWrap/>
            <w:vAlign w:val="center"/>
            <w:hideMark/>
          </w:tcPr>
          <w:p w14:paraId="71ADF31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0,71</w:t>
            </w:r>
          </w:p>
        </w:tc>
        <w:tc>
          <w:tcPr>
            <w:tcW w:w="793" w:type="pct"/>
            <w:tcBorders>
              <w:top w:val="single" w:sz="4" w:space="0" w:color="auto"/>
              <w:left w:val="nil"/>
              <w:bottom w:val="single" w:sz="4" w:space="0" w:color="auto"/>
              <w:right w:val="nil"/>
            </w:tcBorders>
            <w:shd w:val="clear" w:color="auto" w:fill="auto"/>
            <w:noWrap/>
            <w:vAlign w:val="center"/>
            <w:hideMark/>
          </w:tcPr>
          <w:p w14:paraId="3954E3E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147.846</w:t>
            </w:r>
          </w:p>
        </w:tc>
      </w:tr>
      <w:tr w:rsidR="006356F1" w:rsidRPr="00822E74" w14:paraId="6C195896"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3086C9A5"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26 </w:t>
            </w:r>
          </w:p>
        </w:tc>
        <w:tc>
          <w:tcPr>
            <w:tcW w:w="366" w:type="pct"/>
            <w:tcBorders>
              <w:top w:val="single" w:sz="4" w:space="0" w:color="auto"/>
              <w:left w:val="nil"/>
              <w:bottom w:val="single" w:sz="4" w:space="0" w:color="auto"/>
              <w:right w:val="nil"/>
            </w:tcBorders>
            <w:shd w:val="clear" w:color="auto" w:fill="auto"/>
            <w:noWrap/>
            <w:vAlign w:val="center"/>
            <w:hideMark/>
          </w:tcPr>
          <w:p w14:paraId="3DF284B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287</w:t>
            </w:r>
          </w:p>
        </w:tc>
        <w:tc>
          <w:tcPr>
            <w:tcW w:w="368" w:type="pct"/>
            <w:tcBorders>
              <w:top w:val="single" w:sz="4" w:space="0" w:color="auto"/>
              <w:left w:val="nil"/>
              <w:bottom w:val="single" w:sz="4" w:space="0" w:color="auto"/>
              <w:right w:val="nil"/>
            </w:tcBorders>
            <w:shd w:val="clear" w:color="auto" w:fill="auto"/>
            <w:noWrap/>
            <w:vAlign w:val="center"/>
            <w:hideMark/>
          </w:tcPr>
          <w:p w14:paraId="1BD9A4F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324</w:t>
            </w:r>
          </w:p>
        </w:tc>
        <w:tc>
          <w:tcPr>
            <w:tcW w:w="326" w:type="pct"/>
            <w:tcBorders>
              <w:top w:val="single" w:sz="4" w:space="0" w:color="auto"/>
              <w:left w:val="nil"/>
              <w:bottom w:val="single" w:sz="4" w:space="0" w:color="auto"/>
              <w:right w:val="nil"/>
            </w:tcBorders>
            <w:shd w:val="clear" w:color="auto" w:fill="auto"/>
            <w:noWrap/>
            <w:vAlign w:val="center"/>
            <w:hideMark/>
          </w:tcPr>
          <w:p w14:paraId="079B4F3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306</w:t>
            </w:r>
          </w:p>
        </w:tc>
        <w:tc>
          <w:tcPr>
            <w:tcW w:w="326" w:type="pct"/>
            <w:tcBorders>
              <w:top w:val="single" w:sz="4" w:space="0" w:color="auto"/>
              <w:left w:val="nil"/>
              <w:bottom w:val="single" w:sz="4" w:space="0" w:color="auto"/>
              <w:right w:val="nil"/>
            </w:tcBorders>
            <w:shd w:val="clear" w:color="auto" w:fill="auto"/>
            <w:noWrap/>
            <w:vAlign w:val="center"/>
            <w:hideMark/>
          </w:tcPr>
          <w:p w14:paraId="6C3A812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311</w:t>
            </w:r>
          </w:p>
        </w:tc>
        <w:tc>
          <w:tcPr>
            <w:tcW w:w="475" w:type="pct"/>
            <w:tcBorders>
              <w:top w:val="single" w:sz="4" w:space="0" w:color="auto"/>
              <w:left w:val="nil"/>
              <w:bottom w:val="single" w:sz="4" w:space="0" w:color="auto"/>
              <w:right w:val="nil"/>
            </w:tcBorders>
            <w:shd w:val="clear" w:color="auto" w:fill="auto"/>
            <w:noWrap/>
            <w:vAlign w:val="center"/>
            <w:hideMark/>
          </w:tcPr>
          <w:p w14:paraId="1B7A0B1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307</w:t>
            </w:r>
          </w:p>
        </w:tc>
        <w:tc>
          <w:tcPr>
            <w:tcW w:w="697" w:type="pct"/>
            <w:tcBorders>
              <w:top w:val="single" w:sz="4" w:space="0" w:color="auto"/>
              <w:left w:val="nil"/>
              <w:bottom w:val="single" w:sz="4" w:space="0" w:color="auto"/>
              <w:right w:val="nil"/>
            </w:tcBorders>
            <w:shd w:val="clear" w:color="auto" w:fill="auto"/>
            <w:noWrap/>
            <w:vAlign w:val="center"/>
            <w:hideMark/>
          </w:tcPr>
          <w:p w14:paraId="34083B5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0,35</w:t>
            </w:r>
          </w:p>
        </w:tc>
        <w:tc>
          <w:tcPr>
            <w:tcW w:w="681" w:type="pct"/>
            <w:tcBorders>
              <w:top w:val="single" w:sz="4" w:space="0" w:color="auto"/>
              <w:left w:val="nil"/>
              <w:bottom w:val="single" w:sz="4" w:space="0" w:color="auto"/>
              <w:right w:val="nil"/>
            </w:tcBorders>
            <w:shd w:val="clear" w:color="auto" w:fill="auto"/>
            <w:noWrap/>
            <w:vAlign w:val="center"/>
            <w:hideMark/>
          </w:tcPr>
          <w:p w14:paraId="3AD82A4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0,88</w:t>
            </w:r>
          </w:p>
        </w:tc>
        <w:tc>
          <w:tcPr>
            <w:tcW w:w="793" w:type="pct"/>
            <w:tcBorders>
              <w:top w:val="single" w:sz="4" w:space="0" w:color="auto"/>
              <w:left w:val="nil"/>
              <w:bottom w:val="single" w:sz="4" w:space="0" w:color="auto"/>
              <w:right w:val="nil"/>
            </w:tcBorders>
            <w:shd w:val="clear" w:color="auto" w:fill="auto"/>
            <w:noWrap/>
            <w:vAlign w:val="center"/>
            <w:hideMark/>
          </w:tcPr>
          <w:p w14:paraId="11D9D05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132.266</w:t>
            </w:r>
          </w:p>
        </w:tc>
      </w:tr>
      <w:tr w:rsidR="006356F1" w:rsidRPr="00822E74" w14:paraId="0FC76F51"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368764B"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27 </w:t>
            </w:r>
          </w:p>
        </w:tc>
        <w:tc>
          <w:tcPr>
            <w:tcW w:w="366" w:type="pct"/>
            <w:tcBorders>
              <w:top w:val="single" w:sz="4" w:space="0" w:color="auto"/>
              <w:left w:val="nil"/>
              <w:bottom w:val="single" w:sz="4" w:space="0" w:color="auto"/>
              <w:right w:val="nil"/>
            </w:tcBorders>
            <w:shd w:val="clear" w:color="auto" w:fill="auto"/>
            <w:noWrap/>
            <w:vAlign w:val="center"/>
            <w:hideMark/>
          </w:tcPr>
          <w:p w14:paraId="798EE23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697</w:t>
            </w:r>
          </w:p>
        </w:tc>
        <w:tc>
          <w:tcPr>
            <w:tcW w:w="368" w:type="pct"/>
            <w:tcBorders>
              <w:top w:val="single" w:sz="4" w:space="0" w:color="auto"/>
              <w:left w:val="nil"/>
              <w:bottom w:val="single" w:sz="4" w:space="0" w:color="auto"/>
              <w:right w:val="nil"/>
            </w:tcBorders>
            <w:shd w:val="clear" w:color="auto" w:fill="auto"/>
            <w:noWrap/>
            <w:vAlign w:val="center"/>
            <w:hideMark/>
          </w:tcPr>
          <w:p w14:paraId="7988BF4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685</w:t>
            </w:r>
          </w:p>
        </w:tc>
        <w:tc>
          <w:tcPr>
            <w:tcW w:w="326" w:type="pct"/>
            <w:tcBorders>
              <w:top w:val="single" w:sz="4" w:space="0" w:color="auto"/>
              <w:left w:val="nil"/>
              <w:bottom w:val="single" w:sz="4" w:space="0" w:color="auto"/>
              <w:right w:val="nil"/>
            </w:tcBorders>
            <w:shd w:val="clear" w:color="auto" w:fill="auto"/>
            <w:noWrap/>
            <w:vAlign w:val="center"/>
            <w:hideMark/>
          </w:tcPr>
          <w:p w14:paraId="0E1DFCD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575</w:t>
            </w:r>
          </w:p>
        </w:tc>
        <w:tc>
          <w:tcPr>
            <w:tcW w:w="326" w:type="pct"/>
            <w:tcBorders>
              <w:top w:val="single" w:sz="4" w:space="0" w:color="auto"/>
              <w:left w:val="nil"/>
              <w:bottom w:val="single" w:sz="4" w:space="0" w:color="auto"/>
              <w:right w:val="nil"/>
            </w:tcBorders>
            <w:shd w:val="clear" w:color="auto" w:fill="auto"/>
            <w:noWrap/>
            <w:vAlign w:val="center"/>
            <w:hideMark/>
          </w:tcPr>
          <w:p w14:paraId="2F7A01C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450</w:t>
            </w:r>
          </w:p>
        </w:tc>
        <w:tc>
          <w:tcPr>
            <w:tcW w:w="475" w:type="pct"/>
            <w:tcBorders>
              <w:top w:val="single" w:sz="4" w:space="0" w:color="auto"/>
              <w:left w:val="nil"/>
              <w:bottom w:val="single" w:sz="4" w:space="0" w:color="auto"/>
              <w:right w:val="nil"/>
            </w:tcBorders>
            <w:shd w:val="clear" w:color="auto" w:fill="auto"/>
            <w:noWrap/>
            <w:vAlign w:val="center"/>
            <w:hideMark/>
          </w:tcPr>
          <w:p w14:paraId="76A1F25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602</w:t>
            </w:r>
          </w:p>
        </w:tc>
        <w:tc>
          <w:tcPr>
            <w:tcW w:w="697" w:type="pct"/>
            <w:tcBorders>
              <w:top w:val="single" w:sz="4" w:space="0" w:color="auto"/>
              <w:left w:val="nil"/>
              <w:bottom w:val="single" w:sz="4" w:space="0" w:color="auto"/>
              <w:right w:val="nil"/>
            </w:tcBorders>
            <w:shd w:val="clear" w:color="auto" w:fill="auto"/>
            <w:noWrap/>
            <w:vAlign w:val="center"/>
            <w:hideMark/>
          </w:tcPr>
          <w:p w14:paraId="3DDA303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0,70</w:t>
            </w:r>
          </w:p>
        </w:tc>
        <w:tc>
          <w:tcPr>
            <w:tcW w:w="681" w:type="pct"/>
            <w:tcBorders>
              <w:top w:val="single" w:sz="4" w:space="0" w:color="auto"/>
              <w:left w:val="nil"/>
              <w:bottom w:val="single" w:sz="4" w:space="0" w:color="auto"/>
              <w:right w:val="nil"/>
            </w:tcBorders>
            <w:shd w:val="clear" w:color="auto" w:fill="auto"/>
            <w:noWrap/>
            <w:vAlign w:val="center"/>
            <w:hideMark/>
          </w:tcPr>
          <w:p w14:paraId="7679AF7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1,67</w:t>
            </w:r>
          </w:p>
        </w:tc>
        <w:tc>
          <w:tcPr>
            <w:tcW w:w="793" w:type="pct"/>
            <w:tcBorders>
              <w:top w:val="single" w:sz="4" w:space="0" w:color="auto"/>
              <w:left w:val="nil"/>
              <w:bottom w:val="single" w:sz="4" w:space="0" w:color="auto"/>
              <w:right w:val="nil"/>
            </w:tcBorders>
            <w:shd w:val="clear" w:color="auto" w:fill="auto"/>
            <w:noWrap/>
            <w:vAlign w:val="center"/>
            <w:hideMark/>
          </w:tcPr>
          <w:p w14:paraId="354E16A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127.623</w:t>
            </w:r>
          </w:p>
        </w:tc>
      </w:tr>
      <w:tr w:rsidR="006356F1" w:rsidRPr="00822E74" w14:paraId="266AABF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710632D1"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28 </w:t>
            </w:r>
          </w:p>
        </w:tc>
        <w:tc>
          <w:tcPr>
            <w:tcW w:w="366" w:type="pct"/>
            <w:tcBorders>
              <w:top w:val="single" w:sz="4" w:space="0" w:color="auto"/>
              <w:left w:val="nil"/>
              <w:bottom w:val="single" w:sz="4" w:space="0" w:color="auto"/>
              <w:right w:val="nil"/>
            </w:tcBorders>
            <w:shd w:val="clear" w:color="auto" w:fill="auto"/>
            <w:noWrap/>
            <w:vAlign w:val="center"/>
            <w:hideMark/>
          </w:tcPr>
          <w:p w14:paraId="15D8653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166</w:t>
            </w:r>
          </w:p>
        </w:tc>
        <w:tc>
          <w:tcPr>
            <w:tcW w:w="368" w:type="pct"/>
            <w:tcBorders>
              <w:top w:val="single" w:sz="4" w:space="0" w:color="auto"/>
              <w:left w:val="nil"/>
              <w:bottom w:val="single" w:sz="4" w:space="0" w:color="auto"/>
              <w:right w:val="nil"/>
            </w:tcBorders>
            <w:shd w:val="clear" w:color="auto" w:fill="auto"/>
            <w:noWrap/>
            <w:vAlign w:val="center"/>
            <w:hideMark/>
          </w:tcPr>
          <w:p w14:paraId="29AF374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138</w:t>
            </w:r>
          </w:p>
        </w:tc>
        <w:tc>
          <w:tcPr>
            <w:tcW w:w="326" w:type="pct"/>
            <w:tcBorders>
              <w:top w:val="single" w:sz="4" w:space="0" w:color="auto"/>
              <w:left w:val="nil"/>
              <w:bottom w:val="single" w:sz="4" w:space="0" w:color="auto"/>
              <w:right w:val="nil"/>
            </w:tcBorders>
            <w:shd w:val="clear" w:color="auto" w:fill="auto"/>
            <w:noWrap/>
            <w:vAlign w:val="center"/>
            <w:hideMark/>
          </w:tcPr>
          <w:p w14:paraId="41E9AD1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137</w:t>
            </w:r>
          </w:p>
        </w:tc>
        <w:tc>
          <w:tcPr>
            <w:tcW w:w="326" w:type="pct"/>
            <w:tcBorders>
              <w:top w:val="single" w:sz="4" w:space="0" w:color="auto"/>
              <w:left w:val="nil"/>
              <w:bottom w:val="single" w:sz="4" w:space="0" w:color="auto"/>
              <w:right w:val="nil"/>
            </w:tcBorders>
            <w:shd w:val="clear" w:color="auto" w:fill="auto"/>
            <w:noWrap/>
            <w:vAlign w:val="center"/>
            <w:hideMark/>
          </w:tcPr>
          <w:p w14:paraId="3CA2FC1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196</w:t>
            </w:r>
          </w:p>
        </w:tc>
        <w:tc>
          <w:tcPr>
            <w:tcW w:w="475" w:type="pct"/>
            <w:tcBorders>
              <w:top w:val="single" w:sz="4" w:space="0" w:color="auto"/>
              <w:left w:val="nil"/>
              <w:bottom w:val="single" w:sz="4" w:space="0" w:color="auto"/>
              <w:right w:val="nil"/>
            </w:tcBorders>
            <w:shd w:val="clear" w:color="auto" w:fill="auto"/>
            <w:noWrap/>
            <w:vAlign w:val="center"/>
            <w:hideMark/>
          </w:tcPr>
          <w:p w14:paraId="53ADCDE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159</w:t>
            </w:r>
          </w:p>
        </w:tc>
        <w:tc>
          <w:tcPr>
            <w:tcW w:w="697" w:type="pct"/>
            <w:tcBorders>
              <w:top w:val="single" w:sz="4" w:space="0" w:color="auto"/>
              <w:left w:val="nil"/>
              <w:bottom w:val="single" w:sz="4" w:space="0" w:color="auto"/>
              <w:right w:val="nil"/>
            </w:tcBorders>
            <w:shd w:val="clear" w:color="auto" w:fill="auto"/>
            <w:noWrap/>
            <w:vAlign w:val="center"/>
            <w:hideMark/>
          </w:tcPr>
          <w:p w14:paraId="4DC1F98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0,18</w:t>
            </w:r>
          </w:p>
        </w:tc>
        <w:tc>
          <w:tcPr>
            <w:tcW w:w="681" w:type="pct"/>
            <w:tcBorders>
              <w:top w:val="single" w:sz="4" w:space="0" w:color="auto"/>
              <w:left w:val="nil"/>
              <w:bottom w:val="single" w:sz="4" w:space="0" w:color="auto"/>
              <w:right w:val="nil"/>
            </w:tcBorders>
            <w:shd w:val="clear" w:color="auto" w:fill="auto"/>
            <w:noWrap/>
            <w:vAlign w:val="center"/>
            <w:hideMark/>
          </w:tcPr>
          <w:p w14:paraId="258F8B1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0,43</w:t>
            </w:r>
          </w:p>
        </w:tc>
        <w:tc>
          <w:tcPr>
            <w:tcW w:w="793" w:type="pct"/>
            <w:tcBorders>
              <w:top w:val="single" w:sz="4" w:space="0" w:color="auto"/>
              <w:left w:val="nil"/>
              <w:bottom w:val="single" w:sz="4" w:space="0" w:color="auto"/>
              <w:right w:val="nil"/>
            </w:tcBorders>
            <w:shd w:val="clear" w:color="auto" w:fill="auto"/>
            <w:noWrap/>
            <w:vAlign w:val="center"/>
            <w:hideMark/>
          </w:tcPr>
          <w:p w14:paraId="0ED898C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123.937</w:t>
            </w:r>
          </w:p>
        </w:tc>
      </w:tr>
      <w:tr w:rsidR="006356F1" w:rsidRPr="00822E74" w14:paraId="47BE6629"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554051C"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29 </w:t>
            </w:r>
          </w:p>
        </w:tc>
        <w:tc>
          <w:tcPr>
            <w:tcW w:w="366" w:type="pct"/>
            <w:tcBorders>
              <w:top w:val="single" w:sz="4" w:space="0" w:color="auto"/>
              <w:left w:val="nil"/>
              <w:bottom w:val="single" w:sz="4" w:space="0" w:color="auto"/>
              <w:right w:val="nil"/>
            </w:tcBorders>
            <w:shd w:val="clear" w:color="auto" w:fill="auto"/>
            <w:noWrap/>
            <w:vAlign w:val="center"/>
            <w:hideMark/>
          </w:tcPr>
          <w:p w14:paraId="6354EFF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134</w:t>
            </w:r>
          </w:p>
        </w:tc>
        <w:tc>
          <w:tcPr>
            <w:tcW w:w="368" w:type="pct"/>
            <w:tcBorders>
              <w:top w:val="single" w:sz="4" w:space="0" w:color="auto"/>
              <w:left w:val="nil"/>
              <w:bottom w:val="single" w:sz="4" w:space="0" w:color="auto"/>
              <w:right w:val="nil"/>
            </w:tcBorders>
            <w:shd w:val="clear" w:color="auto" w:fill="auto"/>
            <w:noWrap/>
            <w:vAlign w:val="center"/>
            <w:hideMark/>
          </w:tcPr>
          <w:p w14:paraId="4C86CD0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138</w:t>
            </w:r>
          </w:p>
        </w:tc>
        <w:tc>
          <w:tcPr>
            <w:tcW w:w="326" w:type="pct"/>
            <w:tcBorders>
              <w:top w:val="single" w:sz="4" w:space="0" w:color="auto"/>
              <w:left w:val="nil"/>
              <w:bottom w:val="single" w:sz="4" w:space="0" w:color="auto"/>
              <w:right w:val="nil"/>
            </w:tcBorders>
            <w:shd w:val="clear" w:color="auto" w:fill="auto"/>
            <w:noWrap/>
            <w:vAlign w:val="center"/>
            <w:hideMark/>
          </w:tcPr>
          <w:p w14:paraId="6A74F19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130</w:t>
            </w:r>
          </w:p>
        </w:tc>
        <w:tc>
          <w:tcPr>
            <w:tcW w:w="326" w:type="pct"/>
            <w:tcBorders>
              <w:top w:val="single" w:sz="4" w:space="0" w:color="auto"/>
              <w:left w:val="nil"/>
              <w:bottom w:val="single" w:sz="4" w:space="0" w:color="auto"/>
              <w:right w:val="nil"/>
            </w:tcBorders>
            <w:shd w:val="clear" w:color="auto" w:fill="auto"/>
            <w:noWrap/>
            <w:vAlign w:val="center"/>
            <w:hideMark/>
          </w:tcPr>
          <w:p w14:paraId="236427F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137</w:t>
            </w:r>
          </w:p>
        </w:tc>
        <w:tc>
          <w:tcPr>
            <w:tcW w:w="475" w:type="pct"/>
            <w:tcBorders>
              <w:top w:val="single" w:sz="4" w:space="0" w:color="auto"/>
              <w:left w:val="nil"/>
              <w:bottom w:val="single" w:sz="4" w:space="0" w:color="auto"/>
              <w:right w:val="nil"/>
            </w:tcBorders>
            <w:shd w:val="clear" w:color="auto" w:fill="auto"/>
            <w:noWrap/>
            <w:vAlign w:val="center"/>
            <w:hideMark/>
          </w:tcPr>
          <w:p w14:paraId="545DCB8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135</w:t>
            </w:r>
          </w:p>
        </w:tc>
        <w:tc>
          <w:tcPr>
            <w:tcW w:w="697" w:type="pct"/>
            <w:tcBorders>
              <w:top w:val="single" w:sz="4" w:space="0" w:color="auto"/>
              <w:left w:val="nil"/>
              <w:bottom w:val="single" w:sz="4" w:space="0" w:color="auto"/>
              <w:right w:val="nil"/>
            </w:tcBorders>
            <w:shd w:val="clear" w:color="auto" w:fill="auto"/>
            <w:noWrap/>
            <w:vAlign w:val="center"/>
            <w:hideMark/>
          </w:tcPr>
          <w:p w14:paraId="2D54E41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0,16</w:t>
            </w:r>
          </w:p>
        </w:tc>
        <w:tc>
          <w:tcPr>
            <w:tcW w:w="681" w:type="pct"/>
            <w:tcBorders>
              <w:top w:val="single" w:sz="4" w:space="0" w:color="auto"/>
              <w:left w:val="nil"/>
              <w:bottom w:val="single" w:sz="4" w:space="0" w:color="auto"/>
              <w:right w:val="nil"/>
            </w:tcBorders>
            <w:shd w:val="clear" w:color="auto" w:fill="auto"/>
            <w:noWrap/>
            <w:vAlign w:val="center"/>
            <w:hideMark/>
          </w:tcPr>
          <w:p w14:paraId="2CBFF49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0,34</w:t>
            </w:r>
          </w:p>
        </w:tc>
        <w:tc>
          <w:tcPr>
            <w:tcW w:w="793" w:type="pct"/>
            <w:tcBorders>
              <w:top w:val="single" w:sz="4" w:space="0" w:color="auto"/>
              <w:left w:val="nil"/>
              <w:bottom w:val="single" w:sz="4" w:space="0" w:color="auto"/>
              <w:right w:val="nil"/>
            </w:tcBorders>
            <w:shd w:val="clear" w:color="auto" w:fill="auto"/>
            <w:noWrap/>
            <w:vAlign w:val="center"/>
            <w:hideMark/>
          </w:tcPr>
          <w:p w14:paraId="5B18213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115.389</w:t>
            </w:r>
          </w:p>
        </w:tc>
      </w:tr>
      <w:tr w:rsidR="006356F1" w:rsidRPr="00822E74" w14:paraId="627770AE"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E621B6B"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30 </w:t>
            </w:r>
          </w:p>
        </w:tc>
        <w:tc>
          <w:tcPr>
            <w:tcW w:w="366" w:type="pct"/>
            <w:tcBorders>
              <w:top w:val="single" w:sz="4" w:space="0" w:color="auto"/>
              <w:left w:val="nil"/>
              <w:bottom w:val="single" w:sz="4" w:space="0" w:color="auto"/>
              <w:right w:val="nil"/>
            </w:tcBorders>
            <w:shd w:val="clear" w:color="auto" w:fill="auto"/>
            <w:noWrap/>
            <w:vAlign w:val="center"/>
            <w:hideMark/>
          </w:tcPr>
          <w:p w14:paraId="44C2C09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736</w:t>
            </w:r>
          </w:p>
        </w:tc>
        <w:tc>
          <w:tcPr>
            <w:tcW w:w="368" w:type="pct"/>
            <w:tcBorders>
              <w:top w:val="single" w:sz="4" w:space="0" w:color="auto"/>
              <w:left w:val="nil"/>
              <w:bottom w:val="single" w:sz="4" w:space="0" w:color="auto"/>
              <w:right w:val="nil"/>
            </w:tcBorders>
            <w:shd w:val="clear" w:color="auto" w:fill="auto"/>
            <w:noWrap/>
            <w:vAlign w:val="center"/>
            <w:hideMark/>
          </w:tcPr>
          <w:p w14:paraId="7E646B3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807</w:t>
            </w:r>
          </w:p>
        </w:tc>
        <w:tc>
          <w:tcPr>
            <w:tcW w:w="326" w:type="pct"/>
            <w:tcBorders>
              <w:top w:val="single" w:sz="4" w:space="0" w:color="auto"/>
              <w:left w:val="nil"/>
              <w:bottom w:val="single" w:sz="4" w:space="0" w:color="auto"/>
              <w:right w:val="nil"/>
            </w:tcBorders>
            <w:shd w:val="clear" w:color="auto" w:fill="auto"/>
            <w:noWrap/>
            <w:vAlign w:val="center"/>
            <w:hideMark/>
          </w:tcPr>
          <w:p w14:paraId="6D7182C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936</w:t>
            </w:r>
          </w:p>
        </w:tc>
        <w:tc>
          <w:tcPr>
            <w:tcW w:w="326" w:type="pct"/>
            <w:tcBorders>
              <w:top w:val="single" w:sz="4" w:space="0" w:color="auto"/>
              <w:left w:val="nil"/>
              <w:bottom w:val="single" w:sz="4" w:space="0" w:color="auto"/>
              <w:right w:val="nil"/>
            </w:tcBorders>
            <w:shd w:val="clear" w:color="auto" w:fill="auto"/>
            <w:noWrap/>
            <w:vAlign w:val="center"/>
            <w:hideMark/>
          </w:tcPr>
          <w:p w14:paraId="36B2107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1.099</w:t>
            </w:r>
          </w:p>
        </w:tc>
        <w:tc>
          <w:tcPr>
            <w:tcW w:w="475" w:type="pct"/>
            <w:tcBorders>
              <w:top w:val="single" w:sz="4" w:space="0" w:color="auto"/>
              <w:left w:val="nil"/>
              <w:bottom w:val="single" w:sz="4" w:space="0" w:color="auto"/>
              <w:right w:val="nil"/>
            </w:tcBorders>
            <w:shd w:val="clear" w:color="auto" w:fill="auto"/>
            <w:noWrap/>
            <w:vAlign w:val="center"/>
            <w:hideMark/>
          </w:tcPr>
          <w:p w14:paraId="682D68E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895</w:t>
            </w:r>
          </w:p>
        </w:tc>
        <w:tc>
          <w:tcPr>
            <w:tcW w:w="697" w:type="pct"/>
            <w:tcBorders>
              <w:top w:val="single" w:sz="4" w:space="0" w:color="auto"/>
              <w:left w:val="nil"/>
              <w:bottom w:val="single" w:sz="4" w:space="0" w:color="auto"/>
              <w:right w:val="nil"/>
            </w:tcBorders>
            <w:shd w:val="clear" w:color="auto" w:fill="auto"/>
            <w:noWrap/>
            <w:vAlign w:val="center"/>
            <w:hideMark/>
          </w:tcPr>
          <w:p w14:paraId="311F874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1,03</w:t>
            </w:r>
          </w:p>
        </w:tc>
        <w:tc>
          <w:tcPr>
            <w:tcW w:w="681" w:type="pct"/>
            <w:tcBorders>
              <w:top w:val="single" w:sz="4" w:space="0" w:color="auto"/>
              <w:left w:val="nil"/>
              <w:bottom w:val="single" w:sz="4" w:space="0" w:color="auto"/>
              <w:right w:val="nil"/>
            </w:tcBorders>
            <w:shd w:val="clear" w:color="auto" w:fill="auto"/>
            <w:noWrap/>
            <w:vAlign w:val="center"/>
            <w:hideMark/>
          </w:tcPr>
          <w:p w14:paraId="219531D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2,17</w:t>
            </w:r>
          </w:p>
        </w:tc>
        <w:tc>
          <w:tcPr>
            <w:tcW w:w="793" w:type="pct"/>
            <w:tcBorders>
              <w:top w:val="single" w:sz="4" w:space="0" w:color="auto"/>
              <w:left w:val="nil"/>
              <w:bottom w:val="single" w:sz="4" w:space="0" w:color="auto"/>
              <w:right w:val="nil"/>
            </w:tcBorders>
            <w:shd w:val="clear" w:color="auto" w:fill="auto"/>
            <w:noWrap/>
            <w:vAlign w:val="center"/>
            <w:hideMark/>
          </w:tcPr>
          <w:p w14:paraId="73A6D64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111.848</w:t>
            </w:r>
          </w:p>
        </w:tc>
      </w:tr>
      <w:tr w:rsidR="006356F1" w:rsidRPr="00822E74" w14:paraId="75D5984E"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B2AAC0A"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31 </w:t>
            </w:r>
          </w:p>
        </w:tc>
        <w:tc>
          <w:tcPr>
            <w:tcW w:w="366" w:type="pct"/>
            <w:tcBorders>
              <w:top w:val="single" w:sz="4" w:space="0" w:color="auto"/>
              <w:left w:val="nil"/>
              <w:bottom w:val="single" w:sz="4" w:space="0" w:color="auto"/>
              <w:right w:val="nil"/>
            </w:tcBorders>
            <w:shd w:val="clear" w:color="auto" w:fill="auto"/>
            <w:noWrap/>
            <w:vAlign w:val="center"/>
            <w:hideMark/>
          </w:tcPr>
          <w:p w14:paraId="4F16B38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300</w:t>
            </w:r>
          </w:p>
        </w:tc>
        <w:tc>
          <w:tcPr>
            <w:tcW w:w="368" w:type="pct"/>
            <w:tcBorders>
              <w:top w:val="single" w:sz="4" w:space="0" w:color="auto"/>
              <w:left w:val="nil"/>
              <w:bottom w:val="single" w:sz="4" w:space="0" w:color="auto"/>
              <w:right w:val="nil"/>
            </w:tcBorders>
            <w:shd w:val="clear" w:color="auto" w:fill="auto"/>
            <w:noWrap/>
            <w:vAlign w:val="center"/>
            <w:hideMark/>
          </w:tcPr>
          <w:p w14:paraId="34F22F3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304</w:t>
            </w:r>
          </w:p>
        </w:tc>
        <w:tc>
          <w:tcPr>
            <w:tcW w:w="326" w:type="pct"/>
            <w:tcBorders>
              <w:top w:val="single" w:sz="4" w:space="0" w:color="auto"/>
              <w:left w:val="nil"/>
              <w:bottom w:val="single" w:sz="4" w:space="0" w:color="auto"/>
              <w:right w:val="nil"/>
            </w:tcBorders>
            <w:shd w:val="clear" w:color="auto" w:fill="auto"/>
            <w:noWrap/>
            <w:vAlign w:val="center"/>
            <w:hideMark/>
          </w:tcPr>
          <w:p w14:paraId="4A0A1D6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283</w:t>
            </w:r>
          </w:p>
        </w:tc>
        <w:tc>
          <w:tcPr>
            <w:tcW w:w="326" w:type="pct"/>
            <w:tcBorders>
              <w:top w:val="single" w:sz="4" w:space="0" w:color="auto"/>
              <w:left w:val="nil"/>
              <w:bottom w:val="single" w:sz="4" w:space="0" w:color="auto"/>
              <w:right w:val="nil"/>
            </w:tcBorders>
            <w:shd w:val="clear" w:color="auto" w:fill="auto"/>
            <w:noWrap/>
            <w:vAlign w:val="center"/>
            <w:hideMark/>
          </w:tcPr>
          <w:p w14:paraId="0117031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270</w:t>
            </w:r>
          </w:p>
        </w:tc>
        <w:tc>
          <w:tcPr>
            <w:tcW w:w="475" w:type="pct"/>
            <w:tcBorders>
              <w:top w:val="single" w:sz="4" w:space="0" w:color="auto"/>
              <w:left w:val="nil"/>
              <w:bottom w:val="single" w:sz="4" w:space="0" w:color="auto"/>
              <w:right w:val="nil"/>
            </w:tcBorders>
            <w:shd w:val="clear" w:color="auto" w:fill="auto"/>
            <w:noWrap/>
            <w:vAlign w:val="center"/>
            <w:hideMark/>
          </w:tcPr>
          <w:p w14:paraId="6ADF2B5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289</w:t>
            </w:r>
          </w:p>
        </w:tc>
        <w:tc>
          <w:tcPr>
            <w:tcW w:w="697" w:type="pct"/>
            <w:tcBorders>
              <w:top w:val="single" w:sz="4" w:space="0" w:color="auto"/>
              <w:left w:val="nil"/>
              <w:bottom w:val="single" w:sz="4" w:space="0" w:color="auto"/>
              <w:right w:val="nil"/>
            </w:tcBorders>
            <w:shd w:val="clear" w:color="auto" w:fill="auto"/>
            <w:noWrap/>
            <w:vAlign w:val="center"/>
            <w:hideMark/>
          </w:tcPr>
          <w:p w14:paraId="0E8E0D6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0,33</w:t>
            </w:r>
          </w:p>
        </w:tc>
        <w:tc>
          <w:tcPr>
            <w:tcW w:w="681" w:type="pct"/>
            <w:tcBorders>
              <w:top w:val="single" w:sz="4" w:space="0" w:color="auto"/>
              <w:left w:val="nil"/>
              <w:bottom w:val="single" w:sz="4" w:space="0" w:color="auto"/>
              <w:right w:val="nil"/>
            </w:tcBorders>
            <w:shd w:val="clear" w:color="auto" w:fill="auto"/>
            <w:noWrap/>
            <w:vAlign w:val="center"/>
            <w:hideMark/>
          </w:tcPr>
          <w:p w14:paraId="7AA536B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0,69</w:t>
            </w:r>
          </w:p>
        </w:tc>
        <w:tc>
          <w:tcPr>
            <w:tcW w:w="793" w:type="pct"/>
            <w:tcBorders>
              <w:top w:val="single" w:sz="4" w:space="0" w:color="auto"/>
              <w:left w:val="nil"/>
              <w:bottom w:val="single" w:sz="4" w:space="0" w:color="auto"/>
              <w:right w:val="nil"/>
            </w:tcBorders>
            <w:shd w:val="clear" w:color="auto" w:fill="auto"/>
            <w:noWrap/>
            <w:vAlign w:val="center"/>
            <w:hideMark/>
          </w:tcPr>
          <w:p w14:paraId="2F30951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109.180</w:t>
            </w:r>
          </w:p>
        </w:tc>
      </w:tr>
      <w:tr w:rsidR="006356F1" w:rsidRPr="00822E74" w14:paraId="61884675"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E40E492"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32 </w:t>
            </w:r>
          </w:p>
        </w:tc>
        <w:tc>
          <w:tcPr>
            <w:tcW w:w="366" w:type="pct"/>
            <w:tcBorders>
              <w:top w:val="single" w:sz="4" w:space="0" w:color="auto"/>
              <w:left w:val="nil"/>
              <w:bottom w:val="single" w:sz="4" w:space="0" w:color="auto"/>
              <w:right w:val="nil"/>
            </w:tcBorders>
            <w:shd w:val="clear" w:color="auto" w:fill="auto"/>
            <w:noWrap/>
            <w:vAlign w:val="center"/>
            <w:hideMark/>
          </w:tcPr>
          <w:p w14:paraId="3A8D6EC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940</w:t>
            </w:r>
          </w:p>
        </w:tc>
        <w:tc>
          <w:tcPr>
            <w:tcW w:w="368" w:type="pct"/>
            <w:tcBorders>
              <w:top w:val="single" w:sz="4" w:space="0" w:color="auto"/>
              <w:left w:val="nil"/>
              <w:bottom w:val="single" w:sz="4" w:space="0" w:color="auto"/>
              <w:right w:val="nil"/>
            </w:tcBorders>
            <w:shd w:val="clear" w:color="auto" w:fill="auto"/>
            <w:noWrap/>
            <w:vAlign w:val="center"/>
            <w:hideMark/>
          </w:tcPr>
          <w:p w14:paraId="5EE0D6C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903</w:t>
            </w:r>
          </w:p>
        </w:tc>
        <w:tc>
          <w:tcPr>
            <w:tcW w:w="326" w:type="pct"/>
            <w:tcBorders>
              <w:top w:val="single" w:sz="4" w:space="0" w:color="auto"/>
              <w:left w:val="nil"/>
              <w:bottom w:val="single" w:sz="4" w:space="0" w:color="auto"/>
              <w:right w:val="nil"/>
            </w:tcBorders>
            <w:shd w:val="clear" w:color="auto" w:fill="auto"/>
            <w:noWrap/>
            <w:vAlign w:val="center"/>
            <w:hideMark/>
          </w:tcPr>
          <w:p w14:paraId="729BCF5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907</w:t>
            </w:r>
          </w:p>
        </w:tc>
        <w:tc>
          <w:tcPr>
            <w:tcW w:w="326" w:type="pct"/>
            <w:tcBorders>
              <w:top w:val="single" w:sz="4" w:space="0" w:color="auto"/>
              <w:left w:val="nil"/>
              <w:bottom w:val="single" w:sz="4" w:space="0" w:color="auto"/>
              <w:right w:val="nil"/>
            </w:tcBorders>
            <w:shd w:val="clear" w:color="auto" w:fill="auto"/>
            <w:noWrap/>
            <w:vAlign w:val="center"/>
            <w:hideMark/>
          </w:tcPr>
          <w:p w14:paraId="5E6DB73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882</w:t>
            </w:r>
          </w:p>
        </w:tc>
        <w:tc>
          <w:tcPr>
            <w:tcW w:w="475" w:type="pct"/>
            <w:tcBorders>
              <w:top w:val="single" w:sz="4" w:space="0" w:color="auto"/>
              <w:left w:val="nil"/>
              <w:bottom w:val="single" w:sz="4" w:space="0" w:color="auto"/>
              <w:right w:val="nil"/>
            </w:tcBorders>
            <w:shd w:val="clear" w:color="auto" w:fill="auto"/>
            <w:noWrap/>
            <w:vAlign w:val="center"/>
            <w:hideMark/>
          </w:tcPr>
          <w:p w14:paraId="321A697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908</w:t>
            </w:r>
          </w:p>
        </w:tc>
        <w:tc>
          <w:tcPr>
            <w:tcW w:w="697" w:type="pct"/>
            <w:tcBorders>
              <w:top w:val="single" w:sz="4" w:space="0" w:color="auto"/>
              <w:left w:val="nil"/>
              <w:bottom w:val="single" w:sz="4" w:space="0" w:color="auto"/>
              <w:right w:val="nil"/>
            </w:tcBorders>
            <w:shd w:val="clear" w:color="auto" w:fill="auto"/>
            <w:noWrap/>
            <w:vAlign w:val="center"/>
            <w:hideMark/>
          </w:tcPr>
          <w:p w14:paraId="3A4C9B5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1,05</w:t>
            </w:r>
          </w:p>
        </w:tc>
        <w:tc>
          <w:tcPr>
            <w:tcW w:w="681" w:type="pct"/>
            <w:tcBorders>
              <w:top w:val="single" w:sz="4" w:space="0" w:color="auto"/>
              <w:left w:val="nil"/>
              <w:bottom w:val="single" w:sz="4" w:space="0" w:color="auto"/>
              <w:right w:val="nil"/>
            </w:tcBorders>
            <w:shd w:val="clear" w:color="auto" w:fill="auto"/>
            <w:noWrap/>
            <w:vAlign w:val="center"/>
            <w:hideMark/>
          </w:tcPr>
          <w:p w14:paraId="27F08A1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2,14</w:t>
            </w:r>
          </w:p>
        </w:tc>
        <w:tc>
          <w:tcPr>
            <w:tcW w:w="793" w:type="pct"/>
            <w:tcBorders>
              <w:top w:val="single" w:sz="4" w:space="0" w:color="auto"/>
              <w:left w:val="nil"/>
              <w:bottom w:val="single" w:sz="4" w:space="0" w:color="auto"/>
              <w:right w:val="nil"/>
            </w:tcBorders>
            <w:shd w:val="clear" w:color="auto" w:fill="auto"/>
            <w:noWrap/>
            <w:vAlign w:val="center"/>
            <w:hideMark/>
          </w:tcPr>
          <w:p w14:paraId="51EF39C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108.807</w:t>
            </w:r>
          </w:p>
        </w:tc>
      </w:tr>
      <w:tr w:rsidR="006356F1" w:rsidRPr="00822E74" w14:paraId="488EA19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4403D510" w14:textId="77777777" w:rsidR="006356F1" w:rsidRPr="00822E74" w:rsidRDefault="006356F1" w:rsidP="00217400">
            <w:pPr>
              <w:rPr>
                <w:rFonts w:ascii="Arial" w:hAnsi="Arial" w:cs="Arial"/>
                <w:color w:val="000000"/>
                <w:sz w:val="20"/>
              </w:rPr>
            </w:pPr>
            <w:r w:rsidRPr="00822E74">
              <w:rPr>
                <w:rFonts w:ascii="Arial" w:hAnsi="Arial" w:cs="Arial"/>
                <w:color w:val="000000"/>
                <w:sz w:val="20"/>
              </w:rPr>
              <w:lastRenderedPageBreak/>
              <w:t xml:space="preserve"> Empresa 33 </w:t>
            </w:r>
          </w:p>
        </w:tc>
        <w:tc>
          <w:tcPr>
            <w:tcW w:w="366" w:type="pct"/>
            <w:tcBorders>
              <w:top w:val="single" w:sz="4" w:space="0" w:color="auto"/>
              <w:left w:val="nil"/>
              <w:bottom w:val="single" w:sz="4" w:space="0" w:color="auto"/>
              <w:right w:val="nil"/>
            </w:tcBorders>
            <w:shd w:val="clear" w:color="auto" w:fill="auto"/>
            <w:noWrap/>
            <w:vAlign w:val="center"/>
            <w:hideMark/>
          </w:tcPr>
          <w:p w14:paraId="6211A97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1.360</w:t>
            </w:r>
          </w:p>
        </w:tc>
        <w:tc>
          <w:tcPr>
            <w:tcW w:w="368" w:type="pct"/>
            <w:tcBorders>
              <w:top w:val="single" w:sz="4" w:space="0" w:color="auto"/>
              <w:left w:val="nil"/>
              <w:bottom w:val="single" w:sz="4" w:space="0" w:color="auto"/>
              <w:right w:val="nil"/>
            </w:tcBorders>
            <w:shd w:val="clear" w:color="auto" w:fill="auto"/>
            <w:noWrap/>
            <w:vAlign w:val="center"/>
            <w:hideMark/>
          </w:tcPr>
          <w:p w14:paraId="5AA0291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1.370</w:t>
            </w:r>
          </w:p>
        </w:tc>
        <w:tc>
          <w:tcPr>
            <w:tcW w:w="326" w:type="pct"/>
            <w:tcBorders>
              <w:top w:val="single" w:sz="4" w:space="0" w:color="auto"/>
              <w:left w:val="nil"/>
              <w:bottom w:val="single" w:sz="4" w:space="0" w:color="auto"/>
              <w:right w:val="nil"/>
            </w:tcBorders>
            <w:shd w:val="clear" w:color="auto" w:fill="auto"/>
            <w:noWrap/>
            <w:vAlign w:val="center"/>
            <w:hideMark/>
          </w:tcPr>
          <w:p w14:paraId="4D54CA1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1.428</w:t>
            </w:r>
          </w:p>
        </w:tc>
        <w:tc>
          <w:tcPr>
            <w:tcW w:w="326" w:type="pct"/>
            <w:tcBorders>
              <w:top w:val="single" w:sz="4" w:space="0" w:color="auto"/>
              <w:left w:val="nil"/>
              <w:bottom w:val="single" w:sz="4" w:space="0" w:color="auto"/>
              <w:right w:val="nil"/>
            </w:tcBorders>
            <w:shd w:val="clear" w:color="auto" w:fill="auto"/>
            <w:noWrap/>
            <w:vAlign w:val="center"/>
            <w:hideMark/>
          </w:tcPr>
          <w:p w14:paraId="48D9CEC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1.422</w:t>
            </w:r>
          </w:p>
        </w:tc>
        <w:tc>
          <w:tcPr>
            <w:tcW w:w="475" w:type="pct"/>
            <w:tcBorders>
              <w:top w:val="single" w:sz="4" w:space="0" w:color="auto"/>
              <w:left w:val="nil"/>
              <w:bottom w:val="single" w:sz="4" w:space="0" w:color="auto"/>
              <w:right w:val="nil"/>
            </w:tcBorders>
            <w:shd w:val="clear" w:color="auto" w:fill="auto"/>
            <w:noWrap/>
            <w:vAlign w:val="center"/>
            <w:hideMark/>
          </w:tcPr>
          <w:p w14:paraId="66DEED9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1.395</w:t>
            </w:r>
          </w:p>
        </w:tc>
        <w:tc>
          <w:tcPr>
            <w:tcW w:w="697" w:type="pct"/>
            <w:tcBorders>
              <w:top w:val="single" w:sz="4" w:space="0" w:color="auto"/>
              <w:left w:val="nil"/>
              <w:bottom w:val="single" w:sz="4" w:space="0" w:color="auto"/>
              <w:right w:val="nil"/>
            </w:tcBorders>
            <w:shd w:val="clear" w:color="auto" w:fill="auto"/>
            <w:noWrap/>
            <w:vAlign w:val="center"/>
            <w:hideMark/>
          </w:tcPr>
          <w:p w14:paraId="114D2A9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1,61</w:t>
            </w:r>
          </w:p>
        </w:tc>
        <w:tc>
          <w:tcPr>
            <w:tcW w:w="681" w:type="pct"/>
            <w:tcBorders>
              <w:top w:val="single" w:sz="4" w:space="0" w:color="auto"/>
              <w:left w:val="nil"/>
              <w:bottom w:val="single" w:sz="4" w:space="0" w:color="auto"/>
              <w:right w:val="nil"/>
            </w:tcBorders>
            <w:shd w:val="clear" w:color="auto" w:fill="auto"/>
            <w:noWrap/>
            <w:vAlign w:val="center"/>
            <w:hideMark/>
          </w:tcPr>
          <w:p w14:paraId="5866FAC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3,09</w:t>
            </w:r>
          </w:p>
        </w:tc>
        <w:tc>
          <w:tcPr>
            <w:tcW w:w="793" w:type="pct"/>
            <w:tcBorders>
              <w:top w:val="single" w:sz="4" w:space="0" w:color="auto"/>
              <w:left w:val="nil"/>
              <w:bottom w:val="single" w:sz="4" w:space="0" w:color="auto"/>
              <w:right w:val="nil"/>
            </w:tcBorders>
            <w:shd w:val="clear" w:color="auto" w:fill="auto"/>
            <w:noWrap/>
            <w:vAlign w:val="center"/>
            <w:hideMark/>
          </w:tcPr>
          <w:p w14:paraId="01AF990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102.169</w:t>
            </w:r>
          </w:p>
        </w:tc>
      </w:tr>
      <w:tr w:rsidR="006356F1" w:rsidRPr="00822E74" w14:paraId="04B5A87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2DA2E52"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34 </w:t>
            </w:r>
          </w:p>
        </w:tc>
        <w:tc>
          <w:tcPr>
            <w:tcW w:w="366" w:type="pct"/>
            <w:tcBorders>
              <w:top w:val="single" w:sz="4" w:space="0" w:color="auto"/>
              <w:left w:val="nil"/>
              <w:bottom w:val="single" w:sz="4" w:space="0" w:color="auto"/>
              <w:right w:val="nil"/>
            </w:tcBorders>
            <w:shd w:val="clear" w:color="auto" w:fill="auto"/>
            <w:noWrap/>
            <w:vAlign w:val="center"/>
            <w:hideMark/>
          </w:tcPr>
          <w:p w14:paraId="272FD210" w14:textId="77777777" w:rsidR="006356F1" w:rsidRPr="00822E74" w:rsidRDefault="006356F1" w:rsidP="00217400">
            <w:pPr>
              <w:jc w:val="right"/>
              <w:rPr>
                <w:rFonts w:ascii="Arial" w:hAnsi="Arial" w:cs="Arial"/>
                <w:color w:val="000000"/>
                <w:sz w:val="20"/>
              </w:rPr>
            </w:pPr>
          </w:p>
        </w:tc>
        <w:tc>
          <w:tcPr>
            <w:tcW w:w="368" w:type="pct"/>
            <w:tcBorders>
              <w:top w:val="single" w:sz="4" w:space="0" w:color="auto"/>
              <w:left w:val="nil"/>
              <w:bottom w:val="single" w:sz="4" w:space="0" w:color="auto"/>
              <w:right w:val="nil"/>
            </w:tcBorders>
            <w:shd w:val="clear" w:color="auto" w:fill="auto"/>
            <w:noWrap/>
            <w:vAlign w:val="center"/>
            <w:hideMark/>
          </w:tcPr>
          <w:p w14:paraId="709A743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108</w:t>
            </w:r>
          </w:p>
        </w:tc>
        <w:tc>
          <w:tcPr>
            <w:tcW w:w="326" w:type="pct"/>
            <w:tcBorders>
              <w:top w:val="single" w:sz="4" w:space="0" w:color="auto"/>
              <w:left w:val="nil"/>
              <w:bottom w:val="single" w:sz="4" w:space="0" w:color="auto"/>
              <w:right w:val="nil"/>
            </w:tcBorders>
            <w:shd w:val="clear" w:color="auto" w:fill="auto"/>
            <w:noWrap/>
            <w:vAlign w:val="center"/>
            <w:hideMark/>
          </w:tcPr>
          <w:p w14:paraId="7069825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145</w:t>
            </w:r>
          </w:p>
        </w:tc>
        <w:tc>
          <w:tcPr>
            <w:tcW w:w="326" w:type="pct"/>
            <w:tcBorders>
              <w:top w:val="single" w:sz="4" w:space="0" w:color="auto"/>
              <w:left w:val="nil"/>
              <w:bottom w:val="single" w:sz="4" w:space="0" w:color="auto"/>
              <w:right w:val="nil"/>
            </w:tcBorders>
            <w:shd w:val="clear" w:color="auto" w:fill="auto"/>
            <w:noWrap/>
            <w:vAlign w:val="center"/>
            <w:hideMark/>
          </w:tcPr>
          <w:p w14:paraId="1AB99F4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216</w:t>
            </w:r>
          </w:p>
        </w:tc>
        <w:tc>
          <w:tcPr>
            <w:tcW w:w="475" w:type="pct"/>
            <w:tcBorders>
              <w:top w:val="single" w:sz="4" w:space="0" w:color="auto"/>
              <w:left w:val="nil"/>
              <w:bottom w:val="single" w:sz="4" w:space="0" w:color="auto"/>
              <w:right w:val="nil"/>
            </w:tcBorders>
            <w:shd w:val="clear" w:color="auto" w:fill="auto"/>
            <w:noWrap/>
            <w:vAlign w:val="center"/>
            <w:hideMark/>
          </w:tcPr>
          <w:p w14:paraId="5E1FC9F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156</w:t>
            </w:r>
          </w:p>
        </w:tc>
        <w:tc>
          <w:tcPr>
            <w:tcW w:w="697" w:type="pct"/>
            <w:tcBorders>
              <w:top w:val="single" w:sz="4" w:space="0" w:color="auto"/>
              <w:left w:val="nil"/>
              <w:bottom w:val="single" w:sz="4" w:space="0" w:color="auto"/>
              <w:right w:val="nil"/>
            </w:tcBorders>
            <w:shd w:val="clear" w:color="auto" w:fill="auto"/>
            <w:noWrap/>
            <w:vAlign w:val="center"/>
            <w:hideMark/>
          </w:tcPr>
          <w:p w14:paraId="0493256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0,18</w:t>
            </w:r>
          </w:p>
        </w:tc>
        <w:tc>
          <w:tcPr>
            <w:tcW w:w="681" w:type="pct"/>
            <w:tcBorders>
              <w:top w:val="single" w:sz="4" w:space="0" w:color="auto"/>
              <w:left w:val="nil"/>
              <w:bottom w:val="single" w:sz="4" w:space="0" w:color="auto"/>
              <w:right w:val="nil"/>
            </w:tcBorders>
            <w:shd w:val="clear" w:color="auto" w:fill="auto"/>
            <w:noWrap/>
            <w:vAlign w:val="center"/>
            <w:hideMark/>
          </w:tcPr>
          <w:p w14:paraId="1C0DB34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0,34</w:t>
            </w:r>
          </w:p>
        </w:tc>
        <w:tc>
          <w:tcPr>
            <w:tcW w:w="793" w:type="pct"/>
            <w:tcBorders>
              <w:top w:val="single" w:sz="4" w:space="0" w:color="auto"/>
              <w:left w:val="nil"/>
              <w:bottom w:val="single" w:sz="4" w:space="0" w:color="auto"/>
              <w:right w:val="nil"/>
            </w:tcBorders>
            <w:shd w:val="clear" w:color="auto" w:fill="auto"/>
            <w:noWrap/>
            <w:vAlign w:val="center"/>
            <w:hideMark/>
          </w:tcPr>
          <w:p w14:paraId="54A2CD9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101.362</w:t>
            </w:r>
          </w:p>
        </w:tc>
      </w:tr>
      <w:tr w:rsidR="006356F1" w:rsidRPr="00822E74" w14:paraId="33E522AE"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480CC72E"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35 </w:t>
            </w:r>
          </w:p>
        </w:tc>
        <w:tc>
          <w:tcPr>
            <w:tcW w:w="366" w:type="pct"/>
            <w:tcBorders>
              <w:top w:val="single" w:sz="4" w:space="0" w:color="auto"/>
              <w:left w:val="nil"/>
              <w:bottom w:val="single" w:sz="4" w:space="0" w:color="auto"/>
              <w:right w:val="nil"/>
            </w:tcBorders>
            <w:shd w:val="clear" w:color="auto" w:fill="auto"/>
            <w:noWrap/>
            <w:vAlign w:val="center"/>
            <w:hideMark/>
          </w:tcPr>
          <w:p w14:paraId="2D42036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304</w:t>
            </w:r>
          </w:p>
        </w:tc>
        <w:tc>
          <w:tcPr>
            <w:tcW w:w="368" w:type="pct"/>
            <w:tcBorders>
              <w:top w:val="single" w:sz="4" w:space="0" w:color="auto"/>
              <w:left w:val="nil"/>
              <w:bottom w:val="single" w:sz="4" w:space="0" w:color="auto"/>
              <w:right w:val="nil"/>
            </w:tcBorders>
            <w:shd w:val="clear" w:color="auto" w:fill="auto"/>
            <w:noWrap/>
            <w:vAlign w:val="center"/>
            <w:hideMark/>
          </w:tcPr>
          <w:p w14:paraId="5889827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300</w:t>
            </w:r>
          </w:p>
        </w:tc>
        <w:tc>
          <w:tcPr>
            <w:tcW w:w="326" w:type="pct"/>
            <w:tcBorders>
              <w:top w:val="single" w:sz="4" w:space="0" w:color="auto"/>
              <w:left w:val="nil"/>
              <w:bottom w:val="single" w:sz="4" w:space="0" w:color="auto"/>
              <w:right w:val="nil"/>
            </w:tcBorders>
            <w:shd w:val="clear" w:color="auto" w:fill="auto"/>
            <w:noWrap/>
            <w:vAlign w:val="center"/>
            <w:hideMark/>
          </w:tcPr>
          <w:p w14:paraId="2E603A8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300</w:t>
            </w:r>
          </w:p>
        </w:tc>
        <w:tc>
          <w:tcPr>
            <w:tcW w:w="326" w:type="pct"/>
            <w:tcBorders>
              <w:top w:val="single" w:sz="4" w:space="0" w:color="auto"/>
              <w:left w:val="nil"/>
              <w:bottom w:val="single" w:sz="4" w:space="0" w:color="auto"/>
              <w:right w:val="nil"/>
            </w:tcBorders>
            <w:shd w:val="clear" w:color="auto" w:fill="auto"/>
            <w:noWrap/>
            <w:vAlign w:val="center"/>
            <w:hideMark/>
          </w:tcPr>
          <w:p w14:paraId="3CB2E2B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309</w:t>
            </w:r>
          </w:p>
        </w:tc>
        <w:tc>
          <w:tcPr>
            <w:tcW w:w="475" w:type="pct"/>
            <w:tcBorders>
              <w:top w:val="single" w:sz="4" w:space="0" w:color="auto"/>
              <w:left w:val="nil"/>
              <w:bottom w:val="single" w:sz="4" w:space="0" w:color="auto"/>
              <w:right w:val="nil"/>
            </w:tcBorders>
            <w:shd w:val="clear" w:color="auto" w:fill="auto"/>
            <w:noWrap/>
            <w:vAlign w:val="center"/>
            <w:hideMark/>
          </w:tcPr>
          <w:p w14:paraId="35B0D98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303</w:t>
            </w:r>
          </w:p>
        </w:tc>
        <w:tc>
          <w:tcPr>
            <w:tcW w:w="697" w:type="pct"/>
            <w:tcBorders>
              <w:top w:val="single" w:sz="4" w:space="0" w:color="auto"/>
              <w:left w:val="nil"/>
              <w:bottom w:val="single" w:sz="4" w:space="0" w:color="auto"/>
              <w:right w:val="nil"/>
            </w:tcBorders>
            <w:shd w:val="clear" w:color="auto" w:fill="auto"/>
            <w:noWrap/>
            <w:vAlign w:val="center"/>
            <w:hideMark/>
          </w:tcPr>
          <w:p w14:paraId="5C96EA3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0,35</w:t>
            </w:r>
          </w:p>
        </w:tc>
        <w:tc>
          <w:tcPr>
            <w:tcW w:w="681" w:type="pct"/>
            <w:tcBorders>
              <w:top w:val="single" w:sz="4" w:space="0" w:color="auto"/>
              <w:left w:val="nil"/>
              <w:bottom w:val="single" w:sz="4" w:space="0" w:color="auto"/>
              <w:right w:val="nil"/>
            </w:tcBorders>
            <w:shd w:val="clear" w:color="auto" w:fill="auto"/>
            <w:noWrap/>
            <w:vAlign w:val="center"/>
            <w:hideMark/>
          </w:tcPr>
          <w:p w14:paraId="24A3FA5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0,64</w:t>
            </w:r>
          </w:p>
        </w:tc>
        <w:tc>
          <w:tcPr>
            <w:tcW w:w="793" w:type="pct"/>
            <w:tcBorders>
              <w:top w:val="single" w:sz="4" w:space="0" w:color="auto"/>
              <w:left w:val="nil"/>
              <w:bottom w:val="single" w:sz="4" w:space="0" w:color="auto"/>
              <w:right w:val="nil"/>
            </w:tcBorders>
            <w:shd w:val="clear" w:color="auto" w:fill="auto"/>
            <w:noWrap/>
            <w:vAlign w:val="center"/>
            <w:hideMark/>
          </w:tcPr>
          <w:p w14:paraId="41C8154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97.569</w:t>
            </w:r>
          </w:p>
        </w:tc>
      </w:tr>
      <w:tr w:rsidR="006356F1" w:rsidRPr="00822E74" w14:paraId="2FCAD447"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78703789"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36 </w:t>
            </w:r>
          </w:p>
        </w:tc>
        <w:tc>
          <w:tcPr>
            <w:tcW w:w="366" w:type="pct"/>
            <w:tcBorders>
              <w:top w:val="single" w:sz="4" w:space="0" w:color="auto"/>
              <w:left w:val="nil"/>
              <w:bottom w:val="single" w:sz="4" w:space="0" w:color="auto"/>
              <w:right w:val="nil"/>
            </w:tcBorders>
            <w:shd w:val="clear" w:color="auto" w:fill="auto"/>
            <w:noWrap/>
            <w:vAlign w:val="center"/>
            <w:hideMark/>
          </w:tcPr>
          <w:p w14:paraId="040F8A2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580</w:t>
            </w:r>
          </w:p>
        </w:tc>
        <w:tc>
          <w:tcPr>
            <w:tcW w:w="368" w:type="pct"/>
            <w:tcBorders>
              <w:top w:val="single" w:sz="4" w:space="0" w:color="auto"/>
              <w:left w:val="nil"/>
              <w:bottom w:val="single" w:sz="4" w:space="0" w:color="auto"/>
              <w:right w:val="nil"/>
            </w:tcBorders>
            <w:shd w:val="clear" w:color="auto" w:fill="auto"/>
            <w:noWrap/>
            <w:vAlign w:val="center"/>
            <w:hideMark/>
          </w:tcPr>
          <w:p w14:paraId="63344FC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504</w:t>
            </w:r>
          </w:p>
        </w:tc>
        <w:tc>
          <w:tcPr>
            <w:tcW w:w="326" w:type="pct"/>
            <w:tcBorders>
              <w:top w:val="single" w:sz="4" w:space="0" w:color="auto"/>
              <w:left w:val="nil"/>
              <w:bottom w:val="single" w:sz="4" w:space="0" w:color="auto"/>
              <w:right w:val="nil"/>
            </w:tcBorders>
            <w:shd w:val="clear" w:color="auto" w:fill="auto"/>
            <w:noWrap/>
            <w:vAlign w:val="center"/>
            <w:hideMark/>
          </w:tcPr>
          <w:p w14:paraId="68E5CCC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377</w:t>
            </w:r>
          </w:p>
        </w:tc>
        <w:tc>
          <w:tcPr>
            <w:tcW w:w="326" w:type="pct"/>
            <w:tcBorders>
              <w:top w:val="single" w:sz="4" w:space="0" w:color="auto"/>
              <w:left w:val="nil"/>
              <w:bottom w:val="single" w:sz="4" w:space="0" w:color="auto"/>
              <w:right w:val="nil"/>
            </w:tcBorders>
            <w:shd w:val="clear" w:color="auto" w:fill="auto"/>
            <w:noWrap/>
            <w:vAlign w:val="center"/>
            <w:hideMark/>
          </w:tcPr>
          <w:p w14:paraId="52ECCFD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231</w:t>
            </w:r>
          </w:p>
        </w:tc>
        <w:tc>
          <w:tcPr>
            <w:tcW w:w="475" w:type="pct"/>
            <w:tcBorders>
              <w:top w:val="single" w:sz="4" w:space="0" w:color="auto"/>
              <w:left w:val="nil"/>
              <w:bottom w:val="single" w:sz="4" w:space="0" w:color="auto"/>
              <w:right w:val="nil"/>
            </w:tcBorders>
            <w:shd w:val="clear" w:color="auto" w:fill="auto"/>
            <w:noWrap/>
            <w:vAlign w:val="center"/>
            <w:hideMark/>
          </w:tcPr>
          <w:p w14:paraId="61ED7E9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423</w:t>
            </w:r>
          </w:p>
        </w:tc>
        <w:tc>
          <w:tcPr>
            <w:tcW w:w="697" w:type="pct"/>
            <w:tcBorders>
              <w:top w:val="single" w:sz="4" w:space="0" w:color="auto"/>
              <w:left w:val="nil"/>
              <w:bottom w:val="single" w:sz="4" w:space="0" w:color="auto"/>
              <w:right w:val="nil"/>
            </w:tcBorders>
            <w:shd w:val="clear" w:color="auto" w:fill="auto"/>
            <w:noWrap/>
            <w:vAlign w:val="center"/>
            <w:hideMark/>
          </w:tcPr>
          <w:p w14:paraId="6F1EFFE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0,49</w:t>
            </w:r>
          </w:p>
        </w:tc>
        <w:tc>
          <w:tcPr>
            <w:tcW w:w="681" w:type="pct"/>
            <w:tcBorders>
              <w:top w:val="single" w:sz="4" w:space="0" w:color="auto"/>
              <w:left w:val="nil"/>
              <w:bottom w:val="single" w:sz="4" w:space="0" w:color="auto"/>
              <w:right w:val="nil"/>
            </w:tcBorders>
            <w:shd w:val="clear" w:color="auto" w:fill="auto"/>
            <w:noWrap/>
            <w:vAlign w:val="center"/>
            <w:hideMark/>
          </w:tcPr>
          <w:p w14:paraId="134C744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0,89</w:t>
            </w:r>
          </w:p>
        </w:tc>
        <w:tc>
          <w:tcPr>
            <w:tcW w:w="793" w:type="pct"/>
            <w:tcBorders>
              <w:top w:val="single" w:sz="4" w:space="0" w:color="auto"/>
              <w:left w:val="nil"/>
              <w:bottom w:val="single" w:sz="4" w:space="0" w:color="auto"/>
              <w:right w:val="nil"/>
            </w:tcBorders>
            <w:shd w:val="clear" w:color="auto" w:fill="auto"/>
            <w:noWrap/>
            <w:vAlign w:val="center"/>
            <w:hideMark/>
          </w:tcPr>
          <w:p w14:paraId="77165BC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97.282</w:t>
            </w:r>
          </w:p>
        </w:tc>
      </w:tr>
      <w:tr w:rsidR="006356F1" w:rsidRPr="00822E74" w14:paraId="310820B4"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33E87A1"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37 </w:t>
            </w:r>
          </w:p>
        </w:tc>
        <w:tc>
          <w:tcPr>
            <w:tcW w:w="366" w:type="pct"/>
            <w:tcBorders>
              <w:top w:val="single" w:sz="4" w:space="0" w:color="auto"/>
              <w:left w:val="nil"/>
              <w:bottom w:val="single" w:sz="4" w:space="0" w:color="auto"/>
              <w:right w:val="nil"/>
            </w:tcBorders>
            <w:shd w:val="clear" w:color="auto" w:fill="auto"/>
            <w:noWrap/>
            <w:vAlign w:val="center"/>
            <w:hideMark/>
          </w:tcPr>
          <w:p w14:paraId="60E5EB2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123</w:t>
            </w:r>
          </w:p>
        </w:tc>
        <w:tc>
          <w:tcPr>
            <w:tcW w:w="368" w:type="pct"/>
            <w:tcBorders>
              <w:top w:val="single" w:sz="4" w:space="0" w:color="auto"/>
              <w:left w:val="nil"/>
              <w:bottom w:val="single" w:sz="4" w:space="0" w:color="auto"/>
              <w:right w:val="nil"/>
            </w:tcBorders>
            <w:shd w:val="clear" w:color="auto" w:fill="auto"/>
            <w:noWrap/>
            <w:vAlign w:val="center"/>
            <w:hideMark/>
          </w:tcPr>
          <w:p w14:paraId="6F7C065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117</w:t>
            </w:r>
          </w:p>
        </w:tc>
        <w:tc>
          <w:tcPr>
            <w:tcW w:w="326" w:type="pct"/>
            <w:tcBorders>
              <w:top w:val="single" w:sz="4" w:space="0" w:color="auto"/>
              <w:left w:val="nil"/>
              <w:bottom w:val="single" w:sz="4" w:space="0" w:color="auto"/>
              <w:right w:val="nil"/>
            </w:tcBorders>
            <w:shd w:val="clear" w:color="auto" w:fill="auto"/>
            <w:noWrap/>
            <w:vAlign w:val="center"/>
            <w:hideMark/>
          </w:tcPr>
          <w:p w14:paraId="040B63F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148</w:t>
            </w:r>
          </w:p>
        </w:tc>
        <w:tc>
          <w:tcPr>
            <w:tcW w:w="326" w:type="pct"/>
            <w:tcBorders>
              <w:top w:val="single" w:sz="4" w:space="0" w:color="auto"/>
              <w:left w:val="nil"/>
              <w:bottom w:val="single" w:sz="4" w:space="0" w:color="auto"/>
              <w:right w:val="nil"/>
            </w:tcBorders>
            <w:shd w:val="clear" w:color="auto" w:fill="auto"/>
            <w:noWrap/>
            <w:vAlign w:val="center"/>
            <w:hideMark/>
          </w:tcPr>
          <w:p w14:paraId="44079F7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164</w:t>
            </w:r>
          </w:p>
        </w:tc>
        <w:tc>
          <w:tcPr>
            <w:tcW w:w="475" w:type="pct"/>
            <w:tcBorders>
              <w:top w:val="single" w:sz="4" w:space="0" w:color="auto"/>
              <w:left w:val="nil"/>
              <w:bottom w:val="single" w:sz="4" w:space="0" w:color="auto"/>
              <w:right w:val="nil"/>
            </w:tcBorders>
            <w:shd w:val="clear" w:color="auto" w:fill="auto"/>
            <w:noWrap/>
            <w:vAlign w:val="center"/>
            <w:hideMark/>
          </w:tcPr>
          <w:p w14:paraId="737DD87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138</w:t>
            </w:r>
          </w:p>
        </w:tc>
        <w:tc>
          <w:tcPr>
            <w:tcW w:w="697" w:type="pct"/>
            <w:tcBorders>
              <w:top w:val="single" w:sz="4" w:space="0" w:color="auto"/>
              <w:left w:val="nil"/>
              <w:bottom w:val="single" w:sz="4" w:space="0" w:color="auto"/>
              <w:right w:val="nil"/>
            </w:tcBorders>
            <w:shd w:val="clear" w:color="auto" w:fill="auto"/>
            <w:noWrap/>
            <w:vAlign w:val="center"/>
            <w:hideMark/>
          </w:tcPr>
          <w:p w14:paraId="3DE75D6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0,16</w:t>
            </w:r>
          </w:p>
        </w:tc>
        <w:tc>
          <w:tcPr>
            <w:tcW w:w="681" w:type="pct"/>
            <w:tcBorders>
              <w:top w:val="single" w:sz="4" w:space="0" w:color="auto"/>
              <w:left w:val="nil"/>
              <w:bottom w:val="single" w:sz="4" w:space="0" w:color="auto"/>
              <w:right w:val="nil"/>
            </w:tcBorders>
            <w:shd w:val="clear" w:color="auto" w:fill="auto"/>
            <w:noWrap/>
            <w:vAlign w:val="center"/>
            <w:hideMark/>
          </w:tcPr>
          <w:p w14:paraId="6FF7D79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0,29</w:t>
            </w:r>
          </w:p>
        </w:tc>
        <w:tc>
          <w:tcPr>
            <w:tcW w:w="793" w:type="pct"/>
            <w:tcBorders>
              <w:top w:val="single" w:sz="4" w:space="0" w:color="auto"/>
              <w:left w:val="nil"/>
              <w:bottom w:val="single" w:sz="4" w:space="0" w:color="auto"/>
              <w:right w:val="nil"/>
            </w:tcBorders>
            <w:shd w:val="clear" w:color="auto" w:fill="auto"/>
            <w:noWrap/>
            <w:vAlign w:val="center"/>
            <w:hideMark/>
          </w:tcPr>
          <w:p w14:paraId="1217AB0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96.958</w:t>
            </w:r>
          </w:p>
        </w:tc>
      </w:tr>
      <w:tr w:rsidR="006356F1" w:rsidRPr="00822E74" w14:paraId="71796749"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FDB5CFA"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38 </w:t>
            </w:r>
          </w:p>
        </w:tc>
        <w:tc>
          <w:tcPr>
            <w:tcW w:w="366" w:type="pct"/>
            <w:tcBorders>
              <w:top w:val="single" w:sz="4" w:space="0" w:color="auto"/>
              <w:left w:val="nil"/>
              <w:bottom w:val="single" w:sz="4" w:space="0" w:color="auto"/>
              <w:right w:val="nil"/>
            </w:tcBorders>
            <w:shd w:val="clear" w:color="auto" w:fill="auto"/>
            <w:noWrap/>
            <w:vAlign w:val="center"/>
            <w:hideMark/>
          </w:tcPr>
          <w:p w14:paraId="3D8AB68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228</w:t>
            </w:r>
          </w:p>
        </w:tc>
        <w:tc>
          <w:tcPr>
            <w:tcW w:w="368" w:type="pct"/>
            <w:tcBorders>
              <w:top w:val="single" w:sz="4" w:space="0" w:color="auto"/>
              <w:left w:val="nil"/>
              <w:bottom w:val="single" w:sz="4" w:space="0" w:color="auto"/>
              <w:right w:val="nil"/>
            </w:tcBorders>
            <w:shd w:val="clear" w:color="auto" w:fill="auto"/>
            <w:noWrap/>
            <w:vAlign w:val="center"/>
            <w:hideMark/>
          </w:tcPr>
          <w:p w14:paraId="0D88BBA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234</w:t>
            </w:r>
          </w:p>
        </w:tc>
        <w:tc>
          <w:tcPr>
            <w:tcW w:w="326" w:type="pct"/>
            <w:tcBorders>
              <w:top w:val="single" w:sz="4" w:space="0" w:color="auto"/>
              <w:left w:val="nil"/>
              <w:bottom w:val="single" w:sz="4" w:space="0" w:color="auto"/>
              <w:right w:val="nil"/>
            </w:tcBorders>
            <w:shd w:val="clear" w:color="auto" w:fill="auto"/>
            <w:noWrap/>
            <w:vAlign w:val="center"/>
            <w:hideMark/>
          </w:tcPr>
          <w:p w14:paraId="5194878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238</w:t>
            </w:r>
          </w:p>
        </w:tc>
        <w:tc>
          <w:tcPr>
            <w:tcW w:w="326" w:type="pct"/>
            <w:tcBorders>
              <w:top w:val="single" w:sz="4" w:space="0" w:color="auto"/>
              <w:left w:val="nil"/>
              <w:bottom w:val="single" w:sz="4" w:space="0" w:color="auto"/>
              <w:right w:val="nil"/>
            </w:tcBorders>
            <w:shd w:val="clear" w:color="auto" w:fill="auto"/>
            <w:noWrap/>
            <w:vAlign w:val="center"/>
            <w:hideMark/>
          </w:tcPr>
          <w:p w14:paraId="4A20424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234</w:t>
            </w:r>
          </w:p>
        </w:tc>
        <w:tc>
          <w:tcPr>
            <w:tcW w:w="475" w:type="pct"/>
            <w:tcBorders>
              <w:top w:val="single" w:sz="4" w:space="0" w:color="auto"/>
              <w:left w:val="nil"/>
              <w:bottom w:val="single" w:sz="4" w:space="0" w:color="auto"/>
              <w:right w:val="nil"/>
            </w:tcBorders>
            <w:shd w:val="clear" w:color="auto" w:fill="auto"/>
            <w:noWrap/>
            <w:vAlign w:val="center"/>
            <w:hideMark/>
          </w:tcPr>
          <w:p w14:paraId="529B576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234</w:t>
            </w:r>
          </w:p>
        </w:tc>
        <w:tc>
          <w:tcPr>
            <w:tcW w:w="697" w:type="pct"/>
            <w:tcBorders>
              <w:top w:val="single" w:sz="4" w:space="0" w:color="auto"/>
              <w:left w:val="nil"/>
              <w:bottom w:val="single" w:sz="4" w:space="0" w:color="auto"/>
              <w:right w:val="nil"/>
            </w:tcBorders>
            <w:shd w:val="clear" w:color="auto" w:fill="auto"/>
            <w:noWrap/>
            <w:vAlign w:val="center"/>
            <w:hideMark/>
          </w:tcPr>
          <w:p w14:paraId="2C754B2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0,27</w:t>
            </w:r>
          </w:p>
        </w:tc>
        <w:tc>
          <w:tcPr>
            <w:tcW w:w="681" w:type="pct"/>
            <w:tcBorders>
              <w:top w:val="single" w:sz="4" w:space="0" w:color="auto"/>
              <w:left w:val="nil"/>
              <w:bottom w:val="single" w:sz="4" w:space="0" w:color="auto"/>
              <w:right w:val="nil"/>
            </w:tcBorders>
            <w:shd w:val="clear" w:color="auto" w:fill="auto"/>
            <w:noWrap/>
            <w:vAlign w:val="center"/>
            <w:hideMark/>
          </w:tcPr>
          <w:p w14:paraId="2AD0381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0,47</w:t>
            </w:r>
          </w:p>
        </w:tc>
        <w:tc>
          <w:tcPr>
            <w:tcW w:w="793" w:type="pct"/>
            <w:tcBorders>
              <w:top w:val="single" w:sz="4" w:space="0" w:color="auto"/>
              <w:left w:val="nil"/>
              <w:bottom w:val="single" w:sz="4" w:space="0" w:color="auto"/>
              <w:right w:val="nil"/>
            </w:tcBorders>
            <w:shd w:val="clear" w:color="auto" w:fill="auto"/>
            <w:noWrap/>
            <w:vAlign w:val="center"/>
            <w:hideMark/>
          </w:tcPr>
          <w:p w14:paraId="11046A9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91.938</w:t>
            </w:r>
          </w:p>
        </w:tc>
      </w:tr>
      <w:tr w:rsidR="006356F1" w:rsidRPr="00822E74" w14:paraId="2445AB10"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97C4C36"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39 </w:t>
            </w:r>
          </w:p>
        </w:tc>
        <w:tc>
          <w:tcPr>
            <w:tcW w:w="366" w:type="pct"/>
            <w:tcBorders>
              <w:top w:val="single" w:sz="4" w:space="0" w:color="auto"/>
              <w:left w:val="nil"/>
              <w:bottom w:val="single" w:sz="4" w:space="0" w:color="auto"/>
              <w:right w:val="nil"/>
            </w:tcBorders>
            <w:shd w:val="clear" w:color="auto" w:fill="auto"/>
            <w:noWrap/>
            <w:vAlign w:val="center"/>
            <w:hideMark/>
          </w:tcPr>
          <w:p w14:paraId="108494A7" w14:textId="77777777" w:rsidR="006356F1" w:rsidRPr="00822E74" w:rsidRDefault="006356F1" w:rsidP="00217400">
            <w:pPr>
              <w:jc w:val="right"/>
              <w:rPr>
                <w:rFonts w:ascii="Arial" w:hAnsi="Arial" w:cs="Arial"/>
                <w:color w:val="000000"/>
                <w:sz w:val="20"/>
              </w:rPr>
            </w:pPr>
          </w:p>
        </w:tc>
        <w:tc>
          <w:tcPr>
            <w:tcW w:w="368" w:type="pct"/>
            <w:tcBorders>
              <w:top w:val="single" w:sz="4" w:space="0" w:color="auto"/>
              <w:left w:val="nil"/>
              <w:bottom w:val="single" w:sz="4" w:space="0" w:color="auto"/>
              <w:right w:val="nil"/>
            </w:tcBorders>
            <w:shd w:val="clear" w:color="auto" w:fill="auto"/>
            <w:noWrap/>
            <w:vAlign w:val="center"/>
            <w:hideMark/>
          </w:tcPr>
          <w:p w14:paraId="494786C3" w14:textId="77777777" w:rsidR="006356F1" w:rsidRPr="00822E74" w:rsidRDefault="006356F1" w:rsidP="00217400">
            <w:pPr>
              <w:jc w:val="right"/>
              <w:rPr>
                <w:rFonts w:ascii="Arial" w:hAnsi="Arial" w:cs="Arial"/>
                <w:color w:val="000000"/>
                <w:sz w:val="20"/>
              </w:rPr>
            </w:pPr>
          </w:p>
        </w:tc>
        <w:tc>
          <w:tcPr>
            <w:tcW w:w="326" w:type="pct"/>
            <w:tcBorders>
              <w:top w:val="single" w:sz="4" w:space="0" w:color="auto"/>
              <w:left w:val="nil"/>
              <w:bottom w:val="single" w:sz="4" w:space="0" w:color="auto"/>
              <w:right w:val="nil"/>
            </w:tcBorders>
            <w:shd w:val="clear" w:color="auto" w:fill="auto"/>
            <w:noWrap/>
            <w:vAlign w:val="center"/>
            <w:hideMark/>
          </w:tcPr>
          <w:p w14:paraId="5809B43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948</w:t>
            </w:r>
          </w:p>
        </w:tc>
        <w:tc>
          <w:tcPr>
            <w:tcW w:w="326" w:type="pct"/>
            <w:tcBorders>
              <w:top w:val="single" w:sz="4" w:space="0" w:color="auto"/>
              <w:left w:val="nil"/>
              <w:bottom w:val="single" w:sz="4" w:space="0" w:color="auto"/>
              <w:right w:val="nil"/>
            </w:tcBorders>
            <w:shd w:val="clear" w:color="auto" w:fill="auto"/>
            <w:noWrap/>
            <w:vAlign w:val="center"/>
            <w:hideMark/>
          </w:tcPr>
          <w:p w14:paraId="07547A5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866</w:t>
            </w:r>
          </w:p>
        </w:tc>
        <w:tc>
          <w:tcPr>
            <w:tcW w:w="475" w:type="pct"/>
            <w:tcBorders>
              <w:top w:val="single" w:sz="4" w:space="0" w:color="auto"/>
              <w:left w:val="nil"/>
              <w:bottom w:val="single" w:sz="4" w:space="0" w:color="auto"/>
              <w:right w:val="nil"/>
            </w:tcBorders>
            <w:shd w:val="clear" w:color="auto" w:fill="auto"/>
            <w:noWrap/>
            <w:vAlign w:val="center"/>
            <w:hideMark/>
          </w:tcPr>
          <w:p w14:paraId="4EE6A1A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907</w:t>
            </w:r>
          </w:p>
        </w:tc>
        <w:tc>
          <w:tcPr>
            <w:tcW w:w="697" w:type="pct"/>
            <w:tcBorders>
              <w:top w:val="single" w:sz="4" w:space="0" w:color="auto"/>
              <w:left w:val="nil"/>
              <w:bottom w:val="single" w:sz="4" w:space="0" w:color="auto"/>
              <w:right w:val="nil"/>
            </w:tcBorders>
            <w:shd w:val="clear" w:color="auto" w:fill="auto"/>
            <w:noWrap/>
            <w:vAlign w:val="center"/>
            <w:hideMark/>
          </w:tcPr>
          <w:p w14:paraId="00D3ED5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1,05</w:t>
            </w:r>
          </w:p>
        </w:tc>
        <w:tc>
          <w:tcPr>
            <w:tcW w:w="681" w:type="pct"/>
            <w:tcBorders>
              <w:top w:val="single" w:sz="4" w:space="0" w:color="auto"/>
              <w:left w:val="nil"/>
              <w:bottom w:val="single" w:sz="4" w:space="0" w:color="auto"/>
              <w:right w:val="nil"/>
            </w:tcBorders>
            <w:shd w:val="clear" w:color="auto" w:fill="auto"/>
            <w:noWrap/>
            <w:vAlign w:val="center"/>
            <w:hideMark/>
          </w:tcPr>
          <w:p w14:paraId="5D44F77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1,80</w:t>
            </w:r>
          </w:p>
        </w:tc>
        <w:tc>
          <w:tcPr>
            <w:tcW w:w="793" w:type="pct"/>
            <w:tcBorders>
              <w:top w:val="single" w:sz="4" w:space="0" w:color="auto"/>
              <w:left w:val="nil"/>
              <w:bottom w:val="single" w:sz="4" w:space="0" w:color="auto"/>
              <w:right w:val="nil"/>
            </w:tcBorders>
            <w:shd w:val="clear" w:color="auto" w:fill="auto"/>
            <w:noWrap/>
            <w:vAlign w:val="center"/>
            <w:hideMark/>
          </w:tcPr>
          <w:p w14:paraId="39D7BBA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91.558</w:t>
            </w:r>
          </w:p>
        </w:tc>
      </w:tr>
      <w:tr w:rsidR="006356F1" w:rsidRPr="00822E74" w14:paraId="6FFCCE42"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FC058A9"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40 </w:t>
            </w:r>
          </w:p>
        </w:tc>
        <w:tc>
          <w:tcPr>
            <w:tcW w:w="366" w:type="pct"/>
            <w:tcBorders>
              <w:top w:val="single" w:sz="4" w:space="0" w:color="auto"/>
              <w:left w:val="nil"/>
              <w:bottom w:val="single" w:sz="4" w:space="0" w:color="auto"/>
              <w:right w:val="nil"/>
            </w:tcBorders>
            <w:shd w:val="clear" w:color="auto" w:fill="auto"/>
            <w:noWrap/>
            <w:vAlign w:val="center"/>
            <w:hideMark/>
          </w:tcPr>
          <w:p w14:paraId="311608B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345</w:t>
            </w:r>
          </w:p>
        </w:tc>
        <w:tc>
          <w:tcPr>
            <w:tcW w:w="368" w:type="pct"/>
            <w:tcBorders>
              <w:top w:val="single" w:sz="4" w:space="0" w:color="auto"/>
              <w:left w:val="nil"/>
              <w:bottom w:val="single" w:sz="4" w:space="0" w:color="auto"/>
              <w:right w:val="nil"/>
            </w:tcBorders>
            <w:shd w:val="clear" w:color="auto" w:fill="auto"/>
            <w:noWrap/>
            <w:vAlign w:val="center"/>
            <w:hideMark/>
          </w:tcPr>
          <w:p w14:paraId="355811B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325</w:t>
            </w:r>
          </w:p>
        </w:tc>
        <w:tc>
          <w:tcPr>
            <w:tcW w:w="326" w:type="pct"/>
            <w:tcBorders>
              <w:top w:val="single" w:sz="4" w:space="0" w:color="auto"/>
              <w:left w:val="nil"/>
              <w:bottom w:val="single" w:sz="4" w:space="0" w:color="auto"/>
              <w:right w:val="nil"/>
            </w:tcBorders>
            <w:shd w:val="clear" w:color="auto" w:fill="auto"/>
            <w:noWrap/>
            <w:vAlign w:val="center"/>
            <w:hideMark/>
          </w:tcPr>
          <w:p w14:paraId="0EAD7CA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659</w:t>
            </w:r>
          </w:p>
        </w:tc>
        <w:tc>
          <w:tcPr>
            <w:tcW w:w="326" w:type="pct"/>
            <w:tcBorders>
              <w:top w:val="single" w:sz="4" w:space="0" w:color="auto"/>
              <w:left w:val="nil"/>
              <w:bottom w:val="single" w:sz="4" w:space="0" w:color="auto"/>
              <w:right w:val="nil"/>
            </w:tcBorders>
            <w:shd w:val="clear" w:color="auto" w:fill="auto"/>
            <w:noWrap/>
            <w:vAlign w:val="center"/>
            <w:hideMark/>
          </w:tcPr>
          <w:p w14:paraId="3093788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890</w:t>
            </w:r>
          </w:p>
        </w:tc>
        <w:tc>
          <w:tcPr>
            <w:tcW w:w="475" w:type="pct"/>
            <w:tcBorders>
              <w:top w:val="single" w:sz="4" w:space="0" w:color="auto"/>
              <w:left w:val="nil"/>
              <w:bottom w:val="single" w:sz="4" w:space="0" w:color="auto"/>
              <w:right w:val="nil"/>
            </w:tcBorders>
            <w:shd w:val="clear" w:color="auto" w:fill="auto"/>
            <w:noWrap/>
            <w:vAlign w:val="center"/>
            <w:hideMark/>
          </w:tcPr>
          <w:p w14:paraId="2483511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555</w:t>
            </w:r>
          </w:p>
        </w:tc>
        <w:tc>
          <w:tcPr>
            <w:tcW w:w="697" w:type="pct"/>
            <w:tcBorders>
              <w:top w:val="single" w:sz="4" w:space="0" w:color="auto"/>
              <w:left w:val="nil"/>
              <w:bottom w:val="single" w:sz="4" w:space="0" w:color="auto"/>
              <w:right w:val="nil"/>
            </w:tcBorders>
            <w:shd w:val="clear" w:color="auto" w:fill="auto"/>
            <w:noWrap/>
            <w:vAlign w:val="center"/>
            <w:hideMark/>
          </w:tcPr>
          <w:p w14:paraId="5CCAEA3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0,64</w:t>
            </w:r>
          </w:p>
        </w:tc>
        <w:tc>
          <w:tcPr>
            <w:tcW w:w="681" w:type="pct"/>
            <w:tcBorders>
              <w:top w:val="single" w:sz="4" w:space="0" w:color="auto"/>
              <w:left w:val="nil"/>
              <w:bottom w:val="single" w:sz="4" w:space="0" w:color="auto"/>
              <w:right w:val="nil"/>
            </w:tcBorders>
            <w:shd w:val="clear" w:color="auto" w:fill="auto"/>
            <w:noWrap/>
            <w:vAlign w:val="center"/>
            <w:hideMark/>
          </w:tcPr>
          <w:p w14:paraId="6F87704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1,06</w:t>
            </w:r>
          </w:p>
        </w:tc>
        <w:tc>
          <w:tcPr>
            <w:tcW w:w="793" w:type="pct"/>
            <w:tcBorders>
              <w:top w:val="single" w:sz="4" w:space="0" w:color="auto"/>
              <w:left w:val="nil"/>
              <w:bottom w:val="single" w:sz="4" w:space="0" w:color="auto"/>
              <w:right w:val="nil"/>
            </w:tcBorders>
            <w:shd w:val="clear" w:color="auto" w:fill="auto"/>
            <w:noWrap/>
            <w:vAlign w:val="center"/>
            <w:hideMark/>
          </w:tcPr>
          <w:p w14:paraId="39EA63A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88.468</w:t>
            </w:r>
          </w:p>
        </w:tc>
      </w:tr>
      <w:tr w:rsidR="006356F1" w:rsidRPr="00822E74" w14:paraId="77DFA3AD"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081B1B6"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41 </w:t>
            </w:r>
          </w:p>
        </w:tc>
        <w:tc>
          <w:tcPr>
            <w:tcW w:w="366" w:type="pct"/>
            <w:tcBorders>
              <w:top w:val="single" w:sz="4" w:space="0" w:color="auto"/>
              <w:left w:val="nil"/>
              <w:bottom w:val="single" w:sz="4" w:space="0" w:color="auto"/>
              <w:right w:val="nil"/>
            </w:tcBorders>
            <w:shd w:val="clear" w:color="auto" w:fill="auto"/>
            <w:noWrap/>
            <w:vAlign w:val="center"/>
            <w:hideMark/>
          </w:tcPr>
          <w:p w14:paraId="1A8B772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306</w:t>
            </w:r>
          </w:p>
        </w:tc>
        <w:tc>
          <w:tcPr>
            <w:tcW w:w="368" w:type="pct"/>
            <w:tcBorders>
              <w:top w:val="single" w:sz="4" w:space="0" w:color="auto"/>
              <w:left w:val="nil"/>
              <w:bottom w:val="single" w:sz="4" w:space="0" w:color="auto"/>
              <w:right w:val="nil"/>
            </w:tcBorders>
            <w:shd w:val="clear" w:color="auto" w:fill="auto"/>
            <w:noWrap/>
            <w:vAlign w:val="center"/>
            <w:hideMark/>
          </w:tcPr>
          <w:p w14:paraId="7366B31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312</w:t>
            </w:r>
          </w:p>
        </w:tc>
        <w:tc>
          <w:tcPr>
            <w:tcW w:w="326" w:type="pct"/>
            <w:tcBorders>
              <w:top w:val="single" w:sz="4" w:space="0" w:color="auto"/>
              <w:left w:val="nil"/>
              <w:bottom w:val="single" w:sz="4" w:space="0" w:color="auto"/>
              <w:right w:val="nil"/>
            </w:tcBorders>
            <w:shd w:val="clear" w:color="auto" w:fill="auto"/>
            <w:noWrap/>
            <w:vAlign w:val="center"/>
            <w:hideMark/>
          </w:tcPr>
          <w:p w14:paraId="45F13B5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308</w:t>
            </w:r>
          </w:p>
        </w:tc>
        <w:tc>
          <w:tcPr>
            <w:tcW w:w="326" w:type="pct"/>
            <w:tcBorders>
              <w:top w:val="single" w:sz="4" w:space="0" w:color="auto"/>
              <w:left w:val="nil"/>
              <w:bottom w:val="single" w:sz="4" w:space="0" w:color="auto"/>
              <w:right w:val="nil"/>
            </w:tcBorders>
            <w:shd w:val="clear" w:color="auto" w:fill="auto"/>
            <w:noWrap/>
            <w:vAlign w:val="center"/>
            <w:hideMark/>
          </w:tcPr>
          <w:p w14:paraId="527F600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322</w:t>
            </w:r>
          </w:p>
        </w:tc>
        <w:tc>
          <w:tcPr>
            <w:tcW w:w="475" w:type="pct"/>
            <w:tcBorders>
              <w:top w:val="single" w:sz="4" w:space="0" w:color="auto"/>
              <w:left w:val="nil"/>
              <w:bottom w:val="single" w:sz="4" w:space="0" w:color="auto"/>
              <w:right w:val="nil"/>
            </w:tcBorders>
            <w:shd w:val="clear" w:color="auto" w:fill="auto"/>
            <w:noWrap/>
            <w:vAlign w:val="center"/>
            <w:hideMark/>
          </w:tcPr>
          <w:p w14:paraId="7B941FC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312</w:t>
            </w:r>
          </w:p>
        </w:tc>
        <w:tc>
          <w:tcPr>
            <w:tcW w:w="697" w:type="pct"/>
            <w:tcBorders>
              <w:top w:val="single" w:sz="4" w:space="0" w:color="auto"/>
              <w:left w:val="nil"/>
              <w:bottom w:val="single" w:sz="4" w:space="0" w:color="auto"/>
              <w:right w:val="nil"/>
            </w:tcBorders>
            <w:shd w:val="clear" w:color="auto" w:fill="auto"/>
            <w:noWrap/>
            <w:vAlign w:val="center"/>
            <w:hideMark/>
          </w:tcPr>
          <w:p w14:paraId="7C93B4F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0,36</w:t>
            </w:r>
          </w:p>
        </w:tc>
        <w:tc>
          <w:tcPr>
            <w:tcW w:w="681" w:type="pct"/>
            <w:tcBorders>
              <w:top w:val="single" w:sz="4" w:space="0" w:color="auto"/>
              <w:left w:val="nil"/>
              <w:bottom w:val="single" w:sz="4" w:space="0" w:color="auto"/>
              <w:right w:val="nil"/>
            </w:tcBorders>
            <w:shd w:val="clear" w:color="auto" w:fill="auto"/>
            <w:noWrap/>
            <w:vAlign w:val="center"/>
            <w:hideMark/>
          </w:tcPr>
          <w:p w14:paraId="4993217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0,58</w:t>
            </w:r>
          </w:p>
        </w:tc>
        <w:tc>
          <w:tcPr>
            <w:tcW w:w="793" w:type="pct"/>
            <w:tcBorders>
              <w:top w:val="single" w:sz="4" w:space="0" w:color="auto"/>
              <w:left w:val="nil"/>
              <w:bottom w:val="single" w:sz="4" w:space="0" w:color="auto"/>
              <w:right w:val="nil"/>
            </w:tcBorders>
            <w:shd w:val="clear" w:color="auto" w:fill="auto"/>
            <w:noWrap/>
            <w:vAlign w:val="center"/>
            <w:hideMark/>
          </w:tcPr>
          <w:p w14:paraId="2C774D5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85.634</w:t>
            </w:r>
          </w:p>
        </w:tc>
      </w:tr>
      <w:tr w:rsidR="006356F1" w:rsidRPr="00822E74" w14:paraId="36AE4CB9"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9971B35"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42 </w:t>
            </w:r>
          </w:p>
        </w:tc>
        <w:tc>
          <w:tcPr>
            <w:tcW w:w="366" w:type="pct"/>
            <w:tcBorders>
              <w:top w:val="single" w:sz="4" w:space="0" w:color="auto"/>
              <w:left w:val="nil"/>
              <w:bottom w:val="single" w:sz="4" w:space="0" w:color="auto"/>
              <w:right w:val="nil"/>
            </w:tcBorders>
            <w:shd w:val="clear" w:color="auto" w:fill="auto"/>
            <w:noWrap/>
            <w:vAlign w:val="center"/>
            <w:hideMark/>
          </w:tcPr>
          <w:p w14:paraId="14FBA7B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126</w:t>
            </w:r>
          </w:p>
        </w:tc>
        <w:tc>
          <w:tcPr>
            <w:tcW w:w="368" w:type="pct"/>
            <w:tcBorders>
              <w:top w:val="single" w:sz="4" w:space="0" w:color="auto"/>
              <w:left w:val="nil"/>
              <w:bottom w:val="single" w:sz="4" w:space="0" w:color="auto"/>
              <w:right w:val="nil"/>
            </w:tcBorders>
            <w:shd w:val="clear" w:color="auto" w:fill="auto"/>
            <w:noWrap/>
            <w:vAlign w:val="center"/>
            <w:hideMark/>
          </w:tcPr>
          <w:p w14:paraId="155E84D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153</w:t>
            </w:r>
          </w:p>
        </w:tc>
        <w:tc>
          <w:tcPr>
            <w:tcW w:w="326" w:type="pct"/>
            <w:tcBorders>
              <w:top w:val="single" w:sz="4" w:space="0" w:color="auto"/>
              <w:left w:val="nil"/>
              <w:bottom w:val="single" w:sz="4" w:space="0" w:color="auto"/>
              <w:right w:val="nil"/>
            </w:tcBorders>
            <w:shd w:val="clear" w:color="auto" w:fill="auto"/>
            <w:noWrap/>
            <w:vAlign w:val="center"/>
            <w:hideMark/>
          </w:tcPr>
          <w:p w14:paraId="661B89D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155</w:t>
            </w:r>
          </w:p>
        </w:tc>
        <w:tc>
          <w:tcPr>
            <w:tcW w:w="326" w:type="pct"/>
            <w:tcBorders>
              <w:top w:val="single" w:sz="4" w:space="0" w:color="auto"/>
              <w:left w:val="nil"/>
              <w:bottom w:val="single" w:sz="4" w:space="0" w:color="auto"/>
              <w:right w:val="nil"/>
            </w:tcBorders>
            <w:shd w:val="clear" w:color="auto" w:fill="auto"/>
            <w:noWrap/>
            <w:vAlign w:val="center"/>
            <w:hideMark/>
          </w:tcPr>
          <w:p w14:paraId="498302F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184</w:t>
            </w:r>
          </w:p>
        </w:tc>
        <w:tc>
          <w:tcPr>
            <w:tcW w:w="475" w:type="pct"/>
            <w:tcBorders>
              <w:top w:val="single" w:sz="4" w:space="0" w:color="auto"/>
              <w:left w:val="nil"/>
              <w:bottom w:val="single" w:sz="4" w:space="0" w:color="auto"/>
              <w:right w:val="nil"/>
            </w:tcBorders>
            <w:shd w:val="clear" w:color="auto" w:fill="auto"/>
            <w:noWrap/>
            <w:vAlign w:val="center"/>
            <w:hideMark/>
          </w:tcPr>
          <w:p w14:paraId="4215E17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155</w:t>
            </w:r>
          </w:p>
        </w:tc>
        <w:tc>
          <w:tcPr>
            <w:tcW w:w="697" w:type="pct"/>
            <w:tcBorders>
              <w:top w:val="single" w:sz="4" w:space="0" w:color="auto"/>
              <w:left w:val="nil"/>
              <w:bottom w:val="single" w:sz="4" w:space="0" w:color="auto"/>
              <w:right w:val="nil"/>
            </w:tcBorders>
            <w:shd w:val="clear" w:color="auto" w:fill="auto"/>
            <w:noWrap/>
            <w:vAlign w:val="center"/>
            <w:hideMark/>
          </w:tcPr>
          <w:p w14:paraId="5C76CE3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0,18</w:t>
            </w:r>
          </w:p>
        </w:tc>
        <w:tc>
          <w:tcPr>
            <w:tcW w:w="681" w:type="pct"/>
            <w:tcBorders>
              <w:top w:val="single" w:sz="4" w:space="0" w:color="auto"/>
              <w:left w:val="nil"/>
              <w:bottom w:val="single" w:sz="4" w:space="0" w:color="auto"/>
              <w:right w:val="nil"/>
            </w:tcBorders>
            <w:shd w:val="clear" w:color="auto" w:fill="auto"/>
            <w:noWrap/>
            <w:vAlign w:val="center"/>
            <w:hideMark/>
          </w:tcPr>
          <w:p w14:paraId="54D130B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0,28</w:t>
            </w:r>
          </w:p>
        </w:tc>
        <w:tc>
          <w:tcPr>
            <w:tcW w:w="793" w:type="pct"/>
            <w:tcBorders>
              <w:top w:val="single" w:sz="4" w:space="0" w:color="auto"/>
              <w:left w:val="nil"/>
              <w:bottom w:val="single" w:sz="4" w:space="0" w:color="auto"/>
              <w:right w:val="nil"/>
            </w:tcBorders>
            <w:shd w:val="clear" w:color="auto" w:fill="auto"/>
            <w:noWrap/>
            <w:vAlign w:val="center"/>
            <w:hideMark/>
          </w:tcPr>
          <w:p w14:paraId="7846296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84.529</w:t>
            </w:r>
          </w:p>
        </w:tc>
      </w:tr>
      <w:tr w:rsidR="006356F1" w:rsidRPr="00822E74" w14:paraId="79560969"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7C230FE"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43 </w:t>
            </w:r>
          </w:p>
        </w:tc>
        <w:tc>
          <w:tcPr>
            <w:tcW w:w="366" w:type="pct"/>
            <w:tcBorders>
              <w:top w:val="single" w:sz="4" w:space="0" w:color="auto"/>
              <w:left w:val="nil"/>
              <w:bottom w:val="single" w:sz="4" w:space="0" w:color="auto"/>
              <w:right w:val="nil"/>
            </w:tcBorders>
            <w:shd w:val="clear" w:color="auto" w:fill="auto"/>
            <w:noWrap/>
            <w:vAlign w:val="center"/>
            <w:hideMark/>
          </w:tcPr>
          <w:p w14:paraId="4FDE6DA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312</w:t>
            </w:r>
          </w:p>
        </w:tc>
        <w:tc>
          <w:tcPr>
            <w:tcW w:w="368" w:type="pct"/>
            <w:tcBorders>
              <w:top w:val="single" w:sz="4" w:space="0" w:color="auto"/>
              <w:left w:val="nil"/>
              <w:bottom w:val="single" w:sz="4" w:space="0" w:color="auto"/>
              <w:right w:val="nil"/>
            </w:tcBorders>
            <w:shd w:val="clear" w:color="auto" w:fill="auto"/>
            <w:noWrap/>
            <w:vAlign w:val="center"/>
            <w:hideMark/>
          </w:tcPr>
          <w:p w14:paraId="23221A7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337</w:t>
            </w:r>
          </w:p>
        </w:tc>
        <w:tc>
          <w:tcPr>
            <w:tcW w:w="326" w:type="pct"/>
            <w:tcBorders>
              <w:top w:val="single" w:sz="4" w:space="0" w:color="auto"/>
              <w:left w:val="nil"/>
              <w:bottom w:val="single" w:sz="4" w:space="0" w:color="auto"/>
              <w:right w:val="nil"/>
            </w:tcBorders>
            <w:shd w:val="clear" w:color="auto" w:fill="auto"/>
            <w:noWrap/>
            <w:vAlign w:val="center"/>
            <w:hideMark/>
          </w:tcPr>
          <w:p w14:paraId="6E5DAC1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339</w:t>
            </w:r>
          </w:p>
        </w:tc>
        <w:tc>
          <w:tcPr>
            <w:tcW w:w="326" w:type="pct"/>
            <w:tcBorders>
              <w:top w:val="single" w:sz="4" w:space="0" w:color="auto"/>
              <w:left w:val="nil"/>
              <w:bottom w:val="single" w:sz="4" w:space="0" w:color="auto"/>
              <w:right w:val="nil"/>
            </w:tcBorders>
            <w:shd w:val="clear" w:color="auto" w:fill="auto"/>
            <w:noWrap/>
            <w:vAlign w:val="center"/>
            <w:hideMark/>
          </w:tcPr>
          <w:p w14:paraId="1AA06B1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346</w:t>
            </w:r>
          </w:p>
        </w:tc>
        <w:tc>
          <w:tcPr>
            <w:tcW w:w="475" w:type="pct"/>
            <w:tcBorders>
              <w:top w:val="single" w:sz="4" w:space="0" w:color="auto"/>
              <w:left w:val="nil"/>
              <w:bottom w:val="single" w:sz="4" w:space="0" w:color="auto"/>
              <w:right w:val="nil"/>
            </w:tcBorders>
            <w:shd w:val="clear" w:color="auto" w:fill="auto"/>
            <w:noWrap/>
            <w:vAlign w:val="center"/>
            <w:hideMark/>
          </w:tcPr>
          <w:p w14:paraId="17391EC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334</w:t>
            </w:r>
          </w:p>
        </w:tc>
        <w:tc>
          <w:tcPr>
            <w:tcW w:w="697" w:type="pct"/>
            <w:tcBorders>
              <w:top w:val="single" w:sz="4" w:space="0" w:color="auto"/>
              <w:left w:val="nil"/>
              <w:bottom w:val="single" w:sz="4" w:space="0" w:color="auto"/>
              <w:right w:val="nil"/>
            </w:tcBorders>
            <w:shd w:val="clear" w:color="auto" w:fill="auto"/>
            <w:noWrap/>
            <w:vAlign w:val="center"/>
            <w:hideMark/>
          </w:tcPr>
          <w:p w14:paraId="055DC44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0,39</w:t>
            </w:r>
          </w:p>
        </w:tc>
        <w:tc>
          <w:tcPr>
            <w:tcW w:w="681" w:type="pct"/>
            <w:tcBorders>
              <w:top w:val="single" w:sz="4" w:space="0" w:color="auto"/>
              <w:left w:val="nil"/>
              <w:bottom w:val="single" w:sz="4" w:space="0" w:color="auto"/>
              <w:right w:val="nil"/>
            </w:tcBorders>
            <w:shd w:val="clear" w:color="auto" w:fill="auto"/>
            <w:noWrap/>
            <w:vAlign w:val="center"/>
            <w:hideMark/>
          </w:tcPr>
          <w:p w14:paraId="7940B74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0,58</w:t>
            </w:r>
          </w:p>
        </w:tc>
        <w:tc>
          <w:tcPr>
            <w:tcW w:w="793" w:type="pct"/>
            <w:tcBorders>
              <w:top w:val="single" w:sz="4" w:space="0" w:color="auto"/>
              <w:left w:val="nil"/>
              <w:bottom w:val="single" w:sz="4" w:space="0" w:color="auto"/>
              <w:right w:val="nil"/>
            </w:tcBorders>
            <w:shd w:val="clear" w:color="auto" w:fill="auto"/>
            <w:noWrap/>
            <w:vAlign w:val="center"/>
            <w:hideMark/>
          </w:tcPr>
          <w:p w14:paraId="42C421E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79.893</w:t>
            </w:r>
          </w:p>
        </w:tc>
      </w:tr>
      <w:tr w:rsidR="006356F1" w:rsidRPr="00822E74" w14:paraId="1013505B"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74B40790"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44 </w:t>
            </w:r>
          </w:p>
        </w:tc>
        <w:tc>
          <w:tcPr>
            <w:tcW w:w="366" w:type="pct"/>
            <w:tcBorders>
              <w:top w:val="single" w:sz="4" w:space="0" w:color="auto"/>
              <w:left w:val="nil"/>
              <w:bottom w:val="single" w:sz="4" w:space="0" w:color="auto"/>
              <w:right w:val="nil"/>
            </w:tcBorders>
            <w:shd w:val="clear" w:color="auto" w:fill="auto"/>
            <w:noWrap/>
            <w:vAlign w:val="center"/>
            <w:hideMark/>
          </w:tcPr>
          <w:p w14:paraId="39931A6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294</w:t>
            </w:r>
          </w:p>
        </w:tc>
        <w:tc>
          <w:tcPr>
            <w:tcW w:w="368" w:type="pct"/>
            <w:tcBorders>
              <w:top w:val="single" w:sz="4" w:space="0" w:color="auto"/>
              <w:left w:val="nil"/>
              <w:bottom w:val="single" w:sz="4" w:space="0" w:color="auto"/>
              <w:right w:val="nil"/>
            </w:tcBorders>
            <w:shd w:val="clear" w:color="auto" w:fill="auto"/>
            <w:noWrap/>
            <w:vAlign w:val="center"/>
            <w:hideMark/>
          </w:tcPr>
          <w:p w14:paraId="5B69657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335</w:t>
            </w:r>
          </w:p>
        </w:tc>
        <w:tc>
          <w:tcPr>
            <w:tcW w:w="326" w:type="pct"/>
            <w:tcBorders>
              <w:top w:val="single" w:sz="4" w:space="0" w:color="auto"/>
              <w:left w:val="nil"/>
              <w:bottom w:val="single" w:sz="4" w:space="0" w:color="auto"/>
              <w:right w:val="nil"/>
            </w:tcBorders>
            <w:shd w:val="clear" w:color="auto" w:fill="auto"/>
            <w:noWrap/>
            <w:vAlign w:val="center"/>
            <w:hideMark/>
          </w:tcPr>
          <w:p w14:paraId="75677ED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440</w:t>
            </w:r>
          </w:p>
        </w:tc>
        <w:tc>
          <w:tcPr>
            <w:tcW w:w="326" w:type="pct"/>
            <w:tcBorders>
              <w:top w:val="single" w:sz="4" w:space="0" w:color="auto"/>
              <w:left w:val="nil"/>
              <w:bottom w:val="single" w:sz="4" w:space="0" w:color="auto"/>
              <w:right w:val="nil"/>
            </w:tcBorders>
            <w:shd w:val="clear" w:color="auto" w:fill="auto"/>
            <w:noWrap/>
            <w:vAlign w:val="center"/>
            <w:hideMark/>
          </w:tcPr>
          <w:p w14:paraId="1E79154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324</w:t>
            </w:r>
          </w:p>
        </w:tc>
        <w:tc>
          <w:tcPr>
            <w:tcW w:w="475" w:type="pct"/>
            <w:tcBorders>
              <w:top w:val="single" w:sz="4" w:space="0" w:color="auto"/>
              <w:left w:val="nil"/>
              <w:bottom w:val="single" w:sz="4" w:space="0" w:color="auto"/>
              <w:right w:val="nil"/>
            </w:tcBorders>
            <w:shd w:val="clear" w:color="auto" w:fill="auto"/>
            <w:noWrap/>
            <w:vAlign w:val="center"/>
            <w:hideMark/>
          </w:tcPr>
          <w:p w14:paraId="263240A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348</w:t>
            </w:r>
          </w:p>
        </w:tc>
        <w:tc>
          <w:tcPr>
            <w:tcW w:w="697" w:type="pct"/>
            <w:tcBorders>
              <w:top w:val="single" w:sz="4" w:space="0" w:color="auto"/>
              <w:left w:val="nil"/>
              <w:bottom w:val="single" w:sz="4" w:space="0" w:color="auto"/>
              <w:right w:val="nil"/>
            </w:tcBorders>
            <w:shd w:val="clear" w:color="auto" w:fill="auto"/>
            <w:noWrap/>
            <w:vAlign w:val="center"/>
            <w:hideMark/>
          </w:tcPr>
          <w:p w14:paraId="70E703C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0,40</w:t>
            </w:r>
          </w:p>
        </w:tc>
        <w:tc>
          <w:tcPr>
            <w:tcW w:w="681" w:type="pct"/>
            <w:tcBorders>
              <w:top w:val="single" w:sz="4" w:space="0" w:color="auto"/>
              <w:left w:val="nil"/>
              <w:bottom w:val="single" w:sz="4" w:space="0" w:color="auto"/>
              <w:right w:val="nil"/>
            </w:tcBorders>
            <w:shd w:val="clear" w:color="auto" w:fill="auto"/>
            <w:noWrap/>
            <w:vAlign w:val="center"/>
            <w:hideMark/>
          </w:tcPr>
          <w:p w14:paraId="6989FE6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0,60</w:t>
            </w:r>
          </w:p>
        </w:tc>
        <w:tc>
          <w:tcPr>
            <w:tcW w:w="793" w:type="pct"/>
            <w:tcBorders>
              <w:top w:val="single" w:sz="4" w:space="0" w:color="auto"/>
              <w:left w:val="nil"/>
              <w:bottom w:val="single" w:sz="4" w:space="0" w:color="auto"/>
              <w:right w:val="nil"/>
            </w:tcBorders>
            <w:shd w:val="clear" w:color="auto" w:fill="auto"/>
            <w:noWrap/>
            <w:vAlign w:val="center"/>
            <w:hideMark/>
          </w:tcPr>
          <w:p w14:paraId="6DF2A0E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79.780</w:t>
            </w:r>
          </w:p>
        </w:tc>
      </w:tr>
      <w:tr w:rsidR="006356F1" w:rsidRPr="00822E74" w14:paraId="2B8FB1A9"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4FFE5A8C"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45 </w:t>
            </w:r>
          </w:p>
        </w:tc>
        <w:tc>
          <w:tcPr>
            <w:tcW w:w="366" w:type="pct"/>
            <w:tcBorders>
              <w:top w:val="single" w:sz="4" w:space="0" w:color="auto"/>
              <w:left w:val="nil"/>
              <w:bottom w:val="single" w:sz="4" w:space="0" w:color="auto"/>
              <w:right w:val="nil"/>
            </w:tcBorders>
            <w:shd w:val="clear" w:color="auto" w:fill="auto"/>
            <w:noWrap/>
            <w:vAlign w:val="center"/>
            <w:hideMark/>
          </w:tcPr>
          <w:p w14:paraId="6BE47C2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323</w:t>
            </w:r>
          </w:p>
        </w:tc>
        <w:tc>
          <w:tcPr>
            <w:tcW w:w="368" w:type="pct"/>
            <w:tcBorders>
              <w:top w:val="single" w:sz="4" w:space="0" w:color="auto"/>
              <w:left w:val="nil"/>
              <w:bottom w:val="single" w:sz="4" w:space="0" w:color="auto"/>
              <w:right w:val="nil"/>
            </w:tcBorders>
            <w:shd w:val="clear" w:color="auto" w:fill="auto"/>
            <w:noWrap/>
            <w:vAlign w:val="center"/>
            <w:hideMark/>
          </w:tcPr>
          <w:p w14:paraId="377B04E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348</w:t>
            </w:r>
          </w:p>
        </w:tc>
        <w:tc>
          <w:tcPr>
            <w:tcW w:w="326" w:type="pct"/>
            <w:tcBorders>
              <w:top w:val="single" w:sz="4" w:space="0" w:color="auto"/>
              <w:left w:val="nil"/>
              <w:bottom w:val="single" w:sz="4" w:space="0" w:color="auto"/>
              <w:right w:val="nil"/>
            </w:tcBorders>
            <w:shd w:val="clear" w:color="auto" w:fill="auto"/>
            <w:noWrap/>
            <w:vAlign w:val="center"/>
            <w:hideMark/>
          </w:tcPr>
          <w:p w14:paraId="057923E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378</w:t>
            </w:r>
          </w:p>
        </w:tc>
        <w:tc>
          <w:tcPr>
            <w:tcW w:w="326" w:type="pct"/>
            <w:tcBorders>
              <w:top w:val="single" w:sz="4" w:space="0" w:color="auto"/>
              <w:left w:val="nil"/>
              <w:bottom w:val="single" w:sz="4" w:space="0" w:color="auto"/>
              <w:right w:val="nil"/>
            </w:tcBorders>
            <w:shd w:val="clear" w:color="auto" w:fill="auto"/>
            <w:noWrap/>
            <w:vAlign w:val="center"/>
            <w:hideMark/>
          </w:tcPr>
          <w:p w14:paraId="1363686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381</w:t>
            </w:r>
          </w:p>
        </w:tc>
        <w:tc>
          <w:tcPr>
            <w:tcW w:w="475" w:type="pct"/>
            <w:tcBorders>
              <w:top w:val="single" w:sz="4" w:space="0" w:color="auto"/>
              <w:left w:val="nil"/>
              <w:bottom w:val="single" w:sz="4" w:space="0" w:color="auto"/>
              <w:right w:val="nil"/>
            </w:tcBorders>
            <w:shd w:val="clear" w:color="auto" w:fill="auto"/>
            <w:noWrap/>
            <w:vAlign w:val="center"/>
            <w:hideMark/>
          </w:tcPr>
          <w:p w14:paraId="67A816B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358</w:t>
            </w:r>
          </w:p>
        </w:tc>
        <w:tc>
          <w:tcPr>
            <w:tcW w:w="697" w:type="pct"/>
            <w:tcBorders>
              <w:top w:val="single" w:sz="4" w:space="0" w:color="auto"/>
              <w:left w:val="nil"/>
              <w:bottom w:val="single" w:sz="4" w:space="0" w:color="auto"/>
              <w:right w:val="nil"/>
            </w:tcBorders>
            <w:shd w:val="clear" w:color="auto" w:fill="auto"/>
            <w:noWrap/>
            <w:vAlign w:val="center"/>
            <w:hideMark/>
          </w:tcPr>
          <w:p w14:paraId="367B931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0,41</w:t>
            </w:r>
          </w:p>
        </w:tc>
        <w:tc>
          <w:tcPr>
            <w:tcW w:w="681" w:type="pct"/>
            <w:tcBorders>
              <w:top w:val="single" w:sz="4" w:space="0" w:color="auto"/>
              <w:left w:val="nil"/>
              <w:bottom w:val="single" w:sz="4" w:space="0" w:color="auto"/>
              <w:right w:val="nil"/>
            </w:tcBorders>
            <w:shd w:val="clear" w:color="auto" w:fill="auto"/>
            <w:noWrap/>
            <w:vAlign w:val="center"/>
            <w:hideMark/>
          </w:tcPr>
          <w:p w14:paraId="3DC7A15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0,61</w:t>
            </w:r>
          </w:p>
        </w:tc>
        <w:tc>
          <w:tcPr>
            <w:tcW w:w="793" w:type="pct"/>
            <w:tcBorders>
              <w:top w:val="single" w:sz="4" w:space="0" w:color="auto"/>
              <w:left w:val="nil"/>
              <w:bottom w:val="single" w:sz="4" w:space="0" w:color="auto"/>
              <w:right w:val="nil"/>
            </w:tcBorders>
            <w:shd w:val="clear" w:color="auto" w:fill="auto"/>
            <w:noWrap/>
            <w:vAlign w:val="center"/>
            <w:hideMark/>
          </w:tcPr>
          <w:p w14:paraId="2E847BD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78.197</w:t>
            </w:r>
          </w:p>
        </w:tc>
      </w:tr>
      <w:tr w:rsidR="006356F1" w:rsidRPr="00822E74" w14:paraId="7F8436D7"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429F6FF8"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46 </w:t>
            </w:r>
          </w:p>
        </w:tc>
        <w:tc>
          <w:tcPr>
            <w:tcW w:w="366" w:type="pct"/>
            <w:tcBorders>
              <w:top w:val="single" w:sz="4" w:space="0" w:color="auto"/>
              <w:left w:val="nil"/>
              <w:bottom w:val="single" w:sz="4" w:space="0" w:color="auto"/>
              <w:right w:val="nil"/>
            </w:tcBorders>
            <w:shd w:val="clear" w:color="auto" w:fill="auto"/>
            <w:noWrap/>
            <w:vAlign w:val="center"/>
            <w:hideMark/>
          </w:tcPr>
          <w:p w14:paraId="7997532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1.141</w:t>
            </w:r>
          </w:p>
        </w:tc>
        <w:tc>
          <w:tcPr>
            <w:tcW w:w="368" w:type="pct"/>
            <w:tcBorders>
              <w:top w:val="single" w:sz="4" w:space="0" w:color="auto"/>
              <w:left w:val="nil"/>
              <w:bottom w:val="single" w:sz="4" w:space="0" w:color="auto"/>
              <w:right w:val="nil"/>
            </w:tcBorders>
            <w:shd w:val="clear" w:color="auto" w:fill="auto"/>
            <w:noWrap/>
            <w:vAlign w:val="center"/>
            <w:hideMark/>
          </w:tcPr>
          <w:p w14:paraId="3D5F26F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1.069</w:t>
            </w:r>
          </w:p>
        </w:tc>
        <w:tc>
          <w:tcPr>
            <w:tcW w:w="326" w:type="pct"/>
            <w:tcBorders>
              <w:top w:val="single" w:sz="4" w:space="0" w:color="auto"/>
              <w:left w:val="nil"/>
              <w:bottom w:val="single" w:sz="4" w:space="0" w:color="auto"/>
              <w:right w:val="nil"/>
            </w:tcBorders>
            <w:shd w:val="clear" w:color="auto" w:fill="auto"/>
            <w:noWrap/>
            <w:vAlign w:val="center"/>
            <w:hideMark/>
          </w:tcPr>
          <w:p w14:paraId="066692F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1.075</w:t>
            </w:r>
          </w:p>
        </w:tc>
        <w:tc>
          <w:tcPr>
            <w:tcW w:w="326" w:type="pct"/>
            <w:tcBorders>
              <w:top w:val="single" w:sz="4" w:space="0" w:color="auto"/>
              <w:left w:val="nil"/>
              <w:bottom w:val="single" w:sz="4" w:space="0" w:color="auto"/>
              <w:right w:val="nil"/>
            </w:tcBorders>
            <w:shd w:val="clear" w:color="auto" w:fill="auto"/>
            <w:noWrap/>
            <w:vAlign w:val="center"/>
            <w:hideMark/>
          </w:tcPr>
          <w:p w14:paraId="2821FC2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1.112</w:t>
            </w:r>
          </w:p>
        </w:tc>
        <w:tc>
          <w:tcPr>
            <w:tcW w:w="475" w:type="pct"/>
            <w:tcBorders>
              <w:top w:val="single" w:sz="4" w:space="0" w:color="auto"/>
              <w:left w:val="nil"/>
              <w:bottom w:val="single" w:sz="4" w:space="0" w:color="auto"/>
              <w:right w:val="nil"/>
            </w:tcBorders>
            <w:shd w:val="clear" w:color="auto" w:fill="auto"/>
            <w:noWrap/>
            <w:vAlign w:val="center"/>
            <w:hideMark/>
          </w:tcPr>
          <w:p w14:paraId="3AD2605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1.099</w:t>
            </w:r>
          </w:p>
        </w:tc>
        <w:tc>
          <w:tcPr>
            <w:tcW w:w="697" w:type="pct"/>
            <w:tcBorders>
              <w:top w:val="single" w:sz="4" w:space="0" w:color="auto"/>
              <w:left w:val="nil"/>
              <w:bottom w:val="single" w:sz="4" w:space="0" w:color="auto"/>
              <w:right w:val="nil"/>
            </w:tcBorders>
            <w:shd w:val="clear" w:color="auto" w:fill="auto"/>
            <w:noWrap/>
            <w:vAlign w:val="center"/>
            <w:hideMark/>
          </w:tcPr>
          <w:p w14:paraId="33C7E2F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1,27</w:t>
            </w:r>
          </w:p>
        </w:tc>
        <w:tc>
          <w:tcPr>
            <w:tcW w:w="681" w:type="pct"/>
            <w:tcBorders>
              <w:top w:val="single" w:sz="4" w:space="0" w:color="auto"/>
              <w:left w:val="nil"/>
              <w:bottom w:val="single" w:sz="4" w:space="0" w:color="auto"/>
              <w:right w:val="nil"/>
            </w:tcBorders>
            <w:shd w:val="clear" w:color="auto" w:fill="auto"/>
            <w:noWrap/>
            <w:vAlign w:val="center"/>
            <w:hideMark/>
          </w:tcPr>
          <w:p w14:paraId="165A2DD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1,75</w:t>
            </w:r>
          </w:p>
        </w:tc>
        <w:tc>
          <w:tcPr>
            <w:tcW w:w="793" w:type="pct"/>
            <w:tcBorders>
              <w:top w:val="single" w:sz="4" w:space="0" w:color="auto"/>
              <w:left w:val="nil"/>
              <w:bottom w:val="single" w:sz="4" w:space="0" w:color="auto"/>
              <w:right w:val="nil"/>
            </w:tcBorders>
            <w:shd w:val="clear" w:color="auto" w:fill="auto"/>
            <w:noWrap/>
            <w:vAlign w:val="center"/>
            <w:hideMark/>
          </w:tcPr>
          <w:p w14:paraId="1C9E49D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73.512</w:t>
            </w:r>
          </w:p>
        </w:tc>
      </w:tr>
      <w:tr w:rsidR="006356F1" w:rsidRPr="00822E74" w14:paraId="759BDD33"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E38BF9C"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47 </w:t>
            </w:r>
          </w:p>
        </w:tc>
        <w:tc>
          <w:tcPr>
            <w:tcW w:w="366" w:type="pct"/>
            <w:tcBorders>
              <w:top w:val="single" w:sz="4" w:space="0" w:color="auto"/>
              <w:left w:val="nil"/>
              <w:bottom w:val="single" w:sz="4" w:space="0" w:color="auto"/>
              <w:right w:val="nil"/>
            </w:tcBorders>
            <w:shd w:val="clear" w:color="auto" w:fill="auto"/>
            <w:noWrap/>
            <w:vAlign w:val="center"/>
            <w:hideMark/>
          </w:tcPr>
          <w:p w14:paraId="321B6D8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335</w:t>
            </w:r>
          </w:p>
        </w:tc>
        <w:tc>
          <w:tcPr>
            <w:tcW w:w="368" w:type="pct"/>
            <w:tcBorders>
              <w:top w:val="single" w:sz="4" w:space="0" w:color="auto"/>
              <w:left w:val="nil"/>
              <w:bottom w:val="single" w:sz="4" w:space="0" w:color="auto"/>
              <w:right w:val="nil"/>
            </w:tcBorders>
            <w:shd w:val="clear" w:color="auto" w:fill="auto"/>
            <w:noWrap/>
            <w:vAlign w:val="center"/>
            <w:hideMark/>
          </w:tcPr>
          <w:p w14:paraId="6146CF0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211</w:t>
            </w:r>
          </w:p>
        </w:tc>
        <w:tc>
          <w:tcPr>
            <w:tcW w:w="326" w:type="pct"/>
            <w:tcBorders>
              <w:top w:val="single" w:sz="4" w:space="0" w:color="auto"/>
              <w:left w:val="nil"/>
              <w:bottom w:val="single" w:sz="4" w:space="0" w:color="auto"/>
              <w:right w:val="nil"/>
            </w:tcBorders>
            <w:shd w:val="clear" w:color="auto" w:fill="auto"/>
            <w:noWrap/>
            <w:vAlign w:val="center"/>
            <w:hideMark/>
          </w:tcPr>
          <w:p w14:paraId="748135B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161</w:t>
            </w:r>
          </w:p>
        </w:tc>
        <w:tc>
          <w:tcPr>
            <w:tcW w:w="326" w:type="pct"/>
            <w:tcBorders>
              <w:top w:val="single" w:sz="4" w:space="0" w:color="auto"/>
              <w:left w:val="nil"/>
              <w:bottom w:val="single" w:sz="4" w:space="0" w:color="auto"/>
              <w:right w:val="nil"/>
            </w:tcBorders>
            <w:shd w:val="clear" w:color="auto" w:fill="auto"/>
            <w:noWrap/>
            <w:vAlign w:val="center"/>
            <w:hideMark/>
          </w:tcPr>
          <w:p w14:paraId="1BF6256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144</w:t>
            </w:r>
          </w:p>
        </w:tc>
        <w:tc>
          <w:tcPr>
            <w:tcW w:w="475" w:type="pct"/>
            <w:tcBorders>
              <w:top w:val="single" w:sz="4" w:space="0" w:color="auto"/>
              <w:left w:val="nil"/>
              <w:bottom w:val="single" w:sz="4" w:space="0" w:color="auto"/>
              <w:right w:val="nil"/>
            </w:tcBorders>
            <w:shd w:val="clear" w:color="auto" w:fill="auto"/>
            <w:noWrap/>
            <w:vAlign w:val="center"/>
            <w:hideMark/>
          </w:tcPr>
          <w:p w14:paraId="4D052F7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213</w:t>
            </w:r>
          </w:p>
        </w:tc>
        <w:tc>
          <w:tcPr>
            <w:tcW w:w="697" w:type="pct"/>
            <w:tcBorders>
              <w:top w:val="single" w:sz="4" w:space="0" w:color="auto"/>
              <w:left w:val="nil"/>
              <w:bottom w:val="single" w:sz="4" w:space="0" w:color="auto"/>
              <w:right w:val="nil"/>
            </w:tcBorders>
            <w:shd w:val="clear" w:color="auto" w:fill="auto"/>
            <w:noWrap/>
            <w:vAlign w:val="center"/>
            <w:hideMark/>
          </w:tcPr>
          <w:p w14:paraId="5AFBB72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0,25</w:t>
            </w:r>
          </w:p>
        </w:tc>
        <w:tc>
          <w:tcPr>
            <w:tcW w:w="681" w:type="pct"/>
            <w:tcBorders>
              <w:top w:val="single" w:sz="4" w:space="0" w:color="auto"/>
              <w:left w:val="nil"/>
              <w:bottom w:val="single" w:sz="4" w:space="0" w:color="auto"/>
              <w:right w:val="nil"/>
            </w:tcBorders>
            <w:shd w:val="clear" w:color="auto" w:fill="auto"/>
            <w:noWrap/>
            <w:vAlign w:val="center"/>
            <w:hideMark/>
          </w:tcPr>
          <w:p w14:paraId="05AE773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0,33</w:t>
            </w:r>
          </w:p>
        </w:tc>
        <w:tc>
          <w:tcPr>
            <w:tcW w:w="793" w:type="pct"/>
            <w:tcBorders>
              <w:top w:val="single" w:sz="4" w:space="0" w:color="auto"/>
              <w:left w:val="nil"/>
              <w:bottom w:val="single" w:sz="4" w:space="0" w:color="auto"/>
              <w:right w:val="nil"/>
            </w:tcBorders>
            <w:shd w:val="clear" w:color="auto" w:fill="auto"/>
            <w:noWrap/>
            <w:vAlign w:val="center"/>
            <w:hideMark/>
          </w:tcPr>
          <w:p w14:paraId="111F375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70.942</w:t>
            </w:r>
          </w:p>
        </w:tc>
      </w:tr>
      <w:tr w:rsidR="006356F1" w:rsidRPr="00822E74" w14:paraId="49BE52FF"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7781D560"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48</w:t>
            </w:r>
          </w:p>
        </w:tc>
        <w:tc>
          <w:tcPr>
            <w:tcW w:w="366" w:type="pct"/>
            <w:tcBorders>
              <w:top w:val="single" w:sz="4" w:space="0" w:color="auto"/>
              <w:left w:val="nil"/>
              <w:bottom w:val="single" w:sz="4" w:space="0" w:color="auto"/>
              <w:right w:val="nil"/>
            </w:tcBorders>
            <w:shd w:val="clear" w:color="auto" w:fill="auto"/>
            <w:noWrap/>
            <w:vAlign w:val="center"/>
            <w:hideMark/>
          </w:tcPr>
          <w:p w14:paraId="4AE3BAC9" w14:textId="77777777" w:rsidR="006356F1" w:rsidRPr="00822E74" w:rsidRDefault="006356F1" w:rsidP="00217400">
            <w:pPr>
              <w:jc w:val="right"/>
              <w:rPr>
                <w:rFonts w:ascii="Arial" w:hAnsi="Arial" w:cs="Arial"/>
                <w:color w:val="000000"/>
                <w:sz w:val="20"/>
              </w:rPr>
            </w:pPr>
          </w:p>
        </w:tc>
        <w:tc>
          <w:tcPr>
            <w:tcW w:w="368" w:type="pct"/>
            <w:tcBorders>
              <w:top w:val="single" w:sz="4" w:space="0" w:color="auto"/>
              <w:left w:val="nil"/>
              <w:bottom w:val="single" w:sz="4" w:space="0" w:color="auto"/>
              <w:right w:val="nil"/>
            </w:tcBorders>
            <w:shd w:val="clear" w:color="auto" w:fill="auto"/>
            <w:noWrap/>
            <w:vAlign w:val="center"/>
            <w:hideMark/>
          </w:tcPr>
          <w:p w14:paraId="1D81950D" w14:textId="77777777" w:rsidR="006356F1" w:rsidRPr="00822E74" w:rsidRDefault="006356F1" w:rsidP="00217400">
            <w:pPr>
              <w:jc w:val="right"/>
              <w:rPr>
                <w:rFonts w:ascii="Arial" w:hAnsi="Arial" w:cs="Arial"/>
                <w:color w:val="000000"/>
                <w:sz w:val="20"/>
              </w:rPr>
            </w:pPr>
          </w:p>
        </w:tc>
        <w:tc>
          <w:tcPr>
            <w:tcW w:w="326" w:type="pct"/>
            <w:tcBorders>
              <w:top w:val="single" w:sz="4" w:space="0" w:color="auto"/>
              <w:left w:val="nil"/>
              <w:bottom w:val="single" w:sz="4" w:space="0" w:color="auto"/>
              <w:right w:val="nil"/>
            </w:tcBorders>
            <w:shd w:val="clear" w:color="auto" w:fill="auto"/>
            <w:noWrap/>
            <w:vAlign w:val="center"/>
            <w:hideMark/>
          </w:tcPr>
          <w:p w14:paraId="0F3FDA02" w14:textId="77777777" w:rsidR="006356F1" w:rsidRPr="00822E74" w:rsidRDefault="006356F1" w:rsidP="00217400">
            <w:pPr>
              <w:jc w:val="right"/>
              <w:rPr>
                <w:rFonts w:ascii="Arial" w:hAnsi="Arial" w:cs="Arial"/>
                <w:color w:val="000000"/>
                <w:sz w:val="20"/>
              </w:rPr>
            </w:pPr>
          </w:p>
        </w:tc>
        <w:tc>
          <w:tcPr>
            <w:tcW w:w="326" w:type="pct"/>
            <w:tcBorders>
              <w:top w:val="single" w:sz="4" w:space="0" w:color="auto"/>
              <w:left w:val="nil"/>
              <w:bottom w:val="single" w:sz="4" w:space="0" w:color="auto"/>
              <w:right w:val="nil"/>
            </w:tcBorders>
            <w:shd w:val="clear" w:color="auto" w:fill="auto"/>
            <w:noWrap/>
            <w:vAlign w:val="center"/>
            <w:hideMark/>
          </w:tcPr>
          <w:p w14:paraId="1F9B40BE" w14:textId="77777777" w:rsidR="006356F1" w:rsidRPr="00822E74" w:rsidRDefault="006356F1" w:rsidP="00217400">
            <w:pPr>
              <w:jc w:val="right"/>
              <w:rPr>
                <w:rFonts w:ascii="Arial" w:hAnsi="Arial" w:cs="Arial"/>
                <w:color w:val="000000"/>
                <w:sz w:val="20"/>
              </w:rPr>
            </w:pPr>
          </w:p>
        </w:tc>
        <w:tc>
          <w:tcPr>
            <w:tcW w:w="475" w:type="pct"/>
            <w:tcBorders>
              <w:top w:val="single" w:sz="4" w:space="0" w:color="auto"/>
              <w:left w:val="nil"/>
              <w:bottom w:val="single" w:sz="4" w:space="0" w:color="auto"/>
              <w:right w:val="nil"/>
            </w:tcBorders>
            <w:shd w:val="clear" w:color="auto" w:fill="auto"/>
            <w:noWrap/>
            <w:vAlign w:val="center"/>
            <w:hideMark/>
          </w:tcPr>
          <w:p w14:paraId="220F6D7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6.373</w:t>
            </w:r>
          </w:p>
        </w:tc>
        <w:tc>
          <w:tcPr>
            <w:tcW w:w="697" w:type="pct"/>
            <w:tcBorders>
              <w:top w:val="single" w:sz="4" w:space="0" w:color="auto"/>
              <w:left w:val="nil"/>
              <w:bottom w:val="single" w:sz="4" w:space="0" w:color="auto"/>
              <w:right w:val="nil"/>
            </w:tcBorders>
            <w:shd w:val="clear" w:color="auto" w:fill="auto"/>
            <w:noWrap/>
            <w:vAlign w:val="center"/>
            <w:hideMark/>
          </w:tcPr>
          <w:p w14:paraId="44E79A7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7,36</w:t>
            </w:r>
          </w:p>
        </w:tc>
        <w:tc>
          <w:tcPr>
            <w:tcW w:w="681" w:type="pct"/>
            <w:tcBorders>
              <w:top w:val="single" w:sz="4" w:space="0" w:color="auto"/>
              <w:left w:val="nil"/>
              <w:bottom w:val="single" w:sz="4" w:space="0" w:color="auto"/>
              <w:right w:val="nil"/>
            </w:tcBorders>
            <w:shd w:val="clear" w:color="auto" w:fill="auto"/>
            <w:noWrap/>
            <w:vAlign w:val="center"/>
            <w:hideMark/>
          </w:tcPr>
          <w:p w14:paraId="041E9DF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8,93</w:t>
            </w:r>
          </w:p>
        </w:tc>
        <w:tc>
          <w:tcPr>
            <w:tcW w:w="793" w:type="pct"/>
            <w:tcBorders>
              <w:top w:val="single" w:sz="4" w:space="0" w:color="auto"/>
              <w:left w:val="nil"/>
              <w:bottom w:val="single" w:sz="4" w:space="0" w:color="auto"/>
              <w:right w:val="nil"/>
            </w:tcBorders>
            <w:shd w:val="clear" w:color="auto" w:fill="auto"/>
            <w:noWrap/>
            <w:vAlign w:val="center"/>
            <w:hideMark/>
          </w:tcPr>
          <w:p w14:paraId="259E6CB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64.601</w:t>
            </w:r>
          </w:p>
        </w:tc>
      </w:tr>
      <w:tr w:rsidR="006356F1" w:rsidRPr="00822E74" w14:paraId="725CDEA5"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582CD4A"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49 </w:t>
            </w:r>
          </w:p>
        </w:tc>
        <w:tc>
          <w:tcPr>
            <w:tcW w:w="366" w:type="pct"/>
            <w:tcBorders>
              <w:top w:val="single" w:sz="4" w:space="0" w:color="auto"/>
              <w:left w:val="nil"/>
              <w:bottom w:val="single" w:sz="4" w:space="0" w:color="auto"/>
              <w:right w:val="nil"/>
            </w:tcBorders>
            <w:shd w:val="clear" w:color="auto" w:fill="auto"/>
            <w:noWrap/>
            <w:vAlign w:val="center"/>
            <w:hideMark/>
          </w:tcPr>
          <w:p w14:paraId="260A62C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321</w:t>
            </w:r>
          </w:p>
        </w:tc>
        <w:tc>
          <w:tcPr>
            <w:tcW w:w="368" w:type="pct"/>
            <w:tcBorders>
              <w:top w:val="single" w:sz="4" w:space="0" w:color="auto"/>
              <w:left w:val="nil"/>
              <w:bottom w:val="single" w:sz="4" w:space="0" w:color="auto"/>
              <w:right w:val="nil"/>
            </w:tcBorders>
            <w:shd w:val="clear" w:color="auto" w:fill="auto"/>
            <w:noWrap/>
            <w:vAlign w:val="center"/>
            <w:hideMark/>
          </w:tcPr>
          <w:p w14:paraId="777B5BE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395</w:t>
            </w:r>
          </w:p>
        </w:tc>
        <w:tc>
          <w:tcPr>
            <w:tcW w:w="326" w:type="pct"/>
            <w:tcBorders>
              <w:top w:val="single" w:sz="4" w:space="0" w:color="auto"/>
              <w:left w:val="nil"/>
              <w:bottom w:val="single" w:sz="4" w:space="0" w:color="auto"/>
              <w:right w:val="nil"/>
            </w:tcBorders>
            <w:shd w:val="clear" w:color="auto" w:fill="auto"/>
            <w:noWrap/>
            <w:vAlign w:val="center"/>
            <w:hideMark/>
          </w:tcPr>
          <w:p w14:paraId="5281AC4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359</w:t>
            </w:r>
          </w:p>
        </w:tc>
        <w:tc>
          <w:tcPr>
            <w:tcW w:w="326" w:type="pct"/>
            <w:tcBorders>
              <w:top w:val="single" w:sz="4" w:space="0" w:color="auto"/>
              <w:left w:val="nil"/>
              <w:bottom w:val="single" w:sz="4" w:space="0" w:color="auto"/>
              <w:right w:val="nil"/>
            </w:tcBorders>
            <w:shd w:val="clear" w:color="auto" w:fill="auto"/>
            <w:noWrap/>
            <w:vAlign w:val="center"/>
            <w:hideMark/>
          </w:tcPr>
          <w:p w14:paraId="53BBB15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379</w:t>
            </w:r>
          </w:p>
        </w:tc>
        <w:tc>
          <w:tcPr>
            <w:tcW w:w="475" w:type="pct"/>
            <w:tcBorders>
              <w:top w:val="single" w:sz="4" w:space="0" w:color="auto"/>
              <w:left w:val="nil"/>
              <w:bottom w:val="single" w:sz="4" w:space="0" w:color="auto"/>
              <w:right w:val="nil"/>
            </w:tcBorders>
            <w:shd w:val="clear" w:color="auto" w:fill="auto"/>
            <w:noWrap/>
            <w:vAlign w:val="center"/>
            <w:hideMark/>
          </w:tcPr>
          <w:p w14:paraId="628FD06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364</w:t>
            </w:r>
          </w:p>
        </w:tc>
        <w:tc>
          <w:tcPr>
            <w:tcW w:w="697" w:type="pct"/>
            <w:tcBorders>
              <w:top w:val="single" w:sz="4" w:space="0" w:color="auto"/>
              <w:left w:val="nil"/>
              <w:bottom w:val="single" w:sz="4" w:space="0" w:color="auto"/>
              <w:right w:val="nil"/>
            </w:tcBorders>
            <w:shd w:val="clear" w:color="auto" w:fill="auto"/>
            <w:noWrap/>
            <w:vAlign w:val="center"/>
            <w:hideMark/>
          </w:tcPr>
          <w:p w14:paraId="423B62F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0,42</w:t>
            </w:r>
          </w:p>
        </w:tc>
        <w:tc>
          <w:tcPr>
            <w:tcW w:w="681" w:type="pct"/>
            <w:tcBorders>
              <w:top w:val="single" w:sz="4" w:space="0" w:color="auto"/>
              <w:left w:val="nil"/>
              <w:bottom w:val="single" w:sz="4" w:space="0" w:color="auto"/>
              <w:right w:val="nil"/>
            </w:tcBorders>
            <w:shd w:val="clear" w:color="auto" w:fill="auto"/>
            <w:noWrap/>
            <w:vAlign w:val="center"/>
            <w:hideMark/>
          </w:tcPr>
          <w:p w14:paraId="7B50DCF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0,50</w:t>
            </w:r>
          </w:p>
        </w:tc>
        <w:tc>
          <w:tcPr>
            <w:tcW w:w="793" w:type="pct"/>
            <w:tcBorders>
              <w:top w:val="single" w:sz="4" w:space="0" w:color="auto"/>
              <w:left w:val="nil"/>
              <w:bottom w:val="single" w:sz="4" w:space="0" w:color="auto"/>
              <w:right w:val="nil"/>
            </w:tcBorders>
            <w:shd w:val="clear" w:color="auto" w:fill="auto"/>
            <w:noWrap/>
            <w:vAlign w:val="center"/>
            <w:hideMark/>
          </w:tcPr>
          <w:p w14:paraId="68391EB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63.124</w:t>
            </w:r>
          </w:p>
        </w:tc>
      </w:tr>
      <w:tr w:rsidR="006356F1" w:rsidRPr="00822E74" w14:paraId="24FD18FA"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FD663AA"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50 </w:t>
            </w:r>
          </w:p>
        </w:tc>
        <w:tc>
          <w:tcPr>
            <w:tcW w:w="366" w:type="pct"/>
            <w:tcBorders>
              <w:top w:val="single" w:sz="4" w:space="0" w:color="auto"/>
              <w:left w:val="nil"/>
              <w:bottom w:val="single" w:sz="4" w:space="0" w:color="auto"/>
              <w:right w:val="nil"/>
            </w:tcBorders>
            <w:shd w:val="clear" w:color="auto" w:fill="auto"/>
            <w:noWrap/>
            <w:vAlign w:val="center"/>
            <w:hideMark/>
          </w:tcPr>
          <w:p w14:paraId="0EBA573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215</w:t>
            </w:r>
          </w:p>
        </w:tc>
        <w:tc>
          <w:tcPr>
            <w:tcW w:w="368" w:type="pct"/>
            <w:tcBorders>
              <w:top w:val="single" w:sz="4" w:space="0" w:color="auto"/>
              <w:left w:val="nil"/>
              <w:bottom w:val="single" w:sz="4" w:space="0" w:color="auto"/>
              <w:right w:val="nil"/>
            </w:tcBorders>
            <w:shd w:val="clear" w:color="auto" w:fill="auto"/>
            <w:noWrap/>
            <w:vAlign w:val="center"/>
            <w:hideMark/>
          </w:tcPr>
          <w:p w14:paraId="1DAF8B9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210</w:t>
            </w:r>
          </w:p>
        </w:tc>
        <w:tc>
          <w:tcPr>
            <w:tcW w:w="326" w:type="pct"/>
            <w:tcBorders>
              <w:top w:val="single" w:sz="4" w:space="0" w:color="auto"/>
              <w:left w:val="nil"/>
              <w:bottom w:val="single" w:sz="4" w:space="0" w:color="auto"/>
              <w:right w:val="nil"/>
            </w:tcBorders>
            <w:shd w:val="clear" w:color="auto" w:fill="auto"/>
            <w:noWrap/>
            <w:vAlign w:val="center"/>
            <w:hideMark/>
          </w:tcPr>
          <w:p w14:paraId="728B718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223</w:t>
            </w:r>
          </w:p>
        </w:tc>
        <w:tc>
          <w:tcPr>
            <w:tcW w:w="326" w:type="pct"/>
            <w:tcBorders>
              <w:top w:val="single" w:sz="4" w:space="0" w:color="auto"/>
              <w:left w:val="nil"/>
              <w:bottom w:val="single" w:sz="4" w:space="0" w:color="auto"/>
              <w:right w:val="nil"/>
            </w:tcBorders>
            <w:shd w:val="clear" w:color="auto" w:fill="auto"/>
            <w:noWrap/>
            <w:vAlign w:val="center"/>
            <w:hideMark/>
          </w:tcPr>
          <w:p w14:paraId="6A8E448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237</w:t>
            </w:r>
          </w:p>
        </w:tc>
        <w:tc>
          <w:tcPr>
            <w:tcW w:w="475" w:type="pct"/>
            <w:tcBorders>
              <w:top w:val="single" w:sz="4" w:space="0" w:color="auto"/>
              <w:left w:val="nil"/>
              <w:bottom w:val="single" w:sz="4" w:space="0" w:color="auto"/>
              <w:right w:val="nil"/>
            </w:tcBorders>
            <w:shd w:val="clear" w:color="auto" w:fill="auto"/>
            <w:noWrap/>
            <w:vAlign w:val="center"/>
            <w:hideMark/>
          </w:tcPr>
          <w:p w14:paraId="6EE86AE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221</w:t>
            </w:r>
          </w:p>
        </w:tc>
        <w:tc>
          <w:tcPr>
            <w:tcW w:w="697" w:type="pct"/>
            <w:tcBorders>
              <w:top w:val="single" w:sz="4" w:space="0" w:color="auto"/>
              <w:left w:val="nil"/>
              <w:bottom w:val="single" w:sz="4" w:space="0" w:color="auto"/>
              <w:right w:val="nil"/>
            </w:tcBorders>
            <w:shd w:val="clear" w:color="auto" w:fill="auto"/>
            <w:noWrap/>
            <w:vAlign w:val="center"/>
            <w:hideMark/>
          </w:tcPr>
          <w:p w14:paraId="6559002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0,26</w:t>
            </w:r>
          </w:p>
        </w:tc>
        <w:tc>
          <w:tcPr>
            <w:tcW w:w="681" w:type="pct"/>
            <w:tcBorders>
              <w:top w:val="single" w:sz="4" w:space="0" w:color="auto"/>
              <w:left w:val="nil"/>
              <w:bottom w:val="single" w:sz="4" w:space="0" w:color="auto"/>
              <w:right w:val="nil"/>
            </w:tcBorders>
            <w:shd w:val="clear" w:color="auto" w:fill="auto"/>
            <w:noWrap/>
            <w:vAlign w:val="center"/>
            <w:hideMark/>
          </w:tcPr>
          <w:p w14:paraId="226867E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0,30</w:t>
            </w:r>
          </w:p>
        </w:tc>
        <w:tc>
          <w:tcPr>
            <w:tcW w:w="793" w:type="pct"/>
            <w:tcBorders>
              <w:top w:val="single" w:sz="4" w:space="0" w:color="auto"/>
              <w:left w:val="nil"/>
              <w:bottom w:val="single" w:sz="4" w:space="0" w:color="auto"/>
              <w:right w:val="nil"/>
            </w:tcBorders>
            <w:shd w:val="clear" w:color="auto" w:fill="auto"/>
            <w:noWrap/>
            <w:vAlign w:val="center"/>
            <w:hideMark/>
          </w:tcPr>
          <w:p w14:paraId="1A680E6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62.317</w:t>
            </w:r>
          </w:p>
        </w:tc>
      </w:tr>
      <w:tr w:rsidR="006356F1" w:rsidRPr="00822E74" w14:paraId="2506E326"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CB3F1F5"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51 </w:t>
            </w:r>
          </w:p>
        </w:tc>
        <w:tc>
          <w:tcPr>
            <w:tcW w:w="366" w:type="pct"/>
            <w:tcBorders>
              <w:top w:val="single" w:sz="4" w:space="0" w:color="auto"/>
              <w:left w:val="nil"/>
              <w:bottom w:val="single" w:sz="4" w:space="0" w:color="auto"/>
              <w:right w:val="nil"/>
            </w:tcBorders>
            <w:shd w:val="clear" w:color="auto" w:fill="auto"/>
            <w:noWrap/>
            <w:vAlign w:val="center"/>
            <w:hideMark/>
          </w:tcPr>
          <w:p w14:paraId="3E56144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459</w:t>
            </w:r>
          </w:p>
        </w:tc>
        <w:tc>
          <w:tcPr>
            <w:tcW w:w="368" w:type="pct"/>
            <w:tcBorders>
              <w:top w:val="single" w:sz="4" w:space="0" w:color="auto"/>
              <w:left w:val="nil"/>
              <w:bottom w:val="single" w:sz="4" w:space="0" w:color="auto"/>
              <w:right w:val="nil"/>
            </w:tcBorders>
            <w:shd w:val="clear" w:color="auto" w:fill="auto"/>
            <w:noWrap/>
            <w:vAlign w:val="center"/>
            <w:hideMark/>
          </w:tcPr>
          <w:p w14:paraId="0753C9B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454</w:t>
            </w:r>
          </w:p>
        </w:tc>
        <w:tc>
          <w:tcPr>
            <w:tcW w:w="326" w:type="pct"/>
            <w:tcBorders>
              <w:top w:val="single" w:sz="4" w:space="0" w:color="auto"/>
              <w:left w:val="nil"/>
              <w:bottom w:val="single" w:sz="4" w:space="0" w:color="auto"/>
              <w:right w:val="nil"/>
            </w:tcBorders>
            <w:shd w:val="clear" w:color="auto" w:fill="auto"/>
            <w:noWrap/>
            <w:vAlign w:val="center"/>
            <w:hideMark/>
          </w:tcPr>
          <w:p w14:paraId="346D817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192</w:t>
            </w:r>
          </w:p>
        </w:tc>
        <w:tc>
          <w:tcPr>
            <w:tcW w:w="326" w:type="pct"/>
            <w:tcBorders>
              <w:top w:val="single" w:sz="4" w:space="0" w:color="auto"/>
              <w:left w:val="nil"/>
              <w:bottom w:val="single" w:sz="4" w:space="0" w:color="auto"/>
              <w:right w:val="nil"/>
            </w:tcBorders>
            <w:shd w:val="clear" w:color="auto" w:fill="auto"/>
            <w:noWrap/>
            <w:vAlign w:val="center"/>
            <w:hideMark/>
          </w:tcPr>
          <w:p w14:paraId="680C76D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w:t>
            </w:r>
          </w:p>
        </w:tc>
        <w:tc>
          <w:tcPr>
            <w:tcW w:w="475" w:type="pct"/>
            <w:tcBorders>
              <w:top w:val="single" w:sz="4" w:space="0" w:color="auto"/>
              <w:left w:val="nil"/>
              <w:bottom w:val="single" w:sz="4" w:space="0" w:color="auto"/>
              <w:right w:val="nil"/>
            </w:tcBorders>
            <w:shd w:val="clear" w:color="auto" w:fill="auto"/>
            <w:noWrap/>
            <w:vAlign w:val="center"/>
            <w:hideMark/>
          </w:tcPr>
          <w:p w14:paraId="4138E4C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276</w:t>
            </w:r>
          </w:p>
        </w:tc>
        <w:tc>
          <w:tcPr>
            <w:tcW w:w="697" w:type="pct"/>
            <w:tcBorders>
              <w:top w:val="single" w:sz="4" w:space="0" w:color="auto"/>
              <w:left w:val="nil"/>
              <w:bottom w:val="single" w:sz="4" w:space="0" w:color="auto"/>
              <w:right w:val="nil"/>
            </w:tcBorders>
            <w:shd w:val="clear" w:color="auto" w:fill="auto"/>
            <w:noWrap/>
            <w:vAlign w:val="center"/>
            <w:hideMark/>
          </w:tcPr>
          <w:p w14:paraId="3EAEC1F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0,32</w:t>
            </w:r>
          </w:p>
        </w:tc>
        <w:tc>
          <w:tcPr>
            <w:tcW w:w="681" w:type="pct"/>
            <w:tcBorders>
              <w:top w:val="single" w:sz="4" w:space="0" w:color="auto"/>
              <w:left w:val="nil"/>
              <w:bottom w:val="single" w:sz="4" w:space="0" w:color="auto"/>
              <w:right w:val="nil"/>
            </w:tcBorders>
            <w:shd w:val="clear" w:color="auto" w:fill="auto"/>
            <w:noWrap/>
            <w:vAlign w:val="center"/>
            <w:hideMark/>
          </w:tcPr>
          <w:p w14:paraId="51535E9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0,36</w:t>
            </w:r>
          </w:p>
        </w:tc>
        <w:tc>
          <w:tcPr>
            <w:tcW w:w="793" w:type="pct"/>
            <w:tcBorders>
              <w:top w:val="single" w:sz="4" w:space="0" w:color="auto"/>
              <w:left w:val="nil"/>
              <w:bottom w:val="single" w:sz="4" w:space="0" w:color="auto"/>
              <w:right w:val="nil"/>
            </w:tcBorders>
            <w:shd w:val="clear" w:color="auto" w:fill="auto"/>
            <w:noWrap/>
            <w:vAlign w:val="center"/>
            <w:hideMark/>
          </w:tcPr>
          <w:p w14:paraId="065FD1F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59.972</w:t>
            </w:r>
          </w:p>
        </w:tc>
      </w:tr>
      <w:tr w:rsidR="006356F1" w:rsidRPr="00822E74" w14:paraId="5D2F00BB"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444EA4C"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52 </w:t>
            </w:r>
          </w:p>
        </w:tc>
        <w:tc>
          <w:tcPr>
            <w:tcW w:w="366" w:type="pct"/>
            <w:tcBorders>
              <w:top w:val="single" w:sz="4" w:space="0" w:color="auto"/>
              <w:left w:val="nil"/>
              <w:bottom w:val="single" w:sz="4" w:space="0" w:color="auto"/>
              <w:right w:val="nil"/>
            </w:tcBorders>
            <w:shd w:val="clear" w:color="auto" w:fill="auto"/>
            <w:noWrap/>
            <w:vAlign w:val="center"/>
            <w:hideMark/>
          </w:tcPr>
          <w:p w14:paraId="32DD0FA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260</w:t>
            </w:r>
          </w:p>
        </w:tc>
        <w:tc>
          <w:tcPr>
            <w:tcW w:w="368" w:type="pct"/>
            <w:tcBorders>
              <w:top w:val="single" w:sz="4" w:space="0" w:color="auto"/>
              <w:left w:val="nil"/>
              <w:bottom w:val="single" w:sz="4" w:space="0" w:color="auto"/>
              <w:right w:val="nil"/>
            </w:tcBorders>
            <w:shd w:val="clear" w:color="auto" w:fill="auto"/>
            <w:noWrap/>
            <w:vAlign w:val="center"/>
            <w:hideMark/>
          </w:tcPr>
          <w:p w14:paraId="65AE02F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248</w:t>
            </w:r>
          </w:p>
        </w:tc>
        <w:tc>
          <w:tcPr>
            <w:tcW w:w="326" w:type="pct"/>
            <w:tcBorders>
              <w:top w:val="single" w:sz="4" w:space="0" w:color="auto"/>
              <w:left w:val="nil"/>
              <w:bottom w:val="single" w:sz="4" w:space="0" w:color="auto"/>
              <w:right w:val="nil"/>
            </w:tcBorders>
            <w:shd w:val="clear" w:color="auto" w:fill="auto"/>
            <w:noWrap/>
            <w:vAlign w:val="center"/>
            <w:hideMark/>
          </w:tcPr>
          <w:p w14:paraId="5FB45EE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242</w:t>
            </w:r>
          </w:p>
        </w:tc>
        <w:tc>
          <w:tcPr>
            <w:tcW w:w="326" w:type="pct"/>
            <w:tcBorders>
              <w:top w:val="single" w:sz="4" w:space="0" w:color="auto"/>
              <w:left w:val="nil"/>
              <w:bottom w:val="single" w:sz="4" w:space="0" w:color="auto"/>
              <w:right w:val="nil"/>
            </w:tcBorders>
            <w:shd w:val="clear" w:color="auto" w:fill="auto"/>
            <w:noWrap/>
            <w:vAlign w:val="center"/>
            <w:hideMark/>
          </w:tcPr>
          <w:p w14:paraId="25AA6F7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250</w:t>
            </w:r>
          </w:p>
        </w:tc>
        <w:tc>
          <w:tcPr>
            <w:tcW w:w="475" w:type="pct"/>
            <w:tcBorders>
              <w:top w:val="single" w:sz="4" w:space="0" w:color="auto"/>
              <w:left w:val="nil"/>
              <w:bottom w:val="single" w:sz="4" w:space="0" w:color="auto"/>
              <w:right w:val="nil"/>
            </w:tcBorders>
            <w:shd w:val="clear" w:color="auto" w:fill="auto"/>
            <w:noWrap/>
            <w:vAlign w:val="center"/>
            <w:hideMark/>
          </w:tcPr>
          <w:p w14:paraId="1683A32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250</w:t>
            </w:r>
          </w:p>
        </w:tc>
        <w:tc>
          <w:tcPr>
            <w:tcW w:w="697" w:type="pct"/>
            <w:tcBorders>
              <w:top w:val="single" w:sz="4" w:space="0" w:color="auto"/>
              <w:left w:val="nil"/>
              <w:bottom w:val="single" w:sz="4" w:space="0" w:color="auto"/>
              <w:right w:val="nil"/>
            </w:tcBorders>
            <w:shd w:val="clear" w:color="auto" w:fill="auto"/>
            <w:noWrap/>
            <w:vAlign w:val="center"/>
            <w:hideMark/>
          </w:tcPr>
          <w:p w14:paraId="5317682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0,29</w:t>
            </w:r>
          </w:p>
        </w:tc>
        <w:tc>
          <w:tcPr>
            <w:tcW w:w="681" w:type="pct"/>
            <w:tcBorders>
              <w:top w:val="single" w:sz="4" w:space="0" w:color="auto"/>
              <w:left w:val="nil"/>
              <w:bottom w:val="single" w:sz="4" w:space="0" w:color="auto"/>
              <w:right w:val="nil"/>
            </w:tcBorders>
            <w:shd w:val="clear" w:color="auto" w:fill="auto"/>
            <w:noWrap/>
            <w:vAlign w:val="center"/>
            <w:hideMark/>
          </w:tcPr>
          <w:p w14:paraId="4403C7E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0,32</w:t>
            </w:r>
          </w:p>
        </w:tc>
        <w:tc>
          <w:tcPr>
            <w:tcW w:w="793" w:type="pct"/>
            <w:tcBorders>
              <w:top w:val="single" w:sz="4" w:space="0" w:color="auto"/>
              <w:left w:val="nil"/>
              <w:bottom w:val="single" w:sz="4" w:space="0" w:color="auto"/>
              <w:right w:val="nil"/>
            </w:tcBorders>
            <w:shd w:val="clear" w:color="auto" w:fill="auto"/>
            <w:noWrap/>
            <w:vAlign w:val="center"/>
            <w:hideMark/>
          </w:tcPr>
          <w:p w14:paraId="6019E9E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59.707</w:t>
            </w:r>
          </w:p>
        </w:tc>
      </w:tr>
      <w:tr w:rsidR="006356F1" w:rsidRPr="00822E74" w14:paraId="57F8E41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F3C0084"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53 </w:t>
            </w:r>
          </w:p>
        </w:tc>
        <w:tc>
          <w:tcPr>
            <w:tcW w:w="366" w:type="pct"/>
            <w:tcBorders>
              <w:top w:val="single" w:sz="4" w:space="0" w:color="auto"/>
              <w:left w:val="nil"/>
              <w:bottom w:val="single" w:sz="4" w:space="0" w:color="auto"/>
              <w:right w:val="nil"/>
            </w:tcBorders>
            <w:shd w:val="clear" w:color="auto" w:fill="auto"/>
            <w:noWrap/>
            <w:vAlign w:val="center"/>
            <w:hideMark/>
          </w:tcPr>
          <w:p w14:paraId="6BECA81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755</w:t>
            </w:r>
          </w:p>
        </w:tc>
        <w:tc>
          <w:tcPr>
            <w:tcW w:w="368" w:type="pct"/>
            <w:tcBorders>
              <w:top w:val="single" w:sz="4" w:space="0" w:color="auto"/>
              <w:left w:val="nil"/>
              <w:bottom w:val="single" w:sz="4" w:space="0" w:color="auto"/>
              <w:right w:val="nil"/>
            </w:tcBorders>
            <w:shd w:val="clear" w:color="auto" w:fill="auto"/>
            <w:noWrap/>
            <w:vAlign w:val="center"/>
            <w:hideMark/>
          </w:tcPr>
          <w:p w14:paraId="70F92FA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853</w:t>
            </w:r>
          </w:p>
        </w:tc>
        <w:tc>
          <w:tcPr>
            <w:tcW w:w="326" w:type="pct"/>
            <w:tcBorders>
              <w:top w:val="single" w:sz="4" w:space="0" w:color="auto"/>
              <w:left w:val="nil"/>
              <w:bottom w:val="single" w:sz="4" w:space="0" w:color="auto"/>
              <w:right w:val="nil"/>
            </w:tcBorders>
            <w:shd w:val="clear" w:color="auto" w:fill="auto"/>
            <w:noWrap/>
            <w:vAlign w:val="center"/>
            <w:hideMark/>
          </w:tcPr>
          <w:p w14:paraId="22A5130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607</w:t>
            </w:r>
          </w:p>
        </w:tc>
        <w:tc>
          <w:tcPr>
            <w:tcW w:w="326" w:type="pct"/>
            <w:tcBorders>
              <w:top w:val="single" w:sz="4" w:space="0" w:color="auto"/>
              <w:left w:val="nil"/>
              <w:bottom w:val="single" w:sz="4" w:space="0" w:color="auto"/>
              <w:right w:val="nil"/>
            </w:tcBorders>
            <w:shd w:val="clear" w:color="auto" w:fill="auto"/>
            <w:noWrap/>
            <w:vAlign w:val="center"/>
            <w:hideMark/>
          </w:tcPr>
          <w:p w14:paraId="31D7976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69</w:t>
            </w:r>
          </w:p>
        </w:tc>
        <w:tc>
          <w:tcPr>
            <w:tcW w:w="475" w:type="pct"/>
            <w:tcBorders>
              <w:top w:val="single" w:sz="4" w:space="0" w:color="auto"/>
              <w:left w:val="nil"/>
              <w:bottom w:val="single" w:sz="4" w:space="0" w:color="auto"/>
              <w:right w:val="nil"/>
            </w:tcBorders>
            <w:shd w:val="clear" w:color="auto" w:fill="auto"/>
            <w:noWrap/>
            <w:vAlign w:val="center"/>
            <w:hideMark/>
          </w:tcPr>
          <w:p w14:paraId="36D9576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571</w:t>
            </w:r>
          </w:p>
        </w:tc>
        <w:tc>
          <w:tcPr>
            <w:tcW w:w="697" w:type="pct"/>
            <w:tcBorders>
              <w:top w:val="single" w:sz="4" w:space="0" w:color="auto"/>
              <w:left w:val="nil"/>
              <w:bottom w:val="single" w:sz="4" w:space="0" w:color="auto"/>
              <w:right w:val="nil"/>
            </w:tcBorders>
            <w:shd w:val="clear" w:color="auto" w:fill="auto"/>
            <w:noWrap/>
            <w:vAlign w:val="center"/>
            <w:hideMark/>
          </w:tcPr>
          <w:p w14:paraId="4AFA578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0,66</w:t>
            </w:r>
          </w:p>
        </w:tc>
        <w:tc>
          <w:tcPr>
            <w:tcW w:w="681" w:type="pct"/>
            <w:tcBorders>
              <w:top w:val="single" w:sz="4" w:space="0" w:color="auto"/>
              <w:left w:val="nil"/>
              <w:bottom w:val="single" w:sz="4" w:space="0" w:color="auto"/>
              <w:right w:val="nil"/>
            </w:tcBorders>
            <w:shd w:val="clear" w:color="auto" w:fill="auto"/>
            <w:noWrap/>
            <w:vAlign w:val="center"/>
            <w:hideMark/>
          </w:tcPr>
          <w:p w14:paraId="00FD3C8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0,73</w:t>
            </w:r>
          </w:p>
        </w:tc>
        <w:tc>
          <w:tcPr>
            <w:tcW w:w="793" w:type="pct"/>
            <w:tcBorders>
              <w:top w:val="single" w:sz="4" w:space="0" w:color="auto"/>
              <w:left w:val="nil"/>
              <w:bottom w:val="single" w:sz="4" w:space="0" w:color="auto"/>
              <w:right w:val="nil"/>
            </w:tcBorders>
            <w:shd w:val="clear" w:color="auto" w:fill="auto"/>
            <w:noWrap/>
            <w:vAlign w:val="center"/>
            <w:hideMark/>
          </w:tcPr>
          <w:p w14:paraId="0E07B00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58.758</w:t>
            </w:r>
          </w:p>
        </w:tc>
      </w:tr>
      <w:tr w:rsidR="006356F1" w:rsidRPr="00822E74" w14:paraId="6972DC72"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253531D"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54 </w:t>
            </w:r>
          </w:p>
        </w:tc>
        <w:tc>
          <w:tcPr>
            <w:tcW w:w="366" w:type="pct"/>
            <w:tcBorders>
              <w:top w:val="single" w:sz="4" w:space="0" w:color="auto"/>
              <w:left w:val="nil"/>
              <w:bottom w:val="single" w:sz="4" w:space="0" w:color="auto"/>
              <w:right w:val="nil"/>
            </w:tcBorders>
            <w:shd w:val="clear" w:color="auto" w:fill="auto"/>
            <w:noWrap/>
            <w:vAlign w:val="center"/>
            <w:hideMark/>
          </w:tcPr>
          <w:p w14:paraId="51A827F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250</w:t>
            </w:r>
          </w:p>
        </w:tc>
        <w:tc>
          <w:tcPr>
            <w:tcW w:w="368" w:type="pct"/>
            <w:tcBorders>
              <w:top w:val="single" w:sz="4" w:space="0" w:color="auto"/>
              <w:left w:val="nil"/>
              <w:bottom w:val="single" w:sz="4" w:space="0" w:color="auto"/>
              <w:right w:val="nil"/>
            </w:tcBorders>
            <w:shd w:val="clear" w:color="auto" w:fill="auto"/>
            <w:noWrap/>
            <w:vAlign w:val="center"/>
            <w:hideMark/>
          </w:tcPr>
          <w:p w14:paraId="3B133EC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250</w:t>
            </w:r>
          </w:p>
        </w:tc>
        <w:tc>
          <w:tcPr>
            <w:tcW w:w="326" w:type="pct"/>
            <w:tcBorders>
              <w:top w:val="single" w:sz="4" w:space="0" w:color="auto"/>
              <w:left w:val="nil"/>
              <w:bottom w:val="single" w:sz="4" w:space="0" w:color="auto"/>
              <w:right w:val="nil"/>
            </w:tcBorders>
            <w:shd w:val="clear" w:color="auto" w:fill="auto"/>
            <w:noWrap/>
            <w:vAlign w:val="center"/>
            <w:hideMark/>
          </w:tcPr>
          <w:p w14:paraId="6C5C1A4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264</w:t>
            </w:r>
          </w:p>
        </w:tc>
        <w:tc>
          <w:tcPr>
            <w:tcW w:w="326" w:type="pct"/>
            <w:tcBorders>
              <w:top w:val="single" w:sz="4" w:space="0" w:color="auto"/>
              <w:left w:val="nil"/>
              <w:bottom w:val="single" w:sz="4" w:space="0" w:color="auto"/>
              <w:right w:val="nil"/>
            </w:tcBorders>
            <w:shd w:val="clear" w:color="auto" w:fill="auto"/>
            <w:noWrap/>
            <w:vAlign w:val="center"/>
            <w:hideMark/>
          </w:tcPr>
          <w:p w14:paraId="2469FD2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305</w:t>
            </w:r>
          </w:p>
        </w:tc>
        <w:tc>
          <w:tcPr>
            <w:tcW w:w="475" w:type="pct"/>
            <w:tcBorders>
              <w:top w:val="single" w:sz="4" w:space="0" w:color="auto"/>
              <w:left w:val="nil"/>
              <w:bottom w:val="single" w:sz="4" w:space="0" w:color="auto"/>
              <w:right w:val="nil"/>
            </w:tcBorders>
            <w:shd w:val="clear" w:color="auto" w:fill="auto"/>
            <w:noWrap/>
            <w:vAlign w:val="center"/>
            <w:hideMark/>
          </w:tcPr>
          <w:p w14:paraId="11217A5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267</w:t>
            </w:r>
          </w:p>
        </w:tc>
        <w:tc>
          <w:tcPr>
            <w:tcW w:w="697" w:type="pct"/>
            <w:tcBorders>
              <w:top w:val="single" w:sz="4" w:space="0" w:color="auto"/>
              <w:left w:val="nil"/>
              <w:bottom w:val="single" w:sz="4" w:space="0" w:color="auto"/>
              <w:right w:val="nil"/>
            </w:tcBorders>
            <w:shd w:val="clear" w:color="auto" w:fill="auto"/>
            <w:noWrap/>
            <w:vAlign w:val="center"/>
            <w:hideMark/>
          </w:tcPr>
          <w:p w14:paraId="4C5F25C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0,31</w:t>
            </w:r>
          </w:p>
        </w:tc>
        <w:tc>
          <w:tcPr>
            <w:tcW w:w="681" w:type="pct"/>
            <w:tcBorders>
              <w:top w:val="single" w:sz="4" w:space="0" w:color="auto"/>
              <w:left w:val="nil"/>
              <w:bottom w:val="single" w:sz="4" w:space="0" w:color="auto"/>
              <w:right w:val="nil"/>
            </w:tcBorders>
            <w:shd w:val="clear" w:color="auto" w:fill="auto"/>
            <w:noWrap/>
            <w:vAlign w:val="center"/>
            <w:hideMark/>
          </w:tcPr>
          <w:p w14:paraId="7939631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0,33</w:t>
            </w:r>
          </w:p>
        </w:tc>
        <w:tc>
          <w:tcPr>
            <w:tcW w:w="793" w:type="pct"/>
            <w:tcBorders>
              <w:top w:val="single" w:sz="4" w:space="0" w:color="auto"/>
              <w:left w:val="nil"/>
              <w:bottom w:val="single" w:sz="4" w:space="0" w:color="auto"/>
              <w:right w:val="nil"/>
            </w:tcBorders>
            <w:shd w:val="clear" w:color="auto" w:fill="auto"/>
            <w:noWrap/>
            <w:vAlign w:val="center"/>
            <w:hideMark/>
          </w:tcPr>
          <w:p w14:paraId="299C3A3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57.768</w:t>
            </w:r>
          </w:p>
        </w:tc>
      </w:tr>
      <w:tr w:rsidR="006356F1" w:rsidRPr="00822E74" w14:paraId="47CD1FBF"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767FFAA5"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55 </w:t>
            </w:r>
          </w:p>
        </w:tc>
        <w:tc>
          <w:tcPr>
            <w:tcW w:w="366" w:type="pct"/>
            <w:tcBorders>
              <w:top w:val="single" w:sz="4" w:space="0" w:color="auto"/>
              <w:left w:val="nil"/>
              <w:bottom w:val="single" w:sz="4" w:space="0" w:color="auto"/>
              <w:right w:val="nil"/>
            </w:tcBorders>
            <w:shd w:val="clear" w:color="auto" w:fill="auto"/>
            <w:noWrap/>
            <w:vAlign w:val="center"/>
            <w:hideMark/>
          </w:tcPr>
          <w:p w14:paraId="26BF8819" w14:textId="77777777" w:rsidR="006356F1" w:rsidRPr="00822E74" w:rsidRDefault="006356F1" w:rsidP="00217400">
            <w:pPr>
              <w:jc w:val="right"/>
              <w:rPr>
                <w:rFonts w:ascii="Arial" w:hAnsi="Arial" w:cs="Arial"/>
                <w:color w:val="000000"/>
                <w:sz w:val="20"/>
              </w:rPr>
            </w:pPr>
          </w:p>
        </w:tc>
        <w:tc>
          <w:tcPr>
            <w:tcW w:w="368" w:type="pct"/>
            <w:tcBorders>
              <w:top w:val="single" w:sz="4" w:space="0" w:color="auto"/>
              <w:left w:val="nil"/>
              <w:bottom w:val="single" w:sz="4" w:space="0" w:color="auto"/>
              <w:right w:val="nil"/>
            </w:tcBorders>
            <w:shd w:val="clear" w:color="auto" w:fill="auto"/>
            <w:noWrap/>
            <w:vAlign w:val="center"/>
            <w:hideMark/>
          </w:tcPr>
          <w:p w14:paraId="1CD5002D" w14:textId="77777777" w:rsidR="006356F1" w:rsidRPr="00822E74" w:rsidRDefault="006356F1" w:rsidP="00217400">
            <w:pPr>
              <w:jc w:val="right"/>
              <w:rPr>
                <w:rFonts w:ascii="Arial" w:hAnsi="Arial" w:cs="Arial"/>
                <w:color w:val="000000"/>
                <w:sz w:val="20"/>
              </w:rPr>
            </w:pPr>
          </w:p>
        </w:tc>
        <w:tc>
          <w:tcPr>
            <w:tcW w:w="326" w:type="pct"/>
            <w:tcBorders>
              <w:top w:val="single" w:sz="4" w:space="0" w:color="auto"/>
              <w:left w:val="nil"/>
              <w:bottom w:val="single" w:sz="4" w:space="0" w:color="auto"/>
              <w:right w:val="nil"/>
            </w:tcBorders>
            <w:shd w:val="clear" w:color="auto" w:fill="auto"/>
            <w:noWrap/>
            <w:vAlign w:val="center"/>
            <w:hideMark/>
          </w:tcPr>
          <w:p w14:paraId="327470B3" w14:textId="77777777" w:rsidR="006356F1" w:rsidRPr="00822E74" w:rsidRDefault="006356F1" w:rsidP="00217400">
            <w:pPr>
              <w:jc w:val="right"/>
              <w:rPr>
                <w:rFonts w:ascii="Arial" w:hAnsi="Arial" w:cs="Arial"/>
                <w:color w:val="000000"/>
                <w:sz w:val="20"/>
              </w:rPr>
            </w:pPr>
          </w:p>
        </w:tc>
        <w:tc>
          <w:tcPr>
            <w:tcW w:w="326" w:type="pct"/>
            <w:tcBorders>
              <w:top w:val="single" w:sz="4" w:space="0" w:color="auto"/>
              <w:left w:val="nil"/>
              <w:bottom w:val="single" w:sz="4" w:space="0" w:color="auto"/>
              <w:right w:val="nil"/>
            </w:tcBorders>
            <w:shd w:val="clear" w:color="auto" w:fill="auto"/>
            <w:noWrap/>
            <w:vAlign w:val="center"/>
            <w:hideMark/>
          </w:tcPr>
          <w:p w14:paraId="38145F4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671</w:t>
            </w:r>
          </w:p>
        </w:tc>
        <w:tc>
          <w:tcPr>
            <w:tcW w:w="475" w:type="pct"/>
            <w:tcBorders>
              <w:top w:val="single" w:sz="4" w:space="0" w:color="auto"/>
              <w:left w:val="nil"/>
              <w:bottom w:val="single" w:sz="4" w:space="0" w:color="auto"/>
              <w:right w:val="nil"/>
            </w:tcBorders>
            <w:shd w:val="clear" w:color="auto" w:fill="auto"/>
            <w:noWrap/>
            <w:vAlign w:val="center"/>
            <w:hideMark/>
          </w:tcPr>
          <w:p w14:paraId="00977E3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671</w:t>
            </w:r>
          </w:p>
        </w:tc>
        <w:tc>
          <w:tcPr>
            <w:tcW w:w="697" w:type="pct"/>
            <w:tcBorders>
              <w:top w:val="single" w:sz="4" w:space="0" w:color="auto"/>
              <w:left w:val="nil"/>
              <w:bottom w:val="single" w:sz="4" w:space="0" w:color="auto"/>
              <w:right w:val="nil"/>
            </w:tcBorders>
            <w:shd w:val="clear" w:color="auto" w:fill="auto"/>
            <w:noWrap/>
            <w:vAlign w:val="center"/>
            <w:hideMark/>
          </w:tcPr>
          <w:p w14:paraId="4ED099A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0,78</w:t>
            </w:r>
          </w:p>
        </w:tc>
        <w:tc>
          <w:tcPr>
            <w:tcW w:w="681" w:type="pct"/>
            <w:tcBorders>
              <w:top w:val="single" w:sz="4" w:space="0" w:color="auto"/>
              <w:left w:val="nil"/>
              <w:bottom w:val="single" w:sz="4" w:space="0" w:color="auto"/>
              <w:right w:val="nil"/>
            </w:tcBorders>
            <w:shd w:val="clear" w:color="auto" w:fill="auto"/>
            <w:noWrap/>
            <w:vAlign w:val="center"/>
            <w:hideMark/>
          </w:tcPr>
          <w:p w14:paraId="33A4826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0,84</w:t>
            </w:r>
          </w:p>
        </w:tc>
        <w:tc>
          <w:tcPr>
            <w:tcW w:w="793" w:type="pct"/>
            <w:tcBorders>
              <w:top w:val="single" w:sz="4" w:space="0" w:color="auto"/>
              <w:left w:val="nil"/>
              <w:bottom w:val="single" w:sz="4" w:space="0" w:color="auto"/>
              <w:right w:val="nil"/>
            </w:tcBorders>
            <w:shd w:val="clear" w:color="auto" w:fill="auto"/>
            <w:noWrap/>
            <w:vAlign w:val="center"/>
            <w:hideMark/>
          </w:tcPr>
          <w:p w14:paraId="492C693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57.365</w:t>
            </w:r>
          </w:p>
        </w:tc>
      </w:tr>
      <w:tr w:rsidR="006356F1" w:rsidRPr="00822E74" w14:paraId="01F7AB8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347C824"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56 </w:t>
            </w:r>
          </w:p>
        </w:tc>
        <w:tc>
          <w:tcPr>
            <w:tcW w:w="366" w:type="pct"/>
            <w:tcBorders>
              <w:top w:val="single" w:sz="4" w:space="0" w:color="auto"/>
              <w:left w:val="nil"/>
              <w:bottom w:val="single" w:sz="4" w:space="0" w:color="auto"/>
              <w:right w:val="nil"/>
            </w:tcBorders>
            <w:shd w:val="clear" w:color="auto" w:fill="auto"/>
            <w:noWrap/>
            <w:vAlign w:val="center"/>
            <w:hideMark/>
          </w:tcPr>
          <w:p w14:paraId="13D5DA2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1.179</w:t>
            </w:r>
          </w:p>
        </w:tc>
        <w:tc>
          <w:tcPr>
            <w:tcW w:w="368" w:type="pct"/>
            <w:tcBorders>
              <w:top w:val="single" w:sz="4" w:space="0" w:color="auto"/>
              <w:left w:val="nil"/>
              <w:bottom w:val="single" w:sz="4" w:space="0" w:color="auto"/>
              <w:right w:val="nil"/>
            </w:tcBorders>
            <w:shd w:val="clear" w:color="auto" w:fill="auto"/>
            <w:noWrap/>
            <w:vAlign w:val="center"/>
            <w:hideMark/>
          </w:tcPr>
          <w:p w14:paraId="0E1FED0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848</w:t>
            </w:r>
          </w:p>
        </w:tc>
        <w:tc>
          <w:tcPr>
            <w:tcW w:w="326" w:type="pct"/>
            <w:tcBorders>
              <w:top w:val="single" w:sz="4" w:space="0" w:color="auto"/>
              <w:left w:val="nil"/>
              <w:bottom w:val="single" w:sz="4" w:space="0" w:color="auto"/>
              <w:right w:val="nil"/>
            </w:tcBorders>
            <w:shd w:val="clear" w:color="auto" w:fill="auto"/>
            <w:noWrap/>
            <w:vAlign w:val="center"/>
            <w:hideMark/>
          </w:tcPr>
          <w:p w14:paraId="79D508F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830</w:t>
            </w:r>
          </w:p>
        </w:tc>
        <w:tc>
          <w:tcPr>
            <w:tcW w:w="326" w:type="pct"/>
            <w:tcBorders>
              <w:top w:val="single" w:sz="4" w:space="0" w:color="auto"/>
              <w:left w:val="nil"/>
              <w:bottom w:val="single" w:sz="4" w:space="0" w:color="auto"/>
              <w:right w:val="nil"/>
            </w:tcBorders>
            <w:shd w:val="clear" w:color="auto" w:fill="auto"/>
            <w:noWrap/>
            <w:vAlign w:val="center"/>
            <w:hideMark/>
          </w:tcPr>
          <w:p w14:paraId="7CC613B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855</w:t>
            </w:r>
          </w:p>
        </w:tc>
        <w:tc>
          <w:tcPr>
            <w:tcW w:w="475" w:type="pct"/>
            <w:tcBorders>
              <w:top w:val="single" w:sz="4" w:space="0" w:color="auto"/>
              <w:left w:val="nil"/>
              <w:bottom w:val="single" w:sz="4" w:space="0" w:color="auto"/>
              <w:right w:val="nil"/>
            </w:tcBorders>
            <w:shd w:val="clear" w:color="auto" w:fill="auto"/>
            <w:noWrap/>
            <w:vAlign w:val="center"/>
            <w:hideMark/>
          </w:tcPr>
          <w:p w14:paraId="55EF5CF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928</w:t>
            </w:r>
          </w:p>
        </w:tc>
        <w:tc>
          <w:tcPr>
            <w:tcW w:w="697" w:type="pct"/>
            <w:tcBorders>
              <w:top w:val="single" w:sz="4" w:space="0" w:color="auto"/>
              <w:left w:val="nil"/>
              <w:bottom w:val="single" w:sz="4" w:space="0" w:color="auto"/>
              <w:right w:val="nil"/>
            </w:tcBorders>
            <w:shd w:val="clear" w:color="auto" w:fill="auto"/>
            <w:noWrap/>
            <w:vAlign w:val="center"/>
            <w:hideMark/>
          </w:tcPr>
          <w:p w14:paraId="5ACEA24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1,07</w:t>
            </w:r>
          </w:p>
        </w:tc>
        <w:tc>
          <w:tcPr>
            <w:tcW w:w="681" w:type="pct"/>
            <w:tcBorders>
              <w:top w:val="single" w:sz="4" w:space="0" w:color="auto"/>
              <w:left w:val="nil"/>
              <w:bottom w:val="single" w:sz="4" w:space="0" w:color="auto"/>
              <w:right w:val="nil"/>
            </w:tcBorders>
            <w:shd w:val="clear" w:color="auto" w:fill="auto"/>
            <w:noWrap/>
            <w:vAlign w:val="center"/>
            <w:hideMark/>
          </w:tcPr>
          <w:p w14:paraId="44349E9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1,11</w:t>
            </w:r>
          </w:p>
        </w:tc>
        <w:tc>
          <w:tcPr>
            <w:tcW w:w="793" w:type="pct"/>
            <w:tcBorders>
              <w:top w:val="single" w:sz="4" w:space="0" w:color="auto"/>
              <w:left w:val="nil"/>
              <w:bottom w:val="single" w:sz="4" w:space="0" w:color="auto"/>
              <w:right w:val="nil"/>
            </w:tcBorders>
            <w:shd w:val="clear" w:color="auto" w:fill="auto"/>
            <w:noWrap/>
            <w:vAlign w:val="center"/>
            <w:hideMark/>
          </w:tcPr>
          <w:p w14:paraId="31B4D90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55.131</w:t>
            </w:r>
          </w:p>
        </w:tc>
      </w:tr>
      <w:tr w:rsidR="006356F1" w:rsidRPr="00822E74" w14:paraId="40F01F04"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57C31C9"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57 </w:t>
            </w:r>
          </w:p>
        </w:tc>
        <w:tc>
          <w:tcPr>
            <w:tcW w:w="366" w:type="pct"/>
            <w:tcBorders>
              <w:top w:val="single" w:sz="4" w:space="0" w:color="auto"/>
              <w:left w:val="nil"/>
              <w:bottom w:val="single" w:sz="4" w:space="0" w:color="auto"/>
              <w:right w:val="nil"/>
            </w:tcBorders>
            <w:shd w:val="clear" w:color="auto" w:fill="auto"/>
            <w:noWrap/>
            <w:vAlign w:val="center"/>
            <w:hideMark/>
          </w:tcPr>
          <w:p w14:paraId="588EBA6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874</w:t>
            </w:r>
          </w:p>
        </w:tc>
        <w:tc>
          <w:tcPr>
            <w:tcW w:w="368" w:type="pct"/>
            <w:tcBorders>
              <w:top w:val="single" w:sz="4" w:space="0" w:color="auto"/>
              <w:left w:val="nil"/>
              <w:bottom w:val="single" w:sz="4" w:space="0" w:color="auto"/>
              <w:right w:val="nil"/>
            </w:tcBorders>
            <w:shd w:val="clear" w:color="auto" w:fill="auto"/>
            <w:noWrap/>
            <w:vAlign w:val="center"/>
            <w:hideMark/>
          </w:tcPr>
          <w:p w14:paraId="7691A56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896</w:t>
            </w:r>
          </w:p>
        </w:tc>
        <w:tc>
          <w:tcPr>
            <w:tcW w:w="326" w:type="pct"/>
            <w:tcBorders>
              <w:top w:val="single" w:sz="4" w:space="0" w:color="auto"/>
              <w:left w:val="nil"/>
              <w:bottom w:val="single" w:sz="4" w:space="0" w:color="auto"/>
              <w:right w:val="nil"/>
            </w:tcBorders>
            <w:shd w:val="clear" w:color="auto" w:fill="auto"/>
            <w:noWrap/>
            <w:vAlign w:val="center"/>
            <w:hideMark/>
          </w:tcPr>
          <w:p w14:paraId="4C8281A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799</w:t>
            </w:r>
          </w:p>
        </w:tc>
        <w:tc>
          <w:tcPr>
            <w:tcW w:w="326" w:type="pct"/>
            <w:tcBorders>
              <w:top w:val="single" w:sz="4" w:space="0" w:color="auto"/>
              <w:left w:val="nil"/>
              <w:bottom w:val="single" w:sz="4" w:space="0" w:color="auto"/>
              <w:right w:val="nil"/>
            </w:tcBorders>
            <w:shd w:val="clear" w:color="auto" w:fill="auto"/>
            <w:noWrap/>
            <w:vAlign w:val="center"/>
            <w:hideMark/>
          </w:tcPr>
          <w:p w14:paraId="45B4066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738</w:t>
            </w:r>
          </w:p>
        </w:tc>
        <w:tc>
          <w:tcPr>
            <w:tcW w:w="475" w:type="pct"/>
            <w:tcBorders>
              <w:top w:val="single" w:sz="4" w:space="0" w:color="auto"/>
              <w:left w:val="nil"/>
              <w:bottom w:val="single" w:sz="4" w:space="0" w:color="auto"/>
              <w:right w:val="nil"/>
            </w:tcBorders>
            <w:shd w:val="clear" w:color="auto" w:fill="auto"/>
            <w:noWrap/>
            <w:vAlign w:val="center"/>
            <w:hideMark/>
          </w:tcPr>
          <w:p w14:paraId="2665B1F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827</w:t>
            </w:r>
          </w:p>
        </w:tc>
        <w:tc>
          <w:tcPr>
            <w:tcW w:w="697" w:type="pct"/>
            <w:tcBorders>
              <w:top w:val="single" w:sz="4" w:space="0" w:color="auto"/>
              <w:left w:val="nil"/>
              <w:bottom w:val="single" w:sz="4" w:space="0" w:color="auto"/>
              <w:right w:val="nil"/>
            </w:tcBorders>
            <w:shd w:val="clear" w:color="auto" w:fill="auto"/>
            <w:noWrap/>
            <w:vAlign w:val="center"/>
            <w:hideMark/>
          </w:tcPr>
          <w:p w14:paraId="2669652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0,96</w:t>
            </w:r>
          </w:p>
        </w:tc>
        <w:tc>
          <w:tcPr>
            <w:tcW w:w="681" w:type="pct"/>
            <w:tcBorders>
              <w:top w:val="single" w:sz="4" w:space="0" w:color="auto"/>
              <w:left w:val="nil"/>
              <w:bottom w:val="single" w:sz="4" w:space="0" w:color="auto"/>
              <w:right w:val="nil"/>
            </w:tcBorders>
            <w:shd w:val="clear" w:color="auto" w:fill="auto"/>
            <w:noWrap/>
            <w:vAlign w:val="center"/>
            <w:hideMark/>
          </w:tcPr>
          <w:p w14:paraId="345ACF9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0,99</w:t>
            </w:r>
          </w:p>
        </w:tc>
        <w:tc>
          <w:tcPr>
            <w:tcW w:w="793" w:type="pct"/>
            <w:tcBorders>
              <w:top w:val="single" w:sz="4" w:space="0" w:color="auto"/>
              <w:left w:val="nil"/>
              <w:bottom w:val="single" w:sz="4" w:space="0" w:color="auto"/>
              <w:right w:val="nil"/>
            </w:tcBorders>
            <w:shd w:val="clear" w:color="auto" w:fill="auto"/>
            <w:noWrap/>
            <w:vAlign w:val="center"/>
            <w:hideMark/>
          </w:tcPr>
          <w:p w14:paraId="1ADA3A0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55.050</w:t>
            </w:r>
          </w:p>
        </w:tc>
      </w:tr>
      <w:tr w:rsidR="006356F1" w:rsidRPr="00822E74" w14:paraId="0A8E923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6E2B072"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58 </w:t>
            </w:r>
          </w:p>
        </w:tc>
        <w:tc>
          <w:tcPr>
            <w:tcW w:w="366" w:type="pct"/>
            <w:tcBorders>
              <w:top w:val="single" w:sz="4" w:space="0" w:color="auto"/>
              <w:left w:val="nil"/>
              <w:bottom w:val="single" w:sz="4" w:space="0" w:color="auto"/>
              <w:right w:val="nil"/>
            </w:tcBorders>
            <w:shd w:val="clear" w:color="auto" w:fill="auto"/>
            <w:noWrap/>
            <w:vAlign w:val="center"/>
            <w:hideMark/>
          </w:tcPr>
          <w:p w14:paraId="5197F70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1.244</w:t>
            </w:r>
          </w:p>
        </w:tc>
        <w:tc>
          <w:tcPr>
            <w:tcW w:w="368" w:type="pct"/>
            <w:tcBorders>
              <w:top w:val="single" w:sz="4" w:space="0" w:color="auto"/>
              <w:left w:val="nil"/>
              <w:bottom w:val="single" w:sz="4" w:space="0" w:color="auto"/>
              <w:right w:val="nil"/>
            </w:tcBorders>
            <w:shd w:val="clear" w:color="auto" w:fill="auto"/>
            <w:noWrap/>
            <w:vAlign w:val="center"/>
            <w:hideMark/>
          </w:tcPr>
          <w:p w14:paraId="4DEBC94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1.229</w:t>
            </w:r>
          </w:p>
        </w:tc>
        <w:tc>
          <w:tcPr>
            <w:tcW w:w="326" w:type="pct"/>
            <w:tcBorders>
              <w:top w:val="single" w:sz="4" w:space="0" w:color="auto"/>
              <w:left w:val="nil"/>
              <w:bottom w:val="single" w:sz="4" w:space="0" w:color="auto"/>
              <w:right w:val="nil"/>
            </w:tcBorders>
            <w:shd w:val="clear" w:color="auto" w:fill="auto"/>
            <w:noWrap/>
            <w:vAlign w:val="center"/>
            <w:hideMark/>
          </w:tcPr>
          <w:p w14:paraId="6995F33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1.216</w:t>
            </w:r>
          </w:p>
        </w:tc>
        <w:tc>
          <w:tcPr>
            <w:tcW w:w="326" w:type="pct"/>
            <w:tcBorders>
              <w:top w:val="single" w:sz="4" w:space="0" w:color="auto"/>
              <w:left w:val="nil"/>
              <w:bottom w:val="single" w:sz="4" w:space="0" w:color="auto"/>
              <w:right w:val="nil"/>
            </w:tcBorders>
            <w:shd w:val="clear" w:color="auto" w:fill="auto"/>
            <w:noWrap/>
            <w:vAlign w:val="center"/>
            <w:hideMark/>
          </w:tcPr>
          <w:p w14:paraId="38A1B02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1.132</w:t>
            </w:r>
          </w:p>
        </w:tc>
        <w:tc>
          <w:tcPr>
            <w:tcW w:w="475" w:type="pct"/>
            <w:tcBorders>
              <w:top w:val="single" w:sz="4" w:space="0" w:color="auto"/>
              <w:left w:val="nil"/>
              <w:bottom w:val="single" w:sz="4" w:space="0" w:color="auto"/>
              <w:right w:val="nil"/>
            </w:tcBorders>
            <w:shd w:val="clear" w:color="auto" w:fill="auto"/>
            <w:noWrap/>
            <w:vAlign w:val="center"/>
            <w:hideMark/>
          </w:tcPr>
          <w:p w14:paraId="2DEF69B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1.205</w:t>
            </w:r>
          </w:p>
        </w:tc>
        <w:tc>
          <w:tcPr>
            <w:tcW w:w="697" w:type="pct"/>
            <w:tcBorders>
              <w:top w:val="single" w:sz="4" w:space="0" w:color="auto"/>
              <w:left w:val="nil"/>
              <w:bottom w:val="single" w:sz="4" w:space="0" w:color="auto"/>
              <w:right w:val="nil"/>
            </w:tcBorders>
            <w:shd w:val="clear" w:color="auto" w:fill="auto"/>
            <w:noWrap/>
            <w:vAlign w:val="center"/>
            <w:hideMark/>
          </w:tcPr>
          <w:p w14:paraId="54B8398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1,39</w:t>
            </w:r>
          </w:p>
        </w:tc>
        <w:tc>
          <w:tcPr>
            <w:tcW w:w="681" w:type="pct"/>
            <w:tcBorders>
              <w:top w:val="single" w:sz="4" w:space="0" w:color="auto"/>
              <w:left w:val="nil"/>
              <w:bottom w:val="single" w:sz="4" w:space="0" w:color="auto"/>
              <w:right w:val="nil"/>
            </w:tcBorders>
            <w:shd w:val="clear" w:color="auto" w:fill="auto"/>
            <w:noWrap/>
            <w:vAlign w:val="center"/>
            <w:hideMark/>
          </w:tcPr>
          <w:p w14:paraId="3A83968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1,34</w:t>
            </w:r>
          </w:p>
        </w:tc>
        <w:tc>
          <w:tcPr>
            <w:tcW w:w="793" w:type="pct"/>
            <w:tcBorders>
              <w:top w:val="single" w:sz="4" w:space="0" w:color="auto"/>
              <w:left w:val="nil"/>
              <w:bottom w:val="single" w:sz="4" w:space="0" w:color="auto"/>
              <w:right w:val="nil"/>
            </w:tcBorders>
            <w:shd w:val="clear" w:color="auto" w:fill="auto"/>
            <w:noWrap/>
            <w:vAlign w:val="center"/>
            <w:hideMark/>
          </w:tcPr>
          <w:p w14:paraId="6533AD5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51.072</w:t>
            </w:r>
          </w:p>
        </w:tc>
      </w:tr>
      <w:tr w:rsidR="006356F1" w:rsidRPr="00822E74" w14:paraId="7B94BA30"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A8C221F"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59 </w:t>
            </w:r>
          </w:p>
        </w:tc>
        <w:tc>
          <w:tcPr>
            <w:tcW w:w="366" w:type="pct"/>
            <w:tcBorders>
              <w:top w:val="single" w:sz="4" w:space="0" w:color="auto"/>
              <w:left w:val="nil"/>
              <w:bottom w:val="single" w:sz="4" w:space="0" w:color="auto"/>
              <w:right w:val="nil"/>
            </w:tcBorders>
            <w:shd w:val="clear" w:color="auto" w:fill="auto"/>
            <w:noWrap/>
            <w:vAlign w:val="center"/>
            <w:hideMark/>
          </w:tcPr>
          <w:p w14:paraId="0D05C672" w14:textId="77777777" w:rsidR="006356F1" w:rsidRPr="00822E74" w:rsidRDefault="006356F1" w:rsidP="00217400">
            <w:pPr>
              <w:jc w:val="right"/>
              <w:rPr>
                <w:rFonts w:ascii="Arial" w:hAnsi="Arial" w:cs="Arial"/>
                <w:color w:val="000000"/>
                <w:sz w:val="20"/>
              </w:rPr>
            </w:pPr>
          </w:p>
        </w:tc>
        <w:tc>
          <w:tcPr>
            <w:tcW w:w="368" w:type="pct"/>
            <w:tcBorders>
              <w:top w:val="single" w:sz="4" w:space="0" w:color="auto"/>
              <w:left w:val="nil"/>
              <w:bottom w:val="single" w:sz="4" w:space="0" w:color="auto"/>
              <w:right w:val="nil"/>
            </w:tcBorders>
            <w:shd w:val="clear" w:color="auto" w:fill="auto"/>
            <w:noWrap/>
            <w:vAlign w:val="center"/>
            <w:hideMark/>
          </w:tcPr>
          <w:p w14:paraId="319ACC52" w14:textId="77777777" w:rsidR="006356F1" w:rsidRPr="00822E74" w:rsidRDefault="006356F1" w:rsidP="00217400">
            <w:pPr>
              <w:jc w:val="right"/>
              <w:rPr>
                <w:rFonts w:ascii="Arial" w:hAnsi="Arial" w:cs="Arial"/>
                <w:color w:val="000000"/>
                <w:sz w:val="20"/>
              </w:rPr>
            </w:pPr>
          </w:p>
        </w:tc>
        <w:tc>
          <w:tcPr>
            <w:tcW w:w="326" w:type="pct"/>
            <w:tcBorders>
              <w:top w:val="single" w:sz="4" w:space="0" w:color="auto"/>
              <w:left w:val="nil"/>
              <w:bottom w:val="single" w:sz="4" w:space="0" w:color="auto"/>
              <w:right w:val="nil"/>
            </w:tcBorders>
            <w:shd w:val="clear" w:color="auto" w:fill="auto"/>
            <w:noWrap/>
            <w:vAlign w:val="center"/>
            <w:hideMark/>
          </w:tcPr>
          <w:p w14:paraId="1A9D3584" w14:textId="77777777" w:rsidR="006356F1" w:rsidRPr="00822E74" w:rsidRDefault="006356F1" w:rsidP="00217400">
            <w:pPr>
              <w:jc w:val="right"/>
              <w:rPr>
                <w:rFonts w:ascii="Arial" w:hAnsi="Arial" w:cs="Arial"/>
                <w:color w:val="000000"/>
                <w:sz w:val="20"/>
              </w:rPr>
            </w:pPr>
          </w:p>
        </w:tc>
        <w:tc>
          <w:tcPr>
            <w:tcW w:w="326" w:type="pct"/>
            <w:tcBorders>
              <w:top w:val="single" w:sz="4" w:space="0" w:color="auto"/>
              <w:left w:val="nil"/>
              <w:bottom w:val="single" w:sz="4" w:space="0" w:color="auto"/>
              <w:right w:val="nil"/>
            </w:tcBorders>
            <w:shd w:val="clear" w:color="auto" w:fill="auto"/>
            <w:noWrap/>
            <w:vAlign w:val="center"/>
            <w:hideMark/>
          </w:tcPr>
          <w:p w14:paraId="1C1AC69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318</w:t>
            </w:r>
          </w:p>
        </w:tc>
        <w:tc>
          <w:tcPr>
            <w:tcW w:w="475" w:type="pct"/>
            <w:tcBorders>
              <w:top w:val="single" w:sz="4" w:space="0" w:color="auto"/>
              <w:left w:val="nil"/>
              <w:bottom w:val="single" w:sz="4" w:space="0" w:color="auto"/>
              <w:right w:val="nil"/>
            </w:tcBorders>
            <w:shd w:val="clear" w:color="auto" w:fill="auto"/>
            <w:noWrap/>
            <w:vAlign w:val="center"/>
            <w:hideMark/>
          </w:tcPr>
          <w:p w14:paraId="4A42880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318</w:t>
            </w:r>
          </w:p>
        </w:tc>
        <w:tc>
          <w:tcPr>
            <w:tcW w:w="697" w:type="pct"/>
            <w:tcBorders>
              <w:top w:val="single" w:sz="4" w:space="0" w:color="auto"/>
              <w:left w:val="nil"/>
              <w:bottom w:val="single" w:sz="4" w:space="0" w:color="auto"/>
              <w:right w:val="nil"/>
            </w:tcBorders>
            <w:shd w:val="clear" w:color="auto" w:fill="auto"/>
            <w:noWrap/>
            <w:vAlign w:val="center"/>
            <w:hideMark/>
          </w:tcPr>
          <w:p w14:paraId="7569F65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0,37</w:t>
            </w:r>
          </w:p>
        </w:tc>
        <w:tc>
          <w:tcPr>
            <w:tcW w:w="681" w:type="pct"/>
            <w:tcBorders>
              <w:top w:val="single" w:sz="4" w:space="0" w:color="auto"/>
              <w:left w:val="nil"/>
              <w:bottom w:val="single" w:sz="4" w:space="0" w:color="auto"/>
              <w:right w:val="nil"/>
            </w:tcBorders>
            <w:shd w:val="clear" w:color="auto" w:fill="auto"/>
            <w:noWrap/>
            <w:vAlign w:val="center"/>
            <w:hideMark/>
          </w:tcPr>
          <w:p w14:paraId="7D1D755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0,32</w:t>
            </w:r>
          </w:p>
        </w:tc>
        <w:tc>
          <w:tcPr>
            <w:tcW w:w="793" w:type="pct"/>
            <w:tcBorders>
              <w:top w:val="single" w:sz="4" w:space="0" w:color="auto"/>
              <w:left w:val="nil"/>
              <w:bottom w:val="single" w:sz="4" w:space="0" w:color="auto"/>
              <w:right w:val="nil"/>
            </w:tcBorders>
            <w:shd w:val="clear" w:color="auto" w:fill="auto"/>
            <w:noWrap/>
            <w:vAlign w:val="center"/>
            <w:hideMark/>
          </w:tcPr>
          <w:p w14:paraId="6E2AD0A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45.714</w:t>
            </w:r>
          </w:p>
        </w:tc>
      </w:tr>
      <w:tr w:rsidR="006356F1" w:rsidRPr="00822E74" w14:paraId="3D2C6366"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3B7C3F1"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60 </w:t>
            </w:r>
          </w:p>
        </w:tc>
        <w:tc>
          <w:tcPr>
            <w:tcW w:w="366" w:type="pct"/>
            <w:tcBorders>
              <w:top w:val="single" w:sz="4" w:space="0" w:color="auto"/>
              <w:left w:val="nil"/>
              <w:bottom w:val="single" w:sz="4" w:space="0" w:color="auto"/>
              <w:right w:val="nil"/>
            </w:tcBorders>
            <w:shd w:val="clear" w:color="auto" w:fill="auto"/>
            <w:noWrap/>
            <w:vAlign w:val="center"/>
            <w:hideMark/>
          </w:tcPr>
          <w:p w14:paraId="0BE4BBD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1.620</w:t>
            </w:r>
          </w:p>
        </w:tc>
        <w:tc>
          <w:tcPr>
            <w:tcW w:w="368" w:type="pct"/>
            <w:tcBorders>
              <w:top w:val="single" w:sz="4" w:space="0" w:color="auto"/>
              <w:left w:val="nil"/>
              <w:bottom w:val="single" w:sz="4" w:space="0" w:color="auto"/>
              <w:right w:val="nil"/>
            </w:tcBorders>
            <w:shd w:val="clear" w:color="auto" w:fill="auto"/>
            <w:noWrap/>
            <w:vAlign w:val="center"/>
            <w:hideMark/>
          </w:tcPr>
          <w:p w14:paraId="6105C41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1.607</w:t>
            </w:r>
          </w:p>
        </w:tc>
        <w:tc>
          <w:tcPr>
            <w:tcW w:w="326" w:type="pct"/>
            <w:tcBorders>
              <w:top w:val="single" w:sz="4" w:space="0" w:color="auto"/>
              <w:left w:val="nil"/>
              <w:bottom w:val="single" w:sz="4" w:space="0" w:color="auto"/>
              <w:right w:val="nil"/>
            </w:tcBorders>
            <w:shd w:val="clear" w:color="auto" w:fill="auto"/>
            <w:noWrap/>
            <w:vAlign w:val="center"/>
            <w:hideMark/>
          </w:tcPr>
          <w:p w14:paraId="353FD88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1.716</w:t>
            </w:r>
          </w:p>
        </w:tc>
        <w:tc>
          <w:tcPr>
            <w:tcW w:w="326" w:type="pct"/>
            <w:tcBorders>
              <w:top w:val="single" w:sz="4" w:space="0" w:color="auto"/>
              <w:left w:val="nil"/>
              <w:bottom w:val="single" w:sz="4" w:space="0" w:color="auto"/>
              <w:right w:val="nil"/>
            </w:tcBorders>
            <w:shd w:val="clear" w:color="auto" w:fill="auto"/>
            <w:noWrap/>
            <w:vAlign w:val="center"/>
            <w:hideMark/>
          </w:tcPr>
          <w:p w14:paraId="6D61B14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1.609</w:t>
            </w:r>
          </w:p>
        </w:tc>
        <w:tc>
          <w:tcPr>
            <w:tcW w:w="475" w:type="pct"/>
            <w:tcBorders>
              <w:top w:val="single" w:sz="4" w:space="0" w:color="auto"/>
              <w:left w:val="nil"/>
              <w:bottom w:val="single" w:sz="4" w:space="0" w:color="auto"/>
              <w:right w:val="nil"/>
            </w:tcBorders>
            <w:shd w:val="clear" w:color="auto" w:fill="auto"/>
            <w:noWrap/>
            <w:vAlign w:val="center"/>
            <w:hideMark/>
          </w:tcPr>
          <w:p w14:paraId="57DA66D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1.638</w:t>
            </w:r>
          </w:p>
        </w:tc>
        <w:tc>
          <w:tcPr>
            <w:tcW w:w="697" w:type="pct"/>
            <w:tcBorders>
              <w:top w:val="single" w:sz="4" w:space="0" w:color="auto"/>
              <w:left w:val="nil"/>
              <w:bottom w:val="single" w:sz="4" w:space="0" w:color="auto"/>
              <w:right w:val="nil"/>
            </w:tcBorders>
            <w:shd w:val="clear" w:color="auto" w:fill="auto"/>
            <w:noWrap/>
            <w:vAlign w:val="center"/>
            <w:hideMark/>
          </w:tcPr>
          <w:p w14:paraId="70A7A6D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1,89</w:t>
            </w:r>
          </w:p>
        </w:tc>
        <w:tc>
          <w:tcPr>
            <w:tcW w:w="681" w:type="pct"/>
            <w:tcBorders>
              <w:top w:val="single" w:sz="4" w:space="0" w:color="auto"/>
              <w:left w:val="nil"/>
              <w:bottom w:val="single" w:sz="4" w:space="0" w:color="auto"/>
              <w:right w:val="nil"/>
            </w:tcBorders>
            <w:shd w:val="clear" w:color="auto" w:fill="auto"/>
            <w:noWrap/>
            <w:vAlign w:val="center"/>
            <w:hideMark/>
          </w:tcPr>
          <w:p w14:paraId="6AB9299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1,51</w:t>
            </w:r>
          </w:p>
        </w:tc>
        <w:tc>
          <w:tcPr>
            <w:tcW w:w="793" w:type="pct"/>
            <w:tcBorders>
              <w:top w:val="single" w:sz="4" w:space="0" w:color="auto"/>
              <w:left w:val="nil"/>
              <w:bottom w:val="single" w:sz="4" w:space="0" w:color="auto"/>
              <w:right w:val="nil"/>
            </w:tcBorders>
            <w:shd w:val="clear" w:color="auto" w:fill="auto"/>
            <w:noWrap/>
            <w:vAlign w:val="center"/>
            <w:hideMark/>
          </w:tcPr>
          <w:p w14:paraId="5C7CDCB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42.443</w:t>
            </w:r>
          </w:p>
        </w:tc>
      </w:tr>
      <w:tr w:rsidR="006356F1" w:rsidRPr="00822E74" w14:paraId="393956DD"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AEE10C0"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61 </w:t>
            </w:r>
          </w:p>
        </w:tc>
        <w:tc>
          <w:tcPr>
            <w:tcW w:w="366" w:type="pct"/>
            <w:tcBorders>
              <w:top w:val="single" w:sz="4" w:space="0" w:color="auto"/>
              <w:left w:val="nil"/>
              <w:bottom w:val="single" w:sz="4" w:space="0" w:color="auto"/>
              <w:right w:val="nil"/>
            </w:tcBorders>
            <w:shd w:val="clear" w:color="auto" w:fill="auto"/>
            <w:noWrap/>
            <w:vAlign w:val="center"/>
            <w:hideMark/>
          </w:tcPr>
          <w:p w14:paraId="4A0587A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865</w:t>
            </w:r>
          </w:p>
        </w:tc>
        <w:tc>
          <w:tcPr>
            <w:tcW w:w="368" w:type="pct"/>
            <w:tcBorders>
              <w:top w:val="single" w:sz="4" w:space="0" w:color="auto"/>
              <w:left w:val="nil"/>
              <w:bottom w:val="single" w:sz="4" w:space="0" w:color="auto"/>
              <w:right w:val="nil"/>
            </w:tcBorders>
            <w:shd w:val="clear" w:color="auto" w:fill="auto"/>
            <w:noWrap/>
            <w:vAlign w:val="center"/>
            <w:hideMark/>
          </w:tcPr>
          <w:p w14:paraId="51317C0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949</w:t>
            </w:r>
          </w:p>
        </w:tc>
        <w:tc>
          <w:tcPr>
            <w:tcW w:w="326" w:type="pct"/>
            <w:tcBorders>
              <w:top w:val="single" w:sz="4" w:space="0" w:color="auto"/>
              <w:left w:val="nil"/>
              <w:bottom w:val="single" w:sz="4" w:space="0" w:color="auto"/>
              <w:right w:val="nil"/>
            </w:tcBorders>
            <w:shd w:val="clear" w:color="auto" w:fill="auto"/>
            <w:noWrap/>
            <w:vAlign w:val="center"/>
            <w:hideMark/>
          </w:tcPr>
          <w:p w14:paraId="726F6C5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998</w:t>
            </w:r>
          </w:p>
        </w:tc>
        <w:tc>
          <w:tcPr>
            <w:tcW w:w="326" w:type="pct"/>
            <w:tcBorders>
              <w:top w:val="single" w:sz="4" w:space="0" w:color="auto"/>
              <w:left w:val="nil"/>
              <w:bottom w:val="single" w:sz="4" w:space="0" w:color="auto"/>
              <w:right w:val="nil"/>
            </w:tcBorders>
            <w:shd w:val="clear" w:color="auto" w:fill="auto"/>
            <w:noWrap/>
            <w:vAlign w:val="center"/>
            <w:hideMark/>
          </w:tcPr>
          <w:p w14:paraId="379BF2A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978</w:t>
            </w:r>
          </w:p>
        </w:tc>
        <w:tc>
          <w:tcPr>
            <w:tcW w:w="475" w:type="pct"/>
            <w:tcBorders>
              <w:top w:val="single" w:sz="4" w:space="0" w:color="auto"/>
              <w:left w:val="nil"/>
              <w:bottom w:val="single" w:sz="4" w:space="0" w:color="auto"/>
              <w:right w:val="nil"/>
            </w:tcBorders>
            <w:shd w:val="clear" w:color="auto" w:fill="auto"/>
            <w:noWrap/>
            <w:vAlign w:val="center"/>
            <w:hideMark/>
          </w:tcPr>
          <w:p w14:paraId="74B8377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948</w:t>
            </w:r>
          </w:p>
        </w:tc>
        <w:tc>
          <w:tcPr>
            <w:tcW w:w="697" w:type="pct"/>
            <w:tcBorders>
              <w:top w:val="single" w:sz="4" w:space="0" w:color="auto"/>
              <w:left w:val="nil"/>
              <w:bottom w:val="single" w:sz="4" w:space="0" w:color="auto"/>
              <w:right w:val="nil"/>
            </w:tcBorders>
            <w:shd w:val="clear" w:color="auto" w:fill="auto"/>
            <w:noWrap/>
            <w:vAlign w:val="center"/>
            <w:hideMark/>
          </w:tcPr>
          <w:p w14:paraId="5A35ECA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1,09</w:t>
            </w:r>
          </w:p>
        </w:tc>
        <w:tc>
          <w:tcPr>
            <w:tcW w:w="681" w:type="pct"/>
            <w:tcBorders>
              <w:top w:val="single" w:sz="4" w:space="0" w:color="auto"/>
              <w:left w:val="nil"/>
              <w:bottom w:val="single" w:sz="4" w:space="0" w:color="auto"/>
              <w:right w:val="nil"/>
            </w:tcBorders>
            <w:shd w:val="clear" w:color="auto" w:fill="auto"/>
            <w:noWrap/>
            <w:vAlign w:val="center"/>
            <w:hideMark/>
          </w:tcPr>
          <w:p w14:paraId="61C3F97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0,86</w:t>
            </w:r>
          </w:p>
        </w:tc>
        <w:tc>
          <w:tcPr>
            <w:tcW w:w="793" w:type="pct"/>
            <w:tcBorders>
              <w:top w:val="single" w:sz="4" w:space="0" w:color="auto"/>
              <w:left w:val="nil"/>
              <w:bottom w:val="single" w:sz="4" w:space="0" w:color="auto"/>
              <w:right w:val="nil"/>
            </w:tcBorders>
            <w:shd w:val="clear" w:color="auto" w:fill="auto"/>
            <w:noWrap/>
            <w:vAlign w:val="center"/>
            <w:hideMark/>
          </w:tcPr>
          <w:p w14:paraId="3646125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41.832</w:t>
            </w:r>
          </w:p>
        </w:tc>
      </w:tr>
      <w:tr w:rsidR="006356F1" w:rsidRPr="00822E74" w14:paraId="716EB7C2"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7C620EB"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62 </w:t>
            </w:r>
          </w:p>
        </w:tc>
        <w:tc>
          <w:tcPr>
            <w:tcW w:w="366" w:type="pct"/>
            <w:tcBorders>
              <w:top w:val="single" w:sz="4" w:space="0" w:color="auto"/>
              <w:left w:val="nil"/>
              <w:bottom w:val="single" w:sz="4" w:space="0" w:color="auto"/>
              <w:right w:val="nil"/>
            </w:tcBorders>
            <w:shd w:val="clear" w:color="auto" w:fill="auto"/>
            <w:noWrap/>
            <w:vAlign w:val="center"/>
            <w:hideMark/>
          </w:tcPr>
          <w:p w14:paraId="36E9BFE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651</w:t>
            </w:r>
          </w:p>
        </w:tc>
        <w:tc>
          <w:tcPr>
            <w:tcW w:w="368" w:type="pct"/>
            <w:tcBorders>
              <w:top w:val="single" w:sz="4" w:space="0" w:color="auto"/>
              <w:left w:val="nil"/>
              <w:bottom w:val="single" w:sz="4" w:space="0" w:color="auto"/>
              <w:right w:val="nil"/>
            </w:tcBorders>
            <w:shd w:val="clear" w:color="auto" w:fill="auto"/>
            <w:noWrap/>
            <w:vAlign w:val="center"/>
            <w:hideMark/>
          </w:tcPr>
          <w:p w14:paraId="40739CF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573</w:t>
            </w:r>
          </w:p>
        </w:tc>
        <w:tc>
          <w:tcPr>
            <w:tcW w:w="326" w:type="pct"/>
            <w:tcBorders>
              <w:top w:val="single" w:sz="4" w:space="0" w:color="auto"/>
              <w:left w:val="nil"/>
              <w:bottom w:val="single" w:sz="4" w:space="0" w:color="auto"/>
              <w:right w:val="nil"/>
            </w:tcBorders>
            <w:shd w:val="clear" w:color="auto" w:fill="auto"/>
            <w:noWrap/>
            <w:vAlign w:val="center"/>
            <w:hideMark/>
          </w:tcPr>
          <w:p w14:paraId="2E58A0D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643</w:t>
            </w:r>
          </w:p>
        </w:tc>
        <w:tc>
          <w:tcPr>
            <w:tcW w:w="326" w:type="pct"/>
            <w:tcBorders>
              <w:top w:val="single" w:sz="4" w:space="0" w:color="auto"/>
              <w:left w:val="nil"/>
              <w:bottom w:val="single" w:sz="4" w:space="0" w:color="auto"/>
              <w:right w:val="nil"/>
            </w:tcBorders>
            <w:shd w:val="clear" w:color="auto" w:fill="auto"/>
            <w:noWrap/>
            <w:vAlign w:val="center"/>
            <w:hideMark/>
          </w:tcPr>
          <w:p w14:paraId="191F496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639</w:t>
            </w:r>
          </w:p>
        </w:tc>
        <w:tc>
          <w:tcPr>
            <w:tcW w:w="475" w:type="pct"/>
            <w:tcBorders>
              <w:top w:val="single" w:sz="4" w:space="0" w:color="auto"/>
              <w:left w:val="nil"/>
              <w:bottom w:val="single" w:sz="4" w:space="0" w:color="auto"/>
              <w:right w:val="nil"/>
            </w:tcBorders>
            <w:shd w:val="clear" w:color="auto" w:fill="auto"/>
            <w:noWrap/>
            <w:vAlign w:val="center"/>
            <w:hideMark/>
          </w:tcPr>
          <w:p w14:paraId="604F9A1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627</w:t>
            </w:r>
          </w:p>
        </w:tc>
        <w:tc>
          <w:tcPr>
            <w:tcW w:w="697" w:type="pct"/>
            <w:tcBorders>
              <w:top w:val="single" w:sz="4" w:space="0" w:color="auto"/>
              <w:left w:val="nil"/>
              <w:bottom w:val="single" w:sz="4" w:space="0" w:color="auto"/>
              <w:right w:val="nil"/>
            </w:tcBorders>
            <w:shd w:val="clear" w:color="auto" w:fill="auto"/>
            <w:noWrap/>
            <w:vAlign w:val="center"/>
            <w:hideMark/>
          </w:tcPr>
          <w:p w14:paraId="68D7E5A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0,72</w:t>
            </w:r>
          </w:p>
        </w:tc>
        <w:tc>
          <w:tcPr>
            <w:tcW w:w="681" w:type="pct"/>
            <w:tcBorders>
              <w:top w:val="single" w:sz="4" w:space="0" w:color="auto"/>
              <w:left w:val="nil"/>
              <w:bottom w:val="single" w:sz="4" w:space="0" w:color="auto"/>
              <w:right w:val="nil"/>
            </w:tcBorders>
            <w:shd w:val="clear" w:color="auto" w:fill="auto"/>
            <w:noWrap/>
            <w:vAlign w:val="center"/>
            <w:hideMark/>
          </w:tcPr>
          <w:p w14:paraId="3D9254C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0,55</w:t>
            </w:r>
          </w:p>
        </w:tc>
        <w:tc>
          <w:tcPr>
            <w:tcW w:w="793" w:type="pct"/>
            <w:tcBorders>
              <w:top w:val="single" w:sz="4" w:space="0" w:color="auto"/>
              <w:left w:val="nil"/>
              <w:bottom w:val="single" w:sz="4" w:space="0" w:color="auto"/>
              <w:right w:val="nil"/>
            </w:tcBorders>
            <w:shd w:val="clear" w:color="auto" w:fill="auto"/>
            <w:noWrap/>
            <w:vAlign w:val="center"/>
            <w:hideMark/>
          </w:tcPr>
          <w:p w14:paraId="31CBC5C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40.307</w:t>
            </w:r>
          </w:p>
        </w:tc>
      </w:tr>
      <w:tr w:rsidR="006356F1" w:rsidRPr="00822E74" w14:paraId="6F44DBAF"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3F8C7939"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63 </w:t>
            </w:r>
          </w:p>
        </w:tc>
        <w:tc>
          <w:tcPr>
            <w:tcW w:w="366" w:type="pct"/>
            <w:tcBorders>
              <w:top w:val="single" w:sz="4" w:space="0" w:color="auto"/>
              <w:left w:val="nil"/>
              <w:bottom w:val="single" w:sz="4" w:space="0" w:color="auto"/>
              <w:right w:val="nil"/>
            </w:tcBorders>
            <w:shd w:val="clear" w:color="auto" w:fill="auto"/>
            <w:noWrap/>
            <w:vAlign w:val="center"/>
            <w:hideMark/>
          </w:tcPr>
          <w:p w14:paraId="0B13615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986</w:t>
            </w:r>
          </w:p>
        </w:tc>
        <w:tc>
          <w:tcPr>
            <w:tcW w:w="368" w:type="pct"/>
            <w:tcBorders>
              <w:top w:val="single" w:sz="4" w:space="0" w:color="auto"/>
              <w:left w:val="nil"/>
              <w:bottom w:val="single" w:sz="4" w:space="0" w:color="auto"/>
              <w:right w:val="nil"/>
            </w:tcBorders>
            <w:shd w:val="clear" w:color="auto" w:fill="auto"/>
            <w:noWrap/>
            <w:vAlign w:val="center"/>
            <w:hideMark/>
          </w:tcPr>
          <w:p w14:paraId="018A141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955</w:t>
            </w:r>
          </w:p>
        </w:tc>
        <w:tc>
          <w:tcPr>
            <w:tcW w:w="326" w:type="pct"/>
            <w:tcBorders>
              <w:top w:val="single" w:sz="4" w:space="0" w:color="auto"/>
              <w:left w:val="nil"/>
              <w:bottom w:val="single" w:sz="4" w:space="0" w:color="auto"/>
              <w:right w:val="nil"/>
            </w:tcBorders>
            <w:shd w:val="clear" w:color="auto" w:fill="auto"/>
            <w:noWrap/>
            <w:vAlign w:val="center"/>
            <w:hideMark/>
          </w:tcPr>
          <w:p w14:paraId="29313C6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841</w:t>
            </w:r>
          </w:p>
        </w:tc>
        <w:tc>
          <w:tcPr>
            <w:tcW w:w="326" w:type="pct"/>
            <w:tcBorders>
              <w:top w:val="single" w:sz="4" w:space="0" w:color="auto"/>
              <w:left w:val="nil"/>
              <w:bottom w:val="single" w:sz="4" w:space="0" w:color="auto"/>
              <w:right w:val="nil"/>
            </w:tcBorders>
            <w:shd w:val="clear" w:color="auto" w:fill="auto"/>
            <w:noWrap/>
            <w:vAlign w:val="center"/>
            <w:hideMark/>
          </w:tcPr>
          <w:p w14:paraId="60E7F06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821</w:t>
            </w:r>
          </w:p>
        </w:tc>
        <w:tc>
          <w:tcPr>
            <w:tcW w:w="475" w:type="pct"/>
            <w:tcBorders>
              <w:top w:val="single" w:sz="4" w:space="0" w:color="auto"/>
              <w:left w:val="nil"/>
              <w:bottom w:val="single" w:sz="4" w:space="0" w:color="auto"/>
              <w:right w:val="nil"/>
            </w:tcBorders>
            <w:shd w:val="clear" w:color="auto" w:fill="auto"/>
            <w:noWrap/>
            <w:vAlign w:val="center"/>
            <w:hideMark/>
          </w:tcPr>
          <w:p w14:paraId="3CFF47D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901</w:t>
            </w:r>
          </w:p>
        </w:tc>
        <w:tc>
          <w:tcPr>
            <w:tcW w:w="697" w:type="pct"/>
            <w:tcBorders>
              <w:top w:val="single" w:sz="4" w:space="0" w:color="auto"/>
              <w:left w:val="nil"/>
              <w:bottom w:val="single" w:sz="4" w:space="0" w:color="auto"/>
              <w:right w:val="nil"/>
            </w:tcBorders>
            <w:shd w:val="clear" w:color="auto" w:fill="auto"/>
            <w:noWrap/>
            <w:vAlign w:val="center"/>
            <w:hideMark/>
          </w:tcPr>
          <w:p w14:paraId="2875161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1,04</w:t>
            </w:r>
          </w:p>
        </w:tc>
        <w:tc>
          <w:tcPr>
            <w:tcW w:w="681" w:type="pct"/>
            <w:tcBorders>
              <w:top w:val="single" w:sz="4" w:space="0" w:color="auto"/>
              <w:left w:val="nil"/>
              <w:bottom w:val="single" w:sz="4" w:space="0" w:color="auto"/>
              <w:right w:val="nil"/>
            </w:tcBorders>
            <w:shd w:val="clear" w:color="auto" w:fill="auto"/>
            <w:noWrap/>
            <w:vAlign w:val="center"/>
            <w:hideMark/>
          </w:tcPr>
          <w:p w14:paraId="2EDC852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0,73</w:t>
            </w:r>
          </w:p>
        </w:tc>
        <w:tc>
          <w:tcPr>
            <w:tcW w:w="793" w:type="pct"/>
            <w:tcBorders>
              <w:top w:val="single" w:sz="4" w:space="0" w:color="auto"/>
              <w:left w:val="nil"/>
              <w:bottom w:val="single" w:sz="4" w:space="0" w:color="auto"/>
              <w:right w:val="nil"/>
            </w:tcBorders>
            <w:shd w:val="clear" w:color="auto" w:fill="auto"/>
            <w:noWrap/>
            <w:vAlign w:val="center"/>
            <w:hideMark/>
          </w:tcPr>
          <w:p w14:paraId="5CEC45F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37.351</w:t>
            </w:r>
          </w:p>
        </w:tc>
      </w:tr>
      <w:tr w:rsidR="006356F1" w:rsidRPr="00822E74" w14:paraId="108838F9"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3FACC94D"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64 </w:t>
            </w:r>
          </w:p>
        </w:tc>
        <w:tc>
          <w:tcPr>
            <w:tcW w:w="366" w:type="pct"/>
            <w:tcBorders>
              <w:top w:val="single" w:sz="4" w:space="0" w:color="auto"/>
              <w:left w:val="nil"/>
              <w:bottom w:val="single" w:sz="4" w:space="0" w:color="auto"/>
              <w:right w:val="nil"/>
            </w:tcBorders>
            <w:shd w:val="clear" w:color="auto" w:fill="auto"/>
            <w:noWrap/>
            <w:vAlign w:val="center"/>
            <w:hideMark/>
          </w:tcPr>
          <w:p w14:paraId="62B36B3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1.074</w:t>
            </w:r>
          </w:p>
        </w:tc>
        <w:tc>
          <w:tcPr>
            <w:tcW w:w="368" w:type="pct"/>
            <w:tcBorders>
              <w:top w:val="single" w:sz="4" w:space="0" w:color="auto"/>
              <w:left w:val="nil"/>
              <w:bottom w:val="single" w:sz="4" w:space="0" w:color="auto"/>
              <w:right w:val="nil"/>
            </w:tcBorders>
            <w:shd w:val="clear" w:color="auto" w:fill="auto"/>
            <w:noWrap/>
            <w:vAlign w:val="center"/>
            <w:hideMark/>
          </w:tcPr>
          <w:p w14:paraId="1824C11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1.010</w:t>
            </w:r>
          </w:p>
        </w:tc>
        <w:tc>
          <w:tcPr>
            <w:tcW w:w="326" w:type="pct"/>
            <w:tcBorders>
              <w:top w:val="single" w:sz="4" w:space="0" w:color="auto"/>
              <w:left w:val="nil"/>
              <w:bottom w:val="single" w:sz="4" w:space="0" w:color="auto"/>
              <w:right w:val="nil"/>
            </w:tcBorders>
            <w:shd w:val="clear" w:color="auto" w:fill="auto"/>
            <w:noWrap/>
            <w:vAlign w:val="center"/>
            <w:hideMark/>
          </w:tcPr>
          <w:p w14:paraId="5510A4B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944</w:t>
            </w:r>
          </w:p>
        </w:tc>
        <w:tc>
          <w:tcPr>
            <w:tcW w:w="326" w:type="pct"/>
            <w:tcBorders>
              <w:top w:val="single" w:sz="4" w:space="0" w:color="auto"/>
              <w:left w:val="nil"/>
              <w:bottom w:val="single" w:sz="4" w:space="0" w:color="auto"/>
              <w:right w:val="nil"/>
            </w:tcBorders>
            <w:shd w:val="clear" w:color="auto" w:fill="auto"/>
            <w:noWrap/>
            <w:vAlign w:val="center"/>
            <w:hideMark/>
          </w:tcPr>
          <w:p w14:paraId="7A8ACE2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770</w:t>
            </w:r>
          </w:p>
        </w:tc>
        <w:tc>
          <w:tcPr>
            <w:tcW w:w="475" w:type="pct"/>
            <w:tcBorders>
              <w:top w:val="single" w:sz="4" w:space="0" w:color="auto"/>
              <w:left w:val="nil"/>
              <w:bottom w:val="single" w:sz="4" w:space="0" w:color="auto"/>
              <w:right w:val="nil"/>
            </w:tcBorders>
            <w:shd w:val="clear" w:color="auto" w:fill="auto"/>
            <w:noWrap/>
            <w:vAlign w:val="center"/>
            <w:hideMark/>
          </w:tcPr>
          <w:p w14:paraId="3A137C5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950</w:t>
            </w:r>
          </w:p>
        </w:tc>
        <w:tc>
          <w:tcPr>
            <w:tcW w:w="697" w:type="pct"/>
            <w:tcBorders>
              <w:top w:val="single" w:sz="4" w:space="0" w:color="auto"/>
              <w:left w:val="nil"/>
              <w:bottom w:val="single" w:sz="4" w:space="0" w:color="auto"/>
              <w:right w:val="nil"/>
            </w:tcBorders>
            <w:shd w:val="clear" w:color="auto" w:fill="auto"/>
            <w:noWrap/>
            <w:vAlign w:val="center"/>
            <w:hideMark/>
          </w:tcPr>
          <w:p w14:paraId="18951AA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1,10</w:t>
            </w:r>
          </w:p>
        </w:tc>
        <w:tc>
          <w:tcPr>
            <w:tcW w:w="681" w:type="pct"/>
            <w:tcBorders>
              <w:top w:val="single" w:sz="4" w:space="0" w:color="auto"/>
              <w:left w:val="nil"/>
              <w:bottom w:val="single" w:sz="4" w:space="0" w:color="auto"/>
              <w:right w:val="nil"/>
            </w:tcBorders>
            <w:shd w:val="clear" w:color="auto" w:fill="auto"/>
            <w:noWrap/>
            <w:vAlign w:val="center"/>
            <w:hideMark/>
          </w:tcPr>
          <w:p w14:paraId="2B2C295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0,77</w:t>
            </w:r>
          </w:p>
        </w:tc>
        <w:tc>
          <w:tcPr>
            <w:tcW w:w="793" w:type="pct"/>
            <w:tcBorders>
              <w:top w:val="single" w:sz="4" w:space="0" w:color="auto"/>
              <w:left w:val="nil"/>
              <w:bottom w:val="single" w:sz="4" w:space="0" w:color="auto"/>
              <w:right w:val="nil"/>
            </w:tcBorders>
            <w:shd w:val="clear" w:color="auto" w:fill="auto"/>
            <w:noWrap/>
            <w:vAlign w:val="center"/>
            <w:hideMark/>
          </w:tcPr>
          <w:p w14:paraId="583BFDE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37.296</w:t>
            </w:r>
          </w:p>
        </w:tc>
      </w:tr>
      <w:tr w:rsidR="006356F1" w:rsidRPr="00822E74" w14:paraId="6A19823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4FE68D2"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65 </w:t>
            </w:r>
          </w:p>
        </w:tc>
        <w:tc>
          <w:tcPr>
            <w:tcW w:w="366" w:type="pct"/>
            <w:tcBorders>
              <w:top w:val="single" w:sz="4" w:space="0" w:color="auto"/>
              <w:left w:val="nil"/>
              <w:bottom w:val="single" w:sz="4" w:space="0" w:color="auto"/>
              <w:right w:val="nil"/>
            </w:tcBorders>
            <w:shd w:val="clear" w:color="auto" w:fill="auto"/>
            <w:noWrap/>
            <w:vAlign w:val="center"/>
            <w:hideMark/>
          </w:tcPr>
          <w:p w14:paraId="3F081B4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688</w:t>
            </w:r>
          </w:p>
        </w:tc>
        <w:tc>
          <w:tcPr>
            <w:tcW w:w="368" w:type="pct"/>
            <w:tcBorders>
              <w:top w:val="single" w:sz="4" w:space="0" w:color="auto"/>
              <w:left w:val="nil"/>
              <w:bottom w:val="single" w:sz="4" w:space="0" w:color="auto"/>
              <w:right w:val="nil"/>
            </w:tcBorders>
            <w:shd w:val="clear" w:color="auto" w:fill="auto"/>
            <w:noWrap/>
            <w:vAlign w:val="center"/>
            <w:hideMark/>
          </w:tcPr>
          <w:p w14:paraId="350A53B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822</w:t>
            </w:r>
          </w:p>
        </w:tc>
        <w:tc>
          <w:tcPr>
            <w:tcW w:w="326" w:type="pct"/>
            <w:tcBorders>
              <w:top w:val="single" w:sz="4" w:space="0" w:color="auto"/>
              <w:left w:val="nil"/>
              <w:bottom w:val="single" w:sz="4" w:space="0" w:color="auto"/>
              <w:right w:val="nil"/>
            </w:tcBorders>
            <w:shd w:val="clear" w:color="auto" w:fill="auto"/>
            <w:noWrap/>
            <w:vAlign w:val="center"/>
            <w:hideMark/>
          </w:tcPr>
          <w:p w14:paraId="683AA22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813</w:t>
            </w:r>
          </w:p>
        </w:tc>
        <w:tc>
          <w:tcPr>
            <w:tcW w:w="326" w:type="pct"/>
            <w:tcBorders>
              <w:top w:val="single" w:sz="4" w:space="0" w:color="auto"/>
              <w:left w:val="nil"/>
              <w:bottom w:val="single" w:sz="4" w:space="0" w:color="auto"/>
              <w:right w:val="nil"/>
            </w:tcBorders>
            <w:shd w:val="clear" w:color="auto" w:fill="auto"/>
            <w:noWrap/>
            <w:vAlign w:val="center"/>
            <w:hideMark/>
          </w:tcPr>
          <w:p w14:paraId="2C6B394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864</w:t>
            </w:r>
          </w:p>
        </w:tc>
        <w:tc>
          <w:tcPr>
            <w:tcW w:w="475" w:type="pct"/>
            <w:tcBorders>
              <w:top w:val="single" w:sz="4" w:space="0" w:color="auto"/>
              <w:left w:val="nil"/>
              <w:bottom w:val="single" w:sz="4" w:space="0" w:color="auto"/>
              <w:right w:val="nil"/>
            </w:tcBorders>
            <w:shd w:val="clear" w:color="auto" w:fill="auto"/>
            <w:noWrap/>
            <w:vAlign w:val="center"/>
            <w:hideMark/>
          </w:tcPr>
          <w:p w14:paraId="2881892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797</w:t>
            </w:r>
          </w:p>
        </w:tc>
        <w:tc>
          <w:tcPr>
            <w:tcW w:w="697" w:type="pct"/>
            <w:tcBorders>
              <w:top w:val="single" w:sz="4" w:space="0" w:color="auto"/>
              <w:left w:val="nil"/>
              <w:bottom w:val="single" w:sz="4" w:space="0" w:color="auto"/>
              <w:right w:val="nil"/>
            </w:tcBorders>
            <w:shd w:val="clear" w:color="auto" w:fill="auto"/>
            <w:noWrap/>
            <w:vAlign w:val="center"/>
            <w:hideMark/>
          </w:tcPr>
          <w:p w14:paraId="0C784D2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0,92</w:t>
            </w:r>
          </w:p>
        </w:tc>
        <w:tc>
          <w:tcPr>
            <w:tcW w:w="681" w:type="pct"/>
            <w:tcBorders>
              <w:top w:val="single" w:sz="4" w:space="0" w:color="auto"/>
              <w:left w:val="nil"/>
              <w:bottom w:val="single" w:sz="4" w:space="0" w:color="auto"/>
              <w:right w:val="nil"/>
            </w:tcBorders>
            <w:shd w:val="clear" w:color="auto" w:fill="auto"/>
            <w:noWrap/>
            <w:vAlign w:val="center"/>
            <w:hideMark/>
          </w:tcPr>
          <w:p w14:paraId="7E34A7C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0,63</w:t>
            </w:r>
          </w:p>
        </w:tc>
        <w:tc>
          <w:tcPr>
            <w:tcW w:w="793" w:type="pct"/>
            <w:tcBorders>
              <w:top w:val="single" w:sz="4" w:space="0" w:color="auto"/>
              <w:left w:val="nil"/>
              <w:bottom w:val="single" w:sz="4" w:space="0" w:color="auto"/>
              <w:right w:val="nil"/>
            </w:tcBorders>
            <w:shd w:val="clear" w:color="auto" w:fill="auto"/>
            <w:noWrap/>
            <w:vAlign w:val="center"/>
            <w:hideMark/>
          </w:tcPr>
          <w:p w14:paraId="4515A2F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36.691</w:t>
            </w:r>
          </w:p>
        </w:tc>
      </w:tr>
      <w:tr w:rsidR="006356F1" w:rsidRPr="00822E74" w14:paraId="6B5F4C44"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FA589CA" w14:textId="77777777" w:rsidR="006356F1" w:rsidRPr="00822E74" w:rsidRDefault="006356F1" w:rsidP="00217400">
            <w:pPr>
              <w:rPr>
                <w:rFonts w:ascii="Arial" w:hAnsi="Arial" w:cs="Arial"/>
                <w:color w:val="000000"/>
                <w:sz w:val="20"/>
              </w:rPr>
            </w:pPr>
            <w:r w:rsidRPr="00822E74">
              <w:rPr>
                <w:rFonts w:ascii="Arial" w:hAnsi="Arial" w:cs="Arial"/>
                <w:color w:val="000000"/>
                <w:sz w:val="20"/>
              </w:rPr>
              <w:lastRenderedPageBreak/>
              <w:t xml:space="preserve"> Empresa 66 </w:t>
            </w:r>
          </w:p>
        </w:tc>
        <w:tc>
          <w:tcPr>
            <w:tcW w:w="366" w:type="pct"/>
            <w:tcBorders>
              <w:top w:val="single" w:sz="4" w:space="0" w:color="auto"/>
              <w:left w:val="nil"/>
              <w:bottom w:val="single" w:sz="4" w:space="0" w:color="auto"/>
              <w:right w:val="nil"/>
            </w:tcBorders>
            <w:shd w:val="clear" w:color="auto" w:fill="auto"/>
            <w:noWrap/>
            <w:vAlign w:val="center"/>
            <w:hideMark/>
          </w:tcPr>
          <w:p w14:paraId="3CA3F65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532</w:t>
            </w:r>
          </w:p>
        </w:tc>
        <w:tc>
          <w:tcPr>
            <w:tcW w:w="368" w:type="pct"/>
            <w:tcBorders>
              <w:top w:val="single" w:sz="4" w:space="0" w:color="auto"/>
              <w:left w:val="nil"/>
              <w:bottom w:val="single" w:sz="4" w:space="0" w:color="auto"/>
              <w:right w:val="nil"/>
            </w:tcBorders>
            <w:shd w:val="clear" w:color="auto" w:fill="auto"/>
            <w:noWrap/>
            <w:vAlign w:val="center"/>
            <w:hideMark/>
          </w:tcPr>
          <w:p w14:paraId="792ED12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605</w:t>
            </w:r>
          </w:p>
        </w:tc>
        <w:tc>
          <w:tcPr>
            <w:tcW w:w="326" w:type="pct"/>
            <w:tcBorders>
              <w:top w:val="single" w:sz="4" w:space="0" w:color="auto"/>
              <w:left w:val="nil"/>
              <w:bottom w:val="single" w:sz="4" w:space="0" w:color="auto"/>
              <w:right w:val="nil"/>
            </w:tcBorders>
            <w:shd w:val="clear" w:color="auto" w:fill="auto"/>
            <w:noWrap/>
            <w:vAlign w:val="center"/>
            <w:hideMark/>
          </w:tcPr>
          <w:p w14:paraId="141ACC0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571</w:t>
            </w:r>
          </w:p>
        </w:tc>
        <w:tc>
          <w:tcPr>
            <w:tcW w:w="326" w:type="pct"/>
            <w:tcBorders>
              <w:top w:val="single" w:sz="4" w:space="0" w:color="auto"/>
              <w:left w:val="nil"/>
              <w:bottom w:val="single" w:sz="4" w:space="0" w:color="auto"/>
              <w:right w:val="nil"/>
            </w:tcBorders>
            <w:shd w:val="clear" w:color="auto" w:fill="auto"/>
            <w:noWrap/>
            <w:vAlign w:val="center"/>
            <w:hideMark/>
          </w:tcPr>
          <w:p w14:paraId="631273A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743</w:t>
            </w:r>
          </w:p>
        </w:tc>
        <w:tc>
          <w:tcPr>
            <w:tcW w:w="475" w:type="pct"/>
            <w:tcBorders>
              <w:top w:val="single" w:sz="4" w:space="0" w:color="auto"/>
              <w:left w:val="nil"/>
              <w:bottom w:val="single" w:sz="4" w:space="0" w:color="auto"/>
              <w:right w:val="nil"/>
            </w:tcBorders>
            <w:shd w:val="clear" w:color="auto" w:fill="auto"/>
            <w:noWrap/>
            <w:vAlign w:val="center"/>
            <w:hideMark/>
          </w:tcPr>
          <w:p w14:paraId="55EC77B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613</w:t>
            </w:r>
          </w:p>
        </w:tc>
        <w:tc>
          <w:tcPr>
            <w:tcW w:w="697" w:type="pct"/>
            <w:tcBorders>
              <w:top w:val="single" w:sz="4" w:space="0" w:color="auto"/>
              <w:left w:val="nil"/>
              <w:bottom w:val="single" w:sz="4" w:space="0" w:color="auto"/>
              <w:right w:val="nil"/>
            </w:tcBorders>
            <w:shd w:val="clear" w:color="auto" w:fill="auto"/>
            <w:noWrap/>
            <w:vAlign w:val="center"/>
            <w:hideMark/>
          </w:tcPr>
          <w:p w14:paraId="6BBA308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0,71</w:t>
            </w:r>
          </w:p>
        </w:tc>
        <w:tc>
          <w:tcPr>
            <w:tcW w:w="681" w:type="pct"/>
            <w:tcBorders>
              <w:top w:val="single" w:sz="4" w:space="0" w:color="auto"/>
              <w:left w:val="nil"/>
              <w:bottom w:val="single" w:sz="4" w:space="0" w:color="auto"/>
              <w:right w:val="nil"/>
            </w:tcBorders>
            <w:shd w:val="clear" w:color="auto" w:fill="auto"/>
            <w:noWrap/>
            <w:vAlign w:val="center"/>
            <w:hideMark/>
          </w:tcPr>
          <w:p w14:paraId="60E38A1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0,49</w:t>
            </w:r>
          </w:p>
        </w:tc>
        <w:tc>
          <w:tcPr>
            <w:tcW w:w="793" w:type="pct"/>
            <w:tcBorders>
              <w:top w:val="single" w:sz="4" w:space="0" w:color="auto"/>
              <w:left w:val="nil"/>
              <w:bottom w:val="single" w:sz="4" w:space="0" w:color="auto"/>
              <w:right w:val="nil"/>
            </w:tcBorders>
            <w:shd w:val="clear" w:color="auto" w:fill="auto"/>
            <w:noWrap/>
            <w:vAlign w:val="center"/>
            <w:hideMark/>
          </w:tcPr>
          <w:p w14:paraId="1435B4A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36.516</w:t>
            </w:r>
          </w:p>
        </w:tc>
      </w:tr>
      <w:tr w:rsidR="006356F1" w:rsidRPr="00822E74" w14:paraId="2C30D2C2"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41FDCD5B"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67 </w:t>
            </w:r>
          </w:p>
        </w:tc>
        <w:tc>
          <w:tcPr>
            <w:tcW w:w="366" w:type="pct"/>
            <w:tcBorders>
              <w:top w:val="single" w:sz="4" w:space="0" w:color="auto"/>
              <w:left w:val="nil"/>
              <w:bottom w:val="single" w:sz="4" w:space="0" w:color="auto"/>
              <w:right w:val="nil"/>
            </w:tcBorders>
            <w:shd w:val="clear" w:color="auto" w:fill="auto"/>
            <w:noWrap/>
            <w:vAlign w:val="center"/>
            <w:hideMark/>
          </w:tcPr>
          <w:p w14:paraId="40BBF14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w:t>
            </w:r>
          </w:p>
        </w:tc>
        <w:tc>
          <w:tcPr>
            <w:tcW w:w="368" w:type="pct"/>
            <w:tcBorders>
              <w:top w:val="single" w:sz="4" w:space="0" w:color="auto"/>
              <w:left w:val="nil"/>
              <w:bottom w:val="single" w:sz="4" w:space="0" w:color="auto"/>
              <w:right w:val="nil"/>
            </w:tcBorders>
            <w:shd w:val="clear" w:color="auto" w:fill="auto"/>
            <w:noWrap/>
            <w:vAlign w:val="center"/>
            <w:hideMark/>
          </w:tcPr>
          <w:p w14:paraId="0523124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w:t>
            </w:r>
          </w:p>
        </w:tc>
        <w:tc>
          <w:tcPr>
            <w:tcW w:w="326" w:type="pct"/>
            <w:tcBorders>
              <w:top w:val="single" w:sz="4" w:space="0" w:color="auto"/>
              <w:left w:val="nil"/>
              <w:bottom w:val="single" w:sz="4" w:space="0" w:color="auto"/>
              <w:right w:val="nil"/>
            </w:tcBorders>
            <w:shd w:val="clear" w:color="auto" w:fill="auto"/>
            <w:noWrap/>
            <w:vAlign w:val="center"/>
            <w:hideMark/>
          </w:tcPr>
          <w:p w14:paraId="2D7FC73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w:t>
            </w:r>
          </w:p>
        </w:tc>
        <w:tc>
          <w:tcPr>
            <w:tcW w:w="326" w:type="pct"/>
            <w:tcBorders>
              <w:top w:val="single" w:sz="4" w:space="0" w:color="auto"/>
              <w:left w:val="nil"/>
              <w:bottom w:val="single" w:sz="4" w:space="0" w:color="auto"/>
              <w:right w:val="nil"/>
            </w:tcBorders>
            <w:shd w:val="clear" w:color="auto" w:fill="auto"/>
            <w:noWrap/>
            <w:vAlign w:val="center"/>
            <w:hideMark/>
          </w:tcPr>
          <w:p w14:paraId="1A0B4C8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w:t>
            </w:r>
          </w:p>
        </w:tc>
        <w:tc>
          <w:tcPr>
            <w:tcW w:w="475" w:type="pct"/>
            <w:tcBorders>
              <w:top w:val="single" w:sz="4" w:space="0" w:color="auto"/>
              <w:left w:val="nil"/>
              <w:bottom w:val="single" w:sz="4" w:space="0" w:color="auto"/>
              <w:right w:val="nil"/>
            </w:tcBorders>
            <w:shd w:val="clear" w:color="auto" w:fill="auto"/>
            <w:noWrap/>
            <w:vAlign w:val="center"/>
            <w:hideMark/>
          </w:tcPr>
          <w:p w14:paraId="3E83709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2.427</w:t>
            </w:r>
          </w:p>
        </w:tc>
        <w:tc>
          <w:tcPr>
            <w:tcW w:w="697" w:type="pct"/>
            <w:tcBorders>
              <w:top w:val="single" w:sz="4" w:space="0" w:color="auto"/>
              <w:left w:val="nil"/>
              <w:bottom w:val="single" w:sz="4" w:space="0" w:color="auto"/>
              <w:right w:val="nil"/>
            </w:tcBorders>
            <w:shd w:val="clear" w:color="auto" w:fill="auto"/>
            <w:noWrap/>
            <w:vAlign w:val="center"/>
            <w:hideMark/>
          </w:tcPr>
          <w:p w14:paraId="53834EB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2,80</w:t>
            </w:r>
          </w:p>
        </w:tc>
        <w:tc>
          <w:tcPr>
            <w:tcW w:w="681" w:type="pct"/>
            <w:tcBorders>
              <w:top w:val="single" w:sz="4" w:space="0" w:color="auto"/>
              <w:left w:val="nil"/>
              <w:bottom w:val="single" w:sz="4" w:space="0" w:color="auto"/>
              <w:right w:val="nil"/>
            </w:tcBorders>
            <w:shd w:val="clear" w:color="auto" w:fill="auto"/>
            <w:noWrap/>
            <w:vAlign w:val="center"/>
            <w:hideMark/>
          </w:tcPr>
          <w:p w14:paraId="6F70622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1,85</w:t>
            </w:r>
          </w:p>
        </w:tc>
        <w:tc>
          <w:tcPr>
            <w:tcW w:w="793" w:type="pct"/>
            <w:tcBorders>
              <w:top w:val="single" w:sz="4" w:space="0" w:color="auto"/>
              <w:left w:val="nil"/>
              <w:bottom w:val="single" w:sz="4" w:space="0" w:color="auto"/>
              <w:right w:val="nil"/>
            </w:tcBorders>
            <w:shd w:val="clear" w:color="auto" w:fill="auto"/>
            <w:noWrap/>
            <w:vAlign w:val="center"/>
            <w:hideMark/>
          </w:tcPr>
          <w:p w14:paraId="4571720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35.047</w:t>
            </w:r>
          </w:p>
        </w:tc>
      </w:tr>
      <w:tr w:rsidR="006356F1" w:rsidRPr="00822E74" w14:paraId="11F51F9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812303F"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68 </w:t>
            </w:r>
          </w:p>
        </w:tc>
        <w:tc>
          <w:tcPr>
            <w:tcW w:w="366" w:type="pct"/>
            <w:tcBorders>
              <w:top w:val="single" w:sz="4" w:space="0" w:color="auto"/>
              <w:left w:val="nil"/>
              <w:bottom w:val="single" w:sz="4" w:space="0" w:color="auto"/>
              <w:right w:val="nil"/>
            </w:tcBorders>
            <w:shd w:val="clear" w:color="auto" w:fill="auto"/>
            <w:noWrap/>
            <w:vAlign w:val="center"/>
            <w:hideMark/>
          </w:tcPr>
          <w:p w14:paraId="1CD1BD9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1.285</w:t>
            </w:r>
          </w:p>
        </w:tc>
        <w:tc>
          <w:tcPr>
            <w:tcW w:w="368" w:type="pct"/>
            <w:tcBorders>
              <w:top w:val="single" w:sz="4" w:space="0" w:color="auto"/>
              <w:left w:val="nil"/>
              <w:bottom w:val="single" w:sz="4" w:space="0" w:color="auto"/>
              <w:right w:val="nil"/>
            </w:tcBorders>
            <w:shd w:val="clear" w:color="auto" w:fill="auto"/>
            <w:noWrap/>
            <w:vAlign w:val="center"/>
            <w:hideMark/>
          </w:tcPr>
          <w:p w14:paraId="35627E5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1.100</w:t>
            </w:r>
          </w:p>
        </w:tc>
        <w:tc>
          <w:tcPr>
            <w:tcW w:w="326" w:type="pct"/>
            <w:tcBorders>
              <w:top w:val="single" w:sz="4" w:space="0" w:color="auto"/>
              <w:left w:val="nil"/>
              <w:bottom w:val="single" w:sz="4" w:space="0" w:color="auto"/>
              <w:right w:val="nil"/>
            </w:tcBorders>
            <w:shd w:val="clear" w:color="auto" w:fill="auto"/>
            <w:noWrap/>
            <w:vAlign w:val="center"/>
            <w:hideMark/>
          </w:tcPr>
          <w:p w14:paraId="1E9532C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980</w:t>
            </w:r>
          </w:p>
        </w:tc>
        <w:tc>
          <w:tcPr>
            <w:tcW w:w="326" w:type="pct"/>
            <w:tcBorders>
              <w:top w:val="single" w:sz="4" w:space="0" w:color="auto"/>
              <w:left w:val="nil"/>
              <w:bottom w:val="single" w:sz="4" w:space="0" w:color="auto"/>
              <w:right w:val="nil"/>
            </w:tcBorders>
            <w:shd w:val="clear" w:color="auto" w:fill="auto"/>
            <w:noWrap/>
            <w:vAlign w:val="center"/>
            <w:hideMark/>
          </w:tcPr>
          <w:p w14:paraId="5CC918F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908</w:t>
            </w:r>
          </w:p>
        </w:tc>
        <w:tc>
          <w:tcPr>
            <w:tcW w:w="475" w:type="pct"/>
            <w:tcBorders>
              <w:top w:val="single" w:sz="4" w:space="0" w:color="auto"/>
              <w:left w:val="nil"/>
              <w:bottom w:val="single" w:sz="4" w:space="0" w:color="auto"/>
              <w:right w:val="nil"/>
            </w:tcBorders>
            <w:shd w:val="clear" w:color="auto" w:fill="auto"/>
            <w:noWrap/>
            <w:vAlign w:val="center"/>
            <w:hideMark/>
          </w:tcPr>
          <w:p w14:paraId="29CE8E9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1.068</w:t>
            </w:r>
          </w:p>
        </w:tc>
        <w:tc>
          <w:tcPr>
            <w:tcW w:w="697" w:type="pct"/>
            <w:tcBorders>
              <w:top w:val="single" w:sz="4" w:space="0" w:color="auto"/>
              <w:left w:val="nil"/>
              <w:bottom w:val="single" w:sz="4" w:space="0" w:color="auto"/>
              <w:right w:val="nil"/>
            </w:tcBorders>
            <w:shd w:val="clear" w:color="auto" w:fill="auto"/>
            <w:noWrap/>
            <w:vAlign w:val="center"/>
            <w:hideMark/>
          </w:tcPr>
          <w:p w14:paraId="744059A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1,23</w:t>
            </w:r>
          </w:p>
        </w:tc>
        <w:tc>
          <w:tcPr>
            <w:tcW w:w="681" w:type="pct"/>
            <w:tcBorders>
              <w:top w:val="single" w:sz="4" w:space="0" w:color="auto"/>
              <w:left w:val="nil"/>
              <w:bottom w:val="single" w:sz="4" w:space="0" w:color="auto"/>
              <w:right w:val="nil"/>
            </w:tcBorders>
            <w:shd w:val="clear" w:color="auto" w:fill="auto"/>
            <w:noWrap/>
            <w:vAlign w:val="center"/>
            <w:hideMark/>
          </w:tcPr>
          <w:p w14:paraId="63BBEA4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0,77</w:t>
            </w:r>
          </w:p>
        </w:tc>
        <w:tc>
          <w:tcPr>
            <w:tcW w:w="793" w:type="pct"/>
            <w:tcBorders>
              <w:top w:val="single" w:sz="4" w:space="0" w:color="auto"/>
              <w:left w:val="nil"/>
              <w:bottom w:val="single" w:sz="4" w:space="0" w:color="auto"/>
              <w:right w:val="nil"/>
            </w:tcBorders>
            <w:shd w:val="clear" w:color="auto" w:fill="auto"/>
            <w:noWrap/>
            <w:vAlign w:val="center"/>
            <w:hideMark/>
          </w:tcPr>
          <w:p w14:paraId="3B178FD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33.087</w:t>
            </w:r>
          </w:p>
        </w:tc>
      </w:tr>
      <w:tr w:rsidR="006356F1" w:rsidRPr="00822E74" w14:paraId="710D6851"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3C9B575"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69 </w:t>
            </w:r>
          </w:p>
        </w:tc>
        <w:tc>
          <w:tcPr>
            <w:tcW w:w="366" w:type="pct"/>
            <w:tcBorders>
              <w:top w:val="single" w:sz="4" w:space="0" w:color="auto"/>
              <w:left w:val="nil"/>
              <w:bottom w:val="single" w:sz="4" w:space="0" w:color="auto"/>
              <w:right w:val="nil"/>
            </w:tcBorders>
            <w:shd w:val="clear" w:color="auto" w:fill="auto"/>
            <w:noWrap/>
            <w:vAlign w:val="center"/>
            <w:hideMark/>
          </w:tcPr>
          <w:p w14:paraId="6C42F58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869</w:t>
            </w:r>
          </w:p>
        </w:tc>
        <w:tc>
          <w:tcPr>
            <w:tcW w:w="368" w:type="pct"/>
            <w:tcBorders>
              <w:top w:val="single" w:sz="4" w:space="0" w:color="auto"/>
              <w:left w:val="nil"/>
              <w:bottom w:val="single" w:sz="4" w:space="0" w:color="auto"/>
              <w:right w:val="nil"/>
            </w:tcBorders>
            <w:shd w:val="clear" w:color="auto" w:fill="auto"/>
            <w:noWrap/>
            <w:vAlign w:val="center"/>
            <w:hideMark/>
          </w:tcPr>
          <w:p w14:paraId="5FD367A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797</w:t>
            </w:r>
          </w:p>
        </w:tc>
        <w:tc>
          <w:tcPr>
            <w:tcW w:w="326" w:type="pct"/>
            <w:tcBorders>
              <w:top w:val="single" w:sz="4" w:space="0" w:color="auto"/>
              <w:left w:val="nil"/>
              <w:bottom w:val="single" w:sz="4" w:space="0" w:color="auto"/>
              <w:right w:val="nil"/>
            </w:tcBorders>
            <w:shd w:val="clear" w:color="auto" w:fill="auto"/>
            <w:noWrap/>
            <w:vAlign w:val="center"/>
            <w:hideMark/>
          </w:tcPr>
          <w:p w14:paraId="4C3C89D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823</w:t>
            </w:r>
          </w:p>
        </w:tc>
        <w:tc>
          <w:tcPr>
            <w:tcW w:w="326" w:type="pct"/>
            <w:tcBorders>
              <w:top w:val="single" w:sz="4" w:space="0" w:color="auto"/>
              <w:left w:val="nil"/>
              <w:bottom w:val="single" w:sz="4" w:space="0" w:color="auto"/>
              <w:right w:val="nil"/>
            </w:tcBorders>
            <w:shd w:val="clear" w:color="auto" w:fill="auto"/>
            <w:noWrap/>
            <w:vAlign w:val="center"/>
            <w:hideMark/>
          </w:tcPr>
          <w:p w14:paraId="4981204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834</w:t>
            </w:r>
          </w:p>
        </w:tc>
        <w:tc>
          <w:tcPr>
            <w:tcW w:w="475" w:type="pct"/>
            <w:tcBorders>
              <w:top w:val="single" w:sz="4" w:space="0" w:color="auto"/>
              <w:left w:val="nil"/>
              <w:bottom w:val="single" w:sz="4" w:space="0" w:color="auto"/>
              <w:right w:val="nil"/>
            </w:tcBorders>
            <w:shd w:val="clear" w:color="auto" w:fill="auto"/>
            <w:noWrap/>
            <w:vAlign w:val="center"/>
            <w:hideMark/>
          </w:tcPr>
          <w:p w14:paraId="79C0F4F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831</w:t>
            </w:r>
          </w:p>
        </w:tc>
        <w:tc>
          <w:tcPr>
            <w:tcW w:w="697" w:type="pct"/>
            <w:tcBorders>
              <w:top w:val="single" w:sz="4" w:space="0" w:color="auto"/>
              <w:left w:val="nil"/>
              <w:bottom w:val="single" w:sz="4" w:space="0" w:color="auto"/>
              <w:right w:val="nil"/>
            </w:tcBorders>
            <w:shd w:val="clear" w:color="auto" w:fill="auto"/>
            <w:noWrap/>
            <w:vAlign w:val="center"/>
            <w:hideMark/>
          </w:tcPr>
          <w:p w14:paraId="7A82EDD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0,96</w:t>
            </w:r>
          </w:p>
        </w:tc>
        <w:tc>
          <w:tcPr>
            <w:tcW w:w="681" w:type="pct"/>
            <w:tcBorders>
              <w:top w:val="single" w:sz="4" w:space="0" w:color="auto"/>
              <w:left w:val="nil"/>
              <w:bottom w:val="single" w:sz="4" w:space="0" w:color="auto"/>
              <w:right w:val="nil"/>
            </w:tcBorders>
            <w:shd w:val="clear" w:color="auto" w:fill="auto"/>
            <w:noWrap/>
            <w:vAlign w:val="center"/>
            <w:hideMark/>
          </w:tcPr>
          <w:p w14:paraId="0BEB34D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0,59</w:t>
            </w:r>
          </w:p>
        </w:tc>
        <w:tc>
          <w:tcPr>
            <w:tcW w:w="793" w:type="pct"/>
            <w:tcBorders>
              <w:top w:val="single" w:sz="4" w:space="0" w:color="auto"/>
              <w:left w:val="nil"/>
              <w:bottom w:val="single" w:sz="4" w:space="0" w:color="auto"/>
              <w:right w:val="nil"/>
            </w:tcBorders>
            <w:shd w:val="clear" w:color="auto" w:fill="auto"/>
            <w:noWrap/>
            <w:vAlign w:val="center"/>
            <w:hideMark/>
          </w:tcPr>
          <w:p w14:paraId="5956C69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32.458</w:t>
            </w:r>
          </w:p>
        </w:tc>
      </w:tr>
      <w:tr w:rsidR="006356F1" w:rsidRPr="00822E74" w14:paraId="31933A7C"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A67E6FC"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70 </w:t>
            </w:r>
          </w:p>
        </w:tc>
        <w:tc>
          <w:tcPr>
            <w:tcW w:w="366" w:type="pct"/>
            <w:tcBorders>
              <w:top w:val="single" w:sz="4" w:space="0" w:color="auto"/>
              <w:left w:val="nil"/>
              <w:bottom w:val="single" w:sz="4" w:space="0" w:color="auto"/>
              <w:right w:val="nil"/>
            </w:tcBorders>
            <w:shd w:val="clear" w:color="auto" w:fill="auto"/>
            <w:noWrap/>
            <w:vAlign w:val="center"/>
            <w:hideMark/>
          </w:tcPr>
          <w:p w14:paraId="6F15194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1.499</w:t>
            </w:r>
          </w:p>
        </w:tc>
        <w:tc>
          <w:tcPr>
            <w:tcW w:w="368" w:type="pct"/>
            <w:tcBorders>
              <w:top w:val="single" w:sz="4" w:space="0" w:color="auto"/>
              <w:left w:val="nil"/>
              <w:bottom w:val="single" w:sz="4" w:space="0" w:color="auto"/>
              <w:right w:val="nil"/>
            </w:tcBorders>
            <w:shd w:val="clear" w:color="auto" w:fill="auto"/>
            <w:noWrap/>
            <w:vAlign w:val="center"/>
            <w:hideMark/>
          </w:tcPr>
          <w:p w14:paraId="1776A5F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1.377</w:t>
            </w:r>
          </w:p>
        </w:tc>
        <w:tc>
          <w:tcPr>
            <w:tcW w:w="326" w:type="pct"/>
            <w:tcBorders>
              <w:top w:val="single" w:sz="4" w:space="0" w:color="auto"/>
              <w:left w:val="nil"/>
              <w:bottom w:val="single" w:sz="4" w:space="0" w:color="auto"/>
              <w:right w:val="nil"/>
            </w:tcBorders>
            <w:shd w:val="clear" w:color="auto" w:fill="auto"/>
            <w:noWrap/>
            <w:vAlign w:val="center"/>
            <w:hideMark/>
          </w:tcPr>
          <w:p w14:paraId="3DC89B1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1.357</w:t>
            </w:r>
          </w:p>
        </w:tc>
        <w:tc>
          <w:tcPr>
            <w:tcW w:w="326" w:type="pct"/>
            <w:tcBorders>
              <w:top w:val="single" w:sz="4" w:space="0" w:color="auto"/>
              <w:left w:val="nil"/>
              <w:bottom w:val="single" w:sz="4" w:space="0" w:color="auto"/>
              <w:right w:val="nil"/>
            </w:tcBorders>
            <w:shd w:val="clear" w:color="auto" w:fill="auto"/>
            <w:noWrap/>
            <w:vAlign w:val="center"/>
            <w:hideMark/>
          </w:tcPr>
          <w:p w14:paraId="53F19B7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1.382</w:t>
            </w:r>
          </w:p>
        </w:tc>
        <w:tc>
          <w:tcPr>
            <w:tcW w:w="475" w:type="pct"/>
            <w:tcBorders>
              <w:top w:val="single" w:sz="4" w:space="0" w:color="auto"/>
              <w:left w:val="nil"/>
              <w:bottom w:val="single" w:sz="4" w:space="0" w:color="auto"/>
              <w:right w:val="nil"/>
            </w:tcBorders>
            <w:shd w:val="clear" w:color="auto" w:fill="auto"/>
            <w:noWrap/>
            <w:vAlign w:val="center"/>
            <w:hideMark/>
          </w:tcPr>
          <w:p w14:paraId="76E5F83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1.404</w:t>
            </w:r>
          </w:p>
        </w:tc>
        <w:tc>
          <w:tcPr>
            <w:tcW w:w="697" w:type="pct"/>
            <w:tcBorders>
              <w:top w:val="single" w:sz="4" w:space="0" w:color="auto"/>
              <w:left w:val="nil"/>
              <w:bottom w:val="single" w:sz="4" w:space="0" w:color="auto"/>
              <w:right w:val="nil"/>
            </w:tcBorders>
            <w:shd w:val="clear" w:color="auto" w:fill="auto"/>
            <w:noWrap/>
            <w:vAlign w:val="center"/>
            <w:hideMark/>
          </w:tcPr>
          <w:p w14:paraId="6F70944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1,62</w:t>
            </w:r>
          </w:p>
        </w:tc>
        <w:tc>
          <w:tcPr>
            <w:tcW w:w="681" w:type="pct"/>
            <w:tcBorders>
              <w:top w:val="single" w:sz="4" w:space="0" w:color="auto"/>
              <w:left w:val="nil"/>
              <w:bottom w:val="single" w:sz="4" w:space="0" w:color="auto"/>
              <w:right w:val="nil"/>
            </w:tcBorders>
            <w:shd w:val="clear" w:color="auto" w:fill="auto"/>
            <w:noWrap/>
            <w:vAlign w:val="center"/>
            <w:hideMark/>
          </w:tcPr>
          <w:p w14:paraId="4CF60F8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0,96</w:t>
            </w:r>
          </w:p>
        </w:tc>
        <w:tc>
          <w:tcPr>
            <w:tcW w:w="793" w:type="pct"/>
            <w:tcBorders>
              <w:top w:val="single" w:sz="4" w:space="0" w:color="auto"/>
              <w:left w:val="nil"/>
              <w:bottom w:val="single" w:sz="4" w:space="0" w:color="auto"/>
              <w:right w:val="nil"/>
            </w:tcBorders>
            <w:shd w:val="clear" w:color="auto" w:fill="auto"/>
            <w:noWrap/>
            <w:vAlign w:val="center"/>
            <w:hideMark/>
          </w:tcPr>
          <w:p w14:paraId="16BED23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31.560</w:t>
            </w:r>
          </w:p>
        </w:tc>
      </w:tr>
      <w:tr w:rsidR="006356F1" w:rsidRPr="00822E74" w14:paraId="0DFE2DC9"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78376ADB"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71 </w:t>
            </w:r>
          </w:p>
        </w:tc>
        <w:tc>
          <w:tcPr>
            <w:tcW w:w="366" w:type="pct"/>
            <w:tcBorders>
              <w:top w:val="single" w:sz="4" w:space="0" w:color="auto"/>
              <w:left w:val="nil"/>
              <w:bottom w:val="single" w:sz="4" w:space="0" w:color="auto"/>
              <w:right w:val="nil"/>
            </w:tcBorders>
            <w:shd w:val="clear" w:color="auto" w:fill="auto"/>
            <w:noWrap/>
            <w:vAlign w:val="center"/>
            <w:hideMark/>
          </w:tcPr>
          <w:p w14:paraId="010B3C2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834</w:t>
            </w:r>
          </w:p>
        </w:tc>
        <w:tc>
          <w:tcPr>
            <w:tcW w:w="368" w:type="pct"/>
            <w:tcBorders>
              <w:top w:val="single" w:sz="4" w:space="0" w:color="auto"/>
              <w:left w:val="nil"/>
              <w:bottom w:val="single" w:sz="4" w:space="0" w:color="auto"/>
              <w:right w:val="nil"/>
            </w:tcBorders>
            <w:shd w:val="clear" w:color="auto" w:fill="auto"/>
            <w:noWrap/>
            <w:vAlign w:val="center"/>
            <w:hideMark/>
          </w:tcPr>
          <w:p w14:paraId="270FBA4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828</w:t>
            </w:r>
          </w:p>
        </w:tc>
        <w:tc>
          <w:tcPr>
            <w:tcW w:w="326" w:type="pct"/>
            <w:tcBorders>
              <w:top w:val="single" w:sz="4" w:space="0" w:color="auto"/>
              <w:left w:val="nil"/>
              <w:bottom w:val="single" w:sz="4" w:space="0" w:color="auto"/>
              <w:right w:val="nil"/>
            </w:tcBorders>
            <w:shd w:val="clear" w:color="auto" w:fill="auto"/>
            <w:noWrap/>
            <w:vAlign w:val="center"/>
            <w:hideMark/>
          </w:tcPr>
          <w:p w14:paraId="2168FC6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781</w:t>
            </w:r>
          </w:p>
        </w:tc>
        <w:tc>
          <w:tcPr>
            <w:tcW w:w="326" w:type="pct"/>
            <w:tcBorders>
              <w:top w:val="single" w:sz="4" w:space="0" w:color="auto"/>
              <w:left w:val="nil"/>
              <w:bottom w:val="single" w:sz="4" w:space="0" w:color="auto"/>
              <w:right w:val="nil"/>
            </w:tcBorders>
            <w:shd w:val="clear" w:color="auto" w:fill="auto"/>
            <w:noWrap/>
            <w:vAlign w:val="center"/>
            <w:hideMark/>
          </w:tcPr>
          <w:p w14:paraId="53A8920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831</w:t>
            </w:r>
          </w:p>
        </w:tc>
        <w:tc>
          <w:tcPr>
            <w:tcW w:w="475" w:type="pct"/>
            <w:tcBorders>
              <w:top w:val="single" w:sz="4" w:space="0" w:color="auto"/>
              <w:left w:val="nil"/>
              <w:bottom w:val="single" w:sz="4" w:space="0" w:color="auto"/>
              <w:right w:val="nil"/>
            </w:tcBorders>
            <w:shd w:val="clear" w:color="auto" w:fill="auto"/>
            <w:noWrap/>
            <w:vAlign w:val="center"/>
            <w:hideMark/>
          </w:tcPr>
          <w:p w14:paraId="04F760D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819</w:t>
            </w:r>
          </w:p>
        </w:tc>
        <w:tc>
          <w:tcPr>
            <w:tcW w:w="697" w:type="pct"/>
            <w:tcBorders>
              <w:top w:val="single" w:sz="4" w:space="0" w:color="auto"/>
              <w:left w:val="nil"/>
              <w:bottom w:val="single" w:sz="4" w:space="0" w:color="auto"/>
              <w:right w:val="nil"/>
            </w:tcBorders>
            <w:shd w:val="clear" w:color="auto" w:fill="auto"/>
            <w:noWrap/>
            <w:vAlign w:val="center"/>
            <w:hideMark/>
          </w:tcPr>
          <w:p w14:paraId="2149DF2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0,95</w:t>
            </w:r>
          </w:p>
        </w:tc>
        <w:tc>
          <w:tcPr>
            <w:tcW w:w="681" w:type="pct"/>
            <w:tcBorders>
              <w:top w:val="single" w:sz="4" w:space="0" w:color="auto"/>
              <w:left w:val="nil"/>
              <w:bottom w:val="single" w:sz="4" w:space="0" w:color="auto"/>
              <w:right w:val="nil"/>
            </w:tcBorders>
            <w:shd w:val="clear" w:color="auto" w:fill="auto"/>
            <w:noWrap/>
            <w:vAlign w:val="center"/>
            <w:hideMark/>
          </w:tcPr>
          <w:p w14:paraId="2A03DCD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0,54</w:t>
            </w:r>
          </w:p>
        </w:tc>
        <w:tc>
          <w:tcPr>
            <w:tcW w:w="793" w:type="pct"/>
            <w:tcBorders>
              <w:top w:val="single" w:sz="4" w:space="0" w:color="auto"/>
              <w:left w:val="nil"/>
              <w:bottom w:val="single" w:sz="4" w:space="0" w:color="auto"/>
              <w:right w:val="nil"/>
            </w:tcBorders>
            <w:shd w:val="clear" w:color="auto" w:fill="auto"/>
            <w:noWrap/>
            <w:vAlign w:val="center"/>
            <w:hideMark/>
          </w:tcPr>
          <w:p w14:paraId="713B60D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30.681</w:t>
            </w:r>
          </w:p>
        </w:tc>
      </w:tr>
      <w:tr w:rsidR="006356F1" w:rsidRPr="00822E74" w14:paraId="004CCF7F"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B2F353C"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72 </w:t>
            </w:r>
          </w:p>
        </w:tc>
        <w:tc>
          <w:tcPr>
            <w:tcW w:w="366" w:type="pct"/>
            <w:tcBorders>
              <w:top w:val="single" w:sz="4" w:space="0" w:color="auto"/>
              <w:left w:val="nil"/>
              <w:bottom w:val="single" w:sz="4" w:space="0" w:color="auto"/>
              <w:right w:val="nil"/>
            </w:tcBorders>
            <w:shd w:val="clear" w:color="auto" w:fill="auto"/>
            <w:noWrap/>
            <w:vAlign w:val="center"/>
            <w:hideMark/>
          </w:tcPr>
          <w:p w14:paraId="0D1A280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576</w:t>
            </w:r>
          </w:p>
        </w:tc>
        <w:tc>
          <w:tcPr>
            <w:tcW w:w="368" w:type="pct"/>
            <w:tcBorders>
              <w:top w:val="single" w:sz="4" w:space="0" w:color="auto"/>
              <w:left w:val="nil"/>
              <w:bottom w:val="single" w:sz="4" w:space="0" w:color="auto"/>
              <w:right w:val="nil"/>
            </w:tcBorders>
            <w:shd w:val="clear" w:color="auto" w:fill="auto"/>
            <w:noWrap/>
            <w:vAlign w:val="center"/>
            <w:hideMark/>
          </w:tcPr>
          <w:p w14:paraId="3F7D3C6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610</w:t>
            </w:r>
          </w:p>
        </w:tc>
        <w:tc>
          <w:tcPr>
            <w:tcW w:w="326" w:type="pct"/>
            <w:tcBorders>
              <w:top w:val="single" w:sz="4" w:space="0" w:color="auto"/>
              <w:left w:val="nil"/>
              <w:bottom w:val="single" w:sz="4" w:space="0" w:color="auto"/>
              <w:right w:val="nil"/>
            </w:tcBorders>
            <w:shd w:val="clear" w:color="auto" w:fill="auto"/>
            <w:noWrap/>
            <w:vAlign w:val="center"/>
            <w:hideMark/>
          </w:tcPr>
          <w:p w14:paraId="4282077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594</w:t>
            </w:r>
          </w:p>
        </w:tc>
        <w:tc>
          <w:tcPr>
            <w:tcW w:w="326" w:type="pct"/>
            <w:tcBorders>
              <w:top w:val="single" w:sz="4" w:space="0" w:color="auto"/>
              <w:left w:val="nil"/>
              <w:bottom w:val="single" w:sz="4" w:space="0" w:color="auto"/>
              <w:right w:val="nil"/>
            </w:tcBorders>
            <w:shd w:val="clear" w:color="auto" w:fill="auto"/>
            <w:noWrap/>
            <w:vAlign w:val="center"/>
            <w:hideMark/>
          </w:tcPr>
          <w:p w14:paraId="1164485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667</w:t>
            </w:r>
          </w:p>
        </w:tc>
        <w:tc>
          <w:tcPr>
            <w:tcW w:w="475" w:type="pct"/>
            <w:tcBorders>
              <w:top w:val="single" w:sz="4" w:space="0" w:color="auto"/>
              <w:left w:val="nil"/>
              <w:bottom w:val="single" w:sz="4" w:space="0" w:color="auto"/>
              <w:right w:val="nil"/>
            </w:tcBorders>
            <w:shd w:val="clear" w:color="auto" w:fill="auto"/>
            <w:noWrap/>
            <w:vAlign w:val="center"/>
            <w:hideMark/>
          </w:tcPr>
          <w:p w14:paraId="4F38776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612</w:t>
            </w:r>
          </w:p>
        </w:tc>
        <w:tc>
          <w:tcPr>
            <w:tcW w:w="697" w:type="pct"/>
            <w:tcBorders>
              <w:top w:val="single" w:sz="4" w:space="0" w:color="auto"/>
              <w:left w:val="nil"/>
              <w:bottom w:val="single" w:sz="4" w:space="0" w:color="auto"/>
              <w:right w:val="nil"/>
            </w:tcBorders>
            <w:shd w:val="clear" w:color="auto" w:fill="auto"/>
            <w:noWrap/>
            <w:vAlign w:val="center"/>
            <w:hideMark/>
          </w:tcPr>
          <w:p w14:paraId="444A0BB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0,71</w:t>
            </w:r>
          </w:p>
        </w:tc>
        <w:tc>
          <w:tcPr>
            <w:tcW w:w="681" w:type="pct"/>
            <w:tcBorders>
              <w:top w:val="single" w:sz="4" w:space="0" w:color="auto"/>
              <w:left w:val="nil"/>
              <w:bottom w:val="single" w:sz="4" w:space="0" w:color="auto"/>
              <w:right w:val="nil"/>
            </w:tcBorders>
            <w:shd w:val="clear" w:color="auto" w:fill="auto"/>
            <w:noWrap/>
            <w:vAlign w:val="center"/>
            <w:hideMark/>
          </w:tcPr>
          <w:p w14:paraId="67B0BFD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0,40</w:t>
            </w:r>
          </w:p>
        </w:tc>
        <w:tc>
          <w:tcPr>
            <w:tcW w:w="793" w:type="pct"/>
            <w:tcBorders>
              <w:top w:val="single" w:sz="4" w:space="0" w:color="auto"/>
              <w:left w:val="nil"/>
              <w:bottom w:val="single" w:sz="4" w:space="0" w:color="auto"/>
              <w:right w:val="nil"/>
            </w:tcBorders>
            <w:shd w:val="clear" w:color="auto" w:fill="auto"/>
            <w:noWrap/>
            <w:vAlign w:val="center"/>
            <w:hideMark/>
          </w:tcPr>
          <w:p w14:paraId="02BBF90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29.935</w:t>
            </w:r>
          </w:p>
        </w:tc>
      </w:tr>
      <w:tr w:rsidR="006356F1" w:rsidRPr="00822E74" w14:paraId="4E95D48E"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DC0E1BB"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73 </w:t>
            </w:r>
          </w:p>
        </w:tc>
        <w:tc>
          <w:tcPr>
            <w:tcW w:w="366" w:type="pct"/>
            <w:tcBorders>
              <w:top w:val="single" w:sz="4" w:space="0" w:color="auto"/>
              <w:left w:val="nil"/>
              <w:bottom w:val="single" w:sz="4" w:space="0" w:color="auto"/>
              <w:right w:val="nil"/>
            </w:tcBorders>
            <w:shd w:val="clear" w:color="auto" w:fill="auto"/>
            <w:noWrap/>
            <w:vAlign w:val="center"/>
            <w:hideMark/>
          </w:tcPr>
          <w:p w14:paraId="0BA07BF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709</w:t>
            </w:r>
          </w:p>
        </w:tc>
        <w:tc>
          <w:tcPr>
            <w:tcW w:w="368" w:type="pct"/>
            <w:tcBorders>
              <w:top w:val="single" w:sz="4" w:space="0" w:color="auto"/>
              <w:left w:val="nil"/>
              <w:bottom w:val="single" w:sz="4" w:space="0" w:color="auto"/>
              <w:right w:val="nil"/>
            </w:tcBorders>
            <w:shd w:val="clear" w:color="auto" w:fill="auto"/>
            <w:noWrap/>
            <w:vAlign w:val="center"/>
            <w:hideMark/>
          </w:tcPr>
          <w:p w14:paraId="26BFEBA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818</w:t>
            </w:r>
          </w:p>
        </w:tc>
        <w:tc>
          <w:tcPr>
            <w:tcW w:w="326" w:type="pct"/>
            <w:tcBorders>
              <w:top w:val="single" w:sz="4" w:space="0" w:color="auto"/>
              <w:left w:val="nil"/>
              <w:bottom w:val="single" w:sz="4" w:space="0" w:color="auto"/>
              <w:right w:val="nil"/>
            </w:tcBorders>
            <w:shd w:val="clear" w:color="auto" w:fill="auto"/>
            <w:noWrap/>
            <w:vAlign w:val="center"/>
            <w:hideMark/>
          </w:tcPr>
          <w:p w14:paraId="2BBF248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324</w:t>
            </w:r>
          </w:p>
        </w:tc>
        <w:tc>
          <w:tcPr>
            <w:tcW w:w="326" w:type="pct"/>
            <w:tcBorders>
              <w:top w:val="single" w:sz="4" w:space="0" w:color="auto"/>
              <w:left w:val="nil"/>
              <w:bottom w:val="single" w:sz="4" w:space="0" w:color="auto"/>
              <w:right w:val="nil"/>
            </w:tcBorders>
            <w:shd w:val="clear" w:color="auto" w:fill="auto"/>
            <w:noWrap/>
            <w:vAlign w:val="center"/>
            <w:hideMark/>
          </w:tcPr>
          <w:p w14:paraId="5EE8385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332</w:t>
            </w:r>
          </w:p>
        </w:tc>
        <w:tc>
          <w:tcPr>
            <w:tcW w:w="475" w:type="pct"/>
            <w:tcBorders>
              <w:top w:val="single" w:sz="4" w:space="0" w:color="auto"/>
              <w:left w:val="nil"/>
              <w:bottom w:val="single" w:sz="4" w:space="0" w:color="auto"/>
              <w:right w:val="nil"/>
            </w:tcBorders>
            <w:shd w:val="clear" w:color="auto" w:fill="auto"/>
            <w:noWrap/>
            <w:vAlign w:val="center"/>
            <w:hideMark/>
          </w:tcPr>
          <w:p w14:paraId="0DC716E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546</w:t>
            </w:r>
          </w:p>
        </w:tc>
        <w:tc>
          <w:tcPr>
            <w:tcW w:w="697" w:type="pct"/>
            <w:tcBorders>
              <w:top w:val="single" w:sz="4" w:space="0" w:color="auto"/>
              <w:left w:val="nil"/>
              <w:bottom w:val="single" w:sz="4" w:space="0" w:color="auto"/>
              <w:right w:val="nil"/>
            </w:tcBorders>
            <w:shd w:val="clear" w:color="auto" w:fill="auto"/>
            <w:noWrap/>
            <w:vAlign w:val="center"/>
            <w:hideMark/>
          </w:tcPr>
          <w:p w14:paraId="29C6BB4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0,63</w:t>
            </w:r>
          </w:p>
        </w:tc>
        <w:tc>
          <w:tcPr>
            <w:tcW w:w="681" w:type="pct"/>
            <w:tcBorders>
              <w:top w:val="single" w:sz="4" w:space="0" w:color="auto"/>
              <w:left w:val="nil"/>
              <w:bottom w:val="single" w:sz="4" w:space="0" w:color="auto"/>
              <w:right w:val="nil"/>
            </w:tcBorders>
            <w:shd w:val="clear" w:color="auto" w:fill="auto"/>
            <w:noWrap/>
            <w:vAlign w:val="center"/>
            <w:hideMark/>
          </w:tcPr>
          <w:p w14:paraId="480BED2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0,35</w:t>
            </w:r>
          </w:p>
        </w:tc>
        <w:tc>
          <w:tcPr>
            <w:tcW w:w="793" w:type="pct"/>
            <w:tcBorders>
              <w:top w:val="single" w:sz="4" w:space="0" w:color="auto"/>
              <w:left w:val="nil"/>
              <w:bottom w:val="single" w:sz="4" w:space="0" w:color="auto"/>
              <w:right w:val="nil"/>
            </w:tcBorders>
            <w:shd w:val="clear" w:color="auto" w:fill="auto"/>
            <w:noWrap/>
            <w:vAlign w:val="center"/>
            <w:hideMark/>
          </w:tcPr>
          <w:p w14:paraId="0C9516B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29.447</w:t>
            </w:r>
          </w:p>
        </w:tc>
      </w:tr>
      <w:tr w:rsidR="006356F1" w:rsidRPr="00822E74" w14:paraId="29C8D92F"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5083682"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74 </w:t>
            </w:r>
          </w:p>
        </w:tc>
        <w:tc>
          <w:tcPr>
            <w:tcW w:w="366" w:type="pct"/>
            <w:tcBorders>
              <w:top w:val="single" w:sz="4" w:space="0" w:color="auto"/>
              <w:left w:val="nil"/>
              <w:bottom w:val="single" w:sz="4" w:space="0" w:color="auto"/>
              <w:right w:val="nil"/>
            </w:tcBorders>
            <w:shd w:val="clear" w:color="auto" w:fill="auto"/>
            <w:noWrap/>
            <w:vAlign w:val="center"/>
            <w:hideMark/>
          </w:tcPr>
          <w:p w14:paraId="071FFAC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1.731</w:t>
            </w:r>
          </w:p>
        </w:tc>
        <w:tc>
          <w:tcPr>
            <w:tcW w:w="368" w:type="pct"/>
            <w:tcBorders>
              <w:top w:val="single" w:sz="4" w:space="0" w:color="auto"/>
              <w:left w:val="nil"/>
              <w:bottom w:val="single" w:sz="4" w:space="0" w:color="auto"/>
              <w:right w:val="nil"/>
            </w:tcBorders>
            <w:shd w:val="clear" w:color="auto" w:fill="auto"/>
            <w:noWrap/>
            <w:vAlign w:val="center"/>
            <w:hideMark/>
          </w:tcPr>
          <w:p w14:paraId="70E4B78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1.665</w:t>
            </w:r>
          </w:p>
        </w:tc>
        <w:tc>
          <w:tcPr>
            <w:tcW w:w="326" w:type="pct"/>
            <w:tcBorders>
              <w:top w:val="single" w:sz="4" w:space="0" w:color="auto"/>
              <w:left w:val="nil"/>
              <w:bottom w:val="single" w:sz="4" w:space="0" w:color="auto"/>
              <w:right w:val="nil"/>
            </w:tcBorders>
            <w:shd w:val="clear" w:color="auto" w:fill="auto"/>
            <w:noWrap/>
            <w:vAlign w:val="center"/>
            <w:hideMark/>
          </w:tcPr>
          <w:p w14:paraId="11618CF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1.819</w:t>
            </w:r>
          </w:p>
        </w:tc>
        <w:tc>
          <w:tcPr>
            <w:tcW w:w="326" w:type="pct"/>
            <w:tcBorders>
              <w:top w:val="single" w:sz="4" w:space="0" w:color="auto"/>
              <w:left w:val="nil"/>
              <w:bottom w:val="single" w:sz="4" w:space="0" w:color="auto"/>
              <w:right w:val="nil"/>
            </w:tcBorders>
            <w:shd w:val="clear" w:color="auto" w:fill="auto"/>
            <w:noWrap/>
            <w:vAlign w:val="center"/>
            <w:hideMark/>
          </w:tcPr>
          <w:p w14:paraId="666987D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1.855</w:t>
            </w:r>
          </w:p>
        </w:tc>
        <w:tc>
          <w:tcPr>
            <w:tcW w:w="475" w:type="pct"/>
            <w:tcBorders>
              <w:top w:val="single" w:sz="4" w:space="0" w:color="auto"/>
              <w:left w:val="nil"/>
              <w:bottom w:val="single" w:sz="4" w:space="0" w:color="auto"/>
              <w:right w:val="nil"/>
            </w:tcBorders>
            <w:shd w:val="clear" w:color="auto" w:fill="auto"/>
            <w:noWrap/>
            <w:vAlign w:val="center"/>
            <w:hideMark/>
          </w:tcPr>
          <w:p w14:paraId="798C3D9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1.768</w:t>
            </w:r>
          </w:p>
        </w:tc>
        <w:tc>
          <w:tcPr>
            <w:tcW w:w="697" w:type="pct"/>
            <w:tcBorders>
              <w:top w:val="single" w:sz="4" w:space="0" w:color="auto"/>
              <w:left w:val="nil"/>
              <w:bottom w:val="single" w:sz="4" w:space="0" w:color="auto"/>
              <w:right w:val="nil"/>
            </w:tcBorders>
            <w:shd w:val="clear" w:color="auto" w:fill="auto"/>
            <w:noWrap/>
            <w:vAlign w:val="center"/>
            <w:hideMark/>
          </w:tcPr>
          <w:p w14:paraId="1423631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2,04</w:t>
            </w:r>
          </w:p>
        </w:tc>
        <w:tc>
          <w:tcPr>
            <w:tcW w:w="681" w:type="pct"/>
            <w:tcBorders>
              <w:top w:val="single" w:sz="4" w:space="0" w:color="auto"/>
              <w:left w:val="nil"/>
              <w:bottom w:val="single" w:sz="4" w:space="0" w:color="auto"/>
              <w:right w:val="nil"/>
            </w:tcBorders>
            <w:shd w:val="clear" w:color="auto" w:fill="auto"/>
            <w:noWrap/>
            <w:vAlign w:val="center"/>
            <w:hideMark/>
          </w:tcPr>
          <w:p w14:paraId="2C9DE4E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1,11</w:t>
            </w:r>
          </w:p>
        </w:tc>
        <w:tc>
          <w:tcPr>
            <w:tcW w:w="793" w:type="pct"/>
            <w:tcBorders>
              <w:top w:val="single" w:sz="4" w:space="0" w:color="auto"/>
              <w:left w:val="nil"/>
              <w:bottom w:val="single" w:sz="4" w:space="0" w:color="auto"/>
              <w:right w:val="nil"/>
            </w:tcBorders>
            <w:shd w:val="clear" w:color="auto" w:fill="auto"/>
            <w:noWrap/>
            <w:vAlign w:val="center"/>
            <w:hideMark/>
          </w:tcPr>
          <w:p w14:paraId="4062CFC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28.896</w:t>
            </w:r>
          </w:p>
        </w:tc>
      </w:tr>
      <w:tr w:rsidR="006356F1" w:rsidRPr="00822E74" w14:paraId="14359850"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940B126"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75 </w:t>
            </w:r>
          </w:p>
        </w:tc>
        <w:tc>
          <w:tcPr>
            <w:tcW w:w="366" w:type="pct"/>
            <w:tcBorders>
              <w:top w:val="single" w:sz="4" w:space="0" w:color="auto"/>
              <w:left w:val="nil"/>
              <w:bottom w:val="single" w:sz="4" w:space="0" w:color="auto"/>
              <w:right w:val="nil"/>
            </w:tcBorders>
            <w:shd w:val="clear" w:color="auto" w:fill="auto"/>
            <w:noWrap/>
            <w:vAlign w:val="center"/>
            <w:hideMark/>
          </w:tcPr>
          <w:p w14:paraId="61D8C6C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2.277</w:t>
            </w:r>
          </w:p>
        </w:tc>
        <w:tc>
          <w:tcPr>
            <w:tcW w:w="368" w:type="pct"/>
            <w:tcBorders>
              <w:top w:val="single" w:sz="4" w:space="0" w:color="auto"/>
              <w:left w:val="nil"/>
              <w:bottom w:val="single" w:sz="4" w:space="0" w:color="auto"/>
              <w:right w:val="nil"/>
            </w:tcBorders>
            <w:shd w:val="clear" w:color="auto" w:fill="auto"/>
            <w:noWrap/>
            <w:vAlign w:val="center"/>
            <w:hideMark/>
          </w:tcPr>
          <w:p w14:paraId="544FE26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2.646</w:t>
            </w:r>
          </w:p>
        </w:tc>
        <w:tc>
          <w:tcPr>
            <w:tcW w:w="326" w:type="pct"/>
            <w:tcBorders>
              <w:top w:val="single" w:sz="4" w:space="0" w:color="auto"/>
              <w:left w:val="nil"/>
              <w:bottom w:val="single" w:sz="4" w:space="0" w:color="auto"/>
              <w:right w:val="nil"/>
            </w:tcBorders>
            <w:shd w:val="clear" w:color="auto" w:fill="auto"/>
            <w:noWrap/>
            <w:vAlign w:val="center"/>
            <w:hideMark/>
          </w:tcPr>
          <w:p w14:paraId="17AD057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2.500</w:t>
            </w:r>
          </w:p>
        </w:tc>
        <w:tc>
          <w:tcPr>
            <w:tcW w:w="326" w:type="pct"/>
            <w:tcBorders>
              <w:top w:val="single" w:sz="4" w:space="0" w:color="auto"/>
              <w:left w:val="nil"/>
              <w:bottom w:val="single" w:sz="4" w:space="0" w:color="auto"/>
              <w:right w:val="nil"/>
            </w:tcBorders>
            <w:shd w:val="clear" w:color="auto" w:fill="auto"/>
            <w:noWrap/>
            <w:vAlign w:val="center"/>
            <w:hideMark/>
          </w:tcPr>
          <w:p w14:paraId="63B6CE9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2.615</w:t>
            </w:r>
          </w:p>
        </w:tc>
        <w:tc>
          <w:tcPr>
            <w:tcW w:w="475" w:type="pct"/>
            <w:tcBorders>
              <w:top w:val="single" w:sz="4" w:space="0" w:color="auto"/>
              <w:left w:val="nil"/>
              <w:bottom w:val="single" w:sz="4" w:space="0" w:color="auto"/>
              <w:right w:val="nil"/>
            </w:tcBorders>
            <w:shd w:val="clear" w:color="auto" w:fill="auto"/>
            <w:noWrap/>
            <w:vAlign w:val="center"/>
            <w:hideMark/>
          </w:tcPr>
          <w:p w14:paraId="771F569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2.510</w:t>
            </w:r>
          </w:p>
        </w:tc>
        <w:tc>
          <w:tcPr>
            <w:tcW w:w="697" w:type="pct"/>
            <w:tcBorders>
              <w:top w:val="single" w:sz="4" w:space="0" w:color="auto"/>
              <w:left w:val="nil"/>
              <w:bottom w:val="single" w:sz="4" w:space="0" w:color="auto"/>
              <w:right w:val="nil"/>
            </w:tcBorders>
            <w:shd w:val="clear" w:color="auto" w:fill="auto"/>
            <w:noWrap/>
            <w:vAlign w:val="center"/>
            <w:hideMark/>
          </w:tcPr>
          <w:p w14:paraId="08497E0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2,90</w:t>
            </w:r>
          </w:p>
        </w:tc>
        <w:tc>
          <w:tcPr>
            <w:tcW w:w="681" w:type="pct"/>
            <w:tcBorders>
              <w:top w:val="single" w:sz="4" w:space="0" w:color="auto"/>
              <w:left w:val="nil"/>
              <w:bottom w:val="single" w:sz="4" w:space="0" w:color="auto"/>
              <w:right w:val="nil"/>
            </w:tcBorders>
            <w:shd w:val="clear" w:color="auto" w:fill="auto"/>
            <w:noWrap/>
            <w:vAlign w:val="center"/>
            <w:hideMark/>
          </w:tcPr>
          <w:p w14:paraId="06749B9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1,56</w:t>
            </w:r>
          </w:p>
        </w:tc>
        <w:tc>
          <w:tcPr>
            <w:tcW w:w="793" w:type="pct"/>
            <w:tcBorders>
              <w:top w:val="single" w:sz="4" w:space="0" w:color="auto"/>
              <w:left w:val="nil"/>
              <w:bottom w:val="single" w:sz="4" w:space="0" w:color="auto"/>
              <w:right w:val="nil"/>
            </w:tcBorders>
            <w:shd w:val="clear" w:color="auto" w:fill="auto"/>
            <w:noWrap/>
            <w:vAlign w:val="center"/>
            <w:hideMark/>
          </w:tcPr>
          <w:p w14:paraId="42821A3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28.682</w:t>
            </w:r>
          </w:p>
        </w:tc>
      </w:tr>
      <w:tr w:rsidR="006356F1" w:rsidRPr="00822E74" w14:paraId="37F0C873"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720FC18"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76 </w:t>
            </w:r>
          </w:p>
        </w:tc>
        <w:tc>
          <w:tcPr>
            <w:tcW w:w="366" w:type="pct"/>
            <w:tcBorders>
              <w:top w:val="single" w:sz="4" w:space="0" w:color="auto"/>
              <w:left w:val="nil"/>
              <w:bottom w:val="single" w:sz="4" w:space="0" w:color="auto"/>
              <w:right w:val="nil"/>
            </w:tcBorders>
            <w:shd w:val="clear" w:color="auto" w:fill="auto"/>
            <w:noWrap/>
            <w:vAlign w:val="center"/>
            <w:hideMark/>
          </w:tcPr>
          <w:p w14:paraId="7774060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670</w:t>
            </w:r>
          </w:p>
        </w:tc>
        <w:tc>
          <w:tcPr>
            <w:tcW w:w="368" w:type="pct"/>
            <w:tcBorders>
              <w:top w:val="single" w:sz="4" w:space="0" w:color="auto"/>
              <w:left w:val="nil"/>
              <w:bottom w:val="single" w:sz="4" w:space="0" w:color="auto"/>
              <w:right w:val="nil"/>
            </w:tcBorders>
            <w:shd w:val="clear" w:color="auto" w:fill="auto"/>
            <w:noWrap/>
            <w:vAlign w:val="center"/>
            <w:hideMark/>
          </w:tcPr>
          <w:p w14:paraId="3918F8B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586</w:t>
            </w:r>
          </w:p>
        </w:tc>
        <w:tc>
          <w:tcPr>
            <w:tcW w:w="326" w:type="pct"/>
            <w:tcBorders>
              <w:top w:val="single" w:sz="4" w:space="0" w:color="auto"/>
              <w:left w:val="nil"/>
              <w:bottom w:val="single" w:sz="4" w:space="0" w:color="auto"/>
              <w:right w:val="nil"/>
            </w:tcBorders>
            <w:shd w:val="clear" w:color="auto" w:fill="auto"/>
            <w:noWrap/>
            <w:vAlign w:val="center"/>
            <w:hideMark/>
          </w:tcPr>
          <w:p w14:paraId="0E095B5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468</w:t>
            </w:r>
          </w:p>
        </w:tc>
        <w:tc>
          <w:tcPr>
            <w:tcW w:w="326" w:type="pct"/>
            <w:tcBorders>
              <w:top w:val="single" w:sz="4" w:space="0" w:color="auto"/>
              <w:left w:val="nil"/>
              <w:bottom w:val="single" w:sz="4" w:space="0" w:color="auto"/>
              <w:right w:val="nil"/>
            </w:tcBorders>
            <w:shd w:val="clear" w:color="auto" w:fill="auto"/>
            <w:noWrap/>
            <w:vAlign w:val="center"/>
            <w:hideMark/>
          </w:tcPr>
          <w:p w14:paraId="1803006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719</w:t>
            </w:r>
          </w:p>
        </w:tc>
        <w:tc>
          <w:tcPr>
            <w:tcW w:w="475" w:type="pct"/>
            <w:tcBorders>
              <w:top w:val="single" w:sz="4" w:space="0" w:color="auto"/>
              <w:left w:val="nil"/>
              <w:bottom w:val="single" w:sz="4" w:space="0" w:color="auto"/>
              <w:right w:val="nil"/>
            </w:tcBorders>
            <w:shd w:val="clear" w:color="auto" w:fill="auto"/>
            <w:noWrap/>
            <w:vAlign w:val="center"/>
            <w:hideMark/>
          </w:tcPr>
          <w:p w14:paraId="46339F2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611</w:t>
            </w:r>
          </w:p>
        </w:tc>
        <w:tc>
          <w:tcPr>
            <w:tcW w:w="697" w:type="pct"/>
            <w:tcBorders>
              <w:top w:val="single" w:sz="4" w:space="0" w:color="auto"/>
              <w:left w:val="nil"/>
              <w:bottom w:val="single" w:sz="4" w:space="0" w:color="auto"/>
              <w:right w:val="nil"/>
            </w:tcBorders>
            <w:shd w:val="clear" w:color="auto" w:fill="auto"/>
            <w:noWrap/>
            <w:vAlign w:val="center"/>
            <w:hideMark/>
          </w:tcPr>
          <w:p w14:paraId="456C667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0,71</w:t>
            </w:r>
          </w:p>
        </w:tc>
        <w:tc>
          <w:tcPr>
            <w:tcW w:w="681" w:type="pct"/>
            <w:tcBorders>
              <w:top w:val="single" w:sz="4" w:space="0" w:color="auto"/>
              <w:left w:val="nil"/>
              <w:bottom w:val="single" w:sz="4" w:space="0" w:color="auto"/>
              <w:right w:val="nil"/>
            </w:tcBorders>
            <w:shd w:val="clear" w:color="auto" w:fill="auto"/>
            <w:noWrap/>
            <w:vAlign w:val="center"/>
            <w:hideMark/>
          </w:tcPr>
          <w:p w14:paraId="6AA2D26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0,37</w:t>
            </w:r>
          </w:p>
        </w:tc>
        <w:tc>
          <w:tcPr>
            <w:tcW w:w="793" w:type="pct"/>
            <w:tcBorders>
              <w:top w:val="single" w:sz="4" w:space="0" w:color="auto"/>
              <w:left w:val="nil"/>
              <w:bottom w:val="single" w:sz="4" w:space="0" w:color="auto"/>
              <w:right w:val="nil"/>
            </w:tcBorders>
            <w:shd w:val="clear" w:color="auto" w:fill="auto"/>
            <w:noWrap/>
            <w:vAlign w:val="center"/>
            <w:hideMark/>
          </w:tcPr>
          <w:p w14:paraId="036E424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27.844</w:t>
            </w:r>
          </w:p>
        </w:tc>
      </w:tr>
      <w:tr w:rsidR="006356F1" w:rsidRPr="00822E74" w14:paraId="330615B5"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B46C1E4"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77 </w:t>
            </w:r>
          </w:p>
        </w:tc>
        <w:tc>
          <w:tcPr>
            <w:tcW w:w="366" w:type="pct"/>
            <w:tcBorders>
              <w:top w:val="single" w:sz="4" w:space="0" w:color="auto"/>
              <w:left w:val="nil"/>
              <w:bottom w:val="single" w:sz="4" w:space="0" w:color="auto"/>
              <w:right w:val="nil"/>
            </w:tcBorders>
            <w:shd w:val="clear" w:color="auto" w:fill="auto"/>
            <w:noWrap/>
            <w:vAlign w:val="center"/>
            <w:hideMark/>
          </w:tcPr>
          <w:p w14:paraId="548900B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1.911</w:t>
            </w:r>
          </w:p>
        </w:tc>
        <w:tc>
          <w:tcPr>
            <w:tcW w:w="368" w:type="pct"/>
            <w:tcBorders>
              <w:top w:val="single" w:sz="4" w:space="0" w:color="auto"/>
              <w:left w:val="nil"/>
              <w:bottom w:val="single" w:sz="4" w:space="0" w:color="auto"/>
              <w:right w:val="nil"/>
            </w:tcBorders>
            <w:shd w:val="clear" w:color="auto" w:fill="auto"/>
            <w:noWrap/>
            <w:vAlign w:val="center"/>
            <w:hideMark/>
          </w:tcPr>
          <w:p w14:paraId="26ECA7B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1.974</w:t>
            </w:r>
          </w:p>
        </w:tc>
        <w:tc>
          <w:tcPr>
            <w:tcW w:w="326" w:type="pct"/>
            <w:tcBorders>
              <w:top w:val="single" w:sz="4" w:space="0" w:color="auto"/>
              <w:left w:val="nil"/>
              <w:bottom w:val="single" w:sz="4" w:space="0" w:color="auto"/>
              <w:right w:val="nil"/>
            </w:tcBorders>
            <w:shd w:val="clear" w:color="auto" w:fill="auto"/>
            <w:noWrap/>
            <w:vAlign w:val="center"/>
            <w:hideMark/>
          </w:tcPr>
          <w:p w14:paraId="5FEA3B3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2.183</w:t>
            </w:r>
          </w:p>
        </w:tc>
        <w:tc>
          <w:tcPr>
            <w:tcW w:w="326" w:type="pct"/>
            <w:tcBorders>
              <w:top w:val="single" w:sz="4" w:space="0" w:color="auto"/>
              <w:left w:val="nil"/>
              <w:bottom w:val="single" w:sz="4" w:space="0" w:color="auto"/>
              <w:right w:val="nil"/>
            </w:tcBorders>
            <w:shd w:val="clear" w:color="auto" w:fill="auto"/>
            <w:noWrap/>
            <w:vAlign w:val="center"/>
            <w:hideMark/>
          </w:tcPr>
          <w:p w14:paraId="37EFA2B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2.211</w:t>
            </w:r>
          </w:p>
        </w:tc>
        <w:tc>
          <w:tcPr>
            <w:tcW w:w="475" w:type="pct"/>
            <w:tcBorders>
              <w:top w:val="single" w:sz="4" w:space="0" w:color="auto"/>
              <w:left w:val="nil"/>
              <w:bottom w:val="single" w:sz="4" w:space="0" w:color="auto"/>
              <w:right w:val="nil"/>
            </w:tcBorders>
            <w:shd w:val="clear" w:color="auto" w:fill="auto"/>
            <w:noWrap/>
            <w:vAlign w:val="center"/>
            <w:hideMark/>
          </w:tcPr>
          <w:p w14:paraId="7F426DF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2.070</w:t>
            </w:r>
          </w:p>
        </w:tc>
        <w:tc>
          <w:tcPr>
            <w:tcW w:w="697" w:type="pct"/>
            <w:tcBorders>
              <w:top w:val="single" w:sz="4" w:space="0" w:color="auto"/>
              <w:left w:val="nil"/>
              <w:bottom w:val="single" w:sz="4" w:space="0" w:color="auto"/>
              <w:right w:val="nil"/>
            </w:tcBorders>
            <w:shd w:val="clear" w:color="auto" w:fill="auto"/>
            <w:noWrap/>
            <w:vAlign w:val="center"/>
            <w:hideMark/>
          </w:tcPr>
          <w:p w14:paraId="3280B57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2,39</w:t>
            </w:r>
          </w:p>
        </w:tc>
        <w:tc>
          <w:tcPr>
            <w:tcW w:w="681" w:type="pct"/>
            <w:tcBorders>
              <w:top w:val="single" w:sz="4" w:space="0" w:color="auto"/>
              <w:left w:val="nil"/>
              <w:bottom w:val="single" w:sz="4" w:space="0" w:color="auto"/>
              <w:right w:val="nil"/>
            </w:tcBorders>
            <w:shd w:val="clear" w:color="auto" w:fill="auto"/>
            <w:noWrap/>
            <w:vAlign w:val="center"/>
            <w:hideMark/>
          </w:tcPr>
          <w:p w14:paraId="0EBEFE2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1,23</w:t>
            </w:r>
          </w:p>
        </w:tc>
        <w:tc>
          <w:tcPr>
            <w:tcW w:w="793" w:type="pct"/>
            <w:tcBorders>
              <w:top w:val="single" w:sz="4" w:space="0" w:color="auto"/>
              <w:left w:val="nil"/>
              <w:bottom w:val="single" w:sz="4" w:space="0" w:color="auto"/>
              <w:right w:val="nil"/>
            </w:tcBorders>
            <w:shd w:val="clear" w:color="auto" w:fill="auto"/>
            <w:noWrap/>
            <w:vAlign w:val="center"/>
            <w:hideMark/>
          </w:tcPr>
          <w:p w14:paraId="50283F0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27.473</w:t>
            </w:r>
          </w:p>
        </w:tc>
      </w:tr>
      <w:tr w:rsidR="006356F1" w:rsidRPr="00822E74" w14:paraId="05550117"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B7B7C66"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78 </w:t>
            </w:r>
          </w:p>
        </w:tc>
        <w:tc>
          <w:tcPr>
            <w:tcW w:w="366" w:type="pct"/>
            <w:tcBorders>
              <w:top w:val="single" w:sz="4" w:space="0" w:color="auto"/>
              <w:left w:val="nil"/>
              <w:bottom w:val="single" w:sz="4" w:space="0" w:color="auto"/>
              <w:right w:val="nil"/>
            </w:tcBorders>
            <w:shd w:val="clear" w:color="auto" w:fill="auto"/>
            <w:noWrap/>
            <w:vAlign w:val="center"/>
            <w:hideMark/>
          </w:tcPr>
          <w:p w14:paraId="1B601F0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523</w:t>
            </w:r>
          </w:p>
        </w:tc>
        <w:tc>
          <w:tcPr>
            <w:tcW w:w="368" w:type="pct"/>
            <w:tcBorders>
              <w:top w:val="single" w:sz="4" w:space="0" w:color="auto"/>
              <w:left w:val="nil"/>
              <w:bottom w:val="single" w:sz="4" w:space="0" w:color="auto"/>
              <w:right w:val="nil"/>
            </w:tcBorders>
            <w:shd w:val="clear" w:color="auto" w:fill="auto"/>
            <w:noWrap/>
            <w:vAlign w:val="center"/>
            <w:hideMark/>
          </w:tcPr>
          <w:p w14:paraId="5192744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505</w:t>
            </w:r>
          </w:p>
        </w:tc>
        <w:tc>
          <w:tcPr>
            <w:tcW w:w="326" w:type="pct"/>
            <w:tcBorders>
              <w:top w:val="single" w:sz="4" w:space="0" w:color="auto"/>
              <w:left w:val="nil"/>
              <w:bottom w:val="single" w:sz="4" w:space="0" w:color="auto"/>
              <w:right w:val="nil"/>
            </w:tcBorders>
            <w:shd w:val="clear" w:color="auto" w:fill="auto"/>
            <w:noWrap/>
            <w:vAlign w:val="center"/>
            <w:hideMark/>
          </w:tcPr>
          <w:p w14:paraId="7A83BED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418</w:t>
            </w:r>
          </w:p>
        </w:tc>
        <w:tc>
          <w:tcPr>
            <w:tcW w:w="326" w:type="pct"/>
            <w:tcBorders>
              <w:top w:val="single" w:sz="4" w:space="0" w:color="auto"/>
              <w:left w:val="nil"/>
              <w:bottom w:val="single" w:sz="4" w:space="0" w:color="auto"/>
              <w:right w:val="nil"/>
            </w:tcBorders>
            <w:shd w:val="clear" w:color="auto" w:fill="auto"/>
            <w:noWrap/>
            <w:vAlign w:val="center"/>
            <w:hideMark/>
          </w:tcPr>
          <w:p w14:paraId="2B3DA31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454</w:t>
            </w:r>
          </w:p>
        </w:tc>
        <w:tc>
          <w:tcPr>
            <w:tcW w:w="475" w:type="pct"/>
            <w:tcBorders>
              <w:top w:val="single" w:sz="4" w:space="0" w:color="auto"/>
              <w:left w:val="nil"/>
              <w:bottom w:val="single" w:sz="4" w:space="0" w:color="auto"/>
              <w:right w:val="nil"/>
            </w:tcBorders>
            <w:shd w:val="clear" w:color="auto" w:fill="auto"/>
            <w:noWrap/>
            <w:vAlign w:val="center"/>
            <w:hideMark/>
          </w:tcPr>
          <w:p w14:paraId="76A6606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475</w:t>
            </w:r>
          </w:p>
        </w:tc>
        <w:tc>
          <w:tcPr>
            <w:tcW w:w="697" w:type="pct"/>
            <w:tcBorders>
              <w:top w:val="single" w:sz="4" w:space="0" w:color="auto"/>
              <w:left w:val="nil"/>
              <w:bottom w:val="single" w:sz="4" w:space="0" w:color="auto"/>
              <w:right w:val="nil"/>
            </w:tcBorders>
            <w:shd w:val="clear" w:color="auto" w:fill="auto"/>
            <w:noWrap/>
            <w:vAlign w:val="center"/>
            <w:hideMark/>
          </w:tcPr>
          <w:p w14:paraId="67CE22D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0,55</w:t>
            </w:r>
          </w:p>
        </w:tc>
        <w:tc>
          <w:tcPr>
            <w:tcW w:w="681" w:type="pct"/>
            <w:tcBorders>
              <w:top w:val="single" w:sz="4" w:space="0" w:color="auto"/>
              <w:left w:val="nil"/>
              <w:bottom w:val="single" w:sz="4" w:space="0" w:color="auto"/>
              <w:right w:val="nil"/>
            </w:tcBorders>
            <w:shd w:val="clear" w:color="auto" w:fill="auto"/>
            <w:noWrap/>
            <w:vAlign w:val="center"/>
            <w:hideMark/>
          </w:tcPr>
          <w:p w14:paraId="6A1B8C0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0,28</w:t>
            </w:r>
          </w:p>
        </w:tc>
        <w:tc>
          <w:tcPr>
            <w:tcW w:w="793" w:type="pct"/>
            <w:tcBorders>
              <w:top w:val="single" w:sz="4" w:space="0" w:color="auto"/>
              <w:left w:val="nil"/>
              <w:bottom w:val="single" w:sz="4" w:space="0" w:color="auto"/>
              <w:right w:val="nil"/>
            </w:tcBorders>
            <w:shd w:val="clear" w:color="auto" w:fill="auto"/>
            <w:noWrap/>
            <w:vAlign w:val="center"/>
            <w:hideMark/>
          </w:tcPr>
          <w:p w14:paraId="3DD73D3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27.249</w:t>
            </w:r>
          </w:p>
        </w:tc>
      </w:tr>
      <w:tr w:rsidR="006356F1" w:rsidRPr="00822E74" w14:paraId="0D175CBB"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9177E1D"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79 </w:t>
            </w:r>
          </w:p>
        </w:tc>
        <w:tc>
          <w:tcPr>
            <w:tcW w:w="366" w:type="pct"/>
            <w:tcBorders>
              <w:top w:val="single" w:sz="4" w:space="0" w:color="auto"/>
              <w:left w:val="nil"/>
              <w:bottom w:val="single" w:sz="4" w:space="0" w:color="auto"/>
              <w:right w:val="nil"/>
            </w:tcBorders>
            <w:shd w:val="clear" w:color="auto" w:fill="auto"/>
            <w:noWrap/>
            <w:vAlign w:val="center"/>
            <w:hideMark/>
          </w:tcPr>
          <w:p w14:paraId="054DDF3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2.771</w:t>
            </w:r>
          </w:p>
        </w:tc>
        <w:tc>
          <w:tcPr>
            <w:tcW w:w="368" w:type="pct"/>
            <w:tcBorders>
              <w:top w:val="single" w:sz="4" w:space="0" w:color="auto"/>
              <w:left w:val="nil"/>
              <w:bottom w:val="single" w:sz="4" w:space="0" w:color="auto"/>
              <w:right w:val="nil"/>
            </w:tcBorders>
            <w:shd w:val="clear" w:color="auto" w:fill="auto"/>
            <w:noWrap/>
            <w:vAlign w:val="center"/>
            <w:hideMark/>
          </w:tcPr>
          <w:p w14:paraId="1778780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2.811</w:t>
            </w:r>
          </w:p>
        </w:tc>
        <w:tc>
          <w:tcPr>
            <w:tcW w:w="326" w:type="pct"/>
            <w:tcBorders>
              <w:top w:val="single" w:sz="4" w:space="0" w:color="auto"/>
              <w:left w:val="nil"/>
              <w:bottom w:val="single" w:sz="4" w:space="0" w:color="auto"/>
              <w:right w:val="nil"/>
            </w:tcBorders>
            <w:shd w:val="clear" w:color="auto" w:fill="auto"/>
            <w:noWrap/>
            <w:vAlign w:val="center"/>
            <w:hideMark/>
          </w:tcPr>
          <w:p w14:paraId="03A074F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2.801</w:t>
            </w:r>
          </w:p>
        </w:tc>
        <w:tc>
          <w:tcPr>
            <w:tcW w:w="326" w:type="pct"/>
            <w:tcBorders>
              <w:top w:val="single" w:sz="4" w:space="0" w:color="auto"/>
              <w:left w:val="nil"/>
              <w:bottom w:val="single" w:sz="4" w:space="0" w:color="auto"/>
              <w:right w:val="nil"/>
            </w:tcBorders>
            <w:shd w:val="clear" w:color="auto" w:fill="auto"/>
            <w:noWrap/>
            <w:vAlign w:val="center"/>
            <w:hideMark/>
          </w:tcPr>
          <w:p w14:paraId="3DB4D15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2.975</w:t>
            </w:r>
          </w:p>
        </w:tc>
        <w:tc>
          <w:tcPr>
            <w:tcW w:w="475" w:type="pct"/>
            <w:tcBorders>
              <w:top w:val="single" w:sz="4" w:space="0" w:color="auto"/>
              <w:left w:val="nil"/>
              <w:bottom w:val="single" w:sz="4" w:space="0" w:color="auto"/>
              <w:right w:val="nil"/>
            </w:tcBorders>
            <w:shd w:val="clear" w:color="auto" w:fill="auto"/>
            <w:noWrap/>
            <w:vAlign w:val="center"/>
            <w:hideMark/>
          </w:tcPr>
          <w:p w14:paraId="5CD0091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2.840</w:t>
            </w:r>
          </w:p>
        </w:tc>
        <w:tc>
          <w:tcPr>
            <w:tcW w:w="697" w:type="pct"/>
            <w:tcBorders>
              <w:top w:val="single" w:sz="4" w:space="0" w:color="auto"/>
              <w:left w:val="nil"/>
              <w:bottom w:val="single" w:sz="4" w:space="0" w:color="auto"/>
              <w:right w:val="nil"/>
            </w:tcBorders>
            <w:shd w:val="clear" w:color="auto" w:fill="auto"/>
            <w:noWrap/>
            <w:vAlign w:val="center"/>
            <w:hideMark/>
          </w:tcPr>
          <w:p w14:paraId="33F9955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3,28</w:t>
            </w:r>
          </w:p>
        </w:tc>
        <w:tc>
          <w:tcPr>
            <w:tcW w:w="681" w:type="pct"/>
            <w:tcBorders>
              <w:top w:val="single" w:sz="4" w:space="0" w:color="auto"/>
              <w:left w:val="nil"/>
              <w:bottom w:val="single" w:sz="4" w:space="0" w:color="auto"/>
              <w:right w:val="nil"/>
            </w:tcBorders>
            <w:shd w:val="clear" w:color="auto" w:fill="auto"/>
            <w:noWrap/>
            <w:vAlign w:val="center"/>
            <w:hideMark/>
          </w:tcPr>
          <w:p w14:paraId="08E215B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1,66</w:t>
            </w:r>
          </w:p>
        </w:tc>
        <w:tc>
          <w:tcPr>
            <w:tcW w:w="793" w:type="pct"/>
            <w:tcBorders>
              <w:top w:val="single" w:sz="4" w:space="0" w:color="auto"/>
              <w:left w:val="nil"/>
              <w:bottom w:val="single" w:sz="4" w:space="0" w:color="auto"/>
              <w:right w:val="nil"/>
            </w:tcBorders>
            <w:shd w:val="clear" w:color="auto" w:fill="auto"/>
            <w:noWrap/>
            <w:vAlign w:val="center"/>
            <w:hideMark/>
          </w:tcPr>
          <w:p w14:paraId="6468371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26.959</w:t>
            </w:r>
          </w:p>
        </w:tc>
      </w:tr>
      <w:tr w:rsidR="006356F1" w:rsidRPr="00822E74" w14:paraId="1647134C"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44D3BD0"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80 </w:t>
            </w:r>
          </w:p>
        </w:tc>
        <w:tc>
          <w:tcPr>
            <w:tcW w:w="366" w:type="pct"/>
            <w:tcBorders>
              <w:top w:val="single" w:sz="4" w:space="0" w:color="auto"/>
              <w:left w:val="nil"/>
              <w:bottom w:val="single" w:sz="4" w:space="0" w:color="auto"/>
              <w:right w:val="nil"/>
            </w:tcBorders>
            <w:shd w:val="clear" w:color="auto" w:fill="auto"/>
            <w:noWrap/>
            <w:vAlign w:val="center"/>
            <w:hideMark/>
          </w:tcPr>
          <w:p w14:paraId="31FC782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1.104</w:t>
            </w:r>
          </w:p>
        </w:tc>
        <w:tc>
          <w:tcPr>
            <w:tcW w:w="368" w:type="pct"/>
            <w:tcBorders>
              <w:top w:val="single" w:sz="4" w:space="0" w:color="auto"/>
              <w:left w:val="nil"/>
              <w:bottom w:val="single" w:sz="4" w:space="0" w:color="auto"/>
              <w:right w:val="nil"/>
            </w:tcBorders>
            <w:shd w:val="clear" w:color="auto" w:fill="auto"/>
            <w:noWrap/>
            <w:vAlign w:val="center"/>
            <w:hideMark/>
          </w:tcPr>
          <w:p w14:paraId="3D9A1EA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730</w:t>
            </w:r>
          </w:p>
        </w:tc>
        <w:tc>
          <w:tcPr>
            <w:tcW w:w="326" w:type="pct"/>
            <w:tcBorders>
              <w:top w:val="single" w:sz="4" w:space="0" w:color="auto"/>
              <w:left w:val="nil"/>
              <w:bottom w:val="single" w:sz="4" w:space="0" w:color="auto"/>
              <w:right w:val="nil"/>
            </w:tcBorders>
            <w:shd w:val="clear" w:color="auto" w:fill="auto"/>
            <w:noWrap/>
            <w:vAlign w:val="center"/>
            <w:hideMark/>
          </w:tcPr>
          <w:p w14:paraId="5C95AB4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807</w:t>
            </w:r>
          </w:p>
        </w:tc>
        <w:tc>
          <w:tcPr>
            <w:tcW w:w="326" w:type="pct"/>
            <w:tcBorders>
              <w:top w:val="single" w:sz="4" w:space="0" w:color="auto"/>
              <w:left w:val="nil"/>
              <w:bottom w:val="single" w:sz="4" w:space="0" w:color="auto"/>
              <w:right w:val="nil"/>
            </w:tcBorders>
            <w:shd w:val="clear" w:color="auto" w:fill="auto"/>
            <w:noWrap/>
            <w:vAlign w:val="center"/>
            <w:hideMark/>
          </w:tcPr>
          <w:p w14:paraId="74D8A3B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857</w:t>
            </w:r>
          </w:p>
        </w:tc>
        <w:tc>
          <w:tcPr>
            <w:tcW w:w="475" w:type="pct"/>
            <w:tcBorders>
              <w:top w:val="single" w:sz="4" w:space="0" w:color="auto"/>
              <w:left w:val="nil"/>
              <w:bottom w:val="single" w:sz="4" w:space="0" w:color="auto"/>
              <w:right w:val="nil"/>
            </w:tcBorders>
            <w:shd w:val="clear" w:color="auto" w:fill="auto"/>
            <w:noWrap/>
            <w:vAlign w:val="center"/>
            <w:hideMark/>
          </w:tcPr>
          <w:p w14:paraId="360ED83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875</w:t>
            </w:r>
          </w:p>
        </w:tc>
        <w:tc>
          <w:tcPr>
            <w:tcW w:w="697" w:type="pct"/>
            <w:tcBorders>
              <w:top w:val="single" w:sz="4" w:space="0" w:color="auto"/>
              <w:left w:val="nil"/>
              <w:bottom w:val="single" w:sz="4" w:space="0" w:color="auto"/>
              <w:right w:val="nil"/>
            </w:tcBorders>
            <w:shd w:val="clear" w:color="auto" w:fill="auto"/>
            <w:noWrap/>
            <w:vAlign w:val="center"/>
            <w:hideMark/>
          </w:tcPr>
          <w:p w14:paraId="728A6DC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1,01</w:t>
            </w:r>
          </w:p>
        </w:tc>
        <w:tc>
          <w:tcPr>
            <w:tcW w:w="681" w:type="pct"/>
            <w:tcBorders>
              <w:top w:val="single" w:sz="4" w:space="0" w:color="auto"/>
              <w:left w:val="nil"/>
              <w:bottom w:val="single" w:sz="4" w:space="0" w:color="auto"/>
              <w:right w:val="nil"/>
            </w:tcBorders>
            <w:shd w:val="clear" w:color="auto" w:fill="auto"/>
            <w:noWrap/>
            <w:vAlign w:val="center"/>
            <w:hideMark/>
          </w:tcPr>
          <w:p w14:paraId="43A17DE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0,50</w:t>
            </w:r>
          </w:p>
        </w:tc>
        <w:tc>
          <w:tcPr>
            <w:tcW w:w="793" w:type="pct"/>
            <w:tcBorders>
              <w:top w:val="single" w:sz="4" w:space="0" w:color="auto"/>
              <w:left w:val="nil"/>
              <w:bottom w:val="single" w:sz="4" w:space="0" w:color="auto"/>
              <w:right w:val="nil"/>
            </w:tcBorders>
            <w:shd w:val="clear" w:color="auto" w:fill="auto"/>
            <w:noWrap/>
            <w:vAlign w:val="center"/>
            <w:hideMark/>
          </w:tcPr>
          <w:p w14:paraId="2567B2E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26.447</w:t>
            </w:r>
          </w:p>
        </w:tc>
      </w:tr>
      <w:tr w:rsidR="006356F1" w:rsidRPr="00822E74" w14:paraId="1E9E78FC"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3FBC1A1C"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81 </w:t>
            </w:r>
          </w:p>
        </w:tc>
        <w:tc>
          <w:tcPr>
            <w:tcW w:w="366" w:type="pct"/>
            <w:tcBorders>
              <w:top w:val="single" w:sz="4" w:space="0" w:color="auto"/>
              <w:left w:val="nil"/>
              <w:bottom w:val="single" w:sz="4" w:space="0" w:color="auto"/>
              <w:right w:val="nil"/>
            </w:tcBorders>
            <w:shd w:val="clear" w:color="auto" w:fill="auto"/>
            <w:noWrap/>
            <w:vAlign w:val="center"/>
            <w:hideMark/>
          </w:tcPr>
          <w:p w14:paraId="2E42734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767</w:t>
            </w:r>
          </w:p>
        </w:tc>
        <w:tc>
          <w:tcPr>
            <w:tcW w:w="368" w:type="pct"/>
            <w:tcBorders>
              <w:top w:val="single" w:sz="4" w:space="0" w:color="auto"/>
              <w:left w:val="nil"/>
              <w:bottom w:val="single" w:sz="4" w:space="0" w:color="auto"/>
              <w:right w:val="nil"/>
            </w:tcBorders>
            <w:shd w:val="clear" w:color="auto" w:fill="auto"/>
            <w:noWrap/>
            <w:vAlign w:val="center"/>
            <w:hideMark/>
          </w:tcPr>
          <w:p w14:paraId="464DFD4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689</w:t>
            </w:r>
          </w:p>
        </w:tc>
        <w:tc>
          <w:tcPr>
            <w:tcW w:w="326" w:type="pct"/>
            <w:tcBorders>
              <w:top w:val="single" w:sz="4" w:space="0" w:color="auto"/>
              <w:left w:val="nil"/>
              <w:bottom w:val="single" w:sz="4" w:space="0" w:color="auto"/>
              <w:right w:val="nil"/>
            </w:tcBorders>
            <w:shd w:val="clear" w:color="auto" w:fill="auto"/>
            <w:noWrap/>
            <w:vAlign w:val="center"/>
            <w:hideMark/>
          </w:tcPr>
          <w:p w14:paraId="38F98DD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699</w:t>
            </w:r>
          </w:p>
        </w:tc>
        <w:tc>
          <w:tcPr>
            <w:tcW w:w="326" w:type="pct"/>
            <w:tcBorders>
              <w:top w:val="single" w:sz="4" w:space="0" w:color="auto"/>
              <w:left w:val="nil"/>
              <w:bottom w:val="single" w:sz="4" w:space="0" w:color="auto"/>
              <w:right w:val="nil"/>
            </w:tcBorders>
            <w:shd w:val="clear" w:color="auto" w:fill="auto"/>
            <w:noWrap/>
            <w:vAlign w:val="center"/>
            <w:hideMark/>
          </w:tcPr>
          <w:p w14:paraId="58C43CA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757</w:t>
            </w:r>
          </w:p>
        </w:tc>
        <w:tc>
          <w:tcPr>
            <w:tcW w:w="475" w:type="pct"/>
            <w:tcBorders>
              <w:top w:val="single" w:sz="4" w:space="0" w:color="auto"/>
              <w:left w:val="nil"/>
              <w:bottom w:val="single" w:sz="4" w:space="0" w:color="auto"/>
              <w:right w:val="nil"/>
            </w:tcBorders>
            <w:shd w:val="clear" w:color="auto" w:fill="auto"/>
            <w:noWrap/>
            <w:vAlign w:val="center"/>
            <w:hideMark/>
          </w:tcPr>
          <w:p w14:paraId="7B58166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728</w:t>
            </w:r>
          </w:p>
        </w:tc>
        <w:tc>
          <w:tcPr>
            <w:tcW w:w="697" w:type="pct"/>
            <w:tcBorders>
              <w:top w:val="single" w:sz="4" w:space="0" w:color="auto"/>
              <w:left w:val="nil"/>
              <w:bottom w:val="single" w:sz="4" w:space="0" w:color="auto"/>
              <w:right w:val="nil"/>
            </w:tcBorders>
            <w:shd w:val="clear" w:color="auto" w:fill="auto"/>
            <w:noWrap/>
            <w:vAlign w:val="center"/>
            <w:hideMark/>
          </w:tcPr>
          <w:p w14:paraId="7D5F722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0,84</w:t>
            </w:r>
          </w:p>
        </w:tc>
        <w:tc>
          <w:tcPr>
            <w:tcW w:w="681" w:type="pct"/>
            <w:tcBorders>
              <w:top w:val="single" w:sz="4" w:space="0" w:color="auto"/>
              <w:left w:val="nil"/>
              <w:bottom w:val="single" w:sz="4" w:space="0" w:color="auto"/>
              <w:right w:val="nil"/>
            </w:tcBorders>
            <w:shd w:val="clear" w:color="auto" w:fill="auto"/>
            <w:noWrap/>
            <w:vAlign w:val="center"/>
            <w:hideMark/>
          </w:tcPr>
          <w:p w14:paraId="51AB708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0,38</w:t>
            </w:r>
          </w:p>
        </w:tc>
        <w:tc>
          <w:tcPr>
            <w:tcW w:w="793" w:type="pct"/>
            <w:tcBorders>
              <w:top w:val="single" w:sz="4" w:space="0" w:color="auto"/>
              <w:left w:val="nil"/>
              <w:bottom w:val="single" w:sz="4" w:space="0" w:color="auto"/>
              <w:right w:val="nil"/>
            </w:tcBorders>
            <w:shd w:val="clear" w:color="auto" w:fill="auto"/>
            <w:noWrap/>
            <w:vAlign w:val="center"/>
            <w:hideMark/>
          </w:tcPr>
          <w:p w14:paraId="3908B89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23.937</w:t>
            </w:r>
          </w:p>
        </w:tc>
      </w:tr>
      <w:tr w:rsidR="006356F1" w:rsidRPr="00822E74" w14:paraId="51E1AD5A"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40942640"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82 </w:t>
            </w:r>
          </w:p>
        </w:tc>
        <w:tc>
          <w:tcPr>
            <w:tcW w:w="366" w:type="pct"/>
            <w:tcBorders>
              <w:top w:val="single" w:sz="4" w:space="0" w:color="auto"/>
              <w:left w:val="nil"/>
              <w:bottom w:val="single" w:sz="4" w:space="0" w:color="auto"/>
              <w:right w:val="nil"/>
            </w:tcBorders>
            <w:shd w:val="clear" w:color="auto" w:fill="auto"/>
            <w:noWrap/>
            <w:vAlign w:val="center"/>
            <w:hideMark/>
          </w:tcPr>
          <w:p w14:paraId="0E8C42C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589</w:t>
            </w:r>
          </w:p>
        </w:tc>
        <w:tc>
          <w:tcPr>
            <w:tcW w:w="368" w:type="pct"/>
            <w:tcBorders>
              <w:top w:val="single" w:sz="4" w:space="0" w:color="auto"/>
              <w:left w:val="nil"/>
              <w:bottom w:val="single" w:sz="4" w:space="0" w:color="auto"/>
              <w:right w:val="nil"/>
            </w:tcBorders>
            <w:shd w:val="clear" w:color="auto" w:fill="auto"/>
            <w:noWrap/>
            <w:vAlign w:val="center"/>
            <w:hideMark/>
          </w:tcPr>
          <w:p w14:paraId="35EA00B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552</w:t>
            </w:r>
          </w:p>
        </w:tc>
        <w:tc>
          <w:tcPr>
            <w:tcW w:w="326" w:type="pct"/>
            <w:tcBorders>
              <w:top w:val="single" w:sz="4" w:space="0" w:color="auto"/>
              <w:left w:val="nil"/>
              <w:bottom w:val="single" w:sz="4" w:space="0" w:color="auto"/>
              <w:right w:val="nil"/>
            </w:tcBorders>
            <w:shd w:val="clear" w:color="auto" w:fill="auto"/>
            <w:noWrap/>
            <w:vAlign w:val="center"/>
            <w:hideMark/>
          </w:tcPr>
          <w:p w14:paraId="6D29559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554</w:t>
            </w:r>
          </w:p>
        </w:tc>
        <w:tc>
          <w:tcPr>
            <w:tcW w:w="326" w:type="pct"/>
            <w:tcBorders>
              <w:top w:val="single" w:sz="4" w:space="0" w:color="auto"/>
              <w:left w:val="nil"/>
              <w:bottom w:val="single" w:sz="4" w:space="0" w:color="auto"/>
              <w:right w:val="nil"/>
            </w:tcBorders>
            <w:shd w:val="clear" w:color="auto" w:fill="auto"/>
            <w:noWrap/>
            <w:vAlign w:val="center"/>
            <w:hideMark/>
          </w:tcPr>
          <w:p w14:paraId="65C4C8F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562</w:t>
            </w:r>
          </w:p>
        </w:tc>
        <w:tc>
          <w:tcPr>
            <w:tcW w:w="475" w:type="pct"/>
            <w:tcBorders>
              <w:top w:val="single" w:sz="4" w:space="0" w:color="auto"/>
              <w:left w:val="nil"/>
              <w:bottom w:val="single" w:sz="4" w:space="0" w:color="auto"/>
              <w:right w:val="nil"/>
            </w:tcBorders>
            <w:shd w:val="clear" w:color="auto" w:fill="auto"/>
            <w:noWrap/>
            <w:vAlign w:val="center"/>
            <w:hideMark/>
          </w:tcPr>
          <w:p w14:paraId="495F4AA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564</w:t>
            </w:r>
          </w:p>
        </w:tc>
        <w:tc>
          <w:tcPr>
            <w:tcW w:w="697" w:type="pct"/>
            <w:tcBorders>
              <w:top w:val="single" w:sz="4" w:space="0" w:color="auto"/>
              <w:left w:val="nil"/>
              <w:bottom w:val="single" w:sz="4" w:space="0" w:color="auto"/>
              <w:right w:val="nil"/>
            </w:tcBorders>
            <w:shd w:val="clear" w:color="auto" w:fill="auto"/>
            <w:noWrap/>
            <w:vAlign w:val="center"/>
            <w:hideMark/>
          </w:tcPr>
          <w:p w14:paraId="67BEEF9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0,65</w:t>
            </w:r>
          </w:p>
        </w:tc>
        <w:tc>
          <w:tcPr>
            <w:tcW w:w="681" w:type="pct"/>
            <w:tcBorders>
              <w:top w:val="single" w:sz="4" w:space="0" w:color="auto"/>
              <w:left w:val="nil"/>
              <w:bottom w:val="single" w:sz="4" w:space="0" w:color="auto"/>
              <w:right w:val="nil"/>
            </w:tcBorders>
            <w:shd w:val="clear" w:color="auto" w:fill="auto"/>
            <w:noWrap/>
            <w:vAlign w:val="center"/>
            <w:hideMark/>
          </w:tcPr>
          <w:p w14:paraId="22FA12F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0,28</w:t>
            </w:r>
          </w:p>
        </w:tc>
        <w:tc>
          <w:tcPr>
            <w:tcW w:w="793" w:type="pct"/>
            <w:tcBorders>
              <w:top w:val="single" w:sz="4" w:space="0" w:color="auto"/>
              <w:left w:val="nil"/>
              <w:bottom w:val="single" w:sz="4" w:space="0" w:color="auto"/>
              <w:right w:val="nil"/>
            </w:tcBorders>
            <w:shd w:val="clear" w:color="auto" w:fill="auto"/>
            <w:noWrap/>
            <w:vAlign w:val="center"/>
            <w:hideMark/>
          </w:tcPr>
          <w:p w14:paraId="6EB5DCB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23.240</w:t>
            </w:r>
          </w:p>
        </w:tc>
      </w:tr>
      <w:tr w:rsidR="006356F1" w:rsidRPr="00822E74" w14:paraId="46A97507"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9C4312E"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83 </w:t>
            </w:r>
          </w:p>
        </w:tc>
        <w:tc>
          <w:tcPr>
            <w:tcW w:w="366" w:type="pct"/>
            <w:tcBorders>
              <w:top w:val="single" w:sz="4" w:space="0" w:color="auto"/>
              <w:left w:val="nil"/>
              <w:bottom w:val="single" w:sz="4" w:space="0" w:color="auto"/>
              <w:right w:val="nil"/>
            </w:tcBorders>
            <w:shd w:val="clear" w:color="auto" w:fill="auto"/>
            <w:noWrap/>
            <w:vAlign w:val="center"/>
            <w:hideMark/>
          </w:tcPr>
          <w:p w14:paraId="569FA99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1.771</w:t>
            </w:r>
          </w:p>
        </w:tc>
        <w:tc>
          <w:tcPr>
            <w:tcW w:w="368" w:type="pct"/>
            <w:tcBorders>
              <w:top w:val="single" w:sz="4" w:space="0" w:color="auto"/>
              <w:left w:val="nil"/>
              <w:bottom w:val="single" w:sz="4" w:space="0" w:color="auto"/>
              <w:right w:val="nil"/>
            </w:tcBorders>
            <w:shd w:val="clear" w:color="auto" w:fill="auto"/>
            <w:noWrap/>
            <w:vAlign w:val="center"/>
            <w:hideMark/>
          </w:tcPr>
          <w:p w14:paraId="463A1E0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1.835</w:t>
            </w:r>
          </w:p>
        </w:tc>
        <w:tc>
          <w:tcPr>
            <w:tcW w:w="326" w:type="pct"/>
            <w:tcBorders>
              <w:top w:val="single" w:sz="4" w:space="0" w:color="auto"/>
              <w:left w:val="nil"/>
              <w:bottom w:val="single" w:sz="4" w:space="0" w:color="auto"/>
              <w:right w:val="nil"/>
            </w:tcBorders>
            <w:shd w:val="clear" w:color="auto" w:fill="auto"/>
            <w:noWrap/>
            <w:vAlign w:val="center"/>
            <w:hideMark/>
          </w:tcPr>
          <w:p w14:paraId="3E9F15B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1.852</w:t>
            </w:r>
          </w:p>
        </w:tc>
        <w:tc>
          <w:tcPr>
            <w:tcW w:w="326" w:type="pct"/>
            <w:tcBorders>
              <w:top w:val="single" w:sz="4" w:space="0" w:color="auto"/>
              <w:left w:val="nil"/>
              <w:bottom w:val="single" w:sz="4" w:space="0" w:color="auto"/>
              <w:right w:val="nil"/>
            </w:tcBorders>
            <w:shd w:val="clear" w:color="auto" w:fill="auto"/>
            <w:noWrap/>
            <w:vAlign w:val="center"/>
            <w:hideMark/>
          </w:tcPr>
          <w:p w14:paraId="7811BEA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1.938</w:t>
            </w:r>
          </w:p>
        </w:tc>
        <w:tc>
          <w:tcPr>
            <w:tcW w:w="475" w:type="pct"/>
            <w:tcBorders>
              <w:top w:val="single" w:sz="4" w:space="0" w:color="auto"/>
              <w:left w:val="nil"/>
              <w:bottom w:val="single" w:sz="4" w:space="0" w:color="auto"/>
              <w:right w:val="nil"/>
            </w:tcBorders>
            <w:shd w:val="clear" w:color="auto" w:fill="auto"/>
            <w:noWrap/>
            <w:vAlign w:val="center"/>
            <w:hideMark/>
          </w:tcPr>
          <w:p w14:paraId="5BCC52C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1.849</w:t>
            </w:r>
          </w:p>
        </w:tc>
        <w:tc>
          <w:tcPr>
            <w:tcW w:w="697" w:type="pct"/>
            <w:tcBorders>
              <w:top w:val="single" w:sz="4" w:space="0" w:color="auto"/>
              <w:left w:val="nil"/>
              <w:bottom w:val="single" w:sz="4" w:space="0" w:color="auto"/>
              <w:right w:val="nil"/>
            </w:tcBorders>
            <w:shd w:val="clear" w:color="auto" w:fill="auto"/>
            <w:noWrap/>
            <w:vAlign w:val="center"/>
            <w:hideMark/>
          </w:tcPr>
          <w:p w14:paraId="4890800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2,14</w:t>
            </w:r>
          </w:p>
        </w:tc>
        <w:tc>
          <w:tcPr>
            <w:tcW w:w="681" w:type="pct"/>
            <w:tcBorders>
              <w:top w:val="single" w:sz="4" w:space="0" w:color="auto"/>
              <w:left w:val="nil"/>
              <w:bottom w:val="single" w:sz="4" w:space="0" w:color="auto"/>
              <w:right w:val="nil"/>
            </w:tcBorders>
            <w:shd w:val="clear" w:color="auto" w:fill="auto"/>
            <w:noWrap/>
            <w:vAlign w:val="center"/>
            <w:hideMark/>
          </w:tcPr>
          <w:p w14:paraId="6A8C36F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0,91</w:t>
            </w:r>
          </w:p>
        </w:tc>
        <w:tc>
          <w:tcPr>
            <w:tcW w:w="793" w:type="pct"/>
            <w:tcBorders>
              <w:top w:val="single" w:sz="4" w:space="0" w:color="auto"/>
              <w:left w:val="nil"/>
              <w:bottom w:val="single" w:sz="4" w:space="0" w:color="auto"/>
              <w:right w:val="nil"/>
            </w:tcBorders>
            <w:shd w:val="clear" w:color="auto" w:fill="auto"/>
            <w:noWrap/>
            <w:vAlign w:val="center"/>
            <w:hideMark/>
          </w:tcPr>
          <w:p w14:paraId="2025012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22.654</w:t>
            </w:r>
          </w:p>
        </w:tc>
      </w:tr>
      <w:tr w:rsidR="006356F1" w:rsidRPr="00822E74" w14:paraId="04C7F6A1"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DFB7B29"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84 </w:t>
            </w:r>
          </w:p>
        </w:tc>
        <w:tc>
          <w:tcPr>
            <w:tcW w:w="366" w:type="pct"/>
            <w:tcBorders>
              <w:top w:val="single" w:sz="4" w:space="0" w:color="auto"/>
              <w:left w:val="nil"/>
              <w:bottom w:val="single" w:sz="4" w:space="0" w:color="auto"/>
              <w:right w:val="nil"/>
            </w:tcBorders>
            <w:shd w:val="clear" w:color="auto" w:fill="auto"/>
            <w:noWrap/>
            <w:vAlign w:val="center"/>
            <w:hideMark/>
          </w:tcPr>
          <w:p w14:paraId="63B0CA2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1.766</w:t>
            </w:r>
          </w:p>
        </w:tc>
        <w:tc>
          <w:tcPr>
            <w:tcW w:w="368" w:type="pct"/>
            <w:tcBorders>
              <w:top w:val="single" w:sz="4" w:space="0" w:color="auto"/>
              <w:left w:val="nil"/>
              <w:bottom w:val="single" w:sz="4" w:space="0" w:color="auto"/>
              <w:right w:val="nil"/>
            </w:tcBorders>
            <w:shd w:val="clear" w:color="auto" w:fill="auto"/>
            <w:noWrap/>
            <w:vAlign w:val="center"/>
            <w:hideMark/>
          </w:tcPr>
          <w:p w14:paraId="1047461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1.232</w:t>
            </w:r>
          </w:p>
        </w:tc>
        <w:tc>
          <w:tcPr>
            <w:tcW w:w="326" w:type="pct"/>
            <w:tcBorders>
              <w:top w:val="single" w:sz="4" w:space="0" w:color="auto"/>
              <w:left w:val="nil"/>
              <w:bottom w:val="single" w:sz="4" w:space="0" w:color="auto"/>
              <w:right w:val="nil"/>
            </w:tcBorders>
            <w:shd w:val="clear" w:color="auto" w:fill="auto"/>
            <w:noWrap/>
            <w:vAlign w:val="center"/>
            <w:hideMark/>
          </w:tcPr>
          <w:p w14:paraId="195945C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1.250</w:t>
            </w:r>
          </w:p>
        </w:tc>
        <w:tc>
          <w:tcPr>
            <w:tcW w:w="326" w:type="pct"/>
            <w:tcBorders>
              <w:top w:val="single" w:sz="4" w:space="0" w:color="auto"/>
              <w:left w:val="nil"/>
              <w:bottom w:val="single" w:sz="4" w:space="0" w:color="auto"/>
              <w:right w:val="nil"/>
            </w:tcBorders>
            <w:shd w:val="clear" w:color="auto" w:fill="auto"/>
            <w:noWrap/>
            <w:vAlign w:val="center"/>
            <w:hideMark/>
          </w:tcPr>
          <w:p w14:paraId="10D710E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1.481</w:t>
            </w:r>
          </w:p>
        </w:tc>
        <w:tc>
          <w:tcPr>
            <w:tcW w:w="475" w:type="pct"/>
            <w:tcBorders>
              <w:top w:val="single" w:sz="4" w:space="0" w:color="auto"/>
              <w:left w:val="nil"/>
              <w:bottom w:val="single" w:sz="4" w:space="0" w:color="auto"/>
              <w:right w:val="nil"/>
            </w:tcBorders>
            <w:shd w:val="clear" w:color="auto" w:fill="auto"/>
            <w:noWrap/>
            <w:vAlign w:val="center"/>
            <w:hideMark/>
          </w:tcPr>
          <w:p w14:paraId="25B0427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1.432</w:t>
            </w:r>
          </w:p>
        </w:tc>
        <w:tc>
          <w:tcPr>
            <w:tcW w:w="697" w:type="pct"/>
            <w:tcBorders>
              <w:top w:val="single" w:sz="4" w:space="0" w:color="auto"/>
              <w:left w:val="nil"/>
              <w:bottom w:val="single" w:sz="4" w:space="0" w:color="auto"/>
              <w:right w:val="nil"/>
            </w:tcBorders>
            <w:shd w:val="clear" w:color="auto" w:fill="auto"/>
            <w:noWrap/>
            <w:vAlign w:val="center"/>
            <w:hideMark/>
          </w:tcPr>
          <w:p w14:paraId="75F1985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1,65</w:t>
            </w:r>
          </w:p>
        </w:tc>
        <w:tc>
          <w:tcPr>
            <w:tcW w:w="681" w:type="pct"/>
            <w:tcBorders>
              <w:top w:val="single" w:sz="4" w:space="0" w:color="auto"/>
              <w:left w:val="nil"/>
              <w:bottom w:val="single" w:sz="4" w:space="0" w:color="auto"/>
              <w:right w:val="nil"/>
            </w:tcBorders>
            <w:shd w:val="clear" w:color="auto" w:fill="auto"/>
            <w:noWrap/>
            <w:vAlign w:val="center"/>
            <w:hideMark/>
          </w:tcPr>
          <w:p w14:paraId="506DBFF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0,70</w:t>
            </w:r>
          </w:p>
        </w:tc>
        <w:tc>
          <w:tcPr>
            <w:tcW w:w="793" w:type="pct"/>
            <w:tcBorders>
              <w:top w:val="single" w:sz="4" w:space="0" w:color="auto"/>
              <w:left w:val="nil"/>
              <w:bottom w:val="single" w:sz="4" w:space="0" w:color="auto"/>
              <w:right w:val="nil"/>
            </w:tcBorders>
            <w:shd w:val="clear" w:color="auto" w:fill="auto"/>
            <w:noWrap/>
            <w:vAlign w:val="center"/>
            <w:hideMark/>
          </w:tcPr>
          <w:p w14:paraId="1D69F42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22.585</w:t>
            </w:r>
          </w:p>
        </w:tc>
      </w:tr>
      <w:tr w:rsidR="006356F1" w:rsidRPr="00822E74" w14:paraId="0D4CDEEB"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64D2109"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85 </w:t>
            </w:r>
          </w:p>
        </w:tc>
        <w:tc>
          <w:tcPr>
            <w:tcW w:w="366" w:type="pct"/>
            <w:tcBorders>
              <w:top w:val="single" w:sz="4" w:space="0" w:color="auto"/>
              <w:left w:val="nil"/>
              <w:bottom w:val="single" w:sz="4" w:space="0" w:color="auto"/>
              <w:right w:val="nil"/>
            </w:tcBorders>
            <w:shd w:val="clear" w:color="auto" w:fill="auto"/>
            <w:noWrap/>
            <w:vAlign w:val="center"/>
            <w:hideMark/>
          </w:tcPr>
          <w:p w14:paraId="57F8FFA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1.027</w:t>
            </w:r>
          </w:p>
        </w:tc>
        <w:tc>
          <w:tcPr>
            <w:tcW w:w="368" w:type="pct"/>
            <w:tcBorders>
              <w:top w:val="single" w:sz="4" w:space="0" w:color="auto"/>
              <w:left w:val="nil"/>
              <w:bottom w:val="single" w:sz="4" w:space="0" w:color="auto"/>
              <w:right w:val="nil"/>
            </w:tcBorders>
            <w:shd w:val="clear" w:color="auto" w:fill="auto"/>
            <w:noWrap/>
            <w:vAlign w:val="center"/>
            <w:hideMark/>
          </w:tcPr>
          <w:p w14:paraId="0673A78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1.044</w:t>
            </w:r>
          </w:p>
        </w:tc>
        <w:tc>
          <w:tcPr>
            <w:tcW w:w="326" w:type="pct"/>
            <w:tcBorders>
              <w:top w:val="single" w:sz="4" w:space="0" w:color="auto"/>
              <w:left w:val="nil"/>
              <w:bottom w:val="single" w:sz="4" w:space="0" w:color="auto"/>
              <w:right w:val="nil"/>
            </w:tcBorders>
            <w:shd w:val="clear" w:color="auto" w:fill="auto"/>
            <w:noWrap/>
            <w:vAlign w:val="center"/>
            <w:hideMark/>
          </w:tcPr>
          <w:p w14:paraId="1DEE5F9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942</w:t>
            </w:r>
          </w:p>
        </w:tc>
        <w:tc>
          <w:tcPr>
            <w:tcW w:w="326" w:type="pct"/>
            <w:tcBorders>
              <w:top w:val="single" w:sz="4" w:space="0" w:color="auto"/>
              <w:left w:val="nil"/>
              <w:bottom w:val="single" w:sz="4" w:space="0" w:color="auto"/>
              <w:right w:val="nil"/>
            </w:tcBorders>
            <w:shd w:val="clear" w:color="auto" w:fill="auto"/>
            <w:noWrap/>
            <w:vAlign w:val="center"/>
            <w:hideMark/>
          </w:tcPr>
          <w:p w14:paraId="5CD658F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881</w:t>
            </w:r>
          </w:p>
        </w:tc>
        <w:tc>
          <w:tcPr>
            <w:tcW w:w="475" w:type="pct"/>
            <w:tcBorders>
              <w:top w:val="single" w:sz="4" w:space="0" w:color="auto"/>
              <w:left w:val="nil"/>
              <w:bottom w:val="single" w:sz="4" w:space="0" w:color="auto"/>
              <w:right w:val="nil"/>
            </w:tcBorders>
            <w:shd w:val="clear" w:color="auto" w:fill="auto"/>
            <w:noWrap/>
            <w:vAlign w:val="center"/>
            <w:hideMark/>
          </w:tcPr>
          <w:p w14:paraId="261F89D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974</w:t>
            </w:r>
          </w:p>
        </w:tc>
        <w:tc>
          <w:tcPr>
            <w:tcW w:w="697" w:type="pct"/>
            <w:tcBorders>
              <w:top w:val="single" w:sz="4" w:space="0" w:color="auto"/>
              <w:left w:val="nil"/>
              <w:bottom w:val="single" w:sz="4" w:space="0" w:color="auto"/>
              <w:right w:val="nil"/>
            </w:tcBorders>
            <w:shd w:val="clear" w:color="auto" w:fill="auto"/>
            <w:noWrap/>
            <w:vAlign w:val="center"/>
            <w:hideMark/>
          </w:tcPr>
          <w:p w14:paraId="22F6F67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1,12</w:t>
            </w:r>
          </w:p>
        </w:tc>
        <w:tc>
          <w:tcPr>
            <w:tcW w:w="681" w:type="pct"/>
            <w:tcBorders>
              <w:top w:val="single" w:sz="4" w:space="0" w:color="auto"/>
              <w:left w:val="nil"/>
              <w:bottom w:val="single" w:sz="4" w:space="0" w:color="auto"/>
              <w:right w:val="nil"/>
            </w:tcBorders>
            <w:shd w:val="clear" w:color="auto" w:fill="auto"/>
            <w:noWrap/>
            <w:vAlign w:val="center"/>
            <w:hideMark/>
          </w:tcPr>
          <w:p w14:paraId="7759D70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0,47</w:t>
            </w:r>
          </w:p>
        </w:tc>
        <w:tc>
          <w:tcPr>
            <w:tcW w:w="793" w:type="pct"/>
            <w:tcBorders>
              <w:top w:val="single" w:sz="4" w:space="0" w:color="auto"/>
              <w:left w:val="nil"/>
              <w:bottom w:val="single" w:sz="4" w:space="0" w:color="auto"/>
              <w:right w:val="nil"/>
            </w:tcBorders>
            <w:shd w:val="clear" w:color="auto" w:fill="auto"/>
            <w:noWrap/>
            <w:vAlign w:val="center"/>
            <w:hideMark/>
          </w:tcPr>
          <w:p w14:paraId="4C9BBA7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22.468</w:t>
            </w:r>
          </w:p>
        </w:tc>
      </w:tr>
      <w:tr w:rsidR="006356F1" w:rsidRPr="00822E74" w14:paraId="0289C96D"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9108AA0"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86 </w:t>
            </w:r>
          </w:p>
        </w:tc>
        <w:tc>
          <w:tcPr>
            <w:tcW w:w="366" w:type="pct"/>
            <w:tcBorders>
              <w:top w:val="single" w:sz="4" w:space="0" w:color="auto"/>
              <w:left w:val="nil"/>
              <w:bottom w:val="single" w:sz="4" w:space="0" w:color="auto"/>
              <w:right w:val="nil"/>
            </w:tcBorders>
            <w:shd w:val="clear" w:color="auto" w:fill="auto"/>
            <w:noWrap/>
            <w:vAlign w:val="center"/>
            <w:hideMark/>
          </w:tcPr>
          <w:p w14:paraId="6AA3113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625</w:t>
            </w:r>
          </w:p>
        </w:tc>
        <w:tc>
          <w:tcPr>
            <w:tcW w:w="368" w:type="pct"/>
            <w:tcBorders>
              <w:top w:val="single" w:sz="4" w:space="0" w:color="auto"/>
              <w:left w:val="nil"/>
              <w:bottom w:val="single" w:sz="4" w:space="0" w:color="auto"/>
              <w:right w:val="nil"/>
            </w:tcBorders>
            <w:shd w:val="clear" w:color="auto" w:fill="auto"/>
            <w:noWrap/>
            <w:vAlign w:val="center"/>
            <w:hideMark/>
          </w:tcPr>
          <w:p w14:paraId="0CD9275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661</w:t>
            </w:r>
          </w:p>
        </w:tc>
        <w:tc>
          <w:tcPr>
            <w:tcW w:w="326" w:type="pct"/>
            <w:tcBorders>
              <w:top w:val="single" w:sz="4" w:space="0" w:color="auto"/>
              <w:left w:val="nil"/>
              <w:bottom w:val="single" w:sz="4" w:space="0" w:color="auto"/>
              <w:right w:val="nil"/>
            </w:tcBorders>
            <w:shd w:val="clear" w:color="auto" w:fill="auto"/>
            <w:noWrap/>
            <w:vAlign w:val="center"/>
            <w:hideMark/>
          </w:tcPr>
          <w:p w14:paraId="01C6970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781</w:t>
            </w:r>
          </w:p>
        </w:tc>
        <w:tc>
          <w:tcPr>
            <w:tcW w:w="326" w:type="pct"/>
            <w:tcBorders>
              <w:top w:val="single" w:sz="4" w:space="0" w:color="auto"/>
              <w:left w:val="nil"/>
              <w:bottom w:val="single" w:sz="4" w:space="0" w:color="auto"/>
              <w:right w:val="nil"/>
            </w:tcBorders>
            <w:shd w:val="clear" w:color="auto" w:fill="auto"/>
            <w:noWrap/>
            <w:vAlign w:val="center"/>
            <w:hideMark/>
          </w:tcPr>
          <w:p w14:paraId="3A9C0B3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826</w:t>
            </w:r>
          </w:p>
        </w:tc>
        <w:tc>
          <w:tcPr>
            <w:tcW w:w="475" w:type="pct"/>
            <w:tcBorders>
              <w:top w:val="single" w:sz="4" w:space="0" w:color="auto"/>
              <w:left w:val="nil"/>
              <w:bottom w:val="single" w:sz="4" w:space="0" w:color="auto"/>
              <w:right w:val="nil"/>
            </w:tcBorders>
            <w:shd w:val="clear" w:color="auto" w:fill="auto"/>
            <w:noWrap/>
            <w:vAlign w:val="center"/>
            <w:hideMark/>
          </w:tcPr>
          <w:p w14:paraId="0F67B8A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723</w:t>
            </w:r>
          </w:p>
        </w:tc>
        <w:tc>
          <w:tcPr>
            <w:tcW w:w="697" w:type="pct"/>
            <w:tcBorders>
              <w:top w:val="single" w:sz="4" w:space="0" w:color="auto"/>
              <w:left w:val="nil"/>
              <w:bottom w:val="single" w:sz="4" w:space="0" w:color="auto"/>
              <w:right w:val="nil"/>
            </w:tcBorders>
            <w:shd w:val="clear" w:color="auto" w:fill="auto"/>
            <w:noWrap/>
            <w:vAlign w:val="center"/>
            <w:hideMark/>
          </w:tcPr>
          <w:p w14:paraId="1924479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0,84</w:t>
            </w:r>
          </w:p>
        </w:tc>
        <w:tc>
          <w:tcPr>
            <w:tcW w:w="681" w:type="pct"/>
            <w:tcBorders>
              <w:top w:val="single" w:sz="4" w:space="0" w:color="auto"/>
              <w:left w:val="nil"/>
              <w:bottom w:val="single" w:sz="4" w:space="0" w:color="auto"/>
              <w:right w:val="nil"/>
            </w:tcBorders>
            <w:shd w:val="clear" w:color="auto" w:fill="auto"/>
            <w:noWrap/>
            <w:vAlign w:val="center"/>
            <w:hideMark/>
          </w:tcPr>
          <w:p w14:paraId="1FDC6DE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0,35</w:t>
            </w:r>
          </w:p>
        </w:tc>
        <w:tc>
          <w:tcPr>
            <w:tcW w:w="793" w:type="pct"/>
            <w:tcBorders>
              <w:top w:val="single" w:sz="4" w:space="0" w:color="auto"/>
              <w:left w:val="nil"/>
              <w:bottom w:val="single" w:sz="4" w:space="0" w:color="auto"/>
              <w:right w:val="nil"/>
            </w:tcBorders>
            <w:shd w:val="clear" w:color="auto" w:fill="auto"/>
            <w:noWrap/>
            <w:vAlign w:val="center"/>
            <w:hideMark/>
          </w:tcPr>
          <w:p w14:paraId="6670701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22.419</w:t>
            </w:r>
          </w:p>
        </w:tc>
      </w:tr>
      <w:tr w:rsidR="006356F1" w:rsidRPr="00822E74" w14:paraId="1E3849A4"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7B01199C"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87 </w:t>
            </w:r>
          </w:p>
        </w:tc>
        <w:tc>
          <w:tcPr>
            <w:tcW w:w="366" w:type="pct"/>
            <w:tcBorders>
              <w:top w:val="single" w:sz="4" w:space="0" w:color="auto"/>
              <w:left w:val="nil"/>
              <w:bottom w:val="single" w:sz="4" w:space="0" w:color="auto"/>
              <w:right w:val="nil"/>
            </w:tcBorders>
            <w:shd w:val="clear" w:color="auto" w:fill="auto"/>
            <w:noWrap/>
            <w:vAlign w:val="center"/>
            <w:hideMark/>
          </w:tcPr>
          <w:p w14:paraId="74406CA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1.005</w:t>
            </w:r>
          </w:p>
        </w:tc>
        <w:tc>
          <w:tcPr>
            <w:tcW w:w="368" w:type="pct"/>
            <w:tcBorders>
              <w:top w:val="single" w:sz="4" w:space="0" w:color="auto"/>
              <w:left w:val="nil"/>
              <w:bottom w:val="single" w:sz="4" w:space="0" w:color="auto"/>
              <w:right w:val="nil"/>
            </w:tcBorders>
            <w:shd w:val="clear" w:color="auto" w:fill="auto"/>
            <w:noWrap/>
            <w:vAlign w:val="center"/>
            <w:hideMark/>
          </w:tcPr>
          <w:p w14:paraId="66956B0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794</w:t>
            </w:r>
          </w:p>
        </w:tc>
        <w:tc>
          <w:tcPr>
            <w:tcW w:w="326" w:type="pct"/>
            <w:tcBorders>
              <w:top w:val="single" w:sz="4" w:space="0" w:color="auto"/>
              <w:left w:val="nil"/>
              <w:bottom w:val="single" w:sz="4" w:space="0" w:color="auto"/>
              <w:right w:val="nil"/>
            </w:tcBorders>
            <w:shd w:val="clear" w:color="auto" w:fill="auto"/>
            <w:noWrap/>
            <w:vAlign w:val="center"/>
            <w:hideMark/>
          </w:tcPr>
          <w:p w14:paraId="0D37F17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779</w:t>
            </w:r>
          </w:p>
        </w:tc>
        <w:tc>
          <w:tcPr>
            <w:tcW w:w="326" w:type="pct"/>
            <w:tcBorders>
              <w:top w:val="single" w:sz="4" w:space="0" w:color="auto"/>
              <w:left w:val="nil"/>
              <w:bottom w:val="single" w:sz="4" w:space="0" w:color="auto"/>
              <w:right w:val="nil"/>
            </w:tcBorders>
            <w:shd w:val="clear" w:color="auto" w:fill="auto"/>
            <w:noWrap/>
            <w:vAlign w:val="center"/>
            <w:hideMark/>
          </w:tcPr>
          <w:p w14:paraId="3636463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786</w:t>
            </w:r>
          </w:p>
        </w:tc>
        <w:tc>
          <w:tcPr>
            <w:tcW w:w="475" w:type="pct"/>
            <w:tcBorders>
              <w:top w:val="single" w:sz="4" w:space="0" w:color="auto"/>
              <w:left w:val="nil"/>
              <w:bottom w:val="single" w:sz="4" w:space="0" w:color="auto"/>
              <w:right w:val="nil"/>
            </w:tcBorders>
            <w:shd w:val="clear" w:color="auto" w:fill="auto"/>
            <w:noWrap/>
            <w:vAlign w:val="center"/>
            <w:hideMark/>
          </w:tcPr>
          <w:p w14:paraId="5B31188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841</w:t>
            </w:r>
          </w:p>
        </w:tc>
        <w:tc>
          <w:tcPr>
            <w:tcW w:w="697" w:type="pct"/>
            <w:tcBorders>
              <w:top w:val="single" w:sz="4" w:space="0" w:color="auto"/>
              <w:left w:val="nil"/>
              <w:bottom w:val="single" w:sz="4" w:space="0" w:color="auto"/>
              <w:right w:val="nil"/>
            </w:tcBorders>
            <w:shd w:val="clear" w:color="auto" w:fill="auto"/>
            <w:noWrap/>
            <w:vAlign w:val="center"/>
            <w:hideMark/>
          </w:tcPr>
          <w:p w14:paraId="0586DDB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0,97</w:t>
            </w:r>
          </w:p>
        </w:tc>
        <w:tc>
          <w:tcPr>
            <w:tcW w:w="681" w:type="pct"/>
            <w:tcBorders>
              <w:top w:val="single" w:sz="4" w:space="0" w:color="auto"/>
              <w:left w:val="nil"/>
              <w:bottom w:val="single" w:sz="4" w:space="0" w:color="auto"/>
              <w:right w:val="nil"/>
            </w:tcBorders>
            <w:shd w:val="clear" w:color="auto" w:fill="auto"/>
            <w:noWrap/>
            <w:vAlign w:val="center"/>
            <w:hideMark/>
          </w:tcPr>
          <w:p w14:paraId="21F58EA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0,39</w:t>
            </w:r>
          </w:p>
        </w:tc>
        <w:tc>
          <w:tcPr>
            <w:tcW w:w="793" w:type="pct"/>
            <w:tcBorders>
              <w:top w:val="single" w:sz="4" w:space="0" w:color="auto"/>
              <w:left w:val="nil"/>
              <w:bottom w:val="single" w:sz="4" w:space="0" w:color="auto"/>
              <w:right w:val="nil"/>
            </w:tcBorders>
            <w:shd w:val="clear" w:color="auto" w:fill="auto"/>
            <w:noWrap/>
            <w:vAlign w:val="center"/>
            <w:hideMark/>
          </w:tcPr>
          <w:p w14:paraId="646F55B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21.497</w:t>
            </w:r>
          </w:p>
        </w:tc>
      </w:tr>
      <w:tr w:rsidR="006356F1" w:rsidRPr="00822E74" w14:paraId="77EBDF44"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706DCB3A"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88 </w:t>
            </w:r>
          </w:p>
        </w:tc>
        <w:tc>
          <w:tcPr>
            <w:tcW w:w="366" w:type="pct"/>
            <w:tcBorders>
              <w:top w:val="single" w:sz="4" w:space="0" w:color="auto"/>
              <w:left w:val="nil"/>
              <w:bottom w:val="single" w:sz="4" w:space="0" w:color="auto"/>
              <w:right w:val="nil"/>
            </w:tcBorders>
            <w:shd w:val="clear" w:color="auto" w:fill="auto"/>
            <w:noWrap/>
            <w:vAlign w:val="center"/>
            <w:hideMark/>
          </w:tcPr>
          <w:p w14:paraId="3F1A682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1.089</w:t>
            </w:r>
          </w:p>
        </w:tc>
        <w:tc>
          <w:tcPr>
            <w:tcW w:w="368" w:type="pct"/>
            <w:tcBorders>
              <w:top w:val="single" w:sz="4" w:space="0" w:color="auto"/>
              <w:left w:val="nil"/>
              <w:bottom w:val="single" w:sz="4" w:space="0" w:color="auto"/>
              <w:right w:val="nil"/>
            </w:tcBorders>
            <w:shd w:val="clear" w:color="auto" w:fill="auto"/>
            <w:noWrap/>
            <w:vAlign w:val="center"/>
            <w:hideMark/>
          </w:tcPr>
          <w:p w14:paraId="731B8D2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892</w:t>
            </w:r>
          </w:p>
        </w:tc>
        <w:tc>
          <w:tcPr>
            <w:tcW w:w="326" w:type="pct"/>
            <w:tcBorders>
              <w:top w:val="single" w:sz="4" w:space="0" w:color="auto"/>
              <w:left w:val="nil"/>
              <w:bottom w:val="single" w:sz="4" w:space="0" w:color="auto"/>
              <w:right w:val="nil"/>
            </w:tcBorders>
            <w:shd w:val="clear" w:color="auto" w:fill="auto"/>
            <w:noWrap/>
            <w:vAlign w:val="center"/>
            <w:hideMark/>
          </w:tcPr>
          <w:p w14:paraId="0302958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926</w:t>
            </w:r>
          </w:p>
        </w:tc>
        <w:tc>
          <w:tcPr>
            <w:tcW w:w="326" w:type="pct"/>
            <w:tcBorders>
              <w:top w:val="single" w:sz="4" w:space="0" w:color="auto"/>
              <w:left w:val="nil"/>
              <w:bottom w:val="single" w:sz="4" w:space="0" w:color="auto"/>
              <w:right w:val="nil"/>
            </w:tcBorders>
            <w:shd w:val="clear" w:color="auto" w:fill="auto"/>
            <w:noWrap/>
            <w:vAlign w:val="center"/>
            <w:hideMark/>
          </w:tcPr>
          <w:p w14:paraId="152EB11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799</w:t>
            </w:r>
          </w:p>
        </w:tc>
        <w:tc>
          <w:tcPr>
            <w:tcW w:w="475" w:type="pct"/>
            <w:tcBorders>
              <w:top w:val="single" w:sz="4" w:space="0" w:color="auto"/>
              <w:left w:val="nil"/>
              <w:bottom w:val="single" w:sz="4" w:space="0" w:color="auto"/>
              <w:right w:val="nil"/>
            </w:tcBorders>
            <w:shd w:val="clear" w:color="auto" w:fill="auto"/>
            <w:noWrap/>
            <w:vAlign w:val="center"/>
            <w:hideMark/>
          </w:tcPr>
          <w:p w14:paraId="3B4D55F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927</w:t>
            </w:r>
          </w:p>
        </w:tc>
        <w:tc>
          <w:tcPr>
            <w:tcW w:w="697" w:type="pct"/>
            <w:tcBorders>
              <w:top w:val="single" w:sz="4" w:space="0" w:color="auto"/>
              <w:left w:val="nil"/>
              <w:bottom w:val="single" w:sz="4" w:space="0" w:color="auto"/>
              <w:right w:val="nil"/>
            </w:tcBorders>
            <w:shd w:val="clear" w:color="auto" w:fill="auto"/>
            <w:noWrap/>
            <w:vAlign w:val="center"/>
            <w:hideMark/>
          </w:tcPr>
          <w:p w14:paraId="20E6D61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1,07</w:t>
            </w:r>
          </w:p>
        </w:tc>
        <w:tc>
          <w:tcPr>
            <w:tcW w:w="681" w:type="pct"/>
            <w:tcBorders>
              <w:top w:val="single" w:sz="4" w:space="0" w:color="auto"/>
              <w:left w:val="nil"/>
              <w:bottom w:val="single" w:sz="4" w:space="0" w:color="auto"/>
              <w:right w:val="nil"/>
            </w:tcBorders>
            <w:shd w:val="clear" w:color="auto" w:fill="auto"/>
            <w:noWrap/>
            <w:vAlign w:val="center"/>
            <w:hideMark/>
          </w:tcPr>
          <w:p w14:paraId="52AF2A0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0,43</w:t>
            </w:r>
          </w:p>
        </w:tc>
        <w:tc>
          <w:tcPr>
            <w:tcW w:w="793" w:type="pct"/>
            <w:tcBorders>
              <w:top w:val="single" w:sz="4" w:space="0" w:color="auto"/>
              <w:left w:val="nil"/>
              <w:bottom w:val="single" w:sz="4" w:space="0" w:color="auto"/>
              <w:right w:val="nil"/>
            </w:tcBorders>
            <w:shd w:val="clear" w:color="auto" w:fill="auto"/>
            <w:noWrap/>
            <w:vAlign w:val="center"/>
            <w:hideMark/>
          </w:tcPr>
          <w:p w14:paraId="24EB74C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21.189</w:t>
            </w:r>
          </w:p>
        </w:tc>
      </w:tr>
      <w:tr w:rsidR="006356F1" w:rsidRPr="00822E74" w14:paraId="33A02A06"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EE11FE7"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89 </w:t>
            </w:r>
          </w:p>
        </w:tc>
        <w:tc>
          <w:tcPr>
            <w:tcW w:w="366" w:type="pct"/>
            <w:tcBorders>
              <w:top w:val="single" w:sz="4" w:space="0" w:color="auto"/>
              <w:left w:val="nil"/>
              <w:bottom w:val="single" w:sz="4" w:space="0" w:color="auto"/>
              <w:right w:val="nil"/>
            </w:tcBorders>
            <w:shd w:val="clear" w:color="auto" w:fill="auto"/>
            <w:noWrap/>
            <w:vAlign w:val="center"/>
            <w:hideMark/>
          </w:tcPr>
          <w:p w14:paraId="0D919F7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847</w:t>
            </w:r>
          </w:p>
        </w:tc>
        <w:tc>
          <w:tcPr>
            <w:tcW w:w="368" w:type="pct"/>
            <w:tcBorders>
              <w:top w:val="single" w:sz="4" w:space="0" w:color="auto"/>
              <w:left w:val="nil"/>
              <w:bottom w:val="single" w:sz="4" w:space="0" w:color="auto"/>
              <w:right w:val="nil"/>
            </w:tcBorders>
            <w:shd w:val="clear" w:color="auto" w:fill="auto"/>
            <w:noWrap/>
            <w:vAlign w:val="center"/>
            <w:hideMark/>
          </w:tcPr>
          <w:p w14:paraId="26A0253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852</w:t>
            </w:r>
          </w:p>
        </w:tc>
        <w:tc>
          <w:tcPr>
            <w:tcW w:w="326" w:type="pct"/>
            <w:tcBorders>
              <w:top w:val="single" w:sz="4" w:space="0" w:color="auto"/>
              <w:left w:val="nil"/>
              <w:bottom w:val="single" w:sz="4" w:space="0" w:color="auto"/>
              <w:right w:val="nil"/>
            </w:tcBorders>
            <w:shd w:val="clear" w:color="auto" w:fill="auto"/>
            <w:noWrap/>
            <w:vAlign w:val="center"/>
            <w:hideMark/>
          </w:tcPr>
          <w:p w14:paraId="68C0D8F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844</w:t>
            </w:r>
          </w:p>
        </w:tc>
        <w:tc>
          <w:tcPr>
            <w:tcW w:w="326" w:type="pct"/>
            <w:tcBorders>
              <w:top w:val="single" w:sz="4" w:space="0" w:color="auto"/>
              <w:left w:val="nil"/>
              <w:bottom w:val="single" w:sz="4" w:space="0" w:color="auto"/>
              <w:right w:val="nil"/>
            </w:tcBorders>
            <w:shd w:val="clear" w:color="auto" w:fill="auto"/>
            <w:noWrap/>
            <w:vAlign w:val="center"/>
            <w:hideMark/>
          </w:tcPr>
          <w:p w14:paraId="4951679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971</w:t>
            </w:r>
          </w:p>
        </w:tc>
        <w:tc>
          <w:tcPr>
            <w:tcW w:w="475" w:type="pct"/>
            <w:tcBorders>
              <w:top w:val="single" w:sz="4" w:space="0" w:color="auto"/>
              <w:left w:val="nil"/>
              <w:bottom w:val="single" w:sz="4" w:space="0" w:color="auto"/>
              <w:right w:val="nil"/>
            </w:tcBorders>
            <w:shd w:val="clear" w:color="auto" w:fill="auto"/>
            <w:noWrap/>
            <w:vAlign w:val="center"/>
            <w:hideMark/>
          </w:tcPr>
          <w:p w14:paraId="52FF9AC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879</w:t>
            </w:r>
          </w:p>
        </w:tc>
        <w:tc>
          <w:tcPr>
            <w:tcW w:w="697" w:type="pct"/>
            <w:tcBorders>
              <w:top w:val="single" w:sz="4" w:space="0" w:color="auto"/>
              <w:left w:val="nil"/>
              <w:bottom w:val="single" w:sz="4" w:space="0" w:color="auto"/>
              <w:right w:val="nil"/>
            </w:tcBorders>
            <w:shd w:val="clear" w:color="auto" w:fill="auto"/>
            <w:noWrap/>
            <w:vAlign w:val="center"/>
            <w:hideMark/>
          </w:tcPr>
          <w:p w14:paraId="32E130A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1,01</w:t>
            </w:r>
          </w:p>
        </w:tc>
        <w:tc>
          <w:tcPr>
            <w:tcW w:w="681" w:type="pct"/>
            <w:tcBorders>
              <w:top w:val="single" w:sz="4" w:space="0" w:color="auto"/>
              <w:left w:val="nil"/>
              <w:bottom w:val="single" w:sz="4" w:space="0" w:color="auto"/>
              <w:right w:val="nil"/>
            </w:tcBorders>
            <w:shd w:val="clear" w:color="auto" w:fill="auto"/>
            <w:noWrap/>
            <w:vAlign w:val="center"/>
            <w:hideMark/>
          </w:tcPr>
          <w:p w14:paraId="0414ACF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0,39</w:t>
            </w:r>
          </w:p>
        </w:tc>
        <w:tc>
          <w:tcPr>
            <w:tcW w:w="793" w:type="pct"/>
            <w:tcBorders>
              <w:top w:val="single" w:sz="4" w:space="0" w:color="auto"/>
              <w:left w:val="nil"/>
              <w:bottom w:val="single" w:sz="4" w:space="0" w:color="auto"/>
              <w:right w:val="nil"/>
            </w:tcBorders>
            <w:shd w:val="clear" w:color="auto" w:fill="auto"/>
            <w:noWrap/>
            <w:vAlign w:val="center"/>
            <w:hideMark/>
          </w:tcPr>
          <w:p w14:paraId="283C7D5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20.627</w:t>
            </w:r>
          </w:p>
        </w:tc>
      </w:tr>
      <w:tr w:rsidR="006356F1" w:rsidRPr="00822E74" w14:paraId="019C3FCC"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278F85B"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90 </w:t>
            </w:r>
          </w:p>
        </w:tc>
        <w:tc>
          <w:tcPr>
            <w:tcW w:w="366" w:type="pct"/>
            <w:tcBorders>
              <w:top w:val="single" w:sz="4" w:space="0" w:color="auto"/>
              <w:left w:val="nil"/>
              <w:bottom w:val="single" w:sz="4" w:space="0" w:color="auto"/>
              <w:right w:val="nil"/>
            </w:tcBorders>
            <w:shd w:val="clear" w:color="auto" w:fill="auto"/>
            <w:noWrap/>
            <w:vAlign w:val="center"/>
            <w:hideMark/>
          </w:tcPr>
          <w:p w14:paraId="15DC7C2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1.012</w:t>
            </w:r>
          </w:p>
        </w:tc>
        <w:tc>
          <w:tcPr>
            <w:tcW w:w="368" w:type="pct"/>
            <w:tcBorders>
              <w:top w:val="single" w:sz="4" w:space="0" w:color="auto"/>
              <w:left w:val="nil"/>
              <w:bottom w:val="single" w:sz="4" w:space="0" w:color="auto"/>
              <w:right w:val="nil"/>
            </w:tcBorders>
            <w:shd w:val="clear" w:color="auto" w:fill="auto"/>
            <w:noWrap/>
            <w:vAlign w:val="center"/>
            <w:hideMark/>
          </w:tcPr>
          <w:p w14:paraId="469477E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983</w:t>
            </w:r>
          </w:p>
        </w:tc>
        <w:tc>
          <w:tcPr>
            <w:tcW w:w="326" w:type="pct"/>
            <w:tcBorders>
              <w:top w:val="single" w:sz="4" w:space="0" w:color="auto"/>
              <w:left w:val="nil"/>
              <w:bottom w:val="single" w:sz="4" w:space="0" w:color="auto"/>
              <w:right w:val="nil"/>
            </w:tcBorders>
            <w:shd w:val="clear" w:color="auto" w:fill="auto"/>
            <w:noWrap/>
            <w:vAlign w:val="center"/>
            <w:hideMark/>
          </w:tcPr>
          <w:p w14:paraId="48C8C38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1.025</w:t>
            </w:r>
          </w:p>
        </w:tc>
        <w:tc>
          <w:tcPr>
            <w:tcW w:w="326" w:type="pct"/>
            <w:tcBorders>
              <w:top w:val="single" w:sz="4" w:space="0" w:color="auto"/>
              <w:left w:val="nil"/>
              <w:bottom w:val="single" w:sz="4" w:space="0" w:color="auto"/>
              <w:right w:val="nil"/>
            </w:tcBorders>
            <w:shd w:val="clear" w:color="auto" w:fill="auto"/>
            <w:noWrap/>
            <w:vAlign w:val="center"/>
            <w:hideMark/>
          </w:tcPr>
          <w:p w14:paraId="5902712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1.093</w:t>
            </w:r>
          </w:p>
        </w:tc>
        <w:tc>
          <w:tcPr>
            <w:tcW w:w="475" w:type="pct"/>
            <w:tcBorders>
              <w:top w:val="single" w:sz="4" w:space="0" w:color="auto"/>
              <w:left w:val="nil"/>
              <w:bottom w:val="single" w:sz="4" w:space="0" w:color="auto"/>
              <w:right w:val="nil"/>
            </w:tcBorders>
            <w:shd w:val="clear" w:color="auto" w:fill="auto"/>
            <w:noWrap/>
            <w:vAlign w:val="center"/>
            <w:hideMark/>
          </w:tcPr>
          <w:p w14:paraId="4DBCC8B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1.028</w:t>
            </w:r>
          </w:p>
        </w:tc>
        <w:tc>
          <w:tcPr>
            <w:tcW w:w="697" w:type="pct"/>
            <w:tcBorders>
              <w:top w:val="single" w:sz="4" w:space="0" w:color="auto"/>
              <w:left w:val="nil"/>
              <w:bottom w:val="single" w:sz="4" w:space="0" w:color="auto"/>
              <w:right w:val="nil"/>
            </w:tcBorders>
            <w:shd w:val="clear" w:color="auto" w:fill="auto"/>
            <w:noWrap/>
            <w:vAlign w:val="center"/>
            <w:hideMark/>
          </w:tcPr>
          <w:p w14:paraId="5E6C76C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1,19</w:t>
            </w:r>
          </w:p>
        </w:tc>
        <w:tc>
          <w:tcPr>
            <w:tcW w:w="681" w:type="pct"/>
            <w:tcBorders>
              <w:top w:val="single" w:sz="4" w:space="0" w:color="auto"/>
              <w:left w:val="nil"/>
              <w:bottom w:val="single" w:sz="4" w:space="0" w:color="auto"/>
              <w:right w:val="nil"/>
            </w:tcBorders>
            <w:shd w:val="clear" w:color="auto" w:fill="auto"/>
            <w:noWrap/>
            <w:vAlign w:val="center"/>
            <w:hideMark/>
          </w:tcPr>
          <w:p w14:paraId="0216BFB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0,42</w:t>
            </w:r>
          </w:p>
        </w:tc>
        <w:tc>
          <w:tcPr>
            <w:tcW w:w="793" w:type="pct"/>
            <w:tcBorders>
              <w:top w:val="single" w:sz="4" w:space="0" w:color="auto"/>
              <w:left w:val="nil"/>
              <w:bottom w:val="single" w:sz="4" w:space="0" w:color="auto"/>
              <w:right w:val="nil"/>
            </w:tcBorders>
            <w:shd w:val="clear" w:color="auto" w:fill="auto"/>
            <w:noWrap/>
            <w:vAlign w:val="center"/>
            <w:hideMark/>
          </w:tcPr>
          <w:p w14:paraId="3DC675A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18.873</w:t>
            </w:r>
          </w:p>
        </w:tc>
      </w:tr>
      <w:tr w:rsidR="006356F1" w:rsidRPr="00822E74" w14:paraId="10DA05EF"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2481B19"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91 </w:t>
            </w:r>
          </w:p>
        </w:tc>
        <w:tc>
          <w:tcPr>
            <w:tcW w:w="366" w:type="pct"/>
            <w:tcBorders>
              <w:top w:val="single" w:sz="4" w:space="0" w:color="auto"/>
              <w:left w:val="nil"/>
              <w:bottom w:val="single" w:sz="4" w:space="0" w:color="auto"/>
              <w:right w:val="nil"/>
            </w:tcBorders>
            <w:shd w:val="clear" w:color="auto" w:fill="auto"/>
            <w:noWrap/>
            <w:vAlign w:val="center"/>
            <w:hideMark/>
          </w:tcPr>
          <w:p w14:paraId="03446B7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918</w:t>
            </w:r>
          </w:p>
        </w:tc>
        <w:tc>
          <w:tcPr>
            <w:tcW w:w="368" w:type="pct"/>
            <w:tcBorders>
              <w:top w:val="single" w:sz="4" w:space="0" w:color="auto"/>
              <w:left w:val="nil"/>
              <w:bottom w:val="single" w:sz="4" w:space="0" w:color="auto"/>
              <w:right w:val="nil"/>
            </w:tcBorders>
            <w:shd w:val="clear" w:color="auto" w:fill="auto"/>
            <w:noWrap/>
            <w:vAlign w:val="center"/>
            <w:hideMark/>
          </w:tcPr>
          <w:p w14:paraId="72DABFC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852</w:t>
            </w:r>
          </w:p>
        </w:tc>
        <w:tc>
          <w:tcPr>
            <w:tcW w:w="326" w:type="pct"/>
            <w:tcBorders>
              <w:top w:val="single" w:sz="4" w:space="0" w:color="auto"/>
              <w:left w:val="nil"/>
              <w:bottom w:val="single" w:sz="4" w:space="0" w:color="auto"/>
              <w:right w:val="nil"/>
            </w:tcBorders>
            <w:shd w:val="clear" w:color="auto" w:fill="auto"/>
            <w:noWrap/>
            <w:vAlign w:val="center"/>
            <w:hideMark/>
          </w:tcPr>
          <w:p w14:paraId="4CFC9E3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999</w:t>
            </w:r>
          </w:p>
        </w:tc>
        <w:tc>
          <w:tcPr>
            <w:tcW w:w="326" w:type="pct"/>
            <w:tcBorders>
              <w:top w:val="single" w:sz="4" w:space="0" w:color="auto"/>
              <w:left w:val="nil"/>
              <w:bottom w:val="single" w:sz="4" w:space="0" w:color="auto"/>
              <w:right w:val="nil"/>
            </w:tcBorders>
            <w:shd w:val="clear" w:color="auto" w:fill="auto"/>
            <w:noWrap/>
            <w:vAlign w:val="center"/>
            <w:hideMark/>
          </w:tcPr>
          <w:p w14:paraId="124FBD0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1.030</w:t>
            </w:r>
          </w:p>
        </w:tc>
        <w:tc>
          <w:tcPr>
            <w:tcW w:w="475" w:type="pct"/>
            <w:tcBorders>
              <w:top w:val="single" w:sz="4" w:space="0" w:color="auto"/>
              <w:left w:val="nil"/>
              <w:bottom w:val="single" w:sz="4" w:space="0" w:color="auto"/>
              <w:right w:val="nil"/>
            </w:tcBorders>
            <w:shd w:val="clear" w:color="auto" w:fill="auto"/>
            <w:noWrap/>
            <w:vAlign w:val="center"/>
            <w:hideMark/>
          </w:tcPr>
          <w:p w14:paraId="18130C0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950</w:t>
            </w:r>
          </w:p>
        </w:tc>
        <w:tc>
          <w:tcPr>
            <w:tcW w:w="697" w:type="pct"/>
            <w:tcBorders>
              <w:top w:val="single" w:sz="4" w:space="0" w:color="auto"/>
              <w:left w:val="nil"/>
              <w:bottom w:val="single" w:sz="4" w:space="0" w:color="auto"/>
              <w:right w:val="nil"/>
            </w:tcBorders>
            <w:shd w:val="clear" w:color="auto" w:fill="auto"/>
            <w:noWrap/>
            <w:vAlign w:val="center"/>
            <w:hideMark/>
          </w:tcPr>
          <w:p w14:paraId="2DC176F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1,10</w:t>
            </w:r>
          </w:p>
        </w:tc>
        <w:tc>
          <w:tcPr>
            <w:tcW w:w="681" w:type="pct"/>
            <w:tcBorders>
              <w:top w:val="single" w:sz="4" w:space="0" w:color="auto"/>
              <w:left w:val="nil"/>
              <w:bottom w:val="single" w:sz="4" w:space="0" w:color="auto"/>
              <w:right w:val="nil"/>
            </w:tcBorders>
            <w:shd w:val="clear" w:color="auto" w:fill="auto"/>
            <w:noWrap/>
            <w:vAlign w:val="center"/>
            <w:hideMark/>
          </w:tcPr>
          <w:p w14:paraId="71FE607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0,35</w:t>
            </w:r>
          </w:p>
        </w:tc>
        <w:tc>
          <w:tcPr>
            <w:tcW w:w="793" w:type="pct"/>
            <w:tcBorders>
              <w:top w:val="single" w:sz="4" w:space="0" w:color="auto"/>
              <w:left w:val="nil"/>
              <w:bottom w:val="single" w:sz="4" w:space="0" w:color="auto"/>
              <w:right w:val="nil"/>
            </w:tcBorders>
            <w:shd w:val="clear" w:color="auto" w:fill="auto"/>
            <w:noWrap/>
            <w:vAlign w:val="center"/>
            <w:hideMark/>
          </w:tcPr>
          <w:p w14:paraId="46C8651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16.948</w:t>
            </w:r>
          </w:p>
        </w:tc>
      </w:tr>
      <w:tr w:rsidR="006356F1" w:rsidRPr="00822E74" w14:paraId="73D5F0D0"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722639D"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92 </w:t>
            </w:r>
          </w:p>
        </w:tc>
        <w:tc>
          <w:tcPr>
            <w:tcW w:w="366" w:type="pct"/>
            <w:tcBorders>
              <w:top w:val="single" w:sz="4" w:space="0" w:color="auto"/>
              <w:left w:val="nil"/>
              <w:bottom w:val="single" w:sz="4" w:space="0" w:color="auto"/>
              <w:right w:val="nil"/>
            </w:tcBorders>
            <w:shd w:val="clear" w:color="auto" w:fill="auto"/>
            <w:noWrap/>
            <w:vAlign w:val="center"/>
            <w:hideMark/>
          </w:tcPr>
          <w:p w14:paraId="1D5443F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2.146</w:t>
            </w:r>
          </w:p>
        </w:tc>
        <w:tc>
          <w:tcPr>
            <w:tcW w:w="368" w:type="pct"/>
            <w:tcBorders>
              <w:top w:val="single" w:sz="4" w:space="0" w:color="auto"/>
              <w:left w:val="nil"/>
              <w:bottom w:val="single" w:sz="4" w:space="0" w:color="auto"/>
              <w:right w:val="nil"/>
            </w:tcBorders>
            <w:shd w:val="clear" w:color="auto" w:fill="auto"/>
            <w:noWrap/>
            <w:vAlign w:val="center"/>
            <w:hideMark/>
          </w:tcPr>
          <w:p w14:paraId="44BF607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2.141</w:t>
            </w:r>
          </w:p>
        </w:tc>
        <w:tc>
          <w:tcPr>
            <w:tcW w:w="326" w:type="pct"/>
            <w:tcBorders>
              <w:top w:val="single" w:sz="4" w:space="0" w:color="auto"/>
              <w:left w:val="nil"/>
              <w:bottom w:val="single" w:sz="4" w:space="0" w:color="auto"/>
              <w:right w:val="nil"/>
            </w:tcBorders>
            <w:shd w:val="clear" w:color="auto" w:fill="auto"/>
            <w:noWrap/>
            <w:vAlign w:val="center"/>
            <w:hideMark/>
          </w:tcPr>
          <w:p w14:paraId="7CE3E4D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2.339</w:t>
            </w:r>
          </w:p>
        </w:tc>
        <w:tc>
          <w:tcPr>
            <w:tcW w:w="326" w:type="pct"/>
            <w:tcBorders>
              <w:top w:val="single" w:sz="4" w:space="0" w:color="auto"/>
              <w:left w:val="nil"/>
              <w:bottom w:val="single" w:sz="4" w:space="0" w:color="auto"/>
              <w:right w:val="nil"/>
            </w:tcBorders>
            <w:shd w:val="clear" w:color="auto" w:fill="auto"/>
            <w:noWrap/>
            <w:vAlign w:val="center"/>
            <w:hideMark/>
          </w:tcPr>
          <w:p w14:paraId="4DCE9D0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2.765</w:t>
            </w:r>
          </w:p>
        </w:tc>
        <w:tc>
          <w:tcPr>
            <w:tcW w:w="475" w:type="pct"/>
            <w:tcBorders>
              <w:top w:val="single" w:sz="4" w:space="0" w:color="auto"/>
              <w:left w:val="nil"/>
              <w:bottom w:val="single" w:sz="4" w:space="0" w:color="auto"/>
              <w:right w:val="nil"/>
            </w:tcBorders>
            <w:shd w:val="clear" w:color="auto" w:fill="auto"/>
            <w:noWrap/>
            <w:vAlign w:val="center"/>
            <w:hideMark/>
          </w:tcPr>
          <w:p w14:paraId="0A6B649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2.348</w:t>
            </w:r>
          </w:p>
        </w:tc>
        <w:tc>
          <w:tcPr>
            <w:tcW w:w="697" w:type="pct"/>
            <w:tcBorders>
              <w:top w:val="single" w:sz="4" w:space="0" w:color="auto"/>
              <w:left w:val="nil"/>
              <w:bottom w:val="single" w:sz="4" w:space="0" w:color="auto"/>
              <w:right w:val="nil"/>
            </w:tcBorders>
            <w:shd w:val="clear" w:color="auto" w:fill="auto"/>
            <w:noWrap/>
            <w:vAlign w:val="center"/>
            <w:hideMark/>
          </w:tcPr>
          <w:p w14:paraId="54FE0A0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2,71</w:t>
            </w:r>
          </w:p>
        </w:tc>
        <w:tc>
          <w:tcPr>
            <w:tcW w:w="681" w:type="pct"/>
            <w:tcBorders>
              <w:top w:val="single" w:sz="4" w:space="0" w:color="auto"/>
              <w:left w:val="nil"/>
              <w:bottom w:val="single" w:sz="4" w:space="0" w:color="auto"/>
              <w:right w:val="nil"/>
            </w:tcBorders>
            <w:shd w:val="clear" w:color="auto" w:fill="auto"/>
            <w:noWrap/>
            <w:vAlign w:val="center"/>
            <w:hideMark/>
          </w:tcPr>
          <w:p w14:paraId="30D2C7D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0,83</w:t>
            </w:r>
          </w:p>
        </w:tc>
        <w:tc>
          <w:tcPr>
            <w:tcW w:w="793" w:type="pct"/>
            <w:tcBorders>
              <w:top w:val="single" w:sz="4" w:space="0" w:color="auto"/>
              <w:left w:val="nil"/>
              <w:bottom w:val="single" w:sz="4" w:space="0" w:color="auto"/>
              <w:right w:val="nil"/>
            </w:tcBorders>
            <w:shd w:val="clear" w:color="auto" w:fill="auto"/>
            <w:noWrap/>
            <w:vAlign w:val="center"/>
            <w:hideMark/>
          </w:tcPr>
          <w:p w14:paraId="214875A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16.289</w:t>
            </w:r>
          </w:p>
        </w:tc>
      </w:tr>
      <w:tr w:rsidR="006356F1" w:rsidRPr="00822E74" w14:paraId="59B78E1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71844C67"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93 </w:t>
            </w:r>
          </w:p>
        </w:tc>
        <w:tc>
          <w:tcPr>
            <w:tcW w:w="366" w:type="pct"/>
            <w:tcBorders>
              <w:top w:val="single" w:sz="4" w:space="0" w:color="auto"/>
              <w:left w:val="nil"/>
              <w:bottom w:val="single" w:sz="4" w:space="0" w:color="auto"/>
              <w:right w:val="nil"/>
            </w:tcBorders>
            <w:shd w:val="clear" w:color="auto" w:fill="auto"/>
            <w:noWrap/>
            <w:vAlign w:val="center"/>
            <w:hideMark/>
          </w:tcPr>
          <w:p w14:paraId="7B73FA8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1.717</w:t>
            </w:r>
          </w:p>
        </w:tc>
        <w:tc>
          <w:tcPr>
            <w:tcW w:w="368" w:type="pct"/>
            <w:tcBorders>
              <w:top w:val="single" w:sz="4" w:space="0" w:color="auto"/>
              <w:left w:val="nil"/>
              <w:bottom w:val="single" w:sz="4" w:space="0" w:color="auto"/>
              <w:right w:val="nil"/>
            </w:tcBorders>
            <w:shd w:val="clear" w:color="auto" w:fill="auto"/>
            <w:noWrap/>
            <w:vAlign w:val="center"/>
            <w:hideMark/>
          </w:tcPr>
          <w:p w14:paraId="2B5F41F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1.621</w:t>
            </w:r>
          </w:p>
        </w:tc>
        <w:tc>
          <w:tcPr>
            <w:tcW w:w="326" w:type="pct"/>
            <w:tcBorders>
              <w:top w:val="single" w:sz="4" w:space="0" w:color="auto"/>
              <w:left w:val="nil"/>
              <w:bottom w:val="single" w:sz="4" w:space="0" w:color="auto"/>
              <w:right w:val="nil"/>
            </w:tcBorders>
            <w:shd w:val="clear" w:color="auto" w:fill="auto"/>
            <w:noWrap/>
            <w:vAlign w:val="center"/>
            <w:hideMark/>
          </w:tcPr>
          <w:p w14:paraId="0073A09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1.585</w:t>
            </w:r>
          </w:p>
        </w:tc>
        <w:tc>
          <w:tcPr>
            <w:tcW w:w="326" w:type="pct"/>
            <w:tcBorders>
              <w:top w:val="single" w:sz="4" w:space="0" w:color="auto"/>
              <w:left w:val="nil"/>
              <w:bottom w:val="single" w:sz="4" w:space="0" w:color="auto"/>
              <w:right w:val="nil"/>
            </w:tcBorders>
            <w:shd w:val="clear" w:color="auto" w:fill="auto"/>
            <w:noWrap/>
            <w:vAlign w:val="center"/>
            <w:hideMark/>
          </w:tcPr>
          <w:p w14:paraId="6EE4893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1.563</w:t>
            </w:r>
          </w:p>
        </w:tc>
        <w:tc>
          <w:tcPr>
            <w:tcW w:w="475" w:type="pct"/>
            <w:tcBorders>
              <w:top w:val="single" w:sz="4" w:space="0" w:color="auto"/>
              <w:left w:val="nil"/>
              <w:bottom w:val="single" w:sz="4" w:space="0" w:color="auto"/>
              <w:right w:val="nil"/>
            </w:tcBorders>
            <w:shd w:val="clear" w:color="auto" w:fill="auto"/>
            <w:noWrap/>
            <w:vAlign w:val="center"/>
            <w:hideMark/>
          </w:tcPr>
          <w:p w14:paraId="5071AE7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1.622</w:t>
            </w:r>
          </w:p>
        </w:tc>
        <w:tc>
          <w:tcPr>
            <w:tcW w:w="697" w:type="pct"/>
            <w:tcBorders>
              <w:top w:val="single" w:sz="4" w:space="0" w:color="auto"/>
              <w:left w:val="nil"/>
              <w:bottom w:val="single" w:sz="4" w:space="0" w:color="auto"/>
              <w:right w:val="nil"/>
            </w:tcBorders>
            <w:shd w:val="clear" w:color="auto" w:fill="auto"/>
            <w:noWrap/>
            <w:vAlign w:val="center"/>
            <w:hideMark/>
          </w:tcPr>
          <w:p w14:paraId="343F17B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1,87</w:t>
            </w:r>
          </w:p>
        </w:tc>
        <w:tc>
          <w:tcPr>
            <w:tcW w:w="681" w:type="pct"/>
            <w:tcBorders>
              <w:top w:val="single" w:sz="4" w:space="0" w:color="auto"/>
              <w:left w:val="nil"/>
              <w:bottom w:val="single" w:sz="4" w:space="0" w:color="auto"/>
              <w:right w:val="nil"/>
            </w:tcBorders>
            <w:shd w:val="clear" w:color="auto" w:fill="auto"/>
            <w:noWrap/>
            <w:vAlign w:val="center"/>
            <w:hideMark/>
          </w:tcPr>
          <w:p w14:paraId="737DDDC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0,52</w:t>
            </w:r>
          </w:p>
        </w:tc>
        <w:tc>
          <w:tcPr>
            <w:tcW w:w="793" w:type="pct"/>
            <w:tcBorders>
              <w:top w:val="single" w:sz="4" w:space="0" w:color="auto"/>
              <w:left w:val="nil"/>
              <w:bottom w:val="single" w:sz="4" w:space="0" w:color="auto"/>
              <w:right w:val="nil"/>
            </w:tcBorders>
            <w:shd w:val="clear" w:color="auto" w:fill="auto"/>
            <w:noWrap/>
            <w:vAlign w:val="center"/>
            <w:hideMark/>
          </w:tcPr>
          <w:p w14:paraId="3EB2501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14.852</w:t>
            </w:r>
          </w:p>
        </w:tc>
      </w:tr>
      <w:tr w:rsidR="006356F1" w:rsidRPr="00822E74" w14:paraId="77B0CC5B"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71D325B4"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94 </w:t>
            </w:r>
          </w:p>
        </w:tc>
        <w:tc>
          <w:tcPr>
            <w:tcW w:w="366" w:type="pct"/>
            <w:tcBorders>
              <w:top w:val="single" w:sz="4" w:space="0" w:color="auto"/>
              <w:left w:val="nil"/>
              <w:bottom w:val="single" w:sz="4" w:space="0" w:color="auto"/>
              <w:right w:val="nil"/>
            </w:tcBorders>
            <w:shd w:val="clear" w:color="auto" w:fill="auto"/>
            <w:noWrap/>
            <w:vAlign w:val="center"/>
            <w:hideMark/>
          </w:tcPr>
          <w:p w14:paraId="4C5A555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1.897</w:t>
            </w:r>
          </w:p>
        </w:tc>
        <w:tc>
          <w:tcPr>
            <w:tcW w:w="368" w:type="pct"/>
            <w:tcBorders>
              <w:top w:val="single" w:sz="4" w:space="0" w:color="auto"/>
              <w:left w:val="nil"/>
              <w:bottom w:val="single" w:sz="4" w:space="0" w:color="auto"/>
              <w:right w:val="nil"/>
            </w:tcBorders>
            <w:shd w:val="clear" w:color="auto" w:fill="auto"/>
            <w:noWrap/>
            <w:vAlign w:val="center"/>
            <w:hideMark/>
          </w:tcPr>
          <w:p w14:paraId="4087BFB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2.009</w:t>
            </w:r>
          </w:p>
        </w:tc>
        <w:tc>
          <w:tcPr>
            <w:tcW w:w="326" w:type="pct"/>
            <w:tcBorders>
              <w:top w:val="single" w:sz="4" w:space="0" w:color="auto"/>
              <w:left w:val="nil"/>
              <w:bottom w:val="single" w:sz="4" w:space="0" w:color="auto"/>
              <w:right w:val="nil"/>
            </w:tcBorders>
            <w:shd w:val="clear" w:color="auto" w:fill="auto"/>
            <w:noWrap/>
            <w:vAlign w:val="center"/>
            <w:hideMark/>
          </w:tcPr>
          <w:p w14:paraId="32D1DD2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1.752</w:t>
            </w:r>
          </w:p>
        </w:tc>
        <w:tc>
          <w:tcPr>
            <w:tcW w:w="326" w:type="pct"/>
            <w:tcBorders>
              <w:top w:val="single" w:sz="4" w:space="0" w:color="auto"/>
              <w:left w:val="nil"/>
              <w:bottom w:val="single" w:sz="4" w:space="0" w:color="auto"/>
              <w:right w:val="nil"/>
            </w:tcBorders>
            <w:shd w:val="clear" w:color="auto" w:fill="auto"/>
            <w:noWrap/>
            <w:vAlign w:val="center"/>
            <w:hideMark/>
          </w:tcPr>
          <w:p w14:paraId="381D80E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1.925</w:t>
            </w:r>
          </w:p>
        </w:tc>
        <w:tc>
          <w:tcPr>
            <w:tcW w:w="475" w:type="pct"/>
            <w:tcBorders>
              <w:top w:val="single" w:sz="4" w:space="0" w:color="auto"/>
              <w:left w:val="nil"/>
              <w:bottom w:val="single" w:sz="4" w:space="0" w:color="auto"/>
              <w:right w:val="nil"/>
            </w:tcBorders>
            <w:shd w:val="clear" w:color="auto" w:fill="auto"/>
            <w:noWrap/>
            <w:vAlign w:val="center"/>
            <w:hideMark/>
          </w:tcPr>
          <w:p w14:paraId="5EE5E03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1.896</w:t>
            </w:r>
          </w:p>
        </w:tc>
        <w:tc>
          <w:tcPr>
            <w:tcW w:w="697" w:type="pct"/>
            <w:tcBorders>
              <w:top w:val="single" w:sz="4" w:space="0" w:color="auto"/>
              <w:left w:val="nil"/>
              <w:bottom w:val="single" w:sz="4" w:space="0" w:color="auto"/>
              <w:right w:val="nil"/>
            </w:tcBorders>
            <w:shd w:val="clear" w:color="auto" w:fill="auto"/>
            <w:noWrap/>
            <w:vAlign w:val="center"/>
            <w:hideMark/>
          </w:tcPr>
          <w:p w14:paraId="33D6E1A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2,19</w:t>
            </w:r>
          </w:p>
        </w:tc>
        <w:tc>
          <w:tcPr>
            <w:tcW w:w="681" w:type="pct"/>
            <w:tcBorders>
              <w:top w:val="single" w:sz="4" w:space="0" w:color="auto"/>
              <w:left w:val="nil"/>
              <w:bottom w:val="single" w:sz="4" w:space="0" w:color="auto"/>
              <w:right w:val="nil"/>
            </w:tcBorders>
            <w:shd w:val="clear" w:color="auto" w:fill="auto"/>
            <w:noWrap/>
            <w:vAlign w:val="center"/>
            <w:hideMark/>
          </w:tcPr>
          <w:p w14:paraId="559C082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0,60</w:t>
            </w:r>
          </w:p>
        </w:tc>
        <w:tc>
          <w:tcPr>
            <w:tcW w:w="793" w:type="pct"/>
            <w:tcBorders>
              <w:top w:val="single" w:sz="4" w:space="0" w:color="auto"/>
              <w:left w:val="nil"/>
              <w:bottom w:val="single" w:sz="4" w:space="0" w:color="auto"/>
              <w:right w:val="nil"/>
            </w:tcBorders>
            <w:shd w:val="clear" w:color="auto" w:fill="auto"/>
            <w:noWrap/>
            <w:vAlign w:val="center"/>
            <w:hideMark/>
          </w:tcPr>
          <w:p w14:paraId="5DF0BDD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14.566</w:t>
            </w:r>
          </w:p>
        </w:tc>
      </w:tr>
      <w:tr w:rsidR="006356F1" w:rsidRPr="00822E74" w14:paraId="1B1F434E"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549CAFAD"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95 </w:t>
            </w:r>
          </w:p>
        </w:tc>
        <w:tc>
          <w:tcPr>
            <w:tcW w:w="366" w:type="pct"/>
            <w:tcBorders>
              <w:top w:val="single" w:sz="4" w:space="0" w:color="auto"/>
              <w:left w:val="nil"/>
              <w:bottom w:val="single" w:sz="4" w:space="0" w:color="auto"/>
              <w:right w:val="nil"/>
            </w:tcBorders>
            <w:shd w:val="clear" w:color="auto" w:fill="auto"/>
            <w:noWrap/>
            <w:vAlign w:val="center"/>
            <w:hideMark/>
          </w:tcPr>
          <w:p w14:paraId="1A0C59F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3.517</w:t>
            </w:r>
          </w:p>
        </w:tc>
        <w:tc>
          <w:tcPr>
            <w:tcW w:w="368" w:type="pct"/>
            <w:tcBorders>
              <w:top w:val="single" w:sz="4" w:space="0" w:color="auto"/>
              <w:left w:val="nil"/>
              <w:bottom w:val="single" w:sz="4" w:space="0" w:color="auto"/>
              <w:right w:val="nil"/>
            </w:tcBorders>
            <w:shd w:val="clear" w:color="auto" w:fill="auto"/>
            <w:noWrap/>
            <w:vAlign w:val="center"/>
            <w:hideMark/>
          </w:tcPr>
          <w:p w14:paraId="66E5061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3.241</w:t>
            </w:r>
          </w:p>
        </w:tc>
        <w:tc>
          <w:tcPr>
            <w:tcW w:w="326" w:type="pct"/>
            <w:tcBorders>
              <w:top w:val="single" w:sz="4" w:space="0" w:color="auto"/>
              <w:left w:val="nil"/>
              <w:bottom w:val="single" w:sz="4" w:space="0" w:color="auto"/>
              <w:right w:val="nil"/>
            </w:tcBorders>
            <w:shd w:val="clear" w:color="auto" w:fill="auto"/>
            <w:noWrap/>
            <w:vAlign w:val="center"/>
            <w:hideMark/>
          </w:tcPr>
          <w:p w14:paraId="7B278F9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3.369</w:t>
            </w:r>
          </w:p>
        </w:tc>
        <w:tc>
          <w:tcPr>
            <w:tcW w:w="326" w:type="pct"/>
            <w:tcBorders>
              <w:top w:val="single" w:sz="4" w:space="0" w:color="auto"/>
              <w:left w:val="nil"/>
              <w:bottom w:val="single" w:sz="4" w:space="0" w:color="auto"/>
              <w:right w:val="nil"/>
            </w:tcBorders>
            <w:shd w:val="clear" w:color="auto" w:fill="auto"/>
            <w:noWrap/>
            <w:vAlign w:val="center"/>
            <w:hideMark/>
          </w:tcPr>
          <w:p w14:paraId="37BDBCD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3.251</w:t>
            </w:r>
          </w:p>
        </w:tc>
        <w:tc>
          <w:tcPr>
            <w:tcW w:w="475" w:type="pct"/>
            <w:tcBorders>
              <w:top w:val="single" w:sz="4" w:space="0" w:color="auto"/>
              <w:left w:val="nil"/>
              <w:bottom w:val="single" w:sz="4" w:space="0" w:color="auto"/>
              <w:right w:val="nil"/>
            </w:tcBorders>
            <w:shd w:val="clear" w:color="auto" w:fill="auto"/>
            <w:noWrap/>
            <w:vAlign w:val="center"/>
            <w:hideMark/>
          </w:tcPr>
          <w:p w14:paraId="0502B4D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3.345</w:t>
            </w:r>
          </w:p>
        </w:tc>
        <w:tc>
          <w:tcPr>
            <w:tcW w:w="697" w:type="pct"/>
            <w:tcBorders>
              <w:top w:val="single" w:sz="4" w:space="0" w:color="auto"/>
              <w:left w:val="nil"/>
              <w:bottom w:val="single" w:sz="4" w:space="0" w:color="auto"/>
              <w:right w:val="nil"/>
            </w:tcBorders>
            <w:shd w:val="clear" w:color="auto" w:fill="auto"/>
            <w:noWrap/>
            <w:vAlign w:val="center"/>
            <w:hideMark/>
          </w:tcPr>
          <w:p w14:paraId="53E1489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3,86</w:t>
            </w:r>
          </w:p>
        </w:tc>
        <w:tc>
          <w:tcPr>
            <w:tcW w:w="681" w:type="pct"/>
            <w:tcBorders>
              <w:top w:val="single" w:sz="4" w:space="0" w:color="auto"/>
              <w:left w:val="nil"/>
              <w:bottom w:val="single" w:sz="4" w:space="0" w:color="auto"/>
              <w:right w:val="nil"/>
            </w:tcBorders>
            <w:shd w:val="clear" w:color="auto" w:fill="auto"/>
            <w:noWrap/>
            <w:vAlign w:val="center"/>
            <w:hideMark/>
          </w:tcPr>
          <w:p w14:paraId="04A9CB0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0,95</w:t>
            </w:r>
          </w:p>
        </w:tc>
        <w:tc>
          <w:tcPr>
            <w:tcW w:w="793" w:type="pct"/>
            <w:tcBorders>
              <w:top w:val="single" w:sz="4" w:space="0" w:color="auto"/>
              <w:left w:val="nil"/>
              <w:bottom w:val="single" w:sz="4" w:space="0" w:color="auto"/>
              <w:right w:val="nil"/>
            </w:tcBorders>
            <w:shd w:val="clear" w:color="auto" w:fill="auto"/>
            <w:noWrap/>
            <w:vAlign w:val="center"/>
            <w:hideMark/>
          </w:tcPr>
          <w:p w14:paraId="00DF8C8A"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13.072</w:t>
            </w:r>
          </w:p>
        </w:tc>
      </w:tr>
      <w:tr w:rsidR="006356F1" w:rsidRPr="00822E74" w14:paraId="390E1A34"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1965D185"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96 </w:t>
            </w:r>
          </w:p>
        </w:tc>
        <w:tc>
          <w:tcPr>
            <w:tcW w:w="366" w:type="pct"/>
            <w:tcBorders>
              <w:top w:val="single" w:sz="4" w:space="0" w:color="auto"/>
              <w:left w:val="nil"/>
              <w:bottom w:val="single" w:sz="4" w:space="0" w:color="auto"/>
              <w:right w:val="nil"/>
            </w:tcBorders>
            <w:shd w:val="clear" w:color="auto" w:fill="auto"/>
            <w:noWrap/>
            <w:vAlign w:val="center"/>
            <w:hideMark/>
          </w:tcPr>
          <w:p w14:paraId="7223938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1.611</w:t>
            </w:r>
          </w:p>
        </w:tc>
        <w:tc>
          <w:tcPr>
            <w:tcW w:w="368" w:type="pct"/>
            <w:tcBorders>
              <w:top w:val="single" w:sz="4" w:space="0" w:color="auto"/>
              <w:left w:val="nil"/>
              <w:bottom w:val="single" w:sz="4" w:space="0" w:color="auto"/>
              <w:right w:val="nil"/>
            </w:tcBorders>
            <w:shd w:val="clear" w:color="auto" w:fill="auto"/>
            <w:noWrap/>
            <w:vAlign w:val="center"/>
            <w:hideMark/>
          </w:tcPr>
          <w:p w14:paraId="59E05B3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1.794</w:t>
            </w:r>
          </w:p>
        </w:tc>
        <w:tc>
          <w:tcPr>
            <w:tcW w:w="326" w:type="pct"/>
            <w:tcBorders>
              <w:top w:val="single" w:sz="4" w:space="0" w:color="auto"/>
              <w:left w:val="nil"/>
              <w:bottom w:val="single" w:sz="4" w:space="0" w:color="auto"/>
              <w:right w:val="nil"/>
            </w:tcBorders>
            <w:shd w:val="clear" w:color="auto" w:fill="auto"/>
            <w:noWrap/>
            <w:vAlign w:val="center"/>
            <w:hideMark/>
          </w:tcPr>
          <w:p w14:paraId="0F17CD5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1.818</w:t>
            </w:r>
          </w:p>
        </w:tc>
        <w:tc>
          <w:tcPr>
            <w:tcW w:w="326" w:type="pct"/>
            <w:tcBorders>
              <w:top w:val="single" w:sz="4" w:space="0" w:color="auto"/>
              <w:left w:val="nil"/>
              <w:bottom w:val="single" w:sz="4" w:space="0" w:color="auto"/>
              <w:right w:val="nil"/>
            </w:tcBorders>
            <w:shd w:val="clear" w:color="auto" w:fill="auto"/>
            <w:noWrap/>
            <w:vAlign w:val="center"/>
            <w:hideMark/>
          </w:tcPr>
          <w:p w14:paraId="1F2DF26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1.739</w:t>
            </w:r>
          </w:p>
        </w:tc>
        <w:tc>
          <w:tcPr>
            <w:tcW w:w="475" w:type="pct"/>
            <w:tcBorders>
              <w:top w:val="single" w:sz="4" w:space="0" w:color="auto"/>
              <w:left w:val="nil"/>
              <w:bottom w:val="single" w:sz="4" w:space="0" w:color="auto"/>
              <w:right w:val="nil"/>
            </w:tcBorders>
            <w:shd w:val="clear" w:color="auto" w:fill="auto"/>
            <w:noWrap/>
            <w:vAlign w:val="center"/>
            <w:hideMark/>
          </w:tcPr>
          <w:p w14:paraId="40B8304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1.741</w:t>
            </w:r>
          </w:p>
        </w:tc>
        <w:tc>
          <w:tcPr>
            <w:tcW w:w="697" w:type="pct"/>
            <w:tcBorders>
              <w:top w:val="single" w:sz="4" w:space="0" w:color="auto"/>
              <w:left w:val="nil"/>
              <w:bottom w:val="single" w:sz="4" w:space="0" w:color="auto"/>
              <w:right w:val="nil"/>
            </w:tcBorders>
            <w:shd w:val="clear" w:color="auto" w:fill="auto"/>
            <w:noWrap/>
            <w:vAlign w:val="center"/>
            <w:hideMark/>
          </w:tcPr>
          <w:p w14:paraId="7521FB9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2,01</w:t>
            </w:r>
          </w:p>
        </w:tc>
        <w:tc>
          <w:tcPr>
            <w:tcW w:w="681" w:type="pct"/>
            <w:tcBorders>
              <w:top w:val="single" w:sz="4" w:space="0" w:color="auto"/>
              <w:left w:val="nil"/>
              <w:bottom w:val="single" w:sz="4" w:space="0" w:color="auto"/>
              <w:right w:val="nil"/>
            </w:tcBorders>
            <w:shd w:val="clear" w:color="auto" w:fill="auto"/>
            <w:noWrap/>
            <w:vAlign w:val="center"/>
            <w:hideMark/>
          </w:tcPr>
          <w:p w14:paraId="33BDFF9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0,47</w:t>
            </w:r>
          </w:p>
        </w:tc>
        <w:tc>
          <w:tcPr>
            <w:tcW w:w="793" w:type="pct"/>
            <w:tcBorders>
              <w:top w:val="single" w:sz="4" w:space="0" w:color="auto"/>
              <w:left w:val="nil"/>
              <w:bottom w:val="single" w:sz="4" w:space="0" w:color="auto"/>
              <w:right w:val="nil"/>
            </w:tcBorders>
            <w:shd w:val="clear" w:color="auto" w:fill="auto"/>
            <w:noWrap/>
            <w:vAlign w:val="center"/>
            <w:hideMark/>
          </w:tcPr>
          <w:p w14:paraId="1B020F3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12.481</w:t>
            </w:r>
          </w:p>
        </w:tc>
      </w:tr>
      <w:tr w:rsidR="006356F1" w:rsidRPr="00822E74" w14:paraId="7A00A458"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6D100E56"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97 </w:t>
            </w:r>
          </w:p>
        </w:tc>
        <w:tc>
          <w:tcPr>
            <w:tcW w:w="366" w:type="pct"/>
            <w:tcBorders>
              <w:top w:val="single" w:sz="4" w:space="0" w:color="auto"/>
              <w:left w:val="nil"/>
              <w:bottom w:val="single" w:sz="4" w:space="0" w:color="auto"/>
              <w:right w:val="nil"/>
            </w:tcBorders>
            <w:shd w:val="clear" w:color="auto" w:fill="auto"/>
            <w:noWrap/>
            <w:vAlign w:val="center"/>
            <w:hideMark/>
          </w:tcPr>
          <w:p w14:paraId="1C02E41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7.337</w:t>
            </w:r>
          </w:p>
        </w:tc>
        <w:tc>
          <w:tcPr>
            <w:tcW w:w="368" w:type="pct"/>
            <w:tcBorders>
              <w:top w:val="single" w:sz="4" w:space="0" w:color="auto"/>
              <w:left w:val="nil"/>
              <w:bottom w:val="single" w:sz="4" w:space="0" w:color="auto"/>
              <w:right w:val="nil"/>
            </w:tcBorders>
            <w:shd w:val="clear" w:color="auto" w:fill="auto"/>
            <w:noWrap/>
            <w:vAlign w:val="center"/>
            <w:hideMark/>
          </w:tcPr>
          <w:p w14:paraId="35F5211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7.110</w:t>
            </w:r>
          </w:p>
        </w:tc>
        <w:tc>
          <w:tcPr>
            <w:tcW w:w="326" w:type="pct"/>
            <w:tcBorders>
              <w:top w:val="single" w:sz="4" w:space="0" w:color="auto"/>
              <w:left w:val="nil"/>
              <w:bottom w:val="single" w:sz="4" w:space="0" w:color="auto"/>
              <w:right w:val="nil"/>
            </w:tcBorders>
            <w:shd w:val="clear" w:color="auto" w:fill="auto"/>
            <w:noWrap/>
            <w:vAlign w:val="center"/>
            <w:hideMark/>
          </w:tcPr>
          <w:p w14:paraId="18036E4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6.210</w:t>
            </w:r>
          </w:p>
        </w:tc>
        <w:tc>
          <w:tcPr>
            <w:tcW w:w="326" w:type="pct"/>
            <w:tcBorders>
              <w:top w:val="single" w:sz="4" w:space="0" w:color="auto"/>
              <w:left w:val="nil"/>
              <w:bottom w:val="single" w:sz="4" w:space="0" w:color="auto"/>
              <w:right w:val="nil"/>
            </w:tcBorders>
            <w:shd w:val="clear" w:color="auto" w:fill="auto"/>
            <w:noWrap/>
            <w:vAlign w:val="center"/>
            <w:hideMark/>
          </w:tcPr>
          <w:p w14:paraId="56AAB4D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6.873</w:t>
            </w:r>
          </w:p>
        </w:tc>
        <w:tc>
          <w:tcPr>
            <w:tcW w:w="475" w:type="pct"/>
            <w:tcBorders>
              <w:top w:val="single" w:sz="4" w:space="0" w:color="auto"/>
              <w:left w:val="nil"/>
              <w:bottom w:val="single" w:sz="4" w:space="0" w:color="auto"/>
              <w:right w:val="nil"/>
            </w:tcBorders>
            <w:shd w:val="clear" w:color="auto" w:fill="auto"/>
            <w:noWrap/>
            <w:vAlign w:val="center"/>
            <w:hideMark/>
          </w:tcPr>
          <w:p w14:paraId="6DE7AF0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6.883</w:t>
            </w:r>
          </w:p>
        </w:tc>
        <w:tc>
          <w:tcPr>
            <w:tcW w:w="697" w:type="pct"/>
            <w:tcBorders>
              <w:top w:val="single" w:sz="4" w:space="0" w:color="auto"/>
              <w:left w:val="nil"/>
              <w:bottom w:val="single" w:sz="4" w:space="0" w:color="auto"/>
              <w:right w:val="nil"/>
            </w:tcBorders>
            <w:shd w:val="clear" w:color="auto" w:fill="auto"/>
            <w:noWrap/>
            <w:vAlign w:val="center"/>
            <w:hideMark/>
          </w:tcPr>
          <w:p w14:paraId="6C31CDF2"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7,95</w:t>
            </w:r>
          </w:p>
        </w:tc>
        <w:tc>
          <w:tcPr>
            <w:tcW w:w="681" w:type="pct"/>
            <w:tcBorders>
              <w:top w:val="single" w:sz="4" w:space="0" w:color="auto"/>
              <w:left w:val="nil"/>
              <w:bottom w:val="single" w:sz="4" w:space="0" w:color="auto"/>
              <w:right w:val="nil"/>
            </w:tcBorders>
            <w:shd w:val="clear" w:color="auto" w:fill="auto"/>
            <w:noWrap/>
            <w:vAlign w:val="center"/>
            <w:hideMark/>
          </w:tcPr>
          <w:p w14:paraId="4DB69E3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1,75</w:t>
            </w:r>
          </w:p>
        </w:tc>
        <w:tc>
          <w:tcPr>
            <w:tcW w:w="793" w:type="pct"/>
            <w:tcBorders>
              <w:top w:val="single" w:sz="4" w:space="0" w:color="auto"/>
              <w:left w:val="nil"/>
              <w:bottom w:val="single" w:sz="4" w:space="0" w:color="auto"/>
              <w:right w:val="nil"/>
            </w:tcBorders>
            <w:shd w:val="clear" w:color="auto" w:fill="auto"/>
            <w:noWrap/>
            <w:vAlign w:val="center"/>
            <w:hideMark/>
          </w:tcPr>
          <w:p w14:paraId="71E1AEED"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11.719</w:t>
            </w:r>
          </w:p>
        </w:tc>
      </w:tr>
      <w:tr w:rsidR="006356F1" w:rsidRPr="00822E74" w14:paraId="38FACB8C"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5ADB3B1"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98 </w:t>
            </w:r>
          </w:p>
        </w:tc>
        <w:tc>
          <w:tcPr>
            <w:tcW w:w="366" w:type="pct"/>
            <w:tcBorders>
              <w:top w:val="single" w:sz="4" w:space="0" w:color="auto"/>
              <w:left w:val="nil"/>
              <w:bottom w:val="single" w:sz="4" w:space="0" w:color="auto"/>
              <w:right w:val="nil"/>
            </w:tcBorders>
            <w:shd w:val="clear" w:color="auto" w:fill="auto"/>
            <w:noWrap/>
            <w:vAlign w:val="center"/>
            <w:hideMark/>
          </w:tcPr>
          <w:p w14:paraId="73D33A2E"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2.122</w:t>
            </w:r>
          </w:p>
        </w:tc>
        <w:tc>
          <w:tcPr>
            <w:tcW w:w="368" w:type="pct"/>
            <w:tcBorders>
              <w:top w:val="single" w:sz="4" w:space="0" w:color="auto"/>
              <w:left w:val="nil"/>
              <w:bottom w:val="single" w:sz="4" w:space="0" w:color="auto"/>
              <w:right w:val="nil"/>
            </w:tcBorders>
            <w:shd w:val="clear" w:color="auto" w:fill="auto"/>
            <w:noWrap/>
            <w:vAlign w:val="center"/>
            <w:hideMark/>
          </w:tcPr>
          <w:p w14:paraId="096BEF5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1.952</w:t>
            </w:r>
          </w:p>
        </w:tc>
        <w:tc>
          <w:tcPr>
            <w:tcW w:w="326" w:type="pct"/>
            <w:tcBorders>
              <w:top w:val="single" w:sz="4" w:space="0" w:color="auto"/>
              <w:left w:val="nil"/>
              <w:bottom w:val="single" w:sz="4" w:space="0" w:color="auto"/>
              <w:right w:val="nil"/>
            </w:tcBorders>
            <w:shd w:val="clear" w:color="auto" w:fill="auto"/>
            <w:noWrap/>
            <w:vAlign w:val="center"/>
            <w:hideMark/>
          </w:tcPr>
          <w:p w14:paraId="0CC9EDE5"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1.908</w:t>
            </w:r>
          </w:p>
        </w:tc>
        <w:tc>
          <w:tcPr>
            <w:tcW w:w="326" w:type="pct"/>
            <w:tcBorders>
              <w:top w:val="single" w:sz="4" w:space="0" w:color="auto"/>
              <w:left w:val="nil"/>
              <w:bottom w:val="single" w:sz="4" w:space="0" w:color="auto"/>
              <w:right w:val="nil"/>
            </w:tcBorders>
            <w:shd w:val="clear" w:color="auto" w:fill="auto"/>
            <w:noWrap/>
            <w:vAlign w:val="center"/>
            <w:hideMark/>
          </w:tcPr>
          <w:p w14:paraId="39B8256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1.824</w:t>
            </w:r>
          </w:p>
        </w:tc>
        <w:tc>
          <w:tcPr>
            <w:tcW w:w="475" w:type="pct"/>
            <w:tcBorders>
              <w:top w:val="single" w:sz="4" w:space="0" w:color="auto"/>
              <w:left w:val="nil"/>
              <w:bottom w:val="single" w:sz="4" w:space="0" w:color="auto"/>
              <w:right w:val="nil"/>
            </w:tcBorders>
            <w:shd w:val="clear" w:color="auto" w:fill="auto"/>
            <w:noWrap/>
            <w:vAlign w:val="center"/>
            <w:hideMark/>
          </w:tcPr>
          <w:p w14:paraId="687F0D7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1.952</w:t>
            </w:r>
          </w:p>
        </w:tc>
        <w:tc>
          <w:tcPr>
            <w:tcW w:w="697" w:type="pct"/>
            <w:tcBorders>
              <w:top w:val="single" w:sz="4" w:space="0" w:color="auto"/>
              <w:left w:val="nil"/>
              <w:bottom w:val="single" w:sz="4" w:space="0" w:color="auto"/>
              <w:right w:val="nil"/>
            </w:tcBorders>
            <w:shd w:val="clear" w:color="auto" w:fill="auto"/>
            <w:noWrap/>
            <w:vAlign w:val="center"/>
            <w:hideMark/>
          </w:tcPr>
          <w:p w14:paraId="6D34B1DF"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2,25</w:t>
            </w:r>
          </w:p>
        </w:tc>
        <w:tc>
          <w:tcPr>
            <w:tcW w:w="681" w:type="pct"/>
            <w:tcBorders>
              <w:top w:val="single" w:sz="4" w:space="0" w:color="auto"/>
              <w:left w:val="nil"/>
              <w:bottom w:val="single" w:sz="4" w:space="0" w:color="auto"/>
              <w:right w:val="nil"/>
            </w:tcBorders>
            <w:shd w:val="clear" w:color="auto" w:fill="auto"/>
            <w:noWrap/>
            <w:vAlign w:val="center"/>
            <w:hideMark/>
          </w:tcPr>
          <w:p w14:paraId="1998ACD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0,48</w:t>
            </w:r>
          </w:p>
        </w:tc>
        <w:tc>
          <w:tcPr>
            <w:tcW w:w="793" w:type="pct"/>
            <w:tcBorders>
              <w:top w:val="single" w:sz="4" w:space="0" w:color="auto"/>
              <w:left w:val="nil"/>
              <w:bottom w:val="single" w:sz="4" w:space="0" w:color="auto"/>
              <w:right w:val="nil"/>
            </w:tcBorders>
            <w:shd w:val="clear" w:color="auto" w:fill="auto"/>
            <w:noWrap/>
            <w:vAlign w:val="center"/>
            <w:hideMark/>
          </w:tcPr>
          <w:p w14:paraId="112AFB6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11.232</w:t>
            </w:r>
          </w:p>
        </w:tc>
      </w:tr>
      <w:tr w:rsidR="006356F1" w:rsidRPr="00822E74" w14:paraId="263739EF"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085F97C0" w14:textId="77777777" w:rsidR="006356F1" w:rsidRPr="00822E74" w:rsidRDefault="006356F1" w:rsidP="00217400">
            <w:pPr>
              <w:rPr>
                <w:rFonts w:ascii="Arial" w:hAnsi="Arial" w:cs="Arial"/>
                <w:color w:val="000000"/>
                <w:sz w:val="20"/>
              </w:rPr>
            </w:pPr>
            <w:r w:rsidRPr="00822E74">
              <w:rPr>
                <w:rFonts w:ascii="Arial" w:hAnsi="Arial" w:cs="Arial"/>
                <w:color w:val="000000"/>
                <w:sz w:val="20"/>
              </w:rPr>
              <w:lastRenderedPageBreak/>
              <w:t xml:space="preserve"> Empresa 99 </w:t>
            </w:r>
          </w:p>
        </w:tc>
        <w:tc>
          <w:tcPr>
            <w:tcW w:w="366" w:type="pct"/>
            <w:tcBorders>
              <w:top w:val="single" w:sz="4" w:space="0" w:color="auto"/>
              <w:left w:val="nil"/>
              <w:bottom w:val="single" w:sz="4" w:space="0" w:color="auto"/>
              <w:right w:val="nil"/>
            </w:tcBorders>
            <w:shd w:val="clear" w:color="auto" w:fill="auto"/>
            <w:noWrap/>
            <w:vAlign w:val="center"/>
            <w:hideMark/>
          </w:tcPr>
          <w:p w14:paraId="564D44B7"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1.158</w:t>
            </w:r>
          </w:p>
        </w:tc>
        <w:tc>
          <w:tcPr>
            <w:tcW w:w="368" w:type="pct"/>
            <w:tcBorders>
              <w:top w:val="single" w:sz="4" w:space="0" w:color="auto"/>
              <w:left w:val="nil"/>
              <w:bottom w:val="single" w:sz="4" w:space="0" w:color="auto"/>
              <w:right w:val="nil"/>
            </w:tcBorders>
            <w:shd w:val="clear" w:color="auto" w:fill="auto"/>
            <w:noWrap/>
            <w:vAlign w:val="center"/>
            <w:hideMark/>
          </w:tcPr>
          <w:p w14:paraId="6D52018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1.024</w:t>
            </w:r>
          </w:p>
        </w:tc>
        <w:tc>
          <w:tcPr>
            <w:tcW w:w="326" w:type="pct"/>
            <w:tcBorders>
              <w:top w:val="single" w:sz="4" w:space="0" w:color="auto"/>
              <w:left w:val="nil"/>
              <w:bottom w:val="single" w:sz="4" w:space="0" w:color="auto"/>
              <w:right w:val="nil"/>
            </w:tcBorders>
            <w:shd w:val="clear" w:color="auto" w:fill="auto"/>
            <w:noWrap/>
            <w:vAlign w:val="center"/>
            <w:hideMark/>
          </w:tcPr>
          <w:p w14:paraId="7E10E10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1.023</w:t>
            </w:r>
          </w:p>
        </w:tc>
        <w:tc>
          <w:tcPr>
            <w:tcW w:w="326" w:type="pct"/>
            <w:tcBorders>
              <w:top w:val="single" w:sz="4" w:space="0" w:color="auto"/>
              <w:left w:val="nil"/>
              <w:bottom w:val="single" w:sz="4" w:space="0" w:color="auto"/>
              <w:right w:val="nil"/>
            </w:tcBorders>
            <w:shd w:val="clear" w:color="auto" w:fill="auto"/>
            <w:noWrap/>
            <w:vAlign w:val="center"/>
            <w:hideMark/>
          </w:tcPr>
          <w:p w14:paraId="689656E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1.637</w:t>
            </w:r>
          </w:p>
        </w:tc>
        <w:tc>
          <w:tcPr>
            <w:tcW w:w="475" w:type="pct"/>
            <w:tcBorders>
              <w:top w:val="single" w:sz="4" w:space="0" w:color="auto"/>
              <w:left w:val="nil"/>
              <w:bottom w:val="single" w:sz="4" w:space="0" w:color="auto"/>
              <w:right w:val="nil"/>
            </w:tcBorders>
            <w:shd w:val="clear" w:color="auto" w:fill="auto"/>
            <w:noWrap/>
            <w:vAlign w:val="center"/>
            <w:hideMark/>
          </w:tcPr>
          <w:p w14:paraId="6A91027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1.211</w:t>
            </w:r>
          </w:p>
        </w:tc>
        <w:tc>
          <w:tcPr>
            <w:tcW w:w="697" w:type="pct"/>
            <w:tcBorders>
              <w:top w:val="single" w:sz="4" w:space="0" w:color="auto"/>
              <w:left w:val="nil"/>
              <w:bottom w:val="single" w:sz="4" w:space="0" w:color="auto"/>
              <w:right w:val="nil"/>
            </w:tcBorders>
            <w:shd w:val="clear" w:color="auto" w:fill="auto"/>
            <w:noWrap/>
            <w:vAlign w:val="center"/>
            <w:hideMark/>
          </w:tcPr>
          <w:p w14:paraId="581920B8"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1,40</w:t>
            </w:r>
          </w:p>
        </w:tc>
        <w:tc>
          <w:tcPr>
            <w:tcW w:w="681" w:type="pct"/>
            <w:tcBorders>
              <w:top w:val="single" w:sz="4" w:space="0" w:color="auto"/>
              <w:left w:val="nil"/>
              <w:bottom w:val="single" w:sz="4" w:space="0" w:color="auto"/>
              <w:right w:val="nil"/>
            </w:tcBorders>
            <w:shd w:val="clear" w:color="auto" w:fill="auto"/>
            <w:noWrap/>
            <w:vAlign w:val="center"/>
            <w:hideMark/>
          </w:tcPr>
          <w:p w14:paraId="57090C3B"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0,29</w:t>
            </w:r>
          </w:p>
        </w:tc>
        <w:tc>
          <w:tcPr>
            <w:tcW w:w="793" w:type="pct"/>
            <w:tcBorders>
              <w:top w:val="single" w:sz="4" w:space="0" w:color="auto"/>
              <w:left w:val="nil"/>
              <w:bottom w:val="single" w:sz="4" w:space="0" w:color="auto"/>
              <w:right w:val="nil"/>
            </w:tcBorders>
            <w:shd w:val="clear" w:color="auto" w:fill="auto"/>
            <w:noWrap/>
            <w:vAlign w:val="center"/>
            <w:hideMark/>
          </w:tcPr>
          <w:p w14:paraId="1127280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10.920</w:t>
            </w:r>
          </w:p>
        </w:tc>
      </w:tr>
      <w:tr w:rsidR="006356F1" w:rsidRPr="00822E74" w14:paraId="64D9C79E"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bottom"/>
            <w:hideMark/>
          </w:tcPr>
          <w:p w14:paraId="2FB651CE" w14:textId="77777777" w:rsidR="006356F1" w:rsidRPr="00822E74" w:rsidRDefault="006356F1" w:rsidP="00217400">
            <w:pPr>
              <w:rPr>
                <w:rFonts w:ascii="Arial" w:hAnsi="Arial" w:cs="Arial"/>
                <w:color w:val="000000"/>
                <w:sz w:val="20"/>
              </w:rPr>
            </w:pPr>
            <w:r w:rsidRPr="00822E74">
              <w:rPr>
                <w:rFonts w:ascii="Arial" w:hAnsi="Arial" w:cs="Arial"/>
                <w:color w:val="000000"/>
                <w:sz w:val="20"/>
              </w:rPr>
              <w:t xml:space="preserve"> Empresa 100 </w:t>
            </w:r>
          </w:p>
        </w:tc>
        <w:tc>
          <w:tcPr>
            <w:tcW w:w="366" w:type="pct"/>
            <w:tcBorders>
              <w:top w:val="single" w:sz="4" w:space="0" w:color="auto"/>
              <w:left w:val="nil"/>
              <w:bottom w:val="single" w:sz="4" w:space="0" w:color="auto"/>
              <w:right w:val="nil"/>
            </w:tcBorders>
            <w:shd w:val="clear" w:color="auto" w:fill="auto"/>
            <w:noWrap/>
            <w:vAlign w:val="center"/>
            <w:hideMark/>
          </w:tcPr>
          <w:p w14:paraId="006D065C"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1.676</w:t>
            </w:r>
          </w:p>
        </w:tc>
        <w:tc>
          <w:tcPr>
            <w:tcW w:w="368" w:type="pct"/>
            <w:tcBorders>
              <w:top w:val="single" w:sz="4" w:space="0" w:color="auto"/>
              <w:left w:val="nil"/>
              <w:bottom w:val="single" w:sz="4" w:space="0" w:color="auto"/>
              <w:right w:val="nil"/>
            </w:tcBorders>
            <w:shd w:val="clear" w:color="auto" w:fill="auto"/>
            <w:noWrap/>
            <w:vAlign w:val="center"/>
            <w:hideMark/>
          </w:tcPr>
          <w:p w14:paraId="7199A593"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1.775</w:t>
            </w:r>
          </w:p>
        </w:tc>
        <w:tc>
          <w:tcPr>
            <w:tcW w:w="326" w:type="pct"/>
            <w:tcBorders>
              <w:top w:val="single" w:sz="4" w:space="0" w:color="auto"/>
              <w:left w:val="nil"/>
              <w:bottom w:val="single" w:sz="4" w:space="0" w:color="auto"/>
              <w:right w:val="nil"/>
            </w:tcBorders>
            <w:shd w:val="clear" w:color="auto" w:fill="auto"/>
            <w:noWrap/>
            <w:vAlign w:val="center"/>
            <w:hideMark/>
          </w:tcPr>
          <w:p w14:paraId="2E71F469"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1.744</w:t>
            </w:r>
          </w:p>
        </w:tc>
        <w:tc>
          <w:tcPr>
            <w:tcW w:w="326" w:type="pct"/>
            <w:tcBorders>
              <w:top w:val="single" w:sz="4" w:space="0" w:color="auto"/>
              <w:left w:val="nil"/>
              <w:bottom w:val="single" w:sz="4" w:space="0" w:color="auto"/>
              <w:right w:val="nil"/>
            </w:tcBorders>
            <w:shd w:val="clear" w:color="auto" w:fill="auto"/>
            <w:noWrap/>
            <w:vAlign w:val="center"/>
            <w:hideMark/>
          </w:tcPr>
          <w:p w14:paraId="64BA36D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1.674</w:t>
            </w:r>
          </w:p>
        </w:tc>
        <w:tc>
          <w:tcPr>
            <w:tcW w:w="475" w:type="pct"/>
            <w:tcBorders>
              <w:top w:val="single" w:sz="4" w:space="0" w:color="auto"/>
              <w:left w:val="nil"/>
              <w:bottom w:val="single" w:sz="4" w:space="0" w:color="auto"/>
              <w:right w:val="nil"/>
            </w:tcBorders>
            <w:shd w:val="clear" w:color="auto" w:fill="auto"/>
            <w:noWrap/>
            <w:vAlign w:val="center"/>
            <w:hideMark/>
          </w:tcPr>
          <w:p w14:paraId="56D68FA6"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1.717</w:t>
            </w:r>
          </w:p>
        </w:tc>
        <w:tc>
          <w:tcPr>
            <w:tcW w:w="697" w:type="pct"/>
            <w:tcBorders>
              <w:top w:val="single" w:sz="4" w:space="0" w:color="auto"/>
              <w:left w:val="nil"/>
              <w:bottom w:val="single" w:sz="4" w:space="0" w:color="auto"/>
              <w:right w:val="nil"/>
            </w:tcBorders>
            <w:shd w:val="clear" w:color="auto" w:fill="auto"/>
            <w:noWrap/>
            <w:vAlign w:val="center"/>
            <w:hideMark/>
          </w:tcPr>
          <w:p w14:paraId="0051C054"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1,98</w:t>
            </w:r>
          </w:p>
        </w:tc>
        <w:tc>
          <w:tcPr>
            <w:tcW w:w="681" w:type="pct"/>
            <w:tcBorders>
              <w:top w:val="single" w:sz="4" w:space="0" w:color="auto"/>
              <w:left w:val="nil"/>
              <w:bottom w:val="single" w:sz="4" w:space="0" w:color="auto"/>
              <w:right w:val="nil"/>
            </w:tcBorders>
            <w:shd w:val="clear" w:color="auto" w:fill="auto"/>
            <w:noWrap/>
            <w:vAlign w:val="center"/>
            <w:hideMark/>
          </w:tcPr>
          <w:p w14:paraId="5B4C1501"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0,40</w:t>
            </w:r>
          </w:p>
        </w:tc>
        <w:tc>
          <w:tcPr>
            <w:tcW w:w="793" w:type="pct"/>
            <w:tcBorders>
              <w:top w:val="single" w:sz="4" w:space="0" w:color="auto"/>
              <w:left w:val="nil"/>
              <w:bottom w:val="single" w:sz="4" w:space="0" w:color="auto"/>
              <w:right w:val="nil"/>
            </w:tcBorders>
            <w:shd w:val="clear" w:color="auto" w:fill="auto"/>
            <w:noWrap/>
            <w:vAlign w:val="center"/>
            <w:hideMark/>
          </w:tcPr>
          <w:p w14:paraId="10CEB3F0" w14:textId="77777777" w:rsidR="006356F1" w:rsidRPr="00822E74" w:rsidRDefault="006356F1" w:rsidP="00217400">
            <w:pPr>
              <w:jc w:val="right"/>
              <w:rPr>
                <w:rFonts w:ascii="Arial" w:hAnsi="Arial" w:cs="Arial"/>
                <w:color w:val="000000"/>
                <w:sz w:val="20"/>
              </w:rPr>
            </w:pPr>
            <w:r w:rsidRPr="00822E74">
              <w:rPr>
                <w:rFonts w:ascii="Arial" w:hAnsi="Arial" w:cs="Arial"/>
                <w:color w:val="000000"/>
                <w:sz w:val="20"/>
              </w:rPr>
              <w:t>10.666</w:t>
            </w:r>
          </w:p>
        </w:tc>
      </w:tr>
      <w:tr w:rsidR="006356F1" w:rsidRPr="00822E74" w14:paraId="3E46665D" w14:textId="77777777" w:rsidTr="00217400">
        <w:trPr>
          <w:trHeight w:val="20"/>
          <w:jc w:val="center"/>
        </w:trPr>
        <w:tc>
          <w:tcPr>
            <w:tcW w:w="968" w:type="pct"/>
            <w:tcBorders>
              <w:top w:val="single" w:sz="4" w:space="0" w:color="auto"/>
              <w:left w:val="nil"/>
              <w:bottom w:val="single" w:sz="4" w:space="0" w:color="auto"/>
              <w:right w:val="nil"/>
            </w:tcBorders>
            <w:shd w:val="clear" w:color="auto" w:fill="auto"/>
            <w:noWrap/>
            <w:vAlign w:val="center"/>
            <w:hideMark/>
          </w:tcPr>
          <w:p w14:paraId="11CBD28A" w14:textId="77777777" w:rsidR="006356F1" w:rsidRPr="00822E74" w:rsidRDefault="006356F1" w:rsidP="00217400">
            <w:pPr>
              <w:rPr>
                <w:rFonts w:ascii="Arial" w:hAnsi="Arial" w:cs="Arial"/>
                <w:b/>
                <w:bCs/>
                <w:color w:val="000000"/>
                <w:sz w:val="20"/>
              </w:rPr>
            </w:pPr>
            <w:r w:rsidRPr="00822E74">
              <w:rPr>
                <w:rFonts w:ascii="Arial" w:hAnsi="Arial" w:cs="Arial"/>
                <w:b/>
                <w:bCs/>
                <w:color w:val="000000"/>
                <w:sz w:val="20"/>
              </w:rPr>
              <w:t>Total</w:t>
            </w:r>
          </w:p>
        </w:tc>
        <w:tc>
          <w:tcPr>
            <w:tcW w:w="366" w:type="pct"/>
            <w:tcBorders>
              <w:top w:val="single" w:sz="4" w:space="0" w:color="auto"/>
              <w:left w:val="nil"/>
              <w:bottom w:val="single" w:sz="4" w:space="0" w:color="auto"/>
              <w:right w:val="nil"/>
            </w:tcBorders>
            <w:shd w:val="clear" w:color="DDEBF7" w:fill="DDEBF7"/>
            <w:noWrap/>
            <w:vAlign w:val="center"/>
            <w:hideMark/>
          </w:tcPr>
          <w:p w14:paraId="5358BF50" w14:textId="77777777" w:rsidR="006356F1" w:rsidRPr="00822E74" w:rsidRDefault="006356F1" w:rsidP="00217400">
            <w:pPr>
              <w:jc w:val="right"/>
              <w:rPr>
                <w:rFonts w:ascii="Arial" w:hAnsi="Arial" w:cs="Arial"/>
                <w:b/>
                <w:bCs/>
                <w:color w:val="000000"/>
                <w:sz w:val="20"/>
              </w:rPr>
            </w:pPr>
            <w:r w:rsidRPr="00822E74">
              <w:rPr>
                <w:rFonts w:ascii="Arial" w:hAnsi="Arial" w:cs="Arial"/>
                <w:b/>
                <w:bCs/>
                <w:color w:val="000000"/>
                <w:sz w:val="20"/>
              </w:rPr>
              <w:t>78.755</w:t>
            </w:r>
          </w:p>
        </w:tc>
        <w:tc>
          <w:tcPr>
            <w:tcW w:w="368" w:type="pct"/>
            <w:tcBorders>
              <w:top w:val="single" w:sz="4" w:space="0" w:color="auto"/>
              <w:left w:val="nil"/>
              <w:bottom w:val="single" w:sz="4" w:space="0" w:color="auto"/>
              <w:right w:val="nil"/>
            </w:tcBorders>
            <w:shd w:val="clear" w:color="DDEBF7" w:fill="DDEBF7"/>
            <w:noWrap/>
            <w:vAlign w:val="center"/>
            <w:hideMark/>
          </w:tcPr>
          <w:p w14:paraId="0EB04F56" w14:textId="77777777" w:rsidR="006356F1" w:rsidRPr="00822E74" w:rsidRDefault="006356F1" w:rsidP="00217400">
            <w:pPr>
              <w:jc w:val="right"/>
              <w:rPr>
                <w:rFonts w:ascii="Arial" w:hAnsi="Arial" w:cs="Arial"/>
                <w:b/>
                <w:bCs/>
                <w:color w:val="000000"/>
                <w:sz w:val="20"/>
              </w:rPr>
            </w:pPr>
            <w:r w:rsidRPr="00822E74">
              <w:rPr>
                <w:rFonts w:ascii="Arial" w:hAnsi="Arial" w:cs="Arial"/>
                <w:b/>
                <w:bCs/>
                <w:color w:val="000000"/>
                <w:sz w:val="20"/>
              </w:rPr>
              <w:t>76.079</w:t>
            </w:r>
          </w:p>
        </w:tc>
        <w:tc>
          <w:tcPr>
            <w:tcW w:w="326" w:type="pct"/>
            <w:tcBorders>
              <w:top w:val="single" w:sz="4" w:space="0" w:color="auto"/>
              <w:left w:val="nil"/>
              <w:bottom w:val="single" w:sz="4" w:space="0" w:color="auto"/>
              <w:right w:val="nil"/>
            </w:tcBorders>
            <w:shd w:val="clear" w:color="DDEBF7" w:fill="DDEBF7"/>
            <w:noWrap/>
            <w:vAlign w:val="center"/>
            <w:hideMark/>
          </w:tcPr>
          <w:p w14:paraId="1CE03F9B" w14:textId="77777777" w:rsidR="006356F1" w:rsidRPr="00822E74" w:rsidRDefault="006356F1" w:rsidP="00217400">
            <w:pPr>
              <w:jc w:val="right"/>
              <w:rPr>
                <w:rFonts w:ascii="Arial" w:hAnsi="Arial" w:cs="Arial"/>
                <w:b/>
                <w:bCs/>
                <w:color w:val="000000"/>
                <w:sz w:val="20"/>
              </w:rPr>
            </w:pPr>
            <w:r w:rsidRPr="00822E74">
              <w:rPr>
                <w:rFonts w:ascii="Arial" w:hAnsi="Arial" w:cs="Arial"/>
                <w:b/>
                <w:bCs/>
                <w:color w:val="000000"/>
                <w:sz w:val="20"/>
              </w:rPr>
              <w:t>75.195</w:t>
            </w:r>
          </w:p>
        </w:tc>
        <w:tc>
          <w:tcPr>
            <w:tcW w:w="326" w:type="pct"/>
            <w:tcBorders>
              <w:top w:val="single" w:sz="4" w:space="0" w:color="auto"/>
              <w:left w:val="nil"/>
              <w:bottom w:val="single" w:sz="4" w:space="0" w:color="auto"/>
              <w:right w:val="nil"/>
            </w:tcBorders>
            <w:shd w:val="clear" w:color="DDEBF7" w:fill="DDEBF7"/>
            <w:noWrap/>
            <w:vAlign w:val="center"/>
            <w:hideMark/>
          </w:tcPr>
          <w:p w14:paraId="61F4DAF9" w14:textId="77777777" w:rsidR="006356F1" w:rsidRPr="00822E74" w:rsidRDefault="006356F1" w:rsidP="00217400">
            <w:pPr>
              <w:jc w:val="right"/>
              <w:rPr>
                <w:rFonts w:ascii="Arial" w:hAnsi="Arial" w:cs="Arial"/>
                <w:b/>
                <w:bCs/>
                <w:color w:val="000000"/>
                <w:sz w:val="20"/>
              </w:rPr>
            </w:pPr>
            <w:r w:rsidRPr="00822E74">
              <w:rPr>
                <w:rFonts w:ascii="Arial" w:hAnsi="Arial" w:cs="Arial"/>
                <w:b/>
                <w:bCs/>
                <w:color w:val="000000"/>
                <w:sz w:val="20"/>
              </w:rPr>
              <w:t>77.851</w:t>
            </w:r>
          </w:p>
        </w:tc>
        <w:tc>
          <w:tcPr>
            <w:tcW w:w="475" w:type="pct"/>
            <w:tcBorders>
              <w:top w:val="single" w:sz="4" w:space="0" w:color="auto"/>
              <w:left w:val="nil"/>
              <w:bottom w:val="single" w:sz="4" w:space="0" w:color="auto"/>
              <w:right w:val="nil"/>
            </w:tcBorders>
            <w:shd w:val="clear" w:color="DDEBF7" w:fill="DDEBF7"/>
            <w:noWrap/>
            <w:vAlign w:val="center"/>
            <w:hideMark/>
          </w:tcPr>
          <w:p w14:paraId="09816F1B" w14:textId="77777777" w:rsidR="006356F1" w:rsidRPr="00822E74" w:rsidRDefault="006356F1" w:rsidP="00217400">
            <w:pPr>
              <w:jc w:val="right"/>
              <w:rPr>
                <w:rFonts w:ascii="Arial" w:hAnsi="Arial" w:cs="Arial"/>
                <w:b/>
                <w:bCs/>
                <w:color w:val="000000"/>
                <w:sz w:val="20"/>
              </w:rPr>
            </w:pPr>
            <w:r w:rsidRPr="00822E74">
              <w:rPr>
                <w:rFonts w:ascii="Arial" w:hAnsi="Arial" w:cs="Arial"/>
                <w:b/>
                <w:bCs/>
                <w:color w:val="000000"/>
                <w:sz w:val="20"/>
              </w:rPr>
              <w:t>86.558</w:t>
            </w:r>
          </w:p>
        </w:tc>
        <w:tc>
          <w:tcPr>
            <w:tcW w:w="697" w:type="pct"/>
            <w:tcBorders>
              <w:top w:val="single" w:sz="4" w:space="0" w:color="auto"/>
              <w:left w:val="nil"/>
              <w:bottom w:val="single" w:sz="4" w:space="0" w:color="auto"/>
              <w:right w:val="nil"/>
            </w:tcBorders>
            <w:shd w:val="clear" w:color="DDEBF7" w:fill="DDEBF7"/>
            <w:noWrap/>
            <w:vAlign w:val="center"/>
            <w:hideMark/>
          </w:tcPr>
          <w:p w14:paraId="459020D2" w14:textId="77777777" w:rsidR="006356F1" w:rsidRPr="00822E74" w:rsidRDefault="006356F1" w:rsidP="00217400">
            <w:pPr>
              <w:jc w:val="right"/>
              <w:rPr>
                <w:rFonts w:ascii="Arial" w:hAnsi="Arial" w:cs="Arial"/>
                <w:b/>
                <w:bCs/>
                <w:color w:val="000000"/>
                <w:sz w:val="20"/>
              </w:rPr>
            </w:pPr>
            <w:r w:rsidRPr="00822E74">
              <w:rPr>
                <w:rFonts w:ascii="Arial" w:hAnsi="Arial" w:cs="Arial"/>
                <w:b/>
                <w:bCs/>
                <w:color w:val="000000"/>
                <w:sz w:val="20"/>
              </w:rPr>
              <w:t>100</w:t>
            </w:r>
          </w:p>
        </w:tc>
        <w:tc>
          <w:tcPr>
            <w:tcW w:w="681" w:type="pct"/>
            <w:tcBorders>
              <w:top w:val="single" w:sz="4" w:space="0" w:color="auto"/>
              <w:left w:val="nil"/>
              <w:bottom w:val="single" w:sz="4" w:space="0" w:color="auto"/>
              <w:right w:val="nil"/>
            </w:tcBorders>
            <w:shd w:val="clear" w:color="DDEBF7" w:fill="DDEBF7"/>
            <w:noWrap/>
            <w:vAlign w:val="center"/>
            <w:hideMark/>
          </w:tcPr>
          <w:p w14:paraId="4547F31A" w14:textId="77777777" w:rsidR="006356F1" w:rsidRPr="00822E74" w:rsidRDefault="006356F1" w:rsidP="00217400">
            <w:pPr>
              <w:jc w:val="right"/>
              <w:rPr>
                <w:rFonts w:ascii="Arial" w:hAnsi="Arial" w:cs="Arial"/>
                <w:b/>
                <w:bCs/>
                <w:color w:val="000000"/>
                <w:sz w:val="20"/>
              </w:rPr>
            </w:pPr>
            <w:r w:rsidRPr="00822E74">
              <w:rPr>
                <w:rFonts w:ascii="Arial" w:hAnsi="Arial" w:cs="Arial"/>
                <w:b/>
                <w:bCs/>
                <w:color w:val="000000"/>
                <w:sz w:val="20"/>
              </w:rPr>
              <w:t>100</w:t>
            </w:r>
          </w:p>
        </w:tc>
        <w:tc>
          <w:tcPr>
            <w:tcW w:w="793" w:type="pct"/>
            <w:tcBorders>
              <w:top w:val="single" w:sz="4" w:space="0" w:color="auto"/>
              <w:left w:val="nil"/>
              <w:bottom w:val="single" w:sz="4" w:space="0" w:color="auto"/>
              <w:right w:val="nil"/>
            </w:tcBorders>
            <w:shd w:val="clear" w:color="DDEBF7" w:fill="DDEBF7"/>
            <w:noWrap/>
            <w:vAlign w:val="center"/>
            <w:hideMark/>
          </w:tcPr>
          <w:p w14:paraId="74460BFA" w14:textId="77777777" w:rsidR="006356F1" w:rsidRPr="00822E74" w:rsidRDefault="006356F1" w:rsidP="00217400">
            <w:pPr>
              <w:jc w:val="right"/>
              <w:rPr>
                <w:rFonts w:ascii="Arial" w:hAnsi="Arial" w:cs="Arial"/>
                <w:b/>
                <w:bCs/>
                <w:color w:val="000000"/>
                <w:sz w:val="20"/>
              </w:rPr>
            </w:pPr>
            <w:r w:rsidRPr="00822E74">
              <w:rPr>
                <w:rFonts w:ascii="Arial" w:hAnsi="Arial" w:cs="Arial"/>
                <w:b/>
                <w:bCs/>
                <w:color w:val="000000"/>
                <w:sz w:val="20"/>
              </w:rPr>
              <w:t>53.250,28</w:t>
            </w:r>
          </w:p>
        </w:tc>
      </w:tr>
    </w:tbl>
    <w:p w14:paraId="2DD1D108" w14:textId="3F2681BC" w:rsidR="006356F1" w:rsidRPr="00822E74" w:rsidRDefault="006356F1" w:rsidP="000B47E6">
      <w:pPr>
        <w:jc w:val="both"/>
        <w:rPr>
          <w:rFonts w:ascii="Arial" w:hAnsi="Arial" w:cs="Arial"/>
          <w:sz w:val="24"/>
          <w:szCs w:val="24"/>
        </w:rPr>
      </w:pPr>
      <w:r w:rsidRPr="00822E74">
        <w:rPr>
          <w:rFonts w:ascii="Arial" w:hAnsi="Arial" w:cs="Arial"/>
          <w:sz w:val="24"/>
          <w:szCs w:val="24"/>
        </w:rPr>
        <w:t>Fonte: Secretaria de Economia do Estado de Goiás</w:t>
      </w:r>
      <w:r w:rsidR="000E1A04">
        <w:rPr>
          <w:rFonts w:ascii="Arial" w:hAnsi="Arial" w:cs="Arial"/>
          <w:sz w:val="24"/>
          <w:szCs w:val="24"/>
        </w:rPr>
        <w:t xml:space="preserve"> (Ofício nº 2.756/2019-CPI, p. 7/8)</w:t>
      </w:r>
      <w:r w:rsidR="000B47E6">
        <w:rPr>
          <w:rFonts w:ascii="Arial" w:hAnsi="Arial" w:cs="Arial"/>
          <w:sz w:val="24"/>
          <w:szCs w:val="24"/>
        </w:rPr>
        <w:t xml:space="preserve">; </w:t>
      </w:r>
      <w:r w:rsidR="000B47E6" w:rsidRPr="000B47E6">
        <w:rPr>
          <w:rFonts w:ascii="Arial" w:hAnsi="Arial" w:cs="Arial"/>
          <w:sz w:val="24"/>
          <w:szCs w:val="24"/>
        </w:rPr>
        <w:t>para empregos, a base de dados da RAIS (Secretaria do Trabalho/Ministério da Economia)</w:t>
      </w:r>
      <w:r w:rsidRPr="00822E74">
        <w:rPr>
          <w:rFonts w:ascii="Arial" w:hAnsi="Arial" w:cs="Arial"/>
          <w:sz w:val="24"/>
          <w:szCs w:val="24"/>
        </w:rPr>
        <w:t>.</w:t>
      </w:r>
    </w:p>
    <w:p w14:paraId="654CF22D" w14:textId="77777777" w:rsidR="006356F1" w:rsidRPr="00822E74" w:rsidRDefault="006356F1" w:rsidP="006356F1">
      <w:pPr>
        <w:jc w:val="both"/>
        <w:rPr>
          <w:rFonts w:ascii="Arial" w:hAnsi="Arial" w:cs="Arial"/>
          <w:sz w:val="24"/>
          <w:szCs w:val="24"/>
        </w:rPr>
      </w:pPr>
      <w:r w:rsidRPr="00822E74">
        <w:rPr>
          <w:rFonts w:ascii="Arial" w:hAnsi="Arial" w:cs="Arial"/>
          <w:sz w:val="24"/>
          <w:szCs w:val="24"/>
        </w:rPr>
        <w:t>Obs. 1 - Não consta para a Empresa 48 informações na base da RAIS (Secretaria do Trabalho/Min. da Economia), razão pela qual foi colocada a posição do mês de agosto/2019 sendo a soma de todas suas unidades no Estado de Goiás.</w:t>
      </w:r>
    </w:p>
    <w:p w14:paraId="53F3931F" w14:textId="4954217A" w:rsidR="006356F1" w:rsidRPr="00822E74" w:rsidRDefault="006356F1" w:rsidP="006356F1">
      <w:pPr>
        <w:rPr>
          <w:rFonts w:ascii="Arial" w:hAnsi="Arial" w:cs="Arial"/>
          <w:color w:val="000000"/>
          <w:sz w:val="24"/>
          <w:szCs w:val="24"/>
        </w:rPr>
      </w:pPr>
      <w:r w:rsidRPr="00822E74">
        <w:rPr>
          <w:rFonts w:ascii="Arial" w:hAnsi="Arial" w:cs="Arial"/>
          <w:sz w:val="24"/>
          <w:szCs w:val="24"/>
        </w:rPr>
        <w:t>Obs. 2</w:t>
      </w:r>
      <w:r w:rsidRPr="00822E74">
        <w:rPr>
          <w:rFonts w:ascii="Arial" w:hAnsi="Arial" w:cs="Arial"/>
          <w:color w:val="000000"/>
          <w:sz w:val="24"/>
          <w:szCs w:val="24"/>
        </w:rPr>
        <w:t xml:space="preserve"> - Para empregos da Empresa 67 foi utilizado o CAGED de ago/2018</w:t>
      </w:r>
      <w:r w:rsidRPr="00822E74">
        <w:rPr>
          <w:rFonts w:ascii="Arial" w:hAnsi="Arial" w:cs="Arial"/>
          <w:sz w:val="24"/>
          <w:szCs w:val="24"/>
        </w:rPr>
        <w:t xml:space="preserve"> (Secretaria do Trabalho/Min</w:t>
      </w:r>
      <w:r w:rsidR="005E670C">
        <w:rPr>
          <w:rFonts w:ascii="Arial" w:hAnsi="Arial" w:cs="Arial"/>
          <w:sz w:val="24"/>
          <w:szCs w:val="24"/>
        </w:rPr>
        <w:t>istério</w:t>
      </w:r>
      <w:r w:rsidRPr="00822E74">
        <w:rPr>
          <w:rFonts w:ascii="Arial" w:hAnsi="Arial" w:cs="Arial"/>
          <w:sz w:val="24"/>
          <w:szCs w:val="24"/>
        </w:rPr>
        <w:t xml:space="preserve"> da Economia).</w:t>
      </w:r>
    </w:p>
    <w:p w14:paraId="425FDFE2" w14:textId="77777777" w:rsidR="006356F1" w:rsidRDefault="006356F1" w:rsidP="006356F1">
      <w:pPr>
        <w:spacing w:line="360" w:lineRule="auto"/>
        <w:ind w:firstLine="851"/>
        <w:jc w:val="both"/>
        <w:rPr>
          <w:rFonts w:ascii="Arial" w:hAnsi="Arial" w:cs="Arial"/>
          <w:sz w:val="24"/>
          <w:szCs w:val="24"/>
        </w:rPr>
      </w:pPr>
    </w:p>
    <w:p w14:paraId="731CAFD9" w14:textId="77777777" w:rsidR="006356F1" w:rsidRDefault="006356F1" w:rsidP="006356F1">
      <w:pPr>
        <w:spacing w:line="360" w:lineRule="auto"/>
        <w:ind w:firstLine="851"/>
        <w:jc w:val="both"/>
        <w:rPr>
          <w:rFonts w:ascii="Arial" w:hAnsi="Arial" w:cs="Arial"/>
          <w:sz w:val="24"/>
          <w:szCs w:val="24"/>
        </w:rPr>
      </w:pPr>
    </w:p>
    <w:p w14:paraId="2E93145D" w14:textId="77777777" w:rsidR="006356F1" w:rsidRDefault="006356F1" w:rsidP="006356F1">
      <w:pPr>
        <w:spacing w:line="360" w:lineRule="auto"/>
        <w:ind w:firstLine="851"/>
        <w:jc w:val="both"/>
        <w:rPr>
          <w:rFonts w:ascii="Arial" w:hAnsi="Arial" w:cs="Arial"/>
          <w:sz w:val="24"/>
          <w:szCs w:val="24"/>
        </w:rPr>
      </w:pPr>
    </w:p>
    <w:p w14:paraId="5B81096D" w14:textId="77777777" w:rsidR="006356F1" w:rsidRDefault="006356F1" w:rsidP="006356F1">
      <w:pPr>
        <w:spacing w:line="360" w:lineRule="auto"/>
        <w:ind w:firstLine="851"/>
        <w:jc w:val="both"/>
        <w:rPr>
          <w:rFonts w:ascii="Arial" w:hAnsi="Arial" w:cs="Arial"/>
          <w:sz w:val="24"/>
          <w:szCs w:val="24"/>
        </w:rPr>
      </w:pPr>
    </w:p>
    <w:p w14:paraId="00538C0B" w14:textId="77777777" w:rsidR="006356F1" w:rsidRDefault="006356F1" w:rsidP="006356F1">
      <w:pPr>
        <w:spacing w:line="360" w:lineRule="auto"/>
        <w:ind w:firstLine="851"/>
        <w:jc w:val="both"/>
        <w:rPr>
          <w:rFonts w:ascii="Arial" w:hAnsi="Arial" w:cs="Arial"/>
          <w:sz w:val="24"/>
          <w:szCs w:val="24"/>
        </w:rPr>
      </w:pPr>
    </w:p>
    <w:p w14:paraId="203035A0" w14:textId="77777777" w:rsidR="006356F1" w:rsidRDefault="006356F1" w:rsidP="006356F1">
      <w:pPr>
        <w:spacing w:line="360" w:lineRule="auto"/>
        <w:ind w:firstLine="851"/>
        <w:jc w:val="both"/>
        <w:rPr>
          <w:rFonts w:ascii="Arial" w:hAnsi="Arial" w:cs="Arial"/>
          <w:sz w:val="24"/>
          <w:szCs w:val="24"/>
        </w:rPr>
      </w:pPr>
    </w:p>
    <w:p w14:paraId="7485F45E" w14:textId="77777777" w:rsidR="006356F1" w:rsidRDefault="006356F1" w:rsidP="006356F1">
      <w:pPr>
        <w:spacing w:line="360" w:lineRule="auto"/>
        <w:ind w:firstLine="851"/>
        <w:jc w:val="both"/>
        <w:rPr>
          <w:rFonts w:ascii="Arial" w:hAnsi="Arial" w:cs="Arial"/>
          <w:sz w:val="24"/>
          <w:szCs w:val="24"/>
        </w:rPr>
      </w:pPr>
    </w:p>
    <w:p w14:paraId="51FCC00B" w14:textId="77777777" w:rsidR="006356F1" w:rsidRDefault="006356F1" w:rsidP="006356F1">
      <w:pPr>
        <w:spacing w:line="360" w:lineRule="auto"/>
        <w:ind w:firstLine="851"/>
        <w:jc w:val="both"/>
        <w:rPr>
          <w:rFonts w:ascii="Arial" w:hAnsi="Arial" w:cs="Arial"/>
          <w:sz w:val="24"/>
          <w:szCs w:val="24"/>
        </w:rPr>
      </w:pPr>
    </w:p>
    <w:p w14:paraId="6860569C" w14:textId="77777777" w:rsidR="006356F1" w:rsidRDefault="006356F1" w:rsidP="006356F1">
      <w:pPr>
        <w:spacing w:line="360" w:lineRule="auto"/>
        <w:ind w:firstLine="851"/>
        <w:jc w:val="both"/>
        <w:rPr>
          <w:rFonts w:ascii="Arial" w:hAnsi="Arial" w:cs="Arial"/>
          <w:sz w:val="24"/>
          <w:szCs w:val="24"/>
        </w:rPr>
        <w:sectPr w:rsidR="006356F1" w:rsidSect="00217400">
          <w:pgSz w:w="16840" w:h="11900" w:orient="landscape"/>
          <w:pgMar w:top="1701" w:right="2268" w:bottom="851" w:left="1134" w:header="567" w:footer="284" w:gutter="0"/>
          <w:cols w:space="708"/>
          <w:docGrid w:linePitch="360"/>
        </w:sectPr>
      </w:pPr>
    </w:p>
    <w:p w14:paraId="52E79F19" w14:textId="3477C293" w:rsidR="006356F1" w:rsidRDefault="006356F1" w:rsidP="006356F1">
      <w:pPr>
        <w:spacing w:line="360" w:lineRule="auto"/>
        <w:ind w:firstLine="851"/>
        <w:jc w:val="both"/>
        <w:rPr>
          <w:rFonts w:ascii="Arial" w:hAnsi="Arial" w:cs="Arial"/>
          <w:sz w:val="24"/>
          <w:szCs w:val="24"/>
        </w:rPr>
      </w:pPr>
      <w:r w:rsidRPr="00BE115E">
        <w:rPr>
          <w:rFonts w:ascii="Arial" w:hAnsi="Arial" w:cs="Arial"/>
          <w:b/>
          <w:sz w:val="24"/>
          <w:szCs w:val="24"/>
        </w:rPr>
        <w:lastRenderedPageBreak/>
        <w:t>9.2.</w:t>
      </w:r>
      <w:r>
        <w:rPr>
          <w:rFonts w:ascii="Arial" w:hAnsi="Arial" w:cs="Arial"/>
          <w:b/>
          <w:sz w:val="24"/>
          <w:szCs w:val="24"/>
        </w:rPr>
        <w:t>2</w:t>
      </w:r>
      <w:r w:rsidRPr="00BE115E">
        <w:rPr>
          <w:rFonts w:ascii="Arial" w:hAnsi="Arial" w:cs="Arial"/>
          <w:b/>
          <w:sz w:val="24"/>
          <w:szCs w:val="24"/>
        </w:rPr>
        <w:t>.</w:t>
      </w:r>
      <w:r>
        <w:rPr>
          <w:rFonts w:ascii="Arial" w:hAnsi="Arial" w:cs="Arial"/>
          <w:b/>
          <w:sz w:val="24"/>
          <w:szCs w:val="24"/>
        </w:rPr>
        <w:t xml:space="preserve"> </w:t>
      </w:r>
      <w:r>
        <w:rPr>
          <w:rFonts w:ascii="Arial" w:hAnsi="Arial" w:cs="Arial"/>
          <w:sz w:val="24"/>
          <w:szCs w:val="24"/>
        </w:rPr>
        <w:t xml:space="preserve">A partir da tabela acima mencionada, </w:t>
      </w:r>
      <w:r w:rsidRPr="00490D50">
        <w:rPr>
          <w:rFonts w:ascii="Arial" w:hAnsi="Arial" w:cs="Arial"/>
          <w:b/>
          <w:sz w:val="24"/>
          <w:szCs w:val="24"/>
        </w:rPr>
        <w:t>esta CPI identificou 3 (três) grupos que merecem maior atenção</w:t>
      </w:r>
      <w:r w:rsidRPr="00E01E9F">
        <w:rPr>
          <w:rFonts w:ascii="Arial" w:hAnsi="Arial" w:cs="Arial"/>
          <w:b/>
          <w:sz w:val="24"/>
          <w:szCs w:val="24"/>
        </w:rPr>
        <w:t>, conforme os respectivos custos médios anuais por emprego</w:t>
      </w:r>
      <w:r>
        <w:rPr>
          <w:rFonts w:ascii="Arial" w:hAnsi="Arial" w:cs="Arial"/>
          <w:sz w:val="24"/>
          <w:szCs w:val="24"/>
        </w:rPr>
        <w:t xml:space="preserve">, a saber: </w:t>
      </w:r>
      <w:r w:rsidR="009618E0">
        <w:rPr>
          <w:rFonts w:ascii="Arial" w:hAnsi="Arial" w:cs="Arial"/>
          <w:sz w:val="24"/>
          <w:szCs w:val="24"/>
          <w:u w:val="single"/>
        </w:rPr>
        <w:t>a) entre R$ 25</w:t>
      </w:r>
      <w:r w:rsidRPr="00C34902">
        <w:rPr>
          <w:rFonts w:ascii="Arial" w:hAnsi="Arial" w:cs="Arial"/>
          <w:sz w:val="24"/>
          <w:szCs w:val="24"/>
          <w:u w:val="single"/>
        </w:rPr>
        <w:t xml:space="preserve">0.000,00 (duzentos </w:t>
      </w:r>
      <w:r w:rsidR="009618E0">
        <w:rPr>
          <w:rFonts w:ascii="Arial" w:hAnsi="Arial" w:cs="Arial"/>
          <w:sz w:val="24"/>
          <w:szCs w:val="24"/>
          <w:u w:val="single"/>
        </w:rPr>
        <w:t xml:space="preserve">e cinquenta </w:t>
      </w:r>
      <w:r w:rsidRPr="00C34902">
        <w:rPr>
          <w:rFonts w:ascii="Arial" w:hAnsi="Arial" w:cs="Arial"/>
          <w:sz w:val="24"/>
          <w:szCs w:val="24"/>
          <w:u w:val="single"/>
        </w:rPr>
        <w:t>mil reais)</w:t>
      </w:r>
      <w:r w:rsidRPr="00E01E9F">
        <w:rPr>
          <w:rFonts w:ascii="Arial" w:hAnsi="Arial" w:cs="Arial"/>
          <w:sz w:val="24"/>
          <w:szCs w:val="24"/>
        </w:rPr>
        <w:t xml:space="preserve"> e R$ 1.000.000,00 (um milhão de reais); </w:t>
      </w:r>
      <w:r w:rsidRPr="00E01E9F">
        <w:rPr>
          <w:rFonts w:ascii="Arial" w:hAnsi="Arial" w:cs="Arial"/>
          <w:sz w:val="24"/>
          <w:szCs w:val="24"/>
          <w:u w:val="single"/>
        </w:rPr>
        <w:t>b) entre R$ 1.000.000</w:t>
      </w:r>
      <w:r w:rsidRPr="00C34902">
        <w:rPr>
          <w:rFonts w:ascii="Arial" w:hAnsi="Arial" w:cs="Arial"/>
          <w:sz w:val="24"/>
          <w:szCs w:val="24"/>
          <w:u w:val="single"/>
        </w:rPr>
        <w:t>,0</w:t>
      </w:r>
      <w:r>
        <w:rPr>
          <w:rFonts w:ascii="Arial" w:hAnsi="Arial" w:cs="Arial"/>
          <w:sz w:val="24"/>
          <w:szCs w:val="24"/>
          <w:u w:val="single"/>
        </w:rPr>
        <w:t>1</w:t>
      </w:r>
      <w:r>
        <w:rPr>
          <w:rFonts w:ascii="Arial" w:hAnsi="Arial" w:cs="Arial"/>
          <w:sz w:val="24"/>
          <w:szCs w:val="24"/>
        </w:rPr>
        <w:t xml:space="preserve"> (um milhão de reais e um centavo) a R$ 10.000.000,00 (dez milhões de reais); </w:t>
      </w:r>
      <w:r w:rsidRPr="00E01E9F">
        <w:rPr>
          <w:rFonts w:ascii="Arial" w:hAnsi="Arial" w:cs="Arial"/>
          <w:sz w:val="24"/>
          <w:szCs w:val="24"/>
          <w:u w:val="single"/>
        </w:rPr>
        <w:t>c) superior a R$ 10.000.000,00</w:t>
      </w:r>
      <w:r>
        <w:rPr>
          <w:rFonts w:ascii="Arial" w:hAnsi="Arial" w:cs="Arial"/>
          <w:sz w:val="24"/>
          <w:szCs w:val="24"/>
        </w:rPr>
        <w:t xml:space="preserve"> (dez milhões de reais). Assim, esta CPI entende que esses casos merecem uma atenção especial e uma atuação urgente do Poder Público, sobretudo quanto aos dois últimos grupos, porque aparentemente não se justifica conceder milhões em incentivos fiscais para empresas que geram pouquíssimos empregos.</w:t>
      </w:r>
    </w:p>
    <w:p w14:paraId="1ACF68A9" w14:textId="77777777" w:rsidR="006356F1" w:rsidRDefault="006356F1" w:rsidP="006356F1">
      <w:pPr>
        <w:spacing w:line="360" w:lineRule="auto"/>
        <w:ind w:firstLine="851"/>
        <w:jc w:val="both"/>
        <w:rPr>
          <w:rFonts w:ascii="Arial" w:hAnsi="Arial" w:cs="Arial"/>
          <w:sz w:val="24"/>
          <w:szCs w:val="24"/>
        </w:rPr>
      </w:pPr>
      <w:r w:rsidRPr="003B4FE1">
        <w:rPr>
          <w:rFonts w:ascii="Arial" w:hAnsi="Arial" w:cs="Arial"/>
          <w:b/>
          <w:sz w:val="24"/>
          <w:szCs w:val="24"/>
        </w:rPr>
        <w:t>Há situações extremamente questionáveis</w:t>
      </w:r>
      <w:r>
        <w:rPr>
          <w:rFonts w:ascii="Arial" w:hAnsi="Arial" w:cs="Arial"/>
          <w:sz w:val="24"/>
          <w:szCs w:val="24"/>
        </w:rPr>
        <w:t>, como a de empresas, dentre as acima relacionadas, que registraram menos de 20 (vinte), 10 (dez) e até mesmo um único emprego no mesmo CNPJ em que registrada a fruição de milhares ou milhões de reais em incentivos fiscais de ICMS ao longo de cada ano do período objeto de investigação (2014 a 2018).</w:t>
      </w:r>
    </w:p>
    <w:p w14:paraId="21EEE86C"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Esse quadro só pode conduzir a </w:t>
      </w:r>
      <w:r w:rsidRPr="00027B83">
        <w:rPr>
          <w:rFonts w:ascii="Arial" w:hAnsi="Arial" w:cs="Arial"/>
          <w:b/>
          <w:sz w:val="24"/>
          <w:szCs w:val="24"/>
        </w:rPr>
        <w:t>2 (duas) explicações básicas</w:t>
      </w:r>
      <w:r w:rsidRPr="0073317C">
        <w:rPr>
          <w:rFonts w:ascii="Arial" w:hAnsi="Arial" w:cs="Arial"/>
          <w:sz w:val="24"/>
          <w:szCs w:val="24"/>
        </w:rPr>
        <w:t>, de que as empresas</w:t>
      </w:r>
      <w:r>
        <w:rPr>
          <w:rFonts w:ascii="Arial" w:hAnsi="Arial" w:cs="Arial"/>
          <w:sz w:val="24"/>
          <w:szCs w:val="24"/>
        </w:rPr>
        <w:t xml:space="preserve">: a) informaram o número equivocado de empregos ao Ministério do Trabalho e Emprego, ou de que este, por qualquer motivo, esteja com referido número desatualizado; b) não investiram nem geraram empregos no mesmo CNPJ no qual fruem os incentivos fiscais, o que indica no mínimo uma falta de controle por parte da fiscalização ao não identificar corretamente para qual CNPJ estão sendo vertidos os recursos oriundos de renúncias de receitas, ou até mesmo possíveis ilícitos. </w:t>
      </w:r>
    </w:p>
    <w:p w14:paraId="65574695" w14:textId="5D734508"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Ressalte-se, ainda, que </w:t>
      </w:r>
      <w:r w:rsidRPr="007A16DC">
        <w:rPr>
          <w:rFonts w:ascii="Arial" w:hAnsi="Arial" w:cs="Arial"/>
          <w:b/>
          <w:sz w:val="24"/>
          <w:szCs w:val="24"/>
        </w:rPr>
        <w:t>não chegou a esta</w:t>
      </w:r>
      <w:r w:rsidRPr="00027B83">
        <w:rPr>
          <w:rFonts w:ascii="Arial" w:hAnsi="Arial" w:cs="Arial"/>
          <w:b/>
          <w:sz w:val="24"/>
          <w:szCs w:val="24"/>
        </w:rPr>
        <w:t xml:space="preserve"> CPI qualquer informação sobre auditorias </w:t>
      </w:r>
      <w:r>
        <w:rPr>
          <w:rFonts w:ascii="Arial" w:hAnsi="Arial" w:cs="Arial"/>
          <w:b/>
          <w:sz w:val="24"/>
          <w:szCs w:val="24"/>
        </w:rPr>
        <w:t xml:space="preserve">ou outras atividades fiscalizatórias </w:t>
      </w:r>
      <w:r w:rsidRPr="00027B83">
        <w:rPr>
          <w:rFonts w:ascii="Arial" w:hAnsi="Arial" w:cs="Arial"/>
          <w:b/>
          <w:sz w:val="24"/>
          <w:szCs w:val="24"/>
        </w:rPr>
        <w:t>realizadas no âmbito do crédito outorgado nem FOMENTAR ou PRODUZIR</w:t>
      </w:r>
      <w:r>
        <w:rPr>
          <w:rFonts w:ascii="Arial" w:hAnsi="Arial" w:cs="Arial"/>
          <w:b/>
          <w:sz w:val="24"/>
          <w:szCs w:val="24"/>
        </w:rPr>
        <w:t>, no período objeto de investigação (2014 a 2018),</w:t>
      </w:r>
      <w:r w:rsidRPr="00027B83">
        <w:rPr>
          <w:rFonts w:ascii="Arial" w:hAnsi="Arial" w:cs="Arial"/>
          <w:b/>
          <w:sz w:val="24"/>
          <w:szCs w:val="24"/>
        </w:rPr>
        <w:t xml:space="preserve"> </w:t>
      </w:r>
      <w:r>
        <w:rPr>
          <w:rFonts w:ascii="Arial" w:hAnsi="Arial" w:cs="Arial"/>
          <w:b/>
          <w:sz w:val="24"/>
          <w:szCs w:val="24"/>
        </w:rPr>
        <w:t>em relação a quaisquer</w:t>
      </w:r>
      <w:r w:rsidRPr="00027B83">
        <w:rPr>
          <w:rFonts w:ascii="Arial" w:hAnsi="Arial" w:cs="Arial"/>
          <w:b/>
          <w:sz w:val="24"/>
          <w:szCs w:val="24"/>
        </w:rPr>
        <w:t xml:space="preserve"> </w:t>
      </w:r>
      <w:r>
        <w:rPr>
          <w:rFonts w:ascii="Arial" w:hAnsi="Arial" w:cs="Arial"/>
          <w:b/>
          <w:sz w:val="24"/>
          <w:szCs w:val="24"/>
        </w:rPr>
        <w:t>das</w:t>
      </w:r>
      <w:r w:rsidRPr="00027B83">
        <w:rPr>
          <w:rFonts w:ascii="Arial" w:hAnsi="Arial" w:cs="Arial"/>
          <w:b/>
          <w:sz w:val="24"/>
          <w:szCs w:val="24"/>
        </w:rPr>
        <w:t xml:space="preserve"> empresas</w:t>
      </w:r>
      <w:r>
        <w:rPr>
          <w:rFonts w:ascii="Arial" w:hAnsi="Arial" w:cs="Arial"/>
          <w:b/>
          <w:sz w:val="24"/>
          <w:szCs w:val="24"/>
        </w:rPr>
        <w:t xml:space="preserve"> cujo custo anual médio por emp</w:t>
      </w:r>
      <w:r w:rsidR="009618E0">
        <w:rPr>
          <w:rFonts w:ascii="Arial" w:hAnsi="Arial" w:cs="Arial"/>
          <w:b/>
          <w:sz w:val="24"/>
          <w:szCs w:val="24"/>
        </w:rPr>
        <w:t>rego tenha sido superior a R$ 25</w:t>
      </w:r>
      <w:r>
        <w:rPr>
          <w:rFonts w:ascii="Arial" w:hAnsi="Arial" w:cs="Arial"/>
          <w:b/>
          <w:sz w:val="24"/>
          <w:szCs w:val="24"/>
        </w:rPr>
        <w:t>0.000,00 (duzentos mil reais)</w:t>
      </w:r>
      <w:r>
        <w:rPr>
          <w:rFonts w:ascii="Arial" w:hAnsi="Arial" w:cs="Arial"/>
          <w:sz w:val="24"/>
          <w:szCs w:val="24"/>
        </w:rPr>
        <w:t>, tampouco estão na relação anterior da Secretaria de Estado da Economia das empresas beneficiárias de crédito outorgado sujeitas a contrapartidas (Ofício nº 2.500/2019-Economia, p. 495).</w:t>
      </w:r>
    </w:p>
    <w:p w14:paraId="603BA9AE" w14:textId="77777777" w:rsidR="006356F1" w:rsidRDefault="006356F1" w:rsidP="006356F1">
      <w:pPr>
        <w:spacing w:line="360" w:lineRule="auto"/>
        <w:ind w:firstLine="851"/>
        <w:jc w:val="both"/>
        <w:rPr>
          <w:rFonts w:ascii="Arial" w:hAnsi="Arial" w:cs="Arial"/>
          <w:sz w:val="24"/>
          <w:szCs w:val="24"/>
        </w:rPr>
      </w:pPr>
    </w:p>
    <w:p w14:paraId="6BE95319" w14:textId="724979C0" w:rsidR="006356F1" w:rsidRDefault="006356F1" w:rsidP="006356F1">
      <w:pPr>
        <w:spacing w:line="360" w:lineRule="auto"/>
        <w:ind w:firstLine="851"/>
        <w:jc w:val="both"/>
        <w:rPr>
          <w:rFonts w:ascii="Arial" w:hAnsi="Arial" w:cs="Arial"/>
          <w:b/>
          <w:bCs/>
          <w:sz w:val="24"/>
          <w:szCs w:val="24"/>
        </w:rPr>
      </w:pPr>
      <w:r>
        <w:rPr>
          <w:rFonts w:ascii="Arial" w:hAnsi="Arial" w:cs="Arial"/>
          <w:b/>
          <w:sz w:val="24"/>
          <w:szCs w:val="24"/>
        </w:rPr>
        <w:t>9.2.3</w:t>
      </w:r>
      <w:r w:rsidRPr="00BE115E">
        <w:rPr>
          <w:rFonts w:ascii="Arial" w:hAnsi="Arial" w:cs="Arial"/>
          <w:b/>
          <w:sz w:val="24"/>
          <w:szCs w:val="24"/>
        </w:rPr>
        <w:t>.</w:t>
      </w:r>
      <w:r>
        <w:rPr>
          <w:rFonts w:ascii="Arial" w:hAnsi="Arial" w:cs="Arial"/>
          <w:b/>
          <w:sz w:val="24"/>
          <w:szCs w:val="24"/>
        </w:rPr>
        <w:t xml:space="preserve"> </w:t>
      </w:r>
      <w:r>
        <w:rPr>
          <w:rFonts w:ascii="Arial" w:hAnsi="Arial" w:cs="Arial"/>
          <w:sz w:val="24"/>
          <w:szCs w:val="24"/>
        </w:rPr>
        <w:t xml:space="preserve">Portanto, </w:t>
      </w:r>
      <w:r w:rsidRPr="008F4F97">
        <w:rPr>
          <w:rFonts w:ascii="Arial" w:hAnsi="Arial" w:cs="Arial"/>
          <w:b/>
          <w:sz w:val="24"/>
          <w:szCs w:val="24"/>
          <w:u w:val="single"/>
        </w:rPr>
        <w:t>recomenda-se que</w:t>
      </w:r>
      <w:r>
        <w:rPr>
          <w:rFonts w:ascii="Arial" w:hAnsi="Arial" w:cs="Arial"/>
          <w:b/>
          <w:sz w:val="24"/>
          <w:szCs w:val="24"/>
        </w:rPr>
        <w:t xml:space="preserve">: a) </w:t>
      </w:r>
      <w:r w:rsidRPr="008F4F97">
        <w:rPr>
          <w:rFonts w:ascii="Arial" w:hAnsi="Arial" w:cs="Arial"/>
          <w:b/>
          <w:sz w:val="24"/>
          <w:szCs w:val="24"/>
        </w:rPr>
        <w:t xml:space="preserve">o Poder Executivo revogue </w:t>
      </w:r>
      <w:r w:rsidRPr="002578B7">
        <w:rPr>
          <w:rFonts w:ascii="Arial" w:hAnsi="Arial" w:cs="Arial"/>
          <w:b/>
          <w:sz w:val="24"/>
          <w:szCs w:val="24"/>
        </w:rPr>
        <w:t>os TARE’s ou, ao menos, revise-os de modo a reduzir</w:t>
      </w:r>
      <w:r>
        <w:rPr>
          <w:rFonts w:ascii="Arial" w:hAnsi="Arial" w:cs="Arial"/>
          <w:sz w:val="24"/>
          <w:szCs w:val="24"/>
        </w:rPr>
        <w:t xml:space="preserve"> o valor dos incentivos fiscais ou aumente a exigência de contrapartidas das empresas </w:t>
      </w:r>
      <w:r w:rsidRPr="00271489">
        <w:rPr>
          <w:rFonts w:ascii="Arial" w:hAnsi="Arial" w:cs="Arial"/>
          <w:sz w:val="24"/>
          <w:szCs w:val="24"/>
        </w:rPr>
        <w:t xml:space="preserve">cujo custo anual médio por emprego tenha </w:t>
      </w:r>
      <w:r w:rsidRPr="00271489">
        <w:rPr>
          <w:rFonts w:ascii="Arial" w:hAnsi="Arial" w:cs="Arial"/>
          <w:sz w:val="24"/>
          <w:szCs w:val="24"/>
        </w:rPr>
        <w:lastRenderedPageBreak/>
        <w:t xml:space="preserve">sido superior a </w:t>
      </w:r>
      <w:r w:rsidRPr="006953FE">
        <w:rPr>
          <w:rFonts w:ascii="Arial" w:hAnsi="Arial" w:cs="Arial"/>
          <w:sz w:val="24"/>
          <w:szCs w:val="24"/>
          <w:u w:val="single"/>
        </w:rPr>
        <w:t>R$ 2</w:t>
      </w:r>
      <w:r w:rsidR="009618E0">
        <w:rPr>
          <w:rFonts w:ascii="Arial" w:hAnsi="Arial" w:cs="Arial"/>
          <w:sz w:val="24"/>
          <w:szCs w:val="24"/>
          <w:u w:val="single"/>
        </w:rPr>
        <w:t>5</w:t>
      </w:r>
      <w:r w:rsidRPr="006953FE">
        <w:rPr>
          <w:rFonts w:ascii="Arial" w:hAnsi="Arial" w:cs="Arial"/>
          <w:sz w:val="24"/>
          <w:szCs w:val="24"/>
          <w:u w:val="single"/>
        </w:rPr>
        <w:t>0.000,00</w:t>
      </w:r>
      <w:r w:rsidRPr="00271489">
        <w:rPr>
          <w:rFonts w:ascii="Arial" w:hAnsi="Arial" w:cs="Arial"/>
          <w:sz w:val="24"/>
          <w:szCs w:val="24"/>
        </w:rPr>
        <w:t xml:space="preserve"> (duzentos </w:t>
      </w:r>
      <w:r w:rsidR="009618E0">
        <w:rPr>
          <w:rFonts w:ascii="Arial" w:hAnsi="Arial" w:cs="Arial"/>
          <w:sz w:val="24"/>
          <w:szCs w:val="24"/>
        </w:rPr>
        <w:t xml:space="preserve">e cinquenta </w:t>
      </w:r>
      <w:r w:rsidRPr="00271489">
        <w:rPr>
          <w:rFonts w:ascii="Arial" w:hAnsi="Arial" w:cs="Arial"/>
          <w:sz w:val="24"/>
          <w:szCs w:val="24"/>
        </w:rPr>
        <w:t>mil reais)</w:t>
      </w:r>
      <w:r>
        <w:rPr>
          <w:rFonts w:ascii="Arial" w:hAnsi="Arial" w:cs="Arial"/>
          <w:sz w:val="24"/>
          <w:szCs w:val="24"/>
        </w:rPr>
        <w:t xml:space="preserve">; </w:t>
      </w:r>
      <w:r w:rsidRPr="00515FFB">
        <w:rPr>
          <w:rFonts w:ascii="Arial" w:hAnsi="Arial" w:cs="Arial"/>
          <w:b/>
          <w:sz w:val="24"/>
          <w:szCs w:val="24"/>
        </w:rPr>
        <w:t xml:space="preserve">b) </w:t>
      </w:r>
      <w:r w:rsidRPr="008F4F97">
        <w:rPr>
          <w:rFonts w:ascii="Arial" w:hAnsi="Arial" w:cs="Arial"/>
          <w:b/>
          <w:sz w:val="24"/>
          <w:szCs w:val="24"/>
        </w:rPr>
        <w:t>os órgãos de controle e o MPGO apurem eventuais ilícitos daí decorrentes</w:t>
      </w:r>
      <w:r>
        <w:rPr>
          <w:rFonts w:ascii="Arial" w:hAnsi="Arial" w:cs="Arial"/>
          <w:sz w:val="24"/>
          <w:szCs w:val="24"/>
        </w:rPr>
        <w:t>, principalmente daquelas cujo custo anual médio por emprego ultrapassar R$ 1.000.000,00 (um milhão de reais).</w:t>
      </w:r>
    </w:p>
    <w:p w14:paraId="7125CC95" w14:textId="77777777" w:rsidR="006356F1" w:rsidRDefault="006356F1" w:rsidP="006356F1">
      <w:pPr>
        <w:spacing w:line="360" w:lineRule="auto"/>
        <w:ind w:firstLine="851"/>
        <w:jc w:val="both"/>
        <w:rPr>
          <w:rFonts w:ascii="Arial" w:hAnsi="Arial" w:cs="Arial"/>
          <w:b/>
          <w:bCs/>
          <w:sz w:val="24"/>
          <w:szCs w:val="24"/>
        </w:rPr>
      </w:pPr>
    </w:p>
    <w:p w14:paraId="52265C8D" w14:textId="77777777" w:rsidR="006356F1" w:rsidRDefault="006356F1" w:rsidP="006356F1">
      <w:pPr>
        <w:spacing w:line="360" w:lineRule="auto"/>
        <w:ind w:firstLine="851"/>
        <w:jc w:val="both"/>
        <w:rPr>
          <w:rFonts w:ascii="Arial" w:hAnsi="Arial" w:cs="Arial"/>
          <w:b/>
          <w:bCs/>
          <w:sz w:val="24"/>
          <w:szCs w:val="24"/>
        </w:rPr>
      </w:pPr>
      <w:bookmarkStart w:id="388" w:name="_Hlk34105057"/>
      <w:r w:rsidRPr="000F499D">
        <w:rPr>
          <w:rFonts w:ascii="Arial" w:hAnsi="Arial" w:cs="Arial"/>
          <w:b/>
          <w:bCs/>
          <w:sz w:val="24"/>
          <w:szCs w:val="24"/>
        </w:rPr>
        <w:t>9.</w:t>
      </w:r>
      <w:r>
        <w:rPr>
          <w:rFonts w:ascii="Arial" w:hAnsi="Arial" w:cs="Arial"/>
          <w:b/>
          <w:bCs/>
          <w:sz w:val="24"/>
          <w:szCs w:val="24"/>
        </w:rPr>
        <w:t>3 – EMPRESAS QUE FRUEM INCENTIVOS FISCAIS POR FORÇA DE REGIME ESPECIAL, MAS SEM ESPECIFICAÇÃO DO ATO LEGAL OU NORMATIVO AUTORIZATIVO</w:t>
      </w:r>
    </w:p>
    <w:bookmarkEnd w:id="388"/>
    <w:p w14:paraId="24B960C5" w14:textId="77777777" w:rsidR="006356F1" w:rsidRDefault="006356F1" w:rsidP="006356F1">
      <w:pPr>
        <w:spacing w:line="360" w:lineRule="auto"/>
        <w:ind w:firstLine="851"/>
        <w:jc w:val="both"/>
        <w:rPr>
          <w:rFonts w:ascii="Arial" w:hAnsi="Arial" w:cs="Arial"/>
          <w:b/>
          <w:bCs/>
          <w:sz w:val="24"/>
          <w:szCs w:val="24"/>
        </w:rPr>
      </w:pPr>
    </w:p>
    <w:p w14:paraId="76C22D58" w14:textId="77777777" w:rsidR="006356F1" w:rsidRDefault="006356F1" w:rsidP="006356F1">
      <w:pPr>
        <w:spacing w:line="360" w:lineRule="auto"/>
        <w:ind w:firstLine="851"/>
        <w:jc w:val="both"/>
        <w:rPr>
          <w:rFonts w:ascii="Arial" w:hAnsi="Arial" w:cs="Arial"/>
          <w:sz w:val="24"/>
          <w:szCs w:val="24"/>
        </w:rPr>
      </w:pPr>
      <w:r w:rsidRPr="002A517E">
        <w:rPr>
          <w:rFonts w:ascii="Arial" w:hAnsi="Arial" w:cs="Arial"/>
          <w:b/>
          <w:bCs/>
          <w:sz w:val="24"/>
          <w:szCs w:val="24"/>
        </w:rPr>
        <w:t>9.3.</w:t>
      </w:r>
      <w:r>
        <w:rPr>
          <w:rFonts w:ascii="Arial" w:hAnsi="Arial" w:cs="Arial"/>
          <w:b/>
          <w:bCs/>
          <w:sz w:val="24"/>
          <w:szCs w:val="24"/>
        </w:rPr>
        <w:t>1</w:t>
      </w:r>
      <w:r w:rsidRPr="002A517E">
        <w:rPr>
          <w:rFonts w:ascii="Arial" w:hAnsi="Arial" w:cs="Arial"/>
          <w:b/>
          <w:bCs/>
          <w:sz w:val="24"/>
          <w:szCs w:val="24"/>
        </w:rPr>
        <w:t xml:space="preserve">. </w:t>
      </w:r>
      <w:r>
        <w:rPr>
          <w:rFonts w:ascii="Arial" w:hAnsi="Arial" w:cs="Arial"/>
          <w:sz w:val="24"/>
          <w:szCs w:val="24"/>
        </w:rPr>
        <w:t xml:space="preserve">Por meio do </w:t>
      </w:r>
      <w:r w:rsidRPr="008841A7">
        <w:rPr>
          <w:rFonts w:ascii="Arial" w:hAnsi="Arial" w:cs="Arial"/>
          <w:b/>
          <w:bCs/>
          <w:sz w:val="24"/>
          <w:szCs w:val="24"/>
          <w:u w:val="single"/>
        </w:rPr>
        <w:t>Ofício nº 02/2019-CPI (item 4)</w:t>
      </w:r>
      <w:r w:rsidRPr="008841A7">
        <w:rPr>
          <w:rFonts w:ascii="Arial" w:hAnsi="Arial" w:cs="Arial"/>
          <w:b/>
          <w:bCs/>
          <w:sz w:val="24"/>
          <w:szCs w:val="24"/>
        </w:rPr>
        <w:t>, requisitou-se da Secretaria de Estado da Economia a relação nominal e completa de pessoas jurídicas beneficiárias de incentivos fiscais</w:t>
      </w:r>
      <w:r>
        <w:rPr>
          <w:rFonts w:ascii="Arial" w:hAnsi="Arial" w:cs="Arial"/>
          <w:sz w:val="24"/>
          <w:szCs w:val="24"/>
        </w:rPr>
        <w:t xml:space="preserve">, respectivos valores com os quais cada uma delas foi beneficiada e </w:t>
      </w:r>
      <w:r w:rsidRPr="008841A7">
        <w:rPr>
          <w:rFonts w:ascii="Arial" w:hAnsi="Arial" w:cs="Arial"/>
          <w:b/>
          <w:bCs/>
          <w:sz w:val="24"/>
          <w:szCs w:val="24"/>
        </w:rPr>
        <w:t>atos normativos</w:t>
      </w:r>
      <w:r>
        <w:rPr>
          <w:rFonts w:ascii="Arial" w:hAnsi="Arial" w:cs="Arial"/>
          <w:sz w:val="24"/>
          <w:szCs w:val="24"/>
        </w:rPr>
        <w:t xml:space="preserve"> que fundamentam a concessão do correspondente crédito outorgado.</w:t>
      </w:r>
    </w:p>
    <w:p w14:paraId="125289A0" w14:textId="77777777" w:rsidR="006356F1" w:rsidRDefault="006356F1" w:rsidP="006356F1">
      <w:pPr>
        <w:spacing w:line="360" w:lineRule="auto"/>
        <w:ind w:firstLine="851"/>
        <w:jc w:val="both"/>
        <w:rPr>
          <w:rFonts w:ascii="Arial" w:hAnsi="Arial" w:cs="Arial"/>
          <w:sz w:val="24"/>
          <w:szCs w:val="24"/>
        </w:rPr>
      </w:pPr>
      <w:r w:rsidRPr="008841A7">
        <w:rPr>
          <w:rFonts w:ascii="Arial" w:hAnsi="Arial" w:cs="Arial"/>
          <w:b/>
          <w:bCs/>
          <w:sz w:val="24"/>
          <w:szCs w:val="24"/>
        </w:rPr>
        <w:t>Com efeito, a Secretaria apresentou extensa relação de empresas (Ofício nº 2.500-Economia, p. 128/495)</w:t>
      </w:r>
      <w:r>
        <w:rPr>
          <w:rFonts w:ascii="Arial" w:hAnsi="Arial" w:cs="Arial"/>
          <w:sz w:val="24"/>
          <w:szCs w:val="24"/>
        </w:rPr>
        <w:t xml:space="preserve">, distribuídas ao longo de 4 (quatro) grandes tabelas, com especificação do respectivo CNPJ, nome empresarial/razão social, classificação de atividade econômica segundo o CNAE, especificação do crédito concedido, </w:t>
      </w:r>
      <w:r w:rsidRPr="008841A7">
        <w:rPr>
          <w:rFonts w:ascii="Arial" w:hAnsi="Arial" w:cs="Arial"/>
          <w:b/>
          <w:bCs/>
          <w:sz w:val="24"/>
          <w:szCs w:val="24"/>
        </w:rPr>
        <w:t>ato normativo</w:t>
      </w:r>
      <w:r>
        <w:rPr>
          <w:rFonts w:ascii="Arial" w:hAnsi="Arial" w:cs="Arial"/>
          <w:sz w:val="24"/>
          <w:szCs w:val="24"/>
        </w:rPr>
        <w:t xml:space="preserve"> que o autoriza e valores fruídos ao longo dos anos de 2014 a 2018.</w:t>
      </w:r>
    </w:p>
    <w:p w14:paraId="03766DF6" w14:textId="77777777" w:rsidR="006356F1" w:rsidRDefault="006356F1" w:rsidP="006356F1">
      <w:pPr>
        <w:spacing w:line="360" w:lineRule="auto"/>
        <w:ind w:firstLine="851"/>
        <w:jc w:val="both"/>
        <w:rPr>
          <w:rFonts w:ascii="Arial" w:hAnsi="Arial" w:cs="Arial"/>
          <w:sz w:val="24"/>
          <w:szCs w:val="24"/>
        </w:rPr>
      </w:pPr>
    </w:p>
    <w:p w14:paraId="716517A2" w14:textId="65321052" w:rsidR="006356F1" w:rsidRDefault="006356F1" w:rsidP="006356F1">
      <w:pPr>
        <w:spacing w:line="360" w:lineRule="auto"/>
        <w:ind w:firstLine="851"/>
        <w:jc w:val="both"/>
        <w:rPr>
          <w:rFonts w:ascii="Arial" w:hAnsi="Arial" w:cs="Arial"/>
          <w:sz w:val="24"/>
          <w:szCs w:val="24"/>
        </w:rPr>
      </w:pPr>
      <w:r w:rsidRPr="002A517E">
        <w:rPr>
          <w:rFonts w:ascii="Arial" w:hAnsi="Arial" w:cs="Arial"/>
          <w:b/>
          <w:bCs/>
          <w:sz w:val="24"/>
          <w:szCs w:val="24"/>
        </w:rPr>
        <w:t xml:space="preserve">9.3.2. </w:t>
      </w:r>
      <w:r>
        <w:rPr>
          <w:rFonts w:ascii="Arial" w:hAnsi="Arial" w:cs="Arial"/>
          <w:sz w:val="24"/>
          <w:szCs w:val="24"/>
        </w:rPr>
        <w:t xml:space="preserve">Contudo, </w:t>
      </w:r>
      <w:r w:rsidRPr="002A517E">
        <w:rPr>
          <w:rFonts w:ascii="Arial" w:hAnsi="Arial" w:cs="Arial"/>
          <w:b/>
          <w:bCs/>
          <w:sz w:val="24"/>
          <w:szCs w:val="24"/>
          <w:u w:val="single"/>
        </w:rPr>
        <w:t>chamou a atenção desta CPI</w:t>
      </w:r>
      <w:r w:rsidRPr="008841A7">
        <w:rPr>
          <w:rFonts w:ascii="Arial" w:hAnsi="Arial" w:cs="Arial"/>
          <w:b/>
          <w:bCs/>
          <w:sz w:val="24"/>
          <w:szCs w:val="24"/>
        </w:rPr>
        <w:t xml:space="preserve"> o fato de que várias empresas apareceram nessa relação sem a especificação de qualquer dispositivo legal ou regulamentar que autorize a concessão e a fruição do respectivo incentivo fiscal</w:t>
      </w:r>
      <w:r>
        <w:rPr>
          <w:rFonts w:ascii="Arial" w:hAnsi="Arial" w:cs="Arial"/>
          <w:b/>
          <w:bCs/>
          <w:sz w:val="24"/>
          <w:szCs w:val="24"/>
        </w:rPr>
        <w:t xml:space="preserve"> </w:t>
      </w:r>
      <w:r w:rsidRPr="008841A7">
        <w:rPr>
          <w:rFonts w:ascii="Arial" w:hAnsi="Arial" w:cs="Arial"/>
          <w:b/>
          <w:bCs/>
          <w:sz w:val="24"/>
          <w:szCs w:val="24"/>
        </w:rPr>
        <w:t xml:space="preserve">(Ofício nº 2.500-Economia, p. </w:t>
      </w:r>
      <w:r>
        <w:rPr>
          <w:rFonts w:ascii="Arial" w:hAnsi="Arial" w:cs="Arial"/>
          <w:b/>
          <w:bCs/>
          <w:sz w:val="24"/>
          <w:szCs w:val="24"/>
        </w:rPr>
        <w:t>328</w:t>
      </w:r>
      <w:r w:rsidRPr="008841A7">
        <w:rPr>
          <w:rFonts w:ascii="Arial" w:hAnsi="Arial" w:cs="Arial"/>
          <w:b/>
          <w:bCs/>
          <w:sz w:val="24"/>
          <w:szCs w:val="24"/>
        </w:rPr>
        <w:t>/</w:t>
      </w:r>
      <w:r>
        <w:rPr>
          <w:rFonts w:ascii="Arial" w:hAnsi="Arial" w:cs="Arial"/>
          <w:b/>
          <w:bCs/>
          <w:sz w:val="24"/>
          <w:szCs w:val="24"/>
        </w:rPr>
        <w:t>335</w:t>
      </w:r>
      <w:r w:rsidRPr="008841A7">
        <w:rPr>
          <w:rFonts w:ascii="Arial" w:hAnsi="Arial" w:cs="Arial"/>
          <w:b/>
          <w:bCs/>
          <w:sz w:val="24"/>
          <w:szCs w:val="24"/>
        </w:rPr>
        <w:t>)</w:t>
      </w:r>
      <w:r>
        <w:rPr>
          <w:rFonts w:ascii="Arial" w:hAnsi="Arial" w:cs="Arial"/>
          <w:sz w:val="24"/>
          <w:szCs w:val="24"/>
        </w:rPr>
        <w:t>, apenas com as genéricas descrições “</w:t>
      </w:r>
      <w:r w:rsidRPr="00391A19">
        <w:rPr>
          <w:rFonts w:ascii="Arial" w:hAnsi="Arial" w:cs="Arial"/>
          <w:sz w:val="24"/>
          <w:szCs w:val="24"/>
        </w:rPr>
        <w:t>Cr. apropriado em função de concessão por meio de TARE</w:t>
      </w:r>
      <w:r>
        <w:rPr>
          <w:rFonts w:ascii="Arial" w:hAnsi="Arial" w:cs="Arial"/>
          <w:sz w:val="24"/>
          <w:szCs w:val="24"/>
        </w:rPr>
        <w:t xml:space="preserve"> </w:t>
      </w:r>
      <w:r w:rsidRPr="00391A19">
        <w:rPr>
          <w:rFonts w:ascii="Arial" w:hAnsi="Arial" w:cs="Arial"/>
          <w:sz w:val="24"/>
          <w:szCs w:val="24"/>
        </w:rPr>
        <w:t>(Código exclusivo p/as quais não exista previsão de nenhum</w:t>
      </w:r>
      <w:r>
        <w:rPr>
          <w:rFonts w:ascii="Arial" w:hAnsi="Arial" w:cs="Arial"/>
          <w:sz w:val="24"/>
          <w:szCs w:val="24"/>
        </w:rPr>
        <w:t xml:space="preserve"> </w:t>
      </w:r>
      <w:r w:rsidRPr="00391A19">
        <w:rPr>
          <w:rFonts w:ascii="Arial" w:hAnsi="Arial" w:cs="Arial"/>
          <w:sz w:val="24"/>
          <w:szCs w:val="24"/>
        </w:rPr>
        <w:t>outro código específico nesta tabela).</w:t>
      </w:r>
      <w:r>
        <w:rPr>
          <w:rFonts w:ascii="Arial" w:hAnsi="Arial" w:cs="Arial"/>
          <w:sz w:val="24"/>
          <w:szCs w:val="24"/>
        </w:rPr>
        <w:t>” e “</w:t>
      </w:r>
      <w:r w:rsidRPr="008C02B3">
        <w:rPr>
          <w:rFonts w:ascii="Arial" w:hAnsi="Arial" w:cs="Arial"/>
          <w:sz w:val="24"/>
          <w:szCs w:val="24"/>
        </w:rPr>
        <w:t>TARE's diversos</w:t>
      </w:r>
      <w:r>
        <w:rPr>
          <w:rFonts w:ascii="Arial" w:hAnsi="Arial" w:cs="Arial"/>
          <w:sz w:val="24"/>
          <w:szCs w:val="24"/>
        </w:rPr>
        <w:t>”</w:t>
      </w:r>
      <w:r w:rsidR="000620AA">
        <w:rPr>
          <w:rStyle w:val="Refdenotaderodap"/>
          <w:rFonts w:ascii="Arial" w:hAnsi="Arial" w:cs="Arial"/>
          <w:sz w:val="24"/>
          <w:szCs w:val="24"/>
        </w:rPr>
        <w:footnoteReference w:id="105"/>
      </w:r>
      <w:r>
        <w:rPr>
          <w:rFonts w:ascii="Arial" w:hAnsi="Arial" w:cs="Arial"/>
          <w:sz w:val="24"/>
          <w:szCs w:val="24"/>
        </w:rPr>
        <w:t xml:space="preserve">. </w:t>
      </w:r>
    </w:p>
    <w:p w14:paraId="4E489491" w14:textId="1B272DCF" w:rsidR="006356F1" w:rsidRDefault="006356F1" w:rsidP="006356F1">
      <w:pPr>
        <w:spacing w:line="360" w:lineRule="auto"/>
        <w:ind w:firstLine="851"/>
        <w:jc w:val="both"/>
        <w:rPr>
          <w:rFonts w:ascii="Arial" w:hAnsi="Arial" w:cs="Arial"/>
          <w:sz w:val="24"/>
          <w:szCs w:val="24"/>
        </w:rPr>
      </w:pPr>
      <w:r w:rsidRPr="00FB65B8">
        <w:rPr>
          <w:rFonts w:ascii="Arial" w:hAnsi="Arial" w:cs="Arial"/>
          <w:b/>
          <w:sz w:val="24"/>
          <w:szCs w:val="24"/>
        </w:rPr>
        <w:t>Da mencionada relação constam centenas de empresas (CNPJ’s), perto de 200 (duzentas), dos mais variados ramos de atividade</w:t>
      </w:r>
      <w:r>
        <w:rPr>
          <w:rFonts w:ascii="Arial" w:hAnsi="Arial" w:cs="Arial"/>
          <w:sz w:val="24"/>
          <w:szCs w:val="24"/>
        </w:rPr>
        <w:t xml:space="preserve">, cujos </w:t>
      </w:r>
      <w:r w:rsidRPr="00FB65B8">
        <w:rPr>
          <w:rFonts w:ascii="Arial" w:hAnsi="Arial" w:cs="Arial"/>
          <w:sz w:val="24"/>
          <w:szCs w:val="24"/>
          <w:u w:val="single"/>
        </w:rPr>
        <w:t>valores de incentivos fiscais fruídos</w:t>
      </w:r>
      <w:r>
        <w:rPr>
          <w:rFonts w:ascii="Arial" w:hAnsi="Arial" w:cs="Arial"/>
          <w:sz w:val="24"/>
          <w:szCs w:val="24"/>
        </w:rPr>
        <w:t xml:space="preserve">, ao longo do </w:t>
      </w:r>
      <w:r w:rsidRPr="00FB65B8">
        <w:rPr>
          <w:rFonts w:ascii="Arial" w:hAnsi="Arial" w:cs="Arial"/>
          <w:sz w:val="24"/>
          <w:szCs w:val="24"/>
          <w:u w:val="single"/>
        </w:rPr>
        <w:t>período objeto de investigação (2014 a 2018)</w:t>
      </w:r>
      <w:r>
        <w:rPr>
          <w:rFonts w:ascii="Arial" w:hAnsi="Arial" w:cs="Arial"/>
          <w:sz w:val="24"/>
          <w:szCs w:val="24"/>
        </w:rPr>
        <w:t xml:space="preserve">, chega próximo da casa dos </w:t>
      </w:r>
      <w:r w:rsidRPr="00FB65B8">
        <w:rPr>
          <w:rFonts w:ascii="Arial" w:hAnsi="Arial" w:cs="Arial"/>
          <w:sz w:val="24"/>
          <w:szCs w:val="24"/>
          <w:u w:val="single"/>
        </w:rPr>
        <w:t>R$ 500.000.000,00 (quinhentos milhões de reais)</w:t>
      </w:r>
      <w:r>
        <w:rPr>
          <w:rFonts w:ascii="Arial" w:hAnsi="Arial" w:cs="Arial"/>
          <w:sz w:val="24"/>
          <w:szCs w:val="24"/>
        </w:rPr>
        <w:t xml:space="preserve">, num cálculo </w:t>
      </w:r>
      <w:r w:rsidR="001175A6">
        <w:rPr>
          <w:rFonts w:ascii="Arial" w:hAnsi="Arial" w:cs="Arial"/>
          <w:sz w:val="24"/>
          <w:szCs w:val="24"/>
        </w:rPr>
        <w:t>perfunctório</w:t>
      </w:r>
      <w:r>
        <w:rPr>
          <w:rFonts w:ascii="Arial" w:hAnsi="Arial" w:cs="Arial"/>
          <w:sz w:val="24"/>
          <w:szCs w:val="24"/>
        </w:rPr>
        <w:t xml:space="preserve"> desta CPI a partir da documentação apresentada.</w:t>
      </w:r>
    </w:p>
    <w:p w14:paraId="51785C1C" w14:textId="77777777" w:rsidR="006356F1" w:rsidRDefault="006356F1" w:rsidP="006356F1">
      <w:pPr>
        <w:spacing w:line="360" w:lineRule="auto"/>
        <w:ind w:firstLine="851"/>
        <w:jc w:val="both"/>
        <w:rPr>
          <w:rFonts w:ascii="Arial" w:hAnsi="Arial" w:cs="Arial"/>
          <w:sz w:val="24"/>
          <w:szCs w:val="24"/>
        </w:rPr>
      </w:pPr>
      <w:r w:rsidRPr="00FB65B8">
        <w:rPr>
          <w:rFonts w:ascii="Arial" w:hAnsi="Arial" w:cs="Arial"/>
          <w:b/>
          <w:sz w:val="24"/>
          <w:szCs w:val="24"/>
        </w:rPr>
        <w:lastRenderedPageBreak/>
        <w:t>Esses valores, em sua totalidade ou, ao menos, em sua maioria, devem ter sido fruídos a título de crédito outorgado</w:t>
      </w:r>
      <w:r>
        <w:rPr>
          <w:rFonts w:ascii="Arial" w:hAnsi="Arial" w:cs="Arial"/>
          <w:sz w:val="24"/>
          <w:szCs w:val="24"/>
        </w:rPr>
        <w:t xml:space="preserve">, porquanto várias empresas que constavam nessa relação da Secretaria de Estado da Economia (Ofício nº 2.500/2019-Economia, p. 328/335) aparecem na primeira relação fornecida pela mesma Secretaria como tendo fruído no período objeto de investigação (2014 a 2018) apenas crédito outorgado (Ofício nº 2.756/2019-Economia, p. 7/60), </w:t>
      </w:r>
      <w:r w:rsidRPr="000E6460">
        <w:rPr>
          <w:rFonts w:ascii="Arial" w:hAnsi="Arial" w:cs="Arial"/>
          <w:sz w:val="24"/>
          <w:szCs w:val="24"/>
          <w:u w:val="single"/>
        </w:rPr>
        <w:t>inclusive em relação a algumas das 100 (cem) maiores beneficiárias de incentivos fiscais no Estado de Goiás</w:t>
      </w:r>
      <w:r>
        <w:rPr>
          <w:rFonts w:ascii="Arial" w:hAnsi="Arial" w:cs="Arial"/>
          <w:sz w:val="24"/>
          <w:szCs w:val="24"/>
        </w:rPr>
        <w:t>.</w:t>
      </w:r>
    </w:p>
    <w:p w14:paraId="11728B6C" w14:textId="77777777" w:rsidR="006356F1" w:rsidRDefault="006356F1" w:rsidP="006356F1">
      <w:pPr>
        <w:spacing w:line="360" w:lineRule="auto"/>
        <w:ind w:firstLine="851"/>
        <w:jc w:val="both"/>
        <w:rPr>
          <w:rFonts w:ascii="Arial" w:hAnsi="Arial" w:cs="Arial"/>
          <w:sz w:val="24"/>
          <w:szCs w:val="24"/>
        </w:rPr>
      </w:pPr>
      <w:r w:rsidRPr="000E6460">
        <w:rPr>
          <w:rFonts w:ascii="Arial" w:hAnsi="Arial" w:cs="Arial"/>
          <w:b/>
          <w:sz w:val="24"/>
          <w:szCs w:val="24"/>
        </w:rPr>
        <w:t>Trata-se de situação que deve ser apurada pelo próprio Poder Executivo e demais órgãos de controle</w:t>
      </w:r>
      <w:r>
        <w:rPr>
          <w:rFonts w:ascii="Arial" w:hAnsi="Arial" w:cs="Arial"/>
          <w:sz w:val="24"/>
          <w:szCs w:val="24"/>
        </w:rPr>
        <w:t>, porquanto não se concebe que qualquer pessoa jurídica frua algum incentivo fiscal sem prévio ato legal ou normativo que o fundamente. Ou há ilegalidade na fruição de incentivos fiscais por centenas de empresas, ou a Secretaria de Estado da Economia prestou a esta CPI informações incompletas ou imprecisas que não permitiram um exame mais aprofundado.</w:t>
      </w:r>
    </w:p>
    <w:p w14:paraId="725B5B43"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Ressalte-se, ainda, que </w:t>
      </w:r>
      <w:r w:rsidRPr="007A16DC">
        <w:rPr>
          <w:rFonts w:ascii="Arial" w:hAnsi="Arial" w:cs="Arial"/>
          <w:b/>
          <w:sz w:val="24"/>
          <w:szCs w:val="24"/>
        </w:rPr>
        <w:t>não chegou a</w:t>
      </w:r>
      <w:r w:rsidRPr="00027B83">
        <w:rPr>
          <w:rFonts w:ascii="Arial" w:hAnsi="Arial" w:cs="Arial"/>
          <w:b/>
          <w:sz w:val="24"/>
          <w:szCs w:val="24"/>
        </w:rPr>
        <w:t xml:space="preserve"> esta CPI qualquer informação sobre auditorias </w:t>
      </w:r>
      <w:r>
        <w:rPr>
          <w:rFonts w:ascii="Arial" w:hAnsi="Arial" w:cs="Arial"/>
          <w:b/>
          <w:sz w:val="24"/>
          <w:szCs w:val="24"/>
        </w:rPr>
        <w:t xml:space="preserve">ou outras atividades fiscalizatórias </w:t>
      </w:r>
      <w:r w:rsidRPr="00027B83">
        <w:rPr>
          <w:rFonts w:ascii="Arial" w:hAnsi="Arial" w:cs="Arial"/>
          <w:b/>
          <w:sz w:val="24"/>
          <w:szCs w:val="24"/>
        </w:rPr>
        <w:t>realizadas no âmbito do crédito outorgado nem FOMENTAR ou PRODUZIR</w:t>
      </w:r>
      <w:r>
        <w:rPr>
          <w:rFonts w:ascii="Arial" w:hAnsi="Arial" w:cs="Arial"/>
          <w:b/>
          <w:sz w:val="24"/>
          <w:szCs w:val="24"/>
        </w:rPr>
        <w:t>, no período objeto de investigação (2014 a 2018),</w:t>
      </w:r>
      <w:r w:rsidRPr="00027B83">
        <w:rPr>
          <w:rFonts w:ascii="Arial" w:hAnsi="Arial" w:cs="Arial"/>
          <w:b/>
          <w:sz w:val="24"/>
          <w:szCs w:val="24"/>
        </w:rPr>
        <w:t xml:space="preserve"> </w:t>
      </w:r>
      <w:r>
        <w:rPr>
          <w:rFonts w:ascii="Arial" w:hAnsi="Arial" w:cs="Arial"/>
          <w:b/>
          <w:sz w:val="24"/>
          <w:szCs w:val="24"/>
        </w:rPr>
        <w:t>em relação a quaisquer</w:t>
      </w:r>
      <w:r w:rsidRPr="00027B83">
        <w:rPr>
          <w:rFonts w:ascii="Arial" w:hAnsi="Arial" w:cs="Arial"/>
          <w:b/>
          <w:sz w:val="24"/>
          <w:szCs w:val="24"/>
        </w:rPr>
        <w:t xml:space="preserve"> </w:t>
      </w:r>
      <w:r>
        <w:rPr>
          <w:rFonts w:ascii="Arial" w:hAnsi="Arial" w:cs="Arial"/>
          <w:b/>
          <w:sz w:val="24"/>
          <w:szCs w:val="24"/>
        </w:rPr>
        <w:t>das</w:t>
      </w:r>
      <w:r w:rsidRPr="00027B83">
        <w:rPr>
          <w:rFonts w:ascii="Arial" w:hAnsi="Arial" w:cs="Arial"/>
          <w:b/>
          <w:sz w:val="24"/>
          <w:szCs w:val="24"/>
        </w:rPr>
        <w:t xml:space="preserve"> empresas</w:t>
      </w:r>
      <w:r>
        <w:rPr>
          <w:rFonts w:ascii="Arial" w:hAnsi="Arial" w:cs="Arial"/>
          <w:b/>
          <w:sz w:val="24"/>
          <w:szCs w:val="24"/>
        </w:rPr>
        <w:t xml:space="preserve"> que constaram na relação da Secretaria de Estado da Economia nessa situação</w:t>
      </w:r>
      <w:r w:rsidRPr="000E6460">
        <w:rPr>
          <w:rFonts w:ascii="Arial" w:hAnsi="Arial" w:cs="Arial"/>
          <w:sz w:val="24"/>
          <w:szCs w:val="24"/>
        </w:rPr>
        <w:t xml:space="preserve"> (TARE’s diversos, sem especificação de dispositivo legal ou regulamentar autorizativo)</w:t>
      </w:r>
      <w:r>
        <w:rPr>
          <w:rFonts w:ascii="Arial" w:hAnsi="Arial" w:cs="Arial"/>
          <w:sz w:val="24"/>
          <w:szCs w:val="24"/>
        </w:rPr>
        <w:t>, tampouco estão na relação anterior da Secretaria de Estado da Economia das empresas beneficiárias de crédito outorgado sujeitas a contrapartidas (Ofício nº 2.500/2019-Economia, p. 495).</w:t>
      </w:r>
    </w:p>
    <w:p w14:paraId="35C91FE9" w14:textId="6A0DC054"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Importante destacar, ainda, que algumas das empresas que constaram nessa relação também coincidem com aquelas que apresentaram um custo anual médio por emprego mui</w:t>
      </w:r>
      <w:r w:rsidR="001175A6">
        <w:rPr>
          <w:rFonts w:ascii="Arial" w:hAnsi="Arial" w:cs="Arial"/>
          <w:sz w:val="24"/>
          <w:szCs w:val="24"/>
        </w:rPr>
        <w:t>to acima da média, objeto de abordagem no subtópico anterior (item 9.2)</w:t>
      </w:r>
      <w:r>
        <w:rPr>
          <w:rFonts w:ascii="Arial" w:hAnsi="Arial" w:cs="Arial"/>
          <w:sz w:val="24"/>
          <w:szCs w:val="24"/>
        </w:rPr>
        <w:t>.</w:t>
      </w:r>
    </w:p>
    <w:p w14:paraId="7FDA102C" w14:textId="77777777" w:rsidR="006356F1" w:rsidRDefault="006356F1" w:rsidP="006356F1">
      <w:pPr>
        <w:spacing w:line="360" w:lineRule="auto"/>
        <w:ind w:firstLine="851"/>
        <w:jc w:val="both"/>
        <w:rPr>
          <w:rFonts w:ascii="Arial" w:hAnsi="Arial" w:cs="Arial"/>
          <w:sz w:val="24"/>
          <w:szCs w:val="24"/>
        </w:rPr>
      </w:pPr>
    </w:p>
    <w:p w14:paraId="6BAB62B7" w14:textId="77777777" w:rsidR="006356F1" w:rsidRDefault="006356F1" w:rsidP="006356F1">
      <w:pPr>
        <w:spacing w:line="360" w:lineRule="auto"/>
        <w:ind w:firstLine="851"/>
        <w:jc w:val="both"/>
        <w:rPr>
          <w:rFonts w:ascii="Arial" w:hAnsi="Arial" w:cs="Arial"/>
          <w:b/>
          <w:bCs/>
          <w:sz w:val="24"/>
          <w:szCs w:val="24"/>
        </w:rPr>
      </w:pPr>
      <w:bookmarkStart w:id="389" w:name="_Hlk34105044"/>
      <w:r w:rsidRPr="002A517E">
        <w:rPr>
          <w:rFonts w:ascii="Arial" w:hAnsi="Arial" w:cs="Arial"/>
          <w:b/>
          <w:bCs/>
          <w:sz w:val="24"/>
          <w:szCs w:val="24"/>
        </w:rPr>
        <w:t>9.3.</w:t>
      </w:r>
      <w:r>
        <w:rPr>
          <w:rFonts w:ascii="Arial" w:hAnsi="Arial" w:cs="Arial"/>
          <w:b/>
          <w:bCs/>
          <w:sz w:val="24"/>
          <w:szCs w:val="24"/>
        </w:rPr>
        <w:t>3</w:t>
      </w:r>
      <w:r w:rsidRPr="002A517E">
        <w:rPr>
          <w:rFonts w:ascii="Arial" w:hAnsi="Arial" w:cs="Arial"/>
          <w:b/>
          <w:bCs/>
          <w:sz w:val="24"/>
          <w:szCs w:val="24"/>
        </w:rPr>
        <w:t xml:space="preserve">. </w:t>
      </w:r>
      <w:r>
        <w:rPr>
          <w:rFonts w:ascii="Arial" w:hAnsi="Arial" w:cs="Arial"/>
          <w:sz w:val="24"/>
          <w:szCs w:val="24"/>
        </w:rPr>
        <w:t xml:space="preserve">Portanto, </w:t>
      </w:r>
      <w:r w:rsidRPr="008F4F97">
        <w:rPr>
          <w:rFonts w:ascii="Arial" w:hAnsi="Arial" w:cs="Arial"/>
          <w:b/>
          <w:sz w:val="24"/>
          <w:szCs w:val="24"/>
          <w:u w:val="single"/>
        </w:rPr>
        <w:t>recomenda-se que</w:t>
      </w:r>
      <w:r>
        <w:rPr>
          <w:rFonts w:ascii="Arial" w:hAnsi="Arial" w:cs="Arial"/>
          <w:b/>
          <w:sz w:val="24"/>
          <w:szCs w:val="24"/>
        </w:rPr>
        <w:t xml:space="preserve">: a) </w:t>
      </w:r>
      <w:r w:rsidRPr="008F4F97">
        <w:rPr>
          <w:rFonts w:ascii="Arial" w:hAnsi="Arial" w:cs="Arial"/>
          <w:b/>
          <w:sz w:val="24"/>
          <w:szCs w:val="24"/>
        </w:rPr>
        <w:t>o Poder Executivo</w:t>
      </w:r>
      <w:r>
        <w:rPr>
          <w:rFonts w:ascii="Arial" w:hAnsi="Arial" w:cs="Arial"/>
          <w:b/>
          <w:sz w:val="24"/>
          <w:szCs w:val="24"/>
        </w:rPr>
        <w:t xml:space="preserve"> reavalie</w:t>
      </w:r>
      <w:r w:rsidRPr="008F4F97">
        <w:rPr>
          <w:rFonts w:ascii="Arial" w:hAnsi="Arial" w:cs="Arial"/>
          <w:b/>
          <w:sz w:val="24"/>
          <w:szCs w:val="24"/>
        </w:rPr>
        <w:t xml:space="preserve"> </w:t>
      </w:r>
      <w:r>
        <w:rPr>
          <w:rFonts w:ascii="Arial" w:hAnsi="Arial" w:cs="Arial"/>
          <w:b/>
          <w:sz w:val="24"/>
          <w:szCs w:val="24"/>
        </w:rPr>
        <w:t xml:space="preserve">todos </w:t>
      </w:r>
      <w:r w:rsidRPr="002578B7">
        <w:rPr>
          <w:rFonts w:ascii="Arial" w:hAnsi="Arial" w:cs="Arial"/>
          <w:b/>
          <w:sz w:val="24"/>
          <w:szCs w:val="24"/>
        </w:rPr>
        <w:t xml:space="preserve">os TARE’s </w:t>
      </w:r>
      <w:r>
        <w:rPr>
          <w:rFonts w:ascii="Arial" w:hAnsi="Arial" w:cs="Arial"/>
          <w:b/>
          <w:sz w:val="24"/>
          <w:szCs w:val="24"/>
        </w:rPr>
        <w:t>listados na mencionada relação da Secretaria de Estado da Economia (Ofício nº 2.500/2019-Economia, p. 327/335)</w:t>
      </w:r>
      <w:r w:rsidRPr="0070724D">
        <w:rPr>
          <w:rFonts w:ascii="Arial" w:hAnsi="Arial" w:cs="Arial"/>
          <w:sz w:val="24"/>
          <w:szCs w:val="24"/>
        </w:rPr>
        <w:t>,</w:t>
      </w:r>
      <w:r>
        <w:rPr>
          <w:rFonts w:ascii="Arial" w:hAnsi="Arial" w:cs="Arial"/>
          <w:sz w:val="24"/>
          <w:szCs w:val="24"/>
        </w:rPr>
        <w:t xml:space="preserve"> e os revogue caso</w:t>
      </w:r>
      <w:r w:rsidRPr="0070724D">
        <w:rPr>
          <w:rFonts w:ascii="Arial" w:hAnsi="Arial" w:cs="Arial"/>
          <w:sz w:val="24"/>
          <w:szCs w:val="24"/>
        </w:rPr>
        <w:t xml:space="preserve"> verificada a real ausência de base legal para a fruição</w:t>
      </w:r>
      <w:r>
        <w:rPr>
          <w:rFonts w:ascii="Arial" w:hAnsi="Arial" w:cs="Arial"/>
          <w:sz w:val="24"/>
          <w:szCs w:val="24"/>
        </w:rPr>
        <w:t xml:space="preserve"> do benefício</w:t>
      </w:r>
      <w:r w:rsidRPr="0070724D">
        <w:rPr>
          <w:rFonts w:ascii="Arial" w:hAnsi="Arial" w:cs="Arial"/>
          <w:sz w:val="24"/>
          <w:szCs w:val="24"/>
        </w:rPr>
        <w:t xml:space="preserve"> ou a ausência de exigência de contrapartidas a essas empresas</w:t>
      </w:r>
      <w:r>
        <w:rPr>
          <w:rFonts w:ascii="Arial" w:hAnsi="Arial" w:cs="Arial"/>
          <w:sz w:val="24"/>
          <w:szCs w:val="24"/>
        </w:rPr>
        <w:t xml:space="preserve"> nos respectivos TARE’s, bem como eventual ressarcimento ao erário caso constatada ilegalidade na concessão dos benefícios; </w:t>
      </w:r>
      <w:r w:rsidRPr="00515FFB">
        <w:rPr>
          <w:rFonts w:ascii="Arial" w:hAnsi="Arial" w:cs="Arial"/>
          <w:b/>
          <w:sz w:val="24"/>
          <w:szCs w:val="24"/>
        </w:rPr>
        <w:t xml:space="preserve">b) </w:t>
      </w:r>
      <w:r w:rsidRPr="008F4F97">
        <w:rPr>
          <w:rFonts w:ascii="Arial" w:hAnsi="Arial" w:cs="Arial"/>
          <w:b/>
          <w:sz w:val="24"/>
          <w:szCs w:val="24"/>
        </w:rPr>
        <w:t>os órgãos de controle e o MPGO apurem eventuais ilícitos daí decorrentes</w:t>
      </w:r>
      <w:r>
        <w:rPr>
          <w:rFonts w:ascii="Arial" w:hAnsi="Arial" w:cs="Arial"/>
          <w:sz w:val="24"/>
          <w:szCs w:val="24"/>
        </w:rPr>
        <w:t xml:space="preserve">, </w:t>
      </w:r>
      <w:r>
        <w:rPr>
          <w:rFonts w:ascii="Arial" w:hAnsi="Arial" w:cs="Arial"/>
          <w:sz w:val="24"/>
          <w:szCs w:val="24"/>
        </w:rPr>
        <w:lastRenderedPageBreak/>
        <w:t>principalmente quanto a eventual incidência do disposto no art. 10, VII, da Lei nº 8.429/1992, sem prejuízo também da adoção de medidas visando a eventual ressarcimento ao erário.</w:t>
      </w:r>
    </w:p>
    <w:bookmarkEnd w:id="389"/>
    <w:p w14:paraId="28F6F4B4" w14:textId="77777777" w:rsidR="006356F1" w:rsidRDefault="006356F1" w:rsidP="006356F1">
      <w:pPr>
        <w:spacing w:line="360" w:lineRule="auto"/>
        <w:ind w:firstLine="851"/>
        <w:jc w:val="both"/>
        <w:rPr>
          <w:rFonts w:ascii="Arial" w:hAnsi="Arial" w:cs="Arial"/>
          <w:b/>
          <w:bCs/>
          <w:sz w:val="24"/>
          <w:szCs w:val="24"/>
        </w:rPr>
      </w:pPr>
    </w:p>
    <w:p w14:paraId="2516585C" w14:textId="34066304" w:rsidR="006356F1" w:rsidRDefault="006356F1" w:rsidP="006356F1">
      <w:pPr>
        <w:spacing w:line="360" w:lineRule="auto"/>
        <w:ind w:firstLine="851"/>
        <w:jc w:val="both"/>
        <w:rPr>
          <w:rFonts w:ascii="Arial" w:hAnsi="Arial" w:cs="Arial"/>
          <w:b/>
          <w:bCs/>
          <w:sz w:val="24"/>
          <w:szCs w:val="24"/>
        </w:rPr>
      </w:pPr>
      <w:bookmarkStart w:id="390" w:name="_Hlk34105078"/>
      <w:r w:rsidRPr="00B414AB">
        <w:rPr>
          <w:rFonts w:ascii="Arial" w:hAnsi="Arial" w:cs="Arial"/>
          <w:b/>
          <w:bCs/>
          <w:sz w:val="24"/>
          <w:szCs w:val="24"/>
        </w:rPr>
        <w:t>9.4 – INCENTIVOS FISCAIS NO RAMO DA MINERAÇÃO</w:t>
      </w:r>
    </w:p>
    <w:bookmarkEnd w:id="390"/>
    <w:p w14:paraId="65489963" w14:textId="77777777" w:rsidR="006356F1" w:rsidRDefault="006356F1" w:rsidP="006356F1">
      <w:pPr>
        <w:spacing w:line="360" w:lineRule="auto"/>
        <w:ind w:firstLine="851"/>
        <w:jc w:val="both"/>
        <w:rPr>
          <w:rFonts w:ascii="Arial" w:hAnsi="Arial" w:cs="Arial"/>
          <w:b/>
          <w:bCs/>
          <w:sz w:val="24"/>
          <w:szCs w:val="24"/>
        </w:rPr>
      </w:pPr>
    </w:p>
    <w:p w14:paraId="2D314E3F" w14:textId="77777777" w:rsidR="006356F1" w:rsidRDefault="006356F1" w:rsidP="006356F1">
      <w:pPr>
        <w:spacing w:line="360" w:lineRule="auto"/>
        <w:ind w:firstLine="851"/>
        <w:jc w:val="both"/>
        <w:rPr>
          <w:rFonts w:ascii="Arial" w:hAnsi="Arial" w:cs="Arial"/>
          <w:sz w:val="24"/>
          <w:szCs w:val="24"/>
        </w:rPr>
      </w:pPr>
      <w:r w:rsidRPr="002A517E">
        <w:rPr>
          <w:rFonts w:ascii="Arial" w:hAnsi="Arial" w:cs="Arial"/>
          <w:b/>
          <w:bCs/>
          <w:sz w:val="24"/>
          <w:szCs w:val="24"/>
        </w:rPr>
        <w:t>9.</w:t>
      </w:r>
      <w:r>
        <w:rPr>
          <w:rFonts w:ascii="Arial" w:hAnsi="Arial" w:cs="Arial"/>
          <w:b/>
          <w:bCs/>
          <w:sz w:val="24"/>
          <w:szCs w:val="24"/>
        </w:rPr>
        <w:t>4</w:t>
      </w:r>
      <w:r w:rsidRPr="002A517E">
        <w:rPr>
          <w:rFonts w:ascii="Arial" w:hAnsi="Arial" w:cs="Arial"/>
          <w:b/>
          <w:bCs/>
          <w:sz w:val="24"/>
          <w:szCs w:val="24"/>
        </w:rPr>
        <w:t>.</w:t>
      </w:r>
      <w:r>
        <w:rPr>
          <w:rFonts w:ascii="Arial" w:hAnsi="Arial" w:cs="Arial"/>
          <w:b/>
          <w:bCs/>
          <w:sz w:val="24"/>
          <w:szCs w:val="24"/>
        </w:rPr>
        <w:t>1</w:t>
      </w:r>
      <w:r w:rsidRPr="002A517E">
        <w:rPr>
          <w:rFonts w:ascii="Arial" w:hAnsi="Arial" w:cs="Arial"/>
          <w:b/>
          <w:bCs/>
          <w:sz w:val="24"/>
          <w:szCs w:val="24"/>
        </w:rPr>
        <w:t xml:space="preserve">. </w:t>
      </w:r>
      <w:r>
        <w:rPr>
          <w:rFonts w:ascii="Arial" w:hAnsi="Arial" w:cs="Arial"/>
          <w:sz w:val="24"/>
          <w:szCs w:val="24"/>
        </w:rPr>
        <w:t xml:space="preserve">O Estado de Goiás, historicamente, foi e ainda continua sendo um território com vastos recursos minerais, o que atraiu diversas empresas de mineração a se instalar em solo goiano. </w:t>
      </w:r>
    </w:p>
    <w:p w14:paraId="57939436"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A fim de estabelecer uma política de incentivos fiscais para desenvolver esse segmento, publicou-se a </w:t>
      </w:r>
      <w:r w:rsidRPr="00D32583">
        <w:rPr>
          <w:rFonts w:ascii="Arial" w:hAnsi="Arial" w:cs="Arial"/>
          <w:b/>
          <w:sz w:val="24"/>
          <w:szCs w:val="24"/>
          <w:u w:val="single"/>
        </w:rPr>
        <w:t>Lei nº 15.</w:t>
      </w:r>
      <w:r w:rsidRPr="00784486">
        <w:rPr>
          <w:rFonts w:ascii="Arial" w:hAnsi="Arial" w:cs="Arial"/>
          <w:b/>
          <w:sz w:val="24"/>
          <w:szCs w:val="24"/>
          <w:u w:val="single"/>
        </w:rPr>
        <w:t>719/2006</w:t>
      </w:r>
      <w:r w:rsidRPr="00784486">
        <w:rPr>
          <w:rFonts w:ascii="Arial" w:hAnsi="Arial" w:cs="Arial"/>
          <w:b/>
          <w:sz w:val="24"/>
          <w:szCs w:val="24"/>
        </w:rPr>
        <w:t xml:space="preserve">, que institui tratamento tributário diferenciado concernente à apuração e ao pagamento de ICMS a empresa que implantar, no Estado de Goiás, projeto industrial relacionado à extração, industrialização e circulação de minério de </w:t>
      </w:r>
      <w:r w:rsidRPr="0008124E">
        <w:rPr>
          <w:rFonts w:ascii="Arial" w:hAnsi="Arial" w:cs="Arial"/>
          <w:b/>
          <w:sz w:val="24"/>
          <w:szCs w:val="24"/>
        </w:rPr>
        <w:t>níquel, cobre e seus derivados</w:t>
      </w:r>
      <w:r>
        <w:rPr>
          <w:rFonts w:ascii="Arial" w:hAnsi="Arial" w:cs="Arial"/>
          <w:sz w:val="24"/>
          <w:szCs w:val="24"/>
        </w:rPr>
        <w:t>, lei essa que cumpre função semelhante à da Lei nº 17.442/2011 para grupos econômicos.</w:t>
      </w:r>
    </w:p>
    <w:p w14:paraId="53A9C6D7" w14:textId="77777777" w:rsidR="006356F1" w:rsidRDefault="006356F1" w:rsidP="006356F1">
      <w:pPr>
        <w:spacing w:line="360" w:lineRule="auto"/>
        <w:ind w:firstLine="851"/>
        <w:jc w:val="both"/>
        <w:rPr>
          <w:rFonts w:ascii="Arial" w:eastAsia="MingLiU-ExtB" w:hAnsi="Arial" w:cs="Arial"/>
          <w:sz w:val="24"/>
          <w:szCs w:val="24"/>
        </w:rPr>
      </w:pPr>
      <w:r>
        <w:rPr>
          <w:rFonts w:ascii="Arial" w:hAnsi="Arial" w:cs="Arial"/>
          <w:sz w:val="24"/>
          <w:szCs w:val="24"/>
        </w:rPr>
        <w:t>Os §§ 1º e 2º do art. 1º da r</w:t>
      </w:r>
      <w:r w:rsidRPr="002C6D98">
        <w:rPr>
          <w:rFonts w:ascii="Arial" w:hAnsi="Arial" w:cs="Arial"/>
          <w:sz w:val="24"/>
          <w:szCs w:val="24"/>
        </w:rPr>
        <w:t>eferida lei estabelece</w:t>
      </w:r>
      <w:r>
        <w:rPr>
          <w:rFonts w:ascii="Arial" w:hAnsi="Arial" w:cs="Arial"/>
          <w:sz w:val="24"/>
          <w:szCs w:val="24"/>
        </w:rPr>
        <w:t>m</w:t>
      </w:r>
      <w:r w:rsidRPr="002C6D98">
        <w:rPr>
          <w:rFonts w:ascii="Arial" w:hAnsi="Arial" w:cs="Arial"/>
          <w:sz w:val="24"/>
          <w:szCs w:val="24"/>
        </w:rPr>
        <w:t xml:space="preserve"> que o </w:t>
      </w:r>
      <w:r w:rsidRPr="00C406AD">
        <w:rPr>
          <w:rFonts w:ascii="Arial" w:hAnsi="Arial" w:cs="Arial"/>
          <w:b/>
          <w:sz w:val="24"/>
          <w:szCs w:val="24"/>
        </w:rPr>
        <w:t>tratamento tributário nela previsto se aplica, inclusive</w:t>
      </w:r>
      <w:r>
        <w:rPr>
          <w:rFonts w:ascii="Arial" w:hAnsi="Arial" w:cs="Arial"/>
          <w:sz w:val="24"/>
          <w:szCs w:val="24"/>
        </w:rPr>
        <w:t xml:space="preserve"> </w:t>
      </w:r>
      <w:r w:rsidRPr="00C406AD">
        <w:rPr>
          <w:rFonts w:ascii="Arial" w:hAnsi="Arial" w:cs="Arial"/>
          <w:sz w:val="24"/>
          <w:szCs w:val="24"/>
          <w:u w:val="single"/>
        </w:rPr>
        <w:t xml:space="preserve">a </w:t>
      </w:r>
      <w:r w:rsidRPr="00C406AD">
        <w:rPr>
          <w:rFonts w:ascii="Arial" w:eastAsia="MingLiU-ExtB" w:hAnsi="Arial" w:cs="Arial"/>
          <w:sz w:val="24"/>
          <w:szCs w:val="24"/>
          <w:u w:val="single"/>
        </w:rPr>
        <w:t>projeto de expansão de empresa já instalada no Estado de Goiás</w:t>
      </w:r>
      <w:r w:rsidRPr="002C6D98">
        <w:rPr>
          <w:rFonts w:ascii="Arial" w:eastAsia="MingLiU-ExtB" w:hAnsi="Arial" w:cs="Arial"/>
          <w:sz w:val="24"/>
          <w:szCs w:val="24"/>
        </w:rPr>
        <w:t>, desde que represente aumento de pelo menos 30% (trinta por cento</w:t>
      </w:r>
      <w:r>
        <w:rPr>
          <w:rFonts w:ascii="Arial" w:eastAsia="MingLiU-ExtB" w:hAnsi="Arial" w:cs="Arial"/>
          <w:sz w:val="24"/>
          <w:szCs w:val="24"/>
        </w:rPr>
        <w:t xml:space="preserve">) em sua capacidade de produção, e também </w:t>
      </w:r>
      <w:r w:rsidRPr="00C406AD">
        <w:rPr>
          <w:rFonts w:ascii="Arial" w:eastAsia="MingLiU-ExtB" w:hAnsi="Arial" w:cs="Arial"/>
          <w:sz w:val="24"/>
          <w:szCs w:val="24"/>
          <w:u w:val="single"/>
        </w:rPr>
        <w:t>durante a fase pré-operacional da empresa</w:t>
      </w:r>
      <w:r>
        <w:rPr>
          <w:rFonts w:ascii="Arial" w:eastAsia="MingLiU-ExtB" w:hAnsi="Arial" w:cs="Arial"/>
          <w:sz w:val="24"/>
          <w:szCs w:val="24"/>
        </w:rPr>
        <w:t>, desde que, em ambas as situações, a empresa celebre TARE com Secretaria de Estado da Fazenda (atual Economia).</w:t>
      </w:r>
    </w:p>
    <w:p w14:paraId="333DFD2C" w14:textId="77777777" w:rsidR="006356F1" w:rsidRDefault="006356F1" w:rsidP="006356F1">
      <w:pPr>
        <w:spacing w:line="360" w:lineRule="auto"/>
        <w:ind w:firstLine="851"/>
        <w:jc w:val="both"/>
        <w:rPr>
          <w:rFonts w:ascii="Arial" w:eastAsia="MingLiU-ExtB" w:hAnsi="Arial" w:cs="Arial"/>
          <w:sz w:val="24"/>
          <w:szCs w:val="24"/>
        </w:rPr>
      </w:pPr>
      <w:r w:rsidRPr="00351DD8">
        <w:rPr>
          <w:rFonts w:ascii="Arial" w:eastAsia="MingLiU-ExtB" w:hAnsi="Arial" w:cs="Arial"/>
          <w:b/>
          <w:sz w:val="24"/>
          <w:szCs w:val="24"/>
        </w:rPr>
        <w:t>Os arts. 2º a 4º do</w:t>
      </w:r>
      <w:r>
        <w:rPr>
          <w:rFonts w:ascii="Arial" w:eastAsia="MingLiU-ExtB" w:hAnsi="Arial" w:cs="Arial"/>
          <w:b/>
          <w:sz w:val="24"/>
          <w:szCs w:val="24"/>
        </w:rPr>
        <w:t xml:space="preserve"> referido</w:t>
      </w:r>
      <w:r w:rsidRPr="00351DD8">
        <w:rPr>
          <w:rFonts w:ascii="Arial" w:eastAsia="MingLiU-ExtB" w:hAnsi="Arial" w:cs="Arial"/>
          <w:b/>
          <w:sz w:val="24"/>
          <w:szCs w:val="24"/>
        </w:rPr>
        <w:t xml:space="preserve"> diploma legal, por sua vez, especifica</w:t>
      </w:r>
      <w:r>
        <w:rPr>
          <w:rFonts w:ascii="Arial" w:eastAsia="MingLiU-ExtB" w:hAnsi="Arial" w:cs="Arial"/>
          <w:b/>
          <w:sz w:val="24"/>
          <w:szCs w:val="24"/>
        </w:rPr>
        <w:t>m</w:t>
      </w:r>
      <w:r w:rsidRPr="00351DD8">
        <w:rPr>
          <w:rFonts w:ascii="Arial" w:eastAsia="MingLiU-ExtB" w:hAnsi="Arial" w:cs="Arial"/>
          <w:b/>
          <w:sz w:val="24"/>
          <w:szCs w:val="24"/>
        </w:rPr>
        <w:t xml:space="preserve"> </w:t>
      </w:r>
      <w:r>
        <w:rPr>
          <w:rFonts w:ascii="Arial" w:eastAsia="MingLiU-ExtB" w:hAnsi="Arial" w:cs="Arial"/>
          <w:b/>
          <w:sz w:val="24"/>
          <w:szCs w:val="24"/>
        </w:rPr>
        <w:t>no que consiste o mencionado tratamento t</w:t>
      </w:r>
      <w:r w:rsidRPr="00351DD8">
        <w:rPr>
          <w:rFonts w:ascii="Arial" w:eastAsia="MingLiU-ExtB" w:hAnsi="Arial" w:cs="Arial"/>
          <w:b/>
          <w:sz w:val="24"/>
          <w:szCs w:val="24"/>
        </w:rPr>
        <w:t>ributário</w:t>
      </w:r>
      <w:r>
        <w:rPr>
          <w:rFonts w:ascii="Arial" w:eastAsia="MingLiU-ExtB" w:hAnsi="Arial" w:cs="Arial"/>
          <w:b/>
          <w:sz w:val="24"/>
          <w:szCs w:val="24"/>
        </w:rPr>
        <w:t xml:space="preserve"> diferenciado,</w:t>
      </w:r>
      <w:r w:rsidRPr="00351DD8">
        <w:rPr>
          <w:rFonts w:ascii="Arial" w:eastAsia="MingLiU-ExtB" w:hAnsi="Arial" w:cs="Arial"/>
          <w:b/>
          <w:sz w:val="24"/>
          <w:szCs w:val="24"/>
        </w:rPr>
        <w:t xml:space="preserve"> </w:t>
      </w:r>
      <w:r>
        <w:rPr>
          <w:rFonts w:ascii="Arial" w:eastAsia="MingLiU-ExtB" w:hAnsi="Arial" w:cs="Arial"/>
          <w:b/>
          <w:sz w:val="24"/>
          <w:szCs w:val="24"/>
        </w:rPr>
        <w:t>o qual se desdobra em</w:t>
      </w:r>
      <w:r w:rsidRPr="00351DD8">
        <w:rPr>
          <w:rFonts w:ascii="Arial" w:eastAsia="MingLiU-ExtB" w:hAnsi="Arial" w:cs="Arial"/>
          <w:b/>
          <w:sz w:val="24"/>
          <w:szCs w:val="24"/>
        </w:rPr>
        <w:t xml:space="preserve"> </w:t>
      </w:r>
      <w:r>
        <w:rPr>
          <w:rFonts w:ascii="Arial" w:eastAsia="MingLiU-ExtB" w:hAnsi="Arial" w:cs="Arial"/>
          <w:b/>
          <w:sz w:val="24"/>
          <w:szCs w:val="24"/>
        </w:rPr>
        <w:t xml:space="preserve">benefícios de </w:t>
      </w:r>
      <w:r w:rsidRPr="00351DD8">
        <w:rPr>
          <w:rFonts w:ascii="Arial" w:eastAsia="MingLiU-ExtB" w:hAnsi="Arial" w:cs="Arial"/>
          <w:b/>
          <w:sz w:val="24"/>
          <w:szCs w:val="24"/>
        </w:rPr>
        <w:t>3 (três) ordens</w:t>
      </w:r>
      <w:r>
        <w:rPr>
          <w:rFonts w:ascii="Arial" w:eastAsia="MingLiU-ExtB" w:hAnsi="Arial" w:cs="Arial"/>
          <w:sz w:val="24"/>
          <w:szCs w:val="24"/>
        </w:rPr>
        <w:t xml:space="preserve">: </w:t>
      </w:r>
      <w:r w:rsidRPr="00FA7CA6">
        <w:rPr>
          <w:rFonts w:ascii="Arial" w:eastAsia="MingLiU-ExtB" w:hAnsi="Arial" w:cs="Arial"/>
          <w:sz w:val="24"/>
          <w:szCs w:val="24"/>
          <w:u w:val="single"/>
        </w:rPr>
        <w:t>a) crédito outorgado</w:t>
      </w:r>
      <w:r>
        <w:rPr>
          <w:rFonts w:ascii="Arial" w:eastAsia="MingLiU-ExtB" w:hAnsi="Arial" w:cs="Arial"/>
          <w:sz w:val="24"/>
          <w:szCs w:val="24"/>
        </w:rPr>
        <w:t xml:space="preserve">, atrelado às operações ou prestações efetivamente assumidas pela empresa mineradora na condição de substituta tributária (art. 2º, parágrafo único); </w:t>
      </w:r>
      <w:r w:rsidRPr="00FA7CA6">
        <w:rPr>
          <w:rFonts w:ascii="Arial" w:eastAsia="MingLiU-ExtB" w:hAnsi="Arial" w:cs="Arial"/>
          <w:sz w:val="24"/>
          <w:szCs w:val="24"/>
          <w:u w:val="single"/>
        </w:rPr>
        <w:t>b) diferimento no pagamento do ICMS-Importação e parcelamento</w:t>
      </w:r>
      <w:r>
        <w:rPr>
          <w:rFonts w:ascii="Arial" w:eastAsia="MingLiU-ExtB" w:hAnsi="Arial" w:cs="Arial"/>
          <w:sz w:val="24"/>
          <w:szCs w:val="24"/>
        </w:rPr>
        <w:t xml:space="preserve">, na importação de determinadas mercadorias do exterior; </w:t>
      </w:r>
      <w:r w:rsidRPr="00FA7CA6">
        <w:rPr>
          <w:rFonts w:ascii="Arial" w:eastAsia="MingLiU-ExtB" w:hAnsi="Arial" w:cs="Arial"/>
          <w:sz w:val="24"/>
          <w:szCs w:val="24"/>
          <w:u w:val="single"/>
        </w:rPr>
        <w:t>e c) isenção de ICMS</w:t>
      </w:r>
      <w:r>
        <w:rPr>
          <w:rFonts w:ascii="Arial" w:eastAsia="MingLiU-ExtB" w:hAnsi="Arial" w:cs="Arial"/>
          <w:sz w:val="24"/>
          <w:szCs w:val="24"/>
        </w:rPr>
        <w:t xml:space="preserve"> para determinadas operações interestaduais. Para melhor compreensão, transcrevem-se abaixo os dispositivos relacionados a esses benefícios:</w:t>
      </w:r>
    </w:p>
    <w:p w14:paraId="6C265D5E" w14:textId="77777777" w:rsidR="006356F1" w:rsidRDefault="006356F1" w:rsidP="006356F1">
      <w:pPr>
        <w:spacing w:line="360" w:lineRule="auto"/>
        <w:ind w:firstLine="851"/>
        <w:jc w:val="both"/>
        <w:rPr>
          <w:rFonts w:ascii="Arial" w:eastAsia="MingLiU-ExtB" w:hAnsi="Arial" w:cs="Arial"/>
          <w:sz w:val="24"/>
          <w:szCs w:val="24"/>
        </w:rPr>
      </w:pPr>
    </w:p>
    <w:p w14:paraId="16D8DDEE" w14:textId="77777777" w:rsidR="006356F1" w:rsidRPr="00484D70" w:rsidRDefault="006356F1" w:rsidP="006356F1">
      <w:pPr>
        <w:ind w:left="2268" w:firstLine="284"/>
        <w:jc w:val="both"/>
        <w:rPr>
          <w:rFonts w:ascii="Times New Roman" w:hAnsi="Times New Roman"/>
          <w:color w:val="000000"/>
          <w:sz w:val="22"/>
          <w:szCs w:val="22"/>
        </w:rPr>
      </w:pPr>
      <w:r w:rsidRPr="00484D70">
        <w:rPr>
          <w:rFonts w:ascii="Arial" w:hAnsi="Arial" w:cs="Arial"/>
          <w:b/>
          <w:color w:val="000000"/>
          <w:sz w:val="22"/>
          <w:szCs w:val="22"/>
        </w:rPr>
        <w:t>Art. 2º</w:t>
      </w:r>
      <w:r w:rsidRPr="00484D70">
        <w:rPr>
          <w:rFonts w:ascii="Arial" w:hAnsi="Arial" w:cs="Arial"/>
          <w:color w:val="000000"/>
          <w:sz w:val="22"/>
          <w:szCs w:val="22"/>
        </w:rPr>
        <w:t xml:space="preserve"> A empresa beneficiária do tratamento tributário previsto nesta Lei assume a responsabilidade, na condição de substituto tributário, pelo pagamento do ICMS, nas seguintes operações ou prestações:</w:t>
      </w:r>
    </w:p>
    <w:p w14:paraId="18C6B3D4" w14:textId="77777777" w:rsidR="006356F1" w:rsidRPr="00484D70" w:rsidRDefault="006356F1" w:rsidP="006356F1">
      <w:pPr>
        <w:ind w:left="2268" w:firstLine="284"/>
        <w:jc w:val="both"/>
        <w:rPr>
          <w:rFonts w:ascii="Times New Roman" w:hAnsi="Times New Roman"/>
          <w:color w:val="000000"/>
          <w:sz w:val="22"/>
          <w:szCs w:val="22"/>
        </w:rPr>
      </w:pPr>
      <w:r w:rsidRPr="00484D70">
        <w:rPr>
          <w:rFonts w:ascii="Arial" w:hAnsi="Arial" w:cs="Arial"/>
          <w:color w:val="000000"/>
          <w:sz w:val="22"/>
          <w:szCs w:val="22"/>
        </w:rPr>
        <w:lastRenderedPageBreak/>
        <w:t>I - retorno da mercadoria que tenha sido remetida para industrialização, por sua encomenda e ordem, a outro estabelecimento seu ou de terceiro localizado neste Estado;</w:t>
      </w:r>
    </w:p>
    <w:p w14:paraId="19ED809E" w14:textId="77777777" w:rsidR="006356F1" w:rsidRPr="00484D70" w:rsidRDefault="006356F1" w:rsidP="006356F1">
      <w:pPr>
        <w:ind w:left="2268" w:firstLine="284"/>
        <w:jc w:val="both"/>
        <w:rPr>
          <w:rFonts w:ascii="Times New Roman" w:hAnsi="Times New Roman"/>
          <w:color w:val="000000"/>
          <w:sz w:val="22"/>
          <w:szCs w:val="22"/>
        </w:rPr>
      </w:pPr>
      <w:r w:rsidRPr="00484D70">
        <w:rPr>
          <w:rFonts w:ascii="Arial" w:hAnsi="Arial" w:cs="Arial"/>
          <w:color w:val="000000"/>
          <w:sz w:val="22"/>
          <w:szCs w:val="22"/>
        </w:rPr>
        <w:t>II - aquisição de matéria-prima e de material secundário e de acondicionamento de outro estabelecimento industrial localizado neste Estado;</w:t>
      </w:r>
    </w:p>
    <w:p w14:paraId="476BF481" w14:textId="77777777" w:rsidR="006356F1" w:rsidRPr="00484D70" w:rsidRDefault="006356F1" w:rsidP="006356F1">
      <w:pPr>
        <w:ind w:left="2268" w:firstLine="284"/>
        <w:jc w:val="both"/>
        <w:rPr>
          <w:rFonts w:ascii="Times New Roman" w:hAnsi="Times New Roman"/>
          <w:color w:val="000000"/>
          <w:sz w:val="22"/>
          <w:szCs w:val="22"/>
        </w:rPr>
      </w:pPr>
      <w:r w:rsidRPr="00484D70">
        <w:rPr>
          <w:rFonts w:ascii="Arial" w:hAnsi="Arial" w:cs="Arial"/>
          <w:color w:val="000000"/>
          <w:sz w:val="22"/>
          <w:szCs w:val="22"/>
        </w:rPr>
        <w:t>III - aquisição de energia elétrica não destinada à comercialização ou à industrialização;</w:t>
      </w:r>
    </w:p>
    <w:p w14:paraId="138FE12B" w14:textId="77777777" w:rsidR="006356F1" w:rsidRPr="00484D70" w:rsidRDefault="006356F1" w:rsidP="006356F1">
      <w:pPr>
        <w:ind w:left="2268" w:firstLine="284"/>
        <w:jc w:val="both"/>
        <w:rPr>
          <w:rFonts w:ascii="Times New Roman" w:hAnsi="Times New Roman"/>
          <w:color w:val="000000"/>
          <w:sz w:val="22"/>
          <w:szCs w:val="22"/>
        </w:rPr>
      </w:pPr>
      <w:r w:rsidRPr="00484D70">
        <w:rPr>
          <w:rFonts w:ascii="Arial" w:hAnsi="Arial" w:cs="Arial"/>
          <w:color w:val="000000"/>
          <w:sz w:val="22"/>
          <w:szCs w:val="22"/>
        </w:rPr>
        <w:t>IV - prestações internas de serviços de transporte vinculadas às operações referidas nos incisos I e II.</w:t>
      </w:r>
    </w:p>
    <w:p w14:paraId="11BDDC1B" w14:textId="77777777" w:rsidR="006356F1" w:rsidRPr="00484D70" w:rsidRDefault="006356F1" w:rsidP="006356F1">
      <w:pPr>
        <w:ind w:left="2268" w:firstLine="284"/>
        <w:jc w:val="both"/>
        <w:rPr>
          <w:rFonts w:ascii="Times New Roman" w:hAnsi="Times New Roman"/>
          <w:color w:val="000000"/>
          <w:sz w:val="22"/>
          <w:szCs w:val="22"/>
        </w:rPr>
      </w:pPr>
      <w:r w:rsidRPr="00484D70">
        <w:rPr>
          <w:rFonts w:ascii="Arial" w:hAnsi="Arial" w:cs="Arial"/>
          <w:b/>
          <w:color w:val="000000"/>
          <w:sz w:val="22"/>
          <w:szCs w:val="22"/>
        </w:rPr>
        <w:t>Parágrafo único. Na hipótese deste artigo, o imposto devido pelas referidas operações e prestações, que constitui crédito, será apurado juntamente com aquele devido pela operação de saída própria do estabelecimento eleito substituto, resultando um só débito por período</w:t>
      </w:r>
      <w:r w:rsidRPr="00484D70">
        <w:rPr>
          <w:rFonts w:ascii="Arial" w:hAnsi="Arial" w:cs="Arial"/>
          <w:color w:val="000000"/>
          <w:sz w:val="22"/>
          <w:szCs w:val="22"/>
        </w:rPr>
        <w:t>.</w:t>
      </w:r>
    </w:p>
    <w:p w14:paraId="3BB1B51A" w14:textId="77777777" w:rsidR="006356F1" w:rsidRDefault="006356F1" w:rsidP="006356F1">
      <w:pPr>
        <w:ind w:left="2268" w:firstLine="284"/>
        <w:jc w:val="both"/>
        <w:rPr>
          <w:rFonts w:ascii="Arial" w:hAnsi="Arial" w:cs="Arial"/>
          <w:color w:val="000000"/>
          <w:sz w:val="22"/>
          <w:szCs w:val="22"/>
        </w:rPr>
      </w:pPr>
    </w:p>
    <w:p w14:paraId="2B7D7040" w14:textId="77777777" w:rsidR="006356F1" w:rsidRPr="00484D70" w:rsidRDefault="006356F1" w:rsidP="006356F1">
      <w:pPr>
        <w:ind w:left="2268" w:firstLine="284"/>
        <w:jc w:val="both"/>
        <w:rPr>
          <w:rFonts w:ascii="Times New Roman" w:hAnsi="Times New Roman"/>
          <w:color w:val="000000"/>
          <w:sz w:val="22"/>
          <w:szCs w:val="22"/>
        </w:rPr>
      </w:pPr>
      <w:r w:rsidRPr="00484D70">
        <w:rPr>
          <w:rFonts w:ascii="Arial" w:hAnsi="Arial" w:cs="Arial"/>
          <w:b/>
          <w:color w:val="000000"/>
          <w:sz w:val="22"/>
          <w:szCs w:val="22"/>
        </w:rPr>
        <w:t>Art. 3º</w:t>
      </w:r>
      <w:r w:rsidRPr="00484D70">
        <w:rPr>
          <w:rFonts w:ascii="Arial" w:hAnsi="Arial" w:cs="Arial"/>
          <w:color w:val="000000"/>
          <w:sz w:val="22"/>
          <w:szCs w:val="22"/>
        </w:rPr>
        <w:t xml:space="preserve"> A </w:t>
      </w:r>
      <w:r w:rsidRPr="00484D70">
        <w:rPr>
          <w:rFonts w:ascii="Arial" w:hAnsi="Arial" w:cs="Arial"/>
          <w:b/>
          <w:color w:val="000000"/>
          <w:sz w:val="22"/>
          <w:szCs w:val="22"/>
        </w:rPr>
        <w:t>liquidação</w:t>
      </w:r>
      <w:r w:rsidRPr="00484D70">
        <w:rPr>
          <w:rFonts w:ascii="Arial" w:hAnsi="Arial" w:cs="Arial"/>
          <w:color w:val="000000"/>
          <w:sz w:val="22"/>
          <w:szCs w:val="22"/>
        </w:rPr>
        <w:t xml:space="preserve"> do </w:t>
      </w:r>
      <w:r w:rsidRPr="00484D70">
        <w:rPr>
          <w:rFonts w:ascii="Arial" w:hAnsi="Arial" w:cs="Arial"/>
          <w:b/>
          <w:color w:val="000000"/>
          <w:sz w:val="22"/>
          <w:szCs w:val="22"/>
          <w:u w:val="single"/>
        </w:rPr>
        <w:t>ICMS incidente na importação do exterior</w:t>
      </w:r>
      <w:r w:rsidRPr="00484D70">
        <w:rPr>
          <w:rFonts w:ascii="Arial" w:hAnsi="Arial" w:cs="Arial"/>
          <w:color w:val="000000"/>
          <w:sz w:val="22"/>
          <w:szCs w:val="22"/>
        </w:rPr>
        <w:t xml:space="preserve">, de matéria-prima, de material secundário e de acondicionamento ou de bem para integração ao ativo imobilizado, pode ser feita por ocasião da </w:t>
      </w:r>
      <w:r w:rsidRPr="00484D70">
        <w:rPr>
          <w:rFonts w:ascii="Arial" w:hAnsi="Arial" w:cs="Arial"/>
          <w:b/>
          <w:color w:val="000000"/>
          <w:sz w:val="22"/>
          <w:szCs w:val="22"/>
        </w:rPr>
        <w:t>entrada dos mesmos no estabelecimento da beneficiária</w:t>
      </w:r>
      <w:r w:rsidRPr="00484D70">
        <w:rPr>
          <w:rFonts w:ascii="Arial" w:hAnsi="Arial" w:cs="Arial"/>
          <w:color w:val="000000"/>
          <w:sz w:val="22"/>
          <w:szCs w:val="22"/>
        </w:rPr>
        <w:t>, localizado neste Estado, mediante o lançamento a débito no livro Registro de Apuração do ICMS.</w:t>
      </w:r>
    </w:p>
    <w:p w14:paraId="06481DDF" w14:textId="77777777" w:rsidR="006356F1" w:rsidRPr="00484D70" w:rsidRDefault="006356F1" w:rsidP="006356F1">
      <w:pPr>
        <w:ind w:left="2268" w:firstLine="284"/>
        <w:jc w:val="both"/>
        <w:rPr>
          <w:rFonts w:ascii="Times New Roman" w:hAnsi="Times New Roman"/>
          <w:color w:val="000000"/>
          <w:sz w:val="22"/>
          <w:szCs w:val="22"/>
        </w:rPr>
      </w:pPr>
      <w:r w:rsidRPr="00484D70">
        <w:rPr>
          <w:rFonts w:ascii="Arial" w:hAnsi="Arial" w:cs="Arial"/>
          <w:color w:val="000000"/>
          <w:sz w:val="22"/>
          <w:szCs w:val="22"/>
        </w:rPr>
        <w:t xml:space="preserve">Parágrafo único. Na </w:t>
      </w:r>
      <w:r w:rsidRPr="00484D70">
        <w:rPr>
          <w:rFonts w:ascii="Arial" w:hAnsi="Arial" w:cs="Arial"/>
          <w:b/>
          <w:color w:val="000000"/>
          <w:sz w:val="22"/>
          <w:szCs w:val="22"/>
        </w:rPr>
        <w:t>importação de bem para integração ao ativo imobilizado</w:t>
      </w:r>
      <w:r w:rsidRPr="00484D70">
        <w:rPr>
          <w:rFonts w:ascii="Arial" w:hAnsi="Arial" w:cs="Arial"/>
          <w:color w:val="000000"/>
          <w:sz w:val="22"/>
          <w:szCs w:val="22"/>
        </w:rPr>
        <w:t xml:space="preserve">, o </w:t>
      </w:r>
      <w:r w:rsidRPr="00484D70">
        <w:rPr>
          <w:rFonts w:ascii="Arial" w:hAnsi="Arial" w:cs="Arial"/>
          <w:color w:val="000000"/>
          <w:sz w:val="22"/>
          <w:szCs w:val="22"/>
          <w:u w:val="single"/>
        </w:rPr>
        <w:t>débito</w:t>
      </w:r>
      <w:r w:rsidRPr="00484D70">
        <w:rPr>
          <w:rFonts w:ascii="Arial" w:hAnsi="Arial" w:cs="Arial"/>
          <w:color w:val="000000"/>
          <w:sz w:val="22"/>
          <w:szCs w:val="22"/>
        </w:rPr>
        <w:t xml:space="preserve"> correspondente ao </w:t>
      </w:r>
      <w:r w:rsidRPr="00484D70">
        <w:rPr>
          <w:rFonts w:ascii="Arial" w:hAnsi="Arial" w:cs="Arial"/>
          <w:color w:val="000000"/>
          <w:sz w:val="22"/>
          <w:szCs w:val="22"/>
          <w:u w:val="single"/>
        </w:rPr>
        <w:t>ICMS</w:t>
      </w:r>
      <w:r w:rsidRPr="00484D70">
        <w:rPr>
          <w:rFonts w:ascii="Arial" w:hAnsi="Arial" w:cs="Arial"/>
          <w:color w:val="000000"/>
          <w:sz w:val="22"/>
          <w:szCs w:val="22"/>
        </w:rPr>
        <w:t xml:space="preserve"> devido pode ser </w:t>
      </w:r>
      <w:r w:rsidRPr="00484D70">
        <w:rPr>
          <w:rFonts w:ascii="Arial" w:hAnsi="Arial" w:cs="Arial"/>
          <w:color w:val="000000"/>
          <w:sz w:val="22"/>
          <w:szCs w:val="22"/>
          <w:u w:val="single"/>
        </w:rPr>
        <w:t>dividido</w:t>
      </w:r>
      <w:r w:rsidRPr="00484D70">
        <w:rPr>
          <w:rFonts w:ascii="Arial" w:hAnsi="Arial" w:cs="Arial"/>
          <w:color w:val="000000"/>
          <w:sz w:val="22"/>
          <w:szCs w:val="22"/>
        </w:rPr>
        <w:t xml:space="preserve"> </w:t>
      </w:r>
      <w:r w:rsidRPr="00484D70">
        <w:rPr>
          <w:rFonts w:ascii="Arial" w:hAnsi="Arial" w:cs="Arial"/>
          <w:color w:val="000000"/>
          <w:sz w:val="22"/>
          <w:szCs w:val="22"/>
          <w:u w:val="single"/>
        </w:rPr>
        <w:t>em até 48 (quarenta e oito) parcelas</w:t>
      </w:r>
      <w:r w:rsidRPr="00484D70">
        <w:rPr>
          <w:rFonts w:ascii="Arial" w:hAnsi="Arial" w:cs="Arial"/>
          <w:color w:val="000000"/>
          <w:sz w:val="22"/>
          <w:szCs w:val="22"/>
        </w:rPr>
        <w:t xml:space="preserve"> iguais, mensais e sucessivas.</w:t>
      </w:r>
    </w:p>
    <w:p w14:paraId="17AEA697" w14:textId="77777777" w:rsidR="006356F1" w:rsidRDefault="006356F1" w:rsidP="006356F1">
      <w:pPr>
        <w:ind w:left="2268" w:firstLine="284"/>
        <w:jc w:val="both"/>
        <w:rPr>
          <w:rFonts w:ascii="Arial" w:hAnsi="Arial" w:cs="Arial"/>
          <w:color w:val="000000"/>
          <w:sz w:val="22"/>
          <w:szCs w:val="22"/>
        </w:rPr>
      </w:pPr>
    </w:p>
    <w:p w14:paraId="2239B9A3" w14:textId="77777777" w:rsidR="006356F1" w:rsidRPr="00484D70" w:rsidRDefault="006356F1" w:rsidP="006356F1">
      <w:pPr>
        <w:ind w:left="2268" w:firstLine="284"/>
        <w:jc w:val="both"/>
        <w:rPr>
          <w:rFonts w:ascii="Times New Roman" w:hAnsi="Times New Roman"/>
          <w:color w:val="000000"/>
          <w:sz w:val="22"/>
          <w:szCs w:val="22"/>
        </w:rPr>
      </w:pPr>
      <w:r w:rsidRPr="00484D70">
        <w:rPr>
          <w:rFonts w:ascii="Arial" w:hAnsi="Arial" w:cs="Arial"/>
          <w:b/>
          <w:color w:val="000000"/>
          <w:sz w:val="22"/>
          <w:szCs w:val="22"/>
        </w:rPr>
        <w:t>Art. 4º</w:t>
      </w:r>
      <w:r w:rsidRPr="00484D70">
        <w:rPr>
          <w:rFonts w:ascii="Arial" w:hAnsi="Arial" w:cs="Arial"/>
          <w:color w:val="000000"/>
          <w:sz w:val="22"/>
          <w:szCs w:val="22"/>
        </w:rPr>
        <w:t xml:space="preserve"> Fica </w:t>
      </w:r>
      <w:r w:rsidRPr="00484D70">
        <w:rPr>
          <w:rFonts w:ascii="Arial" w:hAnsi="Arial" w:cs="Arial"/>
          <w:b/>
          <w:color w:val="000000"/>
          <w:sz w:val="22"/>
          <w:szCs w:val="22"/>
          <w:u w:val="single"/>
        </w:rPr>
        <w:t>isenta do ICMS</w:t>
      </w:r>
      <w:r w:rsidRPr="00484D70">
        <w:rPr>
          <w:rFonts w:ascii="Arial" w:hAnsi="Arial" w:cs="Arial"/>
          <w:color w:val="000000"/>
          <w:sz w:val="22"/>
          <w:szCs w:val="22"/>
        </w:rPr>
        <w:t xml:space="preserve">, relativamente à </w:t>
      </w:r>
      <w:r w:rsidRPr="00484D70">
        <w:rPr>
          <w:rFonts w:ascii="Arial" w:hAnsi="Arial" w:cs="Arial"/>
          <w:b/>
          <w:color w:val="000000"/>
          <w:sz w:val="22"/>
          <w:szCs w:val="22"/>
        </w:rPr>
        <w:t>aplicação do diferencial de alíquotas</w:t>
      </w:r>
      <w:r w:rsidRPr="00484D70">
        <w:rPr>
          <w:rFonts w:ascii="Arial" w:hAnsi="Arial" w:cs="Arial"/>
          <w:color w:val="000000"/>
          <w:sz w:val="22"/>
          <w:szCs w:val="22"/>
        </w:rPr>
        <w:t xml:space="preserve">, a </w:t>
      </w:r>
      <w:r w:rsidRPr="00484D70">
        <w:rPr>
          <w:rFonts w:ascii="Arial" w:hAnsi="Arial" w:cs="Arial"/>
          <w:b/>
          <w:color w:val="000000"/>
          <w:sz w:val="22"/>
          <w:szCs w:val="22"/>
        </w:rPr>
        <w:t>aquisição interestadual de bem para integrar o ativo imobilizado de estabelecimento beneficiário</w:t>
      </w:r>
      <w:r w:rsidRPr="00484D70">
        <w:rPr>
          <w:rFonts w:ascii="Arial" w:hAnsi="Arial" w:cs="Arial"/>
          <w:color w:val="000000"/>
          <w:sz w:val="22"/>
          <w:szCs w:val="22"/>
        </w:rPr>
        <w:t xml:space="preserve"> do tratamento tributário de que trata esta Lei.</w:t>
      </w:r>
    </w:p>
    <w:p w14:paraId="1B936055" w14:textId="77777777" w:rsidR="006356F1" w:rsidRDefault="006356F1" w:rsidP="006356F1">
      <w:pPr>
        <w:spacing w:line="360" w:lineRule="auto"/>
        <w:ind w:firstLine="851"/>
        <w:jc w:val="both"/>
        <w:rPr>
          <w:rFonts w:ascii="Arial" w:eastAsia="MingLiU-ExtB" w:hAnsi="Arial" w:cs="Arial"/>
          <w:sz w:val="24"/>
          <w:szCs w:val="24"/>
        </w:rPr>
      </w:pPr>
    </w:p>
    <w:p w14:paraId="7FE3669B" w14:textId="77777777" w:rsidR="006356F1" w:rsidRDefault="006356F1" w:rsidP="006356F1">
      <w:pPr>
        <w:spacing w:line="360" w:lineRule="auto"/>
        <w:ind w:firstLine="851"/>
        <w:jc w:val="both"/>
        <w:rPr>
          <w:rFonts w:ascii="Arial" w:eastAsia="MingLiU-ExtB" w:hAnsi="Arial" w:cs="Arial"/>
          <w:sz w:val="24"/>
          <w:szCs w:val="24"/>
        </w:rPr>
      </w:pPr>
      <w:r w:rsidRPr="0067608F">
        <w:rPr>
          <w:rFonts w:ascii="Arial" w:eastAsia="MingLiU-ExtB" w:hAnsi="Arial" w:cs="Arial"/>
          <w:b/>
          <w:sz w:val="24"/>
          <w:szCs w:val="24"/>
        </w:rPr>
        <w:t>A fruição dos benefícios fiscais previstos naquele diploma legal fica condicionada a que o sujeito passivo</w:t>
      </w:r>
      <w:r>
        <w:rPr>
          <w:rFonts w:ascii="Arial" w:eastAsia="MingLiU-ExtB" w:hAnsi="Arial" w:cs="Arial"/>
          <w:b/>
          <w:sz w:val="24"/>
          <w:szCs w:val="24"/>
        </w:rPr>
        <w:t xml:space="preserve"> (art. 4º-A)</w:t>
      </w:r>
      <w:r>
        <w:rPr>
          <w:rFonts w:ascii="Arial" w:eastAsia="MingLiU-ExtB" w:hAnsi="Arial" w:cs="Arial"/>
          <w:sz w:val="24"/>
          <w:szCs w:val="24"/>
        </w:rPr>
        <w:t xml:space="preserve">: </w:t>
      </w:r>
      <w:r w:rsidRPr="0067608F">
        <w:rPr>
          <w:rFonts w:ascii="Arial" w:eastAsia="MingLiU-ExtB" w:hAnsi="Arial" w:cs="Arial"/>
          <w:sz w:val="24"/>
          <w:szCs w:val="24"/>
          <w:u w:val="single"/>
        </w:rPr>
        <w:t>a) esteja adimplente com o ICMS</w:t>
      </w:r>
      <w:r w:rsidRPr="00021B04">
        <w:rPr>
          <w:rFonts w:ascii="Arial" w:eastAsia="MingLiU-ExtB" w:hAnsi="Arial" w:cs="Arial"/>
          <w:sz w:val="24"/>
          <w:szCs w:val="24"/>
        </w:rPr>
        <w:t xml:space="preserve"> relativo à obrigação tributária cujo pagamento deva ocorrer no referido mês</w:t>
      </w:r>
      <w:r>
        <w:rPr>
          <w:rFonts w:ascii="Arial" w:eastAsia="MingLiU-ExtB" w:hAnsi="Arial" w:cs="Arial"/>
          <w:sz w:val="24"/>
          <w:szCs w:val="24"/>
        </w:rPr>
        <w:t>, de modo que a</w:t>
      </w:r>
      <w:r w:rsidRPr="0067608F">
        <w:rPr>
          <w:rFonts w:ascii="Arial" w:eastAsia="MingLiU-ExtB" w:hAnsi="Arial" w:cs="Arial"/>
          <w:sz w:val="24"/>
          <w:szCs w:val="24"/>
        </w:rPr>
        <w:t xml:space="preserve"> falta do pagamento ou o pagamento em atraso do imposto devido, inclusive o devido por substituição tributária, implica perda definitiva, exclusivamente no mês de sua ocorrência, do direito do contribuinte de utilizar o benefício fiscal</w:t>
      </w:r>
      <w:r>
        <w:rPr>
          <w:rFonts w:ascii="Arial" w:eastAsia="MingLiU-ExtB" w:hAnsi="Arial" w:cs="Arial"/>
          <w:sz w:val="24"/>
          <w:szCs w:val="24"/>
        </w:rPr>
        <w:t xml:space="preserve">; </w:t>
      </w:r>
      <w:r w:rsidRPr="0067608F">
        <w:rPr>
          <w:rFonts w:ascii="Arial" w:eastAsia="MingLiU-ExtB" w:hAnsi="Arial" w:cs="Arial"/>
          <w:sz w:val="24"/>
          <w:szCs w:val="24"/>
          <w:u w:val="single"/>
        </w:rPr>
        <w:t>b) não possua crédito tributário inscrito em dívida ativa, de modo que o sujeito passivo perde definitivamente o direito à utilização do benefício enquanto houver crédito tributário inscrito em dívida ativa</w:t>
      </w:r>
      <w:r>
        <w:rPr>
          <w:rFonts w:ascii="Arial" w:eastAsia="MingLiU-ExtB" w:hAnsi="Arial" w:cs="Arial"/>
          <w:sz w:val="24"/>
          <w:szCs w:val="24"/>
        </w:rPr>
        <w:t>,</w:t>
      </w:r>
      <w:r w:rsidRPr="0067608F">
        <w:rPr>
          <w:rFonts w:ascii="Arial" w:eastAsia="MingLiU-ExtB" w:hAnsi="Arial" w:cs="Arial"/>
          <w:sz w:val="24"/>
          <w:szCs w:val="24"/>
        </w:rPr>
        <w:t xml:space="preserve"> </w:t>
      </w:r>
      <w:r w:rsidRPr="00021B04">
        <w:rPr>
          <w:rFonts w:ascii="Arial" w:eastAsia="MingLiU-ExtB" w:hAnsi="Arial" w:cs="Arial"/>
          <w:sz w:val="24"/>
          <w:szCs w:val="24"/>
        </w:rPr>
        <w:t>exceto se o referido crédito estiver com sua exigibilidade suspensa nos termos da lei ou tiver sido efetivada a penhora de bens suficientes para o pagamento do total da dívida</w:t>
      </w:r>
      <w:r>
        <w:rPr>
          <w:rFonts w:ascii="Arial" w:eastAsia="MingLiU-ExtB" w:hAnsi="Arial" w:cs="Arial"/>
          <w:sz w:val="24"/>
          <w:szCs w:val="24"/>
        </w:rPr>
        <w:t>.</w:t>
      </w:r>
    </w:p>
    <w:p w14:paraId="51E43E52" w14:textId="77777777" w:rsidR="006356F1" w:rsidRDefault="006356F1" w:rsidP="006356F1">
      <w:pPr>
        <w:spacing w:line="360" w:lineRule="auto"/>
        <w:ind w:firstLine="851"/>
        <w:jc w:val="both"/>
        <w:rPr>
          <w:rFonts w:ascii="Arial" w:eastAsia="MingLiU-ExtB" w:hAnsi="Arial" w:cs="Arial"/>
          <w:sz w:val="24"/>
          <w:szCs w:val="24"/>
        </w:rPr>
      </w:pPr>
      <w:r>
        <w:rPr>
          <w:rFonts w:ascii="Arial" w:eastAsia="MingLiU-ExtB" w:hAnsi="Arial" w:cs="Arial"/>
          <w:sz w:val="24"/>
          <w:szCs w:val="24"/>
        </w:rPr>
        <w:t xml:space="preserve">Por fim, a </w:t>
      </w:r>
      <w:r w:rsidRPr="00BF1E72">
        <w:rPr>
          <w:rFonts w:ascii="Arial" w:eastAsia="MingLiU-ExtB" w:hAnsi="Arial" w:cs="Arial"/>
          <w:b/>
          <w:sz w:val="24"/>
          <w:szCs w:val="24"/>
        </w:rPr>
        <w:t>Lei nº 15.719/2006</w:t>
      </w:r>
      <w:r>
        <w:rPr>
          <w:rFonts w:ascii="Arial" w:eastAsia="MingLiU-ExtB" w:hAnsi="Arial" w:cs="Arial"/>
          <w:sz w:val="24"/>
          <w:szCs w:val="24"/>
        </w:rPr>
        <w:t xml:space="preserve"> – </w:t>
      </w:r>
      <w:r w:rsidRPr="00BF1E72">
        <w:rPr>
          <w:rFonts w:ascii="Arial" w:eastAsia="MingLiU-ExtB" w:hAnsi="Arial" w:cs="Arial"/>
          <w:sz w:val="24"/>
          <w:szCs w:val="24"/>
          <w:u w:val="single"/>
        </w:rPr>
        <w:t>em vigor desde a data de sua publicação</w:t>
      </w:r>
      <w:r>
        <w:rPr>
          <w:rFonts w:ascii="Arial" w:eastAsia="MingLiU-ExtB" w:hAnsi="Arial" w:cs="Arial"/>
          <w:sz w:val="24"/>
          <w:szCs w:val="24"/>
        </w:rPr>
        <w:t xml:space="preserve"> (art. 6º) – previu que o tratamento tributário diferenciado nela previsto tenha </w:t>
      </w:r>
      <w:r w:rsidRPr="00BF1E72">
        <w:rPr>
          <w:rFonts w:ascii="Arial" w:eastAsia="MingLiU-ExtB" w:hAnsi="Arial" w:cs="Arial"/>
          <w:sz w:val="24"/>
          <w:szCs w:val="24"/>
          <w:u w:val="single"/>
        </w:rPr>
        <w:t xml:space="preserve">vigência durante </w:t>
      </w:r>
      <w:r w:rsidRPr="00BF1E72">
        <w:rPr>
          <w:rFonts w:ascii="Arial" w:eastAsia="MingLiU-ExtB" w:hAnsi="Arial" w:cs="Arial"/>
          <w:sz w:val="24"/>
          <w:szCs w:val="24"/>
          <w:u w:val="single"/>
        </w:rPr>
        <w:lastRenderedPageBreak/>
        <w:t>o período de 30 (trinta) anos</w:t>
      </w:r>
      <w:r>
        <w:rPr>
          <w:rFonts w:ascii="Arial" w:eastAsia="MingLiU-ExtB" w:hAnsi="Arial" w:cs="Arial"/>
          <w:sz w:val="24"/>
          <w:szCs w:val="24"/>
        </w:rPr>
        <w:t xml:space="preserve">, contados </w:t>
      </w:r>
      <w:r w:rsidRPr="00BF1E72">
        <w:rPr>
          <w:rFonts w:ascii="Arial" w:eastAsia="MingLiU-ExtB" w:hAnsi="Arial" w:cs="Arial"/>
          <w:sz w:val="24"/>
          <w:szCs w:val="24"/>
        </w:rPr>
        <w:t>do início das obras correspondentes à implantação ou expansão da empresa beneficiária</w:t>
      </w:r>
      <w:r>
        <w:rPr>
          <w:rFonts w:ascii="Arial" w:eastAsia="MingLiU-ExtB" w:hAnsi="Arial" w:cs="Arial"/>
          <w:sz w:val="24"/>
          <w:szCs w:val="24"/>
        </w:rPr>
        <w:t xml:space="preserve"> (art. 5º).</w:t>
      </w:r>
    </w:p>
    <w:p w14:paraId="3C37ACED" w14:textId="77777777" w:rsidR="006356F1" w:rsidRDefault="006356F1" w:rsidP="006356F1">
      <w:pPr>
        <w:spacing w:line="360" w:lineRule="auto"/>
        <w:ind w:firstLine="851"/>
        <w:jc w:val="both"/>
        <w:rPr>
          <w:rFonts w:ascii="Arial" w:eastAsia="MingLiU-ExtB" w:hAnsi="Arial" w:cs="Arial"/>
          <w:sz w:val="24"/>
          <w:szCs w:val="24"/>
        </w:rPr>
      </w:pPr>
    </w:p>
    <w:p w14:paraId="3EF1D178" w14:textId="77777777" w:rsidR="006356F1" w:rsidRDefault="006356F1" w:rsidP="006356F1">
      <w:pPr>
        <w:spacing w:line="360" w:lineRule="auto"/>
        <w:ind w:firstLine="851"/>
        <w:jc w:val="both"/>
        <w:rPr>
          <w:rFonts w:ascii="Arial" w:hAnsi="Arial" w:cs="Arial"/>
          <w:sz w:val="24"/>
          <w:szCs w:val="24"/>
        </w:rPr>
      </w:pPr>
      <w:r w:rsidRPr="002A517E">
        <w:rPr>
          <w:rFonts w:ascii="Arial" w:hAnsi="Arial" w:cs="Arial"/>
          <w:b/>
          <w:bCs/>
          <w:sz w:val="24"/>
          <w:szCs w:val="24"/>
        </w:rPr>
        <w:t>9.</w:t>
      </w:r>
      <w:r>
        <w:rPr>
          <w:rFonts w:ascii="Arial" w:hAnsi="Arial" w:cs="Arial"/>
          <w:b/>
          <w:bCs/>
          <w:sz w:val="24"/>
          <w:szCs w:val="24"/>
        </w:rPr>
        <w:t>4</w:t>
      </w:r>
      <w:r w:rsidRPr="002A517E">
        <w:rPr>
          <w:rFonts w:ascii="Arial" w:hAnsi="Arial" w:cs="Arial"/>
          <w:b/>
          <w:bCs/>
          <w:sz w:val="24"/>
          <w:szCs w:val="24"/>
        </w:rPr>
        <w:t>.</w:t>
      </w:r>
      <w:r>
        <w:rPr>
          <w:rFonts w:ascii="Arial" w:hAnsi="Arial" w:cs="Arial"/>
          <w:b/>
          <w:bCs/>
          <w:sz w:val="24"/>
          <w:szCs w:val="24"/>
        </w:rPr>
        <w:t>2</w:t>
      </w:r>
      <w:r w:rsidRPr="002A517E">
        <w:rPr>
          <w:rFonts w:ascii="Arial" w:hAnsi="Arial" w:cs="Arial"/>
          <w:b/>
          <w:bCs/>
          <w:sz w:val="24"/>
          <w:szCs w:val="24"/>
        </w:rPr>
        <w:t xml:space="preserve">. </w:t>
      </w:r>
      <w:r w:rsidRPr="005621BD">
        <w:rPr>
          <w:rFonts w:ascii="Arial" w:hAnsi="Arial" w:cs="Arial"/>
          <w:bCs/>
          <w:sz w:val="24"/>
          <w:szCs w:val="24"/>
        </w:rPr>
        <w:t>A fim de conhecer melhor como funciona referida política fiscal na prática,</w:t>
      </w:r>
      <w:r>
        <w:rPr>
          <w:rFonts w:ascii="Arial" w:hAnsi="Arial" w:cs="Arial"/>
          <w:bCs/>
          <w:sz w:val="24"/>
          <w:szCs w:val="24"/>
        </w:rPr>
        <w:t xml:space="preserve"> p</w:t>
      </w:r>
      <w:r>
        <w:rPr>
          <w:rFonts w:ascii="Arial" w:hAnsi="Arial" w:cs="Arial"/>
          <w:sz w:val="24"/>
          <w:szCs w:val="24"/>
        </w:rPr>
        <w:t xml:space="preserve">or meio do </w:t>
      </w:r>
      <w:r w:rsidRPr="008841A7">
        <w:rPr>
          <w:rFonts w:ascii="Arial" w:hAnsi="Arial" w:cs="Arial"/>
          <w:b/>
          <w:bCs/>
          <w:sz w:val="24"/>
          <w:szCs w:val="24"/>
          <w:u w:val="single"/>
        </w:rPr>
        <w:t xml:space="preserve">Ofício nº </w:t>
      </w:r>
      <w:r>
        <w:rPr>
          <w:rFonts w:ascii="Arial" w:hAnsi="Arial" w:cs="Arial"/>
          <w:b/>
          <w:bCs/>
          <w:sz w:val="24"/>
          <w:szCs w:val="24"/>
          <w:u w:val="single"/>
        </w:rPr>
        <w:t>23/2019-CPI</w:t>
      </w:r>
      <w:r w:rsidRPr="008841A7">
        <w:rPr>
          <w:rFonts w:ascii="Arial" w:hAnsi="Arial" w:cs="Arial"/>
          <w:b/>
          <w:bCs/>
          <w:sz w:val="24"/>
          <w:szCs w:val="24"/>
        </w:rPr>
        <w:t xml:space="preserve"> </w:t>
      </w:r>
      <w:r w:rsidRPr="00D50907">
        <w:rPr>
          <w:rFonts w:ascii="Arial" w:hAnsi="Arial" w:cs="Arial"/>
          <w:bCs/>
          <w:sz w:val="24"/>
          <w:szCs w:val="24"/>
        </w:rPr>
        <w:t>requisitou-se da Secretaria de Estado da Economia a listagem de todos os</w:t>
      </w:r>
      <w:r>
        <w:rPr>
          <w:rFonts w:ascii="Arial" w:hAnsi="Arial" w:cs="Arial"/>
          <w:b/>
          <w:bCs/>
          <w:sz w:val="24"/>
          <w:szCs w:val="24"/>
        </w:rPr>
        <w:t xml:space="preserve"> TARE’s </w:t>
      </w:r>
      <w:r w:rsidRPr="00E5434F">
        <w:rPr>
          <w:rFonts w:ascii="Arial" w:hAnsi="Arial" w:cs="Arial"/>
          <w:bCs/>
          <w:sz w:val="24"/>
          <w:szCs w:val="24"/>
        </w:rPr>
        <w:t>(</w:t>
      </w:r>
      <w:r w:rsidRPr="00D50907">
        <w:rPr>
          <w:rFonts w:ascii="Arial" w:hAnsi="Arial" w:cs="Arial"/>
          <w:bCs/>
          <w:sz w:val="24"/>
          <w:szCs w:val="24"/>
        </w:rPr>
        <w:t>e respectivas cópias</w:t>
      </w:r>
      <w:r>
        <w:rPr>
          <w:rFonts w:ascii="Arial" w:hAnsi="Arial" w:cs="Arial"/>
          <w:bCs/>
          <w:sz w:val="24"/>
          <w:szCs w:val="24"/>
        </w:rPr>
        <w:t>)</w:t>
      </w:r>
      <w:r w:rsidRPr="00D50907">
        <w:rPr>
          <w:rFonts w:ascii="Arial" w:hAnsi="Arial" w:cs="Arial"/>
          <w:bCs/>
          <w:sz w:val="24"/>
          <w:szCs w:val="24"/>
        </w:rPr>
        <w:t xml:space="preserve"> entre a pasta e as pessoas jurídicas do</w:t>
      </w:r>
      <w:r>
        <w:rPr>
          <w:rFonts w:ascii="Arial" w:hAnsi="Arial" w:cs="Arial"/>
          <w:b/>
          <w:bCs/>
          <w:sz w:val="24"/>
          <w:szCs w:val="24"/>
        </w:rPr>
        <w:t xml:space="preserve"> ramo da mineração</w:t>
      </w:r>
      <w:r>
        <w:rPr>
          <w:rFonts w:ascii="Arial" w:hAnsi="Arial" w:cs="Arial"/>
          <w:sz w:val="24"/>
          <w:szCs w:val="24"/>
        </w:rPr>
        <w:t xml:space="preserve">, cuja resposta foi entregue em meio digital a esta CPI via Ofício nº </w:t>
      </w:r>
      <w:r w:rsidRPr="00C248A0">
        <w:rPr>
          <w:rFonts w:ascii="Arial" w:hAnsi="Arial" w:cs="Arial"/>
          <w:sz w:val="24"/>
          <w:szCs w:val="24"/>
        </w:rPr>
        <w:t>7</w:t>
      </w:r>
      <w:r>
        <w:rPr>
          <w:rFonts w:ascii="Arial" w:hAnsi="Arial" w:cs="Arial"/>
          <w:sz w:val="24"/>
          <w:szCs w:val="24"/>
        </w:rPr>
        <w:t>.</w:t>
      </w:r>
      <w:r w:rsidRPr="00C248A0">
        <w:rPr>
          <w:rFonts w:ascii="Arial" w:hAnsi="Arial" w:cs="Arial"/>
          <w:sz w:val="24"/>
          <w:szCs w:val="24"/>
        </w:rPr>
        <w:t>656/2019</w:t>
      </w:r>
      <w:r>
        <w:rPr>
          <w:rFonts w:ascii="Arial" w:hAnsi="Arial" w:cs="Arial"/>
          <w:sz w:val="24"/>
          <w:szCs w:val="24"/>
        </w:rPr>
        <w:t>-Economia (p. 1/193).</w:t>
      </w:r>
    </w:p>
    <w:p w14:paraId="5DFDCC79"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A resposta da Secretaria contempla uma relação com </w:t>
      </w:r>
      <w:r w:rsidRPr="006059C9">
        <w:rPr>
          <w:rFonts w:ascii="Arial" w:hAnsi="Arial" w:cs="Arial"/>
          <w:b/>
          <w:sz w:val="24"/>
          <w:szCs w:val="24"/>
        </w:rPr>
        <w:t>18 (dezoito) empresas</w:t>
      </w:r>
      <w:r>
        <w:rPr>
          <w:rFonts w:ascii="Arial" w:hAnsi="Arial" w:cs="Arial"/>
          <w:sz w:val="24"/>
          <w:szCs w:val="24"/>
        </w:rPr>
        <w:t xml:space="preserve"> – às vezes com mais de um CNPJ – e, no somatório em relação a todas elas, </w:t>
      </w:r>
      <w:r w:rsidRPr="006059C9">
        <w:rPr>
          <w:rFonts w:ascii="Arial" w:hAnsi="Arial" w:cs="Arial"/>
          <w:b/>
          <w:sz w:val="24"/>
          <w:szCs w:val="24"/>
        </w:rPr>
        <w:t>58 (cinquenta e oito) TARE’s</w:t>
      </w:r>
      <w:r w:rsidRPr="001F2BCA">
        <w:rPr>
          <w:rFonts w:ascii="Arial" w:hAnsi="Arial" w:cs="Arial"/>
          <w:sz w:val="24"/>
          <w:szCs w:val="24"/>
        </w:rPr>
        <w:t>, vigentes no período objeto de apuração desta CPI</w:t>
      </w:r>
      <w:r>
        <w:rPr>
          <w:rFonts w:ascii="Arial" w:hAnsi="Arial" w:cs="Arial"/>
          <w:sz w:val="24"/>
          <w:szCs w:val="24"/>
        </w:rPr>
        <w:t xml:space="preserve"> (2014 a 2018 – Ofício nº </w:t>
      </w:r>
      <w:r w:rsidRPr="00C248A0">
        <w:rPr>
          <w:rFonts w:ascii="Arial" w:hAnsi="Arial" w:cs="Arial"/>
          <w:sz w:val="24"/>
          <w:szCs w:val="24"/>
        </w:rPr>
        <w:t>7</w:t>
      </w:r>
      <w:r>
        <w:rPr>
          <w:rFonts w:ascii="Arial" w:hAnsi="Arial" w:cs="Arial"/>
          <w:sz w:val="24"/>
          <w:szCs w:val="24"/>
        </w:rPr>
        <w:t>.</w:t>
      </w:r>
      <w:r w:rsidRPr="00C248A0">
        <w:rPr>
          <w:rFonts w:ascii="Arial" w:hAnsi="Arial" w:cs="Arial"/>
          <w:sz w:val="24"/>
          <w:szCs w:val="24"/>
        </w:rPr>
        <w:t>656/2019</w:t>
      </w:r>
      <w:r>
        <w:rPr>
          <w:rFonts w:ascii="Arial" w:hAnsi="Arial" w:cs="Arial"/>
          <w:sz w:val="24"/>
          <w:szCs w:val="24"/>
        </w:rPr>
        <w:t>-Economia, p. 8/9 e 10/193).</w:t>
      </w:r>
    </w:p>
    <w:p w14:paraId="6C9A1CAA" w14:textId="77777777" w:rsidR="006356F1" w:rsidRDefault="006356F1" w:rsidP="006356F1">
      <w:pPr>
        <w:spacing w:line="360" w:lineRule="auto"/>
        <w:ind w:firstLine="851"/>
        <w:jc w:val="both"/>
        <w:rPr>
          <w:rFonts w:ascii="Arial" w:hAnsi="Arial" w:cs="Arial"/>
          <w:sz w:val="24"/>
          <w:szCs w:val="24"/>
        </w:rPr>
      </w:pPr>
      <w:r w:rsidRPr="00154D71">
        <w:rPr>
          <w:rFonts w:ascii="Arial" w:hAnsi="Arial" w:cs="Arial"/>
          <w:b/>
          <w:sz w:val="24"/>
          <w:szCs w:val="24"/>
        </w:rPr>
        <w:t>A partir dessa relação de empresas, esta CPI as cotejou com o valor nominal que cada uma delas fruiu ao longo dos anos de 2014 a 2018</w:t>
      </w:r>
      <w:r>
        <w:rPr>
          <w:rFonts w:ascii="Arial" w:hAnsi="Arial" w:cs="Arial"/>
          <w:sz w:val="24"/>
          <w:szCs w:val="24"/>
        </w:rPr>
        <w:t xml:space="preserve"> (Ofício nº 2.756/2019-Economia, p. 7/60) e, num cálculo simplificado desta Comissão, constatou-se que </w:t>
      </w:r>
      <w:r w:rsidRPr="00154D71">
        <w:rPr>
          <w:rFonts w:ascii="Arial" w:hAnsi="Arial" w:cs="Arial"/>
          <w:sz w:val="24"/>
          <w:szCs w:val="24"/>
          <w:u w:val="single"/>
        </w:rPr>
        <w:t>todas as empresas informadas do ramo da mineração escrituraram, no conjunto</w:t>
      </w:r>
      <w:r>
        <w:rPr>
          <w:rFonts w:ascii="Arial" w:hAnsi="Arial" w:cs="Arial"/>
          <w:sz w:val="24"/>
          <w:szCs w:val="24"/>
        </w:rPr>
        <w:t xml:space="preserve">, nas respectivas EFD’s, </w:t>
      </w:r>
      <w:r w:rsidRPr="00154D71">
        <w:rPr>
          <w:rFonts w:ascii="Arial" w:hAnsi="Arial" w:cs="Arial"/>
          <w:sz w:val="24"/>
          <w:szCs w:val="24"/>
          <w:u w:val="single"/>
        </w:rPr>
        <w:t>quantia superior a R$ 600.000.000,00</w:t>
      </w:r>
      <w:r>
        <w:rPr>
          <w:rFonts w:ascii="Arial" w:hAnsi="Arial" w:cs="Arial"/>
          <w:sz w:val="24"/>
          <w:szCs w:val="24"/>
        </w:rPr>
        <w:t xml:space="preserve"> (seiscentos milhões de reais) a título de incentivos fiscais do ICMS. </w:t>
      </w:r>
    </w:p>
    <w:p w14:paraId="6F4A965F" w14:textId="7C98B6D2" w:rsidR="006356F1" w:rsidRDefault="006356F1" w:rsidP="006356F1">
      <w:pPr>
        <w:spacing w:line="360" w:lineRule="auto"/>
        <w:ind w:firstLine="851"/>
        <w:jc w:val="both"/>
        <w:rPr>
          <w:rFonts w:ascii="Arial" w:hAnsi="Arial" w:cs="Arial"/>
          <w:sz w:val="24"/>
          <w:szCs w:val="24"/>
        </w:rPr>
      </w:pPr>
      <w:r w:rsidRPr="00823D98">
        <w:rPr>
          <w:rFonts w:ascii="Arial" w:hAnsi="Arial" w:cs="Arial"/>
          <w:b/>
          <w:sz w:val="24"/>
          <w:szCs w:val="24"/>
        </w:rPr>
        <w:t xml:space="preserve">Desde logo, indaga-se se é conveniente ao Estado de Goiás manter uma política de incentivos </w:t>
      </w:r>
      <w:r>
        <w:rPr>
          <w:rFonts w:ascii="Arial" w:hAnsi="Arial" w:cs="Arial"/>
          <w:b/>
          <w:sz w:val="24"/>
          <w:szCs w:val="24"/>
        </w:rPr>
        <w:t xml:space="preserve">fiscais </w:t>
      </w:r>
      <w:r w:rsidRPr="00823D98">
        <w:rPr>
          <w:rFonts w:ascii="Arial" w:hAnsi="Arial" w:cs="Arial"/>
          <w:b/>
          <w:sz w:val="24"/>
          <w:szCs w:val="24"/>
        </w:rPr>
        <w:t>às empresas mineradoras a esse custo</w:t>
      </w:r>
      <w:r>
        <w:rPr>
          <w:rFonts w:ascii="Arial" w:hAnsi="Arial" w:cs="Arial"/>
          <w:sz w:val="24"/>
          <w:szCs w:val="24"/>
        </w:rPr>
        <w:t>, considerando tudo o que já se renunciou de receitas públicas ao longo desses 15 (quinze) anos e, ainda, o fato de restar praticamente igual prazo para o término da vigência dos benefícios previstos na Lei nº 15.719/2006. Como diversas dessas empresas não se encontram entre as 100 (cem) maiores beneficiárias, esta CPI não obteve acesso aos dados referentes à empregabilidade dessas empresas, para estimar o valor do custo de cada emprego, ao menos em relação ao setor.</w:t>
      </w:r>
    </w:p>
    <w:p w14:paraId="1B77BB04"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Porém, </w:t>
      </w:r>
      <w:r w:rsidRPr="005207B8">
        <w:rPr>
          <w:rFonts w:ascii="Arial" w:hAnsi="Arial" w:cs="Arial"/>
          <w:b/>
          <w:sz w:val="24"/>
          <w:szCs w:val="24"/>
        </w:rPr>
        <w:t>a partir da análise</w:t>
      </w:r>
      <w:r>
        <w:rPr>
          <w:rFonts w:ascii="Arial" w:hAnsi="Arial" w:cs="Arial"/>
          <w:b/>
          <w:sz w:val="24"/>
          <w:szCs w:val="24"/>
        </w:rPr>
        <w:t xml:space="preserve"> </w:t>
      </w:r>
      <w:r w:rsidRPr="005207B8">
        <w:rPr>
          <w:rFonts w:ascii="Arial" w:hAnsi="Arial" w:cs="Arial"/>
          <w:b/>
          <w:sz w:val="24"/>
          <w:szCs w:val="24"/>
        </w:rPr>
        <w:t>dos diversos TARE’s encaminhados a esta CPI</w:t>
      </w:r>
      <w:r>
        <w:rPr>
          <w:rFonts w:ascii="Arial" w:hAnsi="Arial" w:cs="Arial"/>
          <w:sz w:val="24"/>
          <w:szCs w:val="24"/>
        </w:rPr>
        <w:t>, destacam-se os seguintes achados que destoam, em tese, do disposto em lei ou, no mínimo, revelam-se aparentemente contrários ao interesse público:</w:t>
      </w:r>
    </w:p>
    <w:tbl>
      <w:tblPr>
        <w:tblStyle w:val="Tabelacomgrade"/>
        <w:tblW w:w="0" w:type="auto"/>
        <w:tblLook w:val="04A0" w:firstRow="1" w:lastRow="0" w:firstColumn="1" w:lastColumn="0" w:noHBand="0" w:noVBand="1"/>
      </w:tblPr>
      <w:tblGrid>
        <w:gridCol w:w="2547"/>
        <w:gridCol w:w="6791"/>
      </w:tblGrid>
      <w:tr w:rsidR="006356F1" w14:paraId="2C0537A4" w14:textId="77777777" w:rsidTr="00217400">
        <w:tc>
          <w:tcPr>
            <w:tcW w:w="2547" w:type="dxa"/>
          </w:tcPr>
          <w:p w14:paraId="5B4E4FB5" w14:textId="77777777" w:rsidR="006356F1" w:rsidRDefault="006356F1" w:rsidP="00217400">
            <w:pPr>
              <w:spacing w:line="360" w:lineRule="auto"/>
              <w:jc w:val="center"/>
              <w:rPr>
                <w:rFonts w:ascii="Arial" w:hAnsi="Arial" w:cs="Arial"/>
                <w:b/>
                <w:sz w:val="24"/>
                <w:szCs w:val="24"/>
              </w:rPr>
            </w:pPr>
          </w:p>
          <w:p w14:paraId="6654C8FD" w14:textId="77777777" w:rsidR="006356F1" w:rsidRDefault="006356F1" w:rsidP="00217400">
            <w:pPr>
              <w:spacing w:line="360" w:lineRule="auto"/>
              <w:jc w:val="center"/>
              <w:rPr>
                <w:rFonts w:ascii="Arial" w:hAnsi="Arial" w:cs="Arial"/>
                <w:b/>
                <w:sz w:val="24"/>
                <w:szCs w:val="24"/>
              </w:rPr>
            </w:pPr>
          </w:p>
          <w:p w14:paraId="5DAF83E0" w14:textId="77777777" w:rsidR="006356F1" w:rsidRDefault="006356F1" w:rsidP="00217400">
            <w:pPr>
              <w:spacing w:line="360" w:lineRule="auto"/>
              <w:jc w:val="center"/>
              <w:rPr>
                <w:rFonts w:ascii="Arial" w:hAnsi="Arial" w:cs="Arial"/>
                <w:b/>
                <w:sz w:val="24"/>
                <w:szCs w:val="24"/>
              </w:rPr>
            </w:pPr>
          </w:p>
          <w:p w14:paraId="31630CC8" w14:textId="77777777" w:rsidR="006356F1" w:rsidRDefault="006356F1" w:rsidP="00217400">
            <w:pPr>
              <w:spacing w:line="360" w:lineRule="auto"/>
              <w:jc w:val="center"/>
              <w:rPr>
                <w:rFonts w:ascii="Arial" w:hAnsi="Arial" w:cs="Arial"/>
                <w:b/>
                <w:sz w:val="24"/>
                <w:szCs w:val="24"/>
              </w:rPr>
            </w:pPr>
            <w:r w:rsidRPr="00044350">
              <w:rPr>
                <w:rFonts w:ascii="Arial" w:hAnsi="Arial" w:cs="Arial"/>
                <w:b/>
                <w:sz w:val="24"/>
                <w:szCs w:val="24"/>
                <w:u w:val="single"/>
              </w:rPr>
              <w:lastRenderedPageBreak/>
              <w:t>GERAL</w:t>
            </w:r>
          </w:p>
        </w:tc>
        <w:tc>
          <w:tcPr>
            <w:tcW w:w="6791" w:type="dxa"/>
          </w:tcPr>
          <w:p w14:paraId="3FEE176B" w14:textId="77777777" w:rsidR="006356F1" w:rsidRPr="00283AEC" w:rsidRDefault="006356F1" w:rsidP="00217400">
            <w:pPr>
              <w:spacing w:line="360" w:lineRule="auto"/>
              <w:jc w:val="both"/>
              <w:rPr>
                <w:rFonts w:ascii="Arial" w:hAnsi="Arial" w:cs="Arial"/>
                <w:b/>
                <w:sz w:val="24"/>
                <w:szCs w:val="24"/>
              </w:rPr>
            </w:pPr>
            <w:r w:rsidRPr="00A9410E">
              <w:rPr>
                <w:rFonts w:ascii="Arial" w:hAnsi="Arial" w:cs="Arial"/>
                <w:b/>
                <w:sz w:val="24"/>
                <w:szCs w:val="24"/>
              </w:rPr>
              <w:lastRenderedPageBreak/>
              <w:t>Os TARE’s são firmados por prazo indeterminado e sem a exigência de contrapartidas econômicas e sociais</w:t>
            </w:r>
            <w:r>
              <w:rPr>
                <w:rFonts w:ascii="Arial" w:hAnsi="Arial" w:cs="Arial"/>
                <w:sz w:val="24"/>
                <w:szCs w:val="24"/>
              </w:rPr>
              <w:t xml:space="preserve">, além de não ter a Lei nº 20.367/2018 exigido contribuição ao </w:t>
            </w:r>
            <w:r>
              <w:rPr>
                <w:rFonts w:ascii="Arial" w:hAnsi="Arial" w:cs="Arial"/>
                <w:sz w:val="24"/>
                <w:szCs w:val="24"/>
              </w:rPr>
              <w:lastRenderedPageBreak/>
              <w:t>PROTEGE para os incentivos fiscais previstos na Lei nº 15.719/2006, embora os tenha reinstituído em seu Anexo Único, o que leva a concluir que não existe qualquer acompanhamento ou estudo acerca da efetividade da política de incentivos fiscais adotada.</w:t>
            </w:r>
          </w:p>
        </w:tc>
      </w:tr>
      <w:tr w:rsidR="006356F1" w14:paraId="4EBD8C66" w14:textId="77777777" w:rsidTr="00217400">
        <w:tc>
          <w:tcPr>
            <w:tcW w:w="2547" w:type="dxa"/>
          </w:tcPr>
          <w:p w14:paraId="5F346B43" w14:textId="77777777" w:rsidR="006356F1" w:rsidRDefault="006356F1" w:rsidP="00217400">
            <w:pPr>
              <w:spacing w:line="360" w:lineRule="auto"/>
              <w:jc w:val="center"/>
              <w:rPr>
                <w:rFonts w:ascii="Arial" w:hAnsi="Arial" w:cs="Arial"/>
                <w:b/>
                <w:sz w:val="24"/>
                <w:szCs w:val="24"/>
              </w:rPr>
            </w:pPr>
          </w:p>
          <w:p w14:paraId="7903DDA0" w14:textId="77777777" w:rsidR="006356F1" w:rsidRDefault="006356F1" w:rsidP="00217400">
            <w:pPr>
              <w:spacing w:line="360" w:lineRule="auto"/>
              <w:jc w:val="center"/>
              <w:rPr>
                <w:rFonts w:ascii="Arial" w:hAnsi="Arial" w:cs="Arial"/>
                <w:b/>
                <w:sz w:val="24"/>
                <w:szCs w:val="24"/>
              </w:rPr>
            </w:pPr>
          </w:p>
          <w:p w14:paraId="245A3FBC" w14:textId="77777777" w:rsidR="006356F1" w:rsidRPr="00044350" w:rsidRDefault="006356F1" w:rsidP="00217400">
            <w:pPr>
              <w:spacing w:line="360" w:lineRule="auto"/>
              <w:jc w:val="center"/>
              <w:rPr>
                <w:rFonts w:ascii="Arial" w:hAnsi="Arial" w:cs="Arial"/>
                <w:b/>
                <w:sz w:val="24"/>
                <w:szCs w:val="24"/>
                <w:u w:val="single"/>
              </w:rPr>
            </w:pPr>
            <w:r w:rsidRPr="00044350">
              <w:rPr>
                <w:rFonts w:ascii="Arial" w:hAnsi="Arial" w:cs="Arial"/>
                <w:b/>
                <w:sz w:val="24"/>
                <w:szCs w:val="24"/>
                <w:u w:val="single"/>
              </w:rPr>
              <w:t>SUBSTITUIÇÃO TRIBUTÁRIA</w:t>
            </w:r>
          </w:p>
          <w:p w14:paraId="354BC579" w14:textId="77777777" w:rsidR="006356F1" w:rsidRPr="003904C5" w:rsidRDefault="006356F1" w:rsidP="00217400">
            <w:pPr>
              <w:spacing w:line="360" w:lineRule="auto"/>
              <w:jc w:val="center"/>
              <w:rPr>
                <w:rFonts w:ascii="Arial" w:hAnsi="Arial" w:cs="Arial"/>
                <w:b/>
                <w:sz w:val="24"/>
                <w:szCs w:val="24"/>
              </w:rPr>
            </w:pPr>
            <w:r>
              <w:rPr>
                <w:rFonts w:ascii="Arial" w:hAnsi="Arial" w:cs="Arial"/>
                <w:b/>
                <w:sz w:val="24"/>
                <w:szCs w:val="24"/>
              </w:rPr>
              <w:t xml:space="preserve">(LEI Nº 15.719/2006, ART. 2º) </w:t>
            </w:r>
          </w:p>
        </w:tc>
        <w:tc>
          <w:tcPr>
            <w:tcW w:w="6791" w:type="dxa"/>
          </w:tcPr>
          <w:p w14:paraId="36E372F2" w14:textId="77777777" w:rsidR="006356F1" w:rsidRDefault="006356F1" w:rsidP="00217400">
            <w:pPr>
              <w:spacing w:line="360" w:lineRule="auto"/>
              <w:jc w:val="both"/>
              <w:rPr>
                <w:rFonts w:ascii="Arial" w:hAnsi="Arial" w:cs="Arial"/>
                <w:sz w:val="24"/>
                <w:szCs w:val="24"/>
              </w:rPr>
            </w:pPr>
            <w:r w:rsidRPr="00217360">
              <w:rPr>
                <w:rFonts w:ascii="Arial" w:hAnsi="Arial" w:cs="Arial"/>
                <w:b/>
                <w:sz w:val="24"/>
                <w:szCs w:val="24"/>
              </w:rPr>
              <w:t>Alguns TARE’s autorizam que a empresa proceda à apuração mensal do imposto devido por substituição tributária</w:t>
            </w:r>
            <w:r w:rsidRPr="00217360">
              <w:rPr>
                <w:rFonts w:ascii="Arial" w:hAnsi="Arial" w:cs="Arial"/>
                <w:sz w:val="24"/>
                <w:szCs w:val="24"/>
              </w:rPr>
              <w:t xml:space="preserve"> e a compensá-lo com o saldo credor acumulado em decorrência de operações de exportação que realiza</w:t>
            </w:r>
            <w:r>
              <w:rPr>
                <w:rFonts w:ascii="Arial" w:hAnsi="Arial" w:cs="Arial"/>
                <w:sz w:val="24"/>
                <w:szCs w:val="24"/>
              </w:rPr>
              <w:t xml:space="preserve"> </w:t>
            </w:r>
            <w:r w:rsidRPr="005A433B">
              <w:rPr>
                <w:rFonts w:ascii="Arial" w:hAnsi="Arial" w:cs="Arial"/>
                <w:sz w:val="24"/>
                <w:szCs w:val="24"/>
              </w:rPr>
              <w:t>(algo muito comum em relação às mineradoras)</w:t>
            </w:r>
            <w:r>
              <w:rPr>
                <w:rFonts w:ascii="Arial" w:hAnsi="Arial" w:cs="Arial"/>
                <w:sz w:val="24"/>
                <w:szCs w:val="24"/>
              </w:rPr>
              <w:t>, mediante a devida escrituração fiscal, de modo que nessa sistemática a empresa praticamente não tem ICMS a recolher, porquanto acumula crédito outorgado e o valor do débito de ICMS é praticamente todo abatido dos créditos da exportação.</w:t>
            </w:r>
          </w:p>
        </w:tc>
      </w:tr>
      <w:tr w:rsidR="006356F1" w14:paraId="2C1FA912" w14:textId="77777777" w:rsidTr="00217400">
        <w:tc>
          <w:tcPr>
            <w:tcW w:w="2547" w:type="dxa"/>
            <w:vMerge w:val="restart"/>
          </w:tcPr>
          <w:p w14:paraId="58C000C4" w14:textId="77777777" w:rsidR="006356F1" w:rsidRDefault="006356F1" w:rsidP="00217400">
            <w:pPr>
              <w:spacing w:line="360" w:lineRule="auto"/>
              <w:jc w:val="center"/>
              <w:rPr>
                <w:rFonts w:ascii="Arial" w:hAnsi="Arial" w:cs="Arial"/>
                <w:b/>
                <w:sz w:val="24"/>
                <w:szCs w:val="24"/>
              </w:rPr>
            </w:pPr>
          </w:p>
          <w:p w14:paraId="58EA45A1" w14:textId="77777777" w:rsidR="006356F1" w:rsidRDefault="006356F1" w:rsidP="00217400">
            <w:pPr>
              <w:spacing w:line="360" w:lineRule="auto"/>
              <w:jc w:val="center"/>
              <w:rPr>
                <w:rFonts w:ascii="Arial" w:hAnsi="Arial" w:cs="Arial"/>
                <w:b/>
                <w:sz w:val="24"/>
                <w:szCs w:val="24"/>
              </w:rPr>
            </w:pPr>
          </w:p>
          <w:p w14:paraId="2E7E16F1" w14:textId="77777777" w:rsidR="006356F1" w:rsidRDefault="006356F1" w:rsidP="00217400">
            <w:pPr>
              <w:spacing w:line="360" w:lineRule="auto"/>
              <w:jc w:val="center"/>
              <w:rPr>
                <w:rFonts w:ascii="Arial" w:hAnsi="Arial" w:cs="Arial"/>
                <w:b/>
                <w:sz w:val="24"/>
                <w:szCs w:val="24"/>
                <w:u w:val="single"/>
              </w:rPr>
            </w:pPr>
          </w:p>
          <w:p w14:paraId="3642F325" w14:textId="77777777" w:rsidR="006356F1" w:rsidRDefault="006356F1" w:rsidP="00217400">
            <w:pPr>
              <w:spacing w:line="360" w:lineRule="auto"/>
              <w:jc w:val="center"/>
              <w:rPr>
                <w:rFonts w:ascii="Arial" w:hAnsi="Arial" w:cs="Arial"/>
                <w:b/>
                <w:sz w:val="24"/>
                <w:szCs w:val="24"/>
                <w:u w:val="single"/>
              </w:rPr>
            </w:pPr>
          </w:p>
          <w:p w14:paraId="417692E1" w14:textId="77777777" w:rsidR="006356F1" w:rsidRDefault="006356F1" w:rsidP="00217400">
            <w:pPr>
              <w:spacing w:line="360" w:lineRule="auto"/>
              <w:jc w:val="center"/>
              <w:rPr>
                <w:rFonts w:ascii="Arial" w:hAnsi="Arial" w:cs="Arial"/>
                <w:b/>
                <w:sz w:val="24"/>
                <w:szCs w:val="24"/>
                <w:u w:val="single"/>
              </w:rPr>
            </w:pPr>
          </w:p>
          <w:p w14:paraId="7CEDA3AB" w14:textId="77777777" w:rsidR="006356F1" w:rsidRDefault="006356F1" w:rsidP="00217400">
            <w:pPr>
              <w:spacing w:line="360" w:lineRule="auto"/>
              <w:jc w:val="center"/>
              <w:rPr>
                <w:rFonts w:ascii="Arial" w:hAnsi="Arial" w:cs="Arial"/>
                <w:b/>
                <w:sz w:val="24"/>
                <w:szCs w:val="24"/>
                <w:u w:val="single"/>
              </w:rPr>
            </w:pPr>
          </w:p>
          <w:p w14:paraId="43ACC078" w14:textId="77777777" w:rsidR="006356F1" w:rsidRDefault="006356F1" w:rsidP="00217400">
            <w:pPr>
              <w:spacing w:line="360" w:lineRule="auto"/>
              <w:jc w:val="center"/>
              <w:rPr>
                <w:rFonts w:ascii="Arial" w:hAnsi="Arial" w:cs="Arial"/>
                <w:b/>
                <w:sz w:val="24"/>
                <w:szCs w:val="24"/>
                <w:u w:val="single"/>
              </w:rPr>
            </w:pPr>
          </w:p>
          <w:p w14:paraId="5560A46B" w14:textId="77777777" w:rsidR="006356F1" w:rsidRDefault="006356F1" w:rsidP="00217400">
            <w:pPr>
              <w:spacing w:line="360" w:lineRule="auto"/>
              <w:jc w:val="center"/>
              <w:rPr>
                <w:rFonts w:ascii="Arial" w:hAnsi="Arial" w:cs="Arial"/>
                <w:b/>
                <w:sz w:val="24"/>
                <w:szCs w:val="24"/>
                <w:u w:val="single"/>
              </w:rPr>
            </w:pPr>
          </w:p>
          <w:p w14:paraId="77907B21" w14:textId="77777777" w:rsidR="006356F1" w:rsidRDefault="006356F1" w:rsidP="00217400">
            <w:pPr>
              <w:spacing w:line="360" w:lineRule="auto"/>
              <w:jc w:val="center"/>
              <w:rPr>
                <w:rFonts w:ascii="Arial" w:hAnsi="Arial" w:cs="Arial"/>
                <w:b/>
                <w:sz w:val="24"/>
                <w:szCs w:val="24"/>
                <w:u w:val="single"/>
              </w:rPr>
            </w:pPr>
          </w:p>
          <w:p w14:paraId="7CD08E28" w14:textId="77777777" w:rsidR="006356F1" w:rsidRDefault="006356F1" w:rsidP="00217400">
            <w:pPr>
              <w:spacing w:line="360" w:lineRule="auto"/>
              <w:jc w:val="center"/>
              <w:rPr>
                <w:rFonts w:ascii="Arial" w:hAnsi="Arial" w:cs="Arial"/>
                <w:b/>
                <w:sz w:val="24"/>
                <w:szCs w:val="24"/>
                <w:u w:val="single"/>
              </w:rPr>
            </w:pPr>
          </w:p>
          <w:p w14:paraId="67EA8765" w14:textId="77777777" w:rsidR="006356F1" w:rsidRDefault="006356F1" w:rsidP="00217400">
            <w:pPr>
              <w:spacing w:line="360" w:lineRule="auto"/>
              <w:jc w:val="center"/>
              <w:rPr>
                <w:rFonts w:ascii="Arial" w:hAnsi="Arial" w:cs="Arial"/>
                <w:b/>
                <w:sz w:val="24"/>
                <w:szCs w:val="24"/>
              </w:rPr>
            </w:pPr>
            <w:r w:rsidRPr="00044350">
              <w:rPr>
                <w:rFonts w:ascii="Arial" w:hAnsi="Arial" w:cs="Arial"/>
                <w:b/>
                <w:sz w:val="24"/>
                <w:szCs w:val="24"/>
                <w:u w:val="single"/>
              </w:rPr>
              <w:t>IMPORTAÇÃO</w:t>
            </w:r>
          </w:p>
          <w:p w14:paraId="2B591911" w14:textId="77777777" w:rsidR="006356F1" w:rsidRDefault="006356F1" w:rsidP="00217400">
            <w:pPr>
              <w:spacing w:line="360" w:lineRule="auto"/>
              <w:jc w:val="center"/>
              <w:rPr>
                <w:rFonts w:ascii="Arial" w:hAnsi="Arial" w:cs="Arial"/>
                <w:sz w:val="24"/>
                <w:szCs w:val="24"/>
              </w:rPr>
            </w:pPr>
            <w:r>
              <w:rPr>
                <w:rFonts w:ascii="Arial" w:hAnsi="Arial" w:cs="Arial"/>
                <w:b/>
                <w:sz w:val="24"/>
                <w:szCs w:val="24"/>
              </w:rPr>
              <w:t>(LEI Nº 15.719/2006, ART. 3º)</w:t>
            </w:r>
          </w:p>
        </w:tc>
        <w:tc>
          <w:tcPr>
            <w:tcW w:w="6791" w:type="dxa"/>
          </w:tcPr>
          <w:p w14:paraId="14235FD2" w14:textId="77777777" w:rsidR="006356F1" w:rsidRDefault="006356F1" w:rsidP="00217400">
            <w:pPr>
              <w:spacing w:line="360" w:lineRule="auto"/>
              <w:jc w:val="both"/>
              <w:rPr>
                <w:rFonts w:ascii="Arial" w:hAnsi="Arial" w:cs="Arial"/>
                <w:sz w:val="24"/>
                <w:szCs w:val="24"/>
              </w:rPr>
            </w:pPr>
            <w:r w:rsidRPr="00EF0F9E">
              <w:rPr>
                <w:rFonts w:ascii="Arial" w:hAnsi="Arial" w:cs="Arial"/>
                <w:b/>
                <w:sz w:val="24"/>
                <w:szCs w:val="24"/>
              </w:rPr>
              <w:t>Alguns TARE’s</w:t>
            </w:r>
            <w:r>
              <w:rPr>
                <w:rFonts w:ascii="Arial" w:hAnsi="Arial" w:cs="Arial"/>
                <w:sz w:val="24"/>
                <w:szCs w:val="24"/>
              </w:rPr>
              <w:t xml:space="preserve">, além do direito ao diferimento e ao parcelamento do ICMS-Importação nos termos do art. 3º da Lei nº 15.719/2006, </w:t>
            </w:r>
            <w:r w:rsidRPr="00691DE7">
              <w:rPr>
                <w:rFonts w:ascii="Arial" w:hAnsi="Arial" w:cs="Arial"/>
                <w:b/>
                <w:sz w:val="24"/>
                <w:szCs w:val="24"/>
              </w:rPr>
              <w:t xml:space="preserve">ainda autorizam o contribuinte a apropriar-se do correspondente valor destacado na nota fiscal </w:t>
            </w:r>
            <w:r>
              <w:rPr>
                <w:rFonts w:ascii="Arial" w:hAnsi="Arial" w:cs="Arial"/>
                <w:b/>
                <w:sz w:val="24"/>
                <w:szCs w:val="24"/>
              </w:rPr>
              <w:t xml:space="preserve">do produto importado </w:t>
            </w:r>
            <w:r w:rsidRPr="00691DE7">
              <w:rPr>
                <w:rFonts w:ascii="Arial" w:hAnsi="Arial" w:cs="Arial"/>
                <w:b/>
                <w:sz w:val="24"/>
                <w:szCs w:val="24"/>
              </w:rPr>
              <w:t>a título de crédito (outorgado)</w:t>
            </w:r>
            <w:r>
              <w:rPr>
                <w:rFonts w:ascii="Arial" w:hAnsi="Arial" w:cs="Arial"/>
                <w:sz w:val="24"/>
                <w:szCs w:val="24"/>
              </w:rPr>
              <w:t xml:space="preserve"> </w:t>
            </w:r>
            <w:r w:rsidRPr="00654E33">
              <w:rPr>
                <w:rFonts w:ascii="Arial" w:hAnsi="Arial" w:cs="Arial"/>
                <w:sz w:val="24"/>
                <w:szCs w:val="24"/>
              </w:rPr>
              <w:t>para compensação com suas operações regulares</w:t>
            </w:r>
            <w:r>
              <w:rPr>
                <w:rFonts w:ascii="Arial" w:hAnsi="Arial" w:cs="Arial"/>
                <w:sz w:val="24"/>
                <w:szCs w:val="24"/>
              </w:rPr>
              <w:t>, o que, ao menos em tese, extrapola o previsto naquele dispositivo legal.</w:t>
            </w:r>
          </w:p>
        </w:tc>
      </w:tr>
      <w:tr w:rsidR="006356F1" w14:paraId="3438F605" w14:textId="77777777" w:rsidTr="00217400">
        <w:tc>
          <w:tcPr>
            <w:tcW w:w="2547" w:type="dxa"/>
            <w:vMerge/>
          </w:tcPr>
          <w:p w14:paraId="55A5F0B4" w14:textId="77777777" w:rsidR="006356F1" w:rsidRDefault="006356F1" w:rsidP="00217400">
            <w:pPr>
              <w:spacing w:line="360" w:lineRule="auto"/>
              <w:jc w:val="center"/>
              <w:rPr>
                <w:rFonts w:ascii="Arial" w:hAnsi="Arial" w:cs="Arial"/>
                <w:b/>
                <w:sz w:val="24"/>
                <w:szCs w:val="24"/>
              </w:rPr>
            </w:pPr>
          </w:p>
        </w:tc>
        <w:tc>
          <w:tcPr>
            <w:tcW w:w="6791" w:type="dxa"/>
          </w:tcPr>
          <w:p w14:paraId="5A100913" w14:textId="77777777" w:rsidR="006356F1" w:rsidRPr="00691DE7" w:rsidRDefault="006356F1" w:rsidP="00217400">
            <w:pPr>
              <w:spacing w:line="360" w:lineRule="auto"/>
              <w:jc w:val="both"/>
              <w:rPr>
                <w:rFonts w:ascii="Arial" w:hAnsi="Arial" w:cs="Arial"/>
                <w:b/>
                <w:sz w:val="24"/>
                <w:szCs w:val="24"/>
              </w:rPr>
            </w:pPr>
            <w:r>
              <w:rPr>
                <w:rFonts w:ascii="Arial" w:hAnsi="Arial" w:cs="Arial"/>
                <w:b/>
                <w:sz w:val="24"/>
                <w:szCs w:val="24"/>
              </w:rPr>
              <w:t>Assim, a</w:t>
            </w:r>
            <w:r w:rsidRPr="00117E40">
              <w:rPr>
                <w:rFonts w:ascii="Arial" w:hAnsi="Arial" w:cs="Arial"/>
                <w:b/>
                <w:sz w:val="24"/>
                <w:szCs w:val="24"/>
              </w:rPr>
              <w:t>s disposições dos TARE’s que se limitam a cumprir a determinação contida no art. 3º da Lei nº 15.719/2006 apenas deveriam autorizar o deslocamento da mercadoria até o local de destino sem o pagamento imediato do imposto</w:t>
            </w:r>
            <w:r w:rsidRPr="00691DE7">
              <w:rPr>
                <w:rFonts w:ascii="Arial" w:hAnsi="Arial" w:cs="Arial"/>
                <w:sz w:val="24"/>
                <w:szCs w:val="24"/>
              </w:rPr>
              <w:t xml:space="preserve">, mediante “Guia para Liberação de Mercadoria Estrangeira sem Comprovação do Recolhimento do ICMS”, na qual deve ser consignada a referência ao TARE respectivo no campo “observações” ou “dispositivo legal”; </w:t>
            </w:r>
            <w:r w:rsidRPr="008F6AF6">
              <w:rPr>
                <w:rFonts w:ascii="Arial" w:hAnsi="Arial" w:cs="Arial"/>
                <w:sz w:val="24"/>
                <w:szCs w:val="24"/>
                <w:u w:val="single"/>
              </w:rPr>
              <w:t>porém, certos TARE’s preveem que o valor destacado na nota fiscal, referente ao ICMS que seria pago por ocasião da importação, pode ser apropriado a título de crédito outorgado</w:t>
            </w:r>
            <w:r>
              <w:rPr>
                <w:rFonts w:ascii="Arial" w:hAnsi="Arial" w:cs="Arial"/>
                <w:sz w:val="24"/>
                <w:szCs w:val="24"/>
              </w:rPr>
              <w:t>.</w:t>
            </w:r>
          </w:p>
        </w:tc>
      </w:tr>
      <w:tr w:rsidR="006356F1" w14:paraId="2A954DA6" w14:textId="77777777" w:rsidTr="00217400">
        <w:tc>
          <w:tcPr>
            <w:tcW w:w="2547" w:type="dxa"/>
            <w:vMerge/>
          </w:tcPr>
          <w:p w14:paraId="0842E8AC" w14:textId="77777777" w:rsidR="006356F1" w:rsidRDefault="006356F1" w:rsidP="00217400">
            <w:pPr>
              <w:spacing w:line="360" w:lineRule="auto"/>
              <w:jc w:val="center"/>
              <w:rPr>
                <w:rFonts w:ascii="Arial" w:hAnsi="Arial" w:cs="Arial"/>
                <w:b/>
                <w:sz w:val="24"/>
                <w:szCs w:val="24"/>
              </w:rPr>
            </w:pPr>
          </w:p>
        </w:tc>
        <w:tc>
          <w:tcPr>
            <w:tcW w:w="6791" w:type="dxa"/>
          </w:tcPr>
          <w:p w14:paraId="09E4D392" w14:textId="77777777" w:rsidR="006356F1" w:rsidRPr="008F6AF6" w:rsidRDefault="006356F1" w:rsidP="00217400">
            <w:pPr>
              <w:spacing w:line="360" w:lineRule="auto"/>
              <w:jc w:val="both"/>
              <w:rPr>
                <w:rFonts w:ascii="Arial" w:hAnsi="Arial" w:cs="Arial"/>
                <w:b/>
                <w:sz w:val="24"/>
                <w:szCs w:val="24"/>
              </w:rPr>
            </w:pPr>
            <w:r w:rsidRPr="00117E40">
              <w:rPr>
                <w:rFonts w:ascii="Arial" w:hAnsi="Arial" w:cs="Arial"/>
                <w:b/>
                <w:sz w:val="24"/>
                <w:szCs w:val="24"/>
              </w:rPr>
              <w:t>Alguns TARE’s estabelecem, ainda, que no caso de importação do exterior de insumos e outras matérias-primas das quais haja produção no Estado de Goiás, o direito de crédito a ser apropriado pela empresa acordante depende do atendimento às seguintes condicionantes cumulativas</w:t>
            </w:r>
            <w:r w:rsidRPr="008F6AF6">
              <w:rPr>
                <w:rFonts w:ascii="Arial" w:hAnsi="Arial" w:cs="Arial"/>
                <w:sz w:val="24"/>
                <w:szCs w:val="24"/>
              </w:rPr>
              <w:t xml:space="preserve">: </w:t>
            </w:r>
            <w:r w:rsidRPr="00117E40">
              <w:rPr>
                <w:rFonts w:ascii="Arial" w:hAnsi="Arial" w:cs="Arial"/>
                <w:sz w:val="24"/>
                <w:szCs w:val="24"/>
                <w:u w:val="single"/>
              </w:rPr>
              <w:t>1) prévia autorização do então Secretário de Estado da Fazenda, além de comunicação dos dados da operação e das razões pelas quais recorreu ao mercado externo aos órgãos e entidades especificadas</w:t>
            </w:r>
            <w:r w:rsidRPr="008F6AF6">
              <w:rPr>
                <w:rFonts w:ascii="Arial" w:hAnsi="Arial" w:cs="Arial"/>
                <w:sz w:val="24"/>
                <w:szCs w:val="24"/>
              </w:rPr>
              <w:t xml:space="preserve"> (Secretária de Estado da Indústria e Comércio; Federação da Agricultura do Estado de Goiás – FAEG; Federação das Indústrias do Estado de Goiás – FIEG; e Federação das Associações Comerciais, Industriais e Agropecuárias do Estado de Goiás – FACIEG); </w:t>
            </w:r>
            <w:r w:rsidRPr="00117E40">
              <w:rPr>
                <w:rFonts w:ascii="Arial" w:hAnsi="Arial" w:cs="Arial"/>
                <w:sz w:val="24"/>
                <w:szCs w:val="24"/>
                <w:u w:val="single"/>
              </w:rPr>
              <w:t>2) registro na nota fiscal da informação de que o produto não é produzido no Estado de Goiás, ou se produzido o é em quantidade insuficiente</w:t>
            </w:r>
            <w:r w:rsidRPr="008F6AF6">
              <w:rPr>
                <w:rFonts w:ascii="Arial" w:hAnsi="Arial" w:cs="Arial"/>
                <w:sz w:val="24"/>
                <w:szCs w:val="24"/>
              </w:rPr>
              <w:t xml:space="preserve"> para atender a demanda estadual ou fora dos padrões de competitividade do mercado. </w:t>
            </w:r>
            <w:r w:rsidRPr="00117E40">
              <w:rPr>
                <w:rFonts w:ascii="Arial" w:hAnsi="Arial" w:cs="Arial"/>
                <w:b/>
                <w:sz w:val="24"/>
                <w:szCs w:val="24"/>
              </w:rPr>
              <w:t>Outros TARE’s, porém, não trazem qualquer ressalva em relação a esse aspecto</w:t>
            </w:r>
            <w:r>
              <w:rPr>
                <w:rFonts w:ascii="Arial" w:hAnsi="Arial" w:cs="Arial"/>
                <w:sz w:val="24"/>
                <w:szCs w:val="24"/>
              </w:rPr>
              <w:t>, a depender da pessoa jurídica pactuante</w:t>
            </w:r>
            <w:r w:rsidRPr="008F6AF6">
              <w:rPr>
                <w:rFonts w:ascii="Arial" w:hAnsi="Arial" w:cs="Arial"/>
                <w:sz w:val="24"/>
                <w:szCs w:val="24"/>
              </w:rPr>
              <w:t xml:space="preserve">. </w:t>
            </w:r>
            <w:r>
              <w:rPr>
                <w:rFonts w:ascii="Arial" w:hAnsi="Arial" w:cs="Arial"/>
                <w:sz w:val="24"/>
                <w:szCs w:val="24"/>
              </w:rPr>
              <w:t>Esta</w:t>
            </w:r>
            <w:r w:rsidRPr="008F6AF6">
              <w:rPr>
                <w:rFonts w:ascii="Arial" w:hAnsi="Arial" w:cs="Arial"/>
                <w:sz w:val="24"/>
                <w:szCs w:val="24"/>
              </w:rPr>
              <w:t xml:space="preserve"> CPI não ch</w:t>
            </w:r>
            <w:r>
              <w:rPr>
                <w:rFonts w:ascii="Arial" w:hAnsi="Arial" w:cs="Arial"/>
                <w:sz w:val="24"/>
                <w:szCs w:val="24"/>
              </w:rPr>
              <w:t>egou a verificar o atendimento àqueles</w:t>
            </w:r>
            <w:r w:rsidRPr="008F6AF6">
              <w:rPr>
                <w:rFonts w:ascii="Arial" w:hAnsi="Arial" w:cs="Arial"/>
                <w:sz w:val="24"/>
                <w:szCs w:val="24"/>
              </w:rPr>
              <w:t xml:space="preserve"> requisitos, mas considera que</w:t>
            </w:r>
            <w:r>
              <w:rPr>
                <w:rFonts w:ascii="Arial" w:hAnsi="Arial" w:cs="Arial"/>
                <w:sz w:val="24"/>
                <w:szCs w:val="24"/>
              </w:rPr>
              <w:t>, de qualquer forma</w:t>
            </w:r>
            <w:r w:rsidRPr="00117E40">
              <w:rPr>
                <w:rFonts w:ascii="Arial" w:hAnsi="Arial" w:cs="Arial"/>
                <w:b/>
                <w:sz w:val="24"/>
                <w:szCs w:val="24"/>
              </w:rPr>
              <w:t>, o próprio direito a crédito (outorgado) com base exclusivamente em TARE</w:t>
            </w:r>
            <w:r>
              <w:rPr>
                <w:rFonts w:ascii="Arial" w:hAnsi="Arial" w:cs="Arial"/>
                <w:b/>
                <w:sz w:val="24"/>
                <w:szCs w:val="24"/>
              </w:rPr>
              <w:t>,</w:t>
            </w:r>
            <w:r w:rsidRPr="00117E40">
              <w:rPr>
                <w:rFonts w:ascii="Arial" w:hAnsi="Arial" w:cs="Arial"/>
                <w:b/>
                <w:sz w:val="24"/>
                <w:szCs w:val="24"/>
              </w:rPr>
              <w:t xml:space="preserve"> na hipótese do art. 3º da Lei nº 15.719/2006</w:t>
            </w:r>
            <w:r>
              <w:rPr>
                <w:rFonts w:ascii="Arial" w:hAnsi="Arial" w:cs="Arial"/>
                <w:b/>
                <w:sz w:val="24"/>
                <w:szCs w:val="24"/>
              </w:rPr>
              <w:t>,</w:t>
            </w:r>
            <w:r w:rsidRPr="00117E40">
              <w:rPr>
                <w:rFonts w:ascii="Arial" w:hAnsi="Arial" w:cs="Arial"/>
                <w:b/>
                <w:sz w:val="24"/>
                <w:szCs w:val="24"/>
              </w:rPr>
              <w:t xml:space="preserve"> viola nitidamente </w:t>
            </w:r>
            <w:r>
              <w:rPr>
                <w:rFonts w:ascii="Arial" w:hAnsi="Arial" w:cs="Arial"/>
                <w:b/>
                <w:sz w:val="24"/>
                <w:szCs w:val="24"/>
              </w:rPr>
              <w:t>esse dispositivo legal</w:t>
            </w:r>
            <w:r w:rsidRPr="008F6AF6">
              <w:rPr>
                <w:rFonts w:ascii="Arial" w:hAnsi="Arial" w:cs="Arial"/>
                <w:sz w:val="24"/>
                <w:szCs w:val="24"/>
              </w:rPr>
              <w:t>.</w:t>
            </w:r>
          </w:p>
        </w:tc>
      </w:tr>
      <w:tr w:rsidR="006356F1" w14:paraId="0FC60F2E" w14:textId="77777777" w:rsidTr="00217400">
        <w:tc>
          <w:tcPr>
            <w:tcW w:w="2547" w:type="dxa"/>
            <w:vMerge w:val="restart"/>
          </w:tcPr>
          <w:p w14:paraId="3CD0A954" w14:textId="77777777" w:rsidR="006356F1" w:rsidRDefault="006356F1" w:rsidP="00217400">
            <w:pPr>
              <w:spacing w:line="360" w:lineRule="auto"/>
              <w:jc w:val="center"/>
              <w:rPr>
                <w:rFonts w:ascii="Arial" w:hAnsi="Arial" w:cs="Arial"/>
                <w:b/>
                <w:sz w:val="24"/>
                <w:szCs w:val="24"/>
              </w:rPr>
            </w:pPr>
          </w:p>
          <w:p w14:paraId="2BFCD50E" w14:textId="77777777" w:rsidR="006356F1" w:rsidRDefault="006356F1" w:rsidP="00217400">
            <w:pPr>
              <w:spacing w:line="360" w:lineRule="auto"/>
              <w:jc w:val="center"/>
              <w:rPr>
                <w:rFonts w:ascii="Arial" w:hAnsi="Arial" w:cs="Arial"/>
                <w:b/>
                <w:sz w:val="24"/>
                <w:szCs w:val="24"/>
              </w:rPr>
            </w:pPr>
          </w:p>
          <w:p w14:paraId="1D865640" w14:textId="77777777" w:rsidR="006356F1" w:rsidRDefault="006356F1" w:rsidP="00217400">
            <w:pPr>
              <w:spacing w:line="360" w:lineRule="auto"/>
              <w:jc w:val="center"/>
              <w:rPr>
                <w:rFonts w:ascii="Arial" w:hAnsi="Arial" w:cs="Arial"/>
                <w:b/>
                <w:sz w:val="24"/>
                <w:szCs w:val="24"/>
              </w:rPr>
            </w:pPr>
          </w:p>
          <w:p w14:paraId="45A798C3" w14:textId="77777777" w:rsidR="006356F1" w:rsidRDefault="006356F1" w:rsidP="00217400">
            <w:pPr>
              <w:spacing w:line="360" w:lineRule="auto"/>
              <w:jc w:val="center"/>
              <w:rPr>
                <w:rFonts w:ascii="Arial" w:hAnsi="Arial" w:cs="Arial"/>
                <w:b/>
                <w:sz w:val="24"/>
                <w:szCs w:val="24"/>
              </w:rPr>
            </w:pPr>
          </w:p>
          <w:p w14:paraId="499C3D91" w14:textId="77777777" w:rsidR="006356F1" w:rsidRDefault="006356F1" w:rsidP="00217400">
            <w:pPr>
              <w:spacing w:line="360" w:lineRule="auto"/>
              <w:jc w:val="center"/>
              <w:rPr>
                <w:rFonts w:ascii="Arial" w:hAnsi="Arial" w:cs="Arial"/>
                <w:b/>
                <w:sz w:val="24"/>
                <w:szCs w:val="24"/>
              </w:rPr>
            </w:pPr>
          </w:p>
          <w:p w14:paraId="09F2BD85" w14:textId="77777777" w:rsidR="006356F1" w:rsidRDefault="006356F1" w:rsidP="00217400">
            <w:pPr>
              <w:spacing w:line="360" w:lineRule="auto"/>
              <w:jc w:val="center"/>
              <w:rPr>
                <w:rFonts w:ascii="Arial" w:hAnsi="Arial" w:cs="Arial"/>
                <w:b/>
                <w:sz w:val="24"/>
                <w:szCs w:val="24"/>
              </w:rPr>
            </w:pPr>
          </w:p>
          <w:p w14:paraId="405D42A0" w14:textId="77777777" w:rsidR="006356F1" w:rsidRPr="003904C5" w:rsidRDefault="006356F1" w:rsidP="00217400">
            <w:pPr>
              <w:spacing w:line="360" w:lineRule="auto"/>
              <w:jc w:val="center"/>
              <w:rPr>
                <w:rFonts w:ascii="Arial" w:hAnsi="Arial" w:cs="Arial"/>
                <w:b/>
                <w:sz w:val="24"/>
                <w:szCs w:val="24"/>
              </w:rPr>
            </w:pPr>
            <w:r w:rsidRPr="00E70272">
              <w:rPr>
                <w:rFonts w:ascii="Arial" w:hAnsi="Arial" w:cs="Arial"/>
                <w:b/>
                <w:sz w:val="24"/>
                <w:szCs w:val="24"/>
              </w:rPr>
              <w:lastRenderedPageBreak/>
              <w:t>CONSIGNAÇÃO INDUSTRIAL</w:t>
            </w:r>
          </w:p>
        </w:tc>
        <w:tc>
          <w:tcPr>
            <w:tcW w:w="6791" w:type="dxa"/>
          </w:tcPr>
          <w:p w14:paraId="54D1CD83" w14:textId="77777777" w:rsidR="006356F1" w:rsidRPr="00E70272" w:rsidRDefault="006356F1" w:rsidP="00217400">
            <w:pPr>
              <w:spacing w:line="360" w:lineRule="auto"/>
              <w:jc w:val="both"/>
              <w:rPr>
                <w:rFonts w:ascii="Arial" w:hAnsi="Arial" w:cs="Arial"/>
                <w:sz w:val="24"/>
                <w:szCs w:val="24"/>
              </w:rPr>
            </w:pPr>
            <w:r w:rsidRPr="00344904">
              <w:rPr>
                <w:rFonts w:ascii="Arial" w:hAnsi="Arial" w:cs="Arial"/>
                <w:b/>
                <w:sz w:val="24"/>
                <w:szCs w:val="24"/>
              </w:rPr>
              <w:lastRenderedPageBreak/>
              <w:t>Nos termos do art. 55-A do Anexo XII do RCTE/GO</w:t>
            </w:r>
            <w:r w:rsidRPr="00E70272">
              <w:rPr>
                <w:rFonts w:ascii="Arial" w:hAnsi="Arial" w:cs="Arial"/>
                <w:sz w:val="24"/>
                <w:szCs w:val="24"/>
              </w:rPr>
              <w:t xml:space="preserve">, </w:t>
            </w:r>
            <w:r>
              <w:rPr>
                <w:rFonts w:ascii="Arial" w:hAnsi="Arial" w:cs="Arial"/>
                <w:sz w:val="24"/>
                <w:szCs w:val="24"/>
              </w:rPr>
              <w:t>“c</w:t>
            </w:r>
            <w:r w:rsidRPr="00E70272">
              <w:rPr>
                <w:rFonts w:ascii="Arial" w:hAnsi="Arial" w:cs="Arial"/>
                <w:sz w:val="24"/>
                <w:szCs w:val="24"/>
              </w:rPr>
              <w:t>onsignação industrial é a operação na qual ocorre remessa, com preço fixado, de mercadoria com a finalidade de integração ou consumo em processo industrial, em que o faturamento dar-se-á quando da utilização dessa mercadoria pelo destinatário (Protocolo ICMS 52/00, cláusula primeira, § 1º)</w:t>
            </w:r>
            <w:r>
              <w:rPr>
                <w:rFonts w:ascii="Arial" w:hAnsi="Arial" w:cs="Arial"/>
                <w:sz w:val="24"/>
                <w:szCs w:val="24"/>
              </w:rPr>
              <w:t>”</w:t>
            </w:r>
            <w:r w:rsidRPr="00E70272">
              <w:rPr>
                <w:rFonts w:ascii="Arial" w:hAnsi="Arial" w:cs="Arial"/>
                <w:sz w:val="24"/>
                <w:szCs w:val="24"/>
              </w:rPr>
              <w:t>.</w:t>
            </w:r>
          </w:p>
        </w:tc>
      </w:tr>
      <w:tr w:rsidR="006356F1" w14:paraId="0416CA24" w14:textId="77777777" w:rsidTr="00217400">
        <w:tc>
          <w:tcPr>
            <w:tcW w:w="2547" w:type="dxa"/>
            <w:vMerge/>
          </w:tcPr>
          <w:p w14:paraId="3C412377" w14:textId="77777777" w:rsidR="006356F1" w:rsidRPr="00E70272" w:rsidRDefault="006356F1" w:rsidP="00217400">
            <w:pPr>
              <w:spacing w:line="360" w:lineRule="auto"/>
              <w:jc w:val="center"/>
              <w:rPr>
                <w:rFonts w:ascii="Arial" w:hAnsi="Arial" w:cs="Arial"/>
                <w:b/>
                <w:sz w:val="24"/>
                <w:szCs w:val="24"/>
              </w:rPr>
            </w:pPr>
          </w:p>
        </w:tc>
        <w:tc>
          <w:tcPr>
            <w:tcW w:w="6791" w:type="dxa"/>
          </w:tcPr>
          <w:p w14:paraId="29FA5836" w14:textId="77777777" w:rsidR="006356F1" w:rsidRPr="00E70272" w:rsidRDefault="006356F1" w:rsidP="00217400">
            <w:pPr>
              <w:spacing w:line="360" w:lineRule="auto"/>
              <w:jc w:val="both"/>
              <w:rPr>
                <w:rFonts w:ascii="Arial" w:hAnsi="Arial" w:cs="Arial"/>
                <w:sz w:val="24"/>
                <w:szCs w:val="24"/>
              </w:rPr>
            </w:pPr>
            <w:r w:rsidRPr="002B101E">
              <w:rPr>
                <w:rFonts w:ascii="Arial" w:hAnsi="Arial" w:cs="Arial"/>
                <w:b/>
                <w:sz w:val="24"/>
                <w:szCs w:val="24"/>
              </w:rPr>
              <w:t>Há TARE que autoriza a empresa acordante a</w:t>
            </w:r>
            <w:r>
              <w:rPr>
                <w:rFonts w:ascii="Arial" w:hAnsi="Arial" w:cs="Arial"/>
                <w:sz w:val="24"/>
                <w:szCs w:val="24"/>
              </w:rPr>
              <w:t xml:space="preserve">: </w:t>
            </w:r>
            <w:r w:rsidRPr="002B101E">
              <w:rPr>
                <w:rFonts w:ascii="Arial" w:hAnsi="Arial" w:cs="Arial"/>
                <w:sz w:val="24"/>
                <w:szCs w:val="24"/>
                <w:u w:val="single"/>
              </w:rPr>
              <w:t>a) realizar operações de consignação industrial, na forma do RCTE/GO</w:t>
            </w:r>
            <w:r>
              <w:rPr>
                <w:rFonts w:ascii="Arial" w:hAnsi="Arial" w:cs="Arial"/>
                <w:sz w:val="24"/>
                <w:szCs w:val="24"/>
              </w:rPr>
              <w:t xml:space="preserve">, em relação a mercadoria recebida ou destinada a estabelecimentos localizados em dezenas de Estados da federação; </w:t>
            </w:r>
            <w:r w:rsidRPr="002B101E">
              <w:rPr>
                <w:rFonts w:ascii="Arial" w:hAnsi="Arial" w:cs="Arial"/>
                <w:sz w:val="24"/>
                <w:szCs w:val="24"/>
                <w:u w:val="single"/>
              </w:rPr>
              <w:t>b) creditar-se do ICMS devido no recebimento de mercadoria a título de consignação industrial</w:t>
            </w:r>
            <w:r>
              <w:rPr>
                <w:rFonts w:ascii="Arial" w:hAnsi="Arial" w:cs="Arial"/>
                <w:sz w:val="24"/>
                <w:szCs w:val="24"/>
              </w:rPr>
              <w:t>, quando permitido, observadas as legislações estadual e federal, o que também em tese extrapola os ditames legais, visto que a lei não concede crédito outorgado em razão de operações de consignação industrial.</w:t>
            </w:r>
          </w:p>
        </w:tc>
      </w:tr>
    </w:tbl>
    <w:p w14:paraId="7955753B" w14:textId="6473F224" w:rsidR="006356F1" w:rsidRDefault="006356F1" w:rsidP="006356F1">
      <w:pPr>
        <w:spacing w:line="360" w:lineRule="auto"/>
        <w:ind w:firstLine="851"/>
        <w:jc w:val="both"/>
        <w:rPr>
          <w:rFonts w:ascii="Arial" w:hAnsi="Arial" w:cs="Arial"/>
          <w:noProof/>
          <w:sz w:val="24"/>
          <w:szCs w:val="24"/>
        </w:rPr>
      </w:pPr>
      <w:r>
        <w:rPr>
          <w:rFonts w:ascii="Arial" w:hAnsi="Arial" w:cs="Arial"/>
          <w:noProof/>
          <w:sz w:val="24"/>
          <w:szCs w:val="24"/>
        </w:rPr>
        <w:t xml:space="preserve">Registre-se, ainda, que por vezes </w:t>
      </w:r>
      <w:r w:rsidRPr="00F0195A">
        <w:rPr>
          <w:rFonts w:ascii="Arial" w:hAnsi="Arial" w:cs="Arial"/>
          <w:b/>
          <w:noProof/>
          <w:sz w:val="24"/>
          <w:szCs w:val="24"/>
        </w:rPr>
        <w:t>alguns dos incentivos previstos na Lei nº 15.719/2006 aparecem cumulados com FOMENTAR ou PRODUZIR, seja no mesmo ou em mais de um TARE firmado pela mesma pessoa jurídica</w:t>
      </w:r>
      <w:r>
        <w:rPr>
          <w:rFonts w:ascii="Arial" w:hAnsi="Arial" w:cs="Arial"/>
          <w:noProof/>
          <w:sz w:val="24"/>
          <w:szCs w:val="24"/>
        </w:rPr>
        <w:t>, além de que se verificou grande concentração de incentivos fiscais no ramo da mineração a poucas empresas</w:t>
      </w:r>
      <w:r w:rsidR="0069775A">
        <w:rPr>
          <w:rStyle w:val="Refdenotaderodap"/>
          <w:rFonts w:ascii="Arial" w:hAnsi="Arial" w:cs="Arial"/>
          <w:noProof/>
          <w:sz w:val="24"/>
          <w:szCs w:val="24"/>
        </w:rPr>
        <w:footnoteReference w:id="106"/>
      </w:r>
      <w:r>
        <w:rPr>
          <w:rFonts w:ascii="Arial" w:hAnsi="Arial" w:cs="Arial"/>
          <w:noProof/>
          <w:sz w:val="24"/>
          <w:szCs w:val="24"/>
        </w:rPr>
        <w:t xml:space="preserve">, tendo algumas delas muito mais TARE’s e mais vantajosos que as demais, aparentemente sem um critério objetivo para esse tratamento diferenciado, mormente porque não exigida qualquer contrapartida econômica ou social às mineradoras. </w:t>
      </w:r>
    </w:p>
    <w:p w14:paraId="5E7F5470" w14:textId="77777777" w:rsidR="006356F1" w:rsidRDefault="006356F1" w:rsidP="006356F1">
      <w:pPr>
        <w:spacing w:line="360" w:lineRule="auto"/>
        <w:ind w:firstLine="851"/>
        <w:jc w:val="both"/>
        <w:rPr>
          <w:rFonts w:ascii="Arial" w:hAnsi="Arial" w:cs="Arial"/>
          <w:b/>
          <w:sz w:val="24"/>
          <w:szCs w:val="24"/>
        </w:rPr>
      </w:pPr>
    </w:p>
    <w:p w14:paraId="55D73E34" w14:textId="77777777" w:rsidR="006356F1" w:rsidRDefault="006356F1" w:rsidP="006356F1">
      <w:pPr>
        <w:spacing w:line="360" w:lineRule="auto"/>
        <w:ind w:firstLine="851"/>
        <w:jc w:val="both"/>
        <w:rPr>
          <w:rFonts w:ascii="Arial" w:hAnsi="Arial" w:cs="Arial"/>
          <w:bCs/>
          <w:sz w:val="24"/>
          <w:szCs w:val="24"/>
        </w:rPr>
      </w:pPr>
      <w:r w:rsidRPr="002A517E">
        <w:rPr>
          <w:rFonts w:ascii="Arial" w:hAnsi="Arial" w:cs="Arial"/>
          <w:b/>
          <w:bCs/>
          <w:sz w:val="24"/>
          <w:szCs w:val="24"/>
        </w:rPr>
        <w:t>9.</w:t>
      </w:r>
      <w:r>
        <w:rPr>
          <w:rFonts w:ascii="Arial" w:hAnsi="Arial" w:cs="Arial"/>
          <w:b/>
          <w:bCs/>
          <w:sz w:val="24"/>
          <w:szCs w:val="24"/>
        </w:rPr>
        <w:t>4</w:t>
      </w:r>
      <w:r w:rsidRPr="002A517E">
        <w:rPr>
          <w:rFonts w:ascii="Arial" w:hAnsi="Arial" w:cs="Arial"/>
          <w:b/>
          <w:bCs/>
          <w:sz w:val="24"/>
          <w:szCs w:val="24"/>
        </w:rPr>
        <w:t>.</w:t>
      </w:r>
      <w:r>
        <w:rPr>
          <w:rFonts w:ascii="Arial" w:hAnsi="Arial" w:cs="Arial"/>
          <w:b/>
          <w:bCs/>
          <w:sz w:val="24"/>
          <w:szCs w:val="24"/>
        </w:rPr>
        <w:t>3</w:t>
      </w:r>
      <w:r w:rsidRPr="002A517E">
        <w:rPr>
          <w:rFonts w:ascii="Arial" w:hAnsi="Arial" w:cs="Arial"/>
          <w:b/>
          <w:bCs/>
          <w:sz w:val="24"/>
          <w:szCs w:val="24"/>
        </w:rPr>
        <w:t>.</w:t>
      </w:r>
      <w:r w:rsidRPr="001B62A8">
        <w:rPr>
          <w:rFonts w:ascii="Arial" w:hAnsi="Arial" w:cs="Arial"/>
          <w:bCs/>
          <w:sz w:val="24"/>
          <w:szCs w:val="24"/>
        </w:rPr>
        <w:t xml:space="preserve"> </w:t>
      </w:r>
      <w:r>
        <w:rPr>
          <w:rFonts w:ascii="Arial" w:hAnsi="Arial" w:cs="Arial"/>
          <w:bCs/>
          <w:sz w:val="24"/>
          <w:szCs w:val="24"/>
        </w:rPr>
        <w:t xml:space="preserve">Outro achado que se considera relevante apontar consiste na </w:t>
      </w:r>
      <w:r w:rsidRPr="000D2383">
        <w:rPr>
          <w:rFonts w:ascii="Arial" w:hAnsi="Arial" w:cs="Arial"/>
          <w:b/>
          <w:bCs/>
          <w:sz w:val="24"/>
          <w:szCs w:val="24"/>
          <w:u w:val="single"/>
        </w:rPr>
        <w:t>aparente falta de fiscalização quanto ao disposto no art. 4º-A da Lei nº 15.719/2006</w:t>
      </w:r>
      <w:r>
        <w:rPr>
          <w:rFonts w:ascii="Arial" w:hAnsi="Arial" w:cs="Arial"/>
          <w:bCs/>
          <w:sz w:val="24"/>
          <w:szCs w:val="24"/>
        </w:rPr>
        <w:t>, visto que as principais mineradoras localizadas no Estado de Goiás e que fruíram incentivos fiscais no período objeto de investigação (2014 a 2018) ainda permanecem com seus TARE’s vigentes, mesmo constando certidão positiva de débitos na data da pesquisa (28/01/2020) – cujo termo inicial da respectiva inscrição deve ser apurada pelo fisco para as providências previstas no § 2º do mencionado artigo – conforme se infere da seguinte tabela:</w:t>
      </w:r>
    </w:p>
    <w:p w14:paraId="3D7A31D9" w14:textId="77777777" w:rsidR="006356F1" w:rsidRDefault="006356F1" w:rsidP="006356F1">
      <w:pPr>
        <w:spacing w:line="360" w:lineRule="auto"/>
        <w:ind w:firstLine="851"/>
        <w:jc w:val="both"/>
        <w:rPr>
          <w:rFonts w:ascii="Arial" w:hAnsi="Arial" w:cs="Arial"/>
          <w:bCs/>
          <w:sz w:val="24"/>
          <w:szCs w:val="24"/>
        </w:rPr>
      </w:pPr>
    </w:p>
    <w:p w14:paraId="40F27450" w14:textId="77777777" w:rsidR="006356F1" w:rsidRDefault="006356F1" w:rsidP="006356F1">
      <w:pPr>
        <w:spacing w:line="360" w:lineRule="auto"/>
        <w:ind w:firstLine="851"/>
        <w:jc w:val="both"/>
        <w:rPr>
          <w:rFonts w:ascii="Arial" w:hAnsi="Arial" w:cs="Arial"/>
          <w:bCs/>
          <w:sz w:val="24"/>
          <w:szCs w:val="24"/>
        </w:rPr>
      </w:pPr>
    </w:p>
    <w:p w14:paraId="3064EC84" w14:textId="77777777" w:rsidR="006356F1" w:rsidRDefault="006356F1" w:rsidP="006356F1">
      <w:pPr>
        <w:spacing w:line="360" w:lineRule="auto"/>
        <w:ind w:firstLine="851"/>
        <w:jc w:val="both"/>
        <w:rPr>
          <w:rFonts w:ascii="Arial" w:hAnsi="Arial" w:cs="Arial"/>
          <w:bCs/>
          <w:sz w:val="24"/>
          <w:szCs w:val="24"/>
        </w:rPr>
      </w:pPr>
    </w:p>
    <w:p w14:paraId="2AD25A6C" w14:textId="77777777" w:rsidR="006356F1" w:rsidRDefault="006356F1" w:rsidP="006356F1">
      <w:pPr>
        <w:spacing w:line="360" w:lineRule="auto"/>
        <w:ind w:firstLine="851"/>
        <w:jc w:val="both"/>
        <w:rPr>
          <w:rFonts w:ascii="Arial" w:hAnsi="Arial" w:cs="Arial"/>
          <w:bCs/>
          <w:sz w:val="24"/>
          <w:szCs w:val="24"/>
        </w:rPr>
      </w:pPr>
    </w:p>
    <w:p w14:paraId="62E3AC3C" w14:textId="77777777" w:rsidR="006356F1" w:rsidRDefault="006356F1" w:rsidP="006356F1">
      <w:pPr>
        <w:spacing w:line="360" w:lineRule="auto"/>
        <w:ind w:firstLine="851"/>
        <w:jc w:val="both"/>
        <w:rPr>
          <w:rFonts w:ascii="Arial" w:hAnsi="Arial" w:cs="Arial"/>
          <w:bCs/>
          <w:sz w:val="24"/>
          <w:szCs w:val="24"/>
        </w:rPr>
        <w:sectPr w:rsidR="006356F1" w:rsidSect="00CA1C22">
          <w:pgSz w:w="11900" w:h="16840"/>
          <w:pgMar w:top="2268" w:right="851" w:bottom="1134" w:left="1701" w:header="567" w:footer="284" w:gutter="0"/>
          <w:cols w:space="708"/>
          <w:docGrid w:linePitch="360"/>
        </w:sectPr>
      </w:pPr>
    </w:p>
    <w:p w14:paraId="5353732E" w14:textId="77777777" w:rsidR="006356F1" w:rsidRDefault="006356F1" w:rsidP="006356F1">
      <w:pPr>
        <w:spacing w:line="360" w:lineRule="auto"/>
        <w:ind w:firstLine="851"/>
        <w:jc w:val="both"/>
        <w:rPr>
          <w:rFonts w:ascii="Arial" w:hAnsi="Arial" w:cs="Arial"/>
          <w:bCs/>
          <w:sz w:val="24"/>
          <w:szCs w:val="24"/>
        </w:rPr>
      </w:pPr>
    </w:p>
    <w:tbl>
      <w:tblPr>
        <w:tblStyle w:val="Tabelacomgrade"/>
        <w:tblW w:w="12044" w:type="dxa"/>
        <w:jc w:val="center"/>
        <w:tblLook w:val="04A0" w:firstRow="1" w:lastRow="0" w:firstColumn="1" w:lastColumn="0" w:noHBand="0" w:noVBand="1"/>
      </w:tblPr>
      <w:tblGrid>
        <w:gridCol w:w="1434"/>
        <w:gridCol w:w="2530"/>
        <w:gridCol w:w="2410"/>
        <w:gridCol w:w="1985"/>
        <w:gridCol w:w="1701"/>
        <w:gridCol w:w="1984"/>
      </w:tblGrid>
      <w:tr w:rsidR="006356F1" w:rsidRPr="00E20377" w14:paraId="43DCB78E" w14:textId="77777777" w:rsidTr="00217400">
        <w:trPr>
          <w:jc w:val="center"/>
        </w:trPr>
        <w:tc>
          <w:tcPr>
            <w:tcW w:w="1434" w:type="dxa"/>
            <w:shd w:val="clear" w:color="auto" w:fill="EDEDED" w:themeFill="accent3" w:themeFillTint="33"/>
          </w:tcPr>
          <w:p w14:paraId="43768F71" w14:textId="77777777" w:rsidR="006356F1" w:rsidRPr="00E20377" w:rsidRDefault="006356F1" w:rsidP="00217400">
            <w:pPr>
              <w:jc w:val="center"/>
              <w:rPr>
                <w:rFonts w:ascii="Arial" w:hAnsi="Arial" w:cs="Arial"/>
                <w:b/>
                <w:sz w:val="24"/>
                <w:szCs w:val="24"/>
              </w:rPr>
            </w:pPr>
            <w:r w:rsidRPr="00E20377">
              <w:rPr>
                <w:rFonts w:ascii="Arial" w:hAnsi="Arial" w:cs="Arial"/>
                <w:b/>
                <w:sz w:val="24"/>
                <w:szCs w:val="24"/>
              </w:rPr>
              <w:t>CCE</w:t>
            </w:r>
          </w:p>
        </w:tc>
        <w:tc>
          <w:tcPr>
            <w:tcW w:w="2530" w:type="dxa"/>
            <w:shd w:val="clear" w:color="auto" w:fill="D0CECE" w:themeFill="background2" w:themeFillShade="E6"/>
          </w:tcPr>
          <w:p w14:paraId="3669B2D3" w14:textId="77777777" w:rsidR="006356F1" w:rsidRPr="00E20377" w:rsidRDefault="006356F1" w:rsidP="00217400">
            <w:pPr>
              <w:jc w:val="center"/>
              <w:rPr>
                <w:rFonts w:ascii="Arial" w:hAnsi="Arial" w:cs="Arial"/>
                <w:b/>
                <w:sz w:val="24"/>
                <w:szCs w:val="24"/>
              </w:rPr>
            </w:pPr>
            <w:r w:rsidRPr="00E20377">
              <w:rPr>
                <w:rFonts w:ascii="Arial" w:hAnsi="Arial" w:cs="Arial"/>
                <w:b/>
                <w:sz w:val="24"/>
                <w:szCs w:val="24"/>
              </w:rPr>
              <w:t>CNPJ</w:t>
            </w:r>
          </w:p>
        </w:tc>
        <w:tc>
          <w:tcPr>
            <w:tcW w:w="2410" w:type="dxa"/>
            <w:shd w:val="clear" w:color="auto" w:fill="EDEDED" w:themeFill="accent3" w:themeFillTint="33"/>
          </w:tcPr>
          <w:p w14:paraId="0FFE1B27" w14:textId="77777777" w:rsidR="006356F1" w:rsidRPr="00E20377" w:rsidRDefault="006356F1" w:rsidP="00217400">
            <w:pPr>
              <w:jc w:val="center"/>
              <w:rPr>
                <w:rFonts w:ascii="Arial" w:hAnsi="Arial" w:cs="Arial"/>
                <w:b/>
                <w:sz w:val="24"/>
                <w:szCs w:val="24"/>
              </w:rPr>
            </w:pPr>
            <w:r w:rsidRPr="00E20377">
              <w:rPr>
                <w:rFonts w:ascii="Arial" w:hAnsi="Arial" w:cs="Arial"/>
                <w:b/>
                <w:sz w:val="24"/>
                <w:szCs w:val="24"/>
              </w:rPr>
              <w:t>RAZÃO SOCIAL</w:t>
            </w:r>
          </w:p>
        </w:tc>
        <w:tc>
          <w:tcPr>
            <w:tcW w:w="1985" w:type="dxa"/>
            <w:shd w:val="clear" w:color="auto" w:fill="D0CECE" w:themeFill="background2" w:themeFillShade="E6"/>
          </w:tcPr>
          <w:p w14:paraId="22645A1F" w14:textId="77777777" w:rsidR="006356F1" w:rsidRPr="00E20377" w:rsidRDefault="006356F1" w:rsidP="00217400">
            <w:pPr>
              <w:jc w:val="center"/>
              <w:rPr>
                <w:rFonts w:ascii="Arial" w:hAnsi="Arial" w:cs="Arial"/>
                <w:b/>
                <w:sz w:val="24"/>
                <w:szCs w:val="24"/>
              </w:rPr>
            </w:pPr>
            <w:r w:rsidRPr="00E20377">
              <w:rPr>
                <w:rFonts w:ascii="Arial" w:hAnsi="Arial" w:cs="Arial"/>
                <w:b/>
                <w:sz w:val="24"/>
                <w:szCs w:val="24"/>
              </w:rPr>
              <w:t>NÚMERO TARE</w:t>
            </w:r>
          </w:p>
        </w:tc>
        <w:tc>
          <w:tcPr>
            <w:tcW w:w="1701" w:type="dxa"/>
            <w:shd w:val="clear" w:color="auto" w:fill="D0CECE" w:themeFill="background2" w:themeFillShade="E6"/>
          </w:tcPr>
          <w:p w14:paraId="7EE21E84" w14:textId="77777777" w:rsidR="006356F1" w:rsidRPr="00E20377" w:rsidRDefault="006356F1" w:rsidP="00217400">
            <w:pPr>
              <w:jc w:val="center"/>
              <w:rPr>
                <w:rFonts w:ascii="Arial" w:hAnsi="Arial" w:cs="Arial"/>
                <w:b/>
                <w:sz w:val="24"/>
                <w:szCs w:val="24"/>
              </w:rPr>
            </w:pPr>
            <w:r w:rsidRPr="00E20377">
              <w:rPr>
                <w:rFonts w:ascii="Arial" w:hAnsi="Arial" w:cs="Arial"/>
                <w:b/>
                <w:sz w:val="24"/>
                <w:szCs w:val="24"/>
              </w:rPr>
              <w:t>CERTIDÃO DE DÉBITO</w:t>
            </w:r>
          </w:p>
        </w:tc>
        <w:tc>
          <w:tcPr>
            <w:tcW w:w="1984" w:type="dxa"/>
            <w:shd w:val="clear" w:color="auto" w:fill="EDEDED" w:themeFill="accent3" w:themeFillTint="33"/>
          </w:tcPr>
          <w:p w14:paraId="43B9A431" w14:textId="77777777" w:rsidR="006356F1" w:rsidRPr="00E20377" w:rsidRDefault="006356F1" w:rsidP="00217400">
            <w:pPr>
              <w:jc w:val="center"/>
              <w:rPr>
                <w:rFonts w:ascii="Arial" w:hAnsi="Arial" w:cs="Arial"/>
                <w:b/>
                <w:sz w:val="24"/>
                <w:szCs w:val="24"/>
              </w:rPr>
            </w:pPr>
            <w:r w:rsidRPr="00E20377">
              <w:rPr>
                <w:rFonts w:ascii="Arial" w:hAnsi="Arial" w:cs="Arial"/>
                <w:b/>
                <w:sz w:val="24"/>
                <w:szCs w:val="24"/>
              </w:rPr>
              <w:t>PROCESSO (S)</w:t>
            </w:r>
          </w:p>
        </w:tc>
      </w:tr>
      <w:tr w:rsidR="006356F1" w:rsidRPr="00E20377" w14:paraId="6A5C77BB" w14:textId="77777777" w:rsidTr="00217400">
        <w:trPr>
          <w:jc w:val="center"/>
        </w:trPr>
        <w:tc>
          <w:tcPr>
            <w:tcW w:w="1434" w:type="dxa"/>
            <w:vMerge w:val="restart"/>
          </w:tcPr>
          <w:p w14:paraId="057A8E91"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103145893</w:t>
            </w:r>
          </w:p>
        </w:tc>
        <w:tc>
          <w:tcPr>
            <w:tcW w:w="2530" w:type="dxa"/>
            <w:vMerge w:val="restart"/>
          </w:tcPr>
          <w:p w14:paraId="49BC0B32"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42</w:t>
            </w:r>
            <w:r>
              <w:rPr>
                <w:rFonts w:ascii="Arial" w:hAnsi="Arial" w:cs="Arial"/>
                <w:sz w:val="24"/>
                <w:szCs w:val="24"/>
              </w:rPr>
              <w:t>.</w:t>
            </w:r>
            <w:r w:rsidRPr="00E20377">
              <w:rPr>
                <w:rFonts w:ascii="Arial" w:hAnsi="Arial" w:cs="Arial"/>
                <w:sz w:val="24"/>
                <w:szCs w:val="24"/>
              </w:rPr>
              <w:t>184</w:t>
            </w:r>
            <w:r>
              <w:rPr>
                <w:rFonts w:ascii="Arial" w:hAnsi="Arial" w:cs="Arial"/>
                <w:sz w:val="24"/>
                <w:szCs w:val="24"/>
              </w:rPr>
              <w:t>.</w:t>
            </w:r>
            <w:r w:rsidRPr="00E20377">
              <w:rPr>
                <w:rFonts w:ascii="Arial" w:hAnsi="Arial" w:cs="Arial"/>
                <w:sz w:val="24"/>
                <w:szCs w:val="24"/>
              </w:rPr>
              <w:t>226</w:t>
            </w:r>
            <w:r>
              <w:rPr>
                <w:rFonts w:ascii="Arial" w:hAnsi="Arial" w:cs="Arial"/>
                <w:sz w:val="24"/>
                <w:szCs w:val="24"/>
              </w:rPr>
              <w:t>/</w:t>
            </w:r>
            <w:r w:rsidRPr="00E20377">
              <w:rPr>
                <w:rFonts w:ascii="Arial" w:hAnsi="Arial" w:cs="Arial"/>
                <w:sz w:val="24"/>
                <w:szCs w:val="24"/>
              </w:rPr>
              <w:t>0011</w:t>
            </w:r>
            <w:r>
              <w:rPr>
                <w:rFonts w:ascii="Arial" w:hAnsi="Arial" w:cs="Arial"/>
                <w:sz w:val="24"/>
                <w:szCs w:val="24"/>
              </w:rPr>
              <w:t>-</w:t>
            </w:r>
            <w:r w:rsidRPr="00E20377">
              <w:rPr>
                <w:rFonts w:ascii="Arial" w:hAnsi="Arial" w:cs="Arial"/>
                <w:sz w:val="24"/>
                <w:szCs w:val="24"/>
              </w:rPr>
              <w:t>01</w:t>
            </w:r>
          </w:p>
        </w:tc>
        <w:tc>
          <w:tcPr>
            <w:tcW w:w="2410" w:type="dxa"/>
            <w:vMerge w:val="restart"/>
          </w:tcPr>
          <w:p w14:paraId="4E0651AF"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ANGLO AMERICAN NÍQUEL BRASIL LTDA</w:t>
            </w:r>
          </w:p>
        </w:tc>
        <w:tc>
          <w:tcPr>
            <w:tcW w:w="1985" w:type="dxa"/>
          </w:tcPr>
          <w:p w14:paraId="63787C37"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00100432008</w:t>
            </w:r>
          </w:p>
        </w:tc>
        <w:tc>
          <w:tcPr>
            <w:tcW w:w="1701" w:type="dxa"/>
            <w:vMerge w:val="restart"/>
          </w:tcPr>
          <w:p w14:paraId="20423B6D" w14:textId="77777777" w:rsidR="006356F1" w:rsidRDefault="006356F1" w:rsidP="00217400">
            <w:pPr>
              <w:jc w:val="center"/>
              <w:rPr>
                <w:rFonts w:ascii="Arial" w:hAnsi="Arial" w:cs="Arial"/>
                <w:sz w:val="24"/>
                <w:szCs w:val="24"/>
              </w:rPr>
            </w:pPr>
          </w:p>
          <w:p w14:paraId="27EE783A" w14:textId="77777777" w:rsidR="006356F1" w:rsidRDefault="006356F1" w:rsidP="00217400">
            <w:pPr>
              <w:jc w:val="center"/>
              <w:rPr>
                <w:rFonts w:ascii="Arial" w:hAnsi="Arial" w:cs="Arial"/>
                <w:sz w:val="24"/>
                <w:szCs w:val="24"/>
              </w:rPr>
            </w:pPr>
          </w:p>
          <w:p w14:paraId="02870252" w14:textId="77777777" w:rsidR="006356F1" w:rsidRDefault="006356F1" w:rsidP="00217400">
            <w:pPr>
              <w:jc w:val="center"/>
              <w:rPr>
                <w:rFonts w:ascii="Arial" w:hAnsi="Arial" w:cs="Arial"/>
                <w:sz w:val="24"/>
                <w:szCs w:val="24"/>
              </w:rPr>
            </w:pPr>
          </w:p>
          <w:p w14:paraId="1070AE94" w14:textId="77777777" w:rsidR="006356F1" w:rsidRDefault="006356F1" w:rsidP="00217400">
            <w:pPr>
              <w:jc w:val="center"/>
              <w:rPr>
                <w:rFonts w:ascii="Arial" w:hAnsi="Arial" w:cs="Arial"/>
                <w:sz w:val="24"/>
                <w:szCs w:val="24"/>
              </w:rPr>
            </w:pPr>
          </w:p>
          <w:p w14:paraId="4DE60C61" w14:textId="77777777" w:rsidR="006356F1" w:rsidRDefault="006356F1" w:rsidP="00217400">
            <w:pPr>
              <w:jc w:val="center"/>
              <w:rPr>
                <w:rFonts w:ascii="Arial" w:hAnsi="Arial" w:cs="Arial"/>
                <w:sz w:val="24"/>
                <w:szCs w:val="24"/>
              </w:rPr>
            </w:pPr>
          </w:p>
          <w:p w14:paraId="0D75C0F4"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POSITIVA</w:t>
            </w:r>
          </w:p>
        </w:tc>
        <w:tc>
          <w:tcPr>
            <w:tcW w:w="1984" w:type="dxa"/>
            <w:vMerge w:val="restart"/>
          </w:tcPr>
          <w:p w14:paraId="797810B3" w14:textId="77777777" w:rsidR="006356F1" w:rsidRDefault="006356F1" w:rsidP="00217400">
            <w:pPr>
              <w:jc w:val="center"/>
              <w:rPr>
                <w:rFonts w:ascii="Arial" w:hAnsi="Arial" w:cs="Arial"/>
                <w:sz w:val="24"/>
                <w:szCs w:val="24"/>
              </w:rPr>
            </w:pPr>
          </w:p>
          <w:p w14:paraId="0E25AED9" w14:textId="77777777" w:rsidR="006356F1" w:rsidRDefault="006356F1" w:rsidP="00217400">
            <w:pPr>
              <w:jc w:val="center"/>
              <w:rPr>
                <w:rFonts w:ascii="Arial" w:hAnsi="Arial" w:cs="Arial"/>
                <w:sz w:val="24"/>
                <w:szCs w:val="24"/>
              </w:rPr>
            </w:pPr>
          </w:p>
          <w:p w14:paraId="56B16C35" w14:textId="77777777" w:rsidR="006356F1" w:rsidRDefault="006356F1" w:rsidP="00217400">
            <w:pPr>
              <w:jc w:val="center"/>
              <w:rPr>
                <w:rFonts w:ascii="Arial" w:hAnsi="Arial" w:cs="Arial"/>
                <w:sz w:val="24"/>
                <w:szCs w:val="24"/>
              </w:rPr>
            </w:pPr>
          </w:p>
          <w:p w14:paraId="6F9121FD" w14:textId="77777777" w:rsidR="006356F1" w:rsidRDefault="006356F1" w:rsidP="00217400">
            <w:pPr>
              <w:jc w:val="center"/>
              <w:rPr>
                <w:rFonts w:ascii="Arial" w:hAnsi="Arial" w:cs="Arial"/>
                <w:sz w:val="24"/>
                <w:szCs w:val="24"/>
              </w:rPr>
            </w:pPr>
          </w:p>
          <w:p w14:paraId="2DD1E6F7" w14:textId="77777777" w:rsidR="006356F1" w:rsidRDefault="006356F1" w:rsidP="00217400">
            <w:pPr>
              <w:jc w:val="center"/>
              <w:rPr>
                <w:rFonts w:ascii="Arial" w:hAnsi="Arial" w:cs="Arial"/>
                <w:sz w:val="24"/>
                <w:szCs w:val="24"/>
              </w:rPr>
            </w:pPr>
          </w:p>
          <w:p w14:paraId="6896558A"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4011103196177</w:t>
            </w:r>
          </w:p>
        </w:tc>
      </w:tr>
      <w:tr w:rsidR="006356F1" w:rsidRPr="00E20377" w14:paraId="45BB616C" w14:textId="77777777" w:rsidTr="00217400">
        <w:trPr>
          <w:jc w:val="center"/>
        </w:trPr>
        <w:tc>
          <w:tcPr>
            <w:tcW w:w="1434" w:type="dxa"/>
            <w:vMerge/>
          </w:tcPr>
          <w:p w14:paraId="786A30A6" w14:textId="77777777" w:rsidR="006356F1" w:rsidRPr="00E20377" w:rsidRDefault="006356F1" w:rsidP="00217400">
            <w:pPr>
              <w:jc w:val="center"/>
              <w:rPr>
                <w:rFonts w:ascii="Arial" w:hAnsi="Arial" w:cs="Arial"/>
                <w:sz w:val="24"/>
                <w:szCs w:val="24"/>
              </w:rPr>
            </w:pPr>
          </w:p>
        </w:tc>
        <w:tc>
          <w:tcPr>
            <w:tcW w:w="2530" w:type="dxa"/>
            <w:vMerge/>
          </w:tcPr>
          <w:p w14:paraId="1CD949D7" w14:textId="77777777" w:rsidR="006356F1" w:rsidRPr="00E20377" w:rsidRDefault="006356F1" w:rsidP="00217400">
            <w:pPr>
              <w:jc w:val="center"/>
              <w:rPr>
                <w:rFonts w:ascii="Arial" w:hAnsi="Arial" w:cs="Arial"/>
                <w:sz w:val="24"/>
                <w:szCs w:val="24"/>
              </w:rPr>
            </w:pPr>
          </w:p>
        </w:tc>
        <w:tc>
          <w:tcPr>
            <w:tcW w:w="2410" w:type="dxa"/>
            <w:vMerge/>
          </w:tcPr>
          <w:p w14:paraId="56F2888F" w14:textId="77777777" w:rsidR="006356F1" w:rsidRPr="00E20377" w:rsidRDefault="006356F1" w:rsidP="00217400">
            <w:pPr>
              <w:jc w:val="center"/>
              <w:rPr>
                <w:rFonts w:ascii="Arial" w:hAnsi="Arial" w:cs="Arial"/>
                <w:sz w:val="24"/>
                <w:szCs w:val="24"/>
              </w:rPr>
            </w:pPr>
          </w:p>
        </w:tc>
        <w:tc>
          <w:tcPr>
            <w:tcW w:w="1985" w:type="dxa"/>
          </w:tcPr>
          <w:p w14:paraId="316DAC6B"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00100922008</w:t>
            </w:r>
          </w:p>
        </w:tc>
        <w:tc>
          <w:tcPr>
            <w:tcW w:w="1701" w:type="dxa"/>
            <w:vMerge/>
          </w:tcPr>
          <w:p w14:paraId="577C4FE0" w14:textId="77777777" w:rsidR="006356F1" w:rsidRPr="00E20377" w:rsidRDefault="006356F1" w:rsidP="00217400">
            <w:pPr>
              <w:jc w:val="center"/>
              <w:rPr>
                <w:rFonts w:ascii="Arial" w:hAnsi="Arial" w:cs="Arial"/>
                <w:sz w:val="24"/>
                <w:szCs w:val="24"/>
              </w:rPr>
            </w:pPr>
          </w:p>
        </w:tc>
        <w:tc>
          <w:tcPr>
            <w:tcW w:w="1984" w:type="dxa"/>
            <w:vMerge/>
          </w:tcPr>
          <w:p w14:paraId="57111765" w14:textId="77777777" w:rsidR="006356F1" w:rsidRPr="00E20377" w:rsidRDefault="006356F1" w:rsidP="00217400">
            <w:pPr>
              <w:jc w:val="center"/>
              <w:rPr>
                <w:rFonts w:ascii="Arial" w:hAnsi="Arial" w:cs="Arial"/>
                <w:sz w:val="24"/>
                <w:szCs w:val="24"/>
              </w:rPr>
            </w:pPr>
          </w:p>
        </w:tc>
      </w:tr>
      <w:tr w:rsidR="006356F1" w:rsidRPr="00E20377" w14:paraId="22667D6A" w14:textId="77777777" w:rsidTr="00217400">
        <w:trPr>
          <w:jc w:val="center"/>
        </w:trPr>
        <w:tc>
          <w:tcPr>
            <w:tcW w:w="1434" w:type="dxa"/>
            <w:vMerge/>
          </w:tcPr>
          <w:p w14:paraId="40953D02" w14:textId="77777777" w:rsidR="006356F1" w:rsidRPr="00E20377" w:rsidRDefault="006356F1" w:rsidP="00217400">
            <w:pPr>
              <w:jc w:val="center"/>
              <w:rPr>
                <w:rFonts w:ascii="Arial" w:hAnsi="Arial" w:cs="Arial"/>
                <w:sz w:val="24"/>
                <w:szCs w:val="24"/>
              </w:rPr>
            </w:pPr>
          </w:p>
        </w:tc>
        <w:tc>
          <w:tcPr>
            <w:tcW w:w="2530" w:type="dxa"/>
            <w:vMerge/>
          </w:tcPr>
          <w:p w14:paraId="38524839" w14:textId="77777777" w:rsidR="006356F1" w:rsidRPr="00E20377" w:rsidRDefault="006356F1" w:rsidP="00217400">
            <w:pPr>
              <w:jc w:val="center"/>
              <w:rPr>
                <w:rFonts w:ascii="Arial" w:hAnsi="Arial" w:cs="Arial"/>
                <w:sz w:val="24"/>
                <w:szCs w:val="24"/>
              </w:rPr>
            </w:pPr>
          </w:p>
        </w:tc>
        <w:tc>
          <w:tcPr>
            <w:tcW w:w="2410" w:type="dxa"/>
            <w:vMerge/>
          </w:tcPr>
          <w:p w14:paraId="47A98C05" w14:textId="77777777" w:rsidR="006356F1" w:rsidRPr="00E20377" w:rsidRDefault="006356F1" w:rsidP="00217400">
            <w:pPr>
              <w:jc w:val="center"/>
              <w:rPr>
                <w:rFonts w:ascii="Arial" w:hAnsi="Arial" w:cs="Arial"/>
                <w:sz w:val="24"/>
                <w:szCs w:val="24"/>
              </w:rPr>
            </w:pPr>
          </w:p>
        </w:tc>
        <w:tc>
          <w:tcPr>
            <w:tcW w:w="1985" w:type="dxa"/>
          </w:tcPr>
          <w:p w14:paraId="4E6D8970"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00100032007</w:t>
            </w:r>
          </w:p>
        </w:tc>
        <w:tc>
          <w:tcPr>
            <w:tcW w:w="1701" w:type="dxa"/>
            <w:vMerge/>
          </w:tcPr>
          <w:p w14:paraId="5B3E5D8F" w14:textId="77777777" w:rsidR="006356F1" w:rsidRPr="00E20377" w:rsidRDefault="006356F1" w:rsidP="00217400">
            <w:pPr>
              <w:jc w:val="center"/>
              <w:rPr>
                <w:rFonts w:ascii="Arial" w:hAnsi="Arial" w:cs="Arial"/>
                <w:sz w:val="24"/>
                <w:szCs w:val="24"/>
              </w:rPr>
            </w:pPr>
          </w:p>
        </w:tc>
        <w:tc>
          <w:tcPr>
            <w:tcW w:w="1984" w:type="dxa"/>
            <w:vMerge/>
          </w:tcPr>
          <w:p w14:paraId="029828EB" w14:textId="77777777" w:rsidR="006356F1" w:rsidRPr="00E20377" w:rsidRDefault="006356F1" w:rsidP="00217400">
            <w:pPr>
              <w:jc w:val="center"/>
              <w:rPr>
                <w:rFonts w:ascii="Arial" w:hAnsi="Arial" w:cs="Arial"/>
                <w:sz w:val="24"/>
                <w:szCs w:val="24"/>
              </w:rPr>
            </w:pPr>
          </w:p>
        </w:tc>
      </w:tr>
      <w:tr w:rsidR="006356F1" w:rsidRPr="00E20377" w14:paraId="2192CA76" w14:textId="77777777" w:rsidTr="00217400">
        <w:trPr>
          <w:jc w:val="center"/>
        </w:trPr>
        <w:tc>
          <w:tcPr>
            <w:tcW w:w="1434" w:type="dxa"/>
            <w:vMerge/>
          </w:tcPr>
          <w:p w14:paraId="50E60E45" w14:textId="77777777" w:rsidR="006356F1" w:rsidRPr="00E20377" w:rsidRDefault="006356F1" w:rsidP="00217400">
            <w:pPr>
              <w:jc w:val="center"/>
              <w:rPr>
                <w:rFonts w:ascii="Arial" w:hAnsi="Arial" w:cs="Arial"/>
                <w:sz w:val="24"/>
                <w:szCs w:val="24"/>
              </w:rPr>
            </w:pPr>
          </w:p>
        </w:tc>
        <w:tc>
          <w:tcPr>
            <w:tcW w:w="2530" w:type="dxa"/>
            <w:vMerge/>
          </w:tcPr>
          <w:p w14:paraId="24BE57D7" w14:textId="77777777" w:rsidR="006356F1" w:rsidRPr="00E20377" w:rsidRDefault="006356F1" w:rsidP="00217400">
            <w:pPr>
              <w:jc w:val="center"/>
              <w:rPr>
                <w:rFonts w:ascii="Arial" w:hAnsi="Arial" w:cs="Arial"/>
                <w:sz w:val="24"/>
                <w:szCs w:val="24"/>
              </w:rPr>
            </w:pPr>
          </w:p>
        </w:tc>
        <w:tc>
          <w:tcPr>
            <w:tcW w:w="2410" w:type="dxa"/>
            <w:vMerge/>
          </w:tcPr>
          <w:p w14:paraId="353CA6BA" w14:textId="77777777" w:rsidR="006356F1" w:rsidRPr="00E20377" w:rsidRDefault="006356F1" w:rsidP="00217400">
            <w:pPr>
              <w:jc w:val="center"/>
              <w:rPr>
                <w:rFonts w:ascii="Arial" w:hAnsi="Arial" w:cs="Arial"/>
                <w:sz w:val="24"/>
                <w:szCs w:val="24"/>
              </w:rPr>
            </w:pPr>
          </w:p>
        </w:tc>
        <w:tc>
          <w:tcPr>
            <w:tcW w:w="1985" w:type="dxa"/>
          </w:tcPr>
          <w:p w14:paraId="72D4FC51"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00100832013</w:t>
            </w:r>
          </w:p>
        </w:tc>
        <w:tc>
          <w:tcPr>
            <w:tcW w:w="1701" w:type="dxa"/>
            <w:vMerge/>
          </w:tcPr>
          <w:p w14:paraId="6FE0ABF4" w14:textId="77777777" w:rsidR="006356F1" w:rsidRPr="00E20377" w:rsidRDefault="006356F1" w:rsidP="00217400">
            <w:pPr>
              <w:jc w:val="center"/>
              <w:rPr>
                <w:rFonts w:ascii="Arial" w:hAnsi="Arial" w:cs="Arial"/>
                <w:sz w:val="24"/>
                <w:szCs w:val="24"/>
              </w:rPr>
            </w:pPr>
          </w:p>
        </w:tc>
        <w:tc>
          <w:tcPr>
            <w:tcW w:w="1984" w:type="dxa"/>
            <w:vMerge/>
          </w:tcPr>
          <w:p w14:paraId="1931ABA6" w14:textId="77777777" w:rsidR="006356F1" w:rsidRPr="00E20377" w:rsidRDefault="006356F1" w:rsidP="00217400">
            <w:pPr>
              <w:jc w:val="center"/>
              <w:rPr>
                <w:rFonts w:ascii="Arial" w:hAnsi="Arial" w:cs="Arial"/>
                <w:sz w:val="24"/>
                <w:szCs w:val="24"/>
              </w:rPr>
            </w:pPr>
          </w:p>
        </w:tc>
      </w:tr>
      <w:tr w:rsidR="006356F1" w:rsidRPr="00E20377" w14:paraId="737E0383" w14:textId="77777777" w:rsidTr="00217400">
        <w:trPr>
          <w:jc w:val="center"/>
        </w:trPr>
        <w:tc>
          <w:tcPr>
            <w:tcW w:w="1434" w:type="dxa"/>
            <w:vMerge/>
          </w:tcPr>
          <w:p w14:paraId="176DCB77" w14:textId="77777777" w:rsidR="006356F1" w:rsidRPr="00E20377" w:rsidRDefault="006356F1" w:rsidP="00217400">
            <w:pPr>
              <w:jc w:val="center"/>
              <w:rPr>
                <w:rFonts w:ascii="Arial" w:hAnsi="Arial" w:cs="Arial"/>
                <w:sz w:val="24"/>
                <w:szCs w:val="24"/>
              </w:rPr>
            </w:pPr>
          </w:p>
        </w:tc>
        <w:tc>
          <w:tcPr>
            <w:tcW w:w="2530" w:type="dxa"/>
            <w:vMerge/>
          </w:tcPr>
          <w:p w14:paraId="6A23495A" w14:textId="77777777" w:rsidR="006356F1" w:rsidRPr="00E20377" w:rsidRDefault="006356F1" w:rsidP="00217400">
            <w:pPr>
              <w:jc w:val="center"/>
              <w:rPr>
                <w:rFonts w:ascii="Arial" w:hAnsi="Arial" w:cs="Arial"/>
                <w:sz w:val="24"/>
                <w:szCs w:val="24"/>
              </w:rPr>
            </w:pPr>
          </w:p>
        </w:tc>
        <w:tc>
          <w:tcPr>
            <w:tcW w:w="2410" w:type="dxa"/>
            <w:vMerge/>
          </w:tcPr>
          <w:p w14:paraId="66C1F994" w14:textId="77777777" w:rsidR="006356F1" w:rsidRPr="00E20377" w:rsidRDefault="006356F1" w:rsidP="00217400">
            <w:pPr>
              <w:jc w:val="center"/>
              <w:rPr>
                <w:rFonts w:ascii="Arial" w:hAnsi="Arial" w:cs="Arial"/>
                <w:sz w:val="24"/>
                <w:szCs w:val="24"/>
              </w:rPr>
            </w:pPr>
          </w:p>
        </w:tc>
        <w:tc>
          <w:tcPr>
            <w:tcW w:w="1985" w:type="dxa"/>
          </w:tcPr>
          <w:p w14:paraId="3A909495"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00102612016</w:t>
            </w:r>
          </w:p>
        </w:tc>
        <w:tc>
          <w:tcPr>
            <w:tcW w:w="1701" w:type="dxa"/>
            <w:vMerge/>
          </w:tcPr>
          <w:p w14:paraId="57A0EE98" w14:textId="77777777" w:rsidR="006356F1" w:rsidRPr="00E20377" w:rsidRDefault="006356F1" w:rsidP="00217400">
            <w:pPr>
              <w:jc w:val="center"/>
              <w:rPr>
                <w:rFonts w:ascii="Arial" w:hAnsi="Arial" w:cs="Arial"/>
                <w:sz w:val="24"/>
                <w:szCs w:val="24"/>
              </w:rPr>
            </w:pPr>
          </w:p>
        </w:tc>
        <w:tc>
          <w:tcPr>
            <w:tcW w:w="1984" w:type="dxa"/>
            <w:vMerge/>
          </w:tcPr>
          <w:p w14:paraId="53EE2E96" w14:textId="77777777" w:rsidR="006356F1" w:rsidRPr="00E20377" w:rsidRDefault="006356F1" w:rsidP="00217400">
            <w:pPr>
              <w:jc w:val="center"/>
              <w:rPr>
                <w:rFonts w:ascii="Arial" w:hAnsi="Arial" w:cs="Arial"/>
                <w:sz w:val="24"/>
                <w:szCs w:val="24"/>
              </w:rPr>
            </w:pPr>
          </w:p>
        </w:tc>
      </w:tr>
      <w:tr w:rsidR="006356F1" w:rsidRPr="00E20377" w14:paraId="19CB0C49" w14:textId="77777777" w:rsidTr="00217400">
        <w:trPr>
          <w:jc w:val="center"/>
        </w:trPr>
        <w:tc>
          <w:tcPr>
            <w:tcW w:w="1434" w:type="dxa"/>
            <w:vMerge w:val="restart"/>
          </w:tcPr>
          <w:p w14:paraId="44599C52"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100568696</w:t>
            </w:r>
          </w:p>
        </w:tc>
        <w:tc>
          <w:tcPr>
            <w:tcW w:w="2530" w:type="dxa"/>
            <w:vMerge w:val="restart"/>
          </w:tcPr>
          <w:p w14:paraId="3CCEC6A3"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42</w:t>
            </w:r>
            <w:r>
              <w:rPr>
                <w:rFonts w:ascii="Arial" w:hAnsi="Arial" w:cs="Arial"/>
                <w:sz w:val="24"/>
                <w:szCs w:val="24"/>
              </w:rPr>
              <w:t>.</w:t>
            </w:r>
            <w:r w:rsidRPr="00E20377">
              <w:rPr>
                <w:rFonts w:ascii="Arial" w:hAnsi="Arial" w:cs="Arial"/>
                <w:sz w:val="24"/>
                <w:szCs w:val="24"/>
              </w:rPr>
              <w:t>184</w:t>
            </w:r>
            <w:r>
              <w:rPr>
                <w:rFonts w:ascii="Arial" w:hAnsi="Arial" w:cs="Arial"/>
                <w:sz w:val="24"/>
                <w:szCs w:val="24"/>
              </w:rPr>
              <w:t>.</w:t>
            </w:r>
            <w:r w:rsidRPr="00E20377">
              <w:rPr>
                <w:rFonts w:ascii="Arial" w:hAnsi="Arial" w:cs="Arial"/>
                <w:sz w:val="24"/>
                <w:szCs w:val="24"/>
              </w:rPr>
              <w:t>226</w:t>
            </w:r>
            <w:r>
              <w:rPr>
                <w:rFonts w:ascii="Arial" w:hAnsi="Arial" w:cs="Arial"/>
                <w:sz w:val="24"/>
                <w:szCs w:val="24"/>
              </w:rPr>
              <w:t>/</w:t>
            </w:r>
            <w:r w:rsidRPr="00E20377">
              <w:rPr>
                <w:rFonts w:ascii="Arial" w:hAnsi="Arial" w:cs="Arial"/>
                <w:sz w:val="24"/>
                <w:szCs w:val="24"/>
              </w:rPr>
              <w:t>0017</w:t>
            </w:r>
            <w:r>
              <w:rPr>
                <w:rFonts w:ascii="Arial" w:hAnsi="Arial" w:cs="Arial"/>
                <w:sz w:val="24"/>
                <w:szCs w:val="24"/>
              </w:rPr>
              <w:t>-</w:t>
            </w:r>
            <w:r w:rsidRPr="00E20377">
              <w:rPr>
                <w:rFonts w:ascii="Arial" w:hAnsi="Arial" w:cs="Arial"/>
                <w:sz w:val="24"/>
                <w:szCs w:val="24"/>
              </w:rPr>
              <w:t>05</w:t>
            </w:r>
          </w:p>
        </w:tc>
        <w:tc>
          <w:tcPr>
            <w:tcW w:w="2410" w:type="dxa"/>
            <w:vMerge w:val="restart"/>
          </w:tcPr>
          <w:p w14:paraId="63A734AD"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ANGLO AMERICAN NÍQUEL BRASIL LTDA</w:t>
            </w:r>
          </w:p>
        </w:tc>
        <w:tc>
          <w:tcPr>
            <w:tcW w:w="1985" w:type="dxa"/>
          </w:tcPr>
          <w:p w14:paraId="209CCC68"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00101851999</w:t>
            </w:r>
          </w:p>
        </w:tc>
        <w:tc>
          <w:tcPr>
            <w:tcW w:w="1701" w:type="dxa"/>
            <w:vMerge/>
          </w:tcPr>
          <w:p w14:paraId="3A5A796A" w14:textId="77777777" w:rsidR="006356F1" w:rsidRPr="00E20377" w:rsidRDefault="006356F1" w:rsidP="00217400">
            <w:pPr>
              <w:jc w:val="center"/>
              <w:rPr>
                <w:rFonts w:ascii="Arial" w:hAnsi="Arial" w:cs="Arial"/>
                <w:sz w:val="24"/>
                <w:szCs w:val="24"/>
              </w:rPr>
            </w:pPr>
          </w:p>
        </w:tc>
        <w:tc>
          <w:tcPr>
            <w:tcW w:w="1984" w:type="dxa"/>
            <w:vMerge/>
          </w:tcPr>
          <w:p w14:paraId="3BF0A3DC" w14:textId="77777777" w:rsidR="006356F1" w:rsidRPr="00E20377" w:rsidRDefault="006356F1" w:rsidP="00217400">
            <w:pPr>
              <w:jc w:val="center"/>
              <w:rPr>
                <w:rFonts w:ascii="Arial" w:hAnsi="Arial" w:cs="Arial"/>
                <w:sz w:val="24"/>
                <w:szCs w:val="24"/>
              </w:rPr>
            </w:pPr>
          </w:p>
        </w:tc>
      </w:tr>
      <w:tr w:rsidR="006356F1" w:rsidRPr="00E20377" w14:paraId="6039A591" w14:textId="77777777" w:rsidTr="00217400">
        <w:trPr>
          <w:jc w:val="center"/>
        </w:trPr>
        <w:tc>
          <w:tcPr>
            <w:tcW w:w="1434" w:type="dxa"/>
            <w:vMerge/>
          </w:tcPr>
          <w:p w14:paraId="1DA30C70" w14:textId="77777777" w:rsidR="006356F1" w:rsidRPr="00E20377" w:rsidRDefault="006356F1" w:rsidP="00217400">
            <w:pPr>
              <w:jc w:val="center"/>
              <w:rPr>
                <w:rFonts w:ascii="Arial" w:hAnsi="Arial" w:cs="Arial"/>
                <w:sz w:val="24"/>
                <w:szCs w:val="24"/>
              </w:rPr>
            </w:pPr>
          </w:p>
        </w:tc>
        <w:tc>
          <w:tcPr>
            <w:tcW w:w="2530" w:type="dxa"/>
            <w:vMerge/>
          </w:tcPr>
          <w:p w14:paraId="1320D5D8" w14:textId="77777777" w:rsidR="006356F1" w:rsidRPr="00E20377" w:rsidRDefault="006356F1" w:rsidP="00217400">
            <w:pPr>
              <w:jc w:val="center"/>
              <w:rPr>
                <w:rFonts w:ascii="Arial" w:hAnsi="Arial" w:cs="Arial"/>
                <w:sz w:val="24"/>
                <w:szCs w:val="24"/>
              </w:rPr>
            </w:pPr>
          </w:p>
        </w:tc>
        <w:tc>
          <w:tcPr>
            <w:tcW w:w="2410" w:type="dxa"/>
            <w:vMerge/>
          </w:tcPr>
          <w:p w14:paraId="6DB878F0" w14:textId="77777777" w:rsidR="006356F1" w:rsidRPr="00E20377" w:rsidRDefault="006356F1" w:rsidP="00217400">
            <w:pPr>
              <w:jc w:val="center"/>
              <w:rPr>
                <w:rFonts w:ascii="Arial" w:hAnsi="Arial" w:cs="Arial"/>
                <w:sz w:val="24"/>
                <w:szCs w:val="24"/>
              </w:rPr>
            </w:pPr>
          </w:p>
        </w:tc>
        <w:tc>
          <w:tcPr>
            <w:tcW w:w="1985" w:type="dxa"/>
          </w:tcPr>
          <w:p w14:paraId="5904753D"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00100902008</w:t>
            </w:r>
          </w:p>
        </w:tc>
        <w:tc>
          <w:tcPr>
            <w:tcW w:w="1701" w:type="dxa"/>
            <w:vMerge/>
          </w:tcPr>
          <w:p w14:paraId="1B128E4A" w14:textId="77777777" w:rsidR="006356F1" w:rsidRPr="00E20377" w:rsidRDefault="006356F1" w:rsidP="00217400">
            <w:pPr>
              <w:jc w:val="center"/>
              <w:rPr>
                <w:rFonts w:ascii="Arial" w:hAnsi="Arial" w:cs="Arial"/>
                <w:sz w:val="24"/>
                <w:szCs w:val="24"/>
              </w:rPr>
            </w:pPr>
          </w:p>
        </w:tc>
        <w:tc>
          <w:tcPr>
            <w:tcW w:w="1984" w:type="dxa"/>
            <w:vMerge/>
          </w:tcPr>
          <w:p w14:paraId="31E95A4A" w14:textId="77777777" w:rsidR="006356F1" w:rsidRPr="00E20377" w:rsidRDefault="006356F1" w:rsidP="00217400">
            <w:pPr>
              <w:jc w:val="center"/>
              <w:rPr>
                <w:rFonts w:ascii="Arial" w:hAnsi="Arial" w:cs="Arial"/>
                <w:sz w:val="24"/>
                <w:szCs w:val="24"/>
              </w:rPr>
            </w:pPr>
          </w:p>
        </w:tc>
      </w:tr>
      <w:tr w:rsidR="006356F1" w:rsidRPr="00E20377" w14:paraId="29B548A9" w14:textId="77777777" w:rsidTr="00217400">
        <w:trPr>
          <w:jc w:val="center"/>
        </w:trPr>
        <w:tc>
          <w:tcPr>
            <w:tcW w:w="1434" w:type="dxa"/>
            <w:vMerge/>
          </w:tcPr>
          <w:p w14:paraId="1E919FF8" w14:textId="77777777" w:rsidR="006356F1" w:rsidRPr="00E20377" w:rsidRDefault="006356F1" w:rsidP="00217400">
            <w:pPr>
              <w:jc w:val="center"/>
              <w:rPr>
                <w:rFonts w:ascii="Arial" w:hAnsi="Arial" w:cs="Arial"/>
                <w:sz w:val="24"/>
                <w:szCs w:val="24"/>
              </w:rPr>
            </w:pPr>
          </w:p>
        </w:tc>
        <w:tc>
          <w:tcPr>
            <w:tcW w:w="2530" w:type="dxa"/>
            <w:vMerge/>
          </w:tcPr>
          <w:p w14:paraId="53B29CF9" w14:textId="77777777" w:rsidR="006356F1" w:rsidRPr="00E20377" w:rsidRDefault="006356F1" w:rsidP="00217400">
            <w:pPr>
              <w:jc w:val="center"/>
              <w:rPr>
                <w:rFonts w:ascii="Arial" w:hAnsi="Arial" w:cs="Arial"/>
                <w:sz w:val="24"/>
                <w:szCs w:val="24"/>
              </w:rPr>
            </w:pPr>
          </w:p>
        </w:tc>
        <w:tc>
          <w:tcPr>
            <w:tcW w:w="2410" w:type="dxa"/>
            <w:vMerge/>
          </w:tcPr>
          <w:p w14:paraId="063CD8EC" w14:textId="77777777" w:rsidR="006356F1" w:rsidRPr="00E20377" w:rsidRDefault="006356F1" w:rsidP="00217400">
            <w:pPr>
              <w:jc w:val="center"/>
              <w:rPr>
                <w:rFonts w:ascii="Arial" w:hAnsi="Arial" w:cs="Arial"/>
                <w:sz w:val="24"/>
                <w:szCs w:val="24"/>
              </w:rPr>
            </w:pPr>
          </w:p>
        </w:tc>
        <w:tc>
          <w:tcPr>
            <w:tcW w:w="1985" w:type="dxa"/>
          </w:tcPr>
          <w:p w14:paraId="675A8EC1"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00100892008</w:t>
            </w:r>
          </w:p>
        </w:tc>
        <w:tc>
          <w:tcPr>
            <w:tcW w:w="1701" w:type="dxa"/>
            <w:vMerge/>
          </w:tcPr>
          <w:p w14:paraId="182364B9" w14:textId="77777777" w:rsidR="006356F1" w:rsidRPr="00E20377" w:rsidRDefault="006356F1" w:rsidP="00217400">
            <w:pPr>
              <w:jc w:val="center"/>
              <w:rPr>
                <w:rFonts w:ascii="Arial" w:hAnsi="Arial" w:cs="Arial"/>
                <w:sz w:val="24"/>
                <w:szCs w:val="24"/>
              </w:rPr>
            </w:pPr>
          </w:p>
        </w:tc>
        <w:tc>
          <w:tcPr>
            <w:tcW w:w="1984" w:type="dxa"/>
            <w:vMerge/>
          </w:tcPr>
          <w:p w14:paraId="20DBC22F" w14:textId="77777777" w:rsidR="006356F1" w:rsidRPr="00E20377" w:rsidRDefault="006356F1" w:rsidP="00217400">
            <w:pPr>
              <w:jc w:val="center"/>
              <w:rPr>
                <w:rFonts w:ascii="Arial" w:hAnsi="Arial" w:cs="Arial"/>
                <w:sz w:val="24"/>
                <w:szCs w:val="24"/>
              </w:rPr>
            </w:pPr>
          </w:p>
        </w:tc>
      </w:tr>
      <w:tr w:rsidR="006356F1" w:rsidRPr="00E20377" w14:paraId="1B37DEA5" w14:textId="77777777" w:rsidTr="00217400">
        <w:trPr>
          <w:jc w:val="center"/>
        </w:trPr>
        <w:tc>
          <w:tcPr>
            <w:tcW w:w="1434" w:type="dxa"/>
            <w:vMerge/>
          </w:tcPr>
          <w:p w14:paraId="2AB14F17" w14:textId="77777777" w:rsidR="006356F1" w:rsidRPr="00E20377" w:rsidRDefault="006356F1" w:rsidP="00217400">
            <w:pPr>
              <w:jc w:val="center"/>
              <w:rPr>
                <w:rFonts w:ascii="Arial" w:hAnsi="Arial" w:cs="Arial"/>
                <w:sz w:val="24"/>
                <w:szCs w:val="24"/>
              </w:rPr>
            </w:pPr>
          </w:p>
        </w:tc>
        <w:tc>
          <w:tcPr>
            <w:tcW w:w="2530" w:type="dxa"/>
            <w:vMerge/>
          </w:tcPr>
          <w:p w14:paraId="6F33FB12" w14:textId="77777777" w:rsidR="006356F1" w:rsidRPr="00E20377" w:rsidRDefault="006356F1" w:rsidP="00217400">
            <w:pPr>
              <w:jc w:val="center"/>
              <w:rPr>
                <w:rFonts w:ascii="Arial" w:hAnsi="Arial" w:cs="Arial"/>
                <w:sz w:val="24"/>
                <w:szCs w:val="24"/>
              </w:rPr>
            </w:pPr>
          </w:p>
        </w:tc>
        <w:tc>
          <w:tcPr>
            <w:tcW w:w="2410" w:type="dxa"/>
            <w:vMerge/>
          </w:tcPr>
          <w:p w14:paraId="3833D9F3" w14:textId="77777777" w:rsidR="006356F1" w:rsidRPr="00E20377" w:rsidRDefault="006356F1" w:rsidP="00217400">
            <w:pPr>
              <w:jc w:val="center"/>
              <w:rPr>
                <w:rFonts w:ascii="Arial" w:hAnsi="Arial" w:cs="Arial"/>
                <w:sz w:val="24"/>
                <w:szCs w:val="24"/>
              </w:rPr>
            </w:pPr>
          </w:p>
        </w:tc>
        <w:tc>
          <w:tcPr>
            <w:tcW w:w="1985" w:type="dxa"/>
          </w:tcPr>
          <w:p w14:paraId="383D1539"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00102142005</w:t>
            </w:r>
          </w:p>
        </w:tc>
        <w:tc>
          <w:tcPr>
            <w:tcW w:w="1701" w:type="dxa"/>
            <w:vMerge/>
          </w:tcPr>
          <w:p w14:paraId="1A63EC4C" w14:textId="77777777" w:rsidR="006356F1" w:rsidRPr="00E20377" w:rsidRDefault="006356F1" w:rsidP="00217400">
            <w:pPr>
              <w:jc w:val="center"/>
              <w:rPr>
                <w:rFonts w:ascii="Arial" w:hAnsi="Arial" w:cs="Arial"/>
                <w:sz w:val="24"/>
                <w:szCs w:val="24"/>
              </w:rPr>
            </w:pPr>
          </w:p>
        </w:tc>
        <w:tc>
          <w:tcPr>
            <w:tcW w:w="1984" w:type="dxa"/>
            <w:vMerge/>
          </w:tcPr>
          <w:p w14:paraId="066CE91E" w14:textId="77777777" w:rsidR="006356F1" w:rsidRPr="00E20377" w:rsidRDefault="006356F1" w:rsidP="00217400">
            <w:pPr>
              <w:jc w:val="center"/>
              <w:rPr>
                <w:rFonts w:ascii="Arial" w:hAnsi="Arial" w:cs="Arial"/>
                <w:sz w:val="24"/>
                <w:szCs w:val="24"/>
              </w:rPr>
            </w:pPr>
          </w:p>
        </w:tc>
      </w:tr>
      <w:tr w:rsidR="006356F1" w:rsidRPr="00E20377" w14:paraId="51EEDDB1" w14:textId="77777777" w:rsidTr="00217400">
        <w:trPr>
          <w:jc w:val="center"/>
        </w:trPr>
        <w:tc>
          <w:tcPr>
            <w:tcW w:w="1434" w:type="dxa"/>
            <w:vMerge/>
          </w:tcPr>
          <w:p w14:paraId="49652301" w14:textId="77777777" w:rsidR="006356F1" w:rsidRPr="00E20377" w:rsidRDefault="006356F1" w:rsidP="00217400">
            <w:pPr>
              <w:jc w:val="center"/>
              <w:rPr>
                <w:rFonts w:ascii="Arial" w:hAnsi="Arial" w:cs="Arial"/>
                <w:sz w:val="24"/>
                <w:szCs w:val="24"/>
              </w:rPr>
            </w:pPr>
          </w:p>
        </w:tc>
        <w:tc>
          <w:tcPr>
            <w:tcW w:w="2530" w:type="dxa"/>
            <w:vMerge/>
          </w:tcPr>
          <w:p w14:paraId="47FCA6A5" w14:textId="77777777" w:rsidR="006356F1" w:rsidRPr="00E20377" w:rsidRDefault="006356F1" w:rsidP="00217400">
            <w:pPr>
              <w:jc w:val="center"/>
              <w:rPr>
                <w:rFonts w:ascii="Arial" w:hAnsi="Arial" w:cs="Arial"/>
                <w:sz w:val="24"/>
                <w:szCs w:val="24"/>
              </w:rPr>
            </w:pPr>
          </w:p>
        </w:tc>
        <w:tc>
          <w:tcPr>
            <w:tcW w:w="2410" w:type="dxa"/>
            <w:vMerge/>
          </w:tcPr>
          <w:p w14:paraId="4291D425" w14:textId="77777777" w:rsidR="006356F1" w:rsidRPr="00E20377" w:rsidRDefault="006356F1" w:rsidP="00217400">
            <w:pPr>
              <w:jc w:val="center"/>
              <w:rPr>
                <w:rFonts w:ascii="Arial" w:hAnsi="Arial" w:cs="Arial"/>
                <w:sz w:val="24"/>
                <w:szCs w:val="24"/>
              </w:rPr>
            </w:pPr>
          </w:p>
        </w:tc>
        <w:tc>
          <w:tcPr>
            <w:tcW w:w="1985" w:type="dxa"/>
          </w:tcPr>
          <w:p w14:paraId="6F845EDD"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00100032007</w:t>
            </w:r>
          </w:p>
        </w:tc>
        <w:tc>
          <w:tcPr>
            <w:tcW w:w="1701" w:type="dxa"/>
            <w:vMerge/>
          </w:tcPr>
          <w:p w14:paraId="443832CE" w14:textId="77777777" w:rsidR="006356F1" w:rsidRPr="00E20377" w:rsidRDefault="006356F1" w:rsidP="00217400">
            <w:pPr>
              <w:jc w:val="center"/>
              <w:rPr>
                <w:rFonts w:ascii="Arial" w:hAnsi="Arial" w:cs="Arial"/>
                <w:sz w:val="24"/>
                <w:szCs w:val="24"/>
              </w:rPr>
            </w:pPr>
          </w:p>
        </w:tc>
        <w:tc>
          <w:tcPr>
            <w:tcW w:w="1984" w:type="dxa"/>
            <w:vMerge/>
          </w:tcPr>
          <w:p w14:paraId="3B01DFAE" w14:textId="77777777" w:rsidR="006356F1" w:rsidRPr="00E20377" w:rsidRDefault="006356F1" w:rsidP="00217400">
            <w:pPr>
              <w:jc w:val="center"/>
              <w:rPr>
                <w:rFonts w:ascii="Arial" w:hAnsi="Arial" w:cs="Arial"/>
                <w:sz w:val="24"/>
                <w:szCs w:val="24"/>
              </w:rPr>
            </w:pPr>
          </w:p>
        </w:tc>
      </w:tr>
      <w:tr w:rsidR="006356F1" w:rsidRPr="00E20377" w14:paraId="141D6351" w14:textId="77777777" w:rsidTr="00217400">
        <w:trPr>
          <w:jc w:val="center"/>
        </w:trPr>
        <w:tc>
          <w:tcPr>
            <w:tcW w:w="1434" w:type="dxa"/>
            <w:vMerge/>
          </w:tcPr>
          <w:p w14:paraId="53BBB414" w14:textId="77777777" w:rsidR="006356F1" w:rsidRPr="00E20377" w:rsidRDefault="006356F1" w:rsidP="00217400">
            <w:pPr>
              <w:jc w:val="center"/>
              <w:rPr>
                <w:rFonts w:ascii="Arial" w:hAnsi="Arial" w:cs="Arial"/>
                <w:sz w:val="24"/>
                <w:szCs w:val="24"/>
              </w:rPr>
            </w:pPr>
          </w:p>
        </w:tc>
        <w:tc>
          <w:tcPr>
            <w:tcW w:w="2530" w:type="dxa"/>
            <w:vMerge/>
          </w:tcPr>
          <w:p w14:paraId="62F848DE" w14:textId="77777777" w:rsidR="006356F1" w:rsidRPr="00E20377" w:rsidRDefault="006356F1" w:rsidP="00217400">
            <w:pPr>
              <w:jc w:val="center"/>
              <w:rPr>
                <w:rFonts w:ascii="Arial" w:hAnsi="Arial" w:cs="Arial"/>
                <w:sz w:val="24"/>
                <w:szCs w:val="24"/>
              </w:rPr>
            </w:pPr>
          </w:p>
        </w:tc>
        <w:tc>
          <w:tcPr>
            <w:tcW w:w="2410" w:type="dxa"/>
            <w:vMerge/>
          </w:tcPr>
          <w:p w14:paraId="6A10522D" w14:textId="77777777" w:rsidR="006356F1" w:rsidRPr="00E20377" w:rsidRDefault="006356F1" w:rsidP="00217400">
            <w:pPr>
              <w:jc w:val="center"/>
              <w:rPr>
                <w:rFonts w:ascii="Arial" w:hAnsi="Arial" w:cs="Arial"/>
                <w:sz w:val="24"/>
                <w:szCs w:val="24"/>
              </w:rPr>
            </w:pPr>
          </w:p>
        </w:tc>
        <w:tc>
          <w:tcPr>
            <w:tcW w:w="1985" w:type="dxa"/>
          </w:tcPr>
          <w:p w14:paraId="0F2D66E9"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00101262016</w:t>
            </w:r>
          </w:p>
        </w:tc>
        <w:tc>
          <w:tcPr>
            <w:tcW w:w="1701" w:type="dxa"/>
            <w:vMerge/>
          </w:tcPr>
          <w:p w14:paraId="5BD1B4F6" w14:textId="77777777" w:rsidR="006356F1" w:rsidRPr="00E20377" w:rsidRDefault="006356F1" w:rsidP="00217400">
            <w:pPr>
              <w:jc w:val="center"/>
              <w:rPr>
                <w:rFonts w:ascii="Arial" w:hAnsi="Arial" w:cs="Arial"/>
                <w:sz w:val="24"/>
                <w:szCs w:val="24"/>
              </w:rPr>
            </w:pPr>
          </w:p>
        </w:tc>
        <w:tc>
          <w:tcPr>
            <w:tcW w:w="1984" w:type="dxa"/>
            <w:vMerge/>
          </w:tcPr>
          <w:p w14:paraId="171823AD" w14:textId="77777777" w:rsidR="006356F1" w:rsidRPr="00E20377" w:rsidRDefault="006356F1" w:rsidP="00217400">
            <w:pPr>
              <w:jc w:val="center"/>
              <w:rPr>
                <w:rFonts w:ascii="Arial" w:hAnsi="Arial" w:cs="Arial"/>
                <w:sz w:val="24"/>
                <w:szCs w:val="24"/>
              </w:rPr>
            </w:pPr>
          </w:p>
        </w:tc>
      </w:tr>
      <w:tr w:rsidR="006356F1" w:rsidRPr="00E20377" w14:paraId="0C0FF0A6" w14:textId="77777777" w:rsidTr="00217400">
        <w:trPr>
          <w:jc w:val="center"/>
        </w:trPr>
        <w:tc>
          <w:tcPr>
            <w:tcW w:w="1434" w:type="dxa"/>
          </w:tcPr>
          <w:p w14:paraId="4677C822"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102328617</w:t>
            </w:r>
          </w:p>
        </w:tc>
        <w:tc>
          <w:tcPr>
            <w:tcW w:w="2530" w:type="dxa"/>
          </w:tcPr>
          <w:p w14:paraId="7C45928B"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86</w:t>
            </w:r>
            <w:r>
              <w:rPr>
                <w:rFonts w:ascii="Arial" w:hAnsi="Arial" w:cs="Arial"/>
                <w:sz w:val="24"/>
                <w:szCs w:val="24"/>
              </w:rPr>
              <w:t>.</w:t>
            </w:r>
            <w:r w:rsidRPr="00E20377">
              <w:rPr>
                <w:rFonts w:ascii="Arial" w:hAnsi="Arial" w:cs="Arial"/>
                <w:sz w:val="24"/>
                <w:szCs w:val="24"/>
              </w:rPr>
              <w:t>902</w:t>
            </w:r>
            <w:r>
              <w:rPr>
                <w:rFonts w:ascii="Arial" w:hAnsi="Arial" w:cs="Arial"/>
                <w:sz w:val="24"/>
                <w:szCs w:val="24"/>
              </w:rPr>
              <w:t>.</w:t>
            </w:r>
            <w:r w:rsidRPr="00E20377">
              <w:rPr>
                <w:rFonts w:ascii="Arial" w:hAnsi="Arial" w:cs="Arial"/>
                <w:sz w:val="24"/>
                <w:szCs w:val="24"/>
              </w:rPr>
              <w:t>053</w:t>
            </w:r>
            <w:r>
              <w:rPr>
                <w:rFonts w:ascii="Arial" w:hAnsi="Arial" w:cs="Arial"/>
                <w:sz w:val="24"/>
                <w:szCs w:val="24"/>
              </w:rPr>
              <w:t>/</w:t>
            </w:r>
            <w:r w:rsidRPr="00E20377">
              <w:rPr>
                <w:rFonts w:ascii="Arial" w:hAnsi="Arial" w:cs="Arial"/>
                <w:sz w:val="24"/>
                <w:szCs w:val="24"/>
              </w:rPr>
              <w:t>0003</w:t>
            </w:r>
            <w:r>
              <w:rPr>
                <w:rFonts w:ascii="Arial" w:hAnsi="Arial" w:cs="Arial"/>
                <w:sz w:val="24"/>
                <w:szCs w:val="24"/>
              </w:rPr>
              <w:t>-</w:t>
            </w:r>
            <w:r w:rsidRPr="00E20377">
              <w:rPr>
                <w:rFonts w:ascii="Arial" w:hAnsi="Arial" w:cs="Arial"/>
                <w:sz w:val="24"/>
                <w:szCs w:val="24"/>
              </w:rPr>
              <w:t>85</w:t>
            </w:r>
          </w:p>
        </w:tc>
        <w:tc>
          <w:tcPr>
            <w:tcW w:w="2410" w:type="dxa"/>
          </w:tcPr>
          <w:p w14:paraId="1413E8AB"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MINERACAO MARACA INDUSTRIA E COMERCIO S/A</w:t>
            </w:r>
          </w:p>
        </w:tc>
        <w:tc>
          <w:tcPr>
            <w:tcW w:w="1985" w:type="dxa"/>
          </w:tcPr>
          <w:p w14:paraId="5AD1997F"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00100382004</w:t>
            </w:r>
          </w:p>
        </w:tc>
        <w:tc>
          <w:tcPr>
            <w:tcW w:w="1701" w:type="dxa"/>
            <w:vMerge w:val="restart"/>
          </w:tcPr>
          <w:p w14:paraId="35FA91E0" w14:textId="77777777" w:rsidR="006356F1" w:rsidRDefault="006356F1" w:rsidP="00217400">
            <w:pPr>
              <w:jc w:val="center"/>
              <w:rPr>
                <w:rFonts w:ascii="Arial" w:hAnsi="Arial" w:cs="Arial"/>
                <w:sz w:val="24"/>
                <w:szCs w:val="24"/>
              </w:rPr>
            </w:pPr>
          </w:p>
          <w:p w14:paraId="68BB1810" w14:textId="77777777" w:rsidR="006356F1" w:rsidRDefault="006356F1" w:rsidP="00217400">
            <w:pPr>
              <w:jc w:val="center"/>
              <w:rPr>
                <w:rFonts w:ascii="Arial" w:hAnsi="Arial" w:cs="Arial"/>
                <w:sz w:val="24"/>
                <w:szCs w:val="24"/>
              </w:rPr>
            </w:pPr>
          </w:p>
          <w:p w14:paraId="6C9707E9" w14:textId="77777777" w:rsidR="006356F1" w:rsidRDefault="006356F1" w:rsidP="00217400">
            <w:pPr>
              <w:jc w:val="center"/>
              <w:rPr>
                <w:rFonts w:ascii="Arial" w:hAnsi="Arial" w:cs="Arial"/>
                <w:sz w:val="24"/>
                <w:szCs w:val="24"/>
              </w:rPr>
            </w:pPr>
          </w:p>
          <w:p w14:paraId="79175746" w14:textId="77777777" w:rsidR="006356F1" w:rsidRDefault="006356F1" w:rsidP="00217400">
            <w:pPr>
              <w:jc w:val="center"/>
              <w:rPr>
                <w:rFonts w:ascii="Arial" w:hAnsi="Arial" w:cs="Arial"/>
                <w:sz w:val="24"/>
                <w:szCs w:val="24"/>
              </w:rPr>
            </w:pPr>
          </w:p>
          <w:p w14:paraId="0F7C0C59" w14:textId="77777777" w:rsidR="006356F1" w:rsidRDefault="006356F1" w:rsidP="00217400">
            <w:pPr>
              <w:jc w:val="center"/>
              <w:rPr>
                <w:rFonts w:ascii="Arial" w:hAnsi="Arial" w:cs="Arial"/>
                <w:sz w:val="24"/>
                <w:szCs w:val="24"/>
              </w:rPr>
            </w:pPr>
          </w:p>
          <w:p w14:paraId="24F265CF"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POSITIVA</w:t>
            </w:r>
          </w:p>
        </w:tc>
        <w:tc>
          <w:tcPr>
            <w:tcW w:w="1984" w:type="dxa"/>
            <w:vMerge w:val="restart"/>
          </w:tcPr>
          <w:p w14:paraId="023887E0" w14:textId="77777777" w:rsidR="006356F1" w:rsidRDefault="006356F1" w:rsidP="00217400">
            <w:pPr>
              <w:jc w:val="center"/>
              <w:rPr>
                <w:rFonts w:ascii="Arial" w:hAnsi="Arial" w:cs="Arial"/>
                <w:sz w:val="24"/>
                <w:szCs w:val="24"/>
              </w:rPr>
            </w:pPr>
          </w:p>
          <w:p w14:paraId="4DC14F67"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4011201467744 4011102195746 4011202508142 4011204318197 4011204861257 4011502818317 4011701392913 4011701393138</w:t>
            </w:r>
          </w:p>
        </w:tc>
      </w:tr>
      <w:tr w:rsidR="006356F1" w:rsidRPr="00E20377" w14:paraId="207CF929" w14:textId="77777777" w:rsidTr="00217400">
        <w:trPr>
          <w:trHeight w:val="240"/>
          <w:jc w:val="center"/>
        </w:trPr>
        <w:tc>
          <w:tcPr>
            <w:tcW w:w="1434" w:type="dxa"/>
            <w:vMerge w:val="restart"/>
          </w:tcPr>
          <w:p w14:paraId="5A8FCCB2"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103208224</w:t>
            </w:r>
          </w:p>
        </w:tc>
        <w:tc>
          <w:tcPr>
            <w:tcW w:w="2530" w:type="dxa"/>
            <w:vMerge w:val="restart"/>
          </w:tcPr>
          <w:p w14:paraId="59ACB1F0"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86</w:t>
            </w:r>
            <w:r>
              <w:rPr>
                <w:rFonts w:ascii="Arial" w:hAnsi="Arial" w:cs="Arial"/>
                <w:sz w:val="24"/>
                <w:szCs w:val="24"/>
              </w:rPr>
              <w:t>.</w:t>
            </w:r>
            <w:r w:rsidRPr="00E20377">
              <w:rPr>
                <w:rFonts w:ascii="Arial" w:hAnsi="Arial" w:cs="Arial"/>
                <w:sz w:val="24"/>
                <w:szCs w:val="24"/>
              </w:rPr>
              <w:t>902</w:t>
            </w:r>
            <w:r>
              <w:rPr>
                <w:rFonts w:ascii="Arial" w:hAnsi="Arial" w:cs="Arial"/>
                <w:sz w:val="24"/>
                <w:szCs w:val="24"/>
              </w:rPr>
              <w:t>.</w:t>
            </w:r>
            <w:r w:rsidRPr="00E20377">
              <w:rPr>
                <w:rFonts w:ascii="Arial" w:hAnsi="Arial" w:cs="Arial"/>
                <w:sz w:val="24"/>
                <w:szCs w:val="24"/>
              </w:rPr>
              <w:t>053</w:t>
            </w:r>
            <w:r>
              <w:rPr>
                <w:rFonts w:ascii="Arial" w:hAnsi="Arial" w:cs="Arial"/>
                <w:sz w:val="24"/>
                <w:szCs w:val="24"/>
              </w:rPr>
              <w:t>/</w:t>
            </w:r>
            <w:r w:rsidRPr="00E20377">
              <w:rPr>
                <w:rFonts w:ascii="Arial" w:hAnsi="Arial" w:cs="Arial"/>
                <w:sz w:val="24"/>
                <w:szCs w:val="24"/>
              </w:rPr>
              <w:t>0001</w:t>
            </w:r>
            <w:r>
              <w:rPr>
                <w:rFonts w:ascii="Arial" w:hAnsi="Arial" w:cs="Arial"/>
                <w:sz w:val="24"/>
                <w:szCs w:val="24"/>
              </w:rPr>
              <w:t>-</w:t>
            </w:r>
            <w:r w:rsidRPr="00E20377">
              <w:rPr>
                <w:rFonts w:ascii="Arial" w:hAnsi="Arial" w:cs="Arial"/>
                <w:sz w:val="24"/>
                <w:szCs w:val="24"/>
              </w:rPr>
              <w:t>13</w:t>
            </w:r>
          </w:p>
        </w:tc>
        <w:tc>
          <w:tcPr>
            <w:tcW w:w="2410" w:type="dxa"/>
            <w:vMerge w:val="restart"/>
          </w:tcPr>
          <w:p w14:paraId="513325E5"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MINERACAO MARACA INDUSTRIA E COMERCIO S/A</w:t>
            </w:r>
          </w:p>
        </w:tc>
        <w:tc>
          <w:tcPr>
            <w:tcW w:w="1985" w:type="dxa"/>
          </w:tcPr>
          <w:p w14:paraId="324196A3"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00100582012</w:t>
            </w:r>
          </w:p>
        </w:tc>
        <w:tc>
          <w:tcPr>
            <w:tcW w:w="1701" w:type="dxa"/>
            <w:vMerge/>
          </w:tcPr>
          <w:p w14:paraId="193CB9E4" w14:textId="77777777" w:rsidR="006356F1" w:rsidRPr="00E20377" w:rsidRDefault="006356F1" w:rsidP="00217400">
            <w:pPr>
              <w:jc w:val="center"/>
              <w:rPr>
                <w:rFonts w:ascii="Arial" w:hAnsi="Arial" w:cs="Arial"/>
                <w:sz w:val="24"/>
                <w:szCs w:val="24"/>
              </w:rPr>
            </w:pPr>
          </w:p>
        </w:tc>
        <w:tc>
          <w:tcPr>
            <w:tcW w:w="1984" w:type="dxa"/>
            <w:vMerge/>
          </w:tcPr>
          <w:p w14:paraId="49B42F07" w14:textId="77777777" w:rsidR="006356F1" w:rsidRPr="00E20377" w:rsidRDefault="006356F1" w:rsidP="00217400">
            <w:pPr>
              <w:jc w:val="center"/>
              <w:rPr>
                <w:rFonts w:ascii="Arial" w:hAnsi="Arial" w:cs="Arial"/>
                <w:sz w:val="24"/>
                <w:szCs w:val="24"/>
              </w:rPr>
            </w:pPr>
          </w:p>
        </w:tc>
      </w:tr>
      <w:tr w:rsidR="006356F1" w:rsidRPr="00E20377" w14:paraId="2438886A" w14:textId="77777777" w:rsidTr="00217400">
        <w:trPr>
          <w:trHeight w:val="266"/>
          <w:jc w:val="center"/>
        </w:trPr>
        <w:tc>
          <w:tcPr>
            <w:tcW w:w="1434" w:type="dxa"/>
            <w:vMerge/>
          </w:tcPr>
          <w:p w14:paraId="756F56A9" w14:textId="77777777" w:rsidR="006356F1" w:rsidRPr="00E20377" w:rsidRDefault="006356F1" w:rsidP="00217400">
            <w:pPr>
              <w:jc w:val="center"/>
              <w:rPr>
                <w:rFonts w:ascii="Arial" w:hAnsi="Arial" w:cs="Arial"/>
                <w:sz w:val="24"/>
                <w:szCs w:val="24"/>
              </w:rPr>
            </w:pPr>
          </w:p>
        </w:tc>
        <w:tc>
          <w:tcPr>
            <w:tcW w:w="2530" w:type="dxa"/>
            <w:vMerge/>
          </w:tcPr>
          <w:p w14:paraId="4B5C7726" w14:textId="77777777" w:rsidR="006356F1" w:rsidRPr="00E20377" w:rsidRDefault="006356F1" w:rsidP="00217400">
            <w:pPr>
              <w:jc w:val="center"/>
              <w:rPr>
                <w:rFonts w:ascii="Arial" w:hAnsi="Arial" w:cs="Arial"/>
                <w:sz w:val="24"/>
                <w:szCs w:val="24"/>
              </w:rPr>
            </w:pPr>
          </w:p>
        </w:tc>
        <w:tc>
          <w:tcPr>
            <w:tcW w:w="2410" w:type="dxa"/>
            <w:vMerge/>
          </w:tcPr>
          <w:p w14:paraId="3553BA0F" w14:textId="77777777" w:rsidR="006356F1" w:rsidRPr="00E20377" w:rsidRDefault="006356F1" w:rsidP="00217400">
            <w:pPr>
              <w:jc w:val="center"/>
              <w:rPr>
                <w:rFonts w:ascii="Arial" w:hAnsi="Arial" w:cs="Arial"/>
                <w:sz w:val="24"/>
                <w:szCs w:val="24"/>
              </w:rPr>
            </w:pPr>
          </w:p>
        </w:tc>
        <w:tc>
          <w:tcPr>
            <w:tcW w:w="1985" w:type="dxa"/>
          </w:tcPr>
          <w:p w14:paraId="68158F56"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00100612012</w:t>
            </w:r>
          </w:p>
        </w:tc>
        <w:tc>
          <w:tcPr>
            <w:tcW w:w="1701" w:type="dxa"/>
            <w:vMerge/>
          </w:tcPr>
          <w:p w14:paraId="1E28D7CC" w14:textId="77777777" w:rsidR="006356F1" w:rsidRPr="00E20377" w:rsidRDefault="006356F1" w:rsidP="00217400">
            <w:pPr>
              <w:jc w:val="center"/>
              <w:rPr>
                <w:rFonts w:ascii="Arial" w:hAnsi="Arial" w:cs="Arial"/>
                <w:sz w:val="24"/>
                <w:szCs w:val="24"/>
              </w:rPr>
            </w:pPr>
          </w:p>
        </w:tc>
        <w:tc>
          <w:tcPr>
            <w:tcW w:w="1984" w:type="dxa"/>
            <w:vMerge/>
          </w:tcPr>
          <w:p w14:paraId="1FEB62C3" w14:textId="77777777" w:rsidR="006356F1" w:rsidRPr="00E20377" w:rsidRDefault="006356F1" w:rsidP="00217400">
            <w:pPr>
              <w:jc w:val="center"/>
              <w:rPr>
                <w:rFonts w:ascii="Arial" w:hAnsi="Arial" w:cs="Arial"/>
                <w:sz w:val="24"/>
                <w:szCs w:val="24"/>
              </w:rPr>
            </w:pPr>
          </w:p>
        </w:tc>
      </w:tr>
      <w:tr w:rsidR="006356F1" w:rsidRPr="00E20377" w14:paraId="1B3D1AE6" w14:textId="77777777" w:rsidTr="00217400">
        <w:trPr>
          <w:trHeight w:val="269"/>
          <w:jc w:val="center"/>
        </w:trPr>
        <w:tc>
          <w:tcPr>
            <w:tcW w:w="1434" w:type="dxa"/>
            <w:vMerge/>
          </w:tcPr>
          <w:p w14:paraId="27D61F7A" w14:textId="77777777" w:rsidR="006356F1" w:rsidRPr="00E20377" w:rsidRDefault="006356F1" w:rsidP="00217400">
            <w:pPr>
              <w:jc w:val="center"/>
              <w:rPr>
                <w:rFonts w:ascii="Arial" w:hAnsi="Arial" w:cs="Arial"/>
                <w:sz w:val="24"/>
                <w:szCs w:val="24"/>
              </w:rPr>
            </w:pPr>
          </w:p>
        </w:tc>
        <w:tc>
          <w:tcPr>
            <w:tcW w:w="2530" w:type="dxa"/>
            <w:vMerge/>
          </w:tcPr>
          <w:p w14:paraId="5C826469" w14:textId="77777777" w:rsidR="006356F1" w:rsidRPr="00E20377" w:rsidRDefault="006356F1" w:rsidP="00217400">
            <w:pPr>
              <w:jc w:val="center"/>
              <w:rPr>
                <w:rFonts w:ascii="Arial" w:hAnsi="Arial" w:cs="Arial"/>
                <w:sz w:val="24"/>
                <w:szCs w:val="24"/>
              </w:rPr>
            </w:pPr>
          </w:p>
        </w:tc>
        <w:tc>
          <w:tcPr>
            <w:tcW w:w="2410" w:type="dxa"/>
            <w:vMerge/>
          </w:tcPr>
          <w:p w14:paraId="1152E8DD" w14:textId="77777777" w:rsidR="006356F1" w:rsidRPr="00E20377" w:rsidRDefault="006356F1" w:rsidP="00217400">
            <w:pPr>
              <w:jc w:val="center"/>
              <w:rPr>
                <w:rFonts w:ascii="Arial" w:hAnsi="Arial" w:cs="Arial"/>
                <w:sz w:val="24"/>
                <w:szCs w:val="24"/>
              </w:rPr>
            </w:pPr>
          </w:p>
        </w:tc>
        <w:tc>
          <w:tcPr>
            <w:tcW w:w="1985" w:type="dxa"/>
          </w:tcPr>
          <w:p w14:paraId="34BC1C29"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00100642005</w:t>
            </w:r>
          </w:p>
        </w:tc>
        <w:tc>
          <w:tcPr>
            <w:tcW w:w="1701" w:type="dxa"/>
            <w:vMerge/>
          </w:tcPr>
          <w:p w14:paraId="2F911B60" w14:textId="77777777" w:rsidR="006356F1" w:rsidRPr="00E20377" w:rsidRDefault="006356F1" w:rsidP="00217400">
            <w:pPr>
              <w:jc w:val="center"/>
              <w:rPr>
                <w:rFonts w:ascii="Arial" w:hAnsi="Arial" w:cs="Arial"/>
                <w:sz w:val="24"/>
                <w:szCs w:val="24"/>
              </w:rPr>
            </w:pPr>
          </w:p>
        </w:tc>
        <w:tc>
          <w:tcPr>
            <w:tcW w:w="1984" w:type="dxa"/>
            <w:vMerge/>
          </w:tcPr>
          <w:p w14:paraId="6CD3FA7A" w14:textId="77777777" w:rsidR="006356F1" w:rsidRPr="00E20377" w:rsidRDefault="006356F1" w:rsidP="00217400">
            <w:pPr>
              <w:jc w:val="center"/>
              <w:rPr>
                <w:rFonts w:ascii="Arial" w:hAnsi="Arial" w:cs="Arial"/>
                <w:sz w:val="24"/>
                <w:szCs w:val="24"/>
              </w:rPr>
            </w:pPr>
          </w:p>
        </w:tc>
      </w:tr>
      <w:tr w:rsidR="006356F1" w:rsidRPr="00E20377" w14:paraId="2171152A" w14:textId="77777777" w:rsidTr="00217400">
        <w:trPr>
          <w:trHeight w:val="855"/>
          <w:jc w:val="center"/>
        </w:trPr>
        <w:tc>
          <w:tcPr>
            <w:tcW w:w="1434" w:type="dxa"/>
            <w:vMerge/>
          </w:tcPr>
          <w:p w14:paraId="123DB7B5" w14:textId="77777777" w:rsidR="006356F1" w:rsidRPr="00E20377" w:rsidRDefault="006356F1" w:rsidP="00217400">
            <w:pPr>
              <w:jc w:val="center"/>
              <w:rPr>
                <w:rFonts w:ascii="Arial" w:hAnsi="Arial" w:cs="Arial"/>
                <w:sz w:val="24"/>
                <w:szCs w:val="24"/>
              </w:rPr>
            </w:pPr>
          </w:p>
        </w:tc>
        <w:tc>
          <w:tcPr>
            <w:tcW w:w="2530" w:type="dxa"/>
            <w:vMerge/>
          </w:tcPr>
          <w:p w14:paraId="64BD5F89" w14:textId="77777777" w:rsidR="006356F1" w:rsidRPr="00E20377" w:rsidRDefault="006356F1" w:rsidP="00217400">
            <w:pPr>
              <w:jc w:val="center"/>
              <w:rPr>
                <w:rFonts w:ascii="Arial" w:hAnsi="Arial" w:cs="Arial"/>
                <w:sz w:val="24"/>
                <w:szCs w:val="24"/>
              </w:rPr>
            </w:pPr>
          </w:p>
        </w:tc>
        <w:tc>
          <w:tcPr>
            <w:tcW w:w="2410" w:type="dxa"/>
            <w:vMerge/>
          </w:tcPr>
          <w:p w14:paraId="5007013B" w14:textId="77777777" w:rsidR="006356F1" w:rsidRPr="00E20377" w:rsidRDefault="006356F1" w:rsidP="00217400">
            <w:pPr>
              <w:jc w:val="center"/>
              <w:rPr>
                <w:rFonts w:ascii="Arial" w:hAnsi="Arial" w:cs="Arial"/>
                <w:sz w:val="24"/>
                <w:szCs w:val="24"/>
              </w:rPr>
            </w:pPr>
          </w:p>
        </w:tc>
        <w:tc>
          <w:tcPr>
            <w:tcW w:w="1985" w:type="dxa"/>
          </w:tcPr>
          <w:p w14:paraId="37C714F1" w14:textId="77777777" w:rsidR="006356F1" w:rsidRPr="00E20377" w:rsidRDefault="006356F1" w:rsidP="00217400">
            <w:pPr>
              <w:jc w:val="center"/>
              <w:rPr>
                <w:rFonts w:ascii="Arial" w:hAnsi="Arial" w:cs="Arial"/>
                <w:sz w:val="24"/>
                <w:szCs w:val="24"/>
              </w:rPr>
            </w:pPr>
            <w:r w:rsidRPr="00E20377">
              <w:rPr>
                <w:rFonts w:ascii="Arial" w:hAnsi="Arial" w:cs="Arial"/>
                <w:sz w:val="24"/>
                <w:szCs w:val="24"/>
              </w:rPr>
              <w:t>00101222007</w:t>
            </w:r>
          </w:p>
        </w:tc>
        <w:tc>
          <w:tcPr>
            <w:tcW w:w="1701" w:type="dxa"/>
            <w:vMerge/>
          </w:tcPr>
          <w:p w14:paraId="6B7B3997" w14:textId="77777777" w:rsidR="006356F1" w:rsidRPr="00E20377" w:rsidRDefault="006356F1" w:rsidP="00217400">
            <w:pPr>
              <w:jc w:val="center"/>
              <w:rPr>
                <w:rFonts w:ascii="Arial" w:hAnsi="Arial" w:cs="Arial"/>
                <w:sz w:val="24"/>
                <w:szCs w:val="24"/>
              </w:rPr>
            </w:pPr>
          </w:p>
        </w:tc>
        <w:tc>
          <w:tcPr>
            <w:tcW w:w="1984" w:type="dxa"/>
            <w:vMerge/>
          </w:tcPr>
          <w:p w14:paraId="715D401A" w14:textId="77777777" w:rsidR="006356F1" w:rsidRPr="00E20377" w:rsidRDefault="006356F1" w:rsidP="00217400">
            <w:pPr>
              <w:jc w:val="center"/>
              <w:rPr>
                <w:rFonts w:ascii="Arial" w:hAnsi="Arial" w:cs="Arial"/>
                <w:sz w:val="24"/>
                <w:szCs w:val="24"/>
              </w:rPr>
            </w:pPr>
          </w:p>
        </w:tc>
      </w:tr>
    </w:tbl>
    <w:p w14:paraId="0A45BF82" w14:textId="77777777" w:rsidR="006356F1" w:rsidRDefault="006356F1" w:rsidP="006356F1">
      <w:pPr>
        <w:spacing w:line="360" w:lineRule="auto"/>
        <w:ind w:firstLine="851"/>
        <w:jc w:val="both"/>
        <w:rPr>
          <w:rFonts w:ascii="Arial" w:hAnsi="Arial" w:cs="Arial"/>
          <w:bCs/>
          <w:sz w:val="24"/>
          <w:szCs w:val="24"/>
        </w:rPr>
      </w:pPr>
      <w:r w:rsidRPr="003B04F3">
        <w:rPr>
          <w:rFonts w:ascii="Arial" w:hAnsi="Arial" w:cs="Arial"/>
          <w:bCs/>
          <w:sz w:val="24"/>
          <w:szCs w:val="24"/>
        </w:rPr>
        <w:t>Registre-se, ainda, que outras mineradoras possuem certidão de positiva com efeitos de negativa, a indicar possível parcelamento do débito perante a receita estadual, sem que se tenha segurança de que há um acompanhamento permanente por parte do fisco para aferir se persiste a condição suspensiva de exigibilidade do crédito tributário (</w:t>
      </w:r>
      <w:r w:rsidRPr="007324D8">
        <w:rPr>
          <w:rFonts w:ascii="Arial" w:hAnsi="Arial" w:cs="Arial"/>
          <w:sz w:val="24"/>
          <w:szCs w:val="24"/>
          <w:u w:val="single"/>
        </w:rPr>
        <w:t>Britacal Ind Com de Brita e Calcário Brasília Ltda</w:t>
      </w:r>
      <w:r>
        <w:rPr>
          <w:rFonts w:ascii="Arial" w:hAnsi="Arial" w:cs="Arial"/>
          <w:sz w:val="24"/>
          <w:szCs w:val="24"/>
        </w:rPr>
        <w:t xml:space="preserve">, CNPJ nºs </w:t>
      </w:r>
      <w:r w:rsidRPr="007324D8">
        <w:rPr>
          <w:rFonts w:ascii="Arial" w:hAnsi="Arial" w:cs="Arial"/>
          <w:sz w:val="24"/>
          <w:szCs w:val="24"/>
        </w:rPr>
        <w:t>26</w:t>
      </w:r>
      <w:r>
        <w:rPr>
          <w:rFonts w:ascii="Arial" w:hAnsi="Arial" w:cs="Arial"/>
          <w:sz w:val="24"/>
          <w:szCs w:val="24"/>
        </w:rPr>
        <w:t>.</w:t>
      </w:r>
      <w:r w:rsidRPr="007324D8">
        <w:rPr>
          <w:rFonts w:ascii="Arial" w:hAnsi="Arial" w:cs="Arial"/>
          <w:sz w:val="24"/>
          <w:szCs w:val="24"/>
        </w:rPr>
        <w:t>970</w:t>
      </w:r>
      <w:r>
        <w:rPr>
          <w:rFonts w:ascii="Arial" w:hAnsi="Arial" w:cs="Arial"/>
          <w:sz w:val="24"/>
          <w:szCs w:val="24"/>
        </w:rPr>
        <w:t>.</w:t>
      </w:r>
      <w:r w:rsidRPr="007324D8">
        <w:rPr>
          <w:rFonts w:ascii="Arial" w:hAnsi="Arial" w:cs="Arial"/>
          <w:sz w:val="24"/>
          <w:szCs w:val="24"/>
        </w:rPr>
        <w:t>103</w:t>
      </w:r>
      <w:r>
        <w:rPr>
          <w:rFonts w:ascii="Arial" w:hAnsi="Arial" w:cs="Arial"/>
          <w:sz w:val="24"/>
          <w:szCs w:val="24"/>
        </w:rPr>
        <w:t>/</w:t>
      </w:r>
      <w:r w:rsidRPr="007324D8">
        <w:rPr>
          <w:rFonts w:ascii="Arial" w:hAnsi="Arial" w:cs="Arial"/>
          <w:sz w:val="24"/>
          <w:szCs w:val="24"/>
        </w:rPr>
        <w:t>0003</w:t>
      </w:r>
      <w:r>
        <w:rPr>
          <w:rFonts w:ascii="Arial" w:hAnsi="Arial" w:cs="Arial"/>
          <w:sz w:val="24"/>
          <w:szCs w:val="24"/>
        </w:rPr>
        <w:t>-</w:t>
      </w:r>
      <w:r w:rsidRPr="007324D8">
        <w:rPr>
          <w:rFonts w:ascii="Arial" w:hAnsi="Arial" w:cs="Arial"/>
          <w:sz w:val="24"/>
          <w:szCs w:val="24"/>
        </w:rPr>
        <w:t>30</w:t>
      </w:r>
      <w:r>
        <w:rPr>
          <w:rFonts w:ascii="Arial" w:hAnsi="Arial" w:cs="Arial"/>
          <w:sz w:val="24"/>
          <w:szCs w:val="24"/>
        </w:rPr>
        <w:t xml:space="preserve">, </w:t>
      </w:r>
      <w:r w:rsidRPr="007324D8">
        <w:rPr>
          <w:rFonts w:ascii="Arial" w:hAnsi="Arial" w:cs="Arial"/>
          <w:sz w:val="24"/>
          <w:szCs w:val="24"/>
        </w:rPr>
        <w:t>26</w:t>
      </w:r>
      <w:r>
        <w:rPr>
          <w:rFonts w:ascii="Arial" w:hAnsi="Arial" w:cs="Arial"/>
          <w:sz w:val="24"/>
          <w:szCs w:val="24"/>
        </w:rPr>
        <w:t>.</w:t>
      </w:r>
      <w:r w:rsidRPr="007324D8">
        <w:rPr>
          <w:rFonts w:ascii="Arial" w:hAnsi="Arial" w:cs="Arial"/>
          <w:sz w:val="24"/>
          <w:szCs w:val="24"/>
        </w:rPr>
        <w:t>970</w:t>
      </w:r>
      <w:r>
        <w:rPr>
          <w:rFonts w:ascii="Arial" w:hAnsi="Arial" w:cs="Arial"/>
          <w:sz w:val="24"/>
          <w:szCs w:val="24"/>
        </w:rPr>
        <w:t>.</w:t>
      </w:r>
      <w:r w:rsidRPr="007324D8">
        <w:rPr>
          <w:rFonts w:ascii="Arial" w:hAnsi="Arial" w:cs="Arial"/>
          <w:sz w:val="24"/>
          <w:szCs w:val="24"/>
        </w:rPr>
        <w:t>103</w:t>
      </w:r>
      <w:r>
        <w:rPr>
          <w:rFonts w:ascii="Arial" w:hAnsi="Arial" w:cs="Arial"/>
          <w:sz w:val="24"/>
          <w:szCs w:val="24"/>
        </w:rPr>
        <w:t>/</w:t>
      </w:r>
      <w:r w:rsidRPr="007324D8">
        <w:rPr>
          <w:rFonts w:ascii="Arial" w:hAnsi="Arial" w:cs="Arial"/>
          <w:sz w:val="24"/>
          <w:szCs w:val="24"/>
        </w:rPr>
        <w:t>0002</w:t>
      </w:r>
      <w:r>
        <w:rPr>
          <w:rFonts w:ascii="Arial" w:hAnsi="Arial" w:cs="Arial"/>
          <w:sz w:val="24"/>
          <w:szCs w:val="24"/>
        </w:rPr>
        <w:t>-</w:t>
      </w:r>
      <w:r w:rsidRPr="007324D8">
        <w:rPr>
          <w:rFonts w:ascii="Arial" w:hAnsi="Arial" w:cs="Arial"/>
          <w:sz w:val="24"/>
          <w:szCs w:val="24"/>
        </w:rPr>
        <w:t>59</w:t>
      </w:r>
      <w:r>
        <w:rPr>
          <w:rFonts w:ascii="Arial" w:hAnsi="Arial" w:cs="Arial"/>
          <w:sz w:val="24"/>
          <w:szCs w:val="24"/>
        </w:rPr>
        <w:t xml:space="preserve"> e </w:t>
      </w:r>
      <w:r w:rsidRPr="007324D8">
        <w:rPr>
          <w:rFonts w:ascii="Arial" w:hAnsi="Arial" w:cs="Arial"/>
          <w:sz w:val="24"/>
          <w:szCs w:val="24"/>
        </w:rPr>
        <w:t>26</w:t>
      </w:r>
      <w:r>
        <w:rPr>
          <w:rFonts w:ascii="Arial" w:hAnsi="Arial" w:cs="Arial"/>
          <w:sz w:val="24"/>
          <w:szCs w:val="24"/>
        </w:rPr>
        <w:t>.</w:t>
      </w:r>
      <w:r w:rsidRPr="007324D8">
        <w:rPr>
          <w:rFonts w:ascii="Arial" w:hAnsi="Arial" w:cs="Arial"/>
          <w:sz w:val="24"/>
          <w:szCs w:val="24"/>
        </w:rPr>
        <w:t>970</w:t>
      </w:r>
      <w:r>
        <w:rPr>
          <w:rFonts w:ascii="Arial" w:hAnsi="Arial" w:cs="Arial"/>
          <w:sz w:val="24"/>
          <w:szCs w:val="24"/>
        </w:rPr>
        <w:t>.</w:t>
      </w:r>
      <w:r w:rsidRPr="007324D8">
        <w:rPr>
          <w:rFonts w:ascii="Arial" w:hAnsi="Arial" w:cs="Arial"/>
          <w:sz w:val="24"/>
          <w:szCs w:val="24"/>
        </w:rPr>
        <w:t>103</w:t>
      </w:r>
      <w:r>
        <w:rPr>
          <w:rFonts w:ascii="Arial" w:hAnsi="Arial" w:cs="Arial"/>
          <w:sz w:val="24"/>
          <w:szCs w:val="24"/>
        </w:rPr>
        <w:t>/</w:t>
      </w:r>
      <w:r w:rsidRPr="007324D8">
        <w:rPr>
          <w:rFonts w:ascii="Arial" w:hAnsi="Arial" w:cs="Arial"/>
          <w:sz w:val="24"/>
          <w:szCs w:val="24"/>
        </w:rPr>
        <w:t>0010</w:t>
      </w:r>
      <w:r>
        <w:rPr>
          <w:rFonts w:ascii="Arial" w:hAnsi="Arial" w:cs="Arial"/>
          <w:sz w:val="24"/>
          <w:szCs w:val="24"/>
        </w:rPr>
        <w:t>-</w:t>
      </w:r>
      <w:r w:rsidRPr="007324D8">
        <w:rPr>
          <w:rFonts w:ascii="Arial" w:hAnsi="Arial" w:cs="Arial"/>
          <w:sz w:val="24"/>
          <w:szCs w:val="24"/>
        </w:rPr>
        <w:t>69</w:t>
      </w:r>
      <w:r>
        <w:rPr>
          <w:rFonts w:ascii="Arial" w:hAnsi="Arial" w:cs="Arial"/>
          <w:sz w:val="24"/>
          <w:szCs w:val="24"/>
        </w:rPr>
        <w:t xml:space="preserve">; </w:t>
      </w:r>
      <w:r w:rsidRPr="007324D8">
        <w:rPr>
          <w:rFonts w:ascii="Arial" w:hAnsi="Arial" w:cs="Arial"/>
          <w:sz w:val="24"/>
          <w:szCs w:val="24"/>
          <w:u w:val="single"/>
        </w:rPr>
        <w:t>Mineradora Santo Expedito Ltda</w:t>
      </w:r>
      <w:r>
        <w:rPr>
          <w:rFonts w:ascii="Arial" w:hAnsi="Arial" w:cs="Arial"/>
          <w:sz w:val="24"/>
          <w:szCs w:val="24"/>
        </w:rPr>
        <w:t xml:space="preserve">, CNPJ nº </w:t>
      </w:r>
      <w:r w:rsidRPr="007324D8">
        <w:rPr>
          <w:rFonts w:ascii="Arial" w:hAnsi="Arial" w:cs="Arial"/>
          <w:sz w:val="24"/>
          <w:szCs w:val="24"/>
        </w:rPr>
        <w:t>01</w:t>
      </w:r>
      <w:r>
        <w:rPr>
          <w:rFonts w:ascii="Arial" w:hAnsi="Arial" w:cs="Arial"/>
          <w:sz w:val="24"/>
          <w:szCs w:val="24"/>
        </w:rPr>
        <w:t>.</w:t>
      </w:r>
      <w:r w:rsidRPr="007324D8">
        <w:rPr>
          <w:rFonts w:ascii="Arial" w:hAnsi="Arial" w:cs="Arial"/>
          <w:sz w:val="24"/>
          <w:szCs w:val="24"/>
        </w:rPr>
        <w:t>133</w:t>
      </w:r>
      <w:r>
        <w:rPr>
          <w:rFonts w:ascii="Arial" w:hAnsi="Arial" w:cs="Arial"/>
          <w:sz w:val="24"/>
          <w:szCs w:val="24"/>
        </w:rPr>
        <w:t>.</w:t>
      </w:r>
      <w:r w:rsidRPr="007324D8">
        <w:rPr>
          <w:rFonts w:ascii="Arial" w:hAnsi="Arial" w:cs="Arial"/>
          <w:sz w:val="24"/>
          <w:szCs w:val="24"/>
        </w:rPr>
        <w:t>510</w:t>
      </w:r>
      <w:r>
        <w:rPr>
          <w:rFonts w:ascii="Arial" w:hAnsi="Arial" w:cs="Arial"/>
          <w:sz w:val="24"/>
          <w:szCs w:val="24"/>
        </w:rPr>
        <w:t>/</w:t>
      </w:r>
      <w:r w:rsidRPr="007324D8">
        <w:rPr>
          <w:rFonts w:ascii="Arial" w:hAnsi="Arial" w:cs="Arial"/>
          <w:sz w:val="24"/>
          <w:szCs w:val="24"/>
        </w:rPr>
        <w:t>0002</w:t>
      </w:r>
      <w:r>
        <w:rPr>
          <w:rFonts w:ascii="Arial" w:hAnsi="Arial" w:cs="Arial"/>
          <w:sz w:val="24"/>
          <w:szCs w:val="24"/>
        </w:rPr>
        <w:t>-</w:t>
      </w:r>
      <w:r w:rsidRPr="007324D8">
        <w:rPr>
          <w:rFonts w:ascii="Arial" w:hAnsi="Arial" w:cs="Arial"/>
          <w:sz w:val="24"/>
          <w:szCs w:val="24"/>
        </w:rPr>
        <w:t>80</w:t>
      </w:r>
      <w:r>
        <w:rPr>
          <w:rFonts w:ascii="Arial" w:hAnsi="Arial" w:cs="Arial"/>
          <w:sz w:val="24"/>
          <w:szCs w:val="24"/>
        </w:rPr>
        <w:t xml:space="preserve">; e </w:t>
      </w:r>
      <w:r w:rsidRPr="007324D8">
        <w:rPr>
          <w:rFonts w:ascii="Arial" w:hAnsi="Arial" w:cs="Arial"/>
          <w:sz w:val="24"/>
          <w:szCs w:val="24"/>
          <w:u w:val="single"/>
        </w:rPr>
        <w:t>SAMA S/A – Minerações Associadas</w:t>
      </w:r>
      <w:r>
        <w:rPr>
          <w:rFonts w:ascii="Arial" w:hAnsi="Arial" w:cs="Arial"/>
          <w:sz w:val="24"/>
          <w:szCs w:val="24"/>
        </w:rPr>
        <w:t xml:space="preserve">, CNPJ nº </w:t>
      </w:r>
      <w:r w:rsidRPr="007324D8">
        <w:rPr>
          <w:rFonts w:ascii="Arial" w:hAnsi="Arial" w:cs="Arial"/>
          <w:sz w:val="24"/>
          <w:szCs w:val="24"/>
        </w:rPr>
        <w:t>15</w:t>
      </w:r>
      <w:r>
        <w:rPr>
          <w:rFonts w:ascii="Arial" w:hAnsi="Arial" w:cs="Arial"/>
          <w:sz w:val="24"/>
          <w:szCs w:val="24"/>
        </w:rPr>
        <w:t>.</w:t>
      </w:r>
      <w:r w:rsidRPr="007324D8">
        <w:rPr>
          <w:rFonts w:ascii="Arial" w:hAnsi="Arial" w:cs="Arial"/>
          <w:sz w:val="24"/>
          <w:szCs w:val="24"/>
        </w:rPr>
        <w:t>104</w:t>
      </w:r>
      <w:r>
        <w:rPr>
          <w:rFonts w:ascii="Arial" w:hAnsi="Arial" w:cs="Arial"/>
          <w:sz w:val="24"/>
          <w:szCs w:val="24"/>
        </w:rPr>
        <w:t>.</w:t>
      </w:r>
      <w:r w:rsidRPr="007324D8">
        <w:rPr>
          <w:rFonts w:ascii="Arial" w:hAnsi="Arial" w:cs="Arial"/>
          <w:sz w:val="24"/>
          <w:szCs w:val="24"/>
        </w:rPr>
        <w:t>599</w:t>
      </w:r>
      <w:r>
        <w:rPr>
          <w:rFonts w:ascii="Arial" w:hAnsi="Arial" w:cs="Arial"/>
          <w:sz w:val="24"/>
          <w:szCs w:val="24"/>
        </w:rPr>
        <w:t>/</w:t>
      </w:r>
      <w:r w:rsidRPr="007324D8">
        <w:rPr>
          <w:rFonts w:ascii="Arial" w:hAnsi="Arial" w:cs="Arial"/>
          <w:sz w:val="24"/>
          <w:szCs w:val="24"/>
        </w:rPr>
        <w:t>0001</w:t>
      </w:r>
      <w:r>
        <w:rPr>
          <w:rFonts w:ascii="Arial" w:hAnsi="Arial" w:cs="Arial"/>
          <w:sz w:val="24"/>
          <w:szCs w:val="24"/>
        </w:rPr>
        <w:t>-</w:t>
      </w:r>
      <w:r w:rsidRPr="007324D8">
        <w:rPr>
          <w:rFonts w:ascii="Arial" w:hAnsi="Arial" w:cs="Arial"/>
          <w:sz w:val="24"/>
          <w:szCs w:val="24"/>
        </w:rPr>
        <w:t>80</w:t>
      </w:r>
      <w:r w:rsidRPr="003B04F3">
        <w:rPr>
          <w:rFonts w:ascii="Arial" w:hAnsi="Arial" w:cs="Arial"/>
          <w:bCs/>
          <w:sz w:val="24"/>
          <w:szCs w:val="24"/>
        </w:rPr>
        <w:t>)</w:t>
      </w:r>
      <w:r>
        <w:rPr>
          <w:rFonts w:ascii="Arial" w:hAnsi="Arial" w:cs="Arial"/>
          <w:bCs/>
          <w:sz w:val="24"/>
          <w:szCs w:val="24"/>
        </w:rPr>
        <w:t>.</w:t>
      </w:r>
    </w:p>
    <w:p w14:paraId="30D08A23" w14:textId="77777777" w:rsidR="006356F1" w:rsidRDefault="006356F1" w:rsidP="006356F1">
      <w:pPr>
        <w:spacing w:line="360" w:lineRule="auto"/>
        <w:ind w:firstLine="851"/>
        <w:jc w:val="both"/>
        <w:rPr>
          <w:rFonts w:ascii="Arial" w:hAnsi="Arial" w:cs="Arial"/>
          <w:bCs/>
          <w:sz w:val="24"/>
          <w:szCs w:val="24"/>
        </w:rPr>
        <w:sectPr w:rsidR="006356F1" w:rsidSect="00217400">
          <w:pgSz w:w="16840" w:h="11900" w:orient="landscape"/>
          <w:pgMar w:top="1701" w:right="2268" w:bottom="851" w:left="1134" w:header="567" w:footer="284" w:gutter="0"/>
          <w:cols w:space="708"/>
          <w:docGrid w:linePitch="360"/>
        </w:sectPr>
      </w:pPr>
    </w:p>
    <w:p w14:paraId="7FB14E25" w14:textId="3A6AA5E8" w:rsidR="0069775A" w:rsidRDefault="0069775A" w:rsidP="0069775A">
      <w:pPr>
        <w:spacing w:line="360" w:lineRule="auto"/>
        <w:ind w:firstLine="851"/>
        <w:jc w:val="both"/>
        <w:rPr>
          <w:rFonts w:ascii="Arial" w:hAnsi="Arial" w:cs="Arial"/>
          <w:bCs/>
          <w:sz w:val="24"/>
          <w:szCs w:val="24"/>
        </w:rPr>
      </w:pPr>
      <w:r>
        <w:rPr>
          <w:rFonts w:ascii="Arial" w:hAnsi="Arial" w:cs="Arial"/>
          <w:bCs/>
          <w:sz w:val="24"/>
          <w:szCs w:val="24"/>
        </w:rPr>
        <w:lastRenderedPageBreak/>
        <w:t xml:space="preserve">De outro lado, </w:t>
      </w:r>
      <w:r w:rsidRPr="00E902B3">
        <w:rPr>
          <w:rFonts w:ascii="Arial" w:hAnsi="Arial" w:cs="Arial"/>
          <w:b/>
          <w:bCs/>
          <w:sz w:val="24"/>
          <w:szCs w:val="24"/>
        </w:rPr>
        <w:t>embora a legislação estadual atualmente não impeça a fruição de incentivos fiscais de ICMS na hipótese de inscrição em dívida ativa federal</w:t>
      </w:r>
      <w:r>
        <w:rPr>
          <w:rFonts w:ascii="Arial" w:hAnsi="Arial" w:cs="Arial"/>
          <w:bCs/>
          <w:sz w:val="24"/>
          <w:szCs w:val="24"/>
        </w:rPr>
        <w:t xml:space="preserve"> – exceto por dívida de natureza previdenciária – considera-se oportuno destacar abaixo as mineradoras beneficiárias de incentivos fiscais no período objeto de apuração (2014 a 2018) que, na data da pesquisa (28/01/2019), </w:t>
      </w:r>
      <w:r w:rsidRPr="00B414AB">
        <w:rPr>
          <w:rFonts w:ascii="Arial" w:hAnsi="Arial" w:cs="Arial"/>
          <w:b/>
          <w:bCs/>
          <w:sz w:val="24"/>
          <w:szCs w:val="24"/>
        </w:rPr>
        <w:t>encontravam-se com débitos inscritos em dívida federal</w:t>
      </w:r>
      <w:r>
        <w:rPr>
          <w:rFonts w:ascii="Arial" w:hAnsi="Arial" w:cs="Arial"/>
          <w:bCs/>
          <w:sz w:val="24"/>
          <w:szCs w:val="24"/>
        </w:rPr>
        <w:t>, alguns provavelmente inscritos antes ou durante o mencionado período:</w:t>
      </w:r>
    </w:p>
    <w:p w14:paraId="6572A33E" w14:textId="6C59A14B" w:rsidR="006356F1" w:rsidRDefault="006356F1" w:rsidP="006356F1">
      <w:pPr>
        <w:spacing w:line="360" w:lineRule="auto"/>
        <w:ind w:firstLine="851"/>
        <w:jc w:val="both"/>
        <w:rPr>
          <w:rFonts w:ascii="Arial" w:hAnsi="Arial" w:cs="Arial"/>
          <w:bCs/>
          <w:sz w:val="24"/>
          <w:szCs w:val="24"/>
        </w:rPr>
      </w:pPr>
    </w:p>
    <w:p w14:paraId="458D9882" w14:textId="7D08D5C8" w:rsidR="0069775A" w:rsidRDefault="0069775A" w:rsidP="006356F1">
      <w:pPr>
        <w:spacing w:line="360" w:lineRule="auto"/>
        <w:ind w:firstLine="851"/>
        <w:jc w:val="both"/>
        <w:rPr>
          <w:rFonts w:ascii="Arial" w:hAnsi="Arial" w:cs="Arial"/>
          <w:bCs/>
          <w:sz w:val="24"/>
          <w:szCs w:val="24"/>
        </w:rPr>
      </w:pPr>
    </w:p>
    <w:p w14:paraId="56FE51B1" w14:textId="4AD4D1B1" w:rsidR="0069775A" w:rsidRDefault="0069775A" w:rsidP="006356F1">
      <w:pPr>
        <w:spacing w:line="360" w:lineRule="auto"/>
        <w:ind w:firstLine="851"/>
        <w:jc w:val="both"/>
        <w:rPr>
          <w:rFonts w:ascii="Arial" w:hAnsi="Arial" w:cs="Arial"/>
          <w:bCs/>
          <w:sz w:val="24"/>
          <w:szCs w:val="24"/>
        </w:rPr>
      </w:pPr>
    </w:p>
    <w:p w14:paraId="617D493E" w14:textId="2367E0CA" w:rsidR="0069775A" w:rsidRDefault="0069775A" w:rsidP="006356F1">
      <w:pPr>
        <w:spacing w:line="360" w:lineRule="auto"/>
        <w:ind w:firstLine="851"/>
        <w:jc w:val="both"/>
        <w:rPr>
          <w:rFonts w:ascii="Arial" w:hAnsi="Arial" w:cs="Arial"/>
          <w:bCs/>
          <w:sz w:val="24"/>
          <w:szCs w:val="24"/>
        </w:rPr>
      </w:pPr>
    </w:p>
    <w:p w14:paraId="63276EBC" w14:textId="4CCE0557" w:rsidR="0069775A" w:rsidRDefault="0069775A" w:rsidP="006356F1">
      <w:pPr>
        <w:spacing w:line="360" w:lineRule="auto"/>
        <w:ind w:firstLine="851"/>
        <w:jc w:val="both"/>
        <w:rPr>
          <w:rFonts w:ascii="Arial" w:hAnsi="Arial" w:cs="Arial"/>
          <w:bCs/>
          <w:sz w:val="24"/>
          <w:szCs w:val="24"/>
        </w:rPr>
      </w:pPr>
    </w:p>
    <w:p w14:paraId="16AFC262" w14:textId="61EBB7CF" w:rsidR="0069775A" w:rsidRDefault="0069775A" w:rsidP="006356F1">
      <w:pPr>
        <w:spacing w:line="360" w:lineRule="auto"/>
        <w:ind w:firstLine="851"/>
        <w:jc w:val="both"/>
        <w:rPr>
          <w:rFonts w:ascii="Arial" w:hAnsi="Arial" w:cs="Arial"/>
          <w:bCs/>
          <w:sz w:val="24"/>
          <w:szCs w:val="24"/>
        </w:rPr>
      </w:pPr>
    </w:p>
    <w:p w14:paraId="0201A295" w14:textId="77777777" w:rsidR="0069775A" w:rsidRDefault="0069775A" w:rsidP="006356F1">
      <w:pPr>
        <w:spacing w:line="360" w:lineRule="auto"/>
        <w:ind w:firstLine="851"/>
        <w:jc w:val="both"/>
        <w:rPr>
          <w:rFonts w:ascii="Arial" w:hAnsi="Arial" w:cs="Arial"/>
          <w:bCs/>
          <w:sz w:val="24"/>
          <w:szCs w:val="24"/>
        </w:rPr>
        <w:sectPr w:rsidR="0069775A" w:rsidSect="00217400">
          <w:pgSz w:w="11900" w:h="16840"/>
          <w:pgMar w:top="2268" w:right="851" w:bottom="1134" w:left="1701" w:header="567" w:footer="284" w:gutter="0"/>
          <w:cols w:space="708"/>
          <w:docGrid w:linePitch="360"/>
        </w:sectPr>
      </w:pPr>
    </w:p>
    <w:tbl>
      <w:tblPr>
        <w:tblStyle w:val="Tabelacomgrade"/>
        <w:tblW w:w="13514" w:type="dxa"/>
        <w:tblLook w:val="04A0" w:firstRow="1" w:lastRow="0" w:firstColumn="1" w:lastColumn="0" w:noHBand="0" w:noVBand="1"/>
      </w:tblPr>
      <w:tblGrid>
        <w:gridCol w:w="1318"/>
        <w:gridCol w:w="2190"/>
        <w:gridCol w:w="2417"/>
        <w:gridCol w:w="1694"/>
        <w:gridCol w:w="2075"/>
        <w:gridCol w:w="2127"/>
        <w:gridCol w:w="1693"/>
      </w:tblGrid>
      <w:tr w:rsidR="006356F1" w:rsidRPr="006847B0" w14:paraId="51CA68B8" w14:textId="77777777" w:rsidTr="00217400">
        <w:tc>
          <w:tcPr>
            <w:tcW w:w="1318" w:type="dxa"/>
            <w:shd w:val="clear" w:color="auto" w:fill="EDEDED" w:themeFill="accent3" w:themeFillTint="33"/>
          </w:tcPr>
          <w:p w14:paraId="79ED72F6" w14:textId="77777777" w:rsidR="006356F1" w:rsidRPr="006847B0" w:rsidRDefault="006356F1" w:rsidP="00217400">
            <w:pPr>
              <w:jc w:val="center"/>
              <w:rPr>
                <w:rFonts w:ascii="Arial" w:hAnsi="Arial" w:cs="Arial"/>
                <w:b/>
                <w:sz w:val="22"/>
                <w:szCs w:val="22"/>
              </w:rPr>
            </w:pPr>
            <w:r w:rsidRPr="006847B0">
              <w:rPr>
                <w:rFonts w:ascii="Arial" w:hAnsi="Arial" w:cs="Arial"/>
                <w:b/>
                <w:sz w:val="22"/>
                <w:szCs w:val="22"/>
              </w:rPr>
              <w:lastRenderedPageBreak/>
              <w:t>CCE</w:t>
            </w:r>
          </w:p>
        </w:tc>
        <w:tc>
          <w:tcPr>
            <w:tcW w:w="2190" w:type="dxa"/>
            <w:shd w:val="clear" w:color="auto" w:fill="D0CECE" w:themeFill="background2" w:themeFillShade="E6"/>
          </w:tcPr>
          <w:p w14:paraId="256047B9" w14:textId="77777777" w:rsidR="006356F1" w:rsidRPr="006847B0" w:rsidRDefault="006356F1" w:rsidP="00217400">
            <w:pPr>
              <w:jc w:val="center"/>
              <w:rPr>
                <w:rFonts w:ascii="Arial" w:hAnsi="Arial" w:cs="Arial"/>
                <w:b/>
                <w:sz w:val="22"/>
                <w:szCs w:val="22"/>
              </w:rPr>
            </w:pPr>
            <w:r w:rsidRPr="006847B0">
              <w:rPr>
                <w:rFonts w:ascii="Arial" w:hAnsi="Arial" w:cs="Arial"/>
                <w:b/>
                <w:sz w:val="22"/>
                <w:szCs w:val="22"/>
              </w:rPr>
              <w:t>CNPJ</w:t>
            </w:r>
          </w:p>
        </w:tc>
        <w:tc>
          <w:tcPr>
            <w:tcW w:w="2417" w:type="dxa"/>
            <w:shd w:val="clear" w:color="auto" w:fill="EDEDED" w:themeFill="accent3" w:themeFillTint="33"/>
          </w:tcPr>
          <w:p w14:paraId="79AC3D86" w14:textId="77777777" w:rsidR="006356F1" w:rsidRPr="006847B0" w:rsidRDefault="006356F1" w:rsidP="00217400">
            <w:pPr>
              <w:jc w:val="center"/>
              <w:rPr>
                <w:rFonts w:ascii="Arial" w:hAnsi="Arial" w:cs="Arial"/>
                <w:b/>
                <w:sz w:val="22"/>
                <w:szCs w:val="22"/>
              </w:rPr>
            </w:pPr>
            <w:r w:rsidRPr="006847B0">
              <w:rPr>
                <w:rFonts w:ascii="Arial" w:hAnsi="Arial" w:cs="Arial"/>
                <w:b/>
                <w:sz w:val="22"/>
                <w:szCs w:val="22"/>
              </w:rPr>
              <w:t>RAZÃO SOCIAL</w:t>
            </w:r>
          </w:p>
        </w:tc>
        <w:tc>
          <w:tcPr>
            <w:tcW w:w="1694" w:type="dxa"/>
            <w:shd w:val="clear" w:color="auto" w:fill="D0CECE" w:themeFill="background2" w:themeFillShade="E6"/>
          </w:tcPr>
          <w:p w14:paraId="5FC13C28" w14:textId="77777777" w:rsidR="006356F1" w:rsidRPr="006847B0" w:rsidRDefault="006356F1" w:rsidP="00217400">
            <w:pPr>
              <w:jc w:val="center"/>
              <w:rPr>
                <w:rFonts w:ascii="Arial" w:hAnsi="Arial" w:cs="Arial"/>
                <w:b/>
                <w:sz w:val="22"/>
                <w:szCs w:val="22"/>
              </w:rPr>
            </w:pPr>
            <w:r w:rsidRPr="006847B0">
              <w:rPr>
                <w:rFonts w:ascii="Arial" w:hAnsi="Arial" w:cs="Arial"/>
                <w:b/>
                <w:sz w:val="22"/>
                <w:szCs w:val="22"/>
              </w:rPr>
              <w:t>NÚMERO TARE</w:t>
            </w:r>
          </w:p>
        </w:tc>
        <w:tc>
          <w:tcPr>
            <w:tcW w:w="2075" w:type="dxa"/>
            <w:shd w:val="clear" w:color="auto" w:fill="D0CECE" w:themeFill="background2" w:themeFillShade="E6"/>
          </w:tcPr>
          <w:p w14:paraId="132DBBC0" w14:textId="77777777" w:rsidR="006356F1" w:rsidRPr="006847B0" w:rsidRDefault="006356F1" w:rsidP="00217400">
            <w:pPr>
              <w:jc w:val="center"/>
              <w:rPr>
                <w:rFonts w:ascii="Arial" w:hAnsi="Arial" w:cs="Arial"/>
                <w:b/>
                <w:sz w:val="22"/>
                <w:szCs w:val="22"/>
              </w:rPr>
            </w:pPr>
            <w:r w:rsidRPr="006847B0">
              <w:rPr>
                <w:rFonts w:ascii="Arial" w:hAnsi="Arial" w:cs="Arial"/>
                <w:b/>
                <w:sz w:val="22"/>
                <w:szCs w:val="22"/>
              </w:rPr>
              <w:t>CERTIDÃO DE DÉBITO</w:t>
            </w:r>
          </w:p>
        </w:tc>
        <w:tc>
          <w:tcPr>
            <w:tcW w:w="2127" w:type="dxa"/>
            <w:shd w:val="clear" w:color="auto" w:fill="EDEDED" w:themeFill="accent3" w:themeFillTint="33"/>
          </w:tcPr>
          <w:p w14:paraId="5C8879D5" w14:textId="77777777" w:rsidR="006356F1" w:rsidRPr="006847B0" w:rsidRDefault="006356F1" w:rsidP="00217400">
            <w:pPr>
              <w:jc w:val="center"/>
              <w:rPr>
                <w:rFonts w:ascii="Arial" w:hAnsi="Arial" w:cs="Arial"/>
                <w:b/>
                <w:sz w:val="22"/>
                <w:szCs w:val="22"/>
              </w:rPr>
            </w:pPr>
            <w:r w:rsidRPr="006847B0">
              <w:rPr>
                <w:rFonts w:ascii="Arial" w:hAnsi="Arial" w:cs="Arial"/>
                <w:b/>
                <w:sz w:val="22"/>
                <w:szCs w:val="22"/>
              </w:rPr>
              <w:t>NÚMERO DE INSCRIÇÃO</w:t>
            </w:r>
          </w:p>
        </w:tc>
        <w:tc>
          <w:tcPr>
            <w:tcW w:w="1693" w:type="dxa"/>
            <w:shd w:val="clear" w:color="auto" w:fill="EDEDED" w:themeFill="accent3" w:themeFillTint="33"/>
          </w:tcPr>
          <w:p w14:paraId="7AB6CC59" w14:textId="77777777" w:rsidR="006356F1" w:rsidRPr="006847B0" w:rsidRDefault="006356F1" w:rsidP="00217400">
            <w:pPr>
              <w:jc w:val="center"/>
              <w:rPr>
                <w:rFonts w:ascii="Arial" w:hAnsi="Arial" w:cs="Arial"/>
                <w:b/>
                <w:sz w:val="22"/>
                <w:szCs w:val="22"/>
              </w:rPr>
            </w:pPr>
            <w:r w:rsidRPr="006847B0">
              <w:rPr>
                <w:rFonts w:ascii="Arial" w:hAnsi="Arial" w:cs="Arial"/>
                <w:b/>
                <w:sz w:val="22"/>
                <w:szCs w:val="22"/>
              </w:rPr>
              <w:t>VALOR DA DÍVIDA (R$)</w:t>
            </w:r>
          </w:p>
        </w:tc>
      </w:tr>
      <w:tr w:rsidR="006356F1" w:rsidRPr="006847B0" w14:paraId="2017CD12" w14:textId="77777777" w:rsidTr="00217400">
        <w:trPr>
          <w:trHeight w:val="225"/>
        </w:trPr>
        <w:tc>
          <w:tcPr>
            <w:tcW w:w="1318" w:type="dxa"/>
            <w:vMerge w:val="restart"/>
          </w:tcPr>
          <w:p w14:paraId="5D203462"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106297635</w:t>
            </w:r>
          </w:p>
        </w:tc>
        <w:tc>
          <w:tcPr>
            <w:tcW w:w="2190" w:type="dxa"/>
            <w:vMerge w:val="restart"/>
          </w:tcPr>
          <w:p w14:paraId="37866FC4"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21.823.063/0001-18</w:t>
            </w:r>
          </w:p>
        </w:tc>
        <w:tc>
          <w:tcPr>
            <w:tcW w:w="2417" w:type="dxa"/>
            <w:vMerge w:val="restart"/>
          </w:tcPr>
          <w:p w14:paraId="3B7A75B7" w14:textId="77777777" w:rsidR="006356F1" w:rsidRPr="006847B0" w:rsidRDefault="006356F1" w:rsidP="00217400">
            <w:pPr>
              <w:jc w:val="center"/>
              <w:rPr>
                <w:rFonts w:ascii="Arial" w:hAnsi="Arial" w:cs="Arial"/>
                <w:sz w:val="22"/>
                <w:szCs w:val="22"/>
              </w:rPr>
            </w:pPr>
            <w:r w:rsidRPr="006847B0">
              <w:rPr>
                <w:rFonts w:ascii="Arial" w:hAnsi="Arial" w:cs="Arial"/>
                <w:color w:val="404040"/>
                <w:sz w:val="22"/>
                <w:szCs w:val="22"/>
                <w:shd w:val="clear" w:color="auto" w:fill="FFFFFF"/>
              </w:rPr>
              <w:t xml:space="preserve">PILAR DE GOIÁS </w:t>
            </w:r>
            <w:r>
              <w:rPr>
                <w:rFonts w:ascii="Arial" w:hAnsi="Arial" w:cs="Arial"/>
                <w:color w:val="404040"/>
                <w:sz w:val="22"/>
                <w:szCs w:val="22"/>
                <w:shd w:val="clear" w:color="auto" w:fill="FFFFFF"/>
              </w:rPr>
              <w:t>DESENVOLVIMENTO MINERAL S/</w:t>
            </w:r>
            <w:r w:rsidRPr="006847B0">
              <w:rPr>
                <w:rFonts w:ascii="Arial" w:hAnsi="Arial" w:cs="Arial"/>
                <w:color w:val="404040"/>
                <w:sz w:val="22"/>
                <w:szCs w:val="22"/>
                <w:shd w:val="clear" w:color="auto" w:fill="FFFFFF"/>
              </w:rPr>
              <w:t>A</w:t>
            </w:r>
          </w:p>
        </w:tc>
        <w:tc>
          <w:tcPr>
            <w:tcW w:w="1694" w:type="dxa"/>
            <w:vMerge w:val="restart"/>
          </w:tcPr>
          <w:p w14:paraId="6402BA35"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00102322016</w:t>
            </w:r>
          </w:p>
        </w:tc>
        <w:tc>
          <w:tcPr>
            <w:tcW w:w="2075" w:type="dxa"/>
            <w:vMerge w:val="restart"/>
          </w:tcPr>
          <w:p w14:paraId="57AE5D18"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POSITIVA – DEMAIS DÉBITOS TRIBUTÁRIOS</w:t>
            </w:r>
          </w:p>
        </w:tc>
        <w:tc>
          <w:tcPr>
            <w:tcW w:w="2127" w:type="dxa"/>
          </w:tcPr>
          <w:p w14:paraId="57363364"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4 19 032204-30</w:t>
            </w:r>
          </w:p>
        </w:tc>
        <w:tc>
          <w:tcPr>
            <w:tcW w:w="1693" w:type="dxa"/>
          </w:tcPr>
          <w:p w14:paraId="555E5CB7"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17.691,19</w:t>
            </w:r>
          </w:p>
        </w:tc>
      </w:tr>
      <w:tr w:rsidR="006356F1" w:rsidRPr="006847B0" w14:paraId="08194710" w14:textId="77777777" w:rsidTr="00217400">
        <w:trPr>
          <w:trHeight w:val="165"/>
        </w:trPr>
        <w:tc>
          <w:tcPr>
            <w:tcW w:w="1318" w:type="dxa"/>
            <w:vMerge/>
          </w:tcPr>
          <w:p w14:paraId="4C22F74B" w14:textId="77777777" w:rsidR="006356F1" w:rsidRPr="006847B0" w:rsidRDefault="006356F1" w:rsidP="00217400">
            <w:pPr>
              <w:jc w:val="center"/>
              <w:rPr>
                <w:rFonts w:ascii="Arial" w:hAnsi="Arial" w:cs="Arial"/>
                <w:sz w:val="22"/>
                <w:szCs w:val="22"/>
              </w:rPr>
            </w:pPr>
          </w:p>
        </w:tc>
        <w:tc>
          <w:tcPr>
            <w:tcW w:w="2190" w:type="dxa"/>
            <w:vMerge/>
          </w:tcPr>
          <w:p w14:paraId="7475C438" w14:textId="77777777" w:rsidR="006356F1" w:rsidRPr="006847B0" w:rsidRDefault="006356F1" w:rsidP="00217400">
            <w:pPr>
              <w:jc w:val="center"/>
              <w:rPr>
                <w:rFonts w:ascii="Arial" w:hAnsi="Arial" w:cs="Arial"/>
                <w:sz w:val="22"/>
                <w:szCs w:val="22"/>
              </w:rPr>
            </w:pPr>
          </w:p>
        </w:tc>
        <w:tc>
          <w:tcPr>
            <w:tcW w:w="2417" w:type="dxa"/>
            <w:vMerge/>
          </w:tcPr>
          <w:p w14:paraId="64F59F96"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3DF83873" w14:textId="77777777" w:rsidR="006356F1" w:rsidRPr="006847B0" w:rsidRDefault="006356F1" w:rsidP="00217400">
            <w:pPr>
              <w:jc w:val="center"/>
              <w:rPr>
                <w:rFonts w:ascii="Arial" w:hAnsi="Arial" w:cs="Arial"/>
                <w:sz w:val="22"/>
                <w:szCs w:val="22"/>
              </w:rPr>
            </w:pPr>
          </w:p>
        </w:tc>
        <w:tc>
          <w:tcPr>
            <w:tcW w:w="2075" w:type="dxa"/>
            <w:vMerge/>
          </w:tcPr>
          <w:p w14:paraId="769A7063" w14:textId="77777777" w:rsidR="006356F1" w:rsidRPr="006847B0" w:rsidRDefault="006356F1" w:rsidP="00217400">
            <w:pPr>
              <w:jc w:val="center"/>
              <w:rPr>
                <w:rFonts w:ascii="Arial" w:hAnsi="Arial" w:cs="Arial"/>
                <w:sz w:val="22"/>
                <w:szCs w:val="22"/>
              </w:rPr>
            </w:pPr>
          </w:p>
        </w:tc>
        <w:tc>
          <w:tcPr>
            <w:tcW w:w="2127" w:type="dxa"/>
          </w:tcPr>
          <w:p w14:paraId="1DD6734A"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3 19 000173-78</w:t>
            </w:r>
          </w:p>
        </w:tc>
        <w:tc>
          <w:tcPr>
            <w:tcW w:w="1693" w:type="dxa"/>
          </w:tcPr>
          <w:p w14:paraId="471191F5"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11.597,54</w:t>
            </w:r>
          </w:p>
        </w:tc>
      </w:tr>
      <w:tr w:rsidR="006356F1" w:rsidRPr="006847B0" w14:paraId="1D19BC4B" w14:textId="77777777" w:rsidTr="00217400">
        <w:trPr>
          <w:trHeight w:val="225"/>
        </w:trPr>
        <w:tc>
          <w:tcPr>
            <w:tcW w:w="1318" w:type="dxa"/>
            <w:vMerge/>
          </w:tcPr>
          <w:p w14:paraId="4CC7E93C" w14:textId="77777777" w:rsidR="006356F1" w:rsidRPr="006847B0" w:rsidRDefault="006356F1" w:rsidP="00217400">
            <w:pPr>
              <w:jc w:val="center"/>
              <w:rPr>
                <w:rFonts w:ascii="Arial" w:hAnsi="Arial" w:cs="Arial"/>
                <w:sz w:val="22"/>
                <w:szCs w:val="22"/>
              </w:rPr>
            </w:pPr>
          </w:p>
        </w:tc>
        <w:tc>
          <w:tcPr>
            <w:tcW w:w="2190" w:type="dxa"/>
            <w:vMerge/>
          </w:tcPr>
          <w:p w14:paraId="2C4B7405" w14:textId="77777777" w:rsidR="006356F1" w:rsidRPr="006847B0" w:rsidRDefault="006356F1" w:rsidP="00217400">
            <w:pPr>
              <w:jc w:val="center"/>
              <w:rPr>
                <w:rFonts w:ascii="Arial" w:hAnsi="Arial" w:cs="Arial"/>
                <w:sz w:val="22"/>
                <w:szCs w:val="22"/>
              </w:rPr>
            </w:pPr>
          </w:p>
        </w:tc>
        <w:tc>
          <w:tcPr>
            <w:tcW w:w="2417" w:type="dxa"/>
            <w:vMerge/>
          </w:tcPr>
          <w:p w14:paraId="65AEB9C2"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7B192E6D" w14:textId="77777777" w:rsidR="006356F1" w:rsidRPr="006847B0" w:rsidRDefault="006356F1" w:rsidP="00217400">
            <w:pPr>
              <w:jc w:val="center"/>
              <w:rPr>
                <w:rFonts w:ascii="Arial" w:hAnsi="Arial" w:cs="Arial"/>
                <w:sz w:val="22"/>
                <w:szCs w:val="22"/>
              </w:rPr>
            </w:pPr>
          </w:p>
        </w:tc>
        <w:tc>
          <w:tcPr>
            <w:tcW w:w="2075" w:type="dxa"/>
            <w:vMerge/>
          </w:tcPr>
          <w:p w14:paraId="1016FB78" w14:textId="77777777" w:rsidR="006356F1" w:rsidRPr="006847B0" w:rsidRDefault="006356F1" w:rsidP="00217400">
            <w:pPr>
              <w:jc w:val="center"/>
              <w:rPr>
                <w:rFonts w:ascii="Arial" w:hAnsi="Arial" w:cs="Arial"/>
                <w:sz w:val="22"/>
                <w:szCs w:val="22"/>
              </w:rPr>
            </w:pPr>
          </w:p>
        </w:tc>
        <w:tc>
          <w:tcPr>
            <w:tcW w:w="2127" w:type="dxa"/>
          </w:tcPr>
          <w:p w14:paraId="5CB9E569"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6 19 020895-64</w:t>
            </w:r>
          </w:p>
        </w:tc>
        <w:tc>
          <w:tcPr>
            <w:tcW w:w="1693" w:type="dxa"/>
          </w:tcPr>
          <w:p w14:paraId="62A2DD89"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10.467,28</w:t>
            </w:r>
          </w:p>
        </w:tc>
      </w:tr>
      <w:tr w:rsidR="006356F1" w:rsidRPr="006847B0" w14:paraId="5568CBBA" w14:textId="77777777" w:rsidTr="00217400">
        <w:trPr>
          <w:trHeight w:val="236"/>
        </w:trPr>
        <w:tc>
          <w:tcPr>
            <w:tcW w:w="1318" w:type="dxa"/>
            <w:vMerge/>
          </w:tcPr>
          <w:p w14:paraId="7F5955D2" w14:textId="77777777" w:rsidR="006356F1" w:rsidRPr="006847B0" w:rsidRDefault="006356F1" w:rsidP="00217400">
            <w:pPr>
              <w:jc w:val="center"/>
              <w:rPr>
                <w:rFonts w:ascii="Arial" w:hAnsi="Arial" w:cs="Arial"/>
                <w:sz w:val="22"/>
                <w:szCs w:val="22"/>
              </w:rPr>
            </w:pPr>
          </w:p>
        </w:tc>
        <w:tc>
          <w:tcPr>
            <w:tcW w:w="2190" w:type="dxa"/>
            <w:vMerge/>
          </w:tcPr>
          <w:p w14:paraId="213E4B8F" w14:textId="77777777" w:rsidR="006356F1" w:rsidRPr="006847B0" w:rsidRDefault="006356F1" w:rsidP="00217400">
            <w:pPr>
              <w:jc w:val="center"/>
              <w:rPr>
                <w:rFonts w:ascii="Arial" w:hAnsi="Arial" w:cs="Arial"/>
                <w:sz w:val="22"/>
                <w:szCs w:val="22"/>
              </w:rPr>
            </w:pPr>
          </w:p>
        </w:tc>
        <w:tc>
          <w:tcPr>
            <w:tcW w:w="2417" w:type="dxa"/>
            <w:vMerge/>
          </w:tcPr>
          <w:p w14:paraId="6DE56093"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13B6C704" w14:textId="77777777" w:rsidR="006356F1" w:rsidRPr="006847B0" w:rsidRDefault="006356F1" w:rsidP="00217400">
            <w:pPr>
              <w:jc w:val="center"/>
              <w:rPr>
                <w:rFonts w:ascii="Arial" w:hAnsi="Arial" w:cs="Arial"/>
                <w:sz w:val="22"/>
                <w:szCs w:val="22"/>
              </w:rPr>
            </w:pPr>
          </w:p>
        </w:tc>
        <w:tc>
          <w:tcPr>
            <w:tcW w:w="2075" w:type="dxa"/>
            <w:vMerge/>
          </w:tcPr>
          <w:p w14:paraId="65FD8F3C" w14:textId="77777777" w:rsidR="006356F1" w:rsidRPr="006847B0" w:rsidRDefault="006356F1" w:rsidP="00217400">
            <w:pPr>
              <w:jc w:val="center"/>
              <w:rPr>
                <w:rFonts w:ascii="Arial" w:hAnsi="Arial" w:cs="Arial"/>
                <w:sz w:val="22"/>
                <w:szCs w:val="22"/>
              </w:rPr>
            </w:pPr>
          </w:p>
        </w:tc>
        <w:tc>
          <w:tcPr>
            <w:tcW w:w="2127" w:type="dxa"/>
          </w:tcPr>
          <w:p w14:paraId="4B6CE622"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7 19 005460-43</w:t>
            </w:r>
          </w:p>
        </w:tc>
        <w:tc>
          <w:tcPr>
            <w:tcW w:w="1693" w:type="dxa"/>
          </w:tcPr>
          <w:p w14:paraId="2BC5916D"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2.063,96</w:t>
            </w:r>
          </w:p>
        </w:tc>
      </w:tr>
      <w:tr w:rsidR="006356F1" w:rsidRPr="006847B0" w14:paraId="18FFB9F3" w14:textId="77777777" w:rsidTr="00217400">
        <w:trPr>
          <w:trHeight w:val="195"/>
        </w:trPr>
        <w:tc>
          <w:tcPr>
            <w:tcW w:w="1318" w:type="dxa"/>
            <w:vMerge w:val="restart"/>
          </w:tcPr>
          <w:p w14:paraId="305C8333"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103208224</w:t>
            </w:r>
          </w:p>
        </w:tc>
        <w:tc>
          <w:tcPr>
            <w:tcW w:w="2190" w:type="dxa"/>
            <w:vMerge w:val="restart"/>
          </w:tcPr>
          <w:p w14:paraId="68221331"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86</w:t>
            </w:r>
            <w:r>
              <w:rPr>
                <w:rFonts w:ascii="Arial" w:hAnsi="Arial" w:cs="Arial"/>
                <w:sz w:val="22"/>
                <w:szCs w:val="22"/>
              </w:rPr>
              <w:t>.</w:t>
            </w:r>
            <w:r w:rsidRPr="006847B0">
              <w:rPr>
                <w:rFonts w:ascii="Arial" w:hAnsi="Arial" w:cs="Arial"/>
                <w:sz w:val="22"/>
                <w:szCs w:val="22"/>
              </w:rPr>
              <w:t>902</w:t>
            </w:r>
            <w:r>
              <w:rPr>
                <w:rFonts w:ascii="Arial" w:hAnsi="Arial" w:cs="Arial"/>
                <w:sz w:val="22"/>
                <w:szCs w:val="22"/>
              </w:rPr>
              <w:t>.</w:t>
            </w:r>
            <w:r w:rsidRPr="006847B0">
              <w:rPr>
                <w:rFonts w:ascii="Arial" w:hAnsi="Arial" w:cs="Arial"/>
                <w:sz w:val="22"/>
                <w:szCs w:val="22"/>
              </w:rPr>
              <w:t>053</w:t>
            </w:r>
            <w:r>
              <w:rPr>
                <w:rFonts w:ascii="Arial" w:hAnsi="Arial" w:cs="Arial"/>
                <w:sz w:val="22"/>
                <w:szCs w:val="22"/>
              </w:rPr>
              <w:t>/</w:t>
            </w:r>
            <w:r w:rsidRPr="006847B0">
              <w:rPr>
                <w:rFonts w:ascii="Arial" w:hAnsi="Arial" w:cs="Arial"/>
                <w:sz w:val="22"/>
                <w:szCs w:val="22"/>
              </w:rPr>
              <w:t>0001</w:t>
            </w:r>
            <w:r>
              <w:rPr>
                <w:rFonts w:ascii="Arial" w:hAnsi="Arial" w:cs="Arial"/>
                <w:sz w:val="22"/>
                <w:szCs w:val="22"/>
              </w:rPr>
              <w:t>-</w:t>
            </w:r>
            <w:r w:rsidRPr="006847B0">
              <w:rPr>
                <w:rFonts w:ascii="Arial" w:hAnsi="Arial" w:cs="Arial"/>
                <w:sz w:val="22"/>
                <w:szCs w:val="22"/>
              </w:rPr>
              <w:t>13</w:t>
            </w:r>
          </w:p>
        </w:tc>
        <w:tc>
          <w:tcPr>
            <w:tcW w:w="2417" w:type="dxa"/>
            <w:vMerge w:val="restart"/>
          </w:tcPr>
          <w:p w14:paraId="7E472C91" w14:textId="77777777" w:rsidR="006356F1" w:rsidRPr="006847B0" w:rsidRDefault="006356F1" w:rsidP="00217400">
            <w:pPr>
              <w:jc w:val="center"/>
              <w:rPr>
                <w:rFonts w:ascii="Arial" w:hAnsi="Arial" w:cs="Arial"/>
                <w:color w:val="404040"/>
                <w:sz w:val="22"/>
                <w:szCs w:val="22"/>
                <w:shd w:val="clear" w:color="auto" w:fill="FFFFFF"/>
              </w:rPr>
            </w:pPr>
            <w:r w:rsidRPr="006847B0">
              <w:rPr>
                <w:rFonts w:ascii="Arial" w:hAnsi="Arial" w:cs="Arial"/>
                <w:color w:val="404040"/>
                <w:sz w:val="22"/>
                <w:szCs w:val="22"/>
                <w:shd w:val="clear" w:color="auto" w:fill="FFFFFF"/>
              </w:rPr>
              <w:t>MINERACAO MARACA INDUSTRIA E COMERCIO SA</w:t>
            </w:r>
          </w:p>
        </w:tc>
        <w:tc>
          <w:tcPr>
            <w:tcW w:w="1694" w:type="dxa"/>
          </w:tcPr>
          <w:p w14:paraId="0B85BADA"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00100582012</w:t>
            </w:r>
          </w:p>
        </w:tc>
        <w:tc>
          <w:tcPr>
            <w:tcW w:w="2075" w:type="dxa"/>
            <w:vMerge w:val="restart"/>
          </w:tcPr>
          <w:p w14:paraId="245E008F"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POSITIVA – DEMAIS DÉBITOS TRIBUTÁRIOS</w:t>
            </w:r>
          </w:p>
        </w:tc>
        <w:tc>
          <w:tcPr>
            <w:tcW w:w="2127" w:type="dxa"/>
          </w:tcPr>
          <w:p w14:paraId="45482CBD"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2 18 001242-80</w:t>
            </w:r>
          </w:p>
        </w:tc>
        <w:tc>
          <w:tcPr>
            <w:tcW w:w="1693" w:type="dxa"/>
          </w:tcPr>
          <w:p w14:paraId="7CE930BD"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6.105.755,66</w:t>
            </w:r>
          </w:p>
        </w:tc>
      </w:tr>
      <w:tr w:rsidR="006356F1" w:rsidRPr="006847B0" w14:paraId="21F4F779" w14:textId="77777777" w:rsidTr="00217400">
        <w:trPr>
          <w:trHeight w:val="70"/>
        </w:trPr>
        <w:tc>
          <w:tcPr>
            <w:tcW w:w="1318" w:type="dxa"/>
            <w:vMerge/>
          </w:tcPr>
          <w:p w14:paraId="258D5959" w14:textId="77777777" w:rsidR="006356F1" w:rsidRPr="006847B0" w:rsidRDefault="006356F1" w:rsidP="00217400">
            <w:pPr>
              <w:jc w:val="center"/>
              <w:rPr>
                <w:rFonts w:ascii="Arial" w:hAnsi="Arial" w:cs="Arial"/>
                <w:sz w:val="22"/>
                <w:szCs w:val="22"/>
              </w:rPr>
            </w:pPr>
          </w:p>
        </w:tc>
        <w:tc>
          <w:tcPr>
            <w:tcW w:w="2190" w:type="dxa"/>
            <w:vMerge/>
          </w:tcPr>
          <w:p w14:paraId="3AA97C68" w14:textId="77777777" w:rsidR="006356F1" w:rsidRPr="006847B0" w:rsidRDefault="006356F1" w:rsidP="00217400">
            <w:pPr>
              <w:jc w:val="center"/>
              <w:rPr>
                <w:rFonts w:ascii="Arial" w:hAnsi="Arial" w:cs="Arial"/>
                <w:sz w:val="22"/>
                <w:szCs w:val="22"/>
              </w:rPr>
            </w:pPr>
          </w:p>
        </w:tc>
        <w:tc>
          <w:tcPr>
            <w:tcW w:w="2417" w:type="dxa"/>
            <w:vMerge/>
          </w:tcPr>
          <w:p w14:paraId="131669CA"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tcPr>
          <w:p w14:paraId="5DE53336"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00100612012</w:t>
            </w:r>
          </w:p>
        </w:tc>
        <w:tc>
          <w:tcPr>
            <w:tcW w:w="2075" w:type="dxa"/>
            <w:vMerge/>
          </w:tcPr>
          <w:p w14:paraId="3CEA8DBD" w14:textId="77777777" w:rsidR="006356F1" w:rsidRPr="006847B0" w:rsidRDefault="006356F1" w:rsidP="00217400">
            <w:pPr>
              <w:jc w:val="center"/>
              <w:rPr>
                <w:rFonts w:ascii="Arial" w:hAnsi="Arial" w:cs="Arial"/>
                <w:sz w:val="22"/>
                <w:szCs w:val="22"/>
              </w:rPr>
            </w:pPr>
          </w:p>
        </w:tc>
        <w:tc>
          <w:tcPr>
            <w:tcW w:w="2127" w:type="dxa"/>
          </w:tcPr>
          <w:p w14:paraId="0D4C4D73"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2 18 001244-42</w:t>
            </w:r>
          </w:p>
        </w:tc>
        <w:tc>
          <w:tcPr>
            <w:tcW w:w="1693" w:type="dxa"/>
          </w:tcPr>
          <w:p w14:paraId="4343FAB0"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5.142.634,29</w:t>
            </w:r>
          </w:p>
        </w:tc>
      </w:tr>
      <w:tr w:rsidR="006356F1" w:rsidRPr="006847B0" w14:paraId="60353B67" w14:textId="77777777" w:rsidTr="00217400">
        <w:trPr>
          <w:trHeight w:val="70"/>
        </w:trPr>
        <w:tc>
          <w:tcPr>
            <w:tcW w:w="1318" w:type="dxa"/>
            <w:vMerge/>
          </w:tcPr>
          <w:p w14:paraId="4DC6A603" w14:textId="77777777" w:rsidR="006356F1" w:rsidRPr="006847B0" w:rsidRDefault="006356F1" w:rsidP="00217400">
            <w:pPr>
              <w:jc w:val="center"/>
              <w:rPr>
                <w:rFonts w:ascii="Arial" w:hAnsi="Arial" w:cs="Arial"/>
                <w:sz w:val="22"/>
                <w:szCs w:val="22"/>
              </w:rPr>
            </w:pPr>
          </w:p>
        </w:tc>
        <w:tc>
          <w:tcPr>
            <w:tcW w:w="2190" w:type="dxa"/>
            <w:vMerge/>
          </w:tcPr>
          <w:p w14:paraId="58DB9EC0" w14:textId="77777777" w:rsidR="006356F1" w:rsidRPr="006847B0" w:rsidRDefault="006356F1" w:rsidP="00217400">
            <w:pPr>
              <w:jc w:val="center"/>
              <w:rPr>
                <w:rFonts w:ascii="Arial" w:hAnsi="Arial" w:cs="Arial"/>
                <w:sz w:val="22"/>
                <w:szCs w:val="22"/>
              </w:rPr>
            </w:pPr>
          </w:p>
        </w:tc>
        <w:tc>
          <w:tcPr>
            <w:tcW w:w="2417" w:type="dxa"/>
            <w:vMerge/>
          </w:tcPr>
          <w:p w14:paraId="7C660789"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tcPr>
          <w:p w14:paraId="713C002A"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00100642005</w:t>
            </w:r>
          </w:p>
        </w:tc>
        <w:tc>
          <w:tcPr>
            <w:tcW w:w="2075" w:type="dxa"/>
            <w:vMerge/>
          </w:tcPr>
          <w:p w14:paraId="25DF2C97" w14:textId="77777777" w:rsidR="006356F1" w:rsidRPr="006847B0" w:rsidRDefault="006356F1" w:rsidP="00217400">
            <w:pPr>
              <w:jc w:val="center"/>
              <w:rPr>
                <w:rFonts w:ascii="Arial" w:hAnsi="Arial" w:cs="Arial"/>
                <w:sz w:val="22"/>
                <w:szCs w:val="22"/>
              </w:rPr>
            </w:pPr>
          </w:p>
        </w:tc>
        <w:tc>
          <w:tcPr>
            <w:tcW w:w="2127" w:type="dxa"/>
          </w:tcPr>
          <w:p w14:paraId="7DBE74E5"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6 18 011817-24</w:t>
            </w:r>
          </w:p>
        </w:tc>
        <w:tc>
          <w:tcPr>
            <w:tcW w:w="1693" w:type="dxa"/>
          </w:tcPr>
          <w:p w14:paraId="0E975F71"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1.988.328,61</w:t>
            </w:r>
          </w:p>
        </w:tc>
      </w:tr>
      <w:tr w:rsidR="006356F1" w:rsidRPr="006847B0" w14:paraId="3E6CA633" w14:textId="77777777" w:rsidTr="00217400">
        <w:trPr>
          <w:trHeight w:val="231"/>
        </w:trPr>
        <w:tc>
          <w:tcPr>
            <w:tcW w:w="1318" w:type="dxa"/>
            <w:vMerge/>
          </w:tcPr>
          <w:p w14:paraId="7534D7F3" w14:textId="77777777" w:rsidR="006356F1" w:rsidRPr="006847B0" w:rsidRDefault="006356F1" w:rsidP="00217400">
            <w:pPr>
              <w:jc w:val="center"/>
              <w:rPr>
                <w:rFonts w:ascii="Arial" w:hAnsi="Arial" w:cs="Arial"/>
                <w:sz w:val="22"/>
                <w:szCs w:val="22"/>
              </w:rPr>
            </w:pPr>
          </w:p>
        </w:tc>
        <w:tc>
          <w:tcPr>
            <w:tcW w:w="2190" w:type="dxa"/>
            <w:vMerge/>
          </w:tcPr>
          <w:p w14:paraId="074D76F3" w14:textId="77777777" w:rsidR="006356F1" w:rsidRPr="006847B0" w:rsidRDefault="006356F1" w:rsidP="00217400">
            <w:pPr>
              <w:jc w:val="center"/>
              <w:rPr>
                <w:rFonts w:ascii="Arial" w:hAnsi="Arial" w:cs="Arial"/>
                <w:sz w:val="22"/>
                <w:szCs w:val="22"/>
              </w:rPr>
            </w:pPr>
          </w:p>
        </w:tc>
        <w:tc>
          <w:tcPr>
            <w:tcW w:w="2417" w:type="dxa"/>
            <w:vMerge/>
          </w:tcPr>
          <w:p w14:paraId="41D8EA85"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val="restart"/>
          </w:tcPr>
          <w:p w14:paraId="39A9CA88"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00101222007</w:t>
            </w:r>
          </w:p>
        </w:tc>
        <w:tc>
          <w:tcPr>
            <w:tcW w:w="2075" w:type="dxa"/>
            <w:vMerge/>
          </w:tcPr>
          <w:p w14:paraId="41CB918F" w14:textId="77777777" w:rsidR="006356F1" w:rsidRPr="006847B0" w:rsidRDefault="006356F1" w:rsidP="00217400">
            <w:pPr>
              <w:jc w:val="center"/>
              <w:rPr>
                <w:rFonts w:ascii="Arial" w:hAnsi="Arial" w:cs="Arial"/>
                <w:sz w:val="22"/>
                <w:szCs w:val="22"/>
              </w:rPr>
            </w:pPr>
          </w:p>
        </w:tc>
        <w:tc>
          <w:tcPr>
            <w:tcW w:w="2127" w:type="dxa"/>
          </w:tcPr>
          <w:p w14:paraId="399BDFBC"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6 19 014132-01</w:t>
            </w:r>
          </w:p>
        </w:tc>
        <w:tc>
          <w:tcPr>
            <w:tcW w:w="1693" w:type="dxa"/>
          </w:tcPr>
          <w:p w14:paraId="2BE2FF66"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1.960.407,06</w:t>
            </w:r>
          </w:p>
        </w:tc>
      </w:tr>
      <w:tr w:rsidR="006356F1" w:rsidRPr="006847B0" w14:paraId="3D89BCF6" w14:textId="77777777" w:rsidTr="00217400">
        <w:trPr>
          <w:trHeight w:val="240"/>
        </w:trPr>
        <w:tc>
          <w:tcPr>
            <w:tcW w:w="1318" w:type="dxa"/>
            <w:vMerge/>
          </w:tcPr>
          <w:p w14:paraId="6930CA91" w14:textId="77777777" w:rsidR="006356F1" w:rsidRPr="006847B0" w:rsidRDefault="006356F1" w:rsidP="00217400">
            <w:pPr>
              <w:jc w:val="center"/>
              <w:rPr>
                <w:rFonts w:ascii="Arial" w:hAnsi="Arial" w:cs="Arial"/>
                <w:sz w:val="22"/>
                <w:szCs w:val="22"/>
              </w:rPr>
            </w:pPr>
          </w:p>
        </w:tc>
        <w:tc>
          <w:tcPr>
            <w:tcW w:w="2190" w:type="dxa"/>
            <w:vMerge/>
          </w:tcPr>
          <w:p w14:paraId="0FD806ED" w14:textId="77777777" w:rsidR="006356F1" w:rsidRPr="006847B0" w:rsidRDefault="006356F1" w:rsidP="00217400">
            <w:pPr>
              <w:jc w:val="center"/>
              <w:rPr>
                <w:rFonts w:ascii="Arial" w:hAnsi="Arial" w:cs="Arial"/>
                <w:sz w:val="22"/>
                <w:szCs w:val="22"/>
              </w:rPr>
            </w:pPr>
          </w:p>
        </w:tc>
        <w:tc>
          <w:tcPr>
            <w:tcW w:w="2417" w:type="dxa"/>
            <w:vMerge/>
          </w:tcPr>
          <w:p w14:paraId="6D8E7B4D"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0E1D2493" w14:textId="77777777" w:rsidR="006356F1" w:rsidRPr="006847B0" w:rsidRDefault="006356F1" w:rsidP="00217400">
            <w:pPr>
              <w:jc w:val="center"/>
              <w:rPr>
                <w:rFonts w:ascii="Arial" w:hAnsi="Arial" w:cs="Arial"/>
                <w:sz w:val="22"/>
                <w:szCs w:val="22"/>
              </w:rPr>
            </w:pPr>
          </w:p>
        </w:tc>
        <w:tc>
          <w:tcPr>
            <w:tcW w:w="2075" w:type="dxa"/>
            <w:vMerge/>
          </w:tcPr>
          <w:p w14:paraId="0F10C896" w14:textId="77777777" w:rsidR="006356F1" w:rsidRPr="006847B0" w:rsidRDefault="006356F1" w:rsidP="00217400">
            <w:pPr>
              <w:jc w:val="center"/>
              <w:rPr>
                <w:rFonts w:ascii="Arial" w:hAnsi="Arial" w:cs="Arial"/>
                <w:sz w:val="22"/>
                <w:szCs w:val="22"/>
              </w:rPr>
            </w:pPr>
          </w:p>
        </w:tc>
        <w:tc>
          <w:tcPr>
            <w:tcW w:w="2127" w:type="dxa"/>
          </w:tcPr>
          <w:p w14:paraId="11EBEA47"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3 19 000127-32</w:t>
            </w:r>
          </w:p>
        </w:tc>
        <w:tc>
          <w:tcPr>
            <w:tcW w:w="1693" w:type="dxa"/>
          </w:tcPr>
          <w:p w14:paraId="228759B8"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1.909.754,82</w:t>
            </w:r>
          </w:p>
        </w:tc>
      </w:tr>
      <w:tr w:rsidR="006356F1" w:rsidRPr="006847B0" w14:paraId="6513AE38" w14:textId="77777777" w:rsidTr="00217400">
        <w:trPr>
          <w:trHeight w:val="210"/>
        </w:trPr>
        <w:tc>
          <w:tcPr>
            <w:tcW w:w="1318" w:type="dxa"/>
            <w:vMerge/>
          </w:tcPr>
          <w:p w14:paraId="68231064" w14:textId="77777777" w:rsidR="006356F1" w:rsidRPr="006847B0" w:rsidRDefault="006356F1" w:rsidP="00217400">
            <w:pPr>
              <w:jc w:val="center"/>
              <w:rPr>
                <w:rFonts w:ascii="Arial" w:hAnsi="Arial" w:cs="Arial"/>
                <w:sz w:val="22"/>
                <w:szCs w:val="22"/>
              </w:rPr>
            </w:pPr>
          </w:p>
        </w:tc>
        <w:tc>
          <w:tcPr>
            <w:tcW w:w="2190" w:type="dxa"/>
            <w:vMerge/>
          </w:tcPr>
          <w:p w14:paraId="2438C32B" w14:textId="77777777" w:rsidR="006356F1" w:rsidRPr="006847B0" w:rsidRDefault="006356F1" w:rsidP="00217400">
            <w:pPr>
              <w:jc w:val="center"/>
              <w:rPr>
                <w:rFonts w:ascii="Arial" w:hAnsi="Arial" w:cs="Arial"/>
                <w:sz w:val="22"/>
                <w:szCs w:val="22"/>
              </w:rPr>
            </w:pPr>
          </w:p>
        </w:tc>
        <w:tc>
          <w:tcPr>
            <w:tcW w:w="2417" w:type="dxa"/>
            <w:vMerge/>
          </w:tcPr>
          <w:p w14:paraId="30A3FF3F"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1E83D753" w14:textId="77777777" w:rsidR="006356F1" w:rsidRPr="006847B0" w:rsidRDefault="006356F1" w:rsidP="00217400">
            <w:pPr>
              <w:jc w:val="center"/>
              <w:rPr>
                <w:rFonts w:ascii="Arial" w:hAnsi="Arial" w:cs="Arial"/>
                <w:sz w:val="22"/>
                <w:szCs w:val="22"/>
              </w:rPr>
            </w:pPr>
          </w:p>
        </w:tc>
        <w:tc>
          <w:tcPr>
            <w:tcW w:w="2075" w:type="dxa"/>
            <w:vMerge/>
          </w:tcPr>
          <w:p w14:paraId="42E850E9" w14:textId="77777777" w:rsidR="006356F1" w:rsidRPr="006847B0" w:rsidRDefault="006356F1" w:rsidP="00217400">
            <w:pPr>
              <w:jc w:val="center"/>
              <w:rPr>
                <w:rFonts w:ascii="Arial" w:hAnsi="Arial" w:cs="Arial"/>
                <w:sz w:val="22"/>
                <w:szCs w:val="22"/>
              </w:rPr>
            </w:pPr>
          </w:p>
        </w:tc>
        <w:tc>
          <w:tcPr>
            <w:tcW w:w="2127" w:type="dxa"/>
          </w:tcPr>
          <w:p w14:paraId="6574D89A"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2 18 001241-08</w:t>
            </w:r>
          </w:p>
        </w:tc>
        <w:tc>
          <w:tcPr>
            <w:tcW w:w="1693" w:type="dxa"/>
          </w:tcPr>
          <w:p w14:paraId="4EA6839B"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1.325.591,65</w:t>
            </w:r>
          </w:p>
        </w:tc>
      </w:tr>
      <w:tr w:rsidR="006356F1" w:rsidRPr="006847B0" w14:paraId="18EE04DA" w14:textId="77777777" w:rsidTr="00217400">
        <w:trPr>
          <w:trHeight w:val="195"/>
        </w:trPr>
        <w:tc>
          <w:tcPr>
            <w:tcW w:w="1318" w:type="dxa"/>
            <w:vMerge/>
          </w:tcPr>
          <w:p w14:paraId="3F0F7D2D" w14:textId="77777777" w:rsidR="006356F1" w:rsidRPr="006847B0" w:rsidRDefault="006356F1" w:rsidP="00217400">
            <w:pPr>
              <w:jc w:val="center"/>
              <w:rPr>
                <w:rFonts w:ascii="Arial" w:hAnsi="Arial" w:cs="Arial"/>
                <w:sz w:val="22"/>
                <w:szCs w:val="22"/>
              </w:rPr>
            </w:pPr>
          </w:p>
        </w:tc>
        <w:tc>
          <w:tcPr>
            <w:tcW w:w="2190" w:type="dxa"/>
            <w:vMerge/>
          </w:tcPr>
          <w:p w14:paraId="5041F13A" w14:textId="77777777" w:rsidR="006356F1" w:rsidRPr="006847B0" w:rsidRDefault="006356F1" w:rsidP="00217400">
            <w:pPr>
              <w:jc w:val="center"/>
              <w:rPr>
                <w:rFonts w:ascii="Arial" w:hAnsi="Arial" w:cs="Arial"/>
                <w:sz w:val="22"/>
                <w:szCs w:val="22"/>
              </w:rPr>
            </w:pPr>
          </w:p>
        </w:tc>
        <w:tc>
          <w:tcPr>
            <w:tcW w:w="2417" w:type="dxa"/>
            <w:vMerge/>
          </w:tcPr>
          <w:p w14:paraId="0CD01BA9"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26C1D0DA" w14:textId="77777777" w:rsidR="006356F1" w:rsidRPr="006847B0" w:rsidRDefault="006356F1" w:rsidP="00217400">
            <w:pPr>
              <w:jc w:val="center"/>
              <w:rPr>
                <w:rFonts w:ascii="Arial" w:hAnsi="Arial" w:cs="Arial"/>
                <w:sz w:val="22"/>
                <w:szCs w:val="22"/>
              </w:rPr>
            </w:pPr>
          </w:p>
        </w:tc>
        <w:tc>
          <w:tcPr>
            <w:tcW w:w="2075" w:type="dxa"/>
            <w:vMerge/>
          </w:tcPr>
          <w:p w14:paraId="74760658" w14:textId="77777777" w:rsidR="006356F1" w:rsidRPr="006847B0" w:rsidRDefault="006356F1" w:rsidP="00217400">
            <w:pPr>
              <w:jc w:val="center"/>
              <w:rPr>
                <w:rFonts w:ascii="Arial" w:hAnsi="Arial" w:cs="Arial"/>
                <w:sz w:val="22"/>
                <w:szCs w:val="22"/>
              </w:rPr>
            </w:pPr>
          </w:p>
        </w:tc>
        <w:tc>
          <w:tcPr>
            <w:tcW w:w="2127" w:type="dxa"/>
          </w:tcPr>
          <w:p w14:paraId="6EDE6549"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2 18 001243-61</w:t>
            </w:r>
          </w:p>
        </w:tc>
        <w:tc>
          <w:tcPr>
            <w:tcW w:w="1693" w:type="dxa"/>
          </w:tcPr>
          <w:p w14:paraId="64E0A385"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1.116.492,93</w:t>
            </w:r>
          </w:p>
        </w:tc>
      </w:tr>
      <w:tr w:rsidR="006356F1" w:rsidRPr="006847B0" w14:paraId="61FB609D" w14:textId="77777777" w:rsidTr="00217400">
        <w:trPr>
          <w:trHeight w:val="210"/>
        </w:trPr>
        <w:tc>
          <w:tcPr>
            <w:tcW w:w="1318" w:type="dxa"/>
            <w:vMerge/>
          </w:tcPr>
          <w:p w14:paraId="7E3CE95F" w14:textId="77777777" w:rsidR="006356F1" w:rsidRPr="006847B0" w:rsidRDefault="006356F1" w:rsidP="00217400">
            <w:pPr>
              <w:jc w:val="center"/>
              <w:rPr>
                <w:rFonts w:ascii="Arial" w:hAnsi="Arial" w:cs="Arial"/>
                <w:sz w:val="22"/>
                <w:szCs w:val="22"/>
              </w:rPr>
            </w:pPr>
          </w:p>
        </w:tc>
        <w:tc>
          <w:tcPr>
            <w:tcW w:w="2190" w:type="dxa"/>
            <w:vMerge/>
          </w:tcPr>
          <w:p w14:paraId="01D1DAF9" w14:textId="77777777" w:rsidR="006356F1" w:rsidRPr="006847B0" w:rsidRDefault="006356F1" w:rsidP="00217400">
            <w:pPr>
              <w:jc w:val="center"/>
              <w:rPr>
                <w:rFonts w:ascii="Arial" w:hAnsi="Arial" w:cs="Arial"/>
                <w:sz w:val="22"/>
                <w:szCs w:val="22"/>
              </w:rPr>
            </w:pPr>
          </w:p>
        </w:tc>
        <w:tc>
          <w:tcPr>
            <w:tcW w:w="2417" w:type="dxa"/>
            <w:vMerge/>
          </w:tcPr>
          <w:p w14:paraId="6ACA46DD"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6D0D8645" w14:textId="77777777" w:rsidR="006356F1" w:rsidRPr="006847B0" w:rsidRDefault="006356F1" w:rsidP="00217400">
            <w:pPr>
              <w:jc w:val="center"/>
              <w:rPr>
                <w:rFonts w:ascii="Arial" w:hAnsi="Arial" w:cs="Arial"/>
                <w:sz w:val="22"/>
                <w:szCs w:val="22"/>
              </w:rPr>
            </w:pPr>
          </w:p>
        </w:tc>
        <w:tc>
          <w:tcPr>
            <w:tcW w:w="2075" w:type="dxa"/>
            <w:vMerge/>
          </w:tcPr>
          <w:p w14:paraId="3AE4EAE5" w14:textId="77777777" w:rsidR="006356F1" w:rsidRPr="006847B0" w:rsidRDefault="006356F1" w:rsidP="00217400">
            <w:pPr>
              <w:jc w:val="center"/>
              <w:rPr>
                <w:rFonts w:ascii="Arial" w:hAnsi="Arial" w:cs="Arial"/>
                <w:sz w:val="22"/>
                <w:szCs w:val="22"/>
              </w:rPr>
            </w:pPr>
          </w:p>
        </w:tc>
        <w:tc>
          <w:tcPr>
            <w:tcW w:w="2127" w:type="dxa"/>
          </w:tcPr>
          <w:p w14:paraId="7B142755"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2 18 001246-04</w:t>
            </w:r>
          </w:p>
        </w:tc>
        <w:tc>
          <w:tcPr>
            <w:tcW w:w="1693" w:type="dxa"/>
          </w:tcPr>
          <w:p w14:paraId="4F35E768"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550.154,28</w:t>
            </w:r>
          </w:p>
        </w:tc>
      </w:tr>
      <w:tr w:rsidR="006356F1" w:rsidRPr="006847B0" w14:paraId="00E3BA40" w14:textId="77777777" w:rsidTr="00217400">
        <w:trPr>
          <w:trHeight w:val="70"/>
        </w:trPr>
        <w:tc>
          <w:tcPr>
            <w:tcW w:w="1318" w:type="dxa"/>
            <w:vMerge/>
          </w:tcPr>
          <w:p w14:paraId="03B64D17" w14:textId="77777777" w:rsidR="006356F1" w:rsidRPr="006847B0" w:rsidRDefault="006356F1" w:rsidP="00217400">
            <w:pPr>
              <w:jc w:val="center"/>
              <w:rPr>
                <w:rFonts w:ascii="Arial" w:hAnsi="Arial" w:cs="Arial"/>
                <w:sz w:val="22"/>
                <w:szCs w:val="22"/>
              </w:rPr>
            </w:pPr>
          </w:p>
        </w:tc>
        <w:tc>
          <w:tcPr>
            <w:tcW w:w="2190" w:type="dxa"/>
            <w:vMerge/>
          </w:tcPr>
          <w:p w14:paraId="03B82DF9" w14:textId="77777777" w:rsidR="006356F1" w:rsidRPr="006847B0" w:rsidRDefault="006356F1" w:rsidP="00217400">
            <w:pPr>
              <w:jc w:val="center"/>
              <w:rPr>
                <w:rFonts w:ascii="Arial" w:hAnsi="Arial" w:cs="Arial"/>
                <w:sz w:val="22"/>
                <w:szCs w:val="22"/>
              </w:rPr>
            </w:pPr>
          </w:p>
        </w:tc>
        <w:tc>
          <w:tcPr>
            <w:tcW w:w="2417" w:type="dxa"/>
            <w:vMerge/>
          </w:tcPr>
          <w:p w14:paraId="4BC848ED"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5DA29106" w14:textId="77777777" w:rsidR="006356F1" w:rsidRPr="006847B0" w:rsidRDefault="006356F1" w:rsidP="00217400">
            <w:pPr>
              <w:jc w:val="center"/>
              <w:rPr>
                <w:rFonts w:ascii="Arial" w:hAnsi="Arial" w:cs="Arial"/>
                <w:sz w:val="22"/>
                <w:szCs w:val="22"/>
              </w:rPr>
            </w:pPr>
          </w:p>
        </w:tc>
        <w:tc>
          <w:tcPr>
            <w:tcW w:w="2075" w:type="dxa"/>
            <w:vMerge/>
          </w:tcPr>
          <w:p w14:paraId="40A286B8" w14:textId="77777777" w:rsidR="006356F1" w:rsidRPr="006847B0" w:rsidRDefault="006356F1" w:rsidP="00217400">
            <w:pPr>
              <w:jc w:val="center"/>
              <w:rPr>
                <w:rFonts w:ascii="Arial" w:hAnsi="Arial" w:cs="Arial"/>
                <w:sz w:val="22"/>
                <w:szCs w:val="22"/>
              </w:rPr>
            </w:pPr>
          </w:p>
        </w:tc>
        <w:tc>
          <w:tcPr>
            <w:tcW w:w="2127" w:type="dxa"/>
          </w:tcPr>
          <w:p w14:paraId="36171E21"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7 19 004323-82</w:t>
            </w:r>
          </w:p>
        </w:tc>
        <w:tc>
          <w:tcPr>
            <w:tcW w:w="1693" w:type="dxa"/>
          </w:tcPr>
          <w:p w14:paraId="2FEBB74C"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425.614,77</w:t>
            </w:r>
          </w:p>
        </w:tc>
      </w:tr>
      <w:tr w:rsidR="006356F1" w:rsidRPr="006847B0" w14:paraId="3BB15495" w14:textId="77777777" w:rsidTr="00217400">
        <w:trPr>
          <w:trHeight w:val="206"/>
        </w:trPr>
        <w:tc>
          <w:tcPr>
            <w:tcW w:w="1318" w:type="dxa"/>
            <w:vMerge/>
          </w:tcPr>
          <w:p w14:paraId="3B6CE259" w14:textId="77777777" w:rsidR="006356F1" w:rsidRPr="006847B0" w:rsidRDefault="006356F1" w:rsidP="00217400">
            <w:pPr>
              <w:jc w:val="center"/>
              <w:rPr>
                <w:rFonts w:ascii="Arial" w:hAnsi="Arial" w:cs="Arial"/>
                <w:sz w:val="22"/>
                <w:szCs w:val="22"/>
              </w:rPr>
            </w:pPr>
          </w:p>
        </w:tc>
        <w:tc>
          <w:tcPr>
            <w:tcW w:w="2190" w:type="dxa"/>
            <w:vMerge/>
          </w:tcPr>
          <w:p w14:paraId="5B34338B" w14:textId="77777777" w:rsidR="006356F1" w:rsidRPr="006847B0" w:rsidRDefault="006356F1" w:rsidP="00217400">
            <w:pPr>
              <w:jc w:val="center"/>
              <w:rPr>
                <w:rFonts w:ascii="Arial" w:hAnsi="Arial" w:cs="Arial"/>
                <w:sz w:val="22"/>
                <w:szCs w:val="22"/>
              </w:rPr>
            </w:pPr>
          </w:p>
        </w:tc>
        <w:tc>
          <w:tcPr>
            <w:tcW w:w="2417" w:type="dxa"/>
            <w:vMerge/>
          </w:tcPr>
          <w:p w14:paraId="7CAA3E2C"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2A2026A8" w14:textId="77777777" w:rsidR="006356F1" w:rsidRPr="006847B0" w:rsidRDefault="006356F1" w:rsidP="00217400">
            <w:pPr>
              <w:jc w:val="center"/>
              <w:rPr>
                <w:rFonts w:ascii="Arial" w:hAnsi="Arial" w:cs="Arial"/>
                <w:sz w:val="22"/>
                <w:szCs w:val="22"/>
              </w:rPr>
            </w:pPr>
          </w:p>
        </w:tc>
        <w:tc>
          <w:tcPr>
            <w:tcW w:w="2075" w:type="dxa"/>
            <w:vMerge/>
          </w:tcPr>
          <w:p w14:paraId="2E77BA7F" w14:textId="77777777" w:rsidR="006356F1" w:rsidRPr="006847B0" w:rsidRDefault="006356F1" w:rsidP="00217400">
            <w:pPr>
              <w:jc w:val="center"/>
              <w:rPr>
                <w:rFonts w:ascii="Arial" w:hAnsi="Arial" w:cs="Arial"/>
                <w:sz w:val="22"/>
                <w:szCs w:val="22"/>
              </w:rPr>
            </w:pPr>
          </w:p>
        </w:tc>
        <w:tc>
          <w:tcPr>
            <w:tcW w:w="2127" w:type="dxa"/>
          </w:tcPr>
          <w:p w14:paraId="423A6E35"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6 18 011815-62</w:t>
            </w:r>
          </w:p>
        </w:tc>
        <w:tc>
          <w:tcPr>
            <w:tcW w:w="1693" w:type="dxa"/>
          </w:tcPr>
          <w:p w14:paraId="56A2B973"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418.938,91</w:t>
            </w:r>
          </w:p>
        </w:tc>
      </w:tr>
      <w:tr w:rsidR="006356F1" w:rsidRPr="006847B0" w14:paraId="4AB164E7" w14:textId="77777777" w:rsidTr="00217400">
        <w:trPr>
          <w:trHeight w:val="70"/>
        </w:trPr>
        <w:tc>
          <w:tcPr>
            <w:tcW w:w="1318" w:type="dxa"/>
            <w:vMerge/>
          </w:tcPr>
          <w:p w14:paraId="1D06AFDF" w14:textId="77777777" w:rsidR="006356F1" w:rsidRPr="006847B0" w:rsidRDefault="006356F1" w:rsidP="00217400">
            <w:pPr>
              <w:jc w:val="center"/>
              <w:rPr>
                <w:rFonts w:ascii="Arial" w:hAnsi="Arial" w:cs="Arial"/>
                <w:sz w:val="22"/>
                <w:szCs w:val="22"/>
              </w:rPr>
            </w:pPr>
          </w:p>
        </w:tc>
        <w:tc>
          <w:tcPr>
            <w:tcW w:w="2190" w:type="dxa"/>
            <w:vMerge/>
          </w:tcPr>
          <w:p w14:paraId="2495CC64" w14:textId="77777777" w:rsidR="006356F1" w:rsidRPr="006847B0" w:rsidRDefault="006356F1" w:rsidP="00217400">
            <w:pPr>
              <w:jc w:val="center"/>
              <w:rPr>
                <w:rFonts w:ascii="Arial" w:hAnsi="Arial" w:cs="Arial"/>
                <w:sz w:val="22"/>
                <w:szCs w:val="22"/>
              </w:rPr>
            </w:pPr>
          </w:p>
        </w:tc>
        <w:tc>
          <w:tcPr>
            <w:tcW w:w="2417" w:type="dxa"/>
            <w:vMerge/>
          </w:tcPr>
          <w:p w14:paraId="21CECBA8"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1567AFC5" w14:textId="77777777" w:rsidR="006356F1" w:rsidRPr="006847B0" w:rsidRDefault="006356F1" w:rsidP="00217400">
            <w:pPr>
              <w:jc w:val="center"/>
              <w:rPr>
                <w:rFonts w:ascii="Arial" w:hAnsi="Arial" w:cs="Arial"/>
                <w:sz w:val="22"/>
                <w:szCs w:val="22"/>
              </w:rPr>
            </w:pPr>
          </w:p>
        </w:tc>
        <w:tc>
          <w:tcPr>
            <w:tcW w:w="2075" w:type="dxa"/>
            <w:vMerge/>
          </w:tcPr>
          <w:p w14:paraId="45CED3D6" w14:textId="77777777" w:rsidR="006356F1" w:rsidRPr="006847B0" w:rsidRDefault="006356F1" w:rsidP="00217400">
            <w:pPr>
              <w:jc w:val="center"/>
              <w:rPr>
                <w:rFonts w:ascii="Arial" w:hAnsi="Arial" w:cs="Arial"/>
                <w:sz w:val="22"/>
                <w:szCs w:val="22"/>
              </w:rPr>
            </w:pPr>
          </w:p>
        </w:tc>
        <w:tc>
          <w:tcPr>
            <w:tcW w:w="2127" w:type="dxa"/>
          </w:tcPr>
          <w:p w14:paraId="2AA18638"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2 18 001245-23</w:t>
            </w:r>
          </w:p>
        </w:tc>
        <w:tc>
          <w:tcPr>
            <w:tcW w:w="1693" w:type="dxa"/>
          </w:tcPr>
          <w:p w14:paraId="11A6E525"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382.576,82</w:t>
            </w:r>
          </w:p>
        </w:tc>
      </w:tr>
      <w:tr w:rsidR="006356F1" w:rsidRPr="006847B0" w14:paraId="7E713AAD" w14:textId="77777777" w:rsidTr="00217400">
        <w:trPr>
          <w:trHeight w:val="191"/>
        </w:trPr>
        <w:tc>
          <w:tcPr>
            <w:tcW w:w="1318" w:type="dxa"/>
            <w:vMerge/>
          </w:tcPr>
          <w:p w14:paraId="1278CF0F" w14:textId="77777777" w:rsidR="006356F1" w:rsidRPr="006847B0" w:rsidRDefault="006356F1" w:rsidP="00217400">
            <w:pPr>
              <w:jc w:val="center"/>
              <w:rPr>
                <w:rFonts w:ascii="Arial" w:hAnsi="Arial" w:cs="Arial"/>
                <w:sz w:val="22"/>
                <w:szCs w:val="22"/>
              </w:rPr>
            </w:pPr>
          </w:p>
        </w:tc>
        <w:tc>
          <w:tcPr>
            <w:tcW w:w="2190" w:type="dxa"/>
            <w:vMerge/>
          </w:tcPr>
          <w:p w14:paraId="3FAC1D75" w14:textId="77777777" w:rsidR="006356F1" w:rsidRPr="006847B0" w:rsidRDefault="006356F1" w:rsidP="00217400">
            <w:pPr>
              <w:jc w:val="center"/>
              <w:rPr>
                <w:rFonts w:ascii="Arial" w:hAnsi="Arial" w:cs="Arial"/>
                <w:sz w:val="22"/>
                <w:szCs w:val="22"/>
              </w:rPr>
            </w:pPr>
          </w:p>
        </w:tc>
        <w:tc>
          <w:tcPr>
            <w:tcW w:w="2417" w:type="dxa"/>
            <w:vMerge/>
          </w:tcPr>
          <w:p w14:paraId="48F2F562"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2BBC8F50" w14:textId="77777777" w:rsidR="006356F1" w:rsidRPr="006847B0" w:rsidRDefault="006356F1" w:rsidP="00217400">
            <w:pPr>
              <w:jc w:val="center"/>
              <w:rPr>
                <w:rFonts w:ascii="Arial" w:hAnsi="Arial" w:cs="Arial"/>
                <w:sz w:val="22"/>
                <w:szCs w:val="22"/>
              </w:rPr>
            </w:pPr>
          </w:p>
        </w:tc>
        <w:tc>
          <w:tcPr>
            <w:tcW w:w="2075" w:type="dxa"/>
            <w:vMerge/>
          </w:tcPr>
          <w:p w14:paraId="7BD2BA50" w14:textId="77777777" w:rsidR="006356F1" w:rsidRPr="006847B0" w:rsidRDefault="006356F1" w:rsidP="00217400">
            <w:pPr>
              <w:jc w:val="center"/>
              <w:rPr>
                <w:rFonts w:ascii="Arial" w:hAnsi="Arial" w:cs="Arial"/>
                <w:sz w:val="22"/>
                <w:szCs w:val="22"/>
              </w:rPr>
            </w:pPr>
          </w:p>
        </w:tc>
        <w:tc>
          <w:tcPr>
            <w:tcW w:w="2127" w:type="dxa"/>
          </w:tcPr>
          <w:p w14:paraId="5E428F7D"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7 18 000993-20</w:t>
            </w:r>
          </w:p>
        </w:tc>
        <w:tc>
          <w:tcPr>
            <w:tcW w:w="1693" w:type="dxa"/>
          </w:tcPr>
          <w:p w14:paraId="3A879523"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358.892,80</w:t>
            </w:r>
          </w:p>
        </w:tc>
      </w:tr>
      <w:tr w:rsidR="006356F1" w:rsidRPr="006847B0" w14:paraId="18B40C3D" w14:textId="77777777" w:rsidTr="00217400">
        <w:trPr>
          <w:trHeight w:val="100"/>
        </w:trPr>
        <w:tc>
          <w:tcPr>
            <w:tcW w:w="1318" w:type="dxa"/>
            <w:vMerge/>
          </w:tcPr>
          <w:p w14:paraId="58E4EC51" w14:textId="77777777" w:rsidR="006356F1" w:rsidRPr="006847B0" w:rsidRDefault="006356F1" w:rsidP="00217400">
            <w:pPr>
              <w:jc w:val="center"/>
              <w:rPr>
                <w:rFonts w:ascii="Arial" w:hAnsi="Arial" w:cs="Arial"/>
                <w:sz w:val="22"/>
                <w:szCs w:val="22"/>
              </w:rPr>
            </w:pPr>
          </w:p>
        </w:tc>
        <w:tc>
          <w:tcPr>
            <w:tcW w:w="2190" w:type="dxa"/>
            <w:vMerge/>
          </w:tcPr>
          <w:p w14:paraId="614AC7CD" w14:textId="77777777" w:rsidR="006356F1" w:rsidRPr="006847B0" w:rsidRDefault="006356F1" w:rsidP="00217400">
            <w:pPr>
              <w:jc w:val="center"/>
              <w:rPr>
                <w:rFonts w:ascii="Arial" w:hAnsi="Arial" w:cs="Arial"/>
                <w:sz w:val="22"/>
                <w:szCs w:val="22"/>
              </w:rPr>
            </w:pPr>
          </w:p>
        </w:tc>
        <w:tc>
          <w:tcPr>
            <w:tcW w:w="2417" w:type="dxa"/>
            <w:vMerge/>
          </w:tcPr>
          <w:p w14:paraId="0CDFDE4A"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035F760F" w14:textId="77777777" w:rsidR="006356F1" w:rsidRPr="006847B0" w:rsidRDefault="006356F1" w:rsidP="00217400">
            <w:pPr>
              <w:jc w:val="center"/>
              <w:rPr>
                <w:rFonts w:ascii="Arial" w:hAnsi="Arial" w:cs="Arial"/>
                <w:sz w:val="22"/>
                <w:szCs w:val="22"/>
              </w:rPr>
            </w:pPr>
          </w:p>
        </w:tc>
        <w:tc>
          <w:tcPr>
            <w:tcW w:w="2075" w:type="dxa"/>
            <w:vMerge/>
          </w:tcPr>
          <w:p w14:paraId="0040C145" w14:textId="77777777" w:rsidR="006356F1" w:rsidRPr="006847B0" w:rsidRDefault="006356F1" w:rsidP="00217400">
            <w:pPr>
              <w:jc w:val="center"/>
              <w:rPr>
                <w:rFonts w:ascii="Arial" w:hAnsi="Arial" w:cs="Arial"/>
                <w:sz w:val="22"/>
                <w:szCs w:val="22"/>
              </w:rPr>
            </w:pPr>
          </w:p>
        </w:tc>
        <w:tc>
          <w:tcPr>
            <w:tcW w:w="2127" w:type="dxa"/>
          </w:tcPr>
          <w:p w14:paraId="4F4320CC"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6 18 011818-05</w:t>
            </w:r>
          </w:p>
        </w:tc>
        <w:tc>
          <w:tcPr>
            <w:tcW w:w="1693" w:type="dxa"/>
          </w:tcPr>
          <w:p w14:paraId="5D4E1CCF"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352.855,52</w:t>
            </w:r>
          </w:p>
        </w:tc>
      </w:tr>
      <w:tr w:rsidR="006356F1" w:rsidRPr="006847B0" w14:paraId="4F6B5642" w14:textId="77777777" w:rsidTr="00217400">
        <w:trPr>
          <w:trHeight w:val="195"/>
        </w:trPr>
        <w:tc>
          <w:tcPr>
            <w:tcW w:w="1318" w:type="dxa"/>
            <w:vMerge/>
          </w:tcPr>
          <w:p w14:paraId="4E464E3C" w14:textId="77777777" w:rsidR="006356F1" w:rsidRPr="006847B0" w:rsidRDefault="006356F1" w:rsidP="00217400">
            <w:pPr>
              <w:jc w:val="center"/>
              <w:rPr>
                <w:rFonts w:ascii="Arial" w:hAnsi="Arial" w:cs="Arial"/>
                <w:sz w:val="22"/>
                <w:szCs w:val="22"/>
              </w:rPr>
            </w:pPr>
          </w:p>
        </w:tc>
        <w:tc>
          <w:tcPr>
            <w:tcW w:w="2190" w:type="dxa"/>
            <w:vMerge/>
          </w:tcPr>
          <w:p w14:paraId="7A3437F9" w14:textId="77777777" w:rsidR="006356F1" w:rsidRPr="006847B0" w:rsidRDefault="006356F1" w:rsidP="00217400">
            <w:pPr>
              <w:jc w:val="center"/>
              <w:rPr>
                <w:rFonts w:ascii="Arial" w:hAnsi="Arial" w:cs="Arial"/>
                <w:sz w:val="22"/>
                <w:szCs w:val="22"/>
              </w:rPr>
            </w:pPr>
          </w:p>
        </w:tc>
        <w:tc>
          <w:tcPr>
            <w:tcW w:w="2417" w:type="dxa"/>
            <w:vMerge/>
          </w:tcPr>
          <w:p w14:paraId="4054460A"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7C0FCDC3" w14:textId="77777777" w:rsidR="006356F1" w:rsidRPr="006847B0" w:rsidRDefault="006356F1" w:rsidP="00217400">
            <w:pPr>
              <w:jc w:val="center"/>
              <w:rPr>
                <w:rFonts w:ascii="Arial" w:hAnsi="Arial" w:cs="Arial"/>
                <w:sz w:val="22"/>
                <w:szCs w:val="22"/>
              </w:rPr>
            </w:pPr>
          </w:p>
        </w:tc>
        <w:tc>
          <w:tcPr>
            <w:tcW w:w="2075" w:type="dxa"/>
            <w:vMerge/>
          </w:tcPr>
          <w:p w14:paraId="0555B3C5" w14:textId="77777777" w:rsidR="006356F1" w:rsidRPr="006847B0" w:rsidRDefault="006356F1" w:rsidP="00217400">
            <w:pPr>
              <w:jc w:val="center"/>
              <w:rPr>
                <w:rFonts w:ascii="Arial" w:hAnsi="Arial" w:cs="Arial"/>
                <w:sz w:val="22"/>
                <w:szCs w:val="22"/>
              </w:rPr>
            </w:pPr>
          </w:p>
        </w:tc>
        <w:tc>
          <w:tcPr>
            <w:tcW w:w="2127" w:type="dxa"/>
          </w:tcPr>
          <w:p w14:paraId="43DE3ED8"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6 18 013109-82</w:t>
            </w:r>
          </w:p>
        </w:tc>
        <w:tc>
          <w:tcPr>
            <w:tcW w:w="1693" w:type="dxa"/>
          </w:tcPr>
          <w:p w14:paraId="401DB9BD"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291.658,26</w:t>
            </w:r>
          </w:p>
        </w:tc>
      </w:tr>
      <w:tr w:rsidR="006356F1" w:rsidRPr="006847B0" w14:paraId="19E87041" w14:textId="77777777" w:rsidTr="00217400">
        <w:trPr>
          <w:trHeight w:val="70"/>
        </w:trPr>
        <w:tc>
          <w:tcPr>
            <w:tcW w:w="1318" w:type="dxa"/>
            <w:vMerge/>
          </w:tcPr>
          <w:p w14:paraId="63D91092" w14:textId="77777777" w:rsidR="006356F1" w:rsidRPr="006847B0" w:rsidRDefault="006356F1" w:rsidP="00217400">
            <w:pPr>
              <w:jc w:val="center"/>
              <w:rPr>
                <w:rFonts w:ascii="Arial" w:hAnsi="Arial" w:cs="Arial"/>
                <w:sz w:val="22"/>
                <w:szCs w:val="22"/>
              </w:rPr>
            </w:pPr>
          </w:p>
        </w:tc>
        <w:tc>
          <w:tcPr>
            <w:tcW w:w="2190" w:type="dxa"/>
            <w:vMerge/>
          </w:tcPr>
          <w:p w14:paraId="195D8EC7" w14:textId="77777777" w:rsidR="006356F1" w:rsidRPr="006847B0" w:rsidRDefault="006356F1" w:rsidP="00217400">
            <w:pPr>
              <w:jc w:val="center"/>
              <w:rPr>
                <w:rFonts w:ascii="Arial" w:hAnsi="Arial" w:cs="Arial"/>
                <w:sz w:val="22"/>
                <w:szCs w:val="22"/>
              </w:rPr>
            </w:pPr>
          </w:p>
        </w:tc>
        <w:tc>
          <w:tcPr>
            <w:tcW w:w="2417" w:type="dxa"/>
            <w:vMerge/>
          </w:tcPr>
          <w:p w14:paraId="353B24B0"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38FB36D9" w14:textId="77777777" w:rsidR="006356F1" w:rsidRPr="006847B0" w:rsidRDefault="006356F1" w:rsidP="00217400">
            <w:pPr>
              <w:jc w:val="center"/>
              <w:rPr>
                <w:rFonts w:ascii="Arial" w:hAnsi="Arial" w:cs="Arial"/>
                <w:sz w:val="22"/>
                <w:szCs w:val="22"/>
              </w:rPr>
            </w:pPr>
          </w:p>
        </w:tc>
        <w:tc>
          <w:tcPr>
            <w:tcW w:w="2075" w:type="dxa"/>
            <w:vMerge/>
          </w:tcPr>
          <w:p w14:paraId="1874048B" w14:textId="77777777" w:rsidR="006356F1" w:rsidRPr="006847B0" w:rsidRDefault="006356F1" w:rsidP="00217400">
            <w:pPr>
              <w:jc w:val="center"/>
              <w:rPr>
                <w:rFonts w:ascii="Arial" w:hAnsi="Arial" w:cs="Arial"/>
                <w:sz w:val="22"/>
                <w:szCs w:val="22"/>
              </w:rPr>
            </w:pPr>
          </w:p>
        </w:tc>
        <w:tc>
          <w:tcPr>
            <w:tcW w:w="2127" w:type="dxa"/>
          </w:tcPr>
          <w:p w14:paraId="35DEF694"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6 18 013108-00</w:t>
            </w:r>
          </w:p>
        </w:tc>
        <w:tc>
          <w:tcPr>
            <w:tcW w:w="1693" w:type="dxa"/>
          </w:tcPr>
          <w:p w14:paraId="45A65A71"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xml:space="preserve"> 211.420,47</w:t>
            </w:r>
          </w:p>
        </w:tc>
      </w:tr>
      <w:tr w:rsidR="006356F1" w:rsidRPr="006847B0" w14:paraId="32ACF686" w14:textId="77777777" w:rsidTr="00217400">
        <w:trPr>
          <w:trHeight w:val="70"/>
        </w:trPr>
        <w:tc>
          <w:tcPr>
            <w:tcW w:w="1318" w:type="dxa"/>
            <w:vMerge/>
          </w:tcPr>
          <w:p w14:paraId="052720DE" w14:textId="77777777" w:rsidR="006356F1" w:rsidRPr="006847B0" w:rsidRDefault="006356F1" w:rsidP="00217400">
            <w:pPr>
              <w:jc w:val="center"/>
              <w:rPr>
                <w:rFonts w:ascii="Arial" w:hAnsi="Arial" w:cs="Arial"/>
                <w:sz w:val="22"/>
                <w:szCs w:val="22"/>
              </w:rPr>
            </w:pPr>
          </w:p>
        </w:tc>
        <w:tc>
          <w:tcPr>
            <w:tcW w:w="2190" w:type="dxa"/>
            <w:vMerge/>
          </w:tcPr>
          <w:p w14:paraId="4924A16A" w14:textId="77777777" w:rsidR="006356F1" w:rsidRPr="006847B0" w:rsidRDefault="006356F1" w:rsidP="00217400">
            <w:pPr>
              <w:jc w:val="center"/>
              <w:rPr>
                <w:rFonts w:ascii="Arial" w:hAnsi="Arial" w:cs="Arial"/>
                <w:sz w:val="22"/>
                <w:szCs w:val="22"/>
              </w:rPr>
            </w:pPr>
          </w:p>
        </w:tc>
        <w:tc>
          <w:tcPr>
            <w:tcW w:w="2417" w:type="dxa"/>
            <w:vMerge/>
          </w:tcPr>
          <w:p w14:paraId="1D514543" w14:textId="77777777" w:rsidR="006356F1" w:rsidRPr="006847B0" w:rsidRDefault="006356F1" w:rsidP="00217400">
            <w:pPr>
              <w:jc w:val="center"/>
              <w:rPr>
                <w:rFonts w:ascii="Arial" w:hAnsi="Arial" w:cs="Arial"/>
                <w:color w:val="404040"/>
                <w:sz w:val="22"/>
                <w:szCs w:val="22"/>
                <w:shd w:val="clear" w:color="auto" w:fill="FFFFFF"/>
              </w:rPr>
            </w:pPr>
          </w:p>
        </w:tc>
        <w:tc>
          <w:tcPr>
            <w:tcW w:w="1694" w:type="dxa"/>
            <w:vMerge/>
          </w:tcPr>
          <w:p w14:paraId="51DAE871" w14:textId="77777777" w:rsidR="006356F1" w:rsidRPr="006847B0" w:rsidRDefault="006356F1" w:rsidP="00217400">
            <w:pPr>
              <w:jc w:val="center"/>
              <w:rPr>
                <w:rFonts w:ascii="Arial" w:hAnsi="Arial" w:cs="Arial"/>
                <w:sz w:val="22"/>
                <w:szCs w:val="22"/>
              </w:rPr>
            </w:pPr>
          </w:p>
        </w:tc>
        <w:tc>
          <w:tcPr>
            <w:tcW w:w="2075" w:type="dxa"/>
          </w:tcPr>
          <w:p w14:paraId="56140D5E" w14:textId="77777777" w:rsidR="006356F1" w:rsidRPr="006847B0" w:rsidRDefault="006356F1" w:rsidP="00217400">
            <w:pPr>
              <w:jc w:val="center"/>
              <w:rPr>
                <w:rFonts w:ascii="Arial" w:hAnsi="Arial" w:cs="Arial"/>
                <w:sz w:val="22"/>
                <w:szCs w:val="22"/>
              </w:rPr>
            </w:pPr>
            <w:r w:rsidRPr="006847B0">
              <w:rPr>
                <w:rFonts w:ascii="Arial" w:hAnsi="Arial" w:cs="Arial"/>
                <w:sz w:val="22"/>
                <w:szCs w:val="22"/>
              </w:rPr>
              <w:t>POSITIVA – MULTA TRABALHISTA</w:t>
            </w:r>
          </w:p>
        </w:tc>
        <w:tc>
          <w:tcPr>
            <w:tcW w:w="2127" w:type="dxa"/>
            <w:vAlign w:val="center"/>
          </w:tcPr>
          <w:p w14:paraId="5A51B294"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11 5 19 003381-36</w:t>
            </w:r>
          </w:p>
        </w:tc>
        <w:tc>
          <w:tcPr>
            <w:tcW w:w="1693" w:type="dxa"/>
            <w:vAlign w:val="center"/>
          </w:tcPr>
          <w:p w14:paraId="0B3CB308" w14:textId="77777777" w:rsidR="006356F1" w:rsidRPr="006847B0" w:rsidRDefault="006356F1" w:rsidP="00217400">
            <w:pPr>
              <w:jc w:val="center"/>
              <w:rPr>
                <w:rFonts w:ascii="Arial" w:hAnsi="Arial" w:cs="Arial"/>
                <w:sz w:val="22"/>
                <w:szCs w:val="22"/>
                <w:shd w:val="clear" w:color="auto" w:fill="FFFFFF"/>
              </w:rPr>
            </w:pPr>
            <w:r w:rsidRPr="006847B0">
              <w:rPr>
                <w:rFonts w:ascii="Arial" w:hAnsi="Arial" w:cs="Arial"/>
                <w:sz w:val="22"/>
                <w:szCs w:val="22"/>
                <w:shd w:val="clear" w:color="auto" w:fill="FFFFFF"/>
              </w:rPr>
              <w:t> 71.170,38</w:t>
            </w:r>
          </w:p>
        </w:tc>
      </w:tr>
    </w:tbl>
    <w:p w14:paraId="307A4A7F" w14:textId="77777777" w:rsidR="006356F1" w:rsidRDefault="006356F1" w:rsidP="006356F1">
      <w:pPr>
        <w:spacing w:line="360" w:lineRule="auto"/>
        <w:ind w:firstLine="851"/>
        <w:jc w:val="both"/>
        <w:rPr>
          <w:rFonts w:ascii="Arial" w:hAnsi="Arial" w:cs="Arial"/>
          <w:bCs/>
          <w:sz w:val="24"/>
          <w:szCs w:val="24"/>
        </w:rPr>
      </w:pPr>
    </w:p>
    <w:p w14:paraId="5E88BF7A" w14:textId="77777777" w:rsidR="006356F1" w:rsidRDefault="006356F1" w:rsidP="006356F1">
      <w:pPr>
        <w:spacing w:line="360" w:lineRule="auto"/>
        <w:ind w:firstLine="851"/>
        <w:jc w:val="both"/>
        <w:rPr>
          <w:rFonts w:ascii="Arial" w:hAnsi="Arial" w:cs="Arial"/>
          <w:bCs/>
          <w:sz w:val="24"/>
          <w:szCs w:val="24"/>
        </w:rPr>
      </w:pPr>
    </w:p>
    <w:p w14:paraId="3F26A741" w14:textId="77777777" w:rsidR="006356F1" w:rsidRDefault="006356F1" w:rsidP="006356F1">
      <w:pPr>
        <w:spacing w:line="360" w:lineRule="auto"/>
        <w:ind w:firstLine="851"/>
        <w:jc w:val="both"/>
        <w:rPr>
          <w:rFonts w:ascii="Arial" w:hAnsi="Arial" w:cs="Arial"/>
          <w:bCs/>
          <w:sz w:val="24"/>
          <w:szCs w:val="24"/>
        </w:rPr>
      </w:pPr>
    </w:p>
    <w:p w14:paraId="48EB2CB9" w14:textId="77777777" w:rsidR="006356F1" w:rsidRDefault="006356F1" w:rsidP="006356F1">
      <w:pPr>
        <w:spacing w:line="360" w:lineRule="auto"/>
        <w:ind w:firstLine="851"/>
        <w:jc w:val="both"/>
        <w:rPr>
          <w:rFonts w:ascii="Arial" w:hAnsi="Arial" w:cs="Arial"/>
          <w:bCs/>
          <w:sz w:val="24"/>
          <w:szCs w:val="24"/>
        </w:rPr>
      </w:pPr>
    </w:p>
    <w:p w14:paraId="011F9352" w14:textId="77777777" w:rsidR="006356F1" w:rsidRDefault="006356F1" w:rsidP="006356F1">
      <w:pPr>
        <w:spacing w:line="360" w:lineRule="auto"/>
        <w:ind w:firstLine="851"/>
        <w:jc w:val="both"/>
        <w:rPr>
          <w:rFonts w:ascii="Arial" w:hAnsi="Arial" w:cs="Arial"/>
          <w:bCs/>
          <w:sz w:val="24"/>
          <w:szCs w:val="24"/>
        </w:rPr>
      </w:pPr>
    </w:p>
    <w:p w14:paraId="336369A9" w14:textId="77777777" w:rsidR="006356F1" w:rsidRDefault="006356F1" w:rsidP="006356F1">
      <w:pPr>
        <w:spacing w:line="360" w:lineRule="auto"/>
        <w:ind w:firstLine="851"/>
        <w:jc w:val="both"/>
        <w:rPr>
          <w:rFonts w:ascii="Arial" w:hAnsi="Arial" w:cs="Arial"/>
          <w:bCs/>
          <w:sz w:val="24"/>
          <w:szCs w:val="24"/>
        </w:rPr>
      </w:pPr>
    </w:p>
    <w:p w14:paraId="07D94D12" w14:textId="77777777" w:rsidR="006356F1" w:rsidRDefault="006356F1" w:rsidP="006356F1">
      <w:pPr>
        <w:spacing w:line="360" w:lineRule="auto"/>
        <w:ind w:firstLine="851"/>
        <w:jc w:val="both"/>
        <w:rPr>
          <w:rFonts w:ascii="Arial" w:hAnsi="Arial" w:cs="Arial"/>
          <w:bCs/>
          <w:sz w:val="24"/>
          <w:szCs w:val="24"/>
        </w:rPr>
      </w:pPr>
    </w:p>
    <w:p w14:paraId="366E4DE5" w14:textId="77777777" w:rsidR="006356F1" w:rsidRDefault="006356F1" w:rsidP="006356F1">
      <w:pPr>
        <w:spacing w:line="360" w:lineRule="auto"/>
        <w:ind w:firstLine="851"/>
        <w:jc w:val="both"/>
        <w:rPr>
          <w:rFonts w:ascii="Arial" w:hAnsi="Arial" w:cs="Arial"/>
          <w:bCs/>
          <w:sz w:val="24"/>
          <w:szCs w:val="24"/>
        </w:rPr>
        <w:sectPr w:rsidR="006356F1" w:rsidSect="00217400">
          <w:pgSz w:w="16840" w:h="11900" w:orient="landscape"/>
          <w:pgMar w:top="1701" w:right="2268" w:bottom="851" w:left="1134" w:header="567" w:footer="284" w:gutter="0"/>
          <w:cols w:space="708"/>
          <w:docGrid w:linePitch="360"/>
        </w:sectPr>
      </w:pPr>
    </w:p>
    <w:p w14:paraId="40AF1BAD" w14:textId="1AB20764" w:rsidR="006356F1" w:rsidRPr="004212C7" w:rsidRDefault="00B414AB" w:rsidP="006356F1">
      <w:pPr>
        <w:spacing w:line="360" w:lineRule="auto"/>
        <w:ind w:firstLine="851"/>
        <w:jc w:val="both"/>
        <w:rPr>
          <w:rFonts w:ascii="Arial" w:hAnsi="Arial" w:cs="Arial"/>
          <w:bCs/>
          <w:sz w:val="24"/>
          <w:szCs w:val="24"/>
        </w:rPr>
      </w:pPr>
      <w:bookmarkStart w:id="391" w:name="_Hlk34105130"/>
      <w:r w:rsidRPr="002A517E">
        <w:rPr>
          <w:rFonts w:ascii="Arial" w:hAnsi="Arial" w:cs="Arial"/>
          <w:b/>
          <w:bCs/>
          <w:sz w:val="24"/>
          <w:szCs w:val="24"/>
        </w:rPr>
        <w:lastRenderedPageBreak/>
        <w:t>9.</w:t>
      </w:r>
      <w:r>
        <w:rPr>
          <w:rFonts w:ascii="Arial" w:hAnsi="Arial" w:cs="Arial"/>
          <w:b/>
          <w:bCs/>
          <w:sz w:val="24"/>
          <w:szCs w:val="24"/>
        </w:rPr>
        <w:t>4</w:t>
      </w:r>
      <w:r w:rsidRPr="002A517E">
        <w:rPr>
          <w:rFonts w:ascii="Arial" w:hAnsi="Arial" w:cs="Arial"/>
          <w:b/>
          <w:bCs/>
          <w:sz w:val="24"/>
          <w:szCs w:val="24"/>
        </w:rPr>
        <w:t>.</w:t>
      </w:r>
      <w:r>
        <w:rPr>
          <w:rFonts w:ascii="Arial" w:hAnsi="Arial" w:cs="Arial"/>
          <w:b/>
          <w:bCs/>
          <w:sz w:val="24"/>
          <w:szCs w:val="24"/>
        </w:rPr>
        <w:t>4</w:t>
      </w:r>
      <w:r w:rsidRPr="002A517E">
        <w:rPr>
          <w:rFonts w:ascii="Arial" w:hAnsi="Arial" w:cs="Arial"/>
          <w:b/>
          <w:bCs/>
          <w:sz w:val="24"/>
          <w:szCs w:val="24"/>
        </w:rPr>
        <w:t>.</w:t>
      </w:r>
      <w:r w:rsidRPr="001B62A8">
        <w:rPr>
          <w:rFonts w:ascii="Arial" w:hAnsi="Arial" w:cs="Arial"/>
          <w:bCs/>
          <w:sz w:val="24"/>
          <w:szCs w:val="24"/>
        </w:rPr>
        <w:t xml:space="preserve"> </w:t>
      </w:r>
      <w:r w:rsidR="006356F1" w:rsidRPr="004212C7">
        <w:rPr>
          <w:rFonts w:ascii="Arial" w:hAnsi="Arial" w:cs="Arial"/>
          <w:bCs/>
          <w:sz w:val="24"/>
          <w:szCs w:val="24"/>
        </w:rPr>
        <w:t xml:space="preserve">Portanto, esta CPI </w:t>
      </w:r>
      <w:r w:rsidR="006356F1" w:rsidRPr="004212C7">
        <w:rPr>
          <w:rFonts w:ascii="Arial" w:hAnsi="Arial" w:cs="Arial"/>
          <w:b/>
          <w:bCs/>
          <w:sz w:val="24"/>
          <w:szCs w:val="24"/>
          <w:u w:val="single"/>
        </w:rPr>
        <w:t>recomenda ao Poder Executivo que, em relação às empresas do ramo de mineração beneficiárias de incentivos fiscais</w:t>
      </w:r>
      <w:r w:rsidR="006356F1" w:rsidRPr="004212C7">
        <w:rPr>
          <w:rFonts w:ascii="Arial" w:hAnsi="Arial" w:cs="Arial"/>
          <w:bCs/>
          <w:sz w:val="24"/>
          <w:szCs w:val="24"/>
        </w:rPr>
        <w:t xml:space="preserve">: </w:t>
      </w:r>
    </w:p>
    <w:p w14:paraId="18C596F7" w14:textId="19D34CD7" w:rsidR="006356F1" w:rsidRPr="004212C7" w:rsidRDefault="006356F1" w:rsidP="006356F1">
      <w:pPr>
        <w:spacing w:line="360" w:lineRule="auto"/>
        <w:ind w:firstLine="851"/>
        <w:jc w:val="both"/>
        <w:rPr>
          <w:rFonts w:ascii="Arial" w:hAnsi="Arial" w:cs="Arial"/>
          <w:bCs/>
          <w:sz w:val="24"/>
          <w:szCs w:val="24"/>
        </w:rPr>
      </w:pPr>
      <w:r w:rsidRPr="004212C7">
        <w:rPr>
          <w:rFonts w:ascii="Arial" w:hAnsi="Arial" w:cs="Arial"/>
          <w:b/>
          <w:bCs/>
          <w:sz w:val="24"/>
          <w:szCs w:val="24"/>
        </w:rPr>
        <w:t>a) reavaliar, mediante estudo técnico, os efeitos da política de incentivos fiscais voltada para a mineração</w:t>
      </w:r>
      <w:r w:rsidRPr="004212C7">
        <w:rPr>
          <w:rFonts w:ascii="Arial" w:hAnsi="Arial" w:cs="Arial"/>
          <w:bCs/>
          <w:sz w:val="24"/>
          <w:szCs w:val="24"/>
        </w:rPr>
        <w:t>, nos termos do art. 44, § 2º, e 45, III, da LC nº 138/2018, notadamente quanto à conveniência de se manter vigente a Lei nº 15.719/2006, bem como a revisão ou revogação dos TARE’s firmados com</w:t>
      </w:r>
      <w:r w:rsidRPr="004212C7">
        <w:rPr>
          <w:rFonts w:ascii="Arial" w:hAnsi="Arial" w:cs="Arial"/>
          <w:b/>
          <w:bCs/>
          <w:sz w:val="24"/>
          <w:szCs w:val="24"/>
        </w:rPr>
        <w:t xml:space="preserve"> </w:t>
      </w:r>
      <w:r w:rsidRPr="004212C7">
        <w:rPr>
          <w:rFonts w:ascii="Arial" w:hAnsi="Arial" w:cs="Arial"/>
          <w:bCs/>
          <w:sz w:val="24"/>
          <w:szCs w:val="24"/>
        </w:rPr>
        <w:t xml:space="preserve">algumas empresas do ramo nos quais se </w:t>
      </w:r>
      <w:r w:rsidR="00B414AB">
        <w:rPr>
          <w:rFonts w:ascii="Arial" w:hAnsi="Arial" w:cs="Arial"/>
          <w:bCs/>
          <w:sz w:val="24"/>
          <w:szCs w:val="24"/>
        </w:rPr>
        <w:t xml:space="preserve">verificar excesso </w:t>
      </w:r>
      <w:r w:rsidR="0069775A">
        <w:rPr>
          <w:rFonts w:ascii="Arial" w:hAnsi="Arial" w:cs="Arial"/>
          <w:bCs/>
          <w:sz w:val="24"/>
          <w:szCs w:val="24"/>
        </w:rPr>
        <w:t xml:space="preserve">e concentração </w:t>
      </w:r>
      <w:r w:rsidR="00B414AB">
        <w:rPr>
          <w:rFonts w:ascii="Arial" w:hAnsi="Arial" w:cs="Arial"/>
          <w:bCs/>
          <w:sz w:val="24"/>
          <w:szCs w:val="24"/>
        </w:rPr>
        <w:t>de benefícios</w:t>
      </w:r>
      <w:r w:rsidRPr="004212C7">
        <w:rPr>
          <w:rFonts w:ascii="Arial" w:hAnsi="Arial" w:cs="Arial"/>
          <w:bCs/>
          <w:sz w:val="24"/>
          <w:szCs w:val="24"/>
        </w:rPr>
        <w:t>;</w:t>
      </w:r>
    </w:p>
    <w:p w14:paraId="6F3D3069" w14:textId="68F13565" w:rsidR="006356F1" w:rsidRPr="004212C7" w:rsidRDefault="006356F1" w:rsidP="006356F1">
      <w:pPr>
        <w:spacing w:line="360" w:lineRule="auto"/>
        <w:ind w:firstLine="851"/>
        <w:jc w:val="both"/>
        <w:rPr>
          <w:rFonts w:ascii="Arial" w:hAnsi="Arial" w:cs="Arial"/>
          <w:bCs/>
          <w:sz w:val="24"/>
          <w:szCs w:val="24"/>
        </w:rPr>
      </w:pPr>
      <w:r w:rsidRPr="004212C7">
        <w:rPr>
          <w:rFonts w:ascii="Arial" w:hAnsi="Arial" w:cs="Arial"/>
          <w:b/>
          <w:bCs/>
          <w:sz w:val="24"/>
          <w:szCs w:val="24"/>
        </w:rPr>
        <w:t>b) extirpar dos TARE’s vigentes as cláusulas que exceder</w:t>
      </w:r>
      <w:r w:rsidR="0069775A">
        <w:rPr>
          <w:rFonts w:ascii="Arial" w:hAnsi="Arial" w:cs="Arial"/>
          <w:b/>
          <w:bCs/>
          <w:sz w:val="24"/>
          <w:szCs w:val="24"/>
        </w:rPr>
        <w:t>e</w:t>
      </w:r>
      <w:r w:rsidRPr="004212C7">
        <w:rPr>
          <w:rFonts w:ascii="Arial" w:hAnsi="Arial" w:cs="Arial"/>
          <w:b/>
          <w:bCs/>
          <w:sz w:val="24"/>
          <w:szCs w:val="24"/>
        </w:rPr>
        <w:t>m o conteúdo da lei</w:t>
      </w:r>
      <w:r w:rsidRPr="004212C7">
        <w:rPr>
          <w:rFonts w:ascii="Arial" w:hAnsi="Arial" w:cs="Arial"/>
          <w:bCs/>
          <w:sz w:val="24"/>
          <w:szCs w:val="24"/>
        </w:rPr>
        <w:t xml:space="preserve">, bem como constituir o crédito tributário correspondente aos últimos 5 (cinco) anos das empresas que o houverem fruído sem respaldo legal, bem como encaminhamento dos TARE’s à PGE/GO para análise e parecer técnico acerca da legalidade de suas cláusulas, adotando-se esse procedimento doravante; </w:t>
      </w:r>
    </w:p>
    <w:p w14:paraId="19770C35" w14:textId="758065B0" w:rsidR="006356F1" w:rsidRPr="00B414AB" w:rsidRDefault="006356F1" w:rsidP="006356F1">
      <w:pPr>
        <w:spacing w:line="360" w:lineRule="auto"/>
        <w:ind w:firstLine="851"/>
        <w:jc w:val="both"/>
        <w:rPr>
          <w:rFonts w:ascii="Arial" w:hAnsi="Arial" w:cs="Arial"/>
          <w:bCs/>
          <w:sz w:val="24"/>
          <w:szCs w:val="24"/>
        </w:rPr>
      </w:pPr>
      <w:r w:rsidRPr="004212C7">
        <w:rPr>
          <w:rFonts w:ascii="Arial" w:hAnsi="Arial" w:cs="Arial"/>
          <w:b/>
          <w:bCs/>
          <w:sz w:val="24"/>
          <w:szCs w:val="24"/>
        </w:rPr>
        <w:t>c) realizar auditoria sobre todas as pessoas jurídicas do ramo da mineração</w:t>
      </w:r>
      <w:r w:rsidRPr="004212C7">
        <w:rPr>
          <w:rFonts w:ascii="Arial" w:hAnsi="Arial" w:cs="Arial"/>
          <w:bCs/>
          <w:sz w:val="24"/>
          <w:szCs w:val="24"/>
        </w:rPr>
        <w:t xml:space="preserve">, a fim de identificar eventual fruição de incentivo fiscal em período durante o qual havia inscrição em dívida ativa estadual ou federal de natureza previdenciária, bem como o atendimento dos requisitos gerais para ingresso e permanência nos Programas FOMENTAR e PRODUZIR, e adotar as medidas executivas pertinentes, com prioridade </w:t>
      </w:r>
      <w:r w:rsidRPr="00B414AB">
        <w:rPr>
          <w:rFonts w:ascii="Arial" w:hAnsi="Arial" w:cs="Arial"/>
          <w:bCs/>
          <w:sz w:val="24"/>
          <w:szCs w:val="24"/>
        </w:rPr>
        <w:t>para as empre</w:t>
      </w:r>
      <w:r w:rsidR="004D3E28">
        <w:rPr>
          <w:rFonts w:ascii="Arial" w:hAnsi="Arial" w:cs="Arial"/>
          <w:bCs/>
          <w:sz w:val="24"/>
          <w:szCs w:val="24"/>
        </w:rPr>
        <w:t>sas mencionadas neste capítulo, verificados os critérios e adotados os procedimentos previstos n</w:t>
      </w:r>
      <w:r w:rsidRPr="00B414AB">
        <w:rPr>
          <w:rFonts w:ascii="Arial" w:hAnsi="Arial" w:cs="Arial"/>
          <w:bCs/>
          <w:sz w:val="24"/>
          <w:szCs w:val="24"/>
        </w:rPr>
        <w:t xml:space="preserve">o Capítulo 8 deste relatório. </w:t>
      </w:r>
      <w:bookmarkEnd w:id="391"/>
    </w:p>
    <w:p w14:paraId="7FD8A06D" w14:textId="77777777" w:rsidR="004106D9" w:rsidRDefault="004106D9" w:rsidP="00340F05">
      <w:pPr>
        <w:tabs>
          <w:tab w:val="left" w:pos="2610"/>
        </w:tabs>
        <w:spacing w:line="360" w:lineRule="auto"/>
        <w:ind w:firstLine="851"/>
        <w:jc w:val="both"/>
        <w:rPr>
          <w:rFonts w:ascii="Arial" w:hAnsi="Arial" w:cs="Arial"/>
          <w:b/>
          <w:bCs/>
          <w:sz w:val="24"/>
          <w:szCs w:val="24"/>
        </w:rPr>
      </w:pPr>
    </w:p>
    <w:p w14:paraId="41C2307D" w14:textId="4C1C96F9" w:rsidR="006356F1" w:rsidRPr="00732ED7" w:rsidRDefault="006356F1" w:rsidP="00340F05">
      <w:pPr>
        <w:tabs>
          <w:tab w:val="left" w:pos="2610"/>
        </w:tabs>
        <w:spacing w:line="360" w:lineRule="auto"/>
        <w:ind w:firstLine="851"/>
        <w:jc w:val="both"/>
        <w:rPr>
          <w:rFonts w:ascii="Arial" w:hAnsi="Arial" w:cs="Arial"/>
          <w:b/>
          <w:bCs/>
          <w:sz w:val="24"/>
          <w:szCs w:val="24"/>
        </w:rPr>
      </w:pPr>
      <w:r w:rsidRPr="00732ED7">
        <w:rPr>
          <w:rFonts w:ascii="Arial" w:hAnsi="Arial" w:cs="Arial"/>
          <w:b/>
          <w:bCs/>
          <w:sz w:val="24"/>
          <w:szCs w:val="24"/>
        </w:rPr>
        <w:t xml:space="preserve">9.5 – </w:t>
      </w:r>
      <w:r w:rsidR="00732ED7" w:rsidRPr="00732ED7">
        <w:rPr>
          <w:rFonts w:ascii="Arial" w:hAnsi="Arial" w:cs="Arial"/>
          <w:b/>
          <w:bCs/>
          <w:sz w:val="24"/>
          <w:szCs w:val="24"/>
        </w:rPr>
        <w:t xml:space="preserve">SÍNTESE DOS ACHADOS EM RELAÇÃO À AMOSTRA REQUISITADA </w:t>
      </w:r>
    </w:p>
    <w:p w14:paraId="51CB0027" w14:textId="77777777" w:rsidR="006356F1" w:rsidRPr="00732ED7" w:rsidRDefault="006356F1" w:rsidP="00340F05">
      <w:pPr>
        <w:spacing w:line="360" w:lineRule="auto"/>
        <w:ind w:firstLine="851"/>
        <w:jc w:val="both"/>
        <w:rPr>
          <w:rFonts w:ascii="Arial" w:hAnsi="Arial" w:cs="Arial"/>
          <w:b/>
          <w:bCs/>
          <w:sz w:val="24"/>
          <w:szCs w:val="24"/>
          <w:u w:val="single"/>
        </w:rPr>
      </w:pPr>
    </w:p>
    <w:p w14:paraId="147E33C1" w14:textId="0FF9C9A7" w:rsidR="00732ED7" w:rsidRPr="00732ED7" w:rsidRDefault="00732ED7" w:rsidP="00340F05">
      <w:pPr>
        <w:spacing w:line="360" w:lineRule="auto"/>
        <w:ind w:firstLine="851"/>
        <w:jc w:val="both"/>
        <w:rPr>
          <w:rFonts w:ascii="Arial" w:hAnsi="Arial" w:cs="Arial"/>
          <w:bCs/>
          <w:sz w:val="24"/>
          <w:szCs w:val="24"/>
        </w:rPr>
      </w:pPr>
      <w:r w:rsidRPr="00732ED7">
        <w:rPr>
          <w:rFonts w:ascii="Arial" w:hAnsi="Arial" w:cs="Arial"/>
          <w:bCs/>
          <w:sz w:val="24"/>
          <w:szCs w:val="24"/>
        </w:rPr>
        <w:t xml:space="preserve">Importante esclarecer, ainda, que </w:t>
      </w:r>
      <w:r w:rsidRPr="00732ED7">
        <w:rPr>
          <w:rFonts w:ascii="Arial" w:hAnsi="Arial" w:cs="Arial"/>
          <w:b/>
          <w:bCs/>
          <w:sz w:val="24"/>
          <w:szCs w:val="24"/>
          <w:u w:val="single"/>
        </w:rPr>
        <w:t xml:space="preserve">a amostra referente às 100 (cem) maiores beneficiárias de incentivos fiscais </w:t>
      </w:r>
      <w:r w:rsidRPr="00732ED7">
        <w:rPr>
          <w:rFonts w:ascii="Arial" w:hAnsi="Arial" w:cs="Arial"/>
          <w:b/>
          <w:bCs/>
          <w:sz w:val="24"/>
          <w:szCs w:val="24"/>
        </w:rPr>
        <w:t>no Estado de Goiás no período de 2014 a 2018 foi relevante para descobrir os achados relacionados ao longo deste relatório</w:t>
      </w:r>
      <w:r w:rsidRPr="00732ED7">
        <w:rPr>
          <w:rFonts w:ascii="Arial" w:hAnsi="Arial" w:cs="Arial"/>
          <w:bCs/>
          <w:sz w:val="24"/>
          <w:szCs w:val="24"/>
        </w:rPr>
        <w:t>, a partir dos quais se pretende que os órgãos de controle procedam às devidas apurações não só em relação àquela pequena amostra, mas a todas as empresas que se encontrarem na mesma situação que identifique possível irregularidade.</w:t>
      </w:r>
    </w:p>
    <w:p w14:paraId="2A1B254E" w14:textId="1256C8AA" w:rsidR="00732ED7" w:rsidRPr="00732ED7" w:rsidRDefault="00732ED7" w:rsidP="00340F05">
      <w:pPr>
        <w:spacing w:line="360" w:lineRule="auto"/>
        <w:ind w:firstLine="851"/>
        <w:jc w:val="both"/>
        <w:rPr>
          <w:rFonts w:ascii="Arial" w:hAnsi="Arial" w:cs="Arial"/>
          <w:bCs/>
          <w:sz w:val="24"/>
          <w:szCs w:val="24"/>
        </w:rPr>
      </w:pPr>
      <w:r w:rsidRPr="00732ED7">
        <w:rPr>
          <w:rFonts w:ascii="Arial" w:hAnsi="Arial" w:cs="Arial"/>
          <w:bCs/>
          <w:sz w:val="24"/>
          <w:szCs w:val="24"/>
        </w:rPr>
        <w:t xml:space="preserve">Ainda, tendo em vista as inúmeras deficiências quanto à fiscalização em seus mais variados aspectos, notadamente aquelas relacionadas nos capítulos 6 a 8 deste relatório, esta CPI não se debruçou especificamente sobre a extensa documentação apresentada pelas empresas constantes daquela amostra, </w:t>
      </w:r>
      <w:r>
        <w:rPr>
          <w:rFonts w:ascii="Arial" w:hAnsi="Arial" w:cs="Arial"/>
          <w:bCs/>
          <w:sz w:val="24"/>
          <w:szCs w:val="24"/>
        </w:rPr>
        <w:t xml:space="preserve">física e/ou eletrônica, </w:t>
      </w:r>
      <w:r w:rsidRPr="00732ED7">
        <w:rPr>
          <w:rFonts w:ascii="Arial" w:hAnsi="Arial" w:cs="Arial"/>
          <w:bCs/>
          <w:sz w:val="24"/>
          <w:szCs w:val="24"/>
        </w:rPr>
        <w:t xml:space="preserve">por </w:t>
      </w:r>
      <w:r w:rsidRPr="00732ED7">
        <w:rPr>
          <w:rFonts w:ascii="Arial" w:hAnsi="Arial" w:cs="Arial"/>
          <w:bCs/>
          <w:sz w:val="24"/>
          <w:szCs w:val="24"/>
        </w:rPr>
        <w:lastRenderedPageBreak/>
        <w:t xml:space="preserve">entender que as auditorias eventualmente realizadas, mesmo quando apresentadas, revelam-se falhas em todos aqueles aspectos. </w:t>
      </w:r>
    </w:p>
    <w:p w14:paraId="7CB9C43C" w14:textId="4C22CF7F" w:rsidR="00732ED7" w:rsidRPr="00732ED7" w:rsidRDefault="00732ED7" w:rsidP="00340F05">
      <w:pPr>
        <w:spacing w:line="360" w:lineRule="auto"/>
        <w:ind w:firstLine="851"/>
        <w:jc w:val="both"/>
        <w:rPr>
          <w:rFonts w:ascii="Arial" w:hAnsi="Arial" w:cs="Arial"/>
          <w:bCs/>
          <w:sz w:val="24"/>
          <w:szCs w:val="24"/>
        </w:rPr>
      </w:pPr>
      <w:r w:rsidRPr="00732ED7">
        <w:rPr>
          <w:rFonts w:ascii="Arial" w:hAnsi="Arial" w:cs="Arial"/>
          <w:bCs/>
          <w:sz w:val="24"/>
          <w:szCs w:val="24"/>
        </w:rPr>
        <w:t>Daí a recomendação de uma grande força-tarefa tanto por parte do Poder Executivo como pelos órgãos de controle para apurar os requisitos previstos no capítulo 8 deste relatório, bem como a reformulação imediata dos processos fiscalizatórios internos das Secretarias de Estado da Economia e de Indústria e Comércio visando a sanar todas as impropriedades detectadas por esta CPI.</w:t>
      </w:r>
    </w:p>
    <w:p w14:paraId="14800FD5" w14:textId="37A03EE2" w:rsidR="00EF1640" w:rsidRPr="00732ED7" w:rsidRDefault="005A22C7" w:rsidP="00340F05">
      <w:pPr>
        <w:spacing w:line="360" w:lineRule="auto"/>
        <w:ind w:firstLine="851"/>
        <w:jc w:val="both"/>
        <w:rPr>
          <w:rFonts w:ascii="Arial" w:hAnsi="Arial" w:cs="Arial"/>
          <w:bCs/>
          <w:sz w:val="24"/>
          <w:szCs w:val="24"/>
        </w:rPr>
      </w:pPr>
      <w:r w:rsidRPr="00732ED7">
        <w:rPr>
          <w:rFonts w:ascii="Arial" w:hAnsi="Arial" w:cs="Arial"/>
          <w:bCs/>
          <w:sz w:val="24"/>
          <w:szCs w:val="24"/>
        </w:rPr>
        <w:t>Por fim, registre-se que, da relação das 100 (cem) maiores beneficiárias de incentivos fiscais no Estado de Goiás,</w:t>
      </w:r>
      <w:r w:rsidR="00732ED7">
        <w:rPr>
          <w:rFonts w:ascii="Arial" w:hAnsi="Arial" w:cs="Arial"/>
          <w:bCs/>
          <w:sz w:val="24"/>
          <w:szCs w:val="24"/>
        </w:rPr>
        <w:t xml:space="preserve"> esta CPI não obteve qualquer resposta relativamente </w:t>
      </w:r>
      <w:r w:rsidR="00732ED7" w:rsidRPr="00732ED7">
        <w:rPr>
          <w:rFonts w:ascii="Arial" w:hAnsi="Arial" w:cs="Arial"/>
          <w:bCs/>
          <w:sz w:val="24"/>
          <w:szCs w:val="24"/>
        </w:rPr>
        <w:t>a</w:t>
      </w:r>
      <w:r w:rsidRPr="00732ED7">
        <w:rPr>
          <w:rFonts w:ascii="Arial" w:hAnsi="Arial" w:cs="Arial"/>
          <w:bCs/>
          <w:sz w:val="24"/>
          <w:szCs w:val="24"/>
        </w:rPr>
        <w:t xml:space="preserve"> </w:t>
      </w:r>
      <w:r w:rsidR="006A6A7D">
        <w:rPr>
          <w:rFonts w:ascii="Arial" w:hAnsi="Arial" w:cs="Arial"/>
          <w:b/>
          <w:bCs/>
          <w:sz w:val="24"/>
          <w:szCs w:val="24"/>
        </w:rPr>
        <w:t>5 (cinco) empresas</w:t>
      </w:r>
      <w:r w:rsidRPr="00732ED7">
        <w:rPr>
          <w:rFonts w:ascii="Arial" w:hAnsi="Arial" w:cs="Arial"/>
          <w:bCs/>
          <w:sz w:val="24"/>
          <w:szCs w:val="24"/>
        </w:rPr>
        <w:t>,</w:t>
      </w:r>
      <w:r w:rsidR="00EF1640" w:rsidRPr="00732ED7">
        <w:rPr>
          <w:rFonts w:ascii="Arial" w:hAnsi="Arial" w:cs="Arial"/>
          <w:bCs/>
          <w:sz w:val="24"/>
          <w:szCs w:val="24"/>
        </w:rPr>
        <w:t xml:space="preserve"> conforme certid</w:t>
      </w:r>
      <w:r w:rsidR="006A6A7D">
        <w:rPr>
          <w:rFonts w:ascii="Arial" w:hAnsi="Arial" w:cs="Arial"/>
          <w:bCs/>
          <w:sz w:val="24"/>
          <w:szCs w:val="24"/>
        </w:rPr>
        <w:t>ão d</w:t>
      </w:r>
      <w:r w:rsidR="001D7F25">
        <w:rPr>
          <w:rFonts w:ascii="Arial" w:hAnsi="Arial" w:cs="Arial"/>
          <w:bCs/>
          <w:sz w:val="24"/>
          <w:szCs w:val="24"/>
        </w:rPr>
        <w:t>a Secretaria desta Comissão</w:t>
      </w:r>
      <w:r w:rsidRPr="00732ED7">
        <w:rPr>
          <w:rFonts w:ascii="Arial" w:hAnsi="Arial" w:cs="Arial"/>
          <w:bCs/>
          <w:sz w:val="24"/>
          <w:szCs w:val="24"/>
        </w:rPr>
        <w:t xml:space="preserve">: </w:t>
      </w:r>
    </w:p>
    <w:p w14:paraId="553D87AF" w14:textId="77777777" w:rsidR="00DA7E52" w:rsidRPr="00732ED7" w:rsidRDefault="00DA7E52" w:rsidP="00340F05">
      <w:pPr>
        <w:spacing w:line="360" w:lineRule="auto"/>
        <w:ind w:firstLine="851"/>
        <w:jc w:val="both"/>
        <w:rPr>
          <w:rFonts w:ascii="Arial" w:hAnsi="Arial" w:cs="Arial"/>
          <w:bCs/>
          <w:sz w:val="24"/>
          <w:szCs w:val="24"/>
        </w:rPr>
      </w:pPr>
    </w:p>
    <w:tbl>
      <w:tblPr>
        <w:tblStyle w:val="Tabelacomgrade"/>
        <w:tblW w:w="0" w:type="auto"/>
        <w:tblLook w:val="04A0" w:firstRow="1" w:lastRow="0" w:firstColumn="1" w:lastColumn="0" w:noHBand="0" w:noVBand="1"/>
      </w:tblPr>
      <w:tblGrid>
        <w:gridCol w:w="3539"/>
        <w:gridCol w:w="2686"/>
        <w:gridCol w:w="3113"/>
      </w:tblGrid>
      <w:tr w:rsidR="00EF1640" w:rsidRPr="00732ED7" w14:paraId="6D6844FA" w14:textId="77777777" w:rsidTr="00EF1640">
        <w:tc>
          <w:tcPr>
            <w:tcW w:w="3539" w:type="dxa"/>
          </w:tcPr>
          <w:p w14:paraId="03E40DD3" w14:textId="078A3693" w:rsidR="00EF1640" w:rsidRPr="00732ED7" w:rsidRDefault="00EF1640" w:rsidP="00EF1640">
            <w:pPr>
              <w:spacing w:line="360" w:lineRule="auto"/>
              <w:jc w:val="center"/>
              <w:rPr>
                <w:rFonts w:ascii="Arial" w:hAnsi="Arial" w:cs="Arial"/>
                <w:b/>
                <w:bCs/>
                <w:sz w:val="24"/>
                <w:szCs w:val="24"/>
              </w:rPr>
            </w:pPr>
            <w:r w:rsidRPr="00732ED7">
              <w:rPr>
                <w:rFonts w:ascii="Arial" w:hAnsi="Arial" w:cs="Arial"/>
                <w:b/>
                <w:bCs/>
                <w:sz w:val="24"/>
                <w:szCs w:val="24"/>
              </w:rPr>
              <w:t>NOME / RAZÃO SOCIAL</w:t>
            </w:r>
          </w:p>
        </w:tc>
        <w:tc>
          <w:tcPr>
            <w:tcW w:w="2686" w:type="dxa"/>
          </w:tcPr>
          <w:p w14:paraId="5EF31CCF" w14:textId="34D3AD25" w:rsidR="00EF1640" w:rsidRPr="00732ED7" w:rsidRDefault="00EF1640" w:rsidP="00EF1640">
            <w:pPr>
              <w:spacing w:line="360" w:lineRule="auto"/>
              <w:jc w:val="center"/>
              <w:rPr>
                <w:rFonts w:ascii="Arial" w:hAnsi="Arial" w:cs="Arial"/>
                <w:b/>
                <w:bCs/>
                <w:sz w:val="24"/>
                <w:szCs w:val="24"/>
              </w:rPr>
            </w:pPr>
            <w:r w:rsidRPr="00732ED7">
              <w:rPr>
                <w:rFonts w:ascii="Arial" w:hAnsi="Arial" w:cs="Arial"/>
                <w:b/>
                <w:bCs/>
                <w:sz w:val="24"/>
                <w:szCs w:val="24"/>
              </w:rPr>
              <w:t>CNPJ</w:t>
            </w:r>
          </w:p>
        </w:tc>
        <w:tc>
          <w:tcPr>
            <w:tcW w:w="3113" w:type="dxa"/>
          </w:tcPr>
          <w:p w14:paraId="2FA52424" w14:textId="387331EA" w:rsidR="00EF1640" w:rsidRPr="00732ED7" w:rsidRDefault="00EF1640" w:rsidP="00EF1640">
            <w:pPr>
              <w:spacing w:line="360" w:lineRule="auto"/>
              <w:jc w:val="center"/>
              <w:rPr>
                <w:rFonts w:ascii="Arial" w:hAnsi="Arial" w:cs="Arial"/>
                <w:b/>
                <w:bCs/>
                <w:sz w:val="24"/>
                <w:szCs w:val="24"/>
              </w:rPr>
            </w:pPr>
            <w:r w:rsidRPr="00732ED7">
              <w:rPr>
                <w:rFonts w:ascii="Arial" w:hAnsi="Arial" w:cs="Arial"/>
                <w:b/>
                <w:bCs/>
                <w:sz w:val="24"/>
                <w:szCs w:val="24"/>
              </w:rPr>
              <w:t>OBSERVAÇÕES</w:t>
            </w:r>
          </w:p>
        </w:tc>
      </w:tr>
      <w:tr w:rsidR="00EF1640" w:rsidRPr="00732ED7" w14:paraId="75E012EB" w14:textId="77777777" w:rsidTr="00EF1640">
        <w:tc>
          <w:tcPr>
            <w:tcW w:w="3539" w:type="dxa"/>
          </w:tcPr>
          <w:p w14:paraId="542B2B19" w14:textId="41957AE2" w:rsidR="00EF1640" w:rsidRPr="00732ED7" w:rsidRDefault="00EF1640" w:rsidP="00EF1640">
            <w:pPr>
              <w:spacing w:line="360" w:lineRule="auto"/>
              <w:jc w:val="center"/>
              <w:rPr>
                <w:rFonts w:ascii="Arial" w:hAnsi="Arial" w:cs="Arial"/>
                <w:bCs/>
                <w:sz w:val="24"/>
                <w:szCs w:val="24"/>
              </w:rPr>
            </w:pPr>
            <w:r w:rsidRPr="00732ED7">
              <w:rPr>
                <w:rFonts w:ascii="Arial" w:hAnsi="Arial" w:cs="Arial"/>
                <w:bCs/>
                <w:sz w:val="24"/>
                <w:szCs w:val="24"/>
              </w:rPr>
              <w:t>Cosan Centroeste Açúcar e Álcool Ltda</w:t>
            </w:r>
          </w:p>
        </w:tc>
        <w:tc>
          <w:tcPr>
            <w:tcW w:w="2686" w:type="dxa"/>
          </w:tcPr>
          <w:p w14:paraId="172136BA" w14:textId="0D719995" w:rsidR="00EF1640" w:rsidRPr="00732ED7" w:rsidRDefault="00EF1640" w:rsidP="00EF1640">
            <w:pPr>
              <w:spacing w:line="360" w:lineRule="auto"/>
              <w:jc w:val="center"/>
              <w:rPr>
                <w:rFonts w:ascii="Arial" w:hAnsi="Arial" w:cs="Arial"/>
                <w:bCs/>
                <w:sz w:val="24"/>
                <w:szCs w:val="24"/>
              </w:rPr>
            </w:pPr>
            <w:r w:rsidRPr="00732ED7">
              <w:rPr>
                <w:rFonts w:ascii="Arial" w:hAnsi="Arial" w:cs="Arial"/>
                <w:bCs/>
                <w:sz w:val="24"/>
                <w:szCs w:val="24"/>
              </w:rPr>
              <w:t>08.619.844/0003-99</w:t>
            </w:r>
          </w:p>
        </w:tc>
        <w:tc>
          <w:tcPr>
            <w:tcW w:w="3113" w:type="dxa"/>
          </w:tcPr>
          <w:p w14:paraId="703D2C79" w14:textId="4E75BD49" w:rsidR="00EF1640" w:rsidRPr="00732ED7" w:rsidRDefault="00EF1640" w:rsidP="00EF1640">
            <w:pPr>
              <w:spacing w:line="360" w:lineRule="auto"/>
              <w:jc w:val="center"/>
              <w:rPr>
                <w:rFonts w:ascii="Arial" w:hAnsi="Arial" w:cs="Arial"/>
                <w:bCs/>
                <w:sz w:val="24"/>
                <w:szCs w:val="24"/>
              </w:rPr>
            </w:pPr>
            <w:r w:rsidRPr="00732ED7">
              <w:rPr>
                <w:rFonts w:ascii="Arial" w:hAnsi="Arial" w:cs="Arial"/>
                <w:bCs/>
                <w:sz w:val="24"/>
                <w:szCs w:val="24"/>
              </w:rPr>
              <w:t>Inativa. Nenhuma informação no endereço</w:t>
            </w:r>
            <w:r w:rsidR="00DA7E52" w:rsidRPr="00732ED7">
              <w:rPr>
                <w:rFonts w:ascii="Arial" w:hAnsi="Arial" w:cs="Arial"/>
                <w:bCs/>
                <w:sz w:val="24"/>
                <w:szCs w:val="24"/>
              </w:rPr>
              <w:t>.</w:t>
            </w:r>
          </w:p>
        </w:tc>
      </w:tr>
      <w:tr w:rsidR="00EF1640" w:rsidRPr="00732ED7" w14:paraId="4963F5EA" w14:textId="77777777" w:rsidTr="00EF1640">
        <w:tc>
          <w:tcPr>
            <w:tcW w:w="3539" w:type="dxa"/>
          </w:tcPr>
          <w:p w14:paraId="3042B00B" w14:textId="0A4D0F9F" w:rsidR="00EF1640" w:rsidRPr="00732ED7" w:rsidRDefault="00EF1640" w:rsidP="000E1A04">
            <w:pPr>
              <w:spacing w:line="360" w:lineRule="auto"/>
              <w:jc w:val="center"/>
              <w:rPr>
                <w:rFonts w:ascii="Arial" w:hAnsi="Arial" w:cs="Arial"/>
                <w:bCs/>
                <w:sz w:val="24"/>
                <w:szCs w:val="24"/>
              </w:rPr>
            </w:pPr>
            <w:r w:rsidRPr="00732ED7">
              <w:rPr>
                <w:rFonts w:ascii="Arial" w:hAnsi="Arial" w:cs="Arial"/>
                <w:bCs/>
                <w:sz w:val="24"/>
                <w:szCs w:val="24"/>
              </w:rPr>
              <w:t>M</w:t>
            </w:r>
            <w:r w:rsidR="000E1A04" w:rsidRPr="00732ED7">
              <w:rPr>
                <w:rFonts w:ascii="Arial" w:hAnsi="Arial" w:cs="Arial"/>
                <w:bCs/>
                <w:sz w:val="24"/>
                <w:szCs w:val="24"/>
              </w:rPr>
              <w:t>a</w:t>
            </w:r>
            <w:r w:rsidRPr="00732ED7">
              <w:rPr>
                <w:rFonts w:ascii="Arial" w:hAnsi="Arial" w:cs="Arial"/>
                <w:bCs/>
                <w:sz w:val="24"/>
                <w:szCs w:val="24"/>
              </w:rPr>
              <w:t>taboi Alimentos Ltda</w:t>
            </w:r>
          </w:p>
        </w:tc>
        <w:tc>
          <w:tcPr>
            <w:tcW w:w="2686" w:type="dxa"/>
          </w:tcPr>
          <w:p w14:paraId="0968546A" w14:textId="79F75A48" w:rsidR="00EF1640" w:rsidRPr="00732ED7" w:rsidRDefault="00EF1640" w:rsidP="00EF1640">
            <w:pPr>
              <w:spacing w:line="360" w:lineRule="auto"/>
              <w:jc w:val="center"/>
              <w:rPr>
                <w:rFonts w:ascii="Arial" w:hAnsi="Arial" w:cs="Arial"/>
                <w:bCs/>
                <w:sz w:val="24"/>
                <w:szCs w:val="24"/>
              </w:rPr>
            </w:pPr>
            <w:r w:rsidRPr="00732ED7">
              <w:rPr>
                <w:rFonts w:ascii="Arial" w:hAnsi="Arial" w:cs="Arial"/>
                <w:bCs/>
                <w:sz w:val="24"/>
                <w:szCs w:val="24"/>
              </w:rPr>
              <w:t>16.820.052/0015-40</w:t>
            </w:r>
          </w:p>
        </w:tc>
        <w:tc>
          <w:tcPr>
            <w:tcW w:w="3113" w:type="dxa"/>
          </w:tcPr>
          <w:p w14:paraId="027B25C0" w14:textId="2DACE00A" w:rsidR="00EF1640" w:rsidRPr="00732ED7" w:rsidRDefault="00EF1640" w:rsidP="00EF1640">
            <w:pPr>
              <w:spacing w:line="360" w:lineRule="auto"/>
              <w:jc w:val="center"/>
              <w:rPr>
                <w:rFonts w:ascii="Arial" w:hAnsi="Arial" w:cs="Arial"/>
                <w:bCs/>
                <w:sz w:val="24"/>
                <w:szCs w:val="24"/>
              </w:rPr>
            </w:pPr>
            <w:r w:rsidRPr="00732ED7">
              <w:rPr>
                <w:rFonts w:ascii="Arial" w:hAnsi="Arial" w:cs="Arial"/>
                <w:bCs/>
                <w:sz w:val="24"/>
                <w:szCs w:val="24"/>
              </w:rPr>
              <w:t>AR devolvido com a informação “Mudou-se”</w:t>
            </w:r>
          </w:p>
        </w:tc>
      </w:tr>
      <w:tr w:rsidR="00EF1640" w:rsidRPr="00732ED7" w14:paraId="5AD8180C" w14:textId="77777777" w:rsidTr="00EF1640">
        <w:tc>
          <w:tcPr>
            <w:tcW w:w="3539" w:type="dxa"/>
          </w:tcPr>
          <w:p w14:paraId="1ADDF092" w14:textId="50A8901E" w:rsidR="00EF1640" w:rsidRPr="00732ED7" w:rsidRDefault="00EF1640" w:rsidP="00EF1640">
            <w:pPr>
              <w:spacing w:line="360" w:lineRule="auto"/>
              <w:jc w:val="center"/>
              <w:rPr>
                <w:rFonts w:ascii="Arial" w:hAnsi="Arial" w:cs="Arial"/>
                <w:bCs/>
                <w:sz w:val="24"/>
                <w:szCs w:val="24"/>
              </w:rPr>
            </w:pPr>
            <w:r w:rsidRPr="00732ED7">
              <w:rPr>
                <w:rFonts w:ascii="Arial" w:hAnsi="Arial" w:cs="Arial"/>
                <w:bCs/>
                <w:sz w:val="24"/>
                <w:szCs w:val="24"/>
              </w:rPr>
              <w:t>Mosaic Fertilizantes P&amp;K Ltda</w:t>
            </w:r>
          </w:p>
        </w:tc>
        <w:tc>
          <w:tcPr>
            <w:tcW w:w="2686" w:type="dxa"/>
          </w:tcPr>
          <w:p w14:paraId="4F62E45C" w14:textId="1B105B29" w:rsidR="00EF1640" w:rsidRPr="00732ED7" w:rsidRDefault="00EF1640" w:rsidP="00EF1640">
            <w:pPr>
              <w:spacing w:line="360" w:lineRule="auto"/>
              <w:jc w:val="center"/>
              <w:rPr>
                <w:rFonts w:ascii="Arial" w:hAnsi="Arial" w:cs="Arial"/>
                <w:bCs/>
                <w:sz w:val="24"/>
                <w:szCs w:val="24"/>
              </w:rPr>
            </w:pPr>
            <w:r w:rsidRPr="00732ED7">
              <w:rPr>
                <w:rFonts w:ascii="Arial" w:hAnsi="Arial" w:cs="Arial"/>
                <w:bCs/>
                <w:sz w:val="24"/>
                <w:szCs w:val="24"/>
              </w:rPr>
              <w:t>33.931.486/0009-98</w:t>
            </w:r>
          </w:p>
        </w:tc>
        <w:tc>
          <w:tcPr>
            <w:tcW w:w="3113" w:type="dxa"/>
          </w:tcPr>
          <w:p w14:paraId="1FDF76AA" w14:textId="4AE8837A" w:rsidR="00EF1640" w:rsidRPr="00732ED7" w:rsidRDefault="00EF1640" w:rsidP="00EF1640">
            <w:pPr>
              <w:spacing w:line="360" w:lineRule="auto"/>
              <w:jc w:val="center"/>
              <w:rPr>
                <w:rFonts w:ascii="Arial" w:hAnsi="Arial" w:cs="Arial"/>
                <w:bCs/>
                <w:sz w:val="24"/>
                <w:szCs w:val="24"/>
              </w:rPr>
            </w:pPr>
            <w:r w:rsidRPr="00732ED7">
              <w:rPr>
                <w:rFonts w:ascii="Arial" w:hAnsi="Arial" w:cs="Arial"/>
                <w:bCs/>
                <w:sz w:val="24"/>
                <w:szCs w:val="24"/>
              </w:rPr>
              <w:t>AR devolvido com a informação “Desconhecido”</w:t>
            </w:r>
          </w:p>
        </w:tc>
      </w:tr>
      <w:tr w:rsidR="00EF1640" w:rsidRPr="00732ED7" w14:paraId="4A2A7AC8" w14:textId="77777777" w:rsidTr="00EF1640">
        <w:tc>
          <w:tcPr>
            <w:tcW w:w="3539" w:type="dxa"/>
          </w:tcPr>
          <w:p w14:paraId="2F1F585B" w14:textId="387C28C4" w:rsidR="00EF1640" w:rsidRPr="00732ED7" w:rsidRDefault="00EF1640" w:rsidP="00340F05">
            <w:pPr>
              <w:spacing w:line="360" w:lineRule="auto"/>
              <w:jc w:val="both"/>
              <w:rPr>
                <w:rFonts w:ascii="Arial" w:hAnsi="Arial" w:cs="Arial"/>
                <w:bCs/>
                <w:sz w:val="24"/>
                <w:szCs w:val="24"/>
              </w:rPr>
            </w:pPr>
            <w:r w:rsidRPr="00732ED7">
              <w:rPr>
                <w:rFonts w:ascii="Arial" w:hAnsi="Arial" w:cs="Arial"/>
                <w:bCs/>
                <w:sz w:val="24"/>
                <w:szCs w:val="24"/>
              </w:rPr>
              <w:t>Supera Rx Medicamentos Ltda</w:t>
            </w:r>
          </w:p>
        </w:tc>
        <w:tc>
          <w:tcPr>
            <w:tcW w:w="2686" w:type="dxa"/>
          </w:tcPr>
          <w:p w14:paraId="608D6649" w14:textId="47154262" w:rsidR="00EF1640" w:rsidRPr="00732ED7" w:rsidRDefault="00EF1640" w:rsidP="00EF1640">
            <w:pPr>
              <w:spacing w:line="360" w:lineRule="auto"/>
              <w:jc w:val="center"/>
              <w:rPr>
                <w:rFonts w:ascii="Arial" w:hAnsi="Arial" w:cs="Arial"/>
                <w:bCs/>
                <w:sz w:val="24"/>
                <w:szCs w:val="24"/>
              </w:rPr>
            </w:pPr>
            <w:r w:rsidRPr="00732ED7">
              <w:rPr>
                <w:rFonts w:ascii="Arial" w:hAnsi="Arial" w:cs="Arial"/>
                <w:bCs/>
                <w:sz w:val="24"/>
                <w:szCs w:val="24"/>
              </w:rPr>
              <w:t>15.759.157/0002-53</w:t>
            </w:r>
          </w:p>
        </w:tc>
        <w:tc>
          <w:tcPr>
            <w:tcW w:w="3113" w:type="dxa"/>
          </w:tcPr>
          <w:p w14:paraId="2B99E672" w14:textId="6E10A993" w:rsidR="00EF1640" w:rsidRPr="00732ED7" w:rsidRDefault="00EF1640" w:rsidP="003434A3">
            <w:pPr>
              <w:spacing w:line="360" w:lineRule="auto"/>
              <w:jc w:val="center"/>
              <w:rPr>
                <w:rFonts w:ascii="Arial" w:hAnsi="Arial" w:cs="Arial"/>
                <w:bCs/>
                <w:sz w:val="24"/>
                <w:szCs w:val="24"/>
              </w:rPr>
            </w:pPr>
          </w:p>
        </w:tc>
      </w:tr>
      <w:tr w:rsidR="00EF1640" w:rsidRPr="004D3E28" w14:paraId="4B4DF4A9" w14:textId="77777777" w:rsidTr="00EF1640">
        <w:tc>
          <w:tcPr>
            <w:tcW w:w="3539" w:type="dxa"/>
          </w:tcPr>
          <w:p w14:paraId="5AB51C8D" w14:textId="51E8FD7D" w:rsidR="00EF1640" w:rsidRPr="00732ED7" w:rsidRDefault="00EF1640" w:rsidP="00EF1640">
            <w:pPr>
              <w:spacing w:line="360" w:lineRule="auto"/>
              <w:jc w:val="center"/>
              <w:rPr>
                <w:rFonts w:ascii="Arial" w:hAnsi="Arial" w:cs="Arial"/>
                <w:bCs/>
                <w:sz w:val="24"/>
                <w:szCs w:val="24"/>
              </w:rPr>
            </w:pPr>
            <w:r w:rsidRPr="00732ED7">
              <w:rPr>
                <w:rFonts w:ascii="Arial" w:hAnsi="Arial" w:cs="Arial"/>
                <w:bCs/>
                <w:sz w:val="24"/>
                <w:szCs w:val="24"/>
              </w:rPr>
              <w:t>Rio Vermelho Distribuição de Alimentos Ltda</w:t>
            </w:r>
          </w:p>
        </w:tc>
        <w:tc>
          <w:tcPr>
            <w:tcW w:w="2686" w:type="dxa"/>
          </w:tcPr>
          <w:p w14:paraId="71153B84" w14:textId="6308743D" w:rsidR="00EF1640" w:rsidRPr="00732ED7" w:rsidRDefault="00EF1640" w:rsidP="00EF1640">
            <w:pPr>
              <w:spacing w:line="360" w:lineRule="auto"/>
              <w:jc w:val="center"/>
              <w:rPr>
                <w:rFonts w:ascii="Arial" w:hAnsi="Arial" w:cs="Arial"/>
                <w:bCs/>
                <w:sz w:val="24"/>
                <w:szCs w:val="24"/>
              </w:rPr>
            </w:pPr>
            <w:r w:rsidRPr="00732ED7">
              <w:rPr>
                <w:rFonts w:ascii="Arial" w:hAnsi="Arial" w:cs="Arial"/>
                <w:bCs/>
                <w:sz w:val="24"/>
                <w:szCs w:val="24"/>
              </w:rPr>
              <w:t>10.912.900/0002-40</w:t>
            </w:r>
          </w:p>
        </w:tc>
        <w:tc>
          <w:tcPr>
            <w:tcW w:w="3113" w:type="dxa"/>
          </w:tcPr>
          <w:p w14:paraId="56991F2D" w14:textId="1FF8B176" w:rsidR="00EF1640" w:rsidRPr="004D3E28" w:rsidRDefault="00EF1640" w:rsidP="00EF1640">
            <w:pPr>
              <w:spacing w:line="360" w:lineRule="auto"/>
              <w:jc w:val="center"/>
              <w:rPr>
                <w:rFonts w:ascii="Arial" w:hAnsi="Arial" w:cs="Arial"/>
                <w:bCs/>
                <w:sz w:val="24"/>
                <w:szCs w:val="24"/>
              </w:rPr>
            </w:pPr>
            <w:r w:rsidRPr="00732ED7">
              <w:rPr>
                <w:rFonts w:ascii="Arial" w:hAnsi="Arial" w:cs="Arial"/>
                <w:bCs/>
                <w:sz w:val="24"/>
                <w:szCs w:val="24"/>
              </w:rPr>
              <w:t>AR enviado em 04/09/2019 e devolvido em 17/10/2019, sem resposta</w:t>
            </w:r>
          </w:p>
        </w:tc>
      </w:tr>
    </w:tbl>
    <w:p w14:paraId="6EB9741B" w14:textId="17619192" w:rsidR="00EF1640" w:rsidRPr="004D3E28" w:rsidRDefault="00EF1640" w:rsidP="00340F05">
      <w:pPr>
        <w:spacing w:line="360" w:lineRule="auto"/>
        <w:ind w:firstLine="851"/>
        <w:jc w:val="both"/>
        <w:rPr>
          <w:rFonts w:ascii="Arial" w:hAnsi="Arial" w:cs="Arial"/>
          <w:bCs/>
          <w:sz w:val="24"/>
          <w:szCs w:val="24"/>
        </w:rPr>
      </w:pPr>
    </w:p>
    <w:p w14:paraId="5127CB8F" w14:textId="77777777" w:rsidR="006356F1" w:rsidRDefault="006356F1" w:rsidP="006356F1">
      <w:pPr>
        <w:spacing w:line="360" w:lineRule="auto"/>
        <w:ind w:firstLine="851"/>
        <w:jc w:val="both"/>
        <w:rPr>
          <w:rFonts w:ascii="Arial" w:hAnsi="Arial" w:cs="Arial"/>
          <w:b/>
          <w:bCs/>
          <w:sz w:val="24"/>
          <w:szCs w:val="24"/>
          <w:u w:val="single"/>
        </w:rPr>
      </w:pPr>
    </w:p>
    <w:p w14:paraId="7EB90822" w14:textId="77777777" w:rsidR="006356F1" w:rsidRDefault="006356F1" w:rsidP="006356F1">
      <w:pPr>
        <w:spacing w:line="360" w:lineRule="auto"/>
        <w:ind w:firstLine="851"/>
        <w:jc w:val="both"/>
        <w:rPr>
          <w:rFonts w:ascii="Arial" w:hAnsi="Arial" w:cs="Arial"/>
          <w:b/>
          <w:bCs/>
          <w:sz w:val="24"/>
          <w:szCs w:val="24"/>
          <w:u w:val="single"/>
        </w:rPr>
      </w:pPr>
    </w:p>
    <w:p w14:paraId="1B7A02BB" w14:textId="77777777" w:rsidR="006356F1" w:rsidRDefault="006356F1" w:rsidP="006356F1">
      <w:pPr>
        <w:spacing w:line="360" w:lineRule="auto"/>
        <w:ind w:firstLine="851"/>
        <w:jc w:val="both"/>
        <w:rPr>
          <w:rFonts w:ascii="Arial" w:hAnsi="Arial" w:cs="Arial"/>
          <w:b/>
          <w:bCs/>
          <w:sz w:val="24"/>
          <w:szCs w:val="24"/>
          <w:u w:val="single"/>
        </w:rPr>
      </w:pPr>
    </w:p>
    <w:p w14:paraId="32C77582" w14:textId="77777777" w:rsidR="006356F1" w:rsidRDefault="006356F1" w:rsidP="006356F1">
      <w:pPr>
        <w:spacing w:line="360" w:lineRule="auto"/>
        <w:ind w:firstLine="851"/>
        <w:jc w:val="both"/>
        <w:rPr>
          <w:rFonts w:ascii="Arial" w:hAnsi="Arial" w:cs="Arial"/>
          <w:b/>
          <w:bCs/>
          <w:sz w:val="24"/>
          <w:szCs w:val="24"/>
          <w:u w:val="single"/>
        </w:rPr>
      </w:pPr>
    </w:p>
    <w:p w14:paraId="28F3D132" w14:textId="77777777" w:rsidR="006356F1" w:rsidRDefault="006356F1" w:rsidP="006356F1">
      <w:pPr>
        <w:spacing w:line="360" w:lineRule="auto"/>
        <w:ind w:firstLine="851"/>
        <w:jc w:val="both"/>
        <w:rPr>
          <w:rFonts w:ascii="Arial" w:hAnsi="Arial" w:cs="Arial"/>
          <w:b/>
          <w:bCs/>
          <w:sz w:val="24"/>
          <w:szCs w:val="24"/>
          <w:u w:val="single"/>
        </w:rPr>
      </w:pPr>
    </w:p>
    <w:p w14:paraId="29459CD9" w14:textId="77777777" w:rsidR="003434A3" w:rsidRDefault="003434A3" w:rsidP="006356F1">
      <w:pPr>
        <w:spacing w:line="360" w:lineRule="auto"/>
        <w:ind w:firstLine="851"/>
        <w:jc w:val="both"/>
        <w:rPr>
          <w:rFonts w:ascii="Arial" w:hAnsi="Arial" w:cs="Arial"/>
          <w:b/>
          <w:bCs/>
          <w:sz w:val="24"/>
          <w:szCs w:val="24"/>
          <w:u w:val="single"/>
        </w:rPr>
      </w:pPr>
    </w:p>
    <w:p w14:paraId="43D55408" w14:textId="77777777" w:rsidR="003434A3" w:rsidRDefault="003434A3" w:rsidP="006356F1">
      <w:pPr>
        <w:spacing w:line="360" w:lineRule="auto"/>
        <w:ind w:firstLine="851"/>
        <w:jc w:val="both"/>
        <w:rPr>
          <w:rFonts w:ascii="Arial" w:hAnsi="Arial" w:cs="Arial"/>
          <w:b/>
          <w:bCs/>
          <w:sz w:val="24"/>
          <w:szCs w:val="24"/>
          <w:u w:val="single"/>
        </w:rPr>
      </w:pPr>
    </w:p>
    <w:p w14:paraId="276690F0" w14:textId="77777777" w:rsidR="004D3E28" w:rsidRDefault="004D3E28" w:rsidP="006356F1">
      <w:pPr>
        <w:spacing w:line="360" w:lineRule="auto"/>
        <w:ind w:firstLine="851"/>
        <w:jc w:val="both"/>
        <w:rPr>
          <w:rFonts w:ascii="Arial" w:hAnsi="Arial" w:cs="Arial"/>
          <w:b/>
          <w:bCs/>
          <w:sz w:val="24"/>
          <w:szCs w:val="24"/>
          <w:u w:val="single"/>
        </w:rPr>
      </w:pPr>
    </w:p>
    <w:p w14:paraId="2CAD4441" w14:textId="106C5787" w:rsidR="006356F1" w:rsidRDefault="006356F1" w:rsidP="006356F1">
      <w:pPr>
        <w:spacing w:line="360" w:lineRule="auto"/>
        <w:ind w:firstLine="851"/>
        <w:jc w:val="both"/>
        <w:rPr>
          <w:rFonts w:ascii="Arial" w:hAnsi="Arial" w:cs="Arial"/>
          <w:b/>
          <w:bCs/>
          <w:sz w:val="24"/>
          <w:szCs w:val="24"/>
          <w:u w:val="single"/>
        </w:rPr>
      </w:pPr>
      <w:r w:rsidRPr="002C1696">
        <w:rPr>
          <w:rFonts w:ascii="Arial" w:hAnsi="Arial" w:cs="Arial"/>
          <w:b/>
          <w:bCs/>
          <w:sz w:val="24"/>
          <w:szCs w:val="24"/>
          <w:u w:val="single"/>
        </w:rPr>
        <w:lastRenderedPageBreak/>
        <w:t>10 – TRANSPARÊNCIA E COOPERAÇÃO INTERINSTITUCIONAL EM MATÉRIA DE INCENTIVOS FISCAIS DE ICMS</w:t>
      </w:r>
    </w:p>
    <w:p w14:paraId="0E204A55" w14:textId="77777777" w:rsidR="006356F1" w:rsidRDefault="006356F1" w:rsidP="006356F1">
      <w:pPr>
        <w:spacing w:line="360" w:lineRule="auto"/>
        <w:ind w:firstLine="851"/>
        <w:jc w:val="both"/>
        <w:rPr>
          <w:rFonts w:ascii="Arial" w:hAnsi="Arial" w:cs="Arial"/>
          <w:b/>
          <w:bCs/>
          <w:sz w:val="24"/>
          <w:szCs w:val="24"/>
          <w:u w:val="single"/>
        </w:rPr>
      </w:pPr>
    </w:p>
    <w:p w14:paraId="07D054C2" w14:textId="77777777" w:rsidR="006356F1" w:rsidRDefault="006356F1" w:rsidP="006356F1">
      <w:pPr>
        <w:spacing w:line="360" w:lineRule="auto"/>
        <w:ind w:firstLine="851"/>
        <w:jc w:val="both"/>
        <w:rPr>
          <w:rFonts w:ascii="Arial" w:hAnsi="Arial" w:cs="Arial"/>
          <w:sz w:val="24"/>
          <w:szCs w:val="24"/>
        </w:rPr>
      </w:pPr>
      <w:r w:rsidRPr="0005349E">
        <w:rPr>
          <w:rFonts w:ascii="Arial" w:hAnsi="Arial" w:cs="Arial"/>
          <w:b/>
          <w:bCs/>
          <w:sz w:val="24"/>
          <w:szCs w:val="24"/>
        </w:rPr>
        <w:t xml:space="preserve">10.1. </w:t>
      </w:r>
      <w:r w:rsidRPr="006E2C3E">
        <w:rPr>
          <w:rFonts w:ascii="Arial" w:hAnsi="Arial" w:cs="Arial"/>
          <w:sz w:val="24"/>
          <w:szCs w:val="24"/>
        </w:rPr>
        <w:t>Os</w:t>
      </w:r>
      <w:r>
        <w:rPr>
          <w:rFonts w:ascii="Arial" w:hAnsi="Arial" w:cs="Arial"/>
          <w:sz w:val="24"/>
          <w:szCs w:val="24"/>
        </w:rPr>
        <w:t xml:space="preserve"> incentivos fiscais, por implicarem </w:t>
      </w:r>
      <w:r w:rsidRPr="008A1933">
        <w:rPr>
          <w:rFonts w:ascii="Arial" w:hAnsi="Arial" w:cs="Arial"/>
          <w:b/>
          <w:bCs/>
          <w:sz w:val="24"/>
          <w:szCs w:val="24"/>
          <w:u w:val="single"/>
        </w:rPr>
        <w:t>renúncia de receitas públicas</w:t>
      </w:r>
      <w:r w:rsidRPr="008A1933">
        <w:rPr>
          <w:rFonts w:ascii="Arial" w:hAnsi="Arial" w:cs="Arial"/>
          <w:b/>
          <w:bCs/>
          <w:sz w:val="24"/>
          <w:szCs w:val="24"/>
        </w:rPr>
        <w:t>, devem ser concedidos e fruídos à luz de critérios constitucionais e legais bem definidos</w:t>
      </w:r>
      <w:r>
        <w:rPr>
          <w:rFonts w:ascii="Arial" w:hAnsi="Arial" w:cs="Arial"/>
          <w:sz w:val="24"/>
          <w:szCs w:val="24"/>
        </w:rPr>
        <w:t>, o que autoriza dizer, inequivocamente, que referidos incentivos equivalem a verdadeira política pública de Estado.</w:t>
      </w:r>
    </w:p>
    <w:p w14:paraId="5E503A97" w14:textId="77777777" w:rsidR="006356F1" w:rsidRDefault="006356F1" w:rsidP="006356F1">
      <w:pPr>
        <w:spacing w:line="360" w:lineRule="auto"/>
        <w:ind w:firstLine="851"/>
        <w:jc w:val="both"/>
        <w:rPr>
          <w:rFonts w:ascii="Arial" w:hAnsi="Arial" w:cs="Arial"/>
          <w:sz w:val="24"/>
          <w:szCs w:val="24"/>
        </w:rPr>
      </w:pPr>
      <w:r w:rsidRPr="008A1933">
        <w:rPr>
          <w:rFonts w:ascii="Arial" w:hAnsi="Arial" w:cs="Arial"/>
          <w:b/>
          <w:bCs/>
          <w:sz w:val="24"/>
          <w:szCs w:val="24"/>
        </w:rPr>
        <w:t>Como qualquer política pública estatal, os incentivos fiscais devem se submeter a rígidos parâmetros de controle e transparência</w:t>
      </w:r>
      <w:r>
        <w:rPr>
          <w:rFonts w:ascii="Arial" w:hAnsi="Arial" w:cs="Arial"/>
          <w:sz w:val="24"/>
          <w:szCs w:val="24"/>
        </w:rPr>
        <w:t>, a fim de permitir o amplo acesso dos órgãos de controle e até mesmo da população em geral às informações necessárias à aferição do respeito à legalidade e aos critérios de conveniência e oportunidade na concessão/manutenção dos referidos incentivos; portanto, o controle estatal e social será tanto mais efetivo quanto maior for a transparência conferida.</w:t>
      </w:r>
    </w:p>
    <w:p w14:paraId="46E4A1D3" w14:textId="77777777" w:rsidR="006356F1" w:rsidRDefault="006356F1" w:rsidP="006356F1">
      <w:pPr>
        <w:spacing w:line="360" w:lineRule="auto"/>
        <w:ind w:firstLine="851"/>
        <w:jc w:val="both"/>
        <w:rPr>
          <w:rFonts w:ascii="Arial" w:hAnsi="Arial" w:cs="Arial"/>
          <w:sz w:val="24"/>
          <w:szCs w:val="24"/>
        </w:rPr>
      </w:pPr>
      <w:r w:rsidRPr="001E23DD">
        <w:rPr>
          <w:rFonts w:ascii="Arial" w:hAnsi="Arial" w:cs="Arial"/>
          <w:b/>
          <w:bCs/>
          <w:sz w:val="24"/>
          <w:szCs w:val="24"/>
        </w:rPr>
        <w:t>Um sistema tributário coerente recomendaria, inclusive, plena transparência ativa sobre incentivos</w:t>
      </w:r>
      <w:r>
        <w:rPr>
          <w:rFonts w:ascii="Arial" w:hAnsi="Arial" w:cs="Arial"/>
          <w:sz w:val="24"/>
          <w:szCs w:val="24"/>
        </w:rPr>
        <w:t xml:space="preserve"> </w:t>
      </w:r>
      <w:r w:rsidRPr="001E23DD">
        <w:rPr>
          <w:rFonts w:ascii="Arial" w:hAnsi="Arial" w:cs="Arial"/>
          <w:b/>
          <w:bCs/>
          <w:sz w:val="24"/>
          <w:szCs w:val="24"/>
        </w:rPr>
        <w:t>fiscais</w:t>
      </w:r>
      <w:r>
        <w:rPr>
          <w:rFonts w:ascii="Arial" w:hAnsi="Arial" w:cs="Arial"/>
          <w:sz w:val="24"/>
          <w:szCs w:val="24"/>
        </w:rPr>
        <w:t>, no sentido de que informações detalhadas a respeito desses incentivos fossem publicadas no Portal da Transparência do Governo do Estado de Goiás, inclusive de forma individualizada por empresa, com referência a valores concedidos e fruídos por determinado período de tempo, íntegra dos TARE’s firmados, relatórios de fiscalização realizados etc.</w:t>
      </w:r>
    </w:p>
    <w:p w14:paraId="4C20F5DE"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Contudo, o que se observa na prática é que </w:t>
      </w:r>
      <w:r w:rsidRPr="001E23DD">
        <w:rPr>
          <w:rFonts w:ascii="Arial" w:hAnsi="Arial" w:cs="Arial"/>
          <w:b/>
          <w:bCs/>
          <w:sz w:val="24"/>
          <w:szCs w:val="24"/>
        </w:rPr>
        <w:t>as Secretarias de Estado da Fazenda/Economia dos Estados-membros e do próprio Governo Federal, em geral, não conferem qualquer publicidade ativa a essa</w:t>
      </w:r>
      <w:r>
        <w:rPr>
          <w:rFonts w:ascii="Arial" w:hAnsi="Arial" w:cs="Arial"/>
          <w:b/>
          <w:bCs/>
          <w:sz w:val="24"/>
          <w:szCs w:val="24"/>
        </w:rPr>
        <w:t>s</w:t>
      </w:r>
      <w:r w:rsidRPr="001E23DD">
        <w:rPr>
          <w:rFonts w:ascii="Arial" w:hAnsi="Arial" w:cs="Arial"/>
          <w:b/>
          <w:bCs/>
          <w:sz w:val="24"/>
          <w:szCs w:val="24"/>
        </w:rPr>
        <w:t xml:space="preserve"> informações</w:t>
      </w:r>
      <w:r>
        <w:rPr>
          <w:rFonts w:ascii="Arial" w:hAnsi="Arial" w:cs="Arial"/>
          <w:sz w:val="24"/>
          <w:szCs w:val="24"/>
        </w:rPr>
        <w:t xml:space="preserve">, ao menos não de forma individualizada por pessoa jurídica (CNPJ), sob o argumento de que essas informações estariam protegidas por sigilo fiscal, com base no </w:t>
      </w:r>
      <w:r w:rsidRPr="00C370F3">
        <w:rPr>
          <w:rFonts w:ascii="Arial" w:hAnsi="Arial" w:cs="Arial"/>
          <w:i/>
          <w:iCs/>
          <w:sz w:val="24"/>
          <w:szCs w:val="24"/>
        </w:rPr>
        <w:t>caput</w:t>
      </w:r>
      <w:r>
        <w:rPr>
          <w:rFonts w:ascii="Arial" w:hAnsi="Arial" w:cs="Arial"/>
          <w:sz w:val="24"/>
          <w:szCs w:val="24"/>
        </w:rPr>
        <w:t xml:space="preserve"> do art. 198 do CTN</w:t>
      </w:r>
      <w:r>
        <w:rPr>
          <w:rStyle w:val="Refdenotaderodap"/>
          <w:rFonts w:ascii="Arial" w:hAnsi="Arial" w:cs="Arial"/>
          <w:sz w:val="24"/>
          <w:szCs w:val="24"/>
        </w:rPr>
        <w:footnoteReference w:id="107"/>
      </w:r>
      <w:r>
        <w:rPr>
          <w:rFonts w:ascii="Arial" w:hAnsi="Arial" w:cs="Arial"/>
          <w:sz w:val="24"/>
          <w:szCs w:val="24"/>
        </w:rPr>
        <w:t>; e, pior, ainda contam com o beneplácito do STF no tocante a essa interpretação</w:t>
      </w:r>
      <w:r>
        <w:rPr>
          <w:rStyle w:val="Refdenotaderodap"/>
          <w:rFonts w:ascii="Arial" w:hAnsi="Arial" w:cs="Arial"/>
          <w:sz w:val="24"/>
          <w:szCs w:val="24"/>
        </w:rPr>
        <w:footnoteReference w:id="108"/>
      </w:r>
      <w:r>
        <w:rPr>
          <w:rFonts w:ascii="Arial" w:hAnsi="Arial" w:cs="Arial"/>
          <w:sz w:val="24"/>
          <w:szCs w:val="24"/>
        </w:rPr>
        <w:t>. Não obstante, entende-se</w:t>
      </w:r>
      <w:r w:rsidRPr="000412E4">
        <w:rPr>
          <w:rFonts w:ascii="Arial" w:hAnsi="Arial" w:cs="Arial"/>
          <w:b/>
          <w:bCs/>
          <w:sz w:val="24"/>
          <w:szCs w:val="24"/>
        </w:rPr>
        <w:t xml:space="preserve"> </w:t>
      </w:r>
      <w:r w:rsidRPr="00FC51A0">
        <w:rPr>
          <w:rFonts w:ascii="Arial" w:hAnsi="Arial" w:cs="Arial"/>
          <w:sz w:val="24"/>
          <w:szCs w:val="24"/>
        </w:rPr>
        <w:t>que</w:t>
      </w:r>
      <w:r w:rsidRPr="000412E4">
        <w:rPr>
          <w:rFonts w:ascii="Arial" w:hAnsi="Arial" w:cs="Arial"/>
          <w:b/>
          <w:bCs/>
          <w:sz w:val="24"/>
          <w:szCs w:val="24"/>
        </w:rPr>
        <w:t xml:space="preserve"> essa exegese merece</w:t>
      </w:r>
      <w:r>
        <w:rPr>
          <w:rFonts w:ascii="Arial" w:hAnsi="Arial" w:cs="Arial"/>
          <w:b/>
          <w:bCs/>
          <w:sz w:val="24"/>
          <w:szCs w:val="24"/>
        </w:rPr>
        <w:t xml:space="preserve"> pronta</w:t>
      </w:r>
      <w:r w:rsidRPr="000412E4">
        <w:rPr>
          <w:rFonts w:ascii="Arial" w:hAnsi="Arial" w:cs="Arial"/>
          <w:b/>
          <w:bCs/>
          <w:sz w:val="24"/>
          <w:szCs w:val="24"/>
        </w:rPr>
        <w:t xml:space="preserve"> revisão pelo STF, </w:t>
      </w:r>
      <w:r>
        <w:rPr>
          <w:rFonts w:ascii="Arial" w:hAnsi="Arial" w:cs="Arial"/>
          <w:b/>
          <w:bCs/>
          <w:sz w:val="24"/>
          <w:szCs w:val="24"/>
        </w:rPr>
        <w:t>visto</w:t>
      </w:r>
      <w:r w:rsidRPr="000412E4">
        <w:rPr>
          <w:rFonts w:ascii="Arial" w:hAnsi="Arial" w:cs="Arial"/>
          <w:b/>
          <w:bCs/>
          <w:sz w:val="24"/>
          <w:szCs w:val="24"/>
        </w:rPr>
        <w:t xml:space="preserve"> que</w:t>
      </w:r>
      <w:r>
        <w:rPr>
          <w:rFonts w:ascii="Arial" w:hAnsi="Arial" w:cs="Arial"/>
          <w:sz w:val="24"/>
          <w:szCs w:val="24"/>
        </w:rPr>
        <w:t xml:space="preserve">: </w:t>
      </w:r>
    </w:p>
    <w:p w14:paraId="278513CD" w14:textId="77777777" w:rsidR="006356F1" w:rsidRPr="00FC51A0" w:rsidRDefault="006356F1" w:rsidP="00502615">
      <w:pPr>
        <w:pStyle w:val="PargrafodaLista"/>
        <w:numPr>
          <w:ilvl w:val="0"/>
          <w:numId w:val="49"/>
        </w:numPr>
        <w:spacing w:line="360" w:lineRule="auto"/>
        <w:jc w:val="both"/>
        <w:rPr>
          <w:rFonts w:ascii="Arial" w:hAnsi="Arial" w:cs="Arial"/>
          <w:sz w:val="24"/>
          <w:szCs w:val="24"/>
        </w:rPr>
      </w:pPr>
      <w:r w:rsidRPr="00FC51A0">
        <w:rPr>
          <w:rFonts w:ascii="Arial" w:hAnsi="Arial" w:cs="Arial"/>
          <w:sz w:val="24"/>
          <w:szCs w:val="24"/>
          <w:u w:val="single"/>
        </w:rPr>
        <w:lastRenderedPageBreak/>
        <w:t>os incentivos fiscais, apesar de constituírem gastos tributários na acepção da Receita Federal</w:t>
      </w:r>
      <w:r w:rsidRPr="000412E4">
        <w:rPr>
          <w:rStyle w:val="Refdenotaderodap"/>
          <w:rFonts w:ascii="Arial" w:hAnsi="Arial" w:cs="Arial"/>
          <w:sz w:val="24"/>
          <w:szCs w:val="24"/>
          <w:u w:val="single"/>
        </w:rPr>
        <w:footnoteReference w:id="109"/>
      </w:r>
      <w:r w:rsidRPr="00FC51A0">
        <w:rPr>
          <w:rFonts w:ascii="Arial" w:hAnsi="Arial" w:cs="Arial"/>
          <w:sz w:val="24"/>
          <w:szCs w:val="24"/>
          <w:u w:val="single"/>
        </w:rPr>
        <w:t>, constituem, antes, política pública de Estado</w:t>
      </w:r>
      <w:r w:rsidRPr="00FC51A0">
        <w:rPr>
          <w:rFonts w:ascii="Arial" w:hAnsi="Arial" w:cs="Arial"/>
          <w:sz w:val="24"/>
          <w:szCs w:val="24"/>
        </w:rPr>
        <w:t>, que utiliza como instrumento a renúncia de receitas</w:t>
      </w:r>
      <w:r>
        <w:rPr>
          <w:rFonts w:ascii="Arial" w:hAnsi="Arial" w:cs="Arial"/>
          <w:sz w:val="24"/>
          <w:szCs w:val="24"/>
        </w:rPr>
        <w:t xml:space="preserve"> para alcançar finalidades de promoção do desenvolvimento econômico e social</w:t>
      </w:r>
      <w:r w:rsidRPr="00FC51A0">
        <w:rPr>
          <w:rFonts w:ascii="Arial" w:hAnsi="Arial" w:cs="Arial"/>
          <w:sz w:val="24"/>
          <w:szCs w:val="24"/>
        </w:rPr>
        <w:t>;</w:t>
      </w:r>
    </w:p>
    <w:p w14:paraId="37556442" w14:textId="77777777" w:rsidR="006356F1" w:rsidRDefault="006356F1" w:rsidP="00502615">
      <w:pPr>
        <w:pStyle w:val="PargrafodaLista"/>
        <w:numPr>
          <w:ilvl w:val="0"/>
          <w:numId w:val="49"/>
        </w:numPr>
        <w:spacing w:line="360" w:lineRule="auto"/>
        <w:jc w:val="both"/>
        <w:rPr>
          <w:rFonts w:ascii="Arial" w:hAnsi="Arial" w:cs="Arial"/>
          <w:sz w:val="24"/>
          <w:szCs w:val="24"/>
        </w:rPr>
      </w:pPr>
      <w:r w:rsidRPr="00137BC5">
        <w:rPr>
          <w:rFonts w:ascii="Arial" w:hAnsi="Arial" w:cs="Arial"/>
          <w:sz w:val="24"/>
          <w:szCs w:val="24"/>
          <w:u w:val="single"/>
        </w:rPr>
        <w:t>como toda e qualquer política pública, os incentivos fiscais devem se sujeitar a todas as espécies de controle interno e externo</w:t>
      </w:r>
      <w:r w:rsidRPr="00FC51A0">
        <w:rPr>
          <w:rFonts w:ascii="Arial" w:hAnsi="Arial" w:cs="Arial"/>
          <w:sz w:val="24"/>
          <w:szCs w:val="24"/>
        </w:rPr>
        <w:t xml:space="preserve">, compreendido neste último o </w:t>
      </w:r>
      <w:r w:rsidRPr="00137BC5">
        <w:rPr>
          <w:rFonts w:ascii="Arial" w:hAnsi="Arial" w:cs="Arial"/>
          <w:sz w:val="24"/>
          <w:szCs w:val="24"/>
        </w:rPr>
        <w:t>controle técnico (de legalidade, quanto ao cumprimento dos requisitos constitucionais e legais, bem como contrapartidas exigidas eventualmente exigidas para concessão e fruição) e político (quanto à conveniência e oportunidade na manutenção do benefício)</w:t>
      </w:r>
      <w:r>
        <w:rPr>
          <w:rFonts w:ascii="Arial" w:hAnsi="Arial" w:cs="Arial"/>
          <w:sz w:val="24"/>
          <w:szCs w:val="24"/>
        </w:rPr>
        <w:t>, por todos os órgãos fiscalizadores competentes (Controladoria-Geral do Estado; Tribunal de Contas; Ministério Público, além do próprio control</w:t>
      </w:r>
      <w:r w:rsidRPr="00137BC5">
        <w:rPr>
          <w:rFonts w:ascii="Arial" w:hAnsi="Arial" w:cs="Arial"/>
          <w:sz w:val="24"/>
          <w:szCs w:val="24"/>
        </w:rPr>
        <w:t>e social</w:t>
      </w:r>
      <w:r w:rsidRPr="00FC51A0">
        <w:rPr>
          <w:rFonts w:ascii="Arial" w:hAnsi="Arial" w:cs="Arial"/>
          <w:sz w:val="24"/>
          <w:szCs w:val="24"/>
        </w:rPr>
        <w:t xml:space="preserve">; </w:t>
      </w:r>
    </w:p>
    <w:p w14:paraId="61F40813" w14:textId="77777777" w:rsidR="006356F1" w:rsidRDefault="006356F1" w:rsidP="00502615">
      <w:pPr>
        <w:pStyle w:val="PargrafodaLista"/>
        <w:numPr>
          <w:ilvl w:val="0"/>
          <w:numId w:val="49"/>
        </w:numPr>
        <w:spacing w:line="360" w:lineRule="auto"/>
        <w:jc w:val="both"/>
        <w:rPr>
          <w:rFonts w:ascii="Arial" w:hAnsi="Arial" w:cs="Arial"/>
          <w:sz w:val="24"/>
          <w:szCs w:val="24"/>
        </w:rPr>
      </w:pPr>
      <w:r>
        <w:rPr>
          <w:rFonts w:ascii="Arial" w:hAnsi="Arial" w:cs="Arial"/>
          <w:sz w:val="24"/>
          <w:szCs w:val="24"/>
        </w:rPr>
        <w:t>“</w:t>
      </w:r>
      <w:r w:rsidRPr="00137BC5">
        <w:rPr>
          <w:rFonts w:ascii="Arial" w:hAnsi="Arial" w:cs="Arial"/>
          <w:sz w:val="24"/>
          <w:szCs w:val="24"/>
          <w:u w:val="single"/>
        </w:rPr>
        <w:t>todos têm direito a receber dos órgãos públicos informações de seu interesse particular, ou de interesse coletivo ou geral</w:t>
      </w:r>
      <w:r w:rsidRPr="00137BC5">
        <w:rPr>
          <w:rFonts w:ascii="Arial" w:hAnsi="Arial" w:cs="Arial"/>
          <w:sz w:val="24"/>
          <w:szCs w:val="24"/>
        </w:rPr>
        <w:t>, que serão prestadas no prazo da lei, sob pena de responsabilidade, ressalvadas aquelas cujo sigilo seja imprescindível à segurança da sociedade e do Estado</w:t>
      </w:r>
      <w:r>
        <w:rPr>
          <w:rFonts w:ascii="Arial" w:hAnsi="Arial" w:cs="Arial"/>
          <w:sz w:val="24"/>
          <w:szCs w:val="24"/>
        </w:rPr>
        <w:t>”</w:t>
      </w:r>
      <w:r w:rsidRPr="00137BC5">
        <w:rPr>
          <w:rFonts w:ascii="Arial" w:hAnsi="Arial" w:cs="Arial"/>
          <w:sz w:val="24"/>
          <w:szCs w:val="24"/>
        </w:rPr>
        <w:t xml:space="preserve"> (CRFB, art. 5º, XXXIII); </w:t>
      </w:r>
    </w:p>
    <w:p w14:paraId="69E6A168" w14:textId="77777777" w:rsidR="006356F1" w:rsidRDefault="006356F1" w:rsidP="00502615">
      <w:pPr>
        <w:pStyle w:val="PargrafodaLista"/>
        <w:numPr>
          <w:ilvl w:val="0"/>
          <w:numId w:val="49"/>
        </w:numPr>
        <w:spacing w:line="360" w:lineRule="auto"/>
        <w:jc w:val="both"/>
        <w:rPr>
          <w:rFonts w:ascii="Arial" w:hAnsi="Arial" w:cs="Arial"/>
          <w:sz w:val="24"/>
          <w:szCs w:val="24"/>
        </w:rPr>
      </w:pPr>
      <w:r>
        <w:rPr>
          <w:rFonts w:ascii="Arial" w:hAnsi="Arial" w:cs="Arial"/>
          <w:sz w:val="24"/>
          <w:szCs w:val="24"/>
        </w:rPr>
        <w:t>“</w:t>
      </w:r>
      <w:r w:rsidRPr="00DD524A">
        <w:rPr>
          <w:rFonts w:ascii="Arial" w:hAnsi="Arial" w:cs="Arial"/>
          <w:sz w:val="24"/>
          <w:szCs w:val="24"/>
          <w:u w:val="single"/>
        </w:rPr>
        <w:t>é dever dos órgãos e entidades públicas promover, independentemente de requerimentos, a divulgação em local de fácil acesso, no âmbito de suas competências, de informações de interesse coletivo ou geral por eles produzidas ou custodiadas</w:t>
      </w:r>
      <w:r>
        <w:rPr>
          <w:rFonts w:ascii="Arial" w:hAnsi="Arial" w:cs="Arial"/>
          <w:sz w:val="24"/>
          <w:szCs w:val="24"/>
        </w:rPr>
        <w:t>” (Lei federal nº 12.527/2011, art. 8º), e no âmbito da legislação estadual ainda há a expressa exigência de ser “</w:t>
      </w:r>
      <w:r w:rsidRPr="00A731EE">
        <w:rPr>
          <w:rFonts w:ascii="Arial" w:hAnsi="Arial" w:cs="Arial"/>
          <w:sz w:val="24"/>
          <w:szCs w:val="24"/>
        </w:rPr>
        <w:t>obrigatória a sua disponibilização em seus sítios na Internet, local em que deverá ser implementada seção específica para a divulgação de tais dados</w:t>
      </w:r>
      <w:r>
        <w:rPr>
          <w:rFonts w:ascii="Arial" w:hAnsi="Arial" w:cs="Arial"/>
          <w:sz w:val="24"/>
          <w:szCs w:val="24"/>
        </w:rPr>
        <w:t>” (Lei nº 18.025/2013, art. 6º);</w:t>
      </w:r>
    </w:p>
    <w:p w14:paraId="4FCB112F" w14:textId="77777777" w:rsidR="006356F1" w:rsidRDefault="006356F1" w:rsidP="00502615">
      <w:pPr>
        <w:pStyle w:val="PargrafodaLista"/>
        <w:numPr>
          <w:ilvl w:val="0"/>
          <w:numId w:val="49"/>
        </w:numPr>
        <w:spacing w:line="360" w:lineRule="auto"/>
        <w:jc w:val="both"/>
        <w:rPr>
          <w:rFonts w:ascii="Arial" w:hAnsi="Arial" w:cs="Arial"/>
          <w:sz w:val="24"/>
          <w:szCs w:val="24"/>
        </w:rPr>
      </w:pPr>
      <w:r w:rsidRPr="00137BC5">
        <w:rPr>
          <w:rFonts w:ascii="Arial" w:hAnsi="Arial" w:cs="Arial"/>
          <w:sz w:val="24"/>
          <w:szCs w:val="24"/>
          <w:u w:val="single"/>
        </w:rPr>
        <w:t xml:space="preserve">as informações relativas a incentivos fiscais </w:t>
      </w:r>
      <w:r>
        <w:rPr>
          <w:rFonts w:ascii="Arial" w:hAnsi="Arial" w:cs="Arial"/>
          <w:sz w:val="24"/>
          <w:szCs w:val="24"/>
          <w:u w:val="single"/>
        </w:rPr>
        <w:t>ostentam</w:t>
      </w:r>
      <w:r w:rsidRPr="00137BC5">
        <w:rPr>
          <w:rFonts w:ascii="Arial" w:hAnsi="Arial" w:cs="Arial"/>
          <w:sz w:val="24"/>
          <w:szCs w:val="24"/>
          <w:u w:val="single"/>
        </w:rPr>
        <w:t xml:space="preserve"> inequívoc</w:t>
      </w:r>
      <w:r>
        <w:rPr>
          <w:rFonts w:ascii="Arial" w:hAnsi="Arial" w:cs="Arial"/>
          <w:sz w:val="24"/>
          <w:szCs w:val="24"/>
          <w:u w:val="single"/>
        </w:rPr>
        <w:t>o interesse coletivo ou geral</w:t>
      </w:r>
      <w:r>
        <w:rPr>
          <w:rFonts w:ascii="Arial" w:hAnsi="Arial" w:cs="Arial"/>
          <w:sz w:val="24"/>
          <w:szCs w:val="24"/>
        </w:rPr>
        <w:t xml:space="preserve">, inclusive quanto a determinadas empresas, porquanto somente a partir dessas informações é que se poderão verificar distorções específicas e os órgãos de controle tomarem as devidas providências, de modo que o disposto no art. 5º, </w:t>
      </w:r>
      <w:r w:rsidRPr="00137BC5">
        <w:rPr>
          <w:rFonts w:ascii="Arial" w:hAnsi="Arial" w:cs="Arial"/>
          <w:sz w:val="24"/>
          <w:szCs w:val="24"/>
        </w:rPr>
        <w:t>XXXIII</w:t>
      </w:r>
      <w:r>
        <w:rPr>
          <w:rFonts w:ascii="Arial" w:hAnsi="Arial" w:cs="Arial"/>
          <w:sz w:val="24"/>
          <w:szCs w:val="24"/>
        </w:rPr>
        <w:t xml:space="preserve">, da CRFB e nas legislação federal e </w:t>
      </w:r>
      <w:r>
        <w:rPr>
          <w:rFonts w:ascii="Arial" w:hAnsi="Arial" w:cs="Arial"/>
          <w:sz w:val="24"/>
          <w:szCs w:val="24"/>
        </w:rPr>
        <w:lastRenderedPageBreak/>
        <w:t xml:space="preserve">estadual de acesso à informação devem preponderar sobre a norma do </w:t>
      </w:r>
      <w:r w:rsidRPr="00646F64">
        <w:rPr>
          <w:rFonts w:ascii="Arial" w:hAnsi="Arial" w:cs="Arial"/>
          <w:i/>
          <w:iCs/>
          <w:sz w:val="24"/>
          <w:szCs w:val="24"/>
        </w:rPr>
        <w:t>caput</w:t>
      </w:r>
      <w:r>
        <w:rPr>
          <w:rFonts w:ascii="Arial" w:hAnsi="Arial" w:cs="Arial"/>
          <w:sz w:val="24"/>
          <w:szCs w:val="24"/>
        </w:rPr>
        <w:t xml:space="preserve"> do art. 198 do CTN, ainda que admitido eventual conflito de normas;</w:t>
      </w:r>
    </w:p>
    <w:p w14:paraId="3C5F2253" w14:textId="77777777" w:rsidR="006356F1" w:rsidRPr="00137BC5" w:rsidRDefault="006356F1" w:rsidP="00502615">
      <w:pPr>
        <w:pStyle w:val="PargrafodaLista"/>
        <w:numPr>
          <w:ilvl w:val="0"/>
          <w:numId w:val="49"/>
        </w:numPr>
        <w:spacing w:line="360" w:lineRule="auto"/>
        <w:jc w:val="both"/>
        <w:rPr>
          <w:rFonts w:ascii="Arial" w:hAnsi="Arial" w:cs="Arial"/>
          <w:sz w:val="24"/>
          <w:szCs w:val="24"/>
        </w:rPr>
      </w:pPr>
      <w:r w:rsidRPr="00EE1E6D">
        <w:rPr>
          <w:rFonts w:ascii="Arial" w:hAnsi="Arial" w:cs="Arial"/>
          <w:sz w:val="24"/>
          <w:szCs w:val="24"/>
          <w:u w:val="single"/>
        </w:rPr>
        <w:t>o ordenamento jurídico prevê normas de responsabilidade na gestão fiscal e impõe ao gestor ação planejada em diversos aspectos</w:t>
      </w:r>
      <w:r>
        <w:rPr>
          <w:rFonts w:ascii="Arial" w:hAnsi="Arial" w:cs="Arial"/>
          <w:sz w:val="24"/>
          <w:szCs w:val="24"/>
        </w:rPr>
        <w:t>, inclusive no tocante a renúncia de receitas</w:t>
      </w:r>
      <w:r w:rsidRPr="00137BC5">
        <w:rPr>
          <w:rFonts w:ascii="Arial" w:hAnsi="Arial" w:cs="Arial"/>
          <w:sz w:val="24"/>
          <w:szCs w:val="24"/>
        </w:rPr>
        <w:t xml:space="preserve"> (CRFB, art. 165</w:t>
      </w:r>
      <w:r>
        <w:rPr>
          <w:rFonts w:ascii="Arial" w:hAnsi="Arial" w:cs="Arial"/>
          <w:sz w:val="24"/>
          <w:szCs w:val="24"/>
        </w:rPr>
        <w:t>, § 5º; CE/GO, art. 110, § 6º</w:t>
      </w:r>
      <w:r w:rsidRPr="00137BC5">
        <w:rPr>
          <w:rFonts w:ascii="Arial" w:hAnsi="Arial" w:cs="Arial"/>
          <w:sz w:val="24"/>
          <w:szCs w:val="24"/>
        </w:rPr>
        <w:t>; LRF, arts. 1º a 14).</w:t>
      </w:r>
    </w:p>
    <w:p w14:paraId="28B4935C" w14:textId="18A996DF" w:rsidR="006356F1" w:rsidRDefault="006356F1" w:rsidP="006356F1">
      <w:pPr>
        <w:spacing w:line="360" w:lineRule="auto"/>
        <w:ind w:firstLine="851"/>
        <w:jc w:val="both"/>
        <w:rPr>
          <w:rFonts w:ascii="Arial" w:hAnsi="Arial" w:cs="Arial"/>
          <w:bCs/>
          <w:sz w:val="24"/>
          <w:szCs w:val="24"/>
        </w:rPr>
      </w:pPr>
      <w:r>
        <w:rPr>
          <w:rFonts w:ascii="Arial" w:hAnsi="Arial" w:cs="Arial"/>
          <w:b/>
          <w:sz w:val="24"/>
          <w:szCs w:val="24"/>
        </w:rPr>
        <w:t>Contudo, tendo em vista o impasse com o entendimento do STF a respeito</w:t>
      </w:r>
      <w:r w:rsidRPr="009E024E">
        <w:rPr>
          <w:rFonts w:ascii="Arial" w:hAnsi="Arial" w:cs="Arial"/>
          <w:b/>
          <w:sz w:val="24"/>
          <w:szCs w:val="24"/>
        </w:rPr>
        <w:t xml:space="preserve">, </w:t>
      </w:r>
      <w:r>
        <w:rPr>
          <w:rFonts w:ascii="Arial" w:hAnsi="Arial" w:cs="Arial"/>
          <w:b/>
          <w:sz w:val="24"/>
          <w:szCs w:val="24"/>
        </w:rPr>
        <w:t xml:space="preserve">entende-se que </w:t>
      </w:r>
      <w:r w:rsidRPr="009E024E">
        <w:rPr>
          <w:rFonts w:ascii="Arial" w:hAnsi="Arial" w:cs="Arial"/>
          <w:b/>
          <w:sz w:val="24"/>
          <w:szCs w:val="24"/>
        </w:rPr>
        <w:t xml:space="preserve">cabe </w:t>
      </w:r>
      <w:r w:rsidRPr="00877C9A">
        <w:rPr>
          <w:rFonts w:ascii="Arial" w:hAnsi="Arial" w:cs="Arial"/>
          <w:b/>
          <w:sz w:val="24"/>
          <w:szCs w:val="24"/>
        </w:rPr>
        <w:t>uma recomendação ao Governador do Estado de Goiás para este momento de forte crise o qual alega estar o Estado atravessando</w:t>
      </w:r>
      <w:r w:rsidRPr="00877C9A">
        <w:rPr>
          <w:rFonts w:ascii="Arial" w:hAnsi="Arial" w:cs="Arial"/>
          <w:bCs/>
          <w:sz w:val="24"/>
          <w:szCs w:val="24"/>
        </w:rPr>
        <w:t>: que convoque todas as pessoas signatárias de TARE’s</w:t>
      </w:r>
      <w:r w:rsidR="00B32E51">
        <w:rPr>
          <w:rFonts w:ascii="Arial" w:hAnsi="Arial" w:cs="Arial"/>
          <w:bCs/>
          <w:sz w:val="24"/>
          <w:szCs w:val="24"/>
        </w:rPr>
        <w:t xml:space="preserve"> para</w:t>
      </w:r>
      <w:r w:rsidRPr="00877C9A">
        <w:rPr>
          <w:rFonts w:ascii="Arial" w:hAnsi="Arial" w:cs="Arial"/>
          <w:bCs/>
          <w:sz w:val="24"/>
          <w:szCs w:val="24"/>
        </w:rPr>
        <w:t xml:space="preserve"> revisá-los no intuito de incluir, </w:t>
      </w:r>
      <w:r w:rsidR="00B32E51" w:rsidRPr="00B32E51">
        <w:rPr>
          <w:rFonts w:ascii="Arial" w:hAnsi="Arial" w:cs="Arial"/>
          <w:sz w:val="24"/>
          <w:szCs w:val="24"/>
        </w:rPr>
        <w:t>mediante cláusula ou termo específico em anexo ao próprio TARE</w:t>
      </w:r>
      <w:r w:rsidR="00B32E51" w:rsidRPr="00B32E51">
        <w:rPr>
          <w:rFonts w:ascii="Arial" w:hAnsi="Arial" w:cs="Arial"/>
          <w:bCs/>
          <w:sz w:val="24"/>
          <w:szCs w:val="24"/>
        </w:rPr>
        <w:t>, a concordância</w:t>
      </w:r>
      <w:r w:rsidR="00B32E51" w:rsidRPr="00F246ED">
        <w:rPr>
          <w:rFonts w:ascii="Arial" w:hAnsi="Arial" w:cs="Arial"/>
          <w:bCs/>
          <w:sz w:val="24"/>
          <w:szCs w:val="24"/>
        </w:rPr>
        <w:t xml:space="preserve"> da pessoa jurídica acordante em divulgar os valores que lhe foram concedidos e os efetivamente fruídos a título de incentivos fiscais de ICMS, em cada exercício financeiro, </w:t>
      </w:r>
      <w:r w:rsidR="00B32E51">
        <w:rPr>
          <w:rFonts w:ascii="Arial" w:hAnsi="Arial" w:cs="Arial"/>
          <w:bCs/>
          <w:sz w:val="24"/>
          <w:szCs w:val="24"/>
        </w:rPr>
        <w:t xml:space="preserve">bem como o inteiro teor dos TARE’s e manifestações da Administração Tributária no exercício da fiscalização sobre a empresa, </w:t>
      </w:r>
      <w:r w:rsidR="00B32E51" w:rsidRPr="00F246ED">
        <w:rPr>
          <w:rFonts w:ascii="Arial" w:hAnsi="Arial" w:cs="Arial"/>
          <w:bCs/>
          <w:sz w:val="24"/>
          <w:szCs w:val="24"/>
        </w:rPr>
        <w:t xml:space="preserve">sem oposição do suposto direito a sigilo fiscal, </w:t>
      </w:r>
      <w:r w:rsidR="00B32E51" w:rsidRPr="0031512C">
        <w:rPr>
          <w:rFonts w:ascii="Arial" w:hAnsi="Arial" w:cs="Arial"/>
          <w:bCs/>
          <w:sz w:val="24"/>
          <w:szCs w:val="24"/>
          <w:u w:val="single"/>
        </w:rPr>
        <w:t>sob pena de revogação dos respectivos TARE’s, adotada também doravante essa postura para os novos ajustes</w:t>
      </w:r>
      <w:r w:rsidRPr="00877C9A">
        <w:rPr>
          <w:rFonts w:ascii="Arial" w:hAnsi="Arial" w:cs="Arial"/>
          <w:bCs/>
          <w:sz w:val="24"/>
          <w:szCs w:val="24"/>
        </w:rPr>
        <w:t>.</w:t>
      </w:r>
      <w:r>
        <w:rPr>
          <w:rFonts w:ascii="Arial" w:hAnsi="Arial" w:cs="Arial"/>
          <w:bCs/>
          <w:sz w:val="24"/>
          <w:szCs w:val="24"/>
        </w:rPr>
        <w:t xml:space="preserve"> </w:t>
      </w:r>
    </w:p>
    <w:p w14:paraId="3285F5A8" w14:textId="77777777" w:rsidR="006356F1" w:rsidRDefault="006356F1" w:rsidP="006356F1">
      <w:pPr>
        <w:spacing w:line="360" w:lineRule="auto"/>
        <w:ind w:firstLine="851"/>
        <w:jc w:val="both"/>
        <w:rPr>
          <w:rFonts w:ascii="Arial" w:hAnsi="Arial" w:cs="Arial"/>
          <w:bCs/>
          <w:sz w:val="24"/>
          <w:szCs w:val="24"/>
        </w:rPr>
      </w:pPr>
      <w:r w:rsidRPr="009E024E">
        <w:rPr>
          <w:rFonts w:ascii="Arial" w:hAnsi="Arial" w:cs="Arial"/>
          <w:b/>
          <w:sz w:val="24"/>
          <w:szCs w:val="24"/>
        </w:rPr>
        <w:t>Se a concessão de incentivos fiscais se encontra na margem de discricionariedade do Estado, e este pode inclusive não conceder nada a ninguém, pode também e com muito mais razão concedê-los sob certas condições e requisitos</w:t>
      </w:r>
      <w:r>
        <w:rPr>
          <w:rFonts w:ascii="Arial" w:hAnsi="Arial" w:cs="Arial"/>
          <w:bCs/>
          <w:sz w:val="24"/>
          <w:szCs w:val="24"/>
        </w:rPr>
        <w:t xml:space="preserve">, </w:t>
      </w:r>
      <w:r w:rsidRPr="009E024E">
        <w:rPr>
          <w:rFonts w:ascii="Arial" w:hAnsi="Arial" w:cs="Arial"/>
          <w:bCs/>
          <w:sz w:val="24"/>
          <w:szCs w:val="24"/>
          <w:u w:val="single"/>
        </w:rPr>
        <w:t>como a de exigir que o beneficiário abdique do direito de alegar o sigilo fiscal em relação aos TARE’s e valores que fruir no Estado de Goiás</w:t>
      </w:r>
      <w:r>
        <w:rPr>
          <w:rFonts w:ascii="Arial" w:hAnsi="Arial" w:cs="Arial"/>
          <w:bCs/>
          <w:sz w:val="24"/>
          <w:szCs w:val="24"/>
        </w:rPr>
        <w:t>. Entende-se que essa alternativa não se revela inconstitucional nem não afronta o atual entendimento do STF, porquanto não retirará o direito de opção da pessoa jurídica, que poderá escolher entre fruir os incentivos fiscais sujeitando-se às normas de transparência ou, caso não deseje se sujeitar à transparência, à revogação do respectivo TARE. Quem não quiser aceitar essa condição simplesmente não que receba benefício, simples assim, visto que o Estado de Goiás tem poder para isso. Acredita-se que, enquanto o STF não revisitar sua posição, seja essa a única alternativa para resolver esse impasse de transparência fiscal.</w:t>
      </w:r>
    </w:p>
    <w:p w14:paraId="582E0193" w14:textId="77777777" w:rsidR="006356F1" w:rsidRDefault="006356F1" w:rsidP="006356F1">
      <w:pPr>
        <w:spacing w:line="360" w:lineRule="auto"/>
        <w:ind w:firstLine="851"/>
        <w:jc w:val="both"/>
        <w:rPr>
          <w:rFonts w:ascii="Arial" w:hAnsi="Arial" w:cs="Arial"/>
          <w:sz w:val="24"/>
          <w:szCs w:val="24"/>
        </w:rPr>
      </w:pPr>
    </w:p>
    <w:p w14:paraId="77FF528B" w14:textId="77777777" w:rsidR="006356F1" w:rsidRDefault="006356F1" w:rsidP="006356F1">
      <w:pPr>
        <w:spacing w:line="360" w:lineRule="auto"/>
        <w:ind w:firstLine="851"/>
        <w:jc w:val="both"/>
        <w:rPr>
          <w:rFonts w:ascii="Arial" w:hAnsi="Arial" w:cs="Arial"/>
          <w:sz w:val="24"/>
          <w:szCs w:val="24"/>
        </w:rPr>
      </w:pPr>
      <w:r w:rsidRPr="0005349E">
        <w:rPr>
          <w:rFonts w:ascii="Arial" w:hAnsi="Arial" w:cs="Arial"/>
          <w:b/>
          <w:bCs/>
          <w:sz w:val="24"/>
          <w:szCs w:val="24"/>
        </w:rPr>
        <w:t>10.</w:t>
      </w:r>
      <w:r>
        <w:rPr>
          <w:rFonts w:ascii="Arial" w:hAnsi="Arial" w:cs="Arial"/>
          <w:b/>
          <w:bCs/>
          <w:sz w:val="24"/>
          <w:szCs w:val="24"/>
        </w:rPr>
        <w:t>2</w:t>
      </w:r>
      <w:r w:rsidRPr="0005349E">
        <w:rPr>
          <w:rFonts w:ascii="Arial" w:hAnsi="Arial" w:cs="Arial"/>
          <w:b/>
          <w:bCs/>
          <w:sz w:val="24"/>
          <w:szCs w:val="24"/>
        </w:rPr>
        <w:t>.</w:t>
      </w:r>
      <w:r>
        <w:rPr>
          <w:rFonts w:ascii="Arial" w:hAnsi="Arial" w:cs="Arial"/>
          <w:b/>
          <w:bCs/>
          <w:sz w:val="24"/>
          <w:szCs w:val="24"/>
        </w:rPr>
        <w:t xml:space="preserve"> </w:t>
      </w:r>
      <w:r>
        <w:rPr>
          <w:rFonts w:ascii="Arial" w:hAnsi="Arial" w:cs="Arial"/>
          <w:sz w:val="24"/>
          <w:szCs w:val="24"/>
        </w:rPr>
        <w:t xml:space="preserve">Porém, </w:t>
      </w:r>
      <w:r w:rsidRPr="00FB5B50">
        <w:rPr>
          <w:rFonts w:ascii="Arial" w:hAnsi="Arial" w:cs="Arial"/>
          <w:b/>
          <w:bCs/>
          <w:sz w:val="24"/>
          <w:szCs w:val="24"/>
          <w:u w:val="single"/>
        </w:rPr>
        <w:t>o mais grave é que nem mesmo órgãos de controle</w:t>
      </w:r>
      <w:r w:rsidRPr="00FB5B50">
        <w:rPr>
          <w:rFonts w:ascii="Arial" w:hAnsi="Arial" w:cs="Arial"/>
          <w:b/>
          <w:bCs/>
          <w:sz w:val="24"/>
          <w:szCs w:val="24"/>
        </w:rPr>
        <w:t xml:space="preserve">, como TCE/GO, CGE/GO e MPGO, têm obtido acesso a essas informações </w:t>
      </w:r>
      <w:r w:rsidRPr="00FB5B50">
        <w:rPr>
          <w:rFonts w:ascii="Arial" w:hAnsi="Arial" w:cs="Arial"/>
          <w:b/>
          <w:bCs/>
          <w:sz w:val="24"/>
          <w:szCs w:val="24"/>
        </w:rPr>
        <w:lastRenderedPageBreak/>
        <w:t>individualizadas, sob o mesmo argumento de sigilo fiscal</w:t>
      </w:r>
      <w:r>
        <w:rPr>
          <w:rFonts w:ascii="Arial" w:hAnsi="Arial" w:cs="Arial"/>
          <w:sz w:val="24"/>
          <w:szCs w:val="24"/>
        </w:rPr>
        <w:t>, não obstante suas expressas competências fiscalizatórias previstas nas Constituições Federal e Estadual (CRFB, arts. 70, 74, 127 e 129, III, VI e IX; CE/GO, arts. 25, 29 e 117, III, V e VIII) e na respectiva legislação de regência.</w:t>
      </w:r>
    </w:p>
    <w:p w14:paraId="190E9F27"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Por isso, </w:t>
      </w:r>
      <w:r w:rsidRPr="00076411">
        <w:rPr>
          <w:rFonts w:ascii="Arial" w:hAnsi="Arial" w:cs="Arial"/>
          <w:b/>
          <w:bCs/>
          <w:sz w:val="24"/>
          <w:szCs w:val="24"/>
        </w:rPr>
        <w:t>entende-se que o Poder Executivo não pode se furtar a fornecer informações individualizadas por empresa</w:t>
      </w:r>
      <w:r>
        <w:rPr>
          <w:rFonts w:ascii="Arial" w:hAnsi="Arial" w:cs="Arial"/>
          <w:b/>
          <w:bCs/>
          <w:sz w:val="24"/>
          <w:szCs w:val="24"/>
        </w:rPr>
        <w:t>s</w:t>
      </w:r>
      <w:r w:rsidRPr="00076411">
        <w:rPr>
          <w:rFonts w:ascii="Arial" w:hAnsi="Arial" w:cs="Arial"/>
          <w:b/>
          <w:bCs/>
          <w:sz w:val="24"/>
          <w:szCs w:val="24"/>
        </w:rPr>
        <w:t xml:space="preserve"> sobre incentivos fiscais concedidos e fruídos no Estado de Goiás</w:t>
      </w:r>
      <w:r>
        <w:rPr>
          <w:rFonts w:ascii="Arial" w:hAnsi="Arial" w:cs="Arial"/>
          <w:sz w:val="24"/>
          <w:szCs w:val="24"/>
        </w:rPr>
        <w:t>, notadamente aos órgãos de controle acima mencionados, ainda que prevaleça a interpretação de se tratar de informações sigilosas. Isso porque eventual sigilo não pode inibir a atuação fiscalizatória dos órgãos competentes, tendo em vista que o fato de a informação ser considerada sigilosa deve ter como efeito, no máximo, transferir aos demais órgãos a obrigação de preservar esse sigilo no desempenho de suas atribuições fiscalizatórias, nos termos do § 2º do art. 198 do CTN:</w:t>
      </w:r>
    </w:p>
    <w:p w14:paraId="60FC49FF" w14:textId="77777777" w:rsidR="006356F1" w:rsidRDefault="006356F1" w:rsidP="006356F1">
      <w:pPr>
        <w:spacing w:line="360" w:lineRule="auto"/>
        <w:ind w:firstLine="851"/>
        <w:jc w:val="both"/>
        <w:rPr>
          <w:rFonts w:ascii="Arial" w:hAnsi="Arial" w:cs="Arial"/>
          <w:sz w:val="24"/>
          <w:szCs w:val="24"/>
        </w:rPr>
      </w:pPr>
    </w:p>
    <w:p w14:paraId="49AFA9A2" w14:textId="77777777" w:rsidR="006356F1" w:rsidRDefault="006356F1" w:rsidP="006356F1">
      <w:pPr>
        <w:ind w:left="2268" w:firstLine="284"/>
        <w:jc w:val="both"/>
        <w:rPr>
          <w:rFonts w:ascii="Arial" w:hAnsi="Arial" w:cs="Arial"/>
          <w:b/>
          <w:bCs/>
          <w:sz w:val="22"/>
          <w:szCs w:val="22"/>
        </w:rPr>
      </w:pPr>
      <w:r w:rsidRPr="00FC1CCD">
        <w:rPr>
          <w:rFonts w:ascii="Arial" w:hAnsi="Arial" w:cs="Arial"/>
          <w:b/>
          <w:bCs/>
          <w:sz w:val="22"/>
          <w:szCs w:val="22"/>
        </w:rPr>
        <w:t>Art. 198</w:t>
      </w:r>
      <w:r>
        <w:rPr>
          <w:rFonts w:ascii="Arial" w:hAnsi="Arial" w:cs="Arial"/>
          <w:b/>
          <w:bCs/>
          <w:sz w:val="22"/>
          <w:szCs w:val="22"/>
        </w:rPr>
        <w:t xml:space="preserve"> </w:t>
      </w:r>
      <w:r w:rsidRPr="00501B19">
        <w:rPr>
          <w:rFonts w:ascii="Arial" w:hAnsi="Arial" w:cs="Arial"/>
          <w:sz w:val="22"/>
          <w:szCs w:val="22"/>
        </w:rPr>
        <w:t>[...].</w:t>
      </w:r>
    </w:p>
    <w:p w14:paraId="730B7833" w14:textId="77777777" w:rsidR="006356F1" w:rsidRDefault="006356F1" w:rsidP="006356F1">
      <w:pPr>
        <w:ind w:left="2268" w:firstLine="284"/>
        <w:jc w:val="both"/>
        <w:rPr>
          <w:rFonts w:ascii="Arial" w:hAnsi="Arial" w:cs="Arial"/>
          <w:b/>
          <w:bCs/>
          <w:sz w:val="22"/>
          <w:szCs w:val="22"/>
        </w:rPr>
      </w:pPr>
      <w:r w:rsidRPr="00501B19">
        <w:rPr>
          <w:rFonts w:ascii="Arial" w:hAnsi="Arial" w:cs="Arial"/>
          <w:sz w:val="22"/>
          <w:szCs w:val="22"/>
        </w:rPr>
        <w:t>[...].</w:t>
      </w:r>
    </w:p>
    <w:p w14:paraId="1A0F4041" w14:textId="77777777" w:rsidR="006356F1" w:rsidRDefault="006356F1" w:rsidP="006356F1">
      <w:pPr>
        <w:ind w:left="2268" w:firstLine="284"/>
        <w:jc w:val="both"/>
        <w:rPr>
          <w:rFonts w:ascii="Arial" w:hAnsi="Arial" w:cs="Arial"/>
          <w:sz w:val="22"/>
          <w:szCs w:val="22"/>
        </w:rPr>
      </w:pPr>
      <w:r w:rsidRPr="00501B19">
        <w:rPr>
          <w:rFonts w:ascii="Arial" w:hAnsi="Arial" w:cs="Arial"/>
          <w:sz w:val="22"/>
          <w:szCs w:val="22"/>
        </w:rPr>
        <w:t xml:space="preserve">§ 2º - O </w:t>
      </w:r>
      <w:r w:rsidRPr="009F7BCA">
        <w:rPr>
          <w:rFonts w:ascii="Arial" w:hAnsi="Arial" w:cs="Arial"/>
          <w:b/>
          <w:bCs/>
          <w:sz w:val="22"/>
          <w:szCs w:val="22"/>
        </w:rPr>
        <w:t>intercâmbio de informação sigilosa</w:t>
      </w:r>
      <w:r w:rsidRPr="00FC1CCD">
        <w:rPr>
          <w:rFonts w:ascii="Arial" w:hAnsi="Arial" w:cs="Arial"/>
          <w:sz w:val="22"/>
          <w:szCs w:val="22"/>
        </w:rPr>
        <w:t xml:space="preserve">, no âmbito da Administração Pública, será realizado mediante </w:t>
      </w:r>
      <w:r w:rsidRPr="009F7BCA">
        <w:rPr>
          <w:rFonts w:ascii="Arial" w:hAnsi="Arial" w:cs="Arial"/>
          <w:sz w:val="22"/>
          <w:szCs w:val="22"/>
          <w:u w:val="single"/>
        </w:rPr>
        <w:t>processo regularmente instaurado</w:t>
      </w:r>
      <w:r w:rsidRPr="00FC1CCD">
        <w:rPr>
          <w:rFonts w:ascii="Arial" w:hAnsi="Arial" w:cs="Arial"/>
          <w:sz w:val="22"/>
          <w:szCs w:val="22"/>
        </w:rPr>
        <w:t xml:space="preserve">, e a </w:t>
      </w:r>
      <w:r w:rsidRPr="009F7BCA">
        <w:rPr>
          <w:rFonts w:ascii="Arial" w:hAnsi="Arial" w:cs="Arial"/>
          <w:sz w:val="22"/>
          <w:szCs w:val="22"/>
          <w:u w:val="single"/>
        </w:rPr>
        <w:t>entrega será feita pessoalmente à autoridade solicitante</w:t>
      </w:r>
      <w:r w:rsidRPr="00FC1CCD">
        <w:rPr>
          <w:rFonts w:ascii="Arial" w:hAnsi="Arial" w:cs="Arial"/>
          <w:sz w:val="22"/>
          <w:szCs w:val="22"/>
        </w:rPr>
        <w:t xml:space="preserve">, mediante </w:t>
      </w:r>
      <w:r w:rsidRPr="009F7BCA">
        <w:rPr>
          <w:rFonts w:ascii="Arial" w:hAnsi="Arial" w:cs="Arial"/>
          <w:sz w:val="22"/>
          <w:szCs w:val="22"/>
          <w:u w:val="single"/>
        </w:rPr>
        <w:t>recibo</w:t>
      </w:r>
      <w:r w:rsidRPr="00FC1CCD">
        <w:rPr>
          <w:rFonts w:ascii="Arial" w:hAnsi="Arial" w:cs="Arial"/>
          <w:sz w:val="22"/>
          <w:szCs w:val="22"/>
        </w:rPr>
        <w:t>, que formalize a transferência e assegure a preservação do sigilo</w:t>
      </w:r>
      <w:r>
        <w:rPr>
          <w:rFonts w:ascii="Arial" w:hAnsi="Arial" w:cs="Arial"/>
          <w:sz w:val="22"/>
          <w:szCs w:val="22"/>
        </w:rPr>
        <w:t>.</w:t>
      </w:r>
    </w:p>
    <w:p w14:paraId="5620BDAD" w14:textId="77777777" w:rsidR="006356F1" w:rsidRDefault="006356F1" w:rsidP="006356F1">
      <w:pPr>
        <w:ind w:left="2268" w:firstLine="284"/>
        <w:jc w:val="both"/>
        <w:rPr>
          <w:rFonts w:ascii="Arial" w:hAnsi="Arial" w:cs="Arial"/>
          <w:sz w:val="22"/>
          <w:szCs w:val="22"/>
        </w:rPr>
      </w:pPr>
      <w:r>
        <w:rPr>
          <w:rFonts w:ascii="Arial" w:hAnsi="Arial" w:cs="Arial"/>
          <w:sz w:val="22"/>
          <w:szCs w:val="22"/>
        </w:rPr>
        <w:t>[...].</w:t>
      </w:r>
    </w:p>
    <w:p w14:paraId="41197B4D" w14:textId="77777777" w:rsidR="006356F1" w:rsidRPr="003764B9" w:rsidRDefault="006356F1" w:rsidP="006356F1">
      <w:pPr>
        <w:ind w:left="2268" w:firstLine="284"/>
        <w:jc w:val="both"/>
        <w:rPr>
          <w:rFonts w:ascii="Arial" w:hAnsi="Arial" w:cs="Arial"/>
          <w:b/>
          <w:sz w:val="24"/>
          <w:szCs w:val="24"/>
          <w:u w:val="single"/>
        </w:rPr>
      </w:pPr>
    </w:p>
    <w:p w14:paraId="099C1091" w14:textId="77777777" w:rsidR="006356F1" w:rsidRDefault="006356F1" w:rsidP="006356F1">
      <w:pPr>
        <w:spacing w:line="360" w:lineRule="auto"/>
        <w:ind w:firstLine="851"/>
        <w:jc w:val="both"/>
        <w:rPr>
          <w:rFonts w:ascii="Arial" w:hAnsi="Arial" w:cs="Arial"/>
          <w:bCs/>
          <w:sz w:val="24"/>
          <w:szCs w:val="24"/>
        </w:rPr>
      </w:pPr>
      <w:r>
        <w:rPr>
          <w:rFonts w:ascii="Arial" w:hAnsi="Arial" w:cs="Arial"/>
          <w:bCs/>
          <w:sz w:val="24"/>
          <w:szCs w:val="24"/>
        </w:rPr>
        <w:t xml:space="preserve">Assim, </w:t>
      </w:r>
      <w:r w:rsidRPr="003764B9">
        <w:rPr>
          <w:rFonts w:ascii="Arial" w:hAnsi="Arial" w:cs="Arial"/>
          <w:b/>
          <w:sz w:val="24"/>
          <w:szCs w:val="24"/>
        </w:rPr>
        <w:t>entende-se que esse dispositivo deve ser interpretado à luz dos textos constitucionais que outorgam competência fiscalizatória aos órgãos de controle</w:t>
      </w:r>
      <w:r>
        <w:rPr>
          <w:rFonts w:ascii="Arial" w:hAnsi="Arial" w:cs="Arial"/>
          <w:bCs/>
          <w:sz w:val="24"/>
          <w:szCs w:val="24"/>
        </w:rPr>
        <w:t>, a fim de conferir a maior amplitude possível à expressão “Administração Pública”, de modo a contemplar não só a Administração Tributária inserta na estrutura do Poder Executivo, mas também os órgãos de controle interno, Tribunais de Contas e Ministério Público.</w:t>
      </w:r>
    </w:p>
    <w:p w14:paraId="43344B1D" w14:textId="77777777" w:rsidR="006356F1" w:rsidRPr="003764B9" w:rsidRDefault="006356F1" w:rsidP="006356F1">
      <w:pPr>
        <w:spacing w:line="360" w:lineRule="auto"/>
        <w:ind w:firstLine="851"/>
        <w:jc w:val="both"/>
        <w:rPr>
          <w:rFonts w:ascii="Arial" w:hAnsi="Arial" w:cs="Arial"/>
          <w:bCs/>
          <w:sz w:val="24"/>
          <w:szCs w:val="24"/>
        </w:rPr>
      </w:pPr>
      <w:r>
        <w:rPr>
          <w:rFonts w:ascii="Arial" w:hAnsi="Arial" w:cs="Arial"/>
          <w:bCs/>
          <w:sz w:val="24"/>
          <w:szCs w:val="24"/>
        </w:rPr>
        <w:t xml:space="preserve">A propósito, relevante destacar discussão similar – embora não específica sobre incentivos fiscais – relativa à possibilidade de compartilhamento de relatórios de inteligência financeira de UIF e relatórios de fiscalização da Receita Federal com órgãos de persecução penal para fins criminais, em que recentemente </w:t>
      </w:r>
      <w:r w:rsidRPr="00C12C45">
        <w:rPr>
          <w:rFonts w:ascii="Arial" w:hAnsi="Arial" w:cs="Arial"/>
          <w:b/>
          <w:sz w:val="24"/>
          <w:szCs w:val="24"/>
        </w:rPr>
        <w:t>o STF decidiu pela legitimidade desse compartilhamento</w:t>
      </w:r>
      <w:r>
        <w:rPr>
          <w:rFonts w:ascii="Arial" w:hAnsi="Arial" w:cs="Arial"/>
          <w:bCs/>
          <w:sz w:val="24"/>
          <w:szCs w:val="24"/>
        </w:rPr>
        <w:t xml:space="preserve">, garantida a preservação do sigilo, nos termos </w:t>
      </w:r>
      <w:r>
        <w:rPr>
          <w:rFonts w:ascii="Arial" w:hAnsi="Arial" w:cs="Arial"/>
          <w:bCs/>
          <w:sz w:val="24"/>
          <w:szCs w:val="24"/>
        </w:rPr>
        <w:lastRenderedPageBreak/>
        <w:t xml:space="preserve">da tese de repercussão geral fixada em 04/12/2019 no julgamento do RE </w:t>
      </w:r>
      <w:r w:rsidRPr="00C8441A">
        <w:rPr>
          <w:rFonts w:ascii="Arial" w:hAnsi="Arial" w:cs="Arial"/>
          <w:bCs/>
          <w:sz w:val="24"/>
          <w:szCs w:val="24"/>
        </w:rPr>
        <w:t>1</w:t>
      </w:r>
      <w:r>
        <w:rPr>
          <w:rFonts w:ascii="Arial" w:hAnsi="Arial" w:cs="Arial"/>
          <w:bCs/>
          <w:sz w:val="24"/>
          <w:szCs w:val="24"/>
        </w:rPr>
        <w:t>.</w:t>
      </w:r>
      <w:r w:rsidRPr="00C8441A">
        <w:rPr>
          <w:rFonts w:ascii="Arial" w:hAnsi="Arial" w:cs="Arial"/>
          <w:bCs/>
          <w:sz w:val="24"/>
          <w:szCs w:val="24"/>
        </w:rPr>
        <w:t>055</w:t>
      </w:r>
      <w:r>
        <w:rPr>
          <w:rFonts w:ascii="Arial" w:hAnsi="Arial" w:cs="Arial"/>
          <w:bCs/>
          <w:sz w:val="24"/>
          <w:szCs w:val="24"/>
        </w:rPr>
        <w:t>.</w:t>
      </w:r>
      <w:r w:rsidRPr="00C8441A">
        <w:rPr>
          <w:rFonts w:ascii="Arial" w:hAnsi="Arial" w:cs="Arial"/>
          <w:bCs/>
          <w:sz w:val="24"/>
          <w:szCs w:val="24"/>
        </w:rPr>
        <w:t>941</w:t>
      </w:r>
      <w:r>
        <w:rPr>
          <w:rFonts w:ascii="Arial" w:hAnsi="Arial" w:cs="Arial"/>
          <w:bCs/>
          <w:sz w:val="24"/>
          <w:szCs w:val="24"/>
        </w:rPr>
        <w:t>/SP</w:t>
      </w:r>
      <w:r>
        <w:rPr>
          <w:rStyle w:val="Refdenotaderodap"/>
          <w:rFonts w:ascii="Arial" w:hAnsi="Arial" w:cs="Arial"/>
          <w:bCs/>
          <w:sz w:val="24"/>
          <w:szCs w:val="24"/>
        </w:rPr>
        <w:footnoteReference w:id="110"/>
      </w:r>
      <w:r>
        <w:rPr>
          <w:rFonts w:ascii="Arial" w:hAnsi="Arial" w:cs="Arial"/>
          <w:bCs/>
          <w:sz w:val="24"/>
          <w:szCs w:val="24"/>
        </w:rPr>
        <w:t>:</w:t>
      </w:r>
    </w:p>
    <w:p w14:paraId="48327977" w14:textId="77777777" w:rsidR="006356F1" w:rsidRDefault="006356F1" w:rsidP="006356F1">
      <w:pPr>
        <w:spacing w:line="360" w:lineRule="auto"/>
        <w:ind w:firstLine="851"/>
        <w:jc w:val="both"/>
        <w:rPr>
          <w:rFonts w:ascii="Arial" w:hAnsi="Arial" w:cs="Arial"/>
          <w:b/>
          <w:sz w:val="24"/>
          <w:szCs w:val="24"/>
          <w:u w:val="single"/>
        </w:rPr>
      </w:pPr>
    </w:p>
    <w:p w14:paraId="536AB394" w14:textId="77777777" w:rsidR="006356F1" w:rsidRPr="003764B9" w:rsidRDefault="006356F1" w:rsidP="006356F1">
      <w:pPr>
        <w:ind w:left="2268" w:firstLine="284"/>
        <w:jc w:val="both"/>
        <w:rPr>
          <w:rFonts w:ascii="Arial" w:hAnsi="Arial" w:cs="Arial"/>
          <w:bCs/>
          <w:sz w:val="22"/>
          <w:szCs w:val="22"/>
        </w:rPr>
      </w:pPr>
      <w:r w:rsidRPr="003764B9">
        <w:rPr>
          <w:rFonts w:ascii="Arial" w:hAnsi="Arial" w:cs="Arial"/>
          <w:bCs/>
          <w:sz w:val="22"/>
          <w:szCs w:val="22"/>
        </w:rPr>
        <w:t xml:space="preserve">Decisão: O Tribunal, por maioria, aderindo à proposta formulada pelo Ministro Alexandre de Moraes, fixou a seguinte tese de repercussão geral: </w:t>
      </w:r>
      <w:r w:rsidRPr="003764B9">
        <w:rPr>
          <w:rFonts w:ascii="Arial" w:hAnsi="Arial" w:cs="Arial"/>
          <w:b/>
          <w:sz w:val="22"/>
          <w:szCs w:val="22"/>
        </w:rPr>
        <w:t>"1. É constitucional o compartilhamento dos relatórios de inteligência financeira da UIF e da íntegra do procedimento fiscalizatório da Receita Federal do Brasil, que define o lançamento do tributo, com os órgãos de persecução penal para fins criminais, sem a obrigatoriedade de prévia autorização judicial</w:t>
      </w:r>
      <w:r w:rsidRPr="003764B9">
        <w:rPr>
          <w:rFonts w:ascii="Arial" w:hAnsi="Arial" w:cs="Arial"/>
          <w:bCs/>
          <w:sz w:val="22"/>
          <w:szCs w:val="22"/>
        </w:rPr>
        <w:t xml:space="preserve">, devendo ser resguardado o sigilo das informações em procedimentos formalmente instaurados e sujeitos a posterior controle jurisdicional. </w:t>
      </w:r>
      <w:r w:rsidRPr="003764B9">
        <w:rPr>
          <w:rFonts w:ascii="Arial" w:hAnsi="Arial" w:cs="Arial"/>
          <w:b/>
          <w:sz w:val="22"/>
          <w:szCs w:val="22"/>
        </w:rPr>
        <w:t>2. O compartilhamento pela UIF e pela RFB, referente ao item anterior, deve ser feito unicamente por meio de comunicações formais, com garantia de sigilo, certificação do destinatário e estabelecimento de instrumentos efetivos de apuração e correção de eventuais desvios</w:t>
      </w:r>
      <w:r w:rsidRPr="003764B9">
        <w:rPr>
          <w:rFonts w:ascii="Arial" w:hAnsi="Arial" w:cs="Arial"/>
          <w:bCs/>
          <w:sz w:val="22"/>
          <w:szCs w:val="22"/>
        </w:rPr>
        <w:t>.", vencido o Ministro Marco Aurélio, que não referendava a tese. Presidência do Ministro Dias Toffoli. Plenário, 04.12.2019.</w:t>
      </w:r>
    </w:p>
    <w:p w14:paraId="3F781D71" w14:textId="77777777" w:rsidR="006356F1" w:rsidRDefault="006356F1" w:rsidP="006356F1">
      <w:pPr>
        <w:spacing w:line="360" w:lineRule="auto"/>
        <w:ind w:firstLine="851"/>
        <w:jc w:val="both"/>
        <w:rPr>
          <w:rFonts w:ascii="Arial" w:hAnsi="Arial" w:cs="Arial"/>
          <w:b/>
          <w:sz w:val="24"/>
          <w:szCs w:val="24"/>
          <w:u w:val="single"/>
        </w:rPr>
      </w:pPr>
    </w:p>
    <w:p w14:paraId="7E0E485F" w14:textId="77777777" w:rsidR="006356F1" w:rsidRPr="00C12C45" w:rsidRDefault="006356F1" w:rsidP="006356F1">
      <w:pPr>
        <w:spacing w:line="360" w:lineRule="auto"/>
        <w:ind w:firstLine="851"/>
        <w:jc w:val="both"/>
        <w:rPr>
          <w:rFonts w:ascii="Arial" w:hAnsi="Arial" w:cs="Arial"/>
          <w:bCs/>
          <w:sz w:val="24"/>
          <w:szCs w:val="24"/>
        </w:rPr>
      </w:pPr>
      <w:r w:rsidRPr="00C12C45">
        <w:rPr>
          <w:rFonts w:ascii="Arial" w:hAnsi="Arial" w:cs="Arial"/>
          <w:bCs/>
          <w:sz w:val="24"/>
          <w:szCs w:val="24"/>
        </w:rPr>
        <w:t>Portanto</w:t>
      </w:r>
      <w:r>
        <w:rPr>
          <w:rFonts w:ascii="Arial" w:hAnsi="Arial" w:cs="Arial"/>
          <w:bCs/>
          <w:sz w:val="24"/>
          <w:szCs w:val="24"/>
        </w:rPr>
        <w:t xml:space="preserve">, caso persista a omissão do Poder Executivo em fornecer informações individualizadas por empresas acerca dos incentivos fiscais a elas concedidas e por elas fruídos, </w:t>
      </w:r>
      <w:r w:rsidRPr="00877C9A">
        <w:rPr>
          <w:rFonts w:ascii="Arial" w:hAnsi="Arial" w:cs="Arial"/>
          <w:b/>
          <w:sz w:val="24"/>
          <w:szCs w:val="24"/>
        </w:rPr>
        <w:t>recomenda-se ao Ministério Público que intente ação judicial de obrigação de fazer em face do Estado de Goiás, com pedido de tutela de urgência (CPC, art. 300)</w:t>
      </w:r>
      <w:r w:rsidRPr="00877C9A">
        <w:rPr>
          <w:rFonts w:ascii="Arial" w:hAnsi="Arial" w:cs="Arial"/>
          <w:bCs/>
          <w:sz w:val="24"/>
          <w:szCs w:val="24"/>
        </w:rPr>
        <w:t xml:space="preserve">, </w:t>
      </w:r>
      <w:r w:rsidRPr="00877C9A">
        <w:rPr>
          <w:rFonts w:ascii="Arial" w:hAnsi="Arial" w:cs="Arial"/>
          <w:b/>
          <w:sz w:val="24"/>
          <w:szCs w:val="24"/>
        </w:rPr>
        <w:t>a fim de serem fornecidas essas informações</w:t>
      </w:r>
      <w:r w:rsidRPr="00877C9A">
        <w:rPr>
          <w:rFonts w:ascii="Arial" w:hAnsi="Arial" w:cs="Arial"/>
          <w:bCs/>
          <w:sz w:val="24"/>
          <w:szCs w:val="24"/>
        </w:rPr>
        <w:t xml:space="preserve"> à </w:t>
      </w:r>
      <w:r w:rsidRPr="00877C9A">
        <w:rPr>
          <w:rFonts w:ascii="Arial" w:hAnsi="Arial" w:cs="Arial"/>
          <w:bCs/>
          <w:sz w:val="24"/>
          <w:szCs w:val="24"/>
          <w:u w:val="single"/>
        </w:rPr>
        <w:t>CGE/GO</w:t>
      </w:r>
      <w:r w:rsidRPr="00877C9A">
        <w:rPr>
          <w:rFonts w:ascii="Arial" w:hAnsi="Arial" w:cs="Arial"/>
          <w:bCs/>
          <w:sz w:val="24"/>
          <w:szCs w:val="24"/>
        </w:rPr>
        <w:t xml:space="preserve">, ao </w:t>
      </w:r>
      <w:r w:rsidRPr="00877C9A">
        <w:rPr>
          <w:rFonts w:ascii="Arial" w:hAnsi="Arial" w:cs="Arial"/>
          <w:bCs/>
          <w:sz w:val="24"/>
          <w:szCs w:val="24"/>
          <w:u w:val="single"/>
        </w:rPr>
        <w:t>TCE/GO</w:t>
      </w:r>
      <w:r w:rsidRPr="00877C9A">
        <w:rPr>
          <w:rFonts w:ascii="Arial" w:hAnsi="Arial" w:cs="Arial"/>
          <w:bCs/>
          <w:sz w:val="24"/>
          <w:szCs w:val="24"/>
        </w:rPr>
        <w:t xml:space="preserve"> e ao próprio </w:t>
      </w:r>
      <w:r w:rsidRPr="00877C9A">
        <w:rPr>
          <w:rFonts w:ascii="Arial" w:hAnsi="Arial" w:cs="Arial"/>
          <w:bCs/>
          <w:i/>
          <w:iCs/>
          <w:sz w:val="24"/>
          <w:szCs w:val="24"/>
          <w:u w:val="single"/>
        </w:rPr>
        <w:t>parquet</w:t>
      </w:r>
      <w:r w:rsidRPr="00877C9A">
        <w:rPr>
          <w:rFonts w:ascii="Arial" w:hAnsi="Arial" w:cs="Arial"/>
          <w:bCs/>
          <w:sz w:val="24"/>
          <w:szCs w:val="24"/>
        </w:rPr>
        <w:t>, quando as requisitarem no interesse da fiscalização, garantida a preservação do sigilo entre os órgãos de controle, na forma do art. 198, § 2º, do CTN</w:t>
      </w:r>
      <w:r>
        <w:rPr>
          <w:rFonts w:ascii="Arial" w:hAnsi="Arial" w:cs="Arial"/>
          <w:bCs/>
          <w:sz w:val="24"/>
          <w:szCs w:val="24"/>
        </w:rPr>
        <w:t>.</w:t>
      </w:r>
    </w:p>
    <w:p w14:paraId="04FB59EE" w14:textId="77777777" w:rsidR="006356F1" w:rsidRDefault="006356F1" w:rsidP="006356F1">
      <w:pPr>
        <w:spacing w:line="360" w:lineRule="auto"/>
        <w:ind w:firstLine="851"/>
        <w:jc w:val="both"/>
        <w:rPr>
          <w:rFonts w:ascii="Arial" w:hAnsi="Arial" w:cs="Arial"/>
          <w:b/>
          <w:sz w:val="24"/>
          <w:szCs w:val="24"/>
          <w:u w:val="single"/>
        </w:rPr>
      </w:pPr>
    </w:p>
    <w:p w14:paraId="39B5A4DA" w14:textId="77777777" w:rsidR="006356F1" w:rsidRDefault="006356F1" w:rsidP="006356F1">
      <w:pPr>
        <w:spacing w:line="360" w:lineRule="auto"/>
        <w:ind w:firstLine="851"/>
        <w:jc w:val="both"/>
        <w:rPr>
          <w:rFonts w:ascii="Arial" w:hAnsi="Arial" w:cs="Arial"/>
          <w:bCs/>
          <w:sz w:val="24"/>
          <w:szCs w:val="24"/>
        </w:rPr>
      </w:pPr>
      <w:r w:rsidRPr="00415D72">
        <w:rPr>
          <w:rFonts w:ascii="Arial" w:hAnsi="Arial" w:cs="Arial"/>
          <w:b/>
          <w:sz w:val="24"/>
          <w:szCs w:val="24"/>
        </w:rPr>
        <w:t>10.3.</w:t>
      </w:r>
      <w:r>
        <w:rPr>
          <w:rFonts w:ascii="Arial" w:hAnsi="Arial" w:cs="Arial"/>
          <w:bCs/>
          <w:sz w:val="24"/>
          <w:szCs w:val="24"/>
        </w:rPr>
        <w:t xml:space="preserve"> Por fim, mas não menos importante, esta CPI aproveita o ensejo para sugerir importantes </w:t>
      </w:r>
      <w:r w:rsidRPr="00632DEB">
        <w:rPr>
          <w:rFonts w:ascii="Arial" w:hAnsi="Arial" w:cs="Arial"/>
          <w:b/>
          <w:sz w:val="24"/>
          <w:szCs w:val="24"/>
          <w:u w:val="single"/>
        </w:rPr>
        <w:t>medidas que aperfeiçoam e aprimoram a transparência ativa</w:t>
      </w:r>
      <w:r>
        <w:rPr>
          <w:rFonts w:ascii="Arial" w:hAnsi="Arial" w:cs="Arial"/>
          <w:bCs/>
          <w:sz w:val="24"/>
          <w:szCs w:val="24"/>
        </w:rPr>
        <w:t xml:space="preserve"> em matéria de incentivos fiscais relativos ao ICMS. </w:t>
      </w:r>
    </w:p>
    <w:p w14:paraId="08820B2D" w14:textId="77777777" w:rsidR="006356F1" w:rsidRDefault="006356F1" w:rsidP="006356F1">
      <w:pPr>
        <w:spacing w:line="360" w:lineRule="auto"/>
        <w:ind w:firstLine="851"/>
        <w:jc w:val="both"/>
        <w:rPr>
          <w:rFonts w:ascii="Arial" w:hAnsi="Arial" w:cs="Arial"/>
          <w:bCs/>
          <w:sz w:val="24"/>
          <w:szCs w:val="24"/>
        </w:rPr>
      </w:pPr>
      <w:r>
        <w:rPr>
          <w:rFonts w:ascii="Arial" w:hAnsi="Arial" w:cs="Arial"/>
          <w:bCs/>
          <w:sz w:val="24"/>
          <w:szCs w:val="24"/>
        </w:rPr>
        <w:t xml:space="preserve">É cediço que </w:t>
      </w:r>
      <w:r w:rsidRPr="00B06A25">
        <w:rPr>
          <w:rFonts w:ascii="Arial" w:hAnsi="Arial" w:cs="Arial"/>
          <w:bCs/>
          <w:sz w:val="24"/>
          <w:szCs w:val="24"/>
        </w:rPr>
        <w:t>o Estado de Goiás, consoante já discorrido anteriormente, já avançou muito em matéria de transparência</w:t>
      </w:r>
      <w:r>
        <w:rPr>
          <w:rFonts w:ascii="Arial" w:hAnsi="Arial" w:cs="Arial"/>
          <w:bCs/>
          <w:sz w:val="24"/>
          <w:szCs w:val="24"/>
        </w:rPr>
        <w:t xml:space="preserve">. Até 2016, as informações relativas a incentivos fiscais de ICMS eram praticamente desconhecidas da população em geral e até mesmo dos órgão de controle; </w:t>
      </w:r>
      <w:r w:rsidRPr="00B06A25">
        <w:rPr>
          <w:rFonts w:ascii="Arial" w:hAnsi="Arial" w:cs="Arial"/>
          <w:b/>
          <w:sz w:val="24"/>
          <w:szCs w:val="24"/>
        </w:rPr>
        <w:t xml:space="preserve">hoje, encontram-se publicadas diversas informações de interesse público no Portal da Transparência do Estado de Goiás, </w:t>
      </w:r>
      <w:r w:rsidRPr="00B06A25">
        <w:rPr>
          <w:rFonts w:ascii="Arial" w:hAnsi="Arial" w:cs="Arial"/>
          <w:b/>
          <w:sz w:val="24"/>
          <w:szCs w:val="24"/>
        </w:rPr>
        <w:lastRenderedPageBreak/>
        <w:t>na aba “GESTÃO FISCAL E GOVERNAMENTAL”</w:t>
      </w:r>
      <w:r w:rsidRPr="00B06A25">
        <w:rPr>
          <w:rStyle w:val="Refdenotaderodap"/>
          <w:rFonts w:ascii="Arial" w:hAnsi="Arial" w:cs="Arial"/>
          <w:b/>
          <w:sz w:val="24"/>
          <w:szCs w:val="24"/>
        </w:rPr>
        <w:footnoteReference w:id="111"/>
      </w:r>
      <w:r>
        <w:rPr>
          <w:rFonts w:ascii="Arial" w:hAnsi="Arial" w:cs="Arial"/>
          <w:bCs/>
          <w:sz w:val="24"/>
          <w:szCs w:val="24"/>
        </w:rPr>
        <w:t>, mais especificamente nas opções “</w:t>
      </w:r>
      <w:r w:rsidRPr="00B06A25">
        <w:rPr>
          <w:rFonts w:ascii="Arial" w:hAnsi="Arial" w:cs="Arial"/>
          <w:bCs/>
          <w:sz w:val="24"/>
          <w:szCs w:val="24"/>
          <w:u w:val="single"/>
        </w:rPr>
        <w:t>Benefícios Fiscais</w:t>
      </w:r>
      <w:r>
        <w:rPr>
          <w:rFonts w:ascii="Arial" w:hAnsi="Arial" w:cs="Arial"/>
          <w:bCs/>
          <w:sz w:val="24"/>
          <w:szCs w:val="24"/>
        </w:rPr>
        <w:t>”</w:t>
      </w:r>
      <w:r>
        <w:rPr>
          <w:rStyle w:val="Refdenotaderodap"/>
          <w:rFonts w:ascii="Arial" w:hAnsi="Arial" w:cs="Arial"/>
          <w:bCs/>
          <w:sz w:val="24"/>
          <w:szCs w:val="24"/>
        </w:rPr>
        <w:footnoteReference w:id="112"/>
      </w:r>
      <w:r>
        <w:rPr>
          <w:rFonts w:ascii="Arial" w:hAnsi="Arial" w:cs="Arial"/>
          <w:bCs/>
          <w:sz w:val="24"/>
          <w:szCs w:val="24"/>
        </w:rPr>
        <w:t xml:space="preserve"> e </w:t>
      </w:r>
      <w:r w:rsidRPr="00B06A25">
        <w:rPr>
          <w:rFonts w:ascii="Arial" w:hAnsi="Arial" w:cs="Arial"/>
          <w:bCs/>
          <w:sz w:val="24"/>
          <w:szCs w:val="24"/>
          <w:u w:val="single"/>
        </w:rPr>
        <w:t>TARE</w:t>
      </w:r>
      <w:r>
        <w:rPr>
          <w:rFonts w:ascii="Arial" w:hAnsi="Arial" w:cs="Arial"/>
          <w:bCs/>
          <w:sz w:val="24"/>
          <w:szCs w:val="24"/>
        </w:rPr>
        <w:t>”</w:t>
      </w:r>
      <w:r>
        <w:rPr>
          <w:rStyle w:val="Refdenotaderodap"/>
          <w:rFonts w:ascii="Arial" w:hAnsi="Arial" w:cs="Arial"/>
          <w:bCs/>
          <w:sz w:val="24"/>
          <w:szCs w:val="24"/>
        </w:rPr>
        <w:footnoteReference w:id="113"/>
      </w:r>
      <w:r>
        <w:rPr>
          <w:rFonts w:ascii="Arial" w:hAnsi="Arial" w:cs="Arial"/>
          <w:bCs/>
          <w:sz w:val="24"/>
          <w:szCs w:val="24"/>
        </w:rPr>
        <w:t>, embora ainda persistam as restrições mencionadas nos itens 10.1 e 10.2 deste relatório quanto a dados individualizados por pessoas jurídicas.</w:t>
      </w:r>
    </w:p>
    <w:p w14:paraId="7FF377DD" w14:textId="77777777" w:rsidR="006356F1" w:rsidRDefault="006356F1" w:rsidP="006356F1">
      <w:pPr>
        <w:spacing w:line="360" w:lineRule="auto"/>
        <w:ind w:firstLine="851"/>
        <w:jc w:val="both"/>
        <w:rPr>
          <w:rFonts w:ascii="Arial" w:hAnsi="Arial" w:cs="Arial"/>
          <w:sz w:val="24"/>
          <w:szCs w:val="24"/>
        </w:rPr>
      </w:pPr>
      <w:r w:rsidRPr="00C31FFF">
        <w:rPr>
          <w:rFonts w:ascii="Arial" w:hAnsi="Arial" w:cs="Arial"/>
          <w:b/>
          <w:sz w:val="24"/>
          <w:szCs w:val="24"/>
        </w:rPr>
        <w:t>10.3.1.</w:t>
      </w:r>
      <w:r>
        <w:rPr>
          <w:rFonts w:ascii="Arial" w:hAnsi="Arial" w:cs="Arial"/>
          <w:bCs/>
          <w:sz w:val="24"/>
          <w:szCs w:val="24"/>
        </w:rPr>
        <w:t xml:space="preserve"> Consoante já discorrido em tópico próprio, a </w:t>
      </w:r>
      <w:r w:rsidRPr="00305F4E">
        <w:rPr>
          <w:rFonts w:ascii="Arial" w:hAnsi="Arial" w:cs="Arial"/>
          <w:b/>
          <w:sz w:val="24"/>
          <w:szCs w:val="24"/>
        </w:rPr>
        <w:t>aba “Benefícios Fiscais”</w:t>
      </w:r>
      <w:r>
        <w:rPr>
          <w:rFonts w:ascii="Arial" w:hAnsi="Arial" w:cs="Arial"/>
          <w:sz w:val="24"/>
          <w:szCs w:val="24"/>
        </w:rPr>
        <w:t xml:space="preserve"> permite a consulta a partir dos seguintes critérios e termos de pesquisa:</w:t>
      </w:r>
    </w:p>
    <w:p w14:paraId="3A4A542B" w14:textId="77777777" w:rsidR="006356F1" w:rsidRDefault="006356F1" w:rsidP="00502615">
      <w:pPr>
        <w:pStyle w:val="PargrafodaLista"/>
        <w:numPr>
          <w:ilvl w:val="0"/>
          <w:numId w:val="50"/>
        </w:numPr>
        <w:spacing w:line="360" w:lineRule="auto"/>
        <w:jc w:val="both"/>
        <w:rPr>
          <w:rFonts w:ascii="Arial" w:hAnsi="Arial" w:cs="Arial"/>
          <w:sz w:val="24"/>
          <w:szCs w:val="24"/>
        </w:rPr>
      </w:pPr>
      <w:r w:rsidRPr="002E4CEA">
        <w:rPr>
          <w:rFonts w:ascii="Arial" w:hAnsi="Arial" w:cs="Arial"/>
          <w:sz w:val="24"/>
          <w:szCs w:val="24"/>
          <w:u w:val="single"/>
        </w:rPr>
        <w:t xml:space="preserve">ano de referência (2009 até </w:t>
      </w:r>
      <w:r>
        <w:rPr>
          <w:rFonts w:ascii="Arial" w:hAnsi="Arial" w:cs="Arial"/>
          <w:sz w:val="24"/>
          <w:szCs w:val="24"/>
          <w:u w:val="single"/>
        </w:rPr>
        <w:t xml:space="preserve">o exercício corrente, no caso </w:t>
      </w:r>
      <w:r w:rsidRPr="002E4CEA">
        <w:rPr>
          <w:rFonts w:ascii="Arial" w:hAnsi="Arial" w:cs="Arial"/>
          <w:sz w:val="24"/>
          <w:szCs w:val="24"/>
          <w:u w:val="single"/>
        </w:rPr>
        <w:t>2020)</w:t>
      </w:r>
      <w:r>
        <w:rPr>
          <w:rFonts w:ascii="Arial" w:hAnsi="Arial" w:cs="Arial"/>
          <w:sz w:val="24"/>
          <w:szCs w:val="24"/>
        </w:rPr>
        <w:t>: o sistema possibilita que o usuário selecione um ano específico</w:t>
      </w:r>
      <w:r w:rsidRPr="002E4CEA">
        <w:rPr>
          <w:rFonts w:ascii="Arial" w:hAnsi="Arial" w:cs="Arial"/>
          <w:sz w:val="24"/>
          <w:szCs w:val="24"/>
        </w:rPr>
        <w:t>;</w:t>
      </w:r>
    </w:p>
    <w:p w14:paraId="508BCB43" w14:textId="77777777" w:rsidR="006356F1" w:rsidRDefault="006356F1" w:rsidP="00502615">
      <w:pPr>
        <w:pStyle w:val="PargrafodaLista"/>
        <w:numPr>
          <w:ilvl w:val="0"/>
          <w:numId w:val="50"/>
        </w:numPr>
        <w:spacing w:line="360" w:lineRule="auto"/>
        <w:jc w:val="both"/>
        <w:rPr>
          <w:rFonts w:ascii="Arial" w:hAnsi="Arial" w:cs="Arial"/>
          <w:sz w:val="24"/>
          <w:szCs w:val="24"/>
        </w:rPr>
      </w:pPr>
      <w:r w:rsidRPr="002E4CEA">
        <w:rPr>
          <w:rFonts w:ascii="Arial" w:hAnsi="Arial" w:cs="Arial"/>
          <w:sz w:val="24"/>
          <w:szCs w:val="24"/>
          <w:u w:val="single"/>
        </w:rPr>
        <w:t>mês de referência (janeiro a dezembro)</w:t>
      </w:r>
      <w:r>
        <w:rPr>
          <w:rFonts w:ascii="Arial" w:hAnsi="Arial" w:cs="Arial"/>
          <w:sz w:val="24"/>
          <w:szCs w:val="24"/>
        </w:rPr>
        <w:t>: o sistema permite que o usuário selecione um ou mais meses simultaneamente;</w:t>
      </w:r>
    </w:p>
    <w:p w14:paraId="1E01BAC9" w14:textId="77777777" w:rsidR="006356F1" w:rsidRDefault="006356F1" w:rsidP="00502615">
      <w:pPr>
        <w:pStyle w:val="PargrafodaLista"/>
        <w:numPr>
          <w:ilvl w:val="0"/>
          <w:numId w:val="50"/>
        </w:numPr>
        <w:spacing w:line="360" w:lineRule="auto"/>
        <w:jc w:val="both"/>
        <w:rPr>
          <w:rFonts w:ascii="Arial" w:hAnsi="Arial" w:cs="Arial"/>
          <w:sz w:val="24"/>
          <w:szCs w:val="24"/>
        </w:rPr>
      </w:pPr>
      <w:r>
        <w:rPr>
          <w:rFonts w:ascii="Arial" w:hAnsi="Arial" w:cs="Arial"/>
          <w:sz w:val="24"/>
          <w:szCs w:val="24"/>
          <w:u w:val="single"/>
        </w:rPr>
        <w:t>nome do benefício</w:t>
      </w:r>
      <w:r>
        <w:rPr>
          <w:rFonts w:ascii="Arial" w:hAnsi="Arial" w:cs="Arial"/>
          <w:sz w:val="24"/>
          <w:szCs w:val="24"/>
        </w:rPr>
        <w:t>: o sistema permite que o usuário selecione, isolada ou conjuntamente, as opções “crédito outorgado”, “FOMENTAR E PRODUZIR” e “PRODUZIR”;</w:t>
      </w:r>
    </w:p>
    <w:p w14:paraId="436764A5" w14:textId="77777777" w:rsidR="006356F1" w:rsidRDefault="006356F1" w:rsidP="00502615">
      <w:pPr>
        <w:pStyle w:val="PargrafodaLista"/>
        <w:numPr>
          <w:ilvl w:val="0"/>
          <w:numId w:val="50"/>
        </w:numPr>
        <w:spacing w:line="360" w:lineRule="auto"/>
        <w:jc w:val="both"/>
        <w:rPr>
          <w:rFonts w:ascii="Arial" w:hAnsi="Arial" w:cs="Arial"/>
          <w:sz w:val="24"/>
          <w:szCs w:val="24"/>
        </w:rPr>
      </w:pPr>
      <w:r w:rsidRPr="00FA55C8">
        <w:rPr>
          <w:rFonts w:ascii="Arial" w:hAnsi="Arial" w:cs="Arial"/>
          <w:sz w:val="24"/>
          <w:szCs w:val="24"/>
          <w:u w:val="single"/>
        </w:rPr>
        <w:t>seção CNAE</w:t>
      </w:r>
      <w:r>
        <w:rPr>
          <w:rFonts w:ascii="Arial" w:hAnsi="Arial" w:cs="Arial"/>
          <w:sz w:val="24"/>
          <w:szCs w:val="24"/>
        </w:rPr>
        <w:t>: o sistema permite que o usuário selecione, isolada ou conjuntamente, as opções “</w:t>
      </w:r>
      <w:r w:rsidRPr="0074380A">
        <w:rPr>
          <w:rFonts w:ascii="Arial" w:hAnsi="Arial" w:cs="Arial"/>
          <w:sz w:val="24"/>
          <w:szCs w:val="24"/>
        </w:rPr>
        <w:t>AGRICULTURA, PECUÁRIA, PRODUÇÃO FLORESTAL, PESCA E AQÜICULTURA</w:t>
      </w:r>
      <w:r>
        <w:rPr>
          <w:rFonts w:ascii="Arial" w:hAnsi="Arial" w:cs="Arial"/>
          <w:sz w:val="24"/>
          <w:szCs w:val="24"/>
        </w:rPr>
        <w:t>”, “</w:t>
      </w:r>
      <w:r w:rsidRPr="0074380A">
        <w:rPr>
          <w:rFonts w:ascii="Arial" w:hAnsi="Arial" w:cs="Arial"/>
          <w:sz w:val="24"/>
          <w:szCs w:val="24"/>
        </w:rPr>
        <w:t>ALOJAMENTO E ALIMENTAÇÃO</w:t>
      </w:r>
      <w:r>
        <w:rPr>
          <w:rFonts w:ascii="Arial" w:hAnsi="Arial" w:cs="Arial"/>
          <w:sz w:val="24"/>
          <w:szCs w:val="24"/>
        </w:rPr>
        <w:t>”, “</w:t>
      </w:r>
      <w:r w:rsidRPr="0074380A">
        <w:rPr>
          <w:rFonts w:ascii="Arial" w:hAnsi="Arial" w:cs="Arial"/>
          <w:sz w:val="24"/>
          <w:szCs w:val="24"/>
        </w:rPr>
        <w:t>ATIVIDADES ADMINISTRATIVAS E SERVIÇOS COMPLEMENTARES</w:t>
      </w:r>
      <w:r>
        <w:rPr>
          <w:rFonts w:ascii="Arial" w:hAnsi="Arial" w:cs="Arial"/>
          <w:sz w:val="24"/>
          <w:szCs w:val="24"/>
        </w:rPr>
        <w:t>”, “</w:t>
      </w:r>
      <w:r w:rsidRPr="0074380A">
        <w:rPr>
          <w:rFonts w:ascii="Arial" w:hAnsi="Arial" w:cs="Arial"/>
          <w:sz w:val="24"/>
          <w:szCs w:val="24"/>
        </w:rPr>
        <w:t>CNAE DESCONHECIDO</w:t>
      </w:r>
      <w:r>
        <w:rPr>
          <w:rFonts w:ascii="Arial" w:hAnsi="Arial" w:cs="Arial"/>
          <w:sz w:val="24"/>
          <w:szCs w:val="24"/>
        </w:rPr>
        <w:t>”, “</w:t>
      </w:r>
      <w:r w:rsidRPr="0074380A">
        <w:rPr>
          <w:rFonts w:ascii="Arial" w:hAnsi="Arial" w:cs="Arial"/>
          <w:sz w:val="24"/>
          <w:szCs w:val="24"/>
        </w:rPr>
        <w:t>COMÉRCIO; REPARAÇÃO DE VEÍCULOS AUTOMOTORES E MOTOCICLETAS</w:t>
      </w:r>
      <w:r>
        <w:rPr>
          <w:rFonts w:ascii="Arial" w:hAnsi="Arial" w:cs="Arial"/>
          <w:sz w:val="24"/>
          <w:szCs w:val="24"/>
        </w:rPr>
        <w:t>”, “</w:t>
      </w:r>
      <w:r w:rsidRPr="0074380A">
        <w:rPr>
          <w:rFonts w:ascii="Arial" w:hAnsi="Arial" w:cs="Arial"/>
          <w:sz w:val="24"/>
          <w:szCs w:val="24"/>
        </w:rPr>
        <w:t>CONSTRUÇÃO</w:t>
      </w:r>
      <w:r>
        <w:rPr>
          <w:rFonts w:ascii="Arial" w:hAnsi="Arial" w:cs="Arial"/>
          <w:sz w:val="24"/>
          <w:szCs w:val="24"/>
        </w:rPr>
        <w:t>”, “</w:t>
      </w:r>
      <w:r w:rsidRPr="0074380A">
        <w:rPr>
          <w:rFonts w:ascii="Arial" w:hAnsi="Arial" w:cs="Arial"/>
          <w:sz w:val="24"/>
          <w:szCs w:val="24"/>
        </w:rPr>
        <w:t>ELETRICIDADE E GÁS</w:t>
      </w:r>
      <w:r>
        <w:rPr>
          <w:rFonts w:ascii="Arial" w:hAnsi="Arial" w:cs="Arial"/>
          <w:sz w:val="24"/>
          <w:szCs w:val="24"/>
        </w:rPr>
        <w:t>”, “</w:t>
      </w:r>
      <w:r w:rsidRPr="0074380A">
        <w:rPr>
          <w:rFonts w:ascii="Arial" w:hAnsi="Arial" w:cs="Arial"/>
          <w:sz w:val="24"/>
          <w:szCs w:val="24"/>
        </w:rPr>
        <w:t>INDÚSTRIAS DE TRANSFORMAÇÃO</w:t>
      </w:r>
      <w:r>
        <w:rPr>
          <w:rFonts w:ascii="Arial" w:hAnsi="Arial" w:cs="Arial"/>
          <w:sz w:val="24"/>
          <w:szCs w:val="24"/>
        </w:rPr>
        <w:t>”, “</w:t>
      </w:r>
      <w:r w:rsidRPr="0074380A">
        <w:rPr>
          <w:rFonts w:ascii="Arial" w:hAnsi="Arial" w:cs="Arial"/>
          <w:sz w:val="24"/>
          <w:szCs w:val="24"/>
        </w:rPr>
        <w:t>INDÚSTRIAS EXTRATIVAS</w:t>
      </w:r>
      <w:r>
        <w:rPr>
          <w:rFonts w:ascii="Arial" w:hAnsi="Arial" w:cs="Arial"/>
          <w:sz w:val="24"/>
          <w:szCs w:val="24"/>
        </w:rPr>
        <w:t>”, “</w:t>
      </w:r>
      <w:r w:rsidRPr="0074380A">
        <w:rPr>
          <w:rFonts w:ascii="Arial" w:hAnsi="Arial" w:cs="Arial"/>
          <w:sz w:val="24"/>
          <w:szCs w:val="24"/>
        </w:rPr>
        <w:t>INFORMAÇÃO E COMUNICAÇÃO</w:t>
      </w:r>
      <w:r>
        <w:rPr>
          <w:rFonts w:ascii="Arial" w:hAnsi="Arial" w:cs="Arial"/>
          <w:sz w:val="24"/>
          <w:szCs w:val="24"/>
        </w:rPr>
        <w:t>”, “</w:t>
      </w:r>
      <w:r w:rsidRPr="0074380A">
        <w:rPr>
          <w:rFonts w:ascii="Arial" w:hAnsi="Arial" w:cs="Arial"/>
          <w:sz w:val="24"/>
          <w:szCs w:val="24"/>
        </w:rPr>
        <w:t>OUTRAS ATIVIDADES DE SERVIÇOS</w:t>
      </w:r>
      <w:r>
        <w:rPr>
          <w:rFonts w:ascii="Arial" w:hAnsi="Arial" w:cs="Arial"/>
          <w:sz w:val="24"/>
          <w:szCs w:val="24"/>
        </w:rPr>
        <w:t>”, “</w:t>
      </w:r>
      <w:r w:rsidRPr="00026294">
        <w:rPr>
          <w:rFonts w:ascii="Arial" w:hAnsi="Arial" w:cs="Arial"/>
          <w:sz w:val="24"/>
          <w:szCs w:val="24"/>
        </w:rPr>
        <w:t>TRANSPORTE, ARMAZENAGEM E CORREIO</w:t>
      </w:r>
      <w:r>
        <w:rPr>
          <w:rFonts w:ascii="Arial" w:hAnsi="Arial" w:cs="Arial"/>
          <w:sz w:val="24"/>
          <w:szCs w:val="24"/>
        </w:rPr>
        <w:t>” e “</w:t>
      </w:r>
      <w:r w:rsidRPr="00026294">
        <w:rPr>
          <w:rFonts w:ascii="Arial" w:hAnsi="Arial" w:cs="Arial"/>
          <w:sz w:val="24"/>
          <w:szCs w:val="24"/>
        </w:rPr>
        <w:t>ÁGUA, ESGOTO, ATIVIDADES DE GESTÃO DE RESÍDUOS E DESCONTAMINAÇÃO</w:t>
      </w:r>
      <w:r>
        <w:rPr>
          <w:rFonts w:ascii="Arial" w:hAnsi="Arial" w:cs="Arial"/>
          <w:sz w:val="24"/>
          <w:szCs w:val="24"/>
        </w:rPr>
        <w:t>”;</w:t>
      </w:r>
    </w:p>
    <w:p w14:paraId="708CED8C" w14:textId="77777777" w:rsidR="006356F1" w:rsidRPr="002E4CEA" w:rsidRDefault="006356F1" w:rsidP="00502615">
      <w:pPr>
        <w:pStyle w:val="PargrafodaLista"/>
        <w:numPr>
          <w:ilvl w:val="0"/>
          <w:numId w:val="50"/>
        </w:numPr>
        <w:spacing w:line="360" w:lineRule="auto"/>
        <w:jc w:val="both"/>
        <w:rPr>
          <w:rFonts w:ascii="Arial" w:hAnsi="Arial" w:cs="Arial"/>
          <w:sz w:val="24"/>
          <w:szCs w:val="24"/>
        </w:rPr>
      </w:pPr>
      <w:r w:rsidRPr="00026294">
        <w:rPr>
          <w:rFonts w:ascii="Arial" w:hAnsi="Arial" w:cs="Arial"/>
          <w:sz w:val="24"/>
          <w:szCs w:val="24"/>
          <w:u w:val="single"/>
        </w:rPr>
        <w:t>divisão CNAE</w:t>
      </w:r>
      <w:r>
        <w:rPr>
          <w:rFonts w:ascii="Arial" w:hAnsi="Arial" w:cs="Arial"/>
          <w:sz w:val="24"/>
          <w:szCs w:val="24"/>
        </w:rPr>
        <w:t>: o sistema permite que o usuário selecione, isolada ou conjuntamente, desdobramentos temáticos resultantes da divisão em áreas mais específicas do CNAE (v.g seção CNAE “</w:t>
      </w:r>
      <w:r w:rsidRPr="0074380A">
        <w:rPr>
          <w:rFonts w:ascii="Arial" w:hAnsi="Arial" w:cs="Arial"/>
          <w:sz w:val="24"/>
          <w:szCs w:val="24"/>
        </w:rPr>
        <w:t>ATIVIDADES ADMINISTRATIVAS E SERVIÇOS COMPLEMENTARES</w:t>
      </w:r>
      <w:r>
        <w:rPr>
          <w:rFonts w:ascii="Arial" w:hAnsi="Arial" w:cs="Arial"/>
          <w:sz w:val="24"/>
          <w:szCs w:val="24"/>
        </w:rPr>
        <w:t xml:space="preserve">”, divisão CNAE </w:t>
      </w:r>
      <w:r>
        <w:rPr>
          <w:rFonts w:ascii="Arial" w:hAnsi="Arial" w:cs="Arial"/>
          <w:sz w:val="24"/>
          <w:szCs w:val="24"/>
        </w:rPr>
        <w:lastRenderedPageBreak/>
        <w:t>“</w:t>
      </w:r>
      <w:r w:rsidRPr="000C698B">
        <w:rPr>
          <w:rFonts w:ascii="Arial" w:hAnsi="Arial" w:cs="Arial"/>
          <w:sz w:val="24"/>
          <w:szCs w:val="24"/>
        </w:rPr>
        <w:t>ALUGUÉIS NÃO-IMOBILIÁRIOS E GESTÃO DE ATIVOS INTANGÍVEIS NÃO-FINANCEIROS</w:t>
      </w:r>
      <w:r>
        <w:rPr>
          <w:rFonts w:ascii="Arial" w:hAnsi="Arial" w:cs="Arial"/>
          <w:sz w:val="24"/>
          <w:szCs w:val="24"/>
        </w:rPr>
        <w:t>”, dentre outros).</w:t>
      </w:r>
    </w:p>
    <w:p w14:paraId="69820B5E" w14:textId="77777777" w:rsidR="006356F1" w:rsidRPr="00447FAC" w:rsidRDefault="006356F1" w:rsidP="006356F1">
      <w:pPr>
        <w:spacing w:line="360" w:lineRule="auto"/>
        <w:ind w:firstLine="851"/>
        <w:jc w:val="both"/>
        <w:rPr>
          <w:rFonts w:ascii="Arial" w:hAnsi="Arial" w:cs="Arial"/>
          <w:sz w:val="24"/>
          <w:szCs w:val="24"/>
        </w:rPr>
      </w:pPr>
      <w:r>
        <w:rPr>
          <w:rFonts w:ascii="Arial" w:hAnsi="Arial" w:cs="Arial"/>
          <w:sz w:val="24"/>
          <w:szCs w:val="24"/>
        </w:rPr>
        <w:t>Logo abaixo dessas opções, n</w:t>
      </w:r>
      <w:r w:rsidRPr="00447FAC">
        <w:rPr>
          <w:rFonts w:ascii="Arial" w:hAnsi="Arial" w:cs="Arial"/>
          <w:sz w:val="24"/>
          <w:szCs w:val="24"/>
        </w:rPr>
        <w:t xml:space="preserve">o canto esquerdo da tela, registram-se </w:t>
      </w:r>
      <w:r>
        <w:rPr>
          <w:rFonts w:ascii="Arial" w:hAnsi="Arial" w:cs="Arial"/>
          <w:sz w:val="24"/>
          <w:szCs w:val="24"/>
        </w:rPr>
        <w:t xml:space="preserve">também </w:t>
      </w:r>
      <w:r w:rsidRPr="00447FAC">
        <w:rPr>
          <w:rFonts w:ascii="Arial" w:hAnsi="Arial" w:cs="Arial"/>
          <w:sz w:val="24"/>
          <w:szCs w:val="24"/>
        </w:rPr>
        <w:t>as seguintes observações gerais:</w:t>
      </w:r>
    </w:p>
    <w:p w14:paraId="3CFB0A90" w14:textId="77777777" w:rsidR="006356F1" w:rsidRDefault="006356F1" w:rsidP="006356F1">
      <w:pPr>
        <w:spacing w:line="360" w:lineRule="auto"/>
        <w:ind w:firstLine="851"/>
        <w:jc w:val="both"/>
        <w:rPr>
          <w:rFonts w:ascii="Arial" w:hAnsi="Arial" w:cs="Arial"/>
          <w:sz w:val="24"/>
          <w:szCs w:val="24"/>
        </w:rPr>
      </w:pPr>
    </w:p>
    <w:p w14:paraId="05D101FE" w14:textId="77777777" w:rsidR="006356F1" w:rsidRPr="002E4CEA" w:rsidRDefault="006356F1" w:rsidP="006356F1">
      <w:pPr>
        <w:ind w:left="2268" w:firstLine="284"/>
        <w:jc w:val="both"/>
        <w:rPr>
          <w:rFonts w:ascii="Arial" w:hAnsi="Arial" w:cs="Arial"/>
          <w:sz w:val="22"/>
          <w:szCs w:val="22"/>
        </w:rPr>
      </w:pPr>
      <w:r w:rsidRPr="002E4CEA">
        <w:rPr>
          <w:rFonts w:ascii="Arial" w:hAnsi="Arial" w:cs="Arial"/>
          <w:b/>
          <w:bCs/>
          <w:sz w:val="22"/>
          <w:szCs w:val="22"/>
        </w:rPr>
        <w:t>a)</w:t>
      </w:r>
      <w:r w:rsidRPr="002E4CEA">
        <w:rPr>
          <w:rFonts w:ascii="Arial" w:hAnsi="Arial" w:cs="Arial"/>
          <w:sz w:val="22"/>
          <w:szCs w:val="22"/>
        </w:rPr>
        <w:t> Publicação atendendo recomendação do Tribunal de Contas do Estado de Goiás, conforme item 19 do Parecer Prévio das Contas Anuais do Governador. Exercício de 2015;</w:t>
      </w:r>
    </w:p>
    <w:p w14:paraId="3E463248" w14:textId="77777777" w:rsidR="006356F1" w:rsidRPr="002E4CEA" w:rsidRDefault="006356F1" w:rsidP="006356F1">
      <w:pPr>
        <w:ind w:left="2268" w:firstLine="284"/>
        <w:jc w:val="both"/>
        <w:rPr>
          <w:rFonts w:ascii="Arial" w:hAnsi="Arial" w:cs="Arial"/>
          <w:sz w:val="22"/>
          <w:szCs w:val="22"/>
        </w:rPr>
      </w:pPr>
      <w:r w:rsidRPr="002E4CEA">
        <w:rPr>
          <w:rFonts w:ascii="Arial" w:hAnsi="Arial" w:cs="Arial"/>
          <w:b/>
          <w:bCs/>
          <w:sz w:val="22"/>
          <w:szCs w:val="22"/>
        </w:rPr>
        <w:t>b)</w:t>
      </w:r>
      <w:r w:rsidRPr="002E4CEA">
        <w:rPr>
          <w:rFonts w:ascii="Arial" w:hAnsi="Arial" w:cs="Arial"/>
          <w:sz w:val="22"/>
          <w:szCs w:val="22"/>
        </w:rPr>
        <w:t> As informações sobre benefícios fiscais apresentadas neste painel são referentes a declarações de ajuste de ICMS informadas pelos contribuintes através de Escrituração Fiscal Digital e estão sujeitas a retificações inclusive de valores;</w:t>
      </w:r>
    </w:p>
    <w:p w14:paraId="2603D929" w14:textId="77777777" w:rsidR="006356F1" w:rsidRPr="002E4CEA" w:rsidRDefault="006356F1" w:rsidP="006356F1">
      <w:pPr>
        <w:ind w:left="2268" w:firstLine="284"/>
        <w:jc w:val="both"/>
        <w:rPr>
          <w:rFonts w:ascii="Arial" w:hAnsi="Arial" w:cs="Arial"/>
          <w:sz w:val="22"/>
          <w:szCs w:val="22"/>
        </w:rPr>
      </w:pPr>
      <w:r w:rsidRPr="002E4CEA">
        <w:rPr>
          <w:rFonts w:ascii="Arial" w:hAnsi="Arial" w:cs="Arial"/>
          <w:b/>
          <w:bCs/>
          <w:sz w:val="22"/>
          <w:szCs w:val="22"/>
        </w:rPr>
        <w:t>c)</w:t>
      </w:r>
      <w:r w:rsidRPr="002E4CEA">
        <w:rPr>
          <w:rFonts w:ascii="Arial" w:hAnsi="Arial" w:cs="Arial"/>
          <w:sz w:val="22"/>
          <w:szCs w:val="22"/>
        </w:rPr>
        <w:t> Os valores de benefícios fiscais podem ser auditados ao longo de um período de cinco anos, podendo implicar em mudança nos valores declarados pelo contribuinte.</w:t>
      </w:r>
    </w:p>
    <w:p w14:paraId="7CAECE09" w14:textId="77777777" w:rsidR="006356F1" w:rsidRDefault="006356F1" w:rsidP="006356F1">
      <w:pPr>
        <w:spacing w:line="360" w:lineRule="auto"/>
        <w:ind w:firstLine="851"/>
        <w:jc w:val="both"/>
        <w:rPr>
          <w:rFonts w:ascii="Arial" w:hAnsi="Arial" w:cs="Arial"/>
          <w:sz w:val="24"/>
          <w:szCs w:val="24"/>
        </w:rPr>
      </w:pPr>
    </w:p>
    <w:p w14:paraId="59232ECC"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Após selecionar os critérios desejados, o sistema apresenta </w:t>
      </w:r>
      <w:r w:rsidRPr="000860AC">
        <w:rPr>
          <w:rFonts w:ascii="Arial" w:hAnsi="Arial" w:cs="Arial"/>
          <w:b/>
          <w:bCs/>
          <w:sz w:val="24"/>
          <w:szCs w:val="24"/>
        </w:rPr>
        <w:t>4 (quatro) recursos gráficos como resposta à pesquisa</w:t>
      </w:r>
      <w:r>
        <w:rPr>
          <w:rFonts w:ascii="Arial" w:hAnsi="Arial" w:cs="Arial"/>
          <w:sz w:val="24"/>
          <w:szCs w:val="24"/>
        </w:rPr>
        <w:t xml:space="preserve">: </w:t>
      </w:r>
      <w:r w:rsidRPr="000860AC">
        <w:rPr>
          <w:rFonts w:ascii="Arial" w:hAnsi="Arial" w:cs="Arial"/>
          <w:sz w:val="24"/>
          <w:szCs w:val="24"/>
          <w:u w:val="single"/>
        </w:rPr>
        <w:t>a) um gráfico em formato de pizza</w:t>
      </w:r>
      <w:r>
        <w:rPr>
          <w:rFonts w:ascii="Arial" w:hAnsi="Arial" w:cs="Arial"/>
          <w:sz w:val="24"/>
          <w:szCs w:val="24"/>
        </w:rPr>
        <w:t xml:space="preserve">, que demonstra a participação de cada Grupo Macro Estratégico na participação do total de incentivos fiscais para o período selecionado; </w:t>
      </w:r>
      <w:r w:rsidRPr="000860AC">
        <w:rPr>
          <w:rFonts w:ascii="Arial" w:hAnsi="Arial" w:cs="Arial"/>
          <w:sz w:val="24"/>
          <w:szCs w:val="24"/>
          <w:u w:val="single"/>
        </w:rPr>
        <w:t>b) um gráfico em forma</w:t>
      </w:r>
      <w:r>
        <w:rPr>
          <w:rFonts w:ascii="Arial" w:hAnsi="Arial" w:cs="Arial"/>
          <w:sz w:val="24"/>
          <w:szCs w:val="24"/>
          <w:u w:val="single"/>
        </w:rPr>
        <w:t>to</w:t>
      </w:r>
      <w:r w:rsidRPr="000860AC">
        <w:rPr>
          <w:rFonts w:ascii="Arial" w:hAnsi="Arial" w:cs="Arial"/>
          <w:sz w:val="24"/>
          <w:szCs w:val="24"/>
          <w:u w:val="single"/>
        </w:rPr>
        <w:t xml:space="preserve"> de coluna</w:t>
      </w:r>
      <w:r>
        <w:rPr>
          <w:rFonts w:ascii="Arial" w:hAnsi="Arial" w:cs="Arial"/>
          <w:sz w:val="24"/>
          <w:szCs w:val="24"/>
          <w:u w:val="single"/>
        </w:rPr>
        <w:t>s</w:t>
      </w:r>
      <w:r>
        <w:rPr>
          <w:rFonts w:ascii="Arial" w:hAnsi="Arial" w:cs="Arial"/>
          <w:sz w:val="24"/>
          <w:szCs w:val="24"/>
        </w:rPr>
        <w:t xml:space="preserve">, que mostra ao longo da linha horizontal os meses de referência e ao longo da vertical o volume de benefícios concedidos/fruídos; </w:t>
      </w:r>
      <w:r w:rsidRPr="001D02E9">
        <w:rPr>
          <w:rFonts w:ascii="Arial" w:hAnsi="Arial" w:cs="Arial"/>
          <w:sz w:val="24"/>
          <w:szCs w:val="24"/>
          <w:u w:val="single"/>
        </w:rPr>
        <w:t>c) outro gráfico em formato de pizza</w:t>
      </w:r>
      <w:r>
        <w:rPr>
          <w:rFonts w:ascii="Arial" w:hAnsi="Arial" w:cs="Arial"/>
          <w:sz w:val="24"/>
          <w:szCs w:val="24"/>
        </w:rPr>
        <w:t xml:space="preserve">, novamente, no qual demonstrado a participação de cada espécie de incentivo fiscal no volume total da soma “crédito outorgado”, “FOMENTAR E PRODUZIR” e “PRODUZIR”; e </w:t>
      </w:r>
      <w:r w:rsidRPr="001D02E9">
        <w:rPr>
          <w:rFonts w:ascii="Arial" w:hAnsi="Arial" w:cs="Arial"/>
          <w:sz w:val="24"/>
          <w:szCs w:val="24"/>
          <w:u w:val="single"/>
        </w:rPr>
        <w:t>d) tabela</w:t>
      </w:r>
      <w:r>
        <w:rPr>
          <w:rFonts w:ascii="Arial" w:hAnsi="Arial" w:cs="Arial"/>
          <w:sz w:val="24"/>
          <w:szCs w:val="24"/>
          <w:u w:val="single"/>
        </w:rPr>
        <w:t xml:space="preserve"> de detalhamento com 4 (quatro) colunas</w:t>
      </w:r>
      <w:r>
        <w:rPr>
          <w:rFonts w:ascii="Arial" w:hAnsi="Arial" w:cs="Arial"/>
          <w:sz w:val="24"/>
          <w:szCs w:val="24"/>
        </w:rPr>
        <w:t>, a qual especifica em cada uma dessas colunas “mês de referência”, “nome do benefício”, “Estrutura CNAE” e “Valor do Benefício Concedido” (ao longo das linhas são especificados também os valores totais consoante os dois primeiros critérios).</w:t>
      </w:r>
    </w:p>
    <w:p w14:paraId="35C727F2"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A título de exemplo, uma consulta para aferir todas as atividades beneficiadas com “crédito outorgado”, “FOMENTAR E PRODUZIR” e “PRODUZIR”, bem como respectivos valores, ao longo do exercício de 2019, trará os seguintes gráficos e tabelas:</w:t>
      </w:r>
    </w:p>
    <w:p w14:paraId="34542E9B" w14:textId="77777777" w:rsidR="006356F1" w:rsidRPr="009D2B14" w:rsidRDefault="006356F1" w:rsidP="006356F1">
      <w:pPr>
        <w:pStyle w:val="PargrafodaLista"/>
        <w:spacing w:line="360" w:lineRule="auto"/>
        <w:ind w:left="1211"/>
        <w:jc w:val="both"/>
        <w:rPr>
          <w:rFonts w:ascii="Arial" w:hAnsi="Arial" w:cs="Arial"/>
          <w:sz w:val="24"/>
          <w:szCs w:val="24"/>
        </w:rPr>
      </w:pPr>
      <w:r w:rsidRPr="009D2B14">
        <w:rPr>
          <w:noProof/>
        </w:rPr>
        <w:lastRenderedPageBreak/>
        <w:drawing>
          <wp:inline distT="0" distB="0" distL="0" distR="0" wp14:anchorId="2135ED7E" wp14:editId="2CE4AF99">
            <wp:extent cx="5334000" cy="3181350"/>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34000" cy="3181350"/>
                    </a:xfrm>
                    <a:prstGeom prst="rect">
                      <a:avLst/>
                    </a:prstGeom>
                    <a:noFill/>
                    <a:ln>
                      <a:noFill/>
                    </a:ln>
                  </pic:spPr>
                </pic:pic>
              </a:graphicData>
            </a:graphic>
          </wp:inline>
        </w:drawing>
      </w:r>
    </w:p>
    <w:p w14:paraId="1C8CB2EC" w14:textId="77777777" w:rsidR="006356F1" w:rsidRDefault="006356F1" w:rsidP="006356F1">
      <w:pPr>
        <w:pBdr>
          <w:left w:val="single" w:sz="4" w:space="4" w:color="auto"/>
        </w:pBdr>
        <w:ind w:left="1134"/>
        <w:jc w:val="both"/>
        <w:rPr>
          <w:rFonts w:ascii="Arial" w:hAnsi="Arial" w:cs="Arial"/>
          <w:sz w:val="20"/>
        </w:rPr>
      </w:pPr>
      <w:r>
        <w:rPr>
          <w:rFonts w:ascii="Arial" w:hAnsi="Arial" w:cs="Arial"/>
          <w:sz w:val="20"/>
        </w:rPr>
        <w:t>*</w:t>
      </w:r>
      <w:r w:rsidRPr="009D2B14">
        <w:rPr>
          <w:rFonts w:ascii="Arial" w:hAnsi="Arial" w:cs="Arial"/>
          <w:sz w:val="20"/>
        </w:rPr>
        <w:t xml:space="preserve"> O gráfico exibe</w:t>
      </w:r>
      <w:r>
        <w:rPr>
          <w:rFonts w:ascii="Arial" w:hAnsi="Arial" w:cs="Arial"/>
          <w:sz w:val="20"/>
        </w:rPr>
        <w:t xml:space="preserve"> o volume de benefícios concedidos por Grupo Macro Estratégico, apenas para o</w:t>
      </w:r>
      <w:r w:rsidRPr="009D2B14">
        <w:rPr>
          <w:rFonts w:ascii="Arial" w:hAnsi="Arial" w:cs="Arial"/>
          <w:sz w:val="20"/>
        </w:rPr>
        <w:t xml:space="preserve"> mês de referência</w:t>
      </w:r>
      <w:r>
        <w:rPr>
          <w:rFonts w:ascii="Arial" w:hAnsi="Arial" w:cs="Arial"/>
          <w:sz w:val="20"/>
        </w:rPr>
        <w:t>, o qual pode ser alterado a critério do usuário</w:t>
      </w:r>
      <w:r w:rsidRPr="009D2B14">
        <w:rPr>
          <w:rFonts w:ascii="Arial" w:hAnsi="Arial" w:cs="Arial"/>
          <w:sz w:val="20"/>
        </w:rPr>
        <w:t xml:space="preserve">. </w:t>
      </w:r>
    </w:p>
    <w:p w14:paraId="5CB8CD91" w14:textId="77777777" w:rsidR="006356F1" w:rsidRPr="009D2B14" w:rsidRDefault="006356F1" w:rsidP="006356F1">
      <w:pPr>
        <w:pBdr>
          <w:left w:val="single" w:sz="4" w:space="4" w:color="auto"/>
        </w:pBdr>
        <w:ind w:left="1134"/>
        <w:jc w:val="both"/>
        <w:rPr>
          <w:rFonts w:ascii="Arial" w:hAnsi="Arial" w:cs="Arial"/>
          <w:sz w:val="20"/>
        </w:rPr>
      </w:pPr>
      <w:r>
        <w:rPr>
          <w:rFonts w:ascii="Arial" w:hAnsi="Arial" w:cs="Arial"/>
          <w:sz w:val="20"/>
        </w:rPr>
        <w:t xml:space="preserve">** </w:t>
      </w:r>
      <w:r w:rsidRPr="009D2B14">
        <w:rPr>
          <w:rFonts w:ascii="Arial" w:hAnsi="Arial" w:cs="Arial"/>
          <w:sz w:val="20"/>
        </w:rPr>
        <w:t>Ao aproximar o cursor do mouse sobre cada “fatia” do gráfico, é exi</w:t>
      </w:r>
      <w:r>
        <w:rPr>
          <w:rFonts w:ascii="Arial" w:hAnsi="Arial" w:cs="Arial"/>
          <w:sz w:val="20"/>
        </w:rPr>
        <w:t>b</w:t>
      </w:r>
      <w:r w:rsidRPr="009D2B14">
        <w:rPr>
          <w:rFonts w:ascii="Arial" w:hAnsi="Arial" w:cs="Arial"/>
          <w:sz w:val="20"/>
        </w:rPr>
        <w:t xml:space="preserve">ido o valor em reais (R$) de benefício concedido </w:t>
      </w:r>
      <w:r>
        <w:rPr>
          <w:rFonts w:ascii="Arial" w:hAnsi="Arial" w:cs="Arial"/>
          <w:sz w:val="20"/>
        </w:rPr>
        <w:t>a</w:t>
      </w:r>
      <w:r w:rsidRPr="009D2B14">
        <w:rPr>
          <w:rFonts w:ascii="Arial" w:hAnsi="Arial" w:cs="Arial"/>
          <w:sz w:val="20"/>
        </w:rPr>
        <w:t xml:space="preserve"> cada atividade econômica ali representada</w:t>
      </w:r>
      <w:r>
        <w:rPr>
          <w:rFonts w:ascii="Arial" w:hAnsi="Arial" w:cs="Arial"/>
          <w:sz w:val="20"/>
        </w:rPr>
        <w:t xml:space="preserve"> e </w:t>
      </w:r>
      <w:r w:rsidRPr="009D2B14">
        <w:rPr>
          <w:rFonts w:ascii="Arial" w:hAnsi="Arial" w:cs="Arial"/>
          <w:sz w:val="20"/>
        </w:rPr>
        <w:t xml:space="preserve">o </w:t>
      </w:r>
      <w:r>
        <w:rPr>
          <w:rFonts w:ascii="Arial" w:hAnsi="Arial" w:cs="Arial"/>
          <w:sz w:val="20"/>
        </w:rPr>
        <w:t>percentual que representa em relação ao total</w:t>
      </w:r>
      <w:r w:rsidRPr="009D2B14">
        <w:rPr>
          <w:rFonts w:ascii="Arial" w:hAnsi="Arial" w:cs="Arial"/>
          <w:sz w:val="20"/>
        </w:rPr>
        <w:t>.</w:t>
      </w:r>
    </w:p>
    <w:p w14:paraId="38B3189B" w14:textId="77777777" w:rsidR="006356F1" w:rsidRDefault="006356F1" w:rsidP="006356F1">
      <w:pPr>
        <w:spacing w:line="360" w:lineRule="auto"/>
        <w:jc w:val="both"/>
        <w:rPr>
          <w:rFonts w:ascii="Arial" w:hAnsi="Arial" w:cs="Arial"/>
          <w:sz w:val="24"/>
          <w:szCs w:val="24"/>
        </w:rPr>
      </w:pPr>
      <w:r w:rsidRPr="009D2B14">
        <w:rPr>
          <w:rFonts w:ascii="Arial" w:hAnsi="Arial" w:cs="Arial"/>
          <w:noProof/>
          <w:sz w:val="24"/>
          <w:szCs w:val="24"/>
        </w:rPr>
        <w:drawing>
          <wp:inline distT="0" distB="0" distL="0" distR="0" wp14:anchorId="5C315C98" wp14:editId="6CBA0F27">
            <wp:extent cx="5943600" cy="3505200"/>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49C3BF7C" w14:textId="77777777" w:rsidR="006356F1" w:rsidRPr="00C16A18" w:rsidRDefault="006356F1" w:rsidP="006356F1">
      <w:pPr>
        <w:pBdr>
          <w:left w:val="single" w:sz="4" w:space="4" w:color="auto"/>
        </w:pBdr>
        <w:ind w:left="1134"/>
        <w:jc w:val="both"/>
        <w:rPr>
          <w:rFonts w:ascii="Arial" w:hAnsi="Arial" w:cs="Arial"/>
          <w:sz w:val="20"/>
        </w:rPr>
      </w:pPr>
      <w:r w:rsidRPr="00C16A18">
        <w:rPr>
          <w:rFonts w:ascii="Arial" w:hAnsi="Arial" w:cs="Arial"/>
          <w:sz w:val="20"/>
        </w:rPr>
        <w:t>* Neste gráfico, todos os meses são ilustrados em forma de colunas.</w:t>
      </w:r>
    </w:p>
    <w:p w14:paraId="7595D554" w14:textId="77777777" w:rsidR="006356F1" w:rsidRPr="00C16A18" w:rsidRDefault="006356F1" w:rsidP="006356F1">
      <w:pPr>
        <w:pBdr>
          <w:left w:val="single" w:sz="4" w:space="4" w:color="auto"/>
        </w:pBdr>
        <w:ind w:left="1134"/>
        <w:jc w:val="both"/>
        <w:rPr>
          <w:rFonts w:ascii="Arial" w:hAnsi="Arial" w:cs="Arial"/>
          <w:sz w:val="20"/>
        </w:rPr>
      </w:pPr>
      <w:r w:rsidRPr="00C16A18">
        <w:rPr>
          <w:rFonts w:ascii="Arial" w:hAnsi="Arial" w:cs="Arial"/>
          <w:sz w:val="20"/>
        </w:rPr>
        <w:t>** Os valores estão representados em milhões de reais. Assim, o valor de benefícios concedidos em cada mês permaneceu entre R$ 500.000.000,00 (quinhentos milhões de reais) e R$ 700.000.000,00 (setecentos milhões de reais).</w:t>
      </w:r>
    </w:p>
    <w:p w14:paraId="1025FD31" w14:textId="77777777" w:rsidR="006356F1" w:rsidRDefault="006356F1" w:rsidP="006356F1">
      <w:pPr>
        <w:spacing w:line="360" w:lineRule="auto"/>
        <w:ind w:firstLine="851"/>
        <w:jc w:val="both"/>
        <w:rPr>
          <w:rFonts w:ascii="Arial" w:hAnsi="Arial" w:cs="Arial"/>
          <w:sz w:val="24"/>
          <w:szCs w:val="24"/>
        </w:rPr>
      </w:pPr>
    </w:p>
    <w:p w14:paraId="1C6EF614" w14:textId="77777777" w:rsidR="006356F1" w:rsidRDefault="006356F1" w:rsidP="006356F1">
      <w:pPr>
        <w:spacing w:line="360" w:lineRule="auto"/>
        <w:jc w:val="both"/>
        <w:rPr>
          <w:rFonts w:ascii="Arial" w:hAnsi="Arial" w:cs="Arial"/>
          <w:sz w:val="24"/>
          <w:szCs w:val="24"/>
        </w:rPr>
      </w:pPr>
      <w:r w:rsidRPr="006A0F6F">
        <w:rPr>
          <w:rFonts w:ascii="Arial" w:hAnsi="Arial" w:cs="Arial"/>
          <w:noProof/>
          <w:sz w:val="24"/>
          <w:szCs w:val="24"/>
        </w:rPr>
        <w:lastRenderedPageBreak/>
        <w:drawing>
          <wp:inline distT="0" distB="0" distL="0" distR="0" wp14:anchorId="38E44680" wp14:editId="287175BE">
            <wp:extent cx="5981700" cy="3095625"/>
            <wp:effectExtent l="0" t="0" r="0" b="952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81700" cy="3095625"/>
                    </a:xfrm>
                    <a:prstGeom prst="rect">
                      <a:avLst/>
                    </a:prstGeom>
                    <a:noFill/>
                    <a:ln>
                      <a:noFill/>
                    </a:ln>
                  </pic:spPr>
                </pic:pic>
              </a:graphicData>
            </a:graphic>
          </wp:inline>
        </w:drawing>
      </w:r>
    </w:p>
    <w:p w14:paraId="67E3165C" w14:textId="77777777" w:rsidR="006356F1" w:rsidRPr="00C16A18" w:rsidRDefault="006356F1" w:rsidP="006356F1">
      <w:pPr>
        <w:pBdr>
          <w:left w:val="single" w:sz="4" w:space="4" w:color="auto"/>
        </w:pBdr>
        <w:ind w:left="1134"/>
        <w:jc w:val="both"/>
        <w:rPr>
          <w:rFonts w:ascii="Arial" w:hAnsi="Arial" w:cs="Arial"/>
          <w:sz w:val="20"/>
        </w:rPr>
      </w:pPr>
      <w:r w:rsidRPr="00C16A18">
        <w:rPr>
          <w:rFonts w:ascii="Arial" w:hAnsi="Arial" w:cs="Arial"/>
          <w:sz w:val="20"/>
        </w:rPr>
        <w:t>* Neste gráfico,</w:t>
      </w:r>
      <w:r>
        <w:rPr>
          <w:rFonts w:ascii="Arial" w:hAnsi="Arial" w:cs="Arial"/>
          <w:sz w:val="20"/>
        </w:rPr>
        <w:t xml:space="preserve"> à semelhança do primeiro, demonstra-se a participação de cada espécie de incentivo fiscal para determinado mês de referência</w:t>
      </w:r>
      <w:r w:rsidRPr="00C16A18">
        <w:rPr>
          <w:rFonts w:ascii="Arial" w:hAnsi="Arial" w:cs="Arial"/>
          <w:sz w:val="20"/>
        </w:rPr>
        <w:t>.</w:t>
      </w:r>
    </w:p>
    <w:p w14:paraId="0DDDB100" w14:textId="77777777" w:rsidR="006356F1" w:rsidRPr="009D2B14" w:rsidRDefault="006356F1" w:rsidP="006356F1">
      <w:pPr>
        <w:pBdr>
          <w:left w:val="single" w:sz="4" w:space="4" w:color="auto"/>
        </w:pBdr>
        <w:ind w:left="1134"/>
        <w:jc w:val="both"/>
        <w:rPr>
          <w:rFonts w:ascii="Arial" w:hAnsi="Arial" w:cs="Arial"/>
          <w:sz w:val="20"/>
        </w:rPr>
      </w:pPr>
      <w:r>
        <w:rPr>
          <w:rFonts w:ascii="Arial" w:hAnsi="Arial" w:cs="Arial"/>
          <w:sz w:val="20"/>
        </w:rPr>
        <w:t xml:space="preserve">** </w:t>
      </w:r>
      <w:r w:rsidRPr="009D2B14">
        <w:rPr>
          <w:rFonts w:ascii="Arial" w:hAnsi="Arial" w:cs="Arial"/>
          <w:sz w:val="20"/>
        </w:rPr>
        <w:t>Ao aproximar o cursor do mouse sobre cada “fatia” do gráfico, é exi</w:t>
      </w:r>
      <w:r>
        <w:rPr>
          <w:rFonts w:ascii="Arial" w:hAnsi="Arial" w:cs="Arial"/>
          <w:sz w:val="20"/>
        </w:rPr>
        <w:t>b</w:t>
      </w:r>
      <w:r w:rsidRPr="009D2B14">
        <w:rPr>
          <w:rFonts w:ascii="Arial" w:hAnsi="Arial" w:cs="Arial"/>
          <w:sz w:val="20"/>
        </w:rPr>
        <w:t xml:space="preserve">ido </w:t>
      </w:r>
      <w:r>
        <w:rPr>
          <w:rFonts w:ascii="Arial" w:hAnsi="Arial" w:cs="Arial"/>
          <w:sz w:val="20"/>
        </w:rPr>
        <w:t xml:space="preserve">o </w:t>
      </w:r>
      <w:r w:rsidRPr="009D2B14">
        <w:rPr>
          <w:rFonts w:ascii="Arial" w:hAnsi="Arial" w:cs="Arial"/>
          <w:sz w:val="20"/>
        </w:rPr>
        <w:t xml:space="preserve">valor em reais (R$) de benefício concedido </w:t>
      </w:r>
      <w:r>
        <w:rPr>
          <w:rFonts w:ascii="Arial" w:hAnsi="Arial" w:cs="Arial"/>
          <w:sz w:val="20"/>
        </w:rPr>
        <w:t>a</w:t>
      </w:r>
      <w:r w:rsidRPr="009D2B14">
        <w:rPr>
          <w:rFonts w:ascii="Arial" w:hAnsi="Arial" w:cs="Arial"/>
          <w:sz w:val="20"/>
        </w:rPr>
        <w:t xml:space="preserve"> cada </w:t>
      </w:r>
      <w:r>
        <w:rPr>
          <w:rFonts w:ascii="Arial" w:hAnsi="Arial" w:cs="Arial"/>
          <w:sz w:val="20"/>
        </w:rPr>
        <w:t>espécie de incentivo</w:t>
      </w:r>
      <w:r w:rsidRPr="009D2B14">
        <w:rPr>
          <w:rFonts w:ascii="Arial" w:hAnsi="Arial" w:cs="Arial"/>
          <w:sz w:val="20"/>
        </w:rPr>
        <w:t xml:space="preserve"> ali representad</w:t>
      </w:r>
      <w:r>
        <w:rPr>
          <w:rFonts w:ascii="Arial" w:hAnsi="Arial" w:cs="Arial"/>
          <w:sz w:val="20"/>
        </w:rPr>
        <w:t xml:space="preserve">o e </w:t>
      </w:r>
      <w:r w:rsidRPr="009D2B14">
        <w:rPr>
          <w:rFonts w:ascii="Arial" w:hAnsi="Arial" w:cs="Arial"/>
          <w:sz w:val="20"/>
        </w:rPr>
        <w:t xml:space="preserve">o </w:t>
      </w:r>
      <w:r>
        <w:rPr>
          <w:rFonts w:ascii="Arial" w:hAnsi="Arial" w:cs="Arial"/>
          <w:sz w:val="20"/>
        </w:rPr>
        <w:t>percentual que representa em relação ao total</w:t>
      </w:r>
      <w:r w:rsidRPr="009D2B14">
        <w:rPr>
          <w:rFonts w:ascii="Arial" w:hAnsi="Arial" w:cs="Arial"/>
          <w:sz w:val="20"/>
        </w:rPr>
        <w:t>.</w:t>
      </w:r>
    </w:p>
    <w:p w14:paraId="0CDBFDDB" w14:textId="77777777" w:rsidR="006356F1" w:rsidRDefault="006356F1" w:rsidP="006356F1">
      <w:pPr>
        <w:spacing w:line="360" w:lineRule="auto"/>
        <w:ind w:firstLine="851"/>
        <w:jc w:val="both"/>
        <w:rPr>
          <w:rFonts w:ascii="Arial" w:hAnsi="Arial" w:cs="Arial"/>
          <w:sz w:val="24"/>
          <w:szCs w:val="24"/>
        </w:rPr>
      </w:pPr>
    </w:p>
    <w:p w14:paraId="6EA67E84" w14:textId="77777777" w:rsidR="006356F1" w:rsidRDefault="006356F1" w:rsidP="006356F1">
      <w:pPr>
        <w:spacing w:line="360" w:lineRule="auto"/>
        <w:ind w:firstLine="851"/>
        <w:jc w:val="both"/>
        <w:rPr>
          <w:rFonts w:ascii="Arial" w:hAnsi="Arial" w:cs="Arial"/>
          <w:sz w:val="24"/>
          <w:szCs w:val="24"/>
        </w:rPr>
      </w:pPr>
      <w:r w:rsidRPr="00C012FE">
        <w:rPr>
          <w:rFonts w:ascii="Arial" w:hAnsi="Arial" w:cs="Arial"/>
          <w:noProof/>
          <w:sz w:val="24"/>
          <w:szCs w:val="24"/>
        </w:rPr>
        <w:lastRenderedPageBreak/>
        <w:drawing>
          <wp:inline distT="0" distB="0" distL="0" distR="0" wp14:anchorId="23BEBA50" wp14:editId="66FE630E">
            <wp:extent cx="4324350" cy="7950835"/>
            <wp:effectExtent l="0" t="0" r="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34473" cy="7969448"/>
                    </a:xfrm>
                    <a:prstGeom prst="rect">
                      <a:avLst/>
                    </a:prstGeom>
                    <a:noFill/>
                    <a:ln>
                      <a:noFill/>
                    </a:ln>
                  </pic:spPr>
                </pic:pic>
              </a:graphicData>
            </a:graphic>
          </wp:inline>
        </w:drawing>
      </w:r>
    </w:p>
    <w:p w14:paraId="0450847E" w14:textId="77777777" w:rsidR="006356F1" w:rsidRPr="00C012FE" w:rsidRDefault="006356F1" w:rsidP="006356F1">
      <w:pPr>
        <w:pBdr>
          <w:left w:val="single" w:sz="4" w:space="4" w:color="auto"/>
        </w:pBdr>
        <w:ind w:left="1134"/>
        <w:contextualSpacing/>
        <w:jc w:val="both"/>
        <w:rPr>
          <w:rFonts w:ascii="Arial" w:hAnsi="Arial" w:cs="Arial"/>
          <w:sz w:val="20"/>
        </w:rPr>
      </w:pPr>
      <w:r w:rsidRPr="00C012FE">
        <w:rPr>
          <w:rFonts w:ascii="Arial" w:hAnsi="Arial" w:cs="Arial"/>
          <w:sz w:val="20"/>
        </w:rPr>
        <w:t>* Aqui se transcreveu apenas a primeira página de uma tabela de 11 (onze) folhas, que continua detalhando os valores e correspondentes atividades beneficiárias de incentivos fiscais por espécie de benefício e mês de referência.</w:t>
      </w:r>
    </w:p>
    <w:p w14:paraId="1FF7970A" w14:textId="77777777" w:rsidR="006356F1" w:rsidRDefault="006356F1" w:rsidP="006356F1">
      <w:pPr>
        <w:spacing w:line="360" w:lineRule="auto"/>
        <w:ind w:firstLine="851"/>
        <w:jc w:val="both"/>
        <w:rPr>
          <w:rFonts w:ascii="Arial" w:hAnsi="Arial" w:cs="Arial"/>
          <w:sz w:val="24"/>
          <w:szCs w:val="24"/>
        </w:rPr>
      </w:pPr>
    </w:p>
    <w:p w14:paraId="786A161F"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Os dois primeiros gráficos são gerados a partir de uma opção de “exportar” comum a ambos na parte superior da tela; os dois últimos, a partir de outra opção na parte inferior da tela. </w:t>
      </w:r>
    </w:p>
    <w:p w14:paraId="18DFAC02" w14:textId="77777777" w:rsidR="006356F1" w:rsidRPr="00BC2267" w:rsidRDefault="006356F1" w:rsidP="006356F1">
      <w:pPr>
        <w:spacing w:line="360" w:lineRule="auto"/>
        <w:ind w:firstLine="851"/>
        <w:jc w:val="both"/>
        <w:rPr>
          <w:rFonts w:ascii="Arial" w:hAnsi="Arial" w:cs="Arial"/>
          <w:sz w:val="24"/>
          <w:szCs w:val="24"/>
        </w:rPr>
      </w:pPr>
      <w:r w:rsidRPr="00BC2267">
        <w:rPr>
          <w:rFonts w:ascii="Arial" w:hAnsi="Arial" w:cs="Arial"/>
          <w:sz w:val="24"/>
          <w:szCs w:val="24"/>
        </w:rPr>
        <w:t xml:space="preserve">Apesar dos avanços trazidos por essas ferramentas, </w:t>
      </w:r>
      <w:r w:rsidRPr="00BC2267">
        <w:rPr>
          <w:rFonts w:ascii="Arial" w:hAnsi="Arial" w:cs="Arial"/>
          <w:b/>
          <w:bCs/>
          <w:sz w:val="24"/>
          <w:szCs w:val="24"/>
        </w:rPr>
        <w:t>recomendam-se ainda as seguintes medidas visando ao aprimoramento da transparência ativa da aba “BENEFÍCIOS FISCAIS”</w:t>
      </w:r>
      <w:r w:rsidRPr="00BC2267">
        <w:rPr>
          <w:rFonts w:ascii="Arial" w:hAnsi="Arial" w:cs="Arial"/>
          <w:sz w:val="24"/>
          <w:szCs w:val="24"/>
        </w:rPr>
        <w:t>:</w:t>
      </w:r>
    </w:p>
    <w:p w14:paraId="57D68F3C" w14:textId="77777777" w:rsidR="006356F1" w:rsidRPr="00BC2267" w:rsidRDefault="006356F1" w:rsidP="00502615">
      <w:pPr>
        <w:pStyle w:val="PargrafodaLista"/>
        <w:numPr>
          <w:ilvl w:val="0"/>
          <w:numId w:val="51"/>
        </w:numPr>
        <w:spacing w:line="360" w:lineRule="auto"/>
        <w:jc w:val="both"/>
        <w:rPr>
          <w:rFonts w:ascii="Arial" w:hAnsi="Arial" w:cs="Arial"/>
          <w:sz w:val="24"/>
          <w:szCs w:val="24"/>
        </w:rPr>
      </w:pPr>
      <w:r w:rsidRPr="00BC2267">
        <w:rPr>
          <w:rFonts w:ascii="Arial" w:hAnsi="Arial" w:cs="Arial"/>
          <w:sz w:val="24"/>
          <w:szCs w:val="24"/>
          <w:u w:val="single"/>
        </w:rPr>
        <w:t>substituir o título da aba</w:t>
      </w:r>
      <w:r w:rsidRPr="00BC2267">
        <w:rPr>
          <w:rFonts w:ascii="Arial" w:hAnsi="Arial" w:cs="Arial"/>
          <w:sz w:val="24"/>
          <w:szCs w:val="24"/>
        </w:rPr>
        <w:t>, para em vez de se denominar “BENEFÍCIOS FISCAIS” intitular-se “INCENTIVOS FISCAIS”, tendo em vista que esse último termo técnico é mais adequado de empregar-se para desonerações fiscais com o objetivo de induzir o desenvolvimento econômico e social;</w:t>
      </w:r>
    </w:p>
    <w:p w14:paraId="5D41C7B6" w14:textId="77777777" w:rsidR="006356F1" w:rsidRPr="00BC2267" w:rsidRDefault="006356F1" w:rsidP="00502615">
      <w:pPr>
        <w:pStyle w:val="PargrafodaLista"/>
        <w:numPr>
          <w:ilvl w:val="0"/>
          <w:numId w:val="51"/>
        </w:numPr>
        <w:spacing w:line="360" w:lineRule="auto"/>
        <w:jc w:val="both"/>
        <w:rPr>
          <w:rFonts w:ascii="Arial" w:hAnsi="Arial" w:cs="Arial"/>
          <w:sz w:val="24"/>
          <w:szCs w:val="24"/>
        </w:rPr>
      </w:pPr>
      <w:r w:rsidRPr="00BC2267">
        <w:rPr>
          <w:rFonts w:ascii="Arial" w:hAnsi="Arial" w:cs="Arial"/>
          <w:sz w:val="24"/>
          <w:szCs w:val="24"/>
          <w:u w:val="single"/>
        </w:rPr>
        <w:t>no campo “Ano de referência” (2009 até 2020)</w:t>
      </w:r>
      <w:r w:rsidRPr="00BC2267">
        <w:rPr>
          <w:rFonts w:ascii="Arial" w:hAnsi="Arial" w:cs="Arial"/>
          <w:sz w:val="24"/>
          <w:szCs w:val="24"/>
        </w:rPr>
        <w:t>, permitir que o usuário selecione conjuntamente mais de um ano – assim como já ocorre em relação aos critérios de pesquisa e também em relação a esse mesmo critério na aba TARE – de modo a possibilitar a obtenção de dados consolidados referentes a mais de um exercício financeiro, consecutivos ou alternados, em vez de obrigar o usuário a proceder à consulta ano a ano, a fim de que essa situação consolidada seja demonstrada nos gráficos exibidos;</w:t>
      </w:r>
    </w:p>
    <w:p w14:paraId="3F9785EE" w14:textId="77777777" w:rsidR="006356F1" w:rsidRPr="00BC2267" w:rsidRDefault="006356F1" w:rsidP="00502615">
      <w:pPr>
        <w:pStyle w:val="PargrafodaLista"/>
        <w:numPr>
          <w:ilvl w:val="0"/>
          <w:numId w:val="51"/>
        </w:numPr>
        <w:spacing w:line="360" w:lineRule="auto"/>
        <w:jc w:val="both"/>
        <w:rPr>
          <w:rFonts w:ascii="Arial" w:hAnsi="Arial" w:cs="Arial"/>
          <w:sz w:val="24"/>
          <w:szCs w:val="24"/>
        </w:rPr>
      </w:pPr>
      <w:r w:rsidRPr="00BC2267">
        <w:rPr>
          <w:rFonts w:ascii="Arial" w:hAnsi="Arial" w:cs="Arial"/>
          <w:sz w:val="24"/>
          <w:szCs w:val="24"/>
          <w:u w:val="single"/>
        </w:rPr>
        <w:t>no campo “Nome do Benefício”, inserir também informação referente às demais espécies de incentivos fiscais previstos na legislação</w:t>
      </w:r>
      <w:r w:rsidRPr="00BC2267">
        <w:rPr>
          <w:rFonts w:ascii="Arial" w:hAnsi="Arial" w:cs="Arial"/>
          <w:sz w:val="24"/>
          <w:szCs w:val="24"/>
        </w:rPr>
        <w:t>, em especial a isenção, a redução de base de cálculo e o crédito especial para investimento (RCTE/GO, arts. 6º a 9º e 19 a 29);</w:t>
      </w:r>
    </w:p>
    <w:p w14:paraId="32F9DC1F" w14:textId="77777777" w:rsidR="006356F1" w:rsidRPr="00BC2267" w:rsidRDefault="006356F1" w:rsidP="00502615">
      <w:pPr>
        <w:pStyle w:val="PargrafodaLista"/>
        <w:numPr>
          <w:ilvl w:val="0"/>
          <w:numId w:val="51"/>
        </w:numPr>
        <w:spacing w:line="360" w:lineRule="auto"/>
        <w:jc w:val="both"/>
        <w:rPr>
          <w:rFonts w:ascii="Arial" w:hAnsi="Arial" w:cs="Arial"/>
          <w:sz w:val="24"/>
          <w:szCs w:val="24"/>
        </w:rPr>
      </w:pPr>
      <w:r w:rsidRPr="00BC2267">
        <w:rPr>
          <w:rFonts w:ascii="Arial" w:hAnsi="Arial" w:cs="Arial"/>
          <w:sz w:val="24"/>
          <w:szCs w:val="24"/>
          <w:u w:val="single"/>
        </w:rPr>
        <w:t>nas observações gerais</w:t>
      </w:r>
      <w:r w:rsidRPr="00BC2267">
        <w:rPr>
          <w:rFonts w:ascii="Arial" w:hAnsi="Arial" w:cs="Arial"/>
          <w:sz w:val="24"/>
          <w:szCs w:val="24"/>
        </w:rPr>
        <w:t>, esclarecer a distinção entre os critérios “FOMENTAR E PRODUZIR” e somente “PRODUZIR”, além do porquê não haver um critério isolado de “FOMENTAR”;</w:t>
      </w:r>
    </w:p>
    <w:p w14:paraId="367E50E0" w14:textId="77777777" w:rsidR="006356F1" w:rsidRPr="00BC2267" w:rsidRDefault="006356F1" w:rsidP="00502615">
      <w:pPr>
        <w:pStyle w:val="PargrafodaLista"/>
        <w:numPr>
          <w:ilvl w:val="0"/>
          <w:numId w:val="51"/>
        </w:numPr>
        <w:spacing w:line="360" w:lineRule="auto"/>
        <w:jc w:val="both"/>
        <w:rPr>
          <w:rFonts w:ascii="Arial" w:hAnsi="Arial" w:cs="Arial"/>
          <w:sz w:val="24"/>
          <w:szCs w:val="24"/>
        </w:rPr>
      </w:pPr>
      <w:r w:rsidRPr="00BC2267">
        <w:rPr>
          <w:rFonts w:ascii="Arial" w:hAnsi="Arial" w:cs="Arial"/>
          <w:sz w:val="24"/>
          <w:szCs w:val="24"/>
          <w:u w:val="single"/>
        </w:rPr>
        <w:t>exibir para cada gráfico um campo próprio para “exportação”</w:t>
      </w:r>
      <w:r w:rsidRPr="00BC2267">
        <w:rPr>
          <w:rFonts w:ascii="Arial" w:hAnsi="Arial" w:cs="Arial"/>
          <w:sz w:val="24"/>
          <w:szCs w:val="24"/>
        </w:rPr>
        <w:t>, a fim de evitar que dois gráficos sejam exportados conjuntamente para o mesmo arquivo PDF com prejuízo à clareza visual de cada gráfico (problema acentuado principalmente em relação à tabela);</w:t>
      </w:r>
    </w:p>
    <w:p w14:paraId="26F18362" w14:textId="77777777" w:rsidR="006356F1" w:rsidRPr="00BC2267" w:rsidRDefault="006356F1" w:rsidP="00502615">
      <w:pPr>
        <w:pStyle w:val="PargrafodaLista"/>
        <w:numPr>
          <w:ilvl w:val="0"/>
          <w:numId w:val="51"/>
        </w:numPr>
        <w:spacing w:line="360" w:lineRule="auto"/>
        <w:jc w:val="both"/>
        <w:rPr>
          <w:rFonts w:ascii="Arial" w:hAnsi="Arial" w:cs="Arial"/>
          <w:sz w:val="24"/>
          <w:szCs w:val="24"/>
        </w:rPr>
      </w:pPr>
      <w:r w:rsidRPr="00BC2267">
        <w:rPr>
          <w:rFonts w:ascii="Arial" w:hAnsi="Arial" w:cs="Arial"/>
          <w:sz w:val="24"/>
          <w:szCs w:val="24"/>
          <w:u w:val="single"/>
        </w:rPr>
        <w:t>inserir informações e dados quanto ao número de empregos gerados no mercado local (leia-se: Estado de Goiás) em cada atividade e divisão CNAE por exercício</w:t>
      </w:r>
      <w:r w:rsidRPr="00BC2267">
        <w:rPr>
          <w:rFonts w:ascii="Arial" w:hAnsi="Arial" w:cs="Arial"/>
          <w:sz w:val="24"/>
          <w:szCs w:val="24"/>
        </w:rPr>
        <w:t xml:space="preserve">, com base nas informações da RAIS, do CAGED e e-SOCIAL </w:t>
      </w:r>
      <w:r w:rsidRPr="00BC2267">
        <w:rPr>
          <w:rFonts w:ascii="Arial" w:hAnsi="Arial" w:cs="Arial"/>
          <w:sz w:val="24"/>
          <w:szCs w:val="24"/>
        </w:rPr>
        <w:lastRenderedPageBreak/>
        <w:t>das empresas que representam mencionadas atividades econômicas, bem como o custo anual e mensal médio de cada emprego por atividade, nos termos do art. 44, § 2º, e 45, III, da LC nº 138/2018;</w:t>
      </w:r>
    </w:p>
    <w:p w14:paraId="1A4A108F" w14:textId="77777777" w:rsidR="006356F1" w:rsidRPr="00BC2267" w:rsidRDefault="006356F1" w:rsidP="00502615">
      <w:pPr>
        <w:pStyle w:val="PargrafodaLista"/>
        <w:numPr>
          <w:ilvl w:val="0"/>
          <w:numId w:val="51"/>
        </w:numPr>
        <w:spacing w:line="360" w:lineRule="auto"/>
        <w:jc w:val="both"/>
        <w:rPr>
          <w:rFonts w:ascii="Arial" w:hAnsi="Arial" w:cs="Arial"/>
          <w:sz w:val="24"/>
          <w:szCs w:val="24"/>
        </w:rPr>
      </w:pPr>
      <w:r w:rsidRPr="00BC2267">
        <w:rPr>
          <w:rFonts w:ascii="Arial" w:hAnsi="Arial" w:cs="Arial"/>
          <w:sz w:val="24"/>
          <w:szCs w:val="24"/>
          <w:u w:val="single"/>
        </w:rPr>
        <w:t>inserir informações e dados quanto ao volume de ICMS arrecadado em cada atividade e divisão CNAE por exercício</w:t>
      </w:r>
      <w:r w:rsidRPr="00BC2267">
        <w:rPr>
          <w:rFonts w:ascii="Arial" w:hAnsi="Arial" w:cs="Arial"/>
          <w:sz w:val="24"/>
          <w:szCs w:val="24"/>
        </w:rPr>
        <w:t>, com base nas informações constantes da base de dados da Secretaria de Estado da Economia, nos termos do art. 44, § 2º, e 45, III, da LC nº 138/2018;</w:t>
      </w:r>
    </w:p>
    <w:p w14:paraId="2669FC24" w14:textId="77777777" w:rsidR="006356F1" w:rsidRPr="00BC2267" w:rsidRDefault="006356F1" w:rsidP="00502615">
      <w:pPr>
        <w:pStyle w:val="PargrafodaLista"/>
        <w:numPr>
          <w:ilvl w:val="0"/>
          <w:numId w:val="51"/>
        </w:numPr>
        <w:spacing w:line="360" w:lineRule="auto"/>
        <w:jc w:val="both"/>
        <w:rPr>
          <w:rFonts w:ascii="Arial" w:hAnsi="Arial" w:cs="Arial"/>
          <w:sz w:val="24"/>
          <w:szCs w:val="24"/>
        </w:rPr>
      </w:pPr>
      <w:r w:rsidRPr="00BC2267">
        <w:rPr>
          <w:rFonts w:ascii="Arial" w:hAnsi="Arial" w:cs="Arial"/>
          <w:sz w:val="24"/>
          <w:szCs w:val="24"/>
          <w:u w:val="single"/>
        </w:rPr>
        <w:t>inserir novo campo de pesquisa intitulado “Município”</w:t>
      </w:r>
      <w:r w:rsidRPr="00BC2267">
        <w:rPr>
          <w:rFonts w:ascii="Arial" w:hAnsi="Arial" w:cs="Arial"/>
          <w:sz w:val="24"/>
          <w:szCs w:val="24"/>
        </w:rPr>
        <w:t>, à semelhança do que já ocorre na aba “TARE”, a fim de verificar o impacto da política de incentivos fiscais para a promoção do desenvolvimento regional, nos termos do art. 103 da CE/GO;</w:t>
      </w:r>
    </w:p>
    <w:p w14:paraId="4AFAC1C7" w14:textId="77777777" w:rsidR="006356F1" w:rsidRPr="00BC2267" w:rsidRDefault="006356F1" w:rsidP="00502615">
      <w:pPr>
        <w:pStyle w:val="PargrafodaLista"/>
        <w:numPr>
          <w:ilvl w:val="0"/>
          <w:numId w:val="51"/>
        </w:numPr>
        <w:spacing w:line="360" w:lineRule="auto"/>
        <w:jc w:val="both"/>
        <w:rPr>
          <w:rFonts w:ascii="Arial" w:hAnsi="Arial" w:cs="Arial"/>
          <w:sz w:val="24"/>
          <w:szCs w:val="24"/>
        </w:rPr>
      </w:pPr>
      <w:r w:rsidRPr="00BC2267">
        <w:rPr>
          <w:rFonts w:ascii="Arial" w:hAnsi="Arial" w:cs="Arial"/>
          <w:sz w:val="24"/>
          <w:szCs w:val="24"/>
          <w:u w:val="single"/>
        </w:rPr>
        <w:t>permitir que as informações acima também possam ser visualizadas de forma individualizada por pessoa jurídica e CNPJ</w:t>
      </w:r>
      <w:r w:rsidRPr="00BC2267">
        <w:rPr>
          <w:rFonts w:ascii="Arial" w:hAnsi="Arial" w:cs="Arial"/>
          <w:sz w:val="24"/>
          <w:szCs w:val="24"/>
        </w:rPr>
        <w:t>, ao menos em relação às 500 (quinhentas) maiores beneficiárias de cada exercício financeiro, com identificação de valores, ainda que suprimidos os CNPJ’s e codificados os nomes e razões sociais, caso se entenda pela presença de sigilo fiscal na vinculação entre nomes, CNPJ’s e valores;</w:t>
      </w:r>
    </w:p>
    <w:p w14:paraId="10E8BAD3" w14:textId="77777777" w:rsidR="006356F1" w:rsidRPr="00BC2267" w:rsidRDefault="006356F1" w:rsidP="00502615">
      <w:pPr>
        <w:pStyle w:val="PargrafodaLista"/>
        <w:numPr>
          <w:ilvl w:val="0"/>
          <w:numId w:val="51"/>
        </w:numPr>
        <w:spacing w:line="360" w:lineRule="auto"/>
        <w:jc w:val="both"/>
        <w:rPr>
          <w:rFonts w:ascii="Arial" w:hAnsi="Arial" w:cs="Arial"/>
          <w:sz w:val="24"/>
          <w:szCs w:val="24"/>
        </w:rPr>
      </w:pPr>
      <w:r w:rsidRPr="00BC2267">
        <w:rPr>
          <w:rFonts w:ascii="Arial" w:hAnsi="Arial" w:cs="Arial"/>
          <w:sz w:val="24"/>
          <w:szCs w:val="24"/>
          <w:u w:val="single"/>
        </w:rPr>
        <w:t>divulgar todas as pessoas jurídicas beneficiárias de incentivos fiscais</w:t>
      </w:r>
      <w:r w:rsidRPr="00BC2267">
        <w:rPr>
          <w:rFonts w:ascii="Arial" w:hAnsi="Arial" w:cs="Arial"/>
          <w:sz w:val="24"/>
          <w:szCs w:val="24"/>
        </w:rPr>
        <w:t>, seja crédito outorgado, programas FOMENTAR e PRODUZIR e outros benefícios, recebidos isolada ou conjuntamente, por exercício, ainda que omitidos os respectivos valores caso se entenda que estes se encontram cobertos por sigilo fiscal;</w:t>
      </w:r>
    </w:p>
    <w:p w14:paraId="4B53E7B9" w14:textId="77777777" w:rsidR="006356F1" w:rsidRPr="00BC2267" w:rsidRDefault="006356F1" w:rsidP="00502615">
      <w:pPr>
        <w:pStyle w:val="PargrafodaLista"/>
        <w:numPr>
          <w:ilvl w:val="0"/>
          <w:numId w:val="51"/>
        </w:numPr>
        <w:spacing w:line="360" w:lineRule="auto"/>
        <w:jc w:val="both"/>
        <w:rPr>
          <w:rFonts w:ascii="Arial" w:hAnsi="Arial" w:cs="Arial"/>
          <w:sz w:val="24"/>
          <w:szCs w:val="24"/>
        </w:rPr>
      </w:pPr>
      <w:r w:rsidRPr="00BC2267">
        <w:rPr>
          <w:rFonts w:ascii="Arial" w:hAnsi="Arial" w:cs="Arial"/>
          <w:sz w:val="24"/>
          <w:szCs w:val="24"/>
          <w:u w:val="single"/>
        </w:rPr>
        <w:t>a “barra de rolamento” horizontal seja móvel, de modo a acompanhar o movimento da “barra de rolamento” vertical da página</w:t>
      </w:r>
      <w:r w:rsidRPr="00BC2267">
        <w:rPr>
          <w:rFonts w:ascii="Arial" w:hAnsi="Arial" w:cs="Arial"/>
          <w:sz w:val="24"/>
          <w:szCs w:val="24"/>
        </w:rPr>
        <w:t>, e não em posição fixa como acontece atualmente, o que dificulta a visualização simultânea de todos os recursos gráficos.</w:t>
      </w:r>
    </w:p>
    <w:p w14:paraId="6CED9173"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Importante registrar </w:t>
      </w:r>
      <w:r w:rsidRPr="00371756">
        <w:rPr>
          <w:rFonts w:ascii="Arial" w:hAnsi="Arial" w:cs="Arial"/>
          <w:b/>
          <w:bCs/>
          <w:sz w:val="24"/>
          <w:szCs w:val="24"/>
        </w:rPr>
        <w:t>que nenhuma das medidas acima viola o sigilo fiscal, ainda que se considere o atual entendimento do STF a respeito</w:t>
      </w:r>
      <w:r>
        <w:rPr>
          <w:rFonts w:ascii="Arial" w:hAnsi="Arial" w:cs="Arial"/>
          <w:sz w:val="24"/>
          <w:szCs w:val="24"/>
        </w:rPr>
        <w:t>, porquanto consistem todas em informações de interesse público e geral que não vinculam a identidade ou o CNPJ da pessoa jurídica a determinado volume de benefício específico a ela concedido ou por ela fruído.</w:t>
      </w:r>
    </w:p>
    <w:p w14:paraId="70F1E288"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lastRenderedPageBreak/>
        <w:t xml:space="preserve">Ademais, considera-se oportuno o registro de que </w:t>
      </w:r>
      <w:r w:rsidRPr="00C43A67">
        <w:rPr>
          <w:rFonts w:ascii="Arial" w:hAnsi="Arial" w:cs="Arial"/>
          <w:b/>
          <w:sz w:val="24"/>
          <w:szCs w:val="24"/>
        </w:rPr>
        <w:t>deputados estaduais paulistas ingressaram com ação judicial contra o Estado de São Paulo (processo nº 1030372-86.2019.8.26.0053)</w:t>
      </w:r>
      <w:r>
        <w:rPr>
          <w:rFonts w:ascii="Arial" w:hAnsi="Arial" w:cs="Arial"/>
          <w:sz w:val="24"/>
          <w:szCs w:val="24"/>
        </w:rPr>
        <w:t>, visando a obrigar que a fazenda estadual forneça as seguintes informações relativas a incentivos fiscais de ICMS:</w:t>
      </w:r>
    </w:p>
    <w:p w14:paraId="0A8C820E" w14:textId="77777777" w:rsidR="006356F1" w:rsidRPr="00973A24" w:rsidRDefault="006356F1" w:rsidP="00502615">
      <w:pPr>
        <w:pStyle w:val="PargrafodaLista"/>
        <w:numPr>
          <w:ilvl w:val="0"/>
          <w:numId w:val="53"/>
        </w:numPr>
        <w:spacing w:line="360" w:lineRule="auto"/>
        <w:jc w:val="both"/>
        <w:rPr>
          <w:rFonts w:ascii="Arial" w:hAnsi="Arial" w:cs="Arial"/>
          <w:sz w:val="24"/>
          <w:szCs w:val="24"/>
        </w:rPr>
      </w:pPr>
      <w:r w:rsidRPr="00C43A67">
        <w:rPr>
          <w:rFonts w:ascii="Arial" w:hAnsi="Arial" w:cs="Arial"/>
          <w:sz w:val="24"/>
          <w:szCs w:val="24"/>
          <w:u w:val="single"/>
        </w:rPr>
        <w:t>apresentar estudo completo do impacto orçamentário-financeiro de todos os benefícios fiscais e financeiros – transformados em crédito tributário</w:t>
      </w:r>
      <w:r w:rsidRPr="00973A24">
        <w:rPr>
          <w:rFonts w:ascii="Arial" w:hAnsi="Arial" w:cs="Arial"/>
          <w:sz w:val="24"/>
          <w:szCs w:val="24"/>
        </w:rPr>
        <w:t xml:space="preserve"> –, em cotejo com uma avaliação técnica/objetiva acerca dos resultados sociais econômicos produzidos pelos incentivos fiscais;</w:t>
      </w:r>
    </w:p>
    <w:p w14:paraId="4B66164C" w14:textId="77777777" w:rsidR="006356F1" w:rsidRPr="00973A24" w:rsidRDefault="006356F1" w:rsidP="00502615">
      <w:pPr>
        <w:numPr>
          <w:ilvl w:val="0"/>
          <w:numId w:val="53"/>
        </w:numPr>
        <w:spacing w:line="360" w:lineRule="auto"/>
        <w:jc w:val="both"/>
        <w:rPr>
          <w:rFonts w:ascii="Arial" w:hAnsi="Arial" w:cs="Arial"/>
          <w:sz w:val="24"/>
          <w:szCs w:val="24"/>
        </w:rPr>
      </w:pPr>
      <w:r w:rsidRPr="00C43A67">
        <w:rPr>
          <w:rFonts w:ascii="Arial" w:hAnsi="Arial" w:cs="Arial"/>
          <w:sz w:val="24"/>
          <w:szCs w:val="24"/>
          <w:u w:val="single"/>
        </w:rPr>
        <w:t>explicar a motivação e o interesse público na concessão de cada benefício fiscal</w:t>
      </w:r>
      <w:r w:rsidRPr="00973A24">
        <w:rPr>
          <w:rFonts w:ascii="Arial" w:hAnsi="Arial" w:cs="Arial"/>
          <w:sz w:val="24"/>
          <w:szCs w:val="24"/>
        </w:rPr>
        <w:t xml:space="preserve"> com o prazo estimado para alcance de metas e objetivos desenvolvimento socioeconômico para o Estado e os mecanismos de compensação aos cofres do Tesouro;</w:t>
      </w:r>
    </w:p>
    <w:p w14:paraId="267238D4" w14:textId="77777777" w:rsidR="006356F1" w:rsidRPr="00973A24" w:rsidRDefault="006356F1" w:rsidP="00502615">
      <w:pPr>
        <w:numPr>
          <w:ilvl w:val="0"/>
          <w:numId w:val="53"/>
        </w:numPr>
        <w:spacing w:line="360" w:lineRule="auto"/>
        <w:jc w:val="both"/>
        <w:rPr>
          <w:rFonts w:ascii="Arial" w:hAnsi="Arial" w:cs="Arial"/>
          <w:sz w:val="24"/>
          <w:szCs w:val="24"/>
        </w:rPr>
      </w:pPr>
      <w:r w:rsidRPr="00C43A67">
        <w:rPr>
          <w:rFonts w:ascii="Arial" w:hAnsi="Arial" w:cs="Arial"/>
          <w:sz w:val="24"/>
          <w:szCs w:val="24"/>
          <w:u w:val="single"/>
        </w:rPr>
        <w:t>apresentar a relação das sociedades empresariais beneficiadas pelas isenções fiscais</w:t>
      </w:r>
      <w:r w:rsidRPr="00973A24">
        <w:rPr>
          <w:rFonts w:ascii="Arial" w:hAnsi="Arial" w:cs="Arial"/>
          <w:sz w:val="24"/>
          <w:szCs w:val="24"/>
        </w:rPr>
        <w:t>, bem como, informar em qual programa de fomento cada empresa foi enquadrado, a data do benefício e as possíveis prorrogações dos mesmos.</w:t>
      </w:r>
    </w:p>
    <w:p w14:paraId="06FAE0FB" w14:textId="77777777" w:rsidR="006356F1" w:rsidRPr="00973A24" w:rsidRDefault="006356F1" w:rsidP="00502615">
      <w:pPr>
        <w:numPr>
          <w:ilvl w:val="0"/>
          <w:numId w:val="53"/>
        </w:numPr>
        <w:spacing w:line="360" w:lineRule="auto"/>
        <w:jc w:val="both"/>
        <w:rPr>
          <w:rFonts w:ascii="Arial" w:hAnsi="Arial" w:cs="Arial"/>
          <w:sz w:val="24"/>
          <w:szCs w:val="24"/>
        </w:rPr>
      </w:pPr>
      <w:r w:rsidRPr="00C43A67">
        <w:rPr>
          <w:rFonts w:ascii="Arial" w:hAnsi="Arial" w:cs="Arial"/>
          <w:sz w:val="24"/>
          <w:szCs w:val="24"/>
          <w:u w:val="single"/>
        </w:rPr>
        <w:t>apresentar demonstrativo do impacto do efeito da renúncias</w:t>
      </w:r>
      <w:r w:rsidRPr="00973A24">
        <w:rPr>
          <w:rFonts w:ascii="Arial" w:hAnsi="Arial" w:cs="Arial"/>
          <w:sz w:val="24"/>
          <w:szCs w:val="24"/>
        </w:rPr>
        <w:t xml:space="preserve"> de forma regionalizada; e</w:t>
      </w:r>
    </w:p>
    <w:p w14:paraId="6195A6FE" w14:textId="77777777" w:rsidR="006356F1" w:rsidRPr="00973A24" w:rsidRDefault="006356F1" w:rsidP="00502615">
      <w:pPr>
        <w:numPr>
          <w:ilvl w:val="0"/>
          <w:numId w:val="53"/>
        </w:numPr>
        <w:spacing w:line="360" w:lineRule="auto"/>
        <w:jc w:val="both"/>
        <w:rPr>
          <w:rFonts w:ascii="Arial" w:hAnsi="Arial" w:cs="Arial"/>
          <w:sz w:val="24"/>
          <w:szCs w:val="24"/>
        </w:rPr>
      </w:pPr>
      <w:r w:rsidRPr="00C43A67">
        <w:rPr>
          <w:rFonts w:ascii="Arial" w:hAnsi="Arial" w:cs="Arial"/>
          <w:sz w:val="24"/>
          <w:szCs w:val="24"/>
          <w:u w:val="single"/>
        </w:rPr>
        <w:t>explicar metodologia que justifique o direcionamento do benefício</w:t>
      </w:r>
      <w:r w:rsidRPr="00973A24">
        <w:rPr>
          <w:rFonts w:ascii="Arial" w:hAnsi="Arial" w:cs="Arial"/>
          <w:sz w:val="24"/>
          <w:szCs w:val="24"/>
        </w:rPr>
        <w:t xml:space="preserve"> para contribuintes saudáveis financeiramente em detrimento de outros.</w:t>
      </w:r>
    </w:p>
    <w:p w14:paraId="453445C0" w14:textId="77777777" w:rsidR="006356F1" w:rsidRDefault="006356F1" w:rsidP="006356F1">
      <w:pPr>
        <w:spacing w:line="360" w:lineRule="auto"/>
        <w:ind w:firstLine="851"/>
        <w:jc w:val="both"/>
        <w:rPr>
          <w:rFonts w:ascii="Arial" w:hAnsi="Arial" w:cs="Arial"/>
          <w:sz w:val="24"/>
          <w:szCs w:val="24"/>
        </w:rPr>
      </w:pPr>
      <w:r w:rsidRPr="00EC25ED">
        <w:rPr>
          <w:rFonts w:ascii="Arial" w:hAnsi="Arial" w:cs="Arial"/>
          <w:b/>
          <w:sz w:val="24"/>
          <w:szCs w:val="24"/>
        </w:rPr>
        <w:t>A liminar foi concedida para determinar a prestação de informações nos termos anteriores</w:t>
      </w:r>
      <w:r>
        <w:rPr>
          <w:rFonts w:ascii="Arial" w:hAnsi="Arial" w:cs="Arial"/>
          <w:sz w:val="24"/>
          <w:szCs w:val="24"/>
        </w:rPr>
        <w:t xml:space="preserve">, mas a decisão teve seus efeitos suspensos por decisão em agravo de instrumento interposto pela fazenda estadual; decisão essa que, ressalte-se, não adentrou no mérito da discussão, apenas postergou o dever de prestar as informações requisitadas para ao final do julgamento do recurso ou da ação (nº </w:t>
      </w:r>
      <w:r w:rsidRPr="001822B4">
        <w:rPr>
          <w:rFonts w:ascii="Arial" w:hAnsi="Arial" w:cs="Arial"/>
          <w:sz w:val="24"/>
          <w:szCs w:val="24"/>
        </w:rPr>
        <w:t>3004318-14.2019.8.26.0000</w:t>
      </w:r>
      <w:r>
        <w:rPr>
          <w:rFonts w:ascii="Arial" w:hAnsi="Arial" w:cs="Arial"/>
          <w:sz w:val="24"/>
          <w:szCs w:val="24"/>
        </w:rPr>
        <w:t>). Assim, a primeira análise de mérito, realizada pelo juízo de primeiro grau, foi favorável ao dever de transparência daquelas informações</w:t>
      </w:r>
      <w:r w:rsidRPr="00787FE0">
        <w:rPr>
          <w:rFonts w:ascii="Arial" w:hAnsi="Arial" w:cs="Arial"/>
          <w:sz w:val="24"/>
          <w:szCs w:val="24"/>
          <w:u w:val="single"/>
        </w:rPr>
        <w:t>, o que se intensifica ainda mais no caso do Estado de Goiás, porquanto aqui há legislação expressa determinando essa avaliação</w:t>
      </w:r>
      <w:r>
        <w:rPr>
          <w:rFonts w:ascii="Arial" w:hAnsi="Arial" w:cs="Arial"/>
          <w:sz w:val="24"/>
          <w:szCs w:val="24"/>
        </w:rPr>
        <w:t xml:space="preserve"> (LC nº 138/2018, arts. 44, § 2º, e 45, III).</w:t>
      </w:r>
    </w:p>
    <w:p w14:paraId="0164AAAD" w14:textId="77777777" w:rsidR="006356F1" w:rsidRPr="00371756" w:rsidRDefault="006356F1" w:rsidP="006356F1">
      <w:pPr>
        <w:spacing w:line="360" w:lineRule="auto"/>
        <w:ind w:firstLine="851"/>
        <w:jc w:val="both"/>
        <w:rPr>
          <w:rFonts w:ascii="Arial" w:hAnsi="Arial" w:cs="Arial"/>
          <w:sz w:val="24"/>
          <w:szCs w:val="24"/>
        </w:rPr>
      </w:pPr>
    </w:p>
    <w:p w14:paraId="0DF44CBF" w14:textId="77777777" w:rsidR="006356F1" w:rsidRDefault="006356F1" w:rsidP="006356F1">
      <w:pPr>
        <w:spacing w:line="360" w:lineRule="auto"/>
        <w:ind w:firstLine="851"/>
        <w:jc w:val="both"/>
        <w:rPr>
          <w:rFonts w:ascii="Arial" w:hAnsi="Arial" w:cs="Arial"/>
          <w:sz w:val="24"/>
          <w:szCs w:val="24"/>
        </w:rPr>
      </w:pPr>
      <w:r w:rsidRPr="00C31FFF">
        <w:rPr>
          <w:rFonts w:ascii="Arial" w:hAnsi="Arial" w:cs="Arial"/>
          <w:b/>
          <w:sz w:val="24"/>
          <w:szCs w:val="24"/>
        </w:rPr>
        <w:t>10.3.</w:t>
      </w:r>
      <w:r>
        <w:rPr>
          <w:rFonts w:ascii="Arial" w:hAnsi="Arial" w:cs="Arial"/>
          <w:b/>
          <w:sz w:val="24"/>
          <w:szCs w:val="24"/>
        </w:rPr>
        <w:t>2</w:t>
      </w:r>
      <w:r w:rsidRPr="00C31FFF">
        <w:rPr>
          <w:rFonts w:ascii="Arial" w:hAnsi="Arial" w:cs="Arial"/>
          <w:b/>
          <w:sz w:val="24"/>
          <w:szCs w:val="24"/>
        </w:rPr>
        <w:t>.</w:t>
      </w:r>
      <w:r>
        <w:rPr>
          <w:rFonts w:ascii="Arial" w:hAnsi="Arial" w:cs="Arial"/>
          <w:bCs/>
          <w:sz w:val="24"/>
          <w:szCs w:val="24"/>
        </w:rPr>
        <w:t xml:space="preserve"> Em relação à </w:t>
      </w:r>
      <w:r w:rsidRPr="00305F4E">
        <w:rPr>
          <w:rFonts w:ascii="Arial" w:hAnsi="Arial" w:cs="Arial"/>
          <w:b/>
          <w:sz w:val="24"/>
          <w:szCs w:val="24"/>
        </w:rPr>
        <w:t>aba “</w:t>
      </w:r>
      <w:r>
        <w:rPr>
          <w:rFonts w:ascii="Arial" w:hAnsi="Arial" w:cs="Arial"/>
          <w:b/>
          <w:sz w:val="24"/>
          <w:szCs w:val="24"/>
        </w:rPr>
        <w:t>TARE</w:t>
      </w:r>
      <w:r w:rsidRPr="00305F4E">
        <w:rPr>
          <w:rFonts w:ascii="Arial" w:hAnsi="Arial" w:cs="Arial"/>
          <w:b/>
          <w:sz w:val="24"/>
          <w:szCs w:val="24"/>
        </w:rPr>
        <w:t>”</w:t>
      </w:r>
      <w:r>
        <w:rPr>
          <w:rFonts w:ascii="Arial" w:hAnsi="Arial" w:cs="Arial"/>
          <w:sz w:val="24"/>
          <w:szCs w:val="24"/>
        </w:rPr>
        <w:t xml:space="preserve">, esta permite a consulta a partir dos seguintes critérios e termos de pesquisa: </w:t>
      </w:r>
      <w:r w:rsidRPr="00B1441D">
        <w:rPr>
          <w:rFonts w:ascii="Arial" w:hAnsi="Arial" w:cs="Arial"/>
          <w:sz w:val="24"/>
          <w:szCs w:val="24"/>
          <w:u w:val="single"/>
        </w:rPr>
        <w:t>a) ano de início</w:t>
      </w:r>
      <w:r>
        <w:rPr>
          <w:rFonts w:ascii="Arial" w:hAnsi="Arial" w:cs="Arial"/>
          <w:sz w:val="24"/>
          <w:szCs w:val="24"/>
        </w:rPr>
        <w:t xml:space="preserve"> (1900; e 1984 até o ano corrente); </w:t>
      </w:r>
      <w:r w:rsidRPr="005B551B">
        <w:rPr>
          <w:rFonts w:ascii="Arial" w:hAnsi="Arial" w:cs="Arial"/>
          <w:sz w:val="24"/>
          <w:szCs w:val="24"/>
          <w:u w:val="single"/>
        </w:rPr>
        <w:t>b) “Mês de início”</w:t>
      </w:r>
      <w:r>
        <w:rPr>
          <w:rFonts w:ascii="Arial" w:hAnsi="Arial" w:cs="Arial"/>
          <w:sz w:val="24"/>
          <w:szCs w:val="24"/>
        </w:rPr>
        <w:t xml:space="preserve"> (de janeiro a fevereiro); </w:t>
      </w:r>
      <w:r w:rsidRPr="002C1E88">
        <w:rPr>
          <w:rFonts w:ascii="Arial" w:hAnsi="Arial" w:cs="Arial"/>
          <w:sz w:val="24"/>
          <w:szCs w:val="24"/>
          <w:u w:val="single"/>
        </w:rPr>
        <w:t>c) “Situação do TARE”</w:t>
      </w:r>
      <w:r>
        <w:rPr>
          <w:rFonts w:ascii="Arial" w:hAnsi="Arial" w:cs="Arial"/>
          <w:sz w:val="24"/>
          <w:szCs w:val="24"/>
        </w:rPr>
        <w:t xml:space="preserve"> (“DESATIVA/VIGÊNCIA”, </w:t>
      </w:r>
      <w:r>
        <w:rPr>
          <w:rFonts w:ascii="Arial" w:hAnsi="Arial" w:cs="Arial"/>
          <w:sz w:val="24"/>
          <w:szCs w:val="24"/>
        </w:rPr>
        <w:lastRenderedPageBreak/>
        <w:t xml:space="preserve">“NORMAL”, “REVOGAÇÃO/BAIXA” etc); e </w:t>
      </w:r>
      <w:r w:rsidRPr="00373FAC">
        <w:rPr>
          <w:rFonts w:ascii="Arial" w:hAnsi="Arial" w:cs="Arial"/>
          <w:sz w:val="24"/>
          <w:szCs w:val="24"/>
          <w:u w:val="single"/>
        </w:rPr>
        <w:t>d) “Município”</w:t>
      </w:r>
      <w:r>
        <w:rPr>
          <w:rFonts w:ascii="Arial" w:hAnsi="Arial" w:cs="Arial"/>
          <w:sz w:val="24"/>
          <w:szCs w:val="24"/>
        </w:rPr>
        <w:t xml:space="preserve"> (a lista contempla todos os municípios goianos, por ordem alfabética, de Abadia de Goiás a Santa Helena de Goiás).</w:t>
      </w:r>
    </w:p>
    <w:p w14:paraId="70310112" w14:textId="77777777" w:rsidR="006356F1" w:rsidRPr="00447FAC" w:rsidRDefault="006356F1" w:rsidP="006356F1">
      <w:pPr>
        <w:spacing w:line="360" w:lineRule="auto"/>
        <w:ind w:firstLine="851"/>
        <w:jc w:val="both"/>
        <w:rPr>
          <w:rFonts w:ascii="Arial" w:hAnsi="Arial" w:cs="Arial"/>
          <w:sz w:val="24"/>
          <w:szCs w:val="24"/>
        </w:rPr>
      </w:pPr>
      <w:r>
        <w:rPr>
          <w:rFonts w:ascii="Arial" w:hAnsi="Arial" w:cs="Arial"/>
          <w:sz w:val="24"/>
          <w:szCs w:val="24"/>
        </w:rPr>
        <w:t>Logo abaixo dessas opções, n</w:t>
      </w:r>
      <w:r w:rsidRPr="00447FAC">
        <w:rPr>
          <w:rFonts w:ascii="Arial" w:hAnsi="Arial" w:cs="Arial"/>
          <w:sz w:val="24"/>
          <w:szCs w:val="24"/>
        </w:rPr>
        <w:t xml:space="preserve">o canto esquerdo da tela, registram-se </w:t>
      </w:r>
      <w:r>
        <w:rPr>
          <w:rFonts w:ascii="Arial" w:hAnsi="Arial" w:cs="Arial"/>
          <w:sz w:val="24"/>
          <w:szCs w:val="24"/>
        </w:rPr>
        <w:t xml:space="preserve">também </w:t>
      </w:r>
      <w:r w:rsidRPr="00447FAC">
        <w:rPr>
          <w:rFonts w:ascii="Arial" w:hAnsi="Arial" w:cs="Arial"/>
          <w:sz w:val="24"/>
          <w:szCs w:val="24"/>
        </w:rPr>
        <w:t xml:space="preserve">as seguintes </w:t>
      </w:r>
      <w:r>
        <w:rPr>
          <w:rFonts w:ascii="Arial" w:hAnsi="Arial" w:cs="Arial"/>
          <w:sz w:val="24"/>
          <w:szCs w:val="24"/>
        </w:rPr>
        <w:t>descrições</w:t>
      </w:r>
      <w:r w:rsidRPr="00447FAC">
        <w:rPr>
          <w:rFonts w:ascii="Arial" w:hAnsi="Arial" w:cs="Arial"/>
          <w:sz w:val="24"/>
          <w:szCs w:val="24"/>
        </w:rPr>
        <w:t xml:space="preserve"> gerais</w:t>
      </w:r>
      <w:r>
        <w:rPr>
          <w:rFonts w:ascii="Arial" w:hAnsi="Arial" w:cs="Arial"/>
          <w:sz w:val="24"/>
          <w:szCs w:val="24"/>
        </w:rPr>
        <w:t xml:space="preserve"> referentes a cada status do TARE (alínea “c”, retro)</w:t>
      </w:r>
      <w:r w:rsidRPr="00447FAC">
        <w:rPr>
          <w:rFonts w:ascii="Arial" w:hAnsi="Arial" w:cs="Arial"/>
          <w:sz w:val="24"/>
          <w:szCs w:val="24"/>
        </w:rPr>
        <w:t>:</w:t>
      </w:r>
    </w:p>
    <w:p w14:paraId="2302F209" w14:textId="77777777" w:rsidR="006356F1" w:rsidRDefault="006356F1" w:rsidP="006356F1">
      <w:pPr>
        <w:spacing w:line="360" w:lineRule="auto"/>
        <w:ind w:firstLine="851"/>
        <w:jc w:val="both"/>
        <w:rPr>
          <w:rFonts w:ascii="Arial" w:hAnsi="Arial" w:cs="Arial"/>
          <w:sz w:val="24"/>
          <w:szCs w:val="24"/>
        </w:rPr>
      </w:pPr>
    </w:p>
    <w:p w14:paraId="430C0116" w14:textId="77777777" w:rsidR="006356F1" w:rsidRDefault="006356F1" w:rsidP="006356F1">
      <w:pPr>
        <w:ind w:left="2268"/>
        <w:jc w:val="both"/>
        <w:rPr>
          <w:rFonts w:ascii="Arial" w:hAnsi="Arial" w:cs="Arial"/>
          <w:sz w:val="22"/>
          <w:szCs w:val="22"/>
        </w:rPr>
      </w:pPr>
      <w:r w:rsidRPr="00CA48AE">
        <w:rPr>
          <w:rFonts w:ascii="Arial" w:hAnsi="Arial" w:cs="Arial"/>
          <w:b/>
          <w:bCs/>
          <w:sz w:val="22"/>
          <w:szCs w:val="22"/>
        </w:rPr>
        <w:t>Desativa/Vigência</w:t>
      </w:r>
      <w:r w:rsidRPr="00CA48AE">
        <w:rPr>
          <w:rFonts w:ascii="Arial" w:hAnsi="Arial" w:cs="Arial"/>
          <w:sz w:val="22"/>
          <w:szCs w:val="22"/>
        </w:rPr>
        <w:t> - TARE inativo por fim de vigência.</w:t>
      </w:r>
    </w:p>
    <w:p w14:paraId="3E927D36" w14:textId="77777777" w:rsidR="006356F1" w:rsidRDefault="006356F1" w:rsidP="006356F1">
      <w:pPr>
        <w:ind w:left="2268"/>
        <w:jc w:val="both"/>
        <w:rPr>
          <w:rFonts w:ascii="Arial" w:hAnsi="Arial" w:cs="Arial"/>
          <w:sz w:val="22"/>
          <w:szCs w:val="22"/>
        </w:rPr>
      </w:pPr>
      <w:r w:rsidRPr="00CA48AE">
        <w:rPr>
          <w:rFonts w:ascii="Arial" w:hAnsi="Arial" w:cs="Arial"/>
          <w:b/>
          <w:bCs/>
          <w:sz w:val="22"/>
          <w:szCs w:val="22"/>
        </w:rPr>
        <w:t>Normal</w:t>
      </w:r>
      <w:r w:rsidRPr="00CA48AE">
        <w:rPr>
          <w:rFonts w:ascii="Arial" w:hAnsi="Arial" w:cs="Arial"/>
          <w:sz w:val="22"/>
          <w:szCs w:val="22"/>
        </w:rPr>
        <w:t> - TARE ativo.</w:t>
      </w:r>
    </w:p>
    <w:p w14:paraId="14DA60C1" w14:textId="77777777" w:rsidR="006356F1" w:rsidRDefault="006356F1" w:rsidP="006356F1">
      <w:pPr>
        <w:ind w:left="2268"/>
        <w:jc w:val="both"/>
        <w:rPr>
          <w:rFonts w:ascii="Arial" w:hAnsi="Arial" w:cs="Arial"/>
          <w:sz w:val="22"/>
          <w:szCs w:val="22"/>
        </w:rPr>
      </w:pPr>
      <w:r w:rsidRPr="00CA48AE">
        <w:rPr>
          <w:rFonts w:ascii="Arial" w:hAnsi="Arial" w:cs="Arial"/>
          <w:b/>
          <w:bCs/>
          <w:sz w:val="22"/>
          <w:szCs w:val="22"/>
        </w:rPr>
        <w:t>Revogação/Baixa</w:t>
      </w:r>
      <w:r w:rsidRPr="00CA48AE">
        <w:rPr>
          <w:rFonts w:ascii="Arial" w:hAnsi="Arial" w:cs="Arial"/>
          <w:sz w:val="22"/>
          <w:szCs w:val="22"/>
        </w:rPr>
        <w:t> - TARE revogado por baixa da empresa.</w:t>
      </w:r>
    </w:p>
    <w:p w14:paraId="18BE8151" w14:textId="77777777" w:rsidR="006356F1" w:rsidRDefault="006356F1" w:rsidP="006356F1">
      <w:pPr>
        <w:ind w:left="2268"/>
        <w:jc w:val="both"/>
        <w:rPr>
          <w:rFonts w:ascii="Arial" w:hAnsi="Arial" w:cs="Arial"/>
          <w:sz w:val="22"/>
          <w:szCs w:val="22"/>
        </w:rPr>
      </w:pPr>
      <w:r w:rsidRPr="00CA48AE">
        <w:rPr>
          <w:rFonts w:ascii="Arial" w:hAnsi="Arial" w:cs="Arial"/>
          <w:b/>
          <w:bCs/>
          <w:sz w:val="22"/>
          <w:szCs w:val="22"/>
        </w:rPr>
        <w:t>Revogação/Órgão</w:t>
      </w:r>
      <w:r w:rsidRPr="00CA48AE">
        <w:rPr>
          <w:rFonts w:ascii="Arial" w:hAnsi="Arial" w:cs="Arial"/>
          <w:sz w:val="22"/>
          <w:szCs w:val="22"/>
        </w:rPr>
        <w:t> - TARE revogado por ato ou por novo termo de acordo.</w:t>
      </w:r>
      <w:r w:rsidRPr="00CA48AE">
        <w:rPr>
          <w:rFonts w:ascii="Arial" w:hAnsi="Arial" w:cs="Arial"/>
          <w:sz w:val="22"/>
          <w:szCs w:val="22"/>
        </w:rPr>
        <w:br/>
      </w:r>
      <w:r w:rsidRPr="00CA48AE">
        <w:rPr>
          <w:rFonts w:ascii="Arial" w:hAnsi="Arial" w:cs="Arial"/>
          <w:b/>
          <w:bCs/>
          <w:sz w:val="22"/>
          <w:szCs w:val="22"/>
        </w:rPr>
        <w:t>Revogação/Suspensão</w:t>
      </w:r>
      <w:r w:rsidRPr="00CA48AE">
        <w:rPr>
          <w:rFonts w:ascii="Arial" w:hAnsi="Arial" w:cs="Arial"/>
          <w:sz w:val="22"/>
          <w:szCs w:val="22"/>
        </w:rPr>
        <w:t> - TARE revogado por suspensão cadastral.</w:t>
      </w:r>
    </w:p>
    <w:p w14:paraId="5F73B28D" w14:textId="77777777" w:rsidR="006356F1" w:rsidRDefault="006356F1" w:rsidP="006356F1">
      <w:pPr>
        <w:ind w:left="2268"/>
        <w:jc w:val="both"/>
        <w:rPr>
          <w:rFonts w:ascii="Arial" w:hAnsi="Arial" w:cs="Arial"/>
          <w:sz w:val="22"/>
          <w:szCs w:val="22"/>
        </w:rPr>
      </w:pPr>
      <w:r w:rsidRPr="00CA48AE">
        <w:rPr>
          <w:rFonts w:ascii="Arial" w:hAnsi="Arial" w:cs="Arial"/>
          <w:b/>
          <w:bCs/>
          <w:sz w:val="22"/>
          <w:szCs w:val="22"/>
        </w:rPr>
        <w:t>Suspensão</w:t>
      </w:r>
      <w:r w:rsidRPr="00CA48AE">
        <w:rPr>
          <w:rFonts w:ascii="Arial" w:hAnsi="Arial" w:cs="Arial"/>
          <w:sz w:val="22"/>
          <w:szCs w:val="22"/>
        </w:rPr>
        <w:t> - TARE suspenso por ato da Secretaria.</w:t>
      </w:r>
    </w:p>
    <w:p w14:paraId="7495B8EA" w14:textId="77777777" w:rsidR="006356F1" w:rsidRPr="00CA48AE" w:rsidRDefault="006356F1" w:rsidP="006356F1">
      <w:pPr>
        <w:ind w:left="2268"/>
        <w:jc w:val="both"/>
        <w:rPr>
          <w:rFonts w:ascii="Arial" w:hAnsi="Arial" w:cs="Arial"/>
          <w:sz w:val="24"/>
          <w:szCs w:val="24"/>
          <w:u w:val="single"/>
        </w:rPr>
      </w:pPr>
      <w:r w:rsidRPr="00CA48AE">
        <w:rPr>
          <w:rFonts w:ascii="Arial" w:hAnsi="Arial" w:cs="Arial"/>
          <w:b/>
          <w:bCs/>
          <w:sz w:val="22"/>
          <w:szCs w:val="22"/>
        </w:rPr>
        <w:t>Tempo</w:t>
      </w:r>
      <w:r w:rsidRPr="00CA48AE">
        <w:rPr>
          <w:rFonts w:ascii="Arial" w:hAnsi="Arial" w:cs="Arial"/>
          <w:sz w:val="22"/>
          <w:szCs w:val="22"/>
        </w:rPr>
        <w:t xml:space="preserve"> </w:t>
      </w:r>
      <w:r w:rsidRPr="00CA48AE">
        <w:rPr>
          <w:rFonts w:ascii="Arial" w:hAnsi="Arial" w:cs="Arial"/>
          <w:b/>
          <w:bCs/>
          <w:sz w:val="22"/>
          <w:szCs w:val="22"/>
        </w:rPr>
        <w:t>Indeterminado</w:t>
      </w:r>
      <w:r w:rsidRPr="00CA48AE">
        <w:rPr>
          <w:rFonts w:ascii="Arial" w:hAnsi="Arial" w:cs="Arial"/>
          <w:sz w:val="22"/>
          <w:szCs w:val="22"/>
        </w:rPr>
        <w:t> - TARE vigente por tempo indeterminado.</w:t>
      </w:r>
    </w:p>
    <w:p w14:paraId="2EE3E637" w14:textId="77777777" w:rsidR="006356F1" w:rsidRDefault="006356F1" w:rsidP="006356F1">
      <w:pPr>
        <w:spacing w:line="360" w:lineRule="auto"/>
        <w:ind w:firstLine="851"/>
        <w:jc w:val="both"/>
        <w:rPr>
          <w:rFonts w:ascii="Arial" w:hAnsi="Arial" w:cs="Arial"/>
          <w:b/>
          <w:sz w:val="24"/>
          <w:szCs w:val="24"/>
          <w:u w:val="single"/>
        </w:rPr>
      </w:pPr>
    </w:p>
    <w:p w14:paraId="78039389"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Após selecionar os critérios desejados, o sistema apresenta </w:t>
      </w:r>
      <w:r>
        <w:rPr>
          <w:rFonts w:ascii="Arial" w:hAnsi="Arial" w:cs="Arial"/>
          <w:b/>
          <w:bCs/>
          <w:sz w:val="24"/>
          <w:szCs w:val="24"/>
        </w:rPr>
        <w:t>2</w:t>
      </w:r>
      <w:r w:rsidRPr="000860AC">
        <w:rPr>
          <w:rFonts w:ascii="Arial" w:hAnsi="Arial" w:cs="Arial"/>
          <w:b/>
          <w:bCs/>
          <w:sz w:val="24"/>
          <w:szCs w:val="24"/>
        </w:rPr>
        <w:t xml:space="preserve"> (</w:t>
      </w:r>
      <w:r>
        <w:rPr>
          <w:rFonts w:ascii="Arial" w:hAnsi="Arial" w:cs="Arial"/>
          <w:b/>
          <w:bCs/>
          <w:sz w:val="24"/>
          <w:szCs w:val="24"/>
        </w:rPr>
        <w:t>dois</w:t>
      </w:r>
      <w:r w:rsidRPr="000860AC">
        <w:rPr>
          <w:rFonts w:ascii="Arial" w:hAnsi="Arial" w:cs="Arial"/>
          <w:b/>
          <w:bCs/>
          <w:sz w:val="24"/>
          <w:szCs w:val="24"/>
        </w:rPr>
        <w:t>) recursos gráficos como resposta à pesquisa</w:t>
      </w:r>
      <w:r>
        <w:rPr>
          <w:rFonts w:ascii="Arial" w:hAnsi="Arial" w:cs="Arial"/>
          <w:sz w:val="24"/>
          <w:szCs w:val="24"/>
        </w:rPr>
        <w:t xml:space="preserve">: </w:t>
      </w:r>
      <w:r w:rsidRPr="000860AC">
        <w:rPr>
          <w:rFonts w:ascii="Arial" w:hAnsi="Arial" w:cs="Arial"/>
          <w:sz w:val="24"/>
          <w:szCs w:val="24"/>
          <w:u w:val="single"/>
        </w:rPr>
        <w:t>a) um gráfico em formato de pizza</w:t>
      </w:r>
      <w:r>
        <w:rPr>
          <w:rFonts w:ascii="Arial" w:hAnsi="Arial" w:cs="Arial"/>
          <w:sz w:val="24"/>
          <w:szCs w:val="24"/>
        </w:rPr>
        <w:t xml:space="preserve">, que demonstra a quantidade de TARE por atividade econômica; </w:t>
      </w:r>
      <w:r w:rsidRPr="000860AC">
        <w:rPr>
          <w:rFonts w:ascii="Arial" w:hAnsi="Arial" w:cs="Arial"/>
          <w:sz w:val="24"/>
          <w:szCs w:val="24"/>
          <w:u w:val="single"/>
        </w:rPr>
        <w:t xml:space="preserve">b) </w:t>
      </w:r>
      <w:r w:rsidRPr="001D02E9">
        <w:rPr>
          <w:rFonts w:ascii="Arial" w:hAnsi="Arial" w:cs="Arial"/>
          <w:sz w:val="24"/>
          <w:szCs w:val="24"/>
          <w:u w:val="single"/>
        </w:rPr>
        <w:t>tabela</w:t>
      </w:r>
      <w:r>
        <w:rPr>
          <w:rFonts w:ascii="Arial" w:hAnsi="Arial" w:cs="Arial"/>
          <w:sz w:val="24"/>
          <w:szCs w:val="24"/>
          <w:u w:val="single"/>
        </w:rPr>
        <w:t xml:space="preserve"> de detalhamento com 10 (dez) colunas</w:t>
      </w:r>
      <w:r>
        <w:rPr>
          <w:rFonts w:ascii="Arial" w:hAnsi="Arial" w:cs="Arial"/>
          <w:sz w:val="24"/>
          <w:szCs w:val="24"/>
        </w:rPr>
        <w:t>, a qual especifica em cada uma dessas colunas “Seção CNAE”, “Número do CNPJ”, “Razão Social”, “Nome Fantasia”, “Município”, “Número do TARE”, “Situação do TARE”, “Data de Início”, “Data Fim” e “Descrição do TARE”.</w:t>
      </w:r>
    </w:p>
    <w:p w14:paraId="3C3FDA84"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A título de exemplo, uma consulta para aferir todos os </w:t>
      </w:r>
      <w:r w:rsidRPr="00373FAC">
        <w:rPr>
          <w:rFonts w:ascii="Arial" w:hAnsi="Arial" w:cs="Arial"/>
          <w:b/>
          <w:bCs/>
          <w:sz w:val="24"/>
          <w:szCs w:val="24"/>
        </w:rPr>
        <w:t>TARE’s vigentes ao longo dos exercícios de 2018, 2019 e 2020, independentemente do ano ou mês de início ou do município do contribuinte</w:t>
      </w:r>
      <w:r>
        <w:rPr>
          <w:rFonts w:ascii="Arial" w:hAnsi="Arial" w:cs="Arial"/>
          <w:sz w:val="24"/>
          <w:szCs w:val="24"/>
        </w:rPr>
        <w:t>, trará os seguintes gráficos e tabelas:</w:t>
      </w:r>
    </w:p>
    <w:p w14:paraId="78AEDB95" w14:textId="77777777" w:rsidR="006356F1" w:rsidRDefault="006356F1" w:rsidP="006356F1">
      <w:pPr>
        <w:spacing w:line="360" w:lineRule="auto"/>
        <w:ind w:firstLine="851"/>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9264" behindDoc="0" locked="0" layoutInCell="1" allowOverlap="1" wp14:anchorId="482B01AD" wp14:editId="34EC31C6">
                <wp:simplePos x="0" y="0"/>
                <wp:positionH relativeFrom="margin">
                  <wp:align>left</wp:align>
                </wp:positionH>
                <wp:positionV relativeFrom="paragraph">
                  <wp:posOffset>8890</wp:posOffset>
                </wp:positionV>
                <wp:extent cx="5895975" cy="2600325"/>
                <wp:effectExtent l="0" t="0" r="28575" b="28575"/>
                <wp:wrapNone/>
                <wp:docPr id="14" name="Retângulo 14"/>
                <wp:cNvGraphicFramePr/>
                <a:graphic xmlns:a="http://schemas.openxmlformats.org/drawingml/2006/main">
                  <a:graphicData uri="http://schemas.microsoft.com/office/word/2010/wordprocessingShape">
                    <wps:wsp>
                      <wps:cNvSpPr/>
                      <wps:spPr>
                        <a:xfrm>
                          <a:off x="0" y="0"/>
                          <a:ext cx="5895975" cy="2600325"/>
                        </a:xfrm>
                        <a:prstGeom prst="rect">
                          <a:avLst/>
                        </a:prstGeom>
                        <a:blipFill>
                          <a:blip r:embed="rId69"/>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86CF5" id="Retângulo 14" o:spid="_x0000_s1026" style="position:absolute;margin-left:0;margin-top:.7pt;width:464.25pt;height:204.7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" strokecolor="#1f3763 [1604]" strokeweight="1pt">
                <v:fill r:id="rId80" o:title="" recolor="t" rotate="t" type="frame"/>
                <w10:wrap anchorx="margin"/>
              </v:rect>
            </w:pict>
          </mc:Fallback>
        </mc:AlternateContent>
      </w:r>
    </w:p>
    <w:p w14:paraId="672AD6F7" w14:textId="77777777" w:rsidR="006356F1" w:rsidRDefault="006356F1" w:rsidP="006356F1">
      <w:pPr>
        <w:spacing w:line="360" w:lineRule="auto"/>
        <w:ind w:firstLine="851"/>
        <w:jc w:val="both"/>
        <w:rPr>
          <w:rFonts w:ascii="Arial" w:hAnsi="Arial" w:cs="Arial"/>
          <w:sz w:val="24"/>
          <w:szCs w:val="24"/>
        </w:rPr>
      </w:pPr>
    </w:p>
    <w:p w14:paraId="7185BB09" w14:textId="77777777" w:rsidR="006356F1" w:rsidRDefault="006356F1" w:rsidP="006356F1">
      <w:pPr>
        <w:spacing w:line="360" w:lineRule="auto"/>
        <w:ind w:firstLine="851"/>
        <w:jc w:val="both"/>
        <w:rPr>
          <w:rFonts w:ascii="Arial" w:hAnsi="Arial" w:cs="Arial"/>
          <w:sz w:val="24"/>
          <w:szCs w:val="24"/>
        </w:rPr>
      </w:pPr>
    </w:p>
    <w:p w14:paraId="32654B65" w14:textId="77777777" w:rsidR="006356F1" w:rsidRDefault="006356F1" w:rsidP="006356F1">
      <w:pPr>
        <w:spacing w:line="360" w:lineRule="auto"/>
        <w:ind w:firstLine="851"/>
        <w:jc w:val="both"/>
        <w:rPr>
          <w:rFonts w:ascii="Arial" w:hAnsi="Arial" w:cs="Arial"/>
          <w:sz w:val="24"/>
          <w:szCs w:val="24"/>
        </w:rPr>
      </w:pPr>
    </w:p>
    <w:p w14:paraId="730A36BB" w14:textId="77777777" w:rsidR="006356F1" w:rsidRDefault="006356F1" w:rsidP="006356F1">
      <w:pPr>
        <w:spacing w:line="360" w:lineRule="auto"/>
        <w:ind w:firstLine="851"/>
        <w:jc w:val="both"/>
        <w:rPr>
          <w:rFonts w:ascii="Arial" w:hAnsi="Arial" w:cs="Arial"/>
          <w:sz w:val="24"/>
          <w:szCs w:val="24"/>
        </w:rPr>
      </w:pPr>
    </w:p>
    <w:p w14:paraId="69E2AA5A" w14:textId="77777777" w:rsidR="006356F1" w:rsidRDefault="006356F1" w:rsidP="006356F1">
      <w:pPr>
        <w:spacing w:line="360" w:lineRule="auto"/>
        <w:ind w:firstLine="851"/>
        <w:jc w:val="both"/>
        <w:rPr>
          <w:rFonts w:ascii="Arial" w:hAnsi="Arial" w:cs="Arial"/>
          <w:sz w:val="24"/>
          <w:szCs w:val="24"/>
        </w:rPr>
      </w:pPr>
    </w:p>
    <w:p w14:paraId="37AE39CE" w14:textId="77777777" w:rsidR="006356F1" w:rsidRDefault="006356F1" w:rsidP="006356F1">
      <w:pPr>
        <w:pBdr>
          <w:left w:val="single" w:sz="4" w:space="4" w:color="auto"/>
        </w:pBdr>
        <w:ind w:left="142"/>
        <w:contextualSpacing/>
        <w:jc w:val="both"/>
        <w:rPr>
          <w:rFonts w:ascii="Arial" w:hAnsi="Arial" w:cs="Arial"/>
          <w:sz w:val="24"/>
          <w:szCs w:val="24"/>
        </w:rPr>
      </w:pPr>
    </w:p>
    <w:p w14:paraId="31EC5806" w14:textId="77777777" w:rsidR="006356F1" w:rsidRDefault="006356F1" w:rsidP="006356F1">
      <w:pPr>
        <w:ind w:left="142"/>
        <w:contextualSpacing/>
        <w:jc w:val="both"/>
        <w:rPr>
          <w:rFonts w:ascii="Arial" w:hAnsi="Arial" w:cs="Arial"/>
          <w:sz w:val="24"/>
          <w:szCs w:val="24"/>
        </w:rPr>
      </w:pPr>
    </w:p>
    <w:p w14:paraId="52F99CE5" w14:textId="77777777" w:rsidR="006356F1" w:rsidRDefault="006356F1" w:rsidP="006356F1">
      <w:pPr>
        <w:ind w:left="142"/>
        <w:contextualSpacing/>
        <w:jc w:val="both"/>
        <w:rPr>
          <w:rFonts w:ascii="Arial" w:hAnsi="Arial" w:cs="Arial"/>
          <w:sz w:val="24"/>
          <w:szCs w:val="24"/>
        </w:rPr>
      </w:pPr>
    </w:p>
    <w:p w14:paraId="4D04D84E" w14:textId="77777777" w:rsidR="006356F1" w:rsidRDefault="006356F1" w:rsidP="006356F1">
      <w:pPr>
        <w:ind w:left="142"/>
        <w:contextualSpacing/>
        <w:jc w:val="both"/>
        <w:rPr>
          <w:rFonts w:ascii="Arial" w:hAnsi="Arial" w:cs="Arial"/>
          <w:sz w:val="24"/>
          <w:szCs w:val="24"/>
        </w:rPr>
      </w:pPr>
    </w:p>
    <w:p w14:paraId="4DEAFD61" w14:textId="77777777" w:rsidR="006356F1" w:rsidRDefault="006356F1" w:rsidP="006356F1">
      <w:pPr>
        <w:ind w:left="142"/>
        <w:contextualSpacing/>
        <w:jc w:val="both"/>
        <w:rPr>
          <w:rFonts w:ascii="Arial" w:hAnsi="Arial" w:cs="Arial"/>
          <w:sz w:val="24"/>
          <w:szCs w:val="24"/>
        </w:rPr>
      </w:pPr>
    </w:p>
    <w:p w14:paraId="4B07524C" w14:textId="77777777" w:rsidR="006356F1" w:rsidRDefault="006356F1" w:rsidP="006356F1">
      <w:pPr>
        <w:ind w:left="142"/>
        <w:contextualSpacing/>
        <w:jc w:val="both"/>
        <w:rPr>
          <w:rFonts w:ascii="Arial" w:hAnsi="Arial" w:cs="Arial"/>
          <w:sz w:val="24"/>
          <w:szCs w:val="24"/>
        </w:rPr>
      </w:pPr>
    </w:p>
    <w:p w14:paraId="72ED0233" w14:textId="77777777" w:rsidR="006356F1" w:rsidRDefault="006356F1" w:rsidP="006356F1">
      <w:pPr>
        <w:pBdr>
          <w:left w:val="single" w:sz="4" w:space="4" w:color="auto"/>
        </w:pBdr>
        <w:ind w:left="142"/>
        <w:contextualSpacing/>
        <w:jc w:val="both"/>
        <w:rPr>
          <w:rFonts w:ascii="Arial" w:hAnsi="Arial" w:cs="Arial"/>
          <w:sz w:val="20"/>
        </w:rPr>
      </w:pPr>
      <w:r w:rsidRPr="00C012FE">
        <w:rPr>
          <w:rFonts w:ascii="Arial" w:hAnsi="Arial" w:cs="Arial"/>
          <w:sz w:val="20"/>
        </w:rPr>
        <w:t xml:space="preserve">* </w:t>
      </w:r>
      <w:r>
        <w:rPr>
          <w:rFonts w:ascii="Arial" w:hAnsi="Arial" w:cs="Arial"/>
          <w:sz w:val="20"/>
        </w:rPr>
        <w:t xml:space="preserve">Devido à ausência de uma função específica de exportação desse gráfico, a imagem acima foi gerada precariamente a partir de um </w:t>
      </w:r>
      <w:r w:rsidRPr="00F70B83">
        <w:rPr>
          <w:rFonts w:ascii="Arial" w:hAnsi="Arial" w:cs="Arial"/>
          <w:i/>
          <w:iCs/>
          <w:sz w:val="20"/>
        </w:rPr>
        <w:t>print screen</w:t>
      </w:r>
      <w:r>
        <w:rPr>
          <w:rFonts w:ascii="Arial" w:hAnsi="Arial" w:cs="Arial"/>
          <w:sz w:val="20"/>
        </w:rPr>
        <w:t xml:space="preserve"> e posterior importação da imagem.</w:t>
      </w:r>
    </w:p>
    <w:p w14:paraId="097A6181" w14:textId="77777777" w:rsidR="006356F1" w:rsidRDefault="006356F1" w:rsidP="006356F1">
      <w:pPr>
        <w:pBdr>
          <w:left w:val="single" w:sz="4" w:space="4" w:color="auto"/>
        </w:pBdr>
        <w:ind w:left="142"/>
        <w:contextualSpacing/>
        <w:jc w:val="both"/>
        <w:rPr>
          <w:rFonts w:ascii="Arial" w:hAnsi="Arial" w:cs="Arial"/>
          <w:sz w:val="24"/>
          <w:szCs w:val="24"/>
        </w:rPr>
      </w:pPr>
      <w:r w:rsidRPr="00F70B83">
        <w:rPr>
          <w:rFonts w:ascii="Arial" w:hAnsi="Arial" w:cs="Arial"/>
          <w:sz w:val="20"/>
        </w:rPr>
        <w:t xml:space="preserve">** Ao aproximar o cursor do mouse sobre cada “fatia” do gráfico, é exibido o </w:t>
      </w:r>
      <w:r>
        <w:rPr>
          <w:rFonts w:ascii="Arial" w:hAnsi="Arial" w:cs="Arial"/>
          <w:sz w:val="20"/>
        </w:rPr>
        <w:t xml:space="preserve">número de TARE’s por atividade econômica e o </w:t>
      </w:r>
      <w:r w:rsidRPr="00F70B83">
        <w:rPr>
          <w:rFonts w:ascii="Arial" w:hAnsi="Arial" w:cs="Arial"/>
          <w:sz w:val="20"/>
        </w:rPr>
        <w:t>percentual que representa em relação ao total.</w:t>
      </w:r>
    </w:p>
    <w:p w14:paraId="36FB58D2" w14:textId="77777777" w:rsidR="006356F1" w:rsidRDefault="006356F1" w:rsidP="006356F1">
      <w:pPr>
        <w:spacing w:line="360" w:lineRule="auto"/>
        <w:jc w:val="both"/>
        <w:rPr>
          <w:rFonts w:ascii="Arial" w:hAnsi="Arial" w:cs="Arial"/>
          <w:sz w:val="24"/>
          <w:szCs w:val="24"/>
        </w:rPr>
        <w:sectPr w:rsidR="006356F1" w:rsidSect="00CA1C22">
          <w:pgSz w:w="11900" w:h="16840"/>
          <w:pgMar w:top="2268" w:right="851" w:bottom="1134" w:left="1701" w:header="567" w:footer="284" w:gutter="0"/>
          <w:cols w:space="708"/>
          <w:docGrid w:linePitch="360"/>
        </w:sectPr>
      </w:pPr>
    </w:p>
    <w:p w14:paraId="638B4AA7" w14:textId="77777777" w:rsidR="006356F1" w:rsidRDefault="006356F1" w:rsidP="006356F1">
      <w:pPr>
        <w:contextualSpacing/>
        <w:jc w:val="both"/>
        <w:rPr>
          <w:rFonts w:ascii="Arial" w:hAnsi="Arial" w:cs="Arial"/>
          <w:sz w:val="20"/>
        </w:rPr>
      </w:pPr>
      <w:r w:rsidRPr="00F70B83">
        <w:rPr>
          <w:rFonts w:ascii="Arial" w:hAnsi="Arial" w:cs="Arial"/>
          <w:b/>
          <w:noProof/>
          <w:sz w:val="24"/>
          <w:szCs w:val="24"/>
          <w:u w:val="single"/>
        </w:rPr>
        <w:lastRenderedPageBreak/>
        <w:drawing>
          <wp:inline distT="0" distB="0" distL="0" distR="0" wp14:anchorId="643E504B" wp14:editId="459B4582">
            <wp:extent cx="8532495" cy="5067300"/>
            <wp:effectExtent l="0" t="0" r="190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543898" cy="5074072"/>
                    </a:xfrm>
                    <a:prstGeom prst="rect">
                      <a:avLst/>
                    </a:prstGeom>
                    <a:noFill/>
                    <a:ln>
                      <a:noFill/>
                    </a:ln>
                  </pic:spPr>
                </pic:pic>
              </a:graphicData>
            </a:graphic>
          </wp:inline>
        </w:drawing>
      </w:r>
    </w:p>
    <w:p w14:paraId="71BBC4C1" w14:textId="77777777" w:rsidR="006356F1" w:rsidRPr="00EB5BEF" w:rsidRDefault="006356F1" w:rsidP="006356F1">
      <w:pPr>
        <w:contextualSpacing/>
        <w:jc w:val="both"/>
        <w:rPr>
          <w:rFonts w:ascii="Arial" w:hAnsi="Arial" w:cs="Arial"/>
          <w:sz w:val="20"/>
        </w:rPr>
        <w:sectPr w:rsidR="006356F1" w:rsidRPr="00EB5BEF" w:rsidSect="00217400">
          <w:pgSz w:w="16840" w:h="11900" w:orient="landscape"/>
          <w:pgMar w:top="851" w:right="1134" w:bottom="1701" w:left="2268" w:header="567" w:footer="284" w:gutter="0"/>
          <w:cols w:space="708"/>
          <w:docGrid w:linePitch="360"/>
        </w:sectPr>
      </w:pPr>
      <w:r w:rsidRPr="00C012FE">
        <w:rPr>
          <w:rFonts w:ascii="Arial" w:hAnsi="Arial" w:cs="Arial"/>
          <w:sz w:val="20"/>
        </w:rPr>
        <w:t xml:space="preserve">* </w:t>
      </w:r>
      <w:r>
        <w:rPr>
          <w:rFonts w:ascii="Arial" w:hAnsi="Arial" w:cs="Arial"/>
          <w:sz w:val="20"/>
        </w:rPr>
        <w:t>A tabela supra transcrita é apenas parte de um arquivo PDF de 20 (vinte) folhas, cada qual com dezenas de linhas referentes aos mais diversos TARE’s vigentes no período objeto da consulta (2018 a 2020). Apenas essa tabela gera a opção de “exportar”.</w:t>
      </w:r>
    </w:p>
    <w:p w14:paraId="4B780305" w14:textId="77777777" w:rsidR="006356F1" w:rsidRPr="004212C7" w:rsidRDefault="006356F1" w:rsidP="006356F1">
      <w:pPr>
        <w:spacing w:line="360" w:lineRule="auto"/>
        <w:ind w:firstLine="851"/>
        <w:jc w:val="both"/>
        <w:rPr>
          <w:rFonts w:ascii="Arial" w:hAnsi="Arial" w:cs="Arial"/>
          <w:sz w:val="24"/>
          <w:szCs w:val="24"/>
        </w:rPr>
      </w:pPr>
      <w:bookmarkStart w:id="392" w:name="_Hlk34105476"/>
      <w:r w:rsidRPr="004212C7">
        <w:rPr>
          <w:rFonts w:ascii="Arial" w:hAnsi="Arial" w:cs="Arial"/>
          <w:sz w:val="24"/>
          <w:szCs w:val="24"/>
        </w:rPr>
        <w:lastRenderedPageBreak/>
        <w:t xml:space="preserve">Apesar dos avanços trazidos por essas ferramentas, </w:t>
      </w:r>
      <w:r w:rsidRPr="004212C7">
        <w:rPr>
          <w:rFonts w:ascii="Arial" w:hAnsi="Arial" w:cs="Arial"/>
          <w:b/>
          <w:bCs/>
          <w:sz w:val="24"/>
          <w:szCs w:val="24"/>
        </w:rPr>
        <w:t>recomendam-se ainda as seguintes medidas visando ao aprimoramento da transparência ativa da aba “TARE”</w:t>
      </w:r>
      <w:r w:rsidRPr="004212C7">
        <w:rPr>
          <w:rFonts w:ascii="Arial" w:hAnsi="Arial" w:cs="Arial"/>
          <w:sz w:val="24"/>
          <w:szCs w:val="24"/>
        </w:rPr>
        <w:t>:</w:t>
      </w:r>
    </w:p>
    <w:p w14:paraId="5618A7AA" w14:textId="77777777" w:rsidR="006356F1" w:rsidRPr="004212C7" w:rsidRDefault="006356F1" w:rsidP="00502615">
      <w:pPr>
        <w:pStyle w:val="PargrafodaLista"/>
        <w:numPr>
          <w:ilvl w:val="0"/>
          <w:numId w:val="52"/>
        </w:numPr>
        <w:spacing w:line="360" w:lineRule="auto"/>
        <w:jc w:val="both"/>
        <w:rPr>
          <w:rFonts w:ascii="Arial" w:hAnsi="Arial" w:cs="Arial"/>
          <w:sz w:val="24"/>
          <w:szCs w:val="24"/>
        </w:rPr>
      </w:pPr>
      <w:r w:rsidRPr="004212C7">
        <w:rPr>
          <w:rFonts w:ascii="Arial" w:hAnsi="Arial" w:cs="Arial"/>
          <w:sz w:val="24"/>
          <w:szCs w:val="24"/>
          <w:u w:val="single"/>
        </w:rPr>
        <w:t>inserir novos campos na coluna da esquerda (ano de início; mês de início; situação do TARE; município)</w:t>
      </w:r>
      <w:r w:rsidRPr="004212C7">
        <w:rPr>
          <w:rFonts w:ascii="Arial" w:hAnsi="Arial" w:cs="Arial"/>
          <w:sz w:val="24"/>
          <w:szCs w:val="24"/>
        </w:rPr>
        <w:t>, de modo a permitir também a consulta individualizada por nome e/ou CNPJ das pessoas jurídicas signatárias, por número de TARE e demais critérios que aparecem na tabela, inclusive mediante a digitação de palavras ou expressões que possam ser encontradas na “descrição do TARE”;</w:t>
      </w:r>
    </w:p>
    <w:p w14:paraId="0AE4FE3A" w14:textId="77777777" w:rsidR="006356F1" w:rsidRPr="004212C7" w:rsidRDefault="006356F1" w:rsidP="00502615">
      <w:pPr>
        <w:pStyle w:val="PargrafodaLista"/>
        <w:numPr>
          <w:ilvl w:val="0"/>
          <w:numId w:val="52"/>
        </w:numPr>
        <w:spacing w:line="360" w:lineRule="auto"/>
        <w:jc w:val="both"/>
        <w:rPr>
          <w:rFonts w:ascii="Arial" w:hAnsi="Arial" w:cs="Arial"/>
          <w:sz w:val="24"/>
          <w:szCs w:val="24"/>
        </w:rPr>
      </w:pPr>
      <w:r w:rsidRPr="004212C7">
        <w:rPr>
          <w:rFonts w:ascii="Arial" w:hAnsi="Arial" w:cs="Arial"/>
          <w:bCs/>
          <w:sz w:val="24"/>
          <w:szCs w:val="24"/>
          <w:u w:val="single"/>
        </w:rPr>
        <w:t>publicar a íntegra de cada TARE e todas suas alterações</w:t>
      </w:r>
      <w:r w:rsidRPr="004212C7">
        <w:rPr>
          <w:rFonts w:ascii="Arial" w:hAnsi="Arial" w:cs="Arial"/>
          <w:sz w:val="24"/>
          <w:szCs w:val="24"/>
        </w:rPr>
        <w:t>, disponibilizadas em ordem cronológica e em versão consolidada, de modo a permitir o exame de suas cláusulas, das contrapartidas exigidas e demais termos do regime especial concedido ao contribuinte;</w:t>
      </w:r>
    </w:p>
    <w:p w14:paraId="0DF9A5E7" w14:textId="77777777" w:rsidR="006356F1" w:rsidRPr="004212C7" w:rsidRDefault="006356F1" w:rsidP="00502615">
      <w:pPr>
        <w:pStyle w:val="PargrafodaLista"/>
        <w:numPr>
          <w:ilvl w:val="0"/>
          <w:numId w:val="52"/>
        </w:numPr>
        <w:spacing w:line="360" w:lineRule="auto"/>
        <w:jc w:val="both"/>
        <w:rPr>
          <w:rFonts w:ascii="Arial" w:hAnsi="Arial" w:cs="Arial"/>
          <w:sz w:val="24"/>
          <w:szCs w:val="24"/>
        </w:rPr>
      </w:pPr>
      <w:r w:rsidRPr="004212C7">
        <w:rPr>
          <w:rFonts w:ascii="Arial" w:hAnsi="Arial" w:cs="Arial"/>
          <w:bCs/>
          <w:sz w:val="24"/>
          <w:szCs w:val="24"/>
          <w:u w:val="single"/>
        </w:rPr>
        <w:t>a íntegra dos processos de auditorias pertinentes a cada empresa</w:t>
      </w:r>
      <w:r w:rsidRPr="004212C7">
        <w:rPr>
          <w:rFonts w:ascii="Arial" w:hAnsi="Arial" w:cs="Arial"/>
          <w:sz w:val="24"/>
          <w:szCs w:val="24"/>
        </w:rPr>
        <w:t xml:space="preserve">, mediante link localizado próximo aos TARE’s correspondentes, inclusive </w:t>
      </w:r>
      <w:r w:rsidRPr="004212C7">
        <w:rPr>
          <w:rFonts w:ascii="Arial" w:hAnsi="Arial" w:cs="Arial"/>
          <w:bCs/>
          <w:sz w:val="24"/>
          <w:szCs w:val="24"/>
        </w:rPr>
        <w:t>relatórios</w:t>
      </w:r>
      <w:r w:rsidRPr="004212C7">
        <w:rPr>
          <w:rFonts w:ascii="Arial" w:hAnsi="Arial" w:cs="Arial"/>
          <w:sz w:val="24"/>
          <w:szCs w:val="24"/>
        </w:rPr>
        <w:t xml:space="preserve"> de fiscalização, decisões referentes a pedidos de reconsideração e recursos apreciados pela autoridade competente e decisão final.</w:t>
      </w:r>
      <w:bookmarkEnd w:id="392"/>
    </w:p>
    <w:p w14:paraId="3D5E568D"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Importante registrar </w:t>
      </w:r>
      <w:r w:rsidRPr="00371756">
        <w:rPr>
          <w:rFonts w:ascii="Arial" w:hAnsi="Arial" w:cs="Arial"/>
          <w:b/>
          <w:bCs/>
          <w:sz w:val="24"/>
          <w:szCs w:val="24"/>
        </w:rPr>
        <w:t>que nenhuma das medidas acima viola o sigilo fiscal, ainda que se considere o atual entendimento do STF a respeito</w:t>
      </w:r>
      <w:r>
        <w:rPr>
          <w:rFonts w:ascii="Arial" w:hAnsi="Arial" w:cs="Arial"/>
          <w:sz w:val="24"/>
          <w:szCs w:val="24"/>
        </w:rPr>
        <w:t xml:space="preserve">, mormente quanto ao disposto na alínea “a”, supra, porquanto o próprio Governo do Estado de Goiás já reconhece que o conteúdo dos TARE’s deve ser objeto de informação à sociedade, tanto que são divulgadas informações específicas, tais como nome, razão social, CNPJ e conteúdo resumido do TARE, inclusive com referência a valores. </w:t>
      </w:r>
    </w:p>
    <w:p w14:paraId="672B2B93"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Assim, </w:t>
      </w:r>
      <w:r w:rsidRPr="00DC5DD2">
        <w:rPr>
          <w:rFonts w:ascii="Arial" w:hAnsi="Arial" w:cs="Arial"/>
          <w:b/>
          <w:bCs/>
          <w:sz w:val="24"/>
          <w:szCs w:val="24"/>
        </w:rPr>
        <w:t>se a própria Administração Tributária entende que essas informações não estão cobertas por sigilo fiscal, entende-se que as recomendações deste relatório apenas reforçam o papel de transparência ativa</w:t>
      </w:r>
      <w:r>
        <w:rPr>
          <w:rFonts w:ascii="Arial" w:hAnsi="Arial" w:cs="Arial"/>
          <w:sz w:val="24"/>
          <w:szCs w:val="24"/>
        </w:rPr>
        <w:t xml:space="preserve">, posto que não inovam substancialmente em relação àquilo que já se encontra devidamente publicado no Portal da Transparência do próprio Estado de Goiás, mas contribuem para aumentar o controle social e pelos órgãos de controle externo. </w:t>
      </w:r>
    </w:p>
    <w:p w14:paraId="7E3383C2"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Desse modo, </w:t>
      </w:r>
      <w:r w:rsidRPr="009B603B">
        <w:rPr>
          <w:rFonts w:ascii="Arial" w:hAnsi="Arial" w:cs="Arial"/>
          <w:b/>
          <w:bCs/>
          <w:sz w:val="24"/>
          <w:szCs w:val="24"/>
        </w:rPr>
        <w:t>revelam-se completamente improcedentes as assertivas delineadas nas razões de veto constantes do Ofício nº 604/2019</w:t>
      </w:r>
      <w:r>
        <w:rPr>
          <w:rFonts w:ascii="Arial" w:hAnsi="Arial" w:cs="Arial"/>
          <w:sz w:val="24"/>
          <w:szCs w:val="24"/>
        </w:rPr>
        <w:t xml:space="preserve"> – relativas ao autógrafo de lei nº</w:t>
      </w:r>
      <w:r w:rsidRPr="009B603B">
        <w:rPr>
          <w:rFonts w:ascii="Arial" w:hAnsi="Arial" w:cs="Arial"/>
          <w:sz w:val="24"/>
          <w:szCs w:val="24"/>
        </w:rPr>
        <w:t xml:space="preserve"> 301</w:t>
      </w:r>
      <w:r>
        <w:rPr>
          <w:rFonts w:ascii="Arial" w:hAnsi="Arial" w:cs="Arial"/>
          <w:sz w:val="24"/>
          <w:szCs w:val="24"/>
        </w:rPr>
        <w:t>/</w:t>
      </w:r>
      <w:r w:rsidRPr="009B603B">
        <w:rPr>
          <w:rFonts w:ascii="Arial" w:hAnsi="Arial" w:cs="Arial"/>
          <w:sz w:val="24"/>
          <w:szCs w:val="24"/>
        </w:rPr>
        <w:t>2019</w:t>
      </w:r>
      <w:r>
        <w:rPr>
          <w:rFonts w:ascii="Arial" w:hAnsi="Arial" w:cs="Arial"/>
          <w:sz w:val="24"/>
          <w:szCs w:val="24"/>
        </w:rPr>
        <w:t xml:space="preserve">, resultante da aprovação de projeto de lei deste relator, que </w:t>
      </w:r>
      <w:r>
        <w:rPr>
          <w:rFonts w:ascii="Arial" w:hAnsi="Arial" w:cs="Arial"/>
          <w:sz w:val="24"/>
          <w:szCs w:val="24"/>
        </w:rPr>
        <w:lastRenderedPageBreak/>
        <w:t>obrigava a publicação da íntegra dos TARE’s e relatórios de fiscalização – a seguir transcritas:</w:t>
      </w:r>
    </w:p>
    <w:p w14:paraId="1952B61F" w14:textId="77777777" w:rsidR="006356F1" w:rsidRDefault="006356F1" w:rsidP="006356F1">
      <w:pPr>
        <w:spacing w:line="360" w:lineRule="auto"/>
        <w:ind w:firstLine="851"/>
        <w:jc w:val="both"/>
        <w:rPr>
          <w:rFonts w:ascii="Arial" w:hAnsi="Arial" w:cs="Arial"/>
          <w:sz w:val="24"/>
          <w:szCs w:val="24"/>
        </w:rPr>
      </w:pPr>
    </w:p>
    <w:p w14:paraId="1521747E" w14:textId="77777777" w:rsidR="006356F1" w:rsidRDefault="006356F1" w:rsidP="006356F1">
      <w:pPr>
        <w:shd w:val="clear" w:color="auto" w:fill="FFFFFF"/>
        <w:ind w:left="2268"/>
        <w:jc w:val="both"/>
        <w:rPr>
          <w:rFonts w:ascii="Arial" w:hAnsi="Arial" w:cs="Arial"/>
          <w:color w:val="000000"/>
          <w:sz w:val="20"/>
        </w:rPr>
      </w:pPr>
      <w:r w:rsidRPr="009B603B">
        <w:rPr>
          <w:rFonts w:ascii="Arial" w:hAnsi="Arial" w:cs="Arial"/>
          <w:color w:val="000000"/>
          <w:sz w:val="20"/>
        </w:rPr>
        <w:t>Friso, ainda, como manifestação da pasta, que o presente Autógrafo de Lei fere regras de sigilo fiscal ao prever a publicação integral de informações dos TAREs no Portal da Transparência do Estado de Goiás. Sabe-se que é, no mínimo, temerário tornar público o faturamento ou mesmo a situação econômica de uma empresa beneficiária.</w:t>
      </w:r>
    </w:p>
    <w:p w14:paraId="3F7EC636" w14:textId="77777777" w:rsidR="006356F1" w:rsidRPr="009B603B" w:rsidRDefault="006356F1" w:rsidP="006356F1">
      <w:pPr>
        <w:shd w:val="clear" w:color="auto" w:fill="FFFFFF"/>
        <w:ind w:left="2268"/>
        <w:jc w:val="both"/>
        <w:rPr>
          <w:rFonts w:ascii="Arial" w:hAnsi="Arial" w:cs="Arial"/>
          <w:color w:val="000000"/>
          <w:sz w:val="20"/>
        </w:rPr>
      </w:pPr>
    </w:p>
    <w:p w14:paraId="7D86E78C" w14:textId="77777777" w:rsidR="006356F1" w:rsidRDefault="006356F1" w:rsidP="006356F1">
      <w:pPr>
        <w:shd w:val="clear" w:color="auto" w:fill="FFFFFF"/>
        <w:ind w:left="2268"/>
        <w:jc w:val="both"/>
        <w:rPr>
          <w:rFonts w:ascii="Arial" w:hAnsi="Arial" w:cs="Arial"/>
          <w:color w:val="000000"/>
          <w:sz w:val="20"/>
        </w:rPr>
      </w:pPr>
      <w:r w:rsidRPr="009B603B">
        <w:rPr>
          <w:rFonts w:ascii="Arial" w:hAnsi="Arial" w:cs="Arial"/>
          <w:color w:val="000000"/>
          <w:sz w:val="20"/>
        </w:rPr>
        <w:t>Desse modo, procedo à transcrição do que consta do item “7”:</w:t>
      </w:r>
    </w:p>
    <w:p w14:paraId="3B6DCF36" w14:textId="77777777" w:rsidR="006356F1" w:rsidRPr="009B603B" w:rsidRDefault="006356F1" w:rsidP="006356F1">
      <w:pPr>
        <w:shd w:val="clear" w:color="auto" w:fill="FFFFFF"/>
        <w:ind w:left="2268"/>
        <w:jc w:val="both"/>
        <w:rPr>
          <w:rFonts w:ascii="Arial" w:hAnsi="Arial" w:cs="Arial"/>
          <w:color w:val="000000"/>
          <w:sz w:val="20"/>
        </w:rPr>
      </w:pPr>
    </w:p>
    <w:p w14:paraId="7EB30D13" w14:textId="77777777" w:rsidR="006356F1" w:rsidRPr="009B603B" w:rsidRDefault="006356F1" w:rsidP="006356F1">
      <w:pPr>
        <w:shd w:val="clear" w:color="auto" w:fill="FFFFFF"/>
        <w:ind w:left="2552"/>
        <w:jc w:val="both"/>
        <w:rPr>
          <w:rFonts w:ascii="Arial" w:hAnsi="Arial" w:cs="Arial"/>
          <w:color w:val="000000"/>
          <w:sz w:val="18"/>
          <w:szCs w:val="18"/>
        </w:rPr>
      </w:pPr>
      <w:r w:rsidRPr="009B603B">
        <w:rPr>
          <w:rFonts w:ascii="Arial" w:hAnsi="Arial" w:cs="Arial"/>
          <w:color w:val="000000"/>
          <w:sz w:val="18"/>
          <w:szCs w:val="18"/>
        </w:rPr>
        <w:t>7 – De igual modo, a divulgação no Portal da Transparência do Estado de Goiás de informações constantes de TAREs, tal como consignado no texto proposto para o § 3º do art. 43-B, não pode ser irrestrita, sob pena de ferir regras atinentes ao sigilo fiscal, nos termos do art. 198 do Código Tributário Nacional. Atualmente, os TAREs já são disponibilizados no Portal da Transparência, mas pelo conteúdo patrimonial e privado de grande parte das informações neles constantes, são divulgadas apenas as informações que não expõem a situação econômica ou financeira do sujeito passivo ou de terceiros, nem revelam o estado de seus negócios ou atividades. O cuidado na veiculação de informações é essencial, pois a simples menção aos valores de determinados benefícios possibilita, por exemplo, a identificação do faturamento da empresa beneficiária em determinado período.</w:t>
      </w:r>
    </w:p>
    <w:p w14:paraId="36099687" w14:textId="77777777" w:rsidR="006356F1" w:rsidRDefault="006356F1" w:rsidP="006356F1">
      <w:pPr>
        <w:spacing w:line="360" w:lineRule="auto"/>
        <w:ind w:firstLine="851"/>
        <w:jc w:val="both"/>
        <w:rPr>
          <w:rFonts w:ascii="Arial" w:hAnsi="Arial" w:cs="Arial"/>
          <w:sz w:val="24"/>
          <w:szCs w:val="24"/>
        </w:rPr>
      </w:pPr>
    </w:p>
    <w:p w14:paraId="28E08000"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Ora, </w:t>
      </w:r>
      <w:r w:rsidRPr="00516F83">
        <w:rPr>
          <w:rFonts w:ascii="Arial" w:hAnsi="Arial" w:cs="Arial"/>
          <w:b/>
          <w:bCs/>
          <w:sz w:val="24"/>
          <w:szCs w:val="24"/>
        </w:rPr>
        <w:t>a própria Secretaria de Estado da Economia reconhece que são publicadas no Portal da Transparência do Estado de Goiás diversas informações referentes aos TARE’s</w:t>
      </w:r>
      <w:r>
        <w:rPr>
          <w:rFonts w:ascii="Arial" w:hAnsi="Arial" w:cs="Arial"/>
          <w:sz w:val="24"/>
          <w:szCs w:val="24"/>
        </w:rPr>
        <w:t xml:space="preserve">, inclusive aquelas que revelam os valores de benefícios concedidos. A afirmação de que a simples menção </w:t>
      </w:r>
      <w:r w:rsidRPr="009B603B">
        <w:rPr>
          <w:rFonts w:ascii="Arial" w:hAnsi="Arial" w:cs="Arial"/>
          <w:sz w:val="24"/>
          <w:szCs w:val="24"/>
        </w:rPr>
        <w:t>aos valores de determinados benefícios possibilita, por exemplo, a identificação do faturamento da empresa beneficiária em determinado período</w:t>
      </w:r>
      <w:r w:rsidRPr="00516F83">
        <w:rPr>
          <w:rFonts w:ascii="Arial" w:hAnsi="Arial" w:cs="Arial"/>
          <w:sz w:val="24"/>
          <w:szCs w:val="24"/>
        </w:rPr>
        <w:t xml:space="preserve"> </w:t>
      </w:r>
      <w:r>
        <w:rPr>
          <w:rFonts w:ascii="Arial" w:hAnsi="Arial" w:cs="Arial"/>
          <w:sz w:val="24"/>
          <w:szCs w:val="24"/>
        </w:rPr>
        <w:t>consiste em ilação demasiado vaga e genérica.</w:t>
      </w:r>
    </w:p>
    <w:p w14:paraId="479B5A5D" w14:textId="77777777" w:rsidR="006356F1" w:rsidRDefault="006356F1" w:rsidP="006356F1">
      <w:pPr>
        <w:spacing w:line="360" w:lineRule="auto"/>
        <w:ind w:firstLine="851"/>
        <w:jc w:val="both"/>
        <w:rPr>
          <w:rFonts w:ascii="Arial" w:hAnsi="Arial" w:cs="Arial"/>
          <w:sz w:val="24"/>
          <w:szCs w:val="24"/>
        </w:rPr>
      </w:pPr>
      <w:r w:rsidRPr="00516F83">
        <w:rPr>
          <w:rFonts w:ascii="Arial" w:hAnsi="Arial" w:cs="Arial"/>
          <w:b/>
          <w:bCs/>
          <w:sz w:val="24"/>
          <w:szCs w:val="24"/>
        </w:rPr>
        <w:t xml:space="preserve">Ainda que referida ilação fosse verdade, o que deve preponderar não é o interesse da empresa </w:t>
      </w:r>
      <w:r>
        <w:rPr>
          <w:rFonts w:ascii="Arial" w:hAnsi="Arial" w:cs="Arial"/>
          <w:b/>
          <w:bCs/>
          <w:sz w:val="24"/>
          <w:szCs w:val="24"/>
        </w:rPr>
        <w:t>em manter sob sigilo</w:t>
      </w:r>
      <w:r w:rsidRPr="00516F83">
        <w:rPr>
          <w:rFonts w:ascii="Arial" w:hAnsi="Arial" w:cs="Arial"/>
          <w:b/>
          <w:bCs/>
          <w:sz w:val="24"/>
          <w:szCs w:val="24"/>
        </w:rPr>
        <w:t xml:space="preserve"> seus negócios e atividades</w:t>
      </w:r>
      <w:r>
        <w:rPr>
          <w:rFonts w:ascii="Arial" w:hAnsi="Arial" w:cs="Arial"/>
          <w:sz w:val="24"/>
          <w:szCs w:val="24"/>
        </w:rPr>
        <w:t xml:space="preserve">, </w:t>
      </w:r>
      <w:r w:rsidRPr="00516F83">
        <w:rPr>
          <w:rFonts w:ascii="Arial" w:hAnsi="Arial" w:cs="Arial"/>
          <w:sz w:val="24"/>
          <w:szCs w:val="24"/>
          <w:u w:val="single"/>
        </w:rPr>
        <w:t>e sim o interesse público em conhecer exatamente quanto o Estado de Goiás está renunciando de receita para favorecer este ou aquele contribuinte, e sob quais condições</w:t>
      </w:r>
      <w:r>
        <w:rPr>
          <w:rFonts w:ascii="Arial" w:hAnsi="Arial" w:cs="Arial"/>
          <w:sz w:val="24"/>
          <w:szCs w:val="24"/>
        </w:rPr>
        <w:t>. A pessoa jurídica que firma TARE para fruir benefícios do Poder Público deve, no mínimo, estar disposta a divulgar as informações relativas ao benefício a ela concedido, e não buscar subterfúgios para permanecer na sombra do malfadado sigilo fiscal.</w:t>
      </w:r>
    </w:p>
    <w:p w14:paraId="2DE67DE0" w14:textId="77777777" w:rsidR="006356F1" w:rsidRDefault="006356F1" w:rsidP="006356F1">
      <w:pPr>
        <w:spacing w:line="360" w:lineRule="auto"/>
        <w:ind w:firstLine="851"/>
        <w:jc w:val="both"/>
        <w:rPr>
          <w:rFonts w:ascii="Arial" w:hAnsi="Arial" w:cs="Arial"/>
          <w:sz w:val="24"/>
          <w:szCs w:val="24"/>
        </w:rPr>
      </w:pPr>
      <w:r w:rsidRPr="003B3226">
        <w:rPr>
          <w:rFonts w:ascii="Arial" w:hAnsi="Arial" w:cs="Arial"/>
          <w:b/>
          <w:bCs/>
          <w:sz w:val="24"/>
          <w:szCs w:val="24"/>
        </w:rPr>
        <w:t>A divulgação do inteiro teor dos TARE’s possui apenas esse propósito, e não o de promover uma devassa na movimentação ou na situação financeira da empresa</w:t>
      </w:r>
      <w:r>
        <w:rPr>
          <w:rFonts w:ascii="Arial" w:hAnsi="Arial" w:cs="Arial"/>
          <w:sz w:val="24"/>
          <w:szCs w:val="24"/>
        </w:rPr>
        <w:t xml:space="preserve">, risco que nem de longe esta CPI detectou ao analisar as centenas de TARE’s que lhe foram encaminhados por força da requisição via Ofício nº 12/2019-CPI (item “c”). </w:t>
      </w:r>
    </w:p>
    <w:p w14:paraId="7E77B6EA"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lastRenderedPageBreak/>
        <w:t xml:space="preserve">Por fim, </w:t>
      </w:r>
      <w:r w:rsidRPr="004D7099">
        <w:rPr>
          <w:rFonts w:ascii="Arial" w:hAnsi="Arial" w:cs="Arial"/>
          <w:b/>
          <w:sz w:val="24"/>
          <w:szCs w:val="24"/>
        </w:rPr>
        <w:t xml:space="preserve">ressalte-se que o próprio Poder Judiciário já reconheceu ser de interesse </w:t>
      </w:r>
      <w:r w:rsidRPr="00234D48">
        <w:rPr>
          <w:rFonts w:ascii="Arial" w:hAnsi="Arial" w:cs="Arial"/>
          <w:b/>
          <w:sz w:val="24"/>
          <w:szCs w:val="24"/>
        </w:rPr>
        <w:t>público o conteúdo dos TARE’s</w:t>
      </w:r>
      <w:r>
        <w:rPr>
          <w:rFonts w:ascii="Arial" w:hAnsi="Arial" w:cs="Arial"/>
          <w:sz w:val="24"/>
          <w:szCs w:val="24"/>
        </w:rPr>
        <w:t xml:space="preserve"> firmados entre a então de Secretaria de Estado da Fazenda de Goiás e as pessoas jurídicas acordantes, conforme decisão judicial liminar, lavrada em 11/06/2013, em favor do Sindicato dos Funcionários do Fisco do Estado de Goiás – SINDIFISCO (processo nº 801/2013; nº </w:t>
      </w:r>
      <w:r w:rsidRPr="00D07E4E">
        <w:rPr>
          <w:rFonts w:ascii="Arial" w:hAnsi="Arial" w:cs="Arial"/>
          <w:bCs/>
          <w:sz w:val="24"/>
          <w:szCs w:val="24"/>
        </w:rPr>
        <w:t>0165662.80.2013.8.09.0051</w:t>
      </w:r>
      <w:r>
        <w:rPr>
          <w:rFonts w:ascii="Arial" w:hAnsi="Arial" w:cs="Arial"/>
          <w:bCs/>
          <w:sz w:val="24"/>
          <w:szCs w:val="24"/>
        </w:rPr>
        <w:t xml:space="preserve"> – PROJUDI</w:t>
      </w:r>
      <w:r w:rsidRPr="00D07E4E">
        <w:rPr>
          <w:rFonts w:ascii="Arial" w:hAnsi="Arial" w:cs="Arial"/>
          <w:bCs/>
          <w:sz w:val="24"/>
          <w:szCs w:val="24"/>
        </w:rPr>
        <w:t>)</w:t>
      </w:r>
      <w:r>
        <w:rPr>
          <w:rFonts w:ascii="Arial" w:hAnsi="Arial" w:cs="Arial"/>
          <w:sz w:val="24"/>
          <w:szCs w:val="24"/>
        </w:rPr>
        <w:t xml:space="preserve">, </w:t>
      </w:r>
      <w:r w:rsidRPr="00406D9B">
        <w:rPr>
          <w:rFonts w:ascii="Arial" w:hAnsi="Arial" w:cs="Arial"/>
          <w:i/>
          <w:sz w:val="24"/>
          <w:szCs w:val="24"/>
        </w:rPr>
        <w:t>in verbis</w:t>
      </w:r>
      <w:r>
        <w:rPr>
          <w:rFonts w:ascii="Arial" w:hAnsi="Arial" w:cs="Arial"/>
          <w:sz w:val="24"/>
          <w:szCs w:val="24"/>
        </w:rPr>
        <w:t>:</w:t>
      </w:r>
    </w:p>
    <w:p w14:paraId="51B12638" w14:textId="77777777" w:rsidR="006356F1" w:rsidRDefault="006356F1" w:rsidP="006356F1">
      <w:pPr>
        <w:spacing w:line="360" w:lineRule="auto"/>
        <w:ind w:firstLine="851"/>
        <w:jc w:val="both"/>
        <w:rPr>
          <w:rFonts w:ascii="Arial" w:hAnsi="Arial" w:cs="Arial"/>
          <w:sz w:val="24"/>
          <w:szCs w:val="24"/>
        </w:rPr>
      </w:pPr>
    </w:p>
    <w:p w14:paraId="14140BE3" w14:textId="77777777" w:rsidR="006356F1" w:rsidRDefault="006356F1" w:rsidP="006356F1">
      <w:pPr>
        <w:ind w:left="2268"/>
        <w:jc w:val="both"/>
        <w:rPr>
          <w:rFonts w:ascii="Arial" w:hAnsi="Arial" w:cs="Arial"/>
          <w:sz w:val="22"/>
          <w:szCs w:val="22"/>
          <w:lang w:bidi="pt-PT"/>
        </w:rPr>
      </w:pPr>
      <w:r w:rsidRPr="00CA37DA">
        <w:rPr>
          <w:rFonts w:ascii="Arial" w:hAnsi="Arial" w:cs="Arial"/>
          <w:sz w:val="22"/>
          <w:szCs w:val="22"/>
          <w:lang w:bidi="pt-PT"/>
        </w:rPr>
        <w:t>Sindicato dos Funcionários do Fisco do Estado de Goiás, devidamente qualificado à f. 02, ajuizou Ação Cautelar de Exibição de Documentos, com pedido liminar, em face do Estado de Goiás.</w:t>
      </w:r>
    </w:p>
    <w:p w14:paraId="6018B943" w14:textId="77777777" w:rsidR="006356F1" w:rsidRPr="00CA37DA" w:rsidRDefault="006356F1" w:rsidP="006356F1">
      <w:pPr>
        <w:ind w:left="2268"/>
        <w:jc w:val="both"/>
        <w:rPr>
          <w:rFonts w:ascii="Arial" w:hAnsi="Arial" w:cs="Arial"/>
          <w:sz w:val="22"/>
          <w:szCs w:val="22"/>
          <w:lang w:bidi="pt-PT"/>
        </w:rPr>
      </w:pPr>
    </w:p>
    <w:p w14:paraId="2F882937" w14:textId="77777777" w:rsidR="006356F1" w:rsidRDefault="006356F1" w:rsidP="006356F1">
      <w:pPr>
        <w:ind w:left="2268"/>
        <w:jc w:val="both"/>
        <w:rPr>
          <w:rFonts w:ascii="Arial" w:hAnsi="Arial" w:cs="Arial"/>
          <w:sz w:val="22"/>
          <w:szCs w:val="22"/>
          <w:lang w:bidi="pt-PT"/>
        </w:rPr>
      </w:pPr>
      <w:r w:rsidRPr="00CA37DA">
        <w:rPr>
          <w:rFonts w:ascii="Arial" w:hAnsi="Arial" w:cs="Arial"/>
          <w:sz w:val="22"/>
          <w:szCs w:val="22"/>
          <w:lang w:bidi="pt-PT"/>
        </w:rPr>
        <w:t>Em síntese, aduziu o Requerente encontrar-se regularmente constituído, sendo autorizado a promover a defesa e representação legal de toda a categoria fiscal, por força do artigo 8º da Magna Carta.</w:t>
      </w:r>
    </w:p>
    <w:p w14:paraId="15A1EFB6" w14:textId="77777777" w:rsidR="006356F1" w:rsidRPr="00CA37DA" w:rsidRDefault="006356F1" w:rsidP="006356F1">
      <w:pPr>
        <w:ind w:left="2268"/>
        <w:jc w:val="both"/>
        <w:rPr>
          <w:rFonts w:ascii="Arial" w:hAnsi="Arial" w:cs="Arial"/>
          <w:sz w:val="22"/>
          <w:szCs w:val="22"/>
          <w:lang w:bidi="pt-PT"/>
        </w:rPr>
      </w:pPr>
    </w:p>
    <w:p w14:paraId="0075CC99" w14:textId="77777777" w:rsidR="006356F1" w:rsidRPr="00CA37DA" w:rsidRDefault="006356F1" w:rsidP="006356F1">
      <w:pPr>
        <w:ind w:left="2268"/>
        <w:jc w:val="both"/>
        <w:rPr>
          <w:rFonts w:ascii="Arial" w:hAnsi="Arial" w:cs="Arial"/>
          <w:sz w:val="22"/>
          <w:szCs w:val="22"/>
          <w:lang w:val="pt-PT" w:bidi="pt-PT"/>
        </w:rPr>
      </w:pPr>
      <w:r w:rsidRPr="00CA37DA">
        <w:rPr>
          <w:rFonts w:ascii="Arial" w:hAnsi="Arial" w:cs="Arial"/>
          <w:sz w:val="22"/>
          <w:szCs w:val="22"/>
          <w:lang w:bidi="pt-PT"/>
        </w:rPr>
        <w:t xml:space="preserve">Assevera que dentre suas finalidades estatutárias, encontra-se a defesa dos direitos e interesses profissionais, coletivos e individuais da mencionada categoria, inclusive, os relativos às questões sócio-econômicas e políticas, em juízo ou fora dele </w:t>
      </w:r>
      <w:r w:rsidRPr="00CA37DA">
        <w:rPr>
          <w:rFonts w:ascii="Arial" w:hAnsi="Arial" w:cs="Arial"/>
          <w:sz w:val="22"/>
          <w:szCs w:val="22"/>
          <w:lang w:val="pt-PT" w:bidi="pt-PT"/>
        </w:rPr>
        <w:t>Informa, que por intermédio de seus associados, fora-lha noticiada a celebração de Termos de Acordo de Regime Especial — TARE - entre a Secretaria da Fazenda do Estado de Goiás e as empresas: CAOA Montadora de Veículos S/A, CNPJ 03.471.344/001-77, Produtos Roche Químicos e Farmacêuticos S/A, CNPJ 33.009.945/0002-04, MMC Automotores do Brasil Ltda, CNPJ ’s 54.305.745/0011-70 e 54.305.743/0029-08, Meizler UCB Biofarma S/A</w:t>
      </w:r>
    </w:p>
    <w:p w14:paraId="4236B4E4" w14:textId="77777777" w:rsidR="006356F1" w:rsidRDefault="006356F1" w:rsidP="006356F1">
      <w:pPr>
        <w:ind w:left="2268"/>
        <w:jc w:val="both"/>
        <w:rPr>
          <w:rFonts w:ascii="Arial" w:hAnsi="Arial" w:cs="Arial"/>
          <w:sz w:val="22"/>
          <w:szCs w:val="22"/>
          <w:lang w:val="pt-PT" w:bidi="pt-PT"/>
        </w:rPr>
      </w:pPr>
      <w:r w:rsidRPr="00CA37DA">
        <w:rPr>
          <w:rFonts w:ascii="Arial" w:hAnsi="Arial" w:cs="Arial"/>
          <w:sz w:val="22"/>
          <w:szCs w:val="22"/>
          <w:lang w:val="pt-PT" w:bidi="pt-PT"/>
        </w:rPr>
        <w:t>CNPJ 64.711.500/0002-03 e Schering-Plough Indústria Farmacêutica Ltda CNPJ 03.560.974/0009-75).</w:t>
      </w:r>
    </w:p>
    <w:p w14:paraId="47C66838" w14:textId="77777777" w:rsidR="006356F1" w:rsidRPr="00CA37DA" w:rsidRDefault="006356F1" w:rsidP="006356F1">
      <w:pPr>
        <w:ind w:left="2268"/>
        <w:jc w:val="both"/>
        <w:rPr>
          <w:rFonts w:ascii="Arial" w:hAnsi="Arial" w:cs="Arial"/>
          <w:sz w:val="22"/>
          <w:szCs w:val="22"/>
          <w:lang w:val="pt-PT" w:bidi="pt-PT"/>
        </w:rPr>
      </w:pPr>
    </w:p>
    <w:p w14:paraId="21990609" w14:textId="77777777" w:rsidR="006356F1" w:rsidRDefault="006356F1" w:rsidP="006356F1">
      <w:pPr>
        <w:ind w:left="2268"/>
        <w:jc w:val="both"/>
        <w:rPr>
          <w:rFonts w:ascii="Arial" w:hAnsi="Arial" w:cs="Arial"/>
          <w:sz w:val="22"/>
          <w:szCs w:val="22"/>
          <w:lang w:val="pt-PT" w:bidi="pt-PT"/>
        </w:rPr>
      </w:pPr>
      <w:r w:rsidRPr="00CA37DA">
        <w:rPr>
          <w:rFonts w:ascii="Arial" w:hAnsi="Arial" w:cs="Arial"/>
          <w:sz w:val="22"/>
          <w:szCs w:val="22"/>
          <w:lang w:val="pt-PT" w:bidi="pt-PT"/>
        </w:rPr>
        <w:t>Afirma que em 27 de fevereiro do ano em curso protocolou junto à Secretaria da Fazenda do Estado de Goiás o Ofício-Presidência de n° 020/2013, postulando cópias dos aludidos TARE’s.</w:t>
      </w:r>
    </w:p>
    <w:p w14:paraId="06894B02" w14:textId="77777777" w:rsidR="006356F1" w:rsidRPr="00CA37DA" w:rsidRDefault="006356F1" w:rsidP="006356F1">
      <w:pPr>
        <w:ind w:left="2268"/>
        <w:jc w:val="both"/>
        <w:rPr>
          <w:rFonts w:ascii="Arial" w:hAnsi="Arial" w:cs="Arial"/>
          <w:sz w:val="22"/>
          <w:szCs w:val="22"/>
          <w:lang w:val="pt-PT" w:bidi="pt-PT"/>
        </w:rPr>
      </w:pPr>
    </w:p>
    <w:p w14:paraId="5C0F46FE" w14:textId="77777777" w:rsidR="006356F1" w:rsidRDefault="006356F1" w:rsidP="006356F1">
      <w:pPr>
        <w:ind w:left="2268"/>
        <w:jc w:val="both"/>
        <w:rPr>
          <w:rFonts w:ascii="Arial" w:hAnsi="Arial" w:cs="Arial"/>
          <w:sz w:val="22"/>
          <w:szCs w:val="22"/>
          <w:lang w:val="pt-PT" w:bidi="pt-PT"/>
        </w:rPr>
      </w:pPr>
      <w:r w:rsidRPr="00CA37DA">
        <w:rPr>
          <w:rFonts w:ascii="Arial" w:hAnsi="Arial" w:cs="Arial"/>
          <w:sz w:val="22"/>
          <w:szCs w:val="22"/>
          <w:lang w:val="pt-PT" w:bidi="pt-PT"/>
        </w:rPr>
        <w:t>Salienta que não obstante a fruição de mais de dois meses, o representante da Pasta não respondeu ao pleito, limitando-se a fazer declarações verbais consistentes em negá-lo.</w:t>
      </w:r>
    </w:p>
    <w:p w14:paraId="5123721D" w14:textId="77777777" w:rsidR="006356F1" w:rsidRPr="00CA37DA" w:rsidRDefault="006356F1" w:rsidP="006356F1">
      <w:pPr>
        <w:ind w:left="2268"/>
        <w:jc w:val="both"/>
        <w:rPr>
          <w:rFonts w:ascii="Arial" w:hAnsi="Arial" w:cs="Arial"/>
          <w:sz w:val="22"/>
          <w:szCs w:val="22"/>
          <w:lang w:val="pt-PT" w:bidi="pt-PT"/>
        </w:rPr>
      </w:pPr>
    </w:p>
    <w:p w14:paraId="57DD9554" w14:textId="77777777" w:rsidR="006356F1" w:rsidRDefault="006356F1" w:rsidP="006356F1">
      <w:pPr>
        <w:ind w:left="2268"/>
        <w:jc w:val="both"/>
        <w:rPr>
          <w:rFonts w:ascii="Arial" w:hAnsi="Arial" w:cs="Arial"/>
          <w:sz w:val="22"/>
          <w:szCs w:val="22"/>
          <w:lang w:val="pt-PT" w:bidi="pt-PT"/>
        </w:rPr>
      </w:pPr>
      <w:r w:rsidRPr="00CA37DA">
        <w:rPr>
          <w:rFonts w:ascii="Arial" w:hAnsi="Arial" w:cs="Arial"/>
          <w:sz w:val="22"/>
          <w:szCs w:val="22"/>
          <w:lang w:val="pt-PT" w:bidi="pt-PT"/>
        </w:rPr>
        <w:t>Pondera que tais documentos são públicos e que devem estar à disposição da sociedade para conhecimento e controle.</w:t>
      </w:r>
    </w:p>
    <w:p w14:paraId="6AB6ACB4" w14:textId="77777777" w:rsidR="006356F1" w:rsidRPr="00CA37DA" w:rsidRDefault="006356F1" w:rsidP="006356F1">
      <w:pPr>
        <w:ind w:left="2268"/>
        <w:jc w:val="both"/>
        <w:rPr>
          <w:rFonts w:ascii="Arial" w:hAnsi="Arial" w:cs="Arial"/>
          <w:sz w:val="22"/>
          <w:szCs w:val="22"/>
          <w:lang w:val="pt-PT" w:bidi="pt-PT"/>
        </w:rPr>
      </w:pPr>
    </w:p>
    <w:p w14:paraId="7D0C5286" w14:textId="77777777" w:rsidR="006356F1" w:rsidRDefault="006356F1" w:rsidP="006356F1">
      <w:pPr>
        <w:ind w:left="2268"/>
        <w:jc w:val="both"/>
        <w:rPr>
          <w:rFonts w:ascii="Arial" w:hAnsi="Arial" w:cs="Arial"/>
          <w:sz w:val="22"/>
          <w:szCs w:val="22"/>
          <w:lang w:val="pt-PT" w:bidi="pt-PT"/>
        </w:rPr>
      </w:pPr>
      <w:r w:rsidRPr="00CA37DA">
        <w:rPr>
          <w:rFonts w:ascii="Arial" w:hAnsi="Arial" w:cs="Arial"/>
          <w:sz w:val="22"/>
          <w:szCs w:val="22"/>
          <w:lang w:val="pt-PT" w:bidi="pt-PT"/>
        </w:rPr>
        <w:t>Ao final, pugna pela concessão de medida liminar ensejadora da exibição dos documentos listados.</w:t>
      </w:r>
    </w:p>
    <w:p w14:paraId="5CC6D66A" w14:textId="77777777" w:rsidR="006356F1" w:rsidRPr="00CA37DA" w:rsidRDefault="006356F1" w:rsidP="006356F1">
      <w:pPr>
        <w:ind w:left="2268"/>
        <w:jc w:val="both"/>
        <w:rPr>
          <w:rFonts w:ascii="Arial" w:hAnsi="Arial" w:cs="Arial"/>
          <w:sz w:val="22"/>
          <w:szCs w:val="22"/>
          <w:lang w:val="pt-PT" w:bidi="pt-PT"/>
        </w:rPr>
      </w:pPr>
    </w:p>
    <w:p w14:paraId="531C8489" w14:textId="77777777" w:rsidR="006356F1" w:rsidRDefault="006356F1" w:rsidP="006356F1">
      <w:pPr>
        <w:ind w:left="2268"/>
        <w:jc w:val="both"/>
        <w:rPr>
          <w:rFonts w:ascii="Arial" w:hAnsi="Arial" w:cs="Arial"/>
          <w:sz w:val="22"/>
          <w:szCs w:val="22"/>
          <w:lang w:val="pt-PT" w:bidi="pt-PT"/>
        </w:rPr>
      </w:pPr>
      <w:r w:rsidRPr="00CA37DA">
        <w:rPr>
          <w:rFonts w:ascii="Arial" w:hAnsi="Arial" w:cs="Arial"/>
          <w:sz w:val="22"/>
          <w:szCs w:val="22"/>
          <w:lang w:val="pt-PT" w:bidi="pt-PT"/>
        </w:rPr>
        <w:t>A inicial foi instruída pelos documentos de f. 08/32.</w:t>
      </w:r>
    </w:p>
    <w:p w14:paraId="0815686B" w14:textId="77777777" w:rsidR="006356F1" w:rsidRPr="00CA37DA" w:rsidRDefault="006356F1" w:rsidP="006356F1">
      <w:pPr>
        <w:ind w:left="2268"/>
        <w:jc w:val="both"/>
        <w:rPr>
          <w:rFonts w:ascii="Arial" w:hAnsi="Arial" w:cs="Arial"/>
          <w:sz w:val="22"/>
          <w:szCs w:val="22"/>
          <w:lang w:val="pt-PT" w:bidi="pt-PT"/>
        </w:rPr>
      </w:pPr>
    </w:p>
    <w:p w14:paraId="385392E2" w14:textId="77777777" w:rsidR="006356F1" w:rsidRDefault="006356F1" w:rsidP="006356F1">
      <w:pPr>
        <w:ind w:left="2268"/>
        <w:jc w:val="both"/>
        <w:rPr>
          <w:rFonts w:ascii="Arial" w:hAnsi="Arial" w:cs="Arial"/>
          <w:sz w:val="22"/>
          <w:szCs w:val="22"/>
          <w:lang w:val="pt-PT" w:bidi="pt-PT"/>
        </w:rPr>
      </w:pPr>
      <w:r w:rsidRPr="00CA37DA">
        <w:rPr>
          <w:rFonts w:ascii="Arial" w:hAnsi="Arial" w:cs="Arial"/>
          <w:b/>
          <w:sz w:val="22"/>
          <w:szCs w:val="22"/>
          <w:lang w:val="pt-PT" w:bidi="pt-PT"/>
        </w:rPr>
        <w:t>É o relatório</w:t>
      </w:r>
      <w:r w:rsidRPr="00CA37DA">
        <w:rPr>
          <w:rFonts w:ascii="Arial" w:hAnsi="Arial" w:cs="Arial"/>
          <w:sz w:val="22"/>
          <w:szCs w:val="22"/>
          <w:lang w:val="pt-PT" w:bidi="pt-PT"/>
        </w:rPr>
        <w:t>.</w:t>
      </w:r>
    </w:p>
    <w:p w14:paraId="7936C2E9" w14:textId="77777777" w:rsidR="006356F1" w:rsidRPr="00CA37DA" w:rsidRDefault="006356F1" w:rsidP="006356F1">
      <w:pPr>
        <w:ind w:left="2268"/>
        <w:jc w:val="both"/>
        <w:rPr>
          <w:rFonts w:ascii="Arial" w:hAnsi="Arial" w:cs="Arial"/>
          <w:sz w:val="22"/>
          <w:szCs w:val="22"/>
          <w:lang w:val="pt-PT" w:bidi="pt-PT"/>
        </w:rPr>
      </w:pPr>
    </w:p>
    <w:p w14:paraId="44E06A8B" w14:textId="77777777" w:rsidR="006356F1" w:rsidRDefault="006356F1" w:rsidP="006356F1">
      <w:pPr>
        <w:ind w:left="2268"/>
        <w:jc w:val="both"/>
        <w:rPr>
          <w:rFonts w:ascii="Arial" w:hAnsi="Arial" w:cs="Arial"/>
          <w:sz w:val="22"/>
          <w:szCs w:val="22"/>
          <w:lang w:val="pt-PT" w:bidi="pt-PT"/>
        </w:rPr>
      </w:pPr>
      <w:r w:rsidRPr="00CA37DA">
        <w:rPr>
          <w:rFonts w:ascii="Arial" w:hAnsi="Arial" w:cs="Arial"/>
          <w:b/>
          <w:sz w:val="22"/>
          <w:szCs w:val="22"/>
          <w:lang w:val="pt-PT" w:bidi="pt-PT"/>
        </w:rPr>
        <w:t>Decido</w:t>
      </w:r>
      <w:r w:rsidRPr="00CA37DA">
        <w:rPr>
          <w:rFonts w:ascii="Arial" w:hAnsi="Arial" w:cs="Arial"/>
          <w:sz w:val="22"/>
          <w:szCs w:val="22"/>
          <w:lang w:val="pt-PT" w:bidi="pt-PT"/>
        </w:rPr>
        <w:t>.</w:t>
      </w:r>
    </w:p>
    <w:p w14:paraId="706420BF" w14:textId="77777777" w:rsidR="006356F1" w:rsidRPr="00CA37DA" w:rsidRDefault="006356F1" w:rsidP="006356F1">
      <w:pPr>
        <w:ind w:left="2268"/>
        <w:jc w:val="both"/>
        <w:rPr>
          <w:rFonts w:ascii="Arial" w:hAnsi="Arial" w:cs="Arial"/>
          <w:sz w:val="22"/>
          <w:szCs w:val="22"/>
          <w:lang w:val="pt-PT" w:bidi="pt-PT"/>
        </w:rPr>
      </w:pPr>
    </w:p>
    <w:p w14:paraId="4C493FD0" w14:textId="77777777" w:rsidR="006356F1" w:rsidRDefault="006356F1" w:rsidP="006356F1">
      <w:pPr>
        <w:ind w:left="2268"/>
        <w:jc w:val="both"/>
        <w:rPr>
          <w:rFonts w:ascii="Arial" w:hAnsi="Arial" w:cs="Arial"/>
          <w:sz w:val="22"/>
          <w:szCs w:val="22"/>
          <w:lang w:bidi="pt-PT"/>
        </w:rPr>
      </w:pPr>
      <w:r w:rsidRPr="00CA37DA">
        <w:rPr>
          <w:rFonts w:ascii="Arial" w:hAnsi="Arial" w:cs="Arial"/>
          <w:sz w:val="22"/>
          <w:szCs w:val="22"/>
          <w:lang w:bidi="pt-PT"/>
        </w:rPr>
        <w:lastRenderedPageBreak/>
        <w:t>É cediço que para concessão de medida de urgência, de caráter liminar, imperiosa a presença concomitante da fumaça do bom direito e do perigo da demora.</w:t>
      </w:r>
    </w:p>
    <w:p w14:paraId="3121F54A" w14:textId="77777777" w:rsidR="006356F1" w:rsidRPr="00CA37DA" w:rsidRDefault="006356F1" w:rsidP="006356F1">
      <w:pPr>
        <w:ind w:left="2268"/>
        <w:jc w:val="both"/>
        <w:rPr>
          <w:rFonts w:ascii="Arial" w:hAnsi="Arial" w:cs="Arial"/>
          <w:sz w:val="22"/>
          <w:szCs w:val="22"/>
          <w:lang w:bidi="pt-PT"/>
        </w:rPr>
      </w:pPr>
    </w:p>
    <w:p w14:paraId="7ECBF2D8" w14:textId="77777777" w:rsidR="006356F1" w:rsidRDefault="006356F1" w:rsidP="006356F1">
      <w:pPr>
        <w:ind w:left="2268"/>
        <w:jc w:val="both"/>
        <w:rPr>
          <w:rFonts w:ascii="Arial" w:hAnsi="Arial" w:cs="Arial"/>
          <w:sz w:val="22"/>
          <w:szCs w:val="22"/>
          <w:lang w:val="pt-PT" w:bidi="pt-PT"/>
        </w:rPr>
      </w:pPr>
      <w:r w:rsidRPr="00CA37DA">
        <w:rPr>
          <w:rFonts w:ascii="Arial" w:hAnsi="Arial" w:cs="Arial"/>
          <w:sz w:val="22"/>
          <w:szCs w:val="22"/>
          <w:lang w:val="pt-PT" w:bidi="pt-PT"/>
        </w:rPr>
        <w:t xml:space="preserve">O primeiro requisito refere-se à plausibilidade do direito invocado, ou seja, à presença da aparência do bom direito. Já o perigo da demora subsidia-se no fato de que, ante a urgência que reveste a questão, a parte não poderá aguardar a entrega definitiva da prestação jurisdiconal, sob pena de torna-se inócua a ordem judicial proferida.  </w:t>
      </w:r>
    </w:p>
    <w:p w14:paraId="713035F0" w14:textId="77777777" w:rsidR="006356F1" w:rsidRPr="00CA37DA" w:rsidRDefault="006356F1" w:rsidP="006356F1">
      <w:pPr>
        <w:ind w:left="2268"/>
        <w:jc w:val="both"/>
        <w:rPr>
          <w:rFonts w:ascii="Arial" w:hAnsi="Arial" w:cs="Arial"/>
          <w:sz w:val="22"/>
          <w:szCs w:val="22"/>
          <w:lang w:val="pt-PT" w:bidi="pt-PT"/>
        </w:rPr>
      </w:pPr>
    </w:p>
    <w:p w14:paraId="61922090" w14:textId="77777777" w:rsidR="006356F1" w:rsidRDefault="006356F1" w:rsidP="006356F1">
      <w:pPr>
        <w:ind w:left="2268"/>
        <w:jc w:val="both"/>
        <w:rPr>
          <w:rFonts w:ascii="Arial" w:hAnsi="Arial" w:cs="Arial"/>
          <w:sz w:val="22"/>
          <w:szCs w:val="22"/>
          <w:lang w:val="pt-PT" w:bidi="pt-PT"/>
        </w:rPr>
      </w:pPr>
      <w:r w:rsidRPr="00CA37DA">
        <w:rPr>
          <w:rFonts w:ascii="Arial" w:hAnsi="Arial" w:cs="Arial"/>
          <w:i/>
          <w:sz w:val="22"/>
          <w:szCs w:val="22"/>
          <w:lang w:val="pt-PT" w:bidi="pt-PT"/>
        </w:rPr>
        <w:t xml:space="preserve">In casu, </w:t>
      </w:r>
      <w:r w:rsidRPr="00CA37DA">
        <w:rPr>
          <w:rFonts w:ascii="Arial" w:hAnsi="Arial" w:cs="Arial"/>
          <w:sz w:val="22"/>
          <w:szCs w:val="22"/>
          <w:lang w:val="pt-PT" w:bidi="pt-PT"/>
        </w:rPr>
        <w:t xml:space="preserve">após uma análise não exauriente dos autos, própria da fase processual em que se encontram, vislumbro presentes ambos os requisitos. A fumaça do bom direiro encontra fundamento no princípio da publicidade dos atos da Administraçãp Pública, encartado no </w:t>
      </w:r>
      <w:r w:rsidRPr="00CA37DA">
        <w:rPr>
          <w:rFonts w:ascii="Arial" w:hAnsi="Arial" w:cs="Arial"/>
          <w:i/>
          <w:sz w:val="22"/>
          <w:szCs w:val="22"/>
          <w:lang w:val="pt-PT" w:bidi="pt-PT"/>
        </w:rPr>
        <w:t>captu</w:t>
      </w:r>
      <w:r w:rsidRPr="00CA37DA">
        <w:rPr>
          <w:rFonts w:ascii="Arial" w:hAnsi="Arial" w:cs="Arial"/>
          <w:sz w:val="22"/>
          <w:szCs w:val="22"/>
          <w:lang w:val="pt-PT" w:bidi="pt-PT"/>
        </w:rPr>
        <w:t xml:space="preserve"> do artigo 37 da Carta Constitucional de 1988, o qual, na hipótese dos autos, restou violado, ante a inércia da Secretaria de Estado da Fazenda em apresentar os documentos postulados. </w:t>
      </w:r>
    </w:p>
    <w:p w14:paraId="3DF80F33" w14:textId="77777777" w:rsidR="006356F1" w:rsidRPr="00CA37DA" w:rsidRDefault="006356F1" w:rsidP="006356F1">
      <w:pPr>
        <w:ind w:left="2268"/>
        <w:jc w:val="both"/>
        <w:rPr>
          <w:rFonts w:ascii="Arial" w:hAnsi="Arial" w:cs="Arial"/>
          <w:sz w:val="22"/>
          <w:szCs w:val="22"/>
          <w:lang w:val="pt-PT" w:bidi="pt-PT"/>
        </w:rPr>
      </w:pPr>
    </w:p>
    <w:p w14:paraId="706BFE07" w14:textId="77777777" w:rsidR="006356F1" w:rsidRDefault="006356F1" w:rsidP="006356F1">
      <w:pPr>
        <w:ind w:left="2268"/>
        <w:jc w:val="both"/>
        <w:rPr>
          <w:rFonts w:ascii="Arial" w:hAnsi="Arial" w:cs="Arial"/>
          <w:sz w:val="22"/>
          <w:szCs w:val="22"/>
          <w:lang w:val="pt-PT" w:bidi="pt-PT"/>
        </w:rPr>
      </w:pPr>
      <w:r w:rsidRPr="00CA37DA">
        <w:rPr>
          <w:rFonts w:ascii="Arial" w:hAnsi="Arial" w:cs="Arial"/>
          <w:sz w:val="22"/>
          <w:szCs w:val="22"/>
          <w:lang w:val="pt-PT" w:bidi="pt-PT"/>
        </w:rPr>
        <w:t xml:space="preserve">Nesse sentido, o entendimento jurisprudenial: </w:t>
      </w:r>
    </w:p>
    <w:p w14:paraId="79FD3EF6" w14:textId="77777777" w:rsidR="006356F1" w:rsidRPr="00CA37DA" w:rsidRDefault="006356F1" w:rsidP="006356F1">
      <w:pPr>
        <w:ind w:left="2268"/>
        <w:jc w:val="both"/>
        <w:rPr>
          <w:rFonts w:ascii="Arial" w:hAnsi="Arial" w:cs="Arial"/>
          <w:sz w:val="22"/>
          <w:szCs w:val="22"/>
          <w:lang w:val="pt-PT" w:bidi="pt-PT"/>
        </w:rPr>
      </w:pPr>
    </w:p>
    <w:p w14:paraId="03655D48" w14:textId="77777777" w:rsidR="006356F1" w:rsidRPr="00473BCB" w:rsidRDefault="006356F1" w:rsidP="006356F1">
      <w:pPr>
        <w:ind w:left="2552"/>
        <w:jc w:val="both"/>
        <w:rPr>
          <w:rFonts w:ascii="Arial" w:hAnsi="Arial" w:cs="Arial"/>
          <w:sz w:val="20"/>
          <w:lang w:val="pt-PT" w:bidi="pt-PT"/>
        </w:rPr>
      </w:pPr>
      <w:r w:rsidRPr="00473BCB">
        <w:rPr>
          <w:rFonts w:ascii="Arial" w:hAnsi="Arial" w:cs="Arial"/>
          <w:sz w:val="20"/>
          <w:lang w:val="pt-PT" w:bidi="pt-PT"/>
        </w:rPr>
        <w:t>AÇÃO CAUTELAR DE EXIBIÇÃO DE DOCUMENTOS PÚBLICOS – Princípio da publicidade – Direito à obtenção de cópia de documentos públicos para defesa de direito pessoal ou coletivo – Recursos oficial e voluntário não providos, (TJSP – 3ª Câmara de Direito Público – Relator Magalhães Coelho Apelação Cível  8811320108260588 SP Julgamento em 08/02/2011).</w:t>
      </w:r>
    </w:p>
    <w:p w14:paraId="62B834A6" w14:textId="77777777" w:rsidR="006356F1" w:rsidRDefault="006356F1" w:rsidP="006356F1">
      <w:pPr>
        <w:ind w:left="2268"/>
        <w:jc w:val="both"/>
        <w:rPr>
          <w:rFonts w:ascii="Arial" w:hAnsi="Arial" w:cs="Arial"/>
          <w:sz w:val="22"/>
          <w:szCs w:val="22"/>
          <w:lang w:val="pt-PT" w:bidi="pt-PT"/>
        </w:rPr>
      </w:pPr>
    </w:p>
    <w:p w14:paraId="4FC8A590" w14:textId="77777777" w:rsidR="006356F1" w:rsidRDefault="006356F1" w:rsidP="006356F1">
      <w:pPr>
        <w:ind w:left="2268"/>
        <w:jc w:val="both"/>
        <w:rPr>
          <w:rFonts w:ascii="Arial" w:hAnsi="Arial" w:cs="Arial"/>
          <w:sz w:val="22"/>
          <w:szCs w:val="22"/>
          <w:lang w:val="pt-PT" w:bidi="pt-PT"/>
        </w:rPr>
      </w:pPr>
      <w:r w:rsidRPr="00CA37DA">
        <w:rPr>
          <w:rFonts w:ascii="Arial" w:hAnsi="Arial" w:cs="Arial"/>
          <w:sz w:val="22"/>
          <w:szCs w:val="22"/>
          <w:lang w:val="pt-PT" w:bidi="pt-PT"/>
        </w:rPr>
        <w:t xml:space="preserve">Quanto ao perigo de demora, de igual forma, resta ecidenciado, porquanto mais de dois meses já se passram desde o pedido administrativo de apresentação das cópias dos TARE´S. </w:t>
      </w:r>
    </w:p>
    <w:p w14:paraId="5F84564F" w14:textId="77777777" w:rsidR="006356F1" w:rsidRPr="00CA37DA" w:rsidRDefault="006356F1" w:rsidP="006356F1">
      <w:pPr>
        <w:ind w:left="2268"/>
        <w:jc w:val="both"/>
        <w:rPr>
          <w:rFonts w:ascii="Arial" w:hAnsi="Arial" w:cs="Arial"/>
          <w:sz w:val="22"/>
          <w:szCs w:val="22"/>
          <w:lang w:val="pt-PT" w:bidi="pt-PT"/>
        </w:rPr>
      </w:pPr>
    </w:p>
    <w:p w14:paraId="72EFFC19" w14:textId="77777777" w:rsidR="006356F1" w:rsidRDefault="006356F1" w:rsidP="006356F1">
      <w:pPr>
        <w:ind w:left="2268"/>
        <w:jc w:val="both"/>
        <w:rPr>
          <w:rFonts w:ascii="Arial" w:hAnsi="Arial" w:cs="Arial"/>
          <w:sz w:val="22"/>
          <w:szCs w:val="22"/>
          <w:lang w:val="pt-PT" w:bidi="pt-PT"/>
        </w:rPr>
      </w:pPr>
      <w:r w:rsidRPr="00CA37DA">
        <w:rPr>
          <w:rFonts w:ascii="Arial" w:hAnsi="Arial" w:cs="Arial"/>
          <w:sz w:val="22"/>
          <w:szCs w:val="22"/>
          <w:lang w:val="pt-PT" w:bidi="pt-PT"/>
        </w:rPr>
        <w:t xml:space="preserve">Posto isso, </w:t>
      </w:r>
      <w:r w:rsidRPr="00CA37DA">
        <w:rPr>
          <w:rFonts w:ascii="Arial" w:hAnsi="Arial" w:cs="Arial"/>
          <w:b/>
          <w:sz w:val="22"/>
          <w:szCs w:val="22"/>
          <w:lang w:val="pt-PT" w:bidi="pt-PT"/>
        </w:rPr>
        <w:t>DEFIRO</w:t>
      </w:r>
      <w:r w:rsidRPr="00CA37DA">
        <w:rPr>
          <w:rFonts w:ascii="Arial" w:hAnsi="Arial" w:cs="Arial"/>
          <w:sz w:val="22"/>
          <w:szCs w:val="22"/>
          <w:lang w:val="pt-PT" w:bidi="pt-PT"/>
        </w:rPr>
        <w:t xml:space="preserve"> a liminar pleiteada, determinando ao requerido a apresentação dos TARE's firmados com as seguintes empresas: CAOA Montadora de Veículos S/A, CNPJ 03.471.344/001-77, Produtos Roche Químicos e Farmacêuticos S/A, CNPJ 33.009.945/0002-04, MMC Automotores do Brasil Ltda, CNPJ 's 54.305.745/0011-70 e 54.305.743/0029-08, Meizler UCB Biofarma S/A CNPJ 64.711.500/0002-03 e Schering-Plough Indústria Farmacêutica Ltda CNPJ 03.560.974/0009-75. </w:t>
      </w:r>
    </w:p>
    <w:p w14:paraId="7BA73E65" w14:textId="77777777" w:rsidR="006356F1" w:rsidRPr="00CA37DA" w:rsidRDefault="006356F1" w:rsidP="006356F1">
      <w:pPr>
        <w:ind w:left="2268"/>
        <w:jc w:val="both"/>
        <w:rPr>
          <w:rFonts w:ascii="Arial" w:hAnsi="Arial" w:cs="Arial"/>
          <w:sz w:val="22"/>
          <w:szCs w:val="22"/>
          <w:lang w:val="pt-PT" w:bidi="pt-PT"/>
        </w:rPr>
      </w:pPr>
    </w:p>
    <w:p w14:paraId="5A119782" w14:textId="77777777" w:rsidR="006356F1" w:rsidRPr="00CA37DA" w:rsidRDefault="006356F1" w:rsidP="006356F1">
      <w:pPr>
        <w:ind w:left="2268"/>
        <w:jc w:val="both"/>
        <w:rPr>
          <w:rFonts w:ascii="Arial" w:hAnsi="Arial" w:cs="Arial"/>
          <w:bCs/>
          <w:sz w:val="22"/>
          <w:szCs w:val="22"/>
        </w:rPr>
      </w:pPr>
      <w:r w:rsidRPr="00CA37DA">
        <w:rPr>
          <w:rFonts w:ascii="Arial" w:hAnsi="Arial" w:cs="Arial"/>
          <w:sz w:val="22"/>
          <w:szCs w:val="22"/>
          <w:lang w:val="pt-PT" w:bidi="pt-PT"/>
        </w:rPr>
        <w:t>Para tanto, fixo o prazo de 10 (dez) dias, sob pena de arcar com o pagamento de multa diária, a qual fixo em R$ 2.000,00 (dois mil reais).</w:t>
      </w:r>
    </w:p>
    <w:p w14:paraId="6FEE48F0" w14:textId="77777777" w:rsidR="006356F1" w:rsidRDefault="006356F1" w:rsidP="006356F1">
      <w:pPr>
        <w:spacing w:line="360" w:lineRule="auto"/>
        <w:ind w:firstLine="851"/>
        <w:jc w:val="both"/>
        <w:rPr>
          <w:rFonts w:ascii="Arial" w:hAnsi="Arial" w:cs="Arial"/>
          <w:bCs/>
          <w:sz w:val="24"/>
          <w:szCs w:val="24"/>
        </w:rPr>
      </w:pPr>
    </w:p>
    <w:p w14:paraId="237122EA" w14:textId="77777777" w:rsidR="006356F1" w:rsidRDefault="006356F1" w:rsidP="006356F1">
      <w:pPr>
        <w:spacing w:line="360" w:lineRule="auto"/>
        <w:ind w:firstLine="851"/>
        <w:jc w:val="both"/>
        <w:rPr>
          <w:rFonts w:ascii="Arial" w:hAnsi="Arial" w:cs="Arial"/>
          <w:bCs/>
          <w:sz w:val="24"/>
          <w:szCs w:val="24"/>
        </w:rPr>
      </w:pPr>
      <w:r>
        <w:rPr>
          <w:rFonts w:ascii="Arial" w:hAnsi="Arial" w:cs="Arial"/>
          <w:bCs/>
          <w:sz w:val="24"/>
          <w:szCs w:val="24"/>
        </w:rPr>
        <w:t>Não obstante essa determinação judicial, a atual Secretaria de Estado da Economia alega no referido processo judicial que já são suficientes as informações publicadas no Portal da Transparência do Estado de Goiás e que, com isso, já restaria atendido o pedido, em relação a que esta CPI discorda juntamente com a associação autora; porém, ainda há manifestação definitiva do juízo sobre essa questão.</w:t>
      </w:r>
    </w:p>
    <w:p w14:paraId="46552B12" w14:textId="77777777" w:rsidR="006356F1" w:rsidRDefault="006356F1" w:rsidP="006356F1">
      <w:pPr>
        <w:spacing w:line="360" w:lineRule="auto"/>
        <w:ind w:firstLine="851"/>
        <w:jc w:val="both"/>
        <w:rPr>
          <w:rFonts w:ascii="Arial" w:hAnsi="Arial" w:cs="Arial"/>
          <w:sz w:val="24"/>
          <w:szCs w:val="24"/>
        </w:rPr>
      </w:pPr>
      <w:r w:rsidRPr="007305AF">
        <w:rPr>
          <w:rFonts w:ascii="Arial" w:hAnsi="Arial" w:cs="Arial"/>
          <w:b/>
          <w:bCs/>
          <w:sz w:val="24"/>
          <w:szCs w:val="24"/>
        </w:rPr>
        <w:lastRenderedPageBreak/>
        <w:t xml:space="preserve">É fato que o conteúdo resumido do TARE, divulgado no Portal da Transparência, </w:t>
      </w:r>
      <w:r>
        <w:rPr>
          <w:rFonts w:ascii="Arial" w:hAnsi="Arial" w:cs="Arial"/>
          <w:b/>
          <w:bCs/>
          <w:sz w:val="24"/>
          <w:szCs w:val="24"/>
        </w:rPr>
        <w:t xml:space="preserve">embora seja útil, </w:t>
      </w:r>
      <w:r w:rsidRPr="007305AF">
        <w:rPr>
          <w:rFonts w:ascii="Arial" w:hAnsi="Arial" w:cs="Arial"/>
          <w:b/>
          <w:bCs/>
          <w:sz w:val="24"/>
          <w:szCs w:val="24"/>
        </w:rPr>
        <w:t>não elimina o dever de publicação do inteiro teor daquele instrumento</w:t>
      </w:r>
      <w:r>
        <w:rPr>
          <w:rFonts w:ascii="Arial" w:hAnsi="Arial" w:cs="Arial"/>
          <w:bCs/>
          <w:sz w:val="24"/>
          <w:szCs w:val="24"/>
        </w:rPr>
        <w:t xml:space="preserve">, porque de fato aquele resumo se revela manifestamente insuficiente para contemplar todas as disposições trazidas pelas diversas cláusulas do TARE. </w:t>
      </w:r>
      <w:r w:rsidRPr="00C257F6">
        <w:rPr>
          <w:rFonts w:ascii="Arial" w:hAnsi="Arial" w:cs="Arial"/>
          <w:bCs/>
          <w:sz w:val="24"/>
          <w:szCs w:val="24"/>
          <w:u w:val="single"/>
        </w:rPr>
        <w:t>Cite-se, como exemplo, o caso daqueles T</w:t>
      </w:r>
      <w:r w:rsidRPr="00C257F6">
        <w:rPr>
          <w:rFonts w:ascii="Arial" w:hAnsi="Arial" w:cs="Arial"/>
          <w:sz w:val="24"/>
          <w:szCs w:val="24"/>
          <w:u w:val="single"/>
        </w:rPr>
        <w:t>ARE’s da mineração que, além do dire</w:t>
      </w:r>
      <w:r w:rsidRPr="007305AF">
        <w:rPr>
          <w:rFonts w:ascii="Arial" w:hAnsi="Arial" w:cs="Arial"/>
          <w:sz w:val="24"/>
          <w:szCs w:val="24"/>
          <w:u w:val="single"/>
        </w:rPr>
        <w:t xml:space="preserve">ito ao diferimento e ao parcelamento do ICMS-Importação nos termos do art. 3º da Lei nº 15.719/2006, ainda autorizam o contribuinte a apropriar-se do correspondente valor destacado na nota fiscal do </w:t>
      </w:r>
      <w:r w:rsidRPr="003C19FC">
        <w:rPr>
          <w:rFonts w:ascii="Arial" w:hAnsi="Arial" w:cs="Arial"/>
          <w:sz w:val="24"/>
          <w:szCs w:val="24"/>
          <w:u w:val="single"/>
        </w:rPr>
        <w:t>produto importado a título de crédito (outorgado) para compensação com suas operações regulares</w:t>
      </w:r>
      <w:r>
        <w:rPr>
          <w:rFonts w:ascii="Arial" w:hAnsi="Arial" w:cs="Arial"/>
          <w:sz w:val="24"/>
          <w:szCs w:val="24"/>
        </w:rPr>
        <w:t xml:space="preserve">, o que, ao menos em tese, extrapola o previsto naquele dispositivo legal, conforme discorrido no item 9.4.2 deste relatório, e não se encontra disponível ao acesso público. O mesmo se diga em relação às contrapartidas de investimentos e geração de empregos nos TARE’s das empresas informadas na relação da Secretaria de Estado da Economia como sujeitas a contrapartidas (Ofício nº 2.500/2019-CPI, p. 128/495) e daquelas firmadas com grupo econômico na forma da Lei nº 17.442/2011. </w:t>
      </w:r>
    </w:p>
    <w:p w14:paraId="4C6236FE" w14:textId="77777777" w:rsidR="006356F1" w:rsidRDefault="006356F1" w:rsidP="006356F1">
      <w:pPr>
        <w:spacing w:line="360" w:lineRule="auto"/>
        <w:ind w:firstLine="851"/>
        <w:jc w:val="both"/>
        <w:rPr>
          <w:rFonts w:ascii="Arial" w:hAnsi="Arial" w:cs="Arial"/>
          <w:bCs/>
          <w:sz w:val="24"/>
          <w:szCs w:val="24"/>
        </w:rPr>
      </w:pPr>
      <w:r w:rsidRPr="003C19FC">
        <w:rPr>
          <w:rFonts w:ascii="Arial" w:hAnsi="Arial" w:cs="Arial"/>
          <w:b/>
          <w:bCs/>
          <w:sz w:val="24"/>
          <w:szCs w:val="24"/>
        </w:rPr>
        <w:t>Essas informações não se encontram nem de longe publicadas naquele resumo divulgado no Portal da Transparência</w:t>
      </w:r>
      <w:r>
        <w:rPr>
          <w:rFonts w:ascii="Arial" w:hAnsi="Arial" w:cs="Arial"/>
          <w:sz w:val="24"/>
          <w:szCs w:val="24"/>
        </w:rPr>
        <w:t>, apesar de ser nítido o interesse público envolvido em divulgar por que determinado contribuinte está sendo beneficiado com regime especial de tributação, se há requisitos ou contrapartidas claras a serem cumpridas e quais são.</w:t>
      </w:r>
    </w:p>
    <w:p w14:paraId="6EE485DD" w14:textId="77777777" w:rsidR="006356F1" w:rsidRPr="008B1A07" w:rsidRDefault="006356F1" w:rsidP="006356F1">
      <w:pPr>
        <w:spacing w:line="360" w:lineRule="auto"/>
        <w:ind w:firstLine="851"/>
        <w:jc w:val="both"/>
        <w:rPr>
          <w:rFonts w:ascii="Arial" w:hAnsi="Arial" w:cs="Arial"/>
          <w:bCs/>
          <w:sz w:val="24"/>
          <w:szCs w:val="24"/>
        </w:rPr>
      </w:pPr>
      <w:r>
        <w:rPr>
          <w:rFonts w:ascii="Arial" w:hAnsi="Arial" w:cs="Arial"/>
          <w:bCs/>
          <w:sz w:val="24"/>
          <w:szCs w:val="24"/>
        </w:rPr>
        <w:t xml:space="preserve">Nesse contexto, tendo em vista que o Estado de Goiás continua resistindo a exibir a </w:t>
      </w:r>
      <w:r w:rsidRPr="008B1A07">
        <w:rPr>
          <w:rFonts w:ascii="Arial" w:hAnsi="Arial" w:cs="Arial"/>
          <w:bCs/>
          <w:sz w:val="24"/>
          <w:szCs w:val="24"/>
        </w:rPr>
        <w:t xml:space="preserve">íntegra dos TARE’s em seu Portal da Transparência, </w:t>
      </w:r>
      <w:r w:rsidRPr="008B1A07">
        <w:rPr>
          <w:rFonts w:ascii="Arial" w:hAnsi="Arial" w:cs="Arial"/>
          <w:b/>
          <w:sz w:val="24"/>
          <w:szCs w:val="24"/>
        </w:rPr>
        <w:t>recomenda-se ao Ministério Público que intente ação judicial de obrigação de fazer em face do Estado de Goiás, com pedido de tutela de urgência (CPC, art. 300)</w:t>
      </w:r>
      <w:r w:rsidRPr="008B1A07">
        <w:rPr>
          <w:rFonts w:ascii="Arial" w:hAnsi="Arial" w:cs="Arial"/>
          <w:bCs/>
          <w:sz w:val="24"/>
          <w:szCs w:val="24"/>
        </w:rPr>
        <w:t xml:space="preserve">, </w:t>
      </w:r>
      <w:r w:rsidRPr="008B1A07">
        <w:rPr>
          <w:rFonts w:ascii="Arial" w:hAnsi="Arial" w:cs="Arial"/>
          <w:b/>
          <w:sz w:val="24"/>
          <w:szCs w:val="24"/>
        </w:rPr>
        <w:t>a fim de ser compelido a publicá-los, todos, no Portal da Transparência</w:t>
      </w:r>
      <w:r w:rsidRPr="008B1A07">
        <w:rPr>
          <w:rFonts w:ascii="Arial" w:hAnsi="Arial" w:cs="Arial"/>
          <w:bCs/>
          <w:sz w:val="24"/>
          <w:szCs w:val="24"/>
        </w:rPr>
        <w:t>, tendo em vista a inaplicabilidade do sigilo fiscal, a insuficiência do resumo publicado para bem exprimir o teor dos TARE’s e a preponderância do interesse público e coletivo envolvido, para fins de controle interno e externo, inclusive social.</w:t>
      </w:r>
    </w:p>
    <w:p w14:paraId="4FF05616" w14:textId="77777777" w:rsidR="006356F1" w:rsidRPr="008B1A07" w:rsidRDefault="006356F1" w:rsidP="006356F1">
      <w:pPr>
        <w:spacing w:line="360" w:lineRule="auto"/>
        <w:ind w:firstLine="851"/>
        <w:jc w:val="both"/>
        <w:rPr>
          <w:rFonts w:ascii="Arial" w:hAnsi="Arial" w:cs="Arial"/>
          <w:bCs/>
          <w:sz w:val="24"/>
          <w:szCs w:val="24"/>
        </w:rPr>
      </w:pPr>
    </w:p>
    <w:p w14:paraId="52236BEC" w14:textId="77777777" w:rsidR="006356F1" w:rsidRDefault="006356F1" w:rsidP="006356F1">
      <w:pPr>
        <w:spacing w:line="360" w:lineRule="auto"/>
        <w:ind w:firstLine="851"/>
        <w:jc w:val="both"/>
        <w:rPr>
          <w:rFonts w:ascii="Arial" w:hAnsi="Arial" w:cs="Arial"/>
          <w:bCs/>
          <w:sz w:val="24"/>
          <w:szCs w:val="24"/>
        </w:rPr>
      </w:pPr>
      <w:r w:rsidRPr="008B1A07">
        <w:rPr>
          <w:rFonts w:ascii="Arial" w:hAnsi="Arial" w:cs="Arial"/>
          <w:b/>
          <w:sz w:val="24"/>
          <w:szCs w:val="24"/>
        </w:rPr>
        <w:t>10.4.</w:t>
      </w:r>
      <w:r w:rsidRPr="008B1A07">
        <w:rPr>
          <w:rFonts w:ascii="Arial" w:hAnsi="Arial" w:cs="Arial"/>
          <w:bCs/>
          <w:sz w:val="24"/>
          <w:szCs w:val="24"/>
        </w:rPr>
        <w:t xml:space="preserve"> Por fim, entende-se também que o Estado de Goiás deva </w:t>
      </w:r>
      <w:r w:rsidRPr="008B1A07">
        <w:rPr>
          <w:rFonts w:ascii="Arial" w:hAnsi="Arial" w:cs="Arial"/>
          <w:b/>
          <w:sz w:val="24"/>
          <w:szCs w:val="24"/>
          <w:u w:val="single"/>
        </w:rPr>
        <w:t>conferir maior a transparência ativa quanto à disponibilização da legislação tributária atualizada do Estado de Goiás</w:t>
      </w:r>
      <w:r w:rsidRPr="008B1A07">
        <w:rPr>
          <w:rFonts w:ascii="Arial" w:hAnsi="Arial" w:cs="Arial"/>
          <w:b/>
          <w:sz w:val="24"/>
          <w:szCs w:val="24"/>
        </w:rPr>
        <w:t>, de modo a</w:t>
      </w:r>
      <w:r w:rsidRPr="008B1A07">
        <w:rPr>
          <w:rFonts w:ascii="Arial" w:hAnsi="Arial" w:cs="Arial"/>
          <w:sz w:val="24"/>
          <w:szCs w:val="24"/>
        </w:rPr>
        <w:t xml:space="preserve"> </w:t>
      </w:r>
      <w:r w:rsidRPr="008B1A07">
        <w:rPr>
          <w:rFonts w:ascii="Arial" w:hAnsi="Arial" w:cs="Arial"/>
          <w:b/>
          <w:sz w:val="24"/>
          <w:szCs w:val="24"/>
        </w:rPr>
        <w:t>permitir sua consulta</w:t>
      </w:r>
      <w:r w:rsidRPr="008B1A07">
        <w:rPr>
          <w:rFonts w:ascii="Arial" w:hAnsi="Arial" w:cs="Arial"/>
          <w:sz w:val="24"/>
          <w:szCs w:val="24"/>
        </w:rPr>
        <w:t xml:space="preserve">: </w:t>
      </w:r>
      <w:r w:rsidRPr="008B1A07">
        <w:rPr>
          <w:rFonts w:ascii="Arial" w:hAnsi="Arial" w:cs="Arial"/>
          <w:sz w:val="24"/>
          <w:szCs w:val="24"/>
          <w:u w:val="single"/>
        </w:rPr>
        <w:t xml:space="preserve">a) também pela página oficial </w:t>
      </w:r>
      <w:r w:rsidRPr="008B1A07">
        <w:rPr>
          <w:rFonts w:ascii="Arial" w:hAnsi="Arial" w:cs="Arial"/>
          <w:sz w:val="24"/>
          <w:szCs w:val="24"/>
          <w:u w:val="single"/>
        </w:rPr>
        <w:lastRenderedPageBreak/>
        <w:t>da Casa Civil e a partir de qualquer navegador</w:t>
      </w:r>
      <w:r w:rsidRPr="008B1A07">
        <w:rPr>
          <w:rFonts w:ascii="Arial" w:hAnsi="Arial" w:cs="Arial"/>
          <w:sz w:val="24"/>
          <w:szCs w:val="24"/>
        </w:rPr>
        <w:t xml:space="preserve">, porquanto hoje apenas existe acesso pela página da Secretaria de Estado da Economia e somente pelo navegador “Internet Explorer” (&lt;ftp://ftp.sefaz.go.gov.br/sefazgo/legislacao/INDICE_GERAL.htm&gt;), sem que qualquer orientação seja disponibilizada ao contribuinte quanto a esse “caminho das pedras”; </w:t>
      </w:r>
      <w:r w:rsidRPr="008B1A07">
        <w:rPr>
          <w:rFonts w:ascii="Arial" w:hAnsi="Arial" w:cs="Arial"/>
          <w:sz w:val="24"/>
          <w:szCs w:val="24"/>
          <w:u w:val="single"/>
        </w:rPr>
        <w:t>b) relativamente à legislação completa de cada programa ou benefício</w:t>
      </w:r>
      <w:r w:rsidRPr="008B1A07">
        <w:rPr>
          <w:rFonts w:ascii="Arial" w:hAnsi="Arial" w:cs="Arial"/>
          <w:sz w:val="24"/>
          <w:szCs w:val="24"/>
        </w:rPr>
        <w:t>, inclusive a íntegra de instruções normativas, resoluções e outros atos de caráter infralegal</w:t>
      </w:r>
      <w:r w:rsidRPr="008B1A07">
        <w:rPr>
          <w:rFonts w:ascii="Arial" w:hAnsi="Arial" w:cs="Arial"/>
          <w:bCs/>
          <w:sz w:val="24"/>
          <w:szCs w:val="24"/>
        </w:rPr>
        <w:t>, tendo em vista que algumas delas esta CPI só obteve através de requisição formal, a exemplo das Instruções Normativas nºs 1.330 a 1.335/2017-GSF (Ofício nº 3.564/2019-CPI, respondido por meio do Ofício 3.564/2019-Economia).</w:t>
      </w:r>
    </w:p>
    <w:p w14:paraId="33F02616" w14:textId="77777777" w:rsidR="006356F1" w:rsidRPr="00FD23CA" w:rsidRDefault="006356F1" w:rsidP="006356F1">
      <w:pPr>
        <w:spacing w:line="360" w:lineRule="auto"/>
        <w:ind w:firstLine="851"/>
        <w:jc w:val="both"/>
        <w:rPr>
          <w:rFonts w:ascii="Arial" w:hAnsi="Arial" w:cs="Arial"/>
          <w:sz w:val="24"/>
          <w:szCs w:val="24"/>
        </w:rPr>
      </w:pPr>
    </w:p>
    <w:p w14:paraId="1EF1DC4E" w14:textId="77777777" w:rsidR="006356F1" w:rsidRPr="009E024E" w:rsidRDefault="006356F1" w:rsidP="006356F1">
      <w:pPr>
        <w:spacing w:line="360" w:lineRule="auto"/>
        <w:ind w:firstLine="851"/>
        <w:jc w:val="both"/>
        <w:rPr>
          <w:rFonts w:ascii="Arial" w:hAnsi="Arial" w:cs="Arial"/>
          <w:bCs/>
          <w:sz w:val="24"/>
          <w:szCs w:val="24"/>
        </w:rPr>
      </w:pPr>
      <w:r w:rsidRPr="00E97E15">
        <w:rPr>
          <w:rFonts w:ascii="Arial" w:hAnsi="Arial" w:cs="Arial"/>
          <w:b/>
          <w:sz w:val="24"/>
          <w:szCs w:val="24"/>
        </w:rPr>
        <w:t>10.</w:t>
      </w:r>
      <w:r>
        <w:rPr>
          <w:rFonts w:ascii="Arial" w:hAnsi="Arial" w:cs="Arial"/>
          <w:b/>
          <w:sz w:val="24"/>
          <w:szCs w:val="24"/>
        </w:rPr>
        <w:t>5</w:t>
      </w:r>
      <w:r w:rsidRPr="00E97E15">
        <w:rPr>
          <w:rFonts w:ascii="Arial" w:hAnsi="Arial" w:cs="Arial"/>
          <w:b/>
          <w:sz w:val="24"/>
          <w:szCs w:val="24"/>
        </w:rPr>
        <w:t>.</w:t>
      </w:r>
      <w:r>
        <w:rPr>
          <w:rFonts w:ascii="Arial" w:hAnsi="Arial" w:cs="Arial"/>
          <w:bCs/>
          <w:sz w:val="24"/>
          <w:szCs w:val="24"/>
        </w:rPr>
        <w:t xml:space="preserve"> Portanto, </w:t>
      </w:r>
      <w:r w:rsidRPr="00E97E15">
        <w:rPr>
          <w:rFonts w:ascii="Arial" w:hAnsi="Arial" w:cs="Arial"/>
          <w:b/>
          <w:sz w:val="24"/>
          <w:szCs w:val="24"/>
          <w:u w:val="single"/>
        </w:rPr>
        <w:t>recomenda-se ao Poder Executivo</w:t>
      </w:r>
      <w:r>
        <w:rPr>
          <w:rFonts w:ascii="Arial" w:hAnsi="Arial" w:cs="Arial"/>
          <w:b/>
          <w:sz w:val="24"/>
          <w:szCs w:val="24"/>
          <w:u w:val="single"/>
        </w:rPr>
        <w:t xml:space="preserve"> e aos órgãos de controle</w:t>
      </w:r>
      <w:r w:rsidRPr="00E97E15">
        <w:rPr>
          <w:rFonts w:ascii="Arial" w:hAnsi="Arial" w:cs="Arial"/>
          <w:b/>
          <w:sz w:val="24"/>
          <w:szCs w:val="24"/>
        </w:rPr>
        <w:t xml:space="preserve"> que adote</w:t>
      </w:r>
      <w:r>
        <w:rPr>
          <w:rFonts w:ascii="Arial" w:hAnsi="Arial" w:cs="Arial"/>
          <w:b/>
          <w:sz w:val="24"/>
          <w:szCs w:val="24"/>
        </w:rPr>
        <w:t>m</w:t>
      </w:r>
      <w:r w:rsidRPr="00E97E15">
        <w:rPr>
          <w:rFonts w:ascii="Arial" w:hAnsi="Arial" w:cs="Arial"/>
          <w:b/>
          <w:sz w:val="24"/>
          <w:szCs w:val="24"/>
        </w:rPr>
        <w:t xml:space="preserve"> as recomendações presentes nos itens</w:t>
      </w:r>
      <w:r>
        <w:rPr>
          <w:rFonts w:ascii="Arial" w:hAnsi="Arial" w:cs="Arial"/>
          <w:b/>
          <w:sz w:val="24"/>
          <w:szCs w:val="24"/>
        </w:rPr>
        <w:t xml:space="preserve"> 10.1 a</w:t>
      </w:r>
      <w:r w:rsidRPr="00E97E15">
        <w:rPr>
          <w:rFonts w:ascii="Arial" w:hAnsi="Arial" w:cs="Arial"/>
          <w:b/>
          <w:sz w:val="24"/>
          <w:szCs w:val="24"/>
        </w:rPr>
        <w:t xml:space="preserve"> 10.</w:t>
      </w:r>
      <w:r>
        <w:rPr>
          <w:rFonts w:ascii="Arial" w:hAnsi="Arial" w:cs="Arial"/>
          <w:b/>
          <w:sz w:val="24"/>
          <w:szCs w:val="24"/>
        </w:rPr>
        <w:t>4</w:t>
      </w:r>
      <w:r w:rsidRPr="00E97E15">
        <w:rPr>
          <w:rFonts w:ascii="Arial" w:hAnsi="Arial" w:cs="Arial"/>
          <w:b/>
          <w:sz w:val="24"/>
          <w:szCs w:val="24"/>
        </w:rPr>
        <w:t xml:space="preserve"> deste relatório</w:t>
      </w:r>
      <w:r>
        <w:rPr>
          <w:rFonts w:ascii="Arial" w:hAnsi="Arial" w:cs="Arial"/>
          <w:bCs/>
          <w:sz w:val="24"/>
          <w:szCs w:val="24"/>
        </w:rPr>
        <w:t>, a fim de tornar o Estado de Goiás referência em matéria de transparência de incentivos fiscais de ICMS.</w:t>
      </w:r>
    </w:p>
    <w:p w14:paraId="3F9D6CA9" w14:textId="26EE7279" w:rsidR="006356F1" w:rsidRDefault="006356F1" w:rsidP="006356F1">
      <w:pPr>
        <w:spacing w:line="360" w:lineRule="auto"/>
        <w:ind w:firstLine="851"/>
        <w:jc w:val="both"/>
        <w:rPr>
          <w:rFonts w:ascii="Arial" w:hAnsi="Arial" w:cs="Arial"/>
          <w:b/>
          <w:sz w:val="24"/>
          <w:szCs w:val="24"/>
          <w:u w:val="single"/>
        </w:rPr>
      </w:pPr>
    </w:p>
    <w:p w14:paraId="24AA5C0F" w14:textId="0B133775" w:rsidR="00DD1451" w:rsidRDefault="00DD1451" w:rsidP="006356F1">
      <w:pPr>
        <w:spacing w:line="360" w:lineRule="auto"/>
        <w:ind w:firstLine="851"/>
        <w:jc w:val="both"/>
        <w:rPr>
          <w:rFonts w:ascii="Arial" w:hAnsi="Arial" w:cs="Arial"/>
          <w:b/>
          <w:sz w:val="24"/>
          <w:szCs w:val="24"/>
          <w:u w:val="single"/>
        </w:rPr>
      </w:pPr>
    </w:p>
    <w:p w14:paraId="7B43358D" w14:textId="241D64AB" w:rsidR="00DD1451" w:rsidRDefault="00DD1451">
      <w:pPr>
        <w:rPr>
          <w:rFonts w:ascii="Arial" w:hAnsi="Arial" w:cs="Arial"/>
          <w:b/>
          <w:sz w:val="24"/>
          <w:szCs w:val="24"/>
          <w:u w:val="single"/>
        </w:rPr>
      </w:pPr>
      <w:r>
        <w:rPr>
          <w:rFonts w:ascii="Arial" w:hAnsi="Arial" w:cs="Arial"/>
          <w:b/>
          <w:sz w:val="24"/>
          <w:szCs w:val="24"/>
          <w:u w:val="single"/>
        </w:rPr>
        <w:br w:type="page"/>
      </w:r>
    </w:p>
    <w:p w14:paraId="16ABC50C" w14:textId="77777777" w:rsidR="00DD1451" w:rsidRDefault="00DD1451" w:rsidP="006356F1">
      <w:pPr>
        <w:spacing w:line="360" w:lineRule="auto"/>
        <w:ind w:firstLine="851"/>
        <w:jc w:val="both"/>
        <w:rPr>
          <w:rFonts w:ascii="Arial" w:hAnsi="Arial" w:cs="Arial"/>
          <w:b/>
          <w:sz w:val="24"/>
          <w:szCs w:val="24"/>
          <w:u w:val="single"/>
        </w:rPr>
      </w:pPr>
    </w:p>
    <w:p w14:paraId="155E5E72" w14:textId="5CD366BC" w:rsidR="006356F1" w:rsidRPr="00B1663A" w:rsidRDefault="006356F1" w:rsidP="006356F1">
      <w:pPr>
        <w:spacing w:line="360" w:lineRule="auto"/>
        <w:ind w:firstLine="851"/>
        <w:jc w:val="both"/>
        <w:rPr>
          <w:rFonts w:ascii="Arial" w:hAnsi="Arial" w:cs="Arial"/>
          <w:b/>
          <w:sz w:val="24"/>
          <w:szCs w:val="24"/>
          <w:u w:val="single"/>
        </w:rPr>
      </w:pPr>
      <w:r w:rsidRPr="00B1663A">
        <w:rPr>
          <w:rFonts w:ascii="Arial" w:hAnsi="Arial" w:cs="Arial"/>
          <w:b/>
          <w:sz w:val="24"/>
          <w:szCs w:val="24"/>
          <w:u w:val="single"/>
        </w:rPr>
        <w:t>1</w:t>
      </w:r>
      <w:r w:rsidR="00DD1451">
        <w:rPr>
          <w:rFonts w:ascii="Arial" w:hAnsi="Arial" w:cs="Arial"/>
          <w:b/>
          <w:sz w:val="24"/>
          <w:szCs w:val="24"/>
          <w:u w:val="single"/>
        </w:rPr>
        <w:t>1</w:t>
      </w:r>
      <w:r w:rsidRPr="00B1663A">
        <w:rPr>
          <w:rFonts w:ascii="Arial" w:hAnsi="Arial" w:cs="Arial"/>
          <w:b/>
          <w:sz w:val="24"/>
          <w:szCs w:val="24"/>
          <w:u w:val="single"/>
        </w:rPr>
        <w:t xml:space="preserve"> – ANÁLISE ECONÔMICA: RESULTADOS PRODUZIDOS PELA POLÍTICA PÚBLICA GOIANA DE INCENTIVOS FISCAIS</w:t>
      </w:r>
    </w:p>
    <w:p w14:paraId="605A0717" w14:textId="77777777" w:rsidR="006356F1" w:rsidRDefault="006356F1" w:rsidP="006356F1">
      <w:pPr>
        <w:spacing w:line="360" w:lineRule="auto"/>
        <w:ind w:firstLine="851"/>
        <w:jc w:val="both"/>
        <w:rPr>
          <w:rFonts w:ascii="Arial" w:hAnsi="Arial" w:cs="Arial"/>
          <w:sz w:val="24"/>
          <w:szCs w:val="24"/>
        </w:rPr>
      </w:pPr>
    </w:p>
    <w:p w14:paraId="688A728F" w14:textId="40583F51" w:rsidR="002C1696" w:rsidRPr="002C1696" w:rsidRDefault="002C1696" w:rsidP="006356F1">
      <w:pPr>
        <w:spacing w:line="360" w:lineRule="auto"/>
        <w:ind w:firstLine="851"/>
        <w:jc w:val="both"/>
        <w:rPr>
          <w:rFonts w:ascii="Arial" w:hAnsi="Arial" w:cs="Arial"/>
          <w:b/>
          <w:sz w:val="24"/>
          <w:szCs w:val="24"/>
        </w:rPr>
      </w:pPr>
      <w:r w:rsidRPr="002C1696">
        <w:rPr>
          <w:rFonts w:ascii="Arial" w:hAnsi="Arial" w:cs="Arial"/>
          <w:b/>
          <w:sz w:val="24"/>
          <w:szCs w:val="24"/>
        </w:rPr>
        <w:t>11</w:t>
      </w:r>
      <w:r>
        <w:rPr>
          <w:rFonts w:ascii="Arial" w:hAnsi="Arial" w:cs="Arial"/>
          <w:b/>
          <w:sz w:val="24"/>
          <w:szCs w:val="24"/>
        </w:rPr>
        <w:t>.1</w:t>
      </w:r>
      <w:r w:rsidRPr="002C1696">
        <w:rPr>
          <w:rFonts w:ascii="Arial" w:hAnsi="Arial" w:cs="Arial"/>
          <w:b/>
          <w:sz w:val="24"/>
          <w:szCs w:val="24"/>
        </w:rPr>
        <w:t xml:space="preserve"> – INTRODUÇÃO</w:t>
      </w:r>
    </w:p>
    <w:p w14:paraId="2A283C48" w14:textId="77777777" w:rsidR="002C1696" w:rsidRDefault="002C1696" w:rsidP="006356F1">
      <w:pPr>
        <w:spacing w:line="360" w:lineRule="auto"/>
        <w:ind w:firstLine="851"/>
        <w:jc w:val="both"/>
        <w:rPr>
          <w:rFonts w:ascii="Arial" w:hAnsi="Arial" w:cs="Arial"/>
          <w:sz w:val="24"/>
          <w:szCs w:val="24"/>
        </w:rPr>
      </w:pPr>
    </w:p>
    <w:p w14:paraId="78CEE8B9" w14:textId="67D67A8C" w:rsidR="006356F1" w:rsidRPr="00BF3D6E" w:rsidRDefault="006356F1" w:rsidP="006356F1">
      <w:pPr>
        <w:spacing w:line="360" w:lineRule="auto"/>
        <w:ind w:firstLine="851"/>
        <w:jc w:val="both"/>
        <w:rPr>
          <w:rFonts w:ascii="Arial" w:hAnsi="Arial" w:cs="Arial"/>
          <w:sz w:val="24"/>
          <w:szCs w:val="24"/>
        </w:rPr>
      </w:pPr>
      <w:r w:rsidRPr="00BF3D6E">
        <w:rPr>
          <w:rFonts w:ascii="Arial" w:hAnsi="Arial" w:cs="Arial"/>
          <w:sz w:val="24"/>
          <w:szCs w:val="24"/>
        </w:rPr>
        <w:t>No início deste tópico faz-se necessário um esclarecimento: a análise econômica baseia-se nos programas FOMENTAR e PRODUZIR, visto que sistematizados e com maior agregação de dados, de modo a viabilizar os trabalhos.</w:t>
      </w:r>
    </w:p>
    <w:p w14:paraId="34C30C93" w14:textId="78F86136" w:rsidR="006356F1" w:rsidRDefault="006356F1" w:rsidP="006356F1">
      <w:pPr>
        <w:spacing w:line="360" w:lineRule="auto"/>
        <w:ind w:firstLine="851"/>
        <w:jc w:val="both"/>
        <w:rPr>
          <w:rFonts w:ascii="Arial" w:hAnsi="Arial" w:cs="Arial"/>
          <w:sz w:val="24"/>
          <w:szCs w:val="24"/>
        </w:rPr>
      </w:pPr>
      <w:r w:rsidRPr="00BF3D6E">
        <w:rPr>
          <w:rFonts w:ascii="Arial" w:hAnsi="Arial" w:cs="Arial"/>
          <w:sz w:val="24"/>
          <w:szCs w:val="24"/>
        </w:rPr>
        <w:t xml:space="preserve">Muito embora, em termos de valores, como já demonstrado, os créditos outorgados sejam superiores, não há prejuízo para as conclusões desta comissão pautar esta análise no FOMENTAR e no PRODUZIR, pois tanto esses programas quanto os créditos outorgados têm os mesmos objetivos socioeconômicos e </w:t>
      </w:r>
      <w:r w:rsidRPr="00BF3D6E">
        <w:rPr>
          <w:rFonts w:ascii="Arial" w:hAnsi="Arial" w:cs="Arial"/>
          <w:b/>
          <w:sz w:val="24"/>
          <w:szCs w:val="24"/>
        </w:rPr>
        <w:t>apresentam distribuição semelhante</w:t>
      </w:r>
      <w:r w:rsidRPr="00BF3D6E">
        <w:rPr>
          <w:rFonts w:ascii="Arial" w:hAnsi="Arial" w:cs="Arial"/>
          <w:sz w:val="24"/>
          <w:szCs w:val="24"/>
        </w:rPr>
        <w:t>, o que permite, em geral, a extensão das conclusões para a totalidade dos benefícios fiscais. Note-se, ainda, que em alguns casos utilizamos dados aglutinados de todos tipos de incentivos fiscais. Dito isso, passemos à análise.</w:t>
      </w:r>
    </w:p>
    <w:p w14:paraId="39C6378C" w14:textId="77777777" w:rsidR="006356F1" w:rsidRDefault="006356F1" w:rsidP="006356F1">
      <w:pPr>
        <w:spacing w:line="360" w:lineRule="auto"/>
        <w:ind w:firstLine="851"/>
        <w:jc w:val="both"/>
        <w:rPr>
          <w:rFonts w:ascii="Arial" w:hAnsi="Arial" w:cs="Arial"/>
          <w:color w:val="000000"/>
          <w:sz w:val="24"/>
        </w:rPr>
      </w:pPr>
      <w:r>
        <w:rPr>
          <w:rFonts w:ascii="Arial" w:hAnsi="Arial" w:cs="Arial"/>
          <w:sz w:val="24"/>
          <w:szCs w:val="24"/>
        </w:rPr>
        <w:t xml:space="preserve">Os programas de incentivos fiscais FOMENTAR e PRODUZIR devem ser entendidos como políticas públicas voltadas para a </w:t>
      </w:r>
      <w:r w:rsidRPr="00DD6F4A">
        <w:rPr>
          <w:rFonts w:ascii="Arial" w:hAnsi="Arial" w:cs="Arial"/>
          <w:color w:val="000000"/>
          <w:sz w:val="24"/>
        </w:rPr>
        <w:t>expansão,</w:t>
      </w:r>
      <w:r>
        <w:rPr>
          <w:rFonts w:ascii="Arial" w:hAnsi="Arial" w:cs="Arial"/>
          <w:color w:val="000000"/>
          <w:sz w:val="24"/>
        </w:rPr>
        <w:t xml:space="preserve"> </w:t>
      </w:r>
      <w:hyperlink r:id="rId82" w:anchor="c1" w:history="1">
        <w:r w:rsidRPr="00DD6F4A">
          <w:rPr>
            <w:rStyle w:val="Hyperlink"/>
            <w:rFonts w:ascii="Arial" w:hAnsi="Arial" w:cs="Arial"/>
            <w:color w:val="000000"/>
            <w:sz w:val="24"/>
            <w:u w:val="none"/>
          </w:rPr>
          <w:t>modernização</w:t>
        </w:r>
      </w:hyperlink>
      <w:r>
        <w:rPr>
          <w:rFonts w:ascii="Arial" w:hAnsi="Arial" w:cs="Arial"/>
          <w:sz w:val="24"/>
        </w:rPr>
        <w:t xml:space="preserve"> </w:t>
      </w:r>
      <w:r w:rsidRPr="00DD6F4A">
        <w:rPr>
          <w:rFonts w:ascii="Arial" w:hAnsi="Arial" w:cs="Arial"/>
          <w:color w:val="000000"/>
          <w:sz w:val="24"/>
        </w:rPr>
        <w:t>e diversificação do setor industrial de Goiás, estimulando a realização de investimento, a renovação tecnológica da estrutura produtiva e o aumento da competitividade estadual, com ênfase na geração de emprego e renda e na redução das desigualdades sociais e regionais</w:t>
      </w:r>
      <w:r>
        <w:rPr>
          <w:rFonts w:ascii="Arial" w:hAnsi="Arial" w:cs="Arial"/>
          <w:color w:val="000000"/>
          <w:sz w:val="24"/>
        </w:rPr>
        <w:t>. Observa-se que se encaixam perfeitamente no conceito corrente de políticas públicas:</w:t>
      </w:r>
    </w:p>
    <w:p w14:paraId="044DCF07" w14:textId="77777777" w:rsidR="006356F1" w:rsidRDefault="006356F1" w:rsidP="006356F1">
      <w:pPr>
        <w:spacing w:line="360" w:lineRule="auto"/>
        <w:ind w:firstLine="851"/>
        <w:jc w:val="both"/>
        <w:rPr>
          <w:rFonts w:ascii="Arial" w:hAnsi="Arial" w:cs="Arial"/>
          <w:sz w:val="22"/>
          <w:szCs w:val="24"/>
        </w:rPr>
      </w:pPr>
    </w:p>
    <w:p w14:paraId="380BF8DD" w14:textId="77777777" w:rsidR="006356F1" w:rsidRDefault="006356F1" w:rsidP="006356F1">
      <w:pPr>
        <w:ind w:left="2268"/>
        <w:jc w:val="both"/>
        <w:rPr>
          <w:rFonts w:ascii="Arial" w:hAnsi="Arial" w:cs="Arial"/>
          <w:sz w:val="22"/>
          <w:szCs w:val="24"/>
        </w:rPr>
      </w:pPr>
      <w:r>
        <w:rPr>
          <w:rFonts w:ascii="Arial" w:hAnsi="Arial" w:cs="Arial"/>
          <w:sz w:val="22"/>
          <w:szCs w:val="24"/>
        </w:rPr>
        <w:t xml:space="preserve">[...] </w:t>
      </w:r>
      <w:r w:rsidRPr="00DD6F4A">
        <w:rPr>
          <w:rFonts w:ascii="Arial" w:hAnsi="Arial" w:cs="Arial"/>
          <w:sz w:val="22"/>
          <w:szCs w:val="24"/>
        </w:rPr>
        <w:t>um conjunto de programas ou ações governamentais necessárias e suficientes, integradas e articuladas para a provisão de bens ou serviços à sociedade, financiadas por recursos orçamentários ou por benefícios de natureza tributária, creditícia e financeira.</w:t>
      </w:r>
      <w:r>
        <w:rPr>
          <w:rStyle w:val="Refdenotaderodap"/>
          <w:rFonts w:ascii="Arial" w:hAnsi="Arial" w:cs="Arial"/>
          <w:sz w:val="22"/>
          <w:szCs w:val="24"/>
        </w:rPr>
        <w:footnoteReference w:id="114"/>
      </w:r>
    </w:p>
    <w:p w14:paraId="3E570E67" w14:textId="77777777" w:rsidR="006356F1" w:rsidRDefault="006356F1" w:rsidP="006356F1">
      <w:pPr>
        <w:spacing w:line="360" w:lineRule="auto"/>
        <w:ind w:firstLine="851"/>
        <w:jc w:val="both"/>
        <w:rPr>
          <w:rFonts w:ascii="Arial" w:hAnsi="Arial" w:cs="Arial"/>
          <w:sz w:val="22"/>
          <w:szCs w:val="24"/>
        </w:rPr>
      </w:pPr>
    </w:p>
    <w:p w14:paraId="2CD05046" w14:textId="77777777" w:rsidR="006356F1" w:rsidRPr="00A33549" w:rsidRDefault="006356F1" w:rsidP="006356F1">
      <w:pPr>
        <w:spacing w:line="360" w:lineRule="auto"/>
        <w:ind w:firstLine="851"/>
        <w:jc w:val="both"/>
        <w:rPr>
          <w:rFonts w:ascii="Arial" w:hAnsi="Arial" w:cs="Arial"/>
          <w:sz w:val="24"/>
          <w:szCs w:val="24"/>
        </w:rPr>
      </w:pPr>
      <w:r w:rsidRPr="00A33549">
        <w:rPr>
          <w:rFonts w:ascii="Arial" w:hAnsi="Arial" w:cs="Arial"/>
          <w:sz w:val="24"/>
          <w:szCs w:val="24"/>
        </w:rPr>
        <w:t xml:space="preserve">Como tal, deve ser analisada e avaliada de forma a averiguar seu custo benefício e o alcance dos resultados pretendidos, de forma a assegurar-se que os escassos </w:t>
      </w:r>
      <w:r w:rsidRPr="00A33549">
        <w:rPr>
          <w:rFonts w:ascii="Arial" w:hAnsi="Arial" w:cs="Arial"/>
          <w:sz w:val="24"/>
          <w:szCs w:val="24"/>
        </w:rPr>
        <w:lastRenderedPageBreak/>
        <w:t>recursos públicos (especialmente em conjunturas de crise fiscal, como a atual) estão sendo sabiamente empregados em prol do atendimento dos interesses coletivos.</w:t>
      </w:r>
    </w:p>
    <w:p w14:paraId="4EA45283" w14:textId="77777777" w:rsidR="006356F1" w:rsidRPr="00A33549" w:rsidRDefault="006356F1" w:rsidP="006356F1">
      <w:pPr>
        <w:spacing w:line="360" w:lineRule="auto"/>
        <w:ind w:firstLine="851"/>
        <w:jc w:val="both"/>
        <w:rPr>
          <w:rFonts w:ascii="Arial" w:hAnsi="Arial" w:cs="Arial"/>
          <w:sz w:val="24"/>
          <w:szCs w:val="24"/>
        </w:rPr>
      </w:pPr>
      <w:r w:rsidRPr="00A33549">
        <w:rPr>
          <w:rFonts w:ascii="Arial" w:hAnsi="Arial" w:cs="Arial"/>
          <w:sz w:val="24"/>
          <w:szCs w:val="24"/>
        </w:rPr>
        <w:t>Nesse sentido, chegaram a esta Comissão análises do Instituto Mauro Borges de Estatísticas e Estudos Socioeconômicos – IMB – e da Controladoria-Geral do Estado – CGE – sobre a efetividade do FOMENTAR e do PRODUZIR no alcance dos fins a que se propõem. Ressaltando o dever do administrador, que executa, e dos Parlamentares, que aprovam as leis definidores de políticas públicas, transcrevo o seguinte trecho de estudo do IMB:</w:t>
      </w:r>
    </w:p>
    <w:p w14:paraId="10FE5791" w14:textId="77777777" w:rsidR="006356F1" w:rsidRDefault="006356F1" w:rsidP="006356F1">
      <w:pPr>
        <w:spacing w:line="360" w:lineRule="auto"/>
        <w:ind w:firstLine="851"/>
        <w:jc w:val="both"/>
        <w:rPr>
          <w:rFonts w:ascii="Arial" w:hAnsi="Arial" w:cs="Arial"/>
          <w:sz w:val="22"/>
          <w:szCs w:val="24"/>
        </w:rPr>
      </w:pPr>
    </w:p>
    <w:p w14:paraId="0871FF57" w14:textId="77777777" w:rsidR="006356F1" w:rsidRDefault="006356F1" w:rsidP="006356F1">
      <w:pPr>
        <w:ind w:left="2268"/>
        <w:jc w:val="both"/>
        <w:rPr>
          <w:rFonts w:ascii="Arial" w:hAnsi="Arial" w:cs="Arial"/>
          <w:sz w:val="22"/>
          <w:szCs w:val="24"/>
        </w:rPr>
      </w:pPr>
      <w:r w:rsidRPr="00650B7E">
        <w:rPr>
          <w:rFonts w:ascii="Arial" w:hAnsi="Arial" w:cs="Arial"/>
          <w:sz w:val="22"/>
          <w:szCs w:val="24"/>
        </w:rPr>
        <w:t xml:space="preserve">A partir década de 1990 aconteceu uma revolução no uso de dados e evidências empíricas para auxiliar o processo de tomada de decisão governamental. A </w:t>
      </w:r>
      <w:r w:rsidRPr="00650B7E">
        <w:rPr>
          <w:rFonts w:ascii="Arial" w:hAnsi="Arial" w:cs="Arial"/>
          <w:b/>
          <w:sz w:val="22"/>
          <w:szCs w:val="24"/>
        </w:rPr>
        <w:t>adoção de políticas públicas baseadas em evidências empíricas</w:t>
      </w:r>
      <w:r w:rsidRPr="00650B7E">
        <w:rPr>
          <w:rFonts w:ascii="Arial" w:hAnsi="Arial" w:cs="Arial"/>
          <w:sz w:val="22"/>
          <w:szCs w:val="24"/>
        </w:rPr>
        <w:t xml:space="preserve"> vem se tornando um instrumento poderoso tanto para avaliação das políticas, bem como no uso de evidências para subsidiá</w:t>
      </w:r>
      <w:r>
        <w:rPr>
          <w:rFonts w:ascii="Arial" w:hAnsi="Arial" w:cs="Arial"/>
          <w:sz w:val="22"/>
          <w:szCs w:val="24"/>
        </w:rPr>
        <w:t>-</w:t>
      </w:r>
      <w:r w:rsidRPr="00650B7E">
        <w:rPr>
          <w:rFonts w:ascii="Arial" w:hAnsi="Arial" w:cs="Arial"/>
          <w:sz w:val="22"/>
          <w:szCs w:val="24"/>
        </w:rPr>
        <w:t>la.</w:t>
      </w:r>
    </w:p>
    <w:p w14:paraId="185D5FC9" w14:textId="77777777" w:rsidR="006356F1" w:rsidRDefault="006356F1" w:rsidP="006356F1">
      <w:pPr>
        <w:ind w:left="2268"/>
        <w:jc w:val="both"/>
        <w:rPr>
          <w:rFonts w:ascii="Arial" w:hAnsi="Arial" w:cs="Arial"/>
          <w:sz w:val="22"/>
          <w:szCs w:val="24"/>
        </w:rPr>
      </w:pPr>
      <w:r w:rsidRPr="00650B7E">
        <w:rPr>
          <w:rFonts w:ascii="Arial" w:hAnsi="Arial" w:cs="Arial"/>
          <w:sz w:val="22"/>
          <w:szCs w:val="24"/>
        </w:rPr>
        <w:t xml:space="preserve">Davies (2004) explica que políticas públicas baseadas em evidência são uma abordagem que ajuda as pessoas e os gestores públicos a tomar decisões informadas sobre políticas, projetos e programas utilizando a melhor evidência empírica disponível de pesquisas feitas com métodos rigorosos. </w:t>
      </w:r>
      <w:r w:rsidRPr="00650B7E">
        <w:rPr>
          <w:rFonts w:ascii="Arial" w:hAnsi="Arial" w:cs="Arial"/>
          <w:b/>
          <w:sz w:val="22"/>
          <w:szCs w:val="24"/>
        </w:rPr>
        <w:t>Essa metodologia contrasta com que o autor supracitado chama de políticas baseadas em opiniões, frequentemente fundamentadas em ideologia, preconceitos, achismo, e pouco uso de dados e evidência robusta</w:t>
      </w:r>
      <w:r w:rsidRPr="00650B7E">
        <w:rPr>
          <w:rFonts w:ascii="Arial" w:hAnsi="Arial" w:cs="Arial"/>
          <w:sz w:val="22"/>
          <w:szCs w:val="24"/>
        </w:rPr>
        <w:t>.</w:t>
      </w:r>
    </w:p>
    <w:p w14:paraId="513057D1" w14:textId="77777777" w:rsidR="006356F1" w:rsidRDefault="006356F1" w:rsidP="006356F1">
      <w:pPr>
        <w:ind w:left="2268"/>
        <w:jc w:val="both"/>
        <w:rPr>
          <w:rFonts w:ascii="Arial" w:hAnsi="Arial" w:cs="Arial"/>
          <w:sz w:val="22"/>
          <w:szCs w:val="24"/>
        </w:rPr>
      </w:pPr>
      <w:r w:rsidRPr="00650B7E">
        <w:rPr>
          <w:rFonts w:ascii="Arial" w:hAnsi="Arial" w:cs="Arial"/>
          <w:sz w:val="22"/>
          <w:szCs w:val="24"/>
        </w:rPr>
        <w:t xml:space="preserve">A preocupação com a avaliação de políticas públicas tem ganhado força na medida em que as sociedades brasileira e goiana sentem a </w:t>
      </w:r>
      <w:r w:rsidRPr="00650B7E">
        <w:rPr>
          <w:rFonts w:ascii="Arial" w:hAnsi="Arial" w:cs="Arial"/>
          <w:b/>
          <w:sz w:val="22"/>
          <w:szCs w:val="24"/>
        </w:rPr>
        <w:t>necessidade de usar seus recursos da melhor forma possível</w:t>
      </w:r>
      <w:r w:rsidRPr="00650B7E">
        <w:rPr>
          <w:rFonts w:ascii="Arial" w:hAnsi="Arial" w:cs="Arial"/>
          <w:sz w:val="22"/>
          <w:szCs w:val="24"/>
        </w:rPr>
        <w:t>. Vários programas e políticas em diversas áreas, tais como educação, saúde, transferência de renda e política tributária são lançados todos os anos nos mais variados níveis da administração pública.</w:t>
      </w:r>
    </w:p>
    <w:p w14:paraId="46A5D6CD" w14:textId="77777777" w:rsidR="006356F1" w:rsidRDefault="006356F1" w:rsidP="006356F1">
      <w:pPr>
        <w:ind w:left="2268"/>
        <w:jc w:val="both"/>
        <w:rPr>
          <w:rFonts w:ascii="Arial" w:hAnsi="Arial" w:cs="Arial"/>
          <w:sz w:val="22"/>
          <w:szCs w:val="24"/>
        </w:rPr>
      </w:pPr>
      <w:r w:rsidRPr="00650B7E">
        <w:rPr>
          <w:rFonts w:ascii="Arial" w:hAnsi="Arial" w:cs="Arial"/>
          <w:sz w:val="22"/>
          <w:szCs w:val="24"/>
        </w:rPr>
        <w:t>Assim, a avaliação de impacto (</w:t>
      </w:r>
      <w:r w:rsidRPr="00650B7E">
        <w:rPr>
          <w:rFonts w:ascii="Arial" w:hAnsi="Arial" w:cs="Arial"/>
          <w:i/>
          <w:sz w:val="22"/>
          <w:szCs w:val="24"/>
        </w:rPr>
        <w:t>impactevaluation</w:t>
      </w:r>
      <w:r w:rsidRPr="00650B7E">
        <w:rPr>
          <w:rFonts w:ascii="Arial" w:hAnsi="Arial" w:cs="Arial"/>
          <w:sz w:val="22"/>
          <w:szCs w:val="24"/>
        </w:rPr>
        <w:t>) é uma poderosa ferramenta para estimar o efeito de um determinado programa, ou seja, responder se o referido programa atingiu, ou não, seus objetivos iniciais e qual a magnitude desse efeito, ou seja, o principal desafio quando se fala de “políticas públicas” é saber o que funciona e porque funciona.</w:t>
      </w:r>
    </w:p>
    <w:p w14:paraId="632E4333" w14:textId="77777777" w:rsidR="006356F1" w:rsidRDefault="006356F1" w:rsidP="006356F1">
      <w:pPr>
        <w:ind w:left="2268"/>
        <w:jc w:val="both"/>
        <w:rPr>
          <w:rFonts w:ascii="Arial" w:hAnsi="Arial" w:cs="Arial"/>
          <w:sz w:val="22"/>
          <w:szCs w:val="24"/>
        </w:rPr>
      </w:pPr>
      <w:r>
        <w:rPr>
          <w:rFonts w:ascii="Arial" w:hAnsi="Arial" w:cs="Arial"/>
          <w:sz w:val="22"/>
          <w:szCs w:val="24"/>
        </w:rPr>
        <w:t>[...]</w:t>
      </w:r>
    </w:p>
    <w:p w14:paraId="00D4D55F" w14:textId="77777777" w:rsidR="006356F1" w:rsidRDefault="006356F1" w:rsidP="006356F1">
      <w:pPr>
        <w:ind w:left="2268"/>
        <w:jc w:val="both"/>
        <w:rPr>
          <w:rFonts w:ascii="Arial" w:hAnsi="Arial" w:cs="Arial"/>
          <w:sz w:val="22"/>
          <w:szCs w:val="24"/>
        </w:rPr>
      </w:pPr>
      <w:r w:rsidRPr="00650B7E">
        <w:rPr>
          <w:rFonts w:ascii="Arial" w:hAnsi="Arial" w:cs="Arial"/>
          <w:b/>
          <w:sz w:val="22"/>
          <w:szCs w:val="24"/>
        </w:rPr>
        <w:t>Em especial, o debate sobre incentivos fiscais tem sido objeto de debate acalorados, mas pouco consubstanciado em estudos técnicos profundos de ambas as partes</w:t>
      </w:r>
      <w:r w:rsidRPr="00650B7E">
        <w:rPr>
          <w:rFonts w:ascii="Arial" w:hAnsi="Arial" w:cs="Arial"/>
          <w:sz w:val="22"/>
          <w:szCs w:val="24"/>
        </w:rPr>
        <w:t>, tanto do Estado de Goiás, bem como por parte dos grupos beneficiados. Assim, no atual momento de ajuste fiscal, é primordial aos gestores públicos e ao cidadão goiano saber quais programas têm cumprido seu papel, e quais devem ser revistos ou até extintos.</w:t>
      </w:r>
      <w:r>
        <w:rPr>
          <w:rStyle w:val="Refdenotaderodap"/>
          <w:rFonts w:ascii="Arial" w:hAnsi="Arial" w:cs="Arial"/>
          <w:sz w:val="22"/>
          <w:szCs w:val="24"/>
        </w:rPr>
        <w:footnoteReference w:id="115"/>
      </w:r>
    </w:p>
    <w:p w14:paraId="000A48D3" w14:textId="77777777" w:rsidR="006356F1" w:rsidRDefault="006356F1" w:rsidP="006356F1">
      <w:pPr>
        <w:spacing w:line="360" w:lineRule="auto"/>
        <w:ind w:firstLine="851"/>
        <w:jc w:val="both"/>
        <w:rPr>
          <w:rFonts w:ascii="Arial" w:hAnsi="Arial" w:cs="Arial"/>
          <w:sz w:val="22"/>
          <w:szCs w:val="24"/>
        </w:rPr>
      </w:pPr>
    </w:p>
    <w:p w14:paraId="259879AE" w14:textId="77777777" w:rsidR="006356F1" w:rsidRDefault="006356F1" w:rsidP="006356F1">
      <w:pPr>
        <w:spacing w:line="360" w:lineRule="auto"/>
        <w:ind w:firstLine="851"/>
        <w:jc w:val="both"/>
        <w:rPr>
          <w:rFonts w:ascii="Arial" w:hAnsi="Arial" w:cs="Arial"/>
          <w:sz w:val="24"/>
          <w:szCs w:val="24"/>
        </w:rPr>
      </w:pPr>
      <w:r w:rsidRPr="00A33549">
        <w:rPr>
          <w:rFonts w:ascii="Arial" w:hAnsi="Arial" w:cs="Arial"/>
          <w:sz w:val="24"/>
          <w:szCs w:val="24"/>
        </w:rPr>
        <w:lastRenderedPageBreak/>
        <w:t>Assim, como já muitas vezes manifestamos durante os trabalhos desta Comissão, procuramos fazer uma análise sobre a efetividade do FOMENTAR e do PRODUZIR, reconhecendo bons frutos produzidos e propondo a extirpação de eventuais excessos.</w:t>
      </w:r>
      <w:r>
        <w:rPr>
          <w:rFonts w:ascii="Arial" w:hAnsi="Arial" w:cs="Arial"/>
          <w:sz w:val="24"/>
          <w:szCs w:val="24"/>
        </w:rPr>
        <w:t xml:space="preserve"> Nesse sentido:</w:t>
      </w:r>
    </w:p>
    <w:p w14:paraId="6580E1EF" w14:textId="77777777" w:rsidR="006356F1" w:rsidRDefault="006356F1" w:rsidP="006356F1">
      <w:pPr>
        <w:spacing w:line="360" w:lineRule="auto"/>
        <w:ind w:firstLine="851"/>
        <w:jc w:val="both"/>
        <w:rPr>
          <w:rFonts w:ascii="Arial" w:hAnsi="Arial" w:cs="Arial"/>
          <w:sz w:val="24"/>
          <w:szCs w:val="24"/>
        </w:rPr>
      </w:pPr>
    </w:p>
    <w:p w14:paraId="1C6879C3" w14:textId="77777777" w:rsidR="006356F1" w:rsidRPr="00647F13" w:rsidRDefault="006356F1" w:rsidP="006356F1">
      <w:pPr>
        <w:ind w:left="2268"/>
        <w:jc w:val="both"/>
        <w:rPr>
          <w:rFonts w:ascii="Arial" w:hAnsi="Arial" w:cs="Arial"/>
          <w:sz w:val="22"/>
          <w:szCs w:val="24"/>
        </w:rPr>
      </w:pPr>
      <w:r w:rsidRPr="00647F13">
        <w:rPr>
          <w:rFonts w:ascii="Arial" w:hAnsi="Arial" w:cs="Arial"/>
          <w:sz w:val="22"/>
          <w:szCs w:val="24"/>
        </w:rPr>
        <w:t xml:space="preserve">Na economia o debate sobre análise de causalidade tem como pano de fundo a decisão entre políticas. </w:t>
      </w:r>
      <w:r w:rsidRPr="00647F13">
        <w:rPr>
          <w:rFonts w:ascii="Arial" w:hAnsi="Arial" w:cs="Arial"/>
          <w:b/>
          <w:sz w:val="22"/>
          <w:szCs w:val="24"/>
        </w:rPr>
        <w:t>Para tomar uma decisão, os gestores públicos devem entender minimamente como as coisas funcionam e principalmente, qual o efeito que algumas mudanças podem acarretar</w:t>
      </w:r>
      <w:r w:rsidRPr="00647F13">
        <w:rPr>
          <w:rFonts w:ascii="Arial" w:hAnsi="Arial" w:cs="Arial"/>
          <w:sz w:val="22"/>
          <w:szCs w:val="24"/>
        </w:rPr>
        <w:t>. Assim, os métodos de avaliação de impacto têm avançado muito nos últimos anos incentivado pela discussão sobre inferência causal.</w:t>
      </w:r>
    </w:p>
    <w:p w14:paraId="6F13E73B" w14:textId="77777777" w:rsidR="006356F1" w:rsidRPr="00647F13" w:rsidRDefault="006356F1" w:rsidP="006356F1">
      <w:pPr>
        <w:ind w:left="2268"/>
        <w:jc w:val="both"/>
        <w:rPr>
          <w:rFonts w:ascii="Arial" w:hAnsi="Arial" w:cs="Arial"/>
          <w:sz w:val="22"/>
          <w:szCs w:val="24"/>
        </w:rPr>
      </w:pPr>
      <w:r w:rsidRPr="00647F13">
        <w:rPr>
          <w:rFonts w:ascii="Arial" w:hAnsi="Arial" w:cs="Arial"/>
          <w:sz w:val="22"/>
          <w:szCs w:val="24"/>
        </w:rPr>
        <w:t>Diante disso, uma avaliação de impacto para inferir como uma determinada política pública altera a vida das pessoas e de uma determinada região é desafiador. Holland (2019) aponta dois desafios para estimar o impacto de uma determinada intervenção, a saber: (i) a disponibilidade limitada de dados que permitam ao pesquisador observar todas as dimensões sociais, (ii) se refere à complexidade metodológica exigida para uma avaliação rigorosa, que seja capaz de concluir que as mudanças observadas no indivíduo, cidade ou região se devem ao programa/intervenção implementado.</w:t>
      </w:r>
    </w:p>
    <w:p w14:paraId="699AC7E1" w14:textId="77777777" w:rsidR="006356F1" w:rsidRPr="00647F13" w:rsidRDefault="006356F1" w:rsidP="006356F1">
      <w:pPr>
        <w:ind w:left="2268"/>
        <w:jc w:val="both"/>
        <w:rPr>
          <w:rFonts w:ascii="Arial" w:hAnsi="Arial" w:cs="Arial"/>
          <w:sz w:val="22"/>
          <w:szCs w:val="24"/>
        </w:rPr>
      </w:pPr>
      <w:r w:rsidRPr="00647F13">
        <w:rPr>
          <w:rFonts w:ascii="Arial" w:hAnsi="Arial" w:cs="Arial"/>
          <w:sz w:val="22"/>
          <w:szCs w:val="24"/>
        </w:rPr>
        <w:t xml:space="preserve">Os efeitos dessas avaliações têm uma variedade de usos possíveis. O mais obvio deles é </w:t>
      </w:r>
      <w:r w:rsidRPr="00647F13">
        <w:rPr>
          <w:rFonts w:ascii="Arial" w:hAnsi="Arial" w:cs="Arial"/>
          <w:b/>
          <w:sz w:val="22"/>
          <w:szCs w:val="24"/>
        </w:rPr>
        <w:t>a utilização das informações produzidas para a melhoria do desenho do próprio programa em questão</w:t>
      </w:r>
      <w:r w:rsidRPr="00647F13">
        <w:rPr>
          <w:rFonts w:ascii="Arial" w:hAnsi="Arial" w:cs="Arial"/>
          <w:sz w:val="22"/>
          <w:szCs w:val="24"/>
        </w:rPr>
        <w:t xml:space="preserve">. Ainda, as avaliações de impacto permitem </w:t>
      </w:r>
      <w:r w:rsidRPr="00647F13">
        <w:rPr>
          <w:rFonts w:ascii="Arial" w:hAnsi="Arial" w:cs="Arial"/>
          <w:b/>
          <w:sz w:val="22"/>
          <w:szCs w:val="24"/>
        </w:rPr>
        <w:t>verificar se os recursos estão sendo aplicados da forma mais adequada possível</w:t>
      </w:r>
      <w:r w:rsidRPr="00647F13">
        <w:rPr>
          <w:rFonts w:ascii="Arial" w:hAnsi="Arial" w:cs="Arial"/>
          <w:sz w:val="22"/>
          <w:szCs w:val="24"/>
        </w:rPr>
        <w:t>, ou seja, avaliar o efeito desse programa na sociedade. Do mesmo modo, assinalam-se possíveis pontos de melhoria do programa, bem como se verifica pontos que ultrapassaram a expectativa planejada.</w:t>
      </w:r>
      <w:r>
        <w:rPr>
          <w:rStyle w:val="Refdenotaderodap"/>
          <w:rFonts w:ascii="Arial" w:hAnsi="Arial" w:cs="Arial"/>
          <w:sz w:val="22"/>
          <w:szCs w:val="24"/>
        </w:rPr>
        <w:footnoteReference w:id="116"/>
      </w:r>
    </w:p>
    <w:p w14:paraId="71F2EFE8" w14:textId="77777777" w:rsidR="006356F1" w:rsidRDefault="006356F1" w:rsidP="006356F1">
      <w:pPr>
        <w:spacing w:line="360" w:lineRule="auto"/>
        <w:ind w:firstLine="851"/>
        <w:jc w:val="both"/>
        <w:rPr>
          <w:rFonts w:ascii="Arial" w:hAnsi="Arial" w:cs="Arial"/>
          <w:sz w:val="24"/>
          <w:szCs w:val="24"/>
        </w:rPr>
      </w:pPr>
    </w:p>
    <w:p w14:paraId="0FEA8A13" w14:textId="77777777" w:rsidR="006356F1" w:rsidRPr="00A33549" w:rsidRDefault="006356F1" w:rsidP="006356F1">
      <w:pPr>
        <w:spacing w:line="360" w:lineRule="auto"/>
        <w:ind w:firstLine="851"/>
        <w:jc w:val="both"/>
        <w:rPr>
          <w:rFonts w:ascii="Arial" w:hAnsi="Arial" w:cs="Arial"/>
          <w:sz w:val="24"/>
          <w:szCs w:val="24"/>
        </w:rPr>
      </w:pPr>
      <w:r>
        <w:rPr>
          <w:rFonts w:ascii="Arial" w:hAnsi="Arial" w:cs="Arial"/>
          <w:sz w:val="24"/>
          <w:szCs w:val="24"/>
        </w:rPr>
        <w:t>Reiteramos que, com os estudos utilizados, pretendemos obter uma visão cientificamente comprovada, por análise empírica, do real impacto dos programas FOMENTAR e PRODUZIR (não achismos ou alegações infundadas e tendenciosas), prezando por estabelecer relações de causalidade entre a política pública de incentivos fiscais e mudanças socioeconômicas, mas também ciente das dificuldades envolvidas nessa análise.</w:t>
      </w:r>
    </w:p>
    <w:p w14:paraId="33BFB8DE" w14:textId="0F80A6C1" w:rsidR="006356F1" w:rsidRDefault="00FC3F1C" w:rsidP="006356F1">
      <w:pPr>
        <w:spacing w:line="360" w:lineRule="auto"/>
        <w:ind w:firstLine="851"/>
        <w:jc w:val="both"/>
        <w:rPr>
          <w:rFonts w:ascii="Arial" w:hAnsi="Arial" w:cs="Arial"/>
          <w:sz w:val="24"/>
          <w:szCs w:val="24"/>
        </w:rPr>
      </w:pPr>
      <w:r>
        <w:rPr>
          <w:rFonts w:ascii="Arial" w:hAnsi="Arial" w:cs="Arial"/>
          <w:sz w:val="24"/>
          <w:szCs w:val="24"/>
        </w:rPr>
        <w:t>A</w:t>
      </w:r>
      <w:r w:rsidR="006356F1" w:rsidRPr="00A33549">
        <w:rPr>
          <w:rFonts w:ascii="Arial" w:hAnsi="Arial" w:cs="Arial"/>
          <w:sz w:val="24"/>
          <w:szCs w:val="24"/>
        </w:rPr>
        <w:t xml:space="preserve">presentaremos características que entendemos da maior importância no que tange a incentivos fiscais, em virtude de seus impactos socioeconômicos positivos, </w:t>
      </w:r>
      <w:r>
        <w:rPr>
          <w:rFonts w:ascii="Arial" w:hAnsi="Arial" w:cs="Arial"/>
          <w:sz w:val="24"/>
          <w:szCs w:val="24"/>
        </w:rPr>
        <w:t xml:space="preserve">que </w:t>
      </w:r>
      <w:r w:rsidR="006356F1" w:rsidRPr="00A33549">
        <w:rPr>
          <w:rFonts w:ascii="Arial" w:hAnsi="Arial" w:cs="Arial"/>
          <w:sz w:val="24"/>
          <w:szCs w:val="24"/>
        </w:rPr>
        <w:t>justifica</w:t>
      </w:r>
      <w:r>
        <w:rPr>
          <w:rFonts w:ascii="Arial" w:hAnsi="Arial" w:cs="Arial"/>
          <w:sz w:val="24"/>
          <w:szCs w:val="24"/>
        </w:rPr>
        <w:t>ria</w:t>
      </w:r>
      <w:r w:rsidR="006356F1" w:rsidRPr="00A33549">
        <w:rPr>
          <w:rFonts w:ascii="Arial" w:hAnsi="Arial" w:cs="Arial"/>
          <w:sz w:val="24"/>
          <w:szCs w:val="24"/>
        </w:rPr>
        <w:t>m os gastos públicos indiretos com a concessão de incentivos fiscais.</w:t>
      </w:r>
    </w:p>
    <w:p w14:paraId="5D23FECE"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lastRenderedPageBreak/>
        <w:t>Todavia, antes de analisarmos tais características, para fins de comparação, apresentamos tabela abaixo e gráfico elaborado pela CGE que apontam a distribuição dos benefícios fiscais aprovados no Estado por setor de atividade econômica:</w:t>
      </w:r>
    </w:p>
    <w:p w14:paraId="48F2FCBA" w14:textId="77777777" w:rsidR="006356F1" w:rsidRDefault="006356F1" w:rsidP="006356F1">
      <w:pPr>
        <w:spacing w:line="360" w:lineRule="auto"/>
        <w:ind w:firstLine="851"/>
        <w:jc w:val="both"/>
        <w:rPr>
          <w:rFonts w:ascii="Arial" w:hAnsi="Arial" w:cs="Arial"/>
          <w:sz w:val="24"/>
          <w:szCs w:val="24"/>
        </w:rPr>
      </w:pPr>
    </w:p>
    <w:tbl>
      <w:tblPr>
        <w:tblW w:w="9356" w:type="dxa"/>
        <w:tblCellMar>
          <w:left w:w="70" w:type="dxa"/>
          <w:right w:w="70" w:type="dxa"/>
        </w:tblCellMar>
        <w:tblLook w:val="04A0" w:firstRow="1" w:lastRow="0" w:firstColumn="1" w:lastColumn="0" w:noHBand="0" w:noVBand="1"/>
      </w:tblPr>
      <w:tblGrid>
        <w:gridCol w:w="6237"/>
        <w:gridCol w:w="1843"/>
        <w:gridCol w:w="1276"/>
      </w:tblGrid>
      <w:tr w:rsidR="006356F1" w:rsidRPr="00E9477F" w14:paraId="33907A8D" w14:textId="77777777" w:rsidTr="00217400">
        <w:trPr>
          <w:trHeight w:val="402"/>
        </w:trPr>
        <w:tc>
          <w:tcPr>
            <w:tcW w:w="9356" w:type="dxa"/>
            <w:gridSpan w:val="3"/>
            <w:tcBorders>
              <w:top w:val="nil"/>
              <w:bottom w:val="single" w:sz="4" w:space="0" w:color="auto"/>
            </w:tcBorders>
            <w:shd w:val="clear" w:color="auto" w:fill="auto"/>
            <w:noWrap/>
            <w:vAlign w:val="center"/>
            <w:hideMark/>
          </w:tcPr>
          <w:p w14:paraId="2CD647E2" w14:textId="77777777" w:rsidR="006356F1" w:rsidRPr="00BF3D6E" w:rsidRDefault="006356F1" w:rsidP="00217400">
            <w:pPr>
              <w:rPr>
                <w:rFonts w:ascii="Calibri" w:hAnsi="Calibri" w:cs="Calibri"/>
                <w:b/>
                <w:bCs/>
                <w:color w:val="000000"/>
                <w:sz w:val="20"/>
                <w:szCs w:val="22"/>
              </w:rPr>
            </w:pPr>
            <w:r w:rsidRPr="00BF3D6E">
              <w:rPr>
                <w:rFonts w:ascii="Calibri" w:hAnsi="Calibri" w:cs="Calibri"/>
                <w:b/>
                <w:bCs/>
                <w:color w:val="000000"/>
                <w:sz w:val="22"/>
                <w:szCs w:val="22"/>
              </w:rPr>
              <w:t>Distribuição dos benefícios aprovados por atividade -média de 2006 a 2017 (CNAE*)</w:t>
            </w:r>
          </w:p>
        </w:tc>
      </w:tr>
      <w:tr w:rsidR="006356F1" w:rsidRPr="00E9477F" w14:paraId="663FF31F"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48BA37B5" w14:textId="77777777" w:rsidR="006356F1" w:rsidRPr="00E9477F" w:rsidRDefault="006356F1" w:rsidP="00217400">
            <w:pPr>
              <w:jc w:val="center"/>
              <w:rPr>
                <w:rFonts w:ascii="Calibri" w:hAnsi="Calibri" w:cs="Calibri"/>
                <w:b/>
                <w:bCs/>
                <w:color w:val="000000"/>
                <w:sz w:val="20"/>
                <w:szCs w:val="22"/>
              </w:rPr>
            </w:pPr>
            <w:r w:rsidRPr="00E9477F">
              <w:rPr>
                <w:rFonts w:ascii="Calibri" w:hAnsi="Calibri" w:cs="Calibri"/>
                <w:b/>
                <w:bCs/>
                <w:color w:val="000000"/>
                <w:sz w:val="20"/>
                <w:szCs w:val="22"/>
              </w:rPr>
              <w:t xml:space="preserve">Atividade </w:t>
            </w:r>
          </w:p>
        </w:tc>
        <w:tc>
          <w:tcPr>
            <w:tcW w:w="1843" w:type="dxa"/>
            <w:tcBorders>
              <w:top w:val="nil"/>
              <w:left w:val="nil"/>
              <w:bottom w:val="single" w:sz="4" w:space="0" w:color="auto"/>
              <w:right w:val="single" w:sz="4" w:space="0" w:color="auto"/>
            </w:tcBorders>
            <w:shd w:val="clear" w:color="auto" w:fill="auto"/>
            <w:noWrap/>
            <w:vAlign w:val="center"/>
            <w:hideMark/>
          </w:tcPr>
          <w:p w14:paraId="2AF7F558" w14:textId="77777777" w:rsidR="006356F1" w:rsidRPr="00E9477F" w:rsidRDefault="006356F1" w:rsidP="00217400">
            <w:pPr>
              <w:jc w:val="center"/>
              <w:rPr>
                <w:rFonts w:ascii="Calibri" w:hAnsi="Calibri" w:cs="Calibri"/>
                <w:b/>
                <w:bCs/>
                <w:color w:val="000000"/>
                <w:sz w:val="20"/>
                <w:szCs w:val="22"/>
              </w:rPr>
            </w:pPr>
            <w:r w:rsidRPr="00E9477F">
              <w:rPr>
                <w:rFonts w:ascii="Calibri" w:hAnsi="Calibri" w:cs="Calibri"/>
                <w:b/>
                <w:bCs/>
                <w:color w:val="000000"/>
                <w:sz w:val="20"/>
                <w:szCs w:val="22"/>
              </w:rPr>
              <w:t>Porcentagem</w:t>
            </w:r>
          </w:p>
        </w:tc>
        <w:tc>
          <w:tcPr>
            <w:tcW w:w="1276" w:type="dxa"/>
            <w:tcBorders>
              <w:top w:val="nil"/>
              <w:left w:val="nil"/>
              <w:bottom w:val="single" w:sz="4" w:space="0" w:color="auto"/>
              <w:right w:val="single" w:sz="4" w:space="0" w:color="auto"/>
            </w:tcBorders>
            <w:shd w:val="clear" w:color="auto" w:fill="auto"/>
            <w:noWrap/>
            <w:vAlign w:val="center"/>
            <w:hideMark/>
          </w:tcPr>
          <w:p w14:paraId="058BFB9A" w14:textId="77777777" w:rsidR="006356F1" w:rsidRPr="00E9477F" w:rsidRDefault="006356F1" w:rsidP="00217400">
            <w:pPr>
              <w:jc w:val="center"/>
              <w:rPr>
                <w:rFonts w:ascii="Calibri" w:hAnsi="Calibri" w:cs="Calibri"/>
                <w:b/>
                <w:bCs/>
                <w:color w:val="000000"/>
                <w:sz w:val="20"/>
                <w:szCs w:val="22"/>
              </w:rPr>
            </w:pPr>
            <w:r w:rsidRPr="00E9477F">
              <w:rPr>
                <w:rFonts w:ascii="Calibri" w:hAnsi="Calibri" w:cs="Calibri"/>
                <w:b/>
                <w:bCs/>
                <w:color w:val="000000"/>
                <w:sz w:val="20"/>
                <w:szCs w:val="22"/>
              </w:rPr>
              <w:t xml:space="preserve">Colocação </w:t>
            </w:r>
          </w:p>
        </w:tc>
      </w:tr>
      <w:tr w:rsidR="006356F1" w:rsidRPr="00E9477F" w14:paraId="568CECA2"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3E5EE499"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Fabricação de álcool</w:t>
            </w:r>
          </w:p>
        </w:tc>
        <w:tc>
          <w:tcPr>
            <w:tcW w:w="1843" w:type="dxa"/>
            <w:tcBorders>
              <w:top w:val="nil"/>
              <w:left w:val="nil"/>
              <w:bottom w:val="single" w:sz="4" w:space="0" w:color="auto"/>
              <w:right w:val="single" w:sz="4" w:space="0" w:color="auto"/>
            </w:tcBorders>
            <w:shd w:val="clear" w:color="auto" w:fill="auto"/>
            <w:noWrap/>
            <w:vAlign w:val="bottom"/>
            <w:hideMark/>
          </w:tcPr>
          <w:p w14:paraId="5974907B"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18,8%</w:t>
            </w:r>
          </w:p>
        </w:tc>
        <w:tc>
          <w:tcPr>
            <w:tcW w:w="1276" w:type="dxa"/>
            <w:tcBorders>
              <w:top w:val="nil"/>
              <w:left w:val="nil"/>
              <w:bottom w:val="single" w:sz="4" w:space="0" w:color="auto"/>
              <w:right w:val="single" w:sz="4" w:space="0" w:color="auto"/>
            </w:tcBorders>
            <w:shd w:val="clear" w:color="auto" w:fill="auto"/>
            <w:noWrap/>
            <w:vAlign w:val="bottom"/>
            <w:hideMark/>
          </w:tcPr>
          <w:p w14:paraId="67D7A2C9"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1ª</w:t>
            </w:r>
          </w:p>
        </w:tc>
      </w:tr>
      <w:tr w:rsidR="006356F1" w:rsidRPr="00E9477F" w14:paraId="43C73F1D"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775EE71A"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 xml:space="preserve">Fabricação de produtos de metal não especificados outras </w:t>
            </w:r>
          </w:p>
        </w:tc>
        <w:tc>
          <w:tcPr>
            <w:tcW w:w="1843" w:type="dxa"/>
            <w:tcBorders>
              <w:top w:val="nil"/>
              <w:left w:val="nil"/>
              <w:bottom w:val="single" w:sz="4" w:space="0" w:color="auto"/>
              <w:right w:val="single" w:sz="4" w:space="0" w:color="auto"/>
            </w:tcBorders>
            <w:shd w:val="clear" w:color="auto" w:fill="auto"/>
            <w:noWrap/>
            <w:vAlign w:val="bottom"/>
            <w:hideMark/>
          </w:tcPr>
          <w:p w14:paraId="0ED4D200"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11,3%</w:t>
            </w:r>
          </w:p>
        </w:tc>
        <w:tc>
          <w:tcPr>
            <w:tcW w:w="1276" w:type="dxa"/>
            <w:tcBorders>
              <w:top w:val="nil"/>
              <w:left w:val="nil"/>
              <w:bottom w:val="single" w:sz="4" w:space="0" w:color="auto"/>
              <w:right w:val="single" w:sz="4" w:space="0" w:color="auto"/>
            </w:tcBorders>
            <w:shd w:val="clear" w:color="auto" w:fill="auto"/>
            <w:noWrap/>
            <w:vAlign w:val="bottom"/>
            <w:hideMark/>
          </w:tcPr>
          <w:p w14:paraId="1588FFBA"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2ª</w:t>
            </w:r>
          </w:p>
        </w:tc>
      </w:tr>
      <w:tr w:rsidR="006356F1" w:rsidRPr="00E9477F" w14:paraId="263C0E25"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4DCD0C62"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 xml:space="preserve">Fabricação de automóveis, camionetas e utilitários </w:t>
            </w:r>
          </w:p>
        </w:tc>
        <w:tc>
          <w:tcPr>
            <w:tcW w:w="1843" w:type="dxa"/>
            <w:tcBorders>
              <w:top w:val="nil"/>
              <w:left w:val="nil"/>
              <w:bottom w:val="single" w:sz="4" w:space="0" w:color="auto"/>
              <w:right w:val="single" w:sz="4" w:space="0" w:color="auto"/>
            </w:tcBorders>
            <w:shd w:val="clear" w:color="auto" w:fill="auto"/>
            <w:noWrap/>
            <w:vAlign w:val="bottom"/>
            <w:hideMark/>
          </w:tcPr>
          <w:p w14:paraId="4E60E511"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9,6%</w:t>
            </w:r>
          </w:p>
        </w:tc>
        <w:tc>
          <w:tcPr>
            <w:tcW w:w="1276" w:type="dxa"/>
            <w:tcBorders>
              <w:top w:val="nil"/>
              <w:left w:val="nil"/>
              <w:bottom w:val="single" w:sz="4" w:space="0" w:color="auto"/>
              <w:right w:val="single" w:sz="4" w:space="0" w:color="auto"/>
            </w:tcBorders>
            <w:shd w:val="clear" w:color="auto" w:fill="auto"/>
            <w:noWrap/>
            <w:vAlign w:val="bottom"/>
            <w:hideMark/>
          </w:tcPr>
          <w:p w14:paraId="7640925E"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3ª</w:t>
            </w:r>
          </w:p>
        </w:tc>
      </w:tr>
      <w:tr w:rsidR="006356F1" w:rsidRPr="00E9477F" w14:paraId="66027F95"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68F76DCB"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Fabricação de óleos vegetais em bruto, exceto óleo de milho</w:t>
            </w:r>
          </w:p>
        </w:tc>
        <w:tc>
          <w:tcPr>
            <w:tcW w:w="1843" w:type="dxa"/>
            <w:tcBorders>
              <w:top w:val="nil"/>
              <w:left w:val="nil"/>
              <w:bottom w:val="single" w:sz="4" w:space="0" w:color="auto"/>
              <w:right w:val="single" w:sz="4" w:space="0" w:color="auto"/>
            </w:tcBorders>
            <w:shd w:val="clear" w:color="auto" w:fill="auto"/>
            <w:noWrap/>
            <w:vAlign w:val="bottom"/>
            <w:hideMark/>
          </w:tcPr>
          <w:p w14:paraId="773BE21B"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8,4%</w:t>
            </w:r>
          </w:p>
        </w:tc>
        <w:tc>
          <w:tcPr>
            <w:tcW w:w="1276" w:type="dxa"/>
            <w:tcBorders>
              <w:top w:val="nil"/>
              <w:left w:val="nil"/>
              <w:bottom w:val="single" w:sz="4" w:space="0" w:color="auto"/>
              <w:right w:val="single" w:sz="4" w:space="0" w:color="auto"/>
            </w:tcBorders>
            <w:shd w:val="clear" w:color="auto" w:fill="auto"/>
            <w:noWrap/>
            <w:vAlign w:val="bottom"/>
            <w:hideMark/>
          </w:tcPr>
          <w:p w14:paraId="4F5E0C16"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4ª</w:t>
            </w:r>
          </w:p>
        </w:tc>
      </w:tr>
      <w:tr w:rsidR="006356F1" w:rsidRPr="00E9477F" w14:paraId="40E3C386"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08E55DEF"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 xml:space="preserve">Fabricação de açúcar em bruto </w:t>
            </w:r>
          </w:p>
        </w:tc>
        <w:tc>
          <w:tcPr>
            <w:tcW w:w="1843" w:type="dxa"/>
            <w:tcBorders>
              <w:top w:val="nil"/>
              <w:left w:val="nil"/>
              <w:bottom w:val="single" w:sz="4" w:space="0" w:color="auto"/>
              <w:right w:val="single" w:sz="4" w:space="0" w:color="auto"/>
            </w:tcBorders>
            <w:shd w:val="clear" w:color="auto" w:fill="auto"/>
            <w:noWrap/>
            <w:vAlign w:val="bottom"/>
            <w:hideMark/>
          </w:tcPr>
          <w:p w14:paraId="62515564"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5,6%</w:t>
            </w:r>
          </w:p>
        </w:tc>
        <w:tc>
          <w:tcPr>
            <w:tcW w:w="1276" w:type="dxa"/>
            <w:tcBorders>
              <w:top w:val="nil"/>
              <w:left w:val="nil"/>
              <w:bottom w:val="single" w:sz="4" w:space="0" w:color="auto"/>
              <w:right w:val="single" w:sz="4" w:space="0" w:color="auto"/>
            </w:tcBorders>
            <w:shd w:val="clear" w:color="auto" w:fill="auto"/>
            <w:noWrap/>
            <w:vAlign w:val="bottom"/>
            <w:hideMark/>
          </w:tcPr>
          <w:p w14:paraId="6545C6AD"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5ª</w:t>
            </w:r>
          </w:p>
        </w:tc>
      </w:tr>
      <w:tr w:rsidR="006356F1" w:rsidRPr="00E9477F" w14:paraId="46571564"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7CD0BC00"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Fabricação de especiarias , molhos, temperos e condimentos</w:t>
            </w:r>
          </w:p>
        </w:tc>
        <w:tc>
          <w:tcPr>
            <w:tcW w:w="1843" w:type="dxa"/>
            <w:tcBorders>
              <w:top w:val="nil"/>
              <w:left w:val="nil"/>
              <w:bottom w:val="single" w:sz="4" w:space="0" w:color="auto"/>
              <w:right w:val="single" w:sz="4" w:space="0" w:color="auto"/>
            </w:tcBorders>
            <w:shd w:val="clear" w:color="auto" w:fill="auto"/>
            <w:noWrap/>
            <w:vAlign w:val="bottom"/>
            <w:hideMark/>
          </w:tcPr>
          <w:p w14:paraId="6EC94169"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4,9%</w:t>
            </w:r>
          </w:p>
        </w:tc>
        <w:tc>
          <w:tcPr>
            <w:tcW w:w="1276" w:type="dxa"/>
            <w:tcBorders>
              <w:top w:val="nil"/>
              <w:left w:val="nil"/>
              <w:bottom w:val="single" w:sz="4" w:space="0" w:color="auto"/>
              <w:right w:val="single" w:sz="4" w:space="0" w:color="auto"/>
            </w:tcBorders>
            <w:shd w:val="clear" w:color="auto" w:fill="auto"/>
            <w:noWrap/>
            <w:vAlign w:val="bottom"/>
            <w:hideMark/>
          </w:tcPr>
          <w:p w14:paraId="39DF4B43"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6ª</w:t>
            </w:r>
          </w:p>
        </w:tc>
      </w:tr>
      <w:tr w:rsidR="006356F1" w:rsidRPr="00E9477F" w14:paraId="25C4BD5C"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15DC852E"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Fabricação de medicamentos para o uso humano</w:t>
            </w:r>
          </w:p>
        </w:tc>
        <w:tc>
          <w:tcPr>
            <w:tcW w:w="1843" w:type="dxa"/>
            <w:tcBorders>
              <w:top w:val="nil"/>
              <w:left w:val="nil"/>
              <w:bottom w:val="single" w:sz="4" w:space="0" w:color="auto"/>
              <w:right w:val="single" w:sz="4" w:space="0" w:color="auto"/>
            </w:tcBorders>
            <w:shd w:val="clear" w:color="auto" w:fill="auto"/>
            <w:noWrap/>
            <w:vAlign w:val="bottom"/>
            <w:hideMark/>
          </w:tcPr>
          <w:p w14:paraId="47EE061C"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4,3%</w:t>
            </w:r>
          </w:p>
        </w:tc>
        <w:tc>
          <w:tcPr>
            <w:tcW w:w="1276" w:type="dxa"/>
            <w:tcBorders>
              <w:top w:val="nil"/>
              <w:left w:val="nil"/>
              <w:bottom w:val="single" w:sz="4" w:space="0" w:color="auto"/>
              <w:right w:val="single" w:sz="4" w:space="0" w:color="auto"/>
            </w:tcBorders>
            <w:shd w:val="clear" w:color="auto" w:fill="auto"/>
            <w:noWrap/>
            <w:vAlign w:val="bottom"/>
            <w:hideMark/>
          </w:tcPr>
          <w:p w14:paraId="116D3631"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7ª</w:t>
            </w:r>
          </w:p>
        </w:tc>
      </w:tr>
      <w:tr w:rsidR="006356F1" w:rsidRPr="00E9477F" w14:paraId="7ABF898D"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07A137CF"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 xml:space="preserve">Abate de suínos, aves e outros pequenos animais </w:t>
            </w:r>
          </w:p>
        </w:tc>
        <w:tc>
          <w:tcPr>
            <w:tcW w:w="1843" w:type="dxa"/>
            <w:tcBorders>
              <w:top w:val="nil"/>
              <w:left w:val="nil"/>
              <w:bottom w:val="single" w:sz="4" w:space="0" w:color="auto"/>
              <w:right w:val="single" w:sz="4" w:space="0" w:color="auto"/>
            </w:tcBorders>
            <w:shd w:val="clear" w:color="auto" w:fill="auto"/>
            <w:noWrap/>
            <w:vAlign w:val="bottom"/>
            <w:hideMark/>
          </w:tcPr>
          <w:p w14:paraId="4EE6BB51"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3,7%</w:t>
            </w:r>
          </w:p>
        </w:tc>
        <w:tc>
          <w:tcPr>
            <w:tcW w:w="1276" w:type="dxa"/>
            <w:tcBorders>
              <w:top w:val="nil"/>
              <w:left w:val="nil"/>
              <w:bottom w:val="single" w:sz="4" w:space="0" w:color="auto"/>
              <w:right w:val="single" w:sz="4" w:space="0" w:color="auto"/>
            </w:tcBorders>
            <w:shd w:val="clear" w:color="auto" w:fill="auto"/>
            <w:noWrap/>
            <w:vAlign w:val="bottom"/>
            <w:hideMark/>
          </w:tcPr>
          <w:p w14:paraId="04ACF855"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8ª</w:t>
            </w:r>
          </w:p>
        </w:tc>
      </w:tr>
      <w:tr w:rsidR="006356F1" w:rsidRPr="00E9477F" w14:paraId="6E0987AC"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210CDAAA"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 xml:space="preserve">Fabricação de óleos vegetais refinados, exceto óleo de milho </w:t>
            </w:r>
          </w:p>
        </w:tc>
        <w:tc>
          <w:tcPr>
            <w:tcW w:w="1843" w:type="dxa"/>
            <w:tcBorders>
              <w:top w:val="nil"/>
              <w:left w:val="nil"/>
              <w:bottom w:val="single" w:sz="4" w:space="0" w:color="auto"/>
              <w:right w:val="single" w:sz="4" w:space="0" w:color="auto"/>
            </w:tcBorders>
            <w:shd w:val="clear" w:color="auto" w:fill="auto"/>
            <w:noWrap/>
            <w:vAlign w:val="bottom"/>
            <w:hideMark/>
          </w:tcPr>
          <w:p w14:paraId="052D69BA"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3,0%</w:t>
            </w:r>
          </w:p>
        </w:tc>
        <w:tc>
          <w:tcPr>
            <w:tcW w:w="1276" w:type="dxa"/>
            <w:tcBorders>
              <w:top w:val="nil"/>
              <w:left w:val="nil"/>
              <w:bottom w:val="single" w:sz="4" w:space="0" w:color="auto"/>
              <w:right w:val="single" w:sz="4" w:space="0" w:color="auto"/>
            </w:tcBorders>
            <w:shd w:val="clear" w:color="auto" w:fill="auto"/>
            <w:noWrap/>
            <w:vAlign w:val="bottom"/>
            <w:hideMark/>
          </w:tcPr>
          <w:p w14:paraId="3A3DC05D"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9ª</w:t>
            </w:r>
          </w:p>
        </w:tc>
      </w:tr>
      <w:tr w:rsidR="006356F1" w:rsidRPr="00E9477F" w14:paraId="242A0A9A"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7EA6D428"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 xml:space="preserve">Fabricação de laticínios </w:t>
            </w:r>
          </w:p>
        </w:tc>
        <w:tc>
          <w:tcPr>
            <w:tcW w:w="1843" w:type="dxa"/>
            <w:tcBorders>
              <w:top w:val="nil"/>
              <w:left w:val="nil"/>
              <w:bottom w:val="single" w:sz="4" w:space="0" w:color="auto"/>
              <w:right w:val="single" w:sz="4" w:space="0" w:color="auto"/>
            </w:tcBorders>
            <w:shd w:val="clear" w:color="auto" w:fill="auto"/>
            <w:noWrap/>
            <w:vAlign w:val="bottom"/>
            <w:hideMark/>
          </w:tcPr>
          <w:p w14:paraId="6125FA57"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2,8%</w:t>
            </w:r>
          </w:p>
        </w:tc>
        <w:tc>
          <w:tcPr>
            <w:tcW w:w="1276" w:type="dxa"/>
            <w:tcBorders>
              <w:top w:val="nil"/>
              <w:left w:val="nil"/>
              <w:bottom w:val="single" w:sz="4" w:space="0" w:color="auto"/>
              <w:right w:val="single" w:sz="4" w:space="0" w:color="auto"/>
            </w:tcBorders>
            <w:shd w:val="clear" w:color="auto" w:fill="auto"/>
            <w:noWrap/>
            <w:vAlign w:val="bottom"/>
            <w:hideMark/>
          </w:tcPr>
          <w:p w14:paraId="0901C688"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10ª</w:t>
            </w:r>
          </w:p>
        </w:tc>
      </w:tr>
      <w:tr w:rsidR="006356F1" w:rsidRPr="00E9477F" w14:paraId="35C03E37"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7BE57C73"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 xml:space="preserve">Fabricação de conservas de legumes e outros vegetais </w:t>
            </w:r>
          </w:p>
        </w:tc>
        <w:tc>
          <w:tcPr>
            <w:tcW w:w="1843" w:type="dxa"/>
            <w:tcBorders>
              <w:top w:val="nil"/>
              <w:left w:val="nil"/>
              <w:bottom w:val="single" w:sz="4" w:space="0" w:color="auto"/>
              <w:right w:val="single" w:sz="4" w:space="0" w:color="auto"/>
            </w:tcBorders>
            <w:shd w:val="clear" w:color="auto" w:fill="auto"/>
            <w:noWrap/>
            <w:vAlign w:val="bottom"/>
            <w:hideMark/>
          </w:tcPr>
          <w:p w14:paraId="2DE4450F"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2,5%</w:t>
            </w:r>
          </w:p>
        </w:tc>
        <w:tc>
          <w:tcPr>
            <w:tcW w:w="1276" w:type="dxa"/>
            <w:tcBorders>
              <w:top w:val="nil"/>
              <w:left w:val="nil"/>
              <w:bottom w:val="single" w:sz="4" w:space="0" w:color="auto"/>
              <w:right w:val="single" w:sz="4" w:space="0" w:color="auto"/>
            </w:tcBorders>
            <w:shd w:val="clear" w:color="auto" w:fill="auto"/>
            <w:noWrap/>
            <w:vAlign w:val="bottom"/>
            <w:hideMark/>
          </w:tcPr>
          <w:p w14:paraId="293A1EE7"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11ª</w:t>
            </w:r>
          </w:p>
        </w:tc>
      </w:tr>
      <w:tr w:rsidR="006356F1" w:rsidRPr="00E9477F" w14:paraId="4AD7B9CF"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2B1F8399"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Fabricação de malte, cervejas e chopes</w:t>
            </w:r>
          </w:p>
        </w:tc>
        <w:tc>
          <w:tcPr>
            <w:tcW w:w="1843" w:type="dxa"/>
            <w:tcBorders>
              <w:top w:val="nil"/>
              <w:left w:val="nil"/>
              <w:bottom w:val="single" w:sz="4" w:space="0" w:color="auto"/>
              <w:right w:val="single" w:sz="4" w:space="0" w:color="auto"/>
            </w:tcBorders>
            <w:shd w:val="clear" w:color="auto" w:fill="auto"/>
            <w:noWrap/>
            <w:vAlign w:val="bottom"/>
            <w:hideMark/>
          </w:tcPr>
          <w:p w14:paraId="73084039"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1,9%</w:t>
            </w:r>
          </w:p>
        </w:tc>
        <w:tc>
          <w:tcPr>
            <w:tcW w:w="1276" w:type="dxa"/>
            <w:tcBorders>
              <w:top w:val="nil"/>
              <w:left w:val="nil"/>
              <w:bottom w:val="single" w:sz="4" w:space="0" w:color="auto"/>
              <w:right w:val="single" w:sz="4" w:space="0" w:color="auto"/>
            </w:tcBorders>
            <w:shd w:val="clear" w:color="auto" w:fill="auto"/>
            <w:noWrap/>
            <w:vAlign w:val="bottom"/>
            <w:hideMark/>
          </w:tcPr>
          <w:p w14:paraId="1E94BB07"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12ª</w:t>
            </w:r>
          </w:p>
        </w:tc>
      </w:tr>
      <w:tr w:rsidR="006356F1" w:rsidRPr="00E9477F" w14:paraId="176E59EB"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510011DD"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 xml:space="preserve">Fabricação de refrigerantes e de outras bebidas não alcoólicas </w:t>
            </w:r>
          </w:p>
        </w:tc>
        <w:tc>
          <w:tcPr>
            <w:tcW w:w="1843" w:type="dxa"/>
            <w:tcBorders>
              <w:top w:val="nil"/>
              <w:left w:val="nil"/>
              <w:bottom w:val="single" w:sz="4" w:space="0" w:color="auto"/>
              <w:right w:val="single" w:sz="4" w:space="0" w:color="auto"/>
            </w:tcBorders>
            <w:shd w:val="clear" w:color="auto" w:fill="auto"/>
            <w:noWrap/>
            <w:vAlign w:val="bottom"/>
            <w:hideMark/>
          </w:tcPr>
          <w:p w14:paraId="0ABA390F"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1,9%</w:t>
            </w:r>
          </w:p>
        </w:tc>
        <w:tc>
          <w:tcPr>
            <w:tcW w:w="1276" w:type="dxa"/>
            <w:tcBorders>
              <w:top w:val="nil"/>
              <w:left w:val="nil"/>
              <w:bottom w:val="single" w:sz="4" w:space="0" w:color="auto"/>
              <w:right w:val="single" w:sz="4" w:space="0" w:color="auto"/>
            </w:tcBorders>
            <w:shd w:val="clear" w:color="auto" w:fill="auto"/>
            <w:noWrap/>
            <w:vAlign w:val="bottom"/>
            <w:hideMark/>
          </w:tcPr>
          <w:p w14:paraId="252BABE6"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12ª</w:t>
            </w:r>
          </w:p>
        </w:tc>
      </w:tr>
      <w:tr w:rsidR="006356F1" w:rsidRPr="00E9477F" w14:paraId="235D3154"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7F7C4B28"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Fabricação de máquinas e</w:t>
            </w:r>
            <w:r>
              <w:rPr>
                <w:rFonts w:ascii="Calibri" w:hAnsi="Calibri" w:cs="Calibri"/>
                <w:color w:val="000000"/>
                <w:sz w:val="20"/>
                <w:szCs w:val="22"/>
              </w:rPr>
              <w:t xml:space="preserve"> equipamentos para agricultura</w:t>
            </w:r>
          </w:p>
        </w:tc>
        <w:tc>
          <w:tcPr>
            <w:tcW w:w="1843" w:type="dxa"/>
            <w:tcBorders>
              <w:top w:val="nil"/>
              <w:left w:val="nil"/>
              <w:bottom w:val="single" w:sz="4" w:space="0" w:color="auto"/>
              <w:right w:val="single" w:sz="4" w:space="0" w:color="auto"/>
            </w:tcBorders>
            <w:shd w:val="clear" w:color="auto" w:fill="auto"/>
            <w:noWrap/>
            <w:vAlign w:val="bottom"/>
            <w:hideMark/>
          </w:tcPr>
          <w:p w14:paraId="5E5C45F9"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1,3%</w:t>
            </w:r>
          </w:p>
        </w:tc>
        <w:tc>
          <w:tcPr>
            <w:tcW w:w="1276" w:type="dxa"/>
            <w:tcBorders>
              <w:top w:val="nil"/>
              <w:left w:val="nil"/>
              <w:bottom w:val="single" w:sz="4" w:space="0" w:color="auto"/>
              <w:right w:val="single" w:sz="4" w:space="0" w:color="auto"/>
            </w:tcBorders>
            <w:shd w:val="clear" w:color="auto" w:fill="auto"/>
            <w:noWrap/>
            <w:vAlign w:val="bottom"/>
            <w:hideMark/>
          </w:tcPr>
          <w:p w14:paraId="14F558D2"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13ª</w:t>
            </w:r>
          </w:p>
        </w:tc>
      </w:tr>
      <w:tr w:rsidR="006356F1" w:rsidRPr="00E9477F" w14:paraId="62FAA380"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493A3077"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 xml:space="preserve">Cultivo de cana-de-açúcar </w:t>
            </w:r>
          </w:p>
        </w:tc>
        <w:tc>
          <w:tcPr>
            <w:tcW w:w="1843" w:type="dxa"/>
            <w:tcBorders>
              <w:top w:val="nil"/>
              <w:left w:val="nil"/>
              <w:bottom w:val="single" w:sz="4" w:space="0" w:color="auto"/>
              <w:right w:val="single" w:sz="4" w:space="0" w:color="auto"/>
            </w:tcBorders>
            <w:shd w:val="clear" w:color="auto" w:fill="auto"/>
            <w:noWrap/>
            <w:vAlign w:val="bottom"/>
            <w:hideMark/>
          </w:tcPr>
          <w:p w14:paraId="586233F9"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1,3%</w:t>
            </w:r>
          </w:p>
        </w:tc>
        <w:tc>
          <w:tcPr>
            <w:tcW w:w="1276" w:type="dxa"/>
            <w:tcBorders>
              <w:top w:val="nil"/>
              <w:left w:val="nil"/>
              <w:bottom w:val="single" w:sz="4" w:space="0" w:color="auto"/>
              <w:right w:val="single" w:sz="4" w:space="0" w:color="auto"/>
            </w:tcBorders>
            <w:shd w:val="clear" w:color="auto" w:fill="auto"/>
            <w:noWrap/>
            <w:vAlign w:val="bottom"/>
            <w:hideMark/>
          </w:tcPr>
          <w:p w14:paraId="4A70C321"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13ª</w:t>
            </w:r>
          </w:p>
        </w:tc>
      </w:tr>
      <w:tr w:rsidR="006356F1" w:rsidRPr="00E9477F" w14:paraId="269E1C19"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445F4F86"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Fabricação de produtos alimentícios não especificados.</w:t>
            </w:r>
          </w:p>
        </w:tc>
        <w:tc>
          <w:tcPr>
            <w:tcW w:w="1843" w:type="dxa"/>
            <w:tcBorders>
              <w:top w:val="nil"/>
              <w:left w:val="nil"/>
              <w:bottom w:val="single" w:sz="4" w:space="0" w:color="auto"/>
              <w:right w:val="single" w:sz="4" w:space="0" w:color="auto"/>
            </w:tcBorders>
            <w:shd w:val="clear" w:color="auto" w:fill="auto"/>
            <w:noWrap/>
            <w:vAlign w:val="bottom"/>
            <w:hideMark/>
          </w:tcPr>
          <w:p w14:paraId="177AA259"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1,2%</w:t>
            </w:r>
          </w:p>
        </w:tc>
        <w:tc>
          <w:tcPr>
            <w:tcW w:w="1276" w:type="dxa"/>
            <w:tcBorders>
              <w:top w:val="nil"/>
              <w:left w:val="nil"/>
              <w:bottom w:val="single" w:sz="4" w:space="0" w:color="auto"/>
              <w:right w:val="single" w:sz="4" w:space="0" w:color="auto"/>
            </w:tcBorders>
            <w:shd w:val="clear" w:color="auto" w:fill="auto"/>
            <w:noWrap/>
            <w:vAlign w:val="bottom"/>
            <w:hideMark/>
          </w:tcPr>
          <w:p w14:paraId="56B2DB91"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14ª</w:t>
            </w:r>
          </w:p>
        </w:tc>
      </w:tr>
      <w:tr w:rsidR="006356F1" w:rsidRPr="00E9477F" w14:paraId="4A061FEF" w14:textId="77777777" w:rsidTr="00217400">
        <w:trPr>
          <w:trHeight w:val="402"/>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1AA8BD6E" w14:textId="77777777" w:rsidR="006356F1" w:rsidRPr="00E9477F" w:rsidRDefault="006356F1" w:rsidP="00217400">
            <w:pPr>
              <w:rPr>
                <w:rFonts w:ascii="Calibri" w:hAnsi="Calibri" w:cs="Calibri"/>
                <w:color w:val="000000"/>
                <w:sz w:val="20"/>
                <w:szCs w:val="22"/>
              </w:rPr>
            </w:pPr>
            <w:r w:rsidRPr="00E9477F">
              <w:rPr>
                <w:rFonts w:ascii="Calibri" w:hAnsi="Calibri" w:cs="Calibri"/>
                <w:color w:val="000000"/>
                <w:sz w:val="20"/>
                <w:szCs w:val="22"/>
              </w:rPr>
              <w:t xml:space="preserve">Fabricação de biscoitos e bolachas </w:t>
            </w:r>
          </w:p>
        </w:tc>
        <w:tc>
          <w:tcPr>
            <w:tcW w:w="1843" w:type="dxa"/>
            <w:tcBorders>
              <w:top w:val="nil"/>
              <w:left w:val="nil"/>
              <w:bottom w:val="single" w:sz="4" w:space="0" w:color="auto"/>
              <w:right w:val="single" w:sz="4" w:space="0" w:color="auto"/>
            </w:tcBorders>
            <w:shd w:val="clear" w:color="auto" w:fill="auto"/>
            <w:noWrap/>
            <w:vAlign w:val="bottom"/>
            <w:hideMark/>
          </w:tcPr>
          <w:p w14:paraId="5677F056"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1,1%</w:t>
            </w:r>
          </w:p>
        </w:tc>
        <w:tc>
          <w:tcPr>
            <w:tcW w:w="1276" w:type="dxa"/>
            <w:tcBorders>
              <w:top w:val="nil"/>
              <w:left w:val="nil"/>
              <w:bottom w:val="single" w:sz="4" w:space="0" w:color="auto"/>
              <w:right w:val="single" w:sz="4" w:space="0" w:color="auto"/>
            </w:tcBorders>
            <w:shd w:val="clear" w:color="auto" w:fill="auto"/>
            <w:noWrap/>
            <w:vAlign w:val="bottom"/>
            <w:hideMark/>
          </w:tcPr>
          <w:p w14:paraId="524C091B" w14:textId="77777777" w:rsidR="006356F1" w:rsidRPr="00E9477F" w:rsidRDefault="006356F1" w:rsidP="00217400">
            <w:pPr>
              <w:jc w:val="center"/>
              <w:rPr>
                <w:rFonts w:ascii="Calibri" w:hAnsi="Calibri" w:cs="Calibri"/>
                <w:color w:val="000000"/>
                <w:sz w:val="20"/>
                <w:szCs w:val="22"/>
              </w:rPr>
            </w:pPr>
            <w:r w:rsidRPr="00E9477F">
              <w:rPr>
                <w:rFonts w:ascii="Calibri" w:hAnsi="Calibri" w:cs="Calibri"/>
                <w:color w:val="000000"/>
                <w:sz w:val="20"/>
                <w:szCs w:val="22"/>
              </w:rPr>
              <w:t>15ª</w:t>
            </w:r>
          </w:p>
        </w:tc>
      </w:tr>
      <w:tr w:rsidR="006356F1" w:rsidRPr="00E9477F" w14:paraId="30CEF3D9" w14:textId="77777777" w:rsidTr="00217400">
        <w:trPr>
          <w:trHeight w:val="720"/>
        </w:trPr>
        <w:tc>
          <w:tcPr>
            <w:tcW w:w="9356" w:type="dxa"/>
            <w:gridSpan w:val="3"/>
            <w:tcBorders>
              <w:top w:val="single" w:sz="4" w:space="0" w:color="auto"/>
              <w:left w:val="nil"/>
              <w:bottom w:val="nil"/>
              <w:right w:val="nil"/>
            </w:tcBorders>
            <w:shd w:val="clear" w:color="auto" w:fill="auto"/>
            <w:vAlign w:val="center"/>
            <w:hideMark/>
          </w:tcPr>
          <w:p w14:paraId="6803E678" w14:textId="77777777" w:rsidR="006356F1" w:rsidRDefault="006356F1" w:rsidP="00217400">
            <w:pPr>
              <w:rPr>
                <w:rFonts w:ascii="Calibri" w:hAnsi="Calibri" w:cs="Calibri"/>
                <w:color w:val="000000"/>
                <w:sz w:val="20"/>
                <w:szCs w:val="18"/>
              </w:rPr>
            </w:pPr>
            <w:r w:rsidRPr="00E9477F">
              <w:rPr>
                <w:rFonts w:ascii="Calibri" w:hAnsi="Calibri" w:cs="Calibri"/>
                <w:color w:val="000000"/>
                <w:sz w:val="20"/>
                <w:szCs w:val="18"/>
              </w:rPr>
              <w:t>Fonte: Secretaria de Indústri</w:t>
            </w:r>
            <w:r>
              <w:rPr>
                <w:rFonts w:ascii="Calibri" w:hAnsi="Calibri" w:cs="Calibri"/>
                <w:color w:val="000000"/>
                <w:sz w:val="20"/>
                <w:szCs w:val="18"/>
              </w:rPr>
              <w:t>a e Comércio do Estado de Goiás</w:t>
            </w:r>
          </w:p>
          <w:p w14:paraId="78AD70D8" w14:textId="77777777" w:rsidR="006356F1" w:rsidRPr="00E9477F" w:rsidRDefault="006356F1" w:rsidP="00217400">
            <w:pPr>
              <w:rPr>
                <w:rFonts w:ascii="Calibri" w:hAnsi="Calibri" w:cs="Calibri"/>
                <w:color w:val="000000"/>
                <w:sz w:val="20"/>
                <w:szCs w:val="18"/>
              </w:rPr>
            </w:pPr>
            <w:r w:rsidRPr="00E9477F">
              <w:rPr>
                <w:rFonts w:ascii="Calibri" w:hAnsi="Calibri" w:cs="Calibri"/>
                <w:color w:val="000000"/>
                <w:sz w:val="20"/>
                <w:szCs w:val="18"/>
              </w:rPr>
              <w:t>*Classificação CNAE - Classificação de Atividade Econômica feita conforme empresas que constavam na base de 2014, 2015 ou 2016 (as empresas que iniciaram suas atividades em 2017 não constam).</w:t>
            </w:r>
          </w:p>
        </w:tc>
      </w:tr>
    </w:tbl>
    <w:p w14:paraId="0E6D9C88" w14:textId="77777777" w:rsidR="006356F1" w:rsidRDefault="006356F1" w:rsidP="006356F1">
      <w:pPr>
        <w:spacing w:line="360" w:lineRule="auto"/>
        <w:ind w:firstLine="851"/>
        <w:jc w:val="both"/>
        <w:rPr>
          <w:rFonts w:ascii="Arial" w:hAnsi="Arial" w:cs="Arial"/>
          <w:sz w:val="24"/>
          <w:szCs w:val="24"/>
        </w:rPr>
      </w:pPr>
    </w:p>
    <w:p w14:paraId="1E1AD8F0" w14:textId="77777777" w:rsidR="006356F1" w:rsidRPr="00A33549" w:rsidRDefault="006356F1" w:rsidP="006356F1">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70C65428" wp14:editId="03976AC3">
            <wp:extent cx="5935980" cy="3987800"/>
            <wp:effectExtent l="0" t="0" r="762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áfico distribuição por setor.PNG"/>
                    <pic:cNvPicPr/>
                  </pic:nvPicPr>
                  <pic:blipFill>
                    <a:blip r:embed="rId83">
                      <a:extLst>
                        <a:ext uri="{28A0092B-C50C-407E-A947-70E740481C1C}">
                          <a14:useLocalDpi xmlns:a14="http://schemas.microsoft.com/office/drawing/2010/main" val="0"/>
                        </a:ext>
                      </a:extLst>
                    </a:blip>
                    <a:stretch>
                      <a:fillRect/>
                    </a:stretch>
                  </pic:blipFill>
                  <pic:spPr>
                    <a:xfrm>
                      <a:off x="0" y="0"/>
                      <a:ext cx="5935980" cy="3987800"/>
                    </a:xfrm>
                    <a:prstGeom prst="rect">
                      <a:avLst/>
                    </a:prstGeom>
                  </pic:spPr>
                </pic:pic>
              </a:graphicData>
            </a:graphic>
          </wp:inline>
        </w:drawing>
      </w:r>
    </w:p>
    <w:p w14:paraId="07012643" w14:textId="77777777" w:rsidR="006356F1" w:rsidRDefault="006356F1" w:rsidP="006356F1">
      <w:pPr>
        <w:spacing w:line="360" w:lineRule="auto"/>
        <w:ind w:firstLine="851"/>
        <w:jc w:val="both"/>
        <w:rPr>
          <w:rFonts w:ascii="Arial" w:hAnsi="Arial" w:cs="Arial"/>
          <w:sz w:val="24"/>
          <w:szCs w:val="24"/>
        </w:rPr>
      </w:pPr>
    </w:p>
    <w:p w14:paraId="52259F39"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Também trazemos gráfico que demonstra a estimativa de participação das empresas incentivadas no Produto Interno Bruto (PIB) goiano, já adiantando que esta é, em média, de </w:t>
      </w:r>
      <w:r w:rsidRPr="00F87958">
        <w:rPr>
          <w:rFonts w:ascii="Arial" w:hAnsi="Arial" w:cs="Arial"/>
          <w:b/>
          <w:sz w:val="24"/>
          <w:szCs w:val="24"/>
        </w:rPr>
        <w:t>14,3% (quatorze inteiros e três décimos por cento)</w:t>
      </w:r>
      <w:r>
        <w:rPr>
          <w:rFonts w:ascii="Arial" w:hAnsi="Arial" w:cs="Arial"/>
          <w:sz w:val="24"/>
          <w:szCs w:val="24"/>
        </w:rPr>
        <w:t>:</w:t>
      </w:r>
    </w:p>
    <w:p w14:paraId="085A211B" w14:textId="77777777" w:rsidR="006356F1" w:rsidRDefault="006356F1" w:rsidP="006356F1">
      <w:pPr>
        <w:spacing w:line="360" w:lineRule="auto"/>
        <w:ind w:firstLine="851"/>
        <w:jc w:val="both"/>
        <w:rPr>
          <w:rFonts w:ascii="Arial" w:hAnsi="Arial" w:cs="Arial"/>
          <w:sz w:val="24"/>
          <w:szCs w:val="24"/>
        </w:rPr>
      </w:pPr>
    </w:p>
    <w:p w14:paraId="04B4C2A8" w14:textId="77777777" w:rsidR="006356F1" w:rsidRPr="00F17F2A" w:rsidRDefault="006356F1" w:rsidP="006356F1">
      <w:pPr>
        <w:pStyle w:val="Legenda"/>
        <w:spacing w:after="0"/>
        <w:rPr>
          <w:rFonts w:ascii="Calibri" w:hAnsi="Calibri" w:cs="Times New Roman"/>
          <w:b/>
          <w:i w:val="0"/>
          <w:sz w:val="22"/>
          <w:szCs w:val="22"/>
          <w:lang w:eastAsia="pt-BR"/>
        </w:rPr>
      </w:pPr>
      <w:bookmarkStart w:id="393" w:name="_Ref30759242"/>
      <w:r w:rsidRPr="00F17F2A">
        <w:rPr>
          <w:b/>
          <w:i w:val="0"/>
          <w:sz w:val="22"/>
          <w:szCs w:val="22"/>
        </w:rPr>
        <w:t>Estimativa da participação das empresas dos programas de incentivos fiscais no Produto Interno Bruto (PIB)</w:t>
      </w:r>
      <w:bookmarkEnd w:id="393"/>
    </w:p>
    <w:p w14:paraId="259C6333" w14:textId="77777777" w:rsidR="006356F1" w:rsidRPr="00BF3D6E" w:rsidRDefault="006356F1" w:rsidP="006356F1">
      <w:pPr>
        <w:pStyle w:val="Legenda"/>
        <w:spacing w:after="0"/>
        <w:jc w:val="both"/>
        <w:rPr>
          <w:rFonts w:cs="Arial"/>
          <w:b/>
          <w:sz w:val="20"/>
          <w:szCs w:val="20"/>
        </w:rPr>
      </w:pPr>
      <w:r w:rsidRPr="00B81A95">
        <w:rPr>
          <w:noProof/>
          <w:bdr w:val="single" w:sz="8" w:space="0" w:color="auto"/>
          <w:lang w:eastAsia="pt-BR"/>
        </w:rPr>
        <w:lastRenderedPageBreak/>
        <w:drawing>
          <wp:inline distT="0" distB="0" distL="0" distR="0" wp14:anchorId="62E7616D" wp14:editId="390459A5">
            <wp:extent cx="5956455" cy="3756412"/>
            <wp:effectExtent l="0" t="0" r="6350" b="15875"/>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Pr="00BF3D6E">
        <w:rPr>
          <w:rFonts w:cs="Arial"/>
          <w:sz w:val="20"/>
          <w:szCs w:val="20"/>
        </w:rPr>
        <w:t>Nota: Essa estimativa é uma proxi do Valor Adicionado conforme sistemática de cálculo do PIB. Foi utilizado o faturamento como proxi do Valor Bruto de Produção e as compras intermediárias como proxi do Custo Intermediário (CI).</w:t>
      </w:r>
    </w:p>
    <w:p w14:paraId="7B966FE5" w14:textId="4AEB67DC" w:rsidR="006356F1" w:rsidRPr="00BF3D6E" w:rsidRDefault="006356F1" w:rsidP="006356F1">
      <w:pPr>
        <w:jc w:val="both"/>
        <w:rPr>
          <w:rFonts w:ascii="Arial" w:hAnsi="Arial" w:cs="Arial"/>
          <w:sz w:val="20"/>
        </w:rPr>
      </w:pPr>
      <w:r w:rsidRPr="00BF3D6E">
        <w:rPr>
          <w:rFonts w:ascii="Arial" w:hAnsi="Arial" w:cs="Arial"/>
          <w:sz w:val="20"/>
        </w:rPr>
        <w:t xml:space="preserve">Fonte: Com base nas informações da Secretaria de </w:t>
      </w:r>
      <w:r w:rsidR="00E83EA8">
        <w:rPr>
          <w:rFonts w:ascii="Arial" w:hAnsi="Arial" w:cs="Arial"/>
          <w:sz w:val="20"/>
        </w:rPr>
        <w:t xml:space="preserve">Estado da </w:t>
      </w:r>
      <w:r w:rsidRPr="00BF3D6E">
        <w:rPr>
          <w:rFonts w:ascii="Arial" w:hAnsi="Arial" w:cs="Arial"/>
          <w:sz w:val="20"/>
        </w:rPr>
        <w:t>Economia</w:t>
      </w:r>
    </w:p>
    <w:p w14:paraId="554F9243" w14:textId="77777777" w:rsidR="006356F1" w:rsidRPr="00A33549" w:rsidRDefault="006356F1" w:rsidP="006356F1">
      <w:pPr>
        <w:spacing w:line="360" w:lineRule="auto"/>
        <w:ind w:firstLine="851"/>
        <w:jc w:val="both"/>
        <w:rPr>
          <w:rFonts w:ascii="Arial" w:hAnsi="Arial" w:cs="Arial"/>
          <w:sz w:val="24"/>
          <w:szCs w:val="24"/>
        </w:rPr>
      </w:pPr>
    </w:p>
    <w:p w14:paraId="68AAE7BC" w14:textId="0138ADA2" w:rsidR="006356F1" w:rsidRPr="00A33549" w:rsidRDefault="002C1696" w:rsidP="006356F1">
      <w:pPr>
        <w:spacing w:line="360" w:lineRule="auto"/>
        <w:ind w:firstLine="851"/>
        <w:jc w:val="both"/>
        <w:rPr>
          <w:rFonts w:ascii="Arial" w:hAnsi="Arial" w:cs="Arial"/>
          <w:b/>
          <w:sz w:val="24"/>
          <w:szCs w:val="24"/>
        </w:rPr>
      </w:pPr>
      <w:r>
        <w:rPr>
          <w:rFonts w:ascii="Arial" w:hAnsi="Arial" w:cs="Arial"/>
          <w:b/>
          <w:sz w:val="24"/>
          <w:szCs w:val="24"/>
        </w:rPr>
        <w:t>11</w:t>
      </w:r>
      <w:r w:rsidR="00B34BAE">
        <w:rPr>
          <w:rFonts w:ascii="Arial" w:hAnsi="Arial" w:cs="Arial"/>
          <w:b/>
          <w:sz w:val="24"/>
          <w:szCs w:val="24"/>
        </w:rPr>
        <w:t>.2 –</w:t>
      </w:r>
      <w:r w:rsidRPr="00A33549">
        <w:rPr>
          <w:rFonts w:ascii="Arial" w:hAnsi="Arial" w:cs="Arial"/>
          <w:b/>
          <w:sz w:val="24"/>
          <w:szCs w:val="24"/>
        </w:rPr>
        <w:t xml:space="preserve"> ENCADEAMENTOS</w:t>
      </w:r>
    </w:p>
    <w:p w14:paraId="7F88F780" w14:textId="77777777" w:rsidR="006356F1" w:rsidRPr="00A33549" w:rsidRDefault="006356F1" w:rsidP="006356F1">
      <w:pPr>
        <w:spacing w:line="360" w:lineRule="auto"/>
        <w:ind w:firstLine="851"/>
        <w:jc w:val="both"/>
        <w:rPr>
          <w:rFonts w:ascii="Arial" w:hAnsi="Arial" w:cs="Arial"/>
          <w:sz w:val="24"/>
          <w:szCs w:val="24"/>
        </w:rPr>
      </w:pPr>
    </w:p>
    <w:p w14:paraId="448BF265" w14:textId="77777777" w:rsidR="006356F1" w:rsidRPr="00A33549" w:rsidRDefault="006356F1" w:rsidP="006356F1">
      <w:pPr>
        <w:spacing w:line="360" w:lineRule="auto"/>
        <w:ind w:firstLine="851"/>
        <w:jc w:val="both"/>
        <w:rPr>
          <w:rFonts w:ascii="Arial" w:hAnsi="Arial" w:cs="Arial"/>
          <w:sz w:val="24"/>
          <w:szCs w:val="24"/>
        </w:rPr>
      </w:pPr>
      <w:r w:rsidRPr="00A33549">
        <w:rPr>
          <w:rFonts w:ascii="Arial" w:hAnsi="Arial" w:cs="Arial"/>
          <w:sz w:val="24"/>
          <w:szCs w:val="24"/>
        </w:rPr>
        <w:t>Segundo o IMB, os setores que mais apresentam encadeamentos foram: indústria extrativa; alimentos e bebidas; produtos químicos; metalurgia dos não ferrosos; e serviços de informação:</w:t>
      </w:r>
    </w:p>
    <w:p w14:paraId="47DEE123" w14:textId="77777777" w:rsidR="006356F1" w:rsidRDefault="006356F1" w:rsidP="006356F1">
      <w:pPr>
        <w:spacing w:line="360" w:lineRule="auto"/>
        <w:ind w:firstLine="851"/>
        <w:jc w:val="both"/>
        <w:rPr>
          <w:rFonts w:ascii="Arial" w:hAnsi="Arial" w:cs="Arial"/>
          <w:sz w:val="22"/>
          <w:szCs w:val="24"/>
        </w:rPr>
      </w:pPr>
    </w:p>
    <w:p w14:paraId="4C6FCA64" w14:textId="77777777" w:rsidR="006356F1" w:rsidRDefault="006356F1" w:rsidP="006356F1">
      <w:pPr>
        <w:ind w:left="2268"/>
        <w:jc w:val="both"/>
        <w:rPr>
          <w:rFonts w:ascii="Arial" w:hAnsi="Arial" w:cs="Arial"/>
          <w:sz w:val="22"/>
          <w:szCs w:val="24"/>
        </w:rPr>
      </w:pPr>
      <w:r w:rsidRPr="006420E5">
        <w:rPr>
          <w:rFonts w:ascii="Arial" w:hAnsi="Arial" w:cs="Arial"/>
          <w:sz w:val="22"/>
          <w:szCs w:val="24"/>
        </w:rPr>
        <w:t>Por fim, por meio do trabalho IMB (2017), foram determinados os setores-chave orientados para trás, orientados para frente e aqueles sem orientação</w:t>
      </w:r>
      <w:r w:rsidRPr="006420E5">
        <w:rPr>
          <w:rFonts w:ascii="Arial" w:hAnsi="Arial" w:cs="Arial"/>
          <w:sz w:val="22"/>
          <w:szCs w:val="24"/>
          <w:vertAlign w:val="superscript"/>
        </w:rPr>
        <w:t>25</w:t>
      </w:r>
      <w:r w:rsidRPr="006420E5">
        <w:rPr>
          <w:rFonts w:ascii="Arial" w:hAnsi="Arial" w:cs="Arial"/>
          <w:sz w:val="22"/>
          <w:szCs w:val="24"/>
        </w:rPr>
        <w:t>. Sendo assim, os setores que apresentaram os melhores índices e ligações tanto para trás como para frente</w:t>
      </w:r>
      <w:r>
        <w:rPr>
          <w:rFonts w:ascii="Arial" w:hAnsi="Arial" w:cs="Arial"/>
          <w:sz w:val="22"/>
          <w:szCs w:val="24"/>
        </w:rPr>
        <w:t xml:space="preserve"> </w:t>
      </w:r>
      <w:r w:rsidRPr="006420E5">
        <w:rPr>
          <w:rFonts w:ascii="Arial" w:hAnsi="Arial" w:cs="Arial"/>
          <w:sz w:val="22"/>
          <w:szCs w:val="24"/>
        </w:rPr>
        <w:t>foram: indústria extrativa; alimentos e bebidas; produtos químicos; metalurgia dos não ferrosos; metal; e, serviços de informação. Estes setores-chave podem ser indicados como os mais importantes da economia, uma vez que, mudança em um deles terá uma influência maior do que a média em toda a economia (IMB, 2017).</w:t>
      </w:r>
    </w:p>
    <w:p w14:paraId="77B42D86" w14:textId="77777777" w:rsidR="006356F1" w:rsidRDefault="006356F1" w:rsidP="006356F1">
      <w:pPr>
        <w:ind w:left="2268"/>
        <w:jc w:val="both"/>
        <w:rPr>
          <w:rFonts w:ascii="Arial" w:hAnsi="Arial" w:cs="Arial"/>
          <w:sz w:val="22"/>
          <w:szCs w:val="24"/>
        </w:rPr>
      </w:pPr>
      <w:r>
        <w:rPr>
          <w:rFonts w:ascii="Arial" w:hAnsi="Arial" w:cs="Arial"/>
          <w:sz w:val="22"/>
          <w:szCs w:val="24"/>
        </w:rPr>
        <w:t>[...]</w:t>
      </w:r>
    </w:p>
    <w:p w14:paraId="56436DA8" w14:textId="77777777" w:rsidR="006356F1" w:rsidRDefault="006356F1" w:rsidP="006356F1">
      <w:pPr>
        <w:ind w:left="2268"/>
        <w:jc w:val="both"/>
        <w:rPr>
          <w:rFonts w:ascii="Arial" w:hAnsi="Arial" w:cs="Arial"/>
          <w:sz w:val="22"/>
          <w:szCs w:val="24"/>
        </w:rPr>
      </w:pPr>
      <w:r w:rsidRPr="00800A2F">
        <w:rPr>
          <w:rFonts w:ascii="Arial" w:hAnsi="Arial" w:cs="Arial"/>
          <w:sz w:val="22"/>
          <w:szCs w:val="24"/>
        </w:rPr>
        <w:t xml:space="preserve">Quanto ao encadeamento dos setores econômicos, aqueles que tem maior poder de ligação dentro da economia goiana, ou seja, os que apresentam valores maiores do que 1, </w:t>
      </w:r>
      <w:r w:rsidRPr="00800A2F">
        <w:rPr>
          <w:rFonts w:ascii="Arial" w:hAnsi="Arial" w:cs="Arial"/>
          <w:b/>
          <w:sz w:val="22"/>
          <w:szCs w:val="24"/>
        </w:rPr>
        <w:t>indicando que um setor é altamente dependente dos demais setores</w:t>
      </w:r>
      <w:r w:rsidRPr="00800A2F">
        <w:rPr>
          <w:rFonts w:ascii="Arial" w:hAnsi="Arial" w:cs="Arial"/>
          <w:sz w:val="22"/>
          <w:szCs w:val="24"/>
        </w:rPr>
        <w:t xml:space="preserve">. Este enfoque está </w:t>
      </w:r>
      <w:r w:rsidRPr="00800A2F">
        <w:rPr>
          <w:rFonts w:ascii="Arial" w:hAnsi="Arial" w:cs="Arial"/>
          <w:sz w:val="22"/>
          <w:szCs w:val="24"/>
        </w:rPr>
        <w:lastRenderedPageBreak/>
        <w:t>associado aos Índices de Ligações Intersetoriais de Rasmussen (1956) e Hirschman (1958). Conceitualmente, Índice de Ligações para Trás, indica até que ponto um setor demanda insumos da economia em comparação com os outros, e o Índice de Ligações para Frente, indica até que ponto um setor tem seus insumos demandados pelo resto da economia.</w:t>
      </w:r>
      <w:r>
        <w:rPr>
          <w:rStyle w:val="Refdenotaderodap"/>
          <w:rFonts w:ascii="Arial" w:hAnsi="Arial" w:cs="Arial"/>
          <w:sz w:val="22"/>
          <w:szCs w:val="24"/>
        </w:rPr>
        <w:footnoteReference w:id="117"/>
      </w:r>
    </w:p>
    <w:p w14:paraId="73D2A929" w14:textId="77777777" w:rsidR="006356F1" w:rsidRDefault="006356F1" w:rsidP="006356F1">
      <w:pPr>
        <w:spacing w:line="360" w:lineRule="auto"/>
        <w:ind w:firstLine="851"/>
        <w:jc w:val="both"/>
        <w:rPr>
          <w:rFonts w:ascii="Arial" w:hAnsi="Arial" w:cs="Arial"/>
          <w:sz w:val="22"/>
          <w:szCs w:val="24"/>
        </w:rPr>
      </w:pPr>
    </w:p>
    <w:p w14:paraId="73B06FA5" w14:textId="77777777" w:rsidR="006356F1" w:rsidRPr="00A33549" w:rsidRDefault="006356F1" w:rsidP="006356F1">
      <w:pPr>
        <w:spacing w:line="360" w:lineRule="auto"/>
        <w:ind w:firstLine="851"/>
        <w:jc w:val="both"/>
        <w:rPr>
          <w:rFonts w:ascii="Arial" w:hAnsi="Arial" w:cs="Arial"/>
          <w:sz w:val="24"/>
          <w:szCs w:val="24"/>
        </w:rPr>
      </w:pPr>
      <w:r w:rsidRPr="00A33549">
        <w:rPr>
          <w:rFonts w:ascii="Arial" w:hAnsi="Arial" w:cs="Arial"/>
          <w:sz w:val="24"/>
          <w:szCs w:val="24"/>
        </w:rPr>
        <w:t>Os setores com maior característica de encadeamento estimulam mais toda a economia, favorecendo o desenvolvimento regional. Portanto, é relevante para o Estado fomentar e incentivar empresas com altos índices de encadeamento. Todavia, os estudos do IMB apontam para a seguinte realidade:</w:t>
      </w:r>
    </w:p>
    <w:p w14:paraId="52B8008E" w14:textId="77777777" w:rsidR="006356F1" w:rsidRDefault="006356F1" w:rsidP="006356F1">
      <w:pPr>
        <w:spacing w:line="360" w:lineRule="auto"/>
        <w:ind w:firstLine="851"/>
        <w:jc w:val="both"/>
        <w:rPr>
          <w:rFonts w:ascii="Arial" w:hAnsi="Arial" w:cs="Arial"/>
          <w:sz w:val="22"/>
          <w:szCs w:val="24"/>
        </w:rPr>
      </w:pPr>
    </w:p>
    <w:p w14:paraId="77FA2BE9" w14:textId="77777777" w:rsidR="006356F1" w:rsidRDefault="006356F1" w:rsidP="006356F1">
      <w:pPr>
        <w:ind w:left="2268"/>
        <w:jc w:val="both"/>
        <w:rPr>
          <w:rFonts w:ascii="Arial" w:hAnsi="Arial" w:cs="Arial"/>
          <w:sz w:val="22"/>
          <w:szCs w:val="24"/>
        </w:rPr>
      </w:pPr>
      <w:r>
        <w:rPr>
          <w:rFonts w:ascii="Arial" w:hAnsi="Arial" w:cs="Arial"/>
          <w:sz w:val="22"/>
          <w:szCs w:val="24"/>
        </w:rPr>
        <w:t xml:space="preserve">[...] </w:t>
      </w:r>
      <w:r w:rsidRPr="00800A2F">
        <w:rPr>
          <w:rFonts w:ascii="Arial" w:hAnsi="Arial" w:cs="Arial"/>
          <w:sz w:val="22"/>
          <w:szCs w:val="24"/>
        </w:rPr>
        <w:t>Quanto ao encadeamento, foram poucos setores que receberam incentivos fiscais e que apareceram como aqueles com fortes ligações para trás e para frente na economia goiana.</w:t>
      </w:r>
    </w:p>
    <w:p w14:paraId="5373922A" w14:textId="77777777" w:rsidR="006356F1" w:rsidRDefault="006356F1" w:rsidP="006356F1">
      <w:pPr>
        <w:ind w:left="2268"/>
        <w:jc w:val="both"/>
        <w:rPr>
          <w:rFonts w:ascii="Arial" w:hAnsi="Arial" w:cs="Arial"/>
          <w:sz w:val="22"/>
          <w:szCs w:val="24"/>
        </w:rPr>
      </w:pPr>
    </w:p>
    <w:p w14:paraId="13BB2D4D" w14:textId="77777777" w:rsidR="006356F1" w:rsidRDefault="006356F1" w:rsidP="006356F1">
      <w:pPr>
        <w:ind w:left="2268"/>
        <w:jc w:val="both"/>
        <w:rPr>
          <w:rFonts w:ascii="Arial" w:hAnsi="Arial" w:cs="Arial"/>
          <w:sz w:val="22"/>
          <w:szCs w:val="24"/>
        </w:rPr>
      </w:pPr>
      <w:r>
        <w:rPr>
          <w:rFonts w:ascii="Arial" w:hAnsi="Arial" w:cs="Arial"/>
          <w:noProof/>
          <w:sz w:val="22"/>
          <w:szCs w:val="24"/>
        </w:rPr>
        <w:drawing>
          <wp:inline distT="0" distB="0" distL="0" distR="0" wp14:anchorId="261BD248" wp14:editId="145EC84F">
            <wp:extent cx="4585172" cy="3184801"/>
            <wp:effectExtent l="0" t="0" r="635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cadeamentos.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00685" cy="3195576"/>
                    </a:xfrm>
                    <a:prstGeom prst="rect">
                      <a:avLst/>
                    </a:prstGeom>
                  </pic:spPr>
                </pic:pic>
              </a:graphicData>
            </a:graphic>
          </wp:inline>
        </w:drawing>
      </w:r>
    </w:p>
    <w:p w14:paraId="0EC5A6DC" w14:textId="77777777" w:rsidR="006356F1" w:rsidRDefault="006356F1" w:rsidP="006356F1">
      <w:pPr>
        <w:ind w:left="2268"/>
        <w:jc w:val="both"/>
        <w:rPr>
          <w:rFonts w:ascii="Arial" w:hAnsi="Arial" w:cs="Arial"/>
          <w:sz w:val="22"/>
          <w:szCs w:val="24"/>
        </w:rPr>
      </w:pPr>
    </w:p>
    <w:p w14:paraId="4F9F0F20" w14:textId="77777777" w:rsidR="006356F1" w:rsidRDefault="006356F1" w:rsidP="006356F1">
      <w:pPr>
        <w:ind w:left="2268"/>
        <w:jc w:val="both"/>
        <w:rPr>
          <w:rFonts w:ascii="Arial" w:hAnsi="Arial" w:cs="Arial"/>
          <w:sz w:val="22"/>
          <w:szCs w:val="24"/>
        </w:rPr>
      </w:pPr>
      <w:r w:rsidRPr="00800A2F">
        <w:rPr>
          <w:rFonts w:ascii="Arial" w:hAnsi="Arial" w:cs="Arial"/>
          <w:sz w:val="22"/>
          <w:szCs w:val="24"/>
        </w:rPr>
        <w:t>Vale dizer que os setores-chave da economia retratam a importância das diferentes atividades como demandantes de insumos das outras atividades econômicas, como também possibilitam o entendimento da eficácia das políticas públicas de planejamento na priorização dos investimentos nos setores com capacidade de desempenhar funções estimuladoras do sistema de produção.</w:t>
      </w:r>
    </w:p>
    <w:p w14:paraId="24142A39" w14:textId="77777777" w:rsidR="006356F1" w:rsidRDefault="006356F1" w:rsidP="006356F1">
      <w:pPr>
        <w:ind w:left="2268"/>
        <w:jc w:val="both"/>
        <w:rPr>
          <w:rFonts w:ascii="Arial" w:hAnsi="Arial" w:cs="Arial"/>
          <w:sz w:val="22"/>
          <w:szCs w:val="24"/>
        </w:rPr>
      </w:pPr>
      <w:r w:rsidRPr="00800A2F">
        <w:rPr>
          <w:rFonts w:ascii="Arial" w:hAnsi="Arial" w:cs="Arial"/>
          <w:sz w:val="22"/>
          <w:szCs w:val="24"/>
        </w:rPr>
        <w:t xml:space="preserve">Dada a situação exposta acima, </w:t>
      </w:r>
      <w:r w:rsidRPr="00800A2F">
        <w:rPr>
          <w:rFonts w:ascii="Arial" w:hAnsi="Arial" w:cs="Arial"/>
          <w:b/>
          <w:sz w:val="22"/>
          <w:szCs w:val="24"/>
        </w:rPr>
        <w:t xml:space="preserve">constata-se preliminarmente que os principais setores contemplados, pelos programas fiscais do Estado de Goiás não apresentam encadeamento com a economia do estado, assim sendo é um primeiro indicio de “má alocação” dos </w:t>
      </w:r>
      <w:r w:rsidRPr="00800A2F">
        <w:rPr>
          <w:rFonts w:ascii="Arial" w:hAnsi="Arial" w:cs="Arial"/>
          <w:b/>
          <w:sz w:val="22"/>
          <w:szCs w:val="24"/>
        </w:rPr>
        <w:lastRenderedPageBreak/>
        <w:t>recursos do programa</w:t>
      </w:r>
      <w:r w:rsidRPr="00800A2F">
        <w:rPr>
          <w:rFonts w:ascii="Arial" w:hAnsi="Arial" w:cs="Arial"/>
          <w:sz w:val="22"/>
          <w:szCs w:val="24"/>
        </w:rPr>
        <w:t xml:space="preserve"> e a necessidade de um novo desenho considerando os setores chaves da economia de Goiás.</w:t>
      </w:r>
      <w:r>
        <w:rPr>
          <w:rFonts w:ascii="Arial" w:hAnsi="Arial" w:cs="Arial"/>
          <w:sz w:val="22"/>
          <w:szCs w:val="24"/>
        </w:rPr>
        <w:t xml:space="preserve"> [...]</w:t>
      </w:r>
      <w:r>
        <w:rPr>
          <w:rStyle w:val="Refdenotaderodap"/>
          <w:rFonts w:ascii="Arial" w:hAnsi="Arial" w:cs="Arial"/>
          <w:sz w:val="22"/>
          <w:szCs w:val="24"/>
        </w:rPr>
        <w:footnoteReference w:id="118"/>
      </w:r>
    </w:p>
    <w:p w14:paraId="34A4A041" w14:textId="77777777" w:rsidR="006356F1" w:rsidRDefault="006356F1" w:rsidP="006356F1">
      <w:pPr>
        <w:spacing w:line="360" w:lineRule="auto"/>
        <w:ind w:left="851"/>
        <w:jc w:val="both"/>
        <w:rPr>
          <w:rFonts w:ascii="Arial" w:hAnsi="Arial" w:cs="Arial"/>
          <w:sz w:val="22"/>
          <w:szCs w:val="24"/>
        </w:rPr>
      </w:pPr>
    </w:p>
    <w:p w14:paraId="2AA4A565" w14:textId="77777777" w:rsidR="006356F1" w:rsidRPr="00A33549" w:rsidRDefault="006356F1" w:rsidP="006356F1">
      <w:pPr>
        <w:spacing w:line="360" w:lineRule="auto"/>
        <w:ind w:firstLine="851"/>
        <w:jc w:val="both"/>
        <w:rPr>
          <w:rFonts w:ascii="Arial" w:hAnsi="Arial" w:cs="Arial"/>
          <w:sz w:val="24"/>
          <w:szCs w:val="24"/>
        </w:rPr>
      </w:pPr>
      <w:r w:rsidRPr="00A33549">
        <w:rPr>
          <w:rFonts w:ascii="Arial" w:hAnsi="Arial" w:cs="Arial"/>
          <w:sz w:val="24"/>
          <w:szCs w:val="24"/>
        </w:rPr>
        <w:t xml:space="preserve">Para agravar ainda mais tal situação disfuncional, a CGE aponta que </w:t>
      </w:r>
      <w:r w:rsidRPr="00A33549">
        <w:rPr>
          <w:rFonts w:ascii="Arial" w:hAnsi="Arial" w:cs="Arial"/>
          <w:b/>
          <w:sz w:val="24"/>
          <w:szCs w:val="24"/>
        </w:rPr>
        <w:t>boa parte dos gastos das compras realizadas por empresas beneficiadas é feita de fornecedores localizados fora do Estado de Goiás</w:t>
      </w:r>
      <w:r w:rsidRPr="00A33549">
        <w:rPr>
          <w:rFonts w:ascii="Arial" w:hAnsi="Arial" w:cs="Arial"/>
          <w:sz w:val="24"/>
          <w:szCs w:val="24"/>
        </w:rPr>
        <w:t>, deixando, por isso, de incentivar a economia goiana:</w:t>
      </w:r>
    </w:p>
    <w:p w14:paraId="0969EDFC" w14:textId="77777777" w:rsidR="006356F1" w:rsidRDefault="006356F1" w:rsidP="006356F1">
      <w:pPr>
        <w:spacing w:line="360" w:lineRule="auto"/>
        <w:ind w:firstLine="851"/>
        <w:jc w:val="both"/>
        <w:rPr>
          <w:rFonts w:ascii="Arial" w:hAnsi="Arial" w:cs="Arial"/>
          <w:sz w:val="22"/>
          <w:szCs w:val="24"/>
        </w:rPr>
      </w:pPr>
    </w:p>
    <w:p w14:paraId="3FDB8B4D" w14:textId="77777777" w:rsidR="006356F1" w:rsidRDefault="006356F1" w:rsidP="006356F1">
      <w:pPr>
        <w:ind w:left="2268"/>
        <w:jc w:val="both"/>
        <w:rPr>
          <w:rFonts w:ascii="Arial" w:hAnsi="Arial" w:cs="Arial"/>
          <w:sz w:val="22"/>
          <w:szCs w:val="24"/>
        </w:rPr>
      </w:pPr>
      <w:r w:rsidRPr="004A6BBF">
        <w:rPr>
          <w:rFonts w:ascii="Arial" w:hAnsi="Arial" w:cs="Arial"/>
          <w:sz w:val="22"/>
          <w:szCs w:val="24"/>
        </w:rPr>
        <w:t xml:space="preserve">Olhando-se para o quanto as empresas compram de fornecedores do estado de Goiás ou fora dele (bens ou produtos utilizados no seu processo de produção), tem-se (Tabela 18), em 2018, </w:t>
      </w:r>
      <w:r w:rsidRPr="004A6BBF">
        <w:rPr>
          <w:rFonts w:ascii="Arial" w:hAnsi="Arial" w:cs="Arial"/>
          <w:b/>
          <w:sz w:val="22"/>
          <w:szCs w:val="24"/>
        </w:rPr>
        <w:t>que 49,8% das compras foram feitas fora do Estado</w:t>
      </w:r>
      <w:r w:rsidRPr="004A6BBF">
        <w:rPr>
          <w:rFonts w:ascii="Arial" w:hAnsi="Arial" w:cs="Arial"/>
          <w:sz w:val="22"/>
          <w:szCs w:val="24"/>
        </w:rPr>
        <w:t xml:space="preserve"> (inclui importações) e 50,2% internamente a Goiás. Na média, desde 2006, foram 54,8% de compras externas e 45,2% de internas. Nota-se um equilíbrio quanto à origem das compras (internas e externas). </w:t>
      </w:r>
      <w:r w:rsidRPr="004A6BBF">
        <w:rPr>
          <w:rFonts w:ascii="Arial" w:hAnsi="Arial" w:cs="Arial"/>
          <w:b/>
          <w:sz w:val="22"/>
          <w:szCs w:val="24"/>
        </w:rPr>
        <w:t>A princípio, compras internas têm efeito multiplicador de emprego e renda na economia goiana. Ou, de outro lado, a metade das compras das empresas goianas causa esse efeito multiplicador fora de Goiás</w:t>
      </w:r>
      <w:r w:rsidRPr="004A6BBF">
        <w:rPr>
          <w:rFonts w:ascii="Arial" w:hAnsi="Arial" w:cs="Arial"/>
          <w:sz w:val="22"/>
          <w:szCs w:val="24"/>
        </w:rPr>
        <w:t>.</w:t>
      </w:r>
      <w:r>
        <w:rPr>
          <w:rStyle w:val="Refdenotaderodap"/>
          <w:rFonts w:ascii="Arial" w:hAnsi="Arial" w:cs="Arial"/>
          <w:sz w:val="22"/>
          <w:szCs w:val="24"/>
        </w:rPr>
        <w:footnoteReference w:id="119"/>
      </w:r>
    </w:p>
    <w:p w14:paraId="647BEFFF" w14:textId="77777777" w:rsidR="006356F1" w:rsidRDefault="006356F1" w:rsidP="006356F1">
      <w:pPr>
        <w:spacing w:line="360" w:lineRule="auto"/>
        <w:ind w:left="851"/>
        <w:jc w:val="both"/>
        <w:rPr>
          <w:rFonts w:ascii="Arial" w:hAnsi="Arial" w:cs="Arial"/>
          <w:sz w:val="22"/>
          <w:szCs w:val="24"/>
        </w:rPr>
      </w:pPr>
    </w:p>
    <w:p w14:paraId="01B3007A" w14:textId="77777777" w:rsidR="006356F1" w:rsidRPr="00A33549" w:rsidRDefault="006356F1" w:rsidP="006356F1">
      <w:pPr>
        <w:spacing w:line="360" w:lineRule="auto"/>
        <w:ind w:left="851"/>
        <w:jc w:val="both"/>
        <w:rPr>
          <w:rFonts w:ascii="Arial" w:hAnsi="Arial" w:cs="Arial"/>
          <w:sz w:val="24"/>
          <w:szCs w:val="24"/>
        </w:rPr>
      </w:pPr>
      <w:r w:rsidRPr="00A33549">
        <w:rPr>
          <w:rFonts w:ascii="Arial" w:hAnsi="Arial" w:cs="Arial"/>
          <w:sz w:val="24"/>
          <w:szCs w:val="24"/>
        </w:rPr>
        <w:t>A seguinte tabela, elaborada pela CGE, demonstra em números o que apontamos:</w:t>
      </w:r>
    </w:p>
    <w:p w14:paraId="4B25FEF1" w14:textId="77777777" w:rsidR="006356F1" w:rsidRDefault="006356F1" w:rsidP="006356F1">
      <w:pPr>
        <w:spacing w:line="360" w:lineRule="auto"/>
        <w:ind w:left="851"/>
        <w:jc w:val="both"/>
        <w:rPr>
          <w:rFonts w:ascii="Arial" w:hAnsi="Arial" w:cs="Arial"/>
          <w:sz w:val="22"/>
          <w:szCs w:val="24"/>
        </w:rPr>
      </w:pPr>
    </w:p>
    <w:p w14:paraId="0BB24D5B" w14:textId="77777777" w:rsidR="006356F1" w:rsidRDefault="006356F1" w:rsidP="006356F1">
      <w:pPr>
        <w:spacing w:line="360" w:lineRule="auto"/>
        <w:jc w:val="both"/>
        <w:rPr>
          <w:rFonts w:ascii="Arial" w:hAnsi="Arial" w:cs="Arial"/>
          <w:sz w:val="22"/>
          <w:szCs w:val="24"/>
        </w:rPr>
      </w:pPr>
      <w:r>
        <w:rPr>
          <w:rFonts w:ascii="Arial" w:hAnsi="Arial" w:cs="Arial"/>
          <w:noProof/>
          <w:sz w:val="22"/>
          <w:szCs w:val="24"/>
        </w:rPr>
        <w:lastRenderedPageBreak/>
        <w:drawing>
          <wp:inline distT="0" distB="0" distL="0" distR="0" wp14:anchorId="1337425D" wp14:editId="49F99E16">
            <wp:extent cx="5935980" cy="4543425"/>
            <wp:effectExtent l="0" t="0" r="7620" b="952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mpras.png"/>
                    <pic:cNvPicPr/>
                  </pic:nvPicPr>
                  <pic:blipFill>
                    <a:blip r:embed="rId86">
                      <a:extLst>
                        <a:ext uri="{28A0092B-C50C-407E-A947-70E740481C1C}">
                          <a14:useLocalDpi xmlns:a14="http://schemas.microsoft.com/office/drawing/2010/main" val="0"/>
                        </a:ext>
                      </a:extLst>
                    </a:blip>
                    <a:stretch>
                      <a:fillRect/>
                    </a:stretch>
                  </pic:blipFill>
                  <pic:spPr>
                    <a:xfrm>
                      <a:off x="0" y="0"/>
                      <a:ext cx="5935980" cy="4543425"/>
                    </a:xfrm>
                    <a:prstGeom prst="rect">
                      <a:avLst/>
                    </a:prstGeom>
                  </pic:spPr>
                </pic:pic>
              </a:graphicData>
            </a:graphic>
          </wp:inline>
        </w:drawing>
      </w:r>
    </w:p>
    <w:p w14:paraId="524E5275" w14:textId="77777777" w:rsidR="006356F1" w:rsidRPr="00F70141" w:rsidRDefault="006356F1" w:rsidP="006356F1">
      <w:pPr>
        <w:spacing w:line="360" w:lineRule="auto"/>
        <w:ind w:left="851"/>
        <w:jc w:val="both"/>
        <w:rPr>
          <w:rFonts w:ascii="Arial" w:hAnsi="Arial" w:cs="Arial"/>
          <w:sz w:val="24"/>
          <w:szCs w:val="24"/>
        </w:rPr>
      </w:pPr>
    </w:p>
    <w:p w14:paraId="21BE2766" w14:textId="77777777" w:rsidR="006356F1" w:rsidRPr="00F70141" w:rsidRDefault="006356F1" w:rsidP="006356F1">
      <w:pPr>
        <w:spacing w:line="360" w:lineRule="auto"/>
        <w:ind w:firstLine="851"/>
        <w:jc w:val="both"/>
        <w:rPr>
          <w:rFonts w:ascii="Arial" w:hAnsi="Arial" w:cs="Arial"/>
          <w:sz w:val="24"/>
          <w:szCs w:val="24"/>
        </w:rPr>
      </w:pPr>
      <w:r w:rsidRPr="00F70141">
        <w:rPr>
          <w:rFonts w:ascii="Arial" w:hAnsi="Arial" w:cs="Arial"/>
          <w:sz w:val="24"/>
          <w:szCs w:val="24"/>
        </w:rPr>
        <w:t>A seguinte tabela, elaborada pela equipe técnica da CGE que auxilia os trabalhos desta Comissão, confirma as afirmações acima e demonstra que, de 2006 a 2018, a média das compras efetuadas pelos beneficiários do FOMENTAR e do PRODUZIR fora do Estado de Goiás é de 51% do total de compras realizadas:</w:t>
      </w:r>
    </w:p>
    <w:p w14:paraId="16FA462E" w14:textId="77777777" w:rsidR="006356F1" w:rsidRPr="00F70141" w:rsidRDefault="006356F1" w:rsidP="006356F1">
      <w:pPr>
        <w:spacing w:line="360" w:lineRule="auto"/>
        <w:ind w:firstLine="851"/>
        <w:jc w:val="both"/>
        <w:rPr>
          <w:rFonts w:ascii="Arial" w:hAnsi="Arial" w:cs="Arial"/>
          <w:sz w:val="24"/>
          <w:szCs w:val="24"/>
        </w:rPr>
      </w:pPr>
    </w:p>
    <w:p w14:paraId="1A630930" w14:textId="77777777" w:rsidR="006356F1" w:rsidRPr="00741163" w:rsidRDefault="006356F1" w:rsidP="006356F1">
      <w:pPr>
        <w:pStyle w:val="Legenda"/>
        <w:spacing w:after="0"/>
        <w:ind w:left="-851"/>
        <w:rPr>
          <w:rFonts w:ascii="Calibri" w:hAnsi="Calibri" w:cs="Arial"/>
          <w:b/>
          <w:sz w:val="16"/>
          <w:szCs w:val="22"/>
        </w:rPr>
      </w:pPr>
      <w:r w:rsidRPr="00741163">
        <w:rPr>
          <w:rFonts w:ascii="Calibri" w:hAnsi="Calibri"/>
          <w:sz w:val="22"/>
          <w:szCs w:val="22"/>
        </w:rPr>
        <w:t>Participação das compras efetuadas em Goiás, ou fora dele, pelas empresas nos programas (%)</w:t>
      </w:r>
      <w:r w:rsidRPr="00741163">
        <w:rPr>
          <w:rFonts w:ascii="Calibri" w:hAnsi="Calibri" w:cs="Arial"/>
          <w:sz w:val="22"/>
          <w:szCs w:val="22"/>
        </w:rPr>
        <w:t xml:space="preserve"> </w:t>
      </w:r>
    </w:p>
    <w:tbl>
      <w:tblPr>
        <w:tblStyle w:val="TabeladeGradeClara"/>
        <w:tblW w:w="5807"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9"/>
        <w:gridCol w:w="582"/>
        <w:gridCol w:w="582"/>
        <w:gridCol w:w="582"/>
        <w:gridCol w:w="582"/>
        <w:gridCol w:w="582"/>
        <w:gridCol w:w="582"/>
        <w:gridCol w:w="582"/>
        <w:gridCol w:w="582"/>
        <w:gridCol w:w="582"/>
        <w:gridCol w:w="582"/>
        <w:gridCol w:w="582"/>
        <w:gridCol w:w="582"/>
        <w:gridCol w:w="582"/>
      </w:tblGrid>
      <w:tr w:rsidR="006356F1" w:rsidRPr="006C5DA0" w14:paraId="2A45115B" w14:textId="77777777" w:rsidTr="00217400">
        <w:trPr>
          <w:trHeight w:val="300"/>
        </w:trPr>
        <w:tc>
          <w:tcPr>
            <w:tcW w:w="1512" w:type="pct"/>
            <w:noWrap/>
            <w:hideMark/>
          </w:tcPr>
          <w:p w14:paraId="64642BEF" w14:textId="77777777" w:rsidR="006356F1" w:rsidRPr="006C5DA0" w:rsidRDefault="006356F1" w:rsidP="00217400">
            <w:pPr>
              <w:rPr>
                <w:rFonts w:ascii="Calibri" w:hAnsi="Calibri" w:cs="Arial"/>
                <w:b/>
                <w:bCs/>
                <w:color w:val="000000"/>
                <w:sz w:val="18"/>
              </w:rPr>
            </w:pPr>
            <w:r w:rsidRPr="006C5DA0">
              <w:rPr>
                <w:rFonts w:ascii="Calibri" w:hAnsi="Calibri" w:cs="Arial"/>
                <w:b/>
                <w:bCs/>
                <w:color w:val="000000"/>
                <w:sz w:val="18"/>
              </w:rPr>
              <w:t>Compras</w:t>
            </w:r>
          </w:p>
        </w:tc>
        <w:tc>
          <w:tcPr>
            <w:tcW w:w="268" w:type="pct"/>
            <w:noWrap/>
            <w:hideMark/>
          </w:tcPr>
          <w:p w14:paraId="71F6642F"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2006</w:t>
            </w:r>
          </w:p>
        </w:tc>
        <w:tc>
          <w:tcPr>
            <w:tcW w:w="268" w:type="pct"/>
            <w:noWrap/>
            <w:hideMark/>
          </w:tcPr>
          <w:p w14:paraId="146E62A7"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2007</w:t>
            </w:r>
          </w:p>
        </w:tc>
        <w:tc>
          <w:tcPr>
            <w:tcW w:w="268" w:type="pct"/>
            <w:noWrap/>
            <w:hideMark/>
          </w:tcPr>
          <w:p w14:paraId="69CB52A5"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2008</w:t>
            </w:r>
          </w:p>
        </w:tc>
        <w:tc>
          <w:tcPr>
            <w:tcW w:w="268" w:type="pct"/>
            <w:noWrap/>
            <w:hideMark/>
          </w:tcPr>
          <w:p w14:paraId="382E63B3"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2009</w:t>
            </w:r>
          </w:p>
        </w:tc>
        <w:tc>
          <w:tcPr>
            <w:tcW w:w="268" w:type="pct"/>
            <w:noWrap/>
            <w:hideMark/>
          </w:tcPr>
          <w:p w14:paraId="66B3A91C"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2010</w:t>
            </w:r>
          </w:p>
        </w:tc>
        <w:tc>
          <w:tcPr>
            <w:tcW w:w="268" w:type="pct"/>
            <w:noWrap/>
            <w:hideMark/>
          </w:tcPr>
          <w:p w14:paraId="156B8445"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2011</w:t>
            </w:r>
          </w:p>
        </w:tc>
        <w:tc>
          <w:tcPr>
            <w:tcW w:w="268" w:type="pct"/>
            <w:noWrap/>
            <w:hideMark/>
          </w:tcPr>
          <w:p w14:paraId="58BE1086"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2012</w:t>
            </w:r>
          </w:p>
        </w:tc>
        <w:tc>
          <w:tcPr>
            <w:tcW w:w="268" w:type="pct"/>
            <w:noWrap/>
            <w:hideMark/>
          </w:tcPr>
          <w:p w14:paraId="0E8CCD22"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2013</w:t>
            </w:r>
          </w:p>
        </w:tc>
        <w:tc>
          <w:tcPr>
            <w:tcW w:w="268" w:type="pct"/>
            <w:noWrap/>
            <w:hideMark/>
          </w:tcPr>
          <w:p w14:paraId="4AA64CC5"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2014</w:t>
            </w:r>
          </w:p>
        </w:tc>
        <w:tc>
          <w:tcPr>
            <w:tcW w:w="268" w:type="pct"/>
            <w:noWrap/>
            <w:hideMark/>
          </w:tcPr>
          <w:p w14:paraId="68DBFCFA"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2015</w:t>
            </w:r>
          </w:p>
        </w:tc>
        <w:tc>
          <w:tcPr>
            <w:tcW w:w="268" w:type="pct"/>
            <w:noWrap/>
            <w:hideMark/>
          </w:tcPr>
          <w:p w14:paraId="5A84F3BC"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2016</w:t>
            </w:r>
          </w:p>
        </w:tc>
        <w:tc>
          <w:tcPr>
            <w:tcW w:w="268" w:type="pct"/>
            <w:noWrap/>
            <w:hideMark/>
          </w:tcPr>
          <w:p w14:paraId="3987693C"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2017</w:t>
            </w:r>
          </w:p>
        </w:tc>
        <w:tc>
          <w:tcPr>
            <w:tcW w:w="268" w:type="pct"/>
            <w:noWrap/>
            <w:hideMark/>
          </w:tcPr>
          <w:p w14:paraId="1ADCF8E4"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2018</w:t>
            </w:r>
          </w:p>
        </w:tc>
      </w:tr>
      <w:tr w:rsidR="006356F1" w:rsidRPr="006C5DA0" w14:paraId="6AE2505D" w14:textId="77777777" w:rsidTr="00217400">
        <w:trPr>
          <w:trHeight w:val="300"/>
        </w:trPr>
        <w:tc>
          <w:tcPr>
            <w:tcW w:w="1512" w:type="pct"/>
            <w:noWrap/>
            <w:hideMark/>
          </w:tcPr>
          <w:p w14:paraId="36B79152" w14:textId="77777777" w:rsidR="006356F1" w:rsidRPr="006C5DA0" w:rsidRDefault="006356F1" w:rsidP="00217400">
            <w:pPr>
              <w:rPr>
                <w:rFonts w:ascii="Calibri" w:hAnsi="Calibri" w:cs="Arial"/>
                <w:bCs/>
                <w:color w:val="000000"/>
                <w:sz w:val="18"/>
              </w:rPr>
            </w:pPr>
            <w:r w:rsidRPr="006C5DA0">
              <w:rPr>
                <w:rFonts w:ascii="Calibri" w:hAnsi="Calibri" w:cs="Arial"/>
                <w:bCs/>
                <w:color w:val="000000"/>
                <w:sz w:val="18"/>
              </w:rPr>
              <w:t>Compras internas</w:t>
            </w:r>
          </w:p>
        </w:tc>
        <w:tc>
          <w:tcPr>
            <w:tcW w:w="268" w:type="pct"/>
            <w:noWrap/>
            <w:hideMark/>
          </w:tcPr>
          <w:p w14:paraId="3B4ED8A5"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47,1</w:t>
            </w:r>
          </w:p>
        </w:tc>
        <w:tc>
          <w:tcPr>
            <w:tcW w:w="268" w:type="pct"/>
            <w:noWrap/>
            <w:hideMark/>
          </w:tcPr>
          <w:p w14:paraId="5ADA1452"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46,0</w:t>
            </w:r>
          </w:p>
        </w:tc>
        <w:tc>
          <w:tcPr>
            <w:tcW w:w="268" w:type="pct"/>
            <w:noWrap/>
            <w:hideMark/>
          </w:tcPr>
          <w:p w14:paraId="7B4A7A95"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44,6</w:t>
            </w:r>
          </w:p>
        </w:tc>
        <w:tc>
          <w:tcPr>
            <w:tcW w:w="268" w:type="pct"/>
            <w:noWrap/>
            <w:hideMark/>
          </w:tcPr>
          <w:p w14:paraId="734D9C70"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45,4</w:t>
            </w:r>
          </w:p>
        </w:tc>
        <w:tc>
          <w:tcPr>
            <w:tcW w:w="268" w:type="pct"/>
            <w:noWrap/>
            <w:hideMark/>
          </w:tcPr>
          <w:p w14:paraId="03776DB3"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39,4</w:t>
            </w:r>
          </w:p>
        </w:tc>
        <w:tc>
          <w:tcPr>
            <w:tcW w:w="268" w:type="pct"/>
            <w:noWrap/>
            <w:hideMark/>
          </w:tcPr>
          <w:p w14:paraId="17B82CFE"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41,2</w:t>
            </w:r>
          </w:p>
        </w:tc>
        <w:tc>
          <w:tcPr>
            <w:tcW w:w="268" w:type="pct"/>
            <w:noWrap/>
            <w:hideMark/>
          </w:tcPr>
          <w:p w14:paraId="0FA2D242"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44,5</w:t>
            </w:r>
          </w:p>
        </w:tc>
        <w:tc>
          <w:tcPr>
            <w:tcW w:w="268" w:type="pct"/>
            <w:noWrap/>
            <w:hideMark/>
          </w:tcPr>
          <w:p w14:paraId="7468FA7A"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48,2</w:t>
            </w:r>
          </w:p>
        </w:tc>
        <w:tc>
          <w:tcPr>
            <w:tcW w:w="268" w:type="pct"/>
            <w:noWrap/>
            <w:hideMark/>
          </w:tcPr>
          <w:p w14:paraId="7A5E059D"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54,2</w:t>
            </w:r>
          </w:p>
        </w:tc>
        <w:tc>
          <w:tcPr>
            <w:tcW w:w="268" w:type="pct"/>
            <w:noWrap/>
            <w:hideMark/>
          </w:tcPr>
          <w:p w14:paraId="040A5C70"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53,4</w:t>
            </w:r>
          </w:p>
        </w:tc>
        <w:tc>
          <w:tcPr>
            <w:tcW w:w="268" w:type="pct"/>
            <w:noWrap/>
            <w:hideMark/>
          </w:tcPr>
          <w:p w14:paraId="1C88E6AB"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58,9</w:t>
            </w:r>
          </w:p>
        </w:tc>
        <w:tc>
          <w:tcPr>
            <w:tcW w:w="268" w:type="pct"/>
            <w:noWrap/>
            <w:hideMark/>
          </w:tcPr>
          <w:p w14:paraId="4B05E784"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56,5</w:t>
            </w:r>
          </w:p>
        </w:tc>
        <w:tc>
          <w:tcPr>
            <w:tcW w:w="268" w:type="pct"/>
            <w:noWrap/>
            <w:hideMark/>
          </w:tcPr>
          <w:p w14:paraId="3C8F920A"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55,4</w:t>
            </w:r>
          </w:p>
        </w:tc>
      </w:tr>
      <w:tr w:rsidR="006356F1" w:rsidRPr="006C5DA0" w14:paraId="2CB49935" w14:textId="77777777" w:rsidTr="00217400">
        <w:trPr>
          <w:trHeight w:val="300"/>
        </w:trPr>
        <w:tc>
          <w:tcPr>
            <w:tcW w:w="1512" w:type="pct"/>
            <w:noWrap/>
            <w:hideMark/>
          </w:tcPr>
          <w:p w14:paraId="0731EB9C" w14:textId="77777777" w:rsidR="006356F1" w:rsidRPr="006C5DA0" w:rsidRDefault="006356F1" w:rsidP="00217400">
            <w:pPr>
              <w:rPr>
                <w:rFonts w:ascii="Calibri" w:hAnsi="Calibri" w:cs="Arial"/>
                <w:bCs/>
                <w:color w:val="000000"/>
                <w:sz w:val="18"/>
              </w:rPr>
            </w:pPr>
            <w:r w:rsidRPr="006C5DA0">
              <w:rPr>
                <w:rFonts w:ascii="Calibri" w:hAnsi="Calibri" w:cs="Arial"/>
                <w:bCs/>
                <w:color w:val="000000"/>
                <w:sz w:val="18"/>
              </w:rPr>
              <w:t>Compras externas</w:t>
            </w:r>
          </w:p>
        </w:tc>
        <w:tc>
          <w:tcPr>
            <w:tcW w:w="268" w:type="pct"/>
            <w:noWrap/>
            <w:hideMark/>
          </w:tcPr>
          <w:p w14:paraId="212881D6"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52,9</w:t>
            </w:r>
          </w:p>
        </w:tc>
        <w:tc>
          <w:tcPr>
            <w:tcW w:w="268" w:type="pct"/>
            <w:noWrap/>
            <w:hideMark/>
          </w:tcPr>
          <w:p w14:paraId="2A09B121"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54,0</w:t>
            </w:r>
          </w:p>
        </w:tc>
        <w:tc>
          <w:tcPr>
            <w:tcW w:w="268" w:type="pct"/>
            <w:noWrap/>
            <w:hideMark/>
          </w:tcPr>
          <w:p w14:paraId="50DD1647"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55,4</w:t>
            </w:r>
          </w:p>
        </w:tc>
        <w:tc>
          <w:tcPr>
            <w:tcW w:w="268" w:type="pct"/>
            <w:noWrap/>
            <w:hideMark/>
          </w:tcPr>
          <w:p w14:paraId="4CAC9316"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54,6</w:t>
            </w:r>
          </w:p>
        </w:tc>
        <w:tc>
          <w:tcPr>
            <w:tcW w:w="268" w:type="pct"/>
            <w:noWrap/>
            <w:hideMark/>
          </w:tcPr>
          <w:p w14:paraId="13937F0C"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60,6</w:t>
            </w:r>
          </w:p>
        </w:tc>
        <w:tc>
          <w:tcPr>
            <w:tcW w:w="268" w:type="pct"/>
            <w:noWrap/>
            <w:hideMark/>
          </w:tcPr>
          <w:p w14:paraId="1C7DB0D9"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58,8</w:t>
            </w:r>
          </w:p>
        </w:tc>
        <w:tc>
          <w:tcPr>
            <w:tcW w:w="268" w:type="pct"/>
            <w:noWrap/>
            <w:hideMark/>
          </w:tcPr>
          <w:p w14:paraId="1CF6453C"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55,5</w:t>
            </w:r>
          </w:p>
        </w:tc>
        <w:tc>
          <w:tcPr>
            <w:tcW w:w="268" w:type="pct"/>
            <w:noWrap/>
            <w:hideMark/>
          </w:tcPr>
          <w:p w14:paraId="2ECABE74"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51,8</w:t>
            </w:r>
          </w:p>
        </w:tc>
        <w:tc>
          <w:tcPr>
            <w:tcW w:w="268" w:type="pct"/>
            <w:noWrap/>
            <w:hideMark/>
          </w:tcPr>
          <w:p w14:paraId="32F92FB3"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45,8</w:t>
            </w:r>
          </w:p>
        </w:tc>
        <w:tc>
          <w:tcPr>
            <w:tcW w:w="268" w:type="pct"/>
            <w:noWrap/>
            <w:hideMark/>
          </w:tcPr>
          <w:p w14:paraId="1CA7AB6A"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46,6</w:t>
            </w:r>
          </w:p>
        </w:tc>
        <w:tc>
          <w:tcPr>
            <w:tcW w:w="268" w:type="pct"/>
            <w:noWrap/>
            <w:hideMark/>
          </w:tcPr>
          <w:p w14:paraId="6767BCA0"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41,1</w:t>
            </w:r>
          </w:p>
        </w:tc>
        <w:tc>
          <w:tcPr>
            <w:tcW w:w="268" w:type="pct"/>
            <w:noWrap/>
            <w:hideMark/>
          </w:tcPr>
          <w:p w14:paraId="11BC2C08"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43,5</w:t>
            </w:r>
          </w:p>
        </w:tc>
        <w:tc>
          <w:tcPr>
            <w:tcW w:w="268" w:type="pct"/>
            <w:noWrap/>
            <w:hideMark/>
          </w:tcPr>
          <w:p w14:paraId="7AF1E394"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44,6</w:t>
            </w:r>
          </w:p>
        </w:tc>
      </w:tr>
      <w:tr w:rsidR="006356F1" w:rsidRPr="006C5DA0" w14:paraId="09894A3F" w14:textId="77777777" w:rsidTr="00217400">
        <w:trPr>
          <w:trHeight w:val="300"/>
        </w:trPr>
        <w:tc>
          <w:tcPr>
            <w:tcW w:w="1512" w:type="pct"/>
            <w:noWrap/>
            <w:hideMark/>
          </w:tcPr>
          <w:p w14:paraId="27664439" w14:textId="77777777" w:rsidR="006356F1" w:rsidRPr="006C5DA0" w:rsidRDefault="006356F1" w:rsidP="00217400">
            <w:pPr>
              <w:rPr>
                <w:rFonts w:ascii="Calibri" w:hAnsi="Calibri" w:cs="Arial"/>
                <w:b/>
                <w:bCs/>
                <w:color w:val="000000"/>
                <w:sz w:val="18"/>
              </w:rPr>
            </w:pPr>
            <w:r w:rsidRPr="006C5DA0">
              <w:rPr>
                <w:rFonts w:ascii="Calibri" w:hAnsi="Calibri" w:cs="Arial"/>
                <w:b/>
                <w:bCs/>
                <w:color w:val="000000"/>
                <w:sz w:val="18"/>
              </w:rPr>
              <w:t>Total</w:t>
            </w:r>
          </w:p>
        </w:tc>
        <w:tc>
          <w:tcPr>
            <w:tcW w:w="268" w:type="pct"/>
            <w:noWrap/>
            <w:hideMark/>
          </w:tcPr>
          <w:p w14:paraId="1953FA81"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45BDD864"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1F2350A4"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28D97507"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396B5207"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6536B121"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7E362FFA"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7FDB86B9"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23CC5F9E"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727D0657"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41691E8F"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78C61D9A"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c>
          <w:tcPr>
            <w:tcW w:w="268" w:type="pct"/>
            <w:noWrap/>
            <w:hideMark/>
          </w:tcPr>
          <w:p w14:paraId="636A8BFD" w14:textId="77777777" w:rsidR="006356F1" w:rsidRPr="006C5DA0" w:rsidRDefault="006356F1" w:rsidP="00217400">
            <w:pPr>
              <w:jc w:val="right"/>
              <w:rPr>
                <w:rFonts w:ascii="Calibri" w:hAnsi="Calibri" w:cs="Arial"/>
                <w:b/>
                <w:bCs/>
                <w:color w:val="000000"/>
                <w:sz w:val="16"/>
              </w:rPr>
            </w:pPr>
            <w:r w:rsidRPr="006C5DA0">
              <w:rPr>
                <w:rFonts w:ascii="Calibri" w:hAnsi="Calibri" w:cs="Arial"/>
                <w:b/>
                <w:bCs/>
                <w:color w:val="000000"/>
                <w:sz w:val="16"/>
              </w:rPr>
              <w:t>100,0</w:t>
            </w:r>
          </w:p>
        </w:tc>
      </w:tr>
      <w:tr w:rsidR="006356F1" w:rsidRPr="006C5DA0" w14:paraId="61CE8BD8" w14:textId="77777777" w:rsidTr="00217400">
        <w:trPr>
          <w:trHeight w:val="300"/>
        </w:trPr>
        <w:tc>
          <w:tcPr>
            <w:tcW w:w="1512" w:type="pct"/>
            <w:noWrap/>
            <w:hideMark/>
          </w:tcPr>
          <w:p w14:paraId="72F2047D" w14:textId="77777777" w:rsidR="006356F1" w:rsidRPr="006C5DA0" w:rsidRDefault="006356F1" w:rsidP="00217400">
            <w:pPr>
              <w:rPr>
                <w:rFonts w:ascii="Calibri" w:hAnsi="Calibri" w:cs="Arial"/>
                <w:bCs/>
                <w:color w:val="000000"/>
                <w:sz w:val="18"/>
              </w:rPr>
            </w:pPr>
            <w:r w:rsidRPr="006C5DA0">
              <w:rPr>
                <w:rFonts w:ascii="Calibri" w:hAnsi="Calibri" w:cs="Arial"/>
                <w:bCs/>
                <w:color w:val="000000"/>
                <w:sz w:val="18"/>
              </w:rPr>
              <w:t>Importações do exterior/compras totais</w:t>
            </w:r>
          </w:p>
        </w:tc>
        <w:tc>
          <w:tcPr>
            <w:tcW w:w="268" w:type="pct"/>
            <w:noWrap/>
            <w:hideMark/>
          </w:tcPr>
          <w:p w14:paraId="49A312B1"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14,3</w:t>
            </w:r>
          </w:p>
        </w:tc>
        <w:tc>
          <w:tcPr>
            <w:tcW w:w="268" w:type="pct"/>
            <w:noWrap/>
            <w:hideMark/>
          </w:tcPr>
          <w:p w14:paraId="1010DDB4"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17,3</w:t>
            </w:r>
          </w:p>
        </w:tc>
        <w:tc>
          <w:tcPr>
            <w:tcW w:w="268" w:type="pct"/>
            <w:noWrap/>
            <w:hideMark/>
          </w:tcPr>
          <w:p w14:paraId="72160E37"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21,1</w:t>
            </w:r>
          </w:p>
        </w:tc>
        <w:tc>
          <w:tcPr>
            <w:tcW w:w="268" w:type="pct"/>
            <w:noWrap/>
            <w:hideMark/>
          </w:tcPr>
          <w:p w14:paraId="532C4D4A"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23,1</w:t>
            </w:r>
          </w:p>
        </w:tc>
        <w:tc>
          <w:tcPr>
            <w:tcW w:w="268" w:type="pct"/>
            <w:noWrap/>
            <w:hideMark/>
          </w:tcPr>
          <w:p w14:paraId="659DECB8"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29,5</w:t>
            </w:r>
          </w:p>
        </w:tc>
        <w:tc>
          <w:tcPr>
            <w:tcW w:w="268" w:type="pct"/>
            <w:noWrap/>
            <w:hideMark/>
          </w:tcPr>
          <w:p w14:paraId="768F2AB4"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30,3</w:t>
            </w:r>
          </w:p>
        </w:tc>
        <w:tc>
          <w:tcPr>
            <w:tcW w:w="268" w:type="pct"/>
            <w:noWrap/>
            <w:hideMark/>
          </w:tcPr>
          <w:p w14:paraId="6D662FC0"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26,0</w:t>
            </w:r>
          </w:p>
        </w:tc>
        <w:tc>
          <w:tcPr>
            <w:tcW w:w="268" w:type="pct"/>
            <w:noWrap/>
            <w:hideMark/>
          </w:tcPr>
          <w:p w14:paraId="0442DC67"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19,3</w:t>
            </w:r>
          </w:p>
        </w:tc>
        <w:tc>
          <w:tcPr>
            <w:tcW w:w="268" w:type="pct"/>
            <w:noWrap/>
            <w:hideMark/>
          </w:tcPr>
          <w:p w14:paraId="140E1471"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16,4</w:t>
            </w:r>
          </w:p>
        </w:tc>
        <w:tc>
          <w:tcPr>
            <w:tcW w:w="268" w:type="pct"/>
            <w:noWrap/>
            <w:hideMark/>
          </w:tcPr>
          <w:p w14:paraId="7B32EF4A"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16,1</w:t>
            </w:r>
          </w:p>
        </w:tc>
        <w:tc>
          <w:tcPr>
            <w:tcW w:w="268" w:type="pct"/>
            <w:noWrap/>
            <w:hideMark/>
          </w:tcPr>
          <w:p w14:paraId="6C12EB95"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10,3</w:t>
            </w:r>
          </w:p>
        </w:tc>
        <w:tc>
          <w:tcPr>
            <w:tcW w:w="268" w:type="pct"/>
            <w:noWrap/>
            <w:hideMark/>
          </w:tcPr>
          <w:p w14:paraId="2CE49D27"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11,6</w:t>
            </w:r>
          </w:p>
        </w:tc>
        <w:tc>
          <w:tcPr>
            <w:tcW w:w="268" w:type="pct"/>
            <w:noWrap/>
            <w:hideMark/>
          </w:tcPr>
          <w:p w14:paraId="596DBBE8" w14:textId="77777777" w:rsidR="006356F1" w:rsidRPr="006C5DA0" w:rsidRDefault="006356F1" w:rsidP="00217400">
            <w:pPr>
              <w:jc w:val="right"/>
              <w:rPr>
                <w:rFonts w:ascii="Calibri" w:hAnsi="Calibri"/>
                <w:color w:val="000000"/>
                <w:sz w:val="16"/>
              </w:rPr>
            </w:pPr>
            <w:r w:rsidRPr="006C5DA0">
              <w:rPr>
                <w:rFonts w:ascii="Calibri" w:hAnsi="Calibri"/>
                <w:color w:val="000000"/>
                <w:sz w:val="16"/>
              </w:rPr>
              <w:t>11,3</w:t>
            </w:r>
          </w:p>
        </w:tc>
      </w:tr>
    </w:tbl>
    <w:p w14:paraId="4BD7D222" w14:textId="77777777" w:rsidR="006356F1" w:rsidRPr="00741163" w:rsidRDefault="006356F1" w:rsidP="006356F1">
      <w:pPr>
        <w:jc w:val="both"/>
        <w:rPr>
          <w:rFonts w:ascii="Calibri" w:hAnsi="Calibri" w:cs="Arial"/>
          <w:sz w:val="18"/>
        </w:rPr>
      </w:pPr>
      <w:r w:rsidRPr="00741163">
        <w:rPr>
          <w:rFonts w:ascii="Calibri" w:hAnsi="Calibri" w:cs="Arial"/>
          <w:sz w:val="18"/>
        </w:rPr>
        <w:t>Obs.: Importações é a relação entre compras externas e as compras totais.</w:t>
      </w:r>
    </w:p>
    <w:p w14:paraId="31A53513" w14:textId="77777777" w:rsidR="006356F1" w:rsidRPr="00741163" w:rsidRDefault="006356F1" w:rsidP="006356F1">
      <w:pPr>
        <w:rPr>
          <w:rFonts w:ascii="Calibri" w:hAnsi="Calibri"/>
          <w:color w:val="000000"/>
          <w:sz w:val="18"/>
        </w:rPr>
      </w:pPr>
      <w:r w:rsidRPr="00741163">
        <w:rPr>
          <w:rFonts w:ascii="Calibri" w:hAnsi="Calibri"/>
          <w:color w:val="000000"/>
          <w:sz w:val="18"/>
        </w:rPr>
        <w:t>Fonte: Secretaria da Economia do Estado de Goiás</w:t>
      </w:r>
    </w:p>
    <w:p w14:paraId="29F1E1C3" w14:textId="77777777" w:rsidR="006356F1" w:rsidRPr="00F70141" w:rsidRDefault="006356F1" w:rsidP="006356F1">
      <w:pPr>
        <w:spacing w:line="360" w:lineRule="auto"/>
        <w:ind w:firstLine="851"/>
        <w:jc w:val="both"/>
        <w:rPr>
          <w:rFonts w:ascii="Arial" w:hAnsi="Arial" w:cs="Arial"/>
          <w:sz w:val="24"/>
          <w:szCs w:val="24"/>
        </w:rPr>
      </w:pPr>
    </w:p>
    <w:p w14:paraId="3F6EB0BC" w14:textId="77777777" w:rsidR="006356F1" w:rsidRPr="00F70141" w:rsidRDefault="006356F1" w:rsidP="006356F1">
      <w:pPr>
        <w:spacing w:line="360" w:lineRule="auto"/>
        <w:ind w:firstLine="851"/>
        <w:jc w:val="both"/>
        <w:rPr>
          <w:rFonts w:ascii="Arial" w:hAnsi="Arial" w:cs="Arial"/>
          <w:sz w:val="24"/>
          <w:szCs w:val="24"/>
        </w:rPr>
      </w:pPr>
      <w:r w:rsidRPr="00F70141">
        <w:rPr>
          <w:rFonts w:ascii="Arial" w:hAnsi="Arial" w:cs="Arial"/>
          <w:sz w:val="24"/>
          <w:szCs w:val="24"/>
        </w:rPr>
        <w:t>E ainda podemos detalhar essa análise por atividade, revelando quais setores mais compram em Goiás, favorecendo o desenvolvimento da economia goiana:</w:t>
      </w:r>
    </w:p>
    <w:p w14:paraId="147EED4C" w14:textId="77777777" w:rsidR="006356F1" w:rsidRPr="00F70141" w:rsidRDefault="006356F1" w:rsidP="006356F1">
      <w:pPr>
        <w:spacing w:line="360" w:lineRule="auto"/>
        <w:ind w:firstLine="851"/>
        <w:jc w:val="both"/>
        <w:rPr>
          <w:rFonts w:ascii="Arial" w:hAnsi="Arial" w:cs="Arial"/>
          <w:sz w:val="24"/>
          <w:szCs w:val="24"/>
        </w:rPr>
      </w:pPr>
    </w:p>
    <w:p w14:paraId="64623DA5" w14:textId="77777777" w:rsidR="006356F1" w:rsidRPr="00586A02" w:rsidRDefault="006356F1" w:rsidP="006356F1">
      <w:pPr>
        <w:pStyle w:val="Legenda"/>
        <w:spacing w:after="0"/>
        <w:ind w:left="-567"/>
        <w:rPr>
          <w:rFonts w:ascii="Calibri" w:hAnsi="Calibri" w:cs="Arial"/>
          <w:sz w:val="22"/>
          <w:szCs w:val="22"/>
        </w:rPr>
      </w:pPr>
      <w:r w:rsidRPr="00586A02">
        <w:rPr>
          <w:sz w:val="22"/>
          <w:szCs w:val="22"/>
        </w:rPr>
        <w:t xml:space="preserve">Participação </w:t>
      </w:r>
      <w:r>
        <w:rPr>
          <w:sz w:val="22"/>
          <w:szCs w:val="22"/>
        </w:rPr>
        <w:t xml:space="preserve">percentual, </w:t>
      </w:r>
      <w:r w:rsidRPr="00586A02">
        <w:rPr>
          <w:sz w:val="22"/>
          <w:szCs w:val="22"/>
        </w:rPr>
        <w:t>por atividade</w:t>
      </w:r>
      <w:r>
        <w:rPr>
          <w:sz w:val="22"/>
          <w:szCs w:val="22"/>
        </w:rPr>
        <w:t>,</w:t>
      </w:r>
      <w:r w:rsidRPr="00586A02">
        <w:rPr>
          <w:sz w:val="22"/>
          <w:szCs w:val="22"/>
        </w:rPr>
        <w:t xml:space="preserve"> das compras efetuadas pelas empresas nos programas</w:t>
      </w:r>
    </w:p>
    <w:tbl>
      <w:tblPr>
        <w:tblStyle w:val="TabeladeGradeClara"/>
        <w:tblW w:w="1044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8"/>
        <w:gridCol w:w="1417"/>
        <w:gridCol w:w="1418"/>
        <w:gridCol w:w="1275"/>
        <w:gridCol w:w="1276"/>
      </w:tblGrid>
      <w:tr w:rsidR="006356F1" w:rsidRPr="00741163" w14:paraId="634EB072" w14:textId="77777777" w:rsidTr="00217400">
        <w:trPr>
          <w:trHeight w:val="300"/>
        </w:trPr>
        <w:tc>
          <w:tcPr>
            <w:tcW w:w="5058" w:type="dxa"/>
            <w:vMerge w:val="restart"/>
            <w:noWrap/>
            <w:vAlign w:val="center"/>
            <w:hideMark/>
          </w:tcPr>
          <w:p w14:paraId="27E3D642" w14:textId="77777777" w:rsidR="006356F1" w:rsidRPr="00741163" w:rsidRDefault="006356F1" w:rsidP="00217400">
            <w:pPr>
              <w:jc w:val="center"/>
              <w:rPr>
                <w:rFonts w:ascii="Calibri" w:hAnsi="Calibri"/>
                <w:b/>
                <w:bCs/>
                <w:color w:val="000000"/>
                <w:sz w:val="20"/>
              </w:rPr>
            </w:pPr>
            <w:r w:rsidRPr="00741163">
              <w:rPr>
                <w:rFonts w:ascii="Calibri" w:hAnsi="Calibri"/>
                <w:b/>
                <w:bCs/>
                <w:color w:val="000000"/>
                <w:sz w:val="20"/>
              </w:rPr>
              <w:t>Atividade</w:t>
            </w:r>
          </w:p>
        </w:tc>
        <w:tc>
          <w:tcPr>
            <w:tcW w:w="2835" w:type="dxa"/>
            <w:gridSpan w:val="2"/>
            <w:noWrap/>
            <w:hideMark/>
          </w:tcPr>
          <w:p w14:paraId="6A9F6A5B" w14:textId="77777777" w:rsidR="006356F1" w:rsidRPr="00741163" w:rsidRDefault="006356F1" w:rsidP="00217400">
            <w:pPr>
              <w:jc w:val="center"/>
              <w:rPr>
                <w:rFonts w:ascii="Calibri" w:hAnsi="Calibri"/>
                <w:b/>
                <w:color w:val="000000"/>
                <w:sz w:val="20"/>
              </w:rPr>
            </w:pPr>
            <w:r w:rsidRPr="00741163">
              <w:rPr>
                <w:rFonts w:ascii="Calibri" w:hAnsi="Calibri"/>
                <w:b/>
                <w:color w:val="000000"/>
                <w:sz w:val="20"/>
              </w:rPr>
              <w:t>2018</w:t>
            </w:r>
          </w:p>
        </w:tc>
        <w:tc>
          <w:tcPr>
            <w:tcW w:w="2551" w:type="dxa"/>
            <w:gridSpan w:val="2"/>
            <w:noWrap/>
            <w:hideMark/>
          </w:tcPr>
          <w:p w14:paraId="00C010BC" w14:textId="77777777" w:rsidR="006356F1" w:rsidRPr="00741163" w:rsidRDefault="006356F1" w:rsidP="00217400">
            <w:pPr>
              <w:jc w:val="center"/>
              <w:rPr>
                <w:rFonts w:ascii="Calibri" w:hAnsi="Calibri"/>
                <w:b/>
                <w:color w:val="000000"/>
                <w:sz w:val="20"/>
              </w:rPr>
            </w:pPr>
            <w:r w:rsidRPr="00741163">
              <w:rPr>
                <w:rFonts w:ascii="Calibri" w:hAnsi="Calibri"/>
                <w:b/>
                <w:color w:val="000000"/>
                <w:sz w:val="20"/>
              </w:rPr>
              <w:t>Média 2006-2018</w:t>
            </w:r>
          </w:p>
        </w:tc>
      </w:tr>
      <w:tr w:rsidR="006356F1" w:rsidRPr="00741163" w14:paraId="310C8B6E" w14:textId="77777777" w:rsidTr="00217400">
        <w:trPr>
          <w:trHeight w:val="300"/>
        </w:trPr>
        <w:tc>
          <w:tcPr>
            <w:tcW w:w="5058" w:type="dxa"/>
            <w:vMerge/>
            <w:hideMark/>
          </w:tcPr>
          <w:p w14:paraId="5CD3EF70" w14:textId="77777777" w:rsidR="006356F1" w:rsidRPr="00741163" w:rsidRDefault="006356F1" w:rsidP="00217400">
            <w:pPr>
              <w:rPr>
                <w:rFonts w:ascii="Calibri" w:hAnsi="Calibri"/>
                <w:b/>
                <w:bCs/>
                <w:color w:val="000000"/>
                <w:sz w:val="20"/>
              </w:rPr>
            </w:pPr>
          </w:p>
        </w:tc>
        <w:tc>
          <w:tcPr>
            <w:tcW w:w="1417" w:type="dxa"/>
            <w:noWrap/>
            <w:hideMark/>
          </w:tcPr>
          <w:p w14:paraId="499581D1" w14:textId="77777777" w:rsidR="006356F1" w:rsidRPr="00741163" w:rsidRDefault="006356F1" w:rsidP="00217400">
            <w:pPr>
              <w:jc w:val="center"/>
              <w:rPr>
                <w:rFonts w:ascii="Calibri" w:hAnsi="Calibri"/>
                <w:b/>
                <w:bCs/>
                <w:color w:val="000000"/>
                <w:sz w:val="20"/>
              </w:rPr>
            </w:pPr>
            <w:r w:rsidRPr="00741163">
              <w:rPr>
                <w:rFonts w:ascii="Calibri" w:hAnsi="Calibri"/>
                <w:b/>
                <w:bCs/>
                <w:color w:val="000000"/>
                <w:sz w:val="20"/>
              </w:rPr>
              <w:t>Compras externas</w:t>
            </w:r>
          </w:p>
        </w:tc>
        <w:tc>
          <w:tcPr>
            <w:tcW w:w="1418" w:type="dxa"/>
            <w:noWrap/>
            <w:hideMark/>
          </w:tcPr>
          <w:p w14:paraId="07A1F882" w14:textId="77777777" w:rsidR="006356F1" w:rsidRPr="00741163" w:rsidRDefault="006356F1" w:rsidP="00217400">
            <w:pPr>
              <w:jc w:val="center"/>
              <w:rPr>
                <w:rFonts w:ascii="Calibri" w:hAnsi="Calibri"/>
                <w:b/>
                <w:bCs/>
                <w:color w:val="000000"/>
                <w:sz w:val="20"/>
              </w:rPr>
            </w:pPr>
            <w:r w:rsidRPr="00741163">
              <w:rPr>
                <w:rFonts w:ascii="Calibri" w:hAnsi="Calibri"/>
                <w:b/>
                <w:bCs/>
                <w:color w:val="000000"/>
                <w:sz w:val="20"/>
              </w:rPr>
              <w:t>Compras internas</w:t>
            </w:r>
          </w:p>
        </w:tc>
        <w:tc>
          <w:tcPr>
            <w:tcW w:w="1275" w:type="dxa"/>
            <w:noWrap/>
            <w:hideMark/>
          </w:tcPr>
          <w:p w14:paraId="6BC754F0" w14:textId="77777777" w:rsidR="006356F1" w:rsidRPr="00741163" w:rsidRDefault="006356F1" w:rsidP="00217400">
            <w:pPr>
              <w:jc w:val="center"/>
              <w:rPr>
                <w:rFonts w:ascii="Calibri" w:hAnsi="Calibri"/>
                <w:b/>
                <w:bCs/>
                <w:color w:val="000000"/>
                <w:sz w:val="20"/>
              </w:rPr>
            </w:pPr>
            <w:r w:rsidRPr="00741163">
              <w:rPr>
                <w:rFonts w:ascii="Calibri" w:hAnsi="Calibri"/>
                <w:b/>
                <w:bCs/>
                <w:color w:val="000000"/>
                <w:sz w:val="20"/>
              </w:rPr>
              <w:t>Compras externas</w:t>
            </w:r>
          </w:p>
        </w:tc>
        <w:tc>
          <w:tcPr>
            <w:tcW w:w="1276" w:type="dxa"/>
            <w:noWrap/>
            <w:hideMark/>
          </w:tcPr>
          <w:p w14:paraId="5912607D" w14:textId="77777777" w:rsidR="006356F1" w:rsidRPr="00741163" w:rsidRDefault="006356F1" w:rsidP="00217400">
            <w:pPr>
              <w:jc w:val="center"/>
              <w:rPr>
                <w:rFonts w:ascii="Calibri" w:hAnsi="Calibri"/>
                <w:b/>
                <w:bCs/>
                <w:color w:val="000000"/>
                <w:sz w:val="20"/>
              </w:rPr>
            </w:pPr>
            <w:r w:rsidRPr="00741163">
              <w:rPr>
                <w:rFonts w:ascii="Calibri" w:hAnsi="Calibri"/>
                <w:b/>
                <w:bCs/>
                <w:color w:val="000000"/>
                <w:sz w:val="20"/>
              </w:rPr>
              <w:t>Compras internas</w:t>
            </w:r>
          </w:p>
        </w:tc>
      </w:tr>
      <w:tr w:rsidR="006356F1" w:rsidRPr="00741163" w14:paraId="4F8F8916" w14:textId="77777777" w:rsidTr="00217400">
        <w:trPr>
          <w:trHeight w:val="340"/>
        </w:trPr>
        <w:tc>
          <w:tcPr>
            <w:tcW w:w="5058" w:type="dxa"/>
            <w:noWrap/>
            <w:hideMark/>
          </w:tcPr>
          <w:p w14:paraId="494DC3A4" w14:textId="77777777" w:rsidR="006356F1" w:rsidRPr="00741163" w:rsidRDefault="006356F1" w:rsidP="00217400">
            <w:pPr>
              <w:rPr>
                <w:rFonts w:ascii="Calibri" w:hAnsi="Calibri"/>
                <w:bCs/>
                <w:color w:val="000000"/>
                <w:sz w:val="20"/>
              </w:rPr>
            </w:pPr>
            <w:r w:rsidRPr="00741163">
              <w:rPr>
                <w:rFonts w:ascii="Calibri" w:hAnsi="Calibri"/>
                <w:bCs/>
                <w:color w:val="000000"/>
                <w:sz w:val="20"/>
              </w:rPr>
              <w:t>Agricultura, pecuária e serviços relacionados</w:t>
            </w:r>
          </w:p>
        </w:tc>
        <w:tc>
          <w:tcPr>
            <w:tcW w:w="1417" w:type="dxa"/>
            <w:noWrap/>
            <w:hideMark/>
          </w:tcPr>
          <w:p w14:paraId="47574BC3"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32,6</w:t>
            </w:r>
          </w:p>
        </w:tc>
        <w:tc>
          <w:tcPr>
            <w:tcW w:w="1418" w:type="dxa"/>
            <w:noWrap/>
            <w:hideMark/>
          </w:tcPr>
          <w:p w14:paraId="7B0241DE"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67,4</w:t>
            </w:r>
          </w:p>
        </w:tc>
        <w:tc>
          <w:tcPr>
            <w:tcW w:w="1275" w:type="dxa"/>
            <w:noWrap/>
            <w:hideMark/>
          </w:tcPr>
          <w:p w14:paraId="20A5CD2C"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22,7</w:t>
            </w:r>
          </w:p>
        </w:tc>
        <w:tc>
          <w:tcPr>
            <w:tcW w:w="1276" w:type="dxa"/>
            <w:noWrap/>
            <w:hideMark/>
          </w:tcPr>
          <w:p w14:paraId="13BCDDA4"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77,3</w:t>
            </w:r>
          </w:p>
        </w:tc>
      </w:tr>
      <w:tr w:rsidR="006356F1" w:rsidRPr="00741163" w14:paraId="4CE61523" w14:textId="77777777" w:rsidTr="00217400">
        <w:trPr>
          <w:trHeight w:val="340"/>
        </w:trPr>
        <w:tc>
          <w:tcPr>
            <w:tcW w:w="5058" w:type="dxa"/>
            <w:noWrap/>
            <w:hideMark/>
          </w:tcPr>
          <w:p w14:paraId="508AE6C9" w14:textId="77777777" w:rsidR="006356F1" w:rsidRPr="00741163" w:rsidRDefault="006356F1" w:rsidP="00217400">
            <w:pPr>
              <w:rPr>
                <w:rFonts w:ascii="Calibri" w:hAnsi="Calibri"/>
                <w:bCs/>
                <w:color w:val="000000"/>
                <w:sz w:val="20"/>
              </w:rPr>
            </w:pPr>
            <w:r w:rsidRPr="00741163">
              <w:rPr>
                <w:rFonts w:ascii="Calibri" w:hAnsi="Calibri"/>
                <w:bCs/>
                <w:color w:val="000000"/>
                <w:sz w:val="20"/>
              </w:rPr>
              <w:t>Aluguéis não imobiliários e gestão de ativos intangíveis não financeiros</w:t>
            </w:r>
          </w:p>
        </w:tc>
        <w:tc>
          <w:tcPr>
            <w:tcW w:w="1417" w:type="dxa"/>
            <w:noWrap/>
            <w:hideMark/>
          </w:tcPr>
          <w:p w14:paraId="7BC48608"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w:t>
            </w:r>
          </w:p>
        </w:tc>
        <w:tc>
          <w:tcPr>
            <w:tcW w:w="1418" w:type="dxa"/>
            <w:noWrap/>
            <w:hideMark/>
          </w:tcPr>
          <w:p w14:paraId="3D56D904"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100,0</w:t>
            </w:r>
          </w:p>
        </w:tc>
        <w:tc>
          <w:tcPr>
            <w:tcW w:w="1275" w:type="dxa"/>
            <w:noWrap/>
            <w:hideMark/>
          </w:tcPr>
          <w:p w14:paraId="47D04EE3"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w:t>
            </w:r>
          </w:p>
        </w:tc>
        <w:tc>
          <w:tcPr>
            <w:tcW w:w="1276" w:type="dxa"/>
            <w:noWrap/>
            <w:hideMark/>
          </w:tcPr>
          <w:p w14:paraId="1D6F2B8A"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100,0</w:t>
            </w:r>
          </w:p>
        </w:tc>
      </w:tr>
      <w:tr w:rsidR="006356F1" w:rsidRPr="00741163" w14:paraId="6C0981CC" w14:textId="77777777" w:rsidTr="00217400">
        <w:trPr>
          <w:trHeight w:val="340"/>
        </w:trPr>
        <w:tc>
          <w:tcPr>
            <w:tcW w:w="5058" w:type="dxa"/>
            <w:noWrap/>
            <w:hideMark/>
          </w:tcPr>
          <w:p w14:paraId="31C5CEE9" w14:textId="77777777" w:rsidR="006356F1" w:rsidRPr="00741163" w:rsidRDefault="006356F1" w:rsidP="00217400">
            <w:pPr>
              <w:rPr>
                <w:rFonts w:ascii="Calibri" w:hAnsi="Calibri"/>
                <w:bCs/>
                <w:color w:val="000000"/>
                <w:sz w:val="20"/>
              </w:rPr>
            </w:pPr>
            <w:r w:rsidRPr="00741163">
              <w:rPr>
                <w:rFonts w:ascii="Calibri" w:hAnsi="Calibri"/>
                <w:bCs/>
                <w:color w:val="000000"/>
                <w:sz w:val="20"/>
              </w:rPr>
              <w:t>Atividades de apoio à extração de minerais</w:t>
            </w:r>
          </w:p>
        </w:tc>
        <w:tc>
          <w:tcPr>
            <w:tcW w:w="1417" w:type="dxa"/>
            <w:noWrap/>
            <w:hideMark/>
          </w:tcPr>
          <w:p w14:paraId="0C9F8967"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88,3</w:t>
            </w:r>
          </w:p>
        </w:tc>
        <w:tc>
          <w:tcPr>
            <w:tcW w:w="1418" w:type="dxa"/>
            <w:noWrap/>
            <w:hideMark/>
          </w:tcPr>
          <w:p w14:paraId="5F66F634"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11,7</w:t>
            </w:r>
          </w:p>
        </w:tc>
        <w:tc>
          <w:tcPr>
            <w:tcW w:w="1275" w:type="dxa"/>
            <w:noWrap/>
            <w:hideMark/>
          </w:tcPr>
          <w:p w14:paraId="0C00152A"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58,0</w:t>
            </w:r>
          </w:p>
        </w:tc>
        <w:tc>
          <w:tcPr>
            <w:tcW w:w="1276" w:type="dxa"/>
            <w:noWrap/>
            <w:hideMark/>
          </w:tcPr>
          <w:p w14:paraId="7A38B1CA"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42,0</w:t>
            </w:r>
          </w:p>
        </w:tc>
      </w:tr>
      <w:tr w:rsidR="006356F1" w:rsidRPr="00741163" w14:paraId="4CA93092" w14:textId="77777777" w:rsidTr="00217400">
        <w:trPr>
          <w:trHeight w:val="340"/>
        </w:trPr>
        <w:tc>
          <w:tcPr>
            <w:tcW w:w="5058" w:type="dxa"/>
            <w:noWrap/>
            <w:hideMark/>
          </w:tcPr>
          <w:p w14:paraId="43C57335" w14:textId="77777777" w:rsidR="006356F1" w:rsidRPr="00741163" w:rsidRDefault="006356F1" w:rsidP="00217400">
            <w:pPr>
              <w:rPr>
                <w:rFonts w:ascii="Calibri" w:hAnsi="Calibri"/>
                <w:bCs/>
                <w:color w:val="000000"/>
                <w:sz w:val="20"/>
              </w:rPr>
            </w:pPr>
            <w:r w:rsidRPr="00741163">
              <w:rPr>
                <w:rFonts w:ascii="Calibri" w:hAnsi="Calibri"/>
                <w:bCs/>
                <w:color w:val="000000"/>
                <w:sz w:val="20"/>
              </w:rPr>
              <w:t>Atividades imobiliárias</w:t>
            </w:r>
          </w:p>
        </w:tc>
        <w:tc>
          <w:tcPr>
            <w:tcW w:w="1417" w:type="dxa"/>
            <w:noWrap/>
            <w:hideMark/>
          </w:tcPr>
          <w:p w14:paraId="08E19B17"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w:t>
            </w:r>
          </w:p>
        </w:tc>
        <w:tc>
          <w:tcPr>
            <w:tcW w:w="1418" w:type="dxa"/>
            <w:noWrap/>
            <w:hideMark/>
          </w:tcPr>
          <w:p w14:paraId="520764DF"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w:t>
            </w:r>
          </w:p>
        </w:tc>
        <w:tc>
          <w:tcPr>
            <w:tcW w:w="1275" w:type="dxa"/>
            <w:noWrap/>
            <w:hideMark/>
          </w:tcPr>
          <w:p w14:paraId="00B59C9A"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55,7</w:t>
            </w:r>
          </w:p>
        </w:tc>
        <w:tc>
          <w:tcPr>
            <w:tcW w:w="1276" w:type="dxa"/>
            <w:noWrap/>
            <w:hideMark/>
          </w:tcPr>
          <w:p w14:paraId="52456E66"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44,3</w:t>
            </w:r>
          </w:p>
        </w:tc>
      </w:tr>
      <w:tr w:rsidR="006356F1" w:rsidRPr="00741163" w14:paraId="2A44B42E" w14:textId="77777777" w:rsidTr="00217400">
        <w:trPr>
          <w:trHeight w:val="340"/>
        </w:trPr>
        <w:tc>
          <w:tcPr>
            <w:tcW w:w="5058" w:type="dxa"/>
            <w:noWrap/>
            <w:hideMark/>
          </w:tcPr>
          <w:p w14:paraId="11B93D77" w14:textId="77777777" w:rsidR="006356F1" w:rsidRPr="00741163" w:rsidRDefault="006356F1" w:rsidP="00217400">
            <w:pPr>
              <w:rPr>
                <w:rFonts w:ascii="Calibri" w:hAnsi="Calibri"/>
                <w:bCs/>
                <w:color w:val="000000"/>
                <w:sz w:val="20"/>
              </w:rPr>
            </w:pPr>
            <w:r w:rsidRPr="00741163">
              <w:rPr>
                <w:rFonts w:ascii="Calibri" w:hAnsi="Calibri"/>
                <w:bCs/>
                <w:color w:val="000000"/>
                <w:sz w:val="20"/>
              </w:rPr>
              <w:t>Coleta, tratamento e disposição de resíduos; recuperação de materiais</w:t>
            </w:r>
          </w:p>
        </w:tc>
        <w:tc>
          <w:tcPr>
            <w:tcW w:w="1417" w:type="dxa"/>
            <w:noWrap/>
            <w:hideMark/>
          </w:tcPr>
          <w:p w14:paraId="0A77AB57"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16,1</w:t>
            </w:r>
          </w:p>
        </w:tc>
        <w:tc>
          <w:tcPr>
            <w:tcW w:w="1418" w:type="dxa"/>
            <w:noWrap/>
            <w:hideMark/>
          </w:tcPr>
          <w:p w14:paraId="2BF4E96C"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83,9</w:t>
            </w:r>
          </w:p>
        </w:tc>
        <w:tc>
          <w:tcPr>
            <w:tcW w:w="1275" w:type="dxa"/>
            <w:noWrap/>
            <w:hideMark/>
          </w:tcPr>
          <w:p w14:paraId="6DAB8C47"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22,3</w:t>
            </w:r>
          </w:p>
        </w:tc>
        <w:tc>
          <w:tcPr>
            <w:tcW w:w="1276" w:type="dxa"/>
            <w:noWrap/>
            <w:hideMark/>
          </w:tcPr>
          <w:p w14:paraId="69317AE6"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77,7</w:t>
            </w:r>
          </w:p>
        </w:tc>
      </w:tr>
      <w:tr w:rsidR="006356F1" w:rsidRPr="00741163" w14:paraId="22EA2FB6" w14:textId="77777777" w:rsidTr="00217400">
        <w:trPr>
          <w:trHeight w:val="340"/>
        </w:trPr>
        <w:tc>
          <w:tcPr>
            <w:tcW w:w="5058" w:type="dxa"/>
            <w:noWrap/>
            <w:hideMark/>
          </w:tcPr>
          <w:p w14:paraId="28C10E65" w14:textId="77777777" w:rsidR="006356F1" w:rsidRPr="00741163" w:rsidRDefault="006356F1" w:rsidP="00217400">
            <w:pPr>
              <w:rPr>
                <w:rFonts w:ascii="Calibri" w:hAnsi="Calibri"/>
                <w:bCs/>
                <w:color w:val="000000"/>
                <w:sz w:val="20"/>
              </w:rPr>
            </w:pPr>
            <w:r w:rsidRPr="00741163">
              <w:rPr>
                <w:rFonts w:ascii="Calibri" w:hAnsi="Calibri"/>
                <w:bCs/>
                <w:color w:val="000000"/>
                <w:sz w:val="20"/>
              </w:rPr>
              <w:t>Comércio e reparação de veículos automotores e motocicletas</w:t>
            </w:r>
          </w:p>
        </w:tc>
        <w:tc>
          <w:tcPr>
            <w:tcW w:w="1417" w:type="dxa"/>
            <w:noWrap/>
            <w:hideMark/>
          </w:tcPr>
          <w:p w14:paraId="11520FB0"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92,8</w:t>
            </w:r>
          </w:p>
        </w:tc>
        <w:tc>
          <w:tcPr>
            <w:tcW w:w="1418" w:type="dxa"/>
            <w:noWrap/>
            <w:hideMark/>
          </w:tcPr>
          <w:p w14:paraId="143081FF"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7,2</w:t>
            </w:r>
          </w:p>
        </w:tc>
        <w:tc>
          <w:tcPr>
            <w:tcW w:w="1275" w:type="dxa"/>
            <w:noWrap/>
            <w:hideMark/>
          </w:tcPr>
          <w:p w14:paraId="23F7C9D0"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85,4</w:t>
            </w:r>
          </w:p>
        </w:tc>
        <w:tc>
          <w:tcPr>
            <w:tcW w:w="1276" w:type="dxa"/>
            <w:noWrap/>
            <w:hideMark/>
          </w:tcPr>
          <w:p w14:paraId="7405F08C" w14:textId="77777777" w:rsidR="006356F1" w:rsidRPr="00741163" w:rsidRDefault="006356F1" w:rsidP="00217400">
            <w:pPr>
              <w:jc w:val="center"/>
              <w:rPr>
                <w:rFonts w:ascii="Calibri" w:hAnsi="Calibri"/>
                <w:bCs/>
                <w:color w:val="000000"/>
                <w:sz w:val="20"/>
              </w:rPr>
            </w:pPr>
            <w:r w:rsidRPr="00741163">
              <w:rPr>
                <w:rFonts w:ascii="Calibri" w:hAnsi="Calibri"/>
                <w:bCs/>
                <w:color w:val="000000"/>
                <w:sz w:val="20"/>
              </w:rPr>
              <w:t>14,6</w:t>
            </w:r>
          </w:p>
        </w:tc>
      </w:tr>
      <w:tr w:rsidR="006356F1" w:rsidRPr="00741163" w14:paraId="0E70C909" w14:textId="77777777" w:rsidTr="00217400">
        <w:trPr>
          <w:trHeight w:val="340"/>
        </w:trPr>
        <w:tc>
          <w:tcPr>
            <w:tcW w:w="5058" w:type="dxa"/>
            <w:noWrap/>
            <w:hideMark/>
          </w:tcPr>
          <w:p w14:paraId="0D350E8B" w14:textId="77777777" w:rsidR="006356F1" w:rsidRPr="00741163" w:rsidRDefault="006356F1" w:rsidP="00217400">
            <w:pPr>
              <w:rPr>
                <w:rFonts w:ascii="Calibri" w:hAnsi="Calibri"/>
                <w:color w:val="000000"/>
                <w:sz w:val="20"/>
              </w:rPr>
            </w:pPr>
            <w:r w:rsidRPr="00741163">
              <w:rPr>
                <w:rFonts w:ascii="Calibri" w:hAnsi="Calibri"/>
                <w:color w:val="000000"/>
                <w:sz w:val="20"/>
              </w:rPr>
              <w:t>Comércio por atacado, exceto veículos automotores e motocicletas</w:t>
            </w:r>
          </w:p>
        </w:tc>
        <w:tc>
          <w:tcPr>
            <w:tcW w:w="1417" w:type="dxa"/>
            <w:noWrap/>
            <w:hideMark/>
          </w:tcPr>
          <w:p w14:paraId="477BB187"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41,9</w:t>
            </w:r>
          </w:p>
        </w:tc>
        <w:tc>
          <w:tcPr>
            <w:tcW w:w="1418" w:type="dxa"/>
            <w:noWrap/>
            <w:hideMark/>
          </w:tcPr>
          <w:p w14:paraId="6F56695F"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58,1</w:t>
            </w:r>
          </w:p>
        </w:tc>
        <w:tc>
          <w:tcPr>
            <w:tcW w:w="1275" w:type="dxa"/>
            <w:noWrap/>
            <w:hideMark/>
          </w:tcPr>
          <w:p w14:paraId="61155FD7"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63,7</w:t>
            </w:r>
          </w:p>
        </w:tc>
        <w:tc>
          <w:tcPr>
            <w:tcW w:w="1276" w:type="dxa"/>
            <w:noWrap/>
            <w:hideMark/>
          </w:tcPr>
          <w:p w14:paraId="0C0A9E8A"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36,3</w:t>
            </w:r>
          </w:p>
        </w:tc>
      </w:tr>
      <w:tr w:rsidR="006356F1" w:rsidRPr="00741163" w14:paraId="5D9B896A" w14:textId="77777777" w:rsidTr="00217400">
        <w:trPr>
          <w:trHeight w:val="340"/>
        </w:trPr>
        <w:tc>
          <w:tcPr>
            <w:tcW w:w="5058" w:type="dxa"/>
            <w:noWrap/>
            <w:hideMark/>
          </w:tcPr>
          <w:p w14:paraId="17DD1AE4" w14:textId="77777777" w:rsidR="006356F1" w:rsidRPr="00741163" w:rsidRDefault="006356F1" w:rsidP="00217400">
            <w:pPr>
              <w:rPr>
                <w:rFonts w:ascii="Calibri" w:hAnsi="Calibri"/>
                <w:color w:val="000000"/>
                <w:sz w:val="20"/>
              </w:rPr>
            </w:pPr>
            <w:r w:rsidRPr="00741163">
              <w:rPr>
                <w:rFonts w:ascii="Calibri" w:hAnsi="Calibri"/>
                <w:color w:val="000000"/>
                <w:sz w:val="20"/>
              </w:rPr>
              <w:t>Comércio varejista</w:t>
            </w:r>
          </w:p>
        </w:tc>
        <w:tc>
          <w:tcPr>
            <w:tcW w:w="1417" w:type="dxa"/>
            <w:noWrap/>
            <w:hideMark/>
          </w:tcPr>
          <w:p w14:paraId="185D4E49"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96,6</w:t>
            </w:r>
          </w:p>
        </w:tc>
        <w:tc>
          <w:tcPr>
            <w:tcW w:w="1418" w:type="dxa"/>
            <w:noWrap/>
            <w:hideMark/>
          </w:tcPr>
          <w:p w14:paraId="4E90F580"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3,4</w:t>
            </w:r>
          </w:p>
        </w:tc>
        <w:tc>
          <w:tcPr>
            <w:tcW w:w="1275" w:type="dxa"/>
            <w:noWrap/>
            <w:hideMark/>
          </w:tcPr>
          <w:p w14:paraId="2A270512"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91,8</w:t>
            </w:r>
          </w:p>
        </w:tc>
        <w:tc>
          <w:tcPr>
            <w:tcW w:w="1276" w:type="dxa"/>
            <w:noWrap/>
            <w:hideMark/>
          </w:tcPr>
          <w:p w14:paraId="35FA47A6"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8,2</w:t>
            </w:r>
          </w:p>
        </w:tc>
      </w:tr>
      <w:tr w:rsidR="006356F1" w:rsidRPr="00741163" w14:paraId="3C08E1AA" w14:textId="77777777" w:rsidTr="00217400">
        <w:trPr>
          <w:trHeight w:val="340"/>
        </w:trPr>
        <w:tc>
          <w:tcPr>
            <w:tcW w:w="5058" w:type="dxa"/>
            <w:noWrap/>
            <w:hideMark/>
          </w:tcPr>
          <w:p w14:paraId="32F386BE" w14:textId="77777777" w:rsidR="006356F1" w:rsidRPr="00741163" w:rsidRDefault="006356F1" w:rsidP="00217400">
            <w:pPr>
              <w:rPr>
                <w:rFonts w:ascii="Calibri" w:hAnsi="Calibri"/>
                <w:color w:val="000000"/>
                <w:sz w:val="20"/>
              </w:rPr>
            </w:pPr>
            <w:r w:rsidRPr="00741163">
              <w:rPr>
                <w:rFonts w:ascii="Calibri" w:hAnsi="Calibri"/>
                <w:color w:val="000000"/>
                <w:sz w:val="20"/>
              </w:rPr>
              <w:t>Confecção de artigos do vestuário e acessórios</w:t>
            </w:r>
          </w:p>
        </w:tc>
        <w:tc>
          <w:tcPr>
            <w:tcW w:w="1417" w:type="dxa"/>
            <w:noWrap/>
            <w:hideMark/>
          </w:tcPr>
          <w:p w14:paraId="4384FBB1"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61,1</w:t>
            </w:r>
          </w:p>
        </w:tc>
        <w:tc>
          <w:tcPr>
            <w:tcW w:w="1418" w:type="dxa"/>
            <w:noWrap/>
            <w:hideMark/>
          </w:tcPr>
          <w:p w14:paraId="5FB898E1"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38,9</w:t>
            </w:r>
          </w:p>
        </w:tc>
        <w:tc>
          <w:tcPr>
            <w:tcW w:w="1275" w:type="dxa"/>
            <w:noWrap/>
            <w:hideMark/>
          </w:tcPr>
          <w:p w14:paraId="47CDD8F0"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59,0</w:t>
            </w:r>
          </w:p>
        </w:tc>
        <w:tc>
          <w:tcPr>
            <w:tcW w:w="1276" w:type="dxa"/>
            <w:noWrap/>
            <w:hideMark/>
          </w:tcPr>
          <w:p w14:paraId="3F0849ED"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41,0</w:t>
            </w:r>
          </w:p>
        </w:tc>
      </w:tr>
      <w:tr w:rsidR="006356F1" w:rsidRPr="00741163" w14:paraId="3B636F0F" w14:textId="77777777" w:rsidTr="00217400">
        <w:trPr>
          <w:trHeight w:val="340"/>
        </w:trPr>
        <w:tc>
          <w:tcPr>
            <w:tcW w:w="5058" w:type="dxa"/>
            <w:noWrap/>
            <w:hideMark/>
          </w:tcPr>
          <w:p w14:paraId="3BC6050F" w14:textId="77777777" w:rsidR="006356F1" w:rsidRPr="00741163" w:rsidRDefault="006356F1" w:rsidP="00217400">
            <w:pPr>
              <w:rPr>
                <w:rFonts w:ascii="Calibri" w:hAnsi="Calibri"/>
                <w:color w:val="000000"/>
                <w:sz w:val="20"/>
              </w:rPr>
            </w:pPr>
            <w:r w:rsidRPr="00741163">
              <w:rPr>
                <w:rFonts w:ascii="Calibri" w:hAnsi="Calibri"/>
                <w:color w:val="000000"/>
                <w:sz w:val="20"/>
              </w:rPr>
              <w:t>Construção de edifícios</w:t>
            </w:r>
          </w:p>
        </w:tc>
        <w:tc>
          <w:tcPr>
            <w:tcW w:w="1417" w:type="dxa"/>
            <w:noWrap/>
            <w:hideMark/>
          </w:tcPr>
          <w:p w14:paraId="36BCE32C"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w:t>
            </w:r>
          </w:p>
        </w:tc>
        <w:tc>
          <w:tcPr>
            <w:tcW w:w="1418" w:type="dxa"/>
            <w:noWrap/>
            <w:hideMark/>
          </w:tcPr>
          <w:p w14:paraId="0763D6D8"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w:t>
            </w:r>
          </w:p>
        </w:tc>
        <w:tc>
          <w:tcPr>
            <w:tcW w:w="1275" w:type="dxa"/>
            <w:noWrap/>
            <w:hideMark/>
          </w:tcPr>
          <w:p w14:paraId="1C35D75D"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41,6</w:t>
            </w:r>
          </w:p>
        </w:tc>
        <w:tc>
          <w:tcPr>
            <w:tcW w:w="1276" w:type="dxa"/>
            <w:noWrap/>
            <w:hideMark/>
          </w:tcPr>
          <w:p w14:paraId="5893DBC8"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58,4</w:t>
            </w:r>
          </w:p>
        </w:tc>
      </w:tr>
      <w:tr w:rsidR="006356F1" w:rsidRPr="00741163" w14:paraId="1EFE3A03" w14:textId="77777777" w:rsidTr="00217400">
        <w:trPr>
          <w:trHeight w:val="340"/>
        </w:trPr>
        <w:tc>
          <w:tcPr>
            <w:tcW w:w="5058" w:type="dxa"/>
            <w:noWrap/>
            <w:hideMark/>
          </w:tcPr>
          <w:p w14:paraId="70A85F66" w14:textId="77777777" w:rsidR="006356F1" w:rsidRPr="00741163" w:rsidRDefault="006356F1" w:rsidP="00217400">
            <w:pPr>
              <w:rPr>
                <w:rFonts w:ascii="Calibri" w:hAnsi="Calibri"/>
                <w:color w:val="000000"/>
                <w:sz w:val="20"/>
              </w:rPr>
            </w:pPr>
            <w:r w:rsidRPr="00741163">
              <w:rPr>
                <w:rFonts w:ascii="Calibri" w:hAnsi="Calibri"/>
                <w:color w:val="000000"/>
                <w:sz w:val="20"/>
              </w:rPr>
              <w:t>Eletricidade, gás e outras utilidades</w:t>
            </w:r>
          </w:p>
        </w:tc>
        <w:tc>
          <w:tcPr>
            <w:tcW w:w="1417" w:type="dxa"/>
            <w:noWrap/>
            <w:hideMark/>
          </w:tcPr>
          <w:p w14:paraId="0660BACD"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72,1</w:t>
            </w:r>
          </w:p>
        </w:tc>
        <w:tc>
          <w:tcPr>
            <w:tcW w:w="1418" w:type="dxa"/>
            <w:noWrap/>
            <w:hideMark/>
          </w:tcPr>
          <w:p w14:paraId="47EB0FEE"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27,9</w:t>
            </w:r>
          </w:p>
        </w:tc>
        <w:tc>
          <w:tcPr>
            <w:tcW w:w="1275" w:type="dxa"/>
            <w:noWrap/>
            <w:hideMark/>
          </w:tcPr>
          <w:p w14:paraId="1FCF05EA"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17,8</w:t>
            </w:r>
          </w:p>
        </w:tc>
        <w:tc>
          <w:tcPr>
            <w:tcW w:w="1276" w:type="dxa"/>
            <w:noWrap/>
            <w:hideMark/>
          </w:tcPr>
          <w:p w14:paraId="64229D6D"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82,2</w:t>
            </w:r>
          </w:p>
        </w:tc>
      </w:tr>
      <w:tr w:rsidR="006356F1" w:rsidRPr="00741163" w14:paraId="6B654E6D" w14:textId="77777777" w:rsidTr="00217400">
        <w:trPr>
          <w:trHeight w:val="340"/>
        </w:trPr>
        <w:tc>
          <w:tcPr>
            <w:tcW w:w="5058" w:type="dxa"/>
            <w:noWrap/>
            <w:hideMark/>
          </w:tcPr>
          <w:p w14:paraId="1A044FA5" w14:textId="77777777" w:rsidR="006356F1" w:rsidRPr="00741163" w:rsidRDefault="006356F1" w:rsidP="00217400">
            <w:pPr>
              <w:rPr>
                <w:rFonts w:ascii="Calibri" w:hAnsi="Calibri"/>
                <w:color w:val="000000"/>
                <w:sz w:val="20"/>
              </w:rPr>
            </w:pPr>
            <w:r w:rsidRPr="00741163">
              <w:rPr>
                <w:rFonts w:ascii="Calibri" w:hAnsi="Calibri"/>
                <w:color w:val="000000"/>
                <w:sz w:val="20"/>
              </w:rPr>
              <w:t>Extração de minerais metálicos</w:t>
            </w:r>
          </w:p>
        </w:tc>
        <w:tc>
          <w:tcPr>
            <w:tcW w:w="1417" w:type="dxa"/>
            <w:noWrap/>
            <w:hideMark/>
          </w:tcPr>
          <w:p w14:paraId="32703C84"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97,4</w:t>
            </w:r>
          </w:p>
        </w:tc>
        <w:tc>
          <w:tcPr>
            <w:tcW w:w="1418" w:type="dxa"/>
            <w:noWrap/>
            <w:hideMark/>
          </w:tcPr>
          <w:p w14:paraId="16CE6A0C"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2,6</w:t>
            </w:r>
          </w:p>
        </w:tc>
        <w:tc>
          <w:tcPr>
            <w:tcW w:w="1275" w:type="dxa"/>
            <w:noWrap/>
            <w:hideMark/>
          </w:tcPr>
          <w:p w14:paraId="07C71CE3"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24,2</w:t>
            </w:r>
          </w:p>
        </w:tc>
        <w:tc>
          <w:tcPr>
            <w:tcW w:w="1276" w:type="dxa"/>
            <w:noWrap/>
            <w:hideMark/>
          </w:tcPr>
          <w:p w14:paraId="7CABF1B9"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75,8</w:t>
            </w:r>
          </w:p>
        </w:tc>
      </w:tr>
      <w:tr w:rsidR="006356F1" w:rsidRPr="00741163" w14:paraId="3B92E635" w14:textId="77777777" w:rsidTr="00217400">
        <w:trPr>
          <w:trHeight w:val="340"/>
        </w:trPr>
        <w:tc>
          <w:tcPr>
            <w:tcW w:w="5058" w:type="dxa"/>
            <w:noWrap/>
            <w:hideMark/>
          </w:tcPr>
          <w:p w14:paraId="287E8E21" w14:textId="77777777" w:rsidR="006356F1" w:rsidRPr="00741163" w:rsidRDefault="006356F1" w:rsidP="00217400">
            <w:pPr>
              <w:rPr>
                <w:rFonts w:ascii="Calibri" w:hAnsi="Calibri"/>
                <w:color w:val="000000"/>
                <w:sz w:val="20"/>
              </w:rPr>
            </w:pPr>
            <w:r w:rsidRPr="00741163">
              <w:rPr>
                <w:rFonts w:ascii="Calibri" w:hAnsi="Calibri"/>
                <w:color w:val="000000"/>
                <w:sz w:val="20"/>
              </w:rPr>
              <w:t>Extração de minerais não metálicos</w:t>
            </w:r>
          </w:p>
        </w:tc>
        <w:tc>
          <w:tcPr>
            <w:tcW w:w="1417" w:type="dxa"/>
            <w:noWrap/>
            <w:hideMark/>
          </w:tcPr>
          <w:p w14:paraId="1A1F5C6F"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60,4</w:t>
            </w:r>
          </w:p>
        </w:tc>
        <w:tc>
          <w:tcPr>
            <w:tcW w:w="1418" w:type="dxa"/>
            <w:noWrap/>
            <w:hideMark/>
          </w:tcPr>
          <w:p w14:paraId="4029DD00"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39,6</w:t>
            </w:r>
          </w:p>
        </w:tc>
        <w:tc>
          <w:tcPr>
            <w:tcW w:w="1275" w:type="dxa"/>
            <w:noWrap/>
            <w:hideMark/>
          </w:tcPr>
          <w:p w14:paraId="21101834"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29,2</w:t>
            </w:r>
          </w:p>
        </w:tc>
        <w:tc>
          <w:tcPr>
            <w:tcW w:w="1276" w:type="dxa"/>
            <w:noWrap/>
            <w:hideMark/>
          </w:tcPr>
          <w:p w14:paraId="017D3625"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70,8</w:t>
            </w:r>
          </w:p>
        </w:tc>
      </w:tr>
      <w:tr w:rsidR="006356F1" w:rsidRPr="00741163" w14:paraId="6EEE55CD" w14:textId="77777777" w:rsidTr="00217400">
        <w:trPr>
          <w:trHeight w:val="340"/>
        </w:trPr>
        <w:tc>
          <w:tcPr>
            <w:tcW w:w="5058" w:type="dxa"/>
            <w:noWrap/>
            <w:hideMark/>
          </w:tcPr>
          <w:p w14:paraId="0D966503"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bebidas</w:t>
            </w:r>
          </w:p>
        </w:tc>
        <w:tc>
          <w:tcPr>
            <w:tcW w:w="1417" w:type="dxa"/>
            <w:noWrap/>
            <w:hideMark/>
          </w:tcPr>
          <w:p w14:paraId="5DADD64A"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81,2</w:t>
            </w:r>
          </w:p>
        </w:tc>
        <w:tc>
          <w:tcPr>
            <w:tcW w:w="1418" w:type="dxa"/>
            <w:noWrap/>
            <w:hideMark/>
          </w:tcPr>
          <w:p w14:paraId="7102C98B"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18,8</w:t>
            </w:r>
          </w:p>
        </w:tc>
        <w:tc>
          <w:tcPr>
            <w:tcW w:w="1275" w:type="dxa"/>
            <w:noWrap/>
            <w:hideMark/>
          </w:tcPr>
          <w:p w14:paraId="12FAD295"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81,7</w:t>
            </w:r>
          </w:p>
        </w:tc>
        <w:tc>
          <w:tcPr>
            <w:tcW w:w="1276" w:type="dxa"/>
            <w:noWrap/>
            <w:hideMark/>
          </w:tcPr>
          <w:p w14:paraId="3B6D65FC"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18,3</w:t>
            </w:r>
          </w:p>
        </w:tc>
      </w:tr>
      <w:tr w:rsidR="006356F1" w:rsidRPr="00741163" w14:paraId="5DDF4693" w14:textId="77777777" w:rsidTr="00217400">
        <w:trPr>
          <w:trHeight w:val="340"/>
        </w:trPr>
        <w:tc>
          <w:tcPr>
            <w:tcW w:w="5058" w:type="dxa"/>
            <w:noWrap/>
            <w:hideMark/>
          </w:tcPr>
          <w:p w14:paraId="485E90D5"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celulose, papel e produtos de papel</w:t>
            </w:r>
          </w:p>
        </w:tc>
        <w:tc>
          <w:tcPr>
            <w:tcW w:w="1417" w:type="dxa"/>
            <w:noWrap/>
            <w:hideMark/>
          </w:tcPr>
          <w:p w14:paraId="6EE722DA"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82,2</w:t>
            </w:r>
          </w:p>
        </w:tc>
        <w:tc>
          <w:tcPr>
            <w:tcW w:w="1418" w:type="dxa"/>
            <w:noWrap/>
            <w:hideMark/>
          </w:tcPr>
          <w:p w14:paraId="3430FF7B"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17,8</w:t>
            </w:r>
          </w:p>
        </w:tc>
        <w:tc>
          <w:tcPr>
            <w:tcW w:w="1275" w:type="dxa"/>
            <w:noWrap/>
            <w:hideMark/>
          </w:tcPr>
          <w:p w14:paraId="56C5D5F1"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70,9</w:t>
            </w:r>
          </w:p>
        </w:tc>
        <w:tc>
          <w:tcPr>
            <w:tcW w:w="1276" w:type="dxa"/>
            <w:noWrap/>
            <w:hideMark/>
          </w:tcPr>
          <w:p w14:paraId="7EAD6A98"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29,1</w:t>
            </w:r>
          </w:p>
        </w:tc>
      </w:tr>
      <w:tr w:rsidR="006356F1" w:rsidRPr="00741163" w14:paraId="7AB6B0D4" w14:textId="77777777" w:rsidTr="00217400">
        <w:trPr>
          <w:trHeight w:val="340"/>
        </w:trPr>
        <w:tc>
          <w:tcPr>
            <w:tcW w:w="5058" w:type="dxa"/>
            <w:noWrap/>
            <w:hideMark/>
          </w:tcPr>
          <w:p w14:paraId="59A34AE5"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coque, de produtos derivados do petróleo e de biocombustíveis</w:t>
            </w:r>
          </w:p>
        </w:tc>
        <w:tc>
          <w:tcPr>
            <w:tcW w:w="1417" w:type="dxa"/>
            <w:noWrap/>
            <w:hideMark/>
          </w:tcPr>
          <w:p w14:paraId="687D16B2"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22,3</w:t>
            </w:r>
          </w:p>
        </w:tc>
        <w:tc>
          <w:tcPr>
            <w:tcW w:w="1418" w:type="dxa"/>
            <w:noWrap/>
            <w:hideMark/>
          </w:tcPr>
          <w:p w14:paraId="21DC8CE6"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77,7</w:t>
            </w:r>
          </w:p>
        </w:tc>
        <w:tc>
          <w:tcPr>
            <w:tcW w:w="1275" w:type="dxa"/>
            <w:noWrap/>
            <w:hideMark/>
          </w:tcPr>
          <w:p w14:paraId="25160C0D"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26,8</w:t>
            </w:r>
          </w:p>
        </w:tc>
        <w:tc>
          <w:tcPr>
            <w:tcW w:w="1276" w:type="dxa"/>
            <w:noWrap/>
            <w:hideMark/>
          </w:tcPr>
          <w:p w14:paraId="59D926E9"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73,2</w:t>
            </w:r>
          </w:p>
        </w:tc>
      </w:tr>
      <w:tr w:rsidR="006356F1" w:rsidRPr="00741163" w14:paraId="278CEC48" w14:textId="77777777" w:rsidTr="00217400">
        <w:trPr>
          <w:trHeight w:val="340"/>
        </w:trPr>
        <w:tc>
          <w:tcPr>
            <w:tcW w:w="5058" w:type="dxa"/>
            <w:noWrap/>
            <w:hideMark/>
          </w:tcPr>
          <w:p w14:paraId="4DAA9C57"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máquinas e equipamentos</w:t>
            </w:r>
          </w:p>
        </w:tc>
        <w:tc>
          <w:tcPr>
            <w:tcW w:w="1417" w:type="dxa"/>
            <w:noWrap/>
            <w:hideMark/>
          </w:tcPr>
          <w:p w14:paraId="253CA207"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96,3</w:t>
            </w:r>
          </w:p>
        </w:tc>
        <w:tc>
          <w:tcPr>
            <w:tcW w:w="1418" w:type="dxa"/>
            <w:noWrap/>
            <w:hideMark/>
          </w:tcPr>
          <w:p w14:paraId="2220BA04"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3,7</w:t>
            </w:r>
          </w:p>
        </w:tc>
        <w:tc>
          <w:tcPr>
            <w:tcW w:w="1275" w:type="dxa"/>
            <w:noWrap/>
            <w:hideMark/>
          </w:tcPr>
          <w:p w14:paraId="5C8CEC44"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94,9</w:t>
            </w:r>
          </w:p>
        </w:tc>
        <w:tc>
          <w:tcPr>
            <w:tcW w:w="1276" w:type="dxa"/>
            <w:noWrap/>
            <w:hideMark/>
          </w:tcPr>
          <w:p w14:paraId="2550CB1D"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5,1</w:t>
            </w:r>
          </w:p>
        </w:tc>
      </w:tr>
      <w:tr w:rsidR="006356F1" w:rsidRPr="00741163" w14:paraId="4211901E" w14:textId="77777777" w:rsidTr="00217400">
        <w:trPr>
          <w:trHeight w:val="340"/>
        </w:trPr>
        <w:tc>
          <w:tcPr>
            <w:tcW w:w="5058" w:type="dxa"/>
            <w:noWrap/>
            <w:hideMark/>
          </w:tcPr>
          <w:p w14:paraId="64514A57"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máquinas, aparelhos e materiais elétricos</w:t>
            </w:r>
          </w:p>
        </w:tc>
        <w:tc>
          <w:tcPr>
            <w:tcW w:w="1417" w:type="dxa"/>
            <w:noWrap/>
            <w:hideMark/>
          </w:tcPr>
          <w:p w14:paraId="1D9DD0B0"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86,9</w:t>
            </w:r>
          </w:p>
        </w:tc>
        <w:tc>
          <w:tcPr>
            <w:tcW w:w="1418" w:type="dxa"/>
            <w:noWrap/>
            <w:hideMark/>
          </w:tcPr>
          <w:p w14:paraId="4A5BA4B0"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13,1</w:t>
            </w:r>
          </w:p>
        </w:tc>
        <w:tc>
          <w:tcPr>
            <w:tcW w:w="1275" w:type="dxa"/>
            <w:noWrap/>
            <w:hideMark/>
          </w:tcPr>
          <w:p w14:paraId="38C9C8FB"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87,6</w:t>
            </w:r>
          </w:p>
        </w:tc>
        <w:tc>
          <w:tcPr>
            <w:tcW w:w="1276" w:type="dxa"/>
            <w:noWrap/>
            <w:hideMark/>
          </w:tcPr>
          <w:p w14:paraId="3030253E"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12,4</w:t>
            </w:r>
          </w:p>
        </w:tc>
      </w:tr>
      <w:tr w:rsidR="006356F1" w:rsidRPr="00741163" w14:paraId="768D8362" w14:textId="77777777" w:rsidTr="00217400">
        <w:trPr>
          <w:trHeight w:val="340"/>
        </w:trPr>
        <w:tc>
          <w:tcPr>
            <w:tcW w:w="5058" w:type="dxa"/>
            <w:noWrap/>
            <w:hideMark/>
          </w:tcPr>
          <w:p w14:paraId="36D2AB83"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móveis</w:t>
            </w:r>
          </w:p>
        </w:tc>
        <w:tc>
          <w:tcPr>
            <w:tcW w:w="1417" w:type="dxa"/>
            <w:noWrap/>
            <w:hideMark/>
          </w:tcPr>
          <w:p w14:paraId="4B0A878C"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79,4</w:t>
            </w:r>
          </w:p>
        </w:tc>
        <w:tc>
          <w:tcPr>
            <w:tcW w:w="1418" w:type="dxa"/>
            <w:noWrap/>
            <w:hideMark/>
          </w:tcPr>
          <w:p w14:paraId="6DFEE038"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20,6</w:t>
            </w:r>
          </w:p>
        </w:tc>
        <w:tc>
          <w:tcPr>
            <w:tcW w:w="1275" w:type="dxa"/>
            <w:noWrap/>
            <w:hideMark/>
          </w:tcPr>
          <w:p w14:paraId="65ECC6CB"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81,9</w:t>
            </w:r>
          </w:p>
        </w:tc>
        <w:tc>
          <w:tcPr>
            <w:tcW w:w="1276" w:type="dxa"/>
            <w:noWrap/>
            <w:hideMark/>
          </w:tcPr>
          <w:p w14:paraId="47933CBA"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18,1</w:t>
            </w:r>
          </w:p>
        </w:tc>
      </w:tr>
      <w:tr w:rsidR="006356F1" w:rsidRPr="00741163" w14:paraId="4307F2B3" w14:textId="77777777" w:rsidTr="00217400">
        <w:trPr>
          <w:trHeight w:val="340"/>
        </w:trPr>
        <w:tc>
          <w:tcPr>
            <w:tcW w:w="5058" w:type="dxa"/>
            <w:noWrap/>
            <w:hideMark/>
          </w:tcPr>
          <w:p w14:paraId="2DF6424F"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outros equipamentos de transporte, exceto veículos automotores</w:t>
            </w:r>
          </w:p>
        </w:tc>
        <w:tc>
          <w:tcPr>
            <w:tcW w:w="1417" w:type="dxa"/>
            <w:noWrap/>
            <w:hideMark/>
          </w:tcPr>
          <w:p w14:paraId="5B5AA657"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w:t>
            </w:r>
          </w:p>
        </w:tc>
        <w:tc>
          <w:tcPr>
            <w:tcW w:w="1418" w:type="dxa"/>
            <w:noWrap/>
            <w:hideMark/>
          </w:tcPr>
          <w:p w14:paraId="3FAC490C"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w:t>
            </w:r>
          </w:p>
        </w:tc>
        <w:tc>
          <w:tcPr>
            <w:tcW w:w="1275" w:type="dxa"/>
            <w:noWrap/>
            <w:hideMark/>
          </w:tcPr>
          <w:p w14:paraId="4F7B2B59"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83,3</w:t>
            </w:r>
          </w:p>
        </w:tc>
        <w:tc>
          <w:tcPr>
            <w:tcW w:w="1276" w:type="dxa"/>
            <w:noWrap/>
            <w:hideMark/>
          </w:tcPr>
          <w:p w14:paraId="433AD4F1"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16,7</w:t>
            </w:r>
          </w:p>
        </w:tc>
      </w:tr>
      <w:tr w:rsidR="006356F1" w:rsidRPr="00741163" w14:paraId="3968C318" w14:textId="77777777" w:rsidTr="00217400">
        <w:trPr>
          <w:trHeight w:val="340"/>
        </w:trPr>
        <w:tc>
          <w:tcPr>
            <w:tcW w:w="5058" w:type="dxa"/>
            <w:noWrap/>
            <w:hideMark/>
          </w:tcPr>
          <w:p w14:paraId="22F68C01"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produtos alimentícios</w:t>
            </w:r>
          </w:p>
        </w:tc>
        <w:tc>
          <w:tcPr>
            <w:tcW w:w="1417" w:type="dxa"/>
            <w:noWrap/>
            <w:hideMark/>
          </w:tcPr>
          <w:p w14:paraId="6765C712"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27,5</w:t>
            </w:r>
          </w:p>
        </w:tc>
        <w:tc>
          <w:tcPr>
            <w:tcW w:w="1418" w:type="dxa"/>
            <w:noWrap/>
            <w:hideMark/>
          </w:tcPr>
          <w:p w14:paraId="4692ED08"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72,5</w:t>
            </w:r>
          </w:p>
        </w:tc>
        <w:tc>
          <w:tcPr>
            <w:tcW w:w="1275" w:type="dxa"/>
            <w:noWrap/>
            <w:hideMark/>
          </w:tcPr>
          <w:p w14:paraId="0D9C308A"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35,2</w:t>
            </w:r>
          </w:p>
        </w:tc>
        <w:tc>
          <w:tcPr>
            <w:tcW w:w="1276" w:type="dxa"/>
            <w:noWrap/>
            <w:hideMark/>
          </w:tcPr>
          <w:p w14:paraId="3BFECF70"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64,8</w:t>
            </w:r>
          </w:p>
        </w:tc>
      </w:tr>
      <w:tr w:rsidR="006356F1" w:rsidRPr="00741163" w14:paraId="7030FFDE" w14:textId="77777777" w:rsidTr="00217400">
        <w:trPr>
          <w:trHeight w:val="340"/>
        </w:trPr>
        <w:tc>
          <w:tcPr>
            <w:tcW w:w="5058" w:type="dxa"/>
            <w:noWrap/>
            <w:hideMark/>
          </w:tcPr>
          <w:p w14:paraId="03114D88"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produtos de borracha e de material plástico</w:t>
            </w:r>
          </w:p>
        </w:tc>
        <w:tc>
          <w:tcPr>
            <w:tcW w:w="1417" w:type="dxa"/>
            <w:noWrap/>
            <w:hideMark/>
          </w:tcPr>
          <w:p w14:paraId="49D81DC4"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89,1</w:t>
            </w:r>
          </w:p>
        </w:tc>
        <w:tc>
          <w:tcPr>
            <w:tcW w:w="1418" w:type="dxa"/>
            <w:noWrap/>
            <w:hideMark/>
          </w:tcPr>
          <w:p w14:paraId="02FACD5D"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10,9</w:t>
            </w:r>
          </w:p>
        </w:tc>
        <w:tc>
          <w:tcPr>
            <w:tcW w:w="1275" w:type="dxa"/>
            <w:noWrap/>
            <w:hideMark/>
          </w:tcPr>
          <w:p w14:paraId="6AA51524"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88,5</w:t>
            </w:r>
          </w:p>
        </w:tc>
        <w:tc>
          <w:tcPr>
            <w:tcW w:w="1276" w:type="dxa"/>
            <w:noWrap/>
            <w:hideMark/>
          </w:tcPr>
          <w:p w14:paraId="5A28F44C"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11,5</w:t>
            </w:r>
          </w:p>
        </w:tc>
      </w:tr>
      <w:tr w:rsidR="006356F1" w:rsidRPr="00741163" w14:paraId="4F6E3B2F" w14:textId="77777777" w:rsidTr="00217400">
        <w:trPr>
          <w:trHeight w:val="340"/>
        </w:trPr>
        <w:tc>
          <w:tcPr>
            <w:tcW w:w="5058" w:type="dxa"/>
            <w:noWrap/>
            <w:hideMark/>
          </w:tcPr>
          <w:p w14:paraId="22D4D5F2"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produtos de madeira</w:t>
            </w:r>
          </w:p>
        </w:tc>
        <w:tc>
          <w:tcPr>
            <w:tcW w:w="1417" w:type="dxa"/>
            <w:noWrap/>
            <w:hideMark/>
          </w:tcPr>
          <w:p w14:paraId="5A2066C6"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63,9</w:t>
            </w:r>
          </w:p>
        </w:tc>
        <w:tc>
          <w:tcPr>
            <w:tcW w:w="1418" w:type="dxa"/>
            <w:noWrap/>
            <w:hideMark/>
          </w:tcPr>
          <w:p w14:paraId="2813AD2C"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36,1</w:t>
            </w:r>
          </w:p>
        </w:tc>
        <w:tc>
          <w:tcPr>
            <w:tcW w:w="1275" w:type="dxa"/>
            <w:noWrap/>
            <w:hideMark/>
          </w:tcPr>
          <w:p w14:paraId="15E73266"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64,0</w:t>
            </w:r>
          </w:p>
        </w:tc>
        <w:tc>
          <w:tcPr>
            <w:tcW w:w="1276" w:type="dxa"/>
            <w:noWrap/>
            <w:hideMark/>
          </w:tcPr>
          <w:p w14:paraId="61853C7C"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36,0</w:t>
            </w:r>
          </w:p>
        </w:tc>
      </w:tr>
      <w:tr w:rsidR="006356F1" w:rsidRPr="00741163" w14:paraId="65B13908" w14:textId="77777777" w:rsidTr="00217400">
        <w:trPr>
          <w:trHeight w:val="340"/>
        </w:trPr>
        <w:tc>
          <w:tcPr>
            <w:tcW w:w="5058" w:type="dxa"/>
            <w:noWrap/>
            <w:hideMark/>
          </w:tcPr>
          <w:p w14:paraId="52E1679E"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produtos de metal, exceto máquinas e equipamentos</w:t>
            </w:r>
          </w:p>
        </w:tc>
        <w:tc>
          <w:tcPr>
            <w:tcW w:w="1417" w:type="dxa"/>
            <w:noWrap/>
            <w:hideMark/>
          </w:tcPr>
          <w:p w14:paraId="2C5107AB"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89,8</w:t>
            </w:r>
          </w:p>
        </w:tc>
        <w:tc>
          <w:tcPr>
            <w:tcW w:w="1418" w:type="dxa"/>
            <w:noWrap/>
            <w:hideMark/>
          </w:tcPr>
          <w:p w14:paraId="3B9FFAD8"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10,2</w:t>
            </w:r>
          </w:p>
        </w:tc>
        <w:tc>
          <w:tcPr>
            <w:tcW w:w="1275" w:type="dxa"/>
            <w:noWrap/>
            <w:hideMark/>
          </w:tcPr>
          <w:p w14:paraId="03671481"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90,4</w:t>
            </w:r>
          </w:p>
        </w:tc>
        <w:tc>
          <w:tcPr>
            <w:tcW w:w="1276" w:type="dxa"/>
            <w:noWrap/>
            <w:hideMark/>
          </w:tcPr>
          <w:p w14:paraId="248A38C9"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9,6</w:t>
            </w:r>
          </w:p>
        </w:tc>
      </w:tr>
      <w:tr w:rsidR="006356F1" w:rsidRPr="00741163" w14:paraId="1A5BFC9D" w14:textId="77777777" w:rsidTr="00217400">
        <w:trPr>
          <w:trHeight w:val="340"/>
        </w:trPr>
        <w:tc>
          <w:tcPr>
            <w:tcW w:w="5058" w:type="dxa"/>
            <w:noWrap/>
            <w:hideMark/>
          </w:tcPr>
          <w:p w14:paraId="5AE5C2B8"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produtos de minerais não metálicos</w:t>
            </w:r>
          </w:p>
        </w:tc>
        <w:tc>
          <w:tcPr>
            <w:tcW w:w="1417" w:type="dxa"/>
            <w:noWrap/>
            <w:hideMark/>
          </w:tcPr>
          <w:p w14:paraId="3B6BEC61"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59,0</w:t>
            </w:r>
          </w:p>
        </w:tc>
        <w:tc>
          <w:tcPr>
            <w:tcW w:w="1418" w:type="dxa"/>
            <w:noWrap/>
            <w:hideMark/>
          </w:tcPr>
          <w:p w14:paraId="36580F6B"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41,0</w:t>
            </w:r>
          </w:p>
        </w:tc>
        <w:tc>
          <w:tcPr>
            <w:tcW w:w="1275" w:type="dxa"/>
            <w:noWrap/>
            <w:hideMark/>
          </w:tcPr>
          <w:p w14:paraId="6B544EF7"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53,7</w:t>
            </w:r>
          </w:p>
        </w:tc>
        <w:tc>
          <w:tcPr>
            <w:tcW w:w="1276" w:type="dxa"/>
            <w:noWrap/>
            <w:hideMark/>
          </w:tcPr>
          <w:p w14:paraId="1C66446E"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46,3</w:t>
            </w:r>
          </w:p>
        </w:tc>
      </w:tr>
      <w:tr w:rsidR="006356F1" w:rsidRPr="00741163" w14:paraId="5C03723B" w14:textId="77777777" w:rsidTr="00217400">
        <w:trPr>
          <w:trHeight w:val="340"/>
        </w:trPr>
        <w:tc>
          <w:tcPr>
            <w:tcW w:w="5058" w:type="dxa"/>
            <w:noWrap/>
            <w:hideMark/>
          </w:tcPr>
          <w:p w14:paraId="55F6E5E8"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produtos diversos</w:t>
            </w:r>
          </w:p>
        </w:tc>
        <w:tc>
          <w:tcPr>
            <w:tcW w:w="1417" w:type="dxa"/>
            <w:noWrap/>
            <w:hideMark/>
          </w:tcPr>
          <w:p w14:paraId="7BDECB12"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85,7</w:t>
            </w:r>
          </w:p>
        </w:tc>
        <w:tc>
          <w:tcPr>
            <w:tcW w:w="1418" w:type="dxa"/>
            <w:noWrap/>
            <w:hideMark/>
          </w:tcPr>
          <w:p w14:paraId="2D2170EB"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14,3</w:t>
            </w:r>
          </w:p>
        </w:tc>
        <w:tc>
          <w:tcPr>
            <w:tcW w:w="1275" w:type="dxa"/>
            <w:noWrap/>
            <w:hideMark/>
          </w:tcPr>
          <w:p w14:paraId="76F5B91D"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74,7</w:t>
            </w:r>
          </w:p>
        </w:tc>
        <w:tc>
          <w:tcPr>
            <w:tcW w:w="1276" w:type="dxa"/>
            <w:noWrap/>
            <w:hideMark/>
          </w:tcPr>
          <w:p w14:paraId="4BCB9441"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25,3</w:t>
            </w:r>
          </w:p>
        </w:tc>
      </w:tr>
      <w:tr w:rsidR="006356F1" w:rsidRPr="00741163" w14:paraId="01CFDDD5" w14:textId="77777777" w:rsidTr="00217400">
        <w:trPr>
          <w:trHeight w:val="340"/>
        </w:trPr>
        <w:tc>
          <w:tcPr>
            <w:tcW w:w="5058" w:type="dxa"/>
            <w:noWrap/>
            <w:hideMark/>
          </w:tcPr>
          <w:p w14:paraId="0B421B80"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produtos farmoquímicos e farmacêuticos</w:t>
            </w:r>
          </w:p>
        </w:tc>
        <w:tc>
          <w:tcPr>
            <w:tcW w:w="1417" w:type="dxa"/>
            <w:noWrap/>
            <w:hideMark/>
          </w:tcPr>
          <w:p w14:paraId="0225BDB8"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85,8</w:t>
            </w:r>
          </w:p>
        </w:tc>
        <w:tc>
          <w:tcPr>
            <w:tcW w:w="1418" w:type="dxa"/>
            <w:noWrap/>
            <w:hideMark/>
          </w:tcPr>
          <w:p w14:paraId="7CEBE281"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14,2</w:t>
            </w:r>
          </w:p>
        </w:tc>
        <w:tc>
          <w:tcPr>
            <w:tcW w:w="1275" w:type="dxa"/>
            <w:noWrap/>
            <w:hideMark/>
          </w:tcPr>
          <w:p w14:paraId="005D6495"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81,2</w:t>
            </w:r>
          </w:p>
        </w:tc>
        <w:tc>
          <w:tcPr>
            <w:tcW w:w="1276" w:type="dxa"/>
            <w:noWrap/>
            <w:hideMark/>
          </w:tcPr>
          <w:p w14:paraId="19E859F5"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18,8</w:t>
            </w:r>
          </w:p>
        </w:tc>
      </w:tr>
      <w:tr w:rsidR="006356F1" w:rsidRPr="00741163" w14:paraId="72922C5F" w14:textId="77777777" w:rsidTr="00217400">
        <w:trPr>
          <w:trHeight w:val="340"/>
        </w:trPr>
        <w:tc>
          <w:tcPr>
            <w:tcW w:w="5058" w:type="dxa"/>
            <w:noWrap/>
            <w:hideMark/>
          </w:tcPr>
          <w:p w14:paraId="1E7DDD59"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produtos químicos</w:t>
            </w:r>
          </w:p>
        </w:tc>
        <w:tc>
          <w:tcPr>
            <w:tcW w:w="1417" w:type="dxa"/>
            <w:noWrap/>
            <w:hideMark/>
          </w:tcPr>
          <w:p w14:paraId="5DA1685F"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81,2</w:t>
            </w:r>
          </w:p>
        </w:tc>
        <w:tc>
          <w:tcPr>
            <w:tcW w:w="1418" w:type="dxa"/>
            <w:noWrap/>
            <w:hideMark/>
          </w:tcPr>
          <w:p w14:paraId="142DDAA5"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18,8</w:t>
            </w:r>
          </w:p>
        </w:tc>
        <w:tc>
          <w:tcPr>
            <w:tcW w:w="1275" w:type="dxa"/>
            <w:noWrap/>
            <w:hideMark/>
          </w:tcPr>
          <w:p w14:paraId="3E29AABB"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78,8</w:t>
            </w:r>
          </w:p>
        </w:tc>
        <w:tc>
          <w:tcPr>
            <w:tcW w:w="1276" w:type="dxa"/>
            <w:noWrap/>
            <w:hideMark/>
          </w:tcPr>
          <w:p w14:paraId="5F87AA03"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21,2</w:t>
            </w:r>
          </w:p>
        </w:tc>
      </w:tr>
      <w:tr w:rsidR="006356F1" w:rsidRPr="00741163" w14:paraId="6EA601C2" w14:textId="77777777" w:rsidTr="00217400">
        <w:trPr>
          <w:trHeight w:val="340"/>
        </w:trPr>
        <w:tc>
          <w:tcPr>
            <w:tcW w:w="5058" w:type="dxa"/>
            <w:noWrap/>
            <w:hideMark/>
          </w:tcPr>
          <w:p w14:paraId="6CBD3F4E"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produtos têxteis</w:t>
            </w:r>
          </w:p>
        </w:tc>
        <w:tc>
          <w:tcPr>
            <w:tcW w:w="1417" w:type="dxa"/>
            <w:noWrap/>
            <w:hideMark/>
          </w:tcPr>
          <w:p w14:paraId="33328AD9"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75,2</w:t>
            </w:r>
          </w:p>
        </w:tc>
        <w:tc>
          <w:tcPr>
            <w:tcW w:w="1418" w:type="dxa"/>
            <w:noWrap/>
            <w:hideMark/>
          </w:tcPr>
          <w:p w14:paraId="350575E2"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24,8</w:t>
            </w:r>
          </w:p>
        </w:tc>
        <w:tc>
          <w:tcPr>
            <w:tcW w:w="1275" w:type="dxa"/>
            <w:noWrap/>
            <w:hideMark/>
          </w:tcPr>
          <w:p w14:paraId="2D882AC8"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69,5</w:t>
            </w:r>
          </w:p>
        </w:tc>
        <w:tc>
          <w:tcPr>
            <w:tcW w:w="1276" w:type="dxa"/>
            <w:noWrap/>
            <w:hideMark/>
          </w:tcPr>
          <w:p w14:paraId="5BDDFFAA"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30,5</w:t>
            </w:r>
          </w:p>
        </w:tc>
      </w:tr>
      <w:tr w:rsidR="006356F1" w:rsidRPr="00741163" w14:paraId="08E82B98" w14:textId="77777777" w:rsidTr="00217400">
        <w:trPr>
          <w:trHeight w:val="340"/>
        </w:trPr>
        <w:tc>
          <w:tcPr>
            <w:tcW w:w="5058" w:type="dxa"/>
            <w:noWrap/>
            <w:hideMark/>
          </w:tcPr>
          <w:p w14:paraId="719E69FB" w14:textId="77777777" w:rsidR="006356F1" w:rsidRPr="00741163" w:rsidRDefault="006356F1" w:rsidP="00217400">
            <w:pPr>
              <w:rPr>
                <w:rFonts w:ascii="Calibri" w:hAnsi="Calibri"/>
                <w:color w:val="000000"/>
                <w:sz w:val="20"/>
              </w:rPr>
            </w:pPr>
            <w:r w:rsidRPr="00741163">
              <w:rPr>
                <w:rFonts w:ascii="Calibri" w:hAnsi="Calibri"/>
                <w:color w:val="000000"/>
                <w:sz w:val="20"/>
              </w:rPr>
              <w:t>Fabricação de veículos automotores, reboques e carrocerias</w:t>
            </w:r>
          </w:p>
        </w:tc>
        <w:tc>
          <w:tcPr>
            <w:tcW w:w="1417" w:type="dxa"/>
            <w:noWrap/>
            <w:hideMark/>
          </w:tcPr>
          <w:p w14:paraId="6554C1C9"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70,8</w:t>
            </w:r>
          </w:p>
        </w:tc>
        <w:tc>
          <w:tcPr>
            <w:tcW w:w="1418" w:type="dxa"/>
            <w:noWrap/>
            <w:hideMark/>
          </w:tcPr>
          <w:p w14:paraId="7F9B22BE"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29,2</w:t>
            </w:r>
          </w:p>
        </w:tc>
        <w:tc>
          <w:tcPr>
            <w:tcW w:w="1275" w:type="dxa"/>
            <w:noWrap/>
            <w:hideMark/>
          </w:tcPr>
          <w:p w14:paraId="7D90D459"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88,1</w:t>
            </w:r>
          </w:p>
        </w:tc>
        <w:tc>
          <w:tcPr>
            <w:tcW w:w="1276" w:type="dxa"/>
            <w:noWrap/>
            <w:hideMark/>
          </w:tcPr>
          <w:p w14:paraId="382F47F4"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11,9</w:t>
            </w:r>
          </w:p>
        </w:tc>
      </w:tr>
      <w:tr w:rsidR="006356F1" w:rsidRPr="00741163" w14:paraId="0C281CDF" w14:textId="77777777" w:rsidTr="00217400">
        <w:trPr>
          <w:trHeight w:val="340"/>
        </w:trPr>
        <w:tc>
          <w:tcPr>
            <w:tcW w:w="5058" w:type="dxa"/>
            <w:noWrap/>
            <w:hideMark/>
          </w:tcPr>
          <w:p w14:paraId="4DDD126D" w14:textId="77777777" w:rsidR="006356F1" w:rsidRPr="00741163" w:rsidRDefault="006356F1" w:rsidP="00217400">
            <w:pPr>
              <w:rPr>
                <w:rFonts w:ascii="Calibri" w:hAnsi="Calibri"/>
                <w:color w:val="000000"/>
                <w:sz w:val="20"/>
              </w:rPr>
            </w:pPr>
            <w:r w:rsidRPr="00741163">
              <w:rPr>
                <w:rFonts w:ascii="Calibri" w:hAnsi="Calibri"/>
                <w:color w:val="000000"/>
                <w:sz w:val="20"/>
              </w:rPr>
              <w:lastRenderedPageBreak/>
              <w:t>Impressão e reprodução de gravações</w:t>
            </w:r>
          </w:p>
        </w:tc>
        <w:tc>
          <w:tcPr>
            <w:tcW w:w="1417" w:type="dxa"/>
            <w:noWrap/>
            <w:hideMark/>
          </w:tcPr>
          <w:p w14:paraId="3518BFE2"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81,3</w:t>
            </w:r>
          </w:p>
        </w:tc>
        <w:tc>
          <w:tcPr>
            <w:tcW w:w="1418" w:type="dxa"/>
            <w:noWrap/>
            <w:hideMark/>
          </w:tcPr>
          <w:p w14:paraId="1186043E"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18,7</w:t>
            </w:r>
          </w:p>
        </w:tc>
        <w:tc>
          <w:tcPr>
            <w:tcW w:w="1275" w:type="dxa"/>
            <w:noWrap/>
            <w:hideMark/>
          </w:tcPr>
          <w:p w14:paraId="5D5D6868"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80,5</w:t>
            </w:r>
          </w:p>
        </w:tc>
        <w:tc>
          <w:tcPr>
            <w:tcW w:w="1276" w:type="dxa"/>
            <w:noWrap/>
            <w:hideMark/>
          </w:tcPr>
          <w:p w14:paraId="637B4C39"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19,5</w:t>
            </w:r>
          </w:p>
        </w:tc>
      </w:tr>
      <w:tr w:rsidR="006356F1" w:rsidRPr="00741163" w14:paraId="74D8E081" w14:textId="77777777" w:rsidTr="00217400">
        <w:trPr>
          <w:trHeight w:val="340"/>
        </w:trPr>
        <w:tc>
          <w:tcPr>
            <w:tcW w:w="5058" w:type="dxa"/>
            <w:noWrap/>
            <w:hideMark/>
          </w:tcPr>
          <w:p w14:paraId="79E85BA5" w14:textId="77777777" w:rsidR="006356F1" w:rsidRPr="00741163" w:rsidRDefault="006356F1" w:rsidP="00217400">
            <w:pPr>
              <w:rPr>
                <w:rFonts w:ascii="Calibri" w:hAnsi="Calibri"/>
                <w:color w:val="000000"/>
                <w:sz w:val="20"/>
              </w:rPr>
            </w:pPr>
            <w:r w:rsidRPr="00741163">
              <w:rPr>
                <w:rFonts w:ascii="Calibri" w:hAnsi="Calibri"/>
                <w:color w:val="000000"/>
                <w:sz w:val="20"/>
              </w:rPr>
              <w:t>Manutenção, reparação e instalação de máquinas e equipamentos</w:t>
            </w:r>
          </w:p>
        </w:tc>
        <w:tc>
          <w:tcPr>
            <w:tcW w:w="1417" w:type="dxa"/>
            <w:noWrap/>
            <w:hideMark/>
          </w:tcPr>
          <w:p w14:paraId="6210B177"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w:t>
            </w:r>
          </w:p>
        </w:tc>
        <w:tc>
          <w:tcPr>
            <w:tcW w:w="1418" w:type="dxa"/>
            <w:noWrap/>
            <w:hideMark/>
          </w:tcPr>
          <w:p w14:paraId="35750B0E"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100,0</w:t>
            </w:r>
          </w:p>
        </w:tc>
        <w:tc>
          <w:tcPr>
            <w:tcW w:w="1275" w:type="dxa"/>
            <w:noWrap/>
            <w:hideMark/>
          </w:tcPr>
          <w:p w14:paraId="6635F658"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32,0</w:t>
            </w:r>
          </w:p>
        </w:tc>
        <w:tc>
          <w:tcPr>
            <w:tcW w:w="1276" w:type="dxa"/>
            <w:noWrap/>
            <w:hideMark/>
          </w:tcPr>
          <w:p w14:paraId="3F387B24"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68,0</w:t>
            </w:r>
          </w:p>
        </w:tc>
      </w:tr>
      <w:tr w:rsidR="006356F1" w:rsidRPr="00741163" w14:paraId="2C86AFEB" w14:textId="77777777" w:rsidTr="00217400">
        <w:trPr>
          <w:trHeight w:val="340"/>
        </w:trPr>
        <w:tc>
          <w:tcPr>
            <w:tcW w:w="5058" w:type="dxa"/>
            <w:noWrap/>
            <w:hideMark/>
          </w:tcPr>
          <w:p w14:paraId="3F299931" w14:textId="77777777" w:rsidR="006356F1" w:rsidRPr="00741163" w:rsidRDefault="006356F1" w:rsidP="00217400">
            <w:pPr>
              <w:rPr>
                <w:rFonts w:ascii="Calibri" w:hAnsi="Calibri"/>
                <w:color w:val="000000"/>
                <w:sz w:val="20"/>
              </w:rPr>
            </w:pPr>
            <w:r w:rsidRPr="00741163">
              <w:rPr>
                <w:rFonts w:ascii="Calibri" w:hAnsi="Calibri"/>
                <w:color w:val="000000"/>
                <w:sz w:val="20"/>
              </w:rPr>
              <w:t>Metalurgia</w:t>
            </w:r>
          </w:p>
        </w:tc>
        <w:tc>
          <w:tcPr>
            <w:tcW w:w="1417" w:type="dxa"/>
            <w:noWrap/>
            <w:hideMark/>
          </w:tcPr>
          <w:p w14:paraId="39E6CF08"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65,6</w:t>
            </w:r>
          </w:p>
        </w:tc>
        <w:tc>
          <w:tcPr>
            <w:tcW w:w="1418" w:type="dxa"/>
            <w:noWrap/>
            <w:hideMark/>
          </w:tcPr>
          <w:p w14:paraId="66A144C3"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34,4</w:t>
            </w:r>
          </w:p>
        </w:tc>
        <w:tc>
          <w:tcPr>
            <w:tcW w:w="1275" w:type="dxa"/>
            <w:noWrap/>
            <w:hideMark/>
          </w:tcPr>
          <w:p w14:paraId="53D7EB65"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66,2</w:t>
            </w:r>
          </w:p>
        </w:tc>
        <w:tc>
          <w:tcPr>
            <w:tcW w:w="1276" w:type="dxa"/>
            <w:noWrap/>
            <w:hideMark/>
          </w:tcPr>
          <w:p w14:paraId="1D6E5384"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33,8</w:t>
            </w:r>
          </w:p>
        </w:tc>
      </w:tr>
      <w:tr w:rsidR="006356F1" w:rsidRPr="00741163" w14:paraId="7EAF60C9" w14:textId="77777777" w:rsidTr="00217400">
        <w:trPr>
          <w:trHeight w:val="340"/>
        </w:trPr>
        <w:tc>
          <w:tcPr>
            <w:tcW w:w="5058" w:type="dxa"/>
            <w:noWrap/>
            <w:hideMark/>
          </w:tcPr>
          <w:p w14:paraId="4617905B" w14:textId="77777777" w:rsidR="006356F1" w:rsidRPr="00741163" w:rsidRDefault="006356F1" w:rsidP="00217400">
            <w:pPr>
              <w:rPr>
                <w:rFonts w:ascii="Calibri" w:hAnsi="Calibri"/>
                <w:color w:val="000000"/>
                <w:sz w:val="20"/>
              </w:rPr>
            </w:pPr>
            <w:r w:rsidRPr="00741163">
              <w:rPr>
                <w:rFonts w:ascii="Calibri" w:hAnsi="Calibri"/>
                <w:color w:val="000000"/>
                <w:sz w:val="20"/>
              </w:rPr>
              <w:t>Obras de infraestrutura</w:t>
            </w:r>
          </w:p>
        </w:tc>
        <w:tc>
          <w:tcPr>
            <w:tcW w:w="1417" w:type="dxa"/>
            <w:noWrap/>
            <w:hideMark/>
          </w:tcPr>
          <w:p w14:paraId="1109BF90"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90,3</w:t>
            </w:r>
          </w:p>
        </w:tc>
        <w:tc>
          <w:tcPr>
            <w:tcW w:w="1418" w:type="dxa"/>
            <w:noWrap/>
            <w:hideMark/>
          </w:tcPr>
          <w:p w14:paraId="3E06BC3F"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9,7</w:t>
            </w:r>
          </w:p>
        </w:tc>
        <w:tc>
          <w:tcPr>
            <w:tcW w:w="1275" w:type="dxa"/>
            <w:noWrap/>
            <w:hideMark/>
          </w:tcPr>
          <w:p w14:paraId="23709AEC"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65,4</w:t>
            </w:r>
          </w:p>
        </w:tc>
        <w:tc>
          <w:tcPr>
            <w:tcW w:w="1276" w:type="dxa"/>
            <w:noWrap/>
            <w:hideMark/>
          </w:tcPr>
          <w:p w14:paraId="31F42800"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34,6</w:t>
            </w:r>
          </w:p>
        </w:tc>
      </w:tr>
      <w:tr w:rsidR="006356F1" w:rsidRPr="00741163" w14:paraId="548F97DC" w14:textId="77777777" w:rsidTr="00217400">
        <w:trPr>
          <w:trHeight w:val="340"/>
        </w:trPr>
        <w:tc>
          <w:tcPr>
            <w:tcW w:w="5058" w:type="dxa"/>
            <w:noWrap/>
            <w:hideMark/>
          </w:tcPr>
          <w:p w14:paraId="29210897" w14:textId="77777777" w:rsidR="006356F1" w:rsidRPr="00741163" w:rsidRDefault="006356F1" w:rsidP="00217400">
            <w:pPr>
              <w:rPr>
                <w:rFonts w:ascii="Calibri" w:hAnsi="Calibri"/>
                <w:color w:val="000000"/>
                <w:sz w:val="20"/>
              </w:rPr>
            </w:pPr>
            <w:r w:rsidRPr="00741163">
              <w:rPr>
                <w:rFonts w:ascii="Calibri" w:hAnsi="Calibri"/>
                <w:color w:val="000000"/>
                <w:sz w:val="20"/>
              </w:rPr>
              <w:t>Preparação de couros e fabricação de artefatos de couro, artigos para viagem e calçados</w:t>
            </w:r>
          </w:p>
        </w:tc>
        <w:tc>
          <w:tcPr>
            <w:tcW w:w="1417" w:type="dxa"/>
            <w:noWrap/>
            <w:hideMark/>
          </w:tcPr>
          <w:p w14:paraId="73534F36"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59,3</w:t>
            </w:r>
          </w:p>
        </w:tc>
        <w:tc>
          <w:tcPr>
            <w:tcW w:w="1418" w:type="dxa"/>
            <w:noWrap/>
            <w:hideMark/>
          </w:tcPr>
          <w:p w14:paraId="5E12B9F6"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40,7</w:t>
            </w:r>
          </w:p>
        </w:tc>
        <w:tc>
          <w:tcPr>
            <w:tcW w:w="1275" w:type="dxa"/>
            <w:noWrap/>
            <w:hideMark/>
          </w:tcPr>
          <w:p w14:paraId="0F74E936"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39,5</w:t>
            </w:r>
          </w:p>
        </w:tc>
        <w:tc>
          <w:tcPr>
            <w:tcW w:w="1276" w:type="dxa"/>
            <w:noWrap/>
            <w:hideMark/>
          </w:tcPr>
          <w:p w14:paraId="1323841A"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60,5</w:t>
            </w:r>
          </w:p>
        </w:tc>
      </w:tr>
      <w:tr w:rsidR="006356F1" w:rsidRPr="00741163" w14:paraId="08C921D9" w14:textId="77777777" w:rsidTr="00217400">
        <w:trPr>
          <w:trHeight w:val="340"/>
        </w:trPr>
        <w:tc>
          <w:tcPr>
            <w:tcW w:w="5058" w:type="dxa"/>
            <w:noWrap/>
            <w:hideMark/>
          </w:tcPr>
          <w:p w14:paraId="23C1B887" w14:textId="77777777" w:rsidR="006356F1" w:rsidRPr="00741163" w:rsidRDefault="006356F1" w:rsidP="00217400">
            <w:pPr>
              <w:rPr>
                <w:rFonts w:ascii="Calibri" w:hAnsi="Calibri"/>
                <w:color w:val="000000"/>
                <w:sz w:val="20"/>
              </w:rPr>
            </w:pPr>
            <w:r w:rsidRPr="00741163">
              <w:rPr>
                <w:rFonts w:ascii="Calibri" w:hAnsi="Calibri"/>
                <w:color w:val="000000"/>
                <w:sz w:val="20"/>
              </w:rPr>
              <w:t>Serviços especializados para construção</w:t>
            </w:r>
          </w:p>
        </w:tc>
        <w:tc>
          <w:tcPr>
            <w:tcW w:w="1417" w:type="dxa"/>
            <w:noWrap/>
            <w:hideMark/>
          </w:tcPr>
          <w:p w14:paraId="59D0D235"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w:t>
            </w:r>
          </w:p>
        </w:tc>
        <w:tc>
          <w:tcPr>
            <w:tcW w:w="1418" w:type="dxa"/>
            <w:noWrap/>
            <w:hideMark/>
          </w:tcPr>
          <w:p w14:paraId="3B1D19D0"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100,0</w:t>
            </w:r>
          </w:p>
        </w:tc>
        <w:tc>
          <w:tcPr>
            <w:tcW w:w="1275" w:type="dxa"/>
            <w:noWrap/>
            <w:hideMark/>
          </w:tcPr>
          <w:p w14:paraId="6674233E"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25,6</w:t>
            </w:r>
          </w:p>
        </w:tc>
        <w:tc>
          <w:tcPr>
            <w:tcW w:w="1276" w:type="dxa"/>
            <w:noWrap/>
            <w:hideMark/>
          </w:tcPr>
          <w:p w14:paraId="1078E3D5"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74,4</w:t>
            </w:r>
          </w:p>
        </w:tc>
      </w:tr>
      <w:tr w:rsidR="006356F1" w:rsidRPr="00741163" w14:paraId="34FA1338" w14:textId="77777777" w:rsidTr="00217400">
        <w:trPr>
          <w:trHeight w:val="340"/>
        </w:trPr>
        <w:tc>
          <w:tcPr>
            <w:tcW w:w="5058" w:type="dxa"/>
            <w:noWrap/>
            <w:hideMark/>
          </w:tcPr>
          <w:p w14:paraId="27242F8A" w14:textId="77777777" w:rsidR="006356F1" w:rsidRPr="00741163" w:rsidRDefault="006356F1" w:rsidP="00217400">
            <w:pPr>
              <w:rPr>
                <w:rFonts w:ascii="Calibri" w:hAnsi="Calibri"/>
                <w:color w:val="000000"/>
                <w:sz w:val="20"/>
              </w:rPr>
            </w:pPr>
            <w:r w:rsidRPr="00741163">
              <w:rPr>
                <w:rFonts w:ascii="Calibri" w:hAnsi="Calibri"/>
                <w:color w:val="000000"/>
                <w:sz w:val="20"/>
              </w:rPr>
              <w:t>Transporte terrestre</w:t>
            </w:r>
          </w:p>
        </w:tc>
        <w:tc>
          <w:tcPr>
            <w:tcW w:w="1417" w:type="dxa"/>
            <w:noWrap/>
            <w:hideMark/>
          </w:tcPr>
          <w:p w14:paraId="32409355"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28,4</w:t>
            </w:r>
          </w:p>
        </w:tc>
        <w:tc>
          <w:tcPr>
            <w:tcW w:w="1418" w:type="dxa"/>
            <w:noWrap/>
            <w:hideMark/>
          </w:tcPr>
          <w:p w14:paraId="7260E151"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71,6</w:t>
            </w:r>
          </w:p>
        </w:tc>
        <w:tc>
          <w:tcPr>
            <w:tcW w:w="1275" w:type="dxa"/>
            <w:noWrap/>
            <w:hideMark/>
          </w:tcPr>
          <w:p w14:paraId="09B0DE89"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36,1</w:t>
            </w:r>
          </w:p>
        </w:tc>
        <w:tc>
          <w:tcPr>
            <w:tcW w:w="1276" w:type="dxa"/>
            <w:noWrap/>
            <w:hideMark/>
          </w:tcPr>
          <w:p w14:paraId="6155D5DB"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63,9</w:t>
            </w:r>
          </w:p>
        </w:tc>
      </w:tr>
      <w:tr w:rsidR="006356F1" w:rsidRPr="00741163" w14:paraId="69F5D627" w14:textId="77777777" w:rsidTr="00217400">
        <w:trPr>
          <w:trHeight w:val="340"/>
        </w:trPr>
        <w:tc>
          <w:tcPr>
            <w:tcW w:w="5058" w:type="dxa"/>
            <w:noWrap/>
            <w:hideMark/>
          </w:tcPr>
          <w:p w14:paraId="78C00AF4" w14:textId="77777777" w:rsidR="006356F1" w:rsidRPr="00741163" w:rsidRDefault="006356F1" w:rsidP="00217400">
            <w:pPr>
              <w:rPr>
                <w:rFonts w:ascii="Calibri" w:hAnsi="Calibri"/>
                <w:b/>
                <w:bCs/>
                <w:color w:val="000000"/>
                <w:sz w:val="20"/>
              </w:rPr>
            </w:pPr>
            <w:r w:rsidRPr="00741163">
              <w:rPr>
                <w:rFonts w:ascii="Calibri" w:hAnsi="Calibri"/>
                <w:b/>
                <w:bCs/>
                <w:color w:val="000000"/>
                <w:sz w:val="20"/>
              </w:rPr>
              <w:t>Total Geral</w:t>
            </w:r>
          </w:p>
        </w:tc>
        <w:tc>
          <w:tcPr>
            <w:tcW w:w="1417" w:type="dxa"/>
            <w:noWrap/>
            <w:hideMark/>
          </w:tcPr>
          <w:p w14:paraId="7A713B02"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44,6</w:t>
            </w:r>
          </w:p>
        </w:tc>
        <w:tc>
          <w:tcPr>
            <w:tcW w:w="1418" w:type="dxa"/>
            <w:noWrap/>
            <w:hideMark/>
          </w:tcPr>
          <w:p w14:paraId="64F1AC0B"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55,4</w:t>
            </w:r>
          </w:p>
        </w:tc>
        <w:tc>
          <w:tcPr>
            <w:tcW w:w="1275" w:type="dxa"/>
            <w:noWrap/>
            <w:hideMark/>
          </w:tcPr>
          <w:p w14:paraId="266206A0"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51,2</w:t>
            </w:r>
          </w:p>
        </w:tc>
        <w:tc>
          <w:tcPr>
            <w:tcW w:w="1276" w:type="dxa"/>
            <w:noWrap/>
            <w:hideMark/>
          </w:tcPr>
          <w:p w14:paraId="19A4FFCB" w14:textId="77777777" w:rsidR="006356F1" w:rsidRPr="00741163" w:rsidRDefault="006356F1" w:rsidP="00217400">
            <w:pPr>
              <w:jc w:val="center"/>
              <w:rPr>
                <w:rFonts w:ascii="Calibri" w:hAnsi="Calibri"/>
                <w:color w:val="000000"/>
                <w:sz w:val="20"/>
              </w:rPr>
            </w:pPr>
            <w:r w:rsidRPr="00741163">
              <w:rPr>
                <w:rFonts w:ascii="Calibri" w:hAnsi="Calibri"/>
                <w:color w:val="000000"/>
                <w:sz w:val="20"/>
              </w:rPr>
              <w:t>48,8</w:t>
            </w:r>
          </w:p>
        </w:tc>
      </w:tr>
    </w:tbl>
    <w:p w14:paraId="172573FB" w14:textId="77777777" w:rsidR="006356F1" w:rsidRPr="00741163" w:rsidRDefault="006356F1" w:rsidP="006356F1">
      <w:pPr>
        <w:ind w:left="-426"/>
        <w:rPr>
          <w:rFonts w:ascii="Calibri" w:hAnsi="Calibri"/>
          <w:color w:val="000000"/>
          <w:sz w:val="18"/>
        </w:rPr>
      </w:pPr>
      <w:r w:rsidRPr="00741163">
        <w:rPr>
          <w:rFonts w:ascii="Calibri" w:hAnsi="Calibri"/>
          <w:color w:val="000000"/>
          <w:sz w:val="18"/>
        </w:rPr>
        <w:t>Obs.: Atividades – CNAE a 2 dígitos.</w:t>
      </w:r>
    </w:p>
    <w:p w14:paraId="12DF278C" w14:textId="77777777" w:rsidR="006356F1" w:rsidRPr="00741163" w:rsidRDefault="006356F1" w:rsidP="006356F1">
      <w:pPr>
        <w:ind w:left="-426"/>
        <w:rPr>
          <w:rFonts w:ascii="Calibri" w:hAnsi="Calibri"/>
          <w:color w:val="000000"/>
          <w:sz w:val="18"/>
        </w:rPr>
      </w:pPr>
      <w:r w:rsidRPr="00741163">
        <w:rPr>
          <w:rFonts w:ascii="Calibri" w:hAnsi="Calibri"/>
          <w:color w:val="000000"/>
          <w:sz w:val="18"/>
        </w:rPr>
        <w:t>Fonte: Secretaria da Economia do Estado de Goiás</w:t>
      </w:r>
    </w:p>
    <w:p w14:paraId="15FCE4A7" w14:textId="77777777" w:rsidR="006356F1" w:rsidRDefault="006356F1" w:rsidP="006356F1">
      <w:pPr>
        <w:spacing w:line="360" w:lineRule="auto"/>
        <w:ind w:firstLine="851"/>
        <w:jc w:val="both"/>
        <w:rPr>
          <w:rFonts w:ascii="Arial" w:hAnsi="Arial" w:cs="Arial"/>
          <w:sz w:val="22"/>
          <w:szCs w:val="24"/>
        </w:rPr>
      </w:pPr>
    </w:p>
    <w:p w14:paraId="21DC9663" w14:textId="77777777" w:rsidR="006356F1" w:rsidRPr="00F70141" w:rsidRDefault="006356F1" w:rsidP="006356F1">
      <w:pPr>
        <w:spacing w:line="360" w:lineRule="auto"/>
        <w:ind w:firstLine="851"/>
        <w:jc w:val="both"/>
        <w:rPr>
          <w:rFonts w:ascii="Arial" w:hAnsi="Arial" w:cs="Arial"/>
          <w:sz w:val="24"/>
          <w:szCs w:val="24"/>
        </w:rPr>
      </w:pPr>
      <w:r w:rsidRPr="00F70141">
        <w:rPr>
          <w:rFonts w:ascii="Arial" w:hAnsi="Arial" w:cs="Arial"/>
          <w:sz w:val="24"/>
          <w:szCs w:val="24"/>
        </w:rPr>
        <w:t xml:space="preserve">Com base nesses dados, repete-se a seguinte </w:t>
      </w:r>
      <w:r w:rsidRPr="001033A1">
        <w:rPr>
          <w:rFonts w:ascii="Arial" w:hAnsi="Arial" w:cs="Arial"/>
          <w:sz w:val="24"/>
          <w:szCs w:val="24"/>
        </w:rPr>
        <w:t>constatação:</w:t>
      </w:r>
      <w:r w:rsidRPr="007D7AD1">
        <w:rPr>
          <w:rFonts w:ascii="Arial" w:hAnsi="Arial" w:cs="Arial"/>
          <w:b/>
          <w:sz w:val="24"/>
          <w:szCs w:val="24"/>
        </w:rPr>
        <w:t xml:space="preserve"> o setor de produção de biocombustíveis (que envolve a produção de álcool) realiza muitas compras no território goiano</w:t>
      </w:r>
      <w:r w:rsidRPr="00F70141">
        <w:rPr>
          <w:rFonts w:ascii="Arial" w:hAnsi="Arial" w:cs="Arial"/>
          <w:sz w:val="24"/>
          <w:szCs w:val="24"/>
        </w:rPr>
        <w:t xml:space="preserve">, sendo positivo para a economia local. Por outro lado, </w:t>
      </w:r>
      <w:r w:rsidRPr="00F70141">
        <w:rPr>
          <w:rFonts w:ascii="Arial" w:hAnsi="Arial" w:cs="Arial"/>
          <w:b/>
          <w:sz w:val="24"/>
          <w:szCs w:val="24"/>
        </w:rPr>
        <w:t>a fabricação de produtos fa</w:t>
      </w:r>
      <w:r>
        <w:rPr>
          <w:rFonts w:ascii="Arial" w:hAnsi="Arial" w:cs="Arial"/>
          <w:b/>
          <w:sz w:val="24"/>
          <w:szCs w:val="24"/>
        </w:rPr>
        <w:t>r</w:t>
      </w:r>
      <w:r w:rsidRPr="00F70141">
        <w:rPr>
          <w:rFonts w:ascii="Arial" w:hAnsi="Arial" w:cs="Arial"/>
          <w:b/>
          <w:sz w:val="24"/>
          <w:szCs w:val="24"/>
        </w:rPr>
        <w:t>moquímicos e o setor de fabricação de veículos automotores realizam mais de 80% (oitenta por cento) de suas compras fora do Estado de Goiás</w:t>
      </w:r>
      <w:r w:rsidRPr="00F70141">
        <w:rPr>
          <w:rFonts w:ascii="Arial" w:hAnsi="Arial" w:cs="Arial"/>
          <w:sz w:val="24"/>
          <w:szCs w:val="24"/>
        </w:rPr>
        <w:t>.</w:t>
      </w:r>
    </w:p>
    <w:p w14:paraId="268224E4" w14:textId="77777777" w:rsidR="006356F1" w:rsidRPr="00A33549" w:rsidRDefault="006356F1" w:rsidP="006356F1">
      <w:pPr>
        <w:spacing w:line="360" w:lineRule="auto"/>
        <w:ind w:firstLine="851"/>
        <w:jc w:val="both"/>
        <w:rPr>
          <w:rFonts w:ascii="Arial" w:hAnsi="Arial" w:cs="Arial"/>
          <w:sz w:val="24"/>
          <w:szCs w:val="24"/>
        </w:rPr>
      </w:pPr>
      <w:r w:rsidRPr="00A33549">
        <w:rPr>
          <w:rFonts w:ascii="Arial" w:hAnsi="Arial" w:cs="Arial"/>
          <w:sz w:val="24"/>
          <w:szCs w:val="24"/>
        </w:rPr>
        <w:t xml:space="preserve">Ou seja, além de a </w:t>
      </w:r>
      <w:r w:rsidRPr="00DE32B9">
        <w:rPr>
          <w:rFonts w:ascii="Arial" w:hAnsi="Arial" w:cs="Arial"/>
          <w:b/>
          <w:sz w:val="24"/>
          <w:szCs w:val="24"/>
        </w:rPr>
        <w:t>concessão de benefícios fiscais atender, em quantitativo relevante, a setores com baixos índices de encadeamento</w:t>
      </w:r>
      <w:r>
        <w:rPr>
          <w:rFonts w:ascii="Arial" w:hAnsi="Arial" w:cs="Arial"/>
          <w:sz w:val="24"/>
          <w:szCs w:val="24"/>
        </w:rPr>
        <w:t xml:space="preserve">, alguns beneficiários de tais políticas públicas </w:t>
      </w:r>
      <w:r w:rsidRPr="00DE32B9">
        <w:rPr>
          <w:rFonts w:ascii="Arial" w:hAnsi="Arial" w:cs="Arial"/>
          <w:b/>
          <w:sz w:val="24"/>
          <w:szCs w:val="24"/>
        </w:rPr>
        <w:t>estão movimentando</w:t>
      </w:r>
      <w:r>
        <w:rPr>
          <w:rFonts w:ascii="Arial" w:hAnsi="Arial" w:cs="Arial"/>
          <w:sz w:val="24"/>
          <w:szCs w:val="24"/>
        </w:rPr>
        <w:t xml:space="preserve">, em boa parte das compras realizadas, </w:t>
      </w:r>
      <w:r w:rsidRPr="00DE32B9">
        <w:rPr>
          <w:rFonts w:ascii="Arial" w:hAnsi="Arial" w:cs="Arial"/>
          <w:b/>
          <w:sz w:val="24"/>
          <w:szCs w:val="24"/>
        </w:rPr>
        <w:t>as economias de outros estados</w:t>
      </w:r>
      <w:r>
        <w:rPr>
          <w:rFonts w:ascii="Arial" w:hAnsi="Arial" w:cs="Arial"/>
          <w:sz w:val="24"/>
          <w:szCs w:val="24"/>
        </w:rPr>
        <w:t>, não de Goiás.</w:t>
      </w:r>
    </w:p>
    <w:p w14:paraId="69CDF8E5" w14:textId="77777777" w:rsidR="006356F1" w:rsidRPr="00A33549" w:rsidRDefault="006356F1" w:rsidP="006356F1">
      <w:pPr>
        <w:spacing w:line="360" w:lineRule="auto"/>
        <w:ind w:left="851"/>
        <w:jc w:val="both"/>
        <w:rPr>
          <w:rFonts w:ascii="Arial" w:hAnsi="Arial" w:cs="Arial"/>
          <w:sz w:val="24"/>
          <w:szCs w:val="24"/>
        </w:rPr>
      </w:pPr>
    </w:p>
    <w:p w14:paraId="1DD260A1" w14:textId="736E4C01" w:rsidR="006356F1" w:rsidRDefault="006356F1" w:rsidP="006356F1">
      <w:pPr>
        <w:spacing w:line="360" w:lineRule="auto"/>
        <w:ind w:firstLine="851"/>
        <w:jc w:val="both"/>
        <w:rPr>
          <w:rFonts w:ascii="Arial" w:hAnsi="Arial" w:cs="Arial"/>
          <w:b/>
          <w:sz w:val="24"/>
          <w:szCs w:val="24"/>
        </w:rPr>
      </w:pPr>
      <w:r>
        <w:rPr>
          <w:rFonts w:ascii="Arial" w:hAnsi="Arial" w:cs="Arial"/>
          <w:b/>
          <w:sz w:val="24"/>
          <w:szCs w:val="24"/>
        </w:rPr>
        <w:t>1</w:t>
      </w:r>
      <w:r w:rsidR="00DD1451">
        <w:rPr>
          <w:rFonts w:ascii="Arial" w:hAnsi="Arial" w:cs="Arial"/>
          <w:b/>
          <w:sz w:val="24"/>
          <w:szCs w:val="24"/>
        </w:rPr>
        <w:t>1</w:t>
      </w:r>
      <w:r w:rsidR="00B34BAE">
        <w:rPr>
          <w:rFonts w:ascii="Arial" w:hAnsi="Arial" w:cs="Arial"/>
          <w:b/>
          <w:sz w:val="24"/>
          <w:szCs w:val="24"/>
        </w:rPr>
        <w:t>.3 – AGREGAÇÃO DE VALOR</w:t>
      </w:r>
    </w:p>
    <w:p w14:paraId="2AD1C87F" w14:textId="77777777" w:rsidR="006356F1" w:rsidRDefault="006356F1" w:rsidP="006356F1">
      <w:pPr>
        <w:spacing w:line="360" w:lineRule="auto"/>
        <w:ind w:firstLine="851"/>
        <w:jc w:val="both"/>
        <w:rPr>
          <w:rFonts w:ascii="Arial" w:hAnsi="Arial" w:cs="Arial"/>
          <w:sz w:val="24"/>
          <w:szCs w:val="24"/>
        </w:rPr>
      </w:pPr>
    </w:p>
    <w:p w14:paraId="4D0578F7"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Em relação à agregação de valor aos produtos, decorrente das atividades dos beneficiados por incentivos fiscais no Estado de Goiás, transcrevemos análise da CGE, que evidencia que alguns dos grandes beneficiários de incentivos fiscais, na realidade, não geram grande agregação de valor por suas atividades:</w:t>
      </w:r>
    </w:p>
    <w:p w14:paraId="65FE8AD9" w14:textId="77777777" w:rsidR="006356F1" w:rsidRDefault="006356F1" w:rsidP="006356F1">
      <w:pPr>
        <w:spacing w:line="360" w:lineRule="auto"/>
        <w:ind w:firstLine="851"/>
        <w:jc w:val="both"/>
        <w:rPr>
          <w:rFonts w:ascii="Arial" w:hAnsi="Arial" w:cs="Arial"/>
          <w:sz w:val="24"/>
          <w:szCs w:val="24"/>
        </w:rPr>
      </w:pPr>
    </w:p>
    <w:p w14:paraId="71218EFB" w14:textId="77777777" w:rsidR="006356F1" w:rsidRPr="00270FE1" w:rsidRDefault="006356F1" w:rsidP="006356F1">
      <w:pPr>
        <w:ind w:left="2268"/>
        <w:jc w:val="both"/>
        <w:rPr>
          <w:rFonts w:ascii="Arial" w:hAnsi="Arial" w:cs="Arial"/>
          <w:sz w:val="22"/>
          <w:szCs w:val="24"/>
        </w:rPr>
      </w:pPr>
      <w:r w:rsidRPr="00270FE1">
        <w:rPr>
          <w:rFonts w:ascii="Arial" w:hAnsi="Arial" w:cs="Arial"/>
          <w:sz w:val="22"/>
          <w:szCs w:val="24"/>
        </w:rPr>
        <w:t xml:space="preserve">Para se ter uma ideia se as atividades que estão recebendo benefícios realmente são as que mais agregam valor à economia goiana traz-se a Tabela 15 como referência para análise. Ela faz uma relação entre os custos intermediários das empresas e o seu valor bruto de produção em Goiás, por atividade. O índice tem escala de “0 a 1” sendo que, quanto mais perto de 1, menos a atividade agrega valor e quanto menor o índice, menor valor agrega. Assim, entre os primeiros colocados ou entre os que menos agregam valor estão atividades ligadas a produtos químicos e </w:t>
      </w:r>
      <w:r w:rsidRPr="00270FE1">
        <w:rPr>
          <w:rFonts w:ascii="Arial" w:hAnsi="Arial" w:cs="Arial"/>
          <w:sz w:val="22"/>
          <w:szCs w:val="24"/>
        </w:rPr>
        <w:lastRenderedPageBreak/>
        <w:t>automóveis. Por outro lado, atividade ligada a móveis, fabricação de peças, álcool e biocombustíveis, por exemplo, estão entre as que mais agregam valor.</w:t>
      </w:r>
    </w:p>
    <w:p w14:paraId="2F771F75" w14:textId="77777777" w:rsidR="006356F1" w:rsidRPr="00270FE1" w:rsidRDefault="006356F1" w:rsidP="006356F1">
      <w:pPr>
        <w:ind w:left="2268"/>
        <w:jc w:val="both"/>
        <w:rPr>
          <w:rFonts w:ascii="Arial" w:hAnsi="Arial" w:cs="Arial"/>
          <w:sz w:val="22"/>
          <w:szCs w:val="24"/>
        </w:rPr>
      </w:pPr>
      <w:r w:rsidRPr="00270FE1">
        <w:rPr>
          <w:rFonts w:ascii="Arial" w:hAnsi="Arial" w:cs="Arial"/>
          <w:sz w:val="22"/>
          <w:szCs w:val="24"/>
        </w:rPr>
        <w:t xml:space="preserve">Assim, a fabricação de álcool que lidera a captação de benefícios (Gráfico 7) também é uma das atividades que mais agrega valor à economia goiana (Tabela 15). O mesmo vale para fabricação de produtos de metal. </w:t>
      </w:r>
      <w:r w:rsidRPr="00706C4B">
        <w:rPr>
          <w:rFonts w:ascii="Arial" w:hAnsi="Arial" w:cs="Arial"/>
          <w:b/>
          <w:sz w:val="22"/>
          <w:szCs w:val="24"/>
        </w:rPr>
        <w:t>A 4ª colocada em benefícios – fabricação de óleos vegetais-, não é uma atividade com grande geração de valor agregado</w:t>
      </w:r>
      <w:r w:rsidRPr="00270FE1">
        <w:rPr>
          <w:rFonts w:ascii="Arial" w:hAnsi="Arial" w:cs="Arial"/>
          <w:sz w:val="22"/>
          <w:szCs w:val="24"/>
        </w:rPr>
        <w:t xml:space="preserve"> (está contida na fabricação de produtos alimentícios). </w:t>
      </w:r>
      <w:r w:rsidRPr="00706C4B">
        <w:rPr>
          <w:rFonts w:ascii="Arial" w:hAnsi="Arial" w:cs="Arial"/>
          <w:b/>
          <w:sz w:val="22"/>
          <w:szCs w:val="24"/>
        </w:rPr>
        <w:t>O setor automobilístico, 3º que mais recebe benefício, também não é uma atividade com grande agregação de valor, relativamente</w:t>
      </w:r>
      <w:r w:rsidRPr="00270FE1">
        <w:rPr>
          <w:rFonts w:ascii="Arial" w:hAnsi="Arial" w:cs="Arial"/>
          <w:sz w:val="22"/>
          <w:szCs w:val="24"/>
        </w:rPr>
        <w:t>. Assim, as cinco maiores atividades em participação, na sua maioria, também, são boas agregadoras de valor à economia.</w:t>
      </w:r>
      <w:r>
        <w:rPr>
          <w:rStyle w:val="Refdenotaderodap"/>
          <w:rFonts w:ascii="Arial" w:hAnsi="Arial" w:cs="Arial"/>
          <w:sz w:val="22"/>
          <w:szCs w:val="24"/>
        </w:rPr>
        <w:footnoteReference w:id="120"/>
      </w:r>
    </w:p>
    <w:p w14:paraId="07FE911E" w14:textId="77777777" w:rsidR="006356F1" w:rsidRDefault="006356F1" w:rsidP="006356F1">
      <w:pPr>
        <w:spacing w:line="360" w:lineRule="auto"/>
        <w:ind w:firstLine="851"/>
        <w:jc w:val="both"/>
        <w:rPr>
          <w:rFonts w:ascii="Arial" w:hAnsi="Arial" w:cs="Arial"/>
          <w:sz w:val="24"/>
          <w:szCs w:val="24"/>
        </w:rPr>
      </w:pPr>
    </w:p>
    <w:p w14:paraId="4C11D58F"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Revelando os setores que mais agregam valor, observe-se tabela abaixo, constante do Informe de Auditoria n. 2/2019, que transcrevemos, a qual, se comparada ao Gráfico 7 (item 6.3) revela que a concessão de benefícios não segue completamente a ordem de agregação de valor:</w:t>
      </w:r>
    </w:p>
    <w:p w14:paraId="633AA87D" w14:textId="77777777" w:rsidR="006356F1" w:rsidRDefault="006356F1" w:rsidP="006356F1">
      <w:pPr>
        <w:spacing w:line="360" w:lineRule="auto"/>
        <w:ind w:firstLine="851"/>
        <w:jc w:val="both"/>
        <w:rPr>
          <w:rFonts w:ascii="Arial" w:hAnsi="Arial" w:cs="Arial"/>
          <w:sz w:val="24"/>
          <w:szCs w:val="24"/>
        </w:rPr>
      </w:pPr>
    </w:p>
    <w:tbl>
      <w:tblPr>
        <w:tblW w:w="8784" w:type="dxa"/>
        <w:jc w:val="center"/>
        <w:tblCellMar>
          <w:left w:w="70" w:type="dxa"/>
          <w:right w:w="70" w:type="dxa"/>
        </w:tblCellMar>
        <w:tblLook w:val="04A0" w:firstRow="1" w:lastRow="0" w:firstColumn="1" w:lastColumn="0" w:noHBand="0" w:noVBand="1"/>
      </w:tblPr>
      <w:tblGrid>
        <w:gridCol w:w="6658"/>
        <w:gridCol w:w="2126"/>
      </w:tblGrid>
      <w:tr w:rsidR="006356F1" w:rsidRPr="00DE32B9" w14:paraId="351C8DEA" w14:textId="77777777" w:rsidTr="00217400">
        <w:trPr>
          <w:trHeight w:val="439"/>
          <w:jc w:val="center"/>
        </w:trPr>
        <w:tc>
          <w:tcPr>
            <w:tcW w:w="8784" w:type="dxa"/>
            <w:gridSpan w:val="2"/>
            <w:tcBorders>
              <w:top w:val="nil"/>
              <w:bottom w:val="single" w:sz="4" w:space="0" w:color="auto"/>
            </w:tcBorders>
            <w:shd w:val="clear" w:color="auto" w:fill="auto"/>
            <w:vAlign w:val="center"/>
            <w:hideMark/>
          </w:tcPr>
          <w:p w14:paraId="5C5E9F92" w14:textId="77777777" w:rsidR="006356F1" w:rsidRPr="00DE32B9" w:rsidRDefault="006356F1" w:rsidP="00217400">
            <w:pPr>
              <w:rPr>
                <w:rFonts w:ascii="Arial" w:hAnsi="Arial" w:cs="Arial"/>
                <w:bCs/>
                <w:color w:val="000000"/>
                <w:sz w:val="22"/>
                <w:szCs w:val="22"/>
              </w:rPr>
            </w:pPr>
            <w:r w:rsidRPr="00DE32B9">
              <w:rPr>
                <w:rFonts w:ascii="Arial" w:hAnsi="Arial" w:cs="Arial"/>
                <w:bCs/>
                <w:color w:val="000000"/>
                <w:sz w:val="22"/>
                <w:szCs w:val="22"/>
              </w:rPr>
              <w:t>Goiás: atividades e seus índices de agregação de valor (média entre 2010 e 2016)</w:t>
            </w:r>
          </w:p>
        </w:tc>
      </w:tr>
      <w:tr w:rsidR="006356F1" w:rsidRPr="00DE32B9" w14:paraId="30518463"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center"/>
            <w:hideMark/>
          </w:tcPr>
          <w:p w14:paraId="237D16BD" w14:textId="77777777" w:rsidR="006356F1" w:rsidRPr="00DE32B9" w:rsidRDefault="006356F1" w:rsidP="00217400">
            <w:pPr>
              <w:jc w:val="center"/>
              <w:rPr>
                <w:rFonts w:ascii="Arial" w:hAnsi="Arial" w:cs="Arial"/>
                <w:b/>
                <w:bCs/>
                <w:color w:val="000000"/>
                <w:sz w:val="18"/>
                <w:szCs w:val="22"/>
              </w:rPr>
            </w:pPr>
            <w:r w:rsidRPr="00DE32B9">
              <w:rPr>
                <w:rFonts w:ascii="Arial" w:hAnsi="Arial" w:cs="Arial"/>
                <w:b/>
                <w:bCs/>
                <w:color w:val="000000"/>
                <w:sz w:val="18"/>
                <w:szCs w:val="22"/>
              </w:rPr>
              <w:t>Atividade</w:t>
            </w:r>
          </w:p>
        </w:tc>
        <w:tc>
          <w:tcPr>
            <w:tcW w:w="2126" w:type="dxa"/>
            <w:tcBorders>
              <w:top w:val="nil"/>
              <w:left w:val="nil"/>
              <w:bottom w:val="single" w:sz="4" w:space="0" w:color="auto"/>
              <w:right w:val="single" w:sz="4" w:space="0" w:color="auto"/>
            </w:tcBorders>
            <w:shd w:val="clear" w:color="auto" w:fill="auto"/>
            <w:noWrap/>
            <w:vAlign w:val="center"/>
            <w:hideMark/>
          </w:tcPr>
          <w:p w14:paraId="10DE0424" w14:textId="77777777" w:rsidR="006356F1" w:rsidRPr="00DE32B9" w:rsidRDefault="006356F1" w:rsidP="00217400">
            <w:pPr>
              <w:jc w:val="center"/>
              <w:rPr>
                <w:rFonts w:ascii="Arial" w:hAnsi="Arial" w:cs="Arial"/>
                <w:b/>
                <w:bCs/>
                <w:color w:val="000000"/>
                <w:sz w:val="18"/>
                <w:szCs w:val="22"/>
              </w:rPr>
            </w:pPr>
            <w:r w:rsidRPr="00DE32B9">
              <w:rPr>
                <w:rFonts w:ascii="Arial" w:hAnsi="Arial" w:cs="Arial"/>
                <w:b/>
                <w:bCs/>
                <w:color w:val="000000"/>
                <w:sz w:val="18"/>
                <w:szCs w:val="22"/>
              </w:rPr>
              <w:t>Índice de agregação da atividade</w:t>
            </w:r>
          </w:p>
        </w:tc>
      </w:tr>
      <w:tr w:rsidR="006356F1" w:rsidRPr="00DE32B9" w14:paraId="171FC446"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4250A35B"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produtos químicos orgânicos e inorgânicos</w:t>
            </w:r>
          </w:p>
        </w:tc>
        <w:tc>
          <w:tcPr>
            <w:tcW w:w="2126" w:type="dxa"/>
            <w:tcBorders>
              <w:top w:val="nil"/>
              <w:left w:val="nil"/>
              <w:bottom w:val="single" w:sz="4" w:space="0" w:color="auto"/>
              <w:right w:val="single" w:sz="4" w:space="0" w:color="auto"/>
            </w:tcBorders>
            <w:shd w:val="clear" w:color="auto" w:fill="auto"/>
            <w:noWrap/>
            <w:vAlign w:val="center"/>
            <w:hideMark/>
          </w:tcPr>
          <w:p w14:paraId="2A97A849"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0,84</w:t>
            </w:r>
          </w:p>
        </w:tc>
      </w:tr>
      <w:tr w:rsidR="006356F1" w:rsidRPr="00DE32B9" w14:paraId="6BED5146"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38B97D68"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 prod. limpeza/polim./perfumaria/hig. Pessoal</w:t>
            </w:r>
          </w:p>
        </w:tc>
        <w:tc>
          <w:tcPr>
            <w:tcW w:w="2126" w:type="dxa"/>
            <w:tcBorders>
              <w:top w:val="nil"/>
              <w:left w:val="nil"/>
              <w:bottom w:val="single" w:sz="4" w:space="0" w:color="auto"/>
              <w:right w:val="single" w:sz="4" w:space="0" w:color="auto"/>
            </w:tcBorders>
            <w:shd w:val="clear" w:color="auto" w:fill="auto"/>
            <w:noWrap/>
            <w:vAlign w:val="center"/>
            <w:hideMark/>
          </w:tcPr>
          <w:p w14:paraId="3F0CDFAA"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0,83</w:t>
            </w:r>
          </w:p>
        </w:tc>
      </w:tr>
      <w:tr w:rsidR="006356F1" w:rsidRPr="00DE32B9" w14:paraId="7F6B160F"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0A53E671"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produtos alimentícios</w:t>
            </w:r>
          </w:p>
        </w:tc>
        <w:tc>
          <w:tcPr>
            <w:tcW w:w="2126" w:type="dxa"/>
            <w:tcBorders>
              <w:top w:val="nil"/>
              <w:left w:val="nil"/>
              <w:bottom w:val="single" w:sz="4" w:space="0" w:color="auto"/>
              <w:right w:val="single" w:sz="4" w:space="0" w:color="auto"/>
            </w:tcBorders>
            <w:shd w:val="clear" w:color="auto" w:fill="auto"/>
            <w:noWrap/>
            <w:vAlign w:val="center"/>
            <w:hideMark/>
          </w:tcPr>
          <w:p w14:paraId="4FBC21D7"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0,82</w:t>
            </w:r>
          </w:p>
        </w:tc>
      </w:tr>
      <w:tr w:rsidR="006356F1" w:rsidRPr="00DE32B9" w14:paraId="59BC3975"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4A3A3F4D"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automóveis, camionetas e utilitários</w:t>
            </w:r>
          </w:p>
        </w:tc>
        <w:tc>
          <w:tcPr>
            <w:tcW w:w="2126" w:type="dxa"/>
            <w:tcBorders>
              <w:top w:val="nil"/>
              <w:left w:val="nil"/>
              <w:bottom w:val="single" w:sz="4" w:space="0" w:color="auto"/>
              <w:right w:val="single" w:sz="4" w:space="0" w:color="auto"/>
            </w:tcBorders>
            <w:shd w:val="clear" w:color="auto" w:fill="auto"/>
            <w:noWrap/>
            <w:vAlign w:val="center"/>
            <w:hideMark/>
          </w:tcPr>
          <w:p w14:paraId="379B3E92"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0,79</w:t>
            </w:r>
          </w:p>
        </w:tc>
      </w:tr>
      <w:tr w:rsidR="006356F1" w:rsidRPr="00DE32B9" w14:paraId="687A43EB"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24F53637"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produtos de borracha e de material plástico</w:t>
            </w:r>
          </w:p>
        </w:tc>
        <w:tc>
          <w:tcPr>
            <w:tcW w:w="2126" w:type="dxa"/>
            <w:tcBorders>
              <w:top w:val="nil"/>
              <w:left w:val="nil"/>
              <w:bottom w:val="single" w:sz="4" w:space="0" w:color="auto"/>
              <w:right w:val="single" w:sz="4" w:space="0" w:color="auto"/>
            </w:tcBorders>
            <w:shd w:val="clear" w:color="auto" w:fill="auto"/>
            <w:noWrap/>
            <w:vAlign w:val="center"/>
            <w:hideMark/>
          </w:tcPr>
          <w:p w14:paraId="6E2DA75B"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0,75</w:t>
            </w:r>
          </w:p>
        </w:tc>
      </w:tr>
      <w:tr w:rsidR="006356F1" w:rsidRPr="00DE32B9" w14:paraId="3A1148D1"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358C83EF"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 de caminhões, ônibus, carrocerias e reboques</w:t>
            </w:r>
          </w:p>
        </w:tc>
        <w:tc>
          <w:tcPr>
            <w:tcW w:w="2126" w:type="dxa"/>
            <w:tcBorders>
              <w:top w:val="nil"/>
              <w:left w:val="nil"/>
              <w:bottom w:val="single" w:sz="4" w:space="0" w:color="auto"/>
              <w:right w:val="single" w:sz="4" w:space="0" w:color="auto"/>
            </w:tcBorders>
            <w:shd w:val="clear" w:color="auto" w:fill="auto"/>
            <w:noWrap/>
            <w:vAlign w:val="center"/>
            <w:hideMark/>
          </w:tcPr>
          <w:p w14:paraId="6AAE4170"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0,74</w:t>
            </w:r>
          </w:p>
        </w:tc>
      </w:tr>
      <w:tr w:rsidR="006356F1" w:rsidRPr="00DE32B9" w14:paraId="3B60CA61"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44235FAE"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tintas, vernizes, esmaltes e lacas</w:t>
            </w:r>
          </w:p>
        </w:tc>
        <w:tc>
          <w:tcPr>
            <w:tcW w:w="2126" w:type="dxa"/>
            <w:tcBorders>
              <w:top w:val="nil"/>
              <w:left w:val="nil"/>
              <w:bottom w:val="single" w:sz="4" w:space="0" w:color="auto"/>
              <w:right w:val="single" w:sz="4" w:space="0" w:color="auto"/>
            </w:tcBorders>
            <w:shd w:val="clear" w:color="auto" w:fill="auto"/>
            <w:noWrap/>
            <w:vAlign w:val="center"/>
            <w:hideMark/>
          </w:tcPr>
          <w:p w14:paraId="1C1A6351"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0,73</w:t>
            </w:r>
          </w:p>
        </w:tc>
      </w:tr>
      <w:tr w:rsidR="006356F1" w:rsidRPr="00DE32B9" w14:paraId="0E4FFF96"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0B40CEAC"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celulose, papel e produtos de papel</w:t>
            </w:r>
          </w:p>
        </w:tc>
        <w:tc>
          <w:tcPr>
            <w:tcW w:w="2126" w:type="dxa"/>
            <w:tcBorders>
              <w:top w:val="nil"/>
              <w:left w:val="nil"/>
              <w:bottom w:val="single" w:sz="4" w:space="0" w:color="auto"/>
              <w:right w:val="single" w:sz="4" w:space="0" w:color="auto"/>
            </w:tcBorders>
            <w:shd w:val="clear" w:color="auto" w:fill="auto"/>
            <w:noWrap/>
            <w:vAlign w:val="center"/>
            <w:hideMark/>
          </w:tcPr>
          <w:p w14:paraId="50455162"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0,73</w:t>
            </w:r>
          </w:p>
        </w:tc>
      </w:tr>
      <w:tr w:rsidR="006356F1" w:rsidRPr="00DE32B9" w14:paraId="13C68C8C"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2E0CCEF2"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Preparação de couros e fab. de artefatos de couro, artigos para viagem e calçados</w:t>
            </w:r>
          </w:p>
        </w:tc>
        <w:tc>
          <w:tcPr>
            <w:tcW w:w="2126" w:type="dxa"/>
            <w:tcBorders>
              <w:top w:val="nil"/>
              <w:left w:val="nil"/>
              <w:bottom w:val="single" w:sz="4" w:space="0" w:color="auto"/>
              <w:right w:val="single" w:sz="4" w:space="0" w:color="auto"/>
            </w:tcBorders>
            <w:shd w:val="clear" w:color="auto" w:fill="auto"/>
            <w:noWrap/>
            <w:vAlign w:val="center"/>
            <w:hideMark/>
          </w:tcPr>
          <w:p w14:paraId="3C6BEF42"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0,73</w:t>
            </w:r>
          </w:p>
        </w:tc>
      </w:tr>
      <w:tr w:rsidR="006356F1" w:rsidRPr="00DE32B9" w14:paraId="46767C20"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430A9AF8"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produtos e preparados químicos diversos</w:t>
            </w:r>
          </w:p>
        </w:tc>
        <w:tc>
          <w:tcPr>
            <w:tcW w:w="2126" w:type="dxa"/>
            <w:tcBorders>
              <w:top w:val="nil"/>
              <w:left w:val="nil"/>
              <w:bottom w:val="single" w:sz="4" w:space="0" w:color="auto"/>
              <w:right w:val="single" w:sz="4" w:space="0" w:color="auto"/>
            </w:tcBorders>
            <w:shd w:val="clear" w:color="auto" w:fill="auto"/>
            <w:noWrap/>
            <w:vAlign w:val="center"/>
            <w:hideMark/>
          </w:tcPr>
          <w:p w14:paraId="08E7FA35"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0,71</w:t>
            </w:r>
          </w:p>
        </w:tc>
      </w:tr>
      <w:tr w:rsidR="006356F1" w:rsidRPr="00DE32B9" w14:paraId="50D733DA"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4A84AC4B"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Metalurgia</w:t>
            </w:r>
          </w:p>
        </w:tc>
        <w:tc>
          <w:tcPr>
            <w:tcW w:w="2126" w:type="dxa"/>
            <w:tcBorders>
              <w:top w:val="nil"/>
              <w:left w:val="nil"/>
              <w:bottom w:val="single" w:sz="4" w:space="0" w:color="auto"/>
              <w:right w:val="single" w:sz="4" w:space="0" w:color="auto"/>
            </w:tcBorders>
            <w:shd w:val="clear" w:color="auto" w:fill="auto"/>
            <w:noWrap/>
            <w:vAlign w:val="center"/>
            <w:hideMark/>
          </w:tcPr>
          <w:p w14:paraId="5ED29CD3"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0,69</w:t>
            </w:r>
          </w:p>
        </w:tc>
      </w:tr>
      <w:tr w:rsidR="006356F1" w:rsidRPr="00DE32B9" w14:paraId="1ED99BC8"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vAlign w:val="bottom"/>
            <w:hideMark/>
          </w:tcPr>
          <w:p w14:paraId="6AED0CEE"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produtos de metal, exceto máquinas e equipamentos</w:t>
            </w:r>
          </w:p>
        </w:tc>
        <w:tc>
          <w:tcPr>
            <w:tcW w:w="2126" w:type="dxa"/>
            <w:tcBorders>
              <w:top w:val="nil"/>
              <w:left w:val="nil"/>
              <w:bottom w:val="single" w:sz="4" w:space="0" w:color="auto"/>
              <w:right w:val="single" w:sz="4" w:space="0" w:color="auto"/>
            </w:tcBorders>
            <w:shd w:val="clear" w:color="auto" w:fill="auto"/>
            <w:noWrap/>
            <w:vAlign w:val="center"/>
            <w:hideMark/>
          </w:tcPr>
          <w:p w14:paraId="23160564"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0,69</w:t>
            </w:r>
          </w:p>
        </w:tc>
      </w:tr>
      <w:tr w:rsidR="006356F1" w:rsidRPr="00DE32B9" w14:paraId="5228789E"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1D3A01F4"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máquinas e equipamentos</w:t>
            </w:r>
          </w:p>
        </w:tc>
        <w:tc>
          <w:tcPr>
            <w:tcW w:w="2126" w:type="dxa"/>
            <w:tcBorders>
              <w:top w:val="nil"/>
              <w:left w:val="nil"/>
              <w:bottom w:val="single" w:sz="4" w:space="0" w:color="auto"/>
              <w:right w:val="single" w:sz="4" w:space="0" w:color="auto"/>
            </w:tcBorders>
            <w:shd w:val="clear" w:color="auto" w:fill="auto"/>
            <w:noWrap/>
            <w:vAlign w:val="center"/>
            <w:hideMark/>
          </w:tcPr>
          <w:p w14:paraId="5569AD41"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0,68</w:t>
            </w:r>
          </w:p>
        </w:tc>
      </w:tr>
      <w:tr w:rsidR="006356F1" w:rsidRPr="00DE32B9" w14:paraId="0FEC341F"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75A835B7"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lastRenderedPageBreak/>
              <w:t>Fabricação de bebidas</w:t>
            </w:r>
          </w:p>
        </w:tc>
        <w:tc>
          <w:tcPr>
            <w:tcW w:w="2126" w:type="dxa"/>
            <w:tcBorders>
              <w:top w:val="nil"/>
              <w:left w:val="nil"/>
              <w:bottom w:val="single" w:sz="4" w:space="0" w:color="auto"/>
              <w:right w:val="single" w:sz="4" w:space="0" w:color="auto"/>
            </w:tcBorders>
            <w:shd w:val="clear" w:color="auto" w:fill="auto"/>
            <w:noWrap/>
            <w:vAlign w:val="center"/>
            <w:hideMark/>
          </w:tcPr>
          <w:p w14:paraId="51219209"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0,68</w:t>
            </w:r>
          </w:p>
        </w:tc>
      </w:tr>
      <w:tr w:rsidR="006356F1" w:rsidRPr="00DE32B9" w14:paraId="57D6B4E4"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73983C5C"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outros equipamentos de transporte, exceto veículos automotores</w:t>
            </w:r>
          </w:p>
        </w:tc>
        <w:tc>
          <w:tcPr>
            <w:tcW w:w="2126" w:type="dxa"/>
            <w:tcBorders>
              <w:top w:val="nil"/>
              <w:left w:val="nil"/>
              <w:bottom w:val="single" w:sz="4" w:space="0" w:color="auto"/>
              <w:right w:val="single" w:sz="4" w:space="0" w:color="auto"/>
            </w:tcBorders>
            <w:shd w:val="clear" w:color="auto" w:fill="auto"/>
            <w:noWrap/>
            <w:vAlign w:val="center"/>
            <w:hideMark/>
          </w:tcPr>
          <w:p w14:paraId="325090FB"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0,68</w:t>
            </w:r>
          </w:p>
        </w:tc>
      </w:tr>
      <w:tr w:rsidR="006356F1" w:rsidRPr="00DE32B9" w14:paraId="0CA9FDA7"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62E66226"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móveis</w:t>
            </w:r>
          </w:p>
        </w:tc>
        <w:tc>
          <w:tcPr>
            <w:tcW w:w="2126" w:type="dxa"/>
            <w:tcBorders>
              <w:top w:val="nil"/>
              <w:left w:val="nil"/>
              <w:bottom w:val="single" w:sz="4" w:space="0" w:color="auto"/>
              <w:right w:val="single" w:sz="4" w:space="0" w:color="auto"/>
            </w:tcBorders>
            <w:shd w:val="clear" w:color="auto" w:fill="auto"/>
            <w:noWrap/>
            <w:vAlign w:val="center"/>
            <w:hideMark/>
          </w:tcPr>
          <w:p w14:paraId="3B50250B"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0,67</w:t>
            </w:r>
          </w:p>
        </w:tc>
      </w:tr>
      <w:tr w:rsidR="006356F1" w:rsidRPr="00DE32B9" w14:paraId="1601B275"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70749D4C"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álcool e outros bicombustíveis</w:t>
            </w:r>
          </w:p>
        </w:tc>
        <w:tc>
          <w:tcPr>
            <w:tcW w:w="2126" w:type="dxa"/>
            <w:tcBorders>
              <w:top w:val="nil"/>
              <w:left w:val="nil"/>
              <w:bottom w:val="single" w:sz="4" w:space="0" w:color="auto"/>
              <w:right w:val="single" w:sz="4" w:space="0" w:color="auto"/>
            </w:tcBorders>
            <w:shd w:val="clear" w:color="auto" w:fill="auto"/>
            <w:noWrap/>
            <w:vAlign w:val="center"/>
            <w:hideMark/>
          </w:tcPr>
          <w:p w14:paraId="44C35E33"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0,67</w:t>
            </w:r>
          </w:p>
        </w:tc>
      </w:tr>
      <w:tr w:rsidR="006356F1" w:rsidRPr="00DE32B9" w14:paraId="5A23C78E"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5A27E381"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máquinas, aparelhos e materiais elétricos</w:t>
            </w:r>
          </w:p>
        </w:tc>
        <w:tc>
          <w:tcPr>
            <w:tcW w:w="2126" w:type="dxa"/>
            <w:tcBorders>
              <w:top w:val="nil"/>
              <w:left w:val="nil"/>
              <w:bottom w:val="single" w:sz="4" w:space="0" w:color="auto"/>
              <w:right w:val="single" w:sz="4" w:space="0" w:color="auto"/>
            </w:tcBorders>
            <w:shd w:val="clear" w:color="auto" w:fill="auto"/>
            <w:noWrap/>
            <w:vAlign w:val="center"/>
            <w:hideMark/>
          </w:tcPr>
          <w:p w14:paraId="474FC420"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0,65</w:t>
            </w:r>
          </w:p>
        </w:tc>
      </w:tr>
      <w:tr w:rsidR="006356F1" w:rsidRPr="00DE32B9" w14:paraId="579B9276"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29AB7AD0"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 de produtos farmoquímicos e farmacêuticos</w:t>
            </w:r>
          </w:p>
        </w:tc>
        <w:tc>
          <w:tcPr>
            <w:tcW w:w="2126" w:type="dxa"/>
            <w:tcBorders>
              <w:top w:val="nil"/>
              <w:left w:val="nil"/>
              <w:bottom w:val="single" w:sz="4" w:space="0" w:color="auto"/>
              <w:right w:val="single" w:sz="4" w:space="0" w:color="auto"/>
            </w:tcBorders>
            <w:shd w:val="clear" w:color="auto" w:fill="auto"/>
            <w:noWrap/>
            <w:vAlign w:val="center"/>
            <w:hideMark/>
          </w:tcPr>
          <w:p w14:paraId="32934A71"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0,64</w:t>
            </w:r>
          </w:p>
        </w:tc>
      </w:tr>
      <w:tr w:rsidR="006356F1" w:rsidRPr="00DE32B9" w14:paraId="00778FF5"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064EA8AA"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 defensivo agrícola/desinfetante domissanitário</w:t>
            </w:r>
          </w:p>
        </w:tc>
        <w:tc>
          <w:tcPr>
            <w:tcW w:w="2126" w:type="dxa"/>
            <w:tcBorders>
              <w:top w:val="nil"/>
              <w:left w:val="nil"/>
              <w:bottom w:val="single" w:sz="4" w:space="0" w:color="auto"/>
              <w:right w:val="single" w:sz="4" w:space="0" w:color="auto"/>
            </w:tcBorders>
            <w:shd w:val="clear" w:color="auto" w:fill="auto"/>
            <w:noWrap/>
            <w:vAlign w:val="center"/>
            <w:hideMark/>
          </w:tcPr>
          <w:p w14:paraId="12A93589"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0,64</w:t>
            </w:r>
          </w:p>
        </w:tc>
      </w:tr>
      <w:tr w:rsidR="006356F1" w:rsidRPr="00DE32B9" w14:paraId="70E751A7"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05DA4C8D"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Fabricação de produtos de minerais não metálicos</w:t>
            </w:r>
          </w:p>
        </w:tc>
        <w:tc>
          <w:tcPr>
            <w:tcW w:w="2126" w:type="dxa"/>
            <w:tcBorders>
              <w:top w:val="nil"/>
              <w:left w:val="nil"/>
              <w:bottom w:val="single" w:sz="4" w:space="0" w:color="auto"/>
              <w:right w:val="single" w:sz="4" w:space="0" w:color="auto"/>
            </w:tcBorders>
            <w:shd w:val="clear" w:color="auto" w:fill="auto"/>
            <w:noWrap/>
            <w:vAlign w:val="center"/>
            <w:hideMark/>
          </w:tcPr>
          <w:p w14:paraId="22B76696"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0,64</w:t>
            </w:r>
          </w:p>
        </w:tc>
      </w:tr>
      <w:tr w:rsidR="006356F1" w:rsidRPr="00DE32B9" w14:paraId="3CDF514A" w14:textId="77777777" w:rsidTr="00217400">
        <w:trPr>
          <w:trHeight w:val="439"/>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75346751" w14:textId="77777777" w:rsidR="006356F1" w:rsidRPr="00DE32B9" w:rsidRDefault="006356F1" w:rsidP="00217400">
            <w:pPr>
              <w:rPr>
                <w:rFonts w:ascii="Arial" w:hAnsi="Arial" w:cs="Arial"/>
                <w:color w:val="000000"/>
                <w:sz w:val="18"/>
                <w:szCs w:val="22"/>
              </w:rPr>
            </w:pPr>
            <w:r w:rsidRPr="00DE32B9">
              <w:rPr>
                <w:rFonts w:ascii="Arial" w:hAnsi="Arial" w:cs="Arial"/>
                <w:color w:val="000000"/>
                <w:sz w:val="18"/>
                <w:szCs w:val="22"/>
              </w:rPr>
              <w:t>Fab. de peças e acess. para veículos automotores</w:t>
            </w:r>
          </w:p>
        </w:tc>
        <w:tc>
          <w:tcPr>
            <w:tcW w:w="2126" w:type="dxa"/>
            <w:tcBorders>
              <w:top w:val="nil"/>
              <w:left w:val="nil"/>
              <w:bottom w:val="single" w:sz="4" w:space="0" w:color="auto"/>
              <w:right w:val="single" w:sz="4" w:space="0" w:color="auto"/>
            </w:tcBorders>
            <w:shd w:val="clear" w:color="auto" w:fill="auto"/>
            <w:noWrap/>
            <w:vAlign w:val="center"/>
            <w:hideMark/>
          </w:tcPr>
          <w:p w14:paraId="766C8961" w14:textId="77777777" w:rsidR="006356F1" w:rsidRPr="00DE32B9" w:rsidRDefault="006356F1" w:rsidP="00217400">
            <w:pPr>
              <w:jc w:val="center"/>
              <w:rPr>
                <w:rFonts w:ascii="Arial" w:hAnsi="Arial" w:cs="Arial"/>
                <w:color w:val="000000"/>
                <w:sz w:val="18"/>
                <w:szCs w:val="22"/>
              </w:rPr>
            </w:pPr>
            <w:r w:rsidRPr="00DE32B9">
              <w:rPr>
                <w:rFonts w:ascii="Arial" w:hAnsi="Arial" w:cs="Arial"/>
                <w:color w:val="000000"/>
                <w:sz w:val="18"/>
                <w:szCs w:val="22"/>
              </w:rPr>
              <w:t>0,61</w:t>
            </w:r>
          </w:p>
        </w:tc>
      </w:tr>
      <w:tr w:rsidR="006356F1" w:rsidRPr="00DE32B9" w14:paraId="17D82851" w14:textId="77777777" w:rsidTr="00217400">
        <w:trPr>
          <w:trHeight w:val="690"/>
          <w:jc w:val="center"/>
        </w:trPr>
        <w:tc>
          <w:tcPr>
            <w:tcW w:w="8784" w:type="dxa"/>
            <w:gridSpan w:val="2"/>
            <w:tcBorders>
              <w:top w:val="single" w:sz="4" w:space="0" w:color="auto"/>
              <w:left w:val="nil"/>
              <w:bottom w:val="nil"/>
              <w:right w:val="nil"/>
            </w:tcBorders>
            <w:shd w:val="clear" w:color="auto" w:fill="auto"/>
            <w:hideMark/>
          </w:tcPr>
          <w:p w14:paraId="5E3E51E2" w14:textId="77777777" w:rsidR="006356F1" w:rsidRPr="00DE32B9" w:rsidRDefault="006356F1" w:rsidP="00217400">
            <w:pPr>
              <w:rPr>
                <w:rFonts w:ascii="Calibri" w:hAnsi="Calibri" w:cs="Calibri"/>
                <w:color w:val="000000"/>
                <w:sz w:val="18"/>
                <w:szCs w:val="16"/>
              </w:rPr>
            </w:pPr>
            <w:r w:rsidRPr="00DE32B9">
              <w:rPr>
                <w:rFonts w:ascii="Calibri" w:hAnsi="Calibri" w:cs="Calibri"/>
                <w:color w:val="000000"/>
                <w:sz w:val="18"/>
                <w:szCs w:val="16"/>
              </w:rPr>
              <w:t>Fonte: IBGE/IMB</w:t>
            </w:r>
            <w:r w:rsidRPr="00DE32B9">
              <w:rPr>
                <w:rFonts w:ascii="Calibri" w:hAnsi="Calibri" w:cs="Calibri"/>
                <w:color w:val="000000"/>
                <w:sz w:val="18"/>
                <w:szCs w:val="16"/>
              </w:rPr>
              <w:br/>
              <w:t>Nota.: No decorrer do trabalho perceber-se-á que há outras atividades econômicas que merecem maior atenção dos incentivos do que algumas já postas, às vezes na própria cadeia produtiva. Essas outras atividades, na sua maioria, agregam mais valor à economia estadual.</w:t>
            </w:r>
          </w:p>
        </w:tc>
      </w:tr>
    </w:tbl>
    <w:p w14:paraId="5A8F5D67" w14:textId="77777777" w:rsidR="006356F1" w:rsidRDefault="006356F1" w:rsidP="006356F1">
      <w:pPr>
        <w:spacing w:line="360" w:lineRule="auto"/>
        <w:ind w:firstLine="851"/>
        <w:jc w:val="both"/>
        <w:rPr>
          <w:rFonts w:ascii="Arial" w:hAnsi="Arial" w:cs="Arial"/>
          <w:sz w:val="24"/>
          <w:szCs w:val="24"/>
        </w:rPr>
      </w:pPr>
    </w:p>
    <w:p w14:paraId="48FF182D"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Todavia, apesar de evidenciado que algumas grandes beneficiárias não são empresas de grande agregação de valor, </w:t>
      </w:r>
      <w:r w:rsidRPr="00C71C77">
        <w:rPr>
          <w:rFonts w:ascii="Arial" w:hAnsi="Arial" w:cs="Arial"/>
          <w:b/>
          <w:sz w:val="24"/>
          <w:szCs w:val="24"/>
        </w:rPr>
        <w:t>tal característica não deve ser analisada isoladamente, podendo a deficiência quanto a este aspecto ser compensada, na avaliação da concessão de benefícios fiscais, por altos índices de encadeamento e de geração de empregos</w:t>
      </w:r>
      <w:r>
        <w:rPr>
          <w:rFonts w:ascii="Arial" w:hAnsi="Arial" w:cs="Arial"/>
          <w:sz w:val="24"/>
          <w:szCs w:val="24"/>
        </w:rPr>
        <w:t>.</w:t>
      </w:r>
    </w:p>
    <w:p w14:paraId="7D4F556E"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Por outro lado, os gráficos abaixo, contendo dados sobre a participação das atividades econômicas no valor adicionado bruto e da taxa de crescimento do valor da transformação industrial de Goiás, revelam a tendência decrescente da participação do setor industrial na economia:</w:t>
      </w:r>
    </w:p>
    <w:p w14:paraId="678D4A0E" w14:textId="77777777" w:rsidR="006356F1" w:rsidRPr="00E20972" w:rsidRDefault="006356F1" w:rsidP="006356F1">
      <w:pPr>
        <w:pStyle w:val="Legenda"/>
        <w:spacing w:after="0"/>
        <w:rPr>
          <w:rStyle w:val="Textodocorpo2"/>
          <w:color w:val="auto"/>
        </w:rPr>
      </w:pPr>
      <w:r w:rsidRPr="00E20972">
        <w:rPr>
          <w:sz w:val="22"/>
          <w:szCs w:val="22"/>
        </w:rPr>
        <w:t>Goiás: Participação das atividades econômicas no valor adicionado bruto (“no PIB”)</w:t>
      </w:r>
    </w:p>
    <w:p w14:paraId="325EE6E9" w14:textId="77777777" w:rsidR="006356F1" w:rsidRDefault="006356F1" w:rsidP="006356F1">
      <w:pPr>
        <w:jc w:val="both"/>
        <w:rPr>
          <w:rFonts w:ascii="Calibri" w:hAnsi="Calibri"/>
          <w:sz w:val="20"/>
        </w:rPr>
      </w:pPr>
      <w:r w:rsidRPr="000211BA">
        <w:rPr>
          <w:rFonts w:ascii="Calibri" w:hAnsi="Calibri"/>
          <w:noProof/>
          <w:sz w:val="20"/>
        </w:rPr>
        <w:lastRenderedPageBreak/>
        <w:drawing>
          <wp:inline distT="0" distB="0" distL="0" distR="0" wp14:anchorId="08328398" wp14:editId="14EF0A48">
            <wp:extent cx="5716403" cy="2882265"/>
            <wp:effectExtent l="0" t="0" r="17780" b="13335"/>
            <wp:docPr id="50" name="Gráfico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Pr="000211BA">
        <w:rPr>
          <w:rFonts w:ascii="Calibri" w:hAnsi="Calibri"/>
          <w:sz w:val="20"/>
        </w:rPr>
        <w:t xml:space="preserve">Fonte: </w:t>
      </w:r>
      <w:r w:rsidRPr="00A56DE8">
        <w:rPr>
          <w:rFonts w:ascii="Calibri" w:hAnsi="Calibri"/>
          <w:sz w:val="18"/>
        </w:rPr>
        <w:t>IBGE/IMB</w:t>
      </w:r>
      <w:r>
        <w:rPr>
          <w:rFonts w:ascii="Calibri" w:hAnsi="Calibri"/>
          <w:sz w:val="18"/>
        </w:rPr>
        <w:t xml:space="preserve"> </w:t>
      </w:r>
    </w:p>
    <w:p w14:paraId="7DCD3ABA" w14:textId="77777777" w:rsidR="006356F1" w:rsidRPr="000211BA" w:rsidRDefault="006356F1" w:rsidP="006356F1">
      <w:pPr>
        <w:jc w:val="both"/>
        <w:rPr>
          <w:rFonts w:ascii="Calibri" w:hAnsi="Calibri"/>
          <w:sz w:val="20"/>
        </w:rPr>
      </w:pPr>
    </w:p>
    <w:p w14:paraId="4552F9B7" w14:textId="77777777" w:rsidR="006356F1" w:rsidRPr="00C45DBB" w:rsidRDefault="006356F1" w:rsidP="006356F1">
      <w:pPr>
        <w:pStyle w:val="Legenda"/>
        <w:spacing w:after="0"/>
        <w:jc w:val="both"/>
        <w:rPr>
          <w:rStyle w:val="Textodocorpo2"/>
          <w:color w:val="auto"/>
        </w:rPr>
      </w:pPr>
      <w:bookmarkStart w:id="394" w:name="_Ref16160543"/>
      <w:r w:rsidRPr="00C45DBB">
        <w:rPr>
          <w:rFonts w:eastAsia="Garamond" w:cs="Garamond"/>
          <w:sz w:val="22"/>
          <w:szCs w:val="22"/>
          <w:lang w:bidi="pt-BR"/>
        </w:rPr>
        <w:t>Taxa de Crescimento do Valor da transformação industrial de Goiás</w:t>
      </w:r>
      <w:bookmarkEnd w:id="394"/>
    </w:p>
    <w:p w14:paraId="1B42BCF8" w14:textId="77777777" w:rsidR="006356F1" w:rsidRPr="000211BA" w:rsidRDefault="006356F1" w:rsidP="006356F1">
      <w:pPr>
        <w:jc w:val="both"/>
        <w:rPr>
          <w:rFonts w:ascii="Calibri" w:hAnsi="Calibri"/>
        </w:rPr>
      </w:pPr>
      <w:r w:rsidRPr="000211BA">
        <w:rPr>
          <w:rFonts w:ascii="Calibri" w:hAnsi="Calibri"/>
          <w:sz w:val="20"/>
        </w:rPr>
        <w:object w:dxaOrig="12105" w:dyaOrig="6396" w14:anchorId="3D5C1A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2.75pt;height:232.5pt" o:ole="" o:bordertopcolor="this" o:borderleftcolor="this" o:borderbottomcolor="this" o:borderrightcolor="this">
            <v:imagedata r:id="rId88" o:title=""/>
            <w10:bordertop type="single" width="8"/>
            <w10:borderleft type="single" width="8"/>
            <w10:borderbottom type="single" width="8"/>
            <w10:borderright type="single" width="8"/>
          </v:shape>
          <o:OLEObject Type="Embed" ProgID="Excel.Sheet.12" ShapeID="_x0000_i1025" DrawAspect="Content" ObjectID="_1645294272" r:id="rId89"/>
        </w:object>
      </w:r>
      <w:r w:rsidRPr="00A56DE8">
        <w:rPr>
          <w:rFonts w:ascii="Calibri" w:hAnsi="Calibri"/>
          <w:sz w:val="18"/>
        </w:rPr>
        <w:t>Fonte: IBGE/IMB, Pesquisa Industrial Anual.</w:t>
      </w:r>
    </w:p>
    <w:p w14:paraId="6A58479D" w14:textId="77777777" w:rsidR="006356F1" w:rsidRDefault="006356F1" w:rsidP="006356F1">
      <w:pPr>
        <w:spacing w:line="360" w:lineRule="auto"/>
        <w:ind w:firstLine="851"/>
        <w:jc w:val="both"/>
        <w:rPr>
          <w:rFonts w:ascii="Arial" w:hAnsi="Arial" w:cs="Arial"/>
          <w:sz w:val="24"/>
          <w:szCs w:val="24"/>
        </w:rPr>
      </w:pPr>
    </w:p>
    <w:p w14:paraId="57C043DA"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Não desconsideramos os efeitos da grave crise econômica que atingiu a economia brasileira, sendo o setor industrial um dos mais afetados. Todavia, as informações apontam para a </w:t>
      </w:r>
      <w:r w:rsidRPr="00A56DE8">
        <w:rPr>
          <w:rFonts w:ascii="Arial" w:hAnsi="Arial" w:cs="Arial"/>
          <w:b/>
          <w:sz w:val="24"/>
          <w:szCs w:val="24"/>
        </w:rPr>
        <w:t>necessidade de revisão das políticas públicas de incentivos fiscais</w:t>
      </w:r>
      <w:r>
        <w:rPr>
          <w:rFonts w:ascii="Arial" w:hAnsi="Arial" w:cs="Arial"/>
          <w:sz w:val="24"/>
          <w:szCs w:val="24"/>
        </w:rPr>
        <w:t>, para que produzam os efeitos esperados.</w:t>
      </w:r>
    </w:p>
    <w:p w14:paraId="05F7D8AB" w14:textId="77777777" w:rsidR="006356F1" w:rsidRPr="00A33549" w:rsidRDefault="006356F1" w:rsidP="006356F1">
      <w:pPr>
        <w:spacing w:line="360" w:lineRule="auto"/>
        <w:ind w:firstLine="851"/>
        <w:jc w:val="both"/>
        <w:rPr>
          <w:rFonts w:ascii="Arial" w:hAnsi="Arial" w:cs="Arial"/>
          <w:sz w:val="24"/>
          <w:szCs w:val="24"/>
        </w:rPr>
      </w:pPr>
    </w:p>
    <w:p w14:paraId="65C56EDE" w14:textId="77777777" w:rsidR="00AE7781" w:rsidRDefault="00AE7781" w:rsidP="006356F1">
      <w:pPr>
        <w:spacing w:line="360" w:lineRule="auto"/>
        <w:ind w:firstLine="851"/>
        <w:jc w:val="both"/>
        <w:rPr>
          <w:rFonts w:ascii="Arial" w:hAnsi="Arial" w:cs="Arial"/>
          <w:b/>
          <w:sz w:val="24"/>
          <w:szCs w:val="24"/>
        </w:rPr>
      </w:pPr>
    </w:p>
    <w:p w14:paraId="103FBCC4" w14:textId="35C1C593" w:rsidR="006356F1" w:rsidRDefault="006356F1" w:rsidP="006356F1">
      <w:pPr>
        <w:spacing w:line="360" w:lineRule="auto"/>
        <w:ind w:firstLine="851"/>
        <w:jc w:val="both"/>
        <w:rPr>
          <w:rFonts w:ascii="Arial" w:hAnsi="Arial" w:cs="Arial"/>
          <w:b/>
          <w:sz w:val="24"/>
          <w:szCs w:val="24"/>
        </w:rPr>
      </w:pPr>
      <w:r>
        <w:rPr>
          <w:rFonts w:ascii="Arial" w:hAnsi="Arial" w:cs="Arial"/>
          <w:b/>
          <w:sz w:val="24"/>
          <w:szCs w:val="24"/>
        </w:rPr>
        <w:lastRenderedPageBreak/>
        <w:t>1</w:t>
      </w:r>
      <w:r w:rsidR="00DD1451">
        <w:rPr>
          <w:rFonts w:ascii="Arial" w:hAnsi="Arial" w:cs="Arial"/>
          <w:b/>
          <w:sz w:val="24"/>
          <w:szCs w:val="24"/>
        </w:rPr>
        <w:t>1</w:t>
      </w:r>
      <w:r w:rsidR="00B34BAE">
        <w:rPr>
          <w:rFonts w:ascii="Arial" w:hAnsi="Arial" w:cs="Arial"/>
          <w:b/>
          <w:sz w:val="24"/>
          <w:szCs w:val="24"/>
        </w:rPr>
        <w:t>.4 – GERAÇÃO DE EMPREGOS</w:t>
      </w:r>
    </w:p>
    <w:p w14:paraId="783957DB" w14:textId="77777777" w:rsidR="006356F1" w:rsidRDefault="006356F1" w:rsidP="006356F1">
      <w:pPr>
        <w:spacing w:line="360" w:lineRule="auto"/>
        <w:ind w:firstLine="851"/>
        <w:jc w:val="both"/>
        <w:rPr>
          <w:rFonts w:ascii="Arial" w:hAnsi="Arial" w:cs="Arial"/>
          <w:sz w:val="24"/>
          <w:szCs w:val="24"/>
        </w:rPr>
      </w:pPr>
    </w:p>
    <w:p w14:paraId="4AEC76A7"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A geração de empregos é um dos objetivos dos programas FOMENTAR e PRODUZIR (art. 2º do Decreto n. 3.822, de 1992, e art. 2º da Lei n. 13.591, de 2000) e, evidentemente, é um dos argumentos mais fortes para justificar o gasto indireto realizado pela sociedade, por meio do Estado, na concessão de incentivos fiscais para atração de empresas.</w:t>
      </w:r>
    </w:p>
    <w:p w14:paraId="6C90B583"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Assim, um dos pontos mais relevantes a ser abordado na avaliação das políticas públicas de incentivos fiscais é a efetiva geração/manutenção de empregos decorrentes do programa. A esse respeito é possível, inclusive, calcular o “custo do emprego”, isto é, verificar o valor concedido em benefícios por emprego gerado/mantido.</w:t>
      </w:r>
    </w:p>
    <w:p w14:paraId="0690626C"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O IMB, no estudo já mencionado, aborda a geração de empregos nos seguintes termos:</w:t>
      </w:r>
    </w:p>
    <w:p w14:paraId="6C1C7836" w14:textId="77777777" w:rsidR="006356F1" w:rsidRDefault="006356F1" w:rsidP="006356F1">
      <w:pPr>
        <w:spacing w:line="360" w:lineRule="auto"/>
        <w:ind w:firstLine="851"/>
        <w:jc w:val="both"/>
        <w:rPr>
          <w:rFonts w:ascii="Arial" w:hAnsi="Arial" w:cs="Arial"/>
          <w:sz w:val="24"/>
          <w:szCs w:val="24"/>
        </w:rPr>
      </w:pPr>
    </w:p>
    <w:p w14:paraId="1B3CAB8D" w14:textId="77777777" w:rsidR="006356F1" w:rsidRPr="00A742BE" w:rsidRDefault="006356F1" w:rsidP="006356F1">
      <w:pPr>
        <w:ind w:left="2268"/>
        <w:jc w:val="both"/>
        <w:rPr>
          <w:rFonts w:ascii="Arial" w:hAnsi="Arial" w:cs="Arial"/>
          <w:sz w:val="22"/>
          <w:szCs w:val="24"/>
        </w:rPr>
      </w:pPr>
      <w:r w:rsidRPr="00A742BE">
        <w:rPr>
          <w:rFonts w:ascii="Arial" w:hAnsi="Arial" w:cs="Arial"/>
          <w:sz w:val="22"/>
          <w:szCs w:val="24"/>
        </w:rPr>
        <w:t>Em relação aos indicadores denominado de multiplicadores, eles podem ser classificados como abertos e fechados. Conforme IMB (2017), o modelo aberto tem como característica chave identificar somente as relações setoriais diretas e indiretas do sistema econômico. Por outro lado, o modelo fechado considera a variável referente ao consumo das famílias como endógena ao sistema econômico e, assim, permite identificar os efeitos induzidos pelo incremento da renda via uma variação na demanda final dos setores.</w:t>
      </w:r>
    </w:p>
    <w:p w14:paraId="018E047D" w14:textId="77777777" w:rsidR="006356F1" w:rsidRPr="00A742BE" w:rsidRDefault="006356F1" w:rsidP="006356F1">
      <w:pPr>
        <w:ind w:left="2268"/>
        <w:jc w:val="both"/>
        <w:rPr>
          <w:rFonts w:ascii="Arial" w:hAnsi="Arial" w:cs="Arial"/>
          <w:sz w:val="22"/>
          <w:szCs w:val="24"/>
        </w:rPr>
      </w:pPr>
      <w:r w:rsidRPr="00A742BE">
        <w:rPr>
          <w:rFonts w:ascii="Arial" w:hAnsi="Arial" w:cs="Arial"/>
          <w:sz w:val="22"/>
          <w:szCs w:val="24"/>
        </w:rPr>
        <w:t xml:space="preserve">Com uma desagregação para 34 setores a matriz de insumo e produto de Goiás, os resultados para o multiplicador aberto para Goiás, quando há uma variação na demanda final, mostrou </w:t>
      </w:r>
      <w:r w:rsidRPr="00A742BE">
        <w:rPr>
          <w:rFonts w:ascii="Arial" w:hAnsi="Arial" w:cs="Arial"/>
          <w:b/>
          <w:sz w:val="22"/>
          <w:szCs w:val="24"/>
        </w:rPr>
        <w:t>que a geração de emprego direto e indireto na indústria de transformação foi mais significativa nos setores têxtil, vestuário e couros e madeira</w:t>
      </w:r>
      <w:r w:rsidRPr="00A742BE">
        <w:rPr>
          <w:rFonts w:ascii="Arial" w:hAnsi="Arial" w:cs="Arial"/>
          <w:sz w:val="22"/>
          <w:szCs w:val="24"/>
        </w:rPr>
        <w:t>.</w:t>
      </w:r>
    </w:p>
    <w:p w14:paraId="404ECEBB" w14:textId="77777777" w:rsidR="006356F1" w:rsidRPr="00A742BE" w:rsidRDefault="006356F1" w:rsidP="006356F1">
      <w:pPr>
        <w:ind w:left="2268"/>
        <w:jc w:val="both"/>
        <w:rPr>
          <w:rFonts w:ascii="Arial" w:hAnsi="Arial" w:cs="Arial"/>
          <w:sz w:val="22"/>
          <w:szCs w:val="24"/>
        </w:rPr>
      </w:pPr>
      <w:r w:rsidRPr="00A742BE">
        <w:rPr>
          <w:rFonts w:ascii="Arial" w:hAnsi="Arial" w:cs="Arial"/>
          <w:b/>
          <w:sz w:val="22"/>
          <w:szCs w:val="24"/>
        </w:rPr>
        <w:t>Por outro lado, o setor de alimentos e bebidas foi o que mais gerou empregos indiretos</w:t>
      </w:r>
      <w:r w:rsidRPr="00A742BE">
        <w:rPr>
          <w:rFonts w:ascii="Arial" w:hAnsi="Arial" w:cs="Arial"/>
          <w:sz w:val="22"/>
          <w:szCs w:val="24"/>
        </w:rPr>
        <w:t>, tendo em vista que o setor impulsiona a produção dos demais, principalmente pela alta relação que tem com a atividade agropecuária, como demandante de insumos, por exemplo, fabricação de óleos vegetais, indústria de laticínios, abate de animais e beneficiamento de produtos vegetais, todos esses setores tem a agropecuária como grande fornecedora de matérias primas (IMB, 2017).</w:t>
      </w:r>
    </w:p>
    <w:p w14:paraId="2A5DB2EE" w14:textId="77777777" w:rsidR="006356F1" w:rsidRPr="00A742BE" w:rsidRDefault="006356F1" w:rsidP="006356F1">
      <w:pPr>
        <w:ind w:left="2268"/>
        <w:jc w:val="both"/>
        <w:rPr>
          <w:rFonts w:ascii="Arial" w:hAnsi="Arial" w:cs="Arial"/>
          <w:sz w:val="22"/>
          <w:szCs w:val="24"/>
        </w:rPr>
      </w:pPr>
      <w:r w:rsidRPr="00A742BE">
        <w:rPr>
          <w:rFonts w:ascii="Arial" w:hAnsi="Arial" w:cs="Arial"/>
          <w:sz w:val="22"/>
          <w:szCs w:val="24"/>
        </w:rPr>
        <w:t xml:space="preserve">Também é possível inferir por meio do estudo que </w:t>
      </w:r>
      <w:r w:rsidRPr="00A742BE">
        <w:rPr>
          <w:rFonts w:ascii="Arial" w:hAnsi="Arial" w:cs="Arial"/>
          <w:b/>
          <w:sz w:val="22"/>
          <w:szCs w:val="24"/>
        </w:rPr>
        <w:t>o setor de máquinas para escritório e equipamentos de informática foi o que mais gerou emprego direto e indireto entre as 34 atividades</w:t>
      </w:r>
      <w:r w:rsidRPr="00A742BE">
        <w:rPr>
          <w:rFonts w:ascii="Arial" w:hAnsi="Arial" w:cs="Arial"/>
          <w:sz w:val="22"/>
          <w:szCs w:val="24"/>
        </w:rPr>
        <w:t>, seguido pelo setor de outros serviços. Uma possível interpretação, conforme IMB (2017), é que todos eles são intensivos em trabalho, ou seja, para sua produção é necessário um maior volume de mão de obra.</w:t>
      </w:r>
    </w:p>
    <w:p w14:paraId="67A60EFA" w14:textId="77777777" w:rsidR="006356F1" w:rsidRPr="00A742BE" w:rsidRDefault="006356F1" w:rsidP="006356F1">
      <w:pPr>
        <w:ind w:left="2268"/>
        <w:jc w:val="both"/>
        <w:rPr>
          <w:rFonts w:ascii="Arial" w:hAnsi="Arial" w:cs="Arial"/>
          <w:sz w:val="22"/>
          <w:szCs w:val="24"/>
        </w:rPr>
      </w:pPr>
      <w:r w:rsidRPr="00A742BE">
        <w:rPr>
          <w:rFonts w:ascii="Arial" w:hAnsi="Arial" w:cs="Arial"/>
          <w:sz w:val="22"/>
          <w:szCs w:val="24"/>
        </w:rPr>
        <w:t>[...]</w:t>
      </w:r>
    </w:p>
    <w:p w14:paraId="689987B3" w14:textId="77777777" w:rsidR="006356F1" w:rsidRPr="00A742BE" w:rsidRDefault="006356F1" w:rsidP="006356F1">
      <w:pPr>
        <w:ind w:left="2268"/>
        <w:jc w:val="both"/>
        <w:rPr>
          <w:rFonts w:ascii="Arial" w:hAnsi="Arial" w:cs="Arial"/>
          <w:sz w:val="22"/>
          <w:szCs w:val="24"/>
        </w:rPr>
      </w:pPr>
      <w:r w:rsidRPr="00A742BE">
        <w:rPr>
          <w:rFonts w:ascii="Arial" w:hAnsi="Arial" w:cs="Arial"/>
          <w:sz w:val="22"/>
          <w:szCs w:val="24"/>
        </w:rPr>
        <w:t xml:space="preserve">Em relação ao multiplicador do modelo fechado, uma característica importante é permitir a identificação das relações setoriais diretas e indiretas, além dos efeitos induzidos pelo aumento no nível de renda, </w:t>
      </w:r>
      <w:r w:rsidRPr="00A742BE">
        <w:rPr>
          <w:rFonts w:ascii="Arial" w:hAnsi="Arial" w:cs="Arial"/>
          <w:sz w:val="22"/>
          <w:szCs w:val="24"/>
        </w:rPr>
        <w:lastRenderedPageBreak/>
        <w:t xml:space="preserve">quando ocorrem variações na demanda final. Assim, </w:t>
      </w:r>
      <w:r w:rsidRPr="00A742BE">
        <w:rPr>
          <w:rFonts w:ascii="Arial" w:hAnsi="Arial" w:cs="Arial"/>
          <w:b/>
          <w:sz w:val="22"/>
          <w:szCs w:val="24"/>
        </w:rPr>
        <w:t>os setores industriais que mais se destacaram na geração de empregos induzidos pelo efeito renda foram: eletrônico e comunicação, álcool, máquinas para escritórios e equipamentos de informática e agropecuária</w:t>
      </w:r>
      <w:r w:rsidRPr="00A742BE">
        <w:rPr>
          <w:rFonts w:ascii="Arial" w:hAnsi="Arial" w:cs="Arial"/>
          <w:sz w:val="22"/>
          <w:szCs w:val="24"/>
        </w:rPr>
        <w:t>.</w:t>
      </w:r>
      <w:r>
        <w:rPr>
          <w:rStyle w:val="Refdenotaderodap"/>
          <w:rFonts w:ascii="Arial" w:hAnsi="Arial" w:cs="Arial"/>
          <w:sz w:val="22"/>
          <w:szCs w:val="24"/>
        </w:rPr>
        <w:footnoteReference w:id="121"/>
      </w:r>
    </w:p>
    <w:p w14:paraId="64F7DA08" w14:textId="77777777" w:rsidR="006356F1" w:rsidRDefault="006356F1" w:rsidP="006356F1">
      <w:pPr>
        <w:spacing w:line="360" w:lineRule="auto"/>
        <w:ind w:firstLine="851"/>
        <w:jc w:val="both"/>
        <w:rPr>
          <w:rFonts w:ascii="Arial" w:hAnsi="Arial" w:cs="Arial"/>
          <w:sz w:val="24"/>
          <w:szCs w:val="24"/>
        </w:rPr>
      </w:pPr>
    </w:p>
    <w:p w14:paraId="1374565A"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Para explicitar a relação entre os programas FOMENTAR e PRODUZIR e o fator multiplicador de empregos o IMB elaborou a seguinte tabela, em que se relaciona, na ordem decrescente, os maiores beneficiários e os maiores geradores de empregos:</w:t>
      </w:r>
    </w:p>
    <w:p w14:paraId="71216E51" w14:textId="77777777" w:rsidR="006356F1" w:rsidRDefault="006356F1" w:rsidP="006356F1">
      <w:pPr>
        <w:spacing w:line="360" w:lineRule="auto"/>
        <w:ind w:firstLine="851"/>
        <w:jc w:val="both"/>
        <w:rPr>
          <w:rFonts w:ascii="Arial" w:hAnsi="Arial" w:cs="Arial"/>
          <w:sz w:val="24"/>
          <w:szCs w:val="24"/>
        </w:rPr>
      </w:pPr>
    </w:p>
    <w:p w14:paraId="2A921F66" w14:textId="77777777" w:rsidR="006356F1" w:rsidRDefault="006356F1" w:rsidP="006356F1">
      <w:pPr>
        <w:spacing w:line="360" w:lineRule="auto"/>
        <w:jc w:val="both"/>
        <w:rPr>
          <w:rFonts w:ascii="Arial" w:hAnsi="Arial" w:cs="Arial"/>
          <w:sz w:val="24"/>
          <w:szCs w:val="24"/>
        </w:rPr>
      </w:pPr>
      <w:r>
        <w:rPr>
          <w:rFonts w:ascii="Arial" w:hAnsi="Arial" w:cs="Arial"/>
          <w:noProof/>
          <w:sz w:val="24"/>
          <w:szCs w:val="24"/>
        </w:rPr>
        <w:drawing>
          <wp:inline distT="0" distB="0" distL="0" distR="0" wp14:anchorId="316A1824" wp14:editId="4E2CE875">
            <wp:extent cx="5935980" cy="3602990"/>
            <wp:effectExtent l="0" t="0" r="762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omentar e Produzir - Emprego.PNG"/>
                    <pic:cNvPicPr/>
                  </pic:nvPicPr>
                  <pic:blipFill>
                    <a:blip r:embed="rId90">
                      <a:extLst>
                        <a:ext uri="{28A0092B-C50C-407E-A947-70E740481C1C}">
                          <a14:useLocalDpi xmlns:a14="http://schemas.microsoft.com/office/drawing/2010/main" val="0"/>
                        </a:ext>
                      </a:extLst>
                    </a:blip>
                    <a:stretch>
                      <a:fillRect/>
                    </a:stretch>
                  </pic:blipFill>
                  <pic:spPr>
                    <a:xfrm>
                      <a:off x="0" y="0"/>
                      <a:ext cx="5935980" cy="3602990"/>
                    </a:xfrm>
                    <a:prstGeom prst="rect">
                      <a:avLst/>
                    </a:prstGeom>
                  </pic:spPr>
                </pic:pic>
              </a:graphicData>
            </a:graphic>
          </wp:inline>
        </w:drawing>
      </w:r>
    </w:p>
    <w:p w14:paraId="42CB5D34" w14:textId="77777777" w:rsidR="006356F1" w:rsidRDefault="006356F1" w:rsidP="006356F1">
      <w:pPr>
        <w:spacing w:line="360" w:lineRule="auto"/>
        <w:ind w:firstLine="851"/>
        <w:jc w:val="both"/>
        <w:rPr>
          <w:rFonts w:ascii="Arial" w:hAnsi="Arial" w:cs="Arial"/>
          <w:sz w:val="24"/>
          <w:szCs w:val="24"/>
        </w:rPr>
      </w:pPr>
    </w:p>
    <w:p w14:paraId="0EC362DE"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Do quadro destacamos que a indústria de veículos e peças, embora figure como um dos setores mais beneficiados pelo FOMENTAR/PRODUZIR, não é um dos 10 maiores geradores de emprego, nem diretamente nem indiretamente.</w:t>
      </w:r>
    </w:p>
    <w:p w14:paraId="78B4A35B"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Por fim, o IMB conclui o item da seguinte forma:</w:t>
      </w:r>
    </w:p>
    <w:p w14:paraId="44EBC98D" w14:textId="77777777" w:rsidR="006356F1" w:rsidRDefault="006356F1" w:rsidP="006356F1">
      <w:pPr>
        <w:spacing w:line="360" w:lineRule="auto"/>
        <w:ind w:firstLine="851"/>
        <w:jc w:val="both"/>
        <w:rPr>
          <w:rFonts w:ascii="Arial" w:hAnsi="Arial" w:cs="Arial"/>
          <w:sz w:val="24"/>
          <w:szCs w:val="24"/>
        </w:rPr>
      </w:pPr>
    </w:p>
    <w:p w14:paraId="24A00ADA" w14:textId="77777777" w:rsidR="006356F1" w:rsidRPr="00A742BE" w:rsidRDefault="006356F1" w:rsidP="006356F1">
      <w:pPr>
        <w:ind w:left="2268"/>
        <w:jc w:val="both"/>
        <w:rPr>
          <w:rFonts w:ascii="Arial" w:hAnsi="Arial" w:cs="Arial"/>
          <w:sz w:val="22"/>
          <w:szCs w:val="24"/>
        </w:rPr>
      </w:pPr>
      <w:r w:rsidRPr="00A742BE">
        <w:rPr>
          <w:rFonts w:ascii="Arial" w:hAnsi="Arial" w:cs="Arial"/>
          <w:b/>
          <w:sz w:val="22"/>
          <w:szCs w:val="24"/>
        </w:rPr>
        <w:t xml:space="preserve">Na comparação dos setores que receberam benefícios fiscais em Goiás e o efeito multiplicador no emprego, percebe-se que os setores que tiveram um volume considerado de benefícios, na </w:t>
      </w:r>
      <w:r w:rsidRPr="00A742BE">
        <w:rPr>
          <w:rFonts w:ascii="Arial" w:hAnsi="Arial" w:cs="Arial"/>
          <w:b/>
          <w:sz w:val="22"/>
          <w:szCs w:val="24"/>
        </w:rPr>
        <w:lastRenderedPageBreak/>
        <w:t>grande maioria não apresentaram efeito multiplicador na geração de empregos</w:t>
      </w:r>
      <w:r w:rsidRPr="00A742BE">
        <w:rPr>
          <w:rFonts w:ascii="Arial" w:hAnsi="Arial" w:cs="Arial"/>
          <w:sz w:val="22"/>
          <w:szCs w:val="24"/>
        </w:rPr>
        <w:t>, principalmente indiretos.</w:t>
      </w:r>
      <w:r>
        <w:rPr>
          <w:rStyle w:val="Refdenotaderodap"/>
          <w:rFonts w:ascii="Arial" w:hAnsi="Arial" w:cs="Arial"/>
          <w:sz w:val="22"/>
          <w:szCs w:val="24"/>
        </w:rPr>
        <w:footnoteReference w:id="122"/>
      </w:r>
    </w:p>
    <w:p w14:paraId="2ACD24DD" w14:textId="77777777" w:rsidR="006356F1" w:rsidRDefault="006356F1" w:rsidP="006356F1">
      <w:pPr>
        <w:spacing w:line="360" w:lineRule="auto"/>
        <w:ind w:firstLine="851"/>
        <w:jc w:val="both"/>
        <w:rPr>
          <w:rFonts w:ascii="Arial" w:hAnsi="Arial" w:cs="Arial"/>
          <w:sz w:val="24"/>
          <w:szCs w:val="24"/>
        </w:rPr>
      </w:pPr>
    </w:p>
    <w:p w14:paraId="1B0BF9B2"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Portanto, em sua análise, o IMB comprova que </w:t>
      </w:r>
      <w:r>
        <w:rPr>
          <w:rFonts w:ascii="Arial" w:hAnsi="Arial" w:cs="Arial"/>
          <w:b/>
          <w:sz w:val="24"/>
          <w:szCs w:val="24"/>
        </w:rPr>
        <w:t>os maiores beneficiários com os programas FOMENTAR e PRODUZIR não são os maiores geradores de emprego</w:t>
      </w:r>
      <w:r>
        <w:rPr>
          <w:rFonts w:ascii="Arial" w:hAnsi="Arial" w:cs="Arial"/>
          <w:sz w:val="24"/>
          <w:szCs w:val="24"/>
        </w:rPr>
        <w:t xml:space="preserve">. Ante essa constatação, evidencia-se a necessidade de </w:t>
      </w:r>
      <w:r>
        <w:rPr>
          <w:rFonts w:ascii="Arial" w:hAnsi="Arial" w:cs="Arial"/>
          <w:b/>
          <w:sz w:val="24"/>
          <w:szCs w:val="24"/>
        </w:rPr>
        <w:t>revisão da sistemática dos programas</w:t>
      </w:r>
      <w:r>
        <w:rPr>
          <w:rFonts w:ascii="Arial" w:hAnsi="Arial" w:cs="Arial"/>
          <w:sz w:val="24"/>
          <w:szCs w:val="24"/>
        </w:rPr>
        <w:t xml:space="preserve">, de forma </w:t>
      </w:r>
      <w:r w:rsidRPr="00E241FE">
        <w:rPr>
          <w:rFonts w:ascii="Arial" w:hAnsi="Arial" w:cs="Arial"/>
          <w:b/>
          <w:sz w:val="24"/>
          <w:szCs w:val="24"/>
        </w:rPr>
        <w:t>a contemplar preferencialmente os setores com maior efeito multiplicador do emprego</w:t>
      </w:r>
      <w:r>
        <w:rPr>
          <w:rFonts w:ascii="Arial" w:hAnsi="Arial" w:cs="Arial"/>
          <w:sz w:val="24"/>
          <w:szCs w:val="24"/>
        </w:rPr>
        <w:t>.</w:t>
      </w:r>
    </w:p>
    <w:p w14:paraId="3576D91D"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Além do fato de incentivar mais setores com menor geração de empregos, o estudo aponta a </w:t>
      </w:r>
      <w:r>
        <w:rPr>
          <w:rFonts w:ascii="Arial" w:hAnsi="Arial" w:cs="Arial"/>
          <w:b/>
          <w:sz w:val="24"/>
          <w:szCs w:val="24"/>
        </w:rPr>
        <w:t xml:space="preserve">baixa eficácia da geração de empregos no setor </w:t>
      </w:r>
      <w:r w:rsidRPr="008E342F">
        <w:rPr>
          <w:rFonts w:ascii="Arial" w:hAnsi="Arial" w:cs="Arial"/>
          <w:sz w:val="24"/>
          <w:szCs w:val="24"/>
        </w:rPr>
        <w:t>industrial</w:t>
      </w:r>
      <w:r>
        <w:rPr>
          <w:rFonts w:ascii="Arial" w:hAnsi="Arial" w:cs="Arial"/>
          <w:sz w:val="24"/>
          <w:szCs w:val="24"/>
        </w:rPr>
        <w:t xml:space="preserve">. </w:t>
      </w:r>
      <w:r w:rsidRPr="008E342F">
        <w:rPr>
          <w:rFonts w:ascii="Arial" w:hAnsi="Arial" w:cs="Arial"/>
          <w:sz w:val="24"/>
          <w:szCs w:val="24"/>
        </w:rPr>
        <w:t>Todavia</w:t>
      </w:r>
      <w:r>
        <w:rPr>
          <w:rFonts w:ascii="Arial" w:hAnsi="Arial" w:cs="Arial"/>
          <w:sz w:val="24"/>
          <w:szCs w:val="24"/>
        </w:rPr>
        <w:t xml:space="preserve">, o IMB também reconhece que </w:t>
      </w:r>
      <w:r w:rsidRPr="00E241FE">
        <w:rPr>
          <w:rFonts w:ascii="Arial" w:hAnsi="Arial" w:cs="Arial"/>
          <w:sz w:val="24"/>
          <w:szCs w:val="24"/>
        </w:rPr>
        <w:t>os municípios beneficiados pelos programas FOMENTAR e PRODUZIR apresentam melhor cenário de criação de empregos quando comparados aos municípios não beneficiados</w:t>
      </w:r>
      <w:r>
        <w:rPr>
          <w:rFonts w:ascii="Arial" w:hAnsi="Arial" w:cs="Arial"/>
          <w:sz w:val="24"/>
          <w:szCs w:val="24"/>
        </w:rPr>
        <w:t xml:space="preserve"> (mas sem poder afirmar que isso é resultado dos programas ou de outro fator incidente) e, ainda, apresenta sugestão sobre norma de controle da redução do número de empregos, garantindo a efetividade dos programas quanto a esse quesito</w:t>
      </w:r>
      <w:r>
        <w:rPr>
          <w:rStyle w:val="Refdenotaderodap"/>
          <w:rFonts w:ascii="Arial" w:hAnsi="Arial" w:cs="Arial"/>
          <w:sz w:val="24"/>
          <w:szCs w:val="24"/>
        </w:rPr>
        <w:footnoteReference w:id="123"/>
      </w:r>
      <w:r>
        <w:rPr>
          <w:rFonts w:ascii="Arial" w:hAnsi="Arial" w:cs="Arial"/>
          <w:sz w:val="24"/>
          <w:szCs w:val="24"/>
        </w:rPr>
        <w:t>:</w:t>
      </w:r>
    </w:p>
    <w:p w14:paraId="2B73F0E6" w14:textId="77777777" w:rsidR="006356F1" w:rsidRDefault="006356F1" w:rsidP="006356F1">
      <w:pPr>
        <w:spacing w:line="360" w:lineRule="auto"/>
        <w:ind w:firstLine="851"/>
        <w:jc w:val="both"/>
        <w:rPr>
          <w:rFonts w:ascii="Arial" w:hAnsi="Arial" w:cs="Arial"/>
          <w:sz w:val="24"/>
          <w:szCs w:val="24"/>
        </w:rPr>
      </w:pPr>
    </w:p>
    <w:p w14:paraId="19ED6659" w14:textId="77777777" w:rsidR="006356F1" w:rsidRDefault="006356F1" w:rsidP="006356F1">
      <w:pPr>
        <w:spacing w:line="360" w:lineRule="auto"/>
        <w:ind w:firstLine="2268"/>
        <w:jc w:val="both"/>
        <w:rPr>
          <w:rFonts w:ascii="Arial" w:hAnsi="Arial" w:cs="Arial"/>
          <w:sz w:val="24"/>
          <w:szCs w:val="24"/>
        </w:rPr>
      </w:pPr>
      <w:r>
        <w:rPr>
          <w:rFonts w:ascii="Arial" w:hAnsi="Arial" w:cs="Arial"/>
          <w:noProof/>
          <w:sz w:val="24"/>
          <w:szCs w:val="24"/>
        </w:rPr>
        <w:drawing>
          <wp:inline distT="0" distB="0" distL="0" distR="0" wp14:anchorId="2BDEA001" wp14:editId="16AD157E">
            <wp:extent cx="4761730" cy="3127623"/>
            <wp:effectExtent l="0" t="0" r="127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a 14.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77729" cy="3138131"/>
                    </a:xfrm>
                    <a:prstGeom prst="rect">
                      <a:avLst/>
                    </a:prstGeom>
                  </pic:spPr>
                </pic:pic>
              </a:graphicData>
            </a:graphic>
          </wp:inline>
        </w:drawing>
      </w:r>
    </w:p>
    <w:p w14:paraId="437C200D" w14:textId="77777777" w:rsidR="006356F1" w:rsidRDefault="006356F1" w:rsidP="006356F1">
      <w:pPr>
        <w:ind w:left="2268"/>
        <w:jc w:val="both"/>
        <w:rPr>
          <w:rFonts w:ascii="Arial" w:hAnsi="Arial" w:cs="Arial"/>
          <w:sz w:val="24"/>
          <w:szCs w:val="24"/>
        </w:rPr>
      </w:pPr>
    </w:p>
    <w:p w14:paraId="0BE663A6" w14:textId="77777777" w:rsidR="006356F1" w:rsidRPr="008E342F" w:rsidRDefault="006356F1" w:rsidP="006356F1">
      <w:pPr>
        <w:ind w:left="2268"/>
        <w:jc w:val="both"/>
        <w:rPr>
          <w:rFonts w:ascii="Arial" w:hAnsi="Arial" w:cs="Arial"/>
          <w:sz w:val="22"/>
          <w:szCs w:val="24"/>
        </w:rPr>
      </w:pPr>
      <w:r w:rsidRPr="008E342F">
        <w:rPr>
          <w:rFonts w:ascii="Arial" w:hAnsi="Arial" w:cs="Arial"/>
          <w:sz w:val="22"/>
          <w:szCs w:val="24"/>
        </w:rPr>
        <w:lastRenderedPageBreak/>
        <w:t xml:space="preserve">De acordo com a análise descritiva da Figura 14, verifica-se a </w:t>
      </w:r>
      <w:r w:rsidRPr="008E342F">
        <w:rPr>
          <w:rFonts w:ascii="Arial" w:hAnsi="Arial" w:cs="Arial"/>
          <w:b/>
          <w:sz w:val="22"/>
          <w:szCs w:val="24"/>
        </w:rPr>
        <w:t>baixa eficácia do programa PRODUZIR na geração de emprego no setor industrial do estado de Goiás</w:t>
      </w:r>
      <w:r w:rsidRPr="008E342F">
        <w:rPr>
          <w:rFonts w:ascii="Arial" w:hAnsi="Arial" w:cs="Arial"/>
          <w:sz w:val="22"/>
          <w:szCs w:val="24"/>
        </w:rPr>
        <w:t>. Notavelmente o ano com maior decrescimento foi o de 2007, seguido do ano de 2008, período que o país enfrentava crise econômica mundial. Entre os anos de 2009 e 2012, houve uma leve reação no setor. Contudo, em 2013, o cenário de queda na taxa de emprego volta a se destacar.</w:t>
      </w:r>
    </w:p>
    <w:p w14:paraId="20899160" w14:textId="77777777" w:rsidR="006356F1" w:rsidRPr="008E342F" w:rsidRDefault="006356F1" w:rsidP="006356F1">
      <w:pPr>
        <w:ind w:left="2268"/>
        <w:jc w:val="both"/>
        <w:rPr>
          <w:rFonts w:ascii="Arial" w:hAnsi="Arial" w:cs="Arial"/>
          <w:sz w:val="22"/>
          <w:szCs w:val="24"/>
        </w:rPr>
      </w:pPr>
      <w:r w:rsidRPr="008E342F">
        <w:rPr>
          <w:rFonts w:ascii="Arial" w:hAnsi="Arial" w:cs="Arial"/>
          <w:sz w:val="22"/>
          <w:szCs w:val="24"/>
        </w:rPr>
        <w:t xml:space="preserve">Além dos cenários de crise econômica no país nos anos de 2008 e 2014, outro fator que pode ter contribuído para esse decréscimo na taxa de emprego nos municípios foi </w:t>
      </w:r>
      <w:r w:rsidRPr="008E342F">
        <w:rPr>
          <w:rFonts w:ascii="Arial" w:hAnsi="Arial" w:cs="Arial"/>
          <w:b/>
          <w:sz w:val="22"/>
          <w:szCs w:val="24"/>
        </w:rPr>
        <w:t>a falta de vinculação do programa quanto à manutenção do emprego</w:t>
      </w:r>
      <w:r w:rsidRPr="008E342F">
        <w:rPr>
          <w:rFonts w:ascii="Arial" w:hAnsi="Arial" w:cs="Arial"/>
          <w:sz w:val="22"/>
          <w:szCs w:val="24"/>
        </w:rPr>
        <w:t xml:space="preserve">. O programa tem como um dos objetivos a criação de empregos, mas </w:t>
      </w:r>
      <w:r w:rsidRPr="008E342F">
        <w:rPr>
          <w:rFonts w:ascii="Arial" w:hAnsi="Arial" w:cs="Arial"/>
          <w:b/>
          <w:sz w:val="22"/>
          <w:szCs w:val="24"/>
        </w:rPr>
        <w:t>nada é dito quanto ao desligamento de funcionários. Logo, pode-se criar empregos em uma quantidade menor que o número de demitidos</w:t>
      </w:r>
      <w:r w:rsidRPr="008E342F">
        <w:rPr>
          <w:rFonts w:ascii="Arial" w:hAnsi="Arial" w:cs="Arial"/>
          <w:sz w:val="22"/>
          <w:szCs w:val="24"/>
        </w:rPr>
        <w:t>, e assim ocasionar o cenário exposto na Figura 14.</w:t>
      </w:r>
    </w:p>
    <w:p w14:paraId="589AE0F2" w14:textId="77777777" w:rsidR="006356F1" w:rsidRPr="008E342F" w:rsidRDefault="006356F1" w:rsidP="006356F1">
      <w:pPr>
        <w:ind w:left="2268"/>
        <w:jc w:val="both"/>
        <w:rPr>
          <w:rFonts w:ascii="Arial" w:hAnsi="Arial" w:cs="Arial"/>
          <w:sz w:val="22"/>
          <w:szCs w:val="24"/>
        </w:rPr>
      </w:pPr>
      <w:r w:rsidRPr="008E342F">
        <w:rPr>
          <w:rFonts w:ascii="Arial" w:hAnsi="Arial" w:cs="Arial"/>
          <w:sz w:val="22"/>
          <w:szCs w:val="24"/>
        </w:rPr>
        <w:t xml:space="preserve">Contudo, é valido analisar os municípios que não receberam o benefício da isenção fiscal. Esses valores estão representados na Figura 15, e nota-se que a taxa de criação de emprego é negativa, em 10 dos 12 anos analisados. Diante disso, verifica-se que </w:t>
      </w:r>
      <w:r w:rsidRPr="00E241FE">
        <w:rPr>
          <w:rFonts w:ascii="Arial" w:hAnsi="Arial" w:cs="Arial"/>
          <w:sz w:val="22"/>
          <w:szCs w:val="24"/>
        </w:rPr>
        <w:t>os municípios que receberam isenção fiscal a partir do programa Fomentar/Produzir apresentaram um cenário melhor de criação de emprego quando comparada aos municípios que não receberam o benefício</w:t>
      </w:r>
      <w:r w:rsidRPr="008E342F">
        <w:rPr>
          <w:rFonts w:ascii="Arial" w:hAnsi="Arial" w:cs="Arial"/>
          <w:sz w:val="22"/>
          <w:szCs w:val="24"/>
        </w:rPr>
        <w:t xml:space="preserve"> entre os anos de 2005 e 2016.</w:t>
      </w:r>
    </w:p>
    <w:p w14:paraId="48B49249" w14:textId="77777777" w:rsidR="006356F1" w:rsidRDefault="006356F1" w:rsidP="006356F1">
      <w:pPr>
        <w:ind w:left="2268"/>
        <w:jc w:val="both"/>
        <w:rPr>
          <w:rFonts w:ascii="Arial" w:hAnsi="Arial" w:cs="Arial"/>
          <w:sz w:val="24"/>
          <w:szCs w:val="24"/>
        </w:rPr>
      </w:pPr>
    </w:p>
    <w:p w14:paraId="525CC359" w14:textId="77777777" w:rsidR="006356F1" w:rsidRDefault="006356F1" w:rsidP="006356F1">
      <w:pPr>
        <w:spacing w:line="360" w:lineRule="auto"/>
        <w:ind w:firstLine="2268"/>
        <w:jc w:val="both"/>
        <w:rPr>
          <w:rFonts w:ascii="Arial" w:hAnsi="Arial" w:cs="Arial"/>
          <w:sz w:val="24"/>
          <w:szCs w:val="24"/>
        </w:rPr>
      </w:pPr>
      <w:r>
        <w:rPr>
          <w:rFonts w:ascii="Arial" w:hAnsi="Arial" w:cs="Arial"/>
          <w:noProof/>
          <w:sz w:val="24"/>
          <w:szCs w:val="24"/>
        </w:rPr>
        <w:drawing>
          <wp:inline distT="0" distB="0" distL="0" distR="0" wp14:anchorId="091E2F0F" wp14:editId="66001356">
            <wp:extent cx="4723397" cy="2911448"/>
            <wp:effectExtent l="0" t="0" r="1270" b="381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a 15.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739715" cy="2921506"/>
                    </a:xfrm>
                    <a:prstGeom prst="rect">
                      <a:avLst/>
                    </a:prstGeom>
                  </pic:spPr>
                </pic:pic>
              </a:graphicData>
            </a:graphic>
          </wp:inline>
        </w:drawing>
      </w:r>
    </w:p>
    <w:p w14:paraId="4BBF1C73" w14:textId="77777777" w:rsidR="006356F1" w:rsidRDefault="006356F1" w:rsidP="006356F1">
      <w:pPr>
        <w:spacing w:line="360" w:lineRule="auto"/>
        <w:ind w:firstLine="851"/>
        <w:jc w:val="both"/>
        <w:rPr>
          <w:rFonts w:ascii="Arial" w:hAnsi="Arial" w:cs="Arial"/>
          <w:sz w:val="24"/>
          <w:szCs w:val="24"/>
        </w:rPr>
      </w:pPr>
    </w:p>
    <w:p w14:paraId="7DB34FED"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Ainda relacionado à questão do emprego, podemos mencionar que o IMB apurou que os programas FOMENTAR e PRODUZIR </w:t>
      </w:r>
      <w:r w:rsidRPr="00E241FE">
        <w:rPr>
          <w:rFonts w:ascii="Arial" w:hAnsi="Arial" w:cs="Arial"/>
          <w:b/>
          <w:sz w:val="24"/>
          <w:szCs w:val="24"/>
        </w:rPr>
        <w:t>impactaram positivamente a massa salarial</w:t>
      </w:r>
      <w:r>
        <w:rPr>
          <w:rFonts w:ascii="Arial" w:hAnsi="Arial" w:cs="Arial"/>
          <w:sz w:val="24"/>
          <w:szCs w:val="24"/>
        </w:rPr>
        <w:t xml:space="preserve"> do setor industrial no Estado de Goiás, isto é, provocaram aumento da renda dos trabalhadores nos municípios em que há empresas beneficiadas:</w:t>
      </w:r>
    </w:p>
    <w:p w14:paraId="630E235E" w14:textId="77777777" w:rsidR="006356F1" w:rsidRDefault="006356F1" w:rsidP="006356F1">
      <w:pPr>
        <w:spacing w:line="360" w:lineRule="auto"/>
        <w:ind w:firstLine="851"/>
        <w:jc w:val="both"/>
        <w:rPr>
          <w:rFonts w:ascii="Arial" w:hAnsi="Arial" w:cs="Arial"/>
          <w:sz w:val="24"/>
          <w:szCs w:val="24"/>
        </w:rPr>
      </w:pPr>
    </w:p>
    <w:p w14:paraId="306FB91F" w14:textId="77777777" w:rsidR="006356F1" w:rsidRPr="005A135C" w:rsidRDefault="006356F1" w:rsidP="006356F1">
      <w:pPr>
        <w:ind w:left="2268"/>
        <w:jc w:val="both"/>
        <w:rPr>
          <w:rFonts w:ascii="Arial" w:hAnsi="Arial" w:cs="Arial"/>
          <w:sz w:val="22"/>
          <w:szCs w:val="24"/>
        </w:rPr>
      </w:pPr>
      <w:r w:rsidRPr="005A135C">
        <w:rPr>
          <w:rFonts w:ascii="Arial" w:hAnsi="Arial" w:cs="Arial"/>
          <w:sz w:val="22"/>
          <w:szCs w:val="24"/>
        </w:rPr>
        <w:lastRenderedPageBreak/>
        <w:t xml:space="preserve">A Tabela 5.2 apresenta os valores do impacto do programa PRODUZIR no </w:t>
      </w:r>
      <w:r w:rsidRPr="005A135C">
        <w:rPr>
          <w:rFonts w:ascii="Arial" w:hAnsi="Arial" w:cs="Arial"/>
          <w:i/>
          <w:sz w:val="22"/>
          <w:szCs w:val="24"/>
        </w:rPr>
        <w:t>ln</w:t>
      </w:r>
      <w:r w:rsidRPr="005A135C">
        <w:rPr>
          <w:rFonts w:ascii="Arial" w:hAnsi="Arial" w:cs="Arial"/>
          <w:sz w:val="22"/>
          <w:szCs w:val="24"/>
        </w:rPr>
        <w:t xml:space="preserve"> da massa salarial do setor industrial no estado de Goiás. [...]</w:t>
      </w:r>
    </w:p>
    <w:p w14:paraId="491DAA49" w14:textId="77777777" w:rsidR="006356F1" w:rsidRPr="005A135C" w:rsidRDefault="006356F1" w:rsidP="006356F1">
      <w:pPr>
        <w:ind w:left="2268"/>
        <w:jc w:val="both"/>
        <w:rPr>
          <w:rFonts w:ascii="Arial" w:hAnsi="Arial" w:cs="Arial"/>
          <w:sz w:val="22"/>
          <w:szCs w:val="24"/>
        </w:rPr>
      </w:pPr>
      <w:r w:rsidRPr="005A135C">
        <w:rPr>
          <w:rFonts w:ascii="Arial" w:hAnsi="Arial" w:cs="Arial"/>
          <w:sz w:val="22"/>
          <w:szCs w:val="24"/>
        </w:rPr>
        <w:t xml:space="preserve">Ao verificar o impacto do programa na massa salarial ao contrário do impacto do VABi, o resultado foi positivo. Com Dif-Dif de 0,49 infere-se que </w:t>
      </w:r>
      <w:r w:rsidRPr="005A135C">
        <w:rPr>
          <w:rFonts w:ascii="Arial" w:hAnsi="Arial" w:cs="Arial"/>
          <w:b/>
          <w:sz w:val="22"/>
          <w:szCs w:val="24"/>
        </w:rPr>
        <w:t>o programa impactou positivamente na massa salarial do setor</w:t>
      </w:r>
      <w:r w:rsidRPr="005A135C">
        <w:rPr>
          <w:rFonts w:ascii="Arial" w:hAnsi="Arial" w:cs="Arial"/>
          <w:sz w:val="22"/>
          <w:szCs w:val="24"/>
        </w:rPr>
        <w:t xml:space="preserve">. Desta forma, pode-se interpretar de modo que </w:t>
      </w:r>
      <w:r w:rsidRPr="005A135C">
        <w:rPr>
          <w:rFonts w:ascii="Arial" w:hAnsi="Arial" w:cs="Arial"/>
          <w:b/>
          <w:sz w:val="22"/>
          <w:szCs w:val="24"/>
        </w:rPr>
        <w:t xml:space="preserve">a cada 1% a mais de isenção fiscal que os municípios receberam por meio do programa PRODUZIR, esse benefício contribuiu em 0,49% no aumento do </w:t>
      </w:r>
      <w:r w:rsidRPr="005A135C">
        <w:rPr>
          <w:rFonts w:ascii="Arial" w:hAnsi="Arial" w:cs="Arial"/>
          <w:b/>
          <w:i/>
          <w:sz w:val="22"/>
          <w:szCs w:val="24"/>
        </w:rPr>
        <w:t>ln</w:t>
      </w:r>
      <w:r w:rsidRPr="005A135C">
        <w:rPr>
          <w:rFonts w:ascii="Arial" w:hAnsi="Arial" w:cs="Arial"/>
          <w:b/>
          <w:sz w:val="22"/>
          <w:szCs w:val="24"/>
        </w:rPr>
        <w:t xml:space="preserve"> massa salarial dos municípios tratados</w:t>
      </w:r>
      <w:r w:rsidRPr="005A135C">
        <w:rPr>
          <w:rFonts w:ascii="Arial" w:hAnsi="Arial" w:cs="Arial"/>
          <w:sz w:val="22"/>
          <w:szCs w:val="24"/>
        </w:rPr>
        <w:t xml:space="preserve"> (em comparação com os não tratados). Diante desse resultado, afirma</w:t>
      </w:r>
      <w:r>
        <w:rPr>
          <w:rFonts w:ascii="Arial" w:hAnsi="Arial" w:cs="Arial"/>
          <w:sz w:val="22"/>
          <w:szCs w:val="24"/>
        </w:rPr>
        <w:t>-</w:t>
      </w:r>
      <w:r w:rsidRPr="005A135C">
        <w:rPr>
          <w:rFonts w:ascii="Arial" w:hAnsi="Arial" w:cs="Arial"/>
          <w:sz w:val="22"/>
          <w:szCs w:val="24"/>
        </w:rPr>
        <w:t xml:space="preserve">se que </w:t>
      </w:r>
      <w:r w:rsidRPr="005A135C">
        <w:rPr>
          <w:rFonts w:ascii="Arial" w:hAnsi="Arial" w:cs="Arial"/>
          <w:b/>
          <w:sz w:val="22"/>
          <w:szCs w:val="24"/>
        </w:rPr>
        <w:t>o programa PRODUZIR atingiu o objetivo de geração de renda nos municípios que aderiram ao programa</w:t>
      </w:r>
      <w:r w:rsidRPr="005A135C">
        <w:rPr>
          <w:rFonts w:ascii="Arial" w:hAnsi="Arial" w:cs="Arial"/>
          <w:sz w:val="22"/>
          <w:szCs w:val="24"/>
        </w:rPr>
        <w:t xml:space="preserve"> entre os anos de 2005 e 2016. Contudo, com esse resultado não é possível afirmar qualquer melhora do desenvolvimento regional, uma vez que essa renda pode estar concentrada em determinada região do estado.</w:t>
      </w:r>
      <w:r>
        <w:rPr>
          <w:rStyle w:val="Refdenotaderodap"/>
          <w:rFonts w:ascii="Arial" w:hAnsi="Arial" w:cs="Arial"/>
          <w:sz w:val="22"/>
          <w:szCs w:val="24"/>
        </w:rPr>
        <w:footnoteReference w:id="124"/>
      </w:r>
    </w:p>
    <w:p w14:paraId="121A8C10" w14:textId="77777777" w:rsidR="006356F1" w:rsidRPr="00CE2466" w:rsidRDefault="006356F1" w:rsidP="006356F1">
      <w:pPr>
        <w:spacing w:line="360" w:lineRule="auto"/>
        <w:ind w:firstLine="851"/>
        <w:jc w:val="both"/>
        <w:rPr>
          <w:rFonts w:ascii="Arial" w:hAnsi="Arial" w:cs="Arial"/>
          <w:sz w:val="24"/>
          <w:szCs w:val="24"/>
        </w:rPr>
      </w:pPr>
    </w:p>
    <w:p w14:paraId="1F7BF79D"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A CGE também abordou o tema da geração de empregos, conforme transcrevemos abaixo. Destacamos o fato de que as empresas que as beneficiárias dos programas representaram uma média de 7,2% dos empregos formais do Estado:</w:t>
      </w:r>
    </w:p>
    <w:p w14:paraId="71D7058B" w14:textId="77777777" w:rsidR="006356F1" w:rsidRDefault="006356F1" w:rsidP="006356F1">
      <w:pPr>
        <w:spacing w:line="360" w:lineRule="auto"/>
        <w:ind w:firstLine="851"/>
        <w:jc w:val="both"/>
        <w:rPr>
          <w:rFonts w:ascii="Arial" w:hAnsi="Arial" w:cs="Arial"/>
          <w:sz w:val="24"/>
          <w:szCs w:val="24"/>
        </w:rPr>
      </w:pPr>
    </w:p>
    <w:p w14:paraId="60FC9896" w14:textId="77777777" w:rsidR="006356F1" w:rsidRDefault="006356F1" w:rsidP="006356F1">
      <w:pPr>
        <w:ind w:left="2268"/>
        <w:jc w:val="both"/>
        <w:rPr>
          <w:rFonts w:ascii="Arial" w:hAnsi="Arial" w:cs="Arial"/>
          <w:sz w:val="22"/>
          <w:szCs w:val="24"/>
        </w:rPr>
      </w:pPr>
      <w:r w:rsidRPr="00F65A52">
        <w:rPr>
          <w:rFonts w:ascii="Arial" w:hAnsi="Arial" w:cs="Arial"/>
          <w:sz w:val="22"/>
          <w:szCs w:val="24"/>
        </w:rPr>
        <w:t xml:space="preserve">Ainda, as empresas em fruição (284 em 2006 e 543 em 2017, com informações declaradas na RAIS - Relação Anual de Informações Sociais) </w:t>
      </w:r>
      <w:r w:rsidRPr="00F65A52">
        <w:rPr>
          <w:rFonts w:ascii="Arial" w:hAnsi="Arial" w:cs="Arial"/>
          <w:b/>
          <w:sz w:val="22"/>
          <w:szCs w:val="24"/>
        </w:rPr>
        <w:t>tiveram uma média de 7,2% do total dos empregos formais no estado no período de 2006 a 2017</w:t>
      </w:r>
      <w:r w:rsidRPr="00F65A52">
        <w:rPr>
          <w:rFonts w:ascii="Arial" w:hAnsi="Arial" w:cs="Arial"/>
          <w:sz w:val="22"/>
          <w:szCs w:val="24"/>
        </w:rPr>
        <w:t>. Sendo a média de 3,5% para o PRODUZIR e de 3,7% para o FOMENTAR.</w:t>
      </w:r>
    </w:p>
    <w:p w14:paraId="55768C55" w14:textId="77777777" w:rsidR="006356F1" w:rsidRDefault="006356F1" w:rsidP="006356F1">
      <w:pPr>
        <w:ind w:left="2268"/>
        <w:jc w:val="both"/>
        <w:rPr>
          <w:rFonts w:ascii="Arial" w:hAnsi="Arial" w:cs="Arial"/>
          <w:sz w:val="24"/>
          <w:szCs w:val="24"/>
        </w:rPr>
      </w:pPr>
    </w:p>
    <w:tbl>
      <w:tblPr>
        <w:tblW w:w="10774" w:type="dxa"/>
        <w:tblInd w:w="-993" w:type="dxa"/>
        <w:tblCellMar>
          <w:left w:w="70" w:type="dxa"/>
          <w:right w:w="70" w:type="dxa"/>
        </w:tblCellMar>
        <w:tblLook w:val="04A0" w:firstRow="1" w:lastRow="0" w:firstColumn="1" w:lastColumn="0" w:noHBand="0" w:noVBand="1"/>
      </w:tblPr>
      <w:tblGrid>
        <w:gridCol w:w="1843"/>
        <w:gridCol w:w="709"/>
        <w:gridCol w:w="709"/>
        <w:gridCol w:w="708"/>
        <w:gridCol w:w="709"/>
        <w:gridCol w:w="709"/>
        <w:gridCol w:w="709"/>
        <w:gridCol w:w="708"/>
        <w:gridCol w:w="709"/>
        <w:gridCol w:w="709"/>
        <w:gridCol w:w="850"/>
        <w:gridCol w:w="851"/>
        <w:gridCol w:w="851"/>
      </w:tblGrid>
      <w:tr w:rsidR="006356F1" w:rsidRPr="00F65A52" w14:paraId="51EE7C9D" w14:textId="77777777" w:rsidTr="00217400">
        <w:trPr>
          <w:trHeight w:val="300"/>
        </w:trPr>
        <w:tc>
          <w:tcPr>
            <w:tcW w:w="10774" w:type="dxa"/>
            <w:gridSpan w:val="13"/>
            <w:tcBorders>
              <w:top w:val="nil"/>
              <w:left w:val="nil"/>
              <w:bottom w:val="nil"/>
              <w:right w:val="nil"/>
            </w:tcBorders>
            <w:shd w:val="clear" w:color="auto" w:fill="auto"/>
            <w:noWrap/>
            <w:vAlign w:val="bottom"/>
            <w:hideMark/>
          </w:tcPr>
          <w:p w14:paraId="3FF26A8D" w14:textId="77777777" w:rsidR="006356F1" w:rsidRPr="00F65A52" w:rsidRDefault="006356F1" w:rsidP="00217400">
            <w:pPr>
              <w:rPr>
                <w:rFonts w:ascii="Calibri" w:hAnsi="Calibri" w:cs="Calibri"/>
                <w:b/>
                <w:bCs/>
                <w:color w:val="000000"/>
                <w:sz w:val="16"/>
                <w:szCs w:val="22"/>
              </w:rPr>
            </w:pPr>
            <w:r w:rsidRPr="00F65A52">
              <w:rPr>
                <w:rFonts w:ascii="Calibri" w:hAnsi="Calibri" w:cs="Calibri"/>
                <w:b/>
                <w:bCs/>
                <w:color w:val="000000"/>
                <w:sz w:val="16"/>
                <w:szCs w:val="22"/>
              </w:rPr>
              <w:t>Tabela 5 - Média do número de empregos declarados pelas empresas em fruição dos programas PRODUZIR/FOMENTAR e sua participação por regiões</w:t>
            </w:r>
          </w:p>
        </w:tc>
      </w:tr>
      <w:tr w:rsidR="006356F1" w:rsidRPr="00F65A52" w14:paraId="33A6EF06" w14:textId="77777777" w:rsidTr="00217400">
        <w:trPr>
          <w:trHeight w:val="402"/>
        </w:trPr>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2F6143"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Regiões Geográficas Imediatas-IBGE</w:t>
            </w:r>
          </w:p>
        </w:tc>
        <w:tc>
          <w:tcPr>
            <w:tcW w:w="1418" w:type="dxa"/>
            <w:gridSpan w:val="2"/>
            <w:tcBorders>
              <w:top w:val="single" w:sz="4" w:space="0" w:color="auto"/>
              <w:left w:val="nil"/>
              <w:bottom w:val="single" w:sz="4" w:space="0" w:color="auto"/>
              <w:right w:val="single" w:sz="4" w:space="0" w:color="auto"/>
            </w:tcBorders>
            <w:shd w:val="clear" w:color="auto" w:fill="auto"/>
            <w:noWrap/>
            <w:vAlign w:val="bottom"/>
            <w:hideMark/>
          </w:tcPr>
          <w:p w14:paraId="45B31318"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Total</w:t>
            </w:r>
          </w:p>
        </w:tc>
        <w:tc>
          <w:tcPr>
            <w:tcW w:w="1417" w:type="dxa"/>
            <w:gridSpan w:val="2"/>
            <w:tcBorders>
              <w:top w:val="single" w:sz="4" w:space="0" w:color="auto"/>
              <w:left w:val="nil"/>
              <w:bottom w:val="single" w:sz="4" w:space="0" w:color="auto"/>
              <w:right w:val="single" w:sz="4" w:space="0" w:color="auto"/>
            </w:tcBorders>
            <w:shd w:val="clear" w:color="auto" w:fill="auto"/>
            <w:noWrap/>
            <w:vAlign w:val="bottom"/>
            <w:hideMark/>
          </w:tcPr>
          <w:p w14:paraId="01F04BB3"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PRODUZIR</w:t>
            </w:r>
          </w:p>
        </w:tc>
        <w:tc>
          <w:tcPr>
            <w:tcW w:w="1418" w:type="dxa"/>
            <w:gridSpan w:val="2"/>
            <w:tcBorders>
              <w:top w:val="single" w:sz="4" w:space="0" w:color="auto"/>
              <w:left w:val="nil"/>
              <w:bottom w:val="single" w:sz="4" w:space="0" w:color="auto"/>
              <w:right w:val="single" w:sz="4" w:space="0" w:color="auto"/>
            </w:tcBorders>
            <w:shd w:val="clear" w:color="auto" w:fill="auto"/>
            <w:noWrap/>
            <w:vAlign w:val="bottom"/>
            <w:hideMark/>
          </w:tcPr>
          <w:p w14:paraId="7A94CC8B"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FOMENTAR</w:t>
            </w:r>
          </w:p>
        </w:tc>
        <w:tc>
          <w:tcPr>
            <w:tcW w:w="1417" w:type="dxa"/>
            <w:gridSpan w:val="2"/>
            <w:tcBorders>
              <w:top w:val="single" w:sz="4" w:space="0" w:color="auto"/>
              <w:left w:val="nil"/>
              <w:bottom w:val="single" w:sz="4" w:space="0" w:color="auto"/>
              <w:right w:val="single" w:sz="4" w:space="0" w:color="auto"/>
            </w:tcBorders>
            <w:shd w:val="clear" w:color="auto" w:fill="auto"/>
            <w:noWrap/>
            <w:vAlign w:val="bottom"/>
            <w:hideMark/>
          </w:tcPr>
          <w:p w14:paraId="3977EB62"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Total (%)</w:t>
            </w:r>
          </w:p>
        </w:tc>
        <w:tc>
          <w:tcPr>
            <w:tcW w:w="15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88DD4F6"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PRODUZIR (%)</w:t>
            </w:r>
          </w:p>
        </w:tc>
        <w:tc>
          <w:tcPr>
            <w:tcW w:w="1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42FAA5A"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FOMENTAR (%)</w:t>
            </w:r>
          </w:p>
        </w:tc>
      </w:tr>
      <w:tr w:rsidR="006356F1" w:rsidRPr="00F65A52" w14:paraId="030A5E4C" w14:textId="77777777" w:rsidTr="00217400">
        <w:trPr>
          <w:trHeight w:val="402"/>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262C9917" w14:textId="77777777" w:rsidR="006356F1" w:rsidRPr="00F65A52" w:rsidRDefault="006356F1" w:rsidP="00217400">
            <w:pPr>
              <w:rPr>
                <w:rFonts w:ascii="Calibri" w:hAnsi="Calibri" w:cs="Calibri"/>
                <w:b/>
                <w:bCs/>
                <w:color w:val="000000"/>
                <w:sz w:val="16"/>
                <w:szCs w:val="22"/>
              </w:rPr>
            </w:pPr>
          </w:p>
        </w:tc>
        <w:tc>
          <w:tcPr>
            <w:tcW w:w="709" w:type="dxa"/>
            <w:tcBorders>
              <w:top w:val="nil"/>
              <w:left w:val="nil"/>
              <w:bottom w:val="single" w:sz="4" w:space="0" w:color="auto"/>
              <w:right w:val="single" w:sz="4" w:space="0" w:color="auto"/>
            </w:tcBorders>
            <w:shd w:val="clear" w:color="auto" w:fill="auto"/>
            <w:noWrap/>
            <w:vAlign w:val="bottom"/>
            <w:hideMark/>
          </w:tcPr>
          <w:p w14:paraId="17F9CE04"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65612DF1"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5C2C631F"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2DE37DAC"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0B58E80F"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6CCB403E"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2017</w:t>
            </w:r>
          </w:p>
        </w:tc>
        <w:tc>
          <w:tcPr>
            <w:tcW w:w="708" w:type="dxa"/>
            <w:tcBorders>
              <w:top w:val="nil"/>
              <w:left w:val="nil"/>
              <w:bottom w:val="single" w:sz="4" w:space="0" w:color="auto"/>
              <w:right w:val="single" w:sz="4" w:space="0" w:color="auto"/>
            </w:tcBorders>
            <w:shd w:val="clear" w:color="auto" w:fill="auto"/>
            <w:noWrap/>
            <w:vAlign w:val="bottom"/>
            <w:hideMark/>
          </w:tcPr>
          <w:p w14:paraId="4C6C7E96"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2006</w:t>
            </w:r>
          </w:p>
        </w:tc>
        <w:tc>
          <w:tcPr>
            <w:tcW w:w="709" w:type="dxa"/>
            <w:tcBorders>
              <w:top w:val="nil"/>
              <w:left w:val="nil"/>
              <w:bottom w:val="single" w:sz="4" w:space="0" w:color="auto"/>
              <w:right w:val="single" w:sz="4" w:space="0" w:color="auto"/>
            </w:tcBorders>
            <w:shd w:val="clear" w:color="auto" w:fill="auto"/>
            <w:noWrap/>
            <w:vAlign w:val="bottom"/>
            <w:hideMark/>
          </w:tcPr>
          <w:p w14:paraId="79412844"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2017</w:t>
            </w:r>
          </w:p>
        </w:tc>
        <w:tc>
          <w:tcPr>
            <w:tcW w:w="709" w:type="dxa"/>
            <w:tcBorders>
              <w:top w:val="nil"/>
              <w:left w:val="nil"/>
              <w:bottom w:val="single" w:sz="4" w:space="0" w:color="auto"/>
              <w:right w:val="single" w:sz="4" w:space="0" w:color="auto"/>
            </w:tcBorders>
            <w:shd w:val="clear" w:color="auto" w:fill="auto"/>
            <w:noWrap/>
            <w:vAlign w:val="bottom"/>
            <w:hideMark/>
          </w:tcPr>
          <w:p w14:paraId="53B2A87F"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2006</w:t>
            </w:r>
          </w:p>
        </w:tc>
        <w:tc>
          <w:tcPr>
            <w:tcW w:w="850" w:type="dxa"/>
            <w:tcBorders>
              <w:top w:val="nil"/>
              <w:left w:val="nil"/>
              <w:bottom w:val="single" w:sz="4" w:space="0" w:color="auto"/>
              <w:right w:val="single" w:sz="4" w:space="0" w:color="auto"/>
            </w:tcBorders>
            <w:shd w:val="clear" w:color="auto" w:fill="auto"/>
            <w:noWrap/>
            <w:vAlign w:val="bottom"/>
            <w:hideMark/>
          </w:tcPr>
          <w:p w14:paraId="07F6EA47"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2017</w:t>
            </w:r>
          </w:p>
        </w:tc>
        <w:tc>
          <w:tcPr>
            <w:tcW w:w="851" w:type="dxa"/>
            <w:tcBorders>
              <w:top w:val="nil"/>
              <w:left w:val="nil"/>
              <w:bottom w:val="single" w:sz="4" w:space="0" w:color="auto"/>
              <w:right w:val="single" w:sz="4" w:space="0" w:color="auto"/>
            </w:tcBorders>
            <w:shd w:val="clear" w:color="auto" w:fill="auto"/>
            <w:noWrap/>
            <w:vAlign w:val="bottom"/>
            <w:hideMark/>
          </w:tcPr>
          <w:p w14:paraId="26866CFA"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2006</w:t>
            </w:r>
          </w:p>
        </w:tc>
        <w:tc>
          <w:tcPr>
            <w:tcW w:w="851" w:type="dxa"/>
            <w:tcBorders>
              <w:top w:val="nil"/>
              <w:left w:val="nil"/>
              <w:bottom w:val="single" w:sz="4" w:space="0" w:color="auto"/>
              <w:right w:val="single" w:sz="4" w:space="0" w:color="auto"/>
            </w:tcBorders>
            <w:shd w:val="clear" w:color="auto" w:fill="auto"/>
            <w:noWrap/>
            <w:vAlign w:val="bottom"/>
            <w:hideMark/>
          </w:tcPr>
          <w:p w14:paraId="0E0F7BBB" w14:textId="77777777" w:rsidR="006356F1" w:rsidRPr="00F65A52" w:rsidRDefault="006356F1" w:rsidP="00217400">
            <w:pPr>
              <w:jc w:val="center"/>
              <w:rPr>
                <w:rFonts w:ascii="Calibri" w:hAnsi="Calibri" w:cs="Calibri"/>
                <w:b/>
                <w:bCs/>
                <w:color w:val="000000"/>
                <w:sz w:val="16"/>
                <w:szCs w:val="22"/>
              </w:rPr>
            </w:pPr>
            <w:r w:rsidRPr="00F65A52">
              <w:rPr>
                <w:rFonts w:ascii="Calibri" w:hAnsi="Calibri" w:cs="Calibri"/>
                <w:b/>
                <w:bCs/>
                <w:color w:val="000000"/>
                <w:sz w:val="16"/>
                <w:szCs w:val="22"/>
              </w:rPr>
              <w:t>2017</w:t>
            </w:r>
          </w:p>
        </w:tc>
      </w:tr>
      <w:tr w:rsidR="006356F1" w:rsidRPr="00F65A52" w14:paraId="084DABC4"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3FD04747"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Goiânia</w:t>
            </w:r>
          </w:p>
        </w:tc>
        <w:tc>
          <w:tcPr>
            <w:tcW w:w="709" w:type="dxa"/>
            <w:tcBorders>
              <w:top w:val="nil"/>
              <w:left w:val="nil"/>
              <w:bottom w:val="single" w:sz="4" w:space="0" w:color="auto"/>
              <w:right w:val="single" w:sz="4" w:space="0" w:color="auto"/>
            </w:tcBorders>
            <w:shd w:val="clear" w:color="auto" w:fill="auto"/>
            <w:noWrap/>
            <w:vAlign w:val="bottom"/>
            <w:hideMark/>
          </w:tcPr>
          <w:p w14:paraId="344B3514"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22.118</w:t>
            </w:r>
          </w:p>
        </w:tc>
        <w:tc>
          <w:tcPr>
            <w:tcW w:w="709" w:type="dxa"/>
            <w:tcBorders>
              <w:top w:val="nil"/>
              <w:left w:val="nil"/>
              <w:bottom w:val="single" w:sz="4" w:space="0" w:color="auto"/>
              <w:right w:val="single" w:sz="4" w:space="0" w:color="auto"/>
            </w:tcBorders>
            <w:shd w:val="clear" w:color="auto" w:fill="auto"/>
            <w:noWrap/>
            <w:vAlign w:val="bottom"/>
            <w:hideMark/>
          </w:tcPr>
          <w:p w14:paraId="4440194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44.087</w:t>
            </w:r>
          </w:p>
        </w:tc>
        <w:tc>
          <w:tcPr>
            <w:tcW w:w="708" w:type="dxa"/>
            <w:tcBorders>
              <w:top w:val="nil"/>
              <w:left w:val="nil"/>
              <w:bottom w:val="single" w:sz="4" w:space="0" w:color="auto"/>
              <w:right w:val="single" w:sz="4" w:space="0" w:color="auto"/>
            </w:tcBorders>
            <w:shd w:val="clear" w:color="auto" w:fill="auto"/>
            <w:noWrap/>
            <w:vAlign w:val="bottom"/>
            <w:hideMark/>
          </w:tcPr>
          <w:p w14:paraId="6A16B0E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6.322</w:t>
            </w:r>
          </w:p>
        </w:tc>
        <w:tc>
          <w:tcPr>
            <w:tcW w:w="709" w:type="dxa"/>
            <w:tcBorders>
              <w:top w:val="nil"/>
              <w:left w:val="nil"/>
              <w:bottom w:val="single" w:sz="4" w:space="0" w:color="auto"/>
              <w:right w:val="single" w:sz="4" w:space="0" w:color="auto"/>
            </w:tcBorders>
            <w:shd w:val="clear" w:color="auto" w:fill="auto"/>
            <w:noWrap/>
            <w:vAlign w:val="bottom"/>
            <w:hideMark/>
          </w:tcPr>
          <w:p w14:paraId="038D6E4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24.386</w:t>
            </w:r>
          </w:p>
        </w:tc>
        <w:tc>
          <w:tcPr>
            <w:tcW w:w="709" w:type="dxa"/>
            <w:tcBorders>
              <w:top w:val="nil"/>
              <w:left w:val="nil"/>
              <w:bottom w:val="single" w:sz="4" w:space="0" w:color="auto"/>
              <w:right w:val="single" w:sz="4" w:space="0" w:color="auto"/>
            </w:tcBorders>
            <w:shd w:val="clear" w:color="auto" w:fill="auto"/>
            <w:noWrap/>
            <w:vAlign w:val="bottom"/>
            <w:hideMark/>
          </w:tcPr>
          <w:p w14:paraId="63CC63E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15.796</w:t>
            </w:r>
          </w:p>
        </w:tc>
        <w:tc>
          <w:tcPr>
            <w:tcW w:w="709" w:type="dxa"/>
            <w:tcBorders>
              <w:top w:val="nil"/>
              <w:left w:val="nil"/>
              <w:bottom w:val="single" w:sz="4" w:space="0" w:color="auto"/>
              <w:right w:val="single" w:sz="4" w:space="0" w:color="auto"/>
            </w:tcBorders>
            <w:shd w:val="clear" w:color="auto" w:fill="auto"/>
            <w:noWrap/>
            <w:vAlign w:val="bottom"/>
            <w:hideMark/>
          </w:tcPr>
          <w:p w14:paraId="33213AA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19.701</w:t>
            </w:r>
          </w:p>
        </w:tc>
        <w:tc>
          <w:tcPr>
            <w:tcW w:w="708" w:type="dxa"/>
            <w:tcBorders>
              <w:top w:val="nil"/>
              <w:left w:val="nil"/>
              <w:bottom w:val="single" w:sz="4" w:space="0" w:color="auto"/>
              <w:right w:val="single" w:sz="4" w:space="0" w:color="auto"/>
            </w:tcBorders>
            <w:shd w:val="clear" w:color="auto" w:fill="auto"/>
            <w:noWrap/>
            <w:vAlign w:val="bottom"/>
            <w:hideMark/>
          </w:tcPr>
          <w:p w14:paraId="1CD5140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43,0</w:t>
            </w:r>
          </w:p>
        </w:tc>
        <w:tc>
          <w:tcPr>
            <w:tcW w:w="709" w:type="dxa"/>
            <w:tcBorders>
              <w:top w:val="nil"/>
              <w:left w:val="nil"/>
              <w:bottom w:val="single" w:sz="4" w:space="0" w:color="auto"/>
              <w:right w:val="single" w:sz="4" w:space="0" w:color="auto"/>
            </w:tcBorders>
            <w:shd w:val="clear" w:color="auto" w:fill="auto"/>
            <w:noWrap/>
            <w:vAlign w:val="bottom"/>
            <w:hideMark/>
          </w:tcPr>
          <w:p w14:paraId="356E432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39,5</w:t>
            </w:r>
          </w:p>
        </w:tc>
        <w:tc>
          <w:tcPr>
            <w:tcW w:w="709" w:type="dxa"/>
            <w:tcBorders>
              <w:top w:val="nil"/>
              <w:left w:val="nil"/>
              <w:bottom w:val="single" w:sz="4" w:space="0" w:color="auto"/>
              <w:right w:val="single" w:sz="4" w:space="0" w:color="auto"/>
            </w:tcBorders>
            <w:shd w:val="clear" w:color="auto" w:fill="auto"/>
            <w:noWrap/>
            <w:vAlign w:val="bottom"/>
            <w:hideMark/>
          </w:tcPr>
          <w:p w14:paraId="6214387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41,6</w:t>
            </w:r>
          </w:p>
        </w:tc>
        <w:tc>
          <w:tcPr>
            <w:tcW w:w="850" w:type="dxa"/>
            <w:tcBorders>
              <w:top w:val="nil"/>
              <w:left w:val="nil"/>
              <w:bottom w:val="single" w:sz="4" w:space="0" w:color="auto"/>
              <w:right w:val="single" w:sz="4" w:space="0" w:color="auto"/>
            </w:tcBorders>
            <w:shd w:val="clear" w:color="auto" w:fill="auto"/>
            <w:noWrap/>
            <w:vAlign w:val="bottom"/>
            <w:hideMark/>
          </w:tcPr>
          <w:p w14:paraId="3CC717A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38,4</w:t>
            </w:r>
          </w:p>
        </w:tc>
        <w:tc>
          <w:tcPr>
            <w:tcW w:w="851" w:type="dxa"/>
            <w:tcBorders>
              <w:top w:val="nil"/>
              <w:left w:val="nil"/>
              <w:bottom w:val="single" w:sz="4" w:space="0" w:color="auto"/>
              <w:right w:val="single" w:sz="4" w:space="0" w:color="auto"/>
            </w:tcBorders>
            <w:shd w:val="clear" w:color="auto" w:fill="auto"/>
            <w:noWrap/>
            <w:vAlign w:val="bottom"/>
            <w:hideMark/>
          </w:tcPr>
          <w:p w14:paraId="3CE252A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43,6</w:t>
            </w:r>
          </w:p>
        </w:tc>
        <w:tc>
          <w:tcPr>
            <w:tcW w:w="851" w:type="dxa"/>
            <w:tcBorders>
              <w:top w:val="nil"/>
              <w:left w:val="nil"/>
              <w:bottom w:val="single" w:sz="4" w:space="0" w:color="auto"/>
              <w:right w:val="single" w:sz="4" w:space="0" w:color="auto"/>
            </w:tcBorders>
            <w:shd w:val="clear" w:color="auto" w:fill="auto"/>
            <w:noWrap/>
            <w:vAlign w:val="bottom"/>
            <w:hideMark/>
          </w:tcPr>
          <w:p w14:paraId="5188CDD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40,9</w:t>
            </w:r>
          </w:p>
        </w:tc>
      </w:tr>
      <w:tr w:rsidR="006356F1" w:rsidRPr="00F65A52" w14:paraId="06A74D5A"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26C33EF1"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Anápolis</w:t>
            </w:r>
          </w:p>
        </w:tc>
        <w:tc>
          <w:tcPr>
            <w:tcW w:w="709" w:type="dxa"/>
            <w:tcBorders>
              <w:top w:val="nil"/>
              <w:left w:val="nil"/>
              <w:bottom w:val="single" w:sz="4" w:space="0" w:color="auto"/>
              <w:right w:val="single" w:sz="4" w:space="0" w:color="auto"/>
            </w:tcBorders>
            <w:shd w:val="clear" w:color="auto" w:fill="auto"/>
            <w:noWrap/>
            <w:vAlign w:val="bottom"/>
            <w:hideMark/>
          </w:tcPr>
          <w:p w14:paraId="2B527AF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5.120</w:t>
            </w:r>
          </w:p>
        </w:tc>
        <w:tc>
          <w:tcPr>
            <w:tcW w:w="709" w:type="dxa"/>
            <w:tcBorders>
              <w:top w:val="nil"/>
              <w:left w:val="nil"/>
              <w:bottom w:val="single" w:sz="4" w:space="0" w:color="auto"/>
              <w:right w:val="single" w:sz="4" w:space="0" w:color="auto"/>
            </w:tcBorders>
            <w:shd w:val="clear" w:color="auto" w:fill="auto"/>
            <w:noWrap/>
            <w:vAlign w:val="bottom"/>
            <w:hideMark/>
          </w:tcPr>
          <w:p w14:paraId="16453B24"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14.113</w:t>
            </w:r>
          </w:p>
        </w:tc>
        <w:tc>
          <w:tcPr>
            <w:tcW w:w="708" w:type="dxa"/>
            <w:tcBorders>
              <w:top w:val="nil"/>
              <w:left w:val="nil"/>
              <w:bottom w:val="single" w:sz="4" w:space="0" w:color="auto"/>
              <w:right w:val="single" w:sz="4" w:space="0" w:color="auto"/>
            </w:tcBorders>
            <w:shd w:val="clear" w:color="auto" w:fill="auto"/>
            <w:noWrap/>
            <w:vAlign w:val="bottom"/>
            <w:hideMark/>
          </w:tcPr>
          <w:p w14:paraId="78FA97E3"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2.381</w:t>
            </w:r>
          </w:p>
        </w:tc>
        <w:tc>
          <w:tcPr>
            <w:tcW w:w="709" w:type="dxa"/>
            <w:tcBorders>
              <w:top w:val="nil"/>
              <w:left w:val="nil"/>
              <w:bottom w:val="single" w:sz="4" w:space="0" w:color="auto"/>
              <w:right w:val="single" w:sz="4" w:space="0" w:color="auto"/>
            </w:tcBorders>
            <w:shd w:val="clear" w:color="auto" w:fill="auto"/>
            <w:noWrap/>
            <w:vAlign w:val="bottom"/>
            <w:hideMark/>
          </w:tcPr>
          <w:p w14:paraId="40A1C81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7.361</w:t>
            </w:r>
          </w:p>
        </w:tc>
        <w:tc>
          <w:tcPr>
            <w:tcW w:w="709" w:type="dxa"/>
            <w:tcBorders>
              <w:top w:val="nil"/>
              <w:left w:val="nil"/>
              <w:bottom w:val="single" w:sz="4" w:space="0" w:color="auto"/>
              <w:right w:val="single" w:sz="4" w:space="0" w:color="auto"/>
            </w:tcBorders>
            <w:shd w:val="clear" w:color="auto" w:fill="auto"/>
            <w:noWrap/>
            <w:vAlign w:val="bottom"/>
            <w:hideMark/>
          </w:tcPr>
          <w:p w14:paraId="1984FD8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2.739</w:t>
            </w:r>
          </w:p>
        </w:tc>
        <w:tc>
          <w:tcPr>
            <w:tcW w:w="709" w:type="dxa"/>
            <w:tcBorders>
              <w:top w:val="nil"/>
              <w:left w:val="nil"/>
              <w:bottom w:val="single" w:sz="4" w:space="0" w:color="auto"/>
              <w:right w:val="single" w:sz="4" w:space="0" w:color="auto"/>
            </w:tcBorders>
            <w:shd w:val="clear" w:color="auto" w:fill="auto"/>
            <w:noWrap/>
            <w:vAlign w:val="bottom"/>
            <w:hideMark/>
          </w:tcPr>
          <w:p w14:paraId="1DFF1D94"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6.752</w:t>
            </w:r>
          </w:p>
        </w:tc>
        <w:tc>
          <w:tcPr>
            <w:tcW w:w="708" w:type="dxa"/>
            <w:tcBorders>
              <w:top w:val="nil"/>
              <w:left w:val="nil"/>
              <w:bottom w:val="single" w:sz="4" w:space="0" w:color="auto"/>
              <w:right w:val="single" w:sz="4" w:space="0" w:color="auto"/>
            </w:tcBorders>
            <w:shd w:val="clear" w:color="auto" w:fill="auto"/>
            <w:noWrap/>
            <w:vAlign w:val="bottom"/>
            <w:hideMark/>
          </w:tcPr>
          <w:p w14:paraId="5F1E821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9,9</w:t>
            </w:r>
          </w:p>
        </w:tc>
        <w:tc>
          <w:tcPr>
            <w:tcW w:w="709" w:type="dxa"/>
            <w:tcBorders>
              <w:top w:val="nil"/>
              <w:left w:val="nil"/>
              <w:bottom w:val="single" w:sz="4" w:space="0" w:color="auto"/>
              <w:right w:val="single" w:sz="4" w:space="0" w:color="auto"/>
            </w:tcBorders>
            <w:shd w:val="clear" w:color="auto" w:fill="auto"/>
            <w:noWrap/>
            <w:vAlign w:val="bottom"/>
            <w:hideMark/>
          </w:tcPr>
          <w:p w14:paraId="3070B51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12,6</w:t>
            </w:r>
          </w:p>
        </w:tc>
        <w:tc>
          <w:tcPr>
            <w:tcW w:w="709" w:type="dxa"/>
            <w:tcBorders>
              <w:top w:val="nil"/>
              <w:left w:val="nil"/>
              <w:bottom w:val="single" w:sz="4" w:space="0" w:color="auto"/>
              <w:right w:val="single" w:sz="4" w:space="0" w:color="auto"/>
            </w:tcBorders>
            <w:shd w:val="clear" w:color="auto" w:fill="auto"/>
            <w:noWrap/>
            <w:vAlign w:val="bottom"/>
            <w:hideMark/>
          </w:tcPr>
          <w:p w14:paraId="6EDF46C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15,7</w:t>
            </w:r>
          </w:p>
        </w:tc>
        <w:tc>
          <w:tcPr>
            <w:tcW w:w="850" w:type="dxa"/>
            <w:tcBorders>
              <w:top w:val="nil"/>
              <w:left w:val="nil"/>
              <w:bottom w:val="single" w:sz="4" w:space="0" w:color="auto"/>
              <w:right w:val="single" w:sz="4" w:space="0" w:color="auto"/>
            </w:tcBorders>
            <w:shd w:val="clear" w:color="auto" w:fill="auto"/>
            <w:noWrap/>
            <w:vAlign w:val="bottom"/>
            <w:hideMark/>
          </w:tcPr>
          <w:p w14:paraId="06AB5F4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11,6</w:t>
            </w:r>
          </w:p>
        </w:tc>
        <w:tc>
          <w:tcPr>
            <w:tcW w:w="851" w:type="dxa"/>
            <w:tcBorders>
              <w:top w:val="nil"/>
              <w:left w:val="nil"/>
              <w:bottom w:val="single" w:sz="4" w:space="0" w:color="auto"/>
              <w:right w:val="single" w:sz="4" w:space="0" w:color="auto"/>
            </w:tcBorders>
            <w:shd w:val="clear" w:color="auto" w:fill="auto"/>
            <w:noWrap/>
            <w:vAlign w:val="bottom"/>
            <w:hideMark/>
          </w:tcPr>
          <w:p w14:paraId="777384C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7,6</w:t>
            </w:r>
          </w:p>
        </w:tc>
        <w:tc>
          <w:tcPr>
            <w:tcW w:w="851" w:type="dxa"/>
            <w:tcBorders>
              <w:top w:val="nil"/>
              <w:left w:val="nil"/>
              <w:bottom w:val="single" w:sz="4" w:space="0" w:color="auto"/>
              <w:right w:val="single" w:sz="4" w:space="0" w:color="auto"/>
            </w:tcBorders>
            <w:shd w:val="clear" w:color="auto" w:fill="auto"/>
            <w:noWrap/>
            <w:vAlign w:val="bottom"/>
            <w:hideMark/>
          </w:tcPr>
          <w:p w14:paraId="25BAB46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14,0</w:t>
            </w:r>
          </w:p>
        </w:tc>
      </w:tr>
      <w:tr w:rsidR="006356F1" w:rsidRPr="00F65A52" w14:paraId="14B27654"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5B4F342F"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Rio Verde</w:t>
            </w:r>
          </w:p>
        </w:tc>
        <w:tc>
          <w:tcPr>
            <w:tcW w:w="709" w:type="dxa"/>
            <w:tcBorders>
              <w:top w:val="nil"/>
              <w:left w:val="nil"/>
              <w:bottom w:val="single" w:sz="4" w:space="0" w:color="auto"/>
              <w:right w:val="single" w:sz="4" w:space="0" w:color="auto"/>
            </w:tcBorders>
            <w:shd w:val="clear" w:color="auto" w:fill="auto"/>
            <w:noWrap/>
            <w:vAlign w:val="bottom"/>
            <w:hideMark/>
          </w:tcPr>
          <w:p w14:paraId="0891DBA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2.809</w:t>
            </w:r>
          </w:p>
        </w:tc>
        <w:tc>
          <w:tcPr>
            <w:tcW w:w="709" w:type="dxa"/>
            <w:tcBorders>
              <w:top w:val="nil"/>
              <w:left w:val="nil"/>
              <w:bottom w:val="single" w:sz="4" w:space="0" w:color="auto"/>
              <w:right w:val="single" w:sz="4" w:space="0" w:color="auto"/>
            </w:tcBorders>
            <w:shd w:val="clear" w:color="auto" w:fill="auto"/>
            <w:noWrap/>
            <w:vAlign w:val="bottom"/>
            <w:hideMark/>
          </w:tcPr>
          <w:p w14:paraId="5EA42A5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10.473</w:t>
            </w:r>
          </w:p>
        </w:tc>
        <w:tc>
          <w:tcPr>
            <w:tcW w:w="708" w:type="dxa"/>
            <w:tcBorders>
              <w:top w:val="nil"/>
              <w:left w:val="nil"/>
              <w:bottom w:val="single" w:sz="4" w:space="0" w:color="auto"/>
              <w:right w:val="single" w:sz="4" w:space="0" w:color="auto"/>
            </w:tcBorders>
            <w:shd w:val="clear" w:color="auto" w:fill="auto"/>
            <w:noWrap/>
            <w:vAlign w:val="bottom"/>
            <w:hideMark/>
          </w:tcPr>
          <w:p w14:paraId="5AF97744"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983</w:t>
            </w:r>
          </w:p>
        </w:tc>
        <w:tc>
          <w:tcPr>
            <w:tcW w:w="709" w:type="dxa"/>
            <w:tcBorders>
              <w:top w:val="nil"/>
              <w:left w:val="nil"/>
              <w:bottom w:val="single" w:sz="4" w:space="0" w:color="auto"/>
              <w:right w:val="single" w:sz="4" w:space="0" w:color="auto"/>
            </w:tcBorders>
            <w:shd w:val="clear" w:color="auto" w:fill="auto"/>
            <w:noWrap/>
            <w:vAlign w:val="bottom"/>
            <w:hideMark/>
          </w:tcPr>
          <w:p w14:paraId="2F614AD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3.575</w:t>
            </w:r>
          </w:p>
        </w:tc>
        <w:tc>
          <w:tcPr>
            <w:tcW w:w="709" w:type="dxa"/>
            <w:tcBorders>
              <w:top w:val="nil"/>
              <w:left w:val="nil"/>
              <w:bottom w:val="single" w:sz="4" w:space="0" w:color="auto"/>
              <w:right w:val="single" w:sz="4" w:space="0" w:color="auto"/>
            </w:tcBorders>
            <w:shd w:val="clear" w:color="auto" w:fill="auto"/>
            <w:noWrap/>
            <w:vAlign w:val="bottom"/>
            <w:hideMark/>
          </w:tcPr>
          <w:p w14:paraId="4281CDF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1.826</w:t>
            </w:r>
          </w:p>
        </w:tc>
        <w:tc>
          <w:tcPr>
            <w:tcW w:w="709" w:type="dxa"/>
            <w:tcBorders>
              <w:top w:val="nil"/>
              <w:left w:val="nil"/>
              <w:bottom w:val="single" w:sz="4" w:space="0" w:color="auto"/>
              <w:right w:val="single" w:sz="4" w:space="0" w:color="auto"/>
            </w:tcBorders>
            <w:shd w:val="clear" w:color="auto" w:fill="auto"/>
            <w:noWrap/>
            <w:vAlign w:val="bottom"/>
            <w:hideMark/>
          </w:tcPr>
          <w:p w14:paraId="08C8244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6.898</w:t>
            </w:r>
          </w:p>
        </w:tc>
        <w:tc>
          <w:tcPr>
            <w:tcW w:w="708" w:type="dxa"/>
            <w:tcBorders>
              <w:top w:val="nil"/>
              <w:left w:val="nil"/>
              <w:bottom w:val="single" w:sz="4" w:space="0" w:color="auto"/>
              <w:right w:val="single" w:sz="4" w:space="0" w:color="auto"/>
            </w:tcBorders>
            <w:shd w:val="clear" w:color="auto" w:fill="auto"/>
            <w:noWrap/>
            <w:vAlign w:val="bottom"/>
            <w:hideMark/>
          </w:tcPr>
          <w:p w14:paraId="01236DB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5,5</w:t>
            </w:r>
          </w:p>
        </w:tc>
        <w:tc>
          <w:tcPr>
            <w:tcW w:w="709" w:type="dxa"/>
            <w:tcBorders>
              <w:top w:val="nil"/>
              <w:left w:val="nil"/>
              <w:bottom w:val="single" w:sz="4" w:space="0" w:color="auto"/>
              <w:right w:val="single" w:sz="4" w:space="0" w:color="auto"/>
            </w:tcBorders>
            <w:shd w:val="clear" w:color="auto" w:fill="auto"/>
            <w:noWrap/>
            <w:vAlign w:val="bottom"/>
            <w:hideMark/>
          </w:tcPr>
          <w:p w14:paraId="4734BD6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9,4</w:t>
            </w:r>
          </w:p>
        </w:tc>
        <w:tc>
          <w:tcPr>
            <w:tcW w:w="709" w:type="dxa"/>
            <w:tcBorders>
              <w:top w:val="nil"/>
              <w:left w:val="nil"/>
              <w:bottom w:val="single" w:sz="4" w:space="0" w:color="auto"/>
              <w:right w:val="single" w:sz="4" w:space="0" w:color="auto"/>
            </w:tcBorders>
            <w:shd w:val="clear" w:color="auto" w:fill="auto"/>
            <w:noWrap/>
            <w:vAlign w:val="bottom"/>
            <w:hideMark/>
          </w:tcPr>
          <w:p w14:paraId="4D51F90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6,5</w:t>
            </w:r>
          </w:p>
        </w:tc>
        <w:tc>
          <w:tcPr>
            <w:tcW w:w="850" w:type="dxa"/>
            <w:tcBorders>
              <w:top w:val="nil"/>
              <w:left w:val="nil"/>
              <w:bottom w:val="single" w:sz="4" w:space="0" w:color="auto"/>
              <w:right w:val="single" w:sz="4" w:space="0" w:color="auto"/>
            </w:tcBorders>
            <w:shd w:val="clear" w:color="auto" w:fill="auto"/>
            <w:noWrap/>
            <w:vAlign w:val="bottom"/>
            <w:hideMark/>
          </w:tcPr>
          <w:p w14:paraId="5CCC194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5,6</w:t>
            </w:r>
          </w:p>
        </w:tc>
        <w:tc>
          <w:tcPr>
            <w:tcW w:w="851" w:type="dxa"/>
            <w:tcBorders>
              <w:top w:val="nil"/>
              <w:left w:val="nil"/>
              <w:bottom w:val="single" w:sz="4" w:space="0" w:color="auto"/>
              <w:right w:val="single" w:sz="4" w:space="0" w:color="auto"/>
            </w:tcBorders>
            <w:shd w:val="clear" w:color="auto" w:fill="auto"/>
            <w:noWrap/>
            <w:vAlign w:val="bottom"/>
            <w:hideMark/>
          </w:tcPr>
          <w:p w14:paraId="1CF1889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5,0</w:t>
            </w:r>
          </w:p>
        </w:tc>
        <w:tc>
          <w:tcPr>
            <w:tcW w:w="851" w:type="dxa"/>
            <w:tcBorders>
              <w:top w:val="nil"/>
              <w:left w:val="nil"/>
              <w:bottom w:val="single" w:sz="4" w:space="0" w:color="auto"/>
              <w:right w:val="single" w:sz="4" w:space="0" w:color="auto"/>
            </w:tcBorders>
            <w:shd w:val="clear" w:color="auto" w:fill="auto"/>
            <w:noWrap/>
            <w:vAlign w:val="bottom"/>
            <w:hideMark/>
          </w:tcPr>
          <w:p w14:paraId="7910CDC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14,3</w:t>
            </w:r>
          </w:p>
        </w:tc>
      </w:tr>
      <w:tr w:rsidR="006356F1" w:rsidRPr="00F65A52" w14:paraId="159CDB3A"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1D7228E5"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Itumbiara</w:t>
            </w:r>
          </w:p>
        </w:tc>
        <w:tc>
          <w:tcPr>
            <w:tcW w:w="709" w:type="dxa"/>
            <w:tcBorders>
              <w:top w:val="nil"/>
              <w:left w:val="nil"/>
              <w:bottom w:val="single" w:sz="4" w:space="0" w:color="auto"/>
              <w:right w:val="single" w:sz="4" w:space="0" w:color="auto"/>
            </w:tcBorders>
            <w:shd w:val="clear" w:color="auto" w:fill="auto"/>
            <w:noWrap/>
            <w:vAlign w:val="bottom"/>
            <w:hideMark/>
          </w:tcPr>
          <w:p w14:paraId="3F978B6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2.692</w:t>
            </w:r>
          </w:p>
        </w:tc>
        <w:tc>
          <w:tcPr>
            <w:tcW w:w="709" w:type="dxa"/>
            <w:tcBorders>
              <w:top w:val="nil"/>
              <w:left w:val="nil"/>
              <w:bottom w:val="single" w:sz="4" w:space="0" w:color="auto"/>
              <w:right w:val="single" w:sz="4" w:space="0" w:color="auto"/>
            </w:tcBorders>
            <w:shd w:val="clear" w:color="auto" w:fill="auto"/>
            <w:noWrap/>
            <w:vAlign w:val="bottom"/>
            <w:hideMark/>
          </w:tcPr>
          <w:p w14:paraId="33CB6FF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7.121</w:t>
            </w:r>
          </w:p>
        </w:tc>
        <w:tc>
          <w:tcPr>
            <w:tcW w:w="708" w:type="dxa"/>
            <w:tcBorders>
              <w:top w:val="nil"/>
              <w:left w:val="nil"/>
              <w:bottom w:val="single" w:sz="4" w:space="0" w:color="auto"/>
              <w:right w:val="single" w:sz="4" w:space="0" w:color="auto"/>
            </w:tcBorders>
            <w:shd w:val="clear" w:color="auto" w:fill="auto"/>
            <w:noWrap/>
            <w:vAlign w:val="bottom"/>
            <w:hideMark/>
          </w:tcPr>
          <w:p w14:paraId="1E9435F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216</w:t>
            </w:r>
          </w:p>
        </w:tc>
        <w:tc>
          <w:tcPr>
            <w:tcW w:w="709" w:type="dxa"/>
            <w:tcBorders>
              <w:top w:val="nil"/>
              <w:left w:val="nil"/>
              <w:bottom w:val="single" w:sz="4" w:space="0" w:color="auto"/>
              <w:right w:val="single" w:sz="4" w:space="0" w:color="auto"/>
            </w:tcBorders>
            <w:shd w:val="clear" w:color="auto" w:fill="auto"/>
            <w:noWrap/>
            <w:vAlign w:val="bottom"/>
            <w:hideMark/>
          </w:tcPr>
          <w:p w14:paraId="36E83F7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3.872</w:t>
            </w:r>
          </w:p>
        </w:tc>
        <w:tc>
          <w:tcPr>
            <w:tcW w:w="709" w:type="dxa"/>
            <w:tcBorders>
              <w:top w:val="nil"/>
              <w:left w:val="nil"/>
              <w:bottom w:val="single" w:sz="4" w:space="0" w:color="auto"/>
              <w:right w:val="single" w:sz="4" w:space="0" w:color="auto"/>
            </w:tcBorders>
            <w:shd w:val="clear" w:color="auto" w:fill="auto"/>
            <w:noWrap/>
            <w:vAlign w:val="bottom"/>
            <w:hideMark/>
          </w:tcPr>
          <w:p w14:paraId="06D8A60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2.476</w:t>
            </w:r>
          </w:p>
        </w:tc>
        <w:tc>
          <w:tcPr>
            <w:tcW w:w="709" w:type="dxa"/>
            <w:tcBorders>
              <w:top w:val="nil"/>
              <w:left w:val="nil"/>
              <w:bottom w:val="single" w:sz="4" w:space="0" w:color="auto"/>
              <w:right w:val="single" w:sz="4" w:space="0" w:color="auto"/>
            </w:tcBorders>
            <w:shd w:val="clear" w:color="auto" w:fill="auto"/>
            <w:noWrap/>
            <w:vAlign w:val="bottom"/>
            <w:hideMark/>
          </w:tcPr>
          <w:p w14:paraId="406651E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3.249</w:t>
            </w:r>
          </w:p>
        </w:tc>
        <w:tc>
          <w:tcPr>
            <w:tcW w:w="708" w:type="dxa"/>
            <w:tcBorders>
              <w:top w:val="nil"/>
              <w:left w:val="nil"/>
              <w:bottom w:val="single" w:sz="4" w:space="0" w:color="auto"/>
              <w:right w:val="single" w:sz="4" w:space="0" w:color="auto"/>
            </w:tcBorders>
            <w:shd w:val="clear" w:color="auto" w:fill="auto"/>
            <w:noWrap/>
            <w:vAlign w:val="bottom"/>
            <w:hideMark/>
          </w:tcPr>
          <w:p w14:paraId="3060F25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5,2</w:t>
            </w:r>
          </w:p>
        </w:tc>
        <w:tc>
          <w:tcPr>
            <w:tcW w:w="709" w:type="dxa"/>
            <w:tcBorders>
              <w:top w:val="nil"/>
              <w:left w:val="nil"/>
              <w:bottom w:val="single" w:sz="4" w:space="0" w:color="auto"/>
              <w:right w:val="single" w:sz="4" w:space="0" w:color="auto"/>
            </w:tcBorders>
            <w:shd w:val="clear" w:color="auto" w:fill="auto"/>
            <w:noWrap/>
            <w:vAlign w:val="bottom"/>
            <w:hideMark/>
          </w:tcPr>
          <w:p w14:paraId="123D00B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6,4</w:t>
            </w:r>
          </w:p>
        </w:tc>
        <w:tc>
          <w:tcPr>
            <w:tcW w:w="709" w:type="dxa"/>
            <w:tcBorders>
              <w:top w:val="nil"/>
              <w:left w:val="nil"/>
              <w:bottom w:val="single" w:sz="4" w:space="0" w:color="auto"/>
              <w:right w:val="single" w:sz="4" w:space="0" w:color="auto"/>
            </w:tcBorders>
            <w:shd w:val="clear" w:color="auto" w:fill="auto"/>
            <w:noWrap/>
            <w:vAlign w:val="bottom"/>
            <w:hideMark/>
          </w:tcPr>
          <w:p w14:paraId="4952416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1,4</w:t>
            </w:r>
          </w:p>
        </w:tc>
        <w:tc>
          <w:tcPr>
            <w:tcW w:w="850" w:type="dxa"/>
            <w:tcBorders>
              <w:top w:val="nil"/>
              <w:left w:val="nil"/>
              <w:bottom w:val="single" w:sz="4" w:space="0" w:color="auto"/>
              <w:right w:val="single" w:sz="4" w:space="0" w:color="auto"/>
            </w:tcBorders>
            <w:shd w:val="clear" w:color="auto" w:fill="auto"/>
            <w:noWrap/>
            <w:vAlign w:val="bottom"/>
            <w:hideMark/>
          </w:tcPr>
          <w:p w14:paraId="73A3F81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6,1</w:t>
            </w:r>
          </w:p>
        </w:tc>
        <w:tc>
          <w:tcPr>
            <w:tcW w:w="851" w:type="dxa"/>
            <w:tcBorders>
              <w:top w:val="nil"/>
              <w:left w:val="nil"/>
              <w:bottom w:val="single" w:sz="4" w:space="0" w:color="auto"/>
              <w:right w:val="single" w:sz="4" w:space="0" w:color="auto"/>
            </w:tcBorders>
            <w:shd w:val="clear" w:color="auto" w:fill="auto"/>
            <w:noWrap/>
            <w:vAlign w:val="bottom"/>
            <w:hideMark/>
          </w:tcPr>
          <w:p w14:paraId="747164D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6,8</w:t>
            </w:r>
          </w:p>
        </w:tc>
        <w:tc>
          <w:tcPr>
            <w:tcW w:w="851" w:type="dxa"/>
            <w:tcBorders>
              <w:top w:val="nil"/>
              <w:left w:val="nil"/>
              <w:bottom w:val="single" w:sz="4" w:space="0" w:color="auto"/>
              <w:right w:val="single" w:sz="4" w:space="0" w:color="auto"/>
            </w:tcBorders>
            <w:shd w:val="clear" w:color="auto" w:fill="auto"/>
            <w:noWrap/>
            <w:vAlign w:val="bottom"/>
            <w:hideMark/>
          </w:tcPr>
          <w:p w14:paraId="3D3782A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6,7</w:t>
            </w:r>
          </w:p>
        </w:tc>
      </w:tr>
      <w:tr w:rsidR="006356F1" w:rsidRPr="00F65A52" w14:paraId="599624CD"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3D92F246"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Ceres - Rialma - Goianésia</w:t>
            </w:r>
          </w:p>
        </w:tc>
        <w:tc>
          <w:tcPr>
            <w:tcW w:w="709" w:type="dxa"/>
            <w:tcBorders>
              <w:top w:val="nil"/>
              <w:left w:val="nil"/>
              <w:bottom w:val="single" w:sz="4" w:space="0" w:color="auto"/>
              <w:right w:val="single" w:sz="4" w:space="0" w:color="auto"/>
            </w:tcBorders>
            <w:shd w:val="clear" w:color="auto" w:fill="auto"/>
            <w:noWrap/>
            <w:vAlign w:val="bottom"/>
            <w:hideMark/>
          </w:tcPr>
          <w:p w14:paraId="496535B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6.119</w:t>
            </w:r>
          </w:p>
        </w:tc>
        <w:tc>
          <w:tcPr>
            <w:tcW w:w="709" w:type="dxa"/>
            <w:tcBorders>
              <w:top w:val="nil"/>
              <w:left w:val="nil"/>
              <w:bottom w:val="single" w:sz="4" w:space="0" w:color="auto"/>
              <w:right w:val="single" w:sz="4" w:space="0" w:color="auto"/>
            </w:tcBorders>
            <w:shd w:val="clear" w:color="auto" w:fill="auto"/>
            <w:noWrap/>
            <w:vAlign w:val="bottom"/>
            <w:hideMark/>
          </w:tcPr>
          <w:p w14:paraId="4ACB19A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5.367</w:t>
            </w:r>
          </w:p>
        </w:tc>
        <w:tc>
          <w:tcPr>
            <w:tcW w:w="708" w:type="dxa"/>
            <w:tcBorders>
              <w:top w:val="nil"/>
              <w:left w:val="nil"/>
              <w:bottom w:val="single" w:sz="4" w:space="0" w:color="auto"/>
              <w:right w:val="single" w:sz="4" w:space="0" w:color="auto"/>
            </w:tcBorders>
            <w:shd w:val="clear" w:color="auto" w:fill="auto"/>
            <w:noWrap/>
            <w:vAlign w:val="bottom"/>
            <w:hideMark/>
          </w:tcPr>
          <w:p w14:paraId="6CA409E3"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699</w:t>
            </w:r>
          </w:p>
        </w:tc>
        <w:tc>
          <w:tcPr>
            <w:tcW w:w="709" w:type="dxa"/>
            <w:tcBorders>
              <w:top w:val="nil"/>
              <w:left w:val="nil"/>
              <w:bottom w:val="single" w:sz="4" w:space="0" w:color="auto"/>
              <w:right w:val="single" w:sz="4" w:space="0" w:color="auto"/>
            </w:tcBorders>
            <w:shd w:val="clear" w:color="auto" w:fill="auto"/>
            <w:noWrap/>
            <w:vAlign w:val="bottom"/>
            <w:hideMark/>
          </w:tcPr>
          <w:p w14:paraId="6C1C2AB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2.140</w:t>
            </w:r>
          </w:p>
        </w:tc>
        <w:tc>
          <w:tcPr>
            <w:tcW w:w="709" w:type="dxa"/>
            <w:tcBorders>
              <w:top w:val="nil"/>
              <w:left w:val="nil"/>
              <w:bottom w:val="single" w:sz="4" w:space="0" w:color="auto"/>
              <w:right w:val="single" w:sz="4" w:space="0" w:color="auto"/>
            </w:tcBorders>
            <w:shd w:val="clear" w:color="auto" w:fill="auto"/>
            <w:noWrap/>
            <w:vAlign w:val="bottom"/>
            <w:hideMark/>
          </w:tcPr>
          <w:p w14:paraId="0F9FCC5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5.420</w:t>
            </w:r>
          </w:p>
        </w:tc>
        <w:tc>
          <w:tcPr>
            <w:tcW w:w="709" w:type="dxa"/>
            <w:tcBorders>
              <w:top w:val="nil"/>
              <w:left w:val="nil"/>
              <w:bottom w:val="single" w:sz="4" w:space="0" w:color="auto"/>
              <w:right w:val="single" w:sz="4" w:space="0" w:color="auto"/>
            </w:tcBorders>
            <w:shd w:val="clear" w:color="auto" w:fill="auto"/>
            <w:noWrap/>
            <w:vAlign w:val="bottom"/>
            <w:hideMark/>
          </w:tcPr>
          <w:p w14:paraId="006F8E1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3.227</w:t>
            </w:r>
          </w:p>
        </w:tc>
        <w:tc>
          <w:tcPr>
            <w:tcW w:w="708" w:type="dxa"/>
            <w:tcBorders>
              <w:top w:val="nil"/>
              <w:left w:val="nil"/>
              <w:bottom w:val="single" w:sz="4" w:space="0" w:color="auto"/>
              <w:right w:val="single" w:sz="4" w:space="0" w:color="auto"/>
            </w:tcBorders>
            <w:shd w:val="clear" w:color="auto" w:fill="auto"/>
            <w:noWrap/>
            <w:vAlign w:val="bottom"/>
            <w:hideMark/>
          </w:tcPr>
          <w:p w14:paraId="52AB93D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11,9</w:t>
            </w:r>
          </w:p>
        </w:tc>
        <w:tc>
          <w:tcPr>
            <w:tcW w:w="709" w:type="dxa"/>
            <w:tcBorders>
              <w:top w:val="nil"/>
              <w:left w:val="nil"/>
              <w:bottom w:val="single" w:sz="4" w:space="0" w:color="auto"/>
              <w:right w:val="single" w:sz="4" w:space="0" w:color="auto"/>
            </w:tcBorders>
            <w:shd w:val="clear" w:color="auto" w:fill="auto"/>
            <w:noWrap/>
            <w:vAlign w:val="bottom"/>
            <w:hideMark/>
          </w:tcPr>
          <w:p w14:paraId="1B53D73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4,8</w:t>
            </w:r>
          </w:p>
        </w:tc>
        <w:tc>
          <w:tcPr>
            <w:tcW w:w="709" w:type="dxa"/>
            <w:tcBorders>
              <w:top w:val="nil"/>
              <w:left w:val="nil"/>
              <w:bottom w:val="single" w:sz="4" w:space="0" w:color="auto"/>
              <w:right w:val="single" w:sz="4" w:space="0" w:color="auto"/>
            </w:tcBorders>
            <w:shd w:val="clear" w:color="auto" w:fill="auto"/>
            <w:noWrap/>
            <w:vAlign w:val="bottom"/>
            <w:hideMark/>
          </w:tcPr>
          <w:p w14:paraId="7A73D65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4,6</w:t>
            </w:r>
          </w:p>
        </w:tc>
        <w:tc>
          <w:tcPr>
            <w:tcW w:w="850" w:type="dxa"/>
            <w:tcBorders>
              <w:top w:val="nil"/>
              <w:left w:val="nil"/>
              <w:bottom w:val="single" w:sz="4" w:space="0" w:color="auto"/>
              <w:right w:val="single" w:sz="4" w:space="0" w:color="auto"/>
            </w:tcBorders>
            <w:shd w:val="clear" w:color="auto" w:fill="auto"/>
            <w:noWrap/>
            <w:vAlign w:val="bottom"/>
            <w:hideMark/>
          </w:tcPr>
          <w:p w14:paraId="48F3538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3,4</w:t>
            </w:r>
          </w:p>
        </w:tc>
        <w:tc>
          <w:tcPr>
            <w:tcW w:w="851" w:type="dxa"/>
            <w:tcBorders>
              <w:top w:val="nil"/>
              <w:left w:val="nil"/>
              <w:bottom w:val="single" w:sz="4" w:space="0" w:color="auto"/>
              <w:right w:val="single" w:sz="4" w:space="0" w:color="auto"/>
            </w:tcBorders>
            <w:shd w:val="clear" w:color="auto" w:fill="auto"/>
            <w:noWrap/>
            <w:vAlign w:val="bottom"/>
            <w:hideMark/>
          </w:tcPr>
          <w:p w14:paraId="39D910A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14,9</w:t>
            </w:r>
          </w:p>
        </w:tc>
        <w:tc>
          <w:tcPr>
            <w:tcW w:w="851" w:type="dxa"/>
            <w:tcBorders>
              <w:top w:val="nil"/>
              <w:left w:val="nil"/>
              <w:bottom w:val="single" w:sz="4" w:space="0" w:color="auto"/>
              <w:right w:val="single" w:sz="4" w:space="0" w:color="auto"/>
            </w:tcBorders>
            <w:shd w:val="clear" w:color="auto" w:fill="auto"/>
            <w:noWrap/>
            <w:vAlign w:val="bottom"/>
            <w:hideMark/>
          </w:tcPr>
          <w:p w14:paraId="5761AF7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6,7</w:t>
            </w:r>
          </w:p>
        </w:tc>
      </w:tr>
      <w:tr w:rsidR="006356F1" w:rsidRPr="00F65A52" w14:paraId="0954C1BC"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700EB6DE"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Inhumas - Itaberaí - Anicuns</w:t>
            </w:r>
          </w:p>
        </w:tc>
        <w:tc>
          <w:tcPr>
            <w:tcW w:w="709" w:type="dxa"/>
            <w:tcBorders>
              <w:top w:val="nil"/>
              <w:left w:val="nil"/>
              <w:bottom w:val="single" w:sz="4" w:space="0" w:color="auto"/>
              <w:right w:val="single" w:sz="4" w:space="0" w:color="auto"/>
            </w:tcBorders>
            <w:shd w:val="clear" w:color="auto" w:fill="auto"/>
            <w:noWrap/>
            <w:vAlign w:val="bottom"/>
            <w:hideMark/>
          </w:tcPr>
          <w:p w14:paraId="7F8A602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3.904</w:t>
            </w:r>
          </w:p>
        </w:tc>
        <w:tc>
          <w:tcPr>
            <w:tcW w:w="709" w:type="dxa"/>
            <w:tcBorders>
              <w:top w:val="nil"/>
              <w:left w:val="nil"/>
              <w:bottom w:val="single" w:sz="4" w:space="0" w:color="auto"/>
              <w:right w:val="single" w:sz="4" w:space="0" w:color="auto"/>
            </w:tcBorders>
            <w:shd w:val="clear" w:color="auto" w:fill="auto"/>
            <w:noWrap/>
            <w:vAlign w:val="bottom"/>
            <w:hideMark/>
          </w:tcPr>
          <w:p w14:paraId="7A979B9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4.444</w:t>
            </w:r>
          </w:p>
        </w:tc>
        <w:tc>
          <w:tcPr>
            <w:tcW w:w="708" w:type="dxa"/>
            <w:tcBorders>
              <w:top w:val="nil"/>
              <w:left w:val="nil"/>
              <w:bottom w:val="single" w:sz="4" w:space="0" w:color="auto"/>
              <w:right w:val="single" w:sz="4" w:space="0" w:color="auto"/>
            </w:tcBorders>
            <w:shd w:val="clear" w:color="auto" w:fill="auto"/>
            <w:noWrap/>
            <w:vAlign w:val="bottom"/>
            <w:hideMark/>
          </w:tcPr>
          <w:p w14:paraId="253917E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1.160</w:t>
            </w:r>
          </w:p>
        </w:tc>
        <w:tc>
          <w:tcPr>
            <w:tcW w:w="709" w:type="dxa"/>
            <w:tcBorders>
              <w:top w:val="nil"/>
              <w:left w:val="nil"/>
              <w:bottom w:val="single" w:sz="4" w:space="0" w:color="auto"/>
              <w:right w:val="single" w:sz="4" w:space="0" w:color="auto"/>
            </w:tcBorders>
            <w:shd w:val="clear" w:color="auto" w:fill="auto"/>
            <w:noWrap/>
            <w:vAlign w:val="bottom"/>
            <w:hideMark/>
          </w:tcPr>
          <w:p w14:paraId="1A577C6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1.096</w:t>
            </w:r>
          </w:p>
        </w:tc>
        <w:tc>
          <w:tcPr>
            <w:tcW w:w="709" w:type="dxa"/>
            <w:tcBorders>
              <w:top w:val="nil"/>
              <w:left w:val="nil"/>
              <w:bottom w:val="single" w:sz="4" w:space="0" w:color="auto"/>
              <w:right w:val="single" w:sz="4" w:space="0" w:color="auto"/>
            </w:tcBorders>
            <w:shd w:val="clear" w:color="auto" w:fill="auto"/>
            <w:noWrap/>
            <w:vAlign w:val="bottom"/>
            <w:hideMark/>
          </w:tcPr>
          <w:p w14:paraId="294C095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2.744</w:t>
            </w:r>
          </w:p>
        </w:tc>
        <w:tc>
          <w:tcPr>
            <w:tcW w:w="709" w:type="dxa"/>
            <w:tcBorders>
              <w:top w:val="nil"/>
              <w:left w:val="nil"/>
              <w:bottom w:val="single" w:sz="4" w:space="0" w:color="auto"/>
              <w:right w:val="single" w:sz="4" w:space="0" w:color="auto"/>
            </w:tcBorders>
            <w:shd w:val="clear" w:color="auto" w:fill="auto"/>
            <w:noWrap/>
            <w:vAlign w:val="bottom"/>
            <w:hideMark/>
          </w:tcPr>
          <w:p w14:paraId="650FB9A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3.347</w:t>
            </w:r>
          </w:p>
        </w:tc>
        <w:tc>
          <w:tcPr>
            <w:tcW w:w="708" w:type="dxa"/>
            <w:tcBorders>
              <w:top w:val="nil"/>
              <w:left w:val="nil"/>
              <w:bottom w:val="single" w:sz="4" w:space="0" w:color="auto"/>
              <w:right w:val="single" w:sz="4" w:space="0" w:color="auto"/>
            </w:tcBorders>
            <w:shd w:val="clear" w:color="auto" w:fill="auto"/>
            <w:noWrap/>
            <w:vAlign w:val="bottom"/>
            <w:hideMark/>
          </w:tcPr>
          <w:p w14:paraId="27523474"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7,6</w:t>
            </w:r>
          </w:p>
        </w:tc>
        <w:tc>
          <w:tcPr>
            <w:tcW w:w="709" w:type="dxa"/>
            <w:tcBorders>
              <w:top w:val="nil"/>
              <w:left w:val="nil"/>
              <w:bottom w:val="single" w:sz="4" w:space="0" w:color="auto"/>
              <w:right w:val="single" w:sz="4" w:space="0" w:color="auto"/>
            </w:tcBorders>
            <w:shd w:val="clear" w:color="auto" w:fill="auto"/>
            <w:noWrap/>
            <w:vAlign w:val="bottom"/>
            <w:hideMark/>
          </w:tcPr>
          <w:p w14:paraId="17B3187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4,0</w:t>
            </w:r>
          </w:p>
        </w:tc>
        <w:tc>
          <w:tcPr>
            <w:tcW w:w="709" w:type="dxa"/>
            <w:tcBorders>
              <w:top w:val="nil"/>
              <w:left w:val="nil"/>
              <w:bottom w:val="single" w:sz="4" w:space="0" w:color="auto"/>
              <w:right w:val="single" w:sz="4" w:space="0" w:color="auto"/>
            </w:tcBorders>
            <w:shd w:val="clear" w:color="auto" w:fill="auto"/>
            <w:noWrap/>
            <w:vAlign w:val="bottom"/>
            <w:hideMark/>
          </w:tcPr>
          <w:p w14:paraId="4CBF3ECA"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7,6</w:t>
            </w:r>
          </w:p>
        </w:tc>
        <w:tc>
          <w:tcPr>
            <w:tcW w:w="850" w:type="dxa"/>
            <w:tcBorders>
              <w:top w:val="nil"/>
              <w:left w:val="nil"/>
              <w:bottom w:val="single" w:sz="4" w:space="0" w:color="auto"/>
              <w:right w:val="single" w:sz="4" w:space="0" w:color="auto"/>
            </w:tcBorders>
            <w:shd w:val="clear" w:color="auto" w:fill="auto"/>
            <w:noWrap/>
            <w:vAlign w:val="bottom"/>
            <w:hideMark/>
          </w:tcPr>
          <w:p w14:paraId="5FD89AE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1,7</w:t>
            </w:r>
          </w:p>
        </w:tc>
        <w:tc>
          <w:tcPr>
            <w:tcW w:w="851" w:type="dxa"/>
            <w:tcBorders>
              <w:top w:val="nil"/>
              <w:left w:val="nil"/>
              <w:bottom w:val="single" w:sz="4" w:space="0" w:color="auto"/>
              <w:right w:val="single" w:sz="4" w:space="0" w:color="auto"/>
            </w:tcBorders>
            <w:shd w:val="clear" w:color="auto" w:fill="auto"/>
            <w:noWrap/>
            <w:vAlign w:val="bottom"/>
            <w:hideMark/>
          </w:tcPr>
          <w:p w14:paraId="13BA9F3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7,6</w:t>
            </w:r>
          </w:p>
        </w:tc>
        <w:tc>
          <w:tcPr>
            <w:tcW w:w="851" w:type="dxa"/>
            <w:tcBorders>
              <w:top w:val="nil"/>
              <w:left w:val="nil"/>
              <w:bottom w:val="single" w:sz="4" w:space="0" w:color="auto"/>
              <w:right w:val="single" w:sz="4" w:space="0" w:color="auto"/>
            </w:tcBorders>
            <w:shd w:val="clear" w:color="auto" w:fill="auto"/>
            <w:noWrap/>
            <w:vAlign w:val="bottom"/>
            <w:hideMark/>
          </w:tcPr>
          <w:p w14:paraId="797B46B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6,9</w:t>
            </w:r>
          </w:p>
        </w:tc>
      </w:tr>
      <w:tr w:rsidR="006356F1" w:rsidRPr="00F65A52" w14:paraId="2039C552"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13990877"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Quirinópolis</w:t>
            </w:r>
          </w:p>
        </w:tc>
        <w:tc>
          <w:tcPr>
            <w:tcW w:w="709" w:type="dxa"/>
            <w:tcBorders>
              <w:top w:val="nil"/>
              <w:left w:val="nil"/>
              <w:bottom w:val="single" w:sz="4" w:space="0" w:color="auto"/>
              <w:right w:val="single" w:sz="4" w:space="0" w:color="auto"/>
            </w:tcBorders>
            <w:shd w:val="clear" w:color="auto" w:fill="auto"/>
            <w:noWrap/>
            <w:vAlign w:val="bottom"/>
            <w:hideMark/>
          </w:tcPr>
          <w:p w14:paraId="70E6756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332</w:t>
            </w:r>
          </w:p>
        </w:tc>
        <w:tc>
          <w:tcPr>
            <w:tcW w:w="709" w:type="dxa"/>
            <w:tcBorders>
              <w:top w:val="nil"/>
              <w:left w:val="nil"/>
              <w:bottom w:val="single" w:sz="4" w:space="0" w:color="auto"/>
              <w:right w:val="single" w:sz="4" w:space="0" w:color="auto"/>
            </w:tcBorders>
            <w:shd w:val="clear" w:color="auto" w:fill="auto"/>
            <w:noWrap/>
            <w:vAlign w:val="bottom"/>
            <w:hideMark/>
          </w:tcPr>
          <w:p w14:paraId="5433B94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4.414</w:t>
            </w:r>
          </w:p>
        </w:tc>
        <w:tc>
          <w:tcPr>
            <w:tcW w:w="708" w:type="dxa"/>
            <w:tcBorders>
              <w:top w:val="nil"/>
              <w:left w:val="nil"/>
              <w:bottom w:val="single" w:sz="4" w:space="0" w:color="auto"/>
              <w:right w:val="single" w:sz="4" w:space="0" w:color="auto"/>
            </w:tcBorders>
            <w:shd w:val="clear" w:color="auto" w:fill="auto"/>
            <w:noWrap/>
            <w:vAlign w:val="bottom"/>
            <w:hideMark/>
          </w:tcPr>
          <w:p w14:paraId="5F57BB2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199</w:t>
            </w:r>
          </w:p>
        </w:tc>
        <w:tc>
          <w:tcPr>
            <w:tcW w:w="709" w:type="dxa"/>
            <w:tcBorders>
              <w:top w:val="nil"/>
              <w:left w:val="nil"/>
              <w:bottom w:val="single" w:sz="4" w:space="0" w:color="auto"/>
              <w:right w:val="single" w:sz="4" w:space="0" w:color="auto"/>
            </w:tcBorders>
            <w:shd w:val="clear" w:color="auto" w:fill="auto"/>
            <w:noWrap/>
            <w:vAlign w:val="bottom"/>
            <w:hideMark/>
          </w:tcPr>
          <w:p w14:paraId="43B473C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4.143</w:t>
            </w:r>
          </w:p>
        </w:tc>
        <w:tc>
          <w:tcPr>
            <w:tcW w:w="709" w:type="dxa"/>
            <w:tcBorders>
              <w:top w:val="nil"/>
              <w:left w:val="nil"/>
              <w:bottom w:val="single" w:sz="4" w:space="0" w:color="auto"/>
              <w:right w:val="single" w:sz="4" w:space="0" w:color="auto"/>
            </w:tcBorders>
            <w:shd w:val="clear" w:color="auto" w:fill="auto"/>
            <w:noWrap/>
            <w:vAlign w:val="bottom"/>
            <w:hideMark/>
          </w:tcPr>
          <w:p w14:paraId="7CCA8F9A"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133</w:t>
            </w:r>
          </w:p>
        </w:tc>
        <w:tc>
          <w:tcPr>
            <w:tcW w:w="709" w:type="dxa"/>
            <w:tcBorders>
              <w:top w:val="nil"/>
              <w:left w:val="nil"/>
              <w:bottom w:val="single" w:sz="4" w:space="0" w:color="auto"/>
              <w:right w:val="single" w:sz="4" w:space="0" w:color="auto"/>
            </w:tcBorders>
            <w:shd w:val="clear" w:color="auto" w:fill="auto"/>
            <w:noWrap/>
            <w:vAlign w:val="bottom"/>
            <w:hideMark/>
          </w:tcPr>
          <w:p w14:paraId="01F3FFE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270</w:t>
            </w:r>
          </w:p>
        </w:tc>
        <w:tc>
          <w:tcPr>
            <w:tcW w:w="708" w:type="dxa"/>
            <w:tcBorders>
              <w:top w:val="nil"/>
              <w:left w:val="nil"/>
              <w:bottom w:val="single" w:sz="4" w:space="0" w:color="auto"/>
              <w:right w:val="single" w:sz="4" w:space="0" w:color="auto"/>
            </w:tcBorders>
            <w:shd w:val="clear" w:color="auto" w:fill="auto"/>
            <w:noWrap/>
            <w:vAlign w:val="bottom"/>
            <w:hideMark/>
          </w:tcPr>
          <w:p w14:paraId="08AC3B2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0,6</w:t>
            </w:r>
          </w:p>
        </w:tc>
        <w:tc>
          <w:tcPr>
            <w:tcW w:w="709" w:type="dxa"/>
            <w:tcBorders>
              <w:top w:val="nil"/>
              <w:left w:val="nil"/>
              <w:bottom w:val="single" w:sz="4" w:space="0" w:color="auto"/>
              <w:right w:val="single" w:sz="4" w:space="0" w:color="auto"/>
            </w:tcBorders>
            <w:shd w:val="clear" w:color="auto" w:fill="auto"/>
            <w:noWrap/>
            <w:vAlign w:val="bottom"/>
            <w:hideMark/>
          </w:tcPr>
          <w:p w14:paraId="5266D80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4,0</w:t>
            </w:r>
          </w:p>
        </w:tc>
        <w:tc>
          <w:tcPr>
            <w:tcW w:w="709" w:type="dxa"/>
            <w:tcBorders>
              <w:top w:val="nil"/>
              <w:left w:val="nil"/>
              <w:bottom w:val="single" w:sz="4" w:space="0" w:color="auto"/>
              <w:right w:val="single" w:sz="4" w:space="0" w:color="auto"/>
            </w:tcBorders>
            <w:shd w:val="clear" w:color="auto" w:fill="auto"/>
            <w:noWrap/>
            <w:vAlign w:val="bottom"/>
            <w:hideMark/>
          </w:tcPr>
          <w:p w14:paraId="4E7B9673"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1,3</w:t>
            </w:r>
          </w:p>
        </w:tc>
        <w:tc>
          <w:tcPr>
            <w:tcW w:w="850" w:type="dxa"/>
            <w:tcBorders>
              <w:top w:val="nil"/>
              <w:left w:val="nil"/>
              <w:bottom w:val="single" w:sz="4" w:space="0" w:color="auto"/>
              <w:right w:val="single" w:sz="4" w:space="0" w:color="auto"/>
            </w:tcBorders>
            <w:shd w:val="clear" w:color="auto" w:fill="auto"/>
            <w:noWrap/>
            <w:vAlign w:val="bottom"/>
            <w:hideMark/>
          </w:tcPr>
          <w:p w14:paraId="7647909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6,5</w:t>
            </w:r>
          </w:p>
        </w:tc>
        <w:tc>
          <w:tcPr>
            <w:tcW w:w="851" w:type="dxa"/>
            <w:tcBorders>
              <w:top w:val="nil"/>
              <w:left w:val="nil"/>
              <w:bottom w:val="single" w:sz="4" w:space="0" w:color="auto"/>
              <w:right w:val="single" w:sz="4" w:space="0" w:color="auto"/>
            </w:tcBorders>
            <w:shd w:val="clear" w:color="auto" w:fill="auto"/>
            <w:noWrap/>
            <w:vAlign w:val="bottom"/>
            <w:hideMark/>
          </w:tcPr>
          <w:p w14:paraId="3283EB3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0,4</w:t>
            </w:r>
          </w:p>
        </w:tc>
        <w:tc>
          <w:tcPr>
            <w:tcW w:w="851" w:type="dxa"/>
            <w:tcBorders>
              <w:top w:val="nil"/>
              <w:left w:val="nil"/>
              <w:bottom w:val="single" w:sz="4" w:space="0" w:color="auto"/>
              <w:right w:val="single" w:sz="4" w:space="0" w:color="auto"/>
            </w:tcBorders>
            <w:shd w:val="clear" w:color="auto" w:fill="auto"/>
            <w:noWrap/>
            <w:vAlign w:val="bottom"/>
            <w:hideMark/>
          </w:tcPr>
          <w:p w14:paraId="09E48E7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0,6</w:t>
            </w:r>
          </w:p>
        </w:tc>
      </w:tr>
      <w:tr w:rsidR="006356F1" w:rsidRPr="00F65A52" w14:paraId="6185765F"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635391B6"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Jataí-Mineiros</w:t>
            </w:r>
          </w:p>
        </w:tc>
        <w:tc>
          <w:tcPr>
            <w:tcW w:w="709" w:type="dxa"/>
            <w:tcBorders>
              <w:top w:val="nil"/>
              <w:left w:val="nil"/>
              <w:bottom w:val="single" w:sz="4" w:space="0" w:color="auto"/>
              <w:right w:val="single" w:sz="4" w:space="0" w:color="auto"/>
            </w:tcBorders>
            <w:shd w:val="clear" w:color="auto" w:fill="auto"/>
            <w:noWrap/>
            <w:vAlign w:val="bottom"/>
            <w:hideMark/>
          </w:tcPr>
          <w:p w14:paraId="1809D26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491</w:t>
            </w:r>
          </w:p>
        </w:tc>
        <w:tc>
          <w:tcPr>
            <w:tcW w:w="709" w:type="dxa"/>
            <w:tcBorders>
              <w:top w:val="nil"/>
              <w:left w:val="nil"/>
              <w:bottom w:val="single" w:sz="4" w:space="0" w:color="auto"/>
              <w:right w:val="single" w:sz="4" w:space="0" w:color="auto"/>
            </w:tcBorders>
            <w:shd w:val="clear" w:color="auto" w:fill="auto"/>
            <w:noWrap/>
            <w:vAlign w:val="bottom"/>
            <w:hideMark/>
          </w:tcPr>
          <w:p w14:paraId="4BDA7B3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4.301</w:t>
            </w:r>
          </w:p>
        </w:tc>
        <w:tc>
          <w:tcPr>
            <w:tcW w:w="708" w:type="dxa"/>
            <w:tcBorders>
              <w:top w:val="nil"/>
              <w:left w:val="nil"/>
              <w:bottom w:val="single" w:sz="4" w:space="0" w:color="auto"/>
              <w:right w:val="single" w:sz="4" w:space="0" w:color="auto"/>
            </w:tcBorders>
            <w:shd w:val="clear" w:color="auto" w:fill="auto"/>
            <w:noWrap/>
            <w:vAlign w:val="bottom"/>
            <w:hideMark/>
          </w:tcPr>
          <w:p w14:paraId="17B68C4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299</w:t>
            </w:r>
          </w:p>
        </w:tc>
        <w:tc>
          <w:tcPr>
            <w:tcW w:w="709" w:type="dxa"/>
            <w:tcBorders>
              <w:top w:val="nil"/>
              <w:left w:val="nil"/>
              <w:bottom w:val="single" w:sz="4" w:space="0" w:color="auto"/>
              <w:right w:val="single" w:sz="4" w:space="0" w:color="auto"/>
            </w:tcBorders>
            <w:shd w:val="clear" w:color="auto" w:fill="auto"/>
            <w:noWrap/>
            <w:vAlign w:val="bottom"/>
            <w:hideMark/>
          </w:tcPr>
          <w:p w14:paraId="512F833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4.090</w:t>
            </w:r>
          </w:p>
        </w:tc>
        <w:tc>
          <w:tcPr>
            <w:tcW w:w="709" w:type="dxa"/>
            <w:tcBorders>
              <w:top w:val="nil"/>
              <w:left w:val="nil"/>
              <w:bottom w:val="single" w:sz="4" w:space="0" w:color="auto"/>
              <w:right w:val="single" w:sz="4" w:space="0" w:color="auto"/>
            </w:tcBorders>
            <w:shd w:val="clear" w:color="auto" w:fill="auto"/>
            <w:noWrap/>
            <w:vAlign w:val="bottom"/>
            <w:hideMark/>
          </w:tcPr>
          <w:p w14:paraId="26C89FA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192</w:t>
            </w:r>
          </w:p>
        </w:tc>
        <w:tc>
          <w:tcPr>
            <w:tcW w:w="709" w:type="dxa"/>
            <w:tcBorders>
              <w:top w:val="nil"/>
              <w:left w:val="nil"/>
              <w:bottom w:val="single" w:sz="4" w:space="0" w:color="auto"/>
              <w:right w:val="single" w:sz="4" w:space="0" w:color="auto"/>
            </w:tcBorders>
            <w:shd w:val="clear" w:color="auto" w:fill="auto"/>
            <w:noWrap/>
            <w:vAlign w:val="bottom"/>
            <w:hideMark/>
          </w:tcPr>
          <w:p w14:paraId="79A1B3F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210</w:t>
            </w:r>
          </w:p>
        </w:tc>
        <w:tc>
          <w:tcPr>
            <w:tcW w:w="708" w:type="dxa"/>
            <w:tcBorders>
              <w:top w:val="nil"/>
              <w:left w:val="nil"/>
              <w:bottom w:val="single" w:sz="4" w:space="0" w:color="auto"/>
              <w:right w:val="single" w:sz="4" w:space="0" w:color="auto"/>
            </w:tcBorders>
            <w:shd w:val="clear" w:color="auto" w:fill="auto"/>
            <w:noWrap/>
            <w:vAlign w:val="bottom"/>
            <w:hideMark/>
          </w:tcPr>
          <w:p w14:paraId="4B82E77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1,0</w:t>
            </w:r>
          </w:p>
        </w:tc>
        <w:tc>
          <w:tcPr>
            <w:tcW w:w="709" w:type="dxa"/>
            <w:tcBorders>
              <w:top w:val="nil"/>
              <w:left w:val="nil"/>
              <w:bottom w:val="single" w:sz="4" w:space="0" w:color="auto"/>
              <w:right w:val="single" w:sz="4" w:space="0" w:color="auto"/>
            </w:tcBorders>
            <w:shd w:val="clear" w:color="auto" w:fill="auto"/>
            <w:noWrap/>
            <w:vAlign w:val="bottom"/>
            <w:hideMark/>
          </w:tcPr>
          <w:p w14:paraId="77F5E80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3,9</w:t>
            </w:r>
          </w:p>
        </w:tc>
        <w:tc>
          <w:tcPr>
            <w:tcW w:w="709" w:type="dxa"/>
            <w:tcBorders>
              <w:top w:val="nil"/>
              <w:left w:val="nil"/>
              <w:bottom w:val="single" w:sz="4" w:space="0" w:color="auto"/>
              <w:right w:val="single" w:sz="4" w:space="0" w:color="auto"/>
            </w:tcBorders>
            <w:shd w:val="clear" w:color="auto" w:fill="auto"/>
            <w:noWrap/>
            <w:vAlign w:val="bottom"/>
            <w:hideMark/>
          </w:tcPr>
          <w:p w14:paraId="2FD3A97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2,0</w:t>
            </w:r>
          </w:p>
        </w:tc>
        <w:tc>
          <w:tcPr>
            <w:tcW w:w="850" w:type="dxa"/>
            <w:tcBorders>
              <w:top w:val="nil"/>
              <w:left w:val="nil"/>
              <w:bottom w:val="single" w:sz="4" w:space="0" w:color="auto"/>
              <w:right w:val="single" w:sz="4" w:space="0" w:color="auto"/>
            </w:tcBorders>
            <w:shd w:val="clear" w:color="auto" w:fill="auto"/>
            <w:noWrap/>
            <w:vAlign w:val="bottom"/>
            <w:hideMark/>
          </w:tcPr>
          <w:p w14:paraId="661A02F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6,4</w:t>
            </w:r>
          </w:p>
        </w:tc>
        <w:tc>
          <w:tcPr>
            <w:tcW w:w="851" w:type="dxa"/>
            <w:tcBorders>
              <w:top w:val="nil"/>
              <w:left w:val="nil"/>
              <w:bottom w:val="single" w:sz="4" w:space="0" w:color="auto"/>
              <w:right w:val="single" w:sz="4" w:space="0" w:color="auto"/>
            </w:tcBorders>
            <w:shd w:val="clear" w:color="auto" w:fill="auto"/>
            <w:noWrap/>
            <w:vAlign w:val="bottom"/>
            <w:hideMark/>
          </w:tcPr>
          <w:p w14:paraId="0EEFABE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0,5</w:t>
            </w:r>
          </w:p>
        </w:tc>
        <w:tc>
          <w:tcPr>
            <w:tcW w:w="851" w:type="dxa"/>
            <w:tcBorders>
              <w:top w:val="nil"/>
              <w:left w:val="nil"/>
              <w:bottom w:val="single" w:sz="4" w:space="0" w:color="auto"/>
              <w:right w:val="single" w:sz="4" w:space="0" w:color="auto"/>
            </w:tcBorders>
            <w:shd w:val="clear" w:color="auto" w:fill="auto"/>
            <w:noWrap/>
            <w:vAlign w:val="bottom"/>
            <w:hideMark/>
          </w:tcPr>
          <w:p w14:paraId="1BA3447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0,4</w:t>
            </w:r>
          </w:p>
        </w:tc>
      </w:tr>
      <w:tr w:rsidR="006356F1" w:rsidRPr="00F65A52" w14:paraId="09352C26"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581AF3C0"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Caldas Novas-Morrinhos</w:t>
            </w:r>
          </w:p>
        </w:tc>
        <w:tc>
          <w:tcPr>
            <w:tcW w:w="709" w:type="dxa"/>
            <w:tcBorders>
              <w:top w:val="nil"/>
              <w:left w:val="nil"/>
              <w:bottom w:val="single" w:sz="4" w:space="0" w:color="auto"/>
              <w:right w:val="single" w:sz="4" w:space="0" w:color="auto"/>
            </w:tcBorders>
            <w:shd w:val="clear" w:color="auto" w:fill="auto"/>
            <w:noWrap/>
            <w:vAlign w:val="bottom"/>
            <w:hideMark/>
          </w:tcPr>
          <w:p w14:paraId="1D05F36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681</w:t>
            </w:r>
          </w:p>
        </w:tc>
        <w:tc>
          <w:tcPr>
            <w:tcW w:w="709" w:type="dxa"/>
            <w:tcBorders>
              <w:top w:val="nil"/>
              <w:left w:val="nil"/>
              <w:bottom w:val="single" w:sz="4" w:space="0" w:color="auto"/>
              <w:right w:val="single" w:sz="4" w:space="0" w:color="auto"/>
            </w:tcBorders>
            <w:shd w:val="clear" w:color="auto" w:fill="auto"/>
            <w:noWrap/>
            <w:vAlign w:val="bottom"/>
            <w:hideMark/>
          </w:tcPr>
          <w:p w14:paraId="08578A6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3.240</w:t>
            </w:r>
          </w:p>
        </w:tc>
        <w:tc>
          <w:tcPr>
            <w:tcW w:w="708" w:type="dxa"/>
            <w:tcBorders>
              <w:top w:val="nil"/>
              <w:left w:val="nil"/>
              <w:bottom w:val="single" w:sz="4" w:space="0" w:color="auto"/>
              <w:right w:val="single" w:sz="4" w:space="0" w:color="auto"/>
            </w:tcBorders>
            <w:shd w:val="clear" w:color="auto" w:fill="auto"/>
            <w:noWrap/>
            <w:vAlign w:val="bottom"/>
            <w:hideMark/>
          </w:tcPr>
          <w:p w14:paraId="2165CFB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51</w:t>
            </w:r>
          </w:p>
        </w:tc>
        <w:tc>
          <w:tcPr>
            <w:tcW w:w="709" w:type="dxa"/>
            <w:tcBorders>
              <w:top w:val="nil"/>
              <w:left w:val="nil"/>
              <w:bottom w:val="single" w:sz="4" w:space="0" w:color="auto"/>
              <w:right w:val="single" w:sz="4" w:space="0" w:color="auto"/>
            </w:tcBorders>
            <w:shd w:val="clear" w:color="auto" w:fill="auto"/>
            <w:noWrap/>
            <w:vAlign w:val="bottom"/>
            <w:hideMark/>
          </w:tcPr>
          <w:p w14:paraId="59DF473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1.888</w:t>
            </w:r>
          </w:p>
        </w:tc>
        <w:tc>
          <w:tcPr>
            <w:tcW w:w="709" w:type="dxa"/>
            <w:tcBorders>
              <w:top w:val="nil"/>
              <w:left w:val="nil"/>
              <w:bottom w:val="single" w:sz="4" w:space="0" w:color="auto"/>
              <w:right w:val="single" w:sz="4" w:space="0" w:color="auto"/>
            </w:tcBorders>
            <w:shd w:val="clear" w:color="auto" w:fill="auto"/>
            <w:noWrap/>
            <w:vAlign w:val="bottom"/>
            <w:hideMark/>
          </w:tcPr>
          <w:p w14:paraId="65BC2D1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629</w:t>
            </w:r>
          </w:p>
        </w:tc>
        <w:tc>
          <w:tcPr>
            <w:tcW w:w="709" w:type="dxa"/>
            <w:tcBorders>
              <w:top w:val="nil"/>
              <w:left w:val="nil"/>
              <w:bottom w:val="single" w:sz="4" w:space="0" w:color="auto"/>
              <w:right w:val="single" w:sz="4" w:space="0" w:color="auto"/>
            </w:tcBorders>
            <w:shd w:val="clear" w:color="auto" w:fill="auto"/>
            <w:noWrap/>
            <w:vAlign w:val="bottom"/>
            <w:hideMark/>
          </w:tcPr>
          <w:p w14:paraId="7F1A03C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1.352</w:t>
            </w:r>
          </w:p>
        </w:tc>
        <w:tc>
          <w:tcPr>
            <w:tcW w:w="708" w:type="dxa"/>
            <w:tcBorders>
              <w:top w:val="nil"/>
              <w:left w:val="nil"/>
              <w:bottom w:val="single" w:sz="4" w:space="0" w:color="auto"/>
              <w:right w:val="single" w:sz="4" w:space="0" w:color="auto"/>
            </w:tcBorders>
            <w:shd w:val="clear" w:color="auto" w:fill="auto"/>
            <w:noWrap/>
            <w:vAlign w:val="bottom"/>
            <w:hideMark/>
          </w:tcPr>
          <w:p w14:paraId="2410976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1,3</w:t>
            </w:r>
          </w:p>
        </w:tc>
        <w:tc>
          <w:tcPr>
            <w:tcW w:w="709" w:type="dxa"/>
            <w:tcBorders>
              <w:top w:val="nil"/>
              <w:left w:val="nil"/>
              <w:bottom w:val="single" w:sz="4" w:space="0" w:color="auto"/>
              <w:right w:val="single" w:sz="4" w:space="0" w:color="auto"/>
            </w:tcBorders>
            <w:shd w:val="clear" w:color="auto" w:fill="auto"/>
            <w:noWrap/>
            <w:vAlign w:val="bottom"/>
            <w:hideMark/>
          </w:tcPr>
          <w:p w14:paraId="2B8D32A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2,9</w:t>
            </w:r>
          </w:p>
        </w:tc>
        <w:tc>
          <w:tcPr>
            <w:tcW w:w="709" w:type="dxa"/>
            <w:tcBorders>
              <w:top w:val="nil"/>
              <w:left w:val="nil"/>
              <w:bottom w:val="single" w:sz="4" w:space="0" w:color="auto"/>
              <w:right w:val="single" w:sz="4" w:space="0" w:color="auto"/>
            </w:tcBorders>
            <w:shd w:val="clear" w:color="auto" w:fill="auto"/>
            <w:noWrap/>
            <w:vAlign w:val="bottom"/>
            <w:hideMark/>
          </w:tcPr>
          <w:p w14:paraId="62DCB0D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0,3</w:t>
            </w:r>
          </w:p>
        </w:tc>
        <w:tc>
          <w:tcPr>
            <w:tcW w:w="850" w:type="dxa"/>
            <w:tcBorders>
              <w:top w:val="nil"/>
              <w:left w:val="nil"/>
              <w:bottom w:val="single" w:sz="4" w:space="0" w:color="auto"/>
              <w:right w:val="single" w:sz="4" w:space="0" w:color="auto"/>
            </w:tcBorders>
            <w:shd w:val="clear" w:color="auto" w:fill="auto"/>
            <w:noWrap/>
            <w:vAlign w:val="bottom"/>
            <w:hideMark/>
          </w:tcPr>
          <w:p w14:paraId="477829B4"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3,0</w:t>
            </w:r>
          </w:p>
        </w:tc>
        <w:tc>
          <w:tcPr>
            <w:tcW w:w="851" w:type="dxa"/>
            <w:tcBorders>
              <w:top w:val="nil"/>
              <w:left w:val="nil"/>
              <w:bottom w:val="single" w:sz="4" w:space="0" w:color="auto"/>
              <w:right w:val="single" w:sz="4" w:space="0" w:color="auto"/>
            </w:tcBorders>
            <w:shd w:val="clear" w:color="auto" w:fill="auto"/>
            <w:noWrap/>
            <w:vAlign w:val="bottom"/>
            <w:hideMark/>
          </w:tcPr>
          <w:p w14:paraId="67E4A7D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1,7</w:t>
            </w:r>
          </w:p>
        </w:tc>
        <w:tc>
          <w:tcPr>
            <w:tcW w:w="851" w:type="dxa"/>
            <w:tcBorders>
              <w:top w:val="nil"/>
              <w:left w:val="nil"/>
              <w:bottom w:val="single" w:sz="4" w:space="0" w:color="auto"/>
              <w:right w:val="single" w:sz="4" w:space="0" w:color="auto"/>
            </w:tcBorders>
            <w:shd w:val="clear" w:color="auto" w:fill="auto"/>
            <w:noWrap/>
            <w:vAlign w:val="bottom"/>
            <w:hideMark/>
          </w:tcPr>
          <w:p w14:paraId="4A06FD6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2,8</w:t>
            </w:r>
          </w:p>
        </w:tc>
      </w:tr>
      <w:tr w:rsidR="006356F1" w:rsidRPr="00F65A52" w14:paraId="008918C3"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57EB5058"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Pires do Rio</w:t>
            </w:r>
          </w:p>
        </w:tc>
        <w:tc>
          <w:tcPr>
            <w:tcW w:w="709" w:type="dxa"/>
            <w:tcBorders>
              <w:top w:val="nil"/>
              <w:left w:val="nil"/>
              <w:bottom w:val="single" w:sz="4" w:space="0" w:color="auto"/>
              <w:right w:val="single" w:sz="4" w:space="0" w:color="auto"/>
            </w:tcBorders>
            <w:shd w:val="clear" w:color="auto" w:fill="auto"/>
            <w:noWrap/>
            <w:vAlign w:val="bottom"/>
            <w:hideMark/>
          </w:tcPr>
          <w:p w14:paraId="7976360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1.205</w:t>
            </w:r>
          </w:p>
        </w:tc>
        <w:tc>
          <w:tcPr>
            <w:tcW w:w="709" w:type="dxa"/>
            <w:tcBorders>
              <w:top w:val="nil"/>
              <w:left w:val="nil"/>
              <w:bottom w:val="single" w:sz="4" w:space="0" w:color="auto"/>
              <w:right w:val="single" w:sz="4" w:space="0" w:color="auto"/>
            </w:tcBorders>
            <w:shd w:val="clear" w:color="auto" w:fill="auto"/>
            <w:noWrap/>
            <w:vAlign w:val="bottom"/>
            <w:hideMark/>
          </w:tcPr>
          <w:p w14:paraId="47049B1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2.951</w:t>
            </w:r>
          </w:p>
        </w:tc>
        <w:tc>
          <w:tcPr>
            <w:tcW w:w="708" w:type="dxa"/>
            <w:tcBorders>
              <w:top w:val="nil"/>
              <w:left w:val="nil"/>
              <w:bottom w:val="single" w:sz="4" w:space="0" w:color="auto"/>
              <w:right w:val="single" w:sz="4" w:space="0" w:color="auto"/>
            </w:tcBorders>
            <w:shd w:val="clear" w:color="auto" w:fill="auto"/>
            <w:noWrap/>
            <w:vAlign w:val="bottom"/>
            <w:hideMark/>
          </w:tcPr>
          <w:p w14:paraId="16BF944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1.205</w:t>
            </w:r>
          </w:p>
        </w:tc>
        <w:tc>
          <w:tcPr>
            <w:tcW w:w="709" w:type="dxa"/>
            <w:tcBorders>
              <w:top w:val="nil"/>
              <w:left w:val="nil"/>
              <w:bottom w:val="single" w:sz="4" w:space="0" w:color="auto"/>
              <w:right w:val="single" w:sz="4" w:space="0" w:color="auto"/>
            </w:tcBorders>
            <w:shd w:val="clear" w:color="auto" w:fill="auto"/>
            <w:noWrap/>
            <w:vAlign w:val="bottom"/>
            <w:hideMark/>
          </w:tcPr>
          <w:p w14:paraId="4EA770F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2.919</w:t>
            </w:r>
          </w:p>
        </w:tc>
        <w:tc>
          <w:tcPr>
            <w:tcW w:w="709" w:type="dxa"/>
            <w:tcBorders>
              <w:top w:val="nil"/>
              <w:left w:val="nil"/>
              <w:bottom w:val="single" w:sz="4" w:space="0" w:color="auto"/>
              <w:right w:val="single" w:sz="4" w:space="0" w:color="auto"/>
            </w:tcBorders>
            <w:shd w:val="clear" w:color="auto" w:fill="auto"/>
            <w:noWrap/>
            <w:vAlign w:val="bottom"/>
            <w:hideMark/>
          </w:tcPr>
          <w:p w14:paraId="08A53DB3"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w:t>
            </w:r>
          </w:p>
        </w:tc>
        <w:tc>
          <w:tcPr>
            <w:tcW w:w="709" w:type="dxa"/>
            <w:tcBorders>
              <w:top w:val="nil"/>
              <w:left w:val="nil"/>
              <w:bottom w:val="single" w:sz="4" w:space="0" w:color="auto"/>
              <w:right w:val="single" w:sz="4" w:space="0" w:color="auto"/>
            </w:tcBorders>
            <w:shd w:val="clear" w:color="auto" w:fill="auto"/>
            <w:noWrap/>
            <w:vAlign w:val="bottom"/>
            <w:hideMark/>
          </w:tcPr>
          <w:p w14:paraId="463CB59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32</w:t>
            </w:r>
          </w:p>
        </w:tc>
        <w:tc>
          <w:tcPr>
            <w:tcW w:w="708" w:type="dxa"/>
            <w:tcBorders>
              <w:top w:val="nil"/>
              <w:left w:val="nil"/>
              <w:bottom w:val="single" w:sz="4" w:space="0" w:color="auto"/>
              <w:right w:val="single" w:sz="4" w:space="0" w:color="auto"/>
            </w:tcBorders>
            <w:shd w:val="clear" w:color="auto" w:fill="auto"/>
            <w:noWrap/>
            <w:vAlign w:val="bottom"/>
            <w:hideMark/>
          </w:tcPr>
          <w:p w14:paraId="220E8F1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2,3</w:t>
            </w:r>
          </w:p>
        </w:tc>
        <w:tc>
          <w:tcPr>
            <w:tcW w:w="709" w:type="dxa"/>
            <w:tcBorders>
              <w:top w:val="nil"/>
              <w:left w:val="nil"/>
              <w:bottom w:val="single" w:sz="4" w:space="0" w:color="auto"/>
              <w:right w:val="single" w:sz="4" w:space="0" w:color="auto"/>
            </w:tcBorders>
            <w:shd w:val="clear" w:color="auto" w:fill="auto"/>
            <w:noWrap/>
            <w:vAlign w:val="bottom"/>
            <w:hideMark/>
          </w:tcPr>
          <w:p w14:paraId="2393174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2,6</w:t>
            </w:r>
          </w:p>
        </w:tc>
        <w:tc>
          <w:tcPr>
            <w:tcW w:w="709" w:type="dxa"/>
            <w:tcBorders>
              <w:top w:val="nil"/>
              <w:left w:val="nil"/>
              <w:bottom w:val="single" w:sz="4" w:space="0" w:color="auto"/>
              <w:right w:val="single" w:sz="4" w:space="0" w:color="auto"/>
            </w:tcBorders>
            <w:shd w:val="clear" w:color="auto" w:fill="auto"/>
            <w:noWrap/>
            <w:vAlign w:val="bottom"/>
            <w:hideMark/>
          </w:tcPr>
          <w:p w14:paraId="5CF1D18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7,9</w:t>
            </w:r>
          </w:p>
        </w:tc>
        <w:tc>
          <w:tcPr>
            <w:tcW w:w="850" w:type="dxa"/>
            <w:tcBorders>
              <w:top w:val="nil"/>
              <w:left w:val="nil"/>
              <w:bottom w:val="single" w:sz="4" w:space="0" w:color="auto"/>
              <w:right w:val="single" w:sz="4" w:space="0" w:color="auto"/>
            </w:tcBorders>
            <w:shd w:val="clear" w:color="auto" w:fill="auto"/>
            <w:noWrap/>
            <w:vAlign w:val="bottom"/>
            <w:hideMark/>
          </w:tcPr>
          <w:p w14:paraId="4400A2E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4,6</w:t>
            </w:r>
          </w:p>
        </w:tc>
        <w:tc>
          <w:tcPr>
            <w:tcW w:w="851" w:type="dxa"/>
            <w:tcBorders>
              <w:top w:val="nil"/>
              <w:left w:val="nil"/>
              <w:bottom w:val="single" w:sz="4" w:space="0" w:color="auto"/>
              <w:right w:val="single" w:sz="4" w:space="0" w:color="auto"/>
            </w:tcBorders>
            <w:shd w:val="clear" w:color="auto" w:fill="auto"/>
            <w:noWrap/>
            <w:vAlign w:val="bottom"/>
            <w:hideMark/>
          </w:tcPr>
          <w:p w14:paraId="677656DA"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c>
          <w:tcPr>
            <w:tcW w:w="851" w:type="dxa"/>
            <w:tcBorders>
              <w:top w:val="nil"/>
              <w:left w:val="nil"/>
              <w:bottom w:val="single" w:sz="4" w:space="0" w:color="auto"/>
              <w:right w:val="single" w:sz="4" w:space="0" w:color="auto"/>
            </w:tcBorders>
            <w:shd w:val="clear" w:color="auto" w:fill="auto"/>
            <w:noWrap/>
            <w:vAlign w:val="bottom"/>
            <w:hideMark/>
          </w:tcPr>
          <w:p w14:paraId="41EEC85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r>
      <w:tr w:rsidR="006356F1" w:rsidRPr="00F65A52" w14:paraId="3FA7F457"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2687B22E"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lastRenderedPageBreak/>
              <w:t>Luziânia</w:t>
            </w:r>
          </w:p>
        </w:tc>
        <w:tc>
          <w:tcPr>
            <w:tcW w:w="709" w:type="dxa"/>
            <w:tcBorders>
              <w:top w:val="nil"/>
              <w:left w:val="nil"/>
              <w:bottom w:val="single" w:sz="4" w:space="0" w:color="auto"/>
              <w:right w:val="single" w:sz="4" w:space="0" w:color="auto"/>
            </w:tcBorders>
            <w:shd w:val="clear" w:color="auto" w:fill="auto"/>
            <w:noWrap/>
            <w:vAlign w:val="bottom"/>
            <w:hideMark/>
          </w:tcPr>
          <w:p w14:paraId="3ECB512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563</w:t>
            </w:r>
          </w:p>
        </w:tc>
        <w:tc>
          <w:tcPr>
            <w:tcW w:w="709" w:type="dxa"/>
            <w:tcBorders>
              <w:top w:val="nil"/>
              <w:left w:val="nil"/>
              <w:bottom w:val="single" w:sz="4" w:space="0" w:color="auto"/>
              <w:right w:val="single" w:sz="4" w:space="0" w:color="auto"/>
            </w:tcBorders>
            <w:shd w:val="clear" w:color="auto" w:fill="auto"/>
            <w:noWrap/>
            <w:vAlign w:val="bottom"/>
            <w:hideMark/>
          </w:tcPr>
          <w:p w14:paraId="18F5EEC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2.692</w:t>
            </w:r>
          </w:p>
        </w:tc>
        <w:tc>
          <w:tcPr>
            <w:tcW w:w="708" w:type="dxa"/>
            <w:tcBorders>
              <w:top w:val="nil"/>
              <w:left w:val="nil"/>
              <w:bottom w:val="single" w:sz="4" w:space="0" w:color="auto"/>
              <w:right w:val="single" w:sz="4" w:space="0" w:color="auto"/>
            </w:tcBorders>
            <w:shd w:val="clear" w:color="auto" w:fill="auto"/>
            <w:noWrap/>
            <w:vAlign w:val="bottom"/>
            <w:hideMark/>
          </w:tcPr>
          <w:p w14:paraId="2DD4EAC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440</w:t>
            </w:r>
          </w:p>
        </w:tc>
        <w:tc>
          <w:tcPr>
            <w:tcW w:w="709" w:type="dxa"/>
            <w:tcBorders>
              <w:top w:val="nil"/>
              <w:left w:val="nil"/>
              <w:bottom w:val="single" w:sz="4" w:space="0" w:color="auto"/>
              <w:right w:val="single" w:sz="4" w:space="0" w:color="auto"/>
            </w:tcBorders>
            <w:shd w:val="clear" w:color="auto" w:fill="auto"/>
            <w:noWrap/>
            <w:vAlign w:val="bottom"/>
            <w:hideMark/>
          </w:tcPr>
          <w:p w14:paraId="5C40BD5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2.519</w:t>
            </w:r>
          </w:p>
        </w:tc>
        <w:tc>
          <w:tcPr>
            <w:tcW w:w="709" w:type="dxa"/>
            <w:tcBorders>
              <w:top w:val="nil"/>
              <w:left w:val="nil"/>
              <w:bottom w:val="single" w:sz="4" w:space="0" w:color="auto"/>
              <w:right w:val="single" w:sz="4" w:space="0" w:color="auto"/>
            </w:tcBorders>
            <w:shd w:val="clear" w:color="auto" w:fill="auto"/>
            <w:noWrap/>
            <w:vAlign w:val="bottom"/>
            <w:hideMark/>
          </w:tcPr>
          <w:p w14:paraId="3AADCBD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123</w:t>
            </w:r>
          </w:p>
        </w:tc>
        <w:tc>
          <w:tcPr>
            <w:tcW w:w="709" w:type="dxa"/>
            <w:tcBorders>
              <w:top w:val="nil"/>
              <w:left w:val="nil"/>
              <w:bottom w:val="single" w:sz="4" w:space="0" w:color="auto"/>
              <w:right w:val="single" w:sz="4" w:space="0" w:color="auto"/>
            </w:tcBorders>
            <w:shd w:val="clear" w:color="auto" w:fill="auto"/>
            <w:noWrap/>
            <w:vAlign w:val="bottom"/>
            <w:hideMark/>
          </w:tcPr>
          <w:p w14:paraId="3872BBC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173</w:t>
            </w:r>
          </w:p>
        </w:tc>
        <w:tc>
          <w:tcPr>
            <w:tcW w:w="708" w:type="dxa"/>
            <w:tcBorders>
              <w:top w:val="nil"/>
              <w:left w:val="nil"/>
              <w:bottom w:val="single" w:sz="4" w:space="0" w:color="auto"/>
              <w:right w:val="single" w:sz="4" w:space="0" w:color="auto"/>
            </w:tcBorders>
            <w:shd w:val="clear" w:color="auto" w:fill="auto"/>
            <w:noWrap/>
            <w:vAlign w:val="bottom"/>
            <w:hideMark/>
          </w:tcPr>
          <w:p w14:paraId="249A504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1,1</w:t>
            </w:r>
          </w:p>
        </w:tc>
        <w:tc>
          <w:tcPr>
            <w:tcW w:w="709" w:type="dxa"/>
            <w:tcBorders>
              <w:top w:val="nil"/>
              <w:left w:val="nil"/>
              <w:bottom w:val="single" w:sz="4" w:space="0" w:color="auto"/>
              <w:right w:val="single" w:sz="4" w:space="0" w:color="auto"/>
            </w:tcBorders>
            <w:shd w:val="clear" w:color="auto" w:fill="auto"/>
            <w:noWrap/>
            <w:vAlign w:val="bottom"/>
            <w:hideMark/>
          </w:tcPr>
          <w:p w14:paraId="4F069A3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2,4</w:t>
            </w:r>
          </w:p>
        </w:tc>
        <w:tc>
          <w:tcPr>
            <w:tcW w:w="709" w:type="dxa"/>
            <w:tcBorders>
              <w:top w:val="nil"/>
              <w:left w:val="nil"/>
              <w:bottom w:val="single" w:sz="4" w:space="0" w:color="auto"/>
              <w:right w:val="single" w:sz="4" w:space="0" w:color="auto"/>
            </w:tcBorders>
            <w:shd w:val="clear" w:color="auto" w:fill="auto"/>
            <w:noWrap/>
            <w:vAlign w:val="bottom"/>
            <w:hideMark/>
          </w:tcPr>
          <w:p w14:paraId="4B573BC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2,9</w:t>
            </w:r>
          </w:p>
        </w:tc>
        <w:tc>
          <w:tcPr>
            <w:tcW w:w="850" w:type="dxa"/>
            <w:tcBorders>
              <w:top w:val="nil"/>
              <w:left w:val="nil"/>
              <w:bottom w:val="single" w:sz="4" w:space="0" w:color="auto"/>
              <w:right w:val="single" w:sz="4" w:space="0" w:color="auto"/>
            </w:tcBorders>
            <w:shd w:val="clear" w:color="auto" w:fill="auto"/>
            <w:noWrap/>
            <w:vAlign w:val="bottom"/>
            <w:hideMark/>
          </w:tcPr>
          <w:p w14:paraId="6C9DD8B3"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4,0</w:t>
            </w:r>
          </w:p>
        </w:tc>
        <w:tc>
          <w:tcPr>
            <w:tcW w:w="851" w:type="dxa"/>
            <w:tcBorders>
              <w:top w:val="nil"/>
              <w:left w:val="nil"/>
              <w:bottom w:val="single" w:sz="4" w:space="0" w:color="auto"/>
              <w:right w:val="single" w:sz="4" w:space="0" w:color="auto"/>
            </w:tcBorders>
            <w:shd w:val="clear" w:color="auto" w:fill="auto"/>
            <w:noWrap/>
            <w:vAlign w:val="bottom"/>
            <w:hideMark/>
          </w:tcPr>
          <w:p w14:paraId="7E8F31D3"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0,3</w:t>
            </w:r>
          </w:p>
        </w:tc>
        <w:tc>
          <w:tcPr>
            <w:tcW w:w="851" w:type="dxa"/>
            <w:tcBorders>
              <w:top w:val="nil"/>
              <w:left w:val="nil"/>
              <w:bottom w:val="single" w:sz="4" w:space="0" w:color="auto"/>
              <w:right w:val="single" w:sz="4" w:space="0" w:color="auto"/>
            </w:tcBorders>
            <w:shd w:val="clear" w:color="auto" w:fill="auto"/>
            <w:noWrap/>
            <w:vAlign w:val="bottom"/>
            <w:hideMark/>
          </w:tcPr>
          <w:p w14:paraId="567773F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0,4</w:t>
            </w:r>
          </w:p>
        </w:tc>
      </w:tr>
      <w:tr w:rsidR="006356F1" w:rsidRPr="00F65A52" w14:paraId="3E0FF6E6"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295576E3"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Palmeiras de Goiás</w:t>
            </w:r>
          </w:p>
        </w:tc>
        <w:tc>
          <w:tcPr>
            <w:tcW w:w="709" w:type="dxa"/>
            <w:tcBorders>
              <w:top w:val="nil"/>
              <w:left w:val="nil"/>
              <w:bottom w:val="single" w:sz="4" w:space="0" w:color="auto"/>
              <w:right w:val="single" w:sz="4" w:space="0" w:color="auto"/>
            </w:tcBorders>
            <w:shd w:val="clear" w:color="auto" w:fill="auto"/>
            <w:noWrap/>
            <w:vAlign w:val="bottom"/>
            <w:hideMark/>
          </w:tcPr>
          <w:p w14:paraId="4EBEAEA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414</w:t>
            </w:r>
          </w:p>
        </w:tc>
        <w:tc>
          <w:tcPr>
            <w:tcW w:w="709" w:type="dxa"/>
            <w:tcBorders>
              <w:top w:val="nil"/>
              <w:left w:val="nil"/>
              <w:bottom w:val="single" w:sz="4" w:space="0" w:color="auto"/>
              <w:right w:val="single" w:sz="4" w:space="0" w:color="auto"/>
            </w:tcBorders>
            <w:shd w:val="clear" w:color="auto" w:fill="auto"/>
            <w:noWrap/>
            <w:vAlign w:val="bottom"/>
            <w:hideMark/>
          </w:tcPr>
          <w:p w14:paraId="043FA58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2.618</w:t>
            </w:r>
          </w:p>
        </w:tc>
        <w:tc>
          <w:tcPr>
            <w:tcW w:w="708" w:type="dxa"/>
            <w:tcBorders>
              <w:top w:val="nil"/>
              <w:left w:val="nil"/>
              <w:bottom w:val="single" w:sz="4" w:space="0" w:color="auto"/>
              <w:right w:val="single" w:sz="4" w:space="0" w:color="auto"/>
            </w:tcBorders>
            <w:shd w:val="clear" w:color="auto" w:fill="auto"/>
            <w:noWrap/>
            <w:vAlign w:val="bottom"/>
            <w:hideMark/>
          </w:tcPr>
          <w:p w14:paraId="18BEB40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79</w:t>
            </w:r>
          </w:p>
        </w:tc>
        <w:tc>
          <w:tcPr>
            <w:tcW w:w="709" w:type="dxa"/>
            <w:tcBorders>
              <w:top w:val="nil"/>
              <w:left w:val="nil"/>
              <w:bottom w:val="single" w:sz="4" w:space="0" w:color="auto"/>
              <w:right w:val="single" w:sz="4" w:space="0" w:color="auto"/>
            </w:tcBorders>
            <w:shd w:val="clear" w:color="auto" w:fill="auto"/>
            <w:noWrap/>
            <w:vAlign w:val="bottom"/>
            <w:hideMark/>
          </w:tcPr>
          <w:p w14:paraId="670CD43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1.705</w:t>
            </w:r>
          </w:p>
        </w:tc>
        <w:tc>
          <w:tcPr>
            <w:tcW w:w="709" w:type="dxa"/>
            <w:tcBorders>
              <w:top w:val="nil"/>
              <w:left w:val="nil"/>
              <w:bottom w:val="single" w:sz="4" w:space="0" w:color="auto"/>
              <w:right w:val="single" w:sz="4" w:space="0" w:color="auto"/>
            </w:tcBorders>
            <w:shd w:val="clear" w:color="auto" w:fill="auto"/>
            <w:noWrap/>
            <w:vAlign w:val="bottom"/>
            <w:hideMark/>
          </w:tcPr>
          <w:p w14:paraId="72364F3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335</w:t>
            </w:r>
          </w:p>
        </w:tc>
        <w:tc>
          <w:tcPr>
            <w:tcW w:w="709" w:type="dxa"/>
            <w:tcBorders>
              <w:top w:val="nil"/>
              <w:left w:val="nil"/>
              <w:bottom w:val="single" w:sz="4" w:space="0" w:color="auto"/>
              <w:right w:val="single" w:sz="4" w:space="0" w:color="auto"/>
            </w:tcBorders>
            <w:shd w:val="clear" w:color="auto" w:fill="auto"/>
            <w:noWrap/>
            <w:vAlign w:val="bottom"/>
            <w:hideMark/>
          </w:tcPr>
          <w:p w14:paraId="288A003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913</w:t>
            </w:r>
          </w:p>
        </w:tc>
        <w:tc>
          <w:tcPr>
            <w:tcW w:w="708" w:type="dxa"/>
            <w:tcBorders>
              <w:top w:val="nil"/>
              <w:left w:val="nil"/>
              <w:bottom w:val="single" w:sz="4" w:space="0" w:color="auto"/>
              <w:right w:val="single" w:sz="4" w:space="0" w:color="auto"/>
            </w:tcBorders>
            <w:shd w:val="clear" w:color="auto" w:fill="auto"/>
            <w:noWrap/>
            <w:vAlign w:val="bottom"/>
            <w:hideMark/>
          </w:tcPr>
          <w:p w14:paraId="51382FC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0,8</w:t>
            </w:r>
          </w:p>
        </w:tc>
        <w:tc>
          <w:tcPr>
            <w:tcW w:w="709" w:type="dxa"/>
            <w:tcBorders>
              <w:top w:val="nil"/>
              <w:left w:val="nil"/>
              <w:bottom w:val="single" w:sz="4" w:space="0" w:color="auto"/>
              <w:right w:val="single" w:sz="4" w:space="0" w:color="auto"/>
            </w:tcBorders>
            <w:shd w:val="clear" w:color="auto" w:fill="auto"/>
            <w:noWrap/>
            <w:vAlign w:val="bottom"/>
            <w:hideMark/>
          </w:tcPr>
          <w:p w14:paraId="738CC1C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2,3</w:t>
            </w:r>
          </w:p>
        </w:tc>
        <w:tc>
          <w:tcPr>
            <w:tcW w:w="709" w:type="dxa"/>
            <w:tcBorders>
              <w:top w:val="nil"/>
              <w:left w:val="nil"/>
              <w:bottom w:val="single" w:sz="4" w:space="0" w:color="auto"/>
              <w:right w:val="single" w:sz="4" w:space="0" w:color="auto"/>
            </w:tcBorders>
            <w:shd w:val="clear" w:color="auto" w:fill="auto"/>
            <w:noWrap/>
            <w:vAlign w:val="bottom"/>
            <w:hideMark/>
          </w:tcPr>
          <w:p w14:paraId="79F3A24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0,5</w:t>
            </w:r>
          </w:p>
        </w:tc>
        <w:tc>
          <w:tcPr>
            <w:tcW w:w="850" w:type="dxa"/>
            <w:tcBorders>
              <w:top w:val="nil"/>
              <w:left w:val="nil"/>
              <w:bottom w:val="single" w:sz="4" w:space="0" w:color="auto"/>
              <w:right w:val="single" w:sz="4" w:space="0" w:color="auto"/>
            </w:tcBorders>
            <w:shd w:val="clear" w:color="auto" w:fill="auto"/>
            <w:noWrap/>
            <w:vAlign w:val="bottom"/>
            <w:hideMark/>
          </w:tcPr>
          <w:p w14:paraId="12A5385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2,7</w:t>
            </w:r>
          </w:p>
        </w:tc>
        <w:tc>
          <w:tcPr>
            <w:tcW w:w="851" w:type="dxa"/>
            <w:tcBorders>
              <w:top w:val="nil"/>
              <w:left w:val="nil"/>
              <w:bottom w:val="single" w:sz="4" w:space="0" w:color="auto"/>
              <w:right w:val="single" w:sz="4" w:space="0" w:color="auto"/>
            </w:tcBorders>
            <w:shd w:val="clear" w:color="auto" w:fill="auto"/>
            <w:noWrap/>
            <w:vAlign w:val="bottom"/>
            <w:hideMark/>
          </w:tcPr>
          <w:p w14:paraId="676E29A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0,9</w:t>
            </w:r>
          </w:p>
        </w:tc>
        <w:tc>
          <w:tcPr>
            <w:tcW w:w="851" w:type="dxa"/>
            <w:tcBorders>
              <w:top w:val="nil"/>
              <w:left w:val="nil"/>
              <w:bottom w:val="single" w:sz="4" w:space="0" w:color="auto"/>
              <w:right w:val="single" w:sz="4" w:space="0" w:color="auto"/>
            </w:tcBorders>
            <w:shd w:val="clear" w:color="auto" w:fill="auto"/>
            <w:noWrap/>
            <w:vAlign w:val="bottom"/>
            <w:hideMark/>
          </w:tcPr>
          <w:p w14:paraId="0840EEA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1,9</w:t>
            </w:r>
          </w:p>
        </w:tc>
      </w:tr>
      <w:tr w:rsidR="006356F1" w:rsidRPr="00F65A52" w14:paraId="640FEAC5"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057FAFEC"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Catalão</w:t>
            </w:r>
          </w:p>
        </w:tc>
        <w:tc>
          <w:tcPr>
            <w:tcW w:w="709" w:type="dxa"/>
            <w:tcBorders>
              <w:top w:val="nil"/>
              <w:left w:val="nil"/>
              <w:bottom w:val="single" w:sz="4" w:space="0" w:color="auto"/>
              <w:right w:val="single" w:sz="4" w:space="0" w:color="auto"/>
            </w:tcBorders>
            <w:shd w:val="clear" w:color="auto" w:fill="auto"/>
            <w:noWrap/>
            <w:vAlign w:val="bottom"/>
            <w:hideMark/>
          </w:tcPr>
          <w:p w14:paraId="0E8CA67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1.552</w:t>
            </w:r>
          </w:p>
        </w:tc>
        <w:tc>
          <w:tcPr>
            <w:tcW w:w="709" w:type="dxa"/>
            <w:tcBorders>
              <w:top w:val="nil"/>
              <w:left w:val="nil"/>
              <w:bottom w:val="single" w:sz="4" w:space="0" w:color="auto"/>
              <w:right w:val="single" w:sz="4" w:space="0" w:color="auto"/>
            </w:tcBorders>
            <w:shd w:val="clear" w:color="auto" w:fill="auto"/>
            <w:noWrap/>
            <w:vAlign w:val="bottom"/>
            <w:hideMark/>
          </w:tcPr>
          <w:p w14:paraId="44DAB96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2.571</w:t>
            </w:r>
          </w:p>
        </w:tc>
        <w:tc>
          <w:tcPr>
            <w:tcW w:w="708" w:type="dxa"/>
            <w:tcBorders>
              <w:top w:val="nil"/>
              <w:left w:val="nil"/>
              <w:bottom w:val="single" w:sz="4" w:space="0" w:color="auto"/>
              <w:right w:val="single" w:sz="4" w:space="0" w:color="auto"/>
            </w:tcBorders>
            <w:shd w:val="clear" w:color="auto" w:fill="auto"/>
            <w:noWrap/>
            <w:vAlign w:val="bottom"/>
            <w:hideMark/>
          </w:tcPr>
          <w:p w14:paraId="1607C1F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263</w:t>
            </w:r>
          </w:p>
        </w:tc>
        <w:tc>
          <w:tcPr>
            <w:tcW w:w="709" w:type="dxa"/>
            <w:tcBorders>
              <w:top w:val="nil"/>
              <w:left w:val="nil"/>
              <w:bottom w:val="single" w:sz="4" w:space="0" w:color="auto"/>
              <w:right w:val="single" w:sz="4" w:space="0" w:color="auto"/>
            </w:tcBorders>
            <w:shd w:val="clear" w:color="auto" w:fill="auto"/>
            <w:noWrap/>
            <w:vAlign w:val="bottom"/>
            <w:hideMark/>
          </w:tcPr>
          <w:p w14:paraId="42AA06B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746</w:t>
            </w:r>
          </w:p>
        </w:tc>
        <w:tc>
          <w:tcPr>
            <w:tcW w:w="709" w:type="dxa"/>
            <w:tcBorders>
              <w:top w:val="nil"/>
              <w:left w:val="nil"/>
              <w:bottom w:val="single" w:sz="4" w:space="0" w:color="auto"/>
              <w:right w:val="single" w:sz="4" w:space="0" w:color="auto"/>
            </w:tcBorders>
            <w:shd w:val="clear" w:color="auto" w:fill="auto"/>
            <w:noWrap/>
            <w:vAlign w:val="bottom"/>
            <w:hideMark/>
          </w:tcPr>
          <w:p w14:paraId="0FD155D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1.289</w:t>
            </w:r>
          </w:p>
        </w:tc>
        <w:tc>
          <w:tcPr>
            <w:tcW w:w="709" w:type="dxa"/>
            <w:tcBorders>
              <w:top w:val="nil"/>
              <w:left w:val="nil"/>
              <w:bottom w:val="single" w:sz="4" w:space="0" w:color="auto"/>
              <w:right w:val="single" w:sz="4" w:space="0" w:color="auto"/>
            </w:tcBorders>
            <w:shd w:val="clear" w:color="auto" w:fill="auto"/>
            <w:noWrap/>
            <w:vAlign w:val="bottom"/>
            <w:hideMark/>
          </w:tcPr>
          <w:p w14:paraId="6CD77A3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1.824</w:t>
            </w:r>
          </w:p>
        </w:tc>
        <w:tc>
          <w:tcPr>
            <w:tcW w:w="708" w:type="dxa"/>
            <w:tcBorders>
              <w:top w:val="nil"/>
              <w:left w:val="nil"/>
              <w:bottom w:val="single" w:sz="4" w:space="0" w:color="auto"/>
              <w:right w:val="single" w:sz="4" w:space="0" w:color="auto"/>
            </w:tcBorders>
            <w:shd w:val="clear" w:color="auto" w:fill="auto"/>
            <w:noWrap/>
            <w:vAlign w:val="bottom"/>
            <w:hideMark/>
          </w:tcPr>
          <w:p w14:paraId="2177762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3,0</w:t>
            </w:r>
          </w:p>
        </w:tc>
        <w:tc>
          <w:tcPr>
            <w:tcW w:w="709" w:type="dxa"/>
            <w:tcBorders>
              <w:top w:val="nil"/>
              <w:left w:val="nil"/>
              <w:bottom w:val="single" w:sz="4" w:space="0" w:color="auto"/>
              <w:right w:val="single" w:sz="4" w:space="0" w:color="auto"/>
            </w:tcBorders>
            <w:shd w:val="clear" w:color="auto" w:fill="auto"/>
            <w:noWrap/>
            <w:vAlign w:val="bottom"/>
            <w:hideMark/>
          </w:tcPr>
          <w:p w14:paraId="7EFC939A"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2,3</w:t>
            </w:r>
          </w:p>
        </w:tc>
        <w:tc>
          <w:tcPr>
            <w:tcW w:w="709" w:type="dxa"/>
            <w:tcBorders>
              <w:top w:val="nil"/>
              <w:left w:val="nil"/>
              <w:bottom w:val="single" w:sz="4" w:space="0" w:color="auto"/>
              <w:right w:val="single" w:sz="4" w:space="0" w:color="auto"/>
            </w:tcBorders>
            <w:shd w:val="clear" w:color="auto" w:fill="auto"/>
            <w:noWrap/>
            <w:vAlign w:val="bottom"/>
            <w:hideMark/>
          </w:tcPr>
          <w:p w14:paraId="3AB7683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1,7</w:t>
            </w:r>
          </w:p>
        </w:tc>
        <w:tc>
          <w:tcPr>
            <w:tcW w:w="850" w:type="dxa"/>
            <w:tcBorders>
              <w:top w:val="nil"/>
              <w:left w:val="nil"/>
              <w:bottom w:val="single" w:sz="4" w:space="0" w:color="auto"/>
              <w:right w:val="single" w:sz="4" w:space="0" w:color="auto"/>
            </w:tcBorders>
            <w:shd w:val="clear" w:color="auto" w:fill="auto"/>
            <w:noWrap/>
            <w:vAlign w:val="bottom"/>
            <w:hideMark/>
          </w:tcPr>
          <w:p w14:paraId="2924F35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1,2</w:t>
            </w:r>
          </w:p>
        </w:tc>
        <w:tc>
          <w:tcPr>
            <w:tcW w:w="851" w:type="dxa"/>
            <w:tcBorders>
              <w:top w:val="nil"/>
              <w:left w:val="nil"/>
              <w:bottom w:val="single" w:sz="4" w:space="0" w:color="auto"/>
              <w:right w:val="single" w:sz="4" w:space="0" w:color="auto"/>
            </w:tcBorders>
            <w:shd w:val="clear" w:color="auto" w:fill="auto"/>
            <w:noWrap/>
            <w:vAlign w:val="bottom"/>
            <w:hideMark/>
          </w:tcPr>
          <w:p w14:paraId="0998651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3,6</w:t>
            </w:r>
          </w:p>
        </w:tc>
        <w:tc>
          <w:tcPr>
            <w:tcW w:w="851" w:type="dxa"/>
            <w:tcBorders>
              <w:top w:val="nil"/>
              <w:left w:val="nil"/>
              <w:bottom w:val="single" w:sz="4" w:space="0" w:color="auto"/>
              <w:right w:val="single" w:sz="4" w:space="0" w:color="auto"/>
            </w:tcBorders>
            <w:shd w:val="clear" w:color="auto" w:fill="auto"/>
            <w:noWrap/>
            <w:vAlign w:val="bottom"/>
            <w:hideMark/>
          </w:tcPr>
          <w:p w14:paraId="366BE3D3"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3,8</w:t>
            </w:r>
          </w:p>
        </w:tc>
      </w:tr>
      <w:tr w:rsidR="006356F1" w:rsidRPr="00F65A52" w14:paraId="49ABFBAE"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51AE6E98"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Piracanjuba</w:t>
            </w:r>
          </w:p>
        </w:tc>
        <w:tc>
          <w:tcPr>
            <w:tcW w:w="709" w:type="dxa"/>
            <w:tcBorders>
              <w:top w:val="nil"/>
              <w:left w:val="nil"/>
              <w:bottom w:val="single" w:sz="4" w:space="0" w:color="auto"/>
              <w:right w:val="single" w:sz="4" w:space="0" w:color="auto"/>
            </w:tcBorders>
            <w:shd w:val="clear" w:color="auto" w:fill="auto"/>
            <w:noWrap/>
            <w:vAlign w:val="bottom"/>
            <w:hideMark/>
          </w:tcPr>
          <w:p w14:paraId="2BD58DB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13</w:t>
            </w:r>
          </w:p>
        </w:tc>
        <w:tc>
          <w:tcPr>
            <w:tcW w:w="709" w:type="dxa"/>
            <w:tcBorders>
              <w:top w:val="nil"/>
              <w:left w:val="nil"/>
              <w:bottom w:val="single" w:sz="4" w:space="0" w:color="auto"/>
              <w:right w:val="single" w:sz="4" w:space="0" w:color="auto"/>
            </w:tcBorders>
            <w:shd w:val="clear" w:color="auto" w:fill="auto"/>
            <w:noWrap/>
            <w:vAlign w:val="bottom"/>
            <w:hideMark/>
          </w:tcPr>
          <w:p w14:paraId="3AA99C4A"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1.005</w:t>
            </w:r>
          </w:p>
        </w:tc>
        <w:tc>
          <w:tcPr>
            <w:tcW w:w="708" w:type="dxa"/>
            <w:tcBorders>
              <w:top w:val="nil"/>
              <w:left w:val="nil"/>
              <w:bottom w:val="single" w:sz="4" w:space="0" w:color="auto"/>
              <w:right w:val="single" w:sz="4" w:space="0" w:color="auto"/>
            </w:tcBorders>
            <w:shd w:val="clear" w:color="auto" w:fill="auto"/>
            <w:noWrap/>
            <w:vAlign w:val="bottom"/>
            <w:hideMark/>
          </w:tcPr>
          <w:p w14:paraId="17DD865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13</w:t>
            </w:r>
          </w:p>
        </w:tc>
        <w:tc>
          <w:tcPr>
            <w:tcW w:w="709" w:type="dxa"/>
            <w:tcBorders>
              <w:top w:val="nil"/>
              <w:left w:val="nil"/>
              <w:bottom w:val="single" w:sz="4" w:space="0" w:color="auto"/>
              <w:right w:val="single" w:sz="4" w:space="0" w:color="auto"/>
            </w:tcBorders>
            <w:shd w:val="clear" w:color="auto" w:fill="auto"/>
            <w:noWrap/>
            <w:vAlign w:val="bottom"/>
            <w:hideMark/>
          </w:tcPr>
          <w:p w14:paraId="2876BD8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1.005</w:t>
            </w:r>
          </w:p>
        </w:tc>
        <w:tc>
          <w:tcPr>
            <w:tcW w:w="709" w:type="dxa"/>
            <w:tcBorders>
              <w:top w:val="nil"/>
              <w:left w:val="nil"/>
              <w:bottom w:val="single" w:sz="4" w:space="0" w:color="auto"/>
              <w:right w:val="single" w:sz="4" w:space="0" w:color="auto"/>
            </w:tcBorders>
            <w:shd w:val="clear" w:color="auto" w:fill="auto"/>
            <w:noWrap/>
            <w:vAlign w:val="bottom"/>
            <w:hideMark/>
          </w:tcPr>
          <w:p w14:paraId="6E5281D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w:t>
            </w:r>
          </w:p>
        </w:tc>
        <w:tc>
          <w:tcPr>
            <w:tcW w:w="709" w:type="dxa"/>
            <w:tcBorders>
              <w:top w:val="nil"/>
              <w:left w:val="nil"/>
              <w:bottom w:val="single" w:sz="4" w:space="0" w:color="auto"/>
              <w:right w:val="single" w:sz="4" w:space="0" w:color="auto"/>
            </w:tcBorders>
            <w:shd w:val="clear" w:color="auto" w:fill="auto"/>
            <w:noWrap/>
            <w:vAlign w:val="bottom"/>
            <w:hideMark/>
          </w:tcPr>
          <w:p w14:paraId="6E4B2695"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c>
          <w:tcPr>
            <w:tcW w:w="708" w:type="dxa"/>
            <w:tcBorders>
              <w:top w:val="nil"/>
              <w:left w:val="nil"/>
              <w:bottom w:val="single" w:sz="4" w:space="0" w:color="auto"/>
              <w:right w:val="single" w:sz="4" w:space="0" w:color="auto"/>
            </w:tcBorders>
            <w:shd w:val="clear" w:color="auto" w:fill="auto"/>
            <w:noWrap/>
            <w:vAlign w:val="bottom"/>
            <w:hideMark/>
          </w:tcPr>
          <w:p w14:paraId="5414257A"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0,0</w:t>
            </w:r>
          </w:p>
        </w:tc>
        <w:tc>
          <w:tcPr>
            <w:tcW w:w="709" w:type="dxa"/>
            <w:tcBorders>
              <w:top w:val="nil"/>
              <w:left w:val="nil"/>
              <w:bottom w:val="single" w:sz="4" w:space="0" w:color="auto"/>
              <w:right w:val="single" w:sz="4" w:space="0" w:color="auto"/>
            </w:tcBorders>
            <w:shd w:val="clear" w:color="auto" w:fill="auto"/>
            <w:noWrap/>
            <w:vAlign w:val="bottom"/>
            <w:hideMark/>
          </w:tcPr>
          <w:p w14:paraId="23EEA33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0,9</w:t>
            </w:r>
          </w:p>
        </w:tc>
        <w:tc>
          <w:tcPr>
            <w:tcW w:w="709" w:type="dxa"/>
            <w:tcBorders>
              <w:top w:val="nil"/>
              <w:left w:val="nil"/>
              <w:bottom w:val="single" w:sz="4" w:space="0" w:color="auto"/>
              <w:right w:val="single" w:sz="4" w:space="0" w:color="auto"/>
            </w:tcBorders>
            <w:shd w:val="clear" w:color="auto" w:fill="auto"/>
            <w:noWrap/>
            <w:vAlign w:val="bottom"/>
            <w:hideMark/>
          </w:tcPr>
          <w:p w14:paraId="14F781E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c>
          <w:tcPr>
            <w:tcW w:w="850" w:type="dxa"/>
            <w:tcBorders>
              <w:top w:val="nil"/>
              <w:left w:val="nil"/>
              <w:bottom w:val="single" w:sz="4" w:space="0" w:color="auto"/>
              <w:right w:val="single" w:sz="4" w:space="0" w:color="auto"/>
            </w:tcBorders>
            <w:shd w:val="clear" w:color="auto" w:fill="auto"/>
            <w:noWrap/>
            <w:vAlign w:val="bottom"/>
            <w:hideMark/>
          </w:tcPr>
          <w:p w14:paraId="763EE1AA"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1,6</w:t>
            </w:r>
          </w:p>
        </w:tc>
        <w:tc>
          <w:tcPr>
            <w:tcW w:w="851" w:type="dxa"/>
            <w:tcBorders>
              <w:top w:val="nil"/>
              <w:left w:val="nil"/>
              <w:bottom w:val="single" w:sz="4" w:space="0" w:color="auto"/>
              <w:right w:val="single" w:sz="4" w:space="0" w:color="auto"/>
            </w:tcBorders>
            <w:shd w:val="clear" w:color="auto" w:fill="auto"/>
            <w:noWrap/>
            <w:vAlign w:val="bottom"/>
            <w:hideMark/>
          </w:tcPr>
          <w:p w14:paraId="65642ECA"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c>
          <w:tcPr>
            <w:tcW w:w="851" w:type="dxa"/>
            <w:tcBorders>
              <w:top w:val="nil"/>
              <w:left w:val="nil"/>
              <w:bottom w:val="single" w:sz="4" w:space="0" w:color="auto"/>
              <w:right w:val="single" w:sz="4" w:space="0" w:color="auto"/>
            </w:tcBorders>
            <w:shd w:val="clear" w:color="auto" w:fill="auto"/>
            <w:noWrap/>
            <w:vAlign w:val="bottom"/>
            <w:hideMark/>
          </w:tcPr>
          <w:p w14:paraId="4F63FB49"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r>
      <w:tr w:rsidR="006356F1" w:rsidRPr="00F65A52" w14:paraId="0972EF76"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65E32C15"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São Luís de Montes Belos</w:t>
            </w:r>
          </w:p>
        </w:tc>
        <w:tc>
          <w:tcPr>
            <w:tcW w:w="709" w:type="dxa"/>
            <w:tcBorders>
              <w:top w:val="nil"/>
              <w:left w:val="nil"/>
              <w:bottom w:val="single" w:sz="4" w:space="0" w:color="auto"/>
              <w:right w:val="single" w:sz="4" w:space="0" w:color="auto"/>
            </w:tcBorders>
            <w:shd w:val="clear" w:color="auto" w:fill="auto"/>
            <w:noWrap/>
            <w:vAlign w:val="bottom"/>
            <w:hideMark/>
          </w:tcPr>
          <w:p w14:paraId="571F14B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39</w:t>
            </w:r>
          </w:p>
        </w:tc>
        <w:tc>
          <w:tcPr>
            <w:tcW w:w="709" w:type="dxa"/>
            <w:tcBorders>
              <w:top w:val="nil"/>
              <w:left w:val="nil"/>
              <w:bottom w:val="single" w:sz="4" w:space="0" w:color="auto"/>
              <w:right w:val="single" w:sz="4" w:space="0" w:color="auto"/>
            </w:tcBorders>
            <w:shd w:val="clear" w:color="auto" w:fill="auto"/>
            <w:noWrap/>
            <w:vAlign w:val="bottom"/>
            <w:hideMark/>
          </w:tcPr>
          <w:p w14:paraId="5E6AB0A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604</w:t>
            </w:r>
          </w:p>
        </w:tc>
        <w:tc>
          <w:tcPr>
            <w:tcW w:w="708" w:type="dxa"/>
            <w:tcBorders>
              <w:top w:val="nil"/>
              <w:left w:val="nil"/>
              <w:bottom w:val="single" w:sz="4" w:space="0" w:color="auto"/>
              <w:right w:val="single" w:sz="4" w:space="0" w:color="auto"/>
            </w:tcBorders>
            <w:shd w:val="clear" w:color="auto" w:fill="auto"/>
            <w:noWrap/>
            <w:vAlign w:val="bottom"/>
            <w:hideMark/>
          </w:tcPr>
          <w:p w14:paraId="3E08FB3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9</w:t>
            </w:r>
          </w:p>
        </w:tc>
        <w:tc>
          <w:tcPr>
            <w:tcW w:w="709" w:type="dxa"/>
            <w:tcBorders>
              <w:top w:val="nil"/>
              <w:left w:val="nil"/>
              <w:bottom w:val="single" w:sz="4" w:space="0" w:color="auto"/>
              <w:right w:val="single" w:sz="4" w:space="0" w:color="auto"/>
            </w:tcBorders>
            <w:shd w:val="clear" w:color="auto" w:fill="auto"/>
            <w:noWrap/>
            <w:vAlign w:val="bottom"/>
            <w:hideMark/>
          </w:tcPr>
          <w:p w14:paraId="799B794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433</w:t>
            </w:r>
          </w:p>
        </w:tc>
        <w:tc>
          <w:tcPr>
            <w:tcW w:w="709" w:type="dxa"/>
            <w:tcBorders>
              <w:top w:val="nil"/>
              <w:left w:val="nil"/>
              <w:bottom w:val="single" w:sz="4" w:space="0" w:color="auto"/>
              <w:right w:val="single" w:sz="4" w:space="0" w:color="auto"/>
            </w:tcBorders>
            <w:shd w:val="clear" w:color="auto" w:fill="auto"/>
            <w:noWrap/>
            <w:vAlign w:val="bottom"/>
            <w:hideMark/>
          </w:tcPr>
          <w:p w14:paraId="5C886704"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30</w:t>
            </w:r>
          </w:p>
        </w:tc>
        <w:tc>
          <w:tcPr>
            <w:tcW w:w="709" w:type="dxa"/>
            <w:tcBorders>
              <w:top w:val="nil"/>
              <w:left w:val="nil"/>
              <w:bottom w:val="single" w:sz="4" w:space="0" w:color="auto"/>
              <w:right w:val="single" w:sz="4" w:space="0" w:color="auto"/>
            </w:tcBorders>
            <w:shd w:val="clear" w:color="auto" w:fill="auto"/>
            <w:noWrap/>
            <w:vAlign w:val="bottom"/>
            <w:hideMark/>
          </w:tcPr>
          <w:p w14:paraId="77E4F69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172</w:t>
            </w:r>
          </w:p>
        </w:tc>
        <w:tc>
          <w:tcPr>
            <w:tcW w:w="708" w:type="dxa"/>
            <w:tcBorders>
              <w:top w:val="nil"/>
              <w:left w:val="nil"/>
              <w:bottom w:val="single" w:sz="4" w:space="0" w:color="auto"/>
              <w:right w:val="single" w:sz="4" w:space="0" w:color="auto"/>
            </w:tcBorders>
            <w:shd w:val="clear" w:color="auto" w:fill="auto"/>
            <w:noWrap/>
            <w:vAlign w:val="bottom"/>
            <w:hideMark/>
          </w:tcPr>
          <w:p w14:paraId="25D40B0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c>
          <w:tcPr>
            <w:tcW w:w="709" w:type="dxa"/>
            <w:tcBorders>
              <w:top w:val="nil"/>
              <w:left w:val="nil"/>
              <w:bottom w:val="single" w:sz="4" w:space="0" w:color="auto"/>
              <w:right w:val="single" w:sz="4" w:space="0" w:color="auto"/>
            </w:tcBorders>
            <w:shd w:val="clear" w:color="auto" w:fill="auto"/>
            <w:noWrap/>
            <w:vAlign w:val="bottom"/>
            <w:hideMark/>
          </w:tcPr>
          <w:p w14:paraId="52B7797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0,5</w:t>
            </w:r>
          </w:p>
        </w:tc>
        <w:tc>
          <w:tcPr>
            <w:tcW w:w="709" w:type="dxa"/>
            <w:tcBorders>
              <w:top w:val="nil"/>
              <w:left w:val="nil"/>
              <w:bottom w:val="single" w:sz="4" w:space="0" w:color="auto"/>
              <w:right w:val="single" w:sz="4" w:space="0" w:color="auto"/>
            </w:tcBorders>
            <w:shd w:val="clear" w:color="auto" w:fill="auto"/>
            <w:noWrap/>
            <w:vAlign w:val="bottom"/>
            <w:hideMark/>
          </w:tcPr>
          <w:p w14:paraId="63BC6C8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c>
          <w:tcPr>
            <w:tcW w:w="850" w:type="dxa"/>
            <w:tcBorders>
              <w:top w:val="nil"/>
              <w:left w:val="nil"/>
              <w:bottom w:val="single" w:sz="4" w:space="0" w:color="auto"/>
              <w:right w:val="single" w:sz="4" w:space="0" w:color="auto"/>
            </w:tcBorders>
            <w:shd w:val="clear" w:color="auto" w:fill="auto"/>
            <w:noWrap/>
            <w:vAlign w:val="bottom"/>
            <w:hideMark/>
          </w:tcPr>
          <w:p w14:paraId="4E9B5E43"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0,7</w:t>
            </w:r>
          </w:p>
        </w:tc>
        <w:tc>
          <w:tcPr>
            <w:tcW w:w="851" w:type="dxa"/>
            <w:tcBorders>
              <w:top w:val="nil"/>
              <w:left w:val="nil"/>
              <w:bottom w:val="single" w:sz="4" w:space="0" w:color="auto"/>
              <w:right w:val="single" w:sz="4" w:space="0" w:color="auto"/>
            </w:tcBorders>
            <w:shd w:val="clear" w:color="auto" w:fill="auto"/>
            <w:noWrap/>
            <w:vAlign w:val="bottom"/>
            <w:hideMark/>
          </w:tcPr>
          <w:p w14:paraId="397C228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c>
          <w:tcPr>
            <w:tcW w:w="851" w:type="dxa"/>
            <w:tcBorders>
              <w:top w:val="nil"/>
              <w:left w:val="nil"/>
              <w:bottom w:val="single" w:sz="4" w:space="0" w:color="auto"/>
              <w:right w:val="single" w:sz="4" w:space="0" w:color="auto"/>
            </w:tcBorders>
            <w:shd w:val="clear" w:color="auto" w:fill="auto"/>
            <w:noWrap/>
            <w:vAlign w:val="bottom"/>
            <w:hideMark/>
          </w:tcPr>
          <w:p w14:paraId="6A458E5A"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0,4</w:t>
            </w:r>
          </w:p>
        </w:tc>
      </w:tr>
      <w:tr w:rsidR="006356F1" w:rsidRPr="00F65A52" w14:paraId="6ECC720D"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19593066"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Uruaçu - Niquelândia</w:t>
            </w:r>
          </w:p>
        </w:tc>
        <w:tc>
          <w:tcPr>
            <w:tcW w:w="709" w:type="dxa"/>
            <w:tcBorders>
              <w:top w:val="nil"/>
              <w:left w:val="nil"/>
              <w:bottom w:val="single" w:sz="4" w:space="0" w:color="auto"/>
              <w:right w:val="single" w:sz="4" w:space="0" w:color="auto"/>
            </w:tcBorders>
            <w:shd w:val="clear" w:color="auto" w:fill="auto"/>
            <w:noWrap/>
            <w:vAlign w:val="bottom"/>
            <w:hideMark/>
          </w:tcPr>
          <w:p w14:paraId="0DA28B2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554</w:t>
            </w:r>
          </w:p>
        </w:tc>
        <w:tc>
          <w:tcPr>
            <w:tcW w:w="709" w:type="dxa"/>
            <w:tcBorders>
              <w:top w:val="nil"/>
              <w:left w:val="nil"/>
              <w:bottom w:val="single" w:sz="4" w:space="0" w:color="auto"/>
              <w:right w:val="single" w:sz="4" w:space="0" w:color="auto"/>
            </w:tcBorders>
            <w:shd w:val="clear" w:color="auto" w:fill="auto"/>
            <w:noWrap/>
            <w:vAlign w:val="bottom"/>
            <w:hideMark/>
          </w:tcPr>
          <w:p w14:paraId="2FC21A2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485</w:t>
            </w:r>
          </w:p>
        </w:tc>
        <w:tc>
          <w:tcPr>
            <w:tcW w:w="708" w:type="dxa"/>
            <w:tcBorders>
              <w:top w:val="nil"/>
              <w:left w:val="nil"/>
              <w:bottom w:val="single" w:sz="4" w:space="0" w:color="auto"/>
              <w:right w:val="single" w:sz="4" w:space="0" w:color="auto"/>
            </w:tcBorders>
            <w:shd w:val="clear" w:color="auto" w:fill="auto"/>
            <w:noWrap/>
            <w:vAlign w:val="bottom"/>
            <w:hideMark/>
          </w:tcPr>
          <w:p w14:paraId="447358F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554</w:t>
            </w:r>
          </w:p>
        </w:tc>
        <w:tc>
          <w:tcPr>
            <w:tcW w:w="709" w:type="dxa"/>
            <w:tcBorders>
              <w:top w:val="nil"/>
              <w:left w:val="nil"/>
              <w:bottom w:val="single" w:sz="4" w:space="0" w:color="auto"/>
              <w:right w:val="single" w:sz="4" w:space="0" w:color="auto"/>
            </w:tcBorders>
            <w:shd w:val="clear" w:color="auto" w:fill="auto"/>
            <w:noWrap/>
            <w:vAlign w:val="bottom"/>
            <w:hideMark/>
          </w:tcPr>
          <w:p w14:paraId="1827BD3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485</w:t>
            </w:r>
          </w:p>
        </w:tc>
        <w:tc>
          <w:tcPr>
            <w:tcW w:w="709" w:type="dxa"/>
            <w:tcBorders>
              <w:top w:val="nil"/>
              <w:left w:val="nil"/>
              <w:bottom w:val="single" w:sz="4" w:space="0" w:color="auto"/>
              <w:right w:val="single" w:sz="4" w:space="0" w:color="auto"/>
            </w:tcBorders>
            <w:shd w:val="clear" w:color="auto" w:fill="auto"/>
            <w:noWrap/>
            <w:vAlign w:val="bottom"/>
            <w:hideMark/>
          </w:tcPr>
          <w:p w14:paraId="4791B7A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w:t>
            </w:r>
          </w:p>
        </w:tc>
        <w:tc>
          <w:tcPr>
            <w:tcW w:w="709" w:type="dxa"/>
            <w:tcBorders>
              <w:top w:val="nil"/>
              <w:left w:val="nil"/>
              <w:bottom w:val="single" w:sz="4" w:space="0" w:color="auto"/>
              <w:right w:val="single" w:sz="4" w:space="0" w:color="auto"/>
            </w:tcBorders>
            <w:shd w:val="clear" w:color="auto" w:fill="auto"/>
            <w:noWrap/>
            <w:vAlign w:val="bottom"/>
            <w:hideMark/>
          </w:tcPr>
          <w:p w14:paraId="3C3F33A5"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c>
          <w:tcPr>
            <w:tcW w:w="708" w:type="dxa"/>
            <w:tcBorders>
              <w:top w:val="nil"/>
              <w:left w:val="nil"/>
              <w:bottom w:val="single" w:sz="4" w:space="0" w:color="auto"/>
              <w:right w:val="single" w:sz="4" w:space="0" w:color="auto"/>
            </w:tcBorders>
            <w:shd w:val="clear" w:color="auto" w:fill="auto"/>
            <w:noWrap/>
            <w:vAlign w:val="bottom"/>
            <w:hideMark/>
          </w:tcPr>
          <w:p w14:paraId="5FAD20B3"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1,1</w:t>
            </w:r>
          </w:p>
        </w:tc>
        <w:tc>
          <w:tcPr>
            <w:tcW w:w="709" w:type="dxa"/>
            <w:tcBorders>
              <w:top w:val="nil"/>
              <w:left w:val="nil"/>
              <w:bottom w:val="single" w:sz="4" w:space="0" w:color="auto"/>
              <w:right w:val="single" w:sz="4" w:space="0" w:color="auto"/>
            </w:tcBorders>
            <w:shd w:val="clear" w:color="auto" w:fill="auto"/>
            <w:noWrap/>
            <w:vAlign w:val="bottom"/>
            <w:hideMark/>
          </w:tcPr>
          <w:p w14:paraId="0FCC521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0,4</w:t>
            </w:r>
          </w:p>
        </w:tc>
        <w:tc>
          <w:tcPr>
            <w:tcW w:w="709" w:type="dxa"/>
            <w:tcBorders>
              <w:top w:val="nil"/>
              <w:left w:val="nil"/>
              <w:bottom w:val="single" w:sz="4" w:space="0" w:color="auto"/>
              <w:right w:val="single" w:sz="4" w:space="0" w:color="auto"/>
            </w:tcBorders>
            <w:shd w:val="clear" w:color="auto" w:fill="auto"/>
            <w:noWrap/>
            <w:vAlign w:val="bottom"/>
            <w:hideMark/>
          </w:tcPr>
          <w:p w14:paraId="2C76E94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3,6</w:t>
            </w:r>
          </w:p>
        </w:tc>
        <w:tc>
          <w:tcPr>
            <w:tcW w:w="850" w:type="dxa"/>
            <w:tcBorders>
              <w:top w:val="nil"/>
              <w:left w:val="nil"/>
              <w:bottom w:val="single" w:sz="4" w:space="0" w:color="auto"/>
              <w:right w:val="single" w:sz="4" w:space="0" w:color="auto"/>
            </w:tcBorders>
            <w:shd w:val="clear" w:color="auto" w:fill="auto"/>
            <w:noWrap/>
            <w:vAlign w:val="bottom"/>
            <w:hideMark/>
          </w:tcPr>
          <w:p w14:paraId="68DFC18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0,8</w:t>
            </w:r>
          </w:p>
        </w:tc>
        <w:tc>
          <w:tcPr>
            <w:tcW w:w="851" w:type="dxa"/>
            <w:tcBorders>
              <w:top w:val="nil"/>
              <w:left w:val="nil"/>
              <w:bottom w:val="single" w:sz="4" w:space="0" w:color="auto"/>
              <w:right w:val="single" w:sz="4" w:space="0" w:color="auto"/>
            </w:tcBorders>
            <w:shd w:val="clear" w:color="auto" w:fill="auto"/>
            <w:noWrap/>
            <w:vAlign w:val="bottom"/>
            <w:hideMark/>
          </w:tcPr>
          <w:p w14:paraId="6B101A21"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c>
          <w:tcPr>
            <w:tcW w:w="851" w:type="dxa"/>
            <w:tcBorders>
              <w:top w:val="nil"/>
              <w:left w:val="nil"/>
              <w:bottom w:val="single" w:sz="4" w:space="0" w:color="auto"/>
              <w:right w:val="single" w:sz="4" w:space="0" w:color="auto"/>
            </w:tcBorders>
            <w:shd w:val="clear" w:color="auto" w:fill="auto"/>
            <w:noWrap/>
            <w:vAlign w:val="bottom"/>
            <w:hideMark/>
          </w:tcPr>
          <w:p w14:paraId="63C745C5"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r>
      <w:tr w:rsidR="006356F1" w:rsidRPr="00F65A52" w14:paraId="2BF4DE96"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3440549C"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Águas Lindas de Goiás</w:t>
            </w:r>
          </w:p>
        </w:tc>
        <w:tc>
          <w:tcPr>
            <w:tcW w:w="709" w:type="dxa"/>
            <w:tcBorders>
              <w:top w:val="nil"/>
              <w:left w:val="nil"/>
              <w:bottom w:val="single" w:sz="4" w:space="0" w:color="auto"/>
              <w:right w:val="single" w:sz="4" w:space="0" w:color="auto"/>
            </w:tcBorders>
            <w:shd w:val="clear" w:color="auto" w:fill="auto"/>
            <w:noWrap/>
            <w:vAlign w:val="bottom"/>
            <w:hideMark/>
          </w:tcPr>
          <w:p w14:paraId="22FAB02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122</w:t>
            </w:r>
          </w:p>
        </w:tc>
        <w:tc>
          <w:tcPr>
            <w:tcW w:w="709" w:type="dxa"/>
            <w:tcBorders>
              <w:top w:val="nil"/>
              <w:left w:val="nil"/>
              <w:bottom w:val="single" w:sz="4" w:space="0" w:color="auto"/>
              <w:right w:val="single" w:sz="4" w:space="0" w:color="auto"/>
            </w:tcBorders>
            <w:shd w:val="clear" w:color="auto" w:fill="auto"/>
            <w:noWrap/>
            <w:vAlign w:val="bottom"/>
            <w:hideMark/>
          </w:tcPr>
          <w:p w14:paraId="0643921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378</w:t>
            </w:r>
          </w:p>
        </w:tc>
        <w:tc>
          <w:tcPr>
            <w:tcW w:w="708" w:type="dxa"/>
            <w:tcBorders>
              <w:top w:val="nil"/>
              <w:left w:val="nil"/>
              <w:bottom w:val="single" w:sz="4" w:space="0" w:color="auto"/>
              <w:right w:val="single" w:sz="4" w:space="0" w:color="auto"/>
            </w:tcBorders>
            <w:shd w:val="clear" w:color="auto" w:fill="auto"/>
            <w:noWrap/>
            <w:vAlign w:val="bottom"/>
            <w:hideMark/>
          </w:tcPr>
          <w:p w14:paraId="69486DB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97</w:t>
            </w:r>
          </w:p>
        </w:tc>
        <w:tc>
          <w:tcPr>
            <w:tcW w:w="709" w:type="dxa"/>
            <w:tcBorders>
              <w:top w:val="nil"/>
              <w:left w:val="nil"/>
              <w:bottom w:val="single" w:sz="4" w:space="0" w:color="auto"/>
              <w:right w:val="single" w:sz="4" w:space="0" w:color="auto"/>
            </w:tcBorders>
            <w:shd w:val="clear" w:color="auto" w:fill="auto"/>
            <w:noWrap/>
            <w:vAlign w:val="bottom"/>
            <w:hideMark/>
          </w:tcPr>
          <w:p w14:paraId="1AA6253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358</w:t>
            </w:r>
          </w:p>
        </w:tc>
        <w:tc>
          <w:tcPr>
            <w:tcW w:w="709" w:type="dxa"/>
            <w:tcBorders>
              <w:top w:val="nil"/>
              <w:left w:val="nil"/>
              <w:bottom w:val="single" w:sz="4" w:space="0" w:color="auto"/>
              <w:right w:val="single" w:sz="4" w:space="0" w:color="auto"/>
            </w:tcBorders>
            <w:shd w:val="clear" w:color="auto" w:fill="auto"/>
            <w:noWrap/>
            <w:vAlign w:val="bottom"/>
            <w:hideMark/>
          </w:tcPr>
          <w:p w14:paraId="72EF05C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25</w:t>
            </w:r>
          </w:p>
        </w:tc>
        <w:tc>
          <w:tcPr>
            <w:tcW w:w="709" w:type="dxa"/>
            <w:tcBorders>
              <w:top w:val="nil"/>
              <w:left w:val="nil"/>
              <w:bottom w:val="single" w:sz="4" w:space="0" w:color="auto"/>
              <w:right w:val="single" w:sz="4" w:space="0" w:color="auto"/>
            </w:tcBorders>
            <w:shd w:val="clear" w:color="auto" w:fill="auto"/>
            <w:noWrap/>
            <w:vAlign w:val="bottom"/>
            <w:hideMark/>
          </w:tcPr>
          <w:p w14:paraId="56BE5A3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21</w:t>
            </w:r>
          </w:p>
        </w:tc>
        <w:tc>
          <w:tcPr>
            <w:tcW w:w="708" w:type="dxa"/>
            <w:tcBorders>
              <w:top w:val="nil"/>
              <w:left w:val="nil"/>
              <w:bottom w:val="single" w:sz="4" w:space="0" w:color="auto"/>
              <w:right w:val="single" w:sz="4" w:space="0" w:color="auto"/>
            </w:tcBorders>
            <w:shd w:val="clear" w:color="auto" w:fill="auto"/>
            <w:noWrap/>
            <w:vAlign w:val="bottom"/>
            <w:hideMark/>
          </w:tcPr>
          <w:p w14:paraId="5F98F58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0,2</w:t>
            </w:r>
          </w:p>
        </w:tc>
        <w:tc>
          <w:tcPr>
            <w:tcW w:w="709" w:type="dxa"/>
            <w:tcBorders>
              <w:top w:val="nil"/>
              <w:left w:val="nil"/>
              <w:bottom w:val="single" w:sz="4" w:space="0" w:color="auto"/>
              <w:right w:val="single" w:sz="4" w:space="0" w:color="auto"/>
            </w:tcBorders>
            <w:shd w:val="clear" w:color="auto" w:fill="auto"/>
            <w:noWrap/>
            <w:vAlign w:val="bottom"/>
            <w:hideMark/>
          </w:tcPr>
          <w:p w14:paraId="0A1049A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0,3</w:t>
            </w:r>
          </w:p>
        </w:tc>
        <w:tc>
          <w:tcPr>
            <w:tcW w:w="709" w:type="dxa"/>
            <w:tcBorders>
              <w:top w:val="nil"/>
              <w:left w:val="nil"/>
              <w:bottom w:val="single" w:sz="4" w:space="0" w:color="auto"/>
              <w:right w:val="single" w:sz="4" w:space="0" w:color="auto"/>
            </w:tcBorders>
            <w:shd w:val="clear" w:color="auto" w:fill="auto"/>
            <w:noWrap/>
            <w:vAlign w:val="bottom"/>
            <w:hideMark/>
          </w:tcPr>
          <w:p w14:paraId="2DE6976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0,6</w:t>
            </w:r>
          </w:p>
        </w:tc>
        <w:tc>
          <w:tcPr>
            <w:tcW w:w="850" w:type="dxa"/>
            <w:tcBorders>
              <w:top w:val="nil"/>
              <w:left w:val="nil"/>
              <w:bottom w:val="single" w:sz="4" w:space="0" w:color="auto"/>
              <w:right w:val="single" w:sz="4" w:space="0" w:color="auto"/>
            </w:tcBorders>
            <w:shd w:val="clear" w:color="auto" w:fill="auto"/>
            <w:noWrap/>
            <w:vAlign w:val="bottom"/>
            <w:hideMark/>
          </w:tcPr>
          <w:p w14:paraId="024B67C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0,6</w:t>
            </w:r>
          </w:p>
        </w:tc>
        <w:tc>
          <w:tcPr>
            <w:tcW w:w="851" w:type="dxa"/>
            <w:tcBorders>
              <w:top w:val="nil"/>
              <w:left w:val="nil"/>
              <w:bottom w:val="single" w:sz="4" w:space="0" w:color="auto"/>
              <w:right w:val="single" w:sz="4" w:space="0" w:color="auto"/>
            </w:tcBorders>
            <w:shd w:val="clear" w:color="auto" w:fill="auto"/>
            <w:noWrap/>
            <w:vAlign w:val="bottom"/>
            <w:hideMark/>
          </w:tcPr>
          <w:p w14:paraId="21D8B52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c>
          <w:tcPr>
            <w:tcW w:w="851" w:type="dxa"/>
            <w:tcBorders>
              <w:top w:val="nil"/>
              <w:left w:val="nil"/>
              <w:bottom w:val="single" w:sz="4" w:space="0" w:color="auto"/>
              <w:right w:val="single" w:sz="4" w:space="0" w:color="auto"/>
            </w:tcBorders>
            <w:shd w:val="clear" w:color="auto" w:fill="auto"/>
            <w:noWrap/>
            <w:vAlign w:val="bottom"/>
            <w:hideMark/>
          </w:tcPr>
          <w:p w14:paraId="11A96E3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0,0</w:t>
            </w:r>
          </w:p>
        </w:tc>
      </w:tr>
      <w:tr w:rsidR="006356F1" w:rsidRPr="00F65A52" w14:paraId="12B60A0F"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6C0BEE57"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Iporá</w:t>
            </w:r>
          </w:p>
        </w:tc>
        <w:tc>
          <w:tcPr>
            <w:tcW w:w="709" w:type="dxa"/>
            <w:tcBorders>
              <w:top w:val="nil"/>
              <w:left w:val="nil"/>
              <w:bottom w:val="single" w:sz="4" w:space="0" w:color="auto"/>
              <w:right w:val="single" w:sz="4" w:space="0" w:color="auto"/>
            </w:tcBorders>
            <w:shd w:val="clear" w:color="auto" w:fill="auto"/>
            <w:noWrap/>
            <w:vAlign w:val="bottom"/>
            <w:hideMark/>
          </w:tcPr>
          <w:p w14:paraId="20C3753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33</w:t>
            </w:r>
          </w:p>
        </w:tc>
        <w:tc>
          <w:tcPr>
            <w:tcW w:w="709" w:type="dxa"/>
            <w:tcBorders>
              <w:top w:val="nil"/>
              <w:left w:val="nil"/>
              <w:bottom w:val="single" w:sz="4" w:space="0" w:color="auto"/>
              <w:right w:val="single" w:sz="4" w:space="0" w:color="auto"/>
            </w:tcBorders>
            <w:shd w:val="clear" w:color="auto" w:fill="auto"/>
            <w:noWrap/>
            <w:vAlign w:val="bottom"/>
            <w:hideMark/>
          </w:tcPr>
          <w:p w14:paraId="0575AC4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326</w:t>
            </w:r>
          </w:p>
        </w:tc>
        <w:tc>
          <w:tcPr>
            <w:tcW w:w="708" w:type="dxa"/>
            <w:tcBorders>
              <w:top w:val="nil"/>
              <w:left w:val="nil"/>
              <w:bottom w:val="single" w:sz="4" w:space="0" w:color="auto"/>
              <w:right w:val="single" w:sz="4" w:space="0" w:color="auto"/>
            </w:tcBorders>
            <w:shd w:val="clear" w:color="auto" w:fill="auto"/>
            <w:noWrap/>
            <w:vAlign w:val="bottom"/>
            <w:hideMark/>
          </w:tcPr>
          <w:p w14:paraId="0E5E269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33</w:t>
            </w:r>
          </w:p>
        </w:tc>
        <w:tc>
          <w:tcPr>
            <w:tcW w:w="709" w:type="dxa"/>
            <w:tcBorders>
              <w:top w:val="nil"/>
              <w:left w:val="nil"/>
              <w:bottom w:val="single" w:sz="4" w:space="0" w:color="auto"/>
              <w:right w:val="single" w:sz="4" w:space="0" w:color="auto"/>
            </w:tcBorders>
            <w:shd w:val="clear" w:color="auto" w:fill="auto"/>
            <w:noWrap/>
            <w:vAlign w:val="bottom"/>
            <w:hideMark/>
          </w:tcPr>
          <w:p w14:paraId="4CFA19D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326</w:t>
            </w:r>
          </w:p>
        </w:tc>
        <w:tc>
          <w:tcPr>
            <w:tcW w:w="709" w:type="dxa"/>
            <w:tcBorders>
              <w:top w:val="nil"/>
              <w:left w:val="nil"/>
              <w:bottom w:val="single" w:sz="4" w:space="0" w:color="auto"/>
              <w:right w:val="single" w:sz="4" w:space="0" w:color="auto"/>
            </w:tcBorders>
            <w:shd w:val="clear" w:color="auto" w:fill="auto"/>
            <w:noWrap/>
            <w:vAlign w:val="bottom"/>
            <w:hideMark/>
          </w:tcPr>
          <w:p w14:paraId="31BDF11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w:t>
            </w:r>
          </w:p>
        </w:tc>
        <w:tc>
          <w:tcPr>
            <w:tcW w:w="709" w:type="dxa"/>
            <w:tcBorders>
              <w:top w:val="nil"/>
              <w:left w:val="nil"/>
              <w:bottom w:val="single" w:sz="4" w:space="0" w:color="auto"/>
              <w:right w:val="single" w:sz="4" w:space="0" w:color="auto"/>
            </w:tcBorders>
            <w:shd w:val="clear" w:color="auto" w:fill="auto"/>
            <w:noWrap/>
            <w:vAlign w:val="bottom"/>
            <w:hideMark/>
          </w:tcPr>
          <w:p w14:paraId="5ED6209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w:t>
            </w:r>
          </w:p>
        </w:tc>
        <w:tc>
          <w:tcPr>
            <w:tcW w:w="708" w:type="dxa"/>
            <w:tcBorders>
              <w:top w:val="nil"/>
              <w:left w:val="nil"/>
              <w:bottom w:val="single" w:sz="4" w:space="0" w:color="auto"/>
              <w:right w:val="single" w:sz="4" w:space="0" w:color="auto"/>
            </w:tcBorders>
            <w:shd w:val="clear" w:color="auto" w:fill="auto"/>
            <w:noWrap/>
            <w:vAlign w:val="bottom"/>
            <w:hideMark/>
          </w:tcPr>
          <w:p w14:paraId="57AC637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c>
          <w:tcPr>
            <w:tcW w:w="709" w:type="dxa"/>
            <w:tcBorders>
              <w:top w:val="nil"/>
              <w:left w:val="nil"/>
              <w:bottom w:val="single" w:sz="4" w:space="0" w:color="auto"/>
              <w:right w:val="single" w:sz="4" w:space="0" w:color="auto"/>
            </w:tcBorders>
            <w:shd w:val="clear" w:color="auto" w:fill="auto"/>
            <w:noWrap/>
            <w:vAlign w:val="bottom"/>
            <w:hideMark/>
          </w:tcPr>
          <w:p w14:paraId="0B71CC8B"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0,3</w:t>
            </w:r>
          </w:p>
        </w:tc>
        <w:tc>
          <w:tcPr>
            <w:tcW w:w="709" w:type="dxa"/>
            <w:tcBorders>
              <w:top w:val="nil"/>
              <w:left w:val="nil"/>
              <w:bottom w:val="single" w:sz="4" w:space="0" w:color="auto"/>
              <w:right w:val="single" w:sz="4" w:space="0" w:color="auto"/>
            </w:tcBorders>
            <w:shd w:val="clear" w:color="auto" w:fill="auto"/>
            <w:noWrap/>
            <w:vAlign w:val="bottom"/>
            <w:hideMark/>
          </w:tcPr>
          <w:p w14:paraId="27C095F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0,2</w:t>
            </w:r>
          </w:p>
        </w:tc>
        <w:tc>
          <w:tcPr>
            <w:tcW w:w="850" w:type="dxa"/>
            <w:tcBorders>
              <w:top w:val="nil"/>
              <w:left w:val="nil"/>
              <w:bottom w:val="single" w:sz="4" w:space="0" w:color="auto"/>
              <w:right w:val="single" w:sz="4" w:space="0" w:color="auto"/>
            </w:tcBorders>
            <w:shd w:val="clear" w:color="auto" w:fill="auto"/>
            <w:noWrap/>
            <w:vAlign w:val="bottom"/>
            <w:hideMark/>
          </w:tcPr>
          <w:p w14:paraId="2245D15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0,5</w:t>
            </w:r>
          </w:p>
        </w:tc>
        <w:tc>
          <w:tcPr>
            <w:tcW w:w="851" w:type="dxa"/>
            <w:tcBorders>
              <w:top w:val="nil"/>
              <w:left w:val="nil"/>
              <w:bottom w:val="single" w:sz="4" w:space="0" w:color="auto"/>
              <w:right w:val="single" w:sz="4" w:space="0" w:color="auto"/>
            </w:tcBorders>
            <w:shd w:val="clear" w:color="auto" w:fill="auto"/>
            <w:noWrap/>
            <w:vAlign w:val="bottom"/>
            <w:hideMark/>
          </w:tcPr>
          <w:p w14:paraId="6B7BC6D2"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c>
          <w:tcPr>
            <w:tcW w:w="851" w:type="dxa"/>
            <w:tcBorders>
              <w:top w:val="nil"/>
              <w:left w:val="nil"/>
              <w:bottom w:val="single" w:sz="4" w:space="0" w:color="auto"/>
              <w:right w:val="single" w:sz="4" w:space="0" w:color="auto"/>
            </w:tcBorders>
            <w:shd w:val="clear" w:color="auto" w:fill="auto"/>
            <w:noWrap/>
            <w:vAlign w:val="bottom"/>
            <w:hideMark/>
          </w:tcPr>
          <w:p w14:paraId="0687618D"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r>
      <w:tr w:rsidR="006356F1" w:rsidRPr="00F65A52" w14:paraId="590C35B2"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6CAC9EE3"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Porangatu</w:t>
            </w:r>
          </w:p>
        </w:tc>
        <w:tc>
          <w:tcPr>
            <w:tcW w:w="709" w:type="dxa"/>
            <w:tcBorders>
              <w:top w:val="nil"/>
              <w:left w:val="nil"/>
              <w:bottom w:val="single" w:sz="4" w:space="0" w:color="auto"/>
              <w:right w:val="single" w:sz="4" w:space="0" w:color="auto"/>
            </w:tcBorders>
            <w:shd w:val="clear" w:color="auto" w:fill="auto"/>
            <w:noWrap/>
            <w:vAlign w:val="bottom"/>
            <w:hideMark/>
          </w:tcPr>
          <w:p w14:paraId="3558689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47</w:t>
            </w:r>
          </w:p>
        </w:tc>
        <w:tc>
          <w:tcPr>
            <w:tcW w:w="709" w:type="dxa"/>
            <w:tcBorders>
              <w:top w:val="nil"/>
              <w:left w:val="nil"/>
              <w:bottom w:val="single" w:sz="4" w:space="0" w:color="auto"/>
              <w:right w:val="single" w:sz="4" w:space="0" w:color="auto"/>
            </w:tcBorders>
            <w:shd w:val="clear" w:color="auto" w:fill="auto"/>
            <w:noWrap/>
            <w:vAlign w:val="bottom"/>
            <w:hideMark/>
          </w:tcPr>
          <w:p w14:paraId="1BB0777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243</w:t>
            </w:r>
          </w:p>
        </w:tc>
        <w:tc>
          <w:tcPr>
            <w:tcW w:w="708" w:type="dxa"/>
            <w:tcBorders>
              <w:top w:val="nil"/>
              <w:left w:val="nil"/>
              <w:bottom w:val="single" w:sz="4" w:space="0" w:color="auto"/>
              <w:right w:val="single" w:sz="4" w:space="0" w:color="auto"/>
            </w:tcBorders>
            <w:shd w:val="clear" w:color="auto" w:fill="auto"/>
            <w:noWrap/>
            <w:vAlign w:val="bottom"/>
            <w:hideMark/>
          </w:tcPr>
          <w:p w14:paraId="5BE4D71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47</w:t>
            </w:r>
          </w:p>
        </w:tc>
        <w:tc>
          <w:tcPr>
            <w:tcW w:w="709" w:type="dxa"/>
            <w:tcBorders>
              <w:top w:val="nil"/>
              <w:left w:val="nil"/>
              <w:bottom w:val="single" w:sz="4" w:space="0" w:color="auto"/>
              <w:right w:val="single" w:sz="4" w:space="0" w:color="auto"/>
            </w:tcBorders>
            <w:shd w:val="clear" w:color="auto" w:fill="auto"/>
            <w:noWrap/>
            <w:vAlign w:val="bottom"/>
            <w:hideMark/>
          </w:tcPr>
          <w:p w14:paraId="751B8D2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243</w:t>
            </w:r>
          </w:p>
        </w:tc>
        <w:tc>
          <w:tcPr>
            <w:tcW w:w="709" w:type="dxa"/>
            <w:tcBorders>
              <w:top w:val="nil"/>
              <w:left w:val="nil"/>
              <w:bottom w:val="single" w:sz="4" w:space="0" w:color="auto"/>
              <w:right w:val="single" w:sz="4" w:space="0" w:color="auto"/>
            </w:tcBorders>
            <w:shd w:val="clear" w:color="auto" w:fill="auto"/>
            <w:noWrap/>
            <w:vAlign w:val="bottom"/>
            <w:hideMark/>
          </w:tcPr>
          <w:p w14:paraId="3D02F32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w:t>
            </w:r>
          </w:p>
        </w:tc>
        <w:tc>
          <w:tcPr>
            <w:tcW w:w="709" w:type="dxa"/>
            <w:tcBorders>
              <w:top w:val="nil"/>
              <w:left w:val="nil"/>
              <w:bottom w:val="single" w:sz="4" w:space="0" w:color="auto"/>
              <w:right w:val="single" w:sz="4" w:space="0" w:color="auto"/>
            </w:tcBorders>
            <w:shd w:val="clear" w:color="auto" w:fill="auto"/>
            <w:noWrap/>
            <w:vAlign w:val="bottom"/>
            <w:hideMark/>
          </w:tcPr>
          <w:p w14:paraId="3537CF4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w:t>
            </w:r>
          </w:p>
        </w:tc>
        <w:tc>
          <w:tcPr>
            <w:tcW w:w="708" w:type="dxa"/>
            <w:tcBorders>
              <w:top w:val="nil"/>
              <w:left w:val="nil"/>
              <w:bottom w:val="single" w:sz="4" w:space="0" w:color="auto"/>
              <w:right w:val="single" w:sz="4" w:space="0" w:color="auto"/>
            </w:tcBorders>
            <w:shd w:val="clear" w:color="auto" w:fill="auto"/>
            <w:noWrap/>
            <w:vAlign w:val="bottom"/>
            <w:hideMark/>
          </w:tcPr>
          <w:p w14:paraId="3918A18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c>
          <w:tcPr>
            <w:tcW w:w="709" w:type="dxa"/>
            <w:tcBorders>
              <w:top w:val="nil"/>
              <w:left w:val="nil"/>
              <w:bottom w:val="single" w:sz="4" w:space="0" w:color="auto"/>
              <w:right w:val="single" w:sz="4" w:space="0" w:color="auto"/>
            </w:tcBorders>
            <w:shd w:val="clear" w:color="auto" w:fill="auto"/>
            <w:noWrap/>
            <w:vAlign w:val="bottom"/>
            <w:hideMark/>
          </w:tcPr>
          <w:p w14:paraId="00F988B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0,2</w:t>
            </w:r>
          </w:p>
        </w:tc>
        <w:tc>
          <w:tcPr>
            <w:tcW w:w="709" w:type="dxa"/>
            <w:tcBorders>
              <w:top w:val="nil"/>
              <w:left w:val="nil"/>
              <w:bottom w:val="single" w:sz="4" w:space="0" w:color="auto"/>
              <w:right w:val="single" w:sz="4" w:space="0" w:color="auto"/>
            </w:tcBorders>
            <w:shd w:val="clear" w:color="auto" w:fill="auto"/>
            <w:noWrap/>
            <w:vAlign w:val="bottom"/>
            <w:hideMark/>
          </w:tcPr>
          <w:p w14:paraId="7FFFAC8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0,3</w:t>
            </w:r>
          </w:p>
        </w:tc>
        <w:tc>
          <w:tcPr>
            <w:tcW w:w="850" w:type="dxa"/>
            <w:tcBorders>
              <w:top w:val="nil"/>
              <w:left w:val="nil"/>
              <w:bottom w:val="single" w:sz="4" w:space="0" w:color="auto"/>
              <w:right w:val="single" w:sz="4" w:space="0" w:color="auto"/>
            </w:tcBorders>
            <w:shd w:val="clear" w:color="auto" w:fill="auto"/>
            <w:noWrap/>
            <w:vAlign w:val="bottom"/>
            <w:hideMark/>
          </w:tcPr>
          <w:p w14:paraId="0E8B7AAA"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0,4</w:t>
            </w:r>
          </w:p>
        </w:tc>
        <w:tc>
          <w:tcPr>
            <w:tcW w:w="851" w:type="dxa"/>
            <w:tcBorders>
              <w:top w:val="nil"/>
              <w:left w:val="nil"/>
              <w:bottom w:val="single" w:sz="4" w:space="0" w:color="auto"/>
              <w:right w:val="single" w:sz="4" w:space="0" w:color="auto"/>
            </w:tcBorders>
            <w:shd w:val="clear" w:color="auto" w:fill="auto"/>
            <w:noWrap/>
            <w:vAlign w:val="bottom"/>
            <w:hideMark/>
          </w:tcPr>
          <w:p w14:paraId="17ED77E5"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c>
          <w:tcPr>
            <w:tcW w:w="851" w:type="dxa"/>
            <w:tcBorders>
              <w:top w:val="nil"/>
              <w:left w:val="nil"/>
              <w:bottom w:val="single" w:sz="4" w:space="0" w:color="auto"/>
              <w:right w:val="single" w:sz="4" w:space="0" w:color="auto"/>
            </w:tcBorders>
            <w:shd w:val="clear" w:color="auto" w:fill="auto"/>
            <w:noWrap/>
            <w:vAlign w:val="bottom"/>
            <w:hideMark/>
          </w:tcPr>
          <w:p w14:paraId="0C1D3F25"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r>
      <w:tr w:rsidR="006356F1" w:rsidRPr="00F65A52" w14:paraId="58CEEF57"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4474E3E7"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Goiás - Itapuranga</w:t>
            </w:r>
          </w:p>
        </w:tc>
        <w:tc>
          <w:tcPr>
            <w:tcW w:w="709" w:type="dxa"/>
            <w:tcBorders>
              <w:top w:val="nil"/>
              <w:left w:val="nil"/>
              <w:bottom w:val="single" w:sz="4" w:space="0" w:color="auto"/>
              <w:right w:val="single" w:sz="4" w:space="0" w:color="auto"/>
            </w:tcBorders>
            <w:shd w:val="clear" w:color="auto" w:fill="auto"/>
            <w:noWrap/>
            <w:vAlign w:val="bottom"/>
            <w:hideMark/>
          </w:tcPr>
          <w:p w14:paraId="5357E085"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7</w:t>
            </w:r>
          </w:p>
        </w:tc>
        <w:tc>
          <w:tcPr>
            <w:tcW w:w="709" w:type="dxa"/>
            <w:tcBorders>
              <w:top w:val="nil"/>
              <w:left w:val="nil"/>
              <w:bottom w:val="single" w:sz="4" w:space="0" w:color="auto"/>
              <w:right w:val="single" w:sz="4" w:space="0" w:color="auto"/>
            </w:tcBorders>
            <w:shd w:val="clear" w:color="auto" w:fill="auto"/>
            <w:noWrap/>
            <w:vAlign w:val="bottom"/>
            <w:hideMark/>
          </w:tcPr>
          <w:p w14:paraId="6D4D32B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124</w:t>
            </w:r>
          </w:p>
        </w:tc>
        <w:tc>
          <w:tcPr>
            <w:tcW w:w="708" w:type="dxa"/>
            <w:tcBorders>
              <w:top w:val="nil"/>
              <w:left w:val="nil"/>
              <w:bottom w:val="single" w:sz="4" w:space="0" w:color="auto"/>
              <w:right w:val="single" w:sz="4" w:space="0" w:color="auto"/>
            </w:tcBorders>
            <w:shd w:val="clear" w:color="auto" w:fill="auto"/>
            <w:noWrap/>
            <w:vAlign w:val="bottom"/>
            <w:hideMark/>
          </w:tcPr>
          <w:p w14:paraId="459FA5F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7</w:t>
            </w:r>
          </w:p>
        </w:tc>
        <w:tc>
          <w:tcPr>
            <w:tcW w:w="709" w:type="dxa"/>
            <w:tcBorders>
              <w:top w:val="nil"/>
              <w:left w:val="nil"/>
              <w:bottom w:val="single" w:sz="4" w:space="0" w:color="auto"/>
              <w:right w:val="single" w:sz="4" w:space="0" w:color="auto"/>
            </w:tcBorders>
            <w:shd w:val="clear" w:color="auto" w:fill="auto"/>
            <w:noWrap/>
            <w:vAlign w:val="bottom"/>
            <w:hideMark/>
          </w:tcPr>
          <w:p w14:paraId="18AEEEF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124</w:t>
            </w:r>
          </w:p>
        </w:tc>
        <w:tc>
          <w:tcPr>
            <w:tcW w:w="709" w:type="dxa"/>
            <w:tcBorders>
              <w:top w:val="nil"/>
              <w:left w:val="nil"/>
              <w:bottom w:val="single" w:sz="4" w:space="0" w:color="auto"/>
              <w:right w:val="single" w:sz="4" w:space="0" w:color="auto"/>
            </w:tcBorders>
            <w:shd w:val="clear" w:color="auto" w:fill="auto"/>
            <w:noWrap/>
            <w:vAlign w:val="bottom"/>
            <w:hideMark/>
          </w:tcPr>
          <w:p w14:paraId="0A1150D9"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w:t>
            </w:r>
          </w:p>
        </w:tc>
        <w:tc>
          <w:tcPr>
            <w:tcW w:w="709" w:type="dxa"/>
            <w:tcBorders>
              <w:top w:val="nil"/>
              <w:left w:val="nil"/>
              <w:bottom w:val="single" w:sz="4" w:space="0" w:color="auto"/>
              <w:right w:val="single" w:sz="4" w:space="0" w:color="auto"/>
            </w:tcBorders>
            <w:shd w:val="clear" w:color="auto" w:fill="auto"/>
            <w:noWrap/>
            <w:vAlign w:val="bottom"/>
            <w:hideMark/>
          </w:tcPr>
          <w:p w14:paraId="5557384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w:t>
            </w:r>
          </w:p>
        </w:tc>
        <w:tc>
          <w:tcPr>
            <w:tcW w:w="708" w:type="dxa"/>
            <w:tcBorders>
              <w:top w:val="nil"/>
              <w:left w:val="nil"/>
              <w:bottom w:val="single" w:sz="4" w:space="0" w:color="auto"/>
              <w:right w:val="single" w:sz="4" w:space="0" w:color="auto"/>
            </w:tcBorders>
            <w:shd w:val="clear" w:color="auto" w:fill="auto"/>
            <w:noWrap/>
            <w:vAlign w:val="bottom"/>
            <w:hideMark/>
          </w:tcPr>
          <w:p w14:paraId="0E16AC0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0,0</w:t>
            </w:r>
          </w:p>
        </w:tc>
        <w:tc>
          <w:tcPr>
            <w:tcW w:w="709" w:type="dxa"/>
            <w:tcBorders>
              <w:top w:val="nil"/>
              <w:left w:val="nil"/>
              <w:bottom w:val="single" w:sz="4" w:space="0" w:color="auto"/>
              <w:right w:val="single" w:sz="4" w:space="0" w:color="auto"/>
            </w:tcBorders>
            <w:shd w:val="clear" w:color="auto" w:fill="auto"/>
            <w:noWrap/>
            <w:vAlign w:val="bottom"/>
            <w:hideMark/>
          </w:tcPr>
          <w:p w14:paraId="16D3214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c>
          <w:tcPr>
            <w:tcW w:w="709" w:type="dxa"/>
            <w:tcBorders>
              <w:top w:val="nil"/>
              <w:left w:val="nil"/>
              <w:bottom w:val="single" w:sz="4" w:space="0" w:color="auto"/>
              <w:right w:val="single" w:sz="4" w:space="0" w:color="auto"/>
            </w:tcBorders>
            <w:shd w:val="clear" w:color="auto" w:fill="auto"/>
            <w:noWrap/>
            <w:vAlign w:val="bottom"/>
            <w:hideMark/>
          </w:tcPr>
          <w:p w14:paraId="3CB151C0"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0,0</w:t>
            </w:r>
          </w:p>
        </w:tc>
        <w:tc>
          <w:tcPr>
            <w:tcW w:w="850" w:type="dxa"/>
            <w:tcBorders>
              <w:top w:val="nil"/>
              <w:left w:val="nil"/>
              <w:bottom w:val="single" w:sz="4" w:space="0" w:color="auto"/>
              <w:right w:val="single" w:sz="4" w:space="0" w:color="auto"/>
            </w:tcBorders>
            <w:shd w:val="clear" w:color="auto" w:fill="auto"/>
            <w:noWrap/>
            <w:vAlign w:val="bottom"/>
            <w:hideMark/>
          </w:tcPr>
          <w:p w14:paraId="799A173A"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0,2</w:t>
            </w:r>
          </w:p>
        </w:tc>
        <w:tc>
          <w:tcPr>
            <w:tcW w:w="851" w:type="dxa"/>
            <w:tcBorders>
              <w:top w:val="nil"/>
              <w:left w:val="nil"/>
              <w:bottom w:val="single" w:sz="4" w:space="0" w:color="auto"/>
              <w:right w:val="single" w:sz="4" w:space="0" w:color="auto"/>
            </w:tcBorders>
            <w:shd w:val="clear" w:color="auto" w:fill="auto"/>
            <w:noWrap/>
            <w:vAlign w:val="bottom"/>
            <w:hideMark/>
          </w:tcPr>
          <w:p w14:paraId="2779FC2A"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c>
          <w:tcPr>
            <w:tcW w:w="851" w:type="dxa"/>
            <w:tcBorders>
              <w:top w:val="nil"/>
              <w:left w:val="nil"/>
              <w:bottom w:val="single" w:sz="4" w:space="0" w:color="auto"/>
              <w:right w:val="single" w:sz="4" w:space="0" w:color="auto"/>
            </w:tcBorders>
            <w:shd w:val="clear" w:color="auto" w:fill="auto"/>
            <w:noWrap/>
            <w:vAlign w:val="bottom"/>
            <w:hideMark/>
          </w:tcPr>
          <w:p w14:paraId="0DCBA6E9"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r>
      <w:tr w:rsidR="006356F1" w:rsidRPr="00F65A52" w14:paraId="73E83615"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15C0CD60"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Posse-Campos Belos</w:t>
            </w:r>
          </w:p>
        </w:tc>
        <w:tc>
          <w:tcPr>
            <w:tcW w:w="709" w:type="dxa"/>
            <w:tcBorders>
              <w:top w:val="nil"/>
              <w:left w:val="nil"/>
              <w:bottom w:val="single" w:sz="4" w:space="0" w:color="auto"/>
              <w:right w:val="single" w:sz="4" w:space="0" w:color="auto"/>
            </w:tcBorders>
            <w:shd w:val="clear" w:color="auto" w:fill="auto"/>
            <w:noWrap/>
            <w:vAlign w:val="bottom"/>
            <w:hideMark/>
          </w:tcPr>
          <w:p w14:paraId="20939D84"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29</w:t>
            </w:r>
          </w:p>
        </w:tc>
        <w:tc>
          <w:tcPr>
            <w:tcW w:w="709" w:type="dxa"/>
            <w:tcBorders>
              <w:top w:val="nil"/>
              <w:left w:val="nil"/>
              <w:bottom w:val="single" w:sz="4" w:space="0" w:color="auto"/>
              <w:right w:val="single" w:sz="4" w:space="0" w:color="auto"/>
            </w:tcBorders>
            <w:shd w:val="clear" w:color="auto" w:fill="auto"/>
            <w:noWrap/>
            <w:vAlign w:val="bottom"/>
            <w:hideMark/>
          </w:tcPr>
          <w:p w14:paraId="5A0E88EC"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28</w:t>
            </w:r>
          </w:p>
        </w:tc>
        <w:tc>
          <w:tcPr>
            <w:tcW w:w="708" w:type="dxa"/>
            <w:tcBorders>
              <w:top w:val="nil"/>
              <w:left w:val="nil"/>
              <w:bottom w:val="single" w:sz="4" w:space="0" w:color="auto"/>
              <w:right w:val="single" w:sz="4" w:space="0" w:color="auto"/>
            </w:tcBorders>
            <w:shd w:val="clear" w:color="auto" w:fill="auto"/>
            <w:noWrap/>
            <w:vAlign w:val="bottom"/>
            <w:hideMark/>
          </w:tcPr>
          <w:p w14:paraId="7AA7B9D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w:t>
            </w:r>
          </w:p>
        </w:tc>
        <w:tc>
          <w:tcPr>
            <w:tcW w:w="709" w:type="dxa"/>
            <w:tcBorders>
              <w:top w:val="nil"/>
              <w:left w:val="nil"/>
              <w:bottom w:val="single" w:sz="4" w:space="0" w:color="auto"/>
              <w:right w:val="single" w:sz="4" w:space="0" w:color="auto"/>
            </w:tcBorders>
            <w:shd w:val="clear" w:color="auto" w:fill="auto"/>
            <w:noWrap/>
            <w:vAlign w:val="bottom"/>
            <w:hideMark/>
          </w:tcPr>
          <w:p w14:paraId="0F928EA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w:t>
            </w:r>
          </w:p>
        </w:tc>
        <w:tc>
          <w:tcPr>
            <w:tcW w:w="709" w:type="dxa"/>
            <w:tcBorders>
              <w:top w:val="nil"/>
              <w:left w:val="nil"/>
              <w:bottom w:val="single" w:sz="4" w:space="0" w:color="auto"/>
              <w:right w:val="single" w:sz="4" w:space="0" w:color="auto"/>
            </w:tcBorders>
            <w:shd w:val="clear" w:color="auto" w:fill="auto"/>
            <w:noWrap/>
            <w:vAlign w:val="bottom"/>
            <w:hideMark/>
          </w:tcPr>
          <w:p w14:paraId="04788DF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29</w:t>
            </w:r>
          </w:p>
        </w:tc>
        <w:tc>
          <w:tcPr>
            <w:tcW w:w="709" w:type="dxa"/>
            <w:tcBorders>
              <w:top w:val="nil"/>
              <w:left w:val="nil"/>
              <w:bottom w:val="single" w:sz="4" w:space="0" w:color="auto"/>
              <w:right w:val="single" w:sz="4" w:space="0" w:color="auto"/>
            </w:tcBorders>
            <w:shd w:val="clear" w:color="auto" w:fill="auto"/>
            <w:noWrap/>
            <w:vAlign w:val="bottom"/>
            <w:hideMark/>
          </w:tcPr>
          <w:p w14:paraId="1FEC0884"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28</w:t>
            </w:r>
          </w:p>
        </w:tc>
        <w:tc>
          <w:tcPr>
            <w:tcW w:w="708" w:type="dxa"/>
            <w:tcBorders>
              <w:top w:val="nil"/>
              <w:left w:val="nil"/>
              <w:bottom w:val="single" w:sz="4" w:space="0" w:color="auto"/>
              <w:right w:val="single" w:sz="4" w:space="0" w:color="auto"/>
            </w:tcBorders>
            <w:shd w:val="clear" w:color="auto" w:fill="auto"/>
            <w:noWrap/>
            <w:vAlign w:val="bottom"/>
            <w:hideMark/>
          </w:tcPr>
          <w:p w14:paraId="3D0F6F1E"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c>
          <w:tcPr>
            <w:tcW w:w="709" w:type="dxa"/>
            <w:tcBorders>
              <w:top w:val="nil"/>
              <w:left w:val="nil"/>
              <w:bottom w:val="single" w:sz="4" w:space="0" w:color="auto"/>
              <w:right w:val="single" w:sz="4" w:space="0" w:color="auto"/>
            </w:tcBorders>
            <w:shd w:val="clear" w:color="auto" w:fill="auto"/>
            <w:noWrap/>
            <w:vAlign w:val="bottom"/>
            <w:hideMark/>
          </w:tcPr>
          <w:p w14:paraId="1426B076"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0,0</w:t>
            </w:r>
          </w:p>
        </w:tc>
        <w:tc>
          <w:tcPr>
            <w:tcW w:w="709" w:type="dxa"/>
            <w:tcBorders>
              <w:top w:val="nil"/>
              <w:left w:val="nil"/>
              <w:bottom w:val="single" w:sz="4" w:space="0" w:color="auto"/>
              <w:right w:val="single" w:sz="4" w:space="0" w:color="auto"/>
            </w:tcBorders>
            <w:shd w:val="clear" w:color="auto" w:fill="auto"/>
            <w:noWrap/>
            <w:vAlign w:val="bottom"/>
            <w:hideMark/>
          </w:tcPr>
          <w:p w14:paraId="2B4C5B30"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c>
          <w:tcPr>
            <w:tcW w:w="850" w:type="dxa"/>
            <w:tcBorders>
              <w:top w:val="nil"/>
              <w:left w:val="nil"/>
              <w:bottom w:val="single" w:sz="4" w:space="0" w:color="auto"/>
              <w:right w:val="single" w:sz="4" w:space="0" w:color="auto"/>
            </w:tcBorders>
            <w:shd w:val="clear" w:color="auto" w:fill="auto"/>
            <w:noWrap/>
            <w:vAlign w:val="bottom"/>
            <w:hideMark/>
          </w:tcPr>
          <w:p w14:paraId="2B52FC62"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w:t>
            </w:r>
          </w:p>
        </w:tc>
        <w:tc>
          <w:tcPr>
            <w:tcW w:w="851" w:type="dxa"/>
            <w:tcBorders>
              <w:top w:val="nil"/>
              <w:left w:val="nil"/>
              <w:bottom w:val="single" w:sz="4" w:space="0" w:color="auto"/>
              <w:right w:val="single" w:sz="4" w:space="0" w:color="auto"/>
            </w:tcBorders>
            <w:shd w:val="clear" w:color="auto" w:fill="auto"/>
            <w:noWrap/>
            <w:vAlign w:val="bottom"/>
            <w:hideMark/>
          </w:tcPr>
          <w:p w14:paraId="29A8FB11"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c>
          <w:tcPr>
            <w:tcW w:w="851" w:type="dxa"/>
            <w:tcBorders>
              <w:top w:val="nil"/>
              <w:left w:val="nil"/>
              <w:bottom w:val="single" w:sz="4" w:space="0" w:color="auto"/>
              <w:right w:val="single" w:sz="4" w:space="0" w:color="auto"/>
            </w:tcBorders>
            <w:shd w:val="clear" w:color="auto" w:fill="auto"/>
            <w:noWrap/>
            <w:vAlign w:val="bottom"/>
            <w:hideMark/>
          </w:tcPr>
          <w:p w14:paraId="52B48F3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r>
      <w:tr w:rsidR="006356F1" w:rsidRPr="00F65A52" w14:paraId="636D99B2"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2E6FA76F" w14:textId="77777777" w:rsidR="006356F1" w:rsidRPr="00F65A52" w:rsidRDefault="006356F1" w:rsidP="00217400">
            <w:pPr>
              <w:rPr>
                <w:rFonts w:ascii="Calibri" w:hAnsi="Calibri" w:cs="Calibri"/>
                <w:color w:val="000000"/>
                <w:sz w:val="16"/>
                <w:szCs w:val="22"/>
              </w:rPr>
            </w:pPr>
            <w:r w:rsidRPr="00F65A52">
              <w:rPr>
                <w:rFonts w:ascii="Calibri" w:hAnsi="Calibri" w:cs="Calibri"/>
                <w:color w:val="000000"/>
                <w:sz w:val="16"/>
                <w:szCs w:val="22"/>
              </w:rPr>
              <w:t>Não Identificado</w:t>
            </w:r>
          </w:p>
        </w:tc>
        <w:tc>
          <w:tcPr>
            <w:tcW w:w="709" w:type="dxa"/>
            <w:tcBorders>
              <w:top w:val="nil"/>
              <w:left w:val="nil"/>
              <w:bottom w:val="single" w:sz="4" w:space="0" w:color="auto"/>
              <w:right w:val="single" w:sz="4" w:space="0" w:color="auto"/>
            </w:tcBorders>
            <w:shd w:val="clear" w:color="auto" w:fill="auto"/>
            <w:noWrap/>
            <w:vAlign w:val="bottom"/>
            <w:hideMark/>
          </w:tcPr>
          <w:p w14:paraId="0C77251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2.624</w:t>
            </w:r>
          </w:p>
        </w:tc>
        <w:tc>
          <w:tcPr>
            <w:tcW w:w="709" w:type="dxa"/>
            <w:tcBorders>
              <w:top w:val="nil"/>
              <w:left w:val="nil"/>
              <w:bottom w:val="single" w:sz="4" w:space="0" w:color="auto"/>
              <w:right w:val="single" w:sz="4" w:space="0" w:color="auto"/>
            </w:tcBorders>
            <w:shd w:val="clear" w:color="auto" w:fill="auto"/>
            <w:noWrap/>
            <w:vAlign w:val="bottom"/>
            <w:hideMark/>
          </w:tcPr>
          <w:p w14:paraId="51D5CB8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122</w:t>
            </w:r>
          </w:p>
        </w:tc>
        <w:tc>
          <w:tcPr>
            <w:tcW w:w="708" w:type="dxa"/>
            <w:tcBorders>
              <w:top w:val="nil"/>
              <w:left w:val="nil"/>
              <w:bottom w:val="single" w:sz="4" w:space="0" w:color="auto"/>
              <w:right w:val="single" w:sz="4" w:space="0" w:color="auto"/>
            </w:tcBorders>
            <w:shd w:val="clear" w:color="auto" w:fill="auto"/>
            <w:noWrap/>
            <w:vAlign w:val="bottom"/>
            <w:hideMark/>
          </w:tcPr>
          <w:p w14:paraId="11EEB9EA"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147</w:t>
            </w:r>
          </w:p>
        </w:tc>
        <w:tc>
          <w:tcPr>
            <w:tcW w:w="709" w:type="dxa"/>
            <w:tcBorders>
              <w:top w:val="nil"/>
              <w:left w:val="nil"/>
              <w:bottom w:val="single" w:sz="4" w:space="0" w:color="auto"/>
              <w:right w:val="single" w:sz="4" w:space="0" w:color="auto"/>
            </w:tcBorders>
            <w:shd w:val="clear" w:color="auto" w:fill="auto"/>
            <w:noWrap/>
            <w:vAlign w:val="bottom"/>
            <w:hideMark/>
          </w:tcPr>
          <w:p w14:paraId="0E5F09B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121</w:t>
            </w:r>
          </w:p>
        </w:tc>
        <w:tc>
          <w:tcPr>
            <w:tcW w:w="709" w:type="dxa"/>
            <w:tcBorders>
              <w:top w:val="nil"/>
              <w:left w:val="nil"/>
              <w:bottom w:val="single" w:sz="4" w:space="0" w:color="auto"/>
              <w:right w:val="single" w:sz="4" w:space="0" w:color="auto"/>
            </w:tcBorders>
            <w:shd w:val="clear" w:color="auto" w:fill="auto"/>
            <w:noWrap/>
            <w:vAlign w:val="bottom"/>
            <w:hideMark/>
          </w:tcPr>
          <w:p w14:paraId="6F059FA7"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2.477</w:t>
            </w:r>
          </w:p>
        </w:tc>
        <w:tc>
          <w:tcPr>
            <w:tcW w:w="709" w:type="dxa"/>
            <w:tcBorders>
              <w:top w:val="nil"/>
              <w:left w:val="nil"/>
              <w:bottom w:val="single" w:sz="4" w:space="0" w:color="auto"/>
              <w:right w:val="single" w:sz="4" w:space="0" w:color="auto"/>
            </w:tcBorders>
            <w:shd w:val="clear" w:color="auto" w:fill="auto"/>
            <w:noWrap/>
            <w:vAlign w:val="bottom"/>
            <w:hideMark/>
          </w:tcPr>
          <w:p w14:paraId="45CABD8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w:t>
            </w:r>
          </w:p>
        </w:tc>
        <w:tc>
          <w:tcPr>
            <w:tcW w:w="708" w:type="dxa"/>
            <w:tcBorders>
              <w:top w:val="nil"/>
              <w:left w:val="nil"/>
              <w:bottom w:val="single" w:sz="4" w:space="0" w:color="auto"/>
              <w:right w:val="single" w:sz="4" w:space="0" w:color="auto"/>
            </w:tcBorders>
            <w:shd w:val="clear" w:color="auto" w:fill="auto"/>
            <w:noWrap/>
            <w:vAlign w:val="bottom"/>
            <w:hideMark/>
          </w:tcPr>
          <w:p w14:paraId="0DD4F72D"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5,1</w:t>
            </w:r>
          </w:p>
        </w:tc>
        <w:tc>
          <w:tcPr>
            <w:tcW w:w="709" w:type="dxa"/>
            <w:tcBorders>
              <w:top w:val="nil"/>
              <w:left w:val="nil"/>
              <w:bottom w:val="single" w:sz="4" w:space="0" w:color="auto"/>
              <w:right w:val="single" w:sz="4" w:space="0" w:color="auto"/>
            </w:tcBorders>
            <w:shd w:val="clear" w:color="auto" w:fill="auto"/>
            <w:noWrap/>
            <w:vAlign w:val="bottom"/>
            <w:hideMark/>
          </w:tcPr>
          <w:p w14:paraId="3E1B2FBF"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0,1</w:t>
            </w:r>
          </w:p>
        </w:tc>
        <w:tc>
          <w:tcPr>
            <w:tcW w:w="709" w:type="dxa"/>
            <w:tcBorders>
              <w:top w:val="nil"/>
              <w:left w:val="nil"/>
              <w:bottom w:val="single" w:sz="4" w:space="0" w:color="auto"/>
              <w:right w:val="single" w:sz="4" w:space="0" w:color="auto"/>
            </w:tcBorders>
            <w:shd w:val="clear" w:color="auto" w:fill="auto"/>
            <w:noWrap/>
            <w:vAlign w:val="bottom"/>
            <w:hideMark/>
          </w:tcPr>
          <w:p w14:paraId="3403874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1,0</w:t>
            </w:r>
          </w:p>
        </w:tc>
        <w:tc>
          <w:tcPr>
            <w:tcW w:w="850" w:type="dxa"/>
            <w:tcBorders>
              <w:top w:val="nil"/>
              <w:left w:val="nil"/>
              <w:bottom w:val="single" w:sz="4" w:space="0" w:color="auto"/>
              <w:right w:val="single" w:sz="4" w:space="0" w:color="auto"/>
            </w:tcBorders>
            <w:shd w:val="clear" w:color="auto" w:fill="auto"/>
            <w:noWrap/>
            <w:vAlign w:val="bottom"/>
            <w:hideMark/>
          </w:tcPr>
          <w:p w14:paraId="0669A748"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0,2</w:t>
            </w:r>
          </w:p>
        </w:tc>
        <w:tc>
          <w:tcPr>
            <w:tcW w:w="851" w:type="dxa"/>
            <w:tcBorders>
              <w:top w:val="nil"/>
              <w:left w:val="nil"/>
              <w:bottom w:val="single" w:sz="4" w:space="0" w:color="auto"/>
              <w:right w:val="single" w:sz="4" w:space="0" w:color="auto"/>
            </w:tcBorders>
            <w:shd w:val="clear" w:color="auto" w:fill="auto"/>
            <w:noWrap/>
            <w:vAlign w:val="bottom"/>
            <w:hideMark/>
          </w:tcPr>
          <w:p w14:paraId="1E432BA2"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6,8</w:t>
            </w:r>
          </w:p>
        </w:tc>
        <w:tc>
          <w:tcPr>
            <w:tcW w:w="851" w:type="dxa"/>
            <w:tcBorders>
              <w:top w:val="nil"/>
              <w:left w:val="nil"/>
              <w:bottom w:val="single" w:sz="4" w:space="0" w:color="auto"/>
              <w:right w:val="single" w:sz="4" w:space="0" w:color="auto"/>
            </w:tcBorders>
            <w:shd w:val="clear" w:color="auto" w:fill="auto"/>
            <w:noWrap/>
            <w:vAlign w:val="bottom"/>
            <w:hideMark/>
          </w:tcPr>
          <w:p w14:paraId="11ED9B5A" w14:textId="77777777" w:rsidR="006356F1" w:rsidRPr="00F65A52" w:rsidRDefault="006356F1" w:rsidP="00217400">
            <w:pPr>
              <w:jc w:val="right"/>
              <w:rPr>
                <w:rFonts w:ascii="Calibri" w:hAnsi="Calibri" w:cs="Calibri"/>
                <w:color w:val="000000"/>
                <w:sz w:val="16"/>
                <w:szCs w:val="22"/>
              </w:rPr>
            </w:pPr>
            <w:r w:rsidRPr="00F65A52">
              <w:rPr>
                <w:rFonts w:ascii="Calibri" w:hAnsi="Calibri" w:cs="Calibri"/>
                <w:color w:val="000000"/>
                <w:sz w:val="16"/>
                <w:szCs w:val="22"/>
              </w:rPr>
              <w:t>0,0</w:t>
            </w:r>
          </w:p>
        </w:tc>
      </w:tr>
      <w:tr w:rsidR="006356F1" w:rsidRPr="00F65A52" w14:paraId="1FF84184" w14:textId="77777777" w:rsidTr="00217400">
        <w:trPr>
          <w:trHeight w:val="402"/>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7EAE1EDF" w14:textId="77777777" w:rsidR="006356F1" w:rsidRPr="00F65A52" w:rsidRDefault="006356F1" w:rsidP="00217400">
            <w:pPr>
              <w:rPr>
                <w:rFonts w:ascii="Calibri" w:hAnsi="Calibri" w:cs="Calibri"/>
                <w:b/>
                <w:bCs/>
                <w:color w:val="000000"/>
                <w:sz w:val="16"/>
                <w:szCs w:val="22"/>
              </w:rPr>
            </w:pPr>
            <w:r w:rsidRPr="00F65A52">
              <w:rPr>
                <w:rFonts w:ascii="Calibri" w:hAnsi="Calibri" w:cs="Calibri"/>
                <w:b/>
                <w:bCs/>
                <w:color w:val="000000"/>
                <w:sz w:val="16"/>
                <w:szCs w:val="22"/>
              </w:rPr>
              <w:t>Total geral</w:t>
            </w:r>
          </w:p>
        </w:tc>
        <w:tc>
          <w:tcPr>
            <w:tcW w:w="709" w:type="dxa"/>
            <w:tcBorders>
              <w:top w:val="nil"/>
              <w:left w:val="nil"/>
              <w:bottom w:val="single" w:sz="4" w:space="0" w:color="auto"/>
              <w:right w:val="single" w:sz="4" w:space="0" w:color="auto"/>
            </w:tcBorders>
            <w:shd w:val="clear" w:color="auto" w:fill="auto"/>
            <w:noWrap/>
            <w:vAlign w:val="bottom"/>
            <w:hideMark/>
          </w:tcPr>
          <w:p w14:paraId="78E34FB6" w14:textId="77777777" w:rsidR="006356F1" w:rsidRPr="00BD7A6C" w:rsidRDefault="006356F1" w:rsidP="00217400">
            <w:pPr>
              <w:jc w:val="right"/>
              <w:rPr>
                <w:rFonts w:ascii="Calibri" w:hAnsi="Calibri" w:cs="Calibri"/>
                <w:b/>
                <w:sz w:val="16"/>
                <w:szCs w:val="22"/>
              </w:rPr>
            </w:pPr>
            <w:r w:rsidRPr="00BD7A6C">
              <w:rPr>
                <w:rFonts w:ascii="Calibri" w:hAnsi="Calibri" w:cs="Calibri"/>
                <w:b/>
                <w:sz w:val="16"/>
                <w:szCs w:val="22"/>
              </w:rPr>
              <w:t>51.465</w:t>
            </w:r>
          </w:p>
        </w:tc>
        <w:tc>
          <w:tcPr>
            <w:tcW w:w="709" w:type="dxa"/>
            <w:tcBorders>
              <w:top w:val="nil"/>
              <w:left w:val="nil"/>
              <w:bottom w:val="single" w:sz="4" w:space="0" w:color="auto"/>
              <w:right w:val="single" w:sz="4" w:space="0" w:color="auto"/>
            </w:tcBorders>
            <w:shd w:val="clear" w:color="auto" w:fill="auto"/>
            <w:noWrap/>
            <w:vAlign w:val="bottom"/>
            <w:hideMark/>
          </w:tcPr>
          <w:p w14:paraId="4375FF50" w14:textId="77777777" w:rsidR="006356F1" w:rsidRPr="00BD7A6C" w:rsidRDefault="006356F1" w:rsidP="00217400">
            <w:pPr>
              <w:jc w:val="right"/>
              <w:rPr>
                <w:rFonts w:ascii="Calibri" w:hAnsi="Calibri" w:cs="Calibri"/>
                <w:b/>
                <w:bCs/>
                <w:sz w:val="16"/>
                <w:szCs w:val="22"/>
              </w:rPr>
            </w:pPr>
            <w:r w:rsidRPr="00BD7A6C">
              <w:rPr>
                <w:rFonts w:ascii="Calibri" w:hAnsi="Calibri" w:cs="Calibri"/>
                <w:b/>
                <w:bCs/>
                <w:sz w:val="16"/>
                <w:szCs w:val="22"/>
              </w:rPr>
              <w:t>111.706</w:t>
            </w:r>
          </w:p>
        </w:tc>
        <w:tc>
          <w:tcPr>
            <w:tcW w:w="708" w:type="dxa"/>
            <w:tcBorders>
              <w:top w:val="nil"/>
              <w:left w:val="nil"/>
              <w:bottom w:val="single" w:sz="4" w:space="0" w:color="auto"/>
              <w:right w:val="single" w:sz="4" w:space="0" w:color="auto"/>
            </w:tcBorders>
            <w:shd w:val="clear" w:color="auto" w:fill="auto"/>
            <w:noWrap/>
            <w:vAlign w:val="bottom"/>
            <w:hideMark/>
          </w:tcPr>
          <w:p w14:paraId="20D08631" w14:textId="77777777" w:rsidR="006356F1" w:rsidRPr="00BD7A6C" w:rsidRDefault="006356F1" w:rsidP="00217400">
            <w:pPr>
              <w:jc w:val="right"/>
              <w:rPr>
                <w:rFonts w:ascii="Calibri" w:hAnsi="Calibri" w:cs="Calibri"/>
                <w:b/>
                <w:bCs/>
                <w:sz w:val="16"/>
                <w:szCs w:val="22"/>
              </w:rPr>
            </w:pPr>
            <w:r w:rsidRPr="00BD7A6C">
              <w:rPr>
                <w:rFonts w:ascii="Calibri" w:hAnsi="Calibri" w:cs="Calibri"/>
                <w:b/>
                <w:bCs/>
                <w:sz w:val="16"/>
                <w:szCs w:val="22"/>
              </w:rPr>
              <w:t>15.204</w:t>
            </w:r>
          </w:p>
        </w:tc>
        <w:tc>
          <w:tcPr>
            <w:tcW w:w="709" w:type="dxa"/>
            <w:tcBorders>
              <w:top w:val="nil"/>
              <w:left w:val="nil"/>
              <w:bottom w:val="single" w:sz="4" w:space="0" w:color="auto"/>
              <w:right w:val="single" w:sz="4" w:space="0" w:color="auto"/>
            </w:tcBorders>
            <w:shd w:val="clear" w:color="auto" w:fill="auto"/>
            <w:noWrap/>
            <w:vAlign w:val="bottom"/>
            <w:hideMark/>
          </w:tcPr>
          <w:p w14:paraId="7AB8CF61" w14:textId="77777777" w:rsidR="006356F1" w:rsidRPr="00BD7A6C" w:rsidRDefault="006356F1" w:rsidP="00217400">
            <w:pPr>
              <w:jc w:val="right"/>
              <w:rPr>
                <w:rFonts w:ascii="Calibri" w:hAnsi="Calibri" w:cs="Calibri"/>
                <w:b/>
                <w:bCs/>
                <w:sz w:val="16"/>
                <w:szCs w:val="22"/>
              </w:rPr>
            </w:pPr>
            <w:r w:rsidRPr="00BD7A6C">
              <w:rPr>
                <w:rFonts w:ascii="Calibri" w:hAnsi="Calibri" w:cs="Calibri"/>
                <w:b/>
                <w:bCs/>
                <w:sz w:val="16"/>
                <w:szCs w:val="22"/>
              </w:rPr>
              <w:t>63.535</w:t>
            </w:r>
          </w:p>
        </w:tc>
        <w:tc>
          <w:tcPr>
            <w:tcW w:w="709" w:type="dxa"/>
            <w:tcBorders>
              <w:top w:val="nil"/>
              <w:left w:val="nil"/>
              <w:bottom w:val="single" w:sz="4" w:space="0" w:color="auto"/>
              <w:right w:val="single" w:sz="4" w:space="0" w:color="auto"/>
            </w:tcBorders>
            <w:shd w:val="clear" w:color="auto" w:fill="auto"/>
            <w:noWrap/>
            <w:vAlign w:val="bottom"/>
            <w:hideMark/>
          </w:tcPr>
          <w:p w14:paraId="1EF8A451" w14:textId="77777777" w:rsidR="006356F1" w:rsidRPr="00BD7A6C" w:rsidRDefault="006356F1" w:rsidP="00217400">
            <w:pPr>
              <w:jc w:val="right"/>
              <w:rPr>
                <w:rFonts w:ascii="Calibri" w:hAnsi="Calibri" w:cs="Calibri"/>
                <w:b/>
                <w:bCs/>
                <w:sz w:val="16"/>
                <w:szCs w:val="22"/>
              </w:rPr>
            </w:pPr>
            <w:r w:rsidRPr="00BD7A6C">
              <w:rPr>
                <w:rFonts w:ascii="Calibri" w:hAnsi="Calibri" w:cs="Calibri"/>
                <w:b/>
                <w:bCs/>
                <w:sz w:val="16"/>
                <w:szCs w:val="22"/>
              </w:rPr>
              <w:t>36.262</w:t>
            </w:r>
          </w:p>
        </w:tc>
        <w:tc>
          <w:tcPr>
            <w:tcW w:w="709" w:type="dxa"/>
            <w:tcBorders>
              <w:top w:val="nil"/>
              <w:left w:val="nil"/>
              <w:bottom w:val="single" w:sz="4" w:space="0" w:color="auto"/>
              <w:right w:val="single" w:sz="4" w:space="0" w:color="auto"/>
            </w:tcBorders>
            <w:shd w:val="clear" w:color="auto" w:fill="auto"/>
            <w:noWrap/>
            <w:vAlign w:val="bottom"/>
            <w:hideMark/>
          </w:tcPr>
          <w:p w14:paraId="43C47671" w14:textId="77777777" w:rsidR="006356F1" w:rsidRPr="00F65A52" w:rsidRDefault="006356F1" w:rsidP="00217400">
            <w:pPr>
              <w:jc w:val="right"/>
              <w:rPr>
                <w:rFonts w:ascii="Calibri" w:hAnsi="Calibri" w:cs="Calibri"/>
                <w:b/>
                <w:bCs/>
                <w:color w:val="000000"/>
                <w:sz w:val="16"/>
                <w:szCs w:val="22"/>
              </w:rPr>
            </w:pPr>
            <w:r w:rsidRPr="00F65A52">
              <w:rPr>
                <w:rFonts w:ascii="Calibri" w:hAnsi="Calibri" w:cs="Calibri"/>
                <w:b/>
                <w:bCs/>
                <w:color w:val="000000"/>
                <w:sz w:val="16"/>
                <w:szCs w:val="22"/>
              </w:rPr>
              <w:t>48.170</w:t>
            </w:r>
          </w:p>
        </w:tc>
        <w:tc>
          <w:tcPr>
            <w:tcW w:w="708" w:type="dxa"/>
            <w:tcBorders>
              <w:top w:val="nil"/>
              <w:left w:val="nil"/>
              <w:bottom w:val="single" w:sz="4" w:space="0" w:color="auto"/>
              <w:right w:val="single" w:sz="4" w:space="0" w:color="auto"/>
            </w:tcBorders>
            <w:shd w:val="clear" w:color="auto" w:fill="auto"/>
            <w:noWrap/>
            <w:vAlign w:val="bottom"/>
            <w:hideMark/>
          </w:tcPr>
          <w:p w14:paraId="63009DAC" w14:textId="77777777" w:rsidR="006356F1" w:rsidRPr="00F65A52" w:rsidRDefault="006356F1" w:rsidP="00217400">
            <w:pPr>
              <w:jc w:val="right"/>
              <w:rPr>
                <w:rFonts w:ascii="Calibri" w:hAnsi="Calibri" w:cs="Calibri"/>
                <w:b/>
                <w:bCs/>
                <w:color w:val="000000"/>
                <w:sz w:val="16"/>
                <w:szCs w:val="22"/>
              </w:rPr>
            </w:pPr>
            <w:r w:rsidRPr="00F65A52">
              <w:rPr>
                <w:rFonts w:ascii="Calibri" w:hAnsi="Calibri" w:cs="Calibri"/>
                <w:b/>
                <w:bCs/>
                <w:color w:val="000000"/>
                <w:sz w:val="16"/>
                <w:szCs w:val="22"/>
              </w:rPr>
              <w:t>100</w:t>
            </w:r>
          </w:p>
        </w:tc>
        <w:tc>
          <w:tcPr>
            <w:tcW w:w="709" w:type="dxa"/>
            <w:tcBorders>
              <w:top w:val="nil"/>
              <w:left w:val="nil"/>
              <w:bottom w:val="single" w:sz="4" w:space="0" w:color="auto"/>
              <w:right w:val="single" w:sz="4" w:space="0" w:color="auto"/>
            </w:tcBorders>
            <w:shd w:val="clear" w:color="auto" w:fill="auto"/>
            <w:noWrap/>
            <w:vAlign w:val="bottom"/>
            <w:hideMark/>
          </w:tcPr>
          <w:p w14:paraId="29ADBA69" w14:textId="77777777" w:rsidR="006356F1" w:rsidRPr="00F65A52" w:rsidRDefault="006356F1" w:rsidP="00217400">
            <w:pPr>
              <w:jc w:val="right"/>
              <w:rPr>
                <w:rFonts w:ascii="Calibri" w:hAnsi="Calibri" w:cs="Calibri"/>
                <w:b/>
                <w:bCs/>
                <w:color w:val="000000"/>
                <w:sz w:val="16"/>
                <w:szCs w:val="22"/>
              </w:rPr>
            </w:pPr>
            <w:r w:rsidRPr="00F65A52">
              <w:rPr>
                <w:rFonts w:ascii="Calibri" w:hAnsi="Calibri" w:cs="Calibri"/>
                <w:b/>
                <w:bCs/>
                <w:color w:val="000000"/>
                <w:sz w:val="16"/>
                <w:szCs w:val="22"/>
              </w:rPr>
              <w:t>100</w:t>
            </w:r>
          </w:p>
        </w:tc>
        <w:tc>
          <w:tcPr>
            <w:tcW w:w="709" w:type="dxa"/>
            <w:tcBorders>
              <w:top w:val="nil"/>
              <w:left w:val="nil"/>
              <w:bottom w:val="single" w:sz="4" w:space="0" w:color="auto"/>
              <w:right w:val="single" w:sz="4" w:space="0" w:color="auto"/>
            </w:tcBorders>
            <w:shd w:val="clear" w:color="auto" w:fill="auto"/>
            <w:noWrap/>
            <w:vAlign w:val="bottom"/>
            <w:hideMark/>
          </w:tcPr>
          <w:p w14:paraId="08D50957" w14:textId="77777777" w:rsidR="006356F1" w:rsidRPr="00F65A52" w:rsidRDefault="006356F1" w:rsidP="00217400">
            <w:pPr>
              <w:jc w:val="right"/>
              <w:rPr>
                <w:rFonts w:ascii="Calibri" w:hAnsi="Calibri" w:cs="Calibri"/>
                <w:b/>
                <w:bCs/>
                <w:color w:val="000000"/>
                <w:sz w:val="16"/>
                <w:szCs w:val="22"/>
              </w:rPr>
            </w:pPr>
            <w:r w:rsidRPr="00F65A52">
              <w:rPr>
                <w:rFonts w:ascii="Calibri" w:hAnsi="Calibri" w:cs="Calibri"/>
                <w:b/>
                <w:bCs/>
                <w:color w:val="000000"/>
                <w:sz w:val="16"/>
                <w:szCs w:val="22"/>
              </w:rPr>
              <w:t>100</w:t>
            </w:r>
          </w:p>
        </w:tc>
        <w:tc>
          <w:tcPr>
            <w:tcW w:w="850" w:type="dxa"/>
            <w:tcBorders>
              <w:top w:val="nil"/>
              <w:left w:val="nil"/>
              <w:bottom w:val="single" w:sz="4" w:space="0" w:color="auto"/>
              <w:right w:val="single" w:sz="4" w:space="0" w:color="auto"/>
            </w:tcBorders>
            <w:shd w:val="clear" w:color="auto" w:fill="auto"/>
            <w:noWrap/>
            <w:vAlign w:val="bottom"/>
            <w:hideMark/>
          </w:tcPr>
          <w:p w14:paraId="6FD4151C" w14:textId="77777777" w:rsidR="006356F1" w:rsidRPr="00F65A52" w:rsidRDefault="006356F1" w:rsidP="00217400">
            <w:pPr>
              <w:jc w:val="right"/>
              <w:rPr>
                <w:rFonts w:ascii="Calibri" w:hAnsi="Calibri" w:cs="Calibri"/>
                <w:b/>
                <w:bCs/>
                <w:color w:val="000000"/>
                <w:sz w:val="16"/>
                <w:szCs w:val="22"/>
              </w:rPr>
            </w:pPr>
            <w:r w:rsidRPr="00F65A52">
              <w:rPr>
                <w:rFonts w:ascii="Calibri" w:hAnsi="Calibri" w:cs="Calibri"/>
                <w:b/>
                <w:bCs/>
                <w:color w:val="000000"/>
                <w:sz w:val="16"/>
                <w:szCs w:val="22"/>
              </w:rPr>
              <w:t>100</w:t>
            </w:r>
          </w:p>
        </w:tc>
        <w:tc>
          <w:tcPr>
            <w:tcW w:w="851" w:type="dxa"/>
            <w:tcBorders>
              <w:top w:val="nil"/>
              <w:left w:val="nil"/>
              <w:bottom w:val="single" w:sz="4" w:space="0" w:color="auto"/>
              <w:right w:val="single" w:sz="4" w:space="0" w:color="auto"/>
            </w:tcBorders>
            <w:shd w:val="clear" w:color="auto" w:fill="auto"/>
            <w:noWrap/>
            <w:vAlign w:val="bottom"/>
            <w:hideMark/>
          </w:tcPr>
          <w:p w14:paraId="363AD074" w14:textId="77777777" w:rsidR="006356F1" w:rsidRPr="00F65A52" w:rsidRDefault="006356F1" w:rsidP="00217400">
            <w:pPr>
              <w:jc w:val="right"/>
              <w:rPr>
                <w:rFonts w:ascii="Calibri" w:hAnsi="Calibri" w:cs="Calibri"/>
                <w:b/>
                <w:bCs/>
                <w:color w:val="000000"/>
                <w:sz w:val="16"/>
                <w:szCs w:val="22"/>
              </w:rPr>
            </w:pPr>
            <w:r w:rsidRPr="00F65A52">
              <w:rPr>
                <w:rFonts w:ascii="Calibri" w:hAnsi="Calibri" w:cs="Calibri"/>
                <w:b/>
                <w:bCs/>
                <w:color w:val="000000"/>
                <w:sz w:val="16"/>
                <w:szCs w:val="22"/>
              </w:rPr>
              <w:t>100</w:t>
            </w:r>
          </w:p>
        </w:tc>
        <w:tc>
          <w:tcPr>
            <w:tcW w:w="851" w:type="dxa"/>
            <w:tcBorders>
              <w:top w:val="nil"/>
              <w:left w:val="nil"/>
              <w:bottom w:val="single" w:sz="4" w:space="0" w:color="auto"/>
              <w:right w:val="single" w:sz="4" w:space="0" w:color="auto"/>
            </w:tcBorders>
            <w:shd w:val="clear" w:color="auto" w:fill="auto"/>
            <w:noWrap/>
            <w:vAlign w:val="bottom"/>
            <w:hideMark/>
          </w:tcPr>
          <w:p w14:paraId="095BC098" w14:textId="77777777" w:rsidR="006356F1" w:rsidRPr="00F65A52" w:rsidRDefault="006356F1" w:rsidP="00217400">
            <w:pPr>
              <w:jc w:val="right"/>
              <w:rPr>
                <w:rFonts w:ascii="Calibri" w:hAnsi="Calibri" w:cs="Calibri"/>
                <w:b/>
                <w:bCs/>
                <w:color w:val="000000"/>
                <w:sz w:val="16"/>
                <w:szCs w:val="22"/>
              </w:rPr>
            </w:pPr>
            <w:r w:rsidRPr="00F65A52">
              <w:rPr>
                <w:rFonts w:ascii="Calibri" w:hAnsi="Calibri" w:cs="Calibri"/>
                <w:b/>
                <w:bCs/>
                <w:color w:val="000000"/>
                <w:sz w:val="16"/>
                <w:szCs w:val="22"/>
              </w:rPr>
              <w:t>100</w:t>
            </w:r>
          </w:p>
        </w:tc>
      </w:tr>
    </w:tbl>
    <w:p w14:paraId="11F62492" w14:textId="77777777" w:rsidR="006356F1" w:rsidRPr="00F65A52" w:rsidRDefault="006356F1" w:rsidP="006356F1">
      <w:pPr>
        <w:jc w:val="both"/>
        <w:rPr>
          <w:rFonts w:ascii="Arial" w:hAnsi="Arial" w:cs="Arial"/>
          <w:sz w:val="22"/>
          <w:szCs w:val="24"/>
        </w:rPr>
      </w:pPr>
    </w:p>
    <w:p w14:paraId="2AE5B0AF" w14:textId="77777777" w:rsidR="006356F1" w:rsidRPr="00F65A52" w:rsidRDefault="006356F1" w:rsidP="006356F1">
      <w:pPr>
        <w:ind w:firstLine="851"/>
        <w:jc w:val="both"/>
        <w:rPr>
          <w:rFonts w:ascii="Arial" w:hAnsi="Arial" w:cs="Arial"/>
          <w:sz w:val="22"/>
          <w:szCs w:val="24"/>
        </w:rPr>
      </w:pPr>
      <w:r w:rsidRPr="00F65A52">
        <w:rPr>
          <w:rFonts w:ascii="Arial" w:hAnsi="Arial" w:cs="Arial"/>
          <w:sz w:val="22"/>
          <w:szCs w:val="24"/>
        </w:rPr>
        <w:t>[...]</w:t>
      </w:r>
    </w:p>
    <w:tbl>
      <w:tblPr>
        <w:tblW w:w="10774" w:type="dxa"/>
        <w:tblInd w:w="-993" w:type="dxa"/>
        <w:tblCellMar>
          <w:left w:w="70" w:type="dxa"/>
          <w:right w:w="70" w:type="dxa"/>
        </w:tblCellMar>
        <w:tblLook w:val="04A0" w:firstRow="1" w:lastRow="0" w:firstColumn="1" w:lastColumn="0" w:noHBand="0" w:noVBand="1"/>
      </w:tblPr>
      <w:tblGrid>
        <w:gridCol w:w="1986"/>
        <w:gridCol w:w="708"/>
        <w:gridCol w:w="709"/>
        <w:gridCol w:w="709"/>
        <w:gridCol w:w="709"/>
        <w:gridCol w:w="708"/>
        <w:gridCol w:w="709"/>
        <w:gridCol w:w="709"/>
        <w:gridCol w:w="709"/>
        <w:gridCol w:w="708"/>
        <w:gridCol w:w="709"/>
        <w:gridCol w:w="851"/>
        <w:gridCol w:w="850"/>
      </w:tblGrid>
      <w:tr w:rsidR="006356F1" w:rsidRPr="00BD7222" w14:paraId="54066699" w14:textId="77777777" w:rsidTr="00217400">
        <w:trPr>
          <w:trHeight w:val="300"/>
        </w:trPr>
        <w:tc>
          <w:tcPr>
            <w:tcW w:w="10774" w:type="dxa"/>
            <w:gridSpan w:val="13"/>
            <w:tcBorders>
              <w:top w:val="nil"/>
              <w:left w:val="nil"/>
              <w:bottom w:val="nil"/>
              <w:right w:val="nil"/>
            </w:tcBorders>
            <w:shd w:val="clear" w:color="auto" w:fill="auto"/>
            <w:noWrap/>
            <w:vAlign w:val="bottom"/>
            <w:hideMark/>
          </w:tcPr>
          <w:p w14:paraId="48B7F387" w14:textId="77777777" w:rsidR="006356F1" w:rsidRPr="00BD7222" w:rsidRDefault="006356F1" w:rsidP="00217400">
            <w:pPr>
              <w:rPr>
                <w:rFonts w:ascii="Calibri" w:hAnsi="Calibri" w:cs="Calibri"/>
                <w:color w:val="000000"/>
                <w:sz w:val="14"/>
                <w:szCs w:val="22"/>
              </w:rPr>
            </w:pPr>
            <w:r w:rsidRPr="00BD7222">
              <w:rPr>
                <w:rFonts w:ascii="Calibri" w:hAnsi="Calibri" w:cs="Calibri"/>
                <w:color w:val="000000"/>
                <w:sz w:val="14"/>
                <w:szCs w:val="22"/>
              </w:rPr>
              <w:t>Tabela 7- Participação das empresas dos programas PRODUZIR/FOMENTAR nos empregos formais da economia goiana.</w:t>
            </w:r>
          </w:p>
        </w:tc>
      </w:tr>
      <w:tr w:rsidR="006356F1" w:rsidRPr="00F65A52" w14:paraId="54553FF9" w14:textId="77777777" w:rsidTr="00217400">
        <w:trPr>
          <w:trHeight w:val="402"/>
        </w:trPr>
        <w:tc>
          <w:tcPr>
            <w:tcW w:w="1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ACC48" w14:textId="77777777" w:rsidR="006356F1" w:rsidRPr="00BD7222" w:rsidRDefault="006356F1" w:rsidP="00217400">
            <w:pPr>
              <w:rPr>
                <w:rFonts w:ascii="Calibri" w:hAnsi="Calibri" w:cs="Calibri"/>
                <w:b/>
                <w:bCs/>
                <w:color w:val="000000"/>
                <w:sz w:val="14"/>
                <w:szCs w:val="22"/>
              </w:rPr>
            </w:pPr>
            <w:r w:rsidRPr="00BD7222">
              <w:rPr>
                <w:rFonts w:ascii="Calibri" w:hAnsi="Calibri" w:cs="Calibri"/>
                <w:b/>
                <w:bCs/>
                <w:color w:val="000000"/>
                <w:sz w:val="14"/>
                <w:szCs w:val="22"/>
              </w:rPr>
              <w:t>Variável</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119BB1B0"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2006</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CFC6403"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2007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9958DFA"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2008</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9745CDB"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2009</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201AF768"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2010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5920CF3"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2011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F079AA6"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2012</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1C49A03"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2013</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5E553869"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2014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661ED63"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2015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75DCAF40"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2016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E3C249C" w14:textId="77777777" w:rsidR="006356F1" w:rsidRPr="00BD7222" w:rsidRDefault="006356F1" w:rsidP="00217400">
            <w:pPr>
              <w:jc w:val="right"/>
              <w:rPr>
                <w:rFonts w:ascii="Calibri" w:hAnsi="Calibri" w:cs="Calibri"/>
                <w:b/>
                <w:bCs/>
                <w:color w:val="000000"/>
                <w:sz w:val="14"/>
                <w:szCs w:val="22"/>
              </w:rPr>
            </w:pPr>
            <w:r w:rsidRPr="00BD7222">
              <w:rPr>
                <w:rFonts w:ascii="Calibri" w:hAnsi="Calibri" w:cs="Calibri"/>
                <w:b/>
                <w:bCs/>
                <w:color w:val="000000"/>
                <w:sz w:val="14"/>
                <w:szCs w:val="22"/>
              </w:rPr>
              <w:t>2017</w:t>
            </w:r>
          </w:p>
        </w:tc>
      </w:tr>
      <w:tr w:rsidR="006356F1" w:rsidRPr="00F65A52" w14:paraId="5F70D14F" w14:textId="77777777" w:rsidTr="00217400">
        <w:trPr>
          <w:trHeight w:val="402"/>
        </w:trPr>
        <w:tc>
          <w:tcPr>
            <w:tcW w:w="1986" w:type="dxa"/>
            <w:tcBorders>
              <w:top w:val="nil"/>
              <w:left w:val="single" w:sz="4" w:space="0" w:color="auto"/>
              <w:bottom w:val="single" w:sz="4" w:space="0" w:color="auto"/>
              <w:right w:val="single" w:sz="4" w:space="0" w:color="auto"/>
            </w:tcBorders>
            <w:shd w:val="clear" w:color="auto" w:fill="auto"/>
            <w:noWrap/>
            <w:vAlign w:val="bottom"/>
            <w:hideMark/>
          </w:tcPr>
          <w:p w14:paraId="65842259" w14:textId="77777777" w:rsidR="006356F1" w:rsidRPr="00BD7222" w:rsidRDefault="006356F1" w:rsidP="00217400">
            <w:pPr>
              <w:rPr>
                <w:rFonts w:ascii="Calibri" w:hAnsi="Calibri" w:cs="Calibri"/>
                <w:color w:val="000000"/>
                <w:sz w:val="14"/>
                <w:szCs w:val="22"/>
              </w:rPr>
            </w:pPr>
            <w:r w:rsidRPr="00BD7222">
              <w:rPr>
                <w:rFonts w:ascii="Calibri" w:hAnsi="Calibri" w:cs="Calibri"/>
                <w:color w:val="000000"/>
                <w:sz w:val="14"/>
                <w:szCs w:val="22"/>
              </w:rPr>
              <w:t>Estoque de empregos</w:t>
            </w:r>
          </w:p>
        </w:tc>
        <w:tc>
          <w:tcPr>
            <w:tcW w:w="708" w:type="dxa"/>
            <w:tcBorders>
              <w:top w:val="nil"/>
              <w:left w:val="nil"/>
              <w:bottom w:val="single" w:sz="4" w:space="0" w:color="auto"/>
              <w:right w:val="single" w:sz="4" w:space="0" w:color="auto"/>
            </w:tcBorders>
            <w:shd w:val="clear" w:color="auto" w:fill="auto"/>
            <w:noWrap/>
            <w:vAlign w:val="bottom"/>
            <w:hideMark/>
          </w:tcPr>
          <w:p w14:paraId="1926A9F1"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992.822</w:t>
            </w:r>
          </w:p>
        </w:tc>
        <w:tc>
          <w:tcPr>
            <w:tcW w:w="709" w:type="dxa"/>
            <w:tcBorders>
              <w:top w:val="nil"/>
              <w:left w:val="nil"/>
              <w:bottom w:val="single" w:sz="4" w:space="0" w:color="auto"/>
              <w:right w:val="single" w:sz="4" w:space="0" w:color="auto"/>
            </w:tcBorders>
            <w:shd w:val="clear" w:color="auto" w:fill="auto"/>
            <w:noWrap/>
            <w:vAlign w:val="bottom"/>
            <w:hideMark/>
          </w:tcPr>
          <w:p w14:paraId="7B5254D2"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1.061.426</w:t>
            </w:r>
          </w:p>
        </w:tc>
        <w:tc>
          <w:tcPr>
            <w:tcW w:w="709" w:type="dxa"/>
            <w:tcBorders>
              <w:top w:val="nil"/>
              <w:left w:val="nil"/>
              <w:bottom w:val="single" w:sz="4" w:space="0" w:color="auto"/>
              <w:right w:val="single" w:sz="4" w:space="0" w:color="auto"/>
            </w:tcBorders>
            <w:shd w:val="clear" w:color="auto" w:fill="auto"/>
            <w:noWrap/>
            <w:vAlign w:val="bottom"/>
            <w:hideMark/>
          </w:tcPr>
          <w:p w14:paraId="208CE710"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1.135.046</w:t>
            </w:r>
          </w:p>
        </w:tc>
        <w:tc>
          <w:tcPr>
            <w:tcW w:w="709" w:type="dxa"/>
            <w:tcBorders>
              <w:top w:val="nil"/>
              <w:left w:val="nil"/>
              <w:bottom w:val="single" w:sz="4" w:space="0" w:color="auto"/>
              <w:right w:val="single" w:sz="4" w:space="0" w:color="auto"/>
            </w:tcBorders>
            <w:shd w:val="clear" w:color="auto" w:fill="auto"/>
            <w:noWrap/>
            <w:vAlign w:val="bottom"/>
            <w:hideMark/>
          </w:tcPr>
          <w:p w14:paraId="58892482"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1.209.310</w:t>
            </w:r>
          </w:p>
        </w:tc>
        <w:tc>
          <w:tcPr>
            <w:tcW w:w="708" w:type="dxa"/>
            <w:tcBorders>
              <w:top w:val="nil"/>
              <w:left w:val="nil"/>
              <w:bottom w:val="single" w:sz="4" w:space="0" w:color="auto"/>
              <w:right w:val="single" w:sz="4" w:space="0" w:color="auto"/>
            </w:tcBorders>
            <w:shd w:val="clear" w:color="auto" w:fill="auto"/>
            <w:noWrap/>
            <w:vAlign w:val="bottom"/>
            <w:hideMark/>
          </w:tcPr>
          <w:p w14:paraId="204A64F2"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1.313.641</w:t>
            </w:r>
          </w:p>
        </w:tc>
        <w:tc>
          <w:tcPr>
            <w:tcW w:w="709" w:type="dxa"/>
            <w:tcBorders>
              <w:top w:val="nil"/>
              <w:left w:val="nil"/>
              <w:bottom w:val="single" w:sz="4" w:space="0" w:color="auto"/>
              <w:right w:val="single" w:sz="4" w:space="0" w:color="auto"/>
            </w:tcBorders>
            <w:shd w:val="clear" w:color="auto" w:fill="auto"/>
            <w:noWrap/>
            <w:vAlign w:val="bottom"/>
            <w:hideMark/>
          </w:tcPr>
          <w:p w14:paraId="610F69F5"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1.385.230</w:t>
            </w:r>
          </w:p>
        </w:tc>
        <w:tc>
          <w:tcPr>
            <w:tcW w:w="709" w:type="dxa"/>
            <w:tcBorders>
              <w:top w:val="nil"/>
              <w:left w:val="nil"/>
              <w:bottom w:val="single" w:sz="4" w:space="0" w:color="auto"/>
              <w:right w:val="single" w:sz="4" w:space="0" w:color="auto"/>
            </w:tcBorders>
            <w:shd w:val="clear" w:color="auto" w:fill="auto"/>
            <w:noWrap/>
            <w:vAlign w:val="bottom"/>
            <w:hideMark/>
          </w:tcPr>
          <w:p w14:paraId="2760D83D"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1.450.065</w:t>
            </w:r>
          </w:p>
        </w:tc>
        <w:tc>
          <w:tcPr>
            <w:tcW w:w="709" w:type="dxa"/>
            <w:tcBorders>
              <w:top w:val="nil"/>
              <w:left w:val="nil"/>
              <w:bottom w:val="single" w:sz="4" w:space="0" w:color="auto"/>
              <w:right w:val="single" w:sz="4" w:space="0" w:color="auto"/>
            </w:tcBorders>
            <w:shd w:val="clear" w:color="auto" w:fill="auto"/>
            <w:noWrap/>
            <w:vAlign w:val="bottom"/>
            <w:hideMark/>
          </w:tcPr>
          <w:p w14:paraId="495455C8"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1.509.395</w:t>
            </w:r>
          </w:p>
        </w:tc>
        <w:tc>
          <w:tcPr>
            <w:tcW w:w="708" w:type="dxa"/>
            <w:tcBorders>
              <w:top w:val="nil"/>
              <w:left w:val="nil"/>
              <w:bottom w:val="single" w:sz="4" w:space="0" w:color="auto"/>
              <w:right w:val="single" w:sz="4" w:space="0" w:color="auto"/>
            </w:tcBorders>
            <w:shd w:val="clear" w:color="auto" w:fill="auto"/>
            <w:noWrap/>
            <w:vAlign w:val="bottom"/>
            <w:hideMark/>
          </w:tcPr>
          <w:p w14:paraId="436BA748"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1.514.532</w:t>
            </w:r>
          </w:p>
        </w:tc>
        <w:tc>
          <w:tcPr>
            <w:tcW w:w="709" w:type="dxa"/>
            <w:tcBorders>
              <w:top w:val="nil"/>
              <w:left w:val="nil"/>
              <w:bottom w:val="single" w:sz="4" w:space="0" w:color="auto"/>
              <w:right w:val="single" w:sz="4" w:space="0" w:color="auto"/>
            </w:tcBorders>
            <w:shd w:val="clear" w:color="auto" w:fill="auto"/>
            <w:noWrap/>
            <w:vAlign w:val="bottom"/>
            <w:hideMark/>
          </w:tcPr>
          <w:p w14:paraId="13FD55E4"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1.501.397</w:t>
            </w:r>
          </w:p>
        </w:tc>
        <w:tc>
          <w:tcPr>
            <w:tcW w:w="851" w:type="dxa"/>
            <w:tcBorders>
              <w:top w:val="nil"/>
              <w:left w:val="nil"/>
              <w:bottom w:val="single" w:sz="4" w:space="0" w:color="auto"/>
              <w:right w:val="single" w:sz="4" w:space="0" w:color="auto"/>
            </w:tcBorders>
            <w:shd w:val="clear" w:color="auto" w:fill="auto"/>
            <w:noWrap/>
            <w:vAlign w:val="bottom"/>
            <w:hideMark/>
          </w:tcPr>
          <w:p w14:paraId="78D4D268"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1.445.943</w:t>
            </w:r>
          </w:p>
        </w:tc>
        <w:tc>
          <w:tcPr>
            <w:tcW w:w="850" w:type="dxa"/>
            <w:tcBorders>
              <w:top w:val="nil"/>
              <w:left w:val="nil"/>
              <w:bottom w:val="single" w:sz="4" w:space="0" w:color="auto"/>
              <w:right w:val="single" w:sz="4" w:space="0" w:color="auto"/>
            </w:tcBorders>
            <w:shd w:val="clear" w:color="auto" w:fill="auto"/>
            <w:noWrap/>
            <w:vAlign w:val="bottom"/>
            <w:hideMark/>
          </w:tcPr>
          <w:p w14:paraId="1798E408"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1.515.422</w:t>
            </w:r>
          </w:p>
        </w:tc>
      </w:tr>
      <w:tr w:rsidR="006356F1" w:rsidRPr="00F65A52" w14:paraId="0ADE3BF4" w14:textId="77777777" w:rsidTr="00217400">
        <w:trPr>
          <w:trHeight w:val="402"/>
        </w:trPr>
        <w:tc>
          <w:tcPr>
            <w:tcW w:w="1986" w:type="dxa"/>
            <w:tcBorders>
              <w:top w:val="nil"/>
              <w:left w:val="single" w:sz="4" w:space="0" w:color="auto"/>
              <w:bottom w:val="single" w:sz="4" w:space="0" w:color="auto"/>
              <w:right w:val="single" w:sz="4" w:space="0" w:color="auto"/>
            </w:tcBorders>
            <w:shd w:val="clear" w:color="auto" w:fill="auto"/>
            <w:noWrap/>
            <w:vAlign w:val="bottom"/>
            <w:hideMark/>
          </w:tcPr>
          <w:p w14:paraId="061AABB4" w14:textId="77777777" w:rsidR="006356F1" w:rsidRPr="00BD7222" w:rsidRDefault="006356F1" w:rsidP="00217400">
            <w:pPr>
              <w:rPr>
                <w:rFonts w:ascii="Calibri" w:hAnsi="Calibri" w:cs="Calibri"/>
                <w:color w:val="000000"/>
                <w:sz w:val="14"/>
                <w:szCs w:val="22"/>
              </w:rPr>
            </w:pPr>
            <w:r w:rsidRPr="00BD7222">
              <w:rPr>
                <w:rFonts w:ascii="Calibri" w:hAnsi="Calibri" w:cs="Calibri"/>
                <w:color w:val="000000"/>
                <w:sz w:val="14"/>
                <w:szCs w:val="22"/>
              </w:rPr>
              <w:t>Empregos das empresas</w:t>
            </w:r>
          </w:p>
        </w:tc>
        <w:tc>
          <w:tcPr>
            <w:tcW w:w="708" w:type="dxa"/>
            <w:tcBorders>
              <w:top w:val="nil"/>
              <w:left w:val="nil"/>
              <w:bottom w:val="single" w:sz="4" w:space="0" w:color="auto"/>
              <w:right w:val="single" w:sz="4" w:space="0" w:color="auto"/>
            </w:tcBorders>
            <w:shd w:val="clear" w:color="auto" w:fill="auto"/>
            <w:noWrap/>
            <w:vAlign w:val="bottom"/>
            <w:hideMark/>
          </w:tcPr>
          <w:p w14:paraId="4839D05D"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51.465</w:t>
            </w:r>
          </w:p>
        </w:tc>
        <w:tc>
          <w:tcPr>
            <w:tcW w:w="709" w:type="dxa"/>
            <w:tcBorders>
              <w:top w:val="nil"/>
              <w:left w:val="nil"/>
              <w:bottom w:val="single" w:sz="4" w:space="0" w:color="auto"/>
              <w:right w:val="single" w:sz="4" w:space="0" w:color="auto"/>
            </w:tcBorders>
            <w:shd w:val="clear" w:color="auto" w:fill="auto"/>
            <w:noWrap/>
            <w:vAlign w:val="bottom"/>
            <w:hideMark/>
          </w:tcPr>
          <w:p w14:paraId="6CFB4D8F"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61.621</w:t>
            </w:r>
          </w:p>
        </w:tc>
        <w:tc>
          <w:tcPr>
            <w:tcW w:w="709" w:type="dxa"/>
            <w:tcBorders>
              <w:top w:val="nil"/>
              <w:left w:val="nil"/>
              <w:bottom w:val="single" w:sz="4" w:space="0" w:color="auto"/>
              <w:right w:val="single" w:sz="4" w:space="0" w:color="auto"/>
            </w:tcBorders>
            <w:shd w:val="clear" w:color="auto" w:fill="auto"/>
            <w:noWrap/>
            <w:vAlign w:val="bottom"/>
            <w:hideMark/>
          </w:tcPr>
          <w:p w14:paraId="7FDB559D"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75.851</w:t>
            </w:r>
          </w:p>
        </w:tc>
        <w:tc>
          <w:tcPr>
            <w:tcW w:w="709" w:type="dxa"/>
            <w:tcBorders>
              <w:top w:val="nil"/>
              <w:left w:val="nil"/>
              <w:bottom w:val="single" w:sz="4" w:space="0" w:color="auto"/>
              <w:right w:val="single" w:sz="4" w:space="0" w:color="auto"/>
            </w:tcBorders>
            <w:shd w:val="clear" w:color="auto" w:fill="auto"/>
            <w:noWrap/>
            <w:vAlign w:val="bottom"/>
            <w:hideMark/>
          </w:tcPr>
          <w:p w14:paraId="1C70732E"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87.314</w:t>
            </w:r>
          </w:p>
        </w:tc>
        <w:tc>
          <w:tcPr>
            <w:tcW w:w="708" w:type="dxa"/>
            <w:tcBorders>
              <w:top w:val="nil"/>
              <w:left w:val="nil"/>
              <w:bottom w:val="single" w:sz="4" w:space="0" w:color="auto"/>
              <w:right w:val="single" w:sz="4" w:space="0" w:color="auto"/>
            </w:tcBorders>
            <w:shd w:val="clear" w:color="auto" w:fill="auto"/>
            <w:noWrap/>
            <w:vAlign w:val="bottom"/>
            <w:hideMark/>
          </w:tcPr>
          <w:p w14:paraId="20FF6B07"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97.839</w:t>
            </w:r>
          </w:p>
        </w:tc>
        <w:tc>
          <w:tcPr>
            <w:tcW w:w="709" w:type="dxa"/>
            <w:tcBorders>
              <w:top w:val="nil"/>
              <w:left w:val="nil"/>
              <w:bottom w:val="single" w:sz="4" w:space="0" w:color="auto"/>
              <w:right w:val="single" w:sz="4" w:space="0" w:color="auto"/>
            </w:tcBorders>
            <w:shd w:val="clear" w:color="auto" w:fill="auto"/>
            <w:noWrap/>
            <w:vAlign w:val="bottom"/>
            <w:hideMark/>
          </w:tcPr>
          <w:p w14:paraId="01B9B1AE"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105.836</w:t>
            </w:r>
          </w:p>
        </w:tc>
        <w:tc>
          <w:tcPr>
            <w:tcW w:w="709" w:type="dxa"/>
            <w:tcBorders>
              <w:top w:val="nil"/>
              <w:left w:val="nil"/>
              <w:bottom w:val="single" w:sz="4" w:space="0" w:color="auto"/>
              <w:right w:val="single" w:sz="4" w:space="0" w:color="auto"/>
            </w:tcBorders>
            <w:shd w:val="clear" w:color="auto" w:fill="auto"/>
            <w:noWrap/>
            <w:vAlign w:val="bottom"/>
            <w:hideMark/>
          </w:tcPr>
          <w:p w14:paraId="4BE21449"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113.317</w:t>
            </w:r>
          </w:p>
        </w:tc>
        <w:tc>
          <w:tcPr>
            <w:tcW w:w="709" w:type="dxa"/>
            <w:tcBorders>
              <w:top w:val="nil"/>
              <w:left w:val="nil"/>
              <w:bottom w:val="single" w:sz="4" w:space="0" w:color="auto"/>
              <w:right w:val="single" w:sz="4" w:space="0" w:color="auto"/>
            </w:tcBorders>
            <w:shd w:val="clear" w:color="auto" w:fill="auto"/>
            <w:noWrap/>
            <w:vAlign w:val="bottom"/>
            <w:hideMark/>
          </w:tcPr>
          <w:p w14:paraId="3B311794"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122.015</w:t>
            </w:r>
          </w:p>
        </w:tc>
        <w:tc>
          <w:tcPr>
            <w:tcW w:w="708" w:type="dxa"/>
            <w:tcBorders>
              <w:top w:val="nil"/>
              <w:left w:val="nil"/>
              <w:bottom w:val="single" w:sz="4" w:space="0" w:color="auto"/>
              <w:right w:val="single" w:sz="4" w:space="0" w:color="auto"/>
            </w:tcBorders>
            <w:shd w:val="clear" w:color="auto" w:fill="auto"/>
            <w:noWrap/>
            <w:vAlign w:val="bottom"/>
            <w:hideMark/>
          </w:tcPr>
          <w:p w14:paraId="65625830"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121.458</w:t>
            </w:r>
          </w:p>
        </w:tc>
        <w:tc>
          <w:tcPr>
            <w:tcW w:w="709" w:type="dxa"/>
            <w:tcBorders>
              <w:top w:val="nil"/>
              <w:left w:val="nil"/>
              <w:bottom w:val="single" w:sz="4" w:space="0" w:color="auto"/>
              <w:right w:val="single" w:sz="4" w:space="0" w:color="auto"/>
            </w:tcBorders>
            <w:shd w:val="clear" w:color="auto" w:fill="auto"/>
            <w:noWrap/>
            <w:vAlign w:val="bottom"/>
            <w:hideMark/>
          </w:tcPr>
          <w:p w14:paraId="08DE17F6"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118.343</w:t>
            </w:r>
          </w:p>
        </w:tc>
        <w:tc>
          <w:tcPr>
            <w:tcW w:w="851" w:type="dxa"/>
            <w:tcBorders>
              <w:top w:val="nil"/>
              <w:left w:val="nil"/>
              <w:bottom w:val="single" w:sz="4" w:space="0" w:color="auto"/>
              <w:right w:val="single" w:sz="4" w:space="0" w:color="auto"/>
            </w:tcBorders>
            <w:shd w:val="clear" w:color="auto" w:fill="auto"/>
            <w:noWrap/>
            <w:vAlign w:val="bottom"/>
            <w:hideMark/>
          </w:tcPr>
          <w:p w14:paraId="4B49E8C5"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110.392</w:t>
            </w:r>
          </w:p>
        </w:tc>
        <w:tc>
          <w:tcPr>
            <w:tcW w:w="850" w:type="dxa"/>
            <w:tcBorders>
              <w:top w:val="nil"/>
              <w:left w:val="nil"/>
              <w:bottom w:val="single" w:sz="4" w:space="0" w:color="auto"/>
              <w:right w:val="single" w:sz="4" w:space="0" w:color="auto"/>
            </w:tcBorders>
            <w:shd w:val="clear" w:color="auto" w:fill="auto"/>
            <w:noWrap/>
            <w:vAlign w:val="bottom"/>
            <w:hideMark/>
          </w:tcPr>
          <w:p w14:paraId="6D73B471"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111.706</w:t>
            </w:r>
          </w:p>
        </w:tc>
      </w:tr>
      <w:tr w:rsidR="006356F1" w:rsidRPr="00F65A52" w14:paraId="5C8A5662" w14:textId="77777777" w:rsidTr="00217400">
        <w:trPr>
          <w:trHeight w:val="402"/>
        </w:trPr>
        <w:tc>
          <w:tcPr>
            <w:tcW w:w="1986" w:type="dxa"/>
            <w:tcBorders>
              <w:top w:val="nil"/>
              <w:left w:val="single" w:sz="4" w:space="0" w:color="auto"/>
              <w:bottom w:val="single" w:sz="4" w:space="0" w:color="auto"/>
              <w:right w:val="single" w:sz="4" w:space="0" w:color="auto"/>
            </w:tcBorders>
            <w:shd w:val="clear" w:color="auto" w:fill="auto"/>
            <w:noWrap/>
            <w:vAlign w:val="bottom"/>
            <w:hideMark/>
          </w:tcPr>
          <w:p w14:paraId="0AAEBE82" w14:textId="77777777" w:rsidR="006356F1" w:rsidRPr="00BD7222" w:rsidRDefault="006356F1" w:rsidP="00217400">
            <w:pPr>
              <w:rPr>
                <w:rFonts w:ascii="Calibri" w:hAnsi="Calibri" w:cs="Calibri"/>
                <w:color w:val="000000"/>
                <w:sz w:val="14"/>
                <w:szCs w:val="22"/>
              </w:rPr>
            </w:pPr>
            <w:r w:rsidRPr="00BD7222">
              <w:rPr>
                <w:rFonts w:ascii="Calibri" w:hAnsi="Calibri" w:cs="Calibri"/>
                <w:color w:val="000000"/>
                <w:sz w:val="14"/>
                <w:szCs w:val="22"/>
              </w:rPr>
              <w:t>Participação das empresas no total</w:t>
            </w:r>
          </w:p>
        </w:tc>
        <w:tc>
          <w:tcPr>
            <w:tcW w:w="708" w:type="dxa"/>
            <w:tcBorders>
              <w:top w:val="nil"/>
              <w:left w:val="nil"/>
              <w:bottom w:val="single" w:sz="4" w:space="0" w:color="auto"/>
              <w:right w:val="single" w:sz="4" w:space="0" w:color="auto"/>
            </w:tcBorders>
            <w:shd w:val="clear" w:color="auto" w:fill="auto"/>
            <w:noWrap/>
            <w:vAlign w:val="bottom"/>
            <w:hideMark/>
          </w:tcPr>
          <w:p w14:paraId="6CCF43E9"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5,2%</w:t>
            </w:r>
          </w:p>
        </w:tc>
        <w:tc>
          <w:tcPr>
            <w:tcW w:w="709" w:type="dxa"/>
            <w:tcBorders>
              <w:top w:val="nil"/>
              <w:left w:val="nil"/>
              <w:bottom w:val="single" w:sz="4" w:space="0" w:color="auto"/>
              <w:right w:val="single" w:sz="4" w:space="0" w:color="auto"/>
            </w:tcBorders>
            <w:shd w:val="clear" w:color="auto" w:fill="auto"/>
            <w:noWrap/>
            <w:vAlign w:val="bottom"/>
            <w:hideMark/>
          </w:tcPr>
          <w:p w14:paraId="666D34CF"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5,8%</w:t>
            </w:r>
          </w:p>
        </w:tc>
        <w:tc>
          <w:tcPr>
            <w:tcW w:w="709" w:type="dxa"/>
            <w:tcBorders>
              <w:top w:val="nil"/>
              <w:left w:val="nil"/>
              <w:bottom w:val="single" w:sz="4" w:space="0" w:color="auto"/>
              <w:right w:val="single" w:sz="4" w:space="0" w:color="auto"/>
            </w:tcBorders>
            <w:shd w:val="clear" w:color="auto" w:fill="auto"/>
            <w:noWrap/>
            <w:vAlign w:val="bottom"/>
            <w:hideMark/>
          </w:tcPr>
          <w:p w14:paraId="068FCA16"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6,7%</w:t>
            </w:r>
          </w:p>
        </w:tc>
        <w:tc>
          <w:tcPr>
            <w:tcW w:w="709" w:type="dxa"/>
            <w:tcBorders>
              <w:top w:val="nil"/>
              <w:left w:val="nil"/>
              <w:bottom w:val="single" w:sz="4" w:space="0" w:color="auto"/>
              <w:right w:val="single" w:sz="4" w:space="0" w:color="auto"/>
            </w:tcBorders>
            <w:shd w:val="clear" w:color="auto" w:fill="auto"/>
            <w:noWrap/>
            <w:vAlign w:val="bottom"/>
            <w:hideMark/>
          </w:tcPr>
          <w:p w14:paraId="55485C26"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7,2%</w:t>
            </w:r>
          </w:p>
        </w:tc>
        <w:tc>
          <w:tcPr>
            <w:tcW w:w="708" w:type="dxa"/>
            <w:tcBorders>
              <w:top w:val="nil"/>
              <w:left w:val="nil"/>
              <w:bottom w:val="single" w:sz="4" w:space="0" w:color="auto"/>
              <w:right w:val="single" w:sz="4" w:space="0" w:color="auto"/>
            </w:tcBorders>
            <w:shd w:val="clear" w:color="auto" w:fill="auto"/>
            <w:noWrap/>
            <w:vAlign w:val="bottom"/>
            <w:hideMark/>
          </w:tcPr>
          <w:p w14:paraId="5403F372"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7,4%</w:t>
            </w:r>
          </w:p>
        </w:tc>
        <w:tc>
          <w:tcPr>
            <w:tcW w:w="709" w:type="dxa"/>
            <w:tcBorders>
              <w:top w:val="nil"/>
              <w:left w:val="nil"/>
              <w:bottom w:val="single" w:sz="4" w:space="0" w:color="auto"/>
              <w:right w:val="single" w:sz="4" w:space="0" w:color="auto"/>
            </w:tcBorders>
            <w:shd w:val="clear" w:color="auto" w:fill="auto"/>
            <w:noWrap/>
            <w:vAlign w:val="bottom"/>
            <w:hideMark/>
          </w:tcPr>
          <w:p w14:paraId="369F4DDB"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7,6%</w:t>
            </w:r>
          </w:p>
        </w:tc>
        <w:tc>
          <w:tcPr>
            <w:tcW w:w="709" w:type="dxa"/>
            <w:tcBorders>
              <w:top w:val="nil"/>
              <w:left w:val="nil"/>
              <w:bottom w:val="single" w:sz="4" w:space="0" w:color="auto"/>
              <w:right w:val="single" w:sz="4" w:space="0" w:color="auto"/>
            </w:tcBorders>
            <w:shd w:val="clear" w:color="auto" w:fill="auto"/>
            <w:noWrap/>
            <w:vAlign w:val="bottom"/>
            <w:hideMark/>
          </w:tcPr>
          <w:p w14:paraId="187AA48D"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7,8%</w:t>
            </w:r>
          </w:p>
        </w:tc>
        <w:tc>
          <w:tcPr>
            <w:tcW w:w="709" w:type="dxa"/>
            <w:tcBorders>
              <w:top w:val="nil"/>
              <w:left w:val="nil"/>
              <w:bottom w:val="single" w:sz="4" w:space="0" w:color="auto"/>
              <w:right w:val="single" w:sz="4" w:space="0" w:color="auto"/>
            </w:tcBorders>
            <w:shd w:val="clear" w:color="auto" w:fill="auto"/>
            <w:noWrap/>
            <w:vAlign w:val="bottom"/>
            <w:hideMark/>
          </w:tcPr>
          <w:p w14:paraId="34076E78"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8,1%</w:t>
            </w:r>
          </w:p>
        </w:tc>
        <w:tc>
          <w:tcPr>
            <w:tcW w:w="708" w:type="dxa"/>
            <w:tcBorders>
              <w:top w:val="nil"/>
              <w:left w:val="nil"/>
              <w:bottom w:val="single" w:sz="4" w:space="0" w:color="auto"/>
              <w:right w:val="single" w:sz="4" w:space="0" w:color="auto"/>
            </w:tcBorders>
            <w:shd w:val="clear" w:color="auto" w:fill="auto"/>
            <w:noWrap/>
            <w:vAlign w:val="bottom"/>
            <w:hideMark/>
          </w:tcPr>
          <w:p w14:paraId="1C25C2BE"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8,0%</w:t>
            </w:r>
          </w:p>
        </w:tc>
        <w:tc>
          <w:tcPr>
            <w:tcW w:w="709" w:type="dxa"/>
            <w:tcBorders>
              <w:top w:val="nil"/>
              <w:left w:val="nil"/>
              <w:bottom w:val="single" w:sz="4" w:space="0" w:color="auto"/>
              <w:right w:val="single" w:sz="4" w:space="0" w:color="auto"/>
            </w:tcBorders>
            <w:shd w:val="clear" w:color="auto" w:fill="auto"/>
            <w:noWrap/>
            <w:vAlign w:val="bottom"/>
            <w:hideMark/>
          </w:tcPr>
          <w:p w14:paraId="6FACC1FF"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7,9%</w:t>
            </w:r>
          </w:p>
        </w:tc>
        <w:tc>
          <w:tcPr>
            <w:tcW w:w="851" w:type="dxa"/>
            <w:tcBorders>
              <w:top w:val="nil"/>
              <w:left w:val="nil"/>
              <w:bottom w:val="single" w:sz="4" w:space="0" w:color="auto"/>
              <w:right w:val="single" w:sz="4" w:space="0" w:color="auto"/>
            </w:tcBorders>
            <w:shd w:val="clear" w:color="auto" w:fill="auto"/>
            <w:noWrap/>
            <w:vAlign w:val="bottom"/>
            <w:hideMark/>
          </w:tcPr>
          <w:p w14:paraId="519B3EB5"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7,6%</w:t>
            </w:r>
          </w:p>
        </w:tc>
        <w:tc>
          <w:tcPr>
            <w:tcW w:w="850" w:type="dxa"/>
            <w:tcBorders>
              <w:top w:val="nil"/>
              <w:left w:val="nil"/>
              <w:bottom w:val="single" w:sz="4" w:space="0" w:color="auto"/>
              <w:right w:val="single" w:sz="4" w:space="0" w:color="auto"/>
            </w:tcBorders>
            <w:shd w:val="clear" w:color="auto" w:fill="auto"/>
            <w:noWrap/>
            <w:vAlign w:val="bottom"/>
            <w:hideMark/>
          </w:tcPr>
          <w:p w14:paraId="4BC19552"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7,4%</w:t>
            </w:r>
          </w:p>
        </w:tc>
      </w:tr>
      <w:tr w:rsidR="006356F1" w:rsidRPr="00F65A52" w14:paraId="370B4EA6" w14:textId="77777777" w:rsidTr="00217400">
        <w:trPr>
          <w:trHeight w:val="402"/>
        </w:trPr>
        <w:tc>
          <w:tcPr>
            <w:tcW w:w="1986" w:type="dxa"/>
            <w:tcBorders>
              <w:top w:val="nil"/>
              <w:left w:val="single" w:sz="4" w:space="0" w:color="auto"/>
              <w:bottom w:val="single" w:sz="4" w:space="0" w:color="auto"/>
              <w:right w:val="single" w:sz="4" w:space="0" w:color="auto"/>
            </w:tcBorders>
            <w:shd w:val="clear" w:color="auto" w:fill="auto"/>
            <w:noWrap/>
            <w:vAlign w:val="bottom"/>
            <w:hideMark/>
          </w:tcPr>
          <w:p w14:paraId="4220E783" w14:textId="77777777" w:rsidR="006356F1" w:rsidRPr="00BD7222" w:rsidRDefault="006356F1" w:rsidP="00217400">
            <w:pPr>
              <w:rPr>
                <w:rFonts w:ascii="Calibri" w:hAnsi="Calibri" w:cs="Calibri"/>
                <w:color w:val="000000"/>
                <w:sz w:val="14"/>
                <w:szCs w:val="22"/>
              </w:rPr>
            </w:pPr>
            <w:r w:rsidRPr="00BD7222">
              <w:rPr>
                <w:rFonts w:ascii="Calibri" w:hAnsi="Calibri" w:cs="Calibri"/>
                <w:color w:val="000000"/>
                <w:sz w:val="14"/>
                <w:szCs w:val="22"/>
              </w:rPr>
              <w:t>Crescimento do nº empresas</w:t>
            </w:r>
          </w:p>
        </w:tc>
        <w:tc>
          <w:tcPr>
            <w:tcW w:w="708" w:type="dxa"/>
            <w:tcBorders>
              <w:top w:val="nil"/>
              <w:left w:val="nil"/>
              <w:bottom w:val="single" w:sz="4" w:space="0" w:color="auto"/>
              <w:right w:val="single" w:sz="4" w:space="0" w:color="auto"/>
            </w:tcBorders>
            <w:shd w:val="clear" w:color="auto" w:fill="auto"/>
            <w:noWrap/>
            <w:vAlign w:val="bottom"/>
            <w:hideMark/>
          </w:tcPr>
          <w:p w14:paraId="035E5460"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w:t>
            </w:r>
          </w:p>
        </w:tc>
        <w:tc>
          <w:tcPr>
            <w:tcW w:w="709" w:type="dxa"/>
            <w:tcBorders>
              <w:top w:val="nil"/>
              <w:left w:val="nil"/>
              <w:bottom w:val="single" w:sz="4" w:space="0" w:color="auto"/>
              <w:right w:val="single" w:sz="4" w:space="0" w:color="auto"/>
            </w:tcBorders>
            <w:shd w:val="clear" w:color="auto" w:fill="auto"/>
            <w:noWrap/>
            <w:vAlign w:val="bottom"/>
            <w:hideMark/>
          </w:tcPr>
          <w:p w14:paraId="54D79ACD"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14%</w:t>
            </w:r>
          </w:p>
        </w:tc>
        <w:tc>
          <w:tcPr>
            <w:tcW w:w="709" w:type="dxa"/>
            <w:tcBorders>
              <w:top w:val="nil"/>
              <w:left w:val="nil"/>
              <w:bottom w:val="single" w:sz="4" w:space="0" w:color="auto"/>
              <w:right w:val="single" w:sz="4" w:space="0" w:color="auto"/>
            </w:tcBorders>
            <w:shd w:val="clear" w:color="auto" w:fill="auto"/>
            <w:noWrap/>
            <w:vAlign w:val="bottom"/>
            <w:hideMark/>
          </w:tcPr>
          <w:p w14:paraId="6E5A7F97"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7%</w:t>
            </w:r>
          </w:p>
        </w:tc>
        <w:tc>
          <w:tcPr>
            <w:tcW w:w="709" w:type="dxa"/>
            <w:tcBorders>
              <w:top w:val="nil"/>
              <w:left w:val="nil"/>
              <w:bottom w:val="single" w:sz="4" w:space="0" w:color="auto"/>
              <w:right w:val="single" w:sz="4" w:space="0" w:color="auto"/>
            </w:tcBorders>
            <w:shd w:val="clear" w:color="auto" w:fill="auto"/>
            <w:noWrap/>
            <w:vAlign w:val="bottom"/>
            <w:hideMark/>
          </w:tcPr>
          <w:p w14:paraId="20DDAAE2"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10%</w:t>
            </w:r>
          </w:p>
        </w:tc>
        <w:tc>
          <w:tcPr>
            <w:tcW w:w="708" w:type="dxa"/>
            <w:tcBorders>
              <w:top w:val="nil"/>
              <w:left w:val="nil"/>
              <w:bottom w:val="single" w:sz="4" w:space="0" w:color="auto"/>
              <w:right w:val="single" w:sz="4" w:space="0" w:color="auto"/>
            </w:tcBorders>
            <w:shd w:val="clear" w:color="auto" w:fill="auto"/>
            <w:noWrap/>
            <w:vAlign w:val="bottom"/>
            <w:hideMark/>
          </w:tcPr>
          <w:p w14:paraId="72F170A6"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9%</w:t>
            </w:r>
          </w:p>
        </w:tc>
        <w:tc>
          <w:tcPr>
            <w:tcW w:w="709" w:type="dxa"/>
            <w:tcBorders>
              <w:top w:val="nil"/>
              <w:left w:val="nil"/>
              <w:bottom w:val="single" w:sz="4" w:space="0" w:color="auto"/>
              <w:right w:val="single" w:sz="4" w:space="0" w:color="auto"/>
            </w:tcBorders>
            <w:shd w:val="clear" w:color="auto" w:fill="auto"/>
            <w:noWrap/>
            <w:vAlign w:val="bottom"/>
            <w:hideMark/>
          </w:tcPr>
          <w:p w14:paraId="337B7443"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7%</w:t>
            </w:r>
          </w:p>
        </w:tc>
        <w:tc>
          <w:tcPr>
            <w:tcW w:w="709" w:type="dxa"/>
            <w:tcBorders>
              <w:top w:val="nil"/>
              <w:left w:val="nil"/>
              <w:bottom w:val="single" w:sz="4" w:space="0" w:color="auto"/>
              <w:right w:val="single" w:sz="4" w:space="0" w:color="auto"/>
            </w:tcBorders>
            <w:shd w:val="clear" w:color="auto" w:fill="auto"/>
            <w:noWrap/>
            <w:vAlign w:val="bottom"/>
            <w:hideMark/>
          </w:tcPr>
          <w:p w14:paraId="2227EDCE"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6%</w:t>
            </w:r>
          </w:p>
        </w:tc>
        <w:tc>
          <w:tcPr>
            <w:tcW w:w="709" w:type="dxa"/>
            <w:tcBorders>
              <w:top w:val="nil"/>
              <w:left w:val="nil"/>
              <w:bottom w:val="single" w:sz="4" w:space="0" w:color="auto"/>
              <w:right w:val="single" w:sz="4" w:space="0" w:color="auto"/>
            </w:tcBorders>
            <w:shd w:val="clear" w:color="auto" w:fill="auto"/>
            <w:noWrap/>
            <w:vAlign w:val="bottom"/>
            <w:hideMark/>
          </w:tcPr>
          <w:p w14:paraId="70DACBE7"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4%</w:t>
            </w:r>
          </w:p>
        </w:tc>
        <w:tc>
          <w:tcPr>
            <w:tcW w:w="708" w:type="dxa"/>
            <w:tcBorders>
              <w:top w:val="nil"/>
              <w:left w:val="nil"/>
              <w:bottom w:val="single" w:sz="4" w:space="0" w:color="auto"/>
              <w:right w:val="single" w:sz="4" w:space="0" w:color="auto"/>
            </w:tcBorders>
            <w:shd w:val="clear" w:color="auto" w:fill="auto"/>
            <w:noWrap/>
            <w:vAlign w:val="bottom"/>
            <w:hideMark/>
          </w:tcPr>
          <w:p w14:paraId="14CD557B"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4%</w:t>
            </w:r>
          </w:p>
        </w:tc>
        <w:tc>
          <w:tcPr>
            <w:tcW w:w="709" w:type="dxa"/>
            <w:tcBorders>
              <w:top w:val="nil"/>
              <w:left w:val="nil"/>
              <w:bottom w:val="single" w:sz="4" w:space="0" w:color="auto"/>
              <w:right w:val="single" w:sz="4" w:space="0" w:color="auto"/>
            </w:tcBorders>
            <w:shd w:val="clear" w:color="auto" w:fill="auto"/>
            <w:noWrap/>
            <w:vAlign w:val="bottom"/>
            <w:hideMark/>
          </w:tcPr>
          <w:p w14:paraId="24550D34"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3%</w:t>
            </w:r>
          </w:p>
        </w:tc>
        <w:tc>
          <w:tcPr>
            <w:tcW w:w="851" w:type="dxa"/>
            <w:tcBorders>
              <w:top w:val="nil"/>
              <w:left w:val="nil"/>
              <w:bottom w:val="single" w:sz="4" w:space="0" w:color="auto"/>
              <w:right w:val="single" w:sz="4" w:space="0" w:color="auto"/>
            </w:tcBorders>
            <w:shd w:val="clear" w:color="auto" w:fill="auto"/>
            <w:noWrap/>
            <w:vAlign w:val="bottom"/>
            <w:hideMark/>
          </w:tcPr>
          <w:p w14:paraId="6DE83C3C"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2%</w:t>
            </w:r>
          </w:p>
        </w:tc>
        <w:tc>
          <w:tcPr>
            <w:tcW w:w="850" w:type="dxa"/>
            <w:tcBorders>
              <w:top w:val="nil"/>
              <w:left w:val="nil"/>
              <w:bottom w:val="single" w:sz="4" w:space="0" w:color="auto"/>
              <w:right w:val="single" w:sz="4" w:space="0" w:color="auto"/>
            </w:tcBorders>
            <w:shd w:val="clear" w:color="auto" w:fill="auto"/>
            <w:noWrap/>
            <w:vAlign w:val="bottom"/>
            <w:hideMark/>
          </w:tcPr>
          <w:p w14:paraId="015BBA6B" w14:textId="77777777" w:rsidR="006356F1" w:rsidRPr="00BD7222" w:rsidRDefault="006356F1" w:rsidP="00217400">
            <w:pPr>
              <w:jc w:val="right"/>
              <w:rPr>
                <w:rFonts w:ascii="Calibri" w:hAnsi="Calibri" w:cs="Calibri"/>
                <w:color w:val="000000"/>
                <w:sz w:val="14"/>
                <w:szCs w:val="22"/>
              </w:rPr>
            </w:pPr>
            <w:r w:rsidRPr="00BD7222">
              <w:rPr>
                <w:rFonts w:ascii="Calibri" w:hAnsi="Calibri" w:cs="Calibri"/>
                <w:color w:val="000000"/>
                <w:sz w:val="14"/>
                <w:szCs w:val="22"/>
              </w:rPr>
              <w:t>1%</w:t>
            </w:r>
          </w:p>
        </w:tc>
      </w:tr>
      <w:tr w:rsidR="006356F1" w:rsidRPr="00BD7222" w14:paraId="510D78C7" w14:textId="77777777" w:rsidTr="00217400">
        <w:trPr>
          <w:trHeight w:val="300"/>
        </w:trPr>
        <w:tc>
          <w:tcPr>
            <w:tcW w:w="10774" w:type="dxa"/>
            <w:gridSpan w:val="13"/>
            <w:tcBorders>
              <w:top w:val="single" w:sz="4" w:space="0" w:color="auto"/>
              <w:left w:val="nil"/>
              <w:bottom w:val="nil"/>
              <w:right w:val="nil"/>
            </w:tcBorders>
            <w:shd w:val="clear" w:color="auto" w:fill="auto"/>
            <w:noWrap/>
            <w:vAlign w:val="bottom"/>
            <w:hideMark/>
          </w:tcPr>
          <w:p w14:paraId="47D4FD7D" w14:textId="77777777" w:rsidR="006356F1" w:rsidRPr="00BD7222" w:rsidRDefault="006356F1" w:rsidP="00217400">
            <w:pPr>
              <w:rPr>
                <w:rFonts w:ascii="Calibri" w:hAnsi="Calibri" w:cs="Calibri"/>
                <w:color w:val="000000"/>
                <w:sz w:val="14"/>
                <w:szCs w:val="16"/>
              </w:rPr>
            </w:pPr>
            <w:r w:rsidRPr="00BD7222">
              <w:rPr>
                <w:rFonts w:ascii="Calibri" w:hAnsi="Calibri" w:cs="Calibri"/>
                <w:color w:val="000000"/>
                <w:sz w:val="14"/>
                <w:szCs w:val="16"/>
              </w:rPr>
              <w:t>Fonte: RAIS- Relação Anual de Informações Sociais.</w:t>
            </w:r>
          </w:p>
        </w:tc>
      </w:tr>
    </w:tbl>
    <w:p w14:paraId="0CDF585E" w14:textId="77777777" w:rsidR="006356F1" w:rsidRPr="00C05E19" w:rsidRDefault="006356F1" w:rsidP="006356F1">
      <w:pPr>
        <w:spacing w:line="360" w:lineRule="auto"/>
        <w:ind w:firstLine="851"/>
        <w:jc w:val="both"/>
        <w:rPr>
          <w:rFonts w:ascii="Arial" w:hAnsi="Arial" w:cs="Arial"/>
          <w:sz w:val="22"/>
          <w:szCs w:val="24"/>
        </w:rPr>
      </w:pPr>
    </w:p>
    <w:p w14:paraId="6F4DBB1A" w14:textId="77777777" w:rsidR="006356F1" w:rsidRPr="00F65A52" w:rsidRDefault="006356F1" w:rsidP="006356F1">
      <w:pPr>
        <w:ind w:left="2268"/>
        <w:jc w:val="both"/>
        <w:rPr>
          <w:rFonts w:ascii="Arial" w:hAnsi="Arial" w:cs="Arial"/>
          <w:sz w:val="22"/>
          <w:szCs w:val="24"/>
        </w:rPr>
      </w:pPr>
      <w:r w:rsidRPr="00F65A52">
        <w:rPr>
          <w:rFonts w:ascii="Arial" w:hAnsi="Arial" w:cs="Arial"/>
          <w:sz w:val="22"/>
          <w:szCs w:val="24"/>
        </w:rPr>
        <w:t>Para verificar o desempenho em termos de empregabilidade das empresas em fruição fez-se a comparação com o total existente na economia goiana. Para isso dividiu-se os empregos por faixas (Tabela 8 e Tabela 9).</w:t>
      </w:r>
    </w:p>
    <w:p w14:paraId="140FD40D" w14:textId="77777777" w:rsidR="006356F1" w:rsidRPr="00C05E19" w:rsidRDefault="006356F1" w:rsidP="006356F1">
      <w:pPr>
        <w:spacing w:line="360" w:lineRule="auto"/>
        <w:ind w:firstLine="851"/>
        <w:jc w:val="both"/>
        <w:rPr>
          <w:rFonts w:ascii="Arial" w:hAnsi="Arial" w:cs="Arial"/>
          <w:sz w:val="22"/>
          <w:szCs w:val="24"/>
        </w:rPr>
      </w:pPr>
    </w:p>
    <w:tbl>
      <w:tblPr>
        <w:tblW w:w="9220" w:type="dxa"/>
        <w:tblCellMar>
          <w:left w:w="70" w:type="dxa"/>
          <w:right w:w="70" w:type="dxa"/>
        </w:tblCellMar>
        <w:tblLook w:val="04A0" w:firstRow="1" w:lastRow="0" w:firstColumn="1" w:lastColumn="0" w:noHBand="0" w:noVBand="1"/>
      </w:tblPr>
      <w:tblGrid>
        <w:gridCol w:w="2182"/>
        <w:gridCol w:w="956"/>
        <w:gridCol w:w="956"/>
        <w:gridCol w:w="956"/>
        <w:gridCol w:w="2085"/>
        <w:gridCol w:w="2085"/>
      </w:tblGrid>
      <w:tr w:rsidR="006356F1" w:rsidRPr="00BD7222" w14:paraId="39EAA1F5" w14:textId="77777777" w:rsidTr="00217400">
        <w:trPr>
          <w:trHeight w:val="300"/>
        </w:trPr>
        <w:tc>
          <w:tcPr>
            <w:tcW w:w="9220" w:type="dxa"/>
            <w:gridSpan w:val="6"/>
            <w:shd w:val="clear" w:color="auto" w:fill="auto"/>
            <w:noWrap/>
            <w:vAlign w:val="bottom"/>
            <w:hideMark/>
          </w:tcPr>
          <w:p w14:paraId="3E46B716" w14:textId="77777777" w:rsidR="006356F1" w:rsidRPr="00BD7222" w:rsidRDefault="006356F1" w:rsidP="00217400">
            <w:pPr>
              <w:rPr>
                <w:rFonts w:ascii="Calibri" w:hAnsi="Calibri" w:cs="Calibri"/>
                <w:bCs/>
                <w:color w:val="000000"/>
                <w:sz w:val="18"/>
                <w:szCs w:val="22"/>
              </w:rPr>
            </w:pPr>
            <w:r w:rsidRPr="00BD7222">
              <w:rPr>
                <w:rFonts w:ascii="Calibri" w:hAnsi="Calibri" w:cs="Calibri"/>
                <w:bCs/>
                <w:color w:val="000000"/>
                <w:sz w:val="18"/>
                <w:szCs w:val="22"/>
              </w:rPr>
              <w:t>Tabela 8 – Quantidade de empregos das empresas em fruição, por faixas (FOMENTAR / PRODUZIR)</w:t>
            </w:r>
          </w:p>
        </w:tc>
      </w:tr>
      <w:tr w:rsidR="006356F1" w:rsidRPr="00BD7222" w14:paraId="72AEB418" w14:textId="77777777" w:rsidTr="00217400">
        <w:trPr>
          <w:trHeight w:val="402"/>
        </w:trPr>
        <w:tc>
          <w:tcPr>
            <w:tcW w:w="21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53FB1C" w14:textId="77777777" w:rsidR="006356F1" w:rsidRPr="00BD7222" w:rsidRDefault="006356F1" w:rsidP="00217400">
            <w:pPr>
              <w:jc w:val="center"/>
              <w:rPr>
                <w:rFonts w:ascii="Calibri" w:hAnsi="Calibri" w:cs="Calibri"/>
                <w:b/>
                <w:bCs/>
                <w:color w:val="000000"/>
                <w:sz w:val="18"/>
                <w:szCs w:val="22"/>
              </w:rPr>
            </w:pPr>
            <w:r w:rsidRPr="00BD7222">
              <w:rPr>
                <w:rFonts w:ascii="Calibri" w:hAnsi="Calibri" w:cs="Calibri"/>
                <w:b/>
                <w:bCs/>
                <w:color w:val="000000"/>
                <w:sz w:val="18"/>
                <w:szCs w:val="22"/>
              </w:rPr>
              <w:t>Nº de Empregados</w:t>
            </w:r>
          </w:p>
        </w:tc>
        <w:tc>
          <w:tcPr>
            <w:tcW w:w="956" w:type="dxa"/>
            <w:tcBorders>
              <w:top w:val="single" w:sz="4" w:space="0" w:color="auto"/>
              <w:left w:val="nil"/>
              <w:bottom w:val="single" w:sz="4" w:space="0" w:color="auto"/>
              <w:right w:val="single" w:sz="4" w:space="0" w:color="auto"/>
            </w:tcBorders>
            <w:shd w:val="clear" w:color="auto" w:fill="auto"/>
            <w:noWrap/>
            <w:vAlign w:val="bottom"/>
            <w:hideMark/>
          </w:tcPr>
          <w:p w14:paraId="25D54979" w14:textId="77777777" w:rsidR="006356F1" w:rsidRPr="00BD7222" w:rsidRDefault="006356F1" w:rsidP="00217400">
            <w:pPr>
              <w:jc w:val="center"/>
              <w:rPr>
                <w:rFonts w:ascii="Calibri" w:hAnsi="Calibri" w:cs="Calibri"/>
                <w:b/>
                <w:bCs/>
                <w:color w:val="000000"/>
                <w:sz w:val="18"/>
                <w:szCs w:val="22"/>
              </w:rPr>
            </w:pPr>
            <w:r w:rsidRPr="00BD7222">
              <w:rPr>
                <w:rFonts w:ascii="Calibri" w:hAnsi="Calibri" w:cs="Calibri"/>
                <w:b/>
                <w:bCs/>
                <w:color w:val="000000"/>
                <w:sz w:val="18"/>
                <w:szCs w:val="22"/>
              </w:rPr>
              <w:t>2014</w:t>
            </w:r>
          </w:p>
        </w:tc>
        <w:tc>
          <w:tcPr>
            <w:tcW w:w="956" w:type="dxa"/>
            <w:tcBorders>
              <w:top w:val="single" w:sz="4" w:space="0" w:color="auto"/>
              <w:left w:val="nil"/>
              <w:bottom w:val="single" w:sz="4" w:space="0" w:color="auto"/>
              <w:right w:val="single" w:sz="4" w:space="0" w:color="auto"/>
            </w:tcBorders>
            <w:shd w:val="clear" w:color="auto" w:fill="auto"/>
            <w:noWrap/>
            <w:vAlign w:val="bottom"/>
            <w:hideMark/>
          </w:tcPr>
          <w:p w14:paraId="02707ACE" w14:textId="77777777" w:rsidR="006356F1" w:rsidRPr="00BD7222" w:rsidRDefault="006356F1" w:rsidP="00217400">
            <w:pPr>
              <w:jc w:val="center"/>
              <w:rPr>
                <w:rFonts w:ascii="Calibri" w:hAnsi="Calibri" w:cs="Calibri"/>
                <w:b/>
                <w:bCs/>
                <w:color w:val="000000"/>
                <w:sz w:val="18"/>
                <w:szCs w:val="22"/>
              </w:rPr>
            </w:pPr>
            <w:r w:rsidRPr="00BD7222">
              <w:rPr>
                <w:rFonts w:ascii="Calibri" w:hAnsi="Calibri" w:cs="Calibri"/>
                <w:b/>
                <w:bCs/>
                <w:color w:val="000000"/>
                <w:sz w:val="18"/>
                <w:szCs w:val="22"/>
              </w:rPr>
              <w:t>2015</w:t>
            </w:r>
          </w:p>
        </w:tc>
        <w:tc>
          <w:tcPr>
            <w:tcW w:w="956" w:type="dxa"/>
            <w:tcBorders>
              <w:top w:val="single" w:sz="4" w:space="0" w:color="auto"/>
              <w:left w:val="nil"/>
              <w:bottom w:val="single" w:sz="4" w:space="0" w:color="auto"/>
              <w:right w:val="single" w:sz="4" w:space="0" w:color="auto"/>
            </w:tcBorders>
            <w:shd w:val="clear" w:color="auto" w:fill="auto"/>
            <w:noWrap/>
            <w:vAlign w:val="bottom"/>
            <w:hideMark/>
          </w:tcPr>
          <w:p w14:paraId="3023EE21" w14:textId="77777777" w:rsidR="006356F1" w:rsidRPr="00BD7222" w:rsidRDefault="006356F1" w:rsidP="00217400">
            <w:pPr>
              <w:jc w:val="center"/>
              <w:rPr>
                <w:rFonts w:ascii="Calibri" w:hAnsi="Calibri" w:cs="Calibri"/>
                <w:b/>
                <w:bCs/>
                <w:color w:val="000000"/>
                <w:sz w:val="18"/>
                <w:szCs w:val="22"/>
              </w:rPr>
            </w:pPr>
            <w:r w:rsidRPr="00BD7222">
              <w:rPr>
                <w:rFonts w:ascii="Calibri" w:hAnsi="Calibri" w:cs="Calibri"/>
                <w:b/>
                <w:bCs/>
                <w:color w:val="000000"/>
                <w:sz w:val="18"/>
                <w:szCs w:val="22"/>
              </w:rPr>
              <w:t>2016</w:t>
            </w:r>
          </w:p>
        </w:tc>
        <w:tc>
          <w:tcPr>
            <w:tcW w:w="2085" w:type="dxa"/>
            <w:tcBorders>
              <w:top w:val="single" w:sz="4" w:space="0" w:color="auto"/>
              <w:left w:val="nil"/>
              <w:bottom w:val="single" w:sz="4" w:space="0" w:color="auto"/>
              <w:right w:val="single" w:sz="4" w:space="0" w:color="auto"/>
            </w:tcBorders>
            <w:shd w:val="clear" w:color="auto" w:fill="auto"/>
            <w:noWrap/>
            <w:vAlign w:val="bottom"/>
            <w:hideMark/>
          </w:tcPr>
          <w:p w14:paraId="6D7331CB" w14:textId="77777777" w:rsidR="006356F1" w:rsidRPr="00BD7222" w:rsidRDefault="006356F1" w:rsidP="00217400">
            <w:pPr>
              <w:jc w:val="center"/>
              <w:rPr>
                <w:rFonts w:ascii="Calibri" w:hAnsi="Calibri" w:cs="Calibri"/>
                <w:b/>
                <w:bCs/>
                <w:color w:val="000000"/>
                <w:sz w:val="18"/>
                <w:szCs w:val="22"/>
              </w:rPr>
            </w:pPr>
            <w:r w:rsidRPr="00BD7222">
              <w:rPr>
                <w:rFonts w:ascii="Calibri" w:hAnsi="Calibri" w:cs="Calibri"/>
                <w:b/>
                <w:bCs/>
                <w:color w:val="000000"/>
                <w:sz w:val="18"/>
                <w:szCs w:val="22"/>
              </w:rPr>
              <w:t>Var. % 2015/2014</w:t>
            </w:r>
          </w:p>
        </w:tc>
        <w:tc>
          <w:tcPr>
            <w:tcW w:w="2085" w:type="dxa"/>
            <w:tcBorders>
              <w:top w:val="single" w:sz="4" w:space="0" w:color="auto"/>
              <w:left w:val="nil"/>
              <w:bottom w:val="single" w:sz="4" w:space="0" w:color="auto"/>
              <w:right w:val="single" w:sz="4" w:space="0" w:color="auto"/>
            </w:tcBorders>
            <w:shd w:val="clear" w:color="auto" w:fill="auto"/>
            <w:noWrap/>
            <w:vAlign w:val="bottom"/>
            <w:hideMark/>
          </w:tcPr>
          <w:p w14:paraId="774A265D" w14:textId="77777777" w:rsidR="006356F1" w:rsidRPr="00BD7222" w:rsidRDefault="006356F1" w:rsidP="00217400">
            <w:pPr>
              <w:jc w:val="center"/>
              <w:rPr>
                <w:rFonts w:ascii="Calibri" w:hAnsi="Calibri" w:cs="Calibri"/>
                <w:b/>
                <w:bCs/>
                <w:color w:val="000000"/>
                <w:sz w:val="18"/>
                <w:szCs w:val="22"/>
              </w:rPr>
            </w:pPr>
            <w:r w:rsidRPr="00BD7222">
              <w:rPr>
                <w:rFonts w:ascii="Calibri" w:hAnsi="Calibri" w:cs="Calibri"/>
                <w:b/>
                <w:bCs/>
                <w:color w:val="000000"/>
                <w:sz w:val="18"/>
                <w:szCs w:val="22"/>
              </w:rPr>
              <w:t>Var. % 2016/2015</w:t>
            </w:r>
          </w:p>
        </w:tc>
      </w:tr>
      <w:tr w:rsidR="006356F1" w:rsidRPr="00BD7222" w14:paraId="41CCAF72" w14:textId="77777777" w:rsidTr="00217400">
        <w:trPr>
          <w:trHeight w:val="402"/>
        </w:trPr>
        <w:tc>
          <w:tcPr>
            <w:tcW w:w="2182" w:type="dxa"/>
            <w:tcBorders>
              <w:top w:val="nil"/>
              <w:left w:val="single" w:sz="4" w:space="0" w:color="auto"/>
              <w:bottom w:val="single" w:sz="4" w:space="0" w:color="auto"/>
              <w:right w:val="single" w:sz="4" w:space="0" w:color="auto"/>
            </w:tcBorders>
            <w:shd w:val="clear" w:color="auto" w:fill="auto"/>
            <w:noWrap/>
            <w:vAlign w:val="bottom"/>
            <w:hideMark/>
          </w:tcPr>
          <w:p w14:paraId="333FF5BB" w14:textId="77777777" w:rsidR="006356F1" w:rsidRPr="00BD7222" w:rsidRDefault="006356F1" w:rsidP="00217400">
            <w:pPr>
              <w:rPr>
                <w:rFonts w:ascii="Calibri" w:hAnsi="Calibri" w:cs="Calibri"/>
                <w:color w:val="000000"/>
                <w:sz w:val="18"/>
                <w:szCs w:val="22"/>
              </w:rPr>
            </w:pPr>
            <w:r w:rsidRPr="00BD7222">
              <w:rPr>
                <w:rFonts w:ascii="Calibri" w:hAnsi="Calibri" w:cs="Calibri"/>
                <w:color w:val="000000"/>
                <w:sz w:val="18"/>
                <w:szCs w:val="22"/>
              </w:rPr>
              <w:t>De 1 a 25</w:t>
            </w:r>
          </w:p>
        </w:tc>
        <w:tc>
          <w:tcPr>
            <w:tcW w:w="956" w:type="dxa"/>
            <w:tcBorders>
              <w:top w:val="nil"/>
              <w:left w:val="nil"/>
              <w:bottom w:val="single" w:sz="4" w:space="0" w:color="auto"/>
              <w:right w:val="single" w:sz="4" w:space="0" w:color="auto"/>
            </w:tcBorders>
            <w:shd w:val="clear" w:color="auto" w:fill="auto"/>
            <w:noWrap/>
            <w:vAlign w:val="bottom"/>
            <w:hideMark/>
          </w:tcPr>
          <w:p w14:paraId="37C2C7E6"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1.517</w:t>
            </w:r>
          </w:p>
        </w:tc>
        <w:tc>
          <w:tcPr>
            <w:tcW w:w="956" w:type="dxa"/>
            <w:tcBorders>
              <w:top w:val="nil"/>
              <w:left w:val="nil"/>
              <w:bottom w:val="single" w:sz="4" w:space="0" w:color="auto"/>
              <w:right w:val="single" w:sz="4" w:space="0" w:color="auto"/>
            </w:tcBorders>
            <w:shd w:val="clear" w:color="auto" w:fill="auto"/>
            <w:noWrap/>
            <w:vAlign w:val="bottom"/>
            <w:hideMark/>
          </w:tcPr>
          <w:p w14:paraId="467B888A"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1.497</w:t>
            </w:r>
          </w:p>
        </w:tc>
        <w:tc>
          <w:tcPr>
            <w:tcW w:w="956" w:type="dxa"/>
            <w:tcBorders>
              <w:top w:val="nil"/>
              <w:left w:val="nil"/>
              <w:bottom w:val="single" w:sz="4" w:space="0" w:color="auto"/>
              <w:right w:val="single" w:sz="4" w:space="0" w:color="auto"/>
            </w:tcBorders>
            <w:shd w:val="clear" w:color="auto" w:fill="auto"/>
            <w:noWrap/>
            <w:vAlign w:val="bottom"/>
            <w:hideMark/>
          </w:tcPr>
          <w:p w14:paraId="0C31E2A3"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1.691</w:t>
            </w:r>
          </w:p>
        </w:tc>
        <w:tc>
          <w:tcPr>
            <w:tcW w:w="2085" w:type="dxa"/>
            <w:tcBorders>
              <w:top w:val="nil"/>
              <w:left w:val="nil"/>
              <w:bottom w:val="single" w:sz="4" w:space="0" w:color="auto"/>
              <w:right w:val="single" w:sz="4" w:space="0" w:color="auto"/>
            </w:tcBorders>
            <w:shd w:val="clear" w:color="auto" w:fill="auto"/>
            <w:noWrap/>
            <w:vAlign w:val="bottom"/>
            <w:hideMark/>
          </w:tcPr>
          <w:p w14:paraId="70D04C25"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-1,3</w:t>
            </w:r>
          </w:p>
        </w:tc>
        <w:tc>
          <w:tcPr>
            <w:tcW w:w="2085" w:type="dxa"/>
            <w:tcBorders>
              <w:top w:val="nil"/>
              <w:left w:val="nil"/>
              <w:bottom w:val="single" w:sz="4" w:space="0" w:color="auto"/>
              <w:right w:val="single" w:sz="4" w:space="0" w:color="auto"/>
            </w:tcBorders>
            <w:shd w:val="clear" w:color="auto" w:fill="auto"/>
            <w:noWrap/>
            <w:vAlign w:val="bottom"/>
            <w:hideMark/>
          </w:tcPr>
          <w:p w14:paraId="02062BD8"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13,0</w:t>
            </w:r>
          </w:p>
        </w:tc>
      </w:tr>
      <w:tr w:rsidR="006356F1" w:rsidRPr="00BD7222" w14:paraId="774AECDA" w14:textId="77777777" w:rsidTr="00217400">
        <w:trPr>
          <w:trHeight w:val="402"/>
        </w:trPr>
        <w:tc>
          <w:tcPr>
            <w:tcW w:w="2182" w:type="dxa"/>
            <w:tcBorders>
              <w:top w:val="nil"/>
              <w:left w:val="single" w:sz="4" w:space="0" w:color="auto"/>
              <w:bottom w:val="single" w:sz="4" w:space="0" w:color="auto"/>
              <w:right w:val="single" w:sz="4" w:space="0" w:color="auto"/>
            </w:tcBorders>
            <w:shd w:val="clear" w:color="auto" w:fill="auto"/>
            <w:noWrap/>
            <w:vAlign w:val="bottom"/>
            <w:hideMark/>
          </w:tcPr>
          <w:p w14:paraId="6473882C" w14:textId="77777777" w:rsidR="006356F1" w:rsidRPr="00BD7222" w:rsidRDefault="006356F1" w:rsidP="00217400">
            <w:pPr>
              <w:rPr>
                <w:rFonts w:ascii="Calibri" w:hAnsi="Calibri" w:cs="Calibri"/>
                <w:color w:val="000000"/>
                <w:sz w:val="18"/>
                <w:szCs w:val="22"/>
              </w:rPr>
            </w:pPr>
            <w:r w:rsidRPr="00BD7222">
              <w:rPr>
                <w:rFonts w:ascii="Calibri" w:hAnsi="Calibri" w:cs="Calibri"/>
                <w:color w:val="000000"/>
                <w:sz w:val="18"/>
                <w:szCs w:val="22"/>
              </w:rPr>
              <w:t>De 26 a 65</w:t>
            </w:r>
          </w:p>
        </w:tc>
        <w:tc>
          <w:tcPr>
            <w:tcW w:w="956" w:type="dxa"/>
            <w:tcBorders>
              <w:top w:val="nil"/>
              <w:left w:val="nil"/>
              <w:bottom w:val="single" w:sz="4" w:space="0" w:color="auto"/>
              <w:right w:val="single" w:sz="4" w:space="0" w:color="auto"/>
            </w:tcBorders>
            <w:shd w:val="clear" w:color="auto" w:fill="auto"/>
            <w:noWrap/>
            <w:vAlign w:val="bottom"/>
            <w:hideMark/>
          </w:tcPr>
          <w:p w14:paraId="3F3BF612"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3.983</w:t>
            </w:r>
          </w:p>
        </w:tc>
        <w:tc>
          <w:tcPr>
            <w:tcW w:w="956" w:type="dxa"/>
            <w:tcBorders>
              <w:top w:val="nil"/>
              <w:left w:val="nil"/>
              <w:bottom w:val="single" w:sz="4" w:space="0" w:color="auto"/>
              <w:right w:val="single" w:sz="4" w:space="0" w:color="auto"/>
            </w:tcBorders>
            <w:shd w:val="clear" w:color="auto" w:fill="auto"/>
            <w:noWrap/>
            <w:vAlign w:val="bottom"/>
            <w:hideMark/>
          </w:tcPr>
          <w:p w14:paraId="7A5BF491"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4.943</w:t>
            </w:r>
          </w:p>
        </w:tc>
        <w:tc>
          <w:tcPr>
            <w:tcW w:w="956" w:type="dxa"/>
            <w:tcBorders>
              <w:top w:val="nil"/>
              <w:left w:val="nil"/>
              <w:bottom w:val="single" w:sz="4" w:space="0" w:color="auto"/>
              <w:right w:val="single" w:sz="4" w:space="0" w:color="auto"/>
            </w:tcBorders>
            <w:shd w:val="clear" w:color="auto" w:fill="auto"/>
            <w:noWrap/>
            <w:vAlign w:val="bottom"/>
            <w:hideMark/>
          </w:tcPr>
          <w:p w14:paraId="34C24B53"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5.331</w:t>
            </w:r>
          </w:p>
        </w:tc>
        <w:tc>
          <w:tcPr>
            <w:tcW w:w="2085" w:type="dxa"/>
            <w:tcBorders>
              <w:top w:val="nil"/>
              <w:left w:val="nil"/>
              <w:bottom w:val="single" w:sz="4" w:space="0" w:color="auto"/>
              <w:right w:val="single" w:sz="4" w:space="0" w:color="auto"/>
            </w:tcBorders>
            <w:shd w:val="clear" w:color="auto" w:fill="auto"/>
            <w:noWrap/>
            <w:vAlign w:val="bottom"/>
            <w:hideMark/>
          </w:tcPr>
          <w:p w14:paraId="1CD07151"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24,1</w:t>
            </w:r>
          </w:p>
        </w:tc>
        <w:tc>
          <w:tcPr>
            <w:tcW w:w="2085" w:type="dxa"/>
            <w:tcBorders>
              <w:top w:val="nil"/>
              <w:left w:val="nil"/>
              <w:bottom w:val="single" w:sz="4" w:space="0" w:color="auto"/>
              <w:right w:val="single" w:sz="4" w:space="0" w:color="auto"/>
            </w:tcBorders>
            <w:shd w:val="clear" w:color="auto" w:fill="auto"/>
            <w:noWrap/>
            <w:vAlign w:val="bottom"/>
            <w:hideMark/>
          </w:tcPr>
          <w:p w14:paraId="0397F2D1"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7,8</w:t>
            </w:r>
          </w:p>
        </w:tc>
      </w:tr>
      <w:tr w:rsidR="006356F1" w:rsidRPr="00BD7222" w14:paraId="6BA80C5C" w14:textId="77777777" w:rsidTr="00217400">
        <w:trPr>
          <w:trHeight w:val="402"/>
        </w:trPr>
        <w:tc>
          <w:tcPr>
            <w:tcW w:w="2182" w:type="dxa"/>
            <w:tcBorders>
              <w:top w:val="nil"/>
              <w:left w:val="single" w:sz="4" w:space="0" w:color="auto"/>
              <w:bottom w:val="single" w:sz="4" w:space="0" w:color="auto"/>
              <w:right w:val="single" w:sz="4" w:space="0" w:color="auto"/>
            </w:tcBorders>
            <w:shd w:val="clear" w:color="auto" w:fill="auto"/>
            <w:noWrap/>
            <w:vAlign w:val="bottom"/>
            <w:hideMark/>
          </w:tcPr>
          <w:p w14:paraId="106D587D" w14:textId="77777777" w:rsidR="006356F1" w:rsidRPr="00BD7222" w:rsidRDefault="006356F1" w:rsidP="00217400">
            <w:pPr>
              <w:rPr>
                <w:rFonts w:ascii="Calibri" w:hAnsi="Calibri" w:cs="Calibri"/>
                <w:color w:val="000000"/>
                <w:sz w:val="18"/>
                <w:szCs w:val="22"/>
              </w:rPr>
            </w:pPr>
            <w:r w:rsidRPr="00BD7222">
              <w:rPr>
                <w:rFonts w:ascii="Calibri" w:hAnsi="Calibri" w:cs="Calibri"/>
                <w:color w:val="000000"/>
                <w:sz w:val="18"/>
                <w:szCs w:val="22"/>
              </w:rPr>
              <w:t>De 66 a 137</w:t>
            </w:r>
          </w:p>
        </w:tc>
        <w:tc>
          <w:tcPr>
            <w:tcW w:w="956" w:type="dxa"/>
            <w:tcBorders>
              <w:top w:val="nil"/>
              <w:left w:val="nil"/>
              <w:bottom w:val="single" w:sz="4" w:space="0" w:color="auto"/>
              <w:right w:val="single" w:sz="4" w:space="0" w:color="auto"/>
            </w:tcBorders>
            <w:shd w:val="clear" w:color="auto" w:fill="auto"/>
            <w:noWrap/>
            <w:vAlign w:val="bottom"/>
            <w:hideMark/>
          </w:tcPr>
          <w:p w14:paraId="4DE87F76"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10.551</w:t>
            </w:r>
          </w:p>
        </w:tc>
        <w:tc>
          <w:tcPr>
            <w:tcW w:w="956" w:type="dxa"/>
            <w:tcBorders>
              <w:top w:val="nil"/>
              <w:left w:val="nil"/>
              <w:bottom w:val="single" w:sz="4" w:space="0" w:color="auto"/>
              <w:right w:val="single" w:sz="4" w:space="0" w:color="auto"/>
            </w:tcBorders>
            <w:shd w:val="clear" w:color="auto" w:fill="auto"/>
            <w:noWrap/>
            <w:vAlign w:val="bottom"/>
            <w:hideMark/>
          </w:tcPr>
          <w:p w14:paraId="6B6EB9B7"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9.239</w:t>
            </w:r>
          </w:p>
        </w:tc>
        <w:tc>
          <w:tcPr>
            <w:tcW w:w="956" w:type="dxa"/>
            <w:tcBorders>
              <w:top w:val="nil"/>
              <w:left w:val="nil"/>
              <w:bottom w:val="single" w:sz="4" w:space="0" w:color="auto"/>
              <w:right w:val="single" w:sz="4" w:space="0" w:color="auto"/>
            </w:tcBorders>
            <w:shd w:val="clear" w:color="auto" w:fill="auto"/>
            <w:noWrap/>
            <w:vAlign w:val="bottom"/>
            <w:hideMark/>
          </w:tcPr>
          <w:p w14:paraId="11D7983F"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8.838</w:t>
            </w:r>
          </w:p>
        </w:tc>
        <w:tc>
          <w:tcPr>
            <w:tcW w:w="2085" w:type="dxa"/>
            <w:tcBorders>
              <w:top w:val="nil"/>
              <w:left w:val="nil"/>
              <w:bottom w:val="single" w:sz="4" w:space="0" w:color="auto"/>
              <w:right w:val="single" w:sz="4" w:space="0" w:color="auto"/>
            </w:tcBorders>
            <w:shd w:val="clear" w:color="auto" w:fill="auto"/>
            <w:noWrap/>
            <w:vAlign w:val="bottom"/>
            <w:hideMark/>
          </w:tcPr>
          <w:p w14:paraId="16F8589E"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-12,4</w:t>
            </w:r>
          </w:p>
        </w:tc>
        <w:tc>
          <w:tcPr>
            <w:tcW w:w="2085" w:type="dxa"/>
            <w:tcBorders>
              <w:top w:val="nil"/>
              <w:left w:val="nil"/>
              <w:bottom w:val="single" w:sz="4" w:space="0" w:color="auto"/>
              <w:right w:val="single" w:sz="4" w:space="0" w:color="auto"/>
            </w:tcBorders>
            <w:shd w:val="clear" w:color="auto" w:fill="auto"/>
            <w:noWrap/>
            <w:vAlign w:val="bottom"/>
            <w:hideMark/>
          </w:tcPr>
          <w:p w14:paraId="506C73EC"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-4,3</w:t>
            </w:r>
          </w:p>
        </w:tc>
      </w:tr>
      <w:tr w:rsidR="006356F1" w:rsidRPr="00BD7222" w14:paraId="6570DC88" w14:textId="77777777" w:rsidTr="00217400">
        <w:trPr>
          <w:trHeight w:val="402"/>
        </w:trPr>
        <w:tc>
          <w:tcPr>
            <w:tcW w:w="2182" w:type="dxa"/>
            <w:tcBorders>
              <w:top w:val="nil"/>
              <w:left w:val="single" w:sz="4" w:space="0" w:color="auto"/>
              <w:bottom w:val="single" w:sz="4" w:space="0" w:color="auto"/>
              <w:right w:val="single" w:sz="4" w:space="0" w:color="auto"/>
            </w:tcBorders>
            <w:shd w:val="clear" w:color="auto" w:fill="auto"/>
            <w:noWrap/>
            <w:vAlign w:val="bottom"/>
            <w:hideMark/>
          </w:tcPr>
          <w:p w14:paraId="28EF0748" w14:textId="77777777" w:rsidR="006356F1" w:rsidRPr="00BD7222" w:rsidRDefault="006356F1" w:rsidP="00217400">
            <w:pPr>
              <w:rPr>
                <w:rFonts w:ascii="Calibri" w:hAnsi="Calibri" w:cs="Calibri"/>
                <w:color w:val="000000"/>
                <w:sz w:val="18"/>
                <w:szCs w:val="22"/>
              </w:rPr>
            </w:pPr>
            <w:r w:rsidRPr="00BD7222">
              <w:rPr>
                <w:rFonts w:ascii="Calibri" w:hAnsi="Calibri" w:cs="Calibri"/>
                <w:color w:val="000000"/>
                <w:sz w:val="18"/>
                <w:szCs w:val="22"/>
              </w:rPr>
              <w:t>138 ou mais</w:t>
            </w:r>
          </w:p>
        </w:tc>
        <w:tc>
          <w:tcPr>
            <w:tcW w:w="956" w:type="dxa"/>
            <w:tcBorders>
              <w:top w:val="nil"/>
              <w:left w:val="nil"/>
              <w:bottom w:val="single" w:sz="4" w:space="0" w:color="auto"/>
              <w:right w:val="single" w:sz="4" w:space="0" w:color="auto"/>
            </w:tcBorders>
            <w:shd w:val="clear" w:color="auto" w:fill="auto"/>
            <w:noWrap/>
            <w:vAlign w:val="bottom"/>
            <w:hideMark/>
          </w:tcPr>
          <w:p w14:paraId="74F71152"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105.408</w:t>
            </w:r>
          </w:p>
        </w:tc>
        <w:tc>
          <w:tcPr>
            <w:tcW w:w="956" w:type="dxa"/>
            <w:tcBorders>
              <w:top w:val="nil"/>
              <w:left w:val="nil"/>
              <w:bottom w:val="single" w:sz="4" w:space="0" w:color="auto"/>
              <w:right w:val="single" w:sz="4" w:space="0" w:color="auto"/>
            </w:tcBorders>
            <w:shd w:val="clear" w:color="auto" w:fill="auto"/>
            <w:noWrap/>
            <w:vAlign w:val="bottom"/>
            <w:hideMark/>
          </w:tcPr>
          <w:p w14:paraId="45607186"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102.664</w:t>
            </w:r>
          </w:p>
        </w:tc>
        <w:tc>
          <w:tcPr>
            <w:tcW w:w="956" w:type="dxa"/>
            <w:tcBorders>
              <w:top w:val="nil"/>
              <w:left w:val="nil"/>
              <w:bottom w:val="single" w:sz="4" w:space="0" w:color="auto"/>
              <w:right w:val="single" w:sz="4" w:space="0" w:color="auto"/>
            </w:tcBorders>
            <w:shd w:val="clear" w:color="auto" w:fill="auto"/>
            <w:noWrap/>
            <w:vAlign w:val="bottom"/>
            <w:hideMark/>
          </w:tcPr>
          <w:p w14:paraId="1FEFE98A"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94.532</w:t>
            </w:r>
          </w:p>
        </w:tc>
        <w:tc>
          <w:tcPr>
            <w:tcW w:w="2085" w:type="dxa"/>
            <w:tcBorders>
              <w:top w:val="nil"/>
              <w:left w:val="nil"/>
              <w:bottom w:val="single" w:sz="4" w:space="0" w:color="auto"/>
              <w:right w:val="single" w:sz="4" w:space="0" w:color="auto"/>
            </w:tcBorders>
            <w:shd w:val="clear" w:color="auto" w:fill="auto"/>
            <w:noWrap/>
            <w:vAlign w:val="bottom"/>
            <w:hideMark/>
          </w:tcPr>
          <w:p w14:paraId="51DF0E07"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-2,6</w:t>
            </w:r>
          </w:p>
        </w:tc>
        <w:tc>
          <w:tcPr>
            <w:tcW w:w="2085" w:type="dxa"/>
            <w:tcBorders>
              <w:top w:val="nil"/>
              <w:left w:val="nil"/>
              <w:bottom w:val="single" w:sz="4" w:space="0" w:color="auto"/>
              <w:right w:val="single" w:sz="4" w:space="0" w:color="auto"/>
            </w:tcBorders>
            <w:shd w:val="clear" w:color="auto" w:fill="auto"/>
            <w:noWrap/>
            <w:vAlign w:val="bottom"/>
            <w:hideMark/>
          </w:tcPr>
          <w:p w14:paraId="7529F38A" w14:textId="77777777" w:rsidR="006356F1" w:rsidRPr="00BD7222" w:rsidRDefault="006356F1" w:rsidP="00217400">
            <w:pPr>
              <w:jc w:val="center"/>
              <w:rPr>
                <w:rFonts w:ascii="Calibri" w:hAnsi="Calibri" w:cs="Calibri"/>
                <w:color w:val="000000"/>
                <w:sz w:val="18"/>
                <w:szCs w:val="22"/>
              </w:rPr>
            </w:pPr>
            <w:r w:rsidRPr="00BD7222">
              <w:rPr>
                <w:rFonts w:ascii="Calibri" w:hAnsi="Calibri" w:cs="Calibri"/>
                <w:color w:val="000000"/>
                <w:sz w:val="18"/>
                <w:szCs w:val="22"/>
              </w:rPr>
              <w:t>-7,9</w:t>
            </w:r>
          </w:p>
        </w:tc>
      </w:tr>
      <w:tr w:rsidR="006356F1" w:rsidRPr="00BD7222" w14:paraId="6BA541E9" w14:textId="77777777" w:rsidTr="00217400">
        <w:trPr>
          <w:trHeight w:val="402"/>
        </w:trPr>
        <w:tc>
          <w:tcPr>
            <w:tcW w:w="2182" w:type="dxa"/>
            <w:tcBorders>
              <w:top w:val="nil"/>
              <w:left w:val="single" w:sz="4" w:space="0" w:color="auto"/>
              <w:bottom w:val="single" w:sz="4" w:space="0" w:color="auto"/>
              <w:right w:val="single" w:sz="4" w:space="0" w:color="auto"/>
            </w:tcBorders>
            <w:shd w:val="clear" w:color="auto" w:fill="auto"/>
            <w:noWrap/>
            <w:vAlign w:val="bottom"/>
            <w:hideMark/>
          </w:tcPr>
          <w:p w14:paraId="35C940B9" w14:textId="77777777" w:rsidR="006356F1" w:rsidRPr="00BD7222" w:rsidRDefault="006356F1" w:rsidP="00217400">
            <w:pPr>
              <w:rPr>
                <w:rFonts w:ascii="Calibri" w:hAnsi="Calibri" w:cs="Calibri"/>
                <w:b/>
                <w:bCs/>
                <w:color w:val="000000"/>
                <w:sz w:val="18"/>
                <w:szCs w:val="22"/>
              </w:rPr>
            </w:pPr>
            <w:r w:rsidRPr="00BD7222">
              <w:rPr>
                <w:rFonts w:ascii="Calibri" w:hAnsi="Calibri" w:cs="Calibri"/>
                <w:b/>
                <w:bCs/>
                <w:color w:val="000000"/>
                <w:sz w:val="18"/>
                <w:szCs w:val="22"/>
              </w:rPr>
              <w:t>Total</w:t>
            </w:r>
          </w:p>
        </w:tc>
        <w:tc>
          <w:tcPr>
            <w:tcW w:w="956" w:type="dxa"/>
            <w:tcBorders>
              <w:top w:val="nil"/>
              <w:left w:val="nil"/>
              <w:bottom w:val="single" w:sz="4" w:space="0" w:color="auto"/>
              <w:right w:val="single" w:sz="4" w:space="0" w:color="auto"/>
            </w:tcBorders>
            <w:shd w:val="clear" w:color="auto" w:fill="auto"/>
            <w:noWrap/>
            <w:vAlign w:val="bottom"/>
            <w:hideMark/>
          </w:tcPr>
          <w:p w14:paraId="04C4C197" w14:textId="77777777" w:rsidR="006356F1" w:rsidRPr="00BD7222" w:rsidRDefault="006356F1" w:rsidP="00217400">
            <w:pPr>
              <w:jc w:val="center"/>
              <w:rPr>
                <w:rFonts w:ascii="Calibri" w:hAnsi="Calibri" w:cs="Calibri"/>
                <w:b/>
                <w:bCs/>
                <w:color w:val="000000"/>
                <w:sz w:val="18"/>
                <w:szCs w:val="22"/>
              </w:rPr>
            </w:pPr>
            <w:r w:rsidRPr="00BD7222">
              <w:rPr>
                <w:rFonts w:ascii="Calibri" w:hAnsi="Calibri" w:cs="Calibri"/>
                <w:b/>
                <w:bCs/>
                <w:color w:val="000000"/>
                <w:sz w:val="18"/>
                <w:szCs w:val="22"/>
              </w:rPr>
              <w:t>121.458</w:t>
            </w:r>
          </w:p>
        </w:tc>
        <w:tc>
          <w:tcPr>
            <w:tcW w:w="956" w:type="dxa"/>
            <w:tcBorders>
              <w:top w:val="nil"/>
              <w:left w:val="nil"/>
              <w:bottom w:val="single" w:sz="4" w:space="0" w:color="auto"/>
              <w:right w:val="single" w:sz="4" w:space="0" w:color="auto"/>
            </w:tcBorders>
            <w:shd w:val="clear" w:color="auto" w:fill="auto"/>
            <w:noWrap/>
            <w:vAlign w:val="bottom"/>
            <w:hideMark/>
          </w:tcPr>
          <w:p w14:paraId="0B43832B" w14:textId="77777777" w:rsidR="006356F1" w:rsidRPr="00BD7222" w:rsidRDefault="006356F1" w:rsidP="00217400">
            <w:pPr>
              <w:jc w:val="center"/>
              <w:rPr>
                <w:rFonts w:ascii="Calibri" w:hAnsi="Calibri" w:cs="Calibri"/>
                <w:b/>
                <w:bCs/>
                <w:color w:val="000000"/>
                <w:sz w:val="18"/>
                <w:szCs w:val="22"/>
              </w:rPr>
            </w:pPr>
            <w:r w:rsidRPr="00BD7222">
              <w:rPr>
                <w:rFonts w:ascii="Calibri" w:hAnsi="Calibri" w:cs="Calibri"/>
                <w:b/>
                <w:bCs/>
                <w:color w:val="000000"/>
                <w:sz w:val="18"/>
                <w:szCs w:val="22"/>
              </w:rPr>
              <w:t>118.343</w:t>
            </w:r>
          </w:p>
        </w:tc>
        <w:tc>
          <w:tcPr>
            <w:tcW w:w="956" w:type="dxa"/>
            <w:tcBorders>
              <w:top w:val="nil"/>
              <w:left w:val="nil"/>
              <w:bottom w:val="single" w:sz="4" w:space="0" w:color="auto"/>
              <w:right w:val="single" w:sz="4" w:space="0" w:color="auto"/>
            </w:tcBorders>
            <w:shd w:val="clear" w:color="auto" w:fill="auto"/>
            <w:noWrap/>
            <w:vAlign w:val="bottom"/>
            <w:hideMark/>
          </w:tcPr>
          <w:p w14:paraId="380BBCC6" w14:textId="77777777" w:rsidR="006356F1" w:rsidRPr="00BD7222" w:rsidRDefault="006356F1" w:rsidP="00217400">
            <w:pPr>
              <w:jc w:val="center"/>
              <w:rPr>
                <w:rFonts w:ascii="Calibri" w:hAnsi="Calibri" w:cs="Calibri"/>
                <w:b/>
                <w:bCs/>
                <w:color w:val="000000"/>
                <w:sz w:val="18"/>
                <w:szCs w:val="22"/>
              </w:rPr>
            </w:pPr>
            <w:r w:rsidRPr="00BD7222">
              <w:rPr>
                <w:rFonts w:ascii="Calibri" w:hAnsi="Calibri" w:cs="Calibri"/>
                <w:b/>
                <w:bCs/>
                <w:color w:val="000000"/>
                <w:sz w:val="18"/>
                <w:szCs w:val="22"/>
              </w:rPr>
              <w:t>110.392</w:t>
            </w:r>
          </w:p>
        </w:tc>
        <w:tc>
          <w:tcPr>
            <w:tcW w:w="2085" w:type="dxa"/>
            <w:tcBorders>
              <w:top w:val="nil"/>
              <w:left w:val="nil"/>
              <w:bottom w:val="single" w:sz="4" w:space="0" w:color="auto"/>
              <w:right w:val="single" w:sz="4" w:space="0" w:color="auto"/>
            </w:tcBorders>
            <w:shd w:val="clear" w:color="auto" w:fill="auto"/>
            <w:noWrap/>
            <w:vAlign w:val="bottom"/>
            <w:hideMark/>
          </w:tcPr>
          <w:p w14:paraId="3555BB97" w14:textId="77777777" w:rsidR="006356F1" w:rsidRPr="00BD7222" w:rsidRDefault="006356F1" w:rsidP="00217400">
            <w:pPr>
              <w:jc w:val="center"/>
              <w:rPr>
                <w:rFonts w:ascii="Calibri" w:hAnsi="Calibri" w:cs="Calibri"/>
                <w:b/>
                <w:bCs/>
                <w:color w:val="000000"/>
                <w:sz w:val="18"/>
                <w:szCs w:val="22"/>
              </w:rPr>
            </w:pPr>
            <w:r w:rsidRPr="00BD7222">
              <w:rPr>
                <w:rFonts w:ascii="Calibri" w:hAnsi="Calibri" w:cs="Calibri"/>
                <w:b/>
                <w:bCs/>
                <w:color w:val="000000"/>
                <w:sz w:val="18"/>
                <w:szCs w:val="22"/>
              </w:rPr>
              <w:t>-2,6</w:t>
            </w:r>
          </w:p>
        </w:tc>
        <w:tc>
          <w:tcPr>
            <w:tcW w:w="2085" w:type="dxa"/>
            <w:tcBorders>
              <w:top w:val="nil"/>
              <w:left w:val="nil"/>
              <w:bottom w:val="single" w:sz="4" w:space="0" w:color="auto"/>
              <w:right w:val="single" w:sz="4" w:space="0" w:color="auto"/>
            </w:tcBorders>
            <w:shd w:val="clear" w:color="auto" w:fill="auto"/>
            <w:noWrap/>
            <w:vAlign w:val="bottom"/>
            <w:hideMark/>
          </w:tcPr>
          <w:p w14:paraId="350A6A85" w14:textId="77777777" w:rsidR="006356F1" w:rsidRPr="00BD7222" w:rsidRDefault="006356F1" w:rsidP="00217400">
            <w:pPr>
              <w:jc w:val="center"/>
              <w:rPr>
                <w:rFonts w:ascii="Calibri" w:hAnsi="Calibri" w:cs="Calibri"/>
                <w:b/>
                <w:bCs/>
                <w:color w:val="000000"/>
                <w:sz w:val="18"/>
                <w:szCs w:val="22"/>
              </w:rPr>
            </w:pPr>
            <w:r w:rsidRPr="00BD7222">
              <w:rPr>
                <w:rFonts w:ascii="Calibri" w:hAnsi="Calibri" w:cs="Calibri"/>
                <w:b/>
                <w:bCs/>
                <w:color w:val="000000"/>
                <w:sz w:val="18"/>
                <w:szCs w:val="22"/>
              </w:rPr>
              <w:t>-6,7</w:t>
            </w:r>
          </w:p>
        </w:tc>
      </w:tr>
      <w:tr w:rsidR="006356F1" w:rsidRPr="00BD7222" w14:paraId="1BF1CE4F" w14:textId="77777777" w:rsidTr="00217400">
        <w:trPr>
          <w:trHeight w:val="300"/>
        </w:trPr>
        <w:tc>
          <w:tcPr>
            <w:tcW w:w="9220" w:type="dxa"/>
            <w:gridSpan w:val="6"/>
            <w:tcBorders>
              <w:top w:val="single" w:sz="4" w:space="0" w:color="auto"/>
              <w:bottom w:val="nil"/>
              <w:right w:val="nil"/>
            </w:tcBorders>
            <w:shd w:val="clear" w:color="auto" w:fill="auto"/>
            <w:noWrap/>
            <w:hideMark/>
          </w:tcPr>
          <w:p w14:paraId="3DDE806E" w14:textId="77777777" w:rsidR="006356F1" w:rsidRPr="00BD7222" w:rsidRDefault="006356F1" w:rsidP="00217400">
            <w:pPr>
              <w:rPr>
                <w:rFonts w:ascii="Calibri" w:hAnsi="Calibri" w:cs="Calibri"/>
                <w:color w:val="000000"/>
                <w:sz w:val="18"/>
                <w:szCs w:val="16"/>
              </w:rPr>
            </w:pPr>
            <w:r w:rsidRPr="00BD7222">
              <w:rPr>
                <w:rFonts w:ascii="Calibri" w:hAnsi="Calibri" w:cs="Calibri"/>
                <w:color w:val="000000"/>
                <w:sz w:val="18"/>
                <w:szCs w:val="16"/>
              </w:rPr>
              <w:t>Fonte: RAIS - Relação Anual de Informações Sociais</w:t>
            </w:r>
          </w:p>
        </w:tc>
      </w:tr>
    </w:tbl>
    <w:p w14:paraId="26847814" w14:textId="77777777" w:rsidR="006356F1" w:rsidRPr="00C05E19" w:rsidRDefault="006356F1" w:rsidP="006356F1">
      <w:pPr>
        <w:spacing w:line="360" w:lineRule="auto"/>
        <w:ind w:firstLine="851"/>
        <w:jc w:val="both"/>
        <w:rPr>
          <w:rFonts w:ascii="Arial" w:hAnsi="Arial" w:cs="Arial"/>
          <w:sz w:val="22"/>
          <w:szCs w:val="24"/>
        </w:rPr>
      </w:pPr>
    </w:p>
    <w:tbl>
      <w:tblPr>
        <w:tblW w:w="9220" w:type="dxa"/>
        <w:tblCellMar>
          <w:left w:w="70" w:type="dxa"/>
          <w:right w:w="70" w:type="dxa"/>
        </w:tblCellMar>
        <w:tblLook w:val="04A0" w:firstRow="1" w:lastRow="0" w:firstColumn="1" w:lastColumn="0" w:noHBand="0" w:noVBand="1"/>
      </w:tblPr>
      <w:tblGrid>
        <w:gridCol w:w="2039"/>
        <w:gridCol w:w="1095"/>
        <w:gridCol w:w="1095"/>
        <w:gridCol w:w="1095"/>
        <w:gridCol w:w="1948"/>
        <w:gridCol w:w="1948"/>
      </w:tblGrid>
      <w:tr w:rsidR="006356F1" w:rsidRPr="00F65A52" w14:paraId="5B163C53" w14:textId="77777777" w:rsidTr="00217400">
        <w:trPr>
          <w:trHeight w:val="300"/>
        </w:trPr>
        <w:tc>
          <w:tcPr>
            <w:tcW w:w="9220" w:type="dxa"/>
            <w:gridSpan w:val="6"/>
            <w:tcBorders>
              <w:bottom w:val="single" w:sz="4" w:space="0" w:color="auto"/>
            </w:tcBorders>
            <w:shd w:val="clear" w:color="auto" w:fill="auto"/>
            <w:noWrap/>
            <w:vAlign w:val="bottom"/>
            <w:hideMark/>
          </w:tcPr>
          <w:p w14:paraId="42FF66C4" w14:textId="77777777" w:rsidR="006356F1" w:rsidRPr="00F65A52" w:rsidRDefault="006356F1" w:rsidP="00217400">
            <w:pPr>
              <w:rPr>
                <w:rFonts w:ascii="Calibri" w:hAnsi="Calibri" w:cs="Calibri"/>
                <w:bCs/>
                <w:color w:val="000000"/>
                <w:sz w:val="18"/>
                <w:szCs w:val="22"/>
              </w:rPr>
            </w:pPr>
            <w:r w:rsidRPr="00F65A52">
              <w:rPr>
                <w:rFonts w:ascii="Calibri" w:hAnsi="Calibri" w:cs="Calibri"/>
                <w:bCs/>
                <w:color w:val="000000"/>
                <w:sz w:val="18"/>
                <w:szCs w:val="22"/>
              </w:rPr>
              <w:t>Tabela 9 – Quantidade de empregos em Goiás, por faixas.</w:t>
            </w:r>
          </w:p>
        </w:tc>
      </w:tr>
      <w:tr w:rsidR="006356F1" w:rsidRPr="00F65A52" w14:paraId="1DFCCD3F" w14:textId="77777777" w:rsidTr="00217400">
        <w:trPr>
          <w:trHeight w:val="402"/>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53528" w14:textId="77777777" w:rsidR="006356F1" w:rsidRPr="00F65A52" w:rsidRDefault="006356F1" w:rsidP="00217400">
            <w:pPr>
              <w:jc w:val="center"/>
              <w:rPr>
                <w:rFonts w:ascii="Calibri" w:hAnsi="Calibri" w:cs="Calibri"/>
                <w:b/>
                <w:bCs/>
                <w:color w:val="000000"/>
                <w:sz w:val="18"/>
                <w:szCs w:val="22"/>
              </w:rPr>
            </w:pPr>
            <w:r w:rsidRPr="00F65A52">
              <w:rPr>
                <w:rFonts w:ascii="Calibri" w:hAnsi="Calibri" w:cs="Calibri"/>
                <w:b/>
                <w:bCs/>
                <w:color w:val="000000"/>
                <w:sz w:val="18"/>
                <w:szCs w:val="22"/>
              </w:rPr>
              <w:t>Nº de Empregados</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14:paraId="6BA54D25" w14:textId="77777777" w:rsidR="006356F1" w:rsidRPr="00F65A52" w:rsidRDefault="006356F1" w:rsidP="00217400">
            <w:pPr>
              <w:jc w:val="center"/>
              <w:rPr>
                <w:rFonts w:ascii="Calibri" w:hAnsi="Calibri" w:cs="Calibri"/>
                <w:b/>
                <w:bCs/>
                <w:color w:val="000000"/>
                <w:sz w:val="18"/>
                <w:szCs w:val="22"/>
              </w:rPr>
            </w:pPr>
            <w:r w:rsidRPr="00F65A52">
              <w:rPr>
                <w:rFonts w:ascii="Calibri" w:hAnsi="Calibri" w:cs="Calibri"/>
                <w:b/>
                <w:bCs/>
                <w:color w:val="000000"/>
                <w:sz w:val="18"/>
                <w:szCs w:val="22"/>
              </w:rPr>
              <w:t>2014</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14:paraId="3F8D69F8" w14:textId="77777777" w:rsidR="006356F1" w:rsidRPr="00F65A52" w:rsidRDefault="006356F1" w:rsidP="00217400">
            <w:pPr>
              <w:jc w:val="center"/>
              <w:rPr>
                <w:rFonts w:ascii="Calibri" w:hAnsi="Calibri" w:cs="Calibri"/>
                <w:b/>
                <w:bCs/>
                <w:color w:val="000000"/>
                <w:sz w:val="18"/>
                <w:szCs w:val="22"/>
              </w:rPr>
            </w:pPr>
            <w:r w:rsidRPr="00F65A52">
              <w:rPr>
                <w:rFonts w:ascii="Calibri" w:hAnsi="Calibri" w:cs="Calibri"/>
                <w:b/>
                <w:bCs/>
                <w:color w:val="000000"/>
                <w:sz w:val="18"/>
                <w:szCs w:val="22"/>
              </w:rPr>
              <w:t>2015</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14:paraId="2F272DBB" w14:textId="77777777" w:rsidR="006356F1" w:rsidRPr="00F65A52" w:rsidRDefault="006356F1" w:rsidP="00217400">
            <w:pPr>
              <w:jc w:val="center"/>
              <w:rPr>
                <w:rFonts w:ascii="Calibri" w:hAnsi="Calibri" w:cs="Calibri"/>
                <w:b/>
                <w:bCs/>
                <w:color w:val="000000"/>
                <w:sz w:val="18"/>
                <w:szCs w:val="22"/>
              </w:rPr>
            </w:pPr>
            <w:r w:rsidRPr="00F65A52">
              <w:rPr>
                <w:rFonts w:ascii="Calibri" w:hAnsi="Calibri" w:cs="Calibri"/>
                <w:b/>
                <w:bCs/>
                <w:color w:val="000000"/>
                <w:sz w:val="18"/>
                <w:szCs w:val="22"/>
              </w:rPr>
              <w:t>2016</w:t>
            </w:r>
          </w:p>
        </w:tc>
        <w:tc>
          <w:tcPr>
            <w:tcW w:w="1948" w:type="dxa"/>
            <w:tcBorders>
              <w:top w:val="single" w:sz="4" w:space="0" w:color="auto"/>
              <w:left w:val="nil"/>
              <w:bottom w:val="single" w:sz="4" w:space="0" w:color="auto"/>
              <w:right w:val="single" w:sz="4" w:space="0" w:color="auto"/>
            </w:tcBorders>
            <w:shd w:val="clear" w:color="auto" w:fill="auto"/>
            <w:noWrap/>
            <w:vAlign w:val="bottom"/>
            <w:hideMark/>
          </w:tcPr>
          <w:p w14:paraId="0D122239" w14:textId="77777777" w:rsidR="006356F1" w:rsidRPr="00F65A52" w:rsidRDefault="006356F1" w:rsidP="00217400">
            <w:pPr>
              <w:jc w:val="center"/>
              <w:rPr>
                <w:rFonts w:ascii="Calibri" w:hAnsi="Calibri" w:cs="Calibri"/>
                <w:b/>
                <w:bCs/>
                <w:color w:val="000000"/>
                <w:sz w:val="18"/>
                <w:szCs w:val="22"/>
              </w:rPr>
            </w:pPr>
            <w:r w:rsidRPr="00F65A52">
              <w:rPr>
                <w:rFonts w:ascii="Calibri" w:hAnsi="Calibri" w:cs="Calibri"/>
                <w:b/>
                <w:bCs/>
                <w:color w:val="000000"/>
                <w:sz w:val="18"/>
                <w:szCs w:val="22"/>
              </w:rPr>
              <w:t>Var. % 2015/2014</w:t>
            </w:r>
          </w:p>
        </w:tc>
        <w:tc>
          <w:tcPr>
            <w:tcW w:w="1948" w:type="dxa"/>
            <w:tcBorders>
              <w:top w:val="single" w:sz="4" w:space="0" w:color="auto"/>
              <w:left w:val="nil"/>
              <w:bottom w:val="single" w:sz="4" w:space="0" w:color="auto"/>
              <w:right w:val="single" w:sz="4" w:space="0" w:color="auto"/>
            </w:tcBorders>
            <w:shd w:val="clear" w:color="auto" w:fill="auto"/>
            <w:noWrap/>
            <w:vAlign w:val="bottom"/>
            <w:hideMark/>
          </w:tcPr>
          <w:p w14:paraId="0BB79C88" w14:textId="77777777" w:rsidR="006356F1" w:rsidRPr="00F65A52" w:rsidRDefault="006356F1" w:rsidP="00217400">
            <w:pPr>
              <w:jc w:val="center"/>
              <w:rPr>
                <w:rFonts w:ascii="Calibri" w:hAnsi="Calibri" w:cs="Calibri"/>
                <w:b/>
                <w:bCs/>
                <w:color w:val="000000"/>
                <w:sz w:val="18"/>
                <w:szCs w:val="22"/>
              </w:rPr>
            </w:pPr>
            <w:r w:rsidRPr="00F65A52">
              <w:rPr>
                <w:rFonts w:ascii="Calibri" w:hAnsi="Calibri" w:cs="Calibri"/>
                <w:b/>
                <w:bCs/>
                <w:color w:val="000000"/>
                <w:sz w:val="18"/>
                <w:szCs w:val="22"/>
              </w:rPr>
              <w:t>Var. % 2016/2015</w:t>
            </w:r>
          </w:p>
        </w:tc>
      </w:tr>
      <w:tr w:rsidR="006356F1" w:rsidRPr="00F65A52" w14:paraId="534C3242" w14:textId="77777777" w:rsidTr="00217400">
        <w:trPr>
          <w:trHeight w:val="402"/>
        </w:trPr>
        <w:tc>
          <w:tcPr>
            <w:tcW w:w="2039" w:type="dxa"/>
            <w:tcBorders>
              <w:top w:val="nil"/>
              <w:left w:val="single" w:sz="4" w:space="0" w:color="auto"/>
              <w:bottom w:val="single" w:sz="4" w:space="0" w:color="auto"/>
              <w:right w:val="single" w:sz="4" w:space="0" w:color="auto"/>
            </w:tcBorders>
            <w:shd w:val="clear" w:color="auto" w:fill="auto"/>
            <w:noWrap/>
            <w:vAlign w:val="bottom"/>
            <w:hideMark/>
          </w:tcPr>
          <w:p w14:paraId="065ABA70" w14:textId="77777777" w:rsidR="006356F1" w:rsidRPr="00F65A52" w:rsidRDefault="006356F1" w:rsidP="00217400">
            <w:pPr>
              <w:rPr>
                <w:rFonts w:ascii="Calibri" w:hAnsi="Calibri" w:cs="Calibri"/>
                <w:color w:val="000000"/>
                <w:sz w:val="18"/>
                <w:szCs w:val="22"/>
              </w:rPr>
            </w:pPr>
            <w:r w:rsidRPr="00F65A52">
              <w:rPr>
                <w:rFonts w:ascii="Calibri" w:hAnsi="Calibri" w:cs="Calibri"/>
                <w:color w:val="000000"/>
                <w:sz w:val="18"/>
                <w:szCs w:val="22"/>
              </w:rPr>
              <w:t>De 1 a 25</w:t>
            </w:r>
          </w:p>
        </w:tc>
        <w:tc>
          <w:tcPr>
            <w:tcW w:w="1095" w:type="dxa"/>
            <w:tcBorders>
              <w:top w:val="nil"/>
              <w:left w:val="nil"/>
              <w:bottom w:val="single" w:sz="4" w:space="0" w:color="auto"/>
              <w:right w:val="single" w:sz="4" w:space="0" w:color="auto"/>
            </w:tcBorders>
            <w:shd w:val="clear" w:color="auto" w:fill="auto"/>
            <w:noWrap/>
            <w:vAlign w:val="bottom"/>
            <w:hideMark/>
          </w:tcPr>
          <w:p w14:paraId="61AF1847"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527.732</w:t>
            </w:r>
          </w:p>
        </w:tc>
        <w:tc>
          <w:tcPr>
            <w:tcW w:w="1095" w:type="dxa"/>
            <w:tcBorders>
              <w:top w:val="nil"/>
              <w:left w:val="nil"/>
              <w:bottom w:val="single" w:sz="4" w:space="0" w:color="auto"/>
              <w:right w:val="single" w:sz="4" w:space="0" w:color="auto"/>
            </w:tcBorders>
            <w:shd w:val="clear" w:color="auto" w:fill="auto"/>
            <w:noWrap/>
            <w:vAlign w:val="bottom"/>
            <w:hideMark/>
          </w:tcPr>
          <w:p w14:paraId="15434179"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530.612</w:t>
            </w:r>
          </w:p>
        </w:tc>
        <w:tc>
          <w:tcPr>
            <w:tcW w:w="1095" w:type="dxa"/>
            <w:tcBorders>
              <w:top w:val="nil"/>
              <w:left w:val="nil"/>
              <w:bottom w:val="single" w:sz="4" w:space="0" w:color="auto"/>
              <w:right w:val="single" w:sz="4" w:space="0" w:color="auto"/>
            </w:tcBorders>
            <w:shd w:val="clear" w:color="auto" w:fill="auto"/>
            <w:noWrap/>
            <w:vAlign w:val="bottom"/>
            <w:hideMark/>
          </w:tcPr>
          <w:p w14:paraId="50338517"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520.649</w:t>
            </w:r>
          </w:p>
        </w:tc>
        <w:tc>
          <w:tcPr>
            <w:tcW w:w="1948" w:type="dxa"/>
            <w:tcBorders>
              <w:top w:val="nil"/>
              <w:left w:val="nil"/>
              <w:bottom w:val="single" w:sz="4" w:space="0" w:color="auto"/>
              <w:right w:val="single" w:sz="4" w:space="0" w:color="auto"/>
            </w:tcBorders>
            <w:shd w:val="clear" w:color="auto" w:fill="auto"/>
            <w:noWrap/>
            <w:vAlign w:val="bottom"/>
            <w:hideMark/>
          </w:tcPr>
          <w:p w14:paraId="63859DCB"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0,5</w:t>
            </w:r>
          </w:p>
        </w:tc>
        <w:tc>
          <w:tcPr>
            <w:tcW w:w="1948" w:type="dxa"/>
            <w:tcBorders>
              <w:top w:val="nil"/>
              <w:left w:val="nil"/>
              <w:bottom w:val="single" w:sz="4" w:space="0" w:color="auto"/>
              <w:right w:val="single" w:sz="4" w:space="0" w:color="auto"/>
            </w:tcBorders>
            <w:shd w:val="clear" w:color="auto" w:fill="auto"/>
            <w:noWrap/>
            <w:vAlign w:val="bottom"/>
            <w:hideMark/>
          </w:tcPr>
          <w:p w14:paraId="180357CE"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-1,9</w:t>
            </w:r>
          </w:p>
        </w:tc>
      </w:tr>
      <w:tr w:rsidR="006356F1" w:rsidRPr="00F65A52" w14:paraId="717C93C8" w14:textId="77777777" w:rsidTr="00217400">
        <w:trPr>
          <w:trHeight w:val="402"/>
        </w:trPr>
        <w:tc>
          <w:tcPr>
            <w:tcW w:w="2039" w:type="dxa"/>
            <w:tcBorders>
              <w:top w:val="nil"/>
              <w:left w:val="single" w:sz="4" w:space="0" w:color="auto"/>
              <w:bottom w:val="single" w:sz="4" w:space="0" w:color="auto"/>
              <w:right w:val="single" w:sz="4" w:space="0" w:color="auto"/>
            </w:tcBorders>
            <w:shd w:val="clear" w:color="auto" w:fill="auto"/>
            <w:noWrap/>
            <w:vAlign w:val="bottom"/>
            <w:hideMark/>
          </w:tcPr>
          <w:p w14:paraId="2D30DF33" w14:textId="77777777" w:rsidR="006356F1" w:rsidRPr="00F65A52" w:rsidRDefault="006356F1" w:rsidP="00217400">
            <w:pPr>
              <w:rPr>
                <w:rFonts w:ascii="Calibri" w:hAnsi="Calibri" w:cs="Calibri"/>
                <w:color w:val="000000"/>
                <w:sz w:val="18"/>
                <w:szCs w:val="22"/>
              </w:rPr>
            </w:pPr>
            <w:r w:rsidRPr="00F65A52">
              <w:rPr>
                <w:rFonts w:ascii="Calibri" w:hAnsi="Calibri" w:cs="Calibri"/>
                <w:color w:val="000000"/>
                <w:sz w:val="18"/>
                <w:szCs w:val="22"/>
              </w:rPr>
              <w:t>De 26 a 65</w:t>
            </w:r>
          </w:p>
        </w:tc>
        <w:tc>
          <w:tcPr>
            <w:tcW w:w="1095" w:type="dxa"/>
            <w:tcBorders>
              <w:top w:val="nil"/>
              <w:left w:val="nil"/>
              <w:bottom w:val="single" w:sz="4" w:space="0" w:color="auto"/>
              <w:right w:val="single" w:sz="4" w:space="0" w:color="auto"/>
            </w:tcBorders>
            <w:shd w:val="clear" w:color="auto" w:fill="auto"/>
            <w:noWrap/>
            <w:vAlign w:val="bottom"/>
            <w:hideMark/>
          </w:tcPr>
          <w:p w14:paraId="46EF7D78"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173.914</w:t>
            </w:r>
          </w:p>
        </w:tc>
        <w:tc>
          <w:tcPr>
            <w:tcW w:w="1095" w:type="dxa"/>
            <w:tcBorders>
              <w:top w:val="nil"/>
              <w:left w:val="nil"/>
              <w:bottom w:val="single" w:sz="4" w:space="0" w:color="auto"/>
              <w:right w:val="single" w:sz="4" w:space="0" w:color="auto"/>
            </w:tcBorders>
            <w:shd w:val="clear" w:color="auto" w:fill="auto"/>
            <w:noWrap/>
            <w:vAlign w:val="bottom"/>
            <w:hideMark/>
          </w:tcPr>
          <w:p w14:paraId="6CAD4B8B"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169.404</w:t>
            </w:r>
          </w:p>
        </w:tc>
        <w:tc>
          <w:tcPr>
            <w:tcW w:w="1095" w:type="dxa"/>
            <w:tcBorders>
              <w:top w:val="nil"/>
              <w:left w:val="nil"/>
              <w:bottom w:val="single" w:sz="4" w:space="0" w:color="auto"/>
              <w:right w:val="single" w:sz="4" w:space="0" w:color="auto"/>
            </w:tcBorders>
            <w:shd w:val="clear" w:color="auto" w:fill="auto"/>
            <w:noWrap/>
            <w:vAlign w:val="bottom"/>
            <w:hideMark/>
          </w:tcPr>
          <w:p w14:paraId="4F38035D"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162.035</w:t>
            </w:r>
          </w:p>
        </w:tc>
        <w:tc>
          <w:tcPr>
            <w:tcW w:w="1948" w:type="dxa"/>
            <w:tcBorders>
              <w:top w:val="nil"/>
              <w:left w:val="nil"/>
              <w:bottom w:val="single" w:sz="4" w:space="0" w:color="auto"/>
              <w:right w:val="single" w:sz="4" w:space="0" w:color="auto"/>
            </w:tcBorders>
            <w:shd w:val="clear" w:color="auto" w:fill="auto"/>
            <w:noWrap/>
            <w:vAlign w:val="bottom"/>
            <w:hideMark/>
          </w:tcPr>
          <w:p w14:paraId="32E5E7F8"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-2,6</w:t>
            </w:r>
          </w:p>
        </w:tc>
        <w:tc>
          <w:tcPr>
            <w:tcW w:w="1948" w:type="dxa"/>
            <w:tcBorders>
              <w:top w:val="nil"/>
              <w:left w:val="nil"/>
              <w:bottom w:val="single" w:sz="4" w:space="0" w:color="auto"/>
              <w:right w:val="single" w:sz="4" w:space="0" w:color="auto"/>
            </w:tcBorders>
            <w:shd w:val="clear" w:color="auto" w:fill="auto"/>
            <w:noWrap/>
            <w:vAlign w:val="bottom"/>
            <w:hideMark/>
          </w:tcPr>
          <w:p w14:paraId="3900DF20"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-4,3</w:t>
            </w:r>
          </w:p>
        </w:tc>
      </w:tr>
      <w:tr w:rsidR="006356F1" w:rsidRPr="00F65A52" w14:paraId="0F8CCF35" w14:textId="77777777" w:rsidTr="00217400">
        <w:trPr>
          <w:trHeight w:val="402"/>
        </w:trPr>
        <w:tc>
          <w:tcPr>
            <w:tcW w:w="2039" w:type="dxa"/>
            <w:tcBorders>
              <w:top w:val="nil"/>
              <w:left w:val="single" w:sz="4" w:space="0" w:color="auto"/>
              <w:bottom w:val="single" w:sz="4" w:space="0" w:color="auto"/>
              <w:right w:val="single" w:sz="4" w:space="0" w:color="auto"/>
            </w:tcBorders>
            <w:shd w:val="clear" w:color="auto" w:fill="auto"/>
            <w:noWrap/>
            <w:vAlign w:val="bottom"/>
            <w:hideMark/>
          </w:tcPr>
          <w:p w14:paraId="533E5298" w14:textId="77777777" w:rsidR="006356F1" w:rsidRPr="00F65A52" w:rsidRDefault="006356F1" w:rsidP="00217400">
            <w:pPr>
              <w:rPr>
                <w:rFonts w:ascii="Calibri" w:hAnsi="Calibri" w:cs="Calibri"/>
                <w:color w:val="000000"/>
                <w:sz w:val="18"/>
                <w:szCs w:val="22"/>
              </w:rPr>
            </w:pPr>
            <w:r w:rsidRPr="00F65A52">
              <w:rPr>
                <w:rFonts w:ascii="Calibri" w:hAnsi="Calibri" w:cs="Calibri"/>
                <w:color w:val="000000"/>
                <w:sz w:val="18"/>
                <w:szCs w:val="22"/>
              </w:rPr>
              <w:t>De 66 a 137</w:t>
            </w:r>
          </w:p>
        </w:tc>
        <w:tc>
          <w:tcPr>
            <w:tcW w:w="1095" w:type="dxa"/>
            <w:tcBorders>
              <w:top w:val="nil"/>
              <w:left w:val="nil"/>
              <w:bottom w:val="single" w:sz="4" w:space="0" w:color="auto"/>
              <w:right w:val="single" w:sz="4" w:space="0" w:color="auto"/>
            </w:tcBorders>
            <w:shd w:val="clear" w:color="auto" w:fill="auto"/>
            <w:noWrap/>
            <w:vAlign w:val="bottom"/>
            <w:hideMark/>
          </w:tcPr>
          <w:p w14:paraId="18F383A3"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126.026</w:t>
            </w:r>
          </w:p>
        </w:tc>
        <w:tc>
          <w:tcPr>
            <w:tcW w:w="1095" w:type="dxa"/>
            <w:tcBorders>
              <w:top w:val="nil"/>
              <w:left w:val="nil"/>
              <w:bottom w:val="single" w:sz="4" w:space="0" w:color="auto"/>
              <w:right w:val="single" w:sz="4" w:space="0" w:color="auto"/>
            </w:tcBorders>
            <w:shd w:val="clear" w:color="auto" w:fill="auto"/>
            <w:noWrap/>
            <w:vAlign w:val="bottom"/>
            <w:hideMark/>
          </w:tcPr>
          <w:p w14:paraId="510DC5B4"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120.957</w:t>
            </w:r>
          </w:p>
        </w:tc>
        <w:tc>
          <w:tcPr>
            <w:tcW w:w="1095" w:type="dxa"/>
            <w:tcBorders>
              <w:top w:val="nil"/>
              <w:left w:val="nil"/>
              <w:bottom w:val="single" w:sz="4" w:space="0" w:color="auto"/>
              <w:right w:val="single" w:sz="4" w:space="0" w:color="auto"/>
            </w:tcBorders>
            <w:shd w:val="clear" w:color="auto" w:fill="auto"/>
            <w:noWrap/>
            <w:vAlign w:val="bottom"/>
            <w:hideMark/>
          </w:tcPr>
          <w:p w14:paraId="18665ACB"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116.832</w:t>
            </w:r>
          </w:p>
        </w:tc>
        <w:tc>
          <w:tcPr>
            <w:tcW w:w="1948" w:type="dxa"/>
            <w:tcBorders>
              <w:top w:val="nil"/>
              <w:left w:val="nil"/>
              <w:bottom w:val="single" w:sz="4" w:space="0" w:color="auto"/>
              <w:right w:val="single" w:sz="4" w:space="0" w:color="auto"/>
            </w:tcBorders>
            <w:shd w:val="clear" w:color="auto" w:fill="auto"/>
            <w:noWrap/>
            <w:vAlign w:val="bottom"/>
            <w:hideMark/>
          </w:tcPr>
          <w:p w14:paraId="29B5CD67"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-4</w:t>
            </w:r>
          </w:p>
        </w:tc>
        <w:tc>
          <w:tcPr>
            <w:tcW w:w="1948" w:type="dxa"/>
            <w:tcBorders>
              <w:top w:val="nil"/>
              <w:left w:val="nil"/>
              <w:bottom w:val="single" w:sz="4" w:space="0" w:color="auto"/>
              <w:right w:val="single" w:sz="4" w:space="0" w:color="auto"/>
            </w:tcBorders>
            <w:shd w:val="clear" w:color="auto" w:fill="auto"/>
            <w:noWrap/>
            <w:vAlign w:val="bottom"/>
            <w:hideMark/>
          </w:tcPr>
          <w:p w14:paraId="3E95AFFA"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-3,4</w:t>
            </w:r>
          </w:p>
        </w:tc>
      </w:tr>
      <w:tr w:rsidR="006356F1" w:rsidRPr="00F65A52" w14:paraId="74889942" w14:textId="77777777" w:rsidTr="00217400">
        <w:trPr>
          <w:trHeight w:val="402"/>
        </w:trPr>
        <w:tc>
          <w:tcPr>
            <w:tcW w:w="2039" w:type="dxa"/>
            <w:tcBorders>
              <w:top w:val="nil"/>
              <w:left w:val="single" w:sz="4" w:space="0" w:color="auto"/>
              <w:bottom w:val="single" w:sz="4" w:space="0" w:color="auto"/>
              <w:right w:val="single" w:sz="4" w:space="0" w:color="auto"/>
            </w:tcBorders>
            <w:shd w:val="clear" w:color="auto" w:fill="auto"/>
            <w:noWrap/>
            <w:vAlign w:val="bottom"/>
            <w:hideMark/>
          </w:tcPr>
          <w:p w14:paraId="27F5DF60" w14:textId="77777777" w:rsidR="006356F1" w:rsidRPr="00F65A52" w:rsidRDefault="006356F1" w:rsidP="00217400">
            <w:pPr>
              <w:rPr>
                <w:rFonts w:ascii="Calibri" w:hAnsi="Calibri" w:cs="Calibri"/>
                <w:color w:val="000000"/>
                <w:sz w:val="18"/>
                <w:szCs w:val="22"/>
              </w:rPr>
            </w:pPr>
            <w:r w:rsidRPr="00F65A52">
              <w:rPr>
                <w:rFonts w:ascii="Calibri" w:hAnsi="Calibri" w:cs="Calibri"/>
                <w:color w:val="000000"/>
                <w:sz w:val="18"/>
                <w:szCs w:val="22"/>
              </w:rPr>
              <w:t>138 ou mais</w:t>
            </w:r>
          </w:p>
        </w:tc>
        <w:tc>
          <w:tcPr>
            <w:tcW w:w="1095" w:type="dxa"/>
            <w:tcBorders>
              <w:top w:val="nil"/>
              <w:left w:val="nil"/>
              <w:bottom w:val="single" w:sz="4" w:space="0" w:color="auto"/>
              <w:right w:val="single" w:sz="4" w:space="0" w:color="auto"/>
            </w:tcBorders>
            <w:shd w:val="clear" w:color="auto" w:fill="auto"/>
            <w:noWrap/>
            <w:vAlign w:val="bottom"/>
            <w:hideMark/>
          </w:tcPr>
          <w:p w14:paraId="1E87256B"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686.860</w:t>
            </w:r>
          </w:p>
        </w:tc>
        <w:tc>
          <w:tcPr>
            <w:tcW w:w="1095" w:type="dxa"/>
            <w:tcBorders>
              <w:top w:val="nil"/>
              <w:left w:val="nil"/>
              <w:bottom w:val="single" w:sz="4" w:space="0" w:color="auto"/>
              <w:right w:val="single" w:sz="4" w:space="0" w:color="auto"/>
            </w:tcBorders>
            <w:shd w:val="clear" w:color="auto" w:fill="auto"/>
            <w:noWrap/>
            <w:vAlign w:val="bottom"/>
            <w:hideMark/>
          </w:tcPr>
          <w:p w14:paraId="41B32E8C"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680.424</w:t>
            </w:r>
          </w:p>
        </w:tc>
        <w:tc>
          <w:tcPr>
            <w:tcW w:w="1095" w:type="dxa"/>
            <w:tcBorders>
              <w:top w:val="nil"/>
              <w:left w:val="nil"/>
              <w:bottom w:val="single" w:sz="4" w:space="0" w:color="auto"/>
              <w:right w:val="single" w:sz="4" w:space="0" w:color="auto"/>
            </w:tcBorders>
            <w:shd w:val="clear" w:color="auto" w:fill="auto"/>
            <w:noWrap/>
            <w:vAlign w:val="bottom"/>
            <w:hideMark/>
          </w:tcPr>
          <w:p w14:paraId="120D7EF0"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646.427</w:t>
            </w:r>
          </w:p>
        </w:tc>
        <w:tc>
          <w:tcPr>
            <w:tcW w:w="1948" w:type="dxa"/>
            <w:tcBorders>
              <w:top w:val="nil"/>
              <w:left w:val="nil"/>
              <w:bottom w:val="single" w:sz="4" w:space="0" w:color="auto"/>
              <w:right w:val="single" w:sz="4" w:space="0" w:color="auto"/>
            </w:tcBorders>
            <w:shd w:val="clear" w:color="auto" w:fill="auto"/>
            <w:noWrap/>
            <w:vAlign w:val="bottom"/>
            <w:hideMark/>
          </w:tcPr>
          <w:p w14:paraId="2ACB7B01"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-0,9</w:t>
            </w:r>
          </w:p>
        </w:tc>
        <w:tc>
          <w:tcPr>
            <w:tcW w:w="1948" w:type="dxa"/>
            <w:tcBorders>
              <w:top w:val="nil"/>
              <w:left w:val="nil"/>
              <w:bottom w:val="single" w:sz="4" w:space="0" w:color="auto"/>
              <w:right w:val="single" w:sz="4" w:space="0" w:color="auto"/>
            </w:tcBorders>
            <w:shd w:val="clear" w:color="auto" w:fill="auto"/>
            <w:noWrap/>
            <w:vAlign w:val="bottom"/>
            <w:hideMark/>
          </w:tcPr>
          <w:p w14:paraId="5B3AA995" w14:textId="77777777" w:rsidR="006356F1" w:rsidRPr="00F65A52" w:rsidRDefault="006356F1" w:rsidP="00217400">
            <w:pPr>
              <w:jc w:val="center"/>
              <w:rPr>
                <w:rFonts w:ascii="Calibri" w:hAnsi="Calibri" w:cs="Calibri"/>
                <w:color w:val="000000"/>
                <w:sz w:val="18"/>
                <w:szCs w:val="22"/>
              </w:rPr>
            </w:pPr>
            <w:r w:rsidRPr="00F65A52">
              <w:rPr>
                <w:rFonts w:ascii="Calibri" w:hAnsi="Calibri" w:cs="Calibri"/>
                <w:color w:val="000000"/>
                <w:sz w:val="18"/>
                <w:szCs w:val="22"/>
              </w:rPr>
              <w:t>-5</w:t>
            </w:r>
          </w:p>
        </w:tc>
      </w:tr>
      <w:tr w:rsidR="006356F1" w:rsidRPr="00F65A52" w14:paraId="7470071A" w14:textId="77777777" w:rsidTr="00217400">
        <w:trPr>
          <w:trHeight w:val="402"/>
        </w:trPr>
        <w:tc>
          <w:tcPr>
            <w:tcW w:w="2039" w:type="dxa"/>
            <w:tcBorders>
              <w:top w:val="nil"/>
              <w:left w:val="single" w:sz="4" w:space="0" w:color="auto"/>
              <w:bottom w:val="single" w:sz="4" w:space="0" w:color="auto"/>
              <w:right w:val="single" w:sz="4" w:space="0" w:color="auto"/>
            </w:tcBorders>
            <w:shd w:val="clear" w:color="auto" w:fill="auto"/>
            <w:noWrap/>
            <w:vAlign w:val="bottom"/>
            <w:hideMark/>
          </w:tcPr>
          <w:p w14:paraId="376C7AE7" w14:textId="77777777" w:rsidR="006356F1" w:rsidRPr="00F65A52" w:rsidRDefault="006356F1" w:rsidP="00217400">
            <w:pPr>
              <w:rPr>
                <w:rFonts w:ascii="Calibri" w:hAnsi="Calibri" w:cs="Calibri"/>
                <w:b/>
                <w:bCs/>
                <w:color w:val="000000"/>
                <w:sz w:val="18"/>
                <w:szCs w:val="22"/>
              </w:rPr>
            </w:pPr>
            <w:r w:rsidRPr="00F65A52">
              <w:rPr>
                <w:rFonts w:ascii="Calibri" w:hAnsi="Calibri" w:cs="Calibri"/>
                <w:b/>
                <w:bCs/>
                <w:color w:val="000000"/>
                <w:sz w:val="18"/>
                <w:szCs w:val="22"/>
              </w:rPr>
              <w:t>Total</w:t>
            </w:r>
          </w:p>
        </w:tc>
        <w:tc>
          <w:tcPr>
            <w:tcW w:w="1095" w:type="dxa"/>
            <w:tcBorders>
              <w:top w:val="nil"/>
              <w:left w:val="nil"/>
              <w:bottom w:val="single" w:sz="4" w:space="0" w:color="auto"/>
              <w:right w:val="single" w:sz="4" w:space="0" w:color="auto"/>
            </w:tcBorders>
            <w:shd w:val="clear" w:color="auto" w:fill="auto"/>
            <w:noWrap/>
            <w:vAlign w:val="bottom"/>
            <w:hideMark/>
          </w:tcPr>
          <w:p w14:paraId="57B3C88F" w14:textId="77777777" w:rsidR="006356F1" w:rsidRPr="00F65A52" w:rsidRDefault="006356F1" w:rsidP="00217400">
            <w:pPr>
              <w:jc w:val="center"/>
              <w:rPr>
                <w:rFonts w:ascii="Calibri" w:hAnsi="Calibri" w:cs="Calibri"/>
                <w:b/>
                <w:bCs/>
                <w:color w:val="000000"/>
                <w:sz w:val="18"/>
                <w:szCs w:val="22"/>
              </w:rPr>
            </w:pPr>
            <w:r w:rsidRPr="00F65A52">
              <w:rPr>
                <w:rFonts w:ascii="Calibri" w:hAnsi="Calibri" w:cs="Calibri"/>
                <w:b/>
                <w:bCs/>
                <w:color w:val="000000"/>
                <w:sz w:val="18"/>
                <w:szCs w:val="22"/>
              </w:rPr>
              <w:t>1.514.532</w:t>
            </w:r>
          </w:p>
        </w:tc>
        <w:tc>
          <w:tcPr>
            <w:tcW w:w="1095" w:type="dxa"/>
            <w:tcBorders>
              <w:top w:val="nil"/>
              <w:left w:val="nil"/>
              <w:bottom w:val="single" w:sz="4" w:space="0" w:color="auto"/>
              <w:right w:val="single" w:sz="4" w:space="0" w:color="auto"/>
            </w:tcBorders>
            <w:shd w:val="clear" w:color="auto" w:fill="auto"/>
            <w:noWrap/>
            <w:vAlign w:val="bottom"/>
            <w:hideMark/>
          </w:tcPr>
          <w:p w14:paraId="2721EB38" w14:textId="77777777" w:rsidR="006356F1" w:rsidRPr="00F65A52" w:rsidRDefault="006356F1" w:rsidP="00217400">
            <w:pPr>
              <w:jc w:val="center"/>
              <w:rPr>
                <w:rFonts w:ascii="Calibri" w:hAnsi="Calibri" w:cs="Calibri"/>
                <w:b/>
                <w:bCs/>
                <w:color w:val="000000"/>
                <w:sz w:val="18"/>
                <w:szCs w:val="22"/>
              </w:rPr>
            </w:pPr>
            <w:r w:rsidRPr="00F65A52">
              <w:rPr>
                <w:rFonts w:ascii="Calibri" w:hAnsi="Calibri" w:cs="Calibri"/>
                <w:b/>
                <w:bCs/>
                <w:color w:val="000000"/>
                <w:sz w:val="18"/>
                <w:szCs w:val="22"/>
              </w:rPr>
              <w:t>1.501.397</w:t>
            </w:r>
          </w:p>
        </w:tc>
        <w:tc>
          <w:tcPr>
            <w:tcW w:w="1095" w:type="dxa"/>
            <w:tcBorders>
              <w:top w:val="nil"/>
              <w:left w:val="nil"/>
              <w:bottom w:val="single" w:sz="4" w:space="0" w:color="auto"/>
              <w:right w:val="single" w:sz="4" w:space="0" w:color="auto"/>
            </w:tcBorders>
            <w:shd w:val="clear" w:color="auto" w:fill="auto"/>
            <w:noWrap/>
            <w:vAlign w:val="bottom"/>
            <w:hideMark/>
          </w:tcPr>
          <w:p w14:paraId="5B4991F1" w14:textId="77777777" w:rsidR="006356F1" w:rsidRPr="00F65A52" w:rsidRDefault="006356F1" w:rsidP="00217400">
            <w:pPr>
              <w:jc w:val="center"/>
              <w:rPr>
                <w:rFonts w:ascii="Calibri" w:hAnsi="Calibri" w:cs="Calibri"/>
                <w:b/>
                <w:bCs/>
                <w:color w:val="000000"/>
                <w:sz w:val="18"/>
                <w:szCs w:val="22"/>
              </w:rPr>
            </w:pPr>
            <w:r w:rsidRPr="00F65A52">
              <w:rPr>
                <w:rFonts w:ascii="Calibri" w:hAnsi="Calibri" w:cs="Calibri"/>
                <w:b/>
                <w:bCs/>
                <w:color w:val="000000"/>
                <w:sz w:val="18"/>
                <w:szCs w:val="22"/>
              </w:rPr>
              <w:t>1.445.943</w:t>
            </w:r>
          </w:p>
        </w:tc>
        <w:tc>
          <w:tcPr>
            <w:tcW w:w="1948" w:type="dxa"/>
            <w:tcBorders>
              <w:top w:val="nil"/>
              <w:left w:val="nil"/>
              <w:bottom w:val="single" w:sz="4" w:space="0" w:color="auto"/>
              <w:right w:val="single" w:sz="4" w:space="0" w:color="auto"/>
            </w:tcBorders>
            <w:shd w:val="clear" w:color="auto" w:fill="auto"/>
            <w:noWrap/>
            <w:vAlign w:val="bottom"/>
            <w:hideMark/>
          </w:tcPr>
          <w:p w14:paraId="3070B925" w14:textId="77777777" w:rsidR="006356F1" w:rsidRPr="00F65A52" w:rsidRDefault="006356F1" w:rsidP="00217400">
            <w:pPr>
              <w:jc w:val="center"/>
              <w:rPr>
                <w:rFonts w:ascii="Calibri" w:hAnsi="Calibri" w:cs="Calibri"/>
                <w:b/>
                <w:bCs/>
                <w:color w:val="000000"/>
                <w:sz w:val="18"/>
                <w:szCs w:val="22"/>
              </w:rPr>
            </w:pPr>
            <w:r w:rsidRPr="00F65A52">
              <w:rPr>
                <w:rFonts w:ascii="Calibri" w:hAnsi="Calibri" w:cs="Calibri"/>
                <w:b/>
                <w:bCs/>
                <w:color w:val="000000"/>
                <w:sz w:val="18"/>
                <w:szCs w:val="22"/>
              </w:rPr>
              <w:t>-0,9</w:t>
            </w:r>
          </w:p>
        </w:tc>
        <w:tc>
          <w:tcPr>
            <w:tcW w:w="1948" w:type="dxa"/>
            <w:tcBorders>
              <w:top w:val="nil"/>
              <w:left w:val="nil"/>
              <w:bottom w:val="single" w:sz="4" w:space="0" w:color="auto"/>
              <w:right w:val="single" w:sz="4" w:space="0" w:color="auto"/>
            </w:tcBorders>
            <w:shd w:val="clear" w:color="auto" w:fill="auto"/>
            <w:noWrap/>
            <w:vAlign w:val="bottom"/>
            <w:hideMark/>
          </w:tcPr>
          <w:p w14:paraId="6F7B9E2D" w14:textId="77777777" w:rsidR="006356F1" w:rsidRPr="00F65A52" w:rsidRDefault="006356F1" w:rsidP="00217400">
            <w:pPr>
              <w:jc w:val="center"/>
              <w:rPr>
                <w:rFonts w:ascii="Calibri" w:hAnsi="Calibri" w:cs="Calibri"/>
                <w:b/>
                <w:bCs/>
                <w:color w:val="000000"/>
                <w:sz w:val="18"/>
                <w:szCs w:val="22"/>
              </w:rPr>
            </w:pPr>
            <w:r w:rsidRPr="00F65A52">
              <w:rPr>
                <w:rFonts w:ascii="Calibri" w:hAnsi="Calibri" w:cs="Calibri"/>
                <w:b/>
                <w:bCs/>
                <w:color w:val="000000"/>
                <w:sz w:val="18"/>
                <w:szCs w:val="22"/>
              </w:rPr>
              <w:t>-3,7</w:t>
            </w:r>
          </w:p>
        </w:tc>
      </w:tr>
      <w:tr w:rsidR="006356F1" w:rsidRPr="00F65A52" w14:paraId="48FD895E" w14:textId="77777777" w:rsidTr="00217400">
        <w:trPr>
          <w:trHeight w:val="300"/>
        </w:trPr>
        <w:tc>
          <w:tcPr>
            <w:tcW w:w="9220" w:type="dxa"/>
            <w:gridSpan w:val="6"/>
            <w:tcBorders>
              <w:top w:val="single" w:sz="4" w:space="0" w:color="auto"/>
              <w:bottom w:val="nil"/>
              <w:right w:val="nil"/>
            </w:tcBorders>
            <w:shd w:val="clear" w:color="auto" w:fill="auto"/>
            <w:noWrap/>
            <w:hideMark/>
          </w:tcPr>
          <w:p w14:paraId="08CD59E0" w14:textId="77777777" w:rsidR="006356F1" w:rsidRPr="00F65A52" w:rsidRDefault="006356F1" w:rsidP="00217400">
            <w:pPr>
              <w:rPr>
                <w:rFonts w:ascii="Calibri" w:hAnsi="Calibri" w:cs="Calibri"/>
                <w:color w:val="000000"/>
                <w:sz w:val="18"/>
                <w:szCs w:val="16"/>
              </w:rPr>
            </w:pPr>
            <w:r w:rsidRPr="00F65A52">
              <w:rPr>
                <w:rFonts w:ascii="Calibri" w:hAnsi="Calibri" w:cs="Calibri"/>
                <w:color w:val="000000"/>
                <w:sz w:val="18"/>
                <w:szCs w:val="16"/>
              </w:rPr>
              <w:t>Fonte: RAIS - Relação Anual de Informações Sociais</w:t>
            </w:r>
          </w:p>
        </w:tc>
      </w:tr>
    </w:tbl>
    <w:p w14:paraId="418BAE52" w14:textId="77777777" w:rsidR="006356F1" w:rsidRPr="00C05E19" w:rsidRDefault="006356F1" w:rsidP="006356F1">
      <w:pPr>
        <w:spacing w:line="360" w:lineRule="auto"/>
        <w:ind w:firstLine="851"/>
        <w:jc w:val="both"/>
        <w:rPr>
          <w:rFonts w:ascii="Arial" w:hAnsi="Arial" w:cs="Arial"/>
          <w:sz w:val="22"/>
          <w:szCs w:val="24"/>
          <w:highlight w:val="yellow"/>
        </w:rPr>
      </w:pPr>
    </w:p>
    <w:p w14:paraId="26AB4B18" w14:textId="77777777" w:rsidR="006356F1" w:rsidRPr="00F65A52" w:rsidRDefault="006356F1" w:rsidP="006356F1">
      <w:pPr>
        <w:ind w:left="2268" w:firstLine="1"/>
        <w:jc w:val="both"/>
        <w:rPr>
          <w:rFonts w:ascii="Arial" w:hAnsi="Arial" w:cs="Arial"/>
          <w:sz w:val="22"/>
          <w:szCs w:val="24"/>
        </w:rPr>
      </w:pPr>
      <w:r w:rsidRPr="00F65A52">
        <w:rPr>
          <w:rFonts w:ascii="Arial" w:hAnsi="Arial" w:cs="Arial"/>
          <w:sz w:val="22"/>
          <w:szCs w:val="24"/>
        </w:rPr>
        <w:t xml:space="preserve">Para os dados gerais (última linha das duas tabelas anteriores) </w:t>
      </w:r>
      <w:r w:rsidRPr="00F65A52">
        <w:rPr>
          <w:rFonts w:ascii="Arial" w:hAnsi="Arial" w:cs="Arial"/>
          <w:b/>
          <w:sz w:val="22"/>
          <w:szCs w:val="24"/>
        </w:rPr>
        <w:t>os empregos totais caem menos que o das empresas, ou seja, o desempenho das empresas não é melhor que o geral</w:t>
      </w:r>
      <w:r w:rsidRPr="00F65A52">
        <w:rPr>
          <w:rFonts w:ascii="Arial" w:hAnsi="Arial" w:cs="Arial"/>
          <w:sz w:val="22"/>
          <w:szCs w:val="24"/>
        </w:rPr>
        <w:t xml:space="preserve">. O das empresas caiu 2,6% de 2014 para 2015 e no geral a queda foi de 0,9%; já de 2015 para 2016 o das empresas caiu 6,7% e no geral a queda foi de 3,7%. Nota-se que até a faixa de 65 empregos as empresas em fruição têm desempenho melhor (aumento dos empregos) que no geral. </w:t>
      </w:r>
      <w:r w:rsidRPr="00F20988">
        <w:rPr>
          <w:rFonts w:ascii="Arial" w:hAnsi="Arial" w:cs="Arial"/>
          <w:b/>
          <w:sz w:val="22"/>
          <w:szCs w:val="24"/>
        </w:rPr>
        <w:t>Já partir de faixa de 66 empregos o desempenho é pior</w:t>
      </w:r>
      <w:r w:rsidRPr="00F65A52">
        <w:rPr>
          <w:rFonts w:ascii="Arial" w:hAnsi="Arial" w:cs="Arial"/>
          <w:sz w:val="22"/>
          <w:szCs w:val="24"/>
        </w:rPr>
        <w:t>. Seria preciso uma série mais longa para confirmar tal comportamento, mas parece que as empresas com quantidade maior de empregos se ajustaram mais fortemente/rapidamente ao período pós-crise de 2014.</w:t>
      </w:r>
    </w:p>
    <w:p w14:paraId="146CA041" w14:textId="77777777" w:rsidR="006356F1" w:rsidRPr="00F65A52" w:rsidRDefault="006356F1" w:rsidP="006356F1">
      <w:pPr>
        <w:ind w:left="2268" w:firstLine="1"/>
        <w:jc w:val="both"/>
        <w:rPr>
          <w:rFonts w:ascii="Arial" w:hAnsi="Arial" w:cs="Arial"/>
          <w:sz w:val="22"/>
          <w:szCs w:val="24"/>
        </w:rPr>
      </w:pPr>
      <w:r w:rsidRPr="00F65A52">
        <w:rPr>
          <w:rFonts w:ascii="Arial" w:hAnsi="Arial" w:cs="Arial"/>
          <w:sz w:val="22"/>
          <w:szCs w:val="24"/>
        </w:rPr>
        <w:t>Nesse ponto surgem as perguntas: 1ª) E esses empregos em relação aos previstos nos projetos?; e 2ª) e os investimentos foram realizados/comprovados? e 3) qual o custo desses empregos?</w:t>
      </w:r>
      <w:r>
        <w:rPr>
          <w:rStyle w:val="Refdenotaderodap"/>
          <w:rFonts w:ascii="Arial" w:hAnsi="Arial" w:cs="Arial"/>
          <w:sz w:val="22"/>
          <w:szCs w:val="24"/>
        </w:rPr>
        <w:footnoteReference w:id="125"/>
      </w:r>
    </w:p>
    <w:p w14:paraId="264C8A7F" w14:textId="77777777" w:rsidR="006356F1" w:rsidRDefault="006356F1" w:rsidP="006356F1">
      <w:pPr>
        <w:spacing w:line="360" w:lineRule="auto"/>
        <w:ind w:firstLine="851"/>
        <w:jc w:val="both"/>
        <w:rPr>
          <w:rFonts w:ascii="Arial" w:hAnsi="Arial" w:cs="Arial"/>
          <w:sz w:val="24"/>
          <w:szCs w:val="24"/>
        </w:rPr>
      </w:pPr>
    </w:p>
    <w:p w14:paraId="6169FC68"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Uma vez verificado que não desempenho melhor de geração de empregos em razão dos programas, a CGE passa à análise das questões levantadas:</w:t>
      </w:r>
    </w:p>
    <w:p w14:paraId="3A050C8E" w14:textId="77777777" w:rsidR="006356F1" w:rsidRDefault="006356F1" w:rsidP="006356F1">
      <w:pPr>
        <w:spacing w:line="360" w:lineRule="auto"/>
        <w:ind w:firstLine="851"/>
        <w:jc w:val="both"/>
        <w:rPr>
          <w:rFonts w:ascii="Arial" w:hAnsi="Arial" w:cs="Arial"/>
          <w:sz w:val="24"/>
          <w:szCs w:val="24"/>
        </w:rPr>
      </w:pPr>
    </w:p>
    <w:p w14:paraId="6EBF7734" w14:textId="77777777" w:rsidR="006356F1" w:rsidRPr="003A5ACA" w:rsidRDefault="006356F1" w:rsidP="006356F1">
      <w:pPr>
        <w:ind w:left="2268" w:firstLine="1"/>
        <w:jc w:val="both"/>
        <w:rPr>
          <w:rFonts w:ascii="Arial" w:hAnsi="Arial" w:cs="Arial"/>
          <w:sz w:val="22"/>
          <w:szCs w:val="24"/>
        </w:rPr>
      </w:pPr>
      <w:r w:rsidRPr="003A5ACA">
        <w:rPr>
          <w:rFonts w:ascii="Arial" w:hAnsi="Arial" w:cs="Arial"/>
          <w:sz w:val="22"/>
          <w:szCs w:val="24"/>
        </w:rPr>
        <w:t xml:space="preserve">Quanto à primeira pergunta o </w:t>
      </w:r>
      <w:r w:rsidRPr="00F20988">
        <w:rPr>
          <w:rFonts w:ascii="Arial" w:hAnsi="Arial" w:cs="Arial"/>
          <w:b/>
          <w:sz w:val="22"/>
          <w:szCs w:val="24"/>
        </w:rPr>
        <w:t>PRODUZIR</w:t>
      </w:r>
      <w:r w:rsidRPr="003A5ACA">
        <w:rPr>
          <w:rFonts w:ascii="Arial" w:hAnsi="Arial" w:cs="Arial"/>
          <w:sz w:val="22"/>
          <w:szCs w:val="24"/>
        </w:rPr>
        <w:t xml:space="preserve"> possui um número de empregos previstos (projetos aprovados) conforme Tabela 10 a seguir. No acumulado tem-se pouco mais de 200 mil empregos previstos. Ou seja, comparando-se com a média de empregos efetivos de 2017, </w:t>
      </w:r>
      <w:r w:rsidRPr="00F20988">
        <w:rPr>
          <w:rFonts w:ascii="Arial" w:hAnsi="Arial" w:cs="Arial"/>
          <w:b/>
          <w:sz w:val="22"/>
          <w:szCs w:val="24"/>
        </w:rPr>
        <w:t>apenas 30% do emprego previsto se efetivou</w:t>
      </w:r>
      <w:r w:rsidRPr="003A5ACA">
        <w:rPr>
          <w:rFonts w:ascii="Arial" w:hAnsi="Arial" w:cs="Arial"/>
          <w:sz w:val="22"/>
          <w:szCs w:val="24"/>
        </w:rPr>
        <w:t xml:space="preserve">, até então (muitos projetos ainda não se efetivaram). Já </w:t>
      </w:r>
      <w:r w:rsidRPr="00F20988">
        <w:rPr>
          <w:rFonts w:ascii="Arial" w:hAnsi="Arial" w:cs="Arial"/>
          <w:sz w:val="22"/>
          <w:szCs w:val="24"/>
        </w:rPr>
        <w:t>em relação ao FOMENTAR, as empresas alcançaram o número de empregos projetados</w:t>
      </w:r>
      <w:r w:rsidRPr="003A5ACA">
        <w:rPr>
          <w:rFonts w:ascii="Arial" w:hAnsi="Arial" w:cs="Arial"/>
          <w:sz w:val="22"/>
          <w:szCs w:val="24"/>
        </w:rPr>
        <w:t xml:space="preserve"> (Tabela 11, a seguir). O FOMENTAR tinha pouco mais de 20 mil empregos previstos e em 2006 possuíam 36.262 efetivamente declarados (Tabela 5). Como o FOMENTAR tem empresas que aderiram ao programa desde o final dos anos 1980, o tempo é um aliado no cumprimento das metas de empregos (Obs.: muitas empresas que estavam no programa FOMENTAR migraram para o PRODUZIR no início dos anos 2000).</w:t>
      </w:r>
    </w:p>
    <w:p w14:paraId="424CFB01" w14:textId="77777777" w:rsidR="006356F1" w:rsidRPr="00C05E19" w:rsidRDefault="006356F1" w:rsidP="006356F1">
      <w:pPr>
        <w:spacing w:line="360" w:lineRule="auto"/>
        <w:ind w:firstLine="851"/>
        <w:jc w:val="both"/>
        <w:rPr>
          <w:rFonts w:ascii="Arial" w:hAnsi="Arial" w:cs="Arial"/>
          <w:sz w:val="22"/>
          <w:szCs w:val="24"/>
        </w:rPr>
      </w:pPr>
    </w:p>
    <w:tbl>
      <w:tblPr>
        <w:tblW w:w="9072" w:type="dxa"/>
        <w:tblInd w:w="284" w:type="dxa"/>
        <w:tblCellMar>
          <w:left w:w="70" w:type="dxa"/>
          <w:right w:w="70" w:type="dxa"/>
        </w:tblCellMar>
        <w:tblLook w:val="04A0" w:firstRow="1" w:lastRow="0" w:firstColumn="1" w:lastColumn="0" w:noHBand="0" w:noVBand="1"/>
      </w:tblPr>
      <w:tblGrid>
        <w:gridCol w:w="1134"/>
        <w:gridCol w:w="992"/>
        <w:gridCol w:w="1134"/>
        <w:gridCol w:w="1843"/>
        <w:gridCol w:w="1559"/>
        <w:gridCol w:w="1276"/>
        <w:gridCol w:w="1134"/>
      </w:tblGrid>
      <w:tr w:rsidR="006356F1" w:rsidRPr="003A5ACA" w14:paraId="0503B5C6" w14:textId="77777777" w:rsidTr="00217400">
        <w:trPr>
          <w:trHeight w:val="300"/>
        </w:trPr>
        <w:tc>
          <w:tcPr>
            <w:tcW w:w="9072" w:type="dxa"/>
            <w:gridSpan w:val="7"/>
            <w:tcBorders>
              <w:top w:val="nil"/>
              <w:left w:val="nil"/>
              <w:bottom w:val="nil"/>
              <w:right w:val="nil"/>
            </w:tcBorders>
            <w:shd w:val="clear" w:color="auto" w:fill="auto"/>
            <w:noWrap/>
            <w:vAlign w:val="bottom"/>
            <w:hideMark/>
          </w:tcPr>
          <w:p w14:paraId="1E462B9C" w14:textId="77777777" w:rsidR="006356F1" w:rsidRPr="00932D00" w:rsidRDefault="006356F1" w:rsidP="00217400">
            <w:pPr>
              <w:rPr>
                <w:rFonts w:ascii="Calibri" w:hAnsi="Calibri" w:cs="Calibri"/>
                <w:bCs/>
                <w:color w:val="000000"/>
                <w:sz w:val="16"/>
                <w:szCs w:val="22"/>
              </w:rPr>
            </w:pPr>
            <w:r w:rsidRPr="00932D00">
              <w:rPr>
                <w:rFonts w:ascii="Calibri" w:hAnsi="Calibri" w:cs="Calibri"/>
                <w:bCs/>
                <w:color w:val="000000"/>
                <w:sz w:val="16"/>
                <w:szCs w:val="22"/>
              </w:rPr>
              <w:lastRenderedPageBreak/>
              <w:t>Tabela 10 – Informações de projetos aprovados no PRODUZIR (*)</w:t>
            </w:r>
          </w:p>
        </w:tc>
      </w:tr>
      <w:tr w:rsidR="006356F1" w:rsidRPr="003A5ACA" w14:paraId="7210C19D" w14:textId="77777777" w:rsidTr="00217400">
        <w:trPr>
          <w:trHeight w:val="75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125F2" w14:textId="77777777" w:rsidR="006356F1" w:rsidRPr="003A5ACA" w:rsidRDefault="006356F1" w:rsidP="00217400">
            <w:pPr>
              <w:jc w:val="center"/>
              <w:rPr>
                <w:rFonts w:ascii="Calibri" w:hAnsi="Calibri" w:cs="Calibri"/>
                <w:b/>
                <w:bCs/>
                <w:color w:val="000000"/>
                <w:sz w:val="16"/>
                <w:szCs w:val="22"/>
              </w:rPr>
            </w:pPr>
            <w:r w:rsidRPr="003A5ACA">
              <w:rPr>
                <w:rFonts w:ascii="Calibri" w:hAnsi="Calibri" w:cs="Calibri"/>
                <w:b/>
                <w:bCs/>
                <w:color w:val="000000"/>
                <w:sz w:val="16"/>
                <w:szCs w:val="22"/>
              </w:rPr>
              <w:t>Ano</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BF9BDE1" w14:textId="77777777" w:rsidR="006356F1" w:rsidRPr="003A5ACA" w:rsidRDefault="006356F1" w:rsidP="00217400">
            <w:pPr>
              <w:jc w:val="center"/>
              <w:rPr>
                <w:rFonts w:ascii="Calibri" w:hAnsi="Calibri" w:cs="Calibri"/>
                <w:b/>
                <w:bCs/>
                <w:color w:val="000000"/>
                <w:sz w:val="16"/>
                <w:szCs w:val="22"/>
              </w:rPr>
            </w:pPr>
            <w:r w:rsidRPr="003A5ACA">
              <w:rPr>
                <w:rFonts w:ascii="Calibri" w:hAnsi="Calibri" w:cs="Calibri"/>
                <w:b/>
                <w:bCs/>
                <w:color w:val="000000"/>
                <w:sz w:val="16"/>
                <w:szCs w:val="22"/>
              </w:rPr>
              <w:t>Projetos Aprovados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6F66271" w14:textId="77777777" w:rsidR="006356F1" w:rsidRPr="003A5ACA" w:rsidRDefault="006356F1" w:rsidP="00217400">
            <w:pPr>
              <w:jc w:val="center"/>
              <w:rPr>
                <w:rFonts w:ascii="Calibri" w:hAnsi="Calibri" w:cs="Calibri"/>
                <w:b/>
                <w:bCs/>
                <w:color w:val="000000"/>
                <w:sz w:val="16"/>
                <w:szCs w:val="22"/>
              </w:rPr>
            </w:pPr>
            <w:r w:rsidRPr="003A5ACA">
              <w:rPr>
                <w:rFonts w:ascii="Calibri" w:hAnsi="Calibri" w:cs="Calibri"/>
                <w:b/>
                <w:bCs/>
                <w:color w:val="000000"/>
                <w:sz w:val="16"/>
                <w:szCs w:val="22"/>
              </w:rPr>
              <w:t>Empregos Diretos Esperados (A)</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52B4CB7" w14:textId="77777777" w:rsidR="006356F1" w:rsidRPr="003A5ACA" w:rsidRDefault="006356F1" w:rsidP="00217400">
            <w:pPr>
              <w:jc w:val="center"/>
              <w:rPr>
                <w:rFonts w:ascii="Calibri" w:hAnsi="Calibri" w:cs="Calibri"/>
                <w:b/>
                <w:bCs/>
                <w:color w:val="000000"/>
                <w:sz w:val="16"/>
                <w:szCs w:val="22"/>
              </w:rPr>
            </w:pPr>
            <w:r w:rsidRPr="003A5ACA">
              <w:rPr>
                <w:rFonts w:ascii="Calibri" w:hAnsi="Calibri" w:cs="Calibri"/>
                <w:b/>
                <w:bCs/>
                <w:color w:val="000000"/>
                <w:sz w:val="16"/>
                <w:szCs w:val="22"/>
              </w:rPr>
              <w:t>Investimento Fixo Previsto (R$) (B)</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92ABCC9" w14:textId="77777777" w:rsidR="006356F1" w:rsidRPr="003A5ACA" w:rsidRDefault="006356F1" w:rsidP="00217400">
            <w:pPr>
              <w:jc w:val="center"/>
              <w:rPr>
                <w:rFonts w:ascii="Calibri" w:hAnsi="Calibri" w:cs="Calibri"/>
                <w:b/>
                <w:bCs/>
                <w:color w:val="000000"/>
                <w:sz w:val="16"/>
                <w:szCs w:val="22"/>
              </w:rPr>
            </w:pPr>
            <w:r w:rsidRPr="003A5ACA">
              <w:rPr>
                <w:rFonts w:ascii="Calibri" w:hAnsi="Calibri" w:cs="Calibri"/>
                <w:b/>
                <w:bCs/>
                <w:color w:val="000000"/>
                <w:sz w:val="16"/>
                <w:szCs w:val="22"/>
              </w:rPr>
              <w:t>Benefício a ser Concedido (R$) C</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7991641" w14:textId="77777777" w:rsidR="006356F1" w:rsidRPr="003A5ACA" w:rsidRDefault="006356F1" w:rsidP="00217400">
            <w:pPr>
              <w:jc w:val="center"/>
              <w:rPr>
                <w:rFonts w:ascii="Calibri" w:hAnsi="Calibri" w:cs="Calibri"/>
                <w:b/>
                <w:bCs/>
                <w:color w:val="000000"/>
                <w:sz w:val="16"/>
                <w:szCs w:val="22"/>
              </w:rPr>
            </w:pPr>
            <w:r w:rsidRPr="003A5ACA">
              <w:rPr>
                <w:rFonts w:ascii="Calibri" w:hAnsi="Calibri" w:cs="Calibri"/>
                <w:b/>
                <w:bCs/>
                <w:color w:val="000000"/>
                <w:sz w:val="16"/>
                <w:szCs w:val="22"/>
              </w:rPr>
              <w:t>(B) / (A)</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6F78E09" w14:textId="77777777" w:rsidR="006356F1" w:rsidRPr="003A5ACA" w:rsidRDefault="006356F1" w:rsidP="00217400">
            <w:pPr>
              <w:jc w:val="center"/>
              <w:rPr>
                <w:rFonts w:ascii="Calibri" w:hAnsi="Calibri" w:cs="Calibri"/>
                <w:b/>
                <w:bCs/>
                <w:color w:val="000000"/>
                <w:sz w:val="16"/>
                <w:szCs w:val="22"/>
              </w:rPr>
            </w:pPr>
            <w:r w:rsidRPr="003A5ACA">
              <w:rPr>
                <w:rFonts w:ascii="Calibri" w:hAnsi="Calibri" w:cs="Calibri"/>
                <w:b/>
                <w:bCs/>
                <w:color w:val="000000"/>
                <w:sz w:val="16"/>
                <w:szCs w:val="22"/>
              </w:rPr>
              <w:t>(C) / (A)</w:t>
            </w:r>
          </w:p>
        </w:tc>
      </w:tr>
      <w:tr w:rsidR="006356F1" w:rsidRPr="003A5ACA" w14:paraId="27D17906"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7E095C8"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4DDEC2F1"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75E9749C" w14:textId="77777777" w:rsidR="006356F1" w:rsidRDefault="006356F1" w:rsidP="00217400">
            <w:pPr>
              <w:jc w:val="center"/>
              <w:rPr>
                <w:rFonts w:ascii="Calibri" w:hAnsi="Calibri" w:cs="Calibri"/>
                <w:color w:val="000000"/>
                <w:sz w:val="16"/>
                <w:szCs w:val="22"/>
              </w:rPr>
            </w:pPr>
          </w:p>
          <w:p w14:paraId="182B7571"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478</w:t>
            </w:r>
          </w:p>
        </w:tc>
        <w:tc>
          <w:tcPr>
            <w:tcW w:w="1843" w:type="dxa"/>
            <w:tcBorders>
              <w:top w:val="nil"/>
              <w:left w:val="nil"/>
              <w:bottom w:val="single" w:sz="4" w:space="0" w:color="auto"/>
              <w:right w:val="single" w:sz="4" w:space="0" w:color="auto"/>
            </w:tcBorders>
            <w:shd w:val="clear" w:color="auto" w:fill="auto"/>
            <w:noWrap/>
            <w:vAlign w:val="bottom"/>
            <w:hideMark/>
          </w:tcPr>
          <w:p w14:paraId="564531C3"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177.182.921,80</w:t>
            </w:r>
          </w:p>
        </w:tc>
        <w:tc>
          <w:tcPr>
            <w:tcW w:w="1559" w:type="dxa"/>
            <w:tcBorders>
              <w:top w:val="nil"/>
              <w:left w:val="nil"/>
              <w:bottom w:val="single" w:sz="4" w:space="0" w:color="auto"/>
              <w:right w:val="single" w:sz="4" w:space="0" w:color="auto"/>
            </w:tcBorders>
            <w:shd w:val="clear" w:color="auto" w:fill="auto"/>
            <w:noWrap/>
            <w:vAlign w:val="bottom"/>
            <w:hideMark/>
          </w:tcPr>
          <w:p w14:paraId="3792EB25"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8.049.741.502,30</w:t>
            </w:r>
          </w:p>
        </w:tc>
        <w:tc>
          <w:tcPr>
            <w:tcW w:w="1276" w:type="dxa"/>
            <w:tcBorders>
              <w:top w:val="nil"/>
              <w:left w:val="nil"/>
              <w:bottom w:val="single" w:sz="4" w:space="0" w:color="auto"/>
              <w:right w:val="single" w:sz="4" w:space="0" w:color="auto"/>
            </w:tcBorders>
            <w:shd w:val="clear" w:color="auto" w:fill="auto"/>
            <w:noWrap/>
            <w:vAlign w:val="bottom"/>
            <w:hideMark/>
          </w:tcPr>
          <w:p w14:paraId="1A53B419"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370.675,60</w:t>
            </w:r>
          </w:p>
        </w:tc>
        <w:tc>
          <w:tcPr>
            <w:tcW w:w="1134" w:type="dxa"/>
            <w:tcBorders>
              <w:top w:val="nil"/>
              <w:left w:val="nil"/>
              <w:bottom w:val="single" w:sz="4" w:space="0" w:color="auto"/>
              <w:right w:val="single" w:sz="4" w:space="0" w:color="auto"/>
            </w:tcBorders>
            <w:shd w:val="clear" w:color="auto" w:fill="auto"/>
            <w:noWrap/>
            <w:vAlign w:val="bottom"/>
            <w:hideMark/>
          </w:tcPr>
          <w:p w14:paraId="1830EBC4"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16.840.463,40</w:t>
            </w:r>
          </w:p>
        </w:tc>
      </w:tr>
      <w:tr w:rsidR="006356F1" w:rsidRPr="003A5ACA" w14:paraId="18006D3B"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A1CA536"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2001</w:t>
            </w:r>
          </w:p>
        </w:tc>
        <w:tc>
          <w:tcPr>
            <w:tcW w:w="992" w:type="dxa"/>
            <w:tcBorders>
              <w:top w:val="nil"/>
              <w:left w:val="nil"/>
              <w:bottom w:val="single" w:sz="4" w:space="0" w:color="auto"/>
              <w:right w:val="single" w:sz="4" w:space="0" w:color="auto"/>
            </w:tcBorders>
            <w:shd w:val="clear" w:color="auto" w:fill="auto"/>
            <w:noWrap/>
            <w:vAlign w:val="bottom"/>
            <w:hideMark/>
          </w:tcPr>
          <w:p w14:paraId="27FACDC7"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59</w:t>
            </w:r>
          </w:p>
        </w:tc>
        <w:tc>
          <w:tcPr>
            <w:tcW w:w="1134" w:type="dxa"/>
            <w:tcBorders>
              <w:top w:val="nil"/>
              <w:left w:val="nil"/>
              <w:bottom w:val="single" w:sz="4" w:space="0" w:color="auto"/>
              <w:right w:val="single" w:sz="4" w:space="0" w:color="auto"/>
            </w:tcBorders>
            <w:shd w:val="clear" w:color="auto" w:fill="auto"/>
            <w:noWrap/>
            <w:vAlign w:val="center"/>
            <w:hideMark/>
          </w:tcPr>
          <w:p w14:paraId="5BB517DE" w14:textId="77777777" w:rsidR="006356F1" w:rsidRDefault="006356F1" w:rsidP="00217400">
            <w:pPr>
              <w:jc w:val="center"/>
              <w:rPr>
                <w:rFonts w:ascii="Calibri" w:hAnsi="Calibri" w:cs="Calibri"/>
                <w:color w:val="000000"/>
                <w:sz w:val="16"/>
                <w:szCs w:val="22"/>
              </w:rPr>
            </w:pPr>
          </w:p>
          <w:p w14:paraId="4D6191EA"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4.201</w:t>
            </w:r>
          </w:p>
        </w:tc>
        <w:tc>
          <w:tcPr>
            <w:tcW w:w="1843" w:type="dxa"/>
            <w:tcBorders>
              <w:top w:val="nil"/>
              <w:left w:val="nil"/>
              <w:bottom w:val="single" w:sz="4" w:space="0" w:color="auto"/>
              <w:right w:val="single" w:sz="4" w:space="0" w:color="auto"/>
            </w:tcBorders>
            <w:shd w:val="clear" w:color="auto" w:fill="auto"/>
            <w:noWrap/>
            <w:vAlign w:val="bottom"/>
            <w:hideMark/>
          </w:tcPr>
          <w:p w14:paraId="332797EC"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1.665.393.609,40</w:t>
            </w:r>
          </w:p>
        </w:tc>
        <w:tc>
          <w:tcPr>
            <w:tcW w:w="1559" w:type="dxa"/>
            <w:tcBorders>
              <w:top w:val="nil"/>
              <w:left w:val="nil"/>
              <w:bottom w:val="single" w:sz="4" w:space="0" w:color="auto"/>
              <w:right w:val="single" w:sz="4" w:space="0" w:color="auto"/>
            </w:tcBorders>
            <w:shd w:val="clear" w:color="auto" w:fill="auto"/>
            <w:noWrap/>
            <w:vAlign w:val="bottom"/>
            <w:hideMark/>
          </w:tcPr>
          <w:p w14:paraId="10FC1161"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7.231.065.921,70</w:t>
            </w:r>
          </w:p>
        </w:tc>
        <w:tc>
          <w:tcPr>
            <w:tcW w:w="1276" w:type="dxa"/>
            <w:tcBorders>
              <w:top w:val="nil"/>
              <w:left w:val="nil"/>
              <w:bottom w:val="single" w:sz="4" w:space="0" w:color="auto"/>
              <w:right w:val="single" w:sz="4" w:space="0" w:color="auto"/>
            </w:tcBorders>
            <w:shd w:val="clear" w:color="auto" w:fill="auto"/>
            <w:noWrap/>
            <w:vAlign w:val="bottom"/>
            <w:hideMark/>
          </w:tcPr>
          <w:p w14:paraId="31336525"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396.427,90</w:t>
            </w:r>
          </w:p>
        </w:tc>
        <w:tc>
          <w:tcPr>
            <w:tcW w:w="1134" w:type="dxa"/>
            <w:tcBorders>
              <w:top w:val="nil"/>
              <w:left w:val="nil"/>
              <w:bottom w:val="single" w:sz="4" w:space="0" w:color="auto"/>
              <w:right w:val="single" w:sz="4" w:space="0" w:color="auto"/>
            </w:tcBorders>
            <w:shd w:val="clear" w:color="auto" w:fill="auto"/>
            <w:noWrap/>
            <w:vAlign w:val="bottom"/>
            <w:hideMark/>
          </w:tcPr>
          <w:p w14:paraId="1BBC0B0B"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1.721.272,50</w:t>
            </w:r>
          </w:p>
        </w:tc>
      </w:tr>
      <w:tr w:rsidR="006356F1" w:rsidRPr="003A5ACA" w14:paraId="00989F73"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36B27CE"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2002</w:t>
            </w:r>
          </w:p>
        </w:tc>
        <w:tc>
          <w:tcPr>
            <w:tcW w:w="992" w:type="dxa"/>
            <w:tcBorders>
              <w:top w:val="nil"/>
              <w:left w:val="nil"/>
              <w:bottom w:val="single" w:sz="4" w:space="0" w:color="auto"/>
              <w:right w:val="single" w:sz="4" w:space="0" w:color="auto"/>
            </w:tcBorders>
            <w:shd w:val="clear" w:color="auto" w:fill="auto"/>
            <w:noWrap/>
            <w:vAlign w:val="bottom"/>
            <w:hideMark/>
          </w:tcPr>
          <w:p w14:paraId="20E2EC98"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83</w:t>
            </w:r>
          </w:p>
        </w:tc>
        <w:tc>
          <w:tcPr>
            <w:tcW w:w="1134" w:type="dxa"/>
            <w:tcBorders>
              <w:top w:val="nil"/>
              <w:left w:val="nil"/>
              <w:bottom w:val="single" w:sz="4" w:space="0" w:color="auto"/>
              <w:right w:val="single" w:sz="4" w:space="0" w:color="auto"/>
            </w:tcBorders>
            <w:shd w:val="clear" w:color="auto" w:fill="auto"/>
            <w:noWrap/>
            <w:vAlign w:val="center"/>
            <w:hideMark/>
          </w:tcPr>
          <w:p w14:paraId="3C9B4621" w14:textId="77777777" w:rsidR="006356F1" w:rsidRDefault="006356F1" w:rsidP="00217400">
            <w:pPr>
              <w:jc w:val="center"/>
              <w:rPr>
                <w:rFonts w:ascii="Calibri" w:hAnsi="Calibri" w:cs="Calibri"/>
                <w:color w:val="000000"/>
                <w:sz w:val="16"/>
                <w:szCs w:val="22"/>
              </w:rPr>
            </w:pPr>
          </w:p>
          <w:p w14:paraId="2BDE41B2"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5.283</w:t>
            </w:r>
          </w:p>
        </w:tc>
        <w:tc>
          <w:tcPr>
            <w:tcW w:w="1843" w:type="dxa"/>
            <w:tcBorders>
              <w:top w:val="nil"/>
              <w:left w:val="nil"/>
              <w:bottom w:val="single" w:sz="4" w:space="0" w:color="auto"/>
              <w:right w:val="single" w:sz="4" w:space="0" w:color="auto"/>
            </w:tcBorders>
            <w:shd w:val="clear" w:color="auto" w:fill="auto"/>
            <w:noWrap/>
            <w:vAlign w:val="bottom"/>
            <w:hideMark/>
          </w:tcPr>
          <w:p w14:paraId="088B1E1D"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1.611.197.635,10</w:t>
            </w:r>
          </w:p>
        </w:tc>
        <w:tc>
          <w:tcPr>
            <w:tcW w:w="1559" w:type="dxa"/>
            <w:tcBorders>
              <w:top w:val="nil"/>
              <w:left w:val="nil"/>
              <w:bottom w:val="single" w:sz="4" w:space="0" w:color="auto"/>
              <w:right w:val="single" w:sz="4" w:space="0" w:color="auto"/>
            </w:tcBorders>
            <w:shd w:val="clear" w:color="auto" w:fill="auto"/>
            <w:noWrap/>
            <w:vAlign w:val="bottom"/>
            <w:hideMark/>
          </w:tcPr>
          <w:p w14:paraId="5C0EE6D8"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10.404.973.541,80</w:t>
            </w:r>
          </w:p>
        </w:tc>
        <w:tc>
          <w:tcPr>
            <w:tcW w:w="1276" w:type="dxa"/>
            <w:tcBorders>
              <w:top w:val="nil"/>
              <w:left w:val="nil"/>
              <w:bottom w:val="single" w:sz="4" w:space="0" w:color="auto"/>
              <w:right w:val="single" w:sz="4" w:space="0" w:color="auto"/>
            </w:tcBorders>
            <w:shd w:val="clear" w:color="auto" w:fill="auto"/>
            <w:noWrap/>
            <w:vAlign w:val="bottom"/>
            <w:hideMark/>
          </w:tcPr>
          <w:p w14:paraId="42BAE208"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304.977,80</w:t>
            </w:r>
          </w:p>
        </w:tc>
        <w:tc>
          <w:tcPr>
            <w:tcW w:w="1134" w:type="dxa"/>
            <w:tcBorders>
              <w:top w:val="nil"/>
              <w:left w:val="nil"/>
              <w:bottom w:val="single" w:sz="4" w:space="0" w:color="auto"/>
              <w:right w:val="single" w:sz="4" w:space="0" w:color="auto"/>
            </w:tcBorders>
            <w:shd w:val="clear" w:color="auto" w:fill="auto"/>
            <w:noWrap/>
            <w:vAlign w:val="bottom"/>
            <w:hideMark/>
          </w:tcPr>
          <w:p w14:paraId="167E2686"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1.969.519,90</w:t>
            </w:r>
          </w:p>
        </w:tc>
      </w:tr>
      <w:tr w:rsidR="006356F1" w:rsidRPr="003A5ACA" w14:paraId="6F86C919"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A29BE2A"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2003</w:t>
            </w:r>
          </w:p>
        </w:tc>
        <w:tc>
          <w:tcPr>
            <w:tcW w:w="992" w:type="dxa"/>
            <w:tcBorders>
              <w:top w:val="nil"/>
              <w:left w:val="nil"/>
              <w:bottom w:val="single" w:sz="4" w:space="0" w:color="auto"/>
              <w:right w:val="single" w:sz="4" w:space="0" w:color="auto"/>
            </w:tcBorders>
            <w:shd w:val="clear" w:color="auto" w:fill="auto"/>
            <w:noWrap/>
            <w:vAlign w:val="bottom"/>
            <w:hideMark/>
          </w:tcPr>
          <w:p w14:paraId="2E7144BA"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297</w:t>
            </w:r>
          </w:p>
        </w:tc>
        <w:tc>
          <w:tcPr>
            <w:tcW w:w="1134" w:type="dxa"/>
            <w:tcBorders>
              <w:top w:val="nil"/>
              <w:left w:val="nil"/>
              <w:bottom w:val="single" w:sz="4" w:space="0" w:color="auto"/>
              <w:right w:val="single" w:sz="4" w:space="0" w:color="auto"/>
            </w:tcBorders>
            <w:shd w:val="clear" w:color="auto" w:fill="auto"/>
            <w:noWrap/>
            <w:vAlign w:val="center"/>
            <w:hideMark/>
          </w:tcPr>
          <w:p w14:paraId="4A664F23" w14:textId="77777777" w:rsidR="006356F1" w:rsidRDefault="006356F1" w:rsidP="00217400">
            <w:pPr>
              <w:jc w:val="center"/>
              <w:rPr>
                <w:rFonts w:ascii="Calibri" w:hAnsi="Calibri" w:cs="Calibri"/>
                <w:color w:val="000000"/>
                <w:sz w:val="16"/>
                <w:szCs w:val="22"/>
              </w:rPr>
            </w:pPr>
          </w:p>
          <w:p w14:paraId="51F6DB10"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36.024</w:t>
            </w:r>
          </w:p>
        </w:tc>
        <w:tc>
          <w:tcPr>
            <w:tcW w:w="1843" w:type="dxa"/>
            <w:tcBorders>
              <w:top w:val="nil"/>
              <w:left w:val="nil"/>
              <w:bottom w:val="single" w:sz="4" w:space="0" w:color="auto"/>
              <w:right w:val="single" w:sz="4" w:space="0" w:color="auto"/>
            </w:tcBorders>
            <w:shd w:val="clear" w:color="auto" w:fill="auto"/>
            <w:noWrap/>
            <w:vAlign w:val="bottom"/>
            <w:hideMark/>
          </w:tcPr>
          <w:p w14:paraId="063EDD7E"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13.278.040.759,40</w:t>
            </w:r>
          </w:p>
        </w:tc>
        <w:tc>
          <w:tcPr>
            <w:tcW w:w="1559" w:type="dxa"/>
            <w:tcBorders>
              <w:top w:val="nil"/>
              <w:left w:val="nil"/>
              <w:bottom w:val="single" w:sz="4" w:space="0" w:color="auto"/>
              <w:right w:val="single" w:sz="4" w:space="0" w:color="auto"/>
            </w:tcBorders>
            <w:shd w:val="clear" w:color="auto" w:fill="auto"/>
            <w:vAlign w:val="bottom"/>
            <w:hideMark/>
          </w:tcPr>
          <w:p w14:paraId="34C3D4BC"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42.560.434.795,30</w:t>
            </w:r>
          </w:p>
        </w:tc>
        <w:tc>
          <w:tcPr>
            <w:tcW w:w="1276" w:type="dxa"/>
            <w:tcBorders>
              <w:top w:val="nil"/>
              <w:left w:val="nil"/>
              <w:bottom w:val="single" w:sz="4" w:space="0" w:color="auto"/>
              <w:right w:val="single" w:sz="4" w:space="0" w:color="auto"/>
            </w:tcBorders>
            <w:shd w:val="clear" w:color="auto" w:fill="auto"/>
            <w:noWrap/>
            <w:vAlign w:val="bottom"/>
            <w:hideMark/>
          </w:tcPr>
          <w:p w14:paraId="57C4FF58"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368.588,70</w:t>
            </w:r>
          </w:p>
        </w:tc>
        <w:tc>
          <w:tcPr>
            <w:tcW w:w="1134" w:type="dxa"/>
            <w:tcBorders>
              <w:top w:val="nil"/>
              <w:left w:val="nil"/>
              <w:bottom w:val="single" w:sz="4" w:space="0" w:color="auto"/>
              <w:right w:val="single" w:sz="4" w:space="0" w:color="auto"/>
            </w:tcBorders>
            <w:shd w:val="clear" w:color="auto" w:fill="auto"/>
            <w:noWrap/>
            <w:vAlign w:val="bottom"/>
            <w:hideMark/>
          </w:tcPr>
          <w:p w14:paraId="3B84C503"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1.181.446,70</w:t>
            </w:r>
          </w:p>
        </w:tc>
      </w:tr>
      <w:tr w:rsidR="006356F1" w:rsidRPr="003A5ACA" w14:paraId="50947B89"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0DDA916"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2004</w:t>
            </w:r>
          </w:p>
        </w:tc>
        <w:tc>
          <w:tcPr>
            <w:tcW w:w="992" w:type="dxa"/>
            <w:tcBorders>
              <w:top w:val="nil"/>
              <w:left w:val="nil"/>
              <w:bottom w:val="single" w:sz="4" w:space="0" w:color="auto"/>
              <w:right w:val="single" w:sz="4" w:space="0" w:color="auto"/>
            </w:tcBorders>
            <w:shd w:val="clear" w:color="auto" w:fill="auto"/>
            <w:noWrap/>
            <w:vAlign w:val="bottom"/>
            <w:hideMark/>
          </w:tcPr>
          <w:p w14:paraId="72AC8522"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217</w:t>
            </w:r>
          </w:p>
        </w:tc>
        <w:tc>
          <w:tcPr>
            <w:tcW w:w="1134" w:type="dxa"/>
            <w:tcBorders>
              <w:top w:val="nil"/>
              <w:left w:val="nil"/>
              <w:bottom w:val="single" w:sz="4" w:space="0" w:color="auto"/>
              <w:right w:val="single" w:sz="4" w:space="0" w:color="auto"/>
            </w:tcBorders>
            <w:shd w:val="clear" w:color="auto" w:fill="auto"/>
            <w:noWrap/>
            <w:vAlign w:val="center"/>
            <w:hideMark/>
          </w:tcPr>
          <w:p w14:paraId="5F7C68E1" w14:textId="77777777" w:rsidR="006356F1" w:rsidRDefault="006356F1" w:rsidP="00217400">
            <w:pPr>
              <w:jc w:val="center"/>
              <w:rPr>
                <w:rFonts w:ascii="Calibri" w:hAnsi="Calibri" w:cs="Calibri"/>
                <w:color w:val="000000"/>
                <w:sz w:val="16"/>
                <w:szCs w:val="22"/>
              </w:rPr>
            </w:pPr>
          </w:p>
          <w:p w14:paraId="42D05F92"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14.625</w:t>
            </w:r>
          </w:p>
        </w:tc>
        <w:tc>
          <w:tcPr>
            <w:tcW w:w="1843" w:type="dxa"/>
            <w:tcBorders>
              <w:top w:val="nil"/>
              <w:left w:val="nil"/>
              <w:bottom w:val="single" w:sz="4" w:space="0" w:color="auto"/>
              <w:right w:val="single" w:sz="4" w:space="0" w:color="auto"/>
            </w:tcBorders>
            <w:shd w:val="clear" w:color="auto" w:fill="auto"/>
            <w:noWrap/>
            <w:vAlign w:val="bottom"/>
            <w:hideMark/>
          </w:tcPr>
          <w:p w14:paraId="4EEF4A17"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3.668.602.733,20</w:t>
            </w:r>
          </w:p>
        </w:tc>
        <w:tc>
          <w:tcPr>
            <w:tcW w:w="1559" w:type="dxa"/>
            <w:tcBorders>
              <w:top w:val="nil"/>
              <w:left w:val="nil"/>
              <w:bottom w:val="single" w:sz="4" w:space="0" w:color="auto"/>
              <w:right w:val="single" w:sz="4" w:space="0" w:color="auto"/>
            </w:tcBorders>
            <w:shd w:val="clear" w:color="auto" w:fill="auto"/>
            <w:noWrap/>
            <w:vAlign w:val="bottom"/>
            <w:hideMark/>
          </w:tcPr>
          <w:p w14:paraId="4CFA3D54"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28.313.037.931,20</w:t>
            </w:r>
          </w:p>
        </w:tc>
        <w:tc>
          <w:tcPr>
            <w:tcW w:w="1276" w:type="dxa"/>
            <w:tcBorders>
              <w:top w:val="nil"/>
              <w:left w:val="nil"/>
              <w:bottom w:val="single" w:sz="4" w:space="0" w:color="auto"/>
              <w:right w:val="single" w:sz="4" w:space="0" w:color="auto"/>
            </w:tcBorders>
            <w:shd w:val="clear" w:color="auto" w:fill="auto"/>
            <w:noWrap/>
            <w:vAlign w:val="bottom"/>
            <w:hideMark/>
          </w:tcPr>
          <w:p w14:paraId="370FABB7"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250.844,60</w:t>
            </w:r>
          </w:p>
        </w:tc>
        <w:tc>
          <w:tcPr>
            <w:tcW w:w="1134" w:type="dxa"/>
            <w:tcBorders>
              <w:top w:val="nil"/>
              <w:left w:val="nil"/>
              <w:bottom w:val="single" w:sz="4" w:space="0" w:color="auto"/>
              <w:right w:val="single" w:sz="4" w:space="0" w:color="auto"/>
            </w:tcBorders>
            <w:shd w:val="clear" w:color="auto" w:fill="auto"/>
            <w:noWrap/>
            <w:vAlign w:val="bottom"/>
            <w:hideMark/>
          </w:tcPr>
          <w:p w14:paraId="6F3B4A0B"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1.935.934,20</w:t>
            </w:r>
          </w:p>
        </w:tc>
      </w:tr>
      <w:tr w:rsidR="006356F1" w:rsidRPr="003A5ACA" w14:paraId="0DC04D03"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B541434"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2005</w:t>
            </w:r>
          </w:p>
        </w:tc>
        <w:tc>
          <w:tcPr>
            <w:tcW w:w="992" w:type="dxa"/>
            <w:tcBorders>
              <w:top w:val="nil"/>
              <w:left w:val="nil"/>
              <w:bottom w:val="single" w:sz="4" w:space="0" w:color="auto"/>
              <w:right w:val="single" w:sz="4" w:space="0" w:color="auto"/>
            </w:tcBorders>
            <w:shd w:val="clear" w:color="auto" w:fill="auto"/>
            <w:noWrap/>
            <w:vAlign w:val="bottom"/>
            <w:hideMark/>
          </w:tcPr>
          <w:p w14:paraId="1397FC24"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175</w:t>
            </w:r>
          </w:p>
        </w:tc>
        <w:tc>
          <w:tcPr>
            <w:tcW w:w="1134" w:type="dxa"/>
            <w:tcBorders>
              <w:top w:val="nil"/>
              <w:left w:val="nil"/>
              <w:bottom w:val="single" w:sz="4" w:space="0" w:color="auto"/>
              <w:right w:val="single" w:sz="4" w:space="0" w:color="auto"/>
            </w:tcBorders>
            <w:shd w:val="clear" w:color="auto" w:fill="auto"/>
            <w:noWrap/>
            <w:vAlign w:val="center"/>
            <w:hideMark/>
          </w:tcPr>
          <w:p w14:paraId="48B09E42" w14:textId="77777777" w:rsidR="006356F1" w:rsidRDefault="006356F1" w:rsidP="00217400">
            <w:pPr>
              <w:jc w:val="center"/>
              <w:rPr>
                <w:rFonts w:ascii="Calibri" w:hAnsi="Calibri" w:cs="Calibri"/>
                <w:color w:val="000000"/>
                <w:sz w:val="16"/>
                <w:szCs w:val="22"/>
              </w:rPr>
            </w:pPr>
          </w:p>
          <w:p w14:paraId="3AB4381F"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20.520</w:t>
            </w:r>
          </w:p>
        </w:tc>
        <w:tc>
          <w:tcPr>
            <w:tcW w:w="1843" w:type="dxa"/>
            <w:tcBorders>
              <w:top w:val="nil"/>
              <w:left w:val="nil"/>
              <w:bottom w:val="single" w:sz="4" w:space="0" w:color="auto"/>
              <w:right w:val="single" w:sz="4" w:space="0" w:color="auto"/>
            </w:tcBorders>
            <w:shd w:val="clear" w:color="auto" w:fill="auto"/>
            <w:noWrap/>
            <w:vAlign w:val="bottom"/>
            <w:hideMark/>
          </w:tcPr>
          <w:p w14:paraId="2ED9D78D"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6.228.462.386,30</w:t>
            </w:r>
          </w:p>
        </w:tc>
        <w:tc>
          <w:tcPr>
            <w:tcW w:w="1559" w:type="dxa"/>
            <w:tcBorders>
              <w:top w:val="nil"/>
              <w:left w:val="nil"/>
              <w:bottom w:val="single" w:sz="4" w:space="0" w:color="auto"/>
              <w:right w:val="single" w:sz="4" w:space="0" w:color="auto"/>
            </w:tcBorders>
            <w:shd w:val="clear" w:color="auto" w:fill="auto"/>
            <w:noWrap/>
            <w:vAlign w:val="bottom"/>
            <w:hideMark/>
          </w:tcPr>
          <w:p w14:paraId="762F1157"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35.439.301.136,70</w:t>
            </w:r>
          </w:p>
        </w:tc>
        <w:tc>
          <w:tcPr>
            <w:tcW w:w="1276" w:type="dxa"/>
            <w:tcBorders>
              <w:top w:val="nil"/>
              <w:left w:val="nil"/>
              <w:bottom w:val="single" w:sz="4" w:space="0" w:color="auto"/>
              <w:right w:val="single" w:sz="4" w:space="0" w:color="auto"/>
            </w:tcBorders>
            <w:shd w:val="clear" w:color="auto" w:fill="auto"/>
            <w:noWrap/>
            <w:vAlign w:val="bottom"/>
            <w:hideMark/>
          </w:tcPr>
          <w:p w14:paraId="06B91DA3"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303.531,30</w:t>
            </w:r>
          </w:p>
        </w:tc>
        <w:tc>
          <w:tcPr>
            <w:tcW w:w="1134" w:type="dxa"/>
            <w:tcBorders>
              <w:top w:val="nil"/>
              <w:left w:val="nil"/>
              <w:bottom w:val="single" w:sz="4" w:space="0" w:color="auto"/>
              <w:right w:val="single" w:sz="4" w:space="0" w:color="auto"/>
            </w:tcBorders>
            <w:shd w:val="clear" w:color="auto" w:fill="auto"/>
            <w:noWrap/>
            <w:vAlign w:val="bottom"/>
            <w:hideMark/>
          </w:tcPr>
          <w:p w14:paraId="06B2A067"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1.727.061,50</w:t>
            </w:r>
          </w:p>
        </w:tc>
      </w:tr>
      <w:tr w:rsidR="006356F1" w:rsidRPr="003A5ACA" w14:paraId="0EC4C99E"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5572B68"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2006</w:t>
            </w:r>
          </w:p>
        </w:tc>
        <w:tc>
          <w:tcPr>
            <w:tcW w:w="992" w:type="dxa"/>
            <w:tcBorders>
              <w:top w:val="nil"/>
              <w:left w:val="nil"/>
              <w:bottom w:val="single" w:sz="4" w:space="0" w:color="auto"/>
              <w:right w:val="single" w:sz="4" w:space="0" w:color="auto"/>
            </w:tcBorders>
            <w:shd w:val="clear" w:color="auto" w:fill="auto"/>
            <w:noWrap/>
            <w:vAlign w:val="bottom"/>
            <w:hideMark/>
          </w:tcPr>
          <w:p w14:paraId="1C28FAEB"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148</w:t>
            </w:r>
          </w:p>
        </w:tc>
        <w:tc>
          <w:tcPr>
            <w:tcW w:w="1134" w:type="dxa"/>
            <w:tcBorders>
              <w:top w:val="nil"/>
              <w:left w:val="nil"/>
              <w:bottom w:val="single" w:sz="4" w:space="0" w:color="auto"/>
              <w:right w:val="single" w:sz="4" w:space="0" w:color="auto"/>
            </w:tcBorders>
            <w:shd w:val="clear" w:color="auto" w:fill="auto"/>
            <w:noWrap/>
            <w:vAlign w:val="center"/>
            <w:hideMark/>
          </w:tcPr>
          <w:p w14:paraId="6B2EBD72" w14:textId="77777777" w:rsidR="006356F1" w:rsidRDefault="006356F1" w:rsidP="00217400">
            <w:pPr>
              <w:jc w:val="center"/>
              <w:rPr>
                <w:rFonts w:ascii="Calibri" w:hAnsi="Calibri" w:cs="Calibri"/>
                <w:color w:val="000000"/>
                <w:sz w:val="16"/>
                <w:szCs w:val="22"/>
              </w:rPr>
            </w:pPr>
          </w:p>
          <w:p w14:paraId="7B26A177"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21.543</w:t>
            </w:r>
          </w:p>
        </w:tc>
        <w:tc>
          <w:tcPr>
            <w:tcW w:w="1843" w:type="dxa"/>
            <w:tcBorders>
              <w:top w:val="nil"/>
              <w:left w:val="nil"/>
              <w:bottom w:val="single" w:sz="4" w:space="0" w:color="auto"/>
              <w:right w:val="single" w:sz="4" w:space="0" w:color="auto"/>
            </w:tcBorders>
            <w:shd w:val="clear" w:color="auto" w:fill="auto"/>
            <w:noWrap/>
            <w:vAlign w:val="bottom"/>
            <w:hideMark/>
          </w:tcPr>
          <w:p w14:paraId="140D5788"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10.943.361.237,50</w:t>
            </w:r>
          </w:p>
        </w:tc>
        <w:tc>
          <w:tcPr>
            <w:tcW w:w="1559" w:type="dxa"/>
            <w:tcBorders>
              <w:top w:val="nil"/>
              <w:left w:val="nil"/>
              <w:bottom w:val="single" w:sz="4" w:space="0" w:color="auto"/>
              <w:right w:val="single" w:sz="4" w:space="0" w:color="auto"/>
            </w:tcBorders>
            <w:shd w:val="clear" w:color="auto" w:fill="auto"/>
            <w:noWrap/>
            <w:vAlign w:val="bottom"/>
            <w:hideMark/>
          </w:tcPr>
          <w:p w14:paraId="5EE3B546"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48.831.845.743,20</w:t>
            </w:r>
          </w:p>
        </w:tc>
        <w:tc>
          <w:tcPr>
            <w:tcW w:w="1276" w:type="dxa"/>
            <w:tcBorders>
              <w:top w:val="nil"/>
              <w:left w:val="nil"/>
              <w:bottom w:val="single" w:sz="4" w:space="0" w:color="auto"/>
              <w:right w:val="single" w:sz="4" w:space="0" w:color="auto"/>
            </w:tcBorders>
            <w:shd w:val="clear" w:color="auto" w:fill="auto"/>
            <w:noWrap/>
            <w:vAlign w:val="bottom"/>
            <w:hideMark/>
          </w:tcPr>
          <w:p w14:paraId="60AE3976"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507.977,60</w:t>
            </w:r>
          </w:p>
        </w:tc>
        <w:tc>
          <w:tcPr>
            <w:tcW w:w="1134" w:type="dxa"/>
            <w:tcBorders>
              <w:top w:val="nil"/>
              <w:left w:val="nil"/>
              <w:bottom w:val="single" w:sz="4" w:space="0" w:color="auto"/>
              <w:right w:val="single" w:sz="4" w:space="0" w:color="auto"/>
            </w:tcBorders>
            <w:shd w:val="clear" w:color="auto" w:fill="auto"/>
            <w:noWrap/>
            <w:vAlign w:val="bottom"/>
            <w:hideMark/>
          </w:tcPr>
          <w:p w14:paraId="16DF4773"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2.266.715,20</w:t>
            </w:r>
          </w:p>
        </w:tc>
      </w:tr>
      <w:tr w:rsidR="006356F1" w:rsidRPr="003A5ACA" w14:paraId="14519BE0"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E7766C6"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2007</w:t>
            </w:r>
          </w:p>
        </w:tc>
        <w:tc>
          <w:tcPr>
            <w:tcW w:w="992" w:type="dxa"/>
            <w:tcBorders>
              <w:top w:val="nil"/>
              <w:left w:val="nil"/>
              <w:bottom w:val="single" w:sz="4" w:space="0" w:color="auto"/>
              <w:right w:val="single" w:sz="4" w:space="0" w:color="auto"/>
            </w:tcBorders>
            <w:shd w:val="clear" w:color="auto" w:fill="auto"/>
            <w:noWrap/>
            <w:vAlign w:val="bottom"/>
            <w:hideMark/>
          </w:tcPr>
          <w:p w14:paraId="35AE927F"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131</w:t>
            </w:r>
          </w:p>
        </w:tc>
        <w:tc>
          <w:tcPr>
            <w:tcW w:w="1134" w:type="dxa"/>
            <w:tcBorders>
              <w:top w:val="nil"/>
              <w:left w:val="nil"/>
              <w:bottom w:val="single" w:sz="4" w:space="0" w:color="auto"/>
              <w:right w:val="single" w:sz="4" w:space="0" w:color="auto"/>
            </w:tcBorders>
            <w:shd w:val="clear" w:color="auto" w:fill="auto"/>
            <w:noWrap/>
            <w:vAlign w:val="center"/>
            <w:hideMark/>
          </w:tcPr>
          <w:p w14:paraId="0536E071" w14:textId="77777777" w:rsidR="006356F1" w:rsidRDefault="006356F1" w:rsidP="00217400">
            <w:pPr>
              <w:jc w:val="center"/>
              <w:rPr>
                <w:rFonts w:ascii="Calibri" w:hAnsi="Calibri" w:cs="Calibri"/>
                <w:color w:val="000000"/>
                <w:sz w:val="16"/>
                <w:szCs w:val="22"/>
              </w:rPr>
            </w:pPr>
          </w:p>
          <w:p w14:paraId="254CFB69"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33.903</w:t>
            </w:r>
          </w:p>
        </w:tc>
        <w:tc>
          <w:tcPr>
            <w:tcW w:w="1843" w:type="dxa"/>
            <w:tcBorders>
              <w:top w:val="nil"/>
              <w:left w:val="nil"/>
              <w:bottom w:val="single" w:sz="4" w:space="0" w:color="auto"/>
              <w:right w:val="single" w:sz="4" w:space="0" w:color="auto"/>
            </w:tcBorders>
            <w:shd w:val="clear" w:color="auto" w:fill="auto"/>
            <w:noWrap/>
            <w:vAlign w:val="bottom"/>
            <w:hideMark/>
          </w:tcPr>
          <w:p w14:paraId="1555B301"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15.903.459.418,80</w:t>
            </w:r>
          </w:p>
        </w:tc>
        <w:tc>
          <w:tcPr>
            <w:tcW w:w="1559" w:type="dxa"/>
            <w:tcBorders>
              <w:top w:val="nil"/>
              <w:left w:val="nil"/>
              <w:bottom w:val="single" w:sz="4" w:space="0" w:color="auto"/>
              <w:right w:val="single" w:sz="4" w:space="0" w:color="auto"/>
            </w:tcBorders>
            <w:shd w:val="clear" w:color="auto" w:fill="auto"/>
            <w:noWrap/>
            <w:vAlign w:val="bottom"/>
            <w:hideMark/>
          </w:tcPr>
          <w:p w14:paraId="13C0E843"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86.675.054.030,60</w:t>
            </w:r>
          </w:p>
        </w:tc>
        <w:tc>
          <w:tcPr>
            <w:tcW w:w="1276" w:type="dxa"/>
            <w:tcBorders>
              <w:top w:val="nil"/>
              <w:left w:val="nil"/>
              <w:bottom w:val="single" w:sz="4" w:space="0" w:color="auto"/>
              <w:right w:val="single" w:sz="4" w:space="0" w:color="auto"/>
            </w:tcBorders>
            <w:shd w:val="clear" w:color="auto" w:fill="auto"/>
            <w:noWrap/>
            <w:vAlign w:val="bottom"/>
            <w:hideMark/>
          </w:tcPr>
          <w:p w14:paraId="6A9AFCF9"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469.087,10</w:t>
            </w:r>
          </w:p>
        </w:tc>
        <w:tc>
          <w:tcPr>
            <w:tcW w:w="1134" w:type="dxa"/>
            <w:tcBorders>
              <w:top w:val="nil"/>
              <w:left w:val="nil"/>
              <w:bottom w:val="single" w:sz="4" w:space="0" w:color="auto"/>
              <w:right w:val="single" w:sz="4" w:space="0" w:color="auto"/>
            </w:tcBorders>
            <w:shd w:val="clear" w:color="auto" w:fill="auto"/>
            <w:noWrap/>
            <w:vAlign w:val="bottom"/>
            <w:hideMark/>
          </w:tcPr>
          <w:p w14:paraId="56E7C3DB"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2.556.560,00</w:t>
            </w:r>
          </w:p>
        </w:tc>
      </w:tr>
      <w:tr w:rsidR="006356F1" w:rsidRPr="003A5ACA" w14:paraId="3C25221F"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9D5A8C2"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2008</w:t>
            </w:r>
          </w:p>
        </w:tc>
        <w:tc>
          <w:tcPr>
            <w:tcW w:w="992" w:type="dxa"/>
            <w:tcBorders>
              <w:top w:val="nil"/>
              <w:left w:val="nil"/>
              <w:bottom w:val="single" w:sz="4" w:space="0" w:color="auto"/>
              <w:right w:val="single" w:sz="4" w:space="0" w:color="auto"/>
            </w:tcBorders>
            <w:shd w:val="clear" w:color="auto" w:fill="auto"/>
            <w:noWrap/>
            <w:vAlign w:val="bottom"/>
            <w:hideMark/>
          </w:tcPr>
          <w:p w14:paraId="34B7DFC9"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114</w:t>
            </w:r>
          </w:p>
        </w:tc>
        <w:tc>
          <w:tcPr>
            <w:tcW w:w="1134" w:type="dxa"/>
            <w:tcBorders>
              <w:top w:val="nil"/>
              <w:left w:val="nil"/>
              <w:bottom w:val="single" w:sz="4" w:space="0" w:color="auto"/>
              <w:right w:val="single" w:sz="4" w:space="0" w:color="auto"/>
            </w:tcBorders>
            <w:shd w:val="clear" w:color="auto" w:fill="auto"/>
            <w:noWrap/>
            <w:vAlign w:val="center"/>
            <w:hideMark/>
          </w:tcPr>
          <w:p w14:paraId="0D10FC89" w14:textId="77777777" w:rsidR="006356F1" w:rsidRDefault="006356F1" w:rsidP="00217400">
            <w:pPr>
              <w:jc w:val="center"/>
              <w:rPr>
                <w:rFonts w:ascii="Calibri" w:hAnsi="Calibri" w:cs="Calibri"/>
                <w:color w:val="000000"/>
                <w:sz w:val="16"/>
                <w:szCs w:val="22"/>
              </w:rPr>
            </w:pPr>
          </w:p>
          <w:p w14:paraId="5FB4D76E"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23.186</w:t>
            </w:r>
          </w:p>
        </w:tc>
        <w:tc>
          <w:tcPr>
            <w:tcW w:w="1843" w:type="dxa"/>
            <w:tcBorders>
              <w:top w:val="nil"/>
              <w:left w:val="nil"/>
              <w:bottom w:val="single" w:sz="4" w:space="0" w:color="auto"/>
              <w:right w:val="single" w:sz="4" w:space="0" w:color="auto"/>
            </w:tcBorders>
            <w:shd w:val="clear" w:color="auto" w:fill="auto"/>
            <w:noWrap/>
            <w:vAlign w:val="bottom"/>
            <w:hideMark/>
          </w:tcPr>
          <w:p w14:paraId="37B971A0"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12.436.430.436,30</w:t>
            </w:r>
          </w:p>
        </w:tc>
        <w:tc>
          <w:tcPr>
            <w:tcW w:w="1559" w:type="dxa"/>
            <w:tcBorders>
              <w:top w:val="nil"/>
              <w:left w:val="nil"/>
              <w:bottom w:val="single" w:sz="4" w:space="0" w:color="auto"/>
              <w:right w:val="single" w:sz="4" w:space="0" w:color="auto"/>
            </w:tcBorders>
            <w:shd w:val="clear" w:color="auto" w:fill="auto"/>
            <w:noWrap/>
            <w:vAlign w:val="bottom"/>
            <w:hideMark/>
          </w:tcPr>
          <w:p w14:paraId="6048D8B8"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58.694.603.484,80</w:t>
            </w:r>
          </w:p>
        </w:tc>
        <w:tc>
          <w:tcPr>
            <w:tcW w:w="1276" w:type="dxa"/>
            <w:tcBorders>
              <w:top w:val="nil"/>
              <w:left w:val="nil"/>
              <w:bottom w:val="single" w:sz="4" w:space="0" w:color="auto"/>
              <w:right w:val="single" w:sz="4" w:space="0" w:color="auto"/>
            </w:tcBorders>
            <w:shd w:val="clear" w:color="auto" w:fill="auto"/>
            <w:noWrap/>
            <w:vAlign w:val="bottom"/>
            <w:hideMark/>
          </w:tcPr>
          <w:p w14:paraId="65AF03A0"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536.376,70</w:t>
            </w:r>
          </w:p>
        </w:tc>
        <w:tc>
          <w:tcPr>
            <w:tcW w:w="1134" w:type="dxa"/>
            <w:tcBorders>
              <w:top w:val="nil"/>
              <w:left w:val="nil"/>
              <w:bottom w:val="single" w:sz="4" w:space="0" w:color="auto"/>
              <w:right w:val="single" w:sz="4" w:space="0" w:color="auto"/>
            </w:tcBorders>
            <w:shd w:val="clear" w:color="auto" w:fill="auto"/>
            <w:noWrap/>
            <w:vAlign w:val="bottom"/>
            <w:hideMark/>
          </w:tcPr>
          <w:p w14:paraId="062B09D7"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2.531.467,40</w:t>
            </w:r>
          </w:p>
        </w:tc>
      </w:tr>
      <w:tr w:rsidR="006356F1" w:rsidRPr="003A5ACA" w14:paraId="4B943D8C"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79ACEC2"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2009</w:t>
            </w:r>
          </w:p>
        </w:tc>
        <w:tc>
          <w:tcPr>
            <w:tcW w:w="992" w:type="dxa"/>
            <w:tcBorders>
              <w:top w:val="nil"/>
              <w:left w:val="nil"/>
              <w:bottom w:val="single" w:sz="4" w:space="0" w:color="auto"/>
              <w:right w:val="single" w:sz="4" w:space="0" w:color="auto"/>
            </w:tcBorders>
            <w:shd w:val="clear" w:color="auto" w:fill="auto"/>
            <w:noWrap/>
            <w:vAlign w:val="bottom"/>
            <w:hideMark/>
          </w:tcPr>
          <w:p w14:paraId="08FADDF8"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1B221F61" w14:textId="77777777" w:rsidR="006356F1" w:rsidRDefault="006356F1" w:rsidP="00217400">
            <w:pPr>
              <w:jc w:val="center"/>
              <w:rPr>
                <w:rFonts w:ascii="Calibri" w:hAnsi="Calibri" w:cs="Calibri"/>
                <w:color w:val="000000"/>
                <w:sz w:val="16"/>
                <w:szCs w:val="22"/>
              </w:rPr>
            </w:pPr>
          </w:p>
          <w:p w14:paraId="071A8D21"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12.794</w:t>
            </w:r>
          </w:p>
        </w:tc>
        <w:tc>
          <w:tcPr>
            <w:tcW w:w="1843" w:type="dxa"/>
            <w:tcBorders>
              <w:top w:val="nil"/>
              <w:left w:val="nil"/>
              <w:bottom w:val="single" w:sz="4" w:space="0" w:color="auto"/>
              <w:right w:val="single" w:sz="4" w:space="0" w:color="auto"/>
            </w:tcBorders>
            <w:shd w:val="clear" w:color="auto" w:fill="auto"/>
            <w:noWrap/>
            <w:vAlign w:val="bottom"/>
            <w:hideMark/>
          </w:tcPr>
          <w:p w14:paraId="20A4EA01"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3.389.801.670,60</w:t>
            </w:r>
          </w:p>
        </w:tc>
        <w:tc>
          <w:tcPr>
            <w:tcW w:w="1559" w:type="dxa"/>
            <w:tcBorders>
              <w:top w:val="nil"/>
              <w:left w:val="nil"/>
              <w:bottom w:val="single" w:sz="4" w:space="0" w:color="auto"/>
              <w:right w:val="single" w:sz="4" w:space="0" w:color="auto"/>
            </w:tcBorders>
            <w:shd w:val="clear" w:color="auto" w:fill="auto"/>
            <w:noWrap/>
            <w:vAlign w:val="bottom"/>
            <w:hideMark/>
          </w:tcPr>
          <w:p w14:paraId="71B1F8FC"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22.167.107.193,20</w:t>
            </w:r>
          </w:p>
        </w:tc>
        <w:tc>
          <w:tcPr>
            <w:tcW w:w="1276" w:type="dxa"/>
            <w:tcBorders>
              <w:top w:val="nil"/>
              <w:left w:val="nil"/>
              <w:bottom w:val="single" w:sz="4" w:space="0" w:color="auto"/>
              <w:right w:val="single" w:sz="4" w:space="0" w:color="auto"/>
            </w:tcBorders>
            <w:shd w:val="clear" w:color="auto" w:fill="auto"/>
            <w:noWrap/>
            <w:vAlign w:val="bottom"/>
            <w:hideMark/>
          </w:tcPr>
          <w:p w14:paraId="53A9C678"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264.952,50</w:t>
            </w:r>
          </w:p>
        </w:tc>
        <w:tc>
          <w:tcPr>
            <w:tcW w:w="1134" w:type="dxa"/>
            <w:tcBorders>
              <w:top w:val="nil"/>
              <w:left w:val="nil"/>
              <w:bottom w:val="single" w:sz="4" w:space="0" w:color="auto"/>
              <w:right w:val="single" w:sz="4" w:space="0" w:color="auto"/>
            </w:tcBorders>
            <w:shd w:val="clear" w:color="auto" w:fill="auto"/>
            <w:noWrap/>
            <w:vAlign w:val="bottom"/>
            <w:hideMark/>
          </w:tcPr>
          <w:p w14:paraId="332FCB3A"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1.732.617,40</w:t>
            </w:r>
          </w:p>
        </w:tc>
      </w:tr>
      <w:tr w:rsidR="006356F1" w:rsidRPr="003A5ACA" w14:paraId="0180F902"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109F6A9"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2010</w:t>
            </w:r>
          </w:p>
        </w:tc>
        <w:tc>
          <w:tcPr>
            <w:tcW w:w="992" w:type="dxa"/>
            <w:tcBorders>
              <w:top w:val="nil"/>
              <w:left w:val="nil"/>
              <w:bottom w:val="single" w:sz="4" w:space="0" w:color="auto"/>
              <w:right w:val="single" w:sz="4" w:space="0" w:color="auto"/>
            </w:tcBorders>
            <w:shd w:val="clear" w:color="auto" w:fill="auto"/>
            <w:noWrap/>
            <w:vAlign w:val="bottom"/>
            <w:hideMark/>
          </w:tcPr>
          <w:p w14:paraId="464859DB"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76</w:t>
            </w:r>
          </w:p>
        </w:tc>
        <w:tc>
          <w:tcPr>
            <w:tcW w:w="1134" w:type="dxa"/>
            <w:tcBorders>
              <w:top w:val="nil"/>
              <w:left w:val="nil"/>
              <w:bottom w:val="single" w:sz="4" w:space="0" w:color="auto"/>
              <w:right w:val="single" w:sz="4" w:space="0" w:color="auto"/>
            </w:tcBorders>
            <w:shd w:val="clear" w:color="auto" w:fill="auto"/>
            <w:noWrap/>
            <w:vAlign w:val="center"/>
            <w:hideMark/>
          </w:tcPr>
          <w:p w14:paraId="60AC03B1" w14:textId="77777777" w:rsidR="006356F1" w:rsidRDefault="006356F1" w:rsidP="00217400">
            <w:pPr>
              <w:jc w:val="center"/>
              <w:rPr>
                <w:rFonts w:ascii="Calibri" w:hAnsi="Calibri" w:cs="Calibri"/>
                <w:color w:val="000000"/>
                <w:sz w:val="16"/>
                <w:szCs w:val="22"/>
              </w:rPr>
            </w:pPr>
          </w:p>
          <w:p w14:paraId="42169509"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6.055</w:t>
            </w:r>
          </w:p>
        </w:tc>
        <w:tc>
          <w:tcPr>
            <w:tcW w:w="1843" w:type="dxa"/>
            <w:tcBorders>
              <w:top w:val="nil"/>
              <w:left w:val="nil"/>
              <w:bottom w:val="single" w:sz="4" w:space="0" w:color="auto"/>
              <w:right w:val="single" w:sz="4" w:space="0" w:color="auto"/>
            </w:tcBorders>
            <w:shd w:val="clear" w:color="auto" w:fill="auto"/>
            <w:noWrap/>
            <w:vAlign w:val="bottom"/>
            <w:hideMark/>
          </w:tcPr>
          <w:p w14:paraId="77605E25"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1.047.288.474,30</w:t>
            </w:r>
          </w:p>
        </w:tc>
        <w:tc>
          <w:tcPr>
            <w:tcW w:w="1559" w:type="dxa"/>
            <w:tcBorders>
              <w:top w:val="nil"/>
              <w:left w:val="nil"/>
              <w:bottom w:val="single" w:sz="4" w:space="0" w:color="auto"/>
              <w:right w:val="single" w:sz="4" w:space="0" w:color="auto"/>
            </w:tcBorders>
            <w:shd w:val="clear" w:color="auto" w:fill="auto"/>
            <w:noWrap/>
            <w:vAlign w:val="bottom"/>
            <w:hideMark/>
          </w:tcPr>
          <w:p w14:paraId="4708B684"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7.250.408.763,30</w:t>
            </w:r>
          </w:p>
        </w:tc>
        <w:tc>
          <w:tcPr>
            <w:tcW w:w="1276" w:type="dxa"/>
            <w:tcBorders>
              <w:top w:val="nil"/>
              <w:left w:val="nil"/>
              <w:bottom w:val="single" w:sz="4" w:space="0" w:color="auto"/>
              <w:right w:val="single" w:sz="4" w:space="0" w:color="auto"/>
            </w:tcBorders>
            <w:shd w:val="clear" w:color="auto" w:fill="auto"/>
            <w:noWrap/>
            <w:vAlign w:val="bottom"/>
            <w:hideMark/>
          </w:tcPr>
          <w:p w14:paraId="344EB035"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172.962,60</w:t>
            </w:r>
          </w:p>
        </w:tc>
        <w:tc>
          <w:tcPr>
            <w:tcW w:w="1134" w:type="dxa"/>
            <w:tcBorders>
              <w:top w:val="nil"/>
              <w:left w:val="nil"/>
              <w:bottom w:val="single" w:sz="4" w:space="0" w:color="auto"/>
              <w:right w:val="single" w:sz="4" w:space="0" w:color="auto"/>
            </w:tcBorders>
            <w:shd w:val="clear" w:color="auto" w:fill="auto"/>
            <w:noWrap/>
            <w:vAlign w:val="bottom"/>
            <w:hideMark/>
          </w:tcPr>
          <w:p w14:paraId="49CABB51"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1.197.425,10</w:t>
            </w:r>
          </w:p>
        </w:tc>
      </w:tr>
      <w:tr w:rsidR="006356F1" w:rsidRPr="003A5ACA" w14:paraId="53A2B254"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BDD6864"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2011</w:t>
            </w:r>
          </w:p>
        </w:tc>
        <w:tc>
          <w:tcPr>
            <w:tcW w:w="992" w:type="dxa"/>
            <w:tcBorders>
              <w:top w:val="nil"/>
              <w:left w:val="nil"/>
              <w:bottom w:val="single" w:sz="4" w:space="0" w:color="auto"/>
              <w:right w:val="single" w:sz="4" w:space="0" w:color="auto"/>
            </w:tcBorders>
            <w:shd w:val="clear" w:color="auto" w:fill="auto"/>
            <w:noWrap/>
            <w:vAlign w:val="bottom"/>
            <w:hideMark/>
          </w:tcPr>
          <w:p w14:paraId="07FA93AF"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74</w:t>
            </w:r>
          </w:p>
        </w:tc>
        <w:tc>
          <w:tcPr>
            <w:tcW w:w="1134" w:type="dxa"/>
            <w:tcBorders>
              <w:top w:val="nil"/>
              <w:left w:val="nil"/>
              <w:bottom w:val="single" w:sz="4" w:space="0" w:color="auto"/>
              <w:right w:val="single" w:sz="4" w:space="0" w:color="auto"/>
            </w:tcBorders>
            <w:shd w:val="clear" w:color="auto" w:fill="auto"/>
            <w:noWrap/>
            <w:vAlign w:val="center"/>
            <w:hideMark/>
          </w:tcPr>
          <w:p w14:paraId="330046DD" w14:textId="77777777" w:rsidR="006356F1" w:rsidRDefault="006356F1" w:rsidP="00217400">
            <w:pPr>
              <w:jc w:val="center"/>
              <w:rPr>
                <w:rFonts w:ascii="Calibri" w:hAnsi="Calibri" w:cs="Calibri"/>
                <w:color w:val="000000"/>
                <w:sz w:val="16"/>
                <w:szCs w:val="22"/>
              </w:rPr>
            </w:pPr>
          </w:p>
          <w:p w14:paraId="2CAB5F28"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6.182</w:t>
            </w:r>
          </w:p>
        </w:tc>
        <w:tc>
          <w:tcPr>
            <w:tcW w:w="1843" w:type="dxa"/>
            <w:tcBorders>
              <w:top w:val="nil"/>
              <w:left w:val="nil"/>
              <w:bottom w:val="single" w:sz="4" w:space="0" w:color="auto"/>
              <w:right w:val="single" w:sz="4" w:space="0" w:color="auto"/>
            </w:tcBorders>
            <w:shd w:val="clear" w:color="auto" w:fill="auto"/>
            <w:noWrap/>
            <w:vAlign w:val="bottom"/>
            <w:hideMark/>
          </w:tcPr>
          <w:p w14:paraId="456E5753"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2.819.448.953,00</w:t>
            </w:r>
          </w:p>
        </w:tc>
        <w:tc>
          <w:tcPr>
            <w:tcW w:w="1559" w:type="dxa"/>
            <w:tcBorders>
              <w:top w:val="nil"/>
              <w:left w:val="nil"/>
              <w:bottom w:val="single" w:sz="4" w:space="0" w:color="auto"/>
              <w:right w:val="single" w:sz="4" w:space="0" w:color="auto"/>
            </w:tcBorders>
            <w:shd w:val="clear" w:color="auto" w:fill="auto"/>
            <w:noWrap/>
            <w:vAlign w:val="bottom"/>
            <w:hideMark/>
          </w:tcPr>
          <w:p w14:paraId="3518E42B"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12.332.142.842,00</w:t>
            </w:r>
          </w:p>
        </w:tc>
        <w:tc>
          <w:tcPr>
            <w:tcW w:w="1276" w:type="dxa"/>
            <w:tcBorders>
              <w:top w:val="nil"/>
              <w:left w:val="nil"/>
              <w:bottom w:val="single" w:sz="4" w:space="0" w:color="auto"/>
              <w:right w:val="single" w:sz="4" w:space="0" w:color="auto"/>
            </w:tcBorders>
            <w:shd w:val="clear" w:color="auto" w:fill="auto"/>
            <w:noWrap/>
            <w:vAlign w:val="bottom"/>
            <w:hideMark/>
          </w:tcPr>
          <w:p w14:paraId="16F6175F"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456.073,90</w:t>
            </w:r>
          </w:p>
        </w:tc>
        <w:tc>
          <w:tcPr>
            <w:tcW w:w="1134" w:type="dxa"/>
            <w:tcBorders>
              <w:top w:val="nil"/>
              <w:left w:val="nil"/>
              <w:bottom w:val="single" w:sz="4" w:space="0" w:color="auto"/>
              <w:right w:val="single" w:sz="4" w:space="0" w:color="auto"/>
            </w:tcBorders>
            <w:shd w:val="clear" w:color="auto" w:fill="auto"/>
            <w:noWrap/>
            <w:vAlign w:val="bottom"/>
            <w:hideMark/>
          </w:tcPr>
          <w:p w14:paraId="79EB5181"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1.994.846,80</w:t>
            </w:r>
          </w:p>
        </w:tc>
      </w:tr>
      <w:tr w:rsidR="006356F1" w:rsidRPr="003A5ACA" w14:paraId="025B58F1"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3A03315"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2012</w:t>
            </w:r>
          </w:p>
        </w:tc>
        <w:tc>
          <w:tcPr>
            <w:tcW w:w="992" w:type="dxa"/>
            <w:tcBorders>
              <w:top w:val="nil"/>
              <w:left w:val="nil"/>
              <w:bottom w:val="single" w:sz="4" w:space="0" w:color="auto"/>
              <w:right w:val="single" w:sz="4" w:space="0" w:color="auto"/>
            </w:tcBorders>
            <w:shd w:val="clear" w:color="auto" w:fill="auto"/>
            <w:noWrap/>
            <w:vAlign w:val="bottom"/>
            <w:hideMark/>
          </w:tcPr>
          <w:p w14:paraId="53D47C0D"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85</w:t>
            </w:r>
          </w:p>
        </w:tc>
        <w:tc>
          <w:tcPr>
            <w:tcW w:w="1134" w:type="dxa"/>
            <w:tcBorders>
              <w:top w:val="nil"/>
              <w:left w:val="nil"/>
              <w:bottom w:val="single" w:sz="4" w:space="0" w:color="auto"/>
              <w:right w:val="single" w:sz="4" w:space="0" w:color="auto"/>
            </w:tcBorders>
            <w:shd w:val="clear" w:color="auto" w:fill="auto"/>
            <w:noWrap/>
            <w:vAlign w:val="center"/>
            <w:hideMark/>
          </w:tcPr>
          <w:p w14:paraId="19A7ED3F" w14:textId="77777777" w:rsidR="006356F1" w:rsidRDefault="006356F1" w:rsidP="00217400">
            <w:pPr>
              <w:jc w:val="center"/>
              <w:rPr>
                <w:rFonts w:ascii="Calibri" w:hAnsi="Calibri" w:cs="Calibri"/>
                <w:color w:val="000000"/>
                <w:sz w:val="16"/>
                <w:szCs w:val="22"/>
              </w:rPr>
            </w:pPr>
          </w:p>
          <w:p w14:paraId="5A453A4A"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6.667</w:t>
            </w:r>
          </w:p>
        </w:tc>
        <w:tc>
          <w:tcPr>
            <w:tcW w:w="1843" w:type="dxa"/>
            <w:tcBorders>
              <w:top w:val="nil"/>
              <w:left w:val="nil"/>
              <w:bottom w:val="single" w:sz="4" w:space="0" w:color="auto"/>
              <w:right w:val="single" w:sz="4" w:space="0" w:color="auto"/>
            </w:tcBorders>
            <w:shd w:val="clear" w:color="auto" w:fill="auto"/>
            <w:noWrap/>
            <w:vAlign w:val="bottom"/>
            <w:hideMark/>
          </w:tcPr>
          <w:p w14:paraId="2CDA0FC3"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1.815.508.914,00</w:t>
            </w:r>
          </w:p>
        </w:tc>
        <w:tc>
          <w:tcPr>
            <w:tcW w:w="1559" w:type="dxa"/>
            <w:tcBorders>
              <w:top w:val="nil"/>
              <w:left w:val="nil"/>
              <w:bottom w:val="single" w:sz="4" w:space="0" w:color="auto"/>
              <w:right w:val="single" w:sz="4" w:space="0" w:color="auto"/>
            </w:tcBorders>
            <w:shd w:val="clear" w:color="auto" w:fill="auto"/>
            <w:noWrap/>
            <w:vAlign w:val="bottom"/>
            <w:hideMark/>
          </w:tcPr>
          <w:p w14:paraId="449B6E60"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6.218.645.129,00</w:t>
            </w:r>
          </w:p>
        </w:tc>
        <w:tc>
          <w:tcPr>
            <w:tcW w:w="1276" w:type="dxa"/>
            <w:tcBorders>
              <w:top w:val="nil"/>
              <w:left w:val="nil"/>
              <w:bottom w:val="single" w:sz="4" w:space="0" w:color="auto"/>
              <w:right w:val="single" w:sz="4" w:space="0" w:color="auto"/>
            </w:tcBorders>
            <w:shd w:val="clear" w:color="auto" w:fill="auto"/>
            <w:noWrap/>
            <w:vAlign w:val="bottom"/>
            <w:hideMark/>
          </w:tcPr>
          <w:p w14:paraId="19E63E1B"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272.312,70</w:t>
            </w:r>
          </w:p>
        </w:tc>
        <w:tc>
          <w:tcPr>
            <w:tcW w:w="1134" w:type="dxa"/>
            <w:tcBorders>
              <w:top w:val="nil"/>
              <w:left w:val="nil"/>
              <w:bottom w:val="single" w:sz="4" w:space="0" w:color="auto"/>
              <w:right w:val="single" w:sz="4" w:space="0" w:color="auto"/>
            </w:tcBorders>
            <w:shd w:val="clear" w:color="auto" w:fill="auto"/>
            <w:noWrap/>
            <w:vAlign w:val="bottom"/>
            <w:hideMark/>
          </w:tcPr>
          <w:p w14:paraId="30E9547F"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932.750,10</w:t>
            </w:r>
          </w:p>
        </w:tc>
      </w:tr>
      <w:tr w:rsidR="006356F1" w:rsidRPr="003A5ACA" w14:paraId="7CA3BD85"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56FD000"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2013</w:t>
            </w:r>
          </w:p>
        </w:tc>
        <w:tc>
          <w:tcPr>
            <w:tcW w:w="992" w:type="dxa"/>
            <w:tcBorders>
              <w:top w:val="nil"/>
              <w:left w:val="nil"/>
              <w:bottom w:val="single" w:sz="4" w:space="0" w:color="auto"/>
              <w:right w:val="single" w:sz="4" w:space="0" w:color="auto"/>
            </w:tcBorders>
            <w:shd w:val="clear" w:color="auto" w:fill="auto"/>
            <w:noWrap/>
            <w:vAlign w:val="bottom"/>
            <w:hideMark/>
          </w:tcPr>
          <w:p w14:paraId="2D8B3731"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50D11D32" w14:textId="77777777" w:rsidR="006356F1" w:rsidRDefault="006356F1" w:rsidP="00217400">
            <w:pPr>
              <w:jc w:val="center"/>
              <w:rPr>
                <w:rFonts w:ascii="Calibri" w:hAnsi="Calibri" w:cs="Calibri"/>
                <w:color w:val="000000"/>
                <w:sz w:val="16"/>
                <w:szCs w:val="22"/>
              </w:rPr>
            </w:pPr>
          </w:p>
          <w:p w14:paraId="0159DFEC"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8.820</w:t>
            </w:r>
          </w:p>
        </w:tc>
        <w:tc>
          <w:tcPr>
            <w:tcW w:w="1843" w:type="dxa"/>
            <w:tcBorders>
              <w:top w:val="nil"/>
              <w:left w:val="nil"/>
              <w:bottom w:val="single" w:sz="4" w:space="0" w:color="auto"/>
              <w:right w:val="single" w:sz="4" w:space="0" w:color="auto"/>
            </w:tcBorders>
            <w:shd w:val="clear" w:color="auto" w:fill="auto"/>
            <w:noWrap/>
            <w:vAlign w:val="bottom"/>
            <w:hideMark/>
          </w:tcPr>
          <w:p w14:paraId="6FF006F2"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1.288.564.560,30</w:t>
            </w:r>
          </w:p>
        </w:tc>
        <w:tc>
          <w:tcPr>
            <w:tcW w:w="1559" w:type="dxa"/>
            <w:tcBorders>
              <w:top w:val="nil"/>
              <w:left w:val="nil"/>
              <w:bottom w:val="single" w:sz="4" w:space="0" w:color="auto"/>
              <w:right w:val="single" w:sz="4" w:space="0" w:color="auto"/>
            </w:tcBorders>
            <w:shd w:val="clear" w:color="auto" w:fill="auto"/>
            <w:noWrap/>
            <w:vAlign w:val="bottom"/>
            <w:hideMark/>
          </w:tcPr>
          <w:p w14:paraId="6647642E"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8.243.290.477,20</w:t>
            </w:r>
          </w:p>
        </w:tc>
        <w:tc>
          <w:tcPr>
            <w:tcW w:w="1276" w:type="dxa"/>
            <w:tcBorders>
              <w:top w:val="nil"/>
              <w:left w:val="nil"/>
              <w:bottom w:val="single" w:sz="4" w:space="0" w:color="auto"/>
              <w:right w:val="single" w:sz="4" w:space="0" w:color="auto"/>
            </w:tcBorders>
            <w:shd w:val="clear" w:color="auto" w:fill="auto"/>
            <w:noWrap/>
            <w:vAlign w:val="bottom"/>
            <w:hideMark/>
          </w:tcPr>
          <w:p w14:paraId="5BDB1E3D"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146.095,80</w:t>
            </w:r>
          </w:p>
        </w:tc>
        <w:tc>
          <w:tcPr>
            <w:tcW w:w="1134" w:type="dxa"/>
            <w:tcBorders>
              <w:top w:val="nil"/>
              <w:left w:val="nil"/>
              <w:bottom w:val="single" w:sz="4" w:space="0" w:color="auto"/>
              <w:right w:val="single" w:sz="4" w:space="0" w:color="auto"/>
            </w:tcBorders>
            <w:shd w:val="clear" w:color="auto" w:fill="auto"/>
            <w:noWrap/>
            <w:vAlign w:val="bottom"/>
            <w:hideMark/>
          </w:tcPr>
          <w:p w14:paraId="0023E8B9"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934.613,40</w:t>
            </w:r>
          </w:p>
        </w:tc>
      </w:tr>
      <w:tr w:rsidR="006356F1" w:rsidRPr="003A5ACA" w14:paraId="4E2C6775"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0AA9FFD"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2014</w:t>
            </w:r>
          </w:p>
        </w:tc>
        <w:tc>
          <w:tcPr>
            <w:tcW w:w="992" w:type="dxa"/>
            <w:tcBorders>
              <w:top w:val="nil"/>
              <w:left w:val="nil"/>
              <w:bottom w:val="single" w:sz="4" w:space="0" w:color="auto"/>
              <w:right w:val="single" w:sz="4" w:space="0" w:color="auto"/>
            </w:tcBorders>
            <w:shd w:val="clear" w:color="auto" w:fill="auto"/>
            <w:noWrap/>
            <w:vAlign w:val="bottom"/>
            <w:hideMark/>
          </w:tcPr>
          <w:p w14:paraId="1CC87AC3"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73</w:t>
            </w:r>
          </w:p>
        </w:tc>
        <w:tc>
          <w:tcPr>
            <w:tcW w:w="1134" w:type="dxa"/>
            <w:tcBorders>
              <w:top w:val="nil"/>
              <w:left w:val="nil"/>
              <w:bottom w:val="single" w:sz="4" w:space="0" w:color="auto"/>
              <w:right w:val="single" w:sz="4" w:space="0" w:color="auto"/>
            </w:tcBorders>
            <w:shd w:val="clear" w:color="auto" w:fill="auto"/>
            <w:noWrap/>
            <w:vAlign w:val="center"/>
            <w:hideMark/>
          </w:tcPr>
          <w:p w14:paraId="521A5A1D" w14:textId="77777777" w:rsidR="006356F1" w:rsidRDefault="006356F1" w:rsidP="00217400">
            <w:pPr>
              <w:jc w:val="center"/>
              <w:rPr>
                <w:rFonts w:ascii="Calibri" w:hAnsi="Calibri" w:cs="Calibri"/>
                <w:color w:val="000000"/>
                <w:sz w:val="16"/>
                <w:szCs w:val="22"/>
              </w:rPr>
            </w:pPr>
          </w:p>
          <w:p w14:paraId="57FFEB1E"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5.482</w:t>
            </w:r>
          </w:p>
        </w:tc>
        <w:tc>
          <w:tcPr>
            <w:tcW w:w="1843" w:type="dxa"/>
            <w:tcBorders>
              <w:top w:val="nil"/>
              <w:left w:val="nil"/>
              <w:bottom w:val="single" w:sz="4" w:space="0" w:color="auto"/>
              <w:right w:val="single" w:sz="4" w:space="0" w:color="auto"/>
            </w:tcBorders>
            <w:shd w:val="clear" w:color="auto" w:fill="auto"/>
            <w:noWrap/>
            <w:vAlign w:val="bottom"/>
            <w:hideMark/>
          </w:tcPr>
          <w:p w14:paraId="0FEBBCE9"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509.680.246,80</w:t>
            </w:r>
          </w:p>
        </w:tc>
        <w:tc>
          <w:tcPr>
            <w:tcW w:w="1559" w:type="dxa"/>
            <w:tcBorders>
              <w:top w:val="nil"/>
              <w:left w:val="nil"/>
              <w:bottom w:val="single" w:sz="4" w:space="0" w:color="auto"/>
              <w:right w:val="single" w:sz="4" w:space="0" w:color="auto"/>
            </w:tcBorders>
            <w:shd w:val="clear" w:color="auto" w:fill="auto"/>
            <w:noWrap/>
            <w:vAlign w:val="bottom"/>
            <w:hideMark/>
          </w:tcPr>
          <w:p w14:paraId="61BAF668"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34.568.431.591,30</w:t>
            </w:r>
          </w:p>
        </w:tc>
        <w:tc>
          <w:tcPr>
            <w:tcW w:w="1276" w:type="dxa"/>
            <w:tcBorders>
              <w:top w:val="nil"/>
              <w:left w:val="nil"/>
              <w:bottom w:val="single" w:sz="4" w:space="0" w:color="auto"/>
              <w:right w:val="single" w:sz="4" w:space="0" w:color="auto"/>
            </w:tcBorders>
            <w:shd w:val="clear" w:color="auto" w:fill="auto"/>
            <w:noWrap/>
            <w:vAlign w:val="bottom"/>
            <w:hideMark/>
          </w:tcPr>
          <w:p w14:paraId="5C8BE3B9"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92.973,40</w:t>
            </w:r>
          </w:p>
        </w:tc>
        <w:tc>
          <w:tcPr>
            <w:tcW w:w="1134" w:type="dxa"/>
            <w:tcBorders>
              <w:top w:val="nil"/>
              <w:left w:val="nil"/>
              <w:bottom w:val="single" w:sz="4" w:space="0" w:color="auto"/>
              <w:right w:val="single" w:sz="4" w:space="0" w:color="auto"/>
            </w:tcBorders>
            <w:shd w:val="clear" w:color="auto" w:fill="auto"/>
            <w:noWrap/>
            <w:vAlign w:val="bottom"/>
            <w:hideMark/>
          </w:tcPr>
          <w:p w14:paraId="7DAC1847"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6.305.806,60</w:t>
            </w:r>
          </w:p>
        </w:tc>
      </w:tr>
      <w:tr w:rsidR="006356F1" w:rsidRPr="003A5ACA" w14:paraId="215F1FD5"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889E386"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2015</w:t>
            </w:r>
          </w:p>
        </w:tc>
        <w:tc>
          <w:tcPr>
            <w:tcW w:w="992" w:type="dxa"/>
            <w:tcBorders>
              <w:top w:val="nil"/>
              <w:left w:val="nil"/>
              <w:bottom w:val="single" w:sz="4" w:space="0" w:color="auto"/>
              <w:right w:val="single" w:sz="4" w:space="0" w:color="auto"/>
            </w:tcBorders>
            <w:shd w:val="clear" w:color="auto" w:fill="auto"/>
            <w:noWrap/>
            <w:vAlign w:val="bottom"/>
            <w:hideMark/>
          </w:tcPr>
          <w:p w14:paraId="7CEA545B"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85</w:t>
            </w:r>
          </w:p>
        </w:tc>
        <w:tc>
          <w:tcPr>
            <w:tcW w:w="1134" w:type="dxa"/>
            <w:tcBorders>
              <w:top w:val="nil"/>
              <w:left w:val="nil"/>
              <w:bottom w:val="single" w:sz="4" w:space="0" w:color="auto"/>
              <w:right w:val="single" w:sz="4" w:space="0" w:color="auto"/>
            </w:tcBorders>
            <w:shd w:val="clear" w:color="auto" w:fill="auto"/>
            <w:noWrap/>
            <w:vAlign w:val="center"/>
            <w:hideMark/>
          </w:tcPr>
          <w:p w14:paraId="44B32E9B" w14:textId="77777777" w:rsidR="006356F1" w:rsidRDefault="006356F1" w:rsidP="00217400">
            <w:pPr>
              <w:jc w:val="center"/>
              <w:rPr>
                <w:rFonts w:ascii="Calibri" w:hAnsi="Calibri" w:cs="Calibri"/>
                <w:color w:val="000000"/>
                <w:sz w:val="16"/>
                <w:szCs w:val="22"/>
              </w:rPr>
            </w:pPr>
          </w:p>
          <w:p w14:paraId="290FBA6A"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3.804</w:t>
            </w:r>
          </w:p>
        </w:tc>
        <w:tc>
          <w:tcPr>
            <w:tcW w:w="1843" w:type="dxa"/>
            <w:tcBorders>
              <w:top w:val="nil"/>
              <w:left w:val="nil"/>
              <w:bottom w:val="single" w:sz="4" w:space="0" w:color="auto"/>
              <w:right w:val="single" w:sz="4" w:space="0" w:color="auto"/>
            </w:tcBorders>
            <w:shd w:val="clear" w:color="auto" w:fill="auto"/>
            <w:noWrap/>
            <w:vAlign w:val="bottom"/>
            <w:hideMark/>
          </w:tcPr>
          <w:p w14:paraId="5B6F40A2"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407.008.160,20</w:t>
            </w:r>
          </w:p>
        </w:tc>
        <w:tc>
          <w:tcPr>
            <w:tcW w:w="1559" w:type="dxa"/>
            <w:tcBorders>
              <w:top w:val="nil"/>
              <w:left w:val="nil"/>
              <w:bottom w:val="single" w:sz="4" w:space="0" w:color="auto"/>
              <w:right w:val="single" w:sz="4" w:space="0" w:color="auto"/>
            </w:tcBorders>
            <w:shd w:val="clear" w:color="auto" w:fill="auto"/>
            <w:noWrap/>
            <w:vAlign w:val="bottom"/>
            <w:hideMark/>
          </w:tcPr>
          <w:p w14:paraId="560F75AB"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7.955.547.216,00</w:t>
            </w:r>
          </w:p>
        </w:tc>
        <w:tc>
          <w:tcPr>
            <w:tcW w:w="1276" w:type="dxa"/>
            <w:tcBorders>
              <w:top w:val="nil"/>
              <w:left w:val="nil"/>
              <w:bottom w:val="single" w:sz="4" w:space="0" w:color="auto"/>
              <w:right w:val="single" w:sz="4" w:space="0" w:color="auto"/>
            </w:tcBorders>
            <w:shd w:val="clear" w:color="auto" w:fill="auto"/>
            <w:noWrap/>
            <w:vAlign w:val="bottom"/>
            <w:hideMark/>
          </w:tcPr>
          <w:p w14:paraId="2A2213C3"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106.994,80</w:t>
            </w:r>
          </w:p>
        </w:tc>
        <w:tc>
          <w:tcPr>
            <w:tcW w:w="1134" w:type="dxa"/>
            <w:tcBorders>
              <w:top w:val="nil"/>
              <w:left w:val="nil"/>
              <w:bottom w:val="single" w:sz="4" w:space="0" w:color="auto"/>
              <w:right w:val="single" w:sz="4" w:space="0" w:color="auto"/>
            </w:tcBorders>
            <w:shd w:val="clear" w:color="auto" w:fill="auto"/>
            <w:noWrap/>
            <w:vAlign w:val="bottom"/>
            <w:hideMark/>
          </w:tcPr>
          <w:p w14:paraId="785CF63B"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2.091.363,60</w:t>
            </w:r>
          </w:p>
        </w:tc>
      </w:tr>
      <w:tr w:rsidR="006356F1" w:rsidRPr="003A5ACA" w14:paraId="15282F20"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9550585"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2016</w:t>
            </w:r>
          </w:p>
        </w:tc>
        <w:tc>
          <w:tcPr>
            <w:tcW w:w="992" w:type="dxa"/>
            <w:tcBorders>
              <w:top w:val="nil"/>
              <w:left w:val="nil"/>
              <w:bottom w:val="single" w:sz="4" w:space="0" w:color="auto"/>
              <w:right w:val="single" w:sz="4" w:space="0" w:color="auto"/>
            </w:tcBorders>
            <w:shd w:val="clear" w:color="auto" w:fill="auto"/>
            <w:noWrap/>
            <w:vAlign w:val="bottom"/>
            <w:hideMark/>
          </w:tcPr>
          <w:p w14:paraId="2DC1A2AC"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67</w:t>
            </w:r>
          </w:p>
        </w:tc>
        <w:tc>
          <w:tcPr>
            <w:tcW w:w="1134" w:type="dxa"/>
            <w:tcBorders>
              <w:top w:val="nil"/>
              <w:left w:val="nil"/>
              <w:bottom w:val="single" w:sz="4" w:space="0" w:color="auto"/>
              <w:right w:val="single" w:sz="4" w:space="0" w:color="auto"/>
            </w:tcBorders>
            <w:shd w:val="clear" w:color="auto" w:fill="auto"/>
            <w:noWrap/>
            <w:vAlign w:val="center"/>
            <w:hideMark/>
          </w:tcPr>
          <w:p w14:paraId="788A74C7" w14:textId="77777777" w:rsidR="006356F1" w:rsidRDefault="006356F1" w:rsidP="00217400">
            <w:pPr>
              <w:jc w:val="center"/>
              <w:rPr>
                <w:rFonts w:ascii="Calibri" w:hAnsi="Calibri" w:cs="Calibri"/>
                <w:color w:val="000000"/>
                <w:sz w:val="16"/>
                <w:szCs w:val="22"/>
              </w:rPr>
            </w:pPr>
          </w:p>
          <w:p w14:paraId="72AEDD64"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3.049</w:t>
            </w:r>
          </w:p>
        </w:tc>
        <w:tc>
          <w:tcPr>
            <w:tcW w:w="1843" w:type="dxa"/>
            <w:tcBorders>
              <w:top w:val="nil"/>
              <w:left w:val="nil"/>
              <w:bottom w:val="single" w:sz="4" w:space="0" w:color="auto"/>
              <w:right w:val="single" w:sz="4" w:space="0" w:color="auto"/>
            </w:tcBorders>
            <w:shd w:val="clear" w:color="auto" w:fill="auto"/>
            <w:noWrap/>
            <w:vAlign w:val="bottom"/>
            <w:hideMark/>
          </w:tcPr>
          <w:p w14:paraId="39704322"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759.856.426,60</w:t>
            </w:r>
          </w:p>
        </w:tc>
        <w:tc>
          <w:tcPr>
            <w:tcW w:w="1559" w:type="dxa"/>
            <w:tcBorders>
              <w:top w:val="nil"/>
              <w:left w:val="nil"/>
              <w:bottom w:val="single" w:sz="4" w:space="0" w:color="auto"/>
              <w:right w:val="single" w:sz="4" w:space="0" w:color="auto"/>
            </w:tcBorders>
            <w:shd w:val="clear" w:color="auto" w:fill="auto"/>
            <w:noWrap/>
            <w:vAlign w:val="bottom"/>
            <w:hideMark/>
          </w:tcPr>
          <w:p w14:paraId="22CC484B"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7.659.738.704,10</w:t>
            </w:r>
          </w:p>
        </w:tc>
        <w:tc>
          <w:tcPr>
            <w:tcW w:w="1276" w:type="dxa"/>
            <w:tcBorders>
              <w:top w:val="nil"/>
              <w:left w:val="nil"/>
              <w:bottom w:val="single" w:sz="4" w:space="0" w:color="auto"/>
              <w:right w:val="single" w:sz="4" w:space="0" w:color="auto"/>
            </w:tcBorders>
            <w:shd w:val="clear" w:color="auto" w:fill="auto"/>
            <w:noWrap/>
            <w:vAlign w:val="bottom"/>
            <w:hideMark/>
          </w:tcPr>
          <w:p w14:paraId="11FE3007"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249.215,00</w:t>
            </w:r>
          </w:p>
        </w:tc>
        <w:tc>
          <w:tcPr>
            <w:tcW w:w="1134" w:type="dxa"/>
            <w:tcBorders>
              <w:top w:val="nil"/>
              <w:left w:val="nil"/>
              <w:bottom w:val="single" w:sz="4" w:space="0" w:color="auto"/>
              <w:right w:val="single" w:sz="4" w:space="0" w:color="auto"/>
            </w:tcBorders>
            <w:shd w:val="clear" w:color="auto" w:fill="auto"/>
            <w:noWrap/>
            <w:vAlign w:val="bottom"/>
            <w:hideMark/>
          </w:tcPr>
          <w:p w14:paraId="5F853AA8"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2.512.213,40</w:t>
            </w:r>
          </w:p>
        </w:tc>
      </w:tr>
      <w:tr w:rsidR="006356F1" w:rsidRPr="003A5ACA" w14:paraId="27D8EE8B"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1A4AE46"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2017</w:t>
            </w:r>
          </w:p>
        </w:tc>
        <w:tc>
          <w:tcPr>
            <w:tcW w:w="992" w:type="dxa"/>
            <w:tcBorders>
              <w:top w:val="nil"/>
              <w:left w:val="nil"/>
              <w:bottom w:val="single" w:sz="4" w:space="0" w:color="auto"/>
              <w:right w:val="single" w:sz="4" w:space="0" w:color="auto"/>
            </w:tcBorders>
            <w:shd w:val="clear" w:color="auto" w:fill="auto"/>
            <w:noWrap/>
            <w:vAlign w:val="bottom"/>
            <w:hideMark/>
          </w:tcPr>
          <w:p w14:paraId="65BE907D"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69</w:t>
            </w:r>
          </w:p>
        </w:tc>
        <w:tc>
          <w:tcPr>
            <w:tcW w:w="1134" w:type="dxa"/>
            <w:tcBorders>
              <w:top w:val="nil"/>
              <w:left w:val="nil"/>
              <w:bottom w:val="single" w:sz="4" w:space="0" w:color="auto"/>
              <w:right w:val="single" w:sz="4" w:space="0" w:color="auto"/>
            </w:tcBorders>
            <w:shd w:val="clear" w:color="auto" w:fill="auto"/>
            <w:noWrap/>
            <w:vAlign w:val="center"/>
            <w:hideMark/>
          </w:tcPr>
          <w:p w14:paraId="5AB9FC2D" w14:textId="77777777" w:rsidR="006356F1" w:rsidRDefault="006356F1" w:rsidP="00217400">
            <w:pPr>
              <w:jc w:val="center"/>
              <w:rPr>
                <w:rFonts w:ascii="Calibri" w:hAnsi="Calibri" w:cs="Calibri"/>
                <w:color w:val="000000"/>
                <w:sz w:val="16"/>
                <w:szCs w:val="22"/>
              </w:rPr>
            </w:pPr>
          </w:p>
          <w:p w14:paraId="2C0C325A"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2.420</w:t>
            </w:r>
          </w:p>
        </w:tc>
        <w:tc>
          <w:tcPr>
            <w:tcW w:w="1843" w:type="dxa"/>
            <w:tcBorders>
              <w:top w:val="nil"/>
              <w:left w:val="nil"/>
              <w:bottom w:val="single" w:sz="4" w:space="0" w:color="auto"/>
              <w:right w:val="single" w:sz="4" w:space="0" w:color="auto"/>
            </w:tcBorders>
            <w:shd w:val="clear" w:color="auto" w:fill="auto"/>
            <w:noWrap/>
            <w:vAlign w:val="bottom"/>
            <w:hideMark/>
          </w:tcPr>
          <w:p w14:paraId="6AF45EAA"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194.079.541,80</w:t>
            </w:r>
          </w:p>
        </w:tc>
        <w:tc>
          <w:tcPr>
            <w:tcW w:w="1559" w:type="dxa"/>
            <w:tcBorders>
              <w:top w:val="nil"/>
              <w:left w:val="nil"/>
              <w:bottom w:val="single" w:sz="4" w:space="0" w:color="auto"/>
              <w:right w:val="single" w:sz="4" w:space="0" w:color="auto"/>
            </w:tcBorders>
            <w:shd w:val="clear" w:color="auto" w:fill="auto"/>
            <w:noWrap/>
            <w:vAlign w:val="bottom"/>
            <w:hideMark/>
          </w:tcPr>
          <w:p w14:paraId="3BE093E6"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9.254.662.849,70</w:t>
            </w:r>
          </w:p>
        </w:tc>
        <w:tc>
          <w:tcPr>
            <w:tcW w:w="1276" w:type="dxa"/>
            <w:tcBorders>
              <w:top w:val="nil"/>
              <w:left w:val="nil"/>
              <w:bottom w:val="single" w:sz="4" w:space="0" w:color="auto"/>
              <w:right w:val="single" w:sz="4" w:space="0" w:color="auto"/>
            </w:tcBorders>
            <w:shd w:val="clear" w:color="auto" w:fill="auto"/>
            <w:noWrap/>
            <w:vAlign w:val="bottom"/>
            <w:hideMark/>
          </w:tcPr>
          <w:p w14:paraId="3196A703"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80.198,20</w:t>
            </w:r>
          </w:p>
        </w:tc>
        <w:tc>
          <w:tcPr>
            <w:tcW w:w="1134" w:type="dxa"/>
            <w:tcBorders>
              <w:top w:val="nil"/>
              <w:left w:val="nil"/>
              <w:bottom w:val="single" w:sz="4" w:space="0" w:color="auto"/>
              <w:right w:val="single" w:sz="4" w:space="0" w:color="auto"/>
            </w:tcBorders>
            <w:shd w:val="clear" w:color="auto" w:fill="auto"/>
            <w:noWrap/>
            <w:vAlign w:val="bottom"/>
            <w:hideMark/>
          </w:tcPr>
          <w:p w14:paraId="7B91EA5D"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3.824.240,80</w:t>
            </w:r>
          </w:p>
        </w:tc>
      </w:tr>
      <w:tr w:rsidR="006356F1" w:rsidRPr="003A5ACA" w14:paraId="1A9E200D"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8440E9B" w14:textId="77777777" w:rsidR="006356F1" w:rsidRPr="003A5ACA" w:rsidRDefault="006356F1" w:rsidP="00217400">
            <w:pPr>
              <w:rPr>
                <w:rFonts w:ascii="Calibri" w:hAnsi="Calibri" w:cs="Calibri"/>
                <w:color w:val="000000"/>
                <w:sz w:val="16"/>
                <w:szCs w:val="22"/>
              </w:rPr>
            </w:pPr>
            <w:r w:rsidRPr="003A5ACA">
              <w:rPr>
                <w:rFonts w:ascii="Calibri" w:hAnsi="Calibri" w:cs="Calibri"/>
                <w:color w:val="000000"/>
                <w:sz w:val="16"/>
                <w:szCs w:val="22"/>
              </w:rPr>
              <w:t>2018</w:t>
            </w:r>
          </w:p>
        </w:tc>
        <w:tc>
          <w:tcPr>
            <w:tcW w:w="992" w:type="dxa"/>
            <w:tcBorders>
              <w:top w:val="nil"/>
              <w:left w:val="nil"/>
              <w:bottom w:val="single" w:sz="4" w:space="0" w:color="auto"/>
              <w:right w:val="single" w:sz="4" w:space="0" w:color="auto"/>
            </w:tcBorders>
            <w:shd w:val="clear" w:color="auto" w:fill="auto"/>
            <w:noWrap/>
            <w:vAlign w:val="bottom"/>
            <w:hideMark/>
          </w:tcPr>
          <w:p w14:paraId="75F12E6A"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83</w:t>
            </w:r>
          </w:p>
        </w:tc>
        <w:tc>
          <w:tcPr>
            <w:tcW w:w="1134" w:type="dxa"/>
            <w:tcBorders>
              <w:top w:val="nil"/>
              <w:left w:val="nil"/>
              <w:bottom w:val="single" w:sz="4" w:space="0" w:color="auto"/>
              <w:right w:val="single" w:sz="4" w:space="0" w:color="auto"/>
            </w:tcBorders>
            <w:shd w:val="clear" w:color="auto" w:fill="auto"/>
            <w:noWrap/>
            <w:vAlign w:val="center"/>
            <w:hideMark/>
          </w:tcPr>
          <w:p w14:paraId="408E9E1B" w14:textId="77777777" w:rsidR="006356F1" w:rsidRDefault="006356F1" w:rsidP="00217400">
            <w:pPr>
              <w:jc w:val="center"/>
              <w:rPr>
                <w:rFonts w:ascii="Calibri" w:hAnsi="Calibri" w:cs="Calibri"/>
                <w:color w:val="000000"/>
                <w:sz w:val="16"/>
                <w:szCs w:val="22"/>
              </w:rPr>
            </w:pPr>
          </w:p>
          <w:p w14:paraId="3A54468E"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3.742</w:t>
            </w:r>
          </w:p>
        </w:tc>
        <w:tc>
          <w:tcPr>
            <w:tcW w:w="1843" w:type="dxa"/>
            <w:tcBorders>
              <w:top w:val="nil"/>
              <w:left w:val="nil"/>
              <w:bottom w:val="single" w:sz="4" w:space="0" w:color="auto"/>
              <w:right w:val="single" w:sz="4" w:space="0" w:color="auto"/>
            </w:tcBorders>
            <w:shd w:val="clear" w:color="auto" w:fill="auto"/>
            <w:noWrap/>
            <w:vAlign w:val="bottom"/>
            <w:hideMark/>
          </w:tcPr>
          <w:p w14:paraId="4E2379C5"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880.051.306,00</w:t>
            </w:r>
          </w:p>
        </w:tc>
        <w:tc>
          <w:tcPr>
            <w:tcW w:w="1559" w:type="dxa"/>
            <w:tcBorders>
              <w:top w:val="nil"/>
              <w:left w:val="nil"/>
              <w:bottom w:val="single" w:sz="4" w:space="0" w:color="auto"/>
              <w:right w:val="single" w:sz="4" w:space="0" w:color="auto"/>
            </w:tcBorders>
            <w:shd w:val="clear" w:color="auto" w:fill="auto"/>
            <w:noWrap/>
            <w:vAlign w:val="bottom"/>
            <w:hideMark/>
          </w:tcPr>
          <w:p w14:paraId="42035FA5" w14:textId="77777777" w:rsidR="006356F1" w:rsidRPr="003A5ACA" w:rsidRDefault="006356F1" w:rsidP="00217400">
            <w:pPr>
              <w:jc w:val="center"/>
              <w:rPr>
                <w:rFonts w:ascii="Calibri" w:hAnsi="Calibri" w:cs="Calibri"/>
                <w:color w:val="000000"/>
                <w:sz w:val="16"/>
                <w:szCs w:val="22"/>
              </w:rPr>
            </w:pPr>
            <w:r w:rsidRPr="003A5ACA">
              <w:rPr>
                <w:rFonts w:ascii="Calibri" w:hAnsi="Calibri" w:cs="Calibri"/>
                <w:color w:val="000000"/>
                <w:sz w:val="16"/>
                <w:szCs w:val="22"/>
              </w:rPr>
              <w:t>27.271.523.542,10</w:t>
            </w:r>
          </w:p>
        </w:tc>
        <w:tc>
          <w:tcPr>
            <w:tcW w:w="1276" w:type="dxa"/>
            <w:tcBorders>
              <w:top w:val="nil"/>
              <w:left w:val="nil"/>
              <w:bottom w:val="single" w:sz="4" w:space="0" w:color="auto"/>
              <w:right w:val="single" w:sz="4" w:space="0" w:color="auto"/>
            </w:tcBorders>
            <w:shd w:val="clear" w:color="auto" w:fill="auto"/>
            <w:noWrap/>
            <w:vAlign w:val="bottom"/>
            <w:hideMark/>
          </w:tcPr>
          <w:p w14:paraId="1679180F"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235.182,10</w:t>
            </w:r>
          </w:p>
        </w:tc>
        <w:tc>
          <w:tcPr>
            <w:tcW w:w="1134" w:type="dxa"/>
            <w:tcBorders>
              <w:top w:val="nil"/>
              <w:left w:val="nil"/>
              <w:bottom w:val="single" w:sz="4" w:space="0" w:color="auto"/>
              <w:right w:val="single" w:sz="4" w:space="0" w:color="auto"/>
            </w:tcBorders>
            <w:shd w:val="clear" w:color="auto" w:fill="auto"/>
            <w:noWrap/>
            <w:vAlign w:val="bottom"/>
            <w:hideMark/>
          </w:tcPr>
          <w:p w14:paraId="3E9CA621" w14:textId="77777777" w:rsidR="006356F1" w:rsidRPr="003A5ACA" w:rsidRDefault="006356F1" w:rsidP="00217400">
            <w:pPr>
              <w:jc w:val="right"/>
              <w:rPr>
                <w:rFonts w:ascii="Calibri" w:hAnsi="Calibri" w:cs="Calibri"/>
                <w:color w:val="000000"/>
                <w:sz w:val="16"/>
                <w:szCs w:val="22"/>
              </w:rPr>
            </w:pPr>
            <w:r w:rsidRPr="003A5ACA">
              <w:rPr>
                <w:rFonts w:ascii="Calibri" w:hAnsi="Calibri" w:cs="Calibri"/>
                <w:color w:val="000000"/>
                <w:sz w:val="16"/>
                <w:szCs w:val="22"/>
              </w:rPr>
              <w:t>7.287.953,90</w:t>
            </w:r>
          </w:p>
        </w:tc>
      </w:tr>
      <w:tr w:rsidR="006356F1" w:rsidRPr="003A5ACA" w14:paraId="5C08FC85" w14:textId="77777777" w:rsidTr="00217400">
        <w:trPr>
          <w:trHeight w:val="402"/>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F4040F4" w14:textId="77777777" w:rsidR="006356F1" w:rsidRPr="003A5ACA" w:rsidRDefault="006356F1" w:rsidP="00217400">
            <w:pPr>
              <w:rPr>
                <w:rFonts w:ascii="Calibri" w:hAnsi="Calibri" w:cs="Calibri"/>
                <w:b/>
                <w:bCs/>
                <w:color w:val="000000"/>
                <w:sz w:val="16"/>
                <w:szCs w:val="22"/>
              </w:rPr>
            </w:pPr>
            <w:r w:rsidRPr="003A5ACA">
              <w:rPr>
                <w:rFonts w:ascii="Calibri" w:hAnsi="Calibri" w:cs="Calibri"/>
                <w:b/>
                <w:bCs/>
                <w:color w:val="000000"/>
                <w:sz w:val="16"/>
                <w:szCs w:val="22"/>
              </w:rPr>
              <w:t>TOTAL</w:t>
            </w:r>
          </w:p>
        </w:tc>
        <w:tc>
          <w:tcPr>
            <w:tcW w:w="992" w:type="dxa"/>
            <w:tcBorders>
              <w:top w:val="nil"/>
              <w:left w:val="nil"/>
              <w:bottom w:val="single" w:sz="4" w:space="0" w:color="auto"/>
              <w:right w:val="single" w:sz="4" w:space="0" w:color="auto"/>
            </w:tcBorders>
            <w:shd w:val="clear" w:color="auto" w:fill="auto"/>
            <w:noWrap/>
            <w:vAlign w:val="bottom"/>
            <w:hideMark/>
          </w:tcPr>
          <w:p w14:paraId="1F08AD41" w14:textId="77777777" w:rsidR="006356F1" w:rsidRPr="003A5ACA" w:rsidRDefault="006356F1" w:rsidP="00217400">
            <w:pPr>
              <w:jc w:val="center"/>
              <w:rPr>
                <w:rFonts w:ascii="Calibri" w:hAnsi="Calibri" w:cs="Calibri"/>
                <w:b/>
                <w:bCs/>
                <w:color w:val="000000"/>
                <w:sz w:val="16"/>
                <w:szCs w:val="22"/>
              </w:rPr>
            </w:pPr>
            <w:r w:rsidRPr="003A5ACA">
              <w:rPr>
                <w:rFonts w:ascii="Calibri" w:hAnsi="Calibri" w:cs="Calibri"/>
                <w:b/>
                <w:bCs/>
                <w:color w:val="000000"/>
                <w:sz w:val="16"/>
                <w:szCs w:val="22"/>
              </w:rPr>
              <w:t>2.046</w:t>
            </w:r>
          </w:p>
        </w:tc>
        <w:tc>
          <w:tcPr>
            <w:tcW w:w="1134" w:type="dxa"/>
            <w:tcBorders>
              <w:top w:val="nil"/>
              <w:left w:val="nil"/>
              <w:bottom w:val="single" w:sz="4" w:space="0" w:color="auto"/>
              <w:right w:val="single" w:sz="4" w:space="0" w:color="auto"/>
            </w:tcBorders>
            <w:shd w:val="clear" w:color="auto" w:fill="auto"/>
            <w:noWrap/>
            <w:vAlign w:val="center"/>
            <w:hideMark/>
          </w:tcPr>
          <w:p w14:paraId="2AEB5D92" w14:textId="77777777" w:rsidR="006356F1" w:rsidRDefault="006356F1" w:rsidP="00217400">
            <w:pPr>
              <w:jc w:val="center"/>
              <w:rPr>
                <w:rFonts w:ascii="Calibri" w:hAnsi="Calibri" w:cs="Calibri"/>
                <w:b/>
                <w:bCs/>
                <w:color w:val="000000"/>
                <w:sz w:val="16"/>
                <w:szCs w:val="22"/>
              </w:rPr>
            </w:pPr>
          </w:p>
          <w:p w14:paraId="22718468" w14:textId="77777777" w:rsidR="006356F1" w:rsidRPr="003A5ACA" w:rsidRDefault="006356F1" w:rsidP="00217400">
            <w:pPr>
              <w:jc w:val="center"/>
              <w:rPr>
                <w:rFonts w:ascii="Calibri" w:hAnsi="Calibri" w:cs="Calibri"/>
                <w:b/>
                <w:bCs/>
                <w:color w:val="000000"/>
                <w:sz w:val="16"/>
                <w:szCs w:val="22"/>
              </w:rPr>
            </w:pPr>
            <w:r w:rsidRPr="003A5ACA">
              <w:rPr>
                <w:rFonts w:ascii="Calibri" w:hAnsi="Calibri" w:cs="Calibri"/>
                <w:b/>
                <w:bCs/>
                <w:color w:val="000000"/>
                <w:sz w:val="16"/>
                <w:szCs w:val="22"/>
              </w:rPr>
              <w:t>218.778</w:t>
            </w:r>
          </w:p>
        </w:tc>
        <w:tc>
          <w:tcPr>
            <w:tcW w:w="1843" w:type="dxa"/>
            <w:tcBorders>
              <w:top w:val="nil"/>
              <w:left w:val="nil"/>
              <w:bottom w:val="single" w:sz="4" w:space="0" w:color="auto"/>
              <w:right w:val="single" w:sz="4" w:space="0" w:color="auto"/>
            </w:tcBorders>
            <w:shd w:val="clear" w:color="auto" w:fill="auto"/>
            <w:noWrap/>
            <w:vAlign w:val="bottom"/>
            <w:hideMark/>
          </w:tcPr>
          <w:p w14:paraId="77F13F80" w14:textId="77777777" w:rsidR="006356F1" w:rsidRPr="003A5ACA" w:rsidRDefault="006356F1" w:rsidP="00217400">
            <w:pPr>
              <w:jc w:val="center"/>
              <w:rPr>
                <w:rFonts w:ascii="Calibri" w:hAnsi="Calibri" w:cs="Calibri"/>
                <w:b/>
                <w:bCs/>
                <w:color w:val="000000"/>
                <w:sz w:val="16"/>
                <w:szCs w:val="22"/>
              </w:rPr>
            </w:pPr>
            <w:r w:rsidRPr="003A5ACA">
              <w:rPr>
                <w:rFonts w:ascii="Calibri" w:hAnsi="Calibri" w:cs="Calibri"/>
                <w:b/>
                <w:bCs/>
                <w:color w:val="000000"/>
                <w:sz w:val="16"/>
                <w:szCs w:val="22"/>
              </w:rPr>
              <w:t>79.023.419.391,40</w:t>
            </w:r>
          </w:p>
        </w:tc>
        <w:tc>
          <w:tcPr>
            <w:tcW w:w="1559" w:type="dxa"/>
            <w:tcBorders>
              <w:top w:val="nil"/>
              <w:left w:val="nil"/>
              <w:bottom w:val="single" w:sz="4" w:space="0" w:color="auto"/>
              <w:right w:val="single" w:sz="4" w:space="0" w:color="auto"/>
            </w:tcBorders>
            <w:shd w:val="clear" w:color="auto" w:fill="auto"/>
            <w:noWrap/>
            <w:vAlign w:val="bottom"/>
            <w:hideMark/>
          </w:tcPr>
          <w:p w14:paraId="7D1E1AC4" w14:textId="77777777" w:rsidR="006356F1" w:rsidRPr="003A5ACA" w:rsidRDefault="006356F1" w:rsidP="00217400">
            <w:pPr>
              <w:jc w:val="center"/>
              <w:rPr>
                <w:rFonts w:ascii="Calibri" w:hAnsi="Calibri" w:cs="Calibri"/>
                <w:b/>
                <w:bCs/>
                <w:color w:val="000000"/>
                <w:sz w:val="16"/>
                <w:szCs w:val="22"/>
              </w:rPr>
            </w:pPr>
            <w:r w:rsidRPr="003A5ACA">
              <w:rPr>
                <w:rFonts w:ascii="Calibri" w:hAnsi="Calibri" w:cs="Calibri"/>
                <w:b/>
                <w:bCs/>
                <w:color w:val="000000"/>
                <w:sz w:val="16"/>
                <w:szCs w:val="22"/>
              </w:rPr>
              <w:t>469.121.556.395,70</w:t>
            </w:r>
          </w:p>
        </w:tc>
        <w:tc>
          <w:tcPr>
            <w:tcW w:w="1276" w:type="dxa"/>
            <w:tcBorders>
              <w:top w:val="nil"/>
              <w:left w:val="nil"/>
              <w:bottom w:val="single" w:sz="4" w:space="0" w:color="auto"/>
              <w:right w:val="single" w:sz="4" w:space="0" w:color="auto"/>
            </w:tcBorders>
            <w:shd w:val="clear" w:color="auto" w:fill="auto"/>
            <w:noWrap/>
            <w:vAlign w:val="bottom"/>
            <w:hideMark/>
          </w:tcPr>
          <w:p w14:paraId="06F5C86B" w14:textId="77777777" w:rsidR="006356F1" w:rsidRPr="003A5ACA" w:rsidRDefault="006356F1" w:rsidP="00217400">
            <w:pPr>
              <w:jc w:val="right"/>
              <w:rPr>
                <w:rFonts w:ascii="Calibri" w:hAnsi="Calibri" w:cs="Calibri"/>
                <w:b/>
                <w:bCs/>
                <w:sz w:val="16"/>
                <w:szCs w:val="22"/>
              </w:rPr>
            </w:pPr>
            <w:r w:rsidRPr="003A5ACA">
              <w:rPr>
                <w:rFonts w:ascii="Calibri" w:hAnsi="Calibri" w:cs="Calibri"/>
                <w:b/>
                <w:bCs/>
                <w:sz w:val="16"/>
                <w:szCs w:val="22"/>
              </w:rPr>
              <w:t>5.585.448,30</w:t>
            </w:r>
          </w:p>
        </w:tc>
        <w:tc>
          <w:tcPr>
            <w:tcW w:w="1134" w:type="dxa"/>
            <w:tcBorders>
              <w:top w:val="nil"/>
              <w:left w:val="nil"/>
              <w:bottom w:val="single" w:sz="4" w:space="0" w:color="auto"/>
              <w:right w:val="single" w:sz="4" w:space="0" w:color="auto"/>
            </w:tcBorders>
            <w:shd w:val="clear" w:color="auto" w:fill="auto"/>
            <w:noWrap/>
            <w:vAlign w:val="bottom"/>
            <w:hideMark/>
          </w:tcPr>
          <w:p w14:paraId="1E16640D" w14:textId="77777777" w:rsidR="006356F1" w:rsidRPr="003A5ACA" w:rsidRDefault="006356F1" w:rsidP="00217400">
            <w:pPr>
              <w:jc w:val="right"/>
              <w:rPr>
                <w:rFonts w:ascii="Calibri" w:hAnsi="Calibri" w:cs="Calibri"/>
                <w:b/>
                <w:bCs/>
                <w:sz w:val="16"/>
                <w:szCs w:val="22"/>
              </w:rPr>
            </w:pPr>
            <w:r w:rsidRPr="003A5ACA">
              <w:rPr>
                <w:rFonts w:ascii="Calibri" w:hAnsi="Calibri" w:cs="Calibri"/>
                <w:b/>
                <w:bCs/>
                <w:sz w:val="16"/>
                <w:szCs w:val="22"/>
              </w:rPr>
              <w:t>61.544.271,90</w:t>
            </w:r>
          </w:p>
        </w:tc>
      </w:tr>
      <w:tr w:rsidR="006356F1" w:rsidRPr="003A5ACA" w14:paraId="3F2C7887" w14:textId="77777777" w:rsidTr="00217400">
        <w:trPr>
          <w:trHeight w:val="300"/>
        </w:trPr>
        <w:tc>
          <w:tcPr>
            <w:tcW w:w="9072" w:type="dxa"/>
            <w:gridSpan w:val="7"/>
            <w:tcBorders>
              <w:top w:val="single" w:sz="4" w:space="0" w:color="auto"/>
              <w:left w:val="nil"/>
              <w:bottom w:val="nil"/>
              <w:right w:val="nil"/>
            </w:tcBorders>
            <w:shd w:val="clear" w:color="auto" w:fill="auto"/>
            <w:noWrap/>
            <w:hideMark/>
          </w:tcPr>
          <w:p w14:paraId="5FCC6430" w14:textId="77777777" w:rsidR="006356F1" w:rsidRPr="003A5ACA" w:rsidRDefault="006356F1" w:rsidP="00217400">
            <w:pPr>
              <w:rPr>
                <w:rFonts w:ascii="Calibri" w:hAnsi="Calibri" w:cs="Calibri"/>
                <w:color w:val="000000"/>
                <w:sz w:val="16"/>
                <w:szCs w:val="16"/>
              </w:rPr>
            </w:pPr>
            <w:r w:rsidRPr="003A5ACA">
              <w:rPr>
                <w:rFonts w:ascii="Calibri" w:hAnsi="Calibri" w:cs="Calibri"/>
                <w:color w:val="000000"/>
                <w:sz w:val="16"/>
                <w:szCs w:val="16"/>
              </w:rPr>
              <w:t>(*) Valores atualizados para Dez/2017 Fonte: Secretaria de Indústria e Comércio do estado de Goiás</w:t>
            </w:r>
          </w:p>
        </w:tc>
      </w:tr>
    </w:tbl>
    <w:p w14:paraId="2818ACE2" w14:textId="77777777" w:rsidR="006356F1" w:rsidRDefault="006356F1" w:rsidP="006356F1">
      <w:pPr>
        <w:spacing w:line="360" w:lineRule="auto"/>
        <w:ind w:firstLine="851"/>
        <w:jc w:val="both"/>
        <w:rPr>
          <w:rFonts w:ascii="Arial" w:hAnsi="Arial" w:cs="Arial"/>
          <w:sz w:val="24"/>
          <w:szCs w:val="24"/>
        </w:rPr>
      </w:pPr>
    </w:p>
    <w:tbl>
      <w:tblPr>
        <w:tblW w:w="9079" w:type="dxa"/>
        <w:tblInd w:w="284" w:type="dxa"/>
        <w:tblCellMar>
          <w:left w:w="70" w:type="dxa"/>
          <w:right w:w="70" w:type="dxa"/>
        </w:tblCellMar>
        <w:tblLook w:val="04A0" w:firstRow="1" w:lastRow="0" w:firstColumn="1" w:lastColumn="0" w:noHBand="0" w:noVBand="1"/>
      </w:tblPr>
      <w:tblGrid>
        <w:gridCol w:w="709"/>
        <w:gridCol w:w="992"/>
        <w:gridCol w:w="1559"/>
        <w:gridCol w:w="1701"/>
        <w:gridCol w:w="1559"/>
        <w:gridCol w:w="1276"/>
        <w:gridCol w:w="1283"/>
      </w:tblGrid>
      <w:tr w:rsidR="006356F1" w:rsidRPr="00932D00" w14:paraId="6F752451" w14:textId="77777777" w:rsidTr="00217400">
        <w:trPr>
          <w:trHeight w:val="300"/>
        </w:trPr>
        <w:tc>
          <w:tcPr>
            <w:tcW w:w="9079" w:type="dxa"/>
            <w:gridSpan w:val="7"/>
            <w:tcBorders>
              <w:top w:val="nil"/>
              <w:left w:val="nil"/>
              <w:bottom w:val="nil"/>
              <w:right w:val="nil"/>
            </w:tcBorders>
            <w:shd w:val="clear" w:color="auto" w:fill="auto"/>
            <w:noWrap/>
            <w:vAlign w:val="bottom"/>
            <w:hideMark/>
          </w:tcPr>
          <w:p w14:paraId="55AD2BC6" w14:textId="77777777" w:rsidR="006356F1" w:rsidRPr="00932D00" w:rsidRDefault="006356F1" w:rsidP="00217400">
            <w:pPr>
              <w:rPr>
                <w:rFonts w:ascii="Calibri" w:hAnsi="Calibri" w:cs="Calibri"/>
                <w:bCs/>
                <w:color w:val="000000"/>
                <w:sz w:val="16"/>
                <w:szCs w:val="22"/>
              </w:rPr>
            </w:pPr>
            <w:r w:rsidRPr="00932D00">
              <w:rPr>
                <w:rFonts w:ascii="Calibri" w:hAnsi="Calibri" w:cs="Calibri"/>
                <w:bCs/>
                <w:color w:val="000000"/>
                <w:sz w:val="16"/>
                <w:szCs w:val="22"/>
              </w:rPr>
              <w:t>Tabela 1</w:t>
            </w:r>
            <w:r>
              <w:rPr>
                <w:rFonts w:ascii="Calibri" w:hAnsi="Calibri" w:cs="Calibri"/>
                <w:bCs/>
                <w:color w:val="000000"/>
                <w:sz w:val="16"/>
                <w:szCs w:val="22"/>
              </w:rPr>
              <w:t>1</w:t>
            </w:r>
            <w:r w:rsidRPr="00932D00">
              <w:rPr>
                <w:rFonts w:ascii="Calibri" w:hAnsi="Calibri" w:cs="Calibri"/>
                <w:bCs/>
                <w:color w:val="000000"/>
                <w:sz w:val="16"/>
                <w:szCs w:val="22"/>
              </w:rPr>
              <w:t xml:space="preserve"> – Informações de projetos aprovados no FOMENTAR(**)</w:t>
            </w:r>
          </w:p>
        </w:tc>
      </w:tr>
      <w:tr w:rsidR="006356F1" w:rsidRPr="00932D00" w14:paraId="3E0B9CEB" w14:textId="77777777" w:rsidTr="00217400">
        <w:trPr>
          <w:trHeight w:val="118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FF2C03"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Ano</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7486136"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Projetos Aprovados</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EC5FA4D"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Empregos Diretos Esperados (A)</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C206A31"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Investimento Fixo Previsto (R$) (B)</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29683FC"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Benefício a ser Concedido (R$) C</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73523E80"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(B) / (A)</w:t>
            </w:r>
          </w:p>
        </w:tc>
        <w:tc>
          <w:tcPr>
            <w:tcW w:w="1283" w:type="dxa"/>
            <w:tcBorders>
              <w:top w:val="single" w:sz="4" w:space="0" w:color="auto"/>
              <w:left w:val="nil"/>
              <w:bottom w:val="single" w:sz="4" w:space="0" w:color="auto"/>
              <w:right w:val="single" w:sz="4" w:space="0" w:color="auto"/>
            </w:tcBorders>
            <w:shd w:val="clear" w:color="auto" w:fill="auto"/>
            <w:noWrap/>
            <w:vAlign w:val="center"/>
            <w:hideMark/>
          </w:tcPr>
          <w:p w14:paraId="35349A2E"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(C) / (A)</w:t>
            </w:r>
          </w:p>
        </w:tc>
      </w:tr>
      <w:tr w:rsidR="006356F1" w:rsidRPr="00932D00" w14:paraId="5899E645"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E8FC4C7"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1999</w:t>
            </w:r>
          </w:p>
        </w:tc>
        <w:tc>
          <w:tcPr>
            <w:tcW w:w="992" w:type="dxa"/>
            <w:tcBorders>
              <w:top w:val="nil"/>
              <w:left w:val="nil"/>
              <w:bottom w:val="single" w:sz="4" w:space="0" w:color="auto"/>
              <w:right w:val="single" w:sz="4" w:space="0" w:color="auto"/>
            </w:tcBorders>
            <w:shd w:val="clear" w:color="auto" w:fill="auto"/>
            <w:noWrap/>
            <w:vAlign w:val="center"/>
            <w:hideMark/>
          </w:tcPr>
          <w:p w14:paraId="4C7CE53A"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33</w:t>
            </w:r>
          </w:p>
        </w:tc>
        <w:tc>
          <w:tcPr>
            <w:tcW w:w="1559" w:type="dxa"/>
            <w:tcBorders>
              <w:top w:val="nil"/>
              <w:left w:val="nil"/>
              <w:bottom w:val="single" w:sz="4" w:space="0" w:color="auto"/>
              <w:right w:val="single" w:sz="4" w:space="0" w:color="auto"/>
            </w:tcBorders>
            <w:shd w:val="clear" w:color="auto" w:fill="auto"/>
            <w:vAlign w:val="center"/>
            <w:hideMark/>
          </w:tcPr>
          <w:p w14:paraId="6E72C13A"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2.664</w:t>
            </w:r>
          </w:p>
        </w:tc>
        <w:tc>
          <w:tcPr>
            <w:tcW w:w="1701" w:type="dxa"/>
            <w:tcBorders>
              <w:top w:val="nil"/>
              <w:left w:val="nil"/>
              <w:bottom w:val="single" w:sz="4" w:space="0" w:color="auto"/>
              <w:right w:val="single" w:sz="4" w:space="0" w:color="auto"/>
            </w:tcBorders>
            <w:shd w:val="clear" w:color="auto" w:fill="auto"/>
            <w:vAlign w:val="center"/>
            <w:hideMark/>
          </w:tcPr>
          <w:p w14:paraId="436BC222"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351.054.008,30</w:t>
            </w:r>
          </w:p>
        </w:tc>
        <w:tc>
          <w:tcPr>
            <w:tcW w:w="1559" w:type="dxa"/>
            <w:tcBorders>
              <w:top w:val="nil"/>
              <w:left w:val="nil"/>
              <w:bottom w:val="single" w:sz="4" w:space="0" w:color="auto"/>
              <w:right w:val="single" w:sz="4" w:space="0" w:color="auto"/>
            </w:tcBorders>
            <w:shd w:val="clear" w:color="auto" w:fill="auto"/>
            <w:vAlign w:val="center"/>
            <w:hideMark/>
          </w:tcPr>
          <w:p w14:paraId="18037A21"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4.524.720.647,20</w:t>
            </w:r>
          </w:p>
        </w:tc>
        <w:tc>
          <w:tcPr>
            <w:tcW w:w="1276" w:type="dxa"/>
            <w:tcBorders>
              <w:top w:val="nil"/>
              <w:left w:val="nil"/>
              <w:bottom w:val="single" w:sz="4" w:space="0" w:color="auto"/>
              <w:right w:val="single" w:sz="4" w:space="0" w:color="auto"/>
            </w:tcBorders>
            <w:shd w:val="clear" w:color="auto" w:fill="auto"/>
            <w:noWrap/>
            <w:vAlign w:val="center"/>
            <w:hideMark/>
          </w:tcPr>
          <w:p w14:paraId="58710D6B"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131.777,00</w:t>
            </w:r>
          </w:p>
        </w:tc>
        <w:tc>
          <w:tcPr>
            <w:tcW w:w="1283" w:type="dxa"/>
            <w:tcBorders>
              <w:top w:val="nil"/>
              <w:left w:val="nil"/>
              <w:bottom w:val="single" w:sz="4" w:space="0" w:color="auto"/>
              <w:right w:val="single" w:sz="4" w:space="0" w:color="auto"/>
            </w:tcBorders>
            <w:shd w:val="clear" w:color="auto" w:fill="auto"/>
            <w:noWrap/>
            <w:vAlign w:val="center"/>
            <w:hideMark/>
          </w:tcPr>
          <w:p w14:paraId="041C9C04"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1.698.468,70</w:t>
            </w:r>
          </w:p>
        </w:tc>
      </w:tr>
      <w:tr w:rsidR="006356F1" w:rsidRPr="00932D00" w14:paraId="41E43EDA"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323D456"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2000</w:t>
            </w:r>
          </w:p>
        </w:tc>
        <w:tc>
          <w:tcPr>
            <w:tcW w:w="992" w:type="dxa"/>
            <w:tcBorders>
              <w:top w:val="nil"/>
              <w:left w:val="nil"/>
              <w:bottom w:val="single" w:sz="4" w:space="0" w:color="auto"/>
              <w:right w:val="single" w:sz="4" w:space="0" w:color="auto"/>
            </w:tcBorders>
            <w:shd w:val="clear" w:color="auto" w:fill="auto"/>
            <w:noWrap/>
            <w:vAlign w:val="bottom"/>
            <w:hideMark/>
          </w:tcPr>
          <w:p w14:paraId="3095B6F8"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22</w:t>
            </w:r>
          </w:p>
        </w:tc>
        <w:tc>
          <w:tcPr>
            <w:tcW w:w="1559" w:type="dxa"/>
            <w:tcBorders>
              <w:top w:val="nil"/>
              <w:left w:val="nil"/>
              <w:bottom w:val="single" w:sz="4" w:space="0" w:color="auto"/>
              <w:right w:val="single" w:sz="4" w:space="0" w:color="auto"/>
            </w:tcBorders>
            <w:shd w:val="clear" w:color="auto" w:fill="auto"/>
            <w:noWrap/>
            <w:vAlign w:val="center"/>
            <w:hideMark/>
          </w:tcPr>
          <w:p w14:paraId="7A9905C2"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6.079</w:t>
            </w:r>
          </w:p>
        </w:tc>
        <w:tc>
          <w:tcPr>
            <w:tcW w:w="1701" w:type="dxa"/>
            <w:tcBorders>
              <w:top w:val="nil"/>
              <w:left w:val="nil"/>
              <w:bottom w:val="single" w:sz="4" w:space="0" w:color="auto"/>
              <w:right w:val="single" w:sz="4" w:space="0" w:color="auto"/>
            </w:tcBorders>
            <w:shd w:val="clear" w:color="auto" w:fill="auto"/>
            <w:noWrap/>
            <w:vAlign w:val="bottom"/>
            <w:hideMark/>
          </w:tcPr>
          <w:p w14:paraId="5B7ED01F"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516.380.393,90</w:t>
            </w:r>
          </w:p>
        </w:tc>
        <w:tc>
          <w:tcPr>
            <w:tcW w:w="1559" w:type="dxa"/>
            <w:tcBorders>
              <w:top w:val="nil"/>
              <w:left w:val="nil"/>
              <w:bottom w:val="single" w:sz="4" w:space="0" w:color="auto"/>
              <w:right w:val="single" w:sz="4" w:space="0" w:color="auto"/>
            </w:tcBorders>
            <w:shd w:val="clear" w:color="auto" w:fill="auto"/>
            <w:noWrap/>
            <w:vAlign w:val="bottom"/>
            <w:hideMark/>
          </w:tcPr>
          <w:p w14:paraId="2B031DCA"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6.149.055.598,60</w:t>
            </w:r>
          </w:p>
        </w:tc>
        <w:tc>
          <w:tcPr>
            <w:tcW w:w="1276" w:type="dxa"/>
            <w:tcBorders>
              <w:top w:val="nil"/>
              <w:left w:val="nil"/>
              <w:bottom w:val="single" w:sz="4" w:space="0" w:color="auto"/>
              <w:right w:val="single" w:sz="4" w:space="0" w:color="auto"/>
            </w:tcBorders>
            <w:shd w:val="clear" w:color="auto" w:fill="auto"/>
            <w:noWrap/>
            <w:vAlign w:val="bottom"/>
            <w:hideMark/>
          </w:tcPr>
          <w:p w14:paraId="319A90C5"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84.945,00</w:t>
            </w:r>
          </w:p>
        </w:tc>
        <w:tc>
          <w:tcPr>
            <w:tcW w:w="1283" w:type="dxa"/>
            <w:tcBorders>
              <w:top w:val="nil"/>
              <w:left w:val="nil"/>
              <w:bottom w:val="single" w:sz="4" w:space="0" w:color="auto"/>
              <w:right w:val="single" w:sz="4" w:space="0" w:color="auto"/>
            </w:tcBorders>
            <w:shd w:val="clear" w:color="auto" w:fill="auto"/>
            <w:noWrap/>
            <w:vAlign w:val="bottom"/>
            <w:hideMark/>
          </w:tcPr>
          <w:p w14:paraId="11B0ACDC"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1.011.524,20</w:t>
            </w:r>
          </w:p>
        </w:tc>
      </w:tr>
      <w:tr w:rsidR="006356F1" w:rsidRPr="00932D00" w14:paraId="4A127046"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6C4BFD3F"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2001</w:t>
            </w:r>
          </w:p>
        </w:tc>
        <w:tc>
          <w:tcPr>
            <w:tcW w:w="992" w:type="dxa"/>
            <w:tcBorders>
              <w:top w:val="nil"/>
              <w:left w:val="nil"/>
              <w:bottom w:val="single" w:sz="4" w:space="0" w:color="auto"/>
              <w:right w:val="single" w:sz="4" w:space="0" w:color="auto"/>
            </w:tcBorders>
            <w:shd w:val="clear" w:color="auto" w:fill="auto"/>
            <w:noWrap/>
            <w:vAlign w:val="bottom"/>
            <w:hideMark/>
          </w:tcPr>
          <w:p w14:paraId="3A3F41BD"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w:t>
            </w:r>
          </w:p>
        </w:tc>
        <w:tc>
          <w:tcPr>
            <w:tcW w:w="1559" w:type="dxa"/>
            <w:tcBorders>
              <w:top w:val="nil"/>
              <w:left w:val="nil"/>
              <w:bottom w:val="single" w:sz="4" w:space="0" w:color="auto"/>
              <w:right w:val="single" w:sz="4" w:space="0" w:color="auto"/>
            </w:tcBorders>
            <w:shd w:val="clear" w:color="auto" w:fill="auto"/>
            <w:noWrap/>
            <w:vAlign w:val="center"/>
            <w:hideMark/>
          </w:tcPr>
          <w:p w14:paraId="27C9C036"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1.776</w:t>
            </w:r>
          </w:p>
        </w:tc>
        <w:tc>
          <w:tcPr>
            <w:tcW w:w="1701" w:type="dxa"/>
            <w:tcBorders>
              <w:top w:val="nil"/>
              <w:left w:val="nil"/>
              <w:bottom w:val="single" w:sz="4" w:space="0" w:color="auto"/>
              <w:right w:val="single" w:sz="4" w:space="0" w:color="auto"/>
            </w:tcBorders>
            <w:shd w:val="clear" w:color="auto" w:fill="auto"/>
            <w:noWrap/>
            <w:vAlign w:val="bottom"/>
            <w:hideMark/>
          </w:tcPr>
          <w:p w14:paraId="01DF9536"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217.756.620,70</w:t>
            </w:r>
          </w:p>
        </w:tc>
        <w:tc>
          <w:tcPr>
            <w:tcW w:w="1559" w:type="dxa"/>
            <w:tcBorders>
              <w:top w:val="nil"/>
              <w:left w:val="nil"/>
              <w:bottom w:val="single" w:sz="4" w:space="0" w:color="auto"/>
              <w:right w:val="single" w:sz="4" w:space="0" w:color="auto"/>
            </w:tcBorders>
            <w:shd w:val="clear" w:color="auto" w:fill="auto"/>
            <w:noWrap/>
            <w:vAlign w:val="bottom"/>
            <w:hideMark/>
          </w:tcPr>
          <w:p w14:paraId="796BF7EE"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1.498.197.367,20</w:t>
            </w:r>
          </w:p>
        </w:tc>
        <w:tc>
          <w:tcPr>
            <w:tcW w:w="1276" w:type="dxa"/>
            <w:tcBorders>
              <w:top w:val="nil"/>
              <w:left w:val="nil"/>
              <w:bottom w:val="single" w:sz="4" w:space="0" w:color="auto"/>
              <w:right w:val="single" w:sz="4" w:space="0" w:color="auto"/>
            </w:tcBorders>
            <w:shd w:val="clear" w:color="auto" w:fill="auto"/>
            <w:noWrap/>
            <w:vAlign w:val="bottom"/>
            <w:hideMark/>
          </w:tcPr>
          <w:p w14:paraId="3E1351F6"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122.610,70</w:t>
            </w:r>
          </w:p>
        </w:tc>
        <w:tc>
          <w:tcPr>
            <w:tcW w:w="1283" w:type="dxa"/>
            <w:tcBorders>
              <w:top w:val="nil"/>
              <w:left w:val="nil"/>
              <w:bottom w:val="single" w:sz="4" w:space="0" w:color="auto"/>
              <w:right w:val="single" w:sz="4" w:space="0" w:color="auto"/>
            </w:tcBorders>
            <w:shd w:val="clear" w:color="auto" w:fill="auto"/>
            <w:noWrap/>
            <w:vAlign w:val="bottom"/>
            <w:hideMark/>
          </w:tcPr>
          <w:p w14:paraId="063C1586"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843.579,60</w:t>
            </w:r>
          </w:p>
        </w:tc>
      </w:tr>
      <w:tr w:rsidR="006356F1" w:rsidRPr="00932D00" w14:paraId="729BD78A"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406A08EB"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2003</w:t>
            </w:r>
          </w:p>
        </w:tc>
        <w:tc>
          <w:tcPr>
            <w:tcW w:w="992" w:type="dxa"/>
            <w:tcBorders>
              <w:top w:val="nil"/>
              <w:left w:val="nil"/>
              <w:bottom w:val="single" w:sz="4" w:space="0" w:color="auto"/>
              <w:right w:val="single" w:sz="4" w:space="0" w:color="auto"/>
            </w:tcBorders>
            <w:shd w:val="clear" w:color="auto" w:fill="auto"/>
            <w:noWrap/>
            <w:vAlign w:val="bottom"/>
            <w:hideMark/>
          </w:tcPr>
          <w:p w14:paraId="3EE4F0E5"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w:t>
            </w:r>
          </w:p>
        </w:tc>
        <w:tc>
          <w:tcPr>
            <w:tcW w:w="1559" w:type="dxa"/>
            <w:tcBorders>
              <w:top w:val="nil"/>
              <w:left w:val="nil"/>
              <w:bottom w:val="single" w:sz="4" w:space="0" w:color="auto"/>
              <w:right w:val="single" w:sz="4" w:space="0" w:color="auto"/>
            </w:tcBorders>
            <w:shd w:val="clear" w:color="auto" w:fill="auto"/>
            <w:noWrap/>
            <w:vAlign w:val="center"/>
            <w:hideMark/>
          </w:tcPr>
          <w:p w14:paraId="6FFA4CA4"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w:t>
            </w:r>
          </w:p>
        </w:tc>
        <w:tc>
          <w:tcPr>
            <w:tcW w:w="1701" w:type="dxa"/>
            <w:tcBorders>
              <w:top w:val="nil"/>
              <w:left w:val="nil"/>
              <w:bottom w:val="single" w:sz="4" w:space="0" w:color="auto"/>
              <w:right w:val="single" w:sz="4" w:space="0" w:color="auto"/>
            </w:tcBorders>
            <w:shd w:val="clear" w:color="auto" w:fill="auto"/>
            <w:noWrap/>
            <w:vAlign w:val="bottom"/>
            <w:hideMark/>
          </w:tcPr>
          <w:p w14:paraId="705B2C68"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w:t>
            </w:r>
          </w:p>
        </w:tc>
        <w:tc>
          <w:tcPr>
            <w:tcW w:w="1559" w:type="dxa"/>
            <w:tcBorders>
              <w:top w:val="nil"/>
              <w:left w:val="nil"/>
              <w:bottom w:val="single" w:sz="4" w:space="0" w:color="auto"/>
              <w:right w:val="single" w:sz="4" w:space="0" w:color="auto"/>
            </w:tcBorders>
            <w:shd w:val="clear" w:color="auto" w:fill="auto"/>
            <w:vAlign w:val="bottom"/>
            <w:hideMark/>
          </w:tcPr>
          <w:p w14:paraId="74C3834B"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34.558,00</w:t>
            </w:r>
          </w:p>
        </w:tc>
        <w:tc>
          <w:tcPr>
            <w:tcW w:w="1276" w:type="dxa"/>
            <w:tcBorders>
              <w:top w:val="nil"/>
              <w:left w:val="nil"/>
              <w:bottom w:val="single" w:sz="4" w:space="0" w:color="auto"/>
              <w:right w:val="single" w:sz="4" w:space="0" w:color="auto"/>
            </w:tcBorders>
            <w:shd w:val="clear" w:color="auto" w:fill="auto"/>
            <w:noWrap/>
            <w:vAlign w:val="bottom"/>
            <w:hideMark/>
          </w:tcPr>
          <w:p w14:paraId="0B90DBA5"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w:t>
            </w:r>
          </w:p>
        </w:tc>
        <w:tc>
          <w:tcPr>
            <w:tcW w:w="1283" w:type="dxa"/>
            <w:tcBorders>
              <w:top w:val="nil"/>
              <w:left w:val="nil"/>
              <w:bottom w:val="single" w:sz="4" w:space="0" w:color="auto"/>
              <w:right w:val="single" w:sz="4" w:space="0" w:color="auto"/>
            </w:tcBorders>
            <w:shd w:val="clear" w:color="auto" w:fill="auto"/>
            <w:noWrap/>
            <w:vAlign w:val="bottom"/>
            <w:hideMark/>
          </w:tcPr>
          <w:p w14:paraId="4F47051C"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17.279,00</w:t>
            </w:r>
          </w:p>
        </w:tc>
      </w:tr>
      <w:tr w:rsidR="006356F1" w:rsidRPr="00932D00" w14:paraId="402D8439"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5FA8B733"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lastRenderedPageBreak/>
              <w:t>2004</w:t>
            </w:r>
          </w:p>
        </w:tc>
        <w:tc>
          <w:tcPr>
            <w:tcW w:w="992" w:type="dxa"/>
            <w:tcBorders>
              <w:top w:val="nil"/>
              <w:left w:val="nil"/>
              <w:bottom w:val="single" w:sz="4" w:space="0" w:color="auto"/>
              <w:right w:val="single" w:sz="4" w:space="0" w:color="auto"/>
            </w:tcBorders>
            <w:shd w:val="clear" w:color="auto" w:fill="auto"/>
            <w:noWrap/>
            <w:vAlign w:val="bottom"/>
            <w:hideMark/>
          </w:tcPr>
          <w:p w14:paraId="66891949"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w:t>
            </w:r>
          </w:p>
        </w:tc>
        <w:tc>
          <w:tcPr>
            <w:tcW w:w="1559" w:type="dxa"/>
            <w:tcBorders>
              <w:top w:val="nil"/>
              <w:left w:val="nil"/>
              <w:bottom w:val="single" w:sz="4" w:space="0" w:color="auto"/>
              <w:right w:val="single" w:sz="4" w:space="0" w:color="auto"/>
            </w:tcBorders>
            <w:shd w:val="clear" w:color="auto" w:fill="auto"/>
            <w:noWrap/>
            <w:vAlign w:val="center"/>
            <w:hideMark/>
          </w:tcPr>
          <w:p w14:paraId="349BE5BA"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1.031</w:t>
            </w:r>
          </w:p>
        </w:tc>
        <w:tc>
          <w:tcPr>
            <w:tcW w:w="1701" w:type="dxa"/>
            <w:tcBorders>
              <w:top w:val="nil"/>
              <w:left w:val="nil"/>
              <w:bottom w:val="single" w:sz="4" w:space="0" w:color="auto"/>
              <w:right w:val="single" w:sz="4" w:space="0" w:color="auto"/>
            </w:tcBorders>
            <w:shd w:val="clear" w:color="auto" w:fill="auto"/>
            <w:noWrap/>
            <w:vAlign w:val="bottom"/>
            <w:hideMark/>
          </w:tcPr>
          <w:p w14:paraId="5BC8F31A"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w:t>
            </w:r>
          </w:p>
        </w:tc>
        <w:tc>
          <w:tcPr>
            <w:tcW w:w="1559" w:type="dxa"/>
            <w:tcBorders>
              <w:top w:val="nil"/>
              <w:left w:val="nil"/>
              <w:bottom w:val="single" w:sz="4" w:space="0" w:color="auto"/>
              <w:right w:val="single" w:sz="4" w:space="0" w:color="auto"/>
            </w:tcBorders>
            <w:shd w:val="clear" w:color="auto" w:fill="auto"/>
            <w:noWrap/>
            <w:vAlign w:val="bottom"/>
            <w:hideMark/>
          </w:tcPr>
          <w:p w14:paraId="472300D1"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129.112.766,50</w:t>
            </w:r>
          </w:p>
        </w:tc>
        <w:tc>
          <w:tcPr>
            <w:tcW w:w="1276" w:type="dxa"/>
            <w:tcBorders>
              <w:top w:val="nil"/>
              <w:left w:val="nil"/>
              <w:bottom w:val="nil"/>
              <w:right w:val="single" w:sz="4" w:space="0" w:color="auto"/>
            </w:tcBorders>
            <w:shd w:val="clear" w:color="auto" w:fill="auto"/>
            <w:noWrap/>
            <w:vAlign w:val="bottom"/>
            <w:hideMark/>
          </w:tcPr>
          <w:p w14:paraId="24E319A2"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w:t>
            </w:r>
          </w:p>
        </w:tc>
        <w:tc>
          <w:tcPr>
            <w:tcW w:w="1283" w:type="dxa"/>
            <w:tcBorders>
              <w:top w:val="nil"/>
              <w:left w:val="nil"/>
              <w:bottom w:val="single" w:sz="4" w:space="0" w:color="auto"/>
              <w:right w:val="single" w:sz="4" w:space="0" w:color="auto"/>
            </w:tcBorders>
            <w:shd w:val="clear" w:color="auto" w:fill="auto"/>
            <w:noWrap/>
            <w:vAlign w:val="bottom"/>
            <w:hideMark/>
          </w:tcPr>
          <w:p w14:paraId="375B2F2C"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125.230,60</w:t>
            </w:r>
          </w:p>
        </w:tc>
      </w:tr>
      <w:tr w:rsidR="006356F1" w:rsidRPr="00932D00" w14:paraId="06BDFA87"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D36655C"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2008</w:t>
            </w:r>
          </w:p>
        </w:tc>
        <w:tc>
          <w:tcPr>
            <w:tcW w:w="992" w:type="dxa"/>
            <w:tcBorders>
              <w:top w:val="nil"/>
              <w:left w:val="nil"/>
              <w:bottom w:val="single" w:sz="4" w:space="0" w:color="auto"/>
              <w:right w:val="single" w:sz="4" w:space="0" w:color="auto"/>
            </w:tcBorders>
            <w:shd w:val="clear" w:color="auto" w:fill="auto"/>
            <w:noWrap/>
            <w:vAlign w:val="bottom"/>
            <w:hideMark/>
          </w:tcPr>
          <w:p w14:paraId="1ADB4E6B"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w:t>
            </w:r>
          </w:p>
        </w:tc>
        <w:tc>
          <w:tcPr>
            <w:tcW w:w="1559" w:type="dxa"/>
            <w:tcBorders>
              <w:top w:val="nil"/>
              <w:left w:val="nil"/>
              <w:bottom w:val="single" w:sz="4" w:space="0" w:color="auto"/>
              <w:right w:val="single" w:sz="4" w:space="0" w:color="auto"/>
            </w:tcBorders>
            <w:shd w:val="clear" w:color="auto" w:fill="auto"/>
            <w:noWrap/>
            <w:vAlign w:val="center"/>
            <w:hideMark/>
          </w:tcPr>
          <w:p w14:paraId="6A5C2A19"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165</w:t>
            </w:r>
          </w:p>
        </w:tc>
        <w:tc>
          <w:tcPr>
            <w:tcW w:w="1701" w:type="dxa"/>
            <w:tcBorders>
              <w:top w:val="nil"/>
              <w:left w:val="nil"/>
              <w:bottom w:val="single" w:sz="4" w:space="0" w:color="auto"/>
              <w:right w:val="single" w:sz="4" w:space="0" w:color="auto"/>
            </w:tcBorders>
            <w:shd w:val="clear" w:color="auto" w:fill="auto"/>
            <w:noWrap/>
            <w:vAlign w:val="bottom"/>
            <w:hideMark/>
          </w:tcPr>
          <w:p w14:paraId="6CC7E901"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7.666.858,20</w:t>
            </w:r>
          </w:p>
        </w:tc>
        <w:tc>
          <w:tcPr>
            <w:tcW w:w="1559" w:type="dxa"/>
            <w:tcBorders>
              <w:top w:val="nil"/>
              <w:left w:val="nil"/>
              <w:bottom w:val="single" w:sz="4" w:space="0" w:color="auto"/>
              <w:right w:val="single" w:sz="4" w:space="0" w:color="auto"/>
            </w:tcBorders>
            <w:shd w:val="clear" w:color="auto" w:fill="auto"/>
            <w:noWrap/>
            <w:vAlign w:val="bottom"/>
            <w:hideMark/>
          </w:tcPr>
          <w:p w14:paraId="4C42C918"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43.558.992,50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9296FC4"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46.465,80</w:t>
            </w:r>
          </w:p>
        </w:tc>
        <w:tc>
          <w:tcPr>
            <w:tcW w:w="1283" w:type="dxa"/>
            <w:tcBorders>
              <w:top w:val="nil"/>
              <w:left w:val="nil"/>
              <w:bottom w:val="single" w:sz="4" w:space="0" w:color="auto"/>
              <w:right w:val="single" w:sz="4" w:space="0" w:color="auto"/>
            </w:tcBorders>
            <w:shd w:val="clear" w:color="auto" w:fill="auto"/>
            <w:noWrap/>
            <w:vAlign w:val="bottom"/>
            <w:hideMark/>
          </w:tcPr>
          <w:p w14:paraId="05B18813"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263.993,90</w:t>
            </w:r>
          </w:p>
        </w:tc>
      </w:tr>
      <w:tr w:rsidR="006356F1" w:rsidRPr="00932D00" w14:paraId="77A00522"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4140B44E"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2009</w:t>
            </w:r>
          </w:p>
        </w:tc>
        <w:tc>
          <w:tcPr>
            <w:tcW w:w="992" w:type="dxa"/>
            <w:tcBorders>
              <w:top w:val="nil"/>
              <w:left w:val="nil"/>
              <w:bottom w:val="single" w:sz="4" w:space="0" w:color="auto"/>
              <w:right w:val="single" w:sz="4" w:space="0" w:color="auto"/>
            </w:tcBorders>
            <w:shd w:val="clear" w:color="auto" w:fill="auto"/>
            <w:noWrap/>
            <w:vAlign w:val="bottom"/>
            <w:hideMark/>
          </w:tcPr>
          <w:p w14:paraId="6A51F511"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w:t>
            </w:r>
          </w:p>
        </w:tc>
        <w:tc>
          <w:tcPr>
            <w:tcW w:w="1559" w:type="dxa"/>
            <w:tcBorders>
              <w:top w:val="nil"/>
              <w:left w:val="nil"/>
              <w:bottom w:val="single" w:sz="4" w:space="0" w:color="auto"/>
              <w:right w:val="single" w:sz="4" w:space="0" w:color="auto"/>
            </w:tcBorders>
            <w:shd w:val="clear" w:color="auto" w:fill="auto"/>
            <w:noWrap/>
            <w:vAlign w:val="center"/>
            <w:hideMark/>
          </w:tcPr>
          <w:p w14:paraId="65337A1F"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53</w:t>
            </w:r>
          </w:p>
        </w:tc>
        <w:tc>
          <w:tcPr>
            <w:tcW w:w="1701" w:type="dxa"/>
            <w:tcBorders>
              <w:top w:val="nil"/>
              <w:left w:val="nil"/>
              <w:bottom w:val="single" w:sz="4" w:space="0" w:color="auto"/>
              <w:right w:val="single" w:sz="4" w:space="0" w:color="auto"/>
            </w:tcBorders>
            <w:shd w:val="clear" w:color="auto" w:fill="auto"/>
            <w:noWrap/>
            <w:vAlign w:val="bottom"/>
            <w:hideMark/>
          </w:tcPr>
          <w:p w14:paraId="02E0D527"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37.800.916,80</w:t>
            </w:r>
          </w:p>
        </w:tc>
        <w:tc>
          <w:tcPr>
            <w:tcW w:w="1559" w:type="dxa"/>
            <w:tcBorders>
              <w:top w:val="nil"/>
              <w:left w:val="nil"/>
              <w:bottom w:val="single" w:sz="4" w:space="0" w:color="auto"/>
              <w:right w:val="single" w:sz="4" w:space="0" w:color="auto"/>
            </w:tcBorders>
            <w:shd w:val="clear" w:color="auto" w:fill="auto"/>
            <w:noWrap/>
            <w:vAlign w:val="bottom"/>
            <w:hideMark/>
          </w:tcPr>
          <w:p w14:paraId="065DDD23"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74.038.644,00</w:t>
            </w:r>
          </w:p>
        </w:tc>
        <w:tc>
          <w:tcPr>
            <w:tcW w:w="1276" w:type="dxa"/>
            <w:tcBorders>
              <w:top w:val="nil"/>
              <w:left w:val="nil"/>
              <w:bottom w:val="single" w:sz="4" w:space="0" w:color="auto"/>
              <w:right w:val="single" w:sz="4" w:space="0" w:color="auto"/>
            </w:tcBorders>
            <w:shd w:val="clear" w:color="auto" w:fill="auto"/>
            <w:noWrap/>
            <w:vAlign w:val="bottom"/>
            <w:hideMark/>
          </w:tcPr>
          <w:p w14:paraId="59F94263"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713.224,80</w:t>
            </w:r>
          </w:p>
        </w:tc>
        <w:tc>
          <w:tcPr>
            <w:tcW w:w="1283" w:type="dxa"/>
            <w:tcBorders>
              <w:top w:val="nil"/>
              <w:left w:val="nil"/>
              <w:bottom w:val="single" w:sz="4" w:space="0" w:color="auto"/>
              <w:right w:val="single" w:sz="4" w:space="0" w:color="auto"/>
            </w:tcBorders>
            <w:shd w:val="clear" w:color="auto" w:fill="auto"/>
            <w:noWrap/>
            <w:vAlign w:val="bottom"/>
            <w:hideMark/>
          </w:tcPr>
          <w:p w14:paraId="4A74A30D"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1.396.955,50</w:t>
            </w:r>
          </w:p>
        </w:tc>
      </w:tr>
      <w:tr w:rsidR="006356F1" w:rsidRPr="00932D00" w14:paraId="54721BE5"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50F1DA45"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2010</w:t>
            </w:r>
          </w:p>
        </w:tc>
        <w:tc>
          <w:tcPr>
            <w:tcW w:w="992" w:type="dxa"/>
            <w:tcBorders>
              <w:top w:val="nil"/>
              <w:left w:val="nil"/>
              <w:bottom w:val="single" w:sz="4" w:space="0" w:color="auto"/>
              <w:right w:val="single" w:sz="4" w:space="0" w:color="auto"/>
            </w:tcBorders>
            <w:shd w:val="clear" w:color="auto" w:fill="auto"/>
            <w:noWrap/>
            <w:vAlign w:val="bottom"/>
            <w:hideMark/>
          </w:tcPr>
          <w:p w14:paraId="694F58B7"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3</w:t>
            </w:r>
          </w:p>
        </w:tc>
        <w:tc>
          <w:tcPr>
            <w:tcW w:w="1559" w:type="dxa"/>
            <w:tcBorders>
              <w:top w:val="nil"/>
              <w:left w:val="nil"/>
              <w:bottom w:val="single" w:sz="4" w:space="0" w:color="auto"/>
              <w:right w:val="single" w:sz="4" w:space="0" w:color="auto"/>
            </w:tcBorders>
            <w:shd w:val="clear" w:color="auto" w:fill="auto"/>
            <w:noWrap/>
            <w:vAlign w:val="center"/>
            <w:hideMark/>
          </w:tcPr>
          <w:p w14:paraId="240B418B"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377</w:t>
            </w:r>
          </w:p>
        </w:tc>
        <w:tc>
          <w:tcPr>
            <w:tcW w:w="1701" w:type="dxa"/>
            <w:tcBorders>
              <w:top w:val="nil"/>
              <w:left w:val="nil"/>
              <w:bottom w:val="single" w:sz="4" w:space="0" w:color="auto"/>
              <w:right w:val="single" w:sz="4" w:space="0" w:color="auto"/>
            </w:tcBorders>
            <w:shd w:val="clear" w:color="auto" w:fill="auto"/>
            <w:noWrap/>
            <w:vAlign w:val="bottom"/>
            <w:hideMark/>
          </w:tcPr>
          <w:p w14:paraId="5EDE3BE6"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97.097.708,00</w:t>
            </w:r>
          </w:p>
        </w:tc>
        <w:tc>
          <w:tcPr>
            <w:tcW w:w="1559" w:type="dxa"/>
            <w:tcBorders>
              <w:top w:val="nil"/>
              <w:left w:val="nil"/>
              <w:bottom w:val="single" w:sz="4" w:space="0" w:color="auto"/>
              <w:right w:val="single" w:sz="4" w:space="0" w:color="auto"/>
            </w:tcBorders>
            <w:shd w:val="clear" w:color="auto" w:fill="auto"/>
            <w:noWrap/>
            <w:vAlign w:val="bottom"/>
            <w:hideMark/>
          </w:tcPr>
          <w:p w14:paraId="0EACCE8F"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6.125.166.211,60</w:t>
            </w:r>
          </w:p>
        </w:tc>
        <w:tc>
          <w:tcPr>
            <w:tcW w:w="1276" w:type="dxa"/>
            <w:tcBorders>
              <w:top w:val="nil"/>
              <w:left w:val="nil"/>
              <w:bottom w:val="single" w:sz="4" w:space="0" w:color="auto"/>
              <w:right w:val="single" w:sz="4" w:space="0" w:color="auto"/>
            </w:tcBorders>
            <w:shd w:val="clear" w:color="auto" w:fill="auto"/>
            <w:noWrap/>
            <w:vAlign w:val="bottom"/>
            <w:hideMark/>
          </w:tcPr>
          <w:p w14:paraId="167CFBEC"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257.553,60</w:t>
            </w:r>
          </w:p>
        </w:tc>
        <w:tc>
          <w:tcPr>
            <w:tcW w:w="1283" w:type="dxa"/>
            <w:tcBorders>
              <w:top w:val="nil"/>
              <w:left w:val="nil"/>
              <w:bottom w:val="single" w:sz="4" w:space="0" w:color="auto"/>
              <w:right w:val="single" w:sz="4" w:space="0" w:color="auto"/>
            </w:tcBorders>
            <w:shd w:val="clear" w:color="auto" w:fill="auto"/>
            <w:noWrap/>
            <w:vAlign w:val="bottom"/>
            <w:hideMark/>
          </w:tcPr>
          <w:p w14:paraId="53D95A82"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16.247.125,20</w:t>
            </w:r>
          </w:p>
        </w:tc>
      </w:tr>
      <w:tr w:rsidR="006356F1" w:rsidRPr="00932D00" w14:paraId="38821A10"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38A504E5"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2011</w:t>
            </w:r>
          </w:p>
        </w:tc>
        <w:tc>
          <w:tcPr>
            <w:tcW w:w="992" w:type="dxa"/>
            <w:tcBorders>
              <w:top w:val="nil"/>
              <w:left w:val="nil"/>
              <w:bottom w:val="single" w:sz="4" w:space="0" w:color="auto"/>
              <w:right w:val="single" w:sz="4" w:space="0" w:color="auto"/>
            </w:tcBorders>
            <w:shd w:val="clear" w:color="auto" w:fill="auto"/>
            <w:noWrap/>
            <w:vAlign w:val="bottom"/>
            <w:hideMark/>
          </w:tcPr>
          <w:p w14:paraId="2DB9A3D4"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6</w:t>
            </w:r>
          </w:p>
        </w:tc>
        <w:tc>
          <w:tcPr>
            <w:tcW w:w="1559" w:type="dxa"/>
            <w:tcBorders>
              <w:top w:val="nil"/>
              <w:left w:val="nil"/>
              <w:bottom w:val="single" w:sz="4" w:space="0" w:color="auto"/>
              <w:right w:val="single" w:sz="4" w:space="0" w:color="auto"/>
            </w:tcBorders>
            <w:shd w:val="clear" w:color="auto" w:fill="auto"/>
            <w:noWrap/>
            <w:vAlign w:val="center"/>
            <w:hideMark/>
          </w:tcPr>
          <w:p w14:paraId="45CEBF4D"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524</w:t>
            </w:r>
          </w:p>
        </w:tc>
        <w:tc>
          <w:tcPr>
            <w:tcW w:w="1701" w:type="dxa"/>
            <w:tcBorders>
              <w:top w:val="nil"/>
              <w:left w:val="nil"/>
              <w:bottom w:val="single" w:sz="4" w:space="0" w:color="auto"/>
              <w:right w:val="single" w:sz="4" w:space="0" w:color="auto"/>
            </w:tcBorders>
            <w:shd w:val="clear" w:color="auto" w:fill="auto"/>
            <w:noWrap/>
            <w:vAlign w:val="bottom"/>
            <w:hideMark/>
          </w:tcPr>
          <w:p w14:paraId="278DCB29"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29.523.985,40</w:t>
            </w:r>
          </w:p>
        </w:tc>
        <w:tc>
          <w:tcPr>
            <w:tcW w:w="1559" w:type="dxa"/>
            <w:tcBorders>
              <w:top w:val="nil"/>
              <w:left w:val="nil"/>
              <w:bottom w:val="single" w:sz="4" w:space="0" w:color="auto"/>
              <w:right w:val="single" w:sz="4" w:space="0" w:color="auto"/>
            </w:tcBorders>
            <w:shd w:val="clear" w:color="auto" w:fill="auto"/>
            <w:noWrap/>
            <w:vAlign w:val="bottom"/>
            <w:hideMark/>
          </w:tcPr>
          <w:p w14:paraId="05B7A3BD"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423.376.377,30</w:t>
            </w:r>
          </w:p>
        </w:tc>
        <w:tc>
          <w:tcPr>
            <w:tcW w:w="1276" w:type="dxa"/>
            <w:tcBorders>
              <w:top w:val="nil"/>
              <w:left w:val="nil"/>
              <w:bottom w:val="single" w:sz="4" w:space="0" w:color="auto"/>
              <w:right w:val="single" w:sz="4" w:space="0" w:color="auto"/>
            </w:tcBorders>
            <w:shd w:val="clear" w:color="auto" w:fill="auto"/>
            <w:noWrap/>
            <w:vAlign w:val="bottom"/>
            <w:hideMark/>
          </w:tcPr>
          <w:p w14:paraId="711133D8"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56.343,50</w:t>
            </w:r>
          </w:p>
        </w:tc>
        <w:tc>
          <w:tcPr>
            <w:tcW w:w="1283" w:type="dxa"/>
            <w:tcBorders>
              <w:top w:val="nil"/>
              <w:left w:val="nil"/>
              <w:bottom w:val="single" w:sz="4" w:space="0" w:color="auto"/>
              <w:right w:val="single" w:sz="4" w:space="0" w:color="auto"/>
            </w:tcBorders>
            <w:shd w:val="clear" w:color="auto" w:fill="auto"/>
            <w:noWrap/>
            <w:vAlign w:val="bottom"/>
            <w:hideMark/>
          </w:tcPr>
          <w:p w14:paraId="3BFEC96C"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807.970,20</w:t>
            </w:r>
          </w:p>
        </w:tc>
      </w:tr>
      <w:tr w:rsidR="006356F1" w:rsidRPr="00932D00" w14:paraId="67C688EE"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722EABE1"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2012</w:t>
            </w:r>
          </w:p>
        </w:tc>
        <w:tc>
          <w:tcPr>
            <w:tcW w:w="992" w:type="dxa"/>
            <w:tcBorders>
              <w:top w:val="nil"/>
              <w:left w:val="nil"/>
              <w:bottom w:val="single" w:sz="4" w:space="0" w:color="auto"/>
              <w:right w:val="single" w:sz="4" w:space="0" w:color="auto"/>
            </w:tcBorders>
            <w:shd w:val="clear" w:color="auto" w:fill="auto"/>
            <w:noWrap/>
            <w:vAlign w:val="bottom"/>
            <w:hideMark/>
          </w:tcPr>
          <w:p w14:paraId="0384CF4D"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7</w:t>
            </w:r>
          </w:p>
        </w:tc>
        <w:tc>
          <w:tcPr>
            <w:tcW w:w="1559" w:type="dxa"/>
            <w:tcBorders>
              <w:top w:val="nil"/>
              <w:left w:val="nil"/>
              <w:bottom w:val="single" w:sz="4" w:space="0" w:color="auto"/>
              <w:right w:val="single" w:sz="4" w:space="0" w:color="auto"/>
            </w:tcBorders>
            <w:shd w:val="clear" w:color="auto" w:fill="auto"/>
            <w:noWrap/>
            <w:vAlign w:val="center"/>
            <w:hideMark/>
          </w:tcPr>
          <w:p w14:paraId="19117A7E"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1.253</w:t>
            </w:r>
          </w:p>
        </w:tc>
        <w:tc>
          <w:tcPr>
            <w:tcW w:w="1701" w:type="dxa"/>
            <w:tcBorders>
              <w:top w:val="nil"/>
              <w:left w:val="nil"/>
              <w:bottom w:val="single" w:sz="4" w:space="0" w:color="auto"/>
              <w:right w:val="single" w:sz="4" w:space="0" w:color="auto"/>
            </w:tcBorders>
            <w:shd w:val="clear" w:color="auto" w:fill="auto"/>
            <w:noWrap/>
            <w:vAlign w:val="bottom"/>
            <w:hideMark/>
          </w:tcPr>
          <w:p w14:paraId="4E94EC1E"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791.087.788,90</w:t>
            </w:r>
          </w:p>
        </w:tc>
        <w:tc>
          <w:tcPr>
            <w:tcW w:w="1559" w:type="dxa"/>
            <w:tcBorders>
              <w:top w:val="nil"/>
              <w:left w:val="nil"/>
              <w:bottom w:val="single" w:sz="4" w:space="0" w:color="auto"/>
              <w:right w:val="single" w:sz="4" w:space="0" w:color="auto"/>
            </w:tcBorders>
            <w:shd w:val="clear" w:color="auto" w:fill="auto"/>
            <w:noWrap/>
            <w:vAlign w:val="bottom"/>
            <w:hideMark/>
          </w:tcPr>
          <w:p w14:paraId="42332B84"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904.242.890,60</w:t>
            </w:r>
          </w:p>
        </w:tc>
        <w:tc>
          <w:tcPr>
            <w:tcW w:w="1276" w:type="dxa"/>
            <w:tcBorders>
              <w:top w:val="nil"/>
              <w:left w:val="nil"/>
              <w:bottom w:val="single" w:sz="4" w:space="0" w:color="auto"/>
              <w:right w:val="single" w:sz="4" w:space="0" w:color="auto"/>
            </w:tcBorders>
            <w:shd w:val="clear" w:color="auto" w:fill="auto"/>
            <w:noWrap/>
            <w:vAlign w:val="bottom"/>
            <w:hideMark/>
          </w:tcPr>
          <w:p w14:paraId="40194104"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631.355,00</w:t>
            </w:r>
          </w:p>
        </w:tc>
        <w:tc>
          <w:tcPr>
            <w:tcW w:w="1283" w:type="dxa"/>
            <w:tcBorders>
              <w:top w:val="nil"/>
              <w:left w:val="nil"/>
              <w:bottom w:val="single" w:sz="4" w:space="0" w:color="auto"/>
              <w:right w:val="single" w:sz="4" w:space="0" w:color="auto"/>
            </w:tcBorders>
            <w:shd w:val="clear" w:color="auto" w:fill="auto"/>
            <w:noWrap/>
            <w:vAlign w:val="bottom"/>
            <w:hideMark/>
          </w:tcPr>
          <w:p w14:paraId="23E01D08"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721.662,30</w:t>
            </w:r>
          </w:p>
        </w:tc>
      </w:tr>
      <w:tr w:rsidR="006356F1" w:rsidRPr="00932D00" w14:paraId="2AA19A31"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4680082C"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2013</w:t>
            </w:r>
          </w:p>
        </w:tc>
        <w:tc>
          <w:tcPr>
            <w:tcW w:w="992" w:type="dxa"/>
            <w:tcBorders>
              <w:top w:val="nil"/>
              <w:left w:val="nil"/>
              <w:bottom w:val="single" w:sz="4" w:space="0" w:color="auto"/>
              <w:right w:val="single" w:sz="4" w:space="0" w:color="auto"/>
            </w:tcBorders>
            <w:shd w:val="clear" w:color="auto" w:fill="auto"/>
            <w:noWrap/>
            <w:vAlign w:val="bottom"/>
            <w:hideMark/>
          </w:tcPr>
          <w:p w14:paraId="38C66789"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9</w:t>
            </w:r>
          </w:p>
        </w:tc>
        <w:tc>
          <w:tcPr>
            <w:tcW w:w="1559" w:type="dxa"/>
            <w:tcBorders>
              <w:top w:val="nil"/>
              <w:left w:val="nil"/>
              <w:bottom w:val="single" w:sz="4" w:space="0" w:color="auto"/>
              <w:right w:val="single" w:sz="4" w:space="0" w:color="auto"/>
            </w:tcBorders>
            <w:shd w:val="clear" w:color="auto" w:fill="auto"/>
            <w:noWrap/>
            <w:vAlign w:val="center"/>
            <w:hideMark/>
          </w:tcPr>
          <w:p w14:paraId="2E7ECDA9"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2.416</w:t>
            </w:r>
          </w:p>
        </w:tc>
        <w:tc>
          <w:tcPr>
            <w:tcW w:w="1701" w:type="dxa"/>
            <w:tcBorders>
              <w:top w:val="nil"/>
              <w:left w:val="nil"/>
              <w:bottom w:val="single" w:sz="4" w:space="0" w:color="auto"/>
              <w:right w:val="single" w:sz="4" w:space="0" w:color="auto"/>
            </w:tcBorders>
            <w:shd w:val="clear" w:color="auto" w:fill="auto"/>
            <w:noWrap/>
            <w:vAlign w:val="bottom"/>
            <w:hideMark/>
          </w:tcPr>
          <w:p w14:paraId="51A48C88"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157.196.638,80</w:t>
            </w:r>
          </w:p>
        </w:tc>
        <w:tc>
          <w:tcPr>
            <w:tcW w:w="1559" w:type="dxa"/>
            <w:tcBorders>
              <w:top w:val="nil"/>
              <w:left w:val="nil"/>
              <w:bottom w:val="single" w:sz="4" w:space="0" w:color="auto"/>
              <w:right w:val="single" w:sz="4" w:space="0" w:color="auto"/>
            </w:tcBorders>
            <w:shd w:val="clear" w:color="auto" w:fill="auto"/>
            <w:noWrap/>
            <w:vAlign w:val="bottom"/>
            <w:hideMark/>
          </w:tcPr>
          <w:p w14:paraId="30B029D4"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477.887.884,10</w:t>
            </w:r>
          </w:p>
        </w:tc>
        <w:tc>
          <w:tcPr>
            <w:tcW w:w="1276" w:type="dxa"/>
            <w:tcBorders>
              <w:top w:val="nil"/>
              <w:left w:val="nil"/>
              <w:bottom w:val="single" w:sz="4" w:space="0" w:color="auto"/>
              <w:right w:val="single" w:sz="4" w:space="0" w:color="auto"/>
            </w:tcBorders>
            <w:shd w:val="clear" w:color="auto" w:fill="auto"/>
            <w:noWrap/>
            <w:vAlign w:val="bottom"/>
            <w:hideMark/>
          </w:tcPr>
          <w:p w14:paraId="71417D7C"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65.064,80</w:t>
            </w:r>
          </w:p>
        </w:tc>
        <w:tc>
          <w:tcPr>
            <w:tcW w:w="1283" w:type="dxa"/>
            <w:tcBorders>
              <w:top w:val="nil"/>
              <w:left w:val="nil"/>
              <w:bottom w:val="single" w:sz="4" w:space="0" w:color="auto"/>
              <w:right w:val="single" w:sz="4" w:space="0" w:color="auto"/>
            </w:tcBorders>
            <w:shd w:val="clear" w:color="auto" w:fill="auto"/>
            <w:noWrap/>
            <w:vAlign w:val="bottom"/>
            <w:hideMark/>
          </w:tcPr>
          <w:p w14:paraId="7877E538"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197.801,30</w:t>
            </w:r>
          </w:p>
        </w:tc>
      </w:tr>
      <w:tr w:rsidR="006356F1" w:rsidRPr="00932D00" w14:paraId="3DABE657"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14A52597"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2014</w:t>
            </w:r>
          </w:p>
        </w:tc>
        <w:tc>
          <w:tcPr>
            <w:tcW w:w="992" w:type="dxa"/>
            <w:tcBorders>
              <w:top w:val="nil"/>
              <w:left w:val="nil"/>
              <w:bottom w:val="single" w:sz="4" w:space="0" w:color="auto"/>
              <w:right w:val="single" w:sz="4" w:space="0" w:color="auto"/>
            </w:tcBorders>
            <w:shd w:val="clear" w:color="auto" w:fill="auto"/>
            <w:noWrap/>
            <w:vAlign w:val="bottom"/>
            <w:hideMark/>
          </w:tcPr>
          <w:p w14:paraId="1E9FD8E4"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12</w:t>
            </w:r>
          </w:p>
        </w:tc>
        <w:tc>
          <w:tcPr>
            <w:tcW w:w="1559" w:type="dxa"/>
            <w:tcBorders>
              <w:top w:val="nil"/>
              <w:left w:val="nil"/>
              <w:bottom w:val="single" w:sz="4" w:space="0" w:color="auto"/>
              <w:right w:val="single" w:sz="4" w:space="0" w:color="auto"/>
            </w:tcBorders>
            <w:shd w:val="clear" w:color="auto" w:fill="auto"/>
            <w:noWrap/>
            <w:vAlign w:val="center"/>
            <w:hideMark/>
          </w:tcPr>
          <w:p w14:paraId="75505DCB"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2.630</w:t>
            </w:r>
          </w:p>
        </w:tc>
        <w:tc>
          <w:tcPr>
            <w:tcW w:w="1701" w:type="dxa"/>
            <w:tcBorders>
              <w:top w:val="nil"/>
              <w:left w:val="nil"/>
              <w:bottom w:val="single" w:sz="4" w:space="0" w:color="auto"/>
              <w:right w:val="single" w:sz="4" w:space="0" w:color="auto"/>
            </w:tcBorders>
            <w:shd w:val="clear" w:color="auto" w:fill="auto"/>
            <w:noWrap/>
            <w:vAlign w:val="bottom"/>
            <w:hideMark/>
          </w:tcPr>
          <w:p w14:paraId="272B3314"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682.187.906,30</w:t>
            </w:r>
          </w:p>
        </w:tc>
        <w:tc>
          <w:tcPr>
            <w:tcW w:w="1559" w:type="dxa"/>
            <w:tcBorders>
              <w:top w:val="nil"/>
              <w:left w:val="nil"/>
              <w:bottom w:val="single" w:sz="4" w:space="0" w:color="auto"/>
              <w:right w:val="single" w:sz="4" w:space="0" w:color="auto"/>
            </w:tcBorders>
            <w:shd w:val="clear" w:color="auto" w:fill="auto"/>
            <w:noWrap/>
            <w:vAlign w:val="bottom"/>
            <w:hideMark/>
          </w:tcPr>
          <w:p w14:paraId="3F534355"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33.788.133.604,50</w:t>
            </w:r>
          </w:p>
        </w:tc>
        <w:tc>
          <w:tcPr>
            <w:tcW w:w="1276" w:type="dxa"/>
            <w:tcBorders>
              <w:top w:val="nil"/>
              <w:left w:val="nil"/>
              <w:bottom w:val="single" w:sz="4" w:space="0" w:color="auto"/>
              <w:right w:val="single" w:sz="4" w:space="0" w:color="auto"/>
            </w:tcBorders>
            <w:shd w:val="clear" w:color="auto" w:fill="auto"/>
            <w:noWrap/>
            <w:vAlign w:val="bottom"/>
            <w:hideMark/>
          </w:tcPr>
          <w:p w14:paraId="784AEF23"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259.387,00</w:t>
            </w:r>
          </w:p>
        </w:tc>
        <w:tc>
          <w:tcPr>
            <w:tcW w:w="1283" w:type="dxa"/>
            <w:tcBorders>
              <w:top w:val="nil"/>
              <w:left w:val="nil"/>
              <w:bottom w:val="single" w:sz="4" w:space="0" w:color="auto"/>
              <w:right w:val="single" w:sz="4" w:space="0" w:color="auto"/>
            </w:tcBorders>
            <w:shd w:val="clear" w:color="auto" w:fill="auto"/>
            <w:noWrap/>
            <w:vAlign w:val="bottom"/>
            <w:hideMark/>
          </w:tcPr>
          <w:p w14:paraId="6DC51B0E"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12.847.199,10</w:t>
            </w:r>
          </w:p>
        </w:tc>
      </w:tr>
      <w:tr w:rsidR="006356F1" w:rsidRPr="00932D00" w14:paraId="4C80A124"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06B073FF"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2015</w:t>
            </w:r>
          </w:p>
        </w:tc>
        <w:tc>
          <w:tcPr>
            <w:tcW w:w="992" w:type="dxa"/>
            <w:tcBorders>
              <w:top w:val="nil"/>
              <w:left w:val="nil"/>
              <w:bottom w:val="single" w:sz="4" w:space="0" w:color="auto"/>
              <w:right w:val="single" w:sz="4" w:space="0" w:color="auto"/>
            </w:tcBorders>
            <w:shd w:val="clear" w:color="auto" w:fill="auto"/>
            <w:noWrap/>
            <w:vAlign w:val="bottom"/>
            <w:hideMark/>
          </w:tcPr>
          <w:p w14:paraId="3A5EAFB1"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6</w:t>
            </w:r>
          </w:p>
        </w:tc>
        <w:tc>
          <w:tcPr>
            <w:tcW w:w="1559" w:type="dxa"/>
            <w:tcBorders>
              <w:top w:val="nil"/>
              <w:left w:val="nil"/>
              <w:bottom w:val="single" w:sz="4" w:space="0" w:color="auto"/>
              <w:right w:val="single" w:sz="4" w:space="0" w:color="auto"/>
            </w:tcBorders>
            <w:shd w:val="clear" w:color="auto" w:fill="auto"/>
            <w:noWrap/>
            <w:vAlign w:val="center"/>
            <w:hideMark/>
          </w:tcPr>
          <w:p w14:paraId="5D86D9AA"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458</w:t>
            </w:r>
          </w:p>
        </w:tc>
        <w:tc>
          <w:tcPr>
            <w:tcW w:w="1701" w:type="dxa"/>
            <w:tcBorders>
              <w:top w:val="nil"/>
              <w:left w:val="nil"/>
              <w:bottom w:val="single" w:sz="4" w:space="0" w:color="auto"/>
              <w:right w:val="single" w:sz="4" w:space="0" w:color="auto"/>
            </w:tcBorders>
            <w:shd w:val="clear" w:color="auto" w:fill="auto"/>
            <w:noWrap/>
            <w:vAlign w:val="bottom"/>
            <w:hideMark/>
          </w:tcPr>
          <w:p w14:paraId="195929B9"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45.181.886,00</w:t>
            </w:r>
          </w:p>
        </w:tc>
        <w:tc>
          <w:tcPr>
            <w:tcW w:w="1559" w:type="dxa"/>
            <w:tcBorders>
              <w:top w:val="nil"/>
              <w:left w:val="nil"/>
              <w:bottom w:val="single" w:sz="4" w:space="0" w:color="auto"/>
              <w:right w:val="single" w:sz="4" w:space="0" w:color="auto"/>
            </w:tcBorders>
            <w:shd w:val="clear" w:color="auto" w:fill="auto"/>
            <w:noWrap/>
            <w:vAlign w:val="bottom"/>
            <w:hideMark/>
          </w:tcPr>
          <w:p w14:paraId="0CA26551"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2.106.649.485,50</w:t>
            </w:r>
          </w:p>
        </w:tc>
        <w:tc>
          <w:tcPr>
            <w:tcW w:w="1276" w:type="dxa"/>
            <w:tcBorders>
              <w:top w:val="nil"/>
              <w:left w:val="nil"/>
              <w:bottom w:val="single" w:sz="4" w:space="0" w:color="auto"/>
              <w:right w:val="single" w:sz="4" w:space="0" w:color="auto"/>
            </w:tcBorders>
            <w:shd w:val="clear" w:color="auto" w:fill="auto"/>
            <w:noWrap/>
            <w:vAlign w:val="bottom"/>
            <w:hideMark/>
          </w:tcPr>
          <w:p w14:paraId="4D15965D"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98.650,40</w:t>
            </w:r>
          </w:p>
        </w:tc>
        <w:tc>
          <w:tcPr>
            <w:tcW w:w="1283" w:type="dxa"/>
            <w:tcBorders>
              <w:top w:val="nil"/>
              <w:left w:val="nil"/>
              <w:bottom w:val="single" w:sz="4" w:space="0" w:color="auto"/>
              <w:right w:val="single" w:sz="4" w:space="0" w:color="auto"/>
            </w:tcBorders>
            <w:shd w:val="clear" w:color="auto" w:fill="auto"/>
            <w:noWrap/>
            <w:vAlign w:val="bottom"/>
            <w:hideMark/>
          </w:tcPr>
          <w:p w14:paraId="503641A1"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4.599.671,40</w:t>
            </w:r>
          </w:p>
        </w:tc>
      </w:tr>
      <w:tr w:rsidR="006356F1" w:rsidRPr="00932D00" w14:paraId="4A5667C5"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7DB2D23E"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2016</w:t>
            </w:r>
          </w:p>
        </w:tc>
        <w:tc>
          <w:tcPr>
            <w:tcW w:w="992" w:type="dxa"/>
            <w:tcBorders>
              <w:top w:val="nil"/>
              <w:left w:val="nil"/>
              <w:bottom w:val="single" w:sz="4" w:space="0" w:color="auto"/>
              <w:right w:val="single" w:sz="4" w:space="0" w:color="auto"/>
            </w:tcBorders>
            <w:shd w:val="clear" w:color="auto" w:fill="auto"/>
            <w:noWrap/>
            <w:vAlign w:val="bottom"/>
            <w:hideMark/>
          </w:tcPr>
          <w:p w14:paraId="50389181"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3</w:t>
            </w:r>
          </w:p>
        </w:tc>
        <w:tc>
          <w:tcPr>
            <w:tcW w:w="1559" w:type="dxa"/>
            <w:tcBorders>
              <w:top w:val="nil"/>
              <w:left w:val="nil"/>
              <w:bottom w:val="single" w:sz="4" w:space="0" w:color="auto"/>
              <w:right w:val="single" w:sz="4" w:space="0" w:color="auto"/>
            </w:tcBorders>
            <w:shd w:val="clear" w:color="auto" w:fill="auto"/>
            <w:noWrap/>
            <w:vAlign w:val="center"/>
            <w:hideMark/>
          </w:tcPr>
          <w:p w14:paraId="2532DACE"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353</w:t>
            </w:r>
          </w:p>
        </w:tc>
        <w:tc>
          <w:tcPr>
            <w:tcW w:w="1701" w:type="dxa"/>
            <w:tcBorders>
              <w:top w:val="nil"/>
              <w:left w:val="nil"/>
              <w:bottom w:val="single" w:sz="4" w:space="0" w:color="auto"/>
              <w:right w:val="single" w:sz="4" w:space="0" w:color="auto"/>
            </w:tcBorders>
            <w:shd w:val="clear" w:color="auto" w:fill="auto"/>
            <w:noWrap/>
            <w:vAlign w:val="bottom"/>
            <w:hideMark/>
          </w:tcPr>
          <w:p w14:paraId="2B00DB9E"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23.701.394,50</w:t>
            </w:r>
          </w:p>
        </w:tc>
        <w:tc>
          <w:tcPr>
            <w:tcW w:w="1559" w:type="dxa"/>
            <w:tcBorders>
              <w:top w:val="nil"/>
              <w:left w:val="nil"/>
              <w:bottom w:val="single" w:sz="4" w:space="0" w:color="auto"/>
              <w:right w:val="single" w:sz="4" w:space="0" w:color="auto"/>
            </w:tcBorders>
            <w:shd w:val="clear" w:color="auto" w:fill="auto"/>
            <w:noWrap/>
            <w:vAlign w:val="bottom"/>
            <w:hideMark/>
          </w:tcPr>
          <w:p w14:paraId="5AF5FA83"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619.763.319,60</w:t>
            </w:r>
          </w:p>
        </w:tc>
        <w:tc>
          <w:tcPr>
            <w:tcW w:w="1276" w:type="dxa"/>
            <w:tcBorders>
              <w:top w:val="nil"/>
              <w:left w:val="nil"/>
              <w:bottom w:val="single" w:sz="4" w:space="0" w:color="auto"/>
              <w:right w:val="single" w:sz="4" w:space="0" w:color="auto"/>
            </w:tcBorders>
            <w:shd w:val="clear" w:color="auto" w:fill="auto"/>
            <w:noWrap/>
            <w:vAlign w:val="bottom"/>
            <w:hideMark/>
          </w:tcPr>
          <w:p w14:paraId="299863AF"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67.142,80</w:t>
            </w:r>
          </w:p>
        </w:tc>
        <w:tc>
          <w:tcPr>
            <w:tcW w:w="1283" w:type="dxa"/>
            <w:tcBorders>
              <w:top w:val="nil"/>
              <w:left w:val="nil"/>
              <w:bottom w:val="single" w:sz="4" w:space="0" w:color="auto"/>
              <w:right w:val="single" w:sz="4" w:space="0" w:color="auto"/>
            </w:tcBorders>
            <w:shd w:val="clear" w:color="auto" w:fill="auto"/>
            <w:noWrap/>
            <w:vAlign w:val="bottom"/>
            <w:hideMark/>
          </w:tcPr>
          <w:p w14:paraId="56350039"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1.755.703,50</w:t>
            </w:r>
          </w:p>
        </w:tc>
      </w:tr>
      <w:tr w:rsidR="006356F1" w:rsidRPr="00932D00" w14:paraId="137CB9C8"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6FD7BAF8" w14:textId="77777777" w:rsidR="006356F1" w:rsidRPr="00932D00" w:rsidRDefault="006356F1" w:rsidP="00217400">
            <w:pPr>
              <w:rPr>
                <w:rFonts w:ascii="Calibri" w:hAnsi="Calibri" w:cs="Calibri"/>
                <w:color w:val="000000"/>
                <w:sz w:val="16"/>
                <w:szCs w:val="22"/>
              </w:rPr>
            </w:pPr>
            <w:r w:rsidRPr="00932D00">
              <w:rPr>
                <w:rFonts w:ascii="Calibri" w:hAnsi="Calibri" w:cs="Calibri"/>
                <w:color w:val="000000"/>
                <w:sz w:val="16"/>
                <w:szCs w:val="22"/>
              </w:rPr>
              <w:t>2017</w:t>
            </w:r>
          </w:p>
        </w:tc>
        <w:tc>
          <w:tcPr>
            <w:tcW w:w="992" w:type="dxa"/>
            <w:tcBorders>
              <w:top w:val="nil"/>
              <w:left w:val="nil"/>
              <w:bottom w:val="single" w:sz="4" w:space="0" w:color="auto"/>
              <w:right w:val="single" w:sz="4" w:space="0" w:color="auto"/>
            </w:tcBorders>
            <w:shd w:val="clear" w:color="auto" w:fill="auto"/>
            <w:noWrap/>
            <w:vAlign w:val="bottom"/>
            <w:hideMark/>
          </w:tcPr>
          <w:p w14:paraId="422CA418"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4</w:t>
            </w:r>
          </w:p>
        </w:tc>
        <w:tc>
          <w:tcPr>
            <w:tcW w:w="1559" w:type="dxa"/>
            <w:tcBorders>
              <w:top w:val="nil"/>
              <w:left w:val="nil"/>
              <w:bottom w:val="single" w:sz="4" w:space="0" w:color="auto"/>
              <w:right w:val="single" w:sz="4" w:space="0" w:color="auto"/>
            </w:tcBorders>
            <w:shd w:val="clear" w:color="auto" w:fill="auto"/>
            <w:noWrap/>
            <w:vAlign w:val="center"/>
            <w:hideMark/>
          </w:tcPr>
          <w:p w14:paraId="45A00B0E"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334</w:t>
            </w:r>
          </w:p>
        </w:tc>
        <w:tc>
          <w:tcPr>
            <w:tcW w:w="1701" w:type="dxa"/>
            <w:tcBorders>
              <w:top w:val="nil"/>
              <w:left w:val="nil"/>
              <w:bottom w:val="single" w:sz="4" w:space="0" w:color="auto"/>
              <w:right w:val="single" w:sz="4" w:space="0" w:color="auto"/>
            </w:tcBorders>
            <w:shd w:val="clear" w:color="auto" w:fill="auto"/>
            <w:noWrap/>
            <w:vAlign w:val="bottom"/>
            <w:hideMark/>
          </w:tcPr>
          <w:p w14:paraId="27D4E5DD"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262.625.027,70</w:t>
            </w:r>
          </w:p>
        </w:tc>
        <w:tc>
          <w:tcPr>
            <w:tcW w:w="1559" w:type="dxa"/>
            <w:tcBorders>
              <w:top w:val="nil"/>
              <w:left w:val="nil"/>
              <w:bottom w:val="single" w:sz="4" w:space="0" w:color="auto"/>
              <w:right w:val="single" w:sz="4" w:space="0" w:color="auto"/>
            </w:tcBorders>
            <w:shd w:val="clear" w:color="auto" w:fill="auto"/>
            <w:noWrap/>
            <w:vAlign w:val="bottom"/>
            <w:hideMark/>
          </w:tcPr>
          <w:p w14:paraId="2D831798"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2.222.540.413,80</w:t>
            </w:r>
          </w:p>
        </w:tc>
        <w:tc>
          <w:tcPr>
            <w:tcW w:w="1276" w:type="dxa"/>
            <w:tcBorders>
              <w:top w:val="nil"/>
              <w:left w:val="nil"/>
              <w:bottom w:val="single" w:sz="4" w:space="0" w:color="auto"/>
              <w:right w:val="single" w:sz="4" w:space="0" w:color="auto"/>
            </w:tcBorders>
            <w:shd w:val="clear" w:color="auto" w:fill="auto"/>
            <w:noWrap/>
            <w:vAlign w:val="bottom"/>
            <w:hideMark/>
          </w:tcPr>
          <w:p w14:paraId="192CE090"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786.302,50</w:t>
            </w:r>
          </w:p>
        </w:tc>
        <w:tc>
          <w:tcPr>
            <w:tcW w:w="1283" w:type="dxa"/>
            <w:tcBorders>
              <w:top w:val="nil"/>
              <w:left w:val="nil"/>
              <w:bottom w:val="single" w:sz="4" w:space="0" w:color="auto"/>
              <w:right w:val="single" w:sz="4" w:space="0" w:color="auto"/>
            </w:tcBorders>
            <w:shd w:val="clear" w:color="auto" w:fill="auto"/>
            <w:noWrap/>
            <w:vAlign w:val="bottom"/>
            <w:hideMark/>
          </w:tcPr>
          <w:p w14:paraId="69AFAC95"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6.654.312,60</w:t>
            </w:r>
          </w:p>
        </w:tc>
      </w:tr>
      <w:tr w:rsidR="006356F1" w:rsidRPr="00932D00" w14:paraId="44BA1B3B" w14:textId="77777777" w:rsidTr="00217400">
        <w:trPr>
          <w:trHeight w:val="40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32EFE57B"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TOTAL</w:t>
            </w:r>
          </w:p>
        </w:tc>
        <w:tc>
          <w:tcPr>
            <w:tcW w:w="992" w:type="dxa"/>
            <w:tcBorders>
              <w:top w:val="nil"/>
              <w:left w:val="nil"/>
              <w:bottom w:val="single" w:sz="4" w:space="0" w:color="auto"/>
              <w:right w:val="single" w:sz="4" w:space="0" w:color="auto"/>
            </w:tcBorders>
            <w:shd w:val="clear" w:color="auto" w:fill="auto"/>
            <w:noWrap/>
            <w:vAlign w:val="bottom"/>
            <w:hideMark/>
          </w:tcPr>
          <w:p w14:paraId="38435F86"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111</w:t>
            </w:r>
          </w:p>
        </w:tc>
        <w:tc>
          <w:tcPr>
            <w:tcW w:w="1559" w:type="dxa"/>
            <w:tcBorders>
              <w:top w:val="nil"/>
              <w:left w:val="nil"/>
              <w:bottom w:val="single" w:sz="4" w:space="0" w:color="auto"/>
              <w:right w:val="single" w:sz="4" w:space="0" w:color="auto"/>
            </w:tcBorders>
            <w:shd w:val="clear" w:color="auto" w:fill="auto"/>
            <w:noWrap/>
            <w:vAlign w:val="center"/>
            <w:hideMark/>
          </w:tcPr>
          <w:p w14:paraId="0BB4683B" w14:textId="77777777" w:rsidR="006356F1" w:rsidRDefault="006356F1" w:rsidP="00217400">
            <w:pPr>
              <w:jc w:val="center"/>
              <w:rPr>
                <w:rFonts w:ascii="Calibri" w:hAnsi="Calibri" w:cs="Calibri"/>
                <w:b/>
                <w:bCs/>
                <w:color w:val="000000"/>
                <w:sz w:val="16"/>
                <w:szCs w:val="22"/>
              </w:rPr>
            </w:pPr>
          </w:p>
          <w:p w14:paraId="230F5D07"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20.115</w:t>
            </w:r>
          </w:p>
        </w:tc>
        <w:tc>
          <w:tcPr>
            <w:tcW w:w="1701" w:type="dxa"/>
            <w:tcBorders>
              <w:top w:val="nil"/>
              <w:left w:val="nil"/>
              <w:bottom w:val="single" w:sz="4" w:space="0" w:color="auto"/>
              <w:right w:val="single" w:sz="4" w:space="0" w:color="auto"/>
            </w:tcBorders>
            <w:shd w:val="clear" w:color="auto" w:fill="auto"/>
            <w:noWrap/>
            <w:vAlign w:val="bottom"/>
            <w:hideMark/>
          </w:tcPr>
          <w:p w14:paraId="1F7094DC"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3.219.261.133,50</w:t>
            </w:r>
          </w:p>
        </w:tc>
        <w:tc>
          <w:tcPr>
            <w:tcW w:w="1559" w:type="dxa"/>
            <w:tcBorders>
              <w:top w:val="nil"/>
              <w:left w:val="nil"/>
              <w:bottom w:val="single" w:sz="4" w:space="0" w:color="auto"/>
              <w:right w:val="single" w:sz="4" w:space="0" w:color="auto"/>
            </w:tcBorders>
            <w:shd w:val="clear" w:color="auto" w:fill="auto"/>
            <w:noWrap/>
            <w:vAlign w:val="bottom"/>
            <w:hideMark/>
          </w:tcPr>
          <w:p w14:paraId="3D0B820E"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59.086.478.761,00</w:t>
            </w:r>
          </w:p>
        </w:tc>
        <w:tc>
          <w:tcPr>
            <w:tcW w:w="1276" w:type="dxa"/>
            <w:tcBorders>
              <w:top w:val="nil"/>
              <w:left w:val="nil"/>
              <w:bottom w:val="single" w:sz="4" w:space="0" w:color="auto"/>
              <w:right w:val="single" w:sz="4" w:space="0" w:color="auto"/>
            </w:tcBorders>
            <w:shd w:val="clear" w:color="auto" w:fill="auto"/>
            <w:noWrap/>
            <w:vAlign w:val="bottom"/>
            <w:hideMark/>
          </w:tcPr>
          <w:p w14:paraId="7D892D85" w14:textId="77777777" w:rsidR="006356F1" w:rsidRPr="00827BC8" w:rsidRDefault="006356F1" w:rsidP="00217400">
            <w:pPr>
              <w:jc w:val="center"/>
              <w:rPr>
                <w:rFonts w:ascii="Calibri" w:hAnsi="Calibri" w:cs="Calibri"/>
                <w:b/>
                <w:bCs/>
                <w:sz w:val="16"/>
                <w:szCs w:val="22"/>
              </w:rPr>
            </w:pPr>
            <w:r w:rsidRPr="00827BC8">
              <w:rPr>
                <w:rFonts w:ascii="Calibri" w:hAnsi="Calibri" w:cs="Calibri"/>
                <w:b/>
                <w:bCs/>
                <w:sz w:val="16"/>
                <w:szCs w:val="22"/>
              </w:rPr>
              <w:t>3.320.822,90</w:t>
            </w:r>
          </w:p>
        </w:tc>
        <w:tc>
          <w:tcPr>
            <w:tcW w:w="1283" w:type="dxa"/>
            <w:tcBorders>
              <w:top w:val="nil"/>
              <w:left w:val="nil"/>
              <w:bottom w:val="single" w:sz="4" w:space="0" w:color="auto"/>
              <w:right w:val="single" w:sz="4" w:space="0" w:color="auto"/>
            </w:tcBorders>
            <w:shd w:val="clear" w:color="auto" w:fill="auto"/>
            <w:noWrap/>
            <w:vAlign w:val="bottom"/>
            <w:hideMark/>
          </w:tcPr>
          <w:p w14:paraId="12A450BD" w14:textId="77777777" w:rsidR="006356F1" w:rsidRPr="00827BC8" w:rsidRDefault="006356F1" w:rsidP="00217400">
            <w:pPr>
              <w:jc w:val="center"/>
              <w:rPr>
                <w:rFonts w:ascii="Calibri" w:hAnsi="Calibri" w:cs="Calibri"/>
                <w:b/>
                <w:bCs/>
                <w:sz w:val="16"/>
                <w:szCs w:val="22"/>
              </w:rPr>
            </w:pPr>
            <w:r w:rsidRPr="00827BC8">
              <w:rPr>
                <w:rFonts w:ascii="Calibri" w:hAnsi="Calibri" w:cs="Calibri"/>
                <w:b/>
                <w:bCs/>
                <w:sz w:val="16"/>
                <w:szCs w:val="22"/>
              </w:rPr>
              <w:t>49.188.477,10</w:t>
            </w:r>
          </w:p>
        </w:tc>
      </w:tr>
      <w:tr w:rsidR="006356F1" w:rsidRPr="00932D00" w14:paraId="4FD7ED0B" w14:textId="77777777" w:rsidTr="00217400">
        <w:trPr>
          <w:trHeight w:val="660"/>
        </w:trPr>
        <w:tc>
          <w:tcPr>
            <w:tcW w:w="9079" w:type="dxa"/>
            <w:gridSpan w:val="7"/>
            <w:tcBorders>
              <w:top w:val="single" w:sz="4" w:space="0" w:color="auto"/>
              <w:left w:val="nil"/>
              <w:bottom w:val="nil"/>
              <w:right w:val="nil"/>
            </w:tcBorders>
            <w:shd w:val="clear" w:color="auto" w:fill="auto"/>
            <w:hideMark/>
          </w:tcPr>
          <w:p w14:paraId="32B38598" w14:textId="77777777" w:rsidR="006356F1" w:rsidRDefault="006356F1" w:rsidP="00217400">
            <w:pPr>
              <w:rPr>
                <w:rFonts w:ascii="Calibri" w:hAnsi="Calibri" w:cs="Calibri"/>
                <w:color w:val="000000"/>
                <w:sz w:val="16"/>
                <w:szCs w:val="16"/>
              </w:rPr>
            </w:pPr>
            <w:r w:rsidRPr="00932D00">
              <w:rPr>
                <w:rFonts w:ascii="Calibri" w:hAnsi="Calibri" w:cs="Calibri"/>
                <w:color w:val="000000"/>
                <w:sz w:val="16"/>
                <w:szCs w:val="16"/>
              </w:rPr>
              <w:t>(*) As informações são após a “lei do PRODUZIR” e são de reenquadramento ou expansão das empresas. São empresas que estão no programa e usufruindo dos benefícios.</w:t>
            </w:r>
          </w:p>
          <w:p w14:paraId="2C18E5EC" w14:textId="77777777" w:rsidR="006356F1" w:rsidRDefault="006356F1" w:rsidP="00217400">
            <w:pPr>
              <w:rPr>
                <w:rFonts w:ascii="Calibri" w:hAnsi="Calibri" w:cs="Calibri"/>
                <w:color w:val="000000"/>
                <w:sz w:val="16"/>
                <w:szCs w:val="16"/>
              </w:rPr>
            </w:pPr>
            <w:r w:rsidRPr="00932D00">
              <w:rPr>
                <w:rFonts w:ascii="Calibri" w:hAnsi="Calibri" w:cs="Calibri"/>
                <w:color w:val="000000"/>
                <w:sz w:val="16"/>
                <w:szCs w:val="16"/>
              </w:rPr>
              <w:t>(**) Valores atualizados para dez/2017)</w:t>
            </w:r>
          </w:p>
          <w:p w14:paraId="52395012" w14:textId="77777777" w:rsidR="006356F1" w:rsidRDefault="006356F1" w:rsidP="00217400">
            <w:pPr>
              <w:rPr>
                <w:rFonts w:ascii="Calibri" w:hAnsi="Calibri" w:cs="Calibri"/>
                <w:color w:val="000000"/>
                <w:sz w:val="16"/>
                <w:szCs w:val="16"/>
              </w:rPr>
            </w:pPr>
            <w:r w:rsidRPr="00932D00">
              <w:rPr>
                <w:rFonts w:ascii="Calibri" w:hAnsi="Calibri" w:cs="Calibri"/>
                <w:color w:val="000000"/>
                <w:sz w:val="16"/>
                <w:szCs w:val="16"/>
              </w:rPr>
              <w:t>Fonte: Secretaria de Indústria e Comércio do Estado de Goiás</w:t>
            </w:r>
          </w:p>
          <w:p w14:paraId="7BC1AB5C" w14:textId="77777777" w:rsidR="006356F1" w:rsidRPr="00932D00" w:rsidRDefault="006356F1" w:rsidP="00217400">
            <w:pPr>
              <w:jc w:val="right"/>
              <w:rPr>
                <w:rFonts w:ascii="Calibri" w:hAnsi="Calibri" w:cs="Calibri"/>
                <w:color w:val="000000"/>
                <w:sz w:val="16"/>
                <w:szCs w:val="16"/>
              </w:rPr>
            </w:pPr>
            <w:r w:rsidRPr="00932D00">
              <w:rPr>
                <w:rStyle w:val="Refdenotaderodap"/>
                <w:rFonts w:ascii="Calibri" w:hAnsi="Calibri" w:cs="Calibri"/>
                <w:color w:val="000000"/>
                <w:sz w:val="18"/>
                <w:szCs w:val="16"/>
              </w:rPr>
              <w:footnoteReference w:id="126"/>
            </w:r>
          </w:p>
        </w:tc>
      </w:tr>
    </w:tbl>
    <w:p w14:paraId="29ADAC51" w14:textId="77777777" w:rsidR="006356F1" w:rsidRDefault="006356F1" w:rsidP="006356F1">
      <w:pPr>
        <w:spacing w:line="360" w:lineRule="auto"/>
        <w:ind w:firstLine="851"/>
        <w:jc w:val="both"/>
        <w:rPr>
          <w:rFonts w:ascii="Arial" w:hAnsi="Arial" w:cs="Arial"/>
          <w:sz w:val="24"/>
          <w:szCs w:val="24"/>
        </w:rPr>
      </w:pPr>
    </w:p>
    <w:p w14:paraId="06B879CB" w14:textId="77777777" w:rsidR="006356F1" w:rsidRPr="0052140A" w:rsidRDefault="006356F1" w:rsidP="006356F1">
      <w:pPr>
        <w:spacing w:line="360" w:lineRule="auto"/>
        <w:ind w:firstLine="851"/>
        <w:jc w:val="both"/>
        <w:rPr>
          <w:rFonts w:ascii="Arial" w:hAnsi="Arial" w:cs="Arial"/>
          <w:sz w:val="24"/>
        </w:rPr>
      </w:pPr>
      <w:r w:rsidRPr="0052140A">
        <w:rPr>
          <w:rFonts w:ascii="Arial" w:hAnsi="Arial" w:cs="Arial"/>
          <w:sz w:val="24"/>
        </w:rPr>
        <w:t>As tabelas</w:t>
      </w:r>
      <w:r>
        <w:rPr>
          <w:rFonts w:ascii="Arial" w:hAnsi="Arial" w:cs="Arial"/>
          <w:sz w:val="24"/>
        </w:rPr>
        <w:t xml:space="preserve"> 10 e 11 do Informe de Auditoria n. 2, de 2019, da CGE</w:t>
      </w:r>
      <w:r w:rsidRPr="0052140A">
        <w:rPr>
          <w:rFonts w:ascii="Arial" w:hAnsi="Arial" w:cs="Arial"/>
          <w:sz w:val="24"/>
        </w:rPr>
        <w:t xml:space="preserve"> </w:t>
      </w:r>
      <w:r>
        <w:rPr>
          <w:rFonts w:ascii="Arial" w:hAnsi="Arial" w:cs="Arial"/>
          <w:sz w:val="24"/>
        </w:rPr>
        <w:t>(</w:t>
      </w:r>
      <w:r w:rsidRPr="0052140A">
        <w:rPr>
          <w:rFonts w:ascii="Arial" w:hAnsi="Arial" w:cs="Arial"/>
          <w:sz w:val="24"/>
        </w:rPr>
        <w:t>acima</w:t>
      </w:r>
      <w:r>
        <w:rPr>
          <w:rFonts w:ascii="Arial" w:hAnsi="Arial" w:cs="Arial"/>
          <w:sz w:val="24"/>
        </w:rPr>
        <w:t>)</w:t>
      </w:r>
      <w:r w:rsidRPr="0052140A">
        <w:rPr>
          <w:rFonts w:ascii="Arial" w:hAnsi="Arial" w:cs="Arial"/>
          <w:sz w:val="24"/>
        </w:rPr>
        <w:t xml:space="preserve"> apresentam dados agregados dos programas FOMENTAR e PRODUZIR. Nelas constam que, para o PRODUZIR, mais de 2 mil empresas tiveram projetos aprovados com previsão de gerarem mais de 218 mil empregos diretos, investirem R$ 79 bilhões, bem como benefícios a serem concedidos de R$ 469 bilhões. No FOMENTAR havia 111 empresas prevendo pouco mais de 20 mil empregos, investimento de R$ 3,2 bilhões e com benefícios de pouco mais de R$ 59 bilhões</w:t>
      </w:r>
      <w:r w:rsidRPr="0052140A">
        <w:rPr>
          <w:rStyle w:val="Refdenotaderodap"/>
          <w:rFonts w:ascii="Arial" w:hAnsi="Arial" w:cs="Arial"/>
          <w:sz w:val="24"/>
        </w:rPr>
        <w:footnoteReference w:id="127"/>
      </w:r>
      <w:r w:rsidRPr="0052140A">
        <w:rPr>
          <w:rFonts w:ascii="Arial" w:hAnsi="Arial" w:cs="Arial"/>
          <w:sz w:val="24"/>
        </w:rPr>
        <w:t>.</w:t>
      </w:r>
    </w:p>
    <w:p w14:paraId="6E251678" w14:textId="77777777" w:rsidR="006356F1" w:rsidRPr="0052140A" w:rsidRDefault="006356F1" w:rsidP="006356F1">
      <w:pPr>
        <w:spacing w:line="360" w:lineRule="auto"/>
        <w:ind w:firstLine="851"/>
        <w:jc w:val="both"/>
        <w:rPr>
          <w:rFonts w:ascii="Arial" w:hAnsi="Arial" w:cs="Arial"/>
          <w:sz w:val="24"/>
        </w:rPr>
      </w:pPr>
      <w:r w:rsidRPr="0052140A">
        <w:rPr>
          <w:rFonts w:ascii="Arial" w:hAnsi="Arial" w:cs="Arial"/>
          <w:sz w:val="24"/>
        </w:rPr>
        <w:t xml:space="preserve">Como o valor estimado para o PIB goiano de 2018 era de R$ 198 bilhões (posição de dez/19), </w:t>
      </w:r>
      <w:r w:rsidRPr="0052140A">
        <w:rPr>
          <w:rFonts w:ascii="Arial" w:hAnsi="Arial" w:cs="Arial"/>
          <w:b/>
          <w:sz w:val="24"/>
        </w:rPr>
        <w:t>percebe-se que o benefício concedido para as empresas (em projetos) pelo PRODUZIR e FOMENTAR perfaz 2,7 vezes o PIB e os valores em fruição (R$ 121,6 bilhões) 61% dele</w:t>
      </w:r>
      <w:r w:rsidRPr="0052140A">
        <w:rPr>
          <w:rFonts w:ascii="Arial" w:hAnsi="Arial" w:cs="Arial"/>
          <w:sz w:val="24"/>
        </w:rPr>
        <w:t xml:space="preserve">. No caso do PRODUZIR, se considerarmos que o estado financia (quita) 73% desses benefícios e supondo que as empresas o utilizem por completo e cumpram com os requisitos de obtenção desse benefício, </w:t>
      </w:r>
      <w:r w:rsidRPr="0052140A">
        <w:rPr>
          <w:rFonts w:ascii="Arial" w:hAnsi="Arial" w:cs="Arial"/>
          <w:b/>
          <w:sz w:val="24"/>
        </w:rPr>
        <w:t xml:space="preserve">ainda assim o </w:t>
      </w:r>
      <w:r w:rsidRPr="0052140A">
        <w:rPr>
          <w:rFonts w:ascii="Arial" w:hAnsi="Arial" w:cs="Arial"/>
          <w:b/>
          <w:sz w:val="24"/>
        </w:rPr>
        <w:lastRenderedPageBreak/>
        <w:t>benefício concedido (renúncia) em projetos (R$ 385 bilhões) seria maior que o PIB, 1,9 vezes</w:t>
      </w:r>
      <w:r w:rsidRPr="0052140A">
        <w:rPr>
          <w:rFonts w:ascii="Arial" w:hAnsi="Arial" w:cs="Arial"/>
          <w:sz w:val="24"/>
        </w:rPr>
        <w:t xml:space="preserve">. </w:t>
      </w:r>
    </w:p>
    <w:p w14:paraId="1FDBDC80" w14:textId="77777777" w:rsidR="006356F1" w:rsidRPr="0052140A" w:rsidRDefault="006356F1" w:rsidP="006356F1">
      <w:pPr>
        <w:spacing w:line="360" w:lineRule="auto"/>
        <w:ind w:firstLine="851"/>
        <w:jc w:val="both"/>
        <w:rPr>
          <w:rFonts w:ascii="Arial" w:hAnsi="Arial" w:cs="Arial"/>
          <w:sz w:val="24"/>
        </w:rPr>
      </w:pPr>
      <w:r w:rsidRPr="0052140A">
        <w:rPr>
          <w:rFonts w:ascii="Arial" w:hAnsi="Arial" w:cs="Arial"/>
          <w:sz w:val="24"/>
        </w:rPr>
        <w:t xml:space="preserve">Além disso, para o caso do PRODUZIR, </w:t>
      </w:r>
      <w:r w:rsidRPr="0052140A">
        <w:rPr>
          <w:rFonts w:ascii="Arial" w:hAnsi="Arial" w:cs="Arial"/>
          <w:b/>
          <w:sz w:val="24"/>
        </w:rPr>
        <w:t>a relação geral de benefício/emprego passa de R$ 2,1 milhões</w:t>
      </w:r>
      <w:r w:rsidRPr="0052140A">
        <w:rPr>
          <w:rFonts w:ascii="Arial" w:hAnsi="Arial" w:cs="Arial"/>
          <w:sz w:val="24"/>
        </w:rPr>
        <w:t>, ou seja, este é o valor médio de benefício por emprego durante a participação no programa (horizonte do projeto).</w:t>
      </w:r>
    </w:p>
    <w:p w14:paraId="50A6EB59"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Por fim apresentamos a seguinte tabela, que foi elaborada com base nos dados que chegaram a esta Comissão Parlamentar de Inquérito, revelando que a participação das empresas beneficiárias do FOMENTAR e do PRODUZIR é de menos de 10% dos empregos goianos:</w:t>
      </w:r>
    </w:p>
    <w:p w14:paraId="2E9F8ECC" w14:textId="77777777" w:rsidR="006356F1" w:rsidRDefault="006356F1" w:rsidP="006356F1">
      <w:pPr>
        <w:spacing w:line="360" w:lineRule="auto"/>
        <w:ind w:firstLine="851"/>
        <w:jc w:val="both"/>
        <w:rPr>
          <w:rFonts w:ascii="Arial" w:hAnsi="Arial" w:cs="Arial"/>
          <w:sz w:val="24"/>
          <w:szCs w:val="24"/>
        </w:rPr>
      </w:pPr>
    </w:p>
    <w:p w14:paraId="3A35FD4E" w14:textId="77777777" w:rsidR="006356F1" w:rsidRPr="0052140A" w:rsidRDefault="006356F1" w:rsidP="006356F1">
      <w:pPr>
        <w:pStyle w:val="Legenda"/>
        <w:spacing w:after="0"/>
        <w:jc w:val="both"/>
        <w:rPr>
          <w:szCs w:val="22"/>
        </w:rPr>
      </w:pPr>
      <w:bookmarkStart w:id="395" w:name="_Ref8740829"/>
      <w:r w:rsidRPr="0052140A">
        <w:rPr>
          <w:szCs w:val="22"/>
        </w:rPr>
        <w:t>Participação das empresas dos programas PRODUZIR/FOMENTAR nos empregos formais da economia goiana.</w:t>
      </w:r>
      <w:bookmarkEnd w:id="395"/>
    </w:p>
    <w:tbl>
      <w:tblPr>
        <w:tblStyle w:val="TabeladeGradeClara"/>
        <w:tblW w:w="5000" w:type="pct"/>
        <w:tblLook w:val="04A0" w:firstRow="1" w:lastRow="0" w:firstColumn="1" w:lastColumn="0" w:noHBand="0" w:noVBand="1"/>
      </w:tblPr>
      <w:tblGrid>
        <w:gridCol w:w="2016"/>
        <w:gridCol w:w="2392"/>
        <w:gridCol w:w="2680"/>
        <w:gridCol w:w="2250"/>
      </w:tblGrid>
      <w:tr w:rsidR="006356F1" w:rsidRPr="0052140A" w14:paraId="683002C5" w14:textId="77777777" w:rsidTr="00217400">
        <w:trPr>
          <w:trHeight w:val="20"/>
        </w:trPr>
        <w:tc>
          <w:tcPr>
            <w:tcW w:w="1079" w:type="pct"/>
            <w:vAlign w:val="center"/>
            <w:hideMark/>
          </w:tcPr>
          <w:p w14:paraId="444360F8" w14:textId="77777777" w:rsidR="006356F1" w:rsidRPr="0052140A" w:rsidRDefault="006356F1" w:rsidP="00217400">
            <w:pPr>
              <w:jc w:val="center"/>
              <w:rPr>
                <w:rFonts w:asciiTheme="minorHAnsi" w:hAnsiTheme="minorHAnsi" w:cstheme="minorHAnsi"/>
                <w:b/>
                <w:color w:val="000000"/>
                <w:sz w:val="20"/>
              </w:rPr>
            </w:pPr>
            <w:r w:rsidRPr="0052140A">
              <w:rPr>
                <w:rFonts w:asciiTheme="minorHAnsi" w:hAnsiTheme="minorHAnsi" w:cstheme="minorHAnsi"/>
                <w:b/>
                <w:color w:val="000000"/>
                <w:sz w:val="20"/>
              </w:rPr>
              <w:t>Variável</w:t>
            </w:r>
          </w:p>
        </w:tc>
        <w:tc>
          <w:tcPr>
            <w:tcW w:w="1281" w:type="pct"/>
            <w:vAlign w:val="center"/>
            <w:hideMark/>
          </w:tcPr>
          <w:p w14:paraId="67EBD672" w14:textId="77777777" w:rsidR="006356F1" w:rsidRPr="0052140A" w:rsidRDefault="006356F1" w:rsidP="00217400">
            <w:pPr>
              <w:jc w:val="center"/>
              <w:rPr>
                <w:rFonts w:asciiTheme="minorHAnsi" w:hAnsiTheme="minorHAnsi" w:cstheme="minorHAnsi"/>
                <w:b/>
                <w:color w:val="000000"/>
                <w:sz w:val="20"/>
              </w:rPr>
            </w:pPr>
            <w:r w:rsidRPr="0052140A">
              <w:rPr>
                <w:rFonts w:asciiTheme="minorHAnsi" w:hAnsiTheme="minorHAnsi" w:cstheme="minorHAnsi"/>
                <w:b/>
                <w:color w:val="000000"/>
                <w:sz w:val="20"/>
              </w:rPr>
              <w:t>Total de empregos (GO)</w:t>
            </w:r>
          </w:p>
        </w:tc>
        <w:tc>
          <w:tcPr>
            <w:tcW w:w="1435" w:type="pct"/>
            <w:vAlign w:val="center"/>
            <w:hideMark/>
          </w:tcPr>
          <w:p w14:paraId="5D8EB0C6" w14:textId="77777777" w:rsidR="006356F1" w:rsidRPr="0052140A" w:rsidRDefault="006356F1" w:rsidP="00217400">
            <w:pPr>
              <w:jc w:val="center"/>
              <w:rPr>
                <w:rFonts w:asciiTheme="minorHAnsi" w:hAnsiTheme="minorHAnsi" w:cstheme="minorHAnsi"/>
                <w:b/>
                <w:color w:val="000000"/>
                <w:sz w:val="20"/>
              </w:rPr>
            </w:pPr>
            <w:r w:rsidRPr="0052140A">
              <w:rPr>
                <w:rFonts w:asciiTheme="minorHAnsi" w:hAnsiTheme="minorHAnsi" w:cstheme="minorHAnsi"/>
                <w:b/>
                <w:color w:val="000000"/>
                <w:sz w:val="20"/>
              </w:rPr>
              <w:t>Empregos em estoque das empresas</w:t>
            </w:r>
          </w:p>
        </w:tc>
        <w:tc>
          <w:tcPr>
            <w:tcW w:w="1206" w:type="pct"/>
            <w:vAlign w:val="center"/>
            <w:hideMark/>
          </w:tcPr>
          <w:p w14:paraId="46208235" w14:textId="77777777" w:rsidR="006356F1" w:rsidRPr="0052140A" w:rsidRDefault="006356F1" w:rsidP="00217400">
            <w:pPr>
              <w:jc w:val="center"/>
              <w:rPr>
                <w:rFonts w:asciiTheme="minorHAnsi" w:hAnsiTheme="minorHAnsi" w:cstheme="minorHAnsi"/>
                <w:b/>
                <w:color w:val="000000"/>
                <w:sz w:val="20"/>
              </w:rPr>
            </w:pPr>
            <w:r w:rsidRPr="0052140A">
              <w:rPr>
                <w:rFonts w:asciiTheme="minorHAnsi" w:hAnsiTheme="minorHAnsi" w:cstheme="minorHAnsi"/>
                <w:b/>
                <w:color w:val="000000"/>
                <w:sz w:val="20"/>
              </w:rPr>
              <w:t>Participação das empresas no total</w:t>
            </w:r>
          </w:p>
        </w:tc>
      </w:tr>
      <w:tr w:rsidR="006356F1" w:rsidRPr="0052140A" w14:paraId="5F7C4920" w14:textId="77777777" w:rsidTr="00217400">
        <w:trPr>
          <w:trHeight w:val="20"/>
        </w:trPr>
        <w:tc>
          <w:tcPr>
            <w:tcW w:w="1079" w:type="pct"/>
            <w:noWrap/>
            <w:hideMark/>
          </w:tcPr>
          <w:p w14:paraId="14E71F67"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2006</w:t>
            </w:r>
          </w:p>
        </w:tc>
        <w:tc>
          <w:tcPr>
            <w:tcW w:w="1281" w:type="pct"/>
            <w:noWrap/>
            <w:hideMark/>
          </w:tcPr>
          <w:p w14:paraId="01AC721C"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992.822</w:t>
            </w:r>
          </w:p>
        </w:tc>
        <w:tc>
          <w:tcPr>
            <w:tcW w:w="1435" w:type="pct"/>
            <w:noWrap/>
            <w:hideMark/>
          </w:tcPr>
          <w:p w14:paraId="4FA25EC8"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51.465</w:t>
            </w:r>
          </w:p>
        </w:tc>
        <w:tc>
          <w:tcPr>
            <w:tcW w:w="1206" w:type="pct"/>
            <w:noWrap/>
            <w:hideMark/>
          </w:tcPr>
          <w:p w14:paraId="231B0ADB"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5,20%</w:t>
            </w:r>
          </w:p>
        </w:tc>
      </w:tr>
      <w:tr w:rsidR="006356F1" w:rsidRPr="0052140A" w14:paraId="6ED59EC4" w14:textId="77777777" w:rsidTr="00217400">
        <w:trPr>
          <w:trHeight w:val="20"/>
        </w:trPr>
        <w:tc>
          <w:tcPr>
            <w:tcW w:w="1079" w:type="pct"/>
            <w:noWrap/>
            <w:hideMark/>
          </w:tcPr>
          <w:p w14:paraId="3E0E3B19"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2007</w:t>
            </w:r>
          </w:p>
        </w:tc>
        <w:tc>
          <w:tcPr>
            <w:tcW w:w="1281" w:type="pct"/>
            <w:noWrap/>
            <w:hideMark/>
          </w:tcPr>
          <w:p w14:paraId="42FE0C31"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1.061.426</w:t>
            </w:r>
          </w:p>
        </w:tc>
        <w:tc>
          <w:tcPr>
            <w:tcW w:w="1435" w:type="pct"/>
            <w:noWrap/>
            <w:hideMark/>
          </w:tcPr>
          <w:p w14:paraId="27269309"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61.621</w:t>
            </w:r>
          </w:p>
        </w:tc>
        <w:tc>
          <w:tcPr>
            <w:tcW w:w="1206" w:type="pct"/>
            <w:noWrap/>
            <w:hideMark/>
          </w:tcPr>
          <w:p w14:paraId="0DE394F1"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5,80%</w:t>
            </w:r>
          </w:p>
        </w:tc>
      </w:tr>
      <w:tr w:rsidR="006356F1" w:rsidRPr="0052140A" w14:paraId="28380A53" w14:textId="77777777" w:rsidTr="00217400">
        <w:trPr>
          <w:trHeight w:val="20"/>
        </w:trPr>
        <w:tc>
          <w:tcPr>
            <w:tcW w:w="1079" w:type="pct"/>
            <w:noWrap/>
            <w:hideMark/>
          </w:tcPr>
          <w:p w14:paraId="1438AE68"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2008</w:t>
            </w:r>
          </w:p>
        </w:tc>
        <w:tc>
          <w:tcPr>
            <w:tcW w:w="1281" w:type="pct"/>
            <w:noWrap/>
            <w:hideMark/>
          </w:tcPr>
          <w:p w14:paraId="5D878028"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1.135.046</w:t>
            </w:r>
          </w:p>
        </w:tc>
        <w:tc>
          <w:tcPr>
            <w:tcW w:w="1435" w:type="pct"/>
            <w:noWrap/>
            <w:hideMark/>
          </w:tcPr>
          <w:p w14:paraId="324C5719"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75.851</w:t>
            </w:r>
          </w:p>
        </w:tc>
        <w:tc>
          <w:tcPr>
            <w:tcW w:w="1206" w:type="pct"/>
            <w:noWrap/>
            <w:hideMark/>
          </w:tcPr>
          <w:p w14:paraId="35B62862"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6,70%</w:t>
            </w:r>
          </w:p>
        </w:tc>
      </w:tr>
      <w:tr w:rsidR="006356F1" w:rsidRPr="0052140A" w14:paraId="73EE4281" w14:textId="77777777" w:rsidTr="00217400">
        <w:trPr>
          <w:trHeight w:val="20"/>
        </w:trPr>
        <w:tc>
          <w:tcPr>
            <w:tcW w:w="1079" w:type="pct"/>
            <w:noWrap/>
            <w:hideMark/>
          </w:tcPr>
          <w:p w14:paraId="08F0DA03"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2009</w:t>
            </w:r>
          </w:p>
        </w:tc>
        <w:tc>
          <w:tcPr>
            <w:tcW w:w="1281" w:type="pct"/>
            <w:noWrap/>
            <w:hideMark/>
          </w:tcPr>
          <w:p w14:paraId="1AE85FFC"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1.209.310</w:t>
            </w:r>
          </w:p>
        </w:tc>
        <w:tc>
          <w:tcPr>
            <w:tcW w:w="1435" w:type="pct"/>
            <w:noWrap/>
            <w:hideMark/>
          </w:tcPr>
          <w:p w14:paraId="5FB7178B"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87.314</w:t>
            </w:r>
          </w:p>
        </w:tc>
        <w:tc>
          <w:tcPr>
            <w:tcW w:w="1206" w:type="pct"/>
            <w:noWrap/>
            <w:hideMark/>
          </w:tcPr>
          <w:p w14:paraId="0E0F16E7"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7,20%</w:t>
            </w:r>
          </w:p>
        </w:tc>
      </w:tr>
      <w:tr w:rsidR="006356F1" w:rsidRPr="0052140A" w14:paraId="30D34E02" w14:textId="77777777" w:rsidTr="00217400">
        <w:trPr>
          <w:trHeight w:val="20"/>
        </w:trPr>
        <w:tc>
          <w:tcPr>
            <w:tcW w:w="1079" w:type="pct"/>
            <w:noWrap/>
            <w:hideMark/>
          </w:tcPr>
          <w:p w14:paraId="167A3D9C"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2010</w:t>
            </w:r>
          </w:p>
        </w:tc>
        <w:tc>
          <w:tcPr>
            <w:tcW w:w="1281" w:type="pct"/>
            <w:noWrap/>
            <w:hideMark/>
          </w:tcPr>
          <w:p w14:paraId="6A9A4F21"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1.313.641</w:t>
            </w:r>
          </w:p>
        </w:tc>
        <w:tc>
          <w:tcPr>
            <w:tcW w:w="1435" w:type="pct"/>
            <w:noWrap/>
            <w:hideMark/>
          </w:tcPr>
          <w:p w14:paraId="3CDA8D70"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97.839</w:t>
            </w:r>
          </w:p>
        </w:tc>
        <w:tc>
          <w:tcPr>
            <w:tcW w:w="1206" w:type="pct"/>
            <w:noWrap/>
            <w:hideMark/>
          </w:tcPr>
          <w:p w14:paraId="2770E379"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7,40%</w:t>
            </w:r>
          </w:p>
        </w:tc>
      </w:tr>
      <w:tr w:rsidR="006356F1" w:rsidRPr="0052140A" w14:paraId="4FF0B8CD" w14:textId="77777777" w:rsidTr="00217400">
        <w:trPr>
          <w:trHeight w:val="20"/>
        </w:trPr>
        <w:tc>
          <w:tcPr>
            <w:tcW w:w="1079" w:type="pct"/>
            <w:noWrap/>
            <w:hideMark/>
          </w:tcPr>
          <w:p w14:paraId="35646D48"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2012</w:t>
            </w:r>
          </w:p>
        </w:tc>
        <w:tc>
          <w:tcPr>
            <w:tcW w:w="1281" w:type="pct"/>
            <w:noWrap/>
            <w:hideMark/>
          </w:tcPr>
          <w:p w14:paraId="68C132BA"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1.450.065</w:t>
            </w:r>
          </w:p>
        </w:tc>
        <w:tc>
          <w:tcPr>
            <w:tcW w:w="1435" w:type="pct"/>
            <w:noWrap/>
            <w:hideMark/>
          </w:tcPr>
          <w:p w14:paraId="56C40606"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113.317</w:t>
            </w:r>
          </w:p>
        </w:tc>
        <w:tc>
          <w:tcPr>
            <w:tcW w:w="1206" w:type="pct"/>
            <w:noWrap/>
            <w:hideMark/>
          </w:tcPr>
          <w:p w14:paraId="39280912"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7,80%</w:t>
            </w:r>
          </w:p>
        </w:tc>
      </w:tr>
      <w:tr w:rsidR="006356F1" w:rsidRPr="0052140A" w14:paraId="66F94E91" w14:textId="77777777" w:rsidTr="00217400">
        <w:trPr>
          <w:trHeight w:val="20"/>
        </w:trPr>
        <w:tc>
          <w:tcPr>
            <w:tcW w:w="1079" w:type="pct"/>
            <w:noWrap/>
            <w:hideMark/>
          </w:tcPr>
          <w:p w14:paraId="60EE7254"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2013</w:t>
            </w:r>
          </w:p>
        </w:tc>
        <w:tc>
          <w:tcPr>
            <w:tcW w:w="1281" w:type="pct"/>
            <w:noWrap/>
            <w:hideMark/>
          </w:tcPr>
          <w:p w14:paraId="36A4E2E6"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1.509.395</w:t>
            </w:r>
          </w:p>
        </w:tc>
        <w:tc>
          <w:tcPr>
            <w:tcW w:w="1435" w:type="pct"/>
            <w:noWrap/>
            <w:hideMark/>
          </w:tcPr>
          <w:p w14:paraId="6EA157FC"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122.015</w:t>
            </w:r>
          </w:p>
        </w:tc>
        <w:tc>
          <w:tcPr>
            <w:tcW w:w="1206" w:type="pct"/>
            <w:noWrap/>
            <w:hideMark/>
          </w:tcPr>
          <w:p w14:paraId="3EB954DC"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8,10%</w:t>
            </w:r>
          </w:p>
        </w:tc>
      </w:tr>
      <w:tr w:rsidR="006356F1" w:rsidRPr="0052140A" w14:paraId="745C7783" w14:textId="77777777" w:rsidTr="00217400">
        <w:trPr>
          <w:trHeight w:val="20"/>
        </w:trPr>
        <w:tc>
          <w:tcPr>
            <w:tcW w:w="1079" w:type="pct"/>
            <w:noWrap/>
            <w:hideMark/>
          </w:tcPr>
          <w:p w14:paraId="0547F7EE"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2014</w:t>
            </w:r>
          </w:p>
        </w:tc>
        <w:tc>
          <w:tcPr>
            <w:tcW w:w="1281" w:type="pct"/>
            <w:noWrap/>
            <w:hideMark/>
          </w:tcPr>
          <w:p w14:paraId="34FF247A"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1.514.532</w:t>
            </w:r>
          </w:p>
        </w:tc>
        <w:tc>
          <w:tcPr>
            <w:tcW w:w="1435" w:type="pct"/>
            <w:noWrap/>
            <w:hideMark/>
          </w:tcPr>
          <w:p w14:paraId="3B272CF2"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121.458</w:t>
            </w:r>
          </w:p>
        </w:tc>
        <w:tc>
          <w:tcPr>
            <w:tcW w:w="1206" w:type="pct"/>
            <w:noWrap/>
            <w:hideMark/>
          </w:tcPr>
          <w:p w14:paraId="68F40479"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8,00%</w:t>
            </w:r>
          </w:p>
        </w:tc>
      </w:tr>
      <w:tr w:rsidR="006356F1" w:rsidRPr="0052140A" w14:paraId="6622806E" w14:textId="77777777" w:rsidTr="00217400">
        <w:trPr>
          <w:trHeight w:val="20"/>
        </w:trPr>
        <w:tc>
          <w:tcPr>
            <w:tcW w:w="1079" w:type="pct"/>
            <w:noWrap/>
            <w:hideMark/>
          </w:tcPr>
          <w:p w14:paraId="1A61C977"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2015</w:t>
            </w:r>
          </w:p>
        </w:tc>
        <w:tc>
          <w:tcPr>
            <w:tcW w:w="1281" w:type="pct"/>
            <w:noWrap/>
            <w:hideMark/>
          </w:tcPr>
          <w:p w14:paraId="347A8ADC"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1.501.397</w:t>
            </w:r>
          </w:p>
        </w:tc>
        <w:tc>
          <w:tcPr>
            <w:tcW w:w="1435" w:type="pct"/>
            <w:noWrap/>
            <w:hideMark/>
          </w:tcPr>
          <w:p w14:paraId="5C2DEF57"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118.343</w:t>
            </w:r>
          </w:p>
        </w:tc>
        <w:tc>
          <w:tcPr>
            <w:tcW w:w="1206" w:type="pct"/>
            <w:noWrap/>
            <w:hideMark/>
          </w:tcPr>
          <w:p w14:paraId="6943B924"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7,90%</w:t>
            </w:r>
          </w:p>
        </w:tc>
      </w:tr>
      <w:tr w:rsidR="006356F1" w:rsidRPr="0052140A" w14:paraId="67D45EE2" w14:textId="77777777" w:rsidTr="00217400">
        <w:trPr>
          <w:trHeight w:val="20"/>
        </w:trPr>
        <w:tc>
          <w:tcPr>
            <w:tcW w:w="1079" w:type="pct"/>
            <w:noWrap/>
            <w:hideMark/>
          </w:tcPr>
          <w:p w14:paraId="54A5DA72"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2016</w:t>
            </w:r>
          </w:p>
        </w:tc>
        <w:tc>
          <w:tcPr>
            <w:tcW w:w="1281" w:type="pct"/>
            <w:noWrap/>
            <w:hideMark/>
          </w:tcPr>
          <w:p w14:paraId="79BA2320"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1.445.943</w:t>
            </w:r>
          </w:p>
        </w:tc>
        <w:tc>
          <w:tcPr>
            <w:tcW w:w="1435" w:type="pct"/>
            <w:noWrap/>
            <w:hideMark/>
          </w:tcPr>
          <w:p w14:paraId="74E2690D"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110.392</w:t>
            </w:r>
          </w:p>
        </w:tc>
        <w:tc>
          <w:tcPr>
            <w:tcW w:w="1206" w:type="pct"/>
            <w:noWrap/>
            <w:hideMark/>
          </w:tcPr>
          <w:p w14:paraId="2CE4FD41"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7,60%</w:t>
            </w:r>
          </w:p>
        </w:tc>
      </w:tr>
      <w:tr w:rsidR="006356F1" w:rsidRPr="0052140A" w14:paraId="1B4EFA63" w14:textId="77777777" w:rsidTr="00217400">
        <w:trPr>
          <w:trHeight w:val="20"/>
        </w:trPr>
        <w:tc>
          <w:tcPr>
            <w:tcW w:w="1079" w:type="pct"/>
            <w:noWrap/>
            <w:hideMark/>
          </w:tcPr>
          <w:p w14:paraId="5948EDC0"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2017</w:t>
            </w:r>
          </w:p>
        </w:tc>
        <w:tc>
          <w:tcPr>
            <w:tcW w:w="1281" w:type="pct"/>
            <w:noWrap/>
            <w:hideMark/>
          </w:tcPr>
          <w:p w14:paraId="5DD5BCEF"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1.515.422</w:t>
            </w:r>
          </w:p>
        </w:tc>
        <w:tc>
          <w:tcPr>
            <w:tcW w:w="1435" w:type="pct"/>
            <w:noWrap/>
            <w:hideMark/>
          </w:tcPr>
          <w:p w14:paraId="6BBE0306"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111.706</w:t>
            </w:r>
          </w:p>
        </w:tc>
        <w:tc>
          <w:tcPr>
            <w:tcW w:w="1206" w:type="pct"/>
            <w:noWrap/>
            <w:hideMark/>
          </w:tcPr>
          <w:p w14:paraId="7386F417"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7,40%</w:t>
            </w:r>
          </w:p>
        </w:tc>
      </w:tr>
      <w:tr w:rsidR="006356F1" w:rsidRPr="0052140A" w14:paraId="0EC56DF1" w14:textId="77777777" w:rsidTr="00217400">
        <w:trPr>
          <w:trHeight w:val="20"/>
        </w:trPr>
        <w:tc>
          <w:tcPr>
            <w:tcW w:w="1079" w:type="pct"/>
            <w:hideMark/>
          </w:tcPr>
          <w:p w14:paraId="3FE86E53" w14:textId="77777777" w:rsidR="006356F1" w:rsidRPr="0052140A" w:rsidRDefault="006356F1" w:rsidP="00217400">
            <w:pPr>
              <w:jc w:val="center"/>
              <w:rPr>
                <w:rFonts w:asciiTheme="minorHAnsi" w:hAnsiTheme="minorHAnsi" w:cstheme="minorHAnsi"/>
                <w:bCs/>
                <w:color w:val="000000"/>
                <w:sz w:val="20"/>
              </w:rPr>
            </w:pPr>
            <w:r w:rsidRPr="0052140A">
              <w:rPr>
                <w:rFonts w:asciiTheme="minorHAnsi" w:hAnsiTheme="minorHAnsi" w:cstheme="minorHAnsi"/>
                <w:bCs/>
                <w:color w:val="000000"/>
                <w:sz w:val="20"/>
              </w:rPr>
              <w:t>2018</w:t>
            </w:r>
          </w:p>
        </w:tc>
        <w:tc>
          <w:tcPr>
            <w:tcW w:w="1281" w:type="pct"/>
            <w:hideMark/>
          </w:tcPr>
          <w:p w14:paraId="52DD2F22"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1.507.648</w:t>
            </w:r>
          </w:p>
        </w:tc>
        <w:tc>
          <w:tcPr>
            <w:tcW w:w="1435" w:type="pct"/>
            <w:hideMark/>
          </w:tcPr>
          <w:p w14:paraId="0A66020C"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110.854</w:t>
            </w:r>
          </w:p>
        </w:tc>
        <w:tc>
          <w:tcPr>
            <w:tcW w:w="1206" w:type="pct"/>
            <w:hideMark/>
          </w:tcPr>
          <w:p w14:paraId="06693FE8" w14:textId="77777777" w:rsidR="006356F1" w:rsidRPr="0052140A" w:rsidRDefault="006356F1" w:rsidP="00217400">
            <w:pPr>
              <w:jc w:val="center"/>
              <w:rPr>
                <w:rFonts w:asciiTheme="minorHAnsi" w:hAnsiTheme="minorHAnsi" w:cstheme="minorHAnsi"/>
                <w:color w:val="000000"/>
                <w:sz w:val="20"/>
              </w:rPr>
            </w:pPr>
            <w:r w:rsidRPr="0052140A">
              <w:rPr>
                <w:rFonts w:asciiTheme="minorHAnsi" w:hAnsiTheme="minorHAnsi" w:cstheme="minorHAnsi"/>
                <w:color w:val="000000"/>
                <w:sz w:val="20"/>
              </w:rPr>
              <w:t>7,40%</w:t>
            </w:r>
          </w:p>
        </w:tc>
      </w:tr>
    </w:tbl>
    <w:p w14:paraId="4717750A" w14:textId="77777777" w:rsidR="006356F1" w:rsidRPr="00A360CC" w:rsidRDefault="006356F1" w:rsidP="006356F1">
      <w:pPr>
        <w:jc w:val="both"/>
        <w:rPr>
          <w:rFonts w:ascii="Arial" w:hAnsi="Arial" w:cs="Arial"/>
          <w:sz w:val="18"/>
          <w:szCs w:val="18"/>
        </w:rPr>
      </w:pPr>
      <w:r w:rsidRPr="00A360CC">
        <w:rPr>
          <w:rFonts w:ascii="Arial" w:hAnsi="Arial" w:cs="Arial"/>
          <w:sz w:val="18"/>
          <w:szCs w:val="18"/>
        </w:rPr>
        <w:t>Obs: Número de empregos das empresas em fruição conforme a Secretaria de Estado de Indústria, Comércio e Serviços.</w:t>
      </w:r>
    </w:p>
    <w:p w14:paraId="69F1ED34" w14:textId="77777777" w:rsidR="006356F1" w:rsidRPr="00A360CC" w:rsidRDefault="006356F1" w:rsidP="006356F1">
      <w:pPr>
        <w:jc w:val="both"/>
        <w:rPr>
          <w:rFonts w:ascii="Arial" w:hAnsi="Arial" w:cs="Arial"/>
        </w:rPr>
      </w:pPr>
      <w:r w:rsidRPr="00A360CC">
        <w:rPr>
          <w:rFonts w:ascii="Arial" w:hAnsi="Arial" w:cs="Arial"/>
          <w:sz w:val="18"/>
          <w:szCs w:val="18"/>
        </w:rPr>
        <w:t>Fonte: RAIS- Relação Anual de Informações Sociais.</w:t>
      </w:r>
    </w:p>
    <w:p w14:paraId="0125C54D" w14:textId="77777777" w:rsidR="006356F1" w:rsidRDefault="006356F1" w:rsidP="006356F1">
      <w:pPr>
        <w:spacing w:line="360" w:lineRule="auto"/>
        <w:ind w:firstLine="851"/>
        <w:jc w:val="both"/>
        <w:rPr>
          <w:rFonts w:ascii="Arial" w:hAnsi="Arial" w:cs="Arial"/>
          <w:sz w:val="24"/>
          <w:szCs w:val="24"/>
        </w:rPr>
      </w:pPr>
    </w:p>
    <w:p w14:paraId="210ED38C" w14:textId="77777777" w:rsidR="006356F1" w:rsidRDefault="006356F1" w:rsidP="006356F1">
      <w:pPr>
        <w:spacing w:line="360" w:lineRule="auto"/>
        <w:ind w:firstLine="851"/>
        <w:jc w:val="both"/>
        <w:rPr>
          <w:rFonts w:ascii="Arial" w:hAnsi="Arial" w:cs="Arial"/>
          <w:sz w:val="24"/>
          <w:szCs w:val="24"/>
        </w:rPr>
      </w:pPr>
    </w:p>
    <w:p w14:paraId="50D65AA8" w14:textId="6C7E16BB" w:rsidR="006356F1" w:rsidRPr="00C57610" w:rsidRDefault="006356F1" w:rsidP="006356F1">
      <w:pPr>
        <w:spacing w:line="360" w:lineRule="auto"/>
        <w:ind w:firstLine="851"/>
        <w:jc w:val="both"/>
        <w:rPr>
          <w:rFonts w:ascii="Arial" w:hAnsi="Arial" w:cs="Arial"/>
          <w:b/>
          <w:sz w:val="24"/>
          <w:szCs w:val="24"/>
          <w:u w:val="single"/>
        </w:rPr>
      </w:pPr>
      <w:r w:rsidRPr="00C57610">
        <w:rPr>
          <w:rFonts w:ascii="Arial" w:hAnsi="Arial" w:cs="Arial"/>
          <w:b/>
          <w:sz w:val="24"/>
          <w:szCs w:val="24"/>
          <w:u w:val="single"/>
        </w:rPr>
        <w:t>1</w:t>
      </w:r>
      <w:r w:rsidR="002515EE" w:rsidRPr="00C57610">
        <w:rPr>
          <w:rFonts w:ascii="Arial" w:hAnsi="Arial" w:cs="Arial"/>
          <w:b/>
          <w:sz w:val="24"/>
          <w:szCs w:val="24"/>
          <w:u w:val="single"/>
        </w:rPr>
        <w:t>1</w:t>
      </w:r>
      <w:r w:rsidRPr="00C57610">
        <w:rPr>
          <w:rFonts w:ascii="Arial" w:hAnsi="Arial" w:cs="Arial"/>
          <w:b/>
          <w:sz w:val="24"/>
          <w:szCs w:val="24"/>
          <w:u w:val="single"/>
        </w:rPr>
        <w:t>.</w:t>
      </w:r>
      <w:r w:rsidR="00B34BAE" w:rsidRPr="00C57610">
        <w:rPr>
          <w:rFonts w:ascii="Arial" w:hAnsi="Arial" w:cs="Arial"/>
          <w:b/>
          <w:sz w:val="24"/>
          <w:szCs w:val="24"/>
          <w:u w:val="single"/>
        </w:rPr>
        <w:t xml:space="preserve">4.1 – </w:t>
      </w:r>
      <w:r w:rsidR="00C57610" w:rsidRPr="00C57610">
        <w:rPr>
          <w:rFonts w:ascii="Arial" w:hAnsi="Arial" w:cs="Arial"/>
          <w:b/>
          <w:sz w:val="24"/>
          <w:szCs w:val="24"/>
          <w:u w:val="single"/>
        </w:rPr>
        <w:t>Custo do emprego</w:t>
      </w:r>
    </w:p>
    <w:p w14:paraId="4A60B83C" w14:textId="77777777" w:rsidR="006356F1" w:rsidRDefault="006356F1" w:rsidP="006356F1">
      <w:pPr>
        <w:spacing w:line="360" w:lineRule="auto"/>
        <w:ind w:firstLine="851"/>
        <w:jc w:val="both"/>
        <w:rPr>
          <w:rFonts w:ascii="Arial" w:hAnsi="Arial" w:cs="Arial"/>
          <w:sz w:val="24"/>
          <w:szCs w:val="24"/>
        </w:rPr>
      </w:pPr>
    </w:p>
    <w:p w14:paraId="7B88A5D1"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Tanto o IMB quanto a CGE procuraram levantar o “custo do emprego” relacionado aos incentivos fiscais. O IMB chegou à conclusão da </w:t>
      </w:r>
      <w:r w:rsidRPr="00E146B9">
        <w:rPr>
          <w:rFonts w:ascii="Arial" w:hAnsi="Arial" w:cs="Arial"/>
          <w:b/>
          <w:sz w:val="24"/>
          <w:szCs w:val="24"/>
        </w:rPr>
        <w:t xml:space="preserve">existência, em </w:t>
      </w:r>
      <w:r>
        <w:rPr>
          <w:rFonts w:ascii="Arial" w:hAnsi="Arial" w:cs="Arial"/>
          <w:b/>
          <w:sz w:val="24"/>
          <w:szCs w:val="24"/>
        </w:rPr>
        <w:t>geral</w:t>
      </w:r>
      <w:r w:rsidRPr="00E146B9">
        <w:rPr>
          <w:rFonts w:ascii="Arial" w:hAnsi="Arial" w:cs="Arial"/>
          <w:b/>
          <w:sz w:val="24"/>
          <w:szCs w:val="24"/>
        </w:rPr>
        <w:t>, de um alto “custo do emprego”</w:t>
      </w:r>
      <w:r>
        <w:rPr>
          <w:rFonts w:ascii="Arial" w:hAnsi="Arial" w:cs="Arial"/>
          <w:sz w:val="24"/>
          <w:szCs w:val="24"/>
        </w:rPr>
        <w:t>, inclusive ultrapassando a média nacional, especialmente para setores de grandes beneficiários do FOMENTAR/PRODUZIR, a saber o farmoquímico e o de fabricação de automóveis, camionetas e utilitários:</w:t>
      </w:r>
    </w:p>
    <w:p w14:paraId="444E42D4" w14:textId="77777777" w:rsidR="006356F1" w:rsidRDefault="006356F1" w:rsidP="006356F1">
      <w:pPr>
        <w:spacing w:line="360" w:lineRule="auto"/>
        <w:ind w:firstLine="851"/>
        <w:jc w:val="both"/>
        <w:rPr>
          <w:rFonts w:ascii="Arial" w:hAnsi="Arial" w:cs="Arial"/>
          <w:sz w:val="24"/>
          <w:szCs w:val="24"/>
        </w:rPr>
      </w:pPr>
    </w:p>
    <w:p w14:paraId="09669B42"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lastRenderedPageBreak/>
        <w:t>Para inferir uma aproximação de quanto custou cada emprego/vínculo ativo gerado pelos programas de incentivo fiscal implementados no estado de Goiás, por meio da relação de classes CNAE 2,0, conforme classificação da RAIS, primeiro foi determinado o valor total de incentivos fiscais destinados para cada subsetor específico.</w:t>
      </w:r>
    </w:p>
    <w:p w14:paraId="405ED718"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 xml:space="preserve">Na base da RAIS do Ministério do Trabalho, foi coletado o número de vínculos ativos em 31/12 no subsetor e da empresa em análise, bem como a remuneração média no ano por trabalhador. </w:t>
      </w:r>
      <w:r w:rsidRPr="00C613AC">
        <w:rPr>
          <w:rFonts w:ascii="Arial" w:hAnsi="Arial" w:cs="Arial"/>
          <w:b/>
          <w:sz w:val="22"/>
          <w:szCs w:val="24"/>
        </w:rPr>
        <w:t>Em geral, o rendimento médio real do trabalho no Brasil é de R$ 2,128,00 reais</w:t>
      </w:r>
      <w:r w:rsidRPr="00E146B9">
        <w:rPr>
          <w:rFonts w:ascii="Arial" w:hAnsi="Arial" w:cs="Arial"/>
          <w:sz w:val="22"/>
          <w:szCs w:val="24"/>
        </w:rPr>
        <w:t xml:space="preserve">, e considerando o custo não-salário da folha pago, </w:t>
      </w:r>
      <w:r w:rsidRPr="00C613AC">
        <w:rPr>
          <w:rFonts w:ascii="Arial" w:hAnsi="Arial" w:cs="Arial"/>
          <w:b/>
          <w:sz w:val="22"/>
          <w:szCs w:val="24"/>
        </w:rPr>
        <w:t>cada empresa gasta em média anual R$ 56.000/trabalhador</w:t>
      </w:r>
      <w:r w:rsidRPr="00E146B9">
        <w:rPr>
          <w:rFonts w:ascii="Arial" w:hAnsi="Arial" w:cs="Arial"/>
          <w:sz w:val="22"/>
          <w:szCs w:val="24"/>
        </w:rPr>
        <w:t>.</w:t>
      </w:r>
    </w:p>
    <w:p w14:paraId="116E7C54"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Para o período de 2012 até 2017 foram realizadas as seguintes análises: (i) custo do emprego para todos os segmentos classificados na CNAE 2.0; e (ii) custo do emprego nível firma para os cem maiores grupos empresariais contemplados pelos programas em análise.</w:t>
      </w:r>
    </w:p>
    <w:p w14:paraId="56A4565D"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 xml:space="preserve">Diante disso, para o ano de 2012, </w:t>
      </w:r>
      <w:r w:rsidRPr="00C613AC">
        <w:rPr>
          <w:rFonts w:ascii="Arial" w:hAnsi="Arial" w:cs="Arial"/>
          <w:b/>
          <w:sz w:val="22"/>
          <w:szCs w:val="24"/>
        </w:rPr>
        <w:t>o custo do emprego médio para os subsetores da classificação da CNAE 2.0 foi de R$ 25.878,05</w:t>
      </w:r>
      <w:r w:rsidRPr="00E146B9">
        <w:rPr>
          <w:rFonts w:ascii="Arial" w:hAnsi="Arial" w:cs="Arial"/>
          <w:sz w:val="22"/>
          <w:szCs w:val="24"/>
        </w:rPr>
        <w:t>.</w:t>
      </w:r>
    </w:p>
    <w:p w14:paraId="7992224C"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 xml:space="preserve">Em especial, destacam-se os seguintes segmentos: (i) fabricação de preparações farmacêuticas e (ii) produção de gás, com a manutenção de um único vínculo ativo com um custo de R$ 7.121,348,88 e R$ 5.168.000,00 respectivamente. </w:t>
      </w:r>
      <w:r w:rsidRPr="00C613AC">
        <w:rPr>
          <w:rFonts w:ascii="Arial" w:hAnsi="Arial" w:cs="Arial"/>
          <w:b/>
          <w:sz w:val="22"/>
          <w:szCs w:val="24"/>
        </w:rPr>
        <w:t>Outros setores com um custo do emprego/vínculo ativo elevadíssimo foram: (i) desdobramento de madeira</w:t>
      </w:r>
      <w:r w:rsidRPr="00C613AC">
        <w:rPr>
          <w:rFonts w:ascii="Arial" w:hAnsi="Arial" w:cs="Arial"/>
          <w:sz w:val="22"/>
          <w:szCs w:val="24"/>
        </w:rPr>
        <w:t>, (ii) fabricação de aparelhos e equipamentos para distribuição e controle de energia elétrica, e</w:t>
      </w:r>
      <w:r w:rsidRPr="00C613AC">
        <w:rPr>
          <w:rFonts w:ascii="Arial" w:hAnsi="Arial" w:cs="Arial"/>
          <w:b/>
          <w:sz w:val="22"/>
          <w:szCs w:val="24"/>
        </w:rPr>
        <w:t xml:space="preserve"> (iii) fabricação de produtos farmoquímicos, todos com valores acima dos R$ 500.000,00</w:t>
      </w:r>
      <w:r w:rsidRPr="00E146B9">
        <w:rPr>
          <w:rFonts w:ascii="Arial" w:hAnsi="Arial" w:cs="Arial"/>
          <w:sz w:val="22"/>
          <w:szCs w:val="24"/>
        </w:rPr>
        <w:t>.</w:t>
      </w:r>
    </w:p>
    <w:p w14:paraId="763AA8C1"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 xml:space="preserve">Ademais, </w:t>
      </w:r>
      <w:r w:rsidRPr="00C613AC">
        <w:rPr>
          <w:rFonts w:ascii="Arial" w:hAnsi="Arial" w:cs="Arial"/>
          <w:b/>
          <w:sz w:val="22"/>
          <w:szCs w:val="24"/>
        </w:rPr>
        <w:t>ainda merece destaque o subsetor fabricação de automóveis, camionetas e utilitários</w:t>
      </w:r>
      <w:r w:rsidRPr="00C613AC">
        <w:rPr>
          <w:rFonts w:ascii="Arial" w:hAnsi="Arial" w:cs="Arial"/>
          <w:sz w:val="22"/>
          <w:szCs w:val="24"/>
        </w:rPr>
        <w:t>.</w:t>
      </w:r>
      <w:r w:rsidRPr="00E146B9">
        <w:rPr>
          <w:rFonts w:ascii="Arial" w:hAnsi="Arial" w:cs="Arial"/>
          <w:sz w:val="22"/>
          <w:szCs w:val="24"/>
        </w:rPr>
        <w:t xml:space="preserve"> No ano de referência foi o </w:t>
      </w:r>
      <w:r w:rsidRPr="00C613AC">
        <w:rPr>
          <w:rFonts w:ascii="Arial" w:hAnsi="Arial" w:cs="Arial"/>
          <w:b/>
          <w:sz w:val="22"/>
          <w:szCs w:val="24"/>
        </w:rPr>
        <w:t>segmento que recebeu o maior valor de incentivos fiscais</w:t>
      </w:r>
      <w:r w:rsidRPr="00E146B9">
        <w:rPr>
          <w:rFonts w:ascii="Arial" w:hAnsi="Arial" w:cs="Arial"/>
          <w:sz w:val="22"/>
          <w:szCs w:val="24"/>
        </w:rPr>
        <w:t xml:space="preserve"> e gerou o maior número de emprego formal. Todavia, </w:t>
      </w:r>
      <w:r w:rsidRPr="00C613AC">
        <w:rPr>
          <w:rFonts w:ascii="Arial" w:hAnsi="Arial" w:cs="Arial"/>
          <w:b/>
          <w:sz w:val="22"/>
          <w:szCs w:val="24"/>
        </w:rPr>
        <w:t>o custo do emprego/vínculo ativo ficou na casa de R$ 260.303,08</w:t>
      </w:r>
      <w:r w:rsidRPr="00E146B9">
        <w:rPr>
          <w:rFonts w:ascii="Arial" w:hAnsi="Arial" w:cs="Arial"/>
          <w:sz w:val="22"/>
          <w:szCs w:val="24"/>
        </w:rPr>
        <w:t>.</w:t>
      </w:r>
    </w:p>
    <w:p w14:paraId="4368EABA"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 xml:space="preserve">Para o ano de 2013, o custo médio do emprego para os subsetores da classificação da CNAE 2.0 foi de R$ 24.693,00. Nesse ano houve um ligeiro aumento do número de subclasses, cujo valor do custo do emprego foi superior ao custo brasileiro, saindo de 29 para 33 segmentos. </w:t>
      </w:r>
      <w:r w:rsidRPr="00C613AC">
        <w:rPr>
          <w:rFonts w:ascii="Arial" w:hAnsi="Arial" w:cs="Arial"/>
          <w:b/>
          <w:sz w:val="22"/>
          <w:szCs w:val="24"/>
        </w:rPr>
        <w:t>Destacam-se os seguintes segmentos: (i) fabricação de tratores agrícolas, com um custo por emprego de R$ 470.539,50; (ii) fabricação de equipamentos e instrumentos ópticos, fotográficos e cinematográficos, com um custo de R$ 345.759,27; e, (iii) a fabricação de produtos farmoquímicos, com um custo de R$ 328.453,62</w:t>
      </w:r>
      <w:r w:rsidRPr="00E146B9">
        <w:rPr>
          <w:rFonts w:ascii="Arial" w:hAnsi="Arial" w:cs="Arial"/>
          <w:sz w:val="22"/>
          <w:szCs w:val="24"/>
        </w:rPr>
        <w:t>.</w:t>
      </w:r>
    </w:p>
    <w:p w14:paraId="2B01A9BA"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 xml:space="preserve">Ainda cabe destacar que </w:t>
      </w:r>
      <w:r w:rsidRPr="00C613AC">
        <w:rPr>
          <w:rFonts w:ascii="Arial" w:hAnsi="Arial" w:cs="Arial"/>
          <w:sz w:val="22"/>
          <w:szCs w:val="24"/>
        </w:rPr>
        <w:t>os setores altamente intensivos em trabalho com um elevado número de vínculo ativos (comércio atacadista de produtos farmacêuticos para uso humano e veterinário e fabricação de automóveis, camionetas e utilitários) também apresentaram elevados custos por emprego/vínculo ativo, na ordem de R$ 203.466,20 e 118.324,03, respectivamente</w:t>
      </w:r>
      <w:r w:rsidRPr="00E146B9">
        <w:rPr>
          <w:rFonts w:ascii="Arial" w:hAnsi="Arial" w:cs="Arial"/>
          <w:sz w:val="22"/>
          <w:szCs w:val="24"/>
        </w:rPr>
        <w:t>.</w:t>
      </w:r>
    </w:p>
    <w:p w14:paraId="79D91B56"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No ano de 2014, o custo médio do emprego/vínculo ativo para os subsetores da classificação da CNAE 2.0 foi de R$ 28.418,04. No referido ano, houve uma queda no número de subclasses, com valor do custo do emprego maior que a média nacional, passando 33 subclasses em 2013 para 29 em 2014.</w:t>
      </w:r>
    </w:p>
    <w:p w14:paraId="18FA991F"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 xml:space="preserve">Entre os subsetores com o maior valor destacam-se: </w:t>
      </w:r>
      <w:r w:rsidRPr="00C613AC">
        <w:rPr>
          <w:rFonts w:ascii="Arial" w:hAnsi="Arial" w:cs="Arial"/>
          <w:b/>
          <w:sz w:val="22"/>
          <w:szCs w:val="24"/>
        </w:rPr>
        <w:t xml:space="preserve">(i) Comércio Varejista de Cosméticos, Produtos de Perfumaria e de Higiene </w:t>
      </w:r>
      <w:r w:rsidRPr="00C613AC">
        <w:rPr>
          <w:rFonts w:ascii="Arial" w:hAnsi="Arial" w:cs="Arial"/>
          <w:b/>
          <w:sz w:val="22"/>
          <w:szCs w:val="24"/>
        </w:rPr>
        <w:lastRenderedPageBreak/>
        <w:t>Pessoal; e, (ii) Fabricação de Equipamentos e Instrumentos ópticos, Fotográficos e Cinematográficos, com custos de emprego R$ 907.519,10 e R$ 613.418,41, respectivamente</w:t>
      </w:r>
      <w:r w:rsidRPr="00E146B9">
        <w:rPr>
          <w:rFonts w:ascii="Arial" w:hAnsi="Arial" w:cs="Arial"/>
          <w:sz w:val="22"/>
          <w:szCs w:val="24"/>
        </w:rPr>
        <w:t>. Entre as subclasses com maior incentivo fiscal destacam-se: (i) fabricação de automóveis, camionetas e utilitários; (ii) Comércio Atacadista de Produtos Farmacêuticos para Uso Humano e Veterinário; (iii) Fabricação de Laticínios; e, (iv) Fabricação de óleos Vegetais em Bruto, Exceto óleo de Milho, com valores do custo do emprego superiores aos R$ 61 mil.</w:t>
      </w:r>
    </w:p>
    <w:p w14:paraId="60D0FCDF"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O custo médio do emprego dos subsetores para o ano de 2015 foi de R$ 28.632,29. Destacam-se os seguintes segmentos no referido ano: (i) representantes comerciais e agentes do comércio especializado em produtos não especificados anteriormente; (ii) comércio atacadista de soja; e, (iii) fabricação de equipamentos e instrumentos ópticos, fotográficos e cinematográficos. Todos os mencionados apresentaram baixa geração de empregos, mas com um custo por emprego superando os R$ 700 mil.</w:t>
      </w:r>
    </w:p>
    <w:p w14:paraId="4C81E335" w14:textId="77777777" w:rsidR="006356F1" w:rsidRPr="00E146B9" w:rsidRDefault="006356F1" w:rsidP="006356F1">
      <w:pPr>
        <w:ind w:left="2268"/>
        <w:jc w:val="both"/>
        <w:rPr>
          <w:rFonts w:ascii="Arial" w:hAnsi="Arial" w:cs="Arial"/>
          <w:sz w:val="22"/>
          <w:szCs w:val="24"/>
        </w:rPr>
      </w:pPr>
      <w:r w:rsidRPr="00C613AC">
        <w:rPr>
          <w:rFonts w:ascii="Arial" w:hAnsi="Arial" w:cs="Arial"/>
          <w:b/>
          <w:sz w:val="22"/>
          <w:szCs w:val="24"/>
        </w:rPr>
        <w:t>Também cabe mencionar que no segmento com o maior incentivo, no caso do ano de 2015, fabricação de automóveis, camionetas e utilitários, o valor manteve-se alto como nos anos anteriores atingindo o valor de R$ 178.744,01</w:t>
      </w:r>
      <w:r w:rsidRPr="00E146B9">
        <w:rPr>
          <w:rFonts w:ascii="Arial" w:hAnsi="Arial" w:cs="Arial"/>
          <w:sz w:val="22"/>
          <w:szCs w:val="24"/>
        </w:rPr>
        <w:t>, enquanto que em 2013 e 2014 os valores foram de R$ 224 mil e 214 mil, respectivamente.</w:t>
      </w:r>
    </w:p>
    <w:p w14:paraId="2DF64D2F"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No ano de 2016, o custo médio do emprego para os subsetores da classificação da CNAE 2.0 foi de R$ 34.001,85. Nesse período houve um aumento do número de subclasses cujo valor do custo do emprego foi superior ao custo brasileiro, saindo de 28 para 36 subsetores. Entre os principais destaques tem-se: (i) comércio atacadista de soja, com um custo do emprego no valor de R$ 914 mil; e, (ii) fabricação de produtos de trefilados de metal, com um custo em torno de R$ 583 mil.</w:t>
      </w:r>
    </w:p>
    <w:p w14:paraId="5CFBD140" w14:textId="77777777" w:rsidR="006356F1" w:rsidRPr="00067B5A" w:rsidRDefault="006356F1" w:rsidP="006356F1">
      <w:pPr>
        <w:ind w:left="2268"/>
        <w:jc w:val="both"/>
        <w:rPr>
          <w:rFonts w:ascii="Arial" w:hAnsi="Arial" w:cs="Arial"/>
          <w:b/>
          <w:sz w:val="22"/>
          <w:szCs w:val="24"/>
        </w:rPr>
      </w:pPr>
      <w:r w:rsidRPr="00067B5A">
        <w:rPr>
          <w:rFonts w:ascii="Arial" w:hAnsi="Arial" w:cs="Arial"/>
          <w:b/>
          <w:sz w:val="22"/>
          <w:szCs w:val="24"/>
        </w:rPr>
        <w:t>Entre os segmentos que obtiveram um elevado incentivo destacaram-se: (i) comércio atacadista de produtos farmacêuticos para uso humano e veterinário, com um custo de R$ 223 mil; e, (ii) fabricação de automóveis, camionetas e utilitários, cujo custo bateu o patamar de R$ 148 mil.</w:t>
      </w:r>
    </w:p>
    <w:p w14:paraId="43976189"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 xml:space="preserve">Por fim, no ano de 2017, o número de subsetores com um custo do emprego superior à média nacional foi de 37 segmentos. O custo médio do emprego no de referência atingiu o valor de R$ 34.317. </w:t>
      </w:r>
      <w:r w:rsidRPr="00067B5A">
        <w:rPr>
          <w:rFonts w:ascii="Arial" w:hAnsi="Arial" w:cs="Arial"/>
          <w:b/>
          <w:sz w:val="22"/>
          <w:szCs w:val="24"/>
        </w:rPr>
        <w:t>Com o custo mais caro no ano de 2017, está o subsetor fabricação de preparações farmacêuticas, com um custo de R$ 6.354.000 para um vínculo empregatício.</w:t>
      </w:r>
      <w:r w:rsidRPr="00E146B9">
        <w:rPr>
          <w:rFonts w:ascii="Arial" w:hAnsi="Arial" w:cs="Arial"/>
          <w:sz w:val="22"/>
          <w:szCs w:val="24"/>
        </w:rPr>
        <w:t xml:space="preserve"> Entre os subsetores que receberam o maior valor de incentivo destacam-se: </w:t>
      </w:r>
      <w:r w:rsidRPr="00067B5A">
        <w:rPr>
          <w:rFonts w:ascii="Arial" w:hAnsi="Arial" w:cs="Arial"/>
          <w:b/>
          <w:sz w:val="22"/>
          <w:szCs w:val="24"/>
        </w:rPr>
        <w:t>(i) comércio atacadista de produtos farmacêuticos para uso humano e veterinário; (ii) comércio atacadista de cosméticos, produtos de perfumaria e de higiene pessoal; (iii) fabricação de automóveis, camionetas e utilitários; (iv) fabricação de malte, cervejas e chopes; e, (v) fabricação de óleos vegetais em bruto, exceto óleo de milho, todos com um custo do emprego mais que o dobro da média nacional, ou seja, acima dos R$ 130 mil</w:t>
      </w:r>
      <w:r w:rsidRPr="00E146B9">
        <w:rPr>
          <w:rFonts w:ascii="Arial" w:hAnsi="Arial" w:cs="Arial"/>
          <w:sz w:val="22"/>
          <w:szCs w:val="24"/>
        </w:rPr>
        <w:t>.</w:t>
      </w:r>
    </w:p>
    <w:p w14:paraId="2185A415"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As informações a seguir sintetizam o custo do emprego para o período de 2012 até 2017 para os subsetores da CNAE 2.0 e das 100 empresas que receberam os maiores valores de incentivo fiscal.</w:t>
      </w:r>
    </w:p>
    <w:p w14:paraId="1EF46EE8"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 xml:space="preserve">No caso, a Figura 17 mostra a distribuição do custo do emprego para os setores da CNAE 2.0 para os anos em análise. Adicionalmente, por meio da Figura 17 e da Tabela 5.6 verifica-se que o 50º percentil (mediana) do </w:t>
      </w:r>
      <w:r w:rsidRPr="00E146B9">
        <w:rPr>
          <w:rFonts w:ascii="Arial" w:hAnsi="Arial" w:cs="Arial"/>
          <w:sz w:val="22"/>
          <w:szCs w:val="24"/>
        </w:rPr>
        <w:lastRenderedPageBreak/>
        <w:t>custo do emprego é abaixo do custo do médio do emprego no Brasil (R$ 56 mil) para todos os anos investigados. Em 2012, o valor da mediana era de R$ 8.518, aumentando para R$ 10.388 em 2017. Quando a análise é realizada para o 90º percentil, observa-se que os valores estão acima do custo médio do emprego no Brasil, apresentando o menor valor em 2014 (R$ 58.606) e o maior valor em 2017 (R$ 86.167).</w:t>
      </w:r>
    </w:p>
    <w:p w14:paraId="224F7361" w14:textId="77777777" w:rsidR="006356F1" w:rsidRPr="00E146B9" w:rsidRDefault="006356F1" w:rsidP="006356F1">
      <w:pPr>
        <w:ind w:left="2268"/>
        <w:jc w:val="both"/>
        <w:rPr>
          <w:rFonts w:ascii="Arial" w:hAnsi="Arial" w:cs="Arial"/>
          <w:sz w:val="22"/>
          <w:szCs w:val="24"/>
        </w:rPr>
      </w:pPr>
      <w:r w:rsidRPr="00E146B9">
        <w:rPr>
          <w:rFonts w:ascii="Arial" w:hAnsi="Arial" w:cs="Arial"/>
          <w:sz w:val="22"/>
          <w:szCs w:val="24"/>
        </w:rPr>
        <w:t>Já a Figura 18 mostra a distribuição do custo do emprego para as 100 maiores empresas beneficiadas para os anos em análise. Por meio da Figura 18 e Tabela 5.7 verifica-se que o 50º percentil do custo do emprego é abaixo do custo médio do emprego no Brasil para os anos 2012 a 2015, enquanto os valores de 2016 e 2017 estão acima. Ademais, o 60º percentil do custo do emprego está acima do custo médio do emprego no Brasil para todos os anos analisados. E, quando a análise é realizada para o 90º percentil, observa-se que os valores estão muito acima do custo médio do emprego no Brasil, apresentando o menor valor em 2013 (R$ 299.844) e o maior valor em 2017 (R$ 980.164).</w:t>
      </w:r>
    </w:p>
    <w:p w14:paraId="5D0A1373" w14:textId="77777777" w:rsidR="006356F1" w:rsidRDefault="006356F1" w:rsidP="006356F1">
      <w:pPr>
        <w:ind w:left="2268"/>
        <w:jc w:val="both"/>
        <w:rPr>
          <w:rFonts w:ascii="Arial" w:hAnsi="Arial" w:cs="Arial"/>
          <w:sz w:val="24"/>
          <w:szCs w:val="24"/>
        </w:rPr>
      </w:pPr>
    </w:p>
    <w:p w14:paraId="6698F9FE" w14:textId="77777777" w:rsidR="006356F1" w:rsidRDefault="006356F1" w:rsidP="006356F1">
      <w:pPr>
        <w:spacing w:line="360" w:lineRule="auto"/>
        <w:ind w:firstLine="2268"/>
        <w:jc w:val="both"/>
        <w:rPr>
          <w:rFonts w:ascii="Arial" w:hAnsi="Arial" w:cs="Arial"/>
          <w:sz w:val="24"/>
          <w:szCs w:val="24"/>
        </w:rPr>
      </w:pPr>
      <w:r>
        <w:rPr>
          <w:rFonts w:ascii="Arial" w:hAnsi="Arial" w:cs="Arial"/>
          <w:noProof/>
          <w:sz w:val="24"/>
          <w:szCs w:val="24"/>
        </w:rPr>
        <w:drawing>
          <wp:inline distT="0" distB="0" distL="0" distR="0" wp14:anchorId="2BF2AF9F" wp14:editId="18483763">
            <wp:extent cx="4800661" cy="3464919"/>
            <wp:effectExtent l="0" t="0" r="0" b="254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a 17.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810135" cy="3471757"/>
                    </a:xfrm>
                    <a:prstGeom prst="rect">
                      <a:avLst/>
                    </a:prstGeom>
                  </pic:spPr>
                </pic:pic>
              </a:graphicData>
            </a:graphic>
          </wp:inline>
        </w:drawing>
      </w:r>
    </w:p>
    <w:p w14:paraId="15BB6F99" w14:textId="77777777" w:rsidR="006356F1" w:rsidRDefault="006356F1" w:rsidP="006356F1">
      <w:pPr>
        <w:ind w:left="2268"/>
        <w:jc w:val="both"/>
        <w:rPr>
          <w:rFonts w:ascii="Arial" w:hAnsi="Arial" w:cs="Arial"/>
          <w:sz w:val="24"/>
          <w:szCs w:val="24"/>
        </w:rPr>
      </w:pPr>
    </w:p>
    <w:p w14:paraId="52B510C1" w14:textId="77777777" w:rsidR="006356F1" w:rsidRDefault="006356F1" w:rsidP="006356F1">
      <w:pPr>
        <w:spacing w:line="360" w:lineRule="auto"/>
        <w:ind w:firstLine="2268"/>
        <w:jc w:val="both"/>
        <w:rPr>
          <w:rFonts w:ascii="Arial" w:hAnsi="Arial" w:cs="Arial"/>
          <w:sz w:val="24"/>
          <w:szCs w:val="24"/>
        </w:rPr>
      </w:pPr>
      <w:r>
        <w:rPr>
          <w:rFonts w:ascii="Arial" w:hAnsi="Arial" w:cs="Arial"/>
          <w:noProof/>
          <w:sz w:val="24"/>
          <w:szCs w:val="24"/>
        </w:rPr>
        <w:drawing>
          <wp:inline distT="0" distB="0" distL="0" distR="0" wp14:anchorId="25819587" wp14:editId="7752173C">
            <wp:extent cx="4884557" cy="1746958"/>
            <wp:effectExtent l="0" t="0" r="0" b="571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abela 5.6. total.png"/>
                    <pic:cNvPicPr/>
                  </pic:nvPicPr>
                  <pic:blipFill rotWithShape="1">
                    <a:blip r:embed="rId94" cstate="print">
                      <a:extLst>
                        <a:ext uri="{28A0092B-C50C-407E-A947-70E740481C1C}">
                          <a14:useLocalDpi xmlns:a14="http://schemas.microsoft.com/office/drawing/2010/main" val="0"/>
                        </a:ext>
                      </a:extLst>
                    </a:blip>
                    <a:srcRect b="26986"/>
                    <a:stretch/>
                  </pic:blipFill>
                  <pic:spPr bwMode="auto">
                    <a:xfrm>
                      <a:off x="0" y="0"/>
                      <a:ext cx="4912208" cy="1756847"/>
                    </a:xfrm>
                    <a:prstGeom prst="rect">
                      <a:avLst/>
                    </a:prstGeom>
                    <a:ln>
                      <a:noFill/>
                    </a:ln>
                    <a:extLst>
                      <a:ext uri="{53640926-AAD7-44D8-BBD7-CCE9431645EC}">
                        <a14:shadowObscured xmlns:a14="http://schemas.microsoft.com/office/drawing/2010/main"/>
                      </a:ext>
                    </a:extLst>
                  </pic:spPr>
                </pic:pic>
              </a:graphicData>
            </a:graphic>
          </wp:inline>
        </w:drawing>
      </w:r>
    </w:p>
    <w:p w14:paraId="0750A398" w14:textId="77777777" w:rsidR="006356F1" w:rsidRDefault="006356F1" w:rsidP="006356F1">
      <w:pPr>
        <w:ind w:left="2268"/>
        <w:jc w:val="both"/>
        <w:rPr>
          <w:rFonts w:ascii="Arial" w:hAnsi="Arial" w:cs="Arial"/>
          <w:sz w:val="24"/>
          <w:szCs w:val="24"/>
        </w:rPr>
      </w:pPr>
    </w:p>
    <w:p w14:paraId="3BA0ABC7" w14:textId="77777777" w:rsidR="006356F1" w:rsidRDefault="006356F1" w:rsidP="006356F1">
      <w:pPr>
        <w:spacing w:line="360" w:lineRule="auto"/>
        <w:ind w:firstLine="2268"/>
        <w:jc w:val="both"/>
        <w:rPr>
          <w:rFonts w:ascii="Arial" w:hAnsi="Arial" w:cs="Arial"/>
          <w:sz w:val="24"/>
          <w:szCs w:val="24"/>
        </w:rPr>
      </w:pPr>
      <w:r>
        <w:rPr>
          <w:rFonts w:ascii="Arial" w:hAnsi="Arial" w:cs="Arial"/>
          <w:noProof/>
          <w:sz w:val="24"/>
          <w:szCs w:val="24"/>
        </w:rPr>
        <w:lastRenderedPageBreak/>
        <w:drawing>
          <wp:inline distT="0" distB="0" distL="0" distR="0" wp14:anchorId="235245AB" wp14:editId="2647881D">
            <wp:extent cx="4792383" cy="3834213"/>
            <wp:effectExtent l="0" t="0" r="8255"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a 18.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813513" cy="3851118"/>
                    </a:xfrm>
                    <a:prstGeom prst="rect">
                      <a:avLst/>
                    </a:prstGeom>
                  </pic:spPr>
                </pic:pic>
              </a:graphicData>
            </a:graphic>
          </wp:inline>
        </w:drawing>
      </w:r>
    </w:p>
    <w:p w14:paraId="1DEAB58E" w14:textId="77777777" w:rsidR="006356F1" w:rsidRDefault="006356F1" w:rsidP="006356F1">
      <w:pPr>
        <w:ind w:left="2268"/>
        <w:jc w:val="both"/>
        <w:rPr>
          <w:rFonts w:ascii="Arial" w:hAnsi="Arial" w:cs="Arial"/>
          <w:sz w:val="24"/>
          <w:szCs w:val="24"/>
        </w:rPr>
      </w:pPr>
    </w:p>
    <w:p w14:paraId="5043CE45" w14:textId="77777777" w:rsidR="006356F1" w:rsidRDefault="006356F1" w:rsidP="006356F1">
      <w:pPr>
        <w:spacing w:line="360" w:lineRule="auto"/>
        <w:ind w:firstLine="2268"/>
        <w:jc w:val="both"/>
        <w:rPr>
          <w:rFonts w:ascii="Arial" w:hAnsi="Arial" w:cs="Arial"/>
          <w:sz w:val="24"/>
          <w:szCs w:val="24"/>
        </w:rPr>
      </w:pPr>
      <w:r>
        <w:rPr>
          <w:rFonts w:ascii="Arial" w:hAnsi="Arial" w:cs="Arial"/>
          <w:noProof/>
          <w:sz w:val="24"/>
          <w:szCs w:val="24"/>
        </w:rPr>
        <w:drawing>
          <wp:inline distT="0" distB="0" distL="0" distR="0" wp14:anchorId="213D95F5" wp14:editId="52AE8E2D">
            <wp:extent cx="4781122" cy="1378383"/>
            <wp:effectExtent l="0" t="0" r="635"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abela 5.7.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826471" cy="1391457"/>
                    </a:xfrm>
                    <a:prstGeom prst="rect">
                      <a:avLst/>
                    </a:prstGeom>
                  </pic:spPr>
                </pic:pic>
              </a:graphicData>
            </a:graphic>
          </wp:inline>
        </w:drawing>
      </w:r>
    </w:p>
    <w:p w14:paraId="544D040F" w14:textId="77777777" w:rsidR="006356F1" w:rsidRPr="00C05E19" w:rsidRDefault="006356F1" w:rsidP="006356F1">
      <w:pPr>
        <w:ind w:left="2268"/>
        <w:jc w:val="both"/>
        <w:rPr>
          <w:rFonts w:ascii="Arial" w:hAnsi="Arial" w:cs="Arial"/>
          <w:sz w:val="22"/>
          <w:szCs w:val="24"/>
        </w:rPr>
      </w:pPr>
    </w:p>
    <w:p w14:paraId="29A188DF" w14:textId="77777777" w:rsidR="006356F1" w:rsidRDefault="006356F1" w:rsidP="006356F1">
      <w:pPr>
        <w:ind w:left="2268"/>
        <w:jc w:val="both"/>
        <w:rPr>
          <w:rFonts w:ascii="Arial" w:hAnsi="Arial" w:cs="Arial"/>
          <w:sz w:val="24"/>
          <w:szCs w:val="24"/>
        </w:rPr>
      </w:pPr>
      <w:r w:rsidRPr="00C05E19">
        <w:rPr>
          <w:rFonts w:ascii="Arial" w:hAnsi="Arial" w:cs="Arial"/>
          <w:sz w:val="20"/>
          <w:szCs w:val="24"/>
        </w:rPr>
        <w:t>Portanto</w:t>
      </w:r>
      <w:r w:rsidRPr="00C05E19">
        <w:rPr>
          <w:rFonts w:ascii="Arial" w:hAnsi="Arial" w:cs="Arial"/>
          <w:sz w:val="22"/>
          <w:szCs w:val="24"/>
        </w:rPr>
        <w:t xml:space="preserve">, no período em análise dos programas fiscais, </w:t>
      </w:r>
      <w:r w:rsidRPr="00C05E19">
        <w:rPr>
          <w:rFonts w:ascii="Arial" w:hAnsi="Arial" w:cs="Arial"/>
          <w:b/>
          <w:sz w:val="22"/>
          <w:szCs w:val="24"/>
        </w:rPr>
        <w:t>foi possível inferir que 40 empresas das 100 líderes no que tange ao beneficiamento apresentam um custo do emprego/vínculo do emprego acima da média nacional em todo o período de estudo</w:t>
      </w:r>
      <w:r w:rsidRPr="00E146B9">
        <w:rPr>
          <w:rFonts w:ascii="Arial" w:hAnsi="Arial" w:cs="Arial"/>
          <w:sz w:val="24"/>
          <w:szCs w:val="24"/>
        </w:rPr>
        <w:t>.</w:t>
      </w:r>
      <w:r>
        <w:rPr>
          <w:rStyle w:val="Refdenotaderodap"/>
          <w:rFonts w:ascii="Arial" w:hAnsi="Arial" w:cs="Arial"/>
          <w:sz w:val="24"/>
          <w:szCs w:val="24"/>
        </w:rPr>
        <w:footnoteReference w:id="128"/>
      </w:r>
    </w:p>
    <w:p w14:paraId="350C8930" w14:textId="77777777" w:rsidR="006356F1" w:rsidRDefault="006356F1" w:rsidP="006356F1">
      <w:pPr>
        <w:spacing w:line="360" w:lineRule="auto"/>
        <w:ind w:firstLine="851"/>
        <w:jc w:val="both"/>
        <w:rPr>
          <w:rFonts w:ascii="Arial" w:hAnsi="Arial" w:cs="Arial"/>
          <w:sz w:val="24"/>
          <w:szCs w:val="24"/>
        </w:rPr>
      </w:pPr>
    </w:p>
    <w:p w14:paraId="3CF7B66D"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Semelhantemente, a CGE apurou que:</w:t>
      </w:r>
    </w:p>
    <w:p w14:paraId="061E5216" w14:textId="77777777" w:rsidR="006356F1" w:rsidRDefault="006356F1" w:rsidP="006356F1">
      <w:pPr>
        <w:spacing w:line="360" w:lineRule="auto"/>
        <w:ind w:firstLine="851"/>
        <w:jc w:val="both"/>
        <w:rPr>
          <w:rFonts w:ascii="Arial" w:hAnsi="Arial" w:cs="Arial"/>
          <w:sz w:val="24"/>
          <w:szCs w:val="24"/>
        </w:rPr>
      </w:pPr>
    </w:p>
    <w:p w14:paraId="543FCB57" w14:textId="77777777" w:rsidR="006356F1" w:rsidRPr="00AB4B70" w:rsidRDefault="006356F1" w:rsidP="006356F1">
      <w:pPr>
        <w:ind w:left="2268"/>
        <w:jc w:val="both"/>
        <w:rPr>
          <w:rFonts w:ascii="Arial" w:hAnsi="Arial" w:cs="Arial"/>
          <w:sz w:val="22"/>
          <w:szCs w:val="24"/>
        </w:rPr>
      </w:pPr>
      <w:r w:rsidRPr="00AB4B70">
        <w:rPr>
          <w:rFonts w:ascii="Arial" w:hAnsi="Arial" w:cs="Arial"/>
          <w:sz w:val="22"/>
          <w:szCs w:val="24"/>
        </w:rPr>
        <w:t>Quanto à pergunta sobre os custos dos empregos do programa PRODUZIR/FOMENTAR faz-se uma estimativa conforme tabelas logo a seguir (Tabela 12, Tabela 13 e Tabela 14).</w:t>
      </w:r>
    </w:p>
    <w:p w14:paraId="2E68AF09" w14:textId="77777777" w:rsidR="006356F1" w:rsidRPr="00AB4B70" w:rsidRDefault="006356F1" w:rsidP="006356F1">
      <w:pPr>
        <w:ind w:left="2268"/>
        <w:jc w:val="both"/>
        <w:rPr>
          <w:rFonts w:ascii="Arial" w:hAnsi="Arial" w:cs="Arial"/>
          <w:sz w:val="22"/>
          <w:szCs w:val="24"/>
        </w:rPr>
      </w:pPr>
      <w:r w:rsidRPr="00AB4B70">
        <w:rPr>
          <w:rFonts w:ascii="Arial" w:hAnsi="Arial" w:cs="Arial"/>
          <w:sz w:val="22"/>
          <w:szCs w:val="24"/>
        </w:rPr>
        <w:t xml:space="preserve">Como o valor estimado para o PIB goiano de 2018 é de R$ 201 bilhões (posição em abr/19), percebe-se que o benefício concedido para as </w:t>
      </w:r>
      <w:r>
        <w:rPr>
          <w:rFonts w:ascii="Arial" w:hAnsi="Arial" w:cs="Arial"/>
          <w:sz w:val="22"/>
          <w:szCs w:val="24"/>
        </w:rPr>
        <w:t>[...]</w:t>
      </w:r>
    </w:p>
    <w:p w14:paraId="010FAB5D" w14:textId="77777777" w:rsidR="006356F1" w:rsidRPr="00AB4B70" w:rsidRDefault="006356F1" w:rsidP="006356F1">
      <w:pPr>
        <w:ind w:left="2268"/>
        <w:jc w:val="both"/>
        <w:rPr>
          <w:rFonts w:ascii="Arial" w:hAnsi="Arial" w:cs="Arial"/>
          <w:sz w:val="22"/>
          <w:szCs w:val="24"/>
        </w:rPr>
      </w:pPr>
      <w:r w:rsidRPr="00AB4B70">
        <w:rPr>
          <w:rFonts w:ascii="Arial" w:hAnsi="Arial" w:cs="Arial"/>
          <w:sz w:val="22"/>
          <w:szCs w:val="24"/>
        </w:rPr>
        <w:lastRenderedPageBreak/>
        <w:t xml:space="preserve">A relação geral entre benefícios em fruição e empregos efetivos das empresas (FOMENTAR/PRODUZIR) estima-se em uma média de R$ 1.425.888,69 por emprego para o ano de 2017, ou R$ 98.933,74 por mês (Tabela 14). Diluindo-se esses valores no período previsto para utilização do benefício pelas empresas (média de 16,6 anos), tem-se um valor de R$ 71.518,36 por emprego/ano ou </w:t>
      </w:r>
      <w:r w:rsidRPr="00FD2A7D">
        <w:rPr>
          <w:rFonts w:ascii="Arial" w:hAnsi="Arial" w:cs="Arial"/>
          <w:sz w:val="22"/>
          <w:szCs w:val="24"/>
        </w:rPr>
        <w:t>R$ 5.989,86 por emprego/mês (rendimento médio em Goiás era de R$ 2.466,59 em 2017</w:t>
      </w:r>
      <w:r w:rsidRPr="00AB4B70">
        <w:rPr>
          <w:rFonts w:ascii="Arial" w:hAnsi="Arial" w:cs="Arial"/>
          <w:sz w:val="22"/>
          <w:szCs w:val="24"/>
        </w:rPr>
        <w:t>). Alerta-se que os valores que cabem às empresas recolher, pelo menos nos anos que já usufruíram do benefício, como o ICMS não financiado, receitas provenientes de juros, emolumentos, bolsa garantia, retorno do principal, etc., não foram retirados dos valores concedidos. Então, adverte-se quanto à utilização desses números.</w:t>
      </w:r>
    </w:p>
    <w:p w14:paraId="512DC003" w14:textId="77777777" w:rsidR="006356F1" w:rsidRPr="00AB4B70" w:rsidRDefault="006356F1" w:rsidP="006356F1">
      <w:pPr>
        <w:ind w:left="2268"/>
        <w:jc w:val="both"/>
        <w:rPr>
          <w:rFonts w:ascii="Arial" w:hAnsi="Arial" w:cs="Arial"/>
          <w:sz w:val="22"/>
          <w:szCs w:val="24"/>
        </w:rPr>
      </w:pPr>
    </w:p>
    <w:tbl>
      <w:tblPr>
        <w:tblW w:w="10774" w:type="dxa"/>
        <w:tblInd w:w="-1418" w:type="dxa"/>
        <w:tblCellMar>
          <w:left w:w="70" w:type="dxa"/>
          <w:right w:w="70" w:type="dxa"/>
        </w:tblCellMar>
        <w:tblLook w:val="04A0" w:firstRow="1" w:lastRow="0" w:firstColumn="1" w:lastColumn="0" w:noHBand="0" w:noVBand="1"/>
      </w:tblPr>
      <w:tblGrid>
        <w:gridCol w:w="851"/>
        <w:gridCol w:w="1134"/>
        <w:gridCol w:w="1134"/>
        <w:gridCol w:w="1134"/>
        <w:gridCol w:w="1134"/>
        <w:gridCol w:w="1134"/>
        <w:gridCol w:w="993"/>
        <w:gridCol w:w="1559"/>
        <w:gridCol w:w="1701"/>
      </w:tblGrid>
      <w:tr w:rsidR="006356F1" w:rsidRPr="00932D00" w14:paraId="2DEA2D3A" w14:textId="77777777" w:rsidTr="00217400">
        <w:trPr>
          <w:trHeight w:val="300"/>
        </w:trPr>
        <w:tc>
          <w:tcPr>
            <w:tcW w:w="10774" w:type="dxa"/>
            <w:gridSpan w:val="9"/>
            <w:tcBorders>
              <w:top w:val="nil"/>
              <w:left w:val="nil"/>
              <w:bottom w:val="nil"/>
              <w:right w:val="nil"/>
            </w:tcBorders>
            <w:shd w:val="clear" w:color="auto" w:fill="auto"/>
            <w:noWrap/>
            <w:vAlign w:val="bottom"/>
            <w:hideMark/>
          </w:tcPr>
          <w:p w14:paraId="632C19E4" w14:textId="77777777" w:rsidR="006356F1" w:rsidRPr="00932D00" w:rsidRDefault="006356F1" w:rsidP="00217400">
            <w:pPr>
              <w:rPr>
                <w:rFonts w:ascii="Calibri" w:hAnsi="Calibri" w:cs="Calibri"/>
                <w:bCs/>
                <w:color w:val="000000"/>
                <w:sz w:val="16"/>
                <w:szCs w:val="22"/>
              </w:rPr>
            </w:pPr>
            <w:r w:rsidRPr="00932D00">
              <w:rPr>
                <w:rFonts w:ascii="Calibri" w:hAnsi="Calibri" w:cs="Calibri"/>
                <w:bCs/>
                <w:color w:val="000000"/>
                <w:sz w:val="16"/>
                <w:szCs w:val="22"/>
              </w:rPr>
              <w:t>Tabela 14 - Quantidade de benefício concedido versus empregos (R$ correntes do ano)</w:t>
            </w:r>
          </w:p>
        </w:tc>
      </w:tr>
      <w:tr w:rsidR="006356F1" w:rsidRPr="00932D00" w14:paraId="72896241" w14:textId="77777777" w:rsidTr="00217400">
        <w:trPr>
          <w:trHeight w:val="300"/>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5C50B"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Ano</w:t>
            </w:r>
          </w:p>
        </w:tc>
        <w:tc>
          <w:tcPr>
            <w:tcW w:w="3402" w:type="dxa"/>
            <w:gridSpan w:val="3"/>
            <w:tcBorders>
              <w:top w:val="single" w:sz="4" w:space="0" w:color="auto"/>
              <w:left w:val="nil"/>
              <w:bottom w:val="single" w:sz="4" w:space="0" w:color="auto"/>
              <w:right w:val="single" w:sz="4" w:space="0" w:color="auto"/>
            </w:tcBorders>
            <w:shd w:val="clear" w:color="auto" w:fill="auto"/>
            <w:noWrap/>
            <w:vAlign w:val="bottom"/>
            <w:hideMark/>
          </w:tcPr>
          <w:p w14:paraId="22F4E89A"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Benefício total por emprego/ano</w:t>
            </w:r>
          </w:p>
        </w:tc>
        <w:tc>
          <w:tcPr>
            <w:tcW w:w="3261" w:type="dxa"/>
            <w:gridSpan w:val="3"/>
            <w:tcBorders>
              <w:top w:val="single" w:sz="4" w:space="0" w:color="auto"/>
              <w:left w:val="nil"/>
              <w:bottom w:val="single" w:sz="4" w:space="0" w:color="auto"/>
              <w:right w:val="single" w:sz="4" w:space="0" w:color="auto"/>
            </w:tcBorders>
            <w:shd w:val="clear" w:color="auto" w:fill="auto"/>
            <w:noWrap/>
            <w:vAlign w:val="bottom"/>
            <w:hideMark/>
          </w:tcPr>
          <w:p w14:paraId="288C18DD"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Benefício total por emprego/mês</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21A2A39D"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Benefício médio anual por emprego durante</w:t>
            </w:r>
            <w:r>
              <w:rPr>
                <w:rFonts w:ascii="Calibri" w:hAnsi="Calibri" w:cs="Calibri"/>
                <w:b/>
                <w:bCs/>
                <w:color w:val="000000"/>
                <w:sz w:val="16"/>
                <w:szCs w:val="22"/>
              </w:rPr>
              <w:t xml:space="preserve"> </w:t>
            </w:r>
            <w:r w:rsidRPr="00932D00">
              <w:rPr>
                <w:rFonts w:ascii="Calibri" w:hAnsi="Calibri" w:cs="Calibri"/>
                <w:b/>
                <w:bCs/>
                <w:color w:val="000000"/>
                <w:sz w:val="16"/>
                <w:szCs w:val="22"/>
              </w:rPr>
              <w:t>período médio de fruição*</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776B82E4"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Benefício médio mensal por emprego durante período médio de fruição*</w:t>
            </w:r>
          </w:p>
        </w:tc>
      </w:tr>
      <w:tr w:rsidR="006356F1" w:rsidRPr="00932D00" w14:paraId="74B3378B" w14:textId="77777777" w:rsidTr="00217400">
        <w:trPr>
          <w:trHeight w:val="300"/>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B8B5A84" w14:textId="77777777" w:rsidR="006356F1" w:rsidRPr="00932D00" w:rsidRDefault="006356F1" w:rsidP="00217400">
            <w:pPr>
              <w:rPr>
                <w:rFonts w:ascii="Calibri" w:hAnsi="Calibri" w:cs="Calibri"/>
                <w:b/>
                <w:bCs/>
                <w:color w:val="000000"/>
                <w:sz w:val="16"/>
                <w:szCs w:val="22"/>
              </w:rPr>
            </w:pPr>
          </w:p>
        </w:tc>
        <w:tc>
          <w:tcPr>
            <w:tcW w:w="1134" w:type="dxa"/>
            <w:tcBorders>
              <w:top w:val="nil"/>
              <w:left w:val="nil"/>
              <w:bottom w:val="single" w:sz="4" w:space="0" w:color="auto"/>
              <w:right w:val="single" w:sz="4" w:space="0" w:color="auto"/>
            </w:tcBorders>
            <w:shd w:val="clear" w:color="auto" w:fill="auto"/>
            <w:noWrap/>
            <w:vAlign w:val="bottom"/>
            <w:hideMark/>
          </w:tcPr>
          <w:p w14:paraId="4C1C3A04"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FOMENTAR</w:t>
            </w:r>
          </w:p>
        </w:tc>
        <w:tc>
          <w:tcPr>
            <w:tcW w:w="1134" w:type="dxa"/>
            <w:tcBorders>
              <w:top w:val="nil"/>
              <w:left w:val="nil"/>
              <w:bottom w:val="single" w:sz="4" w:space="0" w:color="auto"/>
              <w:right w:val="single" w:sz="4" w:space="0" w:color="auto"/>
            </w:tcBorders>
            <w:shd w:val="clear" w:color="auto" w:fill="auto"/>
            <w:noWrap/>
            <w:vAlign w:val="bottom"/>
            <w:hideMark/>
          </w:tcPr>
          <w:p w14:paraId="71EA90E7"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PRODUZIR</w:t>
            </w:r>
          </w:p>
        </w:tc>
        <w:tc>
          <w:tcPr>
            <w:tcW w:w="1134" w:type="dxa"/>
            <w:tcBorders>
              <w:top w:val="nil"/>
              <w:left w:val="nil"/>
              <w:bottom w:val="single" w:sz="4" w:space="0" w:color="auto"/>
              <w:right w:val="single" w:sz="4" w:space="0" w:color="auto"/>
            </w:tcBorders>
            <w:shd w:val="clear" w:color="auto" w:fill="auto"/>
            <w:noWrap/>
            <w:vAlign w:val="bottom"/>
            <w:hideMark/>
          </w:tcPr>
          <w:p w14:paraId="4EC5EBDF"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Geral</w:t>
            </w:r>
          </w:p>
        </w:tc>
        <w:tc>
          <w:tcPr>
            <w:tcW w:w="1134" w:type="dxa"/>
            <w:tcBorders>
              <w:top w:val="nil"/>
              <w:left w:val="nil"/>
              <w:bottom w:val="single" w:sz="4" w:space="0" w:color="auto"/>
              <w:right w:val="single" w:sz="4" w:space="0" w:color="auto"/>
            </w:tcBorders>
            <w:shd w:val="clear" w:color="auto" w:fill="auto"/>
            <w:noWrap/>
            <w:vAlign w:val="bottom"/>
            <w:hideMark/>
          </w:tcPr>
          <w:p w14:paraId="19F6B0E4"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FOMENTAR</w:t>
            </w:r>
          </w:p>
        </w:tc>
        <w:tc>
          <w:tcPr>
            <w:tcW w:w="1134" w:type="dxa"/>
            <w:tcBorders>
              <w:top w:val="nil"/>
              <w:left w:val="nil"/>
              <w:bottom w:val="single" w:sz="4" w:space="0" w:color="auto"/>
              <w:right w:val="single" w:sz="4" w:space="0" w:color="auto"/>
            </w:tcBorders>
            <w:shd w:val="clear" w:color="auto" w:fill="auto"/>
            <w:noWrap/>
            <w:vAlign w:val="bottom"/>
            <w:hideMark/>
          </w:tcPr>
          <w:p w14:paraId="27ECDD5E"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PRODUZIR</w:t>
            </w:r>
          </w:p>
        </w:tc>
        <w:tc>
          <w:tcPr>
            <w:tcW w:w="993" w:type="dxa"/>
            <w:tcBorders>
              <w:top w:val="nil"/>
              <w:left w:val="nil"/>
              <w:bottom w:val="single" w:sz="4" w:space="0" w:color="auto"/>
              <w:right w:val="single" w:sz="4" w:space="0" w:color="auto"/>
            </w:tcBorders>
            <w:shd w:val="clear" w:color="auto" w:fill="auto"/>
            <w:noWrap/>
            <w:vAlign w:val="bottom"/>
            <w:hideMark/>
          </w:tcPr>
          <w:p w14:paraId="44F51E03" w14:textId="77777777" w:rsidR="006356F1" w:rsidRPr="00932D00" w:rsidRDefault="006356F1" w:rsidP="00217400">
            <w:pPr>
              <w:jc w:val="center"/>
              <w:rPr>
                <w:rFonts w:ascii="Calibri" w:hAnsi="Calibri" w:cs="Calibri"/>
                <w:b/>
                <w:bCs/>
                <w:color w:val="000000"/>
                <w:sz w:val="16"/>
                <w:szCs w:val="22"/>
              </w:rPr>
            </w:pPr>
            <w:r w:rsidRPr="00932D00">
              <w:rPr>
                <w:rFonts w:ascii="Calibri" w:hAnsi="Calibri" w:cs="Calibri"/>
                <w:b/>
                <w:bCs/>
                <w:color w:val="000000"/>
                <w:sz w:val="16"/>
                <w:szCs w:val="22"/>
              </w:rPr>
              <w:t>Geral</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A8D4225" w14:textId="77777777" w:rsidR="006356F1" w:rsidRPr="00932D00" w:rsidRDefault="006356F1" w:rsidP="00217400">
            <w:pPr>
              <w:rPr>
                <w:rFonts w:ascii="Calibri" w:hAnsi="Calibri" w:cs="Calibri"/>
                <w:b/>
                <w:bCs/>
                <w:color w:val="000000"/>
                <w:sz w:val="16"/>
                <w:szCs w:val="22"/>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82F2BE1" w14:textId="77777777" w:rsidR="006356F1" w:rsidRPr="00932D00" w:rsidRDefault="006356F1" w:rsidP="00217400">
            <w:pPr>
              <w:rPr>
                <w:rFonts w:ascii="Calibri" w:hAnsi="Calibri" w:cs="Calibri"/>
                <w:b/>
                <w:bCs/>
                <w:color w:val="000000"/>
                <w:sz w:val="16"/>
                <w:szCs w:val="22"/>
              </w:rPr>
            </w:pPr>
          </w:p>
        </w:tc>
      </w:tr>
      <w:tr w:rsidR="006356F1" w:rsidRPr="00932D00" w14:paraId="414C6F38"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1A66C36A"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2006</w:t>
            </w:r>
          </w:p>
        </w:tc>
        <w:tc>
          <w:tcPr>
            <w:tcW w:w="1134" w:type="dxa"/>
            <w:tcBorders>
              <w:top w:val="nil"/>
              <w:left w:val="nil"/>
              <w:bottom w:val="single" w:sz="4" w:space="0" w:color="auto"/>
              <w:right w:val="single" w:sz="4" w:space="0" w:color="auto"/>
            </w:tcBorders>
            <w:shd w:val="clear" w:color="auto" w:fill="auto"/>
            <w:noWrap/>
            <w:vAlign w:val="bottom"/>
            <w:hideMark/>
          </w:tcPr>
          <w:p w14:paraId="73636CFB"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1.664.980,54</w:t>
            </w:r>
          </w:p>
        </w:tc>
        <w:tc>
          <w:tcPr>
            <w:tcW w:w="1134" w:type="dxa"/>
            <w:tcBorders>
              <w:top w:val="nil"/>
              <w:left w:val="nil"/>
              <w:bottom w:val="single" w:sz="4" w:space="0" w:color="auto"/>
              <w:right w:val="single" w:sz="4" w:space="0" w:color="auto"/>
            </w:tcBorders>
            <w:shd w:val="clear" w:color="auto" w:fill="auto"/>
            <w:noWrap/>
            <w:vAlign w:val="bottom"/>
            <w:hideMark/>
          </w:tcPr>
          <w:p w14:paraId="4858D138"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1.230.969,76</w:t>
            </w:r>
          </w:p>
        </w:tc>
        <w:tc>
          <w:tcPr>
            <w:tcW w:w="1134" w:type="dxa"/>
            <w:tcBorders>
              <w:top w:val="nil"/>
              <w:left w:val="nil"/>
              <w:bottom w:val="single" w:sz="4" w:space="0" w:color="auto"/>
              <w:right w:val="single" w:sz="4" w:space="0" w:color="auto"/>
            </w:tcBorders>
            <w:shd w:val="clear" w:color="auto" w:fill="auto"/>
            <w:noWrap/>
            <w:vAlign w:val="bottom"/>
            <w:hideMark/>
          </w:tcPr>
          <w:p w14:paraId="125F2AE3"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1.536.767,44</w:t>
            </w:r>
          </w:p>
        </w:tc>
        <w:tc>
          <w:tcPr>
            <w:tcW w:w="1134" w:type="dxa"/>
            <w:tcBorders>
              <w:top w:val="nil"/>
              <w:left w:val="nil"/>
              <w:bottom w:val="single" w:sz="4" w:space="0" w:color="auto"/>
              <w:right w:val="single" w:sz="4" w:space="0" w:color="auto"/>
            </w:tcBorders>
            <w:shd w:val="clear" w:color="auto" w:fill="auto"/>
            <w:noWrap/>
            <w:vAlign w:val="bottom"/>
            <w:hideMark/>
          </w:tcPr>
          <w:p w14:paraId="67FCFC43"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138.748,38</w:t>
            </w:r>
          </w:p>
        </w:tc>
        <w:tc>
          <w:tcPr>
            <w:tcW w:w="1134" w:type="dxa"/>
            <w:tcBorders>
              <w:top w:val="nil"/>
              <w:left w:val="nil"/>
              <w:bottom w:val="single" w:sz="4" w:space="0" w:color="auto"/>
              <w:right w:val="single" w:sz="4" w:space="0" w:color="auto"/>
            </w:tcBorders>
            <w:shd w:val="clear" w:color="auto" w:fill="auto"/>
            <w:noWrap/>
            <w:vAlign w:val="bottom"/>
            <w:hideMark/>
          </w:tcPr>
          <w:p w14:paraId="6F668036"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102.580,81</w:t>
            </w:r>
          </w:p>
        </w:tc>
        <w:tc>
          <w:tcPr>
            <w:tcW w:w="993" w:type="dxa"/>
            <w:tcBorders>
              <w:top w:val="nil"/>
              <w:left w:val="nil"/>
              <w:bottom w:val="single" w:sz="4" w:space="0" w:color="auto"/>
              <w:right w:val="single" w:sz="4" w:space="0" w:color="auto"/>
            </w:tcBorders>
            <w:shd w:val="clear" w:color="auto" w:fill="auto"/>
            <w:noWrap/>
            <w:vAlign w:val="bottom"/>
            <w:hideMark/>
          </w:tcPr>
          <w:p w14:paraId="4A518AB5"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128.063,95</w:t>
            </w:r>
          </w:p>
        </w:tc>
        <w:tc>
          <w:tcPr>
            <w:tcW w:w="1559" w:type="dxa"/>
            <w:tcBorders>
              <w:top w:val="nil"/>
              <w:left w:val="nil"/>
              <w:bottom w:val="single" w:sz="4" w:space="0" w:color="auto"/>
              <w:right w:val="single" w:sz="4" w:space="0" w:color="auto"/>
            </w:tcBorders>
            <w:shd w:val="clear" w:color="auto" w:fill="auto"/>
            <w:noWrap/>
            <w:vAlign w:val="bottom"/>
            <w:hideMark/>
          </w:tcPr>
          <w:p w14:paraId="35431B98"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92.576,35</w:t>
            </w:r>
          </w:p>
        </w:tc>
        <w:tc>
          <w:tcPr>
            <w:tcW w:w="1701" w:type="dxa"/>
            <w:tcBorders>
              <w:top w:val="nil"/>
              <w:left w:val="nil"/>
              <w:bottom w:val="single" w:sz="4" w:space="0" w:color="auto"/>
              <w:right w:val="single" w:sz="4" w:space="0" w:color="auto"/>
            </w:tcBorders>
            <w:shd w:val="clear" w:color="auto" w:fill="auto"/>
            <w:noWrap/>
            <w:vAlign w:val="bottom"/>
            <w:hideMark/>
          </w:tcPr>
          <w:p w14:paraId="6A8667E3"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7.714,70</w:t>
            </w:r>
          </w:p>
        </w:tc>
      </w:tr>
      <w:tr w:rsidR="006356F1" w:rsidRPr="00932D00" w14:paraId="525052F0"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2C538592"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2007</w:t>
            </w:r>
          </w:p>
        </w:tc>
        <w:tc>
          <w:tcPr>
            <w:tcW w:w="1134" w:type="dxa"/>
            <w:tcBorders>
              <w:top w:val="nil"/>
              <w:left w:val="nil"/>
              <w:bottom w:val="single" w:sz="4" w:space="0" w:color="auto"/>
              <w:right w:val="single" w:sz="4" w:space="0" w:color="auto"/>
            </w:tcBorders>
            <w:shd w:val="clear" w:color="auto" w:fill="auto"/>
            <w:noWrap/>
            <w:vAlign w:val="bottom"/>
            <w:hideMark/>
          </w:tcPr>
          <w:p w14:paraId="1B37FDCB"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1.423.575,89</w:t>
            </w:r>
          </w:p>
        </w:tc>
        <w:tc>
          <w:tcPr>
            <w:tcW w:w="1134" w:type="dxa"/>
            <w:tcBorders>
              <w:top w:val="nil"/>
              <w:left w:val="nil"/>
              <w:bottom w:val="single" w:sz="4" w:space="0" w:color="auto"/>
              <w:right w:val="single" w:sz="4" w:space="0" w:color="auto"/>
            </w:tcBorders>
            <w:shd w:val="clear" w:color="auto" w:fill="auto"/>
            <w:noWrap/>
            <w:vAlign w:val="bottom"/>
            <w:hideMark/>
          </w:tcPr>
          <w:p w14:paraId="4E1020B9"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1.203.428,48</w:t>
            </w:r>
          </w:p>
        </w:tc>
        <w:tc>
          <w:tcPr>
            <w:tcW w:w="1134" w:type="dxa"/>
            <w:tcBorders>
              <w:top w:val="nil"/>
              <w:left w:val="nil"/>
              <w:bottom w:val="single" w:sz="4" w:space="0" w:color="auto"/>
              <w:right w:val="single" w:sz="4" w:space="0" w:color="auto"/>
            </w:tcBorders>
            <w:shd w:val="clear" w:color="auto" w:fill="auto"/>
            <w:noWrap/>
            <w:vAlign w:val="bottom"/>
            <w:hideMark/>
          </w:tcPr>
          <w:p w14:paraId="5BC43A17"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1.336.692,20</w:t>
            </w:r>
          </w:p>
        </w:tc>
        <w:tc>
          <w:tcPr>
            <w:tcW w:w="1134" w:type="dxa"/>
            <w:tcBorders>
              <w:top w:val="nil"/>
              <w:left w:val="nil"/>
              <w:bottom w:val="single" w:sz="4" w:space="0" w:color="auto"/>
              <w:right w:val="single" w:sz="4" w:space="0" w:color="auto"/>
            </w:tcBorders>
            <w:shd w:val="clear" w:color="auto" w:fill="auto"/>
            <w:noWrap/>
            <w:vAlign w:val="bottom"/>
            <w:hideMark/>
          </w:tcPr>
          <w:p w14:paraId="11F558E1"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118.631,32</w:t>
            </w:r>
          </w:p>
        </w:tc>
        <w:tc>
          <w:tcPr>
            <w:tcW w:w="1134" w:type="dxa"/>
            <w:tcBorders>
              <w:top w:val="nil"/>
              <w:left w:val="nil"/>
              <w:bottom w:val="single" w:sz="4" w:space="0" w:color="auto"/>
              <w:right w:val="single" w:sz="4" w:space="0" w:color="auto"/>
            </w:tcBorders>
            <w:shd w:val="clear" w:color="auto" w:fill="auto"/>
            <w:noWrap/>
            <w:vAlign w:val="bottom"/>
            <w:hideMark/>
          </w:tcPr>
          <w:p w14:paraId="0C5F5F06"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100.285,71</w:t>
            </w:r>
          </w:p>
        </w:tc>
        <w:tc>
          <w:tcPr>
            <w:tcW w:w="993" w:type="dxa"/>
            <w:tcBorders>
              <w:top w:val="nil"/>
              <w:left w:val="nil"/>
              <w:bottom w:val="single" w:sz="4" w:space="0" w:color="auto"/>
              <w:right w:val="single" w:sz="4" w:space="0" w:color="auto"/>
            </w:tcBorders>
            <w:shd w:val="clear" w:color="auto" w:fill="auto"/>
            <w:noWrap/>
            <w:vAlign w:val="bottom"/>
            <w:hideMark/>
          </w:tcPr>
          <w:p w14:paraId="41CD0DE5"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111.391,02</w:t>
            </w:r>
          </w:p>
        </w:tc>
        <w:tc>
          <w:tcPr>
            <w:tcW w:w="1559" w:type="dxa"/>
            <w:tcBorders>
              <w:top w:val="nil"/>
              <w:left w:val="nil"/>
              <w:bottom w:val="single" w:sz="4" w:space="0" w:color="auto"/>
              <w:right w:val="single" w:sz="4" w:space="0" w:color="auto"/>
            </w:tcBorders>
            <w:shd w:val="clear" w:color="auto" w:fill="auto"/>
            <w:noWrap/>
            <w:vAlign w:val="bottom"/>
            <w:hideMark/>
          </w:tcPr>
          <w:p w14:paraId="729AE42D"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80.523,63</w:t>
            </w:r>
          </w:p>
        </w:tc>
        <w:tc>
          <w:tcPr>
            <w:tcW w:w="1701" w:type="dxa"/>
            <w:tcBorders>
              <w:top w:val="nil"/>
              <w:left w:val="nil"/>
              <w:bottom w:val="single" w:sz="4" w:space="0" w:color="auto"/>
              <w:right w:val="single" w:sz="4" w:space="0" w:color="auto"/>
            </w:tcBorders>
            <w:shd w:val="clear" w:color="auto" w:fill="auto"/>
            <w:noWrap/>
            <w:vAlign w:val="bottom"/>
            <w:hideMark/>
          </w:tcPr>
          <w:p w14:paraId="3B309852"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6.710,30</w:t>
            </w:r>
          </w:p>
        </w:tc>
      </w:tr>
      <w:tr w:rsidR="006356F1" w:rsidRPr="00932D00" w14:paraId="6CF60B14"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E8A9029"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2008</w:t>
            </w:r>
          </w:p>
        </w:tc>
        <w:tc>
          <w:tcPr>
            <w:tcW w:w="1134" w:type="dxa"/>
            <w:tcBorders>
              <w:top w:val="nil"/>
              <w:left w:val="nil"/>
              <w:bottom w:val="single" w:sz="4" w:space="0" w:color="auto"/>
              <w:right w:val="single" w:sz="4" w:space="0" w:color="auto"/>
            </w:tcBorders>
            <w:shd w:val="clear" w:color="auto" w:fill="auto"/>
            <w:noWrap/>
            <w:vAlign w:val="bottom"/>
            <w:hideMark/>
          </w:tcPr>
          <w:p w14:paraId="54C95FF7"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1.434.683,39</w:t>
            </w:r>
          </w:p>
        </w:tc>
        <w:tc>
          <w:tcPr>
            <w:tcW w:w="1134" w:type="dxa"/>
            <w:tcBorders>
              <w:top w:val="nil"/>
              <w:left w:val="nil"/>
              <w:bottom w:val="single" w:sz="4" w:space="0" w:color="auto"/>
              <w:right w:val="single" w:sz="4" w:space="0" w:color="auto"/>
            </w:tcBorders>
            <w:shd w:val="clear" w:color="auto" w:fill="auto"/>
            <w:noWrap/>
            <w:vAlign w:val="bottom"/>
            <w:hideMark/>
          </w:tcPr>
          <w:p w14:paraId="4C73764C"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1.178.445,14</w:t>
            </w:r>
          </w:p>
        </w:tc>
        <w:tc>
          <w:tcPr>
            <w:tcW w:w="1134" w:type="dxa"/>
            <w:tcBorders>
              <w:top w:val="nil"/>
              <w:left w:val="nil"/>
              <w:bottom w:val="single" w:sz="4" w:space="0" w:color="auto"/>
              <w:right w:val="single" w:sz="4" w:space="0" w:color="auto"/>
            </w:tcBorders>
            <w:shd w:val="clear" w:color="auto" w:fill="auto"/>
            <w:noWrap/>
            <w:vAlign w:val="bottom"/>
            <w:hideMark/>
          </w:tcPr>
          <w:p w14:paraId="048E2D36"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1.328.552,25</w:t>
            </w:r>
          </w:p>
        </w:tc>
        <w:tc>
          <w:tcPr>
            <w:tcW w:w="1134" w:type="dxa"/>
            <w:tcBorders>
              <w:top w:val="nil"/>
              <w:left w:val="nil"/>
              <w:bottom w:val="single" w:sz="4" w:space="0" w:color="auto"/>
              <w:right w:val="single" w:sz="4" w:space="0" w:color="auto"/>
            </w:tcBorders>
            <w:shd w:val="clear" w:color="auto" w:fill="auto"/>
            <w:noWrap/>
            <w:vAlign w:val="bottom"/>
            <w:hideMark/>
          </w:tcPr>
          <w:p w14:paraId="5D691DCC"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119.556,95</w:t>
            </w:r>
          </w:p>
        </w:tc>
        <w:tc>
          <w:tcPr>
            <w:tcW w:w="1134" w:type="dxa"/>
            <w:tcBorders>
              <w:top w:val="nil"/>
              <w:left w:val="nil"/>
              <w:bottom w:val="single" w:sz="4" w:space="0" w:color="auto"/>
              <w:right w:val="single" w:sz="4" w:space="0" w:color="auto"/>
            </w:tcBorders>
            <w:shd w:val="clear" w:color="auto" w:fill="auto"/>
            <w:noWrap/>
            <w:vAlign w:val="bottom"/>
            <w:hideMark/>
          </w:tcPr>
          <w:p w14:paraId="24A90942"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98.203,76</w:t>
            </w:r>
          </w:p>
        </w:tc>
        <w:tc>
          <w:tcPr>
            <w:tcW w:w="993" w:type="dxa"/>
            <w:tcBorders>
              <w:top w:val="nil"/>
              <w:left w:val="nil"/>
              <w:bottom w:val="single" w:sz="4" w:space="0" w:color="auto"/>
              <w:right w:val="single" w:sz="4" w:space="0" w:color="auto"/>
            </w:tcBorders>
            <w:shd w:val="clear" w:color="auto" w:fill="auto"/>
            <w:noWrap/>
            <w:vAlign w:val="bottom"/>
            <w:hideMark/>
          </w:tcPr>
          <w:p w14:paraId="03D4DCE8"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110.712,69</w:t>
            </w:r>
          </w:p>
        </w:tc>
        <w:tc>
          <w:tcPr>
            <w:tcW w:w="1559" w:type="dxa"/>
            <w:tcBorders>
              <w:top w:val="nil"/>
              <w:left w:val="nil"/>
              <w:bottom w:val="single" w:sz="4" w:space="0" w:color="auto"/>
              <w:right w:val="single" w:sz="4" w:space="0" w:color="auto"/>
            </w:tcBorders>
            <w:shd w:val="clear" w:color="auto" w:fill="auto"/>
            <w:noWrap/>
            <w:vAlign w:val="bottom"/>
            <w:hideMark/>
          </w:tcPr>
          <w:p w14:paraId="182B5F0A"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80.033,27</w:t>
            </w:r>
          </w:p>
        </w:tc>
        <w:tc>
          <w:tcPr>
            <w:tcW w:w="1701" w:type="dxa"/>
            <w:tcBorders>
              <w:top w:val="nil"/>
              <w:left w:val="nil"/>
              <w:bottom w:val="single" w:sz="4" w:space="0" w:color="auto"/>
              <w:right w:val="single" w:sz="4" w:space="0" w:color="auto"/>
            </w:tcBorders>
            <w:shd w:val="clear" w:color="auto" w:fill="auto"/>
            <w:noWrap/>
            <w:vAlign w:val="bottom"/>
            <w:hideMark/>
          </w:tcPr>
          <w:p w14:paraId="52E9C34C"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6.669,44</w:t>
            </w:r>
          </w:p>
        </w:tc>
      </w:tr>
      <w:tr w:rsidR="006356F1" w:rsidRPr="00932D00" w14:paraId="708D5289"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3614019E"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2009</w:t>
            </w:r>
          </w:p>
        </w:tc>
        <w:tc>
          <w:tcPr>
            <w:tcW w:w="1134" w:type="dxa"/>
            <w:tcBorders>
              <w:top w:val="nil"/>
              <w:left w:val="nil"/>
              <w:bottom w:val="single" w:sz="4" w:space="0" w:color="auto"/>
              <w:right w:val="single" w:sz="4" w:space="0" w:color="auto"/>
            </w:tcBorders>
            <w:shd w:val="clear" w:color="auto" w:fill="auto"/>
            <w:noWrap/>
            <w:vAlign w:val="bottom"/>
            <w:hideMark/>
          </w:tcPr>
          <w:p w14:paraId="388ECDE9"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1.356.632,93</w:t>
            </w:r>
          </w:p>
        </w:tc>
        <w:tc>
          <w:tcPr>
            <w:tcW w:w="1134" w:type="dxa"/>
            <w:tcBorders>
              <w:top w:val="nil"/>
              <w:left w:val="nil"/>
              <w:bottom w:val="single" w:sz="4" w:space="0" w:color="auto"/>
              <w:right w:val="single" w:sz="4" w:space="0" w:color="auto"/>
            </w:tcBorders>
            <w:shd w:val="clear" w:color="auto" w:fill="auto"/>
            <w:noWrap/>
            <w:vAlign w:val="bottom"/>
            <w:hideMark/>
          </w:tcPr>
          <w:p w14:paraId="597E305F"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1.077.347,87</w:t>
            </w:r>
          </w:p>
        </w:tc>
        <w:tc>
          <w:tcPr>
            <w:tcW w:w="1134" w:type="dxa"/>
            <w:tcBorders>
              <w:top w:val="nil"/>
              <w:left w:val="nil"/>
              <w:bottom w:val="single" w:sz="4" w:space="0" w:color="auto"/>
              <w:right w:val="single" w:sz="4" w:space="0" w:color="auto"/>
            </w:tcBorders>
            <w:shd w:val="clear" w:color="auto" w:fill="auto"/>
            <w:noWrap/>
            <w:vAlign w:val="bottom"/>
            <w:hideMark/>
          </w:tcPr>
          <w:p w14:paraId="59128659"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1.238.772,76</w:t>
            </w:r>
          </w:p>
        </w:tc>
        <w:tc>
          <w:tcPr>
            <w:tcW w:w="1134" w:type="dxa"/>
            <w:tcBorders>
              <w:top w:val="nil"/>
              <w:left w:val="nil"/>
              <w:bottom w:val="single" w:sz="4" w:space="0" w:color="auto"/>
              <w:right w:val="single" w:sz="4" w:space="0" w:color="auto"/>
            </w:tcBorders>
            <w:shd w:val="clear" w:color="auto" w:fill="auto"/>
            <w:noWrap/>
            <w:vAlign w:val="bottom"/>
            <w:hideMark/>
          </w:tcPr>
          <w:p w14:paraId="36B8FC5E"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113.052,74</w:t>
            </w:r>
          </w:p>
        </w:tc>
        <w:tc>
          <w:tcPr>
            <w:tcW w:w="1134" w:type="dxa"/>
            <w:tcBorders>
              <w:top w:val="nil"/>
              <w:left w:val="nil"/>
              <w:bottom w:val="single" w:sz="4" w:space="0" w:color="auto"/>
              <w:right w:val="single" w:sz="4" w:space="0" w:color="auto"/>
            </w:tcBorders>
            <w:shd w:val="clear" w:color="auto" w:fill="auto"/>
            <w:noWrap/>
            <w:vAlign w:val="bottom"/>
            <w:hideMark/>
          </w:tcPr>
          <w:p w14:paraId="71B67B89"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89.778,99</w:t>
            </w:r>
          </w:p>
        </w:tc>
        <w:tc>
          <w:tcPr>
            <w:tcW w:w="993" w:type="dxa"/>
            <w:tcBorders>
              <w:top w:val="nil"/>
              <w:left w:val="nil"/>
              <w:bottom w:val="single" w:sz="4" w:space="0" w:color="auto"/>
              <w:right w:val="single" w:sz="4" w:space="0" w:color="auto"/>
            </w:tcBorders>
            <w:shd w:val="clear" w:color="auto" w:fill="auto"/>
            <w:noWrap/>
            <w:vAlign w:val="bottom"/>
            <w:hideMark/>
          </w:tcPr>
          <w:p w14:paraId="00AE2B5D"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103.231,06</w:t>
            </w:r>
          </w:p>
        </w:tc>
        <w:tc>
          <w:tcPr>
            <w:tcW w:w="1559" w:type="dxa"/>
            <w:tcBorders>
              <w:top w:val="nil"/>
              <w:left w:val="nil"/>
              <w:bottom w:val="single" w:sz="4" w:space="0" w:color="auto"/>
              <w:right w:val="single" w:sz="4" w:space="0" w:color="auto"/>
            </w:tcBorders>
            <w:shd w:val="clear" w:color="auto" w:fill="auto"/>
            <w:noWrap/>
            <w:vAlign w:val="bottom"/>
            <w:hideMark/>
          </w:tcPr>
          <w:p w14:paraId="34C2342D"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74.624,86</w:t>
            </w:r>
          </w:p>
        </w:tc>
        <w:tc>
          <w:tcPr>
            <w:tcW w:w="1701" w:type="dxa"/>
            <w:tcBorders>
              <w:top w:val="nil"/>
              <w:left w:val="nil"/>
              <w:bottom w:val="single" w:sz="4" w:space="0" w:color="auto"/>
              <w:right w:val="single" w:sz="4" w:space="0" w:color="auto"/>
            </w:tcBorders>
            <w:shd w:val="clear" w:color="auto" w:fill="auto"/>
            <w:noWrap/>
            <w:vAlign w:val="bottom"/>
            <w:hideMark/>
          </w:tcPr>
          <w:p w14:paraId="19586E54"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6.218,74</w:t>
            </w:r>
          </w:p>
        </w:tc>
      </w:tr>
      <w:tr w:rsidR="006356F1" w:rsidRPr="00932D00" w14:paraId="6F1BF156"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78A434EF"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2010</w:t>
            </w:r>
          </w:p>
        </w:tc>
        <w:tc>
          <w:tcPr>
            <w:tcW w:w="1134" w:type="dxa"/>
            <w:tcBorders>
              <w:top w:val="nil"/>
              <w:left w:val="nil"/>
              <w:bottom w:val="single" w:sz="4" w:space="0" w:color="auto"/>
              <w:right w:val="single" w:sz="4" w:space="0" w:color="auto"/>
            </w:tcBorders>
            <w:shd w:val="clear" w:color="auto" w:fill="auto"/>
            <w:noWrap/>
            <w:vAlign w:val="bottom"/>
            <w:hideMark/>
          </w:tcPr>
          <w:p w14:paraId="4E8FB148"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1.278.104,36</w:t>
            </w:r>
          </w:p>
        </w:tc>
        <w:tc>
          <w:tcPr>
            <w:tcW w:w="1134" w:type="dxa"/>
            <w:tcBorders>
              <w:top w:val="nil"/>
              <w:left w:val="nil"/>
              <w:bottom w:val="single" w:sz="4" w:space="0" w:color="auto"/>
              <w:right w:val="single" w:sz="4" w:space="0" w:color="auto"/>
            </w:tcBorders>
            <w:shd w:val="clear" w:color="auto" w:fill="auto"/>
            <w:noWrap/>
            <w:vAlign w:val="bottom"/>
            <w:hideMark/>
          </w:tcPr>
          <w:p w14:paraId="7990E5C1"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1.055.197,82</w:t>
            </w:r>
          </w:p>
        </w:tc>
        <w:tc>
          <w:tcPr>
            <w:tcW w:w="1134" w:type="dxa"/>
            <w:tcBorders>
              <w:top w:val="nil"/>
              <w:left w:val="nil"/>
              <w:bottom w:val="single" w:sz="4" w:space="0" w:color="auto"/>
              <w:right w:val="single" w:sz="4" w:space="0" w:color="auto"/>
            </w:tcBorders>
            <w:shd w:val="clear" w:color="auto" w:fill="auto"/>
            <w:noWrap/>
            <w:vAlign w:val="bottom"/>
            <w:hideMark/>
          </w:tcPr>
          <w:p w14:paraId="46CB0BB5"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1.179.308,82</w:t>
            </w:r>
          </w:p>
        </w:tc>
        <w:tc>
          <w:tcPr>
            <w:tcW w:w="1134" w:type="dxa"/>
            <w:tcBorders>
              <w:top w:val="nil"/>
              <w:left w:val="nil"/>
              <w:bottom w:val="single" w:sz="4" w:space="0" w:color="auto"/>
              <w:right w:val="single" w:sz="4" w:space="0" w:color="auto"/>
            </w:tcBorders>
            <w:shd w:val="clear" w:color="auto" w:fill="auto"/>
            <w:noWrap/>
            <w:vAlign w:val="bottom"/>
            <w:hideMark/>
          </w:tcPr>
          <w:p w14:paraId="768CFC7C"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106.508,70</w:t>
            </w:r>
          </w:p>
        </w:tc>
        <w:tc>
          <w:tcPr>
            <w:tcW w:w="1134" w:type="dxa"/>
            <w:tcBorders>
              <w:top w:val="nil"/>
              <w:left w:val="nil"/>
              <w:bottom w:val="single" w:sz="4" w:space="0" w:color="auto"/>
              <w:right w:val="single" w:sz="4" w:space="0" w:color="auto"/>
            </w:tcBorders>
            <w:shd w:val="clear" w:color="auto" w:fill="auto"/>
            <w:noWrap/>
            <w:vAlign w:val="bottom"/>
            <w:hideMark/>
          </w:tcPr>
          <w:p w14:paraId="19BF2A2B"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87.933,15</w:t>
            </w:r>
          </w:p>
        </w:tc>
        <w:tc>
          <w:tcPr>
            <w:tcW w:w="993" w:type="dxa"/>
            <w:tcBorders>
              <w:top w:val="nil"/>
              <w:left w:val="nil"/>
              <w:bottom w:val="single" w:sz="4" w:space="0" w:color="auto"/>
              <w:right w:val="single" w:sz="4" w:space="0" w:color="auto"/>
            </w:tcBorders>
            <w:shd w:val="clear" w:color="auto" w:fill="auto"/>
            <w:noWrap/>
            <w:vAlign w:val="bottom"/>
            <w:hideMark/>
          </w:tcPr>
          <w:p w14:paraId="55C176AE"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98.275,73</w:t>
            </w:r>
          </w:p>
        </w:tc>
        <w:tc>
          <w:tcPr>
            <w:tcW w:w="1559" w:type="dxa"/>
            <w:tcBorders>
              <w:top w:val="nil"/>
              <w:left w:val="nil"/>
              <w:bottom w:val="single" w:sz="4" w:space="0" w:color="auto"/>
              <w:right w:val="single" w:sz="4" w:space="0" w:color="auto"/>
            </w:tcBorders>
            <w:shd w:val="clear" w:color="auto" w:fill="auto"/>
            <w:noWrap/>
            <w:vAlign w:val="bottom"/>
            <w:hideMark/>
          </w:tcPr>
          <w:p w14:paraId="79F2E0DA"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71.042,70</w:t>
            </w:r>
          </w:p>
        </w:tc>
        <w:tc>
          <w:tcPr>
            <w:tcW w:w="1701" w:type="dxa"/>
            <w:tcBorders>
              <w:top w:val="nil"/>
              <w:left w:val="nil"/>
              <w:bottom w:val="single" w:sz="4" w:space="0" w:color="auto"/>
              <w:right w:val="single" w:sz="4" w:space="0" w:color="auto"/>
            </w:tcBorders>
            <w:shd w:val="clear" w:color="auto" w:fill="auto"/>
            <w:noWrap/>
            <w:vAlign w:val="bottom"/>
            <w:hideMark/>
          </w:tcPr>
          <w:p w14:paraId="75A8FDC2"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5.920,22</w:t>
            </w:r>
          </w:p>
        </w:tc>
      </w:tr>
      <w:tr w:rsidR="006356F1" w:rsidRPr="00932D00" w14:paraId="6ADE66A1"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1E0665CF"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2011</w:t>
            </w:r>
          </w:p>
        </w:tc>
        <w:tc>
          <w:tcPr>
            <w:tcW w:w="1134" w:type="dxa"/>
            <w:tcBorders>
              <w:top w:val="nil"/>
              <w:left w:val="nil"/>
              <w:bottom w:val="single" w:sz="4" w:space="0" w:color="auto"/>
              <w:right w:val="single" w:sz="4" w:space="0" w:color="auto"/>
            </w:tcBorders>
            <w:shd w:val="clear" w:color="auto" w:fill="auto"/>
            <w:noWrap/>
            <w:vAlign w:val="bottom"/>
            <w:hideMark/>
          </w:tcPr>
          <w:p w14:paraId="767C6986"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1.403.688,43</w:t>
            </w:r>
          </w:p>
        </w:tc>
        <w:tc>
          <w:tcPr>
            <w:tcW w:w="1134" w:type="dxa"/>
            <w:tcBorders>
              <w:top w:val="nil"/>
              <w:left w:val="nil"/>
              <w:bottom w:val="single" w:sz="4" w:space="0" w:color="auto"/>
              <w:right w:val="single" w:sz="4" w:space="0" w:color="auto"/>
            </w:tcBorders>
            <w:shd w:val="clear" w:color="auto" w:fill="auto"/>
            <w:noWrap/>
            <w:vAlign w:val="bottom"/>
            <w:hideMark/>
          </w:tcPr>
          <w:p w14:paraId="1DE923C8"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1.042.253,06</w:t>
            </w:r>
          </w:p>
        </w:tc>
        <w:tc>
          <w:tcPr>
            <w:tcW w:w="1134" w:type="dxa"/>
            <w:tcBorders>
              <w:top w:val="nil"/>
              <w:left w:val="nil"/>
              <w:bottom w:val="single" w:sz="4" w:space="0" w:color="auto"/>
              <w:right w:val="single" w:sz="4" w:space="0" w:color="auto"/>
            </w:tcBorders>
            <w:shd w:val="clear" w:color="auto" w:fill="auto"/>
            <w:noWrap/>
            <w:vAlign w:val="bottom"/>
            <w:hideMark/>
          </w:tcPr>
          <w:p w14:paraId="140E6AED"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1.225.396,99</w:t>
            </w:r>
          </w:p>
        </w:tc>
        <w:tc>
          <w:tcPr>
            <w:tcW w:w="1134" w:type="dxa"/>
            <w:tcBorders>
              <w:top w:val="nil"/>
              <w:left w:val="nil"/>
              <w:bottom w:val="single" w:sz="4" w:space="0" w:color="auto"/>
              <w:right w:val="single" w:sz="4" w:space="0" w:color="auto"/>
            </w:tcBorders>
            <w:shd w:val="clear" w:color="auto" w:fill="auto"/>
            <w:noWrap/>
            <w:vAlign w:val="bottom"/>
            <w:hideMark/>
          </w:tcPr>
          <w:p w14:paraId="0828D394"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116.974,04</w:t>
            </w:r>
          </w:p>
        </w:tc>
        <w:tc>
          <w:tcPr>
            <w:tcW w:w="1134" w:type="dxa"/>
            <w:tcBorders>
              <w:top w:val="nil"/>
              <w:left w:val="nil"/>
              <w:bottom w:val="single" w:sz="4" w:space="0" w:color="auto"/>
              <w:right w:val="single" w:sz="4" w:space="0" w:color="auto"/>
            </w:tcBorders>
            <w:shd w:val="clear" w:color="auto" w:fill="auto"/>
            <w:noWrap/>
            <w:vAlign w:val="bottom"/>
            <w:hideMark/>
          </w:tcPr>
          <w:p w14:paraId="21498133"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86.854,42</w:t>
            </w:r>
          </w:p>
        </w:tc>
        <w:tc>
          <w:tcPr>
            <w:tcW w:w="993" w:type="dxa"/>
            <w:tcBorders>
              <w:top w:val="nil"/>
              <w:left w:val="nil"/>
              <w:bottom w:val="single" w:sz="4" w:space="0" w:color="auto"/>
              <w:right w:val="single" w:sz="4" w:space="0" w:color="auto"/>
            </w:tcBorders>
            <w:shd w:val="clear" w:color="auto" w:fill="auto"/>
            <w:noWrap/>
            <w:vAlign w:val="bottom"/>
            <w:hideMark/>
          </w:tcPr>
          <w:p w14:paraId="1BEE505B"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102.116,42</w:t>
            </w:r>
          </w:p>
        </w:tc>
        <w:tc>
          <w:tcPr>
            <w:tcW w:w="1559" w:type="dxa"/>
            <w:tcBorders>
              <w:top w:val="nil"/>
              <w:left w:val="nil"/>
              <w:bottom w:val="single" w:sz="4" w:space="0" w:color="auto"/>
              <w:right w:val="single" w:sz="4" w:space="0" w:color="auto"/>
            </w:tcBorders>
            <w:shd w:val="clear" w:color="auto" w:fill="auto"/>
            <w:noWrap/>
            <w:vAlign w:val="bottom"/>
            <w:hideMark/>
          </w:tcPr>
          <w:p w14:paraId="208D69D5"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73.819,10</w:t>
            </w:r>
          </w:p>
        </w:tc>
        <w:tc>
          <w:tcPr>
            <w:tcW w:w="1701" w:type="dxa"/>
            <w:tcBorders>
              <w:top w:val="nil"/>
              <w:left w:val="nil"/>
              <w:bottom w:val="single" w:sz="4" w:space="0" w:color="auto"/>
              <w:right w:val="single" w:sz="4" w:space="0" w:color="auto"/>
            </w:tcBorders>
            <w:shd w:val="clear" w:color="auto" w:fill="auto"/>
            <w:noWrap/>
            <w:vAlign w:val="bottom"/>
            <w:hideMark/>
          </w:tcPr>
          <w:p w14:paraId="6C21E1C0"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6.151,59</w:t>
            </w:r>
          </w:p>
        </w:tc>
      </w:tr>
      <w:tr w:rsidR="006356F1" w:rsidRPr="00932D00" w14:paraId="28D1F9AF"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71140D45"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2012</w:t>
            </w:r>
          </w:p>
        </w:tc>
        <w:tc>
          <w:tcPr>
            <w:tcW w:w="1134" w:type="dxa"/>
            <w:tcBorders>
              <w:top w:val="nil"/>
              <w:left w:val="nil"/>
              <w:bottom w:val="single" w:sz="4" w:space="0" w:color="auto"/>
              <w:right w:val="single" w:sz="4" w:space="0" w:color="auto"/>
            </w:tcBorders>
            <w:shd w:val="clear" w:color="auto" w:fill="auto"/>
            <w:noWrap/>
            <w:vAlign w:val="bottom"/>
            <w:hideMark/>
          </w:tcPr>
          <w:p w14:paraId="294E07BB"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1.318.637,39</w:t>
            </w:r>
          </w:p>
        </w:tc>
        <w:tc>
          <w:tcPr>
            <w:tcW w:w="1134" w:type="dxa"/>
            <w:tcBorders>
              <w:top w:val="nil"/>
              <w:left w:val="nil"/>
              <w:bottom w:val="single" w:sz="4" w:space="0" w:color="auto"/>
              <w:right w:val="single" w:sz="4" w:space="0" w:color="auto"/>
            </w:tcBorders>
            <w:shd w:val="clear" w:color="auto" w:fill="auto"/>
            <w:noWrap/>
            <w:vAlign w:val="bottom"/>
            <w:hideMark/>
          </w:tcPr>
          <w:p w14:paraId="318B478F"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985.629,23</w:t>
            </w:r>
          </w:p>
        </w:tc>
        <w:tc>
          <w:tcPr>
            <w:tcW w:w="1134" w:type="dxa"/>
            <w:tcBorders>
              <w:top w:val="nil"/>
              <w:left w:val="nil"/>
              <w:bottom w:val="single" w:sz="4" w:space="0" w:color="auto"/>
              <w:right w:val="single" w:sz="4" w:space="0" w:color="auto"/>
            </w:tcBorders>
            <w:shd w:val="clear" w:color="auto" w:fill="auto"/>
            <w:noWrap/>
            <w:vAlign w:val="bottom"/>
            <w:hideMark/>
          </w:tcPr>
          <w:p w14:paraId="4744FC62"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1.142.801,82</w:t>
            </w:r>
          </w:p>
        </w:tc>
        <w:tc>
          <w:tcPr>
            <w:tcW w:w="1134" w:type="dxa"/>
            <w:tcBorders>
              <w:top w:val="nil"/>
              <w:left w:val="nil"/>
              <w:bottom w:val="single" w:sz="4" w:space="0" w:color="auto"/>
              <w:right w:val="single" w:sz="4" w:space="0" w:color="auto"/>
            </w:tcBorders>
            <w:shd w:val="clear" w:color="auto" w:fill="auto"/>
            <w:noWrap/>
            <w:vAlign w:val="bottom"/>
            <w:hideMark/>
          </w:tcPr>
          <w:p w14:paraId="3C9327B9"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109.886,45</w:t>
            </w:r>
          </w:p>
        </w:tc>
        <w:tc>
          <w:tcPr>
            <w:tcW w:w="1134" w:type="dxa"/>
            <w:tcBorders>
              <w:top w:val="nil"/>
              <w:left w:val="nil"/>
              <w:bottom w:val="single" w:sz="4" w:space="0" w:color="auto"/>
              <w:right w:val="single" w:sz="4" w:space="0" w:color="auto"/>
            </w:tcBorders>
            <w:shd w:val="clear" w:color="auto" w:fill="auto"/>
            <w:noWrap/>
            <w:vAlign w:val="bottom"/>
            <w:hideMark/>
          </w:tcPr>
          <w:p w14:paraId="7467C22A"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82.135,77</w:t>
            </w:r>
          </w:p>
        </w:tc>
        <w:tc>
          <w:tcPr>
            <w:tcW w:w="993" w:type="dxa"/>
            <w:tcBorders>
              <w:top w:val="nil"/>
              <w:left w:val="nil"/>
              <w:bottom w:val="single" w:sz="4" w:space="0" w:color="auto"/>
              <w:right w:val="single" w:sz="4" w:space="0" w:color="auto"/>
            </w:tcBorders>
            <w:shd w:val="clear" w:color="auto" w:fill="auto"/>
            <w:noWrap/>
            <w:vAlign w:val="bottom"/>
            <w:hideMark/>
          </w:tcPr>
          <w:p w14:paraId="4B90BCEB"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95.233,48</w:t>
            </w:r>
          </w:p>
        </w:tc>
        <w:tc>
          <w:tcPr>
            <w:tcW w:w="1559" w:type="dxa"/>
            <w:tcBorders>
              <w:top w:val="nil"/>
              <w:left w:val="nil"/>
              <w:bottom w:val="single" w:sz="4" w:space="0" w:color="auto"/>
              <w:right w:val="single" w:sz="4" w:space="0" w:color="auto"/>
            </w:tcBorders>
            <w:shd w:val="clear" w:color="auto" w:fill="auto"/>
            <w:noWrap/>
            <w:vAlign w:val="bottom"/>
            <w:hideMark/>
          </w:tcPr>
          <w:p w14:paraId="0AAC605C"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68.843,48</w:t>
            </w:r>
          </w:p>
        </w:tc>
        <w:tc>
          <w:tcPr>
            <w:tcW w:w="1701" w:type="dxa"/>
            <w:tcBorders>
              <w:top w:val="nil"/>
              <w:left w:val="nil"/>
              <w:bottom w:val="single" w:sz="4" w:space="0" w:color="auto"/>
              <w:right w:val="single" w:sz="4" w:space="0" w:color="auto"/>
            </w:tcBorders>
            <w:shd w:val="clear" w:color="auto" w:fill="auto"/>
            <w:noWrap/>
            <w:vAlign w:val="bottom"/>
            <w:hideMark/>
          </w:tcPr>
          <w:p w14:paraId="11F96CDC"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5.736,96</w:t>
            </w:r>
          </w:p>
        </w:tc>
      </w:tr>
      <w:tr w:rsidR="006356F1" w:rsidRPr="00932D00" w14:paraId="082E2B61"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1A64662C"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2013</w:t>
            </w:r>
          </w:p>
        </w:tc>
        <w:tc>
          <w:tcPr>
            <w:tcW w:w="1134" w:type="dxa"/>
            <w:tcBorders>
              <w:top w:val="nil"/>
              <w:left w:val="nil"/>
              <w:bottom w:val="single" w:sz="4" w:space="0" w:color="auto"/>
              <w:right w:val="single" w:sz="4" w:space="0" w:color="auto"/>
            </w:tcBorders>
            <w:shd w:val="clear" w:color="auto" w:fill="auto"/>
            <w:noWrap/>
            <w:vAlign w:val="bottom"/>
            <w:hideMark/>
          </w:tcPr>
          <w:p w14:paraId="18B07749"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1.286.531,77</w:t>
            </w:r>
          </w:p>
        </w:tc>
        <w:tc>
          <w:tcPr>
            <w:tcW w:w="1134" w:type="dxa"/>
            <w:tcBorders>
              <w:top w:val="nil"/>
              <w:left w:val="nil"/>
              <w:bottom w:val="single" w:sz="4" w:space="0" w:color="auto"/>
              <w:right w:val="single" w:sz="4" w:space="0" w:color="auto"/>
            </w:tcBorders>
            <w:shd w:val="clear" w:color="auto" w:fill="auto"/>
            <w:noWrap/>
            <w:vAlign w:val="bottom"/>
            <w:hideMark/>
          </w:tcPr>
          <w:p w14:paraId="44DCE211"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982.242,43</w:t>
            </w:r>
          </w:p>
        </w:tc>
        <w:tc>
          <w:tcPr>
            <w:tcW w:w="1134" w:type="dxa"/>
            <w:tcBorders>
              <w:top w:val="nil"/>
              <w:left w:val="nil"/>
              <w:bottom w:val="single" w:sz="4" w:space="0" w:color="auto"/>
              <w:right w:val="single" w:sz="4" w:space="0" w:color="auto"/>
            </w:tcBorders>
            <w:shd w:val="clear" w:color="auto" w:fill="auto"/>
            <w:noWrap/>
            <w:vAlign w:val="bottom"/>
            <w:hideMark/>
          </w:tcPr>
          <w:p w14:paraId="68D98901"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1.122.135,94</w:t>
            </w:r>
          </w:p>
        </w:tc>
        <w:tc>
          <w:tcPr>
            <w:tcW w:w="1134" w:type="dxa"/>
            <w:tcBorders>
              <w:top w:val="nil"/>
              <w:left w:val="nil"/>
              <w:bottom w:val="single" w:sz="4" w:space="0" w:color="auto"/>
              <w:right w:val="single" w:sz="4" w:space="0" w:color="auto"/>
            </w:tcBorders>
            <w:shd w:val="clear" w:color="auto" w:fill="auto"/>
            <w:noWrap/>
            <w:vAlign w:val="bottom"/>
            <w:hideMark/>
          </w:tcPr>
          <w:p w14:paraId="7C69DB9A"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107.210,98</w:t>
            </w:r>
          </w:p>
        </w:tc>
        <w:tc>
          <w:tcPr>
            <w:tcW w:w="1134" w:type="dxa"/>
            <w:tcBorders>
              <w:top w:val="nil"/>
              <w:left w:val="nil"/>
              <w:bottom w:val="single" w:sz="4" w:space="0" w:color="auto"/>
              <w:right w:val="single" w:sz="4" w:space="0" w:color="auto"/>
            </w:tcBorders>
            <w:shd w:val="clear" w:color="auto" w:fill="auto"/>
            <w:noWrap/>
            <w:vAlign w:val="bottom"/>
            <w:hideMark/>
          </w:tcPr>
          <w:p w14:paraId="041AA6E6"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81.853,54</w:t>
            </w:r>
          </w:p>
        </w:tc>
        <w:tc>
          <w:tcPr>
            <w:tcW w:w="993" w:type="dxa"/>
            <w:tcBorders>
              <w:top w:val="nil"/>
              <w:left w:val="nil"/>
              <w:bottom w:val="single" w:sz="4" w:space="0" w:color="auto"/>
              <w:right w:val="single" w:sz="4" w:space="0" w:color="auto"/>
            </w:tcBorders>
            <w:shd w:val="clear" w:color="auto" w:fill="auto"/>
            <w:noWrap/>
            <w:vAlign w:val="bottom"/>
            <w:hideMark/>
          </w:tcPr>
          <w:p w14:paraId="0D817417"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93.511,33</w:t>
            </w:r>
          </w:p>
        </w:tc>
        <w:tc>
          <w:tcPr>
            <w:tcW w:w="1559" w:type="dxa"/>
            <w:tcBorders>
              <w:top w:val="nil"/>
              <w:left w:val="nil"/>
              <w:bottom w:val="single" w:sz="4" w:space="0" w:color="auto"/>
              <w:right w:val="single" w:sz="4" w:space="0" w:color="auto"/>
            </w:tcBorders>
            <w:shd w:val="clear" w:color="auto" w:fill="auto"/>
            <w:noWrap/>
            <w:vAlign w:val="bottom"/>
            <w:hideMark/>
          </w:tcPr>
          <w:p w14:paraId="3A4F421D"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67.598,55</w:t>
            </w:r>
          </w:p>
        </w:tc>
        <w:tc>
          <w:tcPr>
            <w:tcW w:w="1701" w:type="dxa"/>
            <w:tcBorders>
              <w:top w:val="nil"/>
              <w:left w:val="nil"/>
              <w:bottom w:val="single" w:sz="4" w:space="0" w:color="auto"/>
              <w:right w:val="single" w:sz="4" w:space="0" w:color="auto"/>
            </w:tcBorders>
            <w:shd w:val="clear" w:color="auto" w:fill="auto"/>
            <w:noWrap/>
            <w:vAlign w:val="bottom"/>
            <w:hideMark/>
          </w:tcPr>
          <w:p w14:paraId="0DA82F60"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5.633,21</w:t>
            </w:r>
          </w:p>
        </w:tc>
      </w:tr>
      <w:tr w:rsidR="006356F1" w:rsidRPr="00932D00" w14:paraId="0EAD11EB"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E42CFDF"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2014</w:t>
            </w:r>
          </w:p>
        </w:tc>
        <w:tc>
          <w:tcPr>
            <w:tcW w:w="1134" w:type="dxa"/>
            <w:tcBorders>
              <w:top w:val="nil"/>
              <w:left w:val="nil"/>
              <w:bottom w:val="single" w:sz="4" w:space="0" w:color="auto"/>
              <w:right w:val="single" w:sz="4" w:space="0" w:color="auto"/>
            </w:tcBorders>
            <w:shd w:val="clear" w:color="auto" w:fill="auto"/>
            <w:noWrap/>
            <w:vAlign w:val="bottom"/>
            <w:hideMark/>
          </w:tcPr>
          <w:p w14:paraId="142DA197"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1.332.202,99</w:t>
            </w:r>
          </w:p>
        </w:tc>
        <w:tc>
          <w:tcPr>
            <w:tcW w:w="1134" w:type="dxa"/>
            <w:tcBorders>
              <w:top w:val="nil"/>
              <w:left w:val="nil"/>
              <w:bottom w:val="single" w:sz="4" w:space="0" w:color="auto"/>
              <w:right w:val="single" w:sz="4" w:space="0" w:color="auto"/>
            </w:tcBorders>
            <w:shd w:val="clear" w:color="auto" w:fill="auto"/>
            <w:noWrap/>
            <w:vAlign w:val="bottom"/>
            <w:hideMark/>
          </w:tcPr>
          <w:p w14:paraId="359CCFD5"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967.851,21</w:t>
            </w:r>
          </w:p>
        </w:tc>
        <w:tc>
          <w:tcPr>
            <w:tcW w:w="1134" w:type="dxa"/>
            <w:tcBorders>
              <w:top w:val="nil"/>
              <w:left w:val="nil"/>
              <w:bottom w:val="single" w:sz="4" w:space="0" w:color="auto"/>
              <w:right w:val="single" w:sz="4" w:space="0" w:color="auto"/>
            </w:tcBorders>
            <w:shd w:val="clear" w:color="auto" w:fill="auto"/>
            <w:noWrap/>
            <w:vAlign w:val="bottom"/>
            <w:hideMark/>
          </w:tcPr>
          <w:p w14:paraId="5BDDFE23"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1.130.332,11</w:t>
            </w:r>
          </w:p>
        </w:tc>
        <w:tc>
          <w:tcPr>
            <w:tcW w:w="1134" w:type="dxa"/>
            <w:tcBorders>
              <w:top w:val="nil"/>
              <w:left w:val="nil"/>
              <w:bottom w:val="single" w:sz="4" w:space="0" w:color="auto"/>
              <w:right w:val="single" w:sz="4" w:space="0" w:color="auto"/>
            </w:tcBorders>
            <w:shd w:val="clear" w:color="auto" w:fill="auto"/>
            <w:noWrap/>
            <w:vAlign w:val="bottom"/>
            <w:hideMark/>
          </w:tcPr>
          <w:p w14:paraId="6E6B63CC"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111.016,92</w:t>
            </w:r>
          </w:p>
        </w:tc>
        <w:tc>
          <w:tcPr>
            <w:tcW w:w="1134" w:type="dxa"/>
            <w:tcBorders>
              <w:top w:val="nil"/>
              <w:left w:val="nil"/>
              <w:bottom w:val="single" w:sz="4" w:space="0" w:color="auto"/>
              <w:right w:val="single" w:sz="4" w:space="0" w:color="auto"/>
            </w:tcBorders>
            <w:shd w:val="clear" w:color="auto" w:fill="auto"/>
            <w:noWrap/>
            <w:vAlign w:val="bottom"/>
            <w:hideMark/>
          </w:tcPr>
          <w:p w14:paraId="28E07635"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80.654,27</w:t>
            </w:r>
          </w:p>
        </w:tc>
        <w:tc>
          <w:tcPr>
            <w:tcW w:w="993" w:type="dxa"/>
            <w:tcBorders>
              <w:top w:val="nil"/>
              <w:left w:val="nil"/>
              <w:bottom w:val="single" w:sz="4" w:space="0" w:color="auto"/>
              <w:right w:val="single" w:sz="4" w:space="0" w:color="auto"/>
            </w:tcBorders>
            <w:shd w:val="clear" w:color="auto" w:fill="auto"/>
            <w:noWrap/>
            <w:vAlign w:val="bottom"/>
            <w:hideMark/>
          </w:tcPr>
          <w:p w14:paraId="462394B6"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94.194,34</w:t>
            </w:r>
          </w:p>
        </w:tc>
        <w:tc>
          <w:tcPr>
            <w:tcW w:w="1559" w:type="dxa"/>
            <w:tcBorders>
              <w:top w:val="nil"/>
              <w:left w:val="nil"/>
              <w:bottom w:val="single" w:sz="4" w:space="0" w:color="auto"/>
              <w:right w:val="single" w:sz="4" w:space="0" w:color="auto"/>
            </w:tcBorders>
            <w:shd w:val="clear" w:color="auto" w:fill="auto"/>
            <w:noWrap/>
            <w:vAlign w:val="bottom"/>
            <w:hideMark/>
          </w:tcPr>
          <w:p w14:paraId="5E0CF291"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68.092,30</w:t>
            </w:r>
          </w:p>
        </w:tc>
        <w:tc>
          <w:tcPr>
            <w:tcW w:w="1701" w:type="dxa"/>
            <w:tcBorders>
              <w:top w:val="nil"/>
              <w:left w:val="nil"/>
              <w:bottom w:val="single" w:sz="4" w:space="0" w:color="auto"/>
              <w:right w:val="single" w:sz="4" w:space="0" w:color="auto"/>
            </w:tcBorders>
            <w:shd w:val="clear" w:color="auto" w:fill="auto"/>
            <w:noWrap/>
            <w:vAlign w:val="bottom"/>
            <w:hideMark/>
          </w:tcPr>
          <w:p w14:paraId="31C28675"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5.674,36</w:t>
            </w:r>
          </w:p>
        </w:tc>
      </w:tr>
      <w:tr w:rsidR="006356F1" w:rsidRPr="00932D00" w14:paraId="7077DE5A"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20952EED"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2015</w:t>
            </w:r>
          </w:p>
        </w:tc>
        <w:tc>
          <w:tcPr>
            <w:tcW w:w="1134" w:type="dxa"/>
            <w:tcBorders>
              <w:top w:val="nil"/>
              <w:left w:val="nil"/>
              <w:bottom w:val="single" w:sz="4" w:space="0" w:color="auto"/>
              <w:right w:val="single" w:sz="4" w:space="0" w:color="auto"/>
            </w:tcBorders>
            <w:shd w:val="clear" w:color="auto" w:fill="auto"/>
            <w:noWrap/>
            <w:vAlign w:val="bottom"/>
            <w:hideMark/>
          </w:tcPr>
          <w:p w14:paraId="163609AD"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1.346.704,54</w:t>
            </w:r>
          </w:p>
        </w:tc>
        <w:tc>
          <w:tcPr>
            <w:tcW w:w="1134" w:type="dxa"/>
            <w:tcBorders>
              <w:top w:val="nil"/>
              <w:left w:val="nil"/>
              <w:bottom w:val="single" w:sz="4" w:space="0" w:color="auto"/>
              <w:right w:val="single" w:sz="4" w:space="0" w:color="auto"/>
            </w:tcBorders>
            <w:shd w:val="clear" w:color="auto" w:fill="auto"/>
            <w:noWrap/>
            <w:vAlign w:val="bottom"/>
            <w:hideMark/>
          </w:tcPr>
          <w:p w14:paraId="321DE194"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992.517,64</w:t>
            </w:r>
          </w:p>
        </w:tc>
        <w:tc>
          <w:tcPr>
            <w:tcW w:w="1134" w:type="dxa"/>
            <w:tcBorders>
              <w:top w:val="nil"/>
              <w:left w:val="nil"/>
              <w:bottom w:val="single" w:sz="4" w:space="0" w:color="auto"/>
              <w:right w:val="single" w:sz="4" w:space="0" w:color="auto"/>
            </w:tcBorders>
            <w:shd w:val="clear" w:color="auto" w:fill="auto"/>
            <w:noWrap/>
            <w:vAlign w:val="bottom"/>
            <w:hideMark/>
          </w:tcPr>
          <w:p w14:paraId="3F63B94A"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1.146.222,91</w:t>
            </w:r>
          </w:p>
        </w:tc>
        <w:tc>
          <w:tcPr>
            <w:tcW w:w="1134" w:type="dxa"/>
            <w:tcBorders>
              <w:top w:val="nil"/>
              <w:left w:val="nil"/>
              <w:bottom w:val="single" w:sz="4" w:space="0" w:color="auto"/>
              <w:right w:val="single" w:sz="4" w:space="0" w:color="auto"/>
            </w:tcBorders>
            <w:shd w:val="clear" w:color="auto" w:fill="auto"/>
            <w:noWrap/>
            <w:vAlign w:val="bottom"/>
            <w:hideMark/>
          </w:tcPr>
          <w:p w14:paraId="6FC83382"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112.225,38</w:t>
            </w:r>
          </w:p>
        </w:tc>
        <w:tc>
          <w:tcPr>
            <w:tcW w:w="1134" w:type="dxa"/>
            <w:tcBorders>
              <w:top w:val="nil"/>
              <w:left w:val="nil"/>
              <w:bottom w:val="single" w:sz="4" w:space="0" w:color="auto"/>
              <w:right w:val="single" w:sz="4" w:space="0" w:color="auto"/>
            </w:tcBorders>
            <w:shd w:val="clear" w:color="auto" w:fill="auto"/>
            <w:noWrap/>
            <w:vAlign w:val="bottom"/>
            <w:hideMark/>
          </w:tcPr>
          <w:p w14:paraId="6E6CE415"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82.709,80</w:t>
            </w:r>
          </w:p>
        </w:tc>
        <w:tc>
          <w:tcPr>
            <w:tcW w:w="993" w:type="dxa"/>
            <w:tcBorders>
              <w:top w:val="nil"/>
              <w:left w:val="nil"/>
              <w:bottom w:val="single" w:sz="4" w:space="0" w:color="auto"/>
              <w:right w:val="single" w:sz="4" w:space="0" w:color="auto"/>
            </w:tcBorders>
            <w:shd w:val="clear" w:color="auto" w:fill="auto"/>
            <w:noWrap/>
            <w:vAlign w:val="bottom"/>
            <w:hideMark/>
          </w:tcPr>
          <w:p w14:paraId="6276DC28"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95.518,58</w:t>
            </w:r>
          </w:p>
        </w:tc>
        <w:tc>
          <w:tcPr>
            <w:tcW w:w="1559" w:type="dxa"/>
            <w:tcBorders>
              <w:top w:val="nil"/>
              <w:left w:val="nil"/>
              <w:bottom w:val="single" w:sz="4" w:space="0" w:color="auto"/>
              <w:right w:val="single" w:sz="4" w:space="0" w:color="auto"/>
            </w:tcBorders>
            <w:shd w:val="clear" w:color="auto" w:fill="auto"/>
            <w:noWrap/>
            <w:vAlign w:val="bottom"/>
            <w:hideMark/>
          </w:tcPr>
          <w:p w14:paraId="04E8E558"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69.049,57</w:t>
            </w:r>
          </w:p>
        </w:tc>
        <w:tc>
          <w:tcPr>
            <w:tcW w:w="1701" w:type="dxa"/>
            <w:tcBorders>
              <w:top w:val="nil"/>
              <w:left w:val="nil"/>
              <w:bottom w:val="single" w:sz="4" w:space="0" w:color="auto"/>
              <w:right w:val="single" w:sz="4" w:space="0" w:color="auto"/>
            </w:tcBorders>
            <w:shd w:val="clear" w:color="auto" w:fill="auto"/>
            <w:noWrap/>
            <w:vAlign w:val="bottom"/>
            <w:hideMark/>
          </w:tcPr>
          <w:p w14:paraId="75B30947"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5.754,13</w:t>
            </w:r>
          </w:p>
        </w:tc>
      </w:tr>
      <w:tr w:rsidR="006356F1" w:rsidRPr="00932D00" w14:paraId="7B62EA90"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419A22BF"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2016</w:t>
            </w:r>
          </w:p>
        </w:tc>
        <w:tc>
          <w:tcPr>
            <w:tcW w:w="1134" w:type="dxa"/>
            <w:tcBorders>
              <w:top w:val="nil"/>
              <w:left w:val="nil"/>
              <w:bottom w:val="single" w:sz="4" w:space="0" w:color="auto"/>
              <w:right w:val="single" w:sz="4" w:space="0" w:color="auto"/>
            </w:tcBorders>
            <w:shd w:val="clear" w:color="auto" w:fill="auto"/>
            <w:noWrap/>
            <w:vAlign w:val="bottom"/>
            <w:hideMark/>
          </w:tcPr>
          <w:p w14:paraId="5133E38F"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1.469.424,19</w:t>
            </w:r>
          </w:p>
        </w:tc>
        <w:tc>
          <w:tcPr>
            <w:tcW w:w="1134" w:type="dxa"/>
            <w:tcBorders>
              <w:top w:val="nil"/>
              <w:left w:val="nil"/>
              <w:bottom w:val="single" w:sz="4" w:space="0" w:color="auto"/>
              <w:right w:val="single" w:sz="4" w:space="0" w:color="auto"/>
            </w:tcBorders>
            <w:shd w:val="clear" w:color="auto" w:fill="auto"/>
            <w:noWrap/>
            <w:vAlign w:val="bottom"/>
            <w:hideMark/>
          </w:tcPr>
          <w:p w14:paraId="4EADCD8C"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1.022.636,64</w:t>
            </w:r>
          </w:p>
        </w:tc>
        <w:tc>
          <w:tcPr>
            <w:tcW w:w="1134" w:type="dxa"/>
            <w:tcBorders>
              <w:top w:val="nil"/>
              <w:left w:val="nil"/>
              <w:bottom w:val="single" w:sz="4" w:space="0" w:color="auto"/>
              <w:right w:val="single" w:sz="4" w:space="0" w:color="auto"/>
            </w:tcBorders>
            <w:shd w:val="clear" w:color="auto" w:fill="auto"/>
            <w:noWrap/>
            <w:vAlign w:val="bottom"/>
            <w:hideMark/>
          </w:tcPr>
          <w:p w14:paraId="7CB36393"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1.215.553,03</w:t>
            </w:r>
          </w:p>
        </w:tc>
        <w:tc>
          <w:tcPr>
            <w:tcW w:w="1134" w:type="dxa"/>
            <w:tcBorders>
              <w:top w:val="nil"/>
              <w:left w:val="nil"/>
              <w:bottom w:val="single" w:sz="4" w:space="0" w:color="auto"/>
              <w:right w:val="single" w:sz="4" w:space="0" w:color="auto"/>
            </w:tcBorders>
            <w:shd w:val="clear" w:color="auto" w:fill="auto"/>
            <w:noWrap/>
            <w:vAlign w:val="bottom"/>
            <w:hideMark/>
          </w:tcPr>
          <w:p w14:paraId="08FFF7F1"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122.452,02</w:t>
            </w:r>
          </w:p>
        </w:tc>
        <w:tc>
          <w:tcPr>
            <w:tcW w:w="1134" w:type="dxa"/>
            <w:tcBorders>
              <w:top w:val="nil"/>
              <w:left w:val="nil"/>
              <w:bottom w:val="single" w:sz="4" w:space="0" w:color="auto"/>
              <w:right w:val="single" w:sz="4" w:space="0" w:color="auto"/>
            </w:tcBorders>
            <w:shd w:val="clear" w:color="auto" w:fill="auto"/>
            <w:noWrap/>
            <w:vAlign w:val="bottom"/>
            <w:hideMark/>
          </w:tcPr>
          <w:p w14:paraId="5ED77DA4"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85.219,72</w:t>
            </w:r>
          </w:p>
        </w:tc>
        <w:tc>
          <w:tcPr>
            <w:tcW w:w="993" w:type="dxa"/>
            <w:tcBorders>
              <w:top w:val="nil"/>
              <w:left w:val="nil"/>
              <w:bottom w:val="single" w:sz="4" w:space="0" w:color="auto"/>
              <w:right w:val="single" w:sz="4" w:space="0" w:color="auto"/>
            </w:tcBorders>
            <w:shd w:val="clear" w:color="auto" w:fill="auto"/>
            <w:noWrap/>
            <w:vAlign w:val="bottom"/>
            <w:hideMark/>
          </w:tcPr>
          <w:p w14:paraId="0BFBD30D"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101.296,09</w:t>
            </w:r>
          </w:p>
        </w:tc>
        <w:tc>
          <w:tcPr>
            <w:tcW w:w="1559" w:type="dxa"/>
            <w:tcBorders>
              <w:top w:val="nil"/>
              <w:left w:val="nil"/>
              <w:bottom w:val="single" w:sz="4" w:space="0" w:color="auto"/>
              <w:right w:val="single" w:sz="4" w:space="0" w:color="auto"/>
            </w:tcBorders>
            <w:shd w:val="clear" w:color="auto" w:fill="auto"/>
            <w:noWrap/>
            <w:vAlign w:val="bottom"/>
            <w:hideMark/>
          </w:tcPr>
          <w:p w14:paraId="56DC3E5D"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73.226,09</w:t>
            </w:r>
          </w:p>
        </w:tc>
        <w:tc>
          <w:tcPr>
            <w:tcW w:w="1701" w:type="dxa"/>
            <w:tcBorders>
              <w:top w:val="nil"/>
              <w:left w:val="nil"/>
              <w:bottom w:val="single" w:sz="4" w:space="0" w:color="auto"/>
              <w:right w:val="single" w:sz="4" w:space="0" w:color="auto"/>
            </w:tcBorders>
            <w:shd w:val="clear" w:color="auto" w:fill="auto"/>
            <w:noWrap/>
            <w:vAlign w:val="bottom"/>
            <w:hideMark/>
          </w:tcPr>
          <w:p w14:paraId="5A5148CE"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6.102,17</w:t>
            </w:r>
          </w:p>
        </w:tc>
      </w:tr>
      <w:tr w:rsidR="006356F1" w:rsidRPr="00932D00" w14:paraId="14C79C1C" w14:textId="77777777" w:rsidTr="00217400">
        <w:trPr>
          <w:trHeight w:val="40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1CCD8D73" w14:textId="77777777" w:rsidR="006356F1" w:rsidRPr="00932D00" w:rsidRDefault="006356F1" w:rsidP="00217400">
            <w:pPr>
              <w:jc w:val="center"/>
              <w:rPr>
                <w:rFonts w:ascii="Calibri" w:hAnsi="Calibri" w:cs="Calibri"/>
                <w:color w:val="000000"/>
                <w:sz w:val="16"/>
                <w:szCs w:val="22"/>
              </w:rPr>
            </w:pPr>
            <w:r w:rsidRPr="00932D00">
              <w:rPr>
                <w:rFonts w:ascii="Calibri" w:hAnsi="Calibri" w:cs="Calibri"/>
                <w:color w:val="000000"/>
                <w:sz w:val="16"/>
                <w:szCs w:val="22"/>
              </w:rPr>
              <w:t>2017</w:t>
            </w:r>
          </w:p>
        </w:tc>
        <w:tc>
          <w:tcPr>
            <w:tcW w:w="1134" w:type="dxa"/>
            <w:tcBorders>
              <w:top w:val="nil"/>
              <w:left w:val="nil"/>
              <w:bottom w:val="single" w:sz="4" w:space="0" w:color="auto"/>
              <w:right w:val="single" w:sz="4" w:space="0" w:color="auto"/>
            </w:tcBorders>
            <w:shd w:val="clear" w:color="auto" w:fill="auto"/>
            <w:noWrap/>
            <w:vAlign w:val="bottom"/>
            <w:hideMark/>
          </w:tcPr>
          <w:p w14:paraId="14B8476D"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1.425.888,69</w:t>
            </w:r>
          </w:p>
        </w:tc>
        <w:tc>
          <w:tcPr>
            <w:tcW w:w="1134" w:type="dxa"/>
            <w:tcBorders>
              <w:top w:val="nil"/>
              <w:left w:val="nil"/>
              <w:bottom w:val="single" w:sz="4" w:space="0" w:color="auto"/>
              <w:right w:val="single" w:sz="4" w:space="0" w:color="auto"/>
            </w:tcBorders>
            <w:shd w:val="clear" w:color="auto" w:fill="auto"/>
            <w:noWrap/>
            <w:vAlign w:val="bottom"/>
            <w:hideMark/>
          </w:tcPr>
          <w:p w14:paraId="7C98E17B"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1.006.240,72</w:t>
            </w:r>
          </w:p>
        </w:tc>
        <w:tc>
          <w:tcPr>
            <w:tcW w:w="1134" w:type="dxa"/>
            <w:tcBorders>
              <w:top w:val="nil"/>
              <w:left w:val="nil"/>
              <w:bottom w:val="single" w:sz="4" w:space="0" w:color="auto"/>
              <w:right w:val="single" w:sz="4" w:space="0" w:color="auto"/>
            </w:tcBorders>
            <w:shd w:val="clear" w:color="auto" w:fill="auto"/>
            <w:noWrap/>
            <w:vAlign w:val="bottom"/>
            <w:hideMark/>
          </w:tcPr>
          <w:p w14:paraId="100F376E"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1.187.204,84</w:t>
            </w:r>
          </w:p>
        </w:tc>
        <w:tc>
          <w:tcPr>
            <w:tcW w:w="1134" w:type="dxa"/>
            <w:tcBorders>
              <w:top w:val="nil"/>
              <w:left w:val="nil"/>
              <w:bottom w:val="single" w:sz="4" w:space="0" w:color="auto"/>
              <w:right w:val="single" w:sz="4" w:space="0" w:color="auto"/>
            </w:tcBorders>
            <w:shd w:val="clear" w:color="auto" w:fill="auto"/>
            <w:noWrap/>
            <w:vAlign w:val="bottom"/>
            <w:hideMark/>
          </w:tcPr>
          <w:p w14:paraId="32CE214C"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118.824,06</w:t>
            </w:r>
          </w:p>
        </w:tc>
        <w:tc>
          <w:tcPr>
            <w:tcW w:w="1134" w:type="dxa"/>
            <w:tcBorders>
              <w:top w:val="nil"/>
              <w:left w:val="nil"/>
              <w:bottom w:val="single" w:sz="4" w:space="0" w:color="auto"/>
              <w:right w:val="single" w:sz="4" w:space="0" w:color="auto"/>
            </w:tcBorders>
            <w:shd w:val="clear" w:color="auto" w:fill="auto"/>
            <w:noWrap/>
            <w:vAlign w:val="bottom"/>
            <w:hideMark/>
          </w:tcPr>
          <w:p w14:paraId="28E02C24"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83.853,39</w:t>
            </w:r>
          </w:p>
        </w:tc>
        <w:tc>
          <w:tcPr>
            <w:tcW w:w="993" w:type="dxa"/>
            <w:tcBorders>
              <w:top w:val="nil"/>
              <w:left w:val="nil"/>
              <w:bottom w:val="single" w:sz="4" w:space="0" w:color="auto"/>
              <w:right w:val="single" w:sz="4" w:space="0" w:color="auto"/>
            </w:tcBorders>
            <w:shd w:val="clear" w:color="auto" w:fill="auto"/>
            <w:noWrap/>
            <w:vAlign w:val="bottom"/>
            <w:hideMark/>
          </w:tcPr>
          <w:p w14:paraId="3B0A1827"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98.933,74</w:t>
            </w:r>
          </w:p>
        </w:tc>
        <w:tc>
          <w:tcPr>
            <w:tcW w:w="1559" w:type="dxa"/>
            <w:tcBorders>
              <w:top w:val="nil"/>
              <w:left w:val="nil"/>
              <w:bottom w:val="single" w:sz="4" w:space="0" w:color="auto"/>
              <w:right w:val="single" w:sz="4" w:space="0" w:color="auto"/>
            </w:tcBorders>
            <w:shd w:val="clear" w:color="auto" w:fill="auto"/>
            <w:noWrap/>
            <w:vAlign w:val="bottom"/>
            <w:hideMark/>
          </w:tcPr>
          <w:p w14:paraId="0D4D570E"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71.518,36</w:t>
            </w:r>
          </w:p>
        </w:tc>
        <w:tc>
          <w:tcPr>
            <w:tcW w:w="1701" w:type="dxa"/>
            <w:tcBorders>
              <w:top w:val="nil"/>
              <w:left w:val="nil"/>
              <w:bottom w:val="single" w:sz="4" w:space="0" w:color="auto"/>
              <w:right w:val="single" w:sz="4" w:space="0" w:color="auto"/>
            </w:tcBorders>
            <w:shd w:val="clear" w:color="auto" w:fill="auto"/>
            <w:noWrap/>
            <w:vAlign w:val="bottom"/>
            <w:hideMark/>
          </w:tcPr>
          <w:p w14:paraId="6B11611E" w14:textId="77777777" w:rsidR="006356F1" w:rsidRPr="00932D00" w:rsidRDefault="006356F1" w:rsidP="00217400">
            <w:pPr>
              <w:jc w:val="right"/>
              <w:rPr>
                <w:rFonts w:ascii="Calibri" w:hAnsi="Calibri" w:cs="Calibri"/>
                <w:color w:val="000000"/>
                <w:sz w:val="16"/>
                <w:szCs w:val="22"/>
              </w:rPr>
            </w:pPr>
            <w:r w:rsidRPr="00932D00">
              <w:rPr>
                <w:rFonts w:ascii="Calibri" w:hAnsi="Calibri" w:cs="Calibri"/>
                <w:color w:val="000000"/>
                <w:sz w:val="16"/>
                <w:szCs w:val="22"/>
              </w:rPr>
              <w:t>5.959,86</w:t>
            </w:r>
          </w:p>
        </w:tc>
      </w:tr>
      <w:tr w:rsidR="006356F1" w:rsidRPr="00932D00" w14:paraId="0A2C7188" w14:textId="77777777" w:rsidTr="00217400">
        <w:trPr>
          <w:trHeight w:val="300"/>
        </w:trPr>
        <w:tc>
          <w:tcPr>
            <w:tcW w:w="10774" w:type="dxa"/>
            <w:gridSpan w:val="9"/>
            <w:vMerge w:val="restart"/>
            <w:tcBorders>
              <w:top w:val="single" w:sz="4" w:space="0" w:color="auto"/>
              <w:left w:val="nil"/>
              <w:bottom w:val="nil"/>
              <w:right w:val="nil"/>
            </w:tcBorders>
            <w:shd w:val="clear" w:color="auto" w:fill="auto"/>
            <w:hideMark/>
          </w:tcPr>
          <w:p w14:paraId="48BC9A57" w14:textId="77777777" w:rsidR="006356F1" w:rsidRDefault="006356F1" w:rsidP="00217400">
            <w:pPr>
              <w:rPr>
                <w:rFonts w:ascii="Calibri" w:hAnsi="Calibri" w:cs="Calibri"/>
                <w:color w:val="000000"/>
                <w:sz w:val="16"/>
                <w:szCs w:val="16"/>
              </w:rPr>
            </w:pPr>
            <w:r w:rsidRPr="00932D00">
              <w:rPr>
                <w:rFonts w:ascii="Calibri" w:hAnsi="Calibri" w:cs="Calibri"/>
                <w:color w:val="000000"/>
                <w:sz w:val="16"/>
                <w:szCs w:val="16"/>
              </w:rPr>
              <w:t>Fonte: Para benefício Secretaria de Indústria e Comércio e RAIS pra emprego</w:t>
            </w:r>
            <w:r w:rsidRPr="00932D00">
              <w:rPr>
                <w:rFonts w:ascii="Calibri" w:hAnsi="Calibri" w:cs="Calibri"/>
                <w:color w:val="000000"/>
                <w:sz w:val="16"/>
                <w:szCs w:val="16"/>
              </w:rPr>
              <w:br/>
              <w:t>*Para se estimar esses valores adotou-se a média de 16,6 anos das 340 empresas que continham data de início e fim de fruição.</w:t>
            </w:r>
          </w:p>
          <w:p w14:paraId="0679CFFB" w14:textId="77777777" w:rsidR="006356F1" w:rsidRPr="00932D00" w:rsidRDefault="006356F1" w:rsidP="00217400">
            <w:pPr>
              <w:rPr>
                <w:rFonts w:ascii="Calibri" w:hAnsi="Calibri" w:cs="Calibri"/>
                <w:color w:val="000000"/>
                <w:sz w:val="16"/>
                <w:szCs w:val="16"/>
              </w:rPr>
            </w:pPr>
            <w:r w:rsidRPr="00932D00">
              <w:rPr>
                <w:rFonts w:ascii="Calibri" w:hAnsi="Calibri" w:cs="Calibri"/>
                <w:color w:val="000000"/>
                <w:sz w:val="16"/>
                <w:szCs w:val="16"/>
              </w:rPr>
              <w:t>Obs.: 1) Rendimento médio em Goiás no ano de 2017 foi de R$ 2.466,59</w:t>
            </w:r>
          </w:p>
        </w:tc>
      </w:tr>
      <w:tr w:rsidR="006356F1" w:rsidRPr="00932D00" w14:paraId="79829806" w14:textId="77777777" w:rsidTr="00217400">
        <w:trPr>
          <w:trHeight w:val="274"/>
        </w:trPr>
        <w:tc>
          <w:tcPr>
            <w:tcW w:w="10774" w:type="dxa"/>
            <w:gridSpan w:val="9"/>
            <w:vMerge/>
            <w:tcBorders>
              <w:top w:val="single" w:sz="4" w:space="0" w:color="auto"/>
              <w:left w:val="nil"/>
              <w:bottom w:val="nil"/>
              <w:right w:val="nil"/>
            </w:tcBorders>
            <w:vAlign w:val="center"/>
            <w:hideMark/>
          </w:tcPr>
          <w:p w14:paraId="660C1B5C" w14:textId="77777777" w:rsidR="006356F1" w:rsidRPr="00932D00" w:rsidRDefault="006356F1" w:rsidP="00217400">
            <w:pPr>
              <w:rPr>
                <w:rFonts w:ascii="Calibri" w:hAnsi="Calibri" w:cs="Calibri"/>
                <w:color w:val="000000"/>
                <w:sz w:val="16"/>
                <w:szCs w:val="16"/>
              </w:rPr>
            </w:pPr>
          </w:p>
        </w:tc>
      </w:tr>
      <w:tr w:rsidR="006356F1" w:rsidRPr="00932D00" w14:paraId="35393386" w14:textId="77777777" w:rsidTr="00217400">
        <w:trPr>
          <w:trHeight w:val="274"/>
        </w:trPr>
        <w:tc>
          <w:tcPr>
            <w:tcW w:w="10774" w:type="dxa"/>
            <w:gridSpan w:val="9"/>
            <w:vMerge/>
            <w:tcBorders>
              <w:top w:val="single" w:sz="4" w:space="0" w:color="auto"/>
              <w:left w:val="nil"/>
              <w:bottom w:val="nil"/>
              <w:right w:val="nil"/>
            </w:tcBorders>
            <w:vAlign w:val="center"/>
            <w:hideMark/>
          </w:tcPr>
          <w:p w14:paraId="220F04D5" w14:textId="77777777" w:rsidR="006356F1" w:rsidRPr="00932D00" w:rsidRDefault="006356F1" w:rsidP="00217400">
            <w:pPr>
              <w:rPr>
                <w:rFonts w:ascii="Calibri" w:hAnsi="Calibri" w:cs="Calibri"/>
                <w:color w:val="000000"/>
                <w:sz w:val="16"/>
                <w:szCs w:val="16"/>
              </w:rPr>
            </w:pPr>
          </w:p>
        </w:tc>
      </w:tr>
    </w:tbl>
    <w:p w14:paraId="6E7A74D8" w14:textId="77777777" w:rsidR="006356F1" w:rsidRPr="00AB4B70" w:rsidRDefault="006356F1" w:rsidP="006356F1">
      <w:pPr>
        <w:ind w:left="2268"/>
        <w:jc w:val="both"/>
        <w:rPr>
          <w:rFonts w:ascii="Arial" w:hAnsi="Arial" w:cs="Arial"/>
          <w:sz w:val="22"/>
          <w:szCs w:val="24"/>
        </w:rPr>
      </w:pPr>
    </w:p>
    <w:p w14:paraId="6AE16226" w14:textId="77777777" w:rsidR="006356F1" w:rsidRPr="00AB4B70" w:rsidRDefault="006356F1" w:rsidP="006356F1">
      <w:pPr>
        <w:ind w:left="2268"/>
        <w:jc w:val="both"/>
        <w:rPr>
          <w:rFonts w:ascii="Arial" w:hAnsi="Arial" w:cs="Arial"/>
          <w:sz w:val="22"/>
          <w:szCs w:val="24"/>
        </w:rPr>
      </w:pPr>
      <w:r w:rsidRPr="00AB4B70">
        <w:rPr>
          <w:rFonts w:ascii="Arial" w:hAnsi="Arial" w:cs="Arial"/>
          <w:sz w:val="22"/>
          <w:szCs w:val="24"/>
        </w:rPr>
        <w:t>[...]</w:t>
      </w:r>
    </w:p>
    <w:p w14:paraId="637F4A5B" w14:textId="77777777" w:rsidR="006356F1" w:rsidRPr="00AB4B70" w:rsidRDefault="006356F1" w:rsidP="006356F1">
      <w:pPr>
        <w:ind w:left="2268"/>
        <w:jc w:val="both"/>
        <w:rPr>
          <w:rFonts w:ascii="Arial" w:hAnsi="Arial" w:cs="Arial"/>
          <w:sz w:val="22"/>
          <w:szCs w:val="24"/>
        </w:rPr>
      </w:pPr>
    </w:p>
    <w:p w14:paraId="25547D52" w14:textId="77777777" w:rsidR="006356F1" w:rsidRPr="00AB4B70" w:rsidRDefault="006356F1" w:rsidP="006356F1">
      <w:pPr>
        <w:ind w:left="2268"/>
        <w:jc w:val="both"/>
        <w:rPr>
          <w:rFonts w:ascii="Arial" w:hAnsi="Arial" w:cs="Arial"/>
          <w:sz w:val="22"/>
          <w:szCs w:val="24"/>
        </w:rPr>
      </w:pPr>
      <w:r w:rsidRPr="00AB4B70">
        <w:rPr>
          <w:rFonts w:ascii="Arial" w:hAnsi="Arial" w:cs="Arial"/>
          <w:sz w:val="22"/>
          <w:szCs w:val="24"/>
        </w:rPr>
        <w:t>Além disso, para melhorar a informação, classificaram-se os empregos pelas empresas conforme atividade econômica. Tal informação consta no gráfico a seguir (Gráfico 8).</w:t>
      </w:r>
    </w:p>
    <w:p w14:paraId="35587AB9" w14:textId="77777777" w:rsidR="006356F1" w:rsidRPr="00AB4B70" w:rsidRDefault="006356F1" w:rsidP="006356F1">
      <w:pPr>
        <w:ind w:left="2268"/>
        <w:jc w:val="both"/>
        <w:rPr>
          <w:rFonts w:ascii="Arial" w:hAnsi="Arial" w:cs="Arial"/>
          <w:sz w:val="22"/>
          <w:szCs w:val="24"/>
        </w:rPr>
      </w:pPr>
      <w:r w:rsidRPr="00F2023F">
        <w:rPr>
          <w:rFonts w:ascii="Arial" w:hAnsi="Arial" w:cs="Arial"/>
          <w:b/>
          <w:sz w:val="22"/>
          <w:szCs w:val="24"/>
        </w:rPr>
        <w:t>Tem-se que 38,1% dos empregos estão concentrados em 3 atividade: fabricação de álcool, fabricação de produtos de metal e abate de suínos, aves e outros pequenos animais</w:t>
      </w:r>
      <w:r w:rsidRPr="00AB4B70">
        <w:rPr>
          <w:rFonts w:ascii="Arial" w:hAnsi="Arial" w:cs="Arial"/>
          <w:sz w:val="22"/>
          <w:szCs w:val="24"/>
        </w:rPr>
        <w:t>.</w:t>
      </w:r>
    </w:p>
    <w:p w14:paraId="1E68CD12" w14:textId="77777777" w:rsidR="006356F1" w:rsidRPr="00AB4B70" w:rsidRDefault="006356F1" w:rsidP="006356F1">
      <w:pPr>
        <w:ind w:left="2268"/>
        <w:jc w:val="both"/>
        <w:rPr>
          <w:rFonts w:ascii="Arial" w:hAnsi="Arial" w:cs="Arial"/>
          <w:sz w:val="22"/>
          <w:szCs w:val="24"/>
        </w:rPr>
      </w:pPr>
      <w:r w:rsidRPr="00F2023F">
        <w:rPr>
          <w:rFonts w:ascii="Arial" w:hAnsi="Arial" w:cs="Arial"/>
          <w:b/>
          <w:sz w:val="22"/>
          <w:szCs w:val="24"/>
        </w:rPr>
        <w:t>A fabricação de álcool lidera a geração de empregos e condiz, como apontado na Tabela 15, com uma das atividades com boa geração de valor agregado</w:t>
      </w:r>
      <w:r w:rsidRPr="00AB4B70">
        <w:rPr>
          <w:rFonts w:ascii="Arial" w:hAnsi="Arial" w:cs="Arial"/>
          <w:sz w:val="22"/>
          <w:szCs w:val="24"/>
        </w:rPr>
        <w:t xml:space="preserve">. O mesmo vale para fabricação de produtos de metal. </w:t>
      </w:r>
      <w:r w:rsidRPr="00B40DBB">
        <w:rPr>
          <w:rFonts w:ascii="Arial" w:hAnsi="Arial" w:cs="Arial"/>
          <w:b/>
          <w:sz w:val="22"/>
          <w:szCs w:val="24"/>
        </w:rPr>
        <w:lastRenderedPageBreak/>
        <w:t>A 3º maior em geração de empregos - abate de suínos, aves e outros pequenos animais-, não é uma atividade com grande geração de valor agregado</w:t>
      </w:r>
      <w:r w:rsidRPr="00AB4B70">
        <w:rPr>
          <w:rFonts w:ascii="Arial" w:hAnsi="Arial" w:cs="Arial"/>
          <w:sz w:val="22"/>
          <w:szCs w:val="24"/>
        </w:rPr>
        <w:t xml:space="preserve"> (está contida na fabricação de produtos alimentícios). A fabricação de açúcar está correlacionada com as destilarias. Por fim, </w:t>
      </w:r>
      <w:r w:rsidRPr="00F2023F">
        <w:rPr>
          <w:rFonts w:ascii="Arial" w:hAnsi="Arial" w:cs="Arial"/>
          <w:b/>
          <w:sz w:val="22"/>
          <w:szCs w:val="24"/>
        </w:rPr>
        <w:t>a fabricação de medicamentos para uso humano é a 4ª maior em empregos e também é uma boa geradora de valor adicionado</w:t>
      </w:r>
      <w:r w:rsidRPr="00AB4B70">
        <w:rPr>
          <w:rFonts w:ascii="Arial" w:hAnsi="Arial" w:cs="Arial"/>
          <w:sz w:val="22"/>
          <w:szCs w:val="24"/>
        </w:rPr>
        <w:t>.</w:t>
      </w:r>
    </w:p>
    <w:p w14:paraId="358FF86B" w14:textId="77777777" w:rsidR="006356F1" w:rsidRPr="00AB4B70" w:rsidRDefault="006356F1" w:rsidP="006356F1">
      <w:pPr>
        <w:ind w:left="2268"/>
        <w:jc w:val="both"/>
        <w:rPr>
          <w:rFonts w:ascii="Arial" w:hAnsi="Arial" w:cs="Arial"/>
          <w:sz w:val="22"/>
          <w:szCs w:val="24"/>
        </w:rPr>
      </w:pPr>
      <w:r w:rsidRPr="00AB4B70">
        <w:rPr>
          <w:rFonts w:ascii="Arial" w:hAnsi="Arial" w:cs="Arial"/>
          <w:sz w:val="22"/>
          <w:szCs w:val="24"/>
        </w:rPr>
        <w:t xml:space="preserve">Assim, entre as atividades que tem participação acima de 5% dos empregos são, em sua maioria, também, atividade com grande agregação de valor. </w:t>
      </w:r>
      <w:r w:rsidRPr="00F2023F">
        <w:rPr>
          <w:rFonts w:ascii="Arial" w:hAnsi="Arial" w:cs="Arial"/>
          <w:b/>
          <w:sz w:val="22"/>
          <w:szCs w:val="24"/>
        </w:rPr>
        <w:t>Por outro lado, a atividade do setor automobilístico, que é a segunda que mais recebe benefício, é apenas o 11ª em geração de empregos diretos (Gráfico 7) e, além disso, é uma atividade que agrega menos valor na economia, relativamente</w:t>
      </w:r>
      <w:r w:rsidRPr="00AB4B70">
        <w:rPr>
          <w:rFonts w:ascii="Arial" w:hAnsi="Arial" w:cs="Arial"/>
          <w:sz w:val="22"/>
          <w:szCs w:val="24"/>
        </w:rPr>
        <w:t>.</w:t>
      </w:r>
    </w:p>
    <w:p w14:paraId="6F39E248" w14:textId="77777777" w:rsidR="006356F1" w:rsidRPr="00AB4B70" w:rsidRDefault="006356F1" w:rsidP="006356F1">
      <w:pPr>
        <w:ind w:left="2268"/>
        <w:jc w:val="both"/>
        <w:rPr>
          <w:rFonts w:ascii="Arial" w:hAnsi="Arial" w:cs="Arial"/>
          <w:sz w:val="22"/>
          <w:szCs w:val="24"/>
        </w:rPr>
      </w:pPr>
    </w:p>
    <w:p w14:paraId="1AAAD3F4" w14:textId="77777777" w:rsidR="006356F1" w:rsidRDefault="006356F1" w:rsidP="006356F1">
      <w:pPr>
        <w:spacing w:line="360" w:lineRule="auto"/>
        <w:jc w:val="both"/>
        <w:rPr>
          <w:rFonts w:ascii="Arial" w:hAnsi="Arial" w:cs="Arial"/>
          <w:sz w:val="24"/>
          <w:szCs w:val="24"/>
        </w:rPr>
      </w:pPr>
      <w:r>
        <w:rPr>
          <w:rFonts w:ascii="Arial" w:hAnsi="Arial" w:cs="Arial"/>
          <w:noProof/>
          <w:sz w:val="24"/>
          <w:szCs w:val="24"/>
        </w:rPr>
        <w:drawing>
          <wp:inline distT="0" distB="0" distL="0" distR="0" wp14:anchorId="0D913AB4" wp14:editId="1785C384">
            <wp:extent cx="5935980" cy="4368165"/>
            <wp:effectExtent l="0" t="0" r="762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mprego por atividade econômica.PNG"/>
                    <pic:cNvPicPr/>
                  </pic:nvPicPr>
                  <pic:blipFill>
                    <a:blip r:embed="rId97">
                      <a:extLst>
                        <a:ext uri="{28A0092B-C50C-407E-A947-70E740481C1C}">
                          <a14:useLocalDpi xmlns:a14="http://schemas.microsoft.com/office/drawing/2010/main" val="0"/>
                        </a:ext>
                      </a:extLst>
                    </a:blip>
                    <a:stretch>
                      <a:fillRect/>
                    </a:stretch>
                  </pic:blipFill>
                  <pic:spPr>
                    <a:xfrm>
                      <a:off x="0" y="0"/>
                      <a:ext cx="5935980" cy="4368165"/>
                    </a:xfrm>
                    <a:prstGeom prst="rect">
                      <a:avLst/>
                    </a:prstGeom>
                  </pic:spPr>
                </pic:pic>
              </a:graphicData>
            </a:graphic>
          </wp:inline>
        </w:drawing>
      </w:r>
    </w:p>
    <w:p w14:paraId="2691EB6B" w14:textId="77777777" w:rsidR="006356F1" w:rsidRPr="00AB4B70" w:rsidRDefault="006356F1" w:rsidP="006356F1">
      <w:pPr>
        <w:ind w:left="2268"/>
        <w:jc w:val="both"/>
        <w:rPr>
          <w:rFonts w:ascii="Arial" w:hAnsi="Arial" w:cs="Arial"/>
          <w:sz w:val="22"/>
          <w:szCs w:val="24"/>
        </w:rPr>
      </w:pPr>
    </w:p>
    <w:p w14:paraId="47012F0E" w14:textId="77777777" w:rsidR="006356F1" w:rsidRPr="00AB4B70" w:rsidRDefault="006356F1" w:rsidP="006356F1">
      <w:pPr>
        <w:ind w:left="2268"/>
        <w:jc w:val="both"/>
        <w:rPr>
          <w:rFonts w:ascii="Arial" w:hAnsi="Arial" w:cs="Arial"/>
          <w:sz w:val="22"/>
          <w:szCs w:val="24"/>
        </w:rPr>
      </w:pPr>
      <w:r w:rsidRPr="00AB4B70">
        <w:rPr>
          <w:rFonts w:ascii="Arial" w:hAnsi="Arial" w:cs="Arial"/>
          <w:sz w:val="22"/>
          <w:szCs w:val="24"/>
        </w:rPr>
        <w:t>Juntando-se as duas informações (benefícios concedidos e estoque de empregos) por atividade econômica das empresas nos programas, tem-se como o gráfico a seguir.</w:t>
      </w:r>
    </w:p>
    <w:p w14:paraId="1376F4FF" w14:textId="77777777" w:rsidR="006356F1" w:rsidRPr="00AB4B70" w:rsidRDefault="006356F1" w:rsidP="006356F1">
      <w:pPr>
        <w:ind w:left="2268"/>
        <w:jc w:val="both"/>
        <w:rPr>
          <w:rFonts w:ascii="Arial" w:hAnsi="Arial" w:cs="Arial"/>
          <w:sz w:val="22"/>
          <w:szCs w:val="24"/>
        </w:rPr>
      </w:pPr>
      <w:r w:rsidRPr="00AB4B70">
        <w:rPr>
          <w:rFonts w:ascii="Arial" w:hAnsi="Arial" w:cs="Arial"/>
          <w:sz w:val="22"/>
          <w:szCs w:val="24"/>
        </w:rPr>
        <w:t xml:space="preserve">Nota-se que há algumas disparidades nas proporções de benefícios e empregos nas atividades incentivadas como, por exemplo, a fabricação de automóveis; óleos vegetais em bruto; molhos e temperos; óleos vegetais finos; e maltes e chopes. Ou seja, muito benefício concedido frente ao emprego das empresas nessas atividades. Por outro lado, atividades como a de abate de animais, fabricação de medicamentos e </w:t>
      </w:r>
      <w:r w:rsidRPr="00AB4B70">
        <w:rPr>
          <w:rFonts w:ascii="Arial" w:hAnsi="Arial" w:cs="Arial"/>
          <w:sz w:val="22"/>
          <w:szCs w:val="24"/>
        </w:rPr>
        <w:lastRenderedPageBreak/>
        <w:t>sucroenergia têm um desempenho em empregos além da proporção dos benefícios recebidos.</w:t>
      </w:r>
    </w:p>
    <w:p w14:paraId="55A183FF" w14:textId="77777777" w:rsidR="006356F1" w:rsidRPr="00AB4B70" w:rsidRDefault="006356F1" w:rsidP="006356F1">
      <w:pPr>
        <w:ind w:left="2268"/>
        <w:jc w:val="both"/>
        <w:rPr>
          <w:rFonts w:ascii="Arial" w:hAnsi="Arial" w:cs="Arial"/>
          <w:sz w:val="22"/>
          <w:szCs w:val="24"/>
        </w:rPr>
      </w:pPr>
    </w:p>
    <w:p w14:paraId="3051B1AB" w14:textId="77777777" w:rsidR="006356F1" w:rsidRDefault="006356F1" w:rsidP="006356F1">
      <w:pPr>
        <w:spacing w:line="360" w:lineRule="auto"/>
        <w:jc w:val="both"/>
        <w:rPr>
          <w:rFonts w:ascii="Arial" w:hAnsi="Arial" w:cs="Arial"/>
          <w:sz w:val="24"/>
          <w:szCs w:val="24"/>
        </w:rPr>
      </w:pPr>
      <w:r>
        <w:rPr>
          <w:rFonts w:ascii="Arial" w:hAnsi="Arial" w:cs="Arial"/>
          <w:noProof/>
          <w:sz w:val="24"/>
          <w:szCs w:val="24"/>
        </w:rPr>
        <w:drawing>
          <wp:inline distT="0" distB="0" distL="0" distR="0" wp14:anchorId="01AA544E" wp14:editId="7E70F465">
            <wp:extent cx="5935980" cy="3418840"/>
            <wp:effectExtent l="0" t="0" r="762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enefício X Emprego.PNG"/>
                    <pic:cNvPicPr/>
                  </pic:nvPicPr>
                  <pic:blipFill>
                    <a:blip r:embed="rId98">
                      <a:extLst>
                        <a:ext uri="{28A0092B-C50C-407E-A947-70E740481C1C}">
                          <a14:useLocalDpi xmlns:a14="http://schemas.microsoft.com/office/drawing/2010/main" val="0"/>
                        </a:ext>
                      </a:extLst>
                    </a:blip>
                    <a:stretch>
                      <a:fillRect/>
                    </a:stretch>
                  </pic:blipFill>
                  <pic:spPr>
                    <a:xfrm>
                      <a:off x="0" y="0"/>
                      <a:ext cx="5935980" cy="3418840"/>
                    </a:xfrm>
                    <a:prstGeom prst="rect">
                      <a:avLst/>
                    </a:prstGeom>
                  </pic:spPr>
                </pic:pic>
              </a:graphicData>
            </a:graphic>
          </wp:inline>
        </w:drawing>
      </w:r>
    </w:p>
    <w:p w14:paraId="4919B367" w14:textId="77777777" w:rsidR="006356F1" w:rsidRPr="0006586B" w:rsidRDefault="006356F1" w:rsidP="006356F1">
      <w:pPr>
        <w:spacing w:line="360" w:lineRule="auto"/>
        <w:ind w:firstLine="851"/>
        <w:jc w:val="both"/>
        <w:rPr>
          <w:rFonts w:ascii="Arial" w:hAnsi="Arial" w:cs="Arial"/>
          <w:sz w:val="22"/>
          <w:szCs w:val="24"/>
        </w:rPr>
      </w:pPr>
    </w:p>
    <w:p w14:paraId="7A045ECA" w14:textId="77777777" w:rsidR="006356F1" w:rsidRPr="00AB4B70" w:rsidRDefault="006356F1" w:rsidP="006356F1">
      <w:pPr>
        <w:ind w:left="2268" w:firstLine="1"/>
        <w:jc w:val="both"/>
        <w:rPr>
          <w:rFonts w:ascii="Arial" w:hAnsi="Arial" w:cs="Arial"/>
          <w:sz w:val="22"/>
          <w:szCs w:val="24"/>
        </w:rPr>
      </w:pPr>
      <w:r w:rsidRPr="00AB4B70">
        <w:rPr>
          <w:rFonts w:ascii="Arial" w:hAnsi="Arial" w:cs="Arial"/>
          <w:sz w:val="22"/>
          <w:szCs w:val="24"/>
        </w:rPr>
        <w:t>Por fim, fez-se um filtro dos empregos nas atividades econômicas que mais empregam para verificar o comportamento dos empregos e o seu custo. O resultado está na tabela que segue (Tabela 16).</w:t>
      </w:r>
    </w:p>
    <w:p w14:paraId="14B56C90" w14:textId="77777777" w:rsidR="006356F1" w:rsidRPr="00AB4B70" w:rsidRDefault="006356F1" w:rsidP="006356F1">
      <w:pPr>
        <w:ind w:left="2268" w:firstLine="1"/>
        <w:jc w:val="both"/>
        <w:rPr>
          <w:rFonts w:ascii="Arial" w:hAnsi="Arial" w:cs="Arial"/>
          <w:sz w:val="22"/>
          <w:szCs w:val="24"/>
        </w:rPr>
      </w:pPr>
      <w:r w:rsidRPr="00AB4B70">
        <w:rPr>
          <w:rFonts w:ascii="Arial" w:hAnsi="Arial" w:cs="Arial"/>
          <w:sz w:val="22"/>
          <w:szCs w:val="24"/>
        </w:rPr>
        <w:t xml:space="preserve">Nota-se que </w:t>
      </w:r>
      <w:r w:rsidRPr="00F2023F">
        <w:rPr>
          <w:rFonts w:ascii="Arial" w:hAnsi="Arial" w:cs="Arial"/>
          <w:b/>
          <w:sz w:val="22"/>
          <w:szCs w:val="24"/>
        </w:rPr>
        <w:t>não há um padrão no desempenho tanto para quem está nos programas de incentivos quanto para quem está fora deles</w:t>
      </w:r>
      <w:r w:rsidRPr="00AB4B70">
        <w:rPr>
          <w:rFonts w:ascii="Arial" w:hAnsi="Arial" w:cs="Arial"/>
          <w:sz w:val="22"/>
          <w:szCs w:val="24"/>
        </w:rPr>
        <w:t>. Ou seja, hora o desempenho é melhor das que estão nos programas, hora de quem está fora deles.</w:t>
      </w:r>
    </w:p>
    <w:p w14:paraId="0F12897C" w14:textId="77777777" w:rsidR="006356F1" w:rsidRPr="00AB4B70" w:rsidRDefault="006356F1" w:rsidP="006356F1">
      <w:pPr>
        <w:ind w:left="2268" w:firstLine="1"/>
        <w:jc w:val="both"/>
        <w:rPr>
          <w:rFonts w:ascii="Arial" w:hAnsi="Arial" w:cs="Arial"/>
          <w:sz w:val="22"/>
          <w:szCs w:val="24"/>
        </w:rPr>
      </w:pPr>
      <w:r w:rsidRPr="00AB4B70">
        <w:rPr>
          <w:rFonts w:ascii="Arial" w:hAnsi="Arial" w:cs="Arial"/>
          <w:sz w:val="22"/>
          <w:szCs w:val="24"/>
        </w:rPr>
        <w:t>Outra observação é a média mais elevada da relação benefícios/empregos para a atividade de fabricação de produtos de metais[4]. A atividade de abate tem a menor relação benefício/custo.</w:t>
      </w:r>
    </w:p>
    <w:p w14:paraId="5531243A" w14:textId="77777777" w:rsidR="006356F1" w:rsidRPr="0006586B" w:rsidRDefault="006356F1" w:rsidP="006356F1">
      <w:pPr>
        <w:spacing w:line="360" w:lineRule="auto"/>
        <w:ind w:firstLine="851"/>
        <w:jc w:val="both"/>
        <w:rPr>
          <w:rFonts w:ascii="Arial" w:hAnsi="Arial" w:cs="Arial"/>
          <w:sz w:val="22"/>
          <w:szCs w:val="24"/>
        </w:rPr>
      </w:pPr>
    </w:p>
    <w:tbl>
      <w:tblPr>
        <w:tblW w:w="10774" w:type="dxa"/>
        <w:tblInd w:w="-1276" w:type="dxa"/>
        <w:tblCellMar>
          <w:left w:w="70" w:type="dxa"/>
          <w:right w:w="70" w:type="dxa"/>
        </w:tblCellMar>
        <w:tblLook w:val="04A0" w:firstRow="1" w:lastRow="0" w:firstColumn="1" w:lastColumn="0" w:noHBand="0" w:noVBand="1"/>
      </w:tblPr>
      <w:tblGrid>
        <w:gridCol w:w="3828"/>
        <w:gridCol w:w="1508"/>
        <w:gridCol w:w="1508"/>
        <w:gridCol w:w="1508"/>
        <w:gridCol w:w="1288"/>
        <w:gridCol w:w="1134"/>
      </w:tblGrid>
      <w:tr w:rsidR="006356F1" w:rsidRPr="00AF7897" w14:paraId="2AA56DF5" w14:textId="77777777" w:rsidTr="00217400">
        <w:trPr>
          <w:trHeight w:val="300"/>
        </w:trPr>
        <w:tc>
          <w:tcPr>
            <w:tcW w:w="10774" w:type="dxa"/>
            <w:gridSpan w:val="6"/>
            <w:tcBorders>
              <w:top w:val="nil"/>
              <w:left w:val="nil"/>
              <w:bottom w:val="nil"/>
              <w:right w:val="nil"/>
            </w:tcBorders>
            <w:shd w:val="clear" w:color="auto" w:fill="auto"/>
            <w:noWrap/>
            <w:vAlign w:val="bottom"/>
            <w:hideMark/>
          </w:tcPr>
          <w:p w14:paraId="5947982A" w14:textId="77777777" w:rsidR="006356F1" w:rsidRPr="00AF7897" w:rsidRDefault="006356F1" w:rsidP="00217400">
            <w:pPr>
              <w:rPr>
                <w:rFonts w:ascii="Calibri" w:hAnsi="Calibri" w:cs="Calibri"/>
                <w:bCs/>
                <w:color w:val="000000"/>
                <w:sz w:val="18"/>
                <w:szCs w:val="22"/>
              </w:rPr>
            </w:pPr>
            <w:r w:rsidRPr="00AF7897">
              <w:rPr>
                <w:rFonts w:ascii="Calibri" w:hAnsi="Calibri" w:cs="Calibri"/>
                <w:bCs/>
                <w:color w:val="000000"/>
                <w:sz w:val="18"/>
                <w:szCs w:val="22"/>
              </w:rPr>
              <w:t>Tabela 16- Informações das principais atividades econômicas empregadoras</w:t>
            </w:r>
          </w:p>
        </w:tc>
      </w:tr>
      <w:tr w:rsidR="006356F1" w:rsidRPr="00AF7897" w14:paraId="67828327" w14:textId="77777777" w:rsidTr="00217400">
        <w:trPr>
          <w:trHeight w:val="60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81CA8" w14:textId="77777777" w:rsidR="006356F1" w:rsidRPr="00AF7897" w:rsidRDefault="006356F1" w:rsidP="00217400">
            <w:pPr>
              <w:jc w:val="center"/>
              <w:rPr>
                <w:rFonts w:ascii="Calibri" w:hAnsi="Calibri" w:cs="Calibri"/>
                <w:b/>
                <w:bCs/>
                <w:color w:val="000000"/>
                <w:sz w:val="18"/>
                <w:szCs w:val="22"/>
              </w:rPr>
            </w:pPr>
            <w:r w:rsidRPr="00AF7897">
              <w:rPr>
                <w:rFonts w:ascii="Calibri" w:hAnsi="Calibri" w:cs="Calibri"/>
                <w:b/>
                <w:bCs/>
                <w:color w:val="000000"/>
                <w:sz w:val="18"/>
                <w:szCs w:val="22"/>
              </w:rPr>
              <w:t>Atividade econômica (CNAE)</w:t>
            </w:r>
          </w:p>
        </w:tc>
        <w:tc>
          <w:tcPr>
            <w:tcW w:w="1508" w:type="dxa"/>
            <w:tcBorders>
              <w:top w:val="single" w:sz="4" w:space="0" w:color="auto"/>
              <w:left w:val="nil"/>
              <w:bottom w:val="single" w:sz="4" w:space="0" w:color="auto"/>
              <w:right w:val="single" w:sz="4" w:space="0" w:color="auto"/>
            </w:tcBorders>
            <w:shd w:val="clear" w:color="auto" w:fill="auto"/>
            <w:noWrap/>
            <w:vAlign w:val="center"/>
            <w:hideMark/>
          </w:tcPr>
          <w:p w14:paraId="45F02BE7" w14:textId="77777777" w:rsidR="006356F1" w:rsidRPr="00AF7897" w:rsidRDefault="006356F1" w:rsidP="00217400">
            <w:pPr>
              <w:jc w:val="center"/>
              <w:rPr>
                <w:rFonts w:ascii="Calibri" w:hAnsi="Calibri" w:cs="Calibri"/>
                <w:b/>
                <w:bCs/>
                <w:color w:val="000000"/>
                <w:sz w:val="18"/>
                <w:szCs w:val="22"/>
              </w:rPr>
            </w:pPr>
            <w:r w:rsidRPr="00AF7897">
              <w:rPr>
                <w:rFonts w:ascii="Calibri" w:hAnsi="Calibri" w:cs="Calibri"/>
                <w:b/>
                <w:bCs/>
                <w:color w:val="000000"/>
                <w:sz w:val="18"/>
                <w:szCs w:val="22"/>
              </w:rPr>
              <w:t>2014</w:t>
            </w:r>
          </w:p>
        </w:tc>
        <w:tc>
          <w:tcPr>
            <w:tcW w:w="1508" w:type="dxa"/>
            <w:tcBorders>
              <w:top w:val="single" w:sz="4" w:space="0" w:color="auto"/>
              <w:left w:val="nil"/>
              <w:bottom w:val="single" w:sz="4" w:space="0" w:color="auto"/>
              <w:right w:val="single" w:sz="4" w:space="0" w:color="auto"/>
            </w:tcBorders>
            <w:shd w:val="clear" w:color="auto" w:fill="auto"/>
            <w:noWrap/>
            <w:vAlign w:val="center"/>
            <w:hideMark/>
          </w:tcPr>
          <w:p w14:paraId="29D112B6" w14:textId="77777777" w:rsidR="006356F1" w:rsidRPr="00AF7897" w:rsidRDefault="006356F1" w:rsidP="00217400">
            <w:pPr>
              <w:jc w:val="center"/>
              <w:rPr>
                <w:rFonts w:ascii="Calibri" w:hAnsi="Calibri" w:cs="Calibri"/>
                <w:b/>
                <w:bCs/>
                <w:color w:val="000000"/>
                <w:sz w:val="18"/>
                <w:szCs w:val="22"/>
              </w:rPr>
            </w:pPr>
            <w:r w:rsidRPr="00AF7897">
              <w:rPr>
                <w:rFonts w:ascii="Calibri" w:hAnsi="Calibri" w:cs="Calibri"/>
                <w:b/>
                <w:bCs/>
                <w:color w:val="000000"/>
                <w:sz w:val="18"/>
                <w:szCs w:val="22"/>
              </w:rPr>
              <w:t>2015</w:t>
            </w:r>
          </w:p>
        </w:tc>
        <w:tc>
          <w:tcPr>
            <w:tcW w:w="1508" w:type="dxa"/>
            <w:tcBorders>
              <w:top w:val="single" w:sz="4" w:space="0" w:color="auto"/>
              <w:left w:val="nil"/>
              <w:bottom w:val="single" w:sz="4" w:space="0" w:color="auto"/>
              <w:right w:val="single" w:sz="4" w:space="0" w:color="auto"/>
            </w:tcBorders>
            <w:shd w:val="clear" w:color="auto" w:fill="auto"/>
            <w:noWrap/>
            <w:vAlign w:val="center"/>
            <w:hideMark/>
          </w:tcPr>
          <w:p w14:paraId="54C7A922" w14:textId="77777777" w:rsidR="006356F1" w:rsidRPr="00AF7897" w:rsidRDefault="006356F1" w:rsidP="00217400">
            <w:pPr>
              <w:jc w:val="center"/>
              <w:rPr>
                <w:rFonts w:ascii="Calibri" w:hAnsi="Calibri" w:cs="Calibri"/>
                <w:b/>
                <w:bCs/>
                <w:color w:val="000000"/>
                <w:sz w:val="18"/>
                <w:szCs w:val="22"/>
              </w:rPr>
            </w:pPr>
            <w:r w:rsidRPr="00AF7897">
              <w:rPr>
                <w:rFonts w:ascii="Calibri" w:hAnsi="Calibri" w:cs="Calibri"/>
                <w:b/>
                <w:bCs/>
                <w:color w:val="000000"/>
                <w:sz w:val="18"/>
                <w:szCs w:val="22"/>
              </w:rPr>
              <w:t>2016</w:t>
            </w:r>
          </w:p>
        </w:tc>
        <w:tc>
          <w:tcPr>
            <w:tcW w:w="1288" w:type="dxa"/>
            <w:tcBorders>
              <w:top w:val="single" w:sz="4" w:space="0" w:color="auto"/>
              <w:left w:val="nil"/>
              <w:bottom w:val="single" w:sz="4" w:space="0" w:color="auto"/>
              <w:right w:val="single" w:sz="4" w:space="0" w:color="auto"/>
            </w:tcBorders>
            <w:shd w:val="clear" w:color="auto" w:fill="auto"/>
            <w:vAlign w:val="center"/>
            <w:hideMark/>
          </w:tcPr>
          <w:p w14:paraId="0AB04F1A" w14:textId="77777777" w:rsidR="006356F1" w:rsidRPr="00AF7897" w:rsidRDefault="006356F1" w:rsidP="00217400">
            <w:pPr>
              <w:jc w:val="center"/>
              <w:rPr>
                <w:rFonts w:ascii="Calibri" w:hAnsi="Calibri" w:cs="Calibri"/>
                <w:b/>
                <w:bCs/>
                <w:color w:val="000000"/>
                <w:sz w:val="18"/>
                <w:szCs w:val="22"/>
              </w:rPr>
            </w:pPr>
            <w:r w:rsidRPr="00AF7897">
              <w:rPr>
                <w:rFonts w:ascii="Calibri" w:hAnsi="Calibri" w:cs="Calibri"/>
                <w:b/>
                <w:bCs/>
                <w:color w:val="000000"/>
                <w:sz w:val="18"/>
                <w:szCs w:val="22"/>
              </w:rPr>
              <w:t>Var.% (2014/2015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8D75271" w14:textId="77777777" w:rsidR="006356F1" w:rsidRPr="00AF7897" w:rsidRDefault="006356F1" w:rsidP="00217400">
            <w:pPr>
              <w:jc w:val="center"/>
              <w:rPr>
                <w:rFonts w:ascii="Calibri" w:hAnsi="Calibri" w:cs="Calibri"/>
                <w:b/>
                <w:bCs/>
                <w:color w:val="000000"/>
                <w:sz w:val="18"/>
                <w:szCs w:val="22"/>
              </w:rPr>
            </w:pPr>
            <w:r w:rsidRPr="00AF7897">
              <w:rPr>
                <w:rFonts w:ascii="Calibri" w:hAnsi="Calibri" w:cs="Calibri"/>
                <w:b/>
                <w:bCs/>
                <w:color w:val="000000"/>
                <w:sz w:val="18"/>
                <w:szCs w:val="22"/>
              </w:rPr>
              <w:t>Var.% (2015/2016</w:t>
            </w:r>
          </w:p>
        </w:tc>
      </w:tr>
      <w:tr w:rsidR="006356F1" w:rsidRPr="00AF7897" w14:paraId="74652625"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14EE61A9" w14:textId="77777777" w:rsidR="006356F1" w:rsidRPr="00AF7897" w:rsidRDefault="006356F1" w:rsidP="00217400">
            <w:pPr>
              <w:rPr>
                <w:rFonts w:ascii="Calibri" w:hAnsi="Calibri" w:cs="Calibri"/>
                <w:b/>
                <w:bCs/>
                <w:color w:val="000000"/>
                <w:sz w:val="18"/>
                <w:szCs w:val="24"/>
              </w:rPr>
            </w:pPr>
            <w:r w:rsidRPr="00AF7897">
              <w:rPr>
                <w:rFonts w:ascii="Calibri" w:hAnsi="Calibri" w:cs="Calibri"/>
                <w:b/>
                <w:bCs/>
                <w:color w:val="000000"/>
                <w:sz w:val="18"/>
                <w:szCs w:val="24"/>
              </w:rPr>
              <w:t>Abate de suínos, aves e outros pequenos animais</w:t>
            </w:r>
          </w:p>
        </w:tc>
        <w:tc>
          <w:tcPr>
            <w:tcW w:w="1508" w:type="dxa"/>
            <w:tcBorders>
              <w:top w:val="nil"/>
              <w:left w:val="nil"/>
              <w:bottom w:val="single" w:sz="4" w:space="0" w:color="auto"/>
              <w:right w:val="single" w:sz="4" w:space="0" w:color="auto"/>
            </w:tcBorders>
            <w:shd w:val="clear" w:color="auto" w:fill="auto"/>
            <w:noWrap/>
            <w:vAlign w:val="bottom"/>
            <w:hideMark/>
          </w:tcPr>
          <w:p w14:paraId="182558DA" w14:textId="77777777" w:rsidR="006356F1" w:rsidRPr="00AF7897" w:rsidRDefault="006356F1" w:rsidP="00217400">
            <w:pPr>
              <w:rPr>
                <w:rFonts w:ascii="Calibri" w:hAnsi="Calibri" w:cs="Calibri"/>
                <w:b/>
                <w:bCs/>
                <w:color w:val="000000"/>
                <w:sz w:val="18"/>
                <w:szCs w:val="22"/>
              </w:rPr>
            </w:pPr>
            <w:r w:rsidRPr="00AF7897">
              <w:rPr>
                <w:rFonts w:ascii="Calibri" w:hAnsi="Calibri" w:cs="Calibri"/>
                <w:b/>
                <w:bCs/>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6BCE6F78" w14:textId="77777777" w:rsidR="006356F1" w:rsidRPr="00AF7897" w:rsidRDefault="006356F1" w:rsidP="00217400">
            <w:pPr>
              <w:rPr>
                <w:rFonts w:ascii="Calibri" w:hAnsi="Calibri" w:cs="Calibri"/>
                <w:b/>
                <w:bCs/>
                <w:color w:val="000000"/>
                <w:sz w:val="18"/>
                <w:szCs w:val="22"/>
              </w:rPr>
            </w:pPr>
            <w:r w:rsidRPr="00AF7897">
              <w:rPr>
                <w:rFonts w:ascii="Calibri" w:hAnsi="Calibri" w:cs="Calibri"/>
                <w:b/>
                <w:bCs/>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69974B59" w14:textId="77777777" w:rsidR="006356F1" w:rsidRPr="00AF7897" w:rsidRDefault="006356F1" w:rsidP="00217400">
            <w:pPr>
              <w:rPr>
                <w:rFonts w:ascii="Calibri" w:hAnsi="Calibri" w:cs="Calibri"/>
                <w:b/>
                <w:bCs/>
                <w:color w:val="000000"/>
                <w:sz w:val="18"/>
                <w:szCs w:val="22"/>
              </w:rPr>
            </w:pPr>
            <w:r w:rsidRPr="00AF7897">
              <w:rPr>
                <w:rFonts w:ascii="Calibri" w:hAnsi="Calibri" w:cs="Calibri"/>
                <w:b/>
                <w:bCs/>
                <w:color w:val="000000"/>
                <w:sz w:val="18"/>
                <w:szCs w:val="22"/>
              </w:rPr>
              <w:t> </w:t>
            </w:r>
          </w:p>
        </w:tc>
        <w:tc>
          <w:tcPr>
            <w:tcW w:w="1288" w:type="dxa"/>
            <w:tcBorders>
              <w:top w:val="nil"/>
              <w:left w:val="nil"/>
              <w:bottom w:val="single" w:sz="4" w:space="0" w:color="auto"/>
              <w:right w:val="single" w:sz="4" w:space="0" w:color="auto"/>
            </w:tcBorders>
            <w:shd w:val="clear" w:color="auto" w:fill="auto"/>
            <w:noWrap/>
            <w:vAlign w:val="bottom"/>
            <w:hideMark/>
          </w:tcPr>
          <w:p w14:paraId="6C327FCE" w14:textId="77777777" w:rsidR="006356F1" w:rsidRPr="00AF7897" w:rsidRDefault="006356F1" w:rsidP="00217400">
            <w:pPr>
              <w:rPr>
                <w:rFonts w:ascii="Calibri" w:hAnsi="Calibri" w:cs="Calibri"/>
                <w:b/>
                <w:bCs/>
                <w:color w:val="000000"/>
                <w:sz w:val="18"/>
                <w:szCs w:val="22"/>
              </w:rPr>
            </w:pPr>
            <w:r w:rsidRPr="00AF7897">
              <w:rPr>
                <w:rFonts w:ascii="Calibri" w:hAnsi="Calibri" w:cs="Calibri"/>
                <w:b/>
                <w:bCs/>
                <w:color w:val="000000"/>
                <w:sz w:val="18"/>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685DDFF2" w14:textId="77777777" w:rsidR="006356F1" w:rsidRPr="00AF7897" w:rsidRDefault="006356F1" w:rsidP="00217400">
            <w:pPr>
              <w:rPr>
                <w:rFonts w:ascii="Calibri" w:hAnsi="Calibri" w:cs="Calibri"/>
                <w:b/>
                <w:bCs/>
                <w:color w:val="000000"/>
                <w:sz w:val="18"/>
                <w:szCs w:val="22"/>
              </w:rPr>
            </w:pPr>
            <w:r w:rsidRPr="00AF7897">
              <w:rPr>
                <w:rFonts w:ascii="Calibri" w:hAnsi="Calibri" w:cs="Calibri"/>
                <w:b/>
                <w:bCs/>
                <w:color w:val="000000"/>
                <w:sz w:val="18"/>
                <w:szCs w:val="22"/>
              </w:rPr>
              <w:t> </w:t>
            </w:r>
          </w:p>
        </w:tc>
      </w:tr>
      <w:tr w:rsidR="006356F1" w:rsidRPr="00AF7897" w14:paraId="120C9484"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6775547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1B3689B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5.004</w:t>
            </w:r>
          </w:p>
        </w:tc>
        <w:tc>
          <w:tcPr>
            <w:tcW w:w="1508" w:type="dxa"/>
            <w:tcBorders>
              <w:top w:val="nil"/>
              <w:left w:val="nil"/>
              <w:bottom w:val="single" w:sz="4" w:space="0" w:color="auto"/>
              <w:right w:val="single" w:sz="4" w:space="0" w:color="auto"/>
            </w:tcBorders>
            <w:shd w:val="clear" w:color="auto" w:fill="auto"/>
            <w:noWrap/>
            <w:vAlign w:val="bottom"/>
            <w:hideMark/>
          </w:tcPr>
          <w:p w14:paraId="164CF5B7"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4.840</w:t>
            </w:r>
          </w:p>
        </w:tc>
        <w:tc>
          <w:tcPr>
            <w:tcW w:w="1508" w:type="dxa"/>
            <w:tcBorders>
              <w:top w:val="nil"/>
              <w:left w:val="nil"/>
              <w:bottom w:val="single" w:sz="4" w:space="0" w:color="auto"/>
              <w:right w:val="single" w:sz="4" w:space="0" w:color="auto"/>
            </w:tcBorders>
            <w:shd w:val="clear" w:color="auto" w:fill="auto"/>
            <w:noWrap/>
            <w:vAlign w:val="bottom"/>
            <w:hideMark/>
          </w:tcPr>
          <w:p w14:paraId="217B199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3.677</w:t>
            </w:r>
          </w:p>
        </w:tc>
        <w:tc>
          <w:tcPr>
            <w:tcW w:w="1288" w:type="dxa"/>
            <w:tcBorders>
              <w:top w:val="nil"/>
              <w:left w:val="nil"/>
              <w:bottom w:val="single" w:sz="4" w:space="0" w:color="auto"/>
              <w:right w:val="single" w:sz="4" w:space="0" w:color="auto"/>
            </w:tcBorders>
            <w:shd w:val="clear" w:color="auto" w:fill="auto"/>
            <w:noWrap/>
            <w:vAlign w:val="bottom"/>
            <w:hideMark/>
          </w:tcPr>
          <w:p w14:paraId="0A92755A"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-3,3</w:t>
            </w:r>
          </w:p>
        </w:tc>
        <w:tc>
          <w:tcPr>
            <w:tcW w:w="1134" w:type="dxa"/>
            <w:tcBorders>
              <w:top w:val="nil"/>
              <w:left w:val="nil"/>
              <w:bottom w:val="single" w:sz="4" w:space="0" w:color="auto"/>
              <w:right w:val="single" w:sz="4" w:space="0" w:color="auto"/>
            </w:tcBorders>
            <w:shd w:val="clear" w:color="auto" w:fill="auto"/>
            <w:noWrap/>
            <w:vAlign w:val="bottom"/>
            <w:hideMark/>
          </w:tcPr>
          <w:p w14:paraId="2FACC4F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-24,0</w:t>
            </w:r>
          </w:p>
        </w:tc>
      </w:tr>
      <w:tr w:rsidR="006356F1" w:rsidRPr="00AF7897" w14:paraId="2B3C4BB9"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7AA578F"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2CEDC6F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14.354</w:t>
            </w:r>
          </w:p>
        </w:tc>
        <w:tc>
          <w:tcPr>
            <w:tcW w:w="1508" w:type="dxa"/>
            <w:tcBorders>
              <w:top w:val="nil"/>
              <w:left w:val="nil"/>
              <w:bottom w:val="single" w:sz="4" w:space="0" w:color="auto"/>
              <w:right w:val="single" w:sz="4" w:space="0" w:color="auto"/>
            </w:tcBorders>
            <w:shd w:val="clear" w:color="auto" w:fill="auto"/>
            <w:noWrap/>
            <w:vAlign w:val="bottom"/>
            <w:hideMark/>
          </w:tcPr>
          <w:p w14:paraId="38F7C109"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14.835</w:t>
            </w:r>
          </w:p>
        </w:tc>
        <w:tc>
          <w:tcPr>
            <w:tcW w:w="1508" w:type="dxa"/>
            <w:tcBorders>
              <w:top w:val="nil"/>
              <w:left w:val="nil"/>
              <w:bottom w:val="single" w:sz="4" w:space="0" w:color="auto"/>
              <w:right w:val="single" w:sz="4" w:space="0" w:color="auto"/>
            </w:tcBorders>
            <w:shd w:val="clear" w:color="auto" w:fill="auto"/>
            <w:noWrap/>
            <w:vAlign w:val="bottom"/>
            <w:hideMark/>
          </w:tcPr>
          <w:p w14:paraId="13B54A0B"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13.691</w:t>
            </w:r>
          </w:p>
        </w:tc>
        <w:tc>
          <w:tcPr>
            <w:tcW w:w="1288" w:type="dxa"/>
            <w:tcBorders>
              <w:top w:val="nil"/>
              <w:left w:val="nil"/>
              <w:bottom w:val="single" w:sz="4" w:space="0" w:color="auto"/>
              <w:right w:val="single" w:sz="4" w:space="0" w:color="auto"/>
            </w:tcBorders>
            <w:shd w:val="clear" w:color="auto" w:fill="auto"/>
            <w:noWrap/>
            <w:vAlign w:val="bottom"/>
            <w:hideMark/>
          </w:tcPr>
          <w:p w14:paraId="2CE63E52"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3,4</w:t>
            </w:r>
          </w:p>
        </w:tc>
        <w:tc>
          <w:tcPr>
            <w:tcW w:w="1134" w:type="dxa"/>
            <w:tcBorders>
              <w:top w:val="nil"/>
              <w:left w:val="nil"/>
              <w:bottom w:val="single" w:sz="4" w:space="0" w:color="auto"/>
              <w:right w:val="single" w:sz="4" w:space="0" w:color="auto"/>
            </w:tcBorders>
            <w:shd w:val="clear" w:color="auto" w:fill="auto"/>
            <w:noWrap/>
            <w:vAlign w:val="bottom"/>
            <w:hideMark/>
          </w:tcPr>
          <w:p w14:paraId="17F19DB8"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-7,7</w:t>
            </w:r>
          </w:p>
        </w:tc>
      </w:tr>
      <w:tr w:rsidR="006356F1" w:rsidRPr="00AF7897" w14:paraId="3A6C90D3"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4331D4AB"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 em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69B88381"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6.157.547.959,60</w:t>
            </w:r>
          </w:p>
        </w:tc>
        <w:tc>
          <w:tcPr>
            <w:tcW w:w="1508" w:type="dxa"/>
            <w:tcBorders>
              <w:top w:val="nil"/>
              <w:left w:val="nil"/>
              <w:bottom w:val="single" w:sz="4" w:space="0" w:color="auto"/>
              <w:right w:val="single" w:sz="4" w:space="0" w:color="auto"/>
            </w:tcBorders>
            <w:shd w:val="clear" w:color="auto" w:fill="auto"/>
            <w:noWrap/>
            <w:vAlign w:val="bottom"/>
            <w:hideMark/>
          </w:tcPr>
          <w:p w14:paraId="6699CE78"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5.973.470.930,60</w:t>
            </w:r>
          </w:p>
        </w:tc>
        <w:tc>
          <w:tcPr>
            <w:tcW w:w="1508" w:type="dxa"/>
            <w:tcBorders>
              <w:top w:val="nil"/>
              <w:left w:val="nil"/>
              <w:bottom w:val="single" w:sz="4" w:space="0" w:color="auto"/>
              <w:right w:val="single" w:sz="4" w:space="0" w:color="auto"/>
            </w:tcBorders>
            <w:shd w:val="clear" w:color="auto" w:fill="auto"/>
            <w:noWrap/>
            <w:vAlign w:val="bottom"/>
            <w:hideMark/>
          </w:tcPr>
          <w:p w14:paraId="3592ACE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5.786.044.892,60</w:t>
            </w:r>
          </w:p>
        </w:tc>
        <w:tc>
          <w:tcPr>
            <w:tcW w:w="1288" w:type="dxa"/>
            <w:tcBorders>
              <w:top w:val="nil"/>
              <w:left w:val="nil"/>
              <w:bottom w:val="single" w:sz="4" w:space="0" w:color="auto"/>
              <w:right w:val="single" w:sz="4" w:space="0" w:color="auto"/>
            </w:tcBorders>
            <w:shd w:val="clear" w:color="auto" w:fill="auto"/>
            <w:noWrap/>
            <w:vAlign w:val="bottom"/>
            <w:hideMark/>
          </w:tcPr>
          <w:p w14:paraId="5701106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5EDF5FD6"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4EB29B39"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71FCC0B2"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 (geral)</w:t>
            </w:r>
          </w:p>
        </w:tc>
        <w:tc>
          <w:tcPr>
            <w:tcW w:w="1508" w:type="dxa"/>
            <w:tcBorders>
              <w:top w:val="nil"/>
              <w:left w:val="nil"/>
              <w:bottom w:val="single" w:sz="4" w:space="0" w:color="auto"/>
              <w:right w:val="single" w:sz="4" w:space="0" w:color="auto"/>
            </w:tcBorders>
            <w:shd w:val="clear" w:color="auto" w:fill="auto"/>
            <w:noWrap/>
            <w:vAlign w:val="bottom"/>
            <w:hideMark/>
          </w:tcPr>
          <w:p w14:paraId="087968E6"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428.977,80</w:t>
            </w:r>
          </w:p>
        </w:tc>
        <w:tc>
          <w:tcPr>
            <w:tcW w:w="1508" w:type="dxa"/>
            <w:tcBorders>
              <w:top w:val="nil"/>
              <w:left w:val="nil"/>
              <w:bottom w:val="single" w:sz="4" w:space="0" w:color="auto"/>
              <w:right w:val="single" w:sz="4" w:space="0" w:color="auto"/>
            </w:tcBorders>
            <w:shd w:val="clear" w:color="auto" w:fill="auto"/>
            <w:noWrap/>
            <w:vAlign w:val="bottom"/>
            <w:hideMark/>
          </w:tcPr>
          <w:p w14:paraId="34B9F953"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402.660,70</w:t>
            </w:r>
          </w:p>
        </w:tc>
        <w:tc>
          <w:tcPr>
            <w:tcW w:w="1508" w:type="dxa"/>
            <w:tcBorders>
              <w:top w:val="nil"/>
              <w:left w:val="nil"/>
              <w:bottom w:val="single" w:sz="4" w:space="0" w:color="auto"/>
              <w:right w:val="single" w:sz="4" w:space="0" w:color="auto"/>
            </w:tcBorders>
            <w:shd w:val="clear" w:color="auto" w:fill="auto"/>
            <w:noWrap/>
            <w:vAlign w:val="bottom"/>
            <w:hideMark/>
          </w:tcPr>
          <w:p w14:paraId="5D9EC0B7"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422.616,70</w:t>
            </w:r>
          </w:p>
        </w:tc>
        <w:tc>
          <w:tcPr>
            <w:tcW w:w="1288" w:type="dxa"/>
            <w:tcBorders>
              <w:top w:val="nil"/>
              <w:left w:val="nil"/>
              <w:bottom w:val="single" w:sz="4" w:space="0" w:color="auto"/>
              <w:right w:val="single" w:sz="4" w:space="0" w:color="auto"/>
            </w:tcBorders>
            <w:shd w:val="clear" w:color="auto" w:fill="auto"/>
            <w:noWrap/>
            <w:vAlign w:val="bottom"/>
            <w:hideMark/>
          </w:tcPr>
          <w:p w14:paraId="2E5404F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684F8BC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5EC103EB"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34F9C78E"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Benefícios/Emprego/mês no horizonte de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6D69510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2.153,50</w:t>
            </w:r>
          </w:p>
        </w:tc>
        <w:tc>
          <w:tcPr>
            <w:tcW w:w="1508" w:type="dxa"/>
            <w:tcBorders>
              <w:top w:val="nil"/>
              <w:left w:val="nil"/>
              <w:bottom w:val="single" w:sz="4" w:space="0" w:color="auto"/>
              <w:right w:val="single" w:sz="4" w:space="0" w:color="auto"/>
            </w:tcBorders>
            <w:shd w:val="clear" w:color="auto" w:fill="auto"/>
            <w:noWrap/>
            <w:vAlign w:val="bottom"/>
            <w:hideMark/>
          </w:tcPr>
          <w:p w14:paraId="7C555299"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2.021,40</w:t>
            </w:r>
          </w:p>
        </w:tc>
        <w:tc>
          <w:tcPr>
            <w:tcW w:w="1508" w:type="dxa"/>
            <w:tcBorders>
              <w:top w:val="nil"/>
              <w:left w:val="nil"/>
              <w:bottom w:val="single" w:sz="4" w:space="0" w:color="auto"/>
              <w:right w:val="single" w:sz="4" w:space="0" w:color="auto"/>
            </w:tcBorders>
            <w:shd w:val="clear" w:color="auto" w:fill="auto"/>
            <w:noWrap/>
            <w:vAlign w:val="bottom"/>
            <w:hideMark/>
          </w:tcPr>
          <w:p w14:paraId="704EC378"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2.121,60</w:t>
            </w:r>
          </w:p>
        </w:tc>
        <w:tc>
          <w:tcPr>
            <w:tcW w:w="1288" w:type="dxa"/>
            <w:tcBorders>
              <w:top w:val="nil"/>
              <w:left w:val="nil"/>
              <w:bottom w:val="single" w:sz="4" w:space="0" w:color="auto"/>
              <w:right w:val="single" w:sz="4" w:space="0" w:color="auto"/>
            </w:tcBorders>
            <w:shd w:val="clear" w:color="auto" w:fill="auto"/>
            <w:noWrap/>
            <w:vAlign w:val="bottom"/>
            <w:hideMark/>
          </w:tcPr>
          <w:p w14:paraId="18ADD798"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6034A59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133E4662"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2DC0307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Empresa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410FA31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72</w:t>
            </w:r>
          </w:p>
        </w:tc>
        <w:tc>
          <w:tcPr>
            <w:tcW w:w="1508" w:type="dxa"/>
            <w:tcBorders>
              <w:top w:val="nil"/>
              <w:left w:val="nil"/>
              <w:bottom w:val="single" w:sz="4" w:space="0" w:color="auto"/>
              <w:right w:val="single" w:sz="4" w:space="0" w:color="auto"/>
            </w:tcBorders>
            <w:shd w:val="clear" w:color="auto" w:fill="auto"/>
            <w:noWrap/>
            <w:vAlign w:val="bottom"/>
            <w:hideMark/>
          </w:tcPr>
          <w:p w14:paraId="0FEF7D4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88</w:t>
            </w:r>
          </w:p>
        </w:tc>
        <w:tc>
          <w:tcPr>
            <w:tcW w:w="1508" w:type="dxa"/>
            <w:tcBorders>
              <w:top w:val="nil"/>
              <w:left w:val="nil"/>
              <w:bottom w:val="single" w:sz="4" w:space="0" w:color="auto"/>
              <w:right w:val="single" w:sz="4" w:space="0" w:color="auto"/>
            </w:tcBorders>
            <w:shd w:val="clear" w:color="auto" w:fill="auto"/>
            <w:noWrap/>
            <w:vAlign w:val="bottom"/>
            <w:hideMark/>
          </w:tcPr>
          <w:p w14:paraId="71A4AAF5"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92</w:t>
            </w:r>
          </w:p>
        </w:tc>
        <w:tc>
          <w:tcPr>
            <w:tcW w:w="1288" w:type="dxa"/>
            <w:tcBorders>
              <w:top w:val="nil"/>
              <w:left w:val="nil"/>
              <w:bottom w:val="single" w:sz="4" w:space="0" w:color="auto"/>
              <w:right w:val="single" w:sz="4" w:space="0" w:color="auto"/>
            </w:tcBorders>
            <w:shd w:val="clear" w:color="auto" w:fill="auto"/>
            <w:noWrap/>
            <w:vAlign w:val="bottom"/>
            <w:hideMark/>
          </w:tcPr>
          <w:p w14:paraId="553F675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22,2</w:t>
            </w:r>
          </w:p>
        </w:tc>
        <w:tc>
          <w:tcPr>
            <w:tcW w:w="1134" w:type="dxa"/>
            <w:tcBorders>
              <w:top w:val="nil"/>
              <w:left w:val="nil"/>
              <w:bottom w:val="single" w:sz="4" w:space="0" w:color="auto"/>
              <w:right w:val="single" w:sz="4" w:space="0" w:color="auto"/>
            </w:tcBorders>
            <w:shd w:val="clear" w:color="auto" w:fill="auto"/>
            <w:noWrap/>
            <w:vAlign w:val="bottom"/>
            <w:hideMark/>
          </w:tcPr>
          <w:p w14:paraId="7C6D96C7"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4,5</w:t>
            </w:r>
          </w:p>
        </w:tc>
      </w:tr>
      <w:tr w:rsidR="006356F1" w:rsidRPr="00AF7897" w14:paraId="2A1FC835"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571EDB4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lastRenderedPageBreak/>
              <w:t>Empresa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55CEAC59"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w:t>
            </w:r>
          </w:p>
        </w:tc>
        <w:tc>
          <w:tcPr>
            <w:tcW w:w="1508" w:type="dxa"/>
            <w:tcBorders>
              <w:top w:val="nil"/>
              <w:left w:val="nil"/>
              <w:bottom w:val="single" w:sz="4" w:space="0" w:color="auto"/>
              <w:right w:val="single" w:sz="4" w:space="0" w:color="auto"/>
            </w:tcBorders>
            <w:shd w:val="clear" w:color="auto" w:fill="auto"/>
            <w:noWrap/>
            <w:vAlign w:val="bottom"/>
            <w:hideMark/>
          </w:tcPr>
          <w:p w14:paraId="74B6BAB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w:t>
            </w:r>
          </w:p>
        </w:tc>
        <w:tc>
          <w:tcPr>
            <w:tcW w:w="1508" w:type="dxa"/>
            <w:tcBorders>
              <w:top w:val="nil"/>
              <w:left w:val="nil"/>
              <w:bottom w:val="single" w:sz="4" w:space="0" w:color="auto"/>
              <w:right w:val="single" w:sz="4" w:space="0" w:color="auto"/>
            </w:tcBorders>
            <w:shd w:val="clear" w:color="auto" w:fill="auto"/>
            <w:noWrap/>
            <w:vAlign w:val="bottom"/>
            <w:hideMark/>
          </w:tcPr>
          <w:p w14:paraId="21258C92"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w:t>
            </w:r>
          </w:p>
        </w:tc>
        <w:tc>
          <w:tcPr>
            <w:tcW w:w="1288" w:type="dxa"/>
            <w:tcBorders>
              <w:top w:val="nil"/>
              <w:left w:val="nil"/>
              <w:bottom w:val="single" w:sz="4" w:space="0" w:color="auto"/>
              <w:right w:val="single" w:sz="4" w:space="0" w:color="auto"/>
            </w:tcBorders>
            <w:shd w:val="clear" w:color="auto" w:fill="auto"/>
            <w:noWrap/>
            <w:vAlign w:val="bottom"/>
            <w:hideMark/>
          </w:tcPr>
          <w:p w14:paraId="388E7636"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14,3</w:t>
            </w:r>
          </w:p>
        </w:tc>
        <w:tc>
          <w:tcPr>
            <w:tcW w:w="1134" w:type="dxa"/>
            <w:tcBorders>
              <w:top w:val="nil"/>
              <w:left w:val="nil"/>
              <w:bottom w:val="single" w:sz="4" w:space="0" w:color="auto"/>
              <w:right w:val="single" w:sz="4" w:space="0" w:color="auto"/>
            </w:tcBorders>
            <w:shd w:val="clear" w:color="auto" w:fill="auto"/>
            <w:noWrap/>
            <w:vAlign w:val="bottom"/>
            <w:hideMark/>
          </w:tcPr>
          <w:p w14:paraId="4C59BFC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0,0</w:t>
            </w:r>
          </w:p>
        </w:tc>
      </w:tr>
      <w:tr w:rsidR="006356F1" w:rsidRPr="00AF7897" w14:paraId="20665943"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20505D97" w14:textId="77777777" w:rsidR="006356F1" w:rsidRPr="00AF7897" w:rsidRDefault="006356F1" w:rsidP="00217400">
            <w:pPr>
              <w:rPr>
                <w:rFonts w:ascii="Calibri" w:hAnsi="Calibri" w:cs="Calibri"/>
                <w:b/>
                <w:bCs/>
                <w:color w:val="000000"/>
                <w:sz w:val="18"/>
                <w:szCs w:val="24"/>
              </w:rPr>
            </w:pPr>
            <w:r w:rsidRPr="00AF7897">
              <w:rPr>
                <w:rFonts w:ascii="Calibri" w:hAnsi="Calibri" w:cs="Calibri"/>
                <w:b/>
                <w:bCs/>
                <w:color w:val="000000"/>
                <w:sz w:val="18"/>
                <w:szCs w:val="24"/>
              </w:rPr>
              <w:t>Fabricação de álcool</w:t>
            </w:r>
          </w:p>
        </w:tc>
        <w:tc>
          <w:tcPr>
            <w:tcW w:w="1508" w:type="dxa"/>
            <w:tcBorders>
              <w:top w:val="nil"/>
              <w:left w:val="nil"/>
              <w:bottom w:val="single" w:sz="4" w:space="0" w:color="auto"/>
              <w:right w:val="single" w:sz="4" w:space="0" w:color="auto"/>
            </w:tcBorders>
            <w:shd w:val="clear" w:color="auto" w:fill="auto"/>
            <w:noWrap/>
            <w:vAlign w:val="bottom"/>
            <w:hideMark/>
          </w:tcPr>
          <w:p w14:paraId="46233682"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4FEEEC1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1BE450E1"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288" w:type="dxa"/>
            <w:tcBorders>
              <w:top w:val="nil"/>
              <w:left w:val="nil"/>
              <w:bottom w:val="single" w:sz="4" w:space="0" w:color="auto"/>
              <w:right w:val="single" w:sz="4" w:space="0" w:color="auto"/>
            </w:tcBorders>
            <w:shd w:val="clear" w:color="auto" w:fill="auto"/>
            <w:noWrap/>
            <w:vAlign w:val="bottom"/>
            <w:hideMark/>
          </w:tcPr>
          <w:p w14:paraId="20FF7A6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0407201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r>
      <w:tr w:rsidR="006356F1" w:rsidRPr="00AF7897" w14:paraId="65315D4D"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117B2972"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3CF1C68B"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2.827</w:t>
            </w:r>
          </w:p>
        </w:tc>
        <w:tc>
          <w:tcPr>
            <w:tcW w:w="1508" w:type="dxa"/>
            <w:tcBorders>
              <w:top w:val="nil"/>
              <w:left w:val="nil"/>
              <w:bottom w:val="single" w:sz="4" w:space="0" w:color="auto"/>
              <w:right w:val="single" w:sz="4" w:space="0" w:color="auto"/>
            </w:tcBorders>
            <w:shd w:val="clear" w:color="auto" w:fill="auto"/>
            <w:noWrap/>
            <w:vAlign w:val="bottom"/>
            <w:hideMark/>
          </w:tcPr>
          <w:p w14:paraId="225A8AF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2.555</w:t>
            </w:r>
          </w:p>
        </w:tc>
        <w:tc>
          <w:tcPr>
            <w:tcW w:w="1508" w:type="dxa"/>
            <w:tcBorders>
              <w:top w:val="nil"/>
              <w:left w:val="nil"/>
              <w:bottom w:val="single" w:sz="4" w:space="0" w:color="auto"/>
              <w:right w:val="single" w:sz="4" w:space="0" w:color="auto"/>
            </w:tcBorders>
            <w:shd w:val="clear" w:color="auto" w:fill="auto"/>
            <w:noWrap/>
            <w:vAlign w:val="bottom"/>
            <w:hideMark/>
          </w:tcPr>
          <w:p w14:paraId="06917EE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2.481</w:t>
            </w:r>
          </w:p>
        </w:tc>
        <w:tc>
          <w:tcPr>
            <w:tcW w:w="1288" w:type="dxa"/>
            <w:tcBorders>
              <w:top w:val="nil"/>
              <w:left w:val="nil"/>
              <w:bottom w:val="single" w:sz="4" w:space="0" w:color="auto"/>
              <w:right w:val="single" w:sz="4" w:space="0" w:color="auto"/>
            </w:tcBorders>
            <w:shd w:val="clear" w:color="auto" w:fill="auto"/>
            <w:noWrap/>
            <w:vAlign w:val="bottom"/>
            <w:hideMark/>
          </w:tcPr>
          <w:p w14:paraId="16BED3C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-9,6</w:t>
            </w:r>
          </w:p>
        </w:tc>
        <w:tc>
          <w:tcPr>
            <w:tcW w:w="1134" w:type="dxa"/>
            <w:tcBorders>
              <w:top w:val="nil"/>
              <w:left w:val="nil"/>
              <w:bottom w:val="single" w:sz="4" w:space="0" w:color="auto"/>
              <w:right w:val="single" w:sz="4" w:space="0" w:color="auto"/>
            </w:tcBorders>
            <w:shd w:val="clear" w:color="auto" w:fill="auto"/>
            <w:noWrap/>
            <w:vAlign w:val="bottom"/>
            <w:hideMark/>
          </w:tcPr>
          <w:p w14:paraId="31CECA3D"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-2,9</w:t>
            </w:r>
          </w:p>
        </w:tc>
      </w:tr>
      <w:tr w:rsidR="006356F1" w:rsidRPr="00AF7897" w14:paraId="5568BC2C"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31D5365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5B9208C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17.357</w:t>
            </w:r>
          </w:p>
        </w:tc>
        <w:tc>
          <w:tcPr>
            <w:tcW w:w="1508" w:type="dxa"/>
            <w:tcBorders>
              <w:top w:val="nil"/>
              <w:left w:val="nil"/>
              <w:bottom w:val="single" w:sz="4" w:space="0" w:color="auto"/>
              <w:right w:val="single" w:sz="4" w:space="0" w:color="auto"/>
            </w:tcBorders>
            <w:shd w:val="clear" w:color="auto" w:fill="auto"/>
            <w:noWrap/>
            <w:vAlign w:val="bottom"/>
            <w:hideMark/>
          </w:tcPr>
          <w:p w14:paraId="0C68D44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15.248</w:t>
            </w:r>
          </w:p>
        </w:tc>
        <w:tc>
          <w:tcPr>
            <w:tcW w:w="1508" w:type="dxa"/>
            <w:tcBorders>
              <w:top w:val="nil"/>
              <w:left w:val="nil"/>
              <w:bottom w:val="single" w:sz="4" w:space="0" w:color="auto"/>
              <w:right w:val="single" w:sz="4" w:space="0" w:color="auto"/>
            </w:tcBorders>
            <w:shd w:val="clear" w:color="auto" w:fill="auto"/>
            <w:noWrap/>
            <w:vAlign w:val="bottom"/>
            <w:hideMark/>
          </w:tcPr>
          <w:p w14:paraId="2CA5656A"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16.458</w:t>
            </w:r>
          </w:p>
        </w:tc>
        <w:tc>
          <w:tcPr>
            <w:tcW w:w="1288" w:type="dxa"/>
            <w:tcBorders>
              <w:top w:val="nil"/>
              <w:left w:val="nil"/>
              <w:bottom w:val="single" w:sz="4" w:space="0" w:color="auto"/>
              <w:right w:val="single" w:sz="4" w:space="0" w:color="auto"/>
            </w:tcBorders>
            <w:shd w:val="clear" w:color="auto" w:fill="auto"/>
            <w:noWrap/>
            <w:vAlign w:val="bottom"/>
            <w:hideMark/>
          </w:tcPr>
          <w:p w14:paraId="60306C5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-12,2</w:t>
            </w:r>
          </w:p>
        </w:tc>
        <w:tc>
          <w:tcPr>
            <w:tcW w:w="1134" w:type="dxa"/>
            <w:tcBorders>
              <w:top w:val="nil"/>
              <w:left w:val="nil"/>
              <w:bottom w:val="single" w:sz="4" w:space="0" w:color="auto"/>
              <w:right w:val="single" w:sz="4" w:space="0" w:color="auto"/>
            </w:tcBorders>
            <w:shd w:val="clear" w:color="auto" w:fill="auto"/>
            <w:noWrap/>
            <w:vAlign w:val="bottom"/>
            <w:hideMark/>
          </w:tcPr>
          <w:p w14:paraId="3CBA62B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7,9</w:t>
            </w:r>
          </w:p>
        </w:tc>
      </w:tr>
      <w:tr w:rsidR="006356F1" w:rsidRPr="00AF7897" w14:paraId="1E667F28"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2E07D3B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 em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7D51738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26.593.302.737,80</w:t>
            </w:r>
          </w:p>
        </w:tc>
        <w:tc>
          <w:tcPr>
            <w:tcW w:w="1508" w:type="dxa"/>
            <w:tcBorders>
              <w:top w:val="nil"/>
              <w:left w:val="nil"/>
              <w:bottom w:val="single" w:sz="4" w:space="0" w:color="auto"/>
              <w:right w:val="single" w:sz="4" w:space="0" w:color="auto"/>
            </w:tcBorders>
            <w:shd w:val="clear" w:color="auto" w:fill="auto"/>
            <w:noWrap/>
            <w:vAlign w:val="bottom"/>
            <w:hideMark/>
          </w:tcPr>
          <w:p w14:paraId="38CB269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26.180.697.000,90</w:t>
            </w:r>
          </w:p>
        </w:tc>
        <w:tc>
          <w:tcPr>
            <w:tcW w:w="1508" w:type="dxa"/>
            <w:tcBorders>
              <w:top w:val="nil"/>
              <w:left w:val="nil"/>
              <w:bottom w:val="single" w:sz="4" w:space="0" w:color="auto"/>
              <w:right w:val="single" w:sz="4" w:space="0" w:color="auto"/>
            </w:tcBorders>
            <w:shd w:val="clear" w:color="auto" w:fill="auto"/>
            <w:noWrap/>
            <w:vAlign w:val="bottom"/>
            <w:hideMark/>
          </w:tcPr>
          <w:p w14:paraId="64954401"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26.009.162.755,60</w:t>
            </w:r>
          </w:p>
        </w:tc>
        <w:tc>
          <w:tcPr>
            <w:tcW w:w="1288" w:type="dxa"/>
            <w:tcBorders>
              <w:top w:val="nil"/>
              <w:left w:val="nil"/>
              <w:bottom w:val="single" w:sz="4" w:space="0" w:color="auto"/>
              <w:right w:val="single" w:sz="4" w:space="0" w:color="auto"/>
            </w:tcBorders>
            <w:shd w:val="clear" w:color="auto" w:fill="auto"/>
            <w:noWrap/>
            <w:vAlign w:val="bottom"/>
            <w:hideMark/>
          </w:tcPr>
          <w:p w14:paraId="4D5EB49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45425FEA"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5CE23071"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5D28F1A1"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 (geral)</w:t>
            </w:r>
          </w:p>
        </w:tc>
        <w:tc>
          <w:tcPr>
            <w:tcW w:w="1508" w:type="dxa"/>
            <w:tcBorders>
              <w:top w:val="nil"/>
              <w:left w:val="nil"/>
              <w:bottom w:val="single" w:sz="4" w:space="0" w:color="auto"/>
              <w:right w:val="single" w:sz="4" w:space="0" w:color="auto"/>
            </w:tcBorders>
            <w:shd w:val="clear" w:color="auto" w:fill="auto"/>
            <w:noWrap/>
            <w:vAlign w:val="bottom"/>
            <w:hideMark/>
          </w:tcPr>
          <w:p w14:paraId="06CA8E0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1.532.137,00</w:t>
            </w:r>
          </w:p>
        </w:tc>
        <w:tc>
          <w:tcPr>
            <w:tcW w:w="1508" w:type="dxa"/>
            <w:tcBorders>
              <w:top w:val="nil"/>
              <w:left w:val="nil"/>
              <w:bottom w:val="single" w:sz="4" w:space="0" w:color="auto"/>
              <w:right w:val="single" w:sz="4" w:space="0" w:color="auto"/>
            </w:tcBorders>
            <w:shd w:val="clear" w:color="auto" w:fill="auto"/>
            <w:noWrap/>
            <w:vAlign w:val="bottom"/>
            <w:hideMark/>
          </w:tcPr>
          <w:p w14:paraId="23B647A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1.716.992,20</w:t>
            </w:r>
          </w:p>
        </w:tc>
        <w:tc>
          <w:tcPr>
            <w:tcW w:w="1508" w:type="dxa"/>
            <w:tcBorders>
              <w:top w:val="nil"/>
              <w:left w:val="nil"/>
              <w:bottom w:val="single" w:sz="4" w:space="0" w:color="auto"/>
              <w:right w:val="single" w:sz="4" w:space="0" w:color="auto"/>
            </w:tcBorders>
            <w:shd w:val="clear" w:color="auto" w:fill="auto"/>
            <w:noWrap/>
            <w:vAlign w:val="bottom"/>
            <w:hideMark/>
          </w:tcPr>
          <w:p w14:paraId="22E8A219"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1.580.335,60</w:t>
            </w:r>
          </w:p>
        </w:tc>
        <w:tc>
          <w:tcPr>
            <w:tcW w:w="1288" w:type="dxa"/>
            <w:tcBorders>
              <w:top w:val="nil"/>
              <w:left w:val="nil"/>
              <w:bottom w:val="single" w:sz="4" w:space="0" w:color="auto"/>
              <w:right w:val="single" w:sz="4" w:space="0" w:color="auto"/>
            </w:tcBorders>
            <w:shd w:val="clear" w:color="auto" w:fill="auto"/>
            <w:noWrap/>
            <w:vAlign w:val="bottom"/>
            <w:hideMark/>
          </w:tcPr>
          <w:p w14:paraId="519F624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6A8A761D"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505F17BD"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6C694D31"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Benefícios/Emprego/mês no horizonte de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1EC3517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7.691,50</w:t>
            </w:r>
          </w:p>
        </w:tc>
        <w:tc>
          <w:tcPr>
            <w:tcW w:w="1508" w:type="dxa"/>
            <w:tcBorders>
              <w:top w:val="nil"/>
              <w:left w:val="nil"/>
              <w:bottom w:val="single" w:sz="4" w:space="0" w:color="auto"/>
              <w:right w:val="single" w:sz="4" w:space="0" w:color="auto"/>
            </w:tcBorders>
            <w:shd w:val="clear" w:color="auto" w:fill="auto"/>
            <w:noWrap/>
            <w:vAlign w:val="bottom"/>
            <w:hideMark/>
          </w:tcPr>
          <w:p w14:paraId="4618A456"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8.619,40</w:t>
            </w:r>
          </w:p>
        </w:tc>
        <w:tc>
          <w:tcPr>
            <w:tcW w:w="1508" w:type="dxa"/>
            <w:tcBorders>
              <w:top w:val="nil"/>
              <w:left w:val="nil"/>
              <w:bottom w:val="single" w:sz="4" w:space="0" w:color="auto"/>
              <w:right w:val="single" w:sz="4" w:space="0" w:color="auto"/>
            </w:tcBorders>
            <w:shd w:val="clear" w:color="auto" w:fill="auto"/>
            <w:noWrap/>
            <w:vAlign w:val="bottom"/>
            <w:hideMark/>
          </w:tcPr>
          <w:p w14:paraId="3A653EE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7.933,40</w:t>
            </w:r>
          </w:p>
        </w:tc>
        <w:tc>
          <w:tcPr>
            <w:tcW w:w="1288" w:type="dxa"/>
            <w:tcBorders>
              <w:top w:val="nil"/>
              <w:left w:val="nil"/>
              <w:bottom w:val="single" w:sz="4" w:space="0" w:color="auto"/>
              <w:right w:val="single" w:sz="4" w:space="0" w:color="auto"/>
            </w:tcBorders>
            <w:shd w:val="clear" w:color="auto" w:fill="auto"/>
            <w:noWrap/>
            <w:vAlign w:val="bottom"/>
            <w:hideMark/>
          </w:tcPr>
          <w:p w14:paraId="5929E3BA"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371233EF"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7483D653"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6B1E852D"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Empresa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0CE7EF2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47</w:t>
            </w:r>
          </w:p>
        </w:tc>
        <w:tc>
          <w:tcPr>
            <w:tcW w:w="1508" w:type="dxa"/>
            <w:tcBorders>
              <w:top w:val="nil"/>
              <w:left w:val="nil"/>
              <w:bottom w:val="single" w:sz="4" w:space="0" w:color="auto"/>
              <w:right w:val="single" w:sz="4" w:space="0" w:color="auto"/>
            </w:tcBorders>
            <w:shd w:val="clear" w:color="auto" w:fill="auto"/>
            <w:noWrap/>
            <w:vAlign w:val="bottom"/>
            <w:hideMark/>
          </w:tcPr>
          <w:p w14:paraId="38CF9DD7"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39</w:t>
            </w:r>
          </w:p>
        </w:tc>
        <w:tc>
          <w:tcPr>
            <w:tcW w:w="1508" w:type="dxa"/>
            <w:tcBorders>
              <w:top w:val="nil"/>
              <w:left w:val="nil"/>
              <w:bottom w:val="single" w:sz="4" w:space="0" w:color="auto"/>
              <w:right w:val="single" w:sz="4" w:space="0" w:color="auto"/>
            </w:tcBorders>
            <w:shd w:val="clear" w:color="auto" w:fill="auto"/>
            <w:noWrap/>
            <w:vAlign w:val="bottom"/>
            <w:hideMark/>
          </w:tcPr>
          <w:p w14:paraId="0FE70AB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40</w:t>
            </w:r>
          </w:p>
        </w:tc>
        <w:tc>
          <w:tcPr>
            <w:tcW w:w="1288" w:type="dxa"/>
            <w:tcBorders>
              <w:top w:val="nil"/>
              <w:left w:val="nil"/>
              <w:bottom w:val="single" w:sz="4" w:space="0" w:color="auto"/>
              <w:right w:val="single" w:sz="4" w:space="0" w:color="auto"/>
            </w:tcBorders>
            <w:shd w:val="clear" w:color="auto" w:fill="auto"/>
            <w:noWrap/>
            <w:vAlign w:val="bottom"/>
            <w:hideMark/>
          </w:tcPr>
          <w:p w14:paraId="2D91C3A7"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-17,0</w:t>
            </w:r>
          </w:p>
        </w:tc>
        <w:tc>
          <w:tcPr>
            <w:tcW w:w="1134" w:type="dxa"/>
            <w:tcBorders>
              <w:top w:val="nil"/>
              <w:left w:val="nil"/>
              <w:bottom w:val="single" w:sz="4" w:space="0" w:color="auto"/>
              <w:right w:val="single" w:sz="4" w:space="0" w:color="auto"/>
            </w:tcBorders>
            <w:shd w:val="clear" w:color="auto" w:fill="auto"/>
            <w:noWrap/>
            <w:vAlign w:val="bottom"/>
            <w:hideMark/>
          </w:tcPr>
          <w:p w14:paraId="4C0B9C9B"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2,6</w:t>
            </w:r>
          </w:p>
        </w:tc>
      </w:tr>
      <w:tr w:rsidR="006356F1" w:rsidRPr="00AF7897" w14:paraId="52B000E0"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0C21D33"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Empresa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31E6E87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24</w:t>
            </w:r>
          </w:p>
        </w:tc>
        <w:tc>
          <w:tcPr>
            <w:tcW w:w="1508" w:type="dxa"/>
            <w:tcBorders>
              <w:top w:val="nil"/>
              <w:left w:val="nil"/>
              <w:bottom w:val="single" w:sz="4" w:space="0" w:color="auto"/>
              <w:right w:val="single" w:sz="4" w:space="0" w:color="auto"/>
            </w:tcBorders>
            <w:shd w:val="clear" w:color="auto" w:fill="auto"/>
            <w:noWrap/>
            <w:vAlign w:val="bottom"/>
            <w:hideMark/>
          </w:tcPr>
          <w:p w14:paraId="0272281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24</w:t>
            </w:r>
          </w:p>
        </w:tc>
        <w:tc>
          <w:tcPr>
            <w:tcW w:w="1508" w:type="dxa"/>
            <w:tcBorders>
              <w:top w:val="nil"/>
              <w:left w:val="nil"/>
              <w:bottom w:val="single" w:sz="4" w:space="0" w:color="auto"/>
              <w:right w:val="single" w:sz="4" w:space="0" w:color="auto"/>
            </w:tcBorders>
            <w:shd w:val="clear" w:color="auto" w:fill="auto"/>
            <w:noWrap/>
            <w:vAlign w:val="bottom"/>
            <w:hideMark/>
          </w:tcPr>
          <w:p w14:paraId="70795C39"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26</w:t>
            </w:r>
          </w:p>
        </w:tc>
        <w:tc>
          <w:tcPr>
            <w:tcW w:w="1288" w:type="dxa"/>
            <w:tcBorders>
              <w:top w:val="nil"/>
              <w:left w:val="nil"/>
              <w:bottom w:val="single" w:sz="4" w:space="0" w:color="auto"/>
              <w:right w:val="single" w:sz="4" w:space="0" w:color="auto"/>
            </w:tcBorders>
            <w:shd w:val="clear" w:color="auto" w:fill="auto"/>
            <w:noWrap/>
            <w:vAlign w:val="bottom"/>
            <w:hideMark/>
          </w:tcPr>
          <w:p w14:paraId="7AD3F90B"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0,0</w:t>
            </w:r>
          </w:p>
        </w:tc>
        <w:tc>
          <w:tcPr>
            <w:tcW w:w="1134" w:type="dxa"/>
            <w:tcBorders>
              <w:top w:val="nil"/>
              <w:left w:val="nil"/>
              <w:bottom w:val="single" w:sz="4" w:space="0" w:color="auto"/>
              <w:right w:val="single" w:sz="4" w:space="0" w:color="auto"/>
            </w:tcBorders>
            <w:shd w:val="clear" w:color="auto" w:fill="auto"/>
            <w:noWrap/>
            <w:vAlign w:val="bottom"/>
            <w:hideMark/>
          </w:tcPr>
          <w:p w14:paraId="31061DB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8,3</w:t>
            </w:r>
          </w:p>
        </w:tc>
      </w:tr>
      <w:tr w:rsidR="006356F1" w:rsidRPr="00AF7897" w14:paraId="12F6198D"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451E7F12" w14:textId="77777777" w:rsidR="006356F1" w:rsidRPr="00AF7897" w:rsidRDefault="006356F1" w:rsidP="00217400">
            <w:pPr>
              <w:rPr>
                <w:rFonts w:ascii="Calibri" w:hAnsi="Calibri" w:cs="Calibri"/>
                <w:b/>
                <w:bCs/>
                <w:color w:val="000000"/>
                <w:sz w:val="18"/>
                <w:szCs w:val="24"/>
              </w:rPr>
            </w:pPr>
            <w:r w:rsidRPr="00AF7897">
              <w:rPr>
                <w:rFonts w:ascii="Calibri" w:hAnsi="Calibri" w:cs="Calibri"/>
                <w:b/>
                <w:bCs/>
                <w:color w:val="000000"/>
                <w:sz w:val="18"/>
                <w:szCs w:val="24"/>
              </w:rPr>
              <w:t>Fabricação de produtos de metal</w:t>
            </w:r>
          </w:p>
        </w:tc>
        <w:tc>
          <w:tcPr>
            <w:tcW w:w="1508" w:type="dxa"/>
            <w:tcBorders>
              <w:top w:val="nil"/>
              <w:left w:val="nil"/>
              <w:bottom w:val="single" w:sz="4" w:space="0" w:color="auto"/>
              <w:right w:val="single" w:sz="4" w:space="0" w:color="auto"/>
            </w:tcBorders>
            <w:shd w:val="clear" w:color="auto" w:fill="auto"/>
            <w:noWrap/>
            <w:vAlign w:val="bottom"/>
            <w:hideMark/>
          </w:tcPr>
          <w:p w14:paraId="3DFDAC62"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47CAF315"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4FDC5168"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288" w:type="dxa"/>
            <w:tcBorders>
              <w:top w:val="nil"/>
              <w:left w:val="nil"/>
              <w:bottom w:val="single" w:sz="4" w:space="0" w:color="auto"/>
              <w:right w:val="single" w:sz="4" w:space="0" w:color="auto"/>
            </w:tcBorders>
            <w:shd w:val="clear" w:color="auto" w:fill="auto"/>
            <w:noWrap/>
            <w:vAlign w:val="bottom"/>
            <w:hideMark/>
          </w:tcPr>
          <w:p w14:paraId="522BE862"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797EDD20"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r>
      <w:tr w:rsidR="006356F1" w:rsidRPr="00AF7897" w14:paraId="25925D6A"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63EF2B2"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37F13A2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5.894</w:t>
            </w:r>
          </w:p>
        </w:tc>
        <w:tc>
          <w:tcPr>
            <w:tcW w:w="1508" w:type="dxa"/>
            <w:tcBorders>
              <w:top w:val="nil"/>
              <w:left w:val="nil"/>
              <w:bottom w:val="single" w:sz="4" w:space="0" w:color="auto"/>
              <w:right w:val="single" w:sz="4" w:space="0" w:color="auto"/>
            </w:tcBorders>
            <w:shd w:val="clear" w:color="auto" w:fill="auto"/>
            <w:noWrap/>
            <w:vAlign w:val="bottom"/>
            <w:hideMark/>
          </w:tcPr>
          <w:p w14:paraId="3C51D44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5.341</w:t>
            </w:r>
          </w:p>
        </w:tc>
        <w:tc>
          <w:tcPr>
            <w:tcW w:w="1508" w:type="dxa"/>
            <w:tcBorders>
              <w:top w:val="nil"/>
              <w:left w:val="nil"/>
              <w:bottom w:val="single" w:sz="4" w:space="0" w:color="auto"/>
              <w:right w:val="single" w:sz="4" w:space="0" w:color="auto"/>
            </w:tcBorders>
            <w:shd w:val="clear" w:color="auto" w:fill="auto"/>
            <w:noWrap/>
            <w:vAlign w:val="bottom"/>
            <w:hideMark/>
          </w:tcPr>
          <w:p w14:paraId="2A4A3C6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4.488</w:t>
            </w:r>
          </w:p>
        </w:tc>
        <w:tc>
          <w:tcPr>
            <w:tcW w:w="1288" w:type="dxa"/>
            <w:tcBorders>
              <w:top w:val="nil"/>
              <w:left w:val="nil"/>
              <w:bottom w:val="single" w:sz="4" w:space="0" w:color="auto"/>
              <w:right w:val="single" w:sz="4" w:space="0" w:color="auto"/>
            </w:tcBorders>
            <w:shd w:val="clear" w:color="auto" w:fill="auto"/>
            <w:noWrap/>
            <w:vAlign w:val="bottom"/>
            <w:hideMark/>
          </w:tcPr>
          <w:p w14:paraId="7CFD131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-9,40%</w:t>
            </w:r>
          </w:p>
        </w:tc>
        <w:tc>
          <w:tcPr>
            <w:tcW w:w="1134" w:type="dxa"/>
            <w:tcBorders>
              <w:top w:val="nil"/>
              <w:left w:val="nil"/>
              <w:bottom w:val="single" w:sz="4" w:space="0" w:color="auto"/>
              <w:right w:val="single" w:sz="4" w:space="0" w:color="auto"/>
            </w:tcBorders>
            <w:shd w:val="clear" w:color="auto" w:fill="auto"/>
            <w:noWrap/>
            <w:vAlign w:val="bottom"/>
            <w:hideMark/>
          </w:tcPr>
          <w:p w14:paraId="13D3207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-16,00%</w:t>
            </w:r>
          </w:p>
        </w:tc>
      </w:tr>
      <w:tr w:rsidR="006356F1" w:rsidRPr="00AF7897" w14:paraId="1CD031F6"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7B16649A"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251E5185"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1.917</w:t>
            </w:r>
          </w:p>
        </w:tc>
        <w:tc>
          <w:tcPr>
            <w:tcW w:w="1508" w:type="dxa"/>
            <w:tcBorders>
              <w:top w:val="nil"/>
              <w:left w:val="nil"/>
              <w:bottom w:val="single" w:sz="4" w:space="0" w:color="auto"/>
              <w:right w:val="single" w:sz="4" w:space="0" w:color="auto"/>
            </w:tcBorders>
            <w:shd w:val="clear" w:color="auto" w:fill="auto"/>
            <w:noWrap/>
            <w:vAlign w:val="bottom"/>
            <w:hideMark/>
          </w:tcPr>
          <w:p w14:paraId="172A329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1.472</w:t>
            </w:r>
          </w:p>
        </w:tc>
        <w:tc>
          <w:tcPr>
            <w:tcW w:w="1508" w:type="dxa"/>
            <w:tcBorders>
              <w:top w:val="nil"/>
              <w:left w:val="nil"/>
              <w:bottom w:val="single" w:sz="4" w:space="0" w:color="auto"/>
              <w:right w:val="single" w:sz="4" w:space="0" w:color="auto"/>
            </w:tcBorders>
            <w:shd w:val="clear" w:color="auto" w:fill="auto"/>
            <w:noWrap/>
            <w:vAlign w:val="bottom"/>
            <w:hideMark/>
          </w:tcPr>
          <w:p w14:paraId="48E4559A"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1.067</w:t>
            </w:r>
          </w:p>
        </w:tc>
        <w:tc>
          <w:tcPr>
            <w:tcW w:w="1288" w:type="dxa"/>
            <w:tcBorders>
              <w:top w:val="nil"/>
              <w:left w:val="nil"/>
              <w:bottom w:val="single" w:sz="4" w:space="0" w:color="auto"/>
              <w:right w:val="single" w:sz="4" w:space="0" w:color="auto"/>
            </w:tcBorders>
            <w:shd w:val="clear" w:color="auto" w:fill="auto"/>
            <w:noWrap/>
            <w:vAlign w:val="bottom"/>
            <w:hideMark/>
          </w:tcPr>
          <w:p w14:paraId="7AB4C0F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-23,20%</w:t>
            </w:r>
          </w:p>
        </w:tc>
        <w:tc>
          <w:tcPr>
            <w:tcW w:w="1134" w:type="dxa"/>
            <w:tcBorders>
              <w:top w:val="nil"/>
              <w:left w:val="nil"/>
              <w:bottom w:val="single" w:sz="4" w:space="0" w:color="auto"/>
              <w:right w:val="single" w:sz="4" w:space="0" w:color="auto"/>
            </w:tcBorders>
            <w:shd w:val="clear" w:color="auto" w:fill="auto"/>
            <w:noWrap/>
            <w:vAlign w:val="bottom"/>
            <w:hideMark/>
          </w:tcPr>
          <w:p w14:paraId="035CDE7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-27,50%</w:t>
            </w:r>
          </w:p>
        </w:tc>
      </w:tr>
      <w:tr w:rsidR="006356F1" w:rsidRPr="00AF7897" w14:paraId="0456DE90"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7A1967F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 em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3BB607A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15.638.360.496,90</w:t>
            </w:r>
          </w:p>
        </w:tc>
        <w:tc>
          <w:tcPr>
            <w:tcW w:w="1508" w:type="dxa"/>
            <w:tcBorders>
              <w:top w:val="nil"/>
              <w:left w:val="nil"/>
              <w:bottom w:val="single" w:sz="4" w:space="0" w:color="auto"/>
              <w:right w:val="single" w:sz="4" w:space="0" w:color="auto"/>
            </w:tcBorders>
            <w:shd w:val="clear" w:color="auto" w:fill="auto"/>
            <w:noWrap/>
            <w:vAlign w:val="bottom"/>
            <w:hideMark/>
          </w:tcPr>
          <w:p w14:paraId="51518AC8"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15.453.855.176,40</w:t>
            </w:r>
          </w:p>
        </w:tc>
        <w:tc>
          <w:tcPr>
            <w:tcW w:w="1508" w:type="dxa"/>
            <w:tcBorders>
              <w:top w:val="nil"/>
              <w:left w:val="nil"/>
              <w:bottom w:val="single" w:sz="4" w:space="0" w:color="auto"/>
              <w:right w:val="single" w:sz="4" w:space="0" w:color="auto"/>
            </w:tcBorders>
            <w:shd w:val="clear" w:color="auto" w:fill="auto"/>
            <w:noWrap/>
            <w:vAlign w:val="bottom"/>
            <w:hideMark/>
          </w:tcPr>
          <w:p w14:paraId="4045FC1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14.659.543.541,80</w:t>
            </w:r>
          </w:p>
        </w:tc>
        <w:tc>
          <w:tcPr>
            <w:tcW w:w="1288" w:type="dxa"/>
            <w:tcBorders>
              <w:top w:val="nil"/>
              <w:left w:val="nil"/>
              <w:bottom w:val="single" w:sz="4" w:space="0" w:color="auto"/>
              <w:right w:val="single" w:sz="4" w:space="0" w:color="auto"/>
            </w:tcBorders>
            <w:shd w:val="clear" w:color="auto" w:fill="auto"/>
            <w:noWrap/>
            <w:vAlign w:val="bottom"/>
            <w:hideMark/>
          </w:tcPr>
          <w:p w14:paraId="57E3D0BF"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59CC0E8B"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0C133D8D"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13A4FBA7"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 (geral)</w:t>
            </w:r>
          </w:p>
        </w:tc>
        <w:tc>
          <w:tcPr>
            <w:tcW w:w="1508" w:type="dxa"/>
            <w:tcBorders>
              <w:top w:val="nil"/>
              <w:left w:val="nil"/>
              <w:bottom w:val="single" w:sz="4" w:space="0" w:color="auto"/>
              <w:right w:val="single" w:sz="4" w:space="0" w:color="auto"/>
            </w:tcBorders>
            <w:shd w:val="clear" w:color="auto" w:fill="auto"/>
            <w:noWrap/>
            <w:vAlign w:val="bottom"/>
            <w:hideMark/>
          </w:tcPr>
          <w:p w14:paraId="3B56F821"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8.157.725,90</w:t>
            </w:r>
          </w:p>
        </w:tc>
        <w:tc>
          <w:tcPr>
            <w:tcW w:w="1508" w:type="dxa"/>
            <w:tcBorders>
              <w:top w:val="nil"/>
              <w:left w:val="nil"/>
              <w:bottom w:val="single" w:sz="4" w:space="0" w:color="auto"/>
              <w:right w:val="single" w:sz="4" w:space="0" w:color="auto"/>
            </w:tcBorders>
            <w:shd w:val="clear" w:color="auto" w:fill="auto"/>
            <w:noWrap/>
            <w:vAlign w:val="bottom"/>
            <w:hideMark/>
          </w:tcPr>
          <w:p w14:paraId="1279E84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10.498.542,90</w:t>
            </w:r>
          </w:p>
        </w:tc>
        <w:tc>
          <w:tcPr>
            <w:tcW w:w="1508" w:type="dxa"/>
            <w:tcBorders>
              <w:top w:val="nil"/>
              <w:left w:val="nil"/>
              <w:bottom w:val="single" w:sz="4" w:space="0" w:color="auto"/>
              <w:right w:val="single" w:sz="4" w:space="0" w:color="auto"/>
            </w:tcBorders>
            <w:shd w:val="clear" w:color="auto" w:fill="auto"/>
            <w:noWrap/>
            <w:vAlign w:val="bottom"/>
            <w:hideMark/>
          </w:tcPr>
          <w:p w14:paraId="69CFA60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13.739.028,60</w:t>
            </w:r>
          </w:p>
        </w:tc>
        <w:tc>
          <w:tcPr>
            <w:tcW w:w="1288" w:type="dxa"/>
            <w:tcBorders>
              <w:top w:val="nil"/>
              <w:left w:val="nil"/>
              <w:bottom w:val="single" w:sz="4" w:space="0" w:color="auto"/>
              <w:right w:val="single" w:sz="4" w:space="0" w:color="auto"/>
            </w:tcBorders>
            <w:shd w:val="clear" w:color="auto" w:fill="auto"/>
            <w:noWrap/>
            <w:vAlign w:val="bottom"/>
            <w:hideMark/>
          </w:tcPr>
          <w:p w14:paraId="5E2259E0"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66DECAB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613CBAB5"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592CFBC0"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Benefícios/Emprego/mês no horizonte de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2DC2D11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40.952,40</w:t>
            </w:r>
          </w:p>
        </w:tc>
        <w:tc>
          <w:tcPr>
            <w:tcW w:w="1508" w:type="dxa"/>
            <w:tcBorders>
              <w:top w:val="nil"/>
              <w:left w:val="nil"/>
              <w:bottom w:val="single" w:sz="4" w:space="0" w:color="auto"/>
              <w:right w:val="single" w:sz="4" w:space="0" w:color="auto"/>
            </w:tcBorders>
            <w:shd w:val="clear" w:color="auto" w:fill="auto"/>
            <w:noWrap/>
            <w:vAlign w:val="bottom"/>
            <w:hideMark/>
          </w:tcPr>
          <w:p w14:paraId="25DB2443"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52.703,50</w:t>
            </w:r>
          </w:p>
        </w:tc>
        <w:tc>
          <w:tcPr>
            <w:tcW w:w="1508" w:type="dxa"/>
            <w:tcBorders>
              <w:top w:val="nil"/>
              <w:left w:val="nil"/>
              <w:bottom w:val="single" w:sz="4" w:space="0" w:color="auto"/>
              <w:right w:val="single" w:sz="4" w:space="0" w:color="auto"/>
            </w:tcBorders>
            <w:shd w:val="clear" w:color="auto" w:fill="auto"/>
            <w:noWrap/>
            <w:vAlign w:val="bottom"/>
            <w:hideMark/>
          </w:tcPr>
          <w:p w14:paraId="630AE2D3"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68.971,00</w:t>
            </w:r>
          </w:p>
        </w:tc>
        <w:tc>
          <w:tcPr>
            <w:tcW w:w="1288" w:type="dxa"/>
            <w:tcBorders>
              <w:top w:val="nil"/>
              <w:left w:val="nil"/>
              <w:bottom w:val="single" w:sz="4" w:space="0" w:color="auto"/>
              <w:right w:val="single" w:sz="4" w:space="0" w:color="auto"/>
            </w:tcBorders>
            <w:shd w:val="clear" w:color="auto" w:fill="auto"/>
            <w:noWrap/>
            <w:vAlign w:val="bottom"/>
            <w:hideMark/>
          </w:tcPr>
          <w:p w14:paraId="33AC933E"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7E997C26"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073317D9"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71D3AA2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Empresa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6033E32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1.103</w:t>
            </w:r>
          </w:p>
        </w:tc>
        <w:tc>
          <w:tcPr>
            <w:tcW w:w="1508" w:type="dxa"/>
            <w:tcBorders>
              <w:top w:val="nil"/>
              <w:left w:val="nil"/>
              <w:bottom w:val="single" w:sz="4" w:space="0" w:color="auto"/>
              <w:right w:val="single" w:sz="4" w:space="0" w:color="auto"/>
            </w:tcBorders>
            <w:shd w:val="clear" w:color="auto" w:fill="auto"/>
            <w:noWrap/>
            <w:vAlign w:val="bottom"/>
            <w:hideMark/>
          </w:tcPr>
          <w:p w14:paraId="419D22C2"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1.086</w:t>
            </w:r>
          </w:p>
        </w:tc>
        <w:tc>
          <w:tcPr>
            <w:tcW w:w="1508" w:type="dxa"/>
            <w:tcBorders>
              <w:top w:val="nil"/>
              <w:left w:val="nil"/>
              <w:bottom w:val="single" w:sz="4" w:space="0" w:color="auto"/>
              <w:right w:val="single" w:sz="4" w:space="0" w:color="auto"/>
            </w:tcBorders>
            <w:shd w:val="clear" w:color="auto" w:fill="auto"/>
            <w:noWrap/>
            <w:vAlign w:val="bottom"/>
            <w:hideMark/>
          </w:tcPr>
          <w:p w14:paraId="444B480A"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1.008</w:t>
            </w:r>
          </w:p>
        </w:tc>
        <w:tc>
          <w:tcPr>
            <w:tcW w:w="1288" w:type="dxa"/>
            <w:tcBorders>
              <w:top w:val="nil"/>
              <w:left w:val="nil"/>
              <w:bottom w:val="single" w:sz="4" w:space="0" w:color="auto"/>
              <w:right w:val="single" w:sz="4" w:space="0" w:color="auto"/>
            </w:tcBorders>
            <w:shd w:val="clear" w:color="auto" w:fill="auto"/>
            <w:noWrap/>
            <w:vAlign w:val="bottom"/>
            <w:hideMark/>
          </w:tcPr>
          <w:p w14:paraId="1717802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-1,50%</w:t>
            </w:r>
          </w:p>
        </w:tc>
        <w:tc>
          <w:tcPr>
            <w:tcW w:w="1134" w:type="dxa"/>
            <w:tcBorders>
              <w:top w:val="nil"/>
              <w:left w:val="nil"/>
              <w:bottom w:val="single" w:sz="4" w:space="0" w:color="auto"/>
              <w:right w:val="single" w:sz="4" w:space="0" w:color="auto"/>
            </w:tcBorders>
            <w:shd w:val="clear" w:color="auto" w:fill="auto"/>
            <w:noWrap/>
            <w:vAlign w:val="bottom"/>
            <w:hideMark/>
          </w:tcPr>
          <w:p w14:paraId="7B9B12F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-7,20%</w:t>
            </w:r>
          </w:p>
        </w:tc>
      </w:tr>
      <w:tr w:rsidR="006356F1" w:rsidRPr="00AF7897" w14:paraId="7B0BC45A"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4E26A763"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Empresa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3BF06CB6"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25</w:t>
            </w:r>
          </w:p>
        </w:tc>
        <w:tc>
          <w:tcPr>
            <w:tcW w:w="1508" w:type="dxa"/>
            <w:tcBorders>
              <w:top w:val="nil"/>
              <w:left w:val="nil"/>
              <w:bottom w:val="single" w:sz="4" w:space="0" w:color="auto"/>
              <w:right w:val="single" w:sz="4" w:space="0" w:color="auto"/>
            </w:tcBorders>
            <w:shd w:val="clear" w:color="auto" w:fill="auto"/>
            <w:noWrap/>
            <w:vAlign w:val="bottom"/>
            <w:hideMark/>
          </w:tcPr>
          <w:p w14:paraId="1187639A"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21</w:t>
            </w:r>
          </w:p>
        </w:tc>
        <w:tc>
          <w:tcPr>
            <w:tcW w:w="1508" w:type="dxa"/>
            <w:tcBorders>
              <w:top w:val="nil"/>
              <w:left w:val="nil"/>
              <w:bottom w:val="single" w:sz="4" w:space="0" w:color="auto"/>
              <w:right w:val="single" w:sz="4" w:space="0" w:color="auto"/>
            </w:tcBorders>
            <w:shd w:val="clear" w:color="auto" w:fill="auto"/>
            <w:noWrap/>
            <w:vAlign w:val="bottom"/>
            <w:hideMark/>
          </w:tcPr>
          <w:p w14:paraId="1204CA7D"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20</w:t>
            </w:r>
          </w:p>
        </w:tc>
        <w:tc>
          <w:tcPr>
            <w:tcW w:w="1288" w:type="dxa"/>
            <w:tcBorders>
              <w:top w:val="nil"/>
              <w:left w:val="nil"/>
              <w:bottom w:val="single" w:sz="4" w:space="0" w:color="auto"/>
              <w:right w:val="single" w:sz="4" w:space="0" w:color="auto"/>
            </w:tcBorders>
            <w:shd w:val="clear" w:color="auto" w:fill="auto"/>
            <w:noWrap/>
            <w:vAlign w:val="bottom"/>
            <w:hideMark/>
          </w:tcPr>
          <w:p w14:paraId="5CD8D215"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-16,00%</w:t>
            </w:r>
          </w:p>
        </w:tc>
        <w:tc>
          <w:tcPr>
            <w:tcW w:w="1134" w:type="dxa"/>
            <w:tcBorders>
              <w:top w:val="nil"/>
              <w:left w:val="nil"/>
              <w:bottom w:val="single" w:sz="4" w:space="0" w:color="auto"/>
              <w:right w:val="single" w:sz="4" w:space="0" w:color="auto"/>
            </w:tcBorders>
            <w:shd w:val="clear" w:color="auto" w:fill="auto"/>
            <w:noWrap/>
            <w:vAlign w:val="bottom"/>
            <w:hideMark/>
          </w:tcPr>
          <w:p w14:paraId="05006412"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-4,80%</w:t>
            </w:r>
          </w:p>
        </w:tc>
      </w:tr>
      <w:tr w:rsidR="006356F1" w:rsidRPr="00AF7897" w14:paraId="2CC0FA20"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D78AB48" w14:textId="77777777" w:rsidR="006356F1" w:rsidRPr="00AF7897" w:rsidRDefault="006356F1" w:rsidP="00217400">
            <w:pPr>
              <w:rPr>
                <w:rFonts w:ascii="Calibri" w:hAnsi="Calibri" w:cs="Calibri"/>
                <w:b/>
                <w:bCs/>
                <w:color w:val="000000"/>
                <w:sz w:val="18"/>
                <w:szCs w:val="24"/>
              </w:rPr>
            </w:pPr>
            <w:r w:rsidRPr="00AF7897">
              <w:rPr>
                <w:rFonts w:ascii="Calibri" w:hAnsi="Calibri" w:cs="Calibri"/>
                <w:b/>
                <w:bCs/>
                <w:color w:val="000000"/>
                <w:sz w:val="18"/>
                <w:szCs w:val="24"/>
              </w:rPr>
              <w:t>Fabricação de açúcar em bruto</w:t>
            </w:r>
          </w:p>
        </w:tc>
        <w:tc>
          <w:tcPr>
            <w:tcW w:w="1508" w:type="dxa"/>
            <w:tcBorders>
              <w:top w:val="nil"/>
              <w:left w:val="nil"/>
              <w:bottom w:val="single" w:sz="4" w:space="0" w:color="auto"/>
              <w:right w:val="single" w:sz="4" w:space="0" w:color="auto"/>
            </w:tcBorders>
            <w:shd w:val="clear" w:color="auto" w:fill="auto"/>
            <w:noWrap/>
            <w:vAlign w:val="bottom"/>
            <w:hideMark/>
          </w:tcPr>
          <w:p w14:paraId="694FA2EC"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2F2A39A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01F2E0E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288" w:type="dxa"/>
            <w:tcBorders>
              <w:top w:val="nil"/>
              <w:left w:val="nil"/>
              <w:bottom w:val="single" w:sz="4" w:space="0" w:color="auto"/>
              <w:right w:val="single" w:sz="4" w:space="0" w:color="auto"/>
            </w:tcBorders>
            <w:shd w:val="clear" w:color="auto" w:fill="auto"/>
            <w:noWrap/>
            <w:vAlign w:val="bottom"/>
            <w:hideMark/>
          </w:tcPr>
          <w:p w14:paraId="5DAA2BCC"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645F07F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r>
      <w:tr w:rsidR="006356F1" w:rsidRPr="00AF7897" w14:paraId="245554FB"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2487957"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3163BEA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1.191</w:t>
            </w:r>
          </w:p>
        </w:tc>
        <w:tc>
          <w:tcPr>
            <w:tcW w:w="1508" w:type="dxa"/>
            <w:tcBorders>
              <w:top w:val="nil"/>
              <w:left w:val="nil"/>
              <w:bottom w:val="single" w:sz="4" w:space="0" w:color="auto"/>
              <w:right w:val="single" w:sz="4" w:space="0" w:color="auto"/>
            </w:tcBorders>
            <w:shd w:val="clear" w:color="auto" w:fill="auto"/>
            <w:noWrap/>
            <w:vAlign w:val="bottom"/>
            <w:hideMark/>
          </w:tcPr>
          <w:p w14:paraId="5A968B93"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582</w:t>
            </w:r>
          </w:p>
        </w:tc>
        <w:tc>
          <w:tcPr>
            <w:tcW w:w="1508" w:type="dxa"/>
            <w:tcBorders>
              <w:top w:val="nil"/>
              <w:left w:val="nil"/>
              <w:bottom w:val="single" w:sz="4" w:space="0" w:color="auto"/>
              <w:right w:val="single" w:sz="4" w:space="0" w:color="auto"/>
            </w:tcBorders>
            <w:shd w:val="clear" w:color="auto" w:fill="auto"/>
            <w:noWrap/>
            <w:vAlign w:val="bottom"/>
            <w:hideMark/>
          </w:tcPr>
          <w:p w14:paraId="5C7574F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932</w:t>
            </w:r>
          </w:p>
        </w:tc>
        <w:tc>
          <w:tcPr>
            <w:tcW w:w="1288" w:type="dxa"/>
            <w:tcBorders>
              <w:top w:val="nil"/>
              <w:left w:val="nil"/>
              <w:bottom w:val="single" w:sz="4" w:space="0" w:color="auto"/>
              <w:right w:val="single" w:sz="4" w:space="0" w:color="auto"/>
            </w:tcBorders>
            <w:shd w:val="clear" w:color="auto" w:fill="auto"/>
            <w:noWrap/>
            <w:vAlign w:val="bottom"/>
            <w:hideMark/>
          </w:tcPr>
          <w:p w14:paraId="2116386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-51,1</w:t>
            </w:r>
          </w:p>
        </w:tc>
        <w:tc>
          <w:tcPr>
            <w:tcW w:w="1134" w:type="dxa"/>
            <w:tcBorders>
              <w:top w:val="nil"/>
              <w:left w:val="nil"/>
              <w:bottom w:val="single" w:sz="4" w:space="0" w:color="auto"/>
              <w:right w:val="single" w:sz="4" w:space="0" w:color="auto"/>
            </w:tcBorders>
            <w:shd w:val="clear" w:color="auto" w:fill="auto"/>
            <w:noWrap/>
            <w:vAlign w:val="bottom"/>
            <w:hideMark/>
          </w:tcPr>
          <w:p w14:paraId="6C7D774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60,1</w:t>
            </w:r>
          </w:p>
        </w:tc>
      </w:tr>
      <w:tr w:rsidR="006356F1" w:rsidRPr="00AF7897" w14:paraId="0F998D12"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78A9DC9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2780DB5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9.528</w:t>
            </w:r>
          </w:p>
        </w:tc>
        <w:tc>
          <w:tcPr>
            <w:tcW w:w="1508" w:type="dxa"/>
            <w:tcBorders>
              <w:top w:val="nil"/>
              <w:left w:val="nil"/>
              <w:bottom w:val="single" w:sz="4" w:space="0" w:color="auto"/>
              <w:right w:val="single" w:sz="4" w:space="0" w:color="auto"/>
            </w:tcBorders>
            <w:shd w:val="clear" w:color="auto" w:fill="auto"/>
            <w:noWrap/>
            <w:vAlign w:val="bottom"/>
            <w:hideMark/>
          </w:tcPr>
          <w:p w14:paraId="156C22FA"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9.167</w:t>
            </w:r>
          </w:p>
        </w:tc>
        <w:tc>
          <w:tcPr>
            <w:tcW w:w="1508" w:type="dxa"/>
            <w:tcBorders>
              <w:top w:val="nil"/>
              <w:left w:val="nil"/>
              <w:bottom w:val="single" w:sz="4" w:space="0" w:color="auto"/>
              <w:right w:val="single" w:sz="4" w:space="0" w:color="auto"/>
            </w:tcBorders>
            <w:shd w:val="clear" w:color="auto" w:fill="auto"/>
            <w:noWrap/>
            <w:vAlign w:val="bottom"/>
            <w:hideMark/>
          </w:tcPr>
          <w:p w14:paraId="7086A06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7.586</w:t>
            </w:r>
          </w:p>
        </w:tc>
        <w:tc>
          <w:tcPr>
            <w:tcW w:w="1288" w:type="dxa"/>
            <w:tcBorders>
              <w:top w:val="nil"/>
              <w:left w:val="nil"/>
              <w:bottom w:val="single" w:sz="4" w:space="0" w:color="auto"/>
              <w:right w:val="single" w:sz="4" w:space="0" w:color="auto"/>
            </w:tcBorders>
            <w:shd w:val="clear" w:color="auto" w:fill="auto"/>
            <w:noWrap/>
            <w:vAlign w:val="bottom"/>
            <w:hideMark/>
          </w:tcPr>
          <w:p w14:paraId="77C418C8"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-3,8</w:t>
            </w:r>
          </w:p>
        </w:tc>
        <w:tc>
          <w:tcPr>
            <w:tcW w:w="1134" w:type="dxa"/>
            <w:tcBorders>
              <w:top w:val="nil"/>
              <w:left w:val="nil"/>
              <w:bottom w:val="single" w:sz="4" w:space="0" w:color="auto"/>
              <w:right w:val="single" w:sz="4" w:space="0" w:color="auto"/>
            </w:tcBorders>
            <w:shd w:val="clear" w:color="auto" w:fill="auto"/>
            <w:noWrap/>
            <w:vAlign w:val="bottom"/>
            <w:hideMark/>
          </w:tcPr>
          <w:p w14:paraId="38F7A59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-17,2</w:t>
            </w:r>
          </w:p>
        </w:tc>
      </w:tr>
      <w:tr w:rsidR="006356F1" w:rsidRPr="00AF7897" w14:paraId="6427A608"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10C5A9E2"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 em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0A12FB6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8.292.080.598,20</w:t>
            </w:r>
          </w:p>
        </w:tc>
        <w:tc>
          <w:tcPr>
            <w:tcW w:w="1508" w:type="dxa"/>
            <w:tcBorders>
              <w:top w:val="nil"/>
              <w:left w:val="nil"/>
              <w:bottom w:val="single" w:sz="4" w:space="0" w:color="auto"/>
              <w:right w:val="single" w:sz="4" w:space="0" w:color="auto"/>
            </w:tcBorders>
            <w:shd w:val="clear" w:color="auto" w:fill="auto"/>
            <w:noWrap/>
            <w:vAlign w:val="bottom"/>
            <w:hideMark/>
          </w:tcPr>
          <w:p w14:paraId="1542552A"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7.619.577.208,90</w:t>
            </w:r>
          </w:p>
        </w:tc>
        <w:tc>
          <w:tcPr>
            <w:tcW w:w="1508" w:type="dxa"/>
            <w:tcBorders>
              <w:top w:val="nil"/>
              <w:left w:val="nil"/>
              <w:bottom w:val="single" w:sz="4" w:space="0" w:color="auto"/>
              <w:right w:val="single" w:sz="4" w:space="0" w:color="auto"/>
            </w:tcBorders>
            <w:shd w:val="clear" w:color="auto" w:fill="auto"/>
            <w:noWrap/>
            <w:vAlign w:val="bottom"/>
            <w:hideMark/>
          </w:tcPr>
          <w:p w14:paraId="2CC9E415"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7.076.383.428,00</w:t>
            </w:r>
          </w:p>
        </w:tc>
        <w:tc>
          <w:tcPr>
            <w:tcW w:w="1288" w:type="dxa"/>
            <w:tcBorders>
              <w:top w:val="nil"/>
              <w:left w:val="nil"/>
              <w:bottom w:val="single" w:sz="4" w:space="0" w:color="auto"/>
              <w:right w:val="single" w:sz="4" w:space="0" w:color="auto"/>
            </w:tcBorders>
            <w:shd w:val="clear" w:color="auto" w:fill="auto"/>
            <w:noWrap/>
            <w:vAlign w:val="bottom"/>
            <w:hideMark/>
          </w:tcPr>
          <w:p w14:paraId="583FB977"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1FBB0125"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79C97996"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60196695"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 (geral)</w:t>
            </w:r>
          </w:p>
        </w:tc>
        <w:tc>
          <w:tcPr>
            <w:tcW w:w="1508" w:type="dxa"/>
            <w:tcBorders>
              <w:top w:val="nil"/>
              <w:left w:val="nil"/>
              <w:bottom w:val="single" w:sz="4" w:space="0" w:color="auto"/>
              <w:right w:val="single" w:sz="4" w:space="0" w:color="auto"/>
            </w:tcBorders>
            <w:shd w:val="clear" w:color="auto" w:fill="auto"/>
            <w:noWrap/>
            <w:vAlign w:val="bottom"/>
            <w:hideMark/>
          </w:tcPr>
          <w:p w14:paraId="49814EA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870.285,50</w:t>
            </w:r>
          </w:p>
        </w:tc>
        <w:tc>
          <w:tcPr>
            <w:tcW w:w="1508" w:type="dxa"/>
            <w:tcBorders>
              <w:top w:val="nil"/>
              <w:left w:val="nil"/>
              <w:bottom w:val="single" w:sz="4" w:space="0" w:color="auto"/>
              <w:right w:val="single" w:sz="4" w:space="0" w:color="auto"/>
            </w:tcBorders>
            <w:shd w:val="clear" w:color="auto" w:fill="auto"/>
            <w:noWrap/>
            <w:vAlign w:val="bottom"/>
            <w:hideMark/>
          </w:tcPr>
          <w:p w14:paraId="00B22A91"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831.196,40</w:t>
            </w:r>
          </w:p>
        </w:tc>
        <w:tc>
          <w:tcPr>
            <w:tcW w:w="1508" w:type="dxa"/>
            <w:tcBorders>
              <w:top w:val="nil"/>
              <w:left w:val="nil"/>
              <w:bottom w:val="single" w:sz="4" w:space="0" w:color="auto"/>
              <w:right w:val="single" w:sz="4" w:space="0" w:color="auto"/>
            </w:tcBorders>
            <w:shd w:val="clear" w:color="auto" w:fill="auto"/>
            <w:noWrap/>
            <w:vAlign w:val="bottom"/>
            <w:hideMark/>
          </w:tcPr>
          <w:p w14:paraId="4E17B95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932.821,40</w:t>
            </w:r>
          </w:p>
        </w:tc>
        <w:tc>
          <w:tcPr>
            <w:tcW w:w="1288" w:type="dxa"/>
            <w:tcBorders>
              <w:top w:val="nil"/>
              <w:left w:val="nil"/>
              <w:bottom w:val="single" w:sz="4" w:space="0" w:color="auto"/>
              <w:right w:val="single" w:sz="4" w:space="0" w:color="auto"/>
            </w:tcBorders>
            <w:shd w:val="clear" w:color="auto" w:fill="auto"/>
            <w:noWrap/>
            <w:vAlign w:val="bottom"/>
            <w:hideMark/>
          </w:tcPr>
          <w:p w14:paraId="7F2F29EE"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4F689283"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08F85795"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414A7311"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Benefícios/Emprego/mês no horizonte de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602D2B8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4.368,90</w:t>
            </w:r>
          </w:p>
        </w:tc>
        <w:tc>
          <w:tcPr>
            <w:tcW w:w="1508" w:type="dxa"/>
            <w:tcBorders>
              <w:top w:val="nil"/>
              <w:left w:val="nil"/>
              <w:bottom w:val="single" w:sz="4" w:space="0" w:color="auto"/>
              <w:right w:val="single" w:sz="4" w:space="0" w:color="auto"/>
            </w:tcBorders>
            <w:shd w:val="clear" w:color="auto" w:fill="auto"/>
            <w:noWrap/>
            <w:vAlign w:val="bottom"/>
            <w:hideMark/>
          </w:tcPr>
          <w:p w14:paraId="3FEB46B6"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4.172,70</w:t>
            </w:r>
          </w:p>
        </w:tc>
        <w:tc>
          <w:tcPr>
            <w:tcW w:w="1508" w:type="dxa"/>
            <w:tcBorders>
              <w:top w:val="nil"/>
              <w:left w:val="nil"/>
              <w:bottom w:val="single" w:sz="4" w:space="0" w:color="auto"/>
              <w:right w:val="single" w:sz="4" w:space="0" w:color="auto"/>
            </w:tcBorders>
            <w:shd w:val="clear" w:color="auto" w:fill="auto"/>
            <w:noWrap/>
            <w:vAlign w:val="bottom"/>
            <w:hideMark/>
          </w:tcPr>
          <w:p w14:paraId="4004933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4.682,80</w:t>
            </w:r>
          </w:p>
        </w:tc>
        <w:tc>
          <w:tcPr>
            <w:tcW w:w="1288" w:type="dxa"/>
            <w:tcBorders>
              <w:top w:val="nil"/>
              <w:left w:val="nil"/>
              <w:bottom w:val="single" w:sz="4" w:space="0" w:color="auto"/>
              <w:right w:val="single" w:sz="4" w:space="0" w:color="auto"/>
            </w:tcBorders>
            <w:shd w:val="clear" w:color="auto" w:fill="auto"/>
            <w:noWrap/>
            <w:vAlign w:val="bottom"/>
            <w:hideMark/>
          </w:tcPr>
          <w:p w14:paraId="0A8FF8A0"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5041D795"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190FB9F6"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3A44AA8C"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Empresa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774F9845"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27</w:t>
            </w:r>
          </w:p>
        </w:tc>
        <w:tc>
          <w:tcPr>
            <w:tcW w:w="1508" w:type="dxa"/>
            <w:tcBorders>
              <w:top w:val="nil"/>
              <w:left w:val="nil"/>
              <w:bottom w:val="single" w:sz="4" w:space="0" w:color="auto"/>
              <w:right w:val="single" w:sz="4" w:space="0" w:color="auto"/>
            </w:tcBorders>
            <w:shd w:val="clear" w:color="auto" w:fill="auto"/>
            <w:noWrap/>
            <w:vAlign w:val="bottom"/>
            <w:hideMark/>
          </w:tcPr>
          <w:p w14:paraId="43917FF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20</w:t>
            </w:r>
          </w:p>
        </w:tc>
        <w:tc>
          <w:tcPr>
            <w:tcW w:w="1508" w:type="dxa"/>
            <w:tcBorders>
              <w:top w:val="nil"/>
              <w:left w:val="nil"/>
              <w:bottom w:val="single" w:sz="4" w:space="0" w:color="auto"/>
              <w:right w:val="single" w:sz="4" w:space="0" w:color="auto"/>
            </w:tcBorders>
            <w:shd w:val="clear" w:color="auto" w:fill="auto"/>
            <w:noWrap/>
            <w:vAlign w:val="bottom"/>
            <w:hideMark/>
          </w:tcPr>
          <w:p w14:paraId="3FE7B632"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20</w:t>
            </w:r>
          </w:p>
        </w:tc>
        <w:tc>
          <w:tcPr>
            <w:tcW w:w="1288" w:type="dxa"/>
            <w:tcBorders>
              <w:top w:val="nil"/>
              <w:left w:val="nil"/>
              <w:bottom w:val="single" w:sz="4" w:space="0" w:color="auto"/>
              <w:right w:val="single" w:sz="4" w:space="0" w:color="auto"/>
            </w:tcBorders>
            <w:shd w:val="clear" w:color="auto" w:fill="auto"/>
            <w:noWrap/>
            <w:vAlign w:val="bottom"/>
            <w:hideMark/>
          </w:tcPr>
          <w:p w14:paraId="3745793A"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-25,9</w:t>
            </w:r>
          </w:p>
        </w:tc>
        <w:tc>
          <w:tcPr>
            <w:tcW w:w="1134" w:type="dxa"/>
            <w:tcBorders>
              <w:top w:val="nil"/>
              <w:left w:val="nil"/>
              <w:bottom w:val="single" w:sz="4" w:space="0" w:color="auto"/>
              <w:right w:val="single" w:sz="4" w:space="0" w:color="auto"/>
            </w:tcBorders>
            <w:shd w:val="clear" w:color="auto" w:fill="auto"/>
            <w:noWrap/>
            <w:vAlign w:val="bottom"/>
            <w:hideMark/>
          </w:tcPr>
          <w:p w14:paraId="7F487078"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0,0</w:t>
            </w:r>
          </w:p>
        </w:tc>
      </w:tr>
      <w:tr w:rsidR="006356F1" w:rsidRPr="00AF7897" w14:paraId="3ACFE39B"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B5DCA58"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Empresa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28283962"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w:t>
            </w:r>
          </w:p>
        </w:tc>
        <w:tc>
          <w:tcPr>
            <w:tcW w:w="1508" w:type="dxa"/>
            <w:tcBorders>
              <w:top w:val="nil"/>
              <w:left w:val="nil"/>
              <w:bottom w:val="single" w:sz="4" w:space="0" w:color="auto"/>
              <w:right w:val="single" w:sz="4" w:space="0" w:color="auto"/>
            </w:tcBorders>
            <w:shd w:val="clear" w:color="auto" w:fill="auto"/>
            <w:noWrap/>
            <w:vAlign w:val="bottom"/>
            <w:hideMark/>
          </w:tcPr>
          <w:p w14:paraId="2A2E2CE9"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w:t>
            </w:r>
          </w:p>
        </w:tc>
        <w:tc>
          <w:tcPr>
            <w:tcW w:w="1508" w:type="dxa"/>
            <w:tcBorders>
              <w:top w:val="nil"/>
              <w:left w:val="nil"/>
              <w:bottom w:val="single" w:sz="4" w:space="0" w:color="auto"/>
              <w:right w:val="single" w:sz="4" w:space="0" w:color="auto"/>
            </w:tcBorders>
            <w:shd w:val="clear" w:color="auto" w:fill="auto"/>
            <w:noWrap/>
            <w:vAlign w:val="bottom"/>
            <w:hideMark/>
          </w:tcPr>
          <w:p w14:paraId="487DA4F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w:t>
            </w:r>
          </w:p>
        </w:tc>
        <w:tc>
          <w:tcPr>
            <w:tcW w:w="1288" w:type="dxa"/>
            <w:tcBorders>
              <w:top w:val="nil"/>
              <w:left w:val="nil"/>
              <w:bottom w:val="single" w:sz="4" w:space="0" w:color="auto"/>
              <w:right w:val="single" w:sz="4" w:space="0" w:color="auto"/>
            </w:tcBorders>
            <w:shd w:val="clear" w:color="auto" w:fill="auto"/>
            <w:noWrap/>
            <w:vAlign w:val="bottom"/>
            <w:hideMark/>
          </w:tcPr>
          <w:p w14:paraId="172F362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0,0</w:t>
            </w:r>
          </w:p>
        </w:tc>
        <w:tc>
          <w:tcPr>
            <w:tcW w:w="1134" w:type="dxa"/>
            <w:tcBorders>
              <w:top w:val="nil"/>
              <w:left w:val="nil"/>
              <w:bottom w:val="single" w:sz="4" w:space="0" w:color="auto"/>
              <w:right w:val="single" w:sz="4" w:space="0" w:color="auto"/>
            </w:tcBorders>
            <w:shd w:val="clear" w:color="auto" w:fill="auto"/>
            <w:noWrap/>
            <w:vAlign w:val="bottom"/>
            <w:hideMark/>
          </w:tcPr>
          <w:p w14:paraId="093E6C5D"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-12,5</w:t>
            </w:r>
          </w:p>
        </w:tc>
      </w:tr>
      <w:tr w:rsidR="006356F1" w:rsidRPr="00AF7897" w14:paraId="30F05871"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545B9783" w14:textId="77777777" w:rsidR="006356F1" w:rsidRPr="00AF7897" w:rsidRDefault="006356F1" w:rsidP="00217400">
            <w:pPr>
              <w:rPr>
                <w:rFonts w:ascii="Calibri" w:hAnsi="Calibri" w:cs="Calibri"/>
                <w:b/>
                <w:bCs/>
                <w:color w:val="000000"/>
                <w:sz w:val="18"/>
                <w:szCs w:val="24"/>
              </w:rPr>
            </w:pPr>
            <w:r w:rsidRPr="00AF7897">
              <w:rPr>
                <w:rFonts w:ascii="Calibri" w:hAnsi="Calibri" w:cs="Calibri"/>
                <w:b/>
                <w:bCs/>
                <w:color w:val="000000"/>
                <w:sz w:val="18"/>
                <w:szCs w:val="24"/>
              </w:rPr>
              <w:t>Fabricação de laticínios</w:t>
            </w:r>
          </w:p>
        </w:tc>
        <w:tc>
          <w:tcPr>
            <w:tcW w:w="1508" w:type="dxa"/>
            <w:tcBorders>
              <w:top w:val="nil"/>
              <w:left w:val="nil"/>
              <w:bottom w:val="single" w:sz="4" w:space="0" w:color="auto"/>
              <w:right w:val="single" w:sz="4" w:space="0" w:color="auto"/>
            </w:tcBorders>
            <w:shd w:val="clear" w:color="auto" w:fill="auto"/>
            <w:noWrap/>
            <w:vAlign w:val="bottom"/>
            <w:hideMark/>
          </w:tcPr>
          <w:p w14:paraId="58D04D23"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4A2C1BAB"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192E54CD"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288" w:type="dxa"/>
            <w:tcBorders>
              <w:top w:val="nil"/>
              <w:left w:val="nil"/>
              <w:bottom w:val="single" w:sz="4" w:space="0" w:color="auto"/>
              <w:right w:val="single" w:sz="4" w:space="0" w:color="auto"/>
            </w:tcBorders>
            <w:shd w:val="clear" w:color="auto" w:fill="auto"/>
            <w:noWrap/>
            <w:vAlign w:val="bottom"/>
            <w:hideMark/>
          </w:tcPr>
          <w:p w14:paraId="2178029C"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1408CEC0"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r>
      <w:tr w:rsidR="006356F1" w:rsidRPr="00AF7897" w14:paraId="7DA1A8B4"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F7DC5D7"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671B73F6"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1.983</w:t>
            </w:r>
          </w:p>
        </w:tc>
        <w:tc>
          <w:tcPr>
            <w:tcW w:w="1508" w:type="dxa"/>
            <w:tcBorders>
              <w:top w:val="nil"/>
              <w:left w:val="nil"/>
              <w:bottom w:val="single" w:sz="4" w:space="0" w:color="auto"/>
              <w:right w:val="single" w:sz="4" w:space="0" w:color="auto"/>
            </w:tcBorders>
            <w:shd w:val="clear" w:color="auto" w:fill="auto"/>
            <w:noWrap/>
            <w:vAlign w:val="bottom"/>
            <w:hideMark/>
          </w:tcPr>
          <w:p w14:paraId="233CA0AD"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1.797</w:t>
            </w:r>
          </w:p>
        </w:tc>
        <w:tc>
          <w:tcPr>
            <w:tcW w:w="1508" w:type="dxa"/>
            <w:tcBorders>
              <w:top w:val="nil"/>
              <w:left w:val="nil"/>
              <w:bottom w:val="single" w:sz="4" w:space="0" w:color="auto"/>
              <w:right w:val="single" w:sz="4" w:space="0" w:color="auto"/>
            </w:tcBorders>
            <w:shd w:val="clear" w:color="auto" w:fill="auto"/>
            <w:noWrap/>
            <w:vAlign w:val="bottom"/>
            <w:hideMark/>
          </w:tcPr>
          <w:p w14:paraId="67ECCD6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1.743</w:t>
            </w:r>
          </w:p>
        </w:tc>
        <w:tc>
          <w:tcPr>
            <w:tcW w:w="1288" w:type="dxa"/>
            <w:tcBorders>
              <w:top w:val="nil"/>
              <w:left w:val="nil"/>
              <w:bottom w:val="single" w:sz="4" w:space="0" w:color="auto"/>
              <w:right w:val="single" w:sz="4" w:space="0" w:color="auto"/>
            </w:tcBorders>
            <w:shd w:val="clear" w:color="auto" w:fill="auto"/>
            <w:noWrap/>
            <w:vAlign w:val="bottom"/>
            <w:hideMark/>
          </w:tcPr>
          <w:p w14:paraId="02920B32"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-9,4</w:t>
            </w:r>
          </w:p>
        </w:tc>
        <w:tc>
          <w:tcPr>
            <w:tcW w:w="1134" w:type="dxa"/>
            <w:tcBorders>
              <w:top w:val="nil"/>
              <w:left w:val="nil"/>
              <w:bottom w:val="single" w:sz="4" w:space="0" w:color="auto"/>
              <w:right w:val="single" w:sz="4" w:space="0" w:color="auto"/>
            </w:tcBorders>
            <w:shd w:val="clear" w:color="auto" w:fill="auto"/>
            <w:noWrap/>
            <w:vAlign w:val="bottom"/>
            <w:hideMark/>
          </w:tcPr>
          <w:p w14:paraId="37C437E9"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-3,0</w:t>
            </w:r>
          </w:p>
        </w:tc>
      </w:tr>
      <w:tr w:rsidR="006356F1" w:rsidRPr="00AF7897" w14:paraId="6BF78047"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3DD2080A"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3D8B2AD8"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4.930</w:t>
            </w:r>
          </w:p>
        </w:tc>
        <w:tc>
          <w:tcPr>
            <w:tcW w:w="1508" w:type="dxa"/>
            <w:tcBorders>
              <w:top w:val="nil"/>
              <w:left w:val="nil"/>
              <w:bottom w:val="single" w:sz="4" w:space="0" w:color="auto"/>
              <w:right w:val="single" w:sz="4" w:space="0" w:color="auto"/>
            </w:tcBorders>
            <w:shd w:val="clear" w:color="auto" w:fill="auto"/>
            <w:noWrap/>
            <w:vAlign w:val="bottom"/>
            <w:hideMark/>
          </w:tcPr>
          <w:p w14:paraId="1EF777B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4.986</w:t>
            </w:r>
          </w:p>
        </w:tc>
        <w:tc>
          <w:tcPr>
            <w:tcW w:w="1508" w:type="dxa"/>
            <w:tcBorders>
              <w:top w:val="nil"/>
              <w:left w:val="nil"/>
              <w:bottom w:val="single" w:sz="4" w:space="0" w:color="auto"/>
              <w:right w:val="single" w:sz="4" w:space="0" w:color="auto"/>
            </w:tcBorders>
            <w:shd w:val="clear" w:color="auto" w:fill="auto"/>
            <w:noWrap/>
            <w:vAlign w:val="bottom"/>
            <w:hideMark/>
          </w:tcPr>
          <w:p w14:paraId="16B75EE6"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4.861</w:t>
            </w:r>
          </w:p>
        </w:tc>
        <w:tc>
          <w:tcPr>
            <w:tcW w:w="1288" w:type="dxa"/>
            <w:tcBorders>
              <w:top w:val="nil"/>
              <w:left w:val="nil"/>
              <w:bottom w:val="single" w:sz="4" w:space="0" w:color="auto"/>
              <w:right w:val="single" w:sz="4" w:space="0" w:color="auto"/>
            </w:tcBorders>
            <w:shd w:val="clear" w:color="auto" w:fill="auto"/>
            <w:noWrap/>
            <w:vAlign w:val="bottom"/>
            <w:hideMark/>
          </w:tcPr>
          <w:p w14:paraId="13C06DBB"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1,1</w:t>
            </w:r>
          </w:p>
        </w:tc>
        <w:tc>
          <w:tcPr>
            <w:tcW w:w="1134" w:type="dxa"/>
            <w:tcBorders>
              <w:top w:val="nil"/>
              <w:left w:val="nil"/>
              <w:bottom w:val="single" w:sz="4" w:space="0" w:color="auto"/>
              <w:right w:val="single" w:sz="4" w:space="0" w:color="auto"/>
            </w:tcBorders>
            <w:shd w:val="clear" w:color="auto" w:fill="auto"/>
            <w:noWrap/>
            <w:vAlign w:val="bottom"/>
            <w:hideMark/>
          </w:tcPr>
          <w:p w14:paraId="583E600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-2,5</w:t>
            </w:r>
          </w:p>
        </w:tc>
      </w:tr>
      <w:tr w:rsidR="006356F1" w:rsidRPr="00AF7897" w14:paraId="0150730E"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11010E6B"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 em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7092E4A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5.165.533.849,90</w:t>
            </w:r>
          </w:p>
        </w:tc>
        <w:tc>
          <w:tcPr>
            <w:tcW w:w="1508" w:type="dxa"/>
            <w:tcBorders>
              <w:top w:val="nil"/>
              <w:left w:val="nil"/>
              <w:bottom w:val="single" w:sz="4" w:space="0" w:color="auto"/>
              <w:right w:val="single" w:sz="4" w:space="0" w:color="auto"/>
            </w:tcBorders>
            <w:shd w:val="clear" w:color="auto" w:fill="auto"/>
            <w:noWrap/>
            <w:vAlign w:val="bottom"/>
            <w:hideMark/>
          </w:tcPr>
          <w:p w14:paraId="4E59D273"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5.901.222.954,50</w:t>
            </w:r>
          </w:p>
        </w:tc>
        <w:tc>
          <w:tcPr>
            <w:tcW w:w="1508" w:type="dxa"/>
            <w:tcBorders>
              <w:top w:val="nil"/>
              <w:left w:val="nil"/>
              <w:bottom w:val="single" w:sz="4" w:space="0" w:color="auto"/>
              <w:right w:val="single" w:sz="4" w:space="0" w:color="auto"/>
            </w:tcBorders>
            <w:shd w:val="clear" w:color="auto" w:fill="auto"/>
            <w:noWrap/>
            <w:vAlign w:val="bottom"/>
            <w:hideMark/>
          </w:tcPr>
          <w:p w14:paraId="66EB5739"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5.851.094.227,50</w:t>
            </w:r>
          </w:p>
        </w:tc>
        <w:tc>
          <w:tcPr>
            <w:tcW w:w="1288" w:type="dxa"/>
            <w:tcBorders>
              <w:top w:val="nil"/>
              <w:left w:val="nil"/>
              <w:bottom w:val="single" w:sz="4" w:space="0" w:color="auto"/>
              <w:right w:val="single" w:sz="4" w:space="0" w:color="auto"/>
            </w:tcBorders>
            <w:shd w:val="clear" w:color="auto" w:fill="auto"/>
            <w:noWrap/>
            <w:vAlign w:val="bottom"/>
            <w:hideMark/>
          </w:tcPr>
          <w:p w14:paraId="6D7E108D"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184DF22D"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2D68279F"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65A973D"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 (geral)</w:t>
            </w:r>
          </w:p>
        </w:tc>
        <w:tc>
          <w:tcPr>
            <w:tcW w:w="1508" w:type="dxa"/>
            <w:tcBorders>
              <w:top w:val="nil"/>
              <w:left w:val="nil"/>
              <w:bottom w:val="single" w:sz="4" w:space="0" w:color="auto"/>
              <w:right w:val="single" w:sz="4" w:space="0" w:color="auto"/>
            </w:tcBorders>
            <w:shd w:val="clear" w:color="auto" w:fill="auto"/>
            <w:noWrap/>
            <w:vAlign w:val="bottom"/>
            <w:hideMark/>
          </w:tcPr>
          <w:p w14:paraId="5C68A6A6"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1.047.775,60</w:t>
            </w:r>
          </w:p>
        </w:tc>
        <w:tc>
          <w:tcPr>
            <w:tcW w:w="1508" w:type="dxa"/>
            <w:tcBorders>
              <w:top w:val="nil"/>
              <w:left w:val="nil"/>
              <w:bottom w:val="single" w:sz="4" w:space="0" w:color="auto"/>
              <w:right w:val="single" w:sz="4" w:space="0" w:color="auto"/>
            </w:tcBorders>
            <w:shd w:val="clear" w:color="auto" w:fill="auto"/>
            <w:noWrap/>
            <w:vAlign w:val="bottom"/>
            <w:hideMark/>
          </w:tcPr>
          <w:p w14:paraId="35CE091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1.183.558,60</w:t>
            </w:r>
          </w:p>
        </w:tc>
        <w:tc>
          <w:tcPr>
            <w:tcW w:w="1508" w:type="dxa"/>
            <w:tcBorders>
              <w:top w:val="nil"/>
              <w:left w:val="nil"/>
              <w:bottom w:val="single" w:sz="4" w:space="0" w:color="auto"/>
              <w:right w:val="single" w:sz="4" w:space="0" w:color="auto"/>
            </w:tcBorders>
            <w:shd w:val="clear" w:color="auto" w:fill="auto"/>
            <w:noWrap/>
            <w:vAlign w:val="bottom"/>
            <w:hideMark/>
          </w:tcPr>
          <w:p w14:paraId="3C3F0587"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1.203.681,20</w:t>
            </w:r>
          </w:p>
        </w:tc>
        <w:tc>
          <w:tcPr>
            <w:tcW w:w="1288" w:type="dxa"/>
            <w:tcBorders>
              <w:top w:val="nil"/>
              <w:left w:val="nil"/>
              <w:bottom w:val="single" w:sz="4" w:space="0" w:color="auto"/>
              <w:right w:val="single" w:sz="4" w:space="0" w:color="auto"/>
            </w:tcBorders>
            <w:shd w:val="clear" w:color="auto" w:fill="auto"/>
            <w:noWrap/>
            <w:vAlign w:val="bottom"/>
            <w:hideMark/>
          </w:tcPr>
          <w:p w14:paraId="58C3EDE6"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6F8A72EF"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6F5B1AC4"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FC4CEB7"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Benefícios/Emprego/mês no horizonte de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0C3AEEB1"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5.259,90</w:t>
            </w:r>
          </w:p>
        </w:tc>
        <w:tc>
          <w:tcPr>
            <w:tcW w:w="1508" w:type="dxa"/>
            <w:tcBorders>
              <w:top w:val="nil"/>
              <w:left w:val="nil"/>
              <w:bottom w:val="single" w:sz="4" w:space="0" w:color="auto"/>
              <w:right w:val="single" w:sz="4" w:space="0" w:color="auto"/>
            </w:tcBorders>
            <w:shd w:val="clear" w:color="auto" w:fill="auto"/>
            <w:noWrap/>
            <w:vAlign w:val="bottom"/>
            <w:hideMark/>
          </w:tcPr>
          <w:p w14:paraId="4BE3B638"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5.941,60</w:t>
            </w:r>
          </w:p>
        </w:tc>
        <w:tc>
          <w:tcPr>
            <w:tcW w:w="1508" w:type="dxa"/>
            <w:tcBorders>
              <w:top w:val="nil"/>
              <w:left w:val="nil"/>
              <w:bottom w:val="single" w:sz="4" w:space="0" w:color="auto"/>
              <w:right w:val="single" w:sz="4" w:space="0" w:color="auto"/>
            </w:tcBorders>
            <w:shd w:val="clear" w:color="auto" w:fill="auto"/>
            <w:noWrap/>
            <w:vAlign w:val="bottom"/>
            <w:hideMark/>
          </w:tcPr>
          <w:p w14:paraId="79D26BD7"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6.042,60</w:t>
            </w:r>
          </w:p>
        </w:tc>
        <w:tc>
          <w:tcPr>
            <w:tcW w:w="1288" w:type="dxa"/>
            <w:tcBorders>
              <w:top w:val="nil"/>
              <w:left w:val="nil"/>
              <w:bottom w:val="single" w:sz="4" w:space="0" w:color="auto"/>
              <w:right w:val="single" w:sz="4" w:space="0" w:color="auto"/>
            </w:tcBorders>
            <w:shd w:val="clear" w:color="auto" w:fill="auto"/>
            <w:noWrap/>
            <w:vAlign w:val="bottom"/>
            <w:hideMark/>
          </w:tcPr>
          <w:p w14:paraId="18800DB8"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039B1401"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38028A1A"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151EB815"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Empresa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5688C03D"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324</w:t>
            </w:r>
          </w:p>
        </w:tc>
        <w:tc>
          <w:tcPr>
            <w:tcW w:w="1508" w:type="dxa"/>
            <w:tcBorders>
              <w:top w:val="nil"/>
              <w:left w:val="nil"/>
              <w:bottom w:val="single" w:sz="4" w:space="0" w:color="auto"/>
              <w:right w:val="single" w:sz="4" w:space="0" w:color="auto"/>
            </w:tcBorders>
            <w:shd w:val="clear" w:color="auto" w:fill="auto"/>
            <w:noWrap/>
            <w:vAlign w:val="bottom"/>
            <w:hideMark/>
          </w:tcPr>
          <w:p w14:paraId="5743D05B"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304</w:t>
            </w:r>
          </w:p>
        </w:tc>
        <w:tc>
          <w:tcPr>
            <w:tcW w:w="1508" w:type="dxa"/>
            <w:tcBorders>
              <w:top w:val="nil"/>
              <w:left w:val="nil"/>
              <w:bottom w:val="single" w:sz="4" w:space="0" w:color="auto"/>
              <w:right w:val="single" w:sz="4" w:space="0" w:color="auto"/>
            </w:tcBorders>
            <w:shd w:val="clear" w:color="auto" w:fill="auto"/>
            <w:noWrap/>
            <w:vAlign w:val="bottom"/>
            <w:hideMark/>
          </w:tcPr>
          <w:p w14:paraId="5F9D17F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285</w:t>
            </w:r>
          </w:p>
        </w:tc>
        <w:tc>
          <w:tcPr>
            <w:tcW w:w="1288" w:type="dxa"/>
            <w:tcBorders>
              <w:top w:val="nil"/>
              <w:left w:val="nil"/>
              <w:bottom w:val="single" w:sz="4" w:space="0" w:color="auto"/>
              <w:right w:val="single" w:sz="4" w:space="0" w:color="auto"/>
            </w:tcBorders>
            <w:shd w:val="clear" w:color="auto" w:fill="auto"/>
            <w:noWrap/>
            <w:vAlign w:val="bottom"/>
            <w:hideMark/>
          </w:tcPr>
          <w:p w14:paraId="28AE1217"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-6,2</w:t>
            </w:r>
          </w:p>
        </w:tc>
        <w:tc>
          <w:tcPr>
            <w:tcW w:w="1134" w:type="dxa"/>
            <w:tcBorders>
              <w:top w:val="nil"/>
              <w:left w:val="nil"/>
              <w:bottom w:val="single" w:sz="4" w:space="0" w:color="auto"/>
              <w:right w:val="single" w:sz="4" w:space="0" w:color="auto"/>
            </w:tcBorders>
            <w:shd w:val="clear" w:color="auto" w:fill="auto"/>
            <w:noWrap/>
            <w:vAlign w:val="bottom"/>
            <w:hideMark/>
          </w:tcPr>
          <w:p w14:paraId="38F8B347"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-6,3</w:t>
            </w:r>
          </w:p>
        </w:tc>
      </w:tr>
      <w:tr w:rsidR="006356F1" w:rsidRPr="00AF7897" w14:paraId="638B5C3B"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5478E315"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lastRenderedPageBreak/>
              <w:t>Empresa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3CAC7C17"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27</w:t>
            </w:r>
          </w:p>
        </w:tc>
        <w:tc>
          <w:tcPr>
            <w:tcW w:w="1508" w:type="dxa"/>
            <w:tcBorders>
              <w:top w:val="nil"/>
              <w:left w:val="nil"/>
              <w:bottom w:val="single" w:sz="4" w:space="0" w:color="auto"/>
              <w:right w:val="single" w:sz="4" w:space="0" w:color="auto"/>
            </w:tcBorders>
            <w:shd w:val="clear" w:color="auto" w:fill="auto"/>
            <w:noWrap/>
            <w:vAlign w:val="bottom"/>
            <w:hideMark/>
          </w:tcPr>
          <w:p w14:paraId="40214191"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27</w:t>
            </w:r>
          </w:p>
        </w:tc>
        <w:tc>
          <w:tcPr>
            <w:tcW w:w="1508" w:type="dxa"/>
            <w:tcBorders>
              <w:top w:val="nil"/>
              <w:left w:val="nil"/>
              <w:bottom w:val="single" w:sz="4" w:space="0" w:color="auto"/>
              <w:right w:val="single" w:sz="4" w:space="0" w:color="auto"/>
            </w:tcBorders>
            <w:shd w:val="clear" w:color="auto" w:fill="auto"/>
            <w:noWrap/>
            <w:vAlign w:val="bottom"/>
            <w:hideMark/>
          </w:tcPr>
          <w:p w14:paraId="56DD2EE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28</w:t>
            </w:r>
          </w:p>
        </w:tc>
        <w:tc>
          <w:tcPr>
            <w:tcW w:w="1288" w:type="dxa"/>
            <w:tcBorders>
              <w:top w:val="nil"/>
              <w:left w:val="nil"/>
              <w:bottom w:val="single" w:sz="4" w:space="0" w:color="auto"/>
              <w:right w:val="single" w:sz="4" w:space="0" w:color="auto"/>
            </w:tcBorders>
            <w:shd w:val="clear" w:color="auto" w:fill="auto"/>
            <w:noWrap/>
            <w:vAlign w:val="bottom"/>
            <w:hideMark/>
          </w:tcPr>
          <w:p w14:paraId="7E5CCB26"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0,0</w:t>
            </w:r>
          </w:p>
        </w:tc>
        <w:tc>
          <w:tcPr>
            <w:tcW w:w="1134" w:type="dxa"/>
            <w:tcBorders>
              <w:top w:val="nil"/>
              <w:left w:val="nil"/>
              <w:bottom w:val="single" w:sz="4" w:space="0" w:color="auto"/>
              <w:right w:val="single" w:sz="4" w:space="0" w:color="auto"/>
            </w:tcBorders>
            <w:shd w:val="clear" w:color="auto" w:fill="auto"/>
            <w:noWrap/>
            <w:vAlign w:val="bottom"/>
            <w:hideMark/>
          </w:tcPr>
          <w:p w14:paraId="48EA6757"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3,7</w:t>
            </w:r>
          </w:p>
        </w:tc>
      </w:tr>
      <w:tr w:rsidR="006356F1" w:rsidRPr="00AF7897" w14:paraId="767ACBD8"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745E2549" w14:textId="77777777" w:rsidR="006356F1" w:rsidRPr="00AF7897" w:rsidRDefault="006356F1" w:rsidP="00217400">
            <w:pPr>
              <w:rPr>
                <w:rFonts w:ascii="Calibri" w:hAnsi="Calibri" w:cs="Calibri"/>
                <w:b/>
                <w:bCs/>
                <w:color w:val="000000"/>
                <w:sz w:val="18"/>
                <w:szCs w:val="24"/>
              </w:rPr>
            </w:pPr>
            <w:r w:rsidRPr="00AF7897">
              <w:rPr>
                <w:rFonts w:ascii="Calibri" w:hAnsi="Calibri" w:cs="Calibri"/>
                <w:b/>
                <w:bCs/>
                <w:color w:val="000000"/>
                <w:sz w:val="18"/>
                <w:szCs w:val="24"/>
              </w:rPr>
              <w:t>Fabricação de medicamentos para uso humano</w:t>
            </w:r>
          </w:p>
        </w:tc>
        <w:tc>
          <w:tcPr>
            <w:tcW w:w="1508" w:type="dxa"/>
            <w:tcBorders>
              <w:top w:val="nil"/>
              <w:left w:val="nil"/>
              <w:bottom w:val="single" w:sz="4" w:space="0" w:color="auto"/>
              <w:right w:val="single" w:sz="4" w:space="0" w:color="auto"/>
            </w:tcBorders>
            <w:shd w:val="clear" w:color="auto" w:fill="auto"/>
            <w:noWrap/>
            <w:vAlign w:val="bottom"/>
            <w:hideMark/>
          </w:tcPr>
          <w:p w14:paraId="5AC96A43"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7BFE7935"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508" w:type="dxa"/>
            <w:tcBorders>
              <w:top w:val="nil"/>
              <w:left w:val="nil"/>
              <w:bottom w:val="single" w:sz="4" w:space="0" w:color="auto"/>
              <w:right w:val="single" w:sz="4" w:space="0" w:color="auto"/>
            </w:tcBorders>
            <w:shd w:val="clear" w:color="auto" w:fill="auto"/>
            <w:noWrap/>
            <w:vAlign w:val="bottom"/>
            <w:hideMark/>
          </w:tcPr>
          <w:p w14:paraId="6C7CE388"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288" w:type="dxa"/>
            <w:tcBorders>
              <w:top w:val="nil"/>
              <w:left w:val="nil"/>
              <w:bottom w:val="single" w:sz="4" w:space="0" w:color="auto"/>
              <w:right w:val="single" w:sz="4" w:space="0" w:color="auto"/>
            </w:tcBorders>
            <w:shd w:val="clear" w:color="auto" w:fill="auto"/>
            <w:noWrap/>
            <w:vAlign w:val="bottom"/>
            <w:hideMark/>
          </w:tcPr>
          <w:p w14:paraId="0E31CD3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279ABE14"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 </w:t>
            </w:r>
          </w:p>
        </w:tc>
      </w:tr>
      <w:tr w:rsidR="006356F1" w:rsidRPr="00AF7897" w14:paraId="394DE32E"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5FEB21B7"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5A795A3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4.351</w:t>
            </w:r>
          </w:p>
        </w:tc>
        <w:tc>
          <w:tcPr>
            <w:tcW w:w="1508" w:type="dxa"/>
            <w:tcBorders>
              <w:top w:val="nil"/>
              <w:left w:val="nil"/>
              <w:bottom w:val="single" w:sz="4" w:space="0" w:color="auto"/>
              <w:right w:val="single" w:sz="4" w:space="0" w:color="auto"/>
            </w:tcBorders>
            <w:shd w:val="clear" w:color="auto" w:fill="auto"/>
            <w:noWrap/>
            <w:vAlign w:val="bottom"/>
            <w:hideMark/>
          </w:tcPr>
          <w:p w14:paraId="7C880AE2"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4.655</w:t>
            </w:r>
          </w:p>
        </w:tc>
        <w:tc>
          <w:tcPr>
            <w:tcW w:w="1508" w:type="dxa"/>
            <w:tcBorders>
              <w:top w:val="nil"/>
              <w:left w:val="nil"/>
              <w:bottom w:val="single" w:sz="4" w:space="0" w:color="auto"/>
              <w:right w:val="single" w:sz="4" w:space="0" w:color="auto"/>
            </w:tcBorders>
            <w:shd w:val="clear" w:color="auto" w:fill="auto"/>
            <w:noWrap/>
            <w:vAlign w:val="bottom"/>
            <w:hideMark/>
          </w:tcPr>
          <w:p w14:paraId="0A1684C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4.446</w:t>
            </w:r>
          </w:p>
        </w:tc>
        <w:tc>
          <w:tcPr>
            <w:tcW w:w="1288" w:type="dxa"/>
            <w:tcBorders>
              <w:top w:val="nil"/>
              <w:left w:val="nil"/>
              <w:bottom w:val="single" w:sz="4" w:space="0" w:color="auto"/>
              <w:right w:val="single" w:sz="4" w:space="0" w:color="auto"/>
            </w:tcBorders>
            <w:shd w:val="clear" w:color="auto" w:fill="auto"/>
            <w:noWrap/>
            <w:vAlign w:val="bottom"/>
            <w:hideMark/>
          </w:tcPr>
          <w:p w14:paraId="1CF17A53"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7,0</w:t>
            </w:r>
          </w:p>
        </w:tc>
        <w:tc>
          <w:tcPr>
            <w:tcW w:w="1134" w:type="dxa"/>
            <w:tcBorders>
              <w:top w:val="nil"/>
              <w:left w:val="nil"/>
              <w:bottom w:val="single" w:sz="4" w:space="0" w:color="auto"/>
              <w:right w:val="single" w:sz="4" w:space="0" w:color="auto"/>
            </w:tcBorders>
            <w:shd w:val="clear" w:color="auto" w:fill="auto"/>
            <w:noWrap/>
            <w:vAlign w:val="bottom"/>
            <w:hideMark/>
          </w:tcPr>
          <w:p w14:paraId="76EE916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-4,5</w:t>
            </w:r>
          </w:p>
        </w:tc>
      </w:tr>
      <w:tr w:rsidR="006356F1" w:rsidRPr="00AF7897" w14:paraId="1AF15DD4"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7C113ACB"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Emprego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3C096AD8"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6.872</w:t>
            </w:r>
          </w:p>
        </w:tc>
        <w:tc>
          <w:tcPr>
            <w:tcW w:w="1508" w:type="dxa"/>
            <w:tcBorders>
              <w:top w:val="nil"/>
              <w:left w:val="nil"/>
              <w:bottom w:val="single" w:sz="4" w:space="0" w:color="auto"/>
              <w:right w:val="single" w:sz="4" w:space="0" w:color="auto"/>
            </w:tcBorders>
            <w:shd w:val="clear" w:color="auto" w:fill="auto"/>
            <w:noWrap/>
            <w:vAlign w:val="bottom"/>
            <w:hideMark/>
          </w:tcPr>
          <w:p w14:paraId="5054A5ED"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6.666</w:t>
            </w:r>
          </w:p>
        </w:tc>
        <w:tc>
          <w:tcPr>
            <w:tcW w:w="1508" w:type="dxa"/>
            <w:tcBorders>
              <w:top w:val="nil"/>
              <w:left w:val="nil"/>
              <w:bottom w:val="single" w:sz="4" w:space="0" w:color="auto"/>
              <w:right w:val="single" w:sz="4" w:space="0" w:color="auto"/>
            </w:tcBorders>
            <w:shd w:val="clear" w:color="auto" w:fill="auto"/>
            <w:noWrap/>
            <w:vAlign w:val="bottom"/>
            <w:hideMark/>
          </w:tcPr>
          <w:p w14:paraId="5A6E5D8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6.802</w:t>
            </w:r>
          </w:p>
        </w:tc>
        <w:tc>
          <w:tcPr>
            <w:tcW w:w="1288" w:type="dxa"/>
            <w:tcBorders>
              <w:top w:val="nil"/>
              <w:left w:val="nil"/>
              <w:bottom w:val="single" w:sz="4" w:space="0" w:color="auto"/>
              <w:right w:val="single" w:sz="4" w:space="0" w:color="auto"/>
            </w:tcBorders>
            <w:shd w:val="clear" w:color="auto" w:fill="auto"/>
            <w:noWrap/>
            <w:vAlign w:val="bottom"/>
            <w:hideMark/>
          </w:tcPr>
          <w:p w14:paraId="5707A5A4"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-3,0</w:t>
            </w:r>
          </w:p>
        </w:tc>
        <w:tc>
          <w:tcPr>
            <w:tcW w:w="1134" w:type="dxa"/>
            <w:tcBorders>
              <w:top w:val="nil"/>
              <w:left w:val="nil"/>
              <w:bottom w:val="single" w:sz="4" w:space="0" w:color="auto"/>
              <w:right w:val="single" w:sz="4" w:space="0" w:color="auto"/>
            </w:tcBorders>
            <w:shd w:val="clear" w:color="auto" w:fill="auto"/>
            <w:noWrap/>
            <w:vAlign w:val="bottom"/>
            <w:hideMark/>
          </w:tcPr>
          <w:p w14:paraId="5B6A5FFD"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2,0</w:t>
            </w:r>
          </w:p>
        </w:tc>
      </w:tr>
      <w:tr w:rsidR="006356F1" w:rsidRPr="00AF7897" w14:paraId="736C478B"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38A95D97"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 em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54783FF2"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6.261.848.926,30</w:t>
            </w:r>
          </w:p>
        </w:tc>
        <w:tc>
          <w:tcPr>
            <w:tcW w:w="1508" w:type="dxa"/>
            <w:tcBorders>
              <w:top w:val="nil"/>
              <w:left w:val="nil"/>
              <w:bottom w:val="single" w:sz="4" w:space="0" w:color="auto"/>
              <w:right w:val="single" w:sz="4" w:space="0" w:color="auto"/>
            </w:tcBorders>
            <w:shd w:val="clear" w:color="auto" w:fill="auto"/>
            <w:noWrap/>
            <w:vAlign w:val="bottom"/>
            <w:hideMark/>
          </w:tcPr>
          <w:p w14:paraId="243A1BC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4.951.448.630,20</w:t>
            </w:r>
          </w:p>
        </w:tc>
        <w:tc>
          <w:tcPr>
            <w:tcW w:w="1508" w:type="dxa"/>
            <w:tcBorders>
              <w:top w:val="nil"/>
              <w:left w:val="nil"/>
              <w:bottom w:val="single" w:sz="4" w:space="0" w:color="auto"/>
              <w:right w:val="single" w:sz="4" w:space="0" w:color="auto"/>
            </w:tcBorders>
            <w:shd w:val="clear" w:color="auto" w:fill="auto"/>
            <w:noWrap/>
            <w:vAlign w:val="bottom"/>
            <w:hideMark/>
          </w:tcPr>
          <w:p w14:paraId="64496F19"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4.072.753.248,90</w:t>
            </w:r>
          </w:p>
        </w:tc>
        <w:tc>
          <w:tcPr>
            <w:tcW w:w="1288" w:type="dxa"/>
            <w:tcBorders>
              <w:top w:val="nil"/>
              <w:left w:val="nil"/>
              <w:bottom w:val="single" w:sz="4" w:space="0" w:color="auto"/>
              <w:right w:val="single" w:sz="4" w:space="0" w:color="auto"/>
            </w:tcBorders>
            <w:shd w:val="clear" w:color="auto" w:fill="auto"/>
            <w:noWrap/>
            <w:vAlign w:val="bottom"/>
            <w:hideMark/>
          </w:tcPr>
          <w:p w14:paraId="7037F3F0"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2D962092"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1592CAB5"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1C019CC7"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 (geral)</w:t>
            </w:r>
          </w:p>
        </w:tc>
        <w:tc>
          <w:tcPr>
            <w:tcW w:w="1508" w:type="dxa"/>
            <w:tcBorders>
              <w:top w:val="nil"/>
              <w:left w:val="nil"/>
              <w:bottom w:val="single" w:sz="4" w:space="0" w:color="auto"/>
              <w:right w:val="single" w:sz="4" w:space="0" w:color="auto"/>
            </w:tcBorders>
            <w:shd w:val="clear" w:color="auto" w:fill="auto"/>
            <w:noWrap/>
            <w:vAlign w:val="bottom"/>
            <w:hideMark/>
          </w:tcPr>
          <w:p w14:paraId="04E84CB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911.212,00</w:t>
            </w:r>
          </w:p>
        </w:tc>
        <w:tc>
          <w:tcPr>
            <w:tcW w:w="1508" w:type="dxa"/>
            <w:tcBorders>
              <w:top w:val="nil"/>
              <w:left w:val="nil"/>
              <w:bottom w:val="single" w:sz="4" w:space="0" w:color="auto"/>
              <w:right w:val="single" w:sz="4" w:space="0" w:color="auto"/>
            </w:tcBorders>
            <w:shd w:val="clear" w:color="auto" w:fill="auto"/>
            <w:noWrap/>
            <w:vAlign w:val="bottom"/>
            <w:hideMark/>
          </w:tcPr>
          <w:p w14:paraId="5ED4F5AE"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742.791,60</w:t>
            </w:r>
          </w:p>
        </w:tc>
        <w:tc>
          <w:tcPr>
            <w:tcW w:w="1508" w:type="dxa"/>
            <w:tcBorders>
              <w:top w:val="nil"/>
              <w:left w:val="nil"/>
              <w:bottom w:val="single" w:sz="4" w:space="0" w:color="auto"/>
              <w:right w:val="single" w:sz="4" w:space="0" w:color="auto"/>
            </w:tcBorders>
            <w:shd w:val="clear" w:color="auto" w:fill="auto"/>
            <w:noWrap/>
            <w:vAlign w:val="bottom"/>
            <w:hideMark/>
          </w:tcPr>
          <w:p w14:paraId="2AE1FA31"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598.758,20</w:t>
            </w:r>
          </w:p>
        </w:tc>
        <w:tc>
          <w:tcPr>
            <w:tcW w:w="1288" w:type="dxa"/>
            <w:tcBorders>
              <w:top w:val="nil"/>
              <w:left w:val="nil"/>
              <w:bottom w:val="single" w:sz="4" w:space="0" w:color="auto"/>
              <w:right w:val="single" w:sz="4" w:space="0" w:color="auto"/>
            </w:tcBorders>
            <w:shd w:val="clear" w:color="auto" w:fill="auto"/>
            <w:noWrap/>
            <w:vAlign w:val="bottom"/>
            <w:hideMark/>
          </w:tcPr>
          <w:p w14:paraId="3A47E572"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733A105E"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4FA41879"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3B772C3D"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Benefícios/Emprego/mês no horizonte de fruição (R$)</w:t>
            </w:r>
          </w:p>
        </w:tc>
        <w:tc>
          <w:tcPr>
            <w:tcW w:w="1508" w:type="dxa"/>
            <w:tcBorders>
              <w:top w:val="nil"/>
              <w:left w:val="nil"/>
              <w:bottom w:val="single" w:sz="4" w:space="0" w:color="auto"/>
              <w:right w:val="single" w:sz="4" w:space="0" w:color="auto"/>
            </w:tcBorders>
            <w:shd w:val="clear" w:color="auto" w:fill="auto"/>
            <w:noWrap/>
            <w:vAlign w:val="bottom"/>
            <w:hideMark/>
          </w:tcPr>
          <w:p w14:paraId="65E8F99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4.574,40</w:t>
            </w:r>
          </w:p>
        </w:tc>
        <w:tc>
          <w:tcPr>
            <w:tcW w:w="1508" w:type="dxa"/>
            <w:tcBorders>
              <w:top w:val="nil"/>
              <w:left w:val="nil"/>
              <w:bottom w:val="single" w:sz="4" w:space="0" w:color="auto"/>
              <w:right w:val="single" w:sz="4" w:space="0" w:color="auto"/>
            </w:tcBorders>
            <w:shd w:val="clear" w:color="auto" w:fill="auto"/>
            <w:noWrap/>
            <w:vAlign w:val="bottom"/>
            <w:hideMark/>
          </w:tcPr>
          <w:p w14:paraId="35BD4452"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3.728,90</w:t>
            </w:r>
          </w:p>
        </w:tc>
        <w:tc>
          <w:tcPr>
            <w:tcW w:w="1508" w:type="dxa"/>
            <w:tcBorders>
              <w:top w:val="nil"/>
              <w:left w:val="nil"/>
              <w:bottom w:val="single" w:sz="4" w:space="0" w:color="auto"/>
              <w:right w:val="single" w:sz="4" w:space="0" w:color="auto"/>
            </w:tcBorders>
            <w:shd w:val="clear" w:color="auto" w:fill="auto"/>
            <w:noWrap/>
            <w:vAlign w:val="bottom"/>
            <w:hideMark/>
          </w:tcPr>
          <w:p w14:paraId="38F2C56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3.005,80</w:t>
            </w:r>
          </w:p>
        </w:tc>
        <w:tc>
          <w:tcPr>
            <w:tcW w:w="1288" w:type="dxa"/>
            <w:tcBorders>
              <w:top w:val="nil"/>
              <w:left w:val="nil"/>
              <w:bottom w:val="single" w:sz="4" w:space="0" w:color="auto"/>
              <w:right w:val="single" w:sz="4" w:space="0" w:color="auto"/>
            </w:tcBorders>
            <w:shd w:val="clear" w:color="auto" w:fill="auto"/>
            <w:noWrap/>
            <w:vAlign w:val="bottom"/>
            <w:hideMark/>
          </w:tcPr>
          <w:p w14:paraId="548C8C96"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c>
          <w:tcPr>
            <w:tcW w:w="1134" w:type="dxa"/>
            <w:tcBorders>
              <w:top w:val="nil"/>
              <w:left w:val="nil"/>
              <w:bottom w:val="single" w:sz="4" w:space="0" w:color="auto"/>
              <w:right w:val="single" w:sz="4" w:space="0" w:color="auto"/>
            </w:tcBorders>
            <w:shd w:val="clear" w:color="auto" w:fill="auto"/>
            <w:noWrap/>
            <w:vAlign w:val="bottom"/>
            <w:hideMark/>
          </w:tcPr>
          <w:p w14:paraId="2EFA33DB"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w:t>
            </w:r>
          </w:p>
        </w:tc>
      </w:tr>
      <w:tr w:rsidR="006356F1" w:rsidRPr="00AF7897" w14:paraId="23C61275"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654BB17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Empresa fora dos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23E44ECB"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45</w:t>
            </w:r>
          </w:p>
        </w:tc>
        <w:tc>
          <w:tcPr>
            <w:tcW w:w="1508" w:type="dxa"/>
            <w:tcBorders>
              <w:top w:val="nil"/>
              <w:left w:val="nil"/>
              <w:bottom w:val="single" w:sz="4" w:space="0" w:color="auto"/>
              <w:right w:val="single" w:sz="4" w:space="0" w:color="auto"/>
            </w:tcBorders>
            <w:shd w:val="clear" w:color="auto" w:fill="auto"/>
            <w:noWrap/>
            <w:vAlign w:val="bottom"/>
            <w:hideMark/>
          </w:tcPr>
          <w:p w14:paraId="08AF817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47</w:t>
            </w:r>
          </w:p>
        </w:tc>
        <w:tc>
          <w:tcPr>
            <w:tcW w:w="1508" w:type="dxa"/>
            <w:tcBorders>
              <w:top w:val="nil"/>
              <w:left w:val="nil"/>
              <w:bottom w:val="single" w:sz="4" w:space="0" w:color="auto"/>
              <w:right w:val="single" w:sz="4" w:space="0" w:color="auto"/>
            </w:tcBorders>
            <w:shd w:val="clear" w:color="auto" w:fill="auto"/>
            <w:noWrap/>
            <w:vAlign w:val="bottom"/>
            <w:hideMark/>
          </w:tcPr>
          <w:p w14:paraId="5005684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42</w:t>
            </w:r>
          </w:p>
        </w:tc>
        <w:tc>
          <w:tcPr>
            <w:tcW w:w="1288" w:type="dxa"/>
            <w:tcBorders>
              <w:top w:val="nil"/>
              <w:left w:val="nil"/>
              <w:bottom w:val="single" w:sz="4" w:space="0" w:color="auto"/>
              <w:right w:val="single" w:sz="4" w:space="0" w:color="auto"/>
            </w:tcBorders>
            <w:shd w:val="clear" w:color="auto" w:fill="auto"/>
            <w:noWrap/>
            <w:vAlign w:val="bottom"/>
            <w:hideMark/>
          </w:tcPr>
          <w:p w14:paraId="7A7F17CD"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4,4</w:t>
            </w:r>
          </w:p>
        </w:tc>
        <w:tc>
          <w:tcPr>
            <w:tcW w:w="1134" w:type="dxa"/>
            <w:tcBorders>
              <w:top w:val="nil"/>
              <w:left w:val="nil"/>
              <w:bottom w:val="single" w:sz="4" w:space="0" w:color="auto"/>
              <w:right w:val="single" w:sz="4" w:space="0" w:color="auto"/>
            </w:tcBorders>
            <w:shd w:val="clear" w:color="auto" w:fill="auto"/>
            <w:noWrap/>
            <w:vAlign w:val="bottom"/>
            <w:hideMark/>
          </w:tcPr>
          <w:p w14:paraId="78C11EC3"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-10,6</w:t>
            </w:r>
          </w:p>
        </w:tc>
      </w:tr>
      <w:tr w:rsidR="006356F1" w:rsidRPr="00AF7897" w14:paraId="28527A78" w14:textId="77777777" w:rsidTr="00217400">
        <w:trPr>
          <w:trHeight w:val="402"/>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0BED079" w14:textId="77777777" w:rsidR="006356F1" w:rsidRPr="00AF7897" w:rsidRDefault="006356F1" w:rsidP="00217400">
            <w:pPr>
              <w:rPr>
                <w:rFonts w:ascii="Calibri" w:hAnsi="Calibri" w:cs="Calibri"/>
                <w:color w:val="000000"/>
                <w:sz w:val="18"/>
                <w:szCs w:val="22"/>
              </w:rPr>
            </w:pPr>
            <w:r w:rsidRPr="00AF7897">
              <w:rPr>
                <w:rFonts w:ascii="Calibri" w:hAnsi="Calibri" w:cs="Calibri"/>
                <w:color w:val="000000"/>
                <w:sz w:val="18"/>
                <w:szCs w:val="22"/>
              </w:rPr>
              <w:t>Empresa nos Programas</w:t>
            </w:r>
          </w:p>
        </w:tc>
        <w:tc>
          <w:tcPr>
            <w:tcW w:w="1508" w:type="dxa"/>
            <w:tcBorders>
              <w:top w:val="nil"/>
              <w:left w:val="nil"/>
              <w:bottom w:val="single" w:sz="4" w:space="0" w:color="auto"/>
              <w:right w:val="single" w:sz="4" w:space="0" w:color="auto"/>
            </w:tcBorders>
            <w:shd w:val="clear" w:color="auto" w:fill="auto"/>
            <w:noWrap/>
            <w:vAlign w:val="bottom"/>
            <w:hideMark/>
          </w:tcPr>
          <w:p w14:paraId="33506DC0"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12</w:t>
            </w:r>
          </w:p>
        </w:tc>
        <w:tc>
          <w:tcPr>
            <w:tcW w:w="1508" w:type="dxa"/>
            <w:tcBorders>
              <w:top w:val="nil"/>
              <w:left w:val="nil"/>
              <w:bottom w:val="single" w:sz="4" w:space="0" w:color="auto"/>
              <w:right w:val="single" w:sz="4" w:space="0" w:color="auto"/>
            </w:tcBorders>
            <w:shd w:val="clear" w:color="auto" w:fill="auto"/>
            <w:noWrap/>
            <w:vAlign w:val="bottom"/>
            <w:hideMark/>
          </w:tcPr>
          <w:p w14:paraId="2F8F36A5"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13</w:t>
            </w:r>
          </w:p>
        </w:tc>
        <w:tc>
          <w:tcPr>
            <w:tcW w:w="1508" w:type="dxa"/>
            <w:tcBorders>
              <w:top w:val="nil"/>
              <w:left w:val="nil"/>
              <w:bottom w:val="single" w:sz="4" w:space="0" w:color="auto"/>
              <w:right w:val="single" w:sz="4" w:space="0" w:color="auto"/>
            </w:tcBorders>
            <w:shd w:val="clear" w:color="auto" w:fill="auto"/>
            <w:noWrap/>
            <w:vAlign w:val="bottom"/>
            <w:hideMark/>
          </w:tcPr>
          <w:p w14:paraId="24301965"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15</w:t>
            </w:r>
          </w:p>
        </w:tc>
        <w:tc>
          <w:tcPr>
            <w:tcW w:w="1288" w:type="dxa"/>
            <w:tcBorders>
              <w:top w:val="nil"/>
              <w:left w:val="nil"/>
              <w:bottom w:val="single" w:sz="4" w:space="0" w:color="auto"/>
              <w:right w:val="single" w:sz="4" w:space="0" w:color="auto"/>
            </w:tcBorders>
            <w:shd w:val="clear" w:color="auto" w:fill="auto"/>
            <w:noWrap/>
            <w:vAlign w:val="bottom"/>
            <w:hideMark/>
          </w:tcPr>
          <w:p w14:paraId="644AF16C"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8,3</w:t>
            </w:r>
          </w:p>
        </w:tc>
        <w:tc>
          <w:tcPr>
            <w:tcW w:w="1134" w:type="dxa"/>
            <w:tcBorders>
              <w:top w:val="nil"/>
              <w:left w:val="nil"/>
              <w:bottom w:val="single" w:sz="4" w:space="0" w:color="auto"/>
              <w:right w:val="single" w:sz="4" w:space="0" w:color="auto"/>
            </w:tcBorders>
            <w:shd w:val="clear" w:color="auto" w:fill="auto"/>
            <w:noWrap/>
            <w:vAlign w:val="bottom"/>
            <w:hideMark/>
          </w:tcPr>
          <w:p w14:paraId="2A1CA77F" w14:textId="77777777" w:rsidR="006356F1" w:rsidRPr="00AF7897" w:rsidRDefault="006356F1" w:rsidP="00217400">
            <w:pPr>
              <w:jc w:val="right"/>
              <w:rPr>
                <w:rFonts w:ascii="Calibri" w:hAnsi="Calibri" w:cs="Calibri"/>
                <w:color w:val="000000"/>
                <w:sz w:val="18"/>
                <w:szCs w:val="22"/>
              </w:rPr>
            </w:pPr>
            <w:r w:rsidRPr="00AF7897">
              <w:rPr>
                <w:rFonts w:ascii="Calibri" w:hAnsi="Calibri" w:cs="Calibri"/>
                <w:color w:val="000000"/>
                <w:sz w:val="18"/>
                <w:szCs w:val="22"/>
              </w:rPr>
              <w:t>15,4</w:t>
            </w:r>
          </w:p>
        </w:tc>
      </w:tr>
      <w:tr w:rsidR="006356F1" w:rsidRPr="00AF7897" w14:paraId="1B4FA42C" w14:textId="77777777" w:rsidTr="00217400">
        <w:trPr>
          <w:trHeight w:val="300"/>
        </w:trPr>
        <w:tc>
          <w:tcPr>
            <w:tcW w:w="10774" w:type="dxa"/>
            <w:gridSpan w:val="6"/>
            <w:vMerge w:val="restart"/>
            <w:tcBorders>
              <w:top w:val="single" w:sz="4" w:space="0" w:color="auto"/>
              <w:left w:val="nil"/>
              <w:bottom w:val="nil"/>
              <w:right w:val="nil"/>
            </w:tcBorders>
            <w:shd w:val="clear" w:color="auto" w:fill="auto"/>
            <w:vAlign w:val="center"/>
            <w:hideMark/>
          </w:tcPr>
          <w:p w14:paraId="7F31246F" w14:textId="77777777" w:rsidR="006356F1" w:rsidRPr="00AF7897" w:rsidRDefault="006356F1" w:rsidP="00217400">
            <w:pPr>
              <w:rPr>
                <w:rFonts w:ascii="Calibri" w:hAnsi="Calibri" w:cs="Calibri"/>
                <w:color w:val="000000"/>
                <w:sz w:val="18"/>
                <w:szCs w:val="16"/>
              </w:rPr>
            </w:pPr>
            <w:r w:rsidRPr="00AF7897">
              <w:rPr>
                <w:rFonts w:ascii="Calibri" w:hAnsi="Calibri" w:cs="Calibri"/>
                <w:color w:val="000000"/>
                <w:sz w:val="18"/>
                <w:szCs w:val="16"/>
              </w:rPr>
              <w:t>Fonte: RAIS</w:t>
            </w:r>
            <w:r w:rsidRPr="00AF7897">
              <w:rPr>
                <w:rFonts w:ascii="Calibri" w:hAnsi="Calibri" w:cs="Calibri"/>
                <w:color w:val="000000"/>
                <w:sz w:val="18"/>
                <w:szCs w:val="16"/>
              </w:rPr>
              <w:br/>
              <w:t>Obs.: 1ª) Novamente alerta-se quanto ao uso dessas informações já que não se descontou possíveis recolhimentos de ICMS não financiado,receitas provenientes de juros, emolumentos, retorno do principal, etc.; 2ª) Os benefícios são estimados; 3) Alerta-se que não foi possível fazer a classificação CNAE em todas as empresas (19% aproximadamente), normalmente as que começaram fruir a partir de 2016.</w:t>
            </w:r>
          </w:p>
        </w:tc>
      </w:tr>
      <w:tr w:rsidR="006356F1" w:rsidRPr="00AF7897" w14:paraId="6987F066" w14:textId="77777777" w:rsidTr="00217400">
        <w:trPr>
          <w:trHeight w:val="300"/>
        </w:trPr>
        <w:tc>
          <w:tcPr>
            <w:tcW w:w="10774" w:type="dxa"/>
            <w:gridSpan w:val="6"/>
            <w:vMerge/>
            <w:tcBorders>
              <w:top w:val="single" w:sz="4" w:space="0" w:color="auto"/>
              <w:left w:val="nil"/>
              <w:bottom w:val="nil"/>
              <w:right w:val="nil"/>
            </w:tcBorders>
            <w:vAlign w:val="center"/>
            <w:hideMark/>
          </w:tcPr>
          <w:p w14:paraId="5959EA8C" w14:textId="77777777" w:rsidR="006356F1" w:rsidRPr="00AF7897" w:rsidRDefault="006356F1" w:rsidP="00217400">
            <w:pPr>
              <w:rPr>
                <w:rFonts w:ascii="Calibri" w:hAnsi="Calibri" w:cs="Calibri"/>
                <w:color w:val="000000"/>
                <w:sz w:val="18"/>
                <w:szCs w:val="16"/>
              </w:rPr>
            </w:pPr>
          </w:p>
        </w:tc>
      </w:tr>
      <w:tr w:rsidR="006356F1" w:rsidRPr="00AF7897" w14:paraId="69E326E9" w14:textId="77777777" w:rsidTr="00217400">
        <w:trPr>
          <w:trHeight w:val="300"/>
        </w:trPr>
        <w:tc>
          <w:tcPr>
            <w:tcW w:w="10774" w:type="dxa"/>
            <w:gridSpan w:val="6"/>
            <w:vMerge/>
            <w:tcBorders>
              <w:top w:val="single" w:sz="4" w:space="0" w:color="auto"/>
              <w:left w:val="nil"/>
              <w:bottom w:val="nil"/>
              <w:right w:val="nil"/>
            </w:tcBorders>
            <w:vAlign w:val="center"/>
            <w:hideMark/>
          </w:tcPr>
          <w:p w14:paraId="1F1E5658" w14:textId="77777777" w:rsidR="006356F1" w:rsidRPr="00AF7897" w:rsidRDefault="006356F1" w:rsidP="00217400">
            <w:pPr>
              <w:rPr>
                <w:rFonts w:ascii="Calibri" w:hAnsi="Calibri" w:cs="Calibri"/>
                <w:color w:val="000000"/>
                <w:sz w:val="18"/>
                <w:szCs w:val="16"/>
              </w:rPr>
            </w:pPr>
          </w:p>
        </w:tc>
      </w:tr>
    </w:tbl>
    <w:p w14:paraId="4A58BAA5" w14:textId="77777777" w:rsidR="006356F1" w:rsidRPr="0006586B" w:rsidRDefault="006356F1" w:rsidP="006356F1">
      <w:pPr>
        <w:spacing w:line="360" w:lineRule="auto"/>
        <w:ind w:firstLine="851"/>
        <w:jc w:val="both"/>
        <w:rPr>
          <w:rFonts w:ascii="Arial" w:hAnsi="Arial" w:cs="Arial"/>
          <w:sz w:val="22"/>
          <w:szCs w:val="24"/>
        </w:rPr>
      </w:pPr>
    </w:p>
    <w:p w14:paraId="48FD2B66" w14:textId="77777777" w:rsidR="006356F1" w:rsidRPr="00AB4B70" w:rsidRDefault="006356F1" w:rsidP="006356F1">
      <w:pPr>
        <w:ind w:left="2268"/>
        <w:jc w:val="both"/>
        <w:rPr>
          <w:rFonts w:ascii="Arial" w:hAnsi="Arial" w:cs="Arial"/>
          <w:sz w:val="22"/>
          <w:szCs w:val="24"/>
        </w:rPr>
      </w:pPr>
      <w:r w:rsidRPr="00AB4B70">
        <w:rPr>
          <w:rFonts w:ascii="Arial" w:hAnsi="Arial" w:cs="Arial"/>
          <w:sz w:val="22"/>
          <w:szCs w:val="24"/>
        </w:rPr>
        <w:t>Ainda com relação aos empregos, filtraram-se as informações para identificar o comportamento após o início da fruição dos benefícios. O</w:t>
      </w:r>
      <w:r>
        <w:rPr>
          <w:rFonts w:ascii="Arial" w:hAnsi="Arial" w:cs="Arial"/>
          <w:sz w:val="22"/>
          <w:szCs w:val="24"/>
        </w:rPr>
        <w:t xml:space="preserve"> o</w:t>
      </w:r>
      <w:r w:rsidRPr="00AB4B70">
        <w:rPr>
          <w:rFonts w:ascii="Arial" w:hAnsi="Arial" w:cs="Arial"/>
          <w:sz w:val="22"/>
          <w:szCs w:val="24"/>
        </w:rPr>
        <w:t>bjetivo é verificar se as empresas evoluíram no sentido de alcançar o número de empregos prometidos em projeto. Os resultados constam na Tabela 17, que segue.</w:t>
      </w:r>
    </w:p>
    <w:p w14:paraId="3376D1A1" w14:textId="77777777" w:rsidR="006356F1" w:rsidRDefault="006356F1" w:rsidP="006356F1">
      <w:pPr>
        <w:spacing w:line="360" w:lineRule="auto"/>
        <w:ind w:firstLine="851"/>
        <w:jc w:val="both"/>
        <w:rPr>
          <w:rFonts w:ascii="Arial" w:hAnsi="Arial" w:cs="Arial"/>
          <w:sz w:val="24"/>
          <w:szCs w:val="24"/>
        </w:rPr>
      </w:pPr>
    </w:p>
    <w:tbl>
      <w:tblPr>
        <w:tblpPr w:leftFromText="141" w:rightFromText="141" w:vertAnchor="text" w:horzAnchor="page" w:tblpX="1" w:tblpY="387"/>
        <w:tblW w:w="12761" w:type="dxa"/>
        <w:tblCellMar>
          <w:left w:w="70" w:type="dxa"/>
          <w:right w:w="70" w:type="dxa"/>
        </w:tblCellMar>
        <w:tblLook w:val="04A0" w:firstRow="1" w:lastRow="0" w:firstColumn="1" w:lastColumn="0" w:noHBand="0" w:noVBand="1"/>
      </w:tblPr>
      <w:tblGrid>
        <w:gridCol w:w="12761"/>
      </w:tblGrid>
      <w:tr w:rsidR="006356F1" w:rsidRPr="00AF7897" w14:paraId="03D6B7B8" w14:textId="77777777" w:rsidTr="00217400">
        <w:trPr>
          <w:trHeight w:val="300"/>
        </w:trPr>
        <w:tc>
          <w:tcPr>
            <w:tcW w:w="12761" w:type="dxa"/>
            <w:tcBorders>
              <w:top w:val="nil"/>
              <w:left w:val="nil"/>
              <w:bottom w:val="nil"/>
              <w:right w:val="nil"/>
            </w:tcBorders>
            <w:shd w:val="clear" w:color="auto" w:fill="auto"/>
            <w:noWrap/>
            <w:vAlign w:val="bottom"/>
            <w:hideMark/>
          </w:tcPr>
          <w:p w14:paraId="7054E4B4" w14:textId="77777777" w:rsidR="006356F1" w:rsidRPr="00AF7897" w:rsidRDefault="006356F1" w:rsidP="00217400">
            <w:pPr>
              <w:rPr>
                <w:rFonts w:ascii="Calibri" w:hAnsi="Calibri" w:cs="Calibri"/>
                <w:bCs/>
                <w:color w:val="000000"/>
                <w:sz w:val="14"/>
                <w:szCs w:val="22"/>
              </w:rPr>
            </w:pPr>
            <w:r w:rsidRPr="00AB4B70">
              <w:rPr>
                <w:rFonts w:ascii="Calibri" w:hAnsi="Calibri" w:cs="Calibri"/>
                <w:bCs/>
                <w:color w:val="000000"/>
                <w:sz w:val="20"/>
                <w:szCs w:val="22"/>
              </w:rPr>
              <w:t>Tabela 17 - Quantidade média de empregos antes, no ano e depois da entrada em fruição das empresas do PRODUZIR</w:t>
            </w:r>
          </w:p>
        </w:tc>
      </w:tr>
    </w:tbl>
    <w:p w14:paraId="5F52B7BA" w14:textId="77777777" w:rsidR="006356F1" w:rsidRDefault="006356F1" w:rsidP="006356F1">
      <w:pPr>
        <w:jc w:val="center"/>
        <w:rPr>
          <w:rFonts w:ascii="Calibri" w:hAnsi="Calibri" w:cs="Calibri"/>
          <w:b/>
          <w:bCs/>
          <w:color w:val="000000"/>
          <w:sz w:val="14"/>
          <w:szCs w:val="22"/>
        </w:rPr>
        <w:sectPr w:rsidR="006356F1" w:rsidSect="00CA1C22">
          <w:pgSz w:w="11900" w:h="16840"/>
          <w:pgMar w:top="2268" w:right="851" w:bottom="1134" w:left="1701" w:header="567" w:footer="284" w:gutter="0"/>
          <w:cols w:space="708"/>
          <w:docGrid w:linePitch="360"/>
        </w:sectPr>
      </w:pPr>
    </w:p>
    <w:tbl>
      <w:tblPr>
        <w:tblW w:w="15735" w:type="dxa"/>
        <w:tblInd w:w="-714" w:type="dxa"/>
        <w:tblCellMar>
          <w:left w:w="70" w:type="dxa"/>
          <w:right w:w="70" w:type="dxa"/>
        </w:tblCellMar>
        <w:tblLook w:val="04A0" w:firstRow="1" w:lastRow="0" w:firstColumn="1" w:lastColumn="0" w:noHBand="0" w:noVBand="1"/>
      </w:tblPr>
      <w:tblGrid>
        <w:gridCol w:w="888"/>
        <w:gridCol w:w="1438"/>
        <w:gridCol w:w="800"/>
        <w:gridCol w:w="798"/>
        <w:gridCol w:w="958"/>
        <w:gridCol w:w="957"/>
        <w:gridCol w:w="958"/>
        <w:gridCol w:w="957"/>
        <w:gridCol w:w="958"/>
        <w:gridCol w:w="957"/>
        <w:gridCol w:w="958"/>
        <w:gridCol w:w="799"/>
        <w:gridCol w:w="957"/>
        <w:gridCol w:w="1117"/>
        <w:gridCol w:w="958"/>
        <w:gridCol w:w="1277"/>
      </w:tblGrid>
      <w:tr w:rsidR="006356F1" w:rsidRPr="00AF7897" w14:paraId="50ADACC0" w14:textId="77777777" w:rsidTr="00217400">
        <w:trPr>
          <w:trHeight w:val="1800"/>
        </w:trPr>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F4905"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lastRenderedPageBreak/>
              <w:t>Ano de início da fruição</w:t>
            </w:r>
          </w:p>
        </w:tc>
        <w:tc>
          <w:tcPr>
            <w:tcW w:w="1438" w:type="dxa"/>
            <w:tcBorders>
              <w:top w:val="single" w:sz="4" w:space="0" w:color="auto"/>
              <w:left w:val="nil"/>
              <w:bottom w:val="single" w:sz="4" w:space="0" w:color="auto"/>
              <w:right w:val="single" w:sz="4" w:space="0" w:color="auto"/>
            </w:tcBorders>
            <w:shd w:val="clear" w:color="auto" w:fill="auto"/>
            <w:noWrap/>
            <w:vAlign w:val="center"/>
            <w:hideMark/>
          </w:tcPr>
          <w:p w14:paraId="7980EE40"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Variável</w:t>
            </w:r>
          </w:p>
        </w:tc>
        <w:tc>
          <w:tcPr>
            <w:tcW w:w="800" w:type="dxa"/>
            <w:tcBorders>
              <w:top w:val="single" w:sz="4" w:space="0" w:color="auto"/>
              <w:left w:val="nil"/>
              <w:bottom w:val="single" w:sz="4" w:space="0" w:color="auto"/>
              <w:right w:val="single" w:sz="4" w:space="0" w:color="auto"/>
            </w:tcBorders>
            <w:shd w:val="clear" w:color="auto" w:fill="auto"/>
            <w:noWrap/>
            <w:vAlign w:val="center"/>
            <w:hideMark/>
          </w:tcPr>
          <w:p w14:paraId="6240F83F"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2006</w:t>
            </w:r>
          </w:p>
        </w:tc>
        <w:tc>
          <w:tcPr>
            <w:tcW w:w="798" w:type="dxa"/>
            <w:tcBorders>
              <w:top w:val="single" w:sz="4" w:space="0" w:color="auto"/>
              <w:left w:val="nil"/>
              <w:bottom w:val="single" w:sz="4" w:space="0" w:color="auto"/>
              <w:right w:val="single" w:sz="4" w:space="0" w:color="auto"/>
            </w:tcBorders>
            <w:shd w:val="clear" w:color="auto" w:fill="auto"/>
            <w:noWrap/>
            <w:vAlign w:val="center"/>
            <w:hideMark/>
          </w:tcPr>
          <w:p w14:paraId="71807169"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2007</w:t>
            </w:r>
          </w:p>
        </w:tc>
        <w:tc>
          <w:tcPr>
            <w:tcW w:w="958" w:type="dxa"/>
            <w:tcBorders>
              <w:top w:val="single" w:sz="4" w:space="0" w:color="auto"/>
              <w:left w:val="nil"/>
              <w:bottom w:val="single" w:sz="4" w:space="0" w:color="auto"/>
              <w:right w:val="single" w:sz="4" w:space="0" w:color="auto"/>
            </w:tcBorders>
            <w:shd w:val="clear" w:color="auto" w:fill="auto"/>
            <w:noWrap/>
            <w:vAlign w:val="center"/>
            <w:hideMark/>
          </w:tcPr>
          <w:p w14:paraId="678BB1E4"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2008</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753475A1"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2009</w:t>
            </w:r>
          </w:p>
        </w:tc>
        <w:tc>
          <w:tcPr>
            <w:tcW w:w="958" w:type="dxa"/>
            <w:tcBorders>
              <w:top w:val="single" w:sz="4" w:space="0" w:color="auto"/>
              <w:left w:val="nil"/>
              <w:bottom w:val="single" w:sz="4" w:space="0" w:color="auto"/>
              <w:right w:val="single" w:sz="4" w:space="0" w:color="auto"/>
            </w:tcBorders>
            <w:shd w:val="clear" w:color="auto" w:fill="auto"/>
            <w:noWrap/>
            <w:vAlign w:val="center"/>
            <w:hideMark/>
          </w:tcPr>
          <w:p w14:paraId="7891A0B7"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2010</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05CF76CF"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2011</w:t>
            </w:r>
          </w:p>
        </w:tc>
        <w:tc>
          <w:tcPr>
            <w:tcW w:w="958" w:type="dxa"/>
            <w:tcBorders>
              <w:top w:val="single" w:sz="4" w:space="0" w:color="auto"/>
              <w:left w:val="nil"/>
              <w:bottom w:val="single" w:sz="4" w:space="0" w:color="auto"/>
              <w:right w:val="single" w:sz="4" w:space="0" w:color="auto"/>
            </w:tcBorders>
            <w:shd w:val="clear" w:color="auto" w:fill="auto"/>
            <w:noWrap/>
            <w:vAlign w:val="center"/>
            <w:hideMark/>
          </w:tcPr>
          <w:p w14:paraId="030D8D17"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2012</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39EA4D13"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2013</w:t>
            </w:r>
          </w:p>
        </w:tc>
        <w:tc>
          <w:tcPr>
            <w:tcW w:w="958" w:type="dxa"/>
            <w:tcBorders>
              <w:top w:val="single" w:sz="4" w:space="0" w:color="auto"/>
              <w:left w:val="nil"/>
              <w:bottom w:val="single" w:sz="4" w:space="0" w:color="auto"/>
              <w:right w:val="single" w:sz="4" w:space="0" w:color="auto"/>
            </w:tcBorders>
            <w:shd w:val="clear" w:color="auto" w:fill="auto"/>
            <w:noWrap/>
            <w:vAlign w:val="center"/>
            <w:hideMark/>
          </w:tcPr>
          <w:p w14:paraId="6C9BA1B3"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2014</w:t>
            </w:r>
          </w:p>
        </w:tc>
        <w:tc>
          <w:tcPr>
            <w:tcW w:w="799" w:type="dxa"/>
            <w:tcBorders>
              <w:top w:val="single" w:sz="4" w:space="0" w:color="auto"/>
              <w:left w:val="nil"/>
              <w:bottom w:val="single" w:sz="4" w:space="0" w:color="auto"/>
              <w:right w:val="single" w:sz="4" w:space="0" w:color="auto"/>
            </w:tcBorders>
            <w:shd w:val="clear" w:color="auto" w:fill="auto"/>
            <w:noWrap/>
            <w:vAlign w:val="center"/>
            <w:hideMark/>
          </w:tcPr>
          <w:p w14:paraId="29975208"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2015</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14:paraId="2D32B614"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2016</w:t>
            </w:r>
          </w:p>
        </w:tc>
        <w:tc>
          <w:tcPr>
            <w:tcW w:w="1117" w:type="dxa"/>
            <w:tcBorders>
              <w:top w:val="single" w:sz="4" w:space="0" w:color="auto"/>
              <w:left w:val="nil"/>
              <w:bottom w:val="single" w:sz="4" w:space="0" w:color="auto"/>
              <w:right w:val="single" w:sz="4" w:space="0" w:color="auto"/>
            </w:tcBorders>
            <w:shd w:val="clear" w:color="auto" w:fill="auto"/>
            <w:noWrap/>
            <w:vAlign w:val="center"/>
            <w:hideMark/>
          </w:tcPr>
          <w:p w14:paraId="0D7FE773"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2017</w:t>
            </w:r>
          </w:p>
        </w:tc>
        <w:tc>
          <w:tcPr>
            <w:tcW w:w="958" w:type="dxa"/>
            <w:tcBorders>
              <w:top w:val="single" w:sz="4" w:space="0" w:color="auto"/>
              <w:left w:val="nil"/>
              <w:bottom w:val="single" w:sz="4" w:space="0" w:color="auto"/>
              <w:right w:val="single" w:sz="4" w:space="0" w:color="auto"/>
            </w:tcBorders>
            <w:shd w:val="clear" w:color="auto" w:fill="auto"/>
            <w:vAlign w:val="center"/>
            <w:hideMark/>
          </w:tcPr>
          <w:p w14:paraId="7EDED382" w14:textId="77777777" w:rsidR="006356F1" w:rsidRPr="00AF7897" w:rsidRDefault="006356F1" w:rsidP="00217400">
            <w:pPr>
              <w:jc w:val="center"/>
              <w:rPr>
                <w:rFonts w:ascii="Calibri" w:hAnsi="Calibri" w:cs="Calibri"/>
                <w:b/>
                <w:bCs/>
                <w:color w:val="000000"/>
                <w:sz w:val="14"/>
                <w:szCs w:val="22"/>
              </w:rPr>
            </w:pPr>
            <w:r w:rsidRPr="00AF7897">
              <w:rPr>
                <w:rFonts w:ascii="Calibri" w:hAnsi="Calibri" w:cs="Calibri"/>
                <w:b/>
                <w:bCs/>
                <w:color w:val="000000"/>
                <w:sz w:val="14"/>
                <w:szCs w:val="22"/>
              </w:rPr>
              <w:t>Empregos</w:t>
            </w:r>
            <w:r w:rsidRPr="00AF7897">
              <w:rPr>
                <w:rFonts w:ascii="Calibri" w:hAnsi="Calibri" w:cs="Calibri"/>
                <w:b/>
                <w:bCs/>
                <w:color w:val="000000"/>
                <w:sz w:val="14"/>
                <w:szCs w:val="22"/>
              </w:rPr>
              <w:br/>
              <w:t>adicionados</w:t>
            </w:r>
            <w:r w:rsidRPr="00AF7897">
              <w:rPr>
                <w:rFonts w:ascii="Calibri" w:hAnsi="Calibri" w:cs="Calibri"/>
                <w:b/>
                <w:bCs/>
                <w:color w:val="000000"/>
                <w:sz w:val="14"/>
                <w:szCs w:val="22"/>
              </w:rPr>
              <w:br/>
              <w:t>até 2017</w:t>
            </w:r>
          </w:p>
        </w:tc>
        <w:tc>
          <w:tcPr>
            <w:tcW w:w="1277" w:type="dxa"/>
            <w:tcBorders>
              <w:top w:val="single" w:sz="4" w:space="0" w:color="auto"/>
              <w:left w:val="nil"/>
              <w:bottom w:val="single" w:sz="4" w:space="0" w:color="auto"/>
              <w:right w:val="single" w:sz="4" w:space="0" w:color="auto"/>
            </w:tcBorders>
            <w:shd w:val="clear" w:color="auto" w:fill="auto"/>
            <w:vAlign w:val="center"/>
            <w:hideMark/>
          </w:tcPr>
          <w:p w14:paraId="45650CED" w14:textId="77777777" w:rsidR="006356F1" w:rsidRPr="00AF7897" w:rsidRDefault="006356F1" w:rsidP="00217400">
            <w:pPr>
              <w:rPr>
                <w:rFonts w:ascii="Calibri" w:hAnsi="Calibri" w:cs="Calibri"/>
                <w:b/>
                <w:bCs/>
                <w:color w:val="000000"/>
                <w:sz w:val="14"/>
                <w:szCs w:val="22"/>
              </w:rPr>
            </w:pPr>
            <w:r w:rsidRPr="00AF7897">
              <w:rPr>
                <w:rFonts w:ascii="Calibri" w:hAnsi="Calibri" w:cs="Calibri"/>
                <w:b/>
                <w:bCs/>
                <w:color w:val="000000"/>
                <w:sz w:val="14"/>
                <w:szCs w:val="22"/>
              </w:rPr>
              <w:t>Emprego</w:t>
            </w:r>
            <w:r w:rsidRPr="00AF7897">
              <w:rPr>
                <w:rFonts w:ascii="Calibri" w:hAnsi="Calibri" w:cs="Calibri"/>
                <w:b/>
                <w:bCs/>
                <w:color w:val="000000"/>
                <w:sz w:val="14"/>
                <w:szCs w:val="22"/>
              </w:rPr>
              <w:br/>
              <w:t>adicionado</w:t>
            </w:r>
            <w:r w:rsidRPr="00AF7897">
              <w:rPr>
                <w:rFonts w:ascii="Calibri" w:hAnsi="Calibri" w:cs="Calibri"/>
                <w:b/>
                <w:bCs/>
                <w:color w:val="000000"/>
                <w:sz w:val="14"/>
                <w:szCs w:val="22"/>
              </w:rPr>
              <w:br/>
              <w:t>até 2017/</w:t>
            </w:r>
            <w:r w:rsidRPr="00AF7897">
              <w:rPr>
                <w:rFonts w:ascii="Calibri" w:hAnsi="Calibri" w:cs="Calibri"/>
                <w:b/>
                <w:bCs/>
                <w:color w:val="000000"/>
                <w:sz w:val="14"/>
                <w:szCs w:val="22"/>
              </w:rPr>
              <w:br/>
              <w:t>Emprego</w:t>
            </w:r>
            <w:r w:rsidRPr="00AF7897">
              <w:rPr>
                <w:rFonts w:ascii="Calibri" w:hAnsi="Calibri" w:cs="Calibri"/>
                <w:b/>
                <w:bCs/>
                <w:color w:val="000000"/>
                <w:sz w:val="14"/>
                <w:szCs w:val="22"/>
              </w:rPr>
              <w:br/>
              <w:t>previsto</w:t>
            </w:r>
            <w:r w:rsidRPr="00AF7897">
              <w:rPr>
                <w:rFonts w:ascii="Calibri" w:hAnsi="Calibri" w:cs="Calibri"/>
                <w:b/>
                <w:bCs/>
                <w:color w:val="000000"/>
                <w:sz w:val="14"/>
                <w:szCs w:val="22"/>
              </w:rPr>
              <w:br/>
              <w:t>em projeto</w:t>
            </w:r>
          </w:p>
        </w:tc>
      </w:tr>
      <w:tr w:rsidR="006356F1" w:rsidRPr="00AF7897" w14:paraId="0988748E" w14:textId="77777777" w:rsidTr="00217400">
        <w:trPr>
          <w:trHeight w:val="402"/>
        </w:trPr>
        <w:tc>
          <w:tcPr>
            <w:tcW w:w="88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C9149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2008</w:t>
            </w:r>
          </w:p>
        </w:tc>
        <w:tc>
          <w:tcPr>
            <w:tcW w:w="1438" w:type="dxa"/>
            <w:tcBorders>
              <w:top w:val="nil"/>
              <w:left w:val="nil"/>
              <w:bottom w:val="single" w:sz="4" w:space="0" w:color="auto"/>
              <w:right w:val="single" w:sz="4" w:space="0" w:color="auto"/>
            </w:tcBorders>
            <w:shd w:val="clear" w:color="auto" w:fill="auto"/>
            <w:noWrap/>
            <w:vAlign w:val="bottom"/>
            <w:hideMark/>
          </w:tcPr>
          <w:p w14:paraId="0A28ED8F"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Empresas</w:t>
            </w:r>
          </w:p>
        </w:tc>
        <w:tc>
          <w:tcPr>
            <w:tcW w:w="800" w:type="dxa"/>
            <w:tcBorders>
              <w:top w:val="nil"/>
              <w:left w:val="nil"/>
              <w:bottom w:val="single" w:sz="4" w:space="0" w:color="auto"/>
              <w:right w:val="single" w:sz="4" w:space="0" w:color="auto"/>
            </w:tcBorders>
            <w:shd w:val="clear" w:color="auto" w:fill="auto"/>
            <w:noWrap/>
            <w:vAlign w:val="bottom"/>
            <w:hideMark/>
          </w:tcPr>
          <w:p w14:paraId="5F2E399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0B649AB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2D8F58A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35</w:t>
            </w:r>
          </w:p>
        </w:tc>
        <w:tc>
          <w:tcPr>
            <w:tcW w:w="957" w:type="dxa"/>
            <w:tcBorders>
              <w:top w:val="nil"/>
              <w:left w:val="nil"/>
              <w:bottom w:val="single" w:sz="4" w:space="0" w:color="auto"/>
              <w:right w:val="single" w:sz="4" w:space="0" w:color="auto"/>
            </w:tcBorders>
            <w:shd w:val="clear" w:color="auto" w:fill="auto"/>
            <w:noWrap/>
            <w:vAlign w:val="bottom"/>
            <w:hideMark/>
          </w:tcPr>
          <w:p w14:paraId="6F49157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61CA9BA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34C137F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38C0B3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5E962D3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42509B4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2961AA8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22D84F5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5F699DD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1D83E8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0FE2C41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64284345"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52EC1DC9"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473F9CAF"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Empregos/Projetos</w:t>
            </w:r>
          </w:p>
        </w:tc>
        <w:tc>
          <w:tcPr>
            <w:tcW w:w="800" w:type="dxa"/>
            <w:tcBorders>
              <w:top w:val="nil"/>
              <w:left w:val="nil"/>
              <w:bottom w:val="single" w:sz="4" w:space="0" w:color="auto"/>
              <w:right w:val="single" w:sz="4" w:space="0" w:color="auto"/>
            </w:tcBorders>
            <w:shd w:val="clear" w:color="auto" w:fill="auto"/>
            <w:noWrap/>
            <w:vAlign w:val="bottom"/>
            <w:hideMark/>
          </w:tcPr>
          <w:p w14:paraId="6E6AB84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0F2D037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4CEACD9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4.960</w:t>
            </w:r>
          </w:p>
        </w:tc>
        <w:tc>
          <w:tcPr>
            <w:tcW w:w="957" w:type="dxa"/>
            <w:tcBorders>
              <w:top w:val="nil"/>
              <w:left w:val="nil"/>
              <w:bottom w:val="single" w:sz="4" w:space="0" w:color="auto"/>
              <w:right w:val="single" w:sz="4" w:space="0" w:color="auto"/>
            </w:tcBorders>
            <w:shd w:val="clear" w:color="auto" w:fill="auto"/>
            <w:noWrap/>
            <w:vAlign w:val="bottom"/>
            <w:hideMark/>
          </w:tcPr>
          <w:p w14:paraId="66DCE54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4354B81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24267E3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3C5624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7658AE4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43240F9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5977470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4FEBFD2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2B5CA54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1C3E61C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2039CAD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445329B6"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77A996BD"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4008C759"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Empregos</w:t>
            </w:r>
          </w:p>
        </w:tc>
        <w:tc>
          <w:tcPr>
            <w:tcW w:w="800" w:type="dxa"/>
            <w:tcBorders>
              <w:top w:val="nil"/>
              <w:left w:val="nil"/>
              <w:bottom w:val="single" w:sz="4" w:space="0" w:color="auto"/>
              <w:right w:val="single" w:sz="4" w:space="0" w:color="auto"/>
            </w:tcBorders>
            <w:shd w:val="clear" w:color="auto" w:fill="auto"/>
            <w:noWrap/>
            <w:vAlign w:val="bottom"/>
            <w:hideMark/>
          </w:tcPr>
          <w:p w14:paraId="2BD4706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3.028</w:t>
            </w:r>
          </w:p>
        </w:tc>
        <w:tc>
          <w:tcPr>
            <w:tcW w:w="798" w:type="dxa"/>
            <w:tcBorders>
              <w:top w:val="nil"/>
              <w:left w:val="nil"/>
              <w:bottom w:val="single" w:sz="4" w:space="0" w:color="auto"/>
              <w:right w:val="single" w:sz="4" w:space="0" w:color="auto"/>
            </w:tcBorders>
            <w:shd w:val="clear" w:color="auto" w:fill="auto"/>
            <w:noWrap/>
            <w:vAlign w:val="bottom"/>
            <w:hideMark/>
          </w:tcPr>
          <w:p w14:paraId="0FE82B4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5.912</w:t>
            </w:r>
          </w:p>
        </w:tc>
        <w:tc>
          <w:tcPr>
            <w:tcW w:w="958" w:type="dxa"/>
            <w:tcBorders>
              <w:top w:val="nil"/>
              <w:left w:val="nil"/>
              <w:bottom w:val="single" w:sz="4" w:space="0" w:color="auto"/>
              <w:right w:val="single" w:sz="4" w:space="0" w:color="auto"/>
            </w:tcBorders>
            <w:shd w:val="clear" w:color="auto" w:fill="auto"/>
            <w:noWrap/>
            <w:vAlign w:val="bottom"/>
            <w:hideMark/>
          </w:tcPr>
          <w:p w14:paraId="58D12E2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8.389</w:t>
            </w:r>
          </w:p>
        </w:tc>
        <w:tc>
          <w:tcPr>
            <w:tcW w:w="957" w:type="dxa"/>
            <w:tcBorders>
              <w:top w:val="nil"/>
              <w:left w:val="nil"/>
              <w:bottom w:val="single" w:sz="4" w:space="0" w:color="auto"/>
              <w:right w:val="single" w:sz="4" w:space="0" w:color="auto"/>
            </w:tcBorders>
            <w:shd w:val="clear" w:color="auto" w:fill="auto"/>
            <w:noWrap/>
            <w:vAlign w:val="bottom"/>
            <w:hideMark/>
          </w:tcPr>
          <w:p w14:paraId="6BE4E64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9.314</w:t>
            </w:r>
          </w:p>
        </w:tc>
        <w:tc>
          <w:tcPr>
            <w:tcW w:w="958" w:type="dxa"/>
            <w:tcBorders>
              <w:top w:val="nil"/>
              <w:left w:val="nil"/>
              <w:bottom w:val="single" w:sz="4" w:space="0" w:color="auto"/>
              <w:right w:val="single" w:sz="4" w:space="0" w:color="auto"/>
            </w:tcBorders>
            <w:shd w:val="clear" w:color="auto" w:fill="auto"/>
            <w:noWrap/>
            <w:vAlign w:val="bottom"/>
            <w:hideMark/>
          </w:tcPr>
          <w:p w14:paraId="47626C7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10.989</w:t>
            </w:r>
          </w:p>
        </w:tc>
        <w:tc>
          <w:tcPr>
            <w:tcW w:w="957" w:type="dxa"/>
            <w:tcBorders>
              <w:top w:val="nil"/>
              <w:left w:val="nil"/>
              <w:bottom w:val="single" w:sz="4" w:space="0" w:color="auto"/>
              <w:right w:val="single" w:sz="4" w:space="0" w:color="auto"/>
            </w:tcBorders>
            <w:shd w:val="clear" w:color="auto" w:fill="auto"/>
            <w:noWrap/>
            <w:vAlign w:val="bottom"/>
            <w:hideMark/>
          </w:tcPr>
          <w:p w14:paraId="25E8AA4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12.288</w:t>
            </w:r>
          </w:p>
        </w:tc>
        <w:tc>
          <w:tcPr>
            <w:tcW w:w="958" w:type="dxa"/>
            <w:tcBorders>
              <w:top w:val="nil"/>
              <w:left w:val="nil"/>
              <w:bottom w:val="single" w:sz="4" w:space="0" w:color="auto"/>
              <w:right w:val="single" w:sz="4" w:space="0" w:color="auto"/>
            </w:tcBorders>
            <w:shd w:val="clear" w:color="auto" w:fill="auto"/>
            <w:noWrap/>
            <w:vAlign w:val="bottom"/>
            <w:hideMark/>
          </w:tcPr>
          <w:p w14:paraId="69D9992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14.298</w:t>
            </w:r>
          </w:p>
        </w:tc>
        <w:tc>
          <w:tcPr>
            <w:tcW w:w="957" w:type="dxa"/>
            <w:tcBorders>
              <w:top w:val="nil"/>
              <w:left w:val="nil"/>
              <w:bottom w:val="single" w:sz="4" w:space="0" w:color="auto"/>
              <w:right w:val="single" w:sz="4" w:space="0" w:color="auto"/>
            </w:tcBorders>
            <w:shd w:val="clear" w:color="auto" w:fill="auto"/>
            <w:noWrap/>
            <w:vAlign w:val="bottom"/>
            <w:hideMark/>
          </w:tcPr>
          <w:p w14:paraId="5BD600F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14.699</w:t>
            </w:r>
          </w:p>
        </w:tc>
        <w:tc>
          <w:tcPr>
            <w:tcW w:w="958" w:type="dxa"/>
            <w:tcBorders>
              <w:top w:val="nil"/>
              <w:left w:val="nil"/>
              <w:bottom w:val="single" w:sz="4" w:space="0" w:color="auto"/>
              <w:right w:val="single" w:sz="4" w:space="0" w:color="auto"/>
            </w:tcBorders>
            <w:shd w:val="clear" w:color="auto" w:fill="auto"/>
            <w:noWrap/>
            <w:vAlign w:val="bottom"/>
            <w:hideMark/>
          </w:tcPr>
          <w:p w14:paraId="3BF0686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13.798</w:t>
            </w:r>
          </w:p>
        </w:tc>
        <w:tc>
          <w:tcPr>
            <w:tcW w:w="799" w:type="dxa"/>
            <w:tcBorders>
              <w:top w:val="nil"/>
              <w:left w:val="nil"/>
              <w:bottom w:val="single" w:sz="4" w:space="0" w:color="auto"/>
              <w:right w:val="single" w:sz="4" w:space="0" w:color="auto"/>
            </w:tcBorders>
            <w:shd w:val="clear" w:color="auto" w:fill="auto"/>
            <w:noWrap/>
            <w:vAlign w:val="bottom"/>
            <w:hideMark/>
          </w:tcPr>
          <w:p w14:paraId="10E26C1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13.416</w:t>
            </w:r>
          </w:p>
        </w:tc>
        <w:tc>
          <w:tcPr>
            <w:tcW w:w="957" w:type="dxa"/>
            <w:tcBorders>
              <w:top w:val="nil"/>
              <w:left w:val="nil"/>
              <w:bottom w:val="single" w:sz="4" w:space="0" w:color="auto"/>
              <w:right w:val="single" w:sz="4" w:space="0" w:color="auto"/>
            </w:tcBorders>
            <w:shd w:val="clear" w:color="auto" w:fill="auto"/>
            <w:noWrap/>
            <w:vAlign w:val="bottom"/>
            <w:hideMark/>
          </w:tcPr>
          <w:p w14:paraId="5958C5E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12.486</w:t>
            </w:r>
          </w:p>
        </w:tc>
        <w:tc>
          <w:tcPr>
            <w:tcW w:w="1117" w:type="dxa"/>
            <w:tcBorders>
              <w:top w:val="nil"/>
              <w:left w:val="nil"/>
              <w:bottom w:val="single" w:sz="4" w:space="0" w:color="auto"/>
              <w:right w:val="single" w:sz="4" w:space="0" w:color="auto"/>
            </w:tcBorders>
            <w:shd w:val="clear" w:color="auto" w:fill="auto"/>
            <w:noWrap/>
            <w:vAlign w:val="bottom"/>
            <w:hideMark/>
          </w:tcPr>
          <w:p w14:paraId="3DAD272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12.769</w:t>
            </w:r>
          </w:p>
        </w:tc>
        <w:tc>
          <w:tcPr>
            <w:tcW w:w="958" w:type="dxa"/>
            <w:tcBorders>
              <w:top w:val="nil"/>
              <w:left w:val="nil"/>
              <w:bottom w:val="single" w:sz="4" w:space="0" w:color="auto"/>
              <w:right w:val="single" w:sz="4" w:space="0" w:color="auto"/>
            </w:tcBorders>
            <w:shd w:val="clear" w:color="auto" w:fill="auto"/>
            <w:noWrap/>
            <w:vAlign w:val="bottom"/>
            <w:hideMark/>
          </w:tcPr>
          <w:p w14:paraId="36C4D7A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4.380</w:t>
            </w:r>
          </w:p>
        </w:tc>
        <w:tc>
          <w:tcPr>
            <w:tcW w:w="1277" w:type="dxa"/>
            <w:tcBorders>
              <w:top w:val="nil"/>
              <w:left w:val="nil"/>
              <w:bottom w:val="single" w:sz="4" w:space="0" w:color="auto"/>
              <w:right w:val="single" w:sz="4" w:space="0" w:color="auto"/>
            </w:tcBorders>
            <w:shd w:val="clear" w:color="auto" w:fill="auto"/>
            <w:noWrap/>
            <w:vAlign w:val="bottom"/>
            <w:hideMark/>
          </w:tcPr>
          <w:p w14:paraId="389196C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88%</w:t>
            </w:r>
          </w:p>
        </w:tc>
      </w:tr>
      <w:tr w:rsidR="006356F1" w:rsidRPr="00AF7897" w14:paraId="5CD2521E" w14:textId="77777777" w:rsidTr="00217400">
        <w:trPr>
          <w:trHeight w:val="402"/>
        </w:trPr>
        <w:tc>
          <w:tcPr>
            <w:tcW w:w="88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7412E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2009</w:t>
            </w:r>
          </w:p>
        </w:tc>
        <w:tc>
          <w:tcPr>
            <w:tcW w:w="1438" w:type="dxa"/>
            <w:tcBorders>
              <w:top w:val="nil"/>
              <w:left w:val="nil"/>
              <w:bottom w:val="single" w:sz="4" w:space="0" w:color="auto"/>
              <w:right w:val="single" w:sz="4" w:space="0" w:color="auto"/>
            </w:tcBorders>
            <w:shd w:val="clear" w:color="auto" w:fill="auto"/>
            <w:noWrap/>
            <w:vAlign w:val="bottom"/>
            <w:hideMark/>
          </w:tcPr>
          <w:p w14:paraId="1105A4A0"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Empresas</w:t>
            </w:r>
          </w:p>
        </w:tc>
        <w:tc>
          <w:tcPr>
            <w:tcW w:w="800" w:type="dxa"/>
            <w:tcBorders>
              <w:top w:val="nil"/>
              <w:left w:val="nil"/>
              <w:bottom w:val="single" w:sz="4" w:space="0" w:color="auto"/>
              <w:right w:val="single" w:sz="4" w:space="0" w:color="auto"/>
            </w:tcBorders>
            <w:shd w:val="clear" w:color="auto" w:fill="auto"/>
            <w:noWrap/>
            <w:vAlign w:val="bottom"/>
            <w:hideMark/>
          </w:tcPr>
          <w:p w14:paraId="208941E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4CB2021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6407685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0B3B146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39</w:t>
            </w:r>
          </w:p>
        </w:tc>
        <w:tc>
          <w:tcPr>
            <w:tcW w:w="958" w:type="dxa"/>
            <w:tcBorders>
              <w:top w:val="nil"/>
              <w:left w:val="nil"/>
              <w:bottom w:val="single" w:sz="4" w:space="0" w:color="auto"/>
              <w:right w:val="single" w:sz="4" w:space="0" w:color="auto"/>
            </w:tcBorders>
            <w:shd w:val="clear" w:color="auto" w:fill="auto"/>
            <w:noWrap/>
            <w:vAlign w:val="bottom"/>
            <w:hideMark/>
          </w:tcPr>
          <w:p w14:paraId="748B30E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1ADFD43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17DC910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03B5887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6641613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753C9F2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31B373C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4C6CE7C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0904219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7E88AFE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17C64219"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0BA53121"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5B5A6580"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Empregos/Projetos</w:t>
            </w:r>
          </w:p>
        </w:tc>
        <w:tc>
          <w:tcPr>
            <w:tcW w:w="800" w:type="dxa"/>
            <w:tcBorders>
              <w:top w:val="nil"/>
              <w:left w:val="nil"/>
              <w:bottom w:val="single" w:sz="4" w:space="0" w:color="auto"/>
              <w:right w:val="single" w:sz="4" w:space="0" w:color="auto"/>
            </w:tcBorders>
            <w:shd w:val="clear" w:color="auto" w:fill="auto"/>
            <w:noWrap/>
            <w:vAlign w:val="bottom"/>
            <w:hideMark/>
          </w:tcPr>
          <w:p w14:paraId="35F4C74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0A8DB83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9E13CD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50E8180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4.789</w:t>
            </w:r>
          </w:p>
        </w:tc>
        <w:tc>
          <w:tcPr>
            <w:tcW w:w="958" w:type="dxa"/>
            <w:tcBorders>
              <w:top w:val="nil"/>
              <w:left w:val="nil"/>
              <w:bottom w:val="single" w:sz="4" w:space="0" w:color="auto"/>
              <w:right w:val="single" w:sz="4" w:space="0" w:color="auto"/>
            </w:tcBorders>
            <w:shd w:val="clear" w:color="auto" w:fill="auto"/>
            <w:noWrap/>
            <w:vAlign w:val="bottom"/>
            <w:hideMark/>
          </w:tcPr>
          <w:p w14:paraId="72EE1A8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337BCAE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2F23426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76B73E6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6EE1350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50BD32E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05559EA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40B4605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62E16E4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7D50973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66484324"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2BE26B36"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2837BDF3"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Empregos</w:t>
            </w:r>
          </w:p>
        </w:tc>
        <w:tc>
          <w:tcPr>
            <w:tcW w:w="800" w:type="dxa"/>
            <w:tcBorders>
              <w:top w:val="nil"/>
              <w:left w:val="nil"/>
              <w:bottom w:val="single" w:sz="4" w:space="0" w:color="auto"/>
              <w:right w:val="single" w:sz="4" w:space="0" w:color="auto"/>
            </w:tcBorders>
            <w:shd w:val="clear" w:color="auto" w:fill="auto"/>
            <w:noWrap/>
            <w:vAlign w:val="bottom"/>
            <w:hideMark/>
          </w:tcPr>
          <w:p w14:paraId="7D7EEA1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1.109</w:t>
            </w:r>
          </w:p>
        </w:tc>
        <w:tc>
          <w:tcPr>
            <w:tcW w:w="798" w:type="dxa"/>
            <w:tcBorders>
              <w:top w:val="nil"/>
              <w:left w:val="nil"/>
              <w:bottom w:val="single" w:sz="4" w:space="0" w:color="auto"/>
              <w:right w:val="single" w:sz="4" w:space="0" w:color="auto"/>
            </w:tcBorders>
            <w:shd w:val="clear" w:color="auto" w:fill="auto"/>
            <w:noWrap/>
            <w:vAlign w:val="bottom"/>
            <w:hideMark/>
          </w:tcPr>
          <w:p w14:paraId="08E86EB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2.037</w:t>
            </w:r>
          </w:p>
        </w:tc>
        <w:tc>
          <w:tcPr>
            <w:tcW w:w="958" w:type="dxa"/>
            <w:tcBorders>
              <w:top w:val="nil"/>
              <w:left w:val="nil"/>
              <w:bottom w:val="single" w:sz="4" w:space="0" w:color="auto"/>
              <w:right w:val="single" w:sz="4" w:space="0" w:color="auto"/>
            </w:tcBorders>
            <w:shd w:val="clear" w:color="auto" w:fill="auto"/>
            <w:noWrap/>
            <w:vAlign w:val="bottom"/>
            <w:hideMark/>
          </w:tcPr>
          <w:p w14:paraId="57ED53F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3.719</w:t>
            </w:r>
          </w:p>
        </w:tc>
        <w:tc>
          <w:tcPr>
            <w:tcW w:w="957" w:type="dxa"/>
            <w:tcBorders>
              <w:top w:val="nil"/>
              <w:left w:val="nil"/>
              <w:bottom w:val="single" w:sz="4" w:space="0" w:color="auto"/>
              <w:right w:val="single" w:sz="4" w:space="0" w:color="auto"/>
            </w:tcBorders>
            <w:shd w:val="clear" w:color="auto" w:fill="auto"/>
            <w:noWrap/>
            <w:vAlign w:val="bottom"/>
            <w:hideMark/>
          </w:tcPr>
          <w:p w14:paraId="46BA84D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6.960</w:t>
            </w:r>
          </w:p>
        </w:tc>
        <w:tc>
          <w:tcPr>
            <w:tcW w:w="958" w:type="dxa"/>
            <w:tcBorders>
              <w:top w:val="nil"/>
              <w:left w:val="nil"/>
              <w:bottom w:val="single" w:sz="4" w:space="0" w:color="auto"/>
              <w:right w:val="single" w:sz="4" w:space="0" w:color="auto"/>
            </w:tcBorders>
            <w:shd w:val="clear" w:color="auto" w:fill="auto"/>
            <w:noWrap/>
            <w:vAlign w:val="bottom"/>
            <w:hideMark/>
          </w:tcPr>
          <w:p w14:paraId="7C86233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8.199</w:t>
            </w:r>
          </w:p>
        </w:tc>
        <w:tc>
          <w:tcPr>
            <w:tcW w:w="957" w:type="dxa"/>
            <w:tcBorders>
              <w:top w:val="nil"/>
              <w:left w:val="nil"/>
              <w:bottom w:val="single" w:sz="4" w:space="0" w:color="auto"/>
              <w:right w:val="single" w:sz="4" w:space="0" w:color="auto"/>
            </w:tcBorders>
            <w:shd w:val="clear" w:color="auto" w:fill="auto"/>
            <w:noWrap/>
            <w:vAlign w:val="bottom"/>
            <w:hideMark/>
          </w:tcPr>
          <w:p w14:paraId="4101ADE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10.271</w:t>
            </w:r>
          </w:p>
        </w:tc>
        <w:tc>
          <w:tcPr>
            <w:tcW w:w="958" w:type="dxa"/>
            <w:tcBorders>
              <w:top w:val="nil"/>
              <w:left w:val="nil"/>
              <w:bottom w:val="single" w:sz="4" w:space="0" w:color="auto"/>
              <w:right w:val="single" w:sz="4" w:space="0" w:color="auto"/>
            </w:tcBorders>
            <w:shd w:val="clear" w:color="auto" w:fill="auto"/>
            <w:noWrap/>
            <w:vAlign w:val="bottom"/>
            <w:hideMark/>
          </w:tcPr>
          <w:p w14:paraId="787A38B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10.729</w:t>
            </w:r>
          </w:p>
        </w:tc>
        <w:tc>
          <w:tcPr>
            <w:tcW w:w="957" w:type="dxa"/>
            <w:tcBorders>
              <w:top w:val="nil"/>
              <w:left w:val="nil"/>
              <w:bottom w:val="single" w:sz="4" w:space="0" w:color="auto"/>
              <w:right w:val="single" w:sz="4" w:space="0" w:color="auto"/>
            </w:tcBorders>
            <w:shd w:val="clear" w:color="auto" w:fill="auto"/>
            <w:noWrap/>
            <w:vAlign w:val="bottom"/>
            <w:hideMark/>
          </w:tcPr>
          <w:p w14:paraId="03DF63C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10.712</w:t>
            </w:r>
          </w:p>
        </w:tc>
        <w:tc>
          <w:tcPr>
            <w:tcW w:w="958" w:type="dxa"/>
            <w:tcBorders>
              <w:top w:val="nil"/>
              <w:left w:val="nil"/>
              <w:bottom w:val="single" w:sz="4" w:space="0" w:color="auto"/>
              <w:right w:val="single" w:sz="4" w:space="0" w:color="auto"/>
            </w:tcBorders>
            <w:shd w:val="clear" w:color="auto" w:fill="auto"/>
            <w:noWrap/>
            <w:vAlign w:val="bottom"/>
            <w:hideMark/>
          </w:tcPr>
          <w:p w14:paraId="2C02CCD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10.495</w:t>
            </w:r>
          </w:p>
        </w:tc>
        <w:tc>
          <w:tcPr>
            <w:tcW w:w="799" w:type="dxa"/>
            <w:tcBorders>
              <w:top w:val="nil"/>
              <w:left w:val="nil"/>
              <w:bottom w:val="single" w:sz="4" w:space="0" w:color="auto"/>
              <w:right w:val="single" w:sz="4" w:space="0" w:color="auto"/>
            </w:tcBorders>
            <w:shd w:val="clear" w:color="auto" w:fill="auto"/>
            <w:noWrap/>
            <w:vAlign w:val="bottom"/>
            <w:hideMark/>
          </w:tcPr>
          <w:p w14:paraId="027912E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9.666</w:t>
            </w:r>
          </w:p>
        </w:tc>
        <w:tc>
          <w:tcPr>
            <w:tcW w:w="957" w:type="dxa"/>
            <w:tcBorders>
              <w:top w:val="nil"/>
              <w:left w:val="nil"/>
              <w:bottom w:val="single" w:sz="4" w:space="0" w:color="auto"/>
              <w:right w:val="single" w:sz="4" w:space="0" w:color="auto"/>
            </w:tcBorders>
            <w:shd w:val="clear" w:color="auto" w:fill="auto"/>
            <w:noWrap/>
            <w:vAlign w:val="bottom"/>
            <w:hideMark/>
          </w:tcPr>
          <w:p w14:paraId="79D6BD4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9.087</w:t>
            </w:r>
          </w:p>
        </w:tc>
        <w:tc>
          <w:tcPr>
            <w:tcW w:w="1117" w:type="dxa"/>
            <w:tcBorders>
              <w:top w:val="nil"/>
              <w:left w:val="nil"/>
              <w:bottom w:val="single" w:sz="4" w:space="0" w:color="auto"/>
              <w:right w:val="single" w:sz="4" w:space="0" w:color="auto"/>
            </w:tcBorders>
            <w:shd w:val="clear" w:color="auto" w:fill="auto"/>
            <w:noWrap/>
            <w:vAlign w:val="bottom"/>
            <w:hideMark/>
          </w:tcPr>
          <w:p w14:paraId="3E27F75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8.982</w:t>
            </w:r>
          </w:p>
        </w:tc>
        <w:tc>
          <w:tcPr>
            <w:tcW w:w="958" w:type="dxa"/>
            <w:tcBorders>
              <w:top w:val="nil"/>
              <w:left w:val="nil"/>
              <w:bottom w:val="single" w:sz="4" w:space="0" w:color="auto"/>
              <w:right w:val="single" w:sz="4" w:space="0" w:color="auto"/>
            </w:tcBorders>
            <w:shd w:val="clear" w:color="auto" w:fill="auto"/>
            <w:noWrap/>
            <w:vAlign w:val="bottom"/>
            <w:hideMark/>
          </w:tcPr>
          <w:p w14:paraId="1E492F3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2.022</w:t>
            </w:r>
          </w:p>
        </w:tc>
        <w:tc>
          <w:tcPr>
            <w:tcW w:w="1277" w:type="dxa"/>
            <w:tcBorders>
              <w:top w:val="nil"/>
              <w:left w:val="nil"/>
              <w:bottom w:val="single" w:sz="4" w:space="0" w:color="auto"/>
              <w:right w:val="single" w:sz="4" w:space="0" w:color="auto"/>
            </w:tcBorders>
            <w:shd w:val="clear" w:color="auto" w:fill="auto"/>
            <w:noWrap/>
            <w:vAlign w:val="bottom"/>
            <w:hideMark/>
          </w:tcPr>
          <w:p w14:paraId="78A4D33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42%</w:t>
            </w:r>
          </w:p>
        </w:tc>
      </w:tr>
      <w:tr w:rsidR="006356F1" w:rsidRPr="00AF7897" w14:paraId="75C946EB" w14:textId="77777777" w:rsidTr="00217400">
        <w:trPr>
          <w:trHeight w:val="402"/>
        </w:trPr>
        <w:tc>
          <w:tcPr>
            <w:tcW w:w="88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44ABA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2010</w:t>
            </w:r>
          </w:p>
        </w:tc>
        <w:tc>
          <w:tcPr>
            <w:tcW w:w="1438" w:type="dxa"/>
            <w:tcBorders>
              <w:top w:val="nil"/>
              <w:left w:val="nil"/>
              <w:bottom w:val="single" w:sz="4" w:space="0" w:color="auto"/>
              <w:right w:val="single" w:sz="4" w:space="0" w:color="auto"/>
            </w:tcBorders>
            <w:shd w:val="clear" w:color="auto" w:fill="auto"/>
            <w:noWrap/>
            <w:vAlign w:val="bottom"/>
            <w:hideMark/>
          </w:tcPr>
          <w:p w14:paraId="4E79C48A"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Empresas</w:t>
            </w:r>
          </w:p>
        </w:tc>
        <w:tc>
          <w:tcPr>
            <w:tcW w:w="800" w:type="dxa"/>
            <w:tcBorders>
              <w:top w:val="nil"/>
              <w:left w:val="nil"/>
              <w:bottom w:val="single" w:sz="4" w:space="0" w:color="auto"/>
              <w:right w:val="single" w:sz="4" w:space="0" w:color="auto"/>
            </w:tcBorders>
            <w:shd w:val="clear" w:color="auto" w:fill="auto"/>
            <w:noWrap/>
            <w:vAlign w:val="bottom"/>
            <w:hideMark/>
          </w:tcPr>
          <w:p w14:paraId="3075B5A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2EC79BF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3AB8399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48851E6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35ED48F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35</w:t>
            </w:r>
          </w:p>
        </w:tc>
        <w:tc>
          <w:tcPr>
            <w:tcW w:w="957" w:type="dxa"/>
            <w:tcBorders>
              <w:top w:val="nil"/>
              <w:left w:val="nil"/>
              <w:bottom w:val="single" w:sz="4" w:space="0" w:color="auto"/>
              <w:right w:val="single" w:sz="4" w:space="0" w:color="auto"/>
            </w:tcBorders>
            <w:shd w:val="clear" w:color="auto" w:fill="auto"/>
            <w:noWrap/>
            <w:vAlign w:val="bottom"/>
            <w:hideMark/>
          </w:tcPr>
          <w:p w14:paraId="6B15E26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419AA69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64F5B25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40C88CE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68D1473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3FA5DAA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58C2120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283B97A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1136939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297CD1C8"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45B2AC9E"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7294FDFD"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Empregos/Projetos</w:t>
            </w:r>
          </w:p>
        </w:tc>
        <w:tc>
          <w:tcPr>
            <w:tcW w:w="800" w:type="dxa"/>
            <w:tcBorders>
              <w:top w:val="nil"/>
              <w:left w:val="nil"/>
              <w:bottom w:val="single" w:sz="4" w:space="0" w:color="auto"/>
              <w:right w:val="single" w:sz="4" w:space="0" w:color="auto"/>
            </w:tcBorders>
            <w:shd w:val="clear" w:color="auto" w:fill="auto"/>
            <w:noWrap/>
            <w:vAlign w:val="bottom"/>
            <w:hideMark/>
          </w:tcPr>
          <w:p w14:paraId="58E0D5E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447A2C6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1E07059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0E6E9AA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4430750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4.835</w:t>
            </w:r>
          </w:p>
        </w:tc>
        <w:tc>
          <w:tcPr>
            <w:tcW w:w="957" w:type="dxa"/>
            <w:tcBorders>
              <w:top w:val="nil"/>
              <w:left w:val="nil"/>
              <w:bottom w:val="single" w:sz="4" w:space="0" w:color="auto"/>
              <w:right w:val="single" w:sz="4" w:space="0" w:color="auto"/>
            </w:tcBorders>
            <w:shd w:val="clear" w:color="auto" w:fill="auto"/>
            <w:noWrap/>
            <w:vAlign w:val="bottom"/>
            <w:hideMark/>
          </w:tcPr>
          <w:p w14:paraId="12065E6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195FFBC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124B6FF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312382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1D022F6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77E2460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3EA58E2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04B41B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1224D14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13A7FC22"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3488A259"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78C90F1D"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Empregos</w:t>
            </w:r>
          </w:p>
        </w:tc>
        <w:tc>
          <w:tcPr>
            <w:tcW w:w="800" w:type="dxa"/>
            <w:tcBorders>
              <w:top w:val="nil"/>
              <w:left w:val="nil"/>
              <w:bottom w:val="single" w:sz="4" w:space="0" w:color="auto"/>
              <w:right w:val="single" w:sz="4" w:space="0" w:color="auto"/>
            </w:tcBorders>
            <w:shd w:val="clear" w:color="auto" w:fill="auto"/>
            <w:noWrap/>
            <w:vAlign w:val="bottom"/>
            <w:hideMark/>
          </w:tcPr>
          <w:p w14:paraId="5455C31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519</w:t>
            </w:r>
          </w:p>
        </w:tc>
        <w:tc>
          <w:tcPr>
            <w:tcW w:w="798" w:type="dxa"/>
            <w:tcBorders>
              <w:top w:val="nil"/>
              <w:left w:val="nil"/>
              <w:bottom w:val="single" w:sz="4" w:space="0" w:color="auto"/>
              <w:right w:val="single" w:sz="4" w:space="0" w:color="auto"/>
            </w:tcBorders>
            <w:shd w:val="clear" w:color="auto" w:fill="auto"/>
            <w:noWrap/>
            <w:vAlign w:val="bottom"/>
            <w:hideMark/>
          </w:tcPr>
          <w:p w14:paraId="792B523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1.143</w:t>
            </w:r>
          </w:p>
        </w:tc>
        <w:tc>
          <w:tcPr>
            <w:tcW w:w="958" w:type="dxa"/>
            <w:tcBorders>
              <w:top w:val="nil"/>
              <w:left w:val="nil"/>
              <w:bottom w:val="single" w:sz="4" w:space="0" w:color="auto"/>
              <w:right w:val="single" w:sz="4" w:space="0" w:color="auto"/>
            </w:tcBorders>
            <w:shd w:val="clear" w:color="auto" w:fill="auto"/>
            <w:noWrap/>
            <w:vAlign w:val="bottom"/>
            <w:hideMark/>
          </w:tcPr>
          <w:p w14:paraId="0DFD7BD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1.274</w:t>
            </w:r>
          </w:p>
        </w:tc>
        <w:tc>
          <w:tcPr>
            <w:tcW w:w="957" w:type="dxa"/>
            <w:tcBorders>
              <w:top w:val="nil"/>
              <w:left w:val="nil"/>
              <w:bottom w:val="single" w:sz="4" w:space="0" w:color="auto"/>
              <w:right w:val="single" w:sz="4" w:space="0" w:color="auto"/>
            </w:tcBorders>
            <w:shd w:val="clear" w:color="auto" w:fill="auto"/>
            <w:noWrap/>
            <w:vAlign w:val="bottom"/>
            <w:hideMark/>
          </w:tcPr>
          <w:p w14:paraId="5084D71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1.346</w:t>
            </w:r>
          </w:p>
        </w:tc>
        <w:tc>
          <w:tcPr>
            <w:tcW w:w="958" w:type="dxa"/>
            <w:tcBorders>
              <w:top w:val="nil"/>
              <w:left w:val="nil"/>
              <w:bottom w:val="single" w:sz="4" w:space="0" w:color="auto"/>
              <w:right w:val="single" w:sz="4" w:space="0" w:color="auto"/>
            </w:tcBorders>
            <w:shd w:val="clear" w:color="auto" w:fill="auto"/>
            <w:noWrap/>
            <w:vAlign w:val="bottom"/>
            <w:hideMark/>
          </w:tcPr>
          <w:p w14:paraId="133DAF4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2.388</w:t>
            </w:r>
          </w:p>
        </w:tc>
        <w:tc>
          <w:tcPr>
            <w:tcW w:w="957" w:type="dxa"/>
            <w:tcBorders>
              <w:top w:val="nil"/>
              <w:left w:val="nil"/>
              <w:bottom w:val="single" w:sz="4" w:space="0" w:color="auto"/>
              <w:right w:val="single" w:sz="4" w:space="0" w:color="auto"/>
            </w:tcBorders>
            <w:shd w:val="clear" w:color="auto" w:fill="auto"/>
            <w:noWrap/>
            <w:vAlign w:val="bottom"/>
            <w:hideMark/>
          </w:tcPr>
          <w:p w14:paraId="407B248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3.280</w:t>
            </w:r>
          </w:p>
        </w:tc>
        <w:tc>
          <w:tcPr>
            <w:tcW w:w="958" w:type="dxa"/>
            <w:tcBorders>
              <w:top w:val="nil"/>
              <w:left w:val="nil"/>
              <w:bottom w:val="single" w:sz="4" w:space="0" w:color="auto"/>
              <w:right w:val="single" w:sz="4" w:space="0" w:color="auto"/>
            </w:tcBorders>
            <w:shd w:val="clear" w:color="auto" w:fill="auto"/>
            <w:noWrap/>
            <w:vAlign w:val="bottom"/>
            <w:hideMark/>
          </w:tcPr>
          <w:p w14:paraId="4F34CC5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3.949</w:t>
            </w:r>
          </w:p>
        </w:tc>
        <w:tc>
          <w:tcPr>
            <w:tcW w:w="957" w:type="dxa"/>
            <w:tcBorders>
              <w:top w:val="nil"/>
              <w:left w:val="nil"/>
              <w:bottom w:val="single" w:sz="4" w:space="0" w:color="auto"/>
              <w:right w:val="single" w:sz="4" w:space="0" w:color="auto"/>
            </w:tcBorders>
            <w:shd w:val="clear" w:color="auto" w:fill="auto"/>
            <w:noWrap/>
            <w:vAlign w:val="bottom"/>
            <w:hideMark/>
          </w:tcPr>
          <w:p w14:paraId="3790377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5.881</w:t>
            </w:r>
          </w:p>
        </w:tc>
        <w:tc>
          <w:tcPr>
            <w:tcW w:w="958" w:type="dxa"/>
            <w:tcBorders>
              <w:top w:val="nil"/>
              <w:left w:val="nil"/>
              <w:bottom w:val="single" w:sz="4" w:space="0" w:color="auto"/>
              <w:right w:val="single" w:sz="4" w:space="0" w:color="auto"/>
            </w:tcBorders>
            <w:shd w:val="clear" w:color="auto" w:fill="auto"/>
            <w:noWrap/>
            <w:vAlign w:val="bottom"/>
            <w:hideMark/>
          </w:tcPr>
          <w:p w14:paraId="32ADA95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5.940</w:t>
            </w:r>
          </w:p>
        </w:tc>
        <w:tc>
          <w:tcPr>
            <w:tcW w:w="799" w:type="dxa"/>
            <w:tcBorders>
              <w:top w:val="nil"/>
              <w:left w:val="nil"/>
              <w:bottom w:val="single" w:sz="4" w:space="0" w:color="auto"/>
              <w:right w:val="single" w:sz="4" w:space="0" w:color="auto"/>
            </w:tcBorders>
            <w:shd w:val="clear" w:color="auto" w:fill="auto"/>
            <w:noWrap/>
            <w:vAlign w:val="bottom"/>
            <w:hideMark/>
          </w:tcPr>
          <w:p w14:paraId="4B46AD9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5.592</w:t>
            </w:r>
          </w:p>
        </w:tc>
        <w:tc>
          <w:tcPr>
            <w:tcW w:w="957" w:type="dxa"/>
            <w:tcBorders>
              <w:top w:val="nil"/>
              <w:left w:val="nil"/>
              <w:bottom w:val="single" w:sz="4" w:space="0" w:color="auto"/>
              <w:right w:val="single" w:sz="4" w:space="0" w:color="auto"/>
            </w:tcBorders>
            <w:shd w:val="clear" w:color="auto" w:fill="auto"/>
            <w:noWrap/>
            <w:vAlign w:val="bottom"/>
            <w:hideMark/>
          </w:tcPr>
          <w:p w14:paraId="717EA07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5.151</w:t>
            </w:r>
          </w:p>
        </w:tc>
        <w:tc>
          <w:tcPr>
            <w:tcW w:w="1117" w:type="dxa"/>
            <w:tcBorders>
              <w:top w:val="nil"/>
              <w:left w:val="nil"/>
              <w:bottom w:val="single" w:sz="4" w:space="0" w:color="auto"/>
              <w:right w:val="single" w:sz="4" w:space="0" w:color="auto"/>
            </w:tcBorders>
            <w:shd w:val="clear" w:color="auto" w:fill="auto"/>
            <w:noWrap/>
            <w:vAlign w:val="bottom"/>
            <w:hideMark/>
          </w:tcPr>
          <w:p w14:paraId="21E000C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4.841</w:t>
            </w:r>
          </w:p>
        </w:tc>
        <w:tc>
          <w:tcPr>
            <w:tcW w:w="958" w:type="dxa"/>
            <w:tcBorders>
              <w:top w:val="nil"/>
              <w:left w:val="nil"/>
              <w:bottom w:val="single" w:sz="4" w:space="0" w:color="auto"/>
              <w:right w:val="single" w:sz="4" w:space="0" w:color="auto"/>
            </w:tcBorders>
            <w:shd w:val="clear" w:color="auto" w:fill="auto"/>
            <w:noWrap/>
            <w:vAlign w:val="bottom"/>
            <w:hideMark/>
          </w:tcPr>
          <w:p w14:paraId="298AA7A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2.453</w:t>
            </w:r>
          </w:p>
        </w:tc>
        <w:tc>
          <w:tcPr>
            <w:tcW w:w="1277" w:type="dxa"/>
            <w:tcBorders>
              <w:top w:val="nil"/>
              <w:left w:val="nil"/>
              <w:bottom w:val="single" w:sz="4" w:space="0" w:color="auto"/>
              <w:right w:val="single" w:sz="4" w:space="0" w:color="auto"/>
            </w:tcBorders>
            <w:shd w:val="clear" w:color="auto" w:fill="auto"/>
            <w:noWrap/>
            <w:vAlign w:val="bottom"/>
            <w:hideMark/>
          </w:tcPr>
          <w:p w14:paraId="474DEDC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51%</w:t>
            </w:r>
          </w:p>
        </w:tc>
      </w:tr>
      <w:tr w:rsidR="006356F1" w:rsidRPr="00AF7897" w14:paraId="7B9C872F" w14:textId="77777777" w:rsidTr="00217400">
        <w:trPr>
          <w:trHeight w:val="402"/>
        </w:trPr>
        <w:tc>
          <w:tcPr>
            <w:tcW w:w="88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805C1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2011</w:t>
            </w:r>
          </w:p>
        </w:tc>
        <w:tc>
          <w:tcPr>
            <w:tcW w:w="1438" w:type="dxa"/>
            <w:tcBorders>
              <w:top w:val="nil"/>
              <w:left w:val="nil"/>
              <w:bottom w:val="single" w:sz="4" w:space="0" w:color="auto"/>
              <w:right w:val="single" w:sz="4" w:space="0" w:color="auto"/>
            </w:tcBorders>
            <w:shd w:val="clear" w:color="auto" w:fill="auto"/>
            <w:noWrap/>
            <w:vAlign w:val="bottom"/>
            <w:hideMark/>
          </w:tcPr>
          <w:p w14:paraId="0D5A0A52"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Empregos</w:t>
            </w:r>
          </w:p>
        </w:tc>
        <w:tc>
          <w:tcPr>
            <w:tcW w:w="800" w:type="dxa"/>
            <w:tcBorders>
              <w:top w:val="nil"/>
              <w:left w:val="nil"/>
              <w:bottom w:val="single" w:sz="4" w:space="0" w:color="auto"/>
              <w:right w:val="single" w:sz="4" w:space="0" w:color="auto"/>
            </w:tcBorders>
            <w:shd w:val="clear" w:color="auto" w:fill="auto"/>
            <w:noWrap/>
            <w:vAlign w:val="bottom"/>
            <w:hideMark/>
          </w:tcPr>
          <w:p w14:paraId="524A9A1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13066E4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8C242C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4F89D9F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67AA4D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5A122E4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44</w:t>
            </w:r>
          </w:p>
        </w:tc>
        <w:tc>
          <w:tcPr>
            <w:tcW w:w="958" w:type="dxa"/>
            <w:tcBorders>
              <w:top w:val="nil"/>
              <w:left w:val="nil"/>
              <w:bottom w:val="single" w:sz="4" w:space="0" w:color="auto"/>
              <w:right w:val="single" w:sz="4" w:space="0" w:color="auto"/>
            </w:tcBorders>
            <w:shd w:val="clear" w:color="auto" w:fill="auto"/>
            <w:noWrap/>
            <w:vAlign w:val="bottom"/>
            <w:hideMark/>
          </w:tcPr>
          <w:p w14:paraId="0686754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6F4DAE3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1222094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3ECB3F7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164E7B1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5BD415E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2598A9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7025F7B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20F9DF6B"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3EFB0B56"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3FEEC66C"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Empregos/Projetos</w:t>
            </w:r>
          </w:p>
        </w:tc>
        <w:tc>
          <w:tcPr>
            <w:tcW w:w="800" w:type="dxa"/>
            <w:tcBorders>
              <w:top w:val="nil"/>
              <w:left w:val="nil"/>
              <w:bottom w:val="single" w:sz="4" w:space="0" w:color="auto"/>
              <w:right w:val="single" w:sz="4" w:space="0" w:color="auto"/>
            </w:tcBorders>
            <w:shd w:val="clear" w:color="auto" w:fill="auto"/>
            <w:noWrap/>
            <w:vAlign w:val="bottom"/>
            <w:hideMark/>
          </w:tcPr>
          <w:p w14:paraId="463EF17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77C1CF4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61398BF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77BC67E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11EB514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0B99DF8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4.475</w:t>
            </w:r>
          </w:p>
        </w:tc>
        <w:tc>
          <w:tcPr>
            <w:tcW w:w="958" w:type="dxa"/>
            <w:tcBorders>
              <w:top w:val="nil"/>
              <w:left w:val="nil"/>
              <w:bottom w:val="single" w:sz="4" w:space="0" w:color="auto"/>
              <w:right w:val="single" w:sz="4" w:space="0" w:color="auto"/>
            </w:tcBorders>
            <w:shd w:val="clear" w:color="auto" w:fill="auto"/>
            <w:noWrap/>
            <w:vAlign w:val="bottom"/>
            <w:hideMark/>
          </w:tcPr>
          <w:p w14:paraId="2921ADA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0C10284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62E502C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06A7885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642676D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32A97B3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2AE8721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326D2A3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6D84D246"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2CFCD860"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7B059FCE"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Empregos</w:t>
            </w:r>
          </w:p>
        </w:tc>
        <w:tc>
          <w:tcPr>
            <w:tcW w:w="800" w:type="dxa"/>
            <w:tcBorders>
              <w:top w:val="nil"/>
              <w:left w:val="nil"/>
              <w:bottom w:val="single" w:sz="4" w:space="0" w:color="auto"/>
              <w:right w:val="single" w:sz="4" w:space="0" w:color="auto"/>
            </w:tcBorders>
            <w:shd w:val="clear" w:color="auto" w:fill="auto"/>
            <w:noWrap/>
            <w:vAlign w:val="bottom"/>
            <w:hideMark/>
          </w:tcPr>
          <w:p w14:paraId="21D0A63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690</w:t>
            </w:r>
          </w:p>
        </w:tc>
        <w:tc>
          <w:tcPr>
            <w:tcW w:w="798" w:type="dxa"/>
            <w:tcBorders>
              <w:top w:val="nil"/>
              <w:left w:val="nil"/>
              <w:bottom w:val="single" w:sz="4" w:space="0" w:color="auto"/>
              <w:right w:val="single" w:sz="4" w:space="0" w:color="auto"/>
            </w:tcBorders>
            <w:shd w:val="clear" w:color="auto" w:fill="auto"/>
            <w:noWrap/>
            <w:vAlign w:val="bottom"/>
            <w:hideMark/>
          </w:tcPr>
          <w:p w14:paraId="5C86242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1.298</w:t>
            </w:r>
          </w:p>
        </w:tc>
        <w:tc>
          <w:tcPr>
            <w:tcW w:w="958" w:type="dxa"/>
            <w:tcBorders>
              <w:top w:val="nil"/>
              <w:left w:val="nil"/>
              <w:bottom w:val="single" w:sz="4" w:space="0" w:color="auto"/>
              <w:right w:val="single" w:sz="4" w:space="0" w:color="auto"/>
            </w:tcBorders>
            <w:shd w:val="clear" w:color="auto" w:fill="auto"/>
            <w:noWrap/>
            <w:vAlign w:val="bottom"/>
            <w:hideMark/>
          </w:tcPr>
          <w:p w14:paraId="2125327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2.049</w:t>
            </w:r>
          </w:p>
        </w:tc>
        <w:tc>
          <w:tcPr>
            <w:tcW w:w="957" w:type="dxa"/>
            <w:tcBorders>
              <w:top w:val="nil"/>
              <w:left w:val="nil"/>
              <w:bottom w:val="single" w:sz="4" w:space="0" w:color="auto"/>
              <w:right w:val="single" w:sz="4" w:space="0" w:color="auto"/>
            </w:tcBorders>
            <w:shd w:val="clear" w:color="auto" w:fill="auto"/>
            <w:noWrap/>
            <w:vAlign w:val="bottom"/>
            <w:hideMark/>
          </w:tcPr>
          <w:p w14:paraId="2B0E2B0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2.189</w:t>
            </w:r>
          </w:p>
        </w:tc>
        <w:tc>
          <w:tcPr>
            <w:tcW w:w="958" w:type="dxa"/>
            <w:tcBorders>
              <w:top w:val="nil"/>
              <w:left w:val="nil"/>
              <w:bottom w:val="single" w:sz="4" w:space="0" w:color="auto"/>
              <w:right w:val="single" w:sz="4" w:space="0" w:color="auto"/>
            </w:tcBorders>
            <w:shd w:val="clear" w:color="auto" w:fill="auto"/>
            <w:noWrap/>
            <w:vAlign w:val="bottom"/>
            <w:hideMark/>
          </w:tcPr>
          <w:p w14:paraId="59960BB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3.050</w:t>
            </w:r>
          </w:p>
        </w:tc>
        <w:tc>
          <w:tcPr>
            <w:tcW w:w="957" w:type="dxa"/>
            <w:tcBorders>
              <w:top w:val="nil"/>
              <w:left w:val="nil"/>
              <w:bottom w:val="single" w:sz="4" w:space="0" w:color="auto"/>
              <w:right w:val="single" w:sz="4" w:space="0" w:color="auto"/>
            </w:tcBorders>
            <w:shd w:val="clear" w:color="auto" w:fill="auto"/>
            <w:noWrap/>
            <w:vAlign w:val="bottom"/>
            <w:hideMark/>
          </w:tcPr>
          <w:p w14:paraId="6C4CCA6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5.769</w:t>
            </w:r>
          </w:p>
        </w:tc>
        <w:tc>
          <w:tcPr>
            <w:tcW w:w="958" w:type="dxa"/>
            <w:tcBorders>
              <w:top w:val="nil"/>
              <w:left w:val="nil"/>
              <w:bottom w:val="single" w:sz="4" w:space="0" w:color="auto"/>
              <w:right w:val="single" w:sz="4" w:space="0" w:color="auto"/>
            </w:tcBorders>
            <w:shd w:val="clear" w:color="auto" w:fill="auto"/>
            <w:noWrap/>
            <w:vAlign w:val="bottom"/>
            <w:hideMark/>
          </w:tcPr>
          <w:p w14:paraId="58FD46C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8.423</w:t>
            </w:r>
          </w:p>
        </w:tc>
        <w:tc>
          <w:tcPr>
            <w:tcW w:w="957" w:type="dxa"/>
            <w:tcBorders>
              <w:top w:val="nil"/>
              <w:left w:val="nil"/>
              <w:bottom w:val="single" w:sz="4" w:space="0" w:color="auto"/>
              <w:right w:val="single" w:sz="4" w:space="0" w:color="auto"/>
            </w:tcBorders>
            <w:shd w:val="clear" w:color="auto" w:fill="auto"/>
            <w:noWrap/>
            <w:vAlign w:val="bottom"/>
            <w:hideMark/>
          </w:tcPr>
          <w:p w14:paraId="0791223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8.900</w:t>
            </w:r>
          </w:p>
        </w:tc>
        <w:tc>
          <w:tcPr>
            <w:tcW w:w="958" w:type="dxa"/>
            <w:tcBorders>
              <w:top w:val="nil"/>
              <w:left w:val="nil"/>
              <w:bottom w:val="single" w:sz="4" w:space="0" w:color="auto"/>
              <w:right w:val="single" w:sz="4" w:space="0" w:color="auto"/>
            </w:tcBorders>
            <w:shd w:val="clear" w:color="auto" w:fill="auto"/>
            <w:noWrap/>
            <w:vAlign w:val="bottom"/>
            <w:hideMark/>
          </w:tcPr>
          <w:p w14:paraId="65DACE0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8.804</w:t>
            </w:r>
          </w:p>
        </w:tc>
        <w:tc>
          <w:tcPr>
            <w:tcW w:w="799" w:type="dxa"/>
            <w:tcBorders>
              <w:top w:val="nil"/>
              <w:left w:val="nil"/>
              <w:bottom w:val="single" w:sz="4" w:space="0" w:color="auto"/>
              <w:right w:val="single" w:sz="4" w:space="0" w:color="auto"/>
            </w:tcBorders>
            <w:shd w:val="clear" w:color="auto" w:fill="auto"/>
            <w:noWrap/>
            <w:vAlign w:val="bottom"/>
            <w:hideMark/>
          </w:tcPr>
          <w:p w14:paraId="161FD7C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8.489</w:t>
            </w:r>
          </w:p>
        </w:tc>
        <w:tc>
          <w:tcPr>
            <w:tcW w:w="957" w:type="dxa"/>
            <w:tcBorders>
              <w:top w:val="nil"/>
              <w:left w:val="nil"/>
              <w:bottom w:val="single" w:sz="4" w:space="0" w:color="auto"/>
              <w:right w:val="single" w:sz="4" w:space="0" w:color="auto"/>
            </w:tcBorders>
            <w:shd w:val="clear" w:color="auto" w:fill="auto"/>
            <w:noWrap/>
            <w:vAlign w:val="bottom"/>
            <w:hideMark/>
          </w:tcPr>
          <w:p w14:paraId="5EA5242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7.637</w:t>
            </w:r>
          </w:p>
        </w:tc>
        <w:tc>
          <w:tcPr>
            <w:tcW w:w="1117" w:type="dxa"/>
            <w:tcBorders>
              <w:top w:val="nil"/>
              <w:left w:val="nil"/>
              <w:bottom w:val="single" w:sz="4" w:space="0" w:color="auto"/>
              <w:right w:val="single" w:sz="4" w:space="0" w:color="auto"/>
            </w:tcBorders>
            <w:shd w:val="clear" w:color="auto" w:fill="auto"/>
            <w:noWrap/>
            <w:vAlign w:val="bottom"/>
            <w:hideMark/>
          </w:tcPr>
          <w:p w14:paraId="00692E5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7.540</w:t>
            </w:r>
          </w:p>
        </w:tc>
        <w:tc>
          <w:tcPr>
            <w:tcW w:w="958" w:type="dxa"/>
            <w:tcBorders>
              <w:top w:val="nil"/>
              <w:left w:val="nil"/>
              <w:bottom w:val="single" w:sz="4" w:space="0" w:color="auto"/>
              <w:right w:val="single" w:sz="4" w:space="0" w:color="auto"/>
            </w:tcBorders>
            <w:shd w:val="clear" w:color="auto" w:fill="auto"/>
            <w:noWrap/>
            <w:vAlign w:val="bottom"/>
            <w:hideMark/>
          </w:tcPr>
          <w:p w14:paraId="5E22586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1.771</w:t>
            </w:r>
          </w:p>
        </w:tc>
        <w:tc>
          <w:tcPr>
            <w:tcW w:w="1277" w:type="dxa"/>
            <w:tcBorders>
              <w:top w:val="nil"/>
              <w:left w:val="nil"/>
              <w:bottom w:val="single" w:sz="4" w:space="0" w:color="auto"/>
              <w:right w:val="single" w:sz="4" w:space="0" w:color="auto"/>
            </w:tcBorders>
            <w:shd w:val="clear" w:color="auto" w:fill="auto"/>
            <w:noWrap/>
            <w:vAlign w:val="bottom"/>
            <w:hideMark/>
          </w:tcPr>
          <w:p w14:paraId="66A5463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40%</w:t>
            </w:r>
          </w:p>
        </w:tc>
      </w:tr>
      <w:tr w:rsidR="006356F1" w:rsidRPr="00AF7897" w14:paraId="6F72C561" w14:textId="77777777" w:rsidTr="00217400">
        <w:trPr>
          <w:trHeight w:val="402"/>
        </w:trPr>
        <w:tc>
          <w:tcPr>
            <w:tcW w:w="88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83BD2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2012</w:t>
            </w:r>
          </w:p>
        </w:tc>
        <w:tc>
          <w:tcPr>
            <w:tcW w:w="1438" w:type="dxa"/>
            <w:tcBorders>
              <w:top w:val="nil"/>
              <w:left w:val="nil"/>
              <w:bottom w:val="single" w:sz="4" w:space="0" w:color="auto"/>
              <w:right w:val="single" w:sz="4" w:space="0" w:color="auto"/>
            </w:tcBorders>
            <w:shd w:val="clear" w:color="auto" w:fill="auto"/>
            <w:noWrap/>
            <w:vAlign w:val="bottom"/>
            <w:hideMark/>
          </w:tcPr>
          <w:p w14:paraId="27FBF5B5"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Empresas</w:t>
            </w:r>
          </w:p>
        </w:tc>
        <w:tc>
          <w:tcPr>
            <w:tcW w:w="800" w:type="dxa"/>
            <w:tcBorders>
              <w:top w:val="nil"/>
              <w:left w:val="nil"/>
              <w:bottom w:val="single" w:sz="4" w:space="0" w:color="auto"/>
              <w:right w:val="single" w:sz="4" w:space="0" w:color="auto"/>
            </w:tcBorders>
            <w:shd w:val="clear" w:color="auto" w:fill="auto"/>
            <w:noWrap/>
            <w:vAlign w:val="bottom"/>
            <w:hideMark/>
          </w:tcPr>
          <w:p w14:paraId="080DDC4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16C73F4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4D3007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5DC6FE7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361C546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77DF9A7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58366C6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24</w:t>
            </w:r>
          </w:p>
        </w:tc>
        <w:tc>
          <w:tcPr>
            <w:tcW w:w="957" w:type="dxa"/>
            <w:tcBorders>
              <w:top w:val="nil"/>
              <w:left w:val="nil"/>
              <w:bottom w:val="single" w:sz="4" w:space="0" w:color="auto"/>
              <w:right w:val="single" w:sz="4" w:space="0" w:color="auto"/>
            </w:tcBorders>
            <w:shd w:val="clear" w:color="auto" w:fill="auto"/>
            <w:noWrap/>
            <w:vAlign w:val="bottom"/>
            <w:hideMark/>
          </w:tcPr>
          <w:p w14:paraId="3AEA624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4CC9C92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7436212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5BA29C0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0849724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04B188D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29DBC71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039A64FF"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210B0144"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3E3C5E40"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Empregos/Projetos</w:t>
            </w:r>
          </w:p>
        </w:tc>
        <w:tc>
          <w:tcPr>
            <w:tcW w:w="800" w:type="dxa"/>
            <w:tcBorders>
              <w:top w:val="nil"/>
              <w:left w:val="nil"/>
              <w:bottom w:val="single" w:sz="4" w:space="0" w:color="auto"/>
              <w:right w:val="single" w:sz="4" w:space="0" w:color="auto"/>
            </w:tcBorders>
            <w:shd w:val="clear" w:color="auto" w:fill="auto"/>
            <w:noWrap/>
            <w:vAlign w:val="bottom"/>
            <w:hideMark/>
          </w:tcPr>
          <w:p w14:paraId="2CF8A13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594D2D9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00DA002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4645726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1437C4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45040D2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47789AB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2.127</w:t>
            </w:r>
          </w:p>
        </w:tc>
        <w:tc>
          <w:tcPr>
            <w:tcW w:w="957" w:type="dxa"/>
            <w:tcBorders>
              <w:top w:val="nil"/>
              <w:left w:val="nil"/>
              <w:bottom w:val="single" w:sz="4" w:space="0" w:color="auto"/>
              <w:right w:val="single" w:sz="4" w:space="0" w:color="auto"/>
            </w:tcBorders>
            <w:shd w:val="clear" w:color="auto" w:fill="auto"/>
            <w:noWrap/>
            <w:vAlign w:val="bottom"/>
            <w:hideMark/>
          </w:tcPr>
          <w:p w14:paraId="78D3E4E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402236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1114EF0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6B22937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288037B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59E6282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6D9EE3E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28F012CC"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55214E25"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79BFD487"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Empregos</w:t>
            </w:r>
          </w:p>
        </w:tc>
        <w:tc>
          <w:tcPr>
            <w:tcW w:w="800" w:type="dxa"/>
            <w:tcBorders>
              <w:top w:val="nil"/>
              <w:left w:val="nil"/>
              <w:bottom w:val="single" w:sz="4" w:space="0" w:color="auto"/>
              <w:right w:val="single" w:sz="4" w:space="0" w:color="auto"/>
            </w:tcBorders>
            <w:shd w:val="clear" w:color="auto" w:fill="auto"/>
            <w:noWrap/>
            <w:vAlign w:val="bottom"/>
            <w:hideMark/>
          </w:tcPr>
          <w:p w14:paraId="4F493F3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261</w:t>
            </w:r>
          </w:p>
        </w:tc>
        <w:tc>
          <w:tcPr>
            <w:tcW w:w="798" w:type="dxa"/>
            <w:tcBorders>
              <w:top w:val="nil"/>
              <w:left w:val="nil"/>
              <w:bottom w:val="single" w:sz="4" w:space="0" w:color="auto"/>
              <w:right w:val="single" w:sz="4" w:space="0" w:color="auto"/>
            </w:tcBorders>
            <w:shd w:val="clear" w:color="auto" w:fill="auto"/>
            <w:noWrap/>
            <w:vAlign w:val="bottom"/>
            <w:hideMark/>
          </w:tcPr>
          <w:p w14:paraId="480C25A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348</w:t>
            </w:r>
          </w:p>
        </w:tc>
        <w:tc>
          <w:tcPr>
            <w:tcW w:w="958" w:type="dxa"/>
            <w:tcBorders>
              <w:top w:val="nil"/>
              <w:left w:val="nil"/>
              <w:bottom w:val="single" w:sz="4" w:space="0" w:color="auto"/>
              <w:right w:val="single" w:sz="4" w:space="0" w:color="auto"/>
            </w:tcBorders>
            <w:shd w:val="clear" w:color="auto" w:fill="auto"/>
            <w:noWrap/>
            <w:vAlign w:val="bottom"/>
            <w:hideMark/>
          </w:tcPr>
          <w:p w14:paraId="150C983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398</w:t>
            </w:r>
          </w:p>
        </w:tc>
        <w:tc>
          <w:tcPr>
            <w:tcW w:w="957" w:type="dxa"/>
            <w:tcBorders>
              <w:top w:val="nil"/>
              <w:left w:val="nil"/>
              <w:bottom w:val="single" w:sz="4" w:space="0" w:color="auto"/>
              <w:right w:val="single" w:sz="4" w:space="0" w:color="auto"/>
            </w:tcBorders>
            <w:shd w:val="clear" w:color="auto" w:fill="auto"/>
            <w:noWrap/>
            <w:vAlign w:val="bottom"/>
            <w:hideMark/>
          </w:tcPr>
          <w:p w14:paraId="1F3819B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435</w:t>
            </w:r>
          </w:p>
        </w:tc>
        <w:tc>
          <w:tcPr>
            <w:tcW w:w="958" w:type="dxa"/>
            <w:tcBorders>
              <w:top w:val="nil"/>
              <w:left w:val="nil"/>
              <w:bottom w:val="single" w:sz="4" w:space="0" w:color="auto"/>
              <w:right w:val="single" w:sz="4" w:space="0" w:color="auto"/>
            </w:tcBorders>
            <w:shd w:val="clear" w:color="auto" w:fill="auto"/>
            <w:noWrap/>
            <w:vAlign w:val="bottom"/>
            <w:hideMark/>
          </w:tcPr>
          <w:p w14:paraId="463F9A5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652</w:t>
            </w:r>
          </w:p>
        </w:tc>
        <w:tc>
          <w:tcPr>
            <w:tcW w:w="957" w:type="dxa"/>
            <w:tcBorders>
              <w:top w:val="nil"/>
              <w:left w:val="nil"/>
              <w:bottom w:val="single" w:sz="4" w:space="0" w:color="auto"/>
              <w:right w:val="single" w:sz="4" w:space="0" w:color="auto"/>
            </w:tcBorders>
            <w:shd w:val="clear" w:color="auto" w:fill="auto"/>
            <w:noWrap/>
            <w:vAlign w:val="bottom"/>
            <w:hideMark/>
          </w:tcPr>
          <w:p w14:paraId="11109DB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873</w:t>
            </w:r>
          </w:p>
        </w:tc>
        <w:tc>
          <w:tcPr>
            <w:tcW w:w="958" w:type="dxa"/>
            <w:tcBorders>
              <w:top w:val="nil"/>
              <w:left w:val="nil"/>
              <w:bottom w:val="single" w:sz="4" w:space="0" w:color="auto"/>
              <w:right w:val="single" w:sz="4" w:space="0" w:color="auto"/>
            </w:tcBorders>
            <w:shd w:val="clear" w:color="auto" w:fill="auto"/>
            <w:noWrap/>
            <w:vAlign w:val="bottom"/>
            <w:hideMark/>
          </w:tcPr>
          <w:p w14:paraId="457EA84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1.196</w:t>
            </w:r>
          </w:p>
        </w:tc>
        <w:tc>
          <w:tcPr>
            <w:tcW w:w="957" w:type="dxa"/>
            <w:tcBorders>
              <w:top w:val="nil"/>
              <w:left w:val="nil"/>
              <w:bottom w:val="single" w:sz="4" w:space="0" w:color="auto"/>
              <w:right w:val="single" w:sz="4" w:space="0" w:color="auto"/>
            </w:tcBorders>
            <w:shd w:val="clear" w:color="auto" w:fill="auto"/>
            <w:noWrap/>
            <w:vAlign w:val="bottom"/>
            <w:hideMark/>
          </w:tcPr>
          <w:p w14:paraId="270B8EB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1.390</w:t>
            </w:r>
          </w:p>
        </w:tc>
        <w:tc>
          <w:tcPr>
            <w:tcW w:w="958" w:type="dxa"/>
            <w:tcBorders>
              <w:top w:val="nil"/>
              <w:left w:val="nil"/>
              <w:bottom w:val="single" w:sz="4" w:space="0" w:color="auto"/>
              <w:right w:val="single" w:sz="4" w:space="0" w:color="auto"/>
            </w:tcBorders>
            <w:shd w:val="clear" w:color="auto" w:fill="auto"/>
            <w:noWrap/>
            <w:vAlign w:val="bottom"/>
            <w:hideMark/>
          </w:tcPr>
          <w:p w14:paraId="016F5FF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1.466</w:t>
            </w:r>
          </w:p>
        </w:tc>
        <w:tc>
          <w:tcPr>
            <w:tcW w:w="799" w:type="dxa"/>
            <w:tcBorders>
              <w:top w:val="nil"/>
              <w:left w:val="nil"/>
              <w:bottom w:val="single" w:sz="4" w:space="0" w:color="auto"/>
              <w:right w:val="single" w:sz="4" w:space="0" w:color="auto"/>
            </w:tcBorders>
            <w:shd w:val="clear" w:color="auto" w:fill="auto"/>
            <w:noWrap/>
            <w:vAlign w:val="bottom"/>
            <w:hideMark/>
          </w:tcPr>
          <w:p w14:paraId="28C1843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1.472</w:t>
            </w:r>
          </w:p>
        </w:tc>
        <w:tc>
          <w:tcPr>
            <w:tcW w:w="957" w:type="dxa"/>
            <w:tcBorders>
              <w:top w:val="nil"/>
              <w:left w:val="nil"/>
              <w:bottom w:val="single" w:sz="4" w:space="0" w:color="auto"/>
              <w:right w:val="single" w:sz="4" w:space="0" w:color="auto"/>
            </w:tcBorders>
            <w:shd w:val="clear" w:color="auto" w:fill="auto"/>
            <w:noWrap/>
            <w:vAlign w:val="bottom"/>
            <w:hideMark/>
          </w:tcPr>
          <w:p w14:paraId="22FAD52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1.482</w:t>
            </w:r>
          </w:p>
        </w:tc>
        <w:tc>
          <w:tcPr>
            <w:tcW w:w="1117" w:type="dxa"/>
            <w:tcBorders>
              <w:top w:val="nil"/>
              <w:left w:val="nil"/>
              <w:bottom w:val="single" w:sz="4" w:space="0" w:color="auto"/>
              <w:right w:val="single" w:sz="4" w:space="0" w:color="auto"/>
            </w:tcBorders>
            <w:shd w:val="clear" w:color="auto" w:fill="auto"/>
            <w:noWrap/>
            <w:vAlign w:val="bottom"/>
            <w:hideMark/>
          </w:tcPr>
          <w:p w14:paraId="0BD018F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1.401</w:t>
            </w:r>
          </w:p>
        </w:tc>
        <w:tc>
          <w:tcPr>
            <w:tcW w:w="958" w:type="dxa"/>
            <w:tcBorders>
              <w:top w:val="nil"/>
              <w:left w:val="nil"/>
              <w:bottom w:val="single" w:sz="4" w:space="0" w:color="auto"/>
              <w:right w:val="single" w:sz="4" w:space="0" w:color="auto"/>
            </w:tcBorders>
            <w:shd w:val="clear" w:color="auto" w:fill="auto"/>
            <w:noWrap/>
            <w:vAlign w:val="bottom"/>
            <w:hideMark/>
          </w:tcPr>
          <w:p w14:paraId="495A8B1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205</w:t>
            </w:r>
          </w:p>
        </w:tc>
        <w:tc>
          <w:tcPr>
            <w:tcW w:w="1277" w:type="dxa"/>
            <w:tcBorders>
              <w:top w:val="nil"/>
              <w:left w:val="nil"/>
              <w:bottom w:val="single" w:sz="4" w:space="0" w:color="auto"/>
              <w:right w:val="single" w:sz="4" w:space="0" w:color="auto"/>
            </w:tcBorders>
            <w:shd w:val="clear" w:color="auto" w:fill="auto"/>
            <w:noWrap/>
            <w:vAlign w:val="bottom"/>
            <w:hideMark/>
          </w:tcPr>
          <w:p w14:paraId="3197D5C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10%</w:t>
            </w:r>
          </w:p>
        </w:tc>
      </w:tr>
      <w:tr w:rsidR="006356F1" w:rsidRPr="00AF7897" w14:paraId="288C6F27" w14:textId="77777777" w:rsidTr="00217400">
        <w:trPr>
          <w:trHeight w:val="402"/>
        </w:trPr>
        <w:tc>
          <w:tcPr>
            <w:tcW w:w="88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0DF31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lastRenderedPageBreak/>
              <w:t>2013</w:t>
            </w:r>
          </w:p>
        </w:tc>
        <w:tc>
          <w:tcPr>
            <w:tcW w:w="1438" w:type="dxa"/>
            <w:tcBorders>
              <w:top w:val="nil"/>
              <w:left w:val="nil"/>
              <w:bottom w:val="single" w:sz="4" w:space="0" w:color="auto"/>
              <w:right w:val="single" w:sz="4" w:space="0" w:color="auto"/>
            </w:tcBorders>
            <w:shd w:val="clear" w:color="auto" w:fill="auto"/>
            <w:noWrap/>
            <w:vAlign w:val="bottom"/>
            <w:hideMark/>
          </w:tcPr>
          <w:p w14:paraId="3B3401DD"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Empresas</w:t>
            </w:r>
          </w:p>
        </w:tc>
        <w:tc>
          <w:tcPr>
            <w:tcW w:w="800" w:type="dxa"/>
            <w:tcBorders>
              <w:top w:val="nil"/>
              <w:left w:val="nil"/>
              <w:bottom w:val="single" w:sz="4" w:space="0" w:color="auto"/>
              <w:right w:val="single" w:sz="4" w:space="0" w:color="auto"/>
            </w:tcBorders>
            <w:shd w:val="clear" w:color="auto" w:fill="auto"/>
            <w:noWrap/>
            <w:vAlign w:val="bottom"/>
            <w:hideMark/>
          </w:tcPr>
          <w:p w14:paraId="553857D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6D8DF9A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AAEE70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22E32C9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0032D70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3970F60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3D9B180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01F5903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43</w:t>
            </w:r>
          </w:p>
        </w:tc>
        <w:tc>
          <w:tcPr>
            <w:tcW w:w="958" w:type="dxa"/>
            <w:tcBorders>
              <w:top w:val="nil"/>
              <w:left w:val="nil"/>
              <w:bottom w:val="single" w:sz="4" w:space="0" w:color="auto"/>
              <w:right w:val="single" w:sz="4" w:space="0" w:color="auto"/>
            </w:tcBorders>
            <w:shd w:val="clear" w:color="auto" w:fill="auto"/>
            <w:noWrap/>
            <w:vAlign w:val="bottom"/>
            <w:hideMark/>
          </w:tcPr>
          <w:p w14:paraId="44AA9FB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60BE147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7724C43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5887824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619D24E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649E50B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57DA5788"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2E90F4C0"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0A0A2B77"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Empregos/Projetos</w:t>
            </w:r>
          </w:p>
        </w:tc>
        <w:tc>
          <w:tcPr>
            <w:tcW w:w="800" w:type="dxa"/>
            <w:tcBorders>
              <w:top w:val="nil"/>
              <w:left w:val="nil"/>
              <w:bottom w:val="single" w:sz="4" w:space="0" w:color="auto"/>
              <w:right w:val="single" w:sz="4" w:space="0" w:color="auto"/>
            </w:tcBorders>
            <w:shd w:val="clear" w:color="auto" w:fill="auto"/>
            <w:noWrap/>
            <w:vAlign w:val="bottom"/>
            <w:hideMark/>
          </w:tcPr>
          <w:p w14:paraId="4332332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77E1E8A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30A6A44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03F8595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698703A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7BA4740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6F0470F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186E523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2.967</w:t>
            </w:r>
          </w:p>
        </w:tc>
        <w:tc>
          <w:tcPr>
            <w:tcW w:w="958" w:type="dxa"/>
            <w:tcBorders>
              <w:top w:val="nil"/>
              <w:left w:val="nil"/>
              <w:bottom w:val="single" w:sz="4" w:space="0" w:color="auto"/>
              <w:right w:val="single" w:sz="4" w:space="0" w:color="auto"/>
            </w:tcBorders>
            <w:shd w:val="clear" w:color="auto" w:fill="auto"/>
            <w:noWrap/>
            <w:vAlign w:val="bottom"/>
            <w:hideMark/>
          </w:tcPr>
          <w:p w14:paraId="5B55523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9" w:type="dxa"/>
            <w:tcBorders>
              <w:top w:val="nil"/>
              <w:left w:val="nil"/>
              <w:bottom w:val="single" w:sz="4" w:space="0" w:color="auto"/>
              <w:right w:val="single" w:sz="4" w:space="0" w:color="auto"/>
            </w:tcBorders>
            <w:shd w:val="clear" w:color="auto" w:fill="auto"/>
            <w:noWrap/>
            <w:vAlign w:val="bottom"/>
            <w:hideMark/>
          </w:tcPr>
          <w:p w14:paraId="733FC4F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707458C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3A7DA4E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012CF696"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34FC8DD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3F5C1DA5"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6E5CED5C"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7E0AC89F"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Empregos</w:t>
            </w:r>
          </w:p>
        </w:tc>
        <w:tc>
          <w:tcPr>
            <w:tcW w:w="800" w:type="dxa"/>
            <w:tcBorders>
              <w:top w:val="nil"/>
              <w:left w:val="nil"/>
              <w:bottom w:val="single" w:sz="4" w:space="0" w:color="auto"/>
              <w:right w:val="single" w:sz="4" w:space="0" w:color="auto"/>
            </w:tcBorders>
            <w:shd w:val="clear" w:color="auto" w:fill="auto"/>
            <w:noWrap/>
            <w:vAlign w:val="bottom"/>
            <w:hideMark/>
          </w:tcPr>
          <w:p w14:paraId="7EBF72A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280</w:t>
            </w:r>
          </w:p>
        </w:tc>
        <w:tc>
          <w:tcPr>
            <w:tcW w:w="798" w:type="dxa"/>
            <w:tcBorders>
              <w:top w:val="nil"/>
              <w:left w:val="nil"/>
              <w:bottom w:val="single" w:sz="4" w:space="0" w:color="auto"/>
              <w:right w:val="single" w:sz="4" w:space="0" w:color="auto"/>
            </w:tcBorders>
            <w:shd w:val="clear" w:color="auto" w:fill="auto"/>
            <w:noWrap/>
            <w:vAlign w:val="bottom"/>
            <w:hideMark/>
          </w:tcPr>
          <w:p w14:paraId="119F148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367</w:t>
            </w:r>
          </w:p>
        </w:tc>
        <w:tc>
          <w:tcPr>
            <w:tcW w:w="958" w:type="dxa"/>
            <w:tcBorders>
              <w:top w:val="nil"/>
              <w:left w:val="nil"/>
              <w:bottom w:val="single" w:sz="4" w:space="0" w:color="auto"/>
              <w:right w:val="single" w:sz="4" w:space="0" w:color="auto"/>
            </w:tcBorders>
            <w:shd w:val="clear" w:color="auto" w:fill="auto"/>
            <w:noWrap/>
            <w:vAlign w:val="bottom"/>
            <w:hideMark/>
          </w:tcPr>
          <w:p w14:paraId="1EE2D25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509</w:t>
            </w:r>
          </w:p>
        </w:tc>
        <w:tc>
          <w:tcPr>
            <w:tcW w:w="957" w:type="dxa"/>
            <w:tcBorders>
              <w:top w:val="nil"/>
              <w:left w:val="nil"/>
              <w:bottom w:val="single" w:sz="4" w:space="0" w:color="auto"/>
              <w:right w:val="single" w:sz="4" w:space="0" w:color="auto"/>
            </w:tcBorders>
            <w:shd w:val="clear" w:color="auto" w:fill="auto"/>
            <w:noWrap/>
            <w:vAlign w:val="bottom"/>
            <w:hideMark/>
          </w:tcPr>
          <w:p w14:paraId="7EAB100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562</w:t>
            </w:r>
          </w:p>
        </w:tc>
        <w:tc>
          <w:tcPr>
            <w:tcW w:w="958" w:type="dxa"/>
            <w:tcBorders>
              <w:top w:val="nil"/>
              <w:left w:val="nil"/>
              <w:bottom w:val="single" w:sz="4" w:space="0" w:color="auto"/>
              <w:right w:val="single" w:sz="4" w:space="0" w:color="auto"/>
            </w:tcBorders>
            <w:shd w:val="clear" w:color="auto" w:fill="auto"/>
            <w:noWrap/>
            <w:vAlign w:val="bottom"/>
            <w:hideMark/>
          </w:tcPr>
          <w:p w14:paraId="03934CB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815</w:t>
            </w:r>
          </w:p>
        </w:tc>
        <w:tc>
          <w:tcPr>
            <w:tcW w:w="957" w:type="dxa"/>
            <w:tcBorders>
              <w:top w:val="nil"/>
              <w:left w:val="nil"/>
              <w:bottom w:val="single" w:sz="4" w:space="0" w:color="auto"/>
              <w:right w:val="single" w:sz="4" w:space="0" w:color="auto"/>
            </w:tcBorders>
            <w:shd w:val="clear" w:color="auto" w:fill="auto"/>
            <w:noWrap/>
            <w:vAlign w:val="bottom"/>
            <w:hideMark/>
          </w:tcPr>
          <w:p w14:paraId="44F1DBE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1.312</w:t>
            </w:r>
          </w:p>
        </w:tc>
        <w:tc>
          <w:tcPr>
            <w:tcW w:w="958" w:type="dxa"/>
            <w:tcBorders>
              <w:top w:val="nil"/>
              <w:left w:val="nil"/>
              <w:bottom w:val="single" w:sz="4" w:space="0" w:color="auto"/>
              <w:right w:val="single" w:sz="4" w:space="0" w:color="auto"/>
            </w:tcBorders>
            <w:shd w:val="clear" w:color="auto" w:fill="auto"/>
            <w:noWrap/>
            <w:vAlign w:val="bottom"/>
            <w:hideMark/>
          </w:tcPr>
          <w:p w14:paraId="0D8EBA5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1.801</w:t>
            </w:r>
          </w:p>
        </w:tc>
        <w:tc>
          <w:tcPr>
            <w:tcW w:w="957" w:type="dxa"/>
            <w:tcBorders>
              <w:top w:val="nil"/>
              <w:left w:val="nil"/>
              <w:bottom w:val="single" w:sz="4" w:space="0" w:color="auto"/>
              <w:right w:val="single" w:sz="4" w:space="0" w:color="auto"/>
            </w:tcBorders>
            <w:shd w:val="clear" w:color="auto" w:fill="auto"/>
            <w:noWrap/>
            <w:vAlign w:val="bottom"/>
            <w:hideMark/>
          </w:tcPr>
          <w:p w14:paraId="37903C2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2.830</w:t>
            </w:r>
          </w:p>
        </w:tc>
        <w:tc>
          <w:tcPr>
            <w:tcW w:w="958" w:type="dxa"/>
            <w:tcBorders>
              <w:top w:val="nil"/>
              <w:left w:val="nil"/>
              <w:bottom w:val="single" w:sz="4" w:space="0" w:color="auto"/>
              <w:right w:val="single" w:sz="4" w:space="0" w:color="auto"/>
            </w:tcBorders>
            <w:shd w:val="clear" w:color="auto" w:fill="auto"/>
            <w:noWrap/>
            <w:vAlign w:val="bottom"/>
            <w:hideMark/>
          </w:tcPr>
          <w:p w14:paraId="3360911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4.980</w:t>
            </w:r>
          </w:p>
        </w:tc>
        <w:tc>
          <w:tcPr>
            <w:tcW w:w="799" w:type="dxa"/>
            <w:tcBorders>
              <w:top w:val="nil"/>
              <w:left w:val="nil"/>
              <w:bottom w:val="single" w:sz="4" w:space="0" w:color="auto"/>
              <w:right w:val="single" w:sz="4" w:space="0" w:color="auto"/>
            </w:tcBorders>
            <w:shd w:val="clear" w:color="auto" w:fill="auto"/>
            <w:noWrap/>
            <w:vAlign w:val="bottom"/>
            <w:hideMark/>
          </w:tcPr>
          <w:p w14:paraId="1AABE36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5.123</w:t>
            </w:r>
          </w:p>
        </w:tc>
        <w:tc>
          <w:tcPr>
            <w:tcW w:w="957" w:type="dxa"/>
            <w:tcBorders>
              <w:top w:val="nil"/>
              <w:left w:val="nil"/>
              <w:bottom w:val="single" w:sz="4" w:space="0" w:color="auto"/>
              <w:right w:val="single" w:sz="4" w:space="0" w:color="auto"/>
            </w:tcBorders>
            <w:shd w:val="clear" w:color="auto" w:fill="auto"/>
            <w:noWrap/>
            <w:vAlign w:val="bottom"/>
            <w:hideMark/>
          </w:tcPr>
          <w:p w14:paraId="4F40709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5.015</w:t>
            </w:r>
          </w:p>
        </w:tc>
        <w:tc>
          <w:tcPr>
            <w:tcW w:w="1117" w:type="dxa"/>
            <w:tcBorders>
              <w:top w:val="nil"/>
              <w:left w:val="nil"/>
              <w:bottom w:val="single" w:sz="4" w:space="0" w:color="auto"/>
              <w:right w:val="single" w:sz="4" w:space="0" w:color="auto"/>
            </w:tcBorders>
            <w:shd w:val="clear" w:color="auto" w:fill="auto"/>
            <w:noWrap/>
            <w:vAlign w:val="bottom"/>
            <w:hideMark/>
          </w:tcPr>
          <w:p w14:paraId="762B255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5.041</w:t>
            </w:r>
          </w:p>
        </w:tc>
        <w:tc>
          <w:tcPr>
            <w:tcW w:w="958" w:type="dxa"/>
            <w:tcBorders>
              <w:top w:val="nil"/>
              <w:left w:val="nil"/>
              <w:bottom w:val="single" w:sz="4" w:space="0" w:color="auto"/>
              <w:right w:val="single" w:sz="4" w:space="0" w:color="auto"/>
            </w:tcBorders>
            <w:shd w:val="clear" w:color="auto" w:fill="auto"/>
            <w:noWrap/>
            <w:vAlign w:val="bottom"/>
            <w:hideMark/>
          </w:tcPr>
          <w:p w14:paraId="7044836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2.211</w:t>
            </w:r>
          </w:p>
        </w:tc>
        <w:tc>
          <w:tcPr>
            <w:tcW w:w="1277" w:type="dxa"/>
            <w:tcBorders>
              <w:top w:val="nil"/>
              <w:left w:val="nil"/>
              <w:bottom w:val="single" w:sz="4" w:space="0" w:color="auto"/>
              <w:right w:val="single" w:sz="4" w:space="0" w:color="auto"/>
            </w:tcBorders>
            <w:shd w:val="clear" w:color="auto" w:fill="auto"/>
            <w:noWrap/>
            <w:vAlign w:val="bottom"/>
            <w:hideMark/>
          </w:tcPr>
          <w:p w14:paraId="0F72BA2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75%</w:t>
            </w:r>
          </w:p>
        </w:tc>
      </w:tr>
      <w:tr w:rsidR="006356F1" w:rsidRPr="00AF7897" w14:paraId="4B4EBBE1" w14:textId="77777777" w:rsidTr="00217400">
        <w:trPr>
          <w:trHeight w:val="402"/>
        </w:trPr>
        <w:tc>
          <w:tcPr>
            <w:tcW w:w="88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EA149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2014</w:t>
            </w:r>
          </w:p>
        </w:tc>
        <w:tc>
          <w:tcPr>
            <w:tcW w:w="1438" w:type="dxa"/>
            <w:tcBorders>
              <w:top w:val="nil"/>
              <w:left w:val="nil"/>
              <w:bottom w:val="single" w:sz="4" w:space="0" w:color="auto"/>
              <w:right w:val="single" w:sz="4" w:space="0" w:color="auto"/>
            </w:tcBorders>
            <w:shd w:val="clear" w:color="auto" w:fill="auto"/>
            <w:noWrap/>
            <w:vAlign w:val="bottom"/>
            <w:hideMark/>
          </w:tcPr>
          <w:p w14:paraId="6E25A46C"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Empresas</w:t>
            </w:r>
          </w:p>
        </w:tc>
        <w:tc>
          <w:tcPr>
            <w:tcW w:w="800" w:type="dxa"/>
            <w:tcBorders>
              <w:top w:val="nil"/>
              <w:left w:val="nil"/>
              <w:bottom w:val="single" w:sz="4" w:space="0" w:color="auto"/>
              <w:right w:val="single" w:sz="4" w:space="0" w:color="auto"/>
            </w:tcBorders>
            <w:shd w:val="clear" w:color="auto" w:fill="auto"/>
            <w:noWrap/>
            <w:vAlign w:val="bottom"/>
            <w:hideMark/>
          </w:tcPr>
          <w:p w14:paraId="3521B7D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6995E56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368E92C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16A0FD5D"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392486F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4959A13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0E89C63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5687128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16DE0B3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36</w:t>
            </w:r>
          </w:p>
        </w:tc>
        <w:tc>
          <w:tcPr>
            <w:tcW w:w="799" w:type="dxa"/>
            <w:tcBorders>
              <w:top w:val="nil"/>
              <w:left w:val="nil"/>
              <w:bottom w:val="single" w:sz="4" w:space="0" w:color="auto"/>
              <w:right w:val="single" w:sz="4" w:space="0" w:color="auto"/>
            </w:tcBorders>
            <w:shd w:val="clear" w:color="auto" w:fill="auto"/>
            <w:noWrap/>
            <w:vAlign w:val="bottom"/>
            <w:hideMark/>
          </w:tcPr>
          <w:p w14:paraId="5F6074A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1268DFD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5C5F665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52E6C6E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7A69E3A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6D18F6DB"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268A94A9"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2D75DCC8"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Empregos/Projetos</w:t>
            </w:r>
          </w:p>
        </w:tc>
        <w:tc>
          <w:tcPr>
            <w:tcW w:w="800" w:type="dxa"/>
            <w:tcBorders>
              <w:top w:val="nil"/>
              <w:left w:val="nil"/>
              <w:bottom w:val="single" w:sz="4" w:space="0" w:color="auto"/>
              <w:right w:val="single" w:sz="4" w:space="0" w:color="auto"/>
            </w:tcBorders>
            <w:shd w:val="clear" w:color="auto" w:fill="auto"/>
            <w:noWrap/>
            <w:vAlign w:val="bottom"/>
            <w:hideMark/>
          </w:tcPr>
          <w:p w14:paraId="1DA39FC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798" w:type="dxa"/>
            <w:tcBorders>
              <w:top w:val="nil"/>
              <w:left w:val="nil"/>
              <w:bottom w:val="single" w:sz="4" w:space="0" w:color="auto"/>
              <w:right w:val="single" w:sz="4" w:space="0" w:color="auto"/>
            </w:tcBorders>
            <w:shd w:val="clear" w:color="auto" w:fill="auto"/>
            <w:noWrap/>
            <w:vAlign w:val="bottom"/>
            <w:hideMark/>
          </w:tcPr>
          <w:p w14:paraId="293554D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7E044A6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05A7B8F3"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0E6F003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53692CA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04E3E71B"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3625ACC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5E615FE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2.385</w:t>
            </w:r>
          </w:p>
        </w:tc>
        <w:tc>
          <w:tcPr>
            <w:tcW w:w="799" w:type="dxa"/>
            <w:tcBorders>
              <w:top w:val="nil"/>
              <w:left w:val="nil"/>
              <w:bottom w:val="single" w:sz="4" w:space="0" w:color="auto"/>
              <w:right w:val="single" w:sz="4" w:space="0" w:color="auto"/>
            </w:tcBorders>
            <w:shd w:val="clear" w:color="auto" w:fill="auto"/>
            <w:noWrap/>
            <w:vAlign w:val="bottom"/>
            <w:hideMark/>
          </w:tcPr>
          <w:p w14:paraId="58A9CB95"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7" w:type="dxa"/>
            <w:tcBorders>
              <w:top w:val="nil"/>
              <w:left w:val="nil"/>
              <w:bottom w:val="single" w:sz="4" w:space="0" w:color="auto"/>
              <w:right w:val="single" w:sz="4" w:space="0" w:color="auto"/>
            </w:tcBorders>
            <w:shd w:val="clear" w:color="auto" w:fill="auto"/>
            <w:noWrap/>
            <w:vAlign w:val="bottom"/>
            <w:hideMark/>
          </w:tcPr>
          <w:p w14:paraId="04F3EDB9"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117" w:type="dxa"/>
            <w:tcBorders>
              <w:top w:val="nil"/>
              <w:left w:val="nil"/>
              <w:bottom w:val="single" w:sz="4" w:space="0" w:color="auto"/>
              <w:right w:val="single" w:sz="4" w:space="0" w:color="auto"/>
            </w:tcBorders>
            <w:shd w:val="clear" w:color="auto" w:fill="auto"/>
            <w:noWrap/>
            <w:vAlign w:val="bottom"/>
            <w:hideMark/>
          </w:tcPr>
          <w:p w14:paraId="1CF3767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958" w:type="dxa"/>
            <w:tcBorders>
              <w:top w:val="nil"/>
              <w:left w:val="nil"/>
              <w:bottom w:val="single" w:sz="4" w:space="0" w:color="auto"/>
              <w:right w:val="single" w:sz="4" w:space="0" w:color="auto"/>
            </w:tcBorders>
            <w:shd w:val="clear" w:color="auto" w:fill="auto"/>
            <w:noWrap/>
            <w:vAlign w:val="bottom"/>
            <w:hideMark/>
          </w:tcPr>
          <w:p w14:paraId="4314D680"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c>
          <w:tcPr>
            <w:tcW w:w="1277" w:type="dxa"/>
            <w:tcBorders>
              <w:top w:val="nil"/>
              <w:left w:val="nil"/>
              <w:bottom w:val="single" w:sz="4" w:space="0" w:color="auto"/>
              <w:right w:val="single" w:sz="4" w:space="0" w:color="auto"/>
            </w:tcBorders>
            <w:shd w:val="clear" w:color="auto" w:fill="auto"/>
            <w:noWrap/>
            <w:vAlign w:val="bottom"/>
            <w:hideMark/>
          </w:tcPr>
          <w:p w14:paraId="1175BE7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 </w:t>
            </w:r>
          </w:p>
        </w:tc>
      </w:tr>
      <w:tr w:rsidR="006356F1" w:rsidRPr="00AF7897" w14:paraId="5D424F28" w14:textId="77777777" w:rsidTr="00217400">
        <w:trPr>
          <w:trHeight w:val="402"/>
        </w:trPr>
        <w:tc>
          <w:tcPr>
            <w:tcW w:w="888" w:type="dxa"/>
            <w:vMerge/>
            <w:tcBorders>
              <w:top w:val="nil"/>
              <w:left w:val="single" w:sz="4" w:space="0" w:color="auto"/>
              <w:bottom w:val="single" w:sz="4" w:space="0" w:color="auto"/>
              <w:right w:val="single" w:sz="4" w:space="0" w:color="auto"/>
            </w:tcBorders>
            <w:vAlign w:val="center"/>
            <w:hideMark/>
          </w:tcPr>
          <w:p w14:paraId="71C313A9" w14:textId="77777777" w:rsidR="006356F1" w:rsidRPr="00AF7897" w:rsidRDefault="006356F1" w:rsidP="00217400">
            <w:pPr>
              <w:rPr>
                <w:rFonts w:ascii="Calibri" w:hAnsi="Calibri" w:cs="Calibri"/>
                <w:color w:val="000000"/>
                <w:sz w:val="14"/>
                <w:szCs w:val="22"/>
              </w:rPr>
            </w:pPr>
          </w:p>
        </w:tc>
        <w:tc>
          <w:tcPr>
            <w:tcW w:w="1438" w:type="dxa"/>
            <w:tcBorders>
              <w:top w:val="nil"/>
              <w:left w:val="nil"/>
              <w:bottom w:val="single" w:sz="4" w:space="0" w:color="auto"/>
              <w:right w:val="single" w:sz="4" w:space="0" w:color="auto"/>
            </w:tcBorders>
            <w:shd w:val="clear" w:color="auto" w:fill="auto"/>
            <w:noWrap/>
            <w:vAlign w:val="bottom"/>
            <w:hideMark/>
          </w:tcPr>
          <w:p w14:paraId="63D62E02" w14:textId="77777777" w:rsidR="006356F1" w:rsidRPr="00AF7897" w:rsidRDefault="006356F1" w:rsidP="00217400">
            <w:pPr>
              <w:rPr>
                <w:rFonts w:ascii="Calibri" w:hAnsi="Calibri" w:cs="Calibri"/>
                <w:color w:val="000000"/>
                <w:sz w:val="14"/>
                <w:szCs w:val="22"/>
              </w:rPr>
            </w:pPr>
            <w:r w:rsidRPr="00AF7897">
              <w:rPr>
                <w:rFonts w:ascii="Calibri" w:hAnsi="Calibri" w:cs="Calibri"/>
                <w:color w:val="000000"/>
                <w:sz w:val="14"/>
                <w:szCs w:val="22"/>
              </w:rPr>
              <w:t>Nº de Empregos</w:t>
            </w:r>
          </w:p>
        </w:tc>
        <w:tc>
          <w:tcPr>
            <w:tcW w:w="800" w:type="dxa"/>
            <w:tcBorders>
              <w:top w:val="nil"/>
              <w:left w:val="nil"/>
              <w:bottom w:val="single" w:sz="4" w:space="0" w:color="auto"/>
              <w:right w:val="single" w:sz="4" w:space="0" w:color="auto"/>
            </w:tcBorders>
            <w:shd w:val="clear" w:color="auto" w:fill="auto"/>
            <w:noWrap/>
            <w:vAlign w:val="bottom"/>
            <w:hideMark/>
          </w:tcPr>
          <w:p w14:paraId="2AAFE70F"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114</w:t>
            </w:r>
          </w:p>
        </w:tc>
        <w:tc>
          <w:tcPr>
            <w:tcW w:w="798" w:type="dxa"/>
            <w:tcBorders>
              <w:top w:val="nil"/>
              <w:left w:val="nil"/>
              <w:bottom w:val="single" w:sz="4" w:space="0" w:color="auto"/>
              <w:right w:val="single" w:sz="4" w:space="0" w:color="auto"/>
            </w:tcBorders>
            <w:shd w:val="clear" w:color="auto" w:fill="auto"/>
            <w:noWrap/>
            <w:vAlign w:val="bottom"/>
            <w:hideMark/>
          </w:tcPr>
          <w:p w14:paraId="393FE63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107</w:t>
            </w:r>
          </w:p>
        </w:tc>
        <w:tc>
          <w:tcPr>
            <w:tcW w:w="958" w:type="dxa"/>
            <w:tcBorders>
              <w:top w:val="nil"/>
              <w:left w:val="nil"/>
              <w:bottom w:val="single" w:sz="4" w:space="0" w:color="auto"/>
              <w:right w:val="single" w:sz="4" w:space="0" w:color="auto"/>
            </w:tcBorders>
            <w:shd w:val="clear" w:color="auto" w:fill="auto"/>
            <w:noWrap/>
            <w:vAlign w:val="bottom"/>
            <w:hideMark/>
          </w:tcPr>
          <w:p w14:paraId="6370B06A"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90</w:t>
            </w:r>
          </w:p>
        </w:tc>
        <w:tc>
          <w:tcPr>
            <w:tcW w:w="957" w:type="dxa"/>
            <w:tcBorders>
              <w:top w:val="nil"/>
              <w:left w:val="nil"/>
              <w:bottom w:val="single" w:sz="4" w:space="0" w:color="auto"/>
              <w:right w:val="single" w:sz="4" w:space="0" w:color="auto"/>
            </w:tcBorders>
            <w:shd w:val="clear" w:color="auto" w:fill="auto"/>
            <w:noWrap/>
            <w:vAlign w:val="bottom"/>
            <w:hideMark/>
          </w:tcPr>
          <w:p w14:paraId="752CAED1"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69</w:t>
            </w:r>
          </w:p>
        </w:tc>
        <w:tc>
          <w:tcPr>
            <w:tcW w:w="958" w:type="dxa"/>
            <w:tcBorders>
              <w:top w:val="nil"/>
              <w:left w:val="nil"/>
              <w:bottom w:val="single" w:sz="4" w:space="0" w:color="auto"/>
              <w:right w:val="single" w:sz="4" w:space="0" w:color="auto"/>
            </w:tcBorders>
            <w:shd w:val="clear" w:color="auto" w:fill="auto"/>
            <w:noWrap/>
            <w:vAlign w:val="bottom"/>
            <w:hideMark/>
          </w:tcPr>
          <w:p w14:paraId="4E3B7FBC"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110</w:t>
            </w:r>
          </w:p>
        </w:tc>
        <w:tc>
          <w:tcPr>
            <w:tcW w:w="957" w:type="dxa"/>
            <w:tcBorders>
              <w:top w:val="nil"/>
              <w:left w:val="nil"/>
              <w:bottom w:val="single" w:sz="4" w:space="0" w:color="auto"/>
              <w:right w:val="single" w:sz="4" w:space="0" w:color="auto"/>
            </w:tcBorders>
            <w:shd w:val="clear" w:color="auto" w:fill="auto"/>
            <w:noWrap/>
            <w:vAlign w:val="bottom"/>
            <w:hideMark/>
          </w:tcPr>
          <w:p w14:paraId="5BA03A38"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197</w:t>
            </w:r>
          </w:p>
        </w:tc>
        <w:tc>
          <w:tcPr>
            <w:tcW w:w="958" w:type="dxa"/>
            <w:tcBorders>
              <w:top w:val="nil"/>
              <w:left w:val="nil"/>
              <w:bottom w:val="single" w:sz="4" w:space="0" w:color="auto"/>
              <w:right w:val="single" w:sz="4" w:space="0" w:color="auto"/>
            </w:tcBorders>
            <w:shd w:val="clear" w:color="auto" w:fill="auto"/>
            <w:noWrap/>
            <w:vAlign w:val="bottom"/>
            <w:hideMark/>
          </w:tcPr>
          <w:p w14:paraId="2CE657E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329</w:t>
            </w:r>
          </w:p>
        </w:tc>
        <w:tc>
          <w:tcPr>
            <w:tcW w:w="957" w:type="dxa"/>
            <w:tcBorders>
              <w:top w:val="nil"/>
              <w:left w:val="nil"/>
              <w:bottom w:val="single" w:sz="4" w:space="0" w:color="auto"/>
              <w:right w:val="single" w:sz="4" w:space="0" w:color="auto"/>
            </w:tcBorders>
            <w:shd w:val="clear" w:color="auto" w:fill="auto"/>
            <w:noWrap/>
            <w:vAlign w:val="bottom"/>
            <w:hideMark/>
          </w:tcPr>
          <w:p w14:paraId="1BC6FF6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660</w:t>
            </w:r>
          </w:p>
        </w:tc>
        <w:tc>
          <w:tcPr>
            <w:tcW w:w="958" w:type="dxa"/>
            <w:tcBorders>
              <w:top w:val="nil"/>
              <w:left w:val="nil"/>
              <w:bottom w:val="single" w:sz="4" w:space="0" w:color="auto"/>
              <w:right w:val="single" w:sz="4" w:space="0" w:color="auto"/>
            </w:tcBorders>
            <w:shd w:val="clear" w:color="auto" w:fill="auto"/>
            <w:noWrap/>
            <w:vAlign w:val="bottom"/>
            <w:hideMark/>
          </w:tcPr>
          <w:p w14:paraId="3C41CF8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2.033</w:t>
            </w:r>
          </w:p>
        </w:tc>
        <w:tc>
          <w:tcPr>
            <w:tcW w:w="799" w:type="dxa"/>
            <w:tcBorders>
              <w:top w:val="nil"/>
              <w:left w:val="nil"/>
              <w:bottom w:val="single" w:sz="4" w:space="0" w:color="auto"/>
              <w:right w:val="single" w:sz="4" w:space="0" w:color="auto"/>
            </w:tcBorders>
            <w:shd w:val="clear" w:color="auto" w:fill="auto"/>
            <w:noWrap/>
            <w:vAlign w:val="bottom"/>
            <w:hideMark/>
          </w:tcPr>
          <w:p w14:paraId="43C2C96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2.714</w:t>
            </w:r>
          </w:p>
        </w:tc>
        <w:tc>
          <w:tcPr>
            <w:tcW w:w="957" w:type="dxa"/>
            <w:tcBorders>
              <w:top w:val="nil"/>
              <w:left w:val="nil"/>
              <w:bottom w:val="single" w:sz="4" w:space="0" w:color="auto"/>
              <w:right w:val="single" w:sz="4" w:space="0" w:color="auto"/>
            </w:tcBorders>
            <w:shd w:val="clear" w:color="auto" w:fill="auto"/>
            <w:noWrap/>
            <w:vAlign w:val="bottom"/>
            <w:hideMark/>
          </w:tcPr>
          <w:p w14:paraId="22B55514"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2.629</w:t>
            </w:r>
          </w:p>
        </w:tc>
        <w:tc>
          <w:tcPr>
            <w:tcW w:w="1117" w:type="dxa"/>
            <w:tcBorders>
              <w:top w:val="nil"/>
              <w:left w:val="nil"/>
              <w:bottom w:val="single" w:sz="4" w:space="0" w:color="auto"/>
              <w:right w:val="single" w:sz="4" w:space="0" w:color="auto"/>
            </w:tcBorders>
            <w:shd w:val="clear" w:color="auto" w:fill="auto"/>
            <w:noWrap/>
            <w:vAlign w:val="bottom"/>
            <w:hideMark/>
          </w:tcPr>
          <w:p w14:paraId="218D9FE2"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2.696</w:t>
            </w:r>
          </w:p>
        </w:tc>
        <w:tc>
          <w:tcPr>
            <w:tcW w:w="958" w:type="dxa"/>
            <w:tcBorders>
              <w:top w:val="nil"/>
              <w:left w:val="nil"/>
              <w:bottom w:val="single" w:sz="4" w:space="0" w:color="auto"/>
              <w:right w:val="single" w:sz="4" w:space="0" w:color="auto"/>
            </w:tcBorders>
            <w:shd w:val="clear" w:color="auto" w:fill="auto"/>
            <w:noWrap/>
            <w:vAlign w:val="bottom"/>
            <w:hideMark/>
          </w:tcPr>
          <w:p w14:paraId="513B5CBE"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663</w:t>
            </w:r>
          </w:p>
        </w:tc>
        <w:tc>
          <w:tcPr>
            <w:tcW w:w="1277" w:type="dxa"/>
            <w:tcBorders>
              <w:top w:val="nil"/>
              <w:left w:val="nil"/>
              <w:bottom w:val="single" w:sz="4" w:space="0" w:color="auto"/>
              <w:right w:val="single" w:sz="4" w:space="0" w:color="auto"/>
            </w:tcBorders>
            <w:shd w:val="clear" w:color="auto" w:fill="auto"/>
            <w:noWrap/>
            <w:vAlign w:val="bottom"/>
            <w:hideMark/>
          </w:tcPr>
          <w:p w14:paraId="6D61D557" w14:textId="77777777" w:rsidR="006356F1" w:rsidRPr="00AF7897" w:rsidRDefault="006356F1" w:rsidP="00217400">
            <w:pPr>
              <w:jc w:val="center"/>
              <w:rPr>
                <w:rFonts w:ascii="Calibri" w:hAnsi="Calibri" w:cs="Calibri"/>
                <w:color w:val="000000"/>
                <w:sz w:val="14"/>
                <w:szCs w:val="22"/>
              </w:rPr>
            </w:pPr>
            <w:r w:rsidRPr="00AF7897">
              <w:rPr>
                <w:rFonts w:ascii="Calibri" w:hAnsi="Calibri" w:cs="Calibri"/>
                <w:color w:val="000000"/>
                <w:sz w:val="14"/>
                <w:szCs w:val="22"/>
              </w:rPr>
              <w:t>28%</w:t>
            </w:r>
          </w:p>
        </w:tc>
      </w:tr>
    </w:tbl>
    <w:tbl>
      <w:tblPr>
        <w:tblpPr w:leftFromText="141" w:rightFromText="141" w:vertAnchor="text" w:horzAnchor="margin" w:tblpY="256"/>
        <w:tblW w:w="12761" w:type="dxa"/>
        <w:tblCellMar>
          <w:left w:w="70" w:type="dxa"/>
          <w:right w:w="70" w:type="dxa"/>
        </w:tblCellMar>
        <w:tblLook w:val="04A0" w:firstRow="1" w:lastRow="0" w:firstColumn="1" w:lastColumn="0" w:noHBand="0" w:noVBand="1"/>
      </w:tblPr>
      <w:tblGrid>
        <w:gridCol w:w="12761"/>
      </w:tblGrid>
      <w:tr w:rsidR="006356F1" w:rsidRPr="00AF7897" w14:paraId="5FCD5A7C" w14:textId="77777777" w:rsidTr="00217400">
        <w:trPr>
          <w:trHeight w:val="300"/>
        </w:trPr>
        <w:tc>
          <w:tcPr>
            <w:tcW w:w="12761" w:type="dxa"/>
            <w:tcBorders>
              <w:top w:val="single" w:sz="4" w:space="0" w:color="auto"/>
              <w:left w:val="nil"/>
              <w:bottom w:val="nil"/>
              <w:right w:val="nil"/>
            </w:tcBorders>
            <w:shd w:val="clear" w:color="auto" w:fill="auto"/>
            <w:noWrap/>
            <w:hideMark/>
          </w:tcPr>
          <w:p w14:paraId="53E3A8BE" w14:textId="77777777" w:rsidR="006356F1" w:rsidRPr="00AF7897" w:rsidRDefault="006356F1" w:rsidP="00217400">
            <w:pPr>
              <w:rPr>
                <w:rFonts w:ascii="Calibri" w:hAnsi="Calibri" w:cs="Calibri"/>
                <w:color w:val="000000"/>
                <w:sz w:val="14"/>
                <w:szCs w:val="16"/>
              </w:rPr>
            </w:pPr>
            <w:r w:rsidRPr="00AF7897">
              <w:rPr>
                <w:rFonts w:ascii="Calibri" w:hAnsi="Calibri" w:cs="Calibri"/>
                <w:color w:val="000000"/>
                <w:sz w:val="14"/>
                <w:szCs w:val="16"/>
              </w:rPr>
              <w:t>Fonte: RAIS para empregos efetivos e Secretaria de Indústria e Comércio do estado de Goiás para número de empresas e empregos em projeto.</w:t>
            </w:r>
          </w:p>
        </w:tc>
      </w:tr>
    </w:tbl>
    <w:p w14:paraId="6415429A" w14:textId="77777777" w:rsidR="006356F1" w:rsidRDefault="006356F1" w:rsidP="006356F1">
      <w:pPr>
        <w:rPr>
          <w:rFonts w:ascii="Calibri" w:hAnsi="Calibri" w:cs="Calibri"/>
          <w:color w:val="000000"/>
          <w:sz w:val="14"/>
          <w:szCs w:val="16"/>
        </w:rPr>
        <w:sectPr w:rsidR="006356F1" w:rsidSect="00F305AA">
          <w:pgSz w:w="16840" w:h="11900" w:orient="landscape"/>
          <w:pgMar w:top="2835" w:right="2268" w:bottom="851" w:left="1134" w:header="567" w:footer="284" w:gutter="0"/>
          <w:cols w:space="708"/>
          <w:docGrid w:linePitch="360"/>
        </w:sectPr>
      </w:pPr>
    </w:p>
    <w:p w14:paraId="1EA8FBF1" w14:textId="77777777" w:rsidR="006356F1" w:rsidRDefault="006356F1" w:rsidP="006356F1">
      <w:pPr>
        <w:spacing w:line="360" w:lineRule="auto"/>
        <w:ind w:firstLine="851"/>
        <w:jc w:val="both"/>
        <w:rPr>
          <w:rFonts w:ascii="Arial" w:hAnsi="Arial" w:cs="Arial"/>
          <w:sz w:val="24"/>
          <w:szCs w:val="24"/>
        </w:rPr>
      </w:pPr>
    </w:p>
    <w:p w14:paraId="53D618E7" w14:textId="77777777" w:rsidR="006356F1" w:rsidRPr="00AB4B70" w:rsidRDefault="006356F1" w:rsidP="006356F1">
      <w:pPr>
        <w:ind w:left="2268" w:firstLine="1"/>
        <w:jc w:val="both"/>
        <w:rPr>
          <w:rFonts w:ascii="Arial" w:hAnsi="Arial" w:cs="Arial"/>
          <w:sz w:val="22"/>
          <w:szCs w:val="24"/>
        </w:rPr>
      </w:pPr>
      <w:r w:rsidRPr="00AB4B70">
        <w:rPr>
          <w:rFonts w:ascii="Arial" w:hAnsi="Arial" w:cs="Arial"/>
          <w:sz w:val="22"/>
          <w:szCs w:val="24"/>
        </w:rPr>
        <w:t>Percebe-se que há anos de começo da fruição em que as empresas já efetivaram os empregos declarados em projeto. Contudo há empresas com projeto de expansão, por exemplo, nessas informações, assim deve-se olhar para anos anteriores e posteriores a entrada em fruição para verificar se houve o acréscimo de empregos projetados. Como, até o fechamento desse trabalho, não tínhamos os empregos em projetos separados por finalidade (implantação, expansão, etc) não foi possível dirimir essa questão.</w:t>
      </w:r>
    </w:p>
    <w:p w14:paraId="57863347" w14:textId="77777777" w:rsidR="006356F1" w:rsidRPr="00AB4B70" w:rsidRDefault="006356F1" w:rsidP="006356F1">
      <w:pPr>
        <w:ind w:left="2268" w:firstLine="1"/>
        <w:jc w:val="both"/>
        <w:rPr>
          <w:rFonts w:ascii="Arial" w:hAnsi="Arial" w:cs="Arial"/>
          <w:sz w:val="22"/>
          <w:szCs w:val="24"/>
        </w:rPr>
      </w:pPr>
      <w:r w:rsidRPr="00AB4B70">
        <w:rPr>
          <w:rFonts w:ascii="Arial" w:hAnsi="Arial" w:cs="Arial"/>
          <w:sz w:val="22"/>
          <w:szCs w:val="24"/>
        </w:rPr>
        <w:t>Mas, de maneira geral, as empresas que começaram a usufruir dos benefícios no ano de 2008 foram as que mais empregos agregaram (88% da meta). Claro, o tempo é um aliado na geração de empregos e crescimento dessas empresas. As 256 empresas que começaram a fruir dos benefícios desde então adicionaram cerca de 13.705 empregos. O total previsto era de 26.538. Alerta-se, novamente, que a separação do que é projeto de expansão ou implantação, por exemplo, pode resultar em números mais favoráveis aos empregos. Mas se olharmos para o ano de entrada em fruição e os empregos projetados, também se levanta a hipótese que as empresas já tinham os empregos prometidos no primeiro ano de fruição. Essa é uma questão em aberto.</w:t>
      </w:r>
    </w:p>
    <w:p w14:paraId="526A1112" w14:textId="77777777" w:rsidR="006356F1" w:rsidRPr="00AB4B70" w:rsidRDefault="006356F1" w:rsidP="006356F1">
      <w:pPr>
        <w:ind w:left="2268" w:firstLine="1"/>
        <w:jc w:val="both"/>
        <w:rPr>
          <w:rFonts w:ascii="Arial" w:hAnsi="Arial" w:cs="Arial"/>
          <w:sz w:val="22"/>
          <w:szCs w:val="24"/>
        </w:rPr>
      </w:pPr>
      <w:r w:rsidRPr="00AB4B70">
        <w:rPr>
          <w:rFonts w:ascii="Arial" w:hAnsi="Arial" w:cs="Arial"/>
          <w:sz w:val="22"/>
          <w:szCs w:val="24"/>
        </w:rPr>
        <w:t>Não foi possível sistematizar informações para análise mais acurada dessas questões, bem como de empresas que começaram a fruir em períodos anteriores 2006, já que a base da RAIS é posterior a esse ano.</w:t>
      </w:r>
      <w:r>
        <w:rPr>
          <w:rStyle w:val="Refdenotaderodap"/>
          <w:rFonts w:ascii="Arial" w:hAnsi="Arial" w:cs="Arial"/>
          <w:sz w:val="22"/>
          <w:szCs w:val="24"/>
        </w:rPr>
        <w:footnoteReference w:id="129"/>
      </w:r>
    </w:p>
    <w:p w14:paraId="4A1DB70E" w14:textId="77777777" w:rsidR="006356F1" w:rsidRDefault="006356F1" w:rsidP="006356F1">
      <w:pPr>
        <w:spacing w:line="360" w:lineRule="auto"/>
        <w:ind w:firstLine="851"/>
        <w:jc w:val="both"/>
        <w:rPr>
          <w:rFonts w:ascii="Arial" w:hAnsi="Arial" w:cs="Arial"/>
          <w:sz w:val="24"/>
          <w:szCs w:val="24"/>
        </w:rPr>
      </w:pPr>
    </w:p>
    <w:p w14:paraId="710473EB"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Segundo a CGE, portanto, o </w:t>
      </w:r>
      <w:r>
        <w:rPr>
          <w:rFonts w:ascii="Arial" w:hAnsi="Arial" w:cs="Arial"/>
          <w:b/>
          <w:sz w:val="24"/>
          <w:szCs w:val="24"/>
        </w:rPr>
        <w:t>setor alcooleiro</w:t>
      </w:r>
      <w:r>
        <w:rPr>
          <w:rFonts w:ascii="Arial" w:hAnsi="Arial" w:cs="Arial"/>
          <w:sz w:val="24"/>
          <w:szCs w:val="24"/>
        </w:rPr>
        <w:t xml:space="preserve"> e o de </w:t>
      </w:r>
      <w:r>
        <w:rPr>
          <w:rFonts w:ascii="Arial" w:hAnsi="Arial" w:cs="Arial"/>
          <w:b/>
          <w:sz w:val="24"/>
          <w:szCs w:val="24"/>
        </w:rPr>
        <w:t>fabricação de medicamentos para uso humano</w:t>
      </w:r>
      <w:r>
        <w:rPr>
          <w:rFonts w:ascii="Arial" w:hAnsi="Arial" w:cs="Arial"/>
          <w:sz w:val="24"/>
          <w:szCs w:val="24"/>
        </w:rPr>
        <w:t xml:space="preserve"> são, ao mesmo tempo, </w:t>
      </w:r>
      <w:r>
        <w:rPr>
          <w:rFonts w:ascii="Arial" w:hAnsi="Arial" w:cs="Arial"/>
          <w:b/>
          <w:sz w:val="24"/>
          <w:szCs w:val="24"/>
        </w:rPr>
        <w:t>grandes geradores de emprego</w:t>
      </w:r>
      <w:r>
        <w:rPr>
          <w:rFonts w:ascii="Arial" w:hAnsi="Arial" w:cs="Arial"/>
          <w:sz w:val="24"/>
          <w:szCs w:val="24"/>
        </w:rPr>
        <w:t xml:space="preserve"> e </w:t>
      </w:r>
      <w:r>
        <w:rPr>
          <w:rFonts w:ascii="Arial" w:hAnsi="Arial" w:cs="Arial"/>
          <w:b/>
          <w:sz w:val="24"/>
          <w:szCs w:val="24"/>
        </w:rPr>
        <w:t>grandes agregadores de valor</w:t>
      </w:r>
      <w:r>
        <w:rPr>
          <w:rFonts w:ascii="Arial" w:hAnsi="Arial" w:cs="Arial"/>
          <w:sz w:val="24"/>
          <w:szCs w:val="24"/>
        </w:rPr>
        <w:t xml:space="preserve">. O setor de </w:t>
      </w:r>
      <w:r>
        <w:rPr>
          <w:rFonts w:ascii="Arial" w:hAnsi="Arial" w:cs="Arial"/>
          <w:b/>
          <w:sz w:val="24"/>
          <w:szCs w:val="24"/>
        </w:rPr>
        <w:t>abate de suínos, aves e outros pequenos animais</w:t>
      </w:r>
      <w:r>
        <w:rPr>
          <w:rFonts w:ascii="Arial" w:hAnsi="Arial" w:cs="Arial"/>
          <w:sz w:val="24"/>
          <w:szCs w:val="24"/>
        </w:rPr>
        <w:t xml:space="preserve"> é um </w:t>
      </w:r>
      <w:r>
        <w:rPr>
          <w:rFonts w:ascii="Arial" w:hAnsi="Arial" w:cs="Arial"/>
          <w:b/>
          <w:sz w:val="24"/>
          <w:szCs w:val="24"/>
        </w:rPr>
        <w:t>grande gerador de empregos</w:t>
      </w:r>
      <w:r>
        <w:rPr>
          <w:rFonts w:ascii="Arial" w:hAnsi="Arial" w:cs="Arial"/>
          <w:sz w:val="24"/>
          <w:szCs w:val="24"/>
        </w:rPr>
        <w:t>, embora não agregue muito valor.</w:t>
      </w:r>
    </w:p>
    <w:p w14:paraId="52DFE46C" w14:textId="77777777" w:rsidR="006356F1" w:rsidRPr="00B40DBB" w:rsidRDefault="006356F1" w:rsidP="006356F1">
      <w:pPr>
        <w:spacing w:line="360" w:lineRule="auto"/>
        <w:ind w:firstLine="851"/>
        <w:jc w:val="both"/>
        <w:rPr>
          <w:rFonts w:ascii="Arial" w:hAnsi="Arial" w:cs="Arial"/>
          <w:sz w:val="24"/>
          <w:szCs w:val="24"/>
        </w:rPr>
      </w:pPr>
      <w:r w:rsidRPr="001D55CA">
        <w:rPr>
          <w:rFonts w:ascii="Arial" w:hAnsi="Arial" w:cs="Arial"/>
          <w:sz w:val="24"/>
          <w:szCs w:val="24"/>
        </w:rPr>
        <w:t>Por outro lado, o setor de fabricação de automóveis, camionetas e utilitários, embora seja um dos maiores beneficiário, não é um dos maiores geradores de emprego, nem agrega muito valor</w:t>
      </w:r>
      <w:r>
        <w:rPr>
          <w:rFonts w:ascii="Arial" w:hAnsi="Arial" w:cs="Arial"/>
          <w:sz w:val="24"/>
          <w:szCs w:val="24"/>
        </w:rPr>
        <w:t>.</w:t>
      </w:r>
    </w:p>
    <w:p w14:paraId="724AEC5B" w14:textId="77777777" w:rsidR="006356F1" w:rsidRPr="00F70141" w:rsidRDefault="006356F1" w:rsidP="006356F1">
      <w:pPr>
        <w:spacing w:line="360" w:lineRule="auto"/>
        <w:ind w:firstLine="851"/>
        <w:jc w:val="both"/>
        <w:rPr>
          <w:rFonts w:ascii="Arial" w:hAnsi="Arial" w:cs="Arial"/>
          <w:sz w:val="24"/>
          <w:szCs w:val="24"/>
        </w:rPr>
      </w:pPr>
      <w:r w:rsidRPr="00F70141">
        <w:rPr>
          <w:rFonts w:ascii="Arial" w:hAnsi="Arial" w:cs="Arial"/>
          <w:sz w:val="24"/>
          <w:szCs w:val="24"/>
        </w:rPr>
        <w:t>Ainda, da análise dos dados que chegaram a esta Comissão, para se avaliar por atividade econômica o quanto de renúncia fiscal o Estado faz para manutenção de cada emprego, apresenta-se a</w:t>
      </w:r>
      <w:r>
        <w:rPr>
          <w:rFonts w:ascii="Arial" w:hAnsi="Arial" w:cs="Arial"/>
          <w:sz w:val="24"/>
          <w:szCs w:val="24"/>
        </w:rPr>
        <w:t xml:space="preserve"> tabela abaixo</w:t>
      </w:r>
      <w:r w:rsidRPr="00F70141">
        <w:rPr>
          <w:rFonts w:ascii="Arial" w:hAnsi="Arial" w:cs="Arial"/>
          <w:sz w:val="24"/>
          <w:szCs w:val="24"/>
        </w:rPr>
        <w:t>. Ou seja, nessa perspectiva é possível estimar-se o “custo” de renúncia por parte do Estado para cada emprego mantido.</w:t>
      </w:r>
      <w:r>
        <w:rPr>
          <w:rFonts w:ascii="Arial" w:hAnsi="Arial" w:cs="Arial"/>
          <w:sz w:val="24"/>
          <w:szCs w:val="24"/>
        </w:rPr>
        <w:t xml:space="preserve"> Note-se que na tabela abarca-se também os créditos outorgados, tema específico de outro capítulo deste Relatório.</w:t>
      </w:r>
    </w:p>
    <w:p w14:paraId="3F5A5931" w14:textId="77777777" w:rsidR="006356F1" w:rsidRDefault="006356F1" w:rsidP="006356F1">
      <w:pPr>
        <w:spacing w:line="360" w:lineRule="auto"/>
        <w:ind w:firstLine="851"/>
        <w:jc w:val="both"/>
        <w:rPr>
          <w:rFonts w:ascii="Arial" w:hAnsi="Arial" w:cs="Arial"/>
          <w:sz w:val="24"/>
          <w:szCs w:val="24"/>
        </w:rPr>
      </w:pPr>
    </w:p>
    <w:p w14:paraId="081C89A4" w14:textId="77777777" w:rsidR="006356F1" w:rsidRDefault="006356F1" w:rsidP="006356F1">
      <w:pPr>
        <w:spacing w:line="360" w:lineRule="auto"/>
        <w:ind w:firstLine="851"/>
        <w:jc w:val="both"/>
        <w:rPr>
          <w:rFonts w:ascii="Arial" w:hAnsi="Arial" w:cs="Arial"/>
          <w:sz w:val="24"/>
          <w:szCs w:val="24"/>
        </w:rPr>
        <w:sectPr w:rsidR="006356F1" w:rsidSect="00CA1C22">
          <w:pgSz w:w="11900" w:h="16840"/>
          <w:pgMar w:top="2268" w:right="851" w:bottom="1134" w:left="1701" w:header="567" w:footer="284" w:gutter="0"/>
          <w:cols w:space="708"/>
          <w:docGrid w:linePitch="360"/>
        </w:sectPr>
      </w:pPr>
    </w:p>
    <w:p w14:paraId="49D90E14" w14:textId="77777777" w:rsidR="006356F1" w:rsidRDefault="006356F1" w:rsidP="006356F1">
      <w:pPr>
        <w:spacing w:line="360" w:lineRule="auto"/>
        <w:ind w:firstLine="851"/>
        <w:jc w:val="both"/>
        <w:rPr>
          <w:rFonts w:ascii="Arial" w:hAnsi="Arial" w:cs="Arial"/>
          <w:sz w:val="24"/>
          <w:szCs w:val="24"/>
        </w:rPr>
      </w:pPr>
    </w:p>
    <w:p w14:paraId="26FDE345" w14:textId="77777777" w:rsidR="006356F1" w:rsidRPr="00C0505A" w:rsidRDefault="006356F1" w:rsidP="006356F1">
      <w:pPr>
        <w:pStyle w:val="Legenda"/>
        <w:spacing w:after="0"/>
        <w:ind w:left="-567"/>
        <w:rPr>
          <w:rFonts w:ascii="Calibri" w:hAnsi="Calibri"/>
          <w:sz w:val="28"/>
          <w:szCs w:val="22"/>
        </w:rPr>
      </w:pPr>
      <w:r w:rsidRPr="00C0505A">
        <w:rPr>
          <w:sz w:val="28"/>
          <w:szCs w:val="22"/>
        </w:rPr>
        <w:t>Renúncia versus estoque de empregos em 2018, por atividade econômica, das empresas nos programas de incentivos (Em R$)</w:t>
      </w:r>
    </w:p>
    <w:tbl>
      <w:tblPr>
        <w:tblW w:w="5507" w:type="pct"/>
        <w:tblInd w:w="-567" w:type="dxa"/>
        <w:tblBorders>
          <w:top w:val="single" w:sz="4" w:space="0" w:color="auto"/>
          <w:bottom w:val="single" w:sz="4" w:space="0" w:color="auto"/>
        </w:tblBorders>
        <w:tblLayout w:type="fixed"/>
        <w:tblCellMar>
          <w:left w:w="70" w:type="dxa"/>
          <w:right w:w="70" w:type="dxa"/>
        </w:tblCellMar>
        <w:tblLook w:val="04A0" w:firstRow="1" w:lastRow="0" w:firstColumn="1" w:lastColumn="0" w:noHBand="0" w:noVBand="1"/>
      </w:tblPr>
      <w:tblGrid>
        <w:gridCol w:w="5527"/>
        <w:gridCol w:w="1704"/>
        <w:gridCol w:w="1705"/>
        <w:gridCol w:w="1698"/>
        <w:gridCol w:w="1563"/>
        <w:gridCol w:w="1082"/>
        <w:gridCol w:w="1262"/>
        <w:gridCol w:w="1509"/>
      </w:tblGrid>
      <w:tr w:rsidR="006356F1" w:rsidRPr="00C0505A" w14:paraId="335AA669" w14:textId="77777777" w:rsidTr="00217400">
        <w:trPr>
          <w:trHeight w:val="170"/>
          <w:tblHeader/>
        </w:trPr>
        <w:tc>
          <w:tcPr>
            <w:tcW w:w="1722" w:type="pct"/>
            <w:tcBorders>
              <w:bottom w:val="single" w:sz="4" w:space="0" w:color="auto"/>
            </w:tcBorders>
            <w:shd w:val="clear" w:color="DDEBF7" w:fill="DDEBF7"/>
            <w:noWrap/>
            <w:vAlign w:val="center"/>
            <w:hideMark/>
          </w:tcPr>
          <w:p w14:paraId="750484E9" w14:textId="77777777" w:rsidR="006356F1" w:rsidRPr="00C0505A" w:rsidRDefault="006356F1" w:rsidP="00217400">
            <w:pPr>
              <w:rPr>
                <w:rFonts w:asciiTheme="minorHAnsi" w:hAnsiTheme="minorHAnsi" w:cstheme="minorHAnsi"/>
                <w:b/>
                <w:bCs/>
                <w:color w:val="000000"/>
                <w:sz w:val="24"/>
              </w:rPr>
            </w:pPr>
            <w:r w:rsidRPr="00C0505A">
              <w:rPr>
                <w:rFonts w:asciiTheme="minorHAnsi" w:hAnsiTheme="minorHAnsi" w:cstheme="minorHAnsi"/>
                <w:b/>
                <w:bCs/>
                <w:color w:val="000000"/>
                <w:sz w:val="24"/>
              </w:rPr>
              <w:t>Atividade Econômica (CNAE a 2 e desagregação a 7 Dígitos)</w:t>
            </w:r>
          </w:p>
        </w:tc>
        <w:tc>
          <w:tcPr>
            <w:tcW w:w="531" w:type="pct"/>
            <w:tcBorders>
              <w:bottom w:val="single" w:sz="4" w:space="0" w:color="auto"/>
            </w:tcBorders>
            <w:shd w:val="clear" w:color="DDEBF7" w:fill="DDEBF7"/>
            <w:noWrap/>
            <w:vAlign w:val="center"/>
            <w:hideMark/>
          </w:tcPr>
          <w:p w14:paraId="496BDD59" w14:textId="77777777" w:rsidR="006356F1" w:rsidRPr="00C0505A" w:rsidRDefault="006356F1" w:rsidP="00217400">
            <w:pPr>
              <w:jc w:val="center"/>
              <w:rPr>
                <w:rFonts w:asciiTheme="minorHAnsi" w:hAnsiTheme="minorHAnsi" w:cstheme="minorHAnsi"/>
                <w:b/>
                <w:bCs/>
                <w:color w:val="000000"/>
                <w:sz w:val="24"/>
              </w:rPr>
            </w:pPr>
            <w:r w:rsidRPr="00C0505A">
              <w:rPr>
                <w:rFonts w:asciiTheme="minorHAnsi" w:hAnsiTheme="minorHAnsi" w:cstheme="minorHAnsi"/>
                <w:b/>
                <w:bCs/>
                <w:color w:val="000000"/>
                <w:sz w:val="24"/>
              </w:rPr>
              <w:t>ICMS Financiado</w:t>
            </w:r>
          </w:p>
        </w:tc>
        <w:tc>
          <w:tcPr>
            <w:tcW w:w="531" w:type="pct"/>
            <w:tcBorders>
              <w:bottom w:val="single" w:sz="4" w:space="0" w:color="auto"/>
            </w:tcBorders>
            <w:shd w:val="clear" w:color="DDEBF7" w:fill="DDEBF7"/>
            <w:noWrap/>
            <w:vAlign w:val="center"/>
            <w:hideMark/>
          </w:tcPr>
          <w:p w14:paraId="4A177F2A" w14:textId="77777777" w:rsidR="006356F1" w:rsidRPr="00C0505A" w:rsidRDefault="006356F1" w:rsidP="00217400">
            <w:pPr>
              <w:jc w:val="center"/>
              <w:rPr>
                <w:rFonts w:asciiTheme="minorHAnsi" w:hAnsiTheme="minorHAnsi" w:cstheme="minorHAnsi"/>
                <w:b/>
                <w:bCs/>
                <w:color w:val="000000"/>
                <w:sz w:val="24"/>
              </w:rPr>
            </w:pPr>
            <w:r w:rsidRPr="00C0505A">
              <w:rPr>
                <w:rFonts w:asciiTheme="minorHAnsi" w:hAnsiTheme="minorHAnsi" w:cstheme="minorHAnsi"/>
                <w:b/>
                <w:bCs/>
                <w:color w:val="000000"/>
                <w:sz w:val="24"/>
              </w:rPr>
              <w:t>Créd. Out. Déb. à PG</w:t>
            </w:r>
          </w:p>
        </w:tc>
        <w:tc>
          <w:tcPr>
            <w:tcW w:w="529" w:type="pct"/>
            <w:tcBorders>
              <w:bottom w:val="single" w:sz="4" w:space="0" w:color="auto"/>
            </w:tcBorders>
            <w:shd w:val="clear" w:color="DDEBF7" w:fill="DDEBF7"/>
            <w:noWrap/>
            <w:vAlign w:val="center"/>
            <w:hideMark/>
          </w:tcPr>
          <w:p w14:paraId="02765450" w14:textId="77777777" w:rsidR="006356F1" w:rsidRPr="00C0505A" w:rsidRDefault="006356F1" w:rsidP="00217400">
            <w:pPr>
              <w:jc w:val="center"/>
              <w:rPr>
                <w:rFonts w:asciiTheme="minorHAnsi" w:hAnsiTheme="minorHAnsi" w:cstheme="minorHAnsi"/>
                <w:b/>
                <w:bCs/>
                <w:color w:val="000000"/>
                <w:sz w:val="24"/>
              </w:rPr>
            </w:pPr>
            <w:r w:rsidRPr="00C0505A">
              <w:rPr>
                <w:rFonts w:asciiTheme="minorHAnsi" w:hAnsiTheme="minorHAnsi" w:cstheme="minorHAnsi"/>
                <w:b/>
                <w:bCs/>
                <w:color w:val="000000"/>
                <w:sz w:val="24"/>
              </w:rPr>
              <w:t>Recolhimentos Fomentar/Produzir</w:t>
            </w:r>
          </w:p>
        </w:tc>
        <w:tc>
          <w:tcPr>
            <w:tcW w:w="487" w:type="pct"/>
            <w:tcBorders>
              <w:bottom w:val="single" w:sz="4" w:space="0" w:color="auto"/>
            </w:tcBorders>
            <w:shd w:val="clear" w:color="DDEBF7" w:fill="DDEBF7"/>
            <w:noWrap/>
            <w:vAlign w:val="center"/>
            <w:hideMark/>
          </w:tcPr>
          <w:p w14:paraId="108D43AD" w14:textId="77777777" w:rsidR="006356F1" w:rsidRPr="00C0505A" w:rsidRDefault="006356F1" w:rsidP="00217400">
            <w:pPr>
              <w:jc w:val="center"/>
              <w:rPr>
                <w:rFonts w:asciiTheme="minorHAnsi" w:hAnsiTheme="minorHAnsi" w:cstheme="minorHAnsi"/>
                <w:b/>
                <w:bCs/>
                <w:color w:val="000000"/>
                <w:sz w:val="24"/>
              </w:rPr>
            </w:pPr>
            <w:r w:rsidRPr="00C0505A">
              <w:rPr>
                <w:rFonts w:asciiTheme="minorHAnsi" w:hAnsiTheme="minorHAnsi" w:cstheme="minorHAnsi"/>
                <w:b/>
                <w:bCs/>
                <w:color w:val="000000"/>
                <w:sz w:val="24"/>
              </w:rPr>
              <w:t>Renúncia</w:t>
            </w:r>
          </w:p>
        </w:tc>
        <w:tc>
          <w:tcPr>
            <w:tcW w:w="337" w:type="pct"/>
            <w:tcBorders>
              <w:bottom w:val="single" w:sz="4" w:space="0" w:color="auto"/>
            </w:tcBorders>
            <w:shd w:val="clear" w:color="DDEBF7" w:fill="DDEBF7"/>
            <w:noWrap/>
            <w:vAlign w:val="center"/>
            <w:hideMark/>
          </w:tcPr>
          <w:p w14:paraId="166A09B0" w14:textId="77777777" w:rsidR="006356F1" w:rsidRPr="00C0505A" w:rsidRDefault="006356F1" w:rsidP="00217400">
            <w:pPr>
              <w:jc w:val="center"/>
              <w:rPr>
                <w:rFonts w:asciiTheme="minorHAnsi" w:hAnsiTheme="minorHAnsi" w:cstheme="minorHAnsi"/>
                <w:b/>
                <w:bCs/>
                <w:color w:val="000000"/>
                <w:sz w:val="24"/>
              </w:rPr>
            </w:pPr>
            <w:r w:rsidRPr="00C0505A">
              <w:rPr>
                <w:rFonts w:asciiTheme="minorHAnsi" w:hAnsiTheme="minorHAnsi" w:cstheme="minorHAnsi"/>
                <w:b/>
                <w:bCs/>
                <w:color w:val="000000"/>
                <w:sz w:val="24"/>
              </w:rPr>
              <w:t>Nº médio do estoque de emprego</w:t>
            </w:r>
          </w:p>
        </w:tc>
        <w:tc>
          <w:tcPr>
            <w:tcW w:w="393" w:type="pct"/>
            <w:tcBorders>
              <w:bottom w:val="single" w:sz="4" w:space="0" w:color="auto"/>
            </w:tcBorders>
            <w:shd w:val="clear" w:color="DDEBF7" w:fill="DDEBF7"/>
            <w:noWrap/>
            <w:vAlign w:val="center"/>
            <w:hideMark/>
          </w:tcPr>
          <w:p w14:paraId="7D025424" w14:textId="77777777" w:rsidR="006356F1" w:rsidRPr="00C0505A" w:rsidRDefault="006356F1" w:rsidP="00217400">
            <w:pPr>
              <w:jc w:val="center"/>
              <w:rPr>
                <w:rFonts w:asciiTheme="minorHAnsi" w:hAnsiTheme="minorHAnsi" w:cstheme="minorHAnsi"/>
                <w:b/>
                <w:bCs/>
                <w:color w:val="000000"/>
                <w:sz w:val="24"/>
              </w:rPr>
            </w:pPr>
            <w:r w:rsidRPr="00C0505A">
              <w:rPr>
                <w:rFonts w:asciiTheme="minorHAnsi" w:hAnsiTheme="minorHAnsi" w:cstheme="minorHAnsi"/>
                <w:b/>
                <w:bCs/>
                <w:color w:val="000000"/>
                <w:sz w:val="24"/>
              </w:rPr>
              <w:t>Renúncia x Emprego (anual)</w:t>
            </w:r>
          </w:p>
        </w:tc>
        <w:tc>
          <w:tcPr>
            <w:tcW w:w="471" w:type="pct"/>
            <w:tcBorders>
              <w:bottom w:val="single" w:sz="4" w:space="0" w:color="auto"/>
            </w:tcBorders>
            <w:shd w:val="clear" w:color="DDEBF7" w:fill="DDEBF7"/>
            <w:vAlign w:val="center"/>
          </w:tcPr>
          <w:p w14:paraId="5D62D38D" w14:textId="77777777" w:rsidR="006356F1" w:rsidRPr="00C0505A" w:rsidRDefault="006356F1" w:rsidP="00217400">
            <w:pPr>
              <w:jc w:val="center"/>
              <w:rPr>
                <w:rFonts w:asciiTheme="minorHAnsi" w:hAnsiTheme="minorHAnsi" w:cstheme="minorHAnsi"/>
                <w:b/>
                <w:bCs/>
                <w:color w:val="000000"/>
                <w:sz w:val="24"/>
              </w:rPr>
            </w:pPr>
            <w:r w:rsidRPr="00C0505A">
              <w:rPr>
                <w:rFonts w:asciiTheme="minorHAnsi" w:hAnsiTheme="minorHAnsi" w:cstheme="minorHAnsi"/>
                <w:b/>
                <w:bCs/>
                <w:color w:val="000000"/>
                <w:sz w:val="24"/>
              </w:rPr>
              <w:t>Renúncia x Emprego (mensal)*</w:t>
            </w:r>
          </w:p>
        </w:tc>
      </w:tr>
      <w:tr w:rsidR="006356F1" w:rsidRPr="00C0505A" w14:paraId="44154A10" w14:textId="77777777" w:rsidTr="00217400">
        <w:trPr>
          <w:trHeight w:val="227"/>
        </w:trPr>
        <w:tc>
          <w:tcPr>
            <w:tcW w:w="1722" w:type="pct"/>
            <w:tcBorders>
              <w:top w:val="single" w:sz="4" w:space="0" w:color="auto"/>
              <w:bottom w:val="nil"/>
            </w:tcBorders>
            <w:shd w:val="clear" w:color="auto" w:fill="auto"/>
            <w:noWrap/>
            <w:vAlign w:val="center"/>
            <w:hideMark/>
          </w:tcPr>
          <w:p w14:paraId="37AEC9FC"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AGRICULTURA, PECUÁRIA E SERVIÇOS RELACIONADOS</w:t>
            </w:r>
          </w:p>
        </w:tc>
        <w:tc>
          <w:tcPr>
            <w:tcW w:w="531" w:type="pct"/>
            <w:tcBorders>
              <w:top w:val="single" w:sz="4" w:space="0" w:color="auto"/>
              <w:bottom w:val="nil"/>
            </w:tcBorders>
            <w:shd w:val="clear" w:color="auto" w:fill="auto"/>
            <w:noWrap/>
            <w:vAlign w:val="center"/>
            <w:hideMark/>
          </w:tcPr>
          <w:p w14:paraId="47879918"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9.937.912,54</w:t>
            </w:r>
          </w:p>
        </w:tc>
        <w:tc>
          <w:tcPr>
            <w:tcW w:w="531" w:type="pct"/>
            <w:tcBorders>
              <w:top w:val="single" w:sz="4" w:space="0" w:color="auto"/>
              <w:bottom w:val="nil"/>
            </w:tcBorders>
            <w:shd w:val="clear" w:color="auto" w:fill="auto"/>
            <w:noWrap/>
            <w:vAlign w:val="center"/>
            <w:hideMark/>
          </w:tcPr>
          <w:p w14:paraId="380911AD"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4EF7D929"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1.590.658,55</w:t>
            </w:r>
          </w:p>
        </w:tc>
        <w:tc>
          <w:tcPr>
            <w:tcW w:w="487" w:type="pct"/>
            <w:tcBorders>
              <w:top w:val="single" w:sz="4" w:space="0" w:color="auto"/>
              <w:bottom w:val="nil"/>
            </w:tcBorders>
            <w:shd w:val="clear" w:color="auto" w:fill="auto"/>
            <w:noWrap/>
            <w:vAlign w:val="center"/>
            <w:hideMark/>
          </w:tcPr>
          <w:p w14:paraId="1552E66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8.347.253,99</w:t>
            </w:r>
          </w:p>
        </w:tc>
        <w:tc>
          <w:tcPr>
            <w:tcW w:w="337" w:type="pct"/>
            <w:tcBorders>
              <w:top w:val="single" w:sz="4" w:space="0" w:color="auto"/>
              <w:bottom w:val="nil"/>
            </w:tcBorders>
            <w:shd w:val="clear" w:color="auto" w:fill="auto"/>
            <w:noWrap/>
            <w:vAlign w:val="center"/>
            <w:hideMark/>
          </w:tcPr>
          <w:p w14:paraId="285D64C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562</w:t>
            </w:r>
          </w:p>
        </w:tc>
        <w:tc>
          <w:tcPr>
            <w:tcW w:w="393" w:type="pct"/>
            <w:tcBorders>
              <w:top w:val="single" w:sz="4" w:space="0" w:color="auto"/>
              <w:bottom w:val="nil"/>
            </w:tcBorders>
            <w:shd w:val="clear" w:color="auto" w:fill="auto"/>
            <w:noWrap/>
            <w:vAlign w:val="center"/>
            <w:hideMark/>
          </w:tcPr>
          <w:p w14:paraId="21EF964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14.843,96</w:t>
            </w:r>
          </w:p>
        </w:tc>
        <w:tc>
          <w:tcPr>
            <w:tcW w:w="471" w:type="pct"/>
            <w:tcBorders>
              <w:top w:val="single" w:sz="4" w:space="0" w:color="auto"/>
              <w:bottom w:val="nil"/>
            </w:tcBorders>
            <w:vAlign w:val="center"/>
          </w:tcPr>
          <w:p w14:paraId="7F6440C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1.141,84</w:t>
            </w:r>
          </w:p>
        </w:tc>
      </w:tr>
      <w:tr w:rsidR="006356F1" w:rsidRPr="00C0505A" w14:paraId="3E088925" w14:textId="77777777" w:rsidTr="00217400">
        <w:trPr>
          <w:trHeight w:val="227"/>
        </w:trPr>
        <w:tc>
          <w:tcPr>
            <w:tcW w:w="1722" w:type="pct"/>
            <w:tcBorders>
              <w:top w:val="nil"/>
            </w:tcBorders>
            <w:shd w:val="clear" w:color="auto" w:fill="auto"/>
            <w:noWrap/>
            <w:vAlign w:val="center"/>
            <w:hideMark/>
          </w:tcPr>
          <w:p w14:paraId="7FC71DC0"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Atividades de pós-colheita</w:t>
            </w:r>
          </w:p>
        </w:tc>
        <w:tc>
          <w:tcPr>
            <w:tcW w:w="531" w:type="pct"/>
            <w:tcBorders>
              <w:top w:val="nil"/>
            </w:tcBorders>
            <w:shd w:val="clear" w:color="auto" w:fill="auto"/>
            <w:noWrap/>
            <w:vAlign w:val="center"/>
            <w:hideMark/>
          </w:tcPr>
          <w:p w14:paraId="14CD5C11" w14:textId="77777777" w:rsidR="006356F1" w:rsidRPr="00C0505A" w:rsidRDefault="006356F1" w:rsidP="00217400">
            <w:pPr>
              <w:ind w:firstLineChars="100" w:firstLine="240"/>
              <w:jc w:val="right"/>
              <w:rPr>
                <w:rFonts w:asciiTheme="minorHAnsi" w:hAnsiTheme="minorHAnsi" w:cstheme="minorHAnsi"/>
                <w:color w:val="000000"/>
                <w:sz w:val="24"/>
                <w:szCs w:val="16"/>
              </w:rPr>
            </w:pPr>
          </w:p>
        </w:tc>
        <w:tc>
          <w:tcPr>
            <w:tcW w:w="531" w:type="pct"/>
            <w:tcBorders>
              <w:top w:val="nil"/>
            </w:tcBorders>
            <w:shd w:val="clear" w:color="auto" w:fill="auto"/>
            <w:noWrap/>
            <w:vAlign w:val="center"/>
            <w:hideMark/>
          </w:tcPr>
          <w:p w14:paraId="2551C1D5" w14:textId="77777777" w:rsidR="006356F1" w:rsidRPr="00C0505A" w:rsidRDefault="006356F1" w:rsidP="00217400">
            <w:pPr>
              <w:jc w:val="right"/>
              <w:rPr>
                <w:rFonts w:asciiTheme="minorHAnsi" w:hAnsiTheme="minorHAnsi" w:cstheme="minorHAnsi"/>
                <w:sz w:val="24"/>
                <w:szCs w:val="16"/>
              </w:rPr>
            </w:pPr>
          </w:p>
        </w:tc>
        <w:tc>
          <w:tcPr>
            <w:tcW w:w="529" w:type="pct"/>
            <w:tcBorders>
              <w:top w:val="nil"/>
            </w:tcBorders>
            <w:shd w:val="clear" w:color="auto" w:fill="auto"/>
            <w:noWrap/>
            <w:vAlign w:val="center"/>
            <w:hideMark/>
          </w:tcPr>
          <w:p w14:paraId="4C85D10F" w14:textId="77777777" w:rsidR="006356F1" w:rsidRPr="00C0505A" w:rsidRDefault="006356F1" w:rsidP="00217400">
            <w:pPr>
              <w:jc w:val="right"/>
              <w:rPr>
                <w:rFonts w:asciiTheme="minorHAnsi" w:hAnsiTheme="minorHAnsi" w:cstheme="minorHAnsi"/>
                <w:sz w:val="24"/>
                <w:szCs w:val="16"/>
              </w:rPr>
            </w:pPr>
          </w:p>
        </w:tc>
        <w:tc>
          <w:tcPr>
            <w:tcW w:w="487" w:type="pct"/>
            <w:tcBorders>
              <w:top w:val="nil"/>
            </w:tcBorders>
            <w:shd w:val="clear" w:color="auto" w:fill="auto"/>
            <w:noWrap/>
            <w:vAlign w:val="center"/>
            <w:hideMark/>
          </w:tcPr>
          <w:p w14:paraId="44B20DA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37" w:type="pct"/>
            <w:tcBorders>
              <w:top w:val="nil"/>
            </w:tcBorders>
            <w:shd w:val="clear" w:color="auto" w:fill="auto"/>
            <w:noWrap/>
            <w:vAlign w:val="center"/>
            <w:hideMark/>
          </w:tcPr>
          <w:p w14:paraId="7DC1C9E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92</w:t>
            </w:r>
          </w:p>
        </w:tc>
        <w:tc>
          <w:tcPr>
            <w:tcW w:w="393" w:type="pct"/>
            <w:tcBorders>
              <w:top w:val="nil"/>
            </w:tcBorders>
            <w:shd w:val="clear" w:color="auto" w:fill="auto"/>
            <w:noWrap/>
            <w:vAlign w:val="center"/>
            <w:hideMark/>
          </w:tcPr>
          <w:p w14:paraId="0E6AA84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tcBorders>
              <w:top w:val="nil"/>
            </w:tcBorders>
            <w:vAlign w:val="center"/>
          </w:tcPr>
          <w:p w14:paraId="2CC5DEF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w:t>
            </w:r>
          </w:p>
        </w:tc>
      </w:tr>
      <w:tr w:rsidR="006356F1" w:rsidRPr="00C0505A" w14:paraId="4306827E" w14:textId="77777777" w:rsidTr="00217400">
        <w:trPr>
          <w:trHeight w:val="227"/>
        </w:trPr>
        <w:tc>
          <w:tcPr>
            <w:tcW w:w="1722" w:type="pct"/>
            <w:shd w:val="clear" w:color="auto" w:fill="auto"/>
            <w:noWrap/>
            <w:vAlign w:val="center"/>
            <w:hideMark/>
          </w:tcPr>
          <w:p w14:paraId="6882263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Produção de sementes certificadas de forrageiras para formação de pasto</w:t>
            </w:r>
          </w:p>
        </w:tc>
        <w:tc>
          <w:tcPr>
            <w:tcW w:w="531" w:type="pct"/>
            <w:shd w:val="clear" w:color="auto" w:fill="auto"/>
            <w:noWrap/>
            <w:vAlign w:val="center"/>
            <w:hideMark/>
          </w:tcPr>
          <w:p w14:paraId="6401A4C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250.530,92</w:t>
            </w:r>
          </w:p>
        </w:tc>
        <w:tc>
          <w:tcPr>
            <w:tcW w:w="531" w:type="pct"/>
            <w:shd w:val="clear" w:color="auto" w:fill="auto"/>
            <w:noWrap/>
            <w:vAlign w:val="center"/>
            <w:hideMark/>
          </w:tcPr>
          <w:p w14:paraId="2E1C9150"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18FF640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27.747,63</w:t>
            </w:r>
          </w:p>
        </w:tc>
        <w:tc>
          <w:tcPr>
            <w:tcW w:w="487" w:type="pct"/>
            <w:shd w:val="clear" w:color="auto" w:fill="auto"/>
            <w:noWrap/>
            <w:vAlign w:val="center"/>
            <w:hideMark/>
          </w:tcPr>
          <w:p w14:paraId="18AE5D8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222.783,29</w:t>
            </w:r>
          </w:p>
        </w:tc>
        <w:tc>
          <w:tcPr>
            <w:tcW w:w="337" w:type="pct"/>
            <w:shd w:val="clear" w:color="auto" w:fill="auto"/>
            <w:noWrap/>
            <w:vAlign w:val="center"/>
            <w:hideMark/>
          </w:tcPr>
          <w:p w14:paraId="7447DCB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93" w:type="pct"/>
            <w:shd w:val="clear" w:color="auto" w:fill="auto"/>
            <w:noWrap/>
            <w:vAlign w:val="center"/>
            <w:hideMark/>
          </w:tcPr>
          <w:p w14:paraId="03EB20F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vAlign w:val="center"/>
          </w:tcPr>
          <w:p w14:paraId="6E5B6389"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w:t>
            </w:r>
          </w:p>
        </w:tc>
      </w:tr>
      <w:tr w:rsidR="006356F1" w:rsidRPr="00C0505A" w14:paraId="14E330C2" w14:textId="77777777" w:rsidTr="00217400">
        <w:trPr>
          <w:trHeight w:val="227"/>
        </w:trPr>
        <w:tc>
          <w:tcPr>
            <w:tcW w:w="1722" w:type="pct"/>
            <w:tcBorders>
              <w:bottom w:val="single" w:sz="4" w:space="0" w:color="auto"/>
            </w:tcBorders>
            <w:shd w:val="clear" w:color="auto" w:fill="auto"/>
            <w:noWrap/>
            <w:vAlign w:val="center"/>
            <w:hideMark/>
          </w:tcPr>
          <w:p w14:paraId="6BC9023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Produção de sementes certificadas, exceto de forrageiras para pasto</w:t>
            </w:r>
          </w:p>
        </w:tc>
        <w:tc>
          <w:tcPr>
            <w:tcW w:w="531" w:type="pct"/>
            <w:tcBorders>
              <w:bottom w:val="single" w:sz="4" w:space="0" w:color="auto"/>
            </w:tcBorders>
            <w:shd w:val="clear" w:color="auto" w:fill="auto"/>
            <w:noWrap/>
            <w:vAlign w:val="center"/>
            <w:hideMark/>
          </w:tcPr>
          <w:p w14:paraId="196643F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9.687.381,62</w:t>
            </w:r>
          </w:p>
        </w:tc>
        <w:tc>
          <w:tcPr>
            <w:tcW w:w="531" w:type="pct"/>
            <w:tcBorders>
              <w:bottom w:val="single" w:sz="4" w:space="0" w:color="auto"/>
            </w:tcBorders>
            <w:shd w:val="clear" w:color="auto" w:fill="auto"/>
            <w:noWrap/>
            <w:vAlign w:val="center"/>
            <w:hideMark/>
          </w:tcPr>
          <w:p w14:paraId="034ACBEE"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677E117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1.562.910,92</w:t>
            </w:r>
          </w:p>
        </w:tc>
        <w:tc>
          <w:tcPr>
            <w:tcW w:w="487" w:type="pct"/>
            <w:tcBorders>
              <w:bottom w:val="single" w:sz="4" w:space="0" w:color="auto"/>
            </w:tcBorders>
            <w:shd w:val="clear" w:color="auto" w:fill="auto"/>
            <w:noWrap/>
            <w:vAlign w:val="center"/>
            <w:hideMark/>
          </w:tcPr>
          <w:p w14:paraId="6A7128A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8.124.470,70</w:t>
            </w:r>
          </w:p>
        </w:tc>
        <w:tc>
          <w:tcPr>
            <w:tcW w:w="337" w:type="pct"/>
            <w:tcBorders>
              <w:bottom w:val="single" w:sz="4" w:space="0" w:color="auto"/>
            </w:tcBorders>
            <w:shd w:val="clear" w:color="auto" w:fill="auto"/>
            <w:noWrap/>
            <w:vAlign w:val="center"/>
            <w:hideMark/>
          </w:tcPr>
          <w:p w14:paraId="1231430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471</w:t>
            </w:r>
          </w:p>
        </w:tc>
        <w:tc>
          <w:tcPr>
            <w:tcW w:w="393" w:type="pct"/>
            <w:tcBorders>
              <w:bottom w:val="single" w:sz="4" w:space="0" w:color="auto"/>
            </w:tcBorders>
            <w:shd w:val="clear" w:color="auto" w:fill="auto"/>
            <w:noWrap/>
            <w:vAlign w:val="center"/>
            <w:hideMark/>
          </w:tcPr>
          <w:p w14:paraId="06E5D5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17.246,36</w:t>
            </w:r>
          </w:p>
        </w:tc>
        <w:tc>
          <w:tcPr>
            <w:tcW w:w="471" w:type="pct"/>
            <w:tcBorders>
              <w:bottom w:val="single" w:sz="4" w:space="0" w:color="auto"/>
            </w:tcBorders>
            <w:vAlign w:val="center"/>
          </w:tcPr>
          <w:p w14:paraId="3A3EC39D" w14:textId="77777777" w:rsidR="006356F1" w:rsidRPr="00C0505A" w:rsidRDefault="006356F1" w:rsidP="00217400">
            <w:pPr>
              <w:jc w:val="right"/>
              <w:rPr>
                <w:rFonts w:asciiTheme="minorHAnsi" w:hAnsiTheme="minorHAnsi" w:cstheme="minorHAnsi"/>
                <w:bCs/>
                <w:color w:val="000000"/>
                <w:sz w:val="24"/>
                <w:szCs w:val="16"/>
              </w:rPr>
            </w:pPr>
            <w:r w:rsidRPr="00C0505A">
              <w:rPr>
                <w:rFonts w:asciiTheme="minorHAnsi" w:hAnsiTheme="minorHAnsi" w:cstheme="minorHAnsi"/>
                <w:bCs/>
                <w:color w:val="000000"/>
                <w:sz w:val="24"/>
                <w:szCs w:val="16"/>
              </w:rPr>
              <w:t>1.326,64</w:t>
            </w:r>
          </w:p>
        </w:tc>
      </w:tr>
      <w:tr w:rsidR="006356F1" w:rsidRPr="00C0505A" w14:paraId="20763C33" w14:textId="77777777" w:rsidTr="00217400">
        <w:trPr>
          <w:trHeight w:val="227"/>
        </w:trPr>
        <w:tc>
          <w:tcPr>
            <w:tcW w:w="1722" w:type="pct"/>
            <w:tcBorders>
              <w:top w:val="single" w:sz="4" w:space="0" w:color="auto"/>
              <w:bottom w:val="nil"/>
            </w:tcBorders>
            <w:shd w:val="clear" w:color="auto" w:fill="auto"/>
            <w:noWrap/>
            <w:vAlign w:val="center"/>
            <w:hideMark/>
          </w:tcPr>
          <w:p w14:paraId="6AD24A55"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ARMAZENAMENTO E ATIVIDADES AUXILIARES DOS TRANSPORTES</w:t>
            </w:r>
          </w:p>
        </w:tc>
        <w:tc>
          <w:tcPr>
            <w:tcW w:w="531" w:type="pct"/>
            <w:tcBorders>
              <w:top w:val="single" w:sz="4" w:space="0" w:color="auto"/>
              <w:bottom w:val="nil"/>
            </w:tcBorders>
            <w:shd w:val="clear" w:color="auto" w:fill="auto"/>
            <w:noWrap/>
            <w:vAlign w:val="center"/>
            <w:hideMark/>
          </w:tcPr>
          <w:p w14:paraId="207A802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65.502,20</w:t>
            </w:r>
          </w:p>
        </w:tc>
        <w:tc>
          <w:tcPr>
            <w:tcW w:w="531" w:type="pct"/>
            <w:tcBorders>
              <w:top w:val="single" w:sz="4" w:space="0" w:color="auto"/>
              <w:bottom w:val="nil"/>
            </w:tcBorders>
            <w:shd w:val="clear" w:color="auto" w:fill="auto"/>
            <w:noWrap/>
            <w:vAlign w:val="center"/>
            <w:hideMark/>
          </w:tcPr>
          <w:p w14:paraId="16928FDD"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0FA5E04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3.973,07</w:t>
            </w:r>
          </w:p>
        </w:tc>
        <w:tc>
          <w:tcPr>
            <w:tcW w:w="487" w:type="pct"/>
            <w:tcBorders>
              <w:top w:val="single" w:sz="4" w:space="0" w:color="auto"/>
              <w:bottom w:val="nil"/>
            </w:tcBorders>
            <w:shd w:val="clear" w:color="auto" w:fill="auto"/>
            <w:noWrap/>
            <w:vAlign w:val="center"/>
            <w:hideMark/>
          </w:tcPr>
          <w:p w14:paraId="69992F0C"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61.529,13</w:t>
            </w:r>
          </w:p>
        </w:tc>
        <w:tc>
          <w:tcPr>
            <w:tcW w:w="337" w:type="pct"/>
            <w:tcBorders>
              <w:top w:val="single" w:sz="4" w:space="0" w:color="auto"/>
              <w:bottom w:val="nil"/>
            </w:tcBorders>
            <w:shd w:val="clear" w:color="auto" w:fill="auto"/>
            <w:noWrap/>
            <w:vAlign w:val="center"/>
            <w:hideMark/>
          </w:tcPr>
          <w:p w14:paraId="34AECEDB" w14:textId="77777777" w:rsidR="006356F1" w:rsidRPr="00C0505A" w:rsidRDefault="006356F1" w:rsidP="00217400">
            <w:pPr>
              <w:jc w:val="right"/>
              <w:rPr>
                <w:rFonts w:asciiTheme="minorHAnsi" w:hAnsiTheme="minorHAnsi" w:cstheme="minorHAnsi"/>
                <w:b/>
                <w:bCs/>
                <w:color w:val="000000"/>
                <w:sz w:val="24"/>
                <w:szCs w:val="16"/>
              </w:rPr>
            </w:pPr>
          </w:p>
        </w:tc>
        <w:tc>
          <w:tcPr>
            <w:tcW w:w="393" w:type="pct"/>
            <w:tcBorders>
              <w:top w:val="single" w:sz="4" w:space="0" w:color="auto"/>
              <w:bottom w:val="nil"/>
            </w:tcBorders>
            <w:shd w:val="clear" w:color="auto" w:fill="auto"/>
            <w:noWrap/>
            <w:vAlign w:val="center"/>
            <w:hideMark/>
          </w:tcPr>
          <w:p w14:paraId="314265D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w:t>
            </w:r>
          </w:p>
        </w:tc>
        <w:tc>
          <w:tcPr>
            <w:tcW w:w="471" w:type="pct"/>
            <w:tcBorders>
              <w:top w:val="single" w:sz="4" w:space="0" w:color="auto"/>
              <w:bottom w:val="nil"/>
            </w:tcBorders>
            <w:vAlign w:val="center"/>
          </w:tcPr>
          <w:p w14:paraId="5B49275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w:t>
            </w:r>
          </w:p>
        </w:tc>
      </w:tr>
      <w:tr w:rsidR="006356F1" w:rsidRPr="00C0505A" w14:paraId="604444AA" w14:textId="77777777" w:rsidTr="00217400">
        <w:trPr>
          <w:trHeight w:val="227"/>
        </w:trPr>
        <w:tc>
          <w:tcPr>
            <w:tcW w:w="1722" w:type="pct"/>
            <w:tcBorders>
              <w:top w:val="nil"/>
              <w:bottom w:val="single" w:sz="4" w:space="0" w:color="auto"/>
            </w:tcBorders>
            <w:shd w:val="clear" w:color="auto" w:fill="auto"/>
            <w:noWrap/>
            <w:vAlign w:val="center"/>
            <w:hideMark/>
          </w:tcPr>
          <w:p w14:paraId="72F027F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Organização logística do transporte de carga</w:t>
            </w:r>
          </w:p>
        </w:tc>
        <w:tc>
          <w:tcPr>
            <w:tcW w:w="531" w:type="pct"/>
            <w:tcBorders>
              <w:top w:val="nil"/>
              <w:bottom w:val="single" w:sz="4" w:space="0" w:color="auto"/>
            </w:tcBorders>
            <w:shd w:val="clear" w:color="auto" w:fill="auto"/>
            <w:noWrap/>
            <w:vAlign w:val="center"/>
            <w:hideMark/>
          </w:tcPr>
          <w:p w14:paraId="023A652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65.502,20</w:t>
            </w:r>
          </w:p>
        </w:tc>
        <w:tc>
          <w:tcPr>
            <w:tcW w:w="531" w:type="pct"/>
            <w:tcBorders>
              <w:top w:val="nil"/>
              <w:bottom w:val="single" w:sz="4" w:space="0" w:color="auto"/>
            </w:tcBorders>
            <w:shd w:val="clear" w:color="auto" w:fill="auto"/>
            <w:noWrap/>
            <w:vAlign w:val="center"/>
            <w:hideMark/>
          </w:tcPr>
          <w:p w14:paraId="15487AF1"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bottom w:val="single" w:sz="4" w:space="0" w:color="auto"/>
            </w:tcBorders>
            <w:shd w:val="clear" w:color="auto" w:fill="auto"/>
            <w:noWrap/>
            <w:vAlign w:val="center"/>
            <w:hideMark/>
          </w:tcPr>
          <w:p w14:paraId="18A1323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3.973,07</w:t>
            </w:r>
          </w:p>
        </w:tc>
        <w:tc>
          <w:tcPr>
            <w:tcW w:w="487" w:type="pct"/>
            <w:tcBorders>
              <w:top w:val="nil"/>
              <w:bottom w:val="single" w:sz="4" w:space="0" w:color="auto"/>
            </w:tcBorders>
            <w:shd w:val="clear" w:color="auto" w:fill="auto"/>
            <w:noWrap/>
            <w:vAlign w:val="center"/>
            <w:hideMark/>
          </w:tcPr>
          <w:p w14:paraId="7B1131F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61.529,13</w:t>
            </w:r>
          </w:p>
        </w:tc>
        <w:tc>
          <w:tcPr>
            <w:tcW w:w="337" w:type="pct"/>
            <w:tcBorders>
              <w:top w:val="nil"/>
              <w:bottom w:val="single" w:sz="4" w:space="0" w:color="auto"/>
            </w:tcBorders>
            <w:shd w:val="clear" w:color="auto" w:fill="auto"/>
            <w:noWrap/>
            <w:vAlign w:val="center"/>
            <w:hideMark/>
          </w:tcPr>
          <w:p w14:paraId="5DB6A878" w14:textId="77777777" w:rsidR="006356F1" w:rsidRPr="00C0505A" w:rsidRDefault="006356F1" w:rsidP="00217400">
            <w:pPr>
              <w:jc w:val="right"/>
              <w:rPr>
                <w:rFonts w:asciiTheme="minorHAnsi" w:hAnsiTheme="minorHAnsi" w:cstheme="minorHAnsi"/>
                <w:color w:val="000000"/>
                <w:sz w:val="24"/>
                <w:szCs w:val="16"/>
              </w:rPr>
            </w:pPr>
          </w:p>
        </w:tc>
        <w:tc>
          <w:tcPr>
            <w:tcW w:w="393" w:type="pct"/>
            <w:tcBorders>
              <w:top w:val="nil"/>
              <w:bottom w:val="single" w:sz="4" w:space="0" w:color="auto"/>
            </w:tcBorders>
            <w:shd w:val="clear" w:color="auto" w:fill="auto"/>
            <w:noWrap/>
            <w:vAlign w:val="center"/>
            <w:hideMark/>
          </w:tcPr>
          <w:p w14:paraId="4369F86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tcBorders>
              <w:top w:val="nil"/>
              <w:bottom w:val="single" w:sz="4" w:space="0" w:color="auto"/>
            </w:tcBorders>
            <w:vAlign w:val="center"/>
          </w:tcPr>
          <w:p w14:paraId="536B8E7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w:t>
            </w:r>
          </w:p>
        </w:tc>
      </w:tr>
      <w:tr w:rsidR="006356F1" w:rsidRPr="00C0505A" w14:paraId="44227B9C" w14:textId="77777777" w:rsidTr="00217400">
        <w:trPr>
          <w:trHeight w:val="227"/>
        </w:trPr>
        <w:tc>
          <w:tcPr>
            <w:tcW w:w="1722" w:type="pct"/>
            <w:tcBorders>
              <w:top w:val="single" w:sz="4" w:space="0" w:color="auto"/>
              <w:bottom w:val="nil"/>
            </w:tcBorders>
            <w:shd w:val="clear" w:color="auto" w:fill="auto"/>
            <w:noWrap/>
            <w:vAlign w:val="center"/>
            <w:hideMark/>
          </w:tcPr>
          <w:p w14:paraId="360B0FC4"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ATIVIDADES DE APOIO À EXTRAÇÃO DE MINERAIS</w:t>
            </w:r>
          </w:p>
        </w:tc>
        <w:tc>
          <w:tcPr>
            <w:tcW w:w="531" w:type="pct"/>
            <w:tcBorders>
              <w:top w:val="single" w:sz="4" w:space="0" w:color="auto"/>
              <w:bottom w:val="nil"/>
            </w:tcBorders>
            <w:shd w:val="clear" w:color="auto" w:fill="auto"/>
            <w:noWrap/>
            <w:vAlign w:val="center"/>
            <w:hideMark/>
          </w:tcPr>
          <w:p w14:paraId="61689C28"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5.427.561,44</w:t>
            </w:r>
          </w:p>
        </w:tc>
        <w:tc>
          <w:tcPr>
            <w:tcW w:w="531" w:type="pct"/>
            <w:tcBorders>
              <w:top w:val="single" w:sz="4" w:space="0" w:color="auto"/>
              <w:bottom w:val="nil"/>
            </w:tcBorders>
            <w:shd w:val="clear" w:color="auto" w:fill="auto"/>
            <w:noWrap/>
            <w:vAlign w:val="center"/>
            <w:hideMark/>
          </w:tcPr>
          <w:p w14:paraId="053B8F17"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58ED0FB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936.943,54</w:t>
            </w:r>
          </w:p>
        </w:tc>
        <w:tc>
          <w:tcPr>
            <w:tcW w:w="487" w:type="pct"/>
            <w:tcBorders>
              <w:top w:val="single" w:sz="4" w:space="0" w:color="auto"/>
              <w:bottom w:val="nil"/>
            </w:tcBorders>
            <w:shd w:val="clear" w:color="auto" w:fill="auto"/>
            <w:noWrap/>
            <w:vAlign w:val="center"/>
            <w:hideMark/>
          </w:tcPr>
          <w:p w14:paraId="197FC4D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4.490.617,90</w:t>
            </w:r>
          </w:p>
        </w:tc>
        <w:tc>
          <w:tcPr>
            <w:tcW w:w="337" w:type="pct"/>
            <w:tcBorders>
              <w:top w:val="single" w:sz="4" w:space="0" w:color="auto"/>
              <w:bottom w:val="nil"/>
            </w:tcBorders>
            <w:shd w:val="clear" w:color="auto" w:fill="auto"/>
            <w:noWrap/>
            <w:vAlign w:val="center"/>
            <w:hideMark/>
          </w:tcPr>
          <w:p w14:paraId="55AED67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93</w:t>
            </w:r>
          </w:p>
        </w:tc>
        <w:tc>
          <w:tcPr>
            <w:tcW w:w="393" w:type="pct"/>
            <w:tcBorders>
              <w:top w:val="single" w:sz="4" w:space="0" w:color="auto"/>
              <w:bottom w:val="nil"/>
            </w:tcBorders>
            <w:shd w:val="clear" w:color="auto" w:fill="auto"/>
            <w:noWrap/>
            <w:vAlign w:val="center"/>
            <w:hideMark/>
          </w:tcPr>
          <w:p w14:paraId="2F65E706"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48.416,37</w:t>
            </w:r>
          </w:p>
        </w:tc>
        <w:tc>
          <w:tcPr>
            <w:tcW w:w="471" w:type="pct"/>
            <w:tcBorders>
              <w:top w:val="single" w:sz="4" w:space="0" w:color="auto"/>
              <w:bottom w:val="nil"/>
            </w:tcBorders>
            <w:vAlign w:val="center"/>
          </w:tcPr>
          <w:p w14:paraId="735CA49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3.724,34</w:t>
            </w:r>
          </w:p>
        </w:tc>
      </w:tr>
      <w:tr w:rsidR="006356F1" w:rsidRPr="00C0505A" w14:paraId="0CDCC8AC" w14:textId="77777777" w:rsidTr="00217400">
        <w:trPr>
          <w:trHeight w:val="227"/>
        </w:trPr>
        <w:tc>
          <w:tcPr>
            <w:tcW w:w="1722" w:type="pct"/>
            <w:tcBorders>
              <w:top w:val="nil"/>
              <w:bottom w:val="single" w:sz="4" w:space="0" w:color="auto"/>
            </w:tcBorders>
            <w:shd w:val="clear" w:color="auto" w:fill="auto"/>
            <w:noWrap/>
            <w:vAlign w:val="center"/>
            <w:hideMark/>
          </w:tcPr>
          <w:p w14:paraId="79ECF23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Atividades de apoio à extração de minerais metálicos não-ferrosos</w:t>
            </w:r>
          </w:p>
        </w:tc>
        <w:tc>
          <w:tcPr>
            <w:tcW w:w="531" w:type="pct"/>
            <w:tcBorders>
              <w:top w:val="nil"/>
              <w:bottom w:val="single" w:sz="4" w:space="0" w:color="auto"/>
            </w:tcBorders>
            <w:shd w:val="clear" w:color="auto" w:fill="auto"/>
            <w:noWrap/>
            <w:vAlign w:val="center"/>
            <w:hideMark/>
          </w:tcPr>
          <w:p w14:paraId="1214894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5.427.561,44</w:t>
            </w:r>
          </w:p>
        </w:tc>
        <w:tc>
          <w:tcPr>
            <w:tcW w:w="531" w:type="pct"/>
            <w:tcBorders>
              <w:top w:val="nil"/>
              <w:bottom w:val="single" w:sz="4" w:space="0" w:color="auto"/>
            </w:tcBorders>
            <w:shd w:val="clear" w:color="auto" w:fill="auto"/>
            <w:noWrap/>
            <w:vAlign w:val="center"/>
            <w:hideMark/>
          </w:tcPr>
          <w:p w14:paraId="38E29732"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bottom w:val="single" w:sz="4" w:space="0" w:color="auto"/>
            </w:tcBorders>
            <w:shd w:val="clear" w:color="auto" w:fill="auto"/>
            <w:noWrap/>
            <w:vAlign w:val="center"/>
            <w:hideMark/>
          </w:tcPr>
          <w:p w14:paraId="67CF3A6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936.943,54</w:t>
            </w:r>
          </w:p>
        </w:tc>
        <w:tc>
          <w:tcPr>
            <w:tcW w:w="487" w:type="pct"/>
            <w:tcBorders>
              <w:top w:val="nil"/>
              <w:bottom w:val="single" w:sz="4" w:space="0" w:color="auto"/>
            </w:tcBorders>
            <w:shd w:val="clear" w:color="auto" w:fill="auto"/>
            <w:noWrap/>
            <w:vAlign w:val="center"/>
            <w:hideMark/>
          </w:tcPr>
          <w:p w14:paraId="1401123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4.490.617,90</w:t>
            </w:r>
          </w:p>
        </w:tc>
        <w:tc>
          <w:tcPr>
            <w:tcW w:w="337" w:type="pct"/>
            <w:tcBorders>
              <w:top w:val="nil"/>
              <w:bottom w:val="single" w:sz="4" w:space="0" w:color="auto"/>
            </w:tcBorders>
            <w:shd w:val="clear" w:color="auto" w:fill="auto"/>
            <w:noWrap/>
            <w:vAlign w:val="center"/>
            <w:hideMark/>
          </w:tcPr>
          <w:p w14:paraId="082548D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93</w:t>
            </w:r>
          </w:p>
        </w:tc>
        <w:tc>
          <w:tcPr>
            <w:tcW w:w="393" w:type="pct"/>
            <w:tcBorders>
              <w:top w:val="nil"/>
              <w:bottom w:val="single" w:sz="4" w:space="0" w:color="auto"/>
            </w:tcBorders>
            <w:shd w:val="clear" w:color="auto" w:fill="auto"/>
            <w:noWrap/>
            <w:vAlign w:val="center"/>
            <w:hideMark/>
          </w:tcPr>
          <w:p w14:paraId="196806B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48.416,37</w:t>
            </w:r>
          </w:p>
        </w:tc>
        <w:tc>
          <w:tcPr>
            <w:tcW w:w="471" w:type="pct"/>
            <w:tcBorders>
              <w:top w:val="nil"/>
              <w:bottom w:val="single" w:sz="4" w:space="0" w:color="auto"/>
            </w:tcBorders>
            <w:vAlign w:val="center"/>
          </w:tcPr>
          <w:p w14:paraId="46D5A30B" w14:textId="77777777" w:rsidR="006356F1" w:rsidRPr="00C0505A" w:rsidRDefault="006356F1" w:rsidP="00217400">
            <w:pPr>
              <w:jc w:val="right"/>
              <w:rPr>
                <w:rFonts w:asciiTheme="minorHAnsi" w:hAnsiTheme="minorHAnsi" w:cstheme="minorHAnsi"/>
                <w:bCs/>
                <w:color w:val="000000"/>
                <w:sz w:val="24"/>
                <w:szCs w:val="16"/>
              </w:rPr>
            </w:pPr>
            <w:r w:rsidRPr="00C0505A">
              <w:rPr>
                <w:rFonts w:asciiTheme="minorHAnsi" w:hAnsiTheme="minorHAnsi" w:cstheme="minorHAnsi"/>
                <w:bCs/>
                <w:color w:val="000000"/>
                <w:sz w:val="24"/>
                <w:szCs w:val="16"/>
              </w:rPr>
              <w:t>3.724,34</w:t>
            </w:r>
          </w:p>
        </w:tc>
      </w:tr>
      <w:tr w:rsidR="006356F1" w:rsidRPr="00C0505A" w14:paraId="11E1EA8A" w14:textId="77777777" w:rsidTr="00217400">
        <w:trPr>
          <w:trHeight w:val="227"/>
        </w:trPr>
        <w:tc>
          <w:tcPr>
            <w:tcW w:w="1722" w:type="pct"/>
            <w:tcBorders>
              <w:top w:val="single" w:sz="4" w:space="0" w:color="auto"/>
              <w:bottom w:val="nil"/>
            </w:tcBorders>
            <w:shd w:val="clear" w:color="auto" w:fill="auto"/>
            <w:noWrap/>
            <w:vAlign w:val="center"/>
            <w:hideMark/>
          </w:tcPr>
          <w:p w14:paraId="0D0B22A3"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COLETA, TRATAMENTO E DISPOSIÇÃO DE RESÍDUOS; RECUPERAÇÃO DE MATERIAIS</w:t>
            </w:r>
          </w:p>
        </w:tc>
        <w:tc>
          <w:tcPr>
            <w:tcW w:w="531" w:type="pct"/>
            <w:tcBorders>
              <w:top w:val="single" w:sz="4" w:space="0" w:color="auto"/>
              <w:bottom w:val="nil"/>
            </w:tcBorders>
            <w:shd w:val="clear" w:color="auto" w:fill="auto"/>
            <w:noWrap/>
            <w:vAlign w:val="center"/>
            <w:hideMark/>
          </w:tcPr>
          <w:p w14:paraId="7F3C8ADF"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18.713.110,31</w:t>
            </w:r>
          </w:p>
        </w:tc>
        <w:tc>
          <w:tcPr>
            <w:tcW w:w="531" w:type="pct"/>
            <w:tcBorders>
              <w:top w:val="single" w:sz="4" w:space="0" w:color="auto"/>
              <w:bottom w:val="nil"/>
            </w:tcBorders>
            <w:shd w:val="clear" w:color="auto" w:fill="auto"/>
            <w:noWrap/>
            <w:vAlign w:val="center"/>
            <w:hideMark/>
          </w:tcPr>
          <w:p w14:paraId="50A88E0A"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6D5DE76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2.664.920,51</w:t>
            </w:r>
          </w:p>
        </w:tc>
        <w:tc>
          <w:tcPr>
            <w:tcW w:w="487" w:type="pct"/>
            <w:tcBorders>
              <w:top w:val="single" w:sz="4" w:space="0" w:color="auto"/>
              <w:bottom w:val="nil"/>
            </w:tcBorders>
            <w:shd w:val="clear" w:color="auto" w:fill="auto"/>
            <w:noWrap/>
            <w:vAlign w:val="center"/>
            <w:hideMark/>
          </w:tcPr>
          <w:p w14:paraId="46825499"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16.048.189,80</w:t>
            </w:r>
          </w:p>
        </w:tc>
        <w:tc>
          <w:tcPr>
            <w:tcW w:w="337" w:type="pct"/>
            <w:tcBorders>
              <w:top w:val="single" w:sz="4" w:space="0" w:color="auto"/>
              <w:bottom w:val="nil"/>
            </w:tcBorders>
            <w:shd w:val="clear" w:color="auto" w:fill="auto"/>
            <w:noWrap/>
            <w:vAlign w:val="center"/>
            <w:hideMark/>
          </w:tcPr>
          <w:p w14:paraId="10F43BD7"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428</w:t>
            </w:r>
          </w:p>
        </w:tc>
        <w:tc>
          <w:tcPr>
            <w:tcW w:w="393" w:type="pct"/>
            <w:tcBorders>
              <w:top w:val="single" w:sz="4" w:space="0" w:color="auto"/>
              <w:bottom w:val="nil"/>
            </w:tcBorders>
            <w:shd w:val="clear" w:color="auto" w:fill="auto"/>
            <w:noWrap/>
            <w:vAlign w:val="center"/>
            <w:hideMark/>
          </w:tcPr>
          <w:p w14:paraId="04A85ACF"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37.495,77</w:t>
            </w:r>
          </w:p>
        </w:tc>
        <w:tc>
          <w:tcPr>
            <w:tcW w:w="471" w:type="pct"/>
            <w:tcBorders>
              <w:top w:val="single" w:sz="4" w:space="0" w:color="auto"/>
              <w:bottom w:val="nil"/>
            </w:tcBorders>
            <w:vAlign w:val="center"/>
          </w:tcPr>
          <w:p w14:paraId="49B0776A"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2.884,29</w:t>
            </w:r>
          </w:p>
        </w:tc>
      </w:tr>
      <w:tr w:rsidR="006356F1" w:rsidRPr="00C0505A" w14:paraId="15125DD7" w14:textId="77777777" w:rsidTr="00217400">
        <w:trPr>
          <w:trHeight w:val="227"/>
        </w:trPr>
        <w:tc>
          <w:tcPr>
            <w:tcW w:w="1722" w:type="pct"/>
            <w:tcBorders>
              <w:top w:val="nil"/>
            </w:tcBorders>
            <w:shd w:val="clear" w:color="auto" w:fill="auto"/>
            <w:noWrap/>
            <w:vAlign w:val="center"/>
            <w:hideMark/>
          </w:tcPr>
          <w:p w14:paraId="22EF591F"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Recuperação de materiais metálicos, exceto alumínio</w:t>
            </w:r>
          </w:p>
        </w:tc>
        <w:tc>
          <w:tcPr>
            <w:tcW w:w="531" w:type="pct"/>
            <w:tcBorders>
              <w:top w:val="nil"/>
            </w:tcBorders>
            <w:shd w:val="clear" w:color="auto" w:fill="auto"/>
            <w:noWrap/>
            <w:vAlign w:val="center"/>
            <w:hideMark/>
          </w:tcPr>
          <w:p w14:paraId="533ABB7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4.410.996,18</w:t>
            </w:r>
          </w:p>
        </w:tc>
        <w:tc>
          <w:tcPr>
            <w:tcW w:w="531" w:type="pct"/>
            <w:tcBorders>
              <w:top w:val="nil"/>
            </w:tcBorders>
            <w:shd w:val="clear" w:color="auto" w:fill="auto"/>
            <w:noWrap/>
            <w:vAlign w:val="center"/>
            <w:hideMark/>
          </w:tcPr>
          <w:p w14:paraId="0F3605AB"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2684314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543.336,76</w:t>
            </w:r>
          </w:p>
        </w:tc>
        <w:tc>
          <w:tcPr>
            <w:tcW w:w="487" w:type="pct"/>
            <w:tcBorders>
              <w:top w:val="nil"/>
            </w:tcBorders>
            <w:shd w:val="clear" w:color="auto" w:fill="auto"/>
            <w:noWrap/>
            <w:vAlign w:val="center"/>
            <w:hideMark/>
          </w:tcPr>
          <w:p w14:paraId="38629D6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3.867.659,42</w:t>
            </w:r>
          </w:p>
        </w:tc>
        <w:tc>
          <w:tcPr>
            <w:tcW w:w="337" w:type="pct"/>
            <w:tcBorders>
              <w:top w:val="nil"/>
            </w:tcBorders>
            <w:shd w:val="clear" w:color="auto" w:fill="auto"/>
            <w:noWrap/>
            <w:vAlign w:val="center"/>
            <w:hideMark/>
          </w:tcPr>
          <w:p w14:paraId="3A3D258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73</w:t>
            </w:r>
          </w:p>
        </w:tc>
        <w:tc>
          <w:tcPr>
            <w:tcW w:w="393" w:type="pct"/>
            <w:tcBorders>
              <w:top w:val="nil"/>
            </w:tcBorders>
            <w:shd w:val="clear" w:color="auto" w:fill="auto"/>
            <w:noWrap/>
            <w:vAlign w:val="center"/>
            <w:hideMark/>
          </w:tcPr>
          <w:p w14:paraId="56D56CD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53.347,03</w:t>
            </w:r>
          </w:p>
        </w:tc>
        <w:tc>
          <w:tcPr>
            <w:tcW w:w="471" w:type="pct"/>
            <w:tcBorders>
              <w:top w:val="nil"/>
            </w:tcBorders>
            <w:vAlign w:val="center"/>
          </w:tcPr>
          <w:p w14:paraId="54BDEBF8" w14:textId="77777777" w:rsidR="006356F1" w:rsidRPr="00C0505A" w:rsidRDefault="006356F1" w:rsidP="00217400">
            <w:pPr>
              <w:jc w:val="right"/>
              <w:rPr>
                <w:rFonts w:asciiTheme="minorHAnsi" w:hAnsiTheme="minorHAnsi" w:cstheme="minorHAnsi"/>
                <w:bCs/>
                <w:color w:val="000000"/>
                <w:sz w:val="24"/>
                <w:szCs w:val="16"/>
              </w:rPr>
            </w:pPr>
            <w:r w:rsidRPr="00C0505A">
              <w:rPr>
                <w:rFonts w:asciiTheme="minorHAnsi" w:hAnsiTheme="minorHAnsi" w:cstheme="minorHAnsi"/>
                <w:bCs/>
                <w:color w:val="000000"/>
                <w:sz w:val="24"/>
                <w:szCs w:val="16"/>
              </w:rPr>
              <w:t>4.103,62</w:t>
            </w:r>
          </w:p>
        </w:tc>
      </w:tr>
      <w:tr w:rsidR="006356F1" w:rsidRPr="00C0505A" w14:paraId="03C5C76B" w14:textId="77777777" w:rsidTr="00217400">
        <w:trPr>
          <w:trHeight w:val="227"/>
        </w:trPr>
        <w:tc>
          <w:tcPr>
            <w:tcW w:w="1722" w:type="pct"/>
            <w:shd w:val="clear" w:color="auto" w:fill="auto"/>
            <w:noWrap/>
            <w:vAlign w:val="center"/>
            <w:hideMark/>
          </w:tcPr>
          <w:p w14:paraId="7CA6C54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Recuperação de materiais não especificados anteriormente</w:t>
            </w:r>
          </w:p>
        </w:tc>
        <w:tc>
          <w:tcPr>
            <w:tcW w:w="531" w:type="pct"/>
            <w:shd w:val="clear" w:color="auto" w:fill="auto"/>
            <w:noWrap/>
            <w:vAlign w:val="center"/>
            <w:hideMark/>
          </w:tcPr>
          <w:p w14:paraId="24EB8CF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3.453.134,37</w:t>
            </w:r>
          </w:p>
        </w:tc>
        <w:tc>
          <w:tcPr>
            <w:tcW w:w="531" w:type="pct"/>
            <w:shd w:val="clear" w:color="auto" w:fill="auto"/>
            <w:noWrap/>
            <w:vAlign w:val="center"/>
            <w:hideMark/>
          </w:tcPr>
          <w:p w14:paraId="7B8B948D"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34CEE79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706.128,30</w:t>
            </w:r>
          </w:p>
        </w:tc>
        <w:tc>
          <w:tcPr>
            <w:tcW w:w="487" w:type="pct"/>
            <w:shd w:val="clear" w:color="auto" w:fill="auto"/>
            <w:noWrap/>
            <w:vAlign w:val="center"/>
            <w:hideMark/>
          </w:tcPr>
          <w:p w14:paraId="0097B48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2.747.006,07</w:t>
            </w:r>
          </w:p>
        </w:tc>
        <w:tc>
          <w:tcPr>
            <w:tcW w:w="337" w:type="pct"/>
            <w:shd w:val="clear" w:color="auto" w:fill="auto"/>
            <w:noWrap/>
            <w:vAlign w:val="center"/>
            <w:hideMark/>
          </w:tcPr>
          <w:p w14:paraId="56F5274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148</w:t>
            </w:r>
          </w:p>
        </w:tc>
        <w:tc>
          <w:tcPr>
            <w:tcW w:w="393" w:type="pct"/>
            <w:shd w:val="clear" w:color="auto" w:fill="auto"/>
            <w:noWrap/>
            <w:vAlign w:val="center"/>
            <w:hideMark/>
          </w:tcPr>
          <w:p w14:paraId="15F0F49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18.539,97</w:t>
            </w:r>
          </w:p>
        </w:tc>
        <w:tc>
          <w:tcPr>
            <w:tcW w:w="471" w:type="pct"/>
            <w:vAlign w:val="center"/>
          </w:tcPr>
          <w:p w14:paraId="57E4E8DA" w14:textId="77777777" w:rsidR="006356F1" w:rsidRPr="00C0505A" w:rsidRDefault="006356F1" w:rsidP="00217400">
            <w:pPr>
              <w:jc w:val="right"/>
              <w:rPr>
                <w:rFonts w:asciiTheme="minorHAnsi" w:hAnsiTheme="minorHAnsi" w:cstheme="minorHAnsi"/>
                <w:bCs/>
                <w:color w:val="000000"/>
                <w:sz w:val="24"/>
                <w:szCs w:val="16"/>
              </w:rPr>
            </w:pPr>
            <w:r w:rsidRPr="00C0505A">
              <w:rPr>
                <w:rFonts w:asciiTheme="minorHAnsi" w:hAnsiTheme="minorHAnsi" w:cstheme="minorHAnsi"/>
                <w:bCs/>
                <w:color w:val="000000"/>
                <w:sz w:val="24"/>
                <w:szCs w:val="16"/>
              </w:rPr>
              <w:t>1.426,15</w:t>
            </w:r>
          </w:p>
        </w:tc>
      </w:tr>
      <w:tr w:rsidR="006356F1" w:rsidRPr="00C0505A" w14:paraId="0D2EE26B" w14:textId="77777777" w:rsidTr="00217400">
        <w:trPr>
          <w:trHeight w:val="227"/>
        </w:trPr>
        <w:tc>
          <w:tcPr>
            <w:tcW w:w="1722" w:type="pct"/>
            <w:tcBorders>
              <w:bottom w:val="single" w:sz="4" w:space="0" w:color="auto"/>
            </w:tcBorders>
            <w:shd w:val="clear" w:color="auto" w:fill="auto"/>
            <w:noWrap/>
            <w:vAlign w:val="center"/>
            <w:hideMark/>
          </w:tcPr>
          <w:p w14:paraId="55800DA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Recuperação de sucatas de alumínio</w:t>
            </w:r>
          </w:p>
        </w:tc>
        <w:tc>
          <w:tcPr>
            <w:tcW w:w="531" w:type="pct"/>
            <w:tcBorders>
              <w:bottom w:val="single" w:sz="4" w:space="0" w:color="auto"/>
            </w:tcBorders>
            <w:shd w:val="clear" w:color="auto" w:fill="auto"/>
            <w:noWrap/>
            <w:vAlign w:val="center"/>
            <w:hideMark/>
          </w:tcPr>
          <w:p w14:paraId="2C98282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10.848.979,76</w:t>
            </w:r>
          </w:p>
        </w:tc>
        <w:tc>
          <w:tcPr>
            <w:tcW w:w="531" w:type="pct"/>
            <w:tcBorders>
              <w:bottom w:val="single" w:sz="4" w:space="0" w:color="auto"/>
            </w:tcBorders>
            <w:shd w:val="clear" w:color="auto" w:fill="auto"/>
            <w:noWrap/>
            <w:vAlign w:val="center"/>
            <w:hideMark/>
          </w:tcPr>
          <w:p w14:paraId="6448C591"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56D0395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1.415.455,45</w:t>
            </w:r>
          </w:p>
        </w:tc>
        <w:tc>
          <w:tcPr>
            <w:tcW w:w="487" w:type="pct"/>
            <w:tcBorders>
              <w:bottom w:val="single" w:sz="4" w:space="0" w:color="auto"/>
            </w:tcBorders>
            <w:shd w:val="clear" w:color="auto" w:fill="auto"/>
            <w:noWrap/>
            <w:vAlign w:val="center"/>
            <w:hideMark/>
          </w:tcPr>
          <w:p w14:paraId="0D35C85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9.433.524,31</w:t>
            </w:r>
          </w:p>
        </w:tc>
        <w:tc>
          <w:tcPr>
            <w:tcW w:w="337" w:type="pct"/>
            <w:tcBorders>
              <w:bottom w:val="single" w:sz="4" w:space="0" w:color="auto"/>
            </w:tcBorders>
            <w:shd w:val="clear" w:color="auto" w:fill="auto"/>
            <w:noWrap/>
            <w:vAlign w:val="center"/>
            <w:hideMark/>
          </w:tcPr>
          <w:p w14:paraId="6354128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207</w:t>
            </w:r>
          </w:p>
        </w:tc>
        <w:tc>
          <w:tcPr>
            <w:tcW w:w="393" w:type="pct"/>
            <w:tcBorders>
              <w:bottom w:val="single" w:sz="4" w:space="0" w:color="auto"/>
            </w:tcBorders>
            <w:shd w:val="clear" w:color="auto" w:fill="auto"/>
            <w:noWrap/>
            <w:vAlign w:val="center"/>
            <w:hideMark/>
          </w:tcPr>
          <w:p w14:paraId="2B581CE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45.499,31</w:t>
            </w:r>
          </w:p>
        </w:tc>
        <w:tc>
          <w:tcPr>
            <w:tcW w:w="471" w:type="pct"/>
            <w:tcBorders>
              <w:bottom w:val="single" w:sz="4" w:space="0" w:color="auto"/>
            </w:tcBorders>
            <w:vAlign w:val="center"/>
          </w:tcPr>
          <w:p w14:paraId="6E59FC3F" w14:textId="77777777" w:rsidR="006356F1" w:rsidRPr="00C0505A" w:rsidRDefault="006356F1" w:rsidP="00217400">
            <w:pPr>
              <w:jc w:val="right"/>
              <w:rPr>
                <w:rFonts w:asciiTheme="minorHAnsi" w:hAnsiTheme="minorHAnsi" w:cstheme="minorHAnsi"/>
                <w:bCs/>
                <w:color w:val="000000"/>
                <w:sz w:val="24"/>
                <w:szCs w:val="16"/>
              </w:rPr>
            </w:pPr>
            <w:r w:rsidRPr="00C0505A">
              <w:rPr>
                <w:rFonts w:asciiTheme="minorHAnsi" w:hAnsiTheme="minorHAnsi" w:cstheme="minorHAnsi"/>
                <w:bCs/>
                <w:color w:val="000000"/>
                <w:sz w:val="24"/>
                <w:szCs w:val="16"/>
              </w:rPr>
              <w:t>3.499,95</w:t>
            </w:r>
          </w:p>
        </w:tc>
      </w:tr>
      <w:tr w:rsidR="006356F1" w:rsidRPr="00C0505A" w14:paraId="12936DAA" w14:textId="77777777" w:rsidTr="00217400">
        <w:trPr>
          <w:trHeight w:val="227"/>
        </w:trPr>
        <w:tc>
          <w:tcPr>
            <w:tcW w:w="1722" w:type="pct"/>
            <w:tcBorders>
              <w:top w:val="single" w:sz="4" w:space="0" w:color="auto"/>
              <w:bottom w:val="nil"/>
            </w:tcBorders>
            <w:shd w:val="clear" w:color="auto" w:fill="auto"/>
            <w:noWrap/>
            <w:vAlign w:val="center"/>
            <w:hideMark/>
          </w:tcPr>
          <w:p w14:paraId="5AB0DB24"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COMÉRCIO POR ATACADO, EXCETO VEÍCULOS AUTOMOTORES E MOTOCICLETAS</w:t>
            </w:r>
          </w:p>
        </w:tc>
        <w:tc>
          <w:tcPr>
            <w:tcW w:w="531" w:type="pct"/>
            <w:tcBorders>
              <w:top w:val="single" w:sz="4" w:space="0" w:color="auto"/>
              <w:bottom w:val="nil"/>
            </w:tcBorders>
            <w:shd w:val="clear" w:color="auto" w:fill="auto"/>
            <w:noWrap/>
            <w:vAlign w:val="center"/>
            <w:hideMark/>
          </w:tcPr>
          <w:p w14:paraId="4DD3DDBA"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18.744.957,51</w:t>
            </w:r>
          </w:p>
        </w:tc>
        <w:tc>
          <w:tcPr>
            <w:tcW w:w="531" w:type="pct"/>
            <w:tcBorders>
              <w:top w:val="single" w:sz="4" w:space="0" w:color="auto"/>
              <w:bottom w:val="nil"/>
            </w:tcBorders>
            <w:shd w:val="clear" w:color="auto" w:fill="auto"/>
            <w:noWrap/>
            <w:vAlign w:val="center"/>
            <w:hideMark/>
          </w:tcPr>
          <w:p w14:paraId="53EE06C1"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6D86005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3.708.870,07</w:t>
            </w:r>
          </w:p>
        </w:tc>
        <w:tc>
          <w:tcPr>
            <w:tcW w:w="487" w:type="pct"/>
            <w:tcBorders>
              <w:top w:val="single" w:sz="4" w:space="0" w:color="auto"/>
              <w:bottom w:val="nil"/>
            </w:tcBorders>
            <w:shd w:val="clear" w:color="auto" w:fill="auto"/>
            <w:noWrap/>
            <w:vAlign w:val="center"/>
            <w:hideMark/>
          </w:tcPr>
          <w:p w14:paraId="48C6F3F9"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15.036.087,44</w:t>
            </w:r>
          </w:p>
        </w:tc>
        <w:tc>
          <w:tcPr>
            <w:tcW w:w="337" w:type="pct"/>
            <w:tcBorders>
              <w:top w:val="single" w:sz="4" w:space="0" w:color="auto"/>
              <w:bottom w:val="nil"/>
            </w:tcBorders>
            <w:shd w:val="clear" w:color="auto" w:fill="auto"/>
            <w:noWrap/>
            <w:vAlign w:val="center"/>
            <w:hideMark/>
          </w:tcPr>
          <w:p w14:paraId="138A7B7D"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586</w:t>
            </w:r>
          </w:p>
        </w:tc>
        <w:tc>
          <w:tcPr>
            <w:tcW w:w="393" w:type="pct"/>
            <w:tcBorders>
              <w:top w:val="single" w:sz="4" w:space="0" w:color="auto"/>
              <w:bottom w:val="nil"/>
            </w:tcBorders>
            <w:shd w:val="clear" w:color="auto" w:fill="auto"/>
            <w:noWrap/>
            <w:vAlign w:val="center"/>
            <w:hideMark/>
          </w:tcPr>
          <w:p w14:paraId="42B030B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25.657,23</w:t>
            </w:r>
          </w:p>
        </w:tc>
        <w:tc>
          <w:tcPr>
            <w:tcW w:w="471" w:type="pct"/>
            <w:tcBorders>
              <w:top w:val="single" w:sz="4" w:space="0" w:color="auto"/>
              <w:bottom w:val="nil"/>
            </w:tcBorders>
            <w:vAlign w:val="center"/>
          </w:tcPr>
          <w:p w14:paraId="7C48DEAC"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1.973,63</w:t>
            </w:r>
          </w:p>
        </w:tc>
      </w:tr>
      <w:tr w:rsidR="006356F1" w:rsidRPr="00C0505A" w14:paraId="7A5C48CA" w14:textId="77777777" w:rsidTr="00217400">
        <w:trPr>
          <w:trHeight w:val="227"/>
        </w:trPr>
        <w:tc>
          <w:tcPr>
            <w:tcW w:w="1722" w:type="pct"/>
            <w:tcBorders>
              <w:top w:val="nil"/>
            </w:tcBorders>
            <w:shd w:val="clear" w:color="auto" w:fill="auto"/>
            <w:noWrap/>
            <w:vAlign w:val="center"/>
            <w:hideMark/>
          </w:tcPr>
          <w:p w14:paraId="3CE2CBEE"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Comércio atacadista de aparelhos eletrônicos de uso pessoal e doméstico</w:t>
            </w:r>
          </w:p>
        </w:tc>
        <w:tc>
          <w:tcPr>
            <w:tcW w:w="531" w:type="pct"/>
            <w:tcBorders>
              <w:top w:val="nil"/>
            </w:tcBorders>
            <w:shd w:val="clear" w:color="auto" w:fill="auto"/>
            <w:noWrap/>
            <w:vAlign w:val="center"/>
            <w:hideMark/>
          </w:tcPr>
          <w:p w14:paraId="63B633A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8.343.580,99</w:t>
            </w:r>
          </w:p>
        </w:tc>
        <w:tc>
          <w:tcPr>
            <w:tcW w:w="531" w:type="pct"/>
            <w:tcBorders>
              <w:top w:val="nil"/>
            </w:tcBorders>
            <w:shd w:val="clear" w:color="auto" w:fill="auto"/>
            <w:noWrap/>
            <w:vAlign w:val="center"/>
            <w:hideMark/>
          </w:tcPr>
          <w:p w14:paraId="5FE7EDAC"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5F95CA2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428.881,26</w:t>
            </w:r>
          </w:p>
        </w:tc>
        <w:tc>
          <w:tcPr>
            <w:tcW w:w="487" w:type="pct"/>
            <w:tcBorders>
              <w:top w:val="nil"/>
            </w:tcBorders>
            <w:shd w:val="clear" w:color="auto" w:fill="auto"/>
            <w:noWrap/>
            <w:vAlign w:val="center"/>
            <w:hideMark/>
          </w:tcPr>
          <w:p w14:paraId="107A39B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7.914.699,73</w:t>
            </w:r>
          </w:p>
        </w:tc>
        <w:tc>
          <w:tcPr>
            <w:tcW w:w="337" w:type="pct"/>
            <w:tcBorders>
              <w:top w:val="nil"/>
            </w:tcBorders>
            <w:shd w:val="clear" w:color="auto" w:fill="auto"/>
            <w:noWrap/>
            <w:vAlign w:val="center"/>
            <w:hideMark/>
          </w:tcPr>
          <w:p w14:paraId="3C05677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197</w:t>
            </w:r>
          </w:p>
        </w:tc>
        <w:tc>
          <w:tcPr>
            <w:tcW w:w="393" w:type="pct"/>
            <w:tcBorders>
              <w:top w:val="nil"/>
            </w:tcBorders>
            <w:shd w:val="clear" w:color="auto" w:fill="auto"/>
            <w:noWrap/>
            <w:vAlign w:val="center"/>
            <w:hideMark/>
          </w:tcPr>
          <w:p w14:paraId="365E2FD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40.202,59</w:t>
            </w:r>
          </w:p>
        </w:tc>
        <w:tc>
          <w:tcPr>
            <w:tcW w:w="471" w:type="pct"/>
            <w:tcBorders>
              <w:top w:val="nil"/>
            </w:tcBorders>
            <w:vAlign w:val="bottom"/>
          </w:tcPr>
          <w:p w14:paraId="565E4A7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3.092,51</w:t>
            </w:r>
          </w:p>
        </w:tc>
      </w:tr>
      <w:tr w:rsidR="006356F1" w:rsidRPr="00C0505A" w14:paraId="619EB204" w14:textId="77777777" w:rsidTr="00217400">
        <w:trPr>
          <w:trHeight w:val="227"/>
        </w:trPr>
        <w:tc>
          <w:tcPr>
            <w:tcW w:w="1722" w:type="pct"/>
            <w:shd w:val="clear" w:color="auto" w:fill="auto"/>
            <w:noWrap/>
            <w:vAlign w:val="center"/>
            <w:hideMark/>
          </w:tcPr>
          <w:p w14:paraId="4161741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Comércio atacadista de combustíveis de origem vegetal, exceto álcool carburante</w:t>
            </w:r>
          </w:p>
        </w:tc>
        <w:tc>
          <w:tcPr>
            <w:tcW w:w="531" w:type="pct"/>
            <w:shd w:val="clear" w:color="auto" w:fill="auto"/>
            <w:noWrap/>
            <w:vAlign w:val="center"/>
            <w:hideMark/>
          </w:tcPr>
          <w:p w14:paraId="52AFFA1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238.117,21</w:t>
            </w:r>
          </w:p>
        </w:tc>
        <w:tc>
          <w:tcPr>
            <w:tcW w:w="531" w:type="pct"/>
            <w:shd w:val="clear" w:color="auto" w:fill="auto"/>
            <w:noWrap/>
            <w:vAlign w:val="center"/>
            <w:hideMark/>
          </w:tcPr>
          <w:p w14:paraId="441911E0"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10CFA4F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27.836,04</w:t>
            </w:r>
          </w:p>
        </w:tc>
        <w:tc>
          <w:tcPr>
            <w:tcW w:w="487" w:type="pct"/>
            <w:shd w:val="clear" w:color="auto" w:fill="auto"/>
            <w:noWrap/>
            <w:vAlign w:val="center"/>
            <w:hideMark/>
          </w:tcPr>
          <w:p w14:paraId="08F7F1A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210.281,17</w:t>
            </w:r>
          </w:p>
        </w:tc>
        <w:tc>
          <w:tcPr>
            <w:tcW w:w="337" w:type="pct"/>
            <w:shd w:val="clear" w:color="auto" w:fill="auto"/>
            <w:noWrap/>
            <w:vAlign w:val="center"/>
            <w:hideMark/>
          </w:tcPr>
          <w:p w14:paraId="2AFEFC7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w:t>
            </w:r>
          </w:p>
        </w:tc>
        <w:tc>
          <w:tcPr>
            <w:tcW w:w="393" w:type="pct"/>
            <w:shd w:val="clear" w:color="auto" w:fill="auto"/>
            <w:noWrap/>
            <w:vAlign w:val="center"/>
            <w:hideMark/>
          </w:tcPr>
          <w:p w14:paraId="13286F2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15.020,08</w:t>
            </w:r>
          </w:p>
        </w:tc>
        <w:tc>
          <w:tcPr>
            <w:tcW w:w="471" w:type="pct"/>
            <w:vAlign w:val="bottom"/>
          </w:tcPr>
          <w:p w14:paraId="113CB95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1.155,39</w:t>
            </w:r>
          </w:p>
        </w:tc>
      </w:tr>
      <w:tr w:rsidR="006356F1" w:rsidRPr="00C0505A" w14:paraId="19061675" w14:textId="77777777" w:rsidTr="00217400">
        <w:trPr>
          <w:trHeight w:val="227"/>
        </w:trPr>
        <w:tc>
          <w:tcPr>
            <w:tcW w:w="1722" w:type="pct"/>
            <w:shd w:val="clear" w:color="auto" w:fill="auto"/>
            <w:noWrap/>
            <w:vAlign w:val="center"/>
            <w:hideMark/>
          </w:tcPr>
          <w:p w14:paraId="20202FE0"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Comércio atacadista de equipamentos de informática</w:t>
            </w:r>
          </w:p>
        </w:tc>
        <w:tc>
          <w:tcPr>
            <w:tcW w:w="531" w:type="pct"/>
            <w:shd w:val="clear" w:color="auto" w:fill="auto"/>
            <w:noWrap/>
            <w:vAlign w:val="center"/>
            <w:hideMark/>
          </w:tcPr>
          <w:p w14:paraId="0DD977D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867.916,05</w:t>
            </w:r>
          </w:p>
        </w:tc>
        <w:tc>
          <w:tcPr>
            <w:tcW w:w="531" w:type="pct"/>
            <w:shd w:val="clear" w:color="auto" w:fill="auto"/>
            <w:noWrap/>
            <w:vAlign w:val="center"/>
            <w:hideMark/>
          </w:tcPr>
          <w:p w14:paraId="6AD780A5"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686F185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231.094,07</w:t>
            </w:r>
          </w:p>
        </w:tc>
        <w:tc>
          <w:tcPr>
            <w:tcW w:w="487" w:type="pct"/>
            <w:shd w:val="clear" w:color="auto" w:fill="auto"/>
            <w:noWrap/>
            <w:vAlign w:val="center"/>
            <w:hideMark/>
          </w:tcPr>
          <w:p w14:paraId="0906097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636.821,98</w:t>
            </w:r>
          </w:p>
        </w:tc>
        <w:tc>
          <w:tcPr>
            <w:tcW w:w="337" w:type="pct"/>
            <w:shd w:val="clear" w:color="auto" w:fill="auto"/>
            <w:noWrap/>
            <w:vAlign w:val="center"/>
            <w:hideMark/>
          </w:tcPr>
          <w:p w14:paraId="47A4F83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w:t>
            </w:r>
          </w:p>
        </w:tc>
        <w:tc>
          <w:tcPr>
            <w:tcW w:w="393" w:type="pct"/>
            <w:shd w:val="clear" w:color="auto" w:fill="auto"/>
            <w:noWrap/>
            <w:vAlign w:val="center"/>
            <w:hideMark/>
          </w:tcPr>
          <w:p w14:paraId="1ED3FAE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57.028,83</w:t>
            </w:r>
          </w:p>
        </w:tc>
        <w:tc>
          <w:tcPr>
            <w:tcW w:w="471" w:type="pct"/>
            <w:vAlign w:val="bottom"/>
          </w:tcPr>
          <w:p w14:paraId="454C3E7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4.386,83</w:t>
            </w:r>
          </w:p>
        </w:tc>
      </w:tr>
      <w:tr w:rsidR="006356F1" w:rsidRPr="00C0505A" w14:paraId="61381BD3" w14:textId="77777777" w:rsidTr="00217400">
        <w:trPr>
          <w:trHeight w:val="227"/>
        </w:trPr>
        <w:tc>
          <w:tcPr>
            <w:tcW w:w="1722" w:type="pct"/>
            <w:shd w:val="clear" w:color="auto" w:fill="auto"/>
            <w:noWrap/>
            <w:vAlign w:val="center"/>
            <w:hideMark/>
          </w:tcPr>
          <w:p w14:paraId="1998403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Comércio atacadista de equipamentos elétricos de uso pessoal e doméstico</w:t>
            </w:r>
          </w:p>
        </w:tc>
        <w:tc>
          <w:tcPr>
            <w:tcW w:w="531" w:type="pct"/>
            <w:shd w:val="clear" w:color="auto" w:fill="auto"/>
            <w:noWrap/>
            <w:vAlign w:val="center"/>
            <w:hideMark/>
          </w:tcPr>
          <w:p w14:paraId="00E3B92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5.313.409,25</w:t>
            </w:r>
          </w:p>
        </w:tc>
        <w:tc>
          <w:tcPr>
            <w:tcW w:w="531" w:type="pct"/>
            <w:shd w:val="clear" w:color="auto" w:fill="auto"/>
            <w:noWrap/>
            <w:vAlign w:val="center"/>
            <w:hideMark/>
          </w:tcPr>
          <w:p w14:paraId="3B41B6E0"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6311765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1.431.108,66</w:t>
            </w:r>
          </w:p>
        </w:tc>
        <w:tc>
          <w:tcPr>
            <w:tcW w:w="487" w:type="pct"/>
            <w:shd w:val="clear" w:color="auto" w:fill="auto"/>
            <w:noWrap/>
            <w:vAlign w:val="center"/>
            <w:hideMark/>
          </w:tcPr>
          <w:p w14:paraId="2FF580B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3.882.300,59</w:t>
            </w:r>
          </w:p>
        </w:tc>
        <w:tc>
          <w:tcPr>
            <w:tcW w:w="337" w:type="pct"/>
            <w:shd w:val="clear" w:color="auto" w:fill="auto"/>
            <w:noWrap/>
            <w:vAlign w:val="center"/>
            <w:hideMark/>
          </w:tcPr>
          <w:p w14:paraId="785773D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139</w:t>
            </w:r>
          </w:p>
        </w:tc>
        <w:tc>
          <w:tcPr>
            <w:tcW w:w="393" w:type="pct"/>
            <w:shd w:val="clear" w:color="auto" w:fill="auto"/>
            <w:noWrap/>
            <w:vAlign w:val="center"/>
            <w:hideMark/>
          </w:tcPr>
          <w:p w14:paraId="4E0337D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27.880,08</w:t>
            </w:r>
          </w:p>
        </w:tc>
        <w:tc>
          <w:tcPr>
            <w:tcW w:w="471" w:type="pct"/>
            <w:vAlign w:val="bottom"/>
          </w:tcPr>
          <w:p w14:paraId="6C8263B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2.144,62</w:t>
            </w:r>
          </w:p>
        </w:tc>
      </w:tr>
      <w:tr w:rsidR="006356F1" w:rsidRPr="00C0505A" w14:paraId="189F3031" w14:textId="77777777" w:rsidTr="00217400">
        <w:trPr>
          <w:trHeight w:val="227"/>
        </w:trPr>
        <w:tc>
          <w:tcPr>
            <w:tcW w:w="1722" w:type="pct"/>
            <w:shd w:val="clear" w:color="auto" w:fill="auto"/>
            <w:noWrap/>
            <w:vAlign w:val="center"/>
            <w:hideMark/>
          </w:tcPr>
          <w:p w14:paraId="40905E45"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Comércio atacadista de medicamentos e drogas de uso humano</w:t>
            </w:r>
          </w:p>
        </w:tc>
        <w:tc>
          <w:tcPr>
            <w:tcW w:w="531" w:type="pct"/>
            <w:shd w:val="clear" w:color="auto" w:fill="auto"/>
            <w:noWrap/>
            <w:vAlign w:val="center"/>
            <w:hideMark/>
          </w:tcPr>
          <w:p w14:paraId="7D7D5720" w14:textId="77777777" w:rsidR="006356F1" w:rsidRPr="00C0505A" w:rsidRDefault="006356F1" w:rsidP="00217400">
            <w:pPr>
              <w:ind w:firstLineChars="100" w:firstLine="240"/>
              <w:jc w:val="right"/>
              <w:rPr>
                <w:rFonts w:asciiTheme="minorHAnsi" w:hAnsiTheme="minorHAnsi" w:cstheme="minorHAnsi"/>
                <w:color w:val="000000"/>
                <w:sz w:val="24"/>
                <w:szCs w:val="16"/>
              </w:rPr>
            </w:pPr>
          </w:p>
        </w:tc>
        <w:tc>
          <w:tcPr>
            <w:tcW w:w="531" w:type="pct"/>
            <w:shd w:val="clear" w:color="auto" w:fill="auto"/>
            <w:noWrap/>
            <w:vAlign w:val="center"/>
            <w:hideMark/>
          </w:tcPr>
          <w:p w14:paraId="4C847391" w14:textId="77777777" w:rsidR="006356F1" w:rsidRPr="00C0505A" w:rsidRDefault="006356F1" w:rsidP="00217400">
            <w:pPr>
              <w:jc w:val="right"/>
              <w:rPr>
                <w:rFonts w:asciiTheme="minorHAnsi" w:hAnsiTheme="minorHAnsi" w:cstheme="minorHAnsi"/>
                <w:sz w:val="24"/>
                <w:szCs w:val="16"/>
              </w:rPr>
            </w:pPr>
          </w:p>
        </w:tc>
        <w:tc>
          <w:tcPr>
            <w:tcW w:w="529" w:type="pct"/>
            <w:shd w:val="clear" w:color="auto" w:fill="auto"/>
            <w:noWrap/>
            <w:vAlign w:val="center"/>
            <w:hideMark/>
          </w:tcPr>
          <w:p w14:paraId="10524EC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1.033.107,62</w:t>
            </w:r>
          </w:p>
        </w:tc>
        <w:tc>
          <w:tcPr>
            <w:tcW w:w="487" w:type="pct"/>
            <w:shd w:val="clear" w:color="auto" w:fill="auto"/>
            <w:noWrap/>
            <w:vAlign w:val="center"/>
            <w:hideMark/>
          </w:tcPr>
          <w:p w14:paraId="40A4FE9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37" w:type="pct"/>
            <w:shd w:val="clear" w:color="auto" w:fill="auto"/>
            <w:noWrap/>
            <w:vAlign w:val="center"/>
            <w:hideMark/>
          </w:tcPr>
          <w:p w14:paraId="14C88A1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63</w:t>
            </w:r>
          </w:p>
        </w:tc>
        <w:tc>
          <w:tcPr>
            <w:tcW w:w="393" w:type="pct"/>
            <w:shd w:val="clear" w:color="auto" w:fill="auto"/>
            <w:noWrap/>
            <w:vAlign w:val="center"/>
            <w:hideMark/>
          </w:tcPr>
          <w:p w14:paraId="6C66E2B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vAlign w:val="bottom"/>
          </w:tcPr>
          <w:p w14:paraId="42141CB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r>
      <w:tr w:rsidR="006356F1" w:rsidRPr="00C0505A" w14:paraId="220CD368" w14:textId="77777777" w:rsidTr="00217400">
        <w:trPr>
          <w:trHeight w:val="227"/>
        </w:trPr>
        <w:tc>
          <w:tcPr>
            <w:tcW w:w="1722" w:type="pct"/>
            <w:shd w:val="clear" w:color="auto" w:fill="auto"/>
            <w:noWrap/>
            <w:vAlign w:val="center"/>
            <w:hideMark/>
          </w:tcPr>
          <w:p w14:paraId="2E087DC0"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Comércio atacadista de móveis e artigos de colchoaria</w:t>
            </w:r>
          </w:p>
        </w:tc>
        <w:tc>
          <w:tcPr>
            <w:tcW w:w="531" w:type="pct"/>
            <w:shd w:val="clear" w:color="auto" w:fill="auto"/>
            <w:noWrap/>
            <w:vAlign w:val="center"/>
            <w:hideMark/>
          </w:tcPr>
          <w:p w14:paraId="16CD003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1.726.075,40</w:t>
            </w:r>
          </w:p>
        </w:tc>
        <w:tc>
          <w:tcPr>
            <w:tcW w:w="531" w:type="pct"/>
            <w:shd w:val="clear" w:color="auto" w:fill="auto"/>
            <w:noWrap/>
            <w:vAlign w:val="center"/>
            <w:hideMark/>
          </w:tcPr>
          <w:p w14:paraId="518D6903"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390272A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87.515,92</w:t>
            </w:r>
          </w:p>
        </w:tc>
        <w:tc>
          <w:tcPr>
            <w:tcW w:w="487" w:type="pct"/>
            <w:shd w:val="clear" w:color="auto" w:fill="auto"/>
            <w:noWrap/>
            <w:vAlign w:val="center"/>
            <w:hideMark/>
          </w:tcPr>
          <w:p w14:paraId="2DF647D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1.638.559,48</w:t>
            </w:r>
          </w:p>
        </w:tc>
        <w:tc>
          <w:tcPr>
            <w:tcW w:w="337" w:type="pct"/>
            <w:shd w:val="clear" w:color="auto" w:fill="auto"/>
            <w:noWrap/>
            <w:vAlign w:val="center"/>
            <w:hideMark/>
          </w:tcPr>
          <w:p w14:paraId="5C2ED9A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29</w:t>
            </w:r>
          </w:p>
        </w:tc>
        <w:tc>
          <w:tcPr>
            <w:tcW w:w="393" w:type="pct"/>
            <w:shd w:val="clear" w:color="auto" w:fill="auto"/>
            <w:noWrap/>
            <w:vAlign w:val="center"/>
            <w:hideMark/>
          </w:tcPr>
          <w:p w14:paraId="0C60874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56.664,88</w:t>
            </w:r>
          </w:p>
        </w:tc>
        <w:tc>
          <w:tcPr>
            <w:tcW w:w="471" w:type="pct"/>
            <w:vAlign w:val="bottom"/>
          </w:tcPr>
          <w:p w14:paraId="6E327DB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4.358,84</w:t>
            </w:r>
          </w:p>
        </w:tc>
      </w:tr>
      <w:tr w:rsidR="006356F1" w:rsidRPr="00C0505A" w14:paraId="19F93842" w14:textId="77777777" w:rsidTr="00217400">
        <w:trPr>
          <w:trHeight w:val="227"/>
        </w:trPr>
        <w:tc>
          <w:tcPr>
            <w:tcW w:w="1722" w:type="pct"/>
            <w:shd w:val="clear" w:color="auto" w:fill="auto"/>
            <w:noWrap/>
            <w:vAlign w:val="center"/>
            <w:hideMark/>
          </w:tcPr>
          <w:p w14:paraId="61170A0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Comércio atacadista de pescados e frutos do mar</w:t>
            </w:r>
          </w:p>
        </w:tc>
        <w:tc>
          <w:tcPr>
            <w:tcW w:w="531" w:type="pct"/>
            <w:shd w:val="clear" w:color="auto" w:fill="auto"/>
            <w:noWrap/>
            <w:vAlign w:val="center"/>
            <w:hideMark/>
          </w:tcPr>
          <w:p w14:paraId="4BE8B92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179.822,79</w:t>
            </w:r>
          </w:p>
        </w:tc>
        <w:tc>
          <w:tcPr>
            <w:tcW w:w="531" w:type="pct"/>
            <w:shd w:val="clear" w:color="auto" w:fill="auto"/>
            <w:noWrap/>
            <w:vAlign w:val="center"/>
            <w:hideMark/>
          </w:tcPr>
          <w:p w14:paraId="3A143515"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344542A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28.267,38</w:t>
            </w:r>
          </w:p>
        </w:tc>
        <w:tc>
          <w:tcPr>
            <w:tcW w:w="487" w:type="pct"/>
            <w:shd w:val="clear" w:color="auto" w:fill="auto"/>
            <w:noWrap/>
            <w:vAlign w:val="center"/>
            <w:hideMark/>
          </w:tcPr>
          <w:p w14:paraId="601A698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151.555,41</w:t>
            </w:r>
          </w:p>
        </w:tc>
        <w:tc>
          <w:tcPr>
            <w:tcW w:w="337" w:type="pct"/>
            <w:shd w:val="clear" w:color="auto" w:fill="auto"/>
            <w:noWrap/>
            <w:vAlign w:val="center"/>
            <w:hideMark/>
          </w:tcPr>
          <w:p w14:paraId="704EC1E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w:t>
            </w:r>
          </w:p>
        </w:tc>
        <w:tc>
          <w:tcPr>
            <w:tcW w:w="393" w:type="pct"/>
            <w:shd w:val="clear" w:color="auto" w:fill="auto"/>
            <w:noWrap/>
            <w:vAlign w:val="center"/>
            <w:hideMark/>
          </w:tcPr>
          <w:p w14:paraId="187253D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4.171,25</w:t>
            </w:r>
          </w:p>
        </w:tc>
        <w:tc>
          <w:tcPr>
            <w:tcW w:w="471" w:type="pct"/>
            <w:vAlign w:val="bottom"/>
          </w:tcPr>
          <w:p w14:paraId="75069E7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320,87</w:t>
            </w:r>
          </w:p>
        </w:tc>
      </w:tr>
      <w:tr w:rsidR="006356F1" w:rsidRPr="00C0505A" w14:paraId="456EA707" w14:textId="77777777" w:rsidTr="00217400">
        <w:trPr>
          <w:trHeight w:val="227"/>
        </w:trPr>
        <w:tc>
          <w:tcPr>
            <w:tcW w:w="1722" w:type="pct"/>
            <w:shd w:val="clear" w:color="auto" w:fill="auto"/>
            <w:noWrap/>
            <w:vAlign w:val="center"/>
            <w:hideMark/>
          </w:tcPr>
          <w:p w14:paraId="08F00257"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Comércio atacadista de produtos alimentícios em geral, com atividade de fracionamento e acondicionamento associada</w:t>
            </w:r>
          </w:p>
        </w:tc>
        <w:tc>
          <w:tcPr>
            <w:tcW w:w="531" w:type="pct"/>
            <w:shd w:val="clear" w:color="auto" w:fill="auto"/>
            <w:noWrap/>
            <w:vAlign w:val="center"/>
            <w:hideMark/>
          </w:tcPr>
          <w:p w14:paraId="7A96663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391.594,80</w:t>
            </w:r>
          </w:p>
        </w:tc>
        <w:tc>
          <w:tcPr>
            <w:tcW w:w="531" w:type="pct"/>
            <w:shd w:val="clear" w:color="auto" w:fill="auto"/>
            <w:noWrap/>
            <w:vAlign w:val="center"/>
            <w:hideMark/>
          </w:tcPr>
          <w:p w14:paraId="76DC6F65"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01AA7C0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137.436,53</w:t>
            </w:r>
          </w:p>
        </w:tc>
        <w:tc>
          <w:tcPr>
            <w:tcW w:w="487" w:type="pct"/>
            <w:shd w:val="clear" w:color="auto" w:fill="auto"/>
            <w:noWrap/>
            <w:vAlign w:val="center"/>
            <w:hideMark/>
          </w:tcPr>
          <w:p w14:paraId="0465595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254.158,27</w:t>
            </w:r>
          </w:p>
        </w:tc>
        <w:tc>
          <w:tcPr>
            <w:tcW w:w="337" w:type="pct"/>
            <w:shd w:val="clear" w:color="auto" w:fill="auto"/>
            <w:noWrap/>
            <w:vAlign w:val="center"/>
            <w:hideMark/>
          </w:tcPr>
          <w:p w14:paraId="3F20F99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66</w:t>
            </w:r>
          </w:p>
        </w:tc>
        <w:tc>
          <w:tcPr>
            <w:tcW w:w="393" w:type="pct"/>
            <w:shd w:val="clear" w:color="auto" w:fill="auto"/>
            <w:noWrap/>
            <w:vAlign w:val="center"/>
            <w:hideMark/>
          </w:tcPr>
          <w:p w14:paraId="6F13A29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3.870,43</w:t>
            </w:r>
          </w:p>
        </w:tc>
        <w:tc>
          <w:tcPr>
            <w:tcW w:w="471" w:type="pct"/>
            <w:vAlign w:val="bottom"/>
          </w:tcPr>
          <w:p w14:paraId="5F511A6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297,73</w:t>
            </w:r>
          </w:p>
        </w:tc>
      </w:tr>
      <w:tr w:rsidR="006356F1" w:rsidRPr="00C0505A" w14:paraId="31E90B49" w14:textId="77777777" w:rsidTr="00217400">
        <w:trPr>
          <w:trHeight w:val="227"/>
        </w:trPr>
        <w:tc>
          <w:tcPr>
            <w:tcW w:w="1722" w:type="pct"/>
            <w:tcBorders>
              <w:bottom w:val="single" w:sz="4" w:space="0" w:color="auto"/>
            </w:tcBorders>
            <w:shd w:val="clear" w:color="auto" w:fill="auto"/>
            <w:noWrap/>
            <w:vAlign w:val="center"/>
            <w:hideMark/>
          </w:tcPr>
          <w:p w14:paraId="410A879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Comércio atacadista de produtos de higiene, limpeza e conservação domiciliar</w:t>
            </w:r>
          </w:p>
        </w:tc>
        <w:tc>
          <w:tcPr>
            <w:tcW w:w="531" w:type="pct"/>
            <w:tcBorders>
              <w:bottom w:val="single" w:sz="4" w:space="0" w:color="auto"/>
            </w:tcBorders>
            <w:shd w:val="clear" w:color="auto" w:fill="auto"/>
            <w:noWrap/>
            <w:vAlign w:val="center"/>
            <w:hideMark/>
          </w:tcPr>
          <w:p w14:paraId="4BFF9F3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1.684.441,02</w:t>
            </w:r>
          </w:p>
        </w:tc>
        <w:tc>
          <w:tcPr>
            <w:tcW w:w="531" w:type="pct"/>
            <w:tcBorders>
              <w:bottom w:val="single" w:sz="4" w:space="0" w:color="auto"/>
            </w:tcBorders>
            <w:shd w:val="clear" w:color="auto" w:fill="auto"/>
            <w:noWrap/>
            <w:vAlign w:val="center"/>
            <w:hideMark/>
          </w:tcPr>
          <w:p w14:paraId="288BDD25"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18AF97F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303.622,59</w:t>
            </w:r>
          </w:p>
        </w:tc>
        <w:tc>
          <w:tcPr>
            <w:tcW w:w="487" w:type="pct"/>
            <w:tcBorders>
              <w:bottom w:val="single" w:sz="4" w:space="0" w:color="auto"/>
            </w:tcBorders>
            <w:shd w:val="clear" w:color="auto" w:fill="auto"/>
            <w:noWrap/>
            <w:vAlign w:val="center"/>
            <w:hideMark/>
          </w:tcPr>
          <w:p w14:paraId="2365385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1.380.818,43</w:t>
            </w:r>
          </w:p>
        </w:tc>
        <w:tc>
          <w:tcPr>
            <w:tcW w:w="337" w:type="pct"/>
            <w:tcBorders>
              <w:bottom w:val="single" w:sz="4" w:space="0" w:color="auto"/>
            </w:tcBorders>
            <w:shd w:val="clear" w:color="auto" w:fill="auto"/>
            <w:noWrap/>
            <w:vAlign w:val="center"/>
            <w:hideMark/>
          </w:tcPr>
          <w:p w14:paraId="7D3047F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31</w:t>
            </w:r>
          </w:p>
        </w:tc>
        <w:tc>
          <w:tcPr>
            <w:tcW w:w="393" w:type="pct"/>
            <w:tcBorders>
              <w:bottom w:val="single" w:sz="4" w:space="0" w:color="auto"/>
            </w:tcBorders>
            <w:shd w:val="clear" w:color="auto" w:fill="auto"/>
            <w:noWrap/>
            <w:vAlign w:val="center"/>
            <w:hideMark/>
          </w:tcPr>
          <w:p w14:paraId="4046869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44.662,59</w:t>
            </w:r>
          </w:p>
        </w:tc>
        <w:tc>
          <w:tcPr>
            <w:tcW w:w="471" w:type="pct"/>
            <w:tcBorders>
              <w:bottom w:val="single" w:sz="4" w:space="0" w:color="auto"/>
            </w:tcBorders>
            <w:vAlign w:val="bottom"/>
          </w:tcPr>
          <w:p w14:paraId="6CA5DBA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3.435,58</w:t>
            </w:r>
          </w:p>
        </w:tc>
      </w:tr>
      <w:tr w:rsidR="006356F1" w:rsidRPr="00C0505A" w14:paraId="53A35320" w14:textId="77777777" w:rsidTr="00217400">
        <w:trPr>
          <w:trHeight w:val="227"/>
        </w:trPr>
        <w:tc>
          <w:tcPr>
            <w:tcW w:w="1722" w:type="pct"/>
            <w:tcBorders>
              <w:top w:val="single" w:sz="4" w:space="0" w:color="auto"/>
              <w:bottom w:val="nil"/>
            </w:tcBorders>
            <w:shd w:val="clear" w:color="auto" w:fill="auto"/>
            <w:noWrap/>
            <w:vAlign w:val="center"/>
            <w:hideMark/>
          </w:tcPr>
          <w:p w14:paraId="5462B32E"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COMÉRCIO VAREJISTA</w:t>
            </w:r>
          </w:p>
        </w:tc>
        <w:tc>
          <w:tcPr>
            <w:tcW w:w="531" w:type="pct"/>
            <w:tcBorders>
              <w:top w:val="single" w:sz="4" w:space="0" w:color="auto"/>
              <w:bottom w:val="nil"/>
            </w:tcBorders>
            <w:shd w:val="clear" w:color="auto" w:fill="auto"/>
            <w:noWrap/>
            <w:vAlign w:val="center"/>
            <w:hideMark/>
          </w:tcPr>
          <w:p w14:paraId="6980C65F"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31.807.347,53</w:t>
            </w:r>
          </w:p>
        </w:tc>
        <w:tc>
          <w:tcPr>
            <w:tcW w:w="531" w:type="pct"/>
            <w:tcBorders>
              <w:top w:val="single" w:sz="4" w:space="0" w:color="auto"/>
              <w:bottom w:val="nil"/>
            </w:tcBorders>
            <w:shd w:val="clear" w:color="auto" w:fill="auto"/>
            <w:noWrap/>
            <w:vAlign w:val="center"/>
            <w:hideMark/>
          </w:tcPr>
          <w:p w14:paraId="0C47227A"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20024E6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5.634.825,38</w:t>
            </w:r>
          </w:p>
        </w:tc>
        <w:tc>
          <w:tcPr>
            <w:tcW w:w="487" w:type="pct"/>
            <w:tcBorders>
              <w:top w:val="single" w:sz="4" w:space="0" w:color="auto"/>
              <w:bottom w:val="nil"/>
            </w:tcBorders>
            <w:shd w:val="clear" w:color="auto" w:fill="auto"/>
            <w:noWrap/>
            <w:vAlign w:val="center"/>
            <w:hideMark/>
          </w:tcPr>
          <w:p w14:paraId="1385B196"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26.172.522,15</w:t>
            </w:r>
          </w:p>
        </w:tc>
        <w:tc>
          <w:tcPr>
            <w:tcW w:w="337" w:type="pct"/>
            <w:tcBorders>
              <w:top w:val="single" w:sz="4" w:space="0" w:color="auto"/>
              <w:bottom w:val="nil"/>
            </w:tcBorders>
            <w:shd w:val="clear" w:color="auto" w:fill="auto"/>
            <w:noWrap/>
            <w:vAlign w:val="center"/>
            <w:hideMark/>
          </w:tcPr>
          <w:p w14:paraId="0AFA92E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297</w:t>
            </w:r>
          </w:p>
        </w:tc>
        <w:tc>
          <w:tcPr>
            <w:tcW w:w="393" w:type="pct"/>
            <w:tcBorders>
              <w:top w:val="single" w:sz="4" w:space="0" w:color="auto"/>
              <w:bottom w:val="nil"/>
            </w:tcBorders>
            <w:shd w:val="clear" w:color="auto" w:fill="auto"/>
            <w:noWrap/>
            <w:vAlign w:val="center"/>
            <w:hideMark/>
          </w:tcPr>
          <w:p w14:paraId="49E1448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87.999,51</w:t>
            </w:r>
          </w:p>
        </w:tc>
        <w:tc>
          <w:tcPr>
            <w:tcW w:w="471" w:type="pct"/>
            <w:tcBorders>
              <w:top w:val="single" w:sz="4" w:space="0" w:color="auto"/>
              <w:bottom w:val="nil"/>
            </w:tcBorders>
            <w:vAlign w:val="bottom"/>
          </w:tcPr>
          <w:p w14:paraId="620E24B6"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6.769,19</w:t>
            </w:r>
          </w:p>
        </w:tc>
      </w:tr>
      <w:tr w:rsidR="006356F1" w:rsidRPr="00C0505A" w14:paraId="711B7113" w14:textId="77777777" w:rsidTr="00217400">
        <w:trPr>
          <w:trHeight w:val="227"/>
        </w:trPr>
        <w:tc>
          <w:tcPr>
            <w:tcW w:w="1722" w:type="pct"/>
            <w:tcBorders>
              <w:top w:val="nil"/>
              <w:bottom w:val="single" w:sz="4" w:space="0" w:color="auto"/>
            </w:tcBorders>
            <w:shd w:val="clear" w:color="auto" w:fill="auto"/>
            <w:noWrap/>
            <w:vAlign w:val="center"/>
            <w:hideMark/>
          </w:tcPr>
          <w:p w14:paraId="3BB8D9E0"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Comércio varejista especializado de eletrodomésticos e equipamentos de áudio e vídeo</w:t>
            </w:r>
          </w:p>
        </w:tc>
        <w:tc>
          <w:tcPr>
            <w:tcW w:w="531" w:type="pct"/>
            <w:tcBorders>
              <w:top w:val="nil"/>
              <w:bottom w:val="single" w:sz="4" w:space="0" w:color="auto"/>
            </w:tcBorders>
            <w:shd w:val="clear" w:color="auto" w:fill="auto"/>
            <w:noWrap/>
            <w:vAlign w:val="center"/>
            <w:hideMark/>
          </w:tcPr>
          <w:p w14:paraId="3D8B4BC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31.807.347,53</w:t>
            </w:r>
          </w:p>
        </w:tc>
        <w:tc>
          <w:tcPr>
            <w:tcW w:w="531" w:type="pct"/>
            <w:tcBorders>
              <w:top w:val="nil"/>
              <w:bottom w:val="single" w:sz="4" w:space="0" w:color="auto"/>
            </w:tcBorders>
            <w:shd w:val="clear" w:color="auto" w:fill="auto"/>
            <w:noWrap/>
            <w:vAlign w:val="center"/>
            <w:hideMark/>
          </w:tcPr>
          <w:p w14:paraId="23E5FBBD"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bottom w:val="single" w:sz="4" w:space="0" w:color="auto"/>
            </w:tcBorders>
            <w:shd w:val="clear" w:color="auto" w:fill="auto"/>
            <w:noWrap/>
            <w:vAlign w:val="center"/>
            <w:hideMark/>
          </w:tcPr>
          <w:p w14:paraId="48F7463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5.634.825,38</w:t>
            </w:r>
          </w:p>
        </w:tc>
        <w:tc>
          <w:tcPr>
            <w:tcW w:w="487" w:type="pct"/>
            <w:tcBorders>
              <w:top w:val="nil"/>
              <w:bottom w:val="single" w:sz="4" w:space="0" w:color="auto"/>
            </w:tcBorders>
            <w:shd w:val="clear" w:color="auto" w:fill="auto"/>
            <w:noWrap/>
            <w:vAlign w:val="center"/>
            <w:hideMark/>
          </w:tcPr>
          <w:p w14:paraId="514DB3E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26.172.522,15</w:t>
            </w:r>
          </w:p>
        </w:tc>
        <w:tc>
          <w:tcPr>
            <w:tcW w:w="337" w:type="pct"/>
            <w:tcBorders>
              <w:top w:val="nil"/>
              <w:bottom w:val="single" w:sz="4" w:space="0" w:color="auto"/>
            </w:tcBorders>
            <w:shd w:val="clear" w:color="auto" w:fill="auto"/>
            <w:noWrap/>
            <w:vAlign w:val="center"/>
            <w:hideMark/>
          </w:tcPr>
          <w:p w14:paraId="2CFB6B6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297</w:t>
            </w:r>
          </w:p>
        </w:tc>
        <w:tc>
          <w:tcPr>
            <w:tcW w:w="393" w:type="pct"/>
            <w:tcBorders>
              <w:top w:val="nil"/>
              <w:bottom w:val="single" w:sz="4" w:space="0" w:color="auto"/>
            </w:tcBorders>
            <w:shd w:val="clear" w:color="auto" w:fill="auto"/>
            <w:noWrap/>
            <w:vAlign w:val="center"/>
            <w:hideMark/>
          </w:tcPr>
          <w:p w14:paraId="44550B8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87.999,51</w:t>
            </w:r>
          </w:p>
        </w:tc>
        <w:tc>
          <w:tcPr>
            <w:tcW w:w="471" w:type="pct"/>
            <w:tcBorders>
              <w:top w:val="nil"/>
              <w:bottom w:val="single" w:sz="4" w:space="0" w:color="auto"/>
            </w:tcBorders>
            <w:vAlign w:val="bottom"/>
          </w:tcPr>
          <w:p w14:paraId="0DA7956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6.769,19</w:t>
            </w:r>
          </w:p>
        </w:tc>
      </w:tr>
      <w:tr w:rsidR="006356F1" w:rsidRPr="00C0505A" w14:paraId="1C662CFB" w14:textId="77777777" w:rsidTr="00217400">
        <w:trPr>
          <w:trHeight w:val="227"/>
        </w:trPr>
        <w:tc>
          <w:tcPr>
            <w:tcW w:w="1722" w:type="pct"/>
            <w:tcBorders>
              <w:top w:val="single" w:sz="4" w:space="0" w:color="auto"/>
              <w:bottom w:val="nil"/>
            </w:tcBorders>
            <w:shd w:val="clear" w:color="auto" w:fill="auto"/>
            <w:noWrap/>
            <w:vAlign w:val="center"/>
            <w:hideMark/>
          </w:tcPr>
          <w:p w14:paraId="44CDCBE1"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CONFECÇÃO DE ARTIGOS DO VESTUÁRIO E ACESSÓRIOS</w:t>
            </w:r>
          </w:p>
        </w:tc>
        <w:tc>
          <w:tcPr>
            <w:tcW w:w="531" w:type="pct"/>
            <w:tcBorders>
              <w:top w:val="single" w:sz="4" w:space="0" w:color="auto"/>
              <w:bottom w:val="nil"/>
            </w:tcBorders>
            <w:shd w:val="clear" w:color="auto" w:fill="auto"/>
            <w:noWrap/>
            <w:vAlign w:val="center"/>
            <w:hideMark/>
          </w:tcPr>
          <w:p w14:paraId="261358D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3.965.032,01</w:t>
            </w:r>
          </w:p>
        </w:tc>
        <w:tc>
          <w:tcPr>
            <w:tcW w:w="531" w:type="pct"/>
            <w:tcBorders>
              <w:top w:val="single" w:sz="4" w:space="0" w:color="auto"/>
              <w:bottom w:val="nil"/>
            </w:tcBorders>
            <w:shd w:val="clear" w:color="auto" w:fill="auto"/>
            <w:noWrap/>
            <w:vAlign w:val="center"/>
            <w:hideMark/>
          </w:tcPr>
          <w:p w14:paraId="4F434136"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6229950C"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2.473.518,60</w:t>
            </w:r>
          </w:p>
        </w:tc>
        <w:tc>
          <w:tcPr>
            <w:tcW w:w="487" w:type="pct"/>
            <w:tcBorders>
              <w:top w:val="single" w:sz="4" w:space="0" w:color="auto"/>
              <w:bottom w:val="nil"/>
            </w:tcBorders>
            <w:shd w:val="clear" w:color="auto" w:fill="auto"/>
            <w:noWrap/>
            <w:vAlign w:val="center"/>
            <w:hideMark/>
          </w:tcPr>
          <w:p w14:paraId="7047E4CB"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1.491.513,41</w:t>
            </w:r>
          </w:p>
        </w:tc>
        <w:tc>
          <w:tcPr>
            <w:tcW w:w="337" w:type="pct"/>
            <w:tcBorders>
              <w:top w:val="single" w:sz="4" w:space="0" w:color="auto"/>
              <w:bottom w:val="nil"/>
            </w:tcBorders>
            <w:shd w:val="clear" w:color="auto" w:fill="auto"/>
            <w:noWrap/>
            <w:vAlign w:val="center"/>
            <w:hideMark/>
          </w:tcPr>
          <w:p w14:paraId="11212E1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970</w:t>
            </w:r>
          </w:p>
        </w:tc>
        <w:tc>
          <w:tcPr>
            <w:tcW w:w="393" w:type="pct"/>
            <w:tcBorders>
              <w:top w:val="single" w:sz="4" w:space="0" w:color="auto"/>
              <w:bottom w:val="nil"/>
            </w:tcBorders>
            <w:shd w:val="clear" w:color="auto" w:fill="auto"/>
            <w:noWrap/>
            <w:vAlign w:val="center"/>
            <w:hideMark/>
          </w:tcPr>
          <w:p w14:paraId="40F2FDC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1.537,25</w:t>
            </w:r>
          </w:p>
        </w:tc>
        <w:tc>
          <w:tcPr>
            <w:tcW w:w="471" w:type="pct"/>
            <w:tcBorders>
              <w:top w:val="single" w:sz="4" w:space="0" w:color="auto"/>
              <w:bottom w:val="nil"/>
            </w:tcBorders>
            <w:vAlign w:val="bottom"/>
          </w:tcPr>
          <w:p w14:paraId="44FF978F"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118,25</w:t>
            </w:r>
          </w:p>
        </w:tc>
      </w:tr>
      <w:tr w:rsidR="006356F1" w:rsidRPr="00C0505A" w14:paraId="4D97E1F7" w14:textId="77777777" w:rsidTr="00217400">
        <w:trPr>
          <w:trHeight w:val="227"/>
        </w:trPr>
        <w:tc>
          <w:tcPr>
            <w:tcW w:w="1722" w:type="pct"/>
            <w:tcBorders>
              <w:top w:val="nil"/>
            </w:tcBorders>
            <w:shd w:val="clear" w:color="auto" w:fill="auto"/>
            <w:noWrap/>
            <w:vAlign w:val="center"/>
            <w:hideMark/>
          </w:tcPr>
          <w:p w14:paraId="16D85F7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Confecção de peças do vestuário, exceto roupas íntimas e as confeccionadas sob medida</w:t>
            </w:r>
          </w:p>
        </w:tc>
        <w:tc>
          <w:tcPr>
            <w:tcW w:w="531" w:type="pct"/>
            <w:tcBorders>
              <w:top w:val="nil"/>
            </w:tcBorders>
            <w:shd w:val="clear" w:color="auto" w:fill="auto"/>
            <w:noWrap/>
            <w:vAlign w:val="center"/>
            <w:hideMark/>
          </w:tcPr>
          <w:p w14:paraId="05D3409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2.913.585,31</w:t>
            </w:r>
          </w:p>
        </w:tc>
        <w:tc>
          <w:tcPr>
            <w:tcW w:w="531" w:type="pct"/>
            <w:tcBorders>
              <w:top w:val="nil"/>
            </w:tcBorders>
            <w:shd w:val="clear" w:color="auto" w:fill="auto"/>
            <w:noWrap/>
            <w:vAlign w:val="center"/>
            <w:hideMark/>
          </w:tcPr>
          <w:p w14:paraId="14625520"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1B6865C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1.419.729,28</w:t>
            </w:r>
          </w:p>
        </w:tc>
        <w:tc>
          <w:tcPr>
            <w:tcW w:w="487" w:type="pct"/>
            <w:tcBorders>
              <w:top w:val="nil"/>
            </w:tcBorders>
            <w:shd w:val="clear" w:color="auto" w:fill="auto"/>
            <w:noWrap/>
            <w:vAlign w:val="center"/>
            <w:hideMark/>
          </w:tcPr>
          <w:p w14:paraId="0F160D4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1.493.856,03</w:t>
            </w:r>
          </w:p>
        </w:tc>
        <w:tc>
          <w:tcPr>
            <w:tcW w:w="337" w:type="pct"/>
            <w:tcBorders>
              <w:top w:val="nil"/>
            </w:tcBorders>
            <w:shd w:val="clear" w:color="auto" w:fill="auto"/>
            <w:noWrap/>
            <w:vAlign w:val="center"/>
            <w:hideMark/>
          </w:tcPr>
          <w:p w14:paraId="5C08A2F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391</w:t>
            </w:r>
          </w:p>
        </w:tc>
        <w:tc>
          <w:tcPr>
            <w:tcW w:w="393" w:type="pct"/>
            <w:tcBorders>
              <w:top w:val="nil"/>
            </w:tcBorders>
            <w:shd w:val="clear" w:color="auto" w:fill="auto"/>
            <w:noWrap/>
            <w:vAlign w:val="center"/>
            <w:hideMark/>
          </w:tcPr>
          <w:p w14:paraId="52613B8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3.819,79</w:t>
            </w:r>
          </w:p>
        </w:tc>
        <w:tc>
          <w:tcPr>
            <w:tcW w:w="471" w:type="pct"/>
            <w:tcBorders>
              <w:top w:val="nil"/>
            </w:tcBorders>
            <w:vAlign w:val="bottom"/>
          </w:tcPr>
          <w:p w14:paraId="773529F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293,83</w:t>
            </w:r>
          </w:p>
        </w:tc>
      </w:tr>
      <w:tr w:rsidR="006356F1" w:rsidRPr="00C0505A" w14:paraId="5A015CA0" w14:textId="77777777" w:rsidTr="00217400">
        <w:trPr>
          <w:trHeight w:val="227"/>
        </w:trPr>
        <w:tc>
          <w:tcPr>
            <w:tcW w:w="1722" w:type="pct"/>
            <w:tcBorders>
              <w:bottom w:val="single" w:sz="4" w:space="0" w:color="auto"/>
            </w:tcBorders>
            <w:shd w:val="clear" w:color="auto" w:fill="auto"/>
            <w:noWrap/>
            <w:vAlign w:val="center"/>
            <w:hideMark/>
          </w:tcPr>
          <w:p w14:paraId="56C496AC"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artigos do vestuário, produzidos em malharias e tricotagens, exceto meias</w:t>
            </w:r>
          </w:p>
        </w:tc>
        <w:tc>
          <w:tcPr>
            <w:tcW w:w="531" w:type="pct"/>
            <w:tcBorders>
              <w:bottom w:val="single" w:sz="4" w:space="0" w:color="auto"/>
            </w:tcBorders>
            <w:shd w:val="clear" w:color="auto" w:fill="auto"/>
            <w:noWrap/>
            <w:vAlign w:val="center"/>
            <w:hideMark/>
          </w:tcPr>
          <w:p w14:paraId="4ED52B6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1.051.446,70</w:t>
            </w:r>
          </w:p>
        </w:tc>
        <w:tc>
          <w:tcPr>
            <w:tcW w:w="531" w:type="pct"/>
            <w:tcBorders>
              <w:bottom w:val="single" w:sz="4" w:space="0" w:color="auto"/>
            </w:tcBorders>
            <w:shd w:val="clear" w:color="auto" w:fill="auto"/>
            <w:noWrap/>
            <w:vAlign w:val="center"/>
            <w:hideMark/>
          </w:tcPr>
          <w:p w14:paraId="62F03131"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339C05E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1.053.789,32</w:t>
            </w:r>
          </w:p>
        </w:tc>
        <w:tc>
          <w:tcPr>
            <w:tcW w:w="487" w:type="pct"/>
            <w:tcBorders>
              <w:bottom w:val="single" w:sz="4" w:space="0" w:color="auto"/>
            </w:tcBorders>
            <w:shd w:val="clear" w:color="auto" w:fill="auto"/>
            <w:noWrap/>
            <w:vAlign w:val="center"/>
            <w:hideMark/>
          </w:tcPr>
          <w:p w14:paraId="039B7EB6" w14:textId="77777777" w:rsidR="006356F1" w:rsidRPr="00C0505A" w:rsidRDefault="006356F1" w:rsidP="00217400">
            <w:pPr>
              <w:jc w:val="right"/>
              <w:rPr>
                <w:rFonts w:asciiTheme="minorHAnsi" w:hAnsiTheme="minorHAnsi" w:cstheme="minorHAnsi"/>
                <w:color w:val="000000"/>
                <w:sz w:val="24"/>
                <w:szCs w:val="16"/>
              </w:rPr>
            </w:pPr>
          </w:p>
        </w:tc>
        <w:tc>
          <w:tcPr>
            <w:tcW w:w="337" w:type="pct"/>
            <w:tcBorders>
              <w:bottom w:val="single" w:sz="4" w:space="0" w:color="auto"/>
            </w:tcBorders>
            <w:shd w:val="clear" w:color="auto" w:fill="auto"/>
            <w:noWrap/>
            <w:vAlign w:val="center"/>
            <w:hideMark/>
          </w:tcPr>
          <w:p w14:paraId="7F58AF0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579</w:t>
            </w:r>
          </w:p>
        </w:tc>
        <w:tc>
          <w:tcPr>
            <w:tcW w:w="393" w:type="pct"/>
            <w:tcBorders>
              <w:bottom w:val="single" w:sz="4" w:space="0" w:color="auto"/>
            </w:tcBorders>
            <w:shd w:val="clear" w:color="auto" w:fill="auto"/>
            <w:noWrap/>
            <w:vAlign w:val="center"/>
            <w:hideMark/>
          </w:tcPr>
          <w:p w14:paraId="083FB87A" w14:textId="77777777" w:rsidR="006356F1" w:rsidRPr="00C0505A" w:rsidRDefault="006356F1" w:rsidP="00217400">
            <w:pPr>
              <w:jc w:val="right"/>
              <w:rPr>
                <w:rFonts w:asciiTheme="minorHAnsi" w:hAnsiTheme="minorHAnsi" w:cstheme="minorHAnsi"/>
                <w:color w:val="000000"/>
                <w:sz w:val="24"/>
                <w:szCs w:val="16"/>
              </w:rPr>
            </w:pPr>
          </w:p>
        </w:tc>
        <w:tc>
          <w:tcPr>
            <w:tcW w:w="471" w:type="pct"/>
            <w:tcBorders>
              <w:bottom w:val="single" w:sz="4" w:space="0" w:color="auto"/>
            </w:tcBorders>
            <w:vAlign w:val="bottom"/>
          </w:tcPr>
          <w:p w14:paraId="0F94C97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r>
      <w:tr w:rsidR="006356F1" w:rsidRPr="00C0505A" w14:paraId="3E48CF6C" w14:textId="77777777" w:rsidTr="00217400">
        <w:trPr>
          <w:trHeight w:val="227"/>
        </w:trPr>
        <w:tc>
          <w:tcPr>
            <w:tcW w:w="1722" w:type="pct"/>
            <w:tcBorders>
              <w:top w:val="single" w:sz="4" w:space="0" w:color="auto"/>
              <w:bottom w:val="nil"/>
            </w:tcBorders>
            <w:shd w:val="clear" w:color="auto" w:fill="auto"/>
            <w:noWrap/>
            <w:vAlign w:val="center"/>
            <w:hideMark/>
          </w:tcPr>
          <w:p w14:paraId="014B5F23"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EXTRAÇÃO DE MINERAIS METÁLICOS</w:t>
            </w:r>
          </w:p>
        </w:tc>
        <w:tc>
          <w:tcPr>
            <w:tcW w:w="531" w:type="pct"/>
            <w:tcBorders>
              <w:top w:val="single" w:sz="4" w:space="0" w:color="auto"/>
              <w:bottom w:val="nil"/>
            </w:tcBorders>
            <w:shd w:val="clear" w:color="auto" w:fill="auto"/>
            <w:noWrap/>
            <w:vAlign w:val="center"/>
            <w:hideMark/>
          </w:tcPr>
          <w:p w14:paraId="438D829A"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464.807,76</w:t>
            </w:r>
          </w:p>
        </w:tc>
        <w:tc>
          <w:tcPr>
            <w:tcW w:w="531" w:type="pct"/>
            <w:tcBorders>
              <w:top w:val="single" w:sz="4" w:space="0" w:color="auto"/>
              <w:bottom w:val="nil"/>
            </w:tcBorders>
            <w:shd w:val="clear" w:color="auto" w:fill="auto"/>
            <w:noWrap/>
            <w:vAlign w:val="center"/>
            <w:hideMark/>
          </w:tcPr>
          <w:p w14:paraId="26D83354"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4F35D33D"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185.490,94</w:t>
            </w:r>
          </w:p>
        </w:tc>
        <w:tc>
          <w:tcPr>
            <w:tcW w:w="487" w:type="pct"/>
            <w:tcBorders>
              <w:top w:val="single" w:sz="4" w:space="0" w:color="auto"/>
              <w:bottom w:val="nil"/>
            </w:tcBorders>
            <w:shd w:val="clear" w:color="auto" w:fill="auto"/>
            <w:noWrap/>
            <w:vAlign w:val="center"/>
            <w:hideMark/>
          </w:tcPr>
          <w:p w14:paraId="5EF5AE1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279.316,82</w:t>
            </w:r>
          </w:p>
        </w:tc>
        <w:tc>
          <w:tcPr>
            <w:tcW w:w="337" w:type="pct"/>
            <w:tcBorders>
              <w:top w:val="single" w:sz="4" w:space="0" w:color="auto"/>
              <w:bottom w:val="nil"/>
            </w:tcBorders>
            <w:shd w:val="clear" w:color="auto" w:fill="auto"/>
            <w:noWrap/>
            <w:vAlign w:val="center"/>
            <w:hideMark/>
          </w:tcPr>
          <w:p w14:paraId="12239307"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27</w:t>
            </w:r>
          </w:p>
        </w:tc>
        <w:tc>
          <w:tcPr>
            <w:tcW w:w="393" w:type="pct"/>
            <w:tcBorders>
              <w:top w:val="single" w:sz="4" w:space="0" w:color="auto"/>
              <w:bottom w:val="nil"/>
            </w:tcBorders>
            <w:shd w:val="clear" w:color="auto" w:fill="auto"/>
            <w:noWrap/>
            <w:vAlign w:val="center"/>
            <w:hideMark/>
          </w:tcPr>
          <w:p w14:paraId="79CC26A4"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10.409,32</w:t>
            </w:r>
          </w:p>
        </w:tc>
        <w:tc>
          <w:tcPr>
            <w:tcW w:w="471" w:type="pct"/>
            <w:tcBorders>
              <w:top w:val="single" w:sz="4" w:space="0" w:color="auto"/>
              <w:bottom w:val="nil"/>
            </w:tcBorders>
            <w:vAlign w:val="bottom"/>
          </w:tcPr>
          <w:p w14:paraId="27F35D23"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800,72</w:t>
            </w:r>
          </w:p>
        </w:tc>
      </w:tr>
      <w:tr w:rsidR="006356F1" w:rsidRPr="00C0505A" w14:paraId="78173346" w14:textId="77777777" w:rsidTr="00217400">
        <w:trPr>
          <w:trHeight w:val="227"/>
        </w:trPr>
        <w:tc>
          <w:tcPr>
            <w:tcW w:w="1722" w:type="pct"/>
            <w:tcBorders>
              <w:top w:val="nil"/>
              <w:bottom w:val="single" w:sz="4" w:space="0" w:color="auto"/>
            </w:tcBorders>
            <w:shd w:val="clear" w:color="auto" w:fill="auto"/>
            <w:noWrap/>
            <w:vAlign w:val="center"/>
            <w:hideMark/>
          </w:tcPr>
          <w:p w14:paraId="0A4A358F"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Beneficiamento de minério de alumínio</w:t>
            </w:r>
          </w:p>
        </w:tc>
        <w:tc>
          <w:tcPr>
            <w:tcW w:w="531" w:type="pct"/>
            <w:tcBorders>
              <w:top w:val="nil"/>
              <w:bottom w:val="single" w:sz="4" w:space="0" w:color="auto"/>
            </w:tcBorders>
            <w:shd w:val="clear" w:color="auto" w:fill="auto"/>
            <w:noWrap/>
            <w:vAlign w:val="center"/>
            <w:hideMark/>
          </w:tcPr>
          <w:p w14:paraId="5BF561D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464.807,76</w:t>
            </w:r>
          </w:p>
        </w:tc>
        <w:tc>
          <w:tcPr>
            <w:tcW w:w="531" w:type="pct"/>
            <w:tcBorders>
              <w:top w:val="nil"/>
              <w:bottom w:val="single" w:sz="4" w:space="0" w:color="auto"/>
            </w:tcBorders>
            <w:shd w:val="clear" w:color="auto" w:fill="auto"/>
            <w:noWrap/>
            <w:vAlign w:val="center"/>
            <w:hideMark/>
          </w:tcPr>
          <w:p w14:paraId="6FB6C24D"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bottom w:val="single" w:sz="4" w:space="0" w:color="auto"/>
            </w:tcBorders>
            <w:shd w:val="clear" w:color="auto" w:fill="auto"/>
            <w:noWrap/>
            <w:vAlign w:val="center"/>
            <w:hideMark/>
          </w:tcPr>
          <w:p w14:paraId="5148FE5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185.490,94</w:t>
            </w:r>
          </w:p>
        </w:tc>
        <w:tc>
          <w:tcPr>
            <w:tcW w:w="487" w:type="pct"/>
            <w:tcBorders>
              <w:top w:val="nil"/>
              <w:bottom w:val="single" w:sz="4" w:space="0" w:color="auto"/>
            </w:tcBorders>
            <w:shd w:val="clear" w:color="auto" w:fill="auto"/>
            <w:noWrap/>
            <w:vAlign w:val="center"/>
            <w:hideMark/>
          </w:tcPr>
          <w:p w14:paraId="7851CE2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279.316,82</w:t>
            </w:r>
          </w:p>
        </w:tc>
        <w:tc>
          <w:tcPr>
            <w:tcW w:w="337" w:type="pct"/>
            <w:tcBorders>
              <w:top w:val="nil"/>
              <w:bottom w:val="single" w:sz="4" w:space="0" w:color="auto"/>
            </w:tcBorders>
            <w:shd w:val="clear" w:color="auto" w:fill="auto"/>
            <w:noWrap/>
            <w:vAlign w:val="center"/>
            <w:hideMark/>
          </w:tcPr>
          <w:p w14:paraId="755FA99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w:t>
            </w:r>
          </w:p>
        </w:tc>
        <w:tc>
          <w:tcPr>
            <w:tcW w:w="393" w:type="pct"/>
            <w:tcBorders>
              <w:top w:val="nil"/>
              <w:bottom w:val="single" w:sz="4" w:space="0" w:color="auto"/>
            </w:tcBorders>
            <w:shd w:val="clear" w:color="auto" w:fill="auto"/>
            <w:noWrap/>
            <w:vAlign w:val="center"/>
            <w:hideMark/>
          </w:tcPr>
          <w:p w14:paraId="71FA728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10.409,32</w:t>
            </w:r>
          </w:p>
        </w:tc>
        <w:tc>
          <w:tcPr>
            <w:tcW w:w="471" w:type="pct"/>
            <w:tcBorders>
              <w:top w:val="nil"/>
              <w:bottom w:val="single" w:sz="4" w:space="0" w:color="auto"/>
            </w:tcBorders>
            <w:vAlign w:val="bottom"/>
          </w:tcPr>
          <w:p w14:paraId="300983E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800,72</w:t>
            </w:r>
          </w:p>
        </w:tc>
      </w:tr>
      <w:tr w:rsidR="006356F1" w:rsidRPr="00C0505A" w14:paraId="442B2A9F" w14:textId="77777777" w:rsidTr="00217400">
        <w:trPr>
          <w:trHeight w:val="227"/>
        </w:trPr>
        <w:tc>
          <w:tcPr>
            <w:tcW w:w="1722" w:type="pct"/>
            <w:tcBorders>
              <w:top w:val="single" w:sz="4" w:space="0" w:color="auto"/>
              <w:bottom w:val="nil"/>
            </w:tcBorders>
            <w:shd w:val="clear" w:color="auto" w:fill="auto"/>
            <w:noWrap/>
            <w:vAlign w:val="center"/>
            <w:hideMark/>
          </w:tcPr>
          <w:p w14:paraId="2D170143"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EXTRAÇÃO DE MINERAIS NÃO METÁLICOS</w:t>
            </w:r>
          </w:p>
        </w:tc>
        <w:tc>
          <w:tcPr>
            <w:tcW w:w="531" w:type="pct"/>
            <w:tcBorders>
              <w:top w:val="single" w:sz="4" w:space="0" w:color="auto"/>
              <w:bottom w:val="nil"/>
            </w:tcBorders>
            <w:shd w:val="clear" w:color="auto" w:fill="auto"/>
            <w:noWrap/>
            <w:vAlign w:val="center"/>
            <w:hideMark/>
          </w:tcPr>
          <w:p w14:paraId="6698327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2.374.694,47</w:t>
            </w:r>
          </w:p>
        </w:tc>
        <w:tc>
          <w:tcPr>
            <w:tcW w:w="531" w:type="pct"/>
            <w:tcBorders>
              <w:top w:val="single" w:sz="4" w:space="0" w:color="auto"/>
              <w:bottom w:val="nil"/>
            </w:tcBorders>
            <w:shd w:val="clear" w:color="auto" w:fill="auto"/>
            <w:noWrap/>
            <w:vAlign w:val="center"/>
            <w:hideMark/>
          </w:tcPr>
          <w:p w14:paraId="77D5ECBA"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64E79D6B"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937.088,11</w:t>
            </w:r>
          </w:p>
        </w:tc>
        <w:tc>
          <w:tcPr>
            <w:tcW w:w="487" w:type="pct"/>
            <w:tcBorders>
              <w:top w:val="single" w:sz="4" w:space="0" w:color="auto"/>
              <w:bottom w:val="nil"/>
            </w:tcBorders>
            <w:shd w:val="clear" w:color="auto" w:fill="auto"/>
            <w:noWrap/>
            <w:vAlign w:val="center"/>
            <w:hideMark/>
          </w:tcPr>
          <w:p w14:paraId="248F09D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1.437.606,36</w:t>
            </w:r>
          </w:p>
        </w:tc>
        <w:tc>
          <w:tcPr>
            <w:tcW w:w="337" w:type="pct"/>
            <w:tcBorders>
              <w:top w:val="single" w:sz="4" w:space="0" w:color="auto"/>
              <w:bottom w:val="nil"/>
            </w:tcBorders>
            <w:shd w:val="clear" w:color="auto" w:fill="auto"/>
            <w:noWrap/>
            <w:vAlign w:val="center"/>
            <w:hideMark/>
          </w:tcPr>
          <w:p w14:paraId="1E7902CD"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351</w:t>
            </w:r>
          </w:p>
        </w:tc>
        <w:tc>
          <w:tcPr>
            <w:tcW w:w="393" w:type="pct"/>
            <w:tcBorders>
              <w:top w:val="single" w:sz="4" w:space="0" w:color="auto"/>
              <w:bottom w:val="nil"/>
            </w:tcBorders>
            <w:shd w:val="clear" w:color="auto" w:fill="auto"/>
            <w:noWrap/>
            <w:vAlign w:val="center"/>
            <w:hideMark/>
          </w:tcPr>
          <w:p w14:paraId="236D44D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4.099,64</w:t>
            </w:r>
          </w:p>
        </w:tc>
        <w:tc>
          <w:tcPr>
            <w:tcW w:w="471" w:type="pct"/>
            <w:tcBorders>
              <w:top w:val="single" w:sz="4" w:space="0" w:color="auto"/>
              <w:bottom w:val="nil"/>
            </w:tcBorders>
            <w:vAlign w:val="bottom"/>
          </w:tcPr>
          <w:p w14:paraId="31F5F7AB"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315,36</w:t>
            </w:r>
          </w:p>
        </w:tc>
      </w:tr>
      <w:tr w:rsidR="006356F1" w:rsidRPr="00C0505A" w14:paraId="0F3F0731" w14:textId="77777777" w:rsidTr="00217400">
        <w:trPr>
          <w:trHeight w:val="227"/>
        </w:trPr>
        <w:tc>
          <w:tcPr>
            <w:tcW w:w="1722" w:type="pct"/>
            <w:tcBorders>
              <w:top w:val="nil"/>
            </w:tcBorders>
            <w:shd w:val="clear" w:color="auto" w:fill="auto"/>
            <w:noWrap/>
            <w:vAlign w:val="center"/>
            <w:hideMark/>
          </w:tcPr>
          <w:p w14:paraId="470EE4E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Extração de areia, cascalho ou pedregulho e beneficiamento associado</w:t>
            </w:r>
          </w:p>
        </w:tc>
        <w:tc>
          <w:tcPr>
            <w:tcW w:w="531" w:type="pct"/>
            <w:tcBorders>
              <w:top w:val="nil"/>
            </w:tcBorders>
            <w:shd w:val="clear" w:color="auto" w:fill="auto"/>
            <w:noWrap/>
            <w:vAlign w:val="center"/>
            <w:hideMark/>
          </w:tcPr>
          <w:p w14:paraId="216FAB1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640.971,97</w:t>
            </w:r>
          </w:p>
        </w:tc>
        <w:tc>
          <w:tcPr>
            <w:tcW w:w="531" w:type="pct"/>
            <w:tcBorders>
              <w:top w:val="nil"/>
            </w:tcBorders>
            <w:shd w:val="clear" w:color="auto" w:fill="auto"/>
            <w:noWrap/>
            <w:vAlign w:val="center"/>
            <w:hideMark/>
          </w:tcPr>
          <w:p w14:paraId="5404386C"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40F56C9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208.091,87</w:t>
            </w:r>
          </w:p>
        </w:tc>
        <w:tc>
          <w:tcPr>
            <w:tcW w:w="487" w:type="pct"/>
            <w:tcBorders>
              <w:top w:val="nil"/>
            </w:tcBorders>
            <w:shd w:val="clear" w:color="auto" w:fill="auto"/>
            <w:noWrap/>
            <w:vAlign w:val="center"/>
            <w:hideMark/>
          </w:tcPr>
          <w:p w14:paraId="225493A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432.880,10</w:t>
            </w:r>
          </w:p>
        </w:tc>
        <w:tc>
          <w:tcPr>
            <w:tcW w:w="337" w:type="pct"/>
            <w:tcBorders>
              <w:top w:val="nil"/>
            </w:tcBorders>
            <w:shd w:val="clear" w:color="auto" w:fill="auto"/>
            <w:noWrap/>
            <w:vAlign w:val="center"/>
            <w:hideMark/>
          </w:tcPr>
          <w:p w14:paraId="21B17EF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60</w:t>
            </w:r>
          </w:p>
        </w:tc>
        <w:tc>
          <w:tcPr>
            <w:tcW w:w="393" w:type="pct"/>
            <w:tcBorders>
              <w:top w:val="nil"/>
            </w:tcBorders>
            <w:shd w:val="clear" w:color="auto" w:fill="auto"/>
            <w:noWrap/>
            <w:vAlign w:val="center"/>
            <w:hideMark/>
          </w:tcPr>
          <w:p w14:paraId="3160383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7.214,67</w:t>
            </w:r>
          </w:p>
        </w:tc>
        <w:tc>
          <w:tcPr>
            <w:tcW w:w="471" w:type="pct"/>
            <w:tcBorders>
              <w:top w:val="nil"/>
            </w:tcBorders>
            <w:vAlign w:val="bottom"/>
          </w:tcPr>
          <w:p w14:paraId="5358C30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554,97</w:t>
            </w:r>
          </w:p>
        </w:tc>
      </w:tr>
      <w:tr w:rsidR="006356F1" w:rsidRPr="00C0505A" w14:paraId="43ABCDF2" w14:textId="77777777" w:rsidTr="00217400">
        <w:trPr>
          <w:trHeight w:val="227"/>
        </w:trPr>
        <w:tc>
          <w:tcPr>
            <w:tcW w:w="1722" w:type="pct"/>
            <w:shd w:val="clear" w:color="auto" w:fill="auto"/>
            <w:noWrap/>
            <w:vAlign w:val="center"/>
            <w:hideMark/>
          </w:tcPr>
          <w:p w14:paraId="00038AE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Extração de minerais para fabricação de adubos, fertilizantes e outros produtos químicos</w:t>
            </w:r>
          </w:p>
        </w:tc>
        <w:tc>
          <w:tcPr>
            <w:tcW w:w="531" w:type="pct"/>
            <w:shd w:val="clear" w:color="auto" w:fill="auto"/>
            <w:noWrap/>
            <w:vAlign w:val="center"/>
            <w:hideMark/>
          </w:tcPr>
          <w:p w14:paraId="22F4072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936.578,43</w:t>
            </w:r>
          </w:p>
        </w:tc>
        <w:tc>
          <w:tcPr>
            <w:tcW w:w="531" w:type="pct"/>
            <w:shd w:val="clear" w:color="auto" w:fill="auto"/>
            <w:noWrap/>
            <w:vAlign w:val="center"/>
            <w:hideMark/>
          </w:tcPr>
          <w:p w14:paraId="06C2163F"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EDC11F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351.118,07</w:t>
            </w:r>
          </w:p>
        </w:tc>
        <w:tc>
          <w:tcPr>
            <w:tcW w:w="487" w:type="pct"/>
            <w:shd w:val="clear" w:color="auto" w:fill="auto"/>
            <w:noWrap/>
            <w:vAlign w:val="center"/>
            <w:hideMark/>
          </w:tcPr>
          <w:p w14:paraId="3BAB07B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585.460,36</w:t>
            </w:r>
          </w:p>
        </w:tc>
        <w:tc>
          <w:tcPr>
            <w:tcW w:w="337" w:type="pct"/>
            <w:shd w:val="clear" w:color="auto" w:fill="auto"/>
            <w:noWrap/>
            <w:vAlign w:val="center"/>
            <w:hideMark/>
          </w:tcPr>
          <w:p w14:paraId="2B53CFB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74</w:t>
            </w:r>
          </w:p>
        </w:tc>
        <w:tc>
          <w:tcPr>
            <w:tcW w:w="393" w:type="pct"/>
            <w:shd w:val="clear" w:color="auto" w:fill="auto"/>
            <w:noWrap/>
            <w:vAlign w:val="center"/>
            <w:hideMark/>
          </w:tcPr>
          <w:p w14:paraId="4955AB2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7.911,63</w:t>
            </w:r>
          </w:p>
        </w:tc>
        <w:tc>
          <w:tcPr>
            <w:tcW w:w="471" w:type="pct"/>
            <w:vAlign w:val="bottom"/>
          </w:tcPr>
          <w:p w14:paraId="7694C08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608,59</w:t>
            </w:r>
          </w:p>
        </w:tc>
      </w:tr>
      <w:tr w:rsidR="006356F1" w:rsidRPr="00C0505A" w14:paraId="7DC0A94A" w14:textId="77777777" w:rsidTr="00217400">
        <w:trPr>
          <w:trHeight w:val="227"/>
        </w:trPr>
        <w:tc>
          <w:tcPr>
            <w:tcW w:w="1722" w:type="pct"/>
            <w:shd w:val="clear" w:color="auto" w:fill="auto"/>
            <w:noWrap/>
            <w:vAlign w:val="center"/>
            <w:hideMark/>
          </w:tcPr>
          <w:p w14:paraId="310885F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Extração de outros minerais não-metálicos não especificados anteriormente</w:t>
            </w:r>
          </w:p>
        </w:tc>
        <w:tc>
          <w:tcPr>
            <w:tcW w:w="531" w:type="pct"/>
            <w:shd w:val="clear" w:color="auto" w:fill="auto"/>
            <w:noWrap/>
            <w:vAlign w:val="center"/>
            <w:hideMark/>
          </w:tcPr>
          <w:p w14:paraId="2F0858C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6.551,73</w:t>
            </w:r>
          </w:p>
        </w:tc>
        <w:tc>
          <w:tcPr>
            <w:tcW w:w="531" w:type="pct"/>
            <w:shd w:val="clear" w:color="auto" w:fill="auto"/>
            <w:noWrap/>
            <w:vAlign w:val="center"/>
            <w:hideMark/>
          </w:tcPr>
          <w:p w14:paraId="6E41BFE6"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6B6BC7F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136.661,06</w:t>
            </w:r>
          </w:p>
        </w:tc>
        <w:tc>
          <w:tcPr>
            <w:tcW w:w="487" w:type="pct"/>
            <w:shd w:val="clear" w:color="auto" w:fill="auto"/>
            <w:noWrap/>
            <w:vAlign w:val="center"/>
            <w:hideMark/>
          </w:tcPr>
          <w:p w14:paraId="20E2969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37" w:type="pct"/>
            <w:shd w:val="clear" w:color="auto" w:fill="auto"/>
            <w:noWrap/>
            <w:vAlign w:val="center"/>
            <w:hideMark/>
          </w:tcPr>
          <w:p w14:paraId="2FB8B6B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110</w:t>
            </w:r>
          </w:p>
        </w:tc>
        <w:tc>
          <w:tcPr>
            <w:tcW w:w="393" w:type="pct"/>
            <w:shd w:val="clear" w:color="auto" w:fill="auto"/>
            <w:noWrap/>
            <w:vAlign w:val="center"/>
            <w:hideMark/>
          </w:tcPr>
          <w:p w14:paraId="5C464E5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vAlign w:val="bottom"/>
          </w:tcPr>
          <w:p w14:paraId="1039355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r>
      <w:tr w:rsidR="006356F1" w:rsidRPr="00C0505A" w14:paraId="1750A42B" w14:textId="77777777" w:rsidTr="00217400">
        <w:trPr>
          <w:trHeight w:val="227"/>
        </w:trPr>
        <w:tc>
          <w:tcPr>
            <w:tcW w:w="1722" w:type="pct"/>
            <w:tcBorders>
              <w:bottom w:val="single" w:sz="4" w:space="0" w:color="auto"/>
            </w:tcBorders>
            <w:shd w:val="clear" w:color="auto" w:fill="auto"/>
            <w:noWrap/>
            <w:vAlign w:val="center"/>
            <w:hideMark/>
          </w:tcPr>
          <w:p w14:paraId="632B75CA"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Extração e britamento de pedras e outros materiais para construção e beneficiamento associado</w:t>
            </w:r>
          </w:p>
        </w:tc>
        <w:tc>
          <w:tcPr>
            <w:tcW w:w="531" w:type="pct"/>
            <w:tcBorders>
              <w:bottom w:val="single" w:sz="4" w:space="0" w:color="auto"/>
            </w:tcBorders>
            <w:shd w:val="clear" w:color="auto" w:fill="auto"/>
            <w:noWrap/>
            <w:vAlign w:val="center"/>
            <w:hideMark/>
          </w:tcPr>
          <w:p w14:paraId="1552B49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790.592,34</w:t>
            </w:r>
          </w:p>
        </w:tc>
        <w:tc>
          <w:tcPr>
            <w:tcW w:w="531" w:type="pct"/>
            <w:tcBorders>
              <w:bottom w:val="single" w:sz="4" w:space="0" w:color="auto"/>
            </w:tcBorders>
            <w:shd w:val="clear" w:color="auto" w:fill="auto"/>
            <w:noWrap/>
            <w:vAlign w:val="center"/>
            <w:hideMark/>
          </w:tcPr>
          <w:p w14:paraId="20E75934"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6655F0E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241.217,11</w:t>
            </w:r>
          </w:p>
        </w:tc>
        <w:tc>
          <w:tcPr>
            <w:tcW w:w="487" w:type="pct"/>
            <w:tcBorders>
              <w:bottom w:val="single" w:sz="4" w:space="0" w:color="auto"/>
            </w:tcBorders>
            <w:shd w:val="clear" w:color="auto" w:fill="auto"/>
            <w:noWrap/>
            <w:vAlign w:val="center"/>
            <w:hideMark/>
          </w:tcPr>
          <w:p w14:paraId="0A071BD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549.375,23</w:t>
            </w:r>
          </w:p>
        </w:tc>
        <w:tc>
          <w:tcPr>
            <w:tcW w:w="337" w:type="pct"/>
            <w:tcBorders>
              <w:bottom w:val="single" w:sz="4" w:space="0" w:color="auto"/>
            </w:tcBorders>
            <w:shd w:val="clear" w:color="auto" w:fill="auto"/>
            <w:noWrap/>
            <w:vAlign w:val="center"/>
            <w:hideMark/>
          </w:tcPr>
          <w:p w14:paraId="4DC4E09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106</w:t>
            </w:r>
          </w:p>
        </w:tc>
        <w:tc>
          <w:tcPr>
            <w:tcW w:w="393" w:type="pct"/>
            <w:tcBorders>
              <w:bottom w:val="single" w:sz="4" w:space="0" w:color="auto"/>
            </w:tcBorders>
            <w:shd w:val="clear" w:color="auto" w:fill="auto"/>
            <w:noWrap/>
            <w:vAlign w:val="center"/>
            <w:hideMark/>
          </w:tcPr>
          <w:p w14:paraId="14E93C5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5.166,54</w:t>
            </w:r>
          </w:p>
        </w:tc>
        <w:tc>
          <w:tcPr>
            <w:tcW w:w="471" w:type="pct"/>
            <w:tcBorders>
              <w:bottom w:val="single" w:sz="4" w:space="0" w:color="auto"/>
            </w:tcBorders>
            <w:vAlign w:val="bottom"/>
          </w:tcPr>
          <w:p w14:paraId="52BC27D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397,43</w:t>
            </w:r>
          </w:p>
        </w:tc>
      </w:tr>
      <w:tr w:rsidR="006356F1" w:rsidRPr="00C0505A" w14:paraId="2F9B6C63" w14:textId="77777777" w:rsidTr="00217400">
        <w:trPr>
          <w:trHeight w:val="227"/>
        </w:trPr>
        <w:tc>
          <w:tcPr>
            <w:tcW w:w="1722" w:type="pct"/>
            <w:tcBorders>
              <w:top w:val="single" w:sz="4" w:space="0" w:color="auto"/>
              <w:bottom w:val="nil"/>
            </w:tcBorders>
            <w:shd w:val="clear" w:color="auto" w:fill="auto"/>
            <w:noWrap/>
            <w:vAlign w:val="center"/>
            <w:hideMark/>
          </w:tcPr>
          <w:p w14:paraId="0BB6C949"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BEBIDAS</w:t>
            </w:r>
          </w:p>
        </w:tc>
        <w:tc>
          <w:tcPr>
            <w:tcW w:w="531" w:type="pct"/>
            <w:tcBorders>
              <w:top w:val="single" w:sz="4" w:space="0" w:color="auto"/>
              <w:bottom w:val="nil"/>
            </w:tcBorders>
            <w:shd w:val="clear" w:color="auto" w:fill="auto"/>
            <w:noWrap/>
            <w:vAlign w:val="center"/>
            <w:hideMark/>
          </w:tcPr>
          <w:p w14:paraId="7E54A9D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328.907.895,73</w:t>
            </w:r>
          </w:p>
        </w:tc>
        <w:tc>
          <w:tcPr>
            <w:tcW w:w="531" w:type="pct"/>
            <w:tcBorders>
              <w:top w:val="single" w:sz="4" w:space="0" w:color="auto"/>
              <w:bottom w:val="nil"/>
            </w:tcBorders>
            <w:shd w:val="clear" w:color="auto" w:fill="auto"/>
            <w:noWrap/>
            <w:vAlign w:val="center"/>
            <w:hideMark/>
          </w:tcPr>
          <w:p w14:paraId="1103AEE4"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2.227.941,35</w:t>
            </w:r>
          </w:p>
        </w:tc>
        <w:tc>
          <w:tcPr>
            <w:tcW w:w="529" w:type="pct"/>
            <w:tcBorders>
              <w:top w:val="single" w:sz="4" w:space="0" w:color="auto"/>
              <w:bottom w:val="nil"/>
            </w:tcBorders>
            <w:shd w:val="clear" w:color="auto" w:fill="auto"/>
            <w:noWrap/>
            <w:vAlign w:val="center"/>
            <w:hideMark/>
          </w:tcPr>
          <w:p w14:paraId="55590CF6"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106.309.684,60</w:t>
            </w:r>
          </w:p>
        </w:tc>
        <w:tc>
          <w:tcPr>
            <w:tcW w:w="487" w:type="pct"/>
            <w:tcBorders>
              <w:top w:val="single" w:sz="4" w:space="0" w:color="auto"/>
              <w:bottom w:val="nil"/>
            </w:tcBorders>
            <w:shd w:val="clear" w:color="auto" w:fill="auto"/>
            <w:noWrap/>
            <w:vAlign w:val="center"/>
            <w:hideMark/>
          </w:tcPr>
          <w:p w14:paraId="545312A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224.826.152,48</w:t>
            </w:r>
          </w:p>
        </w:tc>
        <w:tc>
          <w:tcPr>
            <w:tcW w:w="337" w:type="pct"/>
            <w:tcBorders>
              <w:top w:val="single" w:sz="4" w:space="0" w:color="auto"/>
              <w:bottom w:val="nil"/>
            </w:tcBorders>
            <w:shd w:val="clear" w:color="auto" w:fill="auto"/>
            <w:noWrap/>
            <w:vAlign w:val="center"/>
            <w:hideMark/>
          </w:tcPr>
          <w:p w14:paraId="12008AD6"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4.455</w:t>
            </w:r>
          </w:p>
        </w:tc>
        <w:tc>
          <w:tcPr>
            <w:tcW w:w="393" w:type="pct"/>
            <w:tcBorders>
              <w:top w:val="single" w:sz="4" w:space="0" w:color="auto"/>
              <w:bottom w:val="nil"/>
            </w:tcBorders>
            <w:shd w:val="clear" w:color="auto" w:fill="auto"/>
            <w:noWrap/>
            <w:vAlign w:val="center"/>
            <w:hideMark/>
          </w:tcPr>
          <w:p w14:paraId="39DADD4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50.471,69</w:t>
            </w:r>
          </w:p>
        </w:tc>
        <w:tc>
          <w:tcPr>
            <w:tcW w:w="471" w:type="pct"/>
            <w:tcBorders>
              <w:top w:val="single" w:sz="4" w:space="0" w:color="auto"/>
              <w:bottom w:val="nil"/>
            </w:tcBorders>
            <w:vAlign w:val="bottom"/>
          </w:tcPr>
          <w:p w14:paraId="1C66D238"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3.882,44</w:t>
            </w:r>
          </w:p>
        </w:tc>
      </w:tr>
      <w:tr w:rsidR="006356F1" w:rsidRPr="00C0505A" w14:paraId="495EE680" w14:textId="77777777" w:rsidTr="00217400">
        <w:trPr>
          <w:trHeight w:val="227"/>
        </w:trPr>
        <w:tc>
          <w:tcPr>
            <w:tcW w:w="1722" w:type="pct"/>
            <w:tcBorders>
              <w:top w:val="nil"/>
            </w:tcBorders>
            <w:shd w:val="clear" w:color="auto" w:fill="auto"/>
            <w:noWrap/>
            <w:vAlign w:val="center"/>
            <w:hideMark/>
          </w:tcPr>
          <w:p w14:paraId="7899D4B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aguardente de cana-de-açúcar</w:t>
            </w:r>
          </w:p>
        </w:tc>
        <w:tc>
          <w:tcPr>
            <w:tcW w:w="531" w:type="pct"/>
            <w:tcBorders>
              <w:top w:val="nil"/>
            </w:tcBorders>
            <w:shd w:val="clear" w:color="auto" w:fill="auto"/>
            <w:noWrap/>
            <w:vAlign w:val="center"/>
            <w:hideMark/>
          </w:tcPr>
          <w:p w14:paraId="4082B75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1.963.797,93</w:t>
            </w:r>
          </w:p>
        </w:tc>
        <w:tc>
          <w:tcPr>
            <w:tcW w:w="531" w:type="pct"/>
            <w:tcBorders>
              <w:top w:val="nil"/>
            </w:tcBorders>
            <w:shd w:val="clear" w:color="auto" w:fill="auto"/>
            <w:noWrap/>
            <w:vAlign w:val="center"/>
            <w:hideMark/>
          </w:tcPr>
          <w:p w14:paraId="71C06170"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7C6707E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860.368,02</w:t>
            </w:r>
          </w:p>
        </w:tc>
        <w:tc>
          <w:tcPr>
            <w:tcW w:w="487" w:type="pct"/>
            <w:tcBorders>
              <w:top w:val="nil"/>
            </w:tcBorders>
            <w:shd w:val="clear" w:color="auto" w:fill="auto"/>
            <w:noWrap/>
            <w:vAlign w:val="center"/>
            <w:hideMark/>
          </w:tcPr>
          <w:p w14:paraId="17A76A2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1.103.429,91</w:t>
            </w:r>
          </w:p>
        </w:tc>
        <w:tc>
          <w:tcPr>
            <w:tcW w:w="337" w:type="pct"/>
            <w:tcBorders>
              <w:top w:val="nil"/>
            </w:tcBorders>
            <w:shd w:val="clear" w:color="auto" w:fill="auto"/>
            <w:noWrap/>
            <w:vAlign w:val="center"/>
            <w:hideMark/>
          </w:tcPr>
          <w:p w14:paraId="0CA06BC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83</w:t>
            </w:r>
          </w:p>
        </w:tc>
        <w:tc>
          <w:tcPr>
            <w:tcW w:w="393" w:type="pct"/>
            <w:tcBorders>
              <w:top w:val="nil"/>
            </w:tcBorders>
            <w:shd w:val="clear" w:color="auto" w:fill="auto"/>
            <w:noWrap/>
            <w:vAlign w:val="center"/>
            <w:hideMark/>
          </w:tcPr>
          <w:p w14:paraId="0152A22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13.374,91</w:t>
            </w:r>
          </w:p>
        </w:tc>
        <w:tc>
          <w:tcPr>
            <w:tcW w:w="471" w:type="pct"/>
            <w:tcBorders>
              <w:top w:val="nil"/>
            </w:tcBorders>
            <w:vAlign w:val="bottom"/>
          </w:tcPr>
          <w:p w14:paraId="5A249B1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1.028,84</w:t>
            </w:r>
          </w:p>
        </w:tc>
      </w:tr>
      <w:tr w:rsidR="006356F1" w:rsidRPr="00C0505A" w14:paraId="464F62D5" w14:textId="77777777" w:rsidTr="00217400">
        <w:trPr>
          <w:trHeight w:val="227"/>
        </w:trPr>
        <w:tc>
          <w:tcPr>
            <w:tcW w:w="1722" w:type="pct"/>
            <w:shd w:val="clear" w:color="auto" w:fill="auto"/>
            <w:noWrap/>
            <w:vAlign w:val="center"/>
            <w:hideMark/>
          </w:tcPr>
          <w:p w14:paraId="58BD885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águas envasadas</w:t>
            </w:r>
          </w:p>
        </w:tc>
        <w:tc>
          <w:tcPr>
            <w:tcW w:w="531" w:type="pct"/>
            <w:shd w:val="clear" w:color="auto" w:fill="auto"/>
            <w:noWrap/>
            <w:vAlign w:val="center"/>
            <w:hideMark/>
          </w:tcPr>
          <w:p w14:paraId="7A23D17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2.911.222,82</w:t>
            </w:r>
          </w:p>
        </w:tc>
        <w:tc>
          <w:tcPr>
            <w:tcW w:w="531" w:type="pct"/>
            <w:shd w:val="clear" w:color="auto" w:fill="auto"/>
            <w:noWrap/>
            <w:vAlign w:val="center"/>
            <w:hideMark/>
          </w:tcPr>
          <w:p w14:paraId="4B2778A1"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444B8D8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358.365,57</w:t>
            </w:r>
          </w:p>
        </w:tc>
        <w:tc>
          <w:tcPr>
            <w:tcW w:w="487" w:type="pct"/>
            <w:shd w:val="clear" w:color="auto" w:fill="auto"/>
            <w:noWrap/>
            <w:vAlign w:val="center"/>
            <w:hideMark/>
          </w:tcPr>
          <w:p w14:paraId="21817A7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2.552.857,25</w:t>
            </w:r>
          </w:p>
        </w:tc>
        <w:tc>
          <w:tcPr>
            <w:tcW w:w="337" w:type="pct"/>
            <w:shd w:val="clear" w:color="auto" w:fill="auto"/>
            <w:noWrap/>
            <w:vAlign w:val="center"/>
            <w:hideMark/>
          </w:tcPr>
          <w:p w14:paraId="7F43FBD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158</w:t>
            </w:r>
          </w:p>
        </w:tc>
        <w:tc>
          <w:tcPr>
            <w:tcW w:w="393" w:type="pct"/>
            <w:shd w:val="clear" w:color="auto" w:fill="auto"/>
            <w:noWrap/>
            <w:vAlign w:val="center"/>
            <w:hideMark/>
          </w:tcPr>
          <w:p w14:paraId="6E20AA4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16.140,30</w:t>
            </w:r>
          </w:p>
        </w:tc>
        <w:tc>
          <w:tcPr>
            <w:tcW w:w="471" w:type="pct"/>
            <w:vAlign w:val="bottom"/>
          </w:tcPr>
          <w:p w14:paraId="7630B9A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1.241,56</w:t>
            </w:r>
          </w:p>
        </w:tc>
      </w:tr>
      <w:tr w:rsidR="006356F1" w:rsidRPr="00C0505A" w14:paraId="142DB5E3" w14:textId="77777777" w:rsidTr="00217400">
        <w:trPr>
          <w:trHeight w:val="227"/>
        </w:trPr>
        <w:tc>
          <w:tcPr>
            <w:tcW w:w="1722" w:type="pct"/>
            <w:shd w:val="clear" w:color="auto" w:fill="auto"/>
            <w:noWrap/>
            <w:vAlign w:val="center"/>
            <w:hideMark/>
          </w:tcPr>
          <w:p w14:paraId="6E8F6882"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cervejas e chopes</w:t>
            </w:r>
          </w:p>
        </w:tc>
        <w:tc>
          <w:tcPr>
            <w:tcW w:w="531" w:type="pct"/>
            <w:shd w:val="clear" w:color="auto" w:fill="auto"/>
            <w:noWrap/>
            <w:vAlign w:val="center"/>
            <w:hideMark/>
          </w:tcPr>
          <w:p w14:paraId="0EA928F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270.638.788,62</w:t>
            </w:r>
          </w:p>
        </w:tc>
        <w:tc>
          <w:tcPr>
            <w:tcW w:w="531" w:type="pct"/>
            <w:shd w:val="clear" w:color="auto" w:fill="auto"/>
            <w:noWrap/>
            <w:vAlign w:val="center"/>
            <w:hideMark/>
          </w:tcPr>
          <w:p w14:paraId="0A95F27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1.000.000,00</w:t>
            </w:r>
          </w:p>
        </w:tc>
        <w:tc>
          <w:tcPr>
            <w:tcW w:w="529" w:type="pct"/>
            <w:shd w:val="clear" w:color="auto" w:fill="auto"/>
            <w:noWrap/>
            <w:vAlign w:val="center"/>
            <w:hideMark/>
          </w:tcPr>
          <w:p w14:paraId="3582709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91.611.066,01</w:t>
            </w:r>
          </w:p>
        </w:tc>
        <w:tc>
          <w:tcPr>
            <w:tcW w:w="487" w:type="pct"/>
            <w:shd w:val="clear" w:color="auto" w:fill="auto"/>
            <w:noWrap/>
            <w:vAlign w:val="center"/>
            <w:hideMark/>
          </w:tcPr>
          <w:p w14:paraId="6825B8F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180.027.722,61</w:t>
            </w:r>
          </w:p>
        </w:tc>
        <w:tc>
          <w:tcPr>
            <w:tcW w:w="337" w:type="pct"/>
            <w:shd w:val="clear" w:color="auto" w:fill="auto"/>
            <w:noWrap/>
            <w:vAlign w:val="center"/>
            <w:hideMark/>
          </w:tcPr>
          <w:p w14:paraId="0A3544A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1.629</w:t>
            </w:r>
          </w:p>
        </w:tc>
        <w:tc>
          <w:tcPr>
            <w:tcW w:w="393" w:type="pct"/>
            <w:shd w:val="clear" w:color="auto" w:fill="auto"/>
            <w:noWrap/>
            <w:vAlign w:val="center"/>
            <w:hideMark/>
          </w:tcPr>
          <w:p w14:paraId="3897969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110.508,60</w:t>
            </w:r>
          </w:p>
        </w:tc>
        <w:tc>
          <w:tcPr>
            <w:tcW w:w="471" w:type="pct"/>
            <w:vAlign w:val="bottom"/>
          </w:tcPr>
          <w:p w14:paraId="2A798D4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8.500,66</w:t>
            </w:r>
          </w:p>
        </w:tc>
      </w:tr>
      <w:tr w:rsidR="006356F1" w:rsidRPr="00C0505A" w14:paraId="31646C44" w14:textId="77777777" w:rsidTr="00217400">
        <w:trPr>
          <w:trHeight w:val="227"/>
        </w:trPr>
        <w:tc>
          <w:tcPr>
            <w:tcW w:w="1722" w:type="pct"/>
            <w:shd w:val="clear" w:color="auto" w:fill="auto"/>
            <w:noWrap/>
            <w:vAlign w:val="center"/>
            <w:hideMark/>
          </w:tcPr>
          <w:p w14:paraId="38A777D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refrescos, xaropes e pós para refrescos, exceto refrescos de frutas</w:t>
            </w:r>
          </w:p>
        </w:tc>
        <w:tc>
          <w:tcPr>
            <w:tcW w:w="531" w:type="pct"/>
            <w:shd w:val="clear" w:color="auto" w:fill="auto"/>
            <w:noWrap/>
            <w:vAlign w:val="center"/>
            <w:hideMark/>
          </w:tcPr>
          <w:p w14:paraId="0BAC692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5.840.901,89</w:t>
            </w:r>
          </w:p>
        </w:tc>
        <w:tc>
          <w:tcPr>
            <w:tcW w:w="531" w:type="pct"/>
            <w:shd w:val="clear" w:color="auto" w:fill="auto"/>
            <w:noWrap/>
            <w:vAlign w:val="center"/>
            <w:hideMark/>
          </w:tcPr>
          <w:p w14:paraId="704B3ABC"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11192D4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2.671.669,67</w:t>
            </w:r>
          </w:p>
        </w:tc>
        <w:tc>
          <w:tcPr>
            <w:tcW w:w="487" w:type="pct"/>
            <w:shd w:val="clear" w:color="auto" w:fill="auto"/>
            <w:noWrap/>
            <w:vAlign w:val="center"/>
            <w:hideMark/>
          </w:tcPr>
          <w:p w14:paraId="0DEA63F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3.169.232,22</w:t>
            </w:r>
          </w:p>
        </w:tc>
        <w:tc>
          <w:tcPr>
            <w:tcW w:w="337" w:type="pct"/>
            <w:shd w:val="clear" w:color="auto" w:fill="auto"/>
            <w:noWrap/>
            <w:vAlign w:val="center"/>
            <w:hideMark/>
          </w:tcPr>
          <w:p w14:paraId="740ADC6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651</w:t>
            </w:r>
          </w:p>
        </w:tc>
        <w:tc>
          <w:tcPr>
            <w:tcW w:w="393" w:type="pct"/>
            <w:shd w:val="clear" w:color="auto" w:fill="auto"/>
            <w:noWrap/>
            <w:vAlign w:val="center"/>
            <w:hideMark/>
          </w:tcPr>
          <w:p w14:paraId="5FB5CF5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4.871,37</w:t>
            </w:r>
          </w:p>
        </w:tc>
        <w:tc>
          <w:tcPr>
            <w:tcW w:w="471" w:type="pct"/>
            <w:vAlign w:val="bottom"/>
          </w:tcPr>
          <w:p w14:paraId="5CE0A69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374,72</w:t>
            </w:r>
          </w:p>
        </w:tc>
      </w:tr>
      <w:tr w:rsidR="006356F1" w:rsidRPr="00C0505A" w14:paraId="1973A56A" w14:textId="77777777" w:rsidTr="00217400">
        <w:trPr>
          <w:trHeight w:val="227"/>
        </w:trPr>
        <w:tc>
          <w:tcPr>
            <w:tcW w:w="1722" w:type="pct"/>
            <w:shd w:val="clear" w:color="auto" w:fill="auto"/>
            <w:noWrap/>
            <w:vAlign w:val="center"/>
            <w:hideMark/>
          </w:tcPr>
          <w:p w14:paraId="749A2C0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refrigerantes</w:t>
            </w:r>
          </w:p>
        </w:tc>
        <w:tc>
          <w:tcPr>
            <w:tcW w:w="531" w:type="pct"/>
            <w:shd w:val="clear" w:color="auto" w:fill="auto"/>
            <w:noWrap/>
            <w:vAlign w:val="center"/>
            <w:hideMark/>
          </w:tcPr>
          <w:p w14:paraId="599781F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47.511.577,36</w:t>
            </w:r>
          </w:p>
        </w:tc>
        <w:tc>
          <w:tcPr>
            <w:tcW w:w="531" w:type="pct"/>
            <w:shd w:val="clear" w:color="auto" w:fill="auto"/>
            <w:noWrap/>
            <w:vAlign w:val="center"/>
            <w:hideMark/>
          </w:tcPr>
          <w:p w14:paraId="246121B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1.227.941,35</w:t>
            </w:r>
          </w:p>
        </w:tc>
        <w:tc>
          <w:tcPr>
            <w:tcW w:w="529" w:type="pct"/>
            <w:shd w:val="clear" w:color="auto" w:fill="auto"/>
            <w:noWrap/>
            <w:vAlign w:val="center"/>
            <w:hideMark/>
          </w:tcPr>
          <w:p w14:paraId="3D574C8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10.767.685,28</w:t>
            </w:r>
          </w:p>
        </w:tc>
        <w:tc>
          <w:tcPr>
            <w:tcW w:w="487" w:type="pct"/>
            <w:shd w:val="clear" w:color="auto" w:fill="auto"/>
            <w:noWrap/>
            <w:vAlign w:val="center"/>
            <w:hideMark/>
          </w:tcPr>
          <w:p w14:paraId="5920028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37.971.833,43</w:t>
            </w:r>
          </w:p>
        </w:tc>
        <w:tc>
          <w:tcPr>
            <w:tcW w:w="337" w:type="pct"/>
            <w:shd w:val="clear" w:color="auto" w:fill="auto"/>
            <w:noWrap/>
            <w:vAlign w:val="center"/>
            <w:hideMark/>
          </w:tcPr>
          <w:p w14:paraId="3C0ED2C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1.929</w:t>
            </w:r>
          </w:p>
        </w:tc>
        <w:tc>
          <w:tcPr>
            <w:tcW w:w="393" w:type="pct"/>
            <w:shd w:val="clear" w:color="auto" w:fill="auto"/>
            <w:noWrap/>
            <w:vAlign w:val="center"/>
            <w:hideMark/>
          </w:tcPr>
          <w:p w14:paraId="1FBA252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19.682,17</w:t>
            </w:r>
          </w:p>
        </w:tc>
        <w:tc>
          <w:tcPr>
            <w:tcW w:w="471" w:type="pct"/>
            <w:vAlign w:val="bottom"/>
          </w:tcPr>
          <w:p w14:paraId="432FBD0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1.514,01</w:t>
            </w:r>
          </w:p>
        </w:tc>
      </w:tr>
      <w:tr w:rsidR="006356F1" w:rsidRPr="00C0505A" w14:paraId="6BD61B09" w14:textId="77777777" w:rsidTr="00217400">
        <w:trPr>
          <w:trHeight w:val="227"/>
        </w:trPr>
        <w:tc>
          <w:tcPr>
            <w:tcW w:w="1722" w:type="pct"/>
            <w:tcBorders>
              <w:bottom w:val="single" w:sz="4" w:space="0" w:color="auto"/>
            </w:tcBorders>
            <w:shd w:val="clear" w:color="auto" w:fill="auto"/>
            <w:noWrap/>
            <w:vAlign w:val="center"/>
            <w:hideMark/>
          </w:tcPr>
          <w:p w14:paraId="049D8E4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vinho</w:t>
            </w:r>
          </w:p>
        </w:tc>
        <w:tc>
          <w:tcPr>
            <w:tcW w:w="531" w:type="pct"/>
            <w:tcBorders>
              <w:bottom w:val="single" w:sz="4" w:space="0" w:color="auto"/>
            </w:tcBorders>
            <w:shd w:val="clear" w:color="auto" w:fill="auto"/>
            <w:noWrap/>
            <w:vAlign w:val="center"/>
            <w:hideMark/>
          </w:tcPr>
          <w:p w14:paraId="2B6716A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41.607,11</w:t>
            </w:r>
          </w:p>
        </w:tc>
        <w:tc>
          <w:tcPr>
            <w:tcW w:w="531" w:type="pct"/>
            <w:tcBorders>
              <w:bottom w:val="single" w:sz="4" w:space="0" w:color="auto"/>
            </w:tcBorders>
            <w:shd w:val="clear" w:color="auto" w:fill="auto"/>
            <w:noWrap/>
            <w:vAlign w:val="center"/>
            <w:hideMark/>
          </w:tcPr>
          <w:p w14:paraId="2CDDB421"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5054223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40.530,05</w:t>
            </w:r>
          </w:p>
        </w:tc>
        <w:tc>
          <w:tcPr>
            <w:tcW w:w="487" w:type="pct"/>
            <w:tcBorders>
              <w:bottom w:val="single" w:sz="4" w:space="0" w:color="auto"/>
            </w:tcBorders>
            <w:shd w:val="clear" w:color="auto" w:fill="auto"/>
            <w:noWrap/>
            <w:vAlign w:val="center"/>
            <w:hideMark/>
          </w:tcPr>
          <w:p w14:paraId="46B0813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1.077,06</w:t>
            </w:r>
          </w:p>
        </w:tc>
        <w:tc>
          <w:tcPr>
            <w:tcW w:w="337" w:type="pct"/>
            <w:tcBorders>
              <w:bottom w:val="single" w:sz="4" w:space="0" w:color="auto"/>
            </w:tcBorders>
            <w:shd w:val="clear" w:color="auto" w:fill="auto"/>
            <w:noWrap/>
            <w:vAlign w:val="center"/>
            <w:hideMark/>
          </w:tcPr>
          <w:p w14:paraId="7C5A563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w:t>
            </w:r>
          </w:p>
        </w:tc>
        <w:tc>
          <w:tcPr>
            <w:tcW w:w="393" w:type="pct"/>
            <w:tcBorders>
              <w:bottom w:val="single" w:sz="4" w:space="0" w:color="auto"/>
            </w:tcBorders>
            <w:shd w:val="clear" w:color="auto" w:fill="auto"/>
            <w:noWrap/>
            <w:vAlign w:val="center"/>
            <w:hideMark/>
          </w:tcPr>
          <w:p w14:paraId="30AAC5D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219,06</w:t>
            </w:r>
          </w:p>
        </w:tc>
        <w:tc>
          <w:tcPr>
            <w:tcW w:w="471" w:type="pct"/>
            <w:tcBorders>
              <w:bottom w:val="single" w:sz="4" w:space="0" w:color="auto"/>
            </w:tcBorders>
            <w:vAlign w:val="bottom"/>
          </w:tcPr>
          <w:p w14:paraId="227489C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16,85</w:t>
            </w:r>
          </w:p>
        </w:tc>
      </w:tr>
      <w:tr w:rsidR="006356F1" w:rsidRPr="00C0505A" w14:paraId="4540ED78" w14:textId="77777777" w:rsidTr="00217400">
        <w:trPr>
          <w:trHeight w:val="227"/>
        </w:trPr>
        <w:tc>
          <w:tcPr>
            <w:tcW w:w="1722" w:type="pct"/>
            <w:tcBorders>
              <w:top w:val="single" w:sz="4" w:space="0" w:color="auto"/>
              <w:bottom w:val="nil"/>
            </w:tcBorders>
            <w:shd w:val="clear" w:color="auto" w:fill="auto"/>
            <w:noWrap/>
            <w:vAlign w:val="center"/>
            <w:hideMark/>
          </w:tcPr>
          <w:p w14:paraId="0FD82B9F"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CELULOSE, PAPEL E PRODUTOS DE PAPEL</w:t>
            </w:r>
          </w:p>
        </w:tc>
        <w:tc>
          <w:tcPr>
            <w:tcW w:w="531" w:type="pct"/>
            <w:tcBorders>
              <w:top w:val="single" w:sz="4" w:space="0" w:color="auto"/>
              <w:bottom w:val="nil"/>
              <w:right w:val="single" w:sz="4" w:space="0" w:color="auto"/>
            </w:tcBorders>
            <w:shd w:val="clear" w:color="auto" w:fill="auto"/>
            <w:noWrap/>
            <w:vAlign w:val="center"/>
            <w:hideMark/>
          </w:tcPr>
          <w:p w14:paraId="730E364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35.826.080,25</w:t>
            </w:r>
          </w:p>
        </w:tc>
        <w:tc>
          <w:tcPr>
            <w:tcW w:w="531" w:type="pct"/>
            <w:tcBorders>
              <w:top w:val="single" w:sz="4" w:space="0" w:color="auto"/>
              <w:left w:val="single" w:sz="4" w:space="0" w:color="auto"/>
              <w:bottom w:val="nil"/>
            </w:tcBorders>
            <w:shd w:val="clear" w:color="auto" w:fill="auto"/>
            <w:noWrap/>
            <w:vAlign w:val="center"/>
            <w:hideMark/>
          </w:tcPr>
          <w:p w14:paraId="0344E829"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058B206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9.196.555,85</w:t>
            </w:r>
          </w:p>
        </w:tc>
        <w:tc>
          <w:tcPr>
            <w:tcW w:w="487" w:type="pct"/>
            <w:tcBorders>
              <w:top w:val="single" w:sz="4" w:space="0" w:color="auto"/>
              <w:bottom w:val="nil"/>
            </w:tcBorders>
            <w:shd w:val="clear" w:color="auto" w:fill="auto"/>
            <w:noWrap/>
            <w:vAlign w:val="center"/>
            <w:hideMark/>
          </w:tcPr>
          <w:p w14:paraId="4565AE3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26.629.524,40</w:t>
            </w:r>
          </w:p>
        </w:tc>
        <w:tc>
          <w:tcPr>
            <w:tcW w:w="337" w:type="pct"/>
            <w:tcBorders>
              <w:top w:val="single" w:sz="4" w:space="0" w:color="auto"/>
              <w:bottom w:val="nil"/>
            </w:tcBorders>
            <w:shd w:val="clear" w:color="auto" w:fill="auto"/>
            <w:noWrap/>
            <w:vAlign w:val="center"/>
            <w:hideMark/>
          </w:tcPr>
          <w:p w14:paraId="68D8317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2.794</w:t>
            </w:r>
          </w:p>
        </w:tc>
        <w:tc>
          <w:tcPr>
            <w:tcW w:w="393" w:type="pct"/>
            <w:tcBorders>
              <w:top w:val="single" w:sz="4" w:space="0" w:color="auto"/>
              <w:bottom w:val="nil"/>
            </w:tcBorders>
            <w:shd w:val="clear" w:color="auto" w:fill="auto"/>
            <w:noWrap/>
            <w:vAlign w:val="center"/>
            <w:hideMark/>
          </w:tcPr>
          <w:p w14:paraId="48EE31B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9.530,12</w:t>
            </w:r>
          </w:p>
        </w:tc>
        <w:tc>
          <w:tcPr>
            <w:tcW w:w="471" w:type="pct"/>
            <w:tcBorders>
              <w:top w:val="single" w:sz="4" w:space="0" w:color="auto"/>
              <w:bottom w:val="nil"/>
            </w:tcBorders>
            <w:vAlign w:val="bottom"/>
          </w:tcPr>
          <w:p w14:paraId="74F71080"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733,09</w:t>
            </w:r>
          </w:p>
        </w:tc>
      </w:tr>
      <w:tr w:rsidR="006356F1" w:rsidRPr="00C0505A" w14:paraId="0A738B86" w14:textId="77777777" w:rsidTr="00217400">
        <w:trPr>
          <w:trHeight w:val="227"/>
        </w:trPr>
        <w:tc>
          <w:tcPr>
            <w:tcW w:w="1722" w:type="pct"/>
            <w:tcBorders>
              <w:top w:val="nil"/>
              <w:bottom w:val="nil"/>
              <w:right w:val="nil"/>
            </w:tcBorders>
            <w:shd w:val="clear" w:color="auto" w:fill="auto"/>
            <w:noWrap/>
            <w:vAlign w:val="center"/>
            <w:hideMark/>
          </w:tcPr>
          <w:p w14:paraId="66E2EEE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chapas e de embalagens de papelão ondulado</w:t>
            </w:r>
          </w:p>
        </w:tc>
        <w:tc>
          <w:tcPr>
            <w:tcW w:w="531" w:type="pct"/>
            <w:tcBorders>
              <w:top w:val="nil"/>
              <w:left w:val="nil"/>
              <w:bottom w:val="nil"/>
              <w:right w:val="nil"/>
            </w:tcBorders>
            <w:shd w:val="clear" w:color="auto" w:fill="auto"/>
            <w:noWrap/>
            <w:vAlign w:val="center"/>
            <w:hideMark/>
          </w:tcPr>
          <w:p w14:paraId="2AF3293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6.348.320,71</w:t>
            </w:r>
          </w:p>
        </w:tc>
        <w:tc>
          <w:tcPr>
            <w:tcW w:w="531" w:type="pct"/>
            <w:tcBorders>
              <w:top w:val="nil"/>
              <w:left w:val="nil"/>
              <w:bottom w:val="nil"/>
              <w:right w:val="nil"/>
            </w:tcBorders>
            <w:shd w:val="clear" w:color="auto" w:fill="auto"/>
            <w:noWrap/>
            <w:vAlign w:val="center"/>
            <w:hideMark/>
          </w:tcPr>
          <w:p w14:paraId="4D81305F"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left w:val="nil"/>
              <w:bottom w:val="nil"/>
              <w:right w:val="nil"/>
            </w:tcBorders>
            <w:shd w:val="clear" w:color="auto" w:fill="auto"/>
            <w:noWrap/>
            <w:vAlign w:val="center"/>
            <w:hideMark/>
          </w:tcPr>
          <w:p w14:paraId="70297CF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1.338.216,36</w:t>
            </w:r>
          </w:p>
        </w:tc>
        <w:tc>
          <w:tcPr>
            <w:tcW w:w="487" w:type="pct"/>
            <w:tcBorders>
              <w:top w:val="nil"/>
              <w:left w:val="nil"/>
              <w:bottom w:val="nil"/>
              <w:right w:val="nil"/>
            </w:tcBorders>
            <w:shd w:val="clear" w:color="auto" w:fill="auto"/>
            <w:noWrap/>
            <w:vAlign w:val="center"/>
            <w:hideMark/>
          </w:tcPr>
          <w:p w14:paraId="02ACAC8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5.010.104,35</w:t>
            </w:r>
          </w:p>
        </w:tc>
        <w:tc>
          <w:tcPr>
            <w:tcW w:w="337" w:type="pct"/>
            <w:tcBorders>
              <w:top w:val="nil"/>
              <w:left w:val="nil"/>
              <w:bottom w:val="nil"/>
              <w:right w:val="nil"/>
            </w:tcBorders>
            <w:shd w:val="clear" w:color="auto" w:fill="auto"/>
            <w:noWrap/>
            <w:vAlign w:val="center"/>
            <w:hideMark/>
          </w:tcPr>
          <w:p w14:paraId="3563C74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367</w:t>
            </w:r>
          </w:p>
        </w:tc>
        <w:tc>
          <w:tcPr>
            <w:tcW w:w="393" w:type="pct"/>
            <w:tcBorders>
              <w:top w:val="nil"/>
              <w:left w:val="nil"/>
              <w:bottom w:val="nil"/>
            </w:tcBorders>
            <w:shd w:val="clear" w:color="auto" w:fill="auto"/>
            <w:noWrap/>
            <w:vAlign w:val="center"/>
            <w:hideMark/>
          </w:tcPr>
          <w:p w14:paraId="4FE0E1E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13.667,03</w:t>
            </w:r>
          </w:p>
        </w:tc>
        <w:tc>
          <w:tcPr>
            <w:tcW w:w="471" w:type="pct"/>
            <w:tcBorders>
              <w:top w:val="nil"/>
              <w:left w:val="nil"/>
              <w:bottom w:val="nil"/>
            </w:tcBorders>
            <w:vAlign w:val="bottom"/>
          </w:tcPr>
          <w:p w14:paraId="01468BF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1.051,31</w:t>
            </w:r>
          </w:p>
        </w:tc>
      </w:tr>
      <w:tr w:rsidR="006356F1" w:rsidRPr="00C0505A" w14:paraId="7C75C929" w14:textId="77777777" w:rsidTr="00217400">
        <w:trPr>
          <w:trHeight w:val="227"/>
        </w:trPr>
        <w:tc>
          <w:tcPr>
            <w:tcW w:w="1722" w:type="pct"/>
            <w:tcBorders>
              <w:top w:val="nil"/>
              <w:bottom w:val="nil"/>
              <w:right w:val="nil"/>
            </w:tcBorders>
            <w:shd w:val="clear" w:color="auto" w:fill="auto"/>
            <w:noWrap/>
            <w:vAlign w:val="center"/>
            <w:hideMark/>
          </w:tcPr>
          <w:p w14:paraId="0DBC478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embalagens de papel</w:t>
            </w:r>
          </w:p>
        </w:tc>
        <w:tc>
          <w:tcPr>
            <w:tcW w:w="531" w:type="pct"/>
            <w:tcBorders>
              <w:top w:val="nil"/>
              <w:left w:val="nil"/>
              <w:bottom w:val="nil"/>
              <w:right w:val="nil"/>
            </w:tcBorders>
            <w:shd w:val="clear" w:color="auto" w:fill="auto"/>
            <w:noWrap/>
            <w:vAlign w:val="center"/>
            <w:hideMark/>
          </w:tcPr>
          <w:p w14:paraId="0B11061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8.954.186,71</w:t>
            </w:r>
          </w:p>
        </w:tc>
        <w:tc>
          <w:tcPr>
            <w:tcW w:w="531" w:type="pct"/>
            <w:tcBorders>
              <w:top w:val="nil"/>
              <w:left w:val="nil"/>
              <w:bottom w:val="nil"/>
              <w:right w:val="nil"/>
            </w:tcBorders>
            <w:shd w:val="clear" w:color="auto" w:fill="auto"/>
            <w:noWrap/>
            <w:vAlign w:val="center"/>
            <w:hideMark/>
          </w:tcPr>
          <w:p w14:paraId="272240E2"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left w:val="nil"/>
              <w:bottom w:val="nil"/>
              <w:right w:val="nil"/>
            </w:tcBorders>
            <w:shd w:val="clear" w:color="auto" w:fill="auto"/>
            <w:noWrap/>
            <w:vAlign w:val="center"/>
            <w:hideMark/>
          </w:tcPr>
          <w:p w14:paraId="681FEE9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2.104.919,45</w:t>
            </w:r>
          </w:p>
        </w:tc>
        <w:tc>
          <w:tcPr>
            <w:tcW w:w="487" w:type="pct"/>
            <w:tcBorders>
              <w:top w:val="nil"/>
              <w:left w:val="nil"/>
              <w:bottom w:val="nil"/>
              <w:right w:val="nil"/>
            </w:tcBorders>
            <w:shd w:val="clear" w:color="auto" w:fill="auto"/>
            <w:noWrap/>
            <w:vAlign w:val="center"/>
            <w:hideMark/>
          </w:tcPr>
          <w:p w14:paraId="2C11CA5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6.849.267,26</w:t>
            </w:r>
          </w:p>
        </w:tc>
        <w:tc>
          <w:tcPr>
            <w:tcW w:w="337" w:type="pct"/>
            <w:tcBorders>
              <w:top w:val="nil"/>
              <w:left w:val="nil"/>
              <w:bottom w:val="nil"/>
              <w:right w:val="nil"/>
            </w:tcBorders>
            <w:shd w:val="clear" w:color="auto" w:fill="auto"/>
            <w:noWrap/>
            <w:vAlign w:val="center"/>
            <w:hideMark/>
          </w:tcPr>
          <w:p w14:paraId="418BA6A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804</w:t>
            </w:r>
          </w:p>
        </w:tc>
        <w:tc>
          <w:tcPr>
            <w:tcW w:w="393" w:type="pct"/>
            <w:tcBorders>
              <w:top w:val="nil"/>
              <w:left w:val="nil"/>
              <w:bottom w:val="nil"/>
            </w:tcBorders>
            <w:shd w:val="clear" w:color="auto" w:fill="auto"/>
            <w:noWrap/>
            <w:vAlign w:val="center"/>
            <w:hideMark/>
          </w:tcPr>
          <w:p w14:paraId="2585EA2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8.516,34</w:t>
            </w:r>
          </w:p>
        </w:tc>
        <w:tc>
          <w:tcPr>
            <w:tcW w:w="471" w:type="pct"/>
            <w:tcBorders>
              <w:top w:val="nil"/>
              <w:left w:val="nil"/>
              <w:bottom w:val="nil"/>
            </w:tcBorders>
            <w:vAlign w:val="bottom"/>
          </w:tcPr>
          <w:p w14:paraId="1D73BF1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655,10</w:t>
            </w:r>
          </w:p>
        </w:tc>
      </w:tr>
      <w:tr w:rsidR="006356F1" w:rsidRPr="00C0505A" w14:paraId="05ABFA66" w14:textId="77777777" w:rsidTr="00217400">
        <w:trPr>
          <w:trHeight w:val="227"/>
        </w:trPr>
        <w:tc>
          <w:tcPr>
            <w:tcW w:w="1722" w:type="pct"/>
            <w:tcBorders>
              <w:top w:val="nil"/>
              <w:bottom w:val="nil"/>
              <w:right w:val="nil"/>
            </w:tcBorders>
            <w:shd w:val="clear" w:color="auto" w:fill="auto"/>
            <w:noWrap/>
            <w:vAlign w:val="center"/>
            <w:hideMark/>
          </w:tcPr>
          <w:p w14:paraId="4DB32FDE"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formulários contínuos</w:t>
            </w:r>
          </w:p>
        </w:tc>
        <w:tc>
          <w:tcPr>
            <w:tcW w:w="531" w:type="pct"/>
            <w:tcBorders>
              <w:top w:val="nil"/>
              <w:left w:val="nil"/>
              <w:bottom w:val="nil"/>
              <w:right w:val="nil"/>
            </w:tcBorders>
            <w:shd w:val="clear" w:color="auto" w:fill="auto"/>
            <w:noWrap/>
            <w:vAlign w:val="center"/>
            <w:hideMark/>
          </w:tcPr>
          <w:p w14:paraId="6E4028C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747.298,45</w:t>
            </w:r>
          </w:p>
        </w:tc>
        <w:tc>
          <w:tcPr>
            <w:tcW w:w="531" w:type="pct"/>
            <w:tcBorders>
              <w:top w:val="nil"/>
              <w:left w:val="nil"/>
              <w:bottom w:val="nil"/>
              <w:right w:val="nil"/>
            </w:tcBorders>
            <w:shd w:val="clear" w:color="auto" w:fill="auto"/>
            <w:noWrap/>
            <w:vAlign w:val="center"/>
            <w:hideMark/>
          </w:tcPr>
          <w:p w14:paraId="2E69E916"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left w:val="nil"/>
              <w:bottom w:val="nil"/>
              <w:right w:val="nil"/>
            </w:tcBorders>
            <w:shd w:val="clear" w:color="auto" w:fill="auto"/>
            <w:noWrap/>
            <w:vAlign w:val="center"/>
            <w:hideMark/>
          </w:tcPr>
          <w:p w14:paraId="301FB5D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114.717,36</w:t>
            </w:r>
          </w:p>
        </w:tc>
        <w:tc>
          <w:tcPr>
            <w:tcW w:w="487" w:type="pct"/>
            <w:tcBorders>
              <w:top w:val="nil"/>
              <w:left w:val="nil"/>
              <w:bottom w:val="nil"/>
              <w:right w:val="nil"/>
            </w:tcBorders>
            <w:shd w:val="clear" w:color="auto" w:fill="auto"/>
            <w:noWrap/>
            <w:vAlign w:val="center"/>
            <w:hideMark/>
          </w:tcPr>
          <w:p w14:paraId="4B90434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632.581,09</w:t>
            </w:r>
          </w:p>
        </w:tc>
        <w:tc>
          <w:tcPr>
            <w:tcW w:w="337" w:type="pct"/>
            <w:tcBorders>
              <w:top w:val="nil"/>
              <w:left w:val="nil"/>
              <w:bottom w:val="nil"/>
              <w:right w:val="nil"/>
            </w:tcBorders>
            <w:shd w:val="clear" w:color="auto" w:fill="auto"/>
            <w:noWrap/>
            <w:vAlign w:val="center"/>
            <w:hideMark/>
          </w:tcPr>
          <w:p w14:paraId="78713DB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111</w:t>
            </w:r>
          </w:p>
        </w:tc>
        <w:tc>
          <w:tcPr>
            <w:tcW w:w="393" w:type="pct"/>
            <w:tcBorders>
              <w:top w:val="nil"/>
              <w:left w:val="nil"/>
              <w:bottom w:val="nil"/>
            </w:tcBorders>
            <w:shd w:val="clear" w:color="auto" w:fill="auto"/>
            <w:noWrap/>
            <w:vAlign w:val="center"/>
            <w:hideMark/>
          </w:tcPr>
          <w:p w14:paraId="2B59E0F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5.716,09</w:t>
            </w:r>
          </w:p>
        </w:tc>
        <w:tc>
          <w:tcPr>
            <w:tcW w:w="471" w:type="pct"/>
            <w:tcBorders>
              <w:top w:val="nil"/>
              <w:left w:val="nil"/>
              <w:bottom w:val="nil"/>
            </w:tcBorders>
            <w:vAlign w:val="bottom"/>
          </w:tcPr>
          <w:p w14:paraId="32190A4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439,70</w:t>
            </w:r>
          </w:p>
        </w:tc>
      </w:tr>
      <w:tr w:rsidR="006356F1" w:rsidRPr="00C0505A" w14:paraId="2FAFFEA6" w14:textId="77777777" w:rsidTr="00217400">
        <w:trPr>
          <w:trHeight w:val="227"/>
        </w:trPr>
        <w:tc>
          <w:tcPr>
            <w:tcW w:w="1722" w:type="pct"/>
            <w:tcBorders>
              <w:top w:val="nil"/>
              <w:bottom w:val="nil"/>
              <w:right w:val="nil"/>
            </w:tcBorders>
            <w:shd w:val="clear" w:color="auto" w:fill="auto"/>
            <w:noWrap/>
            <w:vAlign w:val="center"/>
            <w:hideMark/>
          </w:tcPr>
          <w:p w14:paraId="31B1BBCD"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fraldas descartáveis</w:t>
            </w:r>
          </w:p>
        </w:tc>
        <w:tc>
          <w:tcPr>
            <w:tcW w:w="531" w:type="pct"/>
            <w:tcBorders>
              <w:top w:val="nil"/>
              <w:left w:val="nil"/>
              <w:bottom w:val="nil"/>
              <w:right w:val="nil"/>
            </w:tcBorders>
            <w:shd w:val="clear" w:color="auto" w:fill="auto"/>
            <w:noWrap/>
            <w:vAlign w:val="center"/>
            <w:hideMark/>
          </w:tcPr>
          <w:p w14:paraId="0A7E696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662.275,69</w:t>
            </w:r>
          </w:p>
        </w:tc>
        <w:tc>
          <w:tcPr>
            <w:tcW w:w="531" w:type="pct"/>
            <w:tcBorders>
              <w:top w:val="nil"/>
              <w:left w:val="nil"/>
              <w:bottom w:val="nil"/>
              <w:right w:val="nil"/>
            </w:tcBorders>
            <w:shd w:val="clear" w:color="auto" w:fill="auto"/>
            <w:noWrap/>
            <w:vAlign w:val="center"/>
            <w:hideMark/>
          </w:tcPr>
          <w:p w14:paraId="2E9EB4FE"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left w:val="nil"/>
              <w:bottom w:val="nil"/>
              <w:right w:val="nil"/>
            </w:tcBorders>
            <w:shd w:val="clear" w:color="auto" w:fill="auto"/>
            <w:noWrap/>
            <w:vAlign w:val="center"/>
            <w:hideMark/>
          </w:tcPr>
          <w:p w14:paraId="199231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153.042,64</w:t>
            </w:r>
          </w:p>
        </w:tc>
        <w:tc>
          <w:tcPr>
            <w:tcW w:w="487" w:type="pct"/>
            <w:tcBorders>
              <w:top w:val="nil"/>
              <w:left w:val="nil"/>
              <w:bottom w:val="nil"/>
              <w:right w:val="nil"/>
            </w:tcBorders>
            <w:shd w:val="clear" w:color="auto" w:fill="auto"/>
            <w:noWrap/>
            <w:vAlign w:val="center"/>
            <w:hideMark/>
          </w:tcPr>
          <w:p w14:paraId="1884517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509.233,05</w:t>
            </w:r>
          </w:p>
        </w:tc>
        <w:tc>
          <w:tcPr>
            <w:tcW w:w="337" w:type="pct"/>
            <w:tcBorders>
              <w:top w:val="nil"/>
              <w:left w:val="nil"/>
              <w:bottom w:val="nil"/>
              <w:right w:val="nil"/>
            </w:tcBorders>
            <w:shd w:val="clear" w:color="auto" w:fill="auto"/>
            <w:noWrap/>
            <w:vAlign w:val="center"/>
            <w:hideMark/>
          </w:tcPr>
          <w:p w14:paraId="2736B24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104</w:t>
            </w:r>
          </w:p>
        </w:tc>
        <w:tc>
          <w:tcPr>
            <w:tcW w:w="393" w:type="pct"/>
            <w:tcBorders>
              <w:top w:val="nil"/>
              <w:left w:val="nil"/>
              <w:bottom w:val="nil"/>
            </w:tcBorders>
            <w:shd w:val="clear" w:color="auto" w:fill="auto"/>
            <w:noWrap/>
            <w:vAlign w:val="center"/>
            <w:hideMark/>
          </w:tcPr>
          <w:p w14:paraId="78630CE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4.916,17</w:t>
            </w:r>
          </w:p>
        </w:tc>
        <w:tc>
          <w:tcPr>
            <w:tcW w:w="471" w:type="pct"/>
            <w:tcBorders>
              <w:top w:val="nil"/>
              <w:left w:val="nil"/>
              <w:bottom w:val="nil"/>
            </w:tcBorders>
            <w:vAlign w:val="bottom"/>
          </w:tcPr>
          <w:p w14:paraId="0AF337C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378,17</w:t>
            </w:r>
          </w:p>
        </w:tc>
      </w:tr>
      <w:tr w:rsidR="006356F1" w:rsidRPr="00C0505A" w14:paraId="76EA0BA1" w14:textId="77777777" w:rsidTr="00217400">
        <w:trPr>
          <w:trHeight w:val="227"/>
        </w:trPr>
        <w:tc>
          <w:tcPr>
            <w:tcW w:w="1722" w:type="pct"/>
            <w:tcBorders>
              <w:top w:val="nil"/>
              <w:bottom w:val="nil"/>
              <w:right w:val="nil"/>
            </w:tcBorders>
            <w:shd w:val="clear" w:color="auto" w:fill="auto"/>
            <w:noWrap/>
            <w:vAlign w:val="center"/>
            <w:hideMark/>
          </w:tcPr>
          <w:p w14:paraId="0DC8FDF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papel</w:t>
            </w:r>
          </w:p>
        </w:tc>
        <w:tc>
          <w:tcPr>
            <w:tcW w:w="531" w:type="pct"/>
            <w:tcBorders>
              <w:top w:val="nil"/>
              <w:left w:val="nil"/>
              <w:bottom w:val="nil"/>
              <w:right w:val="nil"/>
            </w:tcBorders>
            <w:shd w:val="clear" w:color="auto" w:fill="auto"/>
            <w:noWrap/>
            <w:vAlign w:val="center"/>
            <w:hideMark/>
          </w:tcPr>
          <w:p w14:paraId="72C400D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14.044.883,16</w:t>
            </w:r>
          </w:p>
        </w:tc>
        <w:tc>
          <w:tcPr>
            <w:tcW w:w="531" w:type="pct"/>
            <w:tcBorders>
              <w:top w:val="nil"/>
              <w:left w:val="nil"/>
              <w:bottom w:val="nil"/>
              <w:right w:val="nil"/>
            </w:tcBorders>
            <w:shd w:val="clear" w:color="auto" w:fill="auto"/>
            <w:noWrap/>
            <w:vAlign w:val="center"/>
            <w:hideMark/>
          </w:tcPr>
          <w:p w14:paraId="6461FC18"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left w:val="nil"/>
              <w:bottom w:val="nil"/>
              <w:right w:val="nil"/>
            </w:tcBorders>
            <w:shd w:val="clear" w:color="auto" w:fill="auto"/>
            <w:noWrap/>
            <w:vAlign w:val="center"/>
            <w:hideMark/>
          </w:tcPr>
          <w:p w14:paraId="1E110E7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3.940.348,26</w:t>
            </w:r>
          </w:p>
        </w:tc>
        <w:tc>
          <w:tcPr>
            <w:tcW w:w="487" w:type="pct"/>
            <w:tcBorders>
              <w:top w:val="nil"/>
              <w:left w:val="nil"/>
              <w:bottom w:val="nil"/>
              <w:right w:val="nil"/>
            </w:tcBorders>
            <w:shd w:val="clear" w:color="auto" w:fill="auto"/>
            <w:noWrap/>
            <w:vAlign w:val="center"/>
            <w:hideMark/>
          </w:tcPr>
          <w:p w14:paraId="0F63EA3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10.104.534,90</w:t>
            </w:r>
          </w:p>
        </w:tc>
        <w:tc>
          <w:tcPr>
            <w:tcW w:w="337" w:type="pct"/>
            <w:tcBorders>
              <w:top w:val="nil"/>
              <w:left w:val="nil"/>
              <w:bottom w:val="nil"/>
              <w:right w:val="nil"/>
            </w:tcBorders>
            <w:shd w:val="clear" w:color="auto" w:fill="auto"/>
            <w:noWrap/>
            <w:vAlign w:val="center"/>
            <w:hideMark/>
          </w:tcPr>
          <w:p w14:paraId="071CAEF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547</w:t>
            </w:r>
          </w:p>
        </w:tc>
        <w:tc>
          <w:tcPr>
            <w:tcW w:w="393" w:type="pct"/>
            <w:tcBorders>
              <w:top w:val="nil"/>
              <w:left w:val="nil"/>
              <w:bottom w:val="nil"/>
            </w:tcBorders>
            <w:shd w:val="clear" w:color="auto" w:fill="auto"/>
            <w:noWrap/>
            <w:vAlign w:val="center"/>
            <w:hideMark/>
          </w:tcPr>
          <w:p w14:paraId="7271576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18.483,91</w:t>
            </w:r>
          </w:p>
        </w:tc>
        <w:tc>
          <w:tcPr>
            <w:tcW w:w="471" w:type="pct"/>
            <w:tcBorders>
              <w:top w:val="nil"/>
              <w:left w:val="nil"/>
              <w:bottom w:val="nil"/>
            </w:tcBorders>
            <w:vAlign w:val="bottom"/>
          </w:tcPr>
          <w:p w14:paraId="013204A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1.421,84</w:t>
            </w:r>
          </w:p>
        </w:tc>
      </w:tr>
      <w:tr w:rsidR="006356F1" w:rsidRPr="00C0505A" w14:paraId="2968521B" w14:textId="77777777" w:rsidTr="00217400">
        <w:trPr>
          <w:trHeight w:val="227"/>
        </w:trPr>
        <w:tc>
          <w:tcPr>
            <w:tcW w:w="1722" w:type="pct"/>
            <w:tcBorders>
              <w:top w:val="nil"/>
              <w:bottom w:val="single" w:sz="4" w:space="0" w:color="auto"/>
            </w:tcBorders>
            <w:shd w:val="clear" w:color="auto" w:fill="auto"/>
            <w:noWrap/>
            <w:vAlign w:val="center"/>
            <w:hideMark/>
          </w:tcPr>
          <w:p w14:paraId="0BCD14D5"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Fabricação de produtos de pastas celulósicas, papel, cartolina, papel-cartão e etc</w:t>
            </w:r>
          </w:p>
        </w:tc>
        <w:tc>
          <w:tcPr>
            <w:tcW w:w="531" w:type="pct"/>
            <w:tcBorders>
              <w:top w:val="nil"/>
              <w:bottom w:val="single" w:sz="4" w:space="0" w:color="auto"/>
            </w:tcBorders>
            <w:shd w:val="clear" w:color="auto" w:fill="auto"/>
            <w:noWrap/>
            <w:vAlign w:val="center"/>
            <w:hideMark/>
          </w:tcPr>
          <w:p w14:paraId="55A4D94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5.069.115,53</w:t>
            </w:r>
          </w:p>
        </w:tc>
        <w:tc>
          <w:tcPr>
            <w:tcW w:w="531" w:type="pct"/>
            <w:tcBorders>
              <w:top w:val="nil"/>
              <w:bottom w:val="single" w:sz="4" w:space="0" w:color="auto"/>
            </w:tcBorders>
            <w:shd w:val="clear" w:color="auto" w:fill="auto"/>
            <w:noWrap/>
            <w:vAlign w:val="center"/>
            <w:hideMark/>
          </w:tcPr>
          <w:p w14:paraId="302FCDC9"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bottom w:val="single" w:sz="4" w:space="0" w:color="auto"/>
            </w:tcBorders>
            <w:shd w:val="clear" w:color="auto" w:fill="auto"/>
            <w:noWrap/>
            <w:vAlign w:val="center"/>
            <w:hideMark/>
          </w:tcPr>
          <w:p w14:paraId="34F667D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1.545.311,78</w:t>
            </w:r>
          </w:p>
        </w:tc>
        <w:tc>
          <w:tcPr>
            <w:tcW w:w="487" w:type="pct"/>
            <w:tcBorders>
              <w:top w:val="nil"/>
              <w:bottom w:val="single" w:sz="4" w:space="0" w:color="auto"/>
            </w:tcBorders>
            <w:shd w:val="clear" w:color="auto" w:fill="auto"/>
            <w:noWrap/>
            <w:vAlign w:val="center"/>
            <w:hideMark/>
          </w:tcPr>
          <w:p w14:paraId="6BF9A7E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4.985.232,68</w:t>
            </w:r>
          </w:p>
        </w:tc>
        <w:tc>
          <w:tcPr>
            <w:tcW w:w="337" w:type="pct"/>
            <w:tcBorders>
              <w:top w:val="nil"/>
              <w:bottom w:val="single" w:sz="4" w:space="0" w:color="auto"/>
            </w:tcBorders>
            <w:shd w:val="clear" w:color="auto" w:fill="auto"/>
            <w:noWrap/>
            <w:vAlign w:val="center"/>
            <w:hideMark/>
          </w:tcPr>
          <w:p w14:paraId="63ABF14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863</w:t>
            </w:r>
          </w:p>
        </w:tc>
        <w:tc>
          <w:tcPr>
            <w:tcW w:w="393" w:type="pct"/>
            <w:tcBorders>
              <w:top w:val="nil"/>
              <w:bottom w:val="single" w:sz="4" w:space="0" w:color="auto"/>
            </w:tcBorders>
            <w:shd w:val="clear" w:color="auto" w:fill="auto"/>
            <w:noWrap/>
            <w:vAlign w:val="center"/>
            <w:hideMark/>
          </w:tcPr>
          <w:p w14:paraId="565359C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5.779,80</w:t>
            </w:r>
          </w:p>
        </w:tc>
        <w:tc>
          <w:tcPr>
            <w:tcW w:w="471" w:type="pct"/>
            <w:tcBorders>
              <w:top w:val="nil"/>
              <w:bottom w:val="single" w:sz="4" w:space="0" w:color="auto"/>
            </w:tcBorders>
            <w:vAlign w:val="bottom"/>
          </w:tcPr>
          <w:p w14:paraId="56A8EBB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444,6</w:t>
            </w:r>
          </w:p>
        </w:tc>
      </w:tr>
      <w:tr w:rsidR="006356F1" w:rsidRPr="00C0505A" w14:paraId="52717561" w14:textId="77777777" w:rsidTr="00217400">
        <w:trPr>
          <w:trHeight w:val="227"/>
        </w:trPr>
        <w:tc>
          <w:tcPr>
            <w:tcW w:w="1722" w:type="pct"/>
            <w:tcBorders>
              <w:top w:val="single" w:sz="4" w:space="0" w:color="auto"/>
              <w:bottom w:val="nil"/>
            </w:tcBorders>
            <w:shd w:val="clear" w:color="auto" w:fill="auto"/>
            <w:noWrap/>
            <w:vAlign w:val="center"/>
            <w:hideMark/>
          </w:tcPr>
          <w:p w14:paraId="2222A23D"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COQUE, DE PRODUTOS DERIVADOS DO PETRÓLEO E DE BIOCOMBUSTÍVEIS</w:t>
            </w:r>
          </w:p>
        </w:tc>
        <w:tc>
          <w:tcPr>
            <w:tcW w:w="531" w:type="pct"/>
            <w:tcBorders>
              <w:top w:val="single" w:sz="4" w:space="0" w:color="auto"/>
              <w:bottom w:val="nil"/>
            </w:tcBorders>
            <w:shd w:val="clear" w:color="auto" w:fill="auto"/>
            <w:noWrap/>
            <w:vAlign w:val="center"/>
            <w:hideMark/>
          </w:tcPr>
          <w:p w14:paraId="25B6BC2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737.819.402,55</w:t>
            </w:r>
          </w:p>
        </w:tc>
        <w:tc>
          <w:tcPr>
            <w:tcW w:w="531" w:type="pct"/>
            <w:tcBorders>
              <w:top w:val="single" w:sz="4" w:space="0" w:color="auto"/>
              <w:bottom w:val="nil"/>
            </w:tcBorders>
            <w:shd w:val="clear" w:color="auto" w:fill="auto"/>
            <w:noWrap/>
            <w:vAlign w:val="center"/>
            <w:hideMark/>
          </w:tcPr>
          <w:p w14:paraId="6E5BF9C7"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146.627.923,03</w:t>
            </w:r>
          </w:p>
        </w:tc>
        <w:tc>
          <w:tcPr>
            <w:tcW w:w="529" w:type="pct"/>
            <w:tcBorders>
              <w:top w:val="single" w:sz="4" w:space="0" w:color="auto"/>
              <w:bottom w:val="nil"/>
            </w:tcBorders>
            <w:shd w:val="clear" w:color="auto" w:fill="auto"/>
            <w:noWrap/>
            <w:vAlign w:val="center"/>
            <w:hideMark/>
          </w:tcPr>
          <w:p w14:paraId="598A458C"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153.461.756,23</w:t>
            </w:r>
          </w:p>
        </w:tc>
        <w:tc>
          <w:tcPr>
            <w:tcW w:w="487" w:type="pct"/>
            <w:tcBorders>
              <w:top w:val="single" w:sz="4" w:space="0" w:color="auto"/>
              <w:bottom w:val="nil"/>
            </w:tcBorders>
            <w:shd w:val="clear" w:color="auto" w:fill="auto"/>
            <w:noWrap/>
            <w:vAlign w:val="center"/>
            <w:hideMark/>
          </w:tcPr>
          <w:p w14:paraId="289AE83F"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730.985.569,35</w:t>
            </w:r>
          </w:p>
        </w:tc>
        <w:tc>
          <w:tcPr>
            <w:tcW w:w="337" w:type="pct"/>
            <w:tcBorders>
              <w:top w:val="single" w:sz="4" w:space="0" w:color="auto"/>
              <w:bottom w:val="nil"/>
            </w:tcBorders>
            <w:shd w:val="clear" w:color="auto" w:fill="auto"/>
            <w:noWrap/>
            <w:vAlign w:val="center"/>
            <w:hideMark/>
          </w:tcPr>
          <w:p w14:paraId="59CC914D"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18.094</w:t>
            </w:r>
          </w:p>
        </w:tc>
        <w:tc>
          <w:tcPr>
            <w:tcW w:w="393" w:type="pct"/>
            <w:tcBorders>
              <w:top w:val="single" w:sz="4" w:space="0" w:color="auto"/>
              <w:bottom w:val="nil"/>
            </w:tcBorders>
            <w:shd w:val="clear" w:color="auto" w:fill="auto"/>
            <w:noWrap/>
            <w:vAlign w:val="center"/>
            <w:hideMark/>
          </w:tcPr>
          <w:p w14:paraId="17EF1DB4"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40.398,40</w:t>
            </w:r>
          </w:p>
        </w:tc>
        <w:tc>
          <w:tcPr>
            <w:tcW w:w="471" w:type="pct"/>
            <w:tcBorders>
              <w:top w:val="single" w:sz="4" w:space="0" w:color="auto"/>
              <w:bottom w:val="nil"/>
            </w:tcBorders>
            <w:vAlign w:val="center"/>
          </w:tcPr>
          <w:p w14:paraId="4B5336FD"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3.107,57</w:t>
            </w:r>
          </w:p>
        </w:tc>
      </w:tr>
      <w:tr w:rsidR="006356F1" w:rsidRPr="00C0505A" w14:paraId="41A57BA1" w14:textId="77777777" w:rsidTr="00217400">
        <w:trPr>
          <w:trHeight w:val="227"/>
        </w:trPr>
        <w:tc>
          <w:tcPr>
            <w:tcW w:w="1722" w:type="pct"/>
            <w:tcBorders>
              <w:top w:val="nil"/>
            </w:tcBorders>
            <w:shd w:val="clear" w:color="auto" w:fill="auto"/>
            <w:noWrap/>
            <w:vAlign w:val="center"/>
            <w:hideMark/>
          </w:tcPr>
          <w:p w14:paraId="65B0F28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álcool</w:t>
            </w:r>
          </w:p>
        </w:tc>
        <w:tc>
          <w:tcPr>
            <w:tcW w:w="531" w:type="pct"/>
            <w:tcBorders>
              <w:top w:val="nil"/>
            </w:tcBorders>
            <w:shd w:val="clear" w:color="auto" w:fill="auto"/>
            <w:noWrap/>
            <w:vAlign w:val="center"/>
            <w:hideMark/>
          </w:tcPr>
          <w:p w14:paraId="50556BF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710.273.744,55</w:t>
            </w:r>
          </w:p>
        </w:tc>
        <w:tc>
          <w:tcPr>
            <w:tcW w:w="531" w:type="pct"/>
            <w:tcBorders>
              <w:top w:val="nil"/>
            </w:tcBorders>
            <w:shd w:val="clear" w:color="auto" w:fill="auto"/>
            <w:noWrap/>
            <w:vAlign w:val="center"/>
            <w:hideMark/>
          </w:tcPr>
          <w:p w14:paraId="781C397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143.915.820,60</w:t>
            </w:r>
          </w:p>
        </w:tc>
        <w:tc>
          <w:tcPr>
            <w:tcW w:w="529" w:type="pct"/>
            <w:tcBorders>
              <w:top w:val="nil"/>
            </w:tcBorders>
            <w:shd w:val="clear" w:color="auto" w:fill="auto"/>
            <w:noWrap/>
            <w:vAlign w:val="center"/>
            <w:hideMark/>
          </w:tcPr>
          <w:p w14:paraId="6DD5C71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147.515.822,53</w:t>
            </w:r>
          </w:p>
        </w:tc>
        <w:tc>
          <w:tcPr>
            <w:tcW w:w="487" w:type="pct"/>
            <w:tcBorders>
              <w:top w:val="nil"/>
            </w:tcBorders>
            <w:shd w:val="clear" w:color="auto" w:fill="auto"/>
            <w:noWrap/>
            <w:vAlign w:val="center"/>
            <w:hideMark/>
          </w:tcPr>
          <w:p w14:paraId="3D44ED5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706.673.742,62</w:t>
            </w:r>
          </w:p>
        </w:tc>
        <w:tc>
          <w:tcPr>
            <w:tcW w:w="337" w:type="pct"/>
            <w:tcBorders>
              <w:top w:val="nil"/>
            </w:tcBorders>
            <w:shd w:val="clear" w:color="auto" w:fill="auto"/>
            <w:noWrap/>
            <w:vAlign w:val="center"/>
            <w:hideMark/>
          </w:tcPr>
          <w:p w14:paraId="18511C6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17.770</w:t>
            </w:r>
          </w:p>
        </w:tc>
        <w:tc>
          <w:tcPr>
            <w:tcW w:w="393" w:type="pct"/>
            <w:tcBorders>
              <w:top w:val="nil"/>
            </w:tcBorders>
            <w:shd w:val="clear" w:color="auto" w:fill="auto"/>
            <w:noWrap/>
            <w:vAlign w:val="center"/>
            <w:hideMark/>
          </w:tcPr>
          <w:p w14:paraId="7ABBB5C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39.767,80</w:t>
            </w:r>
          </w:p>
        </w:tc>
        <w:tc>
          <w:tcPr>
            <w:tcW w:w="471" w:type="pct"/>
            <w:tcBorders>
              <w:top w:val="nil"/>
            </w:tcBorders>
            <w:vAlign w:val="center"/>
          </w:tcPr>
          <w:p w14:paraId="0E39274D" w14:textId="77777777" w:rsidR="006356F1" w:rsidRPr="00C0505A" w:rsidRDefault="006356F1" w:rsidP="00217400">
            <w:pPr>
              <w:jc w:val="right"/>
              <w:rPr>
                <w:rFonts w:asciiTheme="minorHAnsi" w:hAnsiTheme="minorHAnsi" w:cstheme="minorHAnsi"/>
                <w:bCs/>
                <w:color w:val="000000"/>
                <w:sz w:val="24"/>
                <w:szCs w:val="16"/>
              </w:rPr>
            </w:pPr>
            <w:r w:rsidRPr="00C0505A">
              <w:rPr>
                <w:rFonts w:asciiTheme="minorHAnsi" w:hAnsiTheme="minorHAnsi" w:cstheme="minorHAnsi"/>
                <w:bCs/>
                <w:color w:val="000000"/>
                <w:sz w:val="24"/>
                <w:szCs w:val="16"/>
              </w:rPr>
              <w:t>3.059,06</w:t>
            </w:r>
          </w:p>
        </w:tc>
      </w:tr>
      <w:tr w:rsidR="006356F1" w:rsidRPr="00C0505A" w14:paraId="428276C1" w14:textId="77777777" w:rsidTr="00217400">
        <w:trPr>
          <w:trHeight w:val="227"/>
        </w:trPr>
        <w:tc>
          <w:tcPr>
            <w:tcW w:w="1722" w:type="pct"/>
            <w:tcBorders>
              <w:bottom w:val="single" w:sz="4" w:space="0" w:color="auto"/>
            </w:tcBorders>
            <w:shd w:val="clear" w:color="auto" w:fill="auto"/>
            <w:noWrap/>
            <w:vAlign w:val="center"/>
            <w:hideMark/>
          </w:tcPr>
          <w:p w14:paraId="0484B45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biocombustíveis, exceto álcool</w:t>
            </w:r>
          </w:p>
        </w:tc>
        <w:tc>
          <w:tcPr>
            <w:tcW w:w="531" w:type="pct"/>
            <w:tcBorders>
              <w:bottom w:val="single" w:sz="4" w:space="0" w:color="auto"/>
            </w:tcBorders>
            <w:shd w:val="clear" w:color="auto" w:fill="auto"/>
            <w:noWrap/>
            <w:vAlign w:val="center"/>
            <w:hideMark/>
          </w:tcPr>
          <w:p w14:paraId="72075A2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27.545.658,00</w:t>
            </w:r>
          </w:p>
        </w:tc>
        <w:tc>
          <w:tcPr>
            <w:tcW w:w="531" w:type="pct"/>
            <w:tcBorders>
              <w:bottom w:val="single" w:sz="4" w:space="0" w:color="auto"/>
            </w:tcBorders>
            <w:shd w:val="clear" w:color="auto" w:fill="auto"/>
            <w:noWrap/>
            <w:vAlign w:val="center"/>
            <w:hideMark/>
          </w:tcPr>
          <w:p w14:paraId="1F1B51C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2.712.102,43</w:t>
            </w:r>
          </w:p>
        </w:tc>
        <w:tc>
          <w:tcPr>
            <w:tcW w:w="529" w:type="pct"/>
            <w:tcBorders>
              <w:bottom w:val="single" w:sz="4" w:space="0" w:color="auto"/>
            </w:tcBorders>
            <w:shd w:val="clear" w:color="auto" w:fill="auto"/>
            <w:noWrap/>
            <w:vAlign w:val="center"/>
            <w:hideMark/>
          </w:tcPr>
          <w:p w14:paraId="761C380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5.945.933,70</w:t>
            </w:r>
          </w:p>
        </w:tc>
        <w:tc>
          <w:tcPr>
            <w:tcW w:w="487" w:type="pct"/>
            <w:tcBorders>
              <w:bottom w:val="single" w:sz="4" w:space="0" w:color="auto"/>
            </w:tcBorders>
            <w:shd w:val="clear" w:color="auto" w:fill="auto"/>
            <w:noWrap/>
            <w:vAlign w:val="center"/>
            <w:hideMark/>
          </w:tcPr>
          <w:p w14:paraId="339F038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24.311.826,73</w:t>
            </w:r>
          </w:p>
        </w:tc>
        <w:tc>
          <w:tcPr>
            <w:tcW w:w="337" w:type="pct"/>
            <w:tcBorders>
              <w:bottom w:val="single" w:sz="4" w:space="0" w:color="auto"/>
            </w:tcBorders>
            <w:shd w:val="clear" w:color="auto" w:fill="auto"/>
            <w:noWrap/>
            <w:vAlign w:val="center"/>
            <w:hideMark/>
          </w:tcPr>
          <w:p w14:paraId="7656D32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324</w:t>
            </w:r>
          </w:p>
        </w:tc>
        <w:tc>
          <w:tcPr>
            <w:tcW w:w="393" w:type="pct"/>
            <w:tcBorders>
              <w:bottom w:val="single" w:sz="4" w:space="0" w:color="auto"/>
            </w:tcBorders>
            <w:shd w:val="clear" w:color="auto" w:fill="auto"/>
            <w:noWrap/>
            <w:vAlign w:val="center"/>
            <w:hideMark/>
          </w:tcPr>
          <w:p w14:paraId="7BEFE7E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74.940,13</w:t>
            </w:r>
          </w:p>
        </w:tc>
        <w:tc>
          <w:tcPr>
            <w:tcW w:w="471" w:type="pct"/>
            <w:tcBorders>
              <w:bottom w:val="single" w:sz="4" w:space="0" w:color="auto"/>
            </w:tcBorders>
            <w:vAlign w:val="center"/>
          </w:tcPr>
          <w:p w14:paraId="3DA01CED"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5.764,63</w:t>
            </w:r>
          </w:p>
        </w:tc>
      </w:tr>
      <w:tr w:rsidR="006356F1" w:rsidRPr="00C0505A" w14:paraId="1F45B53C" w14:textId="77777777" w:rsidTr="00217400">
        <w:trPr>
          <w:trHeight w:val="227"/>
        </w:trPr>
        <w:tc>
          <w:tcPr>
            <w:tcW w:w="1722" w:type="pct"/>
            <w:tcBorders>
              <w:top w:val="single" w:sz="4" w:space="0" w:color="auto"/>
              <w:bottom w:val="nil"/>
            </w:tcBorders>
            <w:shd w:val="clear" w:color="auto" w:fill="auto"/>
            <w:noWrap/>
            <w:vAlign w:val="center"/>
            <w:hideMark/>
          </w:tcPr>
          <w:p w14:paraId="2212AEF8"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MÁQUINAS E EQUIPAMENTOS</w:t>
            </w:r>
          </w:p>
        </w:tc>
        <w:tc>
          <w:tcPr>
            <w:tcW w:w="531" w:type="pct"/>
            <w:tcBorders>
              <w:top w:val="single" w:sz="4" w:space="0" w:color="auto"/>
              <w:bottom w:val="nil"/>
            </w:tcBorders>
            <w:shd w:val="clear" w:color="auto" w:fill="auto"/>
            <w:noWrap/>
            <w:vAlign w:val="center"/>
            <w:hideMark/>
          </w:tcPr>
          <w:p w14:paraId="41CF264D"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31.745.658,21</w:t>
            </w:r>
          </w:p>
        </w:tc>
        <w:tc>
          <w:tcPr>
            <w:tcW w:w="531" w:type="pct"/>
            <w:tcBorders>
              <w:top w:val="single" w:sz="4" w:space="0" w:color="auto"/>
              <w:bottom w:val="nil"/>
            </w:tcBorders>
            <w:shd w:val="clear" w:color="auto" w:fill="auto"/>
            <w:noWrap/>
            <w:vAlign w:val="center"/>
            <w:hideMark/>
          </w:tcPr>
          <w:p w14:paraId="42FD3961" w14:textId="77777777" w:rsidR="006356F1" w:rsidRPr="00C0505A" w:rsidRDefault="006356F1" w:rsidP="00217400">
            <w:pPr>
              <w:jc w:val="right"/>
              <w:rPr>
                <w:rFonts w:asciiTheme="minorHAnsi" w:hAnsiTheme="minorHAnsi" w:cstheme="minorHAnsi"/>
                <w:b/>
                <w:color w:val="000000"/>
                <w:sz w:val="24"/>
                <w:szCs w:val="16"/>
              </w:rPr>
            </w:pPr>
          </w:p>
        </w:tc>
        <w:tc>
          <w:tcPr>
            <w:tcW w:w="529" w:type="pct"/>
            <w:tcBorders>
              <w:top w:val="single" w:sz="4" w:space="0" w:color="auto"/>
              <w:bottom w:val="nil"/>
            </w:tcBorders>
            <w:shd w:val="clear" w:color="auto" w:fill="auto"/>
            <w:noWrap/>
            <w:vAlign w:val="center"/>
            <w:hideMark/>
          </w:tcPr>
          <w:p w14:paraId="078F1D2D"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5.398.314,28</w:t>
            </w:r>
          </w:p>
        </w:tc>
        <w:tc>
          <w:tcPr>
            <w:tcW w:w="487" w:type="pct"/>
            <w:tcBorders>
              <w:top w:val="single" w:sz="4" w:space="0" w:color="auto"/>
              <w:bottom w:val="nil"/>
            </w:tcBorders>
            <w:shd w:val="clear" w:color="auto" w:fill="auto"/>
            <w:noWrap/>
            <w:vAlign w:val="center"/>
            <w:hideMark/>
          </w:tcPr>
          <w:p w14:paraId="185F0025"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26.347.343,93</w:t>
            </w:r>
          </w:p>
        </w:tc>
        <w:tc>
          <w:tcPr>
            <w:tcW w:w="337" w:type="pct"/>
            <w:tcBorders>
              <w:top w:val="single" w:sz="4" w:space="0" w:color="auto"/>
              <w:bottom w:val="nil"/>
            </w:tcBorders>
            <w:shd w:val="clear" w:color="auto" w:fill="auto"/>
            <w:noWrap/>
            <w:vAlign w:val="center"/>
            <w:hideMark/>
          </w:tcPr>
          <w:p w14:paraId="0F955925"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880</w:t>
            </w:r>
          </w:p>
        </w:tc>
        <w:tc>
          <w:tcPr>
            <w:tcW w:w="393" w:type="pct"/>
            <w:tcBorders>
              <w:top w:val="single" w:sz="4" w:space="0" w:color="auto"/>
              <w:bottom w:val="nil"/>
            </w:tcBorders>
            <w:shd w:val="clear" w:color="auto" w:fill="auto"/>
            <w:noWrap/>
            <w:vAlign w:val="center"/>
            <w:hideMark/>
          </w:tcPr>
          <w:p w14:paraId="6F89A1C7"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29.934,49</w:t>
            </w:r>
          </w:p>
        </w:tc>
        <w:tc>
          <w:tcPr>
            <w:tcW w:w="471" w:type="pct"/>
            <w:tcBorders>
              <w:top w:val="single" w:sz="4" w:space="0" w:color="auto"/>
              <w:bottom w:val="nil"/>
            </w:tcBorders>
            <w:vAlign w:val="center"/>
          </w:tcPr>
          <w:p w14:paraId="0E10381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2.302,65</w:t>
            </w:r>
          </w:p>
        </w:tc>
      </w:tr>
      <w:tr w:rsidR="006356F1" w:rsidRPr="00C0505A" w14:paraId="7D1165E3" w14:textId="77777777" w:rsidTr="00217400">
        <w:trPr>
          <w:trHeight w:val="227"/>
        </w:trPr>
        <w:tc>
          <w:tcPr>
            <w:tcW w:w="1722" w:type="pct"/>
            <w:tcBorders>
              <w:top w:val="nil"/>
            </w:tcBorders>
            <w:shd w:val="clear" w:color="auto" w:fill="auto"/>
            <w:noWrap/>
            <w:vAlign w:val="center"/>
            <w:hideMark/>
          </w:tcPr>
          <w:p w14:paraId="50468C92"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máquinas e aparelhos de refrigeração e ventilação para uso industrial e comercial, peças e acessórios</w:t>
            </w:r>
          </w:p>
        </w:tc>
        <w:tc>
          <w:tcPr>
            <w:tcW w:w="531" w:type="pct"/>
            <w:tcBorders>
              <w:top w:val="nil"/>
            </w:tcBorders>
            <w:shd w:val="clear" w:color="auto" w:fill="auto"/>
            <w:noWrap/>
            <w:vAlign w:val="center"/>
            <w:hideMark/>
          </w:tcPr>
          <w:p w14:paraId="3D8BABB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1.326,55</w:t>
            </w:r>
          </w:p>
        </w:tc>
        <w:tc>
          <w:tcPr>
            <w:tcW w:w="531" w:type="pct"/>
            <w:tcBorders>
              <w:top w:val="nil"/>
            </w:tcBorders>
            <w:shd w:val="clear" w:color="auto" w:fill="auto"/>
            <w:noWrap/>
            <w:vAlign w:val="center"/>
            <w:hideMark/>
          </w:tcPr>
          <w:p w14:paraId="32472375"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6E281E2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6.101,11</w:t>
            </w:r>
          </w:p>
        </w:tc>
        <w:tc>
          <w:tcPr>
            <w:tcW w:w="487" w:type="pct"/>
            <w:tcBorders>
              <w:top w:val="nil"/>
            </w:tcBorders>
            <w:shd w:val="clear" w:color="auto" w:fill="auto"/>
            <w:noWrap/>
            <w:vAlign w:val="center"/>
            <w:hideMark/>
          </w:tcPr>
          <w:p w14:paraId="14190E5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37" w:type="pct"/>
            <w:tcBorders>
              <w:top w:val="nil"/>
            </w:tcBorders>
            <w:shd w:val="clear" w:color="auto" w:fill="auto"/>
            <w:noWrap/>
            <w:vAlign w:val="center"/>
            <w:hideMark/>
          </w:tcPr>
          <w:p w14:paraId="2048E41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w:t>
            </w:r>
          </w:p>
        </w:tc>
        <w:tc>
          <w:tcPr>
            <w:tcW w:w="393" w:type="pct"/>
            <w:tcBorders>
              <w:top w:val="nil"/>
            </w:tcBorders>
            <w:shd w:val="clear" w:color="auto" w:fill="auto"/>
            <w:noWrap/>
            <w:vAlign w:val="center"/>
            <w:hideMark/>
          </w:tcPr>
          <w:p w14:paraId="2764470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tcBorders>
              <w:top w:val="nil"/>
            </w:tcBorders>
            <w:vAlign w:val="center"/>
          </w:tcPr>
          <w:p w14:paraId="4D0612F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r>
      <w:tr w:rsidR="006356F1" w:rsidRPr="00C0505A" w14:paraId="65BF6CF3" w14:textId="77777777" w:rsidTr="00217400">
        <w:trPr>
          <w:trHeight w:val="227"/>
        </w:trPr>
        <w:tc>
          <w:tcPr>
            <w:tcW w:w="1722" w:type="pct"/>
            <w:shd w:val="clear" w:color="auto" w:fill="auto"/>
            <w:noWrap/>
            <w:vAlign w:val="center"/>
            <w:hideMark/>
          </w:tcPr>
          <w:p w14:paraId="1F7EBA77"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máquinas e equipamentos para a agricultura e pecuária, peças e acessórios, exceto para irrigação</w:t>
            </w:r>
          </w:p>
        </w:tc>
        <w:tc>
          <w:tcPr>
            <w:tcW w:w="531" w:type="pct"/>
            <w:shd w:val="clear" w:color="auto" w:fill="auto"/>
            <w:noWrap/>
            <w:vAlign w:val="center"/>
            <w:hideMark/>
          </w:tcPr>
          <w:p w14:paraId="5BC42A9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30.403.520,29</w:t>
            </w:r>
          </w:p>
        </w:tc>
        <w:tc>
          <w:tcPr>
            <w:tcW w:w="531" w:type="pct"/>
            <w:shd w:val="clear" w:color="auto" w:fill="auto"/>
            <w:noWrap/>
            <w:vAlign w:val="center"/>
            <w:hideMark/>
          </w:tcPr>
          <w:p w14:paraId="0FA2C803"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72DFD6C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5.210.351,82</w:t>
            </w:r>
          </w:p>
        </w:tc>
        <w:tc>
          <w:tcPr>
            <w:tcW w:w="487" w:type="pct"/>
            <w:shd w:val="clear" w:color="auto" w:fill="auto"/>
            <w:noWrap/>
            <w:vAlign w:val="center"/>
            <w:hideMark/>
          </w:tcPr>
          <w:p w14:paraId="1040942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25.193.168,47</w:t>
            </w:r>
          </w:p>
        </w:tc>
        <w:tc>
          <w:tcPr>
            <w:tcW w:w="337" w:type="pct"/>
            <w:shd w:val="clear" w:color="auto" w:fill="auto"/>
            <w:noWrap/>
            <w:vAlign w:val="center"/>
            <w:hideMark/>
          </w:tcPr>
          <w:p w14:paraId="187F49B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731</w:t>
            </w:r>
          </w:p>
        </w:tc>
        <w:tc>
          <w:tcPr>
            <w:tcW w:w="393" w:type="pct"/>
            <w:shd w:val="clear" w:color="auto" w:fill="auto"/>
            <w:noWrap/>
            <w:vAlign w:val="center"/>
            <w:hideMark/>
          </w:tcPr>
          <w:p w14:paraId="663B02B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34.479,70</w:t>
            </w:r>
          </w:p>
        </w:tc>
        <w:tc>
          <w:tcPr>
            <w:tcW w:w="471" w:type="pct"/>
            <w:vAlign w:val="center"/>
          </w:tcPr>
          <w:p w14:paraId="00E4D4A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2.652,28</w:t>
            </w:r>
          </w:p>
        </w:tc>
      </w:tr>
      <w:tr w:rsidR="006356F1" w:rsidRPr="00C0505A" w14:paraId="4307BABA" w14:textId="77777777" w:rsidTr="00217400">
        <w:trPr>
          <w:trHeight w:val="227"/>
        </w:trPr>
        <w:tc>
          <w:tcPr>
            <w:tcW w:w="1722" w:type="pct"/>
            <w:shd w:val="clear" w:color="auto" w:fill="auto"/>
            <w:noWrap/>
            <w:vAlign w:val="center"/>
            <w:hideMark/>
          </w:tcPr>
          <w:p w14:paraId="7BC39565"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máquinas e equipamentos para uso industrial específico não especificados anteriormente, peças e acessórios</w:t>
            </w:r>
          </w:p>
        </w:tc>
        <w:tc>
          <w:tcPr>
            <w:tcW w:w="531" w:type="pct"/>
            <w:shd w:val="clear" w:color="auto" w:fill="auto"/>
            <w:noWrap/>
            <w:vAlign w:val="center"/>
            <w:hideMark/>
          </w:tcPr>
          <w:p w14:paraId="1947374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96.834,59</w:t>
            </w:r>
          </w:p>
        </w:tc>
        <w:tc>
          <w:tcPr>
            <w:tcW w:w="531" w:type="pct"/>
            <w:shd w:val="clear" w:color="auto" w:fill="auto"/>
            <w:noWrap/>
            <w:vAlign w:val="center"/>
            <w:hideMark/>
          </w:tcPr>
          <w:p w14:paraId="5C218FAA"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0E914EE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10.782,08</w:t>
            </w:r>
          </w:p>
        </w:tc>
        <w:tc>
          <w:tcPr>
            <w:tcW w:w="487" w:type="pct"/>
            <w:shd w:val="clear" w:color="auto" w:fill="auto"/>
            <w:noWrap/>
            <w:vAlign w:val="center"/>
            <w:hideMark/>
          </w:tcPr>
          <w:p w14:paraId="778D3EE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86.052,51</w:t>
            </w:r>
          </w:p>
        </w:tc>
        <w:tc>
          <w:tcPr>
            <w:tcW w:w="337" w:type="pct"/>
            <w:shd w:val="clear" w:color="auto" w:fill="auto"/>
            <w:noWrap/>
            <w:vAlign w:val="center"/>
            <w:hideMark/>
          </w:tcPr>
          <w:p w14:paraId="00B2D9D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w:t>
            </w:r>
          </w:p>
        </w:tc>
        <w:tc>
          <w:tcPr>
            <w:tcW w:w="393" w:type="pct"/>
            <w:shd w:val="clear" w:color="auto" w:fill="auto"/>
            <w:noWrap/>
            <w:vAlign w:val="center"/>
            <w:hideMark/>
          </w:tcPr>
          <w:p w14:paraId="685CEB1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86.052,51</w:t>
            </w:r>
          </w:p>
        </w:tc>
        <w:tc>
          <w:tcPr>
            <w:tcW w:w="471" w:type="pct"/>
            <w:vAlign w:val="center"/>
          </w:tcPr>
          <w:p w14:paraId="4FB3E2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6.619,42</w:t>
            </w:r>
          </w:p>
        </w:tc>
      </w:tr>
      <w:tr w:rsidR="006356F1" w:rsidRPr="00C0505A" w14:paraId="141C1CA0" w14:textId="77777777" w:rsidTr="00217400">
        <w:trPr>
          <w:trHeight w:val="227"/>
        </w:trPr>
        <w:tc>
          <w:tcPr>
            <w:tcW w:w="1722" w:type="pct"/>
            <w:shd w:val="clear" w:color="auto" w:fill="auto"/>
            <w:noWrap/>
            <w:vAlign w:val="center"/>
            <w:hideMark/>
          </w:tcPr>
          <w:p w14:paraId="1A935A8C"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máquinas-ferramenta, peças e acessórios</w:t>
            </w:r>
          </w:p>
        </w:tc>
        <w:tc>
          <w:tcPr>
            <w:tcW w:w="531" w:type="pct"/>
            <w:shd w:val="clear" w:color="auto" w:fill="auto"/>
            <w:noWrap/>
            <w:vAlign w:val="center"/>
            <w:hideMark/>
          </w:tcPr>
          <w:p w14:paraId="220572B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299.261,80</w:t>
            </w:r>
          </w:p>
        </w:tc>
        <w:tc>
          <w:tcPr>
            <w:tcW w:w="531" w:type="pct"/>
            <w:shd w:val="clear" w:color="auto" w:fill="auto"/>
            <w:noWrap/>
            <w:vAlign w:val="center"/>
            <w:hideMark/>
          </w:tcPr>
          <w:p w14:paraId="460DD53B"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1BBA059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2.726,19</w:t>
            </w:r>
          </w:p>
        </w:tc>
        <w:tc>
          <w:tcPr>
            <w:tcW w:w="487" w:type="pct"/>
            <w:shd w:val="clear" w:color="auto" w:fill="auto"/>
            <w:noWrap/>
            <w:vAlign w:val="center"/>
            <w:hideMark/>
          </w:tcPr>
          <w:p w14:paraId="4A760EF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296.535,61</w:t>
            </w:r>
          </w:p>
        </w:tc>
        <w:tc>
          <w:tcPr>
            <w:tcW w:w="337" w:type="pct"/>
            <w:shd w:val="clear" w:color="auto" w:fill="auto"/>
            <w:noWrap/>
            <w:vAlign w:val="center"/>
            <w:hideMark/>
          </w:tcPr>
          <w:p w14:paraId="2E28AC5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84</w:t>
            </w:r>
          </w:p>
        </w:tc>
        <w:tc>
          <w:tcPr>
            <w:tcW w:w="393" w:type="pct"/>
            <w:shd w:val="clear" w:color="auto" w:fill="auto"/>
            <w:noWrap/>
            <w:vAlign w:val="center"/>
            <w:hideMark/>
          </w:tcPr>
          <w:p w14:paraId="696754B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3.530,19</w:t>
            </w:r>
          </w:p>
        </w:tc>
        <w:tc>
          <w:tcPr>
            <w:tcW w:w="471" w:type="pct"/>
            <w:vAlign w:val="center"/>
          </w:tcPr>
          <w:p w14:paraId="3C29367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271,55</w:t>
            </w:r>
          </w:p>
        </w:tc>
      </w:tr>
      <w:tr w:rsidR="006356F1" w:rsidRPr="00C0505A" w14:paraId="54CBE318" w14:textId="77777777" w:rsidTr="00217400">
        <w:trPr>
          <w:trHeight w:val="227"/>
        </w:trPr>
        <w:tc>
          <w:tcPr>
            <w:tcW w:w="1722" w:type="pct"/>
            <w:shd w:val="clear" w:color="auto" w:fill="auto"/>
            <w:noWrap/>
            <w:vAlign w:val="center"/>
            <w:hideMark/>
          </w:tcPr>
          <w:p w14:paraId="1582D6F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Fabricação de outras máquinas e equipamentos de uso geral não especificados anteriormente, peças e acessórios</w:t>
            </w:r>
          </w:p>
        </w:tc>
        <w:tc>
          <w:tcPr>
            <w:tcW w:w="531" w:type="pct"/>
            <w:shd w:val="clear" w:color="auto" w:fill="auto"/>
            <w:noWrap/>
            <w:vAlign w:val="center"/>
            <w:hideMark/>
          </w:tcPr>
          <w:p w14:paraId="577E1F2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374.663,00</w:t>
            </w:r>
          </w:p>
        </w:tc>
        <w:tc>
          <w:tcPr>
            <w:tcW w:w="531" w:type="pct"/>
            <w:shd w:val="clear" w:color="auto" w:fill="auto"/>
            <w:noWrap/>
            <w:vAlign w:val="center"/>
            <w:hideMark/>
          </w:tcPr>
          <w:p w14:paraId="1C7D9E9E"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1A3AD48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47.235,50</w:t>
            </w:r>
          </w:p>
        </w:tc>
        <w:tc>
          <w:tcPr>
            <w:tcW w:w="487" w:type="pct"/>
            <w:shd w:val="clear" w:color="auto" w:fill="auto"/>
            <w:noWrap/>
            <w:vAlign w:val="center"/>
            <w:hideMark/>
          </w:tcPr>
          <w:p w14:paraId="5DF7798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327.427,50</w:t>
            </w:r>
          </w:p>
        </w:tc>
        <w:tc>
          <w:tcPr>
            <w:tcW w:w="337" w:type="pct"/>
            <w:shd w:val="clear" w:color="auto" w:fill="auto"/>
            <w:noWrap/>
            <w:vAlign w:val="center"/>
            <w:hideMark/>
          </w:tcPr>
          <w:p w14:paraId="79FD5AD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33</w:t>
            </w:r>
          </w:p>
        </w:tc>
        <w:tc>
          <w:tcPr>
            <w:tcW w:w="393" w:type="pct"/>
            <w:shd w:val="clear" w:color="auto" w:fill="auto"/>
            <w:noWrap/>
            <w:vAlign w:val="center"/>
            <w:hideMark/>
          </w:tcPr>
          <w:p w14:paraId="079322E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9.997,79</w:t>
            </w:r>
          </w:p>
        </w:tc>
        <w:tc>
          <w:tcPr>
            <w:tcW w:w="471" w:type="pct"/>
            <w:vAlign w:val="center"/>
          </w:tcPr>
          <w:p w14:paraId="32ADE8E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769,06</w:t>
            </w:r>
          </w:p>
        </w:tc>
      </w:tr>
      <w:tr w:rsidR="006356F1" w:rsidRPr="00C0505A" w14:paraId="653DE277" w14:textId="77777777" w:rsidTr="00217400">
        <w:trPr>
          <w:trHeight w:val="227"/>
        </w:trPr>
        <w:tc>
          <w:tcPr>
            <w:tcW w:w="1722" w:type="pct"/>
            <w:tcBorders>
              <w:bottom w:val="single" w:sz="4" w:space="0" w:color="auto"/>
            </w:tcBorders>
            <w:shd w:val="clear" w:color="auto" w:fill="auto"/>
            <w:noWrap/>
            <w:vAlign w:val="center"/>
            <w:hideMark/>
          </w:tcPr>
          <w:p w14:paraId="2CD3E40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válvulas, registros e dispositivos semelhantes, peças e acessórios</w:t>
            </w:r>
          </w:p>
        </w:tc>
        <w:tc>
          <w:tcPr>
            <w:tcW w:w="531" w:type="pct"/>
            <w:tcBorders>
              <w:bottom w:val="single" w:sz="4" w:space="0" w:color="auto"/>
            </w:tcBorders>
            <w:shd w:val="clear" w:color="auto" w:fill="auto"/>
            <w:noWrap/>
            <w:vAlign w:val="center"/>
            <w:hideMark/>
          </w:tcPr>
          <w:p w14:paraId="57DF2E3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570.051,98</w:t>
            </w:r>
          </w:p>
        </w:tc>
        <w:tc>
          <w:tcPr>
            <w:tcW w:w="531" w:type="pct"/>
            <w:tcBorders>
              <w:bottom w:val="single" w:sz="4" w:space="0" w:color="auto"/>
            </w:tcBorders>
            <w:shd w:val="clear" w:color="auto" w:fill="auto"/>
            <w:noWrap/>
            <w:vAlign w:val="center"/>
            <w:hideMark/>
          </w:tcPr>
          <w:p w14:paraId="27FBE53E"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0596546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121.117,58</w:t>
            </w:r>
          </w:p>
        </w:tc>
        <w:tc>
          <w:tcPr>
            <w:tcW w:w="487" w:type="pct"/>
            <w:tcBorders>
              <w:bottom w:val="single" w:sz="4" w:space="0" w:color="auto"/>
            </w:tcBorders>
            <w:shd w:val="clear" w:color="auto" w:fill="auto"/>
            <w:noWrap/>
            <w:vAlign w:val="center"/>
            <w:hideMark/>
          </w:tcPr>
          <w:p w14:paraId="7330442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448.934,40</w:t>
            </w:r>
          </w:p>
        </w:tc>
        <w:tc>
          <w:tcPr>
            <w:tcW w:w="337" w:type="pct"/>
            <w:tcBorders>
              <w:bottom w:val="single" w:sz="4" w:space="0" w:color="auto"/>
            </w:tcBorders>
            <w:shd w:val="clear" w:color="auto" w:fill="auto"/>
            <w:noWrap/>
            <w:vAlign w:val="center"/>
            <w:hideMark/>
          </w:tcPr>
          <w:p w14:paraId="1DB2DB5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31</w:t>
            </w:r>
          </w:p>
        </w:tc>
        <w:tc>
          <w:tcPr>
            <w:tcW w:w="393" w:type="pct"/>
            <w:tcBorders>
              <w:bottom w:val="single" w:sz="4" w:space="0" w:color="auto"/>
            </w:tcBorders>
            <w:shd w:val="clear" w:color="auto" w:fill="auto"/>
            <w:noWrap/>
            <w:vAlign w:val="center"/>
            <w:hideMark/>
          </w:tcPr>
          <w:p w14:paraId="71947BC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14.365,90</w:t>
            </w:r>
          </w:p>
        </w:tc>
        <w:tc>
          <w:tcPr>
            <w:tcW w:w="471" w:type="pct"/>
            <w:tcBorders>
              <w:bottom w:val="single" w:sz="4" w:space="0" w:color="auto"/>
            </w:tcBorders>
            <w:vAlign w:val="center"/>
          </w:tcPr>
          <w:p w14:paraId="685D7AD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1.105,07</w:t>
            </w:r>
          </w:p>
        </w:tc>
      </w:tr>
      <w:tr w:rsidR="006356F1" w:rsidRPr="00C0505A" w14:paraId="402E9C68" w14:textId="77777777" w:rsidTr="00217400">
        <w:trPr>
          <w:trHeight w:val="227"/>
        </w:trPr>
        <w:tc>
          <w:tcPr>
            <w:tcW w:w="1722" w:type="pct"/>
            <w:tcBorders>
              <w:top w:val="single" w:sz="4" w:space="0" w:color="auto"/>
              <w:bottom w:val="nil"/>
            </w:tcBorders>
            <w:shd w:val="clear" w:color="auto" w:fill="auto"/>
            <w:noWrap/>
            <w:vAlign w:val="center"/>
            <w:hideMark/>
          </w:tcPr>
          <w:p w14:paraId="1225EC10"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MÁQUINAS, APARELHOS E MATERIAIS ELÉTRICOS</w:t>
            </w:r>
          </w:p>
        </w:tc>
        <w:tc>
          <w:tcPr>
            <w:tcW w:w="531" w:type="pct"/>
            <w:tcBorders>
              <w:top w:val="single" w:sz="4" w:space="0" w:color="auto"/>
              <w:bottom w:val="nil"/>
            </w:tcBorders>
            <w:shd w:val="clear" w:color="auto" w:fill="auto"/>
            <w:noWrap/>
            <w:vAlign w:val="center"/>
            <w:hideMark/>
          </w:tcPr>
          <w:p w14:paraId="53DDECD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19.156.048,95</w:t>
            </w:r>
          </w:p>
        </w:tc>
        <w:tc>
          <w:tcPr>
            <w:tcW w:w="531" w:type="pct"/>
            <w:tcBorders>
              <w:top w:val="single" w:sz="4" w:space="0" w:color="auto"/>
              <w:bottom w:val="nil"/>
            </w:tcBorders>
            <w:shd w:val="clear" w:color="auto" w:fill="auto"/>
            <w:noWrap/>
            <w:vAlign w:val="center"/>
            <w:hideMark/>
          </w:tcPr>
          <w:p w14:paraId="03D2E0F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5.048.344,47</w:t>
            </w:r>
          </w:p>
        </w:tc>
        <w:tc>
          <w:tcPr>
            <w:tcW w:w="529" w:type="pct"/>
            <w:tcBorders>
              <w:top w:val="single" w:sz="4" w:space="0" w:color="auto"/>
              <w:bottom w:val="nil"/>
            </w:tcBorders>
            <w:shd w:val="clear" w:color="auto" w:fill="auto"/>
            <w:noWrap/>
            <w:vAlign w:val="center"/>
            <w:hideMark/>
          </w:tcPr>
          <w:p w14:paraId="4C0C87A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2.302.620,91</w:t>
            </w:r>
          </w:p>
        </w:tc>
        <w:tc>
          <w:tcPr>
            <w:tcW w:w="487" w:type="pct"/>
            <w:tcBorders>
              <w:top w:val="single" w:sz="4" w:space="0" w:color="auto"/>
              <w:bottom w:val="nil"/>
            </w:tcBorders>
            <w:shd w:val="clear" w:color="auto" w:fill="auto"/>
            <w:noWrap/>
            <w:vAlign w:val="center"/>
            <w:hideMark/>
          </w:tcPr>
          <w:p w14:paraId="17BC95B8"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21.901.772,51</w:t>
            </w:r>
          </w:p>
        </w:tc>
        <w:tc>
          <w:tcPr>
            <w:tcW w:w="337" w:type="pct"/>
            <w:tcBorders>
              <w:top w:val="single" w:sz="4" w:space="0" w:color="auto"/>
              <w:bottom w:val="nil"/>
            </w:tcBorders>
            <w:shd w:val="clear" w:color="auto" w:fill="auto"/>
            <w:noWrap/>
            <w:vAlign w:val="center"/>
            <w:hideMark/>
          </w:tcPr>
          <w:p w14:paraId="38C85FFA"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537</w:t>
            </w:r>
          </w:p>
        </w:tc>
        <w:tc>
          <w:tcPr>
            <w:tcW w:w="393" w:type="pct"/>
            <w:tcBorders>
              <w:top w:val="single" w:sz="4" w:space="0" w:color="auto"/>
              <w:bottom w:val="nil"/>
            </w:tcBorders>
            <w:shd w:val="clear" w:color="auto" w:fill="auto"/>
            <w:noWrap/>
            <w:vAlign w:val="center"/>
            <w:hideMark/>
          </w:tcPr>
          <w:p w14:paraId="7A16D32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40.798,09</w:t>
            </w:r>
          </w:p>
        </w:tc>
        <w:tc>
          <w:tcPr>
            <w:tcW w:w="471" w:type="pct"/>
            <w:tcBorders>
              <w:top w:val="single" w:sz="4" w:space="0" w:color="auto"/>
              <w:bottom w:val="nil"/>
            </w:tcBorders>
            <w:vAlign w:val="center"/>
          </w:tcPr>
          <w:p w14:paraId="58AEACF8"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3.138,31</w:t>
            </w:r>
          </w:p>
        </w:tc>
      </w:tr>
      <w:tr w:rsidR="006356F1" w:rsidRPr="00C0505A" w14:paraId="0E7E609B" w14:textId="77777777" w:rsidTr="00217400">
        <w:trPr>
          <w:trHeight w:val="227"/>
        </w:trPr>
        <w:tc>
          <w:tcPr>
            <w:tcW w:w="1722" w:type="pct"/>
            <w:tcBorders>
              <w:top w:val="nil"/>
            </w:tcBorders>
            <w:shd w:val="clear" w:color="auto" w:fill="auto"/>
            <w:noWrap/>
            <w:vAlign w:val="center"/>
            <w:hideMark/>
          </w:tcPr>
          <w:p w14:paraId="5733145A"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aparelhos e equipamentos para distribuição e controle de energia elétrica</w:t>
            </w:r>
          </w:p>
        </w:tc>
        <w:tc>
          <w:tcPr>
            <w:tcW w:w="531" w:type="pct"/>
            <w:tcBorders>
              <w:top w:val="nil"/>
            </w:tcBorders>
            <w:shd w:val="clear" w:color="auto" w:fill="auto"/>
            <w:noWrap/>
            <w:vAlign w:val="center"/>
            <w:hideMark/>
          </w:tcPr>
          <w:p w14:paraId="5DA0A0F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12.385.593,10</w:t>
            </w:r>
          </w:p>
        </w:tc>
        <w:tc>
          <w:tcPr>
            <w:tcW w:w="531" w:type="pct"/>
            <w:tcBorders>
              <w:top w:val="nil"/>
            </w:tcBorders>
            <w:shd w:val="clear" w:color="auto" w:fill="auto"/>
            <w:noWrap/>
            <w:vAlign w:val="center"/>
            <w:hideMark/>
          </w:tcPr>
          <w:p w14:paraId="764C805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4.562.815,67</w:t>
            </w:r>
          </w:p>
        </w:tc>
        <w:tc>
          <w:tcPr>
            <w:tcW w:w="529" w:type="pct"/>
            <w:tcBorders>
              <w:top w:val="nil"/>
            </w:tcBorders>
            <w:shd w:val="clear" w:color="auto" w:fill="auto"/>
            <w:noWrap/>
            <w:vAlign w:val="center"/>
            <w:hideMark/>
          </w:tcPr>
          <w:p w14:paraId="6FE39A0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968.539,62</w:t>
            </w:r>
          </w:p>
        </w:tc>
        <w:tc>
          <w:tcPr>
            <w:tcW w:w="487" w:type="pct"/>
            <w:tcBorders>
              <w:top w:val="nil"/>
            </w:tcBorders>
            <w:shd w:val="clear" w:color="auto" w:fill="auto"/>
            <w:noWrap/>
            <w:vAlign w:val="center"/>
            <w:hideMark/>
          </w:tcPr>
          <w:p w14:paraId="099939C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15.979.869,15</w:t>
            </w:r>
          </w:p>
        </w:tc>
        <w:tc>
          <w:tcPr>
            <w:tcW w:w="337" w:type="pct"/>
            <w:tcBorders>
              <w:top w:val="nil"/>
            </w:tcBorders>
            <w:shd w:val="clear" w:color="auto" w:fill="auto"/>
            <w:noWrap/>
            <w:vAlign w:val="center"/>
            <w:hideMark/>
          </w:tcPr>
          <w:p w14:paraId="564AD13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247</w:t>
            </w:r>
          </w:p>
        </w:tc>
        <w:tc>
          <w:tcPr>
            <w:tcW w:w="393" w:type="pct"/>
            <w:tcBorders>
              <w:top w:val="nil"/>
            </w:tcBorders>
            <w:shd w:val="clear" w:color="auto" w:fill="auto"/>
            <w:noWrap/>
            <w:vAlign w:val="center"/>
            <w:hideMark/>
          </w:tcPr>
          <w:p w14:paraId="0F49658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64.674,01</w:t>
            </w:r>
          </w:p>
        </w:tc>
        <w:tc>
          <w:tcPr>
            <w:tcW w:w="471" w:type="pct"/>
            <w:tcBorders>
              <w:top w:val="nil"/>
            </w:tcBorders>
            <w:vAlign w:val="center"/>
          </w:tcPr>
          <w:p w14:paraId="0DC9B70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4.974,92</w:t>
            </w:r>
          </w:p>
        </w:tc>
      </w:tr>
      <w:tr w:rsidR="006356F1" w:rsidRPr="00C0505A" w14:paraId="6776D04B" w14:textId="77777777" w:rsidTr="00217400">
        <w:trPr>
          <w:trHeight w:val="227"/>
        </w:trPr>
        <w:tc>
          <w:tcPr>
            <w:tcW w:w="1722" w:type="pct"/>
            <w:shd w:val="clear" w:color="auto" w:fill="auto"/>
            <w:noWrap/>
            <w:vAlign w:val="center"/>
            <w:hideMark/>
          </w:tcPr>
          <w:p w14:paraId="214CD97A"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fios, cabos e condutores elétricos isolados</w:t>
            </w:r>
          </w:p>
        </w:tc>
        <w:tc>
          <w:tcPr>
            <w:tcW w:w="531" w:type="pct"/>
            <w:shd w:val="clear" w:color="auto" w:fill="auto"/>
            <w:noWrap/>
            <w:vAlign w:val="center"/>
            <w:hideMark/>
          </w:tcPr>
          <w:p w14:paraId="1C3FD58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2.334.281,15</w:t>
            </w:r>
          </w:p>
        </w:tc>
        <w:tc>
          <w:tcPr>
            <w:tcW w:w="531" w:type="pct"/>
            <w:shd w:val="clear" w:color="auto" w:fill="auto"/>
            <w:noWrap/>
            <w:vAlign w:val="center"/>
            <w:hideMark/>
          </w:tcPr>
          <w:p w14:paraId="57EF0BA2"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089E282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429.181,17</w:t>
            </w:r>
          </w:p>
        </w:tc>
        <w:tc>
          <w:tcPr>
            <w:tcW w:w="487" w:type="pct"/>
            <w:shd w:val="clear" w:color="auto" w:fill="auto"/>
            <w:noWrap/>
            <w:vAlign w:val="center"/>
            <w:hideMark/>
          </w:tcPr>
          <w:p w14:paraId="36776C5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1.905.099,98</w:t>
            </w:r>
          </w:p>
        </w:tc>
        <w:tc>
          <w:tcPr>
            <w:tcW w:w="337" w:type="pct"/>
            <w:shd w:val="clear" w:color="auto" w:fill="auto"/>
            <w:noWrap/>
            <w:vAlign w:val="center"/>
            <w:hideMark/>
          </w:tcPr>
          <w:p w14:paraId="1E84D97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57</w:t>
            </w:r>
          </w:p>
        </w:tc>
        <w:tc>
          <w:tcPr>
            <w:tcW w:w="393" w:type="pct"/>
            <w:shd w:val="clear" w:color="auto" w:fill="auto"/>
            <w:noWrap/>
            <w:vAlign w:val="center"/>
            <w:hideMark/>
          </w:tcPr>
          <w:p w14:paraId="699888F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33.668,92</w:t>
            </w:r>
          </w:p>
        </w:tc>
        <w:tc>
          <w:tcPr>
            <w:tcW w:w="471" w:type="pct"/>
            <w:vAlign w:val="center"/>
          </w:tcPr>
          <w:p w14:paraId="1BCB75E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2.589,92</w:t>
            </w:r>
          </w:p>
        </w:tc>
      </w:tr>
      <w:tr w:rsidR="006356F1" w:rsidRPr="00C0505A" w14:paraId="2DBC820D" w14:textId="77777777" w:rsidTr="00217400">
        <w:trPr>
          <w:trHeight w:val="227"/>
        </w:trPr>
        <w:tc>
          <w:tcPr>
            <w:tcW w:w="1722" w:type="pct"/>
            <w:shd w:val="clear" w:color="auto" w:fill="auto"/>
            <w:noWrap/>
            <w:vAlign w:val="center"/>
            <w:hideMark/>
          </w:tcPr>
          <w:p w14:paraId="5421C1FC"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geradores de corrente contínua e alternada, peças e acessórios</w:t>
            </w:r>
          </w:p>
        </w:tc>
        <w:tc>
          <w:tcPr>
            <w:tcW w:w="531" w:type="pct"/>
            <w:shd w:val="clear" w:color="auto" w:fill="auto"/>
            <w:noWrap/>
            <w:vAlign w:val="center"/>
            <w:hideMark/>
          </w:tcPr>
          <w:p w14:paraId="2E1BBA3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1.857.299,44</w:t>
            </w:r>
          </w:p>
        </w:tc>
        <w:tc>
          <w:tcPr>
            <w:tcW w:w="531" w:type="pct"/>
            <w:shd w:val="clear" w:color="auto" w:fill="auto"/>
            <w:noWrap/>
            <w:vAlign w:val="center"/>
            <w:hideMark/>
          </w:tcPr>
          <w:p w14:paraId="78C479E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485.528,80</w:t>
            </w:r>
          </w:p>
        </w:tc>
        <w:tc>
          <w:tcPr>
            <w:tcW w:w="529" w:type="pct"/>
            <w:shd w:val="clear" w:color="auto" w:fill="auto"/>
            <w:noWrap/>
            <w:vAlign w:val="center"/>
            <w:hideMark/>
          </w:tcPr>
          <w:p w14:paraId="248527D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531.935,69</w:t>
            </w:r>
          </w:p>
        </w:tc>
        <w:tc>
          <w:tcPr>
            <w:tcW w:w="487" w:type="pct"/>
            <w:shd w:val="clear" w:color="auto" w:fill="auto"/>
            <w:noWrap/>
            <w:vAlign w:val="center"/>
            <w:hideMark/>
          </w:tcPr>
          <w:p w14:paraId="2355973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1.810.892,55</w:t>
            </w:r>
          </w:p>
        </w:tc>
        <w:tc>
          <w:tcPr>
            <w:tcW w:w="337" w:type="pct"/>
            <w:shd w:val="clear" w:color="auto" w:fill="auto"/>
            <w:noWrap/>
            <w:vAlign w:val="center"/>
            <w:hideMark/>
          </w:tcPr>
          <w:p w14:paraId="25967FA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w:t>
            </w:r>
          </w:p>
        </w:tc>
        <w:tc>
          <w:tcPr>
            <w:tcW w:w="393" w:type="pct"/>
            <w:shd w:val="clear" w:color="auto" w:fill="auto"/>
            <w:noWrap/>
            <w:vAlign w:val="center"/>
            <w:hideMark/>
          </w:tcPr>
          <w:p w14:paraId="19AC1AB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83.579,66</w:t>
            </w:r>
          </w:p>
        </w:tc>
        <w:tc>
          <w:tcPr>
            <w:tcW w:w="471" w:type="pct"/>
            <w:vAlign w:val="center"/>
          </w:tcPr>
          <w:p w14:paraId="7A8A7BC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6.429,20</w:t>
            </w:r>
          </w:p>
        </w:tc>
      </w:tr>
      <w:tr w:rsidR="006356F1" w:rsidRPr="00C0505A" w14:paraId="0273993E" w14:textId="77777777" w:rsidTr="00217400">
        <w:trPr>
          <w:trHeight w:val="227"/>
        </w:trPr>
        <w:tc>
          <w:tcPr>
            <w:tcW w:w="1722" w:type="pct"/>
            <w:tcBorders>
              <w:bottom w:val="single" w:sz="4" w:space="0" w:color="auto"/>
            </w:tcBorders>
            <w:shd w:val="clear" w:color="auto" w:fill="auto"/>
            <w:noWrap/>
            <w:vAlign w:val="center"/>
            <w:hideMark/>
          </w:tcPr>
          <w:p w14:paraId="33D5FC1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outros equipamentos e aparelhos elétricos não especificados anteriormente</w:t>
            </w:r>
          </w:p>
        </w:tc>
        <w:tc>
          <w:tcPr>
            <w:tcW w:w="531" w:type="pct"/>
            <w:tcBorders>
              <w:bottom w:val="single" w:sz="4" w:space="0" w:color="auto"/>
            </w:tcBorders>
            <w:shd w:val="clear" w:color="auto" w:fill="auto"/>
            <w:noWrap/>
            <w:vAlign w:val="center"/>
            <w:hideMark/>
          </w:tcPr>
          <w:p w14:paraId="3334261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2.578.875,26</w:t>
            </w:r>
          </w:p>
        </w:tc>
        <w:tc>
          <w:tcPr>
            <w:tcW w:w="531" w:type="pct"/>
            <w:tcBorders>
              <w:bottom w:val="single" w:sz="4" w:space="0" w:color="auto"/>
            </w:tcBorders>
            <w:shd w:val="clear" w:color="auto" w:fill="auto"/>
            <w:noWrap/>
            <w:vAlign w:val="center"/>
            <w:hideMark/>
          </w:tcPr>
          <w:p w14:paraId="72A61B3E"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6970000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369.609,26</w:t>
            </w:r>
          </w:p>
        </w:tc>
        <w:tc>
          <w:tcPr>
            <w:tcW w:w="487" w:type="pct"/>
            <w:tcBorders>
              <w:bottom w:val="single" w:sz="4" w:space="0" w:color="auto"/>
            </w:tcBorders>
            <w:shd w:val="clear" w:color="auto" w:fill="auto"/>
            <w:noWrap/>
            <w:vAlign w:val="center"/>
            <w:hideMark/>
          </w:tcPr>
          <w:p w14:paraId="08BDD29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2.209.266,00</w:t>
            </w:r>
          </w:p>
        </w:tc>
        <w:tc>
          <w:tcPr>
            <w:tcW w:w="337" w:type="pct"/>
            <w:tcBorders>
              <w:bottom w:val="single" w:sz="4" w:space="0" w:color="auto"/>
            </w:tcBorders>
            <w:shd w:val="clear" w:color="auto" w:fill="auto"/>
            <w:noWrap/>
            <w:vAlign w:val="center"/>
            <w:hideMark/>
          </w:tcPr>
          <w:p w14:paraId="7545316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212</w:t>
            </w:r>
          </w:p>
        </w:tc>
        <w:tc>
          <w:tcPr>
            <w:tcW w:w="393" w:type="pct"/>
            <w:tcBorders>
              <w:bottom w:val="single" w:sz="4" w:space="0" w:color="auto"/>
            </w:tcBorders>
            <w:shd w:val="clear" w:color="auto" w:fill="auto"/>
            <w:noWrap/>
            <w:vAlign w:val="center"/>
            <w:hideMark/>
          </w:tcPr>
          <w:p w14:paraId="7A8596A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10.445,70</w:t>
            </w:r>
          </w:p>
        </w:tc>
        <w:tc>
          <w:tcPr>
            <w:tcW w:w="471" w:type="pct"/>
            <w:tcBorders>
              <w:bottom w:val="single" w:sz="4" w:space="0" w:color="auto"/>
            </w:tcBorders>
            <w:vAlign w:val="center"/>
          </w:tcPr>
          <w:p w14:paraId="71F2960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803,52</w:t>
            </w:r>
          </w:p>
        </w:tc>
      </w:tr>
      <w:tr w:rsidR="006356F1" w:rsidRPr="00C0505A" w14:paraId="4AA33D63" w14:textId="77777777" w:rsidTr="00217400">
        <w:trPr>
          <w:trHeight w:val="227"/>
        </w:trPr>
        <w:tc>
          <w:tcPr>
            <w:tcW w:w="1722" w:type="pct"/>
            <w:tcBorders>
              <w:top w:val="single" w:sz="4" w:space="0" w:color="auto"/>
              <w:bottom w:val="nil"/>
            </w:tcBorders>
            <w:shd w:val="clear" w:color="auto" w:fill="auto"/>
            <w:noWrap/>
            <w:vAlign w:val="center"/>
            <w:hideMark/>
          </w:tcPr>
          <w:p w14:paraId="27CA8045"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MÓVEIS</w:t>
            </w:r>
          </w:p>
        </w:tc>
        <w:tc>
          <w:tcPr>
            <w:tcW w:w="531" w:type="pct"/>
            <w:tcBorders>
              <w:top w:val="single" w:sz="4" w:space="0" w:color="auto"/>
              <w:bottom w:val="nil"/>
            </w:tcBorders>
            <w:shd w:val="clear" w:color="auto" w:fill="auto"/>
            <w:noWrap/>
            <w:vAlign w:val="center"/>
            <w:hideMark/>
          </w:tcPr>
          <w:p w14:paraId="1EA7990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28.441.429,69</w:t>
            </w:r>
          </w:p>
        </w:tc>
        <w:tc>
          <w:tcPr>
            <w:tcW w:w="531" w:type="pct"/>
            <w:tcBorders>
              <w:top w:val="single" w:sz="4" w:space="0" w:color="auto"/>
              <w:bottom w:val="nil"/>
            </w:tcBorders>
            <w:shd w:val="clear" w:color="auto" w:fill="auto"/>
            <w:noWrap/>
            <w:vAlign w:val="center"/>
            <w:hideMark/>
          </w:tcPr>
          <w:p w14:paraId="1EA5A637"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53E64034"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6.895.438,43</w:t>
            </w:r>
          </w:p>
        </w:tc>
        <w:tc>
          <w:tcPr>
            <w:tcW w:w="487" w:type="pct"/>
            <w:tcBorders>
              <w:top w:val="single" w:sz="4" w:space="0" w:color="auto"/>
              <w:bottom w:val="nil"/>
            </w:tcBorders>
            <w:shd w:val="clear" w:color="auto" w:fill="auto"/>
            <w:noWrap/>
            <w:vAlign w:val="center"/>
            <w:hideMark/>
          </w:tcPr>
          <w:p w14:paraId="4339FBE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21.545.991,26</w:t>
            </w:r>
          </w:p>
        </w:tc>
        <w:tc>
          <w:tcPr>
            <w:tcW w:w="337" w:type="pct"/>
            <w:tcBorders>
              <w:top w:val="single" w:sz="4" w:space="0" w:color="auto"/>
              <w:bottom w:val="nil"/>
            </w:tcBorders>
            <w:shd w:val="clear" w:color="auto" w:fill="auto"/>
            <w:noWrap/>
            <w:vAlign w:val="center"/>
            <w:hideMark/>
          </w:tcPr>
          <w:p w14:paraId="2280E3A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1.924</w:t>
            </w:r>
          </w:p>
        </w:tc>
        <w:tc>
          <w:tcPr>
            <w:tcW w:w="393" w:type="pct"/>
            <w:tcBorders>
              <w:top w:val="single" w:sz="4" w:space="0" w:color="auto"/>
              <w:bottom w:val="nil"/>
            </w:tcBorders>
            <w:shd w:val="clear" w:color="auto" w:fill="auto"/>
            <w:noWrap/>
            <w:vAlign w:val="center"/>
            <w:hideMark/>
          </w:tcPr>
          <w:p w14:paraId="45AA02EA"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11.200,48</w:t>
            </w:r>
          </w:p>
        </w:tc>
        <w:tc>
          <w:tcPr>
            <w:tcW w:w="471" w:type="pct"/>
            <w:tcBorders>
              <w:top w:val="single" w:sz="4" w:space="0" w:color="auto"/>
              <w:bottom w:val="nil"/>
            </w:tcBorders>
            <w:vAlign w:val="center"/>
          </w:tcPr>
          <w:p w14:paraId="263E99E9"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861,58</w:t>
            </w:r>
          </w:p>
        </w:tc>
      </w:tr>
      <w:tr w:rsidR="006356F1" w:rsidRPr="00C0505A" w14:paraId="1D87A041" w14:textId="77777777" w:rsidTr="00217400">
        <w:trPr>
          <w:trHeight w:val="227"/>
        </w:trPr>
        <w:tc>
          <w:tcPr>
            <w:tcW w:w="1722" w:type="pct"/>
            <w:tcBorders>
              <w:top w:val="nil"/>
            </w:tcBorders>
            <w:shd w:val="clear" w:color="auto" w:fill="auto"/>
            <w:noWrap/>
            <w:vAlign w:val="center"/>
            <w:hideMark/>
          </w:tcPr>
          <w:p w14:paraId="7376CC37"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colchões</w:t>
            </w:r>
          </w:p>
        </w:tc>
        <w:tc>
          <w:tcPr>
            <w:tcW w:w="531" w:type="pct"/>
            <w:tcBorders>
              <w:top w:val="nil"/>
            </w:tcBorders>
            <w:shd w:val="clear" w:color="auto" w:fill="auto"/>
            <w:noWrap/>
            <w:vAlign w:val="center"/>
            <w:hideMark/>
          </w:tcPr>
          <w:p w14:paraId="2F853E3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22.433.800,58</w:t>
            </w:r>
          </w:p>
        </w:tc>
        <w:tc>
          <w:tcPr>
            <w:tcW w:w="531" w:type="pct"/>
            <w:tcBorders>
              <w:top w:val="nil"/>
            </w:tcBorders>
            <w:shd w:val="clear" w:color="auto" w:fill="auto"/>
            <w:noWrap/>
            <w:vAlign w:val="center"/>
            <w:hideMark/>
          </w:tcPr>
          <w:p w14:paraId="25B15F23"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209B854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5.617.778,80</w:t>
            </w:r>
          </w:p>
        </w:tc>
        <w:tc>
          <w:tcPr>
            <w:tcW w:w="487" w:type="pct"/>
            <w:tcBorders>
              <w:top w:val="nil"/>
            </w:tcBorders>
            <w:shd w:val="clear" w:color="auto" w:fill="auto"/>
            <w:noWrap/>
            <w:vAlign w:val="center"/>
            <w:hideMark/>
          </w:tcPr>
          <w:p w14:paraId="0955AEA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16.816.021,78</w:t>
            </w:r>
          </w:p>
        </w:tc>
        <w:tc>
          <w:tcPr>
            <w:tcW w:w="337" w:type="pct"/>
            <w:tcBorders>
              <w:top w:val="nil"/>
            </w:tcBorders>
            <w:shd w:val="clear" w:color="auto" w:fill="auto"/>
            <w:noWrap/>
            <w:vAlign w:val="center"/>
            <w:hideMark/>
          </w:tcPr>
          <w:p w14:paraId="371AABD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1.371</w:t>
            </w:r>
          </w:p>
        </w:tc>
        <w:tc>
          <w:tcPr>
            <w:tcW w:w="393" w:type="pct"/>
            <w:tcBorders>
              <w:top w:val="nil"/>
            </w:tcBorders>
            <w:shd w:val="clear" w:color="auto" w:fill="auto"/>
            <w:noWrap/>
            <w:vAlign w:val="center"/>
            <w:hideMark/>
          </w:tcPr>
          <w:p w14:paraId="153F292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12.261,79</w:t>
            </w:r>
          </w:p>
        </w:tc>
        <w:tc>
          <w:tcPr>
            <w:tcW w:w="471" w:type="pct"/>
            <w:tcBorders>
              <w:top w:val="nil"/>
            </w:tcBorders>
            <w:vAlign w:val="center"/>
          </w:tcPr>
          <w:p w14:paraId="331A930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943,21</w:t>
            </w:r>
          </w:p>
        </w:tc>
      </w:tr>
      <w:tr w:rsidR="006356F1" w:rsidRPr="00C0505A" w14:paraId="4CEBB664" w14:textId="77777777" w:rsidTr="00217400">
        <w:trPr>
          <w:trHeight w:val="227"/>
        </w:trPr>
        <w:tc>
          <w:tcPr>
            <w:tcW w:w="1722" w:type="pct"/>
            <w:shd w:val="clear" w:color="auto" w:fill="auto"/>
            <w:noWrap/>
            <w:vAlign w:val="center"/>
            <w:hideMark/>
          </w:tcPr>
          <w:p w14:paraId="771BAB3C"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móveis com predominância de madeira</w:t>
            </w:r>
          </w:p>
        </w:tc>
        <w:tc>
          <w:tcPr>
            <w:tcW w:w="531" w:type="pct"/>
            <w:shd w:val="clear" w:color="auto" w:fill="auto"/>
            <w:noWrap/>
            <w:vAlign w:val="center"/>
            <w:hideMark/>
          </w:tcPr>
          <w:p w14:paraId="7B8523E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3.641.121,15</w:t>
            </w:r>
          </w:p>
        </w:tc>
        <w:tc>
          <w:tcPr>
            <w:tcW w:w="531" w:type="pct"/>
            <w:shd w:val="clear" w:color="auto" w:fill="auto"/>
            <w:noWrap/>
            <w:vAlign w:val="center"/>
            <w:hideMark/>
          </w:tcPr>
          <w:p w14:paraId="3DBECED9"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C123FC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900.327,23</w:t>
            </w:r>
          </w:p>
        </w:tc>
        <w:tc>
          <w:tcPr>
            <w:tcW w:w="487" w:type="pct"/>
            <w:shd w:val="clear" w:color="auto" w:fill="auto"/>
            <w:noWrap/>
            <w:vAlign w:val="center"/>
            <w:hideMark/>
          </w:tcPr>
          <w:p w14:paraId="4324E90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2.740.793,92</w:t>
            </w:r>
          </w:p>
        </w:tc>
        <w:tc>
          <w:tcPr>
            <w:tcW w:w="337" w:type="pct"/>
            <w:shd w:val="clear" w:color="auto" w:fill="auto"/>
            <w:noWrap/>
            <w:vAlign w:val="center"/>
            <w:hideMark/>
          </w:tcPr>
          <w:p w14:paraId="7A0C1BB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441</w:t>
            </w:r>
          </w:p>
        </w:tc>
        <w:tc>
          <w:tcPr>
            <w:tcW w:w="393" w:type="pct"/>
            <w:shd w:val="clear" w:color="auto" w:fill="auto"/>
            <w:noWrap/>
            <w:vAlign w:val="center"/>
            <w:hideMark/>
          </w:tcPr>
          <w:p w14:paraId="3D9100F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6.216,13</w:t>
            </w:r>
          </w:p>
        </w:tc>
        <w:tc>
          <w:tcPr>
            <w:tcW w:w="471" w:type="pct"/>
            <w:vAlign w:val="center"/>
          </w:tcPr>
          <w:p w14:paraId="7EDF05B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478,16</w:t>
            </w:r>
          </w:p>
        </w:tc>
      </w:tr>
      <w:tr w:rsidR="006356F1" w:rsidRPr="00C0505A" w14:paraId="234CC88E" w14:textId="77777777" w:rsidTr="00217400">
        <w:trPr>
          <w:trHeight w:val="227"/>
        </w:trPr>
        <w:tc>
          <w:tcPr>
            <w:tcW w:w="1722" w:type="pct"/>
            <w:shd w:val="clear" w:color="auto" w:fill="auto"/>
            <w:noWrap/>
            <w:vAlign w:val="center"/>
            <w:hideMark/>
          </w:tcPr>
          <w:p w14:paraId="09C1040E"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móveis com predominância de metal</w:t>
            </w:r>
          </w:p>
        </w:tc>
        <w:tc>
          <w:tcPr>
            <w:tcW w:w="531" w:type="pct"/>
            <w:shd w:val="clear" w:color="auto" w:fill="auto"/>
            <w:noWrap/>
            <w:vAlign w:val="center"/>
            <w:hideMark/>
          </w:tcPr>
          <w:p w14:paraId="4CC54BE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2.366.507,96</w:t>
            </w:r>
          </w:p>
        </w:tc>
        <w:tc>
          <w:tcPr>
            <w:tcW w:w="531" w:type="pct"/>
            <w:shd w:val="clear" w:color="auto" w:fill="auto"/>
            <w:noWrap/>
            <w:vAlign w:val="center"/>
            <w:hideMark/>
          </w:tcPr>
          <w:p w14:paraId="47FCB275"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4457036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375.677,68</w:t>
            </w:r>
          </w:p>
        </w:tc>
        <w:tc>
          <w:tcPr>
            <w:tcW w:w="487" w:type="pct"/>
            <w:shd w:val="clear" w:color="auto" w:fill="auto"/>
            <w:noWrap/>
            <w:vAlign w:val="center"/>
            <w:hideMark/>
          </w:tcPr>
          <w:p w14:paraId="592B4D0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1.990.830,28</w:t>
            </w:r>
          </w:p>
        </w:tc>
        <w:tc>
          <w:tcPr>
            <w:tcW w:w="337" w:type="pct"/>
            <w:shd w:val="clear" w:color="auto" w:fill="auto"/>
            <w:noWrap/>
            <w:vAlign w:val="center"/>
            <w:hideMark/>
          </w:tcPr>
          <w:p w14:paraId="6D36FCF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93</w:t>
            </w:r>
          </w:p>
        </w:tc>
        <w:tc>
          <w:tcPr>
            <w:tcW w:w="393" w:type="pct"/>
            <w:shd w:val="clear" w:color="auto" w:fill="auto"/>
            <w:noWrap/>
            <w:vAlign w:val="center"/>
            <w:hideMark/>
          </w:tcPr>
          <w:p w14:paraId="7193F13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21.406,78</w:t>
            </w:r>
          </w:p>
        </w:tc>
        <w:tc>
          <w:tcPr>
            <w:tcW w:w="471" w:type="pct"/>
            <w:vAlign w:val="center"/>
          </w:tcPr>
          <w:p w14:paraId="5398ADB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1.646,68</w:t>
            </w:r>
          </w:p>
        </w:tc>
      </w:tr>
      <w:tr w:rsidR="006356F1" w:rsidRPr="00C0505A" w14:paraId="19266131" w14:textId="77777777" w:rsidTr="00217400">
        <w:trPr>
          <w:trHeight w:val="227"/>
        </w:trPr>
        <w:tc>
          <w:tcPr>
            <w:tcW w:w="1722" w:type="pct"/>
            <w:tcBorders>
              <w:bottom w:val="single" w:sz="4" w:space="0" w:color="auto"/>
            </w:tcBorders>
            <w:shd w:val="clear" w:color="auto" w:fill="auto"/>
            <w:noWrap/>
            <w:vAlign w:val="center"/>
            <w:hideMark/>
          </w:tcPr>
          <w:p w14:paraId="53B6B43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Fabricação de móveis de outros materiais, exceto madeira e metal</w:t>
            </w:r>
          </w:p>
        </w:tc>
        <w:tc>
          <w:tcPr>
            <w:tcW w:w="531" w:type="pct"/>
            <w:tcBorders>
              <w:bottom w:val="single" w:sz="4" w:space="0" w:color="auto"/>
            </w:tcBorders>
            <w:shd w:val="clear" w:color="auto" w:fill="auto"/>
            <w:noWrap/>
            <w:vAlign w:val="center"/>
            <w:hideMark/>
          </w:tcPr>
          <w:p w14:paraId="232CB0DF" w14:textId="77777777" w:rsidR="006356F1" w:rsidRPr="00C0505A" w:rsidRDefault="006356F1" w:rsidP="00217400">
            <w:pPr>
              <w:ind w:firstLineChars="100" w:firstLine="240"/>
              <w:jc w:val="right"/>
              <w:rPr>
                <w:rFonts w:asciiTheme="minorHAnsi" w:hAnsiTheme="minorHAnsi" w:cstheme="minorHAnsi"/>
                <w:color w:val="000000"/>
                <w:sz w:val="24"/>
                <w:szCs w:val="16"/>
              </w:rPr>
            </w:pPr>
          </w:p>
        </w:tc>
        <w:tc>
          <w:tcPr>
            <w:tcW w:w="531" w:type="pct"/>
            <w:tcBorders>
              <w:bottom w:val="single" w:sz="4" w:space="0" w:color="auto"/>
            </w:tcBorders>
            <w:shd w:val="clear" w:color="auto" w:fill="auto"/>
            <w:noWrap/>
            <w:vAlign w:val="center"/>
            <w:hideMark/>
          </w:tcPr>
          <w:p w14:paraId="048A1D67" w14:textId="77777777" w:rsidR="006356F1" w:rsidRPr="00C0505A" w:rsidRDefault="006356F1" w:rsidP="00217400">
            <w:pPr>
              <w:jc w:val="right"/>
              <w:rPr>
                <w:rFonts w:asciiTheme="minorHAnsi" w:hAnsiTheme="minorHAnsi" w:cstheme="minorHAnsi"/>
                <w:sz w:val="24"/>
                <w:szCs w:val="16"/>
              </w:rPr>
            </w:pPr>
          </w:p>
        </w:tc>
        <w:tc>
          <w:tcPr>
            <w:tcW w:w="529" w:type="pct"/>
            <w:tcBorders>
              <w:bottom w:val="single" w:sz="4" w:space="0" w:color="auto"/>
            </w:tcBorders>
            <w:shd w:val="clear" w:color="auto" w:fill="auto"/>
            <w:noWrap/>
            <w:vAlign w:val="center"/>
            <w:hideMark/>
          </w:tcPr>
          <w:p w14:paraId="4196A95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1.654,72</w:t>
            </w:r>
          </w:p>
        </w:tc>
        <w:tc>
          <w:tcPr>
            <w:tcW w:w="487" w:type="pct"/>
            <w:tcBorders>
              <w:bottom w:val="single" w:sz="4" w:space="0" w:color="auto"/>
            </w:tcBorders>
            <w:shd w:val="clear" w:color="auto" w:fill="auto"/>
            <w:noWrap/>
            <w:vAlign w:val="center"/>
            <w:hideMark/>
          </w:tcPr>
          <w:p w14:paraId="4BEB864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37" w:type="pct"/>
            <w:tcBorders>
              <w:bottom w:val="single" w:sz="4" w:space="0" w:color="auto"/>
            </w:tcBorders>
            <w:shd w:val="clear" w:color="auto" w:fill="auto"/>
            <w:noWrap/>
            <w:vAlign w:val="center"/>
            <w:hideMark/>
          </w:tcPr>
          <w:p w14:paraId="258A846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w:t>
            </w:r>
          </w:p>
        </w:tc>
        <w:tc>
          <w:tcPr>
            <w:tcW w:w="393" w:type="pct"/>
            <w:tcBorders>
              <w:bottom w:val="single" w:sz="4" w:space="0" w:color="auto"/>
            </w:tcBorders>
            <w:shd w:val="clear" w:color="auto" w:fill="auto"/>
            <w:noWrap/>
            <w:vAlign w:val="center"/>
            <w:hideMark/>
          </w:tcPr>
          <w:p w14:paraId="4E05D82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tcBorders>
              <w:bottom w:val="single" w:sz="4" w:space="0" w:color="auto"/>
            </w:tcBorders>
            <w:vAlign w:val="center"/>
          </w:tcPr>
          <w:p w14:paraId="51432D1C"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w:t>
            </w:r>
          </w:p>
        </w:tc>
      </w:tr>
      <w:tr w:rsidR="006356F1" w:rsidRPr="00C0505A" w14:paraId="57983334" w14:textId="77777777" w:rsidTr="00217400">
        <w:trPr>
          <w:trHeight w:val="227"/>
        </w:trPr>
        <w:tc>
          <w:tcPr>
            <w:tcW w:w="1722" w:type="pct"/>
            <w:tcBorders>
              <w:top w:val="single" w:sz="4" w:space="0" w:color="auto"/>
              <w:bottom w:val="nil"/>
            </w:tcBorders>
            <w:shd w:val="clear" w:color="auto" w:fill="auto"/>
            <w:noWrap/>
            <w:vAlign w:val="center"/>
            <w:hideMark/>
          </w:tcPr>
          <w:p w14:paraId="706B5C5B"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PRODUTOS ALIMENTÍCIOS</w:t>
            </w:r>
          </w:p>
        </w:tc>
        <w:tc>
          <w:tcPr>
            <w:tcW w:w="531" w:type="pct"/>
            <w:tcBorders>
              <w:top w:val="single" w:sz="4" w:space="0" w:color="auto"/>
              <w:bottom w:val="nil"/>
            </w:tcBorders>
            <w:shd w:val="clear" w:color="auto" w:fill="auto"/>
            <w:noWrap/>
            <w:vAlign w:val="center"/>
            <w:hideMark/>
          </w:tcPr>
          <w:p w14:paraId="61C2FAC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915.290.152,83</w:t>
            </w:r>
          </w:p>
        </w:tc>
        <w:tc>
          <w:tcPr>
            <w:tcW w:w="531" w:type="pct"/>
            <w:tcBorders>
              <w:top w:val="single" w:sz="4" w:space="0" w:color="auto"/>
              <w:bottom w:val="nil"/>
            </w:tcBorders>
            <w:shd w:val="clear" w:color="auto" w:fill="auto"/>
            <w:noWrap/>
            <w:vAlign w:val="center"/>
            <w:hideMark/>
          </w:tcPr>
          <w:p w14:paraId="101C9279"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175.043.427,77</w:t>
            </w:r>
          </w:p>
        </w:tc>
        <w:tc>
          <w:tcPr>
            <w:tcW w:w="529" w:type="pct"/>
            <w:tcBorders>
              <w:top w:val="single" w:sz="4" w:space="0" w:color="auto"/>
              <w:bottom w:val="nil"/>
            </w:tcBorders>
            <w:shd w:val="clear" w:color="auto" w:fill="auto"/>
            <w:noWrap/>
            <w:vAlign w:val="center"/>
            <w:hideMark/>
          </w:tcPr>
          <w:p w14:paraId="332BD31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292.472.291,36</w:t>
            </w:r>
          </w:p>
        </w:tc>
        <w:tc>
          <w:tcPr>
            <w:tcW w:w="487" w:type="pct"/>
            <w:tcBorders>
              <w:top w:val="single" w:sz="4" w:space="0" w:color="auto"/>
              <w:bottom w:val="nil"/>
            </w:tcBorders>
            <w:shd w:val="clear" w:color="auto" w:fill="auto"/>
            <w:noWrap/>
            <w:vAlign w:val="center"/>
            <w:hideMark/>
          </w:tcPr>
          <w:p w14:paraId="334D2C56"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797.861.289,24</w:t>
            </w:r>
          </w:p>
        </w:tc>
        <w:tc>
          <w:tcPr>
            <w:tcW w:w="337" w:type="pct"/>
            <w:tcBorders>
              <w:top w:val="single" w:sz="4" w:space="0" w:color="auto"/>
              <w:bottom w:val="nil"/>
            </w:tcBorders>
            <w:shd w:val="clear" w:color="auto" w:fill="auto"/>
            <w:noWrap/>
            <w:vAlign w:val="center"/>
            <w:hideMark/>
          </w:tcPr>
          <w:p w14:paraId="32AAAE1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52.841</w:t>
            </w:r>
          </w:p>
        </w:tc>
        <w:tc>
          <w:tcPr>
            <w:tcW w:w="393" w:type="pct"/>
            <w:tcBorders>
              <w:top w:val="single" w:sz="4" w:space="0" w:color="auto"/>
              <w:bottom w:val="nil"/>
            </w:tcBorders>
            <w:shd w:val="clear" w:color="auto" w:fill="auto"/>
            <w:noWrap/>
            <w:vAlign w:val="center"/>
            <w:hideMark/>
          </w:tcPr>
          <w:p w14:paraId="58E49F4F"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15.099,38</w:t>
            </w:r>
          </w:p>
        </w:tc>
        <w:tc>
          <w:tcPr>
            <w:tcW w:w="471" w:type="pct"/>
            <w:tcBorders>
              <w:top w:val="single" w:sz="4" w:space="0" w:color="auto"/>
              <w:bottom w:val="nil"/>
            </w:tcBorders>
            <w:vAlign w:val="center"/>
          </w:tcPr>
          <w:p w14:paraId="55C0916F"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1.161,49</w:t>
            </w:r>
          </w:p>
        </w:tc>
      </w:tr>
      <w:tr w:rsidR="006356F1" w:rsidRPr="00C0505A" w14:paraId="0F3665E4" w14:textId="77777777" w:rsidTr="00217400">
        <w:trPr>
          <w:trHeight w:val="227"/>
        </w:trPr>
        <w:tc>
          <w:tcPr>
            <w:tcW w:w="1722" w:type="pct"/>
            <w:tcBorders>
              <w:top w:val="nil"/>
            </w:tcBorders>
            <w:shd w:val="clear" w:color="auto" w:fill="auto"/>
            <w:noWrap/>
            <w:vAlign w:val="center"/>
            <w:hideMark/>
          </w:tcPr>
          <w:p w14:paraId="04F1309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Abate de aves</w:t>
            </w:r>
          </w:p>
        </w:tc>
        <w:tc>
          <w:tcPr>
            <w:tcW w:w="531" w:type="pct"/>
            <w:tcBorders>
              <w:top w:val="nil"/>
            </w:tcBorders>
            <w:shd w:val="clear" w:color="auto" w:fill="auto"/>
            <w:noWrap/>
            <w:vAlign w:val="center"/>
            <w:hideMark/>
          </w:tcPr>
          <w:p w14:paraId="33E24E3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63.695.302,59</w:t>
            </w:r>
          </w:p>
        </w:tc>
        <w:tc>
          <w:tcPr>
            <w:tcW w:w="531" w:type="pct"/>
            <w:tcBorders>
              <w:top w:val="nil"/>
            </w:tcBorders>
            <w:shd w:val="clear" w:color="auto" w:fill="auto"/>
            <w:noWrap/>
            <w:vAlign w:val="center"/>
            <w:hideMark/>
          </w:tcPr>
          <w:p w14:paraId="0BDED49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9.206.642,45</w:t>
            </w:r>
          </w:p>
        </w:tc>
        <w:tc>
          <w:tcPr>
            <w:tcW w:w="529" w:type="pct"/>
            <w:tcBorders>
              <w:top w:val="nil"/>
            </w:tcBorders>
            <w:shd w:val="clear" w:color="auto" w:fill="auto"/>
            <w:noWrap/>
            <w:vAlign w:val="center"/>
            <w:hideMark/>
          </w:tcPr>
          <w:p w14:paraId="7E8E8B6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24.581.534,49</w:t>
            </w:r>
          </w:p>
        </w:tc>
        <w:tc>
          <w:tcPr>
            <w:tcW w:w="487" w:type="pct"/>
            <w:tcBorders>
              <w:top w:val="nil"/>
            </w:tcBorders>
            <w:shd w:val="clear" w:color="auto" w:fill="auto"/>
            <w:noWrap/>
            <w:vAlign w:val="center"/>
            <w:hideMark/>
          </w:tcPr>
          <w:p w14:paraId="3D87EE5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48.320.410,55</w:t>
            </w:r>
          </w:p>
        </w:tc>
        <w:tc>
          <w:tcPr>
            <w:tcW w:w="337" w:type="pct"/>
            <w:tcBorders>
              <w:top w:val="nil"/>
            </w:tcBorders>
            <w:shd w:val="clear" w:color="auto" w:fill="auto"/>
            <w:noWrap/>
            <w:vAlign w:val="center"/>
            <w:hideMark/>
          </w:tcPr>
          <w:p w14:paraId="22CFC20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7.999</w:t>
            </w:r>
          </w:p>
        </w:tc>
        <w:tc>
          <w:tcPr>
            <w:tcW w:w="393" w:type="pct"/>
            <w:tcBorders>
              <w:top w:val="nil"/>
            </w:tcBorders>
            <w:shd w:val="clear" w:color="auto" w:fill="auto"/>
            <w:noWrap/>
            <w:vAlign w:val="center"/>
            <w:hideMark/>
          </w:tcPr>
          <w:p w14:paraId="1754078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6.040,62</w:t>
            </w:r>
          </w:p>
        </w:tc>
        <w:tc>
          <w:tcPr>
            <w:tcW w:w="471" w:type="pct"/>
            <w:tcBorders>
              <w:top w:val="nil"/>
            </w:tcBorders>
            <w:vAlign w:val="center"/>
          </w:tcPr>
          <w:p w14:paraId="0DB260C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464,66</w:t>
            </w:r>
          </w:p>
        </w:tc>
      </w:tr>
      <w:tr w:rsidR="006356F1" w:rsidRPr="00C0505A" w14:paraId="3B06A28B" w14:textId="77777777" w:rsidTr="00217400">
        <w:trPr>
          <w:trHeight w:val="227"/>
        </w:trPr>
        <w:tc>
          <w:tcPr>
            <w:tcW w:w="1722" w:type="pct"/>
            <w:shd w:val="clear" w:color="auto" w:fill="auto"/>
            <w:noWrap/>
            <w:vAlign w:val="center"/>
            <w:hideMark/>
          </w:tcPr>
          <w:p w14:paraId="34EFA1E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açúcar em bruto</w:t>
            </w:r>
          </w:p>
        </w:tc>
        <w:tc>
          <w:tcPr>
            <w:tcW w:w="531" w:type="pct"/>
            <w:shd w:val="clear" w:color="auto" w:fill="auto"/>
            <w:noWrap/>
            <w:vAlign w:val="center"/>
            <w:hideMark/>
          </w:tcPr>
          <w:p w14:paraId="682254E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196.287.646,53</w:t>
            </w:r>
          </w:p>
        </w:tc>
        <w:tc>
          <w:tcPr>
            <w:tcW w:w="531" w:type="pct"/>
            <w:shd w:val="clear" w:color="auto" w:fill="auto"/>
            <w:noWrap/>
            <w:vAlign w:val="center"/>
            <w:hideMark/>
          </w:tcPr>
          <w:p w14:paraId="08213C0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113.176.224,69</w:t>
            </w:r>
          </w:p>
        </w:tc>
        <w:tc>
          <w:tcPr>
            <w:tcW w:w="529" w:type="pct"/>
            <w:shd w:val="clear" w:color="auto" w:fill="auto"/>
            <w:noWrap/>
            <w:vAlign w:val="center"/>
            <w:hideMark/>
          </w:tcPr>
          <w:p w14:paraId="7E07AA6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47.643.579,03</w:t>
            </w:r>
          </w:p>
        </w:tc>
        <w:tc>
          <w:tcPr>
            <w:tcW w:w="487" w:type="pct"/>
            <w:shd w:val="clear" w:color="auto" w:fill="auto"/>
            <w:noWrap/>
            <w:vAlign w:val="center"/>
            <w:hideMark/>
          </w:tcPr>
          <w:p w14:paraId="072152E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261.820.292,19</w:t>
            </w:r>
          </w:p>
        </w:tc>
        <w:tc>
          <w:tcPr>
            <w:tcW w:w="337" w:type="pct"/>
            <w:shd w:val="clear" w:color="auto" w:fill="auto"/>
            <w:noWrap/>
            <w:vAlign w:val="center"/>
            <w:hideMark/>
          </w:tcPr>
          <w:p w14:paraId="2475B91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13.194</w:t>
            </w:r>
          </w:p>
        </w:tc>
        <w:tc>
          <w:tcPr>
            <w:tcW w:w="393" w:type="pct"/>
            <w:shd w:val="clear" w:color="auto" w:fill="auto"/>
            <w:noWrap/>
            <w:vAlign w:val="center"/>
            <w:hideMark/>
          </w:tcPr>
          <w:p w14:paraId="534A6D0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19.844,52</w:t>
            </w:r>
          </w:p>
        </w:tc>
        <w:tc>
          <w:tcPr>
            <w:tcW w:w="471" w:type="pct"/>
            <w:vAlign w:val="center"/>
          </w:tcPr>
          <w:p w14:paraId="6945EF9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1.526,50</w:t>
            </w:r>
          </w:p>
        </w:tc>
      </w:tr>
      <w:tr w:rsidR="006356F1" w:rsidRPr="00C0505A" w14:paraId="1801B383" w14:textId="77777777" w:rsidTr="00217400">
        <w:trPr>
          <w:trHeight w:val="227"/>
        </w:trPr>
        <w:tc>
          <w:tcPr>
            <w:tcW w:w="1722" w:type="pct"/>
            <w:shd w:val="clear" w:color="auto" w:fill="auto"/>
            <w:noWrap/>
            <w:vAlign w:val="center"/>
            <w:hideMark/>
          </w:tcPr>
          <w:p w14:paraId="08968B0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alimentos dietéticos e complementos alimentares</w:t>
            </w:r>
          </w:p>
        </w:tc>
        <w:tc>
          <w:tcPr>
            <w:tcW w:w="531" w:type="pct"/>
            <w:shd w:val="clear" w:color="auto" w:fill="auto"/>
            <w:noWrap/>
            <w:vAlign w:val="center"/>
            <w:hideMark/>
          </w:tcPr>
          <w:p w14:paraId="1260984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226.760,43</w:t>
            </w:r>
          </w:p>
        </w:tc>
        <w:tc>
          <w:tcPr>
            <w:tcW w:w="531" w:type="pct"/>
            <w:shd w:val="clear" w:color="auto" w:fill="auto"/>
            <w:noWrap/>
            <w:vAlign w:val="center"/>
            <w:hideMark/>
          </w:tcPr>
          <w:p w14:paraId="1EBDFA77"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793E5C9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102.522,53</w:t>
            </w:r>
          </w:p>
        </w:tc>
        <w:tc>
          <w:tcPr>
            <w:tcW w:w="487" w:type="pct"/>
            <w:shd w:val="clear" w:color="auto" w:fill="auto"/>
            <w:noWrap/>
            <w:vAlign w:val="center"/>
            <w:hideMark/>
          </w:tcPr>
          <w:p w14:paraId="6872803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124.237,90</w:t>
            </w:r>
          </w:p>
        </w:tc>
        <w:tc>
          <w:tcPr>
            <w:tcW w:w="337" w:type="pct"/>
            <w:shd w:val="clear" w:color="auto" w:fill="auto"/>
            <w:noWrap/>
            <w:vAlign w:val="center"/>
            <w:hideMark/>
          </w:tcPr>
          <w:p w14:paraId="0BACBD5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w:t>
            </w:r>
          </w:p>
        </w:tc>
        <w:tc>
          <w:tcPr>
            <w:tcW w:w="393" w:type="pct"/>
            <w:shd w:val="clear" w:color="auto" w:fill="auto"/>
            <w:noWrap/>
            <w:vAlign w:val="center"/>
            <w:hideMark/>
          </w:tcPr>
          <w:p w14:paraId="7CE81E1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5.194,62</w:t>
            </w:r>
          </w:p>
        </w:tc>
        <w:tc>
          <w:tcPr>
            <w:tcW w:w="471" w:type="pct"/>
            <w:vAlign w:val="center"/>
          </w:tcPr>
          <w:p w14:paraId="6FD6A19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399,59</w:t>
            </w:r>
          </w:p>
        </w:tc>
      </w:tr>
      <w:tr w:rsidR="006356F1" w:rsidRPr="00C0505A" w14:paraId="0E56E728" w14:textId="77777777" w:rsidTr="00217400">
        <w:trPr>
          <w:trHeight w:val="227"/>
        </w:trPr>
        <w:tc>
          <w:tcPr>
            <w:tcW w:w="1722" w:type="pct"/>
            <w:shd w:val="clear" w:color="auto" w:fill="auto"/>
            <w:noWrap/>
            <w:vAlign w:val="center"/>
            <w:hideMark/>
          </w:tcPr>
          <w:p w14:paraId="14506F1A"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alimentos para animais</w:t>
            </w:r>
          </w:p>
        </w:tc>
        <w:tc>
          <w:tcPr>
            <w:tcW w:w="531" w:type="pct"/>
            <w:shd w:val="clear" w:color="auto" w:fill="auto"/>
            <w:noWrap/>
            <w:vAlign w:val="center"/>
            <w:hideMark/>
          </w:tcPr>
          <w:p w14:paraId="6CC2E8F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6.431.391,60</w:t>
            </w:r>
          </w:p>
        </w:tc>
        <w:tc>
          <w:tcPr>
            <w:tcW w:w="531" w:type="pct"/>
            <w:shd w:val="clear" w:color="auto" w:fill="auto"/>
            <w:noWrap/>
            <w:vAlign w:val="center"/>
            <w:hideMark/>
          </w:tcPr>
          <w:p w14:paraId="0C71737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308.846,82</w:t>
            </w:r>
          </w:p>
        </w:tc>
        <w:tc>
          <w:tcPr>
            <w:tcW w:w="529" w:type="pct"/>
            <w:shd w:val="clear" w:color="auto" w:fill="auto"/>
            <w:noWrap/>
            <w:vAlign w:val="center"/>
            <w:hideMark/>
          </w:tcPr>
          <w:p w14:paraId="7766E38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1.422.199,64</w:t>
            </w:r>
          </w:p>
        </w:tc>
        <w:tc>
          <w:tcPr>
            <w:tcW w:w="487" w:type="pct"/>
            <w:shd w:val="clear" w:color="auto" w:fill="auto"/>
            <w:noWrap/>
            <w:vAlign w:val="center"/>
            <w:hideMark/>
          </w:tcPr>
          <w:p w14:paraId="4132DF2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5.318.038,78</w:t>
            </w:r>
          </w:p>
        </w:tc>
        <w:tc>
          <w:tcPr>
            <w:tcW w:w="337" w:type="pct"/>
            <w:shd w:val="clear" w:color="auto" w:fill="auto"/>
            <w:noWrap/>
            <w:vAlign w:val="center"/>
            <w:hideMark/>
          </w:tcPr>
          <w:p w14:paraId="57A8790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824</w:t>
            </w:r>
          </w:p>
        </w:tc>
        <w:tc>
          <w:tcPr>
            <w:tcW w:w="393" w:type="pct"/>
            <w:shd w:val="clear" w:color="auto" w:fill="auto"/>
            <w:noWrap/>
            <w:vAlign w:val="center"/>
            <w:hideMark/>
          </w:tcPr>
          <w:p w14:paraId="75378D1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6.453,93</w:t>
            </w:r>
          </w:p>
        </w:tc>
        <w:tc>
          <w:tcPr>
            <w:tcW w:w="471" w:type="pct"/>
            <w:vAlign w:val="center"/>
          </w:tcPr>
          <w:p w14:paraId="6F2C376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496,46</w:t>
            </w:r>
          </w:p>
        </w:tc>
      </w:tr>
      <w:tr w:rsidR="006356F1" w:rsidRPr="00C0505A" w14:paraId="0CB6DD0B" w14:textId="77777777" w:rsidTr="00217400">
        <w:trPr>
          <w:trHeight w:val="227"/>
        </w:trPr>
        <w:tc>
          <w:tcPr>
            <w:tcW w:w="1722" w:type="pct"/>
            <w:shd w:val="clear" w:color="auto" w:fill="auto"/>
            <w:noWrap/>
            <w:vAlign w:val="center"/>
            <w:hideMark/>
          </w:tcPr>
          <w:p w14:paraId="36EE9092"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amidos e féculas de vegetais</w:t>
            </w:r>
          </w:p>
        </w:tc>
        <w:tc>
          <w:tcPr>
            <w:tcW w:w="531" w:type="pct"/>
            <w:shd w:val="clear" w:color="auto" w:fill="auto"/>
            <w:noWrap/>
            <w:vAlign w:val="center"/>
            <w:hideMark/>
          </w:tcPr>
          <w:p w14:paraId="792CFCD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17.629.221,62</w:t>
            </w:r>
          </w:p>
        </w:tc>
        <w:tc>
          <w:tcPr>
            <w:tcW w:w="531" w:type="pct"/>
            <w:shd w:val="clear" w:color="auto" w:fill="auto"/>
            <w:noWrap/>
            <w:vAlign w:val="center"/>
            <w:hideMark/>
          </w:tcPr>
          <w:p w14:paraId="4DEDA398"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30A9DB0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5.068.639,40</w:t>
            </w:r>
          </w:p>
        </w:tc>
        <w:tc>
          <w:tcPr>
            <w:tcW w:w="487" w:type="pct"/>
            <w:shd w:val="clear" w:color="auto" w:fill="auto"/>
            <w:noWrap/>
            <w:vAlign w:val="center"/>
            <w:hideMark/>
          </w:tcPr>
          <w:p w14:paraId="7F4583F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12.560.582,22</w:t>
            </w:r>
          </w:p>
        </w:tc>
        <w:tc>
          <w:tcPr>
            <w:tcW w:w="337" w:type="pct"/>
            <w:shd w:val="clear" w:color="auto" w:fill="auto"/>
            <w:noWrap/>
            <w:vAlign w:val="center"/>
            <w:hideMark/>
          </w:tcPr>
          <w:p w14:paraId="28E3CF4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381</w:t>
            </w:r>
          </w:p>
        </w:tc>
        <w:tc>
          <w:tcPr>
            <w:tcW w:w="393" w:type="pct"/>
            <w:shd w:val="clear" w:color="auto" w:fill="auto"/>
            <w:noWrap/>
            <w:vAlign w:val="center"/>
            <w:hideMark/>
          </w:tcPr>
          <w:p w14:paraId="4693B41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32.989,05</w:t>
            </w:r>
          </w:p>
        </w:tc>
        <w:tc>
          <w:tcPr>
            <w:tcW w:w="471" w:type="pct"/>
            <w:vAlign w:val="center"/>
          </w:tcPr>
          <w:p w14:paraId="2B70429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2.537,62</w:t>
            </w:r>
          </w:p>
        </w:tc>
      </w:tr>
      <w:tr w:rsidR="006356F1" w:rsidRPr="00C0505A" w14:paraId="689FC73F" w14:textId="77777777" w:rsidTr="00217400">
        <w:trPr>
          <w:trHeight w:val="227"/>
        </w:trPr>
        <w:tc>
          <w:tcPr>
            <w:tcW w:w="1722" w:type="pct"/>
            <w:shd w:val="clear" w:color="auto" w:fill="auto"/>
            <w:noWrap/>
            <w:vAlign w:val="center"/>
            <w:hideMark/>
          </w:tcPr>
          <w:p w14:paraId="5E4AA817"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biscoitos e bolachas</w:t>
            </w:r>
          </w:p>
        </w:tc>
        <w:tc>
          <w:tcPr>
            <w:tcW w:w="531" w:type="pct"/>
            <w:shd w:val="clear" w:color="auto" w:fill="auto"/>
            <w:noWrap/>
            <w:vAlign w:val="center"/>
            <w:hideMark/>
          </w:tcPr>
          <w:p w14:paraId="711F63E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8.167.182,47</w:t>
            </w:r>
          </w:p>
        </w:tc>
        <w:tc>
          <w:tcPr>
            <w:tcW w:w="531" w:type="pct"/>
            <w:shd w:val="clear" w:color="auto" w:fill="auto"/>
            <w:noWrap/>
            <w:vAlign w:val="center"/>
            <w:hideMark/>
          </w:tcPr>
          <w:p w14:paraId="5C4978AD"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09A76F2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2.844.570,17</w:t>
            </w:r>
          </w:p>
        </w:tc>
        <w:tc>
          <w:tcPr>
            <w:tcW w:w="487" w:type="pct"/>
            <w:shd w:val="clear" w:color="auto" w:fill="auto"/>
            <w:noWrap/>
            <w:vAlign w:val="center"/>
            <w:hideMark/>
          </w:tcPr>
          <w:p w14:paraId="7760BB2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5.322.612,30</w:t>
            </w:r>
          </w:p>
        </w:tc>
        <w:tc>
          <w:tcPr>
            <w:tcW w:w="337" w:type="pct"/>
            <w:shd w:val="clear" w:color="auto" w:fill="auto"/>
            <w:noWrap/>
            <w:vAlign w:val="center"/>
            <w:hideMark/>
          </w:tcPr>
          <w:p w14:paraId="54F8D50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1.599</w:t>
            </w:r>
          </w:p>
        </w:tc>
        <w:tc>
          <w:tcPr>
            <w:tcW w:w="393" w:type="pct"/>
            <w:shd w:val="clear" w:color="auto" w:fill="auto"/>
            <w:noWrap/>
            <w:vAlign w:val="center"/>
            <w:hideMark/>
          </w:tcPr>
          <w:p w14:paraId="691081B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3.328,37</w:t>
            </w:r>
          </w:p>
        </w:tc>
        <w:tc>
          <w:tcPr>
            <w:tcW w:w="471" w:type="pct"/>
            <w:vAlign w:val="center"/>
          </w:tcPr>
          <w:p w14:paraId="394D617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256,03</w:t>
            </w:r>
          </w:p>
        </w:tc>
      </w:tr>
      <w:tr w:rsidR="006356F1" w:rsidRPr="00C0505A" w14:paraId="1DC4D790" w14:textId="77777777" w:rsidTr="00217400">
        <w:trPr>
          <w:trHeight w:val="227"/>
        </w:trPr>
        <w:tc>
          <w:tcPr>
            <w:tcW w:w="1722" w:type="pct"/>
            <w:shd w:val="clear" w:color="auto" w:fill="auto"/>
            <w:noWrap/>
            <w:vAlign w:val="center"/>
            <w:hideMark/>
          </w:tcPr>
          <w:p w14:paraId="54ABB99E"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conservas de frutas</w:t>
            </w:r>
          </w:p>
        </w:tc>
        <w:tc>
          <w:tcPr>
            <w:tcW w:w="531" w:type="pct"/>
            <w:shd w:val="clear" w:color="auto" w:fill="auto"/>
            <w:noWrap/>
            <w:vAlign w:val="center"/>
            <w:hideMark/>
          </w:tcPr>
          <w:p w14:paraId="5AFCB44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140.049.809,20</w:t>
            </w:r>
          </w:p>
        </w:tc>
        <w:tc>
          <w:tcPr>
            <w:tcW w:w="531" w:type="pct"/>
            <w:shd w:val="clear" w:color="auto" w:fill="auto"/>
            <w:noWrap/>
            <w:vAlign w:val="center"/>
            <w:hideMark/>
          </w:tcPr>
          <w:p w14:paraId="2B9D8F8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14.899.031,65</w:t>
            </w:r>
          </w:p>
        </w:tc>
        <w:tc>
          <w:tcPr>
            <w:tcW w:w="529" w:type="pct"/>
            <w:shd w:val="clear" w:color="auto" w:fill="auto"/>
            <w:noWrap/>
            <w:vAlign w:val="center"/>
            <w:hideMark/>
          </w:tcPr>
          <w:p w14:paraId="5698895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32.608.406,52</w:t>
            </w:r>
          </w:p>
        </w:tc>
        <w:tc>
          <w:tcPr>
            <w:tcW w:w="487" w:type="pct"/>
            <w:shd w:val="clear" w:color="auto" w:fill="auto"/>
            <w:noWrap/>
            <w:vAlign w:val="center"/>
            <w:hideMark/>
          </w:tcPr>
          <w:p w14:paraId="34DA5B4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122.340.434,33</w:t>
            </w:r>
          </w:p>
        </w:tc>
        <w:tc>
          <w:tcPr>
            <w:tcW w:w="337" w:type="pct"/>
            <w:shd w:val="clear" w:color="auto" w:fill="auto"/>
            <w:noWrap/>
            <w:vAlign w:val="center"/>
            <w:hideMark/>
          </w:tcPr>
          <w:p w14:paraId="37ED5A6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3.085</w:t>
            </w:r>
          </w:p>
        </w:tc>
        <w:tc>
          <w:tcPr>
            <w:tcW w:w="393" w:type="pct"/>
            <w:shd w:val="clear" w:color="auto" w:fill="auto"/>
            <w:noWrap/>
            <w:vAlign w:val="center"/>
            <w:hideMark/>
          </w:tcPr>
          <w:p w14:paraId="27B1516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39.656,54</w:t>
            </w:r>
          </w:p>
        </w:tc>
        <w:tc>
          <w:tcPr>
            <w:tcW w:w="471" w:type="pct"/>
            <w:vAlign w:val="center"/>
          </w:tcPr>
          <w:p w14:paraId="588C69D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3.050,50</w:t>
            </w:r>
          </w:p>
        </w:tc>
      </w:tr>
      <w:tr w:rsidR="006356F1" w:rsidRPr="00C0505A" w14:paraId="73F40FA4" w14:textId="77777777" w:rsidTr="00217400">
        <w:trPr>
          <w:trHeight w:val="227"/>
        </w:trPr>
        <w:tc>
          <w:tcPr>
            <w:tcW w:w="1722" w:type="pct"/>
            <w:shd w:val="clear" w:color="auto" w:fill="auto"/>
            <w:noWrap/>
            <w:vAlign w:val="center"/>
            <w:hideMark/>
          </w:tcPr>
          <w:p w14:paraId="238E783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conservas de legumes e outros vegetais, exceto palmito</w:t>
            </w:r>
          </w:p>
        </w:tc>
        <w:tc>
          <w:tcPr>
            <w:tcW w:w="531" w:type="pct"/>
            <w:shd w:val="clear" w:color="auto" w:fill="auto"/>
            <w:noWrap/>
            <w:vAlign w:val="center"/>
            <w:hideMark/>
          </w:tcPr>
          <w:p w14:paraId="2BA6CC1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29.074.963,22</w:t>
            </w:r>
          </w:p>
        </w:tc>
        <w:tc>
          <w:tcPr>
            <w:tcW w:w="531" w:type="pct"/>
            <w:shd w:val="clear" w:color="auto" w:fill="auto"/>
            <w:noWrap/>
            <w:vAlign w:val="center"/>
            <w:hideMark/>
          </w:tcPr>
          <w:p w14:paraId="38EF8C3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1.005.804,66</w:t>
            </w:r>
          </w:p>
        </w:tc>
        <w:tc>
          <w:tcPr>
            <w:tcW w:w="529" w:type="pct"/>
            <w:shd w:val="clear" w:color="auto" w:fill="auto"/>
            <w:noWrap/>
            <w:vAlign w:val="center"/>
            <w:hideMark/>
          </w:tcPr>
          <w:p w14:paraId="58E2938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9.218.380,44</w:t>
            </w:r>
          </w:p>
        </w:tc>
        <w:tc>
          <w:tcPr>
            <w:tcW w:w="487" w:type="pct"/>
            <w:shd w:val="clear" w:color="auto" w:fill="auto"/>
            <w:noWrap/>
            <w:vAlign w:val="center"/>
            <w:hideMark/>
          </w:tcPr>
          <w:p w14:paraId="0742D72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20.862.387,44</w:t>
            </w:r>
          </w:p>
        </w:tc>
        <w:tc>
          <w:tcPr>
            <w:tcW w:w="337" w:type="pct"/>
            <w:shd w:val="clear" w:color="auto" w:fill="auto"/>
            <w:noWrap/>
            <w:vAlign w:val="center"/>
            <w:hideMark/>
          </w:tcPr>
          <w:p w14:paraId="2A44814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1.777</w:t>
            </w:r>
          </w:p>
        </w:tc>
        <w:tc>
          <w:tcPr>
            <w:tcW w:w="393" w:type="pct"/>
            <w:shd w:val="clear" w:color="auto" w:fill="auto"/>
            <w:noWrap/>
            <w:vAlign w:val="center"/>
            <w:hideMark/>
          </w:tcPr>
          <w:p w14:paraId="211F7A2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11.743,53</w:t>
            </w:r>
          </w:p>
        </w:tc>
        <w:tc>
          <w:tcPr>
            <w:tcW w:w="471" w:type="pct"/>
            <w:vAlign w:val="center"/>
          </w:tcPr>
          <w:p w14:paraId="4F9DCDF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903,35</w:t>
            </w:r>
          </w:p>
        </w:tc>
      </w:tr>
      <w:tr w:rsidR="006356F1" w:rsidRPr="00C0505A" w14:paraId="33E6E2B3" w14:textId="77777777" w:rsidTr="00217400">
        <w:trPr>
          <w:trHeight w:val="227"/>
        </w:trPr>
        <w:tc>
          <w:tcPr>
            <w:tcW w:w="1722" w:type="pct"/>
            <w:shd w:val="clear" w:color="auto" w:fill="auto"/>
            <w:noWrap/>
            <w:vAlign w:val="center"/>
            <w:hideMark/>
          </w:tcPr>
          <w:p w14:paraId="7508F146"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conservas de peixes, crustáceos e moluscos</w:t>
            </w:r>
          </w:p>
        </w:tc>
        <w:tc>
          <w:tcPr>
            <w:tcW w:w="531" w:type="pct"/>
            <w:shd w:val="clear" w:color="auto" w:fill="auto"/>
            <w:noWrap/>
            <w:vAlign w:val="center"/>
            <w:hideMark/>
          </w:tcPr>
          <w:p w14:paraId="731CFD7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936.973,52</w:t>
            </w:r>
          </w:p>
        </w:tc>
        <w:tc>
          <w:tcPr>
            <w:tcW w:w="531" w:type="pct"/>
            <w:shd w:val="clear" w:color="auto" w:fill="auto"/>
            <w:noWrap/>
            <w:vAlign w:val="center"/>
            <w:hideMark/>
          </w:tcPr>
          <w:p w14:paraId="3A33D15C"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70F3934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305.125,36</w:t>
            </w:r>
          </w:p>
        </w:tc>
        <w:tc>
          <w:tcPr>
            <w:tcW w:w="487" w:type="pct"/>
            <w:shd w:val="clear" w:color="auto" w:fill="auto"/>
            <w:noWrap/>
            <w:vAlign w:val="center"/>
            <w:hideMark/>
          </w:tcPr>
          <w:p w14:paraId="4B6526D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631.848,16</w:t>
            </w:r>
          </w:p>
        </w:tc>
        <w:tc>
          <w:tcPr>
            <w:tcW w:w="337" w:type="pct"/>
            <w:shd w:val="clear" w:color="auto" w:fill="auto"/>
            <w:noWrap/>
            <w:vAlign w:val="center"/>
            <w:hideMark/>
          </w:tcPr>
          <w:p w14:paraId="028FD44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133</w:t>
            </w:r>
          </w:p>
        </w:tc>
        <w:tc>
          <w:tcPr>
            <w:tcW w:w="393" w:type="pct"/>
            <w:shd w:val="clear" w:color="auto" w:fill="auto"/>
            <w:noWrap/>
            <w:vAlign w:val="center"/>
            <w:hideMark/>
          </w:tcPr>
          <w:p w14:paraId="62CEACC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4.747,76</w:t>
            </w:r>
          </w:p>
        </w:tc>
        <w:tc>
          <w:tcPr>
            <w:tcW w:w="471" w:type="pct"/>
            <w:vAlign w:val="center"/>
          </w:tcPr>
          <w:p w14:paraId="2DC684F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365,21</w:t>
            </w:r>
          </w:p>
        </w:tc>
      </w:tr>
      <w:tr w:rsidR="006356F1" w:rsidRPr="00C0505A" w14:paraId="54F6D4B9" w14:textId="77777777" w:rsidTr="00217400">
        <w:trPr>
          <w:trHeight w:val="227"/>
        </w:trPr>
        <w:tc>
          <w:tcPr>
            <w:tcW w:w="1722" w:type="pct"/>
            <w:shd w:val="clear" w:color="auto" w:fill="auto"/>
            <w:noWrap/>
            <w:vAlign w:val="center"/>
            <w:hideMark/>
          </w:tcPr>
          <w:p w14:paraId="3B93BC0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especiarias, molhos, temperos e condimentos</w:t>
            </w:r>
          </w:p>
        </w:tc>
        <w:tc>
          <w:tcPr>
            <w:tcW w:w="531" w:type="pct"/>
            <w:shd w:val="clear" w:color="auto" w:fill="auto"/>
            <w:noWrap/>
            <w:vAlign w:val="center"/>
            <w:hideMark/>
          </w:tcPr>
          <w:p w14:paraId="2DA0371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12.794.222,06</w:t>
            </w:r>
          </w:p>
        </w:tc>
        <w:tc>
          <w:tcPr>
            <w:tcW w:w="531" w:type="pct"/>
            <w:shd w:val="clear" w:color="auto" w:fill="auto"/>
            <w:noWrap/>
            <w:vAlign w:val="center"/>
            <w:hideMark/>
          </w:tcPr>
          <w:p w14:paraId="766D9D08"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662E208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3.936.333,99</w:t>
            </w:r>
          </w:p>
        </w:tc>
        <w:tc>
          <w:tcPr>
            <w:tcW w:w="487" w:type="pct"/>
            <w:shd w:val="clear" w:color="auto" w:fill="auto"/>
            <w:noWrap/>
            <w:vAlign w:val="center"/>
            <w:hideMark/>
          </w:tcPr>
          <w:p w14:paraId="12A2FF8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8.857.888,07</w:t>
            </w:r>
          </w:p>
        </w:tc>
        <w:tc>
          <w:tcPr>
            <w:tcW w:w="337" w:type="pct"/>
            <w:shd w:val="clear" w:color="auto" w:fill="auto"/>
            <w:noWrap/>
            <w:vAlign w:val="center"/>
            <w:hideMark/>
          </w:tcPr>
          <w:p w14:paraId="123112F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914</w:t>
            </w:r>
          </w:p>
        </w:tc>
        <w:tc>
          <w:tcPr>
            <w:tcW w:w="393" w:type="pct"/>
            <w:shd w:val="clear" w:color="auto" w:fill="auto"/>
            <w:noWrap/>
            <w:vAlign w:val="center"/>
            <w:hideMark/>
          </w:tcPr>
          <w:p w14:paraId="7FB1676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9.686,93</w:t>
            </w:r>
          </w:p>
        </w:tc>
        <w:tc>
          <w:tcPr>
            <w:tcW w:w="471" w:type="pct"/>
            <w:vAlign w:val="center"/>
          </w:tcPr>
          <w:p w14:paraId="53D95DF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745,15</w:t>
            </w:r>
          </w:p>
        </w:tc>
      </w:tr>
      <w:tr w:rsidR="006356F1" w:rsidRPr="00C0505A" w14:paraId="04BCBEF8" w14:textId="77777777" w:rsidTr="00217400">
        <w:trPr>
          <w:trHeight w:val="227"/>
        </w:trPr>
        <w:tc>
          <w:tcPr>
            <w:tcW w:w="1722" w:type="pct"/>
            <w:shd w:val="clear" w:color="auto" w:fill="auto"/>
            <w:noWrap/>
            <w:vAlign w:val="center"/>
            <w:hideMark/>
          </w:tcPr>
          <w:p w14:paraId="1C4BB10C"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Fabricação de farinha de milho e derivados, exceto óleos de milho</w:t>
            </w:r>
          </w:p>
        </w:tc>
        <w:tc>
          <w:tcPr>
            <w:tcW w:w="531" w:type="pct"/>
            <w:shd w:val="clear" w:color="auto" w:fill="auto"/>
            <w:noWrap/>
            <w:vAlign w:val="center"/>
            <w:hideMark/>
          </w:tcPr>
          <w:p w14:paraId="1ED3EC2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12.791.249,59</w:t>
            </w:r>
          </w:p>
        </w:tc>
        <w:tc>
          <w:tcPr>
            <w:tcW w:w="531" w:type="pct"/>
            <w:shd w:val="clear" w:color="auto" w:fill="auto"/>
            <w:noWrap/>
            <w:vAlign w:val="center"/>
            <w:hideMark/>
          </w:tcPr>
          <w:p w14:paraId="4317895B"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78FD453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2.775.403,35</w:t>
            </w:r>
          </w:p>
        </w:tc>
        <w:tc>
          <w:tcPr>
            <w:tcW w:w="487" w:type="pct"/>
            <w:shd w:val="clear" w:color="auto" w:fill="auto"/>
            <w:noWrap/>
            <w:vAlign w:val="center"/>
            <w:hideMark/>
          </w:tcPr>
          <w:p w14:paraId="2754608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10.015.846,24</w:t>
            </w:r>
          </w:p>
        </w:tc>
        <w:tc>
          <w:tcPr>
            <w:tcW w:w="337" w:type="pct"/>
            <w:shd w:val="clear" w:color="auto" w:fill="auto"/>
            <w:noWrap/>
            <w:vAlign w:val="center"/>
            <w:hideMark/>
          </w:tcPr>
          <w:p w14:paraId="6B084BC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528</w:t>
            </w:r>
          </w:p>
        </w:tc>
        <w:tc>
          <w:tcPr>
            <w:tcW w:w="393" w:type="pct"/>
            <w:shd w:val="clear" w:color="auto" w:fill="auto"/>
            <w:noWrap/>
            <w:vAlign w:val="center"/>
            <w:hideMark/>
          </w:tcPr>
          <w:p w14:paraId="3850BDC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18.984,39</w:t>
            </w:r>
          </w:p>
        </w:tc>
        <w:tc>
          <w:tcPr>
            <w:tcW w:w="471" w:type="pct"/>
            <w:vAlign w:val="center"/>
          </w:tcPr>
          <w:p w14:paraId="0C8C7DA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1.460,34</w:t>
            </w:r>
          </w:p>
        </w:tc>
      </w:tr>
      <w:tr w:rsidR="006356F1" w:rsidRPr="00C0505A" w14:paraId="1FBE8E1F" w14:textId="77777777" w:rsidTr="00217400">
        <w:trPr>
          <w:trHeight w:val="227"/>
        </w:trPr>
        <w:tc>
          <w:tcPr>
            <w:tcW w:w="1722" w:type="pct"/>
            <w:shd w:val="clear" w:color="auto" w:fill="auto"/>
            <w:noWrap/>
            <w:vAlign w:val="center"/>
            <w:hideMark/>
          </w:tcPr>
          <w:p w14:paraId="57F6E105"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laticínios</w:t>
            </w:r>
          </w:p>
        </w:tc>
        <w:tc>
          <w:tcPr>
            <w:tcW w:w="531" w:type="pct"/>
            <w:shd w:val="clear" w:color="auto" w:fill="auto"/>
            <w:noWrap/>
            <w:vAlign w:val="center"/>
            <w:hideMark/>
          </w:tcPr>
          <w:p w14:paraId="35236E1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116.446.201,87</w:t>
            </w:r>
          </w:p>
        </w:tc>
        <w:tc>
          <w:tcPr>
            <w:tcW w:w="531" w:type="pct"/>
            <w:shd w:val="clear" w:color="auto" w:fill="auto"/>
            <w:noWrap/>
            <w:vAlign w:val="center"/>
            <w:hideMark/>
          </w:tcPr>
          <w:p w14:paraId="2B43F43A"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68FD168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58.657.853,79</w:t>
            </w:r>
          </w:p>
        </w:tc>
        <w:tc>
          <w:tcPr>
            <w:tcW w:w="487" w:type="pct"/>
            <w:shd w:val="clear" w:color="auto" w:fill="auto"/>
            <w:noWrap/>
            <w:vAlign w:val="center"/>
            <w:hideMark/>
          </w:tcPr>
          <w:p w14:paraId="50573C5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57.788.348,08</w:t>
            </w:r>
          </w:p>
        </w:tc>
        <w:tc>
          <w:tcPr>
            <w:tcW w:w="337" w:type="pct"/>
            <w:shd w:val="clear" w:color="auto" w:fill="auto"/>
            <w:noWrap/>
            <w:vAlign w:val="center"/>
            <w:hideMark/>
          </w:tcPr>
          <w:p w14:paraId="3DB2F85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4.473</w:t>
            </w:r>
          </w:p>
        </w:tc>
        <w:tc>
          <w:tcPr>
            <w:tcW w:w="393" w:type="pct"/>
            <w:shd w:val="clear" w:color="auto" w:fill="auto"/>
            <w:noWrap/>
            <w:vAlign w:val="center"/>
            <w:hideMark/>
          </w:tcPr>
          <w:p w14:paraId="15EE5C4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12.918,41</w:t>
            </w:r>
          </w:p>
        </w:tc>
        <w:tc>
          <w:tcPr>
            <w:tcW w:w="471" w:type="pct"/>
            <w:vAlign w:val="center"/>
          </w:tcPr>
          <w:p w14:paraId="7455EEF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993,72</w:t>
            </w:r>
          </w:p>
        </w:tc>
      </w:tr>
      <w:tr w:rsidR="006356F1" w:rsidRPr="00C0505A" w14:paraId="7CAFAC67" w14:textId="77777777" w:rsidTr="00217400">
        <w:trPr>
          <w:trHeight w:val="227"/>
        </w:trPr>
        <w:tc>
          <w:tcPr>
            <w:tcW w:w="1722" w:type="pct"/>
            <w:shd w:val="clear" w:color="auto" w:fill="auto"/>
            <w:noWrap/>
            <w:vAlign w:val="center"/>
            <w:hideMark/>
          </w:tcPr>
          <w:p w14:paraId="6C5EFAE0"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margarina e outras gorduras vegetais e de óleos não-comestíveis de animais</w:t>
            </w:r>
          </w:p>
        </w:tc>
        <w:tc>
          <w:tcPr>
            <w:tcW w:w="531" w:type="pct"/>
            <w:shd w:val="clear" w:color="auto" w:fill="auto"/>
            <w:noWrap/>
            <w:vAlign w:val="center"/>
            <w:hideMark/>
          </w:tcPr>
          <w:p w14:paraId="12CB456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15.827.784,34</w:t>
            </w:r>
          </w:p>
        </w:tc>
        <w:tc>
          <w:tcPr>
            <w:tcW w:w="531" w:type="pct"/>
            <w:shd w:val="clear" w:color="auto" w:fill="auto"/>
            <w:noWrap/>
            <w:vAlign w:val="center"/>
            <w:hideMark/>
          </w:tcPr>
          <w:p w14:paraId="1B318A8F"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69D4E2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4.117.145,56</w:t>
            </w:r>
          </w:p>
        </w:tc>
        <w:tc>
          <w:tcPr>
            <w:tcW w:w="487" w:type="pct"/>
            <w:shd w:val="clear" w:color="auto" w:fill="auto"/>
            <w:noWrap/>
            <w:vAlign w:val="center"/>
            <w:hideMark/>
          </w:tcPr>
          <w:p w14:paraId="6BCB8BC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11.710.638,78</w:t>
            </w:r>
          </w:p>
        </w:tc>
        <w:tc>
          <w:tcPr>
            <w:tcW w:w="337" w:type="pct"/>
            <w:shd w:val="clear" w:color="auto" w:fill="auto"/>
            <w:noWrap/>
            <w:vAlign w:val="center"/>
            <w:hideMark/>
          </w:tcPr>
          <w:p w14:paraId="7ABE1CD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239</w:t>
            </w:r>
          </w:p>
        </w:tc>
        <w:tc>
          <w:tcPr>
            <w:tcW w:w="393" w:type="pct"/>
            <w:shd w:val="clear" w:color="auto" w:fill="auto"/>
            <w:noWrap/>
            <w:vAlign w:val="center"/>
            <w:hideMark/>
          </w:tcPr>
          <w:p w14:paraId="6A6481B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49.049,80</w:t>
            </w:r>
          </w:p>
        </w:tc>
        <w:tc>
          <w:tcPr>
            <w:tcW w:w="471" w:type="pct"/>
            <w:vAlign w:val="center"/>
          </w:tcPr>
          <w:p w14:paraId="2CD1838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3.773,06</w:t>
            </w:r>
          </w:p>
        </w:tc>
      </w:tr>
      <w:tr w:rsidR="006356F1" w:rsidRPr="00C0505A" w14:paraId="19DD4A37" w14:textId="77777777" w:rsidTr="00217400">
        <w:trPr>
          <w:trHeight w:val="227"/>
        </w:trPr>
        <w:tc>
          <w:tcPr>
            <w:tcW w:w="1722" w:type="pct"/>
            <w:shd w:val="clear" w:color="auto" w:fill="auto"/>
            <w:noWrap/>
            <w:vAlign w:val="center"/>
            <w:hideMark/>
          </w:tcPr>
          <w:p w14:paraId="7A75EDDD"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massas alimentícias</w:t>
            </w:r>
          </w:p>
        </w:tc>
        <w:tc>
          <w:tcPr>
            <w:tcW w:w="531" w:type="pct"/>
            <w:shd w:val="clear" w:color="auto" w:fill="auto"/>
            <w:noWrap/>
            <w:vAlign w:val="center"/>
            <w:hideMark/>
          </w:tcPr>
          <w:p w14:paraId="193340A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103.385,60</w:t>
            </w:r>
          </w:p>
        </w:tc>
        <w:tc>
          <w:tcPr>
            <w:tcW w:w="531" w:type="pct"/>
            <w:shd w:val="clear" w:color="auto" w:fill="auto"/>
            <w:noWrap/>
            <w:vAlign w:val="center"/>
            <w:hideMark/>
          </w:tcPr>
          <w:p w14:paraId="5E433861"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3D6BD8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89.326,94</w:t>
            </w:r>
          </w:p>
        </w:tc>
        <w:tc>
          <w:tcPr>
            <w:tcW w:w="487" w:type="pct"/>
            <w:shd w:val="clear" w:color="auto" w:fill="auto"/>
            <w:noWrap/>
            <w:vAlign w:val="center"/>
            <w:hideMark/>
          </w:tcPr>
          <w:p w14:paraId="70329BA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14.058,66</w:t>
            </w:r>
          </w:p>
        </w:tc>
        <w:tc>
          <w:tcPr>
            <w:tcW w:w="337" w:type="pct"/>
            <w:shd w:val="clear" w:color="auto" w:fill="auto"/>
            <w:noWrap/>
            <w:vAlign w:val="center"/>
            <w:hideMark/>
          </w:tcPr>
          <w:p w14:paraId="608AD9F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w:t>
            </w:r>
          </w:p>
        </w:tc>
        <w:tc>
          <w:tcPr>
            <w:tcW w:w="393" w:type="pct"/>
            <w:shd w:val="clear" w:color="auto" w:fill="auto"/>
            <w:noWrap/>
            <w:vAlign w:val="center"/>
            <w:hideMark/>
          </w:tcPr>
          <w:p w14:paraId="49D8D9D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365,16</w:t>
            </w:r>
          </w:p>
        </w:tc>
        <w:tc>
          <w:tcPr>
            <w:tcW w:w="471" w:type="pct"/>
            <w:vAlign w:val="center"/>
          </w:tcPr>
          <w:p w14:paraId="1F2998F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28,09</w:t>
            </w:r>
          </w:p>
        </w:tc>
      </w:tr>
      <w:tr w:rsidR="006356F1" w:rsidRPr="00C0505A" w14:paraId="2DA28FD1" w14:textId="77777777" w:rsidTr="00217400">
        <w:trPr>
          <w:trHeight w:val="227"/>
        </w:trPr>
        <w:tc>
          <w:tcPr>
            <w:tcW w:w="1722" w:type="pct"/>
            <w:shd w:val="clear" w:color="auto" w:fill="auto"/>
            <w:noWrap/>
            <w:vAlign w:val="center"/>
            <w:hideMark/>
          </w:tcPr>
          <w:p w14:paraId="5974F2B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óleos vegetais em bruto, exceto óleo de milho</w:t>
            </w:r>
          </w:p>
        </w:tc>
        <w:tc>
          <w:tcPr>
            <w:tcW w:w="531" w:type="pct"/>
            <w:shd w:val="clear" w:color="auto" w:fill="auto"/>
            <w:noWrap/>
            <w:vAlign w:val="center"/>
            <w:hideMark/>
          </w:tcPr>
          <w:p w14:paraId="768FAB3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87.082.961,17</w:t>
            </w:r>
          </w:p>
        </w:tc>
        <w:tc>
          <w:tcPr>
            <w:tcW w:w="531" w:type="pct"/>
            <w:shd w:val="clear" w:color="auto" w:fill="auto"/>
            <w:noWrap/>
            <w:vAlign w:val="center"/>
            <w:hideMark/>
          </w:tcPr>
          <w:p w14:paraId="00A9712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22.675.564,64</w:t>
            </w:r>
          </w:p>
        </w:tc>
        <w:tc>
          <w:tcPr>
            <w:tcW w:w="529" w:type="pct"/>
            <w:shd w:val="clear" w:color="auto" w:fill="auto"/>
            <w:noWrap/>
            <w:vAlign w:val="center"/>
            <w:hideMark/>
          </w:tcPr>
          <w:p w14:paraId="7F66699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44.206.153,66</w:t>
            </w:r>
          </w:p>
        </w:tc>
        <w:tc>
          <w:tcPr>
            <w:tcW w:w="487" w:type="pct"/>
            <w:shd w:val="clear" w:color="auto" w:fill="auto"/>
            <w:noWrap/>
            <w:vAlign w:val="center"/>
            <w:hideMark/>
          </w:tcPr>
          <w:p w14:paraId="16ED94D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65.552.372,15</w:t>
            </w:r>
          </w:p>
        </w:tc>
        <w:tc>
          <w:tcPr>
            <w:tcW w:w="337" w:type="pct"/>
            <w:shd w:val="clear" w:color="auto" w:fill="auto"/>
            <w:noWrap/>
            <w:vAlign w:val="center"/>
            <w:hideMark/>
          </w:tcPr>
          <w:p w14:paraId="33737FA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3.186</w:t>
            </w:r>
          </w:p>
        </w:tc>
        <w:tc>
          <w:tcPr>
            <w:tcW w:w="393" w:type="pct"/>
            <w:shd w:val="clear" w:color="auto" w:fill="auto"/>
            <w:noWrap/>
            <w:vAlign w:val="center"/>
            <w:hideMark/>
          </w:tcPr>
          <w:p w14:paraId="70F40B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20.578,36</w:t>
            </w:r>
          </w:p>
        </w:tc>
        <w:tc>
          <w:tcPr>
            <w:tcW w:w="471" w:type="pct"/>
            <w:vAlign w:val="center"/>
          </w:tcPr>
          <w:p w14:paraId="5D6CAFD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1.582,95</w:t>
            </w:r>
          </w:p>
        </w:tc>
      </w:tr>
      <w:tr w:rsidR="006356F1" w:rsidRPr="00C0505A" w14:paraId="3CE02825" w14:textId="77777777" w:rsidTr="00217400">
        <w:trPr>
          <w:trHeight w:val="227"/>
        </w:trPr>
        <w:tc>
          <w:tcPr>
            <w:tcW w:w="1722" w:type="pct"/>
            <w:shd w:val="clear" w:color="auto" w:fill="auto"/>
            <w:noWrap/>
            <w:vAlign w:val="center"/>
            <w:hideMark/>
          </w:tcPr>
          <w:p w14:paraId="50740E0E"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óleos vegetais refinados, exceto óleo de milho</w:t>
            </w:r>
          </w:p>
        </w:tc>
        <w:tc>
          <w:tcPr>
            <w:tcW w:w="531" w:type="pct"/>
            <w:shd w:val="clear" w:color="auto" w:fill="auto"/>
            <w:noWrap/>
            <w:vAlign w:val="center"/>
            <w:hideMark/>
          </w:tcPr>
          <w:p w14:paraId="0F4C13B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56.888.210,10</w:t>
            </w:r>
          </w:p>
        </w:tc>
        <w:tc>
          <w:tcPr>
            <w:tcW w:w="531" w:type="pct"/>
            <w:shd w:val="clear" w:color="auto" w:fill="auto"/>
            <w:noWrap/>
            <w:vAlign w:val="center"/>
            <w:hideMark/>
          </w:tcPr>
          <w:p w14:paraId="749D2B2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6.345.717,31</w:t>
            </w:r>
          </w:p>
        </w:tc>
        <w:tc>
          <w:tcPr>
            <w:tcW w:w="529" w:type="pct"/>
            <w:shd w:val="clear" w:color="auto" w:fill="auto"/>
            <w:noWrap/>
            <w:vAlign w:val="center"/>
            <w:hideMark/>
          </w:tcPr>
          <w:p w14:paraId="4C8D183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15.101.780,53</w:t>
            </w:r>
          </w:p>
        </w:tc>
        <w:tc>
          <w:tcPr>
            <w:tcW w:w="487" w:type="pct"/>
            <w:shd w:val="clear" w:color="auto" w:fill="auto"/>
            <w:noWrap/>
            <w:vAlign w:val="center"/>
            <w:hideMark/>
          </w:tcPr>
          <w:p w14:paraId="5BE6AD8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48.132.146,88</w:t>
            </w:r>
          </w:p>
        </w:tc>
        <w:tc>
          <w:tcPr>
            <w:tcW w:w="337" w:type="pct"/>
            <w:shd w:val="clear" w:color="auto" w:fill="auto"/>
            <w:noWrap/>
            <w:vAlign w:val="center"/>
            <w:hideMark/>
          </w:tcPr>
          <w:p w14:paraId="3B9AF83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1.526</w:t>
            </w:r>
          </w:p>
        </w:tc>
        <w:tc>
          <w:tcPr>
            <w:tcW w:w="393" w:type="pct"/>
            <w:shd w:val="clear" w:color="auto" w:fill="auto"/>
            <w:noWrap/>
            <w:vAlign w:val="center"/>
            <w:hideMark/>
          </w:tcPr>
          <w:p w14:paraId="433050D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31.537,94</w:t>
            </w:r>
          </w:p>
        </w:tc>
        <w:tc>
          <w:tcPr>
            <w:tcW w:w="471" w:type="pct"/>
            <w:vAlign w:val="center"/>
          </w:tcPr>
          <w:p w14:paraId="2F99DDD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2.426,00</w:t>
            </w:r>
          </w:p>
        </w:tc>
      </w:tr>
      <w:tr w:rsidR="006356F1" w:rsidRPr="00C0505A" w14:paraId="2085A2AB" w14:textId="77777777" w:rsidTr="00217400">
        <w:trPr>
          <w:trHeight w:val="227"/>
        </w:trPr>
        <w:tc>
          <w:tcPr>
            <w:tcW w:w="1722" w:type="pct"/>
            <w:shd w:val="clear" w:color="auto" w:fill="auto"/>
            <w:noWrap/>
            <w:vAlign w:val="center"/>
            <w:hideMark/>
          </w:tcPr>
          <w:p w14:paraId="7E70DF4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outros produtos alimentícios não especificados anteriormente</w:t>
            </w:r>
          </w:p>
        </w:tc>
        <w:tc>
          <w:tcPr>
            <w:tcW w:w="531" w:type="pct"/>
            <w:shd w:val="clear" w:color="auto" w:fill="auto"/>
            <w:noWrap/>
            <w:vAlign w:val="center"/>
            <w:hideMark/>
          </w:tcPr>
          <w:p w14:paraId="4B322D0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15.286.279,22</w:t>
            </w:r>
          </w:p>
        </w:tc>
        <w:tc>
          <w:tcPr>
            <w:tcW w:w="531" w:type="pct"/>
            <w:shd w:val="clear" w:color="auto" w:fill="auto"/>
            <w:noWrap/>
            <w:vAlign w:val="center"/>
            <w:hideMark/>
          </w:tcPr>
          <w:p w14:paraId="5EF5A8ED"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115E67F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3.512.127,16</w:t>
            </w:r>
          </w:p>
        </w:tc>
        <w:tc>
          <w:tcPr>
            <w:tcW w:w="487" w:type="pct"/>
            <w:shd w:val="clear" w:color="auto" w:fill="auto"/>
            <w:noWrap/>
            <w:vAlign w:val="center"/>
            <w:hideMark/>
          </w:tcPr>
          <w:p w14:paraId="6DC7165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11.774.152,06</w:t>
            </w:r>
          </w:p>
        </w:tc>
        <w:tc>
          <w:tcPr>
            <w:tcW w:w="337" w:type="pct"/>
            <w:shd w:val="clear" w:color="auto" w:fill="auto"/>
            <w:noWrap/>
            <w:vAlign w:val="center"/>
            <w:hideMark/>
          </w:tcPr>
          <w:p w14:paraId="09B1F15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899</w:t>
            </w:r>
          </w:p>
        </w:tc>
        <w:tc>
          <w:tcPr>
            <w:tcW w:w="393" w:type="pct"/>
            <w:shd w:val="clear" w:color="auto" w:fill="auto"/>
            <w:noWrap/>
            <w:vAlign w:val="center"/>
            <w:hideMark/>
          </w:tcPr>
          <w:p w14:paraId="0A852EC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13.098,16</w:t>
            </w:r>
          </w:p>
        </w:tc>
        <w:tc>
          <w:tcPr>
            <w:tcW w:w="471" w:type="pct"/>
            <w:vAlign w:val="center"/>
          </w:tcPr>
          <w:p w14:paraId="325FCE9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1.007,55</w:t>
            </w:r>
          </w:p>
        </w:tc>
      </w:tr>
      <w:tr w:rsidR="006356F1" w:rsidRPr="00C0505A" w14:paraId="13923BB1" w14:textId="77777777" w:rsidTr="00217400">
        <w:trPr>
          <w:trHeight w:val="227"/>
        </w:trPr>
        <w:tc>
          <w:tcPr>
            <w:tcW w:w="1722" w:type="pct"/>
            <w:shd w:val="clear" w:color="auto" w:fill="auto"/>
            <w:noWrap/>
            <w:vAlign w:val="center"/>
            <w:hideMark/>
          </w:tcPr>
          <w:p w14:paraId="41BE40D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pós alimentícios</w:t>
            </w:r>
          </w:p>
        </w:tc>
        <w:tc>
          <w:tcPr>
            <w:tcW w:w="531" w:type="pct"/>
            <w:shd w:val="clear" w:color="auto" w:fill="auto"/>
            <w:noWrap/>
            <w:vAlign w:val="center"/>
            <w:hideMark/>
          </w:tcPr>
          <w:p w14:paraId="3ACAD70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207.578,28</w:t>
            </w:r>
          </w:p>
        </w:tc>
        <w:tc>
          <w:tcPr>
            <w:tcW w:w="531" w:type="pct"/>
            <w:shd w:val="clear" w:color="auto" w:fill="auto"/>
            <w:noWrap/>
            <w:vAlign w:val="center"/>
            <w:hideMark/>
          </w:tcPr>
          <w:p w14:paraId="12A79CE8"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433B2BB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645.308,05</w:t>
            </w:r>
          </w:p>
        </w:tc>
        <w:tc>
          <w:tcPr>
            <w:tcW w:w="487" w:type="pct"/>
            <w:shd w:val="clear" w:color="auto" w:fill="auto"/>
            <w:noWrap/>
            <w:vAlign w:val="center"/>
            <w:hideMark/>
          </w:tcPr>
          <w:p w14:paraId="50084D7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37" w:type="pct"/>
            <w:shd w:val="clear" w:color="auto" w:fill="auto"/>
            <w:noWrap/>
            <w:vAlign w:val="center"/>
            <w:hideMark/>
          </w:tcPr>
          <w:p w14:paraId="698FB29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264</w:t>
            </w:r>
          </w:p>
        </w:tc>
        <w:tc>
          <w:tcPr>
            <w:tcW w:w="393" w:type="pct"/>
            <w:shd w:val="clear" w:color="auto" w:fill="auto"/>
            <w:noWrap/>
            <w:vAlign w:val="center"/>
            <w:hideMark/>
          </w:tcPr>
          <w:p w14:paraId="48C3B3E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vAlign w:val="center"/>
          </w:tcPr>
          <w:p w14:paraId="16D8BB3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r>
      <w:tr w:rsidR="006356F1" w:rsidRPr="00C0505A" w14:paraId="6D027CAF" w14:textId="77777777" w:rsidTr="00217400">
        <w:trPr>
          <w:trHeight w:val="227"/>
        </w:trPr>
        <w:tc>
          <w:tcPr>
            <w:tcW w:w="1722" w:type="pct"/>
            <w:shd w:val="clear" w:color="auto" w:fill="auto"/>
            <w:noWrap/>
            <w:vAlign w:val="center"/>
            <w:hideMark/>
          </w:tcPr>
          <w:p w14:paraId="6C08B690"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produtos de carne</w:t>
            </w:r>
          </w:p>
        </w:tc>
        <w:tc>
          <w:tcPr>
            <w:tcW w:w="531" w:type="pct"/>
            <w:shd w:val="clear" w:color="auto" w:fill="auto"/>
            <w:noWrap/>
            <w:vAlign w:val="center"/>
            <w:hideMark/>
          </w:tcPr>
          <w:p w14:paraId="2550942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3.900.674,58</w:t>
            </w:r>
          </w:p>
        </w:tc>
        <w:tc>
          <w:tcPr>
            <w:tcW w:w="531" w:type="pct"/>
            <w:shd w:val="clear" w:color="auto" w:fill="auto"/>
            <w:noWrap/>
            <w:vAlign w:val="center"/>
            <w:hideMark/>
          </w:tcPr>
          <w:p w14:paraId="1F51182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44.144,05</w:t>
            </w:r>
          </w:p>
        </w:tc>
        <w:tc>
          <w:tcPr>
            <w:tcW w:w="529" w:type="pct"/>
            <w:shd w:val="clear" w:color="auto" w:fill="auto"/>
            <w:noWrap/>
            <w:vAlign w:val="center"/>
            <w:hideMark/>
          </w:tcPr>
          <w:p w14:paraId="0518648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1.250.043,91</w:t>
            </w:r>
          </w:p>
        </w:tc>
        <w:tc>
          <w:tcPr>
            <w:tcW w:w="487" w:type="pct"/>
            <w:shd w:val="clear" w:color="auto" w:fill="auto"/>
            <w:noWrap/>
            <w:vAlign w:val="center"/>
            <w:hideMark/>
          </w:tcPr>
          <w:p w14:paraId="13D5C9D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2.694.774,72</w:t>
            </w:r>
          </w:p>
        </w:tc>
        <w:tc>
          <w:tcPr>
            <w:tcW w:w="337" w:type="pct"/>
            <w:shd w:val="clear" w:color="auto" w:fill="auto"/>
            <w:noWrap/>
            <w:vAlign w:val="center"/>
            <w:hideMark/>
          </w:tcPr>
          <w:p w14:paraId="0BAD106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547</w:t>
            </w:r>
          </w:p>
        </w:tc>
        <w:tc>
          <w:tcPr>
            <w:tcW w:w="393" w:type="pct"/>
            <w:shd w:val="clear" w:color="auto" w:fill="auto"/>
            <w:noWrap/>
            <w:vAlign w:val="center"/>
            <w:hideMark/>
          </w:tcPr>
          <w:p w14:paraId="095BFED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4.927,96</w:t>
            </w:r>
          </w:p>
        </w:tc>
        <w:tc>
          <w:tcPr>
            <w:tcW w:w="471" w:type="pct"/>
            <w:vAlign w:val="center"/>
          </w:tcPr>
          <w:p w14:paraId="294C3E6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379,07</w:t>
            </w:r>
          </w:p>
        </w:tc>
      </w:tr>
      <w:tr w:rsidR="006356F1" w:rsidRPr="00C0505A" w14:paraId="42B88400" w14:textId="77777777" w:rsidTr="00217400">
        <w:trPr>
          <w:trHeight w:val="227"/>
        </w:trPr>
        <w:tc>
          <w:tcPr>
            <w:tcW w:w="1722" w:type="pct"/>
            <w:shd w:val="clear" w:color="auto" w:fill="auto"/>
            <w:noWrap/>
            <w:vAlign w:val="center"/>
            <w:hideMark/>
          </w:tcPr>
          <w:p w14:paraId="1376372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produtos de panificação industrial</w:t>
            </w:r>
          </w:p>
        </w:tc>
        <w:tc>
          <w:tcPr>
            <w:tcW w:w="531" w:type="pct"/>
            <w:shd w:val="clear" w:color="auto" w:fill="auto"/>
            <w:noWrap/>
            <w:vAlign w:val="center"/>
            <w:hideMark/>
          </w:tcPr>
          <w:p w14:paraId="392F2E2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1.446.601,38</w:t>
            </w:r>
          </w:p>
        </w:tc>
        <w:tc>
          <w:tcPr>
            <w:tcW w:w="531" w:type="pct"/>
            <w:shd w:val="clear" w:color="auto" w:fill="auto"/>
            <w:noWrap/>
            <w:vAlign w:val="center"/>
            <w:hideMark/>
          </w:tcPr>
          <w:p w14:paraId="620B9870"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71E3F8F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348.161,98</w:t>
            </w:r>
          </w:p>
        </w:tc>
        <w:tc>
          <w:tcPr>
            <w:tcW w:w="487" w:type="pct"/>
            <w:shd w:val="clear" w:color="auto" w:fill="auto"/>
            <w:noWrap/>
            <w:vAlign w:val="center"/>
            <w:hideMark/>
          </w:tcPr>
          <w:p w14:paraId="51D24A3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1.098.439,40</w:t>
            </w:r>
          </w:p>
        </w:tc>
        <w:tc>
          <w:tcPr>
            <w:tcW w:w="337" w:type="pct"/>
            <w:shd w:val="clear" w:color="auto" w:fill="auto"/>
            <w:noWrap/>
            <w:vAlign w:val="center"/>
            <w:hideMark/>
          </w:tcPr>
          <w:p w14:paraId="0B75BB7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170</w:t>
            </w:r>
          </w:p>
        </w:tc>
        <w:tc>
          <w:tcPr>
            <w:tcW w:w="393" w:type="pct"/>
            <w:shd w:val="clear" w:color="auto" w:fill="auto"/>
            <w:noWrap/>
            <w:vAlign w:val="center"/>
            <w:hideMark/>
          </w:tcPr>
          <w:p w14:paraId="3EA62A8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6.477,28</w:t>
            </w:r>
          </w:p>
        </w:tc>
        <w:tc>
          <w:tcPr>
            <w:tcW w:w="471" w:type="pct"/>
            <w:vAlign w:val="center"/>
          </w:tcPr>
          <w:p w14:paraId="07BB97B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498,25</w:t>
            </w:r>
          </w:p>
        </w:tc>
      </w:tr>
      <w:tr w:rsidR="006356F1" w:rsidRPr="00C0505A" w14:paraId="05FE7ABE" w14:textId="77777777" w:rsidTr="00217400">
        <w:trPr>
          <w:trHeight w:val="227"/>
        </w:trPr>
        <w:tc>
          <w:tcPr>
            <w:tcW w:w="1722" w:type="pct"/>
            <w:shd w:val="clear" w:color="auto" w:fill="auto"/>
            <w:noWrap/>
            <w:vAlign w:val="center"/>
            <w:hideMark/>
          </w:tcPr>
          <w:p w14:paraId="3BACCE2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sorvetes e outros gelados comestíveis</w:t>
            </w:r>
          </w:p>
        </w:tc>
        <w:tc>
          <w:tcPr>
            <w:tcW w:w="531" w:type="pct"/>
            <w:shd w:val="clear" w:color="auto" w:fill="auto"/>
            <w:noWrap/>
            <w:vAlign w:val="center"/>
            <w:hideMark/>
          </w:tcPr>
          <w:p w14:paraId="6F6D024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7.411.910,88</w:t>
            </w:r>
          </w:p>
        </w:tc>
        <w:tc>
          <w:tcPr>
            <w:tcW w:w="531" w:type="pct"/>
            <w:shd w:val="clear" w:color="auto" w:fill="auto"/>
            <w:noWrap/>
            <w:vAlign w:val="center"/>
            <w:hideMark/>
          </w:tcPr>
          <w:p w14:paraId="43FC8D3F"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4AC379A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2.013.290,88</w:t>
            </w:r>
          </w:p>
        </w:tc>
        <w:tc>
          <w:tcPr>
            <w:tcW w:w="487" w:type="pct"/>
            <w:shd w:val="clear" w:color="auto" w:fill="auto"/>
            <w:noWrap/>
            <w:vAlign w:val="center"/>
            <w:hideMark/>
          </w:tcPr>
          <w:p w14:paraId="4820199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5.398.620,00</w:t>
            </w:r>
          </w:p>
        </w:tc>
        <w:tc>
          <w:tcPr>
            <w:tcW w:w="337" w:type="pct"/>
            <w:shd w:val="clear" w:color="auto" w:fill="auto"/>
            <w:noWrap/>
            <w:vAlign w:val="center"/>
            <w:hideMark/>
          </w:tcPr>
          <w:p w14:paraId="1281DE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814</w:t>
            </w:r>
          </w:p>
        </w:tc>
        <w:tc>
          <w:tcPr>
            <w:tcW w:w="393" w:type="pct"/>
            <w:shd w:val="clear" w:color="auto" w:fill="auto"/>
            <w:noWrap/>
            <w:vAlign w:val="center"/>
            <w:hideMark/>
          </w:tcPr>
          <w:p w14:paraId="1B44231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6.632,21</w:t>
            </w:r>
          </w:p>
        </w:tc>
        <w:tc>
          <w:tcPr>
            <w:tcW w:w="471" w:type="pct"/>
            <w:vAlign w:val="center"/>
          </w:tcPr>
          <w:p w14:paraId="2001F41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510,17</w:t>
            </w:r>
          </w:p>
        </w:tc>
      </w:tr>
      <w:tr w:rsidR="006356F1" w:rsidRPr="00C0505A" w14:paraId="79E8281F" w14:textId="77777777" w:rsidTr="00217400">
        <w:trPr>
          <w:trHeight w:val="227"/>
        </w:trPr>
        <w:tc>
          <w:tcPr>
            <w:tcW w:w="1722" w:type="pct"/>
            <w:shd w:val="clear" w:color="auto" w:fill="auto"/>
            <w:noWrap/>
            <w:vAlign w:val="center"/>
            <w:hideMark/>
          </w:tcPr>
          <w:p w14:paraId="0EB770B7"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sucos concentrados de frutas, hortaliças e legumes</w:t>
            </w:r>
          </w:p>
        </w:tc>
        <w:tc>
          <w:tcPr>
            <w:tcW w:w="531" w:type="pct"/>
            <w:shd w:val="clear" w:color="auto" w:fill="auto"/>
            <w:noWrap/>
            <w:vAlign w:val="center"/>
            <w:hideMark/>
          </w:tcPr>
          <w:p w14:paraId="2E6BDDF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784.945,35</w:t>
            </w:r>
          </w:p>
        </w:tc>
        <w:tc>
          <w:tcPr>
            <w:tcW w:w="531" w:type="pct"/>
            <w:shd w:val="clear" w:color="auto" w:fill="auto"/>
            <w:noWrap/>
            <w:vAlign w:val="center"/>
            <w:hideMark/>
          </w:tcPr>
          <w:p w14:paraId="7B2F437D"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F3D0EC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252.977,56</w:t>
            </w:r>
          </w:p>
        </w:tc>
        <w:tc>
          <w:tcPr>
            <w:tcW w:w="487" w:type="pct"/>
            <w:shd w:val="clear" w:color="auto" w:fill="auto"/>
            <w:noWrap/>
            <w:vAlign w:val="center"/>
            <w:hideMark/>
          </w:tcPr>
          <w:p w14:paraId="446D494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531.967,79</w:t>
            </w:r>
          </w:p>
        </w:tc>
        <w:tc>
          <w:tcPr>
            <w:tcW w:w="337" w:type="pct"/>
            <w:shd w:val="clear" w:color="auto" w:fill="auto"/>
            <w:noWrap/>
            <w:vAlign w:val="center"/>
            <w:hideMark/>
          </w:tcPr>
          <w:p w14:paraId="2FA1FAB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80</w:t>
            </w:r>
          </w:p>
        </w:tc>
        <w:tc>
          <w:tcPr>
            <w:tcW w:w="393" w:type="pct"/>
            <w:shd w:val="clear" w:color="auto" w:fill="auto"/>
            <w:noWrap/>
            <w:vAlign w:val="center"/>
            <w:hideMark/>
          </w:tcPr>
          <w:p w14:paraId="741C465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6.691,42</w:t>
            </w:r>
          </w:p>
        </w:tc>
        <w:tc>
          <w:tcPr>
            <w:tcW w:w="471" w:type="pct"/>
            <w:vAlign w:val="center"/>
          </w:tcPr>
          <w:p w14:paraId="7BC2C40D" w14:textId="77777777" w:rsidR="006356F1" w:rsidRPr="00C0505A" w:rsidRDefault="006356F1" w:rsidP="00217400">
            <w:pPr>
              <w:jc w:val="right"/>
              <w:rPr>
                <w:rFonts w:asciiTheme="minorHAnsi" w:hAnsiTheme="minorHAnsi" w:cstheme="minorHAnsi"/>
                <w:color w:val="000000"/>
                <w:sz w:val="24"/>
                <w:szCs w:val="16"/>
              </w:rPr>
            </w:pPr>
          </w:p>
        </w:tc>
      </w:tr>
      <w:tr w:rsidR="006356F1" w:rsidRPr="00C0505A" w14:paraId="64059975" w14:textId="77777777" w:rsidTr="00217400">
        <w:trPr>
          <w:trHeight w:val="227"/>
        </w:trPr>
        <w:tc>
          <w:tcPr>
            <w:tcW w:w="2252" w:type="pct"/>
            <w:gridSpan w:val="2"/>
            <w:shd w:val="clear" w:color="auto" w:fill="auto"/>
            <w:noWrap/>
            <w:vAlign w:val="center"/>
            <w:hideMark/>
          </w:tcPr>
          <w:p w14:paraId="5A5821C6" w14:textId="77777777" w:rsidR="006356F1" w:rsidRPr="00C0505A" w:rsidRDefault="006356F1" w:rsidP="00217400">
            <w:pPr>
              <w:ind w:firstLineChars="100" w:firstLine="240"/>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sucos de frutas, hortaliças e legumes, exceto concentrados</w:t>
            </w:r>
          </w:p>
        </w:tc>
        <w:tc>
          <w:tcPr>
            <w:tcW w:w="531" w:type="pct"/>
            <w:shd w:val="clear" w:color="auto" w:fill="auto"/>
            <w:noWrap/>
            <w:vAlign w:val="center"/>
            <w:hideMark/>
          </w:tcPr>
          <w:p w14:paraId="0214942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3.584.879,42</w:t>
            </w:r>
          </w:p>
        </w:tc>
        <w:tc>
          <w:tcPr>
            <w:tcW w:w="529" w:type="pct"/>
            <w:shd w:val="clear" w:color="auto" w:fill="auto"/>
            <w:noWrap/>
            <w:vAlign w:val="center"/>
            <w:hideMark/>
          </w:tcPr>
          <w:p w14:paraId="6A84733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760.808,97</w:t>
            </w:r>
          </w:p>
        </w:tc>
        <w:tc>
          <w:tcPr>
            <w:tcW w:w="487" w:type="pct"/>
            <w:shd w:val="clear" w:color="auto" w:fill="auto"/>
            <w:noWrap/>
            <w:vAlign w:val="center"/>
            <w:hideMark/>
          </w:tcPr>
          <w:p w14:paraId="7645A12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2.824.070,45</w:t>
            </w:r>
          </w:p>
        </w:tc>
        <w:tc>
          <w:tcPr>
            <w:tcW w:w="337" w:type="pct"/>
            <w:shd w:val="clear" w:color="auto" w:fill="auto"/>
            <w:noWrap/>
            <w:vAlign w:val="center"/>
            <w:hideMark/>
          </w:tcPr>
          <w:p w14:paraId="6845777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146</w:t>
            </w:r>
          </w:p>
        </w:tc>
        <w:tc>
          <w:tcPr>
            <w:tcW w:w="393" w:type="pct"/>
            <w:shd w:val="clear" w:color="auto" w:fill="auto"/>
            <w:noWrap/>
            <w:vAlign w:val="center"/>
            <w:hideMark/>
          </w:tcPr>
          <w:p w14:paraId="4C05FA8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19.309,88</w:t>
            </w:r>
          </w:p>
        </w:tc>
        <w:tc>
          <w:tcPr>
            <w:tcW w:w="471" w:type="pct"/>
            <w:vAlign w:val="center"/>
          </w:tcPr>
          <w:p w14:paraId="1C682FF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1.4885,38</w:t>
            </w:r>
          </w:p>
        </w:tc>
      </w:tr>
      <w:tr w:rsidR="006356F1" w:rsidRPr="00C0505A" w14:paraId="726C9347" w14:textId="77777777" w:rsidTr="00217400">
        <w:trPr>
          <w:trHeight w:val="227"/>
        </w:trPr>
        <w:tc>
          <w:tcPr>
            <w:tcW w:w="1722" w:type="pct"/>
            <w:shd w:val="clear" w:color="auto" w:fill="auto"/>
            <w:noWrap/>
            <w:vAlign w:val="center"/>
            <w:hideMark/>
          </w:tcPr>
          <w:p w14:paraId="45DCFF36"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Frigorífico - abate de bovinos</w:t>
            </w:r>
          </w:p>
        </w:tc>
        <w:tc>
          <w:tcPr>
            <w:tcW w:w="531" w:type="pct"/>
            <w:shd w:val="clear" w:color="auto" w:fill="auto"/>
            <w:noWrap/>
            <w:vAlign w:val="center"/>
            <w:hideMark/>
          </w:tcPr>
          <w:p w14:paraId="4A378F1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35.969.496,23</w:t>
            </w:r>
          </w:p>
        </w:tc>
        <w:tc>
          <w:tcPr>
            <w:tcW w:w="531" w:type="pct"/>
            <w:shd w:val="clear" w:color="auto" w:fill="auto"/>
            <w:noWrap/>
            <w:vAlign w:val="center"/>
            <w:hideMark/>
          </w:tcPr>
          <w:p w14:paraId="5078277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3.796.572,08</w:t>
            </w:r>
          </w:p>
        </w:tc>
        <w:tc>
          <w:tcPr>
            <w:tcW w:w="529" w:type="pct"/>
            <w:shd w:val="clear" w:color="auto" w:fill="auto"/>
            <w:noWrap/>
            <w:vAlign w:val="center"/>
            <w:hideMark/>
          </w:tcPr>
          <w:p w14:paraId="2C8FB59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11.301.265,56</w:t>
            </w:r>
          </w:p>
        </w:tc>
        <w:tc>
          <w:tcPr>
            <w:tcW w:w="487" w:type="pct"/>
            <w:shd w:val="clear" w:color="auto" w:fill="auto"/>
            <w:noWrap/>
            <w:vAlign w:val="center"/>
            <w:hideMark/>
          </w:tcPr>
          <w:p w14:paraId="2036FB4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28.464.802,75</w:t>
            </w:r>
          </w:p>
        </w:tc>
        <w:tc>
          <w:tcPr>
            <w:tcW w:w="337" w:type="pct"/>
            <w:shd w:val="clear" w:color="auto" w:fill="auto"/>
            <w:noWrap/>
            <w:vAlign w:val="center"/>
            <w:hideMark/>
          </w:tcPr>
          <w:p w14:paraId="785302A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1.707</w:t>
            </w:r>
          </w:p>
        </w:tc>
        <w:tc>
          <w:tcPr>
            <w:tcW w:w="393" w:type="pct"/>
            <w:shd w:val="clear" w:color="auto" w:fill="auto"/>
            <w:noWrap/>
            <w:vAlign w:val="center"/>
            <w:hideMark/>
          </w:tcPr>
          <w:p w14:paraId="2399800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16.675,34</w:t>
            </w:r>
          </w:p>
        </w:tc>
        <w:tc>
          <w:tcPr>
            <w:tcW w:w="471" w:type="pct"/>
            <w:vAlign w:val="center"/>
          </w:tcPr>
          <w:p w14:paraId="52D28CB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1.282,72</w:t>
            </w:r>
          </w:p>
        </w:tc>
      </w:tr>
      <w:tr w:rsidR="006356F1" w:rsidRPr="00C0505A" w14:paraId="37D2AC15" w14:textId="77777777" w:rsidTr="00217400">
        <w:trPr>
          <w:trHeight w:val="227"/>
        </w:trPr>
        <w:tc>
          <w:tcPr>
            <w:tcW w:w="1722" w:type="pct"/>
            <w:shd w:val="clear" w:color="auto" w:fill="auto"/>
            <w:noWrap/>
            <w:vAlign w:val="center"/>
            <w:hideMark/>
          </w:tcPr>
          <w:p w14:paraId="4A5B0C5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Frigorífico - abate de suínos</w:t>
            </w:r>
          </w:p>
        </w:tc>
        <w:tc>
          <w:tcPr>
            <w:tcW w:w="531" w:type="pct"/>
            <w:shd w:val="clear" w:color="auto" w:fill="auto"/>
            <w:noWrap/>
            <w:vAlign w:val="center"/>
            <w:hideMark/>
          </w:tcPr>
          <w:p w14:paraId="21F5680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56.965.202,68</w:t>
            </w:r>
          </w:p>
        </w:tc>
        <w:tc>
          <w:tcPr>
            <w:tcW w:w="531" w:type="pct"/>
            <w:shd w:val="clear" w:color="auto" w:fill="auto"/>
            <w:noWrap/>
            <w:vAlign w:val="center"/>
            <w:hideMark/>
          </w:tcPr>
          <w:p w14:paraId="5EA5C3FD"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185CB82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10.749.013,26</w:t>
            </w:r>
          </w:p>
        </w:tc>
        <w:tc>
          <w:tcPr>
            <w:tcW w:w="487" w:type="pct"/>
            <w:shd w:val="clear" w:color="auto" w:fill="auto"/>
            <w:noWrap/>
            <w:vAlign w:val="center"/>
            <w:hideMark/>
          </w:tcPr>
          <w:p w14:paraId="381056B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46.216.189,42</w:t>
            </w:r>
          </w:p>
        </w:tc>
        <w:tc>
          <w:tcPr>
            <w:tcW w:w="337" w:type="pct"/>
            <w:shd w:val="clear" w:color="auto" w:fill="auto"/>
            <w:noWrap/>
            <w:vAlign w:val="center"/>
            <w:hideMark/>
          </w:tcPr>
          <w:p w14:paraId="65DBF2C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6.681</w:t>
            </w:r>
          </w:p>
        </w:tc>
        <w:tc>
          <w:tcPr>
            <w:tcW w:w="393" w:type="pct"/>
            <w:shd w:val="clear" w:color="auto" w:fill="auto"/>
            <w:noWrap/>
            <w:vAlign w:val="center"/>
            <w:hideMark/>
          </w:tcPr>
          <w:p w14:paraId="41FD10D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6.918,07</w:t>
            </w:r>
          </w:p>
        </w:tc>
        <w:tc>
          <w:tcPr>
            <w:tcW w:w="471" w:type="pct"/>
            <w:vAlign w:val="center"/>
          </w:tcPr>
          <w:p w14:paraId="247BAE1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532,16</w:t>
            </w:r>
          </w:p>
        </w:tc>
      </w:tr>
      <w:tr w:rsidR="006356F1" w:rsidRPr="00C0505A" w14:paraId="68CDF827" w14:textId="77777777" w:rsidTr="00217400">
        <w:trPr>
          <w:trHeight w:val="227"/>
        </w:trPr>
        <w:tc>
          <w:tcPr>
            <w:tcW w:w="1722" w:type="pct"/>
            <w:shd w:val="clear" w:color="auto" w:fill="auto"/>
            <w:noWrap/>
            <w:vAlign w:val="center"/>
            <w:hideMark/>
          </w:tcPr>
          <w:p w14:paraId="2820618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Matadouro - abate de reses sob contrato - exceto abate de suínos</w:t>
            </w:r>
          </w:p>
        </w:tc>
        <w:tc>
          <w:tcPr>
            <w:tcW w:w="531" w:type="pct"/>
            <w:shd w:val="clear" w:color="auto" w:fill="auto"/>
            <w:noWrap/>
            <w:vAlign w:val="center"/>
            <w:hideMark/>
          </w:tcPr>
          <w:p w14:paraId="7D4AE90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2.270.085,87</w:t>
            </w:r>
          </w:p>
        </w:tc>
        <w:tc>
          <w:tcPr>
            <w:tcW w:w="531" w:type="pct"/>
            <w:shd w:val="clear" w:color="auto" w:fill="auto"/>
            <w:noWrap/>
            <w:vAlign w:val="center"/>
            <w:hideMark/>
          </w:tcPr>
          <w:p w14:paraId="3DD9F7EC"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6E08FED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415.181,73</w:t>
            </w:r>
          </w:p>
        </w:tc>
        <w:tc>
          <w:tcPr>
            <w:tcW w:w="487" w:type="pct"/>
            <w:shd w:val="clear" w:color="auto" w:fill="auto"/>
            <w:noWrap/>
            <w:vAlign w:val="center"/>
            <w:hideMark/>
          </w:tcPr>
          <w:p w14:paraId="6A262DD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1.854.904,14</w:t>
            </w:r>
          </w:p>
        </w:tc>
        <w:tc>
          <w:tcPr>
            <w:tcW w:w="337" w:type="pct"/>
            <w:shd w:val="clear" w:color="auto" w:fill="auto"/>
            <w:noWrap/>
            <w:vAlign w:val="center"/>
            <w:hideMark/>
          </w:tcPr>
          <w:p w14:paraId="55BA5F8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52</w:t>
            </w:r>
          </w:p>
        </w:tc>
        <w:tc>
          <w:tcPr>
            <w:tcW w:w="393" w:type="pct"/>
            <w:shd w:val="clear" w:color="auto" w:fill="auto"/>
            <w:noWrap/>
            <w:vAlign w:val="center"/>
            <w:hideMark/>
          </w:tcPr>
          <w:p w14:paraId="69EEF17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35.843,56</w:t>
            </w:r>
          </w:p>
        </w:tc>
        <w:tc>
          <w:tcPr>
            <w:tcW w:w="471" w:type="pct"/>
            <w:vAlign w:val="center"/>
          </w:tcPr>
          <w:p w14:paraId="0EB24A0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2.757,20</w:t>
            </w:r>
          </w:p>
        </w:tc>
      </w:tr>
      <w:tr w:rsidR="006356F1" w:rsidRPr="00C0505A" w14:paraId="16C1AF5D" w14:textId="77777777" w:rsidTr="00217400">
        <w:trPr>
          <w:trHeight w:val="227"/>
        </w:trPr>
        <w:tc>
          <w:tcPr>
            <w:tcW w:w="1722" w:type="pct"/>
            <w:shd w:val="clear" w:color="auto" w:fill="auto"/>
            <w:noWrap/>
            <w:vAlign w:val="center"/>
            <w:hideMark/>
          </w:tcPr>
          <w:p w14:paraId="40B5F0AC"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Moagem de trigo e fabricação de derivados</w:t>
            </w:r>
          </w:p>
        </w:tc>
        <w:tc>
          <w:tcPr>
            <w:tcW w:w="531" w:type="pct"/>
            <w:shd w:val="clear" w:color="auto" w:fill="auto"/>
            <w:noWrap/>
            <w:vAlign w:val="center"/>
            <w:hideMark/>
          </w:tcPr>
          <w:p w14:paraId="1EDEBDA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3.875.030,93</w:t>
            </w:r>
          </w:p>
        </w:tc>
        <w:tc>
          <w:tcPr>
            <w:tcW w:w="531" w:type="pct"/>
            <w:shd w:val="clear" w:color="auto" w:fill="auto"/>
            <w:noWrap/>
            <w:vAlign w:val="center"/>
            <w:hideMark/>
          </w:tcPr>
          <w:p w14:paraId="621F1206"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D03664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607.390,84</w:t>
            </w:r>
          </w:p>
        </w:tc>
        <w:tc>
          <w:tcPr>
            <w:tcW w:w="487" w:type="pct"/>
            <w:shd w:val="clear" w:color="auto" w:fill="auto"/>
            <w:noWrap/>
            <w:vAlign w:val="center"/>
            <w:hideMark/>
          </w:tcPr>
          <w:p w14:paraId="667722B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3.267.640,09</w:t>
            </w:r>
          </w:p>
        </w:tc>
        <w:tc>
          <w:tcPr>
            <w:tcW w:w="337" w:type="pct"/>
            <w:shd w:val="clear" w:color="auto" w:fill="auto"/>
            <w:noWrap/>
            <w:vAlign w:val="center"/>
            <w:hideMark/>
          </w:tcPr>
          <w:p w14:paraId="037C4C9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247</w:t>
            </w:r>
          </w:p>
        </w:tc>
        <w:tc>
          <w:tcPr>
            <w:tcW w:w="393" w:type="pct"/>
            <w:shd w:val="clear" w:color="auto" w:fill="auto"/>
            <w:noWrap/>
            <w:vAlign w:val="center"/>
            <w:hideMark/>
          </w:tcPr>
          <w:p w14:paraId="5292B22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13.242,72</w:t>
            </w:r>
          </w:p>
        </w:tc>
        <w:tc>
          <w:tcPr>
            <w:tcW w:w="471" w:type="pct"/>
            <w:vAlign w:val="center"/>
          </w:tcPr>
          <w:p w14:paraId="60C8E9E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1.018,67</w:t>
            </w:r>
          </w:p>
        </w:tc>
      </w:tr>
      <w:tr w:rsidR="006356F1" w:rsidRPr="00C0505A" w14:paraId="10E640AD" w14:textId="77777777" w:rsidTr="00217400">
        <w:trPr>
          <w:trHeight w:val="227"/>
        </w:trPr>
        <w:tc>
          <w:tcPr>
            <w:tcW w:w="1722" w:type="pct"/>
            <w:shd w:val="clear" w:color="auto" w:fill="auto"/>
            <w:noWrap/>
            <w:vAlign w:val="center"/>
            <w:hideMark/>
          </w:tcPr>
          <w:p w14:paraId="1F714CF7"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Moagem e fabricação de produtos de origem vegetal não especificados anteriormente</w:t>
            </w:r>
          </w:p>
        </w:tc>
        <w:tc>
          <w:tcPr>
            <w:tcW w:w="531" w:type="pct"/>
            <w:shd w:val="clear" w:color="auto" w:fill="auto"/>
            <w:noWrap/>
            <w:vAlign w:val="center"/>
            <w:hideMark/>
          </w:tcPr>
          <w:p w14:paraId="58A272D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453.722,30</w:t>
            </w:r>
          </w:p>
        </w:tc>
        <w:tc>
          <w:tcPr>
            <w:tcW w:w="531" w:type="pct"/>
            <w:shd w:val="clear" w:color="auto" w:fill="auto"/>
            <w:noWrap/>
            <w:vAlign w:val="center"/>
            <w:hideMark/>
          </w:tcPr>
          <w:p w14:paraId="6B1BF359"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2A53905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173.761,11</w:t>
            </w:r>
          </w:p>
        </w:tc>
        <w:tc>
          <w:tcPr>
            <w:tcW w:w="487" w:type="pct"/>
            <w:shd w:val="clear" w:color="auto" w:fill="auto"/>
            <w:noWrap/>
            <w:vAlign w:val="center"/>
            <w:hideMark/>
          </w:tcPr>
          <w:p w14:paraId="62D5794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279.961,19</w:t>
            </w:r>
          </w:p>
        </w:tc>
        <w:tc>
          <w:tcPr>
            <w:tcW w:w="337" w:type="pct"/>
            <w:shd w:val="clear" w:color="auto" w:fill="auto"/>
            <w:noWrap/>
            <w:vAlign w:val="center"/>
            <w:hideMark/>
          </w:tcPr>
          <w:p w14:paraId="329A758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117</w:t>
            </w:r>
          </w:p>
        </w:tc>
        <w:tc>
          <w:tcPr>
            <w:tcW w:w="393" w:type="pct"/>
            <w:shd w:val="clear" w:color="auto" w:fill="auto"/>
            <w:noWrap/>
            <w:vAlign w:val="center"/>
            <w:hideMark/>
          </w:tcPr>
          <w:p w14:paraId="6A9C9D7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2.396,24</w:t>
            </w:r>
          </w:p>
        </w:tc>
        <w:tc>
          <w:tcPr>
            <w:tcW w:w="471" w:type="pct"/>
            <w:vAlign w:val="center"/>
          </w:tcPr>
          <w:p w14:paraId="155249C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184,33</w:t>
            </w:r>
          </w:p>
        </w:tc>
      </w:tr>
      <w:tr w:rsidR="006356F1" w:rsidRPr="00C0505A" w14:paraId="1F010441" w14:textId="77777777" w:rsidTr="00217400">
        <w:trPr>
          <w:trHeight w:val="227"/>
        </w:trPr>
        <w:tc>
          <w:tcPr>
            <w:tcW w:w="1722" w:type="pct"/>
            <w:shd w:val="clear" w:color="auto" w:fill="auto"/>
            <w:noWrap/>
            <w:vAlign w:val="center"/>
            <w:hideMark/>
          </w:tcPr>
          <w:p w14:paraId="6C4BE25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Preparação de subprodutos do abate</w:t>
            </w:r>
          </w:p>
        </w:tc>
        <w:tc>
          <w:tcPr>
            <w:tcW w:w="531" w:type="pct"/>
            <w:shd w:val="clear" w:color="auto" w:fill="auto"/>
            <w:noWrap/>
            <w:vAlign w:val="center"/>
            <w:hideMark/>
          </w:tcPr>
          <w:p w14:paraId="36373E5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843.121,29</w:t>
            </w:r>
          </w:p>
        </w:tc>
        <w:tc>
          <w:tcPr>
            <w:tcW w:w="531" w:type="pct"/>
            <w:shd w:val="clear" w:color="auto" w:fill="auto"/>
            <w:noWrap/>
            <w:vAlign w:val="center"/>
            <w:hideMark/>
          </w:tcPr>
          <w:p w14:paraId="005F202B"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C61CA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245.588,25</w:t>
            </w:r>
          </w:p>
        </w:tc>
        <w:tc>
          <w:tcPr>
            <w:tcW w:w="487" w:type="pct"/>
            <w:shd w:val="clear" w:color="auto" w:fill="auto"/>
            <w:noWrap/>
            <w:vAlign w:val="center"/>
            <w:hideMark/>
          </w:tcPr>
          <w:p w14:paraId="2EA4F85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597.533,04</w:t>
            </w:r>
          </w:p>
        </w:tc>
        <w:tc>
          <w:tcPr>
            <w:tcW w:w="337" w:type="pct"/>
            <w:shd w:val="clear" w:color="auto" w:fill="auto"/>
            <w:noWrap/>
            <w:vAlign w:val="center"/>
            <w:hideMark/>
          </w:tcPr>
          <w:p w14:paraId="09D702E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223</w:t>
            </w:r>
          </w:p>
        </w:tc>
        <w:tc>
          <w:tcPr>
            <w:tcW w:w="393" w:type="pct"/>
            <w:shd w:val="clear" w:color="auto" w:fill="auto"/>
            <w:noWrap/>
            <w:vAlign w:val="center"/>
            <w:hideMark/>
          </w:tcPr>
          <w:p w14:paraId="1897631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2.684,54</w:t>
            </w:r>
          </w:p>
        </w:tc>
        <w:tc>
          <w:tcPr>
            <w:tcW w:w="471" w:type="pct"/>
            <w:vAlign w:val="center"/>
          </w:tcPr>
          <w:p w14:paraId="02C01C0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206,50</w:t>
            </w:r>
          </w:p>
        </w:tc>
      </w:tr>
      <w:tr w:rsidR="006356F1" w:rsidRPr="00C0505A" w14:paraId="70667CBF" w14:textId="77777777" w:rsidTr="00217400">
        <w:trPr>
          <w:trHeight w:val="227"/>
        </w:trPr>
        <w:tc>
          <w:tcPr>
            <w:tcW w:w="1722" w:type="pct"/>
            <w:shd w:val="clear" w:color="auto" w:fill="auto"/>
            <w:noWrap/>
            <w:vAlign w:val="center"/>
            <w:hideMark/>
          </w:tcPr>
          <w:p w14:paraId="050CE9D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Preparação do leite</w:t>
            </w:r>
          </w:p>
        </w:tc>
        <w:tc>
          <w:tcPr>
            <w:tcW w:w="531" w:type="pct"/>
            <w:shd w:val="clear" w:color="auto" w:fill="auto"/>
            <w:noWrap/>
            <w:vAlign w:val="center"/>
            <w:hideMark/>
          </w:tcPr>
          <w:p w14:paraId="5B72A3E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9.771.581,10</w:t>
            </w:r>
          </w:p>
        </w:tc>
        <w:tc>
          <w:tcPr>
            <w:tcW w:w="531" w:type="pct"/>
            <w:shd w:val="clear" w:color="auto" w:fill="auto"/>
            <w:noWrap/>
            <w:vAlign w:val="center"/>
            <w:hideMark/>
          </w:tcPr>
          <w:p w14:paraId="5805EE57"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7695664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5.343.273,39</w:t>
            </w:r>
          </w:p>
        </w:tc>
        <w:tc>
          <w:tcPr>
            <w:tcW w:w="487" w:type="pct"/>
            <w:shd w:val="clear" w:color="auto" w:fill="auto"/>
            <w:noWrap/>
            <w:vAlign w:val="center"/>
            <w:hideMark/>
          </w:tcPr>
          <w:p w14:paraId="5C80C5F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4.428.307,71</w:t>
            </w:r>
          </w:p>
        </w:tc>
        <w:tc>
          <w:tcPr>
            <w:tcW w:w="337" w:type="pct"/>
            <w:shd w:val="clear" w:color="auto" w:fill="auto"/>
            <w:noWrap/>
            <w:vAlign w:val="center"/>
            <w:hideMark/>
          </w:tcPr>
          <w:p w14:paraId="5337ACC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411</w:t>
            </w:r>
          </w:p>
        </w:tc>
        <w:tc>
          <w:tcPr>
            <w:tcW w:w="393" w:type="pct"/>
            <w:shd w:val="clear" w:color="auto" w:fill="auto"/>
            <w:noWrap/>
            <w:vAlign w:val="center"/>
            <w:hideMark/>
          </w:tcPr>
          <w:p w14:paraId="19EB7D6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10.776,66</w:t>
            </w:r>
          </w:p>
        </w:tc>
        <w:tc>
          <w:tcPr>
            <w:tcW w:w="471" w:type="pct"/>
            <w:vAlign w:val="center"/>
          </w:tcPr>
          <w:p w14:paraId="7A3578C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828,97</w:t>
            </w:r>
          </w:p>
        </w:tc>
      </w:tr>
      <w:tr w:rsidR="006356F1" w:rsidRPr="00C0505A" w14:paraId="3A09D4CE" w14:textId="77777777" w:rsidTr="00217400">
        <w:trPr>
          <w:trHeight w:val="227"/>
        </w:trPr>
        <w:tc>
          <w:tcPr>
            <w:tcW w:w="1722" w:type="pct"/>
            <w:shd w:val="clear" w:color="auto" w:fill="auto"/>
            <w:noWrap/>
            <w:vAlign w:val="center"/>
            <w:hideMark/>
          </w:tcPr>
          <w:p w14:paraId="26CC9650"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Preservação de peixes, crustáceos e moluscos</w:t>
            </w:r>
          </w:p>
        </w:tc>
        <w:tc>
          <w:tcPr>
            <w:tcW w:w="531" w:type="pct"/>
            <w:shd w:val="clear" w:color="auto" w:fill="auto"/>
            <w:noWrap/>
            <w:vAlign w:val="center"/>
            <w:hideMark/>
          </w:tcPr>
          <w:p w14:paraId="11AF365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689.980,98</w:t>
            </w:r>
          </w:p>
        </w:tc>
        <w:tc>
          <w:tcPr>
            <w:tcW w:w="531" w:type="pct"/>
            <w:shd w:val="clear" w:color="auto" w:fill="auto"/>
            <w:noWrap/>
            <w:vAlign w:val="center"/>
            <w:hideMark/>
          </w:tcPr>
          <w:p w14:paraId="09C4285C"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454CFDD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135.863,77</w:t>
            </w:r>
          </w:p>
        </w:tc>
        <w:tc>
          <w:tcPr>
            <w:tcW w:w="487" w:type="pct"/>
            <w:shd w:val="clear" w:color="auto" w:fill="auto"/>
            <w:noWrap/>
            <w:vAlign w:val="center"/>
            <w:hideMark/>
          </w:tcPr>
          <w:p w14:paraId="35B3896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554.117,21</w:t>
            </w:r>
          </w:p>
        </w:tc>
        <w:tc>
          <w:tcPr>
            <w:tcW w:w="337" w:type="pct"/>
            <w:shd w:val="clear" w:color="auto" w:fill="auto"/>
            <w:noWrap/>
            <w:vAlign w:val="center"/>
            <w:hideMark/>
          </w:tcPr>
          <w:p w14:paraId="43AA51B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78</w:t>
            </w:r>
          </w:p>
        </w:tc>
        <w:tc>
          <w:tcPr>
            <w:tcW w:w="393" w:type="pct"/>
            <w:shd w:val="clear" w:color="auto" w:fill="auto"/>
            <w:noWrap/>
            <w:vAlign w:val="center"/>
            <w:hideMark/>
          </w:tcPr>
          <w:p w14:paraId="780E910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7.111,66</w:t>
            </w:r>
          </w:p>
        </w:tc>
        <w:tc>
          <w:tcPr>
            <w:tcW w:w="471" w:type="pct"/>
            <w:vAlign w:val="center"/>
          </w:tcPr>
          <w:p w14:paraId="61DEC3C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547,05</w:t>
            </w:r>
          </w:p>
        </w:tc>
      </w:tr>
      <w:tr w:rsidR="006356F1" w:rsidRPr="00C0505A" w14:paraId="773EB049" w14:textId="77777777" w:rsidTr="00217400">
        <w:trPr>
          <w:trHeight w:val="227"/>
        </w:trPr>
        <w:tc>
          <w:tcPr>
            <w:tcW w:w="1722" w:type="pct"/>
            <w:tcBorders>
              <w:bottom w:val="single" w:sz="4" w:space="0" w:color="auto"/>
            </w:tcBorders>
            <w:shd w:val="clear" w:color="auto" w:fill="auto"/>
            <w:noWrap/>
            <w:vAlign w:val="center"/>
            <w:hideMark/>
          </w:tcPr>
          <w:p w14:paraId="2635B40F"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Torrefação e moagem de café</w:t>
            </w:r>
          </w:p>
        </w:tc>
        <w:tc>
          <w:tcPr>
            <w:tcW w:w="531" w:type="pct"/>
            <w:tcBorders>
              <w:bottom w:val="single" w:sz="4" w:space="0" w:color="auto"/>
            </w:tcBorders>
            <w:shd w:val="clear" w:color="auto" w:fill="auto"/>
            <w:noWrap/>
            <w:vAlign w:val="center"/>
            <w:hideMark/>
          </w:tcPr>
          <w:p w14:paraId="7549796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10.980.675,85</w:t>
            </w:r>
          </w:p>
        </w:tc>
        <w:tc>
          <w:tcPr>
            <w:tcW w:w="531" w:type="pct"/>
            <w:tcBorders>
              <w:bottom w:val="single" w:sz="4" w:space="0" w:color="auto"/>
            </w:tcBorders>
            <w:shd w:val="clear" w:color="auto" w:fill="auto"/>
            <w:noWrap/>
            <w:vAlign w:val="center"/>
            <w:hideMark/>
          </w:tcPr>
          <w:p w14:paraId="1EC2D848"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33F00BD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2.039.279,54</w:t>
            </w:r>
          </w:p>
        </w:tc>
        <w:tc>
          <w:tcPr>
            <w:tcW w:w="487" w:type="pct"/>
            <w:tcBorders>
              <w:bottom w:val="single" w:sz="4" w:space="0" w:color="auto"/>
            </w:tcBorders>
            <w:shd w:val="clear" w:color="auto" w:fill="auto"/>
            <w:noWrap/>
            <w:vAlign w:val="center"/>
            <w:hideMark/>
          </w:tcPr>
          <w:p w14:paraId="1B01F33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8.941.396,31</w:t>
            </w:r>
          </w:p>
        </w:tc>
        <w:tc>
          <w:tcPr>
            <w:tcW w:w="337" w:type="pct"/>
            <w:tcBorders>
              <w:bottom w:val="single" w:sz="4" w:space="0" w:color="auto"/>
            </w:tcBorders>
            <w:shd w:val="clear" w:color="auto" w:fill="auto"/>
            <w:noWrap/>
            <w:vAlign w:val="center"/>
            <w:hideMark/>
          </w:tcPr>
          <w:p w14:paraId="34DD72B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488</w:t>
            </w:r>
          </w:p>
        </w:tc>
        <w:tc>
          <w:tcPr>
            <w:tcW w:w="393" w:type="pct"/>
            <w:tcBorders>
              <w:bottom w:val="single" w:sz="4" w:space="0" w:color="auto"/>
            </w:tcBorders>
            <w:shd w:val="clear" w:color="auto" w:fill="auto"/>
            <w:noWrap/>
            <w:vAlign w:val="center"/>
            <w:hideMark/>
          </w:tcPr>
          <w:p w14:paraId="2E8653C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18.325,66</w:t>
            </w:r>
          </w:p>
        </w:tc>
        <w:tc>
          <w:tcPr>
            <w:tcW w:w="471" w:type="pct"/>
            <w:tcBorders>
              <w:bottom w:val="single" w:sz="4" w:space="0" w:color="auto"/>
            </w:tcBorders>
            <w:vAlign w:val="center"/>
          </w:tcPr>
          <w:p w14:paraId="72490B2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1.409,67</w:t>
            </w:r>
          </w:p>
        </w:tc>
      </w:tr>
      <w:tr w:rsidR="006356F1" w:rsidRPr="00C0505A" w14:paraId="7B331CC8" w14:textId="77777777" w:rsidTr="00217400">
        <w:trPr>
          <w:trHeight w:val="227"/>
        </w:trPr>
        <w:tc>
          <w:tcPr>
            <w:tcW w:w="1722" w:type="pct"/>
            <w:tcBorders>
              <w:top w:val="single" w:sz="4" w:space="0" w:color="auto"/>
              <w:bottom w:val="nil"/>
            </w:tcBorders>
            <w:shd w:val="clear" w:color="auto" w:fill="auto"/>
            <w:noWrap/>
            <w:vAlign w:val="center"/>
            <w:hideMark/>
          </w:tcPr>
          <w:p w14:paraId="3AFDD2F0"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PRODUTOS DE BORRACHA E DE MATERIAL PLÁSTICO</w:t>
            </w:r>
          </w:p>
        </w:tc>
        <w:tc>
          <w:tcPr>
            <w:tcW w:w="531" w:type="pct"/>
            <w:tcBorders>
              <w:top w:val="single" w:sz="4" w:space="0" w:color="auto"/>
              <w:bottom w:val="nil"/>
            </w:tcBorders>
            <w:shd w:val="clear" w:color="auto" w:fill="auto"/>
            <w:noWrap/>
            <w:vAlign w:val="center"/>
            <w:hideMark/>
          </w:tcPr>
          <w:p w14:paraId="369202C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29.396.288,95</w:t>
            </w:r>
          </w:p>
        </w:tc>
        <w:tc>
          <w:tcPr>
            <w:tcW w:w="531" w:type="pct"/>
            <w:tcBorders>
              <w:top w:val="single" w:sz="4" w:space="0" w:color="auto"/>
              <w:bottom w:val="nil"/>
            </w:tcBorders>
            <w:shd w:val="clear" w:color="auto" w:fill="auto"/>
            <w:noWrap/>
            <w:vAlign w:val="center"/>
            <w:hideMark/>
          </w:tcPr>
          <w:p w14:paraId="1A80571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649.926,37</w:t>
            </w:r>
          </w:p>
        </w:tc>
        <w:tc>
          <w:tcPr>
            <w:tcW w:w="529" w:type="pct"/>
            <w:tcBorders>
              <w:top w:val="single" w:sz="4" w:space="0" w:color="auto"/>
              <w:bottom w:val="nil"/>
            </w:tcBorders>
            <w:shd w:val="clear" w:color="auto" w:fill="auto"/>
            <w:noWrap/>
            <w:vAlign w:val="center"/>
            <w:hideMark/>
          </w:tcPr>
          <w:p w14:paraId="489AEBCB"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8.780.040,14</w:t>
            </w:r>
          </w:p>
        </w:tc>
        <w:tc>
          <w:tcPr>
            <w:tcW w:w="487" w:type="pct"/>
            <w:tcBorders>
              <w:top w:val="single" w:sz="4" w:space="0" w:color="auto"/>
              <w:bottom w:val="nil"/>
            </w:tcBorders>
            <w:shd w:val="clear" w:color="auto" w:fill="auto"/>
            <w:noWrap/>
            <w:vAlign w:val="center"/>
            <w:hideMark/>
          </w:tcPr>
          <w:p w14:paraId="7A54B90A"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21.266.175,18</w:t>
            </w:r>
          </w:p>
        </w:tc>
        <w:tc>
          <w:tcPr>
            <w:tcW w:w="337" w:type="pct"/>
            <w:tcBorders>
              <w:top w:val="single" w:sz="4" w:space="0" w:color="auto"/>
              <w:bottom w:val="nil"/>
            </w:tcBorders>
            <w:shd w:val="clear" w:color="auto" w:fill="auto"/>
            <w:noWrap/>
            <w:vAlign w:val="center"/>
            <w:hideMark/>
          </w:tcPr>
          <w:p w14:paraId="1F4B9CDC"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2.551</w:t>
            </w:r>
          </w:p>
        </w:tc>
        <w:tc>
          <w:tcPr>
            <w:tcW w:w="393" w:type="pct"/>
            <w:tcBorders>
              <w:top w:val="single" w:sz="4" w:space="0" w:color="auto"/>
              <w:bottom w:val="nil"/>
            </w:tcBorders>
            <w:shd w:val="clear" w:color="auto" w:fill="auto"/>
            <w:noWrap/>
            <w:vAlign w:val="center"/>
            <w:hideMark/>
          </w:tcPr>
          <w:p w14:paraId="32CD70E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8.336,68</w:t>
            </w:r>
          </w:p>
        </w:tc>
        <w:tc>
          <w:tcPr>
            <w:tcW w:w="471" w:type="pct"/>
            <w:tcBorders>
              <w:top w:val="single" w:sz="4" w:space="0" w:color="auto"/>
              <w:bottom w:val="nil"/>
            </w:tcBorders>
            <w:vAlign w:val="center"/>
          </w:tcPr>
          <w:p w14:paraId="0E7009C2"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641,28</w:t>
            </w:r>
          </w:p>
        </w:tc>
      </w:tr>
      <w:tr w:rsidR="006356F1" w:rsidRPr="00C0505A" w14:paraId="7974671E" w14:textId="77777777" w:rsidTr="00217400">
        <w:trPr>
          <w:trHeight w:val="227"/>
        </w:trPr>
        <w:tc>
          <w:tcPr>
            <w:tcW w:w="1722" w:type="pct"/>
            <w:tcBorders>
              <w:top w:val="nil"/>
            </w:tcBorders>
            <w:shd w:val="clear" w:color="auto" w:fill="auto"/>
            <w:noWrap/>
            <w:vAlign w:val="center"/>
            <w:hideMark/>
          </w:tcPr>
          <w:p w14:paraId="72E4258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artefatos de borracha não especificados anteriormente</w:t>
            </w:r>
          </w:p>
        </w:tc>
        <w:tc>
          <w:tcPr>
            <w:tcW w:w="531" w:type="pct"/>
            <w:tcBorders>
              <w:top w:val="nil"/>
            </w:tcBorders>
            <w:shd w:val="clear" w:color="auto" w:fill="auto"/>
            <w:noWrap/>
            <w:vAlign w:val="center"/>
            <w:hideMark/>
          </w:tcPr>
          <w:p w14:paraId="3580BC6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3.798.119,92</w:t>
            </w:r>
          </w:p>
        </w:tc>
        <w:tc>
          <w:tcPr>
            <w:tcW w:w="531" w:type="pct"/>
            <w:tcBorders>
              <w:top w:val="nil"/>
            </w:tcBorders>
            <w:shd w:val="clear" w:color="auto" w:fill="auto"/>
            <w:noWrap/>
            <w:vAlign w:val="center"/>
            <w:hideMark/>
          </w:tcPr>
          <w:p w14:paraId="26C9A2B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649.926,37</w:t>
            </w:r>
          </w:p>
        </w:tc>
        <w:tc>
          <w:tcPr>
            <w:tcW w:w="529" w:type="pct"/>
            <w:tcBorders>
              <w:top w:val="nil"/>
            </w:tcBorders>
            <w:shd w:val="clear" w:color="auto" w:fill="auto"/>
            <w:noWrap/>
            <w:vAlign w:val="center"/>
            <w:hideMark/>
          </w:tcPr>
          <w:p w14:paraId="2073859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753.043,34</w:t>
            </w:r>
          </w:p>
        </w:tc>
        <w:tc>
          <w:tcPr>
            <w:tcW w:w="487" w:type="pct"/>
            <w:tcBorders>
              <w:top w:val="nil"/>
            </w:tcBorders>
            <w:shd w:val="clear" w:color="auto" w:fill="auto"/>
            <w:noWrap/>
            <w:vAlign w:val="center"/>
            <w:hideMark/>
          </w:tcPr>
          <w:p w14:paraId="0AD8E68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3.695.002,95</w:t>
            </w:r>
          </w:p>
        </w:tc>
        <w:tc>
          <w:tcPr>
            <w:tcW w:w="337" w:type="pct"/>
            <w:tcBorders>
              <w:top w:val="nil"/>
            </w:tcBorders>
            <w:shd w:val="clear" w:color="auto" w:fill="auto"/>
            <w:noWrap/>
            <w:vAlign w:val="center"/>
            <w:hideMark/>
          </w:tcPr>
          <w:p w14:paraId="3E104F0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228</w:t>
            </w:r>
          </w:p>
        </w:tc>
        <w:tc>
          <w:tcPr>
            <w:tcW w:w="393" w:type="pct"/>
            <w:tcBorders>
              <w:top w:val="nil"/>
            </w:tcBorders>
            <w:shd w:val="clear" w:color="auto" w:fill="auto"/>
            <w:noWrap/>
            <w:vAlign w:val="center"/>
            <w:hideMark/>
          </w:tcPr>
          <w:p w14:paraId="12B4FA7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16.176,59</w:t>
            </w:r>
          </w:p>
        </w:tc>
        <w:tc>
          <w:tcPr>
            <w:tcW w:w="471" w:type="pct"/>
            <w:tcBorders>
              <w:top w:val="nil"/>
            </w:tcBorders>
            <w:vAlign w:val="center"/>
          </w:tcPr>
          <w:p w14:paraId="43FA6EA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1.244,35</w:t>
            </w:r>
          </w:p>
        </w:tc>
      </w:tr>
      <w:tr w:rsidR="006356F1" w:rsidRPr="00C0505A" w14:paraId="1BE9A930" w14:textId="77777777" w:rsidTr="00217400">
        <w:trPr>
          <w:trHeight w:val="227"/>
        </w:trPr>
        <w:tc>
          <w:tcPr>
            <w:tcW w:w="1722" w:type="pct"/>
            <w:shd w:val="clear" w:color="auto" w:fill="auto"/>
            <w:noWrap/>
            <w:vAlign w:val="center"/>
            <w:hideMark/>
          </w:tcPr>
          <w:p w14:paraId="01A4D14E"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artefatos de material plástico para outros usos não especificados anteriormente</w:t>
            </w:r>
          </w:p>
        </w:tc>
        <w:tc>
          <w:tcPr>
            <w:tcW w:w="531" w:type="pct"/>
            <w:shd w:val="clear" w:color="auto" w:fill="auto"/>
            <w:noWrap/>
            <w:vAlign w:val="center"/>
            <w:hideMark/>
          </w:tcPr>
          <w:p w14:paraId="2AFE43E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243.960,01</w:t>
            </w:r>
          </w:p>
        </w:tc>
        <w:tc>
          <w:tcPr>
            <w:tcW w:w="531" w:type="pct"/>
            <w:shd w:val="clear" w:color="auto" w:fill="auto"/>
            <w:noWrap/>
            <w:vAlign w:val="center"/>
            <w:hideMark/>
          </w:tcPr>
          <w:p w14:paraId="7780A37A"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1D0C767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50.001,80</w:t>
            </w:r>
          </w:p>
        </w:tc>
        <w:tc>
          <w:tcPr>
            <w:tcW w:w="487" w:type="pct"/>
            <w:shd w:val="clear" w:color="auto" w:fill="auto"/>
            <w:noWrap/>
            <w:vAlign w:val="center"/>
            <w:hideMark/>
          </w:tcPr>
          <w:p w14:paraId="022AA90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193.958,21</w:t>
            </w:r>
          </w:p>
        </w:tc>
        <w:tc>
          <w:tcPr>
            <w:tcW w:w="337" w:type="pct"/>
            <w:shd w:val="clear" w:color="auto" w:fill="auto"/>
            <w:noWrap/>
            <w:vAlign w:val="center"/>
            <w:hideMark/>
          </w:tcPr>
          <w:p w14:paraId="39A4131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43</w:t>
            </w:r>
          </w:p>
        </w:tc>
        <w:tc>
          <w:tcPr>
            <w:tcW w:w="393" w:type="pct"/>
            <w:shd w:val="clear" w:color="auto" w:fill="auto"/>
            <w:noWrap/>
            <w:vAlign w:val="center"/>
            <w:hideMark/>
          </w:tcPr>
          <w:p w14:paraId="667C479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4.484,58</w:t>
            </w:r>
          </w:p>
        </w:tc>
        <w:tc>
          <w:tcPr>
            <w:tcW w:w="471" w:type="pct"/>
            <w:vAlign w:val="center"/>
          </w:tcPr>
          <w:p w14:paraId="48D4847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344,97</w:t>
            </w:r>
          </w:p>
        </w:tc>
      </w:tr>
      <w:tr w:rsidR="006356F1" w:rsidRPr="00C0505A" w14:paraId="50CF0E04" w14:textId="77777777" w:rsidTr="00217400">
        <w:trPr>
          <w:trHeight w:val="227"/>
        </w:trPr>
        <w:tc>
          <w:tcPr>
            <w:tcW w:w="1722" w:type="pct"/>
            <w:shd w:val="clear" w:color="auto" w:fill="auto"/>
            <w:noWrap/>
            <w:vAlign w:val="center"/>
            <w:hideMark/>
          </w:tcPr>
          <w:p w14:paraId="6E0C4A8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artefatos de material plástico para uso na construção, exceto tubos e acessórios</w:t>
            </w:r>
          </w:p>
        </w:tc>
        <w:tc>
          <w:tcPr>
            <w:tcW w:w="531" w:type="pct"/>
            <w:shd w:val="clear" w:color="auto" w:fill="auto"/>
            <w:noWrap/>
            <w:vAlign w:val="center"/>
            <w:hideMark/>
          </w:tcPr>
          <w:p w14:paraId="689366A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1.658.123,82</w:t>
            </w:r>
          </w:p>
        </w:tc>
        <w:tc>
          <w:tcPr>
            <w:tcW w:w="531" w:type="pct"/>
            <w:shd w:val="clear" w:color="auto" w:fill="auto"/>
            <w:noWrap/>
            <w:vAlign w:val="center"/>
            <w:hideMark/>
          </w:tcPr>
          <w:p w14:paraId="79D5A6DF"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146FBE8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225.748,38</w:t>
            </w:r>
          </w:p>
        </w:tc>
        <w:tc>
          <w:tcPr>
            <w:tcW w:w="487" w:type="pct"/>
            <w:shd w:val="clear" w:color="auto" w:fill="auto"/>
            <w:noWrap/>
            <w:vAlign w:val="center"/>
            <w:hideMark/>
          </w:tcPr>
          <w:p w14:paraId="1DED5B9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1.432.375,44</w:t>
            </w:r>
          </w:p>
        </w:tc>
        <w:tc>
          <w:tcPr>
            <w:tcW w:w="337" w:type="pct"/>
            <w:shd w:val="clear" w:color="auto" w:fill="auto"/>
            <w:noWrap/>
            <w:vAlign w:val="center"/>
            <w:hideMark/>
          </w:tcPr>
          <w:p w14:paraId="35E0B20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61</w:t>
            </w:r>
          </w:p>
        </w:tc>
        <w:tc>
          <w:tcPr>
            <w:tcW w:w="393" w:type="pct"/>
            <w:shd w:val="clear" w:color="auto" w:fill="auto"/>
            <w:noWrap/>
            <w:vAlign w:val="center"/>
            <w:hideMark/>
          </w:tcPr>
          <w:p w14:paraId="081AE3D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23.513,69</w:t>
            </w:r>
          </w:p>
        </w:tc>
        <w:tc>
          <w:tcPr>
            <w:tcW w:w="471" w:type="pct"/>
            <w:vAlign w:val="center"/>
          </w:tcPr>
          <w:p w14:paraId="0AA40135" w14:textId="77777777" w:rsidR="006356F1" w:rsidRPr="00C0505A" w:rsidRDefault="006356F1" w:rsidP="00217400">
            <w:pPr>
              <w:jc w:val="right"/>
              <w:rPr>
                <w:rFonts w:asciiTheme="minorHAnsi" w:hAnsiTheme="minorHAnsi" w:cstheme="minorHAnsi"/>
                <w:color w:val="000000"/>
                <w:sz w:val="24"/>
                <w:szCs w:val="16"/>
              </w:rPr>
            </w:pPr>
          </w:p>
        </w:tc>
      </w:tr>
      <w:tr w:rsidR="006356F1" w:rsidRPr="00C0505A" w14:paraId="47832A14" w14:textId="77777777" w:rsidTr="00217400">
        <w:trPr>
          <w:trHeight w:val="227"/>
        </w:trPr>
        <w:tc>
          <w:tcPr>
            <w:tcW w:w="2252" w:type="pct"/>
            <w:gridSpan w:val="2"/>
            <w:shd w:val="clear" w:color="auto" w:fill="auto"/>
            <w:noWrap/>
            <w:vAlign w:val="center"/>
            <w:hideMark/>
          </w:tcPr>
          <w:p w14:paraId="32599F66" w14:textId="77777777" w:rsidR="006356F1" w:rsidRPr="00C0505A" w:rsidRDefault="006356F1" w:rsidP="00217400">
            <w:pPr>
              <w:ind w:firstLineChars="100" w:firstLine="240"/>
              <w:jc w:val="both"/>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artefatos de material plástico para uso pessoal e doméstico</w:t>
            </w:r>
          </w:p>
        </w:tc>
        <w:tc>
          <w:tcPr>
            <w:tcW w:w="531" w:type="pct"/>
            <w:shd w:val="clear" w:color="auto" w:fill="auto"/>
            <w:noWrap/>
            <w:vAlign w:val="center"/>
            <w:hideMark/>
          </w:tcPr>
          <w:p w14:paraId="3344CDC5" w14:textId="77777777" w:rsidR="006356F1" w:rsidRPr="00C0505A" w:rsidRDefault="006356F1" w:rsidP="00217400">
            <w:pPr>
              <w:ind w:firstLineChars="100" w:firstLine="240"/>
              <w:jc w:val="right"/>
              <w:rPr>
                <w:rFonts w:asciiTheme="minorHAnsi" w:hAnsiTheme="minorHAnsi" w:cstheme="minorHAnsi"/>
                <w:color w:val="000000"/>
                <w:sz w:val="24"/>
                <w:szCs w:val="16"/>
              </w:rPr>
            </w:pPr>
          </w:p>
        </w:tc>
        <w:tc>
          <w:tcPr>
            <w:tcW w:w="529" w:type="pct"/>
            <w:shd w:val="clear" w:color="auto" w:fill="auto"/>
            <w:noWrap/>
            <w:vAlign w:val="center"/>
            <w:hideMark/>
          </w:tcPr>
          <w:p w14:paraId="7196BD8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51.665,45</w:t>
            </w:r>
          </w:p>
        </w:tc>
        <w:tc>
          <w:tcPr>
            <w:tcW w:w="487" w:type="pct"/>
            <w:shd w:val="clear" w:color="auto" w:fill="auto"/>
            <w:noWrap/>
            <w:vAlign w:val="center"/>
            <w:hideMark/>
          </w:tcPr>
          <w:p w14:paraId="3EF0EDE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37" w:type="pct"/>
            <w:shd w:val="clear" w:color="auto" w:fill="auto"/>
            <w:noWrap/>
            <w:vAlign w:val="center"/>
            <w:hideMark/>
          </w:tcPr>
          <w:p w14:paraId="3BE2BFD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84</w:t>
            </w:r>
          </w:p>
        </w:tc>
        <w:tc>
          <w:tcPr>
            <w:tcW w:w="393" w:type="pct"/>
            <w:shd w:val="clear" w:color="auto" w:fill="auto"/>
            <w:noWrap/>
            <w:vAlign w:val="center"/>
            <w:hideMark/>
          </w:tcPr>
          <w:p w14:paraId="04E71CB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vAlign w:val="center"/>
          </w:tcPr>
          <w:p w14:paraId="31453807" w14:textId="77777777" w:rsidR="006356F1" w:rsidRPr="00C0505A" w:rsidRDefault="006356F1" w:rsidP="00217400">
            <w:pPr>
              <w:jc w:val="right"/>
              <w:rPr>
                <w:rFonts w:asciiTheme="minorHAnsi" w:hAnsiTheme="minorHAnsi" w:cstheme="minorHAnsi"/>
                <w:color w:val="000000"/>
                <w:sz w:val="24"/>
                <w:szCs w:val="16"/>
              </w:rPr>
            </w:pPr>
          </w:p>
        </w:tc>
      </w:tr>
      <w:tr w:rsidR="006356F1" w:rsidRPr="00C0505A" w14:paraId="5D92E447" w14:textId="77777777" w:rsidTr="00217400">
        <w:trPr>
          <w:trHeight w:val="227"/>
        </w:trPr>
        <w:tc>
          <w:tcPr>
            <w:tcW w:w="1722" w:type="pct"/>
            <w:shd w:val="clear" w:color="auto" w:fill="auto"/>
            <w:noWrap/>
            <w:vAlign w:val="center"/>
            <w:hideMark/>
          </w:tcPr>
          <w:p w14:paraId="0DF20A5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Fabricação de artefatos de material plástico para usos industriais</w:t>
            </w:r>
          </w:p>
        </w:tc>
        <w:tc>
          <w:tcPr>
            <w:tcW w:w="531" w:type="pct"/>
            <w:shd w:val="clear" w:color="auto" w:fill="auto"/>
            <w:noWrap/>
            <w:vAlign w:val="center"/>
            <w:hideMark/>
          </w:tcPr>
          <w:p w14:paraId="1982C97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138.486,87</w:t>
            </w:r>
          </w:p>
        </w:tc>
        <w:tc>
          <w:tcPr>
            <w:tcW w:w="531" w:type="pct"/>
            <w:shd w:val="clear" w:color="auto" w:fill="auto"/>
            <w:noWrap/>
            <w:vAlign w:val="center"/>
            <w:hideMark/>
          </w:tcPr>
          <w:p w14:paraId="49771C90"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798FADB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21.966,34</w:t>
            </w:r>
          </w:p>
        </w:tc>
        <w:tc>
          <w:tcPr>
            <w:tcW w:w="487" w:type="pct"/>
            <w:shd w:val="clear" w:color="auto" w:fill="auto"/>
            <w:noWrap/>
            <w:vAlign w:val="center"/>
            <w:hideMark/>
          </w:tcPr>
          <w:p w14:paraId="1807DA1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116.520,53</w:t>
            </w:r>
          </w:p>
        </w:tc>
        <w:tc>
          <w:tcPr>
            <w:tcW w:w="337" w:type="pct"/>
            <w:shd w:val="clear" w:color="auto" w:fill="auto"/>
            <w:noWrap/>
            <w:vAlign w:val="center"/>
            <w:hideMark/>
          </w:tcPr>
          <w:p w14:paraId="0046560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w:t>
            </w:r>
          </w:p>
        </w:tc>
        <w:tc>
          <w:tcPr>
            <w:tcW w:w="393" w:type="pct"/>
            <w:shd w:val="clear" w:color="auto" w:fill="auto"/>
            <w:noWrap/>
            <w:vAlign w:val="center"/>
            <w:hideMark/>
          </w:tcPr>
          <w:p w14:paraId="255F5B2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17.478,08</w:t>
            </w:r>
          </w:p>
        </w:tc>
        <w:tc>
          <w:tcPr>
            <w:tcW w:w="471" w:type="pct"/>
            <w:vAlign w:val="center"/>
          </w:tcPr>
          <w:p w14:paraId="5638D6B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1.344,47</w:t>
            </w:r>
          </w:p>
        </w:tc>
      </w:tr>
      <w:tr w:rsidR="006356F1" w:rsidRPr="00C0505A" w14:paraId="35B9CCA0" w14:textId="77777777" w:rsidTr="00217400">
        <w:trPr>
          <w:trHeight w:val="227"/>
        </w:trPr>
        <w:tc>
          <w:tcPr>
            <w:tcW w:w="1722" w:type="pct"/>
            <w:shd w:val="clear" w:color="auto" w:fill="auto"/>
            <w:noWrap/>
            <w:vAlign w:val="center"/>
            <w:hideMark/>
          </w:tcPr>
          <w:p w14:paraId="674C6CE7"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embalagens de material plástico</w:t>
            </w:r>
          </w:p>
        </w:tc>
        <w:tc>
          <w:tcPr>
            <w:tcW w:w="531" w:type="pct"/>
            <w:shd w:val="clear" w:color="auto" w:fill="auto"/>
            <w:noWrap/>
            <w:vAlign w:val="center"/>
            <w:hideMark/>
          </w:tcPr>
          <w:p w14:paraId="79FAD67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14.559.593,92</w:t>
            </w:r>
          </w:p>
        </w:tc>
        <w:tc>
          <w:tcPr>
            <w:tcW w:w="531" w:type="pct"/>
            <w:shd w:val="clear" w:color="auto" w:fill="auto"/>
            <w:noWrap/>
            <w:vAlign w:val="center"/>
            <w:hideMark/>
          </w:tcPr>
          <w:p w14:paraId="2701CF46"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0B796DA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5.950.705,12</w:t>
            </w:r>
          </w:p>
        </w:tc>
        <w:tc>
          <w:tcPr>
            <w:tcW w:w="487" w:type="pct"/>
            <w:shd w:val="clear" w:color="auto" w:fill="auto"/>
            <w:noWrap/>
            <w:vAlign w:val="center"/>
            <w:hideMark/>
          </w:tcPr>
          <w:p w14:paraId="4C703C2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8.608.888,80</w:t>
            </w:r>
          </w:p>
        </w:tc>
        <w:tc>
          <w:tcPr>
            <w:tcW w:w="337" w:type="pct"/>
            <w:shd w:val="clear" w:color="auto" w:fill="auto"/>
            <w:noWrap/>
            <w:vAlign w:val="center"/>
            <w:hideMark/>
          </w:tcPr>
          <w:p w14:paraId="08C00BD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1.672</w:t>
            </w:r>
          </w:p>
        </w:tc>
        <w:tc>
          <w:tcPr>
            <w:tcW w:w="393" w:type="pct"/>
            <w:shd w:val="clear" w:color="auto" w:fill="auto"/>
            <w:noWrap/>
            <w:vAlign w:val="center"/>
            <w:hideMark/>
          </w:tcPr>
          <w:p w14:paraId="4A92297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5.148,09</w:t>
            </w:r>
          </w:p>
        </w:tc>
        <w:tc>
          <w:tcPr>
            <w:tcW w:w="471" w:type="pct"/>
            <w:vAlign w:val="center"/>
          </w:tcPr>
          <w:p w14:paraId="644E951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396,01</w:t>
            </w:r>
          </w:p>
        </w:tc>
      </w:tr>
      <w:tr w:rsidR="006356F1" w:rsidRPr="00C0505A" w14:paraId="6F12EA30" w14:textId="77777777" w:rsidTr="00217400">
        <w:trPr>
          <w:trHeight w:val="227"/>
        </w:trPr>
        <w:tc>
          <w:tcPr>
            <w:tcW w:w="1722" w:type="pct"/>
            <w:shd w:val="clear" w:color="auto" w:fill="auto"/>
            <w:noWrap/>
            <w:vAlign w:val="center"/>
            <w:hideMark/>
          </w:tcPr>
          <w:p w14:paraId="33EBDDF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laminados planos e tubulares de material plástico</w:t>
            </w:r>
          </w:p>
        </w:tc>
        <w:tc>
          <w:tcPr>
            <w:tcW w:w="531" w:type="pct"/>
            <w:shd w:val="clear" w:color="auto" w:fill="auto"/>
            <w:noWrap/>
            <w:vAlign w:val="center"/>
            <w:hideMark/>
          </w:tcPr>
          <w:p w14:paraId="7AAFC77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2.058.089,19</w:t>
            </w:r>
          </w:p>
        </w:tc>
        <w:tc>
          <w:tcPr>
            <w:tcW w:w="531" w:type="pct"/>
            <w:shd w:val="clear" w:color="auto" w:fill="auto"/>
            <w:noWrap/>
            <w:vAlign w:val="center"/>
            <w:hideMark/>
          </w:tcPr>
          <w:p w14:paraId="44830B0C"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724BB2D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414.789,13</w:t>
            </w:r>
          </w:p>
        </w:tc>
        <w:tc>
          <w:tcPr>
            <w:tcW w:w="487" w:type="pct"/>
            <w:shd w:val="clear" w:color="auto" w:fill="auto"/>
            <w:noWrap/>
            <w:vAlign w:val="center"/>
            <w:hideMark/>
          </w:tcPr>
          <w:p w14:paraId="5D188FA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1.643.300,06</w:t>
            </w:r>
          </w:p>
        </w:tc>
        <w:tc>
          <w:tcPr>
            <w:tcW w:w="337" w:type="pct"/>
            <w:shd w:val="clear" w:color="auto" w:fill="auto"/>
            <w:noWrap/>
            <w:vAlign w:val="center"/>
            <w:hideMark/>
          </w:tcPr>
          <w:p w14:paraId="124C310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w:t>
            </w:r>
          </w:p>
        </w:tc>
        <w:tc>
          <w:tcPr>
            <w:tcW w:w="393" w:type="pct"/>
            <w:shd w:val="clear" w:color="auto" w:fill="auto"/>
            <w:noWrap/>
            <w:vAlign w:val="center"/>
            <w:hideMark/>
          </w:tcPr>
          <w:p w14:paraId="1001528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43.724,17</w:t>
            </w:r>
          </w:p>
        </w:tc>
        <w:tc>
          <w:tcPr>
            <w:tcW w:w="471" w:type="pct"/>
            <w:vAlign w:val="center"/>
          </w:tcPr>
          <w:p w14:paraId="1DC6CF7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3.363,40</w:t>
            </w:r>
          </w:p>
        </w:tc>
      </w:tr>
      <w:tr w:rsidR="006356F1" w:rsidRPr="00C0505A" w14:paraId="4937061A" w14:textId="77777777" w:rsidTr="00217400">
        <w:trPr>
          <w:trHeight w:val="227"/>
        </w:trPr>
        <w:tc>
          <w:tcPr>
            <w:tcW w:w="1722" w:type="pct"/>
            <w:shd w:val="clear" w:color="auto" w:fill="auto"/>
            <w:noWrap/>
            <w:vAlign w:val="center"/>
            <w:hideMark/>
          </w:tcPr>
          <w:p w14:paraId="43AF3656"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pneumáticos e de câmaras-de-ar</w:t>
            </w:r>
          </w:p>
        </w:tc>
        <w:tc>
          <w:tcPr>
            <w:tcW w:w="531" w:type="pct"/>
            <w:shd w:val="clear" w:color="auto" w:fill="auto"/>
            <w:noWrap/>
            <w:vAlign w:val="center"/>
            <w:hideMark/>
          </w:tcPr>
          <w:p w14:paraId="33C467A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95.041,60</w:t>
            </w:r>
          </w:p>
        </w:tc>
        <w:tc>
          <w:tcPr>
            <w:tcW w:w="531" w:type="pct"/>
            <w:shd w:val="clear" w:color="auto" w:fill="auto"/>
            <w:noWrap/>
            <w:vAlign w:val="center"/>
            <w:hideMark/>
          </w:tcPr>
          <w:p w14:paraId="10C9F094"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2E1F0EF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24.238,39</w:t>
            </w:r>
          </w:p>
        </w:tc>
        <w:tc>
          <w:tcPr>
            <w:tcW w:w="487" w:type="pct"/>
            <w:shd w:val="clear" w:color="auto" w:fill="auto"/>
            <w:noWrap/>
            <w:vAlign w:val="center"/>
            <w:hideMark/>
          </w:tcPr>
          <w:p w14:paraId="788F0D1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70.803,21</w:t>
            </w:r>
          </w:p>
        </w:tc>
        <w:tc>
          <w:tcPr>
            <w:tcW w:w="337" w:type="pct"/>
            <w:shd w:val="clear" w:color="auto" w:fill="auto"/>
            <w:noWrap/>
            <w:vAlign w:val="center"/>
            <w:hideMark/>
          </w:tcPr>
          <w:p w14:paraId="22F573D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w:t>
            </w:r>
          </w:p>
        </w:tc>
        <w:tc>
          <w:tcPr>
            <w:tcW w:w="393" w:type="pct"/>
            <w:shd w:val="clear" w:color="auto" w:fill="auto"/>
            <w:noWrap/>
            <w:vAlign w:val="center"/>
            <w:hideMark/>
          </w:tcPr>
          <w:p w14:paraId="3D699BC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3.630,93</w:t>
            </w:r>
          </w:p>
        </w:tc>
        <w:tc>
          <w:tcPr>
            <w:tcW w:w="471" w:type="pct"/>
            <w:vAlign w:val="center"/>
          </w:tcPr>
          <w:p w14:paraId="178AF71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279,30</w:t>
            </w:r>
          </w:p>
        </w:tc>
      </w:tr>
      <w:tr w:rsidR="006356F1" w:rsidRPr="00C0505A" w14:paraId="1724AC59" w14:textId="77777777" w:rsidTr="00217400">
        <w:trPr>
          <w:trHeight w:val="227"/>
        </w:trPr>
        <w:tc>
          <w:tcPr>
            <w:tcW w:w="1722" w:type="pct"/>
            <w:tcBorders>
              <w:bottom w:val="single" w:sz="4" w:space="0" w:color="auto"/>
            </w:tcBorders>
            <w:shd w:val="clear" w:color="auto" w:fill="auto"/>
            <w:noWrap/>
            <w:vAlign w:val="center"/>
            <w:hideMark/>
          </w:tcPr>
          <w:p w14:paraId="5EF1E2DE"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tubos e acessórios de material plástico para uso na construção</w:t>
            </w:r>
          </w:p>
        </w:tc>
        <w:tc>
          <w:tcPr>
            <w:tcW w:w="531" w:type="pct"/>
            <w:tcBorders>
              <w:bottom w:val="single" w:sz="4" w:space="0" w:color="auto"/>
            </w:tcBorders>
            <w:shd w:val="clear" w:color="auto" w:fill="auto"/>
            <w:noWrap/>
            <w:vAlign w:val="center"/>
            <w:hideMark/>
          </w:tcPr>
          <w:p w14:paraId="00994D2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6.844.873,62</w:t>
            </w:r>
          </w:p>
        </w:tc>
        <w:tc>
          <w:tcPr>
            <w:tcW w:w="531" w:type="pct"/>
            <w:tcBorders>
              <w:bottom w:val="single" w:sz="4" w:space="0" w:color="auto"/>
            </w:tcBorders>
            <w:shd w:val="clear" w:color="auto" w:fill="auto"/>
            <w:noWrap/>
            <w:vAlign w:val="center"/>
            <w:hideMark/>
          </w:tcPr>
          <w:p w14:paraId="14324164"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670359D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1.287.882,19</w:t>
            </w:r>
          </w:p>
        </w:tc>
        <w:tc>
          <w:tcPr>
            <w:tcW w:w="487" w:type="pct"/>
            <w:tcBorders>
              <w:bottom w:val="single" w:sz="4" w:space="0" w:color="auto"/>
            </w:tcBorders>
            <w:shd w:val="clear" w:color="auto" w:fill="auto"/>
            <w:noWrap/>
            <w:vAlign w:val="center"/>
            <w:hideMark/>
          </w:tcPr>
          <w:p w14:paraId="069A818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5.556.991,43</w:t>
            </w:r>
          </w:p>
        </w:tc>
        <w:tc>
          <w:tcPr>
            <w:tcW w:w="337" w:type="pct"/>
            <w:tcBorders>
              <w:bottom w:val="single" w:sz="4" w:space="0" w:color="auto"/>
            </w:tcBorders>
            <w:shd w:val="clear" w:color="auto" w:fill="auto"/>
            <w:noWrap/>
            <w:vAlign w:val="center"/>
            <w:hideMark/>
          </w:tcPr>
          <w:p w14:paraId="706725B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399</w:t>
            </w:r>
          </w:p>
        </w:tc>
        <w:tc>
          <w:tcPr>
            <w:tcW w:w="393" w:type="pct"/>
            <w:tcBorders>
              <w:bottom w:val="single" w:sz="4" w:space="0" w:color="auto"/>
            </w:tcBorders>
            <w:shd w:val="clear" w:color="auto" w:fill="auto"/>
            <w:noWrap/>
            <w:vAlign w:val="center"/>
            <w:hideMark/>
          </w:tcPr>
          <w:p w14:paraId="401E3D3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13.938,94</w:t>
            </w:r>
          </w:p>
        </w:tc>
        <w:tc>
          <w:tcPr>
            <w:tcW w:w="471" w:type="pct"/>
            <w:tcBorders>
              <w:bottom w:val="single" w:sz="4" w:space="0" w:color="auto"/>
            </w:tcBorders>
            <w:vAlign w:val="center"/>
          </w:tcPr>
          <w:p w14:paraId="631E295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1.072,23</w:t>
            </w:r>
          </w:p>
        </w:tc>
      </w:tr>
      <w:tr w:rsidR="006356F1" w:rsidRPr="00C0505A" w14:paraId="15AEDE5F" w14:textId="77777777" w:rsidTr="00217400">
        <w:trPr>
          <w:trHeight w:val="227"/>
        </w:trPr>
        <w:tc>
          <w:tcPr>
            <w:tcW w:w="1722" w:type="pct"/>
            <w:tcBorders>
              <w:top w:val="single" w:sz="4" w:space="0" w:color="auto"/>
              <w:bottom w:val="nil"/>
            </w:tcBorders>
            <w:shd w:val="clear" w:color="auto" w:fill="auto"/>
            <w:noWrap/>
            <w:vAlign w:val="center"/>
            <w:hideMark/>
          </w:tcPr>
          <w:p w14:paraId="74F49F95"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PRODUTOS DE MADEIRA</w:t>
            </w:r>
          </w:p>
        </w:tc>
        <w:tc>
          <w:tcPr>
            <w:tcW w:w="531" w:type="pct"/>
            <w:tcBorders>
              <w:top w:val="single" w:sz="4" w:space="0" w:color="auto"/>
              <w:bottom w:val="nil"/>
            </w:tcBorders>
            <w:shd w:val="clear" w:color="auto" w:fill="auto"/>
            <w:noWrap/>
            <w:vAlign w:val="center"/>
            <w:hideMark/>
          </w:tcPr>
          <w:p w14:paraId="679AFB6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3.284.440,95</w:t>
            </w:r>
          </w:p>
        </w:tc>
        <w:tc>
          <w:tcPr>
            <w:tcW w:w="531" w:type="pct"/>
            <w:tcBorders>
              <w:top w:val="single" w:sz="4" w:space="0" w:color="auto"/>
              <w:bottom w:val="nil"/>
            </w:tcBorders>
            <w:shd w:val="clear" w:color="auto" w:fill="auto"/>
            <w:noWrap/>
            <w:vAlign w:val="center"/>
            <w:hideMark/>
          </w:tcPr>
          <w:p w14:paraId="3FAAB9F1"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13AC1624"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526.809,37</w:t>
            </w:r>
          </w:p>
        </w:tc>
        <w:tc>
          <w:tcPr>
            <w:tcW w:w="487" w:type="pct"/>
            <w:tcBorders>
              <w:top w:val="single" w:sz="4" w:space="0" w:color="auto"/>
              <w:bottom w:val="nil"/>
            </w:tcBorders>
            <w:shd w:val="clear" w:color="auto" w:fill="auto"/>
            <w:noWrap/>
            <w:vAlign w:val="center"/>
            <w:hideMark/>
          </w:tcPr>
          <w:p w14:paraId="4BDA1069"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2.757.631,58</w:t>
            </w:r>
          </w:p>
        </w:tc>
        <w:tc>
          <w:tcPr>
            <w:tcW w:w="337" w:type="pct"/>
            <w:tcBorders>
              <w:top w:val="single" w:sz="4" w:space="0" w:color="auto"/>
              <w:bottom w:val="nil"/>
            </w:tcBorders>
            <w:shd w:val="clear" w:color="auto" w:fill="auto"/>
            <w:noWrap/>
            <w:vAlign w:val="center"/>
            <w:hideMark/>
          </w:tcPr>
          <w:p w14:paraId="07B461D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152</w:t>
            </w:r>
          </w:p>
        </w:tc>
        <w:tc>
          <w:tcPr>
            <w:tcW w:w="393" w:type="pct"/>
            <w:tcBorders>
              <w:top w:val="single" w:sz="4" w:space="0" w:color="auto"/>
              <w:bottom w:val="nil"/>
            </w:tcBorders>
            <w:shd w:val="clear" w:color="auto" w:fill="auto"/>
            <w:noWrap/>
            <w:vAlign w:val="center"/>
            <w:hideMark/>
          </w:tcPr>
          <w:p w14:paraId="2E1B2D5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18.192,18</w:t>
            </w:r>
          </w:p>
        </w:tc>
        <w:tc>
          <w:tcPr>
            <w:tcW w:w="471" w:type="pct"/>
            <w:tcBorders>
              <w:top w:val="single" w:sz="4" w:space="0" w:color="auto"/>
              <w:bottom w:val="nil"/>
            </w:tcBorders>
            <w:vAlign w:val="center"/>
          </w:tcPr>
          <w:p w14:paraId="63A6EBBF"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1.399,40</w:t>
            </w:r>
          </w:p>
        </w:tc>
      </w:tr>
      <w:tr w:rsidR="006356F1" w:rsidRPr="00C0505A" w14:paraId="6C5A9822" w14:textId="77777777" w:rsidTr="00217400">
        <w:trPr>
          <w:trHeight w:val="227"/>
        </w:trPr>
        <w:tc>
          <w:tcPr>
            <w:tcW w:w="1722" w:type="pct"/>
            <w:tcBorders>
              <w:top w:val="nil"/>
            </w:tcBorders>
            <w:shd w:val="clear" w:color="auto" w:fill="auto"/>
            <w:noWrap/>
            <w:vAlign w:val="center"/>
            <w:hideMark/>
          </w:tcPr>
          <w:p w14:paraId="7095B02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artefatos de tanoaria e de embalagens de madeira</w:t>
            </w:r>
          </w:p>
        </w:tc>
        <w:tc>
          <w:tcPr>
            <w:tcW w:w="531" w:type="pct"/>
            <w:tcBorders>
              <w:top w:val="nil"/>
            </w:tcBorders>
            <w:shd w:val="clear" w:color="auto" w:fill="auto"/>
            <w:noWrap/>
            <w:vAlign w:val="center"/>
            <w:hideMark/>
          </w:tcPr>
          <w:p w14:paraId="39930F7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2.187.011,98</w:t>
            </w:r>
          </w:p>
        </w:tc>
        <w:tc>
          <w:tcPr>
            <w:tcW w:w="531" w:type="pct"/>
            <w:tcBorders>
              <w:top w:val="nil"/>
            </w:tcBorders>
            <w:shd w:val="clear" w:color="auto" w:fill="auto"/>
            <w:noWrap/>
            <w:vAlign w:val="center"/>
            <w:hideMark/>
          </w:tcPr>
          <w:p w14:paraId="59C4756F"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60DA082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325.128,52</w:t>
            </w:r>
          </w:p>
        </w:tc>
        <w:tc>
          <w:tcPr>
            <w:tcW w:w="487" w:type="pct"/>
            <w:tcBorders>
              <w:top w:val="nil"/>
            </w:tcBorders>
            <w:shd w:val="clear" w:color="auto" w:fill="auto"/>
            <w:noWrap/>
            <w:vAlign w:val="center"/>
            <w:hideMark/>
          </w:tcPr>
          <w:p w14:paraId="277892E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1.861.883,46</w:t>
            </w:r>
          </w:p>
        </w:tc>
        <w:tc>
          <w:tcPr>
            <w:tcW w:w="337" w:type="pct"/>
            <w:tcBorders>
              <w:top w:val="nil"/>
            </w:tcBorders>
            <w:shd w:val="clear" w:color="auto" w:fill="auto"/>
            <w:noWrap/>
            <w:vAlign w:val="center"/>
            <w:hideMark/>
          </w:tcPr>
          <w:p w14:paraId="57A922C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83</w:t>
            </w:r>
          </w:p>
        </w:tc>
        <w:tc>
          <w:tcPr>
            <w:tcW w:w="393" w:type="pct"/>
            <w:tcBorders>
              <w:top w:val="nil"/>
            </w:tcBorders>
            <w:shd w:val="clear" w:color="auto" w:fill="auto"/>
            <w:noWrap/>
            <w:vAlign w:val="center"/>
            <w:hideMark/>
          </w:tcPr>
          <w:p w14:paraId="0EA80B3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22.568,28</w:t>
            </w:r>
          </w:p>
        </w:tc>
        <w:tc>
          <w:tcPr>
            <w:tcW w:w="471" w:type="pct"/>
            <w:tcBorders>
              <w:top w:val="nil"/>
            </w:tcBorders>
            <w:vAlign w:val="center"/>
          </w:tcPr>
          <w:p w14:paraId="5FC38F3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1.736,02</w:t>
            </w:r>
          </w:p>
        </w:tc>
      </w:tr>
      <w:tr w:rsidR="006356F1" w:rsidRPr="00C0505A" w14:paraId="21213BA7" w14:textId="77777777" w:rsidTr="00217400">
        <w:trPr>
          <w:trHeight w:val="227"/>
        </w:trPr>
        <w:tc>
          <w:tcPr>
            <w:tcW w:w="1722" w:type="pct"/>
            <w:tcBorders>
              <w:bottom w:val="single" w:sz="4" w:space="0" w:color="auto"/>
            </w:tcBorders>
            <w:shd w:val="clear" w:color="auto" w:fill="auto"/>
            <w:noWrap/>
            <w:vAlign w:val="center"/>
            <w:hideMark/>
          </w:tcPr>
          <w:p w14:paraId="6A8B380D"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artefatos diversos de madeira, exceto móveis</w:t>
            </w:r>
          </w:p>
        </w:tc>
        <w:tc>
          <w:tcPr>
            <w:tcW w:w="531" w:type="pct"/>
            <w:tcBorders>
              <w:bottom w:val="single" w:sz="4" w:space="0" w:color="auto"/>
            </w:tcBorders>
            <w:shd w:val="clear" w:color="auto" w:fill="auto"/>
            <w:noWrap/>
            <w:vAlign w:val="center"/>
            <w:hideMark/>
          </w:tcPr>
          <w:p w14:paraId="79F2338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1.097.428,97</w:t>
            </w:r>
          </w:p>
        </w:tc>
        <w:tc>
          <w:tcPr>
            <w:tcW w:w="531" w:type="pct"/>
            <w:tcBorders>
              <w:bottom w:val="single" w:sz="4" w:space="0" w:color="auto"/>
            </w:tcBorders>
            <w:shd w:val="clear" w:color="auto" w:fill="auto"/>
            <w:noWrap/>
            <w:vAlign w:val="center"/>
            <w:hideMark/>
          </w:tcPr>
          <w:p w14:paraId="5BB0601E"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18644C3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201.680,85</w:t>
            </w:r>
          </w:p>
        </w:tc>
        <w:tc>
          <w:tcPr>
            <w:tcW w:w="487" w:type="pct"/>
            <w:tcBorders>
              <w:bottom w:val="single" w:sz="4" w:space="0" w:color="auto"/>
            </w:tcBorders>
            <w:shd w:val="clear" w:color="auto" w:fill="auto"/>
            <w:noWrap/>
            <w:vAlign w:val="center"/>
            <w:hideMark/>
          </w:tcPr>
          <w:p w14:paraId="5ACCDAB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895.748,12</w:t>
            </w:r>
          </w:p>
        </w:tc>
        <w:tc>
          <w:tcPr>
            <w:tcW w:w="337" w:type="pct"/>
            <w:tcBorders>
              <w:bottom w:val="single" w:sz="4" w:space="0" w:color="auto"/>
            </w:tcBorders>
            <w:shd w:val="clear" w:color="auto" w:fill="auto"/>
            <w:noWrap/>
            <w:vAlign w:val="center"/>
            <w:hideMark/>
          </w:tcPr>
          <w:p w14:paraId="7FEF2DD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69</w:t>
            </w:r>
          </w:p>
        </w:tc>
        <w:tc>
          <w:tcPr>
            <w:tcW w:w="393" w:type="pct"/>
            <w:tcBorders>
              <w:bottom w:val="single" w:sz="4" w:space="0" w:color="auto"/>
            </w:tcBorders>
            <w:shd w:val="clear" w:color="auto" w:fill="auto"/>
            <w:noWrap/>
            <w:vAlign w:val="center"/>
            <w:hideMark/>
          </w:tcPr>
          <w:p w14:paraId="15BE740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12.966,20</w:t>
            </w:r>
          </w:p>
        </w:tc>
        <w:tc>
          <w:tcPr>
            <w:tcW w:w="471" w:type="pct"/>
            <w:tcBorders>
              <w:bottom w:val="single" w:sz="4" w:space="0" w:color="auto"/>
            </w:tcBorders>
            <w:vAlign w:val="center"/>
          </w:tcPr>
          <w:p w14:paraId="467567F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997,40</w:t>
            </w:r>
          </w:p>
        </w:tc>
      </w:tr>
      <w:tr w:rsidR="006356F1" w:rsidRPr="00C0505A" w14:paraId="0C3ECDDF" w14:textId="77777777" w:rsidTr="00217400">
        <w:trPr>
          <w:trHeight w:val="227"/>
        </w:trPr>
        <w:tc>
          <w:tcPr>
            <w:tcW w:w="1722" w:type="pct"/>
            <w:tcBorders>
              <w:top w:val="single" w:sz="4" w:space="0" w:color="auto"/>
              <w:bottom w:val="nil"/>
            </w:tcBorders>
            <w:shd w:val="clear" w:color="auto" w:fill="auto"/>
            <w:noWrap/>
            <w:vAlign w:val="center"/>
            <w:hideMark/>
          </w:tcPr>
          <w:p w14:paraId="12FA4ADD"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PRODUTOS DE METAL, EXCETO MÁQUINAS E EQUIPAMENTOS</w:t>
            </w:r>
          </w:p>
        </w:tc>
        <w:tc>
          <w:tcPr>
            <w:tcW w:w="531" w:type="pct"/>
            <w:tcBorders>
              <w:top w:val="single" w:sz="4" w:space="0" w:color="auto"/>
              <w:bottom w:val="nil"/>
            </w:tcBorders>
            <w:shd w:val="clear" w:color="auto" w:fill="auto"/>
            <w:noWrap/>
            <w:vAlign w:val="center"/>
            <w:hideMark/>
          </w:tcPr>
          <w:p w14:paraId="2716C7EB"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68.821.724,07</w:t>
            </w:r>
          </w:p>
        </w:tc>
        <w:tc>
          <w:tcPr>
            <w:tcW w:w="531" w:type="pct"/>
            <w:tcBorders>
              <w:top w:val="single" w:sz="4" w:space="0" w:color="auto"/>
              <w:bottom w:val="nil"/>
            </w:tcBorders>
            <w:shd w:val="clear" w:color="auto" w:fill="auto"/>
            <w:noWrap/>
            <w:vAlign w:val="center"/>
            <w:hideMark/>
          </w:tcPr>
          <w:p w14:paraId="30004EB9"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4.986.536,06</w:t>
            </w:r>
          </w:p>
        </w:tc>
        <w:tc>
          <w:tcPr>
            <w:tcW w:w="529" w:type="pct"/>
            <w:tcBorders>
              <w:top w:val="single" w:sz="4" w:space="0" w:color="auto"/>
              <w:bottom w:val="nil"/>
            </w:tcBorders>
            <w:shd w:val="clear" w:color="auto" w:fill="auto"/>
            <w:noWrap/>
            <w:vAlign w:val="center"/>
            <w:hideMark/>
          </w:tcPr>
          <w:p w14:paraId="16D8EC9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13.533.866,12</w:t>
            </w:r>
          </w:p>
        </w:tc>
        <w:tc>
          <w:tcPr>
            <w:tcW w:w="487" w:type="pct"/>
            <w:tcBorders>
              <w:top w:val="single" w:sz="4" w:space="0" w:color="auto"/>
              <w:bottom w:val="nil"/>
            </w:tcBorders>
            <w:shd w:val="clear" w:color="auto" w:fill="auto"/>
            <w:noWrap/>
            <w:vAlign w:val="center"/>
            <w:hideMark/>
          </w:tcPr>
          <w:p w14:paraId="1AF85CF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60.274.394,01</w:t>
            </w:r>
          </w:p>
        </w:tc>
        <w:tc>
          <w:tcPr>
            <w:tcW w:w="337" w:type="pct"/>
            <w:tcBorders>
              <w:top w:val="single" w:sz="4" w:space="0" w:color="auto"/>
              <w:bottom w:val="nil"/>
            </w:tcBorders>
            <w:shd w:val="clear" w:color="auto" w:fill="auto"/>
            <w:noWrap/>
            <w:vAlign w:val="center"/>
            <w:hideMark/>
          </w:tcPr>
          <w:p w14:paraId="4512D428"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2.501</w:t>
            </w:r>
          </w:p>
        </w:tc>
        <w:tc>
          <w:tcPr>
            <w:tcW w:w="393" w:type="pct"/>
            <w:tcBorders>
              <w:top w:val="single" w:sz="4" w:space="0" w:color="auto"/>
              <w:bottom w:val="nil"/>
            </w:tcBorders>
            <w:shd w:val="clear" w:color="auto" w:fill="auto"/>
            <w:noWrap/>
            <w:vAlign w:val="center"/>
            <w:hideMark/>
          </w:tcPr>
          <w:p w14:paraId="7E61E25C"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24.100,12</w:t>
            </w:r>
          </w:p>
        </w:tc>
        <w:tc>
          <w:tcPr>
            <w:tcW w:w="471" w:type="pct"/>
            <w:tcBorders>
              <w:top w:val="single" w:sz="4" w:space="0" w:color="auto"/>
              <w:bottom w:val="nil"/>
            </w:tcBorders>
            <w:vAlign w:val="center"/>
          </w:tcPr>
          <w:p w14:paraId="0C35EFD7"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1.853,86</w:t>
            </w:r>
          </w:p>
        </w:tc>
      </w:tr>
      <w:tr w:rsidR="006356F1" w:rsidRPr="00C0505A" w14:paraId="4A37CC6A" w14:textId="77777777" w:rsidTr="00217400">
        <w:trPr>
          <w:trHeight w:val="227"/>
        </w:trPr>
        <w:tc>
          <w:tcPr>
            <w:tcW w:w="1722" w:type="pct"/>
            <w:tcBorders>
              <w:top w:val="nil"/>
            </w:tcBorders>
            <w:shd w:val="clear" w:color="auto" w:fill="auto"/>
            <w:noWrap/>
            <w:vAlign w:val="center"/>
            <w:hideMark/>
          </w:tcPr>
          <w:p w14:paraId="606C916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artigos de serralheria, exceto esquadrias</w:t>
            </w:r>
          </w:p>
        </w:tc>
        <w:tc>
          <w:tcPr>
            <w:tcW w:w="531" w:type="pct"/>
            <w:tcBorders>
              <w:top w:val="nil"/>
            </w:tcBorders>
            <w:shd w:val="clear" w:color="auto" w:fill="auto"/>
            <w:noWrap/>
            <w:vAlign w:val="center"/>
            <w:hideMark/>
          </w:tcPr>
          <w:p w14:paraId="4013928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2.373.748,28</w:t>
            </w:r>
          </w:p>
        </w:tc>
        <w:tc>
          <w:tcPr>
            <w:tcW w:w="531" w:type="pct"/>
            <w:tcBorders>
              <w:top w:val="nil"/>
            </w:tcBorders>
            <w:shd w:val="clear" w:color="auto" w:fill="auto"/>
            <w:noWrap/>
            <w:vAlign w:val="center"/>
            <w:hideMark/>
          </w:tcPr>
          <w:p w14:paraId="49EA45E0"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3B87789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648.620,42</w:t>
            </w:r>
          </w:p>
        </w:tc>
        <w:tc>
          <w:tcPr>
            <w:tcW w:w="487" w:type="pct"/>
            <w:tcBorders>
              <w:top w:val="nil"/>
            </w:tcBorders>
            <w:shd w:val="clear" w:color="auto" w:fill="auto"/>
            <w:noWrap/>
            <w:vAlign w:val="center"/>
            <w:hideMark/>
          </w:tcPr>
          <w:p w14:paraId="572B21D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1.725.127,86</w:t>
            </w:r>
          </w:p>
        </w:tc>
        <w:tc>
          <w:tcPr>
            <w:tcW w:w="337" w:type="pct"/>
            <w:tcBorders>
              <w:top w:val="nil"/>
            </w:tcBorders>
            <w:shd w:val="clear" w:color="auto" w:fill="auto"/>
            <w:noWrap/>
            <w:vAlign w:val="center"/>
            <w:hideMark/>
          </w:tcPr>
          <w:p w14:paraId="2CBED44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w:t>
            </w:r>
          </w:p>
        </w:tc>
        <w:tc>
          <w:tcPr>
            <w:tcW w:w="393" w:type="pct"/>
            <w:tcBorders>
              <w:top w:val="nil"/>
            </w:tcBorders>
            <w:shd w:val="clear" w:color="auto" w:fill="auto"/>
            <w:noWrap/>
            <w:vAlign w:val="center"/>
            <w:hideMark/>
          </w:tcPr>
          <w:p w14:paraId="2FE396F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35.387,24</w:t>
            </w:r>
          </w:p>
        </w:tc>
        <w:tc>
          <w:tcPr>
            <w:tcW w:w="471" w:type="pct"/>
            <w:tcBorders>
              <w:top w:val="nil"/>
            </w:tcBorders>
            <w:vAlign w:val="center"/>
          </w:tcPr>
          <w:p w14:paraId="492276E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2.722,10</w:t>
            </w:r>
          </w:p>
        </w:tc>
      </w:tr>
      <w:tr w:rsidR="006356F1" w:rsidRPr="00C0505A" w14:paraId="5DD7FFB6" w14:textId="77777777" w:rsidTr="00217400">
        <w:trPr>
          <w:trHeight w:val="227"/>
        </w:trPr>
        <w:tc>
          <w:tcPr>
            <w:tcW w:w="1722" w:type="pct"/>
            <w:shd w:val="clear" w:color="auto" w:fill="auto"/>
            <w:noWrap/>
            <w:vAlign w:val="center"/>
            <w:hideMark/>
          </w:tcPr>
          <w:p w14:paraId="59A9D23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embalagens metálicas</w:t>
            </w:r>
          </w:p>
        </w:tc>
        <w:tc>
          <w:tcPr>
            <w:tcW w:w="531" w:type="pct"/>
            <w:shd w:val="clear" w:color="auto" w:fill="auto"/>
            <w:noWrap/>
            <w:vAlign w:val="center"/>
            <w:hideMark/>
          </w:tcPr>
          <w:p w14:paraId="62F1EA9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23.291.415,81</w:t>
            </w:r>
          </w:p>
        </w:tc>
        <w:tc>
          <w:tcPr>
            <w:tcW w:w="531" w:type="pct"/>
            <w:shd w:val="clear" w:color="auto" w:fill="auto"/>
            <w:noWrap/>
            <w:vAlign w:val="center"/>
            <w:hideMark/>
          </w:tcPr>
          <w:p w14:paraId="75C234B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4.637.036,96</w:t>
            </w:r>
          </w:p>
        </w:tc>
        <w:tc>
          <w:tcPr>
            <w:tcW w:w="529" w:type="pct"/>
            <w:shd w:val="clear" w:color="auto" w:fill="auto"/>
            <w:noWrap/>
            <w:vAlign w:val="center"/>
            <w:hideMark/>
          </w:tcPr>
          <w:p w14:paraId="366D4CB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3.566.264,04</w:t>
            </w:r>
          </w:p>
        </w:tc>
        <w:tc>
          <w:tcPr>
            <w:tcW w:w="487" w:type="pct"/>
            <w:shd w:val="clear" w:color="auto" w:fill="auto"/>
            <w:noWrap/>
            <w:vAlign w:val="center"/>
            <w:hideMark/>
          </w:tcPr>
          <w:p w14:paraId="1A24C24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24.362.188,73</w:t>
            </w:r>
          </w:p>
        </w:tc>
        <w:tc>
          <w:tcPr>
            <w:tcW w:w="337" w:type="pct"/>
            <w:shd w:val="clear" w:color="auto" w:fill="auto"/>
            <w:noWrap/>
            <w:vAlign w:val="center"/>
            <w:hideMark/>
          </w:tcPr>
          <w:p w14:paraId="0F3CECD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696</w:t>
            </w:r>
          </w:p>
        </w:tc>
        <w:tc>
          <w:tcPr>
            <w:tcW w:w="393" w:type="pct"/>
            <w:shd w:val="clear" w:color="auto" w:fill="auto"/>
            <w:noWrap/>
            <w:vAlign w:val="center"/>
            <w:hideMark/>
          </w:tcPr>
          <w:p w14:paraId="2F55C00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35.015,72</w:t>
            </w:r>
          </w:p>
        </w:tc>
        <w:tc>
          <w:tcPr>
            <w:tcW w:w="471" w:type="pct"/>
            <w:vAlign w:val="center"/>
          </w:tcPr>
          <w:p w14:paraId="07B5A06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2.693,52</w:t>
            </w:r>
          </w:p>
        </w:tc>
      </w:tr>
      <w:tr w:rsidR="006356F1" w:rsidRPr="00C0505A" w14:paraId="542DC49A" w14:textId="77777777" w:rsidTr="00217400">
        <w:trPr>
          <w:trHeight w:val="227"/>
        </w:trPr>
        <w:tc>
          <w:tcPr>
            <w:tcW w:w="1722" w:type="pct"/>
            <w:shd w:val="clear" w:color="auto" w:fill="auto"/>
            <w:noWrap/>
            <w:vAlign w:val="center"/>
            <w:hideMark/>
          </w:tcPr>
          <w:p w14:paraId="4279D6F6"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esquadrias de metal</w:t>
            </w:r>
          </w:p>
        </w:tc>
        <w:tc>
          <w:tcPr>
            <w:tcW w:w="531" w:type="pct"/>
            <w:shd w:val="clear" w:color="auto" w:fill="auto"/>
            <w:noWrap/>
            <w:vAlign w:val="center"/>
            <w:hideMark/>
          </w:tcPr>
          <w:p w14:paraId="5738802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2.606.134,34</w:t>
            </w:r>
          </w:p>
        </w:tc>
        <w:tc>
          <w:tcPr>
            <w:tcW w:w="531" w:type="pct"/>
            <w:shd w:val="clear" w:color="auto" w:fill="auto"/>
            <w:noWrap/>
            <w:vAlign w:val="center"/>
            <w:hideMark/>
          </w:tcPr>
          <w:p w14:paraId="2D98F10C"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F64188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338.724,28</w:t>
            </w:r>
          </w:p>
        </w:tc>
        <w:tc>
          <w:tcPr>
            <w:tcW w:w="487" w:type="pct"/>
            <w:shd w:val="clear" w:color="auto" w:fill="auto"/>
            <w:noWrap/>
            <w:vAlign w:val="center"/>
            <w:hideMark/>
          </w:tcPr>
          <w:p w14:paraId="1E0DAB3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2.267.410,06</w:t>
            </w:r>
          </w:p>
        </w:tc>
        <w:tc>
          <w:tcPr>
            <w:tcW w:w="337" w:type="pct"/>
            <w:shd w:val="clear" w:color="auto" w:fill="auto"/>
            <w:noWrap/>
            <w:vAlign w:val="center"/>
            <w:hideMark/>
          </w:tcPr>
          <w:p w14:paraId="0D6F25D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306</w:t>
            </w:r>
          </w:p>
        </w:tc>
        <w:tc>
          <w:tcPr>
            <w:tcW w:w="393" w:type="pct"/>
            <w:shd w:val="clear" w:color="auto" w:fill="auto"/>
            <w:noWrap/>
            <w:vAlign w:val="center"/>
            <w:hideMark/>
          </w:tcPr>
          <w:p w14:paraId="7C0B8B6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7.417,92</w:t>
            </w:r>
          </w:p>
        </w:tc>
        <w:tc>
          <w:tcPr>
            <w:tcW w:w="471" w:type="pct"/>
            <w:vAlign w:val="center"/>
          </w:tcPr>
          <w:p w14:paraId="61F020F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570,61</w:t>
            </w:r>
          </w:p>
        </w:tc>
      </w:tr>
      <w:tr w:rsidR="006356F1" w:rsidRPr="00C0505A" w14:paraId="24AF47CF" w14:textId="77777777" w:rsidTr="00217400">
        <w:trPr>
          <w:trHeight w:val="227"/>
        </w:trPr>
        <w:tc>
          <w:tcPr>
            <w:tcW w:w="1722" w:type="pct"/>
            <w:shd w:val="clear" w:color="auto" w:fill="auto"/>
            <w:noWrap/>
            <w:vAlign w:val="center"/>
            <w:hideMark/>
          </w:tcPr>
          <w:p w14:paraId="7ADC211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estruturas metálicas</w:t>
            </w:r>
          </w:p>
        </w:tc>
        <w:tc>
          <w:tcPr>
            <w:tcW w:w="531" w:type="pct"/>
            <w:shd w:val="clear" w:color="auto" w:fill="auto"/>
            <w:noWrap/>
            <w:vAlign w:val="center"/>
            <w:hideMark/>
          </w:tcPr>
          <w:p w14:paraId="69EF0ED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1.669.802,37</w:t>
            </w:r>
          </w:p>
        </w:tc>
        <w:tc>
          <w:tcPr>
            <w:tcW w:w="531" w:type="pct"/>
            <w:shd w:val="clear" w:color="auto" w:fill="auto"/>
            <w:noWrap/>
            <w:vAlign w:val="center"/>
            <w:hideMark/>
          </w:tcPr>
          <w:p w14:paraId="1319BFC1"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DDDFA9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226.880,83</w:t>
            </w:r>
          </w:p>
        </w:tc>
        <w:tc>
          <w:tcPr>
            <w:tcW w:w="487" w:type="pct"/>
            <w:shd w:val="clear" w:color="auto" w:fill="auto"/>
            <w:noWrap/>
            <w:vAlign w:val="center"/>
            <w:hideMark/>
          </w:tcPr>
          <w:p w14:paraId="27E29A5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1.442.921,54</w:t>
            </w:r>
          </w:p>
        </w:tc>
        <w:tc>
          <w:tcPr>
            <w:tcW w:w="337" w:type="pct"/>
            <w:shd w:val="clear" w:color="auto" w:fill="auto"/>
            <w:noWrap/>
            <w:vAlign w:val="center"/>
            <w:hideMark/>
          </w:tcPr>
          <w:p w14:paraId="3B48CE2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105</w:t>
            </w:r>
          </w:p>
        </w:tc>
        <w:tc>
          <w:tcPr>
            <w:tcW w:w="393" w:type="pct"/>
            <w:shd w:val="clear" w:color="auto" w:fill="auto"/>
            <w:noWrap/>
            <w:vAlign w:val="center"/>
            <w:hideMark/>
          </w:tcPr>
          <w:p w14:paraId="7318BAD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13.742,11</w:t>
            </w:r>
          </w:p>
        </w:tc>
        <w:tc>
          <w:tcPr>
            <w:tcW w:w="471" w:type="pct"/>
            <w:vAlign w:val="center"/>
          </w:tcPr>
          <w:p w14:paraId="16C5287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1.057,09</w:t>
            </w:r>
          </w:p>
        </w:tc>
      </w:tr>
      <w:tr w:rsidR="006356F1" w:rsidRPr="00C0505A" w14:paraId="0D800B1E" w14:textId="77777777" w:rsidTr="00217400">
        <w:trPr>
          <w:trHeight w:val="227"/>
        </w:trPr>
        <w:tc>
          <w:tcPr>
            <w:tcW w:w="1722" w:type="pct"/>
            <w:shd w:val="clear" w:color="auto" w:fill="auto"/>
            <w:noWrap/>
            <w:vAlign w:val="center"/>
            <w:hideMark/>
          </w:tcPr>
          <w:p w14:paraId="7362A876"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Fabricação de outros produtos de metal não especificados anteriormente</w:t>
            </w:r>
          </w:p>
        </w:tc>
        <w:tc>
          <w:tcPr>
            <w:tcW w:w="531" w:type="pct"/>
            <w:shd w:val="clear" w:color="auto" w:fill="auto"/>
            <w:noWrap/>
            <w:vAlign w:val="center"/>
            <w:hideMark/>
          </w:tcPr>
          <w:p w14:paraId="2AE5B60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34.091.862,59</w:t>
            </w:r>
          </w:p>
        </w:tc>
        <w:tc>
          <w:tcPr>
            <w:tcW w:w="531" w:type="pct"/>
            <w:shd w:val="clear" w:color="auto" w:fill="auto"/>
            <w:noWrap/>
            <w:vAlign w:val="center"/>
            <w:hideMark/>
          </w:tcPr>
          <w:p w14:paraId="4984C119"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04F0A96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6.816.644,88</w:t>
            </w:r>
          </w:p>
        </w:tc>
        <w:tc>
          <w:tcPr>
            <w:tcW w:w="487" w:type="pct"/>
            <w:shd w:val="clear" w:color="auto" w:fill="auto"/>
            <w:noWrap/>
            <w:vAlign w:val="center"/>
            <w:hideMark/>
          </w:tcPr>
          <w:p w14:paraId="1F9FE60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27.275.217,71</w:t>
            </w:r>
          </w:p>
        </w:tc>
        <w:tc>
          <w:tcPr>
            <w:tcW w:w="337" w:type="pct"/>
            <w:shd w:val="clear" w:color="auto" w:fill="auto"/>
            <w:noWrap/>
            <w:vAlign w:val="center"/>
            <w:hideMark/>
          </w:tcPr>
          <w:p w14:paraId="54478B6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731</w:t>
            </w:r>
          </w:p>
        </w:tc>
        <w:tc>
          <w:tcPr>
            <w:tcW w:w="393" w:type="pct"/>
            <w:shd w:val="clear" w:color="auto" w:fill="auto"/>
            <w:noWrap/>
            <w:vAlign w:val="center"/>
            <w:hideMark/>
          </w:tcPr>
          <w:p w14:paraId="57BCD75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37.312,20</w:t>
            </w:r>
          </w:p>
        </w:tc>
        <w:tc>
          <w:tcPr>
            <w:tcW w:w="471" w:type="pct"/>
            <w:vAlign w:val="center"/>
          </w:tcPr>
          <w:p w14:paraId="029E49C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2.870,17</w:t>
            </w:r>
          </w:p>
        </w:tc>
      </w:tr>
      <w:tr w:rsidR="006356F1" w:rsidRPr="00C0505A" w14:paraId="620A8807" w14:textId="77777777" w:rsidTr="00217400">
        <w:trPr>
          <w:trHeight w:val="227"/>
        </w:trPr>
        <w:tc>
          <w:tcPr>
            <w:tcW w:w="1722" w:type="pct"/>
            <w:shd w:val="clear" w:color="auto" w:fill="auto"/>
            <w:noWrap/>
            <w:vAlign w:val="center"/>
            <w:hideMark/>
          </w:tcPr>
          <w:p w14:paraId="0437328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produtos de trefiladosexceto ál de metal padronizados</w:t>
            </w:r>
          </w:p>
        </w:tc>
        <w:tc>
          <w:tcPr>
            <w:tcW w:w="531" w:type="pct"/>
            <w:shd w:val="clear" w:color="auto" w:fill="auto"/>
            <w:noWrap/>
            <w:vAlign w:val="center"/>
            <w:hideMark/>
          </w:tcPr>
          <w:p w14:paraId="5499369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84.412,54</w:t>
            </w:r>
          </w:p>
        </w:tc>
        <w:tc>
          <w:tcPr>
            <w:tcW w:w="531" w:type="pct"/>
            <w:shd w:val="clear" w:color="auto" w:fill="auto"/>
            <w:noWrap/>
            <w:vAlign w:val="center"/>
            <w:hideMark/>
          </w:tcPr>
          <w:p w14:paraId="14D0DDE9"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2BDDE1F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105.297,40</w:t>
            </w:r>
          </w:p>
        </w:tc>
        <w:tc>
          <w:tcPr>
            <w:tcW w:w="487" w:type="pct"/>
            <w:shd w:val="clear" w:color="auto" w:fill="auto"/>
            <w:noWrap/>
            <w:vAlign w:val="center"/>
            <w:hideMark/>
          </w:tcPr>
          <w:p w14:paraId="7A320AD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37" w:type="pct"/>
            <w:shd w:val="clear" w:color="auto" w:fill="auto"/>
            <w:noWrap/>
            <w:vAlign w:val="center"/>
            <w:hideMark/>
          </w:tcPr>
          <w:p w14:paraId="6CD75CC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w:t>
            </w:r>
          </w:p>
        </w:tc>
        <w:tc>
          <w:tcPr>
            <w:tcW w:w="393" w:type="pct"/>
            <w:shd w:val="clear" w:color="auto" w:fill="auto"/>
            <w:noWrap/>
            <w:vAlign w:val="center"/>
            <w:hideMark/>
          </w:tcPr>
          <w:p w14:paraId="1D0E593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vAlign w:val="center"/>
          </w:tcPr>
          <w:p w14:paraId="4A816B9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r>
      <w:tr w:rsidR="006356F1" w:rsidRPr="00C0505A" w14:paraId="0D7EB2E0" w14:textId="77777777" w:rsidTr="00217400">
        <w:trPr>
          <w:trHeight w:val="227"/>
        </w:trPr>
        <w:tc>
          <w:tcPr>
            <w:tcW w:w="1722" w:type="pct"/>
            <w:shd w:val="clear" w:color="auto" w:fill="auto"/>
            <w:noWrap/>
            <w:vAlign w:val="center"/>
            <w:hideMark/>
          </w:tcPr>
          <w:p w14:paraId="4911698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produtos de trefilados de metal, exceto padronizados</w:t>
            </w:r>
          </w:p>
        </w:tc>
        <w:tc>
          <w:tcPr>
            <w:tcW w:w="531" w:type="pct"/>
            <w:shd w:val="clear" w:color="auto" w:fill="auto"/>
            <w:noWrap/>
            <w:vAlign w:val="center"/>
            <w:hideMark/>
          </w:tcPr>
          <w:p w14:paraId="3C09687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1.974.820,09</w:t>
            </w:r>
          </w:p>
        </w:tc>
        <w:tc>
          <w:tcPr>
            <w:tcW w:w="531" w:type="pct"/>
            <w:shd w:val="clear" w:color="auto" w:fill="auto"/>
            <w:noWrap/>
            <w:vAlign w:val="center"/>
            <w:hideMark/>
          </w:tcPr>
          <w:p w14:paraId="4FF92E3D"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256FBCE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651.625,20</w:t>
            </w:r>
          </w:p>
        </w:tc>
        <w:tc>
          <w:tcPr>
            <w:tcW w:w="487" w:type="pct"/>
            <w:shd w:val="clear" w:color="auto" w:fill="auto"/>
            <w:noWrap/>
            <w:vAlign w:val="center"/>
            <w:hideMark/>
          </w:tcPr>
          <w:p w14:paraId="4AAF464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1.323.194,89</w:t>
            </w:r>
          </w:p>
        </w:tc>
        <w:tc>
          <w:tcPr>
            <w:tcW w:w="337" w:type="pct"/>
            <w:shd w:val="clear" w:color="auto" w:fill="auto"/>
            <w:noWrap/>
            <w:vAlign w:val="center"/>
            <w:hideMark/>
          </w:tcPr>
          <w:p w14:paraId="412819D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392</w:t>
            </w:r>
          </w:p>
        </w:tc>
        <w:tc>
          <w:tcPr>
            <w:tcW w:w="393" w:type="pct"/>
            <w:shd w:val="clear" w:color="auto" w:fill="auto"/>
            <w:noWrap/>
            <w:vAlign w:val="center"/>
            <w:hideMark/>
          </w:tcPr>
          <w:p w14:paraId="3A7507B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3.376,21</w:t>
            </w:r>
          </w:p>
        </w:tc>
        <w:tc>
          <w:tcPr>
            <w:tcW w:w="471" w:type="pct"/>
            <w:vAlign w:val="center"/>
          </w:tcPr>
          <w:p w14:paraId="36B65F9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259,71</w:t>
            </w:r>
          </w:p>
        </w:tc>
      </w:tr>
      <w:tr w:rsidR="006356F1" w:rsidRPr="00C0505A" w14:paraId="137C3A23" w14:textId="77777777" w:rsidTr="00217400">
        <w:trPr>
          <w:trHeight w:val="227"/>
        </w:trPr>
        <w:tc>
          <w:tcPr>
            <w:tcW w:w="1722" w:type="pct"/>
            <w:shd w:val="clear" w:color="auto" w:fill="auto"/>
            <w:noWrap/>
            <w:vAlign w:val="center"/>
            <w:hideMark/>
          </w:tcPr>
          <w:p w14:paraId="50A0EEA0"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tanques, reservatórios metálicos e caldeiras para aquecimento central</w:t>
            </w:r>
          </w:p>
        </w:tc>
        <w:tc>
          <w:tcPr>
            <w:tcW w:w="531" w:type="pct"/>
            <w:shd w:val="clear" w:color="auto" w:fill="auto"/>
            <w:noWrap/>
            <w:vAlign w:val="center"/>
            <w:hideMark/>
          </w:tcPr>
          <w:p w14:paraId="48EF534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354.848,66</w:t>
            </w:r>
          </w:p>
        </w:tc>
        <w:tc>
          <w:tcPr>
            <w:tcW w:w="531" w:type="pct"/>
            <w:shd w:val="clear" w:color="auto" w:fill="auto"/>
            <w:noWrap/>
            <w:vAlign w:val="center"/>
            <w:hideMark/>
          </w:tcPr>
          <w:p w14:paraId="2059CA5E"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2FB5454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342.496,56</w:t>
            </w:r>
          </w:p>
        </w:tc>
        <w:tc>
          <w:tcPr>
            <w:tcW w:w="487" w:type="pct"/>
            <w:shd w:val="clear" w:color="auto" w:fill="auto"/>
            <w:noWrap/>
            <w:vAlign w:val="center"/>
            <w:hideMark/>
          </w:tcPr>
          <w:p w14:paraId="582E7E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12.352,10</w:t>
            </w:r>
          </w:p>
        </w:tc>
        <w:tc>
          <w:tcPr>
            <w:tcW w:w="337" w:type="pct"/>
            <w:shd w:val="clear" w:color="auto" w:fill="auto"/>
            <w:noWrap/>
            <w:vAlign w:val="center"/>
            <w:hideMark/>
          </w:tcPr>
          <w:p w14:paraId="0ABA641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54</w:t>
            </w:r>
          </w:p>
        </w:tc>
        <w:tc>
          <w:tcPr>
            <w:tcW w:w="393" w:type="pct"/>
            <w:shd w:val="clear" w:color="auto" w:fill="auto"/>
            <w:noWrap/>
            <w:vAlign w:val="center"/>
            <w:hideMark/>
          </w:tcPr>
          <w:p w14:paraId="2B9F3B1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227,69</w:t>
            </w:r>
          </w:p>
        </w:tc>
        <w:tc>
          <w:tcPr>
            <w:tcW w:w="471" w:type="pct"/>
            <w:vAlign w:val="center"/>
          </w:tcPr>
          <w:p w14:paraId="16AA048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17,51</w:t>
            </w:r>
          </w:p>
        </w:tc>
      </w:tr>
      <w:tr w:rsidR="006356F1" w:rsidRPr="00C0505A" w14:paraId="4908E35F" w14:textId="77777777" w:rsidTr="00217400">
        <w:trPr>
          <w:trHeight w:val="227"/>
        </w:trPr>
        <w:tc>
          <w:tcPr>
            <w:tcW w:w="1722" w:type="pct"/>
            <w:shd w:val="clear" w:color="auto" w:fill="auto"/>
            <w:noWrap/>
            <w:vAlign w:val="center"/>
            <w:hideMark/>
          </w:tcPr>
          <w:p w14:paraId="1FCEFFB2"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Produção de artefatos estampados de metal</w:t>
            </w:r>
          </w:p>
        </w:tc>
        <w:tc>
          <w:tcPr>
            <w:tcW w:w="531" w:type="pct"/>
            <w:shd w:val="clear" w:color="auto" w:fill="auto"/>
            <w:noWrap/>
            <w:vAlign w:val="center"/>
            <w:hideMark/>
          </w:tcPr>
          <w:p w14:paraId="6334253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2.278.882,85</w:t>
            </w:r>
          </w:p>
        </w:tc>
        <w:tc>
          <w:tcPr>
            <w:tcW w:w="531" w:type="pct"/>
            <w:shd w:val="clear" w:color="auto" w:fill="auto"/>
            <w:noWrap/>
            <w:vAlign w:val="center"/>
            <w:hideMark/>
          </w:tcPr>
          <w:p w14:paraId="628532E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349.499,10</w:t>
            </w:r>
          </w:p>
        </w:tc>
        <w:tc>
          <w:tcPr>
            <w:tcW w:w="529" w:type="pct"/>
            <w:shd w:val="clear" w:color="auto" w:fill="auto"/>
            <w:noWrap/>
            <w:vAlign w:val="center"/>
            <w:hideMark/>
          </w:tcPr>
          <w:p w14:paraId="2AFECC6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532.110,39</w:t>
            </w:r>
          </w:p>
        </w:tc>
        <w:tc>
          <w:tcPr>
            <w:tcW w:w="487" w:type="pct"/>
            <w:shd w:val="clear" w:color="auto" w:fill="auto"/>
            <w:noWrap/>
            <w:vAlign w:val="center"/>
            <w:hideMark/>
          </w:tcPr>
          <w:p w14:paraId="0BF3F7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2.096.271,56</w:t>
            </w:r>
          </w:p>
        </w:tc>
        <w:tc>
          <w:tcPr>
            <w:tcW w:w="337" w:type="pct"/>
            <w:shd w:val="clear" w:color="auto" w:fill="auto"/>
            <w:noWrap/>
            <w:vAlign w:val="center"/>
            <w:hideMark/>
          </w:tcPr>
          <w:p w14:paraId="296D23F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w:t>
            </w:r>
          </w:p>
        </w:tc>
        <w:tc>
          <w:tcPr>
            <w:tcW w:w="393" w:type="pct"/>
            <w:shd w:val="clear" w:color="auto" w:fill="auto"/>
            <w:noWrap/>
            <w:vAlign w:val="center"/>
            <w:hideMark/>
          </w:tcPr>
          <w:p w14:paraId="5B0A37C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19.667,91</w:t>
            </w:r>
          </w:p>
        </w:tc>
        <w:tc>
          <w:tcPr>
            <w:tcW w:w="471" w:type="pct"/>
            <w:vAlign w:val="center"/>
          </w:tcPr>
          <w:p w14:paraId="320A1D0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1.512,92</w:t>
            </w:r>
          </w:p>
        </w:tc>
      </w:tr>
      <w:tr w:rsidR="006356F1" w:rsidRPr="00C0505A" w14:paraId="2ACEEB66" w14:textId="77777777" w:rsidTr="00217400">
        <w:trPr>
          <w:trHeight w:val="227"/>
        </w:trPr>
        <w:tc>
          <w:tcPr>
            <w:tcW w:w="1722" w:type="pct"/>
            <w:tcBorders>
              <w:bottom w:val="single" w:sz="4" w:space="0" w:color="auto"/>
            </w:tcBorders>
            <w:shd w:val="clear" w:color="auto" w:fill="auto"/>
            <w:noWrap/>
            <w:vAlign w:val="center"/>
            <w:hideMark/>
          </w:tcPr>
          <w:p w14:paraId="75078C1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Serviços de tratamento e revestimento em metais</w:t>
            </w:r>
          </w:p>
        </w:tc>
        <w:tc>
          <w:tcPr>
            <w:tcW w:w="531" w:type="pct"/>
            <w:tcBorders>
              <w:bottom w:val="single" w:sz="4" w:space="0" w:color="auto"/>
            </w:tcBorders>
            <w:shd w:val="clear" w:color="auto" w:fill="auto"/>
            <w:noWrap/>
            <w:vAlign w:val="center"/>
            <w:hideMark/>
          </w:tcPr>
          <w:p w14:paraId="3D95A9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95.796,54</w:t>
            </w:r>
          </w:p>
        </w:tc>
        <w:tc>
          <w:tcPr>
            <w:tcW w:w="531" w:type="pct"/>
            <w:tcBorders>
              <w:bottom w:val="single" w:sz="4" w:space="0" w:color="auto"/>
            </w:tcBorders>
            <w:shd w:val="clear" w:color="auto" w:fill="auto"/>
            <w:noWrap/>
            <w:vAlign w:val="center"/>
            <w:hideMark/>
          </w:tcPr>
          <w:p w14:paraId="3196F279"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06E0DAC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305.202,12</w:t>
            </w:r>
          </w:p>
        </w:tc>
        <w:tc>
          <w:tcPr>
            <w:tcW w:w="487" w:type="pct"/>
            <w:tcBorders>
              <w:bottom w:val="single" w:sz="4" w:space="0" w:color="auto"/>
            </w:tcBorders>
            <w:shd w:val="clear" w:color="auto" w:fill="auto"/>
            <w:noWrap/>
            <w:vAlign w:val="center"/>
            <w:hideMark/>
          </w:tcPr>
          <w:p w14:paraId="7B3607C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37" w:type="pct"/>
            <w:tcBorders>
              <w:bottom w:val="single" w:sz="4" w:space="0" w:color="auto"/>
            </w:tcBorders>
            <w:shd w:val="clear" w:color="auto" w:fill="auto"/>
            <w:noWrap/>
            <w:vAlign w:val="center"/>
            <w:hideMark/>
          </w:tcPr>
          <w:p w14:paraId="62D5C81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55</w:t>
            </w:r>
          </w:p>
        </w:tc>
        <w:tc>
          <w:tcPr>
            <w:tcW w:w="393" w:type="pct"/>
            <w:tcBorders>
              <w:bottom w:val="single" w:sz="4" w:space="0" w:color="auto"/>
            </w:tcBorders>
            <w:shd w:val="clear" w:color="auto" w:fill="auto"/>
            <w:noWrap/>
            <w:vAlign w:val="center"/>
            <w:hideMark/>
          </w:tcPr>
          <w:p w14:paraId="3E6B0AE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tcBorders>
              <w:bottom w:val="single" w:sz="4" w:space="0" w:color="auto"/>
            </w:tcBorders>
            <w:vAlign w:val="center"/>
          </w:tcPr>
          <w:p w14:paraId="2B8F12B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r>
      <w:tr w:rsidR="006356F1" w:rsidRPr="00C0505A" w14:paraId="7085D11C" w14:textId="77777777" w:rsidTr="00217400">
        <w:trPr>
          <w:trHeight w:val="227"/>
        </w:trPr>
        <w:tc>
          <w:tcPr>
            <w:tcW w:w="1722" w:type="pct"/>
            <w:tcBorders>
              <w:top w:val="single" w:sz="4" w:space="0" w:color="auto"/>
              <w:bottom w:val="nil"/>
            </w:tcBorders>
            <w:shd w:val="clear" w:color="auto" w:fill="auto"/>
            <w:noWrap/>
            <w:vAlign w:val="center"/>
            <w:hideMark/>
          </w:tcPr>
          <w:p w14:paraId="5F2982DE"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PRODUTOS DE MINERAIS NÃO METÁLICOS</w:t>
            </w:r>
          </w:p>
        </w:tc>
        <w:tc>
          <w:tcPr>
            <w:tcW w:w="531" w:type="pct"/>
            <w:tcBorders>
              <w:top w:val="single" w:sz="4" w:space="0" w:color="auto"/>
              <w:bottom w:val="nil"/>
            </w:tcBorders>
            <w:shd w:val="clear" w:color="auto" w:fill="auto"/>
            <w:noWrap/>
            <w:vAlign w:val="center"/>
            <w:hideMark/>
          </w:tcPr>
          <w:p w14:paraId="568E5E2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20.687.651,76</w:t>
            </w:r>
          </w:p>
        </w:tc>
        <w:tc>
          <w:tcPr>
            <w:tcW w:w="531" w:type="pct"/>
            <w:tcBorders>
              <w:top w:val="single" w:sz="4" w:space="0" w:color="auto"/>
              <w:bottom w:val="nil"/>
            </w:tcBorders>
            <w:shd w:val="clear" w:color="auto" w:fill="auto"/>
            <w:noWrap/>
            <w:vAlign w:val="center"/>
            <w:hideMark/>
          </w:tcPr>
          <w:p w14:paraId="2EBFFB4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10.055.838,14</w:t>
            </w:r>
          </w:p>
        </w:tc>
        <w:tc>
          <w:tcPr>
            <w:tcW w:w="529" w:type="pct"/>
            <w:tcBorders>
              <w:top w:val="single" w:sz="4" w:space="0" w:color="auto"/>
              <w:bottom w:val="nil"/>
            </w:tcBorders>
            <w:shd w:val="clear" w:color="auto" w:fill="auto"/>
            <w:noWrap/>
            <w:vAlign w:val="center"/>
            <w:hideMark/>
          </w:tcPr>
          <w:p w14:paraId="1616BFB6"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4.210.515,82</w:t>
            </w:r>
          </w:p>
        </w:tc>
        <w:tc>
          <w:tcPr>
            <w:tcW w:w="487" w:type="pct"/>
            <w:tcBorders>
              <w:top w:val="single" w:sz="4" w:space="0" w:color="auto"/>
              <w:bottom w:val="nil"/>
            </w:tcBorders>
            <w:shd w:val="clear" w:color="auto" w:fill="auto"/>
            <w:noWrap/>
            <w:vAlign w:val="center"/>
            <w:hideMark/>
          </w:tcPr>
          <w:p w14:paraId="01C56D7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26.532.974,08</w:t>
            </w:r>
          </w:p>
        </w:tc>
        <w:tc>
          <w:tcPr>
            <w:tcW w:w="337" w:type="pct"/>
            <w:tcBorders>
              <w:top w:val="single" w:sz="4" w:space="0" w:color="auto"/>
              <w:bottom w:val="nil"/>
            </w:tcBorders>
            <w:shd w:val="clear" w:color="auto" w:fill="auto"/>
            <w:noWrap/>
            <w:vAlign w:val="center"/>
            <w:hideMark/>
          </w:tcPr>
          <w:p w14:paraId="0E04C7CC"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1.500</w:t>
            </w:r>
          </w:p>
        </w:tc>
        <w:tc>
          <w:tcPr>
            <w:tcW w:w="393" w:type="pct"/>
            <w:tcBorders>
              <w:top w:val="single" w:sz="4" w:space="0" w:color="auto"/>
              <w:bottom w:val="nil"/>
            </w:tcBorders>
            <w:shd w:val="clear" w:color="auto" w:fill="auto"/>
            <w:noWrap/>
            <w:vAlign w:val="center"/>
            <w:hideMark/>
          </w:tcPr>
          <w:p w14:paraId="6871899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17.691,60</w:t>
            </w:r>
          </w:p>
        </w:tc>
        <w:tc>
          <w:tcPr>
            <w:tcW w:w="471" w:type="pct"/>
            <w:tcBorders>
              <w:top w:val="single" w:sz="4" w:space="0" w:color="auto"/>
              <w:bottom w:val="nil"/>
            </w:tcBorders>
            <w:vAlign w:val="center"/>
          </w:tcPr>
          <w:p w14:paraId="66B95F31"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1.360,89</w:t>
            </w:r>
          </w:p>
        </w:tc>
      </w:tr>
      <w:tr w:rsidR="006356F1" w:rsidRPr="00C0505A" w14:paraId="1BB89EA1" w14:textId="77777777" w:rsidTr="00217400">
        <w:trPr>
          <w:trHeight w:val="227"/>
        </w:trPr>
        <w:tc>
          <w:tcPr>
            <w:tcW w:w="1722" w:type="pct"/>
            <w:tcBorders>
              <w:top w:val="nil"/>
            </w:tcBorders>
            <w:shd w:val="clear" w:color="auto" w:fill="auto"/>
            <w:noWrap/>
            <w:vAlign w:val="center"/>
            <w:hideMark/>
          </w:tcPr>
          <w:p w14:paraId="58B4181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Britamento de pedras, exceto associado à extração</w:t>
            </w:r>
          </w:p>
        </w:tc>
        <w:tc>
          <w:tcPr>
            <w:tcW w:w="531" w:type="pct"/>
            <w:tcBorders>
              <w:top w:val="nil"/>
            </w:tcBorders>
            <w:shd w:val="clear" w:color="auto" w:fill="auto"/>
            <w:noWrap/>
            <w:vAlign w:val="center"/>
            <w:hideMark/>
          </w:tcPr>
          <w:p w14:paraId="100DA43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233.122,53</w:t>
            </w:r>
          </w:p>
        </w:tc>
        <w:tc>
          <w:tcPr>
            <w:tcW w:w="531" w:type="pct"/>
            <w:tcBorders>
              <w:top w:val="nil"/>
            </w:tcBorders>
            <w:shd w:val="clear" w:color="auto" w:fill="auto"/>
            <w:noWrap/>
            <w:vAlign w:val="center"/>
            <w:hideMark/>
          </w:tcPr>
          <w:p w14:paraId="7662AF98"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42F7489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38.353,57</w:t>
            </w:r>
          </w:p>
        </w:tc>
        <w:tc>
          <w:tcPr>
            <w:tcW w:w="487" w:type="pct"/>
            <w:tcBorders>
              <w:top w:val="nil"/>
            </w:tcBorders>
            <w:shd w:val="clear" w:color="auto" w:fill="auto"/>
            <w:noWrap/>
            <w:vAlign w:val="center"/>
            <w:hideMark/>
          </w:tcPr>
          <w:p w14:paraId="23A891C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194.768,96</w:t>
            </w:r>
          </w:p>
        </w:tc>
        <w:tc>
          <w:tcPr>
            <w:tcW w:w="337" w:type="pct"/>
            <w:tcBorders>
              <w:top w:val="nil"/>
            </w:tcBorders>
            <w:shd w:val="clear" w:color="auto" w:fill="auto"/>
            <w:noWrap/>
            <w:vAlign w:val="center"/>
            <w:hideMark/>
          </w:tcPr>
          <w:p w14:paraId="14ECB5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94</w:t>
            </w:r>
          </w:p>
        </w:tc>
        <w:tc>
          <w:tcPr>
            <w:tcW w:w="393" w:type="pct"/>
            <w:tcBorders>
              <w:top w:val="nil"/>
            </w:tcBorders>
            <w:shd w:val="clear" w:color="auto" w:fill="auto"/>
            <w:noWrap/>
            <w:vAlign w:val="center"/>
            <w:hideMark/>
          </w:tcPr>
          <w:p w14:paraId="57FE395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2.073,85</w:t>
            </w:r>
          </w:p>
        </w:tc>
        <w:tc>
          <w:tcPr>
            <w:tcW w:w="471" w:type="pct"/>
            <w:tcBorders>
              <w:top w:val="nil"/>
            </w:tcBorders>
            <w:vAlign w:val="center"/>
          </w:tcPr>
          <w:p w14:paraId="4EEAAB4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159,53</w:t>
            </w:r>
          </w:p>
        </w:tc>
      </w:tr>
      <w:tr w:rsidR="006356F1" w:rsidRPr="00C0505A" w14:paraId="5A984C22" w14:textId="77777777" w:rsidTr="00217400">
        <w:trPr>
          <w:trHeight w:val="227"/>
        </w:trPr>
        <w:tc>
          <w:tcPr>
            <w:tcW w:w="1722" w:type="pct"/>
            <w:shd w:val="clear" w:color="auto" w:fill="auto"/>
            <w:noWrap/>
            <w:vAlign w:val="center"/>
            <w:hideMark/>
          </w:tcPr>
          <w:p w14:paraId="14AA3AF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artefatos de cimento para uso na construção</w:t>
            </w:r>
          </w:p>
        </w:tc>
        <w:tc>
          <w:tcPr>
            <w:tcW w:w="531" w:type="pct"/>
            <w:shd w:val="clear" w:color="auto" w:fill="auto"/>
            <w:noWrap/>
            <w:vAlign w:val="center"/>
            <w:hideMark/>
          </w:tcPr>
          <w:p w14:paraId="61A3E8B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535.872,99</w:t>
            </w:r>
          </w:p>
        </w:tc>
        <w:tc>
          <w:tcPr>
            <w:tcW w:w="531" w:type="pct"/>
            <w:shd w:val="clear" w:color="auto" w:fill="auto"/>
            <w:noWrap/>
            <w:vAlign w:val="center"/>
            <w:hideMark/>
          </w:tcPr>
          <w:p w14:paraId="6823CB62"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403E681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253.452,70</w:t>
            </w:r>
          </w:p>
        </w:tc>
        <w:tc>
          <w:tcPr>
            <w:tcW w:w="487" w:type="pct"/>
            <w:shd w:val="clear" w:color="auto" w:fill="auto"/>
            <w:noWrap/>
            <w:vAlign w:val="center"/>
            <w:hideMark/>
          </w:tcPr>
          <w:p w14:paraId="352AF22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282.420,29</w:t>
            </w:r>
          </w:p>
        </w:tc>
        <w:tc>
          <w:tcPr>
            <w:tcW w:w="337" w:type="pct"/>
            <w:shd w:val="clear" w:color="auto" w:fill="auto"/>
            <w:noWrap/>
            <w:vAlign w:val="center"/>
            <w:hideMark/>
          </w:tcPr>
          <w:p w14:paraId="4B98687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192</w:t>
            </w:r>
          </w:p>
        </w:tc>
        <w:tc>
          <w:tcPr>
            <w:tcW w:w="393" w:type="pct"/>
            <w:shd w:val="clear" w:color="auto" w:fill="auto"/>
            <w:noWrap/>
            <w:vAlign w:val="center"/>
            <w:hideMark/>
          </w:tcPr>
          <w:p w14:paraId="30EC236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1.470,30</w:t>
            </w:r>
          </w:p>
        </w:tc>
        <w:tc>
          <w:tcPr>
            <w:tcW w:w="471" w:type="pct"/>
            <w:vAlign w:val="center"/>
          </w:tcPr>
          <w:p w14:paraId="6E15EFA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113,10</w:t>
            </w:r>
          </w:p>
        </w:tc>
      </w:tr>
      <w:tr w:rsidR="006356F1" w:rsidRPr="00C0505A" w14:paraId="1AD10F83" w14:textId="77777777" w:rsidTr="00217400">
        <w:trPr>
          <w:trHeight w:val="227"/>
        </w:trPr>
        <w:tc>
          <w:tcPr>
            <w:tcW w:w="1722" w:type="pct"/>
            <w:shd w:val="clear" w:color="auto" w:fill="auto"/>
            <w:noWrap/>
            <w:vAlign w:val="center"/>
            <w:hideMark/>
          </w:tcPr>
          <w:p w14:paraId="1FADAC77"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artefatos de fibrocimento para uso na construção</w:t>
            </w:r>
          </w:p>
        </w:tc>
        <w:tc>
          <w:tcPr>
            <w:tcW w:w="531" w:type="pct"/>
            <w:shd w:val="clear" w:color="auto" w:fill="auto"/>
            <w:noWrap/>
            <w:vAlign w:val="center"/>
            <w:hideMark/>
          </w:tcPr>
          <w:p w14:paraId="64BE0B3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3.265.586,43</w:t>
            </w:r>
          </w:p>
        </w:tc>
        <w:tc>
          <w:tcPr>
            <w:tcW w:w="531" w:type="pct"/>
            <w:shd w:val="clear" w:color="auto" w:fill="auto"/>
            <w:noWrap/>
            <w:vAlign w:val="center"/>
            <w:hideMark/>
          </w:tcPr>
          <w:p w14:paraId="69C17A2C"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3E78DC7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570.174,99</w:t>
            </w:r>
          </w:p>
        </w:tc>
        <w:tc>
          <w:tcPr>
            <w:tcW w:w="487" w:type="pct"/>
            <w:shd w:val="clear" w:color="auto" w:fill="auto"/>
            <w:noWrap/>
            <w:vAlign w:val="center"/>
            <w:hideMark/>
          </w:tcPr>
          <w:p w14:paraId="3DAEFCC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2.695.411,44</w:t>
            </w:r>
          </w:p>
        </w:tc>
        <w:tc>
          <w:tcPr>
            <w:tcW w:w="337" w:type="pct"/>
            <w:shd w:val="clear" w:color="auto" w:fill="auto"/>
            <w:noWrap/>
            <w:vAlign w:val="center"/>
            <w:hideMark/>
          </w:tcPr>
          <w:p w14:paraId="7D242A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368</w:t>
            </w:r>
          </w:p>
        </w:tc>
        <w:tc>
          <w:tcPr>
            <w:tcW w:w="393" w:type="pct"/>
            <w:shd w:val="clear" w:color="auto" w:fill="auto"/>
            <w:noWrap/>
            <w:vAlign w:val="center"/>
            <w:hideMark/>
          </w:tcPr>
          <w:p w14:paraId="6F81F96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7.319,52</w:t>
            </w:r>
          </w:p>
        </w:tc>
        <w:tc>
          <w:tcPr>
            <w:tcW w:w="471" w:type="pct"/>
            <w:vAlign w:val="center"/>
          </w:tcPr>
          <w:p w14:paraId="684ADB6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563,04</w:t>
            </w:r>
          </w:p>
        </w:tc>
      </w:tr>
      <w:tr w:rsidR="006356F1" w:rsidRPr="00C0505A" w14:paraId="38EC0BC2" w14:textId="77777777" w:rsidTr="00217400">
        <w:trPr>
          <w:trHeight w:val="227"/>
        </w:trPr>
        <w:tc>
          <w:tcPr>
            <w:tcW w:w="1722" w:type="pct"/>
            <w:shd w:val="clear" w:color="auto" w:fill="auto"/>
            <w:noWrap/>
            <w:vAlign w:val="center"/>
            <w:hideMark/>
          </w:tcPr>
          <w:p w14:paraId="614CD46D"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cimento</w:t>
            </w:r>
          </w:p>
        </w:tc>
        <w:tc>
          <w:tcPr>
            <w:tcW w:w="531" w:type="pct"/>
            <w:shd w:val="clear" w:color="auto" w:fill="auto"/>
            <w:noWrap/>
            <w:vAlign w:val="center"/>
            <w:hideMark/>
          </w:tcPr>
          <w:p w14:paraId="5B7E508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3.070.371,69</w:t>
            </w:r>
          </w:p>
        </w:tc>
        <w:tc>
          <w:tcPr>
            <w:tcW w:w="531" w:type="pct"/>
            <w:shd w:val="clear" w:color="auto" w:fill="auto"/>
            <w:noWrap/>
            <w:vAlign w:val="center"/>
            <w:hideMark/>
          </w:tcPr>
          <w:p w14:paraId="17E36F2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10.055.838,14</w:t>
            </w:r>
          </w:p>
        </w:tc>
        <w:tc>
          <w:tcPr>
            <w:tcW w:w="529" w:type="pct"/>
            <w:shd w:val="clear" w:color="auto" w:fill="auto"/>
            <w:noWrap/>
            <w:vAlign w:val="center"/>
            <w:hideMark/>
          </w:tcPr>
          <w:p w14:paraId="0B2D1D6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1.123.889,61</w:t>
            </w:r>
          </w:p>
        </w:tc>
        <w:tc>
          <w:tcPr>
            <w:tcW w:w="487" w:type="pct"/>
            <w:shd w:val="clear" w:color="auto" w:fill="auto"/>
            <w:noWrap/>
            <w:vAlign w:val="center"/>
            <w:hideMark/>
          </w:tcPr>
          <w:p w14:paraId="5CCD4B7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12.002.320,22</w:t>
            </w:r>
          </w:p>
        </w:tc>
        <w:tc>
          <w:tcPr>
            <w:tcW w:w="337" w:type="pct"/>
            <w:shd w:val="clear" w:color="auto" w:fill="auto"/>
            <w:noWrap/>
            <w:vAlign w:val="center"/>
            <w:hideMark/>
          </w:tcPr>
          <w:p w14:paraId="4AD4C84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145</w:t>
            </w:r>
          </w:p>
        </w:tc>
        <w:tc>
          <w:tcPr>
            <w:tcW w:w="393" w:type="pct"/>
            <w:shd w:val="clear" w:color="auto" w:fill="auto"/>
            <w:noWrap/>
            <w:vAlign w:val="center"/>
            <w:hideMark/>
          </w:tcPr>
          <w:p w14:paraId="60153B6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82.774,62</w:t>
            </w:r>
          </w:p>
        </w:tc>
        <w:tc>
          <w:tcPr>
            <w:tcW w:w="471" w:type="pct"/>
            <w:vAlign w:val="center"/>
          </w:tcPr>
          <w:p w14:paraId="29944A1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6.367,28</w:t>
            </w:r>
          </w:p>
        </w:tc>
      </w:tr>
      <w:tr w:rsidR="006356F1" w:rsidRPr="00C0505A" w14:paraId="11E06CE2" w14:textId="77777777" w:rsidTr="00217400">
        <w:trPr>
          <w:trHeight w:val="227"/>
        </w:trPr>
        <w:tc>
          <w:tcPr>
            <w:tcW w:w="1722" w:type="pct"/>
            <w:shd w:val="clear" w:color="auto" w:fill="auto"/>
            <w:noWrap/>
            <w:vAlign w:val="center"/>
            <w:hideMark/>
          </w:tcPr>
          <w:p w14:paraId="528BE76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estruturas pré-moldadas de concreto armado, em série e sob encomenda</w:t>
            </w:r>
          </w:p>
        </w:tc>
        <w:tc>
          <w:tcPr>
            <w:tcW w:w="531" w:type="pct"/>
            <w:shd w:val="clear" w:color="auto" w:fill="auto"/>
            <w:noWrap/>
            <w:vAlign w:val="center"/>
            <w:hideMark/>
          </w:tcPr>
          <w:p w14:paraId="5C39DAD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1.181.109,89</w:t>
            </w:r>
          </w:p>
        </w:tc>
        <w:tc>
          <w:tcPr>
            <w:tcW w:w="531" w:type="pct"/>
            <w:shd w:val="clear" w:color="auto" w:fill="auto"/>
            <w:noWrap/>
            <w:vAlign w:val="center"/>
            <w:hideMark/>
          </w:tcPr>
          <w:p w14:paraId="328C9A28"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702D1A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348.641,48</w:t>
            </w:r>
          </w:p>
        </w:tc>
        <w:tc>
          <w:tcPr>
            <w:tcW w:w="487" w:type="pct"/>
            <w:shd w:val="clear" w:color="auto" w:fill="auto"/>
            <w:noWrap/>
            <w:vAlign w:val="center"/>
            <w:hideMark/>
          </w:tcPr>
          <w:p w14:paraId="223143A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832.468,41</w:t>
            </w:r>
          </w:p>
        </w:tc>
        <w:tc>
          <w:tcPr>
            <w:tcW w:w="337" w:type="pct"/>
            <w:shd w:val="clear" w:color="auto" w:fill="auto"/>
            <w:noWrap/>
            <w:vAlign w:val="center"/>
            <w:hideMark/>
          </w:tcPr>
          <w:p w14:paraId="56FCB3D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110</w:t>
            </w:r>
          </w:p>
        </w:tc>
        <w:tc>
          <w:tcPr>
            <w:tcW w:w="393" w:type="pct"/>
            <w:shd w:val="clear" w:color="auto" w:fill="auto"/>
            <w:noWrap/>
            <w:vAlign w:val="center"/>
            <w:hideMark/>
          </w:tcPr>
          <w:p w14:paraId="378CCB2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7.596,67</w:t>
            </w:r>
          </w:p>
        </w:tc>
        <w:tc>
          <w:tcPr>
            <w:tcW w:w="471" w:type="pct"/>
            <w:vAlign w:val="center"/>
          </w:tcPr>
          <w:p w14:paraId="2F595A0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584,36</w:t>
            </w:r>
          </w:p>
        </w:tc>
      </w:tr>
      <w:tr w:rsidR="006356F1" w:rsidRPr="00C0505A" w14:paraId="117120CB" w14:textId="77777777" w:rsidTr="00217400">
        <w:trPr>
          <w:trHeight w:val="227"/>
        </w:trPr>
        <w:tc>
          <w:tcPr>
            <w:tcW w:w="1722" w:type="pct"/>
            <w:shd w:val="clear" w:color="auto" w:fill="auto"/>
            <w:noWrap/>
            <w:vAlign w:val="center"/>
            <w:hideMark/>
          </w:tcPr>
          <w:p w14:paraId="69BDCA8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Fabricação de outros artefatos e produtos de concreto, cimento, fibrocimento, gesso e materiais semelhantes</w:t>
            </w:r>
          </w:p>
        </w:tc>
        <w:tc>
          <w:tcPr>
            <w:tcW w:w="531" w:type="pct"/>
            <w:shd w:val="clear" w:color="auto" w:fill="auto"/>
            <w:noWrap/>
            <w:vAlign w:val="center"/>
            <w:hideMark/>
          </w:tcPr>
          <w:p w14:paraId="310E9DB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4.010.012,46</w:t>
            </w:r>
          </w:p>
        </w:tc>
        <w:tc>
          <w:tcPr>
            <w:tcW w:w="531" w:type="pct"/>
            <w:shd w:val="clear" w:color="auto" w:fill="auto"/>
            <w:noWrap/>
            <w:vAlign w:val="center"/>
            <w:hideMark/>
          </w:tcPr>
          <w:p w14:paraId="18C64490"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0941072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549.719,38</w:t>
            </w:r>
          </w:p>
        </w:tc>
        <w:tc>
          <w:tcPr>
            <w:tcW w:w="487" w:type="pct"/>
            <w:shd w:val="clear" w:color="auto" w:fill="auto"/>
            <w:noWrap/>
            <w:vAlign w:val="center"/>
            <w:hideMark/>
          </w:tcPr>
          <w:p w14:paraId="1EBD326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3.460.293,08</w:t>
            </w:r>
          </w:p>
        </w:tc>
        <w:tc>
          <w:tcPr>
            <w:tcW w:w="337" w:type="pct"/>
            <w:shd w:val="clear" w:color="auto" w:fill="auto"/>
            <w:noWrap/>
            <w:vAlign w:val="center"/>
            <w:hideMark/>
          </w:tcPr>
          <w:p w14:paraId="5B433FD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222</w:t>
            </w:r>
          </w:p>
        </w:tc>
        <w:tc>
          <w:tcPr>
            <w:tcW w:w="393" w:type="pct"/>
            <w:shd w:val="clear" w:color="auto" w:fill="auto"/>
            <w:noWrap/>
            <w:vAlign w:val="center"/>
            <w:hideMark/>
          </w:tcPr>
          <w:p w14:paraId="3DF5955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15.592,76</w:t>
            </w:r>
          </w:p>
        </w:tc>
        <w:tc>
          <w:tcPr>
            <w:tcW w:w="471" w:type="pct"/>
            <w:vAlign w:val="center"/>
          </w:tcPr>
          <w:p w14:paraId="117004B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1.199,44</w:t>
            </w:r>
          </w:p>
        </w:tc>
      </w:tr>
      <w:tr w:rsidR="006356F1" w:rsidRPr="00C0505A" w14:paraId="0073A782" w14:textId="77777777" w:rsidTr="00217400">
        <w:trPr>
          <w:trHeight w:val="227"/>
        </w:trPr>
        <w:tc>
          <w:tcPr>
            <w:tcW w:w="1722" w:type="pct"/>
            <w:shd w:val="clear" w:color="auto" w:fill="auto"/>
            <w:noWrap/>
            <w:vAlign w:val="center"/>
            <w:hideMark/>
          </w:tcPr>
          <w:p w14:paraId="3C03D67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outros produtos de minerais não-metálicos não especificados anteriormente</w:t>
            </w:r>
          </w:p>
        </w:tc>
        <w:tc>
          <w:tcPr>
            <w:tcW w:w="531" w:type="pct"/>
            <w:shd w:val="clear" w:color="auto" w:fill="auto"/>
            <w:noWrap/>
            <w:vAlign w:val="center"/>
            <w:hideMark/>
          </w:tcPr>
          <w:p w14:paraId="7A46D74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6.463.319,85</w:t>
            </w:r>
          </w:p>
        </w:tc>
        <w:tc>
          <w:tcPr>
            <w:tcW w:w="531" w:type="pct"/>
            <w:shd w:val="clear" w:color="auto" w:fill="auto"/>
            <w:noWrap/>
            <w:vAlign w:val="center"/>
            <w:hideMark/>
          </w:tcPr>
          <w:p w14:paraId="0ABDFFBD"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36089EA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915.669,88</w:t>
            </w:r>
          </w:p>
        </w:tc>
        <w:tc>
          <w:tcPr>
            <w:tcW w:w="487" w:type="pct"/>
            <w:shd w:val="clear" w:color="auto" w:fill="auto"/>
            <w:noWrap/>
            <w:vAlign w:val="center"/>
            <w:hideMark/>
          </w:tcPr>
          <w:p w14:paraId="03BB077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5.547.649,97</w:t>
            </w:r>
          </w:p>
        </w:tc>
        <w:tc>
          <w:tcPr>
            <w:tcW w:w="337" w:type="pct"/>
            <w:shd w:val="clear" w:color="auto" w:fill="auto"/>
            <w:noWrap/>
            <w:vAlign w:val="center"/>
            <w:hideMark/>
          </w:tcPr>
          <w:p w14:paraId="391B47A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158</w:t>
            </w:r>
          </w:p>
        </w:tc>
        <w:tc>
          <w:tcPr>
            <w:tcW w:w="393" w:type="pct"/>
            <w:shd w:val="clear" w:color="auto" w:fill="auto"/>
            <w:noWrap/>
            <w:vAlign w:val="center"/>
            <w:hideMark/>
          </w:tcPr>
          <w:p w14:paraId="669904E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35.148,79</w:t>
            </w:r>
          </w:p>
        </w:tc>
        <w:tc>
          <w:tcPr>
            <w:tcW w:w="471" w:type="pct"/>
            <w:vAlign w:val="center"/>
          </w:tcPr>
          <w:p w14:paraId="175DB19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2.703,75</w:t>
            </w:r>
          </w:p>
        </w:tc>
      </w:tr>
      <w:tr w:rsidR="006356F1" w:rsidRPr="00C0505A" w14:paraId="78F7EE6D" w14:textId="77777777" w:rsidTr="00217400">
        <w:trPr>
          <w:trHeight w:val="227"/>
        </w:trPr>
        <w:tc>
          <w:tcPr>
            <w:tcW w:w="1722" w:type="pct"/>
            <w:shd w:val="clear" w:color="auto" w:fill="auto"/>
            <w:noWrap/>
            <w:vAlign w:val="center"/>
            <w:hideMark/>
          </w:tcPr>
          <w:p w14:paraId="6FEDE70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vidro plano e de segurança</w:t>
            </w:r>
          </w:p>
        </w:tc>
        <w:tc>
          <w:tcPr>
            <w:tcW w:w="531" w:type="pct"/>
            <w:shd w:val="clear" w:color="auto" w:fill="auto"/>
            <w:noWrap/>
            <w:vAlign w:val="center"/>
            <w:hideMark/>
          </w:tcPr>
          <w:p w14:paraId="14C5490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1.224.407,81</w:t>
            </w:r>
          </w:p>
        </w:tc>
        <w:tc>
          <w:tcPr>
            <w:tcW w:w="531" w:type="pct"/>
            <w:shd w:val="clear" w:color="auto" w:fill="auto"/>
            <w:noWrap/>
            <w:vAlign w:val="center"/>
            <w:hideMark/>
          </w:tcPr>
          <w:p w14:paraId="6F900B47"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040D8C4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309.938,12</w:t>
            </w:r>
          </w:p>
        </w:tc>
        <w:tc>
          <w:tcPr>
            <w:tcW w:w="487" w:type="pct"/>
            <w:shd w:val="clear" w:color="auto" w:fill="auto"/>
            <w:noWrap/>
            <w:vAlign w:val="center"/>
            <w:hideMark/>
          </w:tcPr>
          <w:p w14:paraId="16CBE97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914.469,69</w:t>
            </w:r>
          </w:p>
        </w:tc>
        <w:tc>
          <w:tcPr>
            <w:tcW w:w="337" w:type="pct"/>
            <w:shd w:val="clear" w:color="auto" w:fill="auto"/>
            <w:noWrap/>
            <w:vAlign w:val="center"/>
            <w:hideMark/>
          </w:tcPr>
          <w:p w14:paraId="27C9753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185</w:t>
            </w:r>
          </w:p>
        </w:tc>
        <w:tc>
          <w:tcPr>
            <w:tcW w:w="393" w:type="pct"/>
            <w:shd w:val="clear" w:color="auto" w:fill="auto"/>
            <w:noWrap/>
            <w:vAlign w:val="center"/>
            <w:hideMark/>
          </w:tcPr>
          <w:p w14:paraId="76A2B52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4.947,54</w:t>
            </w:r>
          </w:p>
        </w:tc>
        <w:tc>
          <w:tcPr>
            <w:tcW w:w="471" w:type="pct"/>
            <w:vAlign w:val="center"/>
          </w:tcPr>
          <w:p w14:paraId="5B0C111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380,58</w:t>
            </w:r>
          </w:p>
        </w:tc>
      </w:tr>
      <w:tr w:rsidR="006356F1" w:rsidRPr="00C0505A" w14:paraId="30114B7A" w14:textId="77777777" w:rsidTr="00217400">
        <w:trPr>
          <w:trHeight w:val="227"/>
        </w:trPr>
        <w:tc>
          <w:tcPr>
            <w:tcW w:w="1722" w:type="pct"/>
            <w:tcBorders>
              <w:bottom w:val="single" w:sz="4" w:space="0" w:color="auto"/>
            </w:tcBorders>
            <w:shd w:val="clear" w:color="auto" w:fill="auto"/>
            <w:noWrap/>
            <w:vAlign w:val="center"/>
            <w:hideMark/>
          </w:tcPr>
          <w:p w14:paraId="5A82B45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Preparação de massa de concreto e argamassa para construção</w:t>
            </w:r>
          </w:p>
        </w:tc>
        <w:tc>
          <w:tcPr>
            <w:tcW w:w="531" w:type="pct"/>
            <w:tcBorders>
              <w:bottom w:val="single" w:sz="4" w:space="0" w:color="auto"/>
            </w:tcBorders>
            <w:shd w:val="clear" w:color="auto" w:fill="auto"/>
            <w:noWrap/>
            <w:vAlign w:val="center"/>
            <w:hideMark/>
          </w:tcPr>
          <w:p w14:paraId="634D91C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703.848,11</w:t>
            </w:r>
          </w:p>
        </w:tc>
        <w:tc>
          <w:tcPr>
            <w:tcW w:w="531" w:type="pct"/>
            <w:tcBorders>
              <w:bottom w:val="single" w:sz="4" w:space="0" w:color="auto"/>
            </w:tcBorders>
            <w:shd w:val="clear" w:color="auto" w:fill="auto"/>
            <w:noWrap/>
            <w:vAlign w:val="center"/>
            <w:hideMark/>
          </w:tcPr>
          <w:p w14:paraId="31DE31CC"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342922E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100.676,09</w:t>
            </w:r>
          </w:p>
        </w:tc>
        <w:tc>
          <w:tcPr>
            <w:tcW w:w="487" w:type="pct"/>
            <w:tcBorders>
              <w:bottom w:val="single" w:sz="4" w:space="0" w:color="auto"/>
            </w:tcBorders>
            <w:shd w:val="clear" w:color="auto" w:fill="auto"/>
            <w:noWrap/>
            <w:vAlign w:val="center"/>
            <w:hideMark/>
          </w:tcPr>
          <w:p w14:paraId="292D79F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603.172,02</w:t>
            </w:r>
          </w:p>
        </w:tc>
        <w:tc>
          <w:tcPr>
            <w:tcW w:w="337" w:type="pct"/>
            <w:tcBorders>
              <w:bottom w:val="single" w:sz="4" w:space="0" w:color="auto"/>
            </w:tcBorders>
            <w:shd w:val="clear" w:color="auto" w:fill="auto"/>
            <w:noWrap/>
            <w:vAlign w:val="center"/>
            <w:hideMark/>
          </w:tcPr>
          <w:p w14:paraId="50AD0ED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w:t>
            </w:r>
          </w:p>
        </w:tc>
        <w:tc>
          <w:tcPr>
            <w:tcW w:w="393" w:type="pct"/>
            <w:tcBorders>
              <w:bottom w:val="single" w:sz="4" w:space="0" w:color="auto"/>
            </w:tcBorders>
            <w:shd w:val="clear" w:color="auto" w:fill="auto"/>
            <w:noWrap/>
            <w:vAlign w:val="center"/>
            <w:hideMark/>
          </w:tcPr>
          <w:p w14:paraId="1A1E14B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22.905,27</w:t>
            </w:r>
          </w:p>
        </w:tc>
        <w:tc>
          <w:tcPr>
            <w:tcW w:w="471" w:type="pct"/>
            <w:tcBorders>
              <w:bottom w:val="single" w:sz="4" w:space="0" w:color="auto"/>
            </w:tcBorders>
            <w:vAlign w:val="center"/>
          </w:tcPr>
          <w:p w14:paraId="0F0E3B9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1.761,94</w:t>
            </w:r>
          </w:p>
        </w:tc>
      </w:tr>
      <w:tr w:rsidR="006356F1" w:rsidRPr="00C0505A" w14:paraId="6EBD7900" w14:textId="77777777" w:rsidTr="00217400">
        <w:trPr>
          <w:trHeight w:val="227"/>
        </w:trPr>
        <w:tc>
          <w:tcPr>
            <w:tcW w:w="1722" w:type="pct"/>
            <w:tcBorders>
              <w:top w:val="single" w:sz="4" w:space="0" w:color="auto"/>
              <w:bottom w:val="nil"/>
            </w:tcBorders>
            <w:shd w:val="clear" w:color="auto" w:fill="auto"/>
            <w:noWrap/>
            <w:vAlign w:val="center"/>
            <w:hideMark/>
          </w:tcPr>
          <w:p w14:paraId="22895A91"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PRODUTOS DIVERSOS</w:t>
            </w:r>
          </w:p>
        </w:tc>
        <w:tc>
          <w:tcPr>
            <w:tcW w:w="531" w:type="pct"/>
            <w:tcBorders>
              <w:top w:val="single" w:sz="4" w:space="0" w:color="auto"/>
              <w:bottom w:val="nil"/>
            </w:tcBorders>
            <w:shd w:val="clear" w:color="auto" w:fill="auto"/>
            <w:noWrap/>
            <w:vAlign w:val="center"/>
            <w:hideMark/>
          </w:tcPr>
          <w:p w14:paraId="0A643EF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12.715.828,04</w:t>
            </w:r>
          </w:p>
        </w:tc>
        <w:tc>
          <w:tcPr>
            <w:tcW w:w="531" w:type="pct"/>
            <w:tcBorders>
              <w:top w:val="single" w:sz="4" w:space="0" w:color="auto"/>
              <w:bottom w:val="nil"/>
            </w:tcBorders>
            <w:shd w:val="clear" w:color="auto" w:fill="auto"/>
            <w:noWrap/>
            <w:vAlign w:val="center"/>
            <w:hideMark/>
          </w:tcPr>
          <w:p w14:paraId="42CFB4B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164.772,83</w:t>
            </w:r>
          </w:p>
        </w:tc>
        <w:tc>
          <w:tcPr>
            <w:tcW w:w="529" w:type="pct"/>
            <w:tcBorders>
              <w:top w:val="single" w:sz="4" w:space="0" w:color="auto"/>
              <w:bottom w:val="nil"/>
            </w:tcBorders>
            <w:shd w:val="clear" w:color="auto" w:fill="auto"/>
            <w:noWrap/>
            <w:vAlign w:val="center"/>
            <w:hideMark/>
          </w:tcPr>
          <w:p w14:paraId="3553978F"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2.222.354,07</w:t>
            </w:r>
          </w:p>
        </w:tc>
        <w:tc>
          <w:tcPr>
            <w:tcW w:w="487" w:type="pct"/>
            <w:tcBorders>
              <w:top w:val="single" w:sz="4" w:space="0" w:color="auto"/>
              <w:bottom w:val="nil"/>
            </w:tcBorders>
            <w:shd w:val="clear" w:color="auto" w:fill="auto"/>
            <w:noWrap/>
            <w:vAlign w:val="center"/>
            <w:hideMark/>
          </w:tcPr>
          <w:p w14:paraId="62EA17B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10.658.246,80</w:t>
            </w:r>
          </w:p>
        </w:tc>
        <w:tc>
          <w:tcPr>
            <w:tcW w:w="337" w:type="pct"/>
            <w:tcBorders>
              <w:top w:val="single" w:sz="4" w:space="0" w:color="auto"/>
              <w:bottom w:val="nil"/>
            </w:tcBorders>
            <w:shd w:val="clear" w:color="auto" w:fill="auto"/>
            <w:noWrap/>
            <w:vAlign w:val="center"/>
            <w:hideMark/>
          </w:tcPr>
          <w:p w14:paraId="499C043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1.467</w:t>
            </w:r>
          </w:p>
        </w:tc>
        <w:tc>
          <w:tcPr>
            <w:tcW w:w="393" w:type="pct"/>
            <w:tcBorders>
              <w:top w:val="single" w:sz="4" w:space="0" w:color="auto"/>
              <w:bottom w:val="nil"/>
            </w:tcBorders>
            <w:shd w:val="clear" w:color="auto" w:fill="auto"/>
            <w:noWrap/>
            <w:vAlign w:val="center"/>
            <w:hideMark/>
          </w:tcPr>
          <w:p w14:paraId="0159C7A9"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7.266,99</w:t>
            </w:r>
          </w:p>
        </w:tc>
        <w:tc>
          <w:tcPr>
            <w:tcW w:w="471" w:type="pct"/>
            <w:tcBorders>
              <w:top w:val="single" w:sz="4" w:space="0" w:color="auto"/>
              <w:bottom w:val="nil"/>
            </w:tcBorders>
            <w:vAlign w:val="center"/>
          </w:tcPr>
          <w:p w14:paraId="6C4D5B89"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559,00</w:t>
            </w:r>
          </w:p>
        </w:tc>
      </w:tr>
      <w:tr w:rsidR="006356F1" w:rsidRPr="00C0505A" w14:paraId="422238BE" w14:textId="77777777" w:rsidTr="00217400">
        <w:trPr>
          <w:trHeight w:val="227"/>
        </w:trPr>
        <w:tc>
          <w:tcPr>
            <w:tcW w:w="1722" w:type="pct"/>
            <w:tcBorders>
              <w:top w:val="nil"/>
            </w:tcBorders>
            <w:shd w:val="clear" w:color="auto" w:fill="auto"/>
            <w:noWrap/>
            <w:vAlign w:val="center"/>
            <w:hideMark/>
          </w:tcPr>
          <w:p w14:paraId="75D7DF7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artigos ópticos</w:t>
            </w:r>
          </w:p>
        </w:tc>
        <w:tc>
          <w:tcPr>
            <w:tcW w:w="531" w:type="pct"/>
            <w:tcBorders>
              <w:top w:val="nil"/>
            </w:tcBorders>
            <w:shd w:val="clear" w:color="auto" w:fill="auto"/>
            <w:noWrap/>
            <w:vAlign w:val="center"/>
            <w:hideMark/>
          </w:tcPr>
          <w:p w14:paraId="75A5032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1.046.971,05</w:t>
            </w:r>
          </w:p>
        </w:tc>
        <w:tc>
          <w:tcPr>
            <w:tcW w:w="531" w:type="pct"/>
            <w:tcBorders>
              <w:top w:val="nil"/>
            </w:tcBorders>
            <w:shd w:val="clear" w:color="auto" w:fill="auto"/>
            <w:noWrap/>
            <w:vAlign w:val="center"/>
            <w:hideMark/>
          </w:tcPr>
          <w:p w14:paraId="5676625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164.772,83</w:t>
            </w:r>
          </w:p>
        </w:tc>
        <w:tc>
          <w:tcPr>
            <w:tcW w:w="529" w:type="pct"/>
            <w:tcBorders>
              <w:top w:val="nil"/>
            </w:tcBorders>
            <w:shd w:val="clear" w:color="auto" w:fill="auto"/>
            <w:noWrap/>
            <w:vAlign w:val="center"/>
            <w:hideMark/>
          </w:tcPr>
          <w:p w14:paraId="16A814A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357.842,96</w:t>
            </w:r>
          </w:p>
        </w:tc>
        <w:tc>
          <w:tcPr>
            <w:tcW w:w="487" w:type="pct"/>
            <w:tcBorders>
              <w:top w:val="nil"/>
            </w:tcBorders>
            <w:shd w:val="clear" w:color="auto" w:fill="auto"/>
            <w:noWrap/>
            <w:vAlign w:val="center"/>
            <w:hideMark/>
          </w:tcPr>
          <w:p w14:paraId="492D0B1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853.900,92</w:t>
            </w:r>
          </w:p>
        </w:tc>
        <w:tc>
          <w:tcPr>
            <w:tcW w:w="337" w:type="pct"/>
            <w:tcBorders>
              <w:top w:val="nil"/>
            </w:tcBorders>
            <w:shd w:val="clear" w:color="auto" w:fill="auto"/>
            <w:noWrap/>
            <w:vAlign w:val="center"/>
            <w:hideMark/>
          </w:tcPr>
          <w:p w14:paraId="600FECB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97</w:t>
            </w:r>
          </w:p>
        </w:tc>
        <w:tc>
          <w:tcPr>
            <w:tcW w:w="393" w:type="pct"/>
            <w:tcBorders>
              <w:top w:val="nil"/>
            </w:tcBorders>
            <w:shd w:val="clear" w:color="auto" w:fill="auto"/>
            <w:noWrap/>
            <w:vAlign w:val="center"/>
            <w:hideMark/>
          </w:tcPr>
          <w:p w14:paraId="5DF9F80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8.833,46</w:t>
            </w:r>
          </w:p>
        </w:tc>
        <w:tc>
          <w:tcPr>
            <w:tcW w:w="471" w:type="pct"/>
            <w:tcBorders>
              <w:top w:val="nil"/>
            </w:tcBorders>
            <w:vAlign w:val="center"/>
          </w:tcPr>
          <w:p w14:paraId="59AC4D6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679,50</w:t>
            </w:r>
          </w:p>
        </w:tc>
      </w:tr>
      <w:tr w:rsidR="006356F1" w:rsidRPr="00C0505A" w14:paraId="427E4E65" w14:textId="77777777" w:rsidTr="00217400">
        <w:trPr>
          <w:trHeight w:val="227"/>
        </w:trPr>
        <w:tc>
          <w:tcPr>
            <w:tcW w:w="1722" w:type="pct"/>
            <w:shd w:val="clear" w:color="auto" w:fill="auto"/>
            <w:noWrap/>
            <w:vAlign w:val="center"/>
            <w:hideMark/>
          </w:tcPr>
          <w:p w14:paraId="35E7A01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instrumentos não-eletrônicos e utensílios para uso médico, cirúrgico, odontológico e de laboratório</w:t>
            </w:r>
          </w:p>
        </w:tc>
        <w:tc>
          <w:tcPr>
            <w:tcW w:w="531" w:type="pct"/>
            <w:shd w:val="clear" w:color="auto" w:fill="auto"/>
            <w:noWrap/>
            <w:vAlign w:val="center"/>
            <w:hideMark/>
          </w:tcPr>
          <w:p w14:paraId="11F4C49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657.327,31</w:t>
            </w:r>
          </w:p>
        </w:tc>
        <w:tc>
          <w:tcPr>
            <w:tcW w:w="531" w:type="pct"/>
            <w:shd w:val="clear" w:color="auto" w:fill="auto"/>
            <w:noWrap/>
            <w:vAlign w:val="center"/>
            <w:hideMark/>
          </w:tcPr>
          <w:p w14:paraId="76264D23"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366A1CB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93.646,26</w:t>
            </w:r>
          </w:p>
        </w:tc>
        <w:tc>
          <w:tcPr>
            <w:tcW w:w="487" w:type="pct"/>
            <w:shd w:val="clear" w:color="auto" w:fill="auto"/>
            <w:noWrap/>
            <w:vAlign w:val="center"/>
            <w:hideMark/>
          </w:tcPr>
          <w:p w14:paraId="1FDC92F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563.681,05</w:t>
            </w:r>
          </w:p>
        </w:tc>
        <w:tc>
          <w:tcPr>
            <w:tcW w:w="337" w:type="pct"/>
            <w:shd w:val="clear" w:color="auto" w:fill="auto"/>
            <w:noWrap/>
            <w:vAlign w:val="center"/>
            <w:hideMark/>
          </w:tcPr>
          <w:p w14:paraId="6BFFCD1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134</w:t>
            </w:r>
          </w:p>
        </w:tc>
        <w:tc>
          <w:tcPr>
            <w:tcW w:w="393" w:type="pct"/>
            <w:shd w:val="clear" w:color="auto" w:fill="auto"/>
            <w:noWrap/>
            <w:vAlign w:val="center"/>
            <w:hideMark/>
          </w:tcPr>
          <w:p w14:paraId="4F6B319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4.211,81</w:t>
            </w:r>
          </w:p>
        </w:tc>
        <w:tc>
          <w:tcPr>
            <w:tcW w:w="471" w:type="pct"/>
            <w:vAlign w:val="center"/>
          </w:tcPr>
          <w:p w14:paraId="5E5A1FA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323,99</w:t>
            </w:r>
          </w:p>
        </w:tc>
      </w:tr>
      <w:tr w:rsidR="006356F1" w:rsidRPr="00C0505A" w14:paraId="258D9BFE" w14:textId="77777777" w:rsidTr="00217400">
        <w:trPr>
          <w:trHeight w:val="227"/>
        </w:trPr>
        <w:tc>
          <w:tcPr>
            <w:tcW w:w="1722" w:type="pct"/>
            <w:shd w:val="clear" w:color="auto" w:fill="auto"/>
            <w:noWrap/>
            <w:vAlign w:val="center"/>
            <w:hideMark/>
          </w:tcPr>
          <w:p w14:paraId="02926006"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materiais para medicina e odontologia</w:t>
            </w:r>
          </w:p>
        </w:tc>
        <w:tc>
          <w:tcPr>
            <w:tcW w:w="531" w:type="pct"/>
            <w:shd w:val="clear" w:color="auto" w:fill="auto"/>
            <w:noWrap/>
            <w:vAlign w:val="center"/>
            <w:hideMark/>
          </w:tcPr>
          <w:p w14:paraId="447A65C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5.463.235,82</w:t>
            </w:r>
          </w:p>
        </w:tc>
        <w:tc>
          <w:tcPr>
            <w:tcW w:w="531" w:type="pct"/>
            <w:shd w:val="clear" w:color="auto" w:fill="auto"/>
            <w:noWrap/>
            <w:vAlign w:val="center"/>
            <w:hideMark/>
          </w:tcPr>
          <w:p w14:paraId="26A035FB"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6B4393C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566.481,16</w:t>
            </w:r>
          </w:p>
        </w:tc>
        <w:tc>
          <w:tcPr>
            <w:tcW w:w="487" w:type="pct"/>
            <w:shd w:val="clear" w:color="auto" w:fill="auto"/>
            <w:noWrap/>
            <w:vAlign w:val="center"/>
            <w:hideMark/>
          </w:tcPr>
          <w:p w14:paraId="1A884E7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4.896.754,66</w:t>
            </w:r>
          </w:p>
        </w:tc>
        <w:tc>
          <w:tcPr>
            <w:tcW w:w="337" w:type="pct"/>
            <w:shd w:val="clear" w:color="auto" w:fill="auto"/>
            <w:noWrap/>
            <w:vAlign w:val="center"/>
            <w:hideMark/>
          </w:tcPr>
          <w:p w14:paraId="7A3644A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673</w:t>
            </w:r>
          </w:p>
        </w:tc>
        <w:tc>
          <w:tcPr>
            <w:tcW w:w="393" w:type="pct"/>
            <w:shd w:val="clear" w:color="auto" w:fill="auto"/>
            <w:noWrap/>
            <w:vAlign w:val="center"/>
            <w:hideMark/>
          </w:tcPr>
          <w:p w14:paraId="0EF4A15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7.274,21</w:t>
            </w:r>
          </w:p>
        </w:tc>
        <w:tc>
          <w:tcPr>
            <w:tcW w:w="471" w:type="pct"/>
            <w:vAlign w:val="center"/>
          </w:tcPr>
          <w:p w14:paraId="59DD9AE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559,55</w:t>
            </w:r>
          </w:p>
        </w:tc>
      </w:tr>
      <w:tr w:rsidR="006356F1" w:rsidRPr="00C0505A" w14:paraId="6B5F7346" w14:textId="77777777" w:rsidTr="00217400">
        <w:trPr>
          <w:trHeight w:val="227"/>
        </w:trPr>
        <w:tc>
          <w:tcPr>
            <w:tcW w:w="1722" w:type="pct"/>
            <w:shd w:val="clear" w:color="auto" w:fill="auto"/>
            <w:noWrap/>
            <w:vAlign w:val="center"/>
            <w:hideMark/>
          </w:tcPr>
          <w:p w14:paraId="44A6189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painéis e letreiros luminosos</w:t>
            </w:r>
          </w:p>
        </w:tc>
        <w:tc>
          <w:tcPr>
            <w:tcW w:w="531" w:type="pct"/>
            <w:shd w:val="clear" w:color="auto" w:fill="auto"/>
            <w:noWrap/>
            <w:vAlign w:val="center"/>
            <w:hideMark/>
          </w:tcPr>
          <w:p w14:paraId="330A575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371.237,46</w:t>
            </w:r>
          </w:p>
        </w:tc>
        <w:tc>
          <w:tcPr>
            <w:tcW w:w="531" w:type="pct"/>
            <w:shd w:val="clear" w:color="auto" w:fill="auto"/>
            <w:noWrap/>
            <w:vAlign w:val="center"/>
            <w:hideMark/>
          </w:tcPr>
          <w:p w14:paraId="2EC54919"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6192092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101.928,95</w:t>
            </w:r>
          </w:p>
        </w:tc>
        <w:tc>
          <w:tcPr>
            <w:tcW w:w="487" w:type="pct"/>
            <w:shd w:val="clear" w:color="auto" w:fill="auto"/>
            <w:noWrap/>
            <w:vAlign w:val="center"/>
            <w:hideMark/>
          </w:tcPr>
          <w:p w14:paraId="3A767C3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269.308,51</w:t>
            </w:r>
          </w:p>
        </w:tc>
        <w:tc>
          <w:tcPr>
            <w:tcW w:w="337" w:type="pct"/>
            <w:shd w:val="clear" w:color="auto" w:fill="auto"/>
            <w:noWrap/>
            <w:vAlign w:val="center"/>
            <w:hideMark/>
          </w:tcPr>
          <w:p w14:paraId="6E88B37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31</w:t>
            </w:r>
          </w:p>
        </w:tc>
        <w:tc>
          <w:tcPr>
            <w:tcW w:w="393" w:type="pct"/>
            <w:shd w:val="clear" w:color="auto" w:fill="auto"/>
            <w:noWrap/>
            <w:vAlign w:val="center"/>
            <w:hideMark/>
          </w:tcPr>
          <w:p w14:paraId="0D59690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8.758,00</w:t>
            </w:r>
          </w:p>
        </w:tc>
        <w:tc>
          <w:tcPr>
            <w:tcW w:w="471" w:type="pct"/>
            <w:vAlign w:val="center"/>
          </w:tcPr>
          <w:p w14:paraId="3A1FA73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673,69</w:t>
            </w:r>
          </w:p>
        </w:tc>
      </w:tr>
      <w:tr w:rsidR="006356F1" w:rsidRPr="00C0505A" w14:paraId="479FD5BB" w14:textId="77777777" w:rsidTr="00217400">
        <w:trPr>
          <w:trHeight w:val="227"/>
        </w:trPr>
        <w:tc>
          <w:tcPr>
            <w:tcW w:w="1722" w:type="pct"/>
            <w:tcBorders>
              <w:bottom w:val="single" w:sz="4" w:space="0" w:color="auto"/>
            </w:tcBorders>
            <w:shd w:val="clear" w:color="auto" w:fill="auto"/>
            <w:noWrap/>
            <w:vAlign w:val="center"/>
            <w:hideMark/>
          </w:tcPr>
          <w:p w14:paraId="47D63366"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produtos diversos não especificados anteriormente</w:t>
            </w:r>
          </w:p>
        </w:tc>
        <w:tc>
          <w:tcPr>
            <w:tcW w:w="531" w:type="pct"/>
            <w:tcBorders>
              <w:bottom w:val="single" w:sz="4" w:space="0" w:color="auto"/>
            </w:tcBorders>
            <w:shd w:val="clear" w:color="auto" w:fill="auto"/>
            <w:noWrap/>
            <w:vAlign w:val="center"/>
            <w:hideMark/>
          </w:tcPr>
          <w:p w14:paraId="7F7EAA5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5.177.056,40</w:t>
            </w:r>
          </w:p>
        </w:tc>
        <w:tc>
          <w:tcPr>
            <w:tcW w:w="531" w:type="pct"/>
            <w:tcBorders>
              <w:bottom w:val="single" w:sz="4" w:space="0" w:color="auto"/>
            </w:tcBorders>
            <w:shd w:val="clear" w:color="auto" w:fill="auto"/>
            <w:noWrap/>
            <w:vAlign w:val="center"/>
            <w:hideMark/>
          </w:tcPr>
          <w:p w14:paraId="3959C717"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44377E0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1.102.454,74</w:t>
            </w:r>
          </w:p>
        </w:tc>
        <w:tc>
          <w:tcPr>
            <w:tcW w:w="487" w:type="pct"/>
            <w:tcBorders>
              <w:bottom w:val="single" w:sz="4" w:space="0" w:color="auto"/>
            </w:tcBorders>
            <w:shd w:val="clear" w:color="auto" w:fill="auto"/>
            <w:noWrap/>
            <w:vAlign w:val="center"/>
            <w:hideMark/>
          </w:tcPr>
          <w:p w14:paraId="1FEA564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4.074.601,66</w:t>
            </w:r>
          </w:p>
        </w:tc>
        <w:tc>
          <w:tcPr>
            <w:tcW w:w="337" w:type="pct"/>
            <w:tcBorders>
              <w:bottom w:val="single" w:sz="4" w:space="0" w:color="auto"/>
            </w:tcBorders>
            <w:shd w:val="clear" w:color="auto" w:fill="auto"/>
            <w:noWrap/>
            <w:vAlign w:val="center"/>
            <w:hideMark/>
          </w:tcPr>
          <w:p w14:paraId="7BFD31D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532</w:t>
            </w:r>
          </w:p>
        </w:tc>
        <w:tc>
          <w:tcPr>
            <w:tcW w:w="393" w:type="pct"/>
            <w:tcBorders>
              <w:bottom w:val="single" w:sz="4" w:space="0" w:color="auto"/>
            </w:tcBorders>
            <w:shd w:val="clear" w:color="auto" w:fill="auto"/>
            <w:noWrap/>
            <w:vAlign w:val="center"/>
            <w:hideMark/>
          </w:tcPr>
          <w:p w14:paraId="3B6EFB7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7.655,43</w:t>
            </w:r>
          </w:p>
        </w:tc>
        <w:tc>
          <w:tcPr>
            <w:tcW w:w="471" w:type="pct"/>
            <w:tcBorders>
              <w:bottom w:val="single" w:sz="4" w:space="0" w:color="auto"/>
            </w:tcBorders>
            <w:vAlign w:val="center"/>
          </w:tcPr>
          <w:p w14:paraId="2BB1308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588,88</w:t>
            </w:r>
          </w:p>
        </w:tc>
      </w:tr>
      <w:tr w:rsidR="006356F1" w:rsidRPr="00C0505A" w14:paraId="35D58C46" w14:textId="77777777" w:rsidTr="00217400">
        <w:trPr>
          <w:trHeight w:val="227"/>
        </w:trPr>
        <w:tc>
          <w:tcPr>
            <w:tcW w:w="1722" w:type="pct"/>
            <w:tcBorders>
              <w:top w:val="single" w:sz="4" w:space="0" w:color="auto"/>
              <w:bottom w:val="nil"/>
            </w:tcBorders>
            <w:shd w:val="clear" w:color="auto" w:fill="auto"/>
            <w:noWrap/>
            <w:vAlign w:val="center"/>
            <w:hideMark/>
          </w:tcPr>
          <w:p w14:paraId="59D7383B"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PRODUTOS FARMOQUÍMICOS E FARMACÊUTICOS</w:t>
            </w:r>
          </w:p>
        </w:tc>
        <w:tc>
          <w:tcPr>
            <w:tcW w:w="531" w:type="pct"/>
            <w:tcBorders>
              <w:top w:val="single" w:sz="4" w:space="0" w:color="auto"/>
              <w:bottom w:val="nil"/>
            </w:tcBorders>
            <w:shd w:val="clear" w:color="auto" w:fill="auto"/>
            <w:noWrap/>
            <w:vAlign w:val="center"/>
            <w:hideMark/>
          </w:tcPr>
          <w:p w14:paraId="30950C59"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114.724.238,01</w:t>
            </w:r>
          </w:p>
        </w:tc>
        <w:tc>
          <w:tcPr>
            <w:tcW w:w="531" w:type="pct"/>
            <w:tcBorders>
              <w:top w:val="single" w:sz="4" w:space="0" w:color="auto"/>
              <w:bottom w:val="nil"/>
            </w:tcBorders>
            <w:shd w:val="clear" w:color="auto" w:fill="auto"/>
            <w:noWrap/>
            <w:vAlign w:val="center"/>
            <w:hideMark/>
          </w:tcPr>
          <w:p w14:paraId="61076ECC"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75327859"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19.758.074,34</w:t>
            </w:r>
          </w:p>
        </w:tc>
        <w:tc>
          <w:tcPr>
            <w:tcW w:w="487" w:type="pct"/>
            <w:tcBorders>
              <w:top w:val="single" w:sz="4" w:space="0" w:color="auto"/>
              <w:bottom w:val="nil"/>
            </w:tcBorders>
            <w:shd w:val="clear" w:color="auto" w:fill="auto"/>
            <w:noWrap/>
            <w:vAlign w:val="center"/>
            <w:hideMark/>
          </w:tcPr>
          <w:p w14:paraId="2C3FF248"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94.966.163,67</w:t>
            </w:r>
          </w:p>
        </w:tc>
        <w:tc>
          <w:tcPr>
            <w:tcW w:w="337" w:type="pct"/>
            <w:tcBorders>
              <w:top w:val="single" w:sz="4" w:space="0" w:color="auto"/>
              <w:bottom w:val="nil"/>
            </w:tcBorders>
            <w:shd w:val="clear" w:color="auto" w:fill="auto"/>
            <w:noWrap/>
            <w:vAlign w:val="center"/>
            <w:hideMark/>
          </w:tcPr>
          <w:p w14:paraId="2C3E890D"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6.915</w:t>
            </w:r>
          </w:p>
        </w:tc>
        <w:tc>
          <w:tcPr>
            <w:tcW w:w="393" w:type="pct"/>
            <w:tcBorders>
              <w:top w:val="single" w:sz="4" w:space="0" w:color="auto"/>
              <w:bottom w:val="nil"/>
            </w:tcBorders>
            <w:shd w:val="clear" w:color="auto" w:fill="auto"/>
            <w:noWrap/>
            <w:vAlign w:val="center"/>
            <w:hideMark/>
          </w:tcPr>
          <w:p w14:paraId="761C89D7"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13.733,36</w:t>
            </w:r>
          </w:p>
        </w:tc>
        <w:tc>
          <w:tcPr>
            <w:tcW w:w="471" w:type="pct"/>
            <w:tcBorders>
              <w:top w:val="single" w:sz="4" w:space="0" w:color="auto"/>
              <w:bottom w:val="nil"/>
            </w:tcBorders>
            <w:vAlign w:val="center"/>
          </w:tcPr>
          <w:p w14:paraId="3FE1004E"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1.056,41</w:t>
            </w:r>
          </w:p>
        </w:tc>
      </w:tr>
      <w:tr w:rsidR="006356F1" w:rsidRPr="00C0505A" w14:paraId="4426E1F6" w14:textId="77777777" w:rsidTr="00217400">
        <w:trPr>
          <w:trHeight w:val="227"/>
        </w:trPr>
        <w:tc>
          <w:tcPr>
            <w:tcW w:w="1722" w:type="pct"/>
            <w:tcBorders>
              <w:top w:val="nil"/>
            </w:tcBorders>
            <w:shd w:val="clear" w:color="auto" w:fill="auto"/>
            <w:noWrap/>
            <w:vAlign w:val="center"/>
            <w:hideMark/>
          </w:tcPr>
          <w:p w14:paraId="5C732E66"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Fabricação de medicamentos alopáticos para uso humano</w:t>
            </w:r>
          </w:p>
        </w:tc>
        <w:tc>
          <w:tcPr>
            <w:tcW w:w="531" w:type="pct"/>
            <w:tcBorders>
              <w:top w:val="nil"/>
            </w:tcBorders>
            <w:shd w:val="clear" w:color="auto" w:fill="auto"/>
            <w:noWrap/>
            <w:vAlign w:val="center"/>
            <w:hideMark/>
          </w:tcPr>
          <w:p w14:paraId="49C7D82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103.427.448,76</w:t>
            </w:r>
          </w:p>
        </w:tc>
        <w:tc>
          <w:tcPr>
            <w:tcW w:w="531" w:type="pct"/>
            <w:tcBorders>
              <w:top w:val="nil"/>
            </w:tcBorders>
            <w:shd w:val="clear" w:color="auto" w:fill="auto"/>
            <w:noWrap/>
            <w:vAlign w:val="center"/>
            <w:hideMark/>
          </w:tcPr>
          <w:p w14:paraId="12BBDC29"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4BF9C6C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17.806.855,81</w:t>
            </w:r>
          </w:p>
        </w:tc>
        <w:tc>
          <w:tcPr>
            <w:tcW w:w="487" w:type="pct"/>
            <w:tcBorders>
              <w:top w:val="nil"/>
            </w:tcBorders>
            <w:shd w:val="clear" w:color="auto" w:fill="auto"/>
            <w:noWrap/>
            <w:vAlign w:val="center"/>
            <w:hideMark/>
          </w:tcPr>
          <w:p w14:paraId="484B3E0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85.620.592,95</w:t>
            </w:r>
          </w:p>
        </w:tc>
        <w:tc>
          <w:tcPr>
            <w:tcW w:w="337" w:type="pct"/>
            <w:tcBorders>
              <w:top w:val="nil"/>
            </w:tcBorders>
            <w:shd w:val="clear" w:color="auto" w:fill="auto"/>
            <w:noWrap/>
            <w:vAlign w:val="center"/>
            <w:hideMark/>
          </w:tcPr>
          <w:p w14:paraId="09981AF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6.673</w:t>
            </w:r>
          </w:p>
        </w:tc>
        <w:tc>
          <w:tcPr>
            <w:tcW w:w="393" w:type="pct"/>
            <w:tcBorders>
              <w:top w:val="nil"/>
            </w:tcBorders>
            <w:shd w:val="clear" w:color="auto" w:fill="auto"/>
            <w:noWrap/>
            <w:vAlign w:val="center"/>
            <w:hideMark/>
          </w:tcPr>
          <w:p w14:paraId="2B4F4FF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12.830,42</w:t>
            </w:r>
          </w:p>
        </w:tc>
        <w:tc>
          <w:tcPr>
            <w:tcW w:w="471" w:type="pct"/>
            <w:tcBorders>
              <w:top w:val="nil"/>
            </w:tcBorders>
            <w:vAlign w:val="center"/>
          </w:tcPr>
          <w:p w14:paraId="1CBAC51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986,96</w:t>
            </w:r>
          </w:p>
        </w:tc>
      </w:tr>
      <w:tr w:rsidR="006356F1" w:rsidRPr="00C0505A" w14:paraId="52293BA6" w14:textId="77777777" w:rsidTr="00217400">
        <w:trPr>
          <w:trHeight w:val="227"/>
        </w:trPr>
        <w:tc>
          <w:tcPr>
            <w:tcW w:w="1722" w:type="pct"/>
            <w:shd w:val="clear" w:color="auto" w:fill="auto"/>
            <w:noWrap/>
            <w:vAlign w:val="center"/>
            <w:hideMark/>
          </w:tcPr>
          <w:p w14:paraId="22B76A7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preparações farmacêuticas</w:t>
            </w:r>
          </w:p>
        </w:tc>
        <w:tc>
          <w:tcPr>
            <w:tcW w:w="531" w:type="pct"/>
            <w:shd w:val="clear" w:color="auto" w:fill="auto"/>
            <w:noWrap/>
            <w:vAlign w:val="center"/>
            <w:hideMark/>
          </w:tcPr>
          <w:p w14:paraId="717C37B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549.284,45</w:t>
            </w:r>
          </w:p>
        </w:tc>
        <w:tc>
          <w:tcPr>
            <w:tcW w:w="531" w:type="pct"/>
            <w:shd w:val="clear" w:color="auto" w:fill="auto"/>
            <w:noWrap/>
            <w:vAlign w:val="center"/>
            <w:hideMark/>
          </w:tcPr>
          <w:p w14:paraId="457325B3"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6D7A2E5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49.331,72</w:t>
            </w:r>
          </w:p>
        </w:tc>
        <w:tc>
          <w:tcPr>
            <w:tcW w:w="487" w:type="pct"/>
            <w:shd w:val="clear" w:color="auto" w:fill="auto"/>
            <w:noWrap/>
            <w:vAlign w:val="center"/>
            <w:hideMark/>
          </w:tcPr>
          <w:p w14:paraId="035102D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499.952,73</w:t>
            </w:r>
          </w:p>
        </w:tc>
        <w:tc>
          <w:tcPr>
            <w:tcW w:w="337" w:type="pct"/>
            <w:shd w:val="clear" w:color="auto" w:fill="auto"/>
            <w:noWrap/>
            <w:vAlign w:val="center"/>
            <w:hideMark/>
          </w:tcPr>
          <w:p w14:paraId="55E7E64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w:t>
            </w:r>
          </w:p>
        </w:tc>
        <w:tc>
          <w:tcPr>
            <w:tcW w:w="393" w:type="pct"/>
            <w:shd w:val="clear" w:color="auto" w:fill="auto"/>
            <w:noWrap/>
            <w:vAlign w:val="center"/>
            <w:hideMark/>
          </w:tcPr>
          <w:p w14:paraId="3C79ED4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53.566,36</w:t>
            </w:r>
          </w:p>
        </w:tc>
        <w:tc>
          <w:tcPr>
            <w:tcW w:w="471" w:type="pct"/>
            <w:vAlign w:val="center"/>
          </w:tcPr>
          <w:p w14:paraId="2C9102E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4.120,49</w:t>
            </w:r>
          </w:p>
        </w:tc>
      </w:tr>
      <w:tr w:rsidR="006356F1" w:rsidRPr="00C0505A" w14:paraId="6FDF66BA" w14:textId="77777777" w:rsidTr="00217400">
        <w:trPr>
          <w:trHeight w:val="227"/>
        </w:trPr>
        <w:tc>
          <w:tcPr>
            <w:tcW w:w="1722" w:type="pct"/>
            <w:tcBorders>
              <w:bottom w:val="single" w:sz="4" w:space="0" w:color="auto"/>
            </w:tcBorders>
            <w:shd w:val="clear" w:color="auto" w:fill="auto"/>
            <w:noWrap/>
            <w:vAlign w:val="center"/>
            <w:hideMark/>
          </w:tcPr>
          <w:p w14:paraId="12E22015"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produtos farmoquímicos</w:t>
            </w:r>
          </w:p>
        </w:tc>
        <w:tc>
          <w:tcPr>
            <w:tcW w:w="531" w:type="pct"/>
            <w:tcBorders>
              <w:bottom w:val="single" w:sz="4" w:space="0" w:color="auto"/>
            </w:tcBorders>
            <w:shd w:val="clear" w:color="auto" w:fill="auto"/>
            <w:noWrap/>
            <w:vAlign w:val="center"/>
            <w:hideMark/>
          </w:tcPr>
          <w:p w14:paraId="07F571C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10.747.504,80</w:t>
            </w:r>
          </w:p>
        </w:tc>
        <w:tc>
          <w:tcPr>
            <w:tcW w:w="531" w:type="pct"/>
            <w:tcBorders>
              <w:bottom w:val="single" w:sz="4" w:space="0" w:color="auto"/>
            </w:tcBorders>
            <w:shd w:val="clear" w:color="auto" w:fill="auto"/>
            <w:noWrap/>
            <w:vAlign w:val="center"/>
            <w:hideMark/>
          </w:tcPr>
          <w:p w14:paraId="6E1A1F27"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7B2A08C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1.901.886,81</w:t>
            </w:r>
          </w:p>
        </w:tc>
        <w:tc>
          <w:tcPr>
            <w:tcW w:w="487" w:type="pct"/>
            <w:tcBorders>
              <w:bottom w:val="single" w:sz="4" w:space="0" w:color="auto"/>
            </w:tcBorders>
            <w:shd w:val="clear" w:color="auto" w:fill="auto"/>
            <w:noWrap/>
            <w:vAlign w:val="center"/>
            <w:hideMark/>
          </w:tcPr>
          <w:p w14:paraId="169FFD5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8.845.617,99</w:t>
            </w:r>
          </w:p>
        </w:tc>
        <w:tc>
          <w:tcPr>
            <w:tcW w:w="337" w:type="pct"/>
            <w:tcBorders>
              <w:bottom w:val="single" w:sz="4" w:space="0" w:color="auto"/>
            </w:tcBorders>
            <w:shd w:val="clear" w:color="auto" w:fill="auto"/>
            <w:noWrap/>
            <w:vAlign w:val="center"/>
            <w:hideMark/>
          </w:tcPr>
          <w:p w14:paraId="12C6788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232</w:t>
            </w:r>
          </w:p>
        </w:tc>
        <w:tc>
          <w:tcPr>
            <w:tcW w:w="393" w:type="pct"/>
            <w:tcBorders>
              <w:bottom w:val="single" w:sz="4" w:space="0" w:color="auto"/>
            </w:tcBorders>
            <w:shd w:val="clear" w:color="auto" w:fill="auto"/>
            <w:noWrap/>
            <w:vAlign w:val="center"/>
            <w:hideMark/>
          </w:tcPr>
          <w:p w14:paraId="630A93E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38.059,31</w:t>
            </w:r>
          </w:p>
        </w:tc>
        <w:tc>
          <w:tcPr>
            <w:tcW w:w="471" w:type="pct"/>
            <w:tcBorders>
              <w:bottom w:val="single" w:sz="4" w:space="0" w:color="auto"/>
            </w:tcBorders>
            <w:vAlign w:val="center"/>
          </w:tcPr>
          <w:p w14:paraId="27D9F6D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2.927,64</w:t>
            </w:r>
          </w:p>
        </w:tc>
      </w:tr>
      <w:tr w:rsidR="006356F1" w:rsidRPr="00C0505A" w14:paraId="300A1C5D" w14:textId="77777777" w:rsidTr="00217400">
        <w:trPr>
          <w:trHeight w:val="227"/>
        </w:trPr>
        <w:tc>
          <w:tcPr>
            <w:tcW w:w="1722" w:type="pct"/>
            <w:tcBorders>
              <w:top w:val="single" w:sz="4" w:space="0" w:color="auto"/>
              <w:bottom w:val="nil"/>
            </w:tcBorders>
            <w:shd w:val="clear" w:color="auto" w:fill="auto"/>
            <w:noWrap/>
            <w:vAlign w:val="center"/>
            <w:hideMark/>
          </w:tcPr>
          <w:p w14:paraId="6874D87E"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PRODUTOS QUÍMICOS</w:t>
            </w:r>
          </w:p>
        </w:tc>
        <w:tc>
          <w:tcPr>
            <w:tcW w:w="531" w:type="pct"/>
            <w:tcBorders>
              <w:top w:val="single" w:sz="4" w:space="0" w:color="auto"/>
              <w:bottom w:val="nil"/>
            </w:tcBorders>
            <w:shd w:val="clear" w:color="auto" w:fill="auto"/>
            <w:noWrap/>
            <w:vAlign w:val="center"/>
            <w:hideMark/>
          </w:tcPr>
          <w:p w14:paraId="65A23B67"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71.161.246,86</w:t>
            </w:r>
          </w:p>
        </w:tc>
        <w:tc>
          <w:tcPr>
            <w:tcW w:w="531" w:type="pct"/>
            <w:tcBorders>
              <w:top w:val="single" w:sz="4" w:space="0" w:color="auto"/>
              <w:bottom w:val="nil"/>
            </w:tcBorders>
            <w:shd w:val="clear" w:color="auto" w:fill="auto"/>
            <w:noWrap/>
            <w:vAlign w:val="center"/>
            <w:hideMark/>
          </w:tcPr>
          <w:p w14:paraId="1BCDD242"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420800C6"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15.081.360,77</w:t>
            </w:r>
          </w:p>
        </w:tc>
        <w:tc>
          <w:tcPr>
            <w:tcW w:w="487" w:type="pct"/>
            <w:tcBorders>
              <w:top w:val="single" w:sz="4" w:space="0" w:color="auto"/>
              <w:bottom w:val="nil"/>
            </w:tcBorders>
            <w:shd w:val="clear" w:color="auto" w:fill="auto"/>
            <w:noWrap/>
            <w:vAlign w:val="center"/>
            <w:hideMark/>
          </w:tcPr>
          <w:p w14:paraId="48127AC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56.079.886,09</w:t>
            </w:r>
          </w:p>
        </w:tc>
        <w:tc>
          <w:tcPr>
            <w:tcW w:w="337" w:type="pct"/>
            <w:tcBorders>
              <w:top w:val="single" w:sz="4" w:space="0" w:color="auto"/>
              <w:bottom w:val="nil"/>
            </w:tcBorders>
            <w:shd w:val="clear" w:color="auto" w:fill="auto"/>
            <w:noWrap/>
            <w:vAlign w:val="center"/>
            <w:hideMark/>
          </w:tcPr>
          <w:p w14:paraId="07FC1B4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3.057</w:t>
            </w:r>
          </w:p>
        </w:tc>
        <w:tc>
          <w:tcPr>
            <w:tcW w:w="393" w:type="pct"/>
            <w:tcBorders>
              <w:top w:val="single" w:sz="4" w:space="0" w:color="auto"/>
              <w:bottom w:val="nil"/>
            </w:tcBorders>
            <w:shd w:val="clear" w:color="auto" w:fill="auto"/>
            <w:noWrap/>
            <w:vAlign w:val="center"/>
            <w:hideMark/>
          </w:tcPr>
          <w:p w14:paraId="6DAE379F"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18.343,75</w:t>
            </w:r>
          </w:p>
        </w:tc>
        <w:tc>
          <w:tcPr>
            <w:tcW w:w="471" w:type="pct"/>
            <w:tcBorders>
              <w:top w:val="single" w:sz="4" w:space="0" w:color="auto"/>
              <w:bottom w:val="nil"/>
            </w:tcBorders>
            <w:vAlign w:val="center"/>
          </w:tcPr>
          <w:p w14:paraId="4F98B2A4"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1.411,06</w:t>
            </w:r>
          </w:p>
        </w:tc>
      </w:tr>
      <w:tr w:rsidR="006356F1" w:rsidRPr="00C0505A" w14:paraId="5755E140" w14:textId="77777777" w:rsidTr="00217400">
        <w:trPr>
          <w:trHeight w:val="227"/>
        </w:trPr>
        <w:tc>
          <w:tcPr>
            <w:tcW w:w="1722" w:type="pct"/>
            <w:tcBorders>
              <w:top w:val="nil"/>
            </w:tcBorders>
            <w:shd w:val="clear" w:color="auto" w:fill="auto"/>
            <w:noWrap/>
            <w:vAlign w:val="center"/>
            <w:hideMark/>
          </w:tcPr>
          <w:p w14:paraId="0EEEED0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cosméticos, produtos de perfumaria e de higiene pessoal</w:t>
            </w:r>
          </w:p>
        </w:tc>
        <w:tc>
          <w:tcPr>
            <w:tcW w:w="531" w:type="pct"/>
            <w:tcBorders>
              <w:top w:val="nil"/>
            </w:tcBorders>
            <w:shd w:val="clear" w:color="auto" w:fill="auto"/>
            <w:noWrap/>
            <w:vAlign w:val="center"/>
            <w:hideMark/>
          </w:tcPr>
          <w:p w14:paraId="7F073BA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4.579.841,45</w:t>
            </w:r>
          </w:p>
        </w:tc>
        <w:tc>
          <w:tcPr>
            <w:tcW w:w="531" w:type="pct"/>
            <w:tcBorders>
              <w:top w:val="nil"/>
            </w:tcBorders>
            <w:shd w:val="clear" w:color="auto" w:fill="auto"/>
            <w:noWrap/>
            <w:vAlign w:val="center"/>
            <w:hideMark/>
          </w:tcPr>
          <w:p w14:paraId="5388F612"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4855008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1.839.426,91</w:t>
            </w:r>
          </w:p>
        </w:tc>
        <w:tc>
          <w:tcPr>
            <w:tcW w:w="487" w:type="pct"/>
            <w:tcBorders>
              <w:top w:val="nil"/>
            </w:tcBorders>
            <w:shd w:val="clear" w:color="auto" w:fill="auto"/>
            <w:noWrap/>
            <w:vAlign w:val="center"/>
            <w:hideMark/>
          </w:tcPr>
          <w:p w14:paraId="000336A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2.740.414,54</w:t>
            </w:r>
          </w:p>
        </w:tc>
        <w:tc>
          <w:tcPr>
            <w:tcW w:w="337" w:type="pct"/>
            <w:tcBorders>
              <w:top w:val="nil"/>
            </w:tcBorders>
            <w:shd w:val="clear" w:color="auto" w:fill="auto"/>
            <w:noWrap/>
            <w:vAlign w:val="center"/>
            <w:hideMark/>
          </w:tcPr>
          <w:p w14:paraId="16539FA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1.036</w:t>
            </w:r>
          </w:p>
        </w:tc>
        <w:tc>
          <w:tcPr>
            <w:tcW w:w="393" w:type="pct"/>
            <w:tcBorders>
              <w:top w:val="nil"/>
            </w:tcBorders>
            <w:shd w:val="clear" w:color="auto" w:fill="auto"/>
            <w:noWrap/>
            <w:vAlign w:val="center"/>
            <w:hideMark/>
          </w:tcPr>
          <w:p w14:paraId="2121538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2.645,83</w:t>
            </w:r>
          </w:p>
        </w:tc>
        <w:tc>
          <w:tcPr>
            <w:tcW w:w="471" w:type="pct"/>
            <w:tcBorders>
              <w:top w:val="nil"/>
            </w:tcBorders>
            <w:vAlign w:val="center"/>
          </w:tcPr>
          <w:p w14:paraId="168DC1F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203,53</w:t>
            </w:r>
          </w:p>
        </w:tc>
      </w:tr>
      <w:tr w:rsidR="006356F1" w:rsidRPr="00C0505A" w14:paraId="1F893094" w14:textId="77777777" w:rsidTr="00217400">
        <w:trPr>
          <w:trHeight w:val="227"/>
        </w:trPr>
        <w:tc>
          <w:tcPr>
            <w:tcW w:w="1722" w:type="pct"/>
            <w:shd w:val="clear" w:color="auto" w:fill="auto"/>
            <w:noWrap/>
            <w:vAlign w:val="center"/>
            <w:hideMark/>
          </w:tcPr>
          <w:p w14:paraId="14AF3A45"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desinfestantes domissanitários</w:t>
            </w:r>
          </w:p>
        </w:tc>
        <w:tc>
          <w:tcPr>
            <w:tcW w:w="531" w:type="pct"/>
            <w:shd w:val="clear" w:color="auto" w:fill="auto"/>
            <w:noWrap/>
            <w:vAlign w:val="center"/>
            <w:hideMark/>
          </w:tcPr>
          <w:p w14:paraId="215B14F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1.017.766,99</w:t>
            </w:r>
          </w:p>
        </w:tc>
        <w:tc>
          <w:tcPr>
            <w:tcW w:w="531" w:type="pct"/>
            <w:shd w:val="clear" w:color="auto" w:fill="auto"/>
            <w:noWrap/>
            <w:vAlign w:val="center"/>
            <w:hideMark/>
          </w:tcPr>
          <w:p w14:paraId="3E407F3B"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4B5DCE0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175.230,72</w:t>
            </w:r>
          </w:p>
        </w:tc>
        <w:tc>
          <w:tcPr>
            <w:tcW w:w="487" w:type="pct"/>
            <w:shd w:val="clear" w:color="auto" w:fill="auto"/>
            <w:noWrap/>
            <w:vAlign w:val="center"/>
            <w:hideMark/>
          </w:tcPr>
          <w:p w14:paraId="68B6BDD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842.536,27</w:t>
            </w:r>
          </w:p>
        </w:tc>
        <w:tc>
          <w:tcPr>
            <w:tcW w:w="337" w:type="pct"/>
            <w:shd w:val="clear" w:color="auto" w:fill="auto"/>
            <w:noWrap/>
            <w:vAlign w:val="center"/>
            <w:hideMark/>
          </w:tcPr>
          <w:p w14:paraId="459D90E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86</w:t>
            </w:r>
          </w:p>
        </w:tc>
        <w:tc>
          <w:tcPr>
            <w:tcW w:w="393" w:type="pct"/>
            <w:shd w:val="clear" w:color="auto" w:fill="auto"/>
            <w:noWrap/>
            <w:vAlign w:val="center"/>
            <w:hideMark/>
          </w:tcPr>
          <w:p w14:paraId="48CD102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9.796,93</w:t>
            </w:r>
          </w:p>
        </w:tc>
        <w:tc>
          <w:tcPr>
            <w:tcW w:w="471" w:type="pct"/>
            <w:vAlign w:val="center"/>
          </w:tcPr>
          <w:p w14:paraId="7DF0F23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753,61</w:t>
            </w:r>
          </w:p>
        </w:tc>
      </w:tr>
      <w:tr w:rsidR="006356F1" w:rsidRPr="00C0505A" w14:paraId="508D2456" w14:textId="77777777" w:rsidTr="00217400">
        <w:trPr>
          <w:trHeight w:val="227"/>
        </w:trPr>
        <w:tc>
          <w:tcPr>
            <w:tcW w:w="1722" w:type="pct"/>
            <w:shd w:val="clear" w:color="auto" w:fill="auto"/>
            <w:noWrap/>
            <w:vAlign w:val="center"/>
            <w:hideMark/>
          </w:tcPr>
          <w:p w14:paraId="6D195656"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gases industriais</w:t>
            </w:r>
          </w:p>
        </w:tc>
        <w:tc>
          <w:tcPr>
            <w:tcW w:w="531" w:type="pct"/>
            <w:shd w:val="clear" w:color="auto" w:fill="auto"/>
            <w:noWrap/>
            <w:vAlign w:val="center"/>
            <w:hideMark/>
          </w:tcPr>
          <w:p w14:paraId="0012006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343.495,25</w:t>
            </w:r>
          </w:p>
        </w:tc>
        <w:tc>
          <w:tcPr>
            <w:tcW w:w="531" w:type="pct"/>
            <w:shd w:val="clear" w:color="auto" w:fill="auto"/>
            <w:noWrap/>
            <w:vAlign w:val="center"/>
            <w:hideMark/>
          </w:tcPr>
          <w:p w14:paraId="4DA63D45"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7D894F5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130.123,69</w:t>
            </w:r>
          </w:p>
        </w:tc>
        <w:tc>
          <w:tcPr>
            <w:tcW w:w="487" w:type="pct"/>
            <w:shd w:val="clear" w:color="auto" w:fill="auto"/>
            <w:noWrap/>
            <w:vAlign w:val="center"/>
            <w:hideMark/>
          </w:tcPr>
          <w:p w14:paraId="17B5AAD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213.371,56</w:t>
            </w:r>
          </w:p>
        </w:tc>
        <w:tc>
          <w:tcPr>
            <w:tcW w:w="337" w:type="pct"/>
            <w:shd w:val="clear" w:color="auto" w:fill="auto"/>
            <w:noWrap/>
            <w:vAlign w:val="center"/>
            <w:hideMark/>
          </w:tcPr>
          <w:p w14:paraId="2F6741F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w:t>
            </w:r>
          </w:p>
        </w:tc>
        <w:tc>
          <w:tcPr>
            <w:tcW w:w="393" w:type="pct"/>
            <w:shd w:val="clear" w:color="auto" w:fill="auto"/>
            <w:noWrap/>
            <w:vAlign w:val="center"/>
            <w:hideMark/>
          </w:tcPr>
          <w:p w14:paraId="275B388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11.964,76</w:t>
            </w:r>
          </w:p>
        </w:tc>
        <w:tc>
          <w:tcPr>
            <w:tcW w:w="471" w:type="pct"/>
            <w:vAlign w:val="center"/>
          </w:tcPr>
          <w:p w14:paraId="7193DCD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920,37</w:t>
            </w:r>
          </w:p>
        </w:tc>
      </w:tr>
      <w:tr w:rsidR="006356F1" w:rsidRPr="00C0505A" w14:paraId="17190F83" w14:textId="77777777" w:rsidTr="00217400">
        <w:trPr>
          <w:trHeight w:val="227"/>
        </w:trPr>
        <w:tc>
          <w:tcPr>
            <w:tcW w:w="1722" w:type="pct"/>
            <w:shd w:val="clear" w:color="auto" w:fill="auto"/>
            <w:noWrap/>
            <w:vAlign w:val="center"/>
            <w:hideMark/>
          </w:tcPr>
          <w:p w14:paraId="51B7E277"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impermeabilizantes, solventes e produtos afins</w:t>
            </w:r>
          </w:p>
        </w:tc>
        <w:tc>
          <w:tcPr>
            <w:tcW w:w="531" w:type="pct"/>
            <w:shd w:val="clear" w:color="auto" w:fill="auto"/>
            <w:noWrap/>
            <w:vAlign w:val="center"/>
            <w:hideMark/>
          </w:tcPr>
          <w:p w14:paraId="1677C64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1.072.016,10</w:t>
            </w:r>
          </w:p>
        </w:tc>
        <w:tc>
          <w:tcPr>
            <w:tcW w:w="531" w:type="pct"/>
            <w:shd w:val="clear" w:color="auto" w:fill="auto"/>
            <w:noWrap/>
            <w:vAlign w:val="center"/>
            <w:hideMark/>
          </w:tcPr>
          <w:p w14:paraId="0BFF2E00"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794680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182.141,25</w:t>
            </w:r>
          </w:p>
        </w:tc>
        <w:tc>
          <w:tcPr>
            <w:tcW w:w="487" w:type="pct"/>
            <w:shd w:val="clear" w:color="auto" w:fill="auto"/>
            <w:noWrap/>
            <w:vAlign w:val="center"/>
            <w:hideMark/>
          </w:tcPr>
          <w:p w14:paraId="7368A17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889.874,85</w:t>
            </w:r>
          </w:p>
        </w:tc>
        <w:tc>
          <w:tcPr>
            <w:tcW w:w="337" w:type="pct"/>
            <w:shd w:val="clear" w:color="auto" w:fill="auto"/>
            <w:noWrap/>
            <w:vAlign w:val="center"/>
            <w:hideMark/>
          </w:tcPr>
          <w:p w14:paraId="100693B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47</w:t>
            </w:r>
          </w:p>
        </w:tc>
        <w:tc>
          <w:tcPr>
            <w:tcW w:w="393" w:type="pct"/>
            <w:shd w:val="clear" w:color="auto" w:fill="auto"/>
            <w:noWrap/>
            <w:vAlign w:val="center"/>
            <w:hideMark/>
          </w:tcPr>
          <w:p w14:paraId="675EA74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18.833,33</w:t>
            </w:r>
          </w:p>
        </w:tc>
        <w:tc>
          <w:tcPr>
            <w:tcW w:w="471" w:type="pct"/>
            <w:vAlign w:val="center"/>
          </w:tcPr>
          <w:p w14:paraId="3544450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1.448,72</w:t>
            </w:r>
          </w:p>
        </w:tc>
      </w:tr>
      <w:tr w:rsidR="006356F1" w:rsidRPr="00C0505A" w14:paraId="65FF57FA" w14:textId="77777777" w:rsidTr="00217400">
        <w:trPr>
          <w:trHeight w:val="227"/>
        </w:trPr>
        <w:tc>
          <w:tcPr>
            <w:tcW w:w="1722" w:type="pct"/>
            <w:shd w:val="clear" w:color="auto" w:fill="auto"/>
            <w:noWrap/>
            <w:vAlign w:val="center"/>
            <w:hideMark/>
          </w:tcPr>
          <w:p w14:paraId="3774D2A2"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outros produtos químicos inorgânicos não especificados anteriormente</w:t>
            </w:r>
          </w:p>
        </w:tc>
        <w:tc>
          <w:tcPr>
            <w:tcW w:w="531" w:type="pct"/>
            <w:shd w:val="clear" w:color="auto" w:fill="auto"/>
            <w:noWrap/>
            <w:vAlign w:val="center"/>
            <w:hideMark/>
          </w:tcPr>
          <w:p w14:paraId="17C1539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301.105,49</w:t>
            </w:r>
          </w:p>
        </w:tc>
        <w:tc>
          <w:tcPr>
            <w:tcW w:w="531" w:type="pct"/>
            <w:shd w:val="clear" w:color="auto" w:fill="auto"/>
            <w:noWrap/>
            <w:vAlign w:val="center"/>
            <w:hideMark/>
          </w:tcPr>
          <w:p w14:paraId="6EB181CD"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2ACD988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127.896,35</w:t>
            </w:r>
          </w:p>
        </w:tc>
        <w:tc>
          <w:tcPr>
            <w:tcW w:w="487" w:type="pct"/>
            <w:shd w:val="clear" w:color="auto" w:fill="auto"/>
            <w:noWrap/>
            <w:vAlign w:val="center"/>
            <w:hideMark/>
          </w:tcPr>
          <w:p w14:paraId="2C611AA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173.209,14</w:t>
            </w:r>
          </w:p>
        </w:tc>
        <w:tc>
          <w:tcPr>
            <w:tcW w:w="337" w:type="pct"/>
            <w:shd w:val="clear" w:color="auto" w:fill="auto"/>
            <w:noWrap/>
            <w:vAlign w:val="center"/>
            <w:hideMark/>
          </w:tcPr>
          <w:p w14:paraId="2449626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w:t>
            </w:r>
          </w:p>
        </w:tc>
        <w:tc>
          <w:tcPr>
            <w:tcW w:w="393" w:type="pct"/>
            <w:shd w:val="clear" w:color="auto" w:fill="auto"/>
            <w:noWrap/>
            <w:vAlign w:val="center"/>
            <w:hideMark/>
          </w:tcPr>
          <w:p w14:paraId="2E51A19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12.014,51</w:t>
            </w:r>
          </w:p>
        </w:tc>
        <w:tc>
          <w:tcPr>
            <w:tcW w:w="471" w:type="pct"/>
            <w:vAlign w:val="center"/>
          </w:tcPr>
          <w:p w14:paraId="0CB0642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924,19</w:t>
            </w:r>
          </w:p>
        </w:tc>
      </w:tr>
      <w:tr w:rsidR="006356F1" w:rsidRPr="00C0505A" w14:paraId="6AE3C990" w14:textId="77777777" w:rsidTr="00217400">
        <w:trPr>
          <w:trHeight w:val="227"/>
        </w:trPr>
        <w:tc>
          <w:tcPr>
            <w:tcW w:w="1722" w:type="pct"/>
            <w:shd w:val="clear" w:color="auto" w:fill="auto"/>
            <w:noWrap/>
            <w:vAlign w:val="center"/>
            <w:hideMark/>
          </w:tcPr>
          <w:p w14:paraId="0FDEFEEB"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outros produtos químicos não especificados anteriormente</w:t>
            </w:r>
          </w:p>
        </w:tc>
        <w:tc>
          <w:tcPr>
            <w:tcW w:w="531" w:type="pct"/>
            <w:shd w:val="clear" w:color="auto" w:fill="auto"/>
            <w:noWrap/>
            <w:vAlign w:val="center"/>
            <w:hideMark/>
          </w:tcPr>
          <w:p w14:paraId="78E642D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951.032,64</w:t>
            </w:r>
          </w:p>
        </w:tc>
        <w:tc>
          <w:tcPr>
            <w:tcW w:w="531" w:type="pct"/>
            <w:shd w:val="clear" w:color="auto" w:fill="auto"/>
            <w:noWrap/>
            <w:vAlign w:val="center"/>
            <w:hideMark/>
          </w:tcPr>
          <w:p w14:paraId="349EA777"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458B622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382.452,59</w:t>
            </w:r>
          </w:p>
        </w:tc>
        <w:tc>
          <w:tcPr>
            <w:tcW w:w="487" w:type="pct"/>
            <w:shd w:val="clear" w:color="auto" w:fill="auto"/>
            <w:noWrap/>
            <w:vAlign w:val="center"/>
            <w:hideMark/>
          </w:tcPr>
          <w:p w14:paraId="0F41A83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568.580,05</w:t>
            </w:r>
          </w:p>
        </w:tc>
        <w:tc>
          <w:tcPr>
            <w:tcW w:w="337" w:type="pct"/>
            <w:shd w:val="clear" w:color="auto" w:fill="auto"/>
            <w:noWrap/>
            <w:vAlign w:val="center"/>
            <w:hideMark/>
          </w:tcPr>
          <w:p w14:paraId="64E03B3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w:t>
            </w:r>
          </w:p>
        </w:tc>
        <w:tc>
          <w:tcPr>
            <w:tcW w:w="393" w:type="pct"/>
            <w:shd w:val="clear" w:color="auto" w:fill="auto"/>
            <w:noWrap/>
            <w:vAlign w:val="center"/>
            <w:hideMark/>
          </w:tcPr>
          <w:p w14:paraId="094BE3D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5.330,44</w:t>
            </w:r>
          </w:p>
        </w:tc>
        <w:tc>
          <w:tcPr>
            <w:tcW w:w="471" w:type="pct"/>
            <w:vAlign w:val="center"/>
          </w:tcPr>
          <w:p w14:paraId="3F70F13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410,03</w:t>
            </w:r>
          </w:p>
        </w:tc>
      </w:tr>
      <w:tr w:rsidR="006356F1" w:rsidRPr="00C0505A" w14:paraId="73BCD1A4" w14:textId="77777777" w:rsidTr="00217400">
        <w:trPr>
          <w:trHeight w:val="227"/>
        </w:trPr>
        <w:tc>
          <w:tcPr>
            <w:tcW w:w="1722" w:type="pct"/>
            <w:shd w:val="clear" w:color="auto" w:fill="auto"/>
            <w:noWrap/>
            <w:vAlign w:val="center"/>
            <w:hideMark/>
          </w:tcPr>
          <w:p w14:paraId="3FB884AF"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produtos de limpeza e polimento</w:t>
            </w:r>
          </w:p>
        </w:tc>
        <w:tc>
          <w:tcPr>
            <w:tcW w:w="531" w:type="pct"/>
            <w:shd w:val="clear" w:color="auto" w:fill="auto"/>
            <w:noWrap/>
            <w:vAlign w:val="center"/>
            <w:hideMark/>
          </w:tcPr>
          <w:p w14:paraId="24C712A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246.792,05</w:t>
            </w:r>
          </w:p>
        </w:tc>
        <w:tc>
          <w:tcPr>
            <w:tcW w:w="531" w:type="pct"/>
            <w:shd w:val="clear" w:color="auto" w:fill="auto"/>
            <w:noWrap/>
            <w:vAlign w:val="center"/>
            <w:hideMark/>
          </w:tcPr>
          <w:p w14:paraId="04236BC9"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DEAACB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36.888,01</w:t>
            </w:r>
          </w:p>
        </w:tc>
        <w:tc>
          <w:tcPr>
            <w:tcW w:w="487" w:type="pct"/>
            <w:shd w:val="clear" w:color="auto" w:fill="auto"/>
            <w:noWrap/>
            <w:vAlign w:val="center"/>
            <w:hideMark/>
          </w:tcPr>
          <w:p w14:paraId="0EF02F1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209.904,04</w:t>
            </w:r>
          </w:p>
        </w:tc>
        <w:tc>
          <w:tcPr>
            <w:tcW w:w="337" w:type="pct"/>
            <w:shd w:val="clear" w:color="auto" w:fill="auto"/>
            <w:noWrap/>
            <w:vAlign w:val="center"/>
            <w:hideMark/>
          </w:tcPr>
          <w:p w14:paraId="2F4B339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93" w:type="pct"/>
            <w:shd w:val="clear" w:color="auto" w:fill="auto"/>
            <w:noWrap/>
            <w:vAlign w:val="center"/>
            <w:hideMark/>
          </w:tcPr>
          <w:p w14:paraId="7306DE1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vAlign w:val="center"/>
          </w:tcPr>
          <w:p w14:paraId="698378C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r>
      <w:tr w:rsidR="006356F1" w:rsidRPr="00C0505A" w14:paraId="3925ACB2" w14:textId="77777777" w:rsidTr="00217400">
        <w:trPr>
          <w:trHeight w:val="227"/>
        </w:trPr>
        <w:tc>
          <w:tcPr>
            <w:tcW w:w="1722" w:type="pct"/>
            <w:shd w:val="clear" w:color="auto" w:fill="auto"/>
            <w:noWrap/>
            <w:vAlign w:val="center"/>
            <w:hideMark/>
          </w:tcPr>
          <w:p w14:paraId="2DC363A3"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produtos petroquímicos básicos</w:t>
            </w:r>
          </w:p>
        </w:tc>
        <w:tc>
          <w:tcPr>
            <w:tcW w:w="531" w:type="pct"/>
            <w:shd w:val="clear" w:color="auto" w:fill="auto"/>
            <w:noWrap/>
            <w:vAlign w:val="center"/>
            <w:hideMark/>
          </w:tcPr>
          <w:p w14:paraId="3BD21CC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8.306.907,65</w:t>
            </w:r>
          </w:p>
        </w:tc>
        <w:tc>
          <w:tcPr>
            <w:tcW w:w="531" w:type="pct"/>
            <w:shd w:val="clear" w:color="auto" w:fill="auto"/>
            <w:noWrap/>
            <w:vAlign w:val="center"/>
            <w:hideMark/>
          </w:tcPr>
          <w:p w14:paraId="06A72A2F"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609F46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2.266.493,15</w:t>
            </w:r>
          </w:p>
        </w:tc>
        <w:tc>
          <w:tcPr>
            <w:tcW w:w="487" w:type="pct"/>
            <w:shd w:val="clear" w:color="auto" w:fill="auto"/>
            <w:noWrap/>
            <w:vAlign w:val="center"/>
            <w:hideMark/>
          </w:tcPr>
          <w:p w14:paraId="56F247D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6.040.414,50</w:t>
            </w:r>
          </w:p>
        </w:tc>
        <w:tc>
          <w:tcPr>
            <w:tcW w:w="337" w:type="pct"/>
            <w:shd w:val="clear" w:color="auto" w:fill="auto"/>
            <w:noWrap/>
            <w:vAlign w:val="center"/>
            <w:hideMark/>
          </w:tcPr>
          <w:p w14:paraId="27BB124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85</w:t>
            </w:r>
          </w:p>
        </w:tc>
        <w:tc>
          <w:tcPr>
            <w:tcW w:w="393" w:type="pct"/>
            <w:shd w:val="clear" w:color="auto" w:fill="auto"/>
            <w:noWrap/>
            <w:vAlign w:val="center"/>
            <w:hideMark/>
          </w:tcPr>
          <w:p w14:paraId="4EB9A58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71.273,33</w:t>
            </w:r>
          </w:p>
        </w:tc>
        <w:tc>
          <w:tcPr>
            <w:tcW w:w="471" w:type="pct"/>
            <w:vAlign w:val="center"/>
          </w:tcPr>
          <w:p w14:paraId="430F330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5.482,56</w:t>
            </w:r>
          </w:p>
        </w:tc>
      </w:tr>
      <w:tr w:rsidR="006356F1" w:rsidRPr="00C0505A" w14:paraId="2FB85B8F" w14:textId="77777777" w:rsidTr="00217400">
        <w:trPr>
          <w:trHeight w:val="227"/>
        </w:trPr>
        <w:tc>
          <w:tcPr>
            <w:tcW w:w="1722" w:type="pct"/>
            <w:shd w:val="clear" w:color="auto" w:fill="auto"/>
            <w:noWrap/>
            <w:vAlign w:val="center"/>
            <w:hideMark/>
          </w:tcPr>
          <w:p w14:paraId="755F0CFD"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sabões e detergentes sintéticos</w:t>
            </w:r>
          </w:p>
        </w:tc>
        <w:tc>
          <w:tcPr>
            <w:tcW w:w="531" w:type="pct"/>
            <w:shd w:val="clear" w:color="auto" w:fill="auto"/>
            <w:noWrap/>
            <w:vAlign w:val="center"/>
            <w:hideMark/>
          </w:tcPr>
          <w:p w14:paraId="5A824E6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32.623.784,83</w:t>
            </w:r>
          </w:p>
        </w:tc>
        <w:tc>
          <w:tcPr>
            <w:tcW w:w="531" w:type="pct"/>
            <w:shd w:val="clear" w:color="auto" w:fill="auto"/>
            <w:noWrap/>
            <w:vAlign w:val="center"/>
            <w:hideMark/>
          </w:tcPr>
          <w:p w14:paraId="5407AA00"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4511AC4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6.524.907,53</w:t>
            </w:r>
          </w:p>
        </w:tc>
        <w:tc>
          <w:tcPr>
            <w:tcW w:w="487" w:type="pct"/>
            <w:shd w:val="clear" w:color="auto" w:fill="auto"/>
            <w:noWrap/>
            <w:vAlign w:val="center"/>
            <w:hideMark/>
          </w:tcPr>
          <w:p w14:paraId="5209DC7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26.098.877,30</w:t>
            </w:r>
          </w:p>
        </w:tc>
        <w:tc>
          <w:tcPr>
            <w:tcW w:w="337" w:type="pct"/>
            <w:shd w:val="clear" w:color="auto" w:fill="auto"/>
            <w:noWrap/>
            <w:vAlign w:val="center"/>
            <w:hideMark/>
          </w:tcPr>
          <w:p w14:paraId="5F5B39B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1.147</w:t>
            </w:r>
          </w:p>
        </w:tc>
        <w:tc>
          <w:tcPr>
            <w:tcW w:w="393" w:type="pct"/>
            <w:shd w:val="clear" w:color="auto" w:fill="auto"/>
            <w:noWrap/>
            <w:vAlign w:val="center"/>
            <w:hideMark/>
          </w:tcPr>
          <w:p w14:paraId="49C2DB3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22.757,34</w:t>
            </w:r>
          </w:p>
        </w:tc>
        <w:tc>
          <w:tcPr>
            <w:tcW w:w="471" w:type="pct"/>
            <w:vAlign w:val="center"/>
          </w:tcPr>
          <w:p w14:paraId="5360480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1.750,56</w:t>
            </w:r>
          </w:p>
        </w:tc>
      </w:tr>
      <w:tr w:rsidR="006356F1" w:rsidRPr="00C0505A" w14:paraId="43963C46" w14:textId="77777777" w:rsidTr="00217400">
        <w:trPr>
          <w:trHeight w:val="227"/>
        </w:trPr>
        <w:tc>
          <w:tcPr>
            <w:tcW w:w="1722" w:type="pct"/>
            <w:tcBorders>
              <w:bottom w:val="single" w:sz="4" w:space="0" w:color="auto"/>
            </w:tcBorders>
            <w:shd w:val="clear" w:color="auto" w:fill="auto"/>
            <w:noWrap/>
            <w:vAlign w:val="center"/>
            <w:hideMark/>
          </w:tcPr>
          <w:p w14:paraId="4E9D521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tintas, vernizes, esmaltes e lacas</w:t>
            </w:r>
          </w:p>
        </w:tc>
        <w:tc>
          <w:tcPr>
            <w:tcW w:w="531" w:type="pct"/>
            <w:tcBorders>
              <w:bottom w:val="single" w:sz="4" w:space="0" w:color="auto"/>
            </w:tcBorders>
            <w:shd w:val="clear" w:color="auto" w:fill="auto"/>
            <w:noWrap/>
            <w:vAlign w:val="center"/>
            <w:hideMark/>
          </w:tcPr>
          <w:p w14:paraId="04623D3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21.718.504,41</w:t>
            </w:r>
          </w:p>
        </w:tc>
        <w:tc>
          <w:tcPr>
            <w:tcW w:w="531" w:type="pct"/>
            <w:tcBorders>
              <w:bottom w:val="single" w:sz="4" w:space="0" w:color="auto"/>
            </w:tcBorders>
            <w:shd w:val="clear" w:color="auto" w:fill="auto"/>
            <w:noWrap/>
            <w:vAlign w:val="center"/>
            <w:hideMark/>
          </w:tcPr>
          <w:p w14:paraId="47D2C45D"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7BC400C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3.415.796,01</w:t>
            </w:r>
          </w:p>
        </w:tc>
        <w:tc>
          <w:tcPr>
            <w:tcW w:w="487" w:type="pct"/>
            <w:tcBorders>
              <w:bottom w:val="single" w:sz="4" w:space="0" w:color="auto"/>
            </w:tcBorders>
            <w:shd w:val="clear" w:color="auto" w:fill="auto"/>
            <w:noWrap/>
            <w:vAlign w:val="center"/>
            <w:hideMark/>
          </w:tcPr>
          <w:p w14:paraId="295E6F5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18.302.708,40</w:t>
            </w:r>
          </w:p>
        </w:tc>
        <w:tc>
          <w:tcPr>
            <w:tcW w:w="337" w:type="pct"/>
            <w:tcBorders>
              <w:bottom w:val="single" w:sz="4" w:space="0" w:color="auto"/>
            </w:tcBorders>
            <w:shd w:val="clear" w:color="auto" w:fill="auto"/>
            <w:noWrap/>
            <w:vAlign w:val="center"/>
            <w:hideMark/>
          </w:tcPr>
          <w:p w14:paraId="26E32EE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515</w:t>
            </w:r>
          </w:p>
        </w:tc>
        <w:tc>
          <w:tcPr>
            <w:tcW w:w="393" w:type="pct"/>
            <w:tcBorders>
              <w:bottom w:val="single" w:sz="4" w:space="0" w:color="auto"/>
            </w:tcBorders>
            <w:shd w:val="clear" w:color="auto" w:fill="auto"/>
            <w:noWrap/>
            <w:vAlign w:val="center"/>
            <w:hideMark/>
          </w:tcPr>
          <w:p w14:paraId="748B583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35.533,49</w:t>
            </w:r>
          </w:p>
        </w:tc>
        <w:tc>
          <w:tcPr>
            <w:tcW w:w="471" w:type="pct"/>
            <w:tcBorders>
              <w:bottom w:val="single" w:sz="4" w:space="0" w:color="auto"/>
            </w:tcBorders>
            <w:vAlign w:val="center"/>
          </w:tcPr>
          <w:p w14:paraId="20C513D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2.733,35</w:t>
            </w:r>
          </w:p>
        </w:tc>
      </w:tr>
      <w:tr w:rsidR="006356F1" w:rsidRPr="00C0505A" w14:paraId="63B334FD" w14:textId="77777777" w:rsidTr="00217400">
        <w:trPr>
          <w:trHeight w:val="227"/>
        </w:trPr>
        <w:tc>
          <w:tcPr>
            <w:tcW w:w="1722" w:type="pct"/>
            <w:tcBorders>
              <w:top w:val="single" w:sz="4" w:space="0" w:color="auto"/>
              <w:bottom w:val="nil"/>
            </w:tcBorders>
            <w:shd w:val="clear" w:color="auto" w:fill="auto"/>
            <w:noWrap/>
            <w:vAlign w:val="center"/>
            <w:hideMark/>
          </w:tcPr>
          <w:p w14:paraId="7593333A"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PRODUTOS TÊXTEIS</w:t>
            </w:r>
          </w:p>
        </w:tc>
        <w:tc>
          <w:tcPr>
            <w:tcW w:w="531" w:type="pct"/>
            <w:tcBorders>
              <w:top w:val="single" w:sz="4" w:space="0" w:color="auto"/>
              <w:bottom w:val="nil"/>
            </w:tcBorders>
            <w:shd w:val="clear" w:color="auto" w:fill="auto"/>
            <w:noWrap/>
            <w:vAlign w:val="center"/>
            <w:hideMark/>
          </w:tcPr>
          <w:p w14:paraId="2B21243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3.002.343,71</w:t>
            </w:r>
          </w:p>
        </w:tc>
        <w:tc>
          <w:tcPr>
            <w:tcW w:w="531" w:type="pct"/>
            <w:tcBorders>
              <w:top w:val="single" w:sz="4" w:space="0" w:color="auto"/>
              <w:bottom w:val="nil"/>
            </w:tcBorders>
            <w:shd w:val="clear" w:color="auto" w:fill="auto"/>
            <w:noWrap/>
            <w:vAlign w:val="center"/>
            <w:hideMark/>
          </w:tcPr>
          <w:p w14:paraId="317649D6"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21FB6F0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754.252,15</w:t>
            </w:r>
          </w:p>
        </w:tc>
        <w:tc>
          <w:tcPr>
            <w:tcW w:w="487" w:type="pct"/>
            <w:tcBorders>
              <w:top w:val="single" w:sz="4" w:space="0" w:color="auto"/>
              <w:bottom w:val="nil"/>
            </w:tcBorders>
            <w:shd w:val="clear" w:color="auto" w:fill="auto"/>
            <w:noWrap/>
            <w:vAlign w:val="center"/>
            <w:hideMark/>
          </w:tcPr>
          <w:p w14:paraId="45DE7884"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2.248.091,56</w:t>
            </w:r>
          </w:p>
        </w:tc>
        <w:tc>
          <w:tcPr>
            <w:tcW w:w="337" w:type="pct"/>
            <w:tcBorders>
              <w:top w:val="single" w:sz="4" w:space="0" w:color="auto"/>
              <w:bottom w:val="nil"/>
            </w:tcBorders>
            <w:shd w:val="clear" w:color="auto" w:fill="auto"/>
            <w:noWrap/>
            <w:vAlign w:val="center"/>
            <w:hideMark/>
          </w:tcPr>
          <w:p w14:paraId="02C2432A"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504</w:t>
            </w:r>
          </w:p>
        </w:tc>
        <w:tc>
          <w:tcPr>
            <w:tcW w:w="393" w:type="pct"/>
            <w:tcBorders>
              <w:top w:val="single" w:sz="4" w:space="0" w:color="auto"/>
              <w:bottom w:val="nil"/>
            </w:tcBorders>
            <w:shd w:val="clear" w:color="auto" w:fill="auto"/>
            <w:noWrap/>
            <w:vAlign w:val="center"/>
            <w:hideMark/>
          </w:tcPr>
          <w:p w14:paraId="7197424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4.461,97</w:t>
            </w:r>
          </w:p>
        </w:tc>
        <w:tc>
          <w:tcPr>
            <w:tcW w:w="471" w:type="pct"/>
            <w:tcBorders>
              <w:top w:val="single" w:sz="4" w:space="0" w:color="auto"/>
              <w:bottom w:val="nil"/>
            </w:tcBorders>
            <w:vAlign w:val="center"/>
          </w:tcPr>
          <w:p w14:paraId="52D58098"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343,23</w:t>
            </w:r>
          </w:p>
        </w:tc>
      </w:tr>
      <w:tr w:rsidR="006356F1" w:rsidRPr="00C0505A" w14:paraId="0395777D" w14:textId="77777777" w:rsidTr="00217400">
        <w:trPr>
          <w:trHeight w:val="227"/>
        </w:trPr>
        <w:tc>
          <w:tcPr>
            <w:tcW w:w="1722" w:type="pct"/>
            <w:tcBorders>
              <w:top w:val="nil"/>
            </w:tcBorders>
            <w:shd w:val="clear" w:color="auto" w:fill="auto"/>
            <w:noWrap/>
            <w:vAlign w:val="center"/>
            <w:hideMark/>
          </w:tcPr>
          <w:p w14:paraId="6D04ABB8"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artefatos de cordoaria</w:t>
            </w:r>
          </w:p>
        </w:tc>
        <w:tc>
          <w:tcPr>
            <w:tcW w:w="531" w:type="pct"/>
            <w:tcBorders>
              <w:top w:val="nil"/>
            </w:tcBorders>
            <w:shd w:val="clear" w:color="auto" w:fill="auto"/>
            <w:noWrap/>
            <w:vAlign w:val="center"/>
            <w:hideMark/>
          </w:tcPr>
          <w:p w14:paraId="673C9B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229.776,88</w:t>
            </w:r>
          </w:p>
        </w:tc>
        <w:tc>
          <w:tcPr>
            <w:tcW w:w="531" w:type="pct"/>
            <w:tcBorders>
              <w:top w:val="nil"/>
            </w:tcBorders>
            <w:shd w:val="clear" w:color="auto" w:fill="auto"/>
            <w:noWrap/>
            <w:vAlign w:val="center"/>
            <w:hideMark/>
          </w:tcPr>
          <w:p w14:paraId="1B28EEE8"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0C61FCF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44.106,45</w:t>
            </w:r>
          </w:p>
        </w:tc>
        <w:tc>
          <w:tcPr>
            <w:tcW w:w="487" w:type="pct"/>
            <w:tcBorders>
              <w:top w:val="nil"/>
            </w:tcBorders>
            <w:shd w:val="clear" w:color="auto" w:fill="auto"/>
            <w:noWrap/>
            <w:vAlign w:val="center"/>
            <w:hideMark/>
          </w:tcPr>
          <w:p w14:paraId="263282E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185.670,43</w:t>
            </w:r>
          </w:p>
        </w:tc>
        <w:tc>
          <w:tcPr>
            <w:tcW w:w="337" w:type="pct"/>
            <w:tcBorders>
              <w:top w:val="nil"/>
            </w:tcBorders>
            <w:shd w:val="clear" w:color="auto" w:fill="auto"/>
            <w:noWrap/>
            <w:vAlign w:val="center"/>
            <w:hideMark/>
          </w:tcPr>
          <w:p w14:paraId="7AD46BF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w:t>
            </w:r>
          </w:p>
        </w:tc>
        <w:tc>
          <w:tcPr>
            <w:tcW w:w="393" w:type="pct"/>
            <w:tcBorders>
              <w:top w:val="nil"/>
            </w:tcBorders>
            <w:shd w:val="clear" w:color="auto" w:fill="auto"/>
            <w:noWrap/>
            <w:vAlign w:val="center"/>
            <w:hideMark/>
          </w:tcPr>
          <w:p w14:paraId="4240098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22.280,45</w:t>
            </w:r>
          </w:p>
        </w:tc>
        <w:tc>
          <w:tcPr>
            <w:tcW w:w="471" w:type="pct"/>
            <w:tcBorders>
              <w:top w:val="nil"/>
            </w:tcBorders>
            <w:vAlign w:val="center"/>
          </w:tcPr>
          <w:p w14:paraId="2DBB401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1.713,88</w:t>
            </w:r>
          </w:p>
        </w:tc>
      </w:tr>
      <w:tr w:rsidR="006356F1" w:rsidRPr="00C0505A" w14:paraId="55C2A145" w14:textId="77777777" w:rsidTr="00217400">
        <w:trPr>
          <w:trHeight w:val="227"/>
        </w:trPr>
        <w:tc>
          <w:tcPr>
            <w:tcW w:w="1722" w:type="pct"/>
            <w:shd w:val="clear" w:color="auto" w:fill="auto"/>
            <w:noWrap/>
            <w:vAlign w:val="center"/>
            <w:hideMark/>
          </w:tcPr>
          <w:p w14:paraId="1815A970"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Fabricação de artefatos têxteis para uso doméstico</w:t>
            </w:r>
          </w:p>
        </w:tc>
        <w:tc>
          <w:tcPr>
            <w:tcW w:w="531" w:type="pct"/>
            <w:shd w:val="clear" w:color="auto" w:fill="auto"/>
            <w:noWrap/>
            <w:vAlign w:val="center"/>
            <w:hideMark/>
          </w:tcPr>
          <w:p w14:paraId="1211FBE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664.776,67</w:t>
            </w:r>
          </w:p>
        </w:tc>
        <w:tc>
          <w:tcPr>
            <w:tcW w:w="531" w:type="pct"/>
            <w:shd w:val="clear" w:color="auto" w:fill="auto"/>
            <w:noWrap/>
            <w:vAlign w:val="center"/>
            <w:hideMark/>
          </w:tcPr>
          <w:p w14:paraId="56FA0BC2"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51A203D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191.863,79</w:t>
            </w:r>
          </w:p>
        </w:tc>
        <w:tc>
          <w:tcPr>
            <w:tcW w:w="487" w:type="pct"/>
            <w:shd w:val="clear" w:color="auto" w:fill="auto"/>
            <w:noWrap/>
            <w:vAlign w:val="center"/>
            <w:hideMark/>
          </w:tcPr>
          <w:p w14:paraId="4F7949C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472.912,88</w:t>
            </w:r>
          </w:p>
        </w:tc>
        <w:tc>
          <w:tcPr>
            <w:tcW w:w="337" w:type="pct"/>
            <w:shd w:val="clear" w:color="auto" w:fill="auto"/>
            <w:noWrap/>
            <w:vAlign w:val="center"/>
            <w:hideMark/>
          </w:tcPr>
          <w:p w14:paraId="7B115EB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134</w:t>
            </w:r>
          </w:p>
        </w:tc>
        <w:tc>
          <w:tcPr>
            <w:tcW w:w="393" w:type="pct"/>
            <w:shd w:val="clear" w:color="auto" w:fill="auto"/>
            <w:noWrap/>
            <w:vAlign w:val="center"/>
            <w:hideMark/>
          </w:tcPr>
          <w:p w14:paraId="646B8E7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3.531,40</w:t>
            </w:r>
          </w:p>
        </w:tc>
        <w:tc>
          <w:tcPr>
            <w:tcW w:w="471" w:type="pct"/>
            <w:vAlign w:val="center"/>
          </w:tcPr>
          <w:p w14:paraId="0D461C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271,65</w:t>
            </w:r>
          </w:p>
        </w:tc>
      </w:tr>
      <w:tr w:rsidR="006356F1" w:rsidRPr="00C0505A" w14:paraId="5428B085" w14:textId="77777777" w:rsidTr="00217400">
        <w:trPr>
          <w:trHeight w:val="227"/>
        </w:trPr>
        <w:tc>
          <w:tcPr>
            <w:tcW w:w="1722" w:type="pct"/>
            <w:shd w:val="clear" w:color="auto" w:fill="auto"/>
            <w:noWrap/>
            <w:vAlign w:val="center"/>
            <w:hideMark/>
          </w:tcPr>
          <w:p w14:paraId="26B1AF8E"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outros produtos têxteis não especificados anteriormente</w:t>
            </w:r>
          </w:p>
        </w:tc>
        <w:tc>
          <w:tcPr>
            <w:tcW w:w="531" w:type="pct"/>
            <w:shd w:val="clear" w:color="auto" w:fill="auto"/>
            <w:noWrap/>
            <w:vAlign w:val="center"/>
            <w:hideMark/>
          </w:tcPr>
          <w:p w14:paraId="09A8AC1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1.403.144,62</w:t>
            </w:r>
          </w:p>
        </w:tc>
        <w:tc>
          <w:tcPr>
            <w:tcW w:w="531" w:type="pct"/>
            <w:shd w:val="clear" w:color="auto" w:fill="auto"/>
            <w:noWrap/>
            <w:vAlign w:val="center"/>
            <w:hideMark/>
          </w:tcPr>
          <w:p w14:paraId="26DF79A0"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6649C59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231.827,31</w:t>
            </w:r>
          </w:p>
        </w:tc>
        <w:tc>
          <w:tcPr>
            <w:tcW w:w="487" w:type="pct"/>
            <w:shd w:val="clear" w:color="auto" w:fill="auto"/>
            <w:noWrap/>
            <w:vAlign w:val="center"/>
            <w:hideMark/>
          </w:tcPr>
          <w:p w14:paraId="372E233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1.171.317,31</w:t>
            </w:r>
          </w:p>
        </w:tc>
        <w:tc>
          <w:tcPr>
            <w:tcW w:w="337" w:type="pct"/>
            <w:shd w:val="clear" w:color="auto" w:fill="auto"/>
            <w:noWrap/>
            <w:vAlign w:val="center"/>
            <w:hideMark/>
          </w:tcPr>
          <w:p w14:paraId="000A14B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198</w:t>
            </w:r>
          </w:p>
        </w:tc>
        <w:tc>
          <w:tcPr>
            <w:tcW w:w="393" w:type="pct"/>
            <w:shd w:val="clear" w:color="auto" w:fill="auto"/>
            <w:noWrap/>
            <w:vAlign w:val="center"/>
            <w:hideMark/>
          </w:tcPr>
          <w:p w14:paraId="1DCA074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5.913,26</w:t>
            </w:r>
          </w:p>
        </w:tc>
        <w:tc>
          <w:tcPr>
            <w:tcW w:w="471" w:type="pct"/>
            <w:vAlign w:val="center"/>
          </w:tcPr>
          <w:p w14:paraId="6A86E5B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454,87</w:t>
            </w:r>
          </w:p>
        </w:tc>
      </w:tr>
      <w:tr w:rsidR="006356F1" w:rsidRPr="00C0505A" w14:paraId="1528FAEF" w14:textId="77777777" w:rsidTr="00217400">
        <w:trPr>
          <w:trHeight w:val="227"/>
        </w:trPr>
        <w:tc>
          <w:tcPr>
            <w:tcW w:w="1722" w:type="pct"/>
            <w:shd w:val="clear" w:color="auto" w:fill="auto"/>
            <w:noWrap/>
            <w:vAlign w:val="center"/>
            <w:hideMark/>
          </w:tcPr>
          <w:p w14:paraId="3808B9E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tecidos especiais, inclusive artefatos</w:t>
            </w:r>
          </w:p>
        </w:tc>
        <w:tc>
          <w:tcPr>
            <w:tcW w:w="531" w:type="pct"/>
            <w:shd w:val="clear" w:color="auto" w:fill="auto"/>
            <w:noWrap/>
            <w:vAlign w:val="center"/>
            <w:hideMark/>
          </w:tcPr>
          <w:p w14:paraId="41CFC53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342.359,07</w:t>
            </w:r>
          </w:p>
        </w:tc>
        <w:tc>
          <w:tcPr>
            <w:tcW w:w="531" w:type="pct"/>
            <w:shd w:val="clear" w:color="auto" w:fill="auto"/>
            <w:noWrap/>
            <w:vAlign w:val="center"/>
            <w:hideMark/>
          </w:tcPr>
          <w:p w14:paraId="5ACE2FC4"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330B490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99.253,58</w:t>
            </w:r>
          </w:p>
        </w:tc>
        <w:tc>
          <w:tcPr>
            <w:tcW w:w="487" w:type="pct"/>
            <w:shd w:val="clear" w:color="auto" w:fill="auto"/>
            <w:noWrap/>
            <w:vAlign w:val="center"/>
            <w:hideMark/>
          </w:tcPr>
          <w:p w14:paraId="52FE18D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243.105,49</w:t>
            </w:r>
          </w:p>
        </w:tc>
        <w:tc>
          <w:tcPr>
            <w:tcW w:w="337" w:type="pct"/>
            <w:shd w:val="clear" w:color="auto" w:fill="auto"/>
            <w:noWrap/>
            <w:vAlign w:val="center"/>
            <w:hideMark/>
          </w:tcPr>
          <w:p w14:paraId="790BD4E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38</w:t>
            </w:r>
          </w:p>
        </w:tc>
        <w:tc>
          <w:tcPr>
            <w:tcW w:w="393" w:type="pct"/>
            <w:shd w:val="clear" w:color="auto" w:fill="auto"/>
            <w:noWrap/>
            <w:vAlign w:val="center"/>
            <w:hideMark/>
          </w:tcPr>
          <w:p w14:paraId="55F2C7B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6.468,44</w:t>
            </w:r>
          </w:p>
        </w:tc>
        <w:tc>
          <w:tcPr>
            <w:tcW w:w="471" w:type="pct"/>
            <w:vAlign w:val="center"/>
          </w:tcPr>
          <w:p w14:paraId="5DE429E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497,57</w:t>
            </w:r>
          </w:p>
        </w:tc>
      </w:tr>
      <w:tr w:rsidR="006356F1" w:rsidRPr="00C0505A" w14:paraId="6E843F45" w14:textId="77777777" w:rsidTr="00217400">
        <w:trPr>
          <w:trHeight w:val="227"/>
        </w:trPr>
        <w:tc>
          <w:tcPr>
            <w:tcW w:w="1722" w:type="pct"/>
            <w:tcBorders>
              <w:bottom w:val="single" w:sz="4" w:space="0" w:color="auto"/>
            </w:tcBorders>
            <w:shd w:val="clear" w:color="auto" w:fill="auto"/>
            <w:noWrap/>
            <w:vAlign w:val="center"/>
            <w:hideMark/>
          </w:tcPr>
          <w:p w14:paraId="602F5F2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Tecelagem de fios de algodão</w:t>
            </w:r>
          </w:p>
        </w:tc>
        <w:tc>
          <w:tcPr>
            <w:tcW w:w="531" w:type="pct"/>
            <w:tcBorders>
              <w:bottom w:val="single" w:sz="4" w:space="0" w:color="auto"/>
            </w:tcBorders>
            <w:shd w:val="clear" w:color="auto" w:fill="auto"/>
            <w:noWrap/>
            <w:vAlign w:val="center"/>
            <w:hideMark/>
          </w:tcPr>
          <w:p w14:paraId="1461CA6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362.286,47</w:t>
            </w:r>
          </w:p>
        </w:tc>
        <w:tc>
          <w:tcPr>
            <w:tcW w:w="531" w:type="pct"/>
            <w:tcBorders>
              <w:bottom w:val="single" w:sz="4" w:space="0" w:color="auto"/>
            </w:tcBorders>
            <w:shd w:val="clear" w:color="auto" w:fill="auto"/>
            <w:noWrap/>
            <w:vAlign w:val="center"/>
            <w:hideMark/>
          </w:tcPr>
          <w:p w14:paraId="069DF76F"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752A0B0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187.201,02</w:t>
            </w:r>
          </w:p>
        </w:tc>
        <w:tc>
          <w:tcPr>
            <w:tcW w:w="487" w:type="pct"/>
            <w:tcBorders>
              <w:bottom w:val="single" w:sz="4" w:space="0" w:color="auto"/>
            </w:tcBorders>
            <w:shd w:val="clear" w:color="auto" w:fill="auto"/>
            <w:noWrap/>
            <w:vAlign w:val="center"/>
            <w:hideMark/>
          </w:tcPr>
          <w:p w14:paraId="68F6041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175.085,45</w:t>
            </w:r>
          </w:p>
        </w:tc>
        <w:tc>
          <w:tcPr>
            <w:tcW w:w="337" w:type="pct"/>
            <w:tcBorders>
              <w:bottom w:val="single" w:sz="4" w:space="0" w:color="auto"/>
            </w:tcBorders>
            <w:shd w:val="clear" w:color="auto" w:fill="auto"/>
            <w:noWrap/>
            <w:vAlign w:val="center"/>
            <w:hideMark/>
          </w:tcPr>
          <w:p w14:paraId="41083D5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126</w:t>
            </w:r>
          </w:p>
        </w:tc>
        <w:tc>
          <w:tcPr>
            <w:tcW w:w="393" w:type="pct"/>
            <w:tcBorders>
              <w:bottom w:val="single" w:sz="4" w:space="0" w:color="auto"/>
            </w:tcBorders>
            <w:shd w:val="clear" w:color="auto" w:fill="auto"/>
            <w:noWrap/>
            <w:vAlign w:val="center"/>
            <w:hideMark/>
          </w:tcPr>
          <w:p w14:paraId="742577D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1.390,49</w:t>
            </w:r>
          </w:p>
        </w:tc>
        <w:tc>
          <w:tcPr>
            <w:tcW w:w="471" w:type="pct"/>
            <w:tcBorders>
              <w:bottom w:val="single" w:sz="4" w:space="0" w:color="auto"/>
            </w:tcBorders>
            <w:vAlign w:val="center"/>
          </w:tcPr>
          <w:p w14:paraId="5C74238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106,96</w:t>
            </w:r>
          </w:p>
        </w:tc>
      </w:tr>
      <w:tr w:rsidR="006356F1" w:rsidRPr="00C0505A" w14:paraId="36B74F60" w14:textId="77777777" w:rsidTr="00217400">
        <w:trPr>
          <w:trHeight w:val="227"/>
        </w:trPr>
        <w:tc>
          <w:tcPr>
            <w:tcW w:w="1722" w:type="pct"/>
            <w:tcBorders>
              <w:top w:val="single" w:sz="4" w:space="0" w:color="auto"/>
              <w:bottom w:val="nil"/>
            </w:tcBorders>
            <w:shd w:val="clear" w:color="auto" w:fill="auto"/>
            <w:noWrap/>
            <w:vAlign w:val="center"/>
            <w:hideMark/>
          </w:tcPr>
          <w:p w14:paraId="627C279C"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FABRICAÇÃO DE VEÍCULOS AUTOMOTORES, REBOQUES E CARROCERIAS</w:t>
            </w:r>
          </w:p>
        </w:tc>
        <w:tc>
          <w:tcPr>
            <w:tcW w:w="531" w:type="pct"/>
            <w:tcBorders>
              <w:top w:val="single" w:sz="4" w:space="0" w:color="auto"/>
              <w:bottom w:val="nil"/>
            </w:tcBorders>
            <w:shd w:val="clear" w:color="auto" w:fill="auto"/>
            <w:noWrap/>
            <w:vAlign w:val="center"/>
            <w:hideMark/>
          </w:tcPr>
          <w:p w14:paraId="50087B17"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269.994.072,79</w:t>
            </w:r>
          </w:p>
        </w:tc>
        <w:tc>
          <w:tcPr>
            <w:tcW w:w="531" w:type="pct"/>
            <w:tcBorders>
              <w:top w:val="single" w:sz="4" w:space="0" w:color="auto"/>
              <w:bottom w:val="nil"/>
            </w:tcBorders>
            <w:shd w:val="clear" w:color="auto" w:fill="auto"/>
            <w:noWrap/>
            <w:vAlign w:val="center"/>
            <w:hideMark/>
          </w:tcPr>
          <w:p w14:paraId="7066FF0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191.537.442,62</w:t>
            </w:r>
          </w:p>
        </w:tc>
        <w:tc>
          <w:tcPr>
            <w:tcW w:w="529" w:type="pct"/>
            <w:tcBorders>
              <w:top w:val="single" w:sz="4" w:space="0" w:color="auto"/>
              <w:bottom w:val="nil"/>
            </w:tcBorders>
            <w:shd w:val="clear" w:color="auto" w:fill="auto"/>
            <w:noWrap/>
            <w:vAlign w:val="center"/>
            <w:hideMark/>
          </w:tcPr>
          <w:p w14:paraId="3A52183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42.379.059,18</w:t>
            </w:r>
          </w:p>
        </w:tc>
        <w:tc>
          <w:tcPr>
            <w:tcW w:w="487" w:type="pct"/>
            <w:tcBorders>
              <w:top w:val="single" w:sz="4" w:space="0" w:color="auto"/>
              <w:bottom w:val="nil"/>
            </w:tcBorders>
            <w:shd w:val="clear" w:color="auto" w:fill="auto"/>
            <w:noWrap/>
            <w:vAlign w:val="center"/>
            <w:hideMark/>
          </w:tcPr>
          <w:p w14:paraId="7A78C9A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419.152.456,23</w:t>
            </w:r>
          </w:p>
        </w:tc>
        <w:tc>
          <w:tcPr>
            <w:tcW w:w="337" w:type="pct"/>
            <w:tcBorders>
              <w:top w:val="single" w:sz="4" w:space="0" w:color="auto"/>
              <w:bottom w:val="nil"/>
            </w:tcBorders>
            <w:shd w:val="clear" w:color="auto" w:fill="auto"/>
            <w:noWrap/>
            <w:vAlign w:val="center"/>
            <w:hideMark/>
          </w:tcPr>
          <w:p w14:paraId="06DC0DCB"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2.660</w:t>
            </w:r>
          </w:p>
        </w:tc>
        <w:tc>
          <w:tcPr>
            <w:tcW w:w="393" w:type="pct"/>
            <w:tcBorders>
              <w:top w:val="single" w:sz="4" w:space="0" w:color="auto"/>
              <w:bottom w:val="nil"/>
            </w:tcBorders>
            <w:shd w:val="clear" w:color="auto" w:fill="auto"/>
            <w:noWrap/>
            <w:vAlign w:val="center"/>
            <w:hideMark/>
          </w:tcPr>
          <w:p w14:paraId="4309D23A"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157.566,24</w:t>
            </w:r>
          </w:p>
        </w:tc>
        <w:tc>
          <w:tcPr>
            <w:tcW w:w="471" w:type="pct"/>
            <w:tcBorders>
              <w:top w:val="single" w:sz="4" w:space="0" w:color="auto"/>
              <w:bottom w:val="nil"/>
            </w:tcBorders>
            <w:vAlign w:val="center"/>
          </w:tcPr>
          <w:p w14:paraId="6AD2DEB9"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12.120,48</w:t>
            </w:r>
          </w:p>
        </w:tc>
      </w:tr>
      <w:tr w:rsidR="006356F1" w:rsidRPr="00C0505A" w14:paraId="6E313B01" w14:textId="77777777" w:rsidTr="00217400">
        <w:trPr>
          <w:trHeight w:val="227"/>
        </w:trPr>
        <w:tc>
          <w:tcPr>
            <w:tcW w:w="1722" w:type="pct"/>
            <w:tcBorders>
              <w:top w:val="nil"/>
            </w:tcBorders>
            <w:shd w:val="clear" w:color="auto" w:fill="auto"/>
            <w:noWrap/>
            <w:vAlign w:val="center"/>
            <w:hideMark/>
          </w:tcPr>
          <w:p w14:paraId="316CEC9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automóveis, camionetas e utilitários</w:t>
            </w:r>
          </w:p>
        </w:tc>
        <w:tc>
          <w:tcPr>
            <w:tcW w:w="531" w:type="pct"/>
            <w:tcBorders>
              <w:top w:val="nil"/>
            </w:tcBorders>
            <w:shd w:val="clear" w:color="auto" w:fill="auto"/>
            <w:noWrap/>
            <w:vAlign w:val="center"/>
            <w:hideMark/>
          </w:tcPr>
          <w:p w14:paraId="3ABC569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267.521.421,05</w:t>
            </w:r>
          </w:p>
        </w:tc>
        <w:tc>
          <w:tcPr>
            <w:tcW w:w="531" w:type="pct"/>
            <w:tcBorders>
              <w:top w:val="nil"/>
            </w:tcBorders>
            <w:shd w:val="clear" w:color="auto" w:fill="auto"/>
            <w:noWrap/>
            <w:vAlign w:val="center"/>
            <w:hideMark/>
          </w:tcPr>
          <w:p w14:paraId="66527F2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190.892.442,62</w:t>
            </w:r>
          </w:p>
        </w:tc>
        <w:tc>
          <w:tcPr>
            <w:tcW w:w="529" w:type="pct"/>
            <w:tcBorders>
              <w:top w:val="nil"/>
            </w:tcBorders>
            <w:shd w:val="clear" w:color="auto" w:fill="auto"/>
            <w:noWrap/>
            <w:vAlign w:val="center"/>
            <w:hideMark/>
          </w:tcPr>
          <w:p w14:paraId="05E4B9A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42.084.515,36</w:t>
            </w:r>
          </w:p>
        </w:tc>
        <w:tc>
          <w:tcPr>
            <w:tcW w:w="487" w:type="pct"/>
            <w:tcBorders>
              <w:top w:val="nil"/>
            </w:tcBorders>
            <w:shd w:val="clear" w:color="auto" w:fill="auto"/>
            <w:noWrap/>
            <w:vAlign w:val="center"/>
            <w:hideMark/>
          </w:tcPr>
          <w:p w14:paraId="32B34E9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416.329.348,31</w:t>
            </w:r>
          </w:p>
        </w:tc>
        <w:tc>
          <w:tcPr>
            <w:tcW w:w="337" w:type="pct"/>
            <w:tcBorders>
              <w:top w:val="nil"/>
            </w:tcBorders>
            <w:shd w:val="clear" w:color="auto" w:fill="auto"/>
            <w:noWrap/>
            <w:vAlign w:val="center"/>
            <w:hideMark/>
          </w:tcPr>
          <w:p w14:paraId="23DB4B5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2.500</w:t>
            </w:r>
          </w:p>
        </w:tc>
        <w:tc>
          <w:tcPr>
            <w:tcW w:w="393" w:type="pct"/>
            <w:tcBorders>
              <w:top w:val="nil"/>
            </w:tcBorders>
            <w:shd w:val="clear" w:color="auto" w:fill="auto"/>
            <w:noWrap/>
            <w:vAlign w:val="center"/>
            <w:hideMark/>
          </w:tcPr>
          <w:p w14:paraId="2EE69AA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166.515,09</w:t>
            </w:r>
          </w:p>
        </w:tc>
        <w:tc>
          <w:tcPr>
            <w:tcW w:w="471" w:type="pct"/>
            <w:tcBorders>
              <w:top w:val="nil"/>
            </w:tcBorders>
            <w:vAlign w:val="center"/>
          </w:tcPr>
          <w:p w14:paraId="5FC6F1A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12.808,85</w:t>
            </w:r>
          </w:p>
        </w:tc>
      </w:tr>
      <w:tr w:rsidR="006356F1" w:rsidRPr="00C0505A" w14:paraId="2FC064E2" w14:textId="77777777" w:rsidTr="00217400">
        <w:trPr>
          <w:trHeight w:val="227"/>
        </w:trPr>
        <w:tc>
          <w:tcPr>
            <w:tcW w:w="1722" w:type="pct"/>
            <w:tcBorders>
              <w:bottom w:val="single" w:sz="4" w:space="0" w:color="auto"/>
            </w:tcBorders>
            <w:shd w:val="clear" w:color="auto" w:fill="auto"/>
            <w:noWrap/>
            <w:vAlign w:val="center"/>
            <w:hideMark/>
          </w:tcPr>
          <w:p w14:paraId="71B17D10"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cabines, carrocerias e reboques para caminhões</w:t>
            </w:r>
          </w:p>
        </w:tc>
        <w:tc>
          <w:tcPr>
            <w:tcW w:w="531" w:type="pct"/>
            <w:tcBorders>
              <w:bottom w:val="single" w:sz="4" w:space="0" w:color="auto"/>
            </w:tcBorders>
            <w:shd w:val="clear" w:color="auto" w:fill="auto"/>
            <w:noWrap/>
            <w:vAlign w:val="center"/>
            <w:hideMark/>
          </w:tcPr>
          <w:p w14:paraId="4117B7A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2.472.651,74</w:t>
            </w:r>
          </w:p>
        </w:tc>
        <w:tc>
          <w:tcPr>
            <w:tcW w:w="531" w:type="pct"/>
            <w:tcBorders>
              <w:bottom w:val="single" w:sz="4" w:space="0" w:color="auto"/>
            </w:tcBorders>
            <w:shd w:val="clear" w:color="auto" w:fill="auto"/>
            <w:noWrap/>
            <w:vAlign w:val="center"/>
            <w:hideMark/>
          </w:tcPr>
          <w:p w14:paraId="45ECC68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645.000,00</w:t>
            </w:r>
          </w:p>
        </w:tc>
        <w:tc>
          <w:tcPr>
            <w:tcW w:w="529" w:type="pct"/>
            <w:tcBorders>
              <w:bottom w:val="single" w:sz="4" w:space="0" w:color="auto"/>
            </w:tcBorders>
            <w:shd w:val="clear" w:color="auto" w:fill="auto"/>
            <w:noWrap/>
            <w:vAlign w:val="center"/>
            <w:hideMark/>
          </w:tcPr>
          <w:p w14:paraId="2789DD0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294.543,82</w:t>
            </w:r>
          </w:p>
        </w:tc>
        <w:tc>
          <w:tcPr>
            <w:tcW w:w="487" w:type="pct"/>
            <w:tcBorders>
              <w:bottom w:val="single" w:sz="4" w:space="0" w:color="auto"/>
            </w:tcBorders>
            <w:shd w:val="clear" w:color="auto" w:fill="auto"/>
            <w:noWrap/>
            <w:vAlign w:val="center"/>
            <w:hideMark/>
          </w:tcPr>
          <w:p w14:paraId="6EF0114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2.823.107,92</w:t>
            </w:r>
          </w:p>
        </w:tc>
        <w:tc>
          <w:tcPr>
            <w:tcW w:w="337" w:type="pct"/>
            <w:tcBorders>
              <w:bottom w:val="single" w:sz="4" w:space="0" w:color="auto"/>
            </w:tcBorders>
            <w:shd w:val="clear" w:color="auto" w:fill="auto"/>
            <w:noWrap/>
            <w:vAlign w:val="center"/>
            <w:hideMark/>
          </w:tcPr>
          <w:p w14:paraId="0AD4C20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160</w:t>
            </w:r>
          </w:p>
        </w:tc>
        <w:tc>
          <w:tcPr>
            <w:tcW w:w="393" w:type="pct"/>
            <w:tcBorders>
              <w:bottom w:val="single" w:sz="4" w:space="0" w:color="auto"/>
            </w:tcBorders>
            <w:shd w:val="clear" w:color="auto" w:fill="auto"/>
            <w:noWrap/>
            <w:vAlign w:val="center"/>
            <w:hideMark/>
          </w:tcPr>
          <w:p w14:paraId="1F24D84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17.653,62</w:t>
            </w:r>
          </w:p>
        </w:tc>
        <w:tc>
          <w:tcPr>
            <w:tcW w:w="471" w:type="pct"/>
            <w:tcBorders>
              <w:bottom w:val="single" w:sz="4" w:space="0" w:color="auto"/>
            </w:tcBorders>
            <w:vAlign w:val="center"/>
          </w:tcPr>
          <w:p w14:paraId="6389925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1.357,97</w:t>
            </w:r>
          </w:p>
        </w:tc>
      </w:tr>
      <w:tr w:rsidR="006356F1" w:rsidRPr="00C0505A" w14:paraId="6CE7464B" w14:textId="77777777" w:rsidTr="00217400">
        <w:trPr>
          <w:trHeight w:val="227"/>
        </w:trPr>
        <w:tc>
          <w:tcPr>
            <w:tcW w:w="1722" w:type="pct"/>
            <w:tcBorders>
              <w:top w:val="single" w:sz="4" w:space="0" w:color="auto"/>
              <w:bottom w:val="nil"/>
            </w:tcBorders>
            <w:shd w:val="clear" w:color="auto" w:fill="auto"/>
            <w:noWrap/>
            <w:vAlign w:val="center"/>
            <w:hideMark/>
          </w:tcPr>
          <w:p w14:paraId="02EAF1F2"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IMPRESSÃO E REPRODUÇÃO DE GRAVAÇÕES</w:t>
            </w:r>
          </w:p>
        </w:tc>
        <w:tc>
          <w:tcPr>
            <w:tcW w:w="531" w:type="pct"/>
            <w:tcBorders>
              <w:top w:val="single" w:sz="4" w:space="0" w:color="auto"/>
              <w:bottom w:val="nil"/>
            </w:tcBorders>
            <w:shd w:val="clear" w:color="auto" w:fill="auto"/>
            <w:noWrap/>
            <w:vAlign w:val="center"/>
            <w:hideMark/>
          </w:tcPr>
          <w:p w14:paraId="0A507B1A"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1.419.693,51</w:t>
            </w:r>
          </w:p>
        </w:tc>
        <w:tc>
          <w:tcPr>
            <w:tcW w:w="531" w:type="pct"/>
            <w:tcBorders>
              <w:top w:val="single" w:sz="4" w:space="0" w:color="auto"/>
              <w:bottom w:val="nil"/>
            </w:tcBorders>
            <w:shd w:val="clear" w:color="auto" w:fill="auto"/>
            <w:noWrap/>
            <w:vAlign w:val="center"/>
            <w:hideMark/>
          </w:tcPr>
          <w:p w14:paraId="4C8F520A"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314B1FF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352.736,83</w:t>
            </w:r>
          </w:p>
        </w:tc>
        <w:tc>
          <w:tcPr>
            <w:tcW w:w="487" w:type="pct"/>
            <w:tcBorders>
              <w:top w:val="single" w:sz="4" w:space="0" w:color="auto"/>
              <w:bottom w:val="nil"/>
            </w:tcBorders>
            <w:shd w:val="clear" w:color="auto" w:fill="auto"/>
            <w:noWrap/>
            <w:vAlign w:val="center"/>
            <w:hideMark/>
          </w:tcPr>
          <w:p w14:paraId="2A1534B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1.066.956,68</w:t>
            </w:r>
          </w:p>
        </w:tc>
        <w:tc>
          <w:tcPr>
            <w:tcW w:w="337" w:type="pct"/>
            <w:tcBorders>
              <w:top w:val="single" w:sz="4" w:space="0" w:color="auto"/>
              <w:bottom w:val="nil"/>
            </w:tcBorders>
            <w:shd w:val="clear" w:color="auto" w:fill="auto"/>
            <w:noWrap/>
            <w:vAlign w:val="center"/>
            <w:hideMark/>
          </w:tcPr>
          <w:p w14:paraId="0A9369D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108</w:t>
            </w:r>
          </w:p>
        </w:tc>
        <w:tc>
          <w:tcPr>
            <w:tcW w:w="393" w:type="pct"/>
            <w:tcBorders>
              <w:top w:val="single" w:sz="4" w:space="0" w:color="auto"/>
              <w:bottom w:val="nil"/>
            </w:tcBorders>
            <w:shd w:val="clear" w:color="auto" w:fill="auto"/>
            <w:noWrap/>
            <w:vAlign w:val="center"/>
            <w:hideMark/>
          </w:tcPr>
          <w:p w14:paraId="544FC9B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9.841,26</w:t>
            </w:r>
          </w:p>
        </w:tc>
        <w:tc>
          <w:tcPr>
            <w:tcW w:w="471" w:type="pct"/>
            <w:tcBorders>
              <w:top w:val="single" w:sz="4" w:space="0" w:color="auto"/>
              <w:bottom w:val="nil"/>
            </w:tcBorders>
            <w:vAlign w:val="center"/>
          </w:tcPr>
          <w:p w14:paraId="13F9B025"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757,02</w:t>
            </w:r>
          </w:p>
        </w:tc>
      </w:tr>
      <w:tr w:rsidR="006356F1" w:rsidRPr="00C0505A" w14:paraId="5E2C5A08" w14:textId="77777777" w:rsidTr="00217400">
        <w:trPr>
          <w:trHeight w:val="227"/>
        </w:trPr>
        <w:tc>
          <w:tcPr>
            <w:tcW w:w="1722" w:type="pct"/>
            <w:tcBorders>
              <w:top w:val="nil"/>
            </w:tcBorders>
            <w:shd w:val="clear" w:color="auto" w:fill="auto"/>
            <w:noWrap/>
            <w:vAlign w:val="center"/>
            <w:hideMark/>
          </w:tcPr>
          <w:p w14:paraId="7F8096B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Impressão de livros, revistas e outras publicações periódicas</w:t>
            </w:r>
          </w:p>
        </w:tc>
        <w:tc>
          <w:tcPr>
            <w:tcW w:w="531" w:type="pct"/>
            <w:tcBorders>
              <w:top w:val="nil"/>
            </w:tcBorders>
            <w:shd w:val="clear" w:color="auto" w:fill="auto"/>
            <w:noWrap/>
            <w:vAlign w:val="center"/>
            <w:hideMark/>
          </w:tcPr>
          <w:p w14:paraId="0321F06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187.775,31</w:t>
            </w:r>
          </w:p>
        </w:tc>
        <w:tc>
          <w:tcPr>
            <w:tcW w:w="531" w:type="pct"/>
            <w:tcBorders>
              <w:top w:val="nil"/>
            </w:tcBorders>
            <w:shd w:val="clear" w:color="auto" w:fill="auto"/>
            <w:noWrap/>
            <w:vAlign w:val="center"/>
            <w:hideMark/>
          </w:tcPr>
          <w:p w14:paraId="48113D45"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5868585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122.399,34</w:t>
            </w:r>
          </w:p>
        </w:tc>
        <w:tc>
          <w:tcPr>
            <w:tcW w:w="487" w:type="pct"/>
            <w:tcBorders>
              <w:top w:val="nil"/>
            </w:tcBorders>
            <w:shd w:val="clear" w:color="auto" w:fill="auto"/>
            <w:noWrap/>
            <w:vAlign w:val="center"/>
            <w:hideMark/>
          </w:tcPr>
          <w:p w14:paraId="3611A4A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65.375,97</w:t>
            </w:r>
          </w:p>
        </w:tc>
        <w:tc>
          <w:tcPr>
            <w:tcW w:w="337" w:type="pct"/>
            <w:tcBorders>
              <w:top w:val="nil"/>
            </w:tcBorders>
            <w:shd w:val="clear" w:color="auto" w:fill="auto"/>
            <w:noWrap/>
            <w:vAlign w:val="center"/>
            <w:hideMark/>
          </w:tcPr>
          <w:p w14:paraId="5DE7349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w:t>
            </w:r>
          </w:p>
        </w:tc>
        <w:tc>
          <w:tcPr>
            <w:tcW w:w="393" w:type="pct"/>
            <w:tcBorders>
              <w:top w:val="nil"/>
            </w:tcBorders>
            <w:shd w:val="clear" w:color="auto" w:fill="auto"/>
            <w:noWrap/>
            <w:vAlign w:val="center"/>
            <w:hideMark/>
          </w:tcPr>
          <w:p w14:paraId="09DAA54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3.425,82</w:t>
            </w:r>
          </w:p>
        </w:tc>
        <w:tc>
          <w:tcPr>
            <w:tcW w:w="471" w:type="pct"/>
            <w:tcBorders>
              <w:top w:val="nil"/>
            </w:tcBorders>
            <w:vAlign w:val="center"/>
          </w:tcPr>
          <w:p w14:paraId="2404909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263,52</w:t>
            </w:r>
          </w:p>
        </w:tc>
      </w:tr>
      <w:tr w:rsidR="006356F1" w:rsidRPr="00C0505A" w14:paraId="7C7AF70C" w14:textId="77777777" w:rsidTr="00217400">
        <w:trPr>
          <w:trHeight w:val="227"/>
        </w:trPr>
        <w:tc>
          <w:tcPr>
            <w:tcW w:w="1722" w:type="pct"/>
            <w:shd w:val="clear" w:color="auto" w:fill="auto"/>
            <w:noWrap/>
            <w:vAlign w:val="center"/>
            <w:hideMark/>
          </w:tcPr>
          <w:p w14:paraId="6686C8EF"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Impressão de material para outros usos</w:t>
            </w:r>
          </w:p>
        </w:tc>
        <w:tc>
          <w:tcPr>
            <w:tcW w:w="531" w:type="pct"/>
            <w:shd w:val="clear" w:color="auto" w:fill="auto"/>
            <w:noWrap/>
            <w:vAlign w:val="center"/>
            <w:hideMark/>
          </w:tcPr>
          <w:p w14:paraId="5BD7657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424.707,24</w:t>
            </w:r>
          </w:p>
        </w:tc>
        <w:tc>
          <w:tcPr>
            <w:tcW w:w="531" w:type="pct"/>
            <w:shd w:val="clear" w:color="auto" w:fill="auto"/>
            <w:noWrap/>
            <w:vAlign w:val="center"/>
            <w:hideMark/>
          </w:tcPr>
          <w:p w14:paraId="715C94F7"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07CBC8E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59.945,43</w:t>
            </w:r>
          </w:p>
        </w:tc>
        <w:tc>
          <w:tcPr>
            <w:tcW w:w="487" w:type="pct"/>
            <w:shd w:val="clear" w:color="auto" w:fill="auto"/>
            <w:noWrap/>
            <w:vAlign w:val="center"/>
            <w:hideMark/>
          </w:tcPr>
          <w:p w14:paraId="2FE74BD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364.761,81</w:t>
            </w:r>
          </w:p>
        </w:tc>
        <w:tc>
          <w:tcPr>
            <w:tcW w:w="337" w:type="pct"/>
            <w:shd w:val="clear" w:color="auto" w:fill="auto"/>
            <w:noWrap/>
            <w:vAlign w:val="center"/>
            <w:hideMark/>
          </w:tcPr>
          <w:p w14:paraId="57545B1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31</w:t>
            </w:r>
          </w:p>
        </w:tc>
        <w:tc>
          <w:tcPr>
            <w:tcW w:w="393" w:type="pct"/>
            <w:shd w:val="clear" w:color="auto" w:fill="auto"/>
            <w:noWrap/>
            <w:vAlign w:val="center"/>
            <w:hideMark/>
          </w:tcPr>
          <w:p w14:paraId="5A37EDE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11.862,17</w:t>
            </w:r>
          </w:p>
        </w:tc>
        <w:tc>
          <w:tcPr>
            <w:tcW w:w="471" w:type="pct"/>
            <w:vAlign w:val="center"/>
          </w:tcPr>
          <w:p w14:paraId="2EAEA19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912,47</w:t>
            </w:r>
          </w:p>
        </w:tc>
      </w:tr>
      <w:tr w:rsidR="006356F1" w:rsidRPr="00C0505A" w14:paraId="7BCF1204" w14:textId="77777777" w:rsidTr="00217400">
        <w:trPr>
          <w:trHeight w:val="227"/>
        </w:trPr>
        <w:tc>
          <w:tcPr>
            <w:tcW w:w="1722" w:type="pct"/>
            <w:tcBorders>
              <w:bottom w:val="single" w:sz="4" w:space="0" w:color="auto"/>
            </w:tcBorders>
            <w:shd w:val="clear" w:color="auto" w:fill="auto"/>
            <w:noWrap/>
            <w:vAlign w:val="center"/>
            <w:hideMark/>
          </w:tcPr>
          <w:p w14:paraId="1464809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Serviços de pré-impressão</w:t>
            </w:r>
          </w:p>
        </w:tc>
        <w:tc>
          <w:tcPr>
            <w:tcW w:w="531" w:type="pct"/>
            <w:tcBorders>
              <w:bottom w:val="single" w:sz="4" w:space="0" w:color="auto"/>
            </w:tcBorders>
            <w:shd w:val="clear" w:color="auto" w:fill="auto"/>
            <w:noWrap/>
            <w:vAlign w:val="center"/>
            <w:hideMark/>
          </w:tcPr>
          <w:p w14:paraId="6EA61D2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807.210,96</w:t>
            </w:r>
          </w:p>
        </w:tc>
        <w:tc>
          <w:tcPr>
            <w:tcW w:w="531" w:type="pct"/>
            <w:tcBorders>
              <w:bottom w:val="single" w:sz="4" w:space="0" w:color="auto"/>
            </w:tcBorders>
            <w:shd w:val="clear" w:color="auto" w:fill="auto"/>
            <w:noWrap/>
            <w:vAlign w:val="center"/>
            <w:hideMark/>
          </w:tcPr>
          <w:p w14:paraId="75B994D8"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6B90127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170.392,06</w:t>
            </w:r>
          </w:p>
        </w:tc>
        <w:tc>
          <w:tcPr>
            <w:tcW w:w="487" w:type="pct"/>
            <w:tcBorders>
              <w:bottom w:val="single" w:sz="4" w:space="0" w:color="auto"/>
            </w:tcBorders>
            <w:shd w:val="clear" w:color="auto" w:fill="auto"/>
            <w:noWrap/>
            <w:vAlign w:val="center"/>
            <w:hideMark/>
          </w:tcPr>
          <w:p w14:paraId="11220E2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636.818,90</w:t>
            </w:r>
          </w:p>
        </w:tc>
        <w:tc>
          <w:tcPr>
            <w:tcW w:w="337" w:type="pct"/>
            <w:tcBorders>
              <w:bottom w:val="single" w:sz="4" w:space="0" w:color="auto"/>
            </w:tcBorders>
            <w:shd w:val="clear" w:color="auto" w:fill="auto"/>
            <w:noWrap/>
            <w:vAlign w:val="center"/>
            <w:hideMark/>
          </w:tcPr>
          <w:p w14:paraId="6286497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59</w:t>
            </w:r>
          </w:p>
        </w:tc>
        <w:tc>
          <w:tcPr>
            <w:tcW w:w="393" w:type="pct"/>
            <w:tcBorders>
              <w:bottom w:val="single" w:sz="4" w:space="0" w:color="auto"/>
            </w:tcBorders>
            <w:shd w:val="clear" w:color="auto" w:fill="auto"/>
            <w:noWrap/>
            <w:vAlign w:val="center"/>
            <w:hideMark/>
          </w:tcPr>
          <w:p w14:paraId="54BDE6E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10.870,31</w:t>
            </w:r>
          </w:p>
        </w:tc>
        <w:tc>
          <w:tcPr>
            <w:tcW w:w="471" w:type="pct"/>
            <w:tcBorders>
              <w:bottom w:val="single" w:sz="4" w:space="0" w:color="auto"/>
            </w:tcBorders>
            <w:vAlign w:val="center"/>
          </w:tcPr>
          <w:p w14:paraId="1450D38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836,18</w:t>
            </w:r>
          </w:p>
        </w:tc>
      </w:tr>
      <w:tr w:rsidR="006356F1" w:rsidRPr="00C0505A" w14:paraId="1C34334F" w14:textId="77777777" w:rsidTr="00217400">
        <w:trPr>
          <w:trHeight w:val="227"/>
        </w:trPr>
        <w:tc>
          <w:tcPr>
            <w:tcW w:w="1722" w:type="pct"/>
            <w:tcBorders>
              <w:top w:val="single" w:sz="4" w:space="0" w:color="auto"/>
              <w:bottom w:val="nil"/>
            </w:tcBorders>
            <w:shd w:val="clear" w:color="auto" w:fill="auto"/>
            <w:noWrap/>
            <w:vAlign w:val="center"/>
            <w:hideMark/>
          </w:tcPr>
          <w:p w14:paraId="51F323F4"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METALURGIA</w:t>
            </w:r>
          </w:p>
        </w:tc>
        <w:tc>
          <w:tcPr>
            <w:tcW w:w="531" w:type="pct"/>
            <w:tcBorders>
              <w:top w:val="single" w:sz="4" w:space="0" w:color="auto"/>
              <w:bottom w:val="nil"/>
            </w:tcBorders>
            <w:shd w:val="clear" w:color="auto" w:fill="auto"/>
            <w:noWrap/>
            <w:vAlign w:val="center"/>
            <w:hideMark/>
          </w:tcPr>
          <w:p w14:paraId="77B73542"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4.550.565,04</w:t>
            </w:r>
          </w:p>
        </w:tc>
        <w:tc>
          <w:tcPr>
            <w:tcW w:w="531" w:type="pct"/>
            <w:tcBorders>
              <w:top w:val="single" w:sz="4" w:space="0" w:color="auto"/>
              <w:bottom w:val="nil"/>
            </w:tcBorders>
            <w:shd w:val="clear" w:color="auto" w:fill="auto"/>
            <w:noWrap/>
            <w:vAlign w:val="center"/>
            <w:hideMark/>
          </w:tcPr>
          <w:p w14:paraId="4A831B37"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22B7D8BC"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2.967.769,73</w:t>
            </w:r>
          </w:p>
        </w:tc>
        <w:tc>
          <w:tcPr>
            <w:tcW w:w="487" w:type="pct"/>
            <w:tcBorders>
              <w:top w:val="single" w:sz="4" w:space="0" w:color="auto"/>
              <w:bottom w:val="nil"/>
            </w:tcBorders>
            <w:shd w:val="clear" w:color="auto" w:fill="auto"/>
            <w:noWrap/>
            <w:vAlign w:val="center"/>
            <w:hideMark/>
          </w:tcPr>
          <w:p w14:paraId="02027047"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1.582.795,31</w:t>
            </w:r>
          </w:p>
        </w:tc>
        <w:tc>
          <w:tcPr>
            <w:tcW w:w="337" w:type="pct"/>
            <w:tcBorders>
              <w:top w:val="single" w:sz="4" w:space="0" w:color="auto"/>
              <w:bottom w:val="nil"/>
            </w:tcBorders>
            <w:shd w:val="clear" w:color="auto" w:fill="auto"/>
            <w:noWrap/>
            <w:vAlign w:val="center"/>
            <w:hideMark/>
          </w:tcPr>
          <w:p w14:paraId="329A0E5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663</w:t>
            </w:r>
          </w:p>
        </w:tc>
        <w:tc>
          <w:tcPr>
            <w:tcW w:w="393" w:type="pct"/>
            <w:tcBorders>
              <w:top w:val="single" w:sz="4" w:space="0" w:color="auto"/>
              <w:bottom w:val="nil"/>
            </w:tcBorders>
            <w:shd w:val="clear" w:color="auto" w:fill="auto"/>
            <w:noWrap/>
            <w:vAlign w:val="center"/>
            <w:hideMark/>
          </w:tcPr>
          <w:p w14:paraId="5B23E79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2.387,32</w:t>
            </w:r>
          </w:p>
        </w:tc>
        <w:tc>
          <w:tcPr>
            <w:tcW w:w="471" w:type="pct"/>
            <w:tcBorders>
              <w:top w:val="single" w:sz="4" w:space="0" w:color="auto"/>
              <w:bottom w:val="nil"/>
            </w:tcBorders>
            <w:vAlign w:val="center"/>
          </w:tcPr>
          <w:p w14:paraId="0B782BC7"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183,64</w:t>
            </w:r>
          </w:p>
        </w:tc>
      </w:tr>
      <w:tr w:rsidR="006356F1" w:rsidRPr="00C0505A" w14:paraId="1B313519" w14:textId="77777777" w:rsidTr="00217400">
        <w:trPr>
          <w:trHeight w:val="227"/>
        </w:trPr>
        <w:tc>
          <w:tcPr>
            <w:tcW w:w="1722" w:type="pct"/>
            <w:tcBorders>
              <w:top w:val="nil"/>
            </w:tcBorders>
            <w:shd w:val="clear" w:color="auto" w:fill="auto"/>
            <w:noWrap/>
            <w:vAlign w:val="center"/>
            <w:hideMark/>
          </w:tcPr>
          <w:p w14:paraId="19A11227"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Fundição de metais não ferrosos e suas ligas</w:t>
            </w:r>
          </w:p>
        </w:tc>
        <w:tc>
          <w:tcPr>
            <w:tcW w:w="531" w:type="pct"/>
            <w:tcBorders>
              <w:top w:val="nil"/>
            </w:tcBorders>
            <w:shd w:val="clear" w:color="auto" w:fill="auto"/>
            <w:noWrap/>
            <w:vAlign w:val="center"/>
            <w:hideMark/>
          </w:tcPr>
          <w:p w14:paraId="53421B5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391.876,61</w:t>
            </w:r>
          </w:p>
        </w:tc>
        <w:tc>
          <w:tcPr>
            <w:tcW w:w="531" w:type="pct"/>
            <w:tcBorders>
              <w:top w:val="nil"/>
            </w:tcBorders>
            <w:shd w:val="clear" w:color="auto" w:fill="auto"/>
            <w:noWrap/>
            <w:vAlign w:val="center"/>
            <w:hideMark/>
          </w:tcPr>
          <w:p w14:paraId="2A1FA2C9"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1AB4CC1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69.590,88</w:t>
            </w:r>
          </w:p>
        </w:tc>
        <w:tc>
          <w:tcPr>
            <w:tcW w:w="487" w:type="pct"/>
            <w:tcBorders>
              <w:top w:val="nil"/>
            </w:tcBorders>
            <w:shd w:val="clear" w:color="auto" w:fill="auto"/>
            <w:noWrap/>
            <w:vAlign w:val="center"/>
            <w:hideMark/>
          </w:tcPr>
          <w:p w14:paraId="25075F3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322.285,73</w:t>
            </w:r>
          </w:p>
        </w:tc>
        <w:tc>
          <w:tcPr>
            <w:tcW w:w="337" w:type="pct"/>
            <w:tcBorders>
              <w:top w:val="nil"/>
            </w:tcBorders>
            <w:shd w:val="clear" w:color="auto" w:fill="auto"/>
            <w:noWrap/>
            <w:vAlign w:val="center"/>
            <w:hideMark/>
          </w:tcPr>
          <w:p w14:paraId="26DD4D7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w:t>
            </w:r>
          </w:p>
        </w:tc>
        <w:tc>
          <w:tcPr>
            <w:tcW w:w="393" w:type="pct"/>
            <w:tcBorders>
              <w:top w:val="nil"/>
            </w:tcBorders>
            <w:shd w:val="clear" w:color="auto" w:fill="auto"/>
            <w:noWrap/>
            <w:vAlign w:val="center"/>
            <w:hideMark/>
          </w:tcPr>
          <w:p w14:paraId="12F107A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10.595,70</w:t>
            </w:r>
          </w:p>
        </w:tc>
        <w:tc>
          <w:tcPr>
            <w:tcW w:w="471" w:type="pct"/>
            <w:tcBorders>
              <w:top w:val="nil"/>
            </w:tcBorders>
            <w:vAlign w:val="center"/>
          </w:tcPr>
          <w:p w14:paraId="43BF411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815,05</w:t>
            </w:r>
          </w:p>
        </w:tc>
      </w:tr>
      <w:tr w:rsidR="006356F1" w:rsidRPr="00C0505A" w14:paraId="70DBFFAE" w14:textId="77777777" w:rsidTr="00217400">
        <w:trPr>
          <w:trHeight w:val="227"/>
        </w:trPr>
        <w:tc>
          <w:tcPr>
            <w:tcW w:w="1722" w:type="pct"/>
            <w:shd w:val="clear" w:color="auto" w:fill="auto"/>
            <w:noWrap/>
            <w:vAlign w:val="center"/>
            <w:hideMark/>
          </w:tcPr>
          <w:p w14:paraId="49CED1D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Metalurgia de outros metais não-ferrosos e suas ligas não especificados anteriormente</w:t>
            </w:r>
          </w:p>
        </w:tc>
        <w:tc>
          <w:tcPr>
            <w:tcW w:w="531" w:type="pct"/>
            <w:shd w:val="clear" w:color="auto" w:fill="auto"/>
            <w:noWrap/>
            <w:vAlign w:val="center"/>
            <w:hideMark/>
          </w:tcPr>
          <w:p w14:paraId="1E54926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1.163.699,98</w:t>
            </w:r>
          </w:p>
        </w:tc>
        <w:tc>
          <w:tcPr>
            <w:tcW w:w="531" w:type="pct"/>
            <w:shd w:val="clear" w:color="auto" w:fill="auto"/>
            <w:noWrap/>
            <w:vAlign w:val="center"/>
            <w:hideMark/>
          </w:tcPr>
          <w:p w14:paraId="2D8036FB"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2ACA075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200.593,60</w:t>
            </w:r>
          </w:p>
        </w:tc>
        <w:tc>
          <w:tcPr>
            <w:tcW w:w="487" w:type="pct"/>
            <w:shd w:val="clear" w:color="auto" w:fill="auto"/>
            <w:noWrap/>
            <w:vAlign w:val="center"/>
            <w:hideMark/>
          </w:tcPr>
          <w:p w14:paraId="2387508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963.106,38</w:t>
            </w:r>
          </w:p>
        </w:tc>
        <w:tc>
          <w:tcPr>
            <w:tcW w:w="337" w:type="pct"/>
            <w:shd w:val="clear" w:color="auto" w:fill="auto"/>
            <w:noWrap/>
            <w:vAlign w:val="center"/>
            <w:hideMark/>
          </w:tcPr>
          <w:p w14:paraId="1928CA9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20</w:t>
            </w:r>
          </w:p>
        </w:tc>
        <w:tc>
          <w:tcPr>
            <w:tcW w:w="393" w:type="pct"/>
            <w:shd w:val="clear" w:color="auto" w:fill="auto"/>
            <w:noWrap/>
            <w:vAlign w:val="center"/>
            <w:hideMark/>
          </w:tcPr>
          <w:p w14:paraId="4CF0FF9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47.757,34</w:t>
            </w:r>
          </w:p>
        </w:tc>
        <w:tc>
          <w:tcPr>
            <w:tcW w:w="471" w:type="pct"/>
            <w:vAlign w:val="center"/>
          </w:tcPr>
          <w:p w14:paraId="548AEE1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3.673,64</w:t>
            </w:r>
          </w:p>
        </w:tc>
      </w:tr>
      <w:tr w:rsidR="006356F1" w:rsidRPr="00C0505A" w14:paraId="7C29FE6F" w14:textId="77777777" w:rsidTr="00217400">
        <w:trPr>
          <w:trHeight w:val="227"/>
        </w:trPr>
        <w:tc>
          <w:tcPr>
            <w:tcW w:w="1722" w:type="pct"/>
            <w:shd w:val="clear" w:color="auto" w:fill="auto"/>
            <w:noWrap/>
            <w:vAlign w:val="center"/>
            <w:hideMark/>
          </w:tcPr>
          <w:p w14:paraId="42EC999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Produção de ferroligas</w:t>
            </w:r>
          </w:p>
        </w:tc>
        <w:tc>
          <w:tcPr>
            <w:tcW w:w="531" w:type="pct"/>
            <w:shd w:val="clear" w:color="auto" w:fill="auto"/>
            <w:noWrap/>
            <w:vAlign w:val="center"/>
            <w:hideMark/>
          </w:tcPr>
          <w:p w14:paraId="09CC2420" w14:textId="77777777" w:rsidR="006356F1" w:rsidRPr="00C0505A" w:rsidRDefault="006356F1" w:rsidP="00217400">
            <w:pPr>
              <w:ind w:firstLineChars="100" w:firstLine="240"/>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531" w:type="pct"/>
            <w:shd w:val="clear" w:color="auto" w:fill="auto"/>
            <w:noWrap/>
            <w:vAlign w:val="center"/>
            <w:hideMark/>
          </w:tcPr>
          <w:p w14:paraId="779287EF" w14:textId="77777777" w:rsidR="006356F1" w:rsidRPr="00C0505A" w:rsidRDefault="006356F1" w:rsidP="00217400">
            <w:pPr>
              <w:jc w:val="right"/>
              <w:rPr>
                <w:rFonts w:asciiTheme="minorHAnsi" w:hAnsiTheme="minorHAnsi" w:cstheme="minorHAnsi"/>
                <w:sz w:val="24"/>
                <w:szCs w:val="16"/>
              </w:rPr>
            </w:pPr>
          </w:p>
        </w:tc>
        <w:tc>
          <w:tcPr>
            <w:tcW w:w="529" w:type="pct"/>
            <w:shd w:val="clear" w:color="auto" w:fill="auto"/>
            <w:noWrap/>
            <w:vAlign w:val="center"/>
            <w:hideMark/>
          </w:tcPr>
          <w:p w14:paraId="4B75D16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1.784.347,42</w:t>
            </w:r>
          </w:p>
        </w:tc>
        <w:tc>
          <w:tcPr>
            <w:tcW w:w="487" w:type="pct"/>
            <w:shd w:val="clear" w:color="auto" w:fill="auto"/>
            <w:noWrap/>
            <w:vAlign w:val="center"/>
            <w:hideMark/>
          </w:tcPr>
          <w:p w14:paraId="01EE9CA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337" w:type="pct"/>
            <w:shd w:val="clear" w:color="auto" w:fill="auto"/>
            <w:noWrap/>
            <w:vAlign w:val="center"/>
            <w:hideMark/>
          </w:tcPr>
          <w:p w14:paraId="39FC9CC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360</w:t>
            </w:r>
          </w:p>
        </w:tc>
        <w:tc>
          <w:tcPr>
            <w:tcW w:w="393" w:type="pct"/>
            <w:shd w:val="clear" w:color="auto" w:fill="auto"/>
            <w:noWrap/>
            <w:vAlign w:val="center"/>
            <w:hideMark/>
          </w:tcPr>
          <w:p w14:paraId="2B16ECD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c>
          <w:tcPr>
            <w:tcW w:w="471" w:type="pct"/>
            <w:vAlign w:val="center"/>
          </w:tcPr>
          <w:p w14:paraId="2988B23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w:t>
            </w:r>
          </w:p>
        </w:tc>
      </w:tr>
      <w:tr w:rsidR="006356F1" w:rsidRPr="00C0505A" w14:paraId="2826922E" w14:textId="77777777" w:rsidTr="00217400">
        <w:trPr>
          <w:trHeight w:val="227"/>
        </w:trPr>
        <w:tc>
          <w:tcPr>
            <w:tcW w:w="1722" w:type="pct"/>
            <w:shd w:val="clear" w:color="auto" w:fill="auto"/>
            <w:noWrap/>
            <w:vAlign w:val="center"/>
            <w:hideMark/>
          </w:tcPr>
          <w:p w14:paraId="7212DE55"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lastRenderedPageBreak/>
              <w:t>Produção de relaminados, trefilados e perfilados de aço, exceto arames</w:t>
            </w:r>
          </w:p>
        </w:tc>
        <w:tc>
          <w:tcPr>
            <w:tcW w:w="531" w:type="pct"/>
            <w:shd w:val="clear" w:color="auto" w:fill="auto"/>
            <w:noWrap/>
            <w:vAlign w:val="center"/>
            <w:hideMark/>
          </w:tcPr>
          <w:p w14:paraId="58E8666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1.255.621,31</w:t>
            </w:r>
          </w:p>
        </w:tc>
        <w:tc>
          <w:tcPr>
            <w:tcW w:w="531" w:type="pct"/>
            <w:shd w:val="clear" w:color="auto" w:fill="auto"/>
            <w:noWrap/>
            <w:vAlign w:val="center"/>
            <w:hideMark/>
          </w:tcPr>
          <w:p w14:paraId="66AC68AF"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7F38EC6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184.072,96</w:t>
            </w:r>
          </w:p>
        </w:tc>
        <w:tc>
          <w:tcPr>
            <w:tcW w:w="487" w:type="pct"/>
            <w:shd w:val="clear" w:color="auto" w:fill="auto"/>
            <w:noWrap/>
            <w:vAlign w:val="center"/>
            <w:hideMark/>
          </w:tcPr>
          <w:p w14:paraId="45D2C5D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1.071.548,35</w:t>
            </w:r>
          </w:p>
        </w:tc>
        <w:tc>
          <w:tcPr>
            <w:tcW w:w="337" w:type="pct"/>
            <w:shd w:val="clear" w:color="auto" w:fill="auto"/>
            <w:noWrap/>
            <w:vAlign w:val="center"/>
            <w:hideMark/>
          </w:tcPr>
          <w:p w14:paraId="41FBFA5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81</w:t>
            </w:r>
          </w:p>
        </w:tc>
        <w:tc>
          <w:tcPr>
            <w:tcW w:w="393" w:type="pct"/>
            <w:shd w:val="clear" w:color="auto" w:fill="auto"/>
            <w:noWrap/>
            <w:vAlign w:val="center"/>
            <w:hideMark/>
          </w:tcPr>
          <w:p w14:paraId="7AC0529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13.256,27</w:t>
            </w:r>
          </w:p>
        </w:tc>
        <w:tc>
          <w:tcPr>
            <w:tcW w:w="471" w:type="pct"/>
            <w:vAlign w:val="center"/>
          </w:tcPr>
          <w:p w14:paraId="3F2C78E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1.019,71</w:t>
            </w:r>
          </w:p>
        </w:tc>
      </w:tr>
      <w:tr w:rsidR="006356F1" w:rsidRPr="00C0505A" w14:paraId="6863899D" w14:textId="77777777" w:rsidTr="00217400">
        <w:trPr>
          <w:trHeight w:val="227"/>
        </w:trPr>
        <w:tc>
          <w:tcPr>
            <w:tcW w:w="1722" w:type="pct"/>
            <w:tcBorders>
              <w:bottom w:val="single" w:sz="4" w:space="0" w:color="auto"/>
            </w:tcBorders>
            <w:shd w:val="clear" w:color="auto" w:fill="auto"/>
            <w:noWrap/>
            <w:vAlign w:val="center"/>
            <w:hideMark/>
          </w:tcPr>
          <w:p w14:paraId="6AC2AFE5"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Produção de tubos de aço com costura</w:t>
            </w:r>
          </w:p>
        </w:tc>
        <w:tc>
          <w:tcPr>
            <w:tcW w:w="531" w:type="pct"/>
            <w:tcBorders>
              <w:bottom w:val="single" w:sz="4" w:space="0" w:color="auto"/>
            </w:tcBorders>
            <w:shd w:val="clear" w:color="auto" w:fill="auto"/>
            <w:noWrap/>
            <w:vAlign w:val="center"/>
            <w:hideMark/>
          </w:tcPr>
          <w:p w14:paraId="49E2E57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1.739.367,14</w:t>
            </w:r>
          </w:p>
        </w:tc>
        <w:tc>
          <w:tcPr>
            <w:tcW w:w="531" w:type="pct"/>
            <w:tcBorders>
              <w:bottom w:val="single" w:sz="4" w:space="0" w:color="auto"/>
            </w:tcBorders>
            <w:shd w:val="clear" w:color="auto" w:fill="auto"/>
            <w:noWrap/>
            <w:vAlign w:val="center"/>
            <w:hideMark/>
          </w:tcPr>
          <w:p w14:paraId="2089068E"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43CD3BA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729.164,87</w:t>
            </w:r>
          </w:p>
        </w:tc>
        <w:tc>
          <w:tcPr>
            <w:tcW w:w="487" w:type="pct"/>
            <w:tcBorders>
              <w:bottom w:val="single" w:sz="4" w:space="0" w:color="auto"/>
            </w:tcBorders>
            <w:shd w:val="clear" w:color="auto" w:fill="auto"/>
            <w:noWrap/>
            <w:vAlign w:val="center"/>
            <w:hideMark/>
          </w:tcPr>
          <w:p w14:paraId="3375FC6A"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1.010.202,27</w:t>
            </w:r>
          </w:p>
        </w:tc>
        <w:tc>
          <w:tcPr>
            <w:tcW w:w="337" w:type="pct"/>
            <w:tcBorders>
              <w:bottom w:val="single" w:sz="4" w:space="0" w:color="auto"/>
            </w:tcBorders>
            <w:shd w:val="clear" w:color="auto" w:fill="auto"/>
            <w:noWrap/>
            <w:vAlign w:val="center"/>
            <w:hideMark/>
          </w:tcPr>
          <w:p w14:paraId="50612F5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151</w:t>
            </w:r>
          </w:p>
        </w:tc>
        <w:tc>
          <w:tcPr>
            <w:tcW w:w="393" w:type="pct"/>
            <w:tcBorders>
              <w:bottom w:val="single" w:sz="4" w:space="0" w:color="auto"/>
            </w:tcBorders>
            <w:shd w:val="clear" w:color="auto" w:fill="auto"/>
            <w:noWrap/>
            <w:vAlign w:val="center"/>
            <w:hideMark/>
          </w:tcPr>
          <w:p w14:paraId="3B613B3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6.682,71</w:t>
            </w:r>
          </w:p>
        </w:tc>
        <w:tc>
          <w:tcPr>
            <w:tcW w:w="471" w:type="pct"/>
            <w:tcBorders>
              <w:bottom w:val="single" w:sz="4" w:space="0" w:color="auto"/>
            </w:tcBorders>
            <w:vAlign w:val="center"/>
          </w:tcPr>
          <w:p w14:paraId="1C28E84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514,05</w:t>
            </w:r>
          </w:p>
        </w:tc>
      </w:tr>
      <w:tr w:rsidR="006356F1" w:rsidRPr="00C0505A" w14:paraId="0B773AFE" w14:textId="77777777" w:rsidTr="00217400">
        <w:trPr>
          <w:trHeight w:val="227"/>
        </w:trPr>
        <w:tc>
          <w:tcPr>
            <w:tcW w:w="1722" w:type="pct"/>
            <w:tcBorders>
              <w:top w:val="single" w:sz="4" w:space="0" w:color="auto"/>
              <w:bottom w:val="nil"/>
            </w:tcBorders>
            <w:shd w:val="clear" w:color="auto" w:fill="auto"/>
            <w:noWrap/>
            <w:vAlign w:val="center"/>
            <w:hideMark/>
          </w:tcPr>
          <w:p w14:paraId="4DA3311D"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PREPARAÇÃO DE COUROS E FABRICAÇÃO DE ARTEFATOS DE COURO, ARTIGOS PARA VIAGEM E CALÇADOS</w:t>
            </w:r>
          </w:p>
        </w:tc>
        <w:tc>
          <w:tcPr>
            <w:tcW w:w="531" w:type="pct"/>
            <w:tcBorders>
              <w:top w:val="single" w:sz="4" w:space="0" w:color="auto"/>
              <w:bottom w:val="nil"/>
            </w:tcBorders>
            <w:shd w:val="clear" w:color="auto" w:fill="auto"/>
            <w:noWrap/>
            <w:vAlign w:val="center"/>
            <w:hideMark/>
          </w:tcPr>
          <w:p w14:paraId="08A000A7"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9.622.066,05</w:t>
            </w:r>
          </w:p>
        </w:tc>
        <w:tc>
          <w:tcPr>
            <w:tcW w:w="531" w:type="pct"/>
            <w:tcBorders>
              <w:top w:val="single" w:sz="4" w:space="0" w:color="auto"/>
              <w:bottom w:val="nil"/>
            </w:tcBorders>
            <w:shd w:val="clear" w:color="auto" w:fill="auto"/>
            <w:noWrap/>
            <w:vAlign w:val="center"/>
            <w:hideMark/>
          </w:tcPr>
          <w:p w14:paraId="7D45B558"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764AF76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1.186.008,53</w:t>
            </w:r>
          </w:p>
        </w:tc>
        <w:tc>
          <w:tcPr>
            <w:tcW w:w="487" w:type="pct"/>
            <w:tcBorders>
              <w:top w:val="single" w:sz="4" w:space="0" w:color="auto"/>
              <w:bottom w:val="nil"/>
            </w:tcBorders>
            <w:shd w:val="clear" w:color="auto" w:fill="auto"/>
            <w:noWrap/>
            <w:vAlign w:val="center"/>
            <w:hideMark/>
          </w:tcPr>
          <w:p w14:paraId="35018C1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8.436.057,52</w:t>
            </w:r>
          </w:p>
        </w:tc>
        <w:tc>
          <w:tcPr>
            <w:tcW w:w="337" w:type="pct"/>
            <w:tcBorders>
              <w:top w:val="single" w:sz="4" w:space="0" w:color="auto"/>
              <w:bottom w:val="nil"/>
            </w:tcBorders>
            <w:shd w:val="clear" w:color="auto" w:fill="auto"/>
            <w:noWrap/>
            <w:vAlign w:val="center"/>
            <w:hideMark/>
          </w:tcPr>
          <w:p w14:paraId="1767792A"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817</w:t>
            </w:r>
          </w:p>
        </w:tc>
        <w:tc>
          <w:tcPr>
            <w:tcW w:w="393" w:type="pct"/>
            <w:tcBorders>
              <w:top w:val="single" w:sz="4" w:space="0" w:color="auto"/>
              <w:bottom w:val="nil"/>
            </w:tcBorders>
            <w:shd w:val="clear" w:color="auto" w:fill="auto"/>
            <w:noWrap/>
            <w:vAlign w:val="center"/>
            <w:hideMark/>
          </w:tcPr>
          <w:p w14:paraId="77A005F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10.327,76</w:t>
            </w:r>
          </w:p>
        </w:tc>
        <w:tc>
          <w:tcPr>
            <w:tcW w:w="471" w:type="pct"/>
            <w:tcBorders>
              <w:top w:val="single" w:sz="4" w:space="0" w:color="auto"/>
              <w:bottom w:val="nil"/>
            </w:tcBorders>
            <w:vAlign w:val="center"/>
          </w:tcPr>
          <w:p w14:paraId="5110C58B"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794,44</w:t>
            </w:r>
          </w:p>
        </w:tc>
      </w:tr>
      <w:tr w:rsidR="006356F1" w:rsidRPr="00C0505A" w14:paraId="4F6DBE3F" w14:textId="77777777" w:rsidTr="00217400">
        <w:trPr>
          <w:trHeight w:val="227"/>
        </w:trPr>
        <w:tc>
          <w:tcPr>
            <w:tcW w:w="1722" w:type="pct"/>
            <w:tcBorders>
              <w:top w:val="nil"/>
            </w:tcBorders>
            <w:shd w:val="clear" w:color="auto" w:fill="auto"/>
            <w:noWrap/>
            <w:vAlign w:val="center"/>
            <w:hideMark/>
          </w:tcPr>
          <w:p w14:paraId="781EDF69"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Curtimento e outras preparações de couro</w:t>
            </w:r>
          </w:p>
        </w:tc>
        <w:tc>
          <w:tcPr>
            <w:tcW w:w="531" w:type="pct"/>
            <w:tcBorders>
              <w:top w:val="nil"/>
            </w:tcBorders>
            <w:shd w:val="clear" w:color="auto" w:fill="auto"/>
            <w:noWrap/>
            <w:vAlign w:val="center"/>
            <w:hideMark/>
          </w:tcPr>
          <w:p w14:paraId="536DC7B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9.335.913,23</w:t>
            </w:r>
          </w:p>
        </w:tc>
        <w:tc>
          <w:tcPr>
            <w:tcW w:w="531" w:type="pct"/>
            <w:tcBorders>
              <w:top w:val="nil"/>
            </w:tcBorders>
            <w:shd w:val="clear" w:color="auto" w:fill="auto"/>
            <w:noWrap/>
            <w:vAlign w:val="center"/>
            <w:hideMark/>
          </w:tcPr>
          <w:p w14:paraId="35947C98"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1C7CB261"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1.093.584,52</w:t>
            </w:r>
          </w:p>
        </w:tc>
        <w:tc>
          <w:tcPr>
            <w:tcW w:w="487" w:type="pct"/>
            <w:tcBorders>
              <w:top w:val="nil"/>
            </w:tcBorders>
            <w:shd w:val="clear" w:color="auto" w:fill="auto"/>
            <w:noWrap/>
            <w:vAlign w:val="center"/>
            <w:hideMark/>
          </w:tcPr>
          <w:p w14:paraId="76D400F0"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8.242.328,71</w:t>
            </w:r>
          </w:p>
        </w:tc>
        <w:tc>
          <w:tcPr>
            <w:tcW w:w="337" w:type="pct"/>
            <w:tcBorders>
              <w:top w:val="nil"/>
            </w:tcBorders>
            <w:shd w:val="clear" w:color="auto" w:fill="auto"/>
            <w:noWrap/>
            <w:vAlign w:val="center"/>
            <w:hideMark/>
          </w:tcPr>
          <w:p w14:paraId="3E34DEE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768</w:t>
            </w:r>
          </w:p>
        </w:tc>
        <w:tc>
          <w:tcPr>
            <w:tcW w:w="393" w:type="pct"/>
            <w:tcBorders>
              <w:top w:val="nil"/>
            </w:tcBorders>
            <w:shd w:val="clear" w:color="auto" w:fill="auto"/>
            <w:noWrap/>
            <w:vAlign w:val="center"/>
            <w:hideMark/>
          </w:tcPr>
          <w:p w14:paraId="0D57934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10.739,19</w:t>
            </w:r>
          </w:p>
        </w:tc>
        <w:tc>
          <w:tcPr>
            <w:tcW w:w="471" w:type="pct"/>
            <w:tcBorders>
              <w:top w:val="nil"/>
            </w:tcBorders>
            <w:vAlign w:val="center"/>
          </w:tcPr>
          <w:p w14:paraId="73BA5C2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826,09</w:t>
            </w:r>
          </w:p>
        </w:tc>
      </w:tr>
      <w:tr w:rsidR="006356F1" w:rsidRPr="00C0505A" w14:paraId="2B6329D3" w14:textId="77777777" w:rsidTr="00217400">
        <w:trPr>
          <w:trHeight w:val="227"/>
        </w:trPr>
        <w:tc>
          <w:tcPr>
            <w:tcW w:w="1722" w:type="pct"/>
            <w:tcBorders>
              <w:bottom w:val="single" w:sz="4" w:space="0" w:color="auto"/>
            </w:tcBorders>
            <w:shd w:val="clear" w:color="auto" w:fill="auto"/>
            <w:noWrap/>
            <w:vAlign w:val="center"/>
            <w:hideMark/>
          </w:tcPr>
          <w:p w14:paraId="402869C1"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Fabricação de calçados de couro</w:t>
            </w:r>
          </w:p>
        </w:tc>
        <w:tc>
          <w:tcPr>
            <w:tcW w:w="531" w:type="pct"/>
            <w:tcBorders>
              <w:bottom w:val="single" w:sz="4" w:space="0" w:color="auto"/>
            </w:tcBorders>
            <w:shd w:val="clear" w:color="auto" w:fill="auto"/>
            <w:noWrap/>
            <w:vAlign w:val="center"/>
            <w:hideMark/>
          </w:tcPr>
          <w:p w14:paraId="696DD60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286.152,82</w:t>
            </w:r>
          </w:p>
        </w:tc>
        <w:tc>
          <w:tcPr>
            <w:tcW w:w="531" w:type="pct"/>
            <w:tcBorders>
              <w:bottom w:val="single" w:sz="4" w:space="0" w:color="auto"/>
            </w:tcBorders>
            <w:shd w:val="clear" w:color="auto" w:fill="auto"/>
            <w:noWrap/>
            <w:vAlign w:val="center"/>
            <w:hideMark/>
          </w:tcPr>
          <w:p w14:paraId="35B96865"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24E6C2F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92.424,01</w:t>
            </w:r>
          </w:p>
        </w:tc>
        <w:tc>
          <w:tcPr>
            <w:tcW w:w="487" w:type="pct"/>
            <w:tcBorders>
              <w:bottom w:val="single" w:sz="4" w:space="0" w:color="auto"/>
            </w:tcBorders>
            <w:shd w:val="clear" w:color="auto" w:fill="auto"/>
            <w:noWrap/>
            <w:vAlign w:val="center"/>
            <w:hideMark/>
          </w:tcPr>
          <w:p w14:paraId="43D209C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193.728,81</w:t>
            </w:r>
          </w:p>
        </w:tc>
        <w:tc>
          <w:tcPr>
            <w:tcW w:w="337" w:type="pct"/>
            <w:tcBorders>
              <w:bottom w:val="single" w:sz="4" w:space="0" w:color="auto"/>
            </w:tcBorders>
            <w:shd w:val="clear" w:color="auto" w:fill="auto"/>
            <w:noWrap/>
            <w:vAlign w:val="center"/>
            <w:hideMark/>
          </w:tcPr>
          <w:p w14:paraId="6BCE93F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49</w:t>
            </w:r>
          </w:p>
        </w:tc>
        <w:tc>
          <w:tcPr>
            <w:tcW w:w="393" w:type="pct"/>
            <w:tcBorders>
              <w:bottom w:val="single" w:sz="4" w:space="0" w:color="auto"/>
            </w:tcBorders>
            <w:shd w:val="clear" w:color="auto" w:fill="auto"/>
            <w:noWrap/>
            <w:vAlign w:val="center"/>
            <w:hideMark/>
          </w:tcPr>
          <w:p w14:paraId="6F0EBDF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3.926,94</w:t>
            </w:r>
          </w:p>
        </w:tc>
        <w:tc>
          <w:tcPr>
            <w:tcW w:w="471" w:type="pct"/>
            <w:tcBorders>
              <w:bottom w:val="single" w:sz="4" w:space="0" w:color="auto"/>
            </w:tcBorders>
            <w:vAlign w:val="center"/>
          </w:tcPr>
          <w:p w14:paraId="239BCF0F"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302,07</w:t>
            </w:r>
          </w:p>
        </w:tc>
      </w:tr>
      <w:tr w:rsidR="006356F1" w:rsidRPr="00C0505A" w14:paraId="5E5A5644" w14:textId="77777777" w:rsidTr="00217400">
        <w:trPr>
          <w:trHeight w:val="227"/>
        </w:trPr>
        <w:tc>
          <w:tcPr>
            <w:tcW w:w="1722" w:type="pct"/>
            <w:tcBorders>
              <w:top w:val="single" w:sz="4" w:space="0" w:color="auto"/>
              <w:bottom w:val="nil"/>
            </w:tcBorders>
            <w:shd w:val="clear" w:color="auto" w:fill="auto"/>
            <w:noWrap/>
            <w:vAlign w:val="center"/>
            <w:hideMark/>
          </w:tcPr>
          <w:p w14:paraId="1648400C"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TRANSPORTE TERRESTRE</w:t>
            </w:r>
          </w:p>
        </w:tc>
        <w:tc>
          <w:tcPr>
            <w:tcW w:w="531" w:type="pct"/>
            <w:tcBorders>
              <w:top w:val="single" w:sz="4" w:space="0" w:color="auto"/>
              <w:bottom w:val="nil"/>
            </w:tcBorders>
            <w:shd w:val="clear" w:color="auto" w:fill="auto"/>
            <w:noWrap/>
            <w:vAlign w:val="center"/>
            <w:hideMark/>
          </w:tcPr>
          <w:p w14:paraId="6CCDCF45"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2.045.835,91</w:t>
            </w:r>
          </w:p>
        </w:tc>
        <w:tc>
          <w:tcPr>
            <w:tcW w:w="531" w:type="pct"/>
            <w:tcBorders>
              <w:top w:val="single" w:sz="4" w:space="0" w:color="auto"/>
              <w:bottom w:val="nil"/>
            </w:tcBorders>
            <w:shd w:val="clear" w:color="auto" w:fill="auto"/>
            <w:noWrap/>
            <w:vAlign w:val="center"/>
            <w:hideMark/>
          </w:tcPr>
          <w:p w14:paraId="2E956BC6"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nil"/>
            </w:tcBorders>
            <w:shd w:val="clear" w:color="auto" w:fill="auto"/>
            <w:noWrap/>
            <w:vAlign w:val="center"/>
            <w:hideMark/>
          </w:tcPr>
          <w:p w14:paraId="35545F60"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264.903,26</w:t>
            </w:r>
          </w:p>
        </w:tc>
        <w:tc>
          <w:tcPr>
            <w:tcW w:w="487" w:type="pct"/>
            <w:tcBorders>
              <w:top w:val="single" w:sz="4" w:space="0" w:color="auto"/>
              <w:bottom w:val="nil"/>
            </w:tcBorders>
            <w:shd w:val="clear" w:color="auto" w:fill="auto"/>
            <w:noWrap/>
            <w:vAlign w:val="center"/>
            <w:hideMark/>
          </w:tcPr>
          <w:p w14:paraId="00DBB48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1.780.932,65</w:t>
            </w:r>
          </w:p>
        </w:tc>
        <w:tc>
          <w:tcPr>
            <w:tcW w:w="337" w:type="pct"/>
            <w:tcBorders>
              <w:top w:val="single" w:sz="4" w:space="0" w:color="auto"/>
              <w:bottom w:val="nil"/>
            </w:tcBorders>
            <w:shd w:val="clear" w:color="auto" w:fill="auto"/>
            <w:noWrap/>
            <w:vAlign w:val="center"/>
            <w:hideMark/>
          </w:tcPr>
          <w:p w14:paraId="07AA546D"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230</w:t>
            </w:r>
          </w:p>
        </w:tc>
        <w:tc>
          <w:tcPr>
            <w:tcW w:w="393" w:type="pct"/>
            <w:tcBorders>
              <w:top w:val="single" w:sz="4" w:space="0" w:color="auto"/>
              <w:bottom w:val="nil"/>
            </w:tcBorders>
            <w:shd w:val="clear" w:color="auto" w:fill="auto"/>
            <w:noWrap/>
            <w:vAlign w:val="center"/>
            <w:hideMark/>
          </w:tcPr>
          <w:p w14:paraId="2C758CDA"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7.734,78</w:t>
            </w:r>
          </w:p>
        </w:tc>
        <w:tc>
          <w:tcPr>
            <w:tcW w:w="471" w:type="pct"/>
            <w:tcBorders>
              <w:top w:val="single" w:sz="4" w:space="0" w:color="auto"/>
              <w:bottom w:val="nil"/>
            </w:tcBorders>
            <w:vAlign w:val="center"/>
          </w:tcPr>
          <w:p w14:paraId="34A94F77" w14:textId="77777777" w:rsidR="006356F1" w:rsidRPr="00C0505A" w:rsidRDefault="006356F1" w:rsidP="00217400">
            <w:pPr>
              <w:jc w:val="right"/>
              <w:rPr>
                <w:rFonts w:asciiTheme="minorHAnsi" w:hAnsiTheme="minorHAnsi" w:cstheme="minorHAnsi"/>
                <w:b/>
                <w:color w:val="000000"/>
                <w:sz w:val="24"/>
                <w:szCs w:val="16"/>
              </w:rPr>
            </w:pPr>
            <w:r w:rsidRPr="00C0505A">
              <w:rPr>
                <w:rFonts w:asciiTheme="minorHAnsi" w:hAnsiTheme="minorHAnsi" w:cstheme="minorHAnsi"/>
                <w:b/>
                <w:color w:val="000000"/>
                <w:sz w:val="24"/>
                <w:szCs w:val="16"/>
              </w:rPr>
              <w:t>594,98</w:t>
            </w:r>
          </w:p>
        </w:tc>
      </w:tr>
      <w:tr w:rsidR="006356F1" w:rsidRPr="00C0505A" w14:paraId="468E710D" w14:textId="77777777" w:rsidTr="00217400">
        <w:trPr>
          <w:trHeight w:val="227"/>
        </w:trPr>
        <w:tc>
          <w:tcPr>
            <w:tcW w:w="1722" w:type="pct"/>
            <w:tcBorders>
              <w:top w:val="nil"/>
            </w:tcBorders>
            <w:shd w:val="clear" w:color="auto" w:fill="auto"/>
            <w:noWrap/>
            <w:vAlign w:val="center"/>
            <w:hideMark/>
          </w:tcPr>
          <w:p w14:paraId="4AAC6294"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Transporte rodoviário de carga, exceto produtos perigosos e mudanças, intermunicipal, interestadual e internacional</w:t>
            </w:r>
          </w:p>
        </w:tc>
        <w:tc>
          <w:tcPr>
            <w:tcW w:w="531" w:type="pct"/>
            <w:tcBorders>
              <w:top w:val="nil"/>
            </w:tcBorders>
            <w:shd w:val="clear" w:color="auto" w:fill="auto"/>
            <w:noWrap/>
            <w:vAlign w:val="center"/>
            <w:hideMark/>
          </w:tcPr>
          <w:p w14:paraId="524EB14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1.772.120,07</w:t>
            </w:r>
          </w:p>
        </w:tc>
        <w:tc>
          <w:tcPr>
            <w:tcW w:w="531" w:type="pct"/>
            <w:tcBorders>
              <w:top w:val="nil"/>
            </w:tcBorders>
            <w:shd w:val="clear" w:color="auto" w:fill="auto"/>
            <w:noWrap/>
            <w:vAlign w:val="center"/>
            <w:hideMark/>
          </w:tcPr>
          <w:p w14:paraId="2FF34DF4"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top w:val="nil"/>
            </w:tcBorders>
            <w:shd w:val="clear" w:color="auto" w:fill="auto"/>
            <w:noWrap/>
            <w:vAlign w:val="center"/>
            <w:hideMark/>
          </w:tcPr>
          <w:p w14:paraId="240251B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234.931,99</w:t>
            </w:r>
          </w:p>
        </w:tc>
        <w:tc>
          <w:tcPr>
            <w:tcW w:w="487" w:type="pct"/>
            <w:tcBorders>
              <w:top w:val="nil"/>
            </w:tcBorders>
            <w:shd w:val="clear" w:color="auto" w:fill="auto"/>
            <w:noWrap/>
            <w:vAlign w:val="center"/>
            <w:hideMark/>
          </w:tcPr>
          <w:p w14:paraId="0805F60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1.537.188,08</w:t>
            </w:r>
          </w:p>
        </w:tc>
        <w:tc>
          <w:tcPr>
            <w:tcW w:w="337" w:type="pct"/>
            <w:tcBorders>
              <w:top w:val="nil"/>
            </w:tcBorders>
            <w:shd w:val="clear" w:color="auto" w:fill="auto"/>
            <w:noWrap/>
            <w:vAlign w:val="center"/>
            <w:hideMark/>
          </w:tcPr>
          <w:p w14:paraId="67BB6F5C"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106</w:t>
            </w:r>
          </w:p>
        </w:tc>
        <w:tc>
          <w:tcPr>
            <w:tcW w:w="393" w:type="pct"/>
            <w:tcBorders>
              <w:top w:val="nil"/>
            </w:tcBorders>
            <w:shd w:val="clear" w:color="auto" w:fill="auto"/>
            <w:noWrap/>
            <w:vAlign w:val="center"/>
            <w:hideMark/>
          </w:tcPr>
          <w:p w14:paraId="1CAC04F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14.490,38</w:t>
            </w:r>
          </w:p>
        </w:tc>
        <w:tc>
          <w:tcPr>
            <w:tcW w:w="471" w:type="pct"/>
            <w:tcBorders>
              <w:top w:val="nil"/>
            </w:tcBorders>
            <w:vAlign w:val="center"/>
          </w:tcPr>
          <w:p w14:paraId="0E46A0AB"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1.114,64</w:t>
            </w:r>
          </w:p>
        </w:tc>
      </w:tr>
      <w:tr w:rsidR="006356F1" w:rsidRPr="00C0505A" w14:paraId="3F3DFC1B" w14:textId="77777777" w:rsidTr="00217400">
        <w:trPr>
          <w:trHeight w:val="227"/>
        </w:trPr>
        <w:tc>
          <w:tcPr>
            <w:tcW w:w="1722" w:type="pct"/>
            <w:shd w:val="clear" w:color="auto" w:fill="auto"/>
            <w:noWrap/>
            <w:vAlign w:val="center"/>
            <w:hideMark/>
          </w:tcPr>
          <w:p w14:paraId="6193CAA6"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Transporte rodoviário de carga, exceto produtos perigosos e mudanças, municipal</w:t>
            </w:r>
          </w:p>
        </w:tc>
        <w:tc>
          <w:tcPr>
            <w:tcW w:w="531" w:type="pct"/>
            <w:shd w:val="clear" w:color="auto" w:fill="auto"/>
            <w:noWrap/>
            <w:vAlign w:val="center"/>
            <w:hideMark/>
          </w:tcPr>
          <w:p w14:paraId="7DD234B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103.782,60</w:t>
            </w:r>
          </w:p>
        </w:tc>
        <w:tc>
          <w:tcPr>
            <w:tcW w:w="531" w:type="pct"/>
            <w:shd w:val="clear" w:color="auto" w:fill="auto"/>
            <w:noWrap/>
            <w:vAlign w:val="center"/>
            <w:hideMark/>
          </w:tcPr>
          <w:p w14:paraId="043D5EB3" w14:textId="77777777" w:rsidR="006356F1" w:rsidRPr="00C0505A" w:rsidRDefault="006356F1" w:rsidP="00217400">
            <w:pPr>
              <w:jc w:val="right"/>
              <w:rPr>
                <w:rFonts w:asciiTheme="minorHAnsi" w:hAnsiTheme="minorHAnsi" w:cstheme="minorHAnsi"/>
                <w:color w:val="000000"/>
                <w:sz w:val="24"/>
                <w:szCs w:val="16"/>
              </w:rPr>
            </w:pPr>
          </w:p>
        </w:tc>
        <w:tc>
          <w:tcPr>
            <w:tcW w:w="529" w:type="pct"/>
            <w:shd w:val="clear" w:color="auto" w:fill="auto"/>
            <w:noWrap/>
            <w:vAlign w:val="center"/>
            <w:hideMark/>
          </w:tcPr>
          <w:p w14:paraId="4166A336"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13.196,39</w:t>
            </w:r>
          </w:p>
        </w:tc>
        <w:tc>
          <w:tcPr>
            <w:tcW w:w="487" w:type="pct"/>
            <w:shd w:val="clear" w:color="auto" w:fill="auto"/>
            <w:noWrap/>
            <w:vAlign w:val="center"/>
            <w:hideMark/>
          </w:tcPr>
          <w:p w14:paraId="1990329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90.586,21</w:t>
            </w:r>
          </w:p>
        </w:tc>
        <w:tc>
          <w:tcPr>
            <w:tcW w:w="337" w:type="pct"/>
            <w:shd w:val="clear" w:color="auto" w:fill="auto"/>
            <w:noWrap/>
            <w:vAlign w:val="center"/>
            <w:hideMark/>
          </w:tcPr>
          <w:p w14:paraId="4BF0F0B7"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36</w:t>
            </w:r>
          </w:p>
        </w:tc>
        <w:tc>
          <w:tcPr>
            <w:tcW w:w="393" w:type="pct"/>
            <w:shd w:val="clear" w:color="auto" w:fill="auto"/>
            <w:noWrap/>
            <w:vAlign w:val="center"/>
            <w:hideMark/>
          </w:tcPr>
          <w:p w14:paraId="754F88F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2.493,20</w:t>
            </w:r>
          </w:p>
        </w:tc>
        <w:tc>
          <w:tcPr>
            <w:tcW w:w="471" w:type="pct"/>
            <w:vAlign w:val="center"/>
          </w:tcPr>
          <w:p w14:paraId="0746B94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191,78</w:t>
            </w:r>
          </w:p>
        </w:tc>
      </w:tr>
      <w:tr w:rsidR="006356F1" w:rsidRPr="00C0505A" w14:paraId="515FBEEB" w14:textId="77777777" w:rsidTr="00217400">
        <w:trPr>
          <w:trHeight w:val="227"/>
        </w:trPr>
        <w:tc>
          <w:tcPr>
            <w:tcW w:w="1722" w:type="pct"/>
            <w:tcBorders>
              <w:bottom w:val="single" w:sz="4" w:space="0" w:color="auto"/>
            </w:tcBorders>
            <w:shd w:val="clear" w:color="auto" w:fill="auto"/>
            <w:noWrap/>
            <w:vAlign w:val="center"/>
            <w:hideMark/>
          </w:tcPr>
          <w:p w14:paraId="47FD7D90" w14:textId="77777777" w:rsidR="006356F1" w:rsidRPr="00C0505A" w:rsidRDefault="006356F1" w:rsidP="00217400">
            <w:pPr>
              <w:ind w:firstLineChars="100" w:firstLine="240"/>
              <w:rPr>
                <w:rFonts w:asciiTheme="minorHAnsi" w:hAnsiTheme="minorHAnsi" w:cstheme="minorHAnsi"/>
                <w:color w:val="000000"/>
                <w:sz w:val="24"/>
                <w:szCs w:val="16"/>
              </w:rPr>
            </w:pPr>
            <w:r w:rsidRPr="00C0505A">
              <w:rPr>
                <w:rFonts w:asciiTheme="minorHAnsi" w:hAnsiTheme="minorHAnsi" w:cstheme="minorHAnsi"/>
                <w:color w:val="000000"/>
                <w:sz w:val="24"/>
                <w:szCs w:val="16"/>
              </w:rPr>
              <w:t>Transporte rodoviário de produtos perigosos</w:t>
            </w:r>
          </w:p>
        </w:tc>
        <w:tc>
          <w:tcPr>
            <w:tcW w:w="531" w:type="pct"/>
            <w:tcBorders>
              <w:bottom w:val="single" w:sz="4" w:space="0" w:color="auto"/>
            </w:tcBorders>
            <w:shd w:val="clear" w:color="auto" w:fill="auto"/>
            <w:noWrap/>
            <w:vAlign w:val="center"/>
            <w:hideMark/>
          </w:tcPr>
          <w:p w14:paraId="62C6CA69"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169.933,24</w:t>
            </w:r>
          </w:p>
        </w:tc>
        <w:tc>
          <w:tcPr>
            <w:tcW w:w="531" w:type="pct"/>
            <w:tcBorders>
              <w:bottom w:val="single" w:sz="4" w:space="0" w:color="auto"/>
            </w:tcBorders>
            <w:shd w:val="clear" w:color="auto" w:fill="auto"/>
            <w:noWrap/>
            <w:vAlign w:val="center"/>
            <w:hideMark/>
          </w:tcPr>
          <w:p w14:paraId="7F501AD2" w14:textId="77777777" w:rsidR="006356F1" w:rsidRPr="00C0505A" w:rsidRDefault="006356F1" w:rsidP="00217400">
            <w:pPr>
              <w:jc w:val="right"/>
              <w:rPr>
                <w:rFonts w:asciiTheme="minorHAnsi" w:hAnsiTheme="minorHAnsi" w:cstheme="minorHAnsi"/>
                <w:color w:val="000000"/>
                <w:sz w:val="24"/>
                <w:szCs w:val="16"/>
              </w:rPr>
            </w:pPr>
          </w:p>
        </w:tc>
        <w:tc>
          <w:tcPr>
            <w:tcW w:w="529" w:type="pct"/>
            <w:tcBorders>
              <w:bottom w:val="single" w:sz="4" w:space="0" w:color="auto"/>
            </w:tcBorders>
            <w:shd w:val="clear" w:color="auto" w:fill="auto"/>
            <w:noWrap/>
            <w:vAlign w:val="center"/>
            <w:hideMark/>
          </w:tcPr>
          <w:p w14:paraId="3F21F415"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16.774,88</w:t>
            </w:r>
          </w:p>
        </w:tc>
        <w:tc>
          <w:tcPr>
            <w:tcW w:w="487" w:type="pct"/>
            <w:tcBorders>
              <w:bottom w:val="single" w:sz="4" w:space="0" w:color="auto"/>
            </w:tcBorders>
            <w:shd w:val="clear" w:color="auto" w:fill="auto"/>
            <w:noWrap/>
            <w:vAlign w:val="center"/>
            <w:hideMark/>
          </w:tcPr>
          <w:p w14:paraId="149DA4F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153.158,36</w:t>
            </w:r>
          </w:p>
        </w:tc>
        <w:tc>
          <w:tcPr>
            <w:tcW w:w="337" w:type="pct"/>
            <w:tcBorders>
              <w:bottom w:val="single" w:sz="4" w:space="0" w:color="auto"/>
            </w:tcBorders>
            <w:shd w:val="clear" w:color="auto" w:fill="auto"/>
            <w:noWrap/>
            <w:vAlign w:val="center"/>
            <w:hideMark/>
          </w:tcPr>
          <w:p w14:paraId="7ECE81AD"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88</w:t>
            </w:r>
          </w:p>
        </w:tc>
        <w:tc>
          <w:tcPr>
            <w:tcW w:w="393" w:type="pct"/>
            <w:tcBorders>
              <w:bottom w:val="single" w:sz="4" w:space="0" w:color="auto"/>
            </w:tcBorders>
            <w:shd w:val="clear" w:color="auto" w:fill="auto"/>
            <w:noWrap/>
            <w:vAlign w:val="center"/>
            <w:hideMark/>
          </w:tcPr>
          <w:p w14:paraId="5351C3E8"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1.743,74</w:t>
            </w:r>
          </w:p>
        </w:tc>
        <w:tc>
          <w:tcPr>
            <w:tcW w:w="471" w:type="pct"/>
            <w:tcBorders>
              <w:bottom w:val="single" w:sz="4" w:space="0" w:color="auto"/>
            </w:tcBorders>
            <w:vAlign w:val="center"/>
          </w:tcPr>
          <w:p w14:paraId="02D57114"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134,13</w:t>
            </w:r>
          </w:p>
        </w:tc>
      </w:tr>
      <w:tr w:rsidR="006356F1" w:rsidRPr="00C0505A" w14:paraId="0502C482" w14:textId="77777777" w:rsidTr="00217400">
        <w:trPr>
          <w:trHeight w:val="227"/>
        </w:trPr>
        <w:tc>
          <w:tcPr>
            <w:tcW w:w="1722" w:type="pct"/>
            <w:tcBorders>
              <w:top w:val="single" w:sz="4" w:space="0" w:color="auto"/>
              <w:bottom w:val="single" w:sz="4" w:space="0" w:color="auto"/>
            </w:tcBorders>
            <w:shd w:val="clear" w:color="auto" w:fill="auto"/>
            <w:noWrap/>
            <w:vAlign w:val="center"/>
            <w:hideMark/>
          </w:tcPr>
          <w:p w14:paraId="612C0F1E"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Outros</w:t>
            </w:r>
          </w:p>
        </w:tc>
        <w:tc>
          <w:tcPr>
            <w:tcW w:w="531" w:type="pct"/>
            <w:tcBorders>
              <w:top w:val="single" w:sz="4" w:space="0" w:color="auto"/>
              <w:bottom w:val="single" w:sz="4" w:space="0" w:color="auto"/>
            </w:tcBorders>
            <w:shd w:val="clear" w:color="auto" w:fill="auto"/>
            <w:noWrap/>
            <w:vAlign w:val="center"/>
            <w:hideMark/>
          </w:tcPr>
          <w:p w14:paraId="724CE942" w14:textId="77777777" w:rsidR="006356F1" w:rsidRPr="00C0505A" w:rsidRDefault="006356F1" w:rsidP="00217400">
            <w:pPr>
              <w:jc w:val="right"/>
              <w:rPr>
                <w:rFonts w:asciiTheme="minorHAnsi" w:hAnsiTheme="minorHAnsi" w:cstheme="minorHAnsi"/>
                <w:b/>
                <w:bCs/>
                <w:color w:val="000000"/>
                <w:sz w:val="24"/>
                <w:szCs w:val="16"/>
              </w:rPr>
            </w:pPr>
          </w:p>
        </w:tc>
        <w:tc>
          <w:tcPr>
            <w:tcW w:w="531" w:type="pct"/>
            <w:tcBorders>
              <w:top w:val="single" w:sz="4" w:space="0" w:color="auto"/>
              <w:bottom w:val="single" w:sz="4" w:space="0" w:color="auto"/>
            </w:tcBorders>
            <w:shd w:val="clear" w:color="auto" w:fill="auto"/>
            <w:noWrap/>
            <w:vAlign w:val="center"/>
            <w:hideMark/>
          </w:tcPr>
          <w:p w14:paraId="0B9D7062" w14:textId="77777777" w:rsidR="006356F1" w:rsidRPr="00C0505A" w:rsidRDefault="006356F1" w:rsidP="00217400">
            <w:pPr>
              <w:jc w:val="right"/>
              <w:rPr>
                <w:rFonts w:asciiTheme="minorHAnsi" w:hAnsiTheme="minorHAnsi" w:cstheme="minorHAnsi"/>
                <w:b/>
                <w:bCs/>
                <w:color w:val="000000"/>
                <w:sz w:val="24"/>
                <w:szCs w:val="16"/>
              </w:rPr>
            </w:pPr>
          </w:p>
        </w:tc>
        <w:tc>
          <w:tcPr>
            <w:tcW w:w="529" w:type="pct"/>
            <w:tcBorders>
              <w:top w:val="single" w:sz="4" w:space="0" w:color="auto"/>
              <w:bottom w:val="single" w:sz="4" w:space="0" w:color="auto"/>
            </w:tcBorders>
            <w:shd w:val="clear" w:color="auto" w:fill="auto"/>
            <w:noWrap/>
            <w:vAlign w:val="center"/>
            <w:hideMark/>
          </w:tcPr>
          <w:p w14:paraId="31ED0631"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73.692,12</w:t>
            </w:r>
          </w:p>
        </w:tc>
        <w:tc>
          <w:tcPr>
            <w:tcW w:w="487" w:type="pct"/>
            <w:tcBorders>
              <w:top w:val="single" w:sz="4" w:space="0" w:color="auto"/>
              <w:bottom w:val="single" w:sz="4" w:space="0" w:color="auto"/>
            </w:tcBorders>
            <w:shd w:val="clear" w:color="auto" w:fill="auto"/>
            <w:noWrap/>
            <w:vAlign w:val="center"/>
            <w:hideMark/>
          </w:tcPr>
          <w:p w14:paraId="6D134E2E"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-73.688</w:t>
            </w:r>
          </w:p>
        </w:tc>
        <w:tc>
          <w:tcPr>
            <w:tcW w:w="337" w:type="pct"/>
            <w:tcBorders>
              <w:top w:val="single" w:sz="4" w:space="0" w:color="auto"/>
              <w:bottom w:val="single" w:sz="4" w:space="0" w:color="auto"/>
            </w:tcBorders>
            <w:shd w:val="clear" w:color="auto" w:fill="auto"/>
            <w:noWrap/>
            <w:vAlign w:val="center"/>
            <w:hideMark/>
          </w:tcPr>
          <w:p w14:paraId="18AB2663"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color w:val="000000"/>
                <w:sz w:val="24"/>
                <w:szCs w:val="16"/>
              </w:rPr>
              <w:t>257</w:t>
            </w:r>
          </w:p>
        </w:tc>
        <w:tc>
          <w:tcPr>
            <w:tcW w:w="393" w:type="pct"/>
            <w:tcBorders>
              <w:top w:val="single" w:sz="4" w:space="0" w:color="auto"/>
              <w:bottom w:val="single" w:sz="4" w:space="0" w:color="auto"/>
            </w:tcBorders>
            <w:shd w:val="clear" w:color="auto" w:fill="auto"/>
            <w:noWrap/>
            <w:vAlign w:val="center"/>
            <w:hideMark/>
          </w:tcPr>
          <w:p w14:paraId="78EC5830" w14:textId="77777777" w:rsidR="006356F1" w:rsidRPr="00C0505A" w:rsidRDefault="006356F1" w:rsidP="00217400">
            <w:pPr>
              <w:jc w:val="right"/>
              <w:rPr>
                <w:rFonts w:asciiTheme="minorHAnsi" w:hAnsiTheme="minorHAnsi" w:cstheme="minorHAnsi"/>
                <w:b/>
                <w:bCs/>
                <w:color w:val="000000"/>
                <w:sz w:val="24"/>
                <w:szCs w:val="16"/>
              </w:rPr>
            </w:pPr>
          </w:p>
        </w:tc>
        <w:tc>
          <w:tcPr>
            <w:tcW w:w="471" w:type="pct"/>
            <w:tcBorders>
              <w:top w:val="single" w:sz="4" w:space="0" w:color="auto"/>
              <w:bottom w:val="single" w:sz="4" w:space="0" w:color="auto"/>
            </w:tcBorders>
            <w:vAlign w:val="center"/>
          </w:tcPr>
          <w:p w14:paraId="1E001A6F" w14:textId="77777777" w:rsidR="006356F1" w:rsidRPr="00C0505A" w:rsidRDefault="006356F1" w:rsidP="00217400">
            <w:pPr>
              <w:jc w:val="right"/>
              <w:rPr>
                <w:rFonts w:asciiTheme="minorHAnsi" w:hAnsiTheme="minorHAnsi" w:cstheme="minorHAnsi"/>
                <w:color w:val="000000"/>
                <w:sz w:val="24"/>
                <w:szCs w:val="16"/>
              </w:rPr>
            </w:pPr>
          </w:p>
        </w:tc>
      </w:tr>
      <w:tr w:rsidR="006356F1" w:rsidRPr="00C0505A" w14:paraId="202CC0B2" w14:textId="77777777" w:rsidTr="00217400">
        <w:trPr>
          <w:trHeight w:val="227"/>
        </w:trPr>
        <w:tc>
          <w:tcPr>
            <w:tcW w:w="1722" w:type="pct"/>
            <w:tcBorders>
              <w:top w:val="single" w:sz="4" w:space="0" w:color="auto"/>
              <w:bottom w:val="single" w:sz="4" w:space="0" w:color="auto"/>
            </w:tcBorders>
            <w:shd w:val="clear" w:color="DDEBF7" w:fill="DDEBF7"/>
            <w:noWrap/>
            <w:vAlign w:val="center"/>
            <w:hideMark/>
          </w:tcPr>
          <w:p w14:paraId="56395AD5" w14:textId="77777777" w:rsidR="006356F1" w:rsidRPr="00C0505A" w:rsidRDefault="006356F1" w:rsidP="00217400">
            <w:pPr>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Total Geral</w:t>
            </w:r>
          </w:p>
        </w:tc>
        <w:tc>
          <w:tcPr>
            <w:tcW w:w="531" w:type="pct"/>
            <w:tcBorders>
              <w:top w:val="single" w:sz="4" w:space="0" w:color="auto"/>
              <w:bottom w:val="single" w:sz="4" w:space="0" w:color="auto"/>
            </w:tcBorders>
            <w:shd w:val="clear" w:color="DDEBF7" w:fill="DDEBF7"/>
            <w:noWrap/>
            <w:vAlign w:val="center"/>
            <w:hideMark/>
          </w:tcPr>
          <w:p w14:paraId="715E92A4"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2.800.113.589,63</w:t>
            </w:r>
          </w:p>
        </w:tc>
        <w:tc>
          <w:tcPr>
            <w:tcW w:w="531" w:type="pct"/>
            <w:tcBorders>
              <w:top w:val="single" w:sz="4" w:space="0" w:color="auto"/>
              <w:bottom w:val="single" w:sz="4" w:space="0" w:color="auto"/>
            </w:tcBorders>
            <w:shd w:val="clear" w:color="DDEBF7" w:fill="DDEBF7"/>
            <w:noWrap/>
            <w:vAlign w:val="center"/>
            <w:hideMark/>
          </w:tcPr>
          <w:p w14:paraId="542C81A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536.342.152,64</w:t>
            </w:r>
          </w:p>
        </w:tc>
        <w:tc>
          <w:tcPr>
            <w:tcW w:w="529" w:type="pct"/>
            <w:tcBorders>
              <w:top w:val="single" w:sz="4" w:space="0" w:color="auto"/>
              <w:bottom w:val="single" w:sz="4" w:space="0" w:color="auto"/>
            </w:tcBorders>
            <w:shd w:val="clear" w:color="DDEBF7" w:fill="DDEBF7"/>
            <w:noWrap/>
            <w:vAlign w:val="center"/>
            <w:hideMark/>
          </w:tcPr>
          <w:p w14:paraId="4A77E3D3"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706.264.388,30</w:t>
            </w:r>
          </w:p>
        </w:tc>
        <w:tc>
          <w:tcPr>
            <w:tcW w:w="487" w:type="pct"/>
            <w:tcBorders>
              <w:top w:val="single" w:sz="4" w:space="0" w:color="auto"/>
              <w:bottom w:val="single" w:sz="4" w:space="0" w:color="auto"/>
            </w:tcBorders>
            <w:shd w:val="clear" w:color="auto" w:fill="D9E2F3" w:themeFill="accent1" w:themeFillTint="33"/>
            <w:noWrap/>
            <w:vAlign w:val="center"/>
            <w:hideMark/>
          </w:tcPr>
          <w:p w14:paraId="746BF9E7"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2.630.191.353,97</w:t>
            </w:r>
          </w:p>
        </w:tc>
        <w:tc>
          <w:tcPr>
            <w:tcW w:w="337" w:type="pct"/>
            <w:tcBorders>
              <w:top w:val="single" w:sz="4" w:space="0" w:color="auto"/>
              <w:bottom w:val="single" w:sz="4" w:space="0" w:color="auto"/>
            </w:tcBorders>
            <w:shd w:val="clear" w:color="DDEBF7" w:fill="DDEBF7"/>
            <w:noWrap/>
            <w:vAlign w:val="center"/>
            <w:hideMark/>
          </w:tcPr>
          <w:p w14:paraId="6D5F1477"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108.197</w:t>
            </w:r>
          </w:p>
        </w:tc>
        <w:tc>
          <w:tcPr>
            <w:tcW w:w="393" w:type="pct"/>
            <w:tcBorders>
              <w:top w:val="single" w:sz="4" w:space="0" w:color="auto"/>
              <w:bottom w:val="single" w:sz="4" w:space="0" w:color="auto"/>
            </w:tcBorders>
            <w:shd w:val="clear" w:color="DDEBF7" w:fill="DDEBF7"/>
            <w:noWrap/>
            <w:vAlign w:val="center"/>
            <w:hideMark/>
          </w:tcPr>
          <w:p w14:paraId="73A11BAE" w14:textId="77777777" w:rsidR="006356F1" w:rsidRPr="00C0505A" w:rsidRDefault="006356F1" w:rsidP="00217400">
            <w:pPr>
              <w:jc w:val="right"/>
              <w:rPr>
                <w:rFonts w:asciiTheme="minorHAnsi" w:hAnsiTheme="minorHAnsi" w:cstheme="minorHAnsi"/>
                <w:b/>
                <w:bCs/>
                <w:color w:val="000000"/>
                <w:sz w:val="24"/>
                <w:szCs w:val="16"/>
              </w:rPr>
            </w:pPr>
            <w:r w:rsidRPr="00C0505A">
              <w:rPr>
                <w:rFonts w:asciiTheme="minorHAnsi" w:hAnsiTheme="minorHAnsi" w:cstheme="minorHAnsi"/>
                <w:b/>
                <w:bCs/>
                <w:color w:val="000000"/>
                <w:sz w:val="24"/>
                <w:szCs w:val="16"/>
              </w:rPr>
              <w:t>24.351,80</w:t>
            </w:r>
          </w:p>
        </w:tc>
        <w:tc>
          <w:tcPr>
            <w:tcW w:w="471" w:type="pct"/>
            <w:tcBorders>
              <w:top w:val="single" w:sz="4" w:space="0" w:color="auto"/>
              <w:bottom w:val="single" w:sz="4" w:space="0" w:color="auto"/>
            </w:tcBorders>
            <w:shd w:val="clear" w:color="DDEBF7" w:fill="DDEBF7"/>
            <w:vAlign w:val="center"/>
          </w:tcPr>
          <w:p w14:paraId="06AFC532" w14:textId="77777777" w:rsidR="006356F1" w:rsidRPr="00C0505A" w:rsidRDefault="006356F1" w:rsidP="00217400">
            <w:pPr>
              <w:jc w:val="right"/>
              <w:rPr>
                <w:rFonts w:asciiTheme="minorHAnsi" w:hAnsiTheme="minorHAnsi" w:cstheme="minorHAnsi"/>
                <w:color w:val="000000"/>
                <w:sz w:val="24"/>
                <w:szCs w:val="16"/>
              </w:rPr>
            </w:pPr>
            <w:r w:rsidRPr="00C0505A">
              <w:rPr>
                <w:rFonts w:asciiTheme="minorHAnsi" w:hAnsiTheme="minorHAnsi" w:cstheme="minorHAnsi"/>
                <w:b/>
                <w:color w:val="000000"/>
                <w:sz w:val="24"/>
                <w:szCs w:val="16"/>
              </w:rPr>
              <w:t>1.873,22</w:t>
            </w:r>
            <w:r w:rsidRPr="00C0505A">
              <w:rPr>
                <w:rFonts w:asciiTheme="minorHAnsi" w:hAnsiTheme="minorHAnsi" w:cstheme="minorHAnsi"/>
                <w:color w:val="000000"/>
                <w:sz w:val="24"/>
                <w:szCs w:val="16"/>
              </w:rPr>
              <w:t>-</w:t>
            </w:r>
          </w:p>
        </w:tc>
      </w:tr>
    </w:tbl>
    <w:p w14:paraId="6FE9229C" w14:textId="77777777" w:rsidR="006356F1" w:rsidRPr="00FC174D" w:rsidRDefault="006356F1" w:rsidP="006356F1">
      <w:pPr>
        <w:rPr>
          <w:rFonts w:ascii="Calibri" w:hAnsi="Calibri"/>
          <w:b/>
          <w:color w:val="000000"/>
          <w:sz w:val="18"/>
          <w:szCs w:val="18"/>
          <w:u w:val="single"/>
        </w:rPr>
      </w:pPr>
      <w:r w:rsidRPr="00FC174D">
        <w:rPr>
          <w:rFonts w:ascii="Calibri" w:hAnsi="Calibri"/>
          <w:b/>
          <w:color w:val="000000"/>
          <w:sz w:val="18"/>
          <w:szCs w:val="18"/>
          <w:u w:val="single"/>
        </w:rPr>
        <w:t xml:space="preserve">* </w:t>
      </w:r>
      <w:r>
        <w:rPr>
          <w:rFonts w:ascii="Calibri" w:hAnsi="Calibri"/>
          <w:b/>
          <w:color w:val="000000"/>
          <w:sz w:val="18"/>
          <w:szCs w:val="18"/>
          <w:u w:val="single"/>
        </w:rPr>
        <w:t>Foram</w:t>
      </w:r>
      <w:r w:rsidRPr="00FC174D">
        <w:rPr>
          <w:rFonts w:ascii="Calibri" w:hAnsi="Calibri"/>
          <w:b/>
          <w:color w:val="000000"/>
          <w:sz w:val="18"/>
          <w:szCs w:val="18"/>
          <w:u w:val="single"/>
        </w:rPr>
        <w:t xml:space="preserve"> utilizado</w:t>
      </w:r>
      <w:r>
        <w:rPr>
          <w:rFonts w:ascii="Calibri" w:hAnsi="Calibri"/>
          <w:b/>
          <w:color w:val="000000"/>
          <w:sz w:val="18"/>
          <w:szCs w:val="18"/>
          <w:u w:val="single"/>
        </w:rPr>
        <w:t>s</w:t>
      </w:r>
      <w:r w:rsidRPr="00FC174D">
        <w:rPr>
          <w:rFonts w:ascii="Calibri" w:hAnsi="Calibri"/>
          <w:b/>
          <w:color w:val="000000"/>
          <w:sz w:val="18"/>
          <w:szCs w:val="18"/>
          <w:u w:val="single"/>
        </w:rPr>
        <w:t xml:space="preserve"> 13</w:t>
      </w:r>
      <w:r>
        <w:rPr>
          <w:rFonts w:ascii="Calibri" w:hAnsi="Calibri"/>
          <w:b/>
          <w:color w:val="000000"/>
          <w:sz w:val="18"/>
          <w:szCs w:val="18"/>
          <w:u w:val="single"/>
        </w:rPr>
        <w:t xml:space="preserve"> (treze)</w:t>
      </w:r>
      <w:r w:rsidRPr="00FC174D">
        <w:rPr>
          <w:rFonts w:ascii="Calibri" w:hAnsi="Calibri"/>
          <w:b/>
          <w:color w:val="000000"/>
          <w:sz w:val="18"/>
          <w:szCs w:val="18"/>
          <w:u w:val="single"/>
        </w:rPr>
        <w:t xml:space="preserve"> meses para estimar tal valor, pois o 13º salário também </w:t>
      </w:r>
      <w:r>
        <w:rPr>
          <w:rFonts w:ascii="Calibri" w:hAnsi="Calibri"/>
          <w:b/>
          <w:color w:val="000000"/>
          <w:sz w:val="18"/>
          <w:szCs w:val="18"/>
          <w:u w:val="single"/>
        </w:rPr>
        <w:t>é computado no custo</w:t>
      </w:r>
      <w:r w:rsidRPr="00FC174D">
        <w:rPr>
          <w:rFonts w:ascii="Calibri" w:hAnsi="Calibri"/>
          <w:b/>
          <w:color w:val="000000"/>
          <w:sz w:val="18"/>
          <w:szCs w:val="18"/>
          <w:u w:val="single"/>
        </w:rPr>
        <w:t xml:space="preserve"> do emprego</w:t>
      </w:r>
      <w:r w:rsidRPr="0065549F">
        <w:rPr>
          <w:rFonts w:ascii="Calibri" w:hAnsi="Calibri"/>
          <w:color w:val="000000"/>
          <w:sz w:val="18"/>
          <w:szCs w:val="18"/>
        </w:rPr>
        <w:t>.</w:t>
      </w:r>
    </w:p>
    <w:p w14:paraId="5DE1B27B" w14:textId="77777777" w:rsidR="006356F1" w:rsidRPr="00AA12DA" w:rsidRDefault="006356F1" w:rsidP="006356F1">
      <w:pPr>
        <w:rPr>
          <w:rFonts w:ascii="Calibri" w:hAnsi="Calibri"/>
          <w:color w:val="000000"/>
          <w:sz w:val="18"/>
          <w:szCs w:val="18"/>
        </w:rPr>
      </w:pPr>
      <w:r w:rsidRPr="00AA12DA">
        <w:rPr>
          <w:rFonts w:ascii="Calibri" w:hAnsi="Calibri"/>
          <w:color w:val="000000"/>
          <w:sz w:val="18"/>
          <w:szCs w:val="18"/>
        </w:rPr>
        <w:t>Obs.: Renúncia estimada (a) anteriormente mencionada</w:t>
      </w:r>
    </w:p>
    <w:p w14:paraId="3689039B" w14:textId="77777777" w:rsidR="006356F1" w:rsidRPr="003D1967" w:rsidRDefault="006356F1" w:rsidP="006356F1">
      <w:pPr>
        <w:rPr>
          <w:rFonts w:ascii="Calibri" w:hAnsi="Calibri"/>
          <w:b/>
          <w:color w:val="000000"/>
          <w:sz w:val="18"/>
          <w:szCs w:val="18"/>
          <w:u w:val="single"/>
        </w:rPr>
      </w:pPr>
      <w:r>
        <w:rPr>
          <w:rFonts w:ascii="Calibri" w:hAnsi="Calibri"/>
          <w:color w:val="000000"/>
          <w:sz w:val="18"/>
          <w:szCs w:val="18"/>
        </w:rPr>
        <w:t>Notas: 1)</w:t>
      </w:r>
      <w:r w:rsidRPr="004827A8">
        <w:rPr>
          <w:rFonts w:ascii="Calibri" w:hAnsi="Calibri"/>
          <w:color w:val="000000"/>
          <w:sz w:val="18"/>
          <w:szCs w:val="18"/>
        </w:rPr>
        <w:t xml:space="preserve"> </w:t>
      </w:r>
      <w:r>
        <w:rPr>
          <w:rFonts w:ascii="Calibri" w:hAnsi="Calibri"/>
          <w:color w:val="000000"/>
          <w:sz w:val="18"/>
          <w:szCs w:val="18"/>
        </w:rPr>
        <w:t xml:space="preserve">CNAE - </w:t>
      </w:r>
      <w:r w:rsidRPr="00E67271">
        <w:rPr>
          <w:rFonts w:ascii="Calibri" w:hAnsi="Calibri"/>
          <w:color w:val="000000"/>
          <w:sz w:val="18"/>
          <w:szCs w:val="18"/>
        </w:rPr>
        <w:t xml:space="preserve">Classificação Nacional de Atividades Econômicas </w:t>
      </w:r>
      <w:r>
        <w:rPr>
          <w:rFonts w:ascii="Calibri" w:hAnsi="Calibri"/>
          <w:color w:val="000000"/>
          <w:sz w:val="18"/>
          <w:szCs w:val="18"/>
        </w:rPr>
        <w:t>–IBGE</w:t>
      </w:r>
      <w:r w:rsidRPr="007F227D">
        <w:rPr>
          <w:rFonts w:ascii="Calibri" w:hAnsi="Calibri"/>
          <w:color w:val="000000"/>
          <w:sz w:val="18"/>
          <w:szCs w:val="18"/>
        </w:rPr>
        <w:t xml:space="preserve">; </w:t>
      </w:r>
      <w:r w:rsidRPr="007F227D">
        <w:rPr>
          <w:rFonts w:ascii="Calibri" w:hAnsi="Calibri"/>
          <w:color w:val="000000"/>
          <w:sz w:val="18"/>
          <w:szCs w:val="18"/>
          <w:u w:val="single"/>
        </w:rPr>
        <w:t>2) O valor agregado atividade no nível superior pode não ser a soma da parte mais desagregada;</w:t>
      </w:r>
      <w:r w:rsidRPr="007F227D">
        <w:rPr>
          <w:rFonts w:ascii="Calibri" w:hAnsi="Calibri"/>
          <w:color w:val="000000"/>
          <w:sz w:val="18"/>
          <w:szCs w:val="18"/>
        </w:rPr>
        <w:t xml:space="preserve"> 3) houve valor de renúncia negativo para atividade de “construção de edifícios” e “eletricidade, gás e outras utilidades”. Como o valor é irrisório foi colocado em “outros” e mantido na planilha</w:t>
      </w:r>
      <w:r>
        <w:rPr>
          <w:rFonts w:ascii="Calibri" w:hAnsi="Calibri"/>
          <w:color w:val="000000"/>
          <w:sz w:val="18"/>
          <w:szCs w:val="18"/>
        </w:rPr>
        <w:t xml:space="preserve"> para que o total da coluna </w:t>
      </w:r>
      <w:r>
        <w:rPr>
          <w:rFonts w:ascii="Calibri" w:hAnsi="Calibri"/>
          <w:color w:val="000000"/>
          <w:sz w:val="18"/>
          <w:szCs w:val="18"/>
        </w:rPr>
        <w:lastRenderedPageBreak/>
        <w:t>fechasse. É uma hipótese possível de acontecer quando as empresas antecipam os 10% do saldo devedor e não o utilizam por completo na compensação quando da auditoria de quitação. Também pode ser a readequação de empresas às novas nomenclaturas do CNAE, ainda, também pode ser omissão de informação na atividade.</w:t>
      </w:r>
    </w:p>
    <w:p w14:paraId="415C32DE" w14:textId="77777777" w:rsidR="006356F1" w:rsidRDefault="006356F1" w:rsidP="006356F1">
      <w:pPr>
        <w:rPr>
          <w:rFonts w:ascii="Calibri" w:hAnsi="Calibri"/>
        </w:rPr>
      </w:pPr>
      <w:r w:rsidRPr="004827A8">
        <w:rPr>
          <w:rFonts w:ascii="Calibri" w:hAnsi="Calibri"/>
          <w:color w:val="000000"/>
          <w:sz w:val="18"/>
          <w:szCs w:val="18"/>
        </w:rPr>
        <w:t>Fonte: Secretaria da Economia do Estado de Goiás</w:t>
      </w:r>
      <w:r>
        <w:rPr>
          <w:rFonts w:ascii="Calibri" w:hAnsi="Calibri"/>
          <w:color w:val="000000"/>
          <w:sz w:val="18"/>
          <w:szCs w:val="18"/>
        </w:rPr>
        <w:t xml:space="preserve"> para valores em R$ e </w:t>
      </w:r>
      <w:r w:rsidRPr="00C05B1F">
        <w:rPr>
          <w:rFonts w:ascii="Calibri" w:hAnsi="Calibri"/>
          <w:sz w:val="18"/>
          <w:szCs w:val="18"/>
        </w:rPr>
        <w:t>RAIS - Relação Anual de Informações Sociais</w:t>
      </w:r>
      <w:r w:rsidRPr="00C05B1F">
        <w:rPr>
          <w:rFonts w:ascii="Calibri" w:hAnsi="Calibri"/>
          <w:color w:val="000000"/>
          <w:sz w:val="18"/>
          <w:szCs w:val="18"/>
        </w:rPr>
        <w:t xml:space="preserve"> para empregos</w:t>
      </w:r>
    </w:p>
    <w:p w14:paraId="09183529" w14:textId="77777777" w:rsidR="006356F1" w:rsidRDefault="006356F1" w:rsidP="006356F1">
      <w:pPr>
        <w:spacing w:line="360" w:lineRule="auto"/>
        <w:ind w:firstLine="851"/>
        <w:jc w:val="both"/>
        <w:rPr>
          <w:rFonts w:ascii="Arial" w:hAnsi="Arial" w:cs="Arial"/>
          <w:sz w:val="24"/>
          <w:szCs w:val="24"/>
        </w:rPr>
      </w:pPr>
    </w:p>
    <w:p w14:paraId="00BC1674" w14:textId="77777777" w:rsidR="006356F1" w:rsidRDefault="006356F1" w:rsidP="006356F1">
      <w:pPr>
        <w:spacing w:line="360" w:lineRule="auto"/>
        <w:ind w:firstLine="851"/>
        <w:jc w:val="both"/>
        <w:rPr>
          <w:rFonts w:ascii="Arial" w:hAnsi="Arial" w:cs="Arial"/>
          <w:sz w:val="24"/>
          <w:szCs w:val="24"/>
        </w:rPr>
      </w:pPr>
    </w:p>
    <w:p w14:paraId="4AB6083A" w14:textId="77777777" w:rsidR="006356F1" w:rsidRDefault="006356F1" w:rsidP="006356F1">
      <w:pPr>
        <w:spacing w:line="360" w:lineRule="auto"/>
        <w:ind w:firstLine="851"/>
        <w:jc w:val="both"/>
        <w:rPr>
          <w:rFonts w:ascii="Arial" w:hAnsi="Arial" w:cs="Arial"/>
          <w:sz w:val="24"/>
          <w:szCs w:val="24"/>
        </w:rPr>
        <w:sectPr w:rsidR="006356F1" w:rsidSect="00F305AA">
          <w:pgSz w:w="16840" w:h="11900" w:orient="landscape"/>
          <w:pgMar w:top="2835" w:right="1134" w:bottom="851" w:left="1134" w:header="567" w:footer="284" w:gutter="0"/>
          <w:cols w:space="708"/>
          <w:docGrid w:linePitch="360"/>
        </w:sectPr>
      </w:pPr>
    </w:p>
    <w:p w14:paraId="446679BB" w14:textId="77777777" w:rsidR="006356F1" w:rsidRPr="00C0505A" w:rsidRDefault="006356F1" w:rsidP="006356F1">
      <w:pPr>
        <w:spacing w:line="360" w:lineRule="auto"/>
        <w:ind w:firstLine="851"/>
        <w:jc w:val="both"/>
        <w:rPr>
          <w:rFonts w:ascii="Arial" w:hAnsi="Arial" w:cs="Arial"/>
          <w:sz w:val="22"/>
          <w:szCs w:val="24"/>
        </w:rPr>
      </w:pPr>
    </w:p>
    <w:p w14:paraId="2A58C603" w14:textId="77777777" w:rsidR="006356F1" w:rsidRPr="00C0505A" w:rsidRDefault="006356F1" w:rsidP="006356F1">
      <w:pPr>
        <w:spacing w:line="360" w:lineRule="auto"/>
        <w:ind w:firstLine="851"/>
        <w:jc w:val="both"/>
        <w:rPr>
          <w:rFonts w:ascii="Arial" w:hAnsi="Arial" w:cs="Arial"/>
          <w:color w:val="000000"/>
          <w:sz w:val="24"/>
        </w:rPr>
      </w:pPr>
      <w:r w:rsidRPr="00C0505A">
        <w:rPr>
          <w:rFonts w:ascii="Arial" w:hAnsi="Arial" w:cs="Arial"/>
          <w:sz w:val="24"/>
        </w:rPr>
        <w:t xml:space="preserve">Percebe-se que </w:t>
      </w:r>
      <w:r w:rsidRPr="00C0505A">
        <w:rPr>
          <w:rFonts w:ascii="Arial" w:hAnsi="Arial" w:cs="Arial"/>
          <w:b/>
          <w:sz w:val="24"/>
        </w:rPr>
        <w:t>a renúncia fiscal por emprego tem seus valores anuais estimados mais significativos em atividades</w:t>
      </w:r>
      <w:r w:rsidRPr="00C0505A">
        <w:rPr>
          <w:rFonts w:ascii="Arial" w:hAnsi="Arial" w:cs="Arial"/>
          <w:sz w:val="24"/>
        </w:rPr>
        <w:t xml:space="preserve"> como </w:t>
      </w:r>
      <w:r w:rsidRPr="00C0505A">
        <w:rPr>
          <w:rFonts w:ascii="Arial" w:hAnsi="Arial" w:cs="Arial"/>
          <w:b/>
          <w:sz w:val="24"/>
        </w:rPr>
        <w:t>“f</w:t>
      </w:r>
      <w:r w:rsidRPr="00C0505A">
        <w:rPr>
          <w:rFonts w:ascii="Arial" w:hAnsi="Arial" w:cs="Arial"/>
          <w:b/>
          <w:color w:val="000000"/>
          <w:sz w:val="24"/>
        </w:rPr>
        <w:t>abricação de automóveis, camionetas e utilitários (R$ 166 mil)”</w:t>
      </w:r>
      <w:r w:rsidRPr="00C0505A">
        <w:rPr>
          <w:rFonts w:ascii="Arial" w:hAnsi="Arial" w:cs="Arial"/>
          <w:color w:val="000000"/>
          <w:sz w:val="24"/>
        </w:rPr>
        <w:t xml:space="preserve">, </w:t>
      </w:r>
      <w:r w:rsidRPr="00C0505A">
        <w:rPr>
          <w:rFonts w:ascii="Arial" w:hAnsi="Arial" w:cs="Arial"/>
          <w:b/>
          <w:color w:val="000000"/>
          <w:sz w:val="24"/>
        </w:rPr>
        <w:t>“fabricação de cervejas e chopes (mais de R$ 110 mil)”</w:t>
      </w:r>
      <w:r w:rsidRPr="00C0505A">
        <w:rPr>
          <w:rFonts w:ascii="Arial" w:hAnsi="Arial" w:cs="Arial"/>
          <w:color w:val="000000"/>
          <w:sz w:val="24"/>
        </w:rPr>
        <w:t xml:space="preserve">, </w:t>
      </w:r>
      <w:r w:rsidRPr="00C0505A">
        <w:rPr>
          <w:rFonts w:ascii="Arial" w:hAnsi="Arial" w:cs="Arial"/>
          <w:b/>
          <w:color w:val="000000"/>
          <w:sz w:val="24"/>
        </w:rPr>
        <w:t>“comércio varejista especializado de eletrodomésticos e equipamentos de áudio e vídeo (R$ 88 mil)”</w:t>
      </w:r>
      <w:r w:rsidRPr="00C0505A">
        <w:rPr>
          <w:rFonts w:ascii="Arial" w:hAnsi="Arial" w:cs="Arial"/>
          <w:color w:val="000000"/>
          <w:sz w:val="24"/>
        </w:rPr>
        <w:t>, “fabricação de geradores de corrente contínua e alternada, peças e acessórios( R$ 83,6 mil)”, “fabricação de cimento (R$ 83 mil)”, “fabricação de biocombustíveis, exceto álcool (R$ 74.940,13)”, “fabricação de produtos petroquímicos básicos (R$ 71 mil)”, “fabricação de aparelhos e equipamentos para distribuição e controle de energia elétrica (R$ 64,6 mil)”, “comércio atacadista de equipamentos de informática (R$ 57 mil)”, “comércio atacadista de móveis e artigos de colchoaria (R$ 56,6 mil)”, “recuperação de materiais metálicos, exceto alumínio (R$ 53 mil)”, “fabricação de margarina e outras gorduras vegetais e de óleos não comestíveis de animais (R$ 49 mil)”.</w:t>
      </w:r>
    </w:p>
    <w:p w14:paraId="2AB13B15" w14:textId="77777777" w:rsidR="006356F1" w:rsidRPr="00C0505A" w:rsidRDefault="006356F1" w:rsidP="006356F1">
      <w:pPr>
        <w:spacing w:line="360" w:lineRule="auto"/>
        <w:ind w:firstLine="851"/>
        <w:jc w:val="both"/>
        <w:rPr>
          <w:rFonts w:ascii="Arial" w:hAnsi="Arial" w:cs="Arial"/>
          <w:sz w:val="24"/>
        </w:rPr>
      </w:pPr>
      <w:r w:rsidRPr="00C0505A">
        <w:rPr>
          <w:rFonts w:ascii="Arial" w:hAnsi="Arial" w:cs="Arial"/>
          <w:sz w:val="24"/>
        </w:rPr>
        <w:t xml:space="preserve">Por outro lado, </w:t>
      </w:r>
      <w:r w:rsidRPr="00C0505A">
        <w:rPr>
          <w:rFonts w:ascii="Arial" w:hAnsi="Arial" w:cs="Arial"/>
          <w:b/>
          <w:sz w:val="24"/>
        </w:rPr>
        <w:t>as menores relações anuais de renúncia fiscal e emprego estão em atividades</w:t>
      </w:r>
      <w:r w:rsidRPr="00C0505A">
        <w:rPr>
          <w:rFonts w:ascii="Arial" w:hAnsi="Arial" w:cs="Arial"/>
          <w:sz w:val="24"/>
        </w:rPr>
        <w:t xml:space="preserve"> como </w:t>
      </w:r>
      <w:r w:rsidRPr="00C0505A">
        <w:rPr>
          <w:rFonts w:ascii="Arial" w:hAnsi="Arial" w:cs="Arial"/>
          <w:b/>
          <w:sz w:val="24"/>
        </w:rPr>
        <w:t>“confecção de artigos para vestuário (R$ 1.537)”</w:t>
      </w:r>
      <w:r w:rsidRPr="00C0505A">
        <w:rPr>
          <w:rFonts w:ascii="Arial" w:hAnsi="Arial" w:cs="Arial"/>
          <w:sz w:val="24"/>
        </w:rPr>
        <w:t xml:space="preserve">, </w:t>
      </w:r>
      <w:r w:rsidRPr="00C0505A">
        <w:rPr>
          <w:rFonts w:ascii="Arial" w:hAnsi="Arial" w:cs="Arial"/>
          <w:b/>
          <w:sz w:val="24"/>
        </w:rPr>
        <w:t>“extração de minérios não metálicos (R$ 4.100)”</w:t>
      </w:r>
      <w:r w:rsidRPr="00C0505A">
        <w:rPr>
          <w:rFonts w:ascii="Arial" w:hAnsi="Arial" w:cs="Arial"/>
          <w:sz w:val="24"/>
        </w:rPr>
        <w:t xml:space="preserve">, “celulose e papel (R$9.530)”, “fabricação de móveis (R$ 11.200)”, </w:t>
      </w:r>
      <w:r w:rsidRPr="00C0505A">
        <w:rPr>
          <w:rFonts w:ascii="Arial" w:hAnsi="Arial" w:cs="Arial"/>
          <w:b/>
          <w:sz w:val="24"/>
        </w:rPr>
        <w:t>“produtos têxteis (R$ 4.460)”</w:t>
      </w:r>
      <w:r w:rsidRPr="00C0505A">
        <w:rPr>
          <w:rFonts w:ascii="Arial" w:hAnsi="Arial" w:cs="Arial"/>
          <w:sz w:val="24"/>
        </w:rPr>
        <w:t>, “metalurgia (R$ 2.387)”, “preparação para couros e seus artefatos (R$ 10.327)”.</w:t>
      </w:r>
    </w:p>
    <w:p w14:paraId="6C344DDF" w14:textId="77777777" w:rsidR="006356F1" w:rsidRPr="00C0505A" w:rsidRDefault="006356F1" w:rsidP="006356F1">
      <w:pPr>
        <w:spacing w:line="360" w:lineRule="auto"/>
        <w:ind w:firstLine="851"/>
        <w:jc w:val="both"/>
        <w:rPr>
          <w:rFonts w:ascii="Arial" w:hAnsi="Arial" w:cs="Arial"/>
          <w:sz w:val="24"/>
        </w:rPr>
      </w:pPr>
      <w:r w:rsidRPr="00C0505A">
        <w:rPr>
          <w:rFonts w:ascii="Arial" w:hAnsi="Arial" w:cs="Arial"/>
          <w:sz w:val="24"/>
        </w:rPr>
        <w:t xml:space="preserve">Ainda, como regra geral e nessa perspectiva, </w:t>
      </w:r>
      <w:r w:rsidRPr="001D2C87">
        <w:rPr>
          <w:rFonts w:ascii="Arial" w:hAnsi="Arial" w:cs="Arial"/>
          <w:b/>
          <w:sz w:val="24"/>
        </w:rPr>
        <w:t>há valores menores nas atividades ligadas a agroindústria de alimentos como abate e processamento de carnes, laticínios e fabricação de molhos e especiarias</w:t>
      </w:r>
      <w:r w:rsidRPr="00C0505A">
        <w:rPr>
          <w:rFonts w:ascii="Arial" w:hAnsi="Arial" w:cs="Arial"/>
          <w:sz w:val="24"/>
        </w:rPr>
        <w:t>. Exceção é a atividade de abate de reses sob contrato, fabricação de margarina e outras gorduras vegetais e de conservas</w:t>
      </w:r>
    </w:p>
    <w:p w14:paraId="2D9C5B86" w14:textId="77777777" w:rsidR="006356F1" w:rsidRPr="00C0505A" w:rsidRDefault="006356F1" w:rsidP="006356F1">
      <w:pPr>
        <w:spacing w:line="360" w:lineRule="auto"/>
        <w:ind w:firstLine="851"/>
        <w:jc w:val="both"/>
        <w:rPr>
          <w:rFonts w:ascii="Arial" w:hAnsi="Arial" w:cs="Arial"/>
          <w:sz w:val="24"/>
        </w:rPr>
      </w:pPr>
      <w:r w:rsidRPr="00C0505A">
        <w:rPr>
          <w:rFonts w:ascii="Arial" w:hAnsi="Arial" w:cs="Arial"/>
          <w:sz w:val="24"/>
        </w:rPr>
        <w:t xml:space="preserve">Enfim, a </w:t>
      </w:r>
      <w:r>
        <w:rPr>
          <w:rFonts w:ascii="Arial" w:hAnsi="Arial" w:cs="Arial"/>
          <w:sz w:val="24"/>
        </w:rPr>
        <w:t>tabela acima</w:t>
      </w:r>
      <w:r w:rsidRPr="00C0505A">
        <w:rPr>
          <w:rFonts w:ascii="Arial" w:hAnsi="Arial" w:cs="Arial"/>
          <w:sz w:val="24"/>
        </w:rPr>
        <w:t xml:space="preserve"> dá uma perspectiva de onde estão os benefícios fiscais e a quantidade de empregos que estão sendo mantidos e a que “custo”. </w:t>
      </w:r>
      <w:r w:rsidRPr="001D2C87">
        <w:rPr>
          <w:rFonts w:ascii="Arial" w:hAnsi="Arial" w:cs="Arial"/>
          <w:b/>
          <w:sz w:val="24"/>
        </w:rPr>
        <w:t>Assim, há uma indicação de atividades que podem ser fomentadas e que tem um “custo relativo” menor</w:t>
      </w:r>
      <w:r w:rsidRPr="00C0505A">
        <w:rPr>
          <w:rFonts w:ascii="Arial" w:hAnsi="Arial" w:cs="Arial"/>
          <w:sz w:val="24"/>
        </w:rPr>
        <w:t>.</w:t>
      </w:r>
    </w:p>
    <w:p w14:paraId="626FF2BA" w14:textId="77777777" w:rsidR="006356F1" w:rsidRPr="00C0505A" w:rsidRDefault="006356F1" w:rsidP="006356F1">
      <w:pPr>
        <w:spacing w:line="360" w:lineRule="auto"/>
        <w:ind w:firstLine="851"/>
        <w:jc w:val="both"/>
        <w:rPr>
          <w:rFonts w:ascii="Arial" w:hAnsi="Arial" w:cs="Arial"/>
          <w:sz w:val="22"/>
          <w:szCs w:val="24"/>
        </w:rPr>
      </w:pPr>
      <w:r w:rsidRPr="00C0505A">
        <w:rPr>
          <w:rFonts w:ascii="Arial" w:hAnsi="Arial" w:cs="Arial"/>
          <w:sz w:val="24"/>
        </w:rPr>
        <w:t xml:space="preserve">Além disso, é possível notar que algumas atividades têm uma relação renúncia/emprego bem acima da média e outras com essa relação bem abaixo. </w:t>
      </w:r>
      <w:r w:rsidRPr="001D2C87">
        <w:rPr>
          <w:rFonts w:ascii="Arial" w:hAnsi="Arial" w:cs="Arial"/>
          <w:b/>
          <w:sz w:val="24"/>
        </w:rPr>
        <w:t>Isso abre a discussão de se algumas atividades não estariam sendo financiadas pelo Estado de maneira demasiada.</w:t>
      </w:r>
      <w:r w:rsidRPr="00C0505A">
        <w:rPr>
          <w:rFonts w:ascii="Arial" w:hAnsi="Arial" w:cs="Arial"/>
          <w:sz w:val="24"/>
        </w:rPr>
        <w:t xml:space="preserve"> Ou, h</w:t>
      </w:r>
      <w:r>
        <w:rPr>
          <w:rFonts w:ascii="Arial" w:hAnsi="Arial" w:cs="Arial"/>
          <w:sz w:val="24"/>
        </w:rPr>
        <w:t>avendo</w:t>
      </w:r>
      <w:r w:rsidRPr="00C0505A">
        <w:rPr>
          <w:rFonts w:ascii="Arial" w:hAnsi="Arial" w:cs="Arial"/>
          <w:sz w:val="24"/>
        </w:rPr>
        <w:t xml:space="preserve"> “custo” elevado em algumas, se não seria </w:t>
      </w:r>
      <w:r w:rsidRPr="00C0505A">
        <w:rPr>
          <w:rFonts w:ascii="Arial" w:hAnsi="Arial" w:cs="Arial"/>
          <w:sz w:val="24"/>
        </w:rPr>
        <w:lastRenderedPageBreak/>
        <w:t>viável o incentivo em outras atividades correlacionadas com a cadeia produtiva em que está inserida</w:t>
      </w:r>
      <w:r>
        <w:rPr>
          <w:rFonts w:ascii="Arial" w:hAnsi="Arial" w:cs="Arial"/>
          <w:sz w:val="24"/>
        </w:rPr>
        <w:t>.</w:t>
      </w:r>
    </w:p>
    <w:p w14:paraId="7BBFBB9C" w14:textId="77777777" w:rsidR="006356F1" w:rsidRDefault="006356F1" w:rsidP="006356F1">
      <w:pPr>
        <w:spacing w:line="360" w:lineRule="auto"/>
        <w:ind w:firstLine="851"/>
        <w:jc w:val="both"/>
        <w:rPr>
          <w:rFonts w:ascii="Arial" w:hAnsi="Arial" w:cs="Arial"/>
          <w:sz w:val="24"/>
          <w:szCs w:val="24"/>
        </w:rPr>
      </w:pPr>
    </w:p>
    <w:p w14:paraId="058D3B0C" w14:textId="762D5F8A" w:rsidR="006356F1" w:rsidRDefault="006356F1" w:rsidP="006356F1">
      <w:pPr>
        <w:spacing w:line="360" w:lineRule="auto"/>
        <w:ind w:firstLine="851"/>
        <w:jc w:val="both"/>
        <w:rPr>
          <w:rFonts w:ascii="Arial" w:hAnsi="Arial" w:cs="Arial"/>
          <w:b/>
          <w:sz w:val="24"/>
          <w:szCs w:val="24"/>
        </w:rPr>
      </w:pPr>
      <w:r>
        <w:rPr>
          <w:rFonts w:ascii="Arial" w:hAnsi="Arial" w:cs="Arial"/>
          <w:b/>
          <w:sz w:val="24"/>
          <w:szCs w:val="24"/>
        </w:rPr>
        <w:t>1</w:t>
      </w:r>
      <w:r w:rsidR="00D216AB">
        <w:rPr>
          <w:rFonts w:ascii="Arial" w:hAnsi="Arial" w:cs="Arial"/>
          <w:b/>
          <w:sz w:val="24"/>
          <w:szCs w:val="24"/>
        </w:rPr>
        <w:t>1</w:t>
      </w:r>
      <w:r w:rsidR="00B34BAE">
        <w:rPr>
          <w:rFonts w:ascii="Arial" w:hAnsi="Arial" w:cs="Arial"/>
          <w:b/>
          <w:sz w:val="24"/>
          <w:szCs w:val="24"/>
        </w:rPr>
        <w:t>.5 – REDUÇÃO DE DESIGUALDADES REGIONAIS</w:t>
      </w:r>
    </w:p>
    <w:p w14:paraId="161EFA14" w14:textId="77777777" w:rsidR="006356F1" w:rsidRDefault="006356F1" w:rsidP="006356F1">
      <w:pPr>
        <w:spacing w:line="360" w:lineRule="auto"/>
        <w:ind w:firstLine="851"/>
        <w:jc w:val="both"/>
        <w:rPr>
          <w:rFonts w:ascii="Arial" w:hAnsi="Arial" w:cs="Arial"/>
          <w:sz w:val="24"/>
          <w:szCs w:val="24"/>
        </w:rPr>
      </w:pPr>
    </w:p>
    <w:p w14:paraId="3D6C8604"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Outro objetivo fundamental dos programas de incentivos fiscais goianos é a redução das desigualdades sociais e regionais, conforme se observa da Lei n. 13.591, de 2000:</w:t>
      </w:r>
    </w:p>
    <w:p w14:paraId="075E1C80" w14:textId="77777777" w:rsidR="006356F1" w:rsidRDefault="006356F1" w:rsidP="006356F1">
      <w:pPr>
        <w:spacing w:line="360" w:lineRule="auto"/>
        <w:ind w:firstLine="851"/>
        <w:jc w:val="both"/>
        <w:rPr>
          <w:rFonts w:ascii="Arial" w:hAnsi="Arial" w:cs="Arial"/>
          <w:sz w:val="24"/>
          <w:szCs w:val="24"/>
        </w:rPr>
      </w:pPr>
    </w:p>
    <w:p w14:paraId="40781432" w14:textId="77777777" w:rsidR="006356F1" w:rsidRPr="00DC0170" w:rsidRDefault="006356F1" w:rsidP="006356F1">
      <w:pPr>
        <w:ind w:left="2268"/>
        <w:jc w:val="both"/>
        <w:rPr>
          <w:rFonts w:ascii="Arial" w:hAnsi="Arial" w:cs="Arial"/>
          <w:sz w:val="20"/>
          <w:szCs w:val="24"/>
        </w:rPr>
      </w:pPr>
      <w:r w:rsidRPr="00DC0170">
        <w:rPr>
          <w:rFonts w:ascii="Arial" w:hAnsi="Arial" w:cs="Arial"/>
          <w:color w:val="000000"/>
          <w:sz w:val="22"/>
          <w:shd w:val="clear" w:color="auto" w:fill="FFFFFF"/>
        </w:rPr>
        <w:t xml:space="preserve">Art. 2º - O PRODUZIR tem por objeto social contribuir para a expansão, modernização e diversificação do setor industrial de Goiás, estimulando a realização de investimentos, a renovação tecnológica das estruturas produtivas e o aumento da competitividade estadual, com ênfase na geração de emprego e renda e </w:t>
      </w:r>
      <w:r w:rsidRPr="00DC0170">
        <w:rPr>
          <w:rFonts w:ascii="Arial" w:hAnsi="Arial" w:cs="Arial"/>
          <w:b/>
          <w:color w:val="000000"/>
          <w:sz w:val="22"/>
          <w:shd w:val="clear" w:color="auto" w:fill="FFFFFF"/>
        </w:rPr>
        <w:t>na redução das desigualdades sociais e regionais</w:t>
      </w:r>
      <w:r w:rsidRPr="00DC0170">
        <w:rPr>
          <w:rFonts w:ascii="Arial" w:hAnsi="Arial" w:cs="Arial"/>
          <w:color w:val="000000"/>
          <w:sz w:val="22"/>
          <w:shd w:val="clear" w:color="auto" w:fill="FFFFFF"/>
        </w:rPr>
        <w:t>.</w:t>
      </w:r>
    </w:p>
    <w:p w14:paraId="59AB96C2" w14:textId="77777777" w:rsidR="006356F1" w:rsidRDefault="006356F1" w:rsidP="006356F1">
      <w:pPr>
        <w:spacing w:line="360" w:lineRule="auto"/>
        <w:ind w:firstLine="851"/>
        <w:jc w:val="both"/>
        <w:rPr>
          <w:rFonts w:ascii="Arial" w:hAnsi="Arial" w:cs="Arial"/>
          <w:sz w:val="24"/>
          <w:szCs w:val="24"/>
        </w:rPr>
      </w:pPr>
    </w:p>
    <w:p w14:paraId="26C36D17"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Tanto é assim que há possibilidade de tratamento ainda mais benéfico para empreendimentos localizados em municípios do Nordeste e Oeste goianos (art. 7º, §§ 3º e 4º, Lei n. 13.591, de 2000, art. 23, § 1º, Decreto n. 5.265, de 2000), regiões de planejamento do Estado que apresentam baixos índices nos indicadores sociais e econômicos.</w:t>
      </w:r>
    </w:p>
    <w:p w14:paraId="323CD250"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Dessa forma, é relevante também analisarmos, além dos aspectos anteriormente abordados, se os programas FOMENTAR e PRODUZIR, durante as suas décadas de existência, cumpriram seus objetivos de redução das desigualdades entre as regiões do território goiano. Para isso, novamente, recorremos aos estudos técnicos do IMB e da CGE.</w:t>
      </w:r>
    </w:p>
    <w:p w14:paraId="625D216D"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O IMB, sobre esse tema, apresenta os seguintes mapas da evolução da distribuição territorial dos beneficiários dos programas FOMENTAR e PRODUZIR por atividade econômica</w:t>
      </w:r>
      <w:r>
        <w:rPr>
          <w:rStyle w:val="Refdenotaderodap"/>
          <w:rFonts w:ascii="Arial" w:hAnsi="Arial" w:cs="Arial"/>
          <w:sz w:val="24"/>
          <w:szCs w:val="24"/>
        </w:rPr>
        <w:footnoteReference w:id="130"/>
      </w:r>
      <w:r>
        <w:rPr>
          <w:rFonts w:ascii="Arial" w:hAnsi="Arial" w:cs="Arial"/>
          <w:sz w:val="24"/>
          <w:szCs w:val="24"/>
        </w:rPr>
        <w:t>:</w:t>
      </w:r>
    </w:p>
    <w:p w14:paraId="29D82EB0" w14:textId="77777777" w:rsidR="006356F1" w:rsidRDefault="006356F1" w:rsidP="006356F1">
      <w:pPr>
        <w:spacing w:line="360" w:lineRule="auto"/>
        <w:ind w:firstLine="851"/>
        <w:jc w:val="both"/>
        <w:rPr>
          <w:rFonts w:ascii="Arial" w:hAnsi="Arial" w:cs="Arial"/>
          <w:sz w:val="24"/>
          <w:szCs w:val="24"/>
        </w:rPr>
      </w:pPr>
    </w:p>
    <w:p w14:paraId="6583D27A" w14:textId="77777777" w:rsidR="006356F1" w:rsidRDefault="006356F1" w:rsidP="006356F1">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4E5CD282" wp14:editId="5A04A85B">
            <wp:extent cx="5811061" cy="7535327"/>
            <wp:effectExtent l="0" t="0" r="0" b="889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a:blip r:embed="rId99">
                      <a:extLst>
                        <a:ext uri="{28A0092B-C50C-407E-A947-70E740481C1C}">
                          <a14:useLocalDpi xmlns:a14="http://schemas.microsoft.com/office/drawing/2010/main" val="0"/>
                        </a:ext>
                      </a:extLst>
                    </a:blip>
                    <a:stretch>
                      <a:fillRect/>
                    </a:stretch>
                  </pic:blipFill>
                  <pic:spPr>
                    <a:xfrm>
                      <a:off x="0" y="0"/>
                      <a:ext cx="5811061" cy="7535327"/>
                    </a:xfrm>
                    <a:prstGeom prst="rect">
                      <a:avLst/>
                    </a:prstGeom>
                  </pic:spPr>
                </pic:pic>
              </a:graphicData>
            </a:graphic>
          </wp:inline>
        </w:drawing>
      </w:r>
    </w:p>
    <w:p w14:paraId="0D2E8989" w14:textId="77777777" w:rsidR="006356F1" w:rsidRDefault="006356F1" w:rsidP="006356F1">
      <w:pPr>
        <w:spacing w:line="360" w:lineRule="auto"/>
        <w:ind w:firstLine="851"/>
        <w:jc w:val="both"/>
        <w:rPr>
          <w:rFonts w:ascii="Arial" w:hAnsi="Arial" w:cs="Arial"/>
          <w:sz w:val="24"/>
          <w:szCs w:val="24"/>
        </w:rPr>
      </w:pPr>
    </w:p>
    <w:p w14:paraId="4D5EFFDF" w14:textId="77777777" w:rsidR="006356F1" w:rsidRDefault="006356F1" w:rsidP="006356F1">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7FBB90CF" wp14:editId="59AF48AA">
            <wp:extent cx="5477639" cy="7478169"/>
            <wp:effectExtent l="0" t="0" r="8890" b="889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PNG"/>
                    <pic:cNvPicPr/>
                  </pic:nvPicPr>
                  <pic:blipFill>
                    <a:blip r:embed="rId100">
                      <a:extLst>
                        <a:ext uri="{28A0092B-C50C-407E-A947-70E740481C1C}">
                          <a14:useLocalDpi xmlns:a14="http://schemas.microsoft.com/office/drawing/2010/main" val="0"/>
                        </a:ext>
                      </a:extLst>
                    </a:blip>
                    <a:stretch>
                      <a:fillRect/>
                    </a:stretch>
                  </pic:blipFill>
                  <pic:spPr>
                    <a:xfrm>
                      <a:off x="0" y="0"/>
                      <a:ext cx="5477639" cy="7478169"/>
                    </a:xfrm>
                    <a:prstGeom prst="rect">
                      <a:avLst/>
                    </a:prstGeom>
                  </pic:spPr>
                </pic:pic>
              </a:graphicData>
            </a:graphic>
          </wp:inline>
        </w:drawing>
      </w:r>
    </w:p>
    <w:p w14:paraId="508AE334" w14:textId="77777777" w:rsidR="006356F1" w:rsidRDefault="006356F1" w:rsidP="006356F1">
      <w:pPr>
        <w:spacing w:line="360" w:lineRule="auto"/>
        <w:ind w:firstLine="851"/>
        <w:jc w:val="both"/>
        <w:rPr>
          <w:rFonts w:ascii="Arial" w:hAnsi="Arial" w:cs="Arial"/>
          <w:sz w:val="24"/>
          <w:szCs w:val="24"/>
        </w:rPr>
      </w:pPr>
    </w:p>
    <w:p w14:paraId="7B3B2FE2" w14:textId="77777777" w:rsidR="006356F1" w:rsidRDefault="006356F1" w:rsidP="006356F1">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34837827" wp14:editId="32A53434">
            <wp:extent cx="5582429" cy="7535327"/>
            <wp:effectExtent l="0" t="0" r="0" b="889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PNG"/>
                    <pic:cNvPicPr/>
                  </pic:nvPicPr>
                  <pic:blipFill>
                    <a:blip r:embed="rId101">
                      <a:extLst>
                        <a:ext uri="{28A0092B-C50C-407E-A947-70E740481C1C}">
                          <a14:useLocalDpi xmlns:a14="http://schemas.microsoft.com/office/drawing/2010/main" val="0"/>
                        </a:ext>
                      </a:extLst>
                    </a:blip>
                    <a:stretch>
                      <a:fillRect/>
                    </a:stretch>
                  </pic:blipFill>
                  <pic:spPr>
                    <a:xfrm>
                      <a:off x="0" y="0"/>
                      <a:ext cx="5582429" cy="7535327"/>
                    </a:xfrm>
                    <a:prstGeom prst="rect">
                      <a:avLst/>
                    </a:prstGeom>
                  </pic:spPr>
                </pic:pic>
              </a:graphicData>
            </a:graphic>
          </wp:inline>
        </w:drawing>
      </w:r>
    </w:p>
    <w:p w14:paraId="28A8E3D2" w14:textId="77777777" w:rsidR="006356F1" w:rsidRDefault="006356F1" w:rsidP="006356F1">
      <w:pPr>
        <w:spacing w:line="360" w:lineRule="auto"/>
        <w:ind w:firstLine="851"/>
        <w:jc w:val="both"/>
        <w:rPr>
          <w:rFonts w:ascii="Arial" w:hAnsi="Arial" w:cs="Arial"/>
          <w:sz w:val="24"/>
          <w:szCs w:val="24"/>
        </w:rPr>
      </w:pPr>
    </w:p>
    <w:p w14:paraId="7238A65C" w14:textId="77777777" w:rsidR="006356F1" w:rsidRDefault="006356F1" w:rsidP="006356F1">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06D08609" wp14:editId="08B2C444">
            <wp:extent cx="5906324" cy="7735380"/>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PNG"/>
                    <pic:cNvPicPr/>
                  </pic:nvPicPr>
                  <pic:blipFill>
                    <a:blip r:embed="rId102">
                      <a:extLst>
                        <a:ext uri="{28A0092B-C50C-407E-A947-70E740481C1C}">
                          <a14:useLocalDpi xmlns:a14="http://schemas.microsoft.com/office/drawing/2010/main" val="0"/>
                        </a:ext>
                      </a:extLst>
                    </a:blip>
                    <a:stretch>
                      <a:fillRect/>
                    </a:stretch>
                  </pic:blipFill>
                  <pic:spPr>
                    <a:xfrm>
                      <a:off x="0" y="0"/>
                      <a:ext cx="5906324" cy="7735380"/>
                    </a:xfrm>
                    <a:prstGeom prst="rect">
                      <a:avLst/>
                    </a:prstGeom>
                  </pic:spPr>
                </pic:pic>
              </a:graphicData>
            </a:graphic>
          </wp:inline>
        </w:drawing>
      </w:r>
    </w:p>
    <w:p w14:paraId="025304AC" w14:textId="77777777" w:rsidR="006356F1" w:rsidRDefault="006356F1" w:rsidP="006356F1">
      <w:pPr>
        <w:spacing w:line="360" w:lineRule="auto"/>
        <w:ind w:firstLine="851"/>
        <w:jc w:val="both"/>
        <w:rPr>
          <w:rFonts w:ascii="Arial" w:hAnsi="Arial" w:cs="Arial"/>
          <w:sz w:val="24"/>
          <w:szCs w:val="24"/>
        </w:rPr>
      </w:pPr>
    </w:p>
    <w:p w14:paraId="45E6E7AB" w14:textId="77777777" w:rsidR="006356F1" w:rsidRPr="00706C4B" w:rsidRDefault="006356F1" w:rsidP="006356F1">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4D2012A2" wp14:editId="6277B7F3">
            <wp:extent cx="5639587" cy="7659169"/>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PNG"/>
                    <pic:cNvPicPr/>
                  </pic:nvPicPr>
                  <pic:blipFill>
                    <a:blip r:embed="rId103">
                      <a:extLst>
                        <a:ext uri="{28A0092B-C50C-407E-A947-70E740481C1C}">
                          <a14:useLocalDpi xmlns:a14="http://schemas.microsoft.com/office/drawing/2010/main" val="0"/>
                        </a:ext>
                      </a:extLst>
                    </a:blip>
                    <a:stretch>
                      <a:fillRect/>
                    </a:stretch>
                  </pic:blipFill>
                  <pic:spPr>
                    <a:xfrm>
                      <a:off x="0" y="0"/>
                      <a:ext cx="5639587" cy="7659169"/>
                    </a:xfrm>
                    <a:prstGeom prst="rect">
                      <a:avLst/>
                    </a:prstGeom>
                  </pic:spPr>
                </pic:pic>
              </a:graphicData>
            </a:graphic>
          </wp:inline>
        </w:drawing>
      </w:r>
    </w:p>
    <w:p w14:paraId="465252E8" w14:textId="77777777" w:rsidR="006356F1" w:rsidRDefault="006356F1" w:rsidP="006356F1">
      <w:pPr>
        <w:spacing w:line="360" w:lineRule="auto"/>
        <w:ind w:firstLine="851"/>
        <w:jc w:val="both"/>
        <w:rPr>
          <w:rFonts w:ascii="Arial" w:hAnsi="Arial" w:cs="Arial"/>
          <w:sz w:val="24"/>
          <w:szCs w:val="24"/>
        </w:rPr>
      </w:pPr>
    </w:p>
    <w:p w14:paraId="5F435935" w14:textId="77777777" w:rsidR="006356F1" w:rsidRDefault="006356F1" w:rsidP="006356F1">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25D8E315" wp14:editId="0C8C757F">
            <wp:extent cx="5763429" cy="7716327"/>
            <wp:effectExtent l="0" t="0" r="889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PNG"/>
                    <pic:cNvPicPr/>
                  </pic:nvPicPr>
                  <pic:blipFill>
                    <a:blip r:embed="rId104">
                      <a:extLst>
                        <a:ext uri="{28A0092B-C50C-407E-A947-70E740481C1C}">
                          <a14:useLocalDpi xmlns:a14="http://schemas.microsoft.com/office/drawing/2010/main" val="0"/>
                        </a:ext>
                      </a:extLst>
                    </a:blip>
                    <a:stretch>
                      <a:fillRect/>
                    </a:stretch>
                  </pic:blipFill>
                  <pic:spPr>
                    <a:xfrm>
                      <a:off x="0" y="0"/>
                      <a:ext cx="5763429" cy="7716327"/>
                    </a:xfrm>
                    <a:prstGeom prst="rect">
                      <a:avLst/>
                    </a:prstGeom>
                  </pic:spPr>
                </pic:pic>
              </a:graphicData>
            </a:graphic>
          </wp:inline>
        </w:drawing>
      </w:r>
    </w:p>
    <w:p w14:paraId="35C238AC" w14:textId="77777777" w:rsidR="006356F1" w:rsidRDefault="006356F1" w:rsidP="006356F1">
      <w:pPr>
        <w:spacing w:line="360" w:lineRule="auto"/>
        <w:ind w:firstLine="851"/>
        <w:jc w:val="both"/>
        <w:rPr>
          <w:rFonts w:ascii="Arial" w:hAnsi="Arial" w:cs="Arial"/>
          <w:sz w:val="24"/>
          <w:szCs w:val="24"/>
        </w:rPr>
      </w:pPr>
    </w:p>
    <w:p w14:paraId="7704DFF8"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lastRenderedPageBreak/>
        <w:t xml:space="preserve">Após a análise da distribuição territorial acima, o IMB conclui, </w:t>
      </w:r>
      <w:r>
        <w:rPr>
          <w:rFonts w:ascii="Arial" w:hAnsi="Arial" w:cs="Arial"/>
          <w:b/>
          <w:sz w:val="24"/>
          <w:szCs w:val="24"/>
        </w:rPr>
        <w:t>com o que concordamos</w:t>
      </w:r>
      <w:r>
        <w:rPr>
          <w:rFonts w:ascii="Arial" w:hAnsi="Arial" w:cs="Arial"/>
          <w:sz w:val="24"/>
          <w:szCs w:val="24"/>
        </w:rPr>
        <w:t>, que os programas, ao contrário do que o proposto, promoveram a desigualdade regional:</w:t>
      </w:r>
    </w:p>
    <w:p w14:paraId="111123DC" w14:textId="77777777" w:rsidR="006356F1" w:rsidRDefault="006356F1" w:rsidP="006356F1">
      <w:pPr>
        <w:spacing w:line="360" w:lineRule="auto"/>
        <w:ind w:firstLine="851"/>
        <w:jc w:val="both"/>
        <w:rPr>
          <w:rFonts w:ascii="Arial" w:hAnsi="Arial" w:cs="Arial"/>
          <w:sz w:val="24"/>
          <w:szCs w:val="24"/>
        </w:rPr>
      </w:pPr>
    </w:p>
    <w:p w14:paraId="59995EA6" w14:textId="77777777" w:rsidR="006356F1" w:rsidRPr="000D73FB" w:rsidRDefault="006356F1" w:rsidP="006356F1">
      <w:pPr>
        <w:ind w:left="2268"/>
        <w:jc w:val="both"/>
        <w:rPr>
          <w:rFonts w:ascii="Arial" w:hAnsi="Arial" w:cs="Arial"/>
          <w:sz w:val="22"/>
          <w:szCs w:val="24"/>
        </w:rPr>
      </w:pPr>
      <w:r w:rsidRPr="000D73FB">
        <w:rPr>
          <w:rFonts w:ascii="Arial" w:hAnsi="Arial" w:cs="Arial"/>
          <w:sz w:val="22"/>
          <w:szCs w:val="24"/>
        </w:rPr>
        <w:t xml:space="preserve">Nota-se pelos mapas de calor cujo o objetivo é de mostrar a concentração das ocorrências de quaisquer objetos e o mapa dos valores somados do crédito, que as microrregiões mais favorecidas pelo produzir foram: Sudoeste Goiano, Vale do Rio dos Bois, Goiânia e Ceres, que estão localizados no Centro-Sul Goiano, </w:t>
      </w:r>
      <w:r w:rsidRPr="000D73FB">
        <w:rPr>
          <w:rFonts w:ascii="Arial" w:hAnsi="Arial" w:cs="Arial"/>
          <w:b/>
          <w:sz w:val="22"/>
          <w:szCs w:val="24"/>
        </w:rPr>
        <w:t>fortalecendo a desigualdade regional no estado de Goiás</w:t>
      </w:r>
      <w:r w:rsidRPr="000D73FB">
        <w:rPr>
          <w:rFonts w:ascii="Arial" w:hAnsi="Arial" w:cs="Arial"/>
          <w:sz w:val="22"/>
          <w:szCs w:val="24"/>
        </w:rPr>
        <w:t>.</w:t>
      </w:r>
      <w:r>
        <w:rPr>
          <w:rStyle w:val="Refdenotaderodap"/>
          <w:rFonts w:ascii="Arial" w:hAnsi="Arial" w:cs="Arial"/>
          <w:sz w:val="22"/>
          <w:szCs w:val="24"/>
        </w:rPr>
        <w:footnoteReference w:id="131"/>
      </w:r>
    </w:p>
    <w:p w14:paraId="6BD0FB31" w14:textId="77777777" w:rsidR="006356F1" w:rsidRDefault="006356F1" w:rsidP="006356F1">
      <w:pPr>
        <w:spacing w:line="360" w:lineRule="auto"/>
        <w:ind w:firstLine="851"/>
        <w:jc w:val="both"/>
        <w:rPr>
          <w:rFonts w:ascii="Arial" w:hAnsi="Arial" w:cs="Arial"/>
          <w:sz w:val="24"/>
          <w:szCs w:val="24"/>
        </w:rPr>
      </w:pPr>
    </w:p>
    <w:p w14:paraId="4B416E6D"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No mesmo sentido, a análise da CGE também conclui pela ineficiência dos programas FOMENTAR e PRODUZIR em reduzir as desigualdades regionais:</w:t>
      </w:r>
    </w:p>
    <w:p w14:paraId="28362D88" w14:textId="77777777" w:rsidR="006356F1" w:rsidRDefault="006356F1" w:rsidP="006356F1">
      <w:pPr>
        <w:spacing w:line="360" w:lineRule="auto"/>
        <w:ind w:firstLine="851"/>
        <w:jc w:val="both"/>
        <w:rPr>
          <w:rFonts w:ascii="Arial" w:hAnsi="Arial" w:cs="Arial"/>
          <w:sz w:val="24"/>
          <w:szCs w:val="24"/>
        </w:rPr>
      </w:pPr>
    </w:p>
    <w:p w14:paraId="417D7D64" w14:textId="77777777" w:rsidR="006356F1" w:rsidRPr="00437B66" w:rsidRDefault="006356F1" w:rsidP="006356F1">
      <w:pPr>
        <w:ind w:left="2268"/>
        <w:jc w:val="both"/>
        <w:rPr>
          <w:rFonts w:ascii="Arial" w:hAnsi="Arial" w:cs="Arial"/>
          <w:sz w:val="22"/>
          <w:szCs w:val="24"/>
        </w:rPr>
      </w:pPr>
      <w:r w:rsidRPr="00437B66">
        <w:rPr>
          <w:rFonts w:ascii="Arial" w:hAnsi="Arial" w:cs="Arial"/>
          <w:sz w:val="22"/>
          <w:szCs w:val="24"/>
        </w:rPr>
        <w:t xml:space="preserve">Iniciando-se pela questão da redução das desigualdades regionais, a Figura 1 fornece um indicativo com base nos valores em fruição. </w:t>
      </w:r>
      <w:r w:rsidRPr="00AE5965">
        <w:rPr>
          <w:rFonts w:ascii="Arial" w:hAnsi="Arial" w:cs="Arial"/>
          <w:b/>
          <w:sz w:val="22"/>
          <w:szCs w:val="24"/>
        </w:rPr>
        <w:t>Nota-se que os benefícios concedidos e os empregos se concentram basicamente em duas regiões, qual seja, Goiânia e Anápolis</w:t>
      </w:r>
      <w:r w:rsidRPr="00437B66">
        <w:rPr>
          <w:rFonts w:ascii="Arial" w:hAnsi="Arial" w:cs="Arial"/>
          <w:sz w:val="22"/>
          <w:szCs w:val="24"/>
        </w:rPr>
        <w:t xml:space="preserve"> (ou três se considerarmos Jataí-Mineiros e Rio Verde juntas). </w:t>
      </w:r>
      <w:r w:rsidRPr="00AE5965">
        <w:rPr>
          <w:rFonts w:ascii="Arial" w:hAnsi="Arial" w:cs="Arial"/>
          <w:b/>
          <w:sz w:val="22"/>
          <w:szCs w:val="24"/>
        </w:rPr>
        <w:t>A distribuição espacial tende a manter ou reforçar as disparidades econômicas do Estado</w:t>
      </w:r>
      <w:r w:rsidRPr="00437B66">
        <w:rPr>
          <w:rFonts w:ascii="Arial" w:hAnsi="Arial" w:cs="Arial"/>
          <w:sz w:val="22"/>
          <w:szCs w:val="24"/>
        </w:rPr>
        <w:t>, ou seja, onde há municípios com economia mais desenvolvida e vantagens competitivas há maior volume de benefícios concedidos e empregos (“lógica capitalista”).</w:t>
      </w:r>
    </w:p>
    <w:p w14:paraId="06404E02" w14:textId="77777777" w:rsidR="006356F1" w:rsidRPr="00437B66" w:rsidRDefault="006356F1" w:rsidP="006356F1">
      <w:pPr>
        <w:ind w:left="2268"/>
        <w:jc w:val="both"/>
        <w:rPr>
          <w:rFonts w:ascii="Arial" w:hAnsi="Arial" w:cs="Arial"/>
          <w:sz w:val="22"/>
          <w:szCs w:val="24"/>
        </w:rPr>
      </w:pPr>
      <w:r w:rsidRPr="00437B66">
        <w:rPr>
          <w:rFonts w:ascii="Arial" w:hAnsi="Arial" w:cs="Arial"/>
          <w:sz w:val="22"/>
          <w:szCs w:val="24"/>
        </w:rPr>
        <w:t>Também, observa-se uma diferença pelas regiões nas proporções de benefícios concedidos e empregos. Por exemplo, em Jataí-Mineiros ou Catalão a proporção de benefícios é muito maior que a de empregos (“maior custo”). Já na região de Ceres-Rialma-Goianésia e Goiânia a proporção é favorável aos empregos (“menor custo”). Anápolis e Itumbiara denotam equilíbrio.</w:t>
      </w:r>
    </w:p>
    <w:p w14:paraId="6BFD4CAF" w14:textId="77777777" w:rsidR="006356F1" w:rsidRDefault="006356F1" w:rsidP="006356F1">
      <w:pPr>
        <w:spacing w:line="360" w:lineRule="auto"/>
        <w:ind w:firstLine="851"/>
        <w:jc w:val="both"/>
        <w:rPr>
          <w:rFonts w:ascii="Arial" w:hAnsi="Arial" w:cs="Arial"/>
          <w:sz w:val="24"/>
          <w:szCs w:val="24"/>
        </w:rPr>
      </w:pPr>
    </w:p>
    <w:p w14:paraId="6F73CAFC" w14:textId="77777777" w:rsidR="006356F1" w:rsidRDefault="006356F1" w:rsidP="006356F1">
      <w:pPr>
        <w:spacing w:line="360" w:lineRule="auto"/>
        <w:ind w:left="2268"/>
        <w:jc w:val="both"/>
        <w:rPr>
          <w:rFonts w:ascii="Arial" w:hAnsi="Arial" w:cs="Arial"/>
          <w:sz w:val="24"/>
          <w:szCs w:val="24"/>
        </w:rPr>
      </w:pPr>
      <w:r>
        <w:rPr>
          <w:rFonts w:ascii="Arial" w:hAnsi="Arial" w:cs="Arial"/>
          <w:noProof/>
          <w:sz w:val="24"/>
          <w:szCs w:val="24"/>
        </w:rPr>
        <w:lastRenderedPageBreak/>
        <w:drawing>
          <wp:inline distT="0" distB="0" distL="0" distR="0" wp14:anchorId="03844CF3" wp14:editId="0588C885">
            <wp:extent cx="4872007" cy="6226037"/>
            <wp:effectExtent l="0" t="0" r="5080" b="381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GE.PNG"/>
                    <pic:cNvPicPr/>
                  </pic:nvPicPr>
                  <pic:blipFill>
                    <a:blip r:embed="rId105">
                      <a:extLst>
                        <a:ext uri="{28A0092B-C50C-407E-A947-70E740481C1C}">
                          <a14:useLocalDpi xmlns:a14="http://schemas.microsoft.com/office/drawing/2010/main" val="0"/>
                        </a:ext>
                      </a:extLst>
                    </a:blip>
                    <a:stretch>
                      <a:fillRect/>
                    </a:stretch>
                  </pic:blipFill>
                  <pic:spPr>
                    <a:xfrm>
                      <a:off x="0" y="0"/>
                      <a:ext cx="4884299" cy="6241745"/>
                    </a:xfrm>
                    <a:prstGeom prst="rect">
                      <a:avLst/>
                    </a:prstGeom>
                  </pic:spPr>
                </pic:pic>
              </a:graphicData>
            </a:graphic>
          </wp:inline>
        </w:drawing>
      </w:r>
    </w:p>
    <w:p w14:paraId="483F17AA" w14:textId="77777777" w:rsidR="006356F1" w:rsidRPr="0006586B" w:rsidRDefault="006356F1" w:rsidP="006356F1">
      <w:pPr>
        <w:spacing w:line="360" w:lineRule="auto"/>
        <w:ind w:firstLine="851"/>
        <w:jc w:val="both"/>
        <w:rPr>
          <w:rFonts w:ascii="Arial" w:hAnsi="Arial" w:cs="Arial"/>
          <w:sz w:val="22"/>
          <w:szCs w:val="24"/>
        </w:rPr>
      </w:pPr>
    </w:p>
    <w:p w14:paraId="377BA0D0" w14:textId="77777777" w:rsidR="006356F1" w:rsidRPr="0006586B" w:rsidRDefault="006356F1" w:rsidP="006356F1">
      <w:pPr>
        <w:ind w:left="2268"/>
        <w:jc w:val="both"/>
        <w:rPr>
          <w:rFonts w:ascii="Arial" w:hAnsi="Arial" w:cs="Arial"/>
          <w:sz w:val="22"/>
          <w:szCs w:val="24"/>
        </w:rPr>
      </w:pPr>
      <w:r w:rsidRPr="0006586B">
        <w:rPr>
          <w:rFonts w:ascii="Arial" w:hAnsi="Arial" w:cs="Arial"/>
          <w:sz w:val="22"/>
          <w:szCs w:val="24"/>
        </w:rPr>
        <w:t>Nessa perspectiva têm-se os números para os anos de 2006 e 2017 na Tabela 5, bem como dados gerais nas Tabela 6 e Tabela 7, logo a seguir.</w:t>
      </w:r>
    </w:p>
    <w:p w14:paraId="1CD50D0D" w14:textId="77777777" w:rsidR="006356F1" w:rsidRDefault="006356F1" w:rsidP="006356F1">
      <w:pPr>
        <w:ind w:left="2268"/>
        <w:jc w:val="both"/>
        <w:rPr>
          <w:rFonts w:ascii="Arial" w:hAnsi="Arial" w:cs="Arial"/>
          <w:sz w:val="24"/>
          <w:szCs w:val="24"/>
        </w:rPr>
      </w:pPr>
      <w:r w:rsidRPr="0006586B">
        <w:rPr>
          <w:rFonts w:ascii="Arial" w:hAnsi="Arial" w:cs="Arial"/>
          <w:sz w:val="22"/>
          <w:szCs w:val="24"/>
        </w:rPr>
        <w:t xml:space="preserve">Nessas três tabelas, </w:t>
      </w:r>
      <w:r w:rsidRPr="0006586B">
        <w:rPr>
          <w:rFonts w:ascii="Arial" w:hAnsi="Arial" w:cs="Arial"/>
          <w:b/>
          <w:sz w:val="22"/>
          <w:szCs w:val="24"/>
        </w:rPr>
        <w:t>percebe-se que a maioria do emprego efetivo (52,1%) ocorre em apenas duas regiões - Goiânia e Anápolis</w:t>
      </w:r>
      <w:r w:rsidRPr="0006586B">
        <w:rPr>
          <w:rFonts w:ascii="Arial" w:hAnsi="Arial" w:cs="Arial"/>
          <w:sz w:val="22"/>
          <w:szCs w:val="24"/>
        </w:rPr>
        <w:t xml:space="preserve"> (as mesmas dos maiores benefícios concedidos). Se incluirmos a região de Rio Verde e Jataí-Mineiros (sudoeste do estado) chega-se a 65,3% e adicionando-se Itumbiara, 71,7%. Se abrirmos a informação de 2017, tem-se apenas 5 municípios com 52% dos empregos - Senador Canedo, Anápolis, Rio Verde, Aparecida de Goiânia e Goiânia ou, ainda, 15 municípios[1] dos 246 com 75%. </w:t>
      </w:r>
      <w:r w:rsidRPr="0006586B">
        <w:rPr>
          <w:rFonts w:ascii="Arial" w:hAnsi="Arial" w:cs="Arial"/>
          <w:b/>
          <w:sz w:val="22"/>
          <w:szCs w:val="24"/>
        </w:rPr>
        <w:t>Ou seja, a concentração é notável</w:t>
      </w:r>
      <w:r w:rsidRPr="00437B66">
        <w:rPr>
          <w:rFonts w:ascii="Arial" w:hAnsi="Arial" w:cs="Arial"/>
          <w:sz w:val="24"/>
          <w:szCs w:val="24"/>
        </w:rPr>
        <w:t>.</w:t>
      </w:r>
      <w:r>
        <w:rPr>
          <w:rStyle w:val="Refdenotaderodap"/>
          <w:rFonts w:ascii="Arial" w:hAnsi="Arial" w:cs="Arial"/>
          <w:sz w:val="24"/>
          <w:szCs w:val="24"/>
        </w:rPr>
        <w:footnoteReference w:id="132"/>
      </w:r>
    </w:p>
    <w:p w14:paraId="34627C1F" w14:textId="77777777" w:rsidR="006356F1" w:rsidRDefault="006356F1" w:rsidP="006356F1">
      <w:pPr>
        <w:spacing w:line="360" w:lineRule="auto"/>
        <w:ind w:firstLine="851"/>
        <w:jc w:val="both"/>
        <w:rPr>
          <w:rFonts w:ascii="Arial" w:hAnsi="Arial" w:cs="Arial"/>
          <w:sz w:val="24"/>
          <w:szCs w:val="24"/>
        </w:rPr>
      </w:pPr>
    </w:p>
    <w:p w14:paraId="41408748"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Já é clássica</w:t>
      </w:r>
      <w:r w:rsidRPr="004B0DF1">
        <w:rPr>
          <w:rFonts w:ascii="Arial" w:hAnsi="Arial" w:cs="Arial"/>
          <w:sz w:val="24"/>
          <w:szCs w:val="24"/>
        </w:rPr>
        <w:t xml:space="preserve"> entre os que estudam um pouco os programas de incentivos em Goiás quanto a este quesito </w:t>
      </w:r>
      <w:r>
        <w:rPr>
          <w:rFonts w:ascii="Arial" w:hAnsi="Arial" w:cs="Arial"/>
          <w:sz w:val="24"/>
          <w:szCs w:val="24"/>
        </w:rPr>
        <w:t>a conclusão de que eles</w:t>
      </w:r>
      <w:r w:rsidRPr="004B0DF1">
        <w:rPr>
          <w:rFonts w:ascii="Arial" w:hAnsi="Arial" w:cs="Arial"/>
          <w:sz w:val="24"/>
          <w:szCs w:val="24"/>
        </w:rPr>
        <w:t>, até então</w:t>
      </w:r>
      <w:r>
        <w:rPr>
          <w:rFonts w:ascii="Arial" w:hAnsi="Arial" w:cs="Arial"/>
          <w:sz w:val="24"/>
          <w:szCs w:val="24"/>
        </w:rPr>
        <w:t>,</w:t>
      </w:r>
      <w:r w:rsidRPr="004B0DF1">
        <w:rPr>
          <w:rFonts w:ascii="Arial" w:hAnsi="Arial" w:cs="Arial"/>
          <w:sz w:val="24"/>
          <w:szCs w:val="24"/>
        </w:rPr>
        <w:t xml:space="preserve"> </w:t>
      </w:r>
      <w:r w:rsidRPr="004B0DF1">
        <w:rPr>
          <w:rFonts w:ascii="Arial" w:hAnsi="Arial" w:cs="Arial"/>
          <w:b/>
          <w:sz w:val="24"/>
          <w:szCs w:val="24"/>
        </w:rPr>
        <w:t>não contribuíram para reduzir a desigualdades regionais</w:t>
      </w:r>
      <w:r w:rsidRPr="004B0DF1">
        <w:rPr>
          <w:rFonts w:ascii="Arial" w:hAnsi="Arial" w:cs="Arial"/>
          <w:sz w:val="24"/>
          <w:szCs w:val="24"/>
        </w:rPr>
        <w:t>. Inclusive, independentemente da variável que seja regionalizada, a conclusão tem essa mesma direção. Nota-se que os benefícios (sejam os concedidos ou os fruídos) e os empregos se concentram basicamente em duas regiões, qual seja, Goiânia e Anápolis (ou três se considerarmos Jataí-Mineiros e Rio Verde juntas). A distribuição espacial tende a manter ou reforçar as disparidades econômicas do Estado, ou seja, onde há municípios com economia mais desenvolvida e vantagens competitivas há maior volume de benefícios concedidos e empregos.</w:t>
      </w:r>
    </w:p>
    <w:p w14:paraId="63929CB6" w14:textId="77777777" w:rsidR="006356F1" w:rsidRDefault="006356F1" w:rsidP="006356F1">
      <w:pPr>
        <w:spacing w:line="360" w:lineRule="auto"/>
        <w:ind w:firstLine="851"/>
        <w:jc w:val="both"/>
        <w:rPr>
          <w:rFonts w:ascii="Arial" w:hAnsi="Arial" w:cs="Arial"/>
          <w:sz w:val="24"/>
          <w:szCs w:val="24"/>
        </w:rPr>
      </w:pPr>
    </w:p>
    <w:p w14:paraId="0A92DDDE" w14:textId="77777777" w:rsidR="006356F1" w:rsidRDefault="006356F1" w:rsidP="006356F1">
      <w:pPr>
        <w:spacing w:line="360" w:lineRule="auto"/>
        <w:ind w:firstLine="851"/>
        <w:jc w:val="both"/>
        <w:rPr>
          <w:rFonts w:ascii="Arial" w:hAnsi="Arial" w:cs="Arial"/>
          <w:sz w:val="24"/>
          <w:szCs w:val="24"/>
        </w:rPr>
      </w:pPr>
    </w:p>
    <w:p w14:paraId="3F5648C4" w14:textId="77777777" w:rsidR="006356F1" w:rsidRDefault="006356F1" w:rsidP="006356F1">
      <w:pPr>
        <w:spacing w:line="360" w:lineRule="auto"/>
        <w:ind w:firstLine="851"/>
        <w:jc w:val="both"/>
        <w:rPr>
          <w:rFonts w:ascii="Arial" w:hAnsi="Arial" w:cs="Arial"/>
          <w:sz w:val="24"/>
          <w:szCs w:val="24"/>
        </w:rPr>
      </w:pPr>
    </w:p>
    <w:p w14:paraId="6C326D1A" w14:textId="77777777" w:rsidR="006356F1" w:rsidRDefault="006356F1" w:rsidP="006356F1">
      <w:pPr>
        <w:spacing w:line="360" w:lineRule="auto"/>
        <w:ind w:firstLine="851"/>
        <w:jc w:val="both"/>
        <w:rPr>
          <w:rFonts w:ascii="Arial" w:hAnsi="Arial" w:cs="Arial"/>
          <w:sz w:val="24"/>
          <w:szCs w:val="24"/>
        </w:rPr>
        <w:sectPr w:rsidR="006356F1" w:rsidSect="00EE3640">
          <w:pgSz w:w="11900" w:h="16840"/>
          <w:pgMar w:top="2268" w:right="851" w:bottom="1134" w:left="1701" w:header="567" w:footer="284" w:gutter="0"/>
          <w:cols w:space="708"/>
          <w:docGrid w:linePitch="360"/>
        </w:sectPr>
      </w:pPr>
    </w:p>
    <w:p w14:paraId="65907FD8" w14:textId="77777777" w:rsidR="006356F1" w:rsidRDefault="006356F1" w:rsidP="006356F1">
      <w:pPr>
        <w:spacing w:line="360" w:lineRule="auto"/>
        <w:ind w:firstLine="851"/>
        <w:jc w:val="both"/>
        <w:rPr>
          <w:rFonts w:ascii="Arial" w:hAnsi="Arial" w:cs="Arial"/>
          <w:sz w:val="24"/>
          <w:szCs w:val="24"/>
        </w:rPr>
      </w:pPr>
    </w:p>
    <w:p w14:paraId="738575FB" w14:textId="77777777" w:rsidR="006356F1" w:rsidRDefault="006356F1" w:rsidP="006356F1">
      <w:pPr>
        <w:spacing w:line="360" w:lineRule="auto"/>
        <w:ind w:firstLine="851"/>
        <w:jc w:val="both"/>
        <w:rPr>
          <w:rFonts w:ascii="Arial" w:hAnsi="Arial" w:cs="Arial"/>
          <w:sz w:val="24"/>
          <w:szCs w:val="24"/>
        </w:rPr>
      </w:pPr>
    </w:p>
    <w:p w14:paraId="620C0954" w14:textId="77777777" w:rsidR="006356F1" w:rsidRPr="00EF2460" w:rsidRDefault="006356F1" w:rsidP="006356F1">
      <w:pPr>
        <w:pStyle w:val="Legenda"/>
        <w:spacing w:after="0"/>
        <w:jc w:val="both"/>
        <w:rPr>
          <w:rFonts w:ascii="Calibri" w:hAnsi="Calibri" w:cs="Times New Roman"/>
          <w:b/>
          <w:bCs/>
          <w:sz w:val="22"/>
          <w:szCs w:val="22"/>
          <w:lang w:eastAsia="pt-BR"/>
        </w:rPr>
      </w:pPr>
      <w:r w:rsidRPr="00EF2460">
        <w:rPr>
          <w:b/>
          <w:sz w:val="22"/>
          <w:szCs w:val="22"/>
        </w:rPr>
        <w:t>Participação percentual das regiões em benefícios utilizados no FOMENTAR/PRODUZIR, créditos outorgados e empregos</w:t>
      </w:r>
    </w:p>
    <w:tbl>
      <w:tblPr>
        <w:tblW w:w="5112" w:type="pct"/>
        <w:tblCellMar>
          <w:left w:w="70" w:type="dxa"/>
          <w:right w:w="70" w:type="dxa"/>
        </w:tblCellMar>
        <w:tblLook w:val="04A0" w:firstRow="1" w:lastRow="0" w:firstColumn="1" w:lastColumn="0" w:noHBand="0" w:noVBand="1"/>
      </w:tblPr>
      <w:tblGrid>
        <w:gridCol w:w="2412"/>
        <w:gridCol w:w="2775"/>
        <w:gridCol w:w="560"/>
        <w:gridCol w:w="1998"/>
        <w:gridCol w:w="560"/>
        <w:gridCol w:w="2363"/>
        <w:gridCol w:w="560"/>
        <w:gridCol w:w="1951"/>
        <w:gridCol w:w="560"/>
      </w:tblGrid>
      <w:tr w:rsidR="006356F1" w:rsidRPr="00553142" w14:paraId="300BCA2E" w14:textId="77777777" w:rsidTr="00217400">
        <w:trPr>
          <w:trHeight w:val="900"/>
        </w:trPr>
        <w:tc>
          <w:tcPr>
            <w:tcW w:w="826" w:type="pct"/>
            <w:tcBorders>
              <w:top w:val="single" w:sz="4" w:space="0" w:color="auto"/>
              <w:left w:val="nil"/>
              <w:bottom w:val="single" w:sz="4" w:space="0" w:color="auto"/>
              <w:right w:val="nil"/>
            </w:tcBorders>
            <w:shd w:val="clear" w:color="DCE6F1" w:fill="DCE6F1"/>
            <w:noWrap/>
            <w:vAlign w:val="center"/>
            <w:hideMark/>
          </w:tcPr>
          <w:p w14:paraId="02CED222" w14:textId="77777777" w:rsidR="006356F1" w:rsidRPr="00553142" w:rsidRDefault="006356F1" w:rsidP="00217400">
            <w:pPr>
              <w:rPr>
                <w:rFonts w:ascii="Calibri" w:hAnsi="Calibri"/>
                <w:b/>
                <w:bCs/>
                <w:color w:val="000000"/>
                <w:sz w:val="20"/>
              </w:rPr>
            </w:pPr>
            <w:r w:rsidRPr="00553142">
              <w:rPr>
                <w:rFonts w:ascii="Calibri" w:hAnsi="Calibri"/>
                <w:b/>
                <w:bCs/>
                <w:color w:val="000000"/>
                <w:sz w:val="20"/>
              </w:rPr>
              <w:t>Regiões Imediatas-IBGE</w:t>
            </w:r>
          </w:p>
        </w:tc>
        <w:tc>
          <w:tcPr>
            <w:tcW w:w="1037" w:type="pct"/>
            <w:tcBorders>
              <w:top w:val="single" w:sz="4" w:space="0" w:color="auto"/>
              <w:left w:val="nil"/>
              <w:bottom w:val="single" w:sz="4" w:space="0" w:color="auto"/>
              <w:right w:val="nil"/>
            </w:tcBorders>
            <w:shd w:val="clear" w:color="DCE6F1" w:fill="DCE6F1"/>
            <w:vAlign w:val="center"/>
            <w:hideMark/>
          </w:tcPr>
          <w:p w14:paraId="53600412" w14:textId="77777777" w:rsidR="006356F1" w:rsidRPr="00553142" w:rsidRDefault="006356F1" w:rsidP="00217400">
            <w:pPr>
              <w:jc w:val="center"/>
              <w:rPr>
                <w:rFonts w:ascii="Calibri" w:hAnsi="Calibri"/>
                <w:b/>
                <w:bCs/>
                <w:color w:val="000000"/>
                <w:sz w:val="20"/>
              </w:rPr>
            </w:pPr>
            <w:r>
              <w:rPr>
                <w:rFonts w:ascii="Calibri" w:hAnsi="Calibri"/>
                <w:b/>
                <w:bCs/>
                <w:color w:val="000000"/>
                <w:sz w:val="20"/>
              </w:rPr>
              <w:t>Benefícios</w:t>
            </w:r>
            <w:r w:rsidRPr="00553142">
              <w:rPr>
                <w:rFonts w:ascii="Calibri" w:hAnsi="Calibri"/>
                <w:b/>
                <w:bCs/>
                <w:color w:val="000000"/>
                <w:sz w:val="20"/>
              </w:rPr>
              <w:t xml:space="preserve"> FOMENTAR e PRODUZIR (média de 2014 - 2018)</w:t>
            </w:r>
          </w:p>
        </w:tc>
        <w:tc>
          <w:tcPr>
            <w:tcW w:w="190" w:type="pct"/>
            <w:tcBorders>
              <w:top w:val="single" w:sz="4" w:space="0" w:color="auto"/>
              <w:left w:val="nil"/>
              <w:bottom w:val="single" w:sz="4" w:space="0" w:color="auto"/>
              <w:right w:val="nil"/>
            </w:tcBorders>
            <w:shd w:val="clear" w:color="DCE6F1" w:fill="DCE6F1"/>
            <w:vAlign w:val="center"/>
            <w:hideMark/>
          </w:tcPr>
          <w:p w14:paraId="2588F658" w14:textId="77777777" w:rsidR="006356F1" w:rsidRPr="00553142" w:rsidRDefault="006356F1" w:rsidP="00217400">
            <w:pPr>
              <w:jc w:val="center"/>
              <w:rPr>
                <w:rFonts w:ascii="Calibri" w:hAnsi="Calibri"/>
                <w:b/>
                <w:bCs/>
                <w:i/>
                <w:color w:val="000000"/>
                <w:sz w:val="20"/>
              </w:rPr>
            </w:pPr>
            <w:r w:rsidRPr="00553142">
              <w:rPr>
                <w:rFonts w:ascii="Calibri" w:hAnsi="Calibri"/>
                <w:b/>
                <w:bCs/>
                <w:i/>
                <w:color w:val="000000"/>
                <w:sz w:val="20"/>
              </w:rPr>
              <w:t>Rank</w:t>
            </w:r>
          </w:p>
        </w:tc>
        <w:tc>
          <w:tcPr>
            <w:tcW w:w="754" w:type="pct"/>
            <w:tcBorders>
              <w:top w:val="single" w:sz="4" w:space="0" w:color="auto"/>
              <w:left w:val="nil"/>
              <w:bottom w:val="single" w:sz="4" w:space="0" w:color="auto"/>
              <w:right w:val="nil"/>
            </w:tcBorders>
            <w:shd w:val="clear" w:color="DCE6F1" w:fill="DCE6F1"/>
            <w:vAlign w:val="center"/>
            <w:hideMark/>
          </w:tcPr>
          <w:p w14:paraId="125F433F" w14:textId="77777777" w:rsidR="006356F1" w:rsidRPr="00553142" w:rsidRDefault="006356F1" w:rsidP="00217400">
            <w:pPr>
              <w:jc w:val="center"/>
              <w:rPr>
                <w:rFonts w:ascii="Calibri" w:hAnsi="Calibri"/>
                <w:b/>
                <w:bCs/>
                <w:color w:val="000000"/>
                <w:sz w:val="20"/>
              </w:rPr>
            </w:pPr>
            <w:r w:rsidRPr="00553142">
              <w:rPr>
                <w:rFonts w:ascii="Calibri" w:hAnsi="Calibri"/>
                <w:b/>
                <w:bCs/>
                <w:color w:val="000000"/>
                <w:sz w:val="20"/>
              </w:rPr>
              <w:t>Outros créditos outorgados (média de 2014 - 2018)</w:t>
            </w:r>
          </w:p>
        </w:tc>
        <w:tc>
          <w:tcPr>
            <w:tcW w:w="190" w:type="pct"/>
            <w:tcBorders>
              <w:top w:val="single" w:sz="4" w:space="0" w:color="auto"/>
              <w:left w:val="nil"/>
              <w:bottom w:val="single" w:sz="4" w:space="0" w:color="auto"/>
              <w:right w:val="nil"/>
            </w:tcBorders>
            <w:shd w:val="clear" w:color="DCE6F1" w:fill="DCE6F1"/>
            <w:vAlign w:val="center"/>
            <w:hideMark/>
          </w:tcPr>
          <w:p w14:paraId="6BA380FB" w14:textId="77777777" w:rsidR="006356F1" w:rsidRPr="00553142" w:rsidRDefault="006356F1" w:rsidP="00217400">
            <w:pPr>
              <w:jc w:val="center"/>
              <w:rPr>
                <w:rFonts w:ascii="Calibri" w:hAnsi="Calibri"/>
                <w:b/>
                <w:bCs/>
                <w:i/>
                <w:color w:val="000000"/>
                <w:sz w:val="20"/>
              </w:rPr>
            </w:pPr>
            <w:r w:rsidRPr="00553142">
              <w:rPr>
                <w:rFonts w:ascii="Calibri" w:hAnsi="Calibri"/>
                <w:b/>
                <w:bCs/>
                <w:i/>
                <w:color w:val="000000"/>
                <w:sz w:val="20"/>
              </w:rPr>
              <w:t>Rank</w:t>
            </w:r>
          </w:p>
        </w:tc>
        <w:tc>
          <w:tcPr>
            <w:tcW w:w="887" w:type="pct"/>
            <w:tcBorders>
              <w:top w:val="single" w:sz="4" w:space="0" w:color="auto"/>
              <w:left w:val="nil"/>
              <w:bottom w:val="single" w:sz="4" w:space="0" w:color="auto"/>
              <w:right w:val="nil"/>
            </w:tcBorders>
            <w:shd w:val="clear" w:color="DCE6F1" w:fill="DCE6F1"/>
            <w:vAlign w:val="center"/>
            <w:hideMark/>
          </w:tcPr>
          <w:p w14:paraId="7A9806C1" w14:textId="77777777" w:rsidR="006356F1" w:rsidRPr="00553142" w:rsidRDefault="006356F1" w:rsidP="00217400">
            <w:pPr>
              <w:jc w:val="center"/>
              <w:rPr>
                <w:rFonts w:ascii="Calibri" w:hAnsi="Calibri"/>
                <w:b/>
                <w:bCs/>
                <w:color w:val="000000"/>
                <w:sz w:val="20"/>
              </w:rPr>
            </w:pPr>
            <w:r w:rsidRPr="00553142">
              <w:rPr>
                <w:rFonts w:ascii="Calibri" w:hAnsi="Calibri"/>
                <w:b/>
                <w:bCs/>
                <w:color w:val="000000"/>
                <w:sz w:val="20"/>
              </w:rPr>
              <w:t>Créditos outorgados - Dedução de imposto a pagar (média de 2014 - 2018)</w:t>
            </w:r>
          </w:p>
        </w:tc>
        <w:tc>
          <w:tcPr>
            <w:tcW w:w="190" w:type="pct"/>
            <w:tcBorders>
              <w:top w:val="single" w:sz="4" w:space="0" w:color="auto"/>
              <w:left w:val="nil"/>
              <w:bottom w:val="single" w:sz="4" w:space="0" w:color="auto"/>
              <w:right w:val="nil"/>
            </w:tcBorders>
            <w:shd w:val="clear" w:color="DCE6F1" w:fill="DCE6F1"/>
            <w:vAlign w:val="center"/>
            <w:hideMark/>
          </w:tcPr>
          <w:p w14:paraId="354817C5" w14:textId="77777777" w:rsidR="006356F1" w:rsidRPr="00553142" w:rsidRDefault="006356F1" w:rsidP="00217400">
            <w:pPr>
              <w:jc w:val="center"/>
              <w:rPr>
                <w:rFonts w:ascii="Calibri" w:hAnsi="Calibri"/>
                <w:b/>
                <w:bCs/>
                <w:i/>
                <w:color w:val="000000"/>
                <w:sz w:val="20"/>
              </w:rPr>
            </w:pPr>
            <w:r w:rsidRPr="00553142">
              <w:rPr>
                <w:rFonts w:ascii="Calibri" w:hAnsi="Calibri"/>
                <w:b/>
                <w:bCs/>
                <w:i/>
                <w:color w:val="000000"/>
                <w:sz w:val="20"/>
              </w:rPr>
              <w:t>Rank</w:t>
            </w:r>
          </w:p>
        </w:tc>
        <w:tc>
          <w:tcPr>
            <w:tcW w:w="737" w:type="pct"/>
            <w:tcBorders>
              <w:top w:val="single" w:sz="4" w:space="0" w:color="auto"/>
              <w:left w:val="nil"/>
              <w:bottom w:val="single" w:sz="4" w:space="0" w:color="auto"/>
              <w:right w:val="nil"/>
            </w:tcBorders>
            <w:shd w:val="clear" w:color="DCE6F1" w:fill="DCE6F1"/>
            <w:vAlign w:val="center"/>
            <w:hideMark/>
          </w:tcPr>
          <w:p w14:paraId="29C4AB92" w14:textId="77777777" w:rsidR="006356F1" w:rsidRPr="00553142" w:rsidRDefault="006356F1" w:rsidP="00217400">
            <w:pPr>
              <w:jc w:val="center"/>
              <w:rPr>
                <w:rFonts w:ascii="Calibri" w:hAnsi="Calibri"/>
                <w:b/>
                <w:bCs/>
                <w:color w:val="000000"/>
                <w:sz w:val="20"/>
              </w:rPr>
            </w:pPr>
            <w:r>
              <w:rPr>
                <w:rFonts w:ascii="Calibri" w:hAnsi="Calibri"/>
                <w:b/>
                <w:bCs/>
                <w:color w:val="000000"/>
                <w:sz w:val="20"/>
              </w:rPr>
              <w:t>E</w:t>
            </w:r>
            <w:r w:rsidRPr="00553142">
              <w:rPr>
                <w:rFonts w:ascii="Calibri" w:hAnsi="Calibri"/>
                <w:b/>
                <w:bCs/>
                <w:color w:val="000000"/>
                <w:sz w:val="20"/>
              </w:rPr>
              <w:t>mpregos (média 2006-2018)</w:t>
            </w:r>
          </w:p>
        </w:tc>
        <w:tc>
          <w:tcPr>
            <w:tcW w:w="190" w:type="pct"/>
            <w:tcBorders>
              <w:top w:val="single" w:sz="4" w:space="0" w:color="auto"/>
              <w:left w:val="nil"/>
              <w:bottom w:val="single" w:sz="4" w:space="0" w:color="auto"/>
              <w:right w:val="nil"/>
            </w:tcBorders>
            <w:shd w:val="clear" w:color="DCE6F1" w:fill="DCE6F1"/>
            <w:vAlign w:val="center"/>
            <w:hideMark/>
          </w:tcPr>
          <w:p w14:paraId="78F6D30E" w14:textId="77777777" w:rsidR="006356F1" w:rsidRPr="00553142" w:rsidRDefault="006356F1" w:rsidP="00217400">
            <w:pPr>
              <w:jc w:val="center"/>
              <w:rPr>
                <w:rFonts w:ascii="Calibri" w:hAnsi="Calibri"/>
                <w:b/>
                <w:bCs/>
                <w:i/>
                <w:color w:val="000000"/>
                <w:sz w:val="20"/>
              </w:rPr>
            </w:pPr>
            <w:r w:rsidRPr="00553142">
              <w:rPr>
                <w:rFonts w:ascii="Calibri" w:hAnsi="Calibri"/>
                <w:b/>
                <w:bCs/>
                <w:i/>
                <w:color w:val="000000"/>
                <w:sz w:val="20"/>
              </w:rPr>
              <w:t>Rank</w:t>
            </w:r>
          </w:p>
        </w:tc>
      </w:tr>
      <w:tr w:rsidR="006356F1" w:rsidRPr="00553142" w14:paraId="4CEC0E83"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4F58178F" w14:textId="77777777" w:rsidR="006356F1" w:rsidRPr="00553142" w:rsidRDefault="006356F1" w:rsidP="00217400">
            <w:pPr>
              <w:rPr>
                <w:rFonts w:ascii="Calibri" w:hAnsi="Calibri"/>
                <w:color w:val="000000"/>
                <w:sz w:val="20"/>
              </w:rPr>
            </w:pPr>
            <w:r w:rsidRPr="00553142">
              <w:rPr>
                <w:rFonts w:ascii="Calibri" w:hAnsi="Calibri"/>
                <w:color w:val="000000"/>
                <w:sz w:val="20"/>
              </w:rPr>
              <w:t>Anápolis</w:t>
            </w:r>
          </w:p>
        </w:tc>
        <w:tc>
          <w:tcPr>
            <w:tcW w:w="1037" w:type="pct"/>
            <w:tcBorders>
              <w:top w:val="nil"/>
              <w:left w:val="nil"/>
              <w:bottom w:val="single" w:sz="4" w:space="0" w:color="auto"/>
              <w:right w:val="nil"/>
            </w:tcBorders>
            <w:shd w:val="clear" w:color="auto" w:fill="auto"/>
            <w:noWrap/>
            <w:vAlign w:val="center"/>
            <w:hideMark/>
          </w:tcPr>
          <w:p w14:paraId="018CA26B"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23,5</w:t>
            </w:r>
          </w:p>
        </w:tc>
        <w:tc>
          <w:tcPr>
            <w:tcW w:w="190" w:type="pct"/>
            <w:tcBorders>
              <w:top w:val="nil"/>
              <w:left w:val="nil"/>
              <w:bottom w:val="single" w:sz="4" w:space="0" w:color="auto"/>
              <w:right w:val="nil"/>
            </w:tcBorders>
            <w:shd w:val="clear" w:color="auto" w:fill="auto"/>
            <w:noWrap/>
            <w:vAlign w:val="center"/>
            <w:hideMark/>
          </w:tcPr>
          <w:p w14:paraId="0B3F91B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1º</w:t>
            </w:r>
          </w:p>
        </w:tc>
        <w:tc>
          <w:tcPr>
            <w:tcW w:w="754" w:type="pct"/>
            <w:tcBorders>
              <w:top w:val="nil"/>
              <w:left w:val="nil"/>
              <w:bottom w:val="single" w:sz="4" w:space="0" w:color="auto"/>
              <w:right w:val="nil"/>
            </w:tcBorders>
            <w:shd w:val="clear" w:color="auto" w:fill="auto"/>
            <w:noWrap/>
            <w:vAlign w:val="center"/>
            <w:hideMark/>
          </w:tcPr>
          <w:p w14:paraId="20C56E0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20,0</w:t>
            </w:r>
          </w:p>
        </w:tc>
        <w:tc>
          <w:tcPr>
            <w:tcW w:w="190" w:type="pct"/>
            <w:tcBorders>
              <w:top w:val="nil"/>
              <w:left w:val="nil"/>
              <w:bottom w:val="single" w:sz="4" w:space="0" w:color="auto"/>
              <w:right w:val="nil"/>
            </w:tcBorders>
            <w:shd w:val="clear" w:color="auto" w:fill="auto"/>
            <w:noWrap/>
            <w:vAlign w:val="center"/>
            <w:hideMark/>
          </w:tcPr>
          <w:p w14:paraId="511AB40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2º</w:t>
            </w:r>
          </w:p>
        </w:tc>
        <w:tc>
          <w:tcPr>
            <w:tcW w:w="887" w:type="pct"/>
            <w:tcBorders>
              <w:top w:val="nil"/>
              <w:left w:val="nil"/>
              <w:bottom w:val="single" w:sz="4" w:space="0" w:color="auto"/>
              <w:right w:val="nil"/>
            </w:tcBorders>
            <w:shd w:val="clear" w:color="auto" w:fill="auto"/>
            <w:noWrap/>
            <w:vAlign w:val="center"/>
            <w:hideMark/>
          </w:tcPr>
          <w:p w14:paraId="087982EB"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14,5</w:t>
            </w:r>
          </w:p>
        </w:tc>
        <w:tc>
          <w:tcPr>
            <w:tcW w:w="190" w:type="pct"/>
            <w:tcBorders>
              <w:top w:val="nil"/>
              <w:left w:val="nil"/>
              <w:bottom w:val="single" w:sz="4" w:space="0" w:color="auto"/>
              <w:right w:val="nil"/>
            </w:tcBorders>
            <w:shd w:val="clear" w:color="auto" w:fill="auto"/>
            <w:noWrap/>
            <w:vAlign w:val="center"/>
            <w:hideMark/>
          </w:tcPr>
          <w:p w14:paraId="38A031A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3º</w:t>
            </w:r>
          </w:p>
        </w:tc>
        <w:tc>
          <w:tcPr>
            <w:tcW w:w="737" w:type="pct"/>
            <w:tcBorders>
              <w:top w:val="nil"/>
              <w:left w:val="nil"/>
              <w:bottom w:val="single" w:sz="4" w:space="0" w:color="auto"/>
              <w:right w:val="nil"/>
            </w:tcBorders>
            <w:shd w:val="clear" w:color="auto" w:fill="auto"/>
            <w:noWrap/>
            <w:vAlign w:val="center"/>
            <w:hideMark/>
          </w:tcPr>
          <w:p w14:paraId="749DF46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14,0</w:t>
            </w:r>
          </w:p>
        </w:tc>
        <w:tc>
          <w:tcPr>
            <w:tcW w:w="190" w:type="pct"/>
            <w:tcBorders>
              <w:top w:val="nil"/>
              <w:left w:val="nil"/>
              <w:bottom w:val="single" w:sz="4" w:space="0" w:color="auto"/>
              <w:right w:val="nil"/>
            </w:tcBorders>
            <w:shd w:val="clear" w:color="auto" w:fill="auto"/>
            <w:noWrap/>
            <w:vAlign w:val="center"/>
            <w:hideMark/>
          </w:tcPr>
          <w:p w14:paraId="6AB56B8E"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2º</w:t>
            </w:r>
          </w:p>
        </w:tc>
      </w:tr>
      <w:tr w:rsidR="006356F1" w:rsidRPr="00553142" w14:paraId="63444BB2"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16F58EF6" w14:textId="77777777" w:rsidR="006356F1" w:rsidRPr="00553142" w:rsidRDefault="006356F1" w:rsidP="00217400">
            <w:pPr>
              <w:rPr>
                <w:rFonts w:ascii="Calibri" w:hAnsi="Calibri"/>
                <w:color w:val="000000"/>
                <w:sz w:val="20"/>
              </w:rPr>
            </w:pPr>
            <w:r w:rsidRPr="00553142">
              <w:rPr>
                <w:rFonts w:ascii="Calibri" w:hAnsi="Calibri"/>
                <w:color w:val="000000"/>
                <w:sz w:val="20"/>
              </w:rPr>
              <w:t>Goiânia</w:t>
            </w:r>
          </w:p>
        </w:tc>
        <w:tc>
          <w:tcPr>
            <w:tcW w:w="1037" w:type="pct"/>
            <w:tcBorders>
              <w:top w:val="nil"/>
              <w:left w:val="nil"/>
              <w:bottom w:val="single" w:sz="4" w:space="0" w:color="auto"/>
              <w:right w:val="nil"/>
            </w:tcBorders>
            <w:shd w:val="clear" w:color="auto" w:fill="auto"/>
            <w:noWrap/>
            <w:vAlign w:val="center"/>
            <w:hideMark/>
          </w:tcPr>
          <w:p w14:paraId="657A1EE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17,8</w:t>
            </w:r>
          </w:p>
        </w:tc>
        <w:tc>
          <w:tcPr>
            <w:tcW w:w="190" w:type="pct"/>
            <w:tcBorders>
              <w:top w:val="nil"/>
              <w:left w:val="nil"/>
              <w:bottom w:val="single" w:sz="4" w:space="0" w:color="auto"/>
              <w:right w:val="nil"/>
            </w:tcBorders>
            <w:shd w:val="clear" w:color="auto" w:fill="auto"/>
            <w:noWrap/>
            <w:vAlign w:val="center"/>
            <w:hideMark/>
          </w:tcPr>
          <w:p w14:paraId="19004BDA"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2º</w:t>
            </w:r>
          </w:p>
        </w:tc>
        <w:tc>
          <w:tcPr>
            <w:tcW w:w="754" w:type="pct"/>
            <w:tcBorders>
              <w:top w:val="nil"/>
              <w:left w:val="nil"/>
              <w:bottom w:val="single" w:sz="4" w:space="0" w:color="auto"/>
              <w:right w:val="nil"/>
            </w:tcBorders>
            <w:shd w:val="clear" w:color="auto" w:fill="auto"/>
            <w:noWrap/>
            <w:vAlign w:val="center"/>
            <w:hideMark/>
          </w:tcPr>
          <w:p w14:paraId="3B6AAC0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38,6</w:t>
            </w:r>
          </w:p>
        </w:tc>
        <w:tc>
          <w:tcPr>
            <w:tcW w:w="190" w:type="pct"/>
            <w:tcBorders>
              <w:top w:val="nil"/>
              <w:left w:val="nil"/>
              <w:bottom w:val="single" w:sz="4" w:space="0" w:color="auto"/>
              <w:right w:val="nil"/>
            </w:tcBorders>
            <w:shd w:val="clear" w:color="auto" w:fill="auto"/>
            <w:noWrap/>
            <w:vAlign w:val="center"/>
            <w:hideMark/>
          </w:tcPr>
          <w:p w14:paraId="0657885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1º</w:t>
            </w:r>
          </w:p>
        </w:tc>
        <w:tc>
          <w:tcPr>
            <w:tcW w:w="887" w:type="pct"/>
            <w:tcBorders>
              <w:top w:val="nil"/>
              <w:left w:val="nil"/>
              <w:bottom w:val="single" w:sz="4" w:space="0" w:color="auto"/>
              <w:right w:val="nil"/>
            </w:tcBorders>
            <w:shd w:val="clear" w:color="auto" w:fill="auto"/>
            <w:noWrap/>
            <w:vAlign w:val="center"/>
            <w:hideMark/>
          </w:tcPr>
          <w:p w14:paraId="6715BFED"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1,2</w:t>
            </w:r>
          </w:p>
        </w:tc>
        <w:tc>
          <w:tcPr>
            <w:tcW w:w="190" w:type="pct"/>
            <w:tcBorders>
              <w:top w:val="nil"/>
              <w:left w:val="nil"/>
              <w:bottom w:val="single" w:sz="4" w:space="0" w:color="auto"/>
              <w:right w:val="nil"/>
            </w:tcBorders>
            <w:shd w:val="clear" w:color="auto" w:fill="auto"/>
            <w:noWrap/>
            <w:vAlign w:val="center"/>
            <w:hideMark/>
          </w:tcPr>
          <w:p w14:paraId="4870D6E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10º</w:t>
            </w:r>
          </w:p>
        </w:tc>
        <w:tc>
          <w:tcPr>
            <w:tcW w:w="737" w:type="pct"/>
            <w:tcBorders>
              <w:top w:val="nil"/>
              <w:left w:val="nil"/>
              <w:bottom w:val="single" w:sz="4" w:space="0" w:color="auto"/>
              <w:right w:val="nil"/>
            </w:tcBorders>
            <w:shd w:val="clear" w:color="auto" w:fill="auto"/>
            <w:noWrap/>
            <w:vAlign w:val="center"/>
            <w:hideMark/>
          </w:tcPr>
          <w:p w14:paraId="2BF0C2F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23,9</w:t>
            </w:r>
          </w:p>
        </w:tc>
        <w:tc>
          <w:tcPr>
            <w:tcW w:w="190" w:type="pct"/>
            <w:tcBorders>
              <w:top w:val="nil"/>
              <w:left w:val="nil"/>
              <w:bottom w:val="single" w:sz="4" w:space="0" w:color="auto"/>
              <w:right w:val="nil"/>
            </w:tcBorders>
            <w:shd w:val="clear" w:color="auto" w:fill="auto"/>
            <w:noWrap/>
            <w:vAlign w:val="center"/>
            <w:hideMark/>
          </w:tcPr>
          <w:p w14:paraId="4E746B4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1º</w:t>
            </w:r>
          </w:p>
        </w:tc>
      </w:tr>
      <w:tr w:rsidR="006356F1" w:rsidRPr="00553142" w14:paraId="07034FAE"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4E18E1C0" w14:textId="77777777" w:rsidR="006356F1" w:rsidRPr="00553142" w:rsidRDefault="006356F1" w:rsidP="00217400">
            <w:pPr>
              <w:rPr>
                <w:rFonts w:ascii="Calibri" w:hAnsi="Calibri"/>
                <w:color w:val="000000"/>
                <w:sz w:val="20"/>
              </w:rPr>
            </w:pPr>
            <w:r w:rsidRPr="00553142">
              <w:rPr>
                <w:rFonts w:ascii="Calibri" w:hAnsi="Calibri"/>
                <w:color w:val="000000"/>
                <w:sz w:val="20"/>
              </w:rPr>
              <w:t>Catalão</w:t>
            </w:r>
          </w:p>
        </w:tc>
        <w:tc>
          <w:tcPr>
            <w:tcW w:w="1037" w:type="pct"/>
            <w:tcBorders>
              <w:top w:val="nil"/>
              <w:left w:val="nil"/>
              <w:bottom w:val="single" w:sz="4" w:space="0" w:color="auto"/>
              <w:right w:val="nil"/>
            </w:tcBorders>
            <w:shd w:val="clear" w:color="auto" w:fill="auto"/>
            <w:noWrap/>
            <w:vAlign w:val="center"/>
            <w:hideMark/>
          </w:tcPr>
          <w:p w14:paraId="2B9966C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11,9</w:t>
            </w:r>
          </w:p>
        </w:tc>
        <w:tc>
          <w:tcPr>
            <w:tcW w:w="190" w:type="pct"/>
            <w:tcBorders>
              <w:top w:val="nil"/>
              <w:left w:val="nil"/>
              <w:bottom w:val="single" w:sz="4" w:space="0" w:color="auto"/>
              <w:right w:val="nil"/>
            </w:tcBorders>
            <w:shd w:val="clear" w:color="auto" w:fill="auto"/>
            <w:noWrap/>
            <w:vAlign w:val="center"/>
            <w:hideMark/>
          </w:tcPr>
          <w:p w14:paraId="3708CCF1"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3º</w:t>
            </w:r>
          </w:p>
        </w:tc>
        <w:tc>
          <w:tcPr>
            <w:tcW w:w="754" w:type="pct"/>
            <w:tcBorders>
              <w:top w:val="nil"/>
              <w:left w:val="nil"/>
              <w:bottom w:val="single" w:sz="4" w:space="0" w:color="auto"/>
              <w:right w:val="nil"/>
            </w:tcBorders>
            <w:shd w:val="clear" w:color="auto" w:fill="auto"/>
            <w:noWrap/>
            <w:vAlign w:val="center"/>
            <w:hideMark/>
          </w:tcPr>
          <w:p w14:paraId="67AAFB8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7,2</w:t>
            </w:r>
          </w:p>
        </w:tc>
        <w:tc>
          <w:tcPr>
            <w:tcW w:w="190" w:type="pct"/>
            <w:tcBorders>
              <w:top w:val="nil"/>
              <w:left w:val="nil"/>
              <w:bottom w:val="single" w:sz="4" w:space="0" w:color="auto"/>
              <w:right w:val="nil"/>
            </w:tcBorders>
            <w:shd w:val="clear" w:color="auto" w:fill="auto"/>
            <w:noWrap/>
            <w:vAlign w:val="center"/>
            <w:hideMark/>
          </w:tcPr>
          <w:p w14:paraId="25819E21"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3º</w:t>
            </w:r>
          </w:p>
        </w:tc>
        <w:tc>
          <w:tcPr>
            <w:tcW w:w="887" w:type="pct"/>
            <w:tcBorders>
              <w:top w:val="nil"/>
              <w:left w:val="nil"/>
              <w:bottom w:val="single" w:sz="4" w:space="0" w:color="auto"/>
              <w:right w:val="nil"/>
            </w:tcBorders>
            <w:shd w:val="clear" w:color="auto" w:fill="auto"/>
            <w:noWrap/>
            <w:vAlign w:val="center"/>
            <w:hideMark/>
          </w:tcPr>
          <w:p w14:paraId="789C112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22,5</w:t>
            </w:r>
          </w:p>
        </w:tc>
        <w:tc>
          <w:tcPr>
            <w:tcW w:w="190" w:type="pct"/>
            <w:tcBorders>
              <w:top w:val="nil"/>
              <w:left w:val="nil"/>
              <w:bottom w:val="single" w:sz="4" w:space="0" w:color="auto"/>
              <w:right w:val="nil"/>
            </w:tcBorders>
            <w:shd w:val="clear" w:color="auto" w:fill="auto"/>
            <w:noWrap/>
            <w:vAlign w:val="center"/>
            <w:hideMark/>
          </w:tcPr>
          <w:p w14:paraId="164B1C1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1º</w:t>
            </w:r>
          </w:p>
        </w:tc>
        <w:tc>
          <w:tcPr>
            <w:tcW w:w="737" w:type="pct"/>
            <w:tcBorders>
              <w:top w:val="nil"/>
              <w:left w:val="nil"/>
              <w:bottom w:val="single" w:sz="4" w:space="0" w:color="auto"/>
              <w:right w:val="nil"/>
            </w:tcBorders>
            <w:shd w:val="clear" w:color="auto" w:fill="auto"/>
            <w:noWrap/>
            <w:vAlign w:val="center"/>
            <w:hideMark/>
          </w:tcPr>
          <w:p w14:paraId="5A80D82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3,6</w:t>
            </w:r>
          </w:p>
        </w:tc>
        <w:tc>
          <w:tcPr>
            <w:tcW w:w="190" w:type="pct"/>
            <w:tcBorders>
              <w:top w:val="nil"/>
              <w:left w:val="nil"/>
              <w:bottom w:val="single" w:sz="4" w:space="0" w:color="auto"/>
              <w:right w:val="nil"/>
            </w:tcBorders>
            <w:shd w:val="clear" w:color="auto" w:fill="auto"/>
            <w:noWrap/>
            <w:vAlign w:val="center"/>
            <w:hideMark/>
          </w:tcPr>
          <w:p w14:paraId="1BF0FC1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9º</w:t>
            </w:r>
          </w:p>
        </w:tc>
      </w:tr>
      <w:tr w:rsidR="006356F1" w:rsidRPr="00553142" w14:paraId="7FADD405"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25147378" w14:textId="77777777" w:rsidR="006356F1" w:rsidRPr="00553142" w:rsidRDefault="006356F1" w:rsidP="00217400">
            <w:pPr>
              <w:rPr>
                <w:rFonts w:ascii="Calibri" w:hAnsi="Calibri"/>
                <w:color w:val="000000"/>
                <w:sz w:val="20"/>
              </w:rPr>
            </w:pPr>
            <w:r w:rsidRPr="00553142">
              <w:rPr>
                <w:rFonts w:ascii="Calibri" w:hAnsi="Calibri"/>
                <w:color w:val="000000"/>
                <w:sz w:val="20"/>
              </w:rPr>
              <w:t>Rio Verde</w:t>
            </w:r>
          </w:p>
        </w:tc>
        <w:tc>
          <w:tcPr>
            <w:tcW w:w="1037" w:type="pct"/>
            <w:tcBorders>
              <w:top w:val="nil"/>
              <w:left w:val="nil"/>
              <w:bottom w:val="single" w:sz="4" w:space="0" w:color="auto"/>
              <w:right w:val="nil"/>
            </w:tcBorders>
            <w:shd w:val="clear" w:color="auto" w:fill="auto"/>
            <w:noWrap/>
            <w:vAlign w:val="center"/>
            <w:hideMark/>
          </w:tcPr>
          <w:p w14:paraId="1C9E915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9,5</w:t>
            </w:r>
          </w:p>
        </w:tc>
        <w:tc>
          <w:tcPr>
            <w:tcW w:w="190" w:type="pct"/>
            <w:tcBorders>
              <w:top w:val="nil"/>
              <w:left w:val="nil"/>
              <w:bottom w:val="single" w:sz="4" w:space="0" w:color="auto"/>
              <w:right w:val="nil"/>
            </w:tcBorders>
            <w:shd w:val="clear" w:color="auto" w:fill="auto"/>
            <w:noWrap/>
            <w:vAlign w:val="center"/>
            <w:hideMark/>
          </w:tcPr>
          <w:p w14:paraId="0A3AB32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4º</w:t>
            </w:r>
          </w:p>
        </w:tc>
        <w:tc>
          <w:tcPr>
            <w:tcW w:w="754" w:type="pct"/>
            <w:tcBorders>
              <w:top w:val="nil"/>
              <w:left w:val="nil"/>
              <w:bottom w:val="single" w:sz="4" w:space="0" w:color="auto"/>
              <w:right w:val="nil"/>
            </w:tcBorders>
            <w:shd w:val="clear" w:color="auto" w:fill="auto"/>
            <w:noWrap/>
            <w:vAlign w:val="center"/>
            <w:hideMark/>
          </w:tcPr>
          <w:p w14:paraId="08F71B3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6,3</w:t>
            </w:r>
          </w:p>
        </w:tc>
        <w:tc>
          <w:tcPr>
            <w:tcW w:w="190" w:type="pct"/>
            <w:tcBorders>
              <w:top w:val="nil"/>
              <w:left w:val="nil"/>
              <w:bottom w:val="single" w:sz="4" w:space="0" w:color="auto"/>
              <w:right w:val="nil"/>
            </w:tcBorders>
            <w:shd w:val="clear" w:color="auto" w:fill="auto"/>
            <w:noWrap/>
            <w:vAlign w:val="center"/>
            <w:hideMark/>
          </w:tcPr>
          <w:p w14:paraId="0ADBA3C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4º</w:t>
            </w:r>
          </w:p>
        </w:tc>
        <w:tc>
          <w:tcPr>
            <w:tcW w:w="887" w:type="pct"/>
            <w:tcBorders>
              <w:top w:val="nil"/>
              <w:left w:val="nil"/>
              <w:bottom w:val="single" w:sz="4" w:space="0" w:color="auto"/>
              <w:right w:val="nil"/>
            </w:tcBorders>
            <w:shd w:val="clear" w:color="auto" w:fill="auto"/>
            <w:noWrap/>
            <w:vAlign w:val="center"/>
            <w:hideMark/>
          </w:tcPr>
          <w:p w14:paraId="27262BB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9,6</w:t>
            </w:r>
          </w:p>
        </w:tc>
        <w:tc>
          <w:tcPr>
            <w:tcW w:w="190" w:type="pct"/>
            <w:tcBorders>
              <w:top w:val="nil"/>
              <w:left w:val="nil"/>
              <w:bottom w:val="single" w:sz="4" w:space="0" w:color="auto"/>
              <w:right w:val="nil"/>
            </w:tcBorders>
            <w:shd w:val="clear" w:color="auto" w:fill="auto"/>
            <w:noWrap/>
            <w:vAlign w:val="center"/>
            <w:hideMark/>
          </w:tcPr>
          <w:p w14:paraId="7E679D9C"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5º</w:t>
            </w:r>
          </w:p>
        </w:tc>
        <w:tc>
          <w:tcPr>
            <w:tcW w:w="737" w:type="pct"/>
            <w:tcBorders>
              <w:top w:val="nil"/>
              <w:left w:val="nil"/>
              <w:bottom w:val="single" w:sz="4" w:space="0" w:color="auto"/>
              <w:right w:val="nil"/>
            </w:tcBorders>
            <w:shd w:val="clear" w:color="auto" w:fill="auto"/>
            <w:noWrap/>
            <w:vAlign w:val="center"/>
            <w:hideMark/>
          </w:tcPr>
          <w:p w14:paraId="6816683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12,9</w:t>
            </w:r>
          </w:p>
        </w:tc>
        <w:tc>
          <w:tcPr>
            <w:tcW w:w="190" w:type="pct"/>
            <w:tcBorders>
              <w:top w:val="nil"/>
              <w:left w:val="nil"/>
              <w:bottom w:val="single" w:sz="4" w:space="0" w:color="auto"/>
              <w:right w:val="nil"/>
            </w:tcBorders>
            <w:shd w:val="clear" w:color="auto" w:fill="auto"/>
            <w:noWrap/>
            <w:vAlign w:val="center"/>
            <w:hideMark/>
          </w:tcPr>
          <w:p w14:paraId="3EA94AF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3º</w:t>
            </w:r>
          </w:p>
        </w:tc>
      </w:tr>
      <w:tr w:rsidR="006356F1" w:rsidRPr="00553142" w14:paraId="071CF7DA"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4AABD268" w14:textId="77777777" w:rsidR="006356F1" w:rsidRPr="00553142" w:rsidRDefault="006356F1" w:rsidP="00217400">
            <w:pPr>
              <w:rPr>
                <w:rFonts w:ascii="Calibri" w:hAnsi="Calibri"/>
                <w:color w:val="000000"/>
                <w:sz w:val="20"/>
              </w:rPr>
            </w:pPr>
            <w:r w:rsidRPr="00553142">
              <w:rPr>
                <w:rFonts w:ascii="Calibri" w:hAnsi="Calibri"/>
                <w:color w:val="000000"/>
                <w:sz w:val="20"/>
              </w:rPr>
              <w:t>Jataí-Mineiros</w:t>
            </w:r>
          </w:p>
        </w:tc>
        <w:tc>
          <w:tcPr>
            <w:tcW w:w="1037" w:type="pct"/>
            <w:tcBorders>
              <w:top w:val="nil"/>
              <w:left w:val="nil"/>
              <w:bottom w:val="single" w:sz="4" w:space="0" w:color="auto"/>
              <w:right w:val="nil"/>
            </w:tcBorders>
            <w:shd w:val="clear" w:color="auto" w:fill="auto"/>
            <w:noWrap/>
            <w:vAlign w:val="center"/>
            <w:hideMark/>
          </w:tcPr>
          <w:p w14:paraId="3CB3ACBC"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7,3</w:t>
            </w:r>
          </w:p>
        </w:tc>
        <w:tc>
          <w:tcPr>
            <w:tcW w:w="190" w:type="pct"/>
            <w:tcBorders>
              <w:top w:val="nil"/>
              <w:left w:val="nil"/>
              <w:bottom w:val="single" w:sz="4" w:space="0" w:color="auto"/>
              <w:right w:val="nil"/>
            </w:tcBorders>
            <w:shd w:val="clear" w:color="auto" w:fill="auto"/>
            <w:noWrap/>
            <w:vAlign w:val="center"/>
            <w:hideMark/>
          </w:tcPr>
          <w:p w14:paraId="53F670AD"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5º</w:t>
            </w:r>
          </w:p>
        </w:tc>
        <w:tc>
          <w:tcPr>
            <w:tcW w:w="754" w:type="pct"/>
            <w:tcBorders>
              <w:top w:val="nil"/>
              <w:left w:val="nil"/>
              <w:bottom w:val="single" w:sz="4" w:space="0" w:color="auto"/>
              <w:right w:val="nil"/>
            </w:tcBorders>
            <w:shd w:val="clear" w:color="auto" w:fill="auto"/>
            <w:noWrap/>
            <w:vAlign w:val="center"/>
            <w:hideMark/>
          </w:tcPr>
          <w:p w14:paraId="304D888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2,7</w:t>
            </w:r>
          </w:p>
        </w:tc>
        <w:tc>
          <w:tcPr>
            <w:tcW w:w="190" w:type="pct"/>
            <w:tcBorders>
              <w:top w:val="nil"/>
              <w:left w:val="nil"/>
              <w:bottom w:val="single" w:sz="4" w:space="0" w:color="auto"/>
              <w:right w:val="nil"/>
            </w:tcBorders>
            <w:shd w:val="clear" w:color="auto" w:fill="auto"/>
            <w:noWrap/>
            <w:vAlign w:val="center"/>
            <w:hideMark/>
          </w:tcPr>
          <w:p w14:paraId="297B30D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10º</w:t>
            </w:r>
          </w:p>
        </w:tc>
        <w:tc>
          <w:tcPr>
            <w:tcW w:w="887" w:type="pct"/>
            <w:tcBorders>
              <w:top w:val="nil"/>
              <w:left w:val="nil"/>
              <w:bottom w:val="single" w:sz="4" w:space="0" w:color="auto"/>
              <w:right w:val="nil"/>
            </w:tcBorders>
            <w:shd w:val="clear" w:color="auto" w:fill="auto"/>
            <w:noWrap/>
            <w:vAlign w:val="center"/>
            <w:hideMark/>
          </w:tcPr>
          <w:p w14:paraId="760D1F0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8,9</w:t>
            </w:r>
          </w:p>
        </w:tc>
        <w:tc>
          <w:tcPr>
            <w:tcW w:w="190" w:type="pct"/>
            <w:tcBorders>
              <w:top w:val="nil"/>
              <w:left w:val="nil"/>
              <w:bottom w:val="single" w:sz="4" w:space="0" w:color="auto"/>
              <w:right w:val="nil"/>
            </w:tcBorders>
            <w:shd w:val="clear" w:color="auto" w:fill="auto"/>
            <w:noWrap/>
            <w:vAlign w:val="center"/>
            <w:hideMark/>
          </w:tcPr>
          <w:p w14:paraId="706C9D4B"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6º</w:t>
            </w:r>
          </w:p>
        </w:tc>
        <w:tc>
          <w:tcPr>
            <w:tcW w:w="737" w:type="pct"/>
            <w:tcBorders>
              <w:top w:val="nil"/>
              <w:left w:val="nil"/>
              <w:bottom w:val="single" w:sz="4" w:space="0" w:color="auto"/>
              <w:right w:val="nil"/>
            </w:tcBorders>
            <w:shd w:val="clear" w:color="auto" w:fill="auto"/>
            <w:noWrap/>
            <w:vAlign w:val="center"/>
            <w:hideMark/>
          </w:tcPr>
          <w:p w14:paraId="11DB3E5C"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4,9</w:t>
            </w:r>
          </w:p>
        </w:tc>
        <w:tc>
          <w:tcPr>
            <w:tcW w:w="190" w:type="pct"/>
            <w:tcBorders>
              <w:top w:val="nil"/>
              <w:left w:val="nil"/>
              <w:bottom w:val="single" w:sz="4" w:space="0" w:color="auto"/>
              <w:right w:val="nil"/>
            </w:tcBorders>
            <w:shd w:val="clear" w:color="auto" w:fill="auto"/>
            <w:noWrap/>
            <w:vAlign w:val="center"/>
            <w:hideMark/>
          </w:tcPr>
          <w:p w14:paraId="22F4097E"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7º</w:t>
            </w:r>
          </w:p>
        </w:tc>
      </w:tr>
      <w:tr w:rsidR="006356F1" w:rsidRPr="00553142" w14:paraId="46F747B9"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7D5D07D6" w14:textId="77777777" w:rsidR="006356F1" w:rsidRPr="00553142" w:rsidRDefault="006356F1" w:rsidP="00217400">
            <w:pPr>
              <w:rPr>
                <w:rFonts w:ascii="Calibri" w:hAnsi="Calibri"/>
                <w:color w:val="000000"/>
                <w:sz w:val="20"/>
              </w:rPr>
            </w:pPr>
            <w:r w:rsidRPr="00553142">
              <w:rPr>
                <w:rFonts w:ascii="Calibri" w:hAnsi="Calibri"/>
                <w:color w:val="000000"/>
                <w:sz w:val="20"/>
              </w:rPr>
              <w:t>Itumbiara</w:t>
            </w:r>
          </w:p>
        </w:tc>
        <w:tc>
          <w:tcPr>
            <w:tcW w:w="1037" w:type="pct"/>
            <w:tcBorders>
              <w:top w:val="nil"/>
              <w:left w:val="nil"/>
              <w:bottom w:val="single" w:sz="4" w:space="0" w:color="auto"/>
              <w:right w:val="nil"/>
            </w:tcBorders>
            <w:shd w:val="clear" w:color="auto" w:fill="auto"/>
            <w:noWrap/>
            <w:vAlign w:val="center"/>
            <w:hideMark/>
          </w:tcPr>
          <w:p w14:paraId="75028BE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6,8</w:t>
            </w:r>
          </w:p>
        </w:tc>
        <w:tc>
          <w:tcPr>
            <w:tcW w:w="190" w:type="pct"/>
            <w:tcBorders>
              <w:top w:val="nil"/>
              <w:left w:val="nil"/>
              <w:bottom w:val="single" w:sz="4" w:space="0" w:color="auto"/>
              <w:right w:val="nil"/>
            </w:tcBorders>
            <w:shd w:val="clear" w:color="auto" w:fill="auto"/>
            <w:noWrap/>
            <w:vAlign w:val="center"/>
            <w:hideMark/>
          </w:tcPr>
          <w:p w14:paraId="7DBF3EF0"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6º</w:t>
            </w:r>
          </w:p>
        </w:tc>
        <w:tc>
          <w:tcPr>
            <w:tcW w:w="754" w:type="pct"/>
            <w:tcBorders>
              <w:top w:val="nil"/>
              <w:left w:val="nil"/>
              <w:bottom w:val="single" w:sz="4" w:space="0" w:color="auto"/>
              <w:right w:val="nil"/>
            </w:tcBorders>
            <w:shd w:val="clear" w:color="auto" w:fill="auto"/>
            <w:noWrap/>
            <w:vAlign w:val="center"/>
            <w:hideMark/>
          </w:tcPr>
          <w:p w14:paraId="2CDE8BC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3,6</w:t>
            </w:r>
          </w:p>
        </w:tc>
        <w:tc>
          <w:tcPr>
            <w:tcW w:w="190" w:type="pct"/>
            <w:tcBorders>
              <w:top w:val="nil"/>
              <w:left w:val="nil"/>
              <w:bottom w:val="single" w:sz="4" w:space="0" w:color="auto"/>
              <w:right w:val="nil"/>
            </w:tcBorders>
            <w:shd w:val="clear" w:color="auto" w:fill="auto"/>
            <w:noWrap/>
            <w:vAlign w:val="center"/>
            <w:hideMark/>
          </w:tcPr>
          <w:p w14:paraId="70A51E3E"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6º</w:t>
            </w:r>
          </w:p>
        </w:tc>
        <w:tc>
          <w:tcPr>
            <w:tcW w:w="887" w:type="pct"/>
            <w:tcBorders>
              <w:top w:val="nil"/>
              <w:left w:val="nil"/>
              <w:bottom w:val="single" w:sz="4" w:space="0" w:color="auto"/>
              <w:right w:val="nil"/>
            </w:tcBorders>
            <w:shd w:val="clear" w:color="auto" w:fill="auto"/>
            <w:noWrap/>
            <w:vAlign w:val="center"/>
            <w:hideMark/>
          </w:tcPr>
          <w:p w14:paraId="09861F4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14,6</w:t>
            </w:r>
          </w:p>
        </w:tc>
        <w:tc>
          <w:tcPr>
            <w:tcW w:w="190" w:type="pct"/>
            <w:tcBorders>
              <w:top w:val="nil"/>
              <w:left w:val="nil"/>
              <w:bottom w:val="single" w:sz="4" w:space="0" w:color="auto"/>
              <w:right w:val="nil"/>
            </w:tcBorders>
            <w:shd w:val="clear" w:color="auto" w:fill="auto"/>
            <w:noWrap/>
            <w:vAlign w:val="center"/>
            <w:hideMark/>
          </w:tcPr>
          <w:p w14:paraId="796A5F8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2º</w:t>
            </w:r>
          </w:p>
        </w:tc>
        <w:tc>
          <w:tcPr>
            <w:tcW w:w="737" w:type="pct"/>
            <w:tcBorders>
              <w:top w:val="nil"/>
              <w:left w:val="nil"/>
              <w:bottom w:val="single" w:sz="4" w:space="0" w:color="auto"/>
              <w:right w:val="nil"/>
            </w:tcBorders>
            <w:shd w:val="clear" w:color="auto" w:fill="auto"/>
            <w:noWrap/>
            <w:vAlign w:val="center"/>
            <w:hideMark/>
          </w:tcPr>
          <w:p w14:paraId="00DF8022"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7,4</w:t>
            </w:r>
          </w:p>
        </w:tc>
        <w:tc>
          <w:tcPr>
            <w:tcW w:w="190" w:type="pct"/>
            <w:tcBorders>
              <w:top w:val="nil"/>
              <w:left w:val="nil"/>
              <w:bottom w:val="single" w:sz="4" w:space="0" w:color="auto"/>
              <w:right w:val="nil"/>
            </w:tcBorders>
            <w:shd w:val="clear" w:color="auto" w:fill="auto"/>
            <w:noWrap/>
            <w:vAlign w:val="center"/>
            <w:hideMark/>
          </w:tcPr>
          <w:p w14:paraId="194353EC"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5º</w:t>
            </w:r>
          </w:p>
        </w:tc>
      </w:tr>
      <w:tr w:rsidR="006356F1" w:rsidRPr="00553142" w14:paraId="1B732135"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17875206" w14:textId="77777777" w:rsidR="006356F1" w:rsidRPr="00553142" w:rsidRDefault="006356F1" w:rsidP="00217400">
            <w:pPr>
              <w:rPr>
                <w:rFonts w:ascii="Calibri" w:hAnsi="Calibri"/>
                <w:color w:val="000000"/>
                <w:sz w:val="20"/>
              </w:rPr>
            </w:pPr>
            <w:r w:rsidRPr="00553142">
              <w:rPr>
                <w:rFonts w:ascii="Calibri" w:hAnsi="Calibri"/>
                <w:color w:val="000000"/>
                <w:sz w:val="20"/>
              </w:rPr>
              <w:t>Ceres - Rialma - Goianésia</w:t>
            </w:r>
          </w:p>
        </w:tc>
        <w:tc>
          <w:tcPr>
            <w:tcW w:w="1037" w:type="pct"/>
            <w:tcBorders>
              <w:top w:val="nil"/>
              <w:left w:val="nil"/>
              <w:bottom w:val="single" w:sz="4" w:space="0" w:color="auto"/>
              <w:right w:val="nil"/>
            </w:tcBorders>
            <w:shd w:val="clear" w:color="auto" w:fill="auto"/>
            <w:noWrap/>
            <w:vAlign w:val="center"/>
            <w:hideMark/>
          </w:tcPr>
          <w:p w14:paraId="3D6268D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4,7</w:t>
            </w:r>
          </w:p>
        </w:tc>
        <w:tc>
          <w:tcPr>
            <w:tcW w:w="190" w:type="pct"/>
            <w:tcBorders>
              <w:top w:val="nil"/>
              <w:left w:val="nil"/>
              <w:bottom w:val="single" w:sz="4" w:space="0" w:color="auto"/>
              <w:right w:val="nil"/>
            </w:tcBorders>
            <w:shd w:val="clear" w:color="auto" w:fill="auto"/>
            <w:noWrap/>
            <w:vAlign w:val="center"/>
            <w:hideMark/>
          </w:tcPr>
          <w:p w14:paraId="035C4CC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7º</w:t>
            </w:r>
          </w:p>
        </w:tc>
        <w:tc>
          <w:tcPr>
            <w:tcW w:w="754" w:type="pct"/>
            <w:tcBorders>
              <w:top w:val="nil"/>
              <w:left w:val="nil"/>
              <w:bottom w:val="single" w:sz="4" w:space="0" w:color="auto"/>
              <w:right w:val="nil"/>
            </w:tcBorders>
            <w:shd w:val="clear" w:color="auto" w:fill="auto"/>
            <w:noWrap/>
            <w:vAlign w:val="center"/>
            <w:hideMark/>
          </w:tcPr>
          <w:p w14:paraId="06FA5E3D"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3,6</w:t>
            </w:r>
          </w:p>
        </w:tc>
        <w:tc>
          <w:tcPr>
            <w:tcW w:w="190" w:type="pct"/>
            <w:tcBorders>
              <w:top w:val="nil"/>
              <w:left w:val="nil"/>
              <w:bottom w:val="single" w:sz="4" w:space="0" w:color="auto"/>
              <w:right w:val="nil"/>
            </w:tcBorders>
            <w:shd w:val="clear" w:color="auto" w:fill="auto"/>
            <w:noWrap/>
            <w:vAlign w:val="center"/>
            <w:hideMark/>
          </w:tcPr>
          <w:p w14:paraId="4DFE0BD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5º</w:t>
            </w:r>
          </w:p>
        </w:tc>
        <w:tc>
          <w:tcPr>
            <w:tcW w:w="887" w:type="pct"/>
            <w:tcBorders>
              <w:top w:val="nil"/>
              <w:left w:val="nil"/>
              <w:bottom w:val="single" w:sz="4" w:space="0" w:color="auto"/>
              <w:right w:val="nil"/>
            </w:tcBorders>
            <w:shd w:val="clear" w:color="auto" w:fill="auto"/>
            <w:noWrap/>
            <w:vAlign w:val="center"/>
            <w:hideMark/>
          </w:tcPr>
          <w:p w14:paraId="261A4F51"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7,2</w:t>
            </w:r>
          </w:p>
        </w:tc>
        <w:tc>
          <w:tcPr>
            <w:tcW w:w="190" w:type="pct"/>
            <w:tcBorders>
              <w:top w:val="nil"/>
              <w:left w:val="nil"/>
              <w:bottom w:val="single" w:sz="4" w:space="0" w:color="auto"/>
              <w:right w:val="nil"/>
            </w:tcBorders>
            <w:shd w:val="clear" w:color="auto" w:fill="auto"/>
            <w:noWrap/>
            <w:vAlign w:val="center"/>
            <w:hideMark/>
          </w:tcPr>
          <w:p w14:paraId="5A61A01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8º</w:t>
            </w:r>
          </w:p>
        </w:tc>
        <w:tc>
          <w:tcPr>
            <w:tcW w:w="737" w:type="pct"/>
            <w:tcBorders>
              <w:top w:val="nil"/>
              <w:left w:val="nil"/>
              <w:bottom w:val="single" w:sz="4" w:space="0" w:color="auto"/>
              <w:right w:val="nil"/>
            </w:tcBorders>
            <w:shd w:val="clear" w:color="auto" w:fill="auto"/>
            <w:noWrap/>
            <w:vAlign w:val="center"/>
            <w:hideMark/>
          </w:tcPr>
          <w:p w14:paraId="6E470E4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8,5</w:t>
            </w:r>
          </w:p>
        </w:tc>
        <w:tc>
          <w:tcPr>
            <w:tcW w:w="190" w:type="pct"/>
            <w:tcBorders>
              <w:top w:val="nil"/>
              <w:left w:val="nil"/>
              <w:bottom w:val="single" w:sz="4" w:space="0" w:color="auto"/>
              <w:right w:val="nil"/>
            </w:tcBorders>
            <w:shd w:val="clear" w:color="auto" w:fill="auto"/>
            <w:noWrap/>
            <w:vAlign w:val="center"/>
            <w:hideMark/>
          </w:tcPr>
          <w:p w14:paraId="36FCCDE2"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4º</w:t>
            </w:r>
          </w:p>
        </w:tc>
      </w:tr>
      <w:tr w:rsidR="006356F1" w:rsidRPr="00553142" w14:paraId="15E2D77E"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2ACDBA62" w14:textId="77777777" w:rsidR="006356F1" w:rsidRPr="00553142" w:rsidRDefault="006356F1" w:rsidP="00217400">
            <w:pPr>
              <w:rPr>
                <w:rFonts w:ascii="Calibri" w:hAnsi="Calibri"/>
                <w:color w:val="000000"/>
                <w:sz w:val="20"/>
              </w:rPr>
            </w:pPr>
            <w:r w:rsidRPr="00553142">
              <w:rPr>
                <w:rFonts w:ascii="Calibri" w:hAnsi="Calibri"/>
                <w:color w:val="000000"/>
                <w:sz w:val="20"/>
              </w:rPr>
              <w:t>Quirinópolis</w:t>
            </w:r>
          </w:p>
        </w:tc>
        <w:tc>
          <w:tcPr>
            <w:tcW w:w="1037" w:type="pct"/>
            <w:tcBorders>
              <w:top w:val="nil"/>
              <w:left w:val="nil"/>
              <w:bottom w:val="single" w:sz="4" w:space="0" w:color="auto"/>
              <w:right w:val="nil"/>
            </w:tcBorders>
            <w:shd w:val="clear" w:color="auto" w:fill="auto"/>
            <w:noWrap/>
            <w:vAlign w:val="center"/>
            <w:hideMark/>
          </w:tcPr>
          <w:p w14:paraId="31740A0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4,6</w:t>
            </w:r>
          </w:p>
        </w:tc>
        <w:tc>
          <w:tcPr>
            <w:tcW w:w="190" w:type="pct"/>
            <w:tcBorders>
              <w:top w:val="nil"/>
              <w:left w:val="nil"/>
              <w:bottom w:val="single" w:sz="4" w:space="0" w:color="auto"/>
              <w:right w:val="nil"/>
            </w:tcBorders>
            <w:shd w:val="clear" w:color="auto" w:fill="auto"/>
            <w:noWrap/>
            <w:vAlign w:val="center"/>
            <w:hideMark/>
          </w:tcPr>
          <w:p w14:paraId="4BB2ADBA"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8º</w:t>
            </w:r>
          </w:p>
        </w:tc>
        <w:tc>
          <w:tcPr>
            <w:tcW w:w="754" w:type="pct"/>
            <w:tcBorders>
              <w:top w:val="nil"/>
              <w:left w:val="nil"/>
              <w:bottom w:val="single" w:sz="4" w:space="0" w:color="auto"/>
              <w:right w:val="nil"/>
            </w:tcBorders>
            <w:shd w:val="clear" w:color="auto" w:fill="auto"/>
            <w:noWrap/>
            <w:vAlign w:val="center"/>
            <w:hideMark/>
          </w:tcPr>
          <w:p w14:paraId="20BF8EF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0,6</w:t>
            </w:r>
          </w:p>
        </w:tc>
        <w:tc>
          <w:tcPr>
            <w:tcW w:w="190" w:type="pct"/>
            <w:tcBorders>
              <w:top w:val="nil"/>
              <w:left w:val="nil"/>
              <w:bottom w:val="single" w:sz="4" w:space="0" w:color="auto"/>
              <w:right w:val="nil"/>
            </w:tcBorders>
            <w:shd w:val="clear" w:color="auto" w:fill="auto"/>
            <w:noWrap/>
            <w:vAlign w:val="center"/>
            <w:hideMark/>
          </w:tcPr>
          <w:p w14:paraId="6FDC5DC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14º</w:t>
            </w:r>
          </w:p>
        </w:tc>
        <w:tc>
          <w:tcPr>
            <w:tcW w:w="887" w:type="pct"/>
            <w:tcBorders>
              <w:top w:val="nil"/>
              <w:left w:val="nil"/>
              <w:bottom w:val="single" w:sz="4" w:space="0" w:color="auto"/>
              <w:right w:val="nil"/>
            </w:tcBorders>
            <w:shd w:val="clear" w:color="auto" w:fill="auto"/>
            <w:noWrap/>
            <w:vAlign w:val="center"/>
            <w:hideMark/>
          </w:tcPr>
          <w:p w14:paraId="7405FF5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10,5</w:t>
            </w:r>
          </w:p>
        </w:tc>
        <w:tc>
          <w:tcPr>
            <w:tcW w:w="190" w:type="pct"/>
            <w:tcBorders>
              <w:top w:val="nil"/>
              <w:left w:val="nil"/>
              <w:bottom w:val="single" w:sz="4" w:space="0" w:color="auto"/>
              <w:right w:val="nil"/>
            </w:tcBorders>
            <w:shd w:val="clear" w:color="auto" w:fill="auto"/>
            <w:noWrap/>
            <w:vAlign w:val="center"/>
            <w:hideMark/>
          </w:tcPr>
          <w:p w14:paraId="2521B66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4º</w:t>
            </w:r>
          </w:p>
        </w:tc>
        <w:tc>
          <w:tcPr>
            <w:tcW w:w="737" w:type="pct"/>
            <w:tcBorders>
              <w:top w:val="nil"/>
              <w:left w:val="nil"/>
              <w:bottom w:val="single" w:sz="4" w:space="0" w:color="auto"/>
              <w:right w:val="nil"/>
            </w:tcBorders>
            <w:shd w:val="clear" w:color="auto" w:fill="auto"/>
            <w:noWrap/>
            <w:vAlign w:val="center"/>
            <w:hideMark/>
          </w:tcPr>
          <w:p w14:paraId="195F426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2,0</w:t>
            </w:r>
          </w:p>
        </w:tc>
        <w:tc>
          <w:tcPr>
            <w:tcW w:w="190" w:type="pct"/>
            <w:tcBorders>
              <w:top w:val="nil"/>
              <w:left w:val="nil"/>
              <w:bottom w:val="single" w:sz="4" w:space="0" w:color="auto"/>
              <w:right w:val="nil"/>
            </w:tcBorders>
            <w:shd w:val="clear" w:color="auto" w:fill="auto"/>
            <w:noWrap/>
            <w:vAlign w:val="center"/>
            <w:hideMark/>
          </w:tcPr>
          <w:p w14:paraId="7682E04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13º</w:t>
            </w:r>
          </w:p>
        </w:tc>
      </w:tr>
      <w:tr w:rsidR="006356F1" w:rsidRPr="00553142" w14:paraId="2AAA4241"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3A71AC34" w14:textId="77777777" w:rsidR="006356F1" w:rsidRPr="00553142" w:rsidRDefault="006356F1" w:rsidP="00217400">
            <w:pPr>
              <w:rPr>
                <w:rFonts w:ascii="Calibri" w:hAnsi="Calibri"/>
                <w:color w:val="000000"/>
                <w:sz w:val="20"/>
              </w:rPr>
            </w:pPr>
            <w:r w:rsidRPr="00553142">
              <w:rPr>
                <w:rFonts w:ascii="Calibri" w:hAnsi="Calibri"/>
                <w:color w:val="000000"/>
                <w:sz w:val="20"/>
              </w:rPr>
              <w:t>Caldas Novas-Morrinhos</w:t>
            </w:r>
          </w:p>
        </w:tc>
        <w:tc>
          <w:tcPr>
            <w:tcW w:w="1037" w:type="pct"/>
            <w:tcBorders>
              <w:top w:val="nil"/>
              <w:left w:val="nil"/>
              <w:bottom w:val="single" w:sz="4" w:space="0" w:color="auto"/>
              <w:right w:val="nil"/>
            </w:tcBorders>
            <w:shd w:val="clear" w:color="auto" w:fill="auto"/>
            <w:noWrap/>
            <w:vAlign w:val="center"/>
            <w:hideMark/>
          </w:tcPr>
          <w:p w14:paraId="35E81FE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3,0</w:t>
            </w:r>
          </w:p>
        </w:tc>
        <w:tc>
          <w:tcPr>
            <w:tcW w:w="190" w:type="pct"/>
            <w:tcBorders>
              <w:top w:val="nil"/>
              <w:left w:val="nil"/>
              <w:bottom w:val="single" w:sz="4" w:space="0" w:color="auto"/>
              <w:right w:val="nil"/>
            </w:tcBorders>
            <w:shd w:val="clear" w:color="auto" w:fill="auto"/>
            <w:noWrap/>
            <w:vAlign w:val="center"/>
            <w:hideMark/>
          </w:tcPr>
          <w:p w14:paraId="251CD90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9º</w:t>
            </w:r>
          </w:p>
        </w:tc>
        <w:tc>
          <w:tcPr>
            <w:tcW w:w="754" w:type="pct"/>
            <w:tcBorders>
              <w:top w:val="nil"/>
              <w:left w:val="nil"/>
              <w:bottom w:val="single" w:sz="4" w:space="0" w:color="auto"/>
              <w:right w:val="nil"/>
            </w:tcBorders>
            <w:shd w:val="clear" w:color="auto" w:fill="auto"/>
            <w:noWrap/>
            <w:vAlign w:val="center"/>
            <w:hideMark/>
          </w:tcPr>
          <w:p w14:paraId="5EBEC1E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3,2</w:t>
            </w:r>
          </w:p>
        </w:tc>
        <w:tc>
          <w:tcPr>
            <w:tcW w:w="190" w:type="pct"/>
            <w:tcBorders>
              <w:top w:val="nil"/>
              <w:left w:val="nil"/>
              <w:bottom w:val="single" w:sz="4" w:space="0" w:color="auto"/>
              <w:right w:val="nil"/>
            </w:tcBorders>
            <w:shd w:val="clear" w:color="auto" w:fill="auto"/>
            <w:noWrap/>
            <w:vAlign w:val="center"/>
            <w:hideMark/>
          </w:tcPr>
          <w:p w14:paraId="5721850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8º</w:t>
            </w:r>
          </w:p>
        </w:tc>
        <w:tc>
          <w:tcPr>
            <w:tcW w:w="887" w:type="pct"/>
            <w:tcBorders>
              <w:top w:val="nil"/>
              <w:left w:val="nil"/>
              <w:bottom w:val="single" w:sz="4" w:space="0" w:color="auto"/>
              <w:right w:val="nil"/>
            </w:tcBorders>
            <w:shd w:val="clear" w:color="auto" w:fill="auto"/>
            <w:noWrap/>
            <w:vAlign w:val="center"/>
            <w:hideMark/>
          </w:tcPr>
          <w:p w14:paraId="3BF9034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0,0</w:t>
            </w:r>
          </w:p>
        </w:tc>
        <w:tc>
          <w:tcPr>
            <w:tcW w:w="190" w:type="pct"/>
            <w:tcBorders>
              <w:top w:val="nil"/>
              <w:left w:val="nil"/>
              <w:bottom w:val="single" w:sz="4" w:space="0" w:color="auto"/>
              <w:right w:val="nil"/>
            </w:tcBorders>
            <w:shd w:val="clear" w:color="auto" w:fill="auto"/>
            <w:noWrap/>
            <w:vAlign w:val="center"/>
            <w:hideMark/>
          </w:tcPr>
          <w:p w14:paraId="5B00B62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17º</w:t>
            </w:r>
          </w:p>
        </w:tc>
        <w:tc>
          <w:tcPr>
            <w:tcW w:w="737" w:type="pct"/>
            <w:tcBorders>
              <w:top w:val="nil"/>
              <w:left w:val="nil"/>
              <w:bottom w:val="single" w:sz="4" w:space="0" w:color="auto"/>
              <w:right w:val="nil"/>
            </w:tcBorders>
            <w:shd w:val="clear" w:color="auto" w:fill="auto"/>
            <w:noWrap/>
            <w:vAlign w:val="center"/>
            <w:hideMark/>
          </w:tcPr>
          <w:p w14:paraId="4558E8C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3,2</w:t>
            </w:r>
          </w:p>
        </w:tc>
        <w:tc>
          <w:tcPr>
            <w:tcW w:w="190" w:type="pct"/>
            <w:tcBorders>
              <w:top w:val="nil"/>
              <w:left w:val="nil"/>
              <w:bottom w:val="single" w:sz="4" w:space="0" w:color="auto"/>
              <w:right w:val="nil"/>
            </w:tcBorders>
            <w:shd w:val="clear" w:color="auto" w:fill="auto"/>
            <w:noWrap/>
            <w:vAlign w:val="center"/>
            <w:hideMark/>
          </w:tcPr>
          <w:p w14:paraId="7EE8239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10º</w:t>
            </w:r>
          </w:p>
        </w:tc>
      </w:tr>
      <w:tr w:rsidR="006356F1" w:rsidRPr="00553142" w14:paraId="00A17935"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60BC8EC1" w14:textId="77777777" w:rsidR="006356F1" w:rsidRPr="00553142" w:rsidRDefault="006356F1" w:rsidP="00217400">
            <w:pPr>
              <w:rPr>
                <w:rFonts w:ascii="Calibri" w:hAnsi="Calibri"/>
                <w:color w:val="000000"/>
                <w:sz w:val="20"/>
              </w:rPr>
            </w:pPr>
            <w:r w:rsidRPr="00553142">
              <w:rPr>
                <w:rFonts w:ascii="Calibri" w:hAnsi="Calibri"/>
                <w:color w:val="000000"/>
                <w:sz w:val="20"/>
              </w:rPr>
              <w:t>Luziânia</w:t>
            </w:r>
          </w:p>
        </w:tc>
        <w:tc>
          <w:tcPr>
            <w:tcW w:w="1037" w:type="pct"/>
            <w:tcBorders>
              <w:top w:val="nil"/>
              <w:left w:val="nil"/>
              <w:bottom w:val="single" w:sz="4" w:space="0" w:color="auto"/>
              <w:right w:val="nil"/>
            </w:tcBorders>
            <w:shd w:val="clear" w:color="auto" w:fill="auto"/>
            <w:noWrap/>
            <w:vAlign w:val="center"/>
            <w:hideMark/>
          </w:tcPr>
          <w:p w14:paraId="3CBD657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2,8</w:t>
            </w:r>
          </w:p>
        </w:tc>
        <w:tc>
          <w:tcPr>
            <w:tcW w:w="190" w:type="pct"/>
            <w:tcBorders>
              <w:top w:val="nil"/>
              <w:left w:val="nil"/>
              <w:bottom w:val="single" w:sz="4" w:space="0" w:color="auto"/>
              <w:right w:val="nil"/>
            </w:tcBorders>
            <w:shd w:val="clear" w:color="auto" w:fill="auto"/>
            <w:noWrap/>
            <w:vAlign w:val="center"/>
            <w:hideMark/>
          </w:tcPr>
          <w:p w14:paraId="48EA80E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10º</w:t>
            </w:r>
          </w:p>
        </w:tc>
        <w:tc>
          <w:tcPr>
            <w:tcW w:w="754" w:type="pct"/>
            <w:tcBorders>
              <w:top w:val="nil"/>
              <w:left w:val="nil"/>
              <w:bottom w:val="single" w:sz="4" w:space="0" w:color="auto"/>
              <w:right w:val="nil"/>
            </w:tcBorders>
            <w:shd w:val="clear" w:color="auto" w:fill="auto"/>
            <w:noWrap/>
            <w:vAlign w:val="center"/>
            <w:hideMark/>
          </w:tcPr>
          <w:p w14:paraId="675F6B90"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3,0</w:t>
            </w:r>
          </w:p>
        </w:tc>
        <w:tc>
          <w:tcPr>
            <w:tcW w:w="190" w:type="pct"/>
            <w:tcBorders>
              <w:top w:val="nil"/>
              <w:left w:val="nil"/>
              <w:bottom w:val="single" w:sz="4" w:space="0" w:color="auto"/>
              <w:right w:val="nil"/>
            </w:tcBorders>
            <w:shd w:val="clear" w:color="auto" w:fill="auto"/>
            <w:noWrap/>
            <w:vAlign w:val="center"/>
            <w:hideMark/>
          </w:tcPr>
          <w:p w14:paraId="52AE711E"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9º</w:t>
            </w:r>
          </w:p>
        </w:tc>
        <w:tc>
          <w:tcPr>
            <w:tcW w:w="887" w:type="pct"/>
            <w:tcBorders>
              <w:top w:val="nil"/>
              <w:left w:val="nil"/>
              <w:bottom w:val="single" w:sz="4" w:space="0" w:color="auto"/>
              <w:right w:val="nil"/>
            </w:tcBorders>
            <w:shd w:val="clear" w:color="auto" w:fill="auto"/>
            <w:noWrap/>
            <w:vAlign w:val="center"/>
            <w:hideMark/>
          </w:tcPr>
          <w:p w14:paraId="093664C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0,2</w:t>
            </w:r>
          </w:p>
        </w:tc>
        <w:tc>
          <w:tcPr>
            <w:tcW w:w="190" w:type="pct"/>
            <w:tcBorders>
              <w:top w:val="nil"/>
              <w:left w:val="nil"/>
              <w:bottom w:val="single" w:sz="4" w:space="0" w:color="auto"/>
              <w:right w:val="nil"/>
            </w:tcBorders>
            <w:shd w:val="clear" w:color="auto" w:fill="auto"/>
            <w:noWrap/>
            <w:vAlign w:val="center"/>
            <w:hideMark/>
          </w:tcPr>
          <w:p w14:paraId="06C4770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12º</w:t>
            </w:r>
          </w:p>
        </w:tc>
        <w:tc>
          <w:tcPr>
            <w:tcW w:w="737" w:type="pct"/>
            <w:tcBorders>
              <w:top w:val="nil"/>
              <w:left w:val="nil"/>
              <w:bottom w:val="single" w:sz="4" w:space="0" w:color="auto"/>
              <w:right w:val="nil"/>
            </w:tcBorders>
            <w:shd w:val="clear" w:color="auto" w:fill="auto"/>
            <w:noWrap/>
            <w:vAlign w:val="center"/>
            <w:hideMark/>
          </w:tcPr>
          <w:p w14:paraId="3A1696B1"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3,6</w:t>
            </w:r>
          </w:p>
        </w:tc>
        <w:tc>
          <w:tcPr>
            <w:tcW w:w="190" w:type="pct"/>
            <w:tcBorders>
              <w:top w:val="nil"/>
              <w:left w:val="nil"/>
              <w:bottom w:val="single" w:sz="4" w:space="0" w:color="auto"/>
              <w:right w:val="nil"/>
            </w:tcBorders>
            <w:shd w:val="clear" w:color="auto" w:fill="auto"/>
            <w:noWrap/>
            <w:vAlign w:val="center"/>
            <w:hideMark/>
          </w:tcPr>
          <w:p w14:paraId="0F9FCDA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8º</w:t>
            </w:r>
          </w:p>
        </w:tc>
      </w:tr>
      <w:tr w:rsidR="006356F1" w:rsidRPr="00553142" w14:paraId="7C2DD1FC"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4DB38B31" w14:textId="77777777" w:rsidR="006356F1" w:rsidRPr="00553142" w:rsidRDefault="006356F1" w:rsidP="00217400">
            <w:pPr>
              <w:rPr>
                <w:rFonts w:ascii="Calibri" w:hAnsi="Calibri"/>
                <w:color w:val="000000"/>
                <w:sz w:val="20"/>
              </w:rPr>
            </w:pPr>
            <w:r w:rsidRPr="00553142">
              <w:rPr>
                <w:rFonts w:ascii="Calibri" w:hAnsi="Calibri"/>
                <w:color w:val="000000"/>
                <w:sz w:val="20"/>
              </w:rPr>
              <w:t>Palmeiras de Goiás</w:t>
            </w:r>
          </w:p>
        </w:tc>
        <w:tc>
          <w:tcPr>
            <w:tcW w:w="1037" w:type="pct"/>
            <w:tcBorders>
              <w:top w:val="nil"/>
              <w:left w:val="nil"/>
              <w:bottom w:val="single" w:sz="4" w:space="0" w:color="auto"/>
              <w:right w:val="nil"/>
            </w:tcBorders>
            <w:shd w:val="clear" w:color="auto" w:fill="auto"/>
            <w:noWrap/>
            <w:vAlign w:val="center"/>
            <w:hideMark/>
          </w:tcPr>
          <w:p w14:paraId="7BEFC5B1"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2,6</w:t>
            </w:r>
          </w:p>
        </w:tc>
        <w:tc>
          <w:tcPr>
            <w:tcW w:w="190" w:type="pct"/>
            <w:tcBorders>
              <w:top w:val="nil"/>
              <w:left w:val="nil"/>
              <w:bottom w:val="single" w:sz="4" w:space="0" w:color="auto"/>
              <w:right w:val="nil"/>
            </w:tcBorders>
            <w:shd w:val="clear" w:color="auto" w:fill="auto"/>
            <w:noWrap/>
            <w:vAlign w:val="center"/>
            <w:hideMark/>
          </w:tcPr>
          <w:p w14:paraId="38801C60"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11º</w:t>
            </w:r>
          </w:p>
        </w:tc>
        <w:tc>
          <w:tcPr>
            <w:tcW w:w="754" w:type="pct"/>
            <w:tcBorders>
              <w:top w:val="nil"/>
              <w:left w:val="nil"/>
              <w:bottom w:val="single" w:sz="4" w:space="0" w:color="auto"/>
              <w:right w:val="nil"/>
            </w:tcBorders>
            <w:shd w:val="clear" w:color="auto" w:fill="auto"/>
            <w:noWrap/>
            <w:vAlign w:val="center"/>
            <w:hideMark/>
          </w:tcPr>
          <w:p w14:paraId="25CD5922"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1,4</w:t>
            </w:r>
          </w:p>
        </w:tc>
        <w:tc>
          <w:tcPr>
            <w:tcW w:w="190" w:type="pct"/>
            <w:tcBorders>
              <w:top w:val="nil"/>
              <w:left w:val="nil"/>
              <w:bottom w:val="single" w:sz="4" w:space="0" w:color="auto"/>
              <w:right w:val="nil"/>
            </w:tcBorders>
            <w:shd w:val="clear" w:color="auto" w:fill="auto"/>
            <w:noWrap/>
            <w:vAlign w:val="center"/>
            <w:hideMark/>
          </w:tcPr>
          <w:p w14:paraId="51E1210D"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13º</w:t>
            </w:r>
          </w:p>
        </w:tc>
        <w:tc>
          <w:tcPr>
            <w:tcW w:w="887" w:type="pct"/>
            <w:tcBorders>
              <w:top w:val="nil"/>
              <w:left w:val="nil"/>
              <w:bottom w:val="single" w:sz="4" w:space="0" w:color="auto"/>
              <w:right w:val="nil"/>
            </w:tcBorders>
            <w:shd w:val="clear" w:color="auto" w:fill="auto"/>
            <w:noWrap/>
            <w:vAlign w:val="center"/>
            <w:hideMark/>
          </w:tcPr>
          <w:p w14:paraId="44BDD64D"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8,0</w:t>
            </w:r>
          </w:p>
        </w:tc>
        <w:tc>
          <w:tcPr>
            <w:tcW w:w="190" w:type="pct"/>
            <w:tcBorders>
              <w:top w:val="nil"/>
              <w:left w:val="nil"/>
              <w:bottom w:val="single" w:sz="4" w:space="0" w:color="auto"/>
              <w:right w:val="nil"/>
            </w:tcBorders>
            <w:shd w:val="clear" w:color="auto" w:fill="auto"/>
            <w:noWrap/>
            <w:vAlign w:val="center"/>
            <w:hideMark/>
          </w:tcPr>
          <w:p w14:paraId="41D31500"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7º</w:t>
            </w:r>
          </w:p>
        </w:tc>
        <w:tc>
          <w:tcPr>
            <w:tcW w:w="737" w:type="pct"/>
            <w:tcBorders>
              <w:top w:val="nil"/>
              <w:left w:val="nil"/>
              <w:bottom w:val="single" w:sz="4" w:space="0" w:color="auto"/>
              <w:right w:val="nil"/>
            </w:tcBorders>
            <w:shd w:val="clear" w:color="auto" w:fill="auto"/>
            <w:noWrap/>
            <w:vAlign w:val="center"/>
            <w:hideMark/>
          </w:tcPr>
          <w:p w14:paraId="59D9705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2,7</w:t>
            </w:r>
          </w:p>
        </w:tc>
        <w:tc>
          <w:tcPr>
            <w:tcW w:w="190" w:type="pct"/>
            <w:tcBorders>
              <w:top w:val="nil"/>
              <w:left w:val="nil"/>
              <w:bottom w:val="single" w:sz="4" w:space="0" w:color="auto"/>
              <w:right w:val="nil"/>
            </w:tcBorders>
            <w:shd w:val="clear" w:color="auto" w:fill="auto"/>
            <w:noWrap/>
            <w:vAlign w:val="center"/>
            <w:hideMark/>
          </w:tcPr>
          <w:p w14:paraId="05B7EDE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12º</w:t>
            </w:r>
          </w:p>
        </w:tc>
      </w:tr>
      <w:tr w:rsidR="006356F1" w:rsidRPr="00553142" w14:paraId="43A99EC5"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04DDBD6A" w14:textId="77777777" w:rsidR="006356F1" w:rsidRPr="00553142" w:rsidRDefault="006356F1" w:rsidP="00217400">
            <w:pPr>
              <w:rPr>
                <w:rFonts w:ascii="Calibri" w:hAnsi="Calibri"/>
                <w:color w:val="000000"/>
                <w:sz w:val="20"/>
              </w:rPr>
            </w:pPr>
            <w:r w:rsidRPr="00553142">
              <w:rPr>
                <w:rFonts w:ascii="Calibri" w:hAnsi="Calibri"/>
                <w:color w:val="000000"/>
                <w:sz w:val="20"/>
              </w:rPr>
              <w:t>Inhumas - Itaberaí - Anicuns</w:t>
            </w:r>
          </w:p>
        </w:tc>
        <w:tc>
          <w:tcPr>
            <w:tcW w:w="1037" w:type="pct"/>
            <w:tcBorders>
              <w:top w:val="nil"/>
              <w:left w:val="nil"/>
              <w:bottom w:val="single" w:sz="4" w:space="0" w:color="auto"/>
              <w:right w:val="nil"/>
            </w:tcBorders>
            <w:shd w:val="clear" w:color="auto" w:fill="auto"/>
            <w:noWrap/>
            <w:vAlign w:val="center"/>
            <w:hideMark/>
          </w:tcPr>
          <w:p w14:paraId="49B85191"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1,5</w:t>
            </w:r>
          </w:p>
        </w:tc>
        <w:tc>
          <w:tcPr>
            <w:tcW w:w="190" w:type="pct"/>
            <w:tcBorders>
              <w:top w:val="nil"/>
              <w:left w:val="nil"/>
              <w:bottom w:val="single" w:sz="4" w:space="0" w:color="auto"/>
              <w:right w:val="nil"/>
            </w:tcBorders>
            <w:shd w:val="clear" w:color="auto" w:fill="auto"/>
            <w:noWrap/>
            <w:vAlign w:val="center"/>
            <w:hideMark/>
          </w:tcPr>
          <w:p w14:paraId="3F1DFB2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12º</w:t>
            </w:r>
          </w:p>
        </w:tc>
        <w:tc>
          <w:tcPr>
            <w:tcW w:w="754" w:type="pct"/>
            <w:tcBorders>
              <w:top w:val="nil"/>
              <w:left w:val="nil"/>
              <w:bottom w:val="single" w:sz="4" w:space="0" w:color="auto"/>
              <w:right w:val="nil"/>
            </w:tcBorders>
            <w:shd w:val="clear" w:color="auto" w:fill="auto"/>
            <w:noWrap/>
            <w:vAlign w:val="center"/>
            <w:hideMark/>
          </w:tcPr>
          <w:p w14:paraId="7C38A19D"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3,3</w:t>
            </w:r>
          </w:p>
        </w:tc>
        <w:tc>
          <w:tcPr>
            <w:tcW w:w="190" w:type="pct"/>
            <w:tcBorders>
              <w:top w:val="nil"/>
              <w:left w:val="nil"/>
              <w:bottom w:val="single" w:sz="4" w:space="0" w:color="auto"/>
              <w:right w:val="nil"/>
            </w:tcBorders>
            <w:shd w:val="clear" w:color="auto" w:fill="auto"/>
            <w:noWrap/>
            <w:vAlign w:val="center"/>
            <w:hideMark/>
          </w:tcPr>
          <w:p w14:paraId="239D08C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7º</w:t>
            </w:r>
          </w:p>
        </w:tc>
        <w:tc>
          <w:tcPr>
            <w:tcW w:w="887" w:type="pct"/>
            <w:tcBorders>
              <w:top w:val="nil"/>
              <w:left w:val="nil"/>
              <w:bottom w:val="single" w:sz="4" w:space="0" w:color="auto"/>
              <w:right w:val="nil"/>
            </w:tcBorders>
            <w:shd w:val="clear" w:color="auto" w:fill="auto"/>
            <w:noWrap/>
            <w:vAlign w:val="center"/>
            <w:hideMark/>
          </w:tcPr>
          <w:p w14:paraId="5A67C1F1"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1,7</w:t>
            </w:r>
          </w:p>
        </w:tc>
        <w:tc>
          <w:tcPr>
            <w:tcW w:w="190" w:type="pct"/>
            <w:tcBorders>
              <w:top w:val="nil"/>
              <w:left w:val="nil"/>
              <w:bottom w:val="single" w:sz="4" w:space="0" w:color="auto"/>
              <w:right w:val="nil"/>
            </w:tcBorders>
            <w:shd w:val="clear" w:color="auto" w:fill="auto"/>
            <w:noWrap/>
            <w:vAlign w:val="center"/>
            <w:hideMark/>
          </w:tcPr>
          <w:p w14:paraId="5988251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9º</w:t>
            </w:r>
          </w:p>
        </w:tc>
        <w:tc>
          <w:tcPr>
            <w:tcW w:w="737" w:type="pct"/>
            <w:tcBorders>
              <w:top w:val="nil"/>
              <w:left w:val="nil"/>
              <w:bottom w:val="single" w:sz="4" w:space="0" w:color="auto"/>
              <w:right w:val="nil"/>
            </w:tcBorders>
            <w:shd w:val="clear" w:color="auto" w:fill="auto"/>
            <w:noWrap/>
            <w:vAlign w:val="center"/>
            <w:hideMark/>
          </w:tcPr>
          <w:p w14:paraId="5704152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6,8</w:t>
            </w:r>
          </w:p>
        </w:tc>
        <w:tc>
          <w:tcPr>
            <w:tcW w:w="190" w:type="pct"/>
            <w:tcBorders>
              <w:top w:val="nil"/>
              <w:left w:val="nil"/>
              <w:bottom w:val="single" w:sz="4" w:space="0" w:color="auto"/>
              <w:right w:val="nil"/>
            </w:tcBorders>
            <w:shd w:val="clear" w:color="auto" w:fill="auto"/>
            <w:noWrap/>
            <w:vAlign w:val="center"/>
            <w:hideMark/>
          </w:tcPr>
          <w:p w14:paraId="52ACA102"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6º</w:t>
            </w:r>
          </w:p>
        </w:tc>
      </w:tr>
      <w:tr w:rsidR="006356F1" w:rsidRPr="00553142" w14:paraId="376CD557"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5D3CCB9F" w14:textId="77777777" w:rsidR="006356F1" w:rsidRPr="00553142" w:rsidRDefault="006356F1" w:rsidP="00217400">
            <w:pPr>
              <w:rPr>
                <w:rFonts w:ascii="Calibri" w:hAnsi="Calibri"/>
                <w:color w:val="000000"/>
                <w:sz w:val="20"/>
              </w:rPr>
            </w:pPr>
            <w:r w:rsidRPr="00553142">
              <w:rPr>
                <w:rFonts w:ascii="Calibri" w:hAnsi="Calibri"/>
                <w:color w:val="000000"/>
                <w:sz w:val="20"/>
              </w:rPr>
              <w:t>Águas Lindas de Goiás</w:t>
            </w:r>
          </w:p>
        </w:tc>
        <w:tc>
          <w:tcPr>
            <w:tcW w:w="1037" w:type="pct"/>
            <w:tcBorders>
              <w:top w:val="nil"/>
              <w:left w:val="nil"/>
              <w:bottom w:val="single" w:sz="4" w:space="0" w:color="auto"/>
              <w:right w:val="nil"/>
            </w:tcBorders>
            <w:shd w:val="clear" w:color="auto" w:fill="auto"/>
            <w:noWrap/>
            <w:vAlign w:val="center"/>
            <w:hideMark/>
          </w:tcPr>
          <w:p w14:paraId="005C8DB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0,8</w:t>
            </w:r>
          </w:p>
        </w:tc>
        <w:tc>
          <w:tcPr>
            <w:tcW w:w="190" w:type="pct"/>
            <w:tcBorders>
              <w:top w:val="nil"/>
              <w:left w:val="nil"/>
              <w:bottom w:val="single" w:sz="4" w:space="0" w:color="auto"/>
              <w:right w:val="nil"/>
            </w:tcBorders>
            <w:shd w:val="clear" w:color="auto" w:fill="auto"/>
            <w:noWrap/>
            <w:vAlign w:val="center"/>
            <w:hideMark/>
          </w:tcPr>
          <w:p w14:paraId="79B5A87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13º</w:t>
            </w:r>
          </w:p>
        </w:tc>
        <w:tc>
          <w:tcPr>
            <w:tcW w:w="754" w:type="pct"/>
            <w:tcBorders>
              <w:top w:val="nil"/>
              <w:left w:val="nil"/>
              <w:bottom w:val="single" w:sz="4" w:space="0" w:color="auto"/>
              <w:right w:val="nil"/>
            </w:tcBorders>
            <w:shd w:val="clear" w:color="auto" w:fill="auto"/>
            <w:noWrap/>
            <w:vAlign w:val="center"/>
            <w:hideMark/>
          </w:tcPr>
          <w:p w14:paraId="490C577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0,4</w:t>
            </w:r>
          </w:p>
        </w:tc>
        <w:tc>
          <w:tcPr>
            <w:tcW w:w="190" w:type="pct"/>
            <w:tcBorders>
              <w:top w:val="nil"/>
              <w:left w:val="nil"/>
              <w:bottom w:val="single" w:sz="4" w:space="0" w:color="auto"/>
              <w:right w:val="nil"/>
            </w:tcBorders>
            <w:shd w:val="clear" w:color="auto" w:fill="auto"/>
            <w:noWrap/>
            <w:vAlign w:val="center"/>
            <w:hideMark/>
          </w:tcPr>
          <w:p w14:paraId="798432B0"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16º</w:t>
            </w:r>
          </w:p>
        </w:tc>
        <w:tc>
          <w:tcPr>
            <w:tcW w:w="887" w:type="pct"/>
            <w:tcBorders>
              <w:top w:val="nil"/>
              <w:left w:val="nil"/>
              <w:bottom w:val="single" w:sz="4" w:space="0" w:color="auto"/>
              <w:right w:val="nil"/>
            </w:tcBorders>
            <w:shd w:val="clear" w:color="auto" w:fill="auto"/>
            <w:noWrap/>
            <w:vAlign w:val="center"/>
            <w:hideMark/>
          </w:tcPr>
          <w:p w14:paraId="5F998E8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0,0</w:t>
            </w:r>
          </w:p>
        </w:tc>
        <w:tc>
          <w:tcPr>
            <w:tcW w:w="190" w:type="pct"/>
            <w:tcBorders>
              <w:top w:val="nil"/>
              <w:left w:val="nil"/>
              <w:bottom w:val="single" w:sz="4" w:space="0" w:color="auto"/>
              <w:right w:val="nil"/>
            </w:tcBorders>
            <w:shd w:val="clear" w:color="auto" w:fill="auto"/>
            <w:noWrap/>
            <w:vAlign w:val="center"/>
            <w:hideMark/>
          </w:tcPr>
          <w:p w14:paraId="20FEF14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16º</w:t>
            </w:r>
          </w:p>
        </w:tc>
        <w:tc>
          <w:tcPr>
            <w:tcW w:w="737" w:type="pct"/>
            <w:tcBorders>
              <w:top w:val="nil"/>
              <w:left w:val="nil"/>
              <w:bottom w:val="single" w:sz="4" w:space="0" w:color="auto"/>
              <w:right w:val="nil"/>
            </w:tcBorders>
            <w:shd w:val="clear" w:color="auto" w:fill="auto"/>
            <w:noWrap/>
            <w:vAlign w:val="center"/>
            <w:hideMark/>
          </w:tcPr>
          <w:p w14:paraId="6F7ABE6D"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0,4</w:t>
            </w:r>
          </w:p>
        </w:tc>
        <w:tc>
          <w:tcPr>
            <w:tcW w:w="190" w:type="pct"/>
            <w:tcBorders>
              <w:top w:val="nil"/>
              <w:left w:val="nil"/>
              <w:bottom w:val="single" w:sz="4" w:space="0" w:color="auto"/>
              <w:right w:val="nil"/>
            </w:tcBorders>
            <w:shd w:val="clear" w:color="auto" w:fill="auto"/>
            <w:noWrap/>
            <w:vAlign w:val="center"/>
            <w:hideMark/>
          </w:tcPr>
          <w:p w14:paraId="52E85E0C"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18º</w:t>
            </w:r>
          </w:p>
        </w:tc>
      </w:tr>
      <w:tr w:rsidR="006356F1" w:rsidRPr="00553142" w14:paraId="3FD7F682"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6541426B" w14:textId="77777777" w:rsidR="006356F1" w:rsidRPr="00553142" w:rsidRDefault="006356F1" w:rsidP="00217400">
            <w:pPr>
              <w:rPr>
                <w:rFonts w:ascii="Calibri" w:hAnsi="Calibri"/>
                <w:color w:val="000000"/>
                <w:sz w:val="20"/>
              </w:rPr>
            </w:pPr>
            <w:r w:rsidRPr="00553142">
              <w:rPr>
                <w:rFonts w:ascii="Calibri" w:hAnsi="Calibri"/>
                <w:color w:val="000000"/>
                <w:sz w:val="20"/>
              </w:rPr>
              <w:t>Piracanjuba</w:t>
            </w:r>
          </w:p>
        </w:tc>
        <w:tc>
          <w:tcPr>
            <w:tcW w:w="1037" w:type="pct"/>
            <w:tcBorders>
              <w:top w:val="nil"/>
              <w:left w:val="nil"/>
              <w:bottom w:val="single" w:sz="4" w:space="0" w:color="auto"/>
              <w:right w:val="nil"/>
            </w:tcBorders>
            <w:shd w:val="clear" w:color="auto" w:fill="auto"/>
            <w:noWrap/>
            <w:vAlign w:val="center"/>
            <w:hideMark/>
          </w:tcPr>
          <w:p w14:paraId="139DFE9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0,8</w:t>
            </w:r>
          </w:p>
        </w:tc>
        <w:tc>
          <w:tcPr>
            <w:tcW w:w="190" w:type="pct"/>
            <w:tcBorders>
              <w:top w:val="nil"/>
              <w:left w:val="nil"/>
              <w:bottom w:val="single" w:sz="4" w:space="0" w:color="auto"/>
              <w:right w:val="nil"/>
            </w:tcBorders>
            <w:shd w:val="clear" w:color="auto" w:fill="auto"/>
            <w:noWrap/>
            <w:vAlign w:val="center"/>
            <w:hideMark/>
          </w:tcPr>
          <w:p w14:paraId="2F3C495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14º</w:t>
            </w:r>
          </w:p>
        </w:tc>
        <w:tc>
          <w:tcPr>
            <w:tcW w:w="754" w:type="pct"/>
            <w:tcBorders>
              <w:top w:val="nil"/>
              <w:left w:val="nil"/>
              <w:bottom w:val="single" w:sz="4" w:space="0" w:color="auto"/>
              <w:right w:val="nil"/>
            </w:tcBorders>
            <w:shd w:val="clear" w:color="auto" w:fill="auto"/>
            <w:noWrap/>
            <w:vAlign w:val="center"/>
            <w:hideMark/>
          </w:tcPr>
          <w:p w14:paraId="36D62C5A"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0,4</w:t>
            </w:r>
          </w:p>
        </w:tc>
        <w:tc>
          <w:tcPr>
            <w:tcW w:w="190" w:type="pct"/>
            <w:tcBorders>
              <w:top w:val="nil"/>
              <w:left w:val="nil"/>
              <w:bottom w:val="single" w:sz="4" w:space="0" w:color="auto"/>
              <w:right w:val="nil"/>
            </w:tcBorders>
            <w:shd w:val="clear" w:color="auto" w:fill="auto"/>
            <w:noWrap/>
            <w:vAlign w:val="center"/>
            <w:hideMark/>
          </w:tcPr>
          <w:p w14:paraId="517056CE"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18º</w:t>
            </w:r>
          </w:p>
        </w:tc>
        <w:tc>
          <w:tcPr>
            <w:tcW w:w="887" w:type="pct"/>
            <w:tcBorders>
              <w:top w:val="nil"/>
              <w:left w:val="nil"/>
              <w:bottom w:val="single" w:sz="4" w:space="0" w:color="auto"/>
              <w:right w:val="nil"/>
            </w:tcBorders>
            <w:shd w:val="clear" w:color="auto" w:fill="auto"/>
            <w:noWrap/>
            <w:vAlign w:val="center"/>
            <w:hideMark/>
          </w:tcPr>
          <w:p w14:paraId="5DBEFC11"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w:t>
            </w:r>
          </w:p>
        </w:tc>
        <w:tc>
          <w:tcPr>
            <w:tcW w:w="190" w:type="pct"/>
            <w:tcBorders>
              <w:top w:val="nil"/>
              <w:left w:val="nil"/>
              <w:bottom w:val="single" w:sz="4" w:space="0" w:color="auto"/>
              <w:right w:val="nil"/>
            </w:tcBorders>
            <w:shd w:val="clear" w:color="auto" w:fill="auto"/>
            <w:noWrap/>
            <w:vAlign w:val="center"/>
            <w:hideMark/>
          </w:tcPr>
          <w:p w14:paraId="02D91336"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w:t>
            </w:r>
          </w:p>
        </w:tc>
        <w:tc>
          <w:tcPr>
            <w:tcW w:w="737" w:type="pct"/>
            <w:tcBorders>
              <w:top w:val="nil"/>
              <w:left w:val="nil"/>
              <w:bottom w:val="single" w:sz="4" w:space="0" w:color="auto"/>
              <w:right w:val="nil"/>
            </w:tcBorders>
            <w:shd w:val="clear" w:color="auto" w:fill="auto"/>
            <w:noWrap/>
            <w:vAlign w:val="center"/>
            <w:hideMark/>
          </w:tcPr>
          <w:p w14:paraId="5CC2BBD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0,8</w:t>
            </w:r>
          </w:p>
        </w:tc>
        <w:tc>
          <w:tcPr>
            <w:tcW w:w="190" w:type="pct"/>
            <w:tcBorders>
              <w:top w:val="nil"/>
              <w:left w:val="nil"/>
              <w:bottom w:val="single" w:sz="4" w:space="0" w:color="auto"/>
              <w:right w:val="nil"/>
            </w:tcBorders>
            <w:shd w:val="clear" w:color="auto" w:fill="auto"/>
            <w:noWrap/>
            <w:vAlign w:val="center"/>
            <w:hideMark/>
          </w:tcPr>
          <w:p w14:paraId="35ACC39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14º</w:t>
            </w:r>
          </w:p>
        </w:tc>
      </w:tr>
      <w:tr w:rsidR="006356F1" w:rsidRPr="00553142" w14:paraId="467EA25F"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5B18A8B9" w14:textId="77777777" w:rsidR="006356F1" w:rsidRPr="00553142" w:rsidRDefault="006356F1" w:rsidP="00217400">
            <w:pPr>
              <w:rPr>
                <w:rFonts w:ascii="Calibri" w:hAnsi="Calibri"/>
                <w:color w:val="000000"/>
                <w:sz w:val="20"/>
              </w:rPr>
            </w:pPr>
            <w:r w:rsidRPr="00553142">
              <w:rPr>
                <w:rFonts w:ascii="Calibri" w:hAnsi="Calibri"/>
                <w:color w:val="000000"/>
                <w:sz w:val="20"/>
              </w:rPr>
              <w:t>Pires do Rio</w:t>
            </w:r>
          </w:p>
        </w:tc>
        <w:tc>
          <w:tcPr>
            <w:tcW w:w="1037" w:type="pct"/>
            <w:tcBorders>
              <w:top w:val="nil"/>
              <w:left w:val="nil"/>
              <w:bottom w:val="single" w:sz="4" w:space="0" w:color="auto"/>
              <w:right w:val="nil"/>
            </w:tcBorders>
            <w:shd w:val="clear" w:color="auto" w:fill="auto"/>
            <w:noWrap/>
            <w:vAlign w:val="center"/>
            <w:hideMark/>
          </w:tcPr>
          <w:p w14:paraId="5C0DB6B1"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0,6</w:t>
            </w:r>
          </w:p>
        </w:tc>
        <w:tc>
          <w:tcPr>
            <w:tcW w:w="190" w:type="pct"/>
            <w:tcBorders>
              <w:top w:val="nil"/>
              <w:left w:val="nil"/>
              <w:bottom w:val="single" w:sz="4" w:space="0" w:color="auto"/>
              <w:right w:val="nil"/>
            </w:tcBorders>
            <w:shd w:val="clear" w:color="auto" w:fill="auto"/>
            <w:noWrap/>
            <w:vAlign w:val="center"/>
            <w:hideMark/>
          </w:tcPr>
          <w:p w14:paraId="15269D50"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15º</w:t>
            </w:r>
          </w:p>
        </w:tc>
        <w:tc>
          <w:tcPr>
            <w:tcW w:w="754" w:type="pct"/>
            <w:tcBorders>
              <w:top w:val="nil"/>
              <w:left w:val="nil"/>
              <w:bottom w:val="single" w:sz="4" w:space="0" w:color="auto"/>
              <w:right w:val="nil"/>
            </w:tcBorders>
            <w:shd w:val="clear" w:color="auto" w:fill="auto"/>
            <w:noWrap/>
            <w:vAlign w:val="center"/>
            <w:hideMark/>
          </w:tcPr>
          <w:p w14:paraId="056DC6F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2,2</w:t>
            </w:r>
          </w:p>
        </w:tc>
        <w:tc>
          <w:tcPr>
            <w:tcW w:w="190" w:type="pct"/>
            <w:tcBorders>
              <w:top w:val="nil"/>
              <w:left w:val="nil"/>
              <w:bottom w:val="single" w:sz="4" w:space="0" w:color="auto"/>
              <w:right w:val="nil"/>
            </w:tcBorders>
            <w:shd w:val="clear" w:color="auto" w:fill="auto"/>
            <w:noWrap/>
            <w:vAlign w:val="center"/>
            <w:hideMark/>
          </w:tcPr>
          <w:p w14:paraId="5F763DA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11º</w:t>
            </w:r>
          </w:p>
        </w:tc>
        <w:tc>
          <w:tcPr>
            <w:tcW w:w="887" w:type="pct"/>
            <w:tcBorders>
              <w:top w:val="nil"/>
              <w:left w:val="nil"/>
              <w:bottom w:val="single" w:sz="4" w:space="0" w:color="auto"/>
              <w:right w:val="nil"/>
            </w:tcBorders>
            <w:shd w:val="clear" w:color="auto" w:fill="auto"/>
            <w:noWrap/>
            <w:vAlign w:val="center"/>
            <w:hideMark/>
          </w:tcPr>
          <w:p w14:paraId="562826A7"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w:t>
            </w:r>
          </w:p>
        </w:tc>
        <w:tc>
          <w:tcPr>
            <w:tcW w:w="190" w:type="pct"/>
            <w:tcBorders>
              <w:top w:val="nil"/>
              <w:left w:val="nil"/>
              <w:bottom w:val="single" w:sz="4" w:space="0" w:color="auto"/>
              <w:right w:val="nil"/>
            </w:tcBorders>
            <w:shd w:val="clear" w:color="auto" w:fill="auto"/>
            <w:noWrap/>
            <w:vAlign w:val="center"/>
            <w:hideMark/>
          </w:tcPr>
          <w:p w14:paraId="5D5FBF97"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w:t>
            </w:r>
          </w:p>
        </w:tc>
        <w:tc>
          <w:tcPr>
            <w:tcW w:w="737" w:type="pct"/>
            <w:tcBorders>
              <w:top w:val="nil"/>
              <w:left w:val="nil"/>
              <w:bottom w:val="single" w:sz="4" w:space="0" w:color="auto"/>
              <w:right w:val="nil"/>
            </w:tcBorders>
            <w:shd w:val="clear" w:color="auto" w:fill="auto"/>
            <w:noWrap/>
            <w:vAlign w:val="center"/>
            <w:hideMark/>
          </w:tcPr>
          <w:p w14:paraId="3D45E56A"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2,9</w:t>
            </w:r>
          </w:p>
        </w:tc>
        <w:tc>
          <w:tcPr>
            <w:tcW w:w="190" w:type="pct"/>
            <w:tcBorders>
              <w:top w:val="nil"/>
              <w:left w:val="nil"/>
              <w:bottom w:val="single" w:sz="4" w:space="0" w:color="auto"/>
              <w:right w:val="nil"/>
            </w:tcBorders>
            <w:shd w:val="clear" w:color="auto" w:fill="auto"/>
            <w:noWrap/>
            <w:vAlign w:val="center"/>
            <w:hideMark/>
          </w:tcPr>
          <w:p w14:paraId="3D7EDA0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11º</w:t>
            </w:r>
          </w:p>
        </w:tc>
      </w:tr>
      <w:tr w:rsidR="006356F1" w:rsidRPr="00553142" w14:paraId="2BC5D2F3"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0327E4F7" w14:textId="77777777" w:rsidR="006356F1" w:rsidRPr="00553142" w:rsidRDefault="006356F1" w:rsidP="00217400">
            <w:pPr>
              <w:rPr>
                <w:rFonts w:ascii="Calibri" w:hAnsi="Calibri"/>
                <w:color w:val="000000"/>
                <w:sz w:val="20"/>
              </w:rPr>
            </w:pPr>
            <w:r w:rsidRPr="00553142">
              <w:rPr>
                <w:rFonts w:ascii="Calibri" w:hAnsi="Calibri"/>
                <w:color w:val="000000"/>
                <w:sz w:val="20"/>
              </w:rPr>
              <w:t>Uruaçu - Niquelândia</w:t>
            </w:r>
          </w:p>
        </w:tc>
        <w:tc>
          <w:tcPr>
            <w:tcW w:w="1037" w:type="pct"/>
            <w:tcBorders>
              <w:top w:val="nil"/>
              <w:left w:val="nil"/>
              <w:bottom w:val="single" w:sz="4" w:space="0" w:color="auto"/>
              <w:right w:val="nil"/>
            </w:tcBorders>
            <w:shd w:val="clear" w:color="auto" w:fill="auto"/>
            <w:noWrap/>
            <w:vAlign w:val="center"/>
            <w:hideMark/>
          </w:tcPr>
          <w:p w14:paraId="2C87920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0,4</w:t>
            </w:r>
          </w:p>
        </w:tc>
        <w:tc>
          <w:tcPr>
            <w:tcW w:w="190" w:type="pct"/>
            <w:tcBorders>
              <w:top w:val="nil"/>
              <w:left w:val="nil"/>
              <w:bottom w:val="single" w:sz="4" w:space="0" w:color="auto"/>
              <w:right w:val="nil"/>
            </w:tcBorders>
            <w:shd w:val="clear" w:color="auto" w:fill="auto"/>
            <w:noWrap/>
            <w:vAlign w:val="center"/>
            <w:hideMark/>
          </w:tcPr>
          <w:p w14:paraId="67F9D62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16º</w:t>
            </w:r>
          </w:p>
        </w:tc>
        <w:tc>
          <w:tcPr>
            <w:tcW w:w="754" w:type="pct"/>
            <w:tcBorders>
              <w:top w:val="nil"/>
              <w:left w:val="nil"/>
              <w:bottom w:val="single" w:sz="4" w:space="0" w:color="auto"/>
              <w:right w:val="nil"/>
            </w:tcBorders>
            <w:shd w:val="clear" w:color="auto" w:fill="auto"/>
            <w:noWrap/>
            <w:vAlign w:val="center"/>
            <w:hideMark/>
          </w:tcPr>
          <w:p w14:paraId="7699B58A"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0,1</w:t>
            </w:r>
          </w:p>
        </w:tc>
        <w:tc>
          <w:tcPr>
            <w:tcW w:w="190" w:type="pct"/>
            <w:tcBorders>
              <w:top w:val="nil"/>
              <w:left w:val="nil"/>
              <w:bottom w:val="single" w:sz="4" w:space="0" w:color="auto"/>
              <w:right w:val="nil"/>
            </w:tcBorders>
            <w:shd w:val="clear" w:color="auto" w:fill="auto"/>
            <w:noWrap/>
            <w:vAlign w:val="center"/>
            <w:hideMark/>
          </w:tcPr>
          <w:p w14:paraId="01D6566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20º</w:t>
            </w:r>
          </w:p>
        </w:tc>
        <w:tc>
          <w:tcPr>
            <w:tcW w:w="887" w:type="pct"/>
            <w:tcBorders>
              <w:top w:val="nil"/>
              <w:left w:val="nil"/>
              <w:bottom w:val="single" w:sz="4" w:space="0" w:color="auto"/>
              <w:right w:val="nil"/>
            </w:tcBorders>
            <w:shd w:val="clear" w:color="auto" w:fill="auto"/>
            <w:noWrap/>
            <w:vAlign w:val="center"/>
            <w:hideMark/>
          </w:tcPr>
          <w:p w14:paraId="16BCD322"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0,7</w:t>
            </w:r>
          </w:p>
        </w:tc>
        <w:tc>
          <w:tcPr>
            <w:tcW w:w="190" w:type="pct"/>
            <w:tcBorders>
              <w:top w:val="nil"/>
              <w:left w:val="nil"/>
              <w:bottom w:val="single" w:sz="4" w:space="0" w:color="auto"/>
              <w:right w:val="nil"/>
            </w:tcBorders>
            <w:shd w:val="clear" w:color="auto" w:fill="auto"/>
            <w:noWrap/>
            <w:vAlign w:val="center"/>
            <w:hideMark/>
          </w:tcPr>
          <w:p w14:paraId="64FC778C"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11º</w:t>
            </w:r>
          </w:p>
        </w:tc>
        <w:tc>
          <w:tcPr>
            <w:tcW w:w="737" w:type="pct"/>
            <w:tcBorders>
              <w:top w:val="nil"/>
              <w:left w:val="nil"/>
              <w:bottom w:val="single" w:sz="4" w:space="0" w:color="auto"/>
              <w:right w:val="nil"/>
            </w:tcBorders>
            <w:shd w:val="clear" w:color="auto" w:fill="auto"/>
            <w:noWrap/>
            <w:vAlign w:val="center"/>
            <w:hideMark/>
          </w:tcPr>
          <w:p w14:paraId="44832F8B"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0,6</w:t>
            </w:r>
          </w:p>
        </w:tc>
        <w:tc>
          <w:tcPr>
            <w:tcW w:w="190" w:type="pct"/>
            <w:tcBorders>
              <w:top w:val="nil"/>
              <w:left w:val="nil"/>
              <w:bottom w:val="single" w:sz="4" w:space="0" w:color="auto"/>
              <w:right w:val="nil"/>
            </w:tcBorders>
            <w:shd w:val="clear" w:color="auto" w:fill="auto"/>
            <w:noWrap/>
            <w:vAlign w:val="center"/>
            <w:hideMark/>
          </w:tcPr>
          <w:p w14:paraId="77C3C0BC"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16º</w:t>
            </w:r>
          </w:p>
        </w:tc>
      </w:tr>
      <w:tr w:rsidR="006356F1" w:rsidRPr="00553142" w14:paraId="1E062144"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5F3A886C" w14:textId="77777777" w:rsidR="006356F1" w:rsidRPr="00553142" w:rsidRDefault="006356F1" w:rsidP="00217400">
            <w:pPr>
              <w:rPr>
                <w:rFonts w:ascii="Calibri" w:hAnsi="Calibri"/>
                <w:color w:val="000000"/>
                <w:sz w:val="20"/>
              </w:rPr>
            </w:pPr>
            <w:r w:rsidRPr="00553142">
              <w:rPr>
                <w:rFonts w:ascii="Calibri" w:hAnsi="Calibri"/>
                <w:color w:val="000000"/>
                <w:sz w:val="20"/>
              </w:rPr>
              <w:t>Iporá</w:t>
            </w:r>
          </w:p>
        </w:tc>
        <w:tc>
          <w:tcPr>
            <w:tcW w:w="1037" w:type="pct"/>
            <w:tcBorders>
              <w:top w:val="nil"/>
              <w:left w:val="nil"/>
              <w:bottom w:val="single" w:sz="4" w:space="0" w:color="auto"/>
              <w:right w:val="nil"/>
            </w:tcBorders>
            <w:shd w:val="clear" w:color="auto" w:fill="auto"/>
            <w:noWrap/>
            <w:vAlign w:val="center"/>
            <w:hideMark/>
          </w:tcPr>
          <w:p w14:paraId="6390706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0,4</w:t>
            </w:r>
          </w:p>
        </w:tc>
        <w:tc>
          <w:tcPr>
            <w:tcW w:w="190" w:type="pct"/>
            <w:tcBorders>
              <w:top w:val="nil"/>
              <w:left w:val="nil"/>
              <w:bottom w:val="single" w:sz="4" w:space="0" w:color="auto"/>
              <w:right w:val="nil"/>
            </w:tcBorders>
            <w:shd w:val="clear" w:color="auto" w:fill="auto"/>
            <w:noWrap/>
            <w:vAlign w:val="center"/>
            <w:hideMark/>
          </w:tcPr>
          <w:p w14:paraId="3734D8BD"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17º</w:t>
            </w:r>
          </w:p>
        </w:tc>
        <w:tc>
          <w:tcPr>
            <w:tcW w:w="754" w:type="pct"/>
            <w:tcBorders>
              <w:top w:val="nil"/>
              <w:left w:val="nil"/>
              <w:bottom w:val="single" w:sz="4" w:space="0" w:color="auto"/>
              <w:right w:val="nil"/>
            </w:tcBorders>
            <w:shd w:val="clear" w:color="auto" w:fill="auto"/>
            <w:noWrap/>
            <w:vAlign w:val="center"/>
            <w:hideMark/>
          </w:tcPr>
          <w:p w14:paraId="016BA2C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0,5</w:t>
            </w:r>
          </w:p>
        </w:tc>
        <w:tc>
          <w:tcPr>
            <w:tcW w:w="190" w:type="pct"/>
            <w:tcBorders>
              <w:top w:val="nil"/>
              <w:left w:val="nil"/>
              <w:bottom w:val="single" w:sz="4" w:space="0" w:color="auto"/>
              <w:right w:val="nil"/>
            </w:tcBorders>
            <w:shd w:val="clear" w:color="auto" w:fill="auto"/>
            <w:noWrap/>
            <w:vAlign w:val="center"/>
            <w:hideMark/>
          </w:tcPr>
          <w:p w14:paraId="19507726"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15º</w:t>
            </w:r>
          </w:p>
        </w:tc>
        <w:tc>
          <w:tcPr>
            <w:tcW w:w="887" w:type="pct"/>
            <w:tcBorders>
              <w:top w:val="nil"/>
              <w:left w:val="nil"/>
              <w:bottom w:val="single" w:sz="4" w:space="0" w:color="auto"/>
              <w:right w:val="nil"/>
            </w:tcBorders>
            <w:shd w:val="clear" w:color="auto" w:fill="auto"/>
            <w:noWrap/>
            <w:vAlign w:val="center"/>
            <w:hideMark/>
          </w:tcPr>
          <w:p w14:paraId="3EF7B1E4"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w:t>
            </w:r>
          </w:p>
        </w:tc>
        <w:tc>
          <w:tcPr>
            <w:tcW w:w="190" w:type="pct"/>
            <w:tcBorders>
              <w:top w:val="nil"/>
              <w:left w:val="nil"/>
              <w:bottom w:val="single" w:sz="4" w:space="0" w:color="auto"/>
              <w:right w:val="nil"/>
            </w:tcBorders>
            <w:shd w:val="clear" w:color="auto" w:fill="auto"/>
            <w:noWrap/>
            <w:vAlign w:val="center"/>
            <w:hideMark/>
          </w:tcPr>
          <w:p w14:paraId="3F7048F0"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w:t>
            </w:r>
          </w:p>
        </w:tc>
        <w:tc>
          <w:tcPr>
            <w:tcW w:w="737" w:type="pct"/>
            <w:tcBorders>
              <w:top w:val="nil"/>
              <w:left w:val="nil"/>
              <w:bottom w:val="single" w:sz="4" w:space="0" w:color="auto"/>
              <w:right w:val="nil"/>
            </w:tcBorders>
            <w:shd w:val="clear" w:color="auto" w:fill="auto"/>
            <w:noWrap/>
            <w:vAlign w:val="center"/>
            <w:hideMark/>
          </w:tcPr>
          <w:p w14:paraId="51AAFDE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0,2</w:t>
            </w:r>
          </w:p>
        </w:tc>
        <w:tc>
          <w:tcPr>
            <w:tcW w:w="190" w:type="pct"/>
            <w:tcBorders>
              <w:top w:val="nil"/>
              <w:left w:val="nil"/>
              <w:bottom w:val="single" w:sz="4" w:space="0" w:color="auto"/>
              <w:right w:val="nil"/>
            </w:tcBorders>
            <w:shd w:val="clear" w:color="auto" w:fill="auto"/>
            <w:noWrap/>
            <w:vAlign w:val="center"/>
            <w:hideMark/>
          </w:tcPr>
          <w:p w14:paraId="27DB2AC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20º</w:t>
            </w:r>
          </w:p>
        </w:tc>
      </w:tr>
      <w:tr w:rsidR="006356F1" w:rsidRPr="00553142" w14:paraId="68126519"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6C36EDEA" w14:textId="77777777" w:rsidR="006356F1" w:rsidRPr="00553142" w:rsidRDefault="006356F1" w:rsidP="00217400">
            <w:pPr>
              <w:rPr>
                <w:rFonts w:ascii="Calibri" w:hAnsi="Calibri"/>
                <w:color w:val="000000"/>
                <w:sz w:val="20"/>
              </w:rPr>
            </w:pPr>
            <w:r w:rsidRPr="00553142">
              <w:rPr>
                <w:rFonts w:ascii="Calibri" w:hAnsi="Calibri"/>
                <w:color w:val="000000"/>
                <w:sz w:val="20"/>
              </w:rPr>
              <w:t>São Luís de Montes Belos</w:t>
            </w:r>
          </w:p>
        </w:tc>
        <w:tc>
          <w:tcPr>
            <w:tcW w:w="1037" w:type="pct"/>
            <w:tcBorders>
              <w:top w:val="nil"/>
              <w:left w:val="nil"/>
              <w:bottom w:val="single" w:sz="4" w:space="0" w:color="auto"/>
              <w:right w:val="nil"/>
            </w:tcBorders>
            <w:shd w:val="clear" w:color="auto" w:fill="auto"/>
            <w:noWrap/>
            <w:vAlign w:val="center"/>
            <w:hideMark/>
          </w:tcPr>
          <w:p w14:paraId="12521D6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0,4</w:t>
            </w:r>
          </w:p>
        </w:tc>
        <w:tc>
          <w:tcPr>
            <w:tcW w:w="190" w:type="pct"/>
            <w:tcBorders>
              <w:top w:val="nil"/>
              <w:left w:val="nil"/>
              <w:bottom w:val="single" w:sz="4" w:space="0" w:color="auto"/>
              <w:right w:val="nil"/>
            </w:tcBorders>
            <w:shd w:val="clear" w:color="auto" w:fill="auto"/>
            <w:noWrap/>
            <w:vAlign w:val="center"/>
            <w:hideMark/>
          </w:tcPr>
          <w:p w14:paraId="733EA16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18º</w:t>
            </w:r>
          </w:p>
        </w:tc>
        <w:tc>
          <w:tcPr>
            <w:tcW w:w="754" w:type="pct"/>
            <w:tcBorders>
              <w:top w:val="nil"/>
              <w:left w:val="nil"/>
              <w:bottom w:val="single" w:sz="4" w:space="0" w:color="auto"/>
              <w:right w:val="nil"/>
            </w:tcBorders>
            <w:shd w:val="clear" w:color="auto" w:fill="auto"/>
            <w:noWrap/>
            <w:vAlign w:val="center"/>
            <w:hideMark/>
          </w:tcPr>
          <w:p w14:paraId="44C2D3F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0,3</w:t>
            </w:r>
          </w:p>
        </w:tc>
        <w:tc>
          <w:tcPr>
            <w:tcW w:w="190" w:type="pct"/>
            <w:tcBorders>
              <w:top w:val="nil"/>
              <w:left w:val="nil"/>
              <w:bottom w:val="single" w:sz="4" w:space="0" w:color="auto"/>
              <w:right w:val="nil"/>
            </w:tcBorders>
            <w:shd w:val="clear" w:color="auto" w:fill="auto"/>
            <w:noWrap/>
            <w:vAlign w:val="center"/>
            <w:hideMark/>
          </w:tcPr>
          <w:p w14:paraId="014AAC2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19º</w:t>
            </w:r>
          </w:p>
        </w:tc>
        <w:tc>
          <w:tcPr>
            <w:tcW w:w="887" w:type="pct"/>
            <w:tcBorders>
              <w:top w:val="nil"/>
              <w:left w:val="nil"/>
              <w:bottom w:val="single" w:sz="4" w:space="0" w:color="auto"/>
              <w:right w:val="nil"/>
            </w:tcBorders>
            <w:shd w:val="clear" w:color="auto" w:fill="auto"/>
            <w:noWrap/>
            <w:vAlign w:val="center"/>
            <w:hideMark/>
          </w:tcPr>
          <w:p w14:paraId="28BA626E"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w:t>
            </w:r>
          </w:p>
        </w:tc>
        <w:tc>
          <w:tcPr>
            <w:tcW w:w="190" w:type="pct"/>
            <w:tcBorders>
              <w:top w:val="nil"/>
              <w:left w:val="nil"/>
              <w:bottom w:val="single" w:sz="4" w:space="0" w:color="auto"/>
              <w:right w:val="nil"/>
            </w:tcBorders>
            <w:shd w:val="clear" w:color="auto" w:fill="auto"/>
            <w:noWrap/>
            <w:vAlign w:val="center"/>
            <w:hideMark/>
          </w:tcPr>
          <w:p w14:paraId="115ED3C8"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w:t>
            </w:r>
          </w:p>
        </w:tc>
        <w:tc>
          <w:tcPr>
            <w:tcW w:w="737" w:type="pct"/>
            <w:tcBorders>
              <w:top w:val="nil"/>
              <w:left w:val="nil"/>
              <w:bottom w:val="single" w:sz="4" w:space="0" w:color="auto"/>
              <w:right w:val="nil"/>
            </w:tcBorders>
            <w:shd w:val="clear" w:color="auto" w:fill="auto"/>
            <w:noWrap/>
            <w:vAlign w:val="center"/>
            <w:hideMark/>
          </w:tcPr>
          <w:p w14:paraId="7DEF590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0,6</w:t>
            </w:r>
          </w:p>
        </w:tc>
        <w:tc>
          <w:tcPr>
            <w:tcW w:w="190" w:type="pct"/>
            <w:tcBorders>
              <w:top w:val="nil"/>
              <w:left w:val="nil"/>
              <w:bottom w:val="single" w:sz="4" w:space="0" w:color="auto"/>
              <w:right w:val="nil"/>
            </w:tcBorders>
            <w:shd w:val="clear" w:color="auto" w:fill="auto"/>
            <w:noWrap/>
            <w:vAlign w:val="center"/>
            <w:hideMark/>
          </w:tcPr>
          <w:p w14:paraId="6236B6D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17º</w:t>
            </w:r>
          </w:p>
        </w:tc>
      </w:tr>
      <w:tr w:rsidR="006356F1" w:rsidRPr="00553142" w14:paraId="1F773270"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24BD52FD" w14:textId="77777777" w:rsidR="006356F1" w:rsidRPr="00553142" w:rsidRDefault="006356F1" w:rsidP="00217400">
            <w:pPr>
              <w:rPr>
                <w:rFonts w:ascii="Calibri" w:hAnsi="Calibri"/>
                <w:color w:val="000000"/>
                <w:sz w:val="20"/>
              </w:rPr>
            </w:pPr>
            <w:r w:rsidRPr="00553142">
              <w:rPr>
                <w:rFonts w:ascii="Calibri" w:hAnsi="Calibri"/>
                <w:color w:val="000000"/>
                <w:sz w:val="20"/>
              </w:rPr>
              <w:t>Porangatu</w:t>
            </w:r>
          </w:p>
        </w:tc>
        <w:tc>
          <w:tcPr>
            <w:tcW w:w="1037" w:type="pct"/>
            <w:tcBorders>
              <w:top w:val="nil"/>
              <w:left w:val="nil"/>
              <w:bottom w:val="single" w:sz="4" w:space="0" w:color="auto"/>
              <w:right w:val="nil"/>
            </w:tcBorders>
            <w:shd w:val="clear" w:color="auto" w:fill="auto"/>
            <w:noWrap/>
            <w:vAlign w:val="center"/>
            <w:hideMark/>
          </w:tcPr>
          <w:p w14:paraId="0E2584C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0,2</w:t>
            </w:r>
          </w:p>
        </w:tc>
        <w:tc>
          <w:tcPr>
            <w:tcW w:w="190" w:type="pct"/>
            <w:tcBorders>
              <w:top w:val="nil"/>
              <w:left w:val="nil"/>
              <w:bottom w:val="single" w:sz="4" w:space="0" w:color="auto"/>
              <w:right w:val="nil"/>
            </w:tcBorders>
            <w:shd w:val="clear" w:color="auto" w:fill="auto"/>
            <w:noWrap/>
            <w:vAlign w:val="center"/>
            <w:hideMark/>
          </w:tcPr>
          <w:p w14:paraId="5062DFF1"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19º</w:t>
            </w:r>
          </w:p>
        </w:tc>
        <w:tc>
          <w:tcPr>
            <w:tcW w:w="754" w:type="pct"/>
            <w:tcBorders>
              <w:top w:val="nil"/>
              <w:left w:val="nil"/>
              <w:bottom w:val="single" w:sz="4" w:space="0" w:color="auto"/>
              <w:right w:val="nil"/>
            </w:tcBorders>
            <w:shd w:val="clear" w:color="auto" w:fill="auto"/>
            <w:noWrap/>
            <w:vAlign w:val="center"/>
            <w:hideMark/>
          </w:tcPr>
          <w:p w14:paraId="7C35F5BE"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0,4</w:t>
            </w:r>
          </w:p>
        </w:tc>
        <w:tc>
          <w:tcPr>
            <w:tcW w:w="190" w:type="pct"/>
            <w:tcBorders>
              <w:top w:val="nil"/>
              <w:left w:val="nil"/>
              <w:bottom w:val="single" w:sz="4" w:space="0" w:color="auto"/>
              <w:right w:val="nil"/>
            </w:tcBorders>
            <w:shd w:val="clear" w:color="auto" w:fill="auto"/>
            <w:noWrap/>
            <w:vAlign w:val="center"/>
            <w:hideMark/>
          </w:tcPr>
          <w:p w14:paraId="3D21680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17º</w:t>
            </w:r>
          </w:p>
        </w:tc>
        <w:tc>
          <w:tcPr>
            <w:tcW w:w="887" w:type="pct"/>
            <w:tcBorders>
              <w:top w:val="nil"/>
              <w:left w:val="nil"/>
              <w:bottom w:val="single" w:sz="4" w:space="0" w:color="auto"/>
              <w:right w:val="nil"/>
            </w:tcBorders>
            <w:shd w:val="clear" w:color="auto" w:fill="auto"/>
            <w:noWrap/>
            <w:vAlign w:val="center"/>
            <w:hideMark/>
          </w:tcPr>
          <w:p w14:paraId="45A0542B"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0,1</w:t>
            </w:r>
          </w:p>
        </w:tc>
        <w:tc>
          <w:tcPr>
            <w:tcW w:w="190" w:type="pct"/>
            <w:tcBorders>
              <w:top w:val="nil"/>
              <w:left w:val="nil"/>
              <w:bottom w:val="single" w:sz="4" w:space="0" w:color="auto"/>
              <w:right w:val="nil"/>
            </w:tcBorders>
            <w:shd w:val="clear" w:color="auto" w:fill="auto"/>
            <w:noWrap/>
            <w:vAlign w:val="center"/>
            <w:hideMark/>
          </w:tcPr>
          <w:p w14:paraId="32C9D2FC"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15º</w:t>
            </w:r>
          </w:p>
        </w:tc>
        <w:tc>
          <w:tcPr>
            <w:tcW w:w="737" w:type="pct"/>
            <w:tcBorders>
              <w:top w:val="nil"/>
              <w:left w:val="nil"/>
              <w:bottom w:val="single" w:sz="4" w:space="0" w:color="auto"/>
              <w:right w:val="nil"/>
            </w:tcBorders>
            <w:shd w:val="clear" w:color="auto" w:fill="auto"/>
            <w:noWrap/>
            <w:vAlign w:val="center"/>
            <w:hideMark/>
          </w:tcPr>
          <w:p w14:paraId="03AFCD7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0,2</w:t>
            </w:r>
          </w:p>
        </w:tc>
        <w:tc>
          <w:tcPr>
            <w:tcW w:w="190" w:type="pct"/>
            <w:tcBorders>
              <w:top w:val="nil"/>
              <w:left w:val="nil"/>
              <w:bottom w:val="single" w:sz="4" w:space="0" w:color="auto"/>
              <w:right w:val="nil"/>
            </w:tcBorders>
            <w:shd w:val="clear" w:color="auto" w:fill="auto"/>
            <w:noWrap/>
            <w:vAlign w:val="center"/>
            <w:hideMark/>
          </w:tcPr>
          <w:p w14:paraId="0A69FF6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19º</w:t>
            </w:r>
          </w:p>
        </w:tc>
      </w:tr>
      <w:tr w:rsidR="006356F1" w:rsidRPr="00553142" w14:paraId="40BF9EB3"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3AD6B261" w14:textId="77777777" w:rsidR="006356F1" w:rsidRPr="00553142" w:rsidRDefault="006356F1" w:rsidP="00217400">
            <w:pPr>
              <w:rPr>
                <w:rFonts w:ascii="Calibri" w:hAnsi="Calibri"/>
                <w:color w:val="000000"/>
                <w:sz w:val="20"/>
              </w:rPr>
            </w:pPr>
            <w:r w:rsidRPr="00553142">
              <w:rPr>
                <w:rFonts w:ascii="Calibri" w:hAnsi="Calibri"/>
                <w:color w:val="000000"/>
                <w:sz w:val="20"/>
              </w:rPr>
              <w:t>Goiás - Itapuranga</w:t>
            </w:r>
          </w:p>
        </w:tc>
        <w:tc>
          <w:tcPr>
            <w:tcW w:w="1037" w:type="pct"/>
            <w:tcBorders>
              <w:top w:val="nil"/>
              <w:left w:val="nil"/>
              <w:bottom w:val="single" w:sz="4" w:space="0" w:color="auto"/>
              <w:right w:val="nil"/>
            </w:tcBorders>
            <w:shd w:val="clear" w:color="auto" w:fill="auto"/>
            <w:noWrap/>
            <w:vAlign w:val="center"/>
            <w:hideMark/>
          </w:tcPr>
          <w:p w14:paraId="5985F5D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0,1</w:t>
            </w:r>
          </w:p>
        </w:tc>
        <w:tc>
          <w:tcPr>
            <w:tcW w:w="190" w:type="pct"/>
            <w:tcBorders>
              <w:top w:val="nil"/>
              <w:left w:val="nil"/>
              <w:bottom w:val="single" w:sz="4" w:space="0" w:color="auto"/>
              <w:right w:val="nil"/>
            </w:tcBorders>
            <w:shd w:val="clear" w:color="auto" w:fill="auto"/>
            <w:noWrap/>
            <w:vAlign w:val="center"/>
            <w:hideMark/>
          </w:tcPr>
          <w:p w14:paraId="0335720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20º</w:t>
            </w:r>
          </w:p>
        </w:tc>
        <w:tc>
          <w:tcPr>
            <w:tcW w:w="754" w:type="pct"/>
            <w:tcBorders>
              <w:top w:val="nil"/>
              <w:left w:val="nil"/>
              <w:bottom w:val="single" w:sz="4" w:space="0" w:color="auto"/>
              <w:right w:val="nil"/>
            </w:tcBorders>
            <w:shd w:val="clear" w:color="auto" w:fill="auto"/>
            <w:noWrap/>
            <w:vAlign w:val="center"/>
            <w:hideMark/>
          </w:tcPr>
          <w:p w14:paraId="34645B79"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2,0</w:t>
            </w:r>
          </w:p>
        </w:tc>
        <w:tc>
          <w:tcPr>
            <w:tcW w:w="190" w:type="pct"/>
            <w:tcBorders>
              <w:top w:val="nil"/>
              <w:left w:val="nil"/>
              <w:bottom w:val="single" w:sz="4" w:space="0" w:color="auto"/>
              <w:right w:val="nil"/>
            </w:tcBorders>
            <w:shd w:val="clear" w:color="auto" w:fill="auto"/>
            <w:noWrap/>
            <w:vAlign w:val="center"/>
            <w:hideMark/>
          </w:tcPr>
          <w:p w14:paraId="0915FE2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12º</w:t>
            </w:r>
          </w:p>
        </w:tc>
        <w:tc>
          <w:tcPr>
            <w:tcW w:w="887" w:type="pct"/>
            <w:tcBorders>
              <w:top w:val="nil"/>
              <w:left w:val="nil"/>
              <w:bottom w:val="single" w:sz="4" w:space="0" w:color="auto"/>
              <w:right w:val="nil"/>
            </w:tcBorders>
            <w:shd w:val="clear" w:color="auto" w:fill="auto"/>
            <w:noWrap/>
            <w:vAlign w:val="center"/>
            <w:hideMark/>
          </w:tcPr>
          <w:p w14:paraId="2BC352A4"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0,1</w:t>
            </w:r>
          </w:p>
        </w:tc>
        <w:tc>
          <w:tcPr>
            <w:tcW w:w="190" w:type="pct"/>
            <w:tcBorders>
              <w:top w:val="nil"/>
              <w:left w:val="nil"/>
              <w:bottom w:val="single" w:sz="4" w:space="0" w:color="auto"/>
              <w:right w:val="nil"/>
            </w:tcBorders>
            <w:shd w:val="clear" w:color="auto" w:fill="auto"/>
            <w:noWrap/>
            <w:vAlign w:val="center"/>
            <w:hideMark/>
          </w:tcPr>
          <w:p w14:paraId="7F4633D1"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13º</w:t>
            </w:r>
          </w:p>
        </w:tc>
        <w:tc>
          <w:tcPr>
            <w:tcW w:w="737" w:type="pct"/>
            <w:tcBorders>
              <w:top w:val="nil"/>
              <w:left w:val="nil"/>
              <w:bottom w:val="single" w:sz="4" w:space="0" w:color="auto"/>
              <w:right w:val="nil"/>
            </w:tcBorders>
            <w:shd w:val="clear" w:color="auto" w:fill="auto"/>
            <w:noWrap/>
            <w:vAlign w:val="center"/>
            <w:hideMark/>
          </w:tcPr>
          <w:p w14:paraId="433EDBC0"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0,6</w:t>
            </w:r>
          </w:p>
        </w:tc>
        <w:tc>
          <w:tcPr>
            <w:tcW w:w="190" w:type="pct"/>
            <w:tcBorders>
              <w:top w:val="nil"/>
              <w:left w:val="nil"/>
              <w:bottom w:val="single" w:sz="4" w:space="0" w:color="auto"/>
              <w:right w:val="nil"/>
            </w:tcBorders>
            <w:shd w:val="clear" w:color="auto" w:fill="auto"/>
            <w:noWrap/>
            <w:vAlign w:val="center"/>
            <w:hideMark/>
          </w:tcPr>
          <w:p w14:paraId="5D813448"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15º</w:t>
            </w:r>
          </w:p>
        </w:tc>
      </w:tr>
      <w:tr w:rsidR="006356F1" w:rsidRPr="00553142" w14:paraId="277D3808"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12380C20" w14:textId="77777777" w:rsidR="006356F1" w:rsidRPr="00553142" w:rsidRDefault="006356F1" w:rsidP="00217400">
            <w:pPr>
              <w:rPr>
                <w:rFonts w:ascii="Calibri" w:hAnsi="Calibri"/>
                <w:color w:val="000000"/>
                <w:sz w:val="20"/>
              </w:rPr>
            </w:pPr>
            <w:r w:rsidRPr="00553142">
              <w:rPr>
                <w:rFonts w:ascii="Calibri" w:hAnsi="Calibri"/>
                <w:color w:val="000000"/>
                <w:sz w:val="20"/>
              </w:rPr>
              <w:t>Flores de Goiás</w:t>
            </w:r>
          </w:p>
        </w:tc>
        <w:tc>
          <w:tcPr>
            <w:tcW w:w="1037" w:type="pct"/>
            <w:tcBorders>
              <w:top w:val="nil"/>
              <w:left w:val="nil"/>
              <w:bottom w:val="single" w:sz="4" w:space="0" w:color="auto"/>
              <w:right w:val="nil"/>
            </w:tcBorders>
            <w:shd w:val="clear" w:color="auto" w:fill="auto"/>
            <w:noWrap/>
            <w:vAlign w:val="center"/>
            <w:hideMark/>
          </w:tcPr>
          <w:p w14:paraId="0B35EBF7"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0,1</w:t>
            </w:r>
          </w:p>
        </w:tc>
        <w:tc>
          <w:tcPr>
            <w:tcW w:w="190" w:type="pct"/>
            <w:tcBorders>
              <w:top w:val="nil"/>
              <w:left w:val="nil"/>
              <w:bottom w:val="single" w:sz="4" w:space="0" w:color="auto"/>
              <w:right w:val="nil"/>
            </w:tcBorders>
            <w:shd w:val="clear" w:color="auto" w:fill="auto"/>
            <w:noWrap/>
            <w:vAlign w:val="center"/>
            <w:hideMark/>
          </w:tcPr>
          <w:p w14:paraId="2EAA090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21º</w:t>
            </w:r>
          </w:p>
        </w:tc>
        <w:tc>
          <w:tcPr>
            <w:tcW w:w="754" w:type="pct"/>
            <w:tcBorders>
              <w:top w:val="nil"/>
              <w:left w:val="nil"/>
              <w:bottom w:val="single" w:sz="4" w:space="0" w:color="auto"/>
              <w:right w:val="nil"/>
            </w:tcBorders>
            <w:shd w:val="clear" w:color="auto" w:fill="auto"/>
            <w:noWrap/>
            <w:vAlign w:val="center"/>
            <w:hideMark/>
          </w:tcPr>
          <w:p w14:paraId="4C28D7B0"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0,0</w:t>
            </w:r>
          </w:p>
        </w:tc>
        <w:tc>
          <w:tcPr>
            <w:tcW w:w="190" w:type="pct"/>
            <w:tcBorders>
              <w:top w:val="nil"/>
              <w:left w:val="nil"/>
              <w:bottom w:val="single" w:sz="4" w:space="0" w:color="auto"/>
              <w:right w:val="nil"/>
            </w:tcBorders>
            <w:shd w:val="clear" w:color="auto" w:fill="auto"/>
            <w:noWrap/>
            <w:vAlign w:val="center"/>
            <w:hideMark/>
          </w:tcPr>
          <w:p w14:paraId="55E750BB"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22º</w:t>
            </w:r>
          </w:p>
        </w:tc>
        <w:tc>
          <w:tcPr>
            <w:tcW w:w="887" w:type="pct"/>
            <w:tcBorders>
              <w:top w:val="nil"/>
              <w:left w:val="nil"/>
              <w:bottom w:val="single" w:sz="4" w:space="0" w:color="auto"/>
              <w:right w:val="nil"/>
            </w:tcBorders>
            <w:shd w:val="clear" w:color="auto" w:fill="auto"/>
            <w:noWrap/>
            <w:vAlign w:val="center"/>
            <w:hideMark/>
          </w:tcPr>
          <w:p w14:paraId="2610EEF3"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0,1</w:t>
            </w:r>
          </w:p>
        </w:tc>
        <w:tc>
          <w:tcPr>
            <w:tcW w:w="190" w:type="pct"/>
            <w:tcBorders>
              <w:top w:val="nil"/>
              <w:left w:val="nil"/>
              <w:bottom w:val="single" w:sz="4" w:space="0" w:color="auto"/>
              <w:right w:val="nil"/>
            </w:tcBorders>
            <w:shd w:val="clear" w:color="auto" w:fill="auto"/>
            <w:noWrap/>
            <w:vAlign w:val="center"/>
            <w:hideMark/>
          </w:tcPr>
          <w:p w14:paraId="72ABB205"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14º</w:t>
            </w:r>
          </w:p>
        </w:tc>
        <w:tc>
          <w:tcPr>
            <w:tcW w:w="737" w:type="pct"/>
            <w:tcBorders>
              <w:top w:val="nil"/>
              <w:left w:val="nil"/>
              <w:bottom w:val="single" w:sz="4" w:space="0" w:color="auto"/>
              <w:right w:val="nil"/>
            </w:tcBorders>
            <w:shd w:val="clear" w:color="auto" w:fill="auto"/>
            <w:noWrap/>
            <w:vAlign w:val="center"/>
            <w:hideMark/>
          </w:tcPr>
          <w:p w14:paraId="3FD9708A"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w:t>
            </w:r>
          </w:p>
        </w:tc>
        <w:tc>
          <w:tcPr>
            <w:tcW w:w="190" w:type="pct"/>
            <w:tcBorders>
              <w:top w:val="nil"/>
              <w:left w:val="nil"/>
              <w:bottom w:val="single" w:sz="4" w:space="0" w:color="auto"/>
              <w:right w:val="nil"/>
            </w:tcBorders>
            <w:shd w:val="clear" w:color="auto" w:fill="auto"/>
            <w:noWrap/>
            <w:vAlign w:val="center"/>
            <w:hideMark/>
          </w:tcPr>
          <w:p w14:paraId="13BF2864"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 xml:space="preserve"> - </w:t>
            </w:r>
          </w:p>
        </w:tc>
      </w:tr>
      <w:tr w:rsidR="006356F1" w:rsidRPr="00553142" w14:paraId="44E1CED9" w14:textId="77777777" w:rsidTr="00217400">
        <w:trPr>
          <w:trHeight w:val="283"/>
        </w:trPr>
        <w:tc>
          <w:tcPr>
            <w:tcW w:w="826" w:type="pct"/>
            <w:tcBorders>
              <w:top w:val="nil"/>
              <w:left w:val="nil"/>
              <w:bottom w:val="single" w:sz="4" w:space="0" w:color="auto"/>
              <w:right w:val="nil"/>
            </w:tcBorders>
            <w:shd w:val="clear" w:color="auto" w:fill="auto"/>
            <w:noWrap/>
            <w:vAlign w:val="center"/>
            <w:hideMark/>
          </w:tcPr>
          <w:p w14:paraId="09DB4B20" w14:textId="77777777" w:rsidR="006356F1" w:rsidRPr="00553142" w:rsidRDefault="006356F1" w:rsidP="00217400">
            <w:pPr>
              <w:rPr>
                <w:rFonts w:ascii="Calibri" w:hAnsi="Calibri"/>
                <w:color w:val="000000"/>
                <w:sz w:val="20"/>
              </w:rPr>
            </w:pPr>
            <w:r w:rsidRPr="00553142">
              <w:rPr>
                <w:rFonts w:ascii="Calibri" w:hAnsi="Calibri"/>
                <w:color w:val="000000"/>
                <w:sz w:val="20"/>
              </w:rPr>
              <w:t>Posse-Campos Belos</w:t>
            </w:r>
          </w:p>
        </w:tc>
        <w:tc>
          <w:tcPr>
            <w:tcW w:w="1037" w:type="pct"/>
            <w:tcBorders>
              <w:top w:val="nil"/>
              <w:left w:val="nil"/>
              <w:bottom w:val="single" w:sz="4" w:space="0" w:color="auto"/>
              <w:right w:val="nil"/>
            </w:tcBorders>
            <w:shd w:val="clear" w:color="auto" w:fill="auto"/>
            <w:noWrap/>
            <w:vAlign w:val="center"/>
            <w:hideMark/>
          </w:tcPr>
          <w:p w14:paraId="3CDDB14A"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0,0</w:t>
            </w:r>
          </w:p>
        </w:tc>
        <w:tc>
          <w:tcPr>
            <w:tcW w:w="190" w:type="pct"/>
            <w:tcBorders>
              <w:top w:val="nil"/>
              <w:left w:val="nil"/>
              <w:bottom w:val="single" w:sz="4" w:space="0" w:color="auto"/>
              <w:right w:val="nil"/>
            </w:tcBorders>
            <w:shd w:val="clear" w:color="auto" w:fill="auto"/>
            <w:noWrap/>
            <w:vAlign w:val="center"/>
            <w:hideMark/>
          </w:tcPr>
          <w:p w14:paraId="1FE7333C"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22º</w:t>
            </w:r>
          </w:p>
        </w:tc>
        <w:tc>
          <w:tcPr>
            <w:tcW w:w="754" w:type="pct"/>
            <w:tcBorders>
              <w:top w:val="nil"/>
              <w:left w:val="nil"/>
              <w:bottom w:val="single" w:sz="4" w:space="0" w:color="auto"/>
              <w:right w:val="nil"/>
            </w:tcBorders>
            <w:shd w:val="clear" w:color="auto" w:fill="auto"/>
            <w:noWrap/>
            <w:vAlign w:val="center"/>
            <w:hideMark/>
          </w:tcPr>
          <w:p w14:paraId="03A545FD"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0,1</w:t>
            </w:r>
          </w:p>
        </w:tc>
        <w:tc>
          <w:tcPr>
            <w:tcW w:w="190" w:type="pct"/>
            <w:tcBorders>
              <w:top w:val="nil"/>
              <w:left w:val="nil"/>
              <w:bottom w:val="single" w:sz="4" w:space="0" w:color="auto"/>
              <w:right w:val="nil"/>
            </w:tcBorders>
            <w:shd w:val="clear" w:color="auto" w:fill="auto"/>
            <w:noWrap/>
            <w:vAlign w:val="center"/>
            <w:hideMark/>
          </w:tcPr>
          <w:p w14:paraId="767AAF6F"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21º</w:t>
            </w:r>
          </w:p>
        </w:tc>
        <w:tc>
          <w:tcPr>
            <w:tcW w:w="887" w:type="pct"/>
            <w:tcBorders>
              <w:top w:val="nil"/>
              <w:left w:val="nil"/>
              <w:bottom w:val="single" w:sz="4" w:space="0" w:color="auto"/>
              <w:right w:val="nil"/>
            </w:tcBorders>
            <w:shd w:val="clear" w:color="auto" w:fill="auto"/>
            <w:noWrap/>
            <w:vAlign w:val="center"/>
            <w:hideMark/>
          </w:tcPr>
          <w:p w14:paraId="5BA91BD3"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w:t>
            </w:r>
          </w:p>
        </w:tc>
        <w:tc>
          <w:tcPr>
            <w:tcW w:w="190" w:type="pct"/>
            <w:tcBorders>
              <w:top w:val="nil"/>
              <w:left w:val="nil"/>
              <w:bottom w:val="single" w:sz="4" w:space="0" w:color="auto"/>
              <w:right w:val="nil"/>
            </w:tcBorders>
            <w:shd w:val="clear" w:color="auto" w:fill="auto"/>
            <w:noWrap/>
            <w:vAlign w:val="center"/>
            <w:hideMark/>
          </w:tcPr>
          <w:p w14:paraId="019D5A14" w14:textId="77777777" w:rsidR="006356F1" w:rsidRPr="00553142" w:rsidRDefault="006356F1" w:rsidP="00217400">
            <w:pPr>
              <w:jc w:val="right"/>
              <w:rPr>
                <w:rFonts w:ascii="Calibri" w:hAnsi="Calibri"/>
                <w:color w:val="000000"/>
                <w:sz w:val="20"/>
              </w:rPr>
            </w:pPr>
            <w:r w:rsidRPr="00553142">
              <w:rPr>
                <w:rFonts w:ascii="Calibri" w:hAnsi="Calibri"/>
                <w:color w:val="000000"/>
                <w:sz w:val="20"/>
              </w:rPr>
              <w:t>-</w:t>
            </w:r>
          </w:p>
        </w:tc>
        <w:tc>
          <w:tcPr>
            <w:tcW w:w="737" w:type="pct"/>
            <w:tcBorders>
              <w:top w:val="nil"/>
              <w:left w:val="nil"/>
              <w:bottom w:val="single" w:sz="4" w:space="0" w:color="auto"/>
              <w:right w:val="nil"/>
            </w:tcBorders>
            <w:shd w:val="clear" w:color="auto" w:fill="auto"/>
            <w:noWrap/>
            <w:vAlign w:val="center"/>
            <w:hideMark/>
          </w:tcPr>
          <w:p w14:paraId="0C955E60"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0,1</w:t>
            </w:r>
          </w:p>
        </w:tc>
        <w:tc>
          <w:tcPr>
            <w:tcW w:w="190" w:type="pct"/>
            <w:tcBorders>
              <w:top w:val="nil"/>
              <w:left w:val="nil"/>
              <w:bottom w:val="single" w:sz="4" w:space="0" w:color="auto"/>
              <w:right w:val="nil"/>
            </w:tcBorders>
            <w:shd w:val="clear" w:color="auto" w:fill="auto"/>
            <w:noWrap/>
            <w:vAlign w:val="center"/>
            <w:hideMark/>
          </w:tcPr>
          <w:p w14:paraId="595249B0" w14:textId="77777777" w:rsidR="006356F1" w:rsidRPr="00553142" w:rsidRDefault="006356F1" w:rsidP="00217400">
            <w:pPr>
              <w:jc w:val="center"/>
              <w:rPr>
                <w:rFonts w:ascii="Calibri" w:hAnsi="Calibri"/>
                <w:color w:val="000000"/>
                <w:sz w:val="20"/>
              </w:rPr>
            </w:pPr>
            <w:r w:rsidRPr="00553142">
              <w:rPr>
                <w:rFonts w:ascii="Calibri" w:hAnsi="Calibri"/>
                <w:color w:val="000000"/>
                <w:sz w:val="20"/>
              </w:rPr>
              <w:t>21º</w:t>
            </w:r>
          </w:p>
        </w:tc>
      </w:tr>
      <w:tr w:rsidR="006356F1" w:rsidRPr="00553142" w14:paraId="73119D09" w14:textId="77777777" w:rsidTr="00217400">
        <w:trPr>
          <w:trHeight w:val="283"/>
        </w:trPr>
        <w:tc>
          <w:tcPr>
            <w:tcW w:w="826" w:type="pct"/>
            <w:tcBorders>
              <w:top w:val="nil"/>
              <w:left w:val="nil"/>
              <w:bottom w:val="single" w:sz="4" w:space="0" w:color="auto"/>
              <w:right w:val="nil"/>
            </w:tcBorders>
            <w:shd w:val="clear" w:color="DCE6F1" w:fill="DCE6F1"/>
            <w:noWrap/>
            <w:vAlign w:val="center"/>
            <w:hideMark/>
          </w:tcPr>
          <w:p w14:paraId="25C93E30" w14:textId="77777777" w:rsidR="006356F1" w:rsidRPr="00553142" w:rsidRDefault="006356F1" w:rsidP="00217400">
            <w:pPr>
              <w:rPr>
                <w:rFonts w:ascii="Calibri" w:hAnsi="Calibri"/>
                <w:b/>
                <w:bCs/>
                <w:color w:val="000000"/>
                <w:sz w:val="20"/>
              </w:rPr>
            </w:pPr>
            <w:r w:rsidRPr="00553142">
              <w:rPr>
                <w:rFonts w:ascii="Calibri" w:hAnsi="Calibri"/>
                <w:b/>
                <w:bCs/>
                <w:color w:val="000000"/>
                <w:sz w:val="20"/>
              </w:rPr>
              <w:t>Total Geral</w:t>
            </w:r>
          </w:p>
        </w:tc>
        <w:tc>
          <w:tcPr>
            <w:tcW w:w="1037" w:type="pct"/>
            <w:tcBorders>
              <w:top w:val="nil"/>
              <w:left w:val="nil"/>
              <w:bottom w:val="single" w:sz="4" w:space="0" w:color="auto"/>
              <w:right w:val="nil"/>
            </w:tcBorders>
            <w:shd w:val="clear" w:color="DCE6F1" w:fill="DCE6F1"/>
            <w:noWrap/>
            <w:vAlign w:val="center"/>
            <w:hideMark/>
          </w:tcPr>
          <w:p w14:paraId="34638BBC" w14:textId="77777777" w:rsidR="006356F1" w:rsidRPr="00553142" w:rsidRDefault="006356F1" w:rsidP="00217400">
            <w:pPr>
              <w:jc w:val="center"/>
              <w:rPr>
                <w:rFonts w:ascii="Calibri" w:hAnsi="Calibri"/>
                <w:b/>
                <w:bCs/>
                <w:color w:val="000000"/>
                <w:sz w:val="20"/>
              </w:rPr>
            </w:pPr>
            <w:r w:rsidRPr="00553142">
              <w:rPr>
                <w:rFonts w:ascii="Calibri" w:hAnsi="Calibri"/>
                <w:b/>
                <w:bCs/>
                <w:color w:val="000000"/>
                <w:sz w:val="20"/>
              </w:rPr>
              <w:t>100,0</w:t>
            </w:r>
          </w:p>
        </w:tc>
        <w:tc>
          <w:tcPr>
            <w:tcW w:w="190" w:type="pct"/>
            <w:tcBorders>
              <w:top w:val="nil"/>
              <w:left w:val="nil"/>
              <w:bottom w:val="single" w:sz="4" w:space="0" w:color="auto"/>
              <w:right w:val="nil"/>
            </w:tcBorders>
            <w:shd w:val="clear" w:color="DCE6F1" w:fill="DCE6F1"/>
            <w:noWrap/>
            <w:vAlign w:val="center"/>
            <w:hideMark/>
          </w:tcPr>
          <w:p w14:paraId="69F46C08" w14:textId="77777777" w:rsidR="006356F1" w:rsidRPr="00553142" w:rsidRDefault="006356F1" w:rsidP="00217400">
            <w:pPr>
              <w:jc w:val="center"/>
              <w:rPr>
                <w:rFonts w:ascii="Calibri" w:hAnsi="Calibri"/>
                <w:b/>
                <w:bCs/>
                <w:color w:val="000000"/>
                <w:sz w:val="20"/>
              </w:rPr>
            </w:pPr>
          </w:p>
        </w:tc>
        <w:tc>
          <w:tcPr>
            <w:tcW w:w="754" w:type="pct"/>
            <w:tcBorders>
              <w:top w:val="nil"/>
              <w:left w:val="nil"/>
              <w:bottom w:val="single" w:sz="4" w:space="0" w:color="auto"/>
              <w:right w:val="nil"/>
            </w:tcBorders>
            <w:shd w:val="clear" w:color="DCE6F1" w:fill="DCE6F1"/>
            <w:noWrap/>
            <w:vAlign w:val="center"/>
            <w:hideMark/>
          </w:tcPr>
          <w:p w14:paraId="60E16CB6" w14:textId="77777777" w:rsidR="006356F1" w:rsidRPr="00553142" w:rsidRDefault="006356F1" w:rsidP="00217400">
            <w:pPr>
              <w:jc w:val="center"/>
              <w:rPr>
                <w:rFonts w:ascii="Calibri" w:hAnsi="Calibri"/>
                <w:b/>
                <w:bCs/>
                <w:color w:val="000000"/>
                <w:sz w:val="20"/>
              </w:rPr>
            </w:pPr>
            <w:r w:rsidRPr="00553142">
              <w:rPr>
                <w:rFonts w:ascii="Calibri" w:hAnsi="Calibri"/>
                <w:b/>
                <w:bCs/>
                <w:color w:val="000000"/>
                <w:sz w:val="20"/>
              </w:rPr>
              <w:t>100,0</w:t>
            </w:r>
          </w:p>
        </w:tc>
        <w:tc>
          <w:tcPr>
            <w:tcW w:w="190" w:type="pct"/>
            <w:tcBorders>
              <w:top w:val="nil"/>
              <w:left w:val="nil"/>
              <w:bottom w:val="single" w:sz="4" w:space="0" w:color="auto"/>
              <w:right w:val="nil"/>
            </w:tcBorders>
            <w:shd w:val="clear" w:color="DCE6F1" w:fill="DCE6F1"/>
            <w:noWrap/>
            <w:vAlign w:val="center"/>
            <w:hideMark/>
          </w:tcPr>
          <w:p w14:paraId="43145AFB" w14:textId="77777777" w:rsidR="006356F1" w:rsidRPr="00553142" w:rsidRDefault="006356F1" w:rsidP="00217400">
            <w:pPr>
              <w:jc w:val="center"/>
              <w:rPr>
                <w:rFonts w:ascii="Calibri" w:hAnsi="Calibri"/>
                <w:b/>
                <w:bCs/>
                <w:color w:val="000000"/>
                <w:sz w:val="20"/>
              </w:rPr>
            </w:pPr>
          </w:p>
        </w:tc>
        <w:tc>
          <w:tcPr>
            <w:tcW w:w="887" w:type="pct"/>
            <w:tcBorders>
              <w:top w:val="nil"/>
              <w:left w:val="nil"/>
              <w:bottom w:val="single" w:sz="4" w:space="0" w:color="auto"/>
              <w:right w:val="nil"/>
            </w:tcBorders>
            <w:shd w:val="clear" w:color="DCE6F1" w:fill="DCE6F1"/>
            <w:noWrap/>
            <w:vAlign w:val="center"/>
            <w:hideMark/>
          </w:tcPr>
          <w:p w14:paraId="7EF3395A" w14:textId="77777777" w:rsidR="006356F1" w:rsidRPr="00553142" w:rsidRDefault="006356F1" w:rsidP="00217400">
            <w:pPr>
              <w:jc w:val="center"/>
              <w:rPr>
                <w:rFonts w:ascii="Calibri" w:hAnsi="Calibri"/>
                <w:b/>
                <w:bCs/>
                <w:color w:val="000000"/>
                <w:sz w:val="20"/>
              </w:rPr>
            </w:pPr>
            <w:r w:rsidRPr="00553142">
              <w:rPr>
                <w:rFonts w:ascii="Calibri" w:hAnsi="Calibri"/>
                <w:b/>
                <w:bCs/>
                <w:color w:val="000000"/>
                <w:sz w:val="20"/>
              </w:rPr>
              <w:t>100,0</w:t>
            </w:r>
          </w:p>
        </w:tc>
        <w:tc>
          <w:tcPr>
            <w:tcW w:w="190" w:type="pct"/>
            <w:tcBorders>
              <w:top w:val="nil"/>
              <w:left w:val="nil"/>
              <w:bottom w:val="single" w:sz="4" w:space="0" w:color="auto"/>
              <w:right w:val="nil"/>
            </w:tcBorders>
            <w:shd w:val="clear" w:color="DCE6F1" w:fill="DCE6F1"/>
            <w:noWrap/>
            <w:vAlign w:val="center"/>
            <w:hideMark/>
          </w:tcPr>
          <w:p w14:paraId="53EC40A8" w14:textId="77777777" w:rsidR="006356F1" w:rsidRPr="00553142" w:rsidRDefault="006356F1" w:rsidP="00217400">
            <w:pPr>
              <w:jc w:val="center"/>
              <w:rPr>
                <w:rFonts w:ascii="Calibri" w:hAnsi="Calibri"/>
                <w:b/>
                <w:bCs/>
                <w:color w:val="000000"/>
                <w:sz w:val="20"/>
              </w:rPr>
            </w:pPr>
          </w:p>
        </w:tc>
        <w:tc>
          <w:tcPr>
            <w:tcW w:w="737" w:type="pct"/>
            <w:tcBorders>
              <w:top w:val="nil"/>
              <w:left w:val="nil"/>
              <w:bottom w:val="single" w:sz="4" w:space="0" w:color="auto"/>
              <w:right w:val="nil"/>
            </w:tcBorders>
            <w:shd w:val="clear" w:color="DCE6F1" w:fill="DCE6F1"/>
            <w:noWrap/>
            <w:vAlign w:val="center"/>
            <w:hideMark/>
          </w:tcPr>
          <w:p w14:paraId="29795CC0" w14:textId="77777777" w:rsidR="006356F1" w:rsidRPr="00553142" w:rsidRDefault="006356F1" w:rsidP="00217400">
            <w:pPr>
              <w:jc w:val="center"/>
              <w:rPr>
                <w:rFonts w:ascii="Calibri" w:hAnsi="Calibri"/>
                <w:b/>
                <w:bCs/>
                <w:color w:val="000000"/>
                <w:sz w:val="20"/>
              </w:rPr>
            </w:pPr>
            <w:r w:rsidRPr="00553142">
              <w:rPr>
                <w:rFonts w:ascii="Calibri" w:hAnsi="Calibri"/>
                <w:b/>
                <w:bCs/>
                <w:color w:val="000000"/>
                <w:sz w:val="20"/>
              </w:rPr>
              <w:t>100,0</w:t>
            </w:r>
          </w:p>
        </w:tc>
        <w:tc>
          <w:tcPr>
            <w:tcW w:w="190" w:type="pct"/>
            <w:tcBorders>
              <w:top w:val="nil"/>
              <w:left w:val="nil"/>
              <w:bottom w:val="single" w:sz="4" w:space="0" w:color="auto"/>
              <w:right w:val="nil"/>
            </w:tcBorders>
            <w:shd w:val="clear" w:color="DCE6F1" w:fill="DCE6F1"/>
            <w:noWrap/>
            <w:vAlign w:val="center"/>
            <w:hideMark/>
          </w:tcPr>
          <w:p w14:paraId="2FE804EC" w14:textId="77777777" w:rsidR="006356F1" w:rsidRPr="00553142" w:rsidRDefault="006356F1" w:rsidP="00217400">
            <w:pPr>
              <w:jc w:val="center"/>
              <w:rPr>
                <w:rFonts w:ascii="Calibri" w:hAnsi="Calibri"/>
                <w:b/>
                <w:bCs/>
                <w:color w:val="000000"/>
                <w:sz w:val="20"/>
              </w:rPr>
            </w:pPr>
            <w:r w:rsidRPr="00553142">
              <w:rPr>
                <w:rFonts w:ascii="Calibri" w:hAnsi="Calibri"/>
                <w:b/>
                <w:bCs/>
                <w:color w:val="000000"/>
                <w:sz w:val="20"/>
              </w:rPr>
              <w:t> </w:t>
            </w:r>
          </w:p>
        </w:tc>
      </w:tr>
    </w:tbl>
    <w:p w14:paraId="05C2512B" w14:textId="77777777" w:rsidR="006356F1" w:rsidRDefault="006356F1" w:rsidP="006356F1">
      <w:pPr>
        <w:ind w:firstLine="426"/>
        <w:jc w:val="both"/>
        <w:rPr>
          <w:rFonts w:ascii="Arial" w:hAnsi="Arial" w:cs="Arial"/>
          <w:sz w:val="24"/>
          <w:szCs w:val="24"/>
        </w:rPr>
        <w:sectPr w:rsidR="006356F1" w:rsidSect="00EF2460">
          <w:pgSz w:w="16840" w:h="11900" w:orient="landscape"/>
          <w:pgMar w:top="1701" w:right="2268" w:bottom="851" w:left="1134" w:header="567" w:footer="284" w:gutter="0"/>
          <w:cols w:space="708"/>
          <w:docGrid w:linePitch="360"/>
        </w:sectPr>
      </w:pPr>
      <w:r>
        <w:rPr>
          <w:rFonts w:cs="Arial"/>
          <w:sz w:val="18"/>
          <w:szCs w:val="18"/>
        </w:rPr>
        <w:t>Fonte: RAIS para emprego e Secretaria de Economia para as demais (Ofício nº 2.756/2019-Economia, p. 7/60)</w:t>
      </w:r>
    </w:p>
    <w:p w14:paraId="0AB08B82" w14:textId="77777777" w:rsidR="006356F1" w:rsidRPr="00AE5965" w:rsidRDefault="006356F1" w:rsidP="006356F1">
      <w:pPr>
        <w:spacing w:line="360" w:lineRule="auto"/>
        <w:ind w:firstLine="851"/>
        <w:jc w:val="both"/>
        <w:rPr>
          <w:rFonts w:ascii="Arial" w:hAnsi="Arial" w:cs="Arial"/>
          <w:sz w:val="24"/>
          <w:szCs w:val="24"/>
        </w:rPr>
      </w:pPr>
      <w:r>
        <w:rPr>
          <w:rFonts w:ascii="Arial" w:hAnsi="Arial" w:cs="Arial"/>
          <w:sz w:val="24"/>
          <w:szCs w:val="24"/>
        </w:rPr>
        <w:lastRenderedPageBreak/>
        <w:t xml:space="preserve">Diante disso, não nos resta outra opção que não concluir que </w:t>
      </w:r>
      <w:r>
        <w:rPr>
          <w:rFonts w:ascii="Arial" w:hAnsi="Arial" w:cs="Arial"/>
          <w:b/>
          <w:sz w:val="24"/>
          <w:szCs w:val="24"/>
        </w:rPr>
        <w:t>os programas FOMENTAR e PRODUZIR não promoveram a redução das desigualdades regionais, antes, favoreceram a desigualdade concentrando os benefícios nas regiões que já são as mais desenvolvidas do Estado</w:t>
      </w:r>
      <w:r>
        <w:rPr>
          <w:rFonts w:ascii="Arial" w:hAnsi="Arial" w:cs="Arial"/>
          <w:sz w:val="24"/>
          <w:szCs w:val="24"/>
        </w:rPr>
        <w:t>.</w:t>
      </w:r>
    </w:p>
    <w:p w14:paraId="31E4A623" w14:textId="77777777" w:rsidR="006356F1" w:rsidRDefault="006356F1" w:rsidP="006356F1">
      <w:pPr>
        <w:spacing w:line="360" w:lineRule="auto"/>
        <w:ind w:firstLine="851"/>
        <w:jc w:val="both"/>
        <w:rPr>
          <w:rFonts w:ascii="Arial" w:hAnsi="Arial" w:cs="Arial"/>
          <w:sz w:val="24"/>
          <w:szCs w:val="24"/>
        </w:rPr>
      </w:pPr>
    </w:p>
    <w:p w14:paraId="2BC65120" w14:textId="6141FF8F" w:rsidR="006356F1" w:rsidRDefault="006356F1" w:rsidP="006356F1">
      <w:pPr>
        <w:spacing w:line="360" w:lineRule="auto"/>
        <w:ind w:firstLine="851"/>
        <w:jc w:val="both"/>
        <w:rPr>
          <w:rFonts w:ascii="Arial" w:hAnsi="Arial" w:cs="Arial"/>
          <w:b/>
          <w:sz w:val="24"/>
          <w:szCs w:val="24"/>
        </w:rPr>
      </w:pPr>
      <w:r>
        <w:rPr>
          <w:rFonts w:ascii="Arial" w:hAnsi="Arial" w:cs="Arial"/>
          <w:b/>
          <w:sz w:val="24"/>
          <w:szCs w:val="24"/>
        </w:rPr>
        <w:t>1</w:t>
      </w:r>
      <w:r w:rsidR="00780A83">
        <w:rPr>
          <w:rFonts w:ascii="Arial" w:hAnsi="Arial" w:cs="Arial"/>
          <w:b/>
          <w:sz w:val="24"/>
          <w:szCs w:val="24"/>
        </w:rPr>
        <w:t>1</w:t>
      </w:r>
      <w:r>
        <w:rPr>
          <w:rFonts w:ascii="Arial" w:hAnsi="Arial" w:cs="Arial"/>
          <w:b/>
          <w:sz w:val="24"/>
          <w:szCs w:val="24"/>
        </w:rPr>
        <w:t>.</w:t>
      </w:r>
      <w:r w:rsidR="00B34BAE">
        <w:rPr>
          <w:rFonts w:ascii="Arial" w:hAnsi="Arial" w:cs="Arial"/>
          <w:b/>
          <w:sz w:val="24"/>
          <w:szCs w:val="24"/>
        </w:rPr>
        <w:t>6 – VALOR ADICIONADO À INDÚSTRIA DA TRANSFORMAÇÃO</w:t>
      </w:r>
    </w:p>
    <w:p w14:paraId="72230C3E" w14:textId="77777777" w:rsidR="006356F1" w:rsidRPr="00917DBF" w:rsidRDefault="006356F1" w:rsidP="006356F1">
      <w:pPr>
        <w:spacing w:line="360" w:lineRule="auto"/>
        <w:ind w:firstLine="851"/>
        <w:jc w:val="both"/>
        <w:rPr>
          <w:rFonts w:ascii="Arial" w:hAnsi="Arial" w:cs="Arial"/>
          <w:sz w:val="24"/>
          <w:szCs w:val="24"/>
        </w:rPr>
      </w:pPr>
    </w:p>
    <w:p w14:paraId="45999BA3"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Segundo o Decreto n. 5.265, de 2000, a realização de investimentos e renovação tecnológica da estrutura produtiva é objetivo do PRODUZIR:</w:t>
      </w:r>
    </w:p>
    <w:p w14:paraId="30F49275" w14:textId="77777777" w:rsidR="006356F1" w:rsidRDefault="006356F1" w:rsidP="006356F1">
      <w:pPr>
        <w:spacing w:line="360" w:lineRule="auto"/>
        <w:ind w:firstLine="851"/>
        <w:jc w:val="both"/>
        <w:rPr>
          <w:rFonts w:ascii="Arial" w:hAnsi="Arial" w:cs="Arial"/>
          <w:sz w:val="24"/>
          <w:szCs w:val="24"/>
        </w:rPr>
      </w:pPr>
    </w:p>
    <w:p w14:paraId="31A36EF7" w14:textId="77777777" w:rsidR="006356F1" w:rsidRPr="00917DBF" w:rsidRDefault="006356F1" w:rsidP="006356F1">
      <w:pPr>
        <w:ind w:left="2268"/>
        <w:jc w:val="both"/>
        <w:rPr>
          <w:rFonts w:ascii="Arial" w:hAnsi="Arial" w:cs="Arial"/>
          <w:sz w:val="28"/>
          <w:szCs w:val="24"/>
        </w:rPr>
      </w:pPr>
      <w:r w:rsidRPr="00917DBF">
        <w:rPr>
          <w:rFonts w:ascii="Arial" w:hAnsi="Arial" w:cs="Arial"/>
          <w:color w:val="000000"/>
          <w:sz w:val="22"/>
        </w:rPr>
        <w:t xml:space="preserve">Art. 1º O Programa de Desenvolvimento Industrial de Goiás - PRODUZIR - tem por objeto social contribuir para a </w:t>
      </w:r>
      <w:r w:rsidRPr="00F228E3">
        <w:rPr>
          <w:rFonts w:ascii="Arial" w:hAnsi="Arial" w:cs="Arial"/>
          <w:b/>
          <w:color w:val="000000"/>
          <w:sz w:val="22"/>
        </w:rPr>
        <w:t xml:space="preserve">expansão, </w:t>
      </w:r>
      <w:hyperlink r:id="rId106" w:anchor="c1" w:history="1">
        <w:r w:rsidRPr="00F228E3">
          <w:rPr>
            <w:rStyle w:val="Hyperlink"/>
            <w:rFonts w:ascii="Arial" w:hAnsi="Arial" w:cs="Arial"/>
            <w:b/>
            <w:color w:val="000000"/>
            <w:sz w:val="22"/>
            <w:u w:val="none"/>
          </w:rPr>
          <w:t>modernização</w:t>
        </w:r>
      </w:hyperlink>
      <w:r w:rsidRPr="00F228E3">
        <w:rPr>
          <w:rFonts w:ascii="Arial" w:hAnsi="Arial" w:cs="Arial"/>
          <w:b/>
          <w:color w:val="000000"/>
          <w:sz w:val="22"/>
        </w:rPr>
        <w:t xml:space="preserve"> e diversificação do setor industrial de Goiás</w:t>
      </w:r>
      <w:r w:rsidRPr="00917DBF">
        <w:rPr>
          <w:rFonts w:ascii="Arial" w:hAnsi="Arial" w:cs="Arial"/>
          <w:color w:val="000000"/>
          <w:sz w:val="22"/>
        </w:rPr>
        <w:t xml:space="preserve">, estimulando a </w:t>
      </w:r>
      <w:r w:rsidRPr="00F228E3">
        <w:rPr>
          <w:rFonts w:ascii="Arial" w:hAnsi="Arial" w:cs="Arial"/>
          <w:b/>
          <w:color w:val="000000"/>
          <w:sz w:val="22"/>
        </w:rPr>
        <w:t>realização de investimento</w:t>
      </w:r>
      <w:r w:rsidRPr="00917DBF">
        <w:rPr>
          <w:rFonts w:ascii="Arial" w:hAnsi="Arial" w:cs="Arial"/>
          <w:color w:val="000000"/>
          <w:sz w:val="22"/>
        </w:rPr>
        <w:t xml:space="preserve">, a </w:t>
      </w:r>
      <w:r w:rsidRPr="00F228E3">
        <w:rPr>
          <w:rFonts w:ascii="Arial" w:hAnsi="Arial" w:cs="Arial"/>
          <w:b/>
          <w:color w:val="000000"/>
          <w:sz w:val="22"/>
        </w:rPr>
        <w:t>renovação tecnológica da estrutura produtiva</w:t>
      </w:r>
      <w:r w:rsidRPr="00917DBF">
        <w:rPr>
          <w:rFonts w:ascii="Arial" w:hAnsi="Arial" w:cs="Arial"/>
          <w:color w:val="000000"/>
          <w:sz w:val="22"/>
        </w:rPr>
        <w:t xml:space="preserve"> e o aumento da competitividade estadual, com ênfase na geração de emprego e renda e na redução das desigualdades sociais e regionais.</w:t>
      </w:r>
    </w:p>
    <w:p w14:paraId="65E4D91D" w14:textId="77777777" w:rsidR="006356F1" w:rsidRPr="00917DBF" w:rsidRDefault="006356F1" w:rsidP="006356F1">
      <w:pPr>
        <w:spacing w:line="360" w:lineRule="auto"/>
        <w:ind w:firstLine="851"/>
        <w:jc w:val="both"/>
        <w:rPr>
          <w:rFonts w:ascii="Arial" w:hAnsi="Arial" w:cs="Arial"/>
          <w:sz w:val="24"/>
          <w:szCs w:val="24"/>
        </w:rPr>
      </w:pPr>
    </w:p>
    <w:p w14:paraId="176A1025"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Contudo, verificou-se que os programas de incentivos fiscais goianos, ao contrário do esperado, não provocaram ganhos no valor adicionado industrial:</w:t>
      </w:r>
    </w:p>
    <w:p w14:paraId="5AFA106A" w14:textId="77777777" w:rsidR="006356F1" w:rsidRDefault="006356F1" w:rsidP="006356F1">
      <w:pPr>
        <w:spacing w:line="360" w:lineRule="auto"/>
        <w:ind w:firstLine="851"/>
        <w:jc w:val="both"/>
        <w:rPr>
          <w:rFonts w:ascii="Arial" w:hAnsi="Arial" w:cs="Arial"/>
          <w:sz w:val="24"/>
          <w:szCs w:val="24"/>
        </w:rPr>
      </w:pPr>
    </w:p>
    <w:p w14:paraId="46549C75" w14:textId="77777777" w:rsidR="006356F1" w:rsidRPr="005A1173" w:rsidRDefault="006356F1" w:rsidP="006356F1">
      <w:pPr>
        <w:ind w:left="2268"/>
        <w:jc w:val="both"/>
        <w:rPr>
          <w:rFonts w:ascii="Arial" w:hAnsi="Arial" w:cs="Arial"/>
          <w:sz w:val="22"/>
          <w:szCs w:val="24"/>
        </w:rPr>
      </w:pPr>
      <w:r w:rsidRPr="005A1173">
        <w:rPr>
          <w:rFonts w:ascii="Arial" w:hAnsi="Arial" w:cs="Arial"/>
          <w:sz w:val="22"/>
          <w:szCs w:val="24"/>
        </w:rPr>
        <w:t xml:space="preserve">Conforme descrito na Tabela 4.0, sob o enfoque do Valor Adicionado (VA) da indústria de transformação, a estrutura industrial do estado de Goiás é pouco diversificada, tanto que dez segmentos industriais concentram 81,0% do VA da Transformação. </w:t>
      </w:r>
      <w:r w:rsidRPr="002177EE">
        <w:rPr>
          <w:rFonts w:ascii="Arial" w:hAnsi="Arial" w:cs="Arial"/>
          <w:sz w:val="22"/>
          <w:szCs w:val="24"/>
        </w:rPr>
        <w:t>O gênero industrial de fabricação de produtos alimentícios é o mais representativo no total da transformação (27,6%), vindo em seguida a fabricação de álcool e outros biocombustíveis (16,2%)</w:t>
      </w:r>
      <w:r w:rsidRPr="005A1173">
        <w:rPr>
          <w:rFonts w:ascii="Arial" w:hAnsi="Arial" w:cs="Arial"/>
          <w:sz w:val="22"/>
          <w:szCs w:val="24"/>
        </w:rPr>
        <w:t xml:space="preserve">. Entre as dez maiores participações, a produção de etanol e biocombustíveis foi a que mais ganhou participação (6,8 pontos percentuais). Em sentido oposto, </w:t>
      </w:r>
      <w:r w:rsidRPr="005A1173">
        <w:rPr>
          <w:rFonts w:ascii="Arial" w:hAnsi="Arial" w:cs="Arial"/>
          <w:b/>
          <w:sz w:val="22"/>
          <w:szCs w:val="24"/>
        </w:rPr>
        <w:t>a fabricação de automóveis, camionetas e utilitários foi o segmento que mais perdeu participação</w:t>
      </w:r>
      <w:r w:rsidRPr="005A1173">
        <w:rPr>
          <w:rFonts w:ascii="Arial" w:hAnsi="Arial" w:cs="Arial"/>
          <w:sz w:val="22"/>
          <w:szCs w:val="24"/>
        </w:rPr>
        <w:t>, saindo de 17,6% em 2010, para 2,6% em 2016, com uma perda 15,0 p.p.</w:t>
      </w:r>
    </w:p>
    <w:p w14:paraId="37030833" w14:textId="77777777" w:rsidR="006356F1" w:rsidRDefault="006356F1" w:rsidP="006356F1">
      <w:pPr>
        <w:spacing w:line="360" w:lineRule="auto"/>
        <w:ind w:firstLine="851"/>
        <w:jc w:val="both"/>
        <w:rPr>
          <w:rFonts w:ascii="Arial" w:hAnsi="Arial" w:cs="Arial"/>
          <w:sz w:val="24"/>
          <w:szCs w:val="24"/>
        </w:rPr>
      </w:pPr>
    </w:p>
    <w:p w14:paraId="0A5E6240" w14:textId="77777777" w:rsidR="006356F1" w:rsidRDefault="006356F1" w:rsidP="006356F1">
      <w:pPr>
        <w:spacing w:line="360" w:lineRule="auto"/>
        <w:ind w:firstLine="2268"/>
        <w:jc w:val="both"/>
        <w:rPr>
          <w:rFonts w:ascii="Arial" w:hAnsi="Arial" w:cs="Arial"/>
          <w:sz w:val="24"/>
          <w:szCs w:val="24"/>
        </w:rPr>
      </w:pPr>
      <w:r>
        <w:rPr>
          <w:rFonts w:ascii="Arial" w:hAnsi="Arial" w:cs="Arial"/>
          <w:noProof/>
          <w:sz w:val="24"/>
          <w:szCs w:val="24"/>
        </w:rPr>
        <w:lastRenderedPageBreak/>
        <w:drawing>
          <wp:inline distT="0" distB="0" distL="0" distR="0" wp14:anchorId="6B81394E" wp14:editId="57805EDE">
            <wp:extent cx="4834803" cy="3151311"/>
            <wp:effectExtent l="0" t="0" r="4445"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bela 4.0.PNG"/>
                    <pic:cNvPicPr/>
                  </pic:nvPicPr>
                  <pic:blipFill>
                    <a:blip r:embed="rId107">
                      <a:extLst>
                        <a:ext uri="{28A0092B-C50C-407E-A947-70E740481C1C}">
                          <a14:useLocalDpi xmlns:a14="http://schemas.microsoft.com/office/drawing/2010/main" val="0"/>
                        </a:ext>
                      </a:extLst>
                    </a:blip>
                    <a:stretch>
                      <a:fillRect/>
                    </a:stretch>
                  </pic:blipFill>
                  <pic:spPr>
                    <a:xfrm>
                      <a:off x="0" y="0"/>
                      <a:ext cx="4858249" cy="3166593"/>
                    </a:xfrm>
                    <a:prstGeom prst="rect">
                      <a:avLst/>
                    </a:prstGeom>
                  </pic:spPr>
                </pic:pic>
              </a:graphicData>
            </a:graphic>
          </wp:inline>
        </w:drawing>
      </w:r>
    </w:p>
    <w:p w14:paraId="61EBDCEE" w14:textId="77777777" w:rsidR="006356F1" w:rsidRPr="005A1173" w:rsidRDefault="006356F1" w:rsidP="006356F1">
      <w:pPr>
        <w:ind w:left="2268"/>
        <w:jc w:val="both"/>
        <w:rPr>
          <w:rFonts w:ascii="Arial" w:hAnsi="Arial" w:cs="Arial"/>
          <w:sz w:val="22"/>
          <w:szCs w:val="24"/>
        </w:rPr>
      </w:pPr>
      <w:r w:rsidRPr="005A1173">
        <w:rPr>
          <w:rFonts w:ascii="Arial" w:hAnsi="Arial" w:cs="Arial"/>
          <w:sz w:val="22"/>
          <w:szCs w:val="24"/>
        </w:rPr>
        <w:t>[...]</w:t>
      </w:r>
    </w:p>
    <w:p w14:paraId="308792B1" w14:textId="77777777" w:rsidR="006356F1" w:rsidRPr="005A1173" w:rsidRDefault="006356F1" w:rsidP="006356F1">
      <w:pPr>
        <w:ind w:left="2268"/>
        <w:jc w:val="both"/>
        <w:rPr>
          <w:rFonts w:ascii="Arial" w:hAnsi="Arial" w:cs="Arial"/>
          <w:sz w:val="22"/>
          <w:szCs w:val="24"/>
        </w:rPr>
      </w:pPr>
      <w:r w:rsidRPr="005A1173">
        <w:rPr>
          <w:rFonts w:ascii="Arial" w:hAnsi="Arial" w:cs="Arial"/>
          <w:sz w:val="22"/>
          <w:szCs w:val="24"/>
        </w:rPr>
        <w:t xml:space="preserve">Quanto ao número de observações, ao analisar o impacto do programa no </w:t>
      </w:r>
      <w:r w:rsidRPr="0077276D">
        <w:rPr>
          <w:rFonts w:ascii="Arial" w:hAnsi="Arial" w:cs="Arial"/>
          <w:i/>
          <w:sz w:val="22"/>
          <w:szCs w:val="24"/>
        </w:rPr>
        <w:t>ln</w:t>
      </w:r>
      <w:r w:rsidRPr="005A1173">
        <w:rPr>
          <w:rFonts w:ascii="Arial" w:hAnsi="Arial" w:cs="Arial"/>
          <w:sz w:val="22"/>
          <w:szCs w:val="24"/>
        </w:rPr>
        <w:t xml:space="preserve"> do valor adicionado bruto das indústrias, pode-se inferir que 62 municípios foram tratados no ano base, isto é, dos 246 municípios do estado de Goiás, 62 deles receberam incentivo fiscal do programa PRODUZIR no ano de 2005. Já no período de acompanhamento, infere-se que 893 municípios receberam incentivos fiscais por meio do programa.</w:t>
      </w:r>
    </w:p>
    <w:p w14:paraId="5C137048" w14:textId="77777777" w:rsidR="006356F1" w:rsidRPr="005A1173" w:rsidRDefault="006356F1" w:rsidP="006356F1">
      <w:pPr>
        <w:ind w:left="2268"/>
        <w:jc w:val="both"/>
        <w:rPr>
          <w:rFonts w:ascii="Arial" w:hAnsi="Arial" w:cs="Arial"/>
          <w:sz w:val="22"/>
          <w:szCs w:val="24"/>
        </w:rPr>
      </w:pPr>
      <w:r w:rsidRPr="005A1173">
        <w:rPr>
          <w:rFonts w:ascii="Arial" w:hAnsi="Arial" w:cs="Arial"/>
          <w:sz w:val="22"/>
          <w:szCs w:val="24"/>
        </w:rPr>
        <w:t xml:space="preserve">De acordo com o resultado abaixo é possível inferir que o valor do Dif-Dif foi de 0,477 e isso pode ser interpretado como, </w:t>
      </w:r>
      <w:r w:rsidRPr="0077276D">
        <w:rPr>
          <w:rFonts w:ascii="Arial" w:hAnsi="Arial" w:cs="Arial"/>
          <w:b/>
          <w:sz w:val="22"/>
          <w:szCs w:val="24"/>
        </w:rPr>
        <w:t>para cada 1% adicional de renúncia fiscal concedido aos municípios que participaram do Programa Fomentar/Produzir haveria uma queda esperada de 0,477% no valor adicionado bruto da indústria nos anos de 2005-2016 em relação ao dos municípios que não foram beneficiados</w:t>
      </w:r>
      <w:r w:rsidRPr="005A1173">
        <w:rPr>
          <w:rFonts w:ascii="Arial" w:hAnsi="Arial" w:cs="Arial"/>
          <w:sz w:val="22"/>
          <w:szCs w:val="24"/>
        </w:rPr>
        <w:t>.</w:t>
      </w:r>
    </w:p>
    <w:p w14:paraId="70C76E25" w14:textId="77777777" w:rsidR="006356F1" w:rsidRPr="005A1173" w:rsidRDefault="006356F1" w:rsidP="006356F1">
      <w:pPr>
        <w:ind w:left="2268"/>
        <w:jc w:val="both"/>
        <w:rPr>
          <w:rFonts w:ascii="Arial" w:hAnsi="Arial" w:cs="Arial"/>
          <w:sz w:val="22"/>
          <w:szCs w:val="24"/>
        </w:rPr>
      </w:pPr>
    </w:p>
    <w:p w14:paraId="2DD9622D" w14:textId="77777777" w:rsidR="006356F1" w:rsidRDefault="006356F1" w:rsidP="006356F1">
      <w:pPr>
        <w:spacing w:line="360" w:lineRule="auto"/>
        <w:ind w:left="2268"/>
        <w:jc w:val="both"/>
        <w:rPr>
          <w:rFonts w:ascii="Arial" w:hAnsi="Arial" w:cs="Arial"/>
          <w:sz w:val="24"/>
          <w:szCs w:val="24"/>
        </w:rPr>
      </w:pPr>
      <w:r>
        <w:rPr>
          <w:rFonts w:ascii="Arial" w:hAnsi="Arial" w:cs="Arial"/>
          <w:noProof/>
          <w:sz w:val="24"/>
          <w:szCs w:val="24"/>
        </w:rPr>
        <w:lastRenderedPageBreak/>
        <w:drawing>
          <wp:inline distT="0" distB="0" distL="0" distR="0" wp14:anchorId="72C45C76" wp14:editId="721C17B2">
            <wp:extent cx="4617848" cy="3605162"/>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abela 5.1.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637080" cy="3620176"/>
                    </a:xfrm>
                    <a:prstGeom prst="rect">
                      <a:avLst/>
                    </a:prstGeom>
                  </pic:spPr>
                </pic:pic>
              </a:graphicData>
            </a:graphic>
          </wp:inline>
        </w:drawing>
      </w:r>
    </w:p>
    <w:p w14:paraId="07981F02" w14:textId="77777777" w:rsidR="006356F1" w:rsidRPr="005A1173" w:rsidRDefault="006356F1" w:rsidP="006356F1">
      <w:pPr>
        <w:ind w:left="2268"/>
        <w:jc w:val="both"/>
        <w:rPr>
          <w:rFonts w:ascii="Arial" w:hAnsi="Arial" w:cs="Arial"/>
          <w:sz w:val="22"/>
          <w:szCs w:val="24"/>
        </w:rPr>
      </w:pPr>
      <w:r w:rsidRPr="005A1173">
        <w:rPr>
          <w:rFonts w:ascii="Arial" w:hAnsi="Arial" w:cs="Arial"/>
          <w:sz w:val="22"/>
          <w:szCs w:val="24"/>
        </w:rPr>
        <w:t xml:space="preserve">Intuitivamente, isso significa que </w:t>
      </w:r>
      <w:r w:rsidRPr="005A1173">
        <w:rPr>
          <w:rFonts w:ascii="Arial" w:hAnsi="Arial" w:cs="Arial"/>
          <w:b/>
          <w:sz w:val="22"/>
          <w:szCs w:val="24"/>
        </w:rPr>
        <w:t>nas indústrias instaladas nos municípios que receberam o tratamento, o programa não evidenciou ganhos no valor adicionado industrial</w:t>
      </w:r>
      <w:r w:rsidRPr="005A1173">
        <w:rPr>
          <w:rFonts w:ascii="Arial" w:hAnsi="Arial" w:cs="Arial"/>
          <w:sz w:val="22"/>
          <w:szCs w:val="24"/>
        </w:rPr>
        <w:t>. [...]</w:t>
      </w:r>
      <w:r>
        <w:rPr>
          <w:rStyle w:val="Refdenotaderodap"/>
          <w:rFonts w:ascii="Arial" w:hAnsi="Arial" w:cs="Arial"/>
          <w:sz w:val="22"/>
          <w:szCs w:val="24"/>
        </w:rPr>
        <w:footnoteReference w:id="133"/>
      </w:r>
    </w:p>
    <w:p w14:paraId="71EA4E37" w14:textId="77777777" w:rsidR="006356F1" w:rsidRPr="00917DBF" w:rsidRDefault="006356F1" w:rsidP="006356F1">
      <w:pPr>
        <w:spacing w:line="360" w:lineRule="auto"/>
        <w:ind w:firstLine="851"/>
        <w:jc w:val="both"/>
        <w:rPr>
          <w:rFonts w:ascii="Arial" w:hAnsi="Arial" w:cs="Arial"/>
          <w:sz w:val="24"/>
          <w:szCs w:val="24"/>
        </w:rPr>
      </w:pPr>
    </w:p>
    <w:p w14:paraId="44C7808D" w14:textId="77777777" w:rsidR="006356F1" w:rsidRPr="00917DBF" w:rsidRDefault="006356F1" w:rsidP="006356F1">
      <w:pPr>
        <w:spacing w:line="360" w:lineRule="auto"/>
        <w:ind w:firstLine="851"/>
        <w:jc w:val="both"/>
        <w:rPr>
          <w:rFonts w:ascii="Arial" w:hAnsi="Arial" w:cs="Arial"/>
          <w:sz w:val="24"/>
          <w:szCs w:val="24"/>
        </w:rPr>
      </w:pPr>
    </w:p>
    <w:p w14:paraId="349B82B5" w14:textId="1734EB6A" w:rsidR="006356F1" w:rsidRDefault="006356F1" w:rsidP="006356F1">
      <w:pPr>
        <w:spacing w:line="360" w:lineRule="auto"/>
        <w:ind w:firstLine="851"/>
        <w:jc w:val="both"/>
        <w:rPr>
          <w:rFonts w:ascii="Arial" w:hAnsi="Arial" w:cs="Arial"/>
          <w:b/>
          <w:sz w:val="24"/>
          <w:szCs w:val="24"/>
        </w:rPr>
      </w:pPr>
      <w:r>
        <w:rPr>
          <w:rFonts w:ascii="Arial" w:hAnsi="Arial" w:cs="Arial"/>
          <w:b/>
          <w:sz w:val="24"/>
          <w:szCs w:val="24"/>
        </w:rPr>
        <w:t>1</w:t>
      </w:r>
      <w:r w:rsidR="005010D5">
        <w:rPr>
          <w:rFonts w:ascii="Arial" w:hAnsi="Arial" w:cs="Arial"/>
          <w:b/>
          <w:sz w:val="24"/>
          <w:szCs w:val="24"/>
        </w:rPr>
        <w:t>1</w:t>
      </w:r>
      <w:r>
        <w:rPr>
          <w:rFonts w:ascii="Arial" w:hAnsi="Arial" w:cs="Arial"/>
          <w:b/>
          <w:sz w:val="24"/>
          <w:szCs w:val="24"/>
        </w:rPr>
        <w:t>.</w:t>
      </w:r>
      <w:r w:rsidR="00B34BAE">
        <w:rPr>
          <w:rFonts w:ascii="Arial" w:hAnsi="Arial" w:cs="Arial"/>
          <w:b/>
          <w:sz w:val="24"/>
          <w:szCs w:val="24"/>
        </w:rPr>
        <w:t>7 – RESULTADOS</w:t>
      </w:r>
    </w:p>
    <w:p w14:paraId="4CF2194B" w14:textId="77777777" w:rsidR="006356F1" w:rsidRDefault="006356F1" w:rsidP="006356F1">
      <w:pPr>
        <w:spacing w:line="360" w:lineRule="auto"/>
        <w:ind w:firstLine="851"/>
        <w:jc w:val="both"/>
        <w:rPr>
          <w:rFonts w:ascii="Arial" w:hAnsi="Arial" w:cs="Arial"/>
          <w:sz w:val="24"/>
          <w:szCs w:val="24"/>
        </w:rPr>
      </w:pPr>
    </w:p>
    <w:p w14:paraId="7EC12D48" w14:textId="1D4781BB" w:rsidR="006356F1" w:rsidRDefault="004B4220" w:rsidP="006356F1">
      <w:pPr>
        <w:spacing w:line="360" w:lineRule="auto"/>
        <w:ind w:firstLine="851"/>
        <w:jc w:val="both"/>
        <w:rPr>
          <w:rFonts w:ascii="Arial" w:hAnsi="Arial" w:cs="Arial"/>
          <w:sz w:val="24"/>
          <w:szCs w:val="24"/>
        </w:rPr>
      </w:pPr>
      <w:r>
        <w:rPr>
          <w:rFonts w:ascii="Arial" w:hAnsi="Arial" w:cs="Arial"/>
          <w:sz w:val="24"/>
          <w:szCs w:val="24"/>
        </w:rPr>
        <w:t>Realizada</w:t>
      </w:r>
      <w:r w:rsidR="006356F1">
        <w:rPr>
          <w:rFonts w:ascii="Arial" w:hAnsi="Arial" w:cs="Arial"/>
          <w:sz w:val="24"/>
          <w:szCs w:val="24"/>
        </w:rPr>
        <w:t xml:space="preserve"> a análise das características acima</w:t>
      </w:r>
      <w:r>
        <w:rPr>
          <w:rFonts w:ascii="Arial" w:hAnsi="Arial" w:cs="Arial"/>
          <w:sz w:val="24"/>
          <w:szCs w:val="24"/>
        </w:rPr>
        <w:t>,</w:t>
      </w:r>
      <w:r w:rsidR="006356F1">
        <w:rPr>
          <w:rFonts w:ascii="Arial" w:hAnsi="Arial" w:cs="Arial"/>
          <w:sz w:val="24"/>
          <w:szCs w:val="24"/>
        </w:rPr>
        <w:t xml:space="preserve"> o IMB e a CGE apresentaram suas conclusões sobre os resultados apresentados pelos programas FORMENTAR e PRODUZIR.</w:t>
      </w:r>
    </w:p>
    <w:p w14:paraId="53F31798"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Já no início de sua análise o IMB apresenta resumo sobre estudos empíricos da política de incentivos fiscais do Estado de Goiás, no qual constam os principais resultados</w:t>
      </w:r>
      <w:r>
        <w:rPr>
          <w:rStyle w:val="Refdenotaderodap"/>
          <w:rFonts w:ascii="Arial" w:hAnsi="Arial" w:cs="Arial"/>
          <w:sz w:val="24"/>
          <w:szCs w:val="24"/>
        </w:rPr>
        <w:footnoteReference w:id="134"/>
      </w:r>
      <w:r>
        <w:rPr>
          <w:rFonts w:ascii="Arial" w:hAnsi="Arial" w:cs="Arial"/>
          <w:sz w:val="24"/>
          <w:szCs w:val="24"/>
        </w:rPr>
        <w:t>:</w:t>
      </w:r>
    </w:p>
    <w:p w14:paraId="2FDD068D" w14:textId="77777777" w:rsidR="006356F1" w:rsidRDefault="006356F1" w:rsidP="006356F1">
      <w:pPr>
        <w:spacing w:line="360" w:lineRule="auto"/>
        <w:ind w:firstLine="851"/>
        <w:jc w:val="both"/>
        <w:rPr>
          <w:rFonts w:ascii="Arial" w:hAnsi="Arial" w:cs="Arial"/>
          <w:sz w:val="24"/>
          <w:szCs w:val="24"/>
        </w:rPr>
      </w:pPr>
    </w:p>
    <w:p w14:paraId="4D510B04" w14:textId="77777777" w:rsidR="006356F1" w:rsidRDefault="006356F1" w:rsidP="006356F1">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3AC5F92E" wp14:editId="57F53ABE">
            <wp:extent cx="5935980" cy="4185920"/>
            <wp:effectExtent l="0" t="0" r="7620" b="508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umo estudos.PNG"/>
                    <pic:cNvPicPr/>
                  </pic:nvPicPr>
                  <pic:blipFill>
                    <a:blip r:embed="rId109">
                      <a:extLst>
                        <a:ext uri="{28A0092B-C50C-407E-A947-70E740481C1C}">
                          <a14:useLocalDpi xmlns:a14="http://schemas.microsoft.com/office/drawing/2010/main" val="0"/>
                        </a:ext>
                      </a:extLst>
                    </a:blip>
                    <a:stretch>
                      <a:fillRect/>
                    </a:stretch>
                  </pic:blipFill>
                  <pic:spPr>
                    <a:xfrm>
                      <a:off x="0" y="0"/>
                      <a:ext cx="5935980" cy="4185920"/>
                    </a:xfrm>
                    <a:prstGeom prst="rect">
                      <a:avLst/>
                    </a:prstGeom>
                  </pic:spPr>
                </pic:pic>
              </a:graphicData>
            </a:graphic>
          </wp:inline>
        </w:drawing>
      </w:r>
    </w:p>
    <w:p w14:paraId="39207058" w14:textId="77777777" w:rsidR="006356F1" w:rsidRDefault="006356F1" w:rsidP="006356F1">
      <w:pPr>
        <w:spacing w:line="360" w:lineRule="auto"/>
        <w:ind w:firstLine="851"/>
        <w:jc w:val="both"/>
        <w:rPr>
          <w:rFonts w:ascii="Arial" w:hAnsi="Arial" w:cs="Arial"/>
          <w:sz w:val="24"/>
          <w:szCs w:val="24"/>
        </w:rPr>
      </w:pPr>
    </w:p>
    <w:p w14:paraId="2C82BC48" w14:textId="61B97A28"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O quadro já aponta que os programas: a) realmente contribuíram para o desenvolvimento do Estado, todavia há insustentabilidade de longo prazo; b) têm efeito no aumento da renda média; c) não impactam na geração de empregos; e d) não provocam aumento da arrecadação de tributos locais. Não adentraremos no conteúdo de tais estudos, todavia, suas conclusões apontadas pelo IMB são úteis como alerta.</w:t>
      </w:r>
    </w:p>
    <w:p w14:paraId="2E7DE79B" w14:textId="77777777" w:rsidR="006356F1" w:rsidRDefault="006356F1" w:rsidP="006356F1">
      <w:pPr>
        <w:spacing w:line="360" w:lineRule="auto"/>
        <w:ind w:firstLine="851"/>
        <w:jc w:val="both"/>
        <w:rPr>
          <w:rFonts w:ascii="Arial" w:hAnsi="Arial" w:cs="Arial"/>
          <w:sz w:val="24"/>
          <w:szCs w:val="24"/>
        </w:rPr>
      </w:pPr>
    </w:p>
    <w:p w14:paraId="2F2AE9CB"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Seguindo em seu estudo, </w:t>
      </w:r>
      <w:r w:rsidRPr="006374D6">
        <w:rPr>
          <w:rFonts w:ascii="Arial" w:hAnsi="Arial" w:cs="Arial"/>
          <w:b/>
          <w:sz w:val="24"/>
          <w:szCs w:val="24"/>
        </w:rPr>
        <w:t>o IMB confirma que a indústria goiana, em geral, teve crescimento acima da média nacional</w:t>
      </w:r>
      <w:r>
        <w:rPr>
          <w:rFonts w:ascii="Arial" w:hAnsi="Arial" w:cs="Arial"/>
          <w:sz w:val="24"/>
          <w:szCs w:val="24"/>
        </w:rPr>
        <w:t>, mesmo durante a crise econômica de 2014-2016</w:t>
      </w:r>
      <w:r>
        <w:rPr>
          <w:rStyle w:val="Refdenotaderodap"/>
          <w:rFonts w:ascii="Arial" w:hAnsi="Arial" w:cs="Arial"/>
          <w:sz w:val="24"/>
          <w:szCs w:val="24"/>
        </w:rPr>
        <w:footnoteReference w:id="135"/>
      </w:r>
      <w:r>
        <w:rPr>
          <w:rFonts w:ascii="Arial" w:hAnsi="Arial" w:cs="Arial"/>
          <w:sz w:val="24"/>
          <w:szCs w:val="24"/>
        </w:rPr>
        <w:t>:</w:t>
      </w:r>
    </w:p>
    <w:p w14:paraId="1C57EB56" w14:textId="77777777" w:rsidR="006356F1" w:rsidRDefault="006356F1" w:rsidP="006356F1">
      <w:pPr>
        <w:spacing w:line="360" w:lineRule="auto"/>
        <w:ind w:firstLine="851"/>
        <w:jc w:val="both"/>
        <w:rPr>
          <w:rFonts w:ascii="Arial" w:hAnsi="Arial" w:cs="Arial"/>
          <w:sz w:val="24"/>
          <w:szCs w:val="24"/>
        </w:rPr>
      </w:pPr>
    </w:p>
    <w:p w14:paraId="73EC0CDE" w14:textId="77777777" w:rsidR="006356F1" w:rsidRPr="005C6A83" w:rsidRDefault="006356F1" w:rsidP="006356F1">
      <w:pPr>
        <w:ind w:left="2268"/>
        <w:jc w:val="both"/>
        <w:rPr>
          <w:rFonts w:ascii="Arial" w:hAnsi="Arial" w:cs="Arial"/>
          <w:sz w:val="22"/>
          <w:szCs w:val="24"/>
        </w:rPr>
      </w:pPr>
      <w:r w:rsidRPr="005C6A83">
        <w:rPr>
          <w:rFonts w:ascii="Arial" w:hAnsi="Arial" w:cs="Arial"/>
          <w:sz w:val="22"/>
          <w:szCs w:val="24"/>
        </w:rPr>
        <w:t xml:space="preserve">A indústria brasileira, assim como a goiana, passou por uma de suas piores crises no período 2014-2016, da qual ainda não se restabeleceu completamente. As dificuldades do setor nos últimos anos tem como consequência um ritmo lento de crescimento, perda de produtividade e atraso tecnológico. Em termos de crescimento, conforme demonstrado </w:t>
      </w:r>
      <w:r w:rsidRPr="005C6A83">
        <w:rPr>
          <w:rFonts w:ascii="Arial" w:hAnsi="Arial" w:cs="Arial"/>
          <w:sz w:val="22"/>
          <w:szCs w:val="24"/>
        </w:rPr>
        <w:lastRenderedPageBreak/>
        <w:t xml:space="preserve">na Figura 4.0, </w:t>
      </w:r>
      <w:r w:rsidRPr="006374D6">
        <w:rPr>
          <w:rFonts w:ascii="Arial" w:hAnsi="Arial" w:cs="Arial"/>
          <w:b/>
          <w:sz w:val="22"/>
          <w:szCs w:val="24"/>
        </w:rPr>
        <w:t>o desempenho da indústria goiana no período de 2003 a 2018 demonstra que a atividade fabril em Goiás cresceu acima da média nacional em vários períodos</w:t>
      </w:r>
      <w:r w:rsidRPr="005C6A83">
        <w:rPr>
          <w:rFonts w:ascii="Arial" w:hAnsi="Arial" w:cs="Arial"/>
          <w:sz w:val="22"/>
          <w:szCs w:val="24"/>
        </w:rPr>
        <w:t>, embora a indústria goiana tenha dinâmica bastante diferente da brasileira. No período, Goiás cresceu 70,5% e a nacional 10,9%, percebendo-se a perda de fôlego da indústria a partir de 2014 em termos de volume, assim como no valor, como descrito acima.</w:t>
      </w:r>
    </w:p>
    <w:p w14:paraId="41B69D8E" w14:textId="77777777" w:rsidR="006356F1" w:rsidRPr="005C6A83" w:rsidRDefault="006356F1" w:rsidP="006356F1">
      <w:pPr>
        <w:ind w:left="2268"/>
        <w:jc w:val="both"/>
        <w:rPr>
          <w:rFonts w:ascii="Arial" w:hAnsi="Arial" w:cs="Arial"/>
          <w:sz w:val="22"/>
          <w:szCs w:val="24"/>
        </w:rPr>
      </w:pPr>
    </w:p>
    <w:p w14:paraId="15C722A3" w14:textId="77777777" w:rsidR="006356F1" w:rsidRDefault="006356F1" w:rsidP="006356F1">
      <w:pPr>
        <w:spacing w:line="360" w:lineRule="auto"/>
        <w:ind w:left="2268"/>
        <w:jc w:val="both"/>
        <w:rPr>
          <w:rFonts w:ascii="Arial" w:hAnsi="Arial" w:cs="Arial"/>
          <w:sz w:val="24"/>
          <w:szCs w:val="24"/>
        </w:rPr>
      </w:pPr>
      <w:r>
        <w:rPr>
          <w:rFonts w:ascii="Arial" w:hAnsi="Arial" w:cs="Arial"/>
          <w:noProof/>
          <w:sz w:val="24"/>
          <w:szCs w:val="24"/>
        </w:rPr>
        <w:drawing>
          <wp:inline distT="0" distB="0" distL="0" distR="0" wp14:anchorId="75DB6D7A" wp14:editId="7E03D515">
            <wp:extent cx="4790036" cy="2588710"/>
            <wp:effectExtent l="0" t="0" r="0" b="254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volução da Indústria.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815710" cy="2602585"/>
                    </a:xfrm>
                    <a:prstGeom prst="rect">
                      <a:avLst/>
                    </a:prstGeom>
                  </pic:spPr>
                </pic:pic>
              </a:graphicData>
            </a:graphic>
          </wp:inline>
        </w:drawing>
      </w:r>
    </w:p>
    <w:p w14:paraId="138876B9" w14:textId="77777777" w:rsidR="006356F1" w:rsidRDefault="006356F1" w:rsidP="006356F1">
      <w:pPr>
        <w:spacing w:line="360" w:lineRule="auto"/>
        <w:ind w:firstLine="851"/>
        <w:jc w:val="both"/>
        <w:rPr>
          <w:rFonts w:ascii="Arial" w:hAnsi="Arial" w:cs="Arial"/>
          <w:sz w:val="24"/>
          <w:szCs w:val="24"/>
        </w:rPr>
      </w:pPr>
    </w:p>
    <w:p w14:paraId="753F50D3"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A diante, segue apontando </w:t>
      </w:r>
      <w:r w:rsidRPr="006374D6">
        <w:rPr>
          <w:rFonts w:ascii="Arial" w:hAnsi="Arial" w:cs="Arial"/>
          <w:b/>
          <w:sz w:val="24"/>
          <w:szCs w:val="24"/>
        </w:rPr>
        <w:t>o aumento da participação da indústria goiana no Valor da Transformação Industrial brasileiro</w:t>
      </w:r>
      <w:r>
        <w:rPr>
          <w:rStyle w:val="Refdenotaderodap"/>
          <w:rFonts w:ascii="Arial" w:hAnsi="Arial" w:cs="Arial"/>
          <w:sz w:val="24"/>
          <w:szCs w:val="24"/>
        </w:rPr>
        <w:footnoteReference w:id="136"/>
      </w:r>
      <w:r>
        <w:rPr>
          <w:rFonts w:ascii="Arial" w:hAnsi="Arial" w:cs="Arial"/>
          <w:sz w:val="24"/>
          <w:szCs w:val="24"/>
        </w:rPr>
        <w:t>:</w:t>
      </w:r>
    </w:p>
    <w:p w14:paraId="190CA2A5" w14:textId="77777777" w:rsidR="006356F1" w:rsidRDefault="006356F1" w:rsidP="006356F1">
      <w:pPr>
        <w:spacing w:line="360" w:lineRule="auto"/>
        <w:ind w:firstLine="851"/>
        <w:jc w:val="both"/>
        <w:rPr>
          <w:rFonts w:ascii="Arial" w:hAnsi="Arial" w:cs="Arial"/>
          <w:sz w:val="24"/>
          <w:szCs w:val="24"/>
        </w:rPr>
      </w:pPr>
    </w:p>
    <w:p w14:paraId="14C84E50" w14:textId="77777777" w:rsidR="006356F1" w:rsidRPr="00614939" w:rsidRDefault="006356F1" w:rsidP="006356F1">
      <w:pPr>
        <w:ind w:left="2268"/>
        <w:jc w:val="both"/>
        <w:rPr>
          <w:rFonts w:ascii="Arial" w:hAnsi="Arial" w:cs="Arial"/>
          <w:sz w:val="22"/>
          <w:szCs w:val="24"/>
        </w:rPr>
      </w:pPr>
      <w:r w:rsidRPr="00614939">
        <w:rPr>
          <w:rFonts w:ascii="Arial" w:hAnsi="Arial" w:cs="Arial"/>
          <w:sz w:val="22"/>
          <w:szCs w:val="24"/>
        </w:rPr>
        <w:t>Segundo informações da Pesquisa Industrial Anual (PIA), realizada pelo IBGE, entre 2007 e 2017</w:t>
      </w:r>
      <w:r w:rsidRPr="006374D6">
        <w:rPr>
          <w:rFonts w:ascii="Arial" w:hAnsi="Arial" w:cs="Arial"/>
          <w:b/>
          <w:sz w:val="22"/>
          <w:szCs w:val="24"/>
        </w:rPr>
        <w:t>, a participação da indústria goiana no Valor da Transformação Industrial (VTI) brasileiro passou de 1,9% para 2,9%, ou seja, houve um aumento de 1,0 ponto percentual no período</w:t>
      </w:r>
      <w:r w:rsidRPr="00614939">
        <w:rPr>
          <w:rFonts w:ascii="Arial" w:hAnsi="Arial" w:cs="Arial"/>
          <w:sz w:val="22"/>
          <w:szCs w:val="24"/>
        </w:rPr>
        <w:t>. Observa-se que houve ganho de participação em todas as categorias de usos. O processo de concentração aconteceu com mais intensidade na categoria de bens intermediários, que passou de 1,3% em 2007 para 2,3% em 2017. A categoria de bens de consumo não duráveis saiu de uma participação do setor no Brasil de 4,2% em 2007, para 5,0% em 2017. Já a de bens de capital apresentou a menor participação em relação ao Brasil, 0,6% em 2017 entre as categorias uso (Tabela 4.4).</w:t>
      </w:r>
    </w:p>
    <w:p w14:paraId="637119A5" w14:textId="77777777" w:rsidR="006356F1" w:rsidRPr="00614939" w:rsidRDefault="006356F1" w:rsidP="006356F1">
      <w:pPr>
        <w:ind w:left="2268"/>
        <w:jc w:val="both"/>
        <w:rPr>
          <w:rFonts w:ascii="Arial" w:hAnsi="Arial" w:cs="Arial"/>
          <w:sz w:val="22"/>
          <w:szCs w:val="24"/>
        </w:rPr>
      </w:pPr>
    </w:p>
    <w:p w14:paraId="04F1ACD5" w14:textId="77777777" w:rsidR="006356F1" w:rsidRDefault="006356F1" w:rsidP="006356F1">
      <w:pPr>
        <w:spacing w:line="360" w:lineRule="auto"/>
        <w:ind w:left="2268"/>
        <w:jc w:val="both"/>
        <w:rPr>
          <w:rFonts w:ascii="Arial" w:hAnsi="Arial" w:cs="Arial"/>
          <w:sz w:val="24"/>
          <w:szCs w:val="24"/>
        </w:rPr>
      </w:pPr>
      <w:r>
        <w:rPr>
          <w:rFonts w:ascii="Arial" w:hAnsi="Arial" w:cs="Arial"/>
          <w:noProof/>
          <w:sz w:val="24"/>
          <w:szCs w:val="24"/>
        </w:rPr>
        <w:lastRenderedPageBreak/>
        <w:drawing>
          <wp:inline distT="0" distB="0" distL="0" distR="0" wp14:anchorId="741278E4" wp14:editId="03B4C32F">
            <wp:extent cx="4706536" cy="1553238"/>
            <wp:effectExtent l="0" t="0" r="0" b="889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rticipação no VTI.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738749" cy="1563869"/>
                    </a:xfrm>
                    <a:prstGeom prst="rect">
                      <a:avLst/>
                    </a:prstGeom>
                  </pic:spPr>
                </pic:pic>
              </a:graphicData>
            </a:graphic>
          </wp:inline>
        </w:drawing>
      </w:r>
    </w:p>
    <w:p w14:paraId="46800B58" w14:textId="77777777" w:rsidR="006356F1" w:rsidRPr="00614939" w:rsidRDefault="006356F1" w:rsidP="006356F1">
      <w:pPr>
        <w:ind w:left="2268"/>
        <w:jc w:val="both"/>
        <w:rPr>
          <w:rFonts w:ascii="Arial" w:hAnsi="Arial" w:cs="Arial"/>
          <w:sz w:val="22"/>
          <w:szCs w:val="24"/>
        </w:rPr>
      </w:pPr>
    </w:p>
    <w:p w14:paraId="39401000" w14:textId="77777777" w:rsidR="006356F1" w:rsidRPr="00614939" w:rsidRDefault="006356F1" w:rsidP="006356F1">
      <w:pPr>
        <w:ind w:left="2268"/>
        <w:jc w:val="both"/>
        <w:rPr>
          <w:rFonts w:ascii="Arial" w:hAnsi="Arial" w:cs="Arial"/>
          <w:sz w:val="22"/>
          <w:szCs w:val="24"/>
        </w:rPr>
      </w:pPr>
      <w:r w:rsidRPr="00614939">
        <w:rPr>
          <w:rFonts w:ascii="Arial" w:hAnsi="Arial" w:cs="Arial"/>
          <w:sz w:val="22"/>
          <w:szCs w:val="24"/>
        </w:rPr>
        <w:t>Conceitualmente, as indústrias de bens intermediários caracterizam-se pelo fornecimento de produtos beneficiados que serão utilizados pelas indústrias de consumo. Segundo a abertura da pesquisa - PIA empresa - foram classificadas como indústria de bens intermediários em Goiás as seguintes atividades: (i) fabricação de coque, de produtos derivados do petróleo e de biocombustíveis; (ii) fabricação de produtos químicos; (iii) fabricação de produtos de borracha e de material plástico; (iv) fabricação de produtos de minerais não-metálicos; (v) metalurgia; e, (vi) fabricação de produtos de metal, exceto máquinas e equipamentos.</w:t>
      </w:r>
    </w:p>
    <w:p w14:paraId="69B2B274" w14:textId="77777777" w:rsidR="006356F1" w:rsidRPr="00614939" w:rsidRDefault="006356F1" w:rsidP="006356F1">
      <w:pPr>
        <w:ind w:left="2268"/>
        <w:jc w:val="both"/>
        <w:rPr>
          <w:rFonts w:ascii="Arial" w:hAnsi="Arial" w:cs="Arial"/>
          <w:sz w:val="22"/>
          <w:szCs w:val="24"/>
        </w:rPr>
      </w:pPr>
      <w:r w:rsidRPr="00614939">
        <w:rPr>
          <w:rFonts w:ascii="Arial" w:hAnsi="Arial" w:cs="Arial"/>
          <w:sz w:val="22"/>
          <w:szCs w:val="24"/>
        </w:rPr>
        <w:t>No setor de bens intermediários foi identificado um ganho de participação, o que contribuiu sobremaneira para o aumento de participação no valor da transformação industrial no estado. A contribuição goiana é bastante expressiva em segmentos integrados às suas cadeias produtivas, como os de produtos derivados da cana-de-açúcar. Nota-se um forte crescimento no setor de biocombustíveis, que passou de 0,5% em 2007, para 3,5% em 2017 do VTI do setor no Brasil. Esse salto pode ser explicado, em parte, pela decisão das usinas de dar preferência à produção de etanol no estado. No caso, Goiás possui 36 usinas de álcool e açúcar em operação, sendo a produção mais direcionada ao etanol, em que o estado é o segundo maior do país. Na produção de açúcar, Goiás se posiciona em nível nacional na quarta posição. Ademais, a fabricação de produtos químicos (1,8% para 2,2%) também é importante, pois é integrada à atividade da agropecuária, no fornecimento de insumos como: fabricação de intermediários para fertilizantes e fabricação de adubos e fertilizantes (Tabela 4.5).</w:t>
      </w:r>
    </w:p>
    <w:p w14:paraId="0774FFE9" w14:textId="77777777" w:rsidR="006356F1" w:rsidRPr="00614939" w:rsidRDefault="006356F1" w:rsidP="006356F1">
      <w:pPr>
        <w:ind w:left="2268"/>
        <w:jc w:val="both"/>
        <w:rPr>
          <w:rFonts w:ascii="Arial" w:hAnsi="Arial" w:cs="Arial"/>
          <w:sz w:val="22"/>
          <w:szCs w:val="24"/>
        </w:rPr>
      </w:pPr>
    </w:p>
    <w:p w14:paraId="2E8A331C" w14:textId="77777777" w:rsidR="006356F1" w:rsidRDefault="006356F1" w:rsidP="006356F1">
      <w:pPr>
        <w:spacing w:line="360" w:lineRule="auto"/>
        <w:ind w:firstLine="2268"/>
        <w:jc w:val="both"/>
        <w:rPr>
          <w:rFonts w:ascii="Arial" w:hAnsi="Arial" w:cs="Arial"/>
          <w:sz w:val="24"/>
          <w:szCs w:val="24"/>
        </w:rPr>
      </w:pPr>
      <w:r>
        <w:rPr>
          <w:rFonts w:ascii="Arial" w:hAnsi="Arial" w:cs="Arial"/>
          <w:noProof/>
          <w:sz w:val="24"/>
          <w:szCs w:val="24"/>
        </w:rPr>
        <w:lastRenderedPageBreak/>
        <w:drawing>
          <wp:inline distT="0" distB="0" distL="0" distR="0" wp14:anchorId="48B09B65" wp14:editId="3A4649CF">
            <wp:extent cx="4923480" cy="5531805"/>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rticipação no VTI segundo setor].PNG"/>
                    <pic:cNvPicPr/>
                  </pic:nvPicPr>
                  <pic:blipFill>
                    <a:blip r:embed="rId112">
                      <a:extLst>
                        <a:ext uri="{28A0092B-C50C-407E-A947-70E740481C1C}">
                          <a14:useLocalDpi xmlns:a14="http://schemas.microsoft.com/office/drawing/2010/main" val="0"/>
                        </a:ext>
                      </a:extLst>
                    </a:blip>
                    <a:stretch>
                      <a:fillRect/>
                    </a:stretch>
                  </pic:blipFill>
                  <pic:spPr>
                    <a:xfrm>
                      <a:off x="0" y="0"/>
                      <a:ext cx="4940294" cy="5550697"/>
                    </a:xfrm>
                    <a:prstGeom prst="rect">
                      <a:avLst/>
                    </a:prstGeom>
                  </pic:spPr>
                </pic:pic>
              </a:graphicData>
            </a:graphic>
          </wp:inline>
        </w:drawing>
      </w:r>
    </w:p>
    <w:p w14:paraId="06D78C1F" w14:textId="77777777" w:rsidR="006356F1" w:rsidRPr="00614939" w:rsidRDefault="006356F1" w:rsidP="006356F1">
      <w:pPr>
        <w:ind w:left="2268"/>
        <w:jc w:val="both"/>
        <w:rPr>
          <w:rFonts w:ascii="Arial" w:hAnsi="Arial" w:cs="Arial"/>
          <w:sz w:val="22"/>
          <w:szCs w:val="24"/>
        </w:rPr>
      </w:pPr>
    </w:p>
    <w:p w14:paraId="162737AA" w14:textId="77777777" w:rsidR="006356F1" w:rsidRPr="00614939" w:rsidRDefault="006356F1" w:rsidP="006356F1">
      <w:pPr>
        <w:ind w:left="2268"/>
        <w:jc w:val="both"/>
        <w:rPr>
          <w:rFonts w:ascii="Arial" w:hAnsi="Arial" w:cs="Arial"/>
          <w:sz w:val="22"/>
          <w:szCs w:val="24"/>
        </w:rPr>
      </w:pPr>
      <w:r w:rsidRPr="00614939">
        <w:rPr>
          <w:rFonts w:ascii="Arial" w:hAnsi="Arial" w:cs="Arial"/>
          <w:sz w:val="22"/>
          <w:szCs w:val="24"/>
        </w:rPr>
        <w:t>Entre 2007 e 2017, a estrutura da indústria do estado mudou significativamente, com destaque para a categoria de bens intermediários, cuja participação no VTI goiano passou de 29,0% para 31,7%, avançando 2,7 pontos percentuais. Este desempenho deveu</w:t>
      </w:r>
      <w:r>
        <w:rPr>
          <w:rFonts w:ascii="Arial" w:hAnsi="Arial" w:cs="Arial"/>
          <w:sz w:val="22"/>
          <w:szCs w:val="24"/>
        </w:rPr>
        <w:t>-</w:t>
      </w:r>
      <w:r w:rsidRPr="00614939">
        <w:rPr>
          <w:rFonts w:ascii="Arial" w:hAnsi="Arial" w:cs="Arial"/>
          <w:sz w:val="22"/>
          <w:szCs w:val="24"/>
        </w:rPr>
        <w:t>se ao avanço do segmento de fabricação de coque, produtos derivados do petróleo e de biocombustíveis, que cresceu de 3,4% para 13,6%, ganhando, assim, 10,2 pontos percentuais, passando a ser o segundo segmento mais importante da matriz industrial do estado (Tabela 4.6).</w:t>
      </w:r>
    </w:p>
    <w:p w14:paraId="798F2349" w14:textId="77777777" w:rsidR="006356F1" w:rsidRPr="00614939" w:rsidRDefault="006356F1" w:rsidP="006356F1">
      <w:pPr>
        <w:ind w:left="2268"/>
        <w:jc w:val="both"/>
        <w:rPr>
          <w:rFonts w:ascii="Arial" w:hAnsi="Arial" w:cs="Arial"/>
          <w:sz w:val="22"/>
          <w:szCs w:val="24"/>
        </w:rPr>
      </w:pPr>
    </w:p>
    <w:p w14:paraId="0349A002" w14:textId="77777777" w:rsidR="006356F1" w:rsidRDefault="006356F1" w:rsidP="006356F1">
      <w:pPr>
        <w:spacing w:line="360" w:lineRule="auto"/>
        <w:ind w:firstLine="2268"/>
        <w:jc w:val="both"/>
        <w:rPr>
          <w:rFonts w:ascii="Arial" w:hAnsi="Arial" w:cs="Arial"/>
          <w:sz w:val="24"/>
          <w:szCs w:val="24"/>
        </w:rPr>
      </w:pPr>
      <w:r>
        <w:rPr>
          <w:rFonts w:ascii="Arial" w:hAnsi="Arial" w:cs="Arial"/>
          <w:noProof/>
          <w:sz w:val="24"/>
          <w:szCs w:val="24"/>
        </w:rPr>
        <w:lastRenderedPageBreak/>
        <w:drawing>
          <wp:inline distT="0" distB="0" distL="0" distR="0" wp14:anchorId="358A550E" wp14:editId="16EDBF2C">
            <wp:extent cx="4870106" cy="5485903"/>
            <wp:effectExtent l="0" t="0" r="6985" b="63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articipação no VTI 4.6.PNG"/>
                    <pic:cNvPicPr/>
                  </pic:nvPicPr>
                  <pic:blipFill>
                    <a:blip r:embed="rId113">
                      <a:extLst>
                        <a:ext uri="{28A0092B-C50C-407E-A947-70E740481C1C}">
                          <a14:useLocalDpi xmlns:a14="http://schemas.microsoft.com/office/drawing/2010/main" val="0"/>
                        </a:ext>
                      </a:extLst>
                    </a:blip>
                    <a:stretch>
                      <a:fillRect/>
                    </a:stretch>
                  </pic:blipFill>
                  <pic:spPr>
                    <a:xfrm>
                      <a:off x="0" y="0"/>
                      <a:ext cx="4886048" cy="5503861"/>
                    </a:xfrm>
                    <a:prstGeom prst="rect">
                      <a:avLst/>
                    </a:prstGeom>
                  </pic:spPr>
                </pic:pic>
              </a:graphicData>
            </a:graphic>
          </wp:inline>
        </w:drawing>
      </w:r>
    </w:p>
    <w:p w14:paraId="3A8C2333" w14:textId="77777777" w:rsidR="006356F1" w:rsidRDefault="006356F1" w:rsidP="006356F1">
      <w:pPr>
        <w:spacing w:line="360" w:lineRule="auto"/>
        <w:ind w:firstLine="851"/>
        <w:jc w:val="both"/>
        <w:rPr>
          <w:rFonts w:ascii="Arial" w:hAnsi="Arial" w:cs="Arial"/>
          <w:sz w:val="24"/>
          <w:szCs w:val="24"/>
        </w:rPr>
      </w:pPr>
    </w:p>
    <w:p w14:paraId="2D2F3765"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Após apresentar tais aspectos positivos dos programas FOMENTAR e PRODUZIR, o IMB conclui destacando os pontos negativos observados em seu estudo, </w:t>
      </w:r>
      <w:r w:rsidRPr="00067B5A">
        <w:rPr>
          <w:rFonts w:ascii="Arial" w:hAnsi="Arial" w:cs="Arial"/>
          <w:b/>
          <w:sz w:val="24"/>
          <w:szCs w:val="24"/>
        </w:rPr>
        <w:t xml:space="preserve">propondo a revisão dos programas para adequá-los ao </w:t>
      </w:r>
      <w:r>
        <w:rPr>
          <w:rFonts w:ascii="Arial" w:hAnsi="Arial" w:cs="Arial"/>
          <w:b/>
          <w:sz w:val="24"/>
          <w:szCs w:val="24"/>
        </w:rPr>
        <w:t xml:space="preserve">real </w:t>
      </w:r>
      <w:r w:rsidRPr="00067B5A">
        <w:rPr>
          <w:rFonts w:ascii="Arial" w:hAnsi="Arial" w:cs="Arial"/>
          <w:b/>
          <w:sz w:val="24"/>
          <w:szCs w:val="24"/>
        </w:rPr>
        <w:t>interesse público</w:t>
      </w:r>
      <w:r>
        <w:rPr>
          <w:rFonts w:ascii="Arial" w:hAnsi="Arial" w:cs="Arial"/>
          <w:sz w:val="24"/>
          <w:szCs w:val="24"/>
        </w:rPr>
        <w:t>:</w:t>
      </w:r>
    </w:p>
    <w:p w14:paraId="076CDC56" w14:textId="77777777" w:rsidR="006356F1" w:rsidRDefault="006356F1" w:rsidP="006356F1">
      <w:pPr>
        <w:spacing w:line="360" w:lineRule="auto"/>
        <w:ind w:firstLine="851"/>
        <w:jc w:val="both"/>
        <w:rPr>
          <w:rFonts w:ascii="Arial" w:hAnsi="Arial" w:cs="Arial"/>
          <w:sz w:val="24"/>
          <w:szCs w:val="24"/>
        </w:rPr>
      </w:pPr>
    </w:p>
    <w:p w14:paraId="764D7D05" w14:textId="77777777" w:rsidR="006356F1" w:rsidRPr="00067B5A" w:rsidRDefault="006356F1" w:rsidP="006356F1">
      <w:pPr>
        <w:ind w:left="2268"/>
        <w:jc w:val="both"/>
        <w:rPr>
          <w:rFonts w:ascii="Arial" w:hAnsi="Arial" w:cs="Arial"/>
          <w:sz w:val="22"/>
          <w:szCs w:val="24"/>
        </w:rPr>
      </w:pPr>
      <w:r w:rsidRPr="00067B5A">
        <w:rPr>
          <w:rFonts w:ascii="Arial" w:hAnsi="Arial" w:cs="Arial"/>
          <w:sz w:val="22"/>
          <w:szCs w:val="24"/>
        </w:rPr>
        <w:t xml:space="preserve">Como consequência, foi possível inferir algumas conclusões importantes do programa: (i) verificou-se que, </w:t>
      </w:r>
      <w:r w:rsidRPr="0044676A">
        <w:rPr>
          <w:rFonts w:ascii="Arial" w:hAnsi="Arial" w:cs="Arial"/>
          <w:b/>
          <w:sz w:val="22"/>
          <w:szCs w:val="24"/>
        </w:rPr>
        <w:t>ao contrário do que era esperado, o programa, teve um impacto negativo no valor adicionado bruto da indústria</w:t>
      </w:r>
      <w:r w:rsidRPr="00067B5A">
        <w:rPr>
          <w:rFonts w:ascii="Arial" w:hAnsi="Arial" w:cs="Arial"/>
          <w:sz w:val="22"/>
          <w:szCs w:val="24"/>
        </w:rPr>
        <w:t xml:space="preserve">, não alcançando, portanto, um dos objetivos do programa, isto é, incentivar a expansão, a modernização, a diversificação e a renovação tecnológica das estruturas produtivas para aumentar a atividade agregada dos bens e serviços consumidos no estado, bem como o </w:t>
      </w:r>
      <w:r w:rsidRPr="0044676A">
        <w:rPr>
          <w:rFonts w:ascii="Arial" w:hAnsi="Arial" w:cs="Arial"/>
          <w:b/>
          <w:sz w:val="22"/>
          <w:szCs w:val="24"/>
        </w:rPr>
        <w:t>programa também não alcançou o objetivo de mitigar as desigualdades sociais e regionais do estado de Goiás</w:t>
      </w:r>
      <w:r w:rsidRPr="00067B5A">
        <w:rPr>
          <w:rFonts w:ascii="Arial" w:hAnsi="Arial" w:cs="Arial"/>
          <w:sz w:val="22"/>
          <w:szCs w:val="24"/>
        </w:rPr>
        <w:t xml:space="preserve">; (ii) o programa </w:t>
      </w:r>
      <w:r w:rsidRPr="0044676A">
        <w:rPr>
          <w:rFonts w:ascii="Arial" w:hAnsi="Arial" w:cs="Arial"/>
          <w:b/>
          <w:sz w:val="22"/>
          <w:szCs w:val="24"/>
        </w:rPr>
        <w:t>impactou positivamente na massa salarial</w:t>
      </w:r>
      <w:r w:rsidRPr="00067B5A">
        <w:rPr>
          <w:rFonts w:ascii="Arial" w:hAnsi="Arial" w:cs="Arial"/>
          <w:sz w:val="22"/>
          <w:szCs w:val="24"/>
        </w:rPr>
        <w:t xml:space="preserve"> e, diferentemente do </w:t>
      </w:r>
      <w:r w:rsidRPr="00067B5A">
        <w:rPr>
          <w:rFonts w:ascii="Arial" w:hAnsi="Arial" w:cs="Arial"/>
          <w:sz w:val="22"/>
          <w:szCs w:val="24"/>
        </w:rPr>
        <w:lastRenderedPageBreak/>
        <w:t xml:space="preserve">resultado do valor adicionado bruto, à medida que o estado concede um real de incentivo fiscal, a massa salarial tende a aumentar, o que pode ser indício que algumas estruturas produtivas, estão exigindo mão de obra qualificada, impactando então na massa salarial; e, (iii) </w:t>
      </w:r>
      <w:r w:rsidRPr="0044676A">
        <w:rPr>
          <w:rFonts w:ascii="Arial" w:hAnsi="Arial" w:cs="Arial"/>
          <w:b/>
          <w:sz w:val="22"/>
          <w:szCs w:val="24"/>
        </w:rPr>
        <w:t>a análise de impacto de efeito do programa na taxa de crescimento de emprego não foi significativa</w:t>
      </w:r>
      <w:r w:rsidRPr="00067B5A">
        <w:rPr>
          <w:rFonts w:ascii="Arial" w:hAnsi="Arial" w:cs="Arial"/>
          <w:sz w:val="22"/>
          <w:szCs w:val="24"/>
        </w:rPr>
        <w:t xml:space="preserve"> e, então, não é possível concluir qualquer análise quanto ao impacto do programa na taxa de crescimento de emprego, uma vez que </w:t>
      </w:r>
      <w:r w:rsidRPr="0044676A">
        <w:rPr>
          <w:rFonts w:ascii="Arial" w:hAnsi="Arial" w:cs="Arial"/>
          <w:b/>
          <w:sz w:val="22"/>
          <w:szCs w:val="24"/>
        </w:rPr>
        <w:t>não se rejeita a hipótese nula da renúncia fiscal do programa impactar positivamente na taxa de crescimento do emprego</w:t>
      </w:r>
      <w:r w:rsidRPr="00067B5A">
        <w:rPr>
          <w:rFonts w:ascii="Arial" w:hAnsi="Arial" w:cs="Arial"/>
          <w:sz w:val="22"/>
          <w:szCs w:val="24"/>
        </w:rPr>
        <w:t xml:space="preserve"> no estado de Goiás,</w:t>
      </w:r>
    </w:p>
    <w:p w14:paraId="15C22859" w14:textId="77777777" w:rsidR="006356F1" w:rsidRPr="00067B5A" w:rsidRDefault="006356F1" w:rsidP="006356F1">
      <w:pPr>
        <w:ind w:left="2268"/>
        <w:jc w:val="both"/>
        <w:rPr>
          <w:rFonts w:ascii="Arial" w:hAnsi="Arial" w:cs="Arial"/>
          <w:sz w:val="22"/>
          <w:szCs w:val="24"/>
        </w:rPr>
      </w:pPr>
      <w:r w:rsidRPr="00067B5A">
        <w:rPr>
          <w:rFonts w:ascii="Arial" w:hAnsi="Arial" w:cs="Arial"/>
          <w:sz w:val="22"/>
          <w:szCs w:val="24"/>
        </w:rPr>
        <w:t xml:space="preserve">Além disso, observou-se o </w:t>
      </w:r>
      <w:r w:rsidRPr="0044676A">
        <w:rPr>
          <w:rFonts w:ascii="Arial" w:hAnsi="Arial" w:cs="Arial"/>
          <w:b/>
          <w:sz w:val="22"/>
          <w:szCs w:val="24"/>
        </w:rPr>
        <w:t>elevado custo do emprego/vínculo de emprego</w:t>
      </w:r>
      <w:r w:rsidRPr="00067B5A">
        <w:rPr>
          <w:rFonts w:ascii="Arial" w:hAnsi="Arial" w:cs="Arial"/>
          <w:sz w:val="22"/>
          <w:szCs w:val="24"/>
        </w:rPr>
        <w:t>. Em geral, para os subsetores da classificação da CNAE 2.0, dez por cento dos subsetores o custo está acima do valor médio do Brasil. Porém, quando são analisadas as 100 maiores empresas beneficiadas pelo programa fiscal, constatou-se que 40 estão com um custo acima. Destaca-se o caso das 10 maiores, com valor mínimo no ano de 2013 de R$ 299.844 e no de 2017 com o valor na casa dos R$ 980.164.</w:t>
      </w:r>
    </w:p>
    <w:p w14:paraId="549297CD" w14:textId="77777777" w:rsidR="006356F1" w:rsidRPr="00067B5A" w:rsidRDefault="006356F1" w:rsidP="006356F1">
      <w:pPr>
        <w:ind w:left="2268"/>
        <w:jc w:val="both"/>
        <w:rPr>
          <w:rFonts w:ascii="Arial" w:hAnsi="Arial" w:cs="Arial"/>
          <w:sz w:val="22"/>
          <w:szCs w:val="24"/>
        </w:rPr>
      </w:pPr>
      <w:r w:rsidRPr="00067B5A">
        <w:rPr>
          <w:rFonts w:ascii="Arial" w:hAnsi="Arial" w:cs="Arial"/>
          <w:sz w:val="22"/>
          <w:szCs w:val="24"/>
        </w:rPr>
        <w:t xml:space="preserve">Com tudo isso, </w:t>
      </w:r>
      <w:r w:rsidRPr="0044676A">
        <w:rPr>
          <w:rFonts w:ascii="Arial" w:hAnsi="Arial" w:cs="Arial"/>
          <w:b/>
          <w:sz w:val="22"/>
          <w:szCs w:val="24"/>
        </w:rPr>
        <w:t>os referidos programas de incentivo fiscais podem estar levando a uma má alocação (</w:t>
      </w:r>
      <w:r w:rsidRPr="0044676A">
        <w:rPr>
          <w:rFonts w:ascii="Arial" w:hAnsi="Arial" w:cs="Arial"/>
          <w:b/>
          <w:i/>
          <w:sz w:val="22"/>
          <w:szCs w:val="24"/>
        </w:rPr>
        <w:t>misallocation</w:t>
      </w:r>
      <w:r w:rsidRPr="0044676A">
        <w:rPr>
          <w:rFonts w:ascii="Arial" w:hAnsi="Arial" w:cs="Arial"/>
          <w:b/>
          <w:sz w:val="22"/>
          <w:szCs w:val="24"/>
        </w:rPr>
        <w:t>) dos recursos tendo em vista que grande parte do programa é alocado em setores/cadeias produtivas e empresas com baixo ou nulo encadeamento com a economia goiana</w:t>
      </w:r>
      <w:r w:rsidRPr="00067B5A">
        <w:rPr>
          <w:rFonts w:ascii="Arial" w:hAnsi="Arial" w:cs="Arial"/>
          <w:sz w:val="22"/>
          <w:szCs w:val="24"/>
        </w:rPr>
        <w:t xml:space="preserve"> no que tange aos multiplicadores de emprego e renda, principalmente índices de ligação para frente e para trás e setores-chave da economia. Ou seja, pode-se afirmar que o programa não está alocando os recursos de forma eficiente.</w:t>
      </w:r>
    </w:p>
    <w:p w14:paraId="16D67987" w14:textId="77777777" w:rsidR="006356F1" w:rsidRPr="00067B5A" w:rsidRDefault="006356F1" w:rsidP="006356F1">
      <w:pPr>
        <w:ind w:left="2268"/>
        <w:jc w:val="both"/>
        <w:rPr>
          <w:rFonts w:ascii="Arial" w:hAnsi="Arial" w:cs="Arial"/>
          <w:sz w:val="22"/>
          <w:szCs w:val="24"/>
        </w:rPr>
      </w:pPr>
      <w:r w:rsidRPr="00067B5A">
        <w:rPr>
          <w:rFonts w:ascii="Arial" w:hAnsi="Arial" w:cs="Arial"/>
          <w:sz w:val="22"/>
          <w:szCs w:val="24"/>
        </w:rPr>
        <w:t>Por fim, conclui-se que é fundamental a análise de programas de isenção fiscal, uma vez que programas com esse tipo de desenho comprometem o resultado fiscal do estado e podem comprometer, também, outros setores como educação, saúde, segurança pública, entre outros.</w:t>
      </w:r>
      <w:r>
        <w:rPr>
          <w:rStyle w:val="Refdenotaderodap"/>
          <w:rFonts w:ascii="Arial" w:hAnsi="Arial" w:cs="Arial"/>
          <w:sz w:val="22"/>
          <w:szCs w:val="24"/>
        </w:rPr>
        <w:footnoteReference w:id="137"/>
      </w:r>
    </w:p>
    <w:p w14:paraId="3D00F2A8" w14:textId="77777777" w:rsidR="006356F1" w:rsidRDefault="006356F1" w:rsidP="006356F1">
      <w:pPr>
        <w:spacing w:line="360" w:lineRule="auto"/>
        <w:ind w:firstLine="851"/>
        <w:jc w:val="both"/>
        <w:rPr>
          <w:rFonts w:ascii="Arial" w:hAnsi="Arial" w:cs="Arial"/>
          <w:sz w:val="24"/>
          <w:szCs w:val="24"/>
        </w:rPr>
      </w:pPr>
    </w:p>
    <w:p w14:paraId="6869DCDD"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Ou seja, o IMB conclui que os programas FOMENTAR e PRODUZIR:</w:t>
      </w:r>
    </w:p>
    <w:p w14:paraId="404AEF37" w14:textId="77777777" w:rsidR="006356F1" w:rsidRDefault="006356F1" w:rsidP="006356F1">
      <w:pPr>
        <w:spacing w:line="360" w:lineRule="auto"/>
        <w:ind w:firstLine="851"/>
        <w:jc w:val="both"/>
        <w:rPr>
          <w:rFonts w:ascii="Arial" w:hAnsi="Arial" w:cs="Arial"/>
          <w:sz w:val="24"/>
          <w:szCs w:val="24"/>
        </w:rPr>
      </w:pPr>
    </w:p>
    <w:p w14:paraId="15C7DE29" w14:textId="77777777" w:rsidR="006356F1" w:rsidRDefault="006356F1" w:rsidP="00502615">
      <w:pPr>
        <w:pStyle w:val="PargrafodaLista"/>
        <w:numPr>
          <w:ilvl w:val="0"/>
          <w:numId w:val="46"/>
        </w:numPr>
        <w:spacing w:line="360" w:lineRule="auto"/>
        <w:jc w:val="both"/>
        <w:rPr>
          <w:rFonts w:ascii="Arial" w:hAnsi="Arial" w:cs="Arial"/>
          <w:sz w:val="24"/>
          <w:szCs w:val="24"/>
        </w:rPr>
      </w:pPr>
      <w:r>
        <w:rPr>
          <w:rFonts w:ascii="Arial" w:hAnsi="Arial" w:cs="Arial"/>
          <w:sz w:val="24"/>
          <w:szCs w:val="24"/>
        </w:rPr>
        <w:t>contribuíram para o crescimento da indústria no Estado de Goiás acima da média nacional;</w:t>
      </w:r>
    </w:p>
    <w:p w14:paraId="2FA281D1" w14:textId="77777777" w:rsidR="006356F1" w:rsidRDefault="006356F1" w:rsidP="00502615">
      <w:pPr>
        <w:pStyle w:val="PargrafodaLista"/>
        <w:numPr>
          <w:ilvl w:val="0"/>
          <w:numId w:val="46"/>
        </w:numPr>
        <w:spacing w:line="360" w:lineRule="auto"/>
        <w:jc w:val="both"/>
        <w:rPr>
          <w:rFonts w:ascii="Arial" w:hAnsi="Arial" w:cs="Arial"/>
          <w:sz w:val="24"/>
          <w:szCs w:val="24"/>
        </w:rPr>
      </w:pPr>
      <w:r>
        <w:rPr>
          <w:rFonts w:ascii="Arial" w:hAnsi="Arial" w:cs="Arial"/>
          <w:sz w:val="24"/>
          <w:szCs w:val="24"/>
        </w:rPr>
        <w:t xml:space="preserve">tiveram </w:t>
      </w:r>
      <w:r w:rsidRPr="002177EE">
        <w:rPr>
          <w:rFonts w:ascii="Arial" w:hAnsi="Arial" w:cs="Arial"/>
          <w:b/>
          <w:sz w:val="24"/>
          <w:szCs w:val="24"/>
        </w:rPr>
        <w:t>impacto negativo no valor adicionado bruto da indústria goiana</w:t>
      </w:r>
      <w:r>
        <w:rPr>
          <w:rFonts w:ascii="Arial" w:hAnsi="Arial" w:cs="Arial"/>
          <w:sz w:val="24"/>
          <w:szCs w:val="24"/>
        </w:rPr>
        <w:t>;</w:t>
      </w:r>
    </w:p>
    <w:p w14:paraId="085B0E3D" w14:textId="77777777" w:rsidR="006356F1" w:rsidRDefault="006356F1" w:rsidP="00502615">
      <w:pPr>
        <w:pStyle w:val="PargrafodaLista"/>
        <w:numPr>
          <w:ilvl w:val="0"/>
          <w:numId w:val="46"/>
        </w:numPr>
        <w:spacing w:line="360" w:lineRule="auto"/>
        <w:jc w:val="both"/>
        <w:rPr>
          <w:rFonts w:ascii="Arial" w:hAnsi="Arial" w:cs="Arial"/>
          <w:sz w:val="24"/>
          <w:szCs w:val="24"/>
        </w:rPr>
      </w:pPr>
      <w:r w:rsidRPr="002177EE">
        <w:rPr>
          <w:rFonts w:ascii="Arial" w:hAnsi="Arial" w:cs="Arial"/>
          <w:b/>
          <w:sz w:val="24"/>
          <w:szCs w:val="24"/>
        </w:rPr>
        <w:t>não alcançaram o objetivo de mitigar as desigualdades regionais</w:t>
      </w:r>
      <w:r>
        <w:rPr>
          <w:rFonts w:ascii="Arial" w:hAnsi="Arial" w:cs="Arial"/>
          <w:sz w:val="24"/>
          <w:szCs w:val="24"/>
        </w:rPr>
        <w:t>;</w:t>
      </w:r>
    </w:p>
    <w:p w14:paraId="283DEF70" w14:textId="77777777" w:rsidR="006356F1" w:rsidRDefault="006356F1" w:rsidP="00502615">
      <w:pPr>
        <w:pStyle w:val="PargrafodaLista"/>
        <w:numPr>
          <w:ilvl w:val="0"/>
          <w:numId w:val="46"/>
        </w:numPr>
        <w:spacing w:line="360" w:lineRule="auto"/>
        <w:jc w:val="both"/>
        <w:rPr>
          <w:rFonts w:ascii="Arial" w:hAnsi="Arial" w:cs="Arial"/>
          <w:sz w:val="24"/>
          <w:szCs w:val="24"/>
        </w:rPr>
      </w:pPr>
      <w:r>
        <w:rPr>
          <w:rFonts w:ascii="Arial" w:hAnsi="Arial" w:cs="Arial"/>
          <w:sz w:val="24"/>
          <w:szCs w:val="24"/>
        </w:rPr>
        <w:t>impactaram positivamente a massa salarial;</w:t>
      </w:r>
    </w:p>
    <w:p w14:paraId="6B1754C8" w14:textId="77777777" w:rsidR="006356F1" w:rsidRDefault="006356F1" w:rsidP="00502615">
      <w:pPr>
        <w:pStyle w:val="PargrafodaLista"/>
        <w:numPr>
          <w:ilvl w:val="0"/>
          <w:numId w:val="46"/>
        </w:numPr>
        <w:spacing w:line="360" w:lineRule="auto"/>
        <w:jc w:val="both"/>
        <w:rPr>
          <w:rFonts w:ascii="Arial" w:hAnsi="Arial" w:cs="Arial"/>
          <w:sz w:val="24"/>
          <w:szCs w:val="24"/>
        </w:rPr>
      </w:pPr>
      <w:r w:rsidRPr="002177EE">
        <w:rPr>
          <w:rFonts w:ascii="Arial" w:hAnsi="Arial" w:cs="Arial"/>
          <w:b/>
          <w:sz w:val="24"/>
          <w:szCs w:val="24"/>
        </w:rPr>
        <w:t>não foi significativa a análise do efeito do programa na taxa de crescimento do emprego</w:t>
      </w:r>
      <w:r>
        <w:rPr>
          <w:rFonts w:ascii="Arial" w:hAnsi="Arial" w:cs="Arial"/>
          <w:sz w:val="24"/>
          <w:szCs w:val="24"/>
        </w:rPr>
        <w:t>, embora não se descarte a hipótese de impactar positivamente neste aspecto;</w:t>
      </w:r>
    </w:p>
    <w:p w14:paraId="791C663A" w14:textId="26F41E85" w:rsidR="006356F1" w:rsidRDefault="006356F1" w:rsidP="00502615">
      <w:pPr>
        <w:pStyle w:val="PargrafodaLista"/>
        <w:numPr>
          <w:ilvl w:val="0"/>
          <w:numId w:val="46"/>
        </w:numPr>
        <w:spacing w:line="360" w:lineRule="auto"/>
        <w:jc w:val="both"/>
        <w:rPr>
          <w:rFonts w:ascii="Arial" w:hAnsi="Arial" w:cs="Arial"/>
          <w:sz w:val="24"/>
          <w:szCs w:val="24"/>
        </w:rPr>
      </w:pPr>
      <w:r w:rsidRPr="002177EE">
        <w:rPr>
          <w:rFonts w:ascii="Arial" w:hAnsi="Arial" w:cs="Arial"/>
          <w:b/>
          <w:sz w:val="24"/>
          <w:szCs w:val="24"/>
        </w:rPr>
        <w:lastRenderedPageBreak/>
        <w:t>apresent</w:t>
      </w:r>
      <w:r w:rsidR="004B4220">
        <w:rPr>
          <w:rFonts w:ascii="Arial" w:hAnsi="Arial" w:cs="Arial"/>
          <w:b/>
          <w:sz w:val="24"/>
          <w:szCs w:val="24"/>
        </w:rPr>
        <w:t>aram</w:t>
      </w:r>
      <w:r w:rsidRPr="002177EE">
        <w:rPr>
          <w:rFonts w:ascii="Arial" w:hAnsi="Arial" w:cs="Arial"/>
          <w:b/>
          <w:sz w:val="24"/>
          <w:szCs w:val="24"/>
        </w:rPr>
        <w:t xml:space="preserve"> elevado “custo do emprego”</w:t>
      </w:r>
      <w:r>
        <w:rPr>
          <w:rFonts w:ascii="Arial" w:hAnsi="Arial" w:cs="Arial"/>
          <w:sz w:val="24"/>
          <w:szCs w:val="24"/>
        </w:rPr>
        <w:t>, chegando, em caso extremo, a beirar R$ 1.000.000,00 (um milhão de reais) em benefícios por cada vaga de emprego por ano;</w:t>
      </w:r>
    </w:p>
    <w:p w14:paraId="518ABCB9" w14:textId="77777777" w:rsidR="006356F1" w:rsidRPr="0044676A" w:rsidRDefault="006356F1" w:rsidP="00502615">
      <w:pPr>
        <w:pStyle w:val="PargrafodaLista"/>
        <w:numPr>
          <w:ilvl w:val="0"/>
          <w:numId w:val="46"/>
        </w:numPr>
        <w:spacing w:line="360" w:lineRule="auto"/>
        <w:jc w:val="both"/>
        <w:rPr>
          <w:rFonts w:ascii="Arial" w:hAnsi="Arial" w:cs="Arial"/>
          <w:sz w:val="24"/>
          <w:szCs w:val="24"/>
        </w:rPr>
      </w:pPr>
      <w:r>
        <w:rPr>
          <w:rFonts w:ascii="Arial" w:hAnsi="Arial" w:cs="Arial"/>
          <w:sz w:val="24"/>
          <w:szCs w:val="24"/>
        </w:rPr>
        <w:t xml:space="preserve">na forma em que atualmente conduzidos, representa </w:t>
      </w:r>
      <w:r w:rsidRPr="002177EE">
        <w:rPr>
          <w:rFonts w:ascii="Arial" w:hAnsi="Arial" w:cs="Arial"/>
          <w:b/>
          <w:sz w:val="24"/>
          <w:szCs w:val="24"/>
        </w:rPr>
        <w:t>má alocação de recursos públicos</w:t>
      </w:r>
      <w:r>
        <w:rPr>
          <w:rFonts w:ascii="Arial" w:hAnsi="Arial" w:cs="Arial"/>
          <w:sz w:val="24"/>
          <w:szCs w:val="24"/>
        </w:rPr>
        <w:t>, já que grande parte dos benefícios destina-se a setores com baixo ou nulo encadeamento na economia goiana, baixa agregação de valor e baixa geração de empregos.</w:t>
      </w:r>
    </w:p>
    <w:p w14:paraId="5276F693" w14:textId="77777777" w:rsidR="006356F1" w:rsidRDefault="006356F1" w:rsidP="006356F1">
      <w:pPr>
        <w:spacing w:line="360" w:lineRule="auto"/>
        <w:ind w:firstLine="851"/>
        <w:jc w:val="both"/>
        <w:rPr>
          <w:rFonts w:ascii="Arial" w:hAnsi="Arial" w:cs="Arial"/>
          <w:sz w:val="24"/>
          <w:szCs w:val="24"/>
        </w:rPr>
      </w:pPr>
    </w:p>
    <w:p w14:paraId="38DE386C"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A CGE, de forma objetiva, apresentou as seguintes conclusões:</w:t>
      </w:r>
    </w:p>
    <w:p w14:paraId="40276AF7" w14:textId="77777777" w:rsidR="006356F1" w:rsidRDefault="006356F1" w:rsidP="006356F1">
      <w:pPr>
        <w:spacing w:line="360" w:lineRule="auto"/>
        <w:ind w:firstLine="851"/>
        <w:jc w:val="both"/>
        <w:rPr>
          <w:rFonts w:ascii="Arial" w:hAnsi="Arial" w:cs="Arial"/>
          <w:sz w:val="24"/>
          <w:szCs w:val="24"/>
        </w:rPr>
      </w:pPr>
    </w:p>
    <w:p w14:paraId="433F5681" w14:textId="77777777" w:rsidR="006356F1" w:rsidRPr="00FF59B3" w:rsidRDefault="006356F1" w:rsidP="006356F1">
      <w:pPr>
        <w:ind w:left="2268"/>
        <w:jc w:val="both"/>
        <w:rPr>
          <w:rFonts w:ascii="Arial" w:hAnsi="Arial" w:cs="Arial"/>
          <w:sz w:val="22"/>
          <w:szCs w:val="22"/>
        </w:rPr>
      </w:pPr>
      <w:r w:rsidRPr="00FF59B3">
        <w:rPr>
          <w:rFonts w:ascii="Arial" w:hAnsi="Arial" w:cs="Arial"/>
          <w:sz w:val="22"/>
          <w:szCs w:val="22"/>
        </w:rPr>
        <w:t xml:space="preserve">1. </w:t>
      </w:r>
      <w:r w:rsidRPr="00FF59B3">
        <w:rPr>
          <w:rFonts w:ascii="Arial" w:hAnsi="Arial" w:cs="Arial"/>
          <w:b/>
          <w:sz w:val="22"/>
          <w:szCs w:val="22"/>
        </w:rPr>
        <w:t>Os benefícios fiscais concedidos pelo estado de Goiás via LDO’S estão muito acima dos padrões de outros estados</w:t>
      </w:r>
      <w:r w:rsidRPr="00FF59B3">
        <w:rPr>
          <w:rFonts w:ascii="Arial" w:hAnsi="Arial" w:cs="Arial"/>
          <w:sz w:val="22"/>
          <w:szCs w:val="22"/>
        </w:rPr>
        <w:t xml:space="preserve">. Dados da FEBRAFIT colocam </w:t>
      </w:r>
      <w:r w:rsidRPr="00FF59B3">
        <w:rPr>
          <w:rFonts w:ascii="Arial" w:hAnsi="Arial" w:cs="Arial"/>
          <w:b/>
          <w:sz w:val="22"/>
          <w:szCs w:val="22"/>
        </w:rPr>
        <w:t>Goiás como o segundo que mais renuncia ICMS em relação à receita do imposto (só perde para Amazonas)</w:t>
      </w:r>
      <w:r w:rsidRPr="00FF59B3">
        <w:rPr>
          <w:rFonts w:ascii="Arial" w:hAnsi="Arial" w:cs="Arial"/>
          <w:sz w:val="22"/>
          <w:szCs w:val="22"/>
        </w:rPr>
        <w:t>. O valor que deixou de ser arrecadado de ICMS em 2018 como resultado de novos benefícios ou de incentivos concedidos anteriormente perfaz 49,9%;</w:t>
      </w:r>
    </w:p>
    <w:p w14:paraId="6FE6655B" w14:textId="77777777" w:rsidR="006356F1" w:rsidRPr="00FF59B3" w:rsidRDefault="006356F1" w:rsidP="006356F1">
      <w:pPr>
        <w:ind w:left="2268"/>
        <w:jc w:val="both"/>
        <w:rPr>
          <w:rFonts w:ascii="Arial" w:hAnsi="Arial" w:cs="Arial"/>
          <w:sz w:val="22"/>
          <w:szCs w:val="22"/>
        </w:rPr>
      </w:pPr>
      <w:r w:rsidRPr="00FF59B3">
        <w:rPr>
          <w:rFonts w:ascii="Arial" w:hAnsi="Arial" w:cs="Arial"/>
          <w:sz w:val="22"/>
          <w:szCs w:val="22"/>
        </w:rPr>
        <w:t xml:space="preserve">2. Comparação com outros Estados: desde o início dos anos 2000, </w:t>
      </w:r>
      <w:r w:rsidRPr="00357982">
        <w:rPr>
          <w:rFonts w:ascii="Arial" w:hAnsi="Arial" w:cs="Arial"/>
          <w:b/>
          <w:sz w:val="22"/>
          <w:szCs w:val="22"/>
        </w:rPr>
        <w:t>o volume de benefícios é elevadíssimo e o desempenho do Estado não é destaque entre as demais UF’s</w:t>
      </w:r>
      <w:r w:rsidRPr="00FF59B3">
        <w:rPr>
          <w:rFonts w:ascii="Arial" w:hAnsi="Arial" w:cs="Arial"/>
          <w:sz w:val="22"/>
          <w:szCs w:val="22"/>
        </w:rPr>
        <w:t>. Goiás foi apenas o 13º em crescimento do PIB e 8º em Valor de Transformação Industrial. Por fim, a participação nacional era de 2,6% e passou para 2,9%.</w:t>
      </w:r>
    </w:p>
    <w:p w14:paraId="74CB53BC" w14:textId="77777777" w:rsidR="006356F1" w:rsidRPr="00FF59B3" w:rsidRDefault="006356F1" w:rsidP="006356F1">
      <w:pPr>
        <w:ind w:left="2268"/>
        <w:jc w:val="both"/>
        <w:rPr>
          <w:rFonts w:ascii="Arial" w:hAnsi="Arial" w:cs="Arial"/>
          <w:sz w:val="22"/>
          <w:szCs w:val="22"/>
        </w:rPr>
      </w:pPr>
      <w:r w:rsidRPr="00FF59B3">
        <w:rPr>
          <w:rFonts w:ascii="Arial" w:hAnsi="Arial" w:cs="Arial"/>
          <w:sz w:val="22"/>
          <w:szCs w:val="22"/>
        </w:rPr>
        <w:t>3. Comparação com outros Estados: o volume de benefícios é elevadíssimo e o desempenho do Estado não é destaque entre as demais UF’s. Desde 2002 Goiás foi apenas o 13º em crescimento do PIB e 8º em Valor de Transformação Industrial. Desde os anos 1990, Goiás é a 9ª economia entre as UF’s;</w:t>
      </w:r>
    </w:p>
    <w:p w14:paraId="375840EB" w14:textId="77777777" w:rsidR="006356F1" w:rsidRPr="00FF59B3" w:rsidRDefault="006356F1" w:rsidP="006356F1">
      <w:pPr>
        <w:ind w:left="2268"/>
        <w:jc w:val="both"/>
        <w:rPr>
          <w:rFonts w:ascii="Arial" w:hAnsi="Arial" w:cs="Arial"/>
          <w:sz w:val="22"/>
          <w:szCs w:val="22"/>
        </w:rPr>
      </w:pPr>
      <w:r w:rsidRPr="00FF59B3">
        <w:rPr>
          <w:rFonts w:ascii="Arial" w:hAnsi="Arial" w:cs="Arial"/>
          <w:sz w:val="22"/>
          <w:szCs w:val="22"/>
        </w:rPr>
        <w:t xml:space="preserve">4. </w:t>
      </w:r>
      <w:r w:rsidRPr="00357982">
        <w:rPr>
          <w:rFonts w:ascii="Arial" w:hAnsi="Arial" w:cs="Arial"/>
          <w:b/>
          <w:sz w:val="22"/>
          <w:szCs w:val="22"/>
        </w:rPr>
        <w:t>A taxa de crescimento do valor de transformação da indústria goiana teve tendência decrescente</w:t>
      </w:r>
      <w:r w:rsidRPr="00FF59B3">
        <w:rPr>
          <w:rFonts w:ascii="Arial" w:hAnsi="Arial" w:cs="Arial"/>
          <w:sz w:val="22"/>
          <w:szCs w:val="22"/>
        </w:rPr>
        <w:t xml:space="preserve"> nos aos 2000 e o setor industrial perdeu participação na economia estadual;</w:t>
      </w:r>
    </w:p>
    <w:p w14:paraId="4FBF4752" w14:textId="77777777" w:rsidR="006356F1" w:rsidRPr="00FF59B3" w:rsidRDefault="006356F1" w:rsidP="006356F1">
      <w:pPr>
        <w:ind w:left="2268"/>
        <w:jc w:val="both"/>
        <w:rPr>
          <w:rFonts w:ascii="Arial" w:hAnsi="Arial" w:cs="Arial"/>
          <w:sz w:val="22"/>
          <w:szCs w:val="22"/>
        </w:rPr>
      </w:pPr>
      <w:r w:rsidRPr="00FF59B3">
        <w:rPr>
          <w:rFonts w:ascii="Arial" w:hAnsi="Arial" w:cs="Arial"/>
          <w:sz w:val="22"/>
          <w:szCs w:val="22"/>
        </w:rPr>
        <w:t xml:space="preserve">5. </w:t>
      </w:r>
      <w:r w:rsidRPr="00357982">
        <w:rPr>
          <w:rFonts w:ascii="Arial" w:hAnsi="Arial" w:cs="Arial"/>
          <w:b/>
          <w:sz w:val="22"/>
          <w:szCs w:val="22"/>
        </w:rPr>
        <w:t>O objetivo do programa de reduzir as desigualdades regionais não foi alcançado</w:t>
      </w:r>
      <w:r w:rsidRPr="00FF59B3">
        <w:rPr>
          <w:rFonts w:ascii="Arial" w:hAnsi="Arial" w:cs="Arial"/>
          <w:sz w:val="22"/>
          <w:szCs w:val="22"/>
        </w:rPr>
        <w:t>, até então. A concentração regional é notável, tanto dos benefícios concedidos quanto dos empregos existentes;</w:t>
      </w:r>
    </w:p>
    <w:p w14:paraId="781FE75B" w14:textId="77777777" w:rsidR="006356F1" w:rsidRPr="007A5FBC" w:rsidRDefault="006356F1" w:rsidP="006356F1">
      <w:pPr>
        <w:ind w:left="2268"/>
        <w:jc w:val="both"/>
        <w:rPr>
          <w:rFonts w:ascii="Arial" w:hAnsi="Arial" w:cs="Arial"/>
          <w:sz w:val="22"/>
          <w:szCs w:val="22"/>
        </w:rPr>
      </w:pPr>
      <w:r w:rsidRPr="007A5FBC">
        <w:rPr>
          <w:rFonts w:ascii="Arial" w:hAnsi="Arial" w:cs="Arial"/>
          <w:sz w:val="22"/>
          <w:szCs w:val="22"/>
        </w:rPr>
        <w:t>6. Os benefícios concedidos em projetos pelo PRODUZIR e FOMENTAR perfazem 2,6 vezes o PIB de 2018 e os valores em fruição (R$ 132,6 bilhões) 25,1%;</w:t>
      </w:r>
    </w:p>
    <w:p w14:paraId="7AFB94B4" w14:textId="77777777" w:rsidR="006356F1" w:rsidRPr="007A5FBC" w:rsidRDefault="006356F1" w:rsidP="006356F1">
      <w:pPr>
        <w:ind w:left="2268"/>
        <w:jc w:val="both"/>
        <w:rPr>
          <w:rFonts w:ascii="Arial" w:hAnsi="Arial" w:cs="Arial"/>
          <w:sz w:val="22"/>
          <w:szCs w:val="22"/>
        </w:rPr>
      </w:pPr>
      <w:r w:rsidRPr="007A5FBC">
        <w:rPr>
          <w:rFonts w:ascii="Arial" w:hAnsi="Arial" w:cs="Arial"/>
          <w:sz w:val="22"/>
          <w:szCs w:val="22"/>
        </w:rPr>
        <w:t xml:space="preserve">7. </w:t>
      </w:r>
      <w:r w:rsidRPr="007A5FBC">
        <w:rPr>
          <w:rFonts w:ascii="Arial" w:hAnsi="Arial" w:cs="Arial"/>
          <w:b/>
          <w:sz w:val="22"/>
          <w:szCs w:val="22"/>
        </w:rPr>
        <w:t>O benefício concedido para o período médio previsto para utilização pelas empresas (16,6 anos) perfaz o valor de R$ 71.518,36 por emprego/ano ou R$ 5.989,86/mês</w:t>
      </w:r>
      <w:r w:rsidRPr="007A5FBC">
        <w:rPr>
          <w:rFonts w:ascii="Arial" w:hAnsi="Arial" w:cs="Arial"/>
          <w:sz w:val="22"/>
          <w:szCs w:val="22"/>
        </w:rPr>
        <w:t xml:space="preserve"> (rendimento médio em Goiás é de R$ 2.466,59);</w:t>
      </w:r>
    </w:p>
    <w:p w14:paraId="2084A6F8" w14:textId="77777777" w:rsidR="006356F1" w:rsidRPr="00FF59B3" w:rsidRDefault="006356F1" w:rsidP="006356F1">
      <w:pPr>
        <w:ind w:left="2268"/>
        <w:jc w:val="both"/>
        <w:rPr>
          <w:rFonts w:ascii="Arial" w:hAnsi="Arial" w:cs="Arial"/>
          <w:sz w:val="22"/>
          <w:szCs w:val="22"/>
        </w:rPr>
      </w:pPr>
      <w:r w:rsidRPr="007A5FBC">
        <w:rPr>
          <w:rFonts w:ascii="Arial" w:hAnsi="Arial" w:cs="Arial"/>
          <w:sz w:val="22"/>
          <w:szCs w:val="22"/>
        </w:rPr>
        <w:t xml:space="preserve">8. Em projetos aprovados, os benefícios concedidos são, na média, de R$ 71.518,36 por emprego/ano ou R$ 5.989,86/mês. </w:t>
      </w:r>
      <w:r w:rsidRPr="007A5FBC">
        <w:rPr>
          <w:rFonts w:ascii="Arial" w:hAnsi="Arial" w:cs="Arial"/>
          <w:b/>
          <w:sz w:val="22"/>
          <w:szCs w:val="22"/>
        </w:rPr>
        <w:t xml:space="preserve">De forma global, mais de R$ 500 bilhões em benefícios concedidos ou, de outra maneira, 2,6 vezes o PIB de 2018. Ainda, os valores em fruição são da ordem de R$ 132,6 bilhões ou 66% do </w:t>
      </w:r>
      <w:r w:rsidRPr="00357982">
        <w:rPr>
          <w:rFonts w:ascii="Arial" w:hAnsi="Arial" w:cs="Arial"/>
          <w:b/>
          <w:sz w:val="22"/>
          <w:szCs w:val="22"/>
        </w:rPr>
        <w:t>PIB</w:t>
      </w:r>
      <w:r w:rsidRPr="00FF59B3">
        <w:rPr>
          <w:rFonts w:ascii="Arial" w:hAnsi="Arial" w:cs="Arial"/>
          <w:sz w:val="22"/>
          <w:szCs w:val="22"/>
        </w:rPr>
        <w:t>;</w:t>
      </w:r>
    </w:p>
    <w:p w14:paraId="1C062906"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lastRenderedPageBreak/>
        <w:t xml:space="preserve">9. </w:t>
      </w:r>
      <w:r w:rsidRPr="00357982">
        <w:rPr>
          <w:rFonts w:ascii="Arial" w:hAnsi="Arial" w:cs="Arial"/>
          <w:b/>
          <w:sz w:val="22"/>
          <w:szCs w:val="22"/>
        </w:rPr>
        <w:t>As informações de investimentos comprovados pelas empresas nos programas são muito frágeis e não é possível fazer qualquer inferência sobre eles</w:t>
      </w:r>
      <w:r w:rsidRPr="00FF59B3">
        <w:rPr>
          <w:rFonts w:ascii="Arial" w:hAnsi="Arial" w:cs="Arial"/>
          <w:sz w:val="22"/>
          <w:szCs w:val="22"/>
        </w:rPr>
        <w:t>;</w:t>
      </w:r>
    </w:p>
    <w:p w14:paraId="3360961C"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 xml:space="preserve">10. </w:t>
      </w:r>
      <w:r w:rsidRPr="00FF3D30">
        <w:rPr>
          <w:rFonts w:ascii="Arial" w:hAnsi="Arial" w:cs="Arial"/>
          <w:sz w:val="22"/>
          <w:szCs w:val="22"/>
        </w:rPr>
        <w:t>Entre as cinco maiores participações em benefícios há preponderância das destilarias e do setor automotivo</w:t>
      </w:r>
      <w:r w:rsidRPr="00FF59B3">
        <w:rPr>
          <w:rFonts w:ascii="Arial" w:hAnsi="Arial" w:cs="Arial"/>
          <w:sz w:val="22"/>
          <w:szCs w:val="22"/>
        </w:rPr>
        <w:t>. Junto com a atividade de produtos de metal abarcam 53,7% do total;</w:t>
      </w:r>
    </w:p>
    <w:p w14:paraId="1B6B7C3A"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11. O Crédito outorgado também é concentrado e</w:t>
      </w:r>
      <w:r>
        <w:rPr>
          <w:rFonts w:ascii="Arial" w:hAnsi="Arial" w:cs="Arial"/>
          <w:sz w:val="22"/>
          <w:szCs w:val="22"/>
        </w:rPr>
        <w:t>m poucas atividades econômicas;</w:t>
      </w:r>
    </w:p>
    <w:p w14:paraId="05897E90"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 xml:space="preserve">12. As atividades que tem participação acima de 5% dos empregos são, em sua grande maioria, também, atividade com boa agregação de valor. </w:t>
      </w:r>
      <w:r w:rsidRPr="00FF3D30">
        <w:rPr>
          <w:rFonts w:ascii="Arial" w:hAnsi="Arial" w:cs="Arial"/>
          <w:sz w:val="22"/>
          <w:szCs w:val="22"/>
        </w:rPr>
        <w:t>Exceção é a atividade automobilística, que é a segunda que mais recebe benefício e é apenas a 11ª em geração de empregos diretos e a 19ª em recolhimento de ICMS</w:t>
      </w:r>
      <w:r w:rsidRPr="00FF59B3">
        <w:rPr>
          <w:rFonts w:ascii="Arial" w:hAnsi="Arial" w:cs="Arial"/>
          <w:sz w:val="22"/>
          <w:szCs w:val="22"/>
        </w:rPr>
        <w:t>. Ou ainda, As cinco maiores atividades em participação de benefícios, na sua maioria, também sã</w:t>
      </w:r>
      <w:r>
        <w:rPr>
          <w:rFonts w:ascii="Arial" w:hAnsi="Arial" w:cs="Arial"/>
          <w:sz w:val="22"/>
          <w:szCs w:val="22"/>
        </w:rPr>
        <w:t>o as boas agregadoras de valor;</w:t>
      </w:r>
    </w:p>
    <w:p w14:paraId="06C9045A"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 xml:space="preserve">13. Tem-se 38,1% dos empregos concentrados em 3 atividades: fabricação de álcool, fabricação de produtos de metal, abate de suínos, aves e outros pequenos animais. </w:t>
      </w:r>
      <w:r w:rsidRPr="00357982">
        <w:rPr>
          <w:rFonts w:ascii="Arial" w:hAnsi="Arial" w:cs="Arial"/>
          <w:b/>
          <w:sz w:val="22"/>
          <w:szCs w:val="22"/>
        </w:rPr>
        <w:t>A maioria do emprego efetivo (52,1%) ocorre em apenas duas regiões imediatas (conforme IBGE) Goiânia e Anápolis. Apenas 5 municípios detêm 52% dos empregos</w:t>
      </w:r>
      <w:r w:rsidRPr="00FF59B3">
        <w:rPr>
          <w:rFonts w:ascii="Arial" w:hAnsi="Arial" w:cs="Arial"/>
          <w:sz w:val="22"/>
          <w:szCs w:val="22"/>
        </w:rPr>
        <w:t xml:space="preserve"> - Senador Canedo, Anápolis, Rio Verde, Aparecida de Goiânia e Goiânia ou, ainda, </w:t>
      </w:r>
      <w:r w:rsidRPr="00357982">
        <w:rPr>
          <w:rFonts w:ascii="Arial" w:hAnsi="Arial" w:cs="Arial"/>
          <w:b/>
          <w:sz w:val="22"/>
          <w:szCs w:val="22"/>
        </w:rPr>
        <w:t>15 municípios dos 246 com 75%</w:t>
      </w:r>
      <w:r>
        <w:rPr>
          <w:rFonts w:ascii="Arial" w:hAnsi="Arial" w:cs="Arial"/>
          <w:sz w:val="22"/>
          <w:szCs w:val="22"/>
        </w:rPr>
        <w:t>;</w:t>
      </w:r>
    </w:p>
    <w:p w14:paraId="68B8A059"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 xml:space="preserve">14. Tem-se </w:t>
      </w:r>
      <w:r w:rsidRPr="00357982">
        <w:rPr>
          <w:rFonts w:ascii="Arial" w:hAnsi="Arial" w:cs="Arial"/>
          <w:b/>
          <w:sz w:val="22"/>
          <w:szCs w:val="22"/>
        </w:rPr>
        <w:t>38,1% dos empregos concentrados em 3 atividades: fabricação de álcool, fabricação de produtos de metal, abate de suínos, aves e outros pequenos animais.</w:t>
      </w:r>
      <w:r w:rsidRPr="00FF59B3">
        <w:rPr>
          <w:rFonts w:ascii="Arial" w:hAnsi="Arial" w:cs="Arial"/>
          <w:sz w:val="22"/>
          <w:szCs w:val="22"/>
        </w:rPr>
        <w:t xml:space="preserve"> A maioria do emprego efetivo (52,1%) ocorre em apenas duas regiões: Goiânia e Anápolis. 5 municípios detêm 52% dos empregos - Senador Canedo, Anápolis, Rio Verde, Aparecida de Goiânia e Goiânia ou, ainda, 15 municípios</w:t>
      </w:r>
      <w:r>
        <w:rPr>
          <w:rFonts w:ascii="Arial" w:hAnsi="Arial" w:cs="Arial"/>
          <w:sz w:val="22"/>
          <w:szCs w:val="22"/>
        </w:rPr>
        <w:t xml:space="preserve"> dos 246 com 75%;</w:t>
      </w:r>
    </w:p>
    <w:p w14:paraId="0DEC6441"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 xml:space="preserve">15. Nas atividades econômicas que mais empregam nota-se que não há um padrão de desempenho. Ou seja, hora o desempenho é melhor das empresas que estão nos programas, hora das que estão fora dele. </w:t>
      </w:r>
      <w:r w:rsidRPr="00357982">
        <w:rPr>
          <w:rFonts w:ascii="Arial" w:hAnsi="Arial" w:cs="Arial"/>
          <w:b/>
          <w:sz w:val="22"/>
          <w:szCs w:val="22"/>
        </w:rPr>
        <w:t>De modo geral, o desempenho na manutenção dos empregos parece não ter diferença entre estar ou não nos programas PRODUZIR/FOMENTAR</w:t>
      </w:r>
      <w:r>
        <w:rPr>
          <w:rFonts w:ascii="Arial" w:hAnsi="Arial" w:cs="Arial"/>
          <w:sz w:val="22"/>
          <w:szCs w:val="22"/>
        </w:rPr>
        <w:t>;</w:t>
      </w:r>
    </w:p>
    <w:p w14:paraId="40CED6FF"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 xml:space="preserve">16. </w:t>
      </w:r>
      <w:r w:rsidRPr="00C87F28">
        <w:rPr>
          <w:rFonts w:ascii="Arial" w:hAnsi="Arial" w:cs="Arial"/>
          <w:b/>
          <w:sz w:val="22"/>
          <w:szCs w:val="22"/>
        </w:rPr>
        <w:t>A média de recolhimento de ICMS</w:t>
      </w:r>
      <w:r w:rsidRPr="00FF59B3">
        <w:rPr>
          <w:rFonts w:ascii="Arial" w:hAnsi="Arial" w:cs="Arial"/>
          <w:sz w:val="22"/>
          <w:szCs w:val="22"/>
        </w:rPr>
        <w:t xml:space="preserve"> em relação ao faturamento das empresas nos programas </w:t>
      </w:r>
      <w:r w:rsidRPr="00C87F28">
        <w:rPr>
          <w:rFonts w:ascii="Arial" w:hAnsi="Arial" w:cs="Arial"/>
          <w:b/>
          <w:sz w:val="22"/>
          <w:szCs w:val="22"/>
        </w:rPr>
        <w:t>perfaz 2,67%</w:t>
      </w:r>
      <w:r w:rsidRPr="00C87F28">
        <w:rPr>
          <w:rFonts w:ascii="Arial" w:hAnsi="Arial" w:cs="Arial"/>
          <w:sz w:val="22"/>
          <w:szCs w:val="22"/>
        </w:rPr>
        <w:t>;</w:t>
      </w:r>
    </w:p>
    <w:p w14:paraId="5A1AD61E"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17. O ICMS financiado em 2018 foi de R$ 2,6 bilhões e o Crédito Outorgado (dedução de imposto a pagar) foi de R$</w:t>
      </w:r>
      <w:r>
        <w:rPr>
          <w:rFonts w:ascii="Arial" w:hAnsi="Arial" w:cs="Arial"/>
          <w:sz w:val="22"/>
          <w:szCs w:val="22"/>
        </w:rPr>
        <w:t xml:space="preserve"> </w:t>
      </w:r>
      <w:r w:rsidRPr="00FF59B3">
        <w:rPr>
          <w:rFonts w:ascii="Arial" w:hAnsi="Arial" w:cs="Arial"/>
          <w:sz w:val="22"/>
          <w:szCs w:val="22"/>
        </w:rPr>
        <w:t>493,9</w:t>
      </w:r>
      <w:r>
        <w:rPr>
          <w:rFonts w:ascii="Arial" w:hAnsi="Arial" w:cs="Arial"/>
          <w:sz w:val="22"/>
          <w:szCs w:val="22"/>
        </w:rPr>
        <w:t xml:space="preserve"> </w:t>
      </w:r>
      <w:r w:rsidRPr="00FF59B3">
        <w:rPr>
          <w:rFonts w:ascii="Arial" w:hAnsi="Arial" w:cs="Arial"/>
          <w:sz w:val="22"/>
          <w:szCs w:val="22"/>
        </w:rPr>
        <w:t>milhões;</w:t>
      </w:r>
    </w:p>
    <w:p w14:paraId="529522CD"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18. A média anual de renúncia fiscal efetiva foi de R$ 2,4 bilhões e o total renunciado R$</w:t>
      </w:r>
      <w:r>
        <w:rPr>
          <w:rFonts w:ascii="Arial" w:hAnsi="Arial" w:cs="Arial"/>
          <w:sz w:val="22"/>
          <w:szCs w:val="22"/>
        </w:rPr>
        <w:t xml:space="preserve"> </w:t>
      </w:r>
      <w:r w:rsidRPr="00FF59B3">
        <w:rPr>
          <w:rFonts w:ascii="Arial" w:hAnsi="Arial" w:cs="Arial"/>
          <w:sz w:val="22"/>
          <w:szCs w:val="22"/>
        </w:rPr>
        <w:t>16,7 bilhões nos últimos 7 anos;</w:t>
      </w:r>
    </w:p>
    <w:p w14:paraId="3E64ED83"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19. O valor da relação entre a renúncia fiscal e estoque de empregos nos programas tem média de R$ 19.944,31 ou R$ 1.662,03 mensais (rendimento médio de R$ 2.466,59 em 2017);</w:t>
      </w:r>
    </w:p>
    <w:p w14:paraId="40F888AA"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20. Com as empresas nos programas, a média de ICMS renunciado foi de R$ 2,4 bilhões/ano. Isso perfaz o custo de R$ 19.944,31 por emprego/ano ou R$ 1.662,03 mensais (rendimento médio em Goiás foi de R$ 2.466,59 em 2017);</w:t>
      </w:r>
    </w:p>
    <w:p w14:paraId="199FC5F1"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21. As empresas tinham participação de 10% na arrecadação total estadual de ICMS em 2006 e, em 2018, 12,41%. Ou seja, não houve variação significativa;</w:t>
      </w:r>
    </w:p>
    <w:p w14:paraId="21795C69"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22. Há algumas atividades incentivadas que a arrecadação total dela diminuiu entre 2006 e 2018;</w:t>
      </w:r>
    </w:p>
    <w:p w14:paraId="47DAE1EA"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lastRenderedPageBreak/>
        <w:t xml:space="preserve">23. </w:t>
      </w:r>
      <w:r w:rsidRPr="00C87F28">
        <w:rPr>
          <w:rFonts w:ascii="Arial" w:hAnsi="Arial" w:cs="Arial"/>
          <w:b/>
          <w:sz w:val="22"/>
          <w:szCs w:val="22"/>
        </w:rPr>
        <w:t>Na média, as compras feitas pelas empresas que usufruem dos programas fiscais foram 54,8% externas</w:t>
      </w:r>
      <w:r w:rsidRPr="00FF59B3">
        <w:rPr>
          <w:rFonts w:ascii="Arial" w:hAnsi="Arial" w:cs="Arial"/>
          <w:sz w:val="22"/>
          <w:szCs w:val="22"/>
        </w:rPr>
        <w:t xml:space="preserve"> (fora do Estado) e 45,2% internas;</w:t>
      </w:r>
    </w:p>
    <w:p w14:paraId="3319A992"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 xml:space="preserve">24. </w:t>
      </w:r>
      <w:r w:rsidRPr="00C87F28">
        <w:rPr>
          <w:rFonts w:ascii="Arial" w:hAnsi="Arial" w:cs="Arial"/>
          <w:b/>
          <w:sz w:val="22"/>
          <w:szCs w:val="22"/>
        </w:rPr>
        <w:t>O estado concede incentivos para aumentar a sua competitividade, mas sem avaliar os impactos os programas</w:t>
      </w:r>
      <w:r w:rsidRPr="00FF59B3">
        <w:rPr>
          <w:rFonts w:ascii="Arial" w:hAnsi="Arial" w:cs="Arial"/>
          <w:sz w:val="22"/>
          <w:szCs w:val="22"/>
        </w:rPr>
        <w:t>, mesmo que de forma agregada;</w:t>
      </w:r>
    </w:p>
    <w:p w14:paraId="7A8B1E87"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25. Não se obedece ao prazo limite de benefícios concedidos. Ou, ainda, não há prazo limite para usufruir dos benefícios;</w:t>
      </w:r>
    </w:p>
    <w:p w14:paraId="461F0EBD"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 xml:space="preserve">26. </w:t>
      </w:r>
      <w:r w:rsidRPr="00C87F28">
        <w:rPr>
          <w:rFonts w:ascii="Arial" w:hAnsi="Arial" w:cs="Arial"/>
          <w:b/>
          <w:sz w:val="22"/>
          <w:szCs w:val="22"/>
        </w:rPr>
        <w:t>A renúncia fiscal de ICMS possui como motivação a atração ou a manutenção de empresas em seu território, e não uma política pública com motivação econômica justificável, transparente e com avaliação prévia de seus efeitos</w:t>
      </w:r>
      <w:r w:rsidRPr="00FF59B3">
        <w:rPr>
          <w:rFonts w:ascii="Arial" w:hAnsi="Arial" w:cs="Arial"/>
          <w:sz w:val="22"/>
          <w:szCs w:val="22"/>
        </w:rPr>
        <w:t>.</w:t>
      </w:r>
    </w:p>
    <w:p w14:paraId="30853F81"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 xml:space="preserve">27. </w:t>
      </w:r>
      <w:r w:rsidRPr="00C87F28">
        <w:rPr>
          <w:rFonts w:ascii="Arial" w:hAnsi="Arial" w:cs="Arial"/>
          <w:b/>
          <w:sz w:val="22"/>
          <w:szCs w:val="22"/>
        </w:rPr>
        <w:t>Outros órgãos governamentais do estado de Goiás têm dificuldade de ter acesso às informações dos programas de maneira detalhada</w:t>
      </w:r>
      <w:r w:rsidRPr="00FF59B3">
        <w:rPr>
          <w:rFonts w:ascii="Arial" w:hAnsi="Arial" w:cs="Arial"/>
          <w:sz w:val="22"/>
          <w:szCs w:val="22"/>
        </w:rPr>
        <w:t>.</w:t>
      </w:r>
    </w:p>
    <w:p w14:paraId="02E1FF59"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 xml:space="preserve">28. </w:t>
      </w:r>
      <w:r w:rsidRPr="00C87F28">
        <w:rPr>
          <w:rFonts w:ascii="Arial" w:hAnsi="Arial" w:cs="Arial"/>
          <w:b/>
          <w:sz w:val="22"/>
          <w:szCs w:val="22"/>
        </w:rPr>
        <w:t>Há outras atividades econômicas que merecem maior atenção dos incentivos do que algumas já postas</w:t>
      </w:r>
      <w:r w:rsidRPr="00FF59B3">
        <w:rPr>
          <w:rFonts w:ascii="Arial" w:hAnsi="Arial" w:cs="Arial"/>
          <w:sz w:val="22"/>
          <w:szCs w:val="22"/>
        </w:rPr>
        <w:t>. Essas outras atividades, na sua maioria, agregam mais valor à economia estadual.</w:t>
      </w:r>
    </w:p>
    <w:p w14:paraId="330DB7C0" w14:textId="77777777" w:rsidR="006356F1" w:rsidRDefault="006356F1" w:rsidP="006356F1">
      <w:pPr>
        <w:ind w:left="2268"/>
        <w:jc w:val="both"/>
        <w:rPr>
          <w:rFonts w:ascii="Arial" w:hAnsi="Arial" w:cs="Arial"/>
          <w:sz w:val="22"/>
          <w:szCs w:val="22"/>
        </w:rPr>
      </w:pPr>
      <w:r w:rsidRPr="00FF59B3">
        <w:rPr>
          <w:rFonts w:ascii="Arial" w:hAnsi="Arial" w:cs="Arial"/>
          <w:sz w:val="22"/>
          <w:szCs w:val="22"/>
        </w:rPr>
        <w:t>29. No ano de 2018 as empresas nos programas recolheram R$ 1,9 bilhões de ICMS;</w:t>
      </w:r>
    </w:p>
    <w:p w14:paraId="304EFFFE" w14:textId="77777777" w:rsidR="006356F1" w:rsidRPr="00FF59B3" w:rsidRDefault="006356F1" w:rsidP="006356F1">
      <w:pPr>
        <w:ind w:left="2268"/>
        <w:jc w:val="both"/>
        <w:rPr>
          <w:rFonts w:ascii="Arial" w:hAnsi="Arial" w:cs="Arial"/>
          <w:sz w:val="22"/>
          <w:szCs w:val="22"/>
        </w:rPr>
      </w:pPr>
      <w:r w:rsidRPr="00FF59B3">
        <w:rPr>
          <w:rFonts w:ascii="Arial" w:hAnsi="Arial" w:cs="Arial"/>
          <w:sz w:val="22"/>
          <w:szCs w:val="22"/>
        </w:rPr>
        <w:t xml:space="preserve">30. </w:t>
      </w:r>
      <w:r w:rsidRPr="00C87F28">
        <w:rPr>
          <w:rFonts w:ascii="Arial" w:hAnsi="Arial" w:cs="Arial"/>
          <w:b/>
          <w:sz w:val="22"/>
          <w:szCs w:val="22"/>
        </w:rPr>
        <w:t>A falta de transparência desses programas acaba por minar o benefício potencial que tais políticas possam ter para a sociedade</w:t>
      </w:r>
      <w:r w:rsidRPr="00FF59B3">
        <w:rPr>
          <w:rFonts w:ascii="Arial" w:hAnsi="Arial" w:cs="Arial"/>
          <w:sz w:val="22"/>
          <w:szCs w:val="22"/>
        </w:rPr>
        <w:t>.</w:t>
      </w:r>
      <w:r w:rsidRPr="0076549E">
        <w:rPr>
          <w:rStyle w:val="Refdenotaderodap"/>
          <w:rFonts w:ascii="Arial" w:hAnsi="Arial" w:cs="Arial"/>
          <w:sz w:val="22"/>
          <w:szCs w:val="22"/>
        </w:rPr>
        <w:footnoteReference w:id="138"/>
      </w:r>
    </w:p>
    <w:p w14:paraId="61BF8970" w14:textId="77777777" w:rsidR="006356F1" w:rsidRDefault="006356F1" w:rsidP="006356F1">
      <w:pPr>
        <w:spacing w:line="360" w:lineRule="auto"/>
        <w:ind w:firstLine="851"/>
        <w:jc w:val="both"/>
        <w:rPr>
          <w:rFonts w:ascii="Arial" w:hAnsi="Arial" w:cs="Arial"/>
          <w:sz w:val="24"/>
          <w:szCs w:val="24"/>
        </w:rPr>
      </w:pPr>
    </w:p>
    <w:p w14:paraId="0C08898C" w14:textId="77777777" w:rsidR="006356F1" w:rsidRDefault="006356F1" w:rsidP="006356F1">
      <w:pPr>
        <w:spacing w:line="360" w:lineRule="auto"/>
        <w:ind w:firstLine="851"/>
        <w:jc w:val="both"/>
        <w:rPr>
          <w:rFonts w:ascii="Arial" w:hAnsi="Arial" w:cs="Arial"/>
          <w:sz w:val="24"/>
          <w:szCs w:val="24"/>
        </w:rPr>
      </w:pPr>
      <w:r>
        <w:rPr>
          <w:rFonts w:ascii="Arial" w:hAnsi="Arial" w:cs="Arial"/>
          <w:sz w:val="24"/>
          <w:szCs w:val="24"/>
        </w:rPr>
        <w:t xml:space="preserve">Portanto, verificamos que tanto o IMB quanto a CGE concluíram que os programas FOMENTAR e PRODUZIR </w:t>
      </w:r>
      <w:r w:rsidRPr="00C87F28">
        <w:rPr>
          <w:rFonts w:ascii="Arial" w:hAnsi="Arial" w:cs="Arial"/>
          <w:b/>
          <w:sz w:val="24"/>
          <w:szCs w:val="24"/>
        </w:rPr>
        <w:t>não cumprem todos os objetivos</w:t>
      </w:r>
      <w:r>
        <w:rPr>
          <w:rFonts w:ascii="Arial" w:hAnsi="Arial" w:cs="Arial"/>
          <w:sz w:val="24"/>
          <w:szCs w:val="24"/>
        </w:rPr>
        <w:t xml:space="preserve"> a que se propõem e que </w:t>
      </w:r>
      <w:r w:rsidRPr="00C87F28">
        <w:rPr>
          <w:rFonts w:ascii="Arial" w:hAnsi="Arial" w:cs="Arial"/>
          <w:b/>
          <w:sz w:val="24"/>
          <w:szCs w:val="24"/>
        </w:rPr>
        <w:t>envolvem elevados gastos indiretos</w:t>
      </w:r>
      <w:r>
        <w:rPr>
          <w:rFonts w:ascii="Arial" w:hAnsi="Arial" w:cs="Arial"/>
          <w:sz w:val="24"/>
          <w:szCs w:val="24"/>
        </w:rPr>
        <w:t xml:space="preserve"> que </w:t>
      </w:r>
      <w:r w:rsidRPr="00B76FD8">
        <w:rPr>
          <w:rFonts w:ascii="Arial" w:hAnsi="Arial" w:cs="Arial"/>
          <w:b/>
          <w:sz w:val="24"/>
          <w:szCs w:val="24"/>
        </w:rPr>
        <w:t>não são bem alocados</w:t>
      </w:r>
      <w:r>
        <w:rPr>
          <w:rFonts w:ascii="Arial" w:hAnsi="Arial" w:cs="Arial"/>
          <w:sz w:val="24"/>
          <w:szCs w:val="24"/>
        </w:rPr>
        <w:t>, podendo obter melhores resultados caso os programas de incentivos fiscais se pautem por critérios técnicos e avaliações efetivas de custo-benefício, o que não ocorre na prática.</w:t>
      </w:r>
    </w:p>
    <w:p w14:paraId="3E917D00" w14:textId="77777777" w:rsidR="006356F1" w:rsidRPr="00706C4B" w:rsidRDefault="006356F1" w:rsidP="006356F1">
      <w:pPr>
        <w:spacing w:line="360" w:lineRule="auto"/>
        <w:ind w:firstLine="851"/>
        <w:jc w:val="both"/>
        <w:rPr>
          <w:rFonts w:ascii="Arial" w:hAnsi="Arial" w:cs="Arial"/>
          <w:sz w:val="24"/>
          <w:szCs w:val="24"/>
        </w:rPr>
      </w:pPr>
    </w:p>
    <w:p w14:paraId="6E754B3A" w14:textId="77777777" w:rsidR="006356F1" w:rsidRPr="00706C4B" w:rsidRDefault="006356F1" w:rsidP="006356F1">
      <w:pPr>
        <w:spacing w:line="360" w:lineRule="auto"/>
        <w:ind w:firstLine="851"/>
        <w:jc w:val="both"/>
        <w:rPr>
          <w:rFonts w:ascii="Arial" w:hAnsi="Arial" w:cs="Arial"/>
          <w:sz w:val="24"/>
          <w:szCs w:val="24"/>
        </w:rPr>
      </w:pPr>
    </w:p>
    <w:p w14:paraId="24D3F54B" w14:textId="77777777" w:rsidR="006356F1" w:rsidRDefault="006356F1" w:rsidP="006356F1">
      <w:pPr>
        <w:rPr>
          <w:rFonts w:ascii="Arial" w:hAnsi="Arial" w:cs="Arial"/>
          <w:b/>
          <w:sz w:val="24"/>
          <w:szCs w:val="24"/>
          <w:u w:val="single"/>
        </w:rPr>
      </w:pPr>
      <w:r>
        <w:rPr>
          <w:rFonts w:ascii="Arial" w:hAnsi="Arial" w:cs="Arial"/>
          <w:b/>
          <w:sz w:val="24"/>
          <w:szCs w:val="24"/>
          <w:u w:val="single"/>
        </w:rPr>
        <w:br w:type="page"/>
      </w:r>
    </w:p>
    <w:p w14:paraId="7BDCB997" w14:textId="77777777" w:rsidR="009B1AD0" w:rsidRDefault="009B1AD0" w:rsidP="009B1AD0">
      <w:pPr>
        <w:pStyle w:val="PargrafodaLista"/>
        <w:numPr>
          <w:ilvl w:val="0"/>
          <w:numId w:val="54"/>
        </w:numPr>
        <w:spacing w:line="360" w:lineRule="auto"/>
        <w:jc w:val="both"/>
        <w:rPr>
          <w:rFonts w:ascii="Arial" w:hAnsi="Arial" w:cs="Arial"/>
          <w:b/>
          <w:sz w:val="24"/>
          <w:szCs w:val="24"/>
          <w:u w:val="single"/>
        </w:rPr>
      </w:pPr>
      <w:r w:rsidRPr="00394F74">
        <w:rPr>
          <w:rFonts w:ascii="Arial" w:hAnsi="Arial" w:cs="Arial"/>
          <w:b/>
          <w:sz w:val="24"/>
          <w:szCs w:val="24"/>
          <w:u w:val="single"/>
        </w:rPr>
        <w:lastRenderedPageBreak/>
        <w:t>CONCLUSÕES DESTA COMISSÃO</w:t>
      </w:r>
    </w:p>
    <w:p w14:paraId="5DC8D143" w14:textId="77777777" w:rsidR="009B1AD0" w:rsidRPr="00394F74" w:rsidRDefault="009B1AD0" w:rsidP="009B1AD0">
      <w:pPr>
        <w:pStyle w:val="PargrafodaLista"/>
        <w:spacing w:line="360" w:lineRule="auto"/>
        <w:ind w:left="360"/>
        <w:jc w:val="both"/>
        <w:rPr>
          <w:rFonts w:ascii="Arial" w:hAnsi="Arial" w:cs="Arial"/>
          <w:b/>
          <w:sz w:val="24"/>
          <w:szCs w:val="24"/>
          <w:u w:val="single"/>
        </w:rPr>
      </w:pPr>
    </w:p>
    <w:p w14:paraId="7C10D778" w14:textId="77777777" w:rsidR="009B1AD0" w:rsidRPr="00394F74" w:rsidRDefault="009B1AD0" w:rsidP="009B1AD0">
      <w:pPr>
        <w:pStyle w:val="PargrafodaLista"/>
        <w:numPr>
          <w:ilvl w:val="1"/>
          <w:numId w:val="54"/>
        </w:numPr>
        <w:spacing w:line="360" w:lineRule="auto"/>
        <w:jc w:val="both"/>
        <w:rPr>
          <w:rFonts w:ascii="Arial" w:hAnsi="Arial" w:cs="Arial"/>
          <w:b/>
          <w:sz w:val="24"/>
          <w:szCs w:val="24"/>
        </w:rPr>
      </w:pPr>
      <w:r w:rsidRPr="00394F74">
        <w:rPr>
          <w:rFonts w:ascii="Arial" w:hAnsi="Arial" w:cs="Arial"/>
          <w:b/>
          <w:sz w:val="24"/>
          <w:szCs w:val="24"/>
        </w:rPr>
        <w:t>RELACIONADAS AO PRINCÍPIO DA LEGALIDADE</w:t>
      </w:r>
    </w:p>
    <w:p w14:paraId="2D271885" w14:textId="77777777" w:rsidR="009B1AD0" w:rsidRDefault="009B1AD0" w:rsidP="009B1AD0">
      <w:pPr>
        <w:spacing w:line="360" w:lineRule="auto"/>
        <w:ind w:firstLine="851"/>
        <w:jc w:val="both"/>
        <w:rPr>
          <w:rFonts w:ascii="Arial" w:hAnsi="Arial" w:cs="Arial"/>
          <w:sz w:val="24"/>
          <w:szCs w:val="24"/>
        </w:rPr>
      </w:pPr>
    </w:p>
    <w:p w14:paraId="4FE47EF5" w14:textId="77777777" w:rsidR="009B1AD0" w:rsidRPr="00CD6FE3" w:rsidRDefault="009B1AD0" w:rsidP="009B1AD0">
      <w:pPr>
        <w:spacing w:line="360" w:lineRule="auto"/>
        <w:ind w:firstLine="851"/>
        <w:jc w:val="both"/>
        <w:rPr>
          <w:rFonts w:ascii="Arial" w:hAnsi="Arial" w:cs="Arial"/>
          <w:sz w:val="24"/>
          <w:szCs w:val="24"/>
        </w:rPr>
      </w:pPr>
      <w:r w:rsidRPr="00CD6FE3">
        <w:rPr>
          <w:rFonts w:ascii="Arial" w:hAnsi="Arial" w:cs="Arial"/>
          <w:sz w:val="24"/>
          <w:szCs w:val="24"/>
        </w:rPr>
        <w:t>Quanto ao princípio da legalidade, específica a essa seara (CRFB, art. 150, § 6º; CE/GO, art. 102, § 5º) verificou-se que:</w:t>
      </w:r>
    </w:p>
    <w:p w14:paraId="0BE75247" w14:textId="77777777" w:rsidR="009B1AD0" w:rsidRDefault="009B1AD0" w:rsidP="009B1AD0">
      <w:pPr>
        <w:pStyle w:val="PargrafodaLista"/>
        <w:numPr>
          <w:ilvl w:val="0"/>
          <w:numId w:val="55"/>
        </w:numPr>
        <w:spacing w:line="360" w:lineRule="auto"/>
        <w:jc w:val="both"/>
        <w:rPr>
          <w:rFonts w:ascii="Arial" w:hAnsi="Arial" w:cs="Arial"/>
          <w:sz w:val="24"/>
          <w:szCs w:val="24"/>
        </w:rPr>
      </w:pPr>
      <w:r w:rsidRPr="00CD6FE3">
        <w:rPr>
          <w:rFonts w:ascii="Arial" w:hAnsi="Arial" w:cs="Arial"/>
          <w:b/>
          <w:sz w:val="24"/>
          <w:szCs w:val="24"/>
          <w:u w:val="single"/>
        </w:rPr>
        <w:t>ainda persiste, em pleno ano de 2019, a prática de publicação de diversos decretos autônomos</w:t>
      </w:r>
      <w:r w:rsidRPr="00CD6FE3">
        <w:rPr>
          <w:rFonts w:ascii="Arial" w:hAnsi="Arial" w:cs="Arial"/>
          <w:b/>
          <w:sz w:val="24"/>
          <w:szCs w:val="24"/>
        </w:rPr>
        <w:t xml:space="preserve"> que instituem novas hipóteses de incentivos fiscais</w:t>
      </w:r>
      <w:r w:rsidRPr="00CD6FE3">
        <w:rPr>
          <w:rFonts w:ascii="Arial" w:hAnsi="Arial" w:cs="Arial"/>
          <w:sz w:val="24"/>
          <w:szCs w:val="24"/>
        </w:rPr>
        <w:t xml:space="preserve"> sem o necessário respaldo em prévia lei específica, ainda que aprovado no âmbito do Confaz;</w:t>
      </w:r>
    </w:p>
    <w:p w14:paraId="444C1608" w14:textId="77777777" w:rsidR="009B1AD0" w:rsidRDefault="009B1AD0" w:rsidP="009B1AD0">
      <w:pPr>
        <w:pStyle w:val="PargrafodaLista"/>
        <w:numPr>
          <w:ilvl w:val="0"/>
          <w:numId w:val="55"/>
        </w:numPr>
        <w:spacing w:line="360" w:lineRule="auto"/>
        <w:jc w:val="both"/>
        <w:rPr>
          <w:rFonts w:ascii="Arial" w:hAnsi="Arial" w:cs="Arial"/>
          <w:sz w:val="24"/>
          <w:szCs w:val="24"/>
        </w:rPr>
      </w:pPr>
      <w:r w:rsidRPr="00394F74">
        <w:rPr>
          <w:rFonts w:ascii="Arial" w:hAnsi="Arial" w:cs="Arial"/>
          <w:b/>
          <w:sz w:val="24"/>
          <w:szCs w:val="24"/>
          <w:u w:val="single"/>
        </w:rPr>
        <w:t>a lei ocupa papel secundário no sistema de concessão desses incentivos fiscais</w:t>
      </w:r>
      <w:r w:rsidRPr="00394F74">
        <w:rPr>
          <w:rFonts w:ascii="Arial" w:hAnsi="Arial" w:cs="Arial"/>
          <w:b/>
          <w:sz w:val="24"/>
          <w:szCs w:val="24"/>
        </w:rPr>
        <w:t>, visto que na grande maioria das vezes assume função meramente autorizativa</w:t>
      </w:r>
      <w:r w:rsidRPr="00394F74">
        <w:rPr>
          <w:rFonts w:ascii="Arial" w:hAnsi="Arial" w:cs="Arial"/>
          <w:sz w:val="24"/>
          <w:szCs w:val="24"/>
        </w:rPr>
        <w:t>, de modo que o benefício só é implementado efetivamente a partir de regulamentação levada a efeito pelo Chefe do Poder Executivo, cuja margem de discricionariedade é tão grande ao ponto de, se quiser, nem conceder ou posteriormente revogar o benefício, ainda que vigente a respectiva lei autorizativa;</w:t>
      </w:r>
    </w:p>
    <w:p w14:paraId="35F5F923" w14:textId="77777777" w:rsidR="009B1AD0" w:rsidRPr="00394F74" w:rsidRDefault="009B1AD0" w:rsidP="009B1AD0">
      <w:pPr>
        <w:pStyle w:val="PargrafodaLista"/>
        <w:numPr>
          <w:ilvl w:val="0"/>
          <w:numId w:val="55"/>
        </w:numPr>
        <w:spacing w:line="360" w:lineRule="auto"/>
        <w:jc w:val="both"/>
        <w:rPr>
          <w:rFonts w:ascii="Arial" w:hAnsi="Arial" w:cs="Arial"/>
          <w:sz w:val="24"/>
          <w:szCs w:val="24"/>
        </w:rPr>
      </w:pPr>
      <w:r w:rsidRPr="00394F74">
        <w:rPr>
          <w:rFonts w:ascii="Arial" w:hAnsi="Arial" w:cs="Arial"/>
          <w:b/>
          <w:sz w:val="24"/>
          <w:szCs w:val="24"/>
          <w:u w:val="single"/>
        </w:rPr>
        <w:t>existência de decretos que internalizam, sem lei</w:t>
      </w:r>
      <w:r w:rsidRPr="00394F74">
        <w:rPr>
          <w:rFonts w:ascii="Arial" w:hAnsi="Arial" w:cs="Arial"/>
          <w:sz w:val="24"/>
          <w:szCs w:val="24"/>
        </w:rPr>
        <w:t>, incentivos fiscais aprovados no âmbito do Confaz;</w:t>
      </w:r>
    </w:p>
    <w:p w14:paraId="38639173" w14:textId="77777777" w:rsidR="009B1AD0" w:rsidRPr="00CD6FE3" w:rsidRDefault="009B1AD0" w:rsidP="009B1AD0">
      <w:pPr>
        <w:pStyle w:val="PargrafodaLista"/>
        <w:numPr>
          <w:ilvl w:val="0"/>
          <w:numId w:val="55"/>
        </w:numPr>
        <w:spacing w:line="360" w:lineRule="auto"/>
        <w:jc w:val="both"/>
        <w:rPr>
          <w:rFonts w:ascii="Arial" w:hAnsi="Arial" w:cs="Arial"/>
          <w:b/>
          <w:sz w:val="24"/>
          <w:szCs w:val="24"/>
          <w:u w:val="single"/>
        </w:rPr>
      </w:pPr>
      <w:r w:rsidRPr="00394F74">
        <w:rPr>
          <w:rFonts w:ascii="Arial" w:hAnsi="Arial" w:cs="Arial"/>
          <w:b/>
          <w:sz w:val="24"/>
          <w:szCs w:val="24"/>
          <w:u w:val="single"/>
        </w:rPr>
        <w:t>há deficiência no sistema de elaboração e formalização os TARE’s</w:t>
      </w:r>
      <w:r w:rsidRPr="00394F74">
        <w:rPr>
          <w:rFonts w:ascii="Arial" w:hAnsi="Arial" w:cs="Arial"/>
          <w:sz w:val="24"/>
          <w:szCs w:val="24"/>
        </w:rPr>
        <w:t xml:space="preserve">, porquanto não passam por prévia análise jurídica da PGE/GO e são firmados diretamente entre o Secretário de Estado da Fazenda (atual Economia) e os representantes – às vezes até mesmo procuradores/advogados – da pessoa jurídica acordante; </w:t>
      </w:r>
    </w:p>
    <w:p w14:paraId="5ECFCB88" w14:textId="77777777" w:rsidR="009B1AD0" w:rsidRDefault="009B1AD0" w:rsidP="009B1AD0">
      <w:pPr>
        <w:spacing w:line="360" w:lineRule="auto"/>
        <w:ind w:firstLine="851"/>
        <w:jc w:val="both"/>
        <w:rPr>
          <w:rFonts w:ascii="Arial" w:hAnsi="Arial" w:cs="Arial"/>
          <w:sz w:val="24"/>
          <w:szCs w:val="24"/>
        </w:rPr>
      </w:pPr>
    </w:p>
    <w:p w14:paraId="64C009AE" w14:textId="77777777" w:rsidR="009B1AD0" w:rsidRPr="00394F74" w:rsidRDefault="009B1AD0" w:rsidP="009B1AD0">
      <w:pPr>
        <w:pStyle w:val="PargrafodaLista"/>
        <w:numPr>
          <w:ilvl w:val="1"/>
          <w:numId w:val="54"/>
        </w:numPr>
        <w:spacing w:line="360" w:lineRule="auto"/>
        <w:jc w:val="both"/>
        <w:rPr>
          <w:rFonts w:ascii="Arial" w:hAnsi="Arial" w:cs="Arial"/>
          <w:b/>
          <w:sz w:val="24"/>
          <w:szCs w:val="24"/>
        </w:rPr>
      </w:pPr>
      <w:r w:rsidRPr="00394F74">
        <w:rPr>
          <w:rFonts w:ascii="Arial" w:hAnsi="Arial" w:cs="Arial"/>
          <w:b/>
          <w:sz w:val="24"/>
          <w:szCs w:val="24"/>
        </w:rPr>
        <w:t>RELACIONADAS AOS PROGRAMAS FOMENTAR E PRODUZIR</w:t>
      </w:r>
    </w:p>
    <w:p w14:paraId="364039EB" w14:textId="77777777" w:rsidR="009B1AD0" w:rsidRDefault="009B1AD0" w:rsidP="009B1AD0">
      <w:pPr>
        <w:spacing w:line="360" w:lineRule="auto"/>
        <w:ind w:firstLine="851"/>
        <w:jc w:val="both"/>
        <w:rPr>
          <w:rFonts w:ascii="Arial" w:hAnsi="Arial" w:cs="Arial"/>
          <w:sz w:val="24"/>
          <w:szCs w:val="24"/>
        </w:rPr>
      </w:pPr>
    </w:p>
    <w:p w14:paraId="58FAC0D0" w14:textId="77777777" w:rsidR="009B1AD0" w:rsidRPr="00CD6FE3" w:rsidRDefault="009B1AD0" w:rsidP="009B1AD0">
      <w:pPr>
        <w:spacing w:line="360" w:lineRule="auto"/>
        <w:ind w:firstLine="851"/>
        <w:jc w:val="both"/>
        <w:rPr>
          <w:rFonts w:ascii="Arial" w:hAnsi="Arial" w:cs="Arial"/>
          <w:sz w:val="24"/>
          <w:szCs w:val="24"/>
        </w:rPr>
      </w:pPr>
      <w:r w:rsidRPr="00CD6FE3">
        <w:rPr>
          <w:rFonts w:ascii="Arial" w:hAnsi="Arial" w:cs="Arial"/>
          <w:sz w:val="24"/>
          <w:szCs w:val="24"/>
        </w:rPr>
        <w:t>Pode-se concluir sobre os programas FOMENTAR e PRODUZIR que:</w:t>
      </w:r>
    </w:p>
    <w:p w14:paraId="26C3E09A" w14:textId="77777777" w:rsidR="009B1AD0" w:rsidRDefault="009B1AD0" w:rsidP="009B1AD0">
      <w:pPr>
        <w:pStyle w:val="PargrafodaLista"/>
        <w:numPr>
          <w:ilvl w:val="0"/>
          <w:numId w:val="56"/>
        </w:numPr>
        <w:spacing w:line="360" w:lineRule="auto"/>
        <w:jc w:val="both"/>
        <w:rPr>
          <w:rFonts w:ascii="Arial" w:hAnsi="Arial" w:cs="Arial"/>
          <w:sz w:val="24"/>
          <w:szCs w:val="24"/>
        </w:rPr>
      </w:pPr>
      <w:r w:rsidRPr="00CD6FE3">
        <w:rPr>
          <w:rFonts w:ascii="Arial" w:hAnsi="Arial" w:cs="Arial"/>
          <w:b/>
          <w:sz w:val="24"/>
          <w:szCs w:val="24"/>
          <w:u w:val="single"/>
        </w:rPr>
        <w:t>possuem inequívoca natureza fiscal, ou, pelo menos, financeiro-fiscal</w:t>
      </w:r>
      <w:r w:rsidRPr="00CD6FE3">
        <w:rPr>
          <w:rFonts w:ascii="Arial" w:hAnsi="Arial" w:cs="Arial"/>
          <w:sz w:val="24"/>
          <w:szCs w:val="24"/>
        </w:rPr>
        <w:t>, conforme revelada em sua sistemática e explicitado pela Lei n. 20.367, de 2018;</w:t>
      </w:r>
    </w:p>
    <w:p w14:paraId="438C4325" w14:textId="77777777" w:rsidR="009B1AD0" w:rsidRPr="00394F74" w:rsidRDefault="009B1AD0" w:rsidP="009B1AD0">
      <w:pPr>
        <w:pStyle w:val="PargrafodaLista"/>
        <w:numPr>
          <w:ilvl w:val="0"/>
          <w:numId w:val="56"/>
        </w:numPr>
        <w:spacing w:line="360" w:lineRule="auto"/>
        <w:jc w:val="both"/>
        <w:rPr>
          <w:rFonts w:ascii="Arial" w:hAnsi="Arial" w:cs="Arial"/>
          <w:sz w:val="24"/>
          <w:szCs w:val="24"/>
        </w:rPr>
      </w:pPr>
      <w:r w:rsidRPr="00394F74">
        <w:rPr>
          <w:rFonts w:ascii="Arial" w:hAnsi="Arial" w:cs="Arial"/>
          <w:b/>
          <w:sz w:val="24"/>
          <w:szCs w:val="24"/>
          <w:u w:val="single"/>
        </w:rPr>
        <w:t>foram convalidados de vícios pelo descumprimento da alínea “g” do inciso XII do § 2º do art. 155 da Constituição Federal</w:t>
      </w:r>
      <w:r w:rsidRPr="00394F74">
        <w:rPr>
          <w:rFonts w:ascii="Arial" w:hAnsi="Arial" w:cs="Arial"/>
          <w:sz w:val="24"/>
          <w:szCs w:val="24"/>
        </w:rPr>
        <w:t>, nos termos da Lei Complementar federal n. 160, de 2017 e do Convênio CONFAZ n. 190/2017;</w:t>
      </w:r>
    </w:p>
    <w:p w14:paraId="76F8BC0D" w14:textId="77777777" w:rsidR="009B1AD0" w:rsidRPr="00394F74" w:rsidRDefault="009B1AD0" w:rsidP="009B1AD0">
      <w:pPr>
        <w:pStyle w:val="PargrafodaLista"/>
        <w:numPr>
          <w:ilvl w:val="0"/>
          <w:numId w:val="56"/>
        </w:numPr>
        <w:spacing w:line="360" w:lineRule="auto"/>
        <w:jc w:val="both"/>
        <w:rPr>
          <w:rFonts w:ascii="Arial" w:hAnsi="Arial" w:cs="Arial"/>
          <w:sz w:val="24"/>
          <w:szCs w:val="24"/>
        </w:rPr>
      </w:pPr>
      <w:r w:rsidRPr="00394F74">
        <w:rPr>
          <w:rFonts w:ascii="Arial" w:hAnsi="Arial" w:cs="Arial"/>
          <w:b/>
          <w:sz w:val="24"/>
          <w:szCs w:val="24"/>
          <w:u w:val="single"/>
        </w:rPr>
        <w:lastRenderedPageBreak/>
        <w:t>resultaram em benefícios socioeconômicos para o Estado de Goiás</w:t>
      </w:r>
      <w:r w:rsidRPr="00394F74">
        <w:rPr>
          <w:rFonts w:ascii="Arial" w:hAnsi="Arial" w:cs="Arial"/>
          <w:sz w:val="24"/>
          <w:szCs w:val="24"/>
        </w:rPr>
        <w:t>, a saber:</w:t>
      </w:r>
    </w:p>
    <w:p w14:paraId="3F534837" w14:textId="77777777" w:rsidR="009B1AD0" w:rsidRDefault="009B1AD0" w:rsidP="009B1AD0">
      <w:pPr>
        <w:pStyle w:val="PargrafodaLista"/>
        <w:numPr>
          <w:ilvl w:val="1"/>
          <w:numId w:val="56"/>
        </w:numPr>
        <w:spacing w:line="360" w:lineRule="auto"/>
        <w:jc w:val="both"/>
        <w:rPr>
          <w:rFonts w:ascii="Arial" w:hAnsi="Arial" w:cs="Arial"/>
          <w:sz w:val="24"/>
          <w:szCs w:val="24"/>
        </w:rPr>
      </w:pPr>
      <w:r>
        <w:rPr>
          <w:rFonts w:ascii="Arial" w:hAnsi="Arial" w:cs="Arial"/>
          <w:sz w:val="24"/>
          <w:szCs w:val="24"/>
        </w:rPr>
        <w:t>a</w:t>
      </w:r>
      <w:r w:rsidRPr="00CD6FE3">
        <w:rPr>
          <w:rFonts w:ascii="Arial" w:hAnsi="Arial" w:cs="Arial"/>
          <w:b/>
          <w:sz w:val="24"/>
          <w:szCs w:val="24"/>
        </w:rPr>
        <w:t xml:space="preserve"> </w:t>
      </w:r>
      <w:r w:rsidRPr="00394F74">
        <w:rPr>
          <w:rFonts w:ascii="Arial" w:hAnsi="Arial" w:cs="Arial"/>
          <w:b/>
          <w:sz w:val="24"/>
          <w:szCs w:val="24"/>
        </w:rPr>
        <w:t>indústria goiana</w:t>
      </w:r>
      <w:r w:rsidRPr="00394F74">
        <w:rPr>
          <w:rFonts w:ascii="Arial" w:hAnsi="Arial" w:cs="Arial"/>
          <w:sz w:val="24"/>
          <w:szCs w:val="24"/>
        </w:rPr>
        <w:t xml:space="preserve">, durante o período de vigência dos programas, teve </w:t>
      </w:r>
      <w:r w:rsidRPr="00394F74">
        <w:rPr>
          <w:rFonts w:ascii="Arial" w:hAnsi="Arial" w:cs="Arial"/>
          <w:b/>
          <w:sz w:val="24"/>
          <w:szCs w:val="24"/>
        </w:rPr>
        <w:t>crescimento acima da média nacional</w:t>
      </w:r>
      <w:r w:rsidRPr="00394F74">
        <w:rPr>
          <w:rFonts w:ascii="Arial" w:hAnsi="Arial" w:cs="Arial"/>
          <w:sz w:val="24"/>
          <w:szCs w:val="24"/>
        </w:rPr>
        <w:t>;</w:t>
      </w:r>
    </w:p>
    <w:p w14:paraId="79064BCE" w14:textId="77777777" w:rsidR="009B1AD0" w:rsidRPr="00CD6FE3" w:rsidRDefault="009B1AD0" w:rsidP="009B1AD0">
      <w:pPr>
        <w:pStyle w:val="PargrafodaLista"/>
        <w:numPr>
          <w:ilvl w:val="1"/>
          <w:numId w:val="56"/>
        </w:numPr>
        <w:spacing w:line="360" w:lineRule="auto"/>
        <w:jc w:val="both"/>
        <w:rPr>
          <w:rFonts w:ascii="Arial" w:hAnsi="Arial" w:cs="Arial"/>
          <w:sz w:val="24"/>
          <w:szCs w:val="24"/>
        </w:rPr>
      </w:pPr>
      <w:r w:rsidRPr="00394F74">
        <w:rPr>
          <w:rFonts w:ascii="Arial" w:hAnsi="Arial" w:cs="Arial"/>
          <w:sz w:val="24"/>
          <w:szCs w:val="24"/>
        </w:rPr>
        <w:t>houve aumento da participação da indústria goiana no Valor da Transformação Industrial brasileiro.</w:t>
      </w:r>
    </w:p>
    <w:p w14:paraId="01971846" w14:textId="77777777" w:rsidR="009B1AD0" w:rsidRDefault="009B1AD0" w:rsidP="009B1AD0">
      <w:pPr>
        <w:spacing w:line="360" w:lineRule="auto"/>
        <w:ind w:left="709"/>
        <w:jc w:val="both"/>
        <w:rPr>
          <w:rFonts w:ascii="Arial" w:hAnsi="Arial" w:cs="Arial"/>
          <w:sz w:val="24"/>
          <w:szCs w:val="24"/>
        </w:rPr>
      </w:pPr>
      <w:r w:rsidRPr="00CD6FE3">
        <w:rPr>
          <w:rFonts w:ascii="Arial" w:hAnsi="Arial" w:cs="Arial"/>
          <w:b/>
          <w:sz w:val="24"/>
          <w:szCs w:val="24"/>
        </w:rPr>
        <w:t>Todavia, apresentaram os seguintes excessos/impropriedades</w:t>
      </w:r>
      <w:r w:rsidRPr="00CD6FE3">
        <w:rPr>
          <w:rFonts w:ascii="Arial" w:hAnsi="Arial" w:cs="Arial"/>
          <w:sz w:val="24"/>
          <w:szCs w:val="24"/>
        </w:rPr>
        <w:t xml:space="preserve"> que configuram má alocação da política pública e precisam ser corrigidos:</w:t>
      </w:r>
    </w:p>
    <w:p w14:paraId="1C8AE16A" w14:textId="77777777" w:rsidR="009B1AD0" w:rsidRDefault="009B1AD0" w:rsidP="009B1AD0">
      <w:pPr>
        <w:pStyle w:val="PargrafodaLista"/>
        <w:numPr>
          <w:ilvl w:val="0"/>
          <w:numId w:val="57"/>
        </w:numPr>
        <w:spacing w:line="360" w:lineRule="auto"/>
        <w:jc w:val="both"/>
        <w:rPr>
          <w:rFonts w:ascii="Arial" w:hAnsi="Arial" w:cs="Arial"/>
          <w:sz w:val="24"/>
          <w:szCs w:val="24"/>
        </w:rPr>
      </w:pPr>
      <w:r w:rsidRPr="00CD6FE3">
        <w:rPr>
          <w:rFonts w:ascii="Arial" w:hAnsi="Arial" w:cs="Arial"/>
          <w:sz w:val="24"/>
          <w:szCs w:val="24"/>
          <w:u w:val="single"/>
        </w:rPr>
        <w:t>concessão de altos montantes de benefícios fiscais a empresas</w:t>
      </w:r>
      <w:r w:rsidRPr="00CD6FE3">
        <w:rPr>
          <w:rFonts w:ascii="Arial" w:hAnsi="Arial" w:cs="Arial"/>
          <w:sz w:val="24"/>
          <w:szCs w:val="24"/>
        </w:rPr>
        <w:t xml:space="preserve"> que apresentam baixos índices de encadeamento com a economia goiana;</w:t>
      </w:r>
    </w:p>
    <w:p w14:paraId="16F66AE4" w14:textId="77777777" w:rsidR="009B1AD0" w:rsidRPr="00394F74" w:rsidRDefault="009B1AD0" w:rsidP="009B1AD0">
      <w:pPr>
        <w:pStyle w:val="PargrafodaLista"/>
        <w:numPr>
          <w:ilvl w:val="0"/>
          <w:numId w:val="57"/>
        </w:numPr>
        <w:spacing w:line="360" w:lineRule="auto"/>
        <w:jc w:val="both"/>
        <w:rPr>
          <w:rFonts w:ascii="Arial" w:hAnsi="Arial" w:cs="Arial"/>
          <w:sz w:val="24"/>
          <w:szCs w:val="24"/>
        </w:rPr>
      </w:pPr>
      <w:r w:rsidRPr="00394F74">
        <w:rPr>
          <w:rFonts w:ascii="Arial" w:hAnsi="Arial" w:cs="Arial"/>
          <w:sz w:val="24"/>
          <w:szCs w:val="24"/>
          <w:u w:val="single"/>
        </w:rPr>
        <w:t>concessão de altos montantes de benefícios fiscais a empresas</w:t>
      </w:r>
      <w:r w:rsidRPr="00394F74">
        <w:rPr>
          <w:rFonts w:ascii="Arial" w:hAnsi="Arial" w:cs="Arial"/>
          <w:sz w:val="24"/>
          <w:szCs w:val="24"/>
        </w:rPr>
        <w:t xml:space="preserve"> que apresentam baixos índices de geração de valor agregado;</w:t>
      </w:r>
    </w:p>
    <w:p w14:paraId="066F6178" w14:textId="77777777" w:rsidR="009B1AD0" w:rsidRDefault="009B1AD0" w:rsidP="009B1AD0">
      <w:pPr>
        <w:pStyle w:val="PargrafodaLista"/>
        <w:numPr>
          <w:ilvl w:val="0"/>
          <w:numId w:val="57"/>
        </w:numPr>
        <w:spacing w:line="360" w:lineRule="auto"/>
        <w:jc w:val="both"/>
        <w:rPr>
          <w:rFonts w:ascii="Arial" w:hAnsi="Arial" w:cs="Arial"/>
          <w:sz w:val="24"/>
          <w:szCs w:val="24"/>
        </w:rPr>
      </w:pPr>
      <w:r w:rsidRPr="00394F74">
        <w:rPr>
          <w:rFonts w:ascii="Arial" w:hAnsi="Arial" w:cs="Arial"/>
          <w:sz w:val="24"/>
          <w:szCs w:val="24"/>
          <w:u w:val="single"/>
        </w:rPr>
        <w:t>concessão de altos montantes de benefícios fiscais a empresas com baixo fator de multiplicação de empregos</w:t>
      </w:r>
      <w:r w:rsidRPr="00394F74">
        <w:rPr>
          <w:rFonts w:ascii="Arial" w:hAnsi="Arial" w:cs="Arial"/>
          <w:sz w:val="24"/>
          <w:szCs w:val="24"/>
        </w:rPr>
        <w:t>, ocasionando um alto “custo do emprego” relacionado aos incentivos fiscais, que chega a valor anual superior, em alguns casos, a R$ 900.000,00 (novecentos mil reais);</w:t>
      </w:r>
    </w:p>
    <w:p w14:paraId="79FAF000" w14:textId="77777777" w:rsidR="009B1AD0" w:rsidRPr="00394F74" w:rsidRDefault="009B1AD0" w:rsidP="009B1AD0">
      <w:pPr>
        <w:pStyle w:val="PargrafodaLista"/>
        <w:spacing w:line="360" w:lineRule="auto"/>
        <w:ind w:left="1440"/>
        <w:jc w:val="both"/>
        <w:rPr>
          <w:rFonts w:ascii="Arial" w:hAnsi="Arial" w:cs="Arial"/>
          <w:sz w:val="24"/>
          <w:szCs w:val="24"/>
        </w:rPr>
      </w:pPr>
      <w:r w:rsidRPr="00394F74">
        <w:rPr>
          <w:rFonts w:ascii="Arial" w:hAnsi="Arial" w:cs="Arial"/>
          <w:sz w:val="24"/>
          <w:szCs w:val="24"/>
        </w:rPr>
        <w:t xml:space="preserve">Obs.: note-se que </w:t>
      </w:r>
      <w:r w:rsidRPr="00394F74">
        <w:rPr>
          <w:rFonts w:ascii="Arial" w:hAnsi="Arial" w:cs="Arial"/>
          <w:sz w:val="24"/>
          <w:szCs w:val="24"/>
          <w:u w:val="single"/>
        </w:rPr>
        <w:t>não houve comprovação científica de que os programas impactam positivamente na geração de empregos</w:t>
      </w:r>
      <w:r w:rsidRPr="00394F74">
        <w:rPr>
          <w:rFonts w:ascii="Arial" w:hAnsi="Arial" w:cs="Arial"/>
          <w:sz w:val="24"/>
          <w:szCs w:val="24"/>
        </w:rPr>
        <w:t>.</w:t>
      </w:r>
    </w:p>
    <w:p w14:paraId="2AD6296C" w14:textId="77777777" w:rsidR="009B1AD0" w:rsidRPr="00394F74" w:rsidRDefault="009B1AD0" w:rsidP="009B1AD0">
      <w:pPr>
        <w:pStyle w:val="PargrafodaLista"/>
        <w:numPr>
          <w:ilvl w:val="0"/>
          <w:numId w:val="57"/>
        </w:numPr>
        <w:spacing w:line="360" w:lineRule="auto"/>
        <w:jc w:val="both"/>
        <w:rPr>
          <w:rFonts w:ascii="Arial" w:hAnsi="Arial" w:cs="Arial"/>
          <w:sz w:val="24"/>
          <w:szCs w:val="24"/>
        </w:rPr>
      </w:pPr>
      <w:r w:rsidRPr="00394F74">
        <w:rPr>
          <w:rFonts w:ascii="Arial" w:hAnsi="Arial" w:cs="Arial"/>
          <w:sz w:val="24"/>
          <w:szCs w:val="24"/>
          <w:u w:val="single"/>
        </w:rPr>
        <w:t>não há redução das desigualdades regionais</w:t>
      </w:r>
      <w:r>
        <w:rPr>
          <w:rFonts w:ascii="Arial" w:hAnsi="Arial" w:cs="Arial"/>
          <w:sz w:val="24"/>
          <w:szCs w:val="24"/>
        </w:rPr>
        <w:t>. Pelo contrário</w:t>
      </w:r>
      <w:r w:rsidRPr="00394F74">
        <w:rPr>
          <w:rFonts w:ascii="Arial" w:hAnsi="Arial" w:cs="Arial"/>
          <w:sz w:val="24"/>
          <w:szCs w:val="24"/>
        </w:rPr>
        <w:t>, os programas reforçaram as disparidades econômicas do Estado;</w:t>
      </w:r>
    </w:p>
    <w:p w14:paraId="74FFE860" w14:textId="77777777" w:rsidR="009B1AD0" w:rsidRDefault="009B1AD0" w:rsidP="009B1AD0">
      <w:pPr>
        <w:pStyle w:val="PargrafodaLista"/>
        <w:numPr>
          <w:ilvl w:val="0"/>
          <w:numId w:val="57"/>
        </w:numPr>
        <w:spacing w:line="360" w:lineRule="auto"/>
        <w:jc w:val="both"/>
        <w:rPr>
          <w:rFonts w:ascii="Arial" w:hAnsi="Arial" w:cs="Arial"/>
          <w:sz w:val="24"/>
          <w:szCs w:val="24"/>
        </w:rPr>
      </w:pPr>
      <w:r w:rsidRPr="00394F74">
        <w:rPr>
          <w:rFonts w:ascii="Arial" w:hAnsi="Arial" w:cs="Arial"/>
          <w:sz w:val="24"/>
          <w:szCs w:val="24"/>
          <w:u w:val="single"/>
        </w:rPr>
        <w:t>impacto negativo no valor adicionado bruto</w:t>
      </w:r>
      <w:r w:rsidRPr="00394F74">
        <w:rPr>
          <w:rFonts w:ascii="Arial" w:hAnsi="Arial" w:cs="Arial"/>
          <w:sz w:val="24"/>
          <w:szCs w:val="24"/>
        </w:rPr>
        <w:t xml:space="preserve"> da indústria goiana;</w:t>
      </w:r>
    </w:p>
    <w:p w14:paraId="1882AA68" w14:textId="77777777" w:rsidR="009B1AD0" w:rsidRPr="00CD6FE3" w:rsidRDefault="009B1AD0" w:rsidP="009B1AD0">
      <w:pPr>
        <w:spacing w:line="360" w:lineRule="auto"/>
        <w:jc w:val="both"/>
        <w:rPr>
          <w:rFonts w:ascii="Arial" w:hAnsi="Arial" w:cs="Arial"/>
          <w:sz w:val="24"/>
          <w:szCs w:val="24"/>
        </w:rPr>
      </w:pPr>
    </w:p>
    <w:p w14:paraId="67D01140" w14:textId="77777777" w:rsidR="009B1AD0" w:rsidRDefault="009B1AD0" w:rsidP="009B1AD0">
      <w:pPr>
        <w:pStyle w:val="PargrafodaLista"/>
        <w:numPr>
          <w:ilvl w:val="0"/>
          <w:numId w:val="56"/>
        </w:numPr>
        <w:spacing w:line="360" w:lineRule="auto"/>
        <w:jc w:val="both"/>
        <w:rPr>
          <w:rFonts w:ascii="Arial" w:hAnsi="Arial" w:cs="Arial"/>
          <w:sz w:val="24"/>
          <w:szCs w:val="24"/>
        </w:rPr>
      </w:pPr>
      <w:r w:rsidRPr="00CD6FE3">
        <w:rPr>
          <w:rFonts w:ascii="Arial" w:hAnsi="Arial" w:cs="Arial"/>
          <w:b/>
          <w:sz w:val="24"/>
          <w:szCs w:val="24"/>
          <w:u w:val="single"/>
        </w:rPr>
        <w:t xml:space="preserve">há deficiências na análise </w:t>
      </w:r>
      <w:r w:rsidRPr="00CD6FE3">
        <w:rPr>
          <w:rFonts w:ascii="Arial" w:hAnsi="Arial" w:cs="Arial"/>
          <w:b/>
          <w:i/>
          <w:sz w:val="24"/>
          <w:szCs w:val="24"/>
          <w:u w:val="single"/>
        </w:rPr>
        <w:t>ex ante</w:t>
      </w:r>
      <w:r w:rsidRPr="00CD6FE3">
        <w:rPr>
          <w:rFonts w:ascii="Arial" w:hAnsi="Arial" w:cs="Arial"/>
          <w:b/>
          <w:sz w:val="24"/>
          <w:szCs w:val="24"/>
          <w:u w:val="single"/>
        </w:rPr>
        <w:t xml:space="preserve"> dos programas de incentivos fiscais</w:t>
      </w:r>
      <w:r w:rsidRPr="00CD6FE3">
        <w:rPr>
          <w:rFonts w:ascii="Arial" w:hAnsi="Arial" w:cs="Arial"/>
          <w:sz w:val="24"/>
          <w:szCs w:val="24"/>
        </w:rPr>
        <w:t xml:space="preserve">, o que acarreta dispêndio de recursos e esforços estatais para estimular atividades de forma desproporcional aos resultados pretendidos pelo interesse público efetivamente produzidos; </w:t>
      </w:r>
      <w:r w:rsidRPr="00CD6FE3">
        <w:rPr>
          <w:rFonts w:ascii="Arial" w:hAnsi="Arial" w:cs="Arial"/>
          <w:b/>
          <w:sz w:val="24"/>
          <w:szCs w:val="24"/>
        </w:rPr>
        <w:t>o mais claro exemplo são os elevados benefícios fiscais concedidos ao setor de fabricação de automóveis</w:t>
      </w:r>
      <w:r w:rsidRPr="00CD6FE3">
        <w:rPr>
          <w:rFonts w:ascii="Arial" w:hAnsi="Arial" w:cs="Arial"/>
          <w:sz w:val="24"/>
          <w:szCs w:val="24"/>
        </w:rPr>
        <w:t>;</w:t>
      </w:r>
    </w:p>
    <w:p w14:paraId="3432AA4E" w14:textId="77777777" w:rsidR="009B1AD0" w:rsidRPr="00394F74" w:rsidRDefault="009B1AD0" w:rsidP="009B1AD0">
      <w:pPr>
        <w:pStyle w:val="PargrafodaLista"/>
        <w:numPr>
          <w:ilvl w:val="0"/>
          <w:numId w:val="56"/>
        </w:numPr>
        <w:spacing w:line="360" w:lineRule="auto"/>
        <w:jc w:val="both"/>
        <w:rPr>
          <w:rFonts w:ascii="Arial" w:hAnsi="Arial" w:cs="Arial"/>
          <w:sz w:val="24"/>
          <w:szCs w:val="24"/>
        </w:rPr>
      </w:pPr>
      <w:r w:rsidRPr="00394F74">
        <w:rPr>
          <w:rFonts w:ascii="Arial" w:hAnsi="Arial" w:cs="Arial"/>
          <w:sz w:val="24"/>
          <w:szCs w:val="24"/>
        </w:rPr>
        <w:t xml:space="preserve">os programas apresentam </w:t>
      </w:r>
      <w:r w:rsidRPr="00394F74">
        <w:rPr>
          <w:rFonts w:ascii="Arial" w:hAnsi="Arial" w:cs="Arial"/>
          <w:b/>
          <w:sz w:val="24"/>
          <w:szCs w:val="24"/>
          <w:u w:val="single"/>
        </w:rPr>
        <w:t>graves deficiências de gerenciamento e operacionalização</w:t>
      </w:r>
      <w:r w:rsidRPr="00394F74">
        <w:rPr>
          <w:rFonts w:ascii="Arial" w:hAnsi="Arial" w:cs="Arial"/>
          <w:sz w:val="24"/>
          <w:szCs w:val="24"/>
        </w:rPr>
        <w:t>, acarretando:</w:t>
      </w:r>
    </w:p>
    <w:p w14:paraId="16BC34F3" w14:textId="77777777" w:rsidR="009B1AD0" w:rsidRDefault="009B1AD0" w:rsidP="009B1AD0">
      <w:pPr>
        <w:pStyle w:val="PargrafodaLista"/>
        <w:numPr>
          <w:ilvl w:val="1"/>
          <w:numId w:val="56"/>
        </w:numPr>
        <w:spacing w:line="360" w:lineRule="auto"/>
        <w:jc w:val="both"/>
        <w:rPr>
          <w:rFonts w:ascii="Arial" w:hAnsi="Arial" w:cs="Arial"/>
          <w:sz w:val="24"/>
          <w:szCs w:val="24"/>
        </w:rPr>
      </w:pPr>
      <w:r w:rsidRPr="00394F74">
        <w:rPr>
          <w:rFonts w:ascii="Arial" w:hAnsi="Arial" w:cs="Arial"/>
          <w:sz w:val="24"/>
          <w:szCs w:val="24"/>
        </w:rPr>
        <w:t xml:space="preserve">a manutenção de beneficiários em </w:t>
      </w:r>
      <w:r w:rsidRPr="00394F74">
        <w:rPr>
          <w:rFonts w:ascii="Arial" w:hAnsi="Arial" w:cs="Arial"/>
          <w:b/>
          <w:sz w:val="24"/>
          <w:szCs w:val="24"/>
        </w:rPr>
        <w:t>descumprimento às normas legais</w:t>
      </w:r>
      <w:r w:rsidRPr="00394F74">
        <w:rPr>
          <w:rFonts w:ascii="Arial" w:hAnsi="Arial" w:cs="Arial"/>
          <w:sz w:val="24"/>
          <w:szCs w:val="24"/>
        </w:rPr>
        <w:t xml:space="preserve"> aplicáveis e em </w:t>
      </w:r>
      <w:r w:rsidRPr="00394F74">
        <w:rPr>
          <w:rFonts w:ascii="Arial" w:hAnsi="Arial" w:cs="Arial"/>
          <w:b/>
          <w:sz w:val="24"/>
          <w:szCs w:val="24"/>
        </w:rPr>
        <w:t>inadimplência</w:t>
      </w:r>
      <w:r w:rsidRPr="00394F74">
        <w:rPr>
          <w:rFonts w:ascii="Arial" w:hAnsi="Arial" w:cs="Arial"/>
          <w:sz w:val="24"/>
          <w:szCs w:val="24"/>
        </w:rPr>
        <w:t xml:space="preserve"> com a obrigação acessória de </w:t>
      </w:r>
      <w:r w:rsidRPr="00394F74">
        <w:rPr>
          <w:rFonts w:ascii="Arial" w:hAnsi="Arial" w:cs="Arial"/>
          <w:b/>
          <w:sz w:val="24"/>
          <w:szCs w:val="24"/>
        </w:rPr>
        <w:t>entrega de documentos</w:t>
      </w:r>
      <w:r w:rsidRPr="00394F74">
        <w:rPr>
          <w:rFonts w:ascii="Arial" w:hAnsi="Arial" w:cs="Arial"/>
          <w:sz w:val="24"/>
          <w:szCs w:val="24"/>
        </w:rPr>
        <w:t xml:space="preserve"> ou mesmo com a </w:t>
      </w:r>
      <w:r w:rsidRPr="00394F74">
        <w:rPr>
          <w:rFonts w:ascii="Arial" w:hAnsi="Arial" w:cs="Arial"/>
          <w:b/>
          <w:sz w:val="24"/>
          <w:szCs w:val="24"/>
        </w:rPr>
        <w:t>obrigação principal</w:t>
      </w:r>
      <w:r w:rsidRPr="00394F74">
        <w:rPr>
          <w:rFonts w:ascii="Arial" w:hAnsi="Arial" w:cs="Arial"/>
          <w:sz w:val="24"/>
          <w:szCs w:val="24"/>
        </w:rPr>
        <w:t xml:space="preserve"> (de pagar);</w:t>
      </w:r>
    </w:p>
    <w:p w14:paraId="4D48141C" w14:textId="77777777" w:rsidR="009B1AD0" w:rsidRPr="00394F74" w:rsidRDefault="009B1AD0" w:rsidP="009B1AD0">
      <w:pPr>
        <w:pStyle w:val="PargrafodaLista"/>
        <w:numPr>
          <w:ilvl w:val="1"/>
          <w:numId w:val="56"/>
        </w:numPr>
        <w:spacing w:line="360" w:lineRule="auto"/>
        <w:jc w:val="both"/>
        <w:rPr>
          <w:rFonts w:ascii="Arial" w:hAnsi="Arial" w:cs="Arial"/>
          <w:sz w:val="24"/>
          <w:szCs w:val="24"/>
        </w:rPr>
      </w:pPr>
      <w:r w:rsidRPr="00394F74">
        <w:rPr>
          <w:rFonts w:ascii="Arial" w:hAnsi="Arial" w:cs="Arial"/>
          <w:color w:val="000000"/>
          <w:sz w:val="24"/>
        </w:rPr>
        <w:lastRenderedPageBreak/>
        <w:t xml:space="preserve">falta de controle dos programas no que diz respeito à inscrição em dívida ativa: há </w:t>
      </w:r>
      <w:r w:rsidRPr="00394F74">
        <w:rPr>
          <w:rFonts w:ascii="Arial" w:hAnsi="Arial" w:cs="Arial"/>
          <w:b/>
          <w:color w:val="000000"/>
          <w:sz w:val="24"/>
        </w:rPr>
        <w:t>empresas com crédito tributário inscrito em dívida ativa e usufruindo dos benefícios dos programas</w:t>
      </w:r>
      <w:r w:rsidRPr="00394F74">
        <w:rPr>
          <w:rFonts w:ascii="Arial" w:hAnsi="Arial" w:cs="Arial"/>
          <w:color w:val="000000"/>
          <w:sz w:val="24"/>
        </w:rPr>
        <w:t>, contrariando a legislação;</w:t>
      </w:r>
    </w:p>
    <w:p w14:paraId="61385B19" w14:textId="77777777" w:rsidR="009B1AD0" w:rsidRDefault="009B1AD0" w:rsidP="009B1AD0">
      <w:pPr>
        <w:pStyle w:val="PargrafodaLista"/>
        <w:numPr>
          <w:ilvl w:val="1"/>
          <w:numId w:val="56"/>
        </w:numPr>
        <w:spacing w:line="360" w:lineRule="auto"/>
        <w:jc w:val="both"/>
        <w:rPr>
          <w:rFonts w:ascii="Arial" w:hAnsi="Arial" w:cs="Arial"/>
          <w:sz w:val="24"/>
          <w:szCs w:val="24"/>
        </w:rPr>
      </w:pPr>
      <w:r w:rsidRPr="00394F74">
        <w:rPr>
          <w:rFonts w:ascii="Arial" w:hAnsi="Arial" w:cs="Arial"/>
          <w:sz w:val="24"/>
          <w:szCs w:val="24"/>
        </w:rPr>
        <w:t xml:space="preserve">aprovação de </w:t>
      </w:r>
      <w:r w:rsidRPr="00394F74">
        <w:rPr>
          <w:rFonts w:ascii="Arial" w:hAnsi="Arial" w:cs="Arial"/>
          <w:b/>
          <w:sz w:val="24"/>
          <w:szCs w:val="24"/>
        </w:rPr>
        <w:t>projetos de viabilidade econômico-financeira</w:t>
      </w:r>
      <w:r w:rsidRPr="00394F74">
        <w:rPr>
          <w:rFonts w:ascii="Arial" w:hAnsi="Arial" w:cs="Arial"/>
          <w:sz w:val="24"/>
          <w:szCs w:val="24"/>
        </w:rPr>
        <w:t xml:space="preserve"> sem o detalhamento suficiente para a fiscalização das contrapartidas a que se comprometeu o beneficiário;</w:t>
      </w:r>
    </w:p>
    <w:p w14:paraId="4A0BC19F" w14:textId="77777777" w:rsidR="009B1AD0" w:rsidRPr="00394F74" w:rsidRDefault="009B1AD0" w:rsidP="009B1AD0">
      <w:pPr>
        <w:pStyle w:val="PargrafodaLista"/>
        <w:numPr>
          <w:ilvl w:val="1"/>
          <w:numId w:val="56"/>
        </w:numPr>
        <w:spacing w:line="360" w:lineRule="auto"/>
        <w:jc w:val="both"/>
        <w:rPr>
          <w:rFonts w:ascii="Arial" w:hAnsi="Arial" w:cs="Arial"/>
          <w:sz w:val="24"/>
          <w:szCs w:val="24"/>
        </w:rPr>
      </w:pPr>
      <w:r w:rsidRPr="00394F74">
        <w:rPr>
          <w:rFonts w:ascii="Arial" w:hAnsi="Arial" w:cs="Arial"/>
          <w:b/>
          <w:sz w:val="24"/>
          <w:szCs w:val="24"/>
        </w:rPr>
        <w:t xml:space="preserve">ausência/ineficiência da fiscalização </w:t>
      </w:r>
      <w:r w:rsidRPr="00394F74">
        <w:rPr>
          <w:rFonts w:ascii="Arial" w:hAnsi="Arial" w:cs="Arial"/>
          <w:sz w:val="24"/>
          <w:szCs w:val="24"/>
        </w:rPr>
        <w:t>do cumprimento das contrapartidas a que se comprometeu o beneficiário;</w:t>
      </w:r>
    </w:p>
    <w:p w14:paraId="400FCE0C" w14:textId="77777777" w:rsidR="009B1AD0" w:rsidRPr="00394F74" w:rsidRDefault="009B1AD0" w:rsidP="009B1AD0">
      <w:pPr>
        <w:pStyle w:val="PargrafodaLista"/>
        <w:numPr>
          <w:ilvl w:val="1"/>
          <w:numId w:val="56"/>
        </w:numPr>
        <w:spacing w:line="360" w:lineRule="auto"/>
        <w:jc w:val="both"/>
        <w:rPr>
          <w:rFonts w:ascii="Arial" w:hAnsi="Arial" w:cs="Arial"/>
          <w:sz w:val="24"/>
          <w:szCs w:val="24"/>
        </w:rPr>
      </w:pPr>
      <w:r w:rsidRPr="00394F74">
        <w:rPr>
          <w:rFonts w:ascii="Arial" w:hAnsi="Arial" w:cs="Arial"/>
          <w:sz w:val="24"/>
          <w:szCs w:val="24"/>
        </w:rPr>
        <w:t xml:space="preserve">aprovação de projetos de viabilidade econômico-financeira com </w:t>
      </w:r>
      <w:r w:rsidRPr="00394F74">
        <w:rPr>
          <w:rFonts w:ascii="Arial" w:hAnsi="Arial" w:cs="Arial"/>
          <w:b/>
          <w:sz w:val="24"/>
          <w:szCs w:val="24"/>
        </w:rPr>
        <w:t>superestimativa de ICMS a ser recolhido</w:t>
      </w:r>
      <w:r w:rsidRPr="00394F74">
        <w:rPr>
          <w:rFonts w:ascii="Arial" w:hAnsi="Arial" w:cs="Arial"/>
          <w:sz w:val="24"/>
          <w:szCs w:val="24"/>
        </w:rPr>
        <w:t>;</w:t>
      </w:r>
    </w:p>
    <w:p w14:paraId="396081AB" w14:textId="77777777" w:rsidR="009B1AD0" w:rsidRDefault="009B1AD0" w:rsidP="009B1AD0">
      <w:pPr>
        <w:pStyle w:val="PargrafodaLista"/>
        <w:numPr>
          <w:ilvl w:val="1"/>
          <w:numId w:val="56"/>
        </w:numPr>
        <w:spacing w:line="360" w:lineRule="auto"/>
        <w:jc w:val="both"/>
        <w:rPr>
          <w:rFonts w:ascii="Arial" w:hAnsi="Arial" w:cs="Arial"/>
          <w:sz w:val="24"/>
          <w:szCs w:val="24"/>
        </w:rPr>
      </w:pPr>
      <w:r w:rsidRPr="00394F74">
        <w:rPr>
          <w:rFonts w:ascii="Arial" w:hAnsi="Arial" w:cs="Arial"/>
          <w:b/>
          <w:sz w:val="24"/>
          <w:szCs w:val="24"/>
        </w:rPr>
        <w:t>graves falhas na instrução dos processos administrativos, como</w:t>
      </w:r>
      <w:r w:rsidRPr="00394F74">
        <w:rPr>
          <w:rFonts w:ascii="Arial" w:hAnsi="Arial" w:cs="Arial"/>
          <w:sz w:val="24"/>
          <w:szCs w:val="24"/>
        </w:rPr>
        <w:t>: substituição de folhas dos autos, ausência de documentos em processos, folhas sem numeração, divergência de conteúdo entre documentos com mesma numeração e ausência de documentos originais;</w:t>
      </w:r>
    </w:p>
    <w:p w14:paraId="465B58C2" w14:textId="77777777" w:rsidR="009B1AD0" w:rsidRPr="00CD6FE3" w:rsidRDefault="009B1AD0" w:rsidP="009B1AD0">
      <w:pPr>
        <w:pStyle w:val="PargrafodaLista"/>
        <w:numPr>
          <w:ilvl w:val="1"/>
          <w:numId w:val="56"/>
        </w:numPr>
        <w:spacing w:line="360" w:lineRule="auto"/>
        <w:jc w:val="both"/>
        <w:rPr>
          <w:rFonts w:ascii="Arial" w:hAnsi="Arial" w:cs="Arial"/>
          <w:sz w:val="24"/>
          <w:szCs w:val="24"/>
        </w:rPr>
      </w:pPr>
      <w:r w:rsidRPr="00394F74">
        <w:rPr>
          <w:rFonts w:ascii="Arial" w:hAnsi="Arial" w:cs="Arial"/>
          <w:b/>
          <w:sz w:val="24"/>
          <w:szCs w:val="24"/>
        </w:rPr>
        <w:t>ausência/ineficiência da fiscalização em relação à subvenção para investimentos</w:t>
      </w:r>
      <w:r w:rsidRPr="00394F74">
        <w:rPr>
          <w:rFonts w:ascii="Arial" w:hAnsi="Arial" w:cs="Arial"/>
          <w:sz w:val="24"/>
          <w:szCs w:val="24"/>
        </w:rPr>
        <w:t xml:space="preserve"> (não há efetiva comprovação de que o valor do desconto do saldo devedor do PRODUZIR foi exclusivamente empregado na ampliação/modernização do parque industrial do beneficiário;</w:t>
      </w:r>
    </w:p>
    <w:p w14:paraId="3968E9F0" w14:textId="77777777" w:rsidR="009B1AD0" w:rsidRDefault="009B1AD0" w:rsidP="009B1AD0">
      <w:pPr>
        <w:pStyle w:val="PargrafodaLista"/>
        <w:numPr>
          <w:ilvl w:val="1"/>
          <w:numId w:val="56"/>
        </w:numPr>
        <w:spacing w:line="360" w:lineRule="auto"/>
        <w:jc w:val="both"/>
        <w:rPr>
          <w:rFonts w:ascii="Arial" w:hAnsi="Arial" w:cs="Arial"/>
          <w:sz w:val="24"/>
          <w:szCs w:val="24"/>
        </w:rPr>
      </w:pPr>
      <w:r w:rsidRPr="00394F74">
        <w:rPr>
          <w:rFonts w:ascii="Arial" w:hAnsi="Arial" w:cs="Arial"/>
          <w:b/>
          <w:sz w:val="24"/>
          <w:szCs w:val="24"/>
        </w:rPr>
        <w:t>possibilidade de obter-se desconto do saldo devedor</w:t>
      </w:r>
      <w:r w:rsidRPr="00394F74">
        <w:rPr>
          <w:rFonts w:ascii="Arial" w:hAnsi="Arial" w:cs="Arial"/>
          <w:sz w:val="24"/>
          <w:szCs w:val="24"/>
        </w:rPr>
        <w:t xml:space="preserve"> em razão de conduta do beneficiário sem correlação com os objetivos dos programas;</w:t>
      </w:r>
    </w:p>
    <w:p w14:paraId="08E35F67" w14:textId="77777777" w:rsidR="009B1AD0" w:rsidRDefault="009B1AD0" w:rsidP="009B1AD0">
      <w:pPr>
        <w:pStyle w:val="PargrafodaLista"/>
        <w:numPr>
          <w:ilvl w:val="1"/>
          <w:numId w:val="56"/>
        </w:numPr>
        <w:spacing w:line="360" w:lineRule="auto"/>
        <w:jc w:val="both"/>
        <w:rPr>
          <w:rFonts w:ascii="Arial" w:hAnsi="Arial" w:cs="Arial"/>
          <w:sz w:val="24"/>
          <w:szCs w:val="24"/>
        </w:rPr>
      </w:pPr>
      <w:r w:rsidRPr="00394F74">
        <w:rPr>
          <w:rFonts w:ascii="Arial" w:hAnsi="Arial" w:cs="Arial"/>
          <w:b/>
          <w:sz w:val="24"/>
          <w:szCs w:val="24"/>
        </w:rPr>
        <w:t>ausência de transparência e controle dos programas</w:t>
      </w:r>
      <w:r w:rsidRPr="00394F74">
        <w:rPr>
          <w:rFonts w:ascii="Arial" w:hAnsi="Arial" w:cs="Arial"/>
          <w:sz w:val="24"/>
          <w:szCs w:val="24"/>
        </w:rPr>
        <w:t>, inclusive dificuldades para acesso às normas aplicáveis;</w:t>
      </w:r>
    </w:p>
    <w:p w14:paraId="15CFA346" w14:textId="77777777" w:rsidR="009B1AD0" w:rsidRDefault="009B1AD0" w:rsidP="009B1AD0">
      <w:pPr>
        <w:pStyle w:val="PargrafodaLista"/>
        <w:numPr>
          <w:ilvl w:val="0"/>
          <w:numId w:val="56"/>
        </w:numPr>
        <w:spacing w:line="360" w:lineRule="auto"/>
        <w:jc w:val="both"/>
        <w:rPr>
          <w:rFonts w:ascii="Arial" w:hAnsi="Arial" w:cs="Arial"/>
          <w:sz w:val="24"/>
          <w:szCs w:val="24"/>
        </w:rPr>
      </w:pPr>
      <w:r w:rsidRPr="00CD6FE3">
        <w:rPr>
          <w:rFonts w:ascii="Arial" w:hAnsi="Arial" w:cs="Arial"/>
          <w:sz w:val="24"/>
          <w:szCs w:val="24"/>
        </w:rPr>
        <w:t xml:space="preserve">há </w:t>
      </w:r>
      <w:r w:rsidRPr="00CD6FE3">
        <w:rPr>
          <w:rFonts w:ascii="Arial" w:hAnsi="Arial" w:cs="Arial"/>
          <w:b/>
          <w:sz w:val="24"/>
          <w:szCs w:val="24"/>
          <w:u w:val="single"/>
        </w:rPr>
        <w:t>necessidade</w:t>
      </w:r>
      <w:r w:rsidRPr="00CD6FE3">
        <w:rPr>
          <w:rFonts w:ascii="Arial" w:hAnsi="Arial" w:cs="Arial"/>
          <w:sz w:val="24"/>
          <w:szCs w:val="24"/>
        </w:rPr>
        <w:t xml:space="preserve">, já recomendada há mais de uma década, de </w:t>
      </w:r>
      <w:r w:rsidRPr="00CD6FE3">
        <w:rPr>
          <w:rFonts w:ascii="Arial" w:hAnsi="Arial" w:cs="Arial"/>
          <w:b/>
          <w:sz w:val="24"/>
          <w:szCs w:val="24"/>
        </w:rPr>
        <w:t>adoção de sistema informatizado e integrado de gerenciamento e operacionalização</w:t>
      </w:r>
      <w:r w:rsidRPr="00CD6FE3">
        <w:rPr>
          <w:rFonts w:ascii="Arial" w:hAnsi="Arial" w:cs="Arial"/>
          <w:sz w:val="24"/>
          <w:szCs w:val="24"/>
        </w:rPr>
        <w:t xml:space="preserve"> dos programas de incentivos fiscais, permitindo o acompanhamento em tempo real e concomitante por todos os órgãos/entidades envolvidos. Note-se que tal recomendação é aplicável, inclusive, a outros programas de incentivos fiscais que eventualmente venham substituir o FOMENTAR e o PRODUZIR;</w:t>
      </w:r>
    </w:p>
    <w:p w14:paraId="59B77863" w14:textId="77777777" w:rsidR="009B1AD0" w:rsidRPr="00394F74" w:rsidRDefault="009B1AD0" w:rsidP="009B1AD0">
      <w:pPr>
        <w:pStyle w:val="PargrafodaLista"/>
        <w:numPr>
          <w:ilvl w:val="0"/>
          <w:numId w:val="56"/>
        </w:numPr>
        <w:spacing w:after="120" w:line="360" w:lineRule="auto"/>
        <w:jc w:val="both"/>
        <w:rPr>
          <w:rFonts w:ascii="Arial" w:hAnsi="Arial" w:cs="Arial"/>
          <w:sz w:val="24"/>
        </w:rPr>
      </w:pPr>
      <w:r w:rsidRPr="00394F74">
        <w:rPr>
          <w:rFonts w:ascii="Arial" w:hAnsi="Arial" w:cs="Arial"/>
          <w:sz w:val="24"/>
        </w:rPr>
        <w:t xml:space="preserve">a </w:t>
      </w:r>
      <w:r w:rsidRPr="00394F74">
        <w:rPr>
          <w:rFonts w:ascii="Arial" w:hAnsi="Arial" w:cs="Arial"/>
          <w:b/>
          <w:sz w:val="24"/>
          <w:u w:val="single"/>
        </w:rPr>
        <w:t>falta de transparência desses programas</w:t>
      </w:r>
      <w:r w:rsidRPr="00394F74">
        <w:rPr>
          <w:rFonts w:ascii="Arial" w:hAnsi="Arial" w:cs="Arial"/>
          <w:sz w:val="24"/>
        </w:rPr>
        <w:t xml:space="preserve"> acaba por minar o benefício potencial que tais políticas possam ter para a sociedade;</w:t>
      </w:r>
    </w:p>
    <w:p w14:paraId="6E926480" w14:textId="77777777" w:rsidR="009B1AD0" w:rsidRPr="00394F74" w:rsidRDefault="009B1AD0" w:rsidP="009B1AD0">
      <w:pPr>
        <w:pStyle w:val="PargrafodaLista"/>
        <w:numPr>
          <w:ilvl w:val="0"/>
          <w:numId w:val="56"/>
        </w:numPr>
        <w:spacing w:after="120" w:line="360" w:lineRule="auto"/>
        <w:jc w:val="both"/>
        <w:rPr>
          <w:rFonts w:ascii="Arial" w:hAnsi="Arial" w:cs="Arial"/>
          <w:sz w:val="24"/>
        </w:rPr>
      </w:pPr>
      <w:r w:rsidRPr="00394F74">
        <w:rPr>
          <w:rFonts w:ascii="Arial" w:hAnsi="Arial" w:cs="Arial"/>
          <w:sz w:val="24"/>
        </w:rPr>
        <w:lastRenderedPageBreak/>
        <w:t xml:space="preserve">estima-se uma média de </w:t>
      </w:r>
      <w:r w:rsidRPr="00394F74">
        <w:rPr>
          <w:rFonts w:ascii="Arial" w:hAnsi="Arial" w:cs="Arial"/>
          <w:b/>
          <w:sz w:val="24"/>
          <w:u w:val="single"/>
        </w:rPr>
        <w:t>participação</w:t>
      </w:r>
      <w:r w:rsidRPr="00394F74">
        <w:rPr>
          <w:rFonts w:ascii="Arial" w:hAnsi="Arial" w:cs="Arial"/>
          <w:sz w:val="24"/>
        </w:rPr>
        <w:t xml:space="preserve"> das empresas beneficiadas pelos programas </w:t>
      </w:r>
      <w:r w:rsidRPr="00394F74">
        <w:rPr>
          <w:rFonts w:ascii="Arial" w:hAnsi="Arial" w:cs="Arial"/>
          <w:b/>
          <w:sz w:val="24"/>
        </w:rPr>
        <w:t>de 14,3%</w:t>
      </w:r>
      <w:r w:rsidRPr="00394F74">
        <w:rPr>
          <w:rFonts w:ascii="Arial" w:hAnsi="Arial" w:cs="Arial"/>
          <w:sz w:val="24"/>
        </w:rPr>
        <w:t xml:space="preserve"> </w:t>
      </w:r>
      <w:r w:rsidRPr="00394F74">
        <w:rPr>
          <w:rFonts w:ascii="Arial" w:hAnsi="Arial" w:cs="Arial"/>
          <w:b/>
          <w:sz w:val="24"/>
        </w:rPr>
        <w:t>no valor do</w:t>
      </w:r>
      <w:r w:rsidRPr="00394F74">
        <w:rPr>
          <w:rFonts w:ascii="Arial" w:hAnsi="Arial" w:cs="Arial"/>
          <w:sz w:val="24"/>
        </w:rPr>
        <w:t xml:space="preserve"> </w:t>
      </w:r>
      <w:r w:rsidRPr="00394F74">
        <w:rPr>
          <w:rFonts w:ascii="Arial" w:hAnsi="Arial" w:cs="Arial"/>
          <w:b/>
          <w:sz w:val="24"/>
          <w:u w:val="single"/>
        </w:rPr>
        <w:t>Produto Interno Bruto (PIB) goiano</w:t>
      </w:r>
      <w:r w:rsidRPr="00394F74">
        <w:rPr>
          <w:rFonts w:ascii="Arial" w:hAnsi="Arial" w:cs="Arial"/>
          <w:b/>
          <w:sz w:val="24"/>
        </w:rPr>
        <w:t xml:space="preserve"> </w:t>
      </w:r>
      <w:r w:rsidRPr="00394F74">
        <w:rPr>
          <w:rFonts w:ascii="Arial" w:hAnsi="Arial" w:cs="Arial"/>
          <w:sz w:val="24"/>
        </w:rPr>
        <w:t xml:space="preserve">e </w:t>
      </w:r>
      <w:r w:rsidRPr="00394F74">
        <w:rPr>
          <w:rFonts w:ascii="Arial" w:hAnsi="Arial" w:cs="Arial"/>
          <w:b/>
          <w:sz w:val="24"/>
        </w:rPr>
        <w:t>de 7,2% nos empregos formais do Estado</w:t>
      </w:r>
      <w:r w:rsidRPr="00394F74">
        <w:rPr>
          <w:rFonts w:ascii="Arial" w:hAnsi="Arial" w:cs="Arial"/>
          <w:sz w:val="24"/>
        </w:rPr>
        <w:t>;</w:t>
      </w:r>
    </w:p>
    <w:p w14:paraId="012669FB" w14:textId="77777777" w:rsidR="009B1AD0" w:rsidRPr="00394F74" w:rsidRDefault="009B1AD0" w:rsidP="009B1AD0">
      <w:pPr>
        <w:pStyle w:val="PargrafodaLista"/>
        <w:numPr>
          <w:ilvl w:val="0"/>
          <w:numId w:val="56"/>
        </w:numPr>
        <w:spacing w:after="120" w:line="360" w:lineRule="auto"/>
        <w:jc w:val="both"/>
        <w:rPr>
          <w:rFonts w:ascii="Arial" w:hAnsi="Arial" w:cs="Arial"/>
          <w:sz w:val="24"/>
        </w:rPr>
      </w:pPr>
      <w:r w:rsidRPr="00394F74">
        <w:rPr>
          <w:rFonts w:ascii="Arial" w:hAnsi="Arial" w:cs="Arial"/>
          <w:b/>
          <w:sz w:val="24"/>
          <w:u w:val="single"/>
        </w:rPr>
        <w:t>52,6%</w:t>
      </w:r>
      <w:r w:rsidRPr="00394F74">
        <w:rPr>
          <w:rFonts w:ascii="Arial" w:hAnsi="Arial" w:cs="Arial"/>
          <w:sz w:val="24"/>
        </w:rPr>
        <w:t xml:space="preserve"> dos empregos em estoque estão em </w:t>
      </w:r>
      <w:r w:rsidRPr="00394F74">
        <w:rPr>
          <w:rFonts w:ascii="Arial" w:hAnsi="Arial" w:cs="Arial"/>
          <w:b/>
          <w:sz w:val="24"/>
          <w:u w:val="single"/>
        </w:rPr>
        <w:t>6 (seis) atividades</w:t>
      </w:r>
      <w:r w:rsidRPr="00394F74">
        <w:rPr>
          <w:rFonts w:ascii="Arial" w:hAnsi="Arial" w:cs="Arial"/>
          <w:sz w:val="24"/>
        </w:rPr>
        <w:t xml:space="preserve">: setor </w:t>
      </w:r>
      <w:r w:rsidRPr="00394F74">
        <w:rPr>
          <w:rFonts w:ascii="Arial" w:hAnsi="Arial" w:cs="Arial"/>
          <w:b/>
          <w:sz w:val="24"/>
        </w:rPr>
        <w:t>sucroenergético</w:t>
      </w:r>
      <w:r w:rsidRPr="00394F74">
        <w:rPr>
          <w:rFonts w:ascii="Arial" w:hAnsi="Arial" w:cs="Arial"/>
          <w:sz w:val="24"/>
        </w:rPr>
        <w:t xml:space="preserve"> (álcool e açúcar), </w:t>
      </w:r>
      <w:r w:rsidRPr="00394F74">
        <w:rPr>
          <w:rFonts w:ascii="Arial" w:hAnsi="Arial" w:cs="Arial"/>
          <w:b/>
          <w:sz w:val="24"/>
        </w:rPr>
        <w:t>abate de suínos e aves</w:t>
      </w:r>
      <w:r w:rsidRPr="00394F74">
        <w:rPr>
          <w:rFonts w:ascii="Arial" w:hAnsi="Arial" w:cs="Arial"/>
          <w:sz w:val="24"/>
        </w:rPr>
        <w:t xml:space="preserve">, </w:t>
      </w:r>
      <w:r w:rsidRPr="00394F74">
        <w:rPr>
          <w:rFonts w:ascii="Arial" w:hAnsi="Arial" w:cs="Arial"/>
          <w:b/>
          <w:sz w:val="24"/>
        </w:rPr>
        <w:t>laticínios</w:t>
      </w:r>
      <w:r w:rsidRPr="00394F74">
        <w:rPr>
          <w:rFonts w:ascii="Arial" w:hAnsi="Arial" w:cs="Arial"/>
          <w:sz w:val="24"/>
        </w:rPr>
        <w:t xml:space="preserve"> e </w:t>
      </w:r>
      <w:r w:rsidRPr="00394F74">
        <w:rPr>
          <w:rFonts w:ascii="Arial" w:hAnsi="Arial" w:cs="Arial"/>
          <w:b/>
          <w:sz w:val="24"/>
        </w:rPr>
        <w:t>medicamentos</w:t>
      </w:r>
      <w:r w:rsidRPr="00394F74">
        <w:rPr>
          <w:rFonts w:ascii="Arial" w:hAnsi="Arial" w:cs="Arial"/>
          <w:sz w:val="24"/>
        </w:rPr>
        <w:t xml:space="preserve"> (basicamen</w:t>
      </w:r>
      <w:r>
        <w:rPr>
          <w:rFonts w:ascii="Arial" w:hAnsi="Arial" w:cs="Arial"/>
          <w:sz w:val="24"/>
        </w:rPr>
        <w:t>te indústria de transformação);</w:t>
      </w:r>
    </w:p>
    <w:p w14:paraId="39BC6FD1" w14:textId="77777777" w:rsidR="009B1AD0" w:rsidRPr="00394F74" w:rsidRDefault="009B1AD0" w:rsidP="009B1AD0">
      <w:pPr>
        <w:pStyle w:val="PargrafodaLista"/>
        <w:numPr>
          <w:ilvl w:val="0"/>
          <w:numId w:val="56"/>
        </w:numPr>
        <w:spacing w:after="120" w:line="360" w:lineRule="auto"/>
        <w:jc w:val="both"/>
        <w:rPr>
          <w:rFonts w:ascii="Arial" w:hAnsi="Arial" w:cs="Arial"/>
          <w:sz w:val="24"/>
        </w:rPr>
      </w:pPr>
      <w:r w:rsidRPr="00394F74">
        <w:rPr>
          <w:rFonts w:ascii="Arial" w:hAnsi="Arial" w:cs="Arial"/>
          <w:sz w:val="24"/>
        </w:rPr>
        <w:t xml:space="preserve">a maioria do </w:t>
      </w:r>
      <w:r w:rsidRPr="00394F74">
        <w:rPr>
          <w:rFonts w:ascii="Arial" w:hAnsi="Arial" w:cs="Arial"/>
          <w:b/>
          <w:sz w:val="24"/>
          <w:u w:val="single"/>
        </w:rPr>
        <w:t>emprego efetivo (53%)</w:t>
      </w:r>
      <w:r w:rsidRPr="00394F74">
        <w:rPr>
          <w:rFonts w:ascii="Arial" w:hAnsi="Arial" w:cs="Arial"/>
          <w:sz w:val="24"/>
        </w:rPr>
        <w:t xml:space="preserve"> ocorre em apenas </w:t>
      </w:r>
      <w:r w:rsidRPr="00394F74">
        <w:rPr>
          <w:rFonts w:ascii="Arial" w:hAnsi="Arial" w:cs="Arial"/>
          <w:b/>
          <w:sz w:val="24"/>
          <w:u w:val="single"/>
        </w:rPr>
        <w:t>3 (três) regiões</w:t>
      </w:r>
      <w:r w:rsidRPr="00394F74">
        <w:rPr>
          <w:rFonts w:ascii="Arial" w:hAnsi="Arial" w:cs="Arial"/>
          <w:sz w:val="24"/>
        </w:rPr>
        <w:t xml:space="preserve">: </w:t>
      </w:r>
      <w:r w:rsidRPr="00394F74">
        <w:rPr>
          <w:rFonts w:ascii="Arial" w:hAnsi="Arial" w:cs="Arial"/>
          <w:b/>
          <w:sz w:val="24"/>
        </w:rPr>
        <w:t>Anápolis, Goiânia e Rio Verde</w:t>
      </w:r>
      <w:r w:rsidRPr="00394F74">
        <w:rPr>
          <w:rFonts w:ascii="Arial" w:hAnsi="Arial" w:cs="Arial"/>
          <w:sz w:val="24"/>
        </w:rPr>
        <w:t>;</w:t>
      </w:r>
    </w:p>
    <w:p w14:paraId="0D1A7029" w14:textId="45CF57B1" w:rsidR="009B1AD0" w:rsidRPr="00394F74" w:rsidRDefault="009B1AD0" w:rsidP="009B1AD0">
      <w:pPr>
        <w:pStyle w:val="PargrafodaLista"/>
        <w:numPr>
          <w:ilvl w:val="0"/>
          <w:numId w:val="56"/>
        </w:numPr>
        <w:spacing w:after="120" w:line="360" w:lineRule="auto"/>
        <w:jc w:val="both"/>
        <w:rPr>
          <w:rFonts w:ascii="Arial" w:hAnsi="Arial" w:cs="Arial"/>
          <w:color w:val="000000"/>
          <w:sz w:val="24"/>
        </w:rPr>
      </w:pPr>
      <w:r w:rsidRPr="00394F74">
        <w:rPr>
          <w:rFonts w:ascii="Arial" w:hAnsi="Arial" w:cs="Arial"/>
          <w:color w:val="000000"/>
          <w:sz w:val="24"/>
        </w:rPr>
        <w:t xml:space="preserve">o </w:t>
      </w:r>
      <w:r w:rsidRPr="00394F74">
        <w:rPr>
          <w:rFonts w:ascii="Arial" w:hAnsi="Arial" w:cs="Arial"/>
          <w:b/>
          <w:color w:val="000000"/>
          <w:sz w:val="24"/>
          <w:u w:val="single"/>
        </w:rPr>
        <w:t>recolhimento</w:t>
      </w:r>
      <w:r w:rsidRPr="00394F74">
        <w:rPr>
          <w:rFonts w:ascii="Arial" w:hAnsi="Arial" w:cs="Arial"/>
          <w:color w:val="000000"/>
          <w:sz w:val="24"/>
        </w:rPr>
        <w:t xml:space="preserve"> das empresas em </w:t>
      </w:r>
      <w:r w:rsidRPr="00394F74">
        <w:rPr>
          <w:rFonts w:ascii="Arial" w:hAnsi="Arial" w:cs="Arial"/>
          <w:b/>
          <w:color w:val="000000"/>
          <w:sz w:val="24"/>
          <w:u w:val="single"/>
        </w:rPr>
        <w:t>relação ao faturamento</w:t>
      </w:r>
      <w:r w:rsidRPr="00394F74">
        <w:rPr>
          <w:rFonts w:ascii="Arial" w:hAnsi="Arial" w:cs="Arial"/>
          <w:color w:val="000000"/>
          <w:sz w:val="24"/>
        </w:rPr>
        <w:t xml:space="preserve"> foi, em média, de </w:t>
      </w:r>
      <w:r w:rsidRPr="00394F74">
        <w:rPr>
          <w:rFonts w:ascii="Arial" w:hAnsi="Arial" w:cs="Arial"/>
          <w:b/>
          <w:color w:val="000000"/>
          <w:sz w:val="24"/>
          <w:u w:val="single"/>
        </w:rPr>
        <w:t>2,81%</w:t>
      </w:r>
      <w:r w:rsidRPr="00394F74">
        <w:rPr>
          <w:rFonts w:ascii="Arial" w:hAnsi="Arial" w:cs="Arial"/>
          <w:color w:val="000000"/>
          <w:sz w:val="24"/>
        </w:rPr>
        <w:t xml:space="preserve">. A </w:t>
      </w:r>
      <w:r w:rsidRPr="00394F74">
        <w:rPr>
          <w:rFonts w:ascii="Arial" w:hAnsi="Arial" w:cs="Arial"/>
          <w:b/>
          <w:color w:val="000000"/>
          <w:sz w:val="24"/>
        </w:rPr>
        <w:t>menor participação</w:t>
      </w:r>
      <w:r w:rsidRPr="00394F74">
        <w:rPr>
          <w:rFonts w:ascii="Arial" w:hAnsi="Arial" w:cs="Arial"/>
          <w:color w:val="000000"/>
          <w:sz w:val="24"/>
        </w:rPr>
        <w:t xml:space="preserve"> é da atividade de </w:t>
      </w:r>
      <w:r w:rsidRPr="00394F74">
        <w:rPr>
          <w:rFonts w:ascii="Arial" w:hAnsi="Arial" w:cs="Arial"/>
          <w:b/>
          <w:color w:val="000000"/>
          <w:sz w:val="24"/>
        </w:rPr>
        <w:t>fabricação de automóveis</w:t>
      </w:r>
      <w:r w:rsidRPr="00394F74">
        <w:rPr>
          <w:rFonts w:ascii="Arial" w:hAnsi="Arial" w:cs="Arial"/>
          <w:color w:val="000000"/>
          <w:sz w:val="24"/>
        </w:rPr>
        <w:t xml:space="preserve"> (0,88%) e o destaque positivo das atividades de fabricação de bebidas (11,1%) e </w:t>
      </w:r>
      <w:r w:rsidRPr="00394F74">
        <w:rPr>
          <w:rFonts w:ascii="Arial" w:hAnsi="Arial" w:cs="Arial"/>
          <w:sz w:val="24"/>
        </w:rPr>
        <w:t>eletricidade, gás e outras utilidades com 19,8% (provavelmente porque as alíquotas de ICMS nessas atividades sejam maiores que nas outras)</w:t>
      </w:r>
      <w:r w:rsidRPr="00394F74">
        <w:rPr>
          <w:rFonts w:ascii="Arial" w:hAnsi="Arial" w:cs="Arial"/>
          <w:color w:val="000000"/>
          <w:sz w:val="24"/>
        </w:rPr>
        <w:t>;</w:t>
      </w:r>
    </w:p>
    <w:p w14:paraId="4A4D7B8F" w14:textId="77777777" w:rsidR="009B1AD0" w:rsidRPr="00394F74" w:rsidRDefault="009B1AD0" w:rsidP="009B1AD0">
      <w:pPr>
        <w:pStyle w:val="PargrafodaLista"/>
        <w:numPr>
          <w:ilvl w:val="0"/>
          <w:numId w:val="56"/>
        </w:numPr>
        <w:spacing w:after="120" w:line="360" w:lineRule="auto"/>
        <w:jc w:val="both"/>
        <w:rPr>
          <w:rFonts w:ascii="Arial" w:hAnsi="Arial" w:cs="Arial"/>
          <w:color w:val="000000"/>
          <w:sz w:val="24"/>
        </w:rPr>
      </w:pPr>
      <w:r w:rsidRPr="00394F74">
        <w:rPr>
          <w:rFonts w:ascii="Arial" w:hAnsi="Arial" w:cs="Arial"/>
          <w:color w:val="000000"/>
          <w:sz w:val="24"/>
        </w:rPr>
        <w:t xml:space="preserve">os </w:t>
      </w:r>
      <w:r w:rsidRPr="00394F74">
        <w:rPr>
          <w:rFonts w:ascii="Arial" w:hAnsi="Arial" w:cs="Arial"/>
          <w:b/>
          <w:color w:val="000000"/>
          <w:sz w:val="24"/>
          <w:u w:val="single"/>
        </w:rPr>
        <w:t>beneficiários, desde 2006, têm uma média de 51,2% das compras feitas fora de Goiás e 48,8% internamente ao Estado</w:t>
      </w:r>
      <w:r w:rsidRPr="00394F74">
        <w:rPr>
          <w:rFonts w:ascii="Arial" w:hAnsi="Arial" w:cs="Arial"/>
          <w:color w:val="000000"/>
          <w:sz w:val="24"/>
        </w:rPr>
        <w:t>. Ou seja, a metade das compras tem efeito multiplicador de emprego e renda fora de Goiás. Ainda em média, 19% das compras são de importações do exterior;</w:t>
      </w:r>
    </w:p>
    <w:p w14:paraId="1989EC4D" w14:textId="77777777" w:rsidR="009B1AD0" w:rsidRPr="00394F74" w:rsidRDefault="009B1AD0" w:rsidP="009B1AD0">
      <w:pPr>
        <w:pStyle w:val="PargrafodaLista"/>
        <w:numPr>
          <w:ilvl w:val="0"/>
          <w:numId w:val="56"/>
        </w:numPr>
        <w:spacing w:after="120" w:line="360" w:lineRule="auto"/>
        <w:jc w:val="both"/>
        <w:rPr>
          <w:rFonts w:ascii="Arial" w:hAnsi="Arial" w:cs="Arial"/>
          <w:color w:val="000000"/>
          <w:sz w:val="24"/>
        </w:rPr>
      </w:pPr>
      <w:r w:rsidRPr="00394F74">
        <w:rPr>
          <w:rFonts w:ascii="Arial" w:hAnsi="Arial" w:cs="Arial"/>
          <w:color w:val="000000"/>
          <w:sz w:val="24"/>
        </w:rPr>
        <w:t xml:space="preserve">conforme a </w:t>
      </w:r>
      <w:r w:rsidRPr="00394F74">
        <w:rPr>
          <w:rFonts w:ascii="Arial" w:hAnsi="Arial" w:cs="Arial"/>
          <w:b/>
          <w:color w:val="000000"/>
          <w:sz w:val="24"/>
          <w:u w:val="single"/>
        </w:rPr>
        <w:t>Secretaria de Estado de Indústria, Comércio e Serviços</w:t>
      </w:r>
      <w:r w:rsidRPr="00394F74">
        <w:rPr>
          <w:rFonts w:ascii="Arial" w:hAnsi="Arial" w:cs="Arial"/>
          <w:color w:val="000000"/>
          <w:sz w:val="24"/>
        </w:rPr>
        <w:t xml:space="preserve">, o </w:t>
      </w:r>
      <w:r w:rsidRPr="00394F74">
        <w:rPr>
          <w:rFonts w:ascii="Arial" w:hAnsi="Arial" w:cs="Arial"/>
          <w:b/>
          <w:color w:val="000000"/>
          <w:sz w:val="24"/>
          <w:u w:val="single"/>
        </w:rPr>
        <w:t>PRODUZIR</w:t>
      </w:r>
      <w:r w:rsidRPr="00394F74">
        <w:rPr>
          <w:rFonts w:ascii="Arial" w:hAnsi="Arial" w:cs="Arial"/>
          <w:color w:val="000000"/>
          <w:sz w:val="24"/>
        </w:rPr>
        <w:t xml:space="preserve"> teve mais de 2 mil empresas com projetos aprovados e previsão de: mais de 218 mil empregos diretos esperados; investirem R$ 79 bilhões; bem como benefícios recebidos de R$ 469 bilhões. Mas efetivamente 595 estão fruindo com R$ 121 bilhões em benefícios com estoque de 111 mil empregos;</w:t>
      </w:r>
    </w:p>
    <w:p w14:paraId="5B3B0729" w14:textId="77777777" w:rsidR="009B1AD0" w:rsidRPr="00394F74" w:rsidRDefault="009B1AD0" w:rsidP="009B1AD0">
      <w:pPr>
        <w:pStyle w:val="PargrafodaLista"/>
        <w:numPr>
          <w:ilvl w:val="0"/>
          <w:numId w:val="56"/>
        </w:numPr>
        <w:spacing w:after="120" w:line="360" w:lineRule="auto"/>
        <w:jc w:val="both"/>
        <w:rPr>
          <w:rFonts w:ascii="Arial" w:hAnsi="Arial" w:cs="Arial"/>
          <w:sz w:val="24"/>
        </w:rPr>
      </w:pPr>
      <w:r w:rsidRPr="00394F74">
        <w:rPr>
          <w:rFonts w:ascii="Arial" w:hAnsi="Arial" w:cs="Arial"/>
          <w:sz w:val="24"/>
        </w:rPr>
        <w:t xml:space="preserve">há </w:t>
      </w:r>
      <w:r w:rsidRPr="00394F74">
        <w:rPr>
          <w:rFonts w:ascii="Arial" w:hAnsi="Arial" w:cs="Arial"/>
          <w:b/>
          <w:sz w:val="24"/>
          <w:u w:val="single"/>
        </w:rPr>
        <w:t>divergência</w:t>
      </w:r>
      <w:r w:rsidRPr="00394F74">
        <w:rPr>
          <w:rFonts w:ascii="Arial" w:hAnsi="Arial" w:cs="Arial"/>
          <w:sz w:val="24"/>
        </w:rPr>
        <w:t xml:space="preserve"> quanto à </w:t>
      </w:r>
      <w:r w:rsidRPr="00394F74">
        <w:rPr>
          <w:rFonts w:ascii="Arial" w:hAnsi="Arial" w:cs="Arial"/>
          <w:b/>
          <w:sz w:val="24"/>
          <w:u w:val="single"/>
        </w:rPr>
        <w:t>quantidade de empresas</w:t>
      </w:r>
      <w:r w:rsidRPr="00394F74">
        <w:rPr>
          <w:rFonts w:ascii="Arial" w:hAnsi="Arial" w:cs="Arial"/>
          <w:sz w:val="24"/>
        </w:rPr>
        <w:t xml:space="preserve"> nos programas de incentivos que constam nos dados da </w:t>
      </w:r>
      <w:r w:rsidRPr="00394F74">
        <w:rPr>
          <w:rFonts w:ascii="Arial" w:hAnsi="Arial" w:cs="Arial"/>
          <w:b/>
          <w:sz w:val="24"/>
        </w:rPr>
        <w:t>Secretaria de Economia</w:t>
      </w:r>
      <w:r w:rsidRPr="00394F74">
        <w:rPr>
          <w:rFonts w:ascii="Arial" w:hAnsi="Arial" w:cs="Arial"/>
          <w:sz w:val="24"/>
        </w:rPr>
        <w:t xml:space="preserve"> e </w:t>
      </w:r>
      <w:r w:rsidRPr="00394F74">
        <w:rPr>
          <w:rFonts w:ascii="Arial" w:hAnsi="Arial" w:cs="Arial"/>
          <w:b/>
          <w:sz w:val="24"/>
        </w:rPr>
        <w:t>Secretaria de Estado de Indústria, Comércio e Serviços</w:t>
      </w:r>
      <w:r w:rsidRPr="00394F74">
        <w:rPr>
          <w:rFonts w:ascii="Arial" w:hAnsi="Arial" w:cs="Arial"/>
          <w:sz w:val="24"/>
        </w:rPr>
        <w:t>;</w:t>
      </w:r>
    </w:p>
    <w:p w14:paraId="028E8AC9" w14:textId="77777777" w:rsidR="009B1AD0" w:rsidRPr="00394F74" w:rsidRDefault="009B1AD0" w:rsidP="009B1AD0">
      <w:pPr>
        <w:pStyle w:val="PargrafodaLista"/>
        <w:numPr>
          <w:ilvl w:val="0"/>
          <w:numId w:val="56"/>
        </w:numPr>
        <w:spacing w:after="120" w:line="360" w:lineRule="auto"/>
        <w:jc w:val="both"/>
        <w:rPr>
          <w:rFonts w:ascii="Arial" w:hAnsi="Arial" w:cs="Arial"/>
          <w:color w:val="000000"/>
          <w:sz w:val="24"/>
        </w:rPr>
      </w:pPr>
      <w:r w:rsidRPr="00394F74">
        <w:rPr>
          <w:rFonts w:ascii="Arial" w:hAnsi="Arial" w:cs="Arial"/>
          <w:color w:val="000000"/>
          <w:sz w:val="24"/>
        </w:rPr>
        <w:t xml:space="preserve">o </w:t>
      </w:r>
      <w:r w:rsidRPr="00394F74">
        <w:rPr>
          <w:rFonts w:ascii="Arial" w:hAnsi="Arial" w:cs="Arial"/>
          <w:b/>
          <w:color w:val="000000"/>
          <w:sz w:val="24"/>
          <w:u w:val="single"/>
        </w:rPr>
        <w:t>investimento projetado das empresas auditadas está muito longe do valor total projetado das empresas em fruição (R$ 9,5 de R$ 82 bilhões)</w:t>
      </w:r>
      <w:r w:rsidRPr="00394F74">
        <w:rPr>
          <w:rFonts w:ascii="Arial" w:hAnsi="Arial" w:cs="Arial"/>
          <w:color w:val="000000"/>
          <w:sz w:val="24"/>
        </w:rPr>
        <w:t>. Esse valor pode estar subdimensionado já que as empresas, às vezes, não precisam comprovar novos investimentos em razão do montante de benefício já con</w:t>
      </w:r>
      <w:r>
        <w:rPr>
          <w:rFonts w:ascii="Arial" w:hAnsi="Arial" w:cs="Arial"/>
          <w:color w:val="000000"/>
          <w:sz w:val="24"/>
        </w:rPr>
        <w:t>cedido via comprovação parcial;</w:t>
      </w:r>
    </w:p>
    <w:p w14:paraId="316F0129" w14:textId="77777777" w:rsidR="009B1AD0" w:rsidRPr="00394F74" w:rsidRDefault="009B1AD0" w:rsidP="009B1AD0">
      <w:pPr>
        <w:pStyle w:val="PargrafodaLista"/>
        <w:numPr>
          <w:ilvl w:val="0"/>
          <w:numId w:val="56"/>
        </w:numPr>
        <w:spacing w:after="120" w:line="360" w:lineRule="auto"/>
        <w:jc w:val="both"/>
        <w:rPr>
          <w:rFonts w:ascii="Arial" w:hAnsi="Arial" w:cs="Arial"/>
          <w:color w:val="000000"/>
          <w:sz w:val="24"/>
        </w:rPr>
      </w:pPr>
      <w:r w:rsidRPr="00394F74">
        <w:rPr>
          <w:rFonts w:ascii="Arial" w:hAnsi="Arial" w:cs="Arial"/>
          <w:color w:val="000000"/>
          <w:sz w:val="24"/>
        </w:rPr>
        <w:t xml:space="preserve">dos R$ 9,5 bilhões de investimentos </w:t>
      </w:r>
      <w:r>
        <w:rPr>
          <w:rFonts w:ascii="Arial" w:hAnsi="Arial" w:cs="Arial"/>
          <w:color w:val="000000"/>
          <w:sz w:val="24"/>
        </w:rPr>
        <w:t>audi</w:t>
      </w:r>
      <w:r w:rsidRPr="00394F74">
        <w:rPr>
          <w:rFonts w:ascii="Arial" w:hAnsi="Arial" w:cs="Arial"/>
          <w:color w:val="000000"/>
          <w:sz w:val="24"/>
        </w:rPr>
        <w:t>tados, apenas R$ 5,7 bilhões foram comprovados;</w:t>
      </w:r>
    </w:p>
    <w:p w14:paraId="0A8C47F5" w14:textId="77777777" w:rsidR="009B1AD0" w:rsidRPr="00394F74" w:rsidRDefault="009B1AD0" w:rsidP="009B1AD0">
      <w:pPr>
        <w:pStyle w:val="PargrafodaLista"/>
        <w:numPr>
          <w:ilvl w:val="0"/>
          <w:numId w:val="56"/>
        </w:numPr>
        <w:spacing w:after="120" w:line="360" w:lineRule="auto"/>
        <w:jc w:val="both"/>
        <w:rPr>
          <w:rFonts w:ascii="Arial" w:hAnsi="Arial" w:cs="Arial"/>
          <w:color w:val="000000"/>
          <w:sz w:val="24"/>
        </w:rPr>
      </w:pPr>
      <w:r w:rsidRPr="00394F74">
        <w:rPr>
          <w:rFonts w:ascii="Arial" w:hAnsi="Arial" w:cs="Arial"/>
          <w:color w:val="000000"/>
          <w:sz w:val="24"/>
        </w:rPr>
        <w:lastRenderedPageBreak/>
        <w:t xml:space="preserve">o </w:t>
      </w:r>
      <w:r w:rsidRPr="00394F74">
        <w:rPr>
          <w:rFonts w:ascii="Arial" w:hAnsi="Arial" w:cs="Arial"/>
          <w:b/>
          <w:color w:val="000000"/>
          <w:sz w:val="24"/>
          <w:u w:val="single"/>
        </w:rPr>
        <w:t>valor da quitação não segue um padrão de cálculo</w:t>
      </w:r>
      <w:r w:rsidRPr="00394F74">
        <w:rPr>
          <w:rFonts w:ascii="Arial" w:hAnsi="Arial" w:cs="Arial"/>
          <w:color w:val="000000"/>
          <w:sz w:val="24"/>
        </w:rPr>
        <w:t xml:space="preserve"> nas planilhas da</w:t>
      </w:r>
      <w:r w:rsidRPr="00394F74">
        <w:rPr>
          <w:rFonts w:ascii="Arial" w:hAnsi="Arial" w:cs="Arial"/>
          <w:sz w:val="24"/>
        </w:rPr>
        <w:t xml:space="preserve"> Secretaria de Estado de Indústria, Comércio e Serviços</w:t>
      </w:r>
      <w:r w:rsidRPr="00394F74">
        <w:rPr>
          <w:rFonts w:ascii="Arial" w:hAnsi="Arial" w:cs="Arial"/>
          <w:color w:val="000000"/>
          <w:sz w:val="24"/>
        </w:rPr>
        <w:t>;</w:t>
      </w:r>
    </w:p>
    <w:p w14:paraId="42B1461D" w14:textId="77777777" w:rsidR="009B1AD0" w:rsidRPr="003F0751" w:rsidRDefault="009B1AD0" w:rsidP="009B1AD0">
      <w:pPr>
        <w:pStyle w:val="PargrafodaLista"/>
        <w:numPr>
          <w:ilvl w:val="0"/>
          <w:numId w:val="56"/>
        </w:numPr>
        <w:spacing w:line="360" w:lineRule="auto"/>
        <w:jc w:val="both"/>
        <w:rPr>
          <w:rFonts w:ascii="Arial" w:hAnsi="Arial" w:cs="Arial"/>
          <w:sz w:val="24"/>
          <w:szCs w:val="24"/>
        </w:rPr>
      </w:pPr>
      <w:r w:rsidRPr="00394F74">
        <w:rPr>
          <w:rFonts w:ascii="Arial" w:hAnsi="Arial" w:cs="Arial"/>
          <w:color w:val="000000"/>
          <w:sz w:val="24"/>
        </w:rPr>
        <w:t xml:space="preserve">de modo geral, a </w:t>
      </w:r>
      <w:r w:rsidRPr="00394F74">
        <w:rPr>
          <w:rFonts w:ascii="Arial" w:hAnsi="Arial" w:cs="Arial"/>
          <w:b/>
          <w:color w:val="000000"/>
          <w:sz w:val="24"/>
          <w:u w:val="single"/>
        </w:rPr>
        <w:t>projeção de ICMS a ser gerado é muito superior ao efetivamente realizado</w:t>
      </w:r>
      <w:r>
        <w:rPr>
          <w:rFonts w:ascii="Arial" w:hAnsi="Arial" w:cs="Arial"/>
          <w:color w:val="000000"/>
          <w:sz w:val="24"/>
        </w:rPr>
        <w:t>.</w:t>
      </w:r>
    </w:p>
    <w:p w14:paraId="25DBA4A6" w14:textId="77777777" w:rsidR="009B1AD0" w:rsidRDefault="009B1AD0" w:rsidP="009B1AD0">
      <w:pPr>
        <w:spacing w:line="360" w:lineRule="auto"/>
        <w:jc w:val="both"/>
        <w:rPr>
          <w:rFonts w:ascii="Arial" w:hAnsi="Arial" w:cs="Arial"/>
          <w:sz w:val="24"/>
          <w:szCs w:val="24"/>
        </w:rPr>
      </w:pPr>
    </w:p>
    <w:p w14:paraId="76482D2C" w14:textId="77777777" w:rsidR="009B1AD0" w:rsidRPr="00394F74" w:rsidRDefault="009B1AD0" w:rsidP="009B1AD0">
      <w:pPr>
        <w:pStyle w:val="PargrafodaLista"/>
        <w:numPr>
          <w:ilvl w:val="1"/>
          <w:numId w:val="54"/>
        </w:numPr>
        <w:spacing w:line="360" w:lineRule="auto"/>
        <w:jc w:val="both"/>
        <w:rPr>
          <w:rFonts w:ascii="Arial" w:hAnsi="Arial" w:cs="Arial"/>
          <w:b/>
          <w:sz w:val="24"/>
          <w:szCs w:val="24"/>
        </w:rPr>
      </w:pPr>
      <w:r w:rsidRPr="00394F74">
        <w:rPr>
          <w:rFonts w:ascii="Arial" w:hAnsi="Arial" w:cs="Arial"/>
          <w:b/>
          <w:sz w:val="24"/>
          <w:szCs w:val="24"/>
        </w:rPr>
        <w:t>RELACIONADAS AO BENEFÍCIO DE CRÉDITO OUTORGADO</w:t>
      </w:r>
    </w:p>
    <w:p w14:paraId="49F9EC04" w14:textId="77777777" w:rsidR="009B1AD0" w:rsidRDefault="009B1AD0" w:rsidP="009B1AD0">
      <w:pPr>
        <w:spacing w:line="360" w:lineRule="auto"/>
        <w:ind w:firstLine="851"/>
        <w:jc w:val="both"/>
        <w:rPr>
          <w:rFonts w:ascii="Arial" w:hAnsi="Arial" w:cs="Arial"/>
          <w:sz w:val="24"/>
          <w:szCs w:val="24"/>
        </w:rPr>
      </w:pPr>
    </w:p>
    <w:p w14:paraId="13E03930" w14:textId="77777777" w:rsidR="009B1AD0" w:rsidRPr="003F0751" w:rsidRDefault="009B1AD0" w:rsidP="009B1AD0">
      <w:pPr>
        <w:spacing w:line="360" w:lineRule="auto"/>
        <w:ind w:firstLine="851"/>
        <w:jc w:val="both"/>
        <w:rPr>
          <w:rFonts w:ascii="Arial" w:hAnsi="Arial" w:cs="Arial"/>
          <w:sz w:val="24"/>
          <w:szCs w:val="24"/>
        </w:rPr>
      </w:pPr>
      <w:r w:rsidRPr="003F0751">
        <w:rPr>
          <w:rFonts w:ascii="Arial" w:hAnsi="Arial" w:cs="Arial"/>
          <w:sz w:val="24"/>
          <w:szCs w:val="24"/>
        </w:rPr>
        <w:t>Em relação aos créditos outorgados, pode-se concluir por:</w:t>
      </w:r>
    </w:p>
    <w:p w14:paraId="1BFE90D9" w14:textId="77777777" w:rsidR="009B1AD0" w:rsidRDefault="009B1AD0" w:rsidP="009B1AD0">
      <w:pPr>
        <w:pStyle w:val="PargrafodaLista"/>
        <w:numPr>
          <w:ilvl w:val="0"/>
          <w:numId w:val="58"/>
        </w:numPr>
        <w:spacing w:line="360" w:lineRule="auto"/>
        <w:jc w:val="both"/>
        <w:rPr>
          <w:rFonts w:ascii="Arial" w:hAnsi="Arial" w:cs="Arial"/>
          <w:sz w:val="24"/>
          <w:szCs w:val="24"/>
        </w:rPr>
      </w:pPr>
      <w:r w:rsidRPr="003F0751">
        <w:rPr>
          <w:rFonts w:ascii="Arial" w:hAnsi="Arial" w:cs="Arial"/>
          <w:b/>
          <w:sz w:val="24"/>
          <w:szCs w:val="24"/>
          <w:u w:val="single"/>
        </w:rPr>
        <w:t>o crédito outorgado não se confunde com o crédito natural de ICMS</w:t>
      </w:r>
      <w:r w:rsidRPr="003F0751">
        <w:rPr>
          <w:rFonts w:ascii="Arial" w:hAnsi="Arial" w:cs="Arial"/>
          <w:sz w:val="24"/>
          <w:szCs w:val="24"/>
        </w:rPr>
        <w:t xml:space="preserve">, visto que </w:t>
      </w:r>
      <w:r w:rsidRPr="003F0751">
        <w:rPr>
          <w:rFonts w:ascii="Arial" w:hAnsi="Arial" w:cs="Arial"/>
          <w:b/>
          <w:sz w:val="24"/>
          <w:szCs w:val="24"/>
        </w:rPr>
        <w:t>este</w:t>
      </w:r>
      <w:r w:rsidRPr="003F0751">
        <w:rPr>
          <w:rFonts w:ascii="Arial" w:hAnsi="Arial" w:cs="Arial"/>
          <w:sz w:val="24"/>
          <w:szCs w:val="24"/>
        </w:rPr>
        <w:t xml:space="preserve"> decorre da própria sistemática da não cumulatividade do imposto e é direito constitucional do contribuinte, ao passo que </w:t>
      </w:r>
      <w:r w:rsidRPr="003F0751">
        <w:rPr>
          <w:rFonts w:ascii="Arial" w:hAnsi="Arial" w:cs="Arial"/>
          <w:b/>
          <w:sz w:val="24"/>
          <w:szCs w:val="24"/>
        </w:rPr>
        <w:t>aquele</w:t>
      </w:r>
      <w:r w:rsidRPr="003F0751">
        <w:rPr>
          <w:rFonts w:ascii="Arial" w:hAnsi="Arial" w:cs="Arial"/>
          <w:sz w:val="24"/>
          <w:szCs w:val="24"/>
        </w:rPr>
        <w:t xml:space="preserve"> consiste numa ficção jurídica criada por lei, embora autorizada pelo sistema constitucional vigente, mas que pode ocasionar distorções no sistema tributário a depender da respectiva moldura legal que envolve essa espécie de benefício;</w:t>
      </w:r>
    </w:p>
    <w:p w14:paraId="1007A755" w14:textId="77777777" w:rsidR="009B1AD0" w:rsidRDefault="009B1AD0" w:rsidP="009B1AD0">
      <w:pPr>
        <w:pStyle w:val="PargrafodaLista"/>
        <w:numPr>
          <w:ilvl w:val="0"/>
          <w:numId w:val="58"/>
        </w:numPr>
        <w:spacing w:line="360" w:lineRule="auto"/>
        <w:jc w:val="both"/>
        <w:rPr>
          <w:rFonts w:ascii="Arial" w:hAnsi="Arial" w:cs="Arial"/>
          <w:sz w:val="24"/>
          <w:szCs w:val="24"/>
        </w:rPr>
      </w:pPr>
      <w:r w:rsidRPr="00394F74">
        <w:rPr>
          <w:rFonts w:ascii="Arial" w:hAnsi="Arial" w:cs="Arial"/>
          <w:b/>
          <w:sz w:val="24"/>
          <w:szCs w:val="24"/>
          <w:u w:val="single"/>
        </w:rPr>
        <w:t>o crédito outorgado é a espécie de incentivo fiscal mais representativa no volume de renúncia de receitas estaduais</w:t>
      </w:r>
      <w:r w:rsidRPr="00394F74">
        <w:rPr>
          <w:rFonts w:ascii="Arial" w:hAnsi="Arial" w:cs="Arial"/>
          <w:sz w:val="24"/>
          <w:szCs w:val="24"/>
        </w:rPr>
        <w:t xml:space="preserve">, segundo dados da própria Secretaria de Estado da Economia e projeções contidas nas leis de diretrizes orçamentárias (LDO’s) e leis orçamentárias anuais (LOA’s) publicadas a partir de 2017, o que corresponde a um total de </w:t>
      </w:r>
      <w:r w:rsidRPr="00394F74">
        <w:rPr>
          <w:rFonts w:ascii="Arial" w:hAnsi="Arial" w:cs="Arial"/>
          <w:b/>
          <w:sz w:val="24"/>
          <w:szCs w:val="24"/>
        </w:rPr>
        <w:t xml:space="preserve">cerca de 50% (cinquenta por cento) da renúncia anual de receitas, correspondente a cerca de R$ 4.000.000.000,00 (quatro bilhões de reais) em renúncias por ano </w:t>
      </w:r>
      <w:r w:rsidRPr="00394F74">
        <w:rPr>
          <w:rFonts w:ascii="Arial" w:hAnsi="Arial" w:cs="Arial"/>
          <w:sz w:val="24"/>
          <w:szCs w:val="24"/>
        </w:rPr>
        <w:t>(</w:t>
      </w:r>
      <w:r w:rsidRPr="00394F74">
        <w:rPr>
          <w:rFonts w:ascii="Arial" w:hAnsi="Arial" w:cs="Arial"/>
          <w:sz w:val="24"/>
          <w:szCs w:val="24"/>
          <w:u w:val="single"/>
        </w:rPr>
        <w:t>aproximadamente o dobro dos números relativos aos Programas FOMENTAR e PRODUZIR somados!</w:t>
      </w:r>
      <w:r w:rsidRPr="00394F74">
        <w:rPr>
          <w:rFonts w:ascii="Arial" w:hAnsi="Arial" w:cs="Arial"/>
          <w:sz w:val="24"/>
          <w:szCs w:val="24"/>
        </w:rPr>
        <w:t>);</w:t>
      </w:r>
    </w:p>
    <w:p w14:paraId="10AB1AD5" w14:textId="77777777" w:rsidR="009B1AD0" w:rsidRPr="00394F74" w:rsidRDefault="009B1AD0" w:rsidP="009B1AD0">
      <w:pPr>
        <w:pStyle w:val="PargrafodaLista"/>
        <w:numPr>
          <w:ilvl w:val="0"/>
          <w:numId w:val="58"/>
        </w:numPr>
        <w:spacing w:line="360" w:lineRule="auto"/>
        <w:jc w:val="both"/>
        <w:rPr>
          <w:rFonts w:ascii="Arial" w:hAnsi="Arial" w:cs="Arial"/>
          <w:sz w:val="24"/>
          <w:szCs w:val="24"/>
        </w:rPr>
      </w:pPr>
      <w:r w:rsidRPr="00394F74">
        <w:rPr>
          <w:rFonts w:ascii="Arial" w:hAnsi="Arial" w:cs="Arial"/>
          <w:b/>
          <w:sz w:val="24"/>
          <w:szCs w:val="24"/>
          <w:u w:val="single"/>
        </w:rPr>
        <w:t>a legislação relativa a crédito outorgado encontra-se extremamente pulverizada</w:t>
      </w:r>
      <w:r w:rsidRPr="00394F74">
        <w:rPr>
          <w:rFonts w:ascii="Arial" w:hAnsi="Arial" w:cs="Arial"/>
          <w:b/>
          <w:sz w:val="24"/>
          <w:szCs w:val="24"/>
        </w:rPr>
        <w:t>, em dezenas de diplomas legais publicados desde a década de 1990</w:t>
      </w:r>
      <w:r w:rsidRPr="00394F74">
        <w:rPr>
          <w:rFonts w:ascii="Arial" w:hAnsi="Arial" w:cs="Arial"/>
          <w:sz w:val="24"/>
          <w:szCs w:val="24"/>
        </w:rPr>
        <w:t>, embora concentrados nos arts. 11, 11-A e 12 do RCTE/GO, o que dificulta a transparência e uma análise homogênea acerca desse benefício em relação a variados aspectos, como, por exemplo, os segmentos econômicos contemplados e eventual cumulação com outros incentivos fiscais;</w:t>
      </w:r>
    </w:p>
    <w:p w14:paraId="0F3124A4" w14:textId="4B1EF363" w:rsidR="009B1AD0" w:rsidRDefault="009B1AD0" w:rsidP="009B1AD0">
      <w:pPr>
        <w:pStyle w:val="PargrafodaLista"/>
        <w:numPr>
          <w:ilvl w:val="0"/>
          <w:numId w:val="58"/>
        </w:numPr>
        <w:spacing w:line="360" w:lineRule="auto"/>
        <w:jc w:val="both"/>
        <w:rPr>
          <w:rFonts w:ascii="Arial" w:hAnsi="Arial" w:cs="Arial"/>
          <w:sz w:val="24"/>
          <w:szCs w:val="24"/>
        </w:rPr>
      </w:pPr>
      <w:r w:rsidRPr="00394F74">
        <w:rPr>
          <w:rFonts w:ascii="Arial" w:hAnsi="Arial" w:cs="Arial"/>
          <w:sz w:val="24"/>
          <w:szCs w:val="24"/>
        </w:rPr>
        <w:t>não obstante ser a espécie de incentivo fiscal mais representativa quanto ao volume de</w:t>
      </w:r>
      <w:r w:rsidR="00986611">
        <w:rPr>
          <w:rFonts w:ascii="Arial" w:hAnsi="Arial" w:cs="Arial"/>
          <w:sz w:val="24"/>
          <w:szCs w:val="24"/>
        </w:rPr>
        <w:t xml:space="preserve"> renúncia de</w:t>
      </w:r>
      <w:r w:rsidRPr="00394F74">
        <w:rPr>
          <w:rFonts w:ascii="Arial" w:hAnsi="Arial" w:cs="Arial"/>
          <w:sz w:val="24"/>
          <w:szCs w:val="24"/>
        </w:rPr>
        <w:t xml:space="preserve"> receitas, </w:t>
      </w:r>
      <w:r w:rsidRPr="00394F74">
        <w:rPr>
          <w:rFonts w:ascii="Arial" w:hAnsi="Arial" w:cs="Arial"/>
          <w:b/>
          <w:sz w:val="24"/>
          <w:szCs w:val="24"/>
          <w:u w:val="single"/>
        </w:rPr>
        <w:t>são significativamente reduzidas as hipóteses de fruição de crédito outorgado condicionadas a contrapartidas econômicas e sociais por força da lei instituidora do benefício</w:t>
      </w:r>
      <w:r w:rsidRPr="00394F74">
        <w:rPr>
          <w:rFonts w:ascii="Arial" w:hAnsi="Arial" w:cs="Arial"/>
          <w:sz w:val="24"/>
          <w:szCs w:val="24"/>
        </w:rPr>
        <w:t xml:space="preserve">, o que correspondeu, </w:t>
      </w:r>
      <w:r w:rsidRPr="00394F74">
        <w:rPr>
          <w:rFonts w:ascii="Arial" w:hAnsi="Arial" w:cs="Arial"/>
          <w:sz w:val="24"/>
          <w:szCs w:val="24"/>
        </w:rPr>
        <w:lastRenderedPageBreak/>
        <w:t xml:space="preserve">segundo a própria Secretaria de Estado da Economia, no período de 2014 a 2018, à fruição de </w:t>
      </w:r>
      <w:r w:rsidRPr="00394F74">
        <w:rPr>
          <w:rFonts w:ascii="Arial" w:hAnsi="Arial" w:cs="Arial"/>
          <w:b/>
          <w:sz w:val="24"/>
          <w:szCs w:val="24"/>
        </w:rPr>
        <w:t>apenas R$ 328.949.824,06</w:t>
      </w:r>
      <w:r w:rsidRPr="00394F74">
        <w:rPr>
          <w:rFonts w:ascii="Arial" w:hAnsi="Arial" w:cs="Arial"/>
          <w:sz w:val="24"/>
          <w:szCs w:val="24"/>
        </w:rPr>
        <w:t xml:space="preserve"> (trezentos e vinte e oito milhões, novecentos e quarenta e nove mil, oitocentos e vinte e quatro reais e seis centavos), </w:t>
      </w:r>
      <w:r w:rsidRPr="00394F74">
        <w:rPr>
          <w:rFonts w:ascii="Arial" w:hAnsi="Arial" w:cs="Arial"/>
          <w:b/>
          <w:sz w:val="24"/>
          <w:szCs w:val="24"/>
        </w:rPr>
        <w:t>de um total de</w:t>
      </w:r>
      <w:r w:rsidRPr="00394F74">
        <w:rPr>
          <w:rFonts w:ascii="Arial" w:hAnsi="Arial" w:cs="Arial"/>
          <w:sz w:val="24"/>
          <w:szCs w:val="24"/>
        </w:rPr>
        <w:t xml:space="preserve"> </w:t>
      </w:r>
      <w:r w:rsidRPr="00394F74">
        <w:rPr>
          <w:rFonts w:ascii="Arial" w:hAnsi="Arial" w:cs="Arial"/>
          <w:b/>
          <w:bCs/>
          <w:color w:val="000000"/>
          <w:sz w:val="24"/>
          <w:szCs w:val="24"/>
        </w:rPr>
        <w:t xml:space="preserve">20.639.851.245,06 </w:t>
      </w:r>
      <w:r w:rsidRPr="00394F74">
        <w:rPr>
          <w:rFonts w:ascii="Arial" w:hAnsi="Arial" w:cs="Arial"/>
          <w:bCs/>
          <w:color w:val="000000"/>
          <w:sz w:val="24"/>
          <w:szCs w:val="24"/>
        </w:rPr>
        <w:t>(vinte bilhões, seiscentos e trinta e nove milhões, oitocentos e cinquenta e um milhões, duzentos e quarenta e cinco mil reais e seis centavos)</w:t>
      </w:r>
      <w:r w:rsidRPr="00394F74">
        <w:rPr>
          <w:rFonts w:ascii="Arial" w:hAnsi="Arial" w:cs="Arial"/>
          <w:sz w:val="24"/>
          <w:szCs w:val="24"/>
        </w:rPr>
        <w:t xml:space="preserve">, isto é, </w:t>
      </w:r>
      <w:r w:rsidRPr="00394F74">
        <w:rPr>
          <w:rFonts w:ascii="Arial" w:hAnsi="Arial" w:cs="Arial"/>
          <w:b/>
          <w:sz w:val="24"/>
          <w:szCs w:val="24"/>
        </w:rPr>
        <w:t>cerca de 2% (dois por cento) do total de créditos outorgados fruídos no período</w:t>
      </w:r>
      <w:r w:rsidRPr="00394F74">
        <w:rPr>
          <w:rFonts w:ascii="Arial" w:hAnsi="Arial" w:cs="Arial"/>
          <w:sz w:val="24"/>
          <w:szCs w:val="24"/>
        </w:rPr>
        <w:t>;</w:t>
      </w:r>
    </w:p>
    <w:p w14:paraId="6B575116" w14:textId="77777777" w:rsidR="009B1AD0" w:rsidRDefault="009B1AD0" w:rsidP="009B1AD0">
      <w:pPr>
        <w:pStyle w:val="PargrafodaLista"/>
        <w:numPr>
          <w:ilvl w:val="0"/>
          <w:numId w:val="58"/>
        </w:numPr>
        <w:spacing w:line="360" w:lineRule="auto"/>
        <w:jc w:val="both"/>
        <w:rPr>
          <w:rFonts w:ascii="Arial" w:hAnsi="Arial" w:cs="Arial"/>
          <w:sz w:val="24"/>
          <w:szCs w:val="24"/>
        </w:rPr>
      </w:pPr>
      <w:r w:rsidRPr="00394F74">
        <w:rPr>
          <w:rFonts w:ascii="Arial" w:hAnsi="Arial" w:cs="Arial"/>
          <w:sz w:val="24"/>
          <w:szCs w:val="24"/>
        </w:rPr>
        <w:t xml:space="preserve">dentro desse reduzidíssimo universo de créditos outorgados sujeitos a contrapartidas, </w:t>
      </w:r>
      <w:r w:rsidRPr="00394F74">
        <w:rPr>
          <w:rFonts w:ascii="Arial" w:hAnsi="Arial" w:cs="Arial"/>
          <w:b/>
          <w:sz w:val="24"/>
          <w:szCs w:val="24"/>
          <w:u w:val="single"/>
        </w:rPr>
        <w:t>verificaram-se diversas falhas graves na fiscalização das mencionadas contrapartidas, a partir das amostras de auditorias fornecidas pela Secretaria de Estado da Economia, a recomendar fortemente a realização de auditorias externas</w:t>
      </w:r>
      <w:r w:rsidRPr="00394F74">
        <w:rPr>
          <w:rFonts w:ascii="Arial" w:hAnsi="Arial" w:cs="Arial"/>
          <w:sz w:val="24"/>
          <w:szCs w:val="24"/>
        </w:rPr>
        <w:t>, tais como:</w:t>
      </w:r>
    </w:p>
    <w:p w14:paraId="0FCEAAF6" w14:textId="3DE6D354" w:rsidR="009B1AD0" w:rsidRDefault="009B1AD0" w:rsidP="009B1AD0">
      <w:pPr>
        <w:pStyle w:val="PargrafodaLista"/>
        <w:numPr>
          <w:ilvl w:val="1"/>
          <w:numId w:val="58"/>
        </w:numPr>
        <w:spacing w:line="360" w:lineRule="auto"/>
        <w:jc w:val="both"/>
        <w:rPr>
          <w:rFonts w:ascii="Arial" w:hAnsi="Arial" w:cs="Arial"/>
          <w:sz w:val="24"/>
          <w:szCs w:val="24"/>
        </w:rPr>
      </w:pPr>
      <w:r w:rsidRPr="00394F74">
        <w:rPr>
          <w:rFonts w:ascii="Arial" w:hAnsi="Arial" w:cs="Arial"/>
          <w:b/>
          <w:sz w:val="24"/>
          <w:szCs w:val="24"/>
        </w:rPr>
        <w:t>Inexistência, em geral, de rotina de fiscalização periódica sobre as empresas beneficiárias de créditos outorgados</w:t>
      </w:r>
      <w:r w:rsidRPr="00394F74">
        <w:rPr>
          <w:rFonts w:ascii="Arial" w:hAnsi="Arial" w:cs="Arial"/>
          <w:sz w:val="24"/>
          <w:szCs w:val="24"/>
        </w:rPr>
        <w:t xml:space="preserve">, a revelar a ausência de um plano de fiscalização coordenado entre os diferentes órgãos envolvidos e um acúmulo de períodos objeto da mesma ação fiscalizatória, </w:t>
      </w:r>
      <w:r w:rsidRPr="00394F74">
        <w:rPr>
          <w:rFonts w:ascii="Arial" w:hAnsi="Arial" w:cs="Arial"/>
          <w:sz w:val="24"/>
          <w:szCs w:val="24"/>
          <w:u w:val="single"/>
        </w:rPr>
        <w:t xml:space="preserve">chegando ao extremo de serem realizadas algumas auditorias em maio de 2019 apenas para atender </w:t>
      </w:r>
      <w:r w:rsidR="00F11F6F" w:rsidRPr="00394F74">
        <w:rPr>
          <w:rFonts w:ascii="Arial" w:hAnsi="Arial" w:cs="Arial"/>
          <w:sz w:val="24"/>
          <w:szCs w:val="24"/>
          <w:u w:val="single"/>
        </w:rPr>
        <w:t>a</w:t>
      </w:r>
      <w:r w:rsidRPr="00394F74">
        <w:rPr>
          <w:rFonts w:ascii="Arial" w:hAnsi="Arial" w:cs="Arial"/>
          <w:sz w:val="24"/>
          <w:szCs w:val="24"/>
          <w:u w:val="single"/>
        </w:rPr>
        <w:t xml:space="preserve"> requisições desta CPI</w:t>
      </w:r>
      <w:r w:rsidRPr="00394F74">
        <w:rPr>
          <w:rFonts w:ascii="Arial" w:hAnsi="Arial" w:cs="Arial"/>
          <w:sz w:val="24"/>
          <w:szCs w:val="24"/>
        </w:rPr>
        <w:t>;</w:t>
      </w:r>
    </w:p>
    <w:p w14:paraId="06815D7D" w14:textId="77777777" w:rsidR="009B1AD0" w:rsidRPr="00394F74" w:rsidRDefault="009B1AD0" w:rsidP="009B1AD0">
      <w:pPr>
        <w:pStyle w:val="PargrafodaLista"/>
        <w:numPr>
          <w:ilvl w:val="1"/>
          <w:numId w:val="58"/>
        </w:numPr>
        <w:spacing w:line="360" w:lineRule="auto"/>
        <w:jc w:val="both"/>
        <w:rPr>
          <w:rFonts w:ascii="Arial" w:hAnsi="Arial" w:cs="Arial"/>
          <w:sz w:val="24"/>
          <w:szCs w:val="24"/>
        </w:rPr>
      </w:pPr>
      <w:r w:rsidRPr="00394F74">
        <w:rPr>
          <w:rFonts w:ascii="Arial" w:hAnsi="Arial" w:cs="Arial"/>
          <w:b/>
          <w:sz w:val="24"/>
          <w:szCs w:val="24"/>
        </w:rPr>
        <w:t>Essa fiscalização, quando ocorre, tem se limitado, no mais das vezes, à análise de cunho exclusivamente fiscal</w:t>
      </w:r>
      <w:r w:rsidRPr="00394F74">
        <w:rPr>
          <w:rFonts w:ascii="Arial" w:hAnsi="Arial" w:cs="Arial"/>
          <w:sz w:val="24"/>
          <w:szCs w:val="24"/>
        </w:rPr>
        <w:t>, conforme reiteradamente registrado em relatórios da Gerência de Auditoria de Indústria e Atacado da Superintendência da Receita Estadual, fiscalizações essas que têm sido realizadas pelo mesmo auditor fiscal em se tratando das mesmas empresas por eles auditadas;</w:t>
      </w:r>
    </w:p>
    <w:p w14:paraId="2BEC27C7" w14:textId="77777777" w:rsidR="009B1AD0" w:rsidRPr="00394F74" w:rsidRDefault="009B1AD0" w:rsidP="009B1AD0">
      <w:pPr>
        <w:pStyle w:val="PargrafodaLista"/>
        <w:numPr>
          <w:ilvl w:val="1"/>
          <w:numId w:val="58"/>
        </w:numPr>
        <w:spacing w:line="360" w:lineRule="auto"/>
        <w:jc w:val="both"/>
        <w:rPr>
          <w:rFonts w:ascii="Arial" w:hAnsi="Arial" w:cs="Arial"/>
          <w:sz w:val="24"/>
          <w:szCs w:val="24"/>
        </w:rPr>
      </w:pPr>
      <w:r w:rsidRPr="00394F74">
        <w:rPr>
          <w:rFonts w:ascii="Arial" w:hAnsi="Arial" w:cs="Arial"/>
          <w:b/>
          <w:sz w:val="24"/>
          <w:szCs w:val="24"/>
        </w:rPr>
        <w:t xml:space="preserve">Ausência de vistoria </w:t>
      </w:r>
      <w:r w:rsidRPr="00394F74">
        <w:rPr>
          <w:rFonts w:ascii="Arial" w:hAnsi="Arial" w:cs="Arial"/>
          <w:b/>
          <w:i/>
          <w:sz w:val="24"/>
          <w:szCs w:val="24"/>
        </w:rPr>
        <w:t>in loco</w:t>
      </w:r>
      <w:r w:rsidRPr="00394F74">
        <w:rPr>
          <w:rFonts w:ascii="Arial" w:hAnsi="Arial" w:cs="Arial"/>
          <w:b/>
          <w:sz w:val="24"/>
          <w:szCs w:val="24"/>
        </w:rPr>
        <w:t xml:space="preserve"> na sede das empresas, em caráter complementar às auditorias fiscais</w:t>
      </w:r>
      <w:r w:rsidRPr="00394F74">
        <w:rPr>
          <w:rFonts w:ascii="Arial" w:hAnsi="Arial" w:cs="Arial"/>
          <w:sz w:val="24"/>
          <w:szCs w:val="24"/>
        </w:rPr>
        <w:t>, a fim de verificar se os produtos e serviços relacionados em notas fiscais apresentadas pelas empresas a título de investimentos foram de fato aplicados na expansão do complexo industrial ou em outro projeto previsto no respectivo TARE, tarefa que deveria ser executada preferencialmente por engenheiro ou outro profissional com formação específica, em conjunto com o auditor fiscal;</w:t>
      </w:r>
    </w:p>
    <w:p w14:paraId="1DBECCF2" w14:textId="77777777" w:rsidR="009B1AD0" w:rsidRPr="00394F74" w:rsidRDefault="009B1AD0" w:rsidP="009B1AD0">
      <w:pPr>
        <w:pStyle w:val="PargrafodaLista"/>
        <w:numPr>
          <w:ilvl w:val="1"/>
          <w:numId w:val="58"/>
        </w:numPr>
        <w:spacing w:line="360" w:lineRule="auto"/>
        <w:jc w:val="both"/>
        <w:rPr>
          <w:rFonts w:ascii="Arial" w:hAnsi="Arial" w:cs="Arial"/>
          <w:sz w:val="24"/>
          <w:szCs w:val="24"/>
        </w:rPr>
      </w:pPr>
      <w:r w:rsidRPr="00394F74">
        <w:rPr>
          <w:rFonts w:ascii="Arial" w:hAnsi="Arial" w:cs="Arial"/>
          <w:b/>
          <w:sz w:val="24"/>
          <w:szCs w:val="24"/>
        </w:rPr>
        <w:lastRenderedPageBreak/>
        <w:t>Nítido impasse entre a Gerência de Auditoria de Indústria e Atacado e a Gerência de Controle de Benefícios Fiscais quanto à efetiva fiscalização</w:t>
      </w:r>
      <w:r w:rsidRPr="00394F74">
        <w:rPr>
          <w:rFonts w:ascii="Arial" w:hAnsi="Arial" w:cs="Arial"/>
          <w:sz w:val="24"/>
          <w:szCs w:val="24"/>
        </w:rPr>
        <w:t xml:space="preserve">, tendo preponderado o trabalho da primeira e a inatividade da segunda, a qual alega reiteradamente carência de pessoal qualificado para vistorias </w:t>
      </w:r>
      <w:r w:rsidRPr="00394F74">
        <w:rPr>
          <w:rFonts w:ascii="Arial" w:hAnsi="Arial" w:cs="Arial"/>
          <w:i/>
          <w:sz w:val="24"/>
          <w:szCs w:val="24"/>
        </w:rPr>
        <w:t>in loco</w:t>
      </w:r>
      <w:r w:rsidRPr="00394F74">
        <w:rPr>
          <w:rFonts w:ascii="Arial" w:hAnsi="Arial" w:cs="Arial"/>
          <w:sz w:val="24"/>
          <w:szCs w:val="24"/>
        </w:rPr>
        <w:t xml:space="preserve"> e também não ser de sua atribuição e responsabilidade realizá-las, muito embora já tenha efetuado vistoria nesse sentido, conforme amostra fornecida a esta CPI;</w:t>
      </w:r>
    </w:p>
    <w:p w14:paraId="3BC9169D" w14:textId="77777777" w:rsidR="009B1AD0" w:rsidRPr="00394F74" w:rsidRDefault="009B1AD0" w:rsidP="009B1AD0">
      <w:pPr>
        <w:pStyle w:val="PargrafodaLista"/>
        <w:numPr>
          <w:ilvl w:val="1"/>
          <w:numId w:val="58"/>
        </w:numPr>
        <w:spacing w:line="360" w:lineRule="auto"/>
        <w:jc w:val="both"/>
        <w:rPr>
          <w:rFonts w:ascii="Arial" w:hAnsi="Arial" w:cs="Arial"/>
          <w:sz w:val="24"/>
          <w:szCs w:val="24"/>
        </w:rPr>
      </w:pPr>
      <w:r w:rsidRPr="00394F74">
        <w:rPr>
          <w:rFonts w:ascii="Arial" w:hAnsi="Arial" w:cs="Arial"/>
          <w:b/>
          <w:sz w:val="24"/>
          <w:szCs w:val="24"/>
        </w:rPr>
        <w:t>Fragilidade de certos relatórios fiscais que se limitam a atestar a regularidade do cumprimento das contrapartidas</w:t>
      </w:r>
      <w:r w:rsidRPr="00394F74">
        <w:rPr>
          <w:rFonts w:ascii="Arial" w:hAnsi="Arial" w:cs="Arial"/>
          <w:sz w:val="24"/>
          <w:szCs w:val="24"/>
        </w:rPr>
        <w:t>, sem tecer maiores considerações sobre o TARE e as obrigações nele previstas nem à metodologia empregada no trabalho, além da suspeição em relação ao conteúdo de outros que confirmam integralmente todos os valores apresentados pelo contribuinte;</w:t>
      </w:r>
    </w:p>
    <w:p w14:paraId="2C754F71" w14:textId="1F24A8E5" w:rsidR="009B1AD0" w:rsidRPr="00935B09" w:rsidRDefault="009B1AD0" w:rsidP="009B1AD0">
      <w:pPr>
        <w:pStyle w:val="PargrafodaLista"/>
        <w:numPr>
          <w:ilvl w:val="1"/>
          <w:numId w:val="58"/>
        </w:numPr>
        <w:spacing w:line="360" w:lineRule="auto"/>
        <w:jc w:val="both"/>
        <w:rPr>
          <w:rFonts w:ascii="Arial" w:hAnsi="Arial" w:cs="Arial"/>
          <w:sz w:val="24"/>
          <w:szCs w:val="24"/>
        </w:rPr>
      </w:pPr>
      <w:r w:rsidRPr="00394F74">
        <w:rPr>
          <w:rFonts w:ascii="Arial" w:hAnsi="Arial" w:cs="Arial"/>
          <w:b/>
          <w:sz w:val="24"/>
          <w:szCs w:val="24"/>
        </w:rPr>
        <w:t>Inexistência de programas de integridade (</w:t>
      </w:r>
      <w:r w:rsidRPr="00394F74">
        <w:rPr>
          <w:rFonts w:ascii="Arial" w:hAnsi="Arial" w:cs="Arial"/>
          <w:b/>
          <w:i/>
          <w:sz w:val="24"/>
          <w:szCs w:val="24"/>
        </w:rPr>
        <w:t>compliance</w:t>
      </w:r>
      <w:r w:rsidRPr="00394F74">
        <w:rPr>
          <w:rFonts w:ascii="Arial" w:hAnsi="Arial" w:cs="Arial"/>
          <w:b/>
          <w:sz w:val="24"/>
          <w:szCs w:val="24"/>
        </w:rPr>
        <w:t>) público</w:t>
      </w:r>
      <w:r w:rsidRPr="00394F74">
        <w:rPr>
          <w:rFonts w:ascii="Arial" w:hAnsi="Arial" w:cs="Arial"/>
          <w:sz w:val="24"/>
          <w:szCs w:val="24"/>
        </w:rPr>
        <w:t xml:space="preserve">, </w:t>
      </w:r>
      <w:r w:rsidR="00935B09">
        <w:rPr>
          <w:rFonts w:ascii="Arial" w:hAnsi="Arial" w:cs="Arial"/>
          <w:sz w:val="24"/>
          <w:szCs w:val="24"/>
        </w:rPr>
        <w:t>que perpasse todas as fases do processo de análise acerca da concessão e fruição de incentivos fiscais,</w:t>
      </w:r>
      <w:r w:rsidR="00935B09" w:rsidRPr="00F21181">
        <w:rPr>
          <w:rFonts w:ascii="Arial" w:hAnsi="Arial" w:cs="Arial"/>
          <w:sz w:val="24"/>
          <w:szCs w:val="24"/>
        </w:rPr>
        <w:t xml:space="preserve"> </w:t>
      </w:r>
      <w:r w:rsidR="00935B09">
        <w:rPr>
          <w:rFonts w:ascii="Arial" w:hAnsi="Arial" w:cs="Arial"/>
          <w:sz w:val="24"/>
          <w:szCs w:val="24"/>
        </w:rPr>
        <w:t xml:space="preserve">que </w:t>
      </w:r>
      <w:r w:rsidR="00935B09" w:rsidRPr="00F21181">
        <w:rPr>
          <w:rFonts w:ascii="Arial" w:hAnsi="Arial" w:cs="Arial"/>
          <w:sz w:val="24"/>
          <w:szCs w:val="24"/>
        </w:rPr>
        <w:t>detect</w:t>
      </w:r>
      <w:r w:rsidR="00935B09">
        <w:rPr>
          <w:rFonts w:ascii="Arial" w:hAnsi="Arial" w:cs="Arial"/>
          <w:sz w:val="24"/>
          <w:szCs w:val="24"/>
        </w:rPr>
        <w:t>e situações suspeitas e alerte</w:t>
      </w:r>
      <w:r w:rsidR="00935B09" w:rsidRPr="00F21181">
        <w:rPr>
          <w:rFonts w:ascii="Arial" w:hAnsi="Arial" w:cs="Arial"/>
          <w:sz w:val="24"/>
          <w:szCs w:val="24"/>
        </w:rPr>
        <w:t xml:space="preserve"> as autoridades competentes para adoção de procedimentos de revisão e de conferência das auditorias consideradas “fora do padrão”</w:t>
      </w:r>
      <w:r w:rsidR="00935B09">
        <w:rPr>
          <w:rFonts w:ascii="Arial" w:hAnsi="Arial" w:cs="Arial"/>
          <w:sz w:val="24"/>
          <w:szCs w:val="24"/>
        </w:rPr>
        <w:t xml:space="preserve"> e outras providências pertinentes</w:t>
      </w:r>
      <w:r w:rsidRPr="00935B09">
        <w:rPr>
          <w:rFonts w:ascii="Arial" w:hAnsi="Arial" w:cs="Arial"/>
          <w:sz w:val="24"/>
          <w:szCs w:val="24"/>
        </w:rPr>
        <w:t>;</w:t>
      </w:r>
    </w:p>
    <w:p w14:paraId="0330FC9E" w14:textId="6142C46A" w:rsidR="00935B09" w:rsidRPr="00935B09" w:rsidRDefault="00935B09" w:rsidP="009B1AD0">
      <w:pPr>
        <w:pStyle w:val="PargrafodaLista"/>
        <w:numPr>
          <w:ilvl w:val="1"/>
          <w:numId w:val="58"/>
        </w:numPr>
        <w:spacing w:line="360" w:lineRule="auto"/>
        <w:jc w:val="both"/>
        <w:rPr>
          <w:rFonts w:ascii="Arial" w:hAnsi="Arial" w:cs="Arial"/>
          <w:sz w:val="24"/>
          <w:szCs w:val="24"/>
        </w:rPr>
      </w:pPr>
      <w:r w:rsidRPr="00935B09">
        <w:rPr>
          <w:rFonts w:ascii="Arial" w:hAnsi="Arial" w:cs="Arial"/>
          <w:b/>
          <w:sz w:val="24"/>
          <w:szCs w:val="24"/>
        </w:rPr>
        <w:t>Ausência de exigência de programa de integridade (</w:t>
      </w:r>
      <w:r w:rsidRPr="00935B09">
        <w:rPr>
          <w:rFonts w:ascii="Arial" w:hAnsi="Arial" w:cs="Arial"/>
          <w:b/>
          <w:i/>
          <w:sz w:val="24"/>
          <w:szCs w:val="24"/>
        </w:rPr>
        <w:t>compliance</w:t>
      </w:r>
      <w:r w:rsidRPr="00935B09">
        <w:rPr>
          <w:rFonts w:ascii="Arial" w:hAnsi="Arial" w:cs="Arial"/>
          <w:b/>
          <w:sz w:val="24"/>
          <w:szCs w:val="24"/>
        </w:rPr>
        <w:t>) no âmbito das empresas beneficiárias</w:t>
      </w:r>
      <w:r w:rsidRPr="00935B09">
        <w:rPr>
          <w:rFonts w:ascii="Arial" w:hAnsi="Arial" w:cs="Arial"/>
          <w:sz w:val="24"/>
          <w:szCs w:val="24"/>
        </w:rPr>
        <w:t xml:space="preserve"> a partir de determinado porte econômico como requisito para fruição de incentivos fiscais;</w:t>
      </w:r>
    </w:p>
    <w:p w14:paraId="2B7563B1" w14:textId="77777777" w:rsidR="009B1AD0" w:rsidRDefault="009B1AD0" w:rsidP="009B1AD0">
      <w:pPr>
        <w:pStyle w:val="PargrafodaLista"/>
        <w:numPr>
          <w:ilvl w:val="1"/>
          <w:numId w:val="58"/>
        </w:numPr>
        <w:spacing w:line="360" w:lineRule="auto"/>
        <w:jc w:val="both"/>
        <w:rPr>
          <w:rFonts w:ascii="Arial" w:hAnsi="Arial" w:cs="Arial"/>
          <w:sz w:val="24"/>
          <w:szCs w:val="24"/>
        </w:rPr>
      </w:pPr>
      <w:r w:rsidRPr="00394F74">
        <w:rPr>
          <w:rFonts w:ascii="Arial" w:hAnsi="Arial" w:cs="Arial"/>
          <w:b/>
          <w:sz w:val="24"/>
          <w:szCs w:val="24"/>
        </w:rPr>
        <w:t>Deficiência na verificação de certos requisitos previstos nos TARE’s, como quanto à aquisição no mercado interno</w:t>
      </w:r>
      <w:r w:rsidRPr="00394F74">
        <w:rPr>
          <w:rFonts w:ascii="Arial" w:hAnsi="Arial" w:cs="Arial"/>
          <w:sz w:val="24"/>
          <w:szCs w:val="24"/>
        </w:rPr>
        <w:t xml:space="preserve"> de insumos e de outros produtos necessários ao projeto, isto é, localizados no Estado de Goiás;</w:t>
      </w:r>
    </w:p>
    <w:p w14:paraId="517E3545" w14:textId="77777777" w:rsidR="009B1AD0" w:rsidRDefault="009B1AD0" w:rsidP="009B1AD0">
      <w:pPr>
        <w:pStyle w:val="PargrafodaLista"/>
        <w:numPr>
          <w:ilvl w:val="1"/>
          <w:numId w:val="58"/>
        </w:numPr>
        <w:spacing w:line="360" w:lineRule="auto"/>
        <w:jc w:val="both"/>
        <w:rPr>
          <w:rFonts w:ascii="Arial" w:hAnsi="Arial" w:cs="Arial"/>
          <w:sz w:val="24"/>
          <w:szCs w:val="24"/>
        </w:rPr>
      </w:pPr>
      <w:r w:rsidRPr="00394F74">
        <w:rPr>
          <w:rFonts w:ascii="Arial" w:hAnsi="Arial" w:cs="Arial"/>
          <w:b/>
          <w:sz w:val="24"/>
          <w:szCs w:val="24"/>
        </w:rPr>
        <w:t>Ausência de aferição de requisitos gerais de fruição dos incentivos fiscais, como a regularidade fiscal e outros aspectos</w:t>
      </w:r>
      <w:r w:rsidRPr="00394F74">
        <w:rPr>
          <w:rFonts w:ascii="Arial" w:hAnsi="Arial" w:cs="Arial"/>
          <w:sz w:val="24"/>
          <w:szCs w:val="24"/>
        </w:rPr>
        <w:t>, o que permite que empresas fruam os benefícios mesmo em débito com o próprio fisco estadual.</w:t>
      </w:r>
    </w:p>
    <w:p w14:paraId="0F815984" w14:textId="38F21114" w:rsidR="009B1AD0" w:rsidRDefault="009B1AD0" w:rsidP="009B1AD0">
      <w:pPr>
        <w:spacing w:line="360" w:lineRule="auto"/>
        <w:jc w:val="both"/>
        <w:rPr>
          <w:rFonts w:ascii="Arial" w:hAnsi="Arial" w:cs="Arial"/>
          <w:b/>
          <w:sz w:val="24"/>
          <w:szCs w:val="24"/>
        </w:rPr>
      </w:pPr>
    </w:p>
    <w:p w14:paraId="39860B93" w14:textId="77777777" w:rsidR="00AE7781" w:rsidRDefault="00AE7781" w:rsidP="009B1AD0">
      <w:pPr>
        <w:spacing w:line="360" w:lineRule="auto"/>
        <w:jc w:val="both"/>
        <w:rPr>
          <w:rFonts w:ascii="Arial" w:hAnsi="Arial" w:cs="Arial"/>
          <w:b/>
          <w:sz w:val="24"/>
          <w:szCs w:val="24"/>
        </w:rPr>
      </w:pPr>
    </w:p>
    <w:p w14:paraId="7053D526" w14:textId="77777777" w:rsidR="009B1AD0" w:rsidRPr="00394F74" w:rsidRDefault="009B1AD0" w:rsidP="009B1AD0">
      <w:pPr>
        <w:pStyle w:val="PargrafodaLista"/>
        <w:numPr>
          <w:ilvl w:val="1"/>
          <w:numId w:val="54"/>
        </w:numPr>
        <w:spacing w:line="360" w:lineRule="auto"/>
        <w:jc w:val="both"/>
        <w:rPr>
          <w:rFonts w:ascii="Arial" w:hAnsi="Arial" w:cs="Arial"/>
          <w:b/>
          <w:sz w:val="24"/>
          <w:szCs w:val="24"/>
        </w:rPr>
      </w:pPr>
      <w:r w:rsidRPr="00394F74">
        <w:rPr>
          <w:rFonts w:ascii="Arial" w:hAnsi="Arial" w:cs="Arial"/>
          <w:b/>
          <w:sz w:val="24"/>
          <w:szCs w:val="24"/>
        </w:rPr>
        <w:lastRenderedPageBreak/>
        <w:t>RELACIONADAS AOS REQUISITOS GERAIS DE FRUIÇÃO DE INCENTIVOS FISCAIS (REGULARIDADE FISCAL, COM A SEGURIDADE SOCIAL, AMBIENTAL E AUSÊNCIA DE DISCRIMINAÇÃO CONTRA O TRABALHADOR)</w:t>
      </w:r>
    </w:p>
    <w:p w14:paraId="5B24F57C" w14:textId="77777777" w:rsidR="009B1AD0" w:rsidRDefault="009B1AD0" w:rsidP="009B1AD0">
      <w:pPr>
        <w:spacing w:line="360" w:lineRule="auto"/>
        <w:ind w:firstLine="851"/>
        <w:jc w:val="both"/>
        <w:rPr>
          <w:rFonts w:ascii="Arial" w:hAnsi="Arial" w:cs="Arial"/>
          <w:sz w:val="24"/>
          <w:szCs w:val="24"/>
        </w:rPr>
      </w:pPr>
    </w:p>
    <w:p w14:paraId="33EA786E" w14:textId="77777777" w:rsidR="009B1AD0" w:rsidRPr="00394F74" w:rsidRDefault="009B1AD0" w:rsidP="009B1AD0">
      <w:pPr>
        <w:pStyle w:val="PargrafodaLista"/>
        <w:numPr>
          <w:ilvl w:val="2"/>
          <w:numId w:val="54"/>
        </w:numPr>
        <w:spacing w:line="360" w:lineRule="auto"/>
        <w:jc w:val="both"/>
        <w:rPr>
          <w:rFonts w:ascii="Arial" w:hAnsi="Arial" w:cs="Arial"/>
          <w:b/>
          <w:sz w:val="24"/>
          <w:szCs w:val="24"/>
          <w:u w:val="single"/>
        </w:rPr>
      </w:pPr>
      <w:r w:rsidRPr="00394F74">
        <w:rPr>
          <w:rFonts w:ascii="Arial" w:hAnsi="Arial" w:cs="Arial"/>
          <w:b/>
          <w:sz w:val="24"/>
          <w:szCs w:val="24"/>
          <w:u w:val="single"/>
        </w:rPr>
        <w:t>Regularidade Fiscal</w:t>
      </w:r>
    </w:p>
    <w:p w14:paraId="451ADA65" w14:textId="77777777" w:rsidR="009B1AD0" w:rsidRDefault="009B1AD0" w:rsidP="009B1AD0">
      <w:pPr>
        <w:spacing w:line="360" w:lineRule="auto"/>
        <w:ind w:firstLine="851"/>
        <w:jc w:val="both"/>
        <w:rPr>
          <w:rFonts w:ascii="Arial" w:hAnsi="Arial" w:cs="Arial"/>
          <w:sz w:val="24"/>
          <w:szCs w:val="24"/>
        </w:rPr>
      </w:pPr>
    </w:p>
    <w:p w14:paraId="323924A4" w14:textId="77777777" w:rsidR="009B1AD0" w:rsidRPr="00E03AC8" w:rsidRDefault="009B1AD0" w:rsidP="009B1AD0">
      <w:pPr>
        <w:spacing w:line="360" w:lineRule="auto"/>
        <w:ind w:firstLine="851"/>
        <w:jc w:val="both"/>
        <w:rPr>
          <w:rFonts w:ascii="Arial" w:hAnsi="Arial" w:cs="Arial"/>
          <w:b/>
          <w:sz w:val="24"/>
          <w:szCs w:val="24"/>
        </w:rPr>
      </w:pPr>
      <w:r w:rsidRPr="00E03AC8">
        <w:rPr>
          <w:rFonts w:ascii="Arial" w:hAnsi="Arial" w:cs="Arial"/>
          <w:sz w:val="24"/>
          <w:szCs w:val="24"/>
        </w:rPr>
        <w:t xml:space="preserve">Em relação aos os </w:t>
      </w:r>
      <w:r w:rsidRPr="00E03AC8">
        <w:rPr>
          <w:rFonts w:ascii="Arial" w:hAnsi="Arial" w:cs="Arial"/>
          <w:b/>
          <w:sz w:val="24"/>
          <w:szCs w:val="24"/>
        </w:rPr>
        <w:t>arts. 1º e 5º do Anexo IX do RCTE/GO e as leis FOMENTAR e PRODUZIR e dos créditos outorgados, que exigem a regularidade fiscal dos beneficiários de incentivos fiscais, apurou-se que:</w:t>
      </w:r>
    </w:p>
    <w:p w14:paraId="553F7A26" w14:textId="77777777" w:rsidR="009B1AD0" w:rsidRPr="000B3E65" w:rsidRDefault="009B1AD0" w:rsidP="009B1AD0">
      <w:pPr>
        <w:spacing w:line="360" w:lineRule="auto"/>
        <w:ind w:firstLine="851"/>
        <w:jc w:val="both"/>
        <w:rPr>
          <w:rFonts w:ascii="Arial" w:hAnsi="Arial" w:cs="Arial"/>
          <w:b/>
          <w:sz w:val="24"/>
          <w:szCs w:val="24"/>
        </w:rPr>
      </w:pPr>
    </w:p>
    <w:p w14:paraId="7F3DE416" w14:textId="77777777" w:rsidR="009B1AD0" w:rsidRDefault="009B1AD0" w:rsidP="009B1AD0">
      <w:pPr>
        <w:pStyle w:val="PargrafodaLista"/>
        <w:numPr>
          <w:ilvl w:val="0"/>
          <w:numId w:val="59"/>
        </w:numPr>
        <w:spacing w:line="360" w:lineRule="auto"/>
        <w:jc w:val="both"/>
        <w:rPr>
          <w:rFonts w:ascii="Arial" w:hAnsi="Arial" w:cs="Arial"/>
          <w:sz w:val="24"/>
          <w:szCs w:val="24"/>
        </w:rPr>
      </w:pPr>
      <w:r w:rsidRPr="00E03AC8">
        <w:rPr>
          <w:rFonts w:ascii="Arial" w:hAnsi="Arial" w:cs="Arial"/>
          <w:b/>
          <w:sz w:val="24"/>
          <w:szCs w:val="24"/>
        </w:rPr>
        <w:t>há substancial descontrole acerca da observância da regularidade fiscal por parte das empresas beneficiárias. Nem a Secretaria de Indústria e Comércio nem a de Economia possuem qualquer sistema ou rotina de acompanhamento periódico acerca da manutenção da regularidade fiscal por parte das empresas beneficiárias de incentivos fiscais no Estado de Goiás</w:t>
      </w:r>
      <w:r w:rsidRPr="00E03AC8">
        <w:rPr>
          <w:rFonts w:ascii="Arial" w:hAnsi="Arial" w:cs="Arial"/>
          <w:sz w:val="24"/>
          <w:szCs w:val="24"/>
        </w:rPr>
        <w:t>, em relação àquelas que fruem os benefícios dos Programas Fomentar e Produzir e àquelas que fruem créditos outorgados e outras espécies de incentivos fiscais;</w:t>
      </w:r>
    </w:p>
    <w:p w14:paraId="0464097F" w14:textId="77777777" w:rsidR="009B1AD0" w:rsidRPr="00394F74" w:rsidRDefault="009B1AD0" w:rsidP="009B1AD0">
      <w:pPr>
        <w:pStyle w:val="PargrafodaLista"/>
        <w:numPr>
          <w:ilvl w:val="0"/>
          <w:numId w:val="59"/>
        </w:numPr>
        <w:spacing w:line="360" w:lineRule="auto"/>
        <w:jc w:val="both"/>
        <w:rPr>
          <w:rFonts w:ascii="Arial" w:hAnsi="Arial" w:cs="Arial"/>
          <w:sz w:val="24"/>
          <w:szCs w:val="24"/>
        </w:rPr>
      </w:pPr>
      <w:r w:rsidRPr="00394F74">
        <w:rPr>
          <w:rFonts w:ascii="Arial" w:hAnsi="Arial" w:cs="Arial"/>
          <w:sz w:val="24"/>
          <w:szCs w:val="24"/>
        </w:rPr>
        <w:t xml:space="preserve">mesmo pessoas jurídicas consideradas </w:t>
      </w:r>
      <w:r w:rsidRPr="00394F74">
        <w:rPr>
          <w:rFonts w:ascii="Arial" w:hAnsi="Arial" w:cs="Arial"/>
          <w:b/>
          <w:sz w:val="24"/>
          <w:szCs w:val="24"/>
        </w:rPr>
        <w:t>“devedores contumazes” do Estado de Goiás fruíram incentivos fiscais no período objeto de apuração desta CPI</w:t>
      </w:r>
      <w:r w:rsidRPr="00394F74">
        <w:rPr>
          <w:rFonts w:ascii="Arial" w:hAnsi="Arial" w:cs="Arial"/>
          <w:sz w:val="24"/>
          <w:szCs w:val="24"/>
        </w:rPr>
        <w:t xml:space="preserve"> (2014 a 2018);</w:t>
      </w:r>
    </w:p>
    <w:p w14:paraId="0CCCF706" w14:textId="77777777" w:rsidR="009B1AD0" w:rsidRPr="00E03AC8" w:rsidRDefault="009B1AD0" w:rsidP="009B1AD0">
      <w:pPr>
        <w:pStyle w:val="PargrafodaLista"/>
        <w:numPr>
          <w:ilvl w:val="0"/>
          <w:numId w:val="59"/>
        </w:numPr>
        <w:spacing w:line="360" w:lineRule="auto"/>
        <w:jc w:val="both"/>
        <w:rPr>
          <w:rFonts w:ascii="Arial" w:hAnsi="Arial" w:cs="Arial"/>
          <w:sz w:val="24"/>
          <w:szCs w:val="24"/>
        </w:rPr>
      </w:pPr>
      <w:r w:rsidRPr="00394F74">
        <w:rPr>
          <w:rFonts w:ascii="Arial" w:hAnsi="Arial" w:cs="Arial"/>
          <w:b/>
          <w:sz w:val="24"/>
          <w:szCs w:val="24"/>
        </w:rPr>
        <w:t>empresas em débito com o Estado de Goiás podem continuar a fruir incentivos fiscais e aderir a longos parcelamentos de suas dívidas</w:t>
      </w:r>
      <w:r w:rsidRPr="00394F74">
        <w:rPr>
          <w:rFonts w:ascii="Arial" w:hAnsi="Arial" w:cs="Arial"/>
          <w:sz w:val="24"/>
          <w:szCs w:val="24"/>
        </w:rPr>
        <w:t>.</w:t>
      </w:r>
    </w:p>
    <w:p w14:paraId="2E2D6943" w14:textId="77777777" w:rsidR="009B1AD0" w:rsidRDefault="009B1AD0" w:rsidP="009B1AD0">
      <w:pPr>
        <w:spacing w:line="360" w:lineRule="auto"/>
        <w:jc w:val="both"/>
        <w:rPr>
          <w:rFonts w:ascii="Arial" w:hAnsi="Arial" w:cs="Arial"/>
          <w:sz w:val="24"/>
          <w:szCs w:val="24"/>
        </w:rPr>
      </w:pPr>
    </w:p>
    <w:p w14:paraId="1F2BFF24" w14:textId="77777777" w:rsidR="009B1AD0" w:rsidRPr="00394F74" w:rsidRDefault="009B1AD0" w:rsidP="009B1AD0">
      <w:pPr>
        <w:pStyle w:val="PargrafodaLista"/>
        <w:numPr>
          <w:ilvl w:val="2"/>
          <w:numId w:val="54"/>
        </w:numPr>
        <w:spacing w:line="360" w:lineRule="auto"/>
        <w:jc w:val="both"/>
        <w:rPr>
          <w:rFonts w:ascii="Arial" w:hAnsi="Arial" w:cs="Arial"/>
          <w:b/>
          <w:sz w:val="24"/>
          <w:szCs w:val="24"/>
          <w:u w:val="single"/>
        </w:rPr>
      </w:pPr>
      <w:r w:rsidRPr="00394F74">
        <w:rPr>
          <w:rFonts w:ascii="Arial" w:hAnsi="Arial" w:cs="Arial"/>
          <w:b/>
          <w:sz w:val="24"/>
          <w:szCs w:val="24"/>
          <w:u w:val="single"/>
        </w:rPr>
        <w:t>Regularidade com a Seguridade Social</w:t>
      </w:r>
    </w:p>
    <w:p w14:paraId="75E7CCB6" w14:textId="77777777" w:rsidR="009B1AD0" w:rsidRDefault="009B1AD0" w:rsidP="009B1AD0">
      <w:pPr>
        <w:spacing w:line="360" w:lineRule="auto"/>
        <w:ind w:firstLine="851"/>
        <w:jc w:val="both"/>
        <w:rPr>
          <w:rFonts w:ascii="Arial" w:hAnsi="Arial" w:cs="Arial"/>
          <w:sz w:val="24"/>
          <w:szCs w:val="24"/>
        </w:rPr>
      </w:pPr>
    </w:p>
    <w:p w14:paraId="58A54AA4" w14:textId="38173A7D" w:rsidR="009B1AD0" w:rsidRPr="00E03AC8" w:rsidRDefault="009B1AD0" w:rsidP="009B1AD0">
      <w:pPr>
        <w:spacing w:line="360" w:lineRule="auto"/>
        <w:ind w:firstLine="851"/>
        <w:jc w:val="both"/>
        <w:rPr>
          <w:rFonts w:ascii="Arial" w:hAnsi="Arial" w:cs="Arial"/>
          <w:sz w:val="24"/>
          <w:szCs w:val="24"/>
        </w:rPr>
      </w:pPr>
      <w:r w:rsidRPr="00E03AC8">
        <w:rPr>
          <w:rFonts w:ascii="Arial" w:hAnsi="Arial" w:cs="Arial"/>
          <w:sz w:val="24"/>
          <w:szCs w:val="24"/>
        </w:rPr>
        <w:t>Quanto à vedação de pessoa jurídica em débito com o sistema da seguridade social receber benefícios ou incentivos fiscais (</w:t>
      </w:r>
      <w:r w:rsidR="00526F29" w:rsidRPr="00E03AC8">
        <w:rPr>
          <w:rFonts w:ascii="Arial" w:hAnsi="Arial" w:cs="Arial"/>
          <w:sz w:val="24"/>
          <w:szCs w:val="24"/>
        </w:rPr>
        <w:t>C</w:t>
      </w:r>
      <w:r w:rsidR="00526F29">
        <w:rPr>
          <w:rFonts w:ascii="Arial" w:hAnsi="Arial" w:cs="Arial"/>
          <w:sz w:val="24"/>
          <w:szCs w:val="24"/>
        </w:rPr>
        <w:t>R</w:t>
      </w:r>
      <w:r w:rsidR="00526F29" w:rsidRPr="00E03AC8">
        <w:rPr>
          <w:rFonts w:ascii="Arial" w:hAnsi="Arial" w:cs="Arial"/>
          <w:sz w:val="24"/>
          <w:szCs w:val="24"/>
        </w:rPr>
        <w:t>F</w:t>
      </w:r>
      <w:r w:rsidR="00526F29">
        <w:rPr>
          <w:rFonts w:ascii="Arial" w:hAnsi="Arial" w:cs="Arial"/>
          <w:sz w:val="24"/>
          <w:szCs w:val="24"/>
        </w:rPr>
        <w:t>B,</w:t>
      </w:r>
      <w:r w:rsidR="00526F29" w:rsidRPr="00E03AC8">
        <w:rPr>
          <w:rFonts w:ascii="Arial" w:hAnsi="Arial" w:cs="Arial"/>
          <w:sz w:val="24"/>
          <w:szCs w:val="24"/>
        </w:rPr>
        <w:t xml:space="preserve"> </w:t>
      </w:r>
      <w:r w:rsidRPr="00E03AC8">
        <w:rPr>
          <w:rFonts w:ascii="Arial" w:hAnsi="Arial" w:cs="Arial"/>
          <w:sz w:val="24"/>
          <w:szCs w:val="24"/>
        </w:rPr>
        <w:t>art. 195, § 3º), co</w:t>
      </w:r>
      <w:r>
        <w:rPr>
          <w:rFonts w:ascii="Arial" w:hAnsi="Arial" w:cs="Arial"/>
          <w:sz w:val="24"/>
          <w:szCs w:val="24"/>
        </w:rPr>
        <w:t>mp</w:t>
      </w:r>
      <w:r w:rsidRPr="00E03AC8">
        <w:rPr>
          <w:rFonts w:ascii="Arial" w:hAnsi="Arial" w:cs="Arial"/>
          <w:sz w:val="24"/>
          <w:szCs w:val="24"/>
        </w:rPr>
        <w:t>r</w:t>
      </w:r>
      <w:r>
        <w:rPr>
          <w:rFonts w:ascii="Arial" w:hAnsi="Arial" w:cs="Arial"/>
          <w:sz w:val="24"/>
          <w:szCs w:val="24"/>
        </w:rPr>
        <w:t>ovo</w:t>
      </w:r>
      <w:r w:rsidRPr="00E03AC8">
        <w:rPr>
          <w:rFonts w:ascii="Arial" w:hAnsi="Arial" w:cs="Arial"/>
          <w:sz w:val="24"/>
          <w:szCs w:val="24"/>
        </w:rPr>
        <w:t>u-se que</w:t>
      </w:r>
      <w:r>
        <w:rPr>
          <w:rFonts w:ascii="Arial" w:hAnsi="Arial" w:cs="Arial"/>
          <w:sz w:val="24"/>
          <w:szCs w:val="24"/>
        </w:rPr>
        <w:t xml:space="preserve">, </w:t>
      </w:r>
      <w:r w:rsidR="002339DD" w:rsidRPr="0030334B">
        <w:rPr>
          <w:rFonts w:ascii="Arial" w:hAnsi="Arial" w:cs="Arial"/>
          <w:sz w:val="24"/>
          <w:szCs w:val="24"/>
        </w:rPr>
        <w:t>uma vez formalizado o TARE relativo a incentivos fiscais</w:t>
      </w:r>
      <w:r>
        <w:rPr>
          <w:rFonts w:ascii="Arial" w:hAnsi="Arial" w:cs="Arial"/>
          <w:sz w:val="24"/>
          <w:szCs w:val="24"/>
        </w:rPr>
        <w:t>,</w:t>
      </w:r>
      <w:r w:rsidRPr="00E03AC8">
        <w:rPr>
          <w:rFonts w:ascii="Arial" w:hAnsi="Arial" w:cs="Arial"/>
          <w:sz w:val="24"/>
          <w:szCs w:val="24"/>
        </w:rPr>
        <w:t xml:space="preserve"> </w:t>
      </w:r>
      <w:r w:rsidRPr="00E03AC8">
        <w:rPr>
          <w:rFonts w:ascii="Arial" w:hAnsi="Arial" w:cs="Arial"/>
          <w:b/>
          <w:sz w:val="24"/>
          <w:szCs w:val="24"/>
        </w:rPr>
        <w:t xml:space="preserve">não há </w:t>
      </w:r>
      <w:r>
        <w:rPr>
          <w:rFonts w:ascii="Arial" w:hAnsi="Arial" w:cs="Arial"/>
          <w:b/>
          <w:sz w:val="24"/>
          <w:szCs w:val="24"/>
        </w:rPr>
        <w:t xml:space="preserve">mais </w:t>
      </w:r>
      <w:r w:rsidRPr="00E03AC8">
        <w:rPr>
          <w:rFonts w:ascii="Arial" w:hAnsi="Arial" w:cs="Arial"/>
          <w:b/>
          <w:sz w:val="24"/>
          <w:szCs w:val="24"/>
        </w:rPr>
        <w:t xml:space="preserve">qualquer verificação em relação à regularidade previdenciária das empresas beneficiárias </w:t>
      </w:r>
      <w:r w:rsidRPr="00E03AC8">
        <w:rPr>
          <w:rFonts w:ascii="Arial" w:hAnsi="Arial" w:cs="Arial"/>
          <w:b/>
          <w:sz w:val="24"/>
          <w:szCs w:val="24"/>
        </w:rPr>
        <w:lastRenderedPageBreak/>
        <w:t>de incentivos fiscais no Estado de Goiás</w:t>
      </w:r>
      <w:r w:rsidRPr="00E03AC8">
        <w:rPr>
          <w:rFonts w:ascii="Arial" w:hAnsi="Arial" w:cs="Arial"/>
          <w:sz w:val="24"/>
          <w:szCs w:val="24"/>
        </w:rPr>
        <w:t xml:space="preserve">, o que não causa espanto, diante do demonstrado no tópico anterior. </w:t>
      </w:r>
    </w:p>
    <w:p w14:paraId="582D5E67" w14:textId="77777777" w:rsidR="009B1AD0" w:rsidRDefault="009B1AD0" w:rsidP="009B1AD0">
      <w:pPr>
        <w:spacing w:line="360" w:lineRule="auto"/>
        <w:jc w:val="both"/>
        <w:rPr>
          <w:rFonts w:ascii="Arial" w:hAnsi="Arial" w:cs="Arial"/>
          <w:sz w:val="24"/>
          <w:szCs w:val="24"/>
        </w:rPr>
      </w:pPr>
    </w:p>
    <w:p w14:paraId="5F8B73AD" w14:textId="77777777" w:rsidR="009B1AD0" w:rsidRPr="00394F74" w:rsidRDefault="009B1AD0" w:rsidP="009B1AD0">
      <w:pPr>
        <w:pStyle w:val="PargrafodaLista"/>
        <w:numPr>
          <w:ilvl w:val="2"/>
          <w:numId w:val="54"/>
        </w:numPr>
        <w:spacing w:line="360" w:lineRule="auto"/>
        <w:jc w:val="both"/>
        <w:rPr>
          <w:rFonts w:ascii="Arial" w:hAnsi="Arial" w:cs="Arial"/>
          <w:b/>
          <w:sz w:val="24"/>
          <w:szCs w:val="24"/>
          <w:u w:val="single"/>
        </w:rPr>
      </w:pPr>
      <w:r w:rsidRPr="00394F74">
        <w:rPr>
          <w:rFonts w:ascii="Arial" w:hAnsi="Arial" w:cs="Arial"/>
          <w:b/>
          <w:sz w:val="24"/>
          <w:szCs w:val="24"/>
          <w:u w:val="single"/>
        </w:rPr>
        <w:t>Regularidade Ambiental</w:t>
      </w:r>
    </w:p>
    <w:p w14:paraId="03E1A106" w14:textId="77777777" w:rsidR="009B1AD0" w:rsidRDefault="009B1AD0" w:rsidP="009B1AD0">
      <w:pPr>
        <w:spacing w:line="360" w:lineRule="auto"/>
        <w:ind w:firstLine="851"/>
        <w:jc w:val="both"/>
        <w:rPr>
          <w:rFonts w:ascii="Arial" w:hAnsi="Arial" w:cs="Arial"/>
          <w:sz w:val="24"/>
          <w:szCs w:val="24"/>
        </w:rPr>
      </w:pPr>
    </w:p>
    <w:p w14:paraId="01EB093F" w14:textId="77777777" w:rsidR="009B1AD0" w:rsidRPr="00E03AC8" w:rsidRDefault="009B1AD0" w:rsidP="009B1AD0">
      <w:pPr>
        <w:spacing w:line="360" w:lineRule="auto"/>
        <w:ind w:firstLine="851"/>
        <w:jc w:val="both"/>
        <w:rPr>
          <w:rFonts w:ascii="Arial" w:hAnsi="Arial" w:cs="Arial"/>
          <w:sz w:val="24"/>
          <w:szCs w:val="24"/>
        </w:rPr>
      </w:pPr>
      <w:r w:rsidRPr="00E03AC8">
        <w:rPr>
          <w:rFonts w:ascii="Arial" w:hAnsi="Arial" w:cs="Arial"/>
          <w:sz w:val="24"/>
          <w:szCs w:val="24"/>
        </w:rPr>
        <w:t xml:space="preserve">Ainda se apurou a </w:t>
      </w:r>
      <w:r w:rsidRPr="00E03AC8">
        <w:rPr>
          <w:rFonts w:ascii="Arial" w:hAnsi="Arial" w:cs="Arial"/>
          <w:b/>
          <w:sz w:val="24"/>
          <w:szCs w:val="24"/>
        </w:rPr>
        <w:t>inobservância da vedação de concessão de incentivos fiscais para atividades efetiva ou potencialmente poluidoras em desacordo com as normas de proteção ambiental</w:t>
      </w:r>
      <w:r w:rsidRPr="00E03AC8">
        <w:rPr>
          <w:rFonts w:ascii="Arial" w:hAnsi="Arial" w:cs="Arial"/>
          <w:sz w:val="24"/>
          <w:szCs w:val="24"/>
        </w:rPr>
        <w:t>, constante do § 4º do art. 132 da CE/GO, além do completo desprezo ao disposto no inciso III do art. 25 da Lei nº 18.102/2013.</w:t>
      </w:r>
    </w:p>
    <w:p w14:paraId="30CE73DB" w14:textId="77777777" w:rsidR="009B1AD0" w:rsidRDefault="009B1AD0" w:rsidP="009B1AD0">
      <w:pPr>
        <w:spacing w:line="360" w:lineRule="auto"/>
        <w:jc w:val="both"/>
        <w:rPr>
          <w:rFonts w:ascii="Arial" w:hAnsi="Arial" w:cs="Arial"/>
          <w:sz w:val="24"/>
          <w:szCs w:val="24"/>
        </w:rPr>
      </w:pPr>
    </w:p>
    <w:p w14:paraId="7B3F545A" w14:textId="38E3A384" w:rsidR="009B1AD0" w:rsidRPr="00394F74" w:rsidRDefault="00AE7781" w:rsidP="009B1AD0">
      <w:pPr>
        <w:pStyle w:val="PargrafodaLista"/>
        <w:numPr>
          <w:ilvl w:val="2"/>
          <w:numId w:val="54"/>
        </w:numPr>
        <w:spacing w:line="360" w:lineRule="auto"/>
        <w:jc w:val="both"/>
        <w:rPr>
          <w:rFonts w:ascii="Arial" w:hAnsi="Arial" w:cs="Arial"/>
          <w:b/>
          <w:sz w:val="24"/>
          <w:szCs w:val="24"/>
          <w:u w:val="single"/>
        </w:rPr>
      </w:pPr>
      <w:r>
        <w:rPr>
          <w:rFonts w:ascii="Arial" w:hAnsi="Arial" w:cs="Arial"/>
          <w:b/>
          <w:sz w:val="24"/>
          <w:szCs w:val="24"/>
          <w:u w:val="single"/>
        </w:rPr>
        <w:t>Ausência de Discriminação c</w:t>
      </w:r>
      <w:r w:rsidR="009B1AD0" w:rsidRPr="00394F74">
        <w:rPr>
          <w:rFonts w:ascii="Arial" w:hAnsi="Arial" w:cs="Arial"/>
          <w:b/>
          <w:sz w:val="24"/>
          <w:szCs w:val="24"/>
          <w:u w:val="single"/>
        </w:rPr>
        <w:t>ontra o Trabalhador</w:t>
      </w:r>
    </w:p>
    <w:p w14:paraId="4793EF97" w14:textId="77777777" w:rsidR="009B1AD0" w:rsidRDefault="009B1AD0" w:rsidP="009B1AD0">
      <w:pPr>
        <w:spacing w:line="360" w:lineRule="auto"/>
        <w:ind w:firstLine="851"/>
        <w:jc w:val="both"/>
        <w:rPr>
          <w:rFonts w:ascii="Arial" w:hAnsi="Arial" w:cs="Arial"/>
          <w:sz w:val="24"/>
          <w:szCs w:val="24"/>
        </w:rPr>
      </w:pPr>
    </w:p>
    <w:p w14:paraId="115B471B" w14:textId="77777777" w:rsidR="009B1AD0" w:rsidRPr="00E03AC8" w:rsidRDefault="009B1AD0" w:rsidP="009B1AD0">
      <w:pPr>
        <w:spacing w:line="360" w:lineRule="auto"/>
        <w:ind w:firstLine="851"/>
        <w:jc w:val="both"/>
        <w:rPr>
          <w:rFonts w:ascii="Arial" w:hAnsi="Arial" w:cs="Arial"/>
          <w:sz w:val="24"/>
          <w:szCs w:val="24"/>
        </w:rPr>
      </w:pPr>
      <w:r w:rsidRPr="00E03AC8">
        <w:rPr>
          <w:rFonts w:ascii="Arial" w:hAnsi="Arial" w:cs="Arial"/>
          <w:sz w:val="24"/>
          <w:szCs w:val="24"/>
        </w:rPr>
        <w:t>Por fim, de modo similar à exigência de regularidade ambiental, o art. 136, § 2º, da CE/GO prevê ser vedado o recebimento de incentivos fiscais por parte de empresas em relação às quais se verifique qualquer forma de discriminação contra o trabalhador, nos seguintes termos:</w:t>
      </w:r>
    </w:p>
    <w:p w14:paraId="75C382B7" w14:textId="77777777" w:rsidR="009B1AD0" w:rsidRPr="000B3E65" w:rsidRDefault="009B1AD0" w:rsidP="009B1AD0">
      <w:pPr>
        <w:spacing w:line="360" w:lineRule="auto"/>
        <w:ind w:firstLine="851"/>
        <w:jc w:val="both"/>
        <w:rPr>
          <w:rFonts w:ascii="Arial" w:hAnsi="Arial" w:cs="Arial"/>
          <w:sz w:val="24"/>
          <w:szCs w:val="24"/>
        </w:rPr>
      </w:pPr>
    </w:p>
    <w:p w14:paraId="687A9140" w14:textId="77777777" w:rsidR="009B1AD0" w:rsidRPr="00394F74" w:rsidRDefault="009B1AD0" w:rsidP="009B1AD0">
      <w:pPr>
        <w:pStyle w:val="PargrafodaLista"/>
        <w:ind w:left="2268"/>
        <w:jc w:val="both"/>
        <w:rPr>
          <w:rFonts w:ascii="Arial" w:hAnsi="Arial" w:cs="Arial"/>
          <w:sz w:val="22"/>
          <w:szCs w:val="24"/>
        </w:rPr>
      </w:pPr>
      <w:r w:rsidRPr="00394F74">
        <w:rPr>
          <w:rFonts w:ascii="Arial" w:hAnsi="Arial" w:cs="Arial"/>
          <w:b/>
          <w:bCs/>
          <w:sz w:val="22"/>
          <w:szCs w:val="24"/>
        </w:rPr>
        <w:t>Art. 136</w:t>
      </w:r>
      <w:r w:rsidRPr="00394F74">
        <w:rPr>
          <w:rFonts w:ascii="Arial" w:hAnsi="Arial" w:cs="Arial"/>
          <w:sz w:val="22"/>
          <w:szCs w:val="24"/>
        </w:rPr>
        <w:t> - Como agente e regulador da atividade econômica, o Estado exercerá, na forma da lei, as funções de fiscalização, incentivo e planejamento, sendo este determinante para o setor público e indicativo para o privado.</w:t>
      </w:r>
    </w:p>
    <w:p w14:paraId="41233E4F" w14:textId="77777777" w:rsidR="009B1AD0" w:rsidRPr="00394F74" w:rsidRDefault="009B1AD0" w:rsidP="009B1AD0">
      <w:pPr>
        <w:pStyle w:val="PargrafodaLista"/>
        <w:ind w:left="2268"/>
        <w:jc w:val="both"/>
        <w:rPr>
          <w:rFonts w:ascii="Arial" w:hAnsi="Arial" w:cs="Arial"/>
          <w:sz w:val="22"/>
          <w:szCs w:val="24"/>
        </w:rPr>
      </w:pPr>
      <w:r w:rsidRPr="00394F74">
        <w:rPr>
          <w:rFonts w:ascii="Arial" w:hAnsi="Arial" w:cs="Arial"/>
          <w:sz w:val="22"/>
          <w:szCs w:val="24"/>
        </w:rPr>
        <w:t>[...]</w:t>
      </w:r>
    </w:p>
    <w:p w14:paraId="001A326C" w14:textId="77777777" w:rsidR="009B1AD0" w:rsidRPr="00394F74" w:rsidRDefault="009B1AD0" w:rsidP="009B1AD0">
      <w:pPr>
        <w:pStyle w:val="PargrafodaLista"/>
        <w:ind w:left="2268"/>
        <w:jc w:val="both"/>
        <w:rPr>
          <w:rFonts w:ascii="Arial" w:hAnsi="Arial" w:cs="Arial"/>
          <w:sz w:val="22"/>
          <w:szCs w:val="24"/>
        </w:rPr>
      </w:pPr>
      <w:r w:rsidRPr="00394F74">
        <w:rPr>
          <w:rFonts w:ascii="Arial" w:hAnsi="Arial" w:cs="Arial"/>
          <w:sz w:val="22"/>
          <w:szCs w:val="24"/>
        </w:rPr>
        <w:t>§ 2º -</w:t>
      </w:r>
      <w:r w:rsidRPr="00394F74">
        <w:rPr>
          <w:rFonts w:ascii="Arial" w:hAnsi="Arial" w:cs="Arial"/>
          <w:b/>
          <w:sz w:val="22"/>
          <w:szCs w:val="24"/>
        </w:rPr>
        <w:t xml:space="preserve"> </w:t>
      </w:r>
      <w:r w:rsidRPr="00394F74">
        <w:rPr>
          <w:rFonts w:ascii="Arial" w:hAnsi="Arial" w:cs="Arial"/>
          <w:sz w:val="22"/>
          <w:szCs w:val="24"/>
        </w:rPr>
        <w:t>O Estado não dará incentivos fiscais ou outras vantagens correlatas a empresas em cuja</w:t>
      </w:r>
      <w:r w:rsidRPr="00394F74">
        <w:rPr>
          <w:rFonts w:ascii="Arial" w:hAnsi="Arial" w:cs="Arial"/>
          <w:b/>
          <w:sz w:val="22"/>
          <w:szCs w:val="24"/>
        </w:rPr>
        <w:t xml:space="preserve"> atividade se comprove qualquer forma de discriminação contra o trabalhador</w:t>
      </w:r>
      <w:r w:rsidRPr="00394F74">
        <w:rPr>
          <w:rFonts w:ascii="Arial" w:hAnsi="Arial" w:cs="Arial"/>
          <w:sz w:val="22"/>
          <w:szCs w:val="24"/>
        </w:rPr>
        <w:t>.</w:t>
      </w:r>
    </w:p>
    <w:p w14:paraId="080D04EC" w14:textId="77777777" w:rsidR="009B1AD0" w:rsidRPr="000B3E65" w:rsidRDefault="009B1AD0" w:rsidP="009B1AD0">
      <w:pPr>
        <w:spacing w:line="360" w:lineRule="auto"/>
        <w:ind w:firstLine="851"/>
        <w:jc w:val="both"/>
        <w:rPr>
          <w:rFonts w:ascii="Arial" w:hAnsi="Arial" w:cs="Arial"/>
          <w:sz w:val="24"/>
          <w:szCs w:val="24"/>
        </w:rPr>
      </w:pPr>
    </w:p>
    <w:p w14:paraId="7682813D" w14:textId="77777777" w:rsidR="009B1AD0" w:rsidRPr="00E03AC8" w:rsidRDefault="009B1AD0" w:rsidP="009B1AD0">
      <w:pPr>
        <w:spacing w:line="360" w:lineRule="auto"/>
        <w:ind w:firstLine="851"/>
        <w:jc w:val="both"/>
        <w:rPr>
          <w:rFonts w:ascii="Arial" w:hAnsi="Arial" w:cs="Arial"/>
          <w:b/>
          <w:sz w:val="24"/>
          <w:szCs w:val="24"/>
        </w:rPr>
      </w:pPr>
      <w:r w:rsidRPr="00E03AC8">
        <w:rPr>
          <w:rFonts w:ascii="Arial" w:hAnsi="Arial" w:cs="Arial"/>
          <w:sz w:val="24"/>
          <w:szCs w:val="24"/>
        </w:rPr>
        <w:t xml:space="preserve">Por meio dos Ofícios nºs 7.923/2019-Economia e 1.531/2019-SIC (fl. 334), </w:t>
      </w:r>
      <w:r w:rsidRPr="00E03AC8">
        <w:rPr>
          <w:rFonts w:ascii="Arial" w:hAnsi="Arial" w:cs="Arial"/>
          <w:b/>
          <w:sz w:val="24"/>
          <w:szCs w:val="24"/>
        </w:rPr>
        <w:t>as respectivas pastas não apontaram nenhuma exigência específica na concessão de incentivos fiscais, deixando de conferir efetividade ao mencionado dispositivo constitucional.</w:t>
      </w:r>
    </w:p>
    <w:p w14:paraId="07A4EF86" w14:textId="41302602" w:rsidR="009B1AD0" w:rsidRDefault="009B1AD0" w:rsidP="009B1AD0">
      <w:pPr>
        <w:spacing w:line="360" w:lineRule="auto"/>
        <w:ind w:firstLine="851"/>
        <w:jc w:val="both"/>
        <w:rPr>
          <w:rFonts w:ascii="Arial" w:hAnsi="Arial" w:cs="Arial"/>
          <w:b/>
          <w:sz w:val="24"/>
          <w:szCs w:val="24"/>
        </w:rPr>
      </w:pPr>
    </w:p>
    <w:p w14:paraId="6F2EE713" w14:textId="482DA332" w:rsidR="00AE7781" w:rsidRDefault="00AE7781" w:rsidP="009B1AD0">
      <w:pPr>
        <w:spacing w:line="360" w:lineRule="auto"/>
        <w:ind w:firstLine="851"/>
        <w:jc w:val="both"/>
        <w:rPr>
          <w:rFonts w:ascii="Arial" w:hAnsi="Arial" w:cs="Arial"/>
          <w:b/>
          <w:sz w:val="24"/>
          <w:szCs w:val="24"/>
        </w:rPr>
      </w:pPr>
    </w:p>
    <w:p w14:paraId="19DA851D" w14:textId="670AE501" w:rsidR="00AE7781" w:rsidRDefault="00AE7781" w:rsidP="009B1AD0">
      <w:pPr>
        <w:spacing w:line="360" w:lineRule="auto"/>
        <w:ind w:firstLine="851"/>
        <w:jc w:val="both"/>
        <w:rPr>
          <w:rFonts w:ascii="Arial" w:hAnsi="Arial" w:cs="Arial"/>
          <w:b/>
          <w:sz w:val="24"/>
          <w:szCs w:val="24"/>
        </w:rPr>
      </w:pPr>
    </w:p>
    <w:p w14:paraId="280051A6" w14:textId="4D536CA1" w:rsidR="00AE7781" w:rsidRDefault="00AE7781" w:rsidP="009B1AD0">
      <w:pPr>
        <w:spacing w:line="360" w:lineRule="auto"/>
        <w:ind w:firstLine="851"/>
        <w:jc w:val="both"/>
        <w:rPr>
          <w:rFonts w:ascii="Arial" w:hAnsi="Arial" w:cs="Arial"/>
          <w:b/>
          <w:sz w:val="24"/>
          <w:szCs w:val="24"/>
        </w:rPr>
      </w:pPr>
    </w:p>
    <w:p w14:paraId="147B3CB3" w14:textId="77777777" w:rsidR="00AE7781" w:rsidRDefault="00AE7781" w:rsidP="009B1AD0">
      <w:pPr>
        <w:spacing w:line="360" w:lineRule="auto"/>
        <w:ind w:firstLine="851"/>
        <w:jc w:val="both"/>
        <w:rPr>
          <w:rFonts w:ascii="Arial" w:hAnsi="Arial" w:cs="Arial"/>
          <w:b/>
          <w:sz w:val="24"/>
          <w:szCs w:val="24"/>
        </w:rPr>
      </w:pPr>
    </w:p>
    <w:p w14:paraId="5D85A14C" w14:textId="77777777" w:rsidR="009B1AD0" w:rsidRPr="00394F74" w:rsidRDefault="009B1AD0" w:rsidP="009B1AD0">
      <w:pPr>
        <w:pStyle w:val="PargrafodaLista"/>
        <w:numPr>
          <w:ilvl w:val="1"/>
          <w:numId w:val="54"/>
        </w:numPr>
        <w:spacing w:line="360" w:lineRule="auto"/>
        <w:jc w:val="both"/>
        <w:rPr>
          <w:rFonts w:ascii="Arial" w:hAnsi="Arial" w:cs="Arial"/>
          <w:b/>
          <w:sz w:val="24"/>
          <w:szCs w:val="24"/>
        </w:rPr>
      </w:pPr>
      <w:r w:rsidRPr="00394F74">
        <w:rPr>
          <w:rFonts w:ascii="Arial" w:hAnsi="Arial" w:cs="Arial"/>
          <w:b/>
          <w:sz w:val="24"/>
          <w:szCs w:val="24"/>
        </w:rPr>
        <w:lastRenderedPageBreak/>
        <w:t xml:space="preserve">RELACIONADAS AOS DEMAIS ACHADOS DESTA CPI </w:t>
      </w:r>
    </w:p>
    <w:p w14:paraId="6A89D499" w14:textId="77777777" w:rsidR="009B1AD0" w:rsidRPr="000B3E65" w:rsidRDefault="009B1AD0" w:rsidP="009B1AD0">
      <w:pPr>
        <w:spacing w:line="360" w:lineRule="auto"/>
        <w:ind w:firstLine="851"/>
        <w:jc w:val="both"/>
        <w:rPr>
          <w:rFonts w:ascii="Arial" w:hAnsi="Arial" w:cs="Arial"/>
          <w:sz w:val="24"/>
          <w:szCs w:val="24"/>
        </w:rPr>
      </w:pPr>
    </w:p>
    <w:p w14:paraId="44ADD251" w14:textId="77777777" w:rsidR="009B1AD0" w:rsidRPr="00E03AC8" w:rsidRDefault="009B1AD0" w:rsidP="009B1AD0">
      <w:pPr>
        <w:spacing w:line="360" w:lineRule="auto"/>
        <w:ind w:firstLine="851"/>
        <w:jc w:val="both"/>
        <w:rPr>
          <w:rFonts w:ascii="Arial" w:hAnsi="Arial" w:cs="Arial"/>
          <w:sz w:val="24"/>
          <w:szCs w:val="24"/>
        </w:rPr>
      </w:pPr>
      <w:r w:rsidRPr="00E03AC8">
        <w:rPr>
          <w:rFonts w:ascii="Arial" w:hAnsi="Arial" w:cs="Arial"/>
          <w:sz w:val="24"/>
          <w:szCs w:val="24"/>
        </w:rPr>
        <w:t>Ao longo desta CPI, várias outras situações foram identificadas e que merecem a devida e profunda apuração pelos órgãos competentes, notadamente as relativas a pessoas jurídicas que fruem incentivos fiscais:</w:t>
      </w:r>
    </w:p>
    <w:p w14:paraId="5B6A3402" w14:textId="77777777" w:rsidR="009B1AD0" w:rsidRPr="00E03AC8" w:rsidRDefault="009B1AD0" w:rsidP="009B1AD0">
      <w:pPr>
        <w:pStyle w:val="PargrafodaLista"/>
        <w:numPr>
          <w:ilvl w:val="0"/>
          <w:numId w:val="60"/>
        </w:numPr>
        <w:spacing w:line="360" w:lineRule="auto"/>
        <w:jc w:val="both"/>
        <w:rPr>
          <w:rFonts w:ascii="Arial" w:hAnsi="Arial" w:cs="Arial"/>
          <w:sz w:val="24"/>
          <w:szCs w:val="24"/>
        </w:rPr>
      </w:pPr>
      <w:r w:rsidRPr="00E03AC8">
        <w:rPr>
          <w:rFonts w:ascii="Arial" w:hAnsi="Arial" w:cs="Arial"/>
          <w:b/>
          <w:bCs/>
          <w:sz w:val="24"/>
          <w:szCs w:val="24"/>
          <w:u w:val="single"/>
        </w:rPr>
        <w:t>em cuja razão social aparecia a sigla ME ou EPP</w:t>
      </w:r>
      <w:r w:rsidRPr="00E03AC8">
        <w:rPr>
          <w:rFonts w:ascii="Arial" w:hAnsi="Arial" w:cs="Arial"/>
          <w:b/>
          <w:bCs/>
          <w:sz w:val="24"/>
          <w:szCs w:val="24"/>
        </w:rPr>
        <w:t>, em relação fornecida pela Secretaria de Estado da Economia (Ofício nº 2.756/2019-Economia, p. 7/60)</w:t>
      </w:r>
      <w:r w:rsidRPr="00E03AC8">
        <w:rPr>
          <w:rFonts w:ascii="Arial" w:hAnsi="Arial" w:cs="Arial"/>
          <w:sz w:val="24"/>
          <w:szCs w:val="24"/>
        </w:rPr>
        <w:t xml:space="preserve">, como indicativo de se tratar de microempresa ou empresa de pequeno porte, </w:t>
      </w:r>
      <w:r w:rsidRPr="00E03AC8">
        <w:rPr>
          <w:rFonts w:ascii="Arial" w:hAnsi="Arial" w:cs="Arial"/>
          <w:sz w:val="24"/>
          <w:szCs w:val="24"/>
          <w:u w:val="single"/>
        </w:rPr>
        <w:t>mas</w:t>
      </w:r>
      <w:r w:rsidRPr="00E03AC8">
        <w:rPr>
          <w:rFonts w:ascii="Arial" w:hAnsi="Arial" w:cs="Arial"/>
          <w:bCs/>
          <w:sz w:val="24"/>
          <w:szCs w:val="24"/>
          <w:u w:val="single"/>
        </w:rPr>
        <w:t xml:space="preserve"> que fruíram incentivos fiscais aparentemente incompatíveis com o limite de receita bruta especificado nesse diploma legal para enquadramento no regime do Simples Nacional</w:t>
      </w:r>
      <w:r w:rsidRPr="00DD556E">
        <w:rPr>
          <w:rFonts w:ascii="Arial" w:hAnsi="Arial" w:cs="Arial"/>
          <w:bCs/>
          <w:sz w:val="24"/>
          <w:szCs w:val="24"/>
        </w:rPr>
        <w:t xml:space="preserve">, </w:t>
      </w:r>
      <w:r w:rsidRPr="00E03AC8">
        <w:rPr>
          <w:rFonts w:ascii="Arial" w:hAnsi="Arial" w:cs="Arial"/>
          <w:sz w:val="24"/>
          <w:szCs w:val="24"/>
        </w:rPr>
        <w:t>nos termos da Lei Complementar federal (LCf) nº 123/2006 (item 9.1 deste relatório)</w:t>
      </w:r>
      <w:r w:rsidRPr="00E03AC8">
        <w:rPr>
          <w:rFonts w:ascii="Arial" w:hAnsi="Arial" w:cs="Arial"/>
          <w:bCs/>
          <w:sz w:val="24"/>
          <w:szCs w:val="24"/>
        </w:rPr>
        <w:t>;</w:t>
      </w:r>
    </w:p>
    <w:p w14:paraId="145A0E9D" w14:textId="631976FB" w:rsidR="009B1AD0" w:rsidRPr="00394F74" w:rsidRDefault="009B1AD0" w:rsidP="009B1AD0">
      <w:pPr>
        <w:pStyle w:val="PargrafodaLista"/>
        <w:numPr>
          <w:ilvl w:val="0"/>
          <w:numId w:val="60"/>
        </w:numPr>
        <w:spacing w:line="360" w:lineRule="auto"/>
        <w:jc w:val="both"/>
        <w:rPr>
          <w:rFonts w:ascii="Arial" w:hAnsi="Arial" w:cs="Arial"/>
          <w:sz w:val="24"/>
          <w:szCs w:val="24"/>
        </w:rPr>
      </w:pPr>
      <w:r w:rsidRPr="00394F74">
        <w:rPr>
          <w:rFonts w:ascii="Arial" w:hAnsi="Arial" w:cs="Arial"/>
          <w:b/>
          <w:sz w:val="24"/>
          <w:szCs w:val="24"/>
          <w:u w:val="single"/>
        </w:rPr>
        <w:t>com alto custo anual médio de emprego</w:t>
      </w:r>
      <w:r w:rsidRPr="00394F74">
        <w:rPr>
          <w:rFonts w:ascii="Arial" w:hAnsi="Arial" w:cs="Arial"/>
          <w:sz w:val="24"/>
          <w:szCs w:val="24"/>
        </w:rPr>
        <w:t xml:space="preserve">, chamando a atenção desta CPI (três) grupos de empresas, nos quais cada emprego custou uma média anual: </w:t>
      </w:r>
      <w:r w:rsidRPr="00394F74">
        <w:rPr>
          <w:rFonts w:ascii="Arial" w:hAnsi="Arial" w:cs="Arial"/>
          <w:sz w:val="24"/>
          <w:szCs w:val="24"/>
          <w:u w:val="single"/>
        </w:rPr>
        <w:t>a) entre R$ 2</w:t>
      </w:r>
      <w:r w:rsidR="002318F3">
        <w:rPr>
          <w:rFonts w:ascii="Arial" w:hAnsi="Arial" w:cs="Arial"/>
          <w:sz w:val="24"/>
          <w:szCs w:val="24"/>
          <w:u w:val="single"/>
        </w:rPr>
        <w:t>5</w:t>
      </w:r>
      <w:r w:rsidRPr="00394F74">
        <w:rPr>
          <w:rFonts w:ascii="Arial" w:hAnsi="Arial" w:cs="Arial"/>
          <w:sz w:val="24"/>
          <w:szCs w:val="24"/>
          <w:u w:val="single"/>
        </w:rPr>
        <w:t>0.000,00 (duzentos</w:t>
      </w:r>
      <w:r w:rsidR="002318F3">
        <w:rPr>
          <w:rFonts w:ascii="Arial" w:hAnsi="Arial" w:cs="Arial"/>
          <w:sz w:val="24"/>
          <w:szCs w:val="24"/>
          <w:u w:val="single"/>
        </w:rPr>
        <w:t xml:space="preserve"> e cinquenta</w:t>
      </w:r>
      <w:r w:rsidRPr="00394F74">
        <w:rPr>
          <w:rFonts w:ascii="Arial" w:hAnsi="Arial" w:cs="Arial"/>
          <w:sz w:val="24"/>
          <w:szCs w:val="24"/>
          <w:u w:val="single"/>
        </w:rPr>
        <w:t xml:space="preserve"> mil reais)</w:t>
      </w:r>
      <w:r w:rsidRPr="00394F74">
        <w:rPr>
          <w:rFonts w:ascii="Arial" w:hAnsi="Arial" w:cs="Arial"/>
          <w:sz w:val="24"/>
          <w:szCs w:val="24"/>
        </w:rPr>
        <w:t xml:space="preserve"> e R$ 1.000.000,00 (um milhão de reais); </w:t>
      </w:r>
      <w:r w:rsidRPr="00394F74">
        <w:rPr>
          <w:rFonts w:ascii="Arial" w:hAnsi="Arial" w:cs="Arial"/>
          <w:sz w:val="24"/>
          <w:szCs w:val="24"/>
          <w:u w:val="single"/>
        </w:rPr>
        <w:t>b) entre R$ 1.000.000,01</w:t>
      </w:r>
      <w:r w:rsidRPr="00394F74">
        <w:rPr>
          <w:rFonts w:ascii="Arial" w:hAnsi="Arial" w:cs="Arial"/>
          <w:sz w:val="24"/>
          <w:szCs w:val="24"/>
        </w:rPr>
        <w:t xml:space="preserve"> (um milhão de reais e um centavo) a R$ 10.000.000,00 (dez milhões de reais); </w:t>
      </w:r>
      <w:r w:rsidRPr="00394F74">
        <w:rPr>
          <w:rFonts w:ascii="Arial" w:hAnsi="Arial" w:cs="Arial"/>
          <w:sz w:val="24"/>
          <w:szCs w:val="24"/>
          <w:u w:val="single"/>
        </w:rPr>
        <w:t>c) superior a R$ 10.000.000,00</w:t>
      </w:r>
      <w:r w:rsidRPr="00394F74">
        <w:rPr>
          <w:rFonts w:ascii="Arial" w:hAnsi="Arial" w:cs="Arial"/>
          <w:sz w:val="24"/>
          <w:szCs w:val="24"/>
        </w:rPr>
        <w:t xml:space="preserve"> (dez milhões de reais);</w:t>
      </w:r>
    </w:p>
    <w:p w14:paraId="5DEF675D" w14:textId="77777777" w:rsidR="009B1AD0" w:rsidRPr="00394F74" w:rsidRDefault="009B1AD0" w:rsidP="009B1AD0">
      <w:pPr>
        <w:pStyle w:val="PargrafodaLista"/>
        <w:numPr>
          <w:ilvl w:val="0"/>
          <w:numId w:val="60"/>
        </w:numPr>
        <w:spacing w:line="360" w:lineRule="auto"/>
        <w:jc w:val="both"/>
        <w:rPr>
          <w:rFonts w:ascii="Arial" w:hAnsi="Arial" w:cs="Arial"/>
          <w:sz w:val="24"/>
          <w:szCs w:val="24"/>
        </w:rPr>
      </w:pPr>
      <w:r w:rsidRPr="00394F74">
        <w:rPr>
          <w:rFonts w:ascii="Arial" w:hAnsi="Arial" w:cs="Arial"/>
          <w:b/>
          <w:bCs/>
          <w:sz w:val="24"/>
          <w:szCs w:val="24"/>
          <w:u w:val="single"/>
        </w:rPr>
        <w:t>por força de regime especial, mas sem especificação do ato legal ou normativo autorizativo</w:t>
      </w:r>
      <w:r w:rsidRPr="00394F74">
        <w:rPr>
          <w:rFonts w:ascii="Arial" w:hAnsi="Arial" w:cs="Arial"/>
          <w:bCs/>
          <w:sz w:val="24"/>
          <w:szCs w:val="24"/>
        </w:rPr>
        <w:t>, conforme relação fornecida pela Secretaria de Estado da Economia (Ofício nº 2.756/2019-Economia, p. 328/325), nos termos do item 9.3 deste relatório;</w:t>
      </w:r>
    </w:p>
    <w:p w14:paraId="445D3BD1" w14:textId="77777777" w:rsidR="009B1AD0" w:rsidRPr="00394F74" w:rsidRDefault="009B1AD0" w:rsidP="009B1AD0">
      <w:pPr>
        <w:pStyle w:val="PargrafodaLista"/>
        <w:numPr>
          <w:ilvl w:val="0"/>
          <w:numId w:val="60"/>
        </w:numPr>
        <w:spacing w:line="360" w:lineRule="auto"/>
        <w:jc w:val="both"/>
        <w:rPr>
          <w:rFonts w:ascii="Arial" w:hAnsi="Arial" w:cs="Arial"/>
          <w:sz w:val="24"/>
          <w:szCs w:val="24"/>
        </w:rPr>
      </w:pPr>
      <w:r w:rsidRPr="00394F74">
        <w:rPr>
          <w:rFonts w:ascii="Arial" w:hAnsi="Arial" w:cs="Arial"/>
          <w:b/>
          <w:sz w:val="24"/>
          <w:szCs w:val="24"/>
          <w:u w:val="single"/>
        </w:rPr>
        <w:t>do ramo da mineração, em relação ao qual se verificaram as seguintes distorções principais</w:t>
      </w:r>
      <w:r w:rsidRPr="00394F74">
        <w:rPr>
          <w:rFonts w:ascii="Arial" w:hAnsi="Arial" w:cs="Arial"/>
          <w:sz w:val="24"/>
          <w:szCs w:val="24"/>
        </w:rPr>
        <w:t>:</w:t>
      </w:r>
    </w:p>
    <w:p w14:paraId="47CCA362" w14:textId="77777777" w:rsidR="009B1AD0" w:rsidRDefault="009B1AD0" w:rsidP="009B1AD0">
      <w:pPr>
        <w:pStyle w:val="PargrafodaLista"/>
        <w:numPr>
          <w:ilvl w:val="1"/>
          <w:numId w:val="60"/>
        </w:numPr>
        <w:spacing w:line="360" w:lineRule="auto"/>
        <w:jc w:val="both"/>
        <w:rPr>
          <w:rFonts w:ascii="Arial" w:hAnsi="Arial" w:cs="Arial"/>
          <w:sz w:val="24"/>
          <w:szCs w:val="24"/>
        </w:rPr>
      </w:pPr>
      <w:r w:rsidRPr="00394F74">
        <w:rPr>
          <w:rFonts w:ascii="Arial" w:hAnsi="Arial" w:cs="Arial"/>
          <w:sz w:val="24"/>
          <w:szCs w:val="24"/>
        </w:rPr>
        <w:t xml:space="preserve">empresas fruindo incentivos fiscais (notadamente crédito outorgado) previstos </w:t>
      </w:r>
      <w:r w:rsidRPr="00394F74">
        <w:rPr>
          <w:rFonts w:ascii="Arial" w:hAnsi="Arial" w:cs="Arial"/>
          <w:b/>
          <w:sz w:val="24"/>
          <w:szCs w:val="24"/>
        </w:rPr>
        <w:t>exclusivamente em TARE’s</w:t>
      </w:r>
      <w:r w:rsidRPr="00394F74">
        <w:rPr>
          <w:rFonts w:ascii="Arial" w:hAnsi="Arial" w:cs="Arial"/>
          <w:sz w:val="24"/>
          <w:szCs w:val="24"/>
        </w:rPr>
        <w:t xml:space="preserve">, isto é, sem qualquer outro respaldo legal, e também com possível descumprimento aos </w:t>
      </w:r>
      <w:r w:rsidRPr="00394F74">
        <w:rPr>
          <w:rFonts w:ascii="Arial" w:hAnsi="Arial" w:cs="Arial"/>
          <w:b/>
          <w:sz w:val="24"/>
          <w:szCs w:val="24"/>
        </w:rPr>
        <w:t>requisitos de regularidade fiscal estadual e previdenciária</w:t>
      </w:r>
      <w:r w:rsidRPr="00394F74">
        <w:rPr>
          <w:rFonts w:ascii="Arial" w:hAnsi="Arial" w:cs="Arial"/>
          <w:sz w:val="24"/>
          <w:szCs w:val="24"/>
        </w:rPr>
        <w:t>;</w:t>
      </w:r>
    </w:p>
    <w:p w14:paraId="10A4B401" w14:textId="77777777" w:rsidR="009B1AD0" w:rsidRPr="00394F74" w:rsidRDefault="009B1AD0" w:rsidP="009B1AD0">
      <w:pPr>
        <w:pStyle w:val="PargrafodaLista"/>
        <w:numPr>
          <w:ilvl w:val="1"/>
          <w:numId w:val="60"/>
        </w:numPr>
        <w:spacing w:line="360" w:lineRule="auto"/>
        <w:jc w:val="both"/>
        <w:rPr>
          <w:rFonts w:ascii="Arial" w:hAnsi="Arial" w:cs="Arial"/>
          <w:sz w:val="24"/>
          <w:szCs w:val="24"/>
        </w:rPr>
      </w:pPr>
      <w:r w:rsidRPr="00394F74">
        <w:rPr>
          <w:rFonts w:ascii="Arial" w:hAnsi="Arial" w:cs="Arial"/>
          <w:b/>
          <w:sz w:val="24"/>
          <w:szCs w:val="24"/>
        </w:rPr>
        <w:t>grande concentração de benefícios fiscais</w:t>
      </w:r>
      <w:r w:rsidRPr="00394F74">
        <w:rPr>
          <w:rFonts w:ascii="Arial" w:hAnsi="Arial" w:cs="Arial"/>
          <w:sz w:val="24"/>
          <w:szCs w:val="24"/>
        </w:rPr>
        <w:t xml:space="preserve"> em poucas empresas;</w:t>
      </w:r>
    </w:p>
    <w:p w14:paraId="199A5632" w14:textId="77777777" w:rsidR="009B1AD0" w:rsidRPr="0091011F" w:rsidRDefault="009B1AD0" w:rsidP="009B1AD0">
      <w:pPr>
        <w:pStyle w:val="PargrafodaLista"/>
        <w:numPr>
          <w:ilvl w:val="1"/>
          <w:numId w:val="60"/>
        </w:numPr>
        <w:spacing w:line="360" w:lineRule="auto"/>
        <w:jc w:val="both"/>
        <w:rPr>
          <w:rFonts w:ascii="Arial" w:hAnsi="Arial" w:cs="Arial"/>
          <w:sz w:val="24"/>
          <w:szCs w:val="24"/>
        </w:rPr>
      </w:pPr>
      <w:r w:rsidRPr="00394F74">
        <w:rPr>
          <w:rFonts w:ascii="Arial" w:hAnsi="Arial" w:cs="Arial"/>
          <w:b/>
          <w:sz w:val="24"/>
          <w:szCs w:val="24"/>
        </w:rPr>
        <w:t>ausência de avaliação específica da política de incentivos fiscais no ramo da mineração</w:t>
      </w:r>
      <w:r w:rsidRPr="00394F74">
        <w:rPr>
          <w:rFonts w:ascii="Arial" w:hAnsi="Arial" w:cs="Arial"/>
          <w:sz w:val="24"/>
          <w:szCs w:val="24"/>
        </w:rPr>
        <w:t>, apesar de sua longa vigência de 30 (trinta) anos prevista da Lei nº 15.719/2006.</w:t>
      </w:r>
    </w:p>
    <w:p w14:paraId="50E968BF" w14:textId="77777777" w:rsidR="009B1AD0" w:rsidRDefault="009B1AD0" w:rsidP="009B1AD0">
      <w:pPr>
        <w:spacing w:line="360" w:lineRule="auto"/>
        <w:jc w:val="both"/>
        <w:rPr>
          <w:rFonts w:ascii="Arial" w:hAnsi="Arial" w:cs="Arial"/>
          <w:sz w:val="24"/>
          <w:szCs w:val="24"/>
        </w:rPr>
      </w:pPr>
    </w:p>
    <w:p w14:paraId="25644426" w14:textId="77777777" w:rsidR="009B1AD0" w:rsidRPr="00394F74" w:rsidRDefault="009B1AD0" w:rsidP="009B1AD0">
      <w:pPr>
        <w:pStyle w:val="PargrafodaLista"/>
        <w:numPr>
          <w:ilvl w:val="1"/>
          <w:numId w:val="54"/>
        </w:numPr>
        <w:spacing w:line="360" w:lineRule="auto"/>
        <w:jc w:val="both"/>
        <w:rPr>
          <w:rFonts w:ascii="Arial" w:hAnsi="Arial" w:cs="Arial"/>
          <w:b/>
          <w:sz w:val="24"/>
          <w:szCs w:val="24"/>
        </w:rPr>
      </w:pPr>
      <w:r w:rsidRPr="00394F74">
        <w:rPr>
          <w:rFonts w:ascii="Arial" w:hAnsi="Arial" w:cs="Arial"/>
          <w:b/>
          <w:sz w:val="24"/>
          <w:szCs w:val="24"/>
        </w:rPr>
        <w:t xml:space="preserve">RELACIONADAS À TRANSPARÊNCIA </w:t>
      </w:r>
    </w:p>
    <w:p w14:paraId="12973AB4" w14:textId="77777777" w:rsidR="009B1AD0" w:rsidRDefault="009B1AD0" w:rsidP="009B1AD0">
      <w:pPr>
        <w:spacing w:line="360" w:lineRule="auto"/>
        <w:jc w:val="both"/>
        <w:rPr>
          <w:rFonts w:ascii="Arial" w:hAnsi="Arial" w:cs="Arial"/>
          <w:b/>
          <w:sz w:val="24"/>
          <w:szCs w:val="24"/>
          <w:u w:val="single"/>
        </w:rPr>
      </w:pPr>
    </w:p>
    <w:p w14:paraId="4EB3B726" w14:textId="77777777" w:rsidR="009B1AD0" w:rsidRDefault="009B1AD0" w:rsidP="009B1AD0">
      <w:pPr>
        <w:pStyle w:val="PargrafodaLista"/>
        <w:numPr>
          <w:ilvl w:val="0"/>
          <w:numId w:val="61"/>
        </w:numPr>
        <w:spacing w:line="360" w:lineRule="auto"/>
        <w:jc w:val="both"/>
        <w:rPr>
          <w:rFonts w:ascii="Arial" w:hAnsi="Arial" w:cs="Arial"/>
          <w:sz w:val="24"/>
          <w:szCs w:val="24"/>
        </w:rPr>
      </w:pPr>
      <w:r w:rsidRPr="0091011F">
        <w:rPr>
          <w:rFonts w:ascii="Arial" w:hAnsi="Arial" w:cs="Arial"/>
          <w:b/>
          <w:sz w:val="24"/>
          <w:szCs w:val="24"/>
          <w:u w:val="single"/>
        </w:rPr>
        <w:t>o Estado de Goiás avançou muito em matéria de transparência</w:t>
      </w:r>
      <w:r w:rsidRPr="0091011F">
        <w:rPr>
          <w:rFonts w:ascii="Arial" w:hAnsi="Arial" w:cs="Arial"/>
          <w:sz w:val="24"/>
          <w:szCs w:val="24"/>
        </w:rPr>
        <w:t>, principalmente a partir da publicação de informações gerais sobre incentivos fiscais nas aba GESTÃO GOVERNAMENTAL E FISCAL, nos campos BENEFÍCIOS FISCAIS e TARE, divulgadas no Portal da Transparência do Governo</w:t>
      </w:r>
      <w:r>
        <w:rPr>
          <w:rFonts w:ascii="Arial" w:hAnsi="Arial" w:cs="Arial"/>
          <w:sz w:val="24"/>
          <w:szCs w:val="24"/>
        </w:rPr>
        <w:t xml:space="preserve"> desde 2016</w:t>
      </w:r>
      <w:r w:rsidRPr="0091011F">
        <w:rPr>
          <w:rFonts w:ascii="Arial" w:hAnsi="Arial" w:cs="Arial"/>
          <w:sz w:val="24"/>
          <w:szCs w:val="24"/>
        </w:rPr>
        <w:t>;</w:t>
      </w:r>
    </w:p>
    <w:p w14:paraId="5F8609A4" w14:textId="77777777" w:rsidR="009B1AD0" w:rsidRPr="00394F74" w:rsidRDefault="009B1AD0" w:rsidP="009B1AD0">
      <w:pPr>
        <w:pStyle w:val="PargrafodaLista"/>
        <w:numPr>
          <w:ilvl w:val="0"/>
          <w:numId w:val="61"/>
        </w:numPr>
        <w:spacing w:line="360" w:lineRule="auto"/>
        <w:jc w:val="both"/>
        <w:rPr>
          <w:rFonts w:ascii="Arial" w:hAnsi="Arial" w:cs="Arial"/>
          <w:sz w:val="24"/>
          <w:szCs w:val="24"/>
        </w:rPr>
      </w:pPr>
      <w:r w:rsidRPr="00394F74">
        <w:rPr>
          <w:rFonts w:ascii="Arial" w:hAnsi="Arial" w:cs="Arial"/>
          <w:b/>
          <w:sz w:val="24"/>
          <w:szCs w:val="24"/>
          <w:u w:val="single"/>
        </w:rPr>
        <w:t>essas informações, porém, revelam-se ainda insuficientes para um adequado controle sobre os incentivos fiscais</w:t>
      </w:r>
      <w:r w:rsidRPr="00394F74">
        <w:rPr>
          <w:rFonts w:ascii="Arial" w:hAnsi="Arial" w:cs="Arial"/>
          <w:sz w:val="24"/>
          <w:szCs w:val="24"/>
        </w:rPr>
        <w:t xml:space="preserve">, notadamente porque </w:t>
      </w:r>
      <w:r w:rsidRPr="00394F74">
        <w:rPr>
          <w:rFonts w:ascii="Arial" w:hAnsi="Arial" w:cs="Arial"/>
          <w:b/>
          <w:bCs/>
          <w:sz w:val="24"/>
          <w:szCs w:val="24"/>
        </w:rPr>
        <w:t>o Estado de Goiás considera sigilosas as informações referentes a incentivos fiscais que digam respeito a determinado contribuinte individualmente considerado</w:t>
      </w:r>
      <w:r w:rsidRPr="00394F74">
        <w:rPr>
          <w:rFonts w:ascii="Arial" w:hAnsi="Arial" w:cs="Arial"/>
          <w:bCs/>
          <w:sz w:val="24"/>
          <w:szCs w:val="24"/>
        </w:rPr>
        <w:t>, como valores a eles concedidos ou por eles fruídos e respectivos TARE’s firmados com o Poder Público, com base no art. 198 do CTN, tanto que até mesmo os órgãos de controle (CGE/GO, TCE/GO e MPGO) não têm obtido êxito no acesso a essas informações;</w:t>
      </w:r>
    </w:p>
    <w:p w14:paraId="342CB471" w14:textId="77777777" w:rsidR="009B1AD0" w:rsidRPr="0091011F" w:rsidRDefault="009B1AD0" w:rsidP="009B1AD0">
      <w:pPr>
        <w:pStyle w:val="PargrafodaLista"/>
        <w:numPr>
          <w:ilvl w:val="0"/>
          <w:numId w:val="61"/>
        </w:numPr>
        <w:spacing w:line="360" w:lineRule="auto"/>
        <w:jc w:val="both"/>
        <w:rPr>
          <w:rFonts w:ascii="Arial" w:hAnsi="Arial" w:cs="Arial"/>
          <w:sz w:val="24"/>
          <w:szCs w:val="24"/>
        </w:rPr>
      </w:pPr>
      <w:r w:rsidRPr="00880749">
        <w:rPr>
          <w:rFonts w:ascii="Arial" w:hAnsi="Arial" w:cs="Arial"/>
          <w:b/>
          <w:sz w:val="24"/>
          <w:szCs w:val="24"/>
          <w:u w:val="single"/>
        </w:rPr>
        <w:t>o próprio acesso ao CTE/GO, ao RCTE/GO e à legislação fiscal correlata é dificultado</w:t>
      </w:r>
      <w:r w:rsidRPr="00394F74">
        <w:rPr>
          <w:rFonts w:ascii="Arial" w:hAnsi="Arial" w:cs="Arial"/>
          <w:sz w:val="24"/>
          <w:szCs w:val="24"/>
        </w:rPr>
        <w:t>, porquanto hoje apenas existe esse acesso pela página da Secretaria de Estado da Economia e somente pelo navegador “Internet Explorer” (&lt;ftp://ftp.sefaz.go.gov.br/sefazgo/legislacao/INDICE_GERAL.htm&gt;), sem que qualquer orientação seja disponibilizada ao contribuinte quanto a esse “caminho das pedras”.</w:t>
      </w:r>
    </w:p>
    <w:p w14:paraId="3213210D" w14:textId="77777777" w:rsidR="009B1AD0" w:rsidRDefault="009B1AD0" w:rsidP="009B1AD0">
      <w:pPr>
        <w:spacing w:line="360" w:lineRule="auto"/>
        <w:jc w:val="both"/>
        <w:rPr>
          <w:rFonts w:ascii="Arial" w:hAnsi="Arial" w:cs="Arial"/>
          <w:sz w:val="24"/>
          <w:szCs w:val="24"/>
        </w:rPr>
      </w:pPr>
    </w:p>
    <w:p w14:paraId="22E7CCF0" w14:textId="77777777" w:rsidR="009B1AD0" w:rsidRPr="00394F74" w:rsidRDefault="009B1AD0" w:rsidP="009B1AD0">
      <w:pPr>
        <w:pStyle w:val="PargrafodaLista"/>
        <w:numPr>
          <w:ilvl w:val="0"/>
          <w:numId w:val="54"/>
        </w:numPr>
        <w:rPr>
          <w:rFonts w:ascii="Arial" w:hAnsi="Arial" w:cs="Arial"/>
          <w:sz w:val="24"/>
          <w:szCs w:val="24"/>
        </w:rPr>
      </w:pPr>
      <w:r w:rsidRPr="00394F74">
        <w:rPr>
          <w:rFonts w:ascii="Arial" w:hAnsi="Arial" w:cs="Arial"/>
          <w:sz w:val="24"/>
          <w:szCs w:val="24"/>
        </w:rPr>
        <w:br w:type="page"/>
      </w:r>
    </w:p>
    <w:p w14:paraId="31ADC52A" w14:textId="77777777" w:rsidR="009B1AD0" w:rsidRPr="00394F74" w:rsidRDefault="009B1AD0" w:rsidP="009B1AD0">
      <w:pPr>
        <w:spacing w:line="360" w:lineRule="auto"/>
        <w:jc w:val="both"/>
        <w:rPr>
          <w:rFonts w:ascii="Arial" w:hAnsi="Arial" w:cs="Arial"/>
          <w:b/>
          <w:vanish/>
          <w:color w:val="FFFFFF" w:themeColor="background1"/>
          <w:sz w:val="24"/>
          <w:szCs w:val="24"/>
        </w:rPr>
      </w:pPr>
    </w:p>
    <w:p w14:paraId="7271BC03" w14:textId="77777777" w:rsidR="009B1AD0" w:rsidRPr="00394F74" w:rsidRDefault="009B1AD0" w:rsidP="009B1AD0">
      <w:pPr>
        <w:pStyle w:val="PargrafodaLista"/>
        <w:numPr>
          <w:ilvl w:val="0"/>
          <w:numId w:val="62"/>
        </w:numPr>
        <w:spacing w:line="360" w:lineRule="auto"/>
        <w:jc w:val="both"/>
        <w:rPr>
          <w:rFonts w:ascii="Arial" w:hAnsi="Arial" w:cs="Arial"/>
          <w:b/>
          <w:sz w:val="24"/>
          <w:szCs w:val="24"/>
          <w:u w:val="single"/>
        </w:rPr>
      </w:pPr>
      <w:r w:rsidRPr="00394F74">
        <w:rPr>
          <w:rFonts w:ascii="Arial" w:hAnsi="Arial" w:cs="Arial"/>
          <w:b/>
          <w:sz w:val="24"/>
          <w:szCs w:val="24"/>
          <w:u w:val="single"/>
        </w:rPr>
        <w:t>PROVIDÊNCIAS E RECOMENDAÇÕES AOS PODERES E ÓRGÃOS CONSTITUCIONAIS AUTÔNOMOS EM MATÉRIA DE INCENTIVOS FISCAIS</w:t>
      </w:r>
    </w:p>
    <w:p w14:paraId="1046C48A" w14:textId="77777777" w:rsidR="009B1AD0" w:rsidRDefault="009B1AD0" w:rsidP="009B1AD0">
      <w:pPr>
        <w:spacing w:line="360" w:lineRule="auto"/>
        <w:ind w:firstLine="851"/>
        <w:jc w:val="both"/>
        <w:rPr>
          <w:rFonts w:ascii="Arial" w:hAnsi="Arial" w:cs="Arial"/>
          <w:b/>
          <w:sz w:val="24"/>
          <w:szCs w:val="24"/>
          <w:u w:val="single"/>
        </w:rPr>
      </w:pPr>
    </w:p>
    <w:p w14:paraId="05EEA8F2" w14:textId="77777777" w:rsidR="009B1AD0" w:rsidRDefault="009B1AD0" w:rsidP="009B1AD0">
      <w:pPr>
        <w:spacing w:line="360" w:lineRule="auto"/>
        <w:ind w:firstLine="851"/>
        <w:jc w:val="both"/>
        <w:rPr>
          <w:rFonts w:ascii="Arial" w:hAnsi="Arial" w:cs="Arial"/>
          <w:sz w:val="24"/>
          <w:szCs w:val="24"/>
        </w:rPr>
      </w:pPr>
      <w:r w:rsidRPr="0091011F">
        <w:rPr>
          <w:rFonts w:ascii="Arial" w:hAnsi="Arial" w:cs="Arial"/>
          <w:sz w:val="24"/>
          <w:szCs w:val="24"/>
        </w:rPr>
        <w:t xml:space="preserve">Tendo em vista a densidade de informações colhidas por esta CPI ao longo dos trabalhos, a conclusão imperiosa a que se chega é que </w:t>
      </w:r>
      <w:r w:rsidRPr="0091011F">
        <w:rPr>
          <w:rFonts w:ascii="Arial" w:hAnsi="Arial" w:cs="Arial"/>
          <w:b/>
          <w:sz w:val="24"/>
          <w:szCs w:val="24"/>
          <w:u w:val="single"/>
        </w:rPr>
        <w:t>todos os Poderes e órgãos constitucionais autônomos do Estado de Goiás devem unir esforços, em plena sinergia</w:t>
      </w:r>
      <w:r w:rsidRPr="0091011F">
        <w:rPr>
          <w:rFonts w:ascii="Arial" w:hAnsi="Arial" w:cs="Arial"/>
          <w:sz w:val="24"/>
          <w:szCs w:val="24"/>
        </w:rPr>
        <w:t xml:space="preserve">, para </w:t>
      </w:r>
      <w:r w:rsidRPr="0091011F">
        <w:rPr>
          <w:rFonts w:ascii="Arial" w:hAnsi="Arial" w:cs="Arial"/>
          <w:b/>
          <w:sz w:val="24"/>
          <w:szCs w:val="24"/>
        </w:rPr>
        <w:t>desenhar uma verdadeira política estadual de incentivos fiscais</w:t>
      </w:r>
      <w:r w:rsidRPr="0091011F">
        <w:rPr>
          <w:rFonts w:ascii="Arial" w:hAnsi="Arial" w:cs="Arial"/>
          <w:sz w:val="24"/>
          <w:szCs w:val="24"/>
        </w:rPr>
        <w:t xml:space="preserve">, com a mais absoluta </w:t>
      </w:r>
      <w:r w:rsidRPr="0091011F">
        <w:rPr>
          <w:rFonts w:ascii="Arial" w:hAnsi="Arial" w:cs="Arial"/>
          <w:b/>
          <w:sz w:val="24"/>
          <w:szCs w:val="24"/>
        </w:rPr>
        <w:t>transparência</w:t>
      </w:r>
      <w:r w:rsidRPr="0091011F">
        <w:rPr>
          <w:rFonts w:ascii="Arial" w:hAnsi="Arial" w:cs="Arial"/>
          <w:sz w:val="24"/>
          <w:szCs w:val="24"/>
        </w:rPr>
        <w:t xml:space="preserve">, além de </w:t>
      </w:r>
      <w:r w:rsidRPr="0091011F">
        <w:rPr>
          <w:rFonts w:ascii="Arial" w:hAnsi="Arial" w:cs="Arial"/>
          <w:b/>
          <w:sz w:val="24"/>
          <w:szCs w:val="24"/>
        </w:rPr>
        <w:t>aprimorar processos e técnicas</w:t>
      </w:r>
      <w:r w:rsidRPr="0091011F">
        <w:rPr>
          <w:rFonts w:ascii="Arial" w:hAnsi="Arial" w:cs="Arial"/>
          <w:sz w:val="24"/>
          <w:szCs w:val="24"/>
        </w:rPr>
        <w:t xml:space="preserve"> de </w:t>
      </w:r>
      <w:r w:rsidRPr="0091011F">
        <w:rPr>
          <w:rFonts w:ascii="Arial" w:hAnsi="Arial" w:cs="Arial"/>
          <w:sz w:val="24"/>
          <w:szCs w:val="24"/>
          <w:u w:val="single"/>
        </w:rPr>
        <w:t>fiscalização</w:t>
      </w:r>
      <w:r w:rsidRPr="0091011F">
        <w:rPr>
          <w:rFonts w:ascii="Arial" w:hAnsi="Arial" w:cs="Arial"/>
          <w:sz w:val="24"/>
          <w:szCs w:val="24"/>
        </w:rPr>
        <w:t xml:space="preserve"> e </w:t>
      </w:r>
      <w:r w:rsidRPr="0091011F">
        <w:rPr>
          <w:rFonts w:ascii="Arial" w:hAnsi="Arial" w:cs="Arial"/>
          <w:sz w:val="24"/>
          <w:szCs w:val="24"/>
          <w:u w:val="single"/>
        </w:rPr>
        <w:t>controle</w:t>
      </w:r>
      <w:r w:rsidRPr="0091011F">
        <w:rPr>
          <w:rFonts w:ascii="Arial" w:hAnsi="Arial" w:cs="Arial"/>
          <w:sz w:val="24"/>
          <w:szCs w:val="24"/>
        </w:rPr>
        <w:t xml:space="preserve"> no tocante à concessão e fruição desses incentivos, respeitadas as competências de ente.</w:t>
      </w:r>
    </w:p>
    <w:p w14:paraId="2FD3F1FB" w14:textId="77777777" w:rsidR="009B1AD0" w:rsidRPr="006154E3" w:rsidRDefault="009B1AD0" w:rsidP="009B1AD0">
      <w:pPr>
        <w:spacing w:line="360" w:lineRule="auto"/>
        <w:ind w:firstLine="851"/>
        <w:jc w:val="both"/>
        <w:rPr>
          <w:rFonts w:ascii="Arial" w:hAnsi="Arial" w:cs="Arial"/>
          <w:sz w:val="24"/>
          <w:szCs w:val="24"/>
        </w:rPr>
      </w:pPr>
      <w:r w:rsidRPr="006154E3">
        <w:rPr>
          <w:rFonts w:ascii="Arial" w:hAnsi="Arial" w:cs="Arial"/>
          <w:sz w:val="24"/>
          <w:szCs w:val="24"/>
        </w:rPr>
        <w:t>Uma vez mencionada tal necessidade de atuação conjunta e integrada dos diversos atores institucionais para a melhoria das políticas públicas de incentivos fiscais, é oportuno mencionar que alguns daqueles que compareceram perante esta CPI alegaram que “a Assembleia tinha aprovado todos os incentivos”, como que querendo responsabilizar o Parlamento pelas mazelas do sistema. Todavia, conforme apurado durante as investigações, as deficiências resultam da atuação, ou ausência dela, de diversos órgãos, desde os responsáveis pela concessão e gestão dos benefícios até aos competentes pela fiscalização, não sendo fundada a tentativa de culpar esta Assembleia.</w:t>
      </w:r>
    </w:p>
    <w:p w14:paraId="70F6E826" w14:textId="77777777" w:rsidR="009B1AD0" w:rsidRPr="0091011F" w:rsidRDefault="009B1AD0" w:rsidP="009B1AD0">
      <w:pPr>
        <w:spacing w:line="360" w:lineRule="auto"/>
        <w:ind w:firstLine="851"/>
        <w:jc w:val="both"/>
        <w:rPr>
          <w:rFonts w:ascii="Arial" w:hAnsi="Arial" w:cs="Arial"/>
          <w:sz w:val="24"/>
          <w:szCs w:val="24"/>
        </w:rPr>
      </w:pPr>
      <w:r w:rsidRPr="006154E3">
        <w:rPr>
          <w:rFonts w:ascii="Arial" w:hAnsi="Arial" w:cs="Arial"/>
          <w:sz w:val="24"/>
          <w:szCs w:val="24"/>
        </w:rPr>
        <w:t xml:space="preserve">Dito isso, </w:t>
      </w:r>
      <w:r w:rsidRPr="006154E3">
        <w:rPr>
          <w:rFonts w:ascii="Arial" w:hAnsi="Arial" w:cs="Arial"/>
          <w:b/>
          <w:sz w:val="24"/>
          <w:szCs w:val="24"/>
        </w:rPr>
        <w:t>apresentam</w:t>
      </w:r>
      <w:r w:rsidRPr="0091011F">
        <w:rPr>
          <w:rFonts w:ascii="Arial" w:hAnsi="Arial" w:cs="Arial"/>
          <w:b/>
          <w:sz w:val="24"/>
          <w:szCs w:val="24"/>
        </w:rPr>
        <w:t>-se a seguir algumas recomendações para adoção de providências correspondentes pelos Poderes e órgãos autônomos com estatura constitucional</w:t>
      </w:r>
      <w:r w:rsidRPr="0091011F">
        <w:rPr>
          <w:rFonts w:ascii="Arial" w:hAnsi="Arial" w:cs="Arial"/>
          <w:sz w:val="24"/>
          <w:szCs w:val="24"/>
        </w:rPr>
        <w:t>, sem prejuízo de outras que se afigurarem necessárias e úteis ao longo desse processo contínuo de construção de um novo começo para a política de incentivos fiscais no Estado de Goiás:</w:t>
      </w:r>
    </w:p>
    <w:p w14:paraId="4B34DBF6" w14:textId="77777777" w:rsidR="009B1AD0" w:rsidRPr="00B24F75" w:rsidRDefault="009B1AD0" w:rsidP="009B1AD0">
      <w:pPr>
        <w:pStyle w:val="PargrafodaLista"/>
        <w:spacing w:line="360" w:lineRule="auto"/>
        <w:ind w:left="855"/>
        <w:jc w:val="both"/>
        <w:rPr>
          <w:rFonts w:ascii="Arial" w:hAnsi="Arial" w:cs="Arial"/>
          <w:b/>
          <w:vanish/>
          <w:sz w:val="24"/>
          <w:szCs w:val="24"/>
        </w:rPr>
      </w:pPr>
    </w:p>
    <w:p w14:paraId="45E74468" w14:textId="77777777" w:rsidR="009B1AD0" w:rsidRPr="00394F74" w:rsidRDefault="009B1AD0" w:rsidP="009B1AD0">
      <w:pPr>
        <w:pStyle w:val="PargrafodaLista"/>
        <w:numPr>
          <w:ilvl w:val="1"/>
          <w:numId w:val="62"/>
        </w:numPr>
        <w:spacing w:line="360" w:lineRule="auto"/>
        <w:jc w:val="both"/>
        <w:rPr>
          <w:rFonts w:ascii="Arial" w:hAnsi="Arial" w:cs="Arial"/>
          <w:b/>
          <w:vanish/>
          <w:sz w:val="24"/>
          <w:szCs w:val="24"/>
        </w:rPr>
      </w:pPr>
      <w:r w:rsidRPr="00394F74">
        <w:rPr>
          <w:rFonts w:ascii="Arial" w:hAnsi="Arial" w:cs="Arial"/>
          <w:b/>
          <w:sz w:val="24"/>
          <w:szCs w:val="24"/>
        </w:rPr>
        <w:t>PROVIDÊNCIAS A CARGO DO PODER EXECUTIVO</w:t>
      </w:r>
    </w:p>
    <w:p w14:paraId="0862CB1B" w14:textId="24666B62" w:rsidR="002273CD" w:rsidRPr="00D9482C" w:rsidRDefault="002273CD" w:rsidP="00D9482C">
      <w:pPr>
        <w:spacing w:line="360" w:lineRule="auto"/>
        <w:jc w:val="both"/>
        <w:rPr>
          <w:rFonts w:ascii="Arial" w:hAnsi="Arial" w:cs="Arial"/>
          <w:b/>
          <w:vanish/>
          <w:sz w:val="24"/>
          <w:szCs w:val="24"/>
        </w:rPr>
      </w:pPr>
    </w:p>
    <w:p w14:paraId="0B30E01D" w14:textId="3DEEACAA" w:rsidR="009B1AD0" w:rsidRPr="00394F74" w:rsidRDefault="009B1AD0" w:rsidP="009B1AD0">
      <w:pPr>
        <w:pStyle w:val="PargrafodaLista"/>
        <w:numPr>
          <w:ilvl w:val="2"/>
          <w:numId w:val="62"/>
        </w:numPr>
        <w:spacing w:line="360" w:lineRule="auto"/>
        <w:jc w:val="both"/>
        <w:rPr>
          <w:rFonts w:ascii="Arial" w:hAnsi="Arial" w:cs="Arial"/>
          <w:b/>
          <w:vanish/>
          <w:sz w:val="24"/>
          <w:szCs w:val="24"/>
        </w:rPr>
      </w:pPr>
      <w:r w:rsidRPr="00394F74">
        <w:rPr>
          <w:rFonts w:ascii="Arial" w:hAnsi="Arial" w:cs="Arial"/>
          <w:b/>
          <w:sz w:val="24"/>
          <w:szCs w:val="24"/>
          <w:u w:val="single"/>
        </w:rPr>
        <w:t>Em relação ao princípio da legalidade, inclusive no âmbito dos Programas FOMENTAR e PRODUZIR</w:t>
      </w:r>
      <w:r w:rsidRPr="00394F74">
        <w:rPr>
          <w:rFonts w:ascii="Arial" w:hAnsi="Arial" w:cs="Arial"/>
          <w:b/>
          <w:sz w:val="24"/>
          <w:szCs w:val="24"/>
        </w:rPr>
        <w:t>:</w:t>
      </w:r>
      <w:bookmarkStart w:id="396" w:name="_GoBack"/>
      <w:bookmarkEnd w:id="396"/>
    </w:p>
    <w:p w14:paraId="6D127DC4" w14:textId="77777777" w:rsidR="009B1AD0" w:rsidRPr="00B24F75" w:rsidRDefault="009B1AD0" w:rsidP="009B1AD0">
      <w:pPr>
        <w:pStyle w:val="PargrafodaLista"/>
        <w:spacing w:line="360" w:lineRule="auto"/>
        <w:ind w:left="855"/>
        <w:jc w:val="both"/>
        <w:rPr>
          <w:rFonts w:ascii="Arial" w:hAnsi="Arial" w:cs="Arial"/>
          <w:b/>
          <w:vanish/>
          <w:sz w:val="24"/>
          <w:szCs w:val="24"/>
        </w:rPr>
      </w:pPr>
    </w:p>
    <w:p w14:paraId="796FC21C"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t xml:space="preserve">Abstenção imediata, por parte do Governador do Estado de Goiás e do(a) titular da pasta da Economia, da edição de decretos </w:t>
      </w:r>
      <w:r w:rsidRPr="00394F74">
        <w:rPr>
          <w:rFonts w:ascii="Arial" w:hAnsi="Arial" w:cs="Arial"/>
          <w:sz w:val="24"/>
          <w:szCs w:val="24"/>
        </w:rPr>
        <w:lastRenderedPageBreak/>
        <w:t>que versem sobre a concessão, ampliação ou prorrogação de incentivos fiscais do ICMS sem prévia lei específica, ainda que aprovados previamente em convênios celebrados no âmbito do Confaz;</w:t>
      </w:r>
    </w:p>
    <w:p w14:paraId="4F769A64" w14:textId="77777777" w:rsidR="009B1AD0" w:rsidRPr="002E5D4F"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t>Ao encaminhar projeto de lei que verse sobre concessão, ampliação ou prorrogação de incentivos fiscais do ICMS</w:t>
      </w:r>
      <w:r w:rsidRPr="00394F74">
        <w:rPr>
          <w:rFonts w:ascii="Arial" w:hAnsi="Arial" w:cs="Arial"/>
          <w:sz w:val="24"/>
          <w:szCs w:val="24"/>
        </w:rPr>
        <w:t>, seja apresentados os e</w:t>
      </w:r>
      <w:r>
        <w:rPr>
          <w:rFonts w:ascii="Arial" w:hAnsi="Arial" w:cs="Arial"/>
          <w:sz w:val="24"/>
          <w:szCs w:val="24"/>
        </w:rPr>
        <w:t>studos técnicos que demonstrem:</w:t>
      </w:r>
    </w:p>
    <w:p w14:paraId="140DCFAA" w14:textId="77777777" w:rsidR="009B1AD0" w:rsidRPr="002E5D4F" w:rsidRDefault="009B1AD0" w:rsidP="009B1AD0">
      <w:pPr>
        <w:pStyle w:val="PargrafodaLista"/>
        <w:numPr>
          <w:ilvl w:val="4"/>
          <w:numId w:val="62"/>
        </w:numPr>
        <w:spacing w:line="360" w:lineRule="auto"/>
        <w:ind w:left="1843" w:hanging="425"/>
        <w:jc w:val="both"/>
        <w:rPr>
          <w:rFonts w:ascii="Arial" w:hAnsi="Arial" w:cs="Arial"/>
          <w:b/>
          <w:sz w:val="24"/>
          <w:szCs w:val="24"/>
          <w:u w:val="single"/>
        </w:rPr>
      </w:pPr>
      <w:r w:rsidRPr="002E5D4F">
        <w:rPr>
          <w:rFonts w:ascii="Arial" w:hAnsi="Arial" w:cs="Arial"/>
          <w:sz w:val="24"/>
          <w:szCs w:val="24"/>
          <w:u w:val="single"/>
        </w:rPr>
        <w:t>o cumprimento dos requisitos e condições previstas no art. 14 da LRF</w:t>
      </w:r>
      <w:r w:rsidRPr="002E5D4F">
        <w:rPr>
          <w:rFonts w:ascii="Arial" w:hAnsi="Arial" w:cs="Arial"/>
          <w:sz w:val="24"/>
          <w:szCs w:val="24"/>
        </w:rPr>
        <w:t xml:space="preserve"> e nas demais normas aplicáveis;</w:t>
      </w:r>
    </w:p>
    <w:p w14:paraId="70E45E5C" w14:textId="77777777" w:rsidR="009B1AD0" w:rsidRPr="002E5D4F" w:rsidRDefault="009B1AD0" w:rsidP="009B1AD0">
      <w:pPr>
        <w:pStyle w:val="PargrafodaLista"/>
        <w:numPr>
          <w:ilvl w:val="4"/>
          <w:numId w:val="62"/>
        </w:numPr>
        <w:spacing w:line="360" w:lineRule="auto"/>
        <w:ind w:left="1843" w:hanging="425"/>
        <w:jc w:val="both"/>
        <w:rPr>
          <w:rFonts w:ascii="Arial" w:hAnsi="Arial" w:cs="Arial"/>
          <w:b/>
          <w:sz w:val="24"/>
          <w:szCs w:val="24"/>
          <w:u w:val="single"/>
        </w:rPr>
      </w:pPr>
      <w:r w:rsidRPr="002E5D4F">
        <w:rPr>
          <w:rFonts w:ascii="Arial" w:hAnsi="Arial" w:cs="Arial"/>
          <w:sz w:val="24"/>
          <w:szCs w:val="24"/>
          <w:u w:val="single"/>
        </w:rPr>
        <w:t>a projeção de empregos, diretos e indiretos, investimentos e demais contrapartidas esperadas</w:t>
      </w:r>
      <w:r w:rsidRPr="002E5D4F">
        <w:rPr>
          <w:rFonts w:ascii="Arial" w:hAnsi="Arial" w:cs="Arial"/>
          <w:sz w:val="24"/>
          <w:szCs w:val="24"/>
        </w:rPr>
        <w:t xml:space="preserve"> dos segmentos ec</w:t>
      </w:r>
      <w:r>
        <w:rPr>
          <w:rFonts w:ascii="Arial" w:hAnsi="Arial" w:cs="Arial"/>
          <w:sz w:val="24"/>
          <w:szCs w:val="24"/>
        </w:rPr>
        <w:t>onômicos a serem beneficiados;</w:t>
      </w:r>
    </w:p>
    <w:p w14:paraId="0404D2B5" w14:textId="77777777" w:rsidR="009B1AD0" w:rsidRPr="002E5D4F" w:rsidRDefault="009B1AD0" w:rsidP="009B1AD0">
      <w:pPr>
        <w:pStyle w:val="PargrafodaLista"/>
        <w:numPr>
          <w:ilvl w:val="4"/>
          <w:numId w:val="62"/>
        </w:numPr>
        <w:spacing w:line="360" w:lineRule="auto"/>
        <w:ind w:left="1843" w:hanging="425"/>
        <w:jc w:val="both"/>
        <w:rPr>
          <w:rFonts w:ascii="Arial" w:hAnsi="Arial" w:cs="Arial"/>
          <w:b/>
          <w:sz w:val="24"/>
          <w:szCs w:val="24"/>
          <w:u w:val="single"/>
        </w:rPr>
      </w:pPr>
      <w:r w:rsidRPr="002E5D4F">
        <w:rPr>
          <w:rFonts w:ascii="Arial" w:hAnsi="Arial" w:cs="Arial"/>
          <w:sz w:val="24"/>
          <w:szCs w:val="24"/>
          <w:u w:val="single"/>
        </w:rPr>
        <w:t>manifestação da PGE/GO</w:t>
      </w:r>
      <w:r w:rsidRPr="002E5D4F">
        <w:rPr>
          <w:rFonts w:ascii="Arial" w:hAnsi="Arial" w:cs="Arial"/>
          <w:sz w:val="24"/>
          <w:szCs w:val="24"/>
        </w:rPr>
        <w:t>, à qual deve ser encaminhada previamente a minuta de anteprojeto de lei para verificação dos requisitos constitucionais e legais;</w:t>
      </w:r>
    </w:p>
    <w:p w14:paraId="437AF168" w14:textId="29FC7784" w:rsidR="00935B09" w:rsidRDefault="00935B09" w:rsidP="009B1AD0">
      <w:pPr>
        <w:pStyle w:val="PargrafodaLista"/>
        <w:numPr>
          <w:ilvl w:val="3"/>
          <w:numId w:val="62"/>
        </w:numPr>
        <w:spacing w:line="360" w:lineRule="auto"/>
        <w:jc w:val="both"/>
        <w:rPr>
          <w:rFonts w:ascii="Arial" w:hAnsi="Arial" w:cs="Arial"/>
          <w:b/>
          <w:sz w:val="24"/>
          <w:szCs w:val="24"/>
        </w:rPr>
      </w:pPr>
      <w:r>
        <w:rPr>
          <w:rFonts w:ascii="Arial" w:hAnsi="Arial" w:cs="Arial"/>
          <w:b/>
          <w:bCs/>
          <w:sz w:val="24"/>
          <w:szCs w:val="24"/>
        </w:rPr>
        <w:t>Encaminhar</w:t>
      </w:r>
      <w:r w:rsidRPr="003D3791">
        <w:rPr>
          <w:rFonts w:ascii="Arial" w:hAnsi="Arial" w:cs="Arial"/>
          <w:b/>
          <w:bCs/>
          <w:sz w:val="24"/>
          <w:szCs w:val="24"/>
        </w:rPr>
        <w:t xml:space="preserve"> projeto de lei no intuito de suprimir completamente a participação da GOIÁSFOMENTO na operacionalização dos Programas FOMENTAR e PRODUZIR</w:t>
      </w:r>
      <w:r w:rsidRPr="003D3791">
        <w:rPr>
          <w:rFonts w:ascii="Arial" w:hAnsi="Arial" w:cs="Arial"/>
          <w:sz w:val="24"/>
          <w:szCs w:val="24"/>
        </w:rPr>
        <w:t>, por agregar significativa e desnecessária complexidade e burocratização ao processo, bem como a consequente concentração das atividades antes desenvolvidas pela agência de fomento na S</w:t>
      </w:r>
      <w:r>
        <w:rPr>
          <w:rFonts w:ascii="Arial" w:hAnsi="Arial" w:cs="Arial"/>
          <w:sz w:val="24"/>
          <w:szCs w:val="24"/>
        </w:rPr>
        <w:t>ecretaria de Estado da Economia;</w:t>
      </w:r>
    </w:p>
    <w:p w14:paraId="481410CB" w14:textId="5E5D7C6B" w:rsidR="009B1AD0" w:rsidRPr="005E0E9E" w:rsidRDefault="009B1AD0" w:rsidP="009B1AD0">
      <w:pPr>
        <w:pStyle w:val="PargrafodaLista"/>
        <w:numPr>
          <w:ilvl w:val="3"/>
          <w:numId w:val="62"/>
        </w:numPr>
        <w:spacing w:line="360" w:lineRule="auto"/>
        <w:jc w:val="both"/>
        <w:rPr>
          <w:rFonts w:ascii="Arial" w:hAnsi="Arial" w:cs="Arial"/>
          <w:b/>
          <w:sz w:val="24"/>
          <w:szCs w:val="24"/>
        </w:rPr>
      </w:pPr>
      <w:r w:rsidRPr="005E0E9E">
        <w:rPr>
          <w:rFonts w:ascii="Arial" w:hAnsi="Arial" w:cs="Arial"/>
          <w:b/>
          <w:sz w:val="24"/>
          <w:szCs w:val="24"/>
        </w:rPr>
        <w:t>Ao encaminhar projetos de lei que versem sobre programas de remissão, anistia e outros de regularização fiscal, vedar, de forma expressa e clara, a utilização de créditos outorgados transferidos para a quitação de dívidas tributárias.</w:t>
      </w:r>
    </w:p>
    <w:p w14:paraId="2D8CE418" w14:textId="7007680C" w:rsidR="009B1AD0" w:rsidRPr="004E7C3A" w:rsidRDefault="009B1AD0" w:rsidP="004E7C3A">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t>Revogação imediata, sob pena da apresentação de decreto legislativo de sustação por esta Casa de Leis (CE/GO, art. 11, IV)</w:t>
      </w:r>
      <w:r w:rsidR="004E7C3A">
        <w:rPr>
          <w:rFonts w:ascii="Arial" w:hAnsi="Arial" w:cs="Arial"/>
          <w:bCs/>
          <w:sz w:val="24"/>
          <w:szCs w:val="24"/>
        </w:rPr>
        <w:t>,</w:t>
      </w:r>
      <w:r w:rsidR="004E7C3A">
        <w:rPr>
          <w:rFonts w:ascii="Arial" w:hAnsi="Arial" w:cs="Arial"/>
          <w:sz w:val="24"/>
          <w:szCs w:val="24"/>
        </w:rPr>
        <w:t xml:space="preserve"> </w:t>
      </w:r>
      <w:r w:rsidRPr="004E7C3A">
        <w:rPr>
          <w:rFonts w:ascii="Arial" w:hAnsi="Arial" w:cs="Arial"/>
          <w:b/>
          <w:sz w:val="24"/>
          <w:szCs w:val="24"/>
        </w:rPr>
        <w:t>do art. 4º do Decreto nº 5.036/1999</w:t>
      </w:r>
      <w:r w:rsidRPr="004E7C3A">
        <w:rPr>
          <w:rFonts w:ascii="Arial" w:hAnsi="Arial" w:cs="Arial"/>
          <w:bCs/>
          <w:sz w:val="24"/>
          <w:szCs w:val="24"/>
        </w:rPr>
        <w:t>,</w:t>
      </w:r>
      <w:r w:rsidRPr="004E7C3A">
        <w:rPr>
          <w:rFonts w:ascii="Arial" w:hAnsi="Arial" w:cs="Arial"/>
          <w:b/>
          <w:sz w:val="24"/>
          <w:szCs w:val="24"/>
        </w:rPr>
        <w:t xml:space="preserve"> </w:t>
      </w:r>
      <w:r w:rsidRPr="004E7C3A">
        <w:rPr>
          <w:rFonts w:ascii="Arial" w:hAnsi="Arial" w:cs="Arial"/>
          <w:bCs/>
          <w:sz w:val="24"/>
          <w:szCs w:val="24"/>
          <w:u w:val="single"/>
        </w:rPr>
        <w:t>com a consequente determinação de que a avaliação relativa aos valores de leilões no âmbito do Programa Fomentar – até agora realizada por empresa especializada – seja realizada por servidores efetivos e concursados do quadro de pessoal</w:t>
      </w:r>
      <w:r w:rsidRPr="004E7C3A">
        <w:rPr>
          <w:rFonts w:ascii="Arial" w:hAnsi="Arial" w:cs="Arial"/>
          <w:sz w:val="24"/>
          <w:szCs w:val="24"/>
        </w:rPr>
        <w:t xml:space="preserve">, tendo em vista a absoluta desnecessidade de gastos com empresa </w:t>
      </w:r>
      <w:r w:rsidRPr="004E7C3A">
        <w:rPr>
          <w:rFonts w:ascii="Arial" w:hAnsi="Arial" w:cs="Arial"/>
          <w:sz w:val="24"/>
          <w:szCs w:val="24"/>
        </w:rPr>
        <w:lastRenderedPageBreak/>
        <w:t>especializada para essa finalidade, em atenção ao princípio da economicidade, nos termos do item 6.3.2 deste relatório;</w:t>
      </w:r>
    </w:p>
    <w:p w14:paraId="1117419E"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t>Encaminhar, até outubro de 2020, projeto de lei de consolidação dos incentivos fiscais atualmente previstos em leis esparsas e no RCTE/GO</w:t>
      </w:r>
      <w:r w:rsidRPr="00394F74">
        <w:rPr>
          <w:rFonts w:ascii="Arial" w:hAnsi="Arial" w:cs="Arial"/>
          <w:sz w:val="24"/>
          <w:szCs w:val="24"/>
        </w:rPr>
        <w:t xml:space="preserve"> – a saber, isenção, redução da base de cálculo e crédito outorgado (arts. 6º a 12) – </w:t>
      </w:r>
      <w:r w:rsidRPr="00394F74">
        <w:rPr>
          <w:rFonts w:ascii="Arial" w:hAnsi="Arial" w:cs="Arial"/>
          <w:b/>
          <w:sz w:val="24"/>
          <w:szCs w:val="24"/>
        </w:rPr>
        <w:t>bem como seus requisitos específicos</w:t>
      </w:r>
      <w:r w:rsidRPr="00394F74">
        <w:rPr>
          <w:rFonts w:ascii="Arial" w:hAnsi="Arial" w:cs="Arial"/>
          <w:sz w:val="24"/>
          <w:szCs w:val="24"/>
        </w:rPr>
        <w:t>, observado se for o caso o disposto nos arts. 12 e 13 da LC nº 33/2001 e também o seguinte:</w:t>
      </w:r>
    </w:p>
    <w:p w14:paraId="443CF628" w14:textId="77777777" w:rsidR="009B1AD0" w:rsidRPr="0091011F" w:rsidRDefault="009B1AD0" w:rsidP="009B1AD0">
      <w:pPr>
        <w:pStyle w:val="PargrafodaLista"/>
        <w:numPr>
          <w:ilvl w:val="0"/>
          <w:numId w:val="63"/>
        </w:numPr>
        <w:spacing w:line="360" w:lineRule="auto"/>
        <w:ind w:left="1843"/>
        <w:jc w:val="both"/>
        <w:rPr>
          <w:rFonts w:ascii="Arial" w:hAnsi="Arial" w:cs="Arial"/>
          <w:b/>
          <w:sz w:val="24"/>
          <w:szCs w:val="24"/>
          <w:u w:val="single"/>
        </w:rPr>
      </w:pPr>
      <w:r w:rsidRPr="0091011F">
        <w:rPr>
          <w:rFonts w:ascii="Arial" w:hAnsi="Arial" w:cs="Arial"/>
          <w:sz w:val="24"/>
          <w:szCs w:val="24"/>
          <w:u w:val="single"/>
        </w:rPr>
        <w:t>faculta-se a apresentação de um projeto de lei para cada espécie de incentivo fiscal hoje previsto no Anexo IX do RCTE/GO e respectivas leis esparsas</w:t>
      </w:r>
      <w:r w:rsidRPr="0091011F">
        <w:rPr>
          <w:rFonts w:ascii="Arial" w:hAnsi="Arial" w:cs="Arial"/>
          <w:sz w:val="24"/>
          <w:szCs w:val="24"/>
        </w:rPr>
        <w:t xml:space="preserve"> (isenção, arts. 6º e 7º; redução da base de cálculo, arts. 8º a 9º; e crédito outorgado, arts. 10 a 12), cada qual preferencialmente dividido em capítulos conforme os segmentos da atividade econômica contemplados com os benefícios, ou vice-versa;</w:t>
      </w:r>
    </w:p>
    <w:p w14:paraId="71BC395D" w14:textId="77777777" w:rsidR="009B1AD0" w:rsidRPr="0091011F" w:rsidRDefault="009B1AD0" w:rsidP="009B1AD0">
      <w:pPr>
        <w:pStyle w:val="PargrafodaLista"/>
        <w:numPr>
          <w:ilvl w:val="0"/>
          <w:numId w:val="63"/>
        </w:numPr>
        <w:spacing w:line="360" w:lineRule="auto"/>
        <w:ind w:left="1843"/>
        <w:jc w:val="both"/>
        <w:rPr>
          <w:rFonts w:ascii="Arial" w:hAnsi="Arial" w:cs="Arial"/>
          <w:b/>
          <w:sz w:val="24"/>
          <w:szCs w:val="24"/>
          <w:u w:val="single"/>
        </w:rPr>
      </w:pPr>
      <w:r w:rsidRPr="00394F74">
        <w:rPr>
          <w:rFonts w:ascii="Arial" w:hAnsi="Arial" w:cs="Arial"/>
          <w:sz w:val="24"/>
          <w:szCs w:val="24"/>
          <w:u w:val="single"/>
        </w:rPr>
        <w:t>o(s) projeto(s) de lei deve(m) ser precedido(s) de reanálise cuidadosa, por parte da equipe técnica</w:t>
      </w:r>
      <w:r w:rsidRPr="00394F74">
        <w:rPr>
          <w:rFonts w:ascii="Arial" w:hAnsi="Arial" w:cs="Arial"/>
          <w:sz w:val="24"/>
          <w:szCs w:val="24"/>
        </w:rPr>
        <w:t>, referente aos incentivos fiscais efetivamente vigentes e contemplar a revogação expressa dos diplomas e dispositivos legais contemplados na consolidação;</w:t>
      </w:r>
    </w:p>
    <w:p w14:paraId="5CF1A702" w14:textId="77777777" w:rsidR="009B1AD0" w:rsidRPr="0091011F" w:rsidRDefault="009B1AD0" w:rsidP="009B1AD0">
      <w:pPr>
        <w:pStyle w:val="PargrafodaLista"/>
        <w:numPr>
          <w:ilvl w:val="0"/>
          <w:numId w:val="63"/>
        </w:numPr>
        <w:spacing w:line="360" w:lineRule="auto"/>
        <w:ind w:left="1843"/>
        <w:jc w:val="both"/>
        <w:rPr>
          <w:rFonts w:ascii="Arial" w:hAnsi="Arial" w:cs="Arial"/>
          <w:b/>
          <w:sz w:val="24"/>
          <w:szCs w:val="24"/>
          <w:u w:val="single"/>
        </w:rPr>
      </w:pPr>
      <w:r w:rsidRPr="00394F74">
        <w:rPr>
          <w:rFonts w:ascii="Arial" w:hAnsi="Arial" w:cs="Arial"/>
          <w:sz w:val="24"/>
          <w:szCs w:val="24"/>
          <w:u w:val="single"/>
        </w:rPr>
        <w:t>o Anexo IX do RCTE/GO deve ter sua redação adequada</w:t>
      </w:r>
      <w:r w:rsidRPr="00394F74">
        <w:rPr>
          <w:rFonts w:ascii="Arial" w:hAnsi="Arial" w:cs="Arial"/>
          <w:sz w:val="24"/>
          <w:szCs w:val="24"/>
        </w:rPr>
        <w:t>, de modo a prever apenas a disposições de caráter efetivamente regulamentar dos incentivos fiscais, assim que aprovadas as consolidações legislativas acima propostas, sem reproduzir o que já constar da lei consolidada.</w:t>
      </w:r>
    </w:p>
    <w:p w14:paraId="3DA0EC3E"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t>Revisão de todos os TARE’s relativos a incentivos fiscais, principalmente os relativos a crédito outorgado, observado o seguinte</w:t>
      </w:r>
      <w:r w:rsidRPr="00394F74">
        <w:rPr>
          <w:rFonts w:ascii="Arial" w:hAnsi="Arial" w:cs="Arial"/>
          <w:sz w:val="24"/>
          <w:szCs w:val="24"/>
        </w:rPr>
        <w:t xml:space="preserve">: </w:t>
      </w:r>
    </w:p>
    <w:p w14:paraId="6193CB4E" w14:textId="77777777" w:rsidR="009B1AD0" w:rsidRDefault="009B1AD0" w:rsidP="009B1AD0">
      <w:pPr>
        <w:pStyle w:val="PargrafodaLista"/>
        <w:numPr>
          <w:ilvl w:val="0"/>
          <w:numId w:val="64"/>
        </w:numPr>
        <w:spacing w:line="360" w:lineRule="auto"/>
        <w:ind w:left="1843"/>
        <w:jc w:val="both"/>
        <w:rPr>
          <w:rFonts w:ascii="Arial" w:hAnsi="Arial" w:cs="Arial"/>
          <w:sz w:val="24"/>
          <w:szCs w:val="24"/>
        </w:rPr>
      </w:pPr>
      <w:r w:rsidRPr="0091011F">
        <w:rPr>
          <w:rFonts w:ascii="Arial" w:hAnsi="Arial" w:cs="Arial"/>
          <w:sz w:val="24"/>
          <w:szCs w:val="24"/>
          <w:u w:val="single"/>
        </w:rPr>
        <w:t>sejam contempladas contrapartidas sociais e econômicas bem definidas</w:t>
      </w:r>
      <w:r w:rsidRPr="0091011F">
        <w:rPr>
          <w:rFonts w:ascii="Arial" w:hAnsi="Arial" w:cs="Arial"/>
          <w:sz w:val="24"/>
          <w:szCs w:val="24"/>
        </w:rPr>
        <w:t>, a serem atingidas e comprovadas pelas empresas e atestadas pelo fisco em período não superior a 1 (um) ano, bem como revogação dos TARE’s que não contemplem quaisquer dessas contrapartidas e em relação aos quais não se considere viável exigi-las, nos termos do § 2º do art. 44 e no inciso III do art. 45 da LC nº 138/2018;</w:t>
      </w:r>
    </w:p>
    <w:p w14:paraId="7DEB65CB" w14:textId="2EB201DC" w:rsidR="0095761A" w:rsidRPr="00264EAD" w:rsidRDefault="009B1AD0" w:rsidP="0095761A">
      <w:pPr>
        <w:pStyle w:val="PargrafodaLista"/>
        <w:numPr>
          <w:ilvl w:val="0"/>
          <w:numId w:val="64"/>
        </w:numPr>
        <w:spacing w:line="360" w:lineRule="auto"/>
        <w:ind w:left="1843"/>
        <w:jc w:val="both"/>
        <w:rPr>
          <w:rFonts w:ascii="Arial" w:hAnsi="Arial" w:cs="Arial"/>
          <w:strike/>
          <w:sz w:val="24"/>
          <w:szCs w:val="24"/>
        </w:rPr>
      </w:pPr>
      <w:r w:rsidRPr="004F19CB">
        <w:rPr>
          <w:rFonts w:ascii="Arial" w:hAnsi="Arial" w:cs="Arial"/>
          <w:sz w:val="24"/>
          <w:szCs w:val="24"/>
          <w:u w:val="single"/>
        </w:rPr>
        <w:lastRenderedPageBreak/>
        <w:t xml:space="preserve">previamente </w:t>
      </w:r>
      <w:r>
        <w:rPr>
          <w:rFonts w:ascii="Arial" w:hAnsi="Arial" w:cs="Arial"/>
          <w:sz w:val="24"/>
          <w:szCs w:val="24"/>
          <w:u w:val="single"/>
        </w:rPr>
        <w:t>à assinatura dos</w:t>
      </w:r>
      <w:r w:rsidRPr="004F19CB">
        <w:rPr>
          <w:rFonts w:ascii="Arial" w:hAnsi="Arial" w:cs="Arial"/>
          <w:sz w:val="24"/>
          <w:szCs w:val="24"/>
          <w:u w:val="single"/>
        </w:rPr>
        <w:t xml:space="preserve"> novo</w:t>
      </w:r>
      <w:r>
        <w:rPr>
          <w:rFonts w:ascii="Arial" w:hAnsi="Arial" w:cs="Arial"/>
          <w:sz w:val="24"/>
          <w:szCs w:val="24"/>
          <w:u w:val="single"/>
        </w:rPr>
        <w:t>s</w:t>
      </w:r>
      <w:r w:rsidRPr="004F19CB">
        <w:rPr>
          <w:rFonts w:ascii="Arial" w:hAnsi="Arial" w:cs="Arial"/>
          <w:sz w:val="24"/>
          <w:szCs w:val="24"/>
          <w:u w:val="single"/>
        </w:rPr>
        <w:t xml:space="preserve"> TARE</w:t>
      </w:r>
      <w:r>
        <w:rPr>
          <w:rFonts w:ascii="Arial" w:hAnsi="Arial" w:cs="Arial"/>
          <w:sz w:val="24"/>
          <w:szCs w:val="24"/>
          <w:u w:val="single"/>
        </w:rPr>
        <w:t>’s</w:t>
      </w:r>
      <w:r w:rsidRPr="004F19CB">
        <w:rPr>
          <w:rFonts w:ascii="Arial" w:hAnsi="Arial" w:cs="Arial"/>
          <w:sz w:val="24"/>
          <w:szCs w:val="24"/>
          <w:u w:val="single"/>
        </w:rPr>
        <w:t xml:space="preserve"> retificado</w:t>
      </w:r>
      <w:r>
        <w:rPr>
          <w:rFonts w:ascii="Arial" w:hAnsi="Arial" w:cs="Arial"/>
          <w:sz w:val="24"/>
          <w:szCs w:val="24"/>
          <w:u w:val="single"/>
        </w:rPr>
        <w:t>s</w:t>
      </w:r>
      <w:r w:rsidRPr="004F19CB">
        <w:rPr>
          <w:rFonts w:ascii="Arial" w:hAnsi="Arial" w:cs="Arial"/>
          <w:sz w:val="24"/>
          <w:szCs w:val="24"/>
          <w:u w:val="single"/>
        </w:rPr>
        <w:t>, seja encaminhada a minuta para análise e aprovação da PGE/GO</w:t>
      </w:r>
      <w:r>
        <w:rPr>
          <w:rFonts w:ascii="Arial" w:hAnsi="Arial" w:cs="Arial"/>
          <w:sz w:val="24"/>
          <w:szCs w:val="24"/>
        </w:rPr>
        <w:t xml:space="preserve"> quanto ao disposto na alínea anterior e também</w:t>
      </w:r>
      <w:r w:rsidRPr="000D5AA2">
        <w:rPr>
          <w:rFonts w:ascii="Arial" w:hAnsi="Arial" w:cs="Arial"/>
          <w:sz w:val="24"/>
          <w:szCs w:val="24"/>
        </w:rPr>
        <w:t xml:space="preserve"> para verificar a adequação das</w:t>
      </w:r>
      <w:r>
        <w:rPr>
          <w:rFonts w:ascii="Arial" w:hAnsi="Arial" w:cs="Arial"/>
          <w:sz w:val="24"/>
          <w:szCs w:val="24"/>
        </w:rPr>
        <w:t xml:space="preserve"> atuais</w:t>
      </w:r>
      <w:r w:rsidRPr="000D5AA2">
        <w:rPr>
          <w:rFonts w:ascii="Arial" w:hAnsi="Arial" w:cs="Arial"/>
          <w:sz w:val="24"/>
          <w:szCs w:val="24"/>
        </w:rPr>
        <w:t xml:space="preserve"> cláusulas </w:t>
      </w:r>
      <w:r>
        <w:rPr>
          <w:rFonts w:ascii="Arial" w:hAnsi="Arial" w:cs="Arial"/>
          <w:sz w:val="24"/>
          <w:szCs w:val="24"/>
        </w:rPr>
        <w:t>aos comandos constitucionais e legais, principalmente aquelas que confiram ao contribuinte direito de crédito e outros benefícios, mediante constituição de força-tarefa no âmbito daquele órgão, se necessário, tendo em vista os inúmeros TARE’s a serem revisados;</w:t>
      </w:r>
    </w:p>
    <w:p w14:paraId="6FFD868A" w14:textId="67F3A13F" w:rsidR="009B1AD0" w:rsidRPr="0095761A" w:rsidRDefault="009B1AD0" w:rsidP="0095761A">
      <w:pPr>
        <w:spacing w:line="360" w:lineRule="auto"/>
        <w:jc w:val="both"/>
        <w:rPr>
          <w:rFonts w:ascii="Arial" w:hAnsi="Arial" w:cs="Arial"/>
          <w:strike/>
          <w:sz w:val="24"/>
          <w:szCs w:val="24"/>
          <w:highlight w:val="yellow"/>
        </w:rPr>
      </w:pPr>
    </w:p>
    <w:p w14:paraId="6C1F55BD" w14:textId="77777777" w:rsidR="009B1AD0" w:rsidRDefault="009B1AD0" w:rsidP="009B1AD0">
      <w:pPr>
        <w:pStyle w:val="PargrafodaLista"/>
        <w:spacing w:line="360" w:lineRule="auto"/>
        <w:ind w:left="1211"/>
        <w:jc w:val="both"/>
        <w:rPr>
          <w:rFonts w:ascii="Arial" w:hAnsi="Arial" w:cs="Arial"/>
          <w:b/>
          <w:sz w:val="24"/>
          <w:szCs w:val="24"/>
          <w:u w:val="single"/>
        </w:rPr>
      </w:pPr>
    </w:p>
    <w:p w14:paraId="09292C60" w14:textId="77777777" w:rsidR="009B1AD0" w:rsidRPr="00394F74" w:rsidRDefault="009B1AD0" w:rsidP="009B1AD0">
      <w:pPr>
        <w:pStyle w:val="PargrafodaLista"/>
        <w:numPr>
          <w:ilvl w:val="2"/>
          <w:numId w:val="62"/>
        </w:numPr>
        <w:spacing w:line="360" w:lineRule="auto"/>
        <w:jc w:val="both"/>
        <w:rPr>
          <w:rFonts w:ascii="Arial" w:hAnsi="Arial" w:cs="Arial"/>
          <w:b/>
          <w:sz w:val="24"/>
          <w:szCs w:val="24"/>
        </w:rPr>
      </w:pPr>
      <w:r w:rsidRPr="00394F74">
        <w:rPr>
          <w:rFonts w:ascii="Arial" w:hAnsi="Arial" w:cs="Arial"/>
          <w:b/>
          <w:sz w:val="24"/>
          <w:szCs w:val="24"/>
          <w:u w:val="single"/>
        </w:rPr>
        <w:t>No âmbito da fiscalização dos requisitos gerais para concessão e fruição de incentivos fiscais e da recuperação de ativos</w:t>
      </w:r>
      <w:r w:rsidRPr="00394F74">
        <w:rPr>
          <w:rFonts w:ascii="Arial" w:hAnsi="Arial" w:cs="Arial"/>
          <w:b/>
          <w:sz w:val="24"/>
          <w:szCs w:val="24"/>
        </w:rPr>
        <w:t>:</w:t>
      </w:r>
    </w:p>
    <w:p w14:paraId="0B9803F8" w14:textId="77777777" w:rsidR="009B1AD0" w:rsidRPr="00394F74" w:rsidRDefault="009B1AD0" w:rsidP="009B1AD0">
      <w:pPr>
        <w:spacing w:line="360" w:lineRule="auto"/>
        <w:jc w:val="both"/>
        <w:rPr>
          <w:rFonts w:ascii="Arial" w:hAnsi="Arial" w:cs="Arial"/>
          <w:b/>
          <w:sz w:val="24"/>
          <w:szCs w:val="24"/>
          <w:u w:val="single"/>
        </w:rPr>
      </w:pPr>
    </w:p>
    <w:p w14:paraId="61DCF132" w14:textId="77777777" w:rsidR="009B1AD0" w:rsidRPr="00EC6C68"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t xml:space="preserve">Determinar às Secretarias de Estado da Economia, da Indústria e Comércio, do Meio Ambiente e Desenvolvimento Sustentável, à GOIÁSFOMENTO e ao Comitê Interinstitucional de Recuperação de Ativos (CIRA) – este último criado pela Lei nº 19.878/2017 – que integrem força-tarefa </w:t>
      </w:r>
      <w:r w:rsidRPr="00394F74">
        <w:rPr>
          <w:rFonts w:ascii="Arial" w:hAnsi="Arial" w:cs="Arial"/>
          <w:sz w:val="24"/>
          <w:szCs w:val="24"/>
        </w:rPr>
        <w:t>no sentido de apurar os valores de incentivos fiscais irregularmente concedidos e/ou fruídos no período objeto de investigação desta CPI (2014 a 2018), acrescido do ano de 2019, e adotar as providências pertinentes que o caso requerer para a devida cobrança e execução judicial e extrajudicial, em razão da violação aos:</w:t>
      </w:r>
    </w:p>
    <w:p w14:paraId="741DFC87" w14:textId="77777777" w:rsidR="009B1AD0" w:rsidRPr="00EC6C68" w:rsidRDefault="009B1AD0" w:rsidP="009B1AD0">
      <w:pPr>
        <w:pStyle w:val="PargrafodaLista"/>
        <w:numPr>
          <w:ilvl w:val="0"/>
          <w:numId w:val="65"/>
        </w:numPr>
        <w:spacing w:line="360" w:lineRule="auto"/>
        <w:ind w:left="1843"/>
        <w:jc w:val="both"/>
        <w:rPr>
          <w:rFonts w:ascii="Arial" w:hAnsi="Arial" w:cs="Arial"/>
          <w:b/>
          <w:sz w:val="24"/>
          <w:szCs w:val="24"/>
          <w:u w:val="single"/>
        </w:rPr>
      </w:pPr>
      <w:r w:rsidRPr="00EC6C68">
        <w:rPr>
          <w:rFonts w:ascii="Arial" w:hAnsi="Arial" w:cs="Arial"/>
          <w:sz w:val="24"/>
          <w:szCs w:val="24"/>
          <w:u w:val="single"/>
        </w:rPr>
        <w:t>requisitos gerais de regularidade fiscal estadual, previdenciária, ambiental e social</w:t>
      </w:r>
      <w:r w:rsidRPr="00EC6C68">
        <w:rPr>
          <w:rFonts w:ascii="Arial" w:hAnsi="Arial" w:cs="Arial"/>
          <w:sz w:val="24"/>
          <w:szCs w:val="24"/>
        </w:rPr>
        <w:t>, com prioridade para as empresas destacadas por esta CPI, nos termos do Capítulo 8 deste relatório;</w:t>
      </w:r>
    </w:p>
    <w:p w14:paraId="3D6DC06D" w14:textId="77777777" w:rsidR="009B1AD0" w:rsidRPr="00EC6C68" w:rsidRDefault="009B1AD0" w:rsidP="009B1AD0">
      <w:pPr>
        <w:pStyle w:val="PargrafodaLista"/>
        <w:numPr>
          <w:ilvl w:val="0"/>
          <w:numId w:val="65"/>
        </w:numPr>
        <w:spacing w:line="360" w:lineRule="auto"/>
        <w:ind w:left="1843"/>
        <w:jc w:val="both"/>
        <w:rPr>
          <w:rFonts w:ascii="Arial" w:hAnsi="Arial" w:cs="Arial"/>
          <w:b/>
          <w:sz w:val="24"/>
          <w:szCs w:val="24"/>
          <w:u w:val="single"/>
        </w:rPr>
      </w:pPr>
      <w:r w:rsidRPr="00394F74">
        <w:rPr>
          <w:rFonts w:ascii="Arial" w:hAnsi="Arial" w:cs="Arial"/>
          <w:sz w:val="24"/>
          <w:szCs w:val="24"/>
          <w:u w:val="single"/>
        </w:rPr>
        <w:t>requisitos específicos e contrapartidas exigidas, no âmbito dos Programas FOMENTAR e PRODUZIR</w:t>
      </w:r>
      <w:r w:rsidRPr="00394F74">
        <w:rPr>
          <w:rFonts w:ascii="Arial" w:hAnsi="Arial" w:cs="Arial"/>
          <w:sz w:val="24"/>
          <w:szCs w:val="24"/>
        </w:rPr>
        <w:t>, tendo em vista a inequívoca natureza fiscal desses programas, com prioridade para as empresas destacadas por esta CPI com base nos Informes de Auditoria do TCE/GO e da CGE/GO, nos termos dos itens 6.2.1 e 6.2.2 deste relatório.</w:t>
      </w:r>
    </w:p>
    <w:p w14:paraId="367BF954"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lastRenderedPageBreak/>
        <w:t>Determinar que os órgãos competentes encaminhem para a PGE/GO a cobrança e a execução judicial de valores fruídos irregularmente</w:t>
      </w:r>
      <w:r w:rsidRPr="00394F74">
        <w:rPr>
          <w:rFonts w:ascii="Arial" w:hAnsi="Arial" w:cs="Arial"/>
          <w:sz w:val="24"/>
          <w:szCs w:val="24"/>
        </w:rPr>
        <w:t xml:space="preserve"> – inclusive no âmbito dos Programas FOMENTAR e PRODUZIR, tendo em vista a inequívoca natureza fiscal desses programas, nos termos do capítulo 6 deste relatório – </w:t>
      </w:r>
      <w:r w:rsidRPr="00394F74">
        <w:rPr>
          <w:rFonts w:ascii="Arial" w:hAnsi="Arial" w:cs="Arial"/>
          <w:b/>
          <w:sz w:val="24"/>
          <w:szCs w:val="24"/>
        </w:rPr>
        <w:t>e não mais à GOIÁSFOMENTO</w:t>
      </w:r>
      <w:r w:rsidRPr="00394F74">
        <w:rPr>
          <w:rFonts w:ascii="Arial" w:hAnsi="Arial" w:cs="Arial"/>
          <w:sz w:val="24"/>
          <w:szCs w:val="24"/>
        </w:rPr>
        <w:t>, ante a manifesta ilegalidade e inconstitucionalidade dos incisos III e V do § 3º do  art. 42</w:t>
      </w:r>
      <w:r w:rsidRPr="00394F74">
        <w:rPr>
          <w:rFonts w:ascii="Arial" w:hAnsi="Arial" w:cs="Arial"/>
          <w:color w:val="FF0000"/>
          <w:sz w:val="24"/>
          <w:szCs w:val="24"/>
        </w:rPr>
        <w:t xml:space="preserve"> </w:t>
      </w:r>
      <w:r w:rsidRPr="00394F74">
        <w:rPr>
          <w:rFonts w:ascii="Arial" w:hAnsi="Arial" w:cs="Arial"/>
          <w:sz w:val="24"/>
          <w:szCs w:val="24"/>
        </w:rPr>
        <w:t xml:space="preserve">do Decreto nº 5.265/2000 frente ao art. 3º, II, da LC nº 58/2006 (Lei Orgânica da PGE/GO), </w:t>
      </w:r>
      <w:r w:rsidRPr="00394F74">
        <w:rPr>
          <w:rFonts w:ascii="Arial" w:hAnsi="Arial" w:cs="Arial"/>
          <w:sz w:val="24"/>
          <w:szCs w:val="24"/>
          <w:u w:val="single"/>
        </w:rPr>
        <w:t>inclusive para todos os créditos pendentes de cobrança</w:t>
      </w:r>
      <w:r w:rsidRPr="00394F74">
        <w:rPr>
          <w:rFonts w:ascii="Arial" w:hAnsi="Arial" w:cs="Arial"/>
          <w:sz w:val="24"/>
          <w:szCs w:val="24"/>
        </w:rPr>
        <w:t>;</w:t>
      </w:r>
    </w:p>
    <w:p w14:paraId="4D18DC4A"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t>Fiscalizar efetivamente as empresas beneficiárias de incentivos fiscais sob os aspectos de regularidade</w:t>
      </w:r>
      <w:r w:rsidRPr="00394F74">
        <w:rPr>
          <w:rFonts w:ascii="Arial" w:hAnsi="Arial" w:cs="Arial"/>
          <w:sz w:val="24"/>
          <w:szCs w:val="24"/>
        </w:rPr>
        <w:t xml:space="preserve"> </w:t>
      </w:r>
      <w:r w:rsidRPr="00394F74">
        <w:rPr>
          <w:rFonts w:ascii="Arial" w:hAnsi="Arial" w:cs="Arial"/>
          <w:sz w:val="24"/>
          <w:szCs w:val="24"/>
          <w:u w:val="single"/>
        </w:rPr>
        <w:t>fiscal estadual</w:t>
      </w:r>
      <w:r w:rsidRPr="00394F74">
        <w:rPr>
          <w:rFonts w:ascii="Arial" w:hAnsi="Arial" w:cs="Arial"/>
          <w:sz w:val="24"/>
          <w:szCs w:val="24"/>
        </w:rPr>
        <w:t xml:space="preserve">, </w:t>
      </w:r>
      <w:r w:rsidRPr="00394F74">
        <w:rPr>
          <w:rFonts w:ascii="Arial" w:hAnsi="Arial" w:cs="Arial"/>
          <w:sz w:val="24"/>
          <w:szCs w:val="24"/>
          <w:u w:val="single"/>
        </w:rPr>
        <w:t>previdenciária</w:t>
      </w:r>
      <w:r w:rsidRPr="00394F74">
        <w:rPr>
          <w:rFonts w:ascii="Arial" w:hAnsi="Arial" w:cs="Arial"/>
          <w:sz w:val="24"/>
          <w:szCs w:val="24"/>
        </w:rPr>
        <w:t xml:space="preserve">, </w:t>
      </w:r>
      <w:r w:rsidRPr="00394F74">
        <w:rPr>
          <w:rFonts w:ascii="Arial" w:hAnsi="Arial" w:cs="Arial"/>
          <w:sz w:val="24"/>
          <w:szCs w:val="24"/>
          <w:u w:val="single"/>
        </w:rPr>
        <w:t>ambiental</w:t>
      </w:r>
      <w:r w:rsidRPr="00394F74">
        <w:rPr>
          <w:rFonts w:ascii="Arial" w:hAnsi="Arial" w:cs="Arial"/>
          <w:sz w:val="24"/>
          <w:szCs w:val="24"/>
        </w:rPr>
        <w:t xml:space="preserve">, </w:t>
      </w:r>
      <w:r w:rsidRPr="00394F74">
        <w:rPr>
          <w:rFonts w:ascii="Arial" w:hAnsi="Arial" w:cs="Arial"/>
          <w:sz w:val="24"/>
          <w:szCs w:val="24"/>
          <w:u w:val="single"/>
        </w:rPr>
        <w:t>social</w:t>
      </w:r>
      <w:r w:rsidRPr="00394F74">
        <w:rPr>
          <w:rFonts w:ascii="Arial" w:hAnsi="Arial" w:cs="Arial"/>
          <w:sz w:val="24"/>
          <w:szCs w:val="24"/>
        </w:rPr>
        <w:t xml:space="preserve"> e (CRFB, art. 195, § 3º; CE/GO, art. 132, § 4º e 136, § 2º; RCTE/GO, art. 1º, § 1º, II c/c § 2º), </w:t>
      </w:r>
      <w:r w:rsidRPr="00394F74">
        <w:rPr>
          <w:rFonts w:ascii="Arial" w:hAnsi="Arial" w:cs="Arial"/>
          <w:sz w:val="24"/>
          <w:szCs w:val="24"/>
          <w:u w:val="single"/>
        </w:rPr>
        <w:t>com auxílio de sistema informatizado e integrado de gestão e controle</w:t>
      </w:r>
      <w:r w:rsidRPr="00394F74">
        <w:rPr>
          <w:rFonts w:ascii="Arial" w:hAnsi="Arial" w:cs="Arial"/>
          <w:sz w:val="24"/>
          <w:szCs w:val="24"/>
        </w:rPr>
        <w:t xml:space="preserve">, que permita o imediato acesso de dados e informações pertinentes aos requisitos a serem observados pelas empresas que usufruem incentivos fiscais, entre a Secretaria de Estado da Economia e demais pastas e órgãos envolvidos, </w:t>
      </w:r>
      <w:r w:rsidRPr="00394F74">
        <w:rPr>
          <w:rFonts w:ascii="Arial" w:hAnsi="Arial" w:cs="Arial"/>
          <w:sz w:val="24"/>
          <w:szCs w:val="24"/>
          <w:u w:val="single"/>
        </w:rPr>
        <w:t>com aferição mensal sobre esses requisitos constitucionais e legais, independentemente da recomendações deste relatório para formalização de convênios</w:t>
      </w:r>
      <w:r w:rsidRPr="00394F74">
        <w:rPr>
          <w:rFonts w:ascii="Arial" w:hAnsi="Arial" w:cs="Arial"/>
          <w:sz w:val="24"/>
          <w:szCs w:val="24"/>
        </w:rPr>
        <w:t>;</w:t>
      </w:r>
    </w:p>
    <w:p w14:paraId="4DC7D561"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t>Formalizar convênio entre a Secretaria de Estado da Economia e a PGFN</w:t>
      </w:r>
      <w:r w:rsidRPr="00394F74">
        <w:rPr>
          <w:rFonts w:ascii="Arial" w:hAnsi="Arial" w:cs="Arial"/>
          <w:sz w:val="24"/>
          <w:szCs w:val="24"/>
        </w:rPr>
        <w:t xml:space="preserve">, </w:t>
      </w:r>
      <w:r w:rsidRPr="00394F74">
        <w:rPr>
          <w:rFonts w:ascii="Arial" w:hAnsi="Arial" w:cs="Arial"/>
          <w:sz w:val="24"/>
          <w:szCs w:val="24"/>
          <w:u w:val="single"/>
        </w:rPr>
        <w:t xml:space="preserve">com espeque no art. 199, </w:t>
      </w:r>
      <w:r w:rsidRPr="00394F74">
        <w:rPr>
          <w:rFonts w:ascii="Arial" w:hAnsi="Arial" w:cs="Arial"/>
          <w:i/>
          <w:sz w:val="24"/>
          <w:szCs w:val="24"/>
          <w:u w:val="single"/>
        </w:rPr>
        <w:t>caput</w:t>
      </w:r>
      <w:r w:rsidRPr="00394F74">
        <w:rPr>
          <w:rFonts w:ascii="Arial" w:hAnsi="Arial" w:cs="Arial"/>
          <w:sz w:val="24"/>
          <w:szCs w:val="24"/>
          <w:u w:val="single"/>
        </w:rPr>
        <w:t>, do CTN, a fim de que o Estado de Goiás tenha acesso de modo facilitado e célere à situação fiscal no tocante a dívidas de natureza previdenciária das empresas beneficiárias de incentivos fiscais</w:t>
      </w:r>
      <w:r w:rsidRPr="00394F74">
        <w:rPr>
          <w:rFonts w:ascii="Arial" w:hAnsi="Arial" w:cs="Arial"/>
          <w:sz w:val="24"/>
          <w:szCs w:val="24"/>
        </w:rPr>
        <w:t>, para os fins do § 3º do art. 195 da CRFB, bem como a inserção em tempo real das informações em sistema informatizado e integrado de gestão e controle;</w:t>
      </w:r>
    </w:p>
    <w:p w14:paraId="0651C38F"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t xml:space="preserve">Tornar efetiva a fiscalização </w:t>
      </w:r>
      <w:r w:rsidRPr="00394F74">
        <w:rPr>
          <w:rFonts w:ascii="Arial" w:hAnsi="Arial" w:cs="Arial"/>
          <w:b/>
          <w:i/>
          <w:sz w:val="24"/>
          <w:szCs w:val="24"/>
        </w:rPr>
        <w:t>in loco</w:t>
      </w:r>
      <w:r w:rsidRPr="00394F74">
        <w:rPr>
          <w:rFonts w:ascii="Arial" w:hAnsi="Arial" w:cs="Arial"/>
          <w:b/>
          <w:sz w:val="24"/>
          <w:szCs w:val="24"/>
        </w:rPr>
        <w:t>, tanto quantitativa como qualitativamente, sobretudo nas auditorias de contrapartidas econômicas e sociais</w:t>
      </w:r>
      <w:r w:rsidRPr="00394F74">
        <w:rPr>
          <w:rFonts w:ascii="Arial" w:hAnsi="Arial" w:cs="Arial"/>
          <w:sz w:val="24"/>
          <w:szCs w:val="24"/>
        </w:rPr>
        <w:t xml:space="preserve">, com solução definitiva ao impasse entre a Gerência de Auditoria de Indústria e Atacado e a Gerência de Controle de Incentivos Fiscais, ou órgãos que vierem a sucedê-los, </w:t>
      </w:r>
      <w:r w:rsidRPr="00394F74">
        <w:rPr>
          <w:rFonts w:ascii="Arial" w:hAnsi="Arial" w:cs="Arial"/>
          <w:sz w:val="24"/>
          <w:szCs w:val="24"/>
          <w:u w:val="single"/>
        </w:rPr>
        <w:t xml:space="preserve">de modo que </w:t>
      </w:r>
      <w:r w:rsidRPr="00394F74">
        <w:rPr>
          <w:rFonts w:ascii="Arial" w:hAnsi="Arial" w:cs="Arial"/>
          <w:sz w:val="24"/>
          <w:szCs w:val="24"/>
          <w:u w:val="single"/>
        </w:rPr>
        <w:lastRenderedPageBreak/>
        <w:t>a auditoria fiscal seja sempre complementada pela auditoria na sede da pessoa jurídica nesses casos</w:t>
      </w:r>
      <w:r w:rsidRPr="00394F74">
        <w:rPr>
          <w:rFonts w:ascii="Arial" w:hAnsi="Arial" w:cs="Arial"/>
          <w:sz w:val="24"/>
          <w:szCs w:val="24"/>
        </w:rPr>
        <w:t>, nos termos do § 2º do art. 44 e no inciso III do art. 45 da LC nº 138/2018 e</w:t>
      </w:r>
      <w:r w:rsidRPr="00394F74">
        <w:rPr>
          <w:rFonts w:ascii="Arial" w:hAnsi="Arial" w:cs="Arial"/>
          <w:b/>
          <w:sz w:val="24"/>
          <w:szCs w:val="24"/>
        </w:rPr>
        <w:t xml:space="preserve"> </w:t>
      </w:r>
      <w:r w:rsidRPr="00394F74">
        <w:rPr>
          <w:rFonts w:ascii="Arial" w:hAnsi="Arial" w:cs="Arial"/>
          <w:sz w:val="24"/>
          <w:szCs w:val="24"/>
        </w:rPr>
        <w:t>do item 7.4 deste relatório;</w:t>
      </w:r>
    </w:p>
    <w:p w14:paraId="09C7E5D9"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t>Proceder ao lançamento de ofício do ITCD relativamente a todas as operações de alienação de créditos outorgados ou de outra natureza, relativos ao ICMS</w:t>
      </w:r>
      <w:r w:rsidRPr="00394F74">
        <w:rPr>
          <w:rFonts w:ascii="Arial" w:hAnsi="Arial" w:cs="Arial"/>
          <w:sz w:val="24"/>
          <w:szCs w:val="24"/>
        </w:rPr>
        <w:t>, nos termos da legislação de regência, referente a fatos geradores (alienações) ocorridas desde 2014, nos termos do item 7.7.2 deste relatório;</w:t>
      </w:r>
    </w:p>
    <w:p w14:paraId="54C95F57"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bCs/>
          <w:sz w:val="24"/>
          <w:szCs w:val="24"/>
        </w:rPr>
        <w:t>Auditar no mínimo as 20 (vinte) maiores empresas beneficiárias de incentivos fiscais dentre aquelas relacionadas pela Secretaria de Estado da Economia como ME ou EPP (Ofício nº 2.756/2019-Economia, p. 7/60)</w:t>
      </w:r>
      <w:r w:rsidRPr="00394F74">
        <w:rPr>
          <w:rFonts w:ascii="Arial" w:hAnsi="Arial" w:cs="Arial"/>
          <w:bCs/>
          <w:sz w:val="24"/>
          <w:szCs w:val="24"/>
        </w:rPr>
        <w:t xml:space="preserve">, perante a </w:t>
      </w:r>
      <w:r w:rsidRPr="00394F74">
        <w:rPr>
          <w:rFonts w:ascii="Arial" w:hAnsi="Arial" w:cs="Arial"/>
          <w:bCs/>
          <w:sz w:val="24"/>
          <w:szCs w:val="24"/>
          <w:u w:val="single"/>
        </w:rPr>
        <w:t>Junta Comercial</w:t>
      </w:r>
      <w:r w:rsidRPr="00394F74">
        <w:rPr>
          <w:rFonts w:ascii="Arial" w:hAnsi="Arial" w:cs="Arial"/>
          <w:bCs/>
          <w:sz w:val="24"/>
          <w:szCs w:val="24"/>
        </w:rPr>
        <w:t xml:space="preserve"> (se cadastradas como ME e EPP) e às </w:t>
      </w:r>
      <w:r w:rsidRPr="00394F74">
        <w:rPr>
          <w:rFonts w:ascii="Arial" w:hAnsi="Arial" w:cs="Arial"/>
          <w:bCs/>
          <w:sz w:val="24"/>
          <w:szCs w:val="24"/>
          <w:u w:val="single"/>
        </w:rPr>
        <w:t>Receitas Federal e Estadual</w:t>
      </w:r>
      <w:r w:rsidRPr="00394F74">
        <w:rPr>
          <w:rFonts w:ascii="Arial" w:hAnsi="Arial" w:cs="Arial"/>
          <w:bCs/>
          <w:sz w:val="24"/>
          <w:szCs w:val="24"/>
        </w:rPr>
        <w:t xml:space="preserve"> (se cadastradas como ME, EPP e eventual enquadramento no Simples Nacional)</w:t>
      </w:r>
      <w:r w:rsidRPr="00394F74">
        <w:rPr>
          <w:rFonts w:ascii="Arial" w:hAnsi="Arial" w:cs="Arial"/>
          <w:sz w:val="24"/>
          <w:szCs w:val="24"/>
        </w:rPr>
        <w:t xml:space="preserve">, para aferir </w:t>
      </w:r>
      <w:r w:rsidRPr="00394F74">
        <w:rPr>
          <w:rFonts w:ascii="Arial" w:hAnsi="Arial" w:cs="Arial"/>
          <w:bCs/>
          <w:sz w:val="24"/>
          <w:szCs w:val="24"/>
        </w:rPr>
        <w:t>a real situação financeira e enquadramento fiscal,</w:t>
      </w:r>
      <w:r w:rsidRPr="00394F74">
        <w:rPr>
          <w:rFonts w:ascii="Arial" w:hAnsi="Arial" w:cs="Arial"/>
          <w:b/>
          <w:bCs/>
          <w:sz w:val="24"/>
          <w:szCs w:val="24"/>
        </w:rPr>
        <w:t xml:space="preserve"> </w:t>
      </w:r>
      <w:r w:rsidRPr="00394F74">
        <w:rPr>
          <w:rFonts w:ascii="Arial" w:hAnsi="Arial" w:cs="Arial"/>
          <w:sz w:val="24"/>
          <w:szCs w:val="24"/>
        </w:rPr>
        <w:t>bem como eventual incompatibilidade entre o valor de incentivos fiscais fruídos no âmbito dos programas estaduais e de crédito outorgado, nos termos do item 9.1 deste relatório;</w:t>
      </w:r>
    </w:p>
    <w:p w14:paraId="4C5B7E92" w14:textId="2DB2FC7C" w:rsidR="009B1AD0" w:rsidRPr="00394F74" w:rsidRDefault="009B1AD0" w:rsidP="009B1AD0">
      <w:pPr>
        <w:pStyle w:val="PargrafodaLista"/>
        <w:numPr>
          <w:ilvl w:val="3"/>
          <w:numId w:val="62"/>
        </w:numPr>
        <w:spacing w:line="360" w:lineRule="auto"/>
        <w:jc w:val="both"/>
        <w:rPr>
          <w:rFonts w:ascii="Arial" w:hAnsi="Arial" w:cs="Arial"/>
          <w:b/>
          <w:sz w:val="24"/>
          <w:szCs w:val="24"/>
          <w:u w:val="single"/>
        </w:rPr>
      </w:pPr>
      <w:r w:rsidRPr="00394F74">
        <w:rPr>
          <w:rFonts w:ascii="Arial" w:hAnsi="Arial" w:cs="Arial"/>
          <w:b/>
          <w:sz w:val="24"/>
          <w:szCs w:val="24"/>
        </w:rPr>
        <w:t>Nomear todos os 120 (cento e vinte) candidatos aprovados no concurso público para o fisco goiano, regido pelo Edital nº 001/2018</w:t>
      </w:r>
      <w:r w:rsidRPr="00394F74">
        <w:rPr>
          <w:rFonts w:ascii="Arial" w:hAnsi="Arial" w:cs="Arial"/>
          <w:sz w:val="24"/>
          <w:szCs w:val="24"/>
        </w:rPr>
        <w:t>, incluídos nesse número os aprovados no cadastro de reserva e os candidatos com deficiência, certame esse realizado pela Fundação Carlos Chagas – FCC e com resultado homologado em 17/12/2018, para reforçar o quadro de pessoal do fisco para o cumprimento das recomendações anteriores e demais ativ</w:t>
      </w:r>
      <w:r w:rsidR="00D45577">
        <w:rPr>
          <w:rFonts w:ascii="Arial" w:hAnsi="Arial" w:cs="Arial"/>
          <w:sz w:val="24"/>
          <w:szCs w:val="24"/>
        </w:rPr>
        <w:t>idades de fiscalização, detectadas como ineficientes por esta CPI</w:t>
      </w:r>
      <w:r w:rsidRPr="00394F74">
        <w:rPr>
          <w:rFonts w:ascii="Arial" w:hAnsi="Arial" w:cs="Arial"/>
          <w:sz w:val="24"/>
          <w:szCs w:val="24"/>
        </w:rPr>
        <w:t>.</w:t>
      </w:r>
    </w:p>
    <w:p w14:paraId="6D138B71" w14:textId="77777777" w:rsidR="009B1AD0" w:rsidRDefault="009B1AD0" w:rsidP="009B1AD0">
      <w:pPr>
        <w:pStyle w:val="PargrafodaLista"/>
        <w:spacing w:line="360" w:lineRule="auto"/>
        <w:ind w:left="915"/>
        <w:jc w:val="both"/>
        <w:rPr>
          <w:rFonts w:ascii="Arial" w:hAnsi="Arial" w:cs="Arial"/>
          <w:b/>
          <w:sz w:val="24"/>
          <w:szCs w:val="24"/>
        </w:rPr>
      </w:pPr>
    </w:p>
    <w:p w14:paraId="21D9572D" w14:textId="77777777" w:rsidR="009B1AD0" w:rsidRPr="005E0E9E" w:rsidRDefault="009B1AD0" w:rsidP="009B1AD0">
      <w:pPr>
        <w:pStyle w:val="PargrafodaLista"/>
        <w:numPr>
          <w:ilvl w:val="2"/>
          <w:numId w:val="62"/>
        </w:numPr>
        <w:spacing w:line="360" w:lineRule="auto"/>
        <w:jc w:val="both"/>
        <w:rPr>
          <w:rFonts w:ascii="Arial" w:hAnsi="Arial" w:cs="Arial"/>
          <w:b/>
          <w:sz w:val="24"/>
          <w:szCs w:val="24"/>
        </w:rPr>
      </w:pPr>
      <w:r w:rsidRPr="005E0E9E">
        <w:rPr>
          <w:rFonts w:ascii="Arial" w:hAnsi="Arial" w:cs="Arial"/>
          <w:b/>
          <w:sz w:val="24"/>
          <w:szCs w:val="24"/>
          <w:u w:val="single"/>
        </w:rPr>
        <w:t>No âmbito do requisito de regularidade ambiental, sem prejuízo das medidas recomendadas no item 13.1.2 deste relatório, supra</w:t>
      </w:r>
      <w:r w:rsidRPr="005E0E9E">
        <w:rPr>
          <w:rFonts w:ascii="Arial" w:hAnsi="Arial" w:cs="Arial"/>
          <w:b/>
          <w:sz w:val="24"/>
          <w:szCs w:val="24"/>
        </w:rPr>
        <w:t>:</w:t>
      </w:r>
    </w:p>
    <w:p w14:paraId="29F22D32" w14:textId="77777777" w:rsidR="009B1AD0" w:rsidRPr="005E0E9E" w:rsidRDefault="009B1AD0" w:rsidP="009B1AD0">
      <w:pPr>
        <w:pStyle w:val="PargrafodaLista"/>
        <w:spacing w:line="360" w:lineRule="auto"/>
        <w:ind w:left="1224"/>
        <w:jc w:val="both"/>
        <w:rPr>
          <w:rFonts w:ascii="Arial" w:hAnsi="Arial" w:cs="Arial"/>
          <w:b/>
          <w:sz w:val="24"/>
          <w:szCs w:val="24"/>
        </w:rPr>
      </w:pPr>
    </w:p>
    <w:p w14:paraId="4ABC9475" w14:textId="77777777" w:rsidR="009B1AD0" w:rsidRPr="005E0E9E" w:rsidRDefault="009B1AD0" w:rsidP="009B1AD0">
      <w:pPr>
        <w:pStyle w:val="PargrafodaLista"/>
        <w:numPr>
          <w:ilvl w:val="3"/>
          <w:numId w:val="62"/>
        </w:numPr>
        <w:spacing w:line="360" w:lineRule="auto"/>
        <w:jc w:val="both"/>
        <w:rPr>
          <w:rFonts w:ascii="Arial" w:hAnsi="Arial" w:cs="Arial"/>
          <w:sz w:val="24"/>
          <w:szCs w:val="24"/>
        </w:rPr>
      </w:pPr>
      <w:r w:rsidRPr="005E0E9E">
        <w:rPr>
          <w:rFonts w:ascii="Arial" w:hAnsi="Arial" w:cs="Arial"/>
          <w:b/>
          <w:sz w:val="24"/>
          <w:szCs w:val="24"/>
        </w:rPr>
        <w:t xml:space="preserve">Viabilizar e implantar um sistema integrado entre as Secretarias de Estado da Indústria e Comércio, da Economia e do Meio </w:t>
      </w:r>
      <w:r w:rsidRPr="005E0E9E">
        <w:rPr>
          <w:rFonts w:ascii="Arial" w:hAnsi="Arial" w:cs="Arial"/>
          <w:b/>
          <w:sz w:val="24"/>
          <w:szCs w:val="24"/>
        </w:rPr>
        <w:lastRenderedPageBreak/>
        <w:t>Ambiente e Desenvolvimento Sustentável</w:t>
      </w:r>
      <w:r w:rsidRPr="005E0E9E">
        <w:rPr>
          <w:rFonts w:ascii="Arial" w:hAnsi="Arial" w:cs="Arial"/>
          <w:sz w:val="24"/>
          <w:szCs w:val="24"/>
        </w:rPr>
        <w:t>,</w:t>
      </w:r>
      <w:r w:rsidRPr="005E0E9E">
        <w:rPr>
          <w:rFonts w:ascii="Arial" w:hAnsi="Arial" w:cs="Arial"/>
          <w:b/>
          <w:sz w:val="24"/>
          <w:szCs w:val="24"/>
        </w:rPr>
        <w:t xml:space="preserve"> </w:t>
      </w:r>
      <w:r w:rsidRPr="005E0E9E">
        <w:rPr>
          <w:rFonts w:ascii="Arial" w:hAnsi="Arial" w:cs="Arial"/>
          <w:sz w:val="24"/>
          <w:szCs w:val="24"/>
        </w:rPr>
        <w:t xml:space="preserve">pelo qual se possa </w:t>
      </w:r>
      <w:r w:rsidRPr="005E0E9E">
        <w:rPr>
          <w:rFonts w:ascii="Arial" w:hAnsi="Arial" w:cs="Arial"/>
          <w:sz w:val="24"/>
          <w:szCs w:val="24"/>
          <w:u w:val="single"/>
        </w:rPr>
        <w:t>acompanhar, em tempo real, a existência de autuações e condenações ambientais em desfavor das empresas beneficiárias de incentivos fiscais no Estado de Goiás e também a situação das respectivas licenças ambientais</w:t>
      </w:r>
      <w:r w:rsidRPr="005E0E9E">
        <w:rPr>
          <w:rFonts w:ascii="Arial" w:hAnsi="Arial" w:cs="Arial"/>
          <w:sz w:val="24"/>
          <w:szCs w:val="24"/>
        </w:rPr>
        <w:t>, de modo a facilitar o trâmite dessas informações entre as referidas pastas de forma célere, sem necessidade de requisições formais;</w:t>
      </w:r>
    </w:p>
    <w:p w14:paraId="3F98164F" w14:textId="77777777" w:rsidR="009B1AD0" w:rsidRPr="005E0E9E" w:rsidRDefault="009B1AD0" w:rsidP="009B1AD0">
      <w:pPr>
        <w:pStyle w:val="PargrafodaLista"/>
        <w:numPr>
          <w:ilvl w:val="3"/>
          <w:numId w:val="62"/>
        </w:numPr>
        <w:spacing w:line="360" w:lineRule="auto"/>
        <w:jc w:val="both"/>
        <w:rPr>
          <w:rFonts w:ascii="Arial" w:hAnsi="Arial" w:cs="Arial"/>
          <w:sz w:val="24"/>
          <w:szCs w:val="24"/>
        </w:rPr>
      </w:pPr>
      <w:r w:rsidRPr="005E0E9E">
        <w:rPr>
          <w:rFonts w:ascii="Arial" w:hAnsi="Arial" w:cs="Arial"/>
          <w:b/>
          <w:sz w:val="24"/>
          <w:szCs w:val="24"/>
        </w:rPr>
        <w:t>Formalizar convênio com os órgãos ambientais competentes, ao menos em nível federal num primeiro momento (IBAMA e ICMBIO)</w:t>
      </w:r>
      <w:r w:rsidRPr="005E0E9E">
        <w:rPr>
          <w:rFonts w:ascii="Arial" w:hAnsi="Arial" w:cs="Arial"/>
          <w:sz w:val="24"/>
          <w:szCs w:val="24"/>
        </w:rPr>
        <w:t>,</w:t>
      </w:r>
      <w:r w:rsidRPr="005E0E9E">
        <w:rPr>
          <w:rFonts w:ascii="Arial" w:hAnsi="Arial" w:cs="Arial"/>
          <w:b/>
          <w:sz w:val="24"/>
          <w:szCs w:val="24"/>
        </w:rPr>
        <w:t xml:space="preserve"> </w:t>
      </w:r>
      <w:r w:rsidRPr="005E0E9E">
        <w:rPr>
          <w:rFonts w:ascii="Arial" w:hAnsi="Arial" w:cs="Arial"/>
          <w:sz w:val="24"/>
          <w:szCs w:val="24"/>
        </w:rPr>
        <w:t>a fim de conhecer as empresas beneficiárias de incentivos fiscais no Estado de Goiás que eventualmente tenham sido autuadas e condenadas por decisão final administrativa desses órgãos ambientais;</w:t>
      </w:r>
    </w:p>
    <w:p w14:paraId="489CAB51" w14:textId="77777777" w:rsidR="009B1AD0" w:rsidRPr="005E0E9E" w:rsidRDefault="009B1AD0" w:rsidP="009B1AD0">
      <w:pPr>
        <w:pStyle w:val="PargrafodaLista"/>
        <w:numPr>
          <w:ilvl w:val="3"/>
          <w:numId w:val="62"/>
        </w:numPr>
        <w:spacing w:line="360" w:lineRule="auto"/>
        <w:jc w:val="both"/>
        <w:rPr>
          <w:rFonts w:ascii="Arial" w:hAnsi="Arial" w:cs="Arial"/>
          <w:sz w:val="24"/>
          <w:szCs w:val="24"/>
        </w:rPr>
      </w:pPr>
      <w:r w:rsidRPr="005E0E9E">
        <w:rPr>
          <w:rFonts w:ascii="Arial" w:hAnsi="Arial" w:cs="Arial"/>
          <w:b/>
          <w:sz w:val="24"/>
          <w:szCs w:val="24"/>
        </w:rPr>
        <w:t>A fiscalização ambiental passe a</w:t>
      </w:r>
      <w:r w:rsidRPr="005E0E9E">
        <w:rPr>
          <w:rFonts w:ascii="Arial" w:hAnsi="Arial" w:cs="Arial"/>
          <w:sz w:val="24"/>
          <w:szCs w:val="24"/>
        </w:rPr>
        <w:t>:</w:t>
      </w:r>
    </w:p>
    <w:p w14:paraId="3D651B5E" w14:textId="77777777" w:rsidR="009B1AD0" w:rsidRPr="005E0E9E" w:rsidRDefault="009B1AD0" w:rsidP="009B1AD0">
      <w:pPr>
        <w:pStyle w:val="PargrafodaLista"/>
        <w:numPr>
          <w:ilvl w:val="4"/>
          <w:numId w:val="62"/>
        </w:numPr>
        <w:spacing w:line="360" w:lineRule="auto"/>
        <w:ind w:left="1843" w:hanging="403"/>
        <w:jc w:val="both"/>
        <w:rPr>
          <w:rFonts w:ascii="Arial" w:hAnsi="Arial" w:cs="Arial"/>
          <w:sz w:val="24"/>
          <w:szCs w:val="24"/>
        </w:rPr>
      </w:pPr>
      <w:r w:rsidRPr="005E0E9E">
        <w:rPr>
          <w:rFonts w:ascii="Arial" w:hAnsi="Arial" w:cs="Arial"/>
          <w:sz w:val="24"/>
          <w:szCs w:val="24"/>
          <w:u w:val="single"/>
        </w:rPr>
        <w:t>descrever claramente, no auto de infração, o termo inicial da prática nociva</w:t>
      </w:r>
      <w:r w:rsidRPr="005E0E9E">
        <w:rPr>
          <w:rFonts w:ascii="Arial" w:hAnsi="Arial" w:cs="Arial"/>
          <w:sz w:val="24"/>
          <w:szCs w:val="24"/>
        </w:rPr>
        <w:t xml:space="preserve"> ao meio ambiente que ensejar a autuação da empresa e o período durante o qual permaneceu a referida prática;</w:t>
      </w:r>
    </w:p>
    <w:p w14:paraId="6AD7AFED" w14:textId="77777777" w:rsidR="009B1AD0" w:rsidRPr="005E0E9E" w:rsidRDefault="009B1AD0" w:rsidP="009B1AD0">
      <w:pPr>
        <w:pStyle w:val="PargrafodaLista"/>
        <w:numPr>
          <w:ilvl w:val="4"/>
          <w:numId w:val="62"/>
        </w:numPr>
        <w:spacing w:line="360" w:lineRule="auto"/>
        <w:ind w:left="1843" w:hanging="403"/>
        <w:jc w:val="both"/>
        <w:rPr>
          <w:rFonts w:ascii="Arial" w:hAnsi="Arial" w:cs="Arial"/>
          <w:sz w:val="24"/>
          <w:szCs w:val="24"/>
        </w:rPr>
      </w:pPr>
      <w:r w:rsidRPr="005E0E9E">
        <w:rPr>
          <w:rFonts w:ascii="Arial" w:hAnsi="Arial" w:cs="Arial"/>
          <w:sz w:val="24"/>
          <w:szCs w:val="24"/>
          <w:u w:val="single"/>
        </w:rPr>
        <w:t>consignar no auto de infração a perda de incentivos fiscais</w:t>
      </w:r>
      <w:r w:rsidRPr="005E0E9E">
        <w:rPr>
          <w:rFonts w:ascii="Arial" w:hAnsi="Arial" w:cs="Arial"/>
          <w:sz w:val="24"/>
          <w:szCs w:val="24"/>
        </w:rPr>
        <w:t xml:space="preserve">, relativamente a todo o período durante o qual permaneceu o descumprimento da legislação ambiental (CE/GO, art. 132, § 4º), </w:t>
      </w:r>
      <w:r w:rsidRPr="005E0E9E">
        <w:rPr>
          <w:rFonts w:ascii="Arial" w:hAnsi="Arial" w:cs="Arial"/>
          <w:sz w:val="24"/>
          <w:szCs w:val="24"/>
          <w:u w:val="single"/>
        </w:rPr>
        <w:t>e eventual restrição para sua utilização em períodos futuros, especificado pela autoridade ambiental fiscalizadora</w:t>
      </w:r>
      <w:r w:rsidRPr="005E0E9E">
        <w:rPr>
          <w:rFonts w:ascii="Arial" w:hAnsi="Arial" w:cs="Arial"/>
          <w:sz w:val="24"/>
          <w:szCs w:val="24"/>
        </w:rPr>
        <w:t>, nos termos do art. 25, III, da Lei nº 18.102/2013, sem prejuízo das demais medidas e penalidades que o caso requerer;</w:t>
      </w:r>
    </w:p>
    <w:p w14:paraId="6F84FB93" w14:textId="77777777" w:rsidR="009B1AD0" w:rsidRPr="005E0E9E" w:rsidRDefault="009B1AD0" w:rsidP="009B1AD0">
      <w:pPr>
        <w:pStyle w:val="PargrafodaLista"/>
        <w:numPr>
          <w:ilvl w:val="3"/>
          <w:numId w:val="62"/>
        </w:numPr>
        <w:spacing w:line="360" w:lineRule="auto"/>
        <w:jc w:val="both"/>
        <w:rPr>
          <w:rFonts w:ascii="Arial" w:hAnsi="Arial" w:cs="Arial"/>
          <w:sz w:val="24"/>
          <w:szCs w:val="24"/>
        </w:rPr>
      </w:pPr>
      <w:r w:rsidRPr="005E0E9E">
        <w:rPr>
          <w:rFonts w:ascii="Arial" w:hAnsi="Arial" w:cs="Arial"/>
          <w:b/>
          <w:sz w:val="24"/>
          <w:szCs w:val="24"/>
        </w:rPr>
        <w:t>Apurar eventual ilícitos funcionais decorrentes da excessiva paralização dos processos administrativos ambientais</w:t>
      </w:r>
      <w:r w:rsidRPr="005E0E9E">
        <w:rPr>
          <w:rFonts w:ascii="Arial" w:hAnsi="Arial" w:cs="Arial"/>
          <w:sz w:val="24"/>
          <w:szCs w:val="24"/>
        </w:rPr>
        <w:t xml:space="preserve">, tendo em vista os excessivos números quanto à prescrição de processos administrativos, </w:t>
      </w:r>
      <w:r w:rsidRPr="005E0E9E">
        <w:rPr>
          <w:rFonts w:ascii="Arial" w:hAnsi="Arial" w:cs="Arial"/>
          <w:sz w:val="24"/>
          <w:szCs w:val="24"/>
          <w:u w:val="single"/>
        </w:rPr>
        <w:t>além de determinar a efetiva reparação do dano ambiental das empresas que tiveram reconhecido em seu favor a prescrição</w:t>
      </w:r>
      <w:r w:rsidRPr="005E0E9E">
        <w:rPr>
          <w:rFonts w:ascii="Arial" w:hAnsi="Arial" w:cs="Arial"/>
          <w:sz w:val="24"/>
          <w:szCs w:val="24"/>
        </w:rPr>
        <w:t xml:space="preserve"> (Lei nº 18.102/2013, art. 26, §§ 2º e 4º), sem prejuízo da apuração pelo MPGO conforme item 13.4.2.8 deste relatório;</w:t>
      </w:r>
    </w:p>
    <w:p w14:paraId="5BB42692" w14:textId="77777777" w:rsidR="009B1AD0" w:rsidRPr="005E0E9E" w:rsidRDefault="009B1AD0" w:rsidP="009B1AD0">
      <w:pPr>
        <w:pStyle w:val="PargrafodaLista"/>
        <w:numPr>
          <w:ilvl w:val="3"/>
          <w:numId w:val="62"/>
        </w:numPr>
        <w:spacing w:line="360" w:lineRule="auto"/>
        <w:jc w:val="both"/>
        <w:rPr>
          <w:rFonts w:ascii="Arial" w:hAnsi="Arial" w:cs="Arial"/>
          <w:sz w:val="24"/>
          <w:szCs w:val="24"/>
        </w:rPr>
      </w:pPr>
      <w:r w:rsidRPr="005E0E9E">
        <w:rPr>
          <w:rFonts w:ascii="Arial" w:hAnsi="Arial" w:cs="Arial"/>
          <w:b/>
          <w:sz w:val="24"/>
          <w:szCs w:val="24"/>
        </w:rPr>
        <w:t>Apurar o motivo de diversas empresas terem quitado valor inferior ao fixado na decisão administrativa final</w:t>
      </w:r>
      <w:r w:rsidRPr="005E0E9E">
        <w:rPr>
          <w:rFonts w:ascii="Arial" w:hAnsi="Arial" w:cs="Arial"/>
          <w:sz w:val="24"/>
          <w:szCs w:val="24"/>
        </w:rPr>
        <w:t xml:space="preserve">, nos termos do item </w:t>
      </w:r>
      <w:r w:rsidRPr="005E0E9E">
        <w:rPr>
          <w:rFonts w:ascii="Arial" w:hAnsi="Arial" w:cs="Arial"/>
          <w:sz w:val="24"/>
          <w:szCs w:val="24"/>
        </w:rPr>
        <w:lastRenderedPageBreak/>
        <w:t>8.3.7 deste relatório, e, caso não constatem qualquer justificativa, seja encaminhado ao órgão competente para inscrição em dívida ativa relativamente à diferença apurada e demais providências que o caso requerer;</w:t>
      </w:r>
    </w:p>
    <w:p w14:paraId="293885BC" w14:textId="77777777" w:rsidR="009B1AD0" w:rsidRPr="005E0E9E" w:rsidRDefault="009B1AD0" w:rsidP="009B1AD0">
      <w:pPr>
        <w:pStyle w:val="PargrafodaLista"/>
        <w:numPr>
          <w:ilvl w:val="3"/>
          <w:numId w:val="62"/>
        </w:numPr>
        <w:spacing w:line="360" w:lineRule="auto"/>
        <w:jc w:val="both"/>
        <w:rPr>
          <w:rFonts w:ascii="Arial" w:hAnsi="Arial" w:cs="Arial"/>
          <w:sz w:val="24"/>
          <w:szCs w:val="24"/>
        </w:rPr>
      </w:pPr>
      <w:r w:rsidRPr="005E0E9E">
        <w:rPr>
          <w:rFonts w:ascii="Arial" w:hAnsi="Arial" w:cs="Arial"/>
          <w:b/>
          <w:sz w:val="24"/>
          <w:szCs w:val="24"/>
        </w:rPr>
        <w:t>Apurar se, em relação às empresas autuadas e mencionadas neste relatório, é possível determinar o período, a partir de 2014, durante o qual perdurou a irregularidade ambiental, nos termos dos itens 8.3.7 e 8.3.8 deste relatório e de outras diretrizes técnicas do órgão</w:t>
      </w:r>
      <w:r w:rsidRPr="005E0E9E">
        <w:rPr>
          <w:rFonts w:ascii="Arial" w:hAnsi="Arial" w:cs="Arial"/>
          <w:sz w:val="24"/>
          <w:szCs w:val="24"/>
        </w:rPr>
        <w:t>, e, uma vez formalizada essa identificação, seja o feito encaminhado à Secretaria de Estado da Economia para constituição do respectivo crédito tributário e posterior inscrição em dívida ativa, se necessário, relativamente aos valores indevidamente fruídos a título de incentivos fiscais e posterior adoção das medidas executivas pertinentes pelo órgão de advocacia pública estatal, com fulcro no § 4º do art. 132 da CE/GO;</w:t>
      </w:r>
    </w:p>
    <w:p w14:paraId="786F36D7" w14:textId="77777777" w:rsidR="009B1AD0" w:rsidRPr="005E0E9E" w:rsidRDefault="009B1AD0" w:rsidP="009B1AD0">
      <w:pPr>
        <w:pStyle w:val="PargrafodaLista"/>
        <w:numPr>
          <w:ilvl w:val="3"/>
          <w:numId w:val="62"/>
        </w:numPr>
        <w:spacing w:line="360" w:lineRule="auto"/>
        <w:jc w:val="both"/>
        <w:rPr>
          <w:rFonts w:ascii="Arial" w:hAnsi="Arial" w:cs="Arial"/>
          <w:sz w:val="24"/>
          <w:szCs w:val="24"/>
        </w:rPr>
      </w:pPr>
      <w:r w:rsidRPr="005E0E9E">
        <w:rPr>
          <w:rFonts w:ascii="Arial" w:hAnsi="Arial" w:cs="Arial"/>
          <w:b/>
          <w:sz w:val="24"/>
          <w:szCs w:val="24"/>
        </w:rPr>
        <w:t>Suspender os contratos das empresas inscritas nos Programas Fomentar/Produzir autuadas por infração ambiental nos termos dos itens 8.3.7 deste relatório</w:t>
      </w:r>
      <w:r w:rsidRPr="005E0E9E">
        <w:rPr>
          <w:rFonts w:ascii="Arial" w:hAnsi="Arial" w:cs="Arial"/>
          <w:sz w:val="24"/>
          <w:szCs w:val="24"/>
        </w:rPr>
        <w:t>, pelo período mínimo de 2 (dois) meses, duplicado a cada reincidência, nos termos dos arts. 7º, § 1º, III, da Lei nº 11.180/1990 e 24, § 1º, IV, da Lei nº 13.591/2000, sem prejuízo das demais penalidades aplicadas e da revogação do contrato e TARE firmados especificamente com as seguintes pessoas jurídicas:</w:t>
      </w:r>
    </w:p>
    <w:p w14:paraId="5D97C320" w14:textId="77777777" w:rsidR="009B1AD0" w:rsidRPr="005E0E9E" w:rsidRDefault="009B1AD0" w:rsidP="009B1AD0">
      <w:pPr>
        <w:pStyle w:val="PargrafodaLista"/>
        <w:numPr>
          <w:ilvl w:val="4"/>
          <w:numId w:val="62"/>
        </w:numPr>
        <w:spacing w:line="360" w:lineRule="auto"/>
        <w:ind w:left="1843" w:hanging="403"/>
        <w:jc w:val="both"/>
        <w:rPr>
          <w:rFonts w:ascii="Arial" w:hAnsi="Arial" w:cs="Arial"/>
          <w:sz w:val="24"/>
          <w:szCs w:val="24"/>
        </w:rPr>
      </w:pPr>
      <w:r w:rsidRPr="005E0E9E">
        <w:rPr>
          <w:rFonts w:ascii="Arial" w:hAnsi="Arial" w:cs="Arial"/>
          <w:color w:val="000000"/>
          <w:sz w:val="24"/>
          <w:szCs w:val="24"/>
          <w:u w:val="single"/>
        </w:rPr>
        <w:t>Vale do Verdão S.A – Açúcar e Álcool</w:t>
      </w:r>
      <w:r w:rsidRPr="005E0E9E">
        <w:rPr>
          <w:rFonts w:ascii="Arial" w:hAnsi="Arial" w:cs="Arial"/>
          <w:color w:val="000000"/>
          <w:sz w:val="24"/>
          <w:szCs w:val="24"/>
        </w:rPr>
        <w:t xml:space="preserve"> (CNPJ nº 02.859.452/0002-30), devido ao excessivo número de autos de infração contra a pessoa jurídica</w:t>
      </w:r>
      <w:r w:rsidRPr="005E0E9E">
        <w:rPr>
          <w:rFonts w:ascii="Arial" w:hAnsi="Arial" w:cs="Arial"/>
          <w:sz w:val="24"/>
          <w:szCs w:val="24"/>
        </w:rPr>
        <w:t>;</w:t>
      </w:r>
    </w:p>
    <w:p w14:paraId="2225878E" w14:textId="77777777" w:rsidR="009B1AD0" w:rsidRPr="005E0E9E" w:rsidRDefault="009B1AD0" w:rsidP="009B1AD0">
      <w:pPr>
        <w:pStyle w:val="PargrafodaLista"/>
        <w:numPr>
          <w:ilvl w:val="4"/>
          <w:numId w:val="62"/>
        </w:numPr>
        <w:spacing w:line="360" w:lineRule="auto"/>
        <w:ind w:left="1843" w:hanging="403"/>
        <w:jc w:val="both"/>
        <w:rPr>
          <w:rFonts w:ascii="Arial" w:hAnsi="Arial" w:cs="Arial"/>
          <w:color w:val="000000"/>
          <w:sz w:val="24"/>
          <w:szCs w:val="24"/>
        </w:rPr>
      </w:pPr>
      <w:r w:rsidRPr="005E0E9E">
        <w:rPr>
          <w:rFonts w:ascii="Arial" w:hAnsi="Arial" w:cs="Arial"/>
          <w:sz w:val="24"/>
          <w:szCs w:val="24"/>
          <w:u w:val="single"/>
        </w:rPr>
        <w:t>de todas as pessoas jurídicas cujo valor total de multa aplicado exceder a R$ 50.000,00 (cinquenta mil reais)</w:t>
      </w:r>
      <w:r w:rsidRPr="005E0E9E">
        <w:rPr>
          <w:rFonts w:ascii="Arial" w:hAnsi="Arial" w:cs="Arial"/>
          <w:sz w:val="24"/>
          <w:szCs w:val="24"/>
        </w:rPr>
        <w:t xml:space="preserve">, como </w:t>
      </w:r>
      <w:r w:rsidRPr="005E0E9E">
        <w:rPr>
          <w:rFonts w:ascii="Arial" w:hAnsi="Arial" w:cs="Arial"/>
          <w:color w:val="000000"/>
          <w:sz w:val="24"/>
          <w:szCs w:val="24"/>
        </w:rPr>
        <w:t>Bela Vista Ltda (CNPJ nº 02.089.969/0005-30), Bunge Alimentos S.A (CNPJ nº 84.046.101/0057-48) e outras;</w:t>
      </w:r>
    </w:p>
    <w:p w14:paraId="14CE1FC4" w14:textId="77777777" w:rsidR="009B1AD0" w:rsidRPr="005E0E9E" w:rsidRDefault="009B1AD0" w:rsidP="009B1AD0">
      <w:pPr>
        <w:pStyle w:val="PargrafodaLista"/>
        <w:numPr>
          <w:ilvl w:val="3"/>
          <w:numId w:val="62"/>
        </w:numPr>
        <w:spacing w:line="360" w:lineRule="auto"/>
        <w:jc w:val="both"/>
        <w:rPr>
          <w:rFonts w:ascii="Arial" w:hAnsi="Arial" w:cs="Arial"/>
          <w:sz w:val="24"/>
          <w:szCs w:val="24"/>
        </w:rPr>
      </w:pPr>
      <w:r w:rsidRPr="005E0E9E">
        <w:rPr>
          <w:rFonts w:ascii="Arial" w:hAnsi="Arial" w:cs="Arial"/>
          <w:b/>
          <w:sz w:val="24"/>
          <w:szCs w:val="24"/>
        </w:rPr>
        <w:t>Suspender os TARE’s das 100 (cem) maiores beneficiadas por incentivos fiscais no Estado de Goiás que tenham escriturado apenas crédito outorgado e condenadas por infração ambiental</w:t>
      </w:r>
      <w:r w:rsidRPr="005E0E9E">
        <w:rPr>
          <w:rFonts w:ascii="Arial" w:hAnsi="Arial" w:cs="Arial"/>
          <w:sz w:val="24"/>
          <w:szCs w:val="24"/>
        </w:rPr>
        <w:t xml:space="preserve">, </w:t>
      </w:r>
      <w:r w:rsidRPr="005E0E9E">
        <w:rPr>
          <w:rFonts w:ascii="Arial" w:hAnsi="Arial" w:cs="Arial"/>
          <w:sz w:val="24"/>
          <w:szCs w:val="24"/>
        </w:rPr>
        <w:lastRenderedPageBreak/>
        <w:t>nos termos do item 8.3.8 deste relatório,</w:t>
      </w:r>
      <w:r w:rsidRPr="005E0E9E">
        <w:rPr>
          <w:rFonts w:ascii="Arial" w:hAnsi="Arial" w:cs="Arial"/>
          <w:b/>
          <w:sz w:val="24"/>
          <w:szCs w:val="24"/>
        </w:rPr>
        <w:t xml:space="preserve"> </w:t>
      </w:r>
      <w:r w:rsidRPr="005E0E9E">
        <w:rPr>
          <w:rFonts w:ascii="Arial" w:hAnsi="Arial" w:cs="Arial"/>
          <w:sz w:val="24"/>
          <w:szCs w:val="24"/>
        </w:rPr>
        <w:t>suspensão essa pelo período mínimo de 2 (dois) meses, duplicado a cada reincidência, além da revogação dos TARE’s de todos os CNPJ’s da JBS S/A, inclusive os não referidos especificamente neste relatório;</w:t>
      </w:r>
    </w:p>
    <w:p w14:paraId="42A55920" w14:textId="77777777" w:rsidR="009B1AD0" w:rsidRPr="005E0E9E" w:rsidRDefault="009B1AD0" w:rsidP="009B1AD0">
      <w:pPr>
        <w:pStyle w:val="PargrafodaLista"/>
        <w:numPr>
          <w:ilvl w:val="3"/>
          <w:numId w:val="62"/>
        </w:numPr>
        <w:spacing w:line="360" w:lineRule="auto"/>
        <w:jc w:val="both"/>
        <w:rPr>
          <w:rFonts w:ascii="Arial" w:hAnsi="Arial" w:cs="Arial"/>
          <w:sz w:val="24"/>
          <w:szCs w:val="24"/>
        </w:rPr>
      </w:pPr>
      <w:r w:rsidRPr="005E0E9E">
        <w:rPr>
          <w:rFonts w:ascii="Arial" w:hAnsi="Arial" w:cs="Arial"/>
          <w:b/>
          <w:sz w:val="24"/>
          <w:szCs w:val="24"/>
        </w:rPr>
        <w:t>Reduzir o valor da multa imposta ou mantida em 1ª instância administrativa</w:t>
      </w:r>
      <w:r w:rsidRPr="005E0E9E">
        <w:rPr>
          <w:rFonts w:ascii="Arial" w:hAnsi="Arial" w:cs="Arial"/>
          <w:sz w:val="24"/>
          <w:szCs w:val="24"/>
        </w:rPr>
        <w:t>, por motivo de infração à legislação ambiental, nos processos que ainda estejam em fase recursal de pessoas jurídicas beneficiárias de incentivos fiscais do Estado de Goiás, a exemplo dos casos constatados por esta CPI em consulta à página da SEMAD (nºs 6896/2016 e 8858/2016).</w:t>
      </w:r>
    </w:p>
    <w:p w14:paraId="5C58FFEF" w14:textId="77777777" w:rsidR="009B1AD0" w:rsidRPr="005E0E9E" w:rsidRDefault="009B1AD0" w:rsidP="009B1AD0">
      <w:pPr>
        <w:pStyle w:val="PargrafodaLista"/>
        <w:spacing w:line="360" w:lineRule="auto"/>
        <w:ind w:left="851"/>
        <w:jc w:val="both"/>
        <w:rPr>
          <w:rFonts w:ascii="Arial" w:hAnsi="Arial" w:cs="Arial"/>
          <w:b/>
          <w:sz w:val="24"/>
          <w:szCs w:val="24"/>
        </w:rPr>
      </w:pPr>
    </w:p>
    <w:p w14:paraId="5D5F4F76" w14:textId="77777777" w:rsidR="009B1AD0" w:rsidRPr="005E0E9E" w:rsidRDefault="009B1AD0" w:rsidP="009B1AD0">
      <w:pPr>
        <w:pStyle w:val="PargrafodaLista"/>
        <w:numPr>
          <w:ilvl w:val="2"/>
          <w:numId w:val="62"/>
        </w:numPr>
        <w:spacing w:line="360" w:lineRule="auto"/>
        <w:jc w:val="both"/>
        <w:rPr>
          <w:rFonts w:ascii="Arial" w:hAnsi="Arial" w:cs="Arial"/>
          <w:b/>
          <w:sz w:val="24"/>
          <w:szCs w:val="24"/>
        </w:rPr>
      </w:pPr>
      <w:r w:rsidRPr="005E0E9E">
        <w:rPr>
          <w:rFonts w:ascii="Arial" w:hAnsi="Arial" w:cs="Arial"/>
          <w:b/>
          <w:sz w:val="24"/>
          <w:szCs w:val="24"/>
          <w:u w:val="single"/>
        </w:rPr>
        <w:t>No âmbito do requisito de regularidade social, sem prejuízo das medidas recomendadas no item 13.1.2 deste relatório, supra</w:t>
      </w:r>
      <w:r w:rsidRPr="005E0E9E">
        <w:rPr>
          <w:rFonts w:ascii="Arial" w:hAnsi="Arial" w:cs="Arial"/>
          <w:b/>
          <w:sz w:val="24"/>
          <w:szCs w:val="24"/>
        </w:rPr>
        <w:t>:</w:t>
      </w:r>
    </w:p>
    <w:p w14:paraId="2C784154" w14:textId="77777777" w:rsidR="009B1AD0" w:rsidRPr="005E0E9E" w:rsidRDefault="009B1AD0" w:rsidP="009B1AD0">
      <w:pPr>
        <w:pStyle w:val="PargrafodaLista"/>
        <w:spacing w:line="360" w:lineRule="auto"/>
        <w:ind w:left="1224"/>
        <w:jc w:val="both"/>
        <w:rPr>
          <w:rFonts w:ascii="Arial" w:hAnsi="Arial" w:cs="Arial"/>
          <w:b/>
          <w:sz w:val="24"/>
          <w:szCs w:val="24"/>
        </w:rPr>
      </w:pPr>
    </w:p>
    <w:p w14:paraId="1C6EF6BB" w14:textId="77777777" w:rsidR="009B1AD0" w:rsidRPr="005E0E9E" w:rsidRDefault="009B1AD0" w:rsidP="009B1AD0">
      <w:pPr>
        <w:pStyle w:val="PargrafodaLista"/>
        <w:numPr>
          <w:ilvl w:val="3"/>
          <w:numId w:val="62"/>
        </w:numPr>
        <w:spacing w:line="360" w:lineRule="auto"/>
        <w:jc w:val="both"/>
        <w:rPr>
          <w:rFonts w:ascii="Arial" w:hAnsi="Arial" w:cs="Arial"/>
          <w:b/>
          <w:sz w:val="24"/>
          <w:szCs w:val="24"/>
        </w:rPr>
      </w:pPr>
      <w:r w:rsidRPr="005E0E9E">
        <w:rPr>
          <w:rFonts w:ascii="Arial" w:hAnsi="Arial" w:cs="Arial"/>
          <w:b/>
          <w:sz w:val="24"/>
          <w:szCs w:val="24"/>
        </w:rPr>
        <w:t>Chegando ao conhecimento das pastas responsáveis pela operacionalização dos incentivos fiscais que determinada empresa encontra-se com autuação por auditor fiscal do trabalho ou condenação judicial por discriminação contra determinado(s) trabalhador(es) ou categoria profissional</w:t>
      </w:r>
      <w:r w:rsidRPr="005E0E9E">
        <w:rPr>
          <w:rFonts w:ascii="Arial" w:hAnsi="Arial" w:cs="Arial"/>
          <w:sz w:val="24"/>
          <w:szCs w:val="24"/>
        </w:rPr>
        <w:t xml:space="preserve"> – informação que inclusive pode ser trazida diretamente pelos próprios reclamantes ou seus procuradores – deve-se considerar irregular eventual fruição durante o período de:</w:t>
      </w:r>
    </w:p>
    <w:p w14:paraId="67FC14C9" w14:textId="77777777" w:rsidR="009B1AD0" w:rsidRPr="005E0E9E" w:rsidRDefault="009B1AD0" w:rsidP="009B1AD0">
      <w:pPr>
        <w:pStyle w:val="PargrafodaLista"/>
        <w:numPr>
          <w:ilvl w:val="4"/>
          <w:numId w:val="62"/>
        </w:numPr>
        <w:spacing w:line="360" w:lineRule="auto"/>
        <w:ind w:left="1843" w:hanging="403"/>
        <w:jc w:val="both"/>
        <w:rPr>
          <w:rFonts w:ascii="Arial" w:hAnsi="Arial" w:cs="Arial"/>
          <w:sz w:val="24"/>
          <w:szCs w:val="24"/>
        </w:rPr>
      </w:pPr>
      <w:r w:rsidRPr="005E0E9E">
        <w:rPr>
          <w:rFonts w:ascii="Arial" w:hAnsi="Arial" w:cs="Arial"/>
          <w:sz w:val="24"/>
          <w:szCs w:val="24"/>
          <w:u w:val="single"/>
        </w:rPr>
        <w:t>vigência da penalidade administrativa aplicada</w:t>
      </w:r>
      <w:r w:rsidRPr="005E0E9E">
        <w:rPr>
          <w:rFonts w:ascii="Arial" w:hAnsi="Arial" w:cs="Arial"/>
          <w:sz w:val="24"/>
          <w:szCs w:val="24"/>
        </w:rPr>
        <w:t>, isto é, desde a data em que a penalidade se torne definitiva no âmbito administrativo até o encerramento dos respectivos efeitos, independentemente da efetiva inscrição em dívida ativa de eventual multa aplicada;</w:t>
      </w:r>
    </w:p>
    <w:p w14:paraId="4CB64D58" w14:textId="77777777" w:rsidR="009B1AD0" w:rsidRPr="005E0E9E" w:rsidRDefault="009B1AD0" w:rsidP="009B1AD0">
      <w:pPr>
        <w:pStyle w:val="PargrafodaLista"/>
        <w:numPr>
          <w:ilvl w:val="4"/>
          <w:numId w:val="62"/>
        </w:numPr>
        <w:spacing w:line="360" w:lineRule="auto"/>
        <w:ind w:left="1843" w:hanging="403"/>
        <w:jc w:val="both"/>
        <w:rPr>
          <w:rFonts w:ascii="Arial" w:hAnsi="Arial" w:cs="Arial"/>
          <w:sz w:val="24"/>
          <w:szCs w:val="24"/>
        </w:rPr>
      </w:pPr>
      <w:r w:rsidRPr="005E0E9E">
        <w:rPr>
          <w:rFonts w:ascii="Arial" w:hAnsi="Arial" w:cs="Arial"/>
          <w:sz w:val="24"/>
          <w:szCs w:val="24"/>
          <w:u w:val="single"/>
        </w:rPr>
        <w:t xml:space="preserve">vigência da condenação judicial proferida, ou seja, desde o trânsito em julgado </w:t>
      </w:r>
      <w:r w:rsidRPr="005E0E9E">
        <w:rPr>
          <w:rFonts w:ascii="Arial" w:hAnsi="Arial" w:cs="Arial"/>
          <w:sz w:val="24"/>
          <w:szCs w:val="24"/>
        </w:rPr>
        <w:t xml:space="preserve">(que é o critério temporal seguro a partir do qual se pode afirmar, com segurança, que a empresa praticou discriminação contra o trabalhador; ou, ao menos, o trânsito em julgado do capítulo da sentença que reconheceu essa infração) </w:t>
      </w:r>
      <w:r w:rsidRPr="005E0E9E">
        <w:rPr>
          <w:rFonts w:ascii="Arial" w:hAnsi="Arial" w:cs="Arial"/>
          <w:sz w:val="24"/>
          <w:szCs w:val="24"/>
          <w:u w:val="single"/>
        </w:rPr>
        <w:t>até a data de pagamento da indenização reconhecida em favor do reclamante</w:t>
      </w:r>
      <w:r w:rsidRPr="005E0E9E">
        <w:rPr>
          <w:rFonts w:ascii="Arial" w:hAnsi="Arial" w:cs="Arial"/>
          <w:sz w:val="24"/>
          <w:szCs w:val="24"/>
        </w:rPr>
        <w:t>.</w:t>
      </w:r>
    </w:p>
    <w:p w14:paraId="08C1F925" w14:textId="00265572" w:rsidR="009B1AD0" w:rsidRPr="005E0E9E" w:rsidRDefault="00E218A7" w:rsidP="009B1AD0">
      <w:pPr>
        <w:pStyle w:val="PargrafodaLista"/>
        <w:numPr>
          <w:ilvl w:val="3"/>
          <w:numId w:val="62"/>
        </w:numPr>
        <w:spacing w:line="360" w:lineRule="auto"/>
        <w:jc w:val="both"/>
        <w:rPr>
          <w:rFonts w:ascii="Arial" w:hAnsi="Arial" w:cs="Arial"/>
          <w:b/>
          <w:sz w:val="24"/>
          <w:szCs w:val="24"/>
        </w:rPr>
      </w:pPr>
      <w:r w:rsidRPr="005E0E9E">
        <w:rPr>
          <w:rFonts w:ascii="Arial" w:hAnsi="Arial" w:cs="Arial"/>
          <w:b/>
          <w:sz w:val="24"/>
          <w:szCs w:val="24"/>
        </w:rPr>
        <w:lastRenderedPageBreak/>
        <w:t xml:space="preserve">Formalizem </w:t>
      </w:r>
      <w:r w:rsidR="009B1AD0" w:rsidRPr="005E0E9E">
        <w:rPr>
          <w:rFonts w:ascii="Arial" w:hAnsi="Arial" w:cs="Arial"/>
          <w:b/>
          <w:sz w:val="24"/>
          <w:szCs w:val="24"/>
        </w:rPr>
        <w:t>convênio com o órgão competente para apuração de infrações trabalhistas no âmbito administrativo e com a Justiça do Trabalho em Goiás</w:t>
      </w:r>
      <w:r w:rsidR="009B1AD0" w:rsidRPr="005E0E9E">
        <w:rPr>
          <w:rFonts w:ascii="Arial" w:hAnsi="Arial" w:cs="Arial"/>
          <w:sz w:val="24"/>
          <w:szCs w:val="24"/>
        </w:rPr>
        <w:t xml:space="preserve">, a fim de encaminharem à Secretaria de Estado da Economia: </w:t>
      </w:r>
    </w:p>
    <w:p w14:paraId="147FC18F" w14:textId="77777777" w:rsidR="009B1AD0" w:rsidRPr="005E0E9E" w:rsidRDefault="009B1AD0" w:rsidP="009B1AD0">
      <w:pPr>
        <w:pStyle w:val="PargrafodaLista"/>
        <w:numPr>
          <w:ilvl w:val="4"/>
          <w:numId w:val="62"/>
        </w:numPr>
        <w:spacing w:line="360" w:lineRule="auto"/>
        <w:ind w:left="1843" w:hanging="403"/>
        <w:jc w:val="both"/>
        <w:rPr>
          <w:rFonts w:ascii="Arial" w:hAnsi="Arial" w:cs="Arial"/>
          <w:sz w:val="24"/>
          <w:szCs w:val="24"/>
        </w:rPr>
      </w:pPr>
      <w:r w:rsidRPr="005E0E9E">
        <w:rPr>
          <w:rFonts w:ascii="Arial" w:hAnsi="Arial" w:cs="Arial"/>
          <w:sz w:val="24"/>
          <w:szCs w:val="24"/>
          <w:u w:val="single"/>
        </w:rPr>
        <w:t>imediatamente, quanto às autuações ou condenações que houverem proferido contra as empresas beneficiárias de incentivos fiscais no Estado de Goiás</w:t>
      </w:r>
      <w:r w:rsidRPr="005E0E9E">
        <w:rPr>
          <w:rFonts w:ascii="Arial" w:hAnsi="Arial" w:cs="Arial"/>
          <w:sz w:val="24"/>
          <w:szCs w:val="24"/>
        </w:rPr>
        <w:t xml:space="preserve">, para posterior exame dos órgãos estaduais no sentido de aferir se é beneficiária de incentivos fiscais, verificar eventual fruição irregular e adotar as demais medidas pertinentes; ou </w:t>
      </w:r>
    </w:p>
    <w:p w14:paraId="04313882" w14:textId="77777777" w:rsidR="009B1AD0" w:rsidRPr="005E0E9E" w:rsidRDefault="009B1AD0" w:rsidP="009B1AD0">
      <w:pPr>
        <w:pStyle w:val="PargrafodaLista"/>
        <w:numPr>
          <w:ilvl w:val="4"/>
          <w:numId w:val="62"/>
        </w:numPr>
        <w:spacing w:line="360" w:lineRule="auto"/>
        <w:ind w:left="1843" w:hanging="403"/>
        <w:jc w:val="both"/>
        <w:rPr>
          <w:rFonts w:ascii="Arial" w:hAnsi="Arial" w:cs="Arial"/>
          <w:b/>
          <w:sz w:val="24"/>
          <w:szCs w:val="24"/>
        </w:rPr>
      </w:pPr>
      <w:r w:rsidRPr="005E0E9E">
        <w:rPr>
          <w:rFonts w:ascii="Arial" w:hAnsi="Arial" w:cs="Arial"/>
          <w:sz w:val="24"/>
          <w:szCs w:val="24"/>
          <w:u w:val="single"/>
        </w:rPr>
        <w:t>periodicamente</w:t>
      </w:r>
      <w:r w:rsidRPr="005E0E9E">
        <w:rPr>
          <w:rFonts w:ascii="Arial" w:hAnsi="Arial" w:cs="Arial"/>
          <w:sz w:val="24"/>
          <w:szCs w:val="24"/>
        </w:rPr>
        <w:t>, as empresas beneficiárias de incentivos fiscais no que sofreram condenação judicial ou autuação administrativa.</w:t>
      </w:r>
    </w:p>
    <w:p w14:paraId="6F51977C" w14:textId="77777777" w:rsidR="009B1AD0" w:rsidRPr="00D549F7" w:rsidRDefault="009B1AD0" w:rsidP="009B1AD0">
      <w:pPr>
        <w:spacing w:line="360" w:lineRule="auto"/>
        <w:ind w:firstLine="851"/>
        <w:jc w:val="both"/>
        <w:rPr>
          <w:rFonts w:ascii="Arial" w:hAnsi="Arial" w:cs="Arial"/>
          <w:b/>
          <w:sz w:val="24"/>
          <w:szCs w:val="24"/>
        </w:rPr>
      </w:pPr>
    </w:p>
    <w:p w14:paraId="282D5C18" w14:textId="77777777" w:rsidR="009B1AD0" w:rsidRDefault="009B1AD0" w:rsidP="009B1AD0">
      <w:pPr>
        <w:pStyle w:val="PargrafodaLista"/>
        <w:numPr>
          <w:ilvl w:val="2"/>
          <w:numId w:val="62"/>
        </w:numPr>
        <w:spacing w:line="360" w:lineRule="auto"/>
        <w:jc w:val="both"/>
        <w:rPr>
          <w:rFonts w:ascii="Arial" w:hAnsi="Arial" w:cs="Arial"/>
          <w:b/>
          <w:sz w:val="24"/>
          <w:szCs w:val="24"/>
        </w:rPr>
      </w:pPr>
      <w:r w:rsidRPr="00394F74">
        <w:rPr>
          <w:rFonts w:ascii="Arial" w:hAnsi="Arial" w:cs="Arial"/>
          <w:b/>
          <w:sz w:val="24"/>
          <w:szCs w:val="24"/>
          <w:u w:val="single"/>
        </w:rPr>
        <w:t>No âmbito da atividade de mineração</w:t>
      </w:r>
      <w:r w:rsidRPr="00394F74">
        <w:rPr>
          <w:rFonts w:ascii="Arial" w:hAnsi="Arial" w:cs="Arial"/>
          <w:b/>
          <w:sz w:val="24"/>
          <w:szCs w:val="24"/>
        </w:rPr>
        <w:t>:</w:t>
      </w:r>
    </w:p>
    <w:p w14:paraId="6F32DBDC" w14:textId="77777777" w:rsidR="009B1AD0" w:rsidRPr="00394F74" w:rsidRDefault="009B1AD0" w:rsidP="009B1AD0">
      <w:pPr>
        <w:pStyle w:val="PargrafodaLista"/>
        <w:spacing w:line="360" w:lineRule="auto"/>
        <w:ind w:left="360"/>
        <w:jc w:val="both"/>
        <w:rPr>
          <w:rFonts w:ascii="Arial" w:hAnsi="Arial" w:cs="Arial"/>
          <w:b/>
          <w:sz w:val="24"/>
          <w:szCs w:val="24"/>
        </w:rPr>
      </w:pPr>
    </w:p>
    <w:p w14:paraId="0D296A48"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bCs/>
          <w:sz w:val="24"/>
          <w:szCs w:val="24"/>
        </w:rPr>
        <w:t>Reavaliar, mediante estudo técnico, os efeitos da política de incentivos fiscais voltada para a mineração</w:t>
      </w:r>
      <w:r w:rsidRPr="00394F74">
        <w:rPr>
          <w:rFonts w:ascii="Arial" w:hAnsi="Arial" w:cs="Arial"/>
          <w:bCs/>
          <w:sz w:val="24"/>
          <w:szCs w:val="24"/>
        </w:rPr>
        <w:t>, nos termos do art. 44, § 2º, e 45, III, da LC nº 138/2018, notadamente quanto à conveniência de se manter vigente a Lei nº 15.719/2006, bem como a revisão ou revogação dos TARE’s firmados com</w:t>
      </w:r>
      <w:r w:rsidRPr="00394F74">
        <w:rPr>
          <w:rFonts w:ascii="Arial" w:hAnsi="Arial" w:cs="Arial"/>
          <w:b/>
          <w:bCs/>
          <w:sz w:val="24"/>
          <w:szCs w:val="24"/>
        </w:rPr>
        <w:t xml:space="preserve"> </w:t>
      </w:r>
      <w:r w:rsidRPr="00394F74">
        <w:rPr>
          <w:rFonts w:ascii="Arial" w:hAnsi="Arial" w:cs="Arial"/>
          <w:bCs/>
          <w:sz w:val="24"/>
          <w:szCs w:val="24"/>
        </w:rPr>
        <w:t>algumas empresas do ramo nos quais se verificar excesso de benefícios, notadamente da Anglo American Níquel Brasil Ltda;</w:t>
      </w:r>
    </w:p>
    <w:p w14:paraId="08DEFA3E"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bCs/>
          <w:sz w:val="24"/>
          <w:szCs w:val="24"/>
        </w:rPr>
        <w:t>Extirpar dos TARE’s vigentes as cláusulas que excederam o conteúdo da lei</w:t>
      </w:r>
      <w:r w:rsidRPr="00394F74">
        <w:rPr>
          <w:rFonts w:ascii="Arial" w:hAnsi="Arial" w:cs="Arial"/>
          <w:bCs/>
          <w:sz w:val="24"/>
          <w:szCs w:val="24"/>
        </w:rPr>
        <w:t>, bem como constituir o crédito tributário correspondente aos últimos 5 (cinco) anos das empresas que o houverem fruído sem respaldo legal, bem como encaminhamento dos TARE’s à PGE/GO para análise e parecer técnico acerca da legalidade de suas cláusulas, adotando-se esse procedimento doravante;</w:t>
      </w:r>
    </w:p>
    <w:p w14:paraId="6D32C4D5" w14:textId="1E709C91" w:rsidR="009B1AD0" w:rsidRPr="00394F74" w:rsidRDefault="00E218A7"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bCs/>
          <w:sz w:val="24"/>
          <w:szCs w:val="24"/>
        </w:rPr>
        <w:t xml:space="preserve">Realizar </w:t>
      </w:r>
      <w:r w:rsidR="009B1AD0" w:rsidRPr="00394F74">
        <w:rPr>
          <w:rFonts w:ascii="Arial" w:hAnsi="Arial" w:cs="Arial"/>
          <w:b/>
          <w:bCs/>
          <w:sz w:val="24"/>
          <w:szCs w:val="24"/>
        </w:rPr>
        <w:t>auditoria sobre todas as pessoas jurídicas do ramo da mineração</w:t>
      </w:r>
      <w:r w:rsidR="009B1AD0" w:rsidRPr="00394F74">
        <w:rPr>
          <w:rFonts w:ascii="Arial" w:hAnsi="Arial" w:cs="Arial"/>
          <w:bCs/>
          <w:sz w:val="24"/>
          <w:szCs w:val="24"/>
        </w:rPr>
        <w:t xml:space="preserve">, a fim de identificar eventual fruição de incentivo fiscal em período durante o qual havia inscrição em dívida ativa estadual ou federal de natureza previdenciária, ou em infringência aos requisitos gerais para ingresso e permanência nos Programas FOMENTAR e </w:t>
      </w:r>
      <w:r w:rsidR="009B1AD0" w:rsidRPr="00394F74">
        <w:rPr>
          <w:rFonts w:ascii="Arial" w:hAnsi="Arial" w:cs="Arial"/>
          <w:bCs/>
          <w:sz w:val="24"/>
          <w:szCs w:val="24"/>
        </w:rPr>
        <w:lastRenderedPageBreak/>
        <w:t>PRODUZIR, ou ainda eu fruíram incentivos fiscais sem respaldo legal, bem como adotar as medidas executivas pertinentes, com prioridade para as empresas mencionadas no item 9.4 e adotada a metodologia prevista no Capítulo 8, ambos deste relatório.</w:t>
      </w:r>
    </w:p>
    <w:p w14:paraId="4FB614F1" w14:textId="77777777" w:rsidR="009B1AD0" w:rsidRDefault="009B1AD0" w:rsidP="009B1AD0">
      <w:pPr>
        <w:pStyle w:val="PargrafodaLista"/>
        <w:spacing w:line="360" w:lineRule="auto"/>
        <w:ind w:left="1080"/>
        <w:jc w:val="both"/>
        <w:rPr>
          <w:rFonts w:ascii="Arial" w:hAnsi="Arial" w:cs="Arial"/>
          <w:b/>
          <w:sz w:val="24"/>
          <w:szCs w:val="24"/>
        </w:rPr>
      </w:pPr>
    </w:p>
    <w:p w14:paraId="174E3B3E" w14:textId="77777777" w:rsidR="009B1AD0" w:rsidRPr="00EC6C68" w:rsidRDefault="009B1AD0" w:rsidP="009B1AD0">
      <w:pPr>
        <w:pStyle w:val="PargrafodaLista"/>
        <w:numPr>
          <w:ilvl w:val="2"/>
          <w:numId w:val="62"/>
        </w:numPr>
        <w:spacing w:line="360" w:lineRule="auto"/>
        <w:jc w:val="both"/>
        <w:rPr>
          <w:rFonts w:ascii="Arial" w:hAnsi="Arial" w:cs="Arial"/>
          <w:b/>
          <w:sz w:val="24"/>
          <w:szCs w:val="24"/>
          <w:u w:val="single"/>
        </w:rPr>
      </w:pPr>
      <w:r w:rsidRPr="00394F74">
        <w:rPr>
          <w:rFonts w:ascii="Arial" w:hAnsi="Arial" w:cs="Arial"/>
          <w:b/>
          <w:sz w:val="24"/>
          <w:szCs w:val="24"/>
          <w:u w:val="single"/>
        </w:rPr>
        <w:t>No tocante à transparência</w:t>
      </w:r>
      <w:r w:rsidRPr="00394F74">
        <w:rPr>
          <w:rFonts w:ascii="Arial" w:hAnsi="Arial" w:cs="Arial"/>
          <w:b/>
          <w:sz w:val="24"/>
          <w:szCs w:val="24"/>
        </w:rPr>
        <w:t>:</w:t>
      </w:r>
    </w:p>
    <w:p w14:paraId="2F437D43" w14:textId="77777777" w:rsidR="009B1AD0" w:rsidRPr="00394F74" w:rsidRDefault="009B1AD0" w:rsidP="009B1AD0">
      <w:pPr>
        <w:pStyle w:val="PargrafodaLista"/>
        <w:spacing w:line="360" w:lineRule="auto"/>
        <w:ind w:left="360"/>
        <w:jc w:val="both"/>
        <w:rPr>
          <w:rFonts w:ascii="Arial" w:hAnsi="Arial" w:cs="Arial"/>
          <w:b/>
          <w:sz w:val="24"/>
          <w:szCs w:val="24"/>
          <w:u w:val="single"/>
        </w:rPr>
      </w:pPr>
    </w:p>
    <w:p w14:paraId="4B292E9C"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sz w:val="24"/>
          <w:szCs w:val="24"/>
        </w:rPr>
        <w:t>Disponibilizar a consulta ao CTE/GO, ao RCTE/GO, e às demais normas da legislação tributária atualizada do Estado de Goiás também pela página oficial da Casa Civil e a partir de qualquer navegador</w:t>
      </w:r>
      <w:r w:rsidRPr="00394F74">
        <w:rPr>
          <w:rFonts w:ascii="Arial" w:hAnsi="Arial" w:cs="Arial"/>
          <w:bCs/>
          <w:sz w:val="24"/>
          <w:szCs w:val="24"/>
        </w:rPr>
        <w:t>, porquanto hoje apenas existe acesso pela página da Secretaria de Estado da Economia e somente pelo navegador “Internet Explorer” (&lt;ftp://ftp.sefaz.go.gov.br/sefazgo/legislacao/INDICE_GERAL.htm&gt;), sem que qualquer orientação seja disponibilizada ao contribuinte quanto a esse “caminho das pedras”;</w:t>
      </w:r>
    </w:p>
    <w:p w14:paraId="05EDE427"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sz w:val="24"/>
          <w:szCs w:val="24"/>
        </w:rPr>
        <w:t>Disponibilizar a consulta relativamente à legislação completa de cada programa ou benefício, inclusive a íntegra de instruções normativas, resoluções e outros atos de caráter infralegal</w:t>
      </w:r>
      <w:r w:rsidRPr="00394F74">
        <w:rPr>
          <w:rFonts w:ascii="Arial" w:hAnsi="Arial" w:cs="Arial"/>
          <w:bCs/>
          <w:sz w:val="24"/>
          <w:szCs w:val="24"/>
        </w:rPr>
        <w:t>, tendo em vista que algumas delas esta CPI só obteve através de requisição formal, a exemplo das Instruções Normativas nºs 1.330 a 1.335/2017-GSF (Ofício nº 3.564/2019-CPI, respondido por meio do Ofício 3.564/2019-Economia).</w:t>
      </w:r>
    </w:p>
    <w:p w14:paraId="1256589B"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sz w:val="24"/>
          <w:szCs w:val="24"/>
        </w:rPr>
        <w:t>Convocar todas as pessoas signatárias de TARE’s para revisá-los no intuito de incluir, mediante cláusula ou termo específico em anexo ao próprio TARE</w:t>
      </w:r>
      <w:r w:rsidRPr="00394F74">
        <w:rPr>
          <w:rFonts w:ascii="Arial" w:hAnsi="Arial" w:cs="Arial"/>
          <w:bCs/>
          <w:sz w:val="24"/>
          <w:szCs w:val="24"/>
        </w:rPr>
        <w:t xml:space="preserve">, a concordância da pessoa jurídica acordante em divulgar os valores que lhe foram concedidos e os efetivamente fruídos a título de incentivos fiscais de ICMS, em cada exercício financeiro, bem como o inteiro teor dos TARE’s e manifestações da Administração Tributária no exercício da fiscalização sobre a empresa, sem oposição do suposto direito a sigilo fiscal, </w:t>
      </w:r>
      <w:r w:rsidRPr="00394F74">
        <w:rPr>
          <w:rFonts w:ascii="Arial" w:hAnsi="Arial" w:cs="Arial"/>
          <w:bCs/>
          <w:sz w:val="24"/>
          <w:szCs w:val="24"/>
          <w:u w:val="single"/>
        </w:rPr>
        <w:t xml:space="preserve">sob pena de revogação </w:t>
      </w:r>
      <w:r w:rsidRPr="00394F74">
        <w:rPr>
          <w:rFonts w:ascii="Arial" w:hAnsi="Arial" w:cs="Arial"/>
          <w:bCs/>
          <w:sz w:val="24"/>
          <w:szCs w:val="24"/>
          <w:u w:val="single"/>
        </w:rPr>
        <w:lastRenderedPageBreak/>
        <w:t>dos respectivos TARE’s, adotada também doravante essa postura para os novos ajustes</w:t>
      </w:r>
      <w:r w:rsidRPr="00394F74">
        <w:rPr>
          <w:rFonts w:ascii="Arial" w:hAnsi="Arial" w:cs="Arial"/>
          <w:bCs/>
          <w:sz w:val="24"/>
          <w:szCs w:val="24"/>
        </w:rPr>
        <w:t>;</w:t>
      </w:r>
    </w:p>
    <w:p w14:paraId="1591DAC6"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bCs/>
          <w:sz w:val="24"/>
          <w:szCs w:val="24"/>
        </w:rPr>
        <w:t>Determinar a adoção das seguintes medidas visando ao aprimoramento da transparência ativa da aba “BENEFÍCIOS FISCAIS” no Portal da Transparência do Estado de Goiás:</w:t>
      </w:r>
    </w:p>
    <w:p w14:paraId="178294B4"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sz w:val="24"/>
          <w:szCs w:val="24"/>
        </w:rPr>
      </w:pPr>
      <w:r w:rsidRPr="00394F74">
        <w:rPr>
          <w:rFonts w:ascii="Arial" w:hAnsi="Arial" w:cs="Arial"/>
          <w:sz w:val="24"/>
          <w:szCs w:val="24"/>
          <w:u w:val="single"/>
        </w:rPr>
        <w:t>substituir o título da aba</w:t>
      </w:r>
      <w:r w:rsidRPr="00394F74">
        <w:rPr>
          <w:rFonts w:ascii="Arial" w:hAnsi="Arial" w:cs="Arial"/>
          <w:sz w:val="24"/>
          <w:szCs w:val="24"/>
        </w:rPr>
        <w:t>, para em vez de se denominar “BENEFÍCIOS FISCAIS” intitular-se “INCENTIVOS FISCAIS”, tendo em vista que esse último termo técnico é mais adequado de empregar-se para desonerações fiscais com o objetivo de induzir o desenvolvimento econômico e social;</w:t>
      </w:r>
    </w:p>
    <w:p w14:paraId="078F8EC4"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sz w:val="24"/>
          <w:szCs w:val="24"/>
        </w:rPr>
      </w:pPr>
      <w:r w:rsidRPr="00394F74">
        <w:rPr>
          <w:rFonts w:ascii="Arial" w:hAnsi="Arial" w:cs="Arial"/>
          <w:sz w:val="24"/>
          <w:szCs w:val="24"/>
          <w:u w:val="single"/>
        </w:rPr>
        <w:t>no campo “Ano de referência” (2009 até 2020)</w:t>
      </w:r>
      <w:r w:rsidRPr="00394F74">
        <w:rPr>
          <w:rFonts w:ascii="Arial" w:hAnsi="Arial" w:cs="Arial"/>
          <w:sz w:val="24"/>
          <w:szCs w:val="24"/>
        </w:rPr>
        <w:t>, permitir que o usuário selecione conjuntamente mais de um ano – assim como já ocorre em relação aos critérios de pesquisa e também em relação a esse mesmo critério na aba TARE – de modo a possibilitar a obtenção de dados consolidados referentes a mais de um exercício financeiro, consecutivos ou alternados, em vez de obrigar o usuário a proceder à consulta ano a ano, a fim de que essa situação consolidada seja demonstrada nos gráficos exibidos;</w:t>
      </w:r>
    </w:p>
    <w:p w14:paraId="2964B2B9"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sz w:val="24"/>
          <w:szCs w:val="24"/>
        </w:rPr>
      </w:pPr>
      <w:r w:rsidRPr="00394F74">
        <w:rPr>
          <w:rFonts w:ascii="Arial" w:hAnsi="Arial" w:cs="Arial"/>
          <w:sz w:val="24"/>
          <w:szCs w:val="24"/>
          <w:u w:val="single"/>
        </w:rPr>
        <w:t>no campo “Nome do Benefício”, inserir também informação referente às demais espécies de incentivos fiscais previstos na legislação</w:t>
      </w:r>
      <w:r w:rsidRPr="00394F74">
        <w:rPr>
          <w:rFonts w:ascii="Arial" w:hAnsi="Arial" w:cs="Arial"/>
          <w:sz w:val="24"/>
          <w:szCs w:val="24"/>
        </w:rPr>
        <w:t>, em especial a isenção, a redução de base de cálculo e o crédito especial para investimento (RCTE/GO, arts. 6º a 9º e 19 a 29);</w:t>
      </w:r>
    </w:p>
    <w:p w14:paraId="17291B8E"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sz w:val="24"/>
          <w:szCs w:val="24"/>
        </w:rPr>
      </w:pPr>
      <w:r w:rsidRPr="00394F74">
        <w:rPr>
          <w:rFonts w:ascii="Arial" w:hAnsi="Arial" w:cs="Arial"/>
          <w:sz w:val="24"/>
          <w:szCs w:val="24"/>
          <w:u w:val="single"/>
        </w:rPr>
        <w:t>nas observações gerais</w:t>
      </w:r>
      <w:r w:rsidRPr="00394F74">
        <w:rPr>
          <w:rFonts w:ascii="Arial" w:hAnsi="Arial" w:cs="Arial"/>
          <w:sz w:val="24"/>
          <w:szCs w:val="24"/>
        </w:rPr>
        <w:t>, esclarecer a distinção entre os critérios “FOMENTAR E PRODUZIR” e somente “PRODUZIR”, além do porquê não haver um critério isolado de “FOMENTAR”;</w:t>
      </w:r>
    </w:p>
    <w:p w14:paraId="1F12E0D8"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sz w:val="24"/>
          <w:szCs w:val="24"/>
        </w:rPr>
      </w:pPr>
      <w:r w:rsidRPr="00394F74">
        <w:rPr>
          <w:rFonts w:ascii="Arial" w:hAnsi="Arial" w:cs="Arial"/>
          <w:sz w:val="24"/>
          <w:szCs w:val="24"/>
          <w:u w:val="single"/>
        </w:rPr>
        <w:t>exibir para cada gráfico um campo próprio para “exportação”</w:t>
      </w:r>
      <w:r w:rsidRPr="00394F74">
        <w:rPr>
          <w:rFonts w:ascii="Arial" w:hAnsi="Arial" w:cs="Arial"/>
          <w:sz w:val="24"/>
          <w:szCs w:val="24"/>
        </w:rPr>
        <w:t>, a fim de evitar que dois gráficos sejam exportados conjuntamente para o mesmo arquivo PDF com prejuízo à clareza visual de cada gráfico (problema acentuado principalmente em relação à tabela);</w:t>
      </w:r>
    </w:p>
    <w:p w14:paraId="3248722C"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sz w:val="24"/>
          <w:szCs w:val="24"/>
        </w:rPr>
      </w:pPr>
      <w:r w:rsidRPr="00394F74">
        <w:rPr>
          <w:rFonts w:ascii="Arial" w:hAnsi="Arial" w:cs="Arial"/>
          <w:sz w:val="24"/>
          <w:szCs w:val="24"/>
          <w:u w:val="single"/>
        </w:rPr>
        <w:t>inserir informações e dados quanto ao número de empregos gerados no mercado local (leia-se: Estado de Goiás) em cada atividade e divisão CNAE por exercício</w:t>
      </w:r>
      <w:r w:rsidRPr="00394F74">
        <w:rPr>
          <w:rFonts w:ascii="Arial" w:hAnsi="Arial" w:cs="Arial"/>
          <w:sz w:val="24"/>
          <w:szCs w:val="24"/>
        </w:rPr>
        <w:t xml:space="preserve">, com base nas informações da RAIS, do </w:t>
      </w:r>
      <w:r w:rsidRPr="00394F74">
        <w:rPr>
          <w:rFonts w:ascii="Arial" w:hAnsi="Arial" w:cs="Arial"/>
          <w:sz w:val="24"/>
          <w:szCs w:val="24"/>
        </w:rPr>
        <w:lastRenderedPageBreak/>
        <w:t>CAGED e e-SOCIAL das empresas que representam mencionadas atividades econômicas, bem como o custo anual e mensal médio de cada emprego por atividade, nos termos do art. 44, § 2º, e 45, III, da LC nº 138/2018;</w:t>
      </w:r>
    </w:p>
    <w:p w14:paraId="2050C233"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sz w:val="24"/>
          <w:szCs w:val="24"/>
        </w:rPr>
      </w:pPr>
      <w:r w:rsidRPr="00394F74">
        <w:rPr>
          <w:rFonts w:ascii="Arial" w:hAnsi="Arial" w:cs="Arial"/>
          <w:sz w:val="24"/>
          <w:szCs w:val="24"/>
          <w:u w:val="single"/>
        </w:rPr>
        <w:t>inserir informações e dados quanto ao volume de ICMS arrecadado em cada atividade e divisão CNAE por exercício</w:t>
      </w:r>
      <w:r w:rsidRPr="00394F74">
        <w:rPr>
          <w:rFonts w:ascii="Arial" w:hAnsi="Arial" w:cs="Arial"/>
          <w:sz w:val="24"/>
          <w:szCs w:val="24"/>
        </w:rPr>
        <w:t>, com base nas informações constantes da base de dados da Secretaria de Estado da Economia, nos termos do art. 44, § 2º, e 45, III, da LC nº 138/2018;</w:t>
      </w:r>
    </w:p>
    <w:p w14:paraId="5536EB8D"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sz w:val="24"/>
          <w:szCs w:val="24"/>
        </w:rPr>
      </w:pPr>
      <w:r w:rsidRPr="00394F74">
        <w:rPr>
          <w:rFonts w:ascii="Arial" w:hAnsi="Arial" w:cs="Arial"/>
          <w:sz w:val="24"/>
          <w:szCs w:val="24"/>
          <w:u w:val="single"/>
        </w:rPr>
        <w:t>inserir novo campo de pesquisa intitulado “Município”</w:t>
      </w:r>
      <w:r w:rsidRPr="00394F74">
        <w:rPr>
          <w:rFonts w:ascii="Arial" w:hAnsi="Arial" w:cs="Arial"/>
          <w:sz w:val="24"/>
          <w:szCs w:val="24"/>
        </w:rPr>
        <w:t>, à semelhança do que já ocorre na aba “TARE”, a fim de verificar o impacto da política de incentivos fiscais para a promoção do desenvolvimento regional, nos termos do art. 103 da CE/GO;</w:t>
      </w:r>
    </w:p>
    <w:p w14:paraId="36F775F0"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sz w:val="24"/>
          <w:szCs w:val="24"/>
        </w:rPr>
      </w:pPr>
      <w:r w:rsidRPr="00394F74">
        <w:rPr>
          <w:rFonts w:ascii="Arial" w:hAnsi="Arial" w:cs="Arial"/>
          <w:sz w:val="24"/>
          <w:szCs w:val="24"/>
          <w:u w:val="single"/>
        </w:rPr>
        <w:t>permitir que as informações acima também possam ser visualizadas de forma individualizada por pessoa jurídica e CNPJ</w:t>
      </w:r>
      <w:r w:rsidRPr="00394F74">
        <w:rPr>
          <w:rFonts w:ascii="Arial" w:hAnsi="Arial" w:cs="Arial"/>
          <w:sz w:val="24"/>
          <w:szCs w:val="24"/>
        </w:rPr>
        <w:t>, ao menos em relação às 500 (quinhentas) maiores beneficiárias de cada exercício financeiro, com identificação de valores, ainda que suprimidos os CNPJ’s e codificados os nomes e razões sociais, caso se entenda pela presença de sigilo fiscal na vinculação entre nomes, CNPJ’s e valores;</w:t>
      </w:r>
    </w:p>
    <w:p w14:paraId="4E743960"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sz w:val="24"/>
          <w:szCs w:val="24"/>
        </w:rPr>
      </w:pPr>
      <w:r w:rsidRPr="00394F74">
        <w:rPr>
          <w:rFonts w:ascii="Arial" w:hAnsi="Arial" w:cs="Arial"/>
          <w:sz w:val="24"/>
          <w:szCs w:val="24"/>
          <w:u w:val="single"/>
        </w:rPr>
        <w:t>divulgar todas as pessoas jurídicas beneficiárias de incentivos fiscais</w:t>
      </w:r>
      <w:r w:rsidRPr="00394F74">
        <w:rPr>
          <w:rFonts w:ascii="Arial" w:hAnsi="Arial" w:cs="Arial"/>
          <w:sz w:val="24"/>
          <w:szCs w:val="24"/>
        </w:rPr>
        <w:t>, seja crédito outorgado, programas FOMENTAR e PRODUZIR e outros benefícios, recebidos isolada ou conjuntamente, por exercício, ainda que omitidos os respectivos valores caso se entenda que estes se encontram cobertos por sigilo fiscal;</w:t>
      </w:r>
    </w:p>
    <w:p w14:paraId="5BC9F2C3"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sz w:val="24"/>
          <w:szCs w:val="24"/>
        </w:rPr>
      </w:pPr>
      <w:r w:rsidRPr="00394F74">
        <w:rPr>
          <w:rFonts w:ascii="Arial" w:hAnsi="Arial" w:cs="Arial"/>
          <w:sz w:val="24"/>
          <w:szCs w:val="24"/>
          <w:u w:val="single"/>
        </w:rPr>
        <w:t>a “barra de rolamento” horizontal seja móvel, de modo a acompanhar o movimento da “barra de rolamento” vertical da página</w:t>
      </w:r>
      <w:r w:rsidRPr="00394F74">
        <w:rPr>
          <w:rFonts w:ascii="Arial" w:hAnsi="Arial" w:cs="Arial"/>
          <w:sz w:val="24"/>
          <w:szCs w:val="24"/>
        </w:rPr>
        <w:t>, e não em posição fixa como acontece atualmente, o que dificulta a visualização simultânea de todos os recursos gráficos apresentados.</w:t>
      </w:r>
    </w:p>
    <w:p w14:paraId="6D730957" w14:textId="16D5D43B" w:rsidR="009B1AD0" w:rsidRPr="00394F74" w:rsidRDefault="00E218A7"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bCs/>
          <w:sz w:val="24"/>
          <w:szCs w:val="24"/>
        </w:rPr>
        <w:lastRenderedPageBreak/>
        <w:t xml:space="preserve">Determinar </w:t>
      </w:r>
      <w:r w:rsidR="009B1AD0" w:rsidRPr="00394F74">
        <w:rPr>
          <w:rFonts w:ascii="Arial" w:hAnsi="Arial" w:cs="Arial"/>
          <w:b/>
          <w:bCs/>
          <w:sz w:val="24"/>
          <w:szCs w:val="24"/>
        </w:rPr>
        <w:t>a adoção das seguintes medidas visando ao aprimoramento da transparência ativa da aba “TARE” no Portal da Transparência do Estado de Goiás:</w:t>
      </w:r>
    </w:p>
    <w:p w14:paraId="713A3B06" w14:textId="77777777" w:rsidR="009B1AD0" w:rsidRPr="00EC6C68" w:rsidRDefault="009B1AD0" w:rsidP="009B1AD0">
      <w:pPr>
        <w:pStyle w:val="PargrafodaLista"/>
        <w:numPr>
          <w:ilvl w:val="4"/>
          <w:numId w:val="62"/>
        </w:numPr>
        <w:spacing w:line="360" w:lineRule="auto"/>
        <w:ind w:left="2127" w:hanging="426"/>
        <w:jc w:val="both"/>
        <w:rPr>
          <w:rFonts w:ascii="Arial" w:hAnsi="Arial" w:cs="Arial"/>
          <w:sz w:val="24"/>
          <w:szCs w:val="24"/>
        </w:rPr>
      </w:pPr>
      <w:r w:rsidRPr="00EC6C68">
        <w:rPr>
          <w:rFonts w:ascii="Arial" w:hAnsi="Arial" w:cs="Arial"/>
          <w:sz w:val="24"/>
          <w:szCs w:val="24"/>
          <w:u w:val="single"/>
        </w:rPr>
        <w:t>inserir novos campos na coluna da esquerda (ano de início; mês de início; situação do TARE; município)</w:t>
      </w:r>
      <w:r w:rsidRPr="00EC6C68">
        <w:rPr>
          <w:rFonts w:ascii="Arial" w:hAnsi="Arial" w:cs="Arial"/>
          <w:sz w:val="24"/>
          <w:szCs w:val="24"/>
        </w:rPr>
        <w:t>, de modo a permitir também a consulta individualizada por nome e/ou CNPJ das pessoas jurídicas signatárias, por número de TARE e demais critérios que aparecem na tabela, inclusive mediante a digitação de palavras ou expressões que possam ser encontradas na “descrição do TARE”;</w:t>
      </w:r>
    </w:p>
    <w:p w14:paraId="61F74F16" w14:textId="77777777" w:rsidR="009B1AD0" w:rsidRPr="00EC6C68" w:rsidRDefault="009B1AD0" w:rsidP="009B1AD0">
      <w:pPr>
        <w:pStyle w:val="PargrafodaLista"/>
        <w:numPr>
          <w:ilvl w:val="4"/>
          <w:numId w:val="62"/>
        </w:numPr>
        <w:spacing w:line="360" w:lineRule="auto"/>
        <w:ind w:left="2127" w:hanging="426"/>
        <w:jc w:val="both"/>
        <w:rPr>
          <w:rFonts w:ascii="Arial" w:hAnsi="Arial" w:cs="Arial"/>
          <w:sz w:val="24"/>
          <w:szCs w:val="24"/>
        </w:rPr>
      </w:pPr>
      <w:r w:rsidRPr="00EC6C68">
        <w:rPr>
          <w:rFonts w:ascii="Arial" w:hAnsi="Arial" w:cs="Arial"/>
          <w:bCs/>
          <w:sz w:val="24"/>
          <w:szCs w:val="24"/>
          <w:u w:val="single"/>
        </w:rPr>
        <w:t>publicar a íntegra de cada TARE e todas suas alterações</w:t>
      </w:r>
      <w:r w:rsidRPr="00EC6C68">
        <w:rPr>
          <w:rFonts w:ascii="Arial" w:hAnsi="Arial" w:cs="Arial"/>
          <w:sz w:val="24"/>
          <w:szCs w:val="24"/>
        </w:rPr>
        <w:t>, disponibilizadas em ordem cronológica e em versão consolidada, de modo a permitir o exame de suas cláusulas, das contrapartidas exigidas e demais termos do regime especial concedido ao contribuinte;</w:t>
      </w:r>
    </w:p>
    <w:p w14:paraId="67A1ED36" w14:textId="77777777" w:rsidR="009B1AD0" w:rsidRPr="00EC6C68" w:rsidRDefault="009B1AD0" w:rsidP="009B1AD0">
      <w:pPr>
        <w:pStyle w:val="PargrafodaLista"/>
        <w:numPr>
          <w:ilvl w:val="4"/>
          <w:numId w:val="62"/>
        </w:numPr>
        <w:spacing w:line="360" w:lineRule="auto"/>
        <w:ind w:left="2127" w:hanging="426"/>
        <w:jc w:val="both"/>
        <w:rPr>
          <w:rFonts w:ascii="Arial" w:hAnsi="Arial" w:cs="Arial"/>
          <w:sz w:val="24"/>
          <w:szCs w:val="24"/>
        </w:rPr>
      </w:pPr>
      <w:r w:rsidRPr="00EC6C68">
        <w:rPr>
          <w:rFonts w:ascii="Arial" w:hAnsi="Arial" w:cs="Arial"/>
          <w:bCs/>
          <w:sz w:val="24"/>
          <w:szCs w:val="24"/>
          <w:u w:val="single"/>
        </w:rPr>
        <w:t>a íntegra dos processos de auditorias pertinentes a cada empresa</w:t>
      </w:r>
      <w:r w:rsidRPr="00EC6C68">
        <w:rPr>
          <w:rFonts w:ascii="Arial" w:hAnsi="Arial" w:cs="Arial"/>
          <w:sz w:val="24"/>
          <w:szCs w:val="24"/>
        </w:rPr>
        <w:t xml:space="preserve">, mediante link localizado próximo aos TARE’s correspondentes, inclusive </w:t>
      </w:r>
      <w:r w:rsidRPr="00EC6C68">
        <w:rPr>
          <w:rFonts w:ascii="Arial" w:hAnsi="Arial" w:cs="Arial"/>
          <w:bCs/>
          <w:sz w:val="24"/>
          <w:szCs w:val="24"/>
        </w:rPr>
        <w:t>relatórios</w:t>
      </w:r>
      <w:r w:rsidRPr="00EC6C68">
        <w:rPr>
          <w:rFonts w:ascii="Arial" w:hAnsi="Arial" w:cs="Arial"/>
          <w:sz w:val="24"/>
          <w:szCs w:val="24"/>
        </w:rPr>
        <w:t xml:space="preserve"> de fiscalização, decisões referentes a pedidos de reconsideração e recursos apreciados pela autoridade competente e decisão final.</w:t>
      </w:r>
    </w:p>
    <w:p w14:paraId="4A1611E0" w14:textId="77777777" w:rsidR="009B1AD0" w:rsidRDefault="009B1AD0" w:rsidP="009B1AD0">
      <w:pPr>
        <w:pStyle w:val="PargrafodaLista"/>
        <w:spacing w:line="360" w:lineRule="auto"/>
        <w:ind w:left="1211"/>
        <w:jc w:val="both"/>
        <w:rPr>
          <w:rFonts w:ascii="Arial" w:hAnsi="Arial" w:cs="Arial"/>
          <w:sz w:val="24"/>
          <w:szCs w:val="24"/>
          <w:highlight w:val="yellow"/>
        </w:rPr>
      </w:pPr>
    </w:p>
    <w:p w14:paraId="4BB88F5F" w14:textId="77777777" w:rsidR="009B1AD0" w:rsidRDefault="009B1AD0" w:rsidP="009B1AD0">
      <w:pPr>
        <w:pStyle w:val="PargrafodaLista"/>
        <w:numPr>
          <w:ilvl w:val="2"/>
          <w:numId w:val="62"/>
        </w:numPr>
        <w:spacing w:line="360" w:lineRule="auto"/>
        <w:jc w:val="both"/>
        <w:rPr>
          <w:rFonts w:ascii="Arial" w:hAnsi="Arial" w:cs="Arial"/>
          <w:b/>
          <w:sz w:val="24"/>
          <w:szCs w:val="24"/>
        </w:rPr>
      </w:pPr>
      <w:r w:rsidRPr="00394F74">
        <w:rPr>
          <w:rFonts w:ascii="Arial" w:hAnsi="Arial" w:cs="Arial"/>
          <w:b/>
          <w:sz w:val="24"/>
          <w:szCs w:val="24"/>
          <w:u w:val="single"/>
        </w:rPr>
        <w:t>Quanto a outras medidas para aperfeiçoar o sistema tributário em matéria de incentivos fiscais de ICMS</w:t>
      </w:r>
      <w:r w:rsidRPr="00394F74">
        <w:rPr>
          <w:rFonts w:ascii="Arial" w:hAnsi="Arial" w:cs="Arial"/>
          <w:b/>
          <w:sz w:val="24"/>
          <w:szCs w:val="24"/>
        </w:rPr>
        <w:t>:</w:t>
      </w:r>
    </w:p>
    <w:p w14:paraId="026116EB" w14:textId="77777777" w:rsidR="009B1AD0" w:rsidRPr="00394F74" w:rsidRDefault="009B1AD0" w:rsidP="009B1AD0">
      <w:pPr>
        <w:pStyle w:val="PargrafodaLista"/>
        <w:spacing w:line="360" w:lineRule="auto"/>
        <w:ind w:left="1224"/>
        <w:jc w:val="both"/>
        <w:rPr>
          <w:rFonts w:ascii="Arial" w:hAnsi="Arial" w:cs="Arial"/>
          <w:b/>
          <w:sz w:val="24"/>
          <w:szCs w:val="24"/>
        </w:rPr>
      </w:pPr>
    </w:p>
    <w:p w14:paraId="61B8DBF5"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sz w:val="24"/>
          <w:szCs w:val="24"/>
        </w:rPr>
        <w:t>No âmbito da cooperação com os demais Poderes e órgãos constitucionais autônomos:</w:t>
      </w:r>
    </w:p>
    <w:p w14:paraId="0BDB34C1"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b/>
          <w:sz w:val="24"/>
          <w:szCs w:val="24"/>
        </w:rPr>
      </w:pPr>
      <w:r w:rsidRPr="00394F74">
        <w:rPr>
          <w:rFonts w:ascii="Arial" w:hAnsi="Arial" w:cs="Arial"/>
          <w:sz w:val="24"/>
          <w:szCs w:val="24"/>
          <w:u w:val="single"/>
        </w:rPr>
        <w:t>o atendimento às requisições desta Casa de Leis, do TCE/GO e da CGE/GO relativas a dados e informações referentes a incentivos fiscais, inclusive individualizadas por pessoa jurídica e CNPJ</w:t>
      </w:r>
      <w:r w:rsidRPr="00394F74">
        <w:rPr>
          <w:rFonts w:ascii="Arial" w:hAnsi="Arial" w:cs="Arial"/>
          <w:sz w:val="24"/>
          <w:szCs w:val="24"/>
        </w:rPr>
        <w:t xml:space="preserve">, sem oposição do óbice do sigilo fiscal previsto no </w:t>
      </w:r>
      <w:r w:rsidRPr="00394F74">
        <w:rPr>
          <w:rFonts w:ascii="Arial" w:hAnsi="Arial" w:cs="Arial"/>
          <w:i/>
          <w:sz w:val="24"/>
          <w:szCs w:val="24"/>
        </w:rPr>
        <w:t>caput</w:t>
      </w:r>
      <w:r w:rsidRPr="00394F74">
        <w:rPr>
          <w:rFonts w:ascii="Arial" w:hAnsi="Arial" w:cs="Arial"/>
          <w:sz w:val="24"/>
          <w:szCs w:val="24"/>
        </w:rPr>
        <w:t xml:space="preserve"> do art. 198 do CTN, tendo em vista se tratar de pressuposto para o desempenho das atribuições constitucionais desses órgãos (CE/GO, arts. 11, VIII, 25 e 29; CTN, art. 198, § 1º, II, e § 2º);</w:t>
      </w:r>
    </w:p>
    <w:p w14:paraId="7383860F" w14:textId="77777777" w:rsidR="009B1AD0" w:rsidRPr="00394F74" w:rsidRDefault="009B1AD0" w:rsidP="009B1AD0">
      <w:pPr>
        <w:pStyle w:val="PargrafodaLista"/>
        <w:numPr>
          <w:ilvl w:val="4"/>
          <w:numId w:val="62"/>
        </w:numPr>
        <w:spacing w:line="360" w:lineRule="auto"/>
        <w:ind w:left="2127" w:hanging="426"/>
        <w:jc w:val="both"/>
        <w:rPr>
          <w:rFonts w:ascii="Arial" w:hAnsi="Arial" w:cs="Arial"/>
          <w:b/>
          <w:sz w:val="24"/>
          <w:szCs w:val="24"/>
        </w:rPr>
      </w:pPr>
      <w:r w:rsidRPr="00394F74">
        <w:rPr>
          <w:rFonts w:ascii="Arial" w:hAnsi="Arial" w:cs="Arial"/>
          <w:sz w:val="24"/>
          <w:szCs w:val="24"/>
          <w:u w:val="single"/>
        </w:rPr>
        <w:lastRenderedPageBreak/>
        <w:t>o atendimento às requisições do Ministério Público (estadual e federal) relativas a dados e informações referentes a incentivos fiscais, inclusive individualizadas por pessoa jurídica e CNPJ</w:t>
      </w:r>
      <w:r w:rsidRPr="00394F74">
        <w:rPr>
          <w:rFonts w:ascii="Arial" w:hAnsi="Arial" w:cs="Arial"/>
          <w:sz w:val="24"/>
          <w:szCs w:val="24"/>
        </w:rPr>
        <w:t>, sem oposição do óbice do sigilo fiscal previsto no art. 198 do CTN, por aplicação analógica da recente decisão proferida pelo Plenário do STF no RE 1.055.941/SP;</w:t>
      </w:r>
    </w:p>
    <w:p w14:paraId="17BAE543"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sz w:val="24"/>
          <w:szCs w:val="24"/>
        </w:rPr>
        <w:t>Implantar sistemas e programas de integridade (</w:t>
      </w:r>
      <w:r w:rsidRPr="00394F74">
        <w:rPr>
          <w:rFonts w:ascii="Arial" w:hAnsi="Arial" w:cs="Arial"/>
          <w:b/>
          <w:i/>
          <w:sz w:val="24"/>
          <w:szCs w:val="24"/>
        </w:rPr>
        <w:t>compliance</w:t>
      </w:r>
      <w:r w:rsidRPr="00394F74">
        <w:rPr>
          <w:rFonts w:ascii="Arial" w:hAnsi="Arial" w:cs="Arial"/>
          <w:b/>
          <w:sz w:val="24"/>
          <w:szCs w:val="24"/>
        </w:rPr>
        <w:t>) público no âmbito dos incentivos fiscais de ICMS</w:t>
      </w:r>
      <w:r w:rsidRPr="00394F74">
        <w:rPr>
          <w:rFonts w:ascii="Arial" w:hAnsi="Arial" w:cs="Arial"/>
          <w:sz w:val="24"/>
          <w:szCs w:val="24"/>
        </w:rPr>
        <w:t>, a fim de detectar situações suspeitas e alertar as autoridades competentes para adoção de procedimentos de revisão e de conferência das auditorias consideradas “fora do padrão”;</w:t>
      </w:r>
    </w:p>
    <w:p w14:paraId="77F9FFE5" w14:textId="53989A68"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sz w:val="24"/>
          <w:szCs w:val="24"/>
        </w:rPr>
        <w:t>Cumpri</w:t>
      </w:r>
      <w:r w:rsidR="00E218A7">
        <w:rPr>
          <w:rFonts w:ascii="Arial" w:hAnsi="Arial" w:cs="Arial"/>
          <w:b/>
          <w:sz w:val="24"/>
          <w:szCs w:val="24"/>
        </w:rPr>
        <w:t>r</w:t>
      </w:r>
      <w:r w:rsidRPr="00394F74">
        <w:rPr>
          <w:rFonts w:ascii="Arial" w:hAnsi="Arial" w:cs="Arial"/>
          <w:b/>
          <w:sz w:val="24"/>
          <w:szCs w:val="24"/>
        </w:rPr>
        <w:t xml:space="preserve"> imediat</w:t>
      </w:r>
      <w:r w:rsidR="00E218A7">
        <w:rPr>
          <w:rFonts w:ascii="Arial" w:hAnsi="Arial" w:cs="Arial"/>
          <w:b/>
          <w:sz w:val="24"/>
          <w:szCs w:val="24"/>
        </w:rPr>
        <w:t>a</w:t>
      </w:r>
      <w:r w:rsidRPr="00394F74">
        <w:rPr>
          <w:rFonts w:ascii="Arial" w:hAnsi="Arial" w:cs="Arial"/>
          <w:b/>
          <w:sz w:val="24"/>
          <w:szCs w:val="24"/>
        </w:rPr>
        <w:t xml:space="preserve"> e integral</w:t>
      </w:r>
      <w:r w:rsidR="00E218A7">
        <w:rPr>
          <w:rFonts w:ascii="Arial" w:hAnsi="Arial" w:cs="Arial"/>
          <w:b/>
          <w:sz w:val="24"/>
          <w:szCs w:val="24"/>
        </w:rPr>
        <w:t>mente</w:t>
      </w:r>
      <w:r w:rsidRPr="00394F74">
        <w:rPr>
          <w:rFonts w:ascii="Arial" w:hAnsi="Arial" w:cs="Arial"/>
          <w:b/>
          <w:sz w:val="24"/>
          <w:szCs w:val="24"/>
        </w:rPr>
        <w:t xml:space="preserve"> o disposto no § 2º do art. 44 e no inciso III do art. 45 da LC nº 138/2018</w:t>
      </w:r>
      <w:r w:rsidRPr="00394F74">
        <w:rPr>
          <w:rFonts w:ascii="Arial" w:hAnsi="Arial" w:cs="Arial"/>
          <w:sz w:val="24"/>
          <w:szCs w:val="24"/>
        </w:rPr>
        <w:t>, para que a Administração Tributária, em conjunto com a CGE/GO, TCE/GO e IMB, publiquem estudos e avaliações objetivas a cada ano, no Portal da Transparência, acerca da (in)eficácia socioeconômica e resultados da política de incentivos fiscais do Estado de Goiás, em seus diversos segmentos de atividade econômica</w:t>
      </w:r>
      <w:r w:rsidR="00E218A7">
        <w:rPr>
          <w:rFonts w:ascii="Arial" w:hAnsi="Arial" w:cs="Arial"/>
          <w:sz w:val="24"/>
          <w:szCs w:val="24"/>
        </w:rPr>
        <w:t xml:space="preserve"> e empresas beneficiárias</w:t>
      </w:r>
      <w:r w:rsidR="0095761A">
        <w:rPr>
          <w:rFonts w:ascii="Arial" w:hAnsi="Arial" w:cs="Arial"/>
          <w:sz w:val="24"/>
          <w:szCs w:val="24"/>
        </w:rPr>
        <w:t>.</w:t>
      </w:r>
    </w:p>
    <w:p w14:paraId="4CDAFC1C" w14:textId="77777777" w:rsidR="009B1AD0" w:rsidRPr="00805B4D" w:rsidRDefault="009B1AD0" w:rsidP="009B1AD0">
      <w:pPr>
        <w:spacing w:line="360" w:lineRule="auto"/>
        <w:ind w:left="1080"/>
        <w:jc w:val="both"/>
        <w:rPr>
          <w:rFonts w:ascii="Arial" w:hAnsi="Arial" w:cs="Arial"/>
          <w:b/>
          <w:sz w:val="24"/>
          <w:szCs w:val="24"/>
          <w:u w:val="single"/>
        </w:rPr>
      </w:pPr>
    </w:p>
    <w:p w14:paraId="0806AB32" w14:textId="77777777" w:rsidR="009B1AD0" w:rsidRDefault="009B1AD0" w:rsidP="009B1AD0">
      <w:pPr>
        <w:pStyle w:val="PargrafodaLista"/>
        <w:numPr>
          <w:ilvl w:val="1"/>
          <w:numId w:val="62"/>
        </w:numPr>
        <w:spacing w:line="360" w:lineRule="auto"/>
        <w:jc w:val="both"/>
        <w:rPr>
          <w:rFonts w:ascii="Arial" w:hAnsi="Arial" w:cs="Arial"/>
          <w:b/>
          <w:sz w:val="24"/>
          <w:szCs w:val="24"/>
        </w:rPr>
      </w:pPr>
      <w:r w:rsidRPr="00394F74">
        <w:rPr>
          <w:rFonts w:ascii="Arial" w:hAnsi="Arial" w:cs="Arial"/>
          <w:b/>
          <w:sz w:val="24"/>
          <w:szCs w:val="24"/>
        </w:rPr>
        <w:t>PROVIDÊNCIAS A CARGO DO PODER LEGISLATIVO</w:t>
      </w:r>
    </w:p>
    <w:p w14:paraId="02E25BA9" w14:textId="77777777" w:rsidR="009B1AD0" w:rsidRPr="00394F74" w:rsidRDefault="009B1AD0" w:rsidP="009B1AD0">
      <w:pPr>
        <w:pStyle w:val="PargrafodaLista"/>
        <w:spacing w:line="360" w:lineRule="auto"/>
        <w:ind w:left="1224"/>
        <w:jc w:val="both"/>
        <w:rPr>
          <w:rFonts w:ascii="Arial" w:hAnsi="Arial" w:cs="Arial"/>
          <w:b/>
          <w:sz w:val="24"/>
          <w:szCs w:val="24"/>
        </w:rPr>
      </w:pPr>
    </w:p>
    <w:p w14:paraId="40E3023D" w14:textId="77777777" w:rsidR="009B1AD0" w:rsidRDefault="009B1AD0" w:rsidP="009B1AD0">
      <w:pPr>
        <w:pStyle w:val="PargrafodaLista"/>
        <w:numPr>
          <w:ilvl w:val="2"/>
          <w:numId w:val="62"/>
        </w:numPr>
        <w:spacing w:line="360" w:lineRule="auto"/>
        <w:jc w:val="both"/>
        <w:rPr>
          <w:rFonts w:ascii="Arial" w:hAnsi="Arial" w:cs="Arial"/>
          <w:b/>
          <w:sz w:val="24"/>
          <w:szCs w:val="24"/>
        </w:rPr>
      </w:pPr>
      <w:r w:rsidRPr="00394F74">
        <w:rPr>
          <w:rFonts w:ascii="Arial" w:hAnsi="Arial" w:cs="Arial"/>
          <w:b/>
          <w:sz w:val="24"/>
          <w:szCs w:val="24"/>
          <w:u w:val="single"/>
        </w:rPr>
        <w:t>Apresentação e aprovação de projeto(s) de lei visando à</w:t>
      </w:r>
      <w:r w:rsidRPr="00394F74">
        <w:rPr>
          <w:rFonts w:ascii="Arial" w:hAnsi="Arial" w:cs="Arial"/>
          <w:b/>
          <w:sz w:val="24"/>
          <w:szCs w:val="24"/>
        </w:rPr>
        <w:t>:</w:t>
      </w:r>
    </w:p>
    <w:p w14:paraId="5FD9BF91" w14:textId="77777777" w:rsidR="009B1AD0" w:rsidRPr="00394F74" w:rsidRDefault="009B1AD0" w:rsidP="009B1AD0">
      <w:pPr>
        <w:pStyle w:val="PargrafodaLista"/>
        <w:spacing w:line="360" w:lineRule="auto"/>
        <w:ind w:left="360"/>
        <w:jc w:val="both"/>
        <w:rPr>
          <w:rFonts w:ascii="Arial" w:hAnsi="Arial" w:cs="Arial"/>
          <w:b/>
          <w:sz w:val="24"/>
          <w:szCs w:val="24"/>
        </w:rPr>
      </w:pPr>
    </w:p>
    <w:p w14:paraId="3F97139D"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bCs/>
          <w:sz w:val="24"/>
          <w:szCs w:val="24"/>
        </w:rPr>
        <w:t>Alteração imediata de dispositivos do CTE/GO, notadamente o art. 40</w:t>
      </w:r>
      <w:r w:rsidRPr="00394F74">
        <w:rPr>
          <w:rFonts w:ascii="Arial" w:hAnsi="Arial" w:cs="Arial"/>
          <w:sz w:val="24"/>
          <w:szCs w:val="24"/>
        </w:rPr>
        <w:t>, de modo a tornar mais clara a exigência constitucional de lei específica para concessão de incentivos fiscais relativos ao ICMS no Estado de Goiás, de modo a aproximar o texto das redações dos arts. 42, 43-A e 99-A da Lei nº 10.297/2001 do Estado de Santa Catarina, com redação dada ou acrescida pelas Leis nºs 17.737/2019 e 14.967/2009;</w:t>
      </w:r>
    </w:p>
    <w:p w14:paraId="21D84421"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bCs/>
          <w:sz w:val="24"/>
          <w:szCs w:val="24"/>
        </w:rPr>
        <w:t>Revogação imediata do inciso I do art. 45 da Lei Complementar estadual nº 138/2018</w:t>
      </w:r>
      <w:r w:rsidRPr="00394F74">
        <w:rPr>
          <w:rFonts w:ascii="Arial" w:hAnsi="Arial" w:cs="Arial"/>
          <w:sz w:val="24"/>
          <w:szCs w:val="24"/>
        </w:rPr>
        <w:t xml:space="preserve">, que submete toda e qualquer concessão de </w:t>
      </w:r>
      <w:r w:rsidRPr="00394F74">
        <w:rPr>
          <w:rFonts w:ascii="Arial" w:hAnsi="Arial" w:cs="Arial"/>
          <w:sz w:val="24"/>
          <w:szCs w:val="24"/>
        </w:rPr>
        <w:lastRenderedPageBreak/>
        <w:t>incentivos fiscais à prévia regulamentação pelo Chefe do Poder Executivo, o que enfraquece sobremaneira o papel do Poder Legislativo nessa seara, além de inconstitucional (CRFB, art. 150, § 6º; CE/GO, art. 102, § 5º);</w:t>
      </w:r>
    </w:p>
    <w:p w14:paraId="00BA7484" w14:textId="77777777" w:rsidR="009B1AD0" w:rsidRPr="00186C86" w:rsidRDefault="009B1AD0" w:rsidP="009B1AD0">
      <w:pPr>
        <w:pStyle w:val="PargrafodaLista"/>
        <w:numPr>
          <w:ilvl w:val="3"/>
          <w:numId w:val="62"/>
        </w:numPr>
        <w:spacing w:line="360" w:lineRule="auto"/>
        <w:jc w:val="both"/>
        <w:rPr>
          <w:rFonts w:ascii="Arial" w:hAnsi="Arial" w:cs="Arial"/>
          <w:b/>
          <w:sz w:val="24"/>
          <w:szCs w:val="24"/>
        </w:rPr>
      </w:pPr>
      <w:r w:rsidRPr="00394F74">
        <w:rPr>
          <w:rFonts w:ascii="Arial" w:hAnsi="Arial" w:cs="Arial"/>
          <w:b/>
          <w:bCs/>
          <w:sz w:val="24"/>
          <w:szCs w:val="24"/>
        </w:rPr>
        <w:t>Alteração do art. 24 da Lei n. 13.591/2000 (PRODUZIR) e 7º da Lei n. 11.180/1990 (FOMENTAR)</w:t>
      </w:r>
      <w:r w:rsidRPr="00394F74">
        <w:rPr>
          <w:rFonts w:ascii="Arial" w:hAnsi="Arial" w:cs="Arial"/>
          <w:sz w:val="24"/>
          <w:szCs w:val="24"/>
        </w:rPr>
        <w:t xml:space="preserve"> para tornar clara a necessidade de suspensão ou revogação do contrato com a GOIÁSFOMENTO no caso de descumprimento dos requisitos legais, sem deixar qualquer margem para </w:t>
      </w:r>
      <w:r w:rsidRPr="00186C86">
        <w:rPr>
          <w:rFonts w:ascii="Arial" w:hAnsi="Arial" w:cs="Arial"/>
          <w:sz w:val="24"/>
          <w:szCs w:val="24"/>
        </w:rPr>
        <w:t>juízo discricionário do Conselho Deliberativo e da Comissão Executiva dos Programas nesse tocante;</w:t>
      </w:r>
    </w:p>
    <w:p w14:paraId="0C14AD38" w14:textId="77777777" w:rsidR="009B1AD0" w:rsidRPr="00186C86" w:rsidRDefault="009B1AD0" w:rsidP="009B1AD0">
      <w:pPr>
        <w:pStyle w:val="PargrafodaLista"/>
        <w:numPr>
          <w:ilvl w:val="3"/>
          <w:numId w:val="62"/>
        </w:numPr>
        <w:spacing w:line="360" w:lineRule="auto"/>
        <w:jc w:val="both"/>
        <w:rPr>
          <w:rFonts w:ascii="Arial" w:hAnsi="Arial" w:cs="Arial"/>
          <w:b/>
          <w:sz w:val="24"/>
          <w:szCs w:val="24"/>
        </w:rPr>
      </w:pPr>
      <w:r w:rsidRPr="00186C86">
        <w:rPr>
          <w:rFonts w:ascii="Arial" w:hAnsi="Arial" w:cs="Arial"/>
          <w:b/>
          <w:sz w:val="24"/>
          <w:szCs w:val="24"/>
        </w:rPr>
        <w:t>Alterações na legislação ambiental, especialmente o seguinte:</w:t>
      </w:r>
    </w:p>
    <w:p w14:paraId="1045F8D7" w14:textId="77777777" w:rsidR="009B1AD0" w:rsidRPr="00186C86" w:rsidRDefault="009B1AD0" w:rsidP="009B1AD0">
      <w:pPr>
        <w:pStyle w:val="PargrafodaLista"/>
        <w:numPr>
          <w:ilvl w:val="8"/>
          <w:numId w:val="62"/>
        </w:numPr>
        <w:spacing w:line="360" w:lineRule="auto"/>
        <w:ind w:left="2127" w:hanging="448"/>
        <w:jc w:val="both"/>
        <w:rPr>
          <w:rFonts w:ascii="Arial" w:hAnsi="Arial" w:cs="Arial"/>
          <w:b/>
          <w:sz w:val="24"/>
          <w:szCs w:val="24"/>
        </w:rPr>
      </w:pPr>
      <w:r w:rsidRPr="00186C86">
        <w:rPr>
          <w:rFonts w:ascii="Arial" w:hAnsi="Arial" w:cs="Arial"/>
          <w:sz w:val="24"/>
          <w:szCs w:val="24"/>
          <w:u w:val="single"/>
        </w:rPr>
        <w:t>acréscimo de § 3º ao art. 25 da Lei nº 18.102/2013</w:t>
      </w:r>
      <w:r w:rsidRPr="00186C86">
        <w:rPr>
          <w:rFonts w:ascii="Arial" w:hAnsi="Arial" w:cs="Arial"/>
          <w:sz w:val="24"/>
          <w:szCs w:val="24"/>
        </w:rPr>
        <w:t>, para prever que a penalidade de perda ou restrição de incentivos fiscais seja sempre aplicada quando da autuação de empresa beneficiária, sem prejuízo de outras penalidades, devendo compreender a perda durante todo o período em que verificada a permanência da atividade nociva e a restrição à fruição por, no mínimo, 2 (dois) meses contados da data da autuação;</w:t>
      </w:r>
    </w:p>
    <w:p w14:paraId="6768179F" w14:textId="77777777" w:rsidR="009B1AD0" w:rsidRPr="00186C86" w:rsidRDefault="009B1AD0" w:rsidP="009B1AD0">
      <w:pPr>
        <w:pStyle w:val="PargrafodaLista"/>
        <w:numPr>
          <w:ilvl w:val="8"/>
          <w:numId w:val="62"/>
        </w:numPr>
        <w:spacing w:line="360" w:lineRule="auto"/>
        <w:ind w:left="2127" w:hanging="448"/>
        <w:jc w:val="both"/>
        <w:rPr>
          <w:rFonts w:ascii="Arial" w:hAnsi="Arial" w:cs="Arial"/>
          <w:b/>
          <w:sz w:val="24"/>
          <w:szCs w:val="24"/>
        </w:rPr>
      </w:pPr>
      <w:r w:rsidRPr="00186C86">
        <w:rPr>
          <w:rFonts w:ascii="Arial" w:hAnsi="Arial" w:cs="Arial"/>
          <w:sz w:val="24"/>
          <w:szCs w:val="24"/>
          <w:u w:val="single"/>
        </w:rPr>
        <w:t>alteração do § 2º do art. 26 da Lei nº 18.102/2013</w:t>
      </w:r>
      <w:r w:rsidRPr="00186C86">
        <w:rPr>
          <w:rFonts w:ascii="Arial" w:hAnsi="Arial" w:cs="Arial"/>
          <w:sz w:val="24"/>
          <w:szCs w:val="24"/>
        </w:rPr>
        <w:t>, para eliminar ou majorar o prazo de prescrição intercorrente para no mínimo 5 (cinco) anos;</w:t>
      </w:r>
    </w:p>
    <w:p w14:paraId="1F5F2A35" w14:textId="77777777" w:rsidR="009B1AD0" w:rsidRPr="00186C86" w:rsidRDefault="009B1AD0" w:rsidP="009B1AD0">
      <w:pPr>
        <w:pStyle w:val="PargrafodaLista"/>
        <w:numPr>
          <w:ilvl w:val="8"/>
          <w:numId w:val="62"/>
        </w:numPr>
        <w:spacing w:line="360" w:lineRule="auto"/>
        <w:ind w:left="2127" w:hanging="448"/>
        <w:jc w:val="both"/>
        <w:rPr>
          <w:rFonts w:ascii="Arial" w:hAnsi="Arial" w:cs="Arial"/>
          <w:b/>
          <w:sz w:val="24"/>
          <w:szCs w:val="24"/>
        </w:rPr>
      </w:pPr>
      <w:r w:rsidRPr="00186C86">
        <w:rPr>
          <w:rFonts w:ascii="Arial" w:hAnsi="Arial" w:cs="Arial"/>
          <w:sz w:val="24"/>
          <w:szCs w:val="24"/>
          <w:u w:val="single"/>
        </w:rPr>
        <w:t>acréscimo de § 6º ao art. 34 da Lei nº 18.102/2013</w:t>
      </w:r>
      <w:r w:rsidRPr="00186C86">
        <w:rPr>
          <w:rFonts w:ascii="Arial" w:hAnsi="Arial" w:cs="Arial"/>
          <w:sz w:val="24"/>
          <w:szCs w:val="24"/>
        </w:rPr>
        <w:t>, para prever que conste do auto de infração a data de início da atividade nociva ao meio ambiente que ensejar a autuação da empresa.</w:t>
      </w:r>
    </w:p>
    <w:p w14:paraId="20E30394" w14:textId="77777777" w:rsidR="009B1AD0" w:rsidRPr="00394F74" w:rsidRDefault="009B1AD0" w:rsidP="009B1AD0">
      <w:pPr>
        <w:pStyle w:val="PargrafodaLista"/>
        <w:numPr>
          <w:ilvl w:val="3"/>
          <w:numId w:val="62"/>
        </w:numPr>
        <w:spacing w:line="360" w:lineRule="auto"/>
        <w:jc w:val="both"/>
        <w:rPr>
          <w:rFonts w:ascii="Arial" w:hAnsi="Arial" w:cs="Arial"/>
          <w:b/>
          <w:sz w:val="24"/>
          <w:szCs w:val="24"/>
        </w:rPr>
      </w:pPr>
      <w:r w:rsidRPr="00186C86">
        <w:rPr>
          <w:rFonts w:ascii="Arial" w:hAnsi="Arial" w:cs="Arial"/>
          <w:b/>
          <w:bCs/>
          <w:sz w:val="24"/>
          <w:szCs w:val="24"/>
        </w:rPr>
        <w:t>Instituição de uma política estadual de incentivos fiscais</w:t>
      </w:r>
      <w:r w:rsidRPr="00394F74">
        <w:rPr>
          <w:rFonts w:ascii="Arial" w:hAnsi="Arial" w:cs="Arial"/>
          <w:b/>
          <w:bCs/>
          <w:sz w:val="24"/>
          <w:szCs w:val="24"/>
        </w:rPr>
        <w:t xml:space="preserve"> no Estado de Goiás, em caráter geral e com </w:t>
      </w:r>
      <w:r w:rsidRPr="00394F74">
        <w:rPr>
          <w:rFonts w:ascii="Arial" w:hAnsi="Arial" w:cs="Arial"/>
          <w:b/>
          <w:bCs/>
          <w:i/>
          <w:sz w:val="24"/>
          <w:szCs w:val="24"/>
        </w:rPr>
        <w:t>status</w:t>
      </w:r>
      <w:r w:rsidRPr="00394F74">
        <w:rPr>
          <w:rFonts w:ascii="Arial" w:hAnsi="Arial" w:cs="Arial"/>
          <w:b/>
          <w:bCs/>
          <w:sz w:val="24"/>
          <w:szCs w:val="24"/>
        </w:rPr>
        <w:t xml:space="preserve"> legal, até o primeiro semestre de 2020, com o intuito de uniformizar as normas e disciplinar, no mínimo, os seguintes aspectos no âmbito dos Programas Fomentar e Produzir e demais incentivos fiscais esparsos consolidados atualmente no RCTE/GO:</w:t>
      </w:r>
    </w:p>
    <w:p w14:paraId="400D13D1" w14:textId="77777777" w:rsidR="009B1AD0" w:rsidRPr="00BD0154" w:rsidRDefault="009B1AD0" w:rsidP="009B1AD0">
      <w:pPr>
        <w:pStyle w:val="PargrafodaLista"/>
        <w:numPr>
          <w:ilvl w:val="4"/>
          <w:numId w:val="62"/>
        </w:numPr>
        <w:spacing w:line="360" w:lineRule="auto"/>
        <w:ind w:left="2127" w:hanging="426"/>
        <w:jc w:val="both"/>
        <w:rPr>
          <w:rFonts w:ascii="Arial" w:hAnsi="Arial" w:cs="Arial"/>
          <w:bCs/>
          <w:sz w:val="24"/>
          <w:szCs w:val="24"/>
        </w:rPr>
      </w:pPr>
      <w:r w:rsidRPr="00BD0154">
        <w:rPr>
          <w:rFonts w:ascii="Arial" w:hAnsi="Arial" w:cs="Arial"/>
          <w:bCs/>
          <w:sz w:val="24"/>
          <w:szCs w:val="24"/>
          <w:u w:val="single"/>
        </w:rPr>
        <w:t>critérios a serem observados para a celebração de TARE’s</w:t>
      </w:r>
      <w:r w:rsidRPr="00BD0154">
        <w:rPr>
          <w:rFonts w:ascii="Arial" w:hAnsi="Arial" w:cs="Arial"/>
          <w:bCs/>
          <w:sz w:val="24"/>
          <w:szCs w:val="24"/>
        </w:rPr>
        <w:t xml:space="preserve">, inclusive a necessidade de prévia aprovação pelo órgão responsável pela </w:t>
      </w:r>
      <w:r w:rsidRPr="00BD0154">
        <w:rPr>
          <w:rFonts w:ascii="Arial" w:hAnsi="Arial" w:cs="Arial"/>
          <w:bCs/>
          <w:sz w:val="24"/>
          <w:szCs w:val="24"/>
        </w:rPr>
        <w:lastRenderedPageBreak/>
        <w:t xml:space="preserve">advocacia pública estatal e a </w:t>
      </w:r>
      <w:r w:rsidRPr="00BD0154">
        <w:rPr>
          <w:rFonts w:ascii="Arial" w:hAnsi="Arial" w:cs="Arial"/>
          <w:sz w:val="24"/>
          <w:szCs w:val="24"/>
        </w:rPr>
        <w:t>responsabilização pessoal dos gestores das pessoas jurídicas beneficiadas em caso de descumprimento dos requisitos ou contrapartidas exigidas (multa de 1% a 10% do valor do benefício concedido; inabilitação para ocupar cargos, funções ou empregos em todos os órgãos e Poderes do Estado de Goiás, inclusive OS’s);</w:t>
      </w:r>
    </w:p>
    <w:p w14:paraId="50BE049A" w14:textId="77777777" w:rsidR="009B1AD0" w:rsidRPr="00BD0154" w:rsidRDefault="009B1AD0" w:rsidP="009B1AD0">
      <w:pPr>
        <w:pStyle w:val="PargrafodaLista"/>
        <w:numPr>
          <w:ilvl w:val="4"/>
          <w:numId w:val="62"/>
        </w:numPr>
        <w:spacing w:line="360" w:lineRule="auto"/>
        <w:ind w:left="2127" w:hanging="426"/>
        <w:jc w:val="both"/>
        <w:rPr>
          <w:rFonts w:ascii="Arial" w:hAnsi="Arial" w:cs="Arial"/>
          <w:bCs/>
          <w:sz w:val="24"/>
          <w:szCs w:val="24"/>
        </w:rPr>
      </w:pPr>
      <w:r w:rsidRPr="00BD0154">
        <w:rPr>
          <w:rFonts w:ascii="Arial" w:hAnsi="Arial" w:cs="Arial"/>
          <w:sz w:val="24"/>
          <w:szCs w:val="24"/>
          <w:u w:val="single"/>
        </w:rPr>
        <w:t>requisitos gerais e de contrapartidas econômicas, sociais e ambientais para concessão e fruição de incentivos fiscais</w:t>
      </w:r>
      <w:r w:rsidRPr="00BD0154">
        <w:rPr>
          <w:rFonts w:ascii="Arial" w:hAnsi="Arial" w:cs="Arial"/>
          <w:sz w:val="24"/>
          <w:szCs w:val="24"/>
        </w:rPr>
        <w:t>, bem como a distinção clara entre esses institutos e a incorporação de disposições pertinentes da parte geral do Anexo IX do RCTE/GO (art. 1º a 5º), a fim de que essas questões sejam amplamente debatidas com a sociedade e também por ocasião de qualquer alteração que se pretenda em relação a esses aspectos, a serem observados e fiscalizados permanentemente pelo Poder Público;</w:t>
      </w:r>
    </w:p>
    <w:p w14:paraId="24C37352" w14:textId="77777777" w:rsidR="009B1AD0" w:rsidRPr="00BD0154" w:rsidRDefault="009B1AD0" w:rsidP="009B1AD0">
      <w:pPr>
        <w:pStyle w:val="PargrafodaLista"/>
        <w:numPr>
          <w:ilvl w:val="4"/>
          <w:numId w:val="62"/>
        </w:numPr>
        <w:spacing w:line="360" w:lineRule="auto"/>
        <w:ind w:left="2127" w:hanging="426"/>
        <w:jc w:val="both"/>
        <w:rPr>
          <w:rFonts w:ascii="Arial" w:hAnsi="Arial" w:cs="Arial"/>
          <w:bCs/>
          <w:sz w:val="24"/>
          <w:szCs w:val="24"/>
        </w:rPr>
      </w:pPr>
      <w:r w:rsidRPr="00BD0154">
        <w:rPr>
          <w:rFonts w:ascii="Arial" w:hAnsi="Arial" w:cs="Arial"/>
          <w:sz w:val="24"/>
          <w:szCs w:val="24"/>
          <w:u w:val="single"/>
        </w:rPr>
        <w:t>transparência, fiscalização e controle</w:t>
      </w:r>
      <w:r w:rsidRPr="00BD0154">
        <w:rPr>
          <w:rFonts w:ascii="Arial" w:hAnsi="Arial" w:cs="Arial"/>
          <w:sz w:val="24"/>
          <w:szCs w:val="24"/>
        </w:rPr>
        <w:t>, além da normas sancionatórias tanto a agentes públicos como privados que a descumprirem;</w:t>
      </w:r>
    </w:p>
    <w:p w14:paraId="792BCF6D" w14:textId="77777777" w:rsidR="009B1AD0" w:rsidRPr="00BD0154" w:rsidRDefault="009B1AD0" w:rsidP="009B1AD0">
      <w:pPr>
        <w:pStyle w:val="PargrafodaLista"/>
        <w:numPr>
          <w:ilvl w:val="4"/>
          <w:numId w:val="62"/>
        </w:numPr>
        <w:spacing w:line="360" w:lineRule="auto"/>
        <w:ind w:left="2127" w:hanging="426"/>
        <w:jc w:val="both"/>
        <w:rPr>
          <w:rFonts w:ascii="Arial" w:hAnsi="Arial" w:cs="Arial"/>
          <w:bCs/>
          <w:sz w:val="24"/>
          <w:szCs w:val="24"/>
        </w:rPr>
      </w:pPr>
      <w:r w:rsidRPr="00BD0154">
        <w:rPr>
          <w:rFonts w:ascii="Arial" w:hAnsi="Arial" w:cs="Arial"/>
          <w:sz w:val="24"/>
          <w:szCs w:val="24"/>
          <w:u w:val="single"/>
        </w:rPr>
        <w:t>criação e a manutenção de sistema informatizado e integrado de gestão e controle dos incentivos fiscais do Estado de Goiás</w:t>
      </w:r>
      <w:r w:rsidRPr="00BD0154">
        <w:rPr>
          <w:rFonts w:ascii="Arial" w:hAnsi="Arial" w:cs="Arial"/>
          <w:sz w:val="24"/>
          <w:szCs w:val="24"/>
        </w:rPr>
        <w:t>, de modo a condicionar a concessão/manutenção de benefícios à inclusão, em tempo real, de dados nessa plataforma de gestão e controle;</w:t>
      </w:r>
    </w:p>
    <w:p w14:paraId="20C1831C" w14:textId="63130A06" w:rsidR="009B1AD0" w:rsidRPr="00BD0154" w:rsidRDefault="009B1AD0" w:rsidP="009B1AD0">
      <w:pPr>
        <w:pStyle w:val="PargrafodaLista"/>
        <w:numPr>
          <w:ilvl w:val="4"/>
          <w:numId w:val="62"/>
        </w:numPr>
        <w:spacing w:line="360" w:lineRule="auto"/>
        <w:ind w:left="2127" w:hanging="426"/>
        <w:jc w:val="both"/>
        <w:rPr>
          <w:rFonts w:ascii="Arial" w:hAnsi="Arial" w:cs="Arial"/>
          <w:bCs/>
          <w:sz w:val="24"/>
          <w:szCs w:val="24"/>
        </w:rPr>
      </w:pPr>
      <w:r w:rsidRPr="00BD0154">
        <w:rPr>
          <w:rFonts w:ascii="Arial" w:hAnsi="Arial" w:cs="Arial"/>
          <w:bCs/>
          <w:sz w:val="24"/>
          <w:szCs w:val="24"/>
          <w:u w:val="single"/>
        </w:rPr>
        <w:t>vedação da transferência de créditos outorgados de ICMS a terceiros</w:t>
      </w:r>
      <w:r w:rsidRPr="00BD0154">
        <w:rPr>
          <w:rFonts w:ascii="Arial" w:hAnsi="Arial" w:cs="Arial"/>
          <w:sz w:val="24"/>
          <w:szCs w:val="24"/>
        </w:rPr>
        <w:t>,</w:t>
      </w:r>
      <w:r>
        <w:rPr>
          <w:rFonts w:ascii="Arial" w:hAnsi="Arial" w:cs="Arial"/>
          <w:sz w:val="24"/>
          <w:szCs w:val="24"/>
        </w:rPr>
        <w:t xml:space="preserve"> </w:t>
      </w:r>
      <w:r w:rsidRPr="00186C86">
        <w:rPr>
          <w:rFonts w:ascii="Arial" w:hAnsi="Arial" w:cs="Arial"/>
          <w:sz w:val="24"/>
          <w:szCs w:val="24"/>
        </w:rPr>
        <w:t xml:space="preserve">especialmente no âmbito de programas de remissão, anistia e outros de regularização fiscal </w:t>
      </w:r>
      <w:r w:rsidR="00186C86">
        <w:rPr>
          <w:rFonts w:ascii="Arial" w:hAnsi="Arial" w:cs="Arial"/>
          <w:sz w:val="24"/>
          <w:szCs w:val="24"/>
        </w:rPr>
        <w:t>(</w:t>
      </w:r>
      <w:r w:rsidRPr="00186C86">
        <w:rPr>
          <w:rFonts w:ascii="Arial" w:hAnsi="Arial" w:cs="Arial"/>
          <w:sz w:val="24"/>
          <w:szCs w:val="24"/>
        </w:rPr>
        <w:t>Refis</w:t>
      </w:r>
      <w:r w:rsidR="00186C86">
        <w:rPr>
          <w:rFonts w:ascii="Arial" w:hAnsi="Arial" w:cs="Arial"/>
          <w:sz w:val="24"/>
          <w:szCs w:val="24"/>
        </w:rPr>
        <w:t>)</w:t>
      </w:r>
      <w:r w:rsidRPr="00BD0154">
        <w:rPr>
          <w:rFonts w:ascii="Arial" w:hAnsi="Arial" w:cs="Arial"/>
          <w:sz w:val="24"/>
          <w:szCs w:val="24"/>
        </w:rPr>
        <w:t>;</w:t>
      </w:r>
    </w:p>
    <w:p w14:paraId="3ACF7C0D" w14:textId="77777777" w:rsidR="009B1AD0" w:rsidRPr="00BD0154" w:rsidRDefault="009B1AD0" w:rsidP="009B1AD0">
      <w:pPr>
        <w:pStyle w:val="PargrafodaLista"/>
        <w:numPr>
          <w:ilvl w:val="4"/>
          <w:numId w:val="62"/>
        </w:numPr>
        <w:spacing w:line="360" w:lineRule="auto"/>
        <w:ind w:left="2127" w:hanging="426"/>
        <w:jc w:val="both"/>
        <w:rPr>
          <w:rFonts w:ascii="Arial" w:hAnsi="Arial" w:cs="Arial"/>
          <w:bCs/>
          <w:sz w:val="24"/>
          <w:szCs w:val="24"/>
        </w:rPr>
      </w:pPr>
      <w:r w:rsidRPr="00BD0154">
        <w:rPr>
          <w:rFonts w:ascii="Arial" w:hAnsi="Arial" w:cs="Arial"/>
          <w:sz w:val="24"/>
          <w:szCs w:val="24"/>
          <w:u w:val="single"/>
        </w:rPr>
        <w:t xml:space="preserve">exigência de programas de </w:t>
      </w:r>
      <w:r w:rsidRPr="00BD0154">
        <w:rPr>
          <w:rFonts w:ascii="Arial" w:hAnsi="Arial" w:cs="Arial"/>
          <w:i/>
          <w:sz w:val="24"/>
          <w:szCs w:val="24"/>
          <w:u w:val="single"/>
        </w:rPr>
        <w:t>compliance</w:t>
      </w:r>
      <w:r w:rsidRPr="00BD0154">
        <w:rPr>
          <w:rFonts w:ascii="Arial" w:hAnsi="Arial" w:cs="Arial"/>
          <w:sz w:val="24"/>
          <w:szCs w:val="24"/>
          <w:u w:val="single"/>
        </w:rPr>
        <w:t xml:space="preserve"> no âmbito das empresas beneficiárias que fruírem incentivos fiscais acima de determinado limite de valor</w:t>
      </w:r>
      <w:r w:rsidRPr="00BD0154">
        <w:rPr>
          <w:rFonts w:ascii="Arial" w:hAnsi="Arial" w:cs="Arial"/>
          <w:sz w:val="24"/>
          <w:szCs w:val="24"/>
        </w:rPr>
        <w:t>, inclusive para aquelas cujo ato concessivo seja anterior à edição da lei;</w:t>
      </w:r>
    </w:p>
    <w:p w14:paraId="44D6BF03" w14:textId="77777777" w:rsidR="009B1AD0" w:rsidRPr="00BD0154" w:rsidRDefault="009B1AD0" w:rsidP="009B1AD0">
      <w:pPr>
        <w:pStyle w:val="PargrafodaLista"/>
        <w:numPr>
          <w:ilvl w:val="4"/>
          <w:numId w:val="62"/>
        </w:numPr>
        <w:spacing w:line="360" w:lineRule="auto"/>
        <w:ind w:left="2127" w:hanging="426"/>
        <w:jc w:val="both"/>
        <w:rPr>
          <w:rFonts w:ascii="Arial" w:hAnsi="Arial" w:cs="Arial"/>
          <w:bCs/>
          <w:sz w:val="24"/>
          <w:szCs w:val="24"/>
        </w:rPr>
      </w:pPr>
      <w:r w:rsidRPr="00BD0154">
        <w:rPr>
          <w:rFonts w:ascii="Arial" w:hAnsi="Arial" w:cs="Arial"/>
          <w:sz w:val="24"/>
          <w:szCs w:val="24"/>
          <w:u w:val="single"/>
        </w:rPr>
        <w:t>outros aspectos visando ao aperfeiçoamento</w:t>
      </w:r>
      <w:r w:rsidRPr="00BD0154">
        <w:rPr>
          <w:rFonts w:ascii="Arial" w:hAnsi="Arial" w:cs="Arial"/>
          <w:sz w:val="24"/>
          <w:szCs w:val="24"/>
        </w:rPr>
        <w:t xml:space="preserve"> da legislação tributária referente a incentivos fiscais.</w:t>
      </w:r>
    </w:p>
    <w:p w14:paraId="7D6AAA15" w14:textId="77777777" w:rsidR="009B1AD0" w:rsidRPr="00BD0154" w:rsidRDefault="009B1AD0" w:rsidP="009B1AD0">
      <w:pPr>
        <w:pStyle w:val="PargrafodaLista"/>
        <w:spacing w:line="360" w:lineRule="auto"/>
        <w:ind w:left="2127"/>
        <w:jc w:val="both"/>
        <w:rPr>
          <w:rFonts w:ascii="Arial" w:hAnsi="Arial" w:cs="Arial"/>
          <w:bCs/>
          <w:sz w:val="24"/>
          <w:szCs w:val="24"/>
        </w:rPr>
      </w:pPr>
    </w:p>
    <w:p w14:paraId="000BD939" w14:textId="77777777" w:rsidR="009B1AD0" w:rsidRPr="00394F74" w:rsidRDefault="009B1AD0" w:rsidP="009B1AD0">
      <w:pPr>
        <w:pStyle w:val="PargrafodaLista"/>
        <w:numPr>
          <w:ilvl w:val="2"/>
          <w:numId w:val="62"/>
        </w:numPr>
        <w:spacing w:line="360" w:lineRule="auto"/>
        <w:jc w:val="both"/>
        <w:rPr>
          <w:rFonts w:ascii="Arial" w:hAnsi="Arial" w:cs="Arial"/>
          <w:b/>
          <w:sz w:val="24"/>
          <w:szCs w:val="24"/>
        </w:rPr>
      </w:pPr>
      <w:r w:rsidRPr="00394F74">
        <w:rPr>
          <w:rFonts w:ascii="Arial" w:hAnsi="Arial" w:cs="Arial"/>
          <w:b/>
          <w:sz w:val="24"/>
          <w:szCs w:val="24"/>
          <w:u w:val="single"/>
        </w:rPr>
        <w:lastRenderedPageBreak/>
        <w:t>Zelar pela sua função legislativa (CRFB, art. 49, XI)</w:t>
      </w:r>
      <w:r w:rsidRPr="00394F74">
        <w:rPr>
          <w:rFonts w:ascii="Arial" w:hAnsi="Arial" w:cs="Arial"/>
          <w:sz w:val="24"/>
          <w:szCs w:val="24"/>
        </w:rPr>
        <w:t>, de modo a fiscalizar o efetivo cumprimento do disposto na Lei Complementar estadual nº 138/2018;</w:t>
      </w:r>
    </w:p>
    <w:p w14:paraId="61992144" w14:textId="77777777" w:rsidR="009B1AD0" w:rsidRPr="00394F74" w:rsidRDefault="009B1AD0" w:rsidP="009B1AD0">
      <w:pPr>
        <w:pStyle w:val="PargrafodaLista"/>
        <w:numPr>
          <w:ilvl w:val="2"/>
          <w:numId w:val="62"/>
        </w:numPr>
        <w:spacing w:line="360" w:lineRule="auto"/>
        <w:jc w:val="both"/>
        <w:rPr>
          <w:rFonts w:ascii="Arial" w:hAnsi="Arial" w:cs="Arial"/>
          <w:b/>
          <w:sz w:val="24"/>
          <w:szCs w:val="24"/>
        </w:rPr>
      </w:pPr>
      <w:r w:rsidRPr="00394F74">
        <w:rPr>
          <w:rFonts w:ascii="Arial" w:hAnsi="Arial" w:cs="Arial"/>
          <w:b/>
          <w:sz w:val="24"/>
          <w:szCs w:val="24"/>
          <w:u w:val="single"/>
        </w:rPr>
        <w:t>Efetivamente observar</w:t>
      </w:r>
      <w:r w:rsidRPr="00394F74">
        <w:rPr>
          <w:rFonts w:ascii="Arial" w:hAnsi="Arial" w:cs="Arial"/>
          <w:b/>
          <w:bCs/>
          <w:sz w:val="24"/>
          <w:szCs w:val="24"/>
          <w:u w:val="single"/>
        </w:rPr>
        <w:t xml:space="preserve"> nos projetos de lei</w:t>
      </w:r>
      <w:r w:rsidRPr="00394F74">
        <w:rPr>
          <w:rFonts w:ascii="Arial" w:hAnsi="Arial" w:cs="Arial"/>
          <w:sz w:val="24"/>
          <w:szCs w:val="24"/>
        </w:rPr>
        <w:t xml:space="preserve">, tanto de iniciativa do Executivo como de parlamentares, que acarretem renúncia de receitas, </w:t>
      </w:r>
      <w:r w:rsidRPr="00394F74">
        <w:rPr>
          <w:rFonts w:ascii="Arial" w:hAnsi="Arial" w:cs="Arial"/>
          <w:b/>
          <w:sz w:val="24"/>
          <w:szCs w:val="24"/>
        </w:rPr>
        <w:t>o atendimento aos requisitos do art. 14 da LRF e demais normas jurídicas aplicáveis</w:t>
      </w:r>
      <w:r w:rsidRPr="00394F74">
        <w:rPr>
          <w:rFonts w:ascii="Arial" w:hAnsi="Arial" w:cs="Arial"/>
          <w:sz w:val="24"/>
          <w:szCs w:val="24"/>
        </w:rPr>
        <w:t>, inclusive mediante a conversão em diligência sempre que se fizer necessário para essa finalidade;</w:t>
      </w:r>
    </w:p>
    <w:p w14:paraId="4A9E2B6F" w14:textId="77777777" w:rsidR="009B1AD0" w:rsidRPr="00394F74" w:rsidRDefault="009B1AD0" w:rsidP="009B1AD0">
      <w:pPr>
        <w:pStyle w:val="PargrafodaLista"/>
        <w:numPr>
          <w:ilvl w:val="2"/>
          <w:numId w:val="62"/>
        </w:numPr>
        <w:spacing w:line="360" w:lineRule="auto"/>
        <w:jc w:val="both"/>
        <w:rPr>
          <w:rFonts w:ascii="Arial" w:hAnsi="Arial" w:cs="Arial"/>
          <w:b/>
          <w:sz w:val="24"/>
          <w:szCs w:val="24"/>
        </w:rPr>
      </w:pPr>
      <w:r w:rsidRPr="00394F74">
        <w:rPr>
          <w:rFonts w:ascii="Arial" w:hAnsi="Arial" w:cs="Arial"/>
          <w:b/>
          <w:sz w:val="24"/>
          <w:szCs w:val="24"/>
          <w:u w:val="single"/>
        </w:rPr>
        <w:t>Realizar acompanhamento anual da situação dos incentivos fiscais no Estado de Goiás, inclusive com a elaboração de relatório anual</w:t>
      </w:r>
      <w:r w:rsidRPr="00394F74">
        <w:rPr>
          <w:rFonts w:ascii="Arial" w:hAnsi="Arial" w:cs="Arial"/>
          <w:sz w:val="24"/>
          <w:szCs w:val="24"/>
        </w:rPr>
        <w:t>, por meio da criação de subcomissão permanente, no âmbito da CTFO, ou mediante a fiscalização direta desta, devendo todos os Poderes e órgãos autônomos do Estado de Goiás atender às requisições efetuadas, sem oposição do óbice do sigilo fiscal previsto no art. 198 do CTN;</w:t>
      </w:r>
    </w:p>
    <w:p w14:paraId="46FA621A" w14:textId="77777777" w:rsidR="009B1AD0" w:rsidRDefault="009B1AD0" w:rsidP="009B1AD0">
      <w:pPr>
        <w:spacing w:line="360" w:lineRule="auto"/>
        <w:ind w:firstLine="851"/>
        <w:jc w:val="both"/>
        <w:rPr>
          <w:rFonts w:ascii="Arial" w:hAnsi="Arial" w:cs="Arial"/>
          <w:sz w:val="24"/>
          <w:szCs w:val="24"/>
        </w:rPr>
      </w:pPr>
    </w:p>
    <w:p w14:paraId="0E92528B" w14:textId="77777777" w:rsidR="009B1AD0" w:rsidRPr="00394F74" w:rsidRDefault="009B1AD0" w:rsidP="009B1AD0">
      <w:pPr>
        <w:pStyle w:val="PargrafodaLista"/>
        <w:numPr>
          <w:ilvl w:val="1"/>
          <w:numId w:val="62"/>
        </w:numPr>
        <w:spacing w:line="360" w:lineRule="auto"/>
        <w:jc w:val="both"/>
        <w:rPr>
          <w:rFonts w:ascii="Arial" w:hAnsi="Arial" w:cs="Arial"/>
          <w:b/>
          <w:sz w:val="24"/>
          <w:szCs w:val="24"/>
        </w:rPr>
      </w:pPr>
      <w:r w:rsidRPr="00394F74">
        <w:rPr>
          <w:rFonts w:ascii="Arial" w:hAnsi="Arial" w:cs="Arial"/>
          <w:b/>
          <w:sz w:val="24"/>
          <w:szCs w:val="24"/>
        </w:rPr>
        <w:t>PROVIDÊNCIAS A CARGO DA CGE/GO E DO TCE/GO</w:t>
      </w:r>
    </w:p>
    <w:p w14:paraId="1E7562D5" w14:textId="77777777" w:rsidR="009B1AD0" w:rsidRPr="007A0C37" w:rsidRDefault="009B1AD0" w:rsidP="009B1AD0">
      <w:pPr>
        <w:pStyle w:val="PargrafodaLista"/>
        <w:spacing w:line="360" w:lineRule="auto"/>
        <w:ind w:left="855"/>
        <w:jc w:val="both"/>
        <w:rPr>
          <w:rFonts w:ascii="Arial" w:hAnsi="Arial" w:cs="Arial"/>
          <w:b/>
          <w:sz w:val="24"/>
          <w:szCs w:val="24"/>
        </w:rPr>
      </w:pPr>
    </w:p>
    <w:p w14:paraId="185D5209" w14:textId="27394E2B" w:rsidR="009B1AD0" w:rsidRPr="00BD0154" w:rsidRDefault="009B1AD0" w:rsidP="009B1AD0">
      <w:pPr>
        <w:pStyle w:val="PargrafodaLista"/>
        <w:numPr>
          <w:ilvl w:val="2"/>
          <w:numId w:val="62"/>
        </w:numPr>
        <w:spacing w:line="360" w:lineRule="auto"/>
        <w:jc w:val="both"/>
        <w:rPr>
          <w:rFonts w:ascii="Arial" w:hAnsi="Arial" w:cs="Arial"/>
          <w:sz w:val="24"/>
          <w:szCs w:val="24"/>
        </w:rPr>
      </w:pPr>
      <w:r w:rsidRPr="007A0C37">
        <w:rPr>
          <w:rFonts w:ascii="Arial" w:hAnsi="Arial" w:cs="Arial"/>
          <w:b/>
          <w:sz w:val="24"/>
          <w:szCs w:val="24"/>
          <w:u w:val="single"/>
        </w:rPr>
        <w:t>Acompanhar e fiscalizar o estrito cumprimento</w:t>
      </w:r>
      <w:r w:rsidRPr="007A0C37">
        <w:rPr>
          <w:rFonts w:ascii="Arial" w:hAnsi="Arial" w:cs="Arial"/>
          <w:b/>
          <w:sz w:val="24"/>
          <w:szCs w:val="24"/>
        </w:rPr>
        <w:t xml:space="preserve"> das recomendações</w:t>
      </w:r>
      <w:r w:rsidRPr="007A0C37">
        <w:rPr>
          <w:rFonts w:ascii="Arial" w:hAnsi="Arial" w:cs="Arial"/>
          <w:sz w:val="24"/>
          <w:szCs w:val="24"/>
        </w:rPr>
        <w:t xml:space="preserve"> direcionadas ao Poder Executivo nos termos do item 1</w:t>
      </w:r>
      <w:r w:rsidR="003A317A">
        <w:rPr>
          <w:rFonts w:ascii="Arial" w:hAnsi="Arial" w:cs="Arial"/>
          <w:sz w:val="24"/>
          <w:szCs w:val="24"/>
        </w:rPr>
        <w:t>3</w:t>
      </w:r>
      <w:r w:rsidRPr="007A0C37">
        <w:rPr>
          <w:rFonts w:ascii="Arial" w:hAnsi="Arial" w:cs="Arial"/>
          <w:sz w:val="24"/>
          <w:szCs w:val="24"/>
        </w:rPr>
        <w:t>.1 deste relatório;</w:t>
      </w:r>
    </w:p>
    <w:p w14:paraId="4F20CFC7" w14:textId="77777777" w:rsidR="009B1AD0" w:rsidRDefault="009B1AD0" w:rsidP="009B1AD0">
      <w:pPr>
        <w:pStyle w:val="PargrafodaLista"/>
        <w:numPr>
          <w:ilvl w:val="2"/>
          <w:numId w:val="62"/>
        </w:numPr>
        <w:spacing w:line="360" w:lineRule="auto"/>
        <w:jc w:val="both"/>
        <w:rPr>
          <w:rFonts w:ascii="Arial" w:hAnsi="Arial" w:cs="Arial"/>
          <w:sz w:val="24"/>
          <w:szCs w:val="24"/>
        </w:rPr>
      </w:pPr>
      <w:r w:rsidRPr="007A0C37">
        <w:rPr>
          <w:rFonts w:ascii="Arial" w:hAnsi="Arial" w:cs="Arial"/>
          <w:b/>
          <w:sz w:val="24"/>
          <w:szCs w:val="24"/>
          <w:u w:val="single"/>
        </w:rPr>
        <w:t>Intensificar as ações de fiscalização e controle de incentivos fiscais</w:t>
      </w:r>
      <w:r w:rsidRPr="007A0C37">
        <w:rPr>
          <w:rFonts w:ascii="Arial" w:hAnsi="Arial" w:cs="Arial"/>
          <w:b/>
          <w:sz w:val="24"/>
          <w:szCs w:val="24"/>
        </w:rPr>
        <w:t xml:space="preserve"> concedidos pelo Estado de Goiás</w:t>
      </w:r>
      <w:r w:rsidRPr="007A0C37">
        <w:rPr>
          <w:rFonts w:ascii="Arial" w:hAnsi="Arial" w:cs="Arial"/>
          <w:sz w:val="24"/>
          <w:szCs w:val="24"/>
        </w:rPr>
        <w:t>, em constante articulação e diálogo institucional entre si, atentando especialmente para os achados apontados neste relatório;</w:t>
      </w:r>
    </w:p>
    <w:p w14:paraId="38CFDB16" w14:textId="77777777" w:rsidR="009B1AD0" w:rsidRPr="00394F74" w:rsidRDefault="009B1AD0" w:rsidP="009B1AD0">
      <w:pPr>
        <w:pStyle w:val="PargrafodaLista"/>
        <w:numPr>
          <w:ilvl w:val="2"/>
          <w:numId w:val="62"/>
        </w:numPr>
        <w:spacing w:line="360" w:lineRule="auto"/>
        <w:jc w:val="both"/>
        <w:rPr>
          <w:rFonts w:ascii="Arial" w:hAnsi="Arial" w:cs="Arial"/>
          <w:sz w:val="24"/>
          <w:szCs w:val="24"/>
        </w:rPr>
      </w:pPr>
      <w:r w:rsidRPr="00394F74">
        <w:rPr>
          <w:rFonts w:ascii="Arial" w:hAnsi="Arial" w:cs="Arial"/>
          <w:b/>
          <w:sz w:val="24"/>
          <w:szCs w:val="24"/>
          <w:u w:val="single"/>
        </w:rPr>
        <w:t>Priorizar auditorias sobre as 100 (cem) maiores beneficiárias de incentivos fiscais</w:t>
      </w:r>
      <w:r w:rsidRPr="00394F74">
        <w:rPr>
          <w:rFonts w:ascii="Arial" w:hAnsi="Arial" w:cs="Arial"/>
          <w:b/>
          <w:sz w:val="24"/>
          <w:szCs w:val="24"/>
        </w:rPr>
        <w:t xml:space="preserve"> no Estado de Goiás no período objeto de apuração desta CPI (2014 a 2018), acrescido do exercício de 2019</w:t>
      </w:r>
      <w:r w:rsidRPr="00394F74">
        <w:rPr>
          <w:rFonts w:ascii="Arial" w:hAnsi="Arial" w:cs="Arial"/>
          <w:sz w:val="24"/>
          <w:szCs w:val="24"/>
        </w:rPr>
        <w:t>, em ordem decrescente de benefícios fruídos, preferencialmente separando-se aquelas que somente fruíram crédito outorgado daquelas que, cumulativa ou alternativamente, gozaram de incentivos no âmbito dos Programas FOMENTAR e PRODUZIR;</w:t>
      </w:r>
    </w:p>
    <w:p w14:paraId="1914B402" w14:textId="77777777" w:rsidR="009B1AD0" w:rsidRPr="00394F74" w:rsidRDefault="009B1AD0" w:rsidP="009B1AD0">
      <w:pPr>
        <w:pStyle w:val="PargrafodaLista"/>
        <w:numPr>
          <w:ilvl w:val="2"/>
          <w:numId w:val="62"/>
        </w:numPr>
        <w:spacing w:line="360" w:lineRule="auto"/>
        <w:jc w:val="both"/>
        <w:rPr>
          <w:rFonts w:ascii="Arial" w:hAnsi="Arial" w:cs="Arial"/>
          <w:sz w:val="24"/>
          <w:szCs w:val="24"/>
        </w:rPr>
      </w:pPr>
      <w:r w:rsidRPr="00394F74">
        <w:rPr>
          <w:rFonts w:ascii="Arial" w:hAnsi="Arial" w:cs="Arial"/>
          <w:b/>
          <w:sz w:val="24"/>
          <w:szCs w:val="24"/>
          <w:u w:val="single"/>
        </w:rPr>
        <w:lastRenderedPageBreak/>
        <w:t>Realizar auditoria em relação a todas as empresas sujeitas a contrapartidas no âmbito dos créditos outorgados</w:t>
      </w:r>
      <w:r w:rsidRPr="00394F74">
        <w:rPr>
          <w:rFonts w:ascii="Arial" w:hAnsi="Arial" w:cs="Arial"/>
          <w:sz w:val="24"/>
          <w:szCs w:val="24"/>
        </w:rPr>
        <w:t>, informadas pela Secretaria de Estado da Economia (</w:t>
      </w:r>
      <w:r w:rsidRPr="00394F74">
        <w:rPr>
          <w:rFonts w:ascii="Arial" w:hAnsi="Arial" w:cs="Arial"/>
          <w:b/>
          <w:sz w:val="24"/>
          <w:szCs w:val="24"/>
        </w:rPr>
        <w:t>Ofício nº 2.500/2019-Economia, p. 495</w:t>
      </w:r>
      <w:r w:rsidRPr="00394F74">
        <w:rPr>
          <w:rFonts w:ascii="Arial" w:hAnsi="Arial" w:cs="Arial"/>
          <w:sz w:val="24"/>
          <w:szCs w:val="24"/>
        </w:rPr>
        <w:t xml:space="preserve">), nos termos dos itens 7.4 e 7.5 deste relatório, e daquelas </w:t>
      </w:r>
      <w:r w:rsidRPr="00394F74">
        <w:rPr>
          <w:rFonts w:ascii="Arial" w:hAnsi="Arial" w:cs="Arial"/>
          <w:b/>
          <w:sz w:val="24"/>
          <w:szCs w:val="24"/>
        </w:rPr>
        <w:t>beneficiárias da Lei nº 17.422/2011 (Grupo Econômico)</w:t>
      </w:r>
      <w:r w:rsidRPr="00394F74">
        <w:rPr>
          <w:rFonts w:ascii="Arial" w:hAnsi="Arial" w:cs="Arial"/>
          <w:sz w:val="24"/>
          <w:szCs w:val="24"/>
        </w:rPr>
        <w:t xml:space="preserve"> e outras que estejam obrigadas a </w:t>
      </w:r>
      <w:r w:rsidRPr="00394F74">
        <w:rPr>
          <w:rFonts w:ascii="Arial" w:hAnsi="Arial" w:cs="Arial"/>
          <w:b/>
          <w:sz w:val="24"/>
          <w:szCs w:val="24"/>
        </w:rPr>
        <w:t>contrapartidas</w:t>
      </w:r>
      <w:r w:rsidRPr="00394F74">
        <w:rPr>
          <w:rFonts w:ascii="Arial" w:hAnsi="Arial" w:cs="Arial"/>
          <w:sz w:val="24"/>
          <w:szCs w:val="24"/>
        </w:rPr>
        <w:t>;</w:t>
      </w:r>
    </w:p>
    <w:p w14:paraId="4A4A8279" w14:textId="77777777" w:rsidR="009B1AD0" w:rsidRPr="00394F74" w:rsidRDefault="009B1AD0" w:rsidP="009B1AD0">
      <w:pPr>
        <w:pStyle w:val="PargrafodaLista"/>
        <w:numPr>
          <w:ilvl w:val="2"/>
          <w:numId w:val="62"/>
        </w:numPr>
        <w:spacing w:line="360" w:lineRule="auto"/>
        <w:jc w:val="both"/>
        <w:rPr>
          <w:rFonts w:ascii="Arial" w:hAnsi="Arial" w:cs="Arial"/>
          <w:sz w:val="24"/>
          <w:szCs w:val="24"/>
        </w:rPr>
      </w:pPr>
      <w:r w:rsidRPr="00394F74">
        <w:rPr>
          <w:rFonts w:ascii="Arial" w:hAnsi="Arial" w:cs="Arial"/>
          <w:b/>
          <w:bCs/>
          <w:sz w:val="24"/>
          <w:szCs w:val="24"/>
          <w:u w:val="single"/>
        </w:rPr>
        <w:t>Verificar a real situação financeira e enquadramento fiscal</w:t>
      </w:r>
      <w:r w:rsidRPr="00394F74">
        <w:rPr>
          <w:rFonts w:ascii="Arial" w:hAnsi="Arial" w:cs="Arial"/>
          <w:b/>
          <w:bCs/>
          <w:sz w:val="24"/>
          <w:szCs w:val="24"/>
        </w:rPr>
        <w:t>, perante a Junta Comercial, das empresas mencionadas no item 9.1 deste relatório</w:t>
      </w:r>
      <w:r w:rsidRPr="00394F74">
        <w:rPr>
          <w:rFonts w:ascii="Arial" w:hAnsi="Arial" w:cs="Arial"/>
          <w:sz w:val="24"/>
          <w:szCs w:val="24"/>
        </w:rPr>
        <w:t>, bem como eventual incompatibilidade entre o valor de incentivos fiscais fruídos e a situação declarada de pequeno porte da pessoa jurídica nos respectivos nomes e razões sociais;</w:t>
      </w:r>
    </w:p>
    <w:p w14:paraId="277C3C51" w14:textId="77777777" w:rsidR="009B1AD0" w:rsidRPr="00394F74" w:rsidRDefault="009B1AD0" w:rsidP="009B1AD0">
      <w:pPr>
        <w:pStyle w:val="PargrafodaLista"/>
        <w:numPr>
          <w:ilvl w:val="2"/>
          <w:numId w:val="62"/>
        </w:numPr>
        <w:spacing w:line="360" w:lineRule="auto"/>
        <w:jc w:val="both"/>
        <w:rPr>
          <w:rFonts w:ascii="Arial" w:hAnsi="Arial" w:cs="Arial"/>
          <w:sz w:val="24"/>
          <w:szCs w:val="24"/>
        </w:rPr>
      </w:pPr>
      <w:r w:rsidRPr="00394F74">
        <w:rPr>
          <w:rFonts w:ascii="Arial" w:hAnsi="Arial" w:cs="Arial"/>
          <w:b/>
          <w:bCs/>
          <w:sz w:val="24"/>
          <w:szCs w:val="24"/>
          <w:u w:val="single"/>
        </w:rPr>
        <w:t>Requisitar as informações pertinentes da Secretaria de Estado da Economia em relação às empresas mencionadas no item 9.3 deste relatório</w:t>
      </w:r>
      <w:r w:rsidRPr="00394F74">
        <w:rPr>
          <w:rFonts w:ascii="Arial" w:hAnsi="Arial" w:cs="Arial"/>
          <w:sz w:val="24"/>
          <w:szCs w:val="24"/>
        </w:rPr>
        <w:t>, a fim de identificar se, de fato, havia algum dispositivo legal ou normativo que tenha autorizado a concessão e a fruição dos respectivos benefícios;</w:t>
      </w:r>
    </w:p>
    <w:p w14:paraId="6422B987" w14:textId="77777777" w:rsidR="009B1AD0" w:rsidRPr="006E07C6" w:rsidRDefault="009B1AD0" w:rsidP="009B1AD0">
      <w:pPr>
        <w:spacing w:line="360" w:lineRule="auto"/>
        <w:ind w:firstLine="851"/>
        <w:rPr>
          <w:rFonts w:ascii="Arial" w:hAnsi="Arial" w:cs="Arial"/>
          <w:b/>
          <w:sz w:val="24"/>
          <w:szCs w:val="24"/>
        </w:rPr>
      </w:pPr>
    </w:p>
    <w:p w14:paraId="23346289" w14:textId="77777777" w:rsidR="009B1AD0" w:rsidRPr="00394F74" w:rsidRDefault="009B1AD0" w:rsidP="009B1AD0">
      <w:pPr>
        <w:pStyle w:val="PargrafodaLista"/>
        <w:numPr>
          <w:ilvl w:val="1"/>
          <w:numId w:val="62"/>
        </w:numPr>
        <w:spacing w:line="360" w:lineRule="auto"/>
        <w:rPr>
          <w:rFonts w:ascii="Arial" w:hAnsi="Arial" w:cs="Arial"/>
          <w:b/>
          <w:sz w:val="24"/>
          <w:szCs w:val="24"/>
        </w:rPr>
      </w:pPr>
      <w:r w:rsidRPr="00394F74">
        <w:rPr>
          <w:rFonts w:ascii="Arial" w:hAnsi="Arial" w:cs="Arial"/>
          <w:b/>
          <w:sz w:val="24"/>
          <w:szCs w:val="24"/>
        </w:rPr>
        <w:t>PROVIDÊNCIAS A CARGO DO MPGO</w:t>
      </w:r>
    </w:p>
    <w:p w14:paraId="2BB4EA3A" w14:textId="77777777" w:rsidR="009B1AD0" w:rsidRPr="000942F5" w:rsidRDefault="009B1AD0" w:rsidP="009B1AD0">
      <w:pPr>
        <w:pStyle w:val="PargrafodaLista"/>
        <w:spacing w:line="360" w:lineRule="auto"/>
        <w:ind w:left="1316"/>
        <w:rPr>
          <w:rFonts w:ascii="Arial" w:hAnsi="Arial" w:cs="Arial"/>
          <w:b/>
          <w:sz w:val="24"/>
          <w:szCs w:val="24"/>
        </w:rPr>
      </w:pPr>
    </w:p>
    <w:p w14:paraId="568A7F59" w14:textId="4693FE09" w:rsidR="009B1AD0" w:rsidRPr="00394F74" w:rsidRDefault="009B1AD0" w:rsidP="009B1AD0">
      <w:pPr>
        <w:pStyle w:val="PargrafodaLista"/>
        <w:numPr>
          <w:ilvl w:val="2"/>
          <w:numId w:val="62"/>
        </w:numPr>
        <w:spacing w:line="360" w:lineRule="auto"/>
        <w:jc w:val="both"/>
        <w:rPr>
          <w:rFonts w:ascii="Arial" w:hAnsi="Arial" w:cs="Arial"/>
          <w:sz w:val="24"/>
          <w:szCs w:val="24"/>
        </w:rPr>
      </w:pPr>
      <w:r w:rsidRPr="00394F74">
        <w:rPr>
          <w:rFonts w:ascii="Arial" w:hAnsi="Arial" w:cs="Arial"/>
          <w:b/>
          <w:sz w:val="24"/>
          <w:szCs w:val="24"/>
          <w:u w:val="single"/>
        </w:rPr>
        <w:t>Acompanhar e fiscalizar o estrito cumprimento das recomendações direcionadas ao Poder Executivo</w:t>
      </w:r>
      <w:r w:rsidRPr="00394F74">
        <w:rPr>
          <w:rFonts w:ascii="Arial" w:hAnsi="Arial" w:cs="Arial"/>
          <w:sz w:val="24"/>
          <w:szCs w:val="24"/>
        </w:rPr>
        <w:t>, nos termos do item 1</w:t>
      </w:r>
      <w:r w:rsidR="003A317A">
        <w:rPr>
          <w:rFonts w:ascii="Arial" w:hAnsi="Arial" w:cs="Arial"/>
          <w:sz w:val="24"/>
          <w:szCs w:val="24"/>
        </w:rPr>
        <w:t>3</w:t>
      </w:r>
      <w:r w:rsidRPr="00394F74">
        <w:rPr>
          <w:rFonts w:ascii="Arial" w:hAnsi="Arial" w:cs="Arial"/>
          <w:sz w:val="24"/>
          <w:szCs w:val="24"/>
        </w:rPr>
        <w:t>.1 deste relatório;</w:t>
      </w:r>
    </w:p>
    <w:p w14:paraId="1A444FBA" w14:textId="77777777" w:rsidR="009B1AD0" w:rsidRPr="000942F5" w:rsidRDefault="009B1AD0" w:rsidP="009B1AD0">
      <w:pPr>
        <w:pStyle w:val="PargrafodaLista"/>
        <w:spacing w:line="360" w:lineRule="auto"/>
        <w:ind w:left="1560"/>
        <w:jc w:val="both"/>
        <w:rPr>
          <w:rFonts w:ascii="Arial" w:hAnsi="Arial" w:cs="Arial"/>
          <w:sz w:val="24"/>
          <w:szCs w:val="24"/>
        </w:rPr>
      </w:pPr>
    </w:p>
    <w:p w14:paraId="49B3569B" w14:textId="77777777" w:rsidR="009B1AD0" w:rsidRPr="00BD0154" w:rsidRDefault="009B1AD0" w:rsidP="009B1AD0">
      <w:pPr>
        <w:pStyle w:val="PargrafodaLista"/>
        <w:numPr>
          <w:ilvl w:val="2"/>
          <w:numId w:val="62"/>
        </w:numPr>
        <w:spacing w:line="360" w:lineRule="auto"/>
        <w:jc w:val="both"/>
        <w:rPr>
          <w:rFonts w:ascii="Arial" w:hAnsi="Arial" w:cs="Arial"/>
          <w:sz w:val="24"/>
          <w:szCs w:val="24"/>
        </w:rPr>
      </w:pPr>
      <w:r w:rsidRPr="008A7179">
        <w:rPr>
          <w:rFonts w:ascii="Arial" w:hAnsi="Arial" w:cs="Arial"/>
          <w:b/>
          <w:sz w:val="24"/>
          <w:szCs w:val="24"/>
          <w:u w:val="single"/>
        </w:rPr>
        <w:t>Instaurar inquérito(s) civil(is) público(s) para apurar</w:t>
      </w:r>
      <w:r w:rsidRPr="000942F5">
        <w:rPr>
          <w:rFonts w:ascii="Arial" w:hAnsi="Arial" w:cs="Arial"/>
          <w:b/>
          <w:sz w:val="24"/>
          <w:szCs w:val="24"/>
        </w:rPr>
        <w:t>:</w:t>
      </w:r>
    </w:p>
    <w:p w14:paraId="000E4F74" w14:textId="77777777" w:rsidR="009B1AD0" w:rsidRPr="00BD0154" w:rsidRDefault="009B1AD0" w:rsidP="009B1AD0">
      <w:pPr>
        <w:spacing w:line="360" w:lineRule="auto"/>
        <w:jc w:val="both"/>
        <w:rPr>
          <w:rFonts w:ascii="Arial" w:hAnsi="Arial" w:cs="Arial"/>
          <w:sz w:val="24"/>
          <w:szCs w:val="24"/>
        </w:rPr>
      </w:pPr>
    </w:p>
    <w:p w14:paraId="400AD222" w14:textId="77777777" w:rsidR="009B1AD0" w:rsidRDefault="009B1AD0" w:rsidP="009B1AD0">
      <w:pPr>
        <w:pStyle w:val="PargrafodaLista"/>
        <w:numPr>
          <w:ilvl w:val="3"/>
          <w:numId w:val="62"/>
        </w:numPr>
        <w:spacing w:line="360" w:lineRule="auto"/>
        <w:jc w:val="both"/>
        <w:rPr>
          <w:rFonts w:ascii="Arial" w:hAnsi="Arial" w:cs="Arial"/>
          <w:sz w:val="24"/>
          <w:szCs w:val="24"/>
        </w:rPr>
      </w:pPr>
      <w:r w:rsidRPr="008A7179">
        <w:rPr>
          <w:rFonts w:ascii="Arial" w:hAnsi="Arial" w:cs="Arial"/>
          <w:b/>
          <w:sz w:val="24"/>
          <w:szCs w:val="24"/>
        </w:rPr>
        <w:t>Eventual responsabilidade dos gestores dos Programas FOMENTAR e PRODUZIR no período objeto de apuração (2014 a 2018)</w:t>
      </w:r>
      <w:r w:rsidRPr="000942F5">
        <w:rPr>
          <w:rFonts w:ascii="Arial" w:hAnsi="Arial" w:cs="Arial"/>
          <w:sz w:val="24"/>
          <w:szCs w:val="24"/>
        </w:rPr>
        <w:t>,</w:t>
      </w:r>
      <w:r w:rsidRPr="000942F5">
        <w:rPr>
          <w:rFonts w:ascii="Arial" w:hAnsi="Arial" w:cs="Arial"/>
          <w:b/>
          <w:sz w:val="24"/>
          <w:szCs w:val="24"/>
        </w:rPr>
        <w:t xml:space="preserve"> </w:t>
      </w:r>
      <w:r w:rsidRPr="000942F5">
        <w:rPr>
          <w:rFonts w:ascii="Arial" w:hAnsi="Arial" w:cs="Arial"/>
          <w:sz w:val="24"/>
          <w:szCs w:val="24"/>
        </w:rPr>
        <w:t>tendo em vista a reiterada omissão na verificação dos requisitos constitucionais e legais desses programas</w:t>
      </w:r>
      <w:r>
        <w:rPr>
          <w:rFonts w:ascii="Arial" w:hAnsi="Arial" w:cs="Arial"/>
          <w:sz w:val="24"/>
          <w:szCs w:val="24"/>
        </w:rPr>
        <w:t xml:space="preserve">, </w:t>
      </w:r>
      <w:r w:rsidRPr="000942F5">
        <w:rPr>
          <w:rFonts w:ascii="Arial" w:hAnsi="Arial" w:cs="Arial"/>
          <w:sz w:val="24"/>
          <w:szCs w:val="24"/>
        </w:rPr>
        <w:t>como a regularidade do pagamento da antecipação de ICMS, regularidade fiscal estadual (agravada pela Resolução nº 043/2016-CD/PRODUZIR), previdenciária, ambiental e social, nos termos do</w:t>
      </w:r>
      <w:r>
        <w:rPr>
          <w:rFonts w:ascii="Arial" w:hAnsi="Arial" w:cs="Arial"/>
          <w:sz w:val="24"/>
          <w:szCs w:val="24"/>
        </w:rPr>
        <w:t xml:space="preserve">s </w:t>
      </w:r>
      <w:r w:rsidRPr="000942F5">
        <w:rPr>
          <w:rFonts w:ascii="Arial" w:hAnsi="Arial" w:cs="Arial"/>
          <w:sz w:val="24"/>
          <w:szCs w:val="24"/>
        </w:rPr>
        <w:t>Capítulo</w:t>
      </w:r>
      <w:r>
        <w:rPr>
          <w:rFonts w:ascii="Arial" w:hAnsi="Arial" w:cs="Arial"/>
          <w:sz w:val="24"/>
          <w:szCs w:val="24"/>
        </w:rPr>
        <w:t>s 6 e</w:t>
      </w:r>
      <w:r w:rsidRPr="000942F5">
        <w:rPr>
          <w:rFonts w:ascii="Arial" w:hAnsi="Arial" w:cs="Arial"/>
          <w:sz w:val="24"/>
          <w:szCs w:val="24"/>
        </w:rPr>
        <w:t xml:space="preserve"> 8 deste relatório;</w:t>
      </w:r>
    </w:p>
    <w:p w14:paraId="7A2C36A5" w14:textId="77777777" w:rsidR="009B1AD0" w:rsidRPr="00394F74" w:rsidRDefault="009B1AD0" w:rsidP="009B1AD0">
      <w:pPr>
        <w:pStyle w:val="PargrafodaLista"/>
        <w:numPr>
          <w:ilvl w:val="3"/>
          <w:numId w:val="62"/>
        </w:numPr>
        <w:spacing w:line="360" w:lineRule="auto"/>
        <w:jc w:val="both"/>
        <w:rPr>
          <w:rFonts w:ascii="Arial" w:hAnsi="Arial" w:cs="Arial"/>
          <w:sz w:val="24"/>
          <w:szCs w:val="24"/>
        </w:rPr>
      </w:pPr>
      <w:r w:rsidRPr="00394F74">
        <w:rPr>
          <w:rFonts w:ascii="Arial" w:hAnsi="Arial" w:cs="Arial"/>
          <w:b/>
          <w:sz w:val="24"/>
          <w:szCs w:val="24"/>
        </w:rPr>
        <w:lastRenderedPageBreak/>
        <w:t>Eventual infringência do inciso IV do art. 2º da Lei n. 8.137/1990</w:t>
      </w:r>
      <w:r w:rsidRPr="00394F74">
        <w:rPr>
          <w:rFonts w:ascii="Arial" w:hAnsi="Arial" w:cs="Arial"/>
          <w:sz w:val="24"/>
          <w:szCs w:val="24"/>
        </w:rPr>
        <w:t xml:space="preserve">, por não aplicação adequada dos recursos oriundos de incentivo fiscal no âmbito dos Programas FOMENTAR e PRODUZIR, conforme achado de auditoria da CGE/GO, nos termos do item </w:t>
      </w:r>
      <w:r w:rsidRPr="00394F74">
        <w:rPr>
          <w:rFonts w:ascii="Arial" w:hAnsi="Arial" w:cs="Arial"/>
          <w:bCs/>
          <w:sz w:val="24"/>
          <w:szCs w:val="24"/>
        </w:rPr>
        <w:t>6.2.2.6 deste relatório;</w:t>
      </w:r>
    </w:p>
    <w:p w14:paraId="0D394CAF" w14:textId="77777777" w:rsidR="009B1AD0" w:rsidRPr="00394F74" w:rsidRDefault="009B1AD0" w:rsidP="009B1AD0">
      <w:pPr>
        <w:pStyle w:val="PargrafodaLista"/>
        <w:numPr>
          <w:ilvl w:val="3"/>
          <w:numId w:val="62"/>
        </w:numPr>
        <w:spacing w:line="360" w:lineRule="auto"/>
        <w:jc w:val="both"/>
        <w:rPr>
          <w:rFonts w:ascii="Arial" w:hAnsi="Arial" w:cs="Arial"/>
          <w:sz w:val="24"/>
          <w:szCs w:val="24"/>
        </w:rPr>
      </w:pPr>
      <w:r w:rsidRPr="00394F74">
        <w:rPr>
          <w:rFonts w:ascii="Arial" w:hAnsi="Arial" w:cs="Arial"/>
          <w:b/>
          <w:sz w:val="24"/>
          <w:szCs w:val="24"/>
        </w:rPr>
        <w:t>A real situação econômica das empresas mencionadas no item 9.2 deste relatório e respectivos sócios</w:t>
      </w:r>
      <w:r w:rsidRPr="00394F74">
        <w:rPr>
          <w:rFonts w:ascii="Arial" w:hAnsi="Arial" w:cs="Arial"/>
          <w:sz w:val="24"/>
          <w:szCs w:val="24"/>
        </w:rPr>
        <w:t>, em especial daquelas cujo custo anual médio por emprego ultrapassou R$ 1.000.000,00 (um milhão de reais), mediante requisição judicial da respectiva quebra de sigilo fiscal e bancário, além dos TARE’s e projetos eventualmente apresentados/formalizados, tendo em vista o elevado custo anual para cada emprego registrado no CNPJ dessas pessoas jurídicas, portanto, com indícios de aplicação indevida dos recursos oriundos de incentivos fiscais e grave prejuízo ao erário estadual;</w:t>
      </w:r>
    </w:p>
    <w:p w14:paraId="6A3F890C" w14:textId="77777777" w:rsidR="009B1AD0" w:rsidRPr="00394F74" w:rsidRDefault="009B1AD0" w:rsidP="009B1AD0">
      <w:pPr>
        <w:pStyle w:val="PargrafodaLista"/>
        <w:numPr>
          <w:ilvl w:val="3"/>
          <w:numId w:val="62"/>
        </w:numPr>
        <w:spacing w:line="360" w:lineRule="auto"/>
        <w:jc w:val="both"/>
        <w:rPr>
          <w:rFonts w:ascii="Arial" w:hAnsi="Arial" w:cs="Arial"/>
          <w:sz w:val="24"/>
          <w:szCs w:val="24"/>
        </w:rPr>
      </w:pPr>
      <w:r w:rsidRPr="00394F74">
        <w:rPr>
          <w:rFonts w:ascii="Arial" w:hAnsi="Arial" w:cs="Arial"/>
          <w:b/>
          <w:bCs/>
          <w:sz w:val="24"/>
          <w:szCs w:val="24"/>
        </w:rPr>
        <w:t>Fruição de incentivos fiscais sem que a Secretaria de Estado da Economia informasse a esta CPI a norma legal ou regulamentar autorizativa</w:t>
      </w:r>
      <w:r w:rsidRPr="00394F74">
        <w:rPr>
          <w:rFonts w:ascii="Arial" w:hAnsi="Arial" w:cs="Arial"/>
          <w:bCs/>
          <w:sz w:val="24"/>
          <w:szCs w:val="24"/>
        </w:rPr>
        <w:t>, com requisição de todos os TARE’s correspondentes e demais informações pertinentes da Secretaria de Estado da Economia em relação a essas empresas, nos termos do item 9.3 deste relatório</w:t>
      </w:r>
      <w:r w:rsidRPr="00394F74">
        <w:rPr>
          <w:rFonts w:ascii="Arial" w:hAnsi="Arial" w:cs="Arial"/>
          <w:sz w:val="24"/>
          <w:szCs w:val="24"/>
        </w:rPr>
        <w:t>;</w:t>
      </w:r>
    </w:p>
    <w:p w14:paraId="2B98C115" w14:textId="77777777" w:rsidR="009B1AD0" w:rsidRPr="00394F74" w:rsidRDefault="009B1AD0" w:rsidP="009B1AD0">
      <w:pPr>
        <w:pStyle w:val="PargrafodaLista"/>
        <w:numPr>
          <w:ilvl w:val="3"/>
          <w:numId w:val="62"/>
        </w:numPr>
        <w:spacing w:line="360" w:lineRule="auto"/>
        <w:jc w:val="both"/>
        <w:rPr>
          <w:rFonts w:ascii="Arial" w:hAnsi="Arial" w:cs="Arial"/>
          <w:sz w:val="24"/>
          <w:szCs w:val="24"/>
        </w:rPr>
      </w:pPr>
      <w:r w:rsidRPr="00394F74">
        <w:rPr>
          <w:rFonts w:ascii="Arial" w:hAnsi="Arial" w:cs="Arial"/>
          <w:b/>
          <w:sz w:val="24"/>
          <w:szCs w:val="24"/>
        </w:rPr>
        <w:t>A substancial redução de multa ambiental deferida em favor de 4 (quatro) empresas específicas</w:t>
      </w:r>
      <w:r w:rsidRPr="00394F74">
        <w:rPr>
          <w:rFonts w:ascii="Arial" w:hAnsi="Arial" w:cs="Arial"/>
          <w:sz w:val="24"/>
          <w:szCs w:val="24"/>
        </w:rPr>
        <w:t>, nos termos do item 8.3.7 deste relatório, sem prejuízo do disposto na alínea “e” do item 8.3.10;</w:t>
      </w:r>
    </w:p>
    <w:p w14:paraId="1E3410DB" w14:textId="77777777" w:rsidR="009B1AD0" w:rsidRPr="00394F74" w:rsidRDefault="009B1AD0" w:rsidP="009B1AD0">
      <w:pPr>
        <w:pStyle w:val="PargrafodaLista"/>
        <w:numPr>
          <w:ilvl w:val="3"/>
          <w:numId w:val="62"/>
        </w:numPr>
        <w:spacing w:line="360" w:lineRule="auto"/>
        <w:jc w:val="both"/>
        <w:rPr>
          <w:rFonts w:ascii="Arial" w:hAnsi="Arial" w:cs="Arial"/>
          <w:sz w:val="24"/>
          <w:szCs w:val="24"/>
        </w:rPr>
      </w:pPr>
      <w:r w:rsidRPr="00394F74">
        <w:rPr>
          <w:rFonts w:ascii="Arial" w:hAnsi="Arial" w:cs="Arial"/>
          <w:b/>
          <w:sz w:val="24"/>
          <w:szCs w:val="24"/>
        </w:rPr>
        <w:t>Eventual responsabilidade quanto aos excessivos números de processos administrativos ambientais alcançados pela prescrição</w:t>
      </w:r>
      <w:r w:rsidRPr="00394F74">
        <w:rPr>
          <w:rFonts w:ascii="Arial" w:hAnsi="Arial" w:cs="Arial"/>
          <w:sz w:val="24"/>
          <w:szCs w:val="24"/>
        </w:rPr>
        <w:t xml:space="preserve">, além de exigir a </w:t>
      </w:r>
      <w:r w:rsidRPr="00394F74">
        <w:rPr>
          <w:rFonts w:ascii="Arial" w:hAnsi="Arial" w:cs="Arial"/>
          <w:sz w:val="24"/>
          <w:szCs w:val="24"/>
          <w:u w:val="single"/>
        </w:rPr>
        <w:t>efetiva reparação do dano ambiental das empresas que tiveram reconhecido em seu favor a prescrição (Lei nº 18.102/2013, art. 26, §§ 2º e 4º)</w:t>
      </w:r>
      <w:r w:rsidRPr="00394F74">
        <w:rPr>
          <w:rFonts w:ascii="Arial" w:hAnsi="Arial" w:cs="Arial"/>
          <w:sz w:val="24"/>
          <w:szCs w:val="24"/>
        </w:rPr>
        <w:t>;</w:t>
      </w:r>
    </w:p>
    <w:p w14:paraId="4E776D4F" w14:textId="77777777" w:rsidR="009B1AD0" w:rsidRDefault="009B1AD0" w:rsidP="009B1AD0">
      <w:pPr>
        <w:pStyle w:val="PargrafodaLista"/>
        <w:spacing w:line="360" w:lineRule="auto"/>
        <w:ind w:left="1985"/>
        <w:jc w:val="both"/>
        <w:rPr>
          <w:rFonts w:ascii="Arial" w:hAnsi="Arial" w:cs="Arial"/>
          <w:sz w:val="24"/>
          <w:szCs w:val="24"/>
        </w:rPr>
      </w:pPr>
    </w:p>
    <w:p w14:paraId="56A9620A" w14:textId="77777777" w:rsidR="009B1AD0" w:rsidRDefault="009B1AD0" w:rsidP="009B1AD0">
      <w:pPr>
        <w:pStyle w:val="PargrafodaLista"/>
        <w:numPr>
          <w:ilvl w:val="2"/>
          <w:numId w:val="62"/>
        </w:numPr>
        <w:spacing w:line="360" w:lineRule="auto"/>
        <w:jc w:val="both"/>
        <w:rPr>
          <w:rFonts w:ascii="Arial" w:hAnsi="Arial" w:cs="Arial"/>
          <w:sz w:val="24"/>
          <w:szCs w:val="24"/>
        </w:rPr>
      </w:pPr>
      <w:r w:rsidRPr="008A7179">
        <w:rPr>
          <w:rFonts w:ascii="Arial" w:hAnsi="Arial" w:cs="Arial"/>
          <w:b/>
          <w:bCs/>
          <w:sz w:val="24"/>
          <w:szCs w:val="24"/>
          <w:u w:val="single"/>
        </w:rPr>
        <w:t>Ajuiza</w:t>
      </w:r>
      <w:r>
        <w:rPr>
          <w:rFonts w:ascii="Arial" w:hAnsi="Arial" w:cs="Arial"/>
          <w:b/>
          <w:bCs/>
          <w:sz w:val="24"/>
          <w:szCs w:val="24"/>
          <w:u w:val="single"/>
        </w:rPr>
        <w:t>r</w:t>
      </w:r>
      <w:r w:rsidRPr="008A7179">
        <w:rPr>
          <w:rFonts w:ascii="Arial" w:hAnsi="Arial" w:cs="Arial"/>
          <w:b/>
          <w:bCs/>
          <w:sz w:val="24"/>
          <w:szCs w:val="24"/>
          <w:u w:val="single"/>
        </w:rPr>
        <w:t xml:space="preserve"> ações judiciais de obrigação de fazer em face do Estado de Goiás, com pedido de tutela de urgência (CPC, art. 300), visando a </w:t>
      </w:r>
      <w:r w:rsidRPr="008A7179">
        <w:rPr>
          <w:rFonts w:ascii="Arial" w:hAnsi="Arial" w:cs="Arial"/>
          <w:b/>
          <w:sz w:val="24"/>
          <w:szCs w:val="24"/>
          <w:u w:val="single"/>
        </w:rPr>
        <w:t>determinar ao Poder Executivo o(a)</w:t>
      </w:r>
      <w:r w:rsidRPr="008A7179">
        <w:rPr>
          <w:rFonts w:ascii="Arial" w:hAnsi="Arial" w:cs="Arial"/>
          <w:sz w:val="24"/>
          <w:szCs w:val="24"/>
        </w:rPr>
        <w:t>:</w:t>
      </w:r>
    </w:p>
    <w:p w14:paraId="3B22FA84" w14:textId="77777777" w:rsidR="009B1AD0" w:rsidRPr="008A7179" w:rsidRDefault="009B1AD0" w:rsidP="009B1AD0">
      <w:pPr>
        <w:pStyle w:val="PargrafodaLista"/>
        <w:spacing w:line="360" w:lineRule="auto"/>
        <w:ind w:left="1224"/>
        <w:jc w:val="both"/>
        <w:rPr>
          <w:rFonts w:ascii="Arial" w:hAnsi="Arial" w:cs="Arial"/>
          <w:sz w:val="24"/>
          <w:szCs w:val="24"/>
        </w:rPr>
      </w:pPr>
    </w:p>
    <w:p w14:paraId="47F16E79" w14:textId="77777777" w:rsidR="009B1AD0" w:rsidRPr="00394F74" w:rsidRDefault="009B1AD0" w:rsidP="009B1AD0">
      <w:pPr>
        <w:pStyle w:val="PargrafodaLista"/>
        <w:numPr>
          <w:ilvl w:val="3"/>
          <w:numId w:val="62"/>
        </w:numPr>
        <w:spacing w:line="360" w:lineRule="auto"/>
        <w:jc w:val="both"/>
        <w:rPr>
          <w:rFonts w:ascii="Arial" w:hAnsi="Arial" w:cs="Arial"/>
          <w:sz w:val="24"/>
          <w:szCs w:val="24"/>
        </w:rPr>
      </w:pPr>
      <w:r w:rsidRPr="00394F74">
        <w:rPr>
          <w:rFonts w:ascii="Arial" w:hAnsi="Arial" w:cs="Arial"/>
          <w:b/>
          <w:sz w:val="24"/>
          <w:szCs w:val="24"/>
        </w:rPr>
        <w:lastRenderedPageBreak/>
        <w:t>Compartilhamento de informações detalhadas e individuais referentes a incentivos fiscais concedidos e fruídos no Estado de Goiás com</w:t>
      </w:r>
      <w:r w:rsidRPr="00394F74">
        <w:rPr>
          <w:rFonts w:ascii="Arial" w:hAnsi="Arial" w:cs="Arial"/>
          <w:bCs/>
          <w:sz w:val="24"/>
          <w:szCs w:val="24"/>
        </w:rPr>
        <w:t xml:space="preserve"> a </w:t>
      </w:r>
      <w:r w:rsidRPr="00394F74">
        <w:rPr>
          <w:rFonts w:ascii="Arial" w:hAnsi="Arial" w:cs="Arial"/>
          <w:bCs/>
          <w:sz w:val="24"/>
          <w:szCs w:val="24"/>
          <w:u w:val="single"/>
        </w:rPr>
        <w:t>CGE/GO</w:t>
      </w:r>
      <w:r w:rsidRPr="00394F74">
        <w:rPr>
          <w:rFonts w:ascii="Arial" w:hAnsi="Arial" w:cs="Arial"/>
          <w:bCs/>
          <w:sz w:val="24"/>
          <w:szCs w:val="24"/>
        </w:rPr>
        <w:t xml:space="preserve">, o </w:t>
      </w:r>
      <w:r w:rsidRPr="00394F74">
        <w:rPr>
          <w:rFonts w:ascii="Arial" w:hAnsi="Arial" w:cs="Arial"/>
          <w:bCs/>
          <w:sz w:val="24"/>
          <w:szCs w:val="24"/>
          <w:u w:val="single"/>
        </w:rPr>
        <w:t>TCE/GO</w:t>
      </w:r>
      <w:r w:rsidRPr="00394F74">
        <w:rPr>
          <w:rFonts w:ascii="Arial" w:hAnsi="Arial" w:cs="Arial"/>
          <w:bCs/>
          <w:sz w:val="24"/>
          <w:szCs w:val="24"/>
        </w:rPr>
        <w:t xml:space="preserve"> e ao próprio </w:t>
      </w:r>
      <w:r w:rsidRPr="00394F74">
        <w:rPr>
          <w:rFonts w:ascii="Arial" w:hAnsi="Arial" w:cs="Arial"/>
          <w:bCs/>
          <w:i/>
          <w:iCs/>
          <w:sz w:val="24"/>
          <w:szCs w:val="24"/>
          <w:u w:val="single"/>
        </w:rPr>
        <w:t>parquet</w:t>
      </w:r>
      <w:r w:rsidRPr="00394F74">
        <w:rPr>
          <w:rFonts w:ascii="Arial" w:hAnsi="Arial" w:cs="Arial"/>
          <w:bCs/>
          <w:sz w:val="24"/>
          <w:szCs w:val="24"/>
        </w:rPr>
        <w:t>, quando aqueles órgãos as requisitarem no interesse da fiscalização, sem oposição do óbice do sigilo fiscal, obedecido, se for o caso, o disposto no art. 198, § 2º, do CTN;</w:t>
      </w:r>
    </w:p>
    <w:p w14:paraId="1427ED9A" w14:textId="77777777" w:rsidR="009B1AD0" w:rsidRPr="00B94055" w:rsidRDefault="009B1AD0" w:rsidP="009B1AD0">
      <w:pPr>
        <w:pStyle w:val="PargrafodaLista"/>
        <w:numPr>
          <w:ilvl w:val="3"/>
          <w:numId w:val="62"/>
        </w:numPr>
        <w:spacing w:line="360" w:lineRule="auto"/>
        <w:jc w:val="both"/>
        <w:rPr>
          <w:rFonts w:ascii="Arial" w:hAnsi="Arial" w:cs="Arial"/>
          <w:sz w:val="24"/>
          <w:szCs w:val="24"/>
        </w:rPr>
      </w:pPr>
      <w:r w:rsidRPr="00394F74">
        <w:rPr>
          <w:rFonts w:ascii="Arial" w:hAnsi="Arial" w:cs="Arial"/>
          <w:b/>
          <w:sz w:val="24"/>
          <w:szCs w:val="24"/>
        </w:rPr>
        <w:t>Publicação, no Portal da Transparência, do inteiro teor de todos os TARE’s e instrumentos congêneres</w:t>
      </w:r>
      <w:r w:rsidRPr="00394F74">
        <w:rPr>
          <w:rFonts w:ascii="Arial" w:hAnsi="Arial" w:cs="Arial"/>
          <w:bCs/>
          <w:sz w:val="24"/>
          <w:szCs w:val="24"/>
        </w:rPr>
        <w:t>, tendo em vista a inaplicabilidade do sigilo fiscal, a insuficiência do resumo publicado para bem exprimir o teor dos TARE’s e a preponderância do interesse público e coletivo envolvido, para fins de controle interno e externo, inclusive social.</w:t>
      </w:r>
    </w:p>
    <w:p w14:paraId="5AD2F806" w14:textId="77777777" w:rsidR="009B1AD0" w:rsidRPr="00B94055" w:rsidRDefault="009B1AD0" w:rsidP="009B1AD0">
      <w:pPr>
        <w:pStyle w:val="PargrafodaLista"/>
        <w:numPr>
          <w:ilvl w:val="3"/>
          <w:numId w:val="62"/>
        </w:numPr>
        <w:spacing w:line="360" w:lineRule="auto"/>
        <w:jc w:val="both"/>
        <w:rPr>
          <w:rFonts w:ascii="Arial" w:hAnsi="Arial" w:cs="Arial"/>
          <w:sz w:val="24"/>
          <w:szCs w:val="24"/>
        </w:rPr>
      </w:pPr>
      <w:r w:rsidRPr="00394F74">
        <w:rPr>
          <w:rFonts w:ascii="Arial" w:hAnsi="Arial" w:cs="Arial"/>
          <w:b/>
          <w:sz w:val="24"/>
          <w:szCs w:val="24"/>
          <w:u w:val="single"/>
        </w:rPr>
        <w:t>Requerer judicialmente a perda ou a suspensão do recebimento dos benefícios eventualmente fruídos no período durante o qual perdurou a irregularidade (CE/GO, art. 132, § 4º)</w:t>
      </w:r>
      <w:r w:rsidRPr="00394F74">
        <w:rPr>
          <w:rFonts w:ascii="Arial" w:hAnsi="Arial" w:cs="Arial"/>
          <w:sz w:val="24"/>
          <w:szCs w:val="24"/>
        </w:rPr>
        <w:t>, em eventual ajuizamento de ACP’s ou outras ações de natureza coletiva por infração ambiental, contra empresas beneficiárias de incentivos fiscais, inclusive mediante requisição formal no processo judicial de informações detalhadas sobre incentivos fiscais concedidos e fruídos em favor da pessoa acionada, se houver negativa na esfera administrativa;</w:t>
      </w:r>
    </w:p>
    <w:p w14:paraId="6A81D82B" w14:textId="77777777" w:rsidR="009B1AD0" w:rsidRPr="00385D33" w:rsidRDefault="009B1AD0" w:rsidP="009B1AD0">
      <w:pPr>
        <w:pStyle w:val="PargrafodaLista"/>
        <w:numPr>
          <w:ilvl w:val="3"/>
          <w:numId w:val="62"/>
        </w:numPr>
        <w:spacing w:line="360" w:lineRule="auto"/>
        <w:jc w:val="both"/>
        <w:rPr>
          <w:rFonts w:ascii="Arial" w:hAnsi="Arial" w:cs="Arial"/>
          <w:sz w:val="24"/>
          <w:szCs w:val="24"/>
        </w:rPr>
      </w:pPr>
      <w:r>
        <w:rPr>
          <w:rFonts w:ascii="Arial" w:hAnsi="Arial" w:cs="Arial"/>
          <w:b/>
          <w:sz w:val="24"/>
          <w:szCs w:val="24"/>
          <w:u w:val="single"/>
        </w:rPr>
        <w:t>Atuarem conjuntamente</w:t>
      </w:r>
      <w:r w:rsidRPr="00F03C49">
        <w:rPr>
          <w:rFonts w:ascii="Arial" w:hAnsi="Arial" w:cs="Arial"/>
          <w:b/>
          <w:sz w:val="24"/>
          <w:szCs w:val="24"/>
        </w:rPr>
        <w:t>, as Promotorias de Justiça do Meio Ambiente e de Proteção ao Patrimônio Público, em constante diálogo institucional</w:t>
      </w:r>
      <w:r w:rsidRPr="00F03C49">
        <w:rPr>
          <w:rFonts w:ascii="Arial" w:hAnsi="Arial" w:cs="Arial"/>
          <w:sz w:val="24"/>
          <w:szCs w:val="24"/>
        </w:rPr>
        <w:t xml:space="preserve">, sobre a fiscalização quanto ao disposto no art. </w:t>
      </w:r>
      <w:r>
        <w:rPr>
          <w:rFonts w:ascii="Arial" w:hAnsi="Arial" w:cs="Arial"/>
          <w:sz w:val="24"/>
          <w:szCs w:val="24"/>
        </w:rPr>
        <w:t>132, § 4º, da CE/GO e no art. 25, III, da Lei nº 18.102/2013.</w:t>
      </w:r>
    </w:p>
    <w:p w14:paraId="124EC93C" w14:textId="77777777" w:rsidR="009B1AD0" w:rsidRDefault="009B1AD0" w:rsidP="009B1AD0">
      <w:pPr>
        <w:spacing w:line="360" w:lineRule="auto"/>
        <w:ind w:firstLine="851"/>
        <w:rPr>
          <w:rFonts w:ascii="Arial" w:hAnsi="Arial" w:cs="Arial"/>
          <w:sz w:val="24"/>
          <w:szCs w:val="24"/>
        </w:rPr>
      </w:pPr>
    </w:p>
    <w:p w14:paraId="738AAD94" w14:textId="77777777" w:rsidR="009B1AD0" w:rsidRDefault="009B1AD0" w:rsidP="009B1AD0">
      <w:pPr>
        <w:spacing w:line="360" w:lineRule="auto"/>
        <w:ind w:firstLine="851"/>
        <w:rPr>
          <w:rFonts w:ascii="Arial" w:hAnsi="Arial" w:cs="Arial"/>
          <w:b/>
          <w:sz w:val="24"/>
          <w:szCs w:val="24"/>
        </w:rPr>
      </w:pPr>
      <w:r>
        <w:rPr>
          <w:rFonts w:ascii="Arial" w:hAnsi="Arial" w:cs="Arial"/>
          <w:b/>
          <w:sz w:val="24"/>
          <w:szCs w:val="24"/>
        </w:rPr>
        <w:t>É O RELATÓRIO,</w:t>
      </w:r>
    </w:p>
    <w:p w14:paraId="2A31FC1B" w14:textId="77777777" w:rsidR="009B1AD0" w:rsidRDefault="009B1AD0" w:rsidP="009B1AD0">
      <w:pPr>
        <w:spacing w:line="360" w:lineRule="auto"/>
        <w:ind w:firstLine="851"/>
        <w:rPr>
          <w:rFonts w:ascii="Arial" w:hAnsi="Arial" w:cs="Arial"/>
          <w:b/>
          <w:sz w:val="24"/>
          <w:szCs w:val="24"/>
        </w:rPr>
      </w:pPr>
    </w:p>
    <w:p w14:paraId="7B6CE32F" w14:textId="5683AD7B" w:rsidR="009B1AD0" w:rsidRDefault="009B1AD0" w:rsidP="009B1AD0">
      <w:pPr>
        <w:spacing w:line="360" w:lineRule="auto"/>
        <w:ind w:firstLine="851"/>
        <w:jc w:val="both"/>
        <w:rPr>
          <w:rFonts w:ascii="Arial" w:hAnsi="Arial" w:cs="Arial"/>
          <w:b/>
          <w:sz w:val="24"/>
          <w:szCs w:val="24"/>
        </w:rPr>
      </w:pPr>
      <w:r>
        <w:rPr>
          <w:rFonts w:ascii="Arial" w:hAnsi="Arial" w:cs="Arial"/>
          <w:b/>
          <w:sz w:val="24"/>
          <w:szCs w:val="24"/>
        </w:rPr>
        <w:t>ASSEMBLEIA LEGISLATIVA DO ESTADO DE GOIÁS, GOIÂNIA, em 10 de março de 2020.</w:t>
      </w:r>
    </w:p>
    <w:p w14:paraId="1B5484D4" w14:textId="77777777" w:rsidR="009B1AD0" w:rsidRDefault="009B1AD0" w:rsidP="009B1AD0">
      <w:pPr>
        <w:spacing w:line="360" w:lineRule="auto"/>
        <w:ind w:firstLine="851"/>
        <w:jc w:val="both"/>
        <w:rPr>
          <w:rFonts w:ascii="Arial" w:hAnsi="Arial" w:cs="Arial"/>
          <w:b/>
          <w:sz w:val="24"/>
          <w:szCs w:val="24"/>
        </w:rPr>
      </w:pPr>
    </w:p>
    <w:p w14:paraId="14786B25" w14:textId="77777777" w:rsidR="009B1AD0" w:rsidRDefault="009B1AD0" w:rsidP="009B1AD0">
      <w:pPr>
        <w:spacing w:line="360" w:lineRule="auto"/>
        <w:jc w:val="center"/>
        <w:rPr>
          <w:rFonts w:ascii="Arial" w:hAnsi="Arial" w:cs="Arial"/>
          <w:b/>
          <w:sz w:val="24"/>
          <w:szCs w:val="24"/>
        </w:rPr>
      </w:pPr>
      <w:r>
        <w:rPr>
          <w:rFonts w:ascii="Arial" w:hAnsi="Arial" w:cs="Arial"/>
          <w:b/>
          <w:sz w:val="24"/>
          <w:szCs w:val="24"/>
        </w:rPr>
        <w:t>Deputado Humberto Aidar</w:t>
      </w:r>
    </w:p>
    <w:p w14:paraId="04E6993D" w14:textId="6CE4BB29" w:rsidR="00932D30" w:rsidRPr="006E07C6" w:rsidRDefault="009B1AD0" w:rsidP="00502615">
      <w:pPr>
        <w:spacing w:line="360" w:lineRule="auto"/>
        <w:jc w:val="center"/>
        <w:rPr>
          <w:rFonts w:ascii="Arial" w:hAnsi="Arial" w:cs="Arial"/>
          <w:sz w:val="24"/>
          <w:szCs w:val="24"/>
        </w:rPr>
      </w:pPr>
      <w:r>
        <w:rPr>
          <w:rFonts w:ascii="Arial" w:hAnsi="Arial" w:cs="Arial"/>
          <w:b/>
          <w:sz w:val="24"/>
          <w:szCs w:val="24"/>
        </w:rPr>
        <w:t>Relator</w:t>
      </w:r>
    </w:p>
    <w:sectPr w:rsidR="00932D30" w:rsidRPr="006E07C6" w:rsidSect="00187799">
      <w:headerReference w:type="even" r:id="rId114"/>
      <w:headerReference w:type="default" r:id="rId115"/>
      <w:footerReference w:type="even" r:id="rId116"/>
      <w:footerReference w:type="default" r:id="rId117"/>
      <w:headerReference w:type="first" r:id="rId118"/>
      <w:pgSz w:w="11900" w:h="16840"/>
      <w:pgMar w:top="2268" w:right="851" w:bottom="1134" w:left="1701" w:header="56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35F089" w14:textId="77777777" w:rsidR="003A317A" w:rsidRDefault="003A317A" w:rsidP="004D26B9">
      <w:r>
        <w:separator/>
      </w:r>
    </w:p>
  </w:endnote>
  <w:endnote w:type="continuationSeparator" w:id="0">
    <w:p w14:paraId="6BCC63FF" w14:textId="77777777" w:rsidR="003A317A" w:rsidRDefault="003A317A" w:rsidP="004D26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tarSymbol">
    <w:altName w:val="MS Gothic"/>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Minion Web">
    <w:altName w:val="Times New Roman"/>
    <w:charset w:val="00"/>
    <w:family w:val="roman"/>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00000000" w:usb1="69D77CFB" w:usb2="00000030" w:usb3="00000000" w:csb0="0008009F" w:csb1="00000000"/>
  </w:font>
  <w:font w:name="Arial (W1)">
    <w:altName w:val="Arial"/>
    <w:charset w:val="00"/>
    <w:family w:val="swiss"/>
    <w:pitch w:val="variable"/>
    <w:sig w:usb0="00000000"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Arial Unicode MS">
    <w:altName w:val="Arial"/>
    <w:panose1 w:val="020B0604020202020204"/>
    <w:charset w:val="00"/>
    <w:family w:val="roman"/>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Courier">
    <w:panose1 w:val="02070409020205020404"/>
    <w:charset w:val="00"/>
    <w:family w:val="modern"/>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MingLiU-ExtB">
    <w:panose1 w:val="02020500000000000000"/>
    <w:charset w:val="88"/>
    <w:family w:val="roman"/>
    <w:pitch w:val="variable"/>
    <w:sig w:usb0="8000002F" w:usb1="0A080008" w:usb2="00000010" w:usb3="00000000" w:csb0="00100001" w:csb1="00000000"/>
  </w:font>
  <w:font w:name="Arial Black">
    <w:panose1 w:val="020B0A04020102020204"/>
    <w:charset w:val="00"/>
    <w:family w:val="swiss"/>
    <w:pitch w:val="variable"/>
    <w:sig w:usb0="A00002AF" w:usb1="400078FB" w:usb2="00000000" w:usb3="00000000" w:csb0="0000009F" w:csb1="00000000"/>
  </w:font>
  <w:font w:name="TimesNewRoman">
    <w:panose1 w:val="00000000000000000000"/>
    <w:charset w:val="00"/>
    <w:family w:val="auto"/>
    <w:notTrueType/>
    <w:pitch w:val="default"/>
    <w:sig w:usb0="00000003" w:usb1="00000000" w:usb2="00000000" w:usb3="00000000" w:csb0="00000001" w:csb1="00000000"/>
  </w:font>
  <w:font w:name="NimbusRomNo9L-Regu">
    <w:panose1 w:val="00000000000000000000"/>
    <w:charset w:val="00"/>
    <w:family w:val="auto"/>
    <w:notTrueType/>
    <w:pitch w:val="default"/>
    <w:sig w:usb0="00000003" w:usb1="00000000" w:usb2="00000000" w:usb3="00000000" w:csb0="00000001" w:csb1="00000000"/>
  </w:font>
  <w:font w:name="NimbusRoman-Regular">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6CB00" w14:textId="77777777" w:rsidR="003A317A" w:rsidRDefault="003A317A" w:rsidP="00C079D4">
    <w:pPr>
      <w:pStyle w:val="Rodap"/>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D226F7B" w14:textId="77777777" w:rsidR="003A317A" w:rsidRDefault="003A317A" w:rsidP="003F5079">
    <w:pPr>
      <w:pStyle w:val="Rodap"/>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169E3D" w14:textId="2ADFB660" w:rsidR="003A317A" w:rsidRPr="003F5079" w:rsidRDefault="003A317A" w:rsidP="003F5079">
    <w:pPr>
      <w:pStyle w:val="Rodap"/>
      <w:framePr w:wrap="notBeside" w:vAnchor="text" w:hAnchor="page" w:xAlign="right" w:y="1"/>
      <w:rPr>
        <w:rStyle w:val="Nmerodepgina"/>
        <w:rFonts w:ascii="Arial" w:hAnsi="Arial" w:cs="Arial"/>
        <w:color w:val="1F3864" w:themeColor="accent1" w:themeShade="80"/>
        <w:sz w:val="16"/>
        <w:szCs w:val="16"/>
      </w:rPr>
    </w:pPr>
    <w:r w:rsidRPr="003F5079">
      <w:rPr>
        <w:rStyle w:val="Nmerodepgina"/>
        <w:rFonts w:ascii="Arial" w:hAnsi="Arial" w:cs="Arial"/>
        <w:color w:val="1F3864" w:themeColor="accent1" w:themeShade="80"/>
        <w:sz w:val="16"/>
        <w:szCs w:val="16"/>
      </w:rPr>
      <w:fldChar w:fldCharType="begin"/>
    </w:r>
    <w:r w:rsidRPr="003F5079">
      <w:rPr>
        <w:rStyle w:val="Nmerodepgina"/>
        <w:rFonts w:ascii="Arial" w:hAnsi="Arial" w:cs="Arial"/>
        <w:color w:val="1F3864" w:themeColor="accent1" w:themeShade="80"/>
        <w:sz w:val="16"/>
        <w:szCs w:val="16"/>
      </w:rPr>
      <w:instrText xml:space="preserve">PAGE  </w:instrText>
    </w:r>
    <w:r w:rsidRPr="003F5079">
      <w:rPr>
        <w:rStyle w:val="Nmerodepgina"/>
        <w:rFonts w:ascii="Arial" w:hAnsi="Arial" w:cs="Arial"/>
        <w:color w:val="1F3864" w:themeColor="accent1" w:themeShade="80"/>
        <w:sz w:val="16"/>
        <w:szCs w:val="16"/>
      </w:rPr>
      <w:fldChar w:fldCharType="separate"/>
    </w:r>
    <w:r w:rsidR="00D9482C">
      <w:rPr>
        <w:rStyle w:val="Nmerodepgina"/>
        <w:rFonts w:ascii="Arial" w:hAnsi="Arial" w:cs="Arial"/>
        <w:noProof/>
        <w:color w:val="1F3864" w:themeColor="accent1" w:themeShade="80"/>
        <w:sz w:val="16"/>
        <w:szCs w:val="16"/>
      </w:rPr>
      <w:t>403</w:t>
    </w:r>
    <w:r w:rsidRPr="003F5079">
      <w:rPr>
        <w:rStyle w:val="Nmerodepgina"/>
        <w:rFonts w:ascii="Arial" w:hAnsi="Arial" w:cs="Arial"/>
        <w:color w:val="1F3864" w:themeColor="accent1" w:themeShade="80"/>
        <w:sz w:val="16"/>
        <w:szCs w:val="16"/>
      </w:rPr>
      <w:fldChar w:fldCharType="end"/>
    </w:r>
  </w:p>
  <w:p w14:paraId="7F3F3599" w14:textId="00D2878F" w:rsidR="003A317A" w:rsidRPr="00791D7E" w:rsidRDefault="003A317A" w:rsidP="00791D7E">
    <w:pPr>
      <w:pStyle w:val="Rodap"/>
      <w:ind w:right="360"/>
      <w:jc w:val="center"/>
      <w:rPr>
        <w:rFonts w:ascii="Arial" w:hAnsi="Arial" w:cs="Arial"/>
        <w:b/>
        <w:color w:val="1F3864" w:themeColor="accent1" w:themeShade="80"/>
        <w:sz w:val="16"/>
        <w:szCs w:val="16"/>
      </w:rPr>
    </w:pPr>
    <w:r w:rsidRPr="00791D7E">
      <w:rPr>
        <w:rFonts w:ascii="Arial" w:eastAsia="Calibri" w:hAnsi="Arial" w:cs="Arial"/>
        <w:b/>
        <w:color w:val="1F3864" w:themeColor="accent1" w:themeShade="80"/>
        <w:sz w:val="16"/>
        <w:szCs w:val="16"/>
      </w:rPr>
      <w:t>Alameda</w:t>
    </w:r>
    <w:r w:rsidRPr="00791D7E">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dos</w:t>
    </w:r>
    <w:r w:rsidRPr="00791D7E">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Buritis</w:t>
    </w:r>
    <w:r w:rsidRPr="00791D7E">
      <w:rPr>
        <w:rFonts w:ascii="Arial" w:hAnsi="Arial" w:cs="Arial"/>
        <w:b/>
        <w:color w:val="1F3864" w:themeColor="accent1" w:themeShade="80"/>
        <w:sz w:val="16"/>
        <w:szCs w:val="16"/>
      </w:rPr>
      <w:t xml:space="preserve">, 231 - </w:t>
    </w:r>
    <w:r w:rsidRPr="00791D7E">
      <w:rPr>
        <w:rFonts w:ascii="Arial" w:eastAsia="Calibri" w:hAnsi="Arial" w:cs="Arial"/>
        <w:b/>
        <w:color w:val="1F3864" w:themeColor="accent1" w:themeShade="80"/>
        <w:sz w:val="16"/>
        <w:szCs w:val="16"/>
      </w:rPr>
      <w:t>Setor</w:t>
    </w:r>
    <w:r w:rsidRPr="00791D7E">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Oeste</w:t>
    </w:r>
    <w:r w:rsidRPr="00791D7E">
      <w:rPr>
        <w:rFonts w:ascii="Arial" w:hAnsi="Arial" w:cs="Arial"/>
        <w:b/>
        <w:color w:val="1F3864" w:themeColor="accent1" w:themeShade="80"/>
        <w:sz w:val="16"/>
        <w:szCs w:val="16"/>
      </w:rPr>
      <w:t xml:space="preserve"> - </w:t>
    </w:r>
    <w:r w:rsidRPr="00791D7E">
      <w:rPr>
        <w:rFonts w:ascii="Arial" w:eastAsia="Calibri" w:hAnsi="Arial" w:cs="Arial"/>
        <w:b/>
        <w:color w:val="1F3864" w:themeColor="accent1" w:themeShade="80"/>
        <w:sz w:val="16"/>
        <w:szCs w:val="16"/>
      </w:rPr>
      <w:t>CEP</w:t>
    </w:r>
    <w:r w:rsidRPr="00791D7E">
      <w:rPr>
        <w:rFonts w:ascii="Arial" w:hAnsi="Arial" w:cs="Arial"/>
        <w:b/>
        <w:color w:val="1F3864" w:themeColor="accent1" w:themeShade="80"/>
        <w:sz w:val="16"/>
        <w:szCs w:val="16"/>
      </w:rPr>
      <w:t xml:space="preserve">: 74.115-900 - </w:t>
    </w:r>
    <w:r w:rsidRPr="00791D7E">
      <w:rPr>
        <w:rFonts w:ascii="Arial" w:eastAsia="Calibri" w:hAnsi="Arial" w:cs="Arial"/>
        <w:b/>
        <w:color w:val="1F3864" w:themeColor="accent1" w:themeShade="80"/>
        <w:sz w:val="16"/>
        <w:szCs w:val="16"/>
      </w:rPr>
      <w:t>Goiânia</w:t>
    </w:r>
    <w:r w:rsidRPr="00791D7E">
      <w:rPr>
        <w:rFonts w:ascii="Arial" w:hAnsi="Arial" w:cs="Arial"/>
        <w:b/>
        <w:color w:val="1F3864" w:themeColor="accent1" w:themeShade="80"/>
        <w:sz w:val="16"/>
        <w:szCs w:val="16"/>
      </w:rPr>
      <w:t xml:space="preserve"> – </w:t>
    </w:r>
    <w:r w:rsidRPr="00791D7E">
      <w:rPr>
        <w:rFonts w:ascii="Arial" w:eastAsia="Calibri" w:hAnsi="Arial" w:cs="Arial"/>
        <w:b/>
        <w:color w:val="1F3864" w:themeColor="accent1" w:themeShade="80"/>
        <w:sz w:val="16"/>
        <w:szCs w:val="16"/>
      </w:rPr>
      <w:t>Goiás</w:t>
    </w:r>
  </w:p>
  <w:p w14:paraId="36F8389A" w14:textId="668871CD" w:rsidR="003A317A" w:rsidRPr="00791D7E" w:rsidRDefault="003A317A" w:rsidP="00791D7E">
    <w:pPr>
      <w:pStyle w:val="Rodap"/>
      <w:ind w:right="360"/>
      <w:jc w:val="center"/>
      <w:rPr>
        <w:rFonts w:ascii="Arial" w:hAnsi="Arial" w:cs="Arial"/>
        <w:b/>
        <w:color w:val="1F3864" w:themeColor="accent1" w:themeShade="80"/>
        <w:sz w:val="16"/>
        <w:szCs w:val="16"/>
      </w:rPr>
    </w:pPr>
    <w:r w:rsidRPr="00791D7E">
      <w:rPr>
        <w:rFonts w:ascii="Arial" w:hAnsi="Arial" w:cs="Arial"/>
        <w:b/>
        <w:color w:val="1F3864" w:themeColor="accent1" w:themeShade="80"/>
        <w:sz w:val="16"/>
        <w:szCs w:val="16"/>
      </w:rPr>
      <w:t>|</w:t>
    </w:r>
    <w:r>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portal</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al</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go</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leg</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br</w:t>
    </w:r>
    <w:r>
      <w:rPr>
        <w:rFonts w:ascii="Arial" w:eastAsia="Calibri" w:hAnsi="Arial" w:cs="Arial"/>
        <w:b/>
        <w:color w:val="1F3864" w:themeColor="accent1" w:themeShade="80"/>
        <w:sz w:val="16"/>
        <w:szCs w:val="16"/>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DDB8F" w14:textId="77777777" w:rsidR="003A317A" w:rsidRDefault="003A317A" w:rsidP="00C079D4">
    <w:pPr>
      <w:pStyle w:val="Rodap"/>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096CCEED" w14:textId="77777777" w:rsidR="003A317A" w:rsidRDefault="003A317A" w:rsidP="003F5079">
    <w:pPr>
      <w:pStyle w:val="Rodap"/>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B0E4F6" w14:textId="45093061" w:rsidR="003A317A" w:rsidRPr="003F5079" w:rsidRDefault="003A317A" w:rsidP="003F5079">
    <w:pPr>
      <w:pStyle w:val="Rodap"/>
      <w:framePr w:wrap="notBeside" w:vAnchor="text" w:hAnchor="page" w:xAlign="right" w:y="1"/>
      <w:rPr>
        <w:rStyle w:val="Nmerodepgina"/>
        <w:rFonts w:ascii="Arial" w:hAnsi="Arial" w:cs="Arial"/>
        <w:color w:val="1F3864" w:themeColor="accent1" w:themeShade="80"/>
        <w:sz w:val="16"/>
        <w:szCs w:val="16"/>
      </w:rPr>
    </w:pPr>
    <w:r w:rsidRPr="003F5079">
      <w:rPr>
        <w:rStyle w:val="Nmerodepgina"/>
        <w:rFonts w:ascii="Arial" w:hAnsi="Arial" w:cs="Arial"/>
        <w:color w:val="1F3864" w:themeColor="accent1" w:themeShade="80"/>
        <w:sz w:val="16"/>
        <w:szCs w:val="16"/>
      </w:rPr>
      <w:fldChar w:fldCharType="begin"/>
    </w:r>
    <w:r w:rsidRPr="003F5079">
      <w:rPr>
        <w:rStyle w:val="Nmerodepgina"/>
        <w:rFonts w:ascii="Arial" w:hAnsi="Arial" w:cs="Arial"/>
        <w:color w:val="1F3864" w:themeColor="accent1" w:themeShade="80"/>
        <w:sz w:val="16"/>
        <w:szCs w:val="16"/>
      </w:rPr>
      <w:instrText xml:space="preserve">PAGE  </w:instrText>
    </w:r>
    <w:r w:rsidRPr="003F5079">
      <w:rPr>
        <w:rStyle w:val="Nmerodepgina"/>
        <w:rFonts w:ascii="Arial" w:hAnsi="Arial" w:cs="Arial"/>
        <w:color w:val="1F3864" w:themeColor="accent1" w:themeShade="80"/>
        <w:sz w:val="16"/>
        <w:szCs w:val="16"/>
      </w:rPr>
      <w:fldChar w:fldCharType="separate"/>
    </w:r>
    <w:r w:rsidR="00D9482C">
      <w:rPr>
        <w:rStyle w:val="Nmerodepgina"/>
        <w:rFonts w:ascii="Arial" w:hAnsi="Arial" w:cs="Arial"/>
        <w:noProof/>
        <w:color w:val="1F3864" w:themeColor="accent1" w:themeShade="80"/>
        <w:sz w:val="16"/>
        <w:szCs w:val="16"/>
      </w:rPr>
      <w:t>489</w:t>
    </w:r>
    <w:r w:rsidRPr="003F5079">
      <w:rPr>
        <w:rStyle w:val="Nmerodepgina"/>
        <w:rFonts w:ascii="Arial" w:hAnsi="Arial" w:cs="Arial"/>
        <w:color w:val="1F3864" w:themeColor="accent1" w:themeShade="80"/>
        <w:sz w:val="16"/>
        <w:szCs w:val="16"/>
      </w:rPr>
      <w:fldChar w:fldCharType="end"/>
    </w:r>
  </w:p>
  <w:p w14:paraId="334C5842" w14:textId="77777777" w:rsidR="003A317A" w:rsidRPr="00791D7E" w:rsidRDefault="003A317A" w:rsidP="00791D7E">
    <w:pPr>
      <w:pStyle w:val="Rodap"/>
      <w:ind w:right="360"/>
      <w:jc w:val="center"/>
      <w:rPr>
        <w:rFonts w:ascii="Arial" w:hAnsi="Arial" w:cs="Arial"/>
        <w:b/>
        <w:color w:val="1F3864" w:themeColor="accent1" w:themeShade="80"/>
        <w:sz w:val="16"/>
        <w:szCs w:val="16"/>
      </w:rPr>
    </w:pPr>
    <w:r w:rsidRPr="00791D7E">
      <w:rPr>
        <w:rFonts w:ascii="Arial" w:eastAsia="Calibri" w:hAnsi="Arial" w:cs="Arial"/>
        <w:b/>
        <w:color w:val="1F3864" w:themeColor="accent1" w:themeShade="80"/>
        <w:sz w:val="16"/>
        <w:szCs w:val="16"/>
      </w:rPr>
      <w:t>Alameda</w:t>
    </w:r>
    <w:r w:rsidRPr="00791D7E">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dos</w:t>
    </w:r>
    <w:r w:rsidRPr="00791D7E">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Buritis</w:t>
    </w:r>
    <w:r w:rsidRPr="00791D7E">
      <w:rPr>
        <w:rFonts w:ascii="Arial" w:hAnsi="Arial" w:cs="Arial"/>
        <w:b/>
        <w:color w:val="1F3864" w:themeColor="accent1" w:themeShade="80"/>
        <w:sz w:val="16"/>
        <w:szCs w:val="16"/>
      </w:rPr>
      <w:t xml:space="preserve">, 231 - </w:t>
    </w:r>
    <w:r w:rsidRPr="00791D7E">
      <w:rPr>
        <w:rFonts w:ascii="Arial" w:eastAsia="Calibri" w:hAnsi="Arial" w:cs="Arial"/>
        <w:b/>
        <w:color w:val="1F3864" w:themeColor="accent1" w:themeShade="80"/>
        <w:sz w:val="16"/>
        <w:szCs w:val="16"/>
      </w:rPr>
      <w:t>Setor</w:t>
    </w:r>
    <w:r w:rsidRPr="00791D7E">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Oeste</w:t>
    </w:r>
    <w:r w:rsidRPr="00791D7E">
      <w:rPr>
        <w:rFonts w:ascii="Arial" w:hAnsi="Arial" w:cs="Arial"/>
        <w:b/>
        <w:color w:val="1F3864" w:themeColor="accent1" w:themeShade="80"/>
        <w:sz w:val="16"/>
        <w:szCs w:val="16"/>
      </w:rPr>
      <w:t xml:space="preserve"> - </w:t>
    </w:r>
    <w:r w:rsidRPr="00791D7E">
      <w:rPr>
        <w:rFonts w:ascii="Arial" w:eastAsia="Calibri" w:hAnsi="Arial" w:cs="Arial"/>
        <w:b/>
        <w:color w:val="1F3864" w:themeColor="accent1" w:themeShade="80"/>
        <w:sz w:val="16"/>
        <w:szCs w:val="16"/>
      </w:rPr>
      <w:t>CEP</w:t>
    </w:r>
    <w:r w:rsidRPr="00791D7E">
      <w:rPr>
        <w:rFonts w:ascii="Arial" w:hAnsi="Arial" w:cs="Arial"/>
        <w:b/>
        <w:color w:val="1F3864" w:themeColor="accent1" w:themeShade="80"/>
        <w:sz w:val="16"/>
        <w:szCs w:val="16"/>
      </w:rPr>
      <w:t xml:space="preserve">: 74.115-900 - </w:t>
    </w:r>
    <w:r w:rsidRPr="00791D7E">
      <w:rPr>
        <w:rFonts w:ascii="Arial" w:eastAsia="Calibri" w:hAnsi="Arial" w:cs="Arial"/>
        <w:b/>
        <w:color w:val="1F3864" w:themeColor="accent1" w:themeShade="80"/>
        <w:sz w:val="16"/>
        <w:szCs w:val="16"/>
      </w:rPr>
      <w:t>Goiânia</w:t>
    </w:r>
    <w:r w:rsidRPr="00791D7E">
      <w:rPr>
        <w:rFonts w:ascii="Arial" w:hAnsi="Arial" w:cs="Arial"/>
        <w:b/>
        <w:color w:val="1F3864" w:themeColor="accent1" w:themeShade="80"/>
        <w:sz w:val="16"/>
        <w:szCs w:val="16"/>
      </w:rPr>
      <w:t xml:space="preserve"> – </w:t>
    </w:r>
    <w:r w:rsidRPr="00791D7E">
      <w:rPr>
        <w:rFonts w:ascii="Arial" w:eastAsia="Calibri" w:hAnsi="Arial" w:cs="Arial"/>
        <w:b/>
        <w:color w:val="1F3864" w:themeColor="accent1" w:themeShade="80"/>
        <w:sz w:val="16"/>
        <w:szCs w:val="16"/>
      </w:rPr>
      <w:t>Goiás</w:t>
    </w:r>
  </w:p>
  <w:p w14:paraId="12E299DF" w14:textId="77777777" w:rsidR="003A317A" w:rsidRPr="00791D7E" w:rsidRDefault="003A317A" w:rsidP="00791D7E">
    <w:pPr>
      <w:pStyle w:val="Rodap"/>
      <w:ind w:right="360"/>
      <w:jc w:val="center"/>
      <w:rPr>
        <w:rFonts w:ascii="Arial" w:hAnsi="Arial" w:cs="Arial"/>
        <w:b/>
        <w:color w:val="1F3864" w:themeColor="accent1" w:themeShade="80"/>
        <w:sz w:val="16"/>
        <w:szCs w:val="16"/>
      </w:rPr>
    </w:pPr>
    <w:r w:rsidRPr="00791D7E">
      <w:rPr>
        <w:rFonts w:ascii="Arial" w:hAnsi="Arial" w:cs="Arial"/>
        <w:b/>
        <w:color w:val="1F3864" w:themeColor="accent1" w:themeShade="80"/>
        <w:sz w:val="16"/>
        <w:szCs w:val="16"/>
      </w:rPr>
      <w:t>|</w:t>
    </w:r>
    <w:r>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portal</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al</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go</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leg</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br</w:t>
    </w:r>
    <w:r>
      <w:rPr>
        <w:rFonts w:ascii="Arial" w:eastAsia="Calibri" w:hAnsi="Arial" w:cs="Arial"/>
        <w:b/>
        <w:color w:val="1F3864" w:themeColor="accent1" w:themeShade="80"/>
        <w:sz w:val="16"/>
        <w:szCs w:val="16"/>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05D3A" w14:textId="77777777" w:rsidR="003A317A" w:rsidRDefault="003A317A" w:rsidP="00C079D4">
    <w:pPr>
      <w:pStyle w:val="Rodap"/>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4B053F74" w14:textId="77777777" w:rsidR="003A317A" w:rsidRDefault="003A317A" w:rsidP="003F5079">
    <w:pPr>
      <w:pStyle w:val="Rodap"/>
      <w:ind w:right="36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B687AA" w14:textId="2BC0926B" w:rsidR="003A317A" w:rsidRPr="003F5079" w:rsidRDefault="003A317A" w:rsidP="003F5079">
    <w:pPr>
      <w:pStyle w:val="Rodap"/>
      <w:framePr w:wrap="notBeside" w:vAnchor="text" w:hAnchor="page" w:xAlign="right" w:y="1"/>
      <w:rPr>
        <w:rStyle w:val="Nmerodepgina"/>
        <w:rFonts w:ascii="Arial" w:hAnsi="Arial" w:cs="Arial"/>
        <w:color w:val="1F3864" w:themeColor="accent1" w:themeShade="80"/>
        <w:sz w:val="16"/>
        <w:szCs w:val="16"/>
      </w:rPr>
    </w:pPr>
    <w:r w:rsidRPr="003F5079">
      <w:rPr>
        <w:rStyle w:val="Nmerodepgina"/>
        <w:rFonts w:ascii="Arial" w:hAnsi="Arial" w:cs="Arial"/>
        <w:color w:val="1F3864" w:themeColor="accent1" w:themeShade="80"/>
        <w:sz w:val="16"/>
        <w:szCs w:val="16"/>
      </w:rPr>
      <w:fldChar w:fldCharType="begin"/>
    </w:r>
    <w:r w:rsidRPr="003F5079">
      <w:rPr>
        <w:rStyle w:val="Nmerodepgina"/>
        <w:rFonts w:ascii="Arial" w:hAnsi="Arial" w:cs="Arial"/>
        <w:color w:val="1F3864" w:themeColor="accent1" w:themeShade="80"/>
        <w:sz w:val="16"/>
        <w:szCs w:val="16"/>
      </w:rPr>
      <w:instrText xml:space="preserve">PAGE  </w:instrText>
    </w:r>
    <w:r w:rsidRPr="003F5079">
      <w:rPr>
        <w:rStyle w:val="Nmerodepgina"/>
        <w:rFonts w:ascii="Arial" w:hAnsi="Arial" w:cs="Arial"/>
        <w:color w:val="1F3864" w:themeColor="accent1" w:themeShade="80"/>
        <w:sz w:val="16"/>
        <w:szCs w:val="16"/>
      </w:rPr>
      <w:fldChar w:fldCharType="separate"/>
    </w:r>
    <w:r w:rsidR="00D9482C">
      <w:rPr>
        <w:rStyle w:val="Nmerodepgina"/>
        <w:rFonts w:ascii="Arial" w:hAnsi="Arial" w:cs="Arial"/>
        <w:noProof/>
        <w:color w:val="1F3864" w:themeColor="accent1" w:themeShade="80"/>
        <w:sz w:val="16"/>
        <w:szCs w:val="16"/>
      </w:rPr>
      <w:t>548</w:t>
    </w:r>
    <w:r w:rsidRPr="003F5079">
      <w:rPr>
        <w:rStyle w:val="Nmerodepgina"/>
        <w:rFonts w:ascii="Arial" w:hAnsi="Arial" w:cs="Arial"/>
        <w:color w:val="1F3864" w:themeColor="accent1" w:themeShade="80"/>
        <w:sz w:val="16"/>
        <w:szCs w:val="16"/>
      </w:rPr>
      <w:fldChar w:fldCharType="end"/>
    </w:r>
  </w:p>
  <w:p w14:paraId="077F5FCD" w14:textId="77777777" w:rsidR="003A317A" w:rsidRPr="00791D7E" w:rsidRDefault="003A317A" w:rsidP="00791D7E">
    <w:pPr>
      <w:pStyle w:val="Rodap"/>
      <w:ind w:right="360"/>
      <w:jc w:val="center"/>
      <w:rPr>
        <w:rFonts w:ascii="Arial" w:hAnsi="Arial" w:cs="Arial"/>
        <w:b/>
        <w:color w:val="1F3864" w:themeColor="accent1" w:themeShade="80"/>
        <w:sz w:val="16"/>
        <w:szCs w:val="16"/>
      </w:rPr>
    </w:pPr>
    <w:r w:rsidRPr="00791D7E">
      <w:rPr>
        <w:rFonts w:ascii="Arial" w:eastAsia="Calibri" w:hAnsi="Arial" w:cs="Arial"/>
        <w:b/>
        <w:color w:val="1F3864" w:themeColor="accent1" w:themeShade="80"/>
        <w:sz w:val="16"/>
        <w:szCs w:val="16"/>
      </w:rPr>
      <w:t>Alameda</w:t>
    </w:r>
    <w:r w:rsidRPr="00791D7E">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dos</w:t>
    </w:r>
    <w:r w:rsidRPr="00791D7E">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Buritis</w:t>
    </w:r>
    <w:r w:rsidRPr="00791D7E">
      <w:rPr>
        <w:rFonts w:ascii="Arial" w:hAnsi="Arial" w:cs="Arial"/>
        <w:b/>
        <w:color w:val="1F3864" w:themeColor="accent1" w:themeShade="80"/>
        <w:sz w:val="16"/>
        <w:szCs w:val="16"/>
      </w:rPr>
      <w:t xml:space="preserve">, 231 - </w:t>
    </w:r>
    <w:r w:rsidRPr="00791D7E">
      <w:rPr>
        <w:rFonts w:ascii="Arial" w:eastAsia="Calibri" w:hAnsi="Arial" w:cs="Arial"/>
        <w:b/>
        <w:color w:val="1F3864" w:themeColor="accent1" w:themeShade="80"/>
        <w:sz w:val="16"/>
        <w:szCs w:val="16"/>
      </w:rPr>
      <w:t>Setor</w:t>
    </w:r>
    <w:r w:rsidRPr="00791D7E">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Oeste</w:t>
    </w:r>
    <w:r w:rsidRPr="00791D7E">
      <w:rPr>
        <w:rFonts w:ascii="Arial" w:hAnsi="Arial" w:cs="Arial"/>
        <w:b/>
        <w:color w:val="1F3864" w:themeColor="accent1" w:themeShade="80"/>
        <w:sz w:val="16"/>
        <w:szCs w:val="16"/>
      </w:rPr>
      <w:t xml:space="preserve"> - </w:t>
    </w:r>
    <w:r w:rsidRPr="00791D7E">
      <w:rPr>
        <w:rFonts w:ascii="Arial" w:eastAsia="Calibri" w:hAnsi="Arial" w:cs="Arial"/>
        <w:b/>
        <w:color w:val="1F3864" w:themeColor="accent1" w:themeShade="80"/>
        <w:sz w:val="16"/>
        <w:szCs w:val="16"/>
      </w:rPr>
      <w:t>CEP</w:t>
    </w:r>
    <w:r w:rsidRPr="00791D7E">
      <w:rPr>
        <w:rFonts w:ascii="Arial" w:hAnsi="Arial" w:cs="Arial"/>
        <w:b/>
        <w:color w:val="1F3864" w:themeColor="accent1" w:themeShade="80"/>
        <w:sz w:val="16"/>
        <w:szCs w:val="16"/>
      </w:rPr>
      <w:t xml:space="preserve">: 74.115-900 - </w:t>
    </w:r>
    <w:r w:rsidRPr="00791D7E">
      <w:rPr>
        <w:rFonts w:ascii="Arial" w:eastAsia="Calibri" w:hAnsi="Arial" w:cs="Arial"/>
        <w:b/>
        <w:color w:val="1F3864" w:themeColor="accent1" w:themeShade="80"/>
        <w:sz w:val="16"/>
        <w:szCs w:val="16"/>
      </w:rPr>
      <w:t>Goiânia</w:t>
    </w:r>
    <w:r w:rsidRPr="00791D7E">
      <w:rPr>
        <w:rFonts w:ascii="Arial" w:hAnsi="Arial" w:cs="Arial"/>
        <w:b/>
        <w:color w:val="1F3864" w:themeColor="accent1" w:themeShade="80"/>
        <w:sz w:val="16"/>
        <w:szCs w:val="16"/>
      </w:rPr>
      <w:t xml:space="preserve"> – </w:t>
    </w:r>
    <w:r w:rsidRPr="00791D7E">
      <w:rPr>
        <w:rFonts w:ascii="Arial" w:eastAsia="Calibri" w:hAnsi="Arial" w:cs="Arial"/>
        <w:b/>
        <w:color w:val="1F3864" w:themeColor="accent1" w:themeShade="80"/>
        <w:sz w:val="16"/>
        <w:szCs w:val="16"/>
      </w:rPr>
      <w:t>Goiás</w:t>
    </w:r>
  </w:p>
  <w:p w14:paraId="3C8AE32F" w14:textId="77777777" w:rsidR="003A317A" w:rsidRPr="00791D7E" w:rsidRDefault="003A317A" w:rsidP="00791D7E">
    <w:pPr>
      <w:pStyle w:val="Rodap"/>
      <w:ind w:right="360"/>
      <w:jc w:val="center"/>
      <w:rPr>
        <w:rFonts w:ascii="Arial" w:hAnsi="Arial" w:cs="Arial"/>
        <w:b/>
        <w:color w:val="1F3864" w:themeColor="accent1" w:themeShade="80"/>
        <w:sz w:val="16"/>
        <w:szCs w:val="16"/>
      </w:rPr>
    </w:pPr>
    <w:r w:rsidRPr="00791D7E">
      <w:rPr>
        <w:rFonts w:ascii="Arial" w:hAnsi="Arial" w:cs="Arial"/>
        <w:b/>
        <w:color w:val="1F3864" w:themeColor="accent1" w:themeShade="80"/>
        <w:sz w:val="16"/>
        <w:szCs w:val="16"/>
      </w:rPr>
      <w:t>|</w:t>
    </w:r>
    <w:r>
      <w:rPr>
        <w:rFonts w:ascii="Arial" w:hAnsi="Arial" w:cs="Arial"/>
        <w:b/>
        <w:color w:val="1F3864" w:themeColor="accent1" w:themeShade="80"/>
        <w:sz w:val="16"/>
        <w:szCs w:val="16"/>
      </w:rPr>
      <w:t xml:space="preserve"> </w:t>
    </w:r>
    <w:r w:rsidRPr="00791D7E">
      <w:rPr>
        <w:rFonts w:ascii="Arial" w:eastAsia="Calibri" w:hAnsi="Arial" w:cs="Arial"/>
        <w:b/>
        <w:color w:val="1F3864" w:themeColor="accent1" w:themeShade="80"/>
        <w:sz w:val="16"/>
        <w:szCs w:val="16"/>
      </w:rPr>
      <w:t>portal</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al</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go</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leg</w:t>
    </w:r>
    <w:r w:rsidRPr="00791D7E">
      <w:rPr>
        <w:rFonts w:ascii="Arial" w:hAnsi="Arial" w:cs="Arial"/>
        <w:b/>
        <w:color w:val="1F3864" w:themeColor="accent1" w:themeShade="80"/>
        <w:sz w:val="16"/>
        <w:szCs w:val="16"/>
      </w:rPr>
      <w:t>.</w:t>
    </w:r>
    <w:r w:rsidRPr="00791D7E">
      <w:rPr>
        <w:rFonts w:ascii="Arial" w:eastAsia="Calibri" w:hAnsi="Arial" w:cs="Arial"/>
        <w:b/>
        <w:color w:val="1F3864" w:themeColor="accent1" w:themeShade="80"/>
        <w:sz w:val="16"/>
        <w:szCs w:val="16"/>
      </w:rPr>
      <w:t>br</w:t>
    </w:r>
    <w:r>
      <w:rPr>
        <w:rFonts w:ascii="Arial" w:eastAsia="Calibri" w:hAnsi="Arial" w:cs="Arial"/>
        <w:b/>
        <w:color w:val="1F3864" w:themeColor="accent1" w:themeShade="80"/>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4E99A0" w14:textId="77777777" w:rsidR="003A317A" w:rsidRDefault="003A317A" w:rsidP="004D26B9">
      <w:r>
        <w:separator/>
      </w:r>
    </w:p>
  </w:footnote>
  <w:footnote w:type="continuationSeparator" w:id="0">
    <w:p w14:paraId="0958A8D8" w14:textId="77777777" w:rsidR="003A317A" w:rsidRDefault="003A317A" w:rsidP="004D26B9">
      <w:r>
        <w:continuationSeparator/>
      </w:r>
    </w:p>
  </w:footnote>
  <w:footnote w:id="1">
    <w:p w14:paraId="17CFC2C1" w14:textId="7CDE3235"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Graciliano Ramos. </w:t>
      </w:r>
      <w:r w:rsidRPr="000F60BD">
        <w:rPr>
          <w:rFonts w:ascii="Arial" w:hAnsi="Arial" w:cs="Arial"/>
          <w:b/>
        </w:rPr>
        <w:t>2º Relatório ao Sr. Governador Alvaro Paes</w:t>
      </w:r>
      <w:r w:rsidRPr="000F60BD">
        <w:rPr>
          <w:rFonts w:ascii="Arial" w:hAnsi="Arial" w:cs="Arial"/>
        </w:rPr>
        <w:t>. Palmeiras dos Índios, 1930.</w:t>
      </w:r>
    </w:p>
  </w:footnote>
  <w:footnote w:id="2">
    <w:p w14:paraId="0133C67E" w14:textId="4230C1B1"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w:t>
      </w:r>
      <w:r w:rsidRPr="000F60BD">
        <w:rPr>
          <w:rFonts w:ascii="Arial" w:hAnsi="Arial" w:cs="Arial"/>
          <w:b/>
          <w:u w:val="single"/>
        </w:rPr>
        <w:t>CTE/GO</w:t>
      </w:r>
    </w:p>
    <w:p w14:paraId="6E49CC0D" w14:textId="209B4F09" w:rsidR="003A317A" w:rsidRPr="000F60BD" w:rsidRDefault="003A317A" w:rsidP="000F60BD">
      <w:pPr>
        <w:pStyle w:val="Textodenotaderodap"/>
        <w:jc w:val="both"/>
        <w:rPr>
          <w:rFonts w:ascii="Arial" w:eastAsiaTheme="minorHAnsi" w:hAnsi="Arial" w:cs="Arial"/>
          <w:lang w:eastAsia="en-US"/>
        </w:rPr>
      </w:pPr>
      <w:r w:rsidRPr="000F60BD">
        <w:rPr>
          <w:rFonts w:ascii="Arial" w:eastAsiaTheme="minorHAnsi" w:hAnsi="Arial" w:cs="Arial"/>
          <w:b/>
          <w:bCs/>
          <w:lang w:eastAsia="en-US"/>
        </w:rPr>
        <w:t xml:space="preserve">Art. 41. </w:t>
      </w:r>
      <w:r w:rsidRPr="000F60BD">
        <w:rPr>
          <w:rFonts w:ascii="Arial" w:eastAsiaTheme="minorHAnsi" w:hAnsi="Arial" w:cs="Arial"/>
          <w:lang w:eastAsia="en-US"/>
        </w:rPr>
        <w:t>São os benefícios fiscais: I – a isenção; II – a redução da base de cálculo do imposto; III – o crédito outorgado; IV – a manutenção de crédito; V – a devolução total ou parcial do imposto.</w:t>
      </w:r>
    </w:p>
    <w:p w14:paraId="236B56DE" w14:textId="615E1BBC" w:rsidR="003A317A" w:rsidRPr="000F60BD" w:rsidRDefault="003A317A" w:rsidP="000F60BD">
      <w:pPr>
        <w:pStyle w:val="Textodenotaderodap"/>
        <w:jc w:val="both"/>
        <w:rPr>
          <w:rFonts w:ascii="Arial" w:hAnsi="Arial" w:cs="Arial"/>
        </w:rPr>
      </w:pPr>
      <w:r w:rsidRPr="000F60BD">
        <w:rPr>
          <w:rFonts w:ascii="Arial" w:eastAsiaTheme="minorHAnsi" w:hAnsi="Arial" w:cs="Arial"/>
          <w:b/>
          <w:lang w:eastAsia="en-US"/>
        </w:rPr>
        <w:t>Art. 42.</w:t>
      </w:r>
      <w:r w:rsidRPr="000F60BD">
        <w:rPr>
          <w:rFonts w:ascii="Arial" w:eastAsiaTheme="minorHAnsi" w:hAnsi="Arial" w:cs="Arial"/>
          <w:lang w:eastAsia="en-US"/>
        </w:rPr>
        <w:t xml:space="preserve"> Para os efeitos da legislação tributária, equipara-se a benefício fiscal e sujeita-se às exigências para este requeridas, a concessão, sob qualquer forma, condição ou denominação, de quaisquer outros incentivos, benefícios ou favores, dos quais resulte, direta ou indiretamente, dilação do prazo para pagamento do ICMS ou exoneração, dispensa, redução, eliminação, total ou parcial, do ônus do imposto devido na respectiva operação ou prestação, mesmo que o cumprimento da obrigação vincule-se à realização de operação ou prestação posterior ou, ainda, a qualquer outro evento futuro.</w:t>
      </w:r>
    </w:p>
  </w:footnote>
  <w:footnote w:id="3">
    <w:p w14:paraId="15EF0185" w14:textId="13772FCB"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HARADA, Kiyoshi. </w:t>
      </w:r>
      <w:r w:rsidRPr="000F60BD">
        <w:rPr>
          <w:rFonts w:ascii="Arial" w:hAnsi="Arial" w:cs="Arial"/>
          <w:b/>
        </w:rPr>
        <w:t>ICMS</w:t>
      </w:r>
      <w:r w:rsidRPr="000F60BD">
        <w:rPr>
          <w:rFonts w:ascii="Arial" w:hAnsi="Arial" w:cs="Arial"/>
        </w:rPr>
        <w:t xml:space="preserve"> doutrina e prática. 2. Ed. São Paulo: Atlas, 2019, p. 11 e 15, grifou-se.</w:t>
      </w:r>
    </w:p>
  </w:footnote>
  <w:footnote w:id="4">
    <w:p w14:paraId="2135A2AE" w14:textId="1B7F2B6A"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Parte da doutrina entende que a recepção não foi total, e sim parcial, em razão da incompatibilidade, em parte, do art. 8º da LC nº 24/1975 com o disposto no art. 155, § 2º, II, da CRFB. HARADA, Kiyoshi, </w:t>
      </w:r>
      <w:r w:rsidRPr="000F60BD">
        <w:rPr>
          <w:rFonts w:ascii="Arial" w:hAnsi="Arial" w:cs="Arial"/>
          <w:b/>
        </w:rPr>
        <w:t>ICMS</w:t>
      </w:r>
      <w:r w:rsidRPr="000F60BD">
        <w:rPr>
          <w:rFonts w:ascii="Arial" w:hAnsi="Arial" w:cs="Arial"/>
        </w:rPr>
        <w:t>: doutrina e prática, p. 74.</w:t>
      </w:r>
    </w:p>
  </w:footnote>
  <w:footnote w:id="5">
    <w:p w14:paraId="1140DC42" w14:textId="408DEEE9"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STF, Tribunal Pleno, ADI 3.794</w:t>
      </w:r>
      <w:r w:rsidRPr="000F60BD">
        <w:rPr>
          <w:rFonts w:ascii="Arial" w:hAnsi="Arial" w:cs="Arial"/>
          <w:b/>
          <w:bCs/>
        </w:rPr>
        <w:t>/</w:t>
      </w:r>
      <w:r w:rsidRPr="000F60BD">
        <w:rPr>
          <w:rFonts w:ascii="Arial" w:hAnsi="Arial" w:cs="Arial"/>
          <w:bCs/>
        </w:rPr>
        <w:t>PR</w:t>
      </w:r>
      <w:r w:rsidRPr="000F60BD">
        <w:rPr>
          <w:rFonts w:ascii="Arial" w:hAnsi="Arial" w:cs="Arial"/>
        </w:rPr>
        <w:t xml:space="preserve">, Rel. Min. Joaquim Barbosa, j. em 01/06/2011, grifou-se. Em sentido similar, confiram-se também: ADI 3.674/RJ, ADI 2.376/RJ, ADI 3.664/RJ, ADI 1.247/PA, ADI 3.803/PR, </w:t>
      </w:r>
      <w:r w:rsidRPr="000F60BD">
        <w:rPr>
          <w:rFonts w:ascii="Arial" w:hAnsi="Arial" w:cs="Arial"/>
          <w:bCs/>
        </w:rPr>
        <w:t>ADI 2.688/PR</w:t>
      </w:r>
      <w:r w:rsidRPr="000F60BD">
        <w:rPr>
          <w:rFonts w:ascii="Arial" w:hAnsi="Arial" w:cs="Arial"/>
        </w:rPr>
        <w:t xml:space="preserve">, ADI 4.152/SP, ADI 2.549/DF, </w:t>
      </w:r>
      <w:r w:rsidRPr="000F60BD">
        <w:rPr>
          <w:rFonts w:ascii="Arial" w:hAnsi="Arial" w:cs="Arial"/>
          <w:bCs/>
        </w:rPr>
        <w:t>e ADI 3.702/ES.</w:t>
      </w:r>
    </w:p>
  </w:footnote>
  <w:footnote w:id="6">
    <w:p w14:paraId="0FEA4286" w14:textId="0E99F755"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O art. 1º do autógrafo encaminhado pelo Senado, que alterava o art. 14 da LRF, foi vetado; e o veto correspondente, mantido pelo Congresso Nacional. Desse modo, a pretendida alteração ao art. 14 da LRF não se efetivou. De outro lado, o Distrito Federal foi novamente incluído no texto do Senado, encaminhado para sanção presidencial.</w:t>
      </w:r>
    </w:p>
  </w:footnote>
  <w:footnote w:id="7">
    <w:p w14:paraId="033772CF" w14:textId="037A9868"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HARADA, Kiyoshi, </w:t>
      </w:r>
      <w:r w:rsidRPr="000F60BD">
        <w:rPr>
          <w:rFonts w:ascii="Arial" w:hAnsi="Arial" w:cs="Arial"/>
          <w:b/>
        </w:rPr>
        <w:t>ICMS</w:t>
      </w:r>
      <w:r w:rsidRPr="000F60BD">
        <w:rPr>
          <w:rFonts w:ascii="Arial" w:hAnsi="Arial" w:cs="Arial"/>
        </w:rPr>
        <w:t>: doutrina e prática, p. 79, 84 e 203.</w:t>
      </w:r>
    </w:p>
  </w:footnote>
  <w:footnote w:id="8">
    <w:p w14:paraId="39D14F77" w14:textId="312F127E"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STF, RE 851.421/DF, Rel. Min. Marco Aurélio, j. em 21/05/2015, grifou-se.</w:t>
      </w:r>
    </w:p>
  </w:footnote>
  <w:footnote w:id="9">
    <w:p w14:paraId="5FD9A7C7" w14:textId="236FAF4D"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Art. 6º Ressalvado o disposto nesta Lei Complementar, a concessão ou a manutenção de isenções, incentivos e benefícios fiscais ou financeiro-fiscais em desacordo com a Lei Complementar nº 24, de 7 de janeiro de 1975, implica a sujeição da unidade federada responsável aos impedimentos previstos nos incisos I, II e III do § 3º do art. 23 da Lei Complementar nº 101, de 4 de maio de 2000, pelo prazo em que perdurar a concessão ou a manutenção das isenções, dos incentivos e dos benefícios fiscais ou financeiro-fiscais.</w:t>
      </w:r>
    </w:p>
  </w:footnote>
  <w:footnote w:id="10">
    <w:p w14:paraId="2497F60E"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HARADA, Kiyoshi, </w:t>
      </w:r>
      <w:r w:rsidRPr="000F60BD">
        <w:rPr>
          <w:rFonts w:ascii="Arial" w:hAnsi="Arial" w:cs="Arial"/>
          <w:b/>
        </w:rPr>
        <w:t>ICMS</w:t>
      </w:r>
      <w:r w:rsidRPr="000F60BD">
        <w:rPr>
          <w:rFonts w:ascii="Arial" w:hAnsi="Arial" w:cs="Arial"/>
        </w:rPr>
        <w:t>: doutrina e prática, p. 201 e 203/204.</w:t>
      </w:r>
    </w:p>
  </w:footnote>
  <w:footnote w:id="11">
    <w:p w14:paraId="7B03EEA9" w14:textId="6E52572D" w:rsidR="003A317A" w:rsidRPr="000F60BD" w:rsidRDefault="003A317A" w:rsidP="000F60BD">
      <w:pPr>
        <w:jc w:val="both"/>
        <w:rPr>
          <w:rFonts w:ascii="Arial" w:hAnsi="Arial" w:cs="Arial"/>
          <w:sz w:val="20"/>
        </w:rPr>
      </w:pPr>
      <w:r w:rsidRPr="000F60BD">
        <w:rPr>
          <w:rStyle w:val="Refdenotaderodap"/>
          <w:rFonts w:ascii="Arial" w:hAnsi="Arial" w:cs="Arial"/>
          <w:sz w:val="20"/>
        </w:rPr>
        <w:footnoteRef/>
      </w:r>
      <w:r w:rsidRPr="000F60BD">
        <w:rPr>
          <w:rFonts w:ascii="Arial" w:hAnsi="Arial" w:cs="Arial"/>
          <w:sz w:val="20"/>
        </w:rPr>
        <w:t xml:space="preserve"> CONSTITUCIONAL. TRIBUTÁRIO. </w:t>
      </w:r>
      <w:r w:rsidRPr="000F60BD">
        <w:rPr>
          <w:rFonts w:ascii="Arial" w:hAnsi="Arial" w:cs="Arial"/>
          <w:b/>
          <w:sz w:val="20"/>
          <w:u w:val="single"/>
        </w:rPr>
        <w:t>ICMS. GUERRA FISCAL. CUMULATIVIDADE. ESTORNO DE CRÉDITOS POR INICIATIVA UNILATERAL DE ENTE FEDERADO</w:t>
      </w:r>
      <w:r w:rsidRPr="000F60BD">
        <w:rPr>
          <w:rFonts w:ascii="Arial" w:hAnsi="Arial" w:cs="Arial"/>
          <w:b/>
          <w:sz w:val="20"/>
        </w:rPr>
        <w:t>. ESTORNO BASEADO EM PRETENSA CONCESSÃO DE BENEFÍCIO FISCAL INVÁLIDO POR OUTRO ENTE FEDERADO. ARTS. 1º, 2º, 3º, 102 e 155, § 2º, I DA CONSTITUIÇÃO FEDERAL. ART. 8º DA LC 24/1975</w:t>
      </w:r>
      <w:r w:rsidRPr="000F60BD">
        <w:rPr>
          <w:rFonts w:ascii="Arial" w:hAnsi="Arial" w:cs="Arial"/>
          <w:sz w:val="20"/>
        </w:rPr>
        <w:t>. MANIFESTAÇÃO PELA EXISTÊNCIA DE REPERCUSSÃO GERAL DA MATÉRIA. (STF, RE 628.075, Rel. Min. Joaquim Barbosa, j. em 13/10/2011, grifou-se).</w:t>
      </w:r>
    </w:p>
  </w:footnote>
  <w:footnote w:id="12">
    <w:p w14:paraId="759F91C0" w14:textId="69ECFB79"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w:t>
      </w:r>
      <w:r w:rsidRPr="000F60BD">
        <w:rPr>
          <w:rFonts w:ascii="Arial" w:hAnsi="Arial" w:cs="Arial"/>
          <w:b/>
        </w:rPr>
        <w:t>Estados em calamidade financeira são os que mais 'maquiam' as contas</w:t>
      </w:r>
      <w:r w:rsidRPr="000F60BD">
        <w:rPr>
          <w:rFonts w:ascii="Arial" w:hAnsi="Arial" w:cs="Arial"/>
        </w:rPr>
        <w:t>. Disponível em: &lt;https://www.em.com.br/app/noticia/economia/2019/01/30/internas_economia,1026071/estados-em-calamidade-financeira-sao-os-que-mais-maquiam-as-contas.shtml&gt;. Acesso em 22 jul. 2019.</w:t>
      </w:r>
    </w:p>
  </w:footnote>
  <w:footnote w:id="13">
    <w:p w14:paraId="4DE23855" w14:textId="01D8D32D"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w:t>
      </w:r>
      <w:r w:rsidRPr="000F60BD">
        <w:rPr>
          <w:rFonts w:ascii="Arial" w:hAnsi="Arial" w:cs="Arial"/>
          <w:b/>
          <w:u w:val="single"/>
        </w:rPr>
        <w:t>Recomendações</w:t>
      </w:r>
      <w:r w:rsidRPr="000F60BD">
        <w:rPr>
          <w:rFonts w:ascii="Arial" w:hAnsi="Arial" w:cs="Arial"/>
        </w:rPr>
        <w:t>: 15) Disponibilizar, no portal da transparência, todos os dados do Documento Único da Execução Orçamentária e Financeira – DUEOF, especialmente seu histórico; os dados sobre os imóveis do Estado de Goiás; os índices econômicos do Estado; o acompanhamento da receita em tempo real; os benefícios fiscais e econômicos por tipo de setor; e os benefícios assistenciais concedidos diretamente ou indiretamente, cujos recursos são oriundos do Tesouro Estadual; [...]  21) Elaborar demonstrativo que evidencie o montante dos benefícios fiscais concedidos em cada exercício e as respectivas ações adotadas para compensar tais renúncias, em conformidade com o inciso II, do art. 5º, e o artigo 14, da LRF.</w:t>
      </w:r>
    </w:p>
    <w:p w14:paraId="7A97EDD1" w14:textId="77777777" w:rsidR="003A317A" w:rsidRPr="000F60BD" w:rsidRDefault="003A317A" w:rsidP="000F60BD">
      <w:pPr>
        <w:pStyle w:val="Textodenotaderodap"/>
        <w:jc w:val="both"/>
        <w:rPr>
          <w:rFonts w:ascii="Arial" w:hAnsi="Arial" w:cs="Arial"/>
        </w:rPr>
      </w:pPr>
    </w:p>
    <w:p w14:paraId="318B5C12" w14:textId="77777777" w:rsidR="003A317A" w:rsidRPr="000F60BD" w:rsidRDefault="003A317A" w:rsidP="000F60BD">
      <w:pPr>
        <w:pStyle w:val="Textodenotaderodap"/>
        <w:jc w:val="both"/>
        <w:rPr>
          <w:rFonts w:ascii="Arial" w:hAnsi="Arial" w:cs="Arial"/>
        </w:rPr>
      </w:pPr>
    </w:p>
  </w:footnote>
  <w:footnote w:id="14">
    <w:p w14:paraId="4514B7CD" w14:textId="49B1E1FE"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&lt;http://www.transparencia.go.gov.br/portaldatransparencia/demonstrativos-fiscais/beneficios-fiscais&gt;. Acesso em 27 de fevereiro de 2020.</w:t>
      </w:r>
    </w:p>
  </w:footnote>
  <w:footnote w:id="15">
    <w:p w14:paraId="4D93615B" w14:textId="5FCA2D5B"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&lt;http://www.transparencia.go.gov.br/portaldatransparencia/demonstrativos-fiscais/beneficios-fiscais&gt;. Acesso em 30 jul. 2019.</w:t>
      </w:r>
    </w:p>
  </w:footnote>
  <w:footnote w:id="16">
    <w:p w14:paraId="4244EEFB" w14:textId="17C6207A"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&lt;http://www.transparencia.go.gov.br/portaldatransparencia/demonstrativos-fiscais/tare&gt;. Acesso em 30 jul. 2019.</w:t>
      </w:r>
    </w:p>
  </w:footnote>
  <w:footnote w:id="17">
    <w:p w14:paraId="1D09CB79"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&lt;http://www.transparencia.go.gov.br/portaldatransparencia/demonstrativos-fiscais/beneficios-economicos&gt;. Acesso em 30 jul. 2019.</w:t>
      </w:r>
    </w:p>
  </w:footnote>
  <w:footnote w:id="18">
    <w:p w14:paraId="12420F19" w14:textId="324D4796"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&lt;https://politica.estadao.com.br/noticias/geral,pt-aciona-justica-para-que-doria-revele-empresas-com-beneficios-fiscais,70002877569&gt;. Acesso em 31 jul. 2019.</w:t>
      </w:r>
    </w:p>
  </w:footnote>
  <w:footnote w:id="19">
    <w:p w14:paraId="26B96248" w14:textId="5B780100"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Apenas a Lei nº 12.425/1994 e os Decretos nºs 4.419/1995, 4.756/1997 e 4.989/1998 não foram contemplados pela Lei nº 20.367/2018.</w:t>
      </w:r>
    </w:p>
  </w:footnote>
  <w:footnote w:id="20">
    <w:p w14:paraId="3026299E" w14:textId="6C90C404"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 fim de assegurar esse “sigilo”</w:t>
      </w:r>
      <w:r w:rsidR="001C721C" w:rsidRPr="000F60BD">
        <w:rPr>
          <w:rFonts w:ascii="Arial" w:hAnsi="Arial" w:cs="Arial"/>
        </w:rPr>
        <w:t>, este relatório é composto de 6</w:t>
      </w:r>
      <w:r w:rsidRPr="000F60BD">
        <w:rPr>
          <w:rFonts w:ascii="Arial" w:hAnsi="Arial" w:cs="Arial"/>
        </w:rPr>
        <w:t xml:space="preserve"> (</w:t>
      </w:r>
      <w:r w:rsidR="001C721C" w:rsidRPr="000F60BD">
        <w:rPr>
          <w:rFonts w:ascii="Arial" w:hAnsi="Arial" w:cs="Arial"/>
        </w:rPr>
        <w:t>seis</w:t>
      </w:r>
      <w:r w:rsidRPr="000F60BD">
        <w:rPr>
          <w:rFonts w:ascii="Arial" w:hAnsi="Arial" w:cs="Arial"/>
        </w:rPr>
        <w:t>) anexos, denom</w:t>
      </w:r>
      <w:r w:rsidR="001C721C" w:rsidRPr="000F60BD">
        <w:rPr>
          <w:rFonts w:ascii="Arial" w:hAnsi="Arial" w:cs="Arial"/>
        </w:rPr>
        <w:t>inados Anexos I, II, III, IV, V e</w:t>
      </w:r>
      <w:r w:rsidRPr="000F60BD">
        <w:rPr>
          <w:rFonts w:ascii="Arial" w:hAnsi="Arial" w:cs="Arial"/>
        </w:rPr>
        <w:t xml:space="preserve"> VI, reservado aos órgãos de controle em caso de requisição judicial.</w:t>
      </w:r>
    </w:p>
  </w:footnote>
  <w:footnote w:id="21">
    <w:p w14:paraId="13616352" w14:textId="03E2EA7F"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STF, Tribunal Pleno, ADI 3.936/PR, Rel. Min. Rosa Weber, j. em 25/10/2019.</w:t>
      </w:r>
    </w:p>
  </w:footnote>
  <w:footnote w:id="22">
    <w:p w14:paraId="4C1F8AE8" w14:textId="7A94F46F"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STF, Tribunal Pleno, ADI 5.794/DF, Rel. Min. Edson Fachin, Rel. p/ Acórdão:  Min. Luiz Fux, j. em 29/06/2018</w:t>
      </w:r>
    </w:p>
  </w:footnote>
  <w:footnote w:id="23">
    <w:p w14:paraId="63FD1824" w14:textId="59FFB23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STF, 1ª Turma, AgRgRE 586.560/RN, Rel. Min. Luiz Fux, j. em 04/09/2012.</w:t>
      </w:r>
    </w:p>
  </w:footnote>
  <w:footnote w:id="24">
    <w:p w14:paraId="760B054F" w14:textId="7318F6C9"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 relação de decretos foi extraída do Anexo Único da Lei nº 20.367/2018.</w:t>
      </w:r>
    </w:p>
  </w:footnote>
  <w:footnote w:id="25">
    <w:p w14:paraId="2871650E" w14:textId="7FF29CE8"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w:t>
      </w:r>
      <w:bookmarkStart w:id="43" w:name="A42"/>
      <w:r w:rsidRPr="000F60BD">
        <w:rPr>
          <w:rFonts w:ascii="Arial" w:hAnsi="Arial" w:cs="Arial"/>
          <w:b/>
        </w:rPr>
        <w:t xml:space="preserve">Art. 42. </w:t>
      </w:r>
      <w:r w:rsidRPr="000F60BD">
        <w:rPr>
          <w:rFonts w:ascii="Arial" w:hAnsi="Arial" w:cs="Arial"/>
        </w:rPr>
        <w:t>Para os efeitos da legislação tributária, equipara-se a benefício fiscal e sujeita-se às exigências para este requeridas, a concessão, sob qualquer forma, condição ou denominação, de quaisquer outros incentivos, benefícios ou favores, dos quais resulte, direta ou indiretamente, dilação do prazo para pagamento do ICMS ou exoneração, dispensa, redução, eliminação, total ou parcial, do ônus do imposto devido na respectiva operação ou prestação, mesmo que o cumprimento da obrigação vincule-se à realização de operação ou prestação posterior ou, ainda, a qualquer outro evento futuro.</w:t>
      </w:r>
      <w:bookmarkEnd w:id="43"/>
    </w:p>
  </w:footnote>
  <w:footnote w:id="26">
    <w:p w14:paraId="1D2C209B" w14:textId="2A28AEF9"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COSTA, Ruth Barros Pettersen da. A internalização dos convênios do Confaz na ordem jurídica dos Estados. In: CABRAL, Nuria Micheline M.; PINTO, Lygia Soares Pinto; SANTOS, Caroline Regina dos; SANTOS, Nivaldo dos.</w:t>
      </w:r>
      <w:r w:rsidRPr="000F60BD">
        <w:rPr>
          <w:rFonts w:ascii="Arial" w:hAnsi="Arial" w:cs="Arial"/>
          <w:b/>
        </w:rPr>
        <w:t xml:space="preserve"> Polêmicas do Direito</w:t>
      </w:r>
      <w:r w:rsidRPr="000F60BD">
        <w:rPr>
          <w:rFonts w:ascii="Arial" w:hAnsi="Arial" w:cs="Arial"/>
        </w:rPr>
        <w:t>. Goiânia/GO: Espaço Acadêmico, 2018, p. 76-.101.</w:t>
      </w:r>
    </w:p>
  </w:footnote>
  <w:footnote w:id="27">
    <w:p w14:paraId="65913CF2" w14:textId="1105DA1D"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STF, 1ª Turma, AgRgRE 630.705/MT, Rel. Min. Dias Toffoli, j. em 11/12/2012.</w:t>
      </w:r>
    </w:p>
  </w:footnote>
  <w:footnote w:id="28">
    <w:p w14:paraId="1058E6B4" w14:textId="3F963630"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O teor desse ofício e da recomendação que o instrui encontra-se arquivado junto à Assessoria Técnico-Jurídica da Presidência (ATJ) da Assembleia Legislativa, que o comunicou à Seção de Controle Externo da Procuradoria desta Casa de Leis para ciência.</w:t>
      </w:r>
    </w:p>
  </w:footnote>
  <w:footnote w:id="29">
    <w:p w14:paraId="21B3C01B" w14:textId="406936B6"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Ressalva-se, apenas, a existência das Leis Complementares federais nºs 24/1975 e 101/2000, mas que nem de longe tratam de todos os problemas relacionados à concessão e fruição de incentivos fiscais de ICMS.</w:t>
      </w:r>
    </w:p>
  </w:footnote>
  <w:footnote w:id="30">
    <w:p w14:paraId="57C2C26F" w14:textId="15206E08"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Registre-se que, coincidência ou não, após pedido formalizado por esta CPI, no primeiro semestre de 2019, acerca a existência de incentivos fiscais que poderiam ser cumulados pelo mesmo contribuinte, o Chefe do Poder Executivo publicou, em 1º/11/2019, com vigência a partir de 1º/12/2019, o Decreto nº 9.547, que incluiu os §§ 6º-B a 6º-E, que veda a fruição simultânea de incentivos fiscais de redução de base de cálculo e crédito outorgado com Fomentar/Produzir e Crédito Especial para Investimento.</w:t>
      </w:r>
    </w:p>
  </w:footnote>
  <w:footnote w:id="31">
    <w:p w14:paraId="26557FB0"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REZENDE SILVA, Alexandre. </w:t>
      </w:r>
      <w:r w:rsidRPr="000F60BD">
        <w:rPr>
          <w:rFonts w:ascii="Arial" w:hAnsi="Arial" w:cs="Arial"/>
          <w:b/>
        </w:rPr>
        <w:t>O programa Produzir – Goiás e o impacto na promoção de emprego, renda e arrecadação local</w:t>
      </w:r>
      <w:r w:rsidRPr="000F60BD">
        <w:rPr>
          <w:rFonts w:ascii="Arial" w:hAnsi="Arial" w:cs="Arial"/>
        </w:rPr>
        <w:t>.</w:t>
      </w:r>
    </w:p>
  </w:footnote>
  <w:footnote w:id="32">
    <w:p w14:paraId="399C206B" w14:textId="0A272DF0"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Número apurado pela CGE tendo como data de referência dezembro/2018, a partir de sua base de dados e da documentação recebida por esta CPI. Esclareça-se, porém, que esse número é extremamente volátil, tendo em vista principalmente os novos ingressos de empresas nos programas periodicamente, e ao que parece nem a própria Secretaria de Indústria e Comércio tem o controle exato e em tempo real de quantas empresas estão cadastradas nos programas, além de divergência com a base de dados da Secretaria de Estado da Economia nesse tocante.</w:t>
      </w:r>
    </w:p>
  </w:footnote>
  <w:footnote w:id="33">
    <w:p w14:paraId="39105C2E"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02/2018, fls. 18 e 93.</w:t>
      </w:r>
    </w:p>
  </w:footnote>
  <w:footnote w:id="34">
    <w:p w14:paraId="43AD2801"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02/2018, fls. 28.</w:t>
      </w:r>
    </w:p>
  </w:footnote>
  <w:footnote w:id="35">
    <w:p w14:paraId="64E4794A"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Apelação Cível em Mandado de Segurança n. 441770-40.2011.8.09.0051. Grifamos. No mesmo sentido: 409527-48.2008.8.09.0051; 246618-25.2009.8.09.0051.</w:t>
      </w:r>
    </w:p>
  </w:footnote>
  <w:footnote w:id="36">
    <w:p w14:paraId="2C0DFE4D"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STF, STA n. 823/PA. Grifamos.</w:t>
      </w:r>
    </w:p>
  </w:footnote>
  <w:footnote w:id="37">
    <w:p w14:paraId="2FE19176"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TJGO, processo n. 01.00344.80.2010.8.09.0076. Grifamos.</w:t>
      </w:r>
    </w:p>
  </w:footnote>
  <w:footnote w:id="38">
    <w:p w14:paraId="7B962C43"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ANDRADE, José Maria. </w:t>
      </w:r>
      <w:r w:rsidRPr="000F60BD">
        <w:rPr>
          <w:rFonts w:ascii="Arial" w:hAnsi="Arial" w:cs="Arial"/>
          <w:b/>
        </w:rPr>
        <w:t>Benefícios financeiros e creditícios: esses ilustres desconhecidos</w:t>
      </w:r>
      <w:r w:rsidRPr="000F60BD">
        <w:rPr>
          <w:rFonts w:ascii="Arial" w:hAnsi="Arial" w:cs="Arial"/>
        </w:rPr>
        <w:t xml:space="preserve">. Disponível em: </w:t>
      </w:r>
      <w:hyperlink r:id="rId1" w:history="1">
        <w:r w:rsidRPr="000F60BD">
          <w:rPr>
            <w:rStyle w:val="Hyperlink"/>
            <w:rFonts w:ascii="Arial" w:hAnsi="Arial" w:cs="Arial"/>
          </w:rPr>
          <w:t>https://www.conjur.com.br/2016-ago-14/estado-economia-beneficios-financeiros-crediticios-ilustres-desconhecidos</w:t>
        </w:r>
      </w:hyperlink>
      <w:r w:rsidRPr="000F60BD">
        <w:rPr>
          <w:rFonts w:ascii="Arial" w:hAnsi="Arial" w:cs="Arial"/>
        </w:rPr>
        <w:t>. Consulta em 13/01/2020.</w:t>
      </w:r>
    </w:p>
  </w:footnote>
  <w:footnote w:id="39">
    <w:p w14:paraId="4B2D02B8"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Manual de Contabilidade Aplicada ao Setor Público, 8ª Edição, p. 61. Grifamos.</w:t>
      </w:r>
    </w:p>
  </w:footnote>
  <w:footnote w:id="40">
    <w:p w14:paraId="18CE3AC4"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Manual de Contabilidade Aplicada ao Setor Público, 8ª Edição, p. 87. Grifamos.</w:t>
      </w:r>
    </w:p>
  </w:footnote>
  <w:footnote w:id="41">
    <w:p w14:paraId="3AB13696"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Secretaria de Estado da Fazenda – Goiás, Nota Técnica n. 01/2017, f. 15. Grifamos.</w:t>
      </w:r>
    </w:p>
  </w:footnote>
  <w:footnote w:id="42">
    <w:p w14:paraId="3B87F9F9"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02/2018, fls. 18 e 93.</w:t>
      </w:r>
    </w:p>
  </w:footnote>
  <w:footnote w:id="43">
    <w:p w14:paraId="6A8DAB5B"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30. Grifamos.</w:t>
      </w:r>
    </w:p>
  </w:footnote>
  <w:footnote w:id="44">
    <w:p w14:paraId="57F3C375"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45-48. Grifamos.</w:t>
      </w:r>
    </w:p>
  </w:footnote>
  <w:footnote w:id="45">
    <w:p w14:paraId="3D9E53F1"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50. Grifamos.</w:t>
      </w:r>
    </w:p>
  </w:footnote>
  <w:footnote w:id="46">
    <w:p w14:paraId="7E0728BA"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51-52. Grifamos.</w:t>
      </w:r>
    </w:p>
  </w:footnote>
  <w:footnote w:id="47">
    <w:p w14:paraId="73B26226"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55-56.</w:t>
      </w:r>
    </w:p>
  </w:footnote>
  <w:footnote w:id="48">
    <w:p w14:paraId="1D6C524E"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57.</w:t>
      </w:r>
    </w:p>
  </w:footnote>
  <w:footnote w:id="49">
    <w:p w14:paraId="5F9E2F9C"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57-59.</w:t>
      </w:r>
    </w:p>
  </w:footnote>
  <w:footnote w:id="50">
    <w:p w14:paraId="52955321"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61-57.</w:t>
      </w:r>
    </w:p>
  </w:footnote>
  <w:footnote w:id="51">
    <w:p w14:paraId="45A30290"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71. Grifamos.</w:t>
      </w:r>
    </w:p>
  </w:footnote>
  <w:footnote w:id="52">
    <w:p w14:paraId="19A62588"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76-77. Grifamos.</w:t>
      </w:r>
    </w:p>
  </w:footnote>
  <w:footnote w:id="53">
    <w:p w14:paraId="15FA965E"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78. Grifamos.</w:t>
      </w:r>
    </w:p>
  </w:footnote>
  <w:footnote w:id="54">
    <w:p w14:paraId="49676452"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80.</w:t>
      </w:r>
    </w:p>
  </w:footnote>
  <w:footnote w:id="55">
    <w:p w14:paraId="1E808544"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94-95.</w:t>
      </w:r>
    </w:p>
  </w:footnote>
  <w:footnote w:id="56">
    <w:p w14:paraId="4385559F"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n. 11/2018 GEAG-CGE, fl. 6-9.</w:t>
      </w:r>
    </w:p>
  </w:footnote>
  <w:footnote w:id="57">
    <w:p w14:paraId="6D329F62"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Tomaremos os conceitos como sinônimos, por não ser necessária a distinção para os fins deste trabalho.</w:t>
      </w:r>
    </w:p>
  </w:footnote>
  <w:footnote w:id="58">
    <w:p w14:paraId="4A195EA6"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n. 11/2018 GEAG-CGE, fl. 21-25.</w:t>
      </w:r>
    </w:p>
  </w:footnote>
  <w:footnote w:id="59">
    <w:p w14:paraId="21424ACC"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n. 11/2018 GEAG-CGE, fl. 26-27.</w:t>
      </w:r>
    </w:p>
    <w:p w14:paraId="073C4470" w14:textId="77777777" w:rsidR="003A317A" w:rsidRPr="000F60BD" w:rsidRDefault="003A317A" w:rsidP="000F60BD">
      <w:pPr>
        <w:pStyle w:val="Textodenotaderodap"/>
        <w:jc w:val="both"/>
        <w:rPr>
          <w:rFonts w:ascii="Arial" w:hAnsi="Arial" w:cs="Arial"/>
        </w:rPr>
      </w:pPr>
    </w:p>
  </w:footnote>
  <w:footnote w:id="60">
    <w:p w14:paraId="2E1A2560"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Informe de Auditoria n. 1/2019 – CGE/GO, fl. 2.</w:t>
      </w:r>
    </w:p>
  </w:footnote>
  <w:footnote w:id="61">
    <w:p w14:paraId="3C189F8E"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Informe de Auditoria n. 1/2019 – CGE/GO, fl. 19-20.</w:t>
      </w:r>
    </w:p>
  </w:footnote>
  <w:footnote w:id="62">
    <w:p w14:paraId="17ADCF99"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Informe de Auditoria n. 1/2019 – CGE/GO, fl. 20.</w:t>
      </w:r>
    </w:p>
  </w:footnote>
  <w:footnote w:id="63">
    <w:p w14:paraId="0201DF3A" w14:textId="1A8607A3"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nº 2/2018, fl. 60. Grifamos.</w:t>
      </w:r>
    </w:p>
  </w:footnote>
  <w:footnote w:id="64">
    <w:p w14:paraId="1CDD61DB" w14:textId="285B21F0"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nº 2/2018, fl. 63. Grifamos.</w:t>
      </w:r>
    </w:p>
  </w:footnote>
  <w:footnote w:id="65">
    <w:p w14:paraId="73FFC15C" w14:textId="1B5EF1CF"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nº 2/2018, fl. 71. Grifamos.</w:t>
      </w:r>
    </w:p>
  </w:footnote>
  <w:footnote w:id="66">
    <w:p w14:paraId="35A9DD1C"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76-77. Grifamos.</w:t>
      </w:r>
    </w:p>
  </w:footnote>
  <w:footnote w:id="67">
    <w:p w14:paraId="50944A38"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de Auditoria de Regularidade n. 2/2018, fl. 96. Grifamos.</w:t>
      </w:r>
    </w:p>
  </w:footnote>
  <w:footnote w:id="68">
    <w:p w14:paraId="63F03862"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n. 11/2018 GEAG-CGE, fl. 20. Grifamos. Obs.: foram suprimidos os dados que exporiam a empresa envolvida, de forma a resguardar seu sigilo fiscal.</w:t>
      </w:r>
    </w:p>
  </w:footnote>
  <w:footnote w:id="69">
    <w:p w14:paraId="11AFF2FA"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Relatório n. 11/2018 GEAG-CGE, fl. 21.</w:t>
      </w:r>
    </w:p>
  </w:footnote>
  <w:footnote w:id="70">
    <w:p w14:paraId="26091F76"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Informe de Auditoria n. 1/2019 – CGE/GO, fl. 19.</w:t>
      </w:r>
    </w:p>
  </w:footnote>
  <w:footnote w:id="71">
    <w:p w14:paraId="10F8AAF2"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Pode ocorrer os seguintes casos nesses 140 CNPJs que não passaram por auditoria de investimentos: 1) podem pertencer ao subprograma COMEX ou LOG PRODUZIR que têm benefícios concedidos via crédito outorgado e a auditoria ocorre na Secretaria de Economia; 2) as empresas tiveram auditorias anteriores a 2014.</w:t>
      </w:r>
    </w:p>
  </w:footnote>
  <w:footnote w:id="72">
    <w:p w14:paraId="7501171A" w14:textId="0C3A8C93"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 tabela que se segue apresenta dados reais, porém codificadas por empresas, as quais são reveladas no Anexo I deste relatório para fins de acesso pelos órgãos de controle.</w:t>
      </w:r>
    </w:p>
  </w:footnote>
  <w:footnote w:id="73">
    <w:p w14:paraId="2EC2CEF8" w14:textId="77777777" w:rsidR="003A317A" w:rsidRPr="000F60BD" w:rsidRDefault="003A317A" w:rsidP="000F60BD">
      <w:pPr>
        <w:jc w:val="both"/>
        <w:rPr>
          <w:rFonts w:ascii="Arial" w:hAnsi="Arial" w:cs="Arial"/>
          <w:sz w:val="20"/>
        </w:rPr>
      </w:pPr>
      <w:r w:rsidRPr="000F60BD">
        <w:rPr>
          <w:rStyle w:val="Refdenotaderodap"/>
          <w:rFonts w:ascii="Arial" w:hAnsi="Arial" w:cs="Arial"/>
          <w:sz w:val="20"/>
        </w:rPr>
        <w:footnoteRef/>
      </w:r>
      <w:r w:rsidRPr="000F60BD">
        <w:rPr>
          <w:rFonts w:ascii="Arial" w:hAnsi="Arial" w:cs="Arial"/>
          <w:sz w:val="20"/>
        </w:rPr>
        <w:t xml:space="preserve"> Nota-se que foram editadas muitas legislações com medidas facilitadoras para as empresas que se encontravam em débito com o Programa, contudo, o estranho é que normalmente foi lei, com exceção do decreto de 2018. Tais legislações são, por exemplo, as leis n</w:t>
      </w:r>
      <w:r w:rsidRPr="000F60BD">
        <w:rPr>
          <w:rFonts w:ascii="Arial" w:hAnsi="Arial" w:cs="Arial"/>
          <w:sz w:val="20"/>
          <w:vertAlign w:val="superscript"/>
        </w:rPr>
        <w:t>os</w:t>
      </w:r>
      <w:r w:rsidRPr="000F60BD">
        <w:rPr>
          <w:rFonts w:ascii="Arial" w:hAnsi="Arial" w:cs="Arial"/>
          <w:sz w:val="20"/>
        </w:rPr>
        <w:t xml:space="preserve"> 16.462/08, 16.846/09, 17.152/10, 17.758/12, 17.664/12, 17.817/12, 18.657/14 e 19.738/17, bem como o Decreto nº 9.179/18. </w:t>
      </w:r>
    </w:p>
    <w:p w14:paraId="028ADDC2" w14:textId="77777777" w:rsidR="003A317A" w:rsidRPr="000F60BD" w:rsidRDefault="003A317A" w:rsidP="000F60BD">
      <w:pPr>
        <w:jc w:val="both"/>
        <w:rPr>
          <w:rFonts w:ascii="Arial" w:hAnsi="Arial" w:cs="Arial"/>
          <w:sz w:val="20"/>
        </w:rPr>
      </w:pPr>
      <w:r w:rsidRPr="000F60BD">
        <w:rPr>
          <w:rFonts w:ascii="Arial" w:hAnsi="Arial" w:cs="Arial"/>
          <w:sz w:val="20"/>
        </w:rPr>
        <w:t xml:space="preserve">Exemplo: no final do exercício de 2008, foi editada a Lei nº 16.462, que possibilitou que empresas que não realizaram o pagamento da parte não incentivada do benefício (regra geral, 27% do imposto devido) ou efetuaram o pagamento fora do prazo legal tivessem reconhecida a parcela incentivada do Programa (regra geral, 73%) utilizada até 31 de julho de 2008. Para tanto, o pagamento deveria ser realizado até 31 de março de 2009 ou dividido em 24 parcelas. No decorrer dos exercícios, foram feitas alterações na lei, que permitiram o pagamento em datas posteriores e em número maior de parcelas, conforme a seguir. </w:t>
      </w:r>
    </w:p>
    <w:tbl>
      <w:tblPr>
        <w:tblStyle w:val="Tabelacomgrade"/>
        <w:tblW w:w="0" w:type="auto"/>
        <w:tblBorders>
          <w:top w:val="none" w:sz="0" w:space="0" w:color="auto"/>
          <w:left w:val="none" w:sz="0" w:space="0" w:color="auto"/>
          <w:bottom w:val="none" w:sz="0" w:space="0" w:color="auto"/>
          <w:right w:val="none" w:sz="0" w:space="0" w:color="auto"/>
          <w:insideH w:val="single" w:sz="4" w:space="0" w:color="000000" w:themeColor="text1"/>
          <w:insideV w:val="single" w:sz="4" w:space="0" w:color="000000" w:themeColor="text1"/>
        </w:tblBorders>
        <w:tblLook w:val="04A0" w:firstRow="1" w:lastRow="0" w:firstColumn="1" w:lastColumn="0" w:noHBand="0" w:noVBand="1"/>
      </w:tblPr>
      <w:tblGrid>
        <w:gridCol w:w="3142"/>
        <w:gridCol w:w="2789"/>
        <w:gridCol w:w="2789"/>
      </w:tblGrid>
      <w:tr w:rsidR="003A317A" w:rsidRPr="000F60BD" w14:paraId="141734F5" w14:textId="77777777" w:rsidTr="00F305AA">
        <w:tc>
          <w:tcPr>
            <w:tcW w:w="8720" w:type="dxa"/>
            <w:gridSpan w:val="3"/>
            <w:vAlign w:val="center"/>
          </w:tcPr>
          <w:p w14:paraId="246A10E7" w14:textId="77777777" w:rsidR="003A317A" w:rsidRPr="000F60BD" w:rsidRDefault="003A317A" w:rsidP="000F60BD">
            <w:pPr>
              <w:jc w:val="both"/>
              <w:rPr>
                <w:rFonts w:ascii="Arial" w:hAnsi="Arial" w:cs="Arial"/>
                <w:b/>
                <w:sz w:val="20"/>
              </w:rPr>
            </w:pPr>
            <w:r w:rsidRPr="000F60BD">
              <w:rPr>
                <w:rFonts w:ascii="Arial" w:hAnsi="Arial" w:cs="Arial"/>
                <w:b/>
                <w:sz w:val="20"/>
              </w:rPr>
              <w:t>Demonstrativo das datas para pagamento único e número de parcelas</w:t>
            </w:r>
          </w:p>
        </w:tc>
      </w:tr>
      <w:tr w:rsidR="003A317A" w:rsidRPr="000F60BD" w14:paraId="6345F6B6" w14:textId="77777777" w:rsidTr="00F305AA">
        <w:trPr>
          <w:trHeight w:val="57"/>
        </w:trPr>
        <w:tc>
          <w:tcPr>
            <w:tcW w:w="3142" w:type="dxa"/>
            <w:vAlign w:val="center"/>
          </w:tcPr>
          <w:p w14:paraId="5957469C" w14:textId="77777777" w:rsidR="003A317A" w:rsidRPr="000F60BD" w:rsidRDefault="003A317A" w:rsidP="000F60BD">
            <w:pPr>
              <w:jc w:val="both"/>
              <w:rPr>
                <w:rFonts w:ascii="Arial" w:hAnsi="Arial" w:cs="Arial"/>
                <w:b/>
                <w:sz w:val="20"/>
              </w:rPr>
            </w:pPr>
            <w:r w:rsidRPr="000F60BD">
              <w:rPr>
                <w:rFonts w:ascii="Arial" w:hAnsi="Arial" w:cs="Arial"/>
                <w:b/>
                <w:sz w:val="20"/>
              </w:rPr>
              <w:t>Legislação</w:t>
            </w:r>
          </w:p>
        </w:tc>
        <w:tc>
          <w:tcPr>
            <w:tcW w:w="2789" w:type="dxa"/>
            <w:vAlign w:val="center"/>
          </w:tcPr>
          <w:p w14:paraId="043CC3F0" w14:textId="77777777" w:rsidR="003A317A" w:rsidRPr="000F60BD" w:rsidRDefault="003A317A" w:rsidP="000F60BD">
            <w:pPr>
              <w:jc w:val="both"/>
              <w:rPr>
                <w:rFonts w:ascii="Arial" w:hAnsi="Arial" w:cs="Arial"/>
                <w:b/>
                <w:sz w:val="20"/>
              </w:rPr>
            </w:pPr>
            <w:r w:rsidRPr="000F60BD">
              <w:rPr>
                <w:rFonts w:ascii="Arial" w:hAnsi="Arial" w:cs="Arial"/>
                <w:b/>
                <w:sz w:val="20"/>
              </w:rPr>
              <w:t>Data para pagamento único</w:t>
            </w:r>
          </w:p>
        </w:tc>
        <w:tc>
          <w:tcPr>
            <w:tcW w:w="2789" w:type="dxa"/>
            <w:vAlign w:val="center"/>
          </w:tcPr>
          <w:p w14:paraId="2A358BEE" w14:textId="77777777" w:rsidR="003A317A" w:rsidRPr="000F60BD" w:rsidRDefault="003A317A" w:rsidP="000F60BD">
            <w:pPr>
              <w:jc w:val="both"/>
              <w:rPr>
                <w:rFonts w:ascii="Arial" w:hAnsi="Arial" w:cs="Arial"/>
                <w:b/>
                <w:sz w:val="20"/>
              </w:rPr>
            </w:pPr>
            <w:r w:rsidRPr="000F60BD">
              <w:rPr>
                <w:rFonts w:ascii="Arial" w:hAnsi="Arial" w:cs="Arial"/>
                <w:b/>
                <w:sz w:val="20"/>
              </w:rPr>
              <w:t>Quantitativo de Parcelas</w:t>
            </w:r>
          </w:p>
        </w:tc>
      </w:tr>
      <w:tr w:rsidR="003A317A" w:rsidRPr="000F60BD" w14:paraId="4663A592" w14:textId="77777777" w:rsidTr="00F305AA">
        <w:trPr>
          <w:trHeight w:val="57"/>
        </w:trPr>
        <w:tc>
          <w:tcPr>
            <w:tcW w:w="3142" w:type="dxa"/>
            <w:vAlign w:val="center"/>
          </w:tcPr>
          <w:p w14:paraId="0E168860" w14:textId="77777777" w:rsidR="003A317A" w:rsidRPr="000F60BD" w:rsidRDefault="003A317A" w:rsidP="000F60BD">
            <w:pPr>
              <w:jc w:val="both"/>
              <w:rPr>
                <w:rFonts w:ascii="Arial" w:hAnsi="Arial" w:cs="Arial"/>
                <w:sz w:val="20"/>
              </w:rPr>
            </w:pPr>
            <w:r w:rsidRPr="000F60BD">
              <w:rPr>
                <w:rFonts w:ascii="Arial" w:hAnsi="Arial" w:cs="Arial"/>
                <w:sz w:val="20"/>
              </w:rPr>
              <w:t>Lei nº 16.462/08</w:t>
            </w:r>
          </w:p>
        </w:tc>
        <w:tc>
          <w:tcPr>
            <w:tcW w:w="2789" w:type="dxa"/>
            <w:vAlign w:val="center"/>
          </w:tcPr>
          <w:p w14:paraId="117A7FB4" w14:textId="77777777" w:rsidR="003A317A" w:rsidRPr="000F60BD" w:rsidRDefault="003A317A" w:rsidP="000F60BD">
            <w:pPr>
              <w:jc w:val="both"/>
              <w:rPr>
                <w:rFonts w:ascii="Arial" w:hAnsi="Arial" w:cs="Arial"/>
                <w:sz w:val="20"/>
              </w:rPr>
            </w:pPr>
            <w:r w:rsidRPr="000F60BD">
              <w:rPr>
                <w:rFonts w:ascii="Arial" w:hAnsi="Arial" w:cs="Arial"/>
                <w:sz w:val="20"/>
              </w:rPr>
              <w:t>31 de março de 2009</w:t>
            </w:r>
          </w:p>
        </w:tc>
        <w:tc>
          <w:tcPr>
            <w:tcW w:w="2789" w:type="dxa"/>
            <w:vAlign w:val="center"/>
          </w:tcPr>
          <w:p w14:paraId="2381D20B" w14:textId="77777777" w:rsidR="003A317A" w:rsidRPr="000F60BD" w:rsidRDefault="003A317A" w:rsidP="000F60BD">
            <w:pPr>
              <w:jc w:val="both"/>
              <w:rPr>
                <w:rFonts w:ascii="Arial" w:hAnsi="Arial" w:cs="Arial"/>
                <w:sz w:val="20"/>
              </w:rPr>
            </w:pPr>
            <w:r w:rsidRPr="000F60BD">
              <w:rPr>
                <w:rFonts w:ascii="Arial" w:hAnsi="Arial" w:cs="Arial"/>
                <w:sz w:val="20"/>
              </w:rPr>
              <w:t>24</w:t>
            </w:r>
          </w:p>
        </w:tc>
      </w:tr>
      <w:tr w:rsidR="003A317A" w:rsidRPr="000F60BD" w14:paraId="6BACE1AF" w14:textId="77777777" w:rsidTr="00F305AA">
        <w:trPr>
          <w:trHeight w:val="57"/>
        </w:trPr>
        <w:tc>
          <w:tcPr>
            <w:tcW w:w="3142" w:type="dxa"/>
            <w:vAlign w:val="center"/>
          </w:tcPr>
          <w:p w14:paraId="77D3A701" w14:textId="77777777" w:rsidR="003A317A" w:rsidRPr="000F60BD" w:rsidRDefault="003A317A" w:rsidP="000F60BD">
            <w:pPr>
              <w:jc w:val="both"/>
              <w:rPr>
                <w:rFonts w:ascii="Arial" w:hAnsi="Arial" w:cs="Arial"/>
                <w:sz w:val="20"/>
              </w:rPr>
            </w:pPr>
            <w:r w:rsidRPr="000F60BD">
              <w:rPr>
                <w:rFonts w:ascii="Arial" w:hAnsi="Arial" w:cs="Arial"/>
                <w:sz w:val="20"/>
              </w:rPr>
              <w:t>Lei nº 16.846/09</w:t>
            </w:r>
          </w:p>
        </w:tc>
        <w:tc>
          <w:tcPr>
            <w:tcW w:w="2789" w:type="dxa"/>
            <w:vAlign w:val="center"/>
          </w:tcPr>
          <w:p w14:paraId="0DBAD0D2" w14:textId="77777777" w:rsidR="003A317A" w:rsidRPr="000F60BD" w:rsidRDefault="003A317A" w:rsidP="000F60BD">
            <w:pPr>
              <w:jc w:val="both"/>
              <w:rPr>
                <w:rFonts w:ascii="Arial" w:hAnsi="Arial" w:cs="Arial"/>
                <w:sz w:val="20"/>
              </w:rPr>
            </w:pPr>
            <w:r w:rsidRPr="000F60BD">
              <w:rPr>
                <w:rFonts w:ascii="Arial" w:hAnsi="Arial" w:cs="Arial"/>
                <w:sz w:val="20"/>
              </w:rPr>
              <w:t>30 de dezembro de 2009</w:t>
            </w:r>
          </w:p>
        </w:tc>
        <w:tc>
          <w:tcPr>
            <w:tcW w:w="2789" w:type="dxa"/>
            <w:vAlign w:val="center"/>
          </w:tcPr>
          <w:p w14:paraId="52E9BAB7" w14:textId="77777777" w:rsidR="003A317A" w:rsidRPr="000F60BD" w:rsidRDefault="003A317A" w:rsidP="000F60BD">
            <w:pPr>
              <w:jc w:val="both"/>
              <w:rPr>
                <w:rFonts w:ascii="Arial" w:hAnsi="Arial" w:cs="Arial"/>
                <w:sz w:val="20"/>
              </w:rPr>
            </w:pPr>
            <w:r w:rsidRPr="000F60BD">
              <w:rPr>
                <w:rFonts w:ascii="Arial" w:hAnsi="Arial" w:cs="Arial"/>
                <w:sz w:val="20"/>
              </w:rPr>
              <w:t>60</w:t>
            </w:r>
          </w:p>
        </w:tc>
      </w:tr>
      <w:tr w:rsidR="003A317A" w:rsidRPr="000F60BD" w14:paraId="21897AA9" w14:textId="77777777" w:rsidTr="00F305AA">
        <w:trPr>
          <w:trHeight w:val="57"/>
        </w:trPr>
        <w:tc>
          <w:tcPr>
            <w:tcW w:w="3142" w:type="dxa"/>
            <w:tcBorders>
              <w:bottom w:val="single" w:sz="4" w:space="0" w:color="000000" w:themeColor="text1"/>
            </w:tcBorders>
            <w:vAlign w:val="center"/>
          </w:tcPr>
          <w:p w14:paraId="625AE34B" w14:textId="77777777" w:rsidR="003A317A" w:rsidRPr="000F60BD" w:rsidRDefault="003A317A" w:rsidP="000F60BD">
            <w:pPr>
              <w:jc w:val="both"/>
              <w:rPr>
                <w:rFonts w:ascii="Arial" w:hAnsi="Arial" w:cs="Arial"/>
                <w:sz w:val="20"/>
              </w:rPr>
            </w:pPr>
            <w:r w:rsidRPr="000F60BD">
              <w:rPr>
                <w:rFonts w:ascii="Arial" w:hAnsi="Arial" w:cs="Arial"/>
                <w:sz w:val="20"/>
              </w:rPr>
              <w:t>Lei nº 17.152/10</w:t>
            </w:r>
          </w:p>
        </w:tc>
        <w:tc>
          <w:tcPr>
            <w:tcW w:w="2789" w:type="dxa"/>
            <w:tcBorders>
              <w:bottom w:val="single" w:sz="4" w:space="0" w:color="000000" w:themeColor="text1"/>
            </w:tcBorders>
            <w:vAlign w:val="center"/>
          </w:tcPr>
          <w:p w14:paraId="53CEA3AA" w14:textId="77777777" w:rsidR="003A317A" w:rsidRPr="000F60BD" w:rsidRDefault="003A317A" w:rsidP="000F60BD">
            <w:pPr>
              <w:jc w:val="both"/>
              <w:rPr>
                <w:rFonts w:ascii="Arial" w:hAnsi="Arial" w:cs="Arial"/>
                <w:sz w:val="20"/>
              </w:rPr>
            </w:pPr>
            <w:r w:rsidRPr="000F60BD">
              <w:rPr>
                <w:rFonts w:ascii="Arial" w:hAnsi="Arial" w:cs="Arial"/>
                <w:sz w:val="20"/>
              </w:rPr>
              <w:t>30 de novembro de 2010</w:t>
            </w:r>
          </w:p>
        </w:tc>
        <w:tc>
          <w:tcPr>
            <w:tcW w:w="2789" w:type="dxa"/>
            <w:tcBorders>
              <w:bottom w:val="single" w:sz="4" w:space="0" w:color="000000" w:themeColor="text1"/>
            </w:tcBorders>
            <w:vAlign w:val="center"/>
          </w:tcPr>
          <w:p w14:paraId="39698E6B" w14:textId="77777777" w:rsidR="003A317A" w:rsidRPr="000F60BD" w:rsidRDefault="003A317A" w:rsidP="000F60BD">
            <w:pPr>
              <w:jc w:val="both"/>
              <w:rPr>
                <w:rFonts w:ascii="Arial" w:hAnsi="Arial" w:cs="Arial"/>
                <w:sz w:val="20"/>
              </w:rPr>
            </w:pPr>
            <w:r w:rsidRPr="000F60BD">
              <w:rPr>
                <w:rFonts w:ascii="Arial" w:hAnsi="Arial" w:cs="Arial"/>
                <w:sz w:val="20"/>
              </w:rPr>
              <w:t>60</w:t>
            </w:r>
          </w:p>
        </w:tc>
      </w:tr>
      <w:tr w:rsidR="003A317A" w:rsidRPr="000F60BD" w14:paraId="7F36F506" w14:textId="77777777" w:rsidTr="00F305AA">
        <w:trPr>
          <w:trHeight w:val="57"/>
        </w:trPr>
        <w:tc>
          <w:tcPr>
            <w:tcW w:w="3142" w:type="dxa"/>
            <w:tcBorders>
              <w:top w:val="single" w:sz="4" w:space="0" w:color="000000" w:themeColor="text1"/>
              <w:bottom w:val="single" w:sz="4" w:space="0" w:color="000000" w:themeColor="text1"/>
            </w:tcBorders>
            <w:vAlign w:val="center"/>
          </w:tcPr>
          <w:p w14:paraId="32336C6D" w14:textId="77777777" w:rsidR="003A317A" w:rsidRPr="000F60BD" w:rsidRDefault="003A317A" w:rsidP="000F60BD">
            <w:pPr>
              <w:jc w:val="both"/>
              <w:rPr>
                <w:rFonts w:ascii="Arial" w:hAnsi="Arial" w:cs="Arial"/>
                <w:sz w:val="20"/>
              </w:rPr>
            </w:pPr>
            <w:r w:rsidRPr="000F60BD">
              <w:rPr>
                <w:rFonts w:ascii="Arial" w:hAnsi="Arial" w:cs="Arial"/>
                <w:sz w:val="20"/>
              </w:rPr>
              <w:t>Lei nº 17.758/12</w:t>
            </w:r>
          </w:p>
        </w:tc>
        <w:tc>
          <w:tcPr>
            <w:tcW w:w="2789" w:type="dxa"/>
            <w:tcBorders>
              <w:top w:val="single" w:sz="4" w:space="0" w:color="000000" w:themeColor="text1"/>
              <w:bottom w:val="single" w:sz="4" w:space="0" w:color="000000" w:themeColor="text1"/>
            </w:tcBorders>
            <w:vAlign w:val="center"/>
          </w:tcPr>
          <w:p w14:paraId="79D372ED" w14:textId="77777777" w:rsidR="003A317A" w:rsidRPr="000F60BD" w:rsidRDefault="003A317A" w:rsidP="000F60BD">
            <w:pPr>
              <w:jc w:val="both"/>
              <w:rPr>
                <w:rFonts w:ascii="Arial" w:hAnsi="Arial" w:cs="Arial"/>
                <w:sz w:val="20"/>
              </w:rPr>
            </w:pPr>
            <w:r w:rsidRPr="000F60BD">
              <w:rPr>
                <w:rFonts w:ascii="Arial" w:hAnsi="Arial" w:cs="Arial"/>
                <w:sz w:val="20"/>
              </w:rPr>
              <w:t>30 de setembro de 2012</w:t>
            </w:r>
          </w:p>
        </w:tc>
        <w:tc>
          <w:tcPr>
            <w:tcW w:w="2789" w:type="dxa"/>
            <w:tcBorders>
              <w:top w:val="single" w:sz="4" w:space="0" w:color="000000" w:themeColor="text1"/>
              <w:bottom w:val="single" w:sz="4" w:space="0" w:color="000000" w:themeColor="text1"/>
            </w:tcBorders>
            <w:vAlign w:val="center"/>
          </w:tcPr>
          <w:p w14:paraId="3FECEC6D" w14:textId="77777777" w:rsidR="003A317A" w:rsidRPr="000F60BD" w:rsidRDefault="003A317A" w:rsidP="000F60BD">
            <w:pPr>
              <w:jc w:val="both"/>
              <w:rPr>
                <w:rFonts w:ascii="Arial" w:hAnsi="Arial" w:cs="Arial"/>
                <w:sz w:val="20"/>
              </w:rPr>
            </w:pPr>
            <w:r w:rsidRPr="000F60BD">
              <w:rPr>
                <w:rFonts w:ascii="Arial" w:hAnsi="Arial" w:cs="Arial"/>
                <w:sz w:val="20"/>
              </w:rPr>
              <w:t>60</w:t>
            </w:r>
          </w:p>
        </w:tc>
      </w:tr>
      <w:tr w:rsidR="003A317A" w:rsidRPr="000F60BD" w14:paraId="67DFF804" w14:textId="77777777" w:rsidTr="00F305AA">
        <w:trPr>
          <w:trHeight w:val="57"/>
        </w:trPr>
        <w:tc>
          <w:tcPr>
            <w:tcW w:w="3142" w:type="dxa"/>
            <w:tcBorders>
              <w:top w:val="single" w:sz="4" w:space="0" w:color="000000" w:themeColor="text1"/>
              <w:bottom w:val="single" w:sz="4" w:space="0" w:color="auto"/>
            </w:tcBorders>
            <w:vAlign w:val="center"/>
          </w:tcPr>
          <w:p w14:paraId="7A62E8CD" w14:textId="77777777" w:rsidR="003A317A" w:rsidRPr="000F60BD" w:rsidRDefault="003A317A" w:rsidP="000F60BD">
            <w:pPr>
              <w:jc w:val="both"/>
              <w:rPr>
                <w:rFonts w:ascii="Arial" w:hAnsi="Arial" w:cs="Arial"/>
                <w:sz w:val="20"/>
              </w:rPr>
            </w:pPr>
            <w:r w:rsidRPr="000F60BD">
              <w:rPr>
                <w:rFonts w:ascii="Arial" w:hAnsi="Arial" w:cs="Arial"/>
                <w:sz w:val="20"/>
              </w:rPr>
              <w:t>Lei nº 17.817/12</w:t>
            </w:r>
          </w:p>
        </w:tc>
        <w:tc>
          <w:tcPr>
            <w:tcW w:w="2789" w:type="dxa"/>
            <w:tcBorders>
              <w:top w:val="single" w:sz="4" w:space="0" w:color="000000" w:themeColor="text1"/>
              <w:bottom w:val="single" w:sz="4" w:space="0" w:color="auto"/>
            </w:tcBorders>
            <w:vAlign w:val="center"/>
          </w:tcPr>
          <w:p w14:paraId="3F8A09F7" w14:textId="77777777" w:rsidR="003A317A" w:rsidRPr="000F60BD" w:rsidRDefault="003A317A" w:rsidP="000F60BD">
            <w:pPr>
              <w:jc w:val="both"/>
              <w:rPr>
                <w:rFonts w:ascii="Arial" w:hAnsi="Arial" w:cs="Arial"/>
                <w:sz w:val="20"/>
              </w:rPr>
            </w:pPr>
            <w:r w:rsidRPr="000F60BD">
              <w:rPr>
                <w:rFonts w:ascii="Arial" w:hAnsi="Arial" w:cs="Arial"/>
                <w:sz w:val="20"/>
              </w:rPr>
              <w:t>20 de novembro de 2012</w:t>
            </w:r>
          </w:p>
        </w:tc>
        <w:tc>
          <w:tcPr>
            <w:tcW w:w="2789" w:type="dxa"/>
            <w:tcBorders>
              <w:top w:val="single" w:sz="4" w:space="0" w:color="000000" w:themeColor="text1"/>
              <w:bottom w:val="single" w:sz="4" w:space="0" w:color="auto"/>
            </w:tcBorders>
            <w:vAlign w:val="center"/>
          </w:tcPr>
          <w:p w14:paraId="2DAD2E8F" w14:textId="77777777" w:rsidR="003A317A" w:rsidRPr="000F60BD" w:rsidRDefault="003A317A" w:rsidP="000F60BD">
            <w:pPr>
              <w:jc w:val="both"/>
              <w:rPr>
                <w:rFonts w:ascii="Arial" w:hAnsi="Arial" w:cs="Arial"/>
                <w:sz w:val="20"/>
              </w:rPr>
            </w:pPr>
            <w:r w:rsidRPr="000F60BD">
              <w:rPr>
                <w:rFonts w:ascii="Arial" w:hAnsi="Arial" w:cs="Arial"/>
                <w:sz w:val="20"/>
              </w:rPr>
              <w:t>60</w:t>
            </w:r>
          </w:p>
        </w:tc>
      </w:tr>
    </w:tbl>
    <w:p w14:paraId="163AAA04" w14:textId="77777777" w:rsidR="003A317A" w:rsidRPr="000F60BD" w:rsidRDefault="003A317A" w:rsidP="000F60BD">
      <w:pPr>
        <w:ind w:hanging="142"/>
        <w:jc w:val="both"/>
        <w:rPr>
          <w:rFonts w:ascii="Arial" w:hAnsi="Arial" w:cs="Arial"/>
          <w:sz w:val="20"/>
        </w:rPr>
      </w:pPr>
    </w:p>
  </w:footnote>
  <w:footnote w:id="74">
    <w:p w14:paraId="06FF5F18" w14:textId="3B7B5C6A"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HARADA, Kiyoshi, </w:t>
      </w:r>
      <w:r w:rsidRPr="000F60BD">
        <w:rPr>
          <w:rFonts w:ascii="Arial" w:hAnsi="Arial" w:cs="Arial"/>
          <w:b/>
        </w:rPr>
        <w:t>ICMS</w:t>
      </w:r>
      <w:r w:rsidRPr="000F60BD">
        <w:rPr>
          <w:rFonts w:ascii="Arial" w:hAnsi="Arial" w:cs="Arial"/>
        </w:rPr>
        <w:t>: doutrina e prática, p. 39.</w:t>
      </w:r>
    </w:p>
  </w:footnote>
  <w:footnote w:id="75">
    <w:p w14:paraId="3370F0F4" w14:textId="10807270"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KOCH, Deonísio. </w:t>
      </w:r>
      <w:r w:rsidRPr="000F60BD">
        <w:rPr>
          <w:rFonts w:ascii="Arial" w:hAnsi="Arial" w:cs="Arial"/>
          <w:b/>
        </w:rPr>
        <w:t>Manual do ICMS</w:t>
      </w:r>
      <w:r w:rsidRPr="000F60BD">
        <w:rPr>
          <w:rFonts w:ascii="Arial" w:hAnsi="Arial" w:cs="Arial"/>
        </w:rPr>
        <w:t>: teoria e prática. 5. ed. Curitiba/PR: Juruá, 2017, p. 359/361.</w:t>
      </w:r>
    </w:p>
  </w:footnote>
  <w:footnote w:id="76">
    <w:p w14:paraId="5395C608" w14:textId="556FEF74"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Trata-se do processo legislativo nº 2019005891, já aprovado por esta Casa de Leis e encaminhado ao Governador do Estado, que ainda se encontra em seu prazo constitucional para veto ou sanção.</w:t>
      </w:r>
    </w:p>
  </w:footnote>
  <w:footnote w:id="77">
    <w:p w14:paraId="41E220F7" w14:textId="5CF189A1" w:rsidR="000F60BD" w:rsidRPr="000F60BD" w:rsidRDefault="000F60BD"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Na realidade,</w:t>
      </w:r>
      <w:r w:rsidR="00347270">
        <w:rPr>
          <w:rFonts w:ascii="Arial" w:hAnsi="Arial" w:cs="Arial"/>
        </w:rPr>
        <w:t xml:space="preserve"> há uma empresa que em um CNPJ frui crédito outorgado, nos termos do art. 11 do RCTE/GO, e em outro CNPJ frui crédito especial para investimento, nos termos dos arts. 29 a 29 do RCTE/GO. Como essa empresa foi contabilizada </w:t>
      </w:r>
      <w:r w:rsidRPr="000F60BD">
        <w:rPr>
          <w:rFonts w:ascii="Arial" w:hAnsi="Arial" w:cs="Arial"/>
        </w:rPr>
        <w:t xml:space="preserve">foi contabilizada </w:t>
      </w:r>
      <w:r w:rsidR="00347270">
        <w:rPr>
          <w:rFonts w:ascii="Arial" w:hAnsi="Arial" w:cs="Arial"/>
        </w:rPr>
        <w:t>no número de</w:t>
      </w:r>
      <w:r w:rsidRPr="000F60BD">
        <w:rPr>
          <w:rFonts w:ascii="Arial" w:hAnsi="Arial" w:cs="Arial"/>
        </w:rPr>
        <w:t xml:space="preserve"> 12 (doze) </w:t>
      </w:r>
      <w:r w:rsidR="00347270">
        <w:rPr>
          <w:rFonts w:ascii="Arial" w:hAnsi="Arial" w:cs="Arial"/>
        </w:rPr>
        <w:t>referente a crédito outorgado</w:t>
      </w:r>
      <w:r>
        <w:rPr>
          <w:rFonts w:ascii="Arial" w:hAnsi="Arial" w:cs="Arial"/>
        </w:rPr>
        <w:t xml:space="preserve">, </w:t>
      </w:r>
      <w:r w:rsidR="00347270">
        <w:rPr>
          <w:rFonts w:ascii="Arial" w:hAnsi="Arial" w:cs="Arial"/>
        </w:rPr>
        <w:t>não se repetiu sua contagem no número referente a crédito especial para investimento</w:t>
      </w:r>
      <w:r>
        <w:rPr>
          <w:rFonts w:ascii="Arial" w:hAnsi="Arial" w:cs="Arial"/>
        </w:rPr>
        <w:t>.</w:t>
      </w:r>
    </w:p>
  </w:footnote>
  <w:footnote w:id="78">
    <w:p w14:paraId="4A991C47" w14:textId="457825AD"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 identificação completa de cada empresa objeto de análise consta do Anexo II deste relatório.</w:t>
      </w:r>
    </w:p>
  </w:footnote>
  <w:footnote w:id="79">
    <w:p w14:paraId="3EB9745B" w14:textId="77777777" w:rsidR="00730FC9" w:rsidRPr="000F60BD" w:rsidRDefault="00730FC9" w:rsidP="00730FC9">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 identificação completa de cada empresa objeto de análise consta do Anexo II deste relatório.</w:t>
      </w:r>
    </w:p>
  </w:footnote>
  <w:footnote w:id="80">
    <w:p w14:paraId="56BA0513" w14:textId="6AAE25EA"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Registre-se que esta CPI só teve acesso a uma única vistoria em sede de amostra das empresas em relação às quais se contatou irregularidade.</w:t>
      </w:r>
    </w:p>
  </w:footnote>
  <w:footnote w:id="81">
    <w:p w14:paraId="277E27BE" w14:textId="0AC42F49"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Algumas dessas hipóteses de transferência de crédito foram expressamente revogadas pela Lei nº 20.654/2019.</w:t>
      </w:r>
    </w:p>
  </w:footnote>
  <w:footnote w:id="82">
    <w:p w14:paraId="221E8560" w14:textId="36954DB4"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Referido parágrafo único já foi revogado recentemente pela Lei nº 20.590/2019.</w:t>
      </w:r>
    </w:p>
  </w:footnote>
  <w:footnote w:id="83">
    <w:p w14:paraId="731C0D1E"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Registre-se, porém, que por força dos Decretos n. 8.418, de 31 de julho de 2015, e n. 9.487, de 31 de julho 2019, estão suspensas as transferências de crédito de qualquer natureza relativos ao ICMS até 31 de julho de 2022, observada a exceção constante neste último Decreto:</w:t>
      </w:r>
    </w:p>
    <w:p w14:paraId="16302F90" w14:textId="77777777" w:rsidR="003A317A" w:rsidRPr="000F60BD" w:rsidRDefault="003A317A" w:rsidP="000F60BD">
      <w:pPr>
        <w:pStyle w:val="tablepocp"/>
        <w:shd w:val="clear" w:color="auto" w:fill="FFFFFF"/>
        <w:spacing w:before="0" w:beforeAutospacing="0" w:after="0" w:afterAutospacing="0"/>
        <w:ind w:left="567"/>
        <w:jc w:val="both"/>
        <w:rPr>
          <w:rFonts w:ascii="Arial" w:hAnsi="Arial" w:cs="Arial"/>
          <w:color w:val="000000"/>
          <w:sz w:val="20"/>
          <w:szCs w:val="20"/>
        </w:rPr>
      </w:pPr>
      <w:r w:rsidRPr="000F60BD">
        <w:rPr>
          <w:rFonts w:ascii="Arial" w:hAnsi="Arial" w:cs="Arial"/>
          <w:color w:val="000000"/>
          <w:sz w:val="20"/>
          <w:szCs w:val="20"/>
          <w:shd w:val="clear" w:color="auto" w:fill="FFFFFF"/>
        </w:rPr>
        <w:t>Art. 1</w:t>
      </w:r>
      <w:r w:rsidRPr="000F60BD">
        <w:rPr>
          <w:rFonts w:ascii="Arial" w:hAnsi="Arial" w:cs="Arial"/>
          <w:color w:val="000000"/>
          <w:sz w:val="20"/>
          <w:szCs w:val="20"/>
          <w:u w:val="single"/>
          <w:shd w:val="clear" w:color="auto" w:fill="FFFFFF"/>
          <w:vertAlign w:val="superscript"/>
        </w:rPr>
        <w:t>o</w:t>
      </w:r>
      <w:r w:rsidRPr="000F60BD">
        <w:rPr>
          <w:rFonts w:ascii="Arial" w:hAnsi="Arial" w:cs="Arial"/>
          <w:color w:val="000000"/>
          <w:sz w:val="20"/>
          <w:szCs w:val="20"/>
          <w:shd w:val="clear" w:color="auto" w:fill="FFFFFF"/>
        </w:rPr>
        <w:t xml:space="preserve"> A proibição de transferência de crédito de que trata o inciso III do art. 2º do </w:t>
      </w:r>
      <w:hyperlink r:id="rId2" w:history="1">
        <w:r w:rsidRPr="000F60BD">
          <w:rPr>
            <w:rStyle w:val="Hyperlink"/>
            <w:rFonts w:ascii="Arial" w:hAnsi="Arial" w:cs="Arial"/>
            <w:color w:val="auto"/>
            <w:sz w:val="20"/>
            <w:szCs w:val="20"/>
            <w:u w:val="none"/>
            <w:shd w:val="clear" w:color="auto" w:fill="FFFFFF"/>
          </w:rPr>
          <w:t>Decreto nº 8.418</w:t>
        </w:r>
      </w:hyperlink>
      <w:r w:rsidRPr="000F60BD">
        <w:rPr>
          <w:rFonts w:ascii="Arial" w:hAnsi="Arial" w:cs="Arial"/>
          <w:color w:val="000000"/>
          <w:sz w:val="20"/>
          <w:szCs w:val="20"/>
          <w:shd w:val="clear" w:color="auto" w:fill="FFFFFF"/>
        </w:rPr>
        <w:t>, de 31 de julho de 2015, fica mantida até 31 de julho de 2022.</w:t>
      </w:r>
    </w:p>
    <w:p w14:paraId="519D5DEF" w14:textId="77777777" w:rsidR="003A317A" w:rsidRPr="000F60BD" w:rsidRDefault="003A317A" w:rsidP="000F60BD">
      <w:pPr>
        <w:pStyle w:val="tablepocp"/>
        <w:shd w:val="clear" w:color="auto" w:fill="FFFFFF"/>
        <w:spacing w:before="0" w:beforeAutospacing="0" w:after="0" w:afterAutospacing="0"/>
        <w:ind w:left="567"/>
        <w:jc w:val="both"/>
        <w:rPr>
          <w:rFonts w:ascii="Arial" w:hAnsi="Arial" w:cs="Arial"/>
          <w:color w:val="000000"/>
          <w:sz w:val="20"/>
          <w:szCs w:val="20"/>
        </w:rPr>
      </w:pPr>
      <w:r w:rsidRPr="000F60BD">
        <w:rPr>
          <w:rFonts w:ascii="Arial" w:hAnsi="Arial" w:cs="Arial"/>
          <w:color w:val="000000"/>
          <w:sz w:val="20"/>
          <w:szCs w:val="20"/>
          <w:shd w:val="clear" w:color="auto" w:fill="FFFFFF"/>
        </w:rPr>
        <w:t xml:space="preserve">Parágrafo único. </w:t>
      </w:r>
      <w:r w:rsidRPr="000F60BD">
        <w:rPr>
          <w:rFonts w:ascii="Arial" w:hAnsi="Arial" w:cs="Arial"/>
          <w:b/>
          <w:color w:val="000000"/>
          <w:sz w:val="20"/>
          <w:szCs w:val="20"/>
          <w:shd w:val="clear" w:color="auto" w:fill="FFFFFF"/>
        </w:rPr>
        <w:t>A proibição de que trata o </w:t>
      </w:r>
      <w:r w:rsidRPr="000F60BD">
        <w:rPr>
          <w:rFonts w:ascii="Arial" w:hAnsi="Arial" w:cs="Arial"/>
          <w:b/>
          <w:i/>
          <w:iCs/>
          <w:color w:val="000000"/>
          <w:sz w:val="20"/>
          <w:szCs w:val="20"/>
          <w:shd w:val="clear" w:color="auto" w:fill="FFFFFF"/>
        </w:rPr>
        <w:t>caput </w:t>
      </w:r>
      <w:r w:rsidRPr="000F60BD">
        <w:rPr>
          <w:rFonts w:ascii="Arial" w:hAnsi="Arial" w:cs="Arial"/>
          <w:b/>
          <w:color w:val="000000"/>
          <w:sz w:val="20"/>
          <w:szCs w:val="20"/>
          <w:shd w:val="clear" w:color="auto" w:fill="FFFFFF"/>
        </w:rPr>
        <w:t>fica excluída na hipótese de existência de crédito acumulado em consequência de benefício fiscal concedido em contrapartida a investimento realizado por empresa de setor considerado relevante para a economia goiana e haja previsão, na lei, de transferência de crédito</w:t>
      </w:r>
      <w:r w:rsidRPr="000F60BD">
        <w:rPr>
          <w:rFonts w:ascii="Arial" w:hAnsi="Arial" w:cs="Arial"/>
          <w:color w:val="000000"/>
          <w:sz w:val="20"/>
          <w:szCs w:val="20"/>
          <w:shd w:val="clear" w:color="auto" w:fill="FFFFFF"/>
        </w:rPr>
        <w:t>.</w:t>
      </w:r>
    </w:p>
  </w:footnote>
  <w:footnote w:id="84">
    <w:p w14:paraId="76CD4E67" w14:textId="5FA60700"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&lt;http://aplicacao.sefaz.go.gov.br/pagina/ver/9429&gt;. A consulta à situação fiscal das empresas foi realizada nos dias 28/11, 29/11, 02/12, 03/12 e 04/12/2019.</w:t>
      </w:r>
    </w:p>
  </w:footnote>
  <w:footnote w:id="85">
    <w:p w14:paraId="0F1062DE" w14:textId="3E65ACE2"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Na realidade, trata-se do número de CNPJ’s, embora possa haver mais de um pertencente à mesma empresa (v.g. matriz e filiais de uma mesma empresa).</w:t>
      </w:r>
    </w:p>
  </w:footnote>
  <w:footnote w:id="86">
    <w:p w14:paraId="76967E10"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&lt;http://www.sic.go.gov.br/files/docs/PRODUZIR/043-16.pdf&gt;. Acesso em 10 fev. 2020.</w:t>
      </w:r>
    </w:p>
  </w:footnote>
  <w:footnote w:id="87">
    <w:p w14:paraId="1D7FFEB1" w14:textId="2273FA61"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Registre-se que, da relação das 100 (cem) maiores beneficiárias de incentivos fiscais no Estado de Goiás no período de 2014 a 2018, algumas empresas possuem mais de um CNPJ recebendo benefício, de modo que aqueles relacionados nesta tabela não exclui a possibilidade de existirem outros CNPJ’s das mesmas empresas (v.g. matriz e filiais) recebendo incentivos.</w:t>
      </w:r>
    </w:p>
  </w:footnote>
  <w:footnote w:id="88">
    <w:p w14:paraId="71410330" w14:textId="1BE4DB48"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 data da consulta, neste caso, foi 12/02/2020.</w:t>
      </w:r>
    </w:p>
  </w:footnote>
  <w:footnote w:id="89">
    <w:p w14:paraId="4D2E60BA" w14:textId="528262B8"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&lt;http://www.economia.go.gov.br/receita-estadual/devedor-contumaz.html&gt;. Acesso em 10 fev. 2020.</w:t>
      </w:r>
    </w:p>
  </w:footnote>
  <w:footnote w:id="90">
    <w:p w14:paraId="77A64A5F" w14:textId="5D19FCC5"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Poder-se-ia mencionar também outras empresas desse segundo grupo, a saber: a) Univermaq Máquinas e Peças Agrícolas Eireli (CNPJ nº 01.498.812/0001-71); b) Gynsol Distribuição e Logística Produtos Alimentícios (CNPJ nº 37.359.460/0003-82); c) Brasil Com. Mat. Elétricos Eireli ME (CNPJ nº 09.456.940/0001-64); d) JJ Com. Produtos Alimentícios Eireli ME (CNPJ nº 09.578.652/0001-82); e) Apoio Comércio Gêneros Alimentícios Ltda ME (CNPJ nº 14.353.382/0001-41); f) J L Soares e Cia. Ltda (CNPJ nº 02.786.059/0001-82). Porém, neste relatório, não se conferiu maior relevância a essas empresas, porquanto o valor potencial de benefícios fruídos irregularmente não ultrapassa, no somatório, R$ 10.000,00 (dez mil reais).</w:t>
      </w:r>
    </w:p>
  </w:footnote>
  <w:footnote w:id="91">
    <w:p w14:paraId="1DDE0D13" w14:textId="181EE1AD"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Como essa medida encontra-se, bem ou mal, prevista na legislação, não era foco desta CPI perquirir eventual situação de parcelamento das empresas.</w:t>
      </w:r>
    </w:p>
  </w:footnote>
  <w:footnote w:id="92">
    <w:p w14:paraId="2A81762A" w14:textId="16464708"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Embora o termo técnico-jurídico correto seja “seguridade social”, para se referir ao adimplemento referente ao disposto no inciso I do art. 195 da CRFB, utilizam-se as expressões “regularidade previdenciária” e “regularidade perante o sistema de seguridade social” como sinônimas, mesmo reconhecendo não ser, o primeiro termo, o mais apropriado, apenas por razões de simplificação da terminologia empregada. Pondere-se, contudo, que mencionado termo não é de todo equivocado, uma vez que quem não está regular perante a previdência também está necessariamente irregular perante o sistema de seguridade social.</w:t>
      </w:r>
    </w:p>
  </w:footnote>
  <w:footnote w:id="93">
    <w:p w14:paraId="2CD85E49" w14:textId="58C06201"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Na realidade, trata-se do número de CNPJ’s, embora possa haver mais de um pertencente à mesma empresa (v.g. matriz e filiais de uma mesma empresa).</w:t>
      </w:r>
    </w:p>
  </w:footnote>
  <w:footnote w:id="94">
    <w:p w14:paraId="009E8730" w14:textId="6A95A816"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&lt;https://www.regularize.pgfn.gov.br/&gt;. Acesso em 04/02/2020.</w:t>
      </w:r>
    </w:p>
  </w:footnote>
  <w:footnote w:id="95">
    <w:p w14:paraId="33955DEE" w14:textId="0DD5C47A"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&lt;https://g1.globo.com/economia/negocios/noticia/jbs-adere-ao-refis-com-dividas-de-r-42-bilhoes-e-economiza-r-11-bilhao.ghtml&gt;. Acesso em 13 fev. 2020.</w:t>
      </w:r>
    </w:p>
  </w:footnote>
  <w:footnote w:id="96">
    <w:p w14:paraId="0A1A787B" w14:textId="3FE134E1"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w:t>
      </w:r>
      <w:r w:rsidRPr="000F60BD">
        <w:rPr>
          <w:rFonts w:ascii="Arial" w:hAnsi="Arial" w:cs="Arial"/>
          <w:color w:val="000000"/>
          <w:shd w:val="clear" w:color="auto" w:fill="FFFFFF"/>
        </w:rPr>
        <w:t>A Fazenda Pública da União e as dos Estados, do Distrito Federal e dos Municípios prestar-se-ão mutuamente assistência para a fiscalização dos tributos respectivos e permuta de informações, na forma estabelecida, em caráter geral ou específico, por lei ou convênio”.</w:t>
      </w:r>
    </w:p>
  </w:footnote>
  <w:footnote w:id="97">
    <w:p w14:paraId="10E684E1" w14:textId="339A00E4"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Secretaria de Estado de Meio Ambiente e Recursos Hídricos. </w:t>
      </w:r>
      <w:r w:rsidRPr="000F60BD">
        <w:rPr>
          <w:rFonts w:ascii="Arial" w:hAnsi="Arial" w:cs="Arial"/>
          <w:b/>
        </w:rPr>
        <w:t>Licenças ambientais emitidas em janeiro devem gerar meio bilhão de reais em novos investimentos no Estado de Goiás</w:t>
      </w:r>
      <w:r w:rsidRPr="000F60BD">
        <w:rPr>
          <w:rFonts w:ascii="Arial" w:hAnsi="Arial" w:cs="Arial"/>
        </w:rPr>
        <w:t>. Disponível em: &lt;http://www.meioambiente.go.gov.br/noticias/1835-licen%C3%A7as-ambientais-emitidas-em-janeiro-devem-gerar-meio-bilh%C3%A3o-de-reais-em-novos-investimentos-no-estado-de-goi%C3%A1s.html&gt;. Acesso em: 04 fev. 2020.</w:t>
      </w:r>
    </w:p>
  </w:footnote>
  <w:footnote w:id="98">
    <w:p w14:paraId="5515BC61" w14:textId="71406A5F"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A critério da desde a data em que iniciada a infração ambiental até a data de cessação do embargo (art. 20), e, caso não seja possível identificar mencionado termo inicial, a vedação incidiria desde o mês em que decretado do embargo, inclusive.</w:t>
      </w:r>
    </w:p>
  </w:footnote>
  <w:footnote w:id="99">
    <w:p w14:paraId="0A4A1524" w14:textId="0C14EFF9"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&lt;https://portal.meioambiente.go.gov.br/cnd/dashboard.secima&gt;. Acesso em 13 fev. 2020.</w:t>
      </w:r>
    </w:p>
  </w:footnote>
  <w:footnote w:id="100">
    <w:p w14:paraId="262F959C" w14:textId="46A7446E"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Entende-se que se a eficácia do § 2º do art. 136 da CE/GO estivesse subordinada à inscrição em dívida ativa de eventual multa aplicada por discriminação contra o trabalhador haveria nítido enfraquecimento daquele dispositivo constitucional, posto que nesse caso a vedação ao aproveitamento de incentivos fiscais não decorreria dele, e sim da legislação infraconstitucional que exige a regularidade fiscal das empresas, consoante abordado no item 8.1 deste relatório.</w:t>
      </w:r>
    </w:p>
  </w:footnote>
  <w:footnote w:id="101">
    <w:p w14:paraId="32AFB715"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b/>
        </w:rPr>
        <w:footnoteRef/>
      </w:r>
      <w:r w:rsidRPr="000F60BD">
        <w:rPr>
          <w:rFonts w:ascii="Arial" w:hAnsi="Arial" w:cs="Arial"/>
          <w:b/>
        </w:rPr>
        <w:t xml:space="preserve"> </w:t>
      </w:r>
      <w:r w:rsidRPr="000F60BD">
        <w:rPr>
          <w:rFonts w:ascii="Arial" w:hAnsi="Arial" w:cs="Arial"/>
          <w:b/>
          <w:u w:val="single"/>
        </w:rPr>
        <w:t>Constituição Estadual, art. 136, § 2º</w:t>
      </w:r>
      <w:r w:rsidRPr="000F60BD">
        <w:rPr>
          <w:rFonts w:ascii="Arial" w:hAnsi="Arial" w:cs="Arial"/>
        </w:rPr>
        <w:t xml:space="preserve"> – “O Estado não dará incentivos fiscais ou outras vantagens correlatas a empresas em cuja</w:t>
      </w:r>
      <w:r w:rsidRPr="000F60BD">
        <w:rPr>
          <w:rFonts w:ascii="Arial" w:hAnsi="Arial" w:cs="Arial"/>
          <w:b/>
        </w:rPr>
        <w:t xml:space="preserve"> atividade se comprove qualquer forma de discriminação contra o trabalhador</w:t>
      </w:r>
      <w:r w:rsidRPr="000F60BD">
        <w:rPr>
          <w:rFonts w:ascii="Arial" w:hAnsi="Arial" w:cs="Arial"/>
        </w:rPr>
        <w:t>”.</w:t>
      </w:r>
    </w:p>
  </w:footnote>
  <w:footnote w:id="102">
    <w:p w14:paraId="39CBC098"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w:t>
      </w:r>
      <w:r w:rsidRPr="000F60BD">
        <w:rPr>
          <w:rFonts w:ascii="Arial" w:hAnsi="Arial" w:cs="Arial"/>
          <w:bCs/>
        </w:rPr>
        <w:t>Ofício nº 2.756/2019-Economia, p. 11, n. 397 da relação.</w:t>
      </w:r>
    </w:p>
  </w:footnote>
  <w:footnote w:id="103">
    <w:p w14:paraId="56C0BD44" w14:textId="4DA50D95"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w:t>
      </w:r>
      <w:r w:rsidRPr="00730FC9">
        <w:rPr>
          <w:rFonts w:ascii="Arial" w:hAnsi="Arial" w:cs="Arial"/>
          <w:bCs/>
        </w:rPr>
        <w:t>Relacionadas no Anexo I</w:t>
      </w:r>
      <w:r w:rsidR="00730FC9" w:rsidRPr="00730FC9">
        <w:rPr>
          <w:rFonts w:ascii="Arial" w:hAnsi="Arial" w:cs="Arial"/>
          <w:bCs/>
        </w:rPr>
        <w:t>II deste relatório</w:t>
      </w:r>
      <w:r w:rsidR="00730FC9">
        <w:rPr>
          <w:rFonts w:ascii="Arial" w:hAnsi="Arial" w:cs="Arial"/>
          <w:bCs/>
        </w:rPr>
        <w:t>.</w:t>
      </w:r>
    </w:p>
  </w:footnote>
  <w:footnote w:id="104">
    <w:p w14:paraId="3EC9C893" w14:textId="05641E3A"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Encontra-se decodificada </w:t>
      </w:r>
      <w:r w:rsidRPr="00730FC9">
        <w:rPr>
          <w:rFonts w:ascii="Arial" w:hAnsi="Arial" w:cs="Arial"/>
        </w:rPr>
        <w:t xml:space="preserve">no Anexo </w:t>
      </w:r>
      <w:r w:rsidR="00730FC9" w:rsidRPr="00730FC9">
        <w:rPr>
          <w:rFonts w:ascii="Arial" w:hAnsi="Arial" w:cs="Arial"/>
        </w:rPr>
        <w:t>I</w:t>
      </w:r>
      <w:r w:rsidRPr="00730FC9">
        <w:rPr>
          <w:rFonts w:ascii="Arial" w:hAnsi="Arial" w:cs="Arial"/>
        </w:rPr>
        <w:t>V deste</w:t>
      </w:r>
      <w:r w:rsidRPr="000F60BD">
        <w:rPr>
          <w:rFonts w:ascii="Arial" w:hAnsi="Arial" w:cs="Arial"/>
        </w:rPr>
        <w:t xml:space="preserve"> relatório a relação nominal das pessoas jurídicas e respectivos valores, relativamente às </w:t>
      </w:r>
      <w:r w:rsidRPr="000F60BD">
        <w:rPr>
          <w:rFonts w:ascii="Arial" w:hAnsi="Arial" w:cs="Arial"/>
          <w:bCs/>
        </w:rPr>
        <w:t>100 (cem) maiores beneficiárias de incentivos fiscais (programas FOMENTAR e PRODUZIR / crédito outorgado) no Estado de Goiás, no período de 2014 a 2018</w:t>
      </w:r>
      <w:r w:rsidR="00730FC9">
        <w:rPr>
          <w:rFonts w:ascii="Arial" w:hAnsi="Arial" w:cs="Arial"/>
        </w:rPr>
        <w:t>.</w:t>
      </w:r>
    </w:p>
  </w:footnote>
  <w:footnote w:id="105">
    <w:p w14:paraId="4CA9163F" w14:textId="510E3A45" w:rsidR="003A317A" w:rsidRPr="000F60BD" w:rsidRDefault="003A317A" w:rsidP="000F60BD">
      <w:pPr>
        <w:pStyle w:val="Textodenotaderodap"/>
        <w:jc w:val="both"/>
        <w:rPr>
          <w:rFonts w:ascii="Arial" w:hAnsi="Arial" w:cs="Arial"/>
        </w:rPr>
      </w:pPr>
      <w:r w:rsidRPr="004106D9">
        <w:rPr>
          <w:rStyle w:val="Refdenotaderodap"/>
          <w:rFonts w:ascii="Arial" w:hAnsi="Arial" w:cs="Arial"/>
        </w:rPr>
        <w:footnoteRef/>
      </w:r>
      <w:r w:rsidRPr="004106D9">
        <w:rPr>
          <w:rFonts w:ascii="Arial" w:hAnsi="Arial" w:cs="Arial"/>
        </w:rPr>
        <w:t xml:space="preserve"> Essa relação encontra-se no Anexo V</w:t>
      </w:r>
      <w:r w:rsidR="004106D9" w:rsidRPr="004106D9">
        <w:rPr>
          <w:rFonts w:ascii="Arial" w:hAnsi="Arial" w:cs="Arial"/>
        </w:rPr>
        <w:t xml:space="preserve"> deste relatório</w:t>
      </w:r>
      <w:r w:rsidRPr="004106D9">
        <w:rPr>
          <w:rFonts w:ascii="Arial" w:hAnsi="Arial" w:cs="Arial"/>
          <w:bCs/>
        </w:rPr>
        <w:t>.</w:t>
      </w:r>
    </w:p>
  </w:footnote>
  <w:footnote w:id="106">
    <w:p w14:paraId="4F1D2BEA" w14:textId="373560DD"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Para melhor visualização quanto a mencionada concentração de benefícios no ramo da mineração, </w:t>
      </w:r>
      <w:r w:rsidRPr="004106D9">
        <w:rPr>
          <w:rFonts w:ascii="Arial" w:hAnsi="Arial" w:cs="Arial"/>
        </w:rPr>
        <w:t>conferir Anexo VI deste relatório.</w:t>
      </w:r>
    </w:p>
  </w:footnote>
  <w:footnote w:id="107">
    <w:p w14:paraId="4D27BF10"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w:t>
      </w:r>
      <w:r w:rsidRPr="000F60BD">
        <w:rPr>
          <w:rFonts w:ascii="Arial" w:hAnsi="Arial" w:cs="Arial"/>
          <w:b/>
          <w:bCs/>
        </w:rPr>
        <w:t>CTN, art. 198</w:t>
      </w:r>
      <w:r w:rsidRPr="000F60BD">
        <w:rPr>
          <w:rFonts w:ascii="Arial" w:hAnsi="Arial" w:cs="Arial"/>
        </w:rPr>
        <w:t>. Sem prejuízo do disposto na legislação criminal, é vedada a divulgação, por parte da Fazenda Pública ou de seus servidores, de informação obtida em razão do ofício sobre a situação econômica ou financeira do sujeito passivo ou de terceiros e sobre a natureza e o estado de seus negócios ou atividades</w:t>
      </w:r>
    </w:p>
  </w:footnote>
  <w:footnote w:id="108">
    <w:p w14:paraId="08D9A4FA"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w:t>
      </w:r>
      <w:r w:rsidRPr="000F60BD">
        <w:rPr>
          <w:rFonts w:ascii="Arial" w:hAnsi="Arial" w:cs="Arial"/>
          <w:b/>
          <w:bCs/>
        </w:rPr>
        <w:t>STF</w:t>
      </w:r>
      <w:r w:rsidRPr="000F60BD">
        <w:rPr>
          <w:rFonts w:ascii="Arial" w:hAnsi="Arial" w:cs="Arial"/>
        </w:rPr>
        <w:t>, MC na SL 1.296/MG, Rel. Min. Presidente, decisão proferida pelo(a) Ministro(a) Dias Toffoli, j. em 12/02/2020.</w:t>
      </w:r>
    </w:p>
  </w:footnote>
  <w:footnote w:id="109">
    <w:p w14:paraId="209ACE55"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http://receita.economia.gov.br/dados/receitadata/renuncia-fiscal/demonstrativos-dos-gastos-tributarios/conceito-de-gasto-tributario.</w:t>
      </w:r>
    </w:p>
  </w:footnote>
  <w:footnote w:id="110">
    <w:p w14:paraId="6DEA5F9A"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&lt;http://portal.stf.jus.br/processos/detalhe.asp?incidente=5213056&gt;. Acesso em 1º mar. 2020. Acórdão não publicado até a data de entrega deste relatório na reunião de 05/03/2020 desta CPI.</w:t>
      </w:r>
    </w:p>
  </w:footnote>
  <w:footnote w:id="111">
    <w:p w14:paraId="53629726"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&lt;http://www.transparencia.go.gov.br/portaldatransparencia/&gt;. Acesso em 1º mar. 2020.</w:t>
      </w:r>
    </w:p>
  </w:footnote>
  <w:footnote w:id="112">
    <w:p w14:paraId="084D5E8E"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&lt;http://www.transparencia.go.gov.br/portaldatransparencia/demonstrativos-fiscais/beneficios-fiscais&gt;. Acesso em 1º mar. 2020.</w:t>
      </w:r>
    </w:p>
  </w:footnote>
  <w:footnote w:id="113">
    <w:p w14:paraId="1B312795"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Disponível em: &lt;http://www.transparencia.go.gov.br/portaldatransparencia/demonstrativos-fiscais/tare&gt;. Acesso em 1º mar. 2020.</w:t>
      </w:r>
    </w:p>
  </w:footnote>
  <w:footnote w:id="114">
    <w:p w14:paraId="47C8493C" w14:textId="1997F313"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Avaliação de políticas públicas: guia prático de análise </w:t>
      </w:r>
      <w:r w:rsidRPr="000F60BD">
        <w:rPr>
          <w:rFonts w:ascii="Arial" w:hAnsi="Arial" w:cs="Arial"/>
          <w:i/>
        </w:rPr>
        <w:t>ex post</w:t>
      </w:r>
      <w:r w:rsidRPr="000F60BD">
        <w:rPr>
          <w:rFonts w:ascii="Arial" w:hAnsi="Arial" w:cs="Arial"/>
        </w:rPr>
        <w:t>, volume 2. Brasília: Casa Civil da Presidência da República, 2018, fl. 14.</w:t>
      </w:r>
    </w:p>
  </w:footnote>
  <w:footnote w:id="115">
    <w:p w14:paraId="69AE4EEC" w14:textId="54BEB7A0"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fl. 7. Grifamos.</w:t>
      </w:r>
    </w:p>
  </w:footnote>
  <w:footnote w:id="116">
    <w:p w14:paraId="5F16A28D" w14:textId="7777777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41. Grifamos.</w:t>
      </w:r>
    </w:p>
  </w:footnote>
  <w:footnote w:id="117">
    <w:p w14:paraId="0266EDDE" w14:textId="5B43873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18-20. Grifamos.</w:t>
      </w:r>
    </w:p>
  </w:footnote>
  <w:footnote w:id="118">
    <w:p w14:paraId="41C00DAD" w14:textId="70D44FA8"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20-21. Grifamos.</w:t>
      </w:r>
    </w:p>
  </w:footnote>
  <w:footnote w:id="119">
    <w:p w14:paraId="7FD9903F" w14:textId="7777777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Informe de Auditoria n. 2/2019 - – CGE/GO, fl. 26. Grifamos.</w:t>
      </w:r>
    </w:p>
  </w:footnote>
  <w:footnote w:id="120">
    <w:p w14:paraId="587FAF08" w14:textId="7777777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Informe de Auditoria n. 2/2019 - – CGE/GO, fl. 18. Grifamos.</w:t>
      </w:r>
    </w:p>
  </w:footnote>
  <w:footnote w:id="121">
    <w:p w14:paraId="356AA058" w14:textId="1CD308A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17-18. Grifamos.</w:t>
      </w:r>
    </w:p>
  </w:footnote>
  <w:footnote w:id="122">
    <w:p w14:paraId="56963306" w14:textId="398C9649"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20. Grifamos.</w:t>
      </w:r>
    </w:p>
  </w:footnote>
  <w:footnote w:id="123">
    <w:p w14:paraId="5B304BF6" w14:textId="7777777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48-49. Grifamos.</w:t>
      </w:r>
    </w:p>
  </w:footnote>
  <w:footnote w:id="124">
    <w:p w14:paraId="66DF13F3" w14:textId="7777777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51-52. Grifamos.</w:t>
      </w:r>
    </w:p>
  </w:footnote>
  <w:footnote w:id="125">
    <w:p w14:paraId="170D4D96" w14:textId="7777777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Informe de Auditoria n. 2/2019 - – CGE/GO, fl. 13-15.</w:t>
      </w:r>
    </w:p>
  </w:footnote>
  <w:footnote w:id="126">
    <w:p w14:paraId="74663414"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Informe de Auditoria n. 2/2019 - – CGE/GO, fl. 9-12. Grifamos.</w:t>
      </w:r>
    </w:p>
  </w:footnote>
  <w:footnote w:id="127">
    <w:p w14:paraId="0FE8D323" w14:textId="7777777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Observação: não há clareza nas informações de empregos, ou seja, se os “empregos esperados” são empregos que serão adicionados ou que as empresas terão em estoque em momento futuro quando da execução do projeto.</w:t>
      </w:r>
    </w:p>
  </w:footnote>
  <w:footnote w:id="128">
    <w:p w14:paraId="71F8A088" w14:textId="4963F402"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56-60. Grifamos.</w:t>
      </w:r>
    </w:p>
  </w:footnote>
  <w:footnote w:id="129">
    <w:p w14:paraId="6A3371CC" w14:textId="77777777" w:rsidR="003A317A" w:rsidRPr="000F60BD" w:rsidRDefault="003A317A" w:rsidP="000F60BD">
      <w:pPr>
        <w:jc w:val="both"/>
        <w:rPr>
          <w:rFonts w:ascii="Arial" w:hAnsi="Arial" w:cs="Arial"/>
          <w:sz w:val="20"/>
          <w:highlight w:val="yellow"/>
        </w:rPr>
      </w:pPr>
      <w:r w:rsidRPr="000F60BD">
        <w:rPr>
          <w:rStyle w:val="Refdenotaderodap"/>
          <w:rFonts w:ascii="Arial" w:hAnsi="Arial" w:cs="Arial"/>
          <w:sz w:val="20"/>
        </w:rPr>
        <w:footnoteRef/>
      </w:r>
      <w:r w:rsidRPr="000F60BD">
        <w:rPr>
          <w:rFonts w:ascii="Arial" w:hAnsi="Arial" w:cs="Arial"/>
          <w:sz w:val="20"/>
        </w:rPr>
        <w:t xml:space="preserve"> Informe de Auditoria n. 2/2019 - – CGE/GO, fl. 15-25.</w:t>
      </w:r>
    </w:p>
  </w:footnote>
  <w:footnote w:id="130">
    <w:p w14:paraId="52A18AA1"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30-35.</w:t>
      </w:r>
    </w:p>
    <w:p w14:paraId="1A50356E" w14:textId="77777777" w:rsidR="003A317A" w:rsidRPr="000F60BD" w:rsidRDefault="003A317A" w:rsidP="000F60BD">
      <w:pPr>
        <w:pStyle w:val="Textodenotaderodap"/>
        <w:jc w:val="both"/>
        <w:rPr>
          <w:rFonts w:ascii="Arial" w:hAnsi="Arial" w:cs="Arial"/>
          <w:highlight w:val="yellow"/>
        </w:rPr>
      </w:pPr>
    </w:p>
  </w:footnote>
  <w:footnote w:id="131">
    <w:p w14:paraId="121E88DE" w14:textId="77777777"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40-41. Grifamos.</w:t>
      </w:r>
    </w:p>
    <w:p w14:paraId="38756033" w14:textId="77777777" w:rsidR="003A317A" w:rsidRPr="000F60BD" w:rsidRDefault="003A317A" w:rsidP="000F60BD">
      <w:pPr>
        <w:pStyle w:val="Textodenotaderodap"/>
        <w:jc w:val="both"/>
        <w:rPr>
          <w:rFonts w:ascii="Arial" w:hAnsi="Arial" w:cs="Arial"/>
          <w:highlight w:val="yellow"/>
        </w:rPr>
      </w:pPr>
    </w:p>
  </w:footnote>
  <w:footnote w:id="132">
    <w:p w14:paraId="09F85D2C" w14:textId="7777777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Informe de Auditoria n. 2/2019 - – CGE/GO, fl. 8-9. Grifamos.</w:t>
      </w:r>
    </w:p>
  </w:footnote>
  <w:footnote w:id="133">
    <w:p w14:paraId="181B0FE4" w14:textId="5BC1FBD4"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fl. 23 e 49-50. Grifamos.</w:t>
      </w:r>
    </w:p>
  </w:footnote>
  <w:footnote w:id="134">
    <w:p w14:paraId="613D6C6D" w14:textId="6569447A"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fl. 16.</w:t>
      </w:r>
    </w:p>
  </w:footnote>
  <w:footnote w:id="135">
    <w:p w14:paraId="0C758032" w14:textId="7777777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22. Grifamos.</w:t>
      </w:r>
    </w:p>
  </w:footnote>
  <w:footnote w:id="136">
    <w:p w14:paraId="12C3B58A" w14:textId="7777777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26-28. Grifamos.</w:t>
      </w:r>
    </w:p>
  </w:footnote>
  <w:footnote w:id="137">
    <w:p w14:paraId="79182B86" w14:textId="77777777" w:rsidR="003A317A" w:rsidRPr="000F60BD" w:rsidRDefault="003A317A" w:rsidP="000F60BD">
      <w:pPr>
        <w:pStyle w:val="Textodenotaderodap"/>
        <w:jc w:val="both"/>
        <w:rPr>
          <w:rFonts w:ascii="Arial" w:hAnsi="Arial" w:cs="Arial"/>
          <w:highlight w:val="yellow"/>
        </w:rPr>
      </w:pPr>
      <w:r w:rsidRPr="000F60BD">
        <w:rPr>
          <w:rStyle w:val="Refdenotaderodap"/>
          <w:rFonts w:ascii="Arial" w:hAnsi="Arial" w:cs="Arial"/>
        </w:rPr>
        <w:footnoteRef/>
      </w:r>
      <w:r w:rsidRPr="000F60BD">
        <w:rPr>
          <w:rFonts w:ascii="Arial" w:hAnsi="Arial" w:cs="Arial"/>
        </w:rPr>
        <w:t xml:space="preserve"> IMB, Incentivos Fiscais e o Estado de Goiás: Uma Análise de Impacto e do Custo Econômico dos Programas Fomentar/Produzir e Crédito Outorgado, p. 61-62. Grifamos.</w:t>
      </w:r>
    </w:p>
  </w:footnote>
  <w:footnote w:id="138">
    <w:p w14:paraId="2F4A9CF5" w14:textId="29D24F82" w:rsidR="003A317A" w:rsidRPr="000F60BD" w:rsidRDefault="003A317A" w:rsidP="000F60BD">
      <w:pPr>
        <w:pStyle w:val="Textodenotaderodap"/>
        <w:jc w:val="both"/>
        <w:rPr>
          <w:rFonts w:ascii="Arial" w:hAnsi="Arial" w:cs="Arial"/>
        </w:rPr>
      </w:pPr>
      <w:r w:rsidRPr="000F60BD">
        <w:rPr>
          <w:rStyle w:val="Refdenotaderodap"/>
          <w:rFonts w:ascii="Arial" w:hAnsi="Arial" w:cs="Arial"/>
        </w:rPr>
        <w:footnoteRef/>
      </w:r>
      <w:r w:rsidRPr="000F60BD">
        <w:rPr>
          <w:rFonts w:ascii="Arial" w:hAnsi="Arial" w:cs="Arial"/>
        </w:rPr>
        <w:t xml:space="preserve"> Informe de Auditoria n. 2/2019 - – CGE/GO, fls. 37-38. Grifamos.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E03367" w14:textId="77777777" w:rsidR="003A317A" w:rsidRDefault="003A317A" w:rsidP="00C079D4">
    <w:pPr>
      <w:pStyle w:val="Cabealho"/>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15A5039" w14:textId="77777777" w:rsidR="003A317A" w:rsidRDefault="003A317A" w:rsidP="00A63313">
    <w:pPr>
      <w:pStyle w:val="Cabealho"/>
      <w:framePr w:wrap="none" w:vAnchor="text" w:hAnchor="margin" w:xAlign="right" w:y="1"/>
      <w:ind w:right="360"/>
      <w:rPr>
        <w:rStyle w:val="Nmerodepgina"/>
      </w:rPr>
    </w:pPr>
    <w:r>
      <w:rPr>
        <w:rStyle w:val="Nmerodepgina"/>
      </w:rPr>
      <w:fldChar w:fldCharType="begin"/>
    </w:r>
    <w:r>
      <w:rPr>
        <w:rStyle w:val="Nmerodepgina"/>
      </w:rPr>
      <w:instrText xml:space="preserve">PAGE  </w:instrText>
    </w:r>
    <w:r>
      <w:rPr>
        <w:rStyle w:val="Nmerodepgina"/>
      </w:rPr>
      <w:fldChar w:fldCharType="end"/>
    </w:r>
  </w:p>
  <w:p w14:paraId="47F19FA8" w14:textId="55993EB5" w:rsidR="003A317A" w:rsidRDefault="003A317A" w:rsidP="00B261C3">
    <w:pPr>
      <w:pStyle w:val="Cabealho"/>
      <w:ind w:right="360"/>
    </w:pPr>
    <w:r>
      <w:rPr>
        <w:noProof/>
        <w:lang w:eastAsia="pt-BR"/>
      </w:rPr>
      <w:drawing>
        <wp:anchor distT="0" distB="0" distL="114300" distR="114300" simplePos="0" relativeHeight="251666432" behindDoc="1" locked="0" layoutInCell="0" allowOverlap="1" wp14:anchorId="0578E6FE" wp14:editId="3ED03BF7">
          <wp:simplePos x="0" y="0"/>
          <wp:positionH relativeFrom="margin">
            <wp:align>center</wp:align>
          </wp:positionH>
          <wp:positionV relativeFrom="margin">
            <wp:align>center</wp:align>
          </wp:positionV>
          <wp:extent cx="7499350" cy="7721600"/>
          <wp:effectExtent l="0" t="0" r="0" b="0"/>
          <wp:wrapNone/>
          <wp:docPr id="13" name="Imagem 13" descr="/Users/design/Desktop/PAPEL TIMBRADO DIGITAL/bgEsc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design/Desktop/PAPEL TIMBRADO DIGITAL/bgEscur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99350" cy="7721600"/>
                  </a:xfrm>
                  <a:prstGeom prst="rect">
                    <a:avLst/>
                  </a:prstGeom>
                  <a:noFill/>
                </pic:spPr>
              </pic:pic>
            </a:graphicData>
          </a:graphic>
          <wp14:sizeRelH relativeFrom="page">
            <wp14:pctWidth>0</wp14:pctWidth>
          </wp14:sizeRelH>
          <wp14:sizeRelV relativeFrom="page">
            <wp14:pctHeight>0</wp14:pctHeight>
          </wp14:sizeRelV>
        </wp:anchor>
      </w:drawing>
    </w:r>
    <w:r w:rsidR="00D9482C">
      <w:rPr>
        <w:noProof/>
        <w:lang w:eastAsia="pt-BR"/>
      </w:rPr>
      <w:pict w14:anchorId="172CA1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6" type="#_x0000_t75" style="position:absolute;margin-left:0;margin-top:0;width:424.15pt;height:606.75pt;z-index:-251653120;mso-position-horizontal:center;mso-position-horizontal-relative:margin;mso-position-vertical:center;mso-position-vertical-relative:margin" o:allowincell="f">
          <v:imagedata r:id="rId2" o:title="bgpapelTimbrad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113D5B" w14:textId="24859093" w:rsidR="003A317A" w:rsidRDefault="003A317A" w:rsidP="00A63313">
    <w:pPr>
      <w:pStyle w:val="Cabealho"/>
      <w:tabs>
        <w:tab w:val="clear" w:pos="4419"/>
        <w:tab w:val="clear" w:pos="8838"/>
        <w:tab w:val="left" w:pos="7513"/>
        <w:tab w:val="left" w:pos="9348"/>
      </w:tabs>
      <w:ind w:right="360"/>
      <w:jc w:val="right"/>
      <w:rPr>
        <w:rFonts w:ascii="Times New Roman" w:hAnsi="Times New Roman"/>
        <w:b/>
      </w:rPr>
    </w:pPr>
    <w:r>
      <w:rPr>
        <w:b/>
        <w:noProof/>
        <w:color w:val="1F3864" w:themeColor="accent1" w:themeShade="80"/>
        <w:lang w:eastAsia="pt-BR"/>
      </w:rPr>
      <w:drawing>
        <wp:anchor distT="0" distB="0" distL="114300" distR="114300" simplePos="0" relativeHeight="251675648" behindDoc="0" locked="0" layoutInCell="1" allowOverlap="1" wp14:anchorId="6230DD6A" wp14:editId="07D3AC73">
          <wp:simplePos x="0" y="0"/>
          <wp:positionH relativeFrom="page">
            <wp:posOffset>552450</wp:posOffset>
          </wp:positionH>
          <wp:positionV relativeFrom="topMargin">
            <wp:posOffset>371475</wp:posOffset>
          </wp:positionV>
          <wp:extent cx="2064385" cy="847725"/>
          <wp:effectExtent l="0" t="0" r="0" b="9525"/>
          <wp:wrapSquare wrapText="bothSides"/>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png"/>
                  <pic:cNvPicPr/>
                </pic:nvPicPr>
                <pic:blipFill>
                  <a:blip r:embed="rId1">
                    <a:extLst>
                      <a:ext uri="{28A0092B-C50C-407E-A947-70E740481C1C}">
                        <a14:useLocalDpi xmlns:a14="http://schemas.microsoft.com/office/drawing/2010/main" val="0"/>
                      </a:ext>
                    </a:extLst>
                  </a:blip>
                  <a:stretch>
                    <a:fillRect/>
                  </a:stretch>
                </pic:blipFill>
                <pic:spPr>
                  <a:xfrm>
                    <a:off x="0" y="0"/>
                    <a:ext cx="2064385" cy="847725"/>
                  </a:xfrm>
                  <a:prstGeom prst="rect">
                    <a:avLst/>
                  </a:prstGeom>
                </pic:spPr>
              </pic:pic>
            </a:graphicData>
          </a:graphic>
          <wp14:sizeRelH relativeFrom="margin">
            <wp14:pctWidth>0</wp14:pctWidth>
          </wp14:sizeRelH>
          <wp14:sizeRelV relativeFrom="margin">
            <wp14:pctHeight>0</wp14:pctHeight>
          </wp14:sizeRelV>
        </wp:anchor>
      </w:drawing>
    </w:r>
    <w:r w:rsidRPr="00C305DB">
      <w:rPr>
        <w:rFonts w:ascii="Times New Roman" w:hAnsi="Times New Roman"/>
        <w:b/>
      </w:rPr>
      <w:t xml:space="preserve">Comissão Parlamentar de Inquérito </w:t>
    </w:r>
  </w:p>
  <w:p w14:paraId="233E4C48" w14:textId="48C40F23" w:rsidR="003A317A" w:rsidRPr="00C305DB" w:rsidRDefault="003A317A" w:rsidP="00A63313">
    <w:pPr>
      <w:pStyle w:val="Cabealho"/>
      <w:tabs>
        <w:tab w:val="clear" w:pos="4419"/>
        <w:tab w:val="clear" w:pos="8838"/>
        <w:tab w:val="left" w:pos="7513"/>
        <w:tab w:val="left" w:pos="9348"/>
      </w:tabs>
      <w:ind w:right="360"/>
      <w:jc w:val="right"/>
      <w:rPr>
        <w:b/>
      </w:rPr>
    </w:pPr>
    <w:r w:rsidRPr="00C305DB">
      <w:rPr>
        <w:rFonts w:ascii="Times New Roman" w:hAnsi="Times New Roman"/>
        <w:b/>
      </w:rPr>
      <w:t>dos Incentivos Fiscais</w:t>
    </w:r>
    <w:r w:rsidRPr="00C305DB">
      <w:rPr>
        <w:b/>
        <w:noProof/>
        <w:lang w:eastAsia="pt-BR"/>
      </w:rPr>
      <w:t xml:space="preserve"> </w:t>
    </w:r>
  </w:p>
  <w:p w14:paraId="28011A9C" w14:textId="77777777" w:rsidR="003A317A" w:rsidRPr="004A22DD" w:rsidRDefault="003A317A" w:rsidP="008873CF">
    <w:pPr>
      <w:pStyle w:val="Cabealho"/>
      <w:jc w:val="right"/>
    </w:pPr>
  </w:p>
  <w:p w14:paraId="58D29821" w14:textId="7AA8CC7B" w:rsidR="003A317A" w:rsidRPr="004A22DD" w:rsidRDefault="003A317A" w:rsidP="008873CF">
    <w:pPr>
      <w:pStyle w:val="Cabealho"/>
      <w:jc w:val="right"/>
      <w:rPr>
        <w:rFonts w:cs="Arial"/>
        <w:b/>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702DE1" w14:textId="746CFD14" w:rsidR="003A317A" w:rsidRDefault="003A317A">
    <w:pPr>
      <w:pStyle w:val="Cabealho"/>
    </w:pPr>
    <w:r>
      <w:rPr>
        <w:noProof/>
        <w:lang w:eastAsia="pt-BR"/>
      </w:rPr>
      <w:drawing>
        <wp:anchor distT="0" distB="0" distL="114300" distR="114300" simplePos="0" relativeHeight="251667456" behindDoc="1" locked="0" layoutInCell="0" allowOverlap="1" wp14:anchorId="2ED97251" wp14:editId="1DB99A9B">
          <wp:simplePos x="0" y="0"/>
          <wp:positionH relativeFrom="margin">
            <wp:align>center</wp:align>
          </wp:positionH>
          <wp:positionV relativeFrom="margin">
            <wp:align>center</wp:align>
          </wp:positionV>
          <wp:extent cx="7499350" cy="7721600"/>
          <wp:effectExtent l="0" t="0" r="0" b="0"/>
          <wp:wrapNone/>
          <wp:docPr id="15" name="Imagem 15" descr="/Users/design/Desktop/PAPEL TIMBRADO DIGITAL/bgEsc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design/Desktop/PAPEL TIMBRADO DIGITAL/bgEscur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99350" cy="7721600"/>
                  </a:xfrm>
                  <a:prstGeom prst="rect">
                    <a:avLst/>
                  </a:prstGeom>
                  <a:noFill/>
                </pic:spPr>
              </pic:pic>
            </a:graphicData>
          </a:graphic>
          <wp14:sizeRelH relativeFrom="page">
            <wp14:pctWidth>0</wp14:pctWidth>
          </wp14:sizeRelH>
          <wp14:sizeRelV relativeFrom="page">
            <wp14:pctHeight>0</wp14:pctHeight>
          </wp14:sizeRelV>
        </wp:anchor>
      </w:drawing>
    </w:r>
    <w:r w:rsidR="00D9482C">
      <w:rPr>
        <w:noProof/>
        <w:lang w:eastAsia="pt-BR"/>
      </w:rPr>
      <w:pict w14:anchorId="2A80D2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7" type="#_x0000_t75" style="position:absolute;margin-left:0;margin-top:0;width:424.15pt;height:606.75pt;z-index:-251652096;mso-position-horizontal:center;mso-position-horizontal-relative:margin;mso-position-vertical:center;mso-position-vertical-relative:margin" o:allowincell="f">
          <v:imagedata r:id="rId2" o:title="bgpapelTimbrado"/>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741E6C" w14:textId="77777777" w:rsidR="003A317A" w:rsidRDefault="003A317A" w:rsidP="00C079D4">
    <w:pPr>
      <w:pStyle w:val="Cabealho"/>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DBFF0A5" w14:textId="77777777" w:rsidR="003A317A" w:rsidRDefault="003A317A" w:rsidP="00A63313">
    <w:pPr>
      <w:pStyle w:val="Cabealho"/>
      <w:framePr w:wrap="none" w:vAnchor="text" w:hAnchor="margin" w:xAlign="right" w:y="1"/>
      <w:ind w:right="360"/>
      <w:rPr>
        <w:rStyle w:val="Nmerodepgina"/>
      </w:rPr>
    </w:pPr>
    <w:r>
      <w:rPr>
        <w:rStyle w:val="Nmerodepgina"/>
      </w:rPr>
      <w:fldChar w:fldCharType="begin"/>
    </w:r>
    <w:r>
      <w:rPr>
        <w:rStyle w:val="Nmerodepgina"/>
      </w:rPr>
      <w:instrText xml:space="preserve">PAGE  </w:instrText>
    </w:r>
    <w:r>
      <w:rPr>
        <w:rStyle w:val="Nmerodepgina"/>
      </w:rPr>
      <w:fldChar w:fldCharType="end"/>
    </w:r>
  </w:p>
  <w:p w14:paraId="777FDADB" w14:textId="77777777" w:rsidR="003A317A" w:rsidRDefault="003A317A" w:rsidP="00B261C3">
    <w:pPr>
      <w:pStyle w:val="Cabealho"/>
      <w:ind w:right="360"/>
    </w:pPr>
    <w:r>
      <w:rPr>
        <w:noProof/>
        <w:lang w:eastAsia="pt-BR"/>
      </w:rPr>
      <w:drawing>
        <wp:anchor distT="0" distB="0" distL="114300" distR="114300" simplePos="0" relativeHeight="251681792" behindDoc="1" locked="0" layoutInCell="0" allowOverlap="1" wp14:anchorId="54D808B1" wp14:editId="7ED24763">
          <wp:simplePos x="0" y="0"/>
          <wp:positionH relativeFrom="margin">
            <wp:align>center</wp:align>
          </wp:positionH>
          <wp:positionV relativeFrom="margin">
            <wp:align>center</wp:align>
          </wp:positionV>
          <wp:extent cx="7499350" cy="7721600"/>
          <wp:effectExtent l="0" t="0" r="0" b="0"/>
          <wp:wrapNone/>
          <wp:docPr id="93" name="Imagem 93" descr="/Users/design/Desktop/PAPEL TIMBRADO DIGITAL/bgEsc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design/Desktop/PAPEL TIMBRADO DIGITAL/bgEscur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99350" cy="77216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79744" behindDoc="1" locked="0" layoutInCell="0" allowOverlap="1" wp14:anchorId="6409A00B" wp14:editId="604DA23B">
          <wp:simplePos x="0" y="0"/>
          <wp:positionH relativeFrom="margin">
            <wp:align>center</wp:align>
          </wp:positionH>
          <wp:positionV relativeFrom="margin">
            <wp:align>center</wp:align>
          </wp:positionV>
          <wp:extent cx="5386705" cy="7705725"/>
          <wp:effectExtent l="0" t="0" r="4445" b="9525"/>
          <wp:wrapNone/>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386705" cy="77057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2332D" w14:textId="77777777" w:rsidR="003A317A" w:rsidRDefault="003A317A" w:rsidP="00A63313">
    <w:pPr>
      <w:pStyle w:val="Cabealho"/>
      <w:tabs>
        <w:tab w:val="clear" w:pos="4419"/>
        <w:tab w:val="clear" w:pos="8838"/>
        <w:tab w:val="left" w:pos="7513"/>
        <w:tab w:val="left" w:pos="9348"/>
      </w:tabs>
      <w:ind w:right="360"/>
      <w:jc w:val="right"/>
      <w:rPr>
        <w:rFonts w:ascii="Times New Roman" w:hAnsi="Times New Roman"/>
        <w:b/>
      </w:rPr>
    </w:pPr>
    <w:r>
      <w:rPr>
        <w:b/>
        <w:noProof/>
        <w:color w:val="1F3864" w:themeColor="accent1" w:themeShade="80"/>
        <w:lang w:eastAsia="pt-BR"/>
      </w:rPr>
      <w:drawing>
        <wp:anchor distT="0" distB="0" distL="114300" distR="114300" simplePos="0" relativeHeight="251683840" behindDoc="0" locked="0" layoutInCell="1" allowOverlap="1" wp14:anchorId="1D55A247" wp14:editId="793F4665">
          <wp:simplePos x="0" y="0"/>
          <wp:positionH relativeFrom="margin">
            <wp:align>left</wp:align>
          </wp:positionH>
          <wp:positionV relativeFrom="topMargin">
            <wp:posOffset>372745</wp:posOffset>
          </wp:positionV>
          <wp:extent cx="2064385" cy="695325"/>
          <wp:effectExtent l="0" t="0" r="0" b="9525"/>
          <wp:wrapSquare wrapText="bothSides"/>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png"/>
                  <pic:cNvPicPr/>
                </pic:nvPicPr>
                <pic:blipFill>
                  <a:blip r:embed="rId1">
                    <a:extLst>
                      <a:ext uri="{28A0092B-C50C-407E-A947-70E740481C1C}">
                        <a14:useLocalDpi xmlns:a14="http://schemas.microsoft.com/office/drawing/2010/main" val="0"/>
                      </a:ext>
                    </a:extLst>
                  </a:blip>
                  <a:stretch>
                    <a:fillRect/>
                  </a:stretch>
                </pic:blipFill>
                <pic:spPr>
                  <a:xfrm>
                    <a:off x="0" y="0"/>
                    <a:ext cx="2064385" cy="695325"/>
                  </a:xfrm>
                  <a:prstGeom prst="rect">
                    <a:avLst/>
                  </a:prstGeom>
                </pic:spPr>
              </pic:pic>
            </a:graphicData>
          </a:graphic>
          <wp14:sizeRelH relativeFrom="margin">
            <wp14:pctWidth>0</wp14:pctWidth>
          </wp14:sizeRelH>
          <wp14:sizeRelV relativeFrom="margin">
            <wp14:pctHeight>0</wp14:pctHeight>
          </wp14:sizeRelV>
        </wp:anchor>
      </w:drawing>
    </w:r>
    <w:r w:rsidRPr="00C305DB">
      <w:rPr>
        <w:rFonts w:ascii="Times New Roman" w:hAnsi="Times New Roman"/>
        <w:b/>
      </w:rPr>
      <w:t xml:space="preserve">Comissão Parlamentar de Inquérito </w:t>
    </w:r>
  </w:p>
  <w:p w14:paraId="209216CC" w14:textId="77777777" w:rsidR="003A317A" w:rsidRPr="00C305DB" w:rsidRDefault="003A317A" w:rsidP="00A63313">
    <w:pPr>
      <w:pStyle w:val="Cabealho"/>
      <w:tabs>
        <w:tab w:val="clear" w:pos="4419"/>
        <w:tab w:val="clear" w:pos="8838"/>
        <w:tab w:val="left" w:pos="7513"/>
        <w:tab w:val="left" w:pos="9348"/>
      </w:tabs>
      <w:ind w:right="360"/>
      <w:jc w:val="right"/>
      <w:rPr>
        <w:b/>
      </w:rPr>
    </w:pPr>
    <w:r w:rsidRPr="00C305DB">
      <w:rPr>
        <w:rFonts w:ascii="Times New Roman" w:hAnsi="Times New Roman"/>
        <w:b/>
      </w:rPr>
      <w:t>dos Incentivos Fiscais</w:t>
    </w:r>
    <w:r w:rsidRPr="00C305DB">
      <w:rPr>
        <w:b/>
        <w:noProof/>
        <w:lang w:eastAsia="pt-BR"/>
      </w:rPr>
      <w:t xml:space="preserve"> </w:t>
    </w:r>
  </w:p>
  <w:p w14:paraId="1F815499" w14:textId="77777777" w:rsidR="003A317A" w:rsidRPr="004A22DD" w:rsidRDefault="003A317A" w:rsidP="008873CF">
    <w:pPr>
      <w:pStyle w:val="Cabealho"/>
      <w:jc w:val="right"/>
    </w:pPr>
  </w:p>
  <w:p w14:paraId="3F9725CF" w14:textId="77777777" w:rsidR="003A317A" w:rsidRPr="004A22DD" w:rsidRDefault="003A317A" w:rsidP="008873CF">
    <w:pPr>
      <w:pStyle w:val="Cabealho"/>
      <w:jc w:val="right"/>
      <w:rPr>
        <w:rFonts w:cs="Arial"/>
        <w:b/>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6751C2" w14:textId="77777777" w:rsidR="003A317A" w:rsidRDefault="003A317A">
    <w:pPr>
      <w:pStyle w:val="Cabealho"/>
    </w:pPr>
    <w:r>
      <w:rPr>
        <w:noProof/>
        <w:lang w:eastAsia="pt-BR"/>
      </w:rPr>
      <w:drawing>
        <wp:anchor distT="0" distB="0" distL="114300" distR="114300" simplePos="0" relativeHeight="251682816" behindDoc="1" locked="0" layoutInCell="0" allowOverlap="1" wp14:anchorId="0B7C9146" wp14:editId="44DDD237">
          <wp:simplePos x="0" y="0"/>
          <wp:positionH relativeFrom="margin">
            <wp:align>center</wp:align>
          </wp:positionH>
          <wp:positionV relativeFrom="margin">
            <wp:align>center</wp:align>
          </wp:positionV>
          <wp:extent cx="7499350" cy="7721600"/>
          <wp:effectExtent l="0" t="0" r="0" b="0"/>
          <wp:wrapNone/>
          <wp:docPr id="96" name="Imagem 96" descr="/Users/design/Desktop/PAPEL TIMBRADO DIGITAL/bgEsc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design/Desktop/PAPEL TIMBRADO DIGITAL/bgEscur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99350" cy="77216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80768" behindDoc="1" locked="0" layoutInCell="0" allowOverlap="1" wp14:anchorId="0CD67322" wp14:editId="1A0B8917">
          <wp:simplePos x="0" y="0"/>
          <wp:positionH relativeFrom="margin">
            <wp:align>center</wp:align>
          </wp:positionH>
          <wp:positionV relativeFrom="margin">
            <wp:align>center</wp:align>
          </wp:positionV>
          <wp:extent cx="5386705" cy="7705725"/>
          <wp:effectExtent l="0" t="0" r="4445" b="9525"/>
          <wp:wrapNone/>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386705" cy="77057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065DE" w14:textId="77777777" w:rsidR="003A317A" w:rsidRDefault="003A317A" w:rsidP="00C079D4">
    <w:pPr>
      <w:pStyle w:val="Cabealho"/>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5C0A321" w14:textId="77777777" w:rsidR="003A317A" w:rsidRDefault="003A317A" w:rsidP="00A63313">
    <w:pPr>
      <w:pStyle w:val="Cabealho"/>
      <w:framePr w:wrap="none" w:vAnchor="text" w:hAnchor="margin" w:xAlign="right" w:y="1"/>
      <w:ind w:right="360"/>
      <w:rPr>
        <w:rStyle w:val="Nmerodepgina"/>
      </w:rPr>
    </w:pPr>
    <w:r>
      <w:rPr>
        <w:rStyle w:val="Nmerodepgina"/>
      </w:rPr>
      <w:fldChar w:fldCharType="begin"/>
    </w:r>
    <w:r>
      <w:rPr>
        <w:rStyle w:val="Nmerodepgina"/>
      </w:rPr>
      <w:instrText xml:space="preserve">PAGE  </w:instrText>
    </w:r>
    <w:r>
      <w:rPr>
        <w:rStyle w:val="Nmerodepgina"/>
      </w:rPr>
      <w:fldChar w:fldCharType="end"/>
    </w:r>
  </w:p>
  <w:p w14:paraId="2A3F0CA5" w14:textId="0CB8101B" w:rsidR="003A317A" w:rsidRDefault="003A317A" w:rsidP="00B261C3">
    <w:pPr>
      <w:pStyle w:val="Cabealho"/>
      <w:ind w:right="360"/>
    </w:pPr>
    <w:r>
      <w:rPr>
        <w:noProof/>
        <w:lang w:eastAsia="pt-BR"/>
      </w:rPr>
      <w:drawing>
        <wp:anchor distT="0" distB="0" distL="114300" distR="114300" simplePos="0" relativeHeight="251672576" behindDoc="1" locked="0" layoutInCell="0" allowOverlap="1" wp14:anchorId="03211328" wp14:editId="26E897A9">
          <wp:simplePos x="0" y="0"/>
          <wp:positionH relativeFrom="margin">
            <wp:align>center</wp:align>
          </wp:positionH>
          <wp:positionV relativeFrom="margin">
            <wp:align>center</wp:align>
          </wp:positionV>
          <wp:extent cx="7499350" cy="7721600"/>
          <wp:effectExtent l="0" t="0" r="0" b="0"/>
          <wp:wrapNone/>
          <wp:docPr id="90" name="Imagem 90" descr="/Users/design/Desktop/PAPEL TIMBRADO DIGITAL/bgEsc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design/Desktop/PAPEL TIMBRADO DIGITAL/bgEscur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99350" cy="77216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70528" behindDoc="1" locked="0" layoutInCell="0" allowOverlap="1" wp14:anchorId="5C88224C" wp14:editId="268D1053">
          <wp:simplePos x="0" y="0"/>
          <wp:positionH relativeFrom="margin">
            <wp:align>center</wp:align>
          </wp:positionH>
          <wp:positionV relativeFrom="margin">
            <wp:align>center</wp:align>
          </wp:positionV>
          <wp:extent cx="5386705" cy="7705725"/>
          <wp:effectExtent l="0" t="0" r="4445" b="9525"/>
          <wp:wrapNone/>
          <wp:docPr id="81" name="Imagem 81" descr="bgpapelTimb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gpapelTimbrad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386705" cy="77057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987901" w14:textId="73621142" w:rsidR="003A317A" w:rsidRDefault="003A317A" w:rsidP="00A63313">
    <w:pPr>
      <w:pStyle w:val="Cabealho"/>
      <w:tabs>
        <w:tab w:val="clear" w:pos="4419"/>
        <w:tab w:val="clear" w:pos="8838"/>
        <w:tab w:val="left" w:pos="7513"/>
        <w:tab w:val="left" w:pos="9348"/>
      </w:tabs>
      <w:ind w:right="360"/>
      <w:jc w:val="right"/>
      <w:rPr>
        <w:rFonts w:ascii="Times New Roman" w:hAnsi="Times New Roman"/>
        <w:b/>
      </w:rPr>
    </w:pPr>
    <w:r>
      <w:rPr>
        <w:b/>
        <w:noProof/>
        <w:color w:val="1F3864" w:themeColor="accent1" w:themeShade="80"/>
        <w:lang w:eastAsia="pt-BR"/>
      </w:rPr>
      <w:drawing>
        <wp:anchor distT="0" distB="0" distL="114300" distR="114300" simplePos="0" relativeHeight="251677696" behindDoc="0" locked="0" layoutInCell="1" allowOverlap="1" wp14:anchorId="11B15723" wp14:editId="3B2B9D8C">
          <wp:simplePos x="0" y="0"/>
          <wp:positionH relativeFrom="margin">
            <wp:align>left</wp:align>
          </wp:positionH>
          <wp:positionV relativeFrom="topMargin">
            <wp:posOffset>372745</wp:posOffset>
          </wp:positionV>
          <wp:extent cx="2064385" cy="695325"/>
          <wp:effectExtent l="0" t="0" r="0" b="9525"/>
          <wp:wrapSquare wrapText="bothSides"/>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png"/>
                  <pic:cNvPicPr/>
                </pic:nvPicPr>
                <pic:blipFill>
                  <a:blip r:embed="rId1">
                    <a:extLst>
                      <a:ext uri="{28A0092B-C50C-407E-A947-70E740481C1C}">
                        <a14:useLocalDpi xmlns:a14="http://schemas.microsoft.com/office/drawing/2010/main" val="0"/>
                      </a:ext>
                    </a:extLst>
                  </a:blip>
                  <a:stretch>
                    <a:fillRect/>
                  </a:stretch>
                </pic:blipFill>
                <pic:spPr>
                  <a:xfrm>
                    <a:off x="0" y="0"/>
                    <a:ext cx="2064385" cy="695325"/>
                  </a:xfrm>
                  <a:prstGeom prst="rect">
                    <a:avLst/>
                  </a:prstGeom>
                </pic:spPr>
              </pic:pic>
            </a:graphicData>
          </a:graphic>
          <wp14:sizeRelH relativeFrom="margin">
            <wp14:pctWidth>0</wp14:pctWidth>
          </wp14:sizeRelH>
          <wp14:sizeRelV relativeFrom="margin">
            <wp14:pctHeight>0</wp14:pctHeight>
          </wp14:sizeRelV>
        </wp:anchor>
      </w:drawing>
    </w:r>
    <w:r w:rsidRPr="00C305DB">
      <w:rPr>
        <w:rFonts w:ascii="Times New Roman" w:hAnsi="Times New Roman"/>
        <w:b/>
      </w:rPr>
      <w:t xml:space="preserve">Comissão Parlamentar de Inquérito </w:t>
    </w:r>
  </w:p>
  <w:p w14:paraId="5866F44D" w14:textId="13B07415" w:rsidR="003A317A" w:rsidRPr="00C305DB" w:rsidRDefault="003A317A" w:rsidP="00A63313">
    <w:pPr>
      <w:pStyle w:val="Cabealho"/>
      <w:tabs>
        <w:tab w:val="clear" w:pos="4419"/>
        <w:tab w:val="clear" w:pos="8838"/>
        <w:tab w:val="left" w:pos="7513"/>
        <w:tab w:val="left" w:pos="9348"/>
      </w:tabs>
      <w:ind w:right="360"/>
      <w:jc w:val="right"/>
      <w:rPr>
        <w:b/>
      </w:rPr>
    </w:pPr>
    <w:r w:rsidRPr="00C305DB">
      <w:rPr>
        <w:rFonts w:ascii="Times New Roman" w:hAnsi="Times New Roman"/>
        <w:b/>
      </w:rPr>
      <w:t>dos Incentivos Fiscais</w:t>
    </w:r>
    <w:r w:rsidRPr="00C305DB">
      <w:rPr>
        <w:b/>
        <w:noProof/>
        <w:lang w:eastAsia="pt-BR"/>
      </w:rPr>
      <w:t xml:space="preserve"> </w:t>
    </w:r>
  </w:p>
  <w:p w14:paraId="00B71F1E" w14:textId="77777777" w:rsidR="003A317A" w:rsidRPr="004A22DD" w:rsidRDefault="003A317A" w:rsidP="008873CF">
    <w:pPr>
      <w:pStyle w:val="Cabealho"/>
      <w:jc w:val="right"/>
    </w:pPr>
  </w:p>
  <w:p w14:paraId="0C318004" w14:textId="77777777" w:rsidR="003A317A" w:rsidRPr="004A22DD" w:rsidRDefault="003A317A" w:rsidP="008873CF">
    <w:pPr>
      <w:pStyle w:val="Cabealho"/>
      <w:jc w:val="right"/>
      <w:rPr>
        <w:rFonts w:cs="Arial"/>
        <w:b/>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19FD5" w14:textId="151B05E0" w:rsidR="003A317A" w:rsidRDefault="003A317A">
    <w:pPr>
      <w:pStyle w:val="Cabealho"/>
    </w:pPr>
    <w:r>
      <w:rPr>
        <w:noProof/>
        <w:lang w:eastAsia="pt-BR"/>
      </w:rPr>
      <w:drawing>
        <wp:anchor distT="0" distB="0" distL="114300" distR="114300" simplePos="0" relativeHeight="251673600" behindDoc="1" locked="0" layoutInCell="0" allowOverlap="1" wp14:anchorId="4CFC9D49" wp14:editId="122ADF20">
          <wp:simplePos x="0" y="0"/>
          <wp:positionH relativeFrom="margin">
            <wp:align>center</wp:align>
          </wp:positionH>
          <wp:positionV relativeFrom="margin">
            <wp:align>center</wp:align>
          </wp:positionV>
          <wp:extent cx="7499350" cy="7721600"/>
          <wp:effectExtent l="0" t="0" r="0" b="0"/>
          <wp:wrapNone/>
          <wp:docPr id="92" name="Imagem 92" descr="/Users/design/Desktop/PAPEL TIMBRADO DIGITAL/bgEsc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design/Desktop/PAPEL TIMBRADO DIGITAL/bgEscur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99350" cy="77216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71552" behindDoc="1" locked="0" layoutInCell="0" allowOverlap="1" wp14:anchorId="6D9898F2" wp14:editId="30A3C075">
          <wp:simplePos x="0" y="0"/>
          <wp:positionH relativeFrom="margin">
            <wp:align>center</wp:align>
          </wp:positionH>
          <wp:positionV relativeFrom="margin">
            <wp:align>center</wp:align>
          </wp:positionV>
          <wp:extent cx="5386705" cy="7705725"/>
          <wp:effectExtent l="0" t="0" r="4445" b="9525"/>
          <wp:wrapNone/>
          <wp:docPr id="80" name="Imagem 80" descr="bgpapelTimb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gpapelTimbrad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386705" cy="770572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2"/>
    <w:lvl w:ilvl="0">
      <w:numFmt w:val="bullet"/>
      <w:suff w:val="nothing"/>
      <w:lvlText w:val="-"/>
      <w:lvlJc w:val="left"/>
      <w:pPr>
        <w:tabs>
          <w:tab w:val="num" w:pos="0"/>
        </w:tabs>
        <w:ind w:left="0" w:firstLine="0"/>
      </w:pPr>
      <w:rPr>
        <w:rFonts w:ascii="StarSymbol" w:hAnsi="StarSymbol"/>
      </w:rPr>
    </w:lvl>
  </w:abstractNum>
  <w:abstractNum w:abstractNumId="1" w15:restartNumberingAfterBreak="0">
    <w:nsid w:val="00000003"/>
    <w:multiLevelType w:val="singleLevel"/>
    <w:tmpl w:val="00000003"/>
    <w:name w:val="WW8Num3"/>
    <w:lvl w:ilvl="0">
      <w:start w:val="1"/>
      <w:numFmt w:val="bullet"/>
      <w:pStyle w:val="NotaDisc2"/>
      <w:suff w:val="nothing"/>
      <w:lvlText w:val=""/>
      <w:lvlJc w:val="left"/>
      <w:pPr>
        <w:tabs>
          <w:tab w:val="num" w:pos="0"/>
        </w:tabs>
        <w:ind w:left="0" w:firstLine="0"/>
      </w:pPr>
      <w:rPr>
        <w:rFonts w:ascii="Symbol" w:hAnsi="Symbol"/>
      </w:rPr>
    </w:lvl>
  </w:abstractNum>
  <w:abstractNum w:abstractNumId="2" w15:restartNumberingAfterBreak="0">
    <w:nsid w:val="00000004"/>
    <w:multiLevelType w:val="multilevel"/>
    <w:tmpl w:val="00000004"/>
    <w:name w:val="WW8Num4"/>
    <w:lvl w:ilvl="0">
      <w:start w:val="2"/>
      <w:numFmt w:val="decimal"/>
      <w:suff w:val="nothing"/>
      <w:lvlText w:val="%1."/>
      <w:lvlJc w:val="left"/>
      <w:pPr>
        <w:tabs>
          <w:tab w:val="num" w:pos="0"/>
        </w:tabs>
        <w:ind w:left="0" w:firstLine="0"/>
      </w:pPr>
    </w:lvl>
    <w:lvl w:ilvl="1">
      <w:start w:val="1"/>
      <w:numFmt w:val="decimal"/>
      <w:suff w:val="nothing"/>
      <w:lvlText w:val="%2."/>
      <w:lvlJc w:val="left"/>
      <w:pPr>
        <w:tabs>
          <w:tab w:val="num" w:pos="0"/>
        </w:tabs>
        <w:ind w:left="0" w:firstLine="0"/>
      </w:pPr>
    </w:lvl>
    <w:lvl w:ilvl="2">
      <w:start w:val="1"/>
      <w:numFmt w:val="decimal"/>
      <w:suff w:val="nothing"/>
      <w:lvlText w:val="%3."/>
      <w:lvlJc w:val="left"/>
      <w:pPr>
        <w:tabs>
          <w:tab w:val="num" w:pos="0"/>
        </w:tabs>
        <w:ind w:left="0" w:firstLine="0"/>
      </w:pPr>
    </w:lvl>
    <w:lvl w:ilvl="3">
      <w:start w:val="1"/>
      <w:numFmt w:val="decimal"/>
      <w:suff w:val="nothing"/>
      <w:lvlText w:val="%4."/>
      <w:lvlJc w:val="left"/>
      <w:pPr>
        <w:tabs>
          <w:tab w:val="num" w:pos="0"/>
        </w:tabs>
        <w:ind w:left="0" w:firstLine="0"/>
      </w:pPr>
    </w:lvl>
    <w:lvl w:ilvl="4">
      <w:start w:val="1"/>
      <w:numFmt w:val="decimal"/>
      <w:suff w:val="nothing"/>
      <w:lvlText w:val="%5."/>
      <w:lvlJc w:val="left"/>
      <w:pPr>
        <w:tabs>
          <w:tab w:val="num" w:pos="0"/>
        </w:tabs>
        <w:ind w:left="0" w:firstLine="0"/>
      </w:pPr>
    </w:lvl>
    <w:lvl w:ilvl="5">
      <w:start w:val="1"/>
      <w:numFmt w:val="decimal"/>
      <w:suff w:val="nothing"/>
      <w:lvlText w:val="%6."/>
      <w:lvlJc w:val="left"/>
      <w:pPr>
        <w:tabs>
          <w:tab w:val="num" w:pos="0"/>
        </w:tabs>
        <w:ind w:left="0" w:firstLine="0"/>
      </w:pPr>
    </w:lvl>
    <w:lvl w:ilvl="6">
      <w:start w:val="1"/>
      <w:numFmt w:val="decimal"/>
      <w:suff w:val="nothing"/>
      <w:lvlText w:val="%7."/>
      <w:lvlJc w:val="left"/>
      <w:pPr>
        <w:tabs>
          <w:tab w:val="num" w:pos="0"/>
        </w:tabs>
        <w:ind w:left="0" w:firstLine="0"/>
      </w:pPr>
    </w:lvl>
    <w:lvl w:ilvl="7">
      <w:start w:val="1"/>
      <w:numFmt w:val="decimal"/>
      <w:suff w:val="nothing"/>
      <w:lvlText w:val="%8."/>
      <w:lvlJc w:val="left"/>
      <w:pPr>
        <w:tabs>
          <w:tab w:val="num" w:pos="0"/>
        </w:tabs>
        <w:ind w:left="0" w:firstLine="0"/>
      </w:pPr>
    </w:lvl>
    <w:lvl w:ilvl="8">
      <w:start w:val="1"/>
      <w:numFmt w:val="decimal"/>
      <w:suff w:val="nothing"/>
      <w:lvlText w:val="%9."/>
      <w:lvlJc w:val="left"/>
      <w:pPr>
        <w:tabs>
          <w:tab w:val="num" w:pos="0"/>
        </w:tabs>
        <w:ind w:left="0" w:firstLine="0"/>
      </w:pPr>
    </w:lvl>
  </w:abstractNum>
  <w:abstractNum w:abstractNumId="3" w15:restartNumberingAfterBreak="0">
    <w:nsid w:val="00000005"/>
    <w:multiLevelType w:val="multilevel"/>
    <w:tmpl w:val="00000005"/>
    <w:name w:val="WW8Num5"/>
    <w:lvl w:ilvl="0">
      <w:start w:val="2"/>
      <w:numFmt w:val="decimal"/>
      <w:suff w:val="nothing"/>
      <w:lvlText w:val="%1."/>
      <w:lvlJc w:val="left"/>
      <w:pPr>
        <w:tabs>
          <w:tab w:val="num" w:pos="0"/>
        </w:tabs>
        <w:ind w:left="0" w:firstLine="0"/>
      </w:pPr>
    </w:lvl>
    <w:lvl w:ilvl="1">
      <w:start w:val="1"/>
      <w:numFmt w:val="decimal"/>
      <w:suff w:val="nothing"/>
      <w:lvlText w:val="%2."/>
      <w:lvlJc w:val="left"/>
      <w:pPr>
        <w:tabs>
          <w:tab w:val="num" w:pos="0"/>
        </w:tabs>
        <w:ind w:left="0" w:firstLine="0"/>
      </w:pPr>
    </w:lvl>
    <w:lvl w:ilvl="2">
      <w:start w:val="1"/>
      <w:numFmt w:val="decimal"/>
      <w:suff w:val="nothing"/>
      <w:lvlText w:val="%3."/>
      <w:lvlJc w:val="left"/>
      <w:pPr>
        <w:tabs>
          <w:tab w:val="num" w:pos="0"/>
        </w:tabs>
        <w:ind w:left="0" w:firstLine="0"/>
      </w:pPr>
    </w:lvl>
    <w:lvl w:ilvl="3">
      <w:start w:val="1"/>
      <w:numFmt w:val="decimal"/>
      <w:suff w:val="nothing"/>
      <w:lvlText w:val="%4."/>
      <w:lvlJc w:val="left"/>
      <w:pPr>
        <w:tabs>
          <w:tab w:val="num" w:pos="0"/>
        </w:tabs>
        <w:ind w:left="0" w:firstLine="0"/>
      </w:pPr>
    </w:lvl>
    <w:lvl w:ilvl="4">
      <w:start w:val="1"/>
      <w:numFmt w:val="decimal"/>
      <w:suff w:val="nothing"/>
      <w:lvlText w:val="%5."/>
      <w:lvlJc w:val="left"/>
      <w:pPr>
        <w:tabs>
          <w:tab w:val="num" w:pos="0"/>
        </w:tabs>
        <w:ind w:left="0" w:firstLine="0"/>
      </w:pPr>
    </w:lvl>
    <w:lvl w:ilvl="5">
      <w:start w:val="1"/>
      <w:numFmt w:val="decimal"/>
      <w:suff w:val="nothing"/>
      <w:lvlText w:val="%6."/>
      <w:lvlJc w:val="left"/>
      <w:pPr>
        <w:tabs>
          <w:tab w:val="num" w:pos="0"/>
        </w:tabs>
        <w:ind w:left="0" w:firstLine="0"/>
      </w:pPr>
    </w:lvl>
    <w:lvl w:ilvl="6">
      <w:start w:val="1"/>
      <w:numFmt w:val="decimal"/>
      <w:suff w:val="nothing"/>
      <w:lvlText w:val="%7."/>
      <w:lvlJc w:val="left"/>
      <w:pPr>
        <w:tabs>
          <w:tab w:val="num" w:pos="0"/>
        </w:tabs>
        <w:ind w:left="0" w:firstLine="0"/>
      </w:pPr>
    </w:lvl>
    <w:lvl w:ilvl="7">
      <w:start w:val="1"/>
      <w:numFmt w:val="decimal"/>
      <w:suff w:val="nothing"/>
      <w:lvlText w:val="%8."/>
      <w:lvlJc w:val="left"/>
      <w:pPr>
        <w:tabs>
          <w:tab w:val="num" w:pos="0"/>
        </w:tabs>
        <w:ind w:left="0" w:firstLine="0"/>
      </w:pPr>
    </w:lvl>
    <w:lvl w:ilvl="8">
      <w:start w:val="1"/>
      <w:numFmt w:val="decimal"/>
      <w:suff w:val="nothing"/>
      <w:lvlText w:val="%9."/>
      <w:lvlJc w:val="left"/>
      <w:pPr>
        <w:tabs>
          <w:tab w:val="num" w:pos="0"/>
        </w:tabs>
        <w:ind w:left="0" w:firstLine="0"/>
      </w:pPr>
    </w:lvl>
  </w:abstractNum>
  <w:abstractNum w:abstractNumId="4" w15:restartNumberingAfterBreak="0">
    <w:nsid w:val="009A38D0"/>
    <w:multiLevelType w:val="hybridMultilevel"/>
    <w:tmpl w:val="E9E20EE2"/>
    <w:lvl w:ilvl="0" w:tplc="04160017">
      <w:start w:val="1"/>
      <w:numFmt w:val="lowerLetter"/>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014E2D16"/>
    <w:multiLevelType w:val="hybridMultilevel"/>
    <w:tmpl w:val="C21C327A"/>
    <w:lvl w:ilvl="0" w:tplc="9592764C">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6" w15:restartNumberingAfterBreak="0">
    <w:nsid w:val="02C31983"/>
    <w:multiLevelType w:val="hybridMultilevel"/>
    <w:tmpl w:val="3392CE88"/>
    <w:lvl w:ilvl="0" w:tplc="ACA480AE">
      <w:start w:val="1"/>
      <w:numFmt w:val="decimal"/>
      <w:lvlText w:val="%1."/>
      <w:lvlJc w:val="left"/>
      <w:pPr>
        <w:ind w:left="2912" w:hanging="360"/>
      </w:pPr>
      <w:rPr>
        <w:rFonts w:hint="default"/>
      </w:rPr>
    </w:lvl>
    <w:lvl w:ilvl="1" w:tplc="04160019" w:tentative="1">
      <w:start w:val="1"/>
      <w:numFmt w:val="lowerLetter"/>
      <w:lvlText w:val="%2."/>
      <w:lvlJc w:val="left"/>
      <w:pPr>
        <w:ind w:left="3632" w:hanging="360"/>
      </w:pPr>
    </w:lvl>
    <w:lvl w:ilvl="2" w:tplc="0416001B" w:tentative="1">
      <w:start w:val="1"/>
      <w:numFmt w:val="lowerRoman"/>
      <w:lvlText w:val="%3."/>
      <w:lvlJc w:val="right"/>
      <w:pPr>
        <w:ind w:left="4352" w:hanging="180"/>
      </w:pPr>
    </w:lvl>
    <w:lvl w:ilvl="3" w:tplc="0416000F" w:tentative="1">
      <w:start w:val="1"/>
      <w:numFmt w:val="decimal"/>
      <w:lvlText w:val="%4."/>
      <w:lvlJc w:val="left"/>
      <w:pPr>
        <w:ind w:left="5072" w:hanging="360"/>
      </w:pPr>
    </w:lvl>
    <w:lvl w:ilvl="4" w:tplc="04160019" w:tentative="1">
      <w:start w:val="1"/>
      <w:numFmt w:val="lowerLetter"/>
      <w:lvlText w:val="%5."/>
      <w:lvlJc w:val="left"/>
      <w:pPr>
        <w:ind w:left="5792" w:hanging="360"/>
      </w:pPr>
    </w:lvl>
    <w:lvl w:ilvl="5" w:tplc="0416001B" w:tentative="1">
      <w:start w:val="1"/>
      <w:numFmt w:val="lowerRoman"/>
      <w:lvlText w:val="%6."/>
      <w:lvlJc w:val="right"/>
      <w:pPr>
        <w:ind w:left="6512" w:hanging="180"/>
      </w:pPr>
    </w:lvl>
    <w:lvl w:ilvl="6" w:tplc="0416000F" w:tentative="1">
      <w:start w:val="1"/>
      <w:numFmt w:val="decimal"/>
      <w:lvlText w:val="%7."/>
      <w:lvlJc w:val="left"/>
      <w:pPr>
        <w:ind w:left="7232" w:hanging="360"/>
      </w:pPr>
    </w:lvl>
    <w:lvl w:ilvl="7" w:tplc="04160019" w:tentative="1">
      <w:start w:val="1"/>
      <w:numFmt w:val="lowerLetter"/>
      <w:lvlText w:val="%8."/>
      <w:lvlJc w:val="left"/>
      <w:pPr>
        <w:ind w:left="7952" w:hanging="360"/>
      </w:pPr>
    </w:lvl>
    <w:lvl w:ilvl="8" w:tplc="0416001B" w:tentative="1">
      <w:start w:val="1"/>
      <w:numFmt w:val="lowerRoman"/>
      <w:lvlText w:val="%9."/>
      <w:lvlJc w:val="right"/>
      <w:pPr>
        <w:ind w:left="8672" w:hanging="180"/>
      </w:pPr>
    </w:lvl>
  </w:abstractNum>
  <w:abstractNum w:abstractNumId="7" w15:restartNumberingAfterBreak="0">
    <w:nsid w:val="0472390C"/>
    <w:multiLevelType w:val="hybridMultilevel"/>
    <w:tmpl w:val="BAA290F2"/>
    <w:lvl w:ilvl="0" w:tplc="E6F4C5B8">
      <w:start w:val="1"/>
      <w:numFmt w:val="lowerLetter"/>
      <w:lvlText w:val="%1)"/>
      <w:lvlJc w:val="left"/>
      <w:pPr>
        <w:ind w:left="2989" w:hanging="360"/>
      </w:pPr>
      <w:rPr>
        <w:rFonts w:hint="default"/>
      </w:rPr>
    </w:lvl>
    <w:lvl w:ilvl="1" w:tplc="04160019" w:tentative="1">
      <w:start w:val="1"/>
      <w:numFmt w:val="lowerLetter"/>
      <w:lvlText w:val="%2."/>
      <w:lvlJc w:val="left"/>
      <w:pPr>
        <w:ind w:left="3709" w:hanging="360"/>
      </w:pPr>
    </w:lvl>
    <w:lvl w:ilvl="2" w:tplc="0416001B" w:tentative="1">
      <w:start w:val="1"/>
      <w:numFmt w:val="lowerRoman"/>
      <w:lvlText w:val="%3."/>
      <w:lvlJc w:val="right"/>
      <w:pPr>
        <w:ind w:left="4429" w:hanging="180"/>
      </w:pPr>
    </w:lvl>
    <w:lvl w:ilvl="3" w:tplc="0416000F" w:tentative="1">
      <w:start w:val="1"/>
      <w:numFmt w:val="decimal"/>
      <w:lvlText w:val="%4."/>
      <w:lvlJc w:val="left"/>
      <w:pPr>
        <w:ind w:left="5149" w:hanging="360"/>
      </w:pPr>
    </w:lvl>
    <w:lvl w:ilvl="4" w:tplc="04160019" w:tentative="1">
      <w:start w:val="1"/>
      <w:numFmt w:val="lowerLetter"/>
      <w:lvlText w:val="%5."/>
      <w:lvlJc w:val="left"/>
      <w:pPr>
        <w:ind w:left="5869" w:hanging="360"/>
      </w:pPr>
    </w:lvl>
    <w:lvl w:ilvl="5" w:tplc="0416001B" w:tentative="1">
      <w:start w:val="1"/>
      <w:numFmt w:val="lowerRoman"/>
      <w:lvlText w:val="%6."/>
      <w:lvlJc w:val="right"/>
      <w:pPr>
        <w:ind w:left="6589" w:hanging="180"/>
      </w:pPr>
    </w:lvl>
    <w:lvl w:ilvl="6" w:tplc="0416000F" w:tentative="1">
      <w:start w:val="1"/>
      <w:numFmt w:val="decimal"/>
      <w:lvlText w:val="%7."/>
      <w:lvlJc w:val="left"/>
      <w:pPr>
        <w:ind w:left="7309" w:hanging="360"/>
      </w:pPr>
    </w:lvl>
    <w:lvl w:ilvl="7" w:tplc="04160019" w:tentative="1">
      <w:start w:val="1"/>
      <w:numFmt w:val="lowerLetter"/>
      <w:lvlText w:val="%8."/>
      <w:lvlJc w:val="left"/>
      <w:pPr>
        <w:ind w:left="8029" w:hanging="360"/>
      </w:pPr>
    </w:lvl>
    <w:lvl w:ilvl="8" w:tplc="0416001B" w:tentative="1">
      <w:start w:val="1"/>
      <w:numFmt w:val="lowerRoman"/>
      <w:lvlText w:val="%9."/>
      <w:lvlJc w:val="right"/>
      <w:pPr>
        <w:ind w:left="8749" w:hanging="180"/>
      </w:pPr>
    </w:lvl>
  </w:abstractNum>
  <w:abstractNum w:abstractNumId="8" w15:restartNumberingAfterBreak="0">
    <w:nsid w:val="06E353D1"/>
    <w:multiLevelType w:val="hybridMultilevel"/>
    <w:tmpl w:val="CE1EDC92"/>
    <w:lvl w:ilvl="0" w:tplc="0F9049A6">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9" w15:restartNumberingAfterBreak="0">
    <w:nsid w:val="0867161B"/>
    <w:multiLevelType w:val="hybridMultilevel"/>
    <w:tmpl w:val="E55457C4"/>
    <w:lvl w:ilvl="0" w:tplc="909AC8A4">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0BB439E3"/>
    <w:multiLevelType w:val="hybridMultilevel"/>
    <w:tmpl w:val="3DB00B66"/>
    <w:lvl w:ilvl="0" w:tplc="457AAD10">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1" w15:restartNumberingAfterBreak="0">
    <w:nsid w:val="0C6C42EB"/>
    <w:multiLevelType w:val="hybridMultilevel"/>
    <w:tmpl w:val="2B2ED396"/>
    <w:lvl w:ilvl="0" w:tplc="F2762AFA">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2" w15:restartNumberingAfterBreak="0">
    <w:nsid w:val="0E1B66BF"/>
    <w:multiLevelType w:val="hybridMultilevel"/>
    <w:tmpl w:val="88B4CA22"/>
    <w:lvl w:ilvl="0" w:tplc="37287DD2">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3" w15:restartNumberingAfterBreak="0">
    <w:nsid w:val="11761614"/>
    <w:multiLevelType w:val="hybridMultilevel"/>
    <w:tmpl w:val="AED82D6A"/>
    <w:lvl w:ilvl="0" w:tplc="3446DE52">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4" w15:restartNumberingAfterBreak="0">
    <w:nsid w:val="118F5AF0"/>
    <w:multiLevelType w:val="hybridMultilevel"/>
    <w:tmpl w:val="59ACB3FC"/>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5" w15:restartNumberingAfterBreak="0">
    <w:nsid w:val="13590172"/>
    <w:multiLevelType w:val="hybridMultilevel"/>
    <w:tmpl w:val="88B4CA22"/>
    <w:lvl w:ilvl="0" w:tplc="37287DD2">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6" w15:restartNumberingAfterBreak="0">
    <w:nsid w:val="14FD5661"/>
    <w:multiLevelType w:val="hybridMultilevel"/>
    <w:tmpl w:val="1FC2BFEE"/>
    <w:lvl w:ilvl="0" w:tplc="8BB6605C">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7" w15:restartNumberingAfterBreak="0">
    <w:nsid w:val="16457FE6"/>
    <w:multiLevelType w:val="hybridMultilevel"/>
    <w:tmpl w:val="F2C868B2"/>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8" w15:restartNumberingAfterBreak="0">
    <w:nsid w:val="1BBD5AC7"/>
    <w:multiLevelType w:val="hybridMultilevel"/>
    <w:tmpl w:val="8E68C306"/>
    <w:lvl w:ilvl="0" w:tplc="C41C0CA6">
      <w:start w:val="1"/>
      <w:numFmt w:val="lowerLetter"/>
      <w:lvlText w:val="%1)"/>
      <w:lvlJc w:val="left"/>
      <w:pPr>
        <w:ind w:left="720" w:hanging="360"/>
      </w:pPr>
      <w:rPr>
        <w:rFonts w:hint="default"/>
        <w:b/>
        <w:u w:val="single"/>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1DBA146D"/>
    <w:multiLevelType w:val="hybridMultilevel"/>
    <w:tmpl w:val="BB66CE9C"/>
    <w:lvl w:ilvl="0" w:tplc="AB5EAE7E">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20" w15:restartNumberingAfterBreak="0">
    <w:nsid w:val="1E3D345C"/>
    <w:multiLevelType w:val="hybridMultilevel"/>
    <w:tmpl w:val="C9323B3C"/>
    <w:lvl w:ilvl="0" w:tplc="6644CF5A">
      <w:start w:val="1"/>
      <w:numFmt w:val="lowerLetter"/>
      <w:lvlText w:val="%1)"/>
      <w:lvlJc w:val="left"/>
      <w:pPr>
        <w:ind w:left="720" w:hanging="360"/>
      </w:pPr>
      <w:rPr>
        <w:rFonts w:hint="default"/>
        <w:b/>
        <w:u w:val="single"/>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1F4E1DE6"/>
    <w:multiLevelType w:val="hybridMultilevel"/>
    <w:tmpl w:val="9196A2D0"/>
    <w:lvl w:ilvl="0" w:tplc="04160017">
      <w:start w:val="1"/>
      <w:numFmt w:val="lowerLetter"/>
      <w:lvlText w:val="%1)"/>
      <w:lvlJc w:val="left"/>
      <w:pPr>
        <w:ind w:left="1571" w:hanging="360"/>
      </w:pPr>
    </w:lvl>
    <w:lvl w:ilvl="1" w:tplc="04160019" w:tentative="1">
      <w:start w:val="1"/>
      <w:numFmt w:val="lowerLetter"/>
      <w:lvlText w:val="%2."/>
      <w:lvlJc w:val="left"/>
      <w:pPr>
        <w:ind w:left="2291" w:hanging="360"/>
      </w:pPr>
    </w:lvl>
    <w:lvl w:ilvl="2" w:tplc="0416001B" w:tentative="1">
      <w:start w:val="1"/>
      <w:numFmt w:val="lowerRoman"/>
      <w:lvlText w:val="%3."/>
      <w:lvlJc w:val="right"/>
      <w:pPr>
        <w:ind w:left="3011" w:hanging="180"/>
      </w:pPr>
    </w:lvl>
    <w:lvl w:ilvl="3" w:tplc="0416000F" w:tentative="1">
      <w:start w:val="1"/>
      <w:numFmt w:val="decimal"/>
      <w:lvlText w:val="%4."/>
      <w:lvlJc w:val="left"/>
      <w:pPr>
        <w:ind w:left="3731" w:hanging="360"/>
      </w:pPr>
    </w:lvl>
    <w:lvl w:ilvl="4" w:tplc="04160019" w:tentative="1">
      <w:start w:val="1"/>
      <w:numFmt w:val="lowerLetter"/>
      <w:lvlText w:val="%5."/>
      <w:lvlJc w:val="left"/>
      <w:pPr>
        <w:ind w:left="4451" w:hanging="360"/>
      </w:pPr>
    </w:lvl>
    <w:lvl w:ilvl="5" w:tplc="0416001B" w:tentative="1">
      <w:start w:val="1"/>
      <w:numFmt w:val="lowerRoman"/>
      <w:lvlText w:val="%6."/>
      <w:lvlJc w:val="right"/>
      <w:pPr>
        <w:ind w:left="5171" w:hanging="180"/>
      </w:pPr>
    </w:lvl>
    <w:lvl w:ilvl="6" w:tplc="0416000F" w:tentative="1">
      <w:start w:val="1"/>
      <w:numFmt w:val="decimal"/>
      <w:lvlText w:val="%7."/>
      <w:lvlJc w:val="left"/>
      <w:pPr>
        <w:ind w:left="5891" w:hanging="360"/>
      </w:pPr>
    </w:lvl>
    <w:lvl w:ilvl="7" w:tplc="04160019" w:tentative="1">
      <w:start w:val="1"/>
      <w:numFmt w:val="lowerLetter"/>
      <w:lvlText w:val="%8."/>
      <w:lvlJc w:val="left"/>
      <w:pPr>
        <w:ind w:left="6611" w:hanging="360"/>
      </w:pPr>
    </w:lvl>
    <w:lvl w:ilvl="8" w:tplc="0416001B" w:tentative="1">
      <w:start w:val="1"/>
      <w:numFmt w:val="lowerRoman"/>
      <w:lvlText w:val="%9."/>
      <w:lvlJc w:val="right"/>
      <w:pPr>
        <w:ind w:left="7331" w:hanging="180"/>
      </w:pPr>
    </w:lvl>
  </w:abstractNum>
  <w:abstractNum w:abstractNumId="22" w15:restartNumberingAfterBreak="0">
    <w:nsid w:val="1FD0263A"/>
    <w:multiLevelType w:val="hybridMultilevel"/>
    <w:tmpl w:val="88B4CA22"/>
    <w:lvl w:ilvl="0" w:tplc="37287DD2">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23" w15:restartNumberingAfterBreak="0">
    <w:nsid w:val="21AD29AF"/>
    <w:multiLevelType w:val="hybridMultilevel"/>
    <w:tmpl w:val="C7A0BBC0"/>
    <w:lvl w:ilvl="0" w:tplc="F216E54A">
      <w:start w:val="1"/>
      <w:numFmt w:val="lowerLetter"/>
      <w:lvlText w:val="%1)"/>
      <w:lvlJc w:val="left"/>
      <w:pPr>
        <w:ind w:left="2912" w:hanging="360"/>
      </w:pPr>
      <w:rPr>
        <w:rFonts w:hint="default"/>
      </w:rPr>
    </w:lvl>
    <w:lvl w:ilvl="1" w:tplc="04160019" w:tentative="1">
      <w:start w:val="1"/>
      <w:numFmt w:val="lowerLetter"/>
      <w:lvlText w:val="%2."/>
      <w:lvlJc w:val="left"/>
      <w:pPr>
        <w:ind w:left="3632" w:hanging="360"/>
      </w:pPr>
    </w:lvl>
    <w:lvl w:ilvl="2" w:tplc="0416001B" w:tentative="1">
      <w:start w:val="1"/>
      <w:numFmt w:val="lowerRoman"/>
      <w:lvlText w:val="%3."/>
      <w:lvlJc w:val="right"/>
      <w:pPr>
        <w:ind w:left="4352" w:hanging="180"/>
      </w:pPr>
    </w:lvl>
    <w:lvl w:ilvl="3" w:tplc="0416000F" w:tentative="1">
      <w:start w:val="1"/>
      <w:numFmt w:val="decimal"/>
      <w:lvlText w:val="%4."/>
      <w:lvlJc w:val="left"/>
      <w:pPr>
        <w:ind w:left="5072" w:hanging="360"/>
      </w:pPr>
    </w:lvl>
    <w:lvl w:ilvl="4" w:tplc="04160019" w:tentative="1">
      <w:start w:val="1"/>
      <w:numFmt w:val="lowerLetter"/>
      <w:lvlText w:val="%5."/>
      <w:lvlJc w:val="left"/>
      <w:pPr>
        <w:ind w:left="5792" w:hanging="360"/>
      </w:pPr>
    </w:lvl>
    <w:lvl w:ilvl="5" w:tplc="0416001B" w:tentative="1">
      <w:start w:val="1"/>
      <w:numFmt w:val="lowerRoman"/>
      <w:lvlText w:val="%6."/>
      <w:lvlJc w:val="right"/>
      <w:pPr>
        <w:ind w:left="6512" w:hanging="180"/>
      </w:pPr>
    </w:lvl>
    <w:lvl w:ilvl="6" w:tplc="0416000F" w:tentative="1">
      <w:start w:val="1"/>
      <w:numFmt w:val="decimal"/>
      <w:lvlText w:val="%7."/>
      <w:lvlJc w:val="left"/>
      <w:pPr>
        <w:ind w:left="7232" w:hanging="360"/>
      </w:pPr>
    </w:lvl>
    <w:lvl w:ilvl="7" w:tplc="04160019" w:tentative="1">
      <w:start w:val="1"/>
      <w:numFmt w:val="lowerLetter"/>
      <w:lvlText w:val="%8."/>
      <w:lvlJc w:val="left"/>
      <w:pPr>
        <w:ind w:left="7952" w:hanging="360"/>
      </w:pPr>
    </w:lvl>
    <w:lvl w:ilvl="8" w:tplc="0416001B" w:tentative="1">
      <w:start w:val="1"/>
      <w:numFmt w:val="lowerRoman"/>
      <w:lvlText w:val="%9."/>
      <w:lvlJc w:val="right"/>
      <w:pPr>
        <w:ind w:left="8672" w:hanging="180"/>
      </w:pPr>
    </w:lvl>
  </w:abstractNum>
  <w:abstractNum w:abstractNumId="24" w15:restartNumberingAfterBreak="0">
    <w:nsid w:val="22F713E6"/>
    <w:multiLevelType w:val="hybridMultilevel"/>
    <w:tmpl w:val="ECBA53F6"/>
    <w:lvl w:ilvl="0" w:tplc="CE565A48">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25" w15:restartNumberingAfterBreak="0">
    <w:nsid w:val="23C45BAD"/>
    <w:multiLevelType w:val="hybridMultilevel"/>
    <w:tmpl w:val="CDFE492C"/>
    <w:lvl w:ilvl="0" w:tplc="079643B4">
      <w:start w:val="1"/>
      <w:numFmt w:val="decimal"/>
      <w:lvlText w:val="%1."/>
      <w:lvlJc w:val="left"/>
      <w:pPr>
        <w:ind w:left="2912" w:hanging="360"/>
      </w:pPr>
      <w:rPr>
        <w:rFonts w:hint="default"/>
      </w:rPr>
    </w:lvl>
    <w:lvl w:ilvl="1" w:tplc="04160019" w:tentative="1">
      <w:start w:val="1"/>
      <w:numFmt w:val="lowerLetter"/>
      <w:lvlText w:val="%2."/>
      <w:lvlJc w:val="left"/>
      <w:pPr>
        <w:ind w:left="3632" w:hanging="360"/>
      </w:pPr>
    </w:lvl>
    <w:lvl w:ilvl="2" w:tplc="0416001B" w:tentative="1">
      <w:start w:val="1"/>
      <w:numFmt w:val="lowerRoman"/>
      <w:lvlText w:val="%3."/>
      <w:lvlJc w:val="right"/>
      <w:pPr>
        <w:ind w:left="4352" w:hanging="180"/>
      </w:pPr>
    </w:lvl>
    <w:lvl w:ilvl="3" w:tplc="0416000F" w:tentative="1">
      <w:start w:val="1"/>
      <w:numFmt w:val="decimal"/>
      <w:lvlText w:val="%4."/>
      <w:lvlJc w:val="left"/>
      <w:pPr>
        <w:ind w:left="5072" w:hanging="360"/>
      </w:pPr>
    </w:lvl>
    <w:lvl w:ilvl="4" w:tplc="04160019" w:tentative="1">
      <w:start w:val="1"/>
      <w:numFmt w:val="lowerLetter"/>
      <w:lvlText w:val="%5."/>
      <w:lvlJc w:val="left"/>
      <w:pPr>
        <w:ind w:left="5792" w:hanging="360"/>
      </w:pPr>
    </w:lvl>
    <w:lvl w:ilvl="5" w:tplc="0416001B" w:tentative="1">
      <w:start w:val="1"/>
      <w:numFmt w:val="lowerRoman"/>
      <w:lvlText w:val="%6."/>
      <w:lvlJc w:val="right"/>
      <w:pPr>
        <w:ind w:left="6512" w:hanging="180"/>
      </w:pPr>
    </w:lvl>
    <w:lvl w:ilvl="6" w:tplc="0416000F" w:tentative="1">
      <w:start w:val="1"/>
      <w:numFmt w:val="decimal"/>
      <w:lvlText w:val="%7."/>
      <w:lvlJc w:val="left"/>
      <w:pPr>
        <w:ind w:left="7232" w:hanging="360"/>
      </w:pPr>
    </w:lvl>
    <w:lvl w:ilvl="7" w:tplc="04160019" w:tentative="1">
      <w:start w:val="1"/>
      <w:numFmt w:val="lowerLetter"/>
      <w:lvlText w:val="%8."/>
      <w:lvlJc w:val="left"/>
      <w:pPr>
        <w:ind w:left="7952" w:hanging="360"/>
      </w:pPr>
    </w:lvl>
    <w:lvl w:ilvl="8" w:tplc="0416001B" w:tentative="1">
      <w:start w:val="1"/>
      <w:numFmt w:val="lowerRoman"/>
      <w:lvlText w:val="%9."/>
      <w:lvlJc w:val="right"/>
      <w:pPr>
        <w:ind w:left="8672" w:hanging="180"/>
      </w:pPr>
    </w:lvl>
  </w:abstractNum>
  <w:abstractNum w:abstractNumId="26" w15:restartNumberingAfterBreak="0">
    <w:nsid w:val="25BF3913"/>
    <w:multiLevelType w:val="hybridMultilevel"/>
    <w:tmpl w:val="81C26B0E"/>
    <w:lvl w:ilvl="0" w:tplc="6644CF5A">
      <w:start w:val="1"/>
      <w:numFmt w:val="lowerLetter"/>
      <w:lvlText w:val="%1)"/>
      <w:lvlJc w:val="left"/>
      <w:pPr>
        <w:ind w:left="720" w:hanging="360"/>
      </w:pPr>
      <w:rPr>
        <w:rFonts w:hint="default"/>
        <w:b/>
        <w:u w:val="single"/>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26B1074E"/>
    <w:multiLevelType w:val="hybridMultilevel"/>
    <w:tmpl w:val="0B344104"/>
    <w:lvl w:ilvl="0" w:tplc="9878B590">
      <w:start w:val="1"/>
      <w:numFmt w:val="lowerLetter"/>
      <w:lvlText w:val="%1)"/>
      <w:lvlJc w:val="left"/>
      <w:pPr>
        <w:ind w:left="2912" w:hanging="360"/>
      </w:pPr>
      <w:rPr>
        <w:rFonts w:hint="default"/>
      </w:rPr>
    </w:lvl>
    <w:lvl w:ilvl="1" w:tplc="04160019" w:tentative="1">
      <w:start w:val="1"/>
      <w:numFmt w:val="lowerLetter"/>
      <w:lvlText w:val="%2."/>
      <w:lvlJc w:val="left"/>
      <w:pPr>
        <w:ind w:left="3632" w:hanging="360"/>
      </w:pPr>
    </w:lvl>
    <w:lvl w:ilvl="2" w:tplc="0416001B" w:tentative="1">
      <w:start w:val="1"/>
      <w:numFmt w:val="lowerRoman"/>
      <w:lvlText w:val="%3."/>
      <w:lvlJc w:val="right"/>
      <w:pPr>
        <w:ind w:left="4352" w:hanging="180"/>
      </w:pPr>
    </w:lvl>
    <w:lvl w:ilvl="3" w:tplc="0416000F" w:tentative="1">
      <w:start w:val="1"/>
      <w:numFmt w:val="decimal"/>
      <w:lvlText w:val="%4."/>
      <w:lvlJc w:val="left"/>
      <w:pPr>
        <w:ind w:left="5072" w:hanging="360"/>
      </w:pPr>
    </w:lvl>
    <w:lvl w:ilvl="4" w:tplc="04160019" w:tentative="1">
      <w:start w:val="1"/>
      <w:numFmt w:val="lowerLetter"/>
      <w:lvlText w:val="%5."/>
      <w:lvlJc w:val="left"/>
      <w:pPr>
        <w:ind w:left="5792" w:hanging="360"/>
      </w:pPr>
    </w:lvl>
    <w:lvl w:ilvl="5" w:tplc="0416001B" w:tentative="1">
      <w:start w:val="1"/>
      <w:numFmt w:val="lowerRoman"/>
      <w:lvlText w:val="%6."/>
      <w:lvlJc w:val="right"/>
      <w:pPr>
        <w:ind w:left="6512" w:hanging="180"/>
      </w:pPr>
    </w:lvl>
    <w:lvl w:ilvl="6" w:tplc="0416000F" w:tentative="1">
      <w:start w:val="1"/>
      <w:numFmt w:val="decimal"/>
      <w:lvlText w:val="%7."/>
      <w:lvlJc w:val="left"/>
      <w:pPr>
        <w:ind w:left="7232" w:hanging="360"/>
      </w:pPr>
    </w:lvl>
    <w:lvl w:ilvl="7" w:tplc="04160019" w:tentative="1">
      <w:start w:val="1"/>
      <w:numFmt w:val="lowerLetter"/>
      <w:lvlText w:val="%8."/>
      <w:lvlJc w:val="left"/>
      <w:pPr>
        <w:ind w:left="7952" w:hanging="360"/>
      </w:pPr>
    </w:lvl>
    <w:lvl w:ilvl="8" w:tplc="0416001B" w:tentative="1">
      <w:start w:val="1"/>
      <w:numFmt w:val="lowerRoman"/>
      <w:lvlText w:val="%9."/>
      <w:lvlJc w:val="right"/>
      <w:pPr>
        <w:ind w:left="8672" w:hanging="180"/>
      </w:pPr>
    </w:lvl>
  </w:abstractNum>
  <w:abstractNum w:abstractNumId="28" w15:restartNumberingAfterBreak="0">
    <w:nsid w:val="30777CE8"/>
    <w:multiLevelType w:val="hybridMultilevel"/>
    <w:tmpl w:val="EF94A0E4"/>
    <w:lvl w:ilvl="0" w:tplc="49FE1C16">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29" w15:restartNumberingAfterBreak="0">
    <w:nsid w:val="31717A14"/>
    <w:multiLevelType w:val="hybridMultilevel"/>
    <w:tmpl w:val="B6D498CA"/>
    <w:lvl w:ilvl="0" w:tplc="8278D0B2">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30" w15:restartNumberingAfterBreak="0">
    <w:nsid w:val="325F12AA"/>
    <w:multiLevelType w:val="hybridMultilevel"/>
    <w:tmpl w:val="88B4CA22"/>
    <w:lvl w:ilvl="0" w:tplc="37287DD2">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31" w15:restartNumberingAfterBreak="0">
    <w:nsid w:val="39326674"/>
    <w:multiLevelType w:val="hybridMultilevel"/>
    <w:tmpl w:val="9822D60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3A824555"/>
    <w:multiLevelType w:val="hybridMultilevel"/>
    <w:tmpl w:val="6220BFEE"/>
    <w:lvl w:ilvl="0" w:tplc="D2524AAE">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33" w15:restartNumberingAfterBreak="0">
    <w:nsid w:val="3FAD2096"/>
    <w:multiLevelType w:val="multilevel"/>
    <w:tmpl w:val="58565E66"/>
    <w:lvl w:ilvl="0">
      <w:start w:val="2"/>
      <w:numFmt w:val="decimal"/>
      <w:lvlText w:val="%1"/>
      <w:lvlJc w:val="left"/>
      <w:pPr>
        <w:ind w:left="360" w:hanging="360"/>
      </w:pPr>
      <w:rPr>
        <w:rFonts w:hint="default"/>
        <w:u w:val="single"/>
      </w:rPr>
    </w:lvl>
    <w:lvl w:ilvl="1">
      <w:start w:val="1"/>
      <w:numFmt w:val="decimal"/>
      <w:lvlText w:val="%1.%2"/>
      <w:lvlJc w:val="left"/>
      <w:pPr>
        <w:ind w:left="1199" w:hanging="360"/>
      </w:pPr>
      <w:rPr>
        <w:rFonts w:hint="default"/>
        <w:u w:val="none"/>
      </w:rPr>
    </w:lvl>
    <w:lvl w:ilvl="2">
      <w:start w:val="1"/>
      <w:numFmt w:val="decimal"/>
      <w:lvlText w:val="%1.%2.%3"/>
      <w:lvlJc w:val="left"/>
      <w:pPr>
        <w:ind w:left="2398" w:hanging="720"/>
      </w:pPr>
      <w:rPr>
        <w:rFonts w:hint="default"/>
        <w:u w:val="single"/>
      </w:rPr>
    </w:lvl>
    <w:lvl w:ilvl="3">
      <w:start w:val="1"/>
      <w:numFmt w:val="decimal"/>
      <w:lvlText w:val="%1.%2.%3.%4"/>
      <w:lvlJc w:val="left"/>
      <w:pPr>
        <w:ind w:left="3237" w:hanging="720"/>
      </w:pPr>
      <w:rPr>
        <w:rFonts w:hint="default"/>
        <w:u w:val="single"/>
      </w:rPr>
    </w:lvl>
    <w:lvl w:ilvl="4">
      <w:start w:val="1"/>
      <w:numFmt w:val="decimal"/>
      <w:lvlText w:val="%1.%2.%3.%4.%5"/>
      <w:lvlJc w:val="left"/>
      <w:pPr>
        <w:ind w:left="4436" w:hanging="1080"/>
      </w:pPr>
      <w:rPr>
        <w:rFonts w:hint="default"/>
        <w:u w:val="single"/>
      </w:rPr>
    </w:lvl>
    <w:lvl w:ilvl="5">
      <w:start w:val="1"/>
      <w:numFmt w:val="decimal"/>
      <w:lvlText w:val="%1.%2.%3.%4.%5.%6"/>
      <w:lvlJc w:val="left"/>
      <w:pPr>
        <w:ind w:left="5275" w:hanging="1080"/>
      </w:pPr>
      <w:rPr>
        <w:rFonts w:hint="default"/>
        <w:u w:val="single"/>
      </w:rPr>
    </w:lvl>
    <w:lvl w:ilvl="6">
      <w:start w:val="1"/>
      <w:numFmt w:val="decimal"/>
      <w:lvlText w:val="%1.%2.%3.%4.%5.%6.%7"/>
      <w:lvlJc w:val="left"/>
      <w:pPr>
        <w:ind w:left="6474" w:hanging="1440"/>
      </w:pPr>
      <w:rPr>
        <w:rFonts w:hint="default"/>
        <w:u w:val="single"/>
      </w:rPr>
    </w:lvl>
    <w:lvl w:ilvl="7">
      <w:start w:val="1"/>
      <w:numFmt w:val="decimal"/>
      <w:lvlText w:val="%1.%2.%3.%4.%5.%6.%7.%8"/>
      <w:lvlJc w:val="left"/>
      <w:pPr>
        <w:ind w:left="7313" w:hanging="1440"/>
      </w:pPr>
      <w:rPr>
        <w:rFonts w:hint="default"/>
        <w:u w:val="single"/>
      </w:rPr>
    </w:lvl>
    <w:lvl w:ilvl="8">
      <w:start w:val="1"/>
      <w:numFmt w:val="decimal"/>
      <w:lvlText w:val="%1.%2.%3.%4.%5.%6.%7.%8.%9"/>
      <w:lvlJc w:val="left"/>
      <w:pPr>
        <w:ind w:left="8512" w:hanging="1800"/>
      </w:pPr>
      <w:rPr>
        <w:rFonts w:hint="default"/>
        <w:u w:val="single"/>
      </w:rPr>
    </w:lvl>
  </w:abstractNum>
  <w:abstractNum w:abstractNumId="34" w15:restartNumberingAfterBreak="0">
    <w:nsid w:val="40634B62"/>
    <w:multiLevelType w:val="hybridMultilevel"/>
    <w:tmpl w:val="2B5E338C"/>
    <w:lvl w:ilvl="0" w:tplc="EB2C8900">
      <w:start w:val="1"/>
      <w:numFmt w:val="decimal"/>
      <w:lvlText w:val="%1."/>
      <w:lvlJc w:val="left"/>
      <w:pPr>
        <w:ind w:left="2912" w:hanging="360"/>
      </w:pPr>
      <w:rPr>
        <w:rFonts w:hint="default"/>
      </w:rPr>
    </w:lvl>
    <w:lvl w:ilvl="1" w:tplc="04160019" w:tentative="1">
      <w:start w:val="1"/>
      <w:numFmt w:val="lowerLetter"/>
      <w:lvlText w:val="%2."/>
      <w:lvlJc w:val="left"/>
      <w:pPr>
        <w:ind w:left="3632" w:hanging="360"/>
      </w:pPr>
    </w:lvl>
    <w:lvl w:ilvl="2" w:tplc="0416001B" w:tentative="1">
      <w:start w:val="1"/>
      <w:numFmt w:val="lowerRoman"/>
      <w:lvlText w:val="%3."/>
      <w:lvlJc w:val="right"/>
      <w:pPr>
        <w:ind w:left="4352" w:hanging="180"/>
      </w:pPr>
    </w:lvl>
    <w:lvl w:ilvl="3" w:tplc="0416000F" w:tentative="1">
      <w:start w:val="1"/>
      <w:numFmt w:val="decimal"/>
      <w:lvlText w:val="%4."/>
      <w:lvlJc w:val="left"/>
      <w:pPr>
        <w:ind w:left="5072" w:hanging="360"/>
      </w:pPr>
    </w:lvl>
    <w:lvl w:ilvl="4" w:tplc="04160019" w:tentative="1">
      <w:start w:val="1"/>
      <w:numFmt w:val="lowerLetter"/>
      <w:lvlText w:val="%5."/>
      <w:lvlJc w:val="left"/>
      <w:pPr>
        <w:ind w:left="5792" w:hanging="360"/>
      </w:pPr>
    </w:lvl>
    <w:lvl w:ilvl="5" w:tplc="0416001B" w:tentative="1">
      <w:start w:val="1"/>
      <w:numFmt w:val="lowerRoman"/>
      <w:lvlText w:val="%6."/>
      <w:lvlJc w:val="right"/>
      <w:pPr>
        <w:ind w:left="6512" w:hanging="180"/>
      </w:pPr>
    </w:lvl>
    <w:lvl w:ilvl="6" w:tplc="0416000F" w:tentative="1">
      <w:start w:val="1"/>
      <w:numFmt w:val="decimal"/>
      <w:lvlText w:val="%7."/>
      <w:lvlJc w:val="left"/>
      <w:pPr>
        <w:ind w:left="7232" w:hanging="360"/>
      </w:pPr>
    </w:lvl>
    <w:lvl w:ilvl="7" w:tplc="04160019" w:tentative="1">
      <w:start w:val="1"/>
      <w:numFmt w:val="lowerLetter"/>
      <w:lvlText w:val="%8."/>
      <w:lvlJc w:val="left"/>
      <w:pPr>
        <w:ind w:left="7952" w:hanging="360"/>
      </w:pPr>
    </w:lvl>
    <w:lvl w:ilvl="8" w:tplc="0416001B" w:tentative="1">
      <w:start w:val="1"/>
      <w:numFmt w:val="lowerRoman"/>
      <w:lvlText w:val="%9."/>
      <w:lvlJc w:val="right"/>
      <w:pPr>
        <w:ind w:left="8672" w:hanging="180"/>
      </w:pPr>
    </w:lvl>
  </w:abstractNum>
  <w:abstractNum w:abstractNumId="35" w15:restartNumberingAfterBreak="0">
    <w:nsid w:val="41300F6C"/>
    <w:multiLevelType w:val="hybridMultilevel"/>
    <w:tmpl w:val="CD188B84"/>
    <w:lvl w:ilvl="0" w:tplc="EA8A34E8">
      <w:start w:val="1"/>
      <w:numFmt w:val="lowerLetter"/>
      <w:lvlText w:val="%1)"/>
      <w:lvlJc w:val="left"/>
      <w:pPr>
        <w:ind w:left="720" w:hanging="360"/>
      </w:pPr>
      <w:rPr>
        <w:rFonts w:hint="default"/>
        <w:strike w:val="0"/>
        <w:u w:val="single"/>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41784B4E"/>
    <w:multiLevelType w:val="hybridMultilevel"/>
    <w:tmpl w:val="9E441162"/>
    <w:lvl w:ilvl="0" w:tplc="CE8E98D4">
      <w:start w:val="1"/>
      <w:numFmt w:val="decimal"/>
      <w:lvlText w:val="%1."/>
      <w:lvlJc w:val="left"/>
      <w:pPr>
        <w:ind w:left="2912" w:hanging="360"/>
      </w:pPr>
      <w:rPr>
        <w:rFonts w:hint="default"/>
      </w:rPr>
    </w:lvl>
    <w:lvl w:ilvl="1" w:tplc="04160019" w:tentative="1">
      <w:start w:val="1"/>
      <w:numFmt w:val="lowerLetter"/>
      <w:lvlText w:val="%2."/>
      <w:lvlJc w:val="left"/>
      <w:pPr>
        <w:ind w:left="3632" w:hanging="360"/>
      </w:pPr>
    </w:lvl>
    <w:lvl w:ilvl="2" w:tplc="0416001B" w:tentative="1">
      <w:start w:val="1"/>
      <w:numFmt w:val="lowerRoman"/>
      <w:lvlText w:val="%3."/>
      <w:lvlJc w:val="right"/>
      <w:pPr>
        <w:ind w:left="4352" w:hanging="180"/>
      </w:pPr>
    </w:lvl>
    <w:lvl w:ilvl="3" w:tplc="0416000F" w:tentative="1">
      <w:start w:val="1"/>
      <w:numFmt w:val="decimal"/>
      <w:lvlText w:val="%4."/>
      <w:lvlJc w:val="left"/>
      <w:pPr>
        <w:ind w:left="5072" w:hanging="360"/>
      </w:pPr>
    </w:lvl>
    <w:lvl w:ilvl="4" w:tplc="04160019" w:tentative="1">
      <w:start w:val="1"/>
      <w:numFmt w:val="lowerLetter"/>
      <w:lvlText w:val="%5."/>
      <w:lvlJc w:val="left"/>
      <w:pPr>
        <w:ind w:left="5792" w:hanging="360"/>
      </w:pPr>
    </w:lvl>
    <w:lvl w:ilvl="5" w:tplc="0416001B" w:tentative="1">
      <w:start w:val="1"/>
      <w:numFmt w:val="lowerRoman"/>
      <w:lvlText w:val="%6."/>
      <w:lvlJc w:val="right"/>
      <w:pPr>
        <w:ind w:left="6512" w:hanging="180"/>
      </w:pPr>
    </w:lvl>
    <w:lvl w:ilvl="6" w:tplc="0416000F" w:tentative="1">
      <w:start w:val="1"/>
      <w:numFmt w:val="decimal"/>
      <w:lvlText w:val="%7."/>
      <w:lvlJc w:val="left"/>
      <w:pPr>
        <w:ind w:left="7232" w:hanging="360"/>
      </w:pPr>
    </w:lvl>
    <w:lvl w:ilvl="7" w:tplc="04160019" w:tentative="1">
      <w:start w:val="1"/>
      <w:numFmt w:val="lowerLetter"/>
      <w:lvlText w:val="%8."/>
      <w:lvlJc w:val="left"/>
      <w:pPr>
        <w:ind w:left="7952" w:hanging="360"/>
      </w:pPr>
    </w:lvl>
    <w:lvl w:ilvl="8" w:tplc="0416001B" w:tentative="1">
      <w:start w:val="1"/>
      <w:numFmt w:val="lowerRoman"/>
      <w:lvlText w:val="%9."/>
      <w:lvlJc w:val="right"/>
      <w:pPr>
        <w:ind w:left="8672" w:hanging="180"/>
      </w:pPr>
    </w:lvl>
  </w:abstractNum>
  <w:abstractNum w:abstractNumId="37" w15:restartNumberingAfterBreak="0">
    <w:nsid w:val="443433FC"/>
    <w:multiLevelType w:val="hybridMultilevel"/>
    <w:tmpl w:val="32B6DC4C"/>
    <w:lvl w:ilvl="0" w:tplc="580E9060">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38" w15:restartNumberingAfterBreak="0">
    <w:nsid w:val="475F5338"/>
    <w:multiLevelType w:val="hybridMultilevel"/>
    <w:tmpl w:val="C4C8D94A"/>
    <w:lvl w:ilvl="0" w:tplc="53264D5A">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39" w15:restartNumberingAfterBreak="0">
    <w:nsid w:val="49B67D3E"/>
    <w:multiLevelType w:val="hybridMultilevel"/>
    <w:tmpl w:val="4F888C72"/>
    <w:lvl w:ilvl="0" w:tplc="678CEE72">
      <w:start w:val="1"/>
      <w:numFmt w:val="lowerLetter"/>
      <w:lvlText w:val="%1)"/>
      <w:lvlJc w:val="left"/>
      <w:pPr>
        <w:ind w:left="2912" w:hanging="360"/>
      </w:pPr>
      <w:rPr>
        <w:rFonts w:hint="default"/>
      </w:rPr>
    </w:lvl>
    <w:lvl w:ilvl="1" w:tplc="04160019" w:tentative="1">
      <w:start w:val="1"/>
      <w:numFmt w:val="lowerLetter"/>
      <w:lvlText w:val="%2."/>
      <w:lvlJc w:val="left"/>
      <w:pPr>
        <w:ind w:left="3632" w:hanging="360"/>
      </w:pPr>
    </w:lvl>
    <w:lvl w:ilvl="2" w:tplc="0416001B" w:tentative="1">
      <w:start w:val="1"/>
      <w:numFmt w:val="lowerRoman"/>
      <w:lvlText w:val="%3."/>
      <w:lvlJc w:val="right"/>
      <w:pPr>
        <w:ind w:left="4352" w:hanging="180"/>
      </w:pPr>
    </w:lvl>
    <w:lvl w:ilvl="3" w:tplc="0416000F" w:tentative="1">
      <w:start w:val="1"/>
      <w:numFmt w:val="decimal"/>
      <w:lvlText w:val="%4."/>
      <w:lvlJc w:val="left"/>
      <w:pPr>
        <w:ind w:left="5072" w:hanging="360"/>
      </w:pPr>
    </w:lvl>
    <w:lvl w:ilvl="4" w:tplc="04160019" w:tentative="1">
      <w:start w:val="1"/>
      <w:numFmt w:val="lowerLetter"/>
      <w:lvlText w:val="%5."/>
      <w:lvlJc w:val="left"/>
      <w:pPr>
        <w:ind w:left="5792" w:hanging="360"/>
      </w:pPr>
    </w:lvl>
    <w:lvl w:ilvl="5" w:tplc="0416001B" w:tentative="1">
      <w:start w:val="1"/>
      <w:numFmt w:val="lowerRoman"/>
      <w:lvlText w:val="%6."/>
      <w:lvlJc w:val="right"/>
      <w:pPr>
        <w:ind w:left="6512" w:hanging="180"/>
      </w:pPr>
    </w:lvl>
    <w:lvl w:ilvl="6" w:tplc="0416000F" w:tentative="1">
      <w:start w:val="1"/>
      <w:numFmt w:val="decimal"/>
      <w:lvlText w:val="%7."/>
      <w:lvlJc w:val="left"/>
      <w:pPr>
        <w:ind w:left="7232" w:hanging="360"/>
      </w:pPr>
    </w:lvl>
    <w:lvl w:ilvl="7" w:tplc="04160019" w:tentative="1">
      <w:start w:val="1"/>
      <w:numFmt w:val="lowerLetter"/>
      <w:lvlText w:val="%8."/>
      <w:lvlJc w:val="left"/>
      <w:pPr>
        <w:ind w:left="7952" w:hanging="360"/>
      </w:pPr>
    </w:lvl>
    <w:lvl w:ilvl="8" w:tplc="0416001B" w:tentative="1">
      <w:start w:val="1"/>
      <w:numFmt w:val="lowerRoman"/>
      <w:lvlText w:val="%9."/>
      <w:lvlJc w:val="right"/>
      <w:pPr>
        <w:ind w:left="8672" w:hanging="180"/>
      </w:pPr>
    </w:lvl>
  </w:abstractNum>
  <w:abstractNum w:abstractNumId="40" w15:restartNumberingAfterBreak="0">
    <w:nsid w:val="4A5B4225"/>
    <w:multiLevelType w:val="hybridMultilevel"/>
    <w:tmpl w:val="71E27A9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4C5A6FC7"/>
    <w:multiLevelType w:val="hybridMultilevel"/>
    <w:tmpl w:val="11BCB102"/>
    <w:lvl w:ilvl="0" w:tplc="08F4EAB0">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42" w15:restartNumberingAfterBreak="0">
    <w:nsid w:val="4D8A62AC"/>
    <w:multiLevelType w:val="hybridMultilevel"/>
    <w:tmpl w:val="E0827DDA"/>
    <w:lvl w:ilvl="0" w:tplc="ADDC6B90">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43" w15:restartNumberingAfterBreak="0">
    <w:nsid w:val="4E2F1A03"/>
    <w:multiLevelType w:val="hybridMultilevel"/>
    <w:tmpl w:val="1CB6C890"/>
    <w:lvl w:ilvl="0" w:tplc="CF0C7B26">
      <w:start w:val="1"/>
      <w:numFmt w:val="lowerLetter"/>
      <w:lvlText w:val="%1)"/>
      <w:lvlJc w:val="left"/>
      <w:pPr>
        <w:ind w:left="1211" w:hanging="360"/>
      </w:pPr>
      <w:rPr>
        <w:rFonts w:hint="default"/>
        <w:u w:val="none"/>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44" w15:restartNumberingAfterBreak="0">
    <w:nsid w:val="4E6B1825"/>
    <w:multiLevelType w:val="hybridMultilevel"/>
    <w:tmpl w:val="F8E04B36"/>
    <w:lvl w:ilvl="0" w:tplc="51B29CE8">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45" w15:restartNumberingAfterBreak="0">
    <w:nsid w:val="51A31B8A"/>
    <w:multiLevelType w:val="hybridMultilevel"/>
    <w:tmpl w:val="1C5402A2"/>
    <w:lvl w:ilvl="0" w:tplc="04160017">
      <w:start w:val="1"/>
      <w:numFmt w:val="lowerLetter"/>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6" w15:restartNumberingAfterBreak="0">
    <w:nsid w:val="54A33D10"/>
    <w:multiLevelType w:val="hybridMultilevel"/>
    <w:tmpl w:val="2B2ED396"/>
    <w:lvl w:ilvl="0" w:tplc="F2762AFA">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47" w15:restartNumberingAfterBreak="0">
    <w:nsid w:val="55AE3D14"/>
    <w:multiLevelType w:val="hybridMultilevel"/>
    <w:tmpl w:val="305E0020"/>
    <w:lvl w:ilvl="0" w:tplc="FF4C990E">
      <w:start w:val="1"/>
      <w:numFmt w:val="lowerLetter"/>
      <w:lvlText w:val="%1)"/>
      <w:lvlJc w:val="left"/>
      <w:pPr>
        <w:ind w:left="2912" w:hanging="360"/>
      </w:pPr>
      <w:rPr>
        <w:rFonts w:hint="default"/>
      </w:rPr>
    </w:lvl>
    <w:lvl w:ilvl="1" w:tplc="04160019" w:tentative="1">
      <w:start w:val="1"/>
      <w:numFmt w:val="lowerLetter"/>
      <w:lvlText w:val="%2."/>
      <w:lvlJc w:val="left"/>
      <w:pPr>
        <w:ind w:left="3632" w:hanging="360"/>
      </w:pPr>
    </w:lvl>
    <w:lvl w:ilvl="2" w:tplc="0416001B" w:tentative="1">
      <w:start w:val="1"/>
      <w:numFmt w:val="lowerRoman"/>
      <w:lvlText w:val="%3."/>
      <w:lvlJc w:val="right"/>
      <w:pPr>
        <w:ind w:left="4352" w:hanging="180"/>
      </w:pPr>
    </w:lvl>
    <w:lvl w:ilvl="3" w:tplc="0416000F" w:tentative="1">
      <w:start w:val="1"/>
      <w:numFmt w:val="decimal"/>
      <w:lvlText w:val="%4."/>
      <w:lvlJc w:val="left"/>
      <w:pPr>
        <w:ind w:left="5072" w:hanging="360"/>
      </w:pPr>
    </w:lvl>
    <w:lvl w:ilvl="4" w:tplc="04160019" w:tentative="1">
      <w:start w:val="1"/>
      <w:numFmt w:val="lowerLetter"/>
      <w:lvlText w:val="%5."/>
      <w:lvlJc w:val="left"/>
      <w:pPr>
        <w:ind w:left="5792" w:hanging="360"/>
      </w:pPr>
    </w:lvl>
    <w:lvl w:ilvl="5" w:tplc="0416001B" w:tentative="1">
      <w:start w:val="1"/>
      <w:numFmt w:val="lowerRoman"/>
      <w:lvlText w:val="%6."/>
      <w:lvlJc w:val="right"/>
      <w:pPr>
        <w:ind w:left="6512" w:hanging="180"/>
      </w:pPr>
    </w:lvl>
    <w:lvl w:ilvl="6" w:tplc="0416000F" w:tentative="1">
      <w:start w:val="1"/>
      <w:numFmt w:val="decimal"/>
      <w:lvlText w:val="%7."/>
      <w:lvlJc w:val="left"/>
      <w:pPr>
        <w:ind w:left="7232" w:hanging="360"/>
      </w:pPr>
    </w:lvl>
    <w:lvl w:ilvl="7" w:tplc="04160019" w:tentative="1">
      <w:start w:val="1"/>
      <w:numFmt w:val="lowerLetter"/>
      <w:lvlText w:val="%8."/>
      <w:lvlJc w:val="left"/>
      <w:pPr>
        <w:ind w:left="7952" w:hanging="360"/>
      </w:pPr>
    </w:lvl>
    <w:lvl w:ilvl="8" w:tplc="0416001B" w:tentative="1">
      <w:start w:val="1"/>
      <w:numFmt w:val="lowerRoman"/>
      <w:lvlText w:val="%9."/>
      <w:lvlJc w:val="right"/>
      <w:pPr>
        <w:ind w:left="8672" w:hanging="180"/>
      </w:pPr>
    </w:lvl>
  </w:abstractNum>
  <w:abstractNum w:abstractNumId="48" w15:restartNumberingAfterBreak="0">
    <w:nsid w:val="58226236"/>
    <w:multiLevelType w:val="hybridMultilevel"/>
    <w:tmpl w:val="47D8AFC8"/>
    <w:lvl w:ilvl="0" w:tplc="6644A4E4">
      <w:start w:val="1"/>
      <w:numFmt w:val="decimal"/>
      <w:lvlText w:val="%1)"/>
      <w:lvlJc w:val="left"/>
      <w:pPr>
        <w:ind w:left="961" w:hanging="360"/>
      </w:pPr>
      <w:rPr>
        <w:rFonts w:hint="default"/>
      </w:rPr>
    </w:lvl>
    <w:lvl w:ilvl="1" w:tplc="04160019" w:tentative="1">
      <w:start w:val="1"/>
      <w:numFmt w:val="lowerLetter"/>
      <w:lvlText w:val="%2."/>
      <w:lvlJc w:val="left"/>
      <w:pPr>
        <w:ind w:left="1681" w:hanging="360"/>
      </w:pPr>
    </w:lvl>
    <w:lvl w:ilvl="2" w:tplc="0416001B" w:tentative="1">
      <w:start w:val="1"/>
      <w:numFmt w:val="lowerRoman"/>
      <w:lvlText w:val="%3."/>
      <w:lvlJc w:val="right"/>
      <w:pPr>
        <w:ind w:left="2401" w:hanging="180"/>
      </w:pPr>
    </w:lvl>
    <w:lvl w:ilvl="3" w:tplc="0416000F" w:tentative="1">
      <w:start w:val="1"/>
      <w:numFmt w:val="decimal"/>
      <w:lvlText w:val="%4."/>
      <w:lvlJc w:val="left"/>
      <w:pPr>
        <w:ind w:left="3121" w:hanging="360"/>
      </w:pPr>
    </w:lvl>
    <w:lvl w:ilvl="4" w:tplc="04160019" w:tentative="1">
      <w:start w:val="1"/>
      <w:numFmt w:val="lowerLetter"/>
      <w:lvlText w:val="%5."/>
      <w:lvlJc w:val="left"/>
      <w:pPr>
        <w:ind w:left="3841" w:hanging="360"/>
      </w:pPr>
    </w:lvl>
    <w:lvl w:ilvl="5" w:tplc="0416001B" w:tentative="1">
      <w:start w:val="1"/>
      <w:numFmt w:val="lowerRoman"/>
      <w:lvlText w:val="%6."/>
      <w:lvlJc w:val="right"/>
      <w:pPr>
        <w:ind w:left="4561" w:hanging="180"/>
      </w:pPr>
    </w:lvl>
    <w:lvl w:ilvl="6" w:tplc="0416000F" w:tentative="1">
      <w:start w:val="1"/>
      <w:numFmt w:val="decimal"/>
      <w:lvlText w:val="%7."/>
      <w:lvlJc w:val="left"/>
      <w:pPr>
        <w:ind w:left="5281" w:hanging="360"/>
      </w:pPr>
    </w:lvl>
    <w:lvl w:ilvl="7" w:tplc="04160019" w:tentative="1">
      <w:start w:val="1"/>
      <w:numFmt w:val="lowerLetter"/>
      <w:lvlText w:val="%8."/>
      <w:lvlJc w:val="left"/>
      <w:pPr>
        <w:ind w:left="6001" w:hanging="360"/>
      </w:pPr>
    </w:lvl>
    <w:lvl w:ilvl="8" w:tplc="0416001B" w:tentative="1">
      <w:start w:val="1"/>
      <w:numFmt w:val="lowerRoman"/>
      <w:lvlText w:val="%9."/>
      <w:lvlJc w:val="right"/>
      <w:pPr>
        <w:ind w:left="6721" w:hanging="180"/>
      </w:pPr>
    </w:lvl>
  </w:abstractNum>
  <w:abstractNum w:abstractNumId="49" w15:restartNumberingAfterBreak="0">
    <w:nsid w:val="5D862E6F"/>
    <w:multiLevelType w:val="hybridMultilevel"/>
    <w:tmpl w:val="47B8BC82"/>
    <w:lvl w:ilvl="0" w:tplc="E56845D4">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50" w15:restartNumberingAfterBreak="0">
    <w:nsid w:val="5D932A0C"/>
    <w:multiLevelType w:val="hybridMultilevel"/>
    <w:tmpl w:val="F104C900"/>
    <w:lvl w:ilvl="0" w:tplc="6644CF5A">
      <w:start w:val="1"/>
      <w:numFmt w:val="lowerLetter"/>
      <w:lvlText w:val="%1)"/>
      <w:lvlJc w:val="left"/>
      <w:pPr>
        <w:ind w:left="720" w:hanging="360"/>
      </w:pPr>
      <w:rPr>
        <w:rFonts w:hint="default"/>
        <w:b/>
        <w:u w:val="single"/>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1" w15:restartNumberingAfterBreak="0">
    <w:nsid w:val="6065401C"/>
    <w:multiLevelType w:val="hybridMultilevel"/>
    <w:tmpl w:val="F3989BD6"/>
    <w:lvl w:ilvl="0" w:tplc="12BE6ABA">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52" w15:restartNumberingAfterBreak="0">
    <w:nsid w:val="628668EE"/>
    <w:multiLevelType w:val="hybridMultilevel"/>
    <w:tmpl w:val="D30C03D2"/>
    <w:lvl w:ilvl="0" w:tplc="C792DF58">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53" w15:restartNumberingAfterBreak="0">
    <w:nsid w:val="65CA54BE"/>
    <w:multiLevelType w:val="hybridMultilevel"/>
    <w:tmpl w:val="A8541F7C"/>
    <w:lvl w:ilvl="0" w:tplc="29FE4732">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54" w15:restartNumberingAfterBreak="0">
    <w:nsid w:val="65DC02B4"/>
    <w:multiLevelType w:val="hybridMultilevel"/>
    <w:tmpl w:val="891C84D2"/>
    <w:lvl w:ilvl="0" w:tplc="B9CE9026">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55" w15:restartNumberingAfterBreak="0">
    <w:nsid w:val="66A0549E"/>
    <w:multiLevelType w:val="multilevel"/>
    <w:tmpl w:val="BB66D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79D31BC"/>
    <w:multiLevelType w:val="hybridMultilevel"/>
    <w:tmpl w:val="EB3C0592"/>
    <w:lvl w:ilvl="0" w:tplc="8278D0B2">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57" w15:restartNumberingAfterBreak="0">
    <w:nsid w:val="69EF533F"/>
    <w:multiLevelType w:val="multilevel"/>
    <w:tmpl w:val="9344124A"/>
    <w:lvl w:ilvl="0">
      <w:start w:val="1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6A947B14"/>
    <w:multiLevelType w:val="hybridMultilevel"/>
    <w:tmpl w:val="BCF8198C"/>
    <w:lvl w:ilvl="0" w:tplc="06507F58">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59" w15:restartNumberingAfterBreak="0">
    <w:nsid w:val="6E2F5388"/>
    <w:multiLevelType w:val="hybridMultilevel"/>
    <w:tmpl w:val="97981AFE"/>
    <w:lvl w:ilvl="0" w:tplc="9CF02310">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60" w15:restartNumberingAfterBreak="0">
    <w:nsid w:val="707335F5"/>
    <w:multiLevelType w:val="multilevel"/>
    <w:tmpl w:val="304675C2"/>
    <w:lvl w:ilvl="0">
      <w:start w:val="1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b/>
      </w:rPr>
    </w:lvl>
    <w:lvl w:ilvl="4">
      <w:start w:val="1"/>
      <w:numFmt w:val="lowerLetter"/>
      <w:lvlText w:val="%5)"/>
      <w:lvlJc w:val="left"/>
      <w:pPr>
        <w:ind w:left="2232" w:hanging="792"/>
      </w:pPr>
      <w:rPr>
        <w:rFonts w:ascii="Arial" w:eastAsia="Times New Roman" w:hAnsi="Arial" w:cs="Arial"/>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lowerLetter"/>
      <w:lvlText w:val="%9)"/>
      <w:lvlJc w:val="left"/>
      <w:pPr>
        <w:ind w:left="4320" w:hanging="1440"/>
      </w:pPr>
      <w:rPr>
        <w:rFonts w:ascii="Arial" w:eastAsia="Times New Roman" w:hAnsi="Arial" w:cs="Arial"/>
        <w:b w:val="0"/>
      </w:rPr>
    </w:lvl>
  </w:abstractNum>
  <w:abstractNum w:abstractNumId="61" w15:restartNumberingAfterBreak="0">
    <w:nsid w:val="70A06ED9"/>
    <w:multiLevelType w:val="hybridMultilevel"/>
    <w:tmpl w:val="0C2A11E2"/>
    <w:lvl w:ilvl="0" w:tplc="3446B4FE">
      <w:start w:val="1"/>
      <w:numFmt w:val="lowerLetter"/>
      <w:lvlText w:val="%1)"/>
      <w:lvlJc w:val="left"/>
      <w:pPr>
        <w:ind w:left="1211" w:hanging="360"/>
      </w:pPr>
      <w:rPr>
        <w:rFonts w:hint="default"/>
        <w:sz w:val="24"/>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62" w15:restartNumberingAfterBreak="0">
    <w:nsid w:val="713C6269"/>
    <w:multiLevelType w:val="hybridMultilevel"/>
    <w:tmpl w:val="AB880F1C"/>
    <w:lvl w:ilvl="0" w:tplc="FE58FF7A">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63" w15:restartNumberingAfterBreak="0">
    <w:nsid w:val="75F8095B"/>
    <w:multiLevelType w:val="hybridMultilevel"/>
    <w:tmpl w:val="2B56F5EC"/>
    <w:lvl w:ilvl="0" w:tplc="04160019">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64" w15:restartNumberingAfterBreak="0">
    <w:nsid w:val="783C69E1"/>
    <w:multiLevelType w:val="hybridMultilevel"/>
    <w:tmpl w:val="7DE4378E"/>
    <w:lvl w:ilvl="0" w:tplc="4E7EC62E">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65" w15:restartNumberingAfterBreak="0">
    <w:nsid w:val="7A531B3C"/>
    <w:multiLevelType w:val="hybridMultilevel"/>
    <w:tmpl w:val="7A0A666C"/>
    <w:lvl w:ilvl="0" w:tplc="541C3DA0">
      <w:start w:val="1"/>
      <w:numFmt w:val="decimal"/>
      <w:lvlText w:val="%1."/>
      <w:lvlJc w:val="left"/>
      <w:pPr>
        <w:ind w:left="2912" w:hanging="360"/>
      </w:pPr>
      <w:rPr>
        <w:rFonts w:hint="default"/>
      </w:rPr>
    </w:lvl>
    <w:lvl w:ilvl="1" w:tplc="B3903958">
      <w:start w:val="1"/>
      <w:numFmt w:val="lowerLetter"/>
      <w:lvlText w:val="%2)"/>
      <w:lvlJc w:val="left"/>
      <w:pPr>
        <w:ind w:left="3632" w:hanging="360"/>
      </w:pPr>
      <w:rPr>
        <w:rFonts w:hint="default"/>
      </w:rPr>
    </w:lvl>
    <w:lvl w:ilvl="2" w:tplc="0416001B" w:tentative="1">
      <w:start w:val="1"/>
      <w:numFmt w:val="lowerRoman"/>
      <w:lvlText w:val="%3."/>
      <w:lvlJc w:val="right"/>
      <w:pPr>
        <w:ind w:left="4352" w:hanging="180"/>
      </w:pPr>
    </w:lvl>
    <w:lvl w:ilvl="3" w:tplc="0416000F" w:tentative="1">
      <w:start w:val="1"/>
      <w:numFmt w:val="decimal"/>
      <w:lvlText w:val="%4."/>
      <w:lvlJc w:val="left"/>
      <w:pPr>
        <w:ind w:left="5072" w:hanging="360"/>
      </w:pPr>
    </w:lvl>
    <w:lvl w:ilvl="4" w:tplc="04160019" w:tentative="1">
      <w:start w:val="1"/>
      <w:numFmt w:val="lowerLetter"/>
      <w:lvlText w:val="%5."/>
      <w:lvlJc w:val="left"/>
      <w:pPr>
        <w:ind w:left="5792" w:hanging="360"/>
      </w:pPr>
    </w:lvl>
    <w:lvl w:ilvl="5" w:tplc="0416001B" w:tentative="1">
      <w:start w:val="1"/>
      <w:numFmt w:val="lowerRoman"/>
      <w:lvlText w:val="%6."/>
      <w:lvlJc w:val="right"/>
      <w:pPr>
        <w:ind w:left="6512" w:hanging="180"/>
      </w:pPr>
    </w:lvl>
    <w:lvl w:ilvl="6" w:tplc="0416000F" w:tentative="1">
      <w:start w:val="1"/>
      <w:numFmt w:val="decimal"/>
      <w:lvlText w:val="%7."/>
      <w:lvlJc w:val="left"/>
      <w:pPr>
        <w:ind w:left="7232" w:hanging="360"/>
      </w:pPr>
    </w:lvl>
    <w:lvl w:ilvl="7" w:tplc="04160019" w:tentative="1">
      <w:start w:val="1"/>
      <w:numFmt w:val="lowerLetter"/>
      <w:lvlText w:val="%8."/>
      <w:lvlJc w:val="left"/>
      <w:pPr>
        <w:ind w:left="7952" w:hanging="360"/>
      </w:pPr>
    </w:lvl>
    <w:lvl w:ilvl="8" w:tplc="0416001B" w:tentative="1">
      <w:start w:val="1"/>
      <w:numFmt w:val="lowerRoman"/>
      <w:lvlText w:val="%9."/>
      <w:lvlJc w:val="right"/>
      <w:pPr>
        <w:ind w:left="8672" w:hanging="180"/>
      </w:pPr>
    </w:lvl>
  </w:abstractNum>
  <w:abstractNum w:abstractNumId="66" w15:restartNumberingAfterBreak="0">
    <w:nsid w:val="7AC65ADE"/>
    <w:multiLevelType w:val="hybridMultilevel"/>
    <w:tmpl w:val="EAA43E06"/>
    <w:lvl w:ilvl="0" w:tplc="6644CF5A">
      <w:start w:val="1"/>
      <w:numFmt w:val="lowerLetter"/>
      <w:lvlText w:val="%1)"/>
      <w:lvlJc w:val="left"/>
      <w:pPr>
        <w:ind w:left="720" w:hanging="360"/>
      </w:pPr>
      <w:rPr>
        <w:rFonts w:hint="default"/>
        <w:b/>
        <w:u w:val="single"/>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7" w15:restartNumberingAfterBreak="0">
    <w:nsid w:val="7BE96940"/>
    <w:multiLevelType w:val="multilevel"/>
    <w:tmpl w:val="8FC63392"/>
    <w:lvl w:ilvl="0">
      <w:start w:val="1"/>
      <w:numFmt w:val="lowerLetter"/>
      <w:lvlText w:val="%1)"/>
      <w:lvlJc w:val="left"/>
      <w:pPr>
        <w:tabs>
          <w:tab w:val="num" w:pos="720"/>
        </w:tabs>
        <w:ind w:left="720" w:hanging="360"/>
      </w:pPr>
      <w:rPr>
        <w:rFonts w:ascii="Arial" w:eastAsia="Times New Roman" w:hAnsi="Arial" w:cs="Arial"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4"/>
  </w:num>
  <w:num w:numId="2">
    <w:abstractNumId w:val="10"/>
  </w:num>
  <w:num w:numId="3">
    <w:abstractNumId w:val="51"/>
  </w:num>
  <w:num w:numId="4">
    <w:abstractNumId w:val="53"/>
  </w:num>
  <w:num w:numId="5">
    <w:abstractNumId w:val="52"/>
  </w:num>
  <w:num w:numId="6">
    <w:abstractNumId w:val="1"/>
  </w:num>
  <w:num w:numId="7">
    <w:abstractNumId w:val="41"/>
  </w:num>
  <w:num w:numId="8">
    <w:abstractNumId w:val="61"/>
  </w:num>
  <w:num w:numId="9">
    <w:abstractNumId w:val="37"/>
  </w:num>
  <w:num w:numId="10">
    <w:abstractNumId w:val="19"/>
  </w:num>
  <w:num w:numId="11">
    <w:abstractNumId w:val="32"/>
  </w:num>
  <w:num w:numId="12">
    <w:abstractNumId w:val="44"/>
  </w:num>
  <w:num w:numId="13">
    <w:abstractNumId w:val="59"/>
  </w:num>
  <w:num w:numId="14">
    <w:abstractNumId w:val="49"/>
  </w:num>
  <w:num w:numId="15">
    <w:abstractNumId w:val="39"/>
  </w:num>
  <w:num w:numId="16">
    <w:abstractNumId w:val="27"/>
  </w:num>
  <w:num w:numId="17">
    <w:abstractNumId w:val="34"/>
  </w:num>
  <w:num w:numId="18">
    <w:abstractNumId w:val="6"/>
  </w:num>
  <w:num w:numId="19">
    <w:abstractNumId w:val="23"/>
  </w:num>
  <w:num w:numId="20">
    <w:abstractNumId w:val="25"/>
  </w:num>
  <w:num w:numId="21">
    <w:abstractNumId w:val="47"/>
  </w:num>
  <w:num w:numId="22">
    <w:abstractNumId w:val="36"/>
  </w:num>
  <w:num w:numId="23">
    <w:abstractNumId w:val="65"/>
  </w:num>
  <w:num w:numId="24">
    <w:abstractNumId w:val="7"/>
  </w:num>
  <w:num w:numId="25">
    <w:abstractNumId w:val="62"/>
  </w:num>
  <w:num w:numId="26">
    <w:abstractNumId w:val="16"/>
  </w:num>
  <w:num w:numId="27">
    <w:abstractNumId w:val="58"/>
  </w:num>
  <w:num w:numId="28">
    <w:abstractNumId w:val="22"/>
  </w:num>
  <w:num w:numId="29">
    <w:abstractNumId w:val="38"/>
  </w:num>
  <w:num w:numId="30">
    <w:abstractNumId w:val="12"/>
  </w:num>
  <w:num w:numId="31">
    <w:abstractNumId w:val="55"/>
  </w:num>
  <w:num w:numId="32">
    <w:abstractNumId w:val="33"/>
  </w:num>
  <w:num w:numId="33">
    <w:abstractNumId w:val="24"/>
  </w:num>
  <w:num w:numId="34">
    <w:abstractNumId w:val="8"/>
  </w:num>
  <w:num w:numId="35">
    <w:abstractNumId w:val="31"/>
  </w:num>
  <w:num w:numId="36">
    <w:abstractNumId w:val="5"/>
  </w:num>
  <w:num w:numId="37">
    <w:abstractNumId w:val="28"/>
  </w:num>
  <w:num w:numId="38">
    <w:abstractNumId w:val="29"/>
  </w:num>
  <w:num w:numId="39">
    <w:abstractNumId w:val="56"/>
  </w:num>
  <w:num w:numId="40">
    <w:abstractNumId w:val="15"/>
  </w:num>
  <w:num w:numId="41">
    <w:abstractNumId w:val="30"/>
  </w:num>
  <w:num w:numId="42">
    <w:abstractNumId w:val="14"/>
  </w:num>
  <w:num w:numId="43">
    <w:abstractNumId w:val="42"/>
  </w:num>
  <w:num w:numId="44">
    <w:abstractNumId w:val="13"/>
  </w:num>
  <w:num w:numId="45">
    <w:abstractNumId w:val="17"/>
  </w:num>
  <w:num w:numId="46">
    <w:abstractNumId w:val="54"/>
  </w:num>
  <w:num w:numId="47">
    <w:abstractNumId w:val="48"/>
  </w:num>
  <w:num w:numId="48">
    <w:abstractNumId w:val="40"/>
  </w:num>
  <w:num w:numId="49">
    <w:abstractNumId w:val="43"/>
  </w:num>
  <w:num w:numId="50">
    <w:abstractNumId w:val="21"/>
  </w:num>
  <w:num w:numId="51">
    <w:abstractNumId w:val="46"/>
  </w:num>
  <w:num w:numId="52">
    <w:abstractNumId w:val="11"/>
  </w:num>
  <w:num w:numId="53">
    <w:abstractNumId w:val="67"/>
  </w:num>
  <w:num w:numId="54">
    <w:abstractNumId w:val="57"/>
  </w:num>
  <w:num w:numId="55">
    <w:abstractNumId w:val="18"/>
  </w:num>
  <w:num w:numId="56">
    <w:abstractNumId w:val="50"/>
  </w:num>
  <w:num w:numId="57">
    <w:abstractNumId w:val="63"/>
  </w:num>
  <w:num w:numId="58">
    <w:abstractNumId w:val="26"/>
  </w:num>
  <w:num w:numId="59">
    <w:abstractNumId w:val="9"/>
  </w:num>
  <w:num w:numId="60">
    <w:abstractNumId w:val="20"/>
  </w:num>
  <w:num w:numId="61">
    <w:abstractNumId w:val="66"/>
  </w:num>
  <w:num w:numId="62">
    <w:abstractNumId w:val="60"/>
  </w:num>
  <w:num w:numId="63">
    <w:abstractNumId w:val="45"/>
  </w:num>
  <w:num w:numId="64">
    <w:abstractNumId w:val="35"/>
  </w:num>
  <w:num w:numId="65">
    <w:abstractNumId w:val="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drawingGridHorizontalSpacing w:val="130"/>
  <w:displayHorizontalDrawingGridEvery w:val="2"/>
  <w:displayVerticalDrawingGridEvery w:val="2"/>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26B9"/>
    <w:rsid w:val="0000042F"/>
    <w:rsid w:val="00000CCE"/>
    <w:rsid w:val="00000DC8"/>
    <w:rsid w:val="00000E83"/>
    <w:rsid w:val="00001403"/>
    <w:rsid w:val="00001450"/>
    <w:rsid w:val="0000169D"/>
    <w:rsid w:val="00001B12"/>
    <w:rsid w:val="00002218"/>
    <w:rsid w:val="000024F0"/>
    <w:rsid w:val="0000346E"/>
    <w:rsid w:val="000036EC"/>
    <w:rsid w:val="00003CFC"/>
    <w:rsid w:val="00003EA3"/>
    <w:rsid w:val="00004594"/>
    <w:rsid w:val="00004D36"/>
    <w:rsid w:val="00004EA4"/>
    <w:rsid w:val="00005158"/>
    <w:rsid w:val="0000526F"/>
    <w:rsid w:val="00005DCF"/>
    <w:rsid w:val="00005F9C"/>
    <w:rsid w:val="000060D2"/>
    <w:rsid w:val="00006447"/>
    <w:rsid w:val="00006C1C"/>
    <w:rsid w:val="000073D2"/>
    <w:rsid w:val="000076E0"/>
    <w:rsid w:val="0000792E"/>
    <w:rsid w:val="00007E6C"/>
    <w:rsid w:val="0001019F"/>
    <w:rsid w:val="00010393"/>
    <w:rsid w:val="00010699"/>
    <w:rsid w:val="000106E9"/>
    <w:rsid w:val="00010FC7"/>
    <w:rsid w:val="00011054"/>
    <w:rsid w:val="000123A6"/>
    <w:rsid w:val="000127A1"/>
    <w:rsid w:val="00012A26"/>
    <w:rsid w:val="00012BDE"/>
    <w:rsid w:val="00013009"/>
    <w:rsid w:val="000131D6"/>
    <w:rsid w:val="00013727"/>
    <w:rsid w:val="000138BC"/>
    <w:rsid w:val="00013967"/>
    <w:rsid w:val="00013A3E"/>
    <w:rsid w:val="00013AC8"/>
    <w:rsid w:val="00014106"/>
    <w:rsid w:val="00014689"/>
    <w:rsid w:val="00014FA8"/>
    <w:rsid w:val="0001501D"/>
    <w:rsid w:val="00015067"/>
    <w:rsid w:val="000154C7"/>
    <w:rsid w:val="00015685"/>
    <w:rsid w:val="0001577D"/>
    <w:rsid w:val="00015945"/>
    <w:rsid w:val="000163D3"/>
    <w:rsid w:val="0001679A"/>
    <w:rsid w:val="00016819"/>
    <w:rsid w:val="00016D35"/>
    <w:rsid w:val="00017112"/>
    <w:rsid w:val="000172ED"/>
    <w:rsid w:val="00017354"/>
    <w:rsid w:val="00017CDF"/>
    <w:rsid w:val="0002057B"/>
    <w:rsid w:val="00020F26"/>
    <w:rsid w:val="0002171D"/>
    <w:rsid w:val="000228DC"/>
    <w:rsid w:val="00022930"/>
    <w:rsid w:val="00022A57"/>
    <w:rsid w:val="00022E41"/>
    <w:rsid w:val="00022F40"/>
    <w:rsid w:val="00024DBE"/>
    <w:rsid w:val="000257BA"/>
    <w:rsid w:val="000259BB"/>
    <w:rsid w:val="0002714E"/>
    <w:rsid w:val="000301E0"/>
    <w:rsid w:val="0003062F"/>
    <w:rsid w:val="000306D5"/>
    <w:rsid w:val="00030A3C"/>
    <w:rsid w:val="000310D6"/>
    <w:rsid w:val="0003155C"/>
    <w:rsid w:val="0003163A"/>
    <w:rsid w:val="0003164E"/>
    <w:rsid w:val="00031B24"/>
    <w:rsid w:val="000327E1"/>
    <w:rsid w:val="00032B8F"/>
    <w:rsid w:val="00032D08"/>
    <w:rsid w:val="00033480"/>
    <w:rsid w:val="0003375A"/>
    <w:rsid w:val="00033F1D"/>
    <w:rsid w:val="000343BD"/>
    <w:rsid w:val="00034649"/>
    <w:rsid w:val="00034716"/>
    <w:rsid w:val="00034801"/>
    <w:rsid w:val="00034E76"/>
    <w:rsid w:val="00034E89"/>
    <w:rsid w:val="00034EA3"/>
    <w:rsid w:val="00034EAC"/>
    <w:rsid w:val="0003511F"/>
    <w:rsid w:val="00035BCE"/>
    <w:rsid w:val="00036173"/>
    <w:rsid w:val="00036B9C"/>
    <w:rsid w:val="000374C5"/>
    <w:rsid w:val="0004030C"/>
    <w:rsid w:val="00040C14"/>
    <w:rsid w:val="00040D27"/>
    <w:rsid w:val="00041010"/>
    <w:rsid w:val="0004114F"/>
    <w:rsid w:val="0004182A"/>
    <w:rsid w:val="00041C09"/>
    <w:rsid w:val="00041F15"/>
    <w:rsid w:val="00041F79"/>
    <w:rsid w:val="00042289"/>
    <w:rsid w:val="00042A8F"/>
    <w:rsid w:val="00043648"/>
    <w:rsid w:val="00043A6C"/>
    <w:rsid w:val="00043BFB"/>
    <w:rsid w:val="00044105"/>
    <w:rsid w:val="00044730"/>
    <w:rsid w:val="00044B03"/>
    <w:rsid w:val="00044B73"/>
    <w:rsid w:val="00044C21"/>
    <w:rsid w:val="0004523A"/>
    <w:rsid w:val="000453F5"/>
    <w:rsid w:val="00045BAA"/>
    <w:rsid w:val="000460D4"/>
    <w:rsid w:val="00046587"/>
    <w:rsid w:val="00046871"/>
    <w:rsid w:val="00046FF8"/>
    <w:rsid w:val="00047465"/>
    <w:rsid w:val="000476F3"/>
    <w:rsid w:val="000477BE"/>
    <w:rsid w:val="00047937"/>
    <w:rsid w:val="00047CEE"/>
    <w:rsid w:val="00050117"/>
    <w:rsid w:val="000508CE"/>
    <w:rsid w:val="000509A2"/>
    <w:rsid w:val="000509F3"/>
    <w:rsid w:val="00050C51"/>
    <w:rsid w:val="00051051"/>
    <w:rsid w:val="00051219"/>
    <w:rsid w:val="0005174D"/>
    <w:rsid w:val="00051E92"/>
    <w:rsid w:val="000522D1"/>
    <w:rsid w:val="000522F3"/>
    <w:rsid w:val="00052C31"/>
    <w:rsid w:val="000534C5"/>
    <w:rsid w:val="000539E7"/>
    <w:rsid w:val="00053F1B"/>
    <w:rsid w:val="0005400B"/>
    <w:rsid w:val="0005408C"/>
    <w:rsid w:val="00054562"/>
    <w:rsid w:val="00054587"/>
    <w:rsid w:val="000545DE"/>
    <w:rsid w:val="0005476A"/>
    <w:rsid w:val="00054FA5"/>
    <w:rsid w:val="00055052"/>
    <w:rsid w:val="0005552D"/>
    <w:rsid w:val="00055964"/>
    <w:rsid w:val="00055D10"/>
    <w:rsid w:val="0005612F"/>
    <w:rsid w:val="000562DE"/>
    <w:rsid w:val="0005641F"/>
    <w:rsid w:val="000566B6"/>
    <w:rsid w:val="00056AD1"/>
    <w:rsid w:val="00057174"/>
    <w:rsid w:val="000600AC"/>
    <w:rsid w:val="000604AF"/>
    <w:rsid w:val="000608CA"/>
    <w:rsid w:val="000608D9"/>
    <w:rsid w:val="00060DBE"/>
    <w:rsid w:val="00061048"/>
    <w:rsid w:val="0006138F"/>
    <w:rsid w:val="0006143B"/>
    <w:rsid w:val="00061500"/>
    <w:rsid w:val="0006164F"/>
    <w:rsid w:val="0006197D"/>
    <w:rsid w:val="00061DD3"/>
    <w:rsid w:val="00061FDA"/>
    <w:rsid w:val="000620AA"/>
    <w:rsid w:val="00062493"/>
    <w:rsid w:val="000624E6"/>
    <w:rsid w:val="00062AF6"/>
    <w:rsid w:val="00062DAB"/>
    <w:rsid w:val="00063206"/>
    <w:rsid w:val="00063349"/>
    <w:rsid w:val="0006344B"/>
    <w:rsid w:val="00063477"/>
    <w:rsid w:val="000634AA"/>
    <w:rsid w:val="000649BA"/>
    <w:rsid w:val="0006501C"/>
    <w:rsid w:val="00065156"/>
    <w:rsid w:val="00065744"/>
    <w:rsid w:val="00065C54"/>
    <w:rsid w:val="00065C65"/>
    <w:rsid w:val="00066069"/>
    <w:rsid w:val="00066248"/>
    <w:rsid w:val="000662CD"/>
    <w:rsid w:val="00066327"/>
    <w:rsid w:val="00066383"/>
    <w:rsid w:val="00066CC8"/>
    <w:rsid w:val="00066D6F"/>
    <w:rsid w:val="0006728F"/>
    <w:rsid w:val="000673A7"/>
    <w:rsid w:val="00067D2A"/>
    <w:rsid w:val="0007005D"/>
    <w:rsid w:val="00070C52"/>
    <w:rsid w:val="00070FF0"/>
    <w:rsid w:val="000711A6"/>
    <w:rsid w:val="0007154B"/>
    <w:rsid w:val="0007166B"/>
    <w:rsid w:val="00071FE2"/>
    <w:rsid w:val="000724DD"/>
    <w:rsid w:val="000729EE"/>
    <w:rsid w:val="00072AB9"/>
    <w:rsid w:val="0007325C"/>
    <w:rsid w:val="0007376F"/>
    <w:rsid w:val="000737F1"/>
    <w:rsid w:val="00073863"/>
    <w:rsid w:val="00073928"/>
    <w:rsid w:val="00073BE4"/>
    <w:rsid w:val="00073C3F"/>
    <w:rsid w:val="00073C56"/>
    <w:rsid w:val="000745E4"/>
    <w:rsid w:val="00074922"/>
    <w:rsid w:val="00074B81"/>
    <w:rsid w:val="00074DDC"/>
    <w:rsid w:val="000752A4"/>
    <w:rsid w:val="0007544E"/>
    <w:rsid w:val="00075D2E"/>
    <w:rsid w:val="00076151"/>
    <w:rsid w:val="0007628D"/>
    <w:rsid w:val="00076527"/>
    <w:rsid w:val="00076FC9"/>
    <w:rsid w:val="00077366"/>
    <w:rsid w:val="0007747E"/>
    <w:rsid w:val="00077993"/>
    <w:rsid w:val="00077FB0"/>
    <w:rsid w:val="00080361"/>
    <w:rsid w:val="0008079B"/>
    <w:rsid w:val="00080903"/>
    <w:rsid w:val="000809EA"/>
    <w:rsid w:val="0008102D"/>
    <w:rsid w:val="0008192E"/>
    <w:rsid w:val="00081EF3"/>
    <w:rsid w:val="00081F20"/>
    <w:rsid w:val="000820BA"/>
    <w:rsid w:val="00082424"/>
    <w:rsid w:val="000825A6"/>
    <w:rsid w:val="000825D6"/>
    <w:rsid w:val="000827CD"/>
    <w:rsid w:val="00082BC2"/>
    <w:rsid w:val="00082CFD"/>
    <w:rsid w:val="0008351C"/>
    <w:rsid w:val="0008396E"/>
    <w:rsid w:val="00083AF9"/>
    <w:rsid w:val="00084875"/>
    <w:rsid w:val="00084B59"/>
    <w:rsid w:val="00084E6D"/>
    <w:rsid w:val="00084F97"/>
    <w:rsid w:val="00085018"/>
    <w:rsid w:val="00085E3C"/>
    <w:rsid w:val="0008637E"/>
    <w:rsid w:val="000867BA"/>
    <w:rsid w:val="000867C3"/>
    <w:rsid w:val="000869ED"/>
    <w:rsid w:val="00087064"/>
    <w:rsid w:val="00087831"/>
    <w:rsid w:val="00087E6C"/>
    <w:rsid w:val="0009063C"/>
    <w:rsid w:val="00090CF1"/>
    <w:rsid w:val="000913B3"/>
    <w:rsid w:val="00091712"/>
    <w:rsid w:val="000927C1"/>
    <w:rsid w:val="000929B3"/>
    <w:rsid w:val="00092F77"/>
    <w:rsid w:val="00093546"/>
    <w:rsid w:val="000935FC"/>
    <w:rsid w:val="000936B8"/>
    <w:rsid w:val="00093CF7"/>
    <w:rsid w:val="00093ED0"/>
    <w:rsid w:val="00094952"/>
    <w:rsid w:val="00094A83"/>
    <w:rsid w:val="00094BF2"/>
    <w:rsid w:val="00094C3D"/>
    <w:rsid w:val="00094D38"/>
    <w:rsid w:val="00095495"/>
    <w:rsid w:val="000954D4"/>
    <w:rsid w:val="0009551E"/>
    <w:rsid w:val="000955DF"/>
    <w:rsid w:val="0009573B"/>
    <w:rsid w:val="000959C8"/>
    <w:rsid w:val="00095A0C"/>
    <w:rsid w:val="00095DF1"/>
    <w:rsid w:val="00095E3A"/>
    <w:rsid w:val="000963A0"/>
    <w:rsid w:val="0009678D"/>
    <w:rsid w:val="00097449"/>
    <w:rsid w:val="00097C9E"/>
    <w:rsid w:val="000A0099"/>
    <w:rsid w:val="000A15BA"/>
    <w:rsid w:val="000A1EEA"/>
    <w:rsid w:val="000A21D5"/>
    <w:rsid w:val="000A26B9"/>
    <w:rsid w:val="000A2995"/>
    <w:rsid w:val="000A2D57"/>
    <w:rsid w:val="000A345D"/>
    <w:rsid w:val="000A372C"/>
    <w:rsid w:val="000A3CB1"/>
    <w:rsid w:val="000A3E59"/>
    <w:rsid w:val="000A3F5C"/>
    <w:rsid w:val="000A4301"/>
    <w:rsid w:val="000A45B9"/>
    <w:rsid w:val="000A5387"/>
    <w:rsid w:val="000A5F35"/>
    <w:rsid w:val="000A6A59"/>
    <w:rsid w:val="000A70B0"/>
    <w:rsid w:val="000A7523"/>
    <w:rsid w:val="000A75E5"/>
    <w:rsid w:val="000A7A47"/>
    <w:rsid w:val="000A7C91"/>
    <w:rsid w:val="000B03CD"/>
    <w:rsid w:val="000B0577"/>
    <w:rsid w:val="000B0BB8"/>
    <w:rsid w:val="000B0E67"/>
    <w:rsid w:val="000B1129"/>
    <w:rsid w:val="000B15AA"/>
    <w:rsid w:val="000B1BC2"/>
    <w:rsid w:val="000B2B78"/>
    <w:rsid w:val="000B2CFA"/>
    <w:rsid w:val="000B2DA7"/>
    <w:rsid w:val="000B36AC"/>
    <w:rsid w:val="000B4189"/>
    <w:rsid w:val="000B432C"/>
    <w:rsid w:val="000B4568"/>
    <w:rsid w:val="000B47E6"/>
    <w:rsid w:val="000B49C9"/>
    <w:rsid w:val="000B5144"/>
    <w:rsid w:val="000B5C82"/>
    <w:rsid w:val="000B5F85"/>
    <w:rsid w:val="000B60C8"/>
    <w:rsid w:val="000B6986"/>
    <w:rsid w:val="000B7C02"/>
    <w:rsid w:val="000C05AD"/>
    <w:rsid w:val="000C0779"/>
    <w:rsid w:val="000C090F"/>
    <w:rsid w:val="000C0AD3"/>
    <w:rsid w:val="000C0C1D"/>
    <w:rsid w:val="000C1348"/>
    <w:rsid w:val="000C147F"/>
    <w:rsid w:val="000C16CB"/>
    <w:rsid w:val="000C2F69"/>
    <w:rsid w:val="000C31E5"/>
    <w:rsid w:val="000C3827"/>
    <w:rsid w:val="000C384C"/>
    <w:rsid w:val="000C3DB8"/>
    <w:rsid w:val="000C3E0D"/>
    <w:rsid w:val="000C3F22"/>
    <w:rsid w:val="000C412D"/>
    <w:rsid w:val="000C4236"/>
    <w:rsid w:val="000C4641"/>
    <w:rsid w:val="000C4919"/>
    <w:rsid w:val="000C4CDF"/>
    <w:rsid w:val="000C4E7B"/>
    <w:rsid w:val="000C5628"/>
    <w:rsid w:val="000C5760"/>
    <w:rsid w:val="000C58A1"/>
    <w:rsid w:val="000C5A04"/>
    <w:rsid w:val="000C5BA4"/>
    <w:rsid w:val="000C5ECE"/>
    <w:rsid w:val="000C604E"/>
    <w:rsid w:val="000C6294"/>
    <w:rsid w:val="000C68AF"/>
    <w:rsid w:val="000D0010"/>
    <w:rsid w:val="000D0181"/>
    <w:rsid w:val="000D0487"/>
    <w:rsid w:val="000D0BD8"/>
    <w:rsid w:val="000D0E1B"/>
    <w:rsid w:val="000D1CC2"/>
    <w:rsid w:val="000D2A88"/>
    <w:rsid w:val="000D2BFB"/>
    <w:rsid w:val="000D3538"/>
    <w:rsid w:val="000D36FB"/>
    <w:rsid w:val="000D39C1"/>
    <w:rsid w:val="000D4343"/>
    <w:rsid w:val="000D4645"/>
    <w:rsid w:val="000D4B70"/>
    <w:rsid w:val="000D4EA0"/>
    <w:rsid w:val="000D508C"/>
    <w:rsid w:val="000D560F"/>
    <w:rsid w:val="000D56A5"/>
    <w:rsid w:val="000D602A"/>
    <w:rsid w:val="000D606B"/>
    <w:rsid w:val="000D6210"/>
    <w:rsid w:val="000D649A"/>
    <w:rsid w:val="000D6AC8"/>
    <w:rsid w:val="000D6D7D"/>
    <w:rsid w:val="000D70CB"/>
    <w:rsid w:val="000D761C"/>
    <w:rsid w:val="000D7C8D"/>
    <w:rsid w:val="000E008A"/>
    <w:rsid w:val="000E0947"/>
    <w:rsid w:val="000E094B"/>
    <w:rsid w:val="000E09A1"/>
    <w:rsid w:val="000E0C01"/>
    <w:rsid w:val="000E18B1"/>
    <w:rsid w:val="000E1A04"/>
    <w:rsid w:val="000E1EEE"/>
    <w:rsid w:val="000E257B"/>
    <w:rsid w:val="000E27D2"/>
    <w:rsid w:val="000E29A5"/>
    <w:rsid w:val="000E310D"/>
    <w:rsid w:val="000E3170"/>
    <w:rsid w:val="000E36D1"/>
    <w:rsid w:val="000E38A1"/>
    <w:rsid w:val="000E38EA"/>
    <w:rsid w:val="000E40B3"/>
    <w:rsid w:val="000E4326"/>
    <w:rsid w:val="000E46DF"/>
    <w:rsid w:val="000E4EE8"/>
    <w:rsid w:val="000E5390"/>
    <w:rsid w:val="000E5636"/>
    <w:rsid w:val="000E615C"/>
    <w:rsid w:val="000E627F"/>
    <w:rsid w:val="000E6B7C"/>
    <w:rsid w:val="000E6EE7"/>
    <w:rsid w:val="000E70D2"/>
    <w:rsid w:val="000E7399"/>
    <w:rsid w:val="000E7A44"/>
    <w:rsid w:val="000F05AF"/>
    <w:rsid w:val="000F05C5"/>
    <w:rsid w:val="000F0949"/>
    <w:rsid w:val="000F0BAC"/>
    <w:rsid w:val="000F10D8"/>
    <w:rsid w:val="000F14BF"/>
    <w:rsid w:val="000F1F90"/>
    <w:rsid w:val="000F2044"/>
    <w:rsid w:val="000F20EE"/>
    <w:rsid w:val="000F2146"/>
    <w:rsid w:val="000F2389"/>
    <w:rsid w:val="000F2BEF"/>
    <w:rsid w:val="000F2CBC"/>
    <w:rsid w:val="000F2D3F"/>
    <w:rsid w:val="000F2E53"/>
    <w:rsid w:val="000F36D1"/>
    <w:rsid w:val="000F371F"/>
    <w:rsid w:val="000F3910"/>
    <w:rsid w:val="000F3914"/>
    <w:rsid w:val="000F3975"/>
    <w:rsid w:val="000F3A5C"/>
    <w:rsid w:val="000F43D0"/>
    <w:rsid w:val="000F4402"/>
    <w:rsid w:val="000F48D0"/>
    <w:rsid w:val="000F48E5"/>
    <w:rsid w:val="000F4F3A"/>
    <w:rsid w:val="000F50C1"/>
    <w:rsid w:val="000F5635"/>
    <w:rsid w:val="000F5915"/>
    <w:rsid w:val="000F5A4F"/>
    <w:rsid w:val="000F5B55"/>
    <w:rsid w:val="000F6079"/>
    <w:rsid w:val="000F60BD"/>
    <w:rsid w:val="000F6941"/>
    <w:rsid w:val="000F6C75"/>
    <w:rsid w:val="000F6F1E"/>
    <w:rsid w:val="000F7B58"/>
    <w:rsid w:val="00100CEE"/>
    <w:rsid w:val="00100E1B"/>
    <w:rsid w:val="00100FA4"/>
    <w:rsid w:val="001014A9"/>
    <w:rsid w:val="001017B2"/>
    <w:rsid w:val="001024F0"/>
    <w:rsid w:val="00103130"/>
    <w:rsid w:val="001033A1"/>
    <w:rsid w:val="00103576"/>
    <w:rsid w:val="001037FD"/>
    <w:rsid w:val="0010394F"/>
    <w:rsid w:val="00103B7E"/>
    <w:rsid w:val="00103C7C"/>
    <w:rsid w:val="001041D8"/>
    <w:rsid w:val="001049FB"/>
    <w:rsid w:val="00104FE4"/>
    <w:rsid w:val="0010501A"/>
    <w:rsid w:val="00105247"/>
    <w:rsid w:val="001053C7"/>
    <w:rsid w:val="00105725"/>
    <w:rsid w:val="00105ADC"/>
    <w:rsid w:val="00105B75"/>
    <w:rsid w:val="00105C2B"/>
    <w:rsid w:val="0010620D"/>
    <w:rsid w:val="00106223"/>
    <w:rsid w:val="00106935"/>
    <w:rsid w:val="00106A25"/>
    <w:rsid w:val="00106ACD"/>
    <w:rsid w:val="00107531"/>
    <w:rsid w:val="00107D87"/>
    <w:rsid w:val="001104B0"/>
    <w:rsid w:val="001104CD"/>
    <w:rsid w:val="00110DA1"/>
    <w:rsid w:val="001110D9"/>
    <w:rsid w:val="00111340"/>
    <w:rsid w:val="00111600"/>
    <w:rsid w:val="00111C55"/>
    <w:rsid w:val="001120F7"/>
    <w:rsid w:val="0011269F"/>
    <w:rsid w:val="001128B8"/>
    <w:rsid w:val="00112914"/>
    <w:rsid w:val="0011294F"/>
    <w:rsid w:val="00112A2E"/>
    <w:rsid w:val="00112E7E"/>
    <w:rsid w:val="00113044"/>
    <w:rsid w:val="00113737"/>
    <w:rsid w:val="00113AD1"/>
    <w:rsid w:val="00113B4A"/>
    <w:rsid w:val="00113C5B"/>
    <w:rsid w:val="00114357"/>
    <w:rsid w:val="00114BB9"/>
    <w:rsid w:val="00114E94"/>
    <w:rsid w:val="00114EAA"/>
    <w:rsid w:val="001151A4"/>
    <w:rsid w:val="001154C7"/>
    <w:rsid w:val="00115607"/>
    <w:rsid w:val="00115808"/>
    <w:rsid w:val="00115C20"/>
    <w:rsid w:val="00115CFD"/>
    <w:rsid w:val="00115FF7"/>
    <w:rsid w:val="0011634D"/>
    <w:rsid w:val="0011701A"/>
    <w:rsid w:val="0011714E"/>
    <w:rsid w:val="001175A6"/>
    <w:rsid w:val="00117700"/>
    <w:rsid w:val="0011793B"/>
    <w:rsid w:val="00117975"/>
    <w:rsid w:val="00117EE3"/>
    <w:rsid w:val="00120372"/>
    <w:rsid w:val="00121151"/>
    <w:rsid w:val="001213AA"/>
    <w:rsid w:val="00121690"/>
    <w:rsid w:val="0012178E"/>
    <w:rsid w:val="0012361B"/>
    <w:rsid w:val="0012376C"/>
    <w:rsid w:val="001237DE"/>
    <w:rsid w:val="00124302"/>
    <w:rsid w:val="00124401"/>
    <w:rsid w:val="001249D9"/>
    <w:rsid w:val="00124CD7"/>
    <w:rsid w:val="001259BC"/>
    <w:rsid w:val="00125EB6"/>
    <w:rsid w:val="00125F26"/>
    <w:rsid w:val="0012600F"/>
    <w:rsid w:val="0012633D"/>
    <w:rsid w:val="00126670"/>
    <w:rsid w:val="00126889"/>
    <w:rsid w:val="001271FE"/>
    <w:rsid w:val="0012736F"/>
    <w:rsid w:val="00127527"/>
    <w:rsid w:val="00127BED"/>
    <w:rsid w:val="00127C2C"/>
    <w:rsid w:val="00127F93"/>
    <w:rsid w:val="001301D9"/>
    <w:rsid w:val="001302EF"/>
    <w:rsid w:val="001305D7"/>
    <w:rsid w:val="00130921"/>
    <w:rsid w:val="00130B98"/>
    <w:rsid w:val="001314D4"/>
    <w:rsid w:val="00132601"/>
    <w:rsid w:val="001336FD"/>
    <w:rsid w:val="00133C4B"/>
    <w:rsid w:val="00134516"/>
    <w:rsid w:val="00134526"/>
    <w:rsid w:val="0013462F"/>
    <w:rsid w:val="001347B8"/>
    <w:rsid w:val="00134C2A"/>
    <w:rsid w:val="00134C8D"/>
    <w:rsid w:val="00134C8E"/>
    <w:rsid w:val="00134CFF"/>
    <w:rsid w:val="00134ED0"/>
    <w:rsid w:val="0013529B"/>
    <w:rsid w:val="001363BC"/>
    <w:rsid w:val="00136F2C"/>
    <w:rsid w:val="00137337"/>
    <w:rsid w:val="00137521"/>
    <w:rsid w:val="0013794A"/>
    <w:rsid w:val="00137C96"/>
    <w:rsid w:val="00140790"/>
    <w:rsid w:val="00140A7E"/>
    <w:rsid w:val="00140DB2"/>
    <w:rsid w:val="0014127A"/>
    <w:rsid w:val="001412E6"/>
    <w:rsid w:val="0014134E"/>
    <w:rsid w:val="0014141B"/>
    <w:rsid w:val="00141889"/>
    <w:rsid w:val="00142500"/>
    <w:rsid w:val="0014269E"/>
    <w:rsid w:val="001437D2"/>
    <w:rsid w:val="001439E4"/>
    <w:rsid w:val="00143A01"/>
    <w:rsid w:val="00143B65"/>
    <w:rsid w:val="00143DF9"/>
    <w:rsid w:val="00144017"/>
    <w:rsid w:val="00144436"/>
    <w:rsid w:val="00144769"/>
    <w:rsid w:val="00144D9F"/>
    <w:rsid w:val="00145BB8"/>
    <w:rsid w:val="00145CEF"/>
    <w:rsid w:val="00146792"/>
    <w:rsid w:val="00146D8D"/>
    <w:rsid w:val="001471A7"/>
    <w:rsid w:val="00147393"/>
    <w:rsid w:val="001473C6"/>
    <w:rsid w:val="00147517"/>
    <w:rsid w:val="00147734"/>
    <w:rsid w:val="00150973"/>
    <w:rsid w:val="00150E91"/>
    <w:rsid w:val="001513C9"/>
    <w:rsid w:val="00151669"/>
    <w:rsid w:val="001522A1"/>
    <w:rsid w:val="001522D6"/>
    <w:rsid w:val="00152630"/>
    <w:rsid w:val="001526C6"/>
    <w:rsid w:val="00152B77"/>
    <w:rsid w:val="00152E7A"/>
    <w:rsid w:val="00153B18"/>
    <w:rsid w:val="0015416A"/>
    <w:rsid w:val="00154EA0"/>
    <w:rsid w:val="00154F74"/>
    <w:rsid w:val="001551A1"/>
    <w:rsid w:val="001551D7"/>
    <w:rsid w:val="001553D5"/>
    <w:rsid w:val="0015662A"/>
    <w:rsid w:val="001566F9"/>
    <w:rsid w:val="00157447"/>
    <w:rsid w:val="00157774"/>
    <w:rsid w:val="001579C6"/>
    <w:rsid w:val="00157D7F"/>
    <w:rsid w:val="001602E4"/>
    <w:rsid w:val="0016076D"/>
    <w:rsid w:val="001609A3"/>
    <w:rsid w:val="00160BAE"/>
    <w:rsid w:val="00161054"/>
    <w:rsid w:val="001613A6"/>
    <w:rsid w:val="00161777"/>
    <w:rsid w:val="00162530"/>
    <w:rsid w:val="0016337F"/>
    <w:rsid w:val="001638FF"/>
    <w:rsid w:val="00163F02"/>
    <w:rsid w:val="00164252"/>
    <w:rsid w:val="00164E80"/>
    <w:rsid w:val="001655B9"/>
    <w:rsid w:val="00165A8F"/>
    <w:rsid w:val="0016635E"/>
    <w:rsid w:val="001666E9"/>
    <w:rsid w:val="001667C7"/>
    <w:rsid w:val="00166A83"/>
    <w:rsid w:val="00166B24"/>
    <w:rsid w:val="00166CA8"/>
    <w:rsid w:val="00167298"/>
    <w:rsid w:val="001674E5"/>
    <w:rsid w:val="001676D0"/>
    <w:rsid w:val="0016775A"/>
    <w:rsid w:val="001677FD"/>
    <w:rsid w:val="00167B66"/>
    <w:rsid w:val="00167C7B"/>
    <w:rsid w:val="00170685"/>
    <w:rsid w:val="0017081B"/>
    <w:rsid w:val="00171256"/>
    <w:rsid w:val="0017139C"/>
    <w:rsid w:val="001713B7"/>
    <w:rsid w:val="0017173B"/>
    <w:rsid w:val="00171BE1"/>
    <w:rsid w:val="0017203A"/>
    <w:rsid w:val="0017209F"/>
    <w:rsid w:val="00172182"/>
    <w:rsid w:val="00172214"/>
    <w:rsid w:val="00173A09"/>
    <w:rsid w:val="00173A29"/>
    <w:rsid w:val="00174471"/>
    <w:rsid w:val="0017499C"/>
    <w:rsid w:val="001750A7"/>
    <w:rsid w:val="0017521D"/>
    <w:rsid w:val="001753BA"/>
    <w:rsid w:val="0017569D"/>
    <w:rsid w:val="0017578A"/>
    <w:rsid w:val="001757C2"/>
    <w:rsid w:val="00176868"/>
    <w:rsid w:val="00176A64"/>
    <w:rsid w:val="00176B17"/>
    <w:rsid w:val="00176C49"/>
    <w:rsid w:val="00176C5C"/>
    <w:rsid w:val="00177576"/>
    <w:rsid w:val="001778EA"/>
    <w:rsid w:val="00177D71"/>
    <w:rsid w:val="00180BFE"/>
    <w:rsid w:val="00180F7A"/>
    <w:rsid w:val="00181A30"/>
    <w:rsid w:val="00181AE8"/>
    <w:rsid w:val="001822D2"/>
    <w:rsid w:val="00182BA3"/>
    <w:rsid w:val="0018339D"/>
    <w:rsid w:val="001836E7"/>
    <w:rsid w:val="00183B26"/>
    <w:rsid w:val="00183FCE"/>
    <w:rsid w:val="001840E9"/>
    <w:rsid w:val="001850B7"/>
    <w:rsid w:val="001856F6"/>
    <w:rsid w:val="00186A27"/>
    <w:rsid w:val="00186BDE"/>
    <w:rsid w:val="00186C86"/>
    <w:rsid w:val="00186D32"/>
    <w:rsid w:val="001870AE"/>
    <w:rsid w:val="00187799"/>
    <w:rsid w:val="00187917"/>
    <w:rsid w:val="0019004C"/>
    <w:rsid w:val="001900B5"/>
    <w:rsid w:val="00190258"/>
    <w:rsid w:val="0019044F"/>
    <w:rsid w:val="00190F7E"/>
    <w:rsid w:val="001910FD"/>
    <w:rsid w:val="0019110D"/>
    <w:rsid w:val="001913AF"/>
    <w:rsid w:val="0019176F"/>
    <w:rsid w:val="001919C0"/>
    <w:rsid w:val="00191EA9"/>
    <w:rsid w:val="00192F0F"/>
    <w:rsid w:val="00192F38"/>
    <w:rsid w:val="0019318A"/>
    <w:rsid w:val="0019376E"/>
    <w:rsid w:val="00193E06"/>
    <w:rsid w:val="00194C06"/>
    <w:rsid w:val="00194C90"/>
    <w:rsid w:val="00194DE7"/>
    <w:rsid w:val="00195802"/>
    <w:rsid w:val="00195A07"/>
    <w:rsid w:val="00195B9F"/>
    <w:rsid w:val="00196418"/>
    <w:rsid w:val="001964CE"/>
    <w:rsid w:val="00197A02"/>
    <w:rsid w:val="00197B45"/>
    <w:rsid w:val="00197F50"/>
    <w:rsid w:val="001A01BD"/>
    <w:rsid w:val="001A035B"/>
    <w:rsid w:val="001A04C9"/>
    <w:rsid w:val="001A08EF"/>
    <w:rsid w:val="001A0CA8"/>
    <w:rsid w:val="001A0DD2"/>
    <w:rsid w:val="001A0FF3"/>
    <w:rsid w:val="001A15D5"/>
    <w:rsid w:val="001A1632"/>
    <w:rsid w:val="001A17E7"/>
    <w:rsid w:val="001A18D9"/>
    <w:rsid w:val="001A1D57"/>
    <w:rsid w:val="001A1D99"/>
    <w:rsid w:val="001A23E2"/>
    <w:rsid w:val="001A23EE"/>
    <w:rsid w:val="001A288A"/>
    <w:rsid w:val="001A2B48"/>
    <w:rsid w:val="001A2C42"/>
    <w:rsid w:val="001A4393"/>
    <w:rsid w:val="001A48F4"/>
    <w:rsid w:val="001A49C2"/>
    <w:rsid w:val="001A4A0A"/>
    <w:rsid w:val="001A4EE1"/>
    <w:rsid w:val="001A566A"/>
    <w:rsid w:val="001A59FA"/>
    <w:rsid w:val="001A5A44"/>
    <w:rsid w:val="001A6966"/>
    <w:rsid w:val="001A7A62"/>
    <w:rsid w:val="001A7DBD"/>
    <w:rsid w:val="001B0236"/>
    <w:rsid w:val="001B086F"/>
    <w:rsid w:val="001B1259"/>
    <w:rsid w:val="001B12FA"/>
    <w:rsid w:val="001B1BF4"/>
    <w:rsid w:val="001B1CE3"/>
    <w:rsid w:val="001B22EE"/>
    <w:rsid w:val="001B25FB"/>
    <w:rsid w:val="001B27E2"/>
    <w:rsid w:val="001B3428"/>
    <w:rsid w:val="001B356D"/>
    <w:rsid w:val="001B46A6"/>
    <w:rsid w:val="001B47DA"/>
    <w:rsid w:val="001B4976"/>
    <w:rsid w:val="001B5A3F"/>
    <w:rsid w:val="001B5F02"/>
    <w:rsid w:val="001B61C4"/>
    <w:rsid w:val="001B61EF"/>
    <w:rsid w:val="001B671D"/>
    <w:rsid w:val="001B6B6D"/>
    <w:rsid w:val="001B7237"/>
    <w:rsid w:val="001B7D4B"/>
    <w:rsid w:val="001B7F2C"/>
    <w:rsid w:val="001C009B"/>
    <w:rsid w:val="001C0200"/>
    <w:rsid w:val="001C03FD"/>
    <w:rsid w:val="001C075A"/>
    <w:rsid w:val="001C0937"/>
    <w:rsid w:val="001C1276"/>
    <w:rsid w:val="001C145A"/>
    <w:rsid w:val="001C1593"/>
    <w:rsid w:val="001C1DA4"/>
    <w:rsid w:val="001C22AE"/>
    <w:rsid w:val="001C26E7"/>
    <w:rsid w:val="001C2BAC"/>
    <w:rsid w:val="001C3D3A"/>
    <w:rsid w:val="001C4440"/>
    <w:rsid w:val="001C47BE"/>
    <w:rsid w:val="001C4950"/>
    <w:rsid w:val="001C4B2B"/>
    <w:rsid w:val="001C4F3B"/>
    <w:rsid w:val="001C5191"/>
    <w:rsid w:val="001C51FD"/>
    <w:rsid w:val="001C5907"/>
    <w:rsid w:val="001C5963"/>
    <w:rsid w:val="001C5ED2"/>
    <w:rsid w:val="001C6327"/>
    <w:rsid w:val="001C63DD"/>
    <w:rsid w:val="001C68B9"/>
    <w:rsid w:val="001C6F78"/>
    <w:rsid w:val="001C70E6"/>
    <w:rsid w:val="001C721C"/>
    <w:rsid w:val="001C73DF"/>
    <w:rsid w:val="001C7482"/>
    <w:rsid w:val="001C76CC"/>
    <w:rsid w:val="001C7FB8"/>
    <w:rsid w:val="001C7FE1"/>
    <w:rsid w:val="001D00A1"/>
    <w:rsid w:val="001D05BA"/>
    <w:rsid w:val="001D05F7"/>
    <w:rsid w:val="001D077A"/>
    <w:rsid w:val="001D0802"/>
    <w:rsid w:val="001D0831"/>
    <w:rsid w:val="001D0B4A"/>
    <w:rsid w:val="001D0DC7"/>
    <w:rsid w:val="001D12A7"/>
    <w:rsid w:val="001D1551"/>
    <w:rsid w:val="001D1882"/>
    <w:rsid w:val="001D2008"/>
    <w:rsid w:val="001D2F6B"/>
    <w:rsid w:val="001D314A"/>
    <w:rsid w:val="001D35E1"/>
    <w:rsid w:val="001D388E"/>
    <w:rsid w:val="001D38C5"/>
    <w:rsid w:val="001D3FF4"/>
    <w:rsid w:val="001D428F"/>
    <w:rsid w:val="001D469D"/>
    <w:rsid w:val="001D4B7A"/>
    <w:rsid w:val="001D50AB"/>
    <w:rsid w:val="001D52C8"/>
    <w:rsid w:val="001D558E"/>
    <w:rsid w:val="001D6370"/>
    <w:rsid w:val="001D63F9"/>
    <w:rsid w:val="001D6A35"/>
    <w:rsid w:val="001D6AE1"/>
    <w:rsid w:val="001D706A"/>
    <w:rsid w:val="001D74F3"/>
    <w:rsid w:val="001D7E7D"/>
    <w:rsid w:val="001D7F25"/>
    <w:rsid w:val="001E03C5"/>
    <w:rsid w:val="001E04D8"/>
    <w:rsid w:val="001E0709"/>
    <w:rsid w:val="001E0A57"/>
    <w:rsid w:val="001E0EC0"/>
    <w:rsid w:val="001E0F69"/>
    <w:rsid w:val="001E13DA"/>
    <w:rsid w:val="001E21FC"/>
    <w:rsid w:val="001E2B38"/>
    <w:rsid w:val="001E30CC"/>
    <w:rsid w:val="001E3B54"/>
    <w:rsid w:val="001E3C02"/>
    <w:rsid w:val="001E45BE"/>
    <w:rsid w:val="001E45C4"/>
    <w:rsid w:val="001E61E8"/>
    <w:rsid w:val="001E6334"/>
    <w:rsid w:val="001E6947"/>
    <w:rsid w:val="001E6C60"/>
    <w:rsid w:val="001E711B"/>
    <w:rsid w:val="001E72BF"/>
    <w:rsid w:val="001E734E"/>
    <w:rsid w:val="001E774F"/>
    <w:rsid w:val="001E77CF"/>
    <w:rsid w:val="001E7BE1"/>
    <w:rsid w:val="001E7D0E"/>
    <w:rsid w:val="001E7D6D"/>
    <w:rsid w:val="001E7EC6"/>
    <w:rsid w:val="001E7F7E"/>
    <w:rsid w:val="001F06D2"/>
    <w:rsid w:val="001F0CB6"/>
    <w:rsid w:val="001F12BE"/>
    <w:rsid w:val="001F157F"/>
    <w:rsid w:val="001F177F"/>
    <w:rsid w:val="001F1BD7"/>
    <w:rsid w:val="001F1BEF"/>
    <w:rsid w:val="001F1D0A"/>
    <w:rsid w:val="001F1D35"/>
    <w:rsid w:val="001F24B4"/>
    <w:rsid w:val="001F2E61"/>
    <w:rsid w:val="001F3C7C"/>
    <w:rsid w:val="001F3EAC"/>
    <w:rsid w:val="001F3EE2"/>
    <w:rsid w:val="001F4176"/>
    <w:rsid w:val="001F4437"/>
    <w:rsid w:val="001F46C8"/>
    <w:rsid w:val="001F4BBE"/>
    <w:rsid w:val="001F5595"/>
    <w:rsid w:val="001F5FE9"/>
    <w:rsid w:val="001F658D"/>
    <w:rsid w:val="001F65D0"/>
    <w:rsid w:val="001F6720"/>
    <w:rsid w:val="001F6946"/>
    <w:rsid w:val="001F6F08"/>
    <w:rsid w:val="001F70C8"/>
    <w:rsid w:val="001F7199"/>
    <w:rsid w:val="001F73E6"/>
    <w:rsid w:val="001F752B"/>
    <w:rsid w:val="00200A42"/>
    <w:rsid w:val="00201039"/>
    <w:rsid w:val="002022C8"/>
    <w:rsid w:val="002023C2"/>
    <w:rsid w:val="0020278F"/>
    <w:rsid w:val="002030E8"/>
    <w:rsid w:val="00203355"/>
    <w:rsid w:val="0020383B"/>
    <w:rsid w:val="00203B00"/>
    <w:rsid w:val="00203DEF"/>
    <w:rsid w:val="002040D9"/>
    <w:rsid w:val="00204AD7"/>
    <w:rsid w:val="00204EE7"/>
    <w:rsid w:val="00205159"/>
    <w:rsid w:val="002053CC"/>
    <w:rsid w:val="00205ACB"/>
    <w:rsid w:val="00205D0D"/>
    <w:rsid w:val="00205D65"/>
    <w:rsid w:val="0020627E"/>
    <w:rsid w:val="00206364"/>
    <w:rsid w:val="00206A4C"/>
    <w:rsid w:val="00206D48"/>
    <w:rsid w:val="00207354"/>
    <w:rsid w:val="002075EC"/>
    <w:rsid w:val="00207AB8"/>
    <w:rsid w:val="00207B5F"/>
    <w:rsid w:val="00207B70"/>
    <w:rsid w:val="00210140"/>
    <w:rsid w:val="002101AF"/>
    <w:rsid w:val="0021180E"/>
    <w:rsid w:val="0021183C"/>
    <w:rsid w:val="00211EAD"/>
    <w:rsid w:val="00212AD7"/>
    <w:rsid w:val="002134F0"/>
    <w:rsid w:val="002136A7"/>
    <w:rsid w:val="00213819"/>
    <w:rsid w:val="00213903"/>
    <w:rsid w:val="00213D4D"/>
    <w:rsid w:val="002140BF"/>
    <w:rsid w:val="0021416C"/>
    <w:rsid w:val="002141FA"/>
    <w:rsid w:val="002145CC"/>
    <w:rsid w:val="00214B2A"/>
    <w:rsid w:val="00214D28"/>
    <w:rsid w:val="00214E26"/>
    <w:rsid w:val="0021505F"/>
    <w:rsid w:val="0021528B"/>
    <w:rsid w:val="002152BF"/>
    <w:rsid w:val="00215C42"/>
    <w:rsid w:val="00215D80"/>
    <w:rsid w:val="002160E9"/>
    <w:rsid w:val="00216848"/>
    <w:rsid w:val="0021694D"/>
    <w:rsid w:val="00217341"/>
    <w:rsid w:val="00217400"/>
    <w:rsid w:val="002175D7"/>
    <w:rsid w:val="00217743"/>
    <w:rsid w:val="00217B33"/>
    <w:rsid w:val="00217C7E"/>
    <w:rsid w:val="00217E40"/>
    <w:rsid w:val="00217FA6"/>
    <w:rsid w:val="002202E9"/>
    <w:rsid w:val="0022039F"/>
    <w:rsid w:val="00220416"/>
    <w:rsid w:val="00220FFB"/>
    <w:rsid w:val="0022120A"/>
    <w:rsid w:val="00221633"/>
    <w:rsid w:val="00221DF2"/>
    <w:rsid w:val="002225A2"/>
    <w:rsid w:val="002229E0"/>
    <w:rsid w:val="002229F1"/>
    <w:rsid w:val="00222B38"/>
    <w:rsid w:val="00222ED8"/>
    <w:rsid w:val="00223280"/>
    <w:rsid w:val="00223908"/>
    <w:rsid w:val="00223B77"/>
    <w:rsid w:val="00224123"/>
    <w:rsid w:val="002241A1"/>
    <w:rsid w:val="002242EB"/>
    <w:rsid w:val="002246B0"/>
    <w:rsid w:val="002246E7"/>
    <w:rsid w:val="00224A0B"/>
    <w:rsid w:val="00224AB2"/>
    <w:rsid w:val="00225920"/>
    <w:rsid w:val="00225A74"/>
    <w:rsid w:val="00225AE1"/>
    <w:rsid w:val="00225B10"/>
    <w:rsid w:val="00225FF3"/>
    <w:rsid w:val="0022655E"/>
    <w:rsid w:val="00226827"/>
    <w:rsid w:val="002268B5"/>
    <w:rsid w:val="00226A08"/>
    <w:rsid w:val="00226E0F"/>
    <w:rsid w:val="0022716E"/>
    <w:rsid w:val="002273CD"/>
    <w:rsid w:val="0022746E"/>
    <w:rsid w:val="0023025D"/>
    <w:rsid w:val="0023046F"/>
    <w:rsid w:val="00230A81"/>
    <w:rsid w:val="002312C0"/>
    <w:rsid w:val="00231553"/>
    <w:rsid w:val="002315E6"/>
    <w:rsid w:val="00231778"/>
    <w:rsid w:val="00231820"/>
    <w:rsid w:val="002318F3"/>
    <w:rsid w:val="002326E0"/>
    <w:rsid w:val="00232B8F"/>
    <w:rsid w:val="00232D9B"/>
    <w:rsid w:val="00232ED3"/>
    <w:rsid w:val="002339DD"/>
    <w:rsid w:val="00233FD4"/>
    <w:rsid w:val="002343A4"/>
    <w:rsid w:val="002345B3"/>
    <w:rsid w:val="00235737"/>
    <w:rsid w:val="002374D7"/>
    <w:rsid w:val="00237693"/>
    <w:rsid w:val="0023788C"/>
    <w:rsid w:val="00237938"/>
    <w:rsid w:val="0023798A"/>
    <w:rsid w:val="00237A4E"/>
    <w:rsid w:val="0024019E"/>
    <w:rsid w:val="002403A4"/>
    <w:rsid w:val="00240C34"/>
    <w:rsid w:val="00240F6C"/>
    <w:rsid w:val="0024111B"/>
    <w:rsid w:val="002412F0"/>
    <w:rsid w:val="002413C8"/>
    <w:rsid w:val="002417A4"/>
    <w:rsid w:val="00241820"/>
    <w:rsid w:val="00241C04"/>
    <w:rsid w:val="00241F8C"/>
    <w:rsid w:val="00242C93"/>
    <w:rsid w:val="00243060"/>
    <w:rsid w:val="00243137"/>
    <w:rsid w:val="002431E6"/>
    <w:rsid w:val="0024367A"/>
    <w:rsid w:val="00243DA2"/>
    <w:rsid w:val="00243F58"/>
    <w:rsid w:val="00244909"/>
    <w:rsid w:val="00245147"/>
    <w:rsid w:val="002457FF"/>
    <w:rsid w:val="00245FEF"/>
    <w:rsid w:val="002460F9"/>
    <w:rsid w:val="00246406"/>
    <w:rsid w:val="002465A0"/>
    <w:rsid w:val="00246C5C"/>
    <w:rsid w:val="00246D11"/>
    <w:rsid w:val="00246DEC"/>
    <w:rsid w:val="00247111"/>
    <w:rsid w:val="00247115"/>
    <w:rsid w:val="0024768E"/>
    <w:rsid w:val="002476C7"/>
    <w:rsid w:val="00247ED0"/>
    <w:rsid w:val="0025068E"/>
    <w:rsid w:val="00250D27"/>
    <w:rsid w:val="002510C3"/>
    <w:rsid w:val="0025143A"/>
    <w:rsid w:val="0025144C"/>
    <w:rsid w:val="002514D3"/>
    <w:rsid w:val="002515EE"/>
    <w:rsid w:val="00251F6F"/>
    <w:rsid w:val="002522CB"/>
    <w:rsid w:val="0025246B"/>
    <w:rsid w:val="002524DD"/>
    <w:rsid w:val="00252773"/>
    <w:rsid w:val="00252B38"/>
    <w:rsid w:val="002538B1"/>
    <w:rsid w:val="002539A2"/>
    <w:rsid w:val="00253ABA"/>
    <w:rsid w:val="00253D95"/>
    <w:rsid w:val="002548E8"/>
    <w:rsid w:val="00254DF0"/>
    <w:rsid w:val="00254F18"/>
    <w:rsid w:val="00255117"/>
    <w:rsid w:val="00255498"/>
    <w:rsid w:val="002554EB"/>
    <w:rsid w:val="0025591F"/>
    <w:rsid w:val="00255D4F"/>
    <w:rsid w:val="002561DD"/>
    <w:rsid w:val="00256789"/>
    <w:rsid w:val="00256A78"/>
    <w:rsid w:val="00256C45"/>
    <w:rsid w:val="002573B1"/>
    <w:rsid w:val="00257445"/>
    <w:rsid w:val="0025773A"/>
    <w:rsid w:val="002577B7"/>
    <w:rsid w:val="00257A39"/>
    <w:rsid w:val="0026093F"/>
    <w:rsid w:val="00260ABB"/>
    <w:rsid w:val="00260BCB"/>
    <w:rsid w:val="00260E22"/>
    <w:rsid w:val="002612FE"/>
    <w:rsid w:val="0026275F"/>
    <w:rsid w:val="00262A3C"/>
    <w:rsid w:val="00262B9A"/>
    <w:rsid w:val="00262D0C"/>
    <w:rsid w:val="00263215"/>
    <w:rsid w:val="00263CCF"/>
    <w:rsid w:val="00264584"/>
    <w:rsid w:val="002645D1"/>
    <w:rsid w:val="00264756"/>
    <w:rsid w:val="002649D4"/>
    <w:rsid w:val="00264C52"/>
    <w:rsid w:val="00264DBE"/>
    <w:rsid w:val="00264E92"/>
    <w:rsid w:val="00264EAD"/>
    <w:rsid w:val="00265C6B"/>
    <w:rsid w:val="002661F7"/>
    <w:rsid w:val="00266644"/>
    <w:rsid w:val="002670DA"/>
    <w:rsid w:val="00267708"/>
    <w:rsid w:val="0027017D"/>
    <w:rsid w:val="0027044F"/>
    <w:rsid w:val="00270A49"/>
    <w:rsid w:val="00270DE1"/>
    <w:rsid w:val="00270E1D"/>
    <w:rsid w:val="00271084"/>
    <w:rsid w:val="0027117C"/>
    <w:rsid w:val="002713BB"/>
    <w:rsid w:val="00271DAE"/>
    <w:rsid w:val="00271DCE"/>
    <w:rsid w:val="002722C7"/>
    <w:rsid w:val="00272495"/>
    <w:rsid w:val="00272E60"/>
    <w:rsid w:val="0027368B"/>
    <w:rsid w:val="00273B0A"/>
    <w:rsid w:val="00274468"/>
    <w:rsid w:val="00274487"/>
    <w:rsid w:val="00274872"/>
    <w:rsid w:val="00274976"/>
    <w:rsid w:val="00275047"/>
    <w:rsid w:val="00275350"/>
    <w:rsid w:val="002758FA"/>
    <w:rsid w:val="00275D85"/>
    <w:rsid w:val="00275DD8"/>
    <w:rsid w:val="002762B8"/>
    <w:rsid w:val="00276365"/>
    <w:rsid w:val="00276890"/>
    <w:rsid w:val="00276EC6"/>
    <w:rsid w:val="002800AA"/>
    <w:rsid w:val="002810D6"/>
    <w:rsid w:val="002815CD"/>
    <w:rsid w:val="00281646"/>
    <w:rsid w:val="00281BCE"/>
    <w:rsid w:val="002823B2"/>
    <w:rsid w:val="00282B87"/>
    <w:rsid w:val="0028320F"/>
    <w:rsid w:val="00283765"/>
    <w:rsid w:val="00283B68"/>
    <w:rsid w:val="00284B66"/>
    <w:rsid w:val="00284C0A"/>
    <w:rsid w:val="0028529C"/>
    <w:rsid w:val="002852B9"/>
    <w:rsid w:val="00285A4B"/>
    <w:rsid w:val="00285AE0"/>
    <w:rsid w:val="00285E4B"/>
    <w:rsid w:val="00286160"/>
    <w:rsid w:val="002861AA"/>
    <w:rsid w:val="00286297"/>
    <w:rsid w:val="0028659C"/>
    <w:rsid w:val="0028686A"/>
    <w:rsid w:val="00286A83"/>
    <w:rsid w:val="00287AC7"/>
    <w:rsid w:val="00287EDB"/>
    <w:rsid w:val="002905C7"/>
    <w:rsid w:val="0029064F"/>
    <w:rsid w:val="0029070F"/>
    <w:rsid w:val="00290A2E"/>
    <w:rsid w:val="00290A91"/>
    <w:rsid w:val="00290CA6"/>
    <w:rsid w:val="00290D43"/>
    <w:rsid w:val="00291689"/>
    <w:rsid w:val="002919EF"/>
    <w:rsid w:val="0029256F"/>
    <w:rsid w:val="0029338F"/>
    <w:rsid w:val="0029380C"/>
    <w:rsid w:val="00293B5C"/>
    <w:rsid w:val="00293C2C"/>
    <w:rsid w:val="00293FE8"/>
    <w:rsid w:val="002944C5"/>
    <w:rsid w:val="0029470A"/>
    <w:rsid w:val="0029571D"/>
    <w:rsid w:val="00296138"/>
    <w:rsid w:val="0029644F"/>
    <w:rsid w:val="00296B08"/>
    <w:rsid w:val="00296D8E"/>
    <w:rsid w:val="00296E2A"/>
    <w:rsid w:val="0029772C"/>
    <w:rsid w:val="00297D67"/>
    <w:rsid w:val="002A0A31"/>
    <w:rsid w:val="002A0FF4"/>
    <w:rsid w:val="002A1245"/>
    <w:rsid w:val="002A136B"/>
    <w:rsid w:val="002A1E43"/>
    <w:rsid w:val="002A2727"/>
    <w:rsid w:val="002A2F7A"/>
    <w:rsid w:val="002A35BD"/>
    <w:rsid w:val="002A3940"/>
    <w:rsid w:val="002A4060"/>
    <w:rsid w:val="002A511F"/>
    <w:rsid w:val="002A5353"/>
    <w:rsid w:val="002A5433"/>
    <w:rsid w:val="002A55F4"/>
    <w:rsid w:val="002A609F"/>
    <w:rsid w:val="002A62FD"/>
    <w:rsid w:val="002A64C5"/>
    <w:rsid w:val="002A65B0"/>
    <w:rsid w:val="002A696C"/>
    <w:rsid w:val="002A7235"/>
    <w:rsid w:val="002A768D"/>
    <w:rsid w:val="002A7C01"/>
    <w:rsid w:val="002A7EED"/>
    <w:rsid w:val="002B00FF"/>
    <w:rsid w:val="002B1083"/>
    <w:rsid w:val="002B12C4"/>
    <w:rsid w:val="002B15F3"/>
    <w:rsid w:val="002B1B7F"/>
    <w:rsid w:val="002B1C03"/>
    <w:rsid w:val="002B1E72"/>
    <w:rsid w:val="002B240D"/>
    <w:rsid w:val="002B2B23"/>
    <w:rsid w:val="002B3B9E"/>
    <w:rsid w:val="002B3E7D"/>
    <w:rsid w:val="002B4C0D"/>
    <w:rsid w:val="002B4DC0"/>
    <w:rsid w:val="002B4E9F"/>
    <w:rsid w:val="002B5A46"/>
    <w:rsid w:val="002B5FD2"/>
    <w:rsid w:val="002B6278"/>
    <w:rsid w:val="002B66D4"/>
    <w:rsid w:val="002B67C0"/>
    <w:rsid w:val="002B693A"/>
    <w:rsid w:val="002B6CD6"/>
    <w:rsid w:val="002B6F67"/>
    <w:rsid w:val="002B700A"/>
    <w:rsid w:val="002B7040"/>
    <w:rsid w:val="002B75F0"/>
    <w:rsid w:val="002B7654"/>
    <w:rsid w:val="002B7796"/>
    <w:rsid w:val="002B7955"/>
    <w:rsid w:val="002B7BCC"/>
    <w:rsid w:val="002C0769"/>
    <w:rsid w:val="002C0790"/>
    <w:rsid w:val="002C07DA"/>
    <w:rsid w:val="002C0862"/>
    <w:rsid w:val="002C10E2"/>
    <w:rsid w:val="002C1696"/>
    <w:rsid w:val="002C1960"/>
    <w:rsid w:val="002C1B35"/>
    <w:rsid w:val="002C1C2B"/>
    <w:rsid w:val="002C2020"/>
    <w:rsid w:val="002C29BC"/>
    <w:rsid w:val="002C2A4D"/>
    <w:rsid w:val="002C2E1F"/>
    <w:rsid w:val="002C2EB4"/>
    <w:rsid w:val="002C31C8"/>
    <w:rsid w:val="002C3830"/>
    <w:rsid w:val="002C40B5"/>
    <w:rsid w:val="002C42FF"/>
    <w:rsid w:val="002C472E"/>
    <w:rsid w:val="002C4B3E"/>
    <w:rsid w:val="002C4C61"/>
    <w:rsid w:val="002C4CEC"/>
    <w:rsid w:val="002C5970"/>
    <w:rsid w:val="002C68E4"/>
    <w:rsid w:val="002C6999"/>
    <w:rsid w:val="002C7509"/>
    <w:rsid w:val="002C75C8"/>
    <w:rsid w:val="002C7CC6"/>
    <w:rsid w:val="002C7F5C"/>
    <w:rsid w:val="002D0C68"/>
    <w:rsid w:val="002D0D21"/>
    <w:rsid w:val="002D0D52"/>
    <w:rsid w:val="002D1314"/>
    <w:rsid w:val="002D1FBE"/>
    <w:rsid w:val="002D23FE"/>
    <w:rsid w:val="002D3110"/>
    <w:rsid w:val="002D3485"/>
    <w:rsid w:val="002D426E"/>
    <w:rsid w:val="002D4AED"/>
    <w:rsid w:val="002D5005"/>
    <w:rsid w:val="002D5711"/>
    <w:rsid w:val="002D5B8F"/>
    <w:rsid w:val="002D5D4D"/>
    <w:rsid w:val="002D609D"/>
    <w:rsid w:val="002D68CB"/>
    <w:rsid w:val="002D69CE"/>
    <w:rsid w:val="002D6E3E"/>
    <w:rsid w:val="002D7678"/>
    <w:rsid w:val="002E042B"/>
    <w:rsid w:val="002E06C0"/>
    <w:rsid w:val="002E06D9"/>
    <w:rsid w:val="002E085A"/>
    <w:rsid w:val="002E0956"/>
    <w:rsid w:val="002E0CDB"/>
    <w:rsid w:val="002E0F1A"/>
    <w:rsid w:val="002E18D9"/>
    <w:rsid w:val="002E2342"/>
    <w:rsid w:val="002E2371"/>
    <w:rsid w:val="002E2788"/>
    <w:rsid w:val="002E2927"/>
    <w:rsid w:val="002E29E7"/>
    <w:rsid w:val="002E3066"/>
    <w:rsid w:val="002E39B0"/>
    <w:rsid w:val="002E438A"/>
    <w:rsid w:val="002E4582"/>
    <w:rsid w:val="002E48D8"/>
    <w:rsid w:val="002E48FB"/>
    <w:rsid w:val="002E4C44"/>
    <w:rsid w:val="002E5B2D"/>
    <w:rsid w:val="002E6505"/>
    <w:rsid w:val="002E734A"/>
    <w:rsid w:val="002E73FB"/>
    <w:rsid w:val="002E7FD6"/>
    <w:rsid w:val="002E7FDD"/>
    <w:rsid w:val="002F019C"/>
    <w:rsid w:val="002F039B"/>
    <w:rsid w:val="002F07E7"/>
    <w:rsid w:val="002F0C15"/>
    <w:rsid w:val="002F0DED"/>
    <w:rsid w:val="002F0E74"/>
    <w:rsid w:val="002F1234"/>
    <w:rsid w:val="002F1635"/>
    <w:rsid w:val="002F1704"/>
    <w:rsid w:val="002F17D6"/>
    <w:rsid w:val="002F2037"/>
    <w:rsid w:val="002F2114"/>
    <w:rsid w:val="002F21FB"/>
    <w:rsid w:val="002F25AB"/>
    <w:rsid w:val="002F290D"/>
    <w:rsid w:val="002F2FFA"/>
    <w:rsid w:val="002F32A1"/>
    <w:rsid w:val="002F3555"/>
    <w:rsid w:val="002F4051"/>
    <w:rsid w:val="002F40BA"/>
    <w:rsid w:val="002F44C8"/>
    <w:rsid w:val="002F4A51"/>
    <w:rsid w:val="002F5003"/>
    <w:rsid w:val="002F522B"/>
    <w:rsid w:val="002F53AC"/>
    <w:rsid w:val="002F5BE7"/>
    <w:rsid w:val="002F5FD6"/>
    <w:rsid w:val="002F6451"/>
    <w:rsid w:val="002F7234"/>
    <w:rsid w:val="002F7493"/>
    <w:rsid w:val="002F7F2A"/>
    <w:rsid w:val="0030027C"/>
    <w:rsid w:val="003009E1"/>
    <w:rsid w:val="00300C46"/>
    <w:rsid w:val="00300CE8"/>
    <w:rsid w:val="00301ADF"/>
    <w:rsid w:val="00301E0E"/>
    <w:rsid w:val="003025B6"/>
    <w:rsid w:val="0030269B"/>
    <w:rsid w:val="003028DB"/>
    <w:rsid w:val="00302AF7"/>
    <w:rsid w:val="00303FF3"/>
    <w:rsid w:val="0030401C"/>
    <w:rsid w:val="0030482E"/>
    <w:rsid w:val="0030490F"/>
    <w:rsid w:val="00304981"/>
    <w:rsid w:val="00305097"/>
    <w:rsid w:val="00305855"/>
    <w:rsid w:val="00305B4F"/>
    <w:rsid w:val="00305E0E"/>
    <w:rsid w:val="00306332"/>
    <w:rsid w:val="0030635C"/>
    <w:rsid w:val="00306425"/>
    <w:rsid w:val="003066FD"/>
    <w:rsid w:val="00306BAB"/>
    <w:rsid w:val="0031082B"/>
    <w:rsid w:val="00311278"/>
    <w:rsid w:val="00311E5E"/>
    <w:rsid w:val="00312506"/>
    <w:rsid w:val="003125D3"/>
    <w:rsid w:val="00313336"/>
    <w:rsid w:val="00313C20"/>
    <w:rsid w:val="00313CC9"/>
    <w:rsid w:val="00314092"/>
    <w:rsid w:val="003147D9"/>
    <w:rsid w:val="0031496D"/>
    <w:rsid w:val="00314B46"/>
    <w:rsid w:val="00314C8F"/>
    <w:rsid w:val="00314CDD"/>
    <w:rsid w:val="00314E1C"/>
    <w:rsid w:val="00314F56"/>
    <w:rsid w:val="00314FD0"/>
    <w:rsid w:val="0031512C"/>
    <w:rsid w:val="00315602"/>
    <w:rsid w:val="00315659"/>
    <w:rsid w:val="0031599F"/>
    <w:rsid w:val="00315A99"/>
    <w:rsid w:val="00315D93"/>
    <w:rsid w:val="003165B2"/>
    <w:rsid w:val="00316E61"/>
    <w:rsid w:val="00316F13"/>
    <w:rsid w:val="00317B6B"/>
    <w:rsid w:val="00317E02"/>
    <w:rsid w:val="00317EB3"/>
    <w:rsid w:val="00320620"/>
    <w:rsid w:val="00320DC4"/>
    <w:rsid w:val="003212E8"/>
    <w:rsid w:val="003217C4"/>
    <w:rsid w:val="0032180D"/>
    <w:rsid w:val="00323107"/>
    <w:rsid w:val="00323380"/>
    <w:rsid w:val="003234EE"/>
    <w:rsid w:val="00323553"/>
    <w:rsid w:val="00323C3B"/>
    <w:rsid w:val="00323C49"/>
    <w:rsid w:val="00323E52"/>
    <w:rsid w:val="00323F32"/>
    <w:rsid w:val="00323FE3"/>
    <w:rsid w:val="003241E2"/>
    <w:rsid w:val="00324796"/>
    <w:rsid w:val="003247A9"/>
    <w:rsid w:val="00324A28"/>
    <w:rsid w:val="00325071"/>
    <w:rsid w:val="00325314"/>
    <w:rsid w:val="0032577B"/>
    <w:rsid w:val="003261A4"/>
    <w:rsid w:val="003263F3"/>
    <w:rsid w:val="003264CF"/>
    <w:rsid w:val="003267A7"/>
    <w:rsid w:val="00326A43"/>
    <w:rsid w:val="00326B73"/>
    <w:rsid w:val="00327187"/>
    <w:rsid w:val="003275D4"/>
    <w:rsid w:val="00327CCA"/>
    <w:rsid w:val="00330021"/>
    <w:rsid w:val="003305A4"/>
    <w:rsid w:val="00330837"/>
    <w:rsid w:val="00330E80"/>
    <w:rsid w:val="00331086"/>
    <w:rsid w:val="00331140"/>
    <w:rsid w:val="00331530"/>
    <w:rsid w:val="00331859"/>
    <w:rsid w:val="00331E39"/>
    <w:rsid w:val="0033205D"/>
    <w:rsid w:val="003332C7"/>
    <w:rsid w:val="00333649"/>
    <w:rsid w:val="0033368C"/>
    <w:rsid w:val="00334B05"/>
    <w:rsid w:val="00334B1C"/>
    <w:rsid w:val="00334BB7"/>
    <w:rsid w:val="00334F28"/>
    <w:rsid w:val="00335033"/>
    <w:rsid w:val="003354A1"/>
    <w:rsid w:val="00335916"/>
    <w:rsid w:val="00335B05"/>
    <w:rsid w:val="00335D5E"/>
    <w:rsid w:val="003360AB"/>
    <w:rsid w:val="00336319"/>
    <w:rsid w:val="00336635"/>
    <w:rsid w:val="003366A2"/>
    <w:rsid w:val="00336EB6"/>
    <w:rsid w:val="00336F0C"/>
    <w:rsid w:val="00337759"/>
    <w:rsid w:val="003377E1"/>
    <w:rsid w:val="00337B8E"/>
    <w:rsid w:val="00340409"/>
    <w:rsid w:val="003404D8"/>
    <w:rsid w:val="00340E74"/>
    <w:rsid w:val="00340EB8"/>
    <w:rsid w:val="00340F05"/>
    <w:rsid w:val="00341411"/>
    <w:rsid w:val="00341A0D"/>
    <w:rsid w:val="00341EB3"/>
    <w:rsid w:val="003420F6"/>
    <w:rsid w:val="003422DF"/>
    <w:rsid w:val="0034291F"/>
    <w:rsid w:val="00342DE0"/>
    <w:rsid w:val="00342E48"/>
    <w:rsid w:val="003434A3"/>
    <w:rsid w:val="00343AB3"/>
    <w:rsid w:val="00343D4E"/>
    <w:rsid w:val="00343DF2"/>
    <w:rsid w:val="0034428D"/>
    <w:rsid w:val="00344328"/>
    <w:rsid w:val="003448AA"/>
    <w:rsid w:val="00344CD1"/>
    <w:rsid w:val="00344CE7"/>
    <w:rsid w:val="0034531F"/>
    <w:rsid w:val="00345670"/>
    <w:rsid w:val="00345BB2"/>
    <w:rsid w:val="003469F5"/>
    <w:rsid w:val="00346BEA"/>
    <w:rsid w:val="00347270"/>
    <w:rsid w:val="003472CE"/>
    <w:rsid w:val="00347465"/>
    <w:rsid w:val="00350031"/>
    <w:rsid w:val="00350095"/>
    <w:rsid w:val="0035009A"/>
    <w:rsid w:val="00350318"/>
    <w:rsid w:val="00350527"/>
    <w:rsid w:val="0035099D"/>
    <w:rsid w:val="00351362"/>
    <w:rsid w:val="00351642"/>
    <w:rsid w:val="003517D8"/>
    <w:rsid w:val="003518AF"/>
    <w:rsid w:val="00352990"/>
    <w:rsid w:val="00352A8B"/>
    <w:rsid w:val="00353172"/>
    <w:rsid w:val="0035322E"/>
    <w:rsid w:val="003540B9"/>
    <w:rsid w:val="00354314"/>
    <w:rsid w:val="0035434F"/>
    <w:rsid w:val="00354383"/>
    <w:rsid w:val="00354468"/>
    <w:rsid w:val="00354A52"/>
    <w:rsid w:val="00354AB0"/>
    <w:rsid w:val="003555D4"/>
    <w:rsid w:val="0035590C"/>
    <w:rsid w:val="003563CC"/>
    <w:rsid w:val="00356461"/>
    <w:rsid w:val="00356464"/>
    <w:rsid w:val="0035647A"/>
    <w:rsid w:val="00356517"/>
    <w:rsid w:val="00356959"/>
    <w:rsid w:val="00356FBC"/>
    <w:rsid w:val="00357C15"/>
    <w:rsid w:val="0036042A"/>
    <w:rsid w:val="003608CC"/>
    <w:rsid w:val="0036097D"/>
    <w:rsid w:val="00360B6A"/>
    <w:rsid w:val="00360E57"/>
    <w:rsid w:val="00360FDF"/>
    <w:rsid w:val="0036219E"/>
    <w:rsid w:val="0036226F"/>
    <w:rsid w:val="00362512"/>
    <w:rsid w:val="00362ECD"/>
    <w:rsid w:val="0036349D"/>
    <w:rsid w:val="00363AFF"/>
    <w:rsid w:val="00363DCA"/>
    <w:rsid w:val="00363F24"/>
    <w:rsid w:val="00364B3B"/>
    <w:rsid w:val="003650A5"/>
    <w:rsid w:val="0036525F"/>
    <w:rsid w:val="003655CB"/>
    <w:rsid w:val="00365AD2"/>
    <w:rsid w:val="00365CE3"/>
    <w:rsid w:val="00365FBB"/>
    <w:rsid w:val="003665D3"/>
    <w:rsid w:val="00366BF6"/>
    <w:rsid w:val="00367454"/>
    <w:rsid w:val="003677D6"/>
    <w:rsid w:val="00370251"/>
    <w:rsid w:val="00370348"/>
    <w:rsid w:val="00370492"/>
    <w:rsid w:val="00370548"/>
    <w:rsid w:val="0037081A"/>
    <w:rsid w:val="003709DB"/>
    <w:rsid w:val="00370A26"/>
    <w:rsid w:val="00370DB9"/>
    <w:rsid w:val="00371916"/>
    <w:rsid w:val="003721E8"/>
    <w:rsid w:val="0037292E"/>
    <w:rsid w:val="003732A5"/>
    <w:rsid w:val="00373B1A"/>
    <w:rsid w:val="00373E3F"/>
    <w:rsid w:val="00373EBA"/>
    <w:rsid w:val="003744D8"/>
    <w:rsid w:val="0037456F"/>
    <w:rsid w:val="00374A9B"/>
    <w:rsid w:val="00374AFC"/>
    <w:rsid w:val="00374C98"/>
    <w:rsid w:val="00374E18"/>
    <w:rsid w:val="003750FF"/>
    <w:rsid w:val="003755C0"/>
    <w:rsid w:val="00375E6C"/>
    <w:rsid w:val="0037623D"/>
    <w:rsid w:val="003766D6"/>
    <w:rsid w:val="00376716"/>
    <w:rsid w:val="00377267"/>
    <w:rsid w:val="003773EF"/>
    <w:rsid w:val="00377B4B"/>
    <w:rsid w:val="00380258"/>
    <w:rsid w:val="003805D0"/>
    <w:rsid w:val="0038069A"/>
    <w:rsid w:val="00380CE5"/>
    <w:rsid w:val="00380EB9"/>
    <w:rsid w:val="00380F42"/>
    <w:rsid w:val="0038127A"/>
    <w:rsid w:val="00381AE4"/>
    <w:rsid w:val="00381FA2"/>
    <w:rsid w:val="00382A13"/>
    <w:rsid w:val="00382FE5"/>
    <w:rsid w:val="00383606"/>
    <w:rsid w:val="00383C47"/>
    <w:rsid w:val="00383FBE"/>
    <w:rsid w:val="00384A73"/>
    <w:rsid w:val="00384EB1"/>
    <w:rsid w:val="0038522D"/>
    <w:rsid w:val="00385824"/>
    <w:rsid w:val="00385C47"/>
    <w:rsid w:val="00385E46"/>
    <w:rsid w:val="00386E96"/>
    <w:rsid w:val="00386F76"/>
    <w:rsid w:val="0038775F"/>
    <w:rsid w:val="0038785B"/>
    <w:rsid w:val="003902A3"/>
    <w:rsid w:val="00390403"/>
    <w:rsid w:val="00390E90"/>
    <w:rsid w:val="00391040"/>
    <w:rsid w:val="0039179D"/>
    <w:rsid w:val="0039198C"/>
    <w:rsid w:val="00391BD3"/>
    <w:rsid w:val="00391C1A"/>
    <w:rsid w:val="00392FAB"/>
    <w:rsid w:val="003930DA"/>
    <w:rsid w:val="00393AF3"/>
    <w:rsid w:val="00393BA2"/>
    <w:rsid w:val="00394059"/>
    <w:rsid w:val="00394356"/>
    <w:rsid w:val="00394366"/>
    <w:rsid w:val="003946D3"/>
    <w:rsid w:val="00394893"/>
    <w:rsid w:val="00394910"/>
    <w:rsid w:val="003949D6"/>
    <w:rsid w:val="00394FF2"/>
    <w:rsid w:val="003951D3"/>
    <w:rsid w:val="00396573"/>
    <w:rsid w:val="00396F49"/>
    <w:rsid w:val="003971D9"/>
    <w:rsid w:val="00397262"/>
    <w:rsid w:val="003974F7"/>
    <w:rsid w:val="00397955"/>
    <w:rsid w:val="00397A1F"/>
    <w:rsid w:val="00397A4A"/>
    <w:rsid w:val="003A06F1"/>
    <w:rsid w:val="003A0C32"/>
    <w:rsid w:val="003A11B3"/>
    <w:rsid w:val="003A1C6C"/>
    <w:rsid w:val="003A1FA2"/>
    <w:rsid w:val="003A1FF6"/>
    <w:rsid w:val="003A2A93"/>
    <w:rsid w:val="003A30B5"/>
    <w:rsid w:val="003A317A"/>
    <w:rsid w:val="003A37A3"/>
    <w:rsid w:val="003A4013"/>
    <w:rsid w:val="003A403B"/>
    <w:rsid w:val="003A4074"/>
    <w:rsid w:val="003A4C15"/>
    <w:rsid w:val="003A4F7C"/>
    <w:rsid w:val="003A504C"/>
    <w:rsid w:val="003A5D3D"/>
    <w:rsid w:val="003A5E26"/>
    <w:rsid w:val="003A5FF6"/>
    <w:rsid w:val="003A6AFA"/>
    <w:rsid w:val="003A796D"/>
    <w:rsid w:val="003A7B09"/>
    <w:rsid w:val="003A7E68"/>
    <w:rsid w:val="003A7FC8"/>
    <w:rsid w:val="003B02CC"/>
    <w:rsid w:val="003B089C"/>
    <w:rsid w:val="003B08B5"/>
    <w:rsid w:val="003B0A0D"/>
    <w:rsid w:val="003B0B5A"/>
    <w:rsid w:val="003B0C22"/>
    <w:rsid w:val="003B0E93"/>
    <w:rsid w:val="003B13F9"/>
    <w:rsid w:val="003B24EF"/>
    <w:rsid w:val="003B2691"/>
    <w:rsid w:val="003B26F3"/>
    <w:rsid w:val="003B26FD"/>
    <w:rsid w:val="003B297E"/>
    <w:rsid w:val="003B3139"/>
    <w:rsid w:val="003B35C5"/>
    <w:rsid w:val="003B3A7C"/>
    <w:rsid w:val="003B4036"/>
    <w:rsid w:val="003B4354"/>
    <w:rsid w:val="003B4761"/>
    <w:rsid w:val="003B4A99"/>
    <w:rsid w:val="003B55B8"/>
    <w:rsid w:val="003B55CC"/>
    <w:rsid w:val="003B565A"/>
    <w:rsid w:val="003B612B"/>
    <w:rsid w:val="003B6446"/>
    <w:rsid w:val="003B6C75"/>
    <w:rsid w:val="003B6F06"/>
    <w:rsid w:val="003B6F9C"/>
    <w:rsid w:val="003B709C"/>
    <w:rsid w:val="003B714E"/>
    <w:rsid w:val="003B73C4"/>
    <w:rsid w:val="003B7975"/>
    <w:rsid w:val="003B7C78"/>
    <w:rsid w:val="003B7DE3"/>
    <w:rsid w:val="003B7FE4"/>
    <w:rsid w:val="003C0211"/>
    <w:rsid w:val="003C03D8"/>
    <w:rsid w:val="003C05B2"/>
    <w:rsid w:val="003C0692"/>
    <w:rsid w:val="003C0796"/>
    <w:rsid w:val="003C08A7"/>
    <w:rsid w:val="003C0964"/>
    <w:rsid w:val="003C0EFA"/>
    <w:rsid w:val="003C19C1"/>
    <w:rsid w:val="003C1B9D"/>
    <w:rsid w:val="003C1BA8"/>
    <w:rsid w:val="003C2C2E"/>
    <w:rsid w:val="003C3C8D"/>
    <w:rsid w:val="003C3CA6"/>
    <w:rsid w:val="003C413D"/>
    <w:rsid w:val="003C416A"/>
    <w:rsid w:val="003C41F4"/>
    <w:rsid w:val="003C42E2"/>
    <w:rsid w:val="003C47AA"/>
    <w:rsid w:val="003C4A94"/>
    <w:rsid w:val="003C52DE"/>
    <w:rsid w:val="003C5335"/>
    <w:rsid w:val="003C5337"/>
    <w:rsid w:val="003C536D"/>
    <w:rsid w:val="003C54AD"/>
    <w:rsid w:val="003C54C1"/>
    <w:rsid w:val="003C5625"/>
    <w:rsid w:val="003C5638"/>
    <w:rsid w:val="003C64CC"/>
    <w:rsid w:val="003C6616"/>
    <w:rsid w:val="003C76EB"/>
    <w:rsid w:val="003C784F"/>
    <w:rsid w:val="003C78B0"/>
    <w:rsid w:val="003C7A97"/>
    <w:rsid w:val="003C7B1C"/>
    <w:rsid w:val="003C7DB3"/>
    <w:rsid w:val="003D093D"/>
    <w:rsid w:val="003D10E8"/>
    <w:rsid w:val="003D1833"/>
    <w:rsid w:val="003D19AE"/>
    <w:rsid w:val="003D1D9A"/>
    <w:rsid w:val="003D23EE"/>
    <w:rsid w:val="003D255C"/>
    <w:rsid w:val="003D2D8D"/>
    <w:rsid w:val="003D2D9A"/>
    <w:rsid w:val="003D36CA"/>
    <w:rsid w:val="003D3791"/>
    <w:rsid w:val="003D473D"/>
    <w:rsid w:val="003D506B"/>
    <w:rsid w:val="003D51E8"/>
    <w:rsid w:val="003D5D7E"/>
    <w:rsid w:val="003D5DBC"/>
    <w:rsid w:val="003D6B66"/>
    <w:rsid w:val="003D7477"/>
    <w:rsid w:val="003D76FB"/>
    <w:rsid w:val="003D7EC1"/>
    <w:rsid w:val="003E04A3"/>
    <w:rsid w:val="003E05EF"/>
    <w:rsid w:val="003E0752"/>
    <w:rsid w:val="003E089C"/>
    <w:rsid w:val="003E0A14"/>
    <w:rsid w:val="003E0A9B"/>
    <w:rsid w:val="003E0DF8"/>
    <w:rsid w:val="003E12DA"/>
    <w:rsid w:val="003E1563"/>
    <w:rsid w:val="003E1757"/>
    <w:rsid w:val="003E1888"/>
    <w:rsid w:val="003E1925"/>
    <w:rsid w:val="003E1D02"/>
    <w:rsid w:val="003E210E"/>
    <w:rsid w:val="003E278D"/>
    <w:rsid w:val="003E2B64"/>
    <w:rsid w:val="003E32B3"/>
    <w:rsid w:val="003E34A8"/>
    <w:rsid w:val="003E34C4"/>
    <w:rsid w:val="003E3714"/>
    <w:rsid w:val="003E3A6D"/>
    <w:rsid w:val="003E3E76"/>
    <w:rsid w:val="003E4385"/>
    <w:rsid w:val="003E45F7"/>
    <w:rsid w:val="003E47EC"/>
    <w:rsid w:val="003E4DF0"/>
    <w:rsid w:val="003E4E58"/>
    <w:rsid w:val="003E4F3F"/>
    <w:rsid w:val="003E52AF"/>
    <w:rsid w:val="003E5710"/>
    <w:rsid w:val="003E5ABD"/>
    <w:rsid w:val="003E5CE8"/>
    <w:rsid w:val="003E61EB"/>
    <w:rsid w:val="003E6560"/>
    <w:rsid w:val="003E6FFF"/>
    <w:rsid w:val="003E7035"/>
    <w:rsid w:val="003E70B4"/>
    <w:rsid w:val="003E7C46"/>
    <w:rsid w:val="003F0549"/>
    <w:rsid w:val="003F0786"/>
    <w:rsid w:val="003F0893"/>
    <w:rsid w:val="003F0CD3"/>
    <w:rsid w:val="003F0D96"/>
    <w:rsid w:val="003F0DDB"/>
    <w:rsid w:val="003F10F2"/>
    <w:rsid w:val="003F1324"/>
    <w:rsid w:val="003F1E01"/>
    <w:rsid w:val="003F1ED4"/>
    <w:rsid w:val="003F26B3"/>
    <w:rsid w:val="003F27E2"/>
    <w:rsid w:val="003F2AC4"/>
    <w:rsid w:val="003F3070"/>
    <w:rsid w:val="003F3203"/>
    <w:rsid w:val="003F329E"/>
    <w:rsid w:val="003F34F7"/>
    <w:rsid w:val="003F43AD"/>
    <w:rsid w:val="003F4793"/>
    <w:rsid w:val="003F4EFA"/>
    <w:rsid w:val="003F4F12"/>
    <w:rsid w:val="003F5079"/>
    <w:rsid w:val="003F5448"/>
    <w:rsid w:val="003F5648"/>
    <w:rsid w:val="003F579F"/>
    <w:rsid w:val="003F58A5"/>
    <w:rsid w:val="003F5918"/>
    <w:rsid w:val="003F5DFC"/>
    <w:rsid w:val="003F6456"/>
    <w:rsid w:val="003F66CC"/>
    <w:rsid w:val="003F69A4"/>
    <w:rsid w:val="003F69F5"/>
    <w:rsid w:val="003F6DA8"/>
    <w:rsid w:val="003F6E0C"/>
    <w:rsid w:val="003F77B5"/>
    <w:rsid w:val="004009EC"/>
    <w:rsid w:val="00401192"/>
    <w:rsid w:val="00401741"/>
    <w:rsid w:val="0040190C"/>
    <w:rsid w:val="00401AF6"/>
    <w:rsid w:val="00401BE3"/>
    <w:rsid w:val="00401EF0"/>
    <w:rsid w:val="00402146"/>
    <w:rsid w:val="00402180"/>
    <w:rsid w:val="004023F6"/>
    <w:rsid w:val="0040282B"/>
    <w:rsid w:val="004038F0"/>
    <w:rsid w:val="00403A58"/>
    <w:rsid w:val="00403C1F"/>
    <w:rsid w:val="00403FA4"/>
    <w:rsid w:val="004046B2"/>
    <w:rsid w:val="0040472A"/>
    <w:rsid w:val="00404E1C"/>
    <w:rsid w:val="00405D63"/>
    <w:rsid w:val="00406529"/>
    <w:rsid w:val="004065C1"/>
    <w:rsid w:val="004068AB"/>
    <w:rsid w:val="0040697C"/>
    <w:rsid w:val="00406DB0"/>
    <w:rsid w:val="00406E1C"/>
    <w:rsid w:val="00406FC2"/>
    <w:rsid w:val="00407139"/>
    <w:rsid w:val="00407442"/>
    <w:rsid w:val="004079F6"/>
    <w:rsid w:val="00410563"/>
    <w:rsid w:val="004106D9"/>
    <w:rsid w:val="00410A96"/>
    <w:rsid w:val="00410D03"/>
    <w:rsid w:val="00411A73"/>
    <w:rsid w:val="00411EA4"/>
    <w:rsid w:val="00412338"/>
    <w:rsid w:val="00412380"/>
    <w:rsid w:val="00412B2D"/>
    <w:rsid w:val="00412D22"/>
    <w:rsid w:val="00412FAD"/>
    <w:rsid w:val="0041358A"/>
    <w:rsid w:val="00414F02"/>
    <w:rsid w:val="00415103"/>
    <w:rsid w:val="00415754"/>
    <w:rsid w:val="00415905"/>
    <w:rsid w:val="004161E3"/>
    <w:rsid w:val="004162D6"/>
    <w:rsid w:val="00416427"/>
    <w:rsid w:val="004167C5"/>
    <w:rsid w:val="0041696D"/>
    <w:rsid w:val="004169EF"/>
    <w:rsid w:val="00417412"/>
    <w:rsid w:val="00417907"/>
    <w:rsid w:val="00417BE1"/>
    <w:rsid w:val="0042085B"/>
    <w:rsid w:val="00420D33"/>
    <w:rsid w:val="00420F89"/>
    <w:rsid w:val="0042104D"/>
    <w:rsid w:val="0042108F"/>
    <w:rsid w:val="00421269"/>
    <w:rsid w:val="004215CC"/>
    <w:rsid w:val="00421965"/>
    <w:rsid w:val="00421A36"/>
    <w:rsid w:val="00421BDE"/>
    <w:rsid w:val="00421C16"/>
    <w:rsid w:val="004227DB"/>
    <w:rsid w:val="00422E4D"/>
    <w:rsid w:val="004230F6"/>
    <w:rsid w:val="00423617"/>
    <w:rsid w:val="00423BA6"/>
    <w:rsid w:val="0042401B"/>
    <w:rsid w:val="00424454"/>
    <w:rsid w:val="00425248"/>
    <w:rsid w:val="00425378"/>
    <w:rsid w:val="00425829"/>
    <w:rsid w:val="004260A4"/>
    <w:rsid w:val="00427231"/>
    <w:rsid w:val="00427767"/>
    <w:rsid w:val="00427873"/>
    <w:rsid w:val="00427BDC"/>
    <w:rsid w:val="0043023E"/>
    <w:rsid w:val="00430287"/>
    <w:rsid w:val="00430357"/>
    <w:rsid w:val="0043042D"/>
    <w:rsid w:val="00430B21"/>
    <w:rsid w:val="00430D37"/>
    <w:rsid w:val="00431188"/>
    <w:rsid w:val="004317E3"/>
    <w:rsid w:val="00431821"/>
    <w:rsid w:val="0043190E"/>
    <w:rsid w:val="00431ABB"/>
    <w:rsid w:val="00431CD1"/>
    <w:rsid w:val="00431F5A"/>
    <w:rsid w:val="0043207C"/>
    <w:rsid w:val="004322C2"/>
    <w:rsid w:val="004329AB"/>
    <w:rsid w:val="00432CEC"/>
    <w:rsid w:val="00433CDD"/>
    <w:rsid w:val="00433D1E"/>
    <w:rsid w:val="00433FE6"/>
    <w:rsid w:val="00434225"/>
    <w:rsid w:val="004349D2"/>
    <w:rsid w:val="00434B49"/>
    <w:rsid w:val="00434E2E"/>
    <w:rsid w:val="00434ED5"/>
    <w:rsid w:val="004359CA"/>
    <w:rsid w:val="00435E01"/>
    <w:rsid w:val="00436327"/>
    <w:rsid w:val="00436E2B"/>
    <w:rsid w:val="00437F86"/>
    <w:rsid w:val="00440B85"/>
    <w:rsid w:val="00441108"/>
    <w:rsid w:val="00441578"/>
    <w:rsid w:val="00441E56"/>
    <w:rsid w:val="00442054"/>
    <w:rsid w:val="00442079"/>
    <w:rsid w:val="004422C5"/>
    <w:rsid w:val="0044239F"/>
    <w:rsid w:val="00442434"/>
    <w:rsid w:val="004427CC"/>
    <w:rsid w:val="00442848"/>
    <w:rsid w:val="00442E34"/>
    <w:rsid w:val="00442F7D"/>
    <w:rsid w:val="0044337A"/>
    <w:rsid w:val="0044344B"/>
    <w:rsid w:val="00443A9C"/>
    <w:rsid w:val="00443EB3"/>
    <w:rsid w:val="004444A8"/>
    <w:rsid w:val="0044452B"/>
    <w:rsid w:val="00444619"/>
    <w:rsid w:val="0044493B"/>
    <w:rsid w:val="004457EB"/>
    <w:rsid w:val="00445A92"/>
    <w:rsid w:val="00445F47"/>
    <w:rsid w:val="004464F8"/>
    <w:rsid w:val="00446747"/>
    <w:rsid w:val="004469C8"/>
    <w:rsid w:val="00446E0A"/>
    <w:rsid w:val="00447178"/>
    <w:rsid w:val="004471FF"/>
    <w:rsid w:val="00447871"/>
    <w:rsid w:val="0045027B"/>
    <w:rsid w:val="004502AA"/>
    <w:rsid w:val="00450792"/>
    <w:rsid w:val="00450B3B"/>
    <w:rsid w:val="00450E64"/>
    <w:rsid w:val="00450EA4"/>
    <w:rsid w:val="00451417"/>
    <w:rsid w:val="004518C1"/>
    <w:rsid w:val="004518F6"/>
    <w:rsid w:val="00451DD2"/>
    <w:rsid w:val="00451F0C"/>
    <w:rsid w:val="00452171"/>
    <w:rsid w:val="004528CA"/>
    <w:rsid w:val="00452B5C"/>
    <w:rsid w:val="00452E57"/>
    <w:rsid w:val="00452F52"/>
    <w:rsid w:val="00452FCA"/>
    <w:rsid w:val="0045315D"/>
    <w:rsid w:val="00453194"/>
    <w:rsid w:val="004537A4"/>
    <w:rsid w:val="004537FF"/>
    <w:rsid w:val="0045405A"/>
    <w:rsid w:val="0045427E"/>
    <w:rsid w:val="00454826"/>
    <w:rsid w:val="00454CC9"/>
    <w:rsid w:val="00454CFD"/>
    <w:rsid w:val="00455372"/>
    <w:rsid w:val="0045655C"/>
    <w:rsid w:val="004565A5"/>
    <w:rsid w:val="00456669"/>
    <w:rsid w:val="004566DD"/>
    <w:rsid w:val="00456821"/>
    <w:rsid w:val="004568D4"/>
    <w:rsid w:val="00456BDB"/>
    <w:rsid w:val="00456C39"/>
    <w:rsid w:val="004570D1"/>
    <w:rsid w:val="004576F7"/>
    <w:rsid w:val="00457858"/>
    <w:rsid w:val="00457D55"/>
    <w:rsid w:val="00457D76"/>
    <w:rsid w:val="004603E4"/>
    <w:rsid w:val="004605AD"/>
    <w:rsid w:val="004606F8"/>
    <w:rsid w:val="00461437"/>
    <w:rsid w:val="004619B3"/>
    <w:rsid w:val="00461A5E"/>
    <w:rsid w:val="00461AD1"/>
    <w:rsid w:val="00461BB4"/>
    <w:rsid w:val="00461BD5"/>
    <w:rsid w:val="00461C39"/>
    <w:rsid w:val="00461E7A"/>
    <w:rsid w:val="004624E5"/>
    <w:rsid w:val="00462611"/>
    <w:rsid w:val="0046322C"/>
    <w:rsid w:val="00463619"/>
    <w:rsid w:val="00463FA9"/>
    <w:rsid w:val="004647CC"/>
    <w:rsid w:val="00464A78"/>
    <w:rsid w:val="00464B6C"/>
    <w:rsid w:val="00465383"/>
    <w:rsid w:val="004657BC"/>
    <w:rsid w:val="004657FA"/>
    <w:rsid w:val="00465B75"/>
    <w:rsid w:val="00465DB0"/>
    <w:rsid w:val="004664D1"/>
    <w:rsid w:val="00467940"/>
    <w:rsid w:val="004679CC"/>
    <w:rsid w:val="00467D02"/>
    <w:rsid w:val="00467E0B"/>
    <w:rsid w:val="00470297"/>
    <w:rsid w:val="00470CC0"/>
    <w:rsid w:val="0047101B"/>
    <w:rsid w:val="00471304"/>
    <w:rsid w:val="004714C2"/>
    <w:rsid w:val="0047161C"/>
    <w:rsid w:val="004723DB"/>
    <w:rsid w:val="00472AC3"/>
    <w:rsid w:val="00472C89"/>
    <w:rsid w:val="00472E22"/>
    <w:rsid w:val="00472E2D"/>
    <w:rsid w:val="00473CC3"/>
    <w:rsid w:val="00474596"/>
    <w:rsid w:val="00474AC7"/>
    <w:rsid w:val="00474C62"/>
    <w:rsid w:val="0047503F"/>
    <w:rsid w:val="004758CA"/>
    <w:rsid w:val="00475B3D"/>
    <w:rsid w:val="0047631E"/>
    <w:rsid w:val="00476450"/>
    <w:rsid w:val="004767BC"/>
    <w:rsid w:val="00476B1E"/>
    <w:rsid w:val="00477335"/>
    <w:rsid w:val="00480054"/>
    <w:rsid w:val="00480285"/>
    <w:rsid w:val="00480364"/>
    <w:rsid w:val="00480726"/>
    <w:rsid w:val="00481FA7"/>
    <w:rsid w:val="0048218B"/>
    <w:rsid w:val="00482251"/>
    <w:rsid w:val="00482F21"/>
    <w:rsid w:val="004839CC"/>
    <w:rsid w:val="00483D32"/>
    <w:rsid w:val="0048419D"/>
    <w:rsid w:val="00484A78"/>
    <w:rsid w:val="00485E44"/>
    <w:rsid w:val="004860BE"/>
    <w:rsid w:val="00486627"/>
    <w:rsid w:val="00487448"/>
    <w:rsid w:val="0048756C"/>
    <w:rsid w:val="00487D34"/>
    <w:rsid w:val="00487D64"/>
    <w:rsid w:val="00490261"/>
    <w:rsid w:val="004909E5"/>
    <w:rsid w:val="00490A03"/>
    <w:rsid w:val="00490C35"/>
    <w:rsid w:val="00490D00"/>
    <w:rsid w:val="0049123A"/>
    <w:rsid w:val="0049271D"/>
    <w:rsid w:val="004928F1"/>
    <w:rsid w:val="0049293C"/>
    <w:rsid w:val="00493D2F"/>
    <w:rsid w:val="00493DFC"/>
    <w:rsid w:val="00493EDF"/>
    <w:rsid w:val="00494290"/>
    <w:rsid w:val="00494E75"/>
    <w:rsid w:val="00495685"/>
    <w:rsid w:val="00495E09"/>
    <w:rsid w:val="00496587"/>
    <w:rsid w:val="00497A46"/>
    <w:rsid w:val="00497C33"/>
    <w:rsid w:val="004A0824"/>
    <w:rsid w:val="004A0C0F"/>
    <w:rsid w:val="004A0D8A"/>
    <w:rsid w:val="004A1264"/>
    <w:rsid w:val="004A144F"/>
    <w:rsid w:val="004A14C0"/>
    <w:rsid w:val="004A1C31"/>
    <w:rsid w:val="004A1C78"/>
    <w:rsid w:val="004A1E6C"/>
    <w:rsid w:val="004A2177"/>
    <w:rsid w:val="004A22DD"/>
    <w:rsid w:val="004A23F9"/>
    <w:rsid w:val="004A25BA"/>
    <w:rsid w:val="004A331C"/>
    <w:rsid w:val="004A370D"/>
    <w:rsid w:val="004A38CD"/>
    <w:rsid w:val="004A3934"/>
    <w:rsid w:val="004A448D"/>
    <w:rsid w:val="004A4B27"/>
    <w:rsid w:val="004A50CE"/>
    <w:rsid w:val="004A547F"/>
    <w:rsid w:val="004A591C"/>
    <w:rsid w:val="004A594D"/>
    <w:rsid w:val="004A5A3F"/>
    <w:rsid w:val="004A5AB1"/>
    <w:rsid w:val="004A5DEB"/>
    <w:rsid w:val="004A6293"/>
    <w:rsid w:val="004A6AE9"/>
    <w:rsid w:val="004A6F3C"/>
    <w:rsid w:val="004A713E"/>
    <w:rsid w:val="004A716D"/>
    <w:rsid w:val="004A7AFE"/>
    <w:rsid w:val="004B0CB3"/>
    <w:rsid w:val="004B139F"/>
    <w:rsid w:val="004B19C2"/>
    <w:rsid w:val="004B1B51"/>
    <w:rsid w:val="004B1E49"/>
    <w:rsid w:val="004B2294"/>
    <w:rsid w:val="004B256A"/>
    <w:rsid w:val="004B3037"/>
    <w:rsid w:val="004B3770"/>
    <w:rsid w:val="004B3AC7"/>
    <w:rsid w:val="004B3C83"/>
    <w:rsid w:val="004B3F7D"/>
    <w:rsid w:val="004B4220"/>
    <w:rsid w:val="004B435C"/>
    <w:rsid w:val="004B4534"/>
    <w:rsid w:val="004B464B"/>
    <w:rsid w:val="004B46C7"/>
    <w:rsid w:val="004B4928"/>
    <w:rsid w:val="004B49BA"/>
    <w:rsid w:val="004B4A40"/>
    <w:rsid w:val="004B54B9"/>
    <w:rsid w:val="004B5B46"/>
    <w:rsid w:val="004B60FB"/>
    <w:rsid w:val="004B6A8A"/>
    <w:rsid w:val="004B6D52"/>
    <w:rsid w:val="004B7037"/>
    <w:rsid w:val="004B712D"/>
    <w:rsid w:val="004B71C3"/>
    <w:rsid w:val="004B7BD3"/>
    <w:rsid w:val="004B7C82"/>
    <w:rsid w:val="004B7E13"/>
    <w:rsid w:val="004C0313"/>
    <w:rsid w:val="004C03F8"/>
    <w:rsid w:val="004C0445"/>
    <w:rsid w:val="004C0685"/>
    <w:rsid w:val="004C0B16"/>
    <w:rsid w:val="004C0C8F"/>
    <w:rsid w:val="004C1224"/>
    <w:rsid w:val="004C1281"/>
    <w:rsid w:val="004C1B4A"/>
    <w:rsid w:val="004C2065"/>
    <w:rsid w:val="004C20E6"/>
    <w:rsid w:val="004C2114"/>
    <w:rsid w:val="004C240F"/>
    <w:rsid w:val="004C2F7E"/>
    <w:rsid w:val="004C3465"/>
    <w:rsid w:val="004C4472"/>
    <w:rsid w:val="004C461B"/>
    <w:rsid w:val="004C5145"/>
    <w:rsid w:val="004C5166"/>
    <w:rsid w:val="004C55C5"/>
    <w:rsid w:val="004C58D5"/>
    <w:rsid w:val="004C5D0B"/>
    <w:rsid w:val="004C68D7"/>
    <w:rsid w:val="004C7E84"/>
    <w:rsid w:val="004C7E91"/>
    <w:rsid w:val="004D046D"/>
    <w:rsid w:val="004D04A6"/>
    <w:rsid w:val="004D0992"/>
    <w:rsid w:val="004D117C"/>
    <w:rsid w:val="004D1228"/>
    <w:rsid w:val="004D1602"/>
    <w:rsid w:val="004D1D41"/>
    <w:rsid w:val="004D1FEE"/>
    <w:rsid w:val="004D2246"/>
    <w:rsid w:val="004D256C"/>
    <w:rsid w:val="004D26B9"/>
    <w:rsid w:val="004D27E5"/>
    <w:rsid w:val="004D28B4"/>
    <w:rsid w:val="004D2D59"/>
    <w:rsid w:val="004D30F8"/>
    <w:rsid w:val="004D340B"/>
    <w:rsid w:val="004D36CD"/>
    <w:rsid w:val="004D3E28"/>
    <w:rsid w:val="004D40FF"/>
    <w:rsid w:val="004D4330"/>
    <w:rsid w:val="004D4880"/>
    <w:rsid w:val="004D4D6C"/>
    <w:rsid w:val="004D4FB3"/>
    <w:rsid w:val="004D50CA"/>
    <w:rsid w:val="004D52C2"/>
    <w:rsid w:val="004D5446"/>
    <w:rsid w:val="004D63A9"/>
    <w:rsid w:val="004D66F3"/>
    <w:rsid w:val="004D6982"/>
    <w:rsid w:val="004D7002"/>
    <w:rsid w:val="004D7AED"/>
    <w:rsid w:val="004D7B77"/>
    <w:rsid w:val="004E0001"/>
    <w:rsid w:val="004E00A9"/>
    <w:rsid w:val="004E027A"/>
    <w:rsid w:val="004E0599"/>
    <w:rsid w:val="004E082E"/>
    <w:rsid w:val="004E0A35"/>
    <w:rsid w:val="004E0F0F"/>
    <w:rsid w:val="004E0FAC"/>
    <w:rsid w:val="004E1AD5"/>
    <w:rsid w:val="004E1F31"/>
    <w:rsid w:val="004E2065"/>
    <w:rsid w:val="004E2078"/>
    <w:rsid w:val="004E23AC"/>
    <w:rsid w:val="004E23C4"/>
    <w:rsid w:val="004E244A"/>
    <w:rsid w:val="004E25A2"/>
    <w:rsid w:val="004E2CDB"/>
    <w:rsid w:val="004E2D02"/>
    <w:rsid w:val="004E2EBA"/>
    <w:rsid w:val="004E3298"/>
    <w:rsid w:val="004E38EC"/>
    <w:rsid w:val="004E3E7B"/>
    <w:rsid w:val="004E473A"/>
    <w:rsid w:val="004E476E"/>
    <w:rsid w:val="004E52BF"/>
    <w:rsid w:val="004E6772"/>
    <w:rsid w:val="004E71D6"/>
    <w:rsid w:val="004E720E"/>
    <w:rsid w:val="004E75E8"/>
    <w:rsid w:val="004E780A"/>
    <w:rsid w:val="004E7A4C"/>
    <w:rsid w:val="004E7C3A"/>
    <w:rsid w:val="004E7F20"/>
    <w:rsid w:val="004E7F76"/>
    <w:rsid w:val="004F0369"/>
    <w:rsid w:val="004F0770"/>
    <w:rsid w:val="004F09A4"/>
    <w:rsid w:val="004F0A95"/>
    <w:rsid w:val="004F0B7B"/>
    <w:rsid w:val="004F1010"/>
    <w:rsid w:val="004F156D"/>
    <w:rsid w:val="004F2373"/>
    <w:rsid w:val="004F28B0"/>
    <w:rsid w:val="004F2EB5"/>
    <w:rsid w:val="004F356B"/>
    <w:rsid w:val="004F36A2"/>
    <w:rsid w:val="004F3C2E"/>
    <w:rsid w:val="004F417B"/>
    <w:rsid w:val="004F4810"/>
    <w:rsid w:val="004F4953"/>
    <w:rsid w:val="004F4E2F"/>
    <w:rsid w:val="004F5221"/>
    <w:rsid w:val="004F53F6"/>
    <w:rsid w:val="004F585F"/>
    <w:rsid w:val="004F5A6A"/>
    <w:rsid w:val="004F5C39"/>
    <w:rsid w:val="004F5E07"/>
    <w:rsid w:val="004F65B7"/>
    <w:rsid w:val="004F7309"/>
    <w:rsid w:val="004F78DD"/>
    <w:rsid w:val="00500579"/>
    <w:rsid w:val="005010D5"/>
    <w:rsid w:val="005012AA"/>
    <w:rsid w:val="00502315"/>
    <w:rsid w:val="00502615"/>
    <w:rsid w:val="0050291B"/>
    <w:rsid w:val="00502F55"/>
    <w:rsid w:val="00503A01"/>
    <w:rsid w:val="00503A30"/>
    <w:rsid w:val="00503B3C"/>
    <w:rsid w:val="005040E9"/>
    <w:rsid w:val="005043CB"/>
    <w:rsid w:val="00504D32"/>
    <w:rsid w:val="00504DC1"/>
    <w:rsid w:val="00504EA6"/>
    <w:rsid w:val="005050F9"/>
    <w:rsid w:val="005051CD"/>
    <w:rsid w:val="00505254"/>
    <w:rsid w:val="0050528F"/>
    <w:rsid w:val="0050566F"/>
    <w:rsid w:val="00505C17"/>
    <w:rsid w:val="00506978"/>
    <w:rsid w:val="00506ED4"/>
    <w:rsid w:val="00506FCF"/>
    <w:rsid w:val="0050728A"/>
    <w:rsid w:val="005074A0"/>
    <w:rsid w:val="005075CC"/>
    <w:rsid w:val="00507783"/>
    <w:rsid w:val="005078D0"/>
    <w:rsid w:val="00510728"/>
    <w:rsid w:val="00510CBD"/>
    <w:rsid w:val="00510F9C"/>
    <w:rsid w:val="00511094"/>
    <w:rsid w:val="00511519"/>
    <w:rsid w:val="00511654"/>
    <w:rsid w:val="00511833"/>
    <w:rsid w:val="00511B9B"/>
    <w:rsid w:val="00511C84"/>
    <w:rsid w:val="00511D87"/>
    <w:rsid w:val="005123C7"/>
    <w:rsid w:val="00512DC0"/>
    <w:rsid w:val="0051313D"/>
    <w:rsid w:val="00513295"/>
    <w:rsid w:val="00513311"/>
    <w:rsid w:val="00513315"/>
    <w:rsid w:val="005135AC"/>
    <w:rsid w:val="00513A01"/>
    <w:rsid w:val="00513C60"/>
    <w:rsid w:val="005146B3"/>
    <w:rsid w:val="00514AD0"/>
    <w:rsid w:val="00514D4C"/>
    <w:rsid w:val="00514EF0"/>
    <w:rsid w:val="00515703"/>
    <w:rsid w:val="0051571D"/>
    <w:rsid w:val="005159AD"/>
    <w:rsid w:val="00515AD3"/>
    <w:rsid w:val="00515D4E"/>
    <w:rsid w:val="005168CB"/>
    <w:rsid w:val="00517311"/>
    <w:rsid w:val="0051741E"/>
    <w:rsid w:val="005175A9"/>
    <w:rsid w:val="005178C4"/>
    <w:rsid w:val="00517C0D"/>
    <w:rsid w:val="00517C2C"/>
    <w:rsid w:val="00517D84"/>
    <w:rsid w:val="00520275"/>
    <w:rsid w:val="00520590"/>
    <w:rsid w:val="00520912"/>
    <w:rsid w:val="00520DD9"/>
    <w:rsid w:val="005216E2"/>
    <w:rsid w:val="00521A7F"/>
    <w:rsid w:val="00521B7C"/>
    <w:rsid w:val="00521C14"/>
    <w:rsid w:val="005222E0"/>
    <w:rsid w:val="00522646"/>
    <w:rsid w:val="00522B44"/>
    <w:rsid w:val="005238F2"/>
    <w:rsid w:val="0052397F"/>
    <w:rsid w:val="00523AB6"/>
    <w:rsid w:val="00523E8F"/>
    <w:rsid w:val="00524401"/>
    <w:rsid w:val="005249B1"/>
    <w:rsid w:val="00524F1A"/>
    <w:rsid w:val="0052529B"/>
    <w:rsid w:val="00525976"/>
    <w:rsid w:val="00525DF1"/>
    <w:rsid w:val="00526F29"/>
    <w:rsid w:val="0052756C"/>
    <w:rsid w:val="00527EF9"/>
    <w:rsid w:val="0053051E"/>
    <w:rsid w:val="00530CCA"/>
    <w:rsid w:val="00530EC8"/>
    <w:rsid w:val="00531024"/>
    <w:rsid w:val="0053148C"/>
    <w:rsid w:val="00531DB4"/>
    <w:rsid w:val="00531DB5"/>
    <w:rsid w:val="0053221D"/>
    <w:rsid w:val="0053232F"/>
    <w:rsid w:val="0053247D"/>
    <w:rsid w:val="005324A0"/>
    <w:rsid w:val="00532631"/>
    <w:rsid w:val="00532743"/>
    <w:rsid w:val="00532AC5"/>
    <w:rsid w:val="0053310A"/>
    <w:rsid w:val="005335A9"/>
    <w:rsid w:val="005339D2"/>
    <w:rsid w:val="00533AD8"/>
    <w:rsid w:val="00534772"/>
    <w:rsid w:val="00535EBC"/>
    <w:rsid w:val="005374DE"/>
    <w:rsid w:val="00537561"/>
    <w:rsid w:val="005375E5"/>
    <w:rsid w:val="00541164"/>
    <w:rsid w:val="00542A58"/>
    <w:rsid w:val="00542ABD"/>
    <w:rsid w:val="005433FB"/>
    <w:rsid w:val="00543B55"/>
    <w:rsid w:val="00543D92"/>
    <w:rsid w:val="00543DC9"/>
    <w:rsid w:val="00544036"/>
    <w:rsid w:val="005441CA"/>
    <w:rsid w:val="00544588"/>
    <w:rsid w:val="00544E14"/>
    <w:rsid w:val="00545504"/>
    <w:rsid w:val="00545DA5"/>
    <w:rsid w:val="00546027"/>
    <w:rsid w:val="00546556"/>
    <w:rsid w:val="00546E46"/>
    <w:rsid w:val="00546FDC"/>
    <w:rsid w:val="005470EE"/>
    <w:rsid w:val="005473A8"/>
    <w:rsid w:val="005473E7"/>
    <w:rsid w:val="0054741F"/>
    <w:rsid w:val="00547540"/>
    <w:rsid w:val="005476D5"/>
    <w:rsid w:val="005505A2"/>
    <w:rsid w:val="00550858"/>
    <w:rsid w:val="005508AC"/>
    <w:rsid w:val="00550941"/>
    <w:rsid w:val="00551343"/>
    <w:rsid w:val="00551829"/>
    <w:rsid w:val="005518AA"/>
    <w:rsid w:val="005525BF"/>
    <w:rsid w:val="005527EE"/>
    <w:rsid w:val="0055294E"/>
    <w:rsid w:val="005537CE"/>
    <w:rsid w:val="00554280"/>
    <w:rsid w:val="005542E3"/>
    <w:rsid w:val="005549A0"/>
    <w:rsid w:val="0055534A"/>
    <w:rsid w:val="0055549D"/>
    <w:rsid w:val="0055598D"/>
    <w:rsid w:val="00555C25"/>
    <w:rsid w:val="00555D3D"/>
    <w:rsid w:val="00555EDC"/>
    <w:rsid w:val="00556743"/>
    <w:rsid w:val="005569AA"/>
    <w:rsid w:val="00556E8E"/>
    <w:rsid w:val="005570E2"/>
    <w:rsid w:val="005578F9"/>
    <w:rsid w:val="00557F36"/>
    <w:rsid w:val="0056075E"/>
    <w:rsid w:val="005609FC"/>
    <w:rsid w:val="0056107E"/>
    <w:rsid w:val="00561430"/>
    <w:rsid w:val="00561593"/>
    <w:rsid w:val="005627D8"/>
    <w:rsid w:val="00562AA2"/>
    <w:rsid w:val="00562B6D"/>
    <w:rsid w:val="00562C06"/>
    <w:rsid w:val="00563BD3"/>
    <w:rsid w:val="00563CFB"/>
    <w:rsid w:val="00563F68"/>
    <w:rsid w:val="005641FA"/>
    <w:rsid w:val="00564502"/>
    <w:rsid w:val="0056455F"/>
    <w:rsid w:val="0056458D"/>
    <w:rsid w:val="00564609"/>
    <w:rsid w:val="005648B3"/>
    <w:rsid w:val="00564A61"/>
    <w:rsid w:val="00564D01"/>
    <w:rsid w:val="00565059"/>
    <w:rsid w:val="005652FC"/>
    <w:rsid w:val="005657ED"/>
    <w:rsid w:val="00565826"/>
    <w:rsid w:val="00565848"/>
    <w:rsid w:val="00565B05"/>
    <w:rsid w:val="00565B1F"/>
    <w:rsid w:val="00566008"/>
    <w:rsid w:val="0056652F"/>
    <w:rsid w:val="005665E4"/>
    <w:rsid w:val="005672A1"/>
    <w:rsid w:val="005676EE"/>
    <w:rsid w:val="00567785"/>
    <w:rsid w:val="00567861"/>
    <w:rsid w:val="00567D95"/>
    <w:rsid w:val="00567E04"/>
    <w:rsid w:val="005700AE"/>
    <w:rsid w:val="0057010C"/>
    <w:rsid w:val="00570626"/>
    <w:rsid w:val="00570804"/>
    <w:rsid w:val="0057108D"/>
    <w:rsid w:val="00571120"/>
    <w:rsid w:val="00571344"/>
    <w:rsid w:val="0057142E"/>
    <w:rsid w:val="00571E15"/>
    <w:rsid w:val="0057207E"/>
    <w:rsid w:val="0057225F"/>
    <w:rsid w:val="00573287"/>
    <w:rsid w:val="00573331"/>
    <w:rsid w:val="00573649"/>
    <w:rsid w:val="00573E95"/>
    <w:rsid w:val="005740C8"/>
    <w:rsid w:val="00574522"/>
    <w:rsid w:val="005748C8"/>
    <w:rsid w:val="00574DA6"/>
    <w:rsid w:val="005754CC"/>
    <w:rsid w:val="005754E7"/>
    <w:rsid w:val="00575840"/>
    <w:rsid w:val="005759D9"/>
    <w:rsid w:val="00575BDB"/>
    <w:rsid w:val="005762E4"/>
    <w:rsid w:val="00576899"/>
    <w:rsid w:val="00576AF3"/>
    <w:rsid w:val="00576CB1"/>
    <w:rsid w:val="00576CE5"/>
    <w:rsid w:val="00577515"/>
    <w:rsid w:val="00577EC3"/>
    <w:rsid w:val="00577F95"/>
    <w:rsid w:val="00580C40"/>
    <w:rsid w:val="00580CCB"/>
    <w:rsid w:val="0058175C"/>
    <w:rsid w:val="00581833"/>
    <w:rsid w:val="00581A50"/>
    <w:rsid w:val="00581C31"/>
    <w:rsid w:val="00581C67"/>
    <w:rsid w:val="0058201F"/>
    <w:rsid w:val="00582441"/>
    <w:rsid w:val="00582D71"/>
    <w:rsid w:val="00582ED8"/>
    <w:rsid w:val="005834B3"/>
    <w:rsid w:val="00583577"/>
    <w:rsid w:val="00584047"/>
    <w:rsid w:val="0058405E"/>
    <w:rsid w:val="00584167"/>
    <w:rsid w:val="00584CE5"/>
    <w:rsid w:val="00584F99"/>
    <w:rsid w:val="0058576B"/>
    <w:rsid w:val="00585CA9"/>
    <w:rsid w:val="00586244"/>
    <w:rsid w:val="005869AF"/>
    <w:rsid w:val="005879EB"/>
    <w:rsid w:val="00587DED"/>
    <w:rsid w:val="00590635"/>
    <w:rsid w:val="005906B3"/>
    <w:rsid w:val="00590813"/>
    <w:rsid w:val="00590B2A"/>
    <w:rsid w:val="00591478"/>
    <w:rsid w:val="005914D6"/>
    <w:rsid w:val="005915EC"/>
    <w:rsid w:val="00591803"/>
    <w:rsid w:val="005919F8"/>
    <w:rsid w:val="00592003"/>
    <w:rsid w:val="00592051"/>
    <w:rsid w:val="005928E9"/>
    <w:rsid w:val="00592D96"/>
    <w:rsid w:val="00593152"/>
    <w:rsid w:val="00593598"/>
    <w:rsid w:val="00593884"/>
    <w:rsid w:val="00593EA1"/>
    <w:rsid w:val="005945B0"/>
    <w:rsid w:val="0059504B"/>
    <w:rsid w:val="005950B3"/>
    <w:rsid w:val="0059545B"/>
    <w:rsid w:val="0059545F"/>
    <w:rsid w:val="00595EB5"/>
    <w:rsid w:val="0059627F"/>
    <w:rsid w:val="005962AA"/>
    <w:rsid w:val="005962D6"/>
    <w:rsid w:val="00596CE2"/>
    <w:rsid w:val="005977B1"/>
    <w:rsid w:val="00597F5C"/>
    <w:rsid w:val="005A0127"/>
    <w:rsid w:val="005A05F6"/>
    <w:rsid w:val="005A0916"/>
    <w:rsid w:val="005A14A2"/>
    <w:rsid w:val="005A1692"/>
    <w:rsid w:val="005A19A9"/>
    <w:rsid w:val="005A19E8"/>
    <w:rsid w:val="005A1BFB"/>
    <w:rsid w:val="005A1F5E"/>
    <w:rsid w:val="005A22C7"/>
    <w:rsid w:val="005A23D6"/>
    <w:rsid w:val="005A2474"/>
    <w:rsid w:val="005A24EE"/>
    <w:rsid w:val="005A330E"/>
    <w:rsid w:val="005A35D0"/>
    <w:rsid w:val="005A3DF5"/>
    <w:rsid w:val="005A4434"/>
    <w:rsid w:val="005A4F28"/>
    <w:rsid w:val="005A4FA0"/>
    <w:rsid w:val="005A53A9"/>
    <w:rsid w:val="005A5F80"/>
    <w:rsid w:val="005A5F8E"/>
    <w:rsid w:val="005A6173"/>
    <w:rsid w:val="005A685E"/>
    <w:rsid w:val="005A6CCD"/>
    <w:rsid w:val="005A6D4A"/>
    <w:rsid w:val="005A6DA1"/>
    <w:rsid w:val="005B0E09"/>
    <w:rsid w:val="005B0F53"/>
    <w:rsid w:val="005B1289"/>
    <w:rsid w:val="005B1522"/>
    <w:rsid w:val="005B16F6"/>
    <w:rsid w:val="005B1916"/>
    <w:rsid w:val="005B2296"/>
    <w:rsid w:val="005B28B4"/>
    <w:rsid w:val="005B294B"/>
    <w:rsid w:val="005B29F0"/>
    <w:rsid w:val="005B2F35"/>
    <w:rsid w:val="005B316C"/>
    <w:rsid w:val="005B33C2"/>
    <w:rsid w:val="005B39CC"/>
    <w:rsid w:val="005B3AEE"/>
    <w:rsid w:val="005B47AA"/>
    <w:rsid w:val="005B56E9"/>
    <w:rsid w:val="005B59C0"/>
    <w:rsid w:val="005B5DD1"/>
    <w:rsid w:val="005B5F85"/>
    <w:rsid w:val="005B6125"/>
    <w:rsid w:val="005B6F93"/>
    <w:rsid w:val="005B7088"/>
    <w:rsid w:val="005B7287"/>
    <w:rsid w:val="005B7396"/>
    <w:rsid w:val="005B744E"/>
    <w:rsid w:val="005B7A3F"/>
    <w:rsid w:val="005C0133"/>
    <w:rsid w:val="005C0439"/>
    <w:rsid w:val="005C068E"/>
    <w:rsid w:val="005C082D"/>
    <w:rsid w:val="005C1247"/>
    <w:rsid w:val="005C1D37"/>
    <w:rsid w:val="005C1EE1"/>
    <w:rsid w:val="005C20AF"/>
    <w:rsid w:val="005C270A"/>
    <w:rsid w:val="005C2C94"/>
    <w:rsid w:val="005C323D"/>
    <w:rsid w:val="005C343C"/>
    <w:rsid w:val="005C3786"/>
    <w:rsid w:val="005C3849"/>
    <w:rsid w:val="005C3A28"/>
    <w:rsid w:val="005C3E3C"/>
    <w:rsid w:val="005C4215"/>
    <w:rsid w:val="005C500D"/>
    <w:rsid w:val="005C53B6"/>
    <w:rsid w:val="005C541B"/>
    <w:rsid w:val="005C5592"/>
    <w:rsid w:val="005C5829"/>
    <w:rsid w:val="005C582D"/>
    <w:rsid w:val="005C5F0C"/>
    <w:rsid w:val="005C60F9"/>
    <w:rsid w:val="005C63E7"/>
    <w:rsid w:val="005C6668"/>
    <w:rsid w:val="005C6978"/>
    <w:rsid w:val="005C6A42"/>
    <w:rsid w:val="005C6DFC"/>
    <w:rsid w:val="005C6E48"/>
    <w:rsid w:val="005D0892"/>
    <w:rsid w:val="005D0E9B"/>
    <w:rsid w:val="005D2459"/>
    <w:rsid w:val="005D253C"/>
    <w:rsid w:val="005D277D"/>
    <w:rsid w:val="005D2F9E"/>
    <w:rsid w:val="005D2FBC"/>
    <w:rsid w:val="005D31B3"/>
    <w:rsid w:val="005D359D"/>
    <w:rsid w:val="005D3CC7"/>
    <w:rsid w:val="005D3D17"/>
    <w:rsid w:val="005D3F39"/>
    <w:rsid w:val="005D453B"/>
    <w:rsid w:val="005D46F5"/>
    <w:rsid w:val="005D4E8E"/>
    <w:rsid w:val="005D5142"/>
    <w:rsid w:val="005D518A"/>
    <w:rsid w:val="005D57EB"/>
    <w:rsid w:val="005D59AE"/>
    <w:rsid w:val="005D5A82"/>
    <w:rsid w:val="005D5C41"/>
    <w:rsid w:val="005D5FA5"/>
    <w:rsid w:val="005D6B46"/>
    <w:rsid w:val="005D7050"/>
    <w:rsid w:val="005D7F74"/>
    <w:rsid w:val="005E02C5"/>
    <w:rsid w:val="005E0478"/>
    <w:rsid w:val="005E08FC"/>
    <w:rsid w:val="005E09D9"/>
    <w:rsid w:val="005E0BE6"/>
    <w:rsid w:val="005E0E9E"/>
    <w:rsid w:val="005E180F"/>
    <w:rsid w:val="005E1A08"/>
    <w:rsid w:val="005E1E9F"/>
    <w:rsid w:val="005E229C"/>
    <w:rsid w:val="005E22DE"/>
    <w:rsid w:val="005E2575"/>
    <w:rsid w:val="005E32F9"/>
    <w:rsid w:val="005E34D1"/>
    <w:rsid w:val="005E35EC"/>
    <w:rsid w:val="005E3EC7"/>
    <w:rsid w:val="005E3ECE"/>
    <w:rsid w:val="005E467D"/>
    <w:rsid w:val="005E4DD8"/>
    <w:rsid w:val="005E4F22"/>
    <w:rsid w:val="005E54CA"/>
    <w:rsid w:val="005E5591"/>
    <w:rsid w:val="005E56BF"/>
    <w:rsid w:val="005E61CD"/>
    <w:rsid w:val="005E6259"/>
    <w:rsid w:val="005E670C"/>
    <w:rsid w:val="005E67C5"/>
    <w:rsid w:val="005E7199"/>
    <w:rsid w:val="005E7A19"/>
    <w:rsid w:val="005E7A76"/>
    <w:rsid w:val="005F0071"/>
    <w:rsid w:val="005F0E45"/>
    <w:rsid w:val="005F152C"/>
    <w:rsid w:val="005F15EF"/>
    <w:rsid w:val="005F1657"/>
    <w:rsid w:val="005F1845"/>
    <w:rsid w:val="005F1B41"/>
    <w:rsid w:val="005F1B75"/>
    <w:rsid w:val="005F2147"/>
    <w:rsid w:val="005F275A"/>
    <w:rsid w:val="005F31EF"/>
    <w:rsid w:val="005F322A"/>
    <w:rsid w:val="005F3310"/>
    <w:rsid w:val="005F3D9B"/>
    <w:rsid w:val="005F434D"/>
    <w:rsid w:val="005F47C4"/>
    <w:rsid w:val="005F53D5"/>
    <w:rsid w:val="005F6128"/>
    <w:rsid w:val="005F6730"/>
    <w:rsid w:val="005F6993"/>
    <w:rsid w:val="005F70C2"/>
    <w:rsid w:val="0060050B"/>
    <w:rsid w:val="00600654"/>
    <w:rsid w:val="00600899"/>
    <w:rsid w:val="00600920"/>
    <w:rsid w:val="0060096F"/>
    <w:rsid w:val="00600A72"/>
    <w:rsid w:val="00600CE8"/>
    <w:rsid w:val="00601074"/>
    <w:rsid w:val="006011C3"/>
    <w:rsid w:val="00601AFA"/>
    <w:rsid w:val="00601DE7"/>
    <w:rsid w:val="00602066"/>
    <w:rsid w:val="006023D0"/>
    <w:rsid w:val="006033CE"/>
    <w:rsid w:val="00603821"/>
    <w:rsid w:val="0060384E"/>
    <w:rsid w:val="00603DD7"/>
    <w:rsid w:val="00603E38"/>
    <w:rsid w:val="00603F2C"/>
    <w:rsid w:val="00603FFA"/>
    <w:rsid w:val="0060430F"/>
    <w:rsid w:val="00604745"/>
    <w:rsid w:val="0060493F"/>
    <w:rsid w:val="00604949"/>
    <w:rsid w:val="006049A5"/>
    <w:rsid w:val="00605BD0"/>
    <w:rsid w:val="00605C75"/>
    <w:rsid w:val="00606D44"/>
    <w:rsid w:val="00606FFE"/>
    <w:rsid w:val="006074EA"/>
    <w:rsid w:val="006078A1"/>
    <w:rsid w:val="00607A44"/>
    <w:rsid w:val="00607CF6"/>
    <w:rsid w:val="006102CA"/>
    <w:rsid w:val="006109D2"/>
    <w:rsid w:val="00611CD1"/>
    <w:rsid w:val="006126D6"/>
    <w:rsid w:val="0061363E"/>
    <w:rsid w:val="00613E5B"/>
    <w:rsid w:val="00614239"/>
    <w:rsid w:val="006144B0"/>
    <w:rsid w:val="00614711"/>
    <w:rsid w:val="00614899"/>
    <w:rsid w:val="00614D19"/>
    <w:rsid w:val="006150E8"/>
    <w:rsid w:val="00615205"/>
    <w:rsid w:val="006154A8"/>
    <w:rsid w:val="006154E3"/>
    <w:rsid w:val="006156B2"/>
    <w:rsid w:val="00615D7F"/>
    <w:rsid w:val="006162C8"/>
    <w:rsid w:val="00617253"/>
    <w:rsid w:val="006175DC"/>
    <w:rsid w:val="00617694"/>
    <w:rsid w:val="006179BF"/>
    <w:rsid w:val="00617A97"/>
    <w:rsid w:val="00617E7B"/>
    <w:rsid w:val="00617F2F"/>
    <w:rsid w:val="0062036E"/>
    <w:rsid w:val="006206F1"/>
    <w:rsid w:val="00620A33"/>
    <w:rsid w:val="006216D4"/>
    <w:rsid w:val="006219C5"/>
    <w:rsid w:val="00621AB3"/>
    <w:rsid w:val="00621B5B"/>
    <w:rsid w:val="006223E1"/>
    <w:rsid w:val="0062272E"/>
    <w:rsid w:val="00623229"/>
    <w:rsid w:val="00623E48"/>
    <w:rsid w:val="006243D4"/>
    <w:rsid w:val="00624725"/>
    <w:rsid w:val="00625726"/>
    <w:rsid w:val="006261E9"/>
    <w:rsid w:val="006268D9"/>
    <w:rsid w:val="006269C5"/>
    <w:rsid w:val="00626EC4"/>
    <w:rsid w:val="006273C8"/>
    <w:rsid w:val="00627524"/>
    <w:rsid w:val="00630370"/>
    <w:rsid w:val="00630DF9"/>
    <w:rsid w:val="006318C5"/>
    <w:rsid w:val="00631C02"/>
    <w:rsid w:val="0063213A"/>
    <w:rsid w:val="00632667"/>
    <w:rsid w:val="006326A4"/>
    <w:rsid w:val="00632882"/>
    <w:rsid w:val="006328ED"/>
    <w:rsid w:val="00633277"/>
    <w:rsid w:val="00633438"/>
    <w:rsid w:val="0063355C"/>
    <w:rsid w:val="00633599"/>
    <w:rsid w:val="00633648"/>
    <w:rsid w:val="00634878"/>
    <w:rsid w:val="00634DBA"/>
    <w:rsid w:val="00634DEA"/>
    <w:rsid w:val="00634DF1"/>
    <w:rsid w:val="006352D2"/>
    <w:rsid w:val="006356F1"/>
    <w:rsid w:val="00635D6C"/>
    <w:rsid w:val="00635E8C"/>
    <w:rsid w:val="00636556"/>
    <w:rsid w:val="00636695"/>
    <w:rsid w:val="00636F81"/>
    <w:rsid w:val="0063708C"/>
    <w:rsid w:val="00637376"/>
    <w:rsid w:val="00637B84"/>
    <w:rsid w:val="00637BED"/>
    <w:rsid w:val="00637CBF"/>
    <w:rsid w:val="006401AB"/>
    <w:rsid w:val="00640A60"/>
    <w:rsid w:val="00641B36"/>
    <w:rsid w:val="00641EBE"/>
    <w:rsid w:val="006422AC"/>
    <w:rsid w:val="00642874"/>
    <w:rsid w:val="0064355E"/>
    <w:rsid w:val="00643673"/>
    <w:rsid w:val="00643903"/>
    <w:rsid w:val="00643AAF"/>
    <w:rsid w:val="00643B26"/>
    <w:rsid w:val="00643C87"/>
    <w:rsid w:val="00644E13"/>
    <w:rsid w:val="00644F37"/>
    <w:rsid w:val="006452F5"/>
    <w:rsid w:val="00645539"/>
    <w:rsid w:val="00645B49"/>
    <w:rsid w:val="00645C9B"/>
    <w:rsid w:val="006464AE"/>
    <w:rsid w:val="00646A9D"/>
    <w:rsid w:val="00647132"/>
    <w:rsid w:val="00647DB4"/>
    <w:rsid w:val="00650ECC"/>
    <w:rsid w:val="006512E7"/>
    <w:rsid w:val="00651512"/>
    <w:rsid w:val="006515D3"/>
    <w:rsid w:val="0065181E"/>
    <w:rsid w:val="0065213E"/>
    <w:rsid w:val="00652335"/>
    <w:rsid w:val="006528A4"/>
    <w:rsid w:val="00652B14"/>
    <w:rsid w:val="00652C1E"/>
    <w:rsid w:val="00652D3C"/>
    <w:rsid w:val="00653048"/>
    <w:rsid w:val="006536E6"/>
    <w:rsid w:val="00653E65"/>
    <w:rsid w:val="00653E90"/>
    <w:rsid w:val="0065419A"/>
    <w:rsid w:val="00654A55"/>
    <w:rsid w:val="00654EC3"/>
    <w:rsid w:val="0065500D"/>
    <w:rsid w:val="0065549F"/>
    <w:rsid w:val="006555D1"/>
    <w:rsid w:val="00655F5B"/>
    <w:rsid w:val="00656AB7"/>
    <w:rsid w:val="006575C9"/>
    <w:rsid w:val="00657B18"/>
    <w:rsid w:val="00657E42"/>
    <w:rsid w:val="00660027"/>
    <w:rsid w:val="00660364"/>
    <w:rsid w:val="00660545"/>
    <w:rsid w:val="006615DD"/>
    <w:rsid w:val="006617DF"/>
    <w:rsid w:val="00661D7A"/>
    <w:rsid w:val="006620C0"/>
    <w:rsid w:val="00662769"/>
    <w:rsid w:val="006627B9"/>
    <w:rsid w:val="0066297E"/>
    <w:rsid w:val="00662F95"/>
    <w:rsid w:val="00663341"/>
    <w:rsid w:val="006635BA"/>
    <w:rsid w:val="00663CA2"/>
    <w:rsid w:val="00664382"/>
    <w:rsid w:val="00664E1A"/>
    <w:rsid w:val="00664E70"/>
    <w:rsid w:val="006650FD"/>
    <w:rsid w:val="006655B2"/>
    <w:rsid w:val="00666148"/>
    <w:rsid w:val="00666166"/>
    <w:rsid w:val="00666933"/>
    <w:rsid w:val="00666A69"/>
    <w:rsid w:val="00666A71"/>
    <w:rsid w:val="00666D5E"/>
    <w:rsid w:val="00666DE9"/>
    <w:rsid w:val="006670C3"/>
    <w:rsid w:val="0067003D"/>
    <w:rsid w:val="006700A5"/>
    <w:rsid w:val="00670D12"/>
    <w:rsid w:val="00671D09"/>
    <w:rsid w:val="00672503"/>
    <w:rsid w:val="0067277B"/>
    <w:rsid w:val="00672888"/>
    <w:rsid w:val="00672A4A"/>
    <w:rsid w:val="00672BE9"/>
    <w:rsid w:val="00672D18"/>
    <w:rsid w:val="006731E8"/>
    <w:rsid w:val="00673559"/>
    <w:rsid w:val="0067360F"/>
    <w:rsid w:val="0067383D"/>
    <w:rsid w:val="00673893"/>
    <w:rsid w:val="00673B6D"/>
    <w:rsid w:val="00673B7C"/>
    <w:rsid w:val="00673CD8"/>
    <w:rsid w:val="006745C2"/>
    <w:rsid w:val="0067460E"/>
    <w:rsid w:val="00674EE5"/>
    <w:rsid w:val="00675093"/>
    <w:rsid w:val="006752DD"/>
    <w:rsid w:val="0067575F"/>
    <w:rsid w:val="00675BEE"/>
    <w:rsid w:val="00675DC7"/>
    <w:rsid w:val="0067608A"/>
    <w:rsid w:val="006760B1"/>
    <w:rsid w:val="00676274"/>
    <w:rsid w:val="00676DA3"/>
    <w:rsid w:val="00677C50"/>
    <w:rsid w:val="00680631"/>
    <w:rsid w:val="00681514"/>
    <w:rsid w:val="00681935"/>
    <w:rsid w:val="00681B9C"/>
    <w:rsid w:val="00682A28"/>
    <w:rsid w:val="00682D9E"/>
    <w:rsid w:val="00683624"/>
    <w:rsid w:val="00683879"/>
    <w:rsid w:val="00683A6C"/>
    <w:rsid w:val="00684353"/>
    <w:rsid w:val="006844EC"/>
    <w:rsid w:val="006848F2"/>
    <w:rsid w:val="006853EA"/>
    <w:rsid w:val="006859D2"/>
    <w:rsid w:val="00685AED"/>
    <w:rsid w:val="0068615D"/>
    <w:rsid w:val="0068657D"/>
    <w:rsid w:val="006865E0"/>
    <w:rsid w:val="0068665C"/>
    <w:rsid w:val="00687863"/>
    <w:rsid w:val="00687A4F"/>
    <w:rsid w:val="00687E68"/>
    <w:rsid w:val="006900C8"/>
    <w:rsid w:val="006903C8"/>
    <w:rsid w:val="00690DC8"/>
    <w:rsid w:val="006916FC"/>
    <w:rsid w:val="00691793"/>
    <w:rsid w:val="00692545"/>
    <w:rsid w:val="006926F4"/>
    <w:rsid w:val="00692D4B"/>
    <w:rsid w:val="0069348F"/>
    <w:rsid w:val="0069365F"/>
    <w:rsid w:val="00693A71"/>
    <w:rsid w:val="00693B51"/>
    <w:rsid w:val="00694382"/>
    <w:rsid w:val="0069460F"/>
    <w:rsid w:val="0069468A"/>
    <w:rsid w:val="00694A63"/>
    <w:rsid w:val="00694A83"/>
    <w:rsid w:val="00694B05"/>
    <w:rsid w:val="00694DB6"/>
    <w:rsid w:val="006969A9"/>
    <w:rsid w:val="00696E80"/>
    <w:rsid w:val="00696EF2"/>
    <w:rsid w:val="006973DC"/>
    <w:rsid w:val="0069768D"/>
    <w:rsid w:val="0069775A"/>
    <w:rsid w:val="006A007E"/>
    <w:rsid w:val="006A018D"/>
    <w:rsid w:val="006A0685"/>
    <w:rsid w:val="006A0860"/>
    <w:rsid w:val="006A08D1"/>
    <w:rsid w:val="006A0D2A"/>
    <w:rsid w:val="006A19F8"/>
    <w:rsid w:val="006A1FD7"/>
    <w:rsid w:val="006A2A5E"/>
    <w:rsid w:val="006A2C81"/>
    <w:rsid w:val="006A2D9F"/>
    <w:rsid w:val="006A2EF8"/>
    <w:rsid w:val="006A3342"/>
    <w:rsid w:val="006A3845"/>
    <w:rsid w:val="006A4A5D"/>
    <w:rsid w:val="006A4ACB"/>
    <w:rsid w:val="006A5033"/>
    <w:rsid w:val="006A5294"/>
    <w:rsid w:val="006A57FA"/>
    <w:rsid w:val="006A638B"/>
    <w:rsid w:val="006A6990"/>
    <w:rsid w:val="006A699F"/>
    <w:rsid w:val="006A6A7D"/>
    <w:rsid w:val="006A6A93"/>
    <w:rsid w:val="006A6CCE"/>
    <w:rsid w:val="006A721E"/>
    <w:rsid w:val="006A72BC"/>
    <w:rsid w:val="006A774B"/>
    <w:rsid w:val="006A7A1D"/>
    <w:rsid w:val="006B0172"/>
    <w:rsid w:val="006B0968"/>
    <w:rsid w:val="006B0B24"/>
    <w:rsid w:val="006B0D93"/>
    <w:rsid w:val="006B1324"/>
    <w:rsid w:val="006B1907"/>
    <w:rsid w:val="006B1BC0"/>
    <w:rsid w:val="006B2634"/>
    <w:rsid w:val="006B298B"/>
    <w:rsid w:val="006B2A0C"/>
    <w:rsid w:val="006B34DB"/>
    <w:rsid w:val="006B3567"/>
    <w:rsid w:val="006B37F8"/>
    <w:rsid w:val="006B5348"/>
    <w:rsid w:val="006B5A15"/>
    <w:rsid w:val="006B5B91"/>
    <w:rsid w:val="006B5F7B"/>
    <w:rsid w:val="006B5F80"/>
    <w:rsid w:val="006B60AD"/>
    <w:rsid w:val="006B61DA"/>
    <w:rsid w:val="006B68B0"/>
    <w:rsid w:val="006B6DFF"/>
    <w:rsid w:val="006B7093"/>
    <w:rsid w:val="006B73F5"/>
    <w:rsid w:val="006B741F"/>
    <w:rsid w:val="006B751F"/>
    <w:rsid w:val="006B7A02"/>
    <w:rsid w:val="006B7AD9"/>
    <w:rsid w:val="006C02CF"/>
    <w:rsid w:val="006C0470"/>
    <w:rsid w:val="006C0538"/>
    <w:rsid w:val="006C0586"/>
    <w:rsid w:val="006C0C46"/>
    <w:rsid w:val="006C0DA7"/>
    <w:rsid w:val="006C17F4"/>
    <w:rsid w:val="006C1B48"/>
    <w:rsid w:val="006C1CE3"/>
    <w:rsid w:val="006C22B2"/>
    <w:rsid w:val="006C25CC"/>
    <w:rsid w:val="006C2760"/>
    <w:rsid w:val="006C2A1A"/>
    <w:rsid w:val="006C2D4B"/>
    <w:rsid w:val="006C375C"/>
    <w:rsid w:val="006C3793"/>
    <w:rsid w:val="006C3E1F"/>
    <w:rsid w:val="006C56CA"/>
    <w:rsid w:val="006C5911"/>
    <w:rsid w:val="006C690C"/>
    <w:rsid w:val="006C6AD4"/>
    <w:rsid w:val="006C7259"/>
    <w:rsid w:val="006C747A"/>
    <w:rsid w:val="006C7D47"/>
    <w:rsid w:val="006D0494"/>
    <w:rsid w:val="006D05F7"/>
    <w:rsid w:val="006D09B4"/>
    <w:rsid w:val="006D0CD6"/>
    <w:rsid w:val="006D0E51"/>
    <w:rsid w:val="006D1751"/>
    <w:rsid w:val="006D190E"/>
    <w:rsid w:val="006D21F2"/>
    <w:rsid w:val="006D2564"/>
    <w:rsid w:val="006D2CAC"/>
    <w:rsid w:val="006D3051"/>
    <w:rsid w:val="006D322D"/>
    <w:rsid w:val="006D3DFC"/>
    <w:rsid w:val="006D4437"/>
    <w:rsid w:val="006D44B1"/>
    <w:rsid w:val="006D5195"/>
    <w:rsid w:val="006D56DD"/>
    <w:rsid w:val="006D6FE4"/>
    <w:rsid w:val="006D727E"/>
    <w:rsid w:val="006D72A2"/>
    <w:rsid w:val="006D76F9"/>
    <w:rsid w:val="006D79FC"/>
    <w:rsid w:val="006D7B98"/>
    <w:rsid w:val="006E07C5"/>
    <w:rsid w:val="006E07C6"/>
    <w:rsid w:val="006E0B0A"/>
    <w:rsid w:val="006E103A"/>
    <w:rsid w:val="006E15A4"/>
    <w:rsid w:val="006E1EAD"/>
    <w:rsid w:val="006E293D"/>
    <w:rsid w:val="006E2E16"/>
    <w:rsid w:val="006E3200"/>
    <w:rsid w:val="006E35E8"/>
    <w:rsid w:val="006E35FD"/>
    <w:rsid w:val="006E398C"/>
    <w:rsid w:val="006E47DE"/>
    <w:rsid w:val="006E49BB"/>
    <w:rsid w:val="006E4B19"/>
    <w:rsid w:val="006E4C1A"/>
    <w:rsid w:val="006E4C7E"/>
    <w:rsid w:val="006E4FBC"/>
    <w:rsid w:val="006E5288"/>
    <w:rsid w:val="006E531D"/>
    <w:rsid w:val="006E5D7A"/>
    <w:rsid w:val="006E635B"/>
    <w:rsid w:val="006E6410"/>
    <w:rsid w:val="006E6587"/>
    <w:rsid w:val="006E6A88"/>
    <w:rsid w:val="006E6B93"/>
    <w:rsid w:val="006E7987"/>
    <w:rsid w:val="006E7A44"/>
    <w:rsid w:val="006F00E0"/>
    <w:rsid w:val="006F0561"/>
    <w:rsid w:val="006F05BF"/>
    <w:rsid w:val="006F0D7A"/>
    <w:rsid w:val="006F148D"/>
    <w:rsid w:val="006F2593"/>
    <w:rsid w:val="006F2D28"/>
    <w:rsid w:val="006F2FCC"/>
    <w:rsid w:val="006F316E"/>
    <w:rsid w:val="006F3814"/>
    <w:rsid w:val="006F3FB8"/>
    <w:rsid w:val="006F4D44"/>
    <w:rsid w:val="006F4EFF"/>
    <w:rsid w:val="006F4FA7"/>
    <w:rsid w:val="006F567C"/>
    <w:rsid w:val="006F57E8"/>
    <w:rsid w:val="006F5B3A"/>
    <w:rsid w:val="006F6AE7"/>
    <w:rsid w:val="006F71B8"/>
    <w:rsid w:val="006F7A5B"/>
    <w:rsid w:val="00700107"/>
    <w:rsid w:val="007004D5"/>
    <w:rsid w:val="00700859"/>
    <w:rsid w:val="00700CB8"/>
    <w:rsid w:val="00700CBE"/>
    <w:rsid w:val="00701956"/>
    <w:rsid w:val="00701D6C"/>
    <w:rsid w:val="0070208B"/>
    <w:rsid w:val="007024AE"/>
    <w:rsid w:val="0070292D"/>
    <w:rsid w:val="00702A60"/>
    <w:rsid w:val="00702B46"/>
    <w:rsid w:val="00702CEE"/>
    <w:rsid w:val="00703029"/>
    <w:rsid w:val="00703B7E"/>
    <w:rsid w:val="007042F6"/>
    <w:rsid w:val="00704427"/>
    <w:rsid w:val="00704453"/>
    <w:rsid w:val="0070467C"/>
    <w:rsid w:val="0070470F"/>
    <w:rsid w:val="00704EEB"/>
    <w:rsid w:val="00705028"/>
    <w:rsid w:val="0070529A"/>
    <w:rsid w:val="00705D7C"/>
    <w:rsid w:val="007062C4"/>
    <w:rsid w:val="007064E3"/>
    <w:rsid w:val="00706FD4"/>
    <w:rsid w:val="007070FA"/>
    <w:rsid w:val="00707758"/>
    <w:rsid w:val="00707AC6"/>
    <w:rsid w:val="00707ED9"/>
    <w:rsid w:val="00710168"/>
    <w:rsid w:val="007102D9"/>
    <w:rsid w:val="007104CE"/>
    <w:rsid w:val="007106FF"/>
    <w:rsid w:val="007107BA"/>
    <w:rsid w:val="00710AC7"/>
    <w:rsid w:val="007112C7"/>
    <w:rsid w:val="00711609"/>
    <w:rsid w:val="00711A9F"/>
    <w:rsid w:val="00711C35"/>
    <w:rsid w:val="00711CE1"/>
    <w:rsid w:val="00711DCB"/>
    <w:rsid w:val="00711E09"/>
    <w:rsid w:val="00712E73"/>
    <w:rsid w:val="00712F55"/>
    <w:rsid w:val="007131DC"/>
    <w:rsid w:val="00713208"/>
    <w:rsid w:val="007132D6"/>
    <w:rsid w:val="0071369A"/>
    <w:rsid w:val="007140BC"/>
    <w:rsid w:val="00714535"/>
    <w:rsid w:val="0071464F"/>
    <w:rsid w:val="00714845"/>
    <w:rsid w:val="00714C5B"/>
    <w:rsid w:val="0071543D"/>
    <w:rsid w:val="00715E36"/>
    <w:rsid w:val="0071750F"/>
    <w:rsid w:val="00717826"/>
    <w:rsid w:val="00717B79"/>
    <w:rsid w:val="0072015A"/>
    <w:rsid w:val="007201C2"/>
    <w:rsid w:val="0072025C"/>
    <w:rsid w:val="007207D5"/>
    <w:rsid w:val="0072161E"/>
    <w:rsid w:val="007217BD"/>
    <w:rsid w:val="00721C36"/>
    <w:rsid w:val="00721DF7"/>
    <w:rsid w:val="00721E4F"/>
    <w:rsid w:val="00722594"/>
    <w:rsid w:val="007225A8"/>
    <w:rsid w:val="007228D9"/>
    <w:rsid w:val="00722A38"/>
    <w:rsid w:val="00722FAF"/>
    <w:rsid w:val="0072312A"/>
    <w:rsid w:val="00723FBA"/>
    <w:rsid w:val="00724125"/>
    <w:rsid w:val="007241E9"/>
    <w:rsid w:val="00724243"/>
    <w:rsid w:val="007249B9"/>
    <w:rsid w:val="00725130"/>
    <w:rsid w:val="007253D2"/>
    <w:rsid w:val="00725660"/>
    <w:rsid w:val="00725E94"/>
    <w:rsid w:val="00726A5B"/>
    <w:rsid w:val="00726FC5"/>
    <w:rsid w:val="00727592"/>
    <w:rsid w:val="00727ABD"/>
    <w:rsid w:val="00727D6D"/>
    <w:rsid w:val="00727D95"/>
    <w:rsid w:val="00730DED"/>
    <w:rsid w:val="00730E8D"/>
    <w:rsid w:val="00730FC9"/>
    <w:rsid w:val="0073117B"/>
    <w:rsid w:val="007312B2"/>
    <w:rsid w:val="0073182F"/>
    <w:rsid w:val="00731845"/>
    <w:rsid w:val="007324CC"/>
    <w:rsid w:val="007325D5"/>
    <w:rsid w:val="00732ED7"/>
    <w:rsid w:val="0073321F"/>
    <w:rsid w:val="007339A4"/>
    <w:rsid w:val="007345D2"/>
    <w:rsid w:val="00735081"/>
    <w:rsid w:val="0073566A"/>
    <w:rsid w:val="00735754"/>
    <w:rsid w:val="0073593F"/>
    <w:rsid w:val="00735BB0"/>
    <w:rsid w:val="007369BA"/>
    <w:rsid w:val="00736D02"/>
    <w:rsid w:val="0074017E"/>
    <w:rsid w:val="007404B0"/>
    <w:rsid w:val="00740AB9"/>
    <w:rsid w:val="00740D26"/>
    <w:rsid w:val="00741BD9"/>
    <w:rsid w:val="00742346"/>
    <w:rsid w:val="0074274A"/>
    <w:rsid w:val="00742778"/>
    <w:rsid w:val="0074277D"/>
    <w:rsid w:val="0074327F"/>
    <w:rsid w:val="00743694"/>
    <w:rsid w:val="0074379F"/>
    <w:rsid w:val="007440E8"/>
    <w:rsid w:val="0074445A"/>
    <w:rsid w:val="00744A5B"/>
    <w:rsid w:val="00744AE6"/>
    <w:rsid w:val="00744C45"/>
    <w:rsid w:val="00744D96"/>
    <w:rsid w:val="007455C5"/>
    <w:rsid w:val="00746669"/>
    <w:rsid w:val="00747098"/>
    <w:rsid w:val="007477B8"/>
    <w:rsid w:val="00747953"/>
    <w:rsid w:val="00747D63"/>
    <w:rsid w:val="00750404"/>
    <w:rsid w:val="0075072E"/>
    <w:rsid w:val="00750882"/>
    <w:rsid w:val="00750CAF"/>
    <w:rsid w:val="007513E7"/>
    <w:rsid w:val="00751530"/>
    <w:rsid w:val="00751A2E"/>
    <w:rsid w:val="00751DE5"/>
    <w:rsid w:val="00752C64"/>
    <w:rsid w:val="007531A2"/>
    <w:rsid w:val="00753350"/>
    <w:rsid w:val="007542AB"/>
    <w:rsid w:val="007542AF"/>
    <w:rsid w:val="007545B8"/>
    <w:rsid w:val="007554A8"/>
    <w:rsid w:val="0075583D"/>
    <w:rsid w:val="00755A5D"/>
    <w:rsid w:val="00755EF0"/>
    <w:rsid w:val="00756160"/>
    <w:rsid w:val="0075616B"/>
    <w:rsid w:val="00756202"/>
    <w:rsid w:val="00756AF4"/>
    <w:rsid w:val="007570C9"/>
    <w:rsid w:val="007575D7"/>
    <w:rsid w:val="007579B5"/>
    <w:rsid w:val="007579D1"/>
    <w:rsid w:val="00757B66"/>
    <w:rsid w:val="007600A1"/>
    <w:rsid w:val="007608C9"/>
    <w:rsid w:val="00760A9F"/>
    <w:rsid w:val="00760DC2"/>
    <w:rsid w:val="00761258"/>
    <w:rsid w:val="007619EF"/>
    <w:rsid w:val="00761A9A"/>
    <w:rsid w:val="00761AF7"/>
    <w:rsid w:val="00761FF6"/>
    <w:rsid w:val="0076258A"/>
    <w:rsid w:val="00762AB6"/>
    <w:rsid w:val="00763000"/>
    <w:rsid w:val="0076349A"/>
    <w:rsid w:val="00764563"/>
    <w:rsid w:val="007645FB"/>
    <w:rsid w:val="00764D37"/>
    <w:rsid w:val="0076509C"/>
    <w:rsid w:val="00765146"/>
    <w:rsid w:val="0076549E"/>
    <w:rsid w:val="00765BCB"/>
    <w:rsid w:val="00765E70"/>
    <w:rsid w:val="00766114"/>
    <w:rsid w:val="00766264"/>
    <w:rsid w:val="00766278"/>
    <w:rsid w:val="007665A6"/>
    <w:rsid w:val="007671C0"/>
    <w:rsid w:val="00767369"/>
    <w:rsid w:val="007674C4"/>
    <w:rsid w:val="00767A42"/>
    <w:rsid w:val="00767EBD"/>
    <w:rsid w:val="00770543"/>
    <w:rsid w:val="007709E9"/>
    <w:rsid w:val="00770A69"/>
    <w:rsid w:val="00770A8D"/>
    <w:rsid w:val="00770E00"/>
    <w:rsid w:val="007713F6"/>
    <w:rsid w:val="00772158"/>
    <w:rsid w:val="0077305E"/>
    <w:rsid w:val="0077338A"/>
    <w:rsid w:val="0077338E"/>
    <w:rsid w:val="00773400"/>
    <w:rsid w:val="007737F2"/>
    <w:rsid w:val="00773D05"/>
    <w:rsid w:val="00773ED8"/>
    <w:rsid w:val="007741F8"/>
    <w:rsid w:val="00774561"/>
    <w:rsid w:val="007746D7"/>
    <w:rsid w:val="00774F8B"/>
    <w:rsid w:val="007757C7"/>
    <w:rsid w:val="007763AE"/>
    <w:rsid w:val="007766E0"/>
    <w:rsid w:val="00777331"/>
    <w:rsid w:val="00777C3F"/>
    <w:rsid w:val="00777DBF"/>
    <w:rsid w:val="00777EDF"/>
    <w:rsid w:val="00780006"/>
    <w:rsid w:val="007800BF"/>
    <w:rsid w:val="00780A83"/>
    <w:rsid w:val="00780CE0"/>
    <w:rsid w:val="00781141"/>
    <w:rsid w:val="007816E7"/>
    <w:rsid w:val="0078190F"/>
    <w:rsid w:val="00781A4B"/>
    <w:rsid w:val="00781B6A"/>
    <w:rsid w:val="00781C8E"/>
    <w:rsid w:val="00781D8A"/>
    <w:rsid w:val="00782000"/>
    <w:rsid w:val="00782A28"/>
    <w:rsid w:val="00782AD1"/>
    <w:rsid w:val="00782F01"/>
    <w:rsid w:val="00783461"/>
    <w:rsid w:val="00783DAC"/>
    <w:rsid w:val="00783DCD"/>
    <w:rsid w:val="007846C0"/>
    <w:rsid w:val="00784949"/>
    <w:rsid w:val="00785BAD"/>
    <w:rsid w:val="00786956"/>
    <w:rsid w:val="00786C9D"/>
    <w:rsid w:val="0078737D"/>
    <w:rsid w:val="00787572"/>
    <w:rsid w:val="0079080E"/>
    <w:rsid w:val="00790D88"/>
    <w:rsid w:val="00790F9E"/>
    <w:rsid w:val="0079103A"/>
    <w:rsid w:val="0079133F"/>
    <w:rsid w:val="0079156F"/>
    <w:rsid w:val="00791D7E"/>
    <w:rsid w:val="00791D8A"/>
    <w:rsid w:val="00791F60"/>
    <w:rsid w:val="007928D9"/>
    <w:rsid w:val="00793634"/>
    <w:rsid w:val="00793A9D"/>
    <w:rsid w:val="00793B4E"/>
    <w:rsid w:val="007947FC"/>
    <w:rsid w:val="0079529B"/>
    <w:rsid w:val="007953F5"/>
    <w:rsid w:val="00795CB7"/>
    <w:rsid w:val="00795EEC"/>
    <w:rsid w:val="00796377"/>
    <w:rsid w:val="00796682"/>
    <w:rsid w:val="00796C5F"/>
    <w:rsid w:val="00796E83"/>
    <w:rsid w:val="00796F02"/>
    <w:rsid w:val="0079750C"/>
    <w:rsid w:val="00797C97"/>
    <w:rsid w:val="007A055B"/>
    <w:rsid w:val="007A08FA"/>
    <w:rsid w:val="007A094F"/>
    <w:rsid w:val="007A109F"/>
    <w:rsid w:val="007A11DD"/>
    <w:rsid w:val="007A1669"/>
    <w:rsid w:val="007A1D03"/>
    <w:rsid w:val="007A252F"/>
    <w:rsid w:val="007A2A92"/>
    <w:rsid w:val="007A2CA2"/>
    <w:rsid w:val="007A4383"/>
    <w:rsid w:val="007A4ADC"/>
    <w:rsid w:val="007A561D"/>
    <w:rsid w:val="007A58C0"/>
    <w:rsid w:val="007A5B0E"/>
    <w:rsid w:val="007A5E4D"/>
    <w:rsid w:val="007A5EC8"/>
    <w:rsid w:val="007A5FD3"/>
    <w:rsid w:val="007A673D"/>
    <w:rsid w:val="007A691C"/>
    <w:rsid w:val="007A6E39"/>
    <w:rsid w:val="007A70A6"/>
    <w:rsid w:val="007A7627"/>
    <w:rsid w:val="007A775D"/>
    <w:rsid w:val="007A7B87"/>
    <w:rsid w:val="007A7C56"/>
    <w:rsid w:val="007B040C"/>
    <w:rsid w:val="007B07F0"/>
    <w:rsid w:val="007B0E8F"/>
    <w:rsid w:val="007B1024"/>
    <w:rsid w:val="007B1A1A"/>
    <w:rsid w:val="007B1D4F"/>
    <w:rsid w:val="007B2442"/>
    <w:rsid w:val="007B2986"/>
    <w:rsid w:val="007B298E"/>
    <w:rsid w:val="007B2BF7"/>
    <w:rsid w:val="007B2E4D"/>
    <w:rsid w:val="007B390B"/>
    <w:rsid w:val="007B39E5"/>
    <w:rsid w:val="007B4432"/>
    <w:rsid w:val="007B47D5"/>
    <w:rsid w:val="007B4819"/>
    <w:rsid w:val="007B5453"/>
    <w:rsid w:val="007B555A"/>
    <w:rsid w:val="007B5795"/>
    <w:rsid w:val="007B606D"/>
    <w:rsid w:val="007B6841"/>
    <w:rsid w:val="007B6CA2"/>
    <w:rsid w:val="007B6DDE"/>
    <w:rsid w:val="007B7886"/>
    <w:rsid w:val="007B7A62"/>
    <w:rsid w:val="007C036E"/>
    <w:rsid w:val="007C052F"/>
    <w:rsid w:val="007C0530"/>
    <w:rsid w:val="007C064C"/>
    <w:rsid w:val="007C1482"/>
    <w:rsid w:val="007C1614"/>
    <w:rsid w:val="007C204E"/>
    <w:rsid w:val="007C20A9"/>
    <w:rsid w:val="007C23CE"/>
    <w:rsid w:val="007C23E4"/>
    <w:rsid w:val="007C2497"/>
    <w:rsid w:val="007C2B43"/>
    <w:rsid w:val="007C4093"/>
    <w:rsid w:val="007C43B7"/>
    <w:rsid w:val="007C499F"/>
    <w:rsid w:val="007C4CF0"/>
    <w:rsid w:val="007C4D2C"/>
    <w:rsid w:val="007C4E00"/>
    <w:rsid w:val="007C576B"/>
    <w:rsid w:val="007C5A99"/>
    <w:rsid w:val="007C63FC"/>
    <w:rsid w:val="007C64FF"/>
    <w:rsid w:val="007C6A53"/>
    <w:rsid w:val="007C6EB5"/>
    <w:rsid w:val="007C7700"/>
    <w:rsid w:val="007C7DF8"/>
    <w:rsid w:val="007D0039"/>
    <w:rsid w:val="007D04CA"/>
    <w:rsid w:val="007D04FB"/>
    <w:rsid w:val="007D12E7"/>
    <w:rsid w:val="007D137A"/>
    <w:rsid w:val="007D1485"/>
    <w:rsid w:val="007D19E0"/>
    <w:rsid w:val="007D1CD5"/>
    <w:rsid w:val="007D24E7"/>
    <w:rsid w:val="007D273E"/>
    <w:rsid w:val="007D37A9"/>
    <w:rsid w:val="007D3B76"/>
    <w:rsid w:val="007D3F03"/>
    <w:rsid w:val="007D3F73"/>
    <w:rsid w:val="007D46D9"/>
    <w:rsid w:val="007D49E8"/>
    <w:rsid w:val="007D534F"/>
    <w:rsid w:val="007D557B"/>
    <w:rsid w:val="007D59B2"/>
    <w:rsid w:val="007D5CA4"/>
    <w:rsid w:val="007D5F76"/>
    <w:rsid w:val="007D682A"/>
    <w:rsid w:val="007D699B"/>
    <w:rsid w:val="007D6AEC"/>
    <w:rsid w:val="007D6BB1"/>
    <w:rsid w:val="007D75B2"/>
    <w:rsid w:val="007D7AD1"/>
    <w:rsid w:val="007D7C1E"/>
    <w:rsid w:val="007E0077"/>
    <w:rsid w:val="007E02AF"/>
    <w:rsid w:val="007E0C53"/>
    <w:rsid w:val="007E0CD9"/>
    <w:rsid w:val="007E1765"/>
    <w:rsid w:val="007E19EA"/>
    <w:rsid w:val="007E2A1A"/>
    <w:rsid w:val="007E3248"/>
    <w:rsid w:val="007E34E8"/>
    <w:rsid w:val="007E37E0"/>
    <w:rsid w:val="007E3C1E"/>
    <w:rsid w:val="007E3E97"/>
    <w:rsid w:val="007E4124"/>
    <w:rsid w:val="007E4181"/>
    <w:rsid w:val="007E452B"/>
    <w:rsid w:val="007E454F"/>
    <w:rsid w:val="007E473E"/>
    <w:rsid w:val="007E4BF1"/>
    <w:rsid w:val="007E51E8"/>
    <w:rsid w:val="007E5749"/>
    <w:rsid w:val="007E5FA7"/>
    <w:rsid w:val="007E78EB"/>
    <w:rsid w:val="007E7B8A"/>
    <w:rsid w:val="007E7C31"/>
    <w:rsid w:val="007E7CD9"/>
    <w:rsid w:val="007E7D18"/>
    <w:rsid w:val="007F01FC"/>
    <w:rsid w:val="007F027A"/>
    <w:rsid w:val="007F0444"/>
    <w:rsid w:val="007F06A7"/>
    <w:rsid w:val="007F09CB"/>
    <w:rsid w:val="007F0B38"/>
    <w:rsid w:val="007F0EBA"/>
    <w:rsid w:val="007F1C47"/>
    <w:rsid w:val="007F2135"/>
    <w:rsid w:val="007F2479"/>
    <w:rsid w:val="007F24FB"/>
    <w:rsid w:val="007F2557"/>
    <w:rsid w:val="007F2AEE"/>
    <w:rsid w:val="007F2F88"/>
    <w:rsid w:val="007F3318"/>
    <w:rsid w:val="007F34EE"/>
    <w:rsid w:val="007F3EC0"/>
    <w:rsid w:val="007F42BF"/>
    <w:rsid w:val="007F4357"/>
    <w:rsid w:val="007F44F2"/>
    <w:rsid w:val="007F4707"/>
    <w:rsid w:val="007F4DA7"/>
    <w:rsid w:val="007F4DFE"/>
    <w:rsid w:val="007F4E64"/>
    <w:rsid w:val="007F5EF4"/>
    <w:rsid w:val="007F63A5"/>
    <w:rsid w:val="007F6498"/>
    <w:rsid w:val="007F7130"/>
    <w:rsid w:val="007F74BA"/>
    <w:rsid w:val="007F7634"/>
    <w:rsid w:val="007F7EFA"/>
    <w:rsid w:val="007F7F1A"/>
    <w:rsid w:val="0080021B"/>
    <w:rsid w:val="0080053F"/>
    <w:rsid w:val="008005BC"/>
    <w:rsid w:val="00800E24"/>
    <w:rsid w:val="00800F8A"/>
    <w:rsid w:val="00801123"/>
    <w:rsid w:val="00801448"/>
    <w:rsid w:val="008014D2"/>
    <w:rsid w:val="00802CBA"/>
    <w:rsid w:val="00802DAA"/>
    <w:rsid w:val="00802FBA"/>
    <w:rsid w:val="00803131"/>
    <w:rsid w:val="00803293"/>
    <w:rsid w:val="00803C82"/>
    <w:rsid w:val="00803D42"/>
    <w:rsid w:val="00804165"/>
    <w:rsid w:val="00804657"/>
    <w:rsid w:val="00804AE6"/>
    <w:rsid w:val="00804E23"/>
    <w:rsid w:val="00805D5B"/>
    <w:rsid w:val="00805D99"/>
    <w:rsid w:val="00806685"/>
    <w:rsid w:val="008068B6"/>
    <w:rsid w:val="00806A2F"/>
    <w:rsid w:val="00807B6C"/>
    <w:rsid w:val="00810220"/>
    <w:rsid w:val="0081034A"/>
    <w:rsid w:val="00810681"/>
    <w:rsid w:val="00810796"/>
    <w:rsid w:val="00810E74"/>
    <w:rsid w:val="00811178"/>
    <w:rsid w:val="00811D32"/>
    <w:rsid w:val="008122E3"/>
    <w:rsid w:val="00812604"/>
    <w:rsid w:val="00812D8C"/>
    <w:rsid w:val="00812DA6"/>
    <w:rsid w:val="00812E15"/>
    <w:rsid w:val="00812E45"/>
    <w:rsid w:val="00813164"/>
    <w:rsid w:val="00813C3A"/>
    <w:rsid w:val="008144F9"/>
    <w:rsid w:val="00815184"/>
    <w:rsid w:val="00815C69"/>
    <w:rsid w:val="00815FCE"/>
    <w:rsid w:val="00816441"/>
    <w:rsid w:val="00816442"/>
    <w:rsid w:val="00816C5B"/>
    <w:rsid w:val="0081791C"/>
    <w:rsid w:val="00817ED3"/>
    <w:rsid w:val="00820040"/>
    <w:rsid w:val="008210BF"/>
    <w:rsid w:val="0082115F"/>
    <w:rsid w:val="008219DB"/>
    <w:rsid w:val="008219F8"/>
    <w:rsid w:val="00821CBC"/>
    <w:rsid w:val="0082212B"/>
    <w:rsid w:val="008224EA"/>
    <w:rsid w:val="008228EE"/>
    <w:rsid w:val="008229DC"/>
    <w:rsid w:val="00822E0C"/>
    <w:rsid w:val="008230A4"/>
    <w:rsid w:val="008238B8"/>
    <w:rsid w:val="008238BD"/>
    <w:rsid w:val="00824CA5"/>
    <w:rsid w:val="0082518C"/>
    <w:rsid w:val="00826AC6"/>
    <w:rsid w:val="00826F36"/>
    <w:rsid w:val="00826F69"/>
    <w:rsid w:val="00827111"/>
    <w:rsid w:val="00827220"/>
    <w:rsid w:val="008277B2"/>
    <w:rsid w:val="0082793B"/>
    <w:rsid w:val="00827E6D"/>
    <w:rsid w:val="00830372"/>
    <w:rsid w:val="0083190D"/>
    <w:rsid w:val="00831D70"/>
    <w:rsid w:val="00831E29"/>
    <w:rsid w:val="00831EE0"/>
    <w:rsid w:val="00832F16"/>
    <w:rsid w:val="00833E82"/>
    <w:rsid w:val="00834EA7"/>
    <w:rsid w:val="00835020"/>
    <w:rsid w:val="008352C0"/>
    <w:rsid w:val="0083581B"/>
    <w:rsid w:val="00835C1D"/>
    <w:rsid w:val="008369A9"/>
    <w:rsid w:val="00836B6D"/>
    <w:rsid w:val="00840028"/>
    <w:rsid w:val="00840364"/>
    <w:rsid w:val="008403B8"/>
    <w:rsid w:val="0084067F"/>
    <w:rsid w:val="008407FA"/>
    <w:rsid w:val="008412A1"/>
    <w:rsid w:val="00841476"/>
    <w:rsid w:val="008415E1"/>
    <w:rsid w:val="00841D6A"/>
    <w:rsid w:val="00841DF8"/>
    <w:rsid w:val="00841FC8"/>
    <w:rsid w:val="008423DA"/>
    <w:rsid w:val="0084271C"/>
    <w:rsid w:val="00842B8C"/>
    <w:rsid w:val="00842BFF"/>
    <w:rsid w:val="0084306B"/>
    <w:rsid w:val="0084367D"/>
    <w:rsid w:val="0084368E"/>
    <w:rsid w:val="0084453D"/>
    <w:rsid w:val="00845503"/>
    <w:rsid w:val="00845915"/>
    <w:rsid w:val="00845BFD"/>
    <w:rsid w:val="0084680F"/>
    <w:rsid w:val="00846CA7"/>
    <w:rsid w:val="00846E2F"/>
    <w:rsid w:val="00846F43"/>
    <w:rsid w:val="008470C7"/>
    <w:rsid w:val="0084731B"/>
    <w:rsid w:val="008476CD"/>
    <w:rsid w:val="00847BB3"/>
    <w:rsid w:val="008500D4"/>
    <w:rsid w:val="008506D0"/>
    <w:rsid w:val="00850B46"/>
    <w:rsid w:val="00850C80"/>
    <w:rsid w:val="00851066"/>
    <w:rsid w:val="00851652"/>
    <w:rsid w:val="008517A7"/>
    <w:rsid w:val="00851ED4"/>
    <w:rsid w:val="008526B4"/>
    <w:rsid w:val="008526D4"/>
    <w:rsid w:val="0085288E"/>
    <w:rsid w:val="008528FB"/>
    <w:rsid w:val="00852971"/>
    <w:rsid w:val="00852E1D"/>
    <w:rsid w:val="008533C0"/>
    <w:rsid w:val="008538A6"/>
    <w:rsid w:val="00853D28"/>
    <w:rsid w:val="008540B3"/>
    <w:rsid w:val="0085438D"/>
    <w:rsid w:val="008543B3"/>
    <w:rsid w:val="00854403"/>
    <w:rsid w:val="0085460D"/>
    <w:rsid w:val="008548CA"/>
    <w:rsid w:val="00854B71"/>
    <w:rsid w:val="0085536A"/>
    <w:rsid w:val="008553AA"/>
    <w:rsid w:val="008557B6"/>
    <w:rsid w:val="008566BF"/>
    <w:rsid w:val="008567E0"/>
    <w:rsid w:val="00857B84"/>
    <w:rsid w:val="00857E4C"/>
    <w:rsid w:val="00860971"/>
    <w:rsid w:val="00860A05"/>
    <w:rsid w:val="00860BD4"/>
    <w:rsid w:val="00860F71"/>
    <w:rsid w:val="00861313"/>
    <w:rsid w:val="00861545"/>
    <w:rsid w:val="008617AC"/>
    <w:rsid w:val="00862755"/>
    <w:rsid w:val="00862CDE"/>
    <w:rsid w:val="00862D01"/>
    <w:rsid w:val="00863529"/>
    <w:rsid w:val="00863B9D"/>
    <w:rsid w:val="008640B8"/>
    <w:rsid w:val="00864C79"/>
    <w:rsid w:val="00865A4E"/>
    <w:rsid w:val="008663A9"/>
    <w:rsid w:val="00866755"/>
    <w:rsid w:val="00866DED"/>
    <w:rsid w:val="00867175"/>
    <w:rsid w:val="00867B78"/>
    <w:rsid w:val="00867C9F"/>
    <w:rsid w:val="00867CB6"/>
    <w:rsid w:val="00867E68"/>
    <w:rsid w:val="00870037"/>
    <w:rsid w:val="008703A3"/>
    <w:rsid w:val="008707CC"/>
    <w:rsid w:val="008710EE"/>
    <w:rsid w:val="008711E7"/>
    <w:rsid w:val="00871227"/>
    <w:rsid w:val="0087161F"/>
    <w:rsid w:val="00871B94"/>
    <w:rsid w:val="00872222"/>
    <w:rsid w:val="00872230"/>
    <w:rsid w:val="00872A6D"/>
    <w:rsid w:val="00872C77"/>
    <w:rsid w:val="00872EFC"/>
    <w:rsid w:val="00872F7B"/>
    <w:rsid w:val="0087342C"/>
    <w:rsid w:val="0087392D"/>
    <w:rsid w:val="0087397A"/>
    <w:rsid w:val="00873A3E"/>
    <w:rsid w:val="008742A7"/>
    <w:rsid w:val="00874357"/>
    <w:rsid w:val="008748F5"/>
    <w:rsid w:val="00874A6A"/>
    <w:rsid w:val="00874E89"/>
    <w:rsid w:val="00874F5C"/>
    <w:rsid w:val="00874FCE"/>
    <w:rsid w:val="008758DA"/>
    <w:rsid w:val="00876298"/>
    <w:rsid w:val="00876398"/>
    <w:rsid w:val="008764E5"/>
    <w:rsid w:val="00876A06"/>
    <w:rsid w:val="00876A7B"/>
    <w:rsid w:val="00876D3A"/>
    <w:rsid w:val="00876DC2"/>
    <w:rsid w:val="00877299"/>
    <w:rsid w:val="00877536"/>
    <w:rsid w:val="008777E1"/>
    <w:rsid w:val="00880749"/>
    <w:rsid w:val="008809F3"/>
    <w:rsid w:val="00880B76"/>
    <w:rsid w:val="00881A1A"/>
    <w:rsid w:val="00881BBE"/>
    <w:rsid w:val="00881DDD"/>
    <w:rsid w:val="00882309"/>
    <w:rsid w:val="0088323C"/>
    <w:rsid w:val="008834BF"/>
    <w:rsid w:val="00883D4C"/>
    <w:rsid w:val="00883FB5"/>
    <w:rsid w:val="00883FE2"/>
    <w:rsid w:val="00884027"/>
    <w:rsid w:val="00884257"/>
    <w:rsid w:val="00884942"/>
    <w:rsid w:val="00884E68"/>
    <w:rsid w:val="00884F77"/>
    <w:rsid w:val="00885124"/>
    <w:rsid w:val="00885E3D"/>
    <w:rsid w:val="00886CF1"/>
    <w:rsid w:val="0088700D"/>
    <w:rsid w:val="008873CF"/>
    <w:rsid w:val="00887600"/>
    <w:rsid w:val="00887A03"/>
    <w:rsid w:val="00887CC2"/>
    <w:rsid w:val="00887E3A"/>
    <w:rsid w:val="0089038E"/>
    <w:rsid w:val="008904C4"/>
    <w:rsid w:val="0089068F"/>
    <w:rsid w:val="008910D8"/>
    <w:rsid w:val="00891F85"/>
    <w:rsid w:val="008927D2"/>
    <w:rsid w:val="00892819"/>
    <w:rsid w:val="00892857"/>
    <w:rsid w:val="00892AD8"/>
    <w:rsid w:val="00892CB8"/>
    <w:rsid w:val="00892D91"/>
    <w:rsid w:val="00893048"/>
    <w:rsid w:val="0089324C"/>
    <w:rsid w:val="008933D2"/>
    <w:rsid w:val="008936E9"/>
    <w:rsid w:val="008936FE"/>
    <w:rsid w:val="008939BE"/>
    <w:rsid w:val="00893AA0"/>
    <w:rsid w:val="00893AB2"/>
    <w:rsid w:val="00893C5D"/>
    <w:rsid w:val="00893C63"/>
    <w:rsid w:val="00893DDF"/>
    <w:rsid w:val="008940C4"/>
    <w:rsid w:val="008946F2"/>
    <w:rsid w:val="0089488E"/>
    <w:rsid w:val="0089495B"/>
    <w:rsid w:val="008951EB"/>
    <w:rsid w:val="008954C3"/>
    <w:rsid w:val="008956A3"/>
    <w:rsid w:val="008959C5"/>
    <w:rsid w:val="00895B65"/>
    <w:rsid w:val="008960C7"/>
    <w:rsid w:val="008961A1"/>
    <w:rsid w:val="00896375"/>
    <w:rsid w:val="008963DA"/>
    <w:rsid w:val="00897667"/>
    <w:rsid w:val="008976A9"/>
    <w:rsid w:val="008977B7"/>
    <w:rsid w:val="00897A74"/>
    <w:rsid w:val="00897B99"/>
    <w:rsid w:val="008A04E3"/>
    <w:rsid w:val="008A057E"/>
    <w:rsid w:val="008A0C0A"/>
    <w:rsid w:val="008A0D84"/>
    <w:rsid w:val="008A0EBC"/>
    <w:rsid w:val="008A21D9"/>
    <w:rsid w:val="008A2211"/>
    <w:rsid w:val="008A2367"/>
    <w:rsid w:val="008A2B7E"/>
    <w:rsid w:val="008A36EC"/>
    <w:rsid w:val="008A380C"/>
    <w:rsid w:val="008A3DAA"/>
    <w:rsid w:val="008A3E75"/>
    <w:rsid w:val="008A42BF"/>
    <w:rsid w:val="008A4F5E"/>
    <w:rsid w:val="008A5668"/>
    <w:rsid w:val="008A59A6"/>
    <w:rsid w:val="008A5E51"/>
    <w:rsid w:val="008A650C"/>
    <w:rsid w:val="008A6C16"/>
    <w:rsid w:val="008A7141"/>
    <w:rsid w:val="008A73AB"/>
    <w:rsid w:val="008A7496"/>
    <w:rsid w:val="008A7AE5"/>
    <w:rsid w:val="008B00EF"/>
    <w:rsid w:val="008B032E"/>
    <w:rsid w:val="008B0AD0"/>
    <w:rsid w:val="008B0BBC"/>
    <w:rsid w:val="008B10C2"/>
    <w:rsid w:val="008B12BD"/>
    <w:rsid w:val="008B144C"/>
    <w:rsid w:val="008B21F5"/>
    <w:rsid w:val="008B221D"/>
    <w:rsid w:val="008B2D4A"/>
    <w:rsid w:val="008B306D"/>
    <w:rsid w:val="008B3304"/>
    <w:rsid w:val="008B33D0"/>
    <w:rsid w:val="008B33EF"/>
    <w:rsid w:val="008B3A24"/>
    <w:rsid w:val="008B4445"/>
    <w:rsid w:val="008B4D30"/>
    <w:rsid w:val="008B4E78"/>
    <w:rsid w:val="008B524F"/>
    <w:rsid w:val="008B5260"/>
    <w:rsid w:val="008B53E3"/>
    <w:rsid w:val="008B568A"/>
    <w:rsid w:val="008B58CB"/>
    <w:rsid w:val="008B5DB7"/>
    <w:rsid w:val="008B5FAC"/>
    <w:rsid w:val="008B63F0"/>
    <w:rsid w:val="008B662D"/>
    <w:rsid w:val="008B6AD1"/>
    <w:rsid w:val="008B6BB5"/>
    <w:rsid w:val="008B6D9B"/>
    <w:rsid w:val="008B6ECF"/>
    <w:rsid w:val="008B7305"/>
    <w:rsid w:val="008B7363"/>
    <w:rsid w:val="008B77CC"/>
    <w:rsid w:val="008B7811"/>
    <w:rsid w:val="008B7AFB"/>
    <w:rsid w:val="008B7FB0"/>
    <w:rsid w:val="008C05B0"/>
    <w:rsid w:val="008C2235"/>
    <w:rsid w:val="008C22A3"/>
    <w:rsid w:val="008C239E"/>
    <w:rsid w:val="008C256B"/>
    <w:rsid w:val="008C25A4"/>
    <w:rsid w:val="008C2A19"/>
    <w:rsid w:val="008C3596"/>
    <w:rsid w:val="008C3606"/>
    <w:rsid w:val="008C3D37"/>
    <w:rsid w:val="008C3D70"/>
    <w:rsid w:val="008C40D4"/>
    <w:rsid w:val="008C4183"/>
    <w:rsid w:val="008C41A0"/>
    <w:rsid w:val="008C5951"/>
    <w:rsid w:val="008C595C"/>
    <w:rsid w:val="008C5AD9"/>
    <w:rsid w:val="008C5CC4"/>
    <w:rsid w:val="008C662D"/>
    <w:rsid w:val="008C671A"/>
    <w:rsid w:val="008C6C6B"/>
    <w:rsid w:val="008C71A0"/>
    <w:rsid w:val="008C73C0"/>
    <w:rsid w:val="008C743E"/>
    <w:rsid w:val="008C7FC9"/>
    <w:rsid w:val="008D0829"/>
    <w:rsid w:val="008D0A93"/>
    <w:rsid w:val="008D1116"/>
    <w:rsid w:val="008D1168"/>
    <w:rsid w:val="008D1407"/>
    <w:rsid w:val="008D1440"/>
    <w:rsid w:val="008D178D"/>
    <w:rsid w:val="008D1D6E"/>
    <w:rsid w:val="008D1DB2"/>
    <w:rsid w:val="008D2164"/>
    <w:rsid w:val="008D2322"/>
    <w:rsid w:val="008D23CD"/>
    <w:rsid w:val="008D2661"/>
    <w:rsid w:val="008D26A3"/>
    <w:rsid w:val="008D2C77"/>
    <w:rsid w:val="008D3617"/>
    <w:rsid w:val="008D3685"/>
    <w:rsid w:val="008D38A8"/>
    <w:rsid w:val="008D39CA"/>
    <w:rsid w:val="008D4635"/>
    <w:rsid w:val="008D482C"/>
    <w:rsid w:val="008D49DE"/>
    <w:rsid w:val="008D4C3E"/>
    <w:rsid w:val="008D5153"/>
    <w:rsid w:val="008D544F"/>
    <w:rsid w:val="008D5A1A"/>
    <w:rsid w:val="008D600C"/>
    <w:rsid w:val="008D67AA"/>
    <w:rsid w:val="008D727E"/>
    <w:rsid w:val="008D79C8"/>
    <w:rsid w:val="008D7A1B"/>
    <w:rsid w:val="008D7CDB"/>
    <w:rsid w:val="008E00A4"/>
    <w:rsid w:val="008E0504"/>
    <w:rsid w:val="008E051D"/>
    <w:rsid w:val="008E066A"/>
    <w:rsid w:val="008E08D6"/>
    <w:rsid w:val="008E0956"/>
    <w:rsid w:val="008E18D2"/>
    <w:rsid w:val="008E1C6E"/>
    <w:rsid w:val="008E1F19"/>
    <w:rsid w:val="008E2761"/>
    <w:rsid w:val="008E2789"/>
    <w:rsid w:val="008E29EF"/>
    <w:rsid w:val="008E3138"/>
    <w:rsid w:val="008E37BA"/>
    <w:rsid w:val="008E3CB1"/>
    <w:rsid w:val="008E4ACF"/>
    <w:rsid w:val="008E4D25"/>
    <w:rsid w:val="008E5050"/>
    <w:rsid w:val="008E54B5"/>
    <w:rsid w:val="008E593F"/>
    <w:rsid w:val="008E5A95"/>
    <w:rsid w:val="008E5B8E"/>
    <w:rsid w:val="008E6A2B"/>
    <w:rsid w:val="008E7CB3"/>
    <w:rsid w:val="008F011F"/>
    <w:rsid w:val="008F0551"/>
    <w:rsid w:val="008F157A"/>
    <w:rsid w:val="008F17D7"/>
    <w:rsid w:val="008F18B1"/>
    <w:rsid w:val="008F194C"/>
    <w:rsid w:val="008F19A1"/>
    <w:rsid w:val="008F1AF3"/>
    <w:rsid w:val="008F1F73"/>
    <w:rsid w:val="008F2254"/>
    <w:rsid w:val="008F2473"/>
    <w:rsid w:val="008F2B27"/>
    <w:rsid w:val="008F3ABA"/>
    <w:rsid w:val="008F3BAC"/>
    <w:rsid w:val="008F3CF0"/>
    <w:rsid w:val="008F4240"/>
    <w:rsid w:val="008F4D6A"/>
    <w:rsid w:val="008F5CEA"/>
    <w:rsid w:val="008F671C"/>
    <w:rsid w:val="008F674A"/>
    <w:rsid w:val="008F6A26"/>
    <w:rsid w:val="008F71EA"/>
    <w:rsid w:val="008F7733"/>
    <w:rsid w:val="008F78F3"/>
    <w:rsid w:val="009003C2"/>
    <w:rsid w:val="00900C08"/>
    <w:rsid w:val="00901238"/>
    <w:rsid w:val="009013D7"/>
    <w:rsid w:val="00901A76"/>
    <w:rsid w:val="00901E19"/>
    <w:rsid w:val="00901F5A"/>
    <w:rsid w:val="00902AA4"/>
    <w:rsid w:val="00902C03"/>
    <w:rsid w:val="009031C0"/>
    <w:rsid w:val="009032F6"/>
    <w:rsid w:val="0090350A"/>
    <w:rsid w:val="00903544"/>
    <w:rsid w:val="00903595"/>
    <w:rsid w:val="00903F08"/>
    <w:rsid w:val="00903FF5"/>
    <w:rsid w:val="0090411A"/>
    <w:rsid w:val="00904A3E"/>
    <w:rsid w:val="0090548F"/>
    <w:rsid w:val="009054A8"/>
    <w:rsid w:val="0090589D"/>
    <w:rsid w:val="009061E7"/>
    <w:rsid w:val="00906270"/>
    <w:rsid w:val="0090651F"/>
    <w:rsid w:val="00907AE1"/>
    <w:rsid w:val="00911118"/>
    <w:rsid w:val="009113F0"/>
    <w:rsid w:val="0091150C"/>
    <w:rsid w:val="009119B7"/>
    <w:rsid w:val="00912590"/>
    <w:rsid w:val="009127AF"/>
    <w:rsid w:val="0091297D"/>
    <w:rsid w:val="00912B85"/>
    <w:rsid w:val="00913333"/>
    <w:rsid w:val="00913BA8"/>
    <w:rsid w:val="00913C75"/>
    <w:rsid w:val="00913CFB"/>
    <w:rsid w:val="00913E89"/>
    <w:rsid w:val="0091425B"/>
    <w:rsid w:val="00914352"/>
    <w:rsid w:val="0091497F"/>
    <w:rsid w:val="009149AC"/>
    <w:rsid w:val="00914B7D"/>
    <w:rsid w:val="00914DC7"/>
    <w:rsid w:val="009157C3"/>
    <w:rsid w:val="00915AEE"/>
    <w:rsid w:val="009168EF"/>
    <w:rsid w:val="00916966"/>
    <w:rsid w:val="00916C87"/>
    <w:rsid w:val="00916E71"/>
    <w:rsid w:val="00916F85"/>
    <w:rsid w:val="009170C3"/>
    <w:rsid w:val="00917358"/>
    <w:rsid w:val="00917770"/>
    <w:rsid w:val="00917905"/>
    <w:rsid w:val="009201F0"/>
    <w:rsid w:val="009207FB"/>
    <w:rsid w:val="00920982"/>
    <w:rsid w:val="00921007"/>
    <w:rsid w:val="00921059"/>
    <w:rsid w:val="0092177E"/>
    <w:rsid w:val="00921B6D"/>
    <w:rsid w:val="00921C01"/>
    <w:rsid w:val="00921E30"/>
    <w:rsid w:val="009222A7"/>
    <w:rsid w:val="00922335"/>
    <w:rsid w:val="00922956"/>
    <w:rsid w:val="009233A9"/>
    <w:rsid w:val="00923435"/>
    <w:rsid w:val="0092350F"/>
    <w:rsid w:val="0092375E"/>
    <w:rsid w:val="00923CB8"/>
    <w:rsid w:val="00923EB2"/>
    <w:rsid w:val="00923FAA"/>
    <w:rsid w:val="0092418D"/>
    <w:rsid w:val="00924213"/>
    <w:rsid w:val="009245D9"/>
    <w:rsid w:val="00924988"/>
    <w:rsid w:val="00924DB3"/>
    <w:rsid w:val="00925131"/>
    <w:rsid w:val="00925159"/>
    <w:rsid w:val="00925FB9"/>
    <w:rsid w:val="00926263"/>
    <w:rsid w:val="00926892"/>
    <w:rsid w:val="009273D7"/>
    <w:rsid w:val="009275C7"/>
    <w:rsid w:val="0092763B"/>
    <w:rsid w:val="00927B10"/>
    <w:rsid w:val="00927C29"/>
    <w:rsid w:val="00927E9C"/>
    <w:rsid w:val="009302F4"/>
    <w:rsid w:val="009303BE"/>
    <w:rsid w:val="009306F0"/>
    <w:rsid w:val="00931B1C"/>
    <w:rsid w:val="00931DE4"/>
    <w:rsid w:val="00932172"/>
    <w:rsid w:val="009326D2"/>
    <w:rsid w:val="0093275A"/>
    <w:rsid w:val="009329A9"/>
    <w:rsid w:val="00932BB6"/>
    <w:rsid w:val="00932D0D"/>
    <w:rsid w:val="00932D30"/>
    <w:rsid w:val="00933227"/>
    <w:rsid w:val="0093361F"/>
    <w:rsid w:val="0093404D"/>
    <w:rsid w:val="00934378"/>
    <w:rsid w:val="009343CB"/>
    <w:rsid w:val="00934B46"/>
    <w:rsid w:val="00934F9E"/>
    <w:rsid w:val="00935562"/>
    <w:rsid w:val="009356EA"/>
    <w:rsid w:val="0093574D"/>
    <w:rsid w:val="009357DD"/>
    <w:rsid w:val="00935B09"/>
    <w:rsid w:val="00936B66"/>
    <w:rsid w:val="00937BE7"/>
    <w:rsid w:val="00937FBE"/>
    <w:rsid w:val="0094082E"/>
    <w:rsid w:val="00940BF5"/>
    <w:rsid w:val="00940D47"/>
    <w:rsid w:val="00940E74"/>
    <w:rsid w:val="009419CA"/>
    <w:rsid w:val="00942198"/>
    <w:rsid w:val="00942951"/>
    <w:rsid w:val="00942C35"/>
    <w:rsid w:val="00942CE2"/>
    <w:rsid w:val="00942EC8"/>
    <w:rsid w:val="009433A3"/>
    <w:rsid w:val="00943422"/>
    <w:rsid w:val="00943607"/>
    <w:rsid w:val="00943E4D"/>
    <w:rsid w:val="00944701"/>
    <w:rsid w:val="009449D8"/>
    <w:rsid w:val="00944B53"/>
    <w:rsid w:val="00944FE2"/>
    <w:rsid w:val="00945663"/>
    <w:rsid w:val="00945C67"/>
    <w:rsid w:val="009461A3"/>
    <w:rsid w:val="009477C9"/>
    <w:rsid w:val="009477CD"/>
    <w:rsid w:val="00947802"/>
    <w:rsid w:val="00947EAB"/>
    <w:rsid w:val="00947EE8"/>
    <w:rsid w:val="0095011D"/>
    <w:rsid w:val="0095041C"/>
    <w:rsid w:val="0095083C"/>
    <w:rsid w:val="00950F00"/>
    <w:rsid w:val="00950F3F"/>
    <w:rsid w:val="00951264"/>
    <w:rsid w:val="00951D7A"/>
    <w:rsid w:val="00952001"/>
    <w:rsid w:val="00952597"/>
    <w:rsid w:val="00952C53"/>
    <w:rsid w:val="00953528"/>
    <w:rsid w:val="00954E5D"/>
    <w:rsid w:val="00954E60"/>
    <w:rsid w:val="00955A19"/>
    <w:rsid w:val="00955EF1"/>
    <w:rsid w:val="009562E6"/>
    <w:rsid w:val="0095633A"/>
    <w:rsid w:val="00956548"/>
    <w:rsid w:val="00956D51"/>
    <w:rsid w:val="00956E52"/>
    <w:rsid w:val="00956E76"/>
    <w:rsid w:val="009575BA"/>
    <w:rsid w:val="0095761A"/>
    <w:rsid w:val="00957986"/>
    <w:rsid w:val="00957D63"/>
    <w:rsid w:val="00957DD1"/>
    <w:rsid w:val="00957FC3"/>
    <w:rsid w:val="00960211"/>
    <w:rsid w:val="00961450"/>
    <w:rsid w:val="009616CB"/>
    <w:rsid w:val="009618E0"/>
    <w:rsid w:val="00961BDA"/>
    <w:rsid w:val="00961C8A"/>
    <w:rsid w:val="00961E41"/>
    <w:rsid w:val="00961F3A"/>
    <w:rsid w:val="009620B8"/>
    <w:rsid w:val="009625E1"/>
    <w:rsid w:val="00962F6B"/>
    <w:rsid w:val="00963065"/>
    <w:rsid w:val="0096371D"/>
    <w:rsid w:val="00964106"/>
    <w:rsid w:val="00964844"/>
    <w:rsid w:val="00964EDD"/>
    <w:rsid w:val="0096553B"/>
    <w:rsid w:val="00965569"/>
    <w:rsid w:val="009658C5"/>
    <w:rsid w:val="00965DAC"/>
    <w:rsid w:val="009665B2"/>
    <w:rsid w:val="00966A5C"/>
    <w:rsid w:val="00966B29"/>
    <w:rsid w:val="00967253"/>
    <w:rsid w:val="009676FD"/>
    <w:rsid w:val="00967B8D"/>
    <w:rsid w:val="00967E8D"/>
    <w:rsid w:val="00967F95"/>
    <w:rsid w:val="0097071F"/>
    <w:rsid w:val="00970DDC"/>
    <w:rsid w:val="00970F6C"/>
    <w:rsid w:val="009712CF"/>
    <w:rsid w:val="00971652"/>
    <w:rsid w:val="009716E4"/>
    <w:rsid w:val="00971C0E"/>
    <w:rsid w:val="00971EEF"/>
    <w:rsid w:val="00972011"/>
    <w:rsid w:val="009726C7"/>
    <w:rsid w:val="0097276F"/>
    <w:rsid w:val="009728A2"/>
    <w:rsid w:val="00972DEF"/>
    <w:rsid w:val="00973445"/>
    <w:rsid w:val="009743AF"/>
    <w:rsid w:val="00974B87"/>
    <w:rsid w:val="00974C6D"/>
    <w:rsid w:val="0097554F"/>
    <w:rsid w:val="009756A4"/>
    <w:rsid w:val="00975D8F"/>
    <w:rsid w:val="00975F2B"/>
    <w:rsid w:val="00976B90"/>
    <w:rsid w:val="009773DA"/>
    <w:rsid w:val="009777E3"/>
    <w:rsid w:val="0097781D"/>
    <w:rsid w:val="00977F91"/>
    <w:rsid w:val="00977FC0"/>
    <w:rsid w:val="009805F6"/>
    <w:rsid w:val="009812F9"/>
    <w:rsid w:val="009817F7"/>
    <w:rsid w:val="00981990"/>
    <w:rsid w:val="00982417"/>
    <w:rsid w:val="00982599"/>
    <w:rsid w:val="00982790"/>
    <w:rsid w:val="00982991"/>
    <w:rsid w:val="00982F2B"/>
    <w:rsid w:val="00982FC4"/>
    <w:rsid w:val="00983A09"/>
    <w:rsid w:val="00983CDE"/>
    <w:rsid w:val="0098403C"/>
    <w:rsid w:val="00984CF5"/>
    <w:rsid w:val="00984FBE"/>
    <w:rsid w:val="009863A5"/>
    <w:rsid w:val="009864F2"/>
    <w:rsid w:val="00986611"/>
    <w:rsid w:val="009867E8"/>
    <w:rsid w:val="0099016D"/>
    <w:rsid w:val="00991216"/>
    <w:rsid w:val="00991613"/>
    <w:rsid w:val="00991933"/>
    <w:rsid w:val="00991D26"/>
    <w:rsid w:val="00992218"/>
    <w:rsid w:val="00992CFE"/>
    <w:rsid w:val="009931C3"/>
    <w:rsid w:val="00994D33"/>
    <w:rsid w:val="00994E1A"/>
    <w:rsid w:val="009953A7"/>
    <w:rsid w:val="00995AAD"/>
    <w:rsid w:val="00995B33"/>
    <w:rsid w:val="00995B57"/>
    <w:rsid w:val="00995ED0"/>
    <w:rsid w:val="0099600E"/>
    <w:rsid w:val="009962B2"/>
    <w:rsid w:val="00996426"/>
    <w:rsid w:val="009966AA"/>
    <w:rsid w:val="00996E04"/>
    <w:rsid w:val="00996F80"/>
    <w:rsid w:val="00997715"/>
    <w:rsid w:val="00997A86"/>
    <w:rsid w:val="009A0269"/>
    <w:rsid w:val="009A0764"/>
    <w:rsid w:val="009A08EC"/>
    <w:rsid w:val="009A0B35"/>
    <w:rsid w:val="009A1222"/>
    <w:rsid w:val="009A1C7D"/>
    <w:rsid w:val="009A1E6D"/>
    <w:rsid w:val="009A1ECA"/>
    <w:rsid w:val="009A28B1"/>
    <w:rsid w:val="009A2BF2"/>
    <w:rsid w:val="009A2DCC"/>
    <w:rsid w:val="009A2FBA"/>
    <w:rsid w:val="009A3226"/>
    <w:rsid w:val="009A326F"/>
    <w:rsid w:val="009A3305"/>
    <w:rsid w:val="009A36F8"/>
    <w:rsid w:val="009A3CC3"/>
    <w:rsid w:val="009A3D3D"/>
    <w:rsid w:val="009A49B5"/>
    <w:rsid w:val="009A549B"/>
    <w:rsid w:val="009A58DD"/>
    <w:rsid w:val="009A5938"/>
    <w:rsid w:val="009A62AC"/>
    <w:rsid w:val="009A6803"/>
    <w:rsid w:val="009A6854"/>
    <w:rsid w:val="009A6D5E"/>
    <w:rsid w:val="009A7BF2"/>
    <w:rsid w:val="009B01EE"/>
    <w:rsid w:val="009B095D"/>
    <w:rsid w:val="009B112A"/>
    <w:rsid w:val="009B1AD0"/>
    <w:rsid w:val="009B2057"/>
    <w:rsid w:val="009B2BFC"/>
    <w:rsid w:val="009B30FA"/>
    <w:rsid w:val="009B3191"/>
    <w:rsid w:val="009B31B9"/>
    <w:rsid w:val="009B328C"/>
    <w:rsid w:val="009B33F1"/>
    <w:rsid w:val="009B3473"/>
    <w:rsid w:val="009B3913"/>
    <w:rsid w:val="009B45E7"/>
    <w:rsid w:val="009B4AA5"/>
    <w:rsid w:val="009B5A08"/>
    <w:rsid w:val="009B5A7C"/>
    <w:rsid w:val="009B5B09"/>
    <w:rsid w:val="009B601D"/>
    <w:rsid w:val="009B603F"/>
    <w:rsid w:val="009B6381"/>
    <w:rsid w:val="009B66F5"/>
    <w:rsid w:val="009B6798"/>
    <w:rsid w:val="009B6B45"/>
    <w:rsid w:val="009B6B51"/>
    <w:rsid w:val="009B6BDF"/>
    <w:rsid w:val="009B704B"/>
    <w:rsid w:val="009B704F"/>
    <w:rsid w:val="009B74FB"/>
    <w:rsid w:val="009B7517"/>
    <w:rsid w:val="009B772E"/>
    <w:rsid w:val="009B79A0"/>
    <w:rsid w:val="009B7F57"/>
    <w:rsid w:val="009C0679"/>
    <w:rsid w:val="009C0BC1"/>
    <w:rsid w:val="009C131B"/>
    <w:rsid w:val="009C17C7"/>
    <w:rsid w:val="009C18EC"/>
    <w:rsid w:val="009C3724"/>
    <w:rsid w:val="009C39CC"/>
    <w:rsid w:val="009C3A9A"/>
    <w:rsid w:val="009C3E7D"/>
    <w:rsid w:val="009C444C"/>
    <w:rsid w:val="009C4490"/>
    <w:rsid w:val="009C5240"/>
    <w:rsid w:val="009C5D61"/>
    <w:rsid w:val="009C5E47"/>
    <w:rsid w:val="009C618C"/>
    <w:rsid w:val="009C6AC9"/>
    <w:rsid w:val="009C7144"/>
    <w:rsid w:val="009C715F"/>
    <w:rsid w:val="009C7211"/>
    <w:rsid w:val="009C72FC"/>
    <w:rsid w:val="009C73F3"/>
    <w:rsid w:val="009C7C7F"/>
    <w:rsid w:val="009C7EDB"/>
    <w:rsid w:val="009D05F7"/>
    <w:rsid w:val="009D0D54"/>
    <w:rsid w:val="009D18FC"/>
    <w:rsid w:val="009D1CAA"/>
    <w:rsid w:val="009D1DB8"/>
    <w:rsid w:val="009D2118"/>
    <w:rsid w:val="009D27F4"/>
    <w:rsid w:val="009D29C8"/>
    <w:rsid w:val="009D2C5F"/>
    <w:rsid w:val="009D2E04"/>
    <w:rsid w:val="009D328E"/>
    <w:rsid w:val="009D39C1"/>
    <w:rsid w:val="009D3E25"/>
    <w:rsid w:val="009D3E82"/>
    <w:rsid w:val="009D41FD"/>
    <w:rsid w:val="009D48A6"/>
    <w:rsid w:val="009D4B7A"/>
    <w:rsid w:val="009D4FC8"/>
    <w:rsid w:val="009D5290"/>
    <w:rsid w:val="009D623F"/>
    <w:rsid w:val="009D6263"/>
    <w:rsid w:val="009D6B01"/>
    <w:rsid w:val="009D7037"/>
    <w:rsid w:val="009D783F"/>
    <w:rsid w:val="009D7F40"/>
    <w:rsid w:val="009E0B23"/>
    <w:rsid w:val="009E1100"/>
    <w:rsid w:val="009E1B89"/>
    <w:rsid w:val="009E1E9D"/>
    <w:rsid w:val="009E2646"/>
    <w:rsid w:val="009E2F67"/>
    <w:rsid w:val="009E3316"/>
    <w:rsid w:val="009E33C2"/>
    <w:rsid w:val="009E4052"/>
    <w:rsid w:val="009E45E6"/>
    <w:rsid w:val="009E47E5"/>
    <w:rsid w:val="009E4843"/>
    <w:rsid w:val="009E4949"/>
    <w:rsid w:val="009E51E8"/>
    <w:rsid w:val="009E559B"/>
    <w:rsid w:val="009E55DC"/>
    <w:rsid w:val="009E58E5"/>
    <w:rsid w:val="009E606E"/>
    <w:rsid w:val="009E60D3"/>
    <w:rsid w:val="009E6786"/>
    <w:rsid w:val="009E67F3"/>
    <w:rsid w:val="009E68AC"/>
    <w:rsid w:val="009E6E0E"/>
    <w:rsid w:val="009E74FD"/>
    <w:rsid w:val="009E7808"/>
    <w:rsid w:val="009F0151"/>
    <w:rsid w:val="009F02CD"/>
    <w:rsid w:val="009F0525"/>
    <w:rsid w:val="009F077C"/>
    <w:rsid w:val="009F0953"/>
    <w:rsid w:val="009F13A3"/>
    <w:rsid w:val="009F13B7"/>
    <w:rsid w:val="009F2130"/>
    <w:rsid w:val="009F2F48"/>
    <w:rsid w:val="009F31CD"/>
    <w:rsid w:val="009F337A"/>
    <w:rsid w:val="009F3967"/>
    <w:rsid w:val="009F3A91"/>
    <w:rsid w:val="009F3BD7"/>
    <w:rsid w:val="009F488C"/>
    <w:rsid w:val="009F48A1"/>
    <w:rsid w:val="009F494F"/>
    <w:rsid w:val="009F4964"/>
    <w:rsid w:val="009F4C58"/>
    <w:rsid w:val="009F4EDE"/>
    <w:rsid w:val="009F5144"/>
    <w:rsid w:val="009F5408"/>
    <w:rsid w:val="009F5756"/>
    <w:rsid w:val="009F576E"/>
    <w:rsid w:val="009F63C1"/>
    <w:rsid w:val="009F67D3"/>
    <w:rsid w:val="009F6C65"/>
    <w:rsid w:val="009F6C66"/>
    <w:rsid w:val="009F6E27"/>
    <w:rsid w:val="009F7460"/>
    <w:rsid w:val="009F78EE"/>
    <w:rsid w:val="009F7934"/>
    <w:rsid w:val="009F79A6"/>
    <w:rsid w:val="009F7A68"/>
    <w:rsid w:val="00A0008F"/>
    <w:rsid w:val="00A000CC"/>
    <w:rsid w:val="00A00342"/>
    <w:rsid w:val="00A00395"/>
    <w:rsid w:val="00A00940"/>
    <w:rsid w:val="00A010D0"/>
    <w:rsid w:val="00A013C2"/>
    <w:rsid w:val="00A01C3D"/>
    <w:rsid w:val="00A01E3A"/>
    <w:rsid w:val="00A020FC"/>
    <w:rsid w:val="00A0215B"/>
    <w:rsid w:val="00A02188"/>
    <w:rsid w:val="00A0218B"/>
    <w:rsid w:val="00A024D6"/>
    <w:rsid w:val="00A0283B"/>
    <w:rsid w:val="00A02913"/>
    <w:rsid w:val="00A02B48"/>
    <w:rsid w:val="00A03699"/>
    <w:rsid w:val="00A0387B"/>
    <w:rsid w:val="00A03887"/>
    <w:rsid w:val="00A039E0"/>
    <w:rsid w:val="00A03CCF"/>
    <w:rsid w:val="00A0404D"/>
    <w:rsid w:val="00A04050"/>
    <w:rsid w:val="00A04071"/>
    <w:rsid w:val="00A049ED"/>
    <w:rsid w:val="00A04C05"/>
    <w:rsid w:val="00A04DD4"/>
    <w:rsid w:val="00A04F47"/>
    <w:rsid w:val="00A06229"/>
    <w:rsid w:val="00A063B6"/>
    <w:rsid w:val="00A0668B"/>
    <w:rsid w:val="00A06B98"/>
    <w:rsid w:val="00A06C89"/>
    <w:rsid w:val="00A07121"/>
    <w:rsid w:val="00A0728D"/>
    <w:rsid w:val="00A104D6"/>
    <w:rsid w:val="00A106D5"/>
    <w:rsid w:val="00A10A1F"/>
    <w:rsid w:val="00A10A2B"/>
    <w:rsid w:val="00A10B35"/>
    <w:rsid w:val="00A10E27"/>
    <w:rsid w:val="00A1118F"/>
    <w:rsid w:val="00A113D1"/>
    <w:rsid w:val="00A113FF"/>
    <w:rsid w:val="00A11705"/>
    <w:rsid w:val="00A11D8E"/>
    <w:rsid w:val="00A11E5C"/>
    <w:rsid w:val="00A11ECC"/>
    <w:rsid w:val="00A124ED"/>
    <w:rsid w:val="00A12886"/>
    <w:rsid w:val="00A12B50"/>
    <w:rsid w:val="00A12ED0"/>
    <w:rsid w:val="00A1335A"/>
    <w:rsid w:val="00A137B5"/>
    <w:rsid w:val="00A13A4E"/>
    <w:rsid w:val="00A1456C"/>
    <w:rsid w:val="00A14B9C"/>
    <w:rsid w:val="00A14C7C"/>
    <w:rsid w:val="00A14D11"/>
    <w:rsid w:val="00A15AFB"/>
    <w:rsid w:val="00A15C1F"/>
    <w:rsid w:val="00A15FFC"/>
    <w:rsid w:val="00A165C8"/>
    <w:rsid w:val="00A169FF"/>
    <w:rsid w:val="00A16BAA"/>
    <w:rsid w:val="00A1781B"/>
    <w:rsid w:val="00A17F57"/>
    <w:rsid w:val="00A17FD9"/>
    <w:rsid w:val="00A2010F"/>
    <w:rsid w:val="00A2071F"/>
    <w:rsid w:val="00A20DEF"/>
    <w:rsid w:val="00A21758"/>
    <w:rsid w:val="00A217B5"/>
    <w:rsid w:val="00A21B6A"/>
    <w:rsid w:val="00A22842"/>
    <w:rsid w:val="00A229F0"/>
    <w:rsid w:val="00A22EF3"/>
    <w:rsid w:val="00A22FE4"/>
    <w:rsid w:val="00A232B0"/>
    <w:rsid w:val="00A23752"/>
    <w:rsid w:val="00A2397D"/>
    <w:rsid w:val="00A23A24"/>
    <w:rsid w:val="00A23A4D"/>
    <w:rsid w:val="00A23CC9"/>
    <w:rsid w:val="00A247D4"/>
    <w:rsid w:val="00A24AFB"/>
    <w:rsid w:val="00A24CA0"/>
    <w:rsid w:val="00A25297"/>
    <w:rsid w:val="00A25625"/>
    <w:rsid w:val="00A256BC"/>
    <w:rsid w:val="00A25950"/>
    <w:rsid w:val="00A25A1E"/>
    <w:rsid w:val="00A26CB6"/>
    <w:rsid w:val="00A270F3"/>
    <w:rsid w:val="00A27678"/>
    <w:rsid w:val="00A27A12"/>
    <w:rsid w:val="00A27A5E"/>
    <w:rsid w:val="00A301AB"/>
    <w:rsid w:val="00A301DD"/>
    <w:rsid w:val="00A3054E"/>
    <w:rsid w:val="00A311DA"/>
    <w:rsid w:val="00A31583"/>
    <w:rsid w:val="00A318A1"/>
    <w:rsid w:val="00A31B3C"/>
    <w:rsid w:val="00A32101"/>
    <w:rsid w:val="00A32AA2"/>
    <w:rsid w:val="00A33386"/>
    <w:rsid w:val="00A33C32"/>
    <w:rsid w:val="00A33C4B"/>
    <w:rsid w:val="00A33CAC"/>
    <w:rsid w:val="00A34474"/>
    <w:rsid w:val="00A345D8"/>
    <w:rsid w:val="00A350CC"/>
    <w:rsid w:val="00A36220"/>
    <w:rsid w:val="00A36233"/>
    <w:rsid w:val="00A36564"/>
    <w:rsid w:val="00A366DE"/>
    <w:rsid w:val="00A367F2"/>
    <w:rsid w:val="00A36BAD"/>
    <w:rsid w:val="00A3734E"/>
    <w:rsid w:val="00A37B9F"/>
    <w:rsid w:val="00A407FF"/>
    <w:rsid w:val="00A40BAC"/>
    <w:rsid w:val="00A40CA7"/>
    <w:rsid w:val="00A4123A"/>
    <w:rsid w:val="00A413FC"/>
    <w:rsid w:val="00A424A2"/>
    <w:rsid w:val="00A429B6"/>
    <w:rsid w:val="00A42D1E"/>
    <w:rsid w:val="00A433B7"/>
    <w:rsid w:val="00A43897"/>
    <w:rsid w:val="00A43D50"/>
    <w:rsid w:val="00A441B0"/>
    <w:rsid w:val="00A443E2"/>
    <w:rsid w:val="00A44697"/>
    <w:rsid w:val="00A447B0"/>
    <w:rsid w:val="00A44DA4"/>
    <w:rsid w:val="00A44F4A"/>
    <w:rsid w:val="00A4510D"/>
    <w:rsid w:val="00A451AF"/>
    <w:rsid w:val="00A45275"/>
    <w:rsid w:val="00A45C1D"/>
    <w:rsid w:val="00A45F67"/>
    <w:rsid w:val="00A461AD"/>
    <w:rsid w:val="00A4630C"/>
    <w:rsid w:val="00A46833"/>
    <w:rsid w:val="00A46898"/>
    <w:rsid w:val="00A46B7C"/>
    <w:rsid w:val="00A474F1"/>
    <w:rsid w:val="00A477EF"/>
    <w:rsid w:val="00A4799C"/>
    <w:rsid w:val="00A50B96"/>
    <w:rsid w:val="00A513DF"/>
    <w:rsid w:val="00A518D3"/>
    <w:rsid w:val="00A51D6B"/>
    <w:rsid w:val="00A5200B"/>
    <w:rsid w:val="00A52D23"/>
    <w:rsid w:val="00A52E15"/>
    <w:rsid w:val="00A5306C"/>
    <w:rsid w:val="00A53209"/>
    <w:rsid w:val="00A53393"/>
    <w:rsid w:val="00A54769"/>
    <w:rsid w:val="00A54AA5"/>
    <w:rsid w:val="00A55090"/>
    <w:rsid w:val="00A555BD"/>
    <w:rsid w:val="00A5576F"/>
    <w:rsid w:val="00A5579F"/>
    <w:rsid w:val="00A558D3"/>
    <w:rsid w:val="00A55B9A"/>
    <w:rsid w:val="00A55C08"/>
    <w:rsid w:val="00A55F0F"/>
    <w:rsid w:val="00A56705"/>
    <w:rsid w:val="00A56A83"/>
    <w:rsid w:val="00A56C78"/>
    <w:rsid w:val="00A5707A"/>
    <w:rsid w:val="00A57651"/>
    <w:rsid w:val="00A57769"/>
    <w:rsid w:val="00A57AE9"/>
    <w:rsid w:val="00A57C67"/>
    <w:rsid w:val="00A60894"/>
    <w:rsid w:val="00A61325"/>
    <w:rsid w:val="00A6141D"/>
    <w:rsid w:val="00A61632"/>
    <w:rsid w:val="00A61B05"/>
    <w:rsid w:val="00A61EA9"/>
    <w:rsid w:val="00A6251E"/>
    <w:rsid w:val="00A6330F"/>
    <w:rsid w:val="00A63313"/>
    <w:rsid w:val="00A633D6"/>
    <w:rsid w:val="00A6367B"/>
    <w:rsid w:val="00A64344"/>
    <w:rsid w:val="00A64647"/>
    <w:rsid w:val="00A65207"/>
    <w:rsid w:val="00A65370"/>
    <w:rsid w:val="00A654AD"/>
    <w:rsid w:val="00A65731"/>
    <w:rsid w:val="00A6593D"/>
    <w:rsid w:val="00A65D41"/>
    <w:rsid w:val="00A66210"/>
    <w:rsid w:val="00A666AB"/>
    <w:rsid w:val="00A668C3"/>
    <w:rsid w:val="00A67077"/>
    <w:rsid w:val="00A673D9"/>
    <w:rsid w:val="00A67CD6"/>
    <w:rsid w:val="00A70C2C"/>
    <w:rsid w:val="00A715E0"/>
    <w:rsid w:val="00A71E45"/>
    <w:rsid w:val="00A71FA4"/>
    <w:rsid w:val="00A7203C"/>
    <w:rsid w:val="00A726AC"/>
    <w:rsid w:val="00A72AE2"/>
    <w:rsid w:val="00A73848"/>
    <w:rsid w:val="00A7453A"/>
    <w:rsid w:val="00A74631"/>
    <w:rsid w:val="00A74D07"/>
    <w:rsid w:val="00A754F1"/>
    <w:rsid w:val="00A75626"/>
    <w:rsid w:val="00A75807"/>
    <w:rsid w:val="00A765D5"/>
    <w:rsid w:val="00A765FD"/>
    <w:rsid w:val="00A772FC"/>
    <w:rsid w:val="00A7731F"/>
    <w:rsid w:val="00A77677"/>
    <w:rsid w:val="00A77A3E"/>
    <w:rsid w:val="00A77C9D"/>
    <w:rsid w:val="00A8053F"/>
    <w:rsid w:val="00A81444"/>
    <w:rsid w:val="00A81B90"/>
    <w:rsid w:val="00A8207A"/>
    <w:rsid w:val="00A82167"/>
    <w:rsid w:val="00A825D5"/>
    <w:rsid w:val="00A82E8F"/>
    <w:rsid w:val="00A83671"/>
    <w:rsid w:val="00A83812"/>
    <w:rsid w:val="00A8383C"/>
    <w:rsid w:val="00A83EFB"/>
    <w:rsid w:val="00A845A2"/>
    <w:rsid w:val="00A845C7"/>
    <w:rsid w:val="00A8464B"/>
    <w:rsid w:val="00A84ADB"/>
    <w:rsid w:val="00A84C82"/>
    <w:rsid w:val="00A84F20"/>
    <w:rsid w:val="00A85056"/>
    <w:rsid w:val="00A863AC"/>
    <w:rsid w:val="00A8679A"/>
    <w:rsid w:val="00A86C47"/>
    <w:rsid w:val="00A86EFF"/>
    <w:rsid w:val="00A90667"/>
    <w:rsid w:val="00A908AF"/>
    <w:rsid w:val="00A90BC1"/>
    <w:rsid w:val="00A914E8"/>
    <w:rsid w:val="00A91733"/>
    <w:rsid w:val="00A917F4"/>
    <w:rsid w:val="00A91923"/>
    <w:rsid w:val="00A91928"/>
    <w:rsid w:val="00A9194C"/>
    <w:rsid w:val="00A92230"/>
    <w:rsid w:val="00A922FE"/>
    <w:rsid w:val="00A9249A"/>
    <w:rsid w:val="00A924BA"/>
    <w:rsid w:val="00A9253D"/>
    <w:rsid w:val="00A92810"/>
    <w:rsid w:val="00A92D5E"/>
    <w:rsid w:val="00A92FC0"/>
    <w:rsid w:val="00A9334D"/>
    <w:rsid w:val="00A9413E"/>
    <w:rsid w:val="00A942EA"/>
    <w:rsid w:val="00A94A1C"/>
    <w:rsid w:val="00A9507F"/>
    <w:rsid w:val="00A95467"/>
    <w:rsid w:val="00A95A91"/>
    <w:rsid w:val="00A95C2D"/>
    <w:rsid w:val="00A95F82"/>
    <w:rsid w:val="00A96AAB"/>
    <w:rsid w:val="00A974D4"/>
    <w:rsid w:val="00A97D00"/>
    <w:rsid w:val="00A97D0D"/>
    <w:rsid w:val="00AA00C9"/>
    <w:rsid w:val="00AA0288"/>
    <w:rsid w:val="00AA0CB4"/>
    <w:rsid w:val="00AA1D9B"/>
    <w:rsid w:val="00AA22F9"/>
    <w:rsid w:val="00AA2BCA"/>
    <w:rsid w:val="00AA316E"/>
    <w:rsid w:val="00AA372C"/>
    <w:rsid w:val="00AA379B"/>
    <w:rsid w:val="00AA44BE"/>
    <w:rsid w:val="00AA4693"/>
    <w:rsid w:val="00AA50B2"/>
    <w:rsid w:val="00AA5564"/>
    <w:rsid w:val="00AA5701"/>
    <w:rsid w:val="00AA5BA5"/>
    <w:rsid w:val="00AA5EA7"/>
    <w:rsid w:val="00AA6096"/>
    <w:rsid w:val="00AA60A8"/>
    <w:rsid w:val="00AA67B9"/>
    <w:rsid w:val="00AA687A"/>
    <w:rsid w:val="00AA720B"/>
    <w:rsid w:val="00AA729F"/>
    <w:rsid w:val="00AA7C96"/>
    <w:rsid w:val="00AB0520"/>
    <w:rsid w:val="00AB0E64"/>
    <w:rsid w:val="00AB0EC2"/>
    <w:rsid w:val="00AB15D7"/>
    <w:rsid w:val="00AB1D2B"/>
    <w:rsid w:val="00AB1DA6"/>
    <w:rsid w:val="00AB20C4"/>
    <w:rsid w:val="00AB228A"/>
    <w:rsid w:val="00AB25D5"/>
    <w:rsid w:val="00AB2BB3"/>
    <w:rsid w:val="00AB311A"/>
    <w:rsid w:val="00AB32FC"/>
    <w:rsid w:val="00AB351B"/>
    <w:rsid w:val="00AB38A1"/>
    <w:rsid w:val="00AB3935"/>
    <w:rsid w:val="00AB4751"/>
    <w:rsid w:val="00AB49DF"/>
    <w:rsid w:val="00AB4EA4"/>
    <w:rsid w:val="00AB62C9"/>
    <w:rsid w:val="00AB64A6"/>
    <w:rsid w:val="00AB6531"/>
    <w:rsid w:val="00AB6D47"/>
    <w:rsid w:val="00AB70E3"/>
    <w:rsid w:val="00AB7649"/>
    <w:rsid w:val="00AB7A5D"/>
    <w:rsid w:val="00AB7C7D"/>
    <w:rsid w:val="00AC042A"/>
    <w:rsid w:val="00AC0C52"/>
    <w:rsid w:val="00AC1549"/>
    <w:rsid w:val="00AC156E"/>
    <w:rsid w:val="00AC1A72"/>
    <w:rsid w:val="00AC1BA2"/>
    <w:rsid w:val="00AC1D7B"/>
    <w:rsid w:val="00AC1E7C"/>
    <w:rsid w:val="00AC218A"/>
    <w:rsid w:val="00AC3571"/>
    <w:rsid w:val="00AC35C1"/>
    <w:rsid w:val="00AC36AE"/>
    <w:rsid w:val="00AC38A1"/>
    <w:rsid w:val="00AC3ACD"/>
    <w:rsid w:val="00AC3F0B"/>
    <w:rsid w:val="00AC436E"/>
    <w:rsid w:val="00AC46E6"/>
    <w:rsid w:val="00AC4FE8"/>
    <w:rsid w:val="00AC504B"/>
    <w:rsid w:val="00AC5301"/>
    <w:rsid w:val="00AC580B"/>
    <w:rsid w:val="00AC5949"/>
    <w:rsid w:val="00AC5A44"/>
    <w:rsid w:val="00AC5D38"/>
    <w:rsid w:val="00AC685F"/>
    <w:rsid w:val="00AC6B28"/>
    <w:rsid w:val="00AC6D2F"/>
    <w:rsid w:val="00AC6DE0"/>
    <w:rsid w:val="00AC77DC"/>
    <w:rsid w:val="00AC79CE"/>
    <w:rsid w:val="00AC7DB1"/>
    <w:rsid w:val="00AC7DDA"/>
    <w:rsid w:val="00AD0405"/>
    <w:rsid w:val="00AD0514"/>
    <w:rsid w:val="00AD0589"/>
    <w:rsid w:val="00AD0F19"/>
    <w:rsid w:val="00AD0F3F"/>
    <w:rsid w:val="00AD0FC3"/>
    <w:rsid w:val="00AD10C6"/>
    <w:rsid w:val="00AD148E"/>
    <w:rsid w:val="00AD17D1"/>
    <w:rsid w:val="00AD1A0E"/>
    <w:rsid w:val="00AD22BF"/>
    <w:rsid w:val="00AD2E6F"/>
    <w:rsid w:val="00AD301F"/>
    <w:rsid w:val="00AD3034"/>
    <w:rsid w:val="00AD332C"/>
    <w:rsid w:val="00AD3B0A"/>
    <w:rsid w:val="00AD3E9D"/>
    <w:rsid w:val="00AD40D2"/>
    <w:rsid w:val="00AD41DE"/>
    <w:rsid w:val="00AD4578"/>
    <w:rsid w:val="00AD4579"/>
    <w:rsid w:val="00AD4696"/>
    <w:rsid w:val="00AD47E5"/>
    <w:rsid w:val="00AD484D"/>
    <w:rsid w:val="00AD4B9A"/>
    <w:rsid w:val="00AD4BB4"/>
    <w:rsid w:val="00AD4D8B"/>
    <w:rsid w:val="00AD5199"/>
    <w:rsid w:val="00AD5499"/>
    <w:rsid w:val="00AD54D5"/>
    <w:rsid w:val="00AD56B7"/>
    <w:rsid w:val="00AD600F"/>
    <w:rsid w:val="00AD65C8"/>
    <w:rsid w:val="00AD68D3"/>
    <w:rsid w:val="00AD75AB"/>
    <w:rsid w:val="00AD7B1C"/>
    <w:rsid w:val="00AD7B8E"/>
    <w:rsid w:val="00AD7DFB"/>
    <w:rsid w:val="00AE0672"/>
    <w:rsid w:val="00AE0E85"/>
    <w:rsid w:val="00AE14E9"/>
    <w:rsid w:val="00AE15F6"/>
    <w:rsid w:val="00AE1B6F"/>
    <w:rsid w:val="00AE239E"/>
    <w:rsid w:val="00AE2489"/>
    <w:rsid w:val="00AE2508"/>
    <w:rsid w:val="00AE260C"/>
    <w:rsid w:val="00AE287F"/>
    <w:rsid w:val="00AE2F04"/>
    <w:rsid w:val="00AE36DC"/>
    <w:rsid w:val="00AE40BA"/>
    <w:rsid w:val="00AE44DF"/>
    <w:rsid w:val="00AE4907"/>
    <w:rsid w:val="00AE4984"/>
    <w:rsid w:val="00AE4A0A"/>
    <w:rsid w:val="00AE4E34"/>
    <w:rsid w:val="00AE5562"/>
    <w:rsid w:val="00AE56F4"/>
    <w:rsid w:val="00AE57CA"/>
    <w:rsid w:val="00AE5A58"/>
    <w:rsid w:val="00AE60B8"/>
    <w:rsid w:val="00AE62E9"/>
    <w:rsid w:val="00AE68EA"/>
    <w:rsid w:val="00AE6A1D"/>
    <w:rsid w:val="00AE6E05"/>
    <w:rsid w:val="00AE6F61"/>
    <w:rsid w:val="00AE7184"/>
    <w:rsid w:val="00AE71FA"/>
    <w:rsid w:val="00AE7366"/>
    <w:rsid w:val="00AE7781"/>
    <w:rsid w:val="00AF02D1"/>
    <w:rsid w:val="00AF03B8"/>
    <w:rsid w:val="00AF056F"/>
    <w:rsid w:val="00AF0BCD"/>
    <w:rsid w:val="00AF14B7"/>
    <w:rsid w:val="00AF278C"/>
    <w:rsid w:val="00AF27E7"/>
    <w:rsid w:val="00AF2D4B"/>
    <w:rsid w:val="00AF36B2"/>
    <w:rsid w:val="00AF36CF"/>
    <w:rsid w:val="00AF3951"/>
    <w:rsid w:val="00AF3F0E"/>
    <w:rsid w:val="00AF48AB"/>
    <w:rsid w:val="00AF4F4C"/>
    <w:rsid w:val="00AF51DD"/>
    <w:rsid w:val="00AF536C"/>
    <w:rsid w:val="00AF5448"/>
    <w:rsid w:val="00AF5674"/>
    <w:rsid w:val="00AF5CB4"/>
    <w:rsid w:val="00AF67AB"/>
    <w:rsid w:val="00AF6E32"/>
    <w:rsid w:val="00AF737B"/>
    <w:rsid w:val="00AF73AA"/>
    <w:rsid w:val="00AF779C"/>
    <w:rsid w:val="00AF7BEB"/>
    <w:rsid w:val="00AF7F32"/>
    <w:rsid w:val="00B008E1"/>
    <w:rsid w:val="00B00E49"/>
    <w:rsid w:val="00B010F0"/>
    <w:rsid w:val="00B013D1"/>
    <w:rsid w:val="00B0154C"/>
    <w:rsid w:val="00B015CC"/>
    <w:rsid w:val="00B02414"/>
    <w:rsid w:val="00B02B64"/>
    <w:rsid w:val="00B02D73"/>
    <w:rsid w:val="00B03218"/>
    <w:rsid w:val="00B03573"/>
    <w:rsid w:val="00B03910"/>
    <w:rsid w:val="00B03BD5"/>
    <w:rsid w:val="00B048E7"/>
    <w:rsid w:val="00B05044"/>
    <w:rsid w:val="00B059FD"/>
    <w:rsid w:val="00B05D16"/>
    <w:rsid w:val="00B06096"/>
    <w:rsid w:val="00B060AB"/>
    <w:rsid w:val="00B06C21"/>
    <w:rsid w:val="00B06D4D"/>
    <w:rsid w:val="00B0708D"/>
    <w:rsid w:val="00B0719E"/>
    <w:rsid w:val="00B07282"/>
    <w:rsid w:val="00B07484"/>
    <w:rsid w:val="00B074FE"/>
    <w:rsid w:val="00B07704"/>
    <w:rsid w:val="00B07B93"/>
    <w:rsid w:val="00B10192"/>
    <w:rsid w:val="00B10D2C"/>
    <w:rsid w:val="00B10D56"/>
    <w:rsid w:val="00B10E36"/>
    <w:rsid w:val="00B1130A"/>
    <w:rsid w:val="00B11421"/>
    <w:rsid w:val="00B12486"/>
    <w:rsid w:val="00B12626"/>
    <w:rsid w:val="00B12643"/>
    <w:rsid w:val="00B126B7"/>
    <w:rsid w:val="00B12CCC"/>
    <w:rsid w:val="00B13043"/>
    <w:rsid w:val="00B132B1"/>
    <w:rsid w:val="00B137C3"/>
    <w:rsid w:val="00B13937"/>
    <w:rsid w:val="00B13EDE"/>
    <w:rsid w:val="00B14842"/>
    <w:rsid w:val="00B14F8C"/>
    <w:rsid w:val="00B1663A"/>
    <w:rsid w:val="00B1677E"/>
    <w:rsid w:val="00B16863"/>
    <w:rsid w:val="00B169B1"/>
    <w:rsid w:val="00B16F43"/>
    <w:rsid w:val="00B17714"/>
    <w:rsid w:val="00B177B2"/>
    <w:rsid w:val="00B20BF1"/>
    <w:rsid w:val="00B21CEF"/>
    <w:rsid w:val="00B21D3B"/>
    <w:rsid w:val="00B220A5"/>
    <w:rsid w:val="00B22746"/>
    <w:rsid w:val="00B2277E"/>
    <w:rsid w:val="00B22C27"/>
    <w:rsid w:val="00B22D6C"/>
    <w:rsid w:val="00B2333C"/>
    <w:rsid w:val="00B23407"/>
    <w:rsid w:val="00B235AB"/>
    <w:rsid w:val="00B24969"/>
    <w:rsid w:val="00B24E49"/>
    <w:rsid w:val="00B24F75"/>
    <w:rsid w:val="00B25E8E"/>
    <w:rsid w:val="00B260F5"/>
    <w:rsid w:val="00B261C3"/>
    <w:rsid w:val="00B26214"/>
    <w:rsid w:val="00B2640F"/>
    <w:rsid w:val="00B270B5"/>
    <w:rsid w:val="00B273CD"/>
    <w:rsid w:val="00B27F05"/>
    <w:rsid w:val="00B30484"/>
    <w:rsid w:val="00B304AE"/>
    <w:rsid w:val="00B3059C"/>
    <w:rsid w:val="00B305D0"/>
    <w:rsid w:val="00B30ABC"/>
    <w:rsid w:val="00B30F4A"/>
    <w:rsid w:val="00B31359"/>
    <w:rsid w:val="00B316DC"/>
    <w:rsid w:val="00B31E83"/>
    <w:rsid w:val="00B320A9"/>
    <w:rsid w:val="00B32A29"/>
    <w:rsid w:val="00B32CD6"/>
    <w:rsid w:val="00B32E51"/>
    <w:rsid w:val="00B33304"/>
    <w:rsid w:val="00B338DB"/>
    <w:rsid w:val="00B33A1B"/>
    <w:rsid w:val="00B33E2B"/>
    <w:rsid w:val="00B342A7"/>
    <w:rsid w:val="00B348AF"/>
    <w:rsid w:val="00B349A4"/>
    <w:rsid w:val="00B34BAE"/>
    <w:rsid w:val="00B34D3F"/>
    <w:rsid w:val="00B34D6A"/>
    <w:rsid w:val="00B34DF4"/>
    <w:rsid w:val="00B34F58"/>
    <w:rsid w:val="00B357A1"/>
    <w:rsid w:val="00B35A01"/>
    <w:rsid w:val="00B35DF8"/>
    <w:rsid w:val="00B370BE"/>
    <w:rsid w:val="00B3722D"/>
    <w:rsid w:val="00B4017F"/>
    <w:rsid w:val="00B40A25"/>
    <w:rsid w:val="00B40D9B"/>
    <w:rsid w:val="00B40F2B"/>
    <w:rsid w:val="00B41065"/>
    <w:rsid w:val="00B413BD"/>
    <w:rsid w:val="00B414AB"/>
    <w:rsid w:val="00B41741"/>
    <w:rsid w:val="00B41A29"/>
    <w:rsid w:val="00B41CCC"/>
    <w:rsid w:val="00B422FD"/>
    <w:rsid w:val="00B424E3"/>
    <w:rsid w:val="00B43895"/>
    <w:rsid w:val="00B43909"/>
    <w:rsid w:val="00B43CEA"/>
    <w:rsid w:val="00B446F6"/>
    <w:rsid w:val="00B44929"/>
    <w:rsid w:val="00B454CB"/>
    <w:rsid w:val="00B455CE"/>
    <w:rsid w:val="00B456C4"/>
    <w:rsid w:val="00B45E2F"/>
    <w:rsid w:val="00B45F70"/>
    <w:rsid w:val="00B45FD2"/>
    <w:rsid w:val="00B46E5E"/>
    <w:rsid w:val="00B50040"/>
    <w:rsid w:val="00B5036B"/>
    <w:rsid w:val="00B50518"/>
    <w:rsid w:val="00B50FAD"/>
    <w:rsid w:val="00B511C3"/>
    <w:rsid w:val="00B513BF"/>
    <w:rsid w:val="00B51A70"/>
    <w:rsid w:val="00B51A9C"/>
    <w:rsid w:val="00B51D1F"/>
    <w:rsid w:val="00B51E0C"/>
    <w:rsid w:val="00B522A2"/>
    <w:rsid w:val="00B525BF"/>
    <w:rsid w:val="00B52816"/>
    <w:rsid w:val="00B528FF"/>
    <w:rsid w:val="00B52909"/>
    <w:rsid w:val="00B52A67"/>
    <w:rsid w:val="00B52BC6"/>
    <w:rsid w:val="00B5317F"/>
    <w:rsid w:val="00B5409B"/>
    <w:rsid w:val="00B541EC"/>
    <w:rsid w:val="00B54411"/>
    <w:rsid w:val="00B553B8"/>
    <w:rsid w:val="00B553F2"/>
    <w:rsid w:val="00B558B1"/>
    <w:rsid w:val="00B559AC"/>
    <w:rsid w:val="00B55DF0"/>
    <w:rsid w:val="00B56BB8"/>
    <w:rsid w:val="00B56E7F"/>
    <w:rsid w:val="00B56EF8"/>
    <w:rsid w:val="00B57937"/>
    <w:rsid w:val="00B579B7"/>
    <w:rsid w:val="00B60854"/>
    <w:rsid w:val="00B608A3"/>
    <w:rsid w:val="00B608F6"/>
    <w:rsid w:val="00B60BAD"/>
    <w:rsid w:val="00B60E72"/>
    <w:rsid w:val="00B60F67"/>
    <w:rsid w:val="00B610D4"/>
    <w:rsid w:val="00B611FE"/>
    <w:rsid w:val="00B61A95"/>
    <w:rsid w:val="00B6262F"/>
    <w:rsid w:val="00B6288F"/>
    <w:rsid w:val="00B62BE9"/>
    <w:rsid w:val="00B62FBC"/>
    <w:rsid w:val="00B63193"/>
    <w:rsid w:val="00B635CC"/>
    <w:rsid w:val="00B63E9F"/>
    <w:rsid w:val="00B6476E"/>
    <w:rsid w:val="00B6521D"/>
    <w:rsid w:val="00B6563F"/>
    <w:rsid w:val="00B65706"/>
    <w:rsid w:val="00B65A67"/>
    <w:rsid w:val="00B65AEB"/>
    <w:rsid w:val="00B65F46"/>
    <w:rsid w:val="00B65FB5"/>
    <w:rsid w:val="00B65FB6"/>
    <w:rsid w:val="00B66A99"/>
    <w:rsid w:val="00B67446"/>
    <w:rsid w:val="00B67821"/>
    <w:rsid w:val="00B67B11"/>
    <w:rsid w:val="00B67B3C"/>
    <w:rsid w:val="00B70092"/>
    <w:rsid w:val="00B70647"/>
    <w:rsid w:val="00B70736"/>
    <w:rsid w:val="00B70E1F"/>
    <w:rsid w:val="00B71095"/>
    <w:rsid w:val="00B71612"/>
    <w:rsid w:val="00B716F5"/>
    <w:rsid w:val="00B72055"/>
    <w:rsid w:val="00B72F10"/>
    <w:rsid w:val="00B735FD"/>
    <w:rsid w:val="00B73876"/>
    <w:rsid w:val="00B73ACA"/>
    <w:rsid w:val="00B73E3C"/>
    <w:rsid w:val="00B74592"/>
    <w:rsid w:val="00B748DF"/>
    <w:rsid w:val="00B74EAB"/>
    <w:rsid w:val="00B74F55"/>
    <w:rsid w:val="00B751A7"/>
    <w:rsid w:val="00B7597E"/>
    <w:rsid w:val="00B75CD0"/>
    <w:rsid w:val="00B7674E"/>
    <w:rsid w:val="00B767ED"/>
    <w:rsid w:val="00B7697D"/>
    <w:rsid w:val="00B76A1E"/>
    <w:rsid w:val="00B77413"/>
    <w:rsid w:val="00B77E09"/>
    <w:rsid w:val="00B80853"/>
    <w:rsid w:val="00B8097D"/>
    <w:rsid w:val="00B80EE8"/>
    <w:rsid w:val="00B81BE0"/>
    <w:rsid w:val="00B81C65"/>
    <w:rsid w:val="00B8224F"/>
    <w:rsid w:val="00B82279"/>
    <w:rsid w:val="00B824C2"/>
    <w:rsid w:val="00B8253D"/>
    <w:rsid w:val="00B82ACA"/>
    <w:rsid w:val="00B82C81"/>
    <w:rsid w:val="00B8329A"/>
    <w:rsid w:val="00B833EE"/>
    <w:rsid w:val="00B83D99"/>
    <w:rsid w:val="00B83F8E"/>
    <w:rsid w:val="00B84127"/>
    <w:rsid w:val="00B8414E"/>
    <w:rsid w:val="00B84181"/>
    <w:rsid w:val="00B842EC"/>
    <w:rsid w:val="00B845E2"/>
    <w:rsid w:val="00B84DC0"/>
    <w:rsid w:val="00B84F93"/>
    <w:rsid w:val="00B85493"/>
    <w:rsid w:val="00B85A25"/>
    <w:rsid w:val="00B85D8F"/>
    <w:rsid w:val="00B8656C"/>
    <w:rsid w:val="00B867D7"/>
    <w:rsid w:val="00B87175"/>
    <w:rsid w:val="00B8722E"/>
    <w:rsid w:val="00B87737"/>
    <w:rsid w:val="00B87799"/>
    <w:rsid w:val="00B8779A"/>
    <w:rsid w:val="00B90186"/>
    <w:rsid w:val="00B9089A"/>
    <w:rsid w:val="00B909DD"/>
    <w:rsid w:val="00B90B77"/>
    <w:rsid w:val="00B91582"/>
    <w:rsid w:val="00B91913"/>
    <w:rsid w:val="00B92879"/>
    <w:rsid w:val="00B929C8"/>
    <w:rsid w:val="00B93608"/>
    <w:rsid w:val="00B93860"/>
    <w:rsid w:val="00B93A8F"/>
    <w:rsid w:val="00B93BF3"/>
    <w:rsid w:val="00B93F61"/>
    <w:rsid w:val="00B948BA"/>
    <w:rsid w:val="00B948C3"/>
    <w:rsid w:val="00B94CD3"/>
    <w:rsid w:val="00B95133"/>
    <w:rsid w:val="00B953AF"/>
    <w:rsid w:val="00B95642"/>
    <w:rsid w:val="00B95A59"/>
    <w:rsid w:val="00B95FAE"/>
    <w:rsid w:val="00B96252"/>
    <w:rsid w:val="00B9637F"/>
    <w:rsid w:val="00B96A4B"/>
    <w:rsid w:val="00B96F7E"/>
    <w:rsid w:val="00B96FF7"/>
    <w:rsid w:val="00B971CF"/>
    <w:rsid w:val="00B97554"/>
    <w:rsid w:val="00B97880"/>
    <w:rsid w:val="00B97A59"/>
    <w:rsid w:val="00BA023B"/>
    <w:rsid w:val="00BA0E7F"/>
    <w:rsid w:val="00BA1020"/>
    <w:rsid w:val="00BA13B6"/>
    <w:rsid w:val="00BA14B1"/>
    <w:rsid w:val="00BA14B3"/>
    <w:rsid w:val="00BA1667"/>
    <w:rsid w:val="00BA16C8"/>
    <w:rsid w:val="00BA203F"/>
    <w:rsid w:val="00BA205D"/>
    <w:rsid w:val="00BA2202"/>
    <w:rsid w:val="00BA31F5"/>
    <w:rsid w:val="00BA3830"/>
    <w:rsid w:val="00BA3C0F"/>
    <w:rsid w:val="00BA4253"/>
    <w:rsid w:val="00BA47C4"/>
    <w:rsid w:val="00BA4CE5"/>
    <w:rsid w:val="00BA4FBC"/>
    <w:rsid w:val="00BA52C8"/>
    <w:rsid w:val="00BA5863"/>
    <w:rsid w:val="00BA5E88"/>
    <w:rsid w:val="00BA614E"/>
    <w:rsid w:val="00BA6D53"/>
    <w:rsid w:val="00BA6E39"/>
    <w:rsid w:val="00BA7048"/>
    <w:rsid w:val="00BA7D19"/>
    <w:rsid w:val="00BA7F1A"/>
    <w:rsid w:val="00BA7F8A"/>
    <w:rsid w:val="00BB0758"/>
    <w:rsid w:val="00BB0A74"/>
    <w:rsid w:val="00BB0BE9"/>
    <w:rsid w:val="00BB0C55"/>
    <w:rsid w:val="00BB0F18"/>
    <w:rsid w:val="00BB1229"/>
    <w:rsid w:val="00BB153B"/>
    <w:rsid w:val="00BB1612"/>
    <w:rsid w:val="00BB19CA"/>
    <w:rsid w:val="00BB1EEE"/>
    <w:rsid w:val="00BB1F4F"/>
    <w:rsid w:val="00BB24AD"/>
    <w:rsid w:val="00BB2744"/>
    <w:rsid w:val="00BB28CB"/>
    <w:rsid w:val="00BB3346"/>
    <w:rsid w:val="00BB372F"/>
    <w:rsid w:val="00BB3734"/>
    <w:rsid w:val="00BB396D"/>
    <w:rsid w:val="00BB3A28"/>
    <w:rsid w:val="00BB412C"/>
    <w:rsid w:val="00BB4B00"/>
    <w:rsid w:val="00BB4D9B"/>
    <w:rsid w:val="00BB507D"/>
    <w:rsid w:val="00BB524E"/>
    <w:rsid w:val="00BB5468"/>
    <w:rsid w:val="00BB5789"/>
    <w:rsid w:val="00BB5B74"/>
    <w:rsid w:val="00BB5CAF"/>
    <w:rsid w:val="00BB6338"/>
    <w:rsid w:val="00BB69AC"/>
    <w:rsid w:val="00BB6E42"/>
    <w:rsid w:val="00BB72D0"/>
    <w:rsid w:val="00BB72EA"/>
    <w:rsid w:val="00BB75A6"/>
    <w:rsid w:val="00BB7B42"/>
    <w:rsid w:val="00BC0807"/>
    <w:rsid w:val="00BC09F5"/>
    <w:rsid w:val="00BC0BCB"/>
    <w:rsid w:val="00BC1639"/>
    <w:rsid w:val="00BC1D5D"/>
    <w:rsid w:val="00BC2300"/>
    <w:rsid w:val="00BC25DF"/>
    <w:rsid w:val="00BC2644"/>
    <w:rsid w:val="00BC2E87"/>
    <w:rsid w:val="00BC31FA"/>
    <w:rsid w:val="00BC3325"/>
    <w:rsid w:val="00BC3368"/>
    <w:rsid w:val="00BC37F3"/>
    <w:rsid w:val="00BC3AD8"/>
    <w:rsid w:val="00BC3BAE"/>
    <w:rsid w:val="00BC3DDF"/>
    <w:rsid w:val="00BC4AE9"/>
    <w:rsid w:val="00BC4DC9"/>
    <w:rsid w:val="00BC4E72"/>
    <w:rsid w:val="00BC5064"/>
    <w:rsid w:val="00BC564C"/>
    <w:rsid w:val="00BC5805"/>
    <w:rsid w:val="00BC58DC"/>
    <w:rsid w:val="00BC5B39"/>
    <w:rsid w:val="00BC67A5"/>
    <w:rsid w:val="00BC6A96"/>
    <w:rsid w:val="00BC6F0A"/>
    <w:rsid w:val="00BC75B8"/>
    <w:rsid w:val="00BC7A95"/>
    <w:rsid w:val="00BD0696"/>
    <w:rsid w:val="00BD1613"/>
    <w:rsid w:val="00BD209B"/>
    <w:rsid w:val="00BD2D07"/>
    <w:rsid w:val="00BD4034"/>
    <w:rsid w:val="00BD4832"/>
    <w:rsid w:val="00BD5183"/>
    <w:rsid w:val="00BD527C"/>
    <w:rsid w:val="00BD5388"/>
    <w:rsid w:val="00BD55B1"/>
    <w:rsid w:val="00BD5866"/>
    <w:rsid w:val="00BD6514"/>
    <w:rsid w:val="00BD66E1"/>
    <w:rsid w:val="00BD6765"/>
    <w:rsid w:val="00BD6A5A"/>
    <w:rsid w:val="00BD6C4C"/>
    <w:rsid w:val="00BD7088"/>
    <w:rsid w:val="00BD7744"/>
    <w:rsid w:val="00BD7D66"/>
    <w:rsid w:val="00BD7D79"/>
    <w:rsid w:val="00BE07B1"/>
    <w:rsid w:val="00BE1174"/>
    <w:rsid w:val="00BE1917"/>
    <w:rsid w:val="00BE2437"/>
    <w:rsid w:val="00BE2FE6"/>
    <w:rsid w:val="00BE32A3"/>
    <w:rsid w:val="00BE40D6"/>
    <w:rsid w:val="00BE41AD"/>
    <w:rsid w:val="00BE4514"/>
    <w:rsid w:val="00BE4BC9"/>
    <w:rsid w:val="00BE53F4"/>
    <w:rsid w:val="00BE5648"/>
    <w:rsid w:val="00BE5955"/>
    <w:rsid w:val="00BE699C"/>
    <w:rsid w:val="00BE6C2A"/>
    <w:rsid w:val="00BE72E8"/>
    <w:rsid w:val="00BE7DFC"/>
    <w:rsid w:val="00BE7F1B"/>
    <w:rsid w:val="00BF1589"/>
    <w:rsid w:val="00BF1A36"/>
    <w:rsid w:val="00BF2CB7"/>
    <w:rsid w:val="00BF2FA0"/>
    <w:rsid w:val="00BF30AA"/>
    <w:rsid w:val="00BF32A0"/>
    <w:rsid w:val="00BF33B5"/>
    <w:rsid w:val="00BF34F2"/>
    <w:rsid w:val="00BF3762"/>
    <w:rsid w:val="00BF3D6E"/>
    <w:rsid w:val="00BF4C53"/>
    <w:rsid w:val="00BF5062"/>
    <w:rsid w:val="00BF5463"/>
    <w:rsid w:val="00BF5BBE"/>
    <w:rsid w:val="00BF5C8B"/>
    <w:rsid w:val="00BF6EB0"/>
    <w:rsid w:val="00BF7003"/>
    <w:rsid w:val="00BF718C"/>
    <w:rsid w:val="00BF7B3A"/>
    <w:rsid w:val="00BF7C3A"/>
    <w:rsid w:val="00C00CBC"/>
    <w:rsid w:val="00C01FA6"/>
    <w:rsid w:val="00C02B15"/>
    <w:rsid w:val="00C02CB9"/>
    <w:rsid w:val="00C02E27"/>
    <w:rsid w:val="00C03357"/>
    <w:rsid w:val="00C03504"/>
    <w:rsid w:val="00C03942"/>
    <w:rsid w:val="00C03979"/>
    <w:rsid w:val="00C04376"/>
    <w:rsid w:val="00C04527"/>
    <w:rsid w:val="00C04DEB"/>
    <w:rsid w:val="00C04F0E"/>
    <w:rsid w:val="00C050F7"/>
    <w:rsid w:val="00C054AF"/>
    <w:rsid w:val="00C055D4"/>
    <w:rsid w:val="00C05F85"/>
    <w:rsid w:val="00C06213"/>
    <w:rsid w:val="00C0648E"/>
    <w:rsid w:val="00C06DBE"/>
    <w:rsid w:val="00C07400"/>
    <w:rsid w:val="00C079D4"/>
    <w:rsid w:val="00C10244"/>
    <w:rsid w:val="00C1044F"/>
    <w:rsid w:val="00C1109D"/>
    <w:rsid w:val="00C114BE"/>
    <w:rsid w:val="00C11608"/>
    <w:rsid w:val="00C11951"/>
    <w:rsid w:val="00C11B6C"/>
    <w:rsid w:val="00C11E9B"/>
    <w:rsid w:val="00C11F7B"/>
    <w:rsid w:val="00C12102"/>
    <w:rsid w:val="00C12391"/>
    <w:rsid w:val="00C12421"/>
    <w:rsid w:val="00C12D74"/>
    <w:rsid w:val="00C13357"/>
    <w:rsid w:val="00C13745"/>
    <w:rsid w:val="00C13751"/>
    <w:rsid w:val="00C13755"/>
    <w:rsid w:val="00C14F73"/>
    <w:rsid w:val="00C14F88"/>
    <w:rsid w:val="00C159AE"/>
    <w:rsid w:val="00C162B9"/>
    <w:rsid w:val="00C164EE"/>
    <w:rsid w:val="00C16A33"/>
    <w:rsid w:val="00C16A41"/>
    <w:rsid w:val="00C16F52"/>
    <w:rsid w:val="00C17CA9"/>
    <w:rsid w:val="00C20660"/>
    <w:rsid w:val="00C206D2"/>
    <w:rsid w:val="00C20DBE"/>
    <w:rsid w:val="00C213FF"/>
    <w:rsid w:val="00C21431"/>
    <w:rsid w:val="00C21707"/>
    <w:rsid w:val="00C2176D"/>
    <w:rsid w:val="00C221C1"/>
    <w:rsid w:val="00C22317"/>
    <w:rsid w:val="00C22ADD"/>
    <w:rsid w:val="00C22C34"/>
    <w:rsid w:val="00C22D48"/>
    <w:rsid w:val="00C22FB2"/>
    <w:rsid w:val="00C231A2"/>
    <w:rsid w:val="00C23218"/>
    <w:rsid w:val="00C2364C"/>
    <w:rsid w:val="00C2396C"/>
    <w:rsid w:val="00C239FF"/>
    <w:rsid w:val="00C23A0C"/>
    <w:rsid w:val="00C23B10"/>
    <w:rsid w:val="00C23DB7"/>
    <w:rsid w:val="00C244D1"/>
    <w:rsid w:val="00C253C0"/>
    <w:rsid w:val="00C2602A"/>
    <w:rsid w:val="00C268C3"/>
    <w:rsid w:val="00C26C79"/>
    <w:rsid w:val="00C26E68"/>
    <w:rsid w:val="00C26E82"/>
    <w:rsid w:val="00C27102"/>
    <w:rsid w:val="00C273C2"/>
    <w:rsid w:val="00C27515"/>
    <w:rsid w:val="00C279DC"/>
    <w:rsid w:val="00C27FE1"/>
    <w:rsid w:val="00C30026"/>
    <w:rsid w:val="00C30380"/>
    <w:rsid w:val="00C304A0"/>
    <w:rsid w:val="00C304B3"/>
    <w:rsid w:val="00C305DB"/>
    <w:rsid w:val="00C30C86"/>
    <w:rsid w:val="00C3194B"/>
    <w:rsid w:val="00C31A8C"/>
    <w:rsid w:val="00C31CB0"/>
    <w:rsid w:val="00C32262"/>
    <w:rsid w:val="00C3242A"/>
    <w:rsid w:val="00C324A7"/>
    <w:rsid w:val="00C3267B"/>
    <w:rsid w:val="00C33757"/>
    <w:rsid w:val="00C33EDD"/>
    <w:rsid w:val="00C3450D"/>
    <w:rsid w:val="00C34586"/>
    <w:rsid w:val="00C3471A"/>
    <w:rsid w:val="00C3539C"/>
    <w:rsid w:val="00C35A9A"/>
    <w:rsid w:val="00C36291"/>
    <w:rsid w:val="00C40D35"/>
    <w:rsid w:val="00C40E31"/>
    <w:rsid w:val="00C41069"/>
    <w:rsid w:val="00C4197F"/>
    <w:rsid w:val="00C41C16"/>
    <w:rsid w:val="00C420F9"/>
    <w:rsid w:val="00C424C7"/>
    <w:rsid w:val="00C428FD"/>
    <w:rsid w:val="00C42A85"/>
    <w:rsid w:val="00C42DD2"/>
    <w:rsid w:val="00C42E8C"/>
    <w:rsid w:val="00C4474B"/>
    <w:rsid w:val="00C44A39"/>
    <w:rsid w:val="00C44B3D"/>
    <w:rsid w:val="00C44F5E"/>
    <w:rsid w:val="00C45094"/>
    <w:rsid w:val="00C45631"/>
    <w:rsid w:val="00C462BE"/>
    <w:rsid w:val="00C4630E"/>
    <w:rsid w:val="00C4631F"/>
    <w:rsid w:val="00C467C6"/>
    <w:rsid w:val="00C46C54"/>
    <w:rsid w:val="00C47174"/>
    <w:rsid w:val="00C500B3"/>
    <w:rsid w:val="00C50798"/>
    <w:rsid w:val="00C5082B"/>
    <w:rsid w:val="00C512A4"/>
    <w:rsid w:val="00C51501"/>
    <w:rsid w:val="00C515D5"/>
    <w:rsid w:val="00C516F1"/>
    <w:rsid w:val="00C5179C"/>
    <w:rsid w:val="00C52130"/>
    <w:rsid w:val="00C525A8"/>
    <w:rsid w:val="00C52EA1"/>
    <w:rsid w:val="00C535B7"/>
    <w:rsid w:val="00C53669"/>
    <w:rsid w:val="00C54042"/>
    <w:rsid w:val="00C548A8"/>
    <w:rsid w:val="00C54E79"/>
    <w:rsid w:val="00C55CF2"/>
    <w:rsid w:val="00C55DEE"/>
    <w:rsid w:val="00C56101"/>
    <w:rsid w:val="00C569CF"/>
    <w:rsid w:val="00C56DCF"/>
    <w:rsid w:val="00C572F8"/>
    <w:rsid w:val="00C575F8"/>
    <w:rsid w:val="00C57610"/>
    <w:rsid w:val="00C57F77"/>
    <w:rsid w:val="00C6018E"/>
    <w:rsid w:val="00C60AF1"/>
    <w:rsid w:val="00C60D85"/>
    <w:rsid w:val="00C60F59"/>
    <w:rsid w:val="00C6114C"/>
    <w:rsid w:val="00C6122A"/>
    <w:rsid w:val="00C61492"/>
    <w:rsid w:val="00C619CC"/>
    <w:rsid w:val="00C61E40"/>
    <w:rsid w:val="00C621C1"/>
    <w:rsid w:val="00C62214"/>
    <w:rsid w:val="00C625C8"/>
    <w:rsid w:val="00C62980"/>
    <w:rsid w:val="00C62ACC"/>
    <w:rsid w:val="00C62B9E"/>
    <w:rsid w:val="00C62CB5"/>
    <w:rsid w:val="00C62CDE"/>
    <w:rsid w:val="00C630A7"/>
    <w:rsid w:val="00C63420"/>
    <w:rsid w:val="00C6352A"/>
    <w:rsid w:val="00C636F6"/>
    <w:rsid w:val="00C63929"/>
    <w:rsid w:val="00C639FF"/>
    <w:rsid w:val="00C64445"/>
    <w:rsid w:val="00C647E6"/>
    <w:rsid w:val="00C64D2E"/>
    <w:rsid w:val="00C64E8C"/>
    <w:rsid w:val="00C65B60"/>
    <w:rsid w:val="00C65DE9"/>
    <w:rsid w:val="00C65FC0"/>
    <w:rsid w:val="00C662A1"/>
    <w:rsid w:val="00C66458"/>
    <w:rsid w:val="00C66707"/>
    <w:rsid w:val="00C6769A"/>
    <w:rsid w:val="00C6777B"/>
    <w:rsid w:val="00C7006F"/>
    <w:rsid w:val="00C70175"/>
    <w:rsid w:val="00C70E3A"/>
    <w:rsid w:val="00C70E99"/>
    <w:rsid w:val="00C70FD7"/>
    <w:rsid w:val="00C715C5"/>
    <w:rsid w:val="00C727F9"/>
    <w:rsid w:val="00C73AB0"/>
    <w:rsid w:val="00C73ECC"/>
    <w:rsid w:val="00C74296"/>
    <w:rsid w:val="00C74678"/>
    <w:rsid w:val="00C746A8"/>
    <w:rsid w:val="00C74704"/>
    <w:rsid w:val="00C74706"/>
    <w:rsid w:val="00C75275"/>
    <w:rsid w:val="00C7666A"/>
    <w:rsid w:val="00C767F7"/>
    <w:rsid w:val="00C76878"/>
    <w:rsid w:val="00C76EE3"/>
    <w:rsid w:val="00C7787F"/>
    <w:rsid w:val="00C77FB5"/>
    <w:rsid w:val="00C80506"/>
    <w:rsid w:val="00C807A3"/>
    <w:rsid w:val="00C80D5E"/>
    <w:rsid w:val="00C813CD"/>
    <w:rsid w:val="00C821FF"/>
    <w:rsid w:val="00C82985"/>
    <w:rsid w:val="00C829F3"/>
    <w:rsid w:val="00C82D3B"/>
    <w:rsid w:val="00C835A4"/>
    <w:rsid w:val="00C836C8"/>
    <w:rsid w:val="00C83C9D"/>
    <w:rsid w:val="00C83FE3"/>
    <w:rsid w:val="00C851D6"/>
    <w:rsid w:val="00C8522A"/>
    <w:rsid w:val="00C8584A"/>
    <w:rsid w:val="00C858D7"/>
    <w:rsid w:val="00C85E94"/>
    <w:rsid w:val="00C85F7C"/>
    <w:rsid w:val="00C86128"/>
    <w:rsid w:val="00C86A5F"/>
    <w:rsid w:val="00C86CCB"/>
    <w:rsid w:val="00C87234"/>
    <w:rsid w:val="00C87D50"/>
    <w:rsid w:val="00C87D7D"/>
    <w:rsid w:val="00C87E97"/>
    <w:rsid w:val="00C9010F"/>
    <w:rsid w:val="00C905CE"/>
    <w:rsid w:val="00C90712"/>
    <w:rsid w:val="00C9095B"/>
    <w:rsid w:val="00C90F82"/>
    <w:rsid w:val="00C91C8C"/>
    <w:rsid w:val="00C9288E"/>
    <w:rsid w:val="00C93AB3"/>
    <w:rsid w:val="00C93D36"/>
    <w:rsid w:val="00C94028"/>
    <w:rsid w:val="00C94464"/>
    <w:rsid w:val="00C94517"/>
    <w:rsid w:val="00C9457C"/>
    <w:rsid w:val="00C94885"/>
    <w:rsid w:val="00C949F4"/>
    <w:rsid w:val="00C9560F"/>
    <w:rsid w:val="00C95802"/>
    <w:rsid w:val="00C965FD"/>
    <w:rsid w:val="00C969D6"/>
    <w:rsid w:val="00C97887"/>
    <w:rsid w:val="00C97D50"/>
    <w:rsid w:val="00C97DB4"/>
    <w:rsid w:val="00C97F49"/>
    <w:rsid w:val="00CA0426"/>
    <w:rsid w:val="00CA0603"/>
    <w:rsid w:val="00CA0838"/>
    <w:rsid w:val="00CA0DBE"/>
    <w:rsid w:val="00CA1625"/>
    <w:rsid w:val="00CA1A5C"/>
    <w:rsid w:val="00CA1C22"/>
    <w:rsid w:val="00CA2DD3"/>
    <w:rsid w:val="00CA33BC"/>
    <w:rsid w:val="00CA3C22"/>
    <w:rsid w:val="00CA4458"/>
    <w:rsid w:val="00CA44C3"/>
    <w:rsid w:val="00CA473D"/>
    <w:rsid w:val="00CA4EBA"/>
    <w:rsid w:val="00CA5376"/>
    <w:rsid w:val="00CA55FB"/>
    <w:rsid w:val="00CA646B"/>
    <w:rsid w:val="00CA6655"/>
    <w:rsid w:val="00CA6AE9"/>
    <w:rsid w:val="00CA76F6"/>
    <w:rsid w:val="00CA77D6"/>
    <w:rsid w:val="00CA793F"/>
    <w:rsid w:val="00CB12C4"/>
    <w:rsid w:val="00CB1E57"/>
    <w:rsid w:val="00CB24D1"/>
    <w:rsid w:val="00CB3629"/>
    <w:rsid w:val="00CB3B82"/>
    <w:rsid w:val="00CB3C8D"/>
    <w:rsid w:val="00CB48AE"/>
    <w:rsid w:val="00CB4DA2"/>
    <w:rsid w:val="00CB4F03"/>
    <w:rsid w:val="00CB5726"/>
    <w:rsid w:val="00CB58D5"/>
    <w:rsid w:val="00CB5937"/>
    <w:rsid w:val="00CB5BCD"/>
    <w:rsid w:val="00CB62A7"/>
    <w:rsid w:val="00CB62DA"/>
    <w:rsid w:val="00CB644A"/>
    <w:rsid w:val="00CB6DDF"/>
    <w:rsid w:val="00CB6FFD"/>
    <w:rsid w:val="00CB703D"/>
    <w:rsid w:val="00CB71B3"/>
    <w:rsid w:val="00CB7FC8"/>
    <w:rsid w:val="00CB7FE4"/>
    <w:rsid w:val="00CC03AE"/>
    <w:rsid w:val="00CC0B4D"/>
    <w:rsid w:val="00CC18B9"/>
    <w:rsid w:val="00CC2030"/>
    <w:rsid w:val="00CC2697"/>
    <w:rsid w:val="00CC2FA0"/>
    <w:rsid w:val="00CC32E9"/>
    <w:rsid w:val="00CC34A0"/>
    <w:rsid w:val="00CC3A44"/>
    <w:rsid w:val="00CC44A1"/>
    <w:rsid w:val="00CC5A95"/>
    <w:rsid w:val="00CC5B6C"/>
    <w:rsid w:val="00CC5CE7"/>
    <w:rsid w:val="00CC5FFC"/>
    <w:rsid w:val="00CC6C83"/>
    <w:rsid w:val="00CC77C9"/>
    <w:rsid w:val="00CC7EF3"/>
    <w:rsid w:val="00CD0008"/>
    <w:rsid w:val="00CD030C"/>
    <w:rsid w:val="00CD03AB"/>
    <w:rsid w:val="00CD0564"/>
    <w:rsid w:val="00CD0902"/>
    <w:rsid w:val="00CD09A1"/>
    <w:rsid w:val="00CD0AE6"/>
    <w:rsid w:val="00CD0B91"/>
    <w:rsid w:val="00CD0DE3"/>
    <w:rsid w:val="00CD1078"/>
    <w:rsid w:val="00CD131B"/>
    <w:rsid w:val="00CD13EA"/>
    <w:rsid w:val="00CD1518"/>
    <w:rsid w:val="00CD156E"/>
    <w:rsid w:val="00CD1B70"/>
    <w:rsid w:val="00CD1B86"/>
    <w:rsid w:val="00CD2777"/>
    <w:rsid w:val="00CD279F"/>
    <w:rsid w:val="00CD28DC"/>
    <w:rsid w:val="00CD2AB2"/>
    <w:rsid w:val="00CD2B79"/>
    <w:rsid w:val="00CD2FBE"/>
    <w:rsid w:val="00CD36F1"/>
    <w:rsid w:val="00CD3730"/>
    <w:rsid w:val="00CD3999"/>
    <w:rsid w:val="00CD41CD"/>
    <w:rsid w:val="00CD448B"/>
    <w:rsid w:val="00CD4676"/>
    <w:rsid w:val="00CD4813"/>
    <w:rsid w:val="00CD4CAE"/>
    <w:rsid w:val="00CD4E6E"/>
    <w:rsid w:val="00CD5537"/>
    <w:rsid w:val="00CD5564"/>
    <w:rsid w:val="00CD57E9"/>
    <w:rsid w:val="00CD6198"/>
    <w:rsid w:val="00CD6297"/>
    <w:rsid w:val="00CD6948"/>
    <w:rsid w:val="00CD6ACE"/>
    <w:rsid w:val="00CD6E89"/>
    <w:rsid w:val="00CD6F45"/>
    <w:rsid w:val="00CD709B"/>
    <w:rsid w:val="00CD758D"/>
    <w:rsid w:val="00CD7C0E"/>
    <w:rsid w:val="00CD7CEF"/>
    <w:rsid w:val="00CD7F79"/>
    <w:rsid w:val="00CE0008"/>
    <w:rsid w:val="00CE032E"/>
    <w:rsid w:val="00CE05D0"/>
    <w:rsid w:val="00CE0627"/>
    <w:rsid w:val="00CE0981"/>
    <w:rsid w:val="00CE0AA2"/>
    <w:rsid w:val="00CE146B"/>
    <w:rsid w:val="00CE1936"/>
    <w:rsid w:val="00CE1B95"/>
    <w:rsid w:val="00CE2229"/>
    <w:rsid w:val="00CE2262"/>
    <w:rsid w:val="00CE2C7C"/>
    <w:rsid w:val="00CE2E05"/>
    <w:rsid w:val="00CE3075"/>
    <w:rsid w:val="00CE329B"/>
    <w:rsid w:val="00CE33DE"/>
    <w:rsid w:val="00CE3725"/>
    <w:rsid w:val="00CE3C26"/>
    <w:rsid w:val="00CE3CA5"/>
    <w:rsid w:val="00CE3D30"/>
    <w:rsid w:val="00CE4359"/>
    <w:rsid w:val="00CE4796"/>
    <w:rsid w:val="00CE4E87"/>
    <w:rsid w:val="00CE4FE3"/>
    <w:rsid w:val="00CE529C"/>
    <w:rsid w:val="00CE568B"/>
    <w:rsid w:val="00CE58F5"/>
    <w:rsid w:val="00CE5910"/>
    <w:rsid w:val="00CE5991"/>
    <w:rsid w:val="00CE5F37"/>
    <w:rsid w:val="00CE6A6A"/>
    <w:rsid w:val="00CE6AD6"/>
    <w:rsid w:val="00CE6F22"/>
    <w:rsid w:val="00CE7A05"/>
    <w:rsid w:val="00CF002A"/>
    <w:rsid w:val="00CF047D"/>
    <w:rsid w:val="00CF0623"/>
    <w:rsid w:val="00CF06E1"/>
    <w:rsid w:val="00CF088D"/>
    <w:rsid w:val="00CF1287"/>
    <w:rsid w:val="00CF14AA"/>
    <w:rsid w:val="00CF1AEE"/>
    <w:rsid w:val="00CF26FC"/>
    <w:rsid w:val="00CF2C4D"/>
    <w:rsid w:val="00CF2FA8"/>
    <w:rsid w:val="00CF31AA"/>
    <w:rsid w:val="00CF37F9"/>
    <w:rsid w:val="00CF3B31"/>
    <w:rsid w:val="00CF472E"/>
    <w:rsid w:val="00CF478C"/>
    <w:rsid w:val="00CF5164"/>
    <w:rsid w:val="00CF5497"/>
    <w:rsid w:val="00CF597A"/>
    <w:rsid w:val="00CF60F2"/>
    <w:rsid w:val="00CF68C6"/>
    <w:rsid w:val="00CF6F2E"/>
    <w:rsid w:val="00CF744B"/>
    <w:rsid w:val="00CF797C"/>
    <w:rsid w:val="00CF7C0C"/>
    <w:rsid w:val="00CF7D93"/>
    <w:rsid w:val="00CF7EE8"/>
    <w:rsid w:val="00D00167"/>
    <w:rsid w:val="00D00CED"/>
    <w:rsid w:val="00D01040"/>
    <w:rsid w:val="00D011B7"/>
    <w:rsid w:val="00D01B61"/>
    <w:rsid w:val="00D01F17"/>
    <w:rsid w:val="00D01F8C"/>
    <w:rsid w:val="00D0202D"/>
    <w:rsid w:val="00D02A0D"/>
    <w:rsid w:val="00D02AFD"/>
    <w:rsid w:val="00D032A3"/>
    <w:rsid w:val="00D03393"/>
    <w:rsid w:val="00D033A6"/>
    <w:rsid w:val="00D035CE"/>
    <w:rsid w:val="00D037BB"/>
    <w:rsid w:val="00D03C9C"/>
    <w:rsid w:val="00D041A5"/>
    <w:rsid w:val="00D04231"/>
    <w:rsid w:val="00D042F7"/>
    <w:rsid w:val="00D044EF"/>
    <w:rsid w:val="00D048CE"/>
    <w:rsid w:val="00D04A52"/>
    <w:rsid w:val="00D04D29"/>
    <w:rsid w:val="00D051E3"/>
    <w:rsid w:val="00D05E06"/>
    <w:rsid w:val="00D06DA1"/>
    <w:rsid w:val="00D070DA"/>
    <w:rsid w:val="00D07B15"/>
    <w:rsid w:val="00D10470"/>
    <w:rsid w:val="00D10960"/>
    <w:rsid w:val="00D10E9F"/>
    <w:rsid w:val="00D11478"/>
    <w:rsid w:val="00D11496"/>
    <w:rsid w:val="00D117C8"/>
    <w:rsid w:val="00D120F2"/>
    <w:rsid w:val="00D125E1"/>
    <w:rsid w:val="00D12735"/>
    <w:rsid w:val="00D128AE"/>
    <w:rsid w:val="00D1294D"/>
    <w:rsid w:val="00D12DA8"/>
    <w:rsid w:val="00D12DD5"/>
    <w:rsid w:val="00D12F8F"/>
    <w:rsid w:val="00D134A0"/>
    <w:rsid w:val="00D13A03"/>
    <w:rsid w:val="00D13FC4"/>
    <w:rsid w:val="00D14185"/>
    <w:rsid w:val="00D15679"/>
    <w:rsid w:val="00D15822"/>
    <w:rsid w:val="00D15E11"/>
    <w:rsid w:val="00D161C2"/>
    <w:rsid w:val="00D161F2"/>
    <w:rsid w:val="00D1663D"/>
    <w:rsid w:val="00D1693D"/>
    <w:rsid w:val="00D16B04"/>
    <w:rsid w:val="00D17634"/>
    <w:rsid w:val="00D21131"/>
    <w:rsid w:val="00D216AB"/>
    <w:rsid w:val="00D21D5E"/>
    <w:rsid w:val="00D22895"/>
    <w:rsid w:val="00D22C3A"/>
    <w:rsid w:val="00D22D42"/>
    <w:rsid w:val="00D22EE7"/>
    <w:rsid w:val="00D22F70"/>
    <w:rsid w:val="00D22FA0"/>
    <w:rsid w:val="00D240CC"/>
    <w:rsid w:val="00D24649"/>
    <w:rsid w:val="00D25069"/>
    <w:rsid w:val="00D2506A"/>
    <w:rsid w:val="00D2591D"/>
    <w:rsid w:val="00D26349"/>
    <w:rsid w:val="00D26583"/>
    <w:rsid w:val="00D26611"/>
    <w:rsid w:val="00D2713B"/>
    <w:rsid w:val="00D27918"/>
    <w:rsid w:val="00D27B38"/>
    <w:rsid w:val="00D27D54"/>
    <w:rsid w:val="00D30127"/>
    <w:rsid w:val="00D30616"/>
    <w:rsid w:val="00D31029"/>
    <w:rsid w:val="00D31056"/>
    <w:rsid w:val="00D322BB"/>
    <w:rsid w:val="00D322CF"/>
    <w:rsid w:val="00D33033"/>
    <w:rsid w:val="00D334FE"/>
    <w:rsid w:val="00D3361B"/>
    <w:rsid w:val="00D33776"/>
    <w:rsid w:val="00D33B8C"/>
    <w:rsid w:val="00D34187"/>
    <w:rsid w:val="00D3441F"/>
    <w:rsid w:val="00D34848"/>
    <w:rsid w:val="00D34B74"/>
    <w:rsid w:val="00D3565E"/>
    <w:rsid w:val="00D35777"/>
    <w:rsid w:val="00D35996"/>
    <w:rsid w:val="00D3613E"/>
    <w:rsid w:val="00D3644D"/>
    <w:rsid w:val="00D364E3"/>
    <w:rsid w:val="00D3711E"/>
    <w:rsid w:val="00D374DF"/>
    <w:rsid w:val="00D37B0D"/>
    <w:rsid w:val="00D37CD3"/>
    <w:rsid w:val="00D400C4"/>
    <w:rsid w:val="00D401D9"/>
    <w:rsid w:val="00D402C6"/>
    <w:rsid w:val="00D40339"/>
    <w:rsid w:val="00D40763"/>
    <w:rsid w:val="00D409DA"/>
    <w:rsid w:val="00D40DB6"/>
    <w:rsid w:val="00D40EE3"/>
    <w:rsid w:val="00D41084"/>
    <w:rsid w:val="00D428A3"/>
    <w:rsid w:val="00D434C9"/>
    <w:rsid w:val="00D435C2"/>
    <w:rsid w:val="00D43860"/>
    <w:rsid w:val="00D43B13"/>
    <w:rsid w:val="00D441FA"/>
    <w:rsid w:val="00D44E9B"/>
    <w:rsid w:val="00D45053"/>
    <w:rsid w:val="00D45538"/>
    <w:rsid w:val="00D45577"/>
    <w:rsid w:val="00D4656C"/>
    <w:rsid w:val="00D46587"/>
    <w:rsid w:val="00D465AA"/>
    <w:rsid w:val="00D46856"/>
    <w:rsid w:val="00D46AEA"/>
    <w:rsid w:val="00D46CF5"/>
    <w:rsid w:val="00D46E29"/>
    <w:rsid w:val="00D46ED9"/>
    <w:rsid w:val="00D474FF"/>
    <w:rsid w:val="00D47587"/>
    <w:rsid w:val="00D476B7"/>
    <w:rsid w:val="00D5018D"/>
    <w:rsid w:val="00D505D6"/>
    <w:rsid w:val="00D505DF"/>
    <w:rsid w:val="00D505EA"/>
    <w:rsid w:val="00D50913"/>
    <w:rsid w:val="00D50F0C"/>
    <w:rsid w:val="00D513DC"/>
    <w:rsid w:val="00D514A3"/>
    <w:rsid w:val="00D518E6"/>
    <w:rsid w:val="00D51BCB"/>
    <w:rsid w:val="00D52316"/>
    <w:rsid w:val="00D52639"/>
    <w:rsid w:val="00D52D16"/>
    <w:rsid w:val="00D52DA4"/>
    <w:rsid w:val="00D52FF0"/>
    <w:rsid w:val="00D53A3F"/>
    <w:rsid w:val="00D53C63"/>
    <w:rsid w:val="00D53F83"/>
    <w:rsid w:val="00D547D3"/>
    <w:rsid w:val="00D549F7"/>
    <w:rsid w:val="00D54C6C"/>
    <w:rsid w:val="00D5526C"/>
    <w:rsid w:val="00D5529A"/>
    <w:rsid w:val="00D55363"/>
    <w:rsid w:val="00D55C27"/>
    <w:rsid w:val="00D55DC5"/>
    <w:rsid w:val="00D56273"/>
    <w:rsid w:val="00D562BA"/>
    <w:rsid w:val="00D56AD5"/>
    <w:rsid w:val="00D5732A"/>
    <w:rsid w:val="00D57840"/>
    <w:rsid w:val="00D57A01"/>
    <w:rsid w:val="00D6146D"/>
    <w:rsid w:val="00D61833"/>
    <w:rsid w:val="00D61856"/>
    <w:rsid w:val="00D619F6"/>
    <w:rsid w:val="00D62084"/>
    <w:rsid w:val="00D620D5"/>
    <w:rsid w:val="00D62127"/>
    <w:rsid w:val="00D6220D"/>
    <w:rsid w:val="00D62260"/>
    <w:rsid w:val="00D62798"/>
    <w:rsid w:val="00D628D7"/>
    <w:rsid w:val="00D62A27"/>
    <w:rsid w:val="00D62B56"/>
    <w:rsid w:val="00D63124"/>
    <w:rsid w:val="00D63670"/>
    <w:rsid w:val="00D64B94"/>
    <w:rsid w:val="00D65AFA"/>
    <w:rsid w:val="00D65C7B"/>
    <w:rsid w:val="00D65CFB"/>
    <w:rsid w:val="00D66353"/>
    <w:rsid w:val="00D6656A"/>
    <w:rsid w:val="00D66CA4"/>
    <w:rsid w:val="00D67149"/>
    <w:rsid w:val="00D67920"/>
    <w:rsid w:val="00D67E0E"/>
    <w:rsid w:val="00D7032C"/>
    <w:rsid w:val="00D7036E"/>
    <w:rsid w:val="00D70C7A"/>
    <w:rsid w:val="00D70F0F"/>
    <w:rsid w:val="00D718D2"/>
    <w:rsid w:val="00D7195F"/>
    <w:rsid w:val="00D72364"/>
    <w:rsid w:val="00D723E5"/>
    <w:rsid w:val="00D73262"/>
    <w:rsid w:val="00D73EEC"/>
    <w:rsid w:val="00D74D3D"/>
    <w:rsid w:val="00D74FBC"/>
    <w:rsid w:val="00D75213"/>
    <w:rsid w:val="00D75722"/>
    <w:rsid w:val="00D7577B"/>
    <w:rsid w:val="00D75816"/>
    <w:rsid w:val="00D76EEF"/>
    <w:rsid w:val="00D775EA"/>
    <w:rsid w:val="00D776AC"/>
    <w:rsid w:val="00D80687"/>
    <w:rsid w:val="00D8068A"/>
    <w:rsid w:val="00D80E68"/>
    <w:rsid w:val="00D81335"/>
    <w:rsid w:val="00D817D4"/>
    <w:rsid w:val="00D81D43"/>
    <w:rsid w:val="00D82373"/>
    <w:rsid w:val="00D82591"/>
    <w:rsid w:val="00D83427"/>
    <w:rsid w:val="00D835D9"/>
    <w:rsid w:val="00D83734"/>
    <w:rsid w:val="00D83947"/>
    <w:rsid w:val="00D83A1F"/>
    <w:rsid w:val="00D84442"/>
    <w:rsid w:val="00D84ADF"/>
    <w:rsid w:val="00D852C3"/>
    <w:rsid w:val="00D852C4"/>
    <w:rsid w:val="00D85917"/>
    <w:rsid w:val="00D8597D"/>
    <w:rsid w:val="00D85B97"/>
    <w:rsid w:val="00D86C0D"/>
    <w:rsid w:val="00D86F02"/>
    <w:rsid w:val="00D8739F"/>
    <w:rsid w:val="00D87B0D"/>
    <w:rsid w:val="00D90443"/>
    <w:rsid w:val="00D9044B"/>
    <w:rsid w:val="00D90552"/>
    <w:rsid w:val="00D90757"/>
    <w:rsid w:val="00D90D9A"/>
    <w:rsid w:val="00D91CAB"/>
    <w:rsid w:val="00D92308"/>
    <w:rsid w:val="00D92511"/>
    <w:rsid w:val="00D92F0B"/>
    <w:rsid w:val="00D930BD"/>
    <w:rsid w:val="00D93FD2"/>
    <w:rsid w:val="00D9406F"/>
    <w:rsid w:val="00D947BC"/>
    <w:rsid w:val="00D9482C"/>
    <w:rsid w:val="00D94B7A"/>
    <w:rsid w:val="00D953D9"/>
    <w:rsid w:val="00D95D9E"/>
    <w:rsid w:val="00D960D7"/>
    <w:rsid w:val="00D96752"/>
    <w:rsid w:val="00D96895"/>
    <w:rsid w:val="00D97155"/>
    <w:rsid w:val="00D97754"/>
    <w:rsid w:val="00DA050F"/>
    <w:rsid w:val="00DA08EB"/>
    <w:rsid w:val="00DA0BF2"/>
    <w:rsid w:val="00DA1588"/>
    <w:rsid w:val="00DA187B"/>
    <w:rsid w:val="00DA1A27"/>
    <w:rsid w:val="00DA1D29"/>
    <w:rsid w:val="00DA3478"/>
    <w:rsid w:val="00DA3E1E"/>
    <w:rsid w:val="00DA42FD"/>
    <w:rsid w:val="00DA4A6F"/>
    <w:rsid w:val="00DA53F3"/>
    <w:rsid w:val="00DA5C88"/>
    <w:rsid w:val="00DA5EC3"/>
    <w:rsid w:val="00DA61C2"/>
    <w:rsid w:val="00DA7636"/>
    <w:rsid w:val="00DA767F"/>
    <w:rsid w:val="00DA7E52"/>
    <w:rsid w:val="00DA7EE5"/>
    <w:rsid w:val="00DB03BA"/>
    <w:rsid w:val="00DB077F"/>
    <w:rsid w:val="00DB116A"/>
    <w:rsid w:val="00DB25DF"/>
    <w:rsid w:val="00DB27E6"/>
    <w:rsid w:val="00DB2A0A"/>
    <w:rsid w:val="00DB3869"/>
    <w:rsid w:val="00DB3C14"/>
    <w:rsid w:val="00DB3E2F"/>
    <w:rsid w:val="00DB47CA"/>
    <w:rsid w:val="00DB4BF6"/>
    <w:rsid w:val="00DB4CD5"/>
    <w:rsid w:val="00DB4F88"/>
    <w:rsid w:val="00DB53B0"/>
    <w:rsid w:val="00DB561C"/>
    <w:rsid w:val="00DB5985"/>
    <w:rsid w:val="00DB67D6"/>
    <w:rsid w:val="00DB6DAC"/>
    <w:rsid w:val="00DB72A0"/>
    <w:rsid w:val="00DB79CF"/>
    <w:rsid w:val="00DC0458"/>
    <w:rsid w:val="00DC0CB5"/>
    <w:rsid w:val="00DC13D9"/>
    <w:rsid w:val="00DC19BF"/>
    <w:rsid w:val="00DC1C4F"/>
    <w:rsid w:val="00DC219F"/>
    <w:rsid w:val="00DC25E1"/>
    <w:rsid w:val="00DC28B5"/>
    <w:rsid w:val="00DC31C0"/>
    <w:rsid w:val="00DC3E41"/>
    <w:rsid w:val="00DC445B"/>
    <w:rsid w:val="00DC4586"/>
    <w:rsid w:val="00DC4AAB"/>
    <w:rsid w:val="00DC586D"/>
    <w:rsid w:val="00DC5BE2"/>
    <w:rsid w:val="00DC5D12"/>
    <w:rsid w:val="00DC62DE"/>
    <w:rsid w:val="00DC63A4"/>
    <w:rsid w:val="00DC63A6"/>
    <w:rsid w:val="00DC688C"/>
    <w:rsid w:val="00DC6DC1"/>
    <w:rsid w:val="00DC76D7"/>
    <w:rsid w:val="00DC7D72"/>
    <w:rsid w:val="00DD018C"/>
    <w:rsid w:val="00DD01C3"/>
    <w:rsid w:val="00DD0309"/>
    <w:rsid w:val="00DD03C8"/>
    <w:rsid w:val="00DD0EF4"/>
    <w:rsid w:val="00DD0F3E"/>
    <w:rsid w:val="00DD1038"/>
    <w:rsid w:val="00DD10BB"/>
    <w:rsid w:val="00DD1451"/>
    <w:rsid w:val="00DD1B8E"/>
    <w:rsid w:val="00DD1F0F"/>
    <w:rsid w:val="00DD27BC"/>
    <w:rsid w:val="00DD29C6"/>
    <w:rsid w:val="00DD2DBB"/>
    <w:rsid w:val="00DD3E93"/>
    <w:rsid w:val="00DD3EBA"/>
    <w:rsid w:val="00DD44A1"/>
    <w:rsid w:val="00DD464D"/>
    <w:rsid w:val="00DD4769"/>
    <w:rsid w:val="00DD4B84"/>
    <w:rsid w:val="00DD556E"/>
    <w:rsid w:val="00DD61DD"/>
    <w:rsid w:val="00DD6547"/>
    <w:rsid w:val="00DD668B"/>
    <w:rsid w:val="00DD6D0D"/>
    <w:rsid w:val="00DD70B0"/>
    <w:rsid w:val="00DD73D8"/>
    <w:rsid w:val="00DD7E3A"/>
    <w:rsid w:val="00DD7E46"/>
    <w:rsid w:val="00DE0412"/>
    <w:rsid w:val="00DE0648"/>
    <w:rsid w:val="00DE0D75"/>
    <w:rsid w:val="00DE302F"/>
    <w:rsid w:val="00DE34FB"/>
    <w:rsid w:val="00DE3BEB"/>
    <w:rsid w:val="00DE3EC9"/>
    <w:rsid w:val="00DE4BF7"/>
    <w:rsid w:val="00DE4C54"/>
    <w:rsid w:val="00DE4EDC"/>
    <w:rsid w:val="00DE51F8"/>
    <w:rsid w:val="00DE566A"/>
    <w:rsid w:val="00DE58BD"/>
    <w:rsid w:val="00DE63A4"/>
    <w:rsid w:val="00DE699C"/>
    <w:rsid w:val="00DE6A87"/>
    <w:rsid w:val="00DE6D5F"/>
    <w:rsid w:val="00DE70AB"/>
    <w:rsid w:val="00DE7593"/>
    <w:rsid w:val="00DE7ACF"/>
    <w:rsid w:val="00DF0748"/>
    <w:rsid w:val="00DF08F7"/>
    <w:rsid w:val="00DF0A8A"/>
    <w:rsid w:val="00DF0D26"/>
    <w:rsid w:val="00DF0E1E"/>
    <w:rsid w:val="00DF0E2A"/>
    <w:rsid w:val="00DF199D"/>
    <w:rsid w:val="00DF2624"/>
    <w:rsid w:val="00DF28E3"/>
    <w:rsid w:val="00DF292C"/>
    <w:rsid w:val="00DF2C1F"/>
    <w:rsid w:val="00DF2E3F"/>
    <w:rsid w:val="00DF4BA2"/>
    <w:rsid w:val="00DF4CAD"/>
    <w:rsid w:val="00DF4EB1"/>
    <w:rsid w:val="00DF55B6"/>
    <w:rsid w:val="00DF5C6D"/>
    <w:rsid w:val="00DF5D67"/>
    <w:rsid w:val="00DF5DC3"/>
    <w:rsid w:val="00DF6046"/>
    <w:rsid w:val="00DF638F"/>
    <w:rsid w:val="00DF6CF7"/>
    <w:rsid w:val="00DF7353"/>
    <w:rsid w:val="00DF773F"/>
    <w:rsid w:val="00DF7D3D"/>
    <w:rsid w:val="00E0028F"/>
    <w:rsid w:val="00E01013"/>
    <w:rsid w:val="00E0111A"/>
    <w:rsid w:val="00E01698"/>
    <w:rsid w:val="00E016A2"/>
    <w:rsid w:val="00E0191C"/>
    <w:rsid w:val="00E01C17"/>
    <w:rsid w:val="00E01E45"/>
    <w:rsid w:val="00E024A5"/>
    <w:rsid w:val="00E02D2D"/>
    <w:rsid w:val="00E03096"/>
    <w:rsid w:val="00E03BEE"/>
    <w:rsid w:val="00E03D1D"/>
    <w:rsid w:val="00E03F72"/>
    <w:rsid w:val="00E0422E"/>
    <w:rsid w:val="00E04E23"/>
    <w:rsid w:val="00E059FF"/>
    <w:rsid w:val="00E05CE2"/>
    <w:rsid w:val="00E064BD"/>
    <w:rsid w:val="00E074BA"/>
    <w:rsid w:val="00E07AAD"/>
    <w:rsid w:val="00E07B1B"/>
    <w:rsid w:val="00E100AA"/>
    <w:rsid w:val="00E106ED"/>
    <w:rsid w:val="00E10C53"/>
    <w:rsid w:val="00E10D66"/>
    <w:rsid w:val="00E11377"/>
    <w:rsid w:val="00E11417"/>
    <w:rsid w:val="00E11723"/>
    <w:rsid w:val="00E11852"/>
    <w:rsid w:val="00E11CBE"/>
    <w:rsid w:val="00E124B0"/>
    <w:rsid w:val="00E12D45"/>
    <w:rsid w:val="00E139DC"/>
    <w:rsid w:val="00E13BAD"/>
    <w:rsid w:val="00E13DC1"/>
    <w:rsid w:val="00E13EC4"/>
    <w:rsid w:val="00E146D6"/>
    <w:rsid w:val="00E15701"/>
    <w:rsid w:val="00E15C06"/>
    <w:rsid w:val="00E16C33"/>
    <w:rsid w:val="00E17211"/>
    <w:rsid w:val="00E17FB4"/>
    <w:rsid w:val="00E20AEF"/>
    <w:rsid w:val="00E20B38"/>
    <w:rsid w:val="00E210AC"/>
    <w:rsid w:val="00E2146A"/>
    <w:rsid w:val="00E218A7"/>
    <w:rsid w:val="00E21DF8"/>
    <w:rsid w:val="00E2257A"/>
    <w:rsid w:val="00E225DF"/>
    <w:rsid w:val="00E229A3"/>
    <w:rsid w:val="00E22EDF"/>
    <w:rsid w:val="00E23232"/>
    <w:rsid w:val="00E23660"/>
    <w:rsid w:val="00E23C3F"/>
    <w:rsid w:val="00E240F2"/>
    <w:rsid w:val="00E2447A"/>
    <w:rsid w:val="00E25951"/>
    <w:rsid w:val="00E25978"/>
    <w:rsid w:val="00E25EA3"/>
    <w:rsid w:val="00E26879"/>
    <w:rsid w:val="00E279C6"/>
    <w:rsid w:val="00E27C0D"/>
    <w:rsid w:val="00E27E53"/>
    <w:rsid w:val="00E27FA7"/>
    <w:rsid w:val="00E30146"/>
    <w:rsid w:val="00E308C1"/>
    <w:rsid w:val="00E30A44"/>
    <w:rsid w:val="00E30D4E"/>
    <w:rsid w:val="00E30F97"/>
    <w:rsid w:val="00E31903"/>
    <w:rsid w:val="00E319E7"/>
    <w:rsid w:val="00E3206B"/>
    <w:rsid w:val="00E32116"/>
    <w:rsid w:val="00E323C3"/>
    <w:rsid w:val="00E3251A"/>
    <w:rsid w:val="00E331E9"/>
    <w:rsid w:val="00E335BA"/>
    <w:rsid w:val="00E34135"/>
    <w:rsid w:val="00E34163"/>
    <w:rsid w:val="00E34AD1"/>
    <w:rsid w:val="00E35BD3"/>
    <w:rsid w:val="00E35F9A"/>
    <w:rsid w:val="00E35FB0"/>
    <w:rsid w:val="00E36041"/>
    <w:rsid w:val="00E36661"/>
    <w:rsid w:val="00E3685E"/>
    <w:rsid w:val="00E36874"/>
    <w:rsid w:val="00E3737C"/>
    <w:rsid w:val="00E3744A"/>
    <w:rsid w:val="00E377E3"/>
    <w:rsid w:val="00E37971"/>
    <w:rsid w:val="00E37E4A"/>
    <w:rsid w:val="00E402B9"/>
    <w:rsid w:val="00E4062E"/>
    <w:rsid w:val="00E40737"/>
    <w:rsid w:val="00E41129"/>
    <w:rsid w:val="00E414D8"/>
    <w:rsid w:val="00E41B7E"/>
    <w:rsid w:val="00E41C13"/>
    <w:rsid w:val="00E41EFD"/>
    <w:rsid w:val="00E41F49"/>
    <w:rsid w:val="00E4235B"/>
    <w:rsid w:val="00E428C5"/>
    <w:rsid w:val="00E42904"/>
    <w:rsid w:val="00E42E02"/>
    <w:rsid w:val="00E43160"/>
    <w:rsid w:val="00E43BE0"/>
    <w:rsid w:val="00E44A98"/>
    <w:rsid w:val="00E4512D"/>
    <w:rsid w:val="00E4624A"/>
    <w:rsid w:val="00E47DF0"/>
    <w:rsid w:val="00E505CC"/>
    <w:rsid w:val="00E50A2A"/>
    <w:rsid w:val="00E50B4F"/>
    <w:rsid w:val="00E50B9F"/>
    <w:rsid w:val="00E50C44"/>
    <w:rsid w:val="00E5167A"/>
    <w:rsid w:val="00E517B9"/>
    <w:rsid w:val="00E51B46"/>
    <w:rsid w:val="00E51CF7"/>
    <w:rsid w:val="00E52137"/>
    <w:rsid w:val="00E522F2"/>
    <w:rsid w:val="00E523C9"/>
    <w:rsid w:val="00E52766"/>
    <w:rsid w:val="00E52F59"/>
    <w:rsid w:val="00E53241"/>
    <w:rsid w:val="00E541A0"/>
    <w:rsid w:val="00E5458E"/>
    <w:rsid w:val="00E54A47"/>
    <w:rsid w:val="00E55353"/>
    <w:rsid w:val="00E55A20"/>
    <w:rsid w:val="00E568E8"/>
    <w:rsid w:val="00E56F7B"/>
    <w:rsid w:val="00E57249"/>
    <w:rsid w:val="00E57A61"/>
    <w:rsid w:val="00E57A6A"/>
    <w:rsid w:val="00E57D1D"/>
    <w:rsid w:val="00E6000D"/>
    <w:rsid w:val="00E601C4"/>
    <w:rsid w:val="00E6033B"/>
    <w:rsid w:val="00E60650"/>
    <w:rsid w:val="00E609F2"/>
    <w:rsid w:val="00E610A6"/>
    <w:rsid w:val="00E61333"/>
    <w:rsid w:val="00E6134F"/>
    <w:rsid w:val="00E615D7"/>
    <w:rsid w:val="00E616B8"/>
    <w:rsid w:val="00E61766"/>
    <w:rsid w:val="00E628A3"/>
    <w:rsid w:val="00E6310B"/>
    <w:rsid w:val="00E634D4"/>
    <w:rsid w:val="00E63B47"/>
    <w:rsid w:val="00E63DD2"/>
    <w:rsid w:val="00E6464A"/>
    <w:rsid w:val="00E6486F"/>
    <w:rsid w:val="00E64992"/>
    <w:rsid w:val="00E64CBE"/>
    <w:rsid w:val="00E6544C"/>
    <w:rsid w:val="00E65F0D"/>
    <w:rsid w:val="00E66B60"/>
    <w:rsid w:val="00E66C9B"/>
    <w:rsid w:val="00E6728C"/>
    <w:rsid w:val="00E676E9"/>
    <w:rsid w:val="00E70D0F"/>
    <w:rsid w:val="00E710FE"/>
    <w:rsid w:val="00E7117B"/>
    <w:rsid w:val="00E71BE4"/>
    <w:rsid w:val="00E71CCA"/>
    <w:rsid w:val="00E7298D"/>
    <w:rsid w:val="00E73475"/>
    <w:rsid w:val="00E73A1E"/>
    <w:rsid w:val="00E7453B"/>
    <w:rsid w:val="00E74A9E"/>
    <w:rsid w:val="00E74E0D"/>
    <w:rsid w:val="00E75237"/>
    <w:rsid w:val="00E7549A"/>
    <w:rsid w:val="00E7586E"/>
    <w:rsid w:val="00E75ADC"/>
    <w:rsid w:val="00E75CC0"/>
    <w:rsid w:val="00E760F2"/>
    <w:rsid w:val="00E764C1"/>
    <w:rsid w:val="00E76D8A"/>
    <w:rsid w:val="00E76FE8"/>
    <w:rsid w:val="00E77051"/>
    <w:rsid w:val="00E7705A"/>
    <w:rsid w:val="00E775EC"/>
    <w:rsid w:val="00E77949"/>
    <w:rsid w:val="00E77A50"/>
    <w:rsid w:val="00E80CD5"/>
    <w:rsid w:val="00E80DB5"/>
    <w:rsid w:val="00E80F24"/>
    <w:rsid w:val="00E8174D"/>
    <w:rsid w:val="00E8174F"/>
    <w:rsid w:val="00E81B6D"/>
    <w:rsid w:val="00E8205F"/>
    <w:rsid w:val="00E822E2"/>
    <w:rsid w:val="00E8253F"/>
    <w:rsid w:val="00E83102"/>
    <w:rsid w:val="00E8334B"/>
    <w:rsid w:val="00E8381E"/>
    <w:rsid w:val="00E83EA8"/>
    <w:rsid w:val="00E840F1"/>
    <w:rsid w:val="00E84391"/>
    <w:rsid w:val="00E8441C"/>
    <w:rsid w:val="00E84DB1"/>
    <w:rsid w:val="00E85198"/>
    <w:rsid w:val="00E855A0"/>
    <w:rsid w:val="00E85845"/>
    <w:rsid w:val="00E8595D"/>
    <w:rsid w:val="00E85AB7"/>
    <w:rsid w:val="00E85C60"/>
    <w:rsid w:val="00E85F76"/>
    <w:rsid w:val="00E87207"/>
    <w:rsid w:val="00E8721E"/>
    <w:rsid w:val="00E87719"/>
    <w:rsid w:val="00E90148"/>
    <w:rsid w:val="00E90257"/>
    <w:rsid w:val="00E90776"/>
    <w:rsid w:val="00E908FE"/>
    <w:rsid w:val="00E90F10"/>
    <w:rsid w:val="00E915FA"/>
    <w:rsid w:val="00E91894"/>
    <w:rsid w:val="00E91D22"/>
    <w:rsid w:val="00E91F1C"/>
    <w:rsid w:val="00E93441"/>
    <w:rsid w:val="00E93515"/>
    <w:rsid w:val="00E9370D"/>
    <w:rsid w:val="00E93A92"/>
    <w:rsid w:val="00E94217"/>
    <w:rsid w:val="00E942DD"/>
    <w:rsid w:val="00E95223"/>
    <w:rsid w:val="00E95794"/>
    <w:rsid w:val="00E95F7F"/>
    <w:rsid w:val="00E96197"/>
    <w:rsid w:val="00E962A4"/>
    <w:rsid w:val="00E96989"/>
    <w:rsid w:val="00E97078"/>
    <w:rsid w:val="00E97C8D"/>
    <w:rsid w:val="00E97CAF"/>
    <w:rsid w:val="00EA022D"/>
    <w:rsid w:val="00EA04BA"/>
    <w:rsid w:val="00EA05A7"/>
    <w:rsid w:val="00EA11F4"/>
    <w:rsid w:val="00EA1F91"/>
    <w:rsid w:val="00EA2991"/>
    <w:rsid w:val="00EA2AEA"/>
    <w:rsid w:val="00EA2D10"/>
    <w:rsid w:val="00EA30A8"/>
    <w:rsid w:val="00EA3BD0"/>
    <w:rsid w:val="00EA41B5"/>
    <w:rsid w:val="00EA4632"/>
    <w:rsid w:val="00EA47A8"/>
    <w:rsid w:val="00EA4825"/>
    <w:rsid w:val="00EA50A0"/>
    <w:rsid w:val="00EA635C"/>
    <w:rsid w:val="00EA64A7"/>
    <w:rsid w:val="00EA6699"/>
    <w:rsid w:val="00EA6BE2"/>
    <w:rsid w:val="00EA7960"/>
    <w:rsid w:val="00EA7C9C"/>
    <w:rsid w:val="00EA7E74"/>
    <w:rsid w:val="00EB04D3"/>
    <w:rsid w:val="00EB16E6"/>
    <w:rsid w:val="00EB1F77"/>
    <w:rsid w:val="00EB2422"/>
    <w:rsid w:val="00EB2568"/>
    <w:rsid w:val="00EB2A3A"/>
    <w:rsid w:val="00EB2A47"/>
    <w:rsid w:val="00EB2A82"/>
    <w:rsid w:val="00EB2B15"/>
    <w:rsid w:val="00EB2CBD"/>
    <w:rsid w:val="00EB322C"/>
    <w:rsid w:val="00EB336A"/>
    <w:rsid w:val="00EB3C04"/>
    <w:rsid w:val="00EB407C"/>
    <w:rsid w:val="00EB44E5"/>
    <w:rsid w:val="00EB4CDD"/>
    <w:rsid w:val="00EB53E2"/>
    <w:rsid w:val="00EB5A66"/>
    <w:rsid w:val="00EB5C4E"/>
    <w:rsid w:val="00EB5CC0"/>
    <w:rsid w:val="00EB5D2B"/>
    <w:rsid w:val="00EB6075"/>
    <w:rsid w:val="00EB6399"/>
    <w:rsid w:val="00EB6882"/>
    <w:rsid w:val="00EB6892"/>
    <w:rsid w:val="00EB6E87"/>
    <w:rsid w:val="00EB6F37"/>
    <w:rsid w:val="00EB7336"/>
    <w:rsid w:val="00EB7C07"/>
    <w:rsid w:val="00EB7EE5"/>
    <w:rsid w:val="00EB7EE8"/>
    <w:rsid w:val="00EC0627"/>
    <w:rsid w:val="00EC08A2"/>
    <w:rsid w:val="00EC09D8"/>
    <w:rsid w:val="00EC1092"/>
    <w:rsid w:val="00EC1761"/>
    <w:rsid w:val="00EC1AD3"/>
    <w:rsid w:val="00EC2925"/>
    <w:rsid w:val="00EC29BA"/>
    <w:rsid w:val="00EC3CC8"/>
    <w:rsid w:val="00EC3DAD"/>
    <w:rsid w:val="00EC4CBF"/>
    <w:rsid w:val="00EC515D"/>
    <w:rsid w:val="00EC5B75"/>
    <w:rsid w:val="00EC5CFB"/>
    <w:rsid w:val="00EC6115"/>
    <w:rsid w:val="00EC64E9"/>
    <w:rsid w:val="00EC65E8"/>
    <w:rsid w:val="00EC6B54"/>
    <w:rsid w:val="00EC70A9"/>
    <w:rsid w:val="00EC781B"/>
    <w:rsid w:val="00EC7837"/>
    <w:rsid w:val="00EC78EC"/>
    <w:rsid w:val="00EC78FE"/>
    <w:rsid w:val="00EC79ED"/>
    <w:rsid w:val="00EC7CC5"/>
    <w:rsid w:val="00EC7D26"/>
    <w:rsid w:val="00EC7F38"/>
    <w:rsid w:val="00ED0E58"/>
    <w:rsid w:val="00ED1474"/>
    <w:rsid w:val="00ED16E7"/>
    <w:rsid w:val="00ED1DC3"/>
    <w:rsid w:val="00ED1FE6"/>
    <w:rsid w:val="00ED20D4"/>
    <w:rsid w:val="00ED3144"/>
    <w:rsid w:val="00ED32C4"/>
    <w:rsid w:val="00ED34D1"/>
    <w:rsid w:val="00ED3558"/>
    <w:rsid w:val="00ED3580"/>
    <w:rsid w:val="00ED36A7"/>
    <w:rsid w:val="00ED38B3"/>
    <w:rsid w:val="00ED3A74"/>
    <w:rsid w:val="00ED3CAF"/>
    <w:rsid w:val="00ED406D"/>
    <w:rsid w:val="00ED4BEF"/>
    <w:rsid w:val="00ED518B"/>
    <w:rsid w:val="00ED51D3"/>
    <w:rsid w:val="00ED5C2D"/>
    <w:rsid w:val="00ED60C7"/>
    <w:rsid w:val="00ED6458"/>
    <w:rsid w:val="00ED6773"/>
    <w:rsid w:val="00ED6A2F"/>
    <w:rsid w:val="00ED6C40"/>
    <w:rsid w:val="00ED6C8E"/>
    <w:rsid w:val="00ED6DA1"/>
    <w:rsid w:val="00EE028C"/>
    <w:rsid w:val="00EE044C"/>
    <w:rsid w:val="00EE067F"/>
    <w:rsid w:val="00EE09FF"/>
    <w:rsid w:val="00EE0BC5"/>
    <w:rsid w:val="00EE1089"/>
    <w:rsid w:val="00EE1118"/>
    <w:rsid w:val="00EE15E3"/>
    <w:rsid w:val="00EE1CB6"/>
    <w:rsid w:val="00EE20F6"/>
    <w:rsid w:val="00EE21BA"/>
    <w:rsid w:val="00EE22DF"/>
    <w:rsid w:val="00EE2547"/>
    <w:rsid w:val="00EE352A"/>
    <w:rsid w:val="00EE3640"/>
    <w:rsid w:val="00EE370F"/>
    <w:rsid w:val="00EE399B"/>
    <w:rsid w:val="00EE3D4D"/>
    <w:rsid w:val="00EE4466"/>
    <w:rsid w:val="00EE453B"/>
    <w:rsid w:val="00EE46ED"/>
    <w:rsid w:val="00EE4A08"/>
    <w:rsid w:val="00EE4A27"/>
    <w:rsid w:val="00EE4E2A"/>
    <w:rsid w:val="00EE4ECD"/>
    <w:rsid w:val="00EE5904"/>
    <w:rsid w:val="00EE64B3"/>
    <w:rsid w:val="00EE74E5"/>
    <w:rsid w:val="00EF0573"/>
    <w:rsid w:val="00EF06F5"/>
    <w:rsid w:val="00EF09B4"/>
    <w:rsid w:val="00EF0C30"/>
    <w:rsid w:val="00EF15A9"/>
    <w:rsid w:val="00EF1640"/>
    <w:rsid w:val="00EF1BA6"/>
    <w:rsid w:val="00EF1DB3"/>
    <w:rsid w:val="00EF1F52"/>
    <w:rsid w:val="00EF2460"/>
    <w:rsid w:val="00EF250F"/>
    <w:rsid w:val="00EF326D"/>
    <w:rsid w:val="00EF32B1"/>
    <w:rsid w:val="00EF3426"/>
    <w:rsid w:val="00EF3A9D"/>
    <w:rsid w:val="00EF3C45"/>
    <w:rsid w:val="00EF44A3"/>
    <w:rsid w:val="00EF4AC9"/>
    <w:rsid w:val="00EF4B49"/>
    <w:rsid w:val="00EF4B96"/>
    <w:rsid w:val="00EF4C43"/>
    <w:rsid w:val="00EF4CED"/>
    <w:rsid w:val="00EF4DB8"/>
    <w:rsid w:val="00EF5089"/>
    <w:rsid w:val="00EF57A2"/>
    <w:rsid w:val="00EF5B1A"/>
    <w:rsid w:val="00EF5CCE"/>
    <w:rsid w:val="00EF63B4"/>
    <w:rsid w:val="00EF6B5D"/>
    <w:rsid w:val="00EF6F23"/>
    <w:rsid w:val="00EF74C0"/>
    <w:rsid w:val="00EF7A4C"/>
    <w:rsid w:val="00EF7D31"/>
    <w:rsid w:val="00F0037C"/>
    <w:rsid w:val="00F00911"/>
    <w:rsid w:val="00F01198"/>
    <w:rsid w:val="00F01ED2"/>
    <w:rsid w:val="00F020C0"/>
    <w:rsid w:val="00F026C4"/>
    <w:rsid w:val="00F0318D"/>
    <w:rsid w:val="00F033BD"/>
    <w:rsid w:val="00F03602"/>
    <w:rsid w:val="00F03746"/>
    <w:rsid w:val="00F0382A"/>
    <w:rsid w:val="00F03C49"/>
    <w:rsid w:val="00F03DBF"/>
    <w:rsid w:val="00F03FED"/>
    <w:rsid w:val="00F04469"/>
    <w:rsid w:val="00F04A4B"/>
    <w:rsid w:val="00F04A89"/>
    <w:rsid w:val="00F04B40"/>
    <w:rsid w:val="00F051BE"/>
    <w:rsid w:val="00F055F0"/>
    <w:rsid w:val="00F05EA7"/>
    <w:rsid w:val="00F06AD8"/>
    <w:rsid w:val="00F06BBE"/>
    <w:rsid w:val="00F06C54"/>
    <w:rsid w:val="00F06E8E"/>
    <w:rsid w:val="00F0714E"/>
    <w:rsid w:val="00F07729"/>
    <w:rsid w:val="00F07748"/>
    <w:rsid w:val="00F0781D"/>
    <w:rsid w:val="00F07DD9"/>
    <w:rsid w:val="00F107F7"/>
    <w:rsid w:val="00F10FED"/>
    <w:rsid w:val="00F11ACB"/>
    <w:rsid w:val="00F11D69"/>
    <w:rsid w:val="00F11F6F"/>
    <w:rsid w:val="00F125A5"/>
    <w:rsid w:val="00F12A00"/>
    <w:rsid w:val="00F12D5F"/>
    <w:rsid w:val="00F12E46"/>
    <w:rsid w:val="00F136AD"/>
    <w:rsid w:val="00F13842"/>
    <w:rsid w:val="00F138C7"/>
    <w:rsid w:val="00F139FE"/>
    <w:rsid w:val="00F13A8D"/>
    <w:rsid w:val="00F13B9E"/>
    <w:rsid w:val="00F13C98"/>
    <w:rsid w:val="00F13E39"/>
    <w:rsid w:val="00F13F30"/>
    <w:rsid w:val="00F143F0"/>
    <w:rsid w:val="00F14A77"/>
    <w:rsid w:val="00F14D9D"/>
    <w:rsid w:val="00F151D5"/>
    <w:rsid w:val="00F1564B"/>
    <w:rsid w:val="00F165CC"/>
    <w:rsid w:val="00F168CB"/>
    <w:rsid w:val="00F16FBB"/>
    <w:rsid w:val="00F17460"/>
    <w:rsid w:val="00F17517"/>
    <w:rsid w:val="00F17663"/>
    <w:rsid w:val="00F17EA0"/>
    <w:rsid w:val="00F17EFB"/>
    <w:rsid w:val="00F17F2A"/>
    <w:rsid w:val="00F20124"/>
    <w:rsid w:val="00F206EC"/>
    <w:rsid w:val="00F21A60"/>
    <w:rsid w:val="00F2272C"/>
    <w:rsid w:val="00F229E0"/>
    <w:rsid w:val="00F22EBB"/>
    <w:rsid w:val="00F22F8C"/>
    <w:rsid w:val="00F23405"/>
    <w:rsid w:val="00F23483"/>
    <w:rsid w:val="00F242F8"/>
    <w:rsid w:val="00F2459A"/>
    <w:rsid w:val="00F24676"/>
    <w:rsid w:val="00F25071"/>
    <w:rsid w:val="00F25704"/>
    <w:rsid w:val="00F26B93"/>
    <w:rsid w:val="00F26E0F"/>
    <w:rsid w:val="00F27D7C"/>
    <w:rsid w:val="00F27F68"/>
    <w:rsid w:val="00F30188"/>
    <w:rsid w:val="00F305AA"/>
    <w:rsid w:val="00F305EF"/>
    <w:rsid w:val="00F30856"/>
    <w:rsid w:val="00F30E77"/>
    <w:rsid w:val="00F3130D"/>
    <w:rsid w:val="00F3134B"/>
    <w:rsid w:val="00F31704"/>
    <w:rsid w:val="00F317B2"/>
    <w:rsid w:val="00F317E5"/>
    <w:rsid w:val="00F31CDD"/>
    <w:rsid w:val="00F32051"/>
    <w:rsid w:val="00F323FF"/>
    <w:rsid w:val="00F3255A"/>
    <w:rsid w:val="00F32627"/>
    <w:rsid w:val="00F3269E"/>
    <w:rsid w:val="00F3298F"/>
    <w:rsid w:val="00F32A42"/>
    <w:rsid w:val="00F332DA"/>
    <w:rsid w:val="00F34EE2"/>
    <w:rsid w:val="00F35001"/>
    <w:rsid w:val="00F361D8"/>
    <w:rsid w:val="00F36BAD"/>
    <w:rsid w:val="00F37576"/>
    <w:rsid w:val="00F37F85"/>
    <w:rsid w:val="00F404C1"/>
    <w:rsid w:val="00F406D9"/>
    <w:rsid w:val="00F40A8B"/>
    <w:rsid w:val="00F40D12"/>
    <w:rsid w:val="00F40E6C"/>
    <w:rsid w:val="00F411F3"/>
    <w:rsid w:val="00F415F5"/>
    <w:rsid w:val="00F416B9"/>
    <w:rsid w:val="00F41852"/>
    <w:rsid w:val="00F41C72"/>
    <w:rsid w:val="00F41FF1"/>
    <w:rsid w:val="00F428DB"/>
    <w:rsid w:val="00F429D2"/>
    <w:rsid w:val="00F42D9A"/>
    <w:rsid w:val="00F43039"/>
    <w:rsid w:val="00F44828"/>
    <w:rsid w:val="00F44A56"/>
    <w:rsid w:val="00F44CB2"/>
    <w:rsid w:val="00F44D42"/>
    <w:rsid w:val="00F45AA4"/>
    <w:rsid w:val="00F45F79"/>
    <w:rsid w:val="00F45FC1"/>
    <w:rsid w:val="00F46074"/>
    <w:rsid w:val="00F46A4D"/>
    <w:rsid w:val="00F47277"/>
    <w:rsid w:val="00F473E8"/>
    <w:rsid w:val="00F478F3"/>
    <w:rsid w:val="00F4796C"/>
    <w:rsid w:val="00F50131"/>
    <w:rsid w:val="00F505CA"/>
    <w:rsid w:val="00F5098F"/>
    <w:rsid w:val="00F50A52"/>
    <w:rsid w:val="00F50C28"/>
    <w:rsid w:val="00F50E76"/>
    <w:rsid w:val="00F51CCF"/>
    <w:rsid w:val="00F52043"/>
    <w:rsid w:val="00F528B7"/>
    <w:rsid w:val="00F52B8C"/>
    <w:rsid w:val="00F53338"/>
    <w:rsid w:val="00F53B89"/>
    <w:rsid w:val="00F53D6F"/>
    <w:rsid w:val="00F53F97"/>
    <w:rsid w:val="00F542C3"/>
    <w:rsid w:val="00F54473"/>
    <w:rsid w:val="00F544E2"/>
    <w:rsid w:val="00F544F7"/>
    <w:rsid w:val="00F54909"/>
    <w:rsid w:val="00F550A1"/>
    <w:rsid w:val="00F550B0"/>
    <w:rsid w:val="00F550C4"/>
    <w:rsid w:val="00F55590"/>
    <w:rsid w:val="00F55657"/>
    <w:rsid w:val="00F55F08"/>
    <w:rsid w:val="00F56231"/>
    <w:rsid w:val="00F569DB"/>
    <w:rsid w:val="00F56C1D"/>
    <w:rsid w:val="00F57192"/>
    <w:rsid w:val="00F574CC"/>
    <w:rsid w:val="00F57B14"/>
    <w:rsid w:val="00F57C88"/>
    <w:rsid w:val="00F60160"/>
    <w:rsid w:val="00F6058E"/>
    <w:rsid w:val="00F607F0"/>
    <w:rsid w:val="00F60A08"/>
    <w:rsid w:val="00F60E59"/>
    <w:rsid w:val="00F612B2"/>
    <w:rsid w:val="00F61724"/>
    <w:rsid w:val="00F6177F"/>
    <w:rsid w:val="00F619AA"/>
    <w:rsid w:val="00F61B0C"/>
    <w:rsid w:val="00F61F49"/>
    <w:rsid w:val="00F6210E"/>
    <w:rsid w:val="00F624C5"/>
    <w:rsid w:val="00F62DB9"/>
    <w:rsid w:val="00F62FD2"/>
    <w:rsid w:val="00F63533"/>
    <w:rsid w:val="00F636E1"/>
    <w:rsid w:val="00F6397D"/>
    <w:rsid w:val="00F63B84"/>
    <w:rsid w:val="00F640FE"/>
    <w:rsid w:val="00F64505"/>
    <w:rsid w:val="00F64897"/>
    <w:rsid w:val="00F64BCF"/>
    <w:rsid w:val="00F64D54"/>
    <w:rsid w:val="00F654DB"/>
    <w:rsid w:val="00F65C11"/>
    <w:rsid w:val="00F65E86"/>
    <w:rsid w:val="00F66078"/>
    <w:rsid w:val="00F66229"/>
    <w:rsid w:val="00F6638E"/>
    <w:rsid w:val="00F66779"/>
    <w:rsid w:val="00F66CBA"/>
    <w:rsid w:val="00F66EC5"/>
    <w:rsid w:val="00F67C46"/>
    <w:rsid w:val="00F67CC8"/>
    <w:rsid w:val="00F67CEF"/>
    <w:rsid w:val="00F67F02"/>
    <w:rsid w:val="00F70133"/>
    <w:rsid w:val="00F702AD"/>
    <w:rsid w:val="00F712F0"/>
    <w:rsid w:val="00F719B4"/>
    <w:rsid w:val="00F71D91"/>
    <w:rsid w:val="00F7321E"/>
    <w:rsid w:val="00F737D6"/>
    <w:rsid w:val="00F73CB3"/>
    <w:rsid w:val="00F73E27"/>
    <w:rsid w:val="00F73E82"/>
    <w:rsid w:val="00F74247"/>
    <w:rsid w:val="00F745AC"/>
    <w:rsid w:val="00F74C13"/>
    <w:rsid w:val="00F74F01"/>
    <w:rsid w:val="00F758C4"/>
    <w:rsid w:val="00F772EE"/>
    <w:rsid w:val="00F774C7"/>
    <w:rsid w:val="00F7772D"/>
    <w:rsid w:val="00F8079F"/>
    <w:rsid w:val="00F80A8F"/>
    <w:rsid w:val="00F81343"/>
    <w:rsid w:val="00F82D59"/>
    <w:rsid w:val="00F82F58"/>
    <w:rsid w:val="00F82FAA"/>
    <w:rsid w:val="00F82FBB"/>
    <w:rsid w:val="00F830E0"/>
    <w:rsid w:val="00F8318A"/>
    <w:rsid w:val="00F83697"/>
    <w:rsid w:val="00F8377A"/>
    <w:rsid w:val="00F839FC"/>
    <w:rsid w:val="00F83C3E"/>
    <w:rsid w:val="00F83E2F"/>
    <w:rsid w:val="00F8409B"/>
    <w:rsid w:val="00F850E8"/>
    <w:rsid w:val="00F85675"/>
    <w:rsid w:val="00F85A82"/>
    <w:rsid w:val="00F86034"/>
    <w:rsid w:val="00F86202"/>
    <w:rsid w:val="00F86306"/>
    <w:rsid w:val="00F8679F"/>
    <w:rsid w:val="00F867E0"/>
    <w:rsid w:val="00F86935"/>
    <w:rsid w:val="00F86F03"/>
    <w:rsid w:val="00F90F2D"/>
    <w:rsid w:val="00F91833"/>
    <w:rsid w:val="00F92191"/>
    <w:rsid w:val="00F925AB"/>
    <w:rsid w:val="00F92832"/>
    <w:rsid w:val="00F932C3"/>
    <w:rsid w:val="00F93FC3"/>
    <w:rsid w:val="00F94176"/>
    <w:rsid w:val="00F941C4"/>
    <w:rsid w:val="00F943C2"/>
    <w:rsid w:val="00F94537"/>
    <w:rsid w:val="00F948A3"/>
    <w:rsid w:val="00F94D9C"/>
    <w:rsid w:val="00F94F8C"/>
    <w:rsid w:val="00F95A0B"/>
    <w:rsid w:val="00F95F8D"/>
    <w:rsid w:val="00F9627F"/>
    <w:rsid w:val="00F9675C"/>
    <w:rsid w:val="00F97070"/>
    <w:rsid w:val="00F97112"/>
    <w:rsid w:val="00F971DC"/>
    <w:rsid w:val="00F97461"/>
    <w:rsid w:val="00F974A3"/>
    <w:rsid w:val="00F97514"/>
    <w:rsid w:val="00F975A5"/>
    <w:rsid w:val="00F97CCB"/>
    <w:rsid w:val="00F97D0F"/>
    <w:rsid w:val="00FA0308"/>
    <w:rsid w:val="00FA0CD9"/>
    <w:rsid w:val="00FA0E40"/>
    <w:rsid w:val="00FA0F09"/>
    <w:rsid w:val="00FA12EA"/>
    <w:rsid w:val="00FA13E7"/>
    <w:rsid w:val="00FA1853"/>
    <w:rsid w:val="00FA1E39"/>
    <w:rsid w:val="00FA2257"/>
    <w:rsid w:val="00FA316C"/>
    <w:rsid w:val="00FA371A"/>
    <w:rsid w:val="00FA3A68"/>
    <w:rsid w:val="00FA3C9A"/>
    <w:rsid w:val="00FA4224"/>
    <w:rsid w:val="00FA4564"/>
    <w:rsid w:val="00FA4624"/>
    <w:rsid w:val="00FA4AD2"/>
    <w:rsid w:val="00FA5486"/>
    <w:rsid w:val="00FA5FB1"/>
    <w:rsid w:val="00FA61BD"/>
    <w:rsid w:val="00FA656C"/>
    <w:rsid w:val="00FA6B04"/>
    <w:rsid w:val="00FA6B2D"/>
    <w:rsid w:val="00FA6D15"/>
    <w:rsid w:val="00FA6EA5"/>
    <w:rsid w:val="00FA7098"/>
    <w:rsid w:val="00FA764A"/>
    <w:rsid w:val="00FA790A"/>
    <w:rsid w:val="00FB041E"/>
    <w:rsid w:val="00FB04A0"/>
    <w:rsid w:val="00FB11A9"/>
    <w:rsid w:val="00FB15BB"/>
    <w:rsid w:val="00FB1DAF"/>
    <w:rsid w:val="00FB1ED5"/>
    <w:rsid w:val="00FB1FF1"/>
    <w:rsid w:val="00FB263F"/>
    <w:rsid w:val="00FB27A5"/>
    <w:rsid w:val="00FB3774"/>
    <w:rsid w:val="00FB3835"/>
    <w:rsid w:val="00FB3C05"/>
    <w:rsid w:val="00FB4257"/>
    <w:rsid w:val="00FB4268"/>
    <w:rsid w:val="00FB4B1E"/>
    <w:rsid w:val="00FB4CFD"/>
    <w:rsid w:val="00FB54DD"/>
    <w:rsid w:val="00FB561E"/>
    <w:rsid w:val="00FB58AC"/>
    <w:rsid w:val="00FB6D21"/>
    <w:rsid w:val="00FB74C6"/>
    <w:rsid w:val="00FB7CCE"/>
    <w:rsid w:val="00FC0621"/>
    <w:rsid w:val="00FC0964"/>
    <w:rsid w:val="00FC0ACE"/>
    <w:rsid w:val="00FC0CD2"/>
    <w:rsid w:val="00FC1861"/>
    <w:rsid w:val="00FC1A03"/>
    <w:rsid w:val="00FC1EF5"/>
    <w:rsid w:val="00FC2443"/>
    <w:rsid w:val="00FC2A38"/>
    <w:rsid w:val="00FC2CFE"/>
    <w:rsid w:val="00FC34CF"/>
    <w:rsid w:val="00FC3AF6"/>
    <w:rsid w:val="00FC3C45"/>
    <w:rsid w:val="00FC3F1C"/>
    <w:rsid w:val="00FC3F4C"/>
    <w:rsid w:val="00FC411E"/>
    <w:rsid w:val="00FC47BE"/>
    <w:rsid w:val="00FC484C"/>
    <w:rsid w:val="00FC4BD1"/>
    <w:rsid w:val="00FC4E43"/>
    <w:rsid w:val="00FC4E46"/>
    <w:rsid w:val="00FC4F6D"/>
    <w:rsid w:val="00FC52FC"/>
    <w:rsid w:val="00FC540D"/>
    <w:rsid w:val="00FC54C1"/>
    <w:rsid w:val="00FC56C1"/>
    <w:rsid w:val="00FC5F59"/>
    <w:rsid w:val="00FC60B9"/>
    <w:rsid w:val="00FC6115"/>
    <w:rsid w:val="00FC68EF"/>
    <w:rsid w:val="00FC6F5E"/>
    <w:rsid w:val="00FC7653"/>
    <w:rsid w:val="00FC7779"/>
    <w:rsid w:val="00FC7BE5"/>
    <w:rsid w:val="00FD035D"/>
    <w:rsid w:val="00FD1056"/>
    <w:rsid w:val="00FD1109"/>
    <w:rsid w:val="00FD1384"/>
    <w:rsid w:val="00FD1561"/>
    <w:rsid w:val="00FD1A96"/>
    <w:rsid w:val="00FD1C2E"/>
    <w:rsid w:val="00FD1C87"/>
    <w:rsid w:val="00FD1CAC"/>
    <w:rsid w:val="00FD1DCD"/>
    <w:rsid w:val="00FD2004"/>
    <w:rsid w:val="00FD2F42"/>
    <w:rsid w:val="00FD461D"/>
    <w:rsid w:val="00FD53B5"/>
    <w:rsid w:val="00FD57CF"/>
    <w:rsid w:val="00FD5A98"/>
    <w:rsid w:val="00FD5EAC"/>
    <w:rsid w:val="00FD6512"/>
    <w:rsid w:val="00FD6982"/>
    <w:rsid w:val="00FD6BAB"/>
    <w:rsid w:val="00FD7065"/>
    <w:rsid w:val="00FD73EF"/>
    <w:rsid w:val="00FD74EF"/>
    <w:rsid w:val="00FD7ABD"/>
    <w:rsid w:val="00FE0591"/>
    <w:rsid w:val="00FE1B9C"/>
    <w:rsid w:val="00FE1CE1"/>
    <w:rsid w:val="00FE2D8F"/>
    <w:rsid w:val="00FE2F1F"/>
    <w:rsid w:val="00FE305B"/>
    <w:rsid w:val="00FE3C80"/>
    <w:rsid w:val="00FE45BD"/>
    <w:rsid w:val="00FE4B7A"/>
    <w:rsid w:val="00FE544B"/>
    <w:rsid w:val="00FE5A23"/>
    <w:rsid w:val="00FE6B2C"/>
    <w:rsid w:val="00FE701A"/>
    <w:rsid w:val="00FE7577"/>
    <w:rsid w:val="00FE7A89"/>
    <w:rsid w:val="00FE7CF9"/>
    <w:rsid w:val="00FE7D06"/>
    <w:rsid w:val="00FF0063"/>
    <w:rsid w:val="00FF03AD"/>
    <w:rsid w:val="00FF0404"/>
    <w:rsid w:val="00FF0410"/>
    <w:rsid w:val="00FF045A"/>
    <w:rsid w:val="00FF0591"/>
    <w:rsid w:val="00FF0ACD"/>
    <w:rsid w:val="00FF0B27"/>
    <w:rsid w:val="00FF14BC"/>
    <w:rsid w:val="00FF1585"/>
    <w:rsid w:val="00FF1808"/>
    <w:rsid w:val="00FF1D18"/>
    <w:rsid w:val="00FF20ED"/>
    <w:rsid w:val="00FF22BE"/>
    <w:rsid w:val="00FF26B9"/>
    <w:rsid w:val="00FF2E9C"/>
    <w:rsid w:val="00FF35B8"/>
    <w:rsid w:val="00FF3CEB"/>
    <w:rsid w:val="00FF3D30"/>
    <w:rsid w:val="00FF3D56"/>
    <w:rsid w:val="00FF47F7"/>
    <w:rsid w:val="00FF49C9"/>
    <w:rsid w:val="00FF4A8A"/>
    <w:rsid w:val="00FF4B64"/>
    <w:rsid w:val="00FF51D4"/>
    <w:rsid w:val="00FF586E"/>
    <w:rsid w:val="00FF5AF8"/>
    <w:rsid w:val="00FF61E7"/>
    <w:rsid w:val="00FF62A1"/>
    <w:rsid w:val="00FF6513"/>
    <w:rsid w:val="00FF6882"/>
    <w:rsid w:val="00FF6F6E"/>
    <w:rsid w:val="00FF7195"/>
    <w:rsid w:val="00FF73D8"/>
    <w:rsid w:val="00FF7513"/>
    <w:rsid w:val="00FF7725"/>
    <w:rsid w:val="00FF790B"/>
    <w:rsid w:val="00FF7B1A"/>
    <w:rsid w:val="00FF7F43"/>
    <w:rsid w:val="00FF7FF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42433C0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pt-B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54468"/>
    <w:rPr>
      <w:rFonts w:ascii="Footlight MT Light" w:eastAsia="Times New Roman" w:hAnsi="Footlight MT Light" w:cs="Times New Roman"/>
      <w:sz w:val="26"/>
      <w:szCs w:val="20"/>
      <w:lang w:eastAsia="pt-BR"/>
    </w:rPr>
  </w:style>
  <w:style w:type="paragraph" w:styleId="Ttulo1">
    <w:name w:val="heading 1"/>
    <w:basedOn w:val="Normal"/>
    <w:next w:val="Normal"/>
    <w:link w:val="Ttulo1Char"/>
    <w:uiPriority w:val="9"/>
    <w:qFormat/>
    <w:rsid w:val="0037191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qFormat/>
    <w:rsid w:val="00A12B50"/>
    <w:pPr>
      <w:keepNext/>
      <w:tabs>
        <w:tab w:val="num" w:pos="0"/>
      </w:tabs>
      <w:suppressAutoHyphens/>
      <w:outlineLvl w:val="1"/>
    </w:pPr>
    <w:rPr>
      <w:rFonts w:ascii="Times New Roman" w:hAnsi="Times New Roman"/>
      <w:b/>
      <w:color w:val="008000"/>
      <w:sz w:val="16"/>
      <w:lang w:eastAsia="ar-SA"/>
    </w:rPr>
  </w:style>
  <w:style w:type="paragraph" w:styleId="Ttulo3">
    <w:name w:val="heading 3"/>
    <w:basedOn w:val="Normal"/>
    <w:next w:val="Normal"/>
    <w:link w:val="Ttulo3Char"/>
    <w:uiPriority w:val="9"/>
    <w:qFormat/>
    <w:rsid w:val="00354468"/>
    <w:pPr>
      <w:keepNext/>
      <w:jc w:val="both"/>
      <w:outlineLvl w:val="2"/>
    </w:pPr>
    <w:rPr>
      <w:rFonts w:ascii="Minion Web" w:hAnsi="Minion Web"/>
      <w:b/>
      <w:sz w:val="22"/>
    </w:rPr>
  </w:style>
  <w:style w:type="paragraph" w:styleId="Ttulo4">
    <w:name w:val="heading 4"/>
    <w:basedOn w:val="Normal"/>
    <w:next w:val="Normal"/>
    <w:link w:val="Ttulo4Char"/>
    <w:uiPriority w:val="9"/>
    <w:qFormat/>
    <w:rsid w:val="00A12B50"/>
    <w:pPr>
      <w:keepNext/>
      <w:widowControl w:val="0"/>
      <w:tabs>
        <w:tab w:val="num" w:pos="0"/>
      </w:tabs>
      <w:suppressAutoHyphens/>
      <w:spacing w:before="40" w:after="40"/>
      <w:ind w:right="5"/>
      <w:jc w:val="center"/>
      <w:outlineLvl w:val="3"/>
    </w:pPr>
    <w:rPr>
      <w:rFonts w:ascii="Arial" w:hAnsi="Arial"/>
      <w:sz w:val="24"/>
      <w:lang w:eastAsia="ar-SA"/>
    </w:rPr>
  </w:style>
  <w:style w:type="paragraph" w:styleId="Ttulo5">
    <w:name w:val="heading 5"/>
    <w:basedOn w:val="Normal"/>
    <w:next w:val="Normal"/>
    <w:link w:val="Ttulo5Char"/>
    <w:qFormat/>
    <w:rsid w:val="00354468"/>
    <w:pPr>
      <w:keepNext/>
      <w:outlineLvl w:val="4"/>
    </w:pPr>
    <w:rPr>
      <w:rFonts w:ascii="Arial" w:hAnsi="Arial"/>
      <w:b/>
      <w:sz w:val="18"/>
    </w:rPr>
  </w:style>
  <w:style w:type="paragraph" w:styleId="Ttulo6">
    <w:name w:val="heading 6"/>
    <w:basedOn w:val="Normal"/>
    <w:next w:val="Normal"/>
    <w:link w:val="Ttulo6Char"/>
    <w:uiPriority w:val="9"/>
    <w:qFormat/>
    <w:rsid w:val="00A12B50"/>
    <w:pPr>
      <w:keepNext/>
      <w:tabs>
        <w:tab w:val="num" w:pos="0"/>
      </w:tabs>
      <w:suppressAutoHyphens/>
      <w:ind w:right="120"/>
      <w:jc w:val="both"/>
      <w:outlineLvl w:val="5"/>
    </w:pPr>
    <w:rPr>
      <w:rFonts w:ascii="Arial" w:hAnsi="Arial"/>
      <w:i/>
      <w:sz w:val="22"/>
      <w:lang w:eastAsia="ar-SA"/>
    </w:rPr>
  </w:style>
  <w:style w:type="paragraph" w:styleId="Ttulo7">
    <w:name w:val="heading 7"/>
    <w:basedOn w:val="Normal"/>
    <w:next w:val="Normal"/>
    <w:link w:val="Ttulo7Char"/>
    <w:uiPriority w:val="9"/>
    <w:semiHidden/>
    <w:qFormat/>
    <w:rsid w:val="00A12B50"/>
    <w:pPr>
      <w:keepNext/>
      <w:tabs>
        <w:tab w:val="num" w:pos="0"/>
      </w:tabs>
      <w:suppressAutoHyphens/>
      <w:jc w:val="center"/>
      <w:outlineLvl w:val="6"/>
    </w:pPr>
    <w:rPr>
      <w:rFonts w:ascii="Arial" w:hAnsi="Arial"/>
      <w:b/>
      <w:sz w:val="22"/>
      <w:lang w:eastAsia="ar-SA"/>
    </w:rPr>
  </w:style>
  <w:style w:type="paragraph" w:styleId="Ttulo8">
    <w:name w:val="heading 8"/>
    <w:basedOn w:val="Normal"/>
    <w:next w:val="Normal"/>
    <w:link w:val="Ttulo8Char"/>
    <w:uiPriority w:val="9"/>
    <w:semiHidden/>
    <w:qFormat/>
    <w:rsid w:val="00A12B50"/>
    <w:pPr>
      <w:keepNext/>
      <w:tabs>
        <w:tab w:val="num" w:pos="0"/>
      </w:tabs>
      <w:suppressAutoHyphens/>
      <w:jc w:val="center"/>
      <w:outlineLvl w:val="7"/>
    </w:pPr>
    <w:rPr>
      <w:rFonts w:ascii="Arial" w:hAnsi="Arial"/>
      <w:b/>
      <w:color w:val="000000"/>
      <w:sz w:val="20"/>
      <w:u w:val="single"/>
      <w:lang w:eastAsia="ar-SA"/>
    </w:rPr>
  </w:style>
  <w:style w:type="paragraph" w:styleId="Ttulo9">
    <w:name w:val="heading 9"/>
    <w:basedOn w:val="Normal"/>
    <w:next w:val="Normal"/>
    <w:link w:val="Ttulo9Char"/>
    <w:uiPriority w:val="9"/>
    <w:semiHidden/>
    <w:qFormat/>
    <w:rsid w:val="00A12B50"/>
    <w:pPr>
      <w:keepNext/>
      <w:tabs>
        <w:tab w:val="num" w:pos="0"/>
      </w:tabs>
      <w:suppressAutoHyphens/>
      <w:ind w:right="-426"/>
      <w:jc w:val="center"/>
      <w:outlineLvl w:val="8"/>
    </w:pPr>
    <w:rPr>
      <w:rFonts w:ascii="Times New Roman" w:hAnsi="Times New Roman"/>
      <w:color w:val="000000"/>
      <w:sz w:val="24"/>
      <w:lang w:eastAsia="ar-S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4D26B9"/>
    <w:pPr>
      <w:tabs>
        <w:tab w:val="center" w:pos="4419"/>
        <w:tab w:val="right" w:pos="8838"/>
      </w:tabs>
    </w:pPr>
    <w:rPr>
      <w:rFonts w:asciiTheme="minorHAnsi" w:eastAsiaTheme="minorHAnsi" w:hAnsiTheme="minorHAnsi" w:cstheme="minorBidi"/>
      <w:sz w:val="24"/>
      <w:szCs w:val="24"/>
      <w:lang w:eastAsia="en-US"/>
    </w:rPr>
  </w:style>
  <w:style w:type="character" w:customStyle="1" w:styleId="CabealhoChar">
    <w:name w:val="Cabeçalho Char"/>
    <w:basedOn w:val="Fontepargpadro"/>
    <w:link w:val="Cabealho"/>
    <w:uiPriority w:val="99"/>
    <w:rsid w:val="004D26B9"/>
  </w:style>
  <w:style w:type="paragraph" w:styleId="Rodap">
    <w:name w:val="footer"/>
    <w:basedOn w:val="Normal"/>
    <w:link w:val="RodapChar"/>
    <w:uiPriority w:val="99"/>
    <w:unhideWhenUsed/>
    <w:rsid w:val="004D26B9"/>
    <w:pPr>
      <w:tabs>
        <w:tab w:val="center" w:pos="4419"/>
        <w:tab w:val="right" w:pos="8838"/>
      </w:tabs>
    </w:pPr>
    <w:rPr>
      <w:rFonts w:asciiTheme="minorHAnsi" w:eastAsiaTheme="minorHAnsi" w:hAnsiTheme="minorHAnsi" w:cstheme="minorBidi"/>
      <w:sz w:val="24"/>
      <w:szCs w:val="24"/>
      <w:lang w:eastAsia="en-US"/>
    </w:rPr>
  </w:style>
  <w:style w:type="character" w:customStyle="1" w:styleId="RodapChar">
    <w:name w:val="Rodapé Char"/>
    <w:basedOn w:val="Fontepargpadro"/>
    <w:link w:val="Rodap"/>
    <w:uiPriority w:val="99"/>
    <w:rsid w:val="004D26B9"/>
  </w:style>
  <w:style w:type="paragraph" w:styleId="NormalWeb">
    <w:name w:val="Normal (Web)"/>
    <w:basedOn w:val="Normal"/>
    <w:uiPriority w:val="99"/>
    <w:unhideWhenUsed/>
    <w:rsid w:val="00B338DB"/>
    <w:pPr>
      <w:spacing w:before="100" w:beforeAutospacing="1" w:after="100" w:afterAutospacing="1"/>
    </w:pPr>
    <w:rPr>
      <w:rFonts w:ascii="Times New Roman" w:eastAsiaTheme="minorHAnsi" w:hAnsi="Times New Roman"/>
      <w:sz w:val="24"/>
      <w:szCs w:val="24"/>
    </w:rPr>
  </w:style>
  <w:style w:type="character" w:styleId="Hyperlink">
    <w:name w:val="Hyperlink"/>
    <w:basedOn w:val="Fontepargpadro"/>
    <w:uiPriority w:val="99"/>
    <w:unhideWhenUsed/>
    <w:rsid w:val="008873CF"/>
    <w:rPr>
      <w:color w:val="0563C1" w:themeColor="hyperlink"/>
      <w:u w:val="single"/>
    </w:rPr>
  </w:style>
  <w:style w:type="character" w:customStyle="1" w:styleId="Ttulo3Char">
    <w:name w:val="Título 3 Char"/>
    <w:basedOn w:val="Fontepargpadro"/>
    <w:link w:val="Ttulo3"/>
    <w:uiPriority w:val="9"/>
    <w:rsid w:val="00354468"/>
    <w:rPr>
      <w:rFonts w:ascii="Minion Web" w:eastAsia="Times New Roman" w:hAnsi="Minion Web" w:cs="Times New Roman"/>
      <w:b/>
      <w:sz w:val="22"/>
      <w:szCs w:val="20"/>
      <w:lang w:eastAsia="pt-BR"/>
    </w:rPr>
  </w:style>
  <w:style w:type="character" w:customStyle="1" w:styleId="Ttulo5Char">
    <w:name w:val="Título 5 Char"/>
    <w:basedOn w:val="Fontepargpadro"/>
    <w:link w:val="Ttulo5"/>
    <w:rsid w:val="00354468"/>
    <w:rPr>
      <w:rFonts w:ascii="Arial" w:eastAsia="Times New Roman" w:hAnsi="Arial" w:cs="Times New Roman"/>
      <w:b/>
      <w:sz w:val="18"/>
      <w:szCs w:val="20"/>
      <w:lang w:eastAsia="pt-BR"/>
    </w:rPr>
  </w:style>
  <w:style w:type="paragraph" w:styleId="PargrafodaLista">
    <w:name w:val="List Paragraph"/>
    <w:basedOn w:val="Normal"/>
    <w:uiPriority w:val="34"/>
    <w:qFormat/>
    <w:rsid w:val="001D0831"/>
    <w:pPr>
      <w:ind w:left="720"/>
      <w:contextualSpacing/>
    </w:pPr>
  </w:style>
  <w:style w:type="character" w:styleId="Nmerodepgina">
    <w:name w:val="page number"/>
    <w:basedOn w:val="Fontepargpadro"/>
    <w:uiPriority w:val="99"/>
    <w:semiHidden/>
    <w:unhideWhenUsed/>
    <w:rsid w:val="00B261C3"/>
  </w:style>
  <w:style w:type="paragraph" w:styleId="Textodebalo">
    <w:name w:val="Balloon Text"/>
    <w:basedOn w:val="Normal"/>
    <w:link w:val="TextodebaloChar"/>
    <w:uiPriority w:val="99"/>
    <w:semiHidden/>
    <w:unhideWhenUsed/>
    <w:rsid w:val="0030269B"/>
    <w:rPr>
      <w:rFonts w:ascii="Segoe UI" w:hAnsi="Segoe UI" w:cs="Segoe UI"/>
      <w:sz w:val="18"/>
      <w:szCs w:val="18"/>
    </w:rPr>
  </w:style>
  <w:style w:type="character" w:customStyle="1" w:styleId="TextodebaloChar">
    <w:name w:val="Texto de balão Char"/>
    <w:basedOn w:val="Fontepargpadro"/>
    <w:link w:val="Textodebalo"/>
    <w:uiPriority w:val="99"/>
    <w:semiHidden/>
    <w:rsid w:val="0030269B"/>
    <w:rPr>
      <w:rFonts w:ascii="Segoe UI" w:eastAsia="Times New Roman" w:hAnsi="Segoe UI" w:cs="Segoe UI"/>
      <w:sz w:val="18"/>
      <w:szCs w:val="18"/>
      <w:lang w:eastAsia="pt-BR"/>
    </w:rPr>
  </w:style>
  <w:style w:type="character" w:customStyle="1" w:styleId="object">
    <w:name w:val="object"/>
    <w:basedOn w:val="Fontepargpadro"/>
    <w:rsid w:val="001A23E2"/>
  </w:style>
  <w:style w:type="paragraph" w:customStyle="1" w:styleId="Default">
    <w:name w:val="Default"/>
    <w:rsid w:val="00C829F3"/>
    <w:pPr>
      <w:autoSpaceDE w:val="0"/>
      <w:autoSpaceDN w:val="0"/>
      <w:adjustRightInd w:val="0"/>
    </w:pPr>
    <w:rPr>
      <w:rFonts w:ascii="Arial" w:hAnsi="Arial" w:cs="Arial"/>
      <w:color w:val="000000"/>
    </w:rPr>
  </w:style>
  <w:style w:type="table" w:styleId="Tabelacomgrade">
    <w:name w:val="Table Grid"/>
    <w:basedOn w:val="Tabelanormal"/>
    <w:uiPriority w:val="39"/>
    <w:rsid w:val="00B63E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notaderodap">
    <w:name w:val="footnote text"/>
    <w:basedOn w:val="Normal"/>
    <w:link w:val="TextodenotaderodapChar"/>
    <w:uiPriority w:val="99"/>
    <w:semiHidden/>
    <w:unhideWhenUsed/>
    <w:rsid w:val="00C12102"/>
    <w:rPr>
      <w:sz w:val="20"/>
    </w:rPr>
  </w:style>
  <w:style w:type="character" w:customStyle="1" w:styleId="TextodenotaderodapChar">
    <w:name w:val="Texto de nota de rodapé Char"/>
    <w:basedOn w:val="Fontepargpadro"/>
    <w:link w:val="Textodenotaderodap"/>
    <w:uiPriority w:val="99"/>
    <w:semiHidden/>
    <w:rsid w:val="00C12102"/>
    <w:rPr>
      <w:rFonts w:ascii="Footlight MT Light" w:eastAsia="Times New Roman" w:hAnsi="Footlight MT Light" w:cs="Times New Roman"/>
      <w:sz w:val="20"/>
      <w:szCs w:val="20"/>
      <w:lang w:eastAsia="pt-BR"/>
    </w:rPr>
  </w:style>
  <w:style w:type="character" w:styleId="Refdenotaderodap">
    <w:name w:val="footnote reference"/>
    <w:basedOn w:val="Fontepargpadro"/>
    <w:uiPriority w:val="99"/>
    <w:semiHidden/>
    <w:unhideWhenUsed/>
    <w:rsid w:val="00C12102"/>
    <w:rPr>
      <w:vertAlign w:val="superscript"/>
    </w:rPr>
  </w:style>
  <w:style w:type="character" w:customStyle="1" w:styleId="Ttulo1Char">
    <w:name w:val="Título 1 Char"/>
    <w:basedOn w:val="Fontepargpadro"/>
    <w:link w:val="Ttulo1"/>
    <w:uiPriority w:val="9"/>
    <w:rsid w:val="00371916"/>
    <w:rPr>
      <w:rFonts w:asciiTheme="majorHAnsi" w:eastAsiaTheme="majorEastAsia" w:hAnsiTheme="majorHAnsi" w:cstheme="majorBidi"/>
      <w:color w:val="2F5496" w:themeColor="accent1" w:themeShade="BF"/>
      <w:sz w:val="32"/>
      <w:szCs w:val="32"/>
      <w:lang w:eastAsia="pt-BR"/>
    </w:rPr>
  </w:style>
  <w:style w:type="paragraph" w:styleId="CabealhodoSumrio">
    <w:name w:val="TOC Heading"/>
    <w:basedOn w:val="Ttulo1"/>
    <w:next w:val="Normal"/>
    <w:uiPriority w:val="39"/>
    <w:unhideWhenUsed/>
    <w:qFormat/>
    <w:rsid w:val="00BB372F"/>
    <w:pPr>
      <w:keepNext w:val="0"/>
      <w:autoSpaceDE w:val="0"/>
      <w:spacing w:before="0" w:line="259" w:lineRule="auto"/>
      <w:jc w:val="both"/>
      <w:outlineLvl w:val="9"/>
    </w:pPr>
    <w:rPr>
      <w:sz w:val="24"/>
      <w:szCs w:val="24"/>
    </w:rPr>
  </w:style>
  <w:style w:type="paragraph" w:styleId="Sumrio1">
    <w:name w:val="toc 1"/>
    <w:basedOn w:val="Normal"/>
    <w:next w:val="Normal"/>
    <w:autoRedefine/>
    <w:uiPriority w:val="39"/>
    <w:unhideWhenUsed/>
    <w:rsid w:val="00BB372F"/>
    <w:pPr>
      <w:spacing w:after="100"/>
    </w:pPr>
    <w:rPr>
      <w:rFonts w:ascii="Times New Roman" w:hAnsi="Times New Roman"/>
      <w:sz w:val="24"/>
      <w:szCs w:val="24"/>
    </w:rPr>
  </w:style>
  <w:style w:type="paragraph" w:styleId="Sumrio2">
    <w:name w:val="toc 2"/>
    <w:basedOn w:val="Normal"/>
    <w:next w:val="Normal"/>
    <w:autoRedefine/>
    <w:uiPriority w:val="39"/>
    <w:unhideWhenUsed/>
    <w:rsid w:val="00BB372F"/>
    <w:pPr>
      <w:suppressAutoHyphens/>
      <w:spacing w:after="100"/>
      <w:ind w:left="240"/>
    </w:pPr>
    <w:rPr>
      <w:rFonts w:ascii="Times New Roman" w:eastAsia="Batang" w:hAnsi="Times New Roman"/>
      <w:sz w:val="24"/>
      <w:szCs w:val="24"/>
      <w:lang w:eastAsia="zh-CN"/>
    </w:rPr>
  </w:style>
  <w:style w:type="paragraph" w:customStyle="1" w:styleId="NovaRedao">
    <w:name w:val="NovaRedação*"/>
    <w:basedOn w:val="Normal"/>
    <w:uiPriority w:val="99"/>
    <w:rsid w:val="00A23A4D"/>
    <w:pPr>
      <w:suppressAutoHyphens/>
      <w:spacing w:before="120"/>
      <w:ind w:left="284"/>
      <w:jc w:val="both"/>
    </w:pPr>
    <w:rPr>
      <w:rFonts w:ascii="Arial" w:hAnsi="Arial"/>
      <w:caps/>
      <w:sz w:val="16"/>
      <w:lang w:eastAsia="ar-SA"/>
    </w:rPr>
  </w:style>
  <w:style w:type="paragraph" w:customStyle="1" w:styleId="ParNormal">
    <w:name w:val="Par.Normal*"/>
    <w:basedOn w:val="Normal"/>
    <w:uiPriority w:val="99"/>
    <w:rsid w:val="00A23A4D"/>
    <w:pPr>
      <w:suppressAutoHyphens/>
      <w:spacing w:before="120"/>
      <w:ind w:firstLine="284"/>
      <w:jc w:val="both"/>
    </w:pPr>
    <w:rPr>
      <w:rFonts w:ascii="Arial" w:hAnsi="Arial"/>
      <w:sz w:val="22"/>
      <w:lang w:eastAsia="ar-SA"/>
    </w:rPr>
  </w:style>
  <w:style w:type="paragraph" w:customStyle="1" w:styleId="TextoRevo">
    <w:name w:val="Texto Revo*"/>
    <w:basedOn w:val="Normal"/>
    <w:uiPriority w:val="99"/>
    <w:rsid w:val="00A23A4D"/>
    <w:pPr>
      <w:suppressAutoHyphens/>
      <w:spacing w:before="80"/>
      <w:ind w:left="567"/>
      <w:jc w:val="both"/>
    </w:pPr>
    <w:rPr>
      <w:rFonts w:ascii="Arial (W1)" w:hAnsi="Arial (W1)"/>
      <w:i/>
      <w:sz w:val="16"/>
      <w:lang w:eastAsia="ar-SA"/>
    </w:rPr>
  </w:style>
  <w:style w:type="paragraph" w:customStyle="1" w:styleId="NotaVigncia">
    <w:name w:val="NotaVigência*"/>
    <w:basedOn w:val="Normal"/>
    <w:uiPriority w:val="99"/>
    <w:rsid w:val="00A23A4D"/>
    <w:pPr>
      <w:suppressAutoHyphens/>
      <w:ind w:left="567"/>
      <w:jc w:val="both"/>
    </w:pPr>
    <w:rPr>
      <w:rFonts w:ascii="Arial" w:hAnsi="Arial"/>
      <w:i/>
      <w:color w:val="FF0000"/>
      <w:sz w:val="16"/>
      <w:lang w:eastAsia="ar-SA"/>
    </w:rPr>
  </w:style>
  <w:style w:type="paragraph" w:customStyle="1" w:styleId="NotaDisc1">
    <w:name w:val="NotaDisc.1*"/>
    <w:basedOn w:val="Normal"/>
    <w:uiPriority w:val="99"/>
    <w:rsid w:val="00A23A4D"/>
    <w:pPr>
      <w:suppressAutoHyphens/>
      <w:spacing w:before="60"/>
      <w:ind w:left="834" w:hanging="550"/>
      <w:jc w:val="both"/>
    </w:pPr>
    <w:rPr>
      <w:rFonts w:ascii="Arial" w:hAnsi="Arial"/>
      <w:sz w:val="16"/>
      <w:lang w:eastAsia="ar-SA"/>
    </w:rPr>
  </w:style>
  <w:style w:type="character" w:styleId="nfase">
    <w:name w:val="Emphasis"/>
    <w:basedOn w:val="Fontepargpadro"/>
    <w:qFormat/>
    <w:rsid w:val="000D4B70"/>
    <w:rPr>
      <w:i/>
      <w:iCs/>
    </w:rPr>
  </w:style>
  <w:style w:type="character" w:customStyle="1" w:styleId="Ttulo2Char">
    <w:name w:val="Título 2 Char"/>
    <w:basedOn w:val="Fontepargpadro"/>
    <w:link w:val="Ttulo2"/>
    <w:uiPriority w:val="9"/>
    <w:rsid w:val="00A12B50"/>
    <w:rPr>
      <w:rFonts w:ascii="Times New Roman" w:eastAsia="Times New Roman" w:hAnsi="Times New Roman" w:cs="Times New Roman"/>
      <w:b/>
      <w:color w:val="008000"/>
      <w:sz w:val="16"/>
      <w:szCs w:val="20"/>
      <w:lang w:eastAsia="ar-SA"/>
    </w:rPr>
  </w:style>
  <w:style w:type="character" w:customStyle="1" w:styleId="Ttulo4Char">
    <w:name w:val="Título 4 Char"/>
    <w:basedOn w:val="Fontepargpadro"/>
    <w:link w:val="Ttulo4"/>
    <w:uiPriority w:val="9"/>
    <w:rsid w:val="00A12B50"/>
    <w:rPr>
      <w:rFonts w:ascii="Arial" w:eastAsia="Times New Roman" w:hAnsi="Arial" w:cs="Times New Roman"/>
      <w:szCs w:val="20"/>
      <w:lang w:eastAsia="ar-SA"/>
    </w:rPr>
  </w:style>
  <w:style w:type="character" w:customStyle="1" w:styleId="Ttulo6Char">
    <w:name w:val="Título 6 Char"/>
    <w:basedOn w:val="Fontepargpadro"/>
    <w:link w:val="Ttulo6"/>
    <w:uiPriority w:val="9"/>
    <w:rsid w:val="00A12B50"/>
    <w:rPr>
      <w:rFonts w:ascii="Arial" w:eastAsia="Times New Roman" w:hAnsi="Arial" w:cs="Times New Roman"/>
      <w:i/>
      <w:sz w:val="22"/>
      <w:szCs w:val="20"/>
      <w:lang w:eastAsia="ar-SA"/>
    </w:rPr>
  </w:style>
  <w:style w:type="character" w:customStyle="1" w:styleId="Ttulo7Char">
    <w:name w:val="Título 7 Char"/>
    <w:basedOn w:val="Fontepargpadro"/>
    <w:link w:val="Ttulo7"/>
    <w:uiPriority w:val="9"/>
    <w:semiHidden/>
    <w:rsid w:val="00A12B50"/>
    <w:rPr>
      <w:rFonts w:ascii="Arial" w:eastAsia="Times New Roman" w:hAnsi="Arial" w:cs="Times New Roman"/>
      <w:b/>
      <w:sz w:val="22"/>
      <w:szCs w:val="20"/>
      <w:lang w:eastAsia="ar-SA"/>
    </w:rPr>
  </w:style>
  <w:style w:type="character" w:customStyle="1" w:styleId="Ttulo8Char">
    <w:name w:val="Título 8 Char"/>
    <w:basedOn w:val="Fontepargpadro"/>
    <w:link w:val="Ttulo8"/>
    <w:uiPriority w:val="9"/>
    <w:semiHidden/>
    <w:rsid w:val="00A12B50"/>
    <w:rPr>
      <w:rFonts w:ascii="Arial" w:eastAsia="Times New Roman" w:hAnsi="Arial" w:cs="Times New Roman"/>
      <w:b/>
      <w:color w:val="000000"/>
      <w:sz w:val="20"/>
      <w:szCs w:val="20"/>
      <w:u w:val="single"/>
      <w:lang w:eastAsia="ar-SA"/>
    </w:rPr>
  </w:style>
  <w:style w:type="character" w:customStyle="1" w:styleId="Ttulo9Char">
    <w:name w:val="Título 9 Char"/>
    <w:basedOn w:val="Fontepargpadro"/>
    <w:link w:val="Ttulo9"/>
    <w:uiPriority w:val="9"/>
    <w:semiHidden/>
    <w:rsid w:val="00A12B50"/>
    <w:rPr>
      <w:rFonts w:ascii="Times New Roman" w:eastAsia="Times New Roman" w:hAnsi="Times New Roman" w:cs="Times New Roman"/>
      <w:color w:val="000000"/>
      <w:szCs w:val="20"/>
      <w:lang w:eastAsia="ar-SA"/>
    </w:rPr>
  </w:style>
  <w:style w:type="character" w:styleId="HiperlinkVisitado">
    <w:name w:val="FollowedHyperlink"/>
    <w:uiPriority w:val="99"/>
    <w:semiHidden/>
    <w:unhideWhenUsed/>
    <w:rsid w:val="00A12B50"/>
    <w:rPr>
      <w:rFonts w:ascii="Arial" w:hAnsi="Arial" w:cs="Arial" w:hint="default"/>
      <w:color w:val="800080"/>
      <w:sz w:val="18"/>
      <w:u w:val="single"/>
    </w:rPr>
  </w:style>
  <w:style w:type="paragraph" w:customStyle="1" w:styleId="msonormal0">
    <w:name w:val="msonormal"/>
    <w:basedOn w:val="Normal"/>
    <w:semiHidden/>
    <w:rsid w:val="00A12B50"/>
    <w:pPr>
      <w:suppressAutoHyphens/>
      <w:spacing w:before="100" w:after="100"/>
    </w:pPr>
    <w:rPr>
      <w:rFonts w:ascii="Times New Roman" w:hAnsi="Times New Roman"/>
      <w:sz w:val="24"/>
      <w:lang w:eastAsia="ar-SA"/>
    </w:rPr>
  </w:style>
  <w:style w:type="paragraph" w:styleId="Sumrio3">
    <w:name w:val="toc 3"/>
    <w:basedOn w:val="Normal"/>
    <w:next w:val="Normal"/>
    <w:autoRedefine/>
    <w:uiPriority w:val="39"/>
    <w:unhideWhenUsed/>
    <w:rsid w:val="00A12B50"/>
    <w:pPr>
      <w:suppressAutoHyphens/>
      <w:ind w:left="480"/>
    </w:pPr>
    <w:rPr>
      <w:rFonts w:ascii="Arial" w:hAnsi="Arial"/>
      <w:sz w:val="24"/>
      <w:lang w:eastAsia="ar-SA"/>
    </w:rPr>
  </w:style>
  <w:style w:type="paragraph" w:styleId="Sumrio4">
    <w:name w:val="toc 4"/>
    <w:basedOn w:val="Normal"/>
    <w:next w:val="Normal"/>
    <w:autoRedefine/>
    <w:uiPriority w:val="39"/>
    <w:semiHidden/>
    <w:unhideWhenUsed/>
    <w:rsid w:val="00A12B50"/>
    <w:pPr>
      <w:suppressAutoHyphens/>
      <w:ind w:left="720"/>
    </w:pPr>
    <w:rPr>
      <w:rFonts w:ascii="Arial" w:hAnsi="Arial"/>
      <w:sz w:val="24"/>
      <w:lang w:eastAsia="ar-SA"/>
    </w:rPr>
  </w:style>
  <w:style w:type="paragraph" w:styleId="Textodecomentrio">
    <w:name w:val="annotation text"/>
    <w:basedOn w:val="Normal"/>
    <w:link w:val="TextodecomentrioChar"/>
    <w:uiPriority w:val="99"/>
    <w:semiHidden/>
    <w:unhideWhenUsed/>
    <w:rsid w:val="00A12B50"/>
    <w:pPr>
      <w:suppressAutoHyphens/>
    </w:pPr>
    <w:rPr>
      <w:rFonts w:ascii="Times New Roman" w:hAnsi="Times New Roman"/>
      <w:sz w:val="20"/>
      <w:lang w:eastAsia="ar-SA"/>
    </w:rPr>
  </w:style>
  <w:style w:type="character" w:customStyle="1" w:styleId="TextodecomentrioChar">
    <w:name w:val="Texto de comentário Char"/>
    <w:basedOn w:val="Fontepargpadro"/>
    <w:link w:val="Textodecomentrio"/>
    <w:uiPriority w:val="99"/>
    <w:semiHidden/>
    <w:rsid w:val="00A12B50"/>
    <w:rPr>
      <w:rFonts w:ascii="Times New Roman" w:eastAsia="Times New Roman" w:hAnsi="Times New Roman" w:cs="Times New Roman"/>
      <w:sz w:val="20"/>
      <w:szCs w:val="20"/>
      <w:lang w:eastAsia="ar-SA"/>
    </w:rPr>
  </w:style>
  <w:style w:type="paragraph" w:styleId="Legenda">
    <w:name w:val="caption"/>
    <w:basedOn w:val="Normal"/>
    <w:uiPriority w:val="35"/>
    <w:qFormat/>
    <w:rsid w:val="00A12B50"/>
    <w:pPr>
      <w:suppressLineNumbers/>
      <w:suppressAutoHyphens/>
      <w:spacing w:before="120" w:after="120"/>
    </w:pPr>
    <w:rPr>
      <w:rFonts w:ascii="Arial" w:hAnsi="Arial" w:cs="Tahoma"/>
      <w:i/>
      <w:iCs/>
      <w:sz w:val="24"/>
      <w:szCs w:val="24"/>
      <w:lang w:eastAsia="ar-SA"/>
    </w:rPr>
  </w:style>
  <w:style w:type="paragraph" w:styleId="Corpodetexto">
    <w:name w:val="Body Text"/>
    <w:basedOn w:val="Normal"/>
    <w:link w:val="CorpodetextoChar"/>
    <w:unhideWhenUsed/>
    <w:rsid w:val="00A12B50"/>
    <w:pPr>
      <w:suppressAutoHyphens/>
      <w:spacing w:after="120"/>
    </w:pPr>
    <w:rPr>
      <w:rFonts w:ascii="Arial" w:hAnsi="Arial"/>
      <w:sz w:val="24"/>
      <w:szCs w:val="24"/>
      <w:lang w:eastAsia="ar-SA"/>
    </w:rPr>
  </w:style>
  <w:style w:type="character" w:customStyle="1" w:styleId="CorpodetextoChar">
    <w:name w:val="Corpo de texto Char"/>
    <w:basedOn w:val="Fontepargpadro"/>
    <w:link w:val="Corpodetexto"/>
    <w:rsid w:val="00A12B50"/>
    <w:rPr>
      <w:rFonts w:ascii="Arial" w:eastAsia="Times New Roman" w:hAnsi="Arial" w:cs="Times New Roman"/>
      <w:lang w:eastAsia="ar-SA"/>
    </w:rPr>
  </w:style>
  <w:style w:type="paragraph" w:styleId="Lista">
    <w:name w:val="List"/>
    <w:basedOn w:val="Corpodetexto"/>
    <w:uiPriority w:val="99"/>
    <w:semiHidden/>
    <w:unhideWhenUsed/>
    <w:rsid w:val="00A12B50"/>
    <w:rPr>
      <w:rFonts w:cs="Tahoma"/>
    </w:rPr>
  </w:style>
  <w:style w:type="paragraph" w:styleId="Ttulo">
    <w:name w:val="Title"/>
    <w:basedOn w:val="Normal"/>
    <w:link w:val="TtuloChar"/>
    <w:uiPriority w:val="10"/>
    <w:qFormat/>
    <w:rsid w:val="00A12B50"/>
    <w:pPr>
      <w:spacing w:before="100" w:beforeAutospacing="1" w:after="100" w:afterAutospacing="1"/>
    </w:pPr>
    <w:rPr>
      <w:rFonts w:ascii="Arial Unicode MS" w:hAnsi="Arial Unicode MS"/>
      <w:sz w:val="24"/>
      <w:szCs w:val="24"/>
    </w:rPr>
  </w:style>
  <w:style w:type="character" w:customStyle="1" w:styleId="TtuloChar">
    <w:name w:val="Título Char"/>
    <w:basedOn w:val="Fontepargpadro"/>
    <w:link w:val="Ttulo"/>
    <w:uiPriority w:val="10"/>
    <w:rsid w:val="00A12B50"/>
    <w:rPr>
      <w:rFonts w:ascii="Arial Unicode MS" w:eastAsia="Times New Roman" w:hAnsi="Arial Unicode MS" w:cs="Times New Roman"/>
      <w:lang w:eastAsia="pt-BR"/>
    </w:rPr>
  </w:style>
  <w:style w:type="paragraph" w:styleId="Recuodecorpodetexto">
    <w:name w:val="Body Text Indent"/>
    <w:basedOn w:val="Normal"/>
    <w:link w:val="RecuodecorpodetextoChar"/>
    <w:uiPriority w:val="99"/>
    <w:semiHidden/>
    <w:unhideWhenUsed/>
    <w:rsid w:val="00A12B50"/>
    <w:pPr>
      <w:pBdr>
        <w:top w:val="single" w:sz="4" w:space="1" w:color="000000"/>
      </w:pBdr>
      <w:suppressAutoHyphens/>
      <w:jc w:val="both"/>
    </w:pPr>
    <w:rPr>
      <w:rFonts w:ascii="Arial" w:hAnsi="Arial"/>
      <w:sz w:val="24"/>
      <w:lang w:eastAsia="ar-SA"/>
    </w:rPr>
  </w:style>
  <w:style w:type="character" w:customStyle="1" w:styleId="RecuodecorpodetextoChar">
    <w:name w:val="Recuo de corpo de texto Char"/>
    <w:basedOn w:val="Fontepargpadro"/>
    <w:link w:val="Recuodecorpodetexto"/>
    <w:uiPriority w:val="99"/>
    <w:semiHidden/>
    <w:rsid w:val="00A12B50"/>
    <w:rPr>
      <w:rFonts w:ascii="Arial" w:eastAsia="Times New Roman" w:hAnsi="Arial" w:cs="Times New Roman"/>
      <w:szCs w:val="20"/>
      <w:lang w:eastAsia="ar-SA"/>
    </w:rPr>
  </w:style>
  <w:style w:type="paragraph" w:styleId="Subttulo">
    <w:name w:val="Subtitle"/>
    <w:basedOn w:val="Normal"/>
    <w:link w:val="SubttuloChar"/>
    <w:uiPriority w:val="11"/>
    <w:qFormat/>
    <w:rsid w:val="00A12B50"/>
    <w:pPr>
      <w:spacing w:before="100" w:beforeAutospacing="1" w:after="100" w:afterAutospacing="1"/>
    </w:pPr>
    <w:rPr>
      <w:rFonts w:ascii="Arial Unicode MS" w:hAnsi="Arial Unicode MS"/>
      <w:sz w:val="24"/>
      <w:szCs w:val="24"/>
    </w:rPr>
  </w:style>
  <w:style w:type="character" w:customStyle="1" w:styleId="SubttuloChar">
    <w:name w:val="Subtítulo Char"/>
    <w:basedOn w:val="Fontepargpadro"/>
    <w:link w:val="Subttulo"/>
    <w:uiPriority w:val="11"/>
    <w:rsid w:val="00A12B50"/>
    <w:rPr>
      <w:rFonts w:ascii="Arial Unicode MS" w:eastAsia="Times New Roman" w:hAnsi="Arial Unicode MS" w:cs="Times New Roman"/>
      <w:lang w:eastAsia="pt-BR"/>
    </w:rPr>
  </w:style>
  <w:style w:type="paragraph" w:styleId="Corpodetexto2">
    <w:name w:val="Body Text 2"/>
    <w:basedOn w:val="Normal"/>
    <w:link w:val="Corpodetexto2Char"/>
    <w:uiPriority w:val="99"/>
    <w:semiHidden/>
    <w:unhideWhenUsed/>
    <w:rsid w:val="00A12B50"/>
    <w:pPr>
      <w:suppressAutoHyphens/>
      <w:spacing w:after="120"/>
    </w:pPr>
    <w:rPr>
      <w:rFonts w:ascii="Arial" w:hAnsi="Arial"/>
      <w:sz w:val="22"/>
      <w:lang w:eastAsia="ar-SA"/>
    </w:rPr>
  </w:style>
  <w:style w:type="character" w:customStyle="1" w:styleId="Corpodetexto2Char">
    <w:name w:val="Corpo de texto 2 Char"/>
    <w:basedOn w:val="Fontepargpadro"/>
    <w:link w:val="Corpodetexto2"/>
    <w:uiPriority w:val="99"/>
    <w:semiHidden/>
    <w:rsid w:val="00A12B50"/>
    <w:rPr>
      <w:rFonts w:ascii="Arial" w:eastAsia="Times New Roman" w:hAnsi="Arial" w:cs="Times New Roman"/>
      <w:sz w:val="22"/>
      <w:szCs w:val="20"/>
      <w:lang w:eastAsia="ar-SA"/>
    </w:rPr>
  </w:style>
  <w:style w:type="paragraph" w:styleId="Corpodetexto3">
    <w:name w:val="Body Text 3"/>
    <w:basedOn w:val="Normal"/>
    <w:link w:val="Corpodetexto3Char"/>
    <w:uiPriority w:val="99"/>
    <w:semiHidden/>
    <w:unhideWhenUsed/>
    <w:rsid w:val="00A12B50"/>
    <w:pPr>
      <w:spacing w:before="100" w:beforeAutospacing="1" w:after="100" w:afterAutospacing="1"/>
    </w:pPr>
    <w:rPr>
      <w:rFonts w:ascii="Arial Unicode MS" w:hAnsi="Arial Unicode MS"/>
      <w:sz w:val="24"/>
      <w:szCs w:val="24"/>
    </w:rPr>
  </w:style>
  <w:style w:type="character" w:customStyle="1" w:styleId="Corpodetexto3Char">
    <w:name w:val="Corpo de texto 3 Char"/>
    <w:basedOn w:val="Fontepargpadro"/>
    <w:link w:val="Corpodetexto3"/>
    <w:uiPriority w:val="99"/>
    <w:semiHidden/>
    <w:rsid w:val="00A12B50"/>
    <w:rPr>
      <w:rFonts w:ascii="Arial Unicode MS" w:eastAsia="Times New Roman" w:hAnsi="Arial Unicode MS" w:cs="Times New Roman"/>
      <w:lang w:eastAsia="pt-BR"/>
    </w:rPr>
  </w:style>
  <w:style w:type="paragraph" w:styleId="Assuntodocomentrio">
    <w:name w:val="annotation subject"/>
    <w:basedOn w:val="Textodecomentrio"/>
    <w:next w:val="Textodecomentrio"/>
    <w:link w:val="AssuntodocomentrioChar"/>
    <w:uiPriority w:val="99"/>
    <w:semiHidden/>
    <w:unhideWhenUsed/>
    <w:rsid w:val="00A12B50"/>
    <w:rPr>
      <w:rFonts w:ascii="Arial" w:hAnsi="Arial"/>
      <w:b/>
      <w:bCs/>
    </w:rPr>
  </w:style>
  <w:style w:type="character" w:customStyle="1" w:styleId="AssuntodocomentrioChar">
    <w:name w:val="Assunto do comentário Char"/>
    <w:basedOn w:val="TextodecomentrioChar"/>
    <w:link w:val="Assuntodocomentrio"/>
    <w:uiPriority w:val="99"/>
    <w:semiHidden/>
    <w:rsid w:val="00A12B50"/>
    <w:rPr>
      <w:rFonts w:ascii="Arial" w:eastAsia="Times New Roman" w:hAnsi="Arial" w:cs="Times New Roman"/>
      <w:b/>
      <w:bCs/>
      <w:sz w:val="20"/>
      <w:szCs w:val="20"/>
      <w:lang w:eastAsia="ar-SA"/>
    </w:rPr>
  </w:style>
  <w:style w:type="paragraph" w:customStyle="1" w:styleId="Captulo">
    <w:name w:val="Capítulo"/>
    <w:basedOn w:val="Normal"/>
    <w:next w:val="Corpodetexto"/>
    <w:semiHidden/>
    <w:rsid w:val="00A12B50"/>
    <w:pPr>
      <w:keepNext/>
      <w:suppressAutoHyphens/>
      <w:spacing w:before="240" w:after="120"/>
    </w:pPr>
    <w:rPr>
      <w:rFonts w:ascii="Arial" w:eastAsia="MS Mincho" w:hAnsi="Arial" w:cs="Tahoma"/>
      <w:sz w:val="28"/>
      <w:szCs w:val="28"/>
      <w:lang w:eastAsia="ar-SA"/>
    </w:rPr>
  </w:style>
  <w:style w:type="paragraph" w:customStyle="1" w:styleId="ndice">
    <w:name w:val="Índice"/>
    <w:basedOn w:val="Normal"/>
    <w:semiHidden/>
    <w:rsid w:val="00A12B50"/>
    <w:pPr>
      <w:suppressLineNumbers/>
      <w:suppressAutoHyphens/>
    </w:pPr>
    <w:rPr>
      <w:rFonts w:ascii="Arial" w:hAnsi="Arial" w:cs="Tahoma"/>
      <w:sz w:val="24"/>
      <w:szCs w:val="24"/>
      <w:lang w:eastAsia="ar-SA"/>
    </w:rPr>
  </w:style>
  <w:style w:type="paragraph" w:customStyle="1" w:styleId="DECRETOTTULO">
    <w:name w:val="DECRETO TÍTULO*"/>
    <w:basedOn w:val="Normal"/>
    <w:semiHidden/>
    <w:rsid w:val="00A12B50"/>
    <w:pPr>
      <w:suppressAutoHyphens/>
      <w:jc w:val="center"/>
    </w:pPr>
    <w:rPr>
      <w:rFonts w:ascii="Arial" w:hAnsi="Arial"/>
      <w:b/>
      <w:caps/>
      <w:sz w:val="24"/>
      <w:lang w:eastAsia="ar-SA"/>
    </w:rPr>
  </w:style>
  <w:style w:type="paragraph" w:customStyle="1" w:styleId="DOEDATA">
    <w:name w:val="DOE DATA*"/>
    <w:basedOn w:val="Normal"/>
    <w:semiHidden/>
    <w:rsid w:val="00A12B50"/>
    <w:pPr>
      <w:suppressAutoHyphens/>
      <w:jc w:val="center"/>
    </w:pPr>
    <w:rPr>
      <w:rFonts w:ascii="Arial" w:hAnsi="Arial"/>
      <w:caps/>
      <w:sz w:val="16"/>
      <w:lang w:eastAsia="ar-SA"/>
    </w:rPr>
  </w:style>
  <w:style w:type="paragraph" w:customStyle="1" w:styleId="INSTRTTULO">
    <w:name w:val="INSTR TÍTULO"/>
    <w:basedOn w:val="Normal"/>
    <w:semiHidden/>
    <w:rsid w:val="00A12B50"/>
    <w:pPr>
      <w:widowControl w:val="0"/>
      <w:suppressAutoHyphens/>
      <w:jc w:val="center"/>
    </w:pPr>
    <w:rPr>
      <w:rFonts w:ascii="Arial" w:hAnsi="Arial"/>
      <w:b/>
      <w:sz w:val="24"/>
      <w:lang w:eastAsia="ar-SA"/>
    </w:rPr>
  </w:style>
  <w:style w:type="paragraph" w:customStyle="1" w:styleId="NovaRedRev">
    <w:name w:val="NovaRed.Rev*"/>
    <w:basedOn w:val="Normal"/>
    <w:semiHidden/>
    <w:rsid w:val="00A12B50"/>
    <w:pPr>
      <w:suppressAutoHyphens/>
      <w:spacing w:before="80"/>
      <w:ind w:left="567"/>
      <w:jc w:val="both"/>
    </w:pPr>
    <w:rPr>
      <w:rFonts w:ascii="Arial (W1)" w:hAnsi="Arial (W1)"/>
      <w:i/>
      <w:caps/>
      <w:sz w:val="16"/>
      <w:lang w:eastAsia="ar-SA"/>
    </w:rPr>
  </w:style>
  <w:style w:type="paragraph" w:customStyle="1" w:styleId="ParEmenta">
    <w:name w:val="Par.Ementa*"/>
    <w:basedOn w:val="Normal"/>
    <w:semiHidden/>
    <w:rsid w:val="00A12B50"/>
    <w:pPr>
      <w:suppressAutoHyphens/>
      <w:spacing w:before="360" w:after="360"/>
      <w:ind w:left="567"/>
      <w:jc w:val="both"/>
    </w:pPr>
    <w:rPr>
      <w:rFonts w:ascii="Arial" w:hAnsi="Arial"/>
      <w:sz w:val="22"/>
      <w:lang w:eastAsia="ar-SA"/>
    </w:rPr>
  </w:style>
  <w:style w:type="paragraph" w:customStyle="1" w:styleId="PargrafoAlterador">
    <w:name w:val="Parágrafo Alterador*"/>
    <w:basedOn w:val="Normal"/>
    <w:semiHidden/>
    <w:qFormat/>
    <w:rsid w:val="00A12B50"/>
    <w:pPr>
      <w:tabs>
        <w:tab w:val="right" w:leader="dot" w:pos="9072"/>
      </w:tabs>
      <w:suppressAutoHyphens/>
      <w:spacing w:before="120"/>
      <w:ind w:left="284"/>
      <w:jc w:val="both"/>
    </w:pPr>
    <w:rPr>
      <w:rFonts w:ascii="Arial" w:hAnsi="Arial"/>
      <w:sz w:val="24"/>
      <w:lang w:eastAsia="ar-SA"/>
    </w:rPr>
  </w:style>
  <w:style w:type="paragraph" w:customStyle="1" w:styleId="PargrafoAlterador-titulo">
    <w:name w:val="Parágrafo Alterador - titulo*"/>
    <w:basedOn w:val="PargrafoAlterador"/>
    <w:semiHidden/>
    <w:qFormat/>
    <w:rsid w:val="00A12B50"/>
    <w:pPr>
      <w:spacing w:before="0"/>
      <w:jc w:val="center"/>
    </w:pPr>
  </w:style>
  <w:style w:type="paragraph" w:customStyle="1" w:styleId="pargrafoalterador0">
    <w:name w:val="parágrafo alterador*"/>
    <w:basedOn w:val="Normal"/>
    <w:semiHidden/>
    <w:rsid w:val="00A12B50"/>
    <w:pPr>
      <w:tabs>
        <w:tab w:val="right" w:leader="dot" w:pos="9072"/>
      </w:tabs>
      <w:suppressAutoHyphens/>
      <w:spacing w:after="120"/>
      <w:ind w:left="284"/>
      <w:jc w:val="both"/>
    </w:pPr>
    <w:rPr>
      <w:rFonts w:ascii="Arial" w:hAnsi="Arial"/>
      <w:sz w:val="22"/>
      <w:lang w:eastAsia="ar-SA"/>
    </w:rPr>
  </w:style>
  <w:style w:type="paragraph" w:customStyle="1" w:styleId="TitCentral">
    <w:name w:val="Tit.Central*"/>
    <w:basedOn w:val="Normal"/>
    <w:semiHidden/>
    <w:rsid w:val="00A12B50"/>
    <w:pPr>
      <w:tabs>
        <w:tab w:val="left" w:pos="5040"/>
      </w:tabs>
      <w:suppressAutoHyphens/>
      <w:jc w:val="center"/>
    </w:pPr>
    <w:rPr>
      <w:rFonts w:ascii="Arial (W1)" w:hAnsi="Arial (W1)"/>
      <w:sz w:val="22"/>
      <w:lang w:eastAsia="ar-SA"/>
    </w:rPr>
  </w:style>
  <w:style w:type="paragraph" w:customStyle="1" w:styleId="Capitulo">
    <w:name w:val="Capitulo*"/>
    <w:basedOn w:val="TitCentral"/>
    <w:semiHidden/>
    <w:rsid w:val="00A12B50"/>
    <w:rPr>
      <w:rFonts w:ascii="Arial" w:hAnsi="Arial"/>
    </w:rPr>
  </w:style>
  <w:style w:type="paragraph" w:customStyle="1" w:styleId="Secao">
    <w:name w:val="Secao*"/>
    <w:basedOn w:val="TitCentral"/>
    <w:semiHidden/>
    <w:rsid w:val="00A12B50"/>
    <w:rPr>
      <w:rFonts w:ascii="Arial" w:hAnsi="Arial"/>
    </w:rPr>
  </w:style>
  <w:style w:type="paragraph" w:customStyle="1" w:styleId="NotaDisc3">
    <w:name w:val="NotaDisc3*"/>
    <w:basedOn w:val="Normal"/>
    <w:semiHidden/>
    <w:rsid w:val="00A12B50"/>
    <w:pPr>
      <w:suppressAutoHyphens/>
      <w:spacing w:before="20" w:after="20"/>
      <w:ind w:left="454" w:hanging="170"/>
      <w:jc w:val="both"/>
    </w:pPr>
    <w:rPr>
      <w:rFonts w:ascii="Arial" w:hAnsi="Arial"/>
      <w:sz w:val="16"/>
      <w:lang w:eastAsia="ar-SA"/>
    </w:rPr>
  </w:style>
  <w:style w:type="paragraph" w:customStyle="1" w:styleId="NotaRev">
    <w:name w:val="NotaRev*"/>
    <w:basedOn w:val="Normal"/>
    <w:semiHidden/>
    <w:rsid w:val="00A12B50"/>
    <w:pPr>
      <w:suppressAutoHyphens/>
      <w:ind w:left="737" w:hanging="170"/>
      <w:jc w:val="both"/>
    </w:pPr>
    <w:rPr>
      <w:rFonts w:ascii="Arial (W1)" w:hAnsi="Arial (W1)"/>
      <w:i/>
      <w:sz w:val="16"/>
      <w:lang w:eastAsia="ar-SA"/>
    </w:rPr>
  </w:style>
  <w:style w:type="paragraph" w:customStyle="1" w:styleId="PARTABULI">
    <w:name w:val="PAR TABUL I"/>
    <w:basedOn w:val="Normal"/>
    <w:semiHidden/>
    <w:rsid w:val="00A12B50"/>
    <w:pPr>
      <w:tabs>
        <w:tab w:val="left" w:pos="1701"/>
        <w:tab w:val="right" w:leader="dot" w:pos="9639"/>
      </w:tabs>
      <w:suppressAutoHyphens/>
      <w:spacing w:before="60" w:after="60"/>
      <w:ind w:left="1588" w:right="1134" w:hanging="1588"/>
      <w:jc w:val="both"/>
    </w:pPr>
    <w:rPr>
      <w:rFonts w:ascii="Arial" w:hAnsi="Arial"/>
      <w:sz w:val="22"/>
      <w:lang w:eastAsia="ar-SA"/>
    </w:rPr>
  </w:style>
  <w:style w:type="paragraph" w:customStyle="1" w:styleId="PARTABULAI">
    <w:name w:val="PAR TABULA I"/>
    <w:basedOn w:val="Normal"/>
    <w:semiHidden/>
    <w:rsid w:val="00A12B50"/>
    <w:pPr>
      <w:tabs>
        <w:tab w:val="left" w:pos="1134"/>
        <w:tab w:val="left" w:pos="1871"/>
      </w:tabs>
      <w:suppressAutoHyphens/>
      <w:spacing w:before="60" w:after="60"/>
      <w:jc w:val="both"/>
    </w:pPr>
    <w:rPr>
      <w:rFonts w:ascii="Arial" w:hAnsi="Arial"/>
      <w:sz w:val="22"/>
      <w:lang w:eastAsia="ar-SA"/>
    </w:rPr>
  </w:style>
  <w:style w:type="paragraph" w:customStyle="1" w:styleId="PARTABULII">
    <w:name w:val="PAR TABUL II"/>
    <w:basedOn w:val="PARTABULAI"/>
    <w:semiHidden/>
    <w:rsid w:val="00A12B50"/>
    <w:pPr>
      <w:tabs>
        <w:tab w:val="left" w:pos="1701"/>
      </w:tabs>
      <w:spacing w:before="0" w:after="40"/>
      <w:ind w:left="1588" w:right="1134" w:hanging="1588"/>
    </w:pPr>
    <w:rPr>
      <w:i/>
    </w:rPr>
  </w:style>
  <w:style w:type="paragraph" w:customStyle="1" w:styleId="PARTABULIII">
    <w:name w:val="PAR TABUL III"/>
    <w:basedOn w:val="Normal"/>
    <w:semiHidden/>
    <w:rsid w:val="00A12B50"/>
    <w:pPr>
      <w:tabs>
        <w:tab w:val="left" w:pos="680"/>
        <w:tab w:val="left" w:pos="1588"/>
        <w:tab w:val="right" w:leader="dot" w:pos="9356"/>
      </w:tabs>
      <w:suppressAutoHyphens/>
      <w:spacing w:before="40" w:after="60"/>
      <w:ind w:left="1588" w:right="1701" w:hanging="1588"/>
      <w:jc w:val="both"/>
    </w:pPr>
    <w:rPr>
      <w:rFonts w:ascii="Arial" w:hAnsi="Arial"/>
      <w:sz w:val="22"/>
      <w:lang w:eastAsia="ar-SA"/>
    </w:rPr>
  </w:style>
  <w:style w:type="paragraph" w:customStyle="1" w:styleId="PartabulIIIrev">
    <w:name w:val="Par tabul III rev*"/>
    <w:basedOn w:val="PARTABULIII"/>
    <w:semiHidden/>
    <w:rsid w:val="00A12B50"/>
    <w:rPr>
      <w:rFonts w:ascii="Arial (W1)" w:hAnsi="Arial (W1)"/>
      <w:i/>
      <w:sz w:val="18"/>
    </w:rPr>
  </w:style>
  <w:style w:type="paragraph" w:customStyle="1" w:styleId="Estilo1">
    <w:name w:val="Estilo1"/>
    <w:basedOn w:val="Normal"/>
    <w:semiHidden/>
    <w:rsid w:val="00A12B50"/>
    <w:pPr>
      <w:suppressAutoHyphens/>
      <w:spacing w:before="60" w:after="120"/>
      <w:ind w:firstLine="2268"/>
      <w:jc w:val="both"/>
    </w:pPr>
    <w:rPr>
      <w:rFonts w:ascii="Arial" w:hAnsi="Arial"/>
      <w:sz w:val="24"/>
      <w:lang w:eastAsia="ar-SA"/>
    </w:rPr>
  </w:style>
  <w:style w:type="paragraph" w:customStyle="1" w:styleId="Sub-ttulo">
    <w:name w:val="Sub-título$"/>
    <w:semiHidden/>
    <w:rsid w:val="00A12B50"/>
    <w:pPr>
      <w:suppressAutoHyphens/>
      <w:spacing w:after="60"/>
      <w:jc w:val="center"/>
    </w:pPr>
    <w:rPr>
      <w:rFonts w:ascii="Arial" w:eastAsia="Arial" w:hAnsi="Arial" w:cs="Times New Roman"/>
      <w:szCs w:val="20"/>
      <w:lang w:eastAsia="ar-SA"/>
    </w:rPr>
  </w:style>
  <w:style w:type="paragraph" w:customStyle="1" w:styleId="Acordotipo">
    <w:name w:val="Acordo tipo$"/>
    <w:semiHidden/>
    <w:rsid w:val="00A12B50"/>
    <w:pPr>
      <w:suppressAutoHyphens/>
      <w:spacing w:before="60" w:after="240"/>
      <w:jc w:val="center"/>
    </w:pPr>
    <w:rPr>
      <w:rFonts w:ascii="Arial" w:eastAsia="Arial" w:hAnsi="Arial" w:cs="Times New Roman"/>
      <w:spacing w:val="20"/>
      <w:szCs w:val="20"/>
      <w:lang w:eastAsia="ar-SA"/>
    </w:rPr>
  </w:style>
  <w:style w:type="paragraph" w:customStyle="1" w:styleId="Textoacordo">
    <w:name w:val="Texto acordo$"/>
    <w:semiHidden/>
    <w:rsid w:val="00A12B50"/>
    <w:pPr>
      <w:suppressAutoHyphens/>
      <w:spacing w:after="120"/>
      <w:ind w:firstLine="1418"/>
      <w:jc w:val="both"/>
    </w:pPr>
    <w:rPr>
      <w:rFonts w:ascii="Arial" w:eastAsia="Arial" w:hAnsi="Arial" w:cs="Times New Roman"/>
      <w:szCs w:val="20"/>
      <w:lang w:eastAsia="ar-SA"/>
    </w:rPr>
  </w:style>
  <w:style w:type="paragraph" w:customStyle="1" w:styleId="SubTitulo">
    <w:name w:val="Sub Titulo*"/>
    <w:semiHidden/>
    <w:rsid w:val="00A12B50"/>
    <w:pPr>
      <w:suppressAutoHyphens/>
      <w:spacing w:before="120" w:after="120"/>
      <w:jc w:val="center"/>
    </w:pPr>
    <w:rPr>
      <w:rFonts w:ascii="Arial" w:eastAsia="Arial" w:hAnsi="Arial" w:cs="Times New Roman"/>
      <w:szCs w:val="20"/>
      <w:lang w:eastAsia="ar-SA"/>
    </w:rPr>
  </w:style>
  <w:style w:type="paragraph" w:customStyle="1" w:styleId="pargrafoalteradorttulo">
    <w:name w:val="parágrafo alterador título*"/>
    <w:basedOn w:val="PargrafoAlterador"/>
    <w:semiHidden/>
    <w:rsid w:val="00A12B50"/>
    <w:pPr>
      <w:jc w:val="center"/>
    </w:pPr>
    <w:rPr>
      <w:sz w:val="22"/>
    </w:rPr>
  </w:style>
  <w:style w:type="paragraph" w:customStyle="1" w:styleId="CE">
    <w:name w:val="CE"/>
    <w:semiHidden/>
    <w:rsid w:val="00A12B50"/>
    <w:pPr>
      <w:widowControl w:val="0"/>
      <w:suppressAutoHyphens/>
      <w:jc w:val="center"/>
    </w:pPr>
    <w:rPr>
      <w:rFonts w:ascii="Courier" w:eastAsia="Arial" w:hAnsi="Courier" w:cs="Times New Roman"/>
      <w:szCs w:val="20"/>
      <w:lang w:eastAsia="ar-SA"/>
    </w:rPr>
  </w:style>
  <w:style w:type="paragraph" w:customStyle="1" w:styleId="CABIMPAR">
    <w:name w:val="CAB.IMPAR*"/>
    <w:basedOn w:val="Normal"/>
    <w:semiHidden/>
    <w:rsid w:val="00A12B50"/>
    <w:pPr>
      <w:suppressAutoHyphens/>
    </w:pPr>
    <w:rPr>
      <w:rFonts w:ascii="Arial" w:hAnsi="Arial"/>
      <w:i/>
      <w:sz w:val="16"/>
      <w:lang w:eastAsia="ar-SA"/>
    </w:rPr>
  </w:style>
  <w:style w:type="paragraph" w:customStyle="1" w:styleId="sub-ttulo0">
    <w:name w:val="sub-ttulo"/>
    <w:basedOn w:val="Normal"/>
    <w:semiHidden/>
    <w:rsid w:val="00A12B50"/>
    <w:pPr>
      <w:suppressAutoHyphens/>
      <w:spacing w:before="280" w:after="280"/>
    </w:pPr>
    <w:rPr>
      <w:rFonts w:ascii="Arial Unicode MS" w:hAnsi="Arial Unicode MS"/>
      <w:sz w:val="24"/>
      <w:szCs w:val="24"/>
      <w:lang w:eastAsia="ar-SA"/>
    </w:rPr>
  </w:style>
  <w:style w:type="paragraph" w:customStyle="1" w:styleId="tabelaesquerda">
    <w:name w:val="tabelaesquerda"/>
    <w:basedOn w:val="Normal"/>
    <w:semiHidden/>
    <w:rsid w:val="00A12B50"/>
    <w:pPr>
      <w:suppressAutoHyphens/>
      <w:spacing w:before="280" w:after="280"/>
    </w:pPr>
    <w:rPr>
      <w:rFonts w:ascii="Arial Unicode MS" w:hAnsi="Arial Unicode MS"/>
      <w:sz w:val="24"/>
      <w:szCs w:val="24"/>
      <w:lang w:eastAsia="ar-SA"/>
    </w:rPr>
  </w:style>
  <w:style w:type="paragraph" w:customStyle="1" w:styleId="tabelasubtitulo">
    <w:name w:val="tabelasubtitulo"/>
    <w:basedOn w:val="Normal"/>
    <w:semiHidden/>
    <w:rsid w:val="00A12B50"/>
    <w:pPr>
      <w:suppressAutoHyphens/>
      <w:spacing w:before="280" w:after="280"/>
    </w:pPr>
    <w:rPr>
      <w:rFonts w:ascii="Arial Unicode MS" w:hAnsi="Arial Unicode MS"/>
      <w:sz w:val="24"/>
      <w:szCs w:val="24"/>
      <w:lang w:eastAsia="ar-SA"/>
    </w:rPr>
  </w:style>
  <w:style w:type="paragraph" w:customStyle="1" w:styleId="Contedodatabela">
    <w:name w:val="Conteúdo da tabela"/>
    <w:basedOn w:val="Normal"/>
    <w:semiHidden/>
    <w:rsid w:val="00A12B50"/>
    <w:pPr>
      <w:suppressLineNumbers/>
      <w:suppressAutoHyphens/>
    </w:pPr>
    <w:rPr>
      <w:rFonts w:ascii="Arial" w:hAnsi="Arial"/>
      <w:sz w:val="24"/>
      <w:szCs w:val="24"/>
      <w:lang w:eastAsia="ar-SA"/>
    </w:rPr>
  </w:style>
  <w:style w:type="paragraph" w:customStyle="1" w:styleId="Ttulodatabela">
    <w:name w:val="Título da tabela"/>
    <w:basedOn w:val="Contedodatabela"/>
    <w:semiHidden/>
    <w:rsid w:val="00A12B50"/>
    <w:pPr>
      <w:jc w:val="center"/>
    </w:pPr>
    <w:rPr>
      <w:b/>
      <w:bCs/>
    </w:rPr>
  </w:style>
  <w:style w:type="paragraph" w:customStyle="1" w:styleId="Contedo10">
    <w:name w:val="Conteúdo 10"/>
    <w:basedOn w:val="ndice"/>
    <w:semiHidden/>
    <w:rsid w:val="00A12B50"/>
    <w:pPr>
      <w:tabs>
        <w:tab w:val="right" w:leader="dot" w:pos="9637"/>
      </w:tabs>
      <w:ind w:left="2547"/>
    </w:pPr>
  </w:style>
  <w:style w:type="paragraph" w:customStyle="1" w:styleId="sumario">
    <w:name w:val="sumario*"/>
    <w:basedOn w:val="Sumrio1"/>
    <w:semiHidden/>
    <w:rsid w:val="00A12B50"/>
    <w:pPr>
      <w:tabs>
        <w:tab w:val="left" w:pos="9356"/>
        <w:tab w:val="right" w:pos="9639"/>
      </w:tabs>
      <w:suppressAutoHyphens/>
      <w:spacing w:after="0"/>
      <w:ind w:right="851" w:hanging="709"/>
      <w:jc w:val="both"/>
    </w:pPr>
    <w:rPr>
      <w:rFonts w:ascii="Arial" w:hAnsi="Arial"/>
      <w:sz w:val="22"/>
      <w:szCs w:val="20"/>
      <w:lang w:eastAsia="ar-SA"/>
    </w:rPr>
  </w:style>
  <w:style w:type="paragraph" w:customStyle="1" w:styleId="DataPublicao">
    <w:name w:val="Data Publicação*"/>
    <w:basedOn w:val="Normal"/>
    <w:next w:val="Normal"/>
    <w:autoRedefine/>
    <w:semiHidden/>
    <w:rsid w:val="00A12B50"/>
    <w:pPr>
      <w:tabs>
        <w:tab w:val="num" w:pos="0"/>
      </w:tabs>
      <w:ind w:right="2268"/>
      <w:jc w:val="both"/>
    </w:pPr>
    <w:rPr>
      <w:rFonts w:ascii="Arial" w:hAnsi="Arial"/>
      <w:b/>
      <w:color w:val="FF0000"/>
      <w:sz w:val="20"/>
    </w:rPr>
  </w:style>
  <w:style w:type="paragraph" w:customStyle="1" w:styleId="titcentral0">
    <w:name w:val="titcentral"/>
    <w:basedOn w:val="Normal"/>
    <w:semiHidden/>
    <w:rsid w:val="00A12B50"/>
    <w:pPr>
      <w:tabs>
        <w:tab w:val="left" w:pos="5040"/>
      </w:tabs>
      <w:snapToGrid w:val="0"/>
      <w:spacing w:before="100" w:beforeAutospacing="1" w:after="100" w:afterAutospacing="1"/>
      <w:ind w:firstLine="284"/>
      <w:jc w:val="center"/>
    </w:pPr>
    <w:rPr>
      <w:rFonts w:ascii="Arial" w:eastAsia="Arial Unicode MS" w:hAnsi="Arial" w:cs="Arial"/>
      <w:color w:val="000000"/>
      <w:sz w:val="22"/>
      <w:szCs w:val="22"/>
    </w:rPr>
  </w:style>
  <w:style w:type="paragraph" w:customStyle="1" w:styleId="12ementa">
    <w:name w:val="12ementa"/>
    <w:basedOn w:val="Normal"/>
    <w:semiHidden/>
    <w:rsid w:val="00A12B50"/>
    <w:pPr>
      <w:tabs>
        <w:tab w:val="num" w:pos="2061"/>
      </w:tabs>
      <w:spacing w:before="100" w:beforeAutospacing="1" w:after="100" w:afterAutospacing="1" w:line="264" w:lineRule="auto"/>
      <w:jc w:val="both"/>
    </w:pPr>
    <w:rPr>
      <w:rFonts w:ascii="Arial" w:eastAsia="Arial Unicode MS" w:hAnsi="Arial" w:cs="Arial"/>
      <w:sz w:val="24"/>
      <w:szCs w:val="24"/>
    </w:rPr>
  </w:style>
  <w:style w:type="paragraph" w:customStyle="1" w:styleId="Novo">
    <w:name w:val="Novo*"/>
    <w:basedOn w:val="Normal"/>
    <w:semiHidden/>
    <w:rsid w:val="00A12B50"/>
    <w:pPr>
      <w:tabs>
        <w:tab w:val="right" w:leader="dot" w:pos="7938"/>
      </w:tabs>
      <w:spacing w:after="120"/>
      <w:ind w:left="1701"/>
      <w:jc w:val="both"/>
    </w:pPr>
    <w:rPr>
      <w:rFonts w:ascii="Arial" w:hAnsi="Arial"/>
      <w:sz w:val="24"/>
      <w:lang w:val="en-US" w:eastAsia="en-US"/>
    </w:rPr>
  </w:style>
  <w:style w:type="paragraph" w:customStyle="1" w:styleId="PARTABULIV">
    <w:name w:val="PAR TABUL IV"/>
    <w:basedOn w:val="PARTABULIII"/>
    <w:semiHidden/>
    <w:rsid w:val="00A12B50"/>
    <w:pPr>
      <w:tabs>
        <w:tab w:val="clear" w:pos="1588"/>
        <w:tab w:val="clear" w:pos="9356"/>
        <w:tab w:val="left" w:pos="2268"/>
      </w:tabs>
      <w:ind w:left="2268" w:right="0" w:hanging="2268"/>
    </w:pPr>
  </w:style>
  <w:style w:type="paragraph" w:customStyle="1" w:styleId="tabelasubtituloverde">
    <w:name w:val="tabelasubtituloverde"/>
    <w:basedOn w:val="Normal"/>
    <w:semiHidden/>
    <w:rsid w:val="00A12B50"/>
    <w:pPr>
      <w:spacing w:before="100" w:beforeAutospacing="1" w:after="100" w:afterAutospacing="1"/>
    </w:pPr>
    <w:rPr>
      <w:rFonts w:ascii="Arial Unicode MS" w:hAnsi="Arial Unicode MS"/>
      <w:sz w:val="24"/>
      <w:szCs w:val="24"/>
    </w:rPr>
  </w:style>
  <w:style w:type="paragraph" w:customStyle="1" w:styleId="PARTABLIVREV">
    <w:name w:val="PAR TABL IV REV"/>
    <w:basedOn w:val="PARTABULIV"/>
    <w:semiHidden/>
    <w:rsid w:val="00A12B50"/>
    <w:rPr>
      <w:i/>
      <w:sz w:val="18"/>
    </w:rPr>
  </w:style>
  <w:style w:type="paragraph" w:customStyle="1" w:styleId="Tabelaesquerda0">
    <w:name w:val="Tabela esquerda*"/>
    <w:basedOn w:val="Normal"/>
    <w:semiHidden/>
    <w:rsid w:val="00A12B50"/>
    <w:pPr>
      <w:suppressAutoHyphens/>
      <w:spacing w:before="28" w:after="28"/>
    </w:pPr>
    <w:rPr>
      <w:rFonts w:ascii="Arial" w:hAnsi="Arial"/>
      <w:sz w:val="18"/>
      <w:szCs w:val="24"/>
      <w:lang w:eastAsia="ar-SA"/>
    </w:rPr>
  </w:style>
  <w:style w:type="paragraph" w:customStyle="1" w:styleId="tabelajustificado">
    <w:name w:val="tabelajustificado"/>
    <w:basedOn w:val="Normal"/>
    <w:semiHidden/>
    <w:rsid w:val="00A12B50"/>
    <w:pPr>
      <w:spacing w:before="100" w:beforeAutospacing="1" w:after="100" w:afterAutospacing="1"/>
    </w:pPr>
    <w:rPr>
      <w:rFonts w:ascii="Arial Unicode MS" w:hAnsi="Arial Unicode MS"/>
      <w:sz w:val="24"/>
      <w:szCs w:val="24"/>
    </w:rPr>
  </w:style>
  <w:style w:type="paragraph" w:customStyle="1" w:styleId="12pn4010">
    <w:name w:val="12 pn 40 10"/>
    <w:basedOn w:val="Normal"/>
    <w:semiHidden/>
    <w:rsid w:val="00A12B50"/>
    <w:pPr>
      <w:widowControl w:val="0"/>
      <w:tabs>
        <w:tab w:val="left" w:pos="2061"/>
        <w:tab w:val="left" w:leader="dot" w:pos="8789"/>
        <w:tab w:val="left" w:leader="dot" w:pos="9072"/>
      </w:tabs>
      <w:suppressAutoHyphens/>
      <w:spacing w:before="800" w:after="200"/>
      <w:ind w:firstLine="1418"/>
      <w:jc w:val="both"/>
    </w:pPr>
    <w:rPr>
      <w:rFonts w:ascii="Arial" w:hAnsi="Arial"/>
      <w:color w:val="000000"/>
      <w:sz w:val="24"/>
      <w:lang w:eastAsia="ar-SA"/>
    </w:rPr>
  </w:style>
  <w:style w:type="paragraph" w:customStyle="1" w:styleId="tabela-texto">
    <w:name w:val="tabela-texto"/>
    <w:basedOn w:val="Normal"/>
    <w:semiHidden/>
    <w:rsid w:val="00A12B50"/>
    <w:pPr>
      <w:spacing w:before="100" w:beforeAutospacing="1" w:after="100" w:afterAutospacing="1"/>
    </w:pPr>
    <w:rPr>
      <w:rFonts w:ascii="Arial Unicode MS" w:hAnsi="Arial Unicode MS"/>
      <w:sz w:val="24"/>
      <w:szCs w:val="24"/>
    </w:rPr>
  </w:style>
  <w:style w:type="paragraph" w:customStyle="1" w:styleId="NotaRev1">
    <w:name w:val="NotaRev1*"/>
    <w:basedOn w:val="Normal"/>
    <w:semiHidden/>
    <w:rsid w:val="00A12B50"/>
    <w:pPr>
      <w:tabs>
        <w:tab w:val="left" w:pos="1418"/>
        <w:tab w:val="right" w:pos="9639"/>
      </w:tabs>
      <w:suppressAutoHyphens/>
      <w:ind w:left="850" w:hanging="113"/>
      <w:jc w:val="both"/>
    </w:pPr>
    <w:rPr>
      <w:rFonts w:ascii="Arial" w:hAnsi="Arial"/>
      <w:i/>
      <w:sz w:val="16"/>
      <w:lang w:eastAsia="ar-SA"/>
    </w:rPr>
  </w:style>
  <w:style w:type="paragraph" w:customStyle="1" w:styleId="NotaDisc2">
    <w:name w:val="NotaDisc2*"/>
    <w:basedOn w:val="NotaDisc1"/>
    <w:semiHidden/>
    <w:rsid w:val="00A12B50"/>
    <w:pPr>
      <w:numPr>
        <w:numId w:val="6"/>
      </w:numPr>
      <w:tabs>
        <w:tab w:val="clear" w:pos="0"/>
        <w:tab w:val="num" w:pos="1416"/>
      </w:tabs>
    </w:pPr>
  </w:style>
  <w:style w:type="paragraph" w:customStyle="1" w:styleId="parnormal0">
    <w:name w:val="parnormal"/>
    <w:basedOn w:val="Normal"/>
    <w:semiHidden/>
    <w:rsid w:val="00A12B50"/>
    <w:pPr>
      <w:spacing w:before="100" w:beforeAutospacing="1" w:after="100" w:afterAutospacing="1"/>
    </w:pPr>
    <w:rPr>
      <w:rFonts w:ascii="Arial Unicode MS" w:hAnsi="Arial Unicode MS"/>
      <w:sz w:val="24"/>
      <w:szCs w:val="24"/>
    </w:rPr>
  </w:style>
  <w:style w:type="paragraph" w:customStyle="1" w:styleId="partabuli0">
    <w:name w:val="partabuli0"/>
    <w:basedOn w:val="Normal"/>
    <w:semiHidden/>
    <w:rsid w:val="00A12B50"/>
    <w:pPr>
      <w:spacing w:before="100" w:beforeAutospacing="1" w:after="100" w:afterAutospacing="1"/>
    </w:pPr>
    <w:rPr>
      <w:rFonts w:ascii="Arial Unicode MS" w:hAnsi="Arial Unicode MS"/>
      <w:sz w:val="24"/>
      <w:szCs w:val="24"/>
    </w:rPr>
  </w:style>
  <w:style w:type="paragraph" w:customStyle="1" w:styleId="textoacordo1">
    <w:name w:val="textoacordo1"/>
    <w:basedOn w:val="Normal"/>
    <w:semiHidden/>
    <w:rsid w:val="00A12B50"/>
    <w:pPr>
      <w:spacing w:before="100" w:beforeAutospacing="1" w:after="100" w:afterAutospacing="1"/>
    </w:pPr>
    <w:rPr>
      <w:rFonts w:ascii="Arial Unicode MS" w:hAnsi="Arial Unicode MS"/>
      <w:sz w:val="24"/>
      <w:szCs w:val="24"/>
    </w:rPr>
  </w:style>
  <w:style w:type="paragraph" w:customStyle="1" w:styleId="tabelasubtitulo0">
    <w:name w:val="tabelasubtitulo0"/>
    <w:basedOn w:val="Normal"/>
    <w:semiHidden/>
    <w:rsid w:val="00A12B50"/>
    <w:pPr>
      <w:spacing w:before="100" w:beforeAutospacing="1" w:after="100" w:afterAutospacing="1"/>
    </w:pPr>
    <w:rPr>
      <w:rFonts w:ascii="Arial Unicode MS" w:hAnsi="Arial Unicode MS"/>
      <w:sz w:val="24"/>
      <w:szCs w:val="24"/>
    </w:rPr>
  </w:style>
  <w:style w:type="paragraph" w:customStyle="1" w:styleId="tabelajustificado0">
    <w:name w:val="tabelajustificado0"/>
    <w:basedOn w:val="Normal"/>
    <w:semiHidden/>
    <w:rsid w:val="00A12B50"/>
    <w:pPr>
      <w:spacing w:before="100" w:beforeAutospacing="1" w:after="100" w:afterAutospacing="1"/>
    </w:pPr>
    <w:rPr>
      <w:rFonts w:ascii="Arial Unicode MS" w:hAnsi="Arial Unicode MS"/>
      <w:sz w:val="24"/>
      <w:szCs w:val="24"/>
    </w:rPr>
  </w:style>
  <w:style w:type="paragraph" w:customStyle="1" w:styleId="centralnovo">
    <w:name w:val="centralnovo"/>
    <w:basedOn w:val="Normal"/>
    <w:semiHidden/>
    <w:rsid w:val="00A12B50"/>
    <w:pPr>
      <w:spacing w:before="100" w:beforeAutospacing="1" w:after="100" w:afterAutospacing="1"/>
    </w:pPr>
    <w:rPr>
      <w:rFonts w:ascii="Arial Unicode MS" w:hAnsi="Arial Unicode MS"/>
      <w:sz w:val="24"/>
      <w:szCs w:val="24"/>
    </w:rPr>
  </w:style>
  <w:style w:type="paragraph" w:customStyle="1" w:styleId="contedodetabela">
    <w:name w:val="contedodetabela"/>
    <w:basedOn w:val="Normal"/>
    <w:semiHidden/>
    <w:rsid w:val="00A12B50"/>
    <w:pPr>
      <w:spacing w:before="100" w:beforeAutospacing="1" w:after="100" w:afterAutospacing="1"/>
    </w:pPr>
    <w:rPr>
      <w:rFonts w:ascii="Arial Unicode MS" w:hAnsi="Arial Unicode MS"/>
      <w:sz w:val="24"/>
      <w:szCs w:val="24"/>
    </w:rPr>
  </w:style>
  <w:style w:type="paragraph" w:customStyle="1" w:styleId="12pn3000">
    <w:name w:val="12pn3000"/>
    <w:basedOn w:val="Normal"/>
    <w:semiHidden/>
    <w:rsid w:val="00A12B50"/>
    <w:pPr>
      <w:tabs>
        <w:tab w:val="num" w:pos="2061"/>
        <w:tab w:val="left" w:leader="dot" w:pos="8789"/>
        <w:tab w:val="left" w:leader="dot" w:pos="9072"/>
      </w:tabs>
      <w:spacing w:before="100" w:beforeAutospacing="1" w:after="100" w:afterAutospacing="1" w:line="312" w:lineRule="auto"/>
      <w:ind w:firstLine="2268"/>
      <w:jc w:val="both"/>
    </w:pPr>
    <w:rPr>
      <w:rFonts w:ascii="Arial" w:eastAsia="Arial Unicode MS" w:hAnsi="Arial" w:cs="Arial"/>
      <w:color w:val="000000"/>
      <w:sz w:val="24"/>
      <w:szCs w:val="24"/>
    </w:rPr>
  </w:style>
  <w:style w:type="paragraph" w:customStyle="1" w:styleId="PARTABULIVREV">
    <w:name w:val="PAR TABUL IV REV*"/>
    <w:basedOn w:val="PARTABULIV"/>
    <w:semiHidden/>
    <w:qFormat/>
    <w:rsid w:val="00A12B50"/>
    <w:rPr>
      <w:i/>
      <w:sz w:val="16"/>
    </w:rPr>
  </w:style>
  <w:style w:type="paragraph" w:customStyle="1" w:styleId="TituloAcordo">
    <w:name w:val="Titulo Acordo*"/>
    <w:basedOn w:val="Normal"/>
    <w:autoRedefine/>
    <w:semiHidden/>
    <w:rsid w:val="00A12B50"/>
    <w:pPr>
      <w:tabs>
        <w:tab w:val="num" w:pos="360"/>
      </w:tabs>
      <w:suppressAutoHyphens/>
      <w:autoSpaceDE w:val="0"/>
      <w:autoSpaceDN w:val="0"/>
      <w:spacing w:after="360"/>
      <w:ind w:left="360" w:hanging="360"/>
    </w:pPr>
    <w:rPr>
      <w:rFonts w:ascii="Arial" w:hAnsi="Arial"/>
      <w:b/>
      <w:color w:val="FF0000"/>
      <w:sz w:val="20"/>
    </w:rPr>
  </w:style>
  <w:style w:type="character" w:styleId="Refdecomentrio">
    <w:name w:val="annotation reference"/>
    <w:uiPriority w:val="99"/>
    <w:semiHidden/>
    <w:unhideWhenUsed/>
    <w:rsid w:val="00A12B50"/>
    <w:rPr>
      <w:sz w:val="16"/>
    </w:rPr>
  </w:style>
  <w:style w:type="character" w:customStyle="1" w:styleId="WW8Num2z0">
    <w:name w:val="WW8Num2z0"/>
    <w:rsid w:val="00A12B50"/>
    <w:rPr>
      <w:rFonts w:ascii="StarSymbol" w:eastAsia="StarSymbol" w:hAnsi="StarSymbol" w:hint="eastAsia"/>
    </w:rPr>
  </w:style>
  <w:style w:type="character" w:customStyle="1" w:styleId="WW8Num3z0">
    <w:name w:val="WW8Num3z0"/>
    <w:rsid w:val="00A12B50"/>
    <w:rPr>
      <w:rFonts w:ascii="Symbol" w:hAnsi="Symbol" w:hint="default"/>
    </w:rPr>
  </w:style>
  <w:style w:type="character" w:customStyle="1" w:styleId="WW-Fontepargpadro">
    <w:name w:val="WW-Fonte parág. padrão"/>
    <w:rsid w:val="00A12B50"/>
  </w:style>
  <w:style w:type="character" w:customStyle="1" w:styleId="Absatz-Standardschriftart">
    <w:name w:val="Absatz-Standardschriftart"/>
    <w:rsid w:val="00A12B50"/>
  </w:style>
  <w:style w:type="character" w:customStyle="1" w:styleId="WW-Fontepargpadro1">
    <w:name w:val="WW-Fonte parág. padrão1"/>
    <w:rsid w:val="00A12B50"/>
  </w:style>
  <w:style w:type="character" w:customStyle="1" w:styleId="WW-Fontepargpadro11">
    <w:name w:val="WW-Fonte parág. padrão11"/>
    <w:rsid w:val="00A12B50"/>
  </w:style>
  <w:style w:type="character" w:customStyle="1" w:styleId="WW-Absatz-Standardschriftart">
    <w:name w:val="WW-Absatz-Standardschriftart"/>
    <w:rsid w:val="00A12B50"/>
  </w:style>
  <w:style w:type="character" w:customStyle="1" w:styleId="WW-Fontepargpadro111">
    <w:name w:val="WW-Fonte parág. padrão111"/>
    <w:rsid w:val="00A12B50"/>
  </w:style>
  <w:style w:type="character" w:customStyle="1" w:styleId="WW-Fontepargpadro1111">
    <w:name w:val="WW-Fonte parág. padrão1111"/>
    <w:rsid w:val="00A12B50"/>
  </w:style>
  <w:style w:type="character" w:customStyle="1" w:styleId="WW8Num87z0">
    <w:name w:val="WW8Num87z0"/>
    <w:rsid w:val="00A12B50"/>
    <w:rPr>
      <w:b/>
      <w:bCs w:val="0"/>
    </w:rPr>
  </w:style>
  <w:style w:type="character" w:customStyle="1" w:styleId="WW8Num20z0">
    <w:name w:val="WW8Num20z0"/>
    <w:rsid w:val="00A12B50"/>
    <w:rPr>
      <w:b w:val="0"/>
      <w:bCs w:val="0"/>
      <w:i w:val="0"/>
      <w:iCs w:val="0"/>
      <w:sz w:val="20"/>
    </w:rPr>
  </w:style>
  <w:style w:type="character" w:customStyle="1" w:styleId="WW8Num24z0">
    <w:name w:val="WW8Num24z0"/>
    <w:rsid w:val="00A12B50"/>
    <w:rPr>
      <w:rFonts w:ascii="Arial" w:hAnsi="Arial" w:cs="Arial" w:hint="default"/>
      <w:b/>
      <w:bCs w:val="0"/>
      <w:i w:val="0"/>
      <w:iCs w:val="0"/>
      <w:strike w:val="0"/>
      <w:dstrike w:val="0"/>
      <w:sz w:val="20"/>
      <w:u w:val="none"/>
      <w:effect w:val="none"/>
    </w:rPr>
  </w:style>
  <w:style w:type="character" w:customStyle="1" w:styleId="apple-converted-space">
    <w:name w:val="apple-converted-space"/>
    <w:basedOn w:val="Fontepargpadro"/>
    <w:rsid w:val="00A12B50"/>
  </w:style>
  <w:style w:type="character" w:customStyle="1" w:styleId="Nenhum">
    <w:name w:val="Nenhum"/>
    <w:rsid w:val="00A12B50"/>
  </w:style>
  <w:style w:type="paragraph" w:styleId="Sumrio9">
    <w:name w:val="toc 9"/>
    <w:basedOn w:val="ndice"/>
    <w:autoRedefine/>
    <w:uiPriority w:val="39"/>
    <w:semiHidden/>
    <w:unhideWhenUsed/>
    <w:rsid w:val="00A12B50"/>
    <w:pPr>
      <w:tabs>
        <w:tab w:val="right" w:leader="dot" w:pos="9637"/>
      </w:tabs>
      <w:ind w:left="2264"/>
    </w:pPr>
  </w:style>
  <w:style w:type="paragraph" w:styleId="Sumrio8">
    <w:name w:val="toc 8"/>
    <w:basedOn w:val="ndice"/>
    <w:autoRedefine/>
    <w:uiPriority w:val="39"/>
    <w:semiHidden/>
    <w:unhideWhenUsed/>
    <w:rsid w:val="00A12B50"/>
    <w:pPr>
      <w:tabs>
        <w:tab w:val="right" w:leader="dot" w:pos="9637"/>
      </w:tabs>
      <w:ind w:left="1981"/>
    </w:pPr>
  </w:style>
  <w:style w:type="paragraph" w:styleId="Sumrio7">
    <w:name w:val="toc 7"/>
    <w:basedOn w:val="ndice"/>
    <w:autoRedefine/>
    <w:uiPriority w:val="39"/>
    <w:semiHidden/>
    <w:unhideWhenUsed/>
    <w:rsid w:val="00A12B50"/>
    <w:pPr>
      <w:tabs>
        <w:tab w:val="right" w:leader="dot" w:pos="9637"/>
      </w:tabs>
      <w:ind w:left="1698"/>
    </w:pPr>
  </w:style>
  <w:style w:type="paragraph" w:styleId="Sumrio6">
    <w:name w:val="toc 6"/>
    <w:basedOn w:val="ndice"/>
    <w:autoRedefine/>
    <w:uiPriority w:val="39"/>
    <w:semiHidden/>
    <w:unhideWhenUsed/>
    <w:rsid w:val="00A12B50"/>
    <w:pPr>
      <w:tabs>
        <w:tab w:val="right" w:leader="dot" w:pos="9637"/>
      </w:tabs>
      <w:ind w:left="1415"/>
    </w:pPr>
  </w:style>
  <w:style w:type="paragraph" w:styleId="Sumrio5">
    <w:name w:val="toc 5"/>
    <w:basedOn w:val="ndice"/>
    <w:autoRedefine/>
    <w:uiPriority w:val="39"/>
    <w:semiHidden/>
    <w:unhideWhenUsed/>
    <w:rsid w:val="00A12B50"/>
    <w:pPr>
      <w:tabs>
        <w:tab w:val="right" w:leader="dot" w:pos="9637"/>
      </w:tabs>
      <w:ind w:left="1132"/>
    </w:pPr>
  </w:style>
  <w:style w:type="paragraph" w:styleId="Recuodecorpodetexto2">
    <w:name w:val="Body Text Indent 2"/>
    <w:basedOn w:val="Normal"/>
    <w:link w:val="Recuodecorpodetexto2Char"/>
    <w:uiPriority w:val="99"/>
    <w:semiHidden/>
    <w:unhideWhenUsed/>
    <w:rsid w:val="00A7731F"/>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A7731F"/>
    <w:rPr>
      <w:rFonts w:ascii="Footlight MT Light" w:eastAsia="Times New Roman" w:hAnsi="Footlight MT Light" w:cs="Times New Roman"/>
      <w:sz w:val="26"/>
      <w:szCs w:val="20"/>
      <w:lang w:eastAsia="pt-BR"/>
    </w:rPr>
  </w:style>
  <w:style w:type="character" w:styleId="Forte">
    <w:name w:val="Strong"/>
    <w:basedOn w:val="Fontepargpadro"/>
    <w:uiPriority w:val="22"/>
    <w:qFormat/>
    <w:rsid w:val="0027044F"/>
    <w:rPr>
      <w:b/>
      <w:bCs/>
    </w:rPr>
  </w:style>
  <w:style w:type="table" w:customStyle="1" w:styleId="TableGrid">
    <w:name w:val="TableGrid"/>
    <w:rsid w:val="004647CC"/>
    <w:rPr>
      <w:rFonts w:eastAsiaTheme="minorEastAsia"/>
      <w:sz w:val="22"/>
      <w:szCs w:val="22"/>
      <w:lang w:eastAsia="pt-BR"/>
    </w:rPr>
    <w:tblPr>
      <w:tblCellMar>
        <w:top w:w="0" w:type="dxa"/>
        <w:left w:w="0" w:type="dxa"/>
        <w:bottom w:w="0" w:type="dxa"/>
        <w:right w:w="0" w:type="dxa"/>
      </w:tblCellMar>
    </w:tblPr>
  </w:style>
  <w:style w:type="paragraph" w:customStyle="1" w:styleId="textojustificadoesp15">
    <w:name w:val="texto_justificado_esp15"/>
    <w:basedOn w:val="Normal"/>
    <w:rsid w:val="00454CC9"/>
    <w:pPr>
      <w:spacing w:before="100" w:beforeAutospacing="1" w:after="100" w:afterAutospacing="1"/>
    </w:pPr>
    <w:rPr>
      <w:rFonts w:ascii="Times New Roman" w:hAnsi="Times New Roman"/>
      <w:sz w:val="24"/>
      <w:szCs w:val="24"/>
    </w:rPr>
  </w:style>
  <w:style w:type="table" w:styleId="TabeladeGrade6Colorida-nfase3">
    <w:name w:val="Grid Table 6 Colorful Accent 3"/>
    <w:basedOn w:val="Tabelanormal"/>
    <w:uiPriority w:val="51"/>
    <w:rsid w:val="008E2789"/>
    <w:rPr>
      <w:color w:val="7B7B7B" w:themeColor="accent3" w:themeShade="BF"/>
      <w:sz w:val="22"/>
      <w:szCs w:val="22"/>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Pr-formataoHTML">
    <w:name w:val="HTML Preformatted"/>
    <w:basedOn w:val="Normal"/>
    <w:link w:val="Pr-formataoHTMLChar"/>
    <w:uiPriority w:val="99"/>
    <w:semiHidden/>
    <w:unhideWhenUsed/>
    <w:rsid w:val="00F305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Pr-formataoHTMLChar">
    <w:name w:val="Pré-formatação HTML Char"/>
    <w:basedOn w:val="Fontepargpadro"/>
    <w:link w:val="Pr-formataoHTML"/>
    <w:uiPriority w:val="99"/>
    <w:semiHidden/>
    <w:rsid w:val="00F305AA"/>
    <w:rPr>
      <w:rFonts w:ascii="Courier New" w:eastAsia="Times New Roman" w:hAnsi="Courier New" w:cs="Courier New"/>
      <w:sz w:val="20"/>
      <w:szCs w:val="20"/>
      <w:lang w:eastAsia="pt-BR"/>
    </w:rPr>
  </w:style>
  <w:style w:type="paragraph" w:customStyle="1" w:styleId="textoacordo0">
    <w:name w:val="textoacordo"/>
    <w:basedOn w:val="Normal"/>
    <w:rsid w:val="00F305AA"/>
    <w:pPr>
      <w:spacing w:before="100" w:beforeAutospacing="1" w:after="100" w:afterAutospacing="1"/>
    </w:pPr>
    <w:rPr>
      <w:rFonts w:ascii="Times New Roman" w:hAnsi="Times New Roman"/>
      <w:sz w:val="24"/>
      <w:szCs w:val="24"/>
    </w:rPr>
  </w:style>
  <w:style w:type="paragraph" w:customStyle="1" w:styleId="blockquote">
    <w:name w:val="blockquote"/>
    <w:basedOn w:val="Normal"/>
    <w:rsid w:val="00F305AA"/>
    <w:pPr>
      <w:spacing w:before="100" w:beforeAutospacing="1" w:after="100" w:afterAutospacing="1"/>
    </w:pPr>
    <w:rPr>
      <w:rFonts w:ascii="Times New Roman" w:hAnsi="Times New Roman"/>
      <w:sz w:val="24"/>
      <w:szCs w:val="24"/>
    </w:rPr>
  </w:style>
  <w:style w:type="paragraph" w:styleId="Recuodecorpodetexto3">
    <w:name w:val="Body Text Indent 3"/>
    <w:basedOn w:val="Normal"/>
    <w:link w:val="Recuodecorpodetexto3Char"/>
    <w:uiPriority w:val="99"/>
    <w:semiHidden/>
    <w:unhideWhenUsed/>
    <w:rsid w:val="00F305AA"/>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F305AA"/>
    <w:rPr>
      <w:rFonts w:ascii="Footlight MT Light" w:eastAsia="Times New Roman" w:hAnsi="Footlight MT Light" w:cs="Times New Roman"/>
      <w:sz w:val="16"/>
      <w:szCs w:val="16"/>
      <w:lang w:eastAsia="pt-BR"/>
    </w:rPr>
  </w:style>
  <w:style w:type="character" w:customStyle="1" w:styleId="Textodocorpo2">
    <w:name w:val="Texto do corpo (2)"/>
    <w:basedOn w:val="Fontepargpadro"/>
    <w:rsid w:val="00F305AA"/>
    <w:rPr>
      <w:rFonts w:ascii="Garamond" w:eastAsia="Garamond" w:hAnsi="Garamond" w:cs="Garamond"/>
      <w:b w:val="0"/>
      <w:bCs w:val="0"/>
      <w:i w:val="0"/>
      <w:iCs w:val="0"/>
      <w:smallCaps w:val="0"/>
      <w:strike w:val="0"/>
      <w:color w:val="000000"/>
      <w:spacing w:val="0"/>
      <w:w w:val="100"/>
      <w:position w:val="0"/>
      <w:sz w:val="22"/>
      <w:szCs w:val="22"/>
      <w:u w:val="none"/>
      <w:lang w:val="pt-BR" w:eastAsia="pt-BR" w:bidi="pt-BR"/>
    </w:rPr>
  </w:style>
  <w:style w:type="character" w:customStyle="1" w:styleId="Textodocorpo3">
    <w:name w:val="Texto do corpo (3)_"/>
    <w:basedOn w:val="Fontepargpadro"/>
    <w:link w:val="Textodocorpo30"/>
    <w:rsid w:val="00F305AA"/>
    <w:rPr>
      <w:rFonts w:ascii="Arial" w:eastAsia="Arial" w:hAnsi="Arial" w:cs="Arial"/>
      <w:b/>
      <w:bCs/>
      <w:shd w:val="clear" w:color="auto" w:fill="FFFFFF"/>
    </w:rPr>
  </w:style>
  <w:style w:type="paragraph" w:customStyle="1" w:styleId="Textodocorpo30">
    <w:name w:val="Texto do corpo (3)"/>
    <w:basedOn w:val="Normal"/>
    <w:link w:val="Textodocorpo3"/>
    <w:rsid w:val="00F305AA"/>
    <w:pPr>
      <w:widowControl w:val="0"/>
      <w:shd w:val="clear" w:color="auto" w:fill="FFFFFF"/>
      <w:spacing w:before="360" w:after="4620" w:line="322" w:lineRule="exact"/>
      <w:jc w:val="center"/>
    </w:pPr>
    <w:rPr>
      <w:rFonts w:ascii="Arial" w:eastAsia="Arial" w:hAnsi="Arial" w:cs="Arial"/>
      <w:b/>
      <w:bCs/>
      <w:sz w:val="24"/>
      <w:szCs w:val="24"/>
      <w:lang w:eastAsia="en-US"/>
    </w:rPr>
  </w:style>
  <w:style w:type="character" w:customStyle="1" w:styleId="Textodocorpo4">
    <w:name w:val="Texto do corpo (4)_"/>
    <w:basedOn w:val="Fontepargpadro"/>
    <w:link w:val="Textodocorpo40"/>
    <w:rsid w:val="00F305AA"/>
    <w:rPr>
      <w:rFonts w:ascii="Arial" w:eastAsia="Arial" w:hAnsi="Arial" w:cs="Arial"/>
      <w:i/>
      <w:iCs/>
      <w:shd w:val="clear" w:color="auto" w:fill="FFFFFF"/>
    </w:rPr>
  </w:style>
  <w:style w:type="paragraph" w:customStyle="1" w:styleId="Textodocorpo40">
    <w:name w:val="Texto do corpo (4)"/>
    <w:basedOn w:val="Normal"/>
    <w:link w:val="Textodocorpo4"/>
    <w:rsid w:val="00F305AA"/>
    <w:pPr>
      <w:widowControl w:val="0"/>
      <w:shd w:val="clear" w:color="auto" w:fill="FFFFFF"/>
      <w:spacing w:before="1020" w:line="283" w:lineRule="exact"/>
      <w:jc w:val="right"/>
    </w:pPr>
    <w:rPr>
      <w:rFonts w:ascii="Arial" w:eastAsia="Arial" w:hAnsi="Arial" w:cs="Arial"/>
      <w:i/>
      <w:iCs/>
      <w:sz w:val="24"/>
      <w:szCs w:val="24"/>
      <w:lang w:eastAsia="en-US"/>
    </w:rPr>
  </w:style>
  <w:style w:type="table" w:customStyle="1" w:styleId="SombreamentoClaro-nfase11">
    <w:name w:val="Sombreamento Claro - Ênfase 11"/>
    <w:basedOn w:val="Tabelanormal"/>
    <w:uiPriority w:val="60"/>
    <w:rsid w:val="00F305AA"/>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s3uucc">
    <w:name w:val="s3uucc"/>
    <w:basedOn w:val="Fontepargpadro"/>
    <w:rsid w:val="00F305AA"/>
  </w:style>
  <w:style w:type="paragraph" w:styleId="Remissivo1">
    <w:name w:val="index 1"/>
    <w:basedOn w:val="Normal"/>
    <w:next w:val="Normal"/>
    <w:autoRedefine/>
    <w:uiPriority w:val="99"/>
    <w:unhideWhenUsed/>
    <w:rsid w:val="00F305AA"/>
    <w:pPr>
      <w:spacing w:line="276" w:lineRule="auto"/>
      <w:ind w:left="220" w:hanging="220"/>
    </w:pPr>
    <w:rPr>
      <w:rFonts w:asciiTheme="minorHAnsi" w:eastAsiaTheme="minorHAnsi" w:hAnsiTheme="minorHAnsi" w:cstheme="minorBidi"/>
      <w:sz w:val="18"/>
      <w:szCs w:val="18"/>
      <w:lang w:eastAsia="en-US"/>
    </w:rPr>
  </w:style>
  <w:style w:type="paragraph" w:styleId="Remissivo2">
    <w:name w:val="index 2"/>
    <w:basedOn w:val="Normal"/>
    <w:next w:val="Normal"/>
    <w:autoRedefine/>
    <w:uiPriority w:val="99"/>
    <w:unhideWhenUsed/>
    <w:rsid w:val="00F305AA"/>
    <w:pPr>
      <w:spacing w:line="276" w:lineRule="auto"/>
      <w:ind w:left="440" w:hanging="220"/>
    </w:pPr>
    <w:rPr>
      <w:rFonts w:asciiTheme="minorHAnsi" w:eastAsiaTheme="minorHAnsi" w:hAnsiTheme="minorHAnsi" w:cstheme="minorBidi"/>
      <w:sz w:val="18"/>
      <w:szCs w:val="18"/>
      <w:lang w:eastAsia="en-US"/>
    </w:rPr>
  </w:style>
  <w:style w:type="paragraph" w:styleId="Remissivo3">
    <w:name w:val="index 3"/>
    <w:basedOn w:val="Normal"/>
    <w:next w:val="Normal"/>
    <w:autoRedefine/>
    <w:uiPriority w:val="99"/>
    <w:unhideWhenUsed/>
    <w:rsid w:val="00F305AA"/>
    <w:pPr>
      <w:spacing w:line="276" w:lineRule="auto"/>
      <w:ind w:left="660" w:hanging="220"/>
    </w:pPr>
    <w:rPr>
      <w:rFonts w:asciiTheme="minorHAnsi" w:eastAsiaTheme="minorHAnsi" w:hAnsiTheme="minorHAnsi" w:cstheme="minorBidi"/>
      <w:sz w:val="18"/>
      <w:szCs w:val="18"/>
      <w:lang w:eastAsia="en-US"/>
    </w:rPr>
  </w:style>
  <w:style w:type="paragraph" w:styleId="Remissivo4">
    <w:name w:val="index 4"/>
    <w:basedOn w:val="Normal"/>
    <w:next w:val="Normal"/>
    <w:autoRedefine/>
    <w:uiPriority w:val="99"/>
    <w:unhideWhenUsed/>
    <w:rsid w:val="00F305AA"/>
    <w:pPr>
      <w:spacing w:line="276" w:lineRule="auto"/>
      <w:ind w:left="880" w:hanging="220"/>
    </w:pPr>
    <w:rPr>
      <w:rFonts w:asciiTheme="minorHAnsi" w:eastAsiaTheme="minorHAnsi" w:hAnsiTheme="minorHAnsi" w:cstheme="minorBidi"/>
      <w:sz w:val="18"/>
      <w:szCs w:val="18"/>
      <w:lang w:eastAsia="en-US"/>
    </w:rPr>
  </w:style>
  <w:style w:type="paragraph" w:styleId="Remissivo5">
    <w:name w:val="index 5"/>
    <w:basedOn w:val="Normal"/>
    <w:next w:val="Normal"/>
    <w:autoRedefine/>
    <w:uiPriority w:val="99"/>
    <w:unhideWhenUsed/>
    <w:rsid w:val="00F305AA"/>
    <w:pPr>
      <w:spacing w:line="276" w:lineRule="auto"/>
      <w:ind w:left="1100" w:hanging="220"/>
    </w:pPr>
    <w:rPr>
      <w:rFonts w:asciiTheme="minorHAnsi" w:eastAsiaTheme="minorHAnsi" w:hAnsiTheme="minorHAnsi" w:cstheme="minorBidi"/>
      <w:sz w:val="18"/>
      <w:szCs w:val="18"/>
      <w:lang w:eastAsia="en-US"/>
    </w:rPr>
  </w:style>
  <w:style w:type="paragraph" w:styleId="Remissivo6">
    <w:name w:val="index 6"/>
    <w:basedOn w:val="Normal"/>
    <w:next w:val="Normal"/>
    <w:autoRedefine/>
    <w:uiPriority w:val="99"/>
    <w:unhideWhenUsed/>
    <w:rsid w:val="00F305AA"/>
    <w:pPr>
      <w:spacing w:line="276" w:lineRule="auto"/>
      <w:ind w:left="1320" w:hanging="220"/>
    </w:pPr>
    <w:rPr>
      <w:rFonts w:asciiTheme="minorHAnsi" w:eastAsiaTheme="minorHAnsi" w:hAnsiTheme="minorHAnsi" w:cstheme="minorBidi"/>
      <w:sz w:val="18"/>
      <w:szCs w:val="18"/>
      <w:lang w:eastAsia="en-US"/>
    </w:rPr>
  </w:style>
  <w:style w:type="paragraph" w:styleId="Remissivo7">
    <w:name w:val="index 7"/>
    <w:basedOn w:val="Normal"/>
    <w:next w:val="Normal"/>
    <w:autoRedefine/>
    <w:uiPriority w:val="99"/>
    <w:unhideWhenUsed/>
    <w:rsid w:val="00F305AA"/>
    <w:pPr>
      <w:spacing w:line="276" w:lineRule="auto"/>
      <w:ind w:left="1540" w:hanging="220"/>
    </w:pPr>
    <w:rPr>
      <w:rFonts w:asciiTheme="minorHAnsi" w:eastAsiaTheme="minorHAnsi" w:hAnsiTheme="minorHAnsi" w:cstheme="minorBidi"/>
      <w:sz w:val="18"/>
      <w:szCs w:val="18"/>
      <w:lang w:eastAsia="en-US"/>
    </w:rPr>
  </w:style>
  <w:style w:type="paragraph" w:styleId="Remissivo8">
    <w:name w:val="index 8"/>
    <w:basedOn w:val="Normal"/>
    <w:next w:val="Normal"/>
    <w:autoRedefine/>
    <w:uiPriority w:val="99"/>
    <w:unhideWhenUsed/>
    <w:rsid w:val="00F305AA"/>
    <w:pPr>
      <w:spacing w:line="276" w:lineRule="auto"/>
      <w:ind w:left="1760" w:hanging="220"/>
    </w:pPr>
    <w:rPr>
      <w:rFonts w:asciiTheme="minorHAnsi" w:eastAsiaTheme="minorHAnsi" w:hAnsiTheme="minorHAnsi" w:cstheme="minorBidi"/>
      <w:sz w:val="18"/>
      <w:szCs w:val="18"/>
      <w:lang w:eastAsia="en-US"/>
    </w:rPr>
  </w:style>
  <w:style w:type="paragraph" w:styleId="Remissivo9">
    <w:name w:val="index 9"/>
    <w:basedOn w:val="Normal"/>
    <w:next w:val="Normal"/>
    <w:autoRedefine/>
    <w:uiPriority w:val="99"/>
    <w:unhideWhenUsed/>
    <w:rsid w:val="00F305AA"/>
    <w:pPr>
      <w:spacing w:line="276" w:lineRule="auto"/>
      <w:ind w:left="1980" w:hanging="220"/>
    </w:pPr>
    <w:rPr>
      <w:rFonts w:asciiTheme="minorHAnsi" w:eastAsiaTheme="minorHAnsi" w:hAnsiTheme="minorHAnsi" w:cstheme="minorBidi"/>
      <w:sz w:val="18"/>
      <w:szCs w:val="18"/>
      <w:lang w:eastAsia="en-US"/>
    </w:rPr>
  </w:style>
  <w:style w:type="paragraph" w:styleId="Ttulodendiceremissivo">
    <w:name w:val="index heading"/>
    <w:basedOn w:val="Normal"/>
    <w:next w:val="Remissivo1"/>
    <w:uiPriority w:val="99"/>
    <w:unhideWhenUsed/>
    <w:rsid w:val="00F305AA"/>
    <w:pPr>
      <w:spacing w:before="240" w:after="120" w:line="276" w:lineRule="auto"/>
      <w:jc w:val="center"/>
    </w:pPr>
    <w:rPr>
      <w:rFonts w:asciiTheme="minorHAnsi" w:eastAsiaTheme="minorHAnsi" w:hAnsiTheme="minorHAnsi" w:cstheme="minorBidi"/>
      <w:b/>
      <w:bCs/>
      <w:szCs w:val="26"/>
      <w:lang w:eastAsia="en-US"/>
    </w:rPr>
  </w:style>
  <w:style w:type="table" w:styleId="TabeladeGradeClara">
    <w:name w:val="Grid Table Light"/>
    <w:basedOn w:val="Tabelanormal"/>
    <w:uiPriority w:val="40"/>
    <w:rsid w:val="00F305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Simples1">
    <w:name w:val="Plain Table 1"/>
    <w:basedOn w:val="Tabelanormal"/>
    <w:uiPriority w:val="41"/>
    <w:rsid w:val="00F305A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pocp">
    <w:name w:val="tablepocp"/>
    <w:basedOn w:val="Normal"/>
    <w:rsid w:val="001A2B48"/>
    <w:pPr>
      <w:spacing w:before="100" w:beforeAutospacing="1" w:after="100" w:afterAutospacing="1"/>
    </w:pPr>
    <w:rPr>
      <w:rFonts w:ascii="Times New Roman" w:hAnsi="Times New Roman"/>
      <w:sz w:val="24"/>
      <w:szCs w:val="24"/>
    </w:rPr>
  </w:style>
  <w:style w:type="table" w:customStyle="1" w:styleId="Tabelacomgrade1">
    <w:name w:val="Tabela com grade1"/>
    <w:basedOn w:val="Tabelanormal"/>
    <w:next w:val="Tabelacomgrade"/>
    <w:uiPriority w:val="39"/>
    <w:rsid w:val="00C050F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oPendente1">
    <w:name w:val="Menção Pendente1"/>
    <w:basedOn w:val="Fontepargpadro"/>
    <w:uiPriority w:val="99"/>
    <w:semiHidden/>
    <w:unhideWhenUsed/>
    <w:rsid w:val="006356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66019">
      <w:bodyDiv w:val="1"/>
      <w:marLeft w:val="0"/>
      <w:marRight w:val="0"/>
      <w:marTop w:val="0"/>
      <w:marBottom w:val="0"/>
      <w:divBdr>
        <w:top w:val="none" w:sz="0" w:space="0" w:color="auto"/>
        <w:left w:val="none" w:sz="0" w:space="0" w:color="auto"/>
        <w:bottom w:val="none" w:sz="0" w:space="0" w:color="auto"/>
        <w:right w:val="none" w:sz="0" w:space="0" w:color="auto"/>
      </w:divBdr>
    </w:div>
    <w:div w:id="10883027">
      <w:bodyDiv w:val="1"/>
      <w:marLeft w:val="0"/>
      <w:marRight w:val="0"/>
      <w:marTop w:val="0"/>
      <w:marBottom w:val="0"/>
      <w:divBdr>
        <w:top w:val="none" w:sz="0" w:space="0" w:color="auto"/>
        <w:left w:val="none" w:sz="0" w:space="0" w:color="auto"/>
        <w:bottom w:val="none" w:sz="0" w:space="0" w:color="auto"/>
        <w:right w:val="none" w:sz="0" w:space="0" w:color="auto"/>
      </w:divBdr>
    </w:div>
    <w:div w:id="29690991">
      <w:bodyDiv w:val="1"/>
      <w:marLeft w:val="0"/>
      <w:marRight w:val="0"/>
      <w:marTop w:val="0"/>
      <w:marBottom w:val="0"/>
      <w:divBdr>
        <w:top w:val="none" w:sz="0" w:space="0" w:color="auto"/>
        <w:left w:val="none" w:sz="0" w:space="0" w:color="auto"/>
        <w:bottom w:val="none" w:sz="0" w:space="0" w:color="auto"/>
        <w:right w:val="none" w:sz="0" w:space="0" w:color="auto"/>
      </w:divBdr>
    </w:div>
    <w:div w:id="51195312">
      <w:bodyDiv w:val="1"/>
      <w:marLeft w:val="0"/>
      <w:marRight w:val="0"/>
      <w:marTop w:val="0"/>
      <w:marBottom w:val="0"/>
      <w:divBdr>
        <w:top w:val="none" w:sz="0" w:space="0" w:color="auto"/>
        <w:left w:val="none" w:sz="0" w:space="0" w:color="auto"/>
        <w:bottom w:val="none" w:sz="0" w:space="0" w:color="auto"/>
        <w:right w:val="none" w:sz="0" w:space="0" w:color="auto"/>
      </w:divBdr>
    </w:div>
    <w:div w:id="65147401">
      <w:bodyDiv w:val="1"/>
      <w:marLeft w:val="0"/>
      <w:marRight w:val="0"/>
      <w:marTop w:val="0"/>
      <w:marBottom w:val="0"/>
      <w:divBdr>
        <w:top w:val="none" w:sz="0" w:space="0" w:color="auto"/>
        <w:left w:val="none" w:sz="0" w:space="0" w:color="auto"/>
        <w:bottom w:val="none" w:sz="0" w:space="0" w:color="auto"/>
        <w:right w:val="none" w:sz="0" w:space="0" w:color="auto"/>
      </w:divBdr>
    </w:div>
    <w:div w:id="69428624">
      <w:bodyDiv w:val="1"/>
      <w:marLeft w:val="0"/>
      <w:marRight w:val="0"/>
      <w:marTop w:val="0"/>
      <w:marBottom w:val="0"/>
      <w:divBdr>
        <w:top w:val="none" w:sz="0" w:space="0" w:color="auto"/>
        <w:left w:val="none" w:sz="0" w:space="0" w:color="auto"/>
        <w:bottom w:val="none" w:sz="0" w:space="0" w:color="auto"/>
        <w:right w:val="none" w:sz="0" w:space="0" w:color="auto"/>
      </w:divBdr>
    </w:div>
    <w:div w:id="117799739">
      <w:bodyDiv w:val="1"/>
      <w:marLeft w:val="0"/>
      <w:marRight w:val="0"/>
      <w:marTop w:val="0"/>
      <w:marBottom w:val="0"/>
      <w:divBdr>
        <w:top w:val="none" w:sz="0" w:space="0" w:color="auto"/>
        <w:left w:val="none" w:sz="0" w:space="0" w:color="auto"/>
        <w:bottom w:val="none" w:sz="0" w:space="0" w:color="auto"/>
        <w:right w:val="none" w:sz="0" w:space="0" w:color="auto"/>
      </w:divBdr>
    </w:div>
    <w:div w:id="131796526">
      <w:bodyDiv w:val="1"/>
      <w:marLeft w:val="0"/>
      <w:marRight w:val="0"/>
      <w:marTop w:val="0"/>
      <w:marBottom w:val="0"/>
      <w:divBdr>
        <w:top w:val="none" w:sz="0" w:space="0" w:color="auto"/>
        <w:left w:val="none" w:sz="0" w:space="0" w:color="auto"/>
        <w:bottom w:val="none" w:sz="0" w:space="0" w:color="auto"/>
        <w:right w:val="none" w:sz="0" w:space="0" w:color="auto"/>
      </w:divBdr>
    </w:div>
    <w:div w:id="136067306">
      <w:bodyDiv w:val="1"/>
      <w:marLeft w:val="0"/>
      <w:marRight w:val="0"/>
      <w:marTop w:val="0"/>
      <w:marBottom w:val="0"/>
      <w:divBdr>
        <w:top w:val="none" w:sz="0" w:space="0" w:color="auto"/>
        <w:left w:val="none" w:sz="0" w:space="0" w:color="auto"/>
        <w:bottom w:val="none" w:sz="0" w:space="0" w:color="auto"/>
        <w:right w:val="none" w:sz="0" w:space="0" w:color="auto"/>
      </w:divBdr>
    </w:div>
    <w:div w:id="171649611">
      <w:bodyDiv w:val="1"/>
      <w:marLeft w:val="0"/>
      <w:marRight w:val="0"/>
      <w:marTop w:val="0"/>
      <w:marBottom w:val="0"/>
      <w:divBdr>
        <w:top w:val="none" w:sz="0" w:space="0" w:color="auto"/>
        <w:left w:val="none" w:sz="0" w:space="0" w:color="auto"/>
        <w:bottom w:val="none" w:sz="0" w:space="0" w:color="auto"/>
        <w:right w:val="none" w:sz="0" w:space="0" w:color="auto"/>
      </w:divBdr>
    </w:div>
    <w:div w:id="197550228">
      <w:bodyDiv w:val="1"/>
      <w:marLeft w:val="0"/>
      <w:marRight w:val="0"/>
      <w:marTop w:val="0"/>
      <w:marBottom w:val="0"/>
      <w:divBdr>
        <w:top w:val="none" w:sz="0" w:space="0" w:color="auto"/>
        <w:left w:val="none" w:sz="0" w:space="0" w:color="auto"/>
        <w:bottom w:val="none" w:sz="0" w:space="0" w:color="auto"/>
        <w:right w:val="none" w:sz="0" w:space="0" w:color="auto"/>
      </w:divBdr>
    </w:div>
    <w:div w:id="198131605">
      <w:bodyDiv w:val="1"/>
      <w:marLeft w:val="0"/>
      <w:marRight w:val="0"/>
      <w:marTop w:val="0"/>
      <w:marBottom w:val="0"/>
      <w:divBdr>
        <w:top w:val="none" w:sz="0" w:space="0" w:color="auto"/>
        <w:left w:val="none" w:sz="0" w:space="0" w:color="auto"/>
        <w:bottom w:val="none" w:sz="0" w:space="0" w:color="auto"/>
        <w:right w:val="none" w:sz="0" w:space="0" w:color="auto"/>
      </w:divBdr>
    </w:div>
    <w:div w:id="201285896">
      <w:bodyDiv w:val="1"/>
      <w:marLeft w:val="0"/>
      <w:marRight w:val="0"/>
      <w:marTop w:val="0"/>
      <w:marBottom w:val="0"/>
      <w:divBdr>
        <w:top w:val="none" w:sz="0" w:space="0" w:color="auto"/>
        <w:left w:val="none" w:sz="0" w:space="0" w:color="auto"/>
        <w:bottom w:val="none" w:sz="0" w:space="0" w:color="auto"/>
        <w:right w:val="none" w:sz="0" w:space="0" w:color="auto"/>
      </w:divBdr>
    </w:div>
    <w:div w:id="202444558">
      <w:bodyDiv w:val="1"/>
      <w:marLeft w:val="0"/>
      <w:marRight w:val="0"/>
      <w:marTop w:val="0"/>
      <w:marBottom w:val="0"/>
      <w:divBdr>
        <w:top w:val="none" w:sz="0" w:space="0" w:color="auto"/>
        <w:left w:val="none" w:sz="0" w:space="0" w:color="auto"/>
        <w:bottom w:val="none" w:sz="0" w:space="0" w:color="auto"/>
        <w:right w:val="none" w:sz="0" w:space="0" w:color="auto"/>
      </w:divBdr>
    </w:div>
    <w:div w:id="210845653">
      <w:bodyDiv w:val="1"/>
      <w:marLeft w:val="0"/>
      <w:marRight w:val="0"/>
      <w:marTop w:val="0"/>
      <w:marBottom w:val="0"/>
      <w:divBdr>
        <w:top w:val="none" w:sz="0" w:space="0" w:color="auto"/>
        <w:left w:val="none" w:sz="0" w:space="0" w:color="auto"/>
        <w:bottom w:val="none" w:sz="0" w:space="0" w:color="auto"/>
        <w:right w:val="none" w:sz="0" w:space="0" w:color="auto"/>
      </w:divBdr>
    </w:div>
    <w:div w:id="220942429">
      <w:bodyDiv w:val="1"/>
      <w:marLeft w:val="0"/>
      <w:marRight w:val="0"/>
      <w:marTop w:val="0"/>
      <w:marBottom w:val="0"/>
      <w:divBdr>
        <w:top w:val="none" w:sz="0" w:space="0" w:color="auto"/>
        <w:left w:val="none" w:sz="0" w:space="0" w:color="auto"/>
        <w:bottom w:val="none" w:sz="0" w:space="0" w:color="auto"/>
        <w:right w:val="none" w:sz="0" w:space="0" w:color="auto"/>
      </w:divBdr>
    </w:div>
    <w:div w:id="235239323">
      <w:bodyDiv w:val="1"/>
      <w:marLeft w:val="0"/>
      <w:marRight w:val="0"/>
      <w:marTop w:val="0"/>
      <w:marBottom w:val="0"/>
      <w:divBdr>
        <w:top w:val="none" w:sz="0" w:space="0" w:color="auto"/>
        <w:left w:val="none" w:sz="0" w:space="0" w:color="auto"/>
        <w:bottom w:val="none" w:sz="0" w:space="0" w:color="auto"/>
        <w:right w:val="none" w:sz="0" w:space="0" w:color="auto"/>
      </w:divBdr>
    </w:div>
    <w:div w:id="239994280">
      <w:bodyDiv w:val="1"/>
      <w:marLeft w:val="0"/>
      <w:marRight w:val="0"/>
      <w:marTop w:val="0"/>
      <w:marBottom w:val="0"/>
      <w:divBdr>
        <w:top w:val="none" w:sz="0" w:space="0" w:color="auto"/>
        <w:left w:val="none" w:sz="0" w:space="0" w:color="auto"/>
        <w:bottom w:val="none" w:sz="0" w:space="0" w:color="auto"/>
        <w:right w:val="none" w:sz="0" w:space="0" w:color="auto"/>
      </w:divBdr>
    </w:div>
    <w:div w:id="249897103">
      <w:bodyDiv w:val="1"/>
      <w:marLeft w:val="0"/>
      <w:marRight w:val="0"/>
      <w:marTop w:val="0"/>
      <w:marBottom w:val="0"/>
      <w:divBdr>
        <w:top w:val="none" w:sz="0" w:space="0" w:color="auto"/>
        <w:left w:val="none" w:sz="0" w:space="0" w:color="auto"/>
        <w:bottom w:val="none" w:sz="0" w:space="0" w:color="auto"/>
        <w:right w:val="none" w:sz="0" w:space="0" w:color="auto"/>
      </w:divBdr>
    </w:div>
    <w:div w:id="250823751">
      <w:bodyDiv w:val="1"/>
      <w:marLeft w:val="0"/>
      <w:marRight w:val="0"/>
      <w:marTop w:val="0"/>
      <w:marBottom w:val="0"/>
      <w:divBdr>
        <w:top w:val="none" w:sz="0" w:space="0" w:color="auto"/>
        <w:left w:val="none" w:sz="0" w:space="0" w:color="auto"/>
        <w:bottom w:val="none" w:sz="0" w:space="0" w:color="auto"/>
        <w:right w:val="none" w:sz="0" w:space="0" w:color="auto"/>
      </w:divBdr>
    </w:div>
    <w:div w:id="256210479">
      <w:bodyDiv w:val="1"/>
      <w:marLeft w:val="0"/>
      <w:marRight w:val="0"/>
      <w:marTop w:val="0"/>
      <w:marBottom w:val="0"/>
      <w:divBdr>
        <w:top w:val="none" w:sz="0" w:space="0" w:color="auto"/>
        <w:left w:val="none" w:sz="0" w:space="0" w:color="auto"/>
        <w:bottom w:val="none" w:sz="0" w:space="0" w:color="auto"/>
        <w:right w:val="none" w:sz="0" w:space="0" w:color="auto"/>
      </w:divBdr>
    </w:div>
    <w:div w:id="262809477">
      <w:bodyDiv w:val="1"/>
      <w:marLeft w:val="0"/>
      <w:marRight w:val="0"/>
      <w:marTop w:val="0"/>
      <w:marBottom w:val="0"/>
      <w:divBdr>
        <w:top w:val="none" w:sz="0" w:space="0" w:color="auto"/>
        <w:left w:val="none" w:sz="0" w:space="0" w:color="auto"/>
        <w:bottom w:val="none" w:sz="0" w:space="0" w:color="auto"/>
        <w:right w:val="none" w:sz="0" w:space="0" w:color="auto"/>
      </w:divBdr>
    </w:div>
    <w:div w:id="277033564">
      <w:bodyDiv w:val="1"/>
      <w:marLeft w:val="0"/>
      <w:marRight w:val="0"/>
      <w:marTop w:val="0"/>
      <w:marBottom w:val="0"/>
      <w:divBdr>
        <w:top w:val="none" w:sz="0" w:space="0" w:color="auto"/>
        <w:left w:val="none" w:sz="0" w:space="0" w:color="auto"/>
        <w:bottom w:val="none" w:sz="0" w:space="0" w:color="auto"/>
        <w:right w:val="none" w:sz="0" w:space="0" w:color="auto"/>
      </w:divBdr>
    </w:div>
    <w:div w:id="278026712">
      <w:bodyDiv w:val="1"/>
      <w:marLeft w:val="0"/>
      <w:marRight w:val="0"/>
      <w:marTop w:val="0"/>
      <w:marBottom w:val="0"/>
      <w:divBdr>
        <w:top w:val="none" w:sz="0" w:space="0" w:color="auto"/>
        <w:left w:val="none" w:sz="0" w:space="0" w:color="auto"/>
        <w:bottom w:val="none" w:sz="0" w:space="0" w:color="auto"/>
        <w:right w:val="none" w:sz="0" w:space="0" w:color="auto"/>
      </w:divBdr>
    </w:div>
    <w:div w:id="280460584">
      <w:bodyDiv w:val="1"/>
      <w:marLeft w:val="0"/>
      <w:marRight w:val="0"/>
      <w:marTop w:val="0"/>
      <w:marBottom w:val="0"/>
      <w:divBdr>
        <w:top w:val="none" w:sz="0" w:space="0" w:color="auto"/>
        <w:left w:val="none" w:sz="0" w:space="0" w:color="auto"/>
        <w:bottom w:val="none" w:sz="0" w:space="0" w:color="auto"/>
        <w:right w:val="none" w:sz="0" w:space="0" w:color="auto"/>
      </w:divBdr>
    </w:div>
    <w:div w:id="287784910">
      <w:bodyDiv w:val="1"/>
      <w:marLeft w:val="0"/>
      <w:marRight w:val="0"/>
      <w:marTop w:val="0"/>
      <w:marBottom w:val="0"/>
      <w:divBdr>
        <w:top w:val="none" w:sz="0" w:space="0" w:color="auto"/>
        <w:left w:val="none" w:sz="0" w:space="0" w:color="auto"/>
        <w:bottom w:val="none" w:sz="0" w:space="0" w:color="auto"/>
        <w:right w:val="none" w:sz="0" w:space="0" w:color="auto"/>
      </w:divBdr>
    </w:div>
    <w:div w:id="293684679">
      <w:bodyDiv w:val="1"/>
      <w:marLeft w:val="0"/>
      <w:marRight w:val="0"/>
      <w:marTop w:val="0"/>
      <w:marBottom w:val="0"/>
      <w:divBdr>
        <w:top w:val="none" w:sz="0" w:space="0" w:color="auto"/>
        <w:left w:val="none" w:sz="0" w:space="0" w:color="auto"/>
        <w:bottom w:val="none" w:sz="0" w:space="0" w:color="auto"/>
        <w:right w:val="none" w:sz="0" w:space="0" w:color="auto"/>
      </w:divBdr>
    </w:div>
    <w:div w:id="299651715">
      <w:bodyDiv w:val="1"/>
      <w:marLeft w:val="0"/>
      <w:marRight w:val="0"/>
      <w:marTop w:val="0"/>
      <w:marBottom w:val="0"/>
      <w:divBdr>
        <w:top w:val="none" w:sz="0" w:space="0" w:color="auto"/>
        <w:left w:val="none" w:sz="0" w:space="0" w:color="auto"/>
        <w:bottom w:val="none" w:sz="0" w:space="0" w:color="auto"/>
        <w:right w:val="none" w:sz="0" w:space="0" w:color="auto"/>
      </w:divBdr>
    </w:div>
    <w:div w:id="301274582">
      <w:bodyDiv w:val="1"/>
      <w:marLeft w:val="0"/>
      <w:marRight w:val="0"/>
      <w:marTop w:val="0"/>
      <w:marBottom w:val="0"/>
      <w:divBdr>
        <w:top w:val="none" w:sz="0" w:space="0" w:color="auto"/>
        <w:left w:val="none" w:sz="0" w:space="0" w:color="auto"/>
        <w:bottom w:val="none" w:sz="0" w:space="0" w:color="auto"/>
        <w:right w:val="none" w:sz="0" w:space="0" w:color="auto"/>
      </w:divBdr>
    </w:div>
    <w:div w:id="309138972">
      <w:bodyDiv w:val="1"/>
      <w:marLeft w:val="0"/>
      <w:marRight w:val="0"/>
      <w:marTop w:val="0"/>
      <w:marBottom w:val="0"/>
      <w:divBdr>
        <w:top w:val="none" w:sz="0" w:space="0" w:color="auto"/>
        <w:left w:val="none" w:sz="0" w:space="0" w:color="auto"/>
        <w:bottom w:val="none" w:sz="0" w:space="0" w:color="auto"/>
        <w:right w:val="none" w:sz="0" w:space="0" w:color="auto"/>
      </w:divBdr>
    </w:div>
    <w:div w:id="311254205">
      <w:bodyDiv w:val="1"/>
      <w:marLeft w:val="0"/>
      <w:marRight w:val="0"/>
      <w:marTop w:val="0"/>
      <w:marBottom w:val="0"/>
      <w:divBdr>
        <w:top w:val="none" w:sz="0" w:space="0" w:color="auto"/>
        <w:left w:val="none" w:sz="0" w:space="0" w:color="auto"/>
        <w:bottom w:val="none" w:sz="0" w:space="0" w:color="auto"/>
        <w:right w:val="none" w:sz="0" w:space="0" w:color="auto"/>
      </w:divBdr>
    </w:div>
    <w:div w:id="328873270">
      <w:bodyDiv w:val="1"/>
      <w:marLeft w:val="0"/>
      <w:marRight w:val="0"/>
      <w:marTop w:val="0"/>
      <w:marBottom w:val="0"/>
      <w:divBdr>
        <w:top w:val="none" w:sz="0" w:space="0" w:color="auto"/>
        <w:left w:val="none" w:sz="0" w:space="0" w:color="auto"/>
        <w:bottom w:val="none" w:sz="0" w:space="0" w:color="auto"/>
        <w:right w:val="none" w:sz="0" w:space="0" w:color="auto"/>
      </w:divBdr>
    </w:div>
    <w:div w:id="342129931">
      <w:bodyDiv w:val="1"/>
      <w:marLeft w:val="0"/>
      <w:marRight w:val="0"/>
      <w:marTop w:val="0"/>
      <w:marBottom w:val="0"/>
      <w:divBdr>
        <w:top w:val="none" w:sz="0" w:space="0" w:color="auto"/>
        <w:left w:val="none" w:sz="0" w:space="0" w:color="auto"/>
        <w:bottom w:val="none" w:sz="0" w:space="0" w:color="auto"/>
        <w:right w:val="none" w:sz="0" w:space="0" w:color="auto"/>
      </w:divBdr>
      <w:divsChild>
        <w:div w:id="1161308822">
          <w:marLeft w:val="0"/>
          <w:marRight w:val="0"/>
          <w:marTop w:val="0"/>
          <w:marBottom w:val="0"/>
          <w:divBdr>
            <w:top w:val="none" w:sz="0" w:space="0" w:color="auto"/>
            <w:left w:val="none" w:sz="0" w:space="0" w:color="auto"/>
            <w:bottom w:val="none" w:sz="0" w:space="0" w:color="auto"/>
            <w:right w:val="none" w:sz="0" w:space="0" w:color="auto"/>
          </w:divBdr>
        </w:div>
        <w:div w:id="2081754834">
          <w:marLeft w:val="0"/>
          <w:marRight w:val="0"/>
          <w:marTop w:val="0"/>
          <w:marBottom w:val="0"/>
          <w:divBdr>
            <w:top w:val="none" w:sz="0" w:space="0" w:color="auto"/>
            <w:left w:val="none" w:sz="0" w:space="0" w:color="auto"/>
            <w:bottom w:val="none" w:sz="0" w:space="0" w:color="auto"/>
            <w:right w:val="none" w:sz="0" w:space="0" w:color="auto"/>
          </w:divBdr>
          <w:divsChild>
            <w:div w:id="1268851903">
              <w:marLeft w:val="0"/>
              <w:marRight w:val="0"/>
              <w:marTop w:val="0"/>
              <w:marBottom w:val="0"/>
              <w:divBdr>
                <w:top w:val="none" w:sz="0" w:space="0" w:color="auto"/>
                <w:left w:val="none" w:sz="0" w:space="0" w:color="auto"/>
                <w:bottom w:val="none" w:sz="0" w:space="0" w:color="auto"/>
                <w:right w:val="none" w:sz="0" w:space="0" w:color="auto"/>
              </w:divBdr>
            </w:div>
            <w:div w:id="913511425">
              <w:marLeft w:val="0"/>
              <w:marRight w:val="0"/>
              <w:marTop w:val="0"/>
              <w:marBottom w:val="0"/>
              <w:divBdr>
                <w:top w:val="none" w:sz="0" w:space="0" w:color="auto"/>
                <w:left w:val="none" w:sz="0" w:space="0" w:color="auto"/>
                <w:bottom w:val="none" w:sz="0" w:space="0" w:color="auto"/>
                <w:right w:val="none" w:sz="0" w:space="0" w:color="auto"/>
              </w:divBdr>
            </w:div>
            <w:div w:id="2027513907">
              <w:marLeft w:val="0"/>
              <w:marRight w:val="0"/>
              <w:marTop w:val="0"/>
              <w:marBottom w:val="0"/>
              <w:divBdr>
                <w:top w:val="none" w:sz="0" w:space="0" w:color="auto"/>
                <w:left w:val="none" w:sz="0" w:space="0" w:color="auto"/>
                <w:bottom w:val="none" w:sz="0" w:space="0" w:color="auto"/>
                <w:right w:val="none" w:sz="0" w:space="0" w:color="auto"/>
              </w:divBdr>
            </w:div>
            <w:div w:id="24864949">
              <w:marLeft w:val="0"/>
              <w:marRight w:val="0"/>
              <w:marTop w:val="0"/>
              <w:marBottom w:val="0"/>
              <w:divBdr>
                <w:top w:val="none" w:sz="0" w:space="0" w:color="auto"/>
                <w:left w:val="none" w:sz="0" w:space="0" w:color="auto"/>
                <w:bottom w:val="none" w:sz="0" w:space="0" w:color="auto"/>
                <w:right w:val="none" w:sz="0" w:space="0" w:color="auto"/>
              </w:divBdr>
            </w:div>
            <w:div w:id="241913975">
              <w:marLeft w:val="0"/>
              <w:marRight w:val="0"/>
              <w:marTop w:val="0"/>
              <w:marBottom w:val="0"/>
              <w:divBdr>
                <w:top w:val="none" w:sz="0" w:space="0" w:color="auto"/>
                <w:left w:val="none" w:sz="0" w:space="0" w:color="auto"/>
                <w:bottom w:val="none" w:sz="0" w:space="0" w:color="auto"/>
                <w:right w:val="none" w:sz="0" w:space="0" w:color="auto"/>
              </w:divBdr>
            </w:div>
            <w:div w:id="332493138">
              <w:marLeft w:val="0"/>
              <w:marRight w:val="0"/>
              <w:marTop w:val="0"/>
              <w:marBottom w:val="0"/>
              <w:divBdr>
                <w:top w:val="none" w:sz="0" w:space="0" w:color="auto"/>
                <w:left w:val="none" w:sz="0" w:space="0" w:color="auto"/>
                <w:bottom w:val="none" w:sz="0" w:space="0" w:color="auto"/>
                <w:right w:val="none" w:sz="0" w:space="0" w:color="auto"/>
              </w:divBdr>
            </w:div>
            <w:div w:id="1887374487">
              <w:marLeft w:val="0"/>
              <w:marRight w:val="0"/>
              <w:marTop w:val="0"/>
              <w:marBottom w:val="0"/>
              <w:divBdr>
                <w:top w:val="none" w:sz="0" w:space="0" w:color="auto"/>
                <w:left w:val="none" w:sz="0" w:space="0" w:color="auto"/>
                <w:bottom w:val="none" w:sz="0" w:space="0" w:color="auto"/>
                <w:right w:val="none" w:sz="0" w:space="0" w:color="auto"/>
              </w:divBdr>
            </w:div>
            <w:div w:id="33561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404379">
      <w:bodyDiv w:val="1"/>
      <w:marLeft w:val="0"/>
      <w:marRight w:val="0"/>
      <w:marTop w:val="0"/>
      <w:marBottom w:val="0"/>
      <w:divBdr>
        <w:top w:val="none" w:sz="0" w:space="0" w:color="auto"/>
        <w:left w:val="none" w:sz="0" w:space="0" w:color="auto"/>
        <w:bottom w:val="none" w:sz="0" w:space="0" w:color="auto"/>
        <w:right w:val="none" w:sz="0" w:space="0" w:color="auto"/>
      </w:divBdr>
    </w:div>
    <w:div w:id="372078694">
      <w:bodyDiv w:val="1"/>
      <w:marLeft w:val="0"/>
      <w:marRight w:val="0"/>
      <w:marTop w:val="0"/>
      <w:marBottom w:val="0"/>
      <w:divBdr>
        <w:top w:val="none" w:sz="0" w:space="0" w:color="auto"/>
        <w:left w:val="none" w:sz="0" w:space="0" w:color="auto"/>
        <w:bottom w:val="none" w:sz="0" w:space="0" w:color="auto"/>
        <w:right w:val="none" w:sz="0" w:space="0" w:color="auto"/>
      </w:divBdr>
    </w:div>
    <w:div w:id="380787553">
      <w:bodyDiv w:val="1"/>
      <w:marLeft w:val="0"/>
      <w:marRight w:val="0"/>
      <w:marTop w:val="0"/>
      <w:marBottom w:val="0"/>
      <w:divBdr>
        <w:top w:val="none" w:sz="0" w:space="0" w:color="auto"/>
        <w:left w:val="none" w:sz="0" w:space="0" w:color="auto"/>
        <w:bottom w:val="none" w:sz="0" w:space="0" w:color="auto"/>
        <w:right w:val="none" w:sz="0" w:space="0" w:color="auto"/>
      </w:divBdr>
    </w:div>
    <w:div w:id="401875037">
      <w:bodyDiv w:val="1"/>
      <w:marLeft w:val="0"/>
      <w:marRight w:val="0"/>
      <w:marTop w:val="0"/>
      <w:marBottom w:val="0"/>
      <w:divBdr>
        <w:top w:val="none" w:sz="0" w:space="0" w:color="auto"/>
        <w:left w:val="none" w:sz="0" w:space="0" w:color="auto"/>
        <w:bottom w:val="none" w:sz="0" w:space="0" w:color="auto"/>
        <w:right w:val="none" w:sz="0" w:space="0" w:color="auto"/>
      </w:divBdr>
    </w:div>
    <w:div w:id="424500836">
      <w:bodyDiv w:val="1"/>
      <w:marLeft w:val="0"/>
      <w:marRight w:val="0"/>
      <w:marTop w:val="0"/>
      <w:marBottom w:val="0"/>
      <w:divBdr>
        <w:top w:val="none" w:sz="0" w:space="0" w:color="auto"/>
        <w:left w:val="none" w:sz="0" w:space="0" w:color="auto"/>
        <w:bottom w:val="none" w:sz="0" w:space="0" w:color="auto"/>
        <w:right w:val="none" w:sz="0" w:space="0" w:color="auto"/>
      </w:divBdr>
      <w:divsChild>
        <w:div w:id="1125276540">
          <w:marLeft w:val="0"/>
          <w:marRight w:val="0"/>
          <w:marTop w:val="0"/>
          <w:marBottom w:val="0"/>
          <w:divBdr>
            <w:top w:val="none" w:sz="0" w:space="0" w:color="auto"/>
            <w:left w:val="none" w:sz="0" w:space="0" w:color="auto"/>
            <w:bottom w:val="none" w:sz="0" w:space="0" w:color="auto"/>
            <w:right w:val="none" w:sz="0" w:space="0" w:color="auto"/>
          </w:divBdr>
        </w:div>
        <w:div w:id="1848666393">
          <w:marLeft w:val="0"/>
          <w:marRight w:val="0"/>
          <w:marTop w:val="0"/>
          <w:marBottom w:val="0"/>
          <w:divBdr>
            <w:top w:val="none" w:sz="0" w:space="0" w:color="auto"/>
            <w:left w:val="none" w:sz="0" w:space="0" w:color="auto"/>
            <w:bottom w:val="none" w:sz="0" w:space="0" w:color="auto"/>
            <w:right w:val="none" w:sz="0" w:space="0" w:color="auto"/>
          </w:divBdr>
          <w:divsChild>
            <w:div w:id="1403483357">
              <w:marLeft w:val="0"/>
              <w:marRight w:val="0"/>
              <w:marTop w:val="0"/>
              <w:marBottom w:val="160"/>
              <w:divBdr>
                <w:top w:val="none" w:sz="0" w:space="0" w:color="auto"/>
                <w:left w:val="none" w:sz="0" w:space="0" w:color="auto"/>
                <w:bottom w:val="none" w:sz="0" w:space="0" w:color="auto"/>
                <w:right w:val="none" w:sz="0" w:space="0" w:color="auto"/>
              </w:divBdr>
            </w:div>
          </w:divsChild>
        </w:div>
      </w:divsChild>
    </w:div>
    <w:div w:id="425737281">
      <w:bodyDiv w:val="1"/>
      <w:marLeft w:val="0"/>
      <w:marRight w:val="0"/>
      <w:marTop w:val="0"/>
      <w:marBottom w:val="0"/>
      <w:divBdr>
        <w:top w:val="none" w:sz="0" w:space="0" w:color="auto"/>
        <w:left w:val="none" w:sz="0" w:space="0" w:color="auto"/>
        <w:bottom w:val="none" w:sz="0" w:space="0" w:color="auto"/>
        <w:right w:val="none" w:sz="0" w:space="0" w:color="auto"/>
      </w:divBdr>
    </w:div>
    <w:div w:id="430900655">
      <w:bodyDiv w:val="1"/>
      <w:marLeft w:val="0"/>
      <w:marRight w:val="0"/>
      <w:marTop w:val="0"/>
      <w:marBottom w:val="0"/>
      <w:divBdr>
        <w:top w:val="none" w:sz="0" w:space="0" w:color="auto"/>
        <w:left w:val="none" w:sz="0" w:space="0" w:color="auto"/>
        <w:bottom w:val="none" w:sz="0" w:space="0" w:color="auto"/>
        <w:right w:val="none" w:sz="0" w:space="0" w:color="auto"/>
      </w:divBdr>
    </w:div>
    <w:div w:id="435448845">
      <w:bodyDiv w:val="1"/>
      <w:marLeft w:val="0"/>
      <w:marRight w:val="0"/>
      <w:marTop w:val="0"/>
      <w:marBottom w:val="0"/>
      <w:divBdr>
        <w:top w:val="none" w:sz="0" w:space="0" w:color="auto"/>
        <w:left w:val="none" w:sz="0" w:space="0" w:color="auto"/>
        <w:bottom w:val="none" w:sz="0" w:space="0" w:color="auto"/>
        <w:right w:val="none" w:sz="0" w:space="0" w:color="auto"/>
      </w:divBdr>
      <w:divsChild>
        <w:div w:id="460076534">
          <w:marLeft w:val="0"/>
          <w:marRight w:val="0"/>
          <w:marTop w:val="0"/>
          <w:marBottom w:val="450"/>
          <w:divBdr>
            <w:top w:val="none" w:sz="0" w:space="0" w:color="auto"/>
            <w:left w:val="none" w:sz="0" w:space="0" w:color="auto"/>
            <w:bottom w:val="none" w:sz="0" w:space="0" w:color="auto"/>
            <w:right w:val="none" w:sz="0" w:space="0" w:color="auto"/>
          </w:divBdr>
          <w:divsChild>
            <w:div w:id="414864487">
              <w:marLeft w:val="0"/>
              <w:marRight w:val="0"/>
              <w:marTop w:val="0"/>
              <w:marBottom w:val="0"/>
              <w:divBdr>
                <w:top w:val="none" w:sz="0" w:space="0" w:color="auto"/>
                <w:left w:val="none" w:sz="0" w:space="0" w:color="auto"/>
                <w:bottom w:val="none" w:sz="0" w:space="0" w:color="auto"/>
                <w:right w:val="none" w:sz="0" w:space="0" w:color="auto"/>
              </w:divBdr>
              <w:divsChild>
                <w:div w:id="191824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309016">
          <w:marLeft w:val="0"/>
          <w:marRight w:val="0"/>
          <w:marTop w:val="0"/>
          <w:marBottom w:val="0"/>
          <w:divBdr>
            <w:top w:val="none" w:sz="0" w:space="0" w:color="auto"/>
            <w:left w:val="none" w:sz="0" w:space="0" w:color="auto"/>
            <w:bottom w:val="none" w:sz="0" w:space="0" w:color="auto"/>
            <w:right w:val="none" w:sz="0" w:space="0" w:color="auto"/>
          </w:divBdr>
          <w:divsChild>
            <w:div w:id="1074158211">
              <w:marLeft w:val="0"/>
              <w:marRight w:val="0"/>
              <w:marTop w:val="0"/>
              <w:marBottom w:val="0"/>
              <w:divBdr>
                <w:top w:val="none" w:sz="0" w:space="0" w:color="auto"/>
                <w:left w:val="none" w:sz="0" w:space="0" w:color="auto"/>
                <w:bottom w:val="none" w:sz="0" w:space="0" w:color="auto"/>
                <w:right w:val="none" w:sz="0" w:space="0" w:color="auto"/>
              </w:divBdr>
            </w:div>
            <w:div w:id="561789664">
              <w:marLeft w:val="0"/>
              <w:marRight w:val="0"/>
              <w:marTop w:val="300"/>
              <w:marBottom w:val="300"/>
              <w:divBdr>
                <w:top w:val="none" w:sz="0" w:space="0" w:color="auto"/>
                <w:left w:val="none" w:sz="0" w:space="0" w:color="auto"/>
                <w:bottom w:val="none" w:sz="0" w:space="0" w:color="auto"/>
                <w:right w:val="none" w:sz="0" w:space="0" w:color="auto"/>
              </w:divBdr>
              <w:divsChild>
                <w:div w:id="352077486">
                  <w:marLeft w:val="0"/>
                  <w:marRight w:val="0"/>
                  <w:marTop w:val="0"/>
                  <w:marBottom w:val="0"/>
                  <w:divBdr>
                    <w:top w:val="none" w:sz="0" w:space="0" w:color="auto"/>
                    <w:left w:val="none" w:sz="0" w:space="0" w:color="auto"/>
                    <w:bottom w:val="none" w:sz="0" w:space="0" w:color="auto"/>
                    <w:right w:val="none" w:sz="0" w:space="0" w:color="auto"/>
                  </w:divBdr>
                  <w:divsChild>
                    <w:div w:id="173869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04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801683">
      <w:bodyDiv w:val="1"/>
      <w:marLeft w:val="0"/>
      <w:marRight w:val="0"/>
      <w:marTop w:val="0"/>
      <w:marBottom w:val="0"/>
      <w:divBdr>
        <w:top w:val="none" w:sz="0" w:space="0" w:color="auto"/>
        <w:left w:val="none" w:sz="0" w:space="0" w:color="auto"/>
        <w:bottom w:val="none" w:sz="0" w:space="0" w:color="auto"/>
        <w:right w:val="none" w:sz="0" w:space="0" w:color="auto"/>
      </w:divBdr>
    </w:div>
    <w:div w:id="478813011">
      <w:bodyDiv w:val="1"/>
      <w:marLeft w:val="0"/>
      <w:marRight w:val="0"/>
      <w:marTop w:val="0"/>
      <w:marBottom w:val="0"/>
      <w:divBdr>
        <w:top w:val="none" w:sz="0" w:space="0" w:color="auto"/>
        <w:left w:val="none" w:sz="0" w:space="0" w:color="auto"/>
        <w:bottom w:val="none" w:sz="0" w:space="0" w:color="auto"/>
        <w:right w:val="none" w:sz="0" w:space="0" w:color="auto"/>
      </w:divBdr>
    </w:div>
    <w:div w:id="493037131">
      <w:bodyDiv w:val="1"/>
      <w:marLeft w:val="0"/>
      <w:marRight w:val="0"/>
      <w:marTop w:val="0"/>
      <w:marBottom w:val="0"/>
      <w:divBdr>
        <w:top w:val="none" w:sz="0" w:space="0" w:color="auto"/>
        <w:left w:val="none" w:sz="0" w:space="0" w:color="auto"/>
        <w:bottom w:val="none" w:sz="0" w:space="0" w:color="auto"/>
        <w:right w:val="none" w:sz="0" w:space="0" w:color="auto"/>
      </w:divBdr>
    </w:div>
    <w:div w:id="500507192">
      <w:bodyDiv w:val="1"/>
      <w:marLeft w:val="0"/>
      <w:marRight w:val="0"/>
      <w:marTop w:val="0"/>
      <w:marBottom w:val="0"/>
      <w:divBdr>
        <w:top w:val="none" w:sz="0" w:space="0" w:color="auto"/>
        <w:left w:val="none" w:sz="0" w:space="0" w:color="auto"/>
        <w:bottom w:val="none" w:sz="0" w:space="0" w:color="auto"/>
        <w:right w:val="none" w:sz="0" w:space="0" w:color="auto"/>
      </w:divBdr>
    </w:div>
    <w:div w:id="518470271">
      <w:bodyDiv w:val="1"/>
      <w:marLeft w:val="0"/>
      <w:marRight w:val="0"/>
      <w:marTop w:val="0"/>
      <w:marBottom w:val="0"/>
      <w:divBdr>
        <w:top w:val="none" w:sz="0" w:space="0" w:color="auto"/>
        <w:left w:val="none" w:sz="0" w:space="0" w:color="auto"/>
        <w:bottom w:val="none" w:sz="0" w:space="0" w:color="auto"/>
        <w:right w:val="none" w:sz="0" w:space="0" w:color="auto"/>
      </w:divBdr>
    </w:div>
    <w:div w:id="542716359">
      <w:bodyDiv w:val="1"/>
      <w:marLeft w:val="0"/>
      <w:marRight w:val="0"/>
      <w:marTop w:val="0"/>
      <w:marBottom w:val="0"/>
      <w:divBdr>
        <w:top w:val="none" w:sz="0" w:space="0" w:color="auto"/>
        <w:left w:val="none" w:sz="0" w:space="0" w:color="auto"/>
        <w:bottom w:val="none" w:sz="0" w:space="0" w:color="auto"/>
        <w:right w:val="none" w:sz="0" w:space="0" w:color="auto"/>
      </w:divBdr>
    </w:div>
    <w:div w:id="550271559">
      <w:bodyDiv w:val="1"/>
      <w:marLeft w:val="0"/>
      <w:marRight w:val="0"/>
      <w:marTop w:val="0"/>
      <w:marBottom w:val="0"/>
      <w:divBdr>
        <w:top w:val="none" w:sz="0" w:space="0" w:color="auto"/>
        <w:left w:val="none" w:sz="0" w:space="0" w:color="auto"/>
        <w:bottom w:val="none" w:sz="0" w:space="0" w:color="auto"/>
        <w:right w:val="none" w:sz="0" w:space="0" w:color="auto"/>
      </w:divBdr>
    </w:div>
    <w:div w:id="557865439">
      <w:bodyDiv w:val="1"/>
      <w:marLeft w:val="0"/>
      <w:marRight w:val="0"/>
      <w:marTop w:val="0"/>
      <w:marBottom w:val="0"/>
      <w:divBdr>
        <w:top w:val="none" w:sz="0" w:space="0" w:color="auto"/>
        <w:left w:val="none" w:sz="0" w:space="0" w:color="auto"/>
        <w:bottom w:val="none" w:sz="0" w:space="0" w:color="auto"/>
        <w:right w:val="none" w:sz="0" w:space="0" w:color="auto"/>
      </w:divBdr>
    </w:div>
    <w:div w:id="574434254">
      <w:bodyDiv w:val="1"/>
      <w:marLeft w:val="0"/>
      <w:marRight w:val="0"/>
      <w:marTop w:val="0"/>
      <w:marBottom w:val="0"/>
      <w:divBdr>
        <w:top w:val="none" w:sz="0" w:space="0" w:color="auto"/>
        <w:left w:val="none" w:sz="0" w:space="0" w:color="auto"/>
        <w:bottom w:val="none" w:sz="0" w:space="0" w:color="auto"/>
        <w:right w:val="none" w:sz="0" w:space="0" w:color="auto"/>
      </w:divBdr>
    </w:div>
    <w:div w:id="588151730">
      <w:bodyDiv w:val="1"/>
      <w:marLeft w:val="0"/>
      <w:marRight w:val="0"/>
      <w:marTop w:val="0"/>
      <w:marBottom w:val="0"/>
      <w:divBdr>
        <w:top w:val="none" w:sz="0" w:space="0" w:color="auto"/>
        <w:left w:val="none" w:sz="0" w:space="0" w:color="auto"/>
        <w:bottom w:val="none" w:sz="0" w:space="0" w:color="auto"/>
        <w:right w:val="none" w:sz="0" w:space="0" w:color="auto"/>
      </w:divBdr>
    </w:div>
    <w:div w:id="607659541">
      <w:bodyDiv w:val="1"/>
      <w:marLeft w:val="0"/>
      <w:marRight w:val="0"/>
      <w:marTop w:val="0"/>
      <w:marBottom w:val="0"/>
      <w:divBdr>
        <w:top w:val="none" w:sz="0" w:space="0" w:color="auto"/>
        <w:left w:val="none" w:sz="0" w:space="0" w:color="auto"/>
        <w:bottom w:val="none" w:sz="0" w:space="0" w:color="auto"/>
        <w:right w:val="none" w:sz="0" w:space="0" w:color="auto"/>
      </w:divBdr>
    </w:div>
    <w:div w:id="613906470">
      <w:bodyDiv w:val="1"/>
      <w:marLeft w:val="0"/>
      <w:marRight w:val="0"/>
      <w:marTop w:val="0"/>
      <w:marBottom w:val="0"/>
      <w:divBdr>
        <w:top w:val="none" w:sz="0" w:space="0" w:color="auto"/>
        <w:left w:val="none" w:sz="0" w:space="0" w:color="auto"/>
        <w:bottom w:val="none" w:sz="0" w:space="0" w:color="auto"/>
        <w:right w:val="none" w:sz="0" w:space="0" w:color="auto"/>
      </w:divBdr>
    </w:div>
    <w:div w:id="627509200">
      <w:bodyDiv w:val="1"/>
      <w:marLeft w:val="0"/>
      <w:marRight w:val="0"/>
      <w:marTop w:val="0"/>
      <w:marBottom w:val="0"/>
      <w:divBdr>
        <w:top w:val="none" w:sz="0" w:space="0" w:color="auto"/>
        <w:left w:val="none" w:sz="0" w:space="0" w:color="auto"/>
        <w:bottom w:val="none" w:sz="0" w:space="0" w:color="auto"/>
        <w:right w:val="none" w:sz="0" w:space="0" w:color="auto"/>
      </w:divBdr>
    </w:div>
    <w:div w:id="651911613">
      <w:bodyDiv w:val="1"/>
      <w:marLeft w:val="0"/>
      <w:marRight w:val="0"/>
      <w:marTop w:val="0"/>
      <w:marBottom w:val="0"/>
      <w:divBdr>
        <w:top w:val="none" w:sz="0" w:space="0" w:color="auto"/>
        <w:left w:val="none" w:sz="0" w:space="0" w:color="auto"/>
        <w:bottom w:val="none" w:sz="0" w:space="0" w:color="auto"/>
        <w:right w:val="none" w:sz="0" w:space="0" w:color="auto"/>
      </w:divBdr>
    </w:div>
    <w:div w:id="688795134">
      <w:bodyDiv w:val="1"/>
      <w:marLeft w:val="0"/>
      <w:marRight w:val="0"/>
      <w:marTop w:val="0"/>
      <w:marBottom w:val="0"/>
      <w:divBdr>
        <w:top w:val="none" w:sz="0" w:space="0" w:color="auto"/>
        <w:left w:val="none" w:sz="0" w:space="0" w:color="auto"/>
        <w:bottom w:val="none" w:sz="0" w:space="0" w:color="auto"/>
        <w:right w:val="none" w:sz="0" w:space="0" w:color="auto"/>
      </w:divBdr>
    </w:div>
    <w:div w:id="696472516">
      <w:bodyDiv w:val="1"/>
      <w:marLeft w:val="0"/>
      <w:marRight w:val="0"/>
      <w:marTop w:val="0"/>
      <w:marBottom w:val="0"/>
      <w:divBdr>
        <w:top w:val="none" w:sz="0" w:space="0" w:color="auto"/>
        <w:left w:val="none" w:sz="0" w:space="0" w:color="auto"/>
        <w:bottom w:val="none" w:sz="0" w:space="0" w:color="auto"/>
        <w:right w:val="none" w:sz="0" w:space="0" w:color="auto"/>
      </w:divBdr>
    </w:div>
    <w:div w:id="720443363">
      <w:bodyDiv w:val="1"/>
      <w:marLeft w:val="0"/>
      <w:marRight w:val="0"/>
      <w:marTop w:val="0"/>
      <w:marBottom w:val="0"/>
      <w:divBdr>
        <w:top w:val="none" w:sz="0" w:space="0" w:color="auto"/>
        <w:left w:val="none" w:sz="0" w:space="0" w:color="auto"/>
        <w:bottom w:val="none" w:sz="0" w:space="0" w:color="auto"/>
        <w:right w:val="none" w:sz="0" w:space="0" w:color="auto"/>
      </w:divBdr>
    </w:div>
    <w:div w:id="737702503">
      <w:bodyDiv w:val="1"/>
      <w:marLeft w:val="0"/>
      <w:marRight w:val="0"/>
      <w:marTop w:val="0"/>
      <w:marBottom w:val="0"/>
      <w:divBdr>
        <w:top w:val="none" w:sz="0" w:space="0" w:color="auto"/>
        <w:left w:val="none" w:sz="0" w:space="0" w:color="auto"/>
        <w:bottom w:val="none" w:sz="0" w:space="0" w:color="auto"/>
        <w:right w:val="none" w:sz="0" w:space="0" w:color="auto"/>
      </w:divBdr>
    </w:div>
    <w:div w:id="756830665">
      <w:bodyDiv w:val="1"/>
      <w:marLeft w:val="0"/>
      <w:marRight w:val="0"/>
      <w:marTop w:val="0"/>
      <w:marBottom w:val="0"/>
      <w:divBdr>
        <w:top w:val="none" w:sz="0" w:space="0" w:color="auto"/>
        <w:left w:val="none" w:sz="0" w:space="0" w:color="auto"/>
        <w:bottom w:val="none" w:sz="0" w:space="0" w:color="auto"/>
        <w:right w:val="none" w:sz="0" w:space="0" w:color="auto"/>
      </w:divBdr>
    </w:div>
    <w:div w:id="773789386">
      <w:bodyDiv w:val="1"/>
      <w:marLeft w:val="0"/>
      <w:marRight w:val="0"/>
      <w:marTop w:val="0"/>
      <w:marBottom w:val="0"/>
      <w:divBdr>
        <w:top w:val="none" w:sz="0" w:space="0" w:color="auto"/>
        <w:left w:val="none" w:sz="0" w:space="0" w:color="auto"/>
        <w:bottom w:val="none" w:sz="0" w:space="0" w:color="auto"/>
        <w:right w:val="none" w:sz="0" w:space="0" w:color="auto"/>
      </w:divBdr>
    </w:div>
    <w:div w:id="777599652">
      <w:bodyDiv w:val="1"/>
      <w:marLeft w:val="0"/>
      <w:marRight w:val="0"/>
      <w:marTop w:val="0"/>
      <w:marBottom w:val="0"/>
      <w:divBdr>
        <w:top w:val="none" w:sz="0" w:space="0" w:color="auto"/>
        <w:left w:val="none" w:sz="0" w:space="0" w:color="auto"/>
        <w:bottom w:val="none" w:sz="0" w:space="0" w:color="auto"/>
        <w:right w:val="none" w:sz="0" w:space="0" w:color="auto"/>
      </w:divBdr>
    </w:div>
    <w:div w:id="781455069">
      <w:bodyDiv w:val="1"/>
      <w:marLeft w:val="0"/>
      <w:marRight w:val="0"/>
      <w:marTop w:val="0"/>
      <w:marBottom w:val="0"/>
      <w:divBdr>
        <w:top w:val="none" w:sz="0" w:space="0" w:color="auto"/>
        <w:left w:val="none" w:sz="0" w:space="0" w:color="auto"/>
        <w:bottom w:val="none" w:sz="0" w:space="0" w:color="auto"/>
        <w:right w:val="none" w:sz="0" w:space="0" w:color="auto"/>
      </w:divBdr>
    </w:div>
    <w:div w:id="828986715">
      <w:bodyDiv w:val="1"/>
      <w:marLeft w:val="0"/>
      <w:marRight w:val="0"/>
      <w:marTop w:val="0"/>
      <w:marBottom w:val="0"/>
      <w:divBdr>
        <w:top w:val="none" w:sz="0" w:space="0" w:color="auto"/>
        <w:left w:val="none" w:sz="0" w:space="0" w:color="auto"/>
        <w:bottom w:val="none" w:sz="0" w:space="0" w:color="auto"/>
        <w:right w:val="none" w:sz="0" w:space="0" w:color="auto"/>
      </w:divBdr>
    </w:div>
    <w:div w:id="834804151">
      <w:bodyDiv w:val="1"/>
      <w:marLeft w:val="0"/>
      <w:marRight w:val="0"/>
      <w:marTop w:val="0"/>
      <w:marBottom w:val="0"/>
      <w:divBdr>
        <w:top w:val="none" w:sz="0" w:space="0" w:color="auto"/>
        <w:left w:val="none" w:sz="0" w:space="0" w:color="auto"/>
        <w:bottom w:val="none" w:sz="0" w:space="0" w:color="auto"/>
        <w:right w:val="none" w:sz="0" w:space="0" w:color="auto"/>
      </w:divBdr>
      <w:divsChild>
        <w:div w:id="1209683996">
          <w:marLeft w:val="0"/>
          <w:marRight w:val="0"/>
          <w:marTop w:val="0"/>
          <w:marBottom w:val="0"/>
          <w:divBdr>
            <w:top w:val="none" w:sz="0" w:space="0" w:color="auto"/>
            <w:left w:val="none" w:sz="0" w:space="0" w:color="auto"/>
            <w:bottom w:val="none" w:sz="0" w:space="0" w:color="auto"/>
            <w:right w:val="none" w:sz="0" w:space="0" w:color="auto"/>
          </w:divBdr>
        </w:div>
        <w:div w:id="647324100">
          <w:marLeft w:val="0"/>
          <w:marRight w:val="0"/>
          <w:marTop w:val="0"/>
          <w:marBottom w:val="0"/>
          <w:divBdr>
            <w:top w:val="none" w:sz="0" w:space="0" w:color="auto"/>
            <w:left w:val="none" w:sz="0" w:space="0" w:color="auto"/>
            <w:bottom w:val="none" w:sz="0" w:space="0" w:color="auto"/>
            <w:right w:val="none" w:sz="0" w:space="0" w:color="auto"/>
          </w:divBdr>
          <w:divsChild>
            <w:div w:id="1954747368">
              <w:marLeft w:val="0"/>
              <w:marRight w:val="0"/>
              <w:marTop w:val="0"/>
              <w:marBottom w:val="160"/>
              <w:divBdr>
                <w:top w:val="none" w:sz="0" w:space="0" w:color="auto"/>
                <w:left w:val="none" w:sz="0" w:space="0" w:color="auto"/>
                <w:bottom w:val="none" w:sz="0" w:space="0" w:color="auto"/>
                <w:right w:val="none" w:sz="0" w:space="0" w:color="auto"/>
              </w:divBdr>
            </w:div>
          </w:divsChild>
        </w:div>
      </w:divsChild>
    </w:div>
    <w:div w:id="839466232">
      <w:bodyDiv w:val="1"/>
      <w:marLeft w:val="0"/>
      <w:marRight w:val="0"/>
      <w:marTop w:val="0"/>
      <w:marBottom w:val="0"/>
      <w:divBdr>
        <w:top w:val="none" w:sz="0" w:space="0" w:color="auto"/>
        <w:left w:val="none" w:sz="0" w:space="0" w:color="auto"/>
        <w:bottom w:val="none" w:sz="0" w:space="0" w:color="auto"/>
        <w:right w:val="none" w:sz="0" w:space="0" w:color="auto"/>
      </w:divBdr>
    </w:div>
    <w:div w:id="857307823">
      <w:bodyDiv w:val="1"/>
      <w:marLeft w:val="0"/>
      <w:marRight w:val="0"/>
      <w:marTop w:val="0"/>
      <w:marBottom w:val="0"/>
      <w:divBdr>
        <w:top w:val="none" w:sz="0" w:space="0" w:color="auto"/>
        <w:left w:val="none" w:sz="0" w:space="0" w:color="auto"/>
        <w:bottom w:val="none" w:sz="0" w:space="0" w:color="auto"/>
        <w:right w:val="none" w:sz="0" w:space="0" w:color="auto"/>
      </w:divBdr>
    </w:div>
    <w:div w:id="865369960">
      <w:bodyDiv w:val="1"/>
      <w:marLeft w:val="0"/>
      <w:marRight w:val="0"/>
      <w:marTop w:val="0"/>
      <w:marBottom w:val="0"/>
      <w:divBdr>
        <w:top w:val="none" w:sz="0" w:space="0" w:color="auto"/>
        <w:left w:val="none" w:sz="0" w:space="0" w:color="auto"/>
        <w:bottom w:val="none" w:sz="0" w:space="0" w:color="auto"/>
        <w:right w:val="none" w:sz="0" w:space="0" w:color="auto"/>
      </w:divBdr>
    </w:div>
    <w:div w:id="877083689">
      <w:bodyDiv w:val="1"/>
      <w:marLeft w:val="0"/>
      <w:marRight w:val="0"/>
      <w:marTop w:val="0"/>
      <w:marBottom w:val="0"/>
      <w:divBdr>
        <w:top w:val="none" w:sz="0" w:space="0" w:color="auto"/>
        <w:left w:val="none" w:sz="0" w:space="0" w:color="auto"/>
        <w:bottom w:val="none" w:sz="0" w:space="0" w:color="auto"/>
        <w:right w:val="none" w:sz="0" w:space="0" w:color="auto"/>
      </w:divBdr>
    </w:div>
    <w:div w:id="879053851">
      <w:bodyDiv w:val="1"/>
      <w:marLeft w:val="0"/>
      <w:marRight w:val="0"/>
      <w:marTop w:val="0"/>
      <w:marBottom w:val="0"/>
      <w:divBdr>
        <w:top w:val="none" w:sz="0" w:space="0" w:color="auto"/>
        <w:left w:val="none" w:sz="0" w:space="0" w:color="auto"/>
        <w:bottom w:val="none" w:sz="0" w:space="0" w:color="auto"/>
        <w:right w:val="none" w:sz="0" w:space="0" w:color="auto"/>
      </w:divBdr>
    </w:div>
    <w:div w:id="896479472">
      <w:bodyDiv w:val="1"/>
      <w:marLeft w:val="0"/>
      <w:marRight w:val="0"/>
      <w:marTop w:val="0"/>
      <w:marBottom w:val="0"/>
      <w:divBdr>
        <w:top w:val="none" w:sz="0" w:space="0" w:color="auto"/>
        <w:left w:val="none" w:sz="0" w:space="0" w:color="auto"/>
        <w:bottom w:val="none" w:sz="0" w:space="0" w:color="auto"/>
        <w:right w:val="none" w:sz="0" w:space="0" w:color="auto"/>
      </w:divBdr>
    </w:div>
    <w:div w:id="900597380">
      <w:bodyDiv w:val="1"/>
      <w:marLeft w:val="0"/>
      <w:marRight w:val="0"/>
      <w:marTop w:val="0"/>
      <w:marBottom w:val="0"/>
      <w:divBdr>
        <w:top w:val="none" w:sz="0" w:space="0" w:color="auto"/>
        <w:left w:val="none" w:sz="0" w:space="0" w:color="auto"/>
        <w:bottom w:val="none" w:sz="0" w:space="0" w:color="auto"/>
        <w:right w:val="none" w:sz="0" w:space="0" w:color="auto"/>
      </w:divBdr>
    </w:div>
    <w:div w:id="922299428">
      <w:bodyDiv w:val="1"/>
      <w:marLeft w:val="0"/>
      <w:marRight w:val="0"/>
      <w:marTop w:val="0"/>
      <w:marBottom w:val="0"/>
      <w:divBdr>
        <w:top w:val="none" w:sz="0" w:space="0" w:color="auto"/>
        <w:left w:val="none" w:sz="0" w:space="0" w:color="auto"/>
        <w:bottom w:val="none" w:sz="0" w:space="0" w:color="auto"/>
        <w:right w:val="none" w:sz="0" w:space="0" w:color="auto"/>
      </w:divBdr>
    </w:div>
    <w:div w:id="930087528">
      <w:bodyDiv w:val="1"/>
      <w:marLeft w:val="0"/>
      <w:marRight w:val="0"/>
      <w:marTop w:val="0"/>
      <w:marBottom w:val="0"/>
      <w:divBdr>
        <w:top w:val="none" w:sz="0" w:space="0" w:color="auto"/>
        <w:left w:val="none" w:sz="0" w:space="0" w:color="auto"/>
        <w:bottom w:val="none" w:sz="0" w:space="0" w:color="auto"/>
        <w:right w:val="none" w:sz="0" w:space="0" w:color="auto"/>
      </w:divBdr>
    </w:div>
    <w:div w:id="932053442">
      <w:bodyDiv w:val="1"/>
      <w:marLeft w:val="0"/>
      <w:marRight w:val="0"/>
      <w:marTop w:val="0"/>
      <w:marBottom w:val="0"/>
      <w:divBdr>
        <w:top w:val="none" w:sz="0" w:space="0" w:color="auto"/>
        <w:left w:val="none" w:sz="0" w:space="0" w:color="auto"/>
        <w:bottom w:val="none" w:sz="0" w:space="0" w:color="auto"/>
        <w:right w:val="none" w:sz="0" w:space="0" w:color="auto"/>
      </w:divBdr>
    </w:div>
    <w:div w:id="938564757">
      <w:bodyDiv w:val="1"/>
      <w:marLeft w:val="0"/>
      <w:marRight w:val="0"/>
      <w:marTop w:val="0"/>
      <w:marBottom w:val="0"/>
      <w:divBdr>
        <w:top w:val="none" w:sz="0" w:space="0" w:color="auto"/>
        <w:left w:val="none" w:sz="0" w:space="0" w:color="auto"/>
        <w:bottom w:val="none" w:sz="0" w:space="0" w:color="auto"/>
        <w:right w:val="none" w:sz="0" w:space="0" w:color="auto"/>
      </w:divBdr>
    </w:div>
    <w:div w:id="948705953">
      <w:bodyDiv w:val="1"/>
      <w:marLeft w:val="0"/>
      <w:marRight w:val="0"/>
      <w:marTop w:val="0"/>
      <w:marBottom w:val="0"/>
      <w:divBdr>
        <w:top w:val="none" w:sz="0" w:space="0" w:color="auto"/>
        <w:left w:val="none" w:sz="0" w:space="0" w:color="auto"/>
        <w:bottom w:val="none" w:sz="0" w:space="0" w:color="auto"/>
        <w:right w:val="none" w:sz="0" w:space="0" w:color="auto"/>
      </w:divBdr>
    </w:div>
    <w:div w:id="948925105">
      <w:bodyDiv w:val="1"/>
      <w:marLeft w:val="0"/>
      <w:marRight w:val="0"/>
      <w:marTop w:val="0"/>
      <w:marBottom w:val="0"/>
      <w:divBdr>
        <w:top w:val="none" w:sz="0" w:space="0" w:color="auto"/>
        <w:left w:val="none" w:sz="0" w:space="0" w:color="auto"/>
        <w:bottom w:val="none" w:sz="0" w:space="0" w:color="auto"/>
        <w:right w:val="none" w:sz="0" w:space="0" w:color="auto"/>
      </w:divBdr>
    </w:div>
    <w:div w:id="955259439">
      <w:bodyDiv w:val="1"/>
      <w:marLeft w:val="0"/>
      <w:marRight w:val="0"/>
      <w:marTop w:val="0"/>
      <w:marBottom w:val="0"/>
      <w:divBdr>
        <w:top w:val="none" w:sz="0" w:space="0" w:color="auto"/>
        <w:left w:val="none" w:sz="0" w:space="0" w:color="auto"/>
        <w:bottom w:val="none" w:sz="0" w:space="0" w:color="auto"/>
        <w:right w:val="none" w:sz="0" w:space="0" w:color="auto"/>
      </w:divBdr>
    </w:div>
    <w:div w:id="1002052927">
      <w:bodyDiv w:val="1"/>
      <w:marLeft w:val="0"/>
      <w:marRight w:val="0"/>
      <w:marTop w:val="0"/>
      <w:marBottom w:val="0"/>
      <w:divBdr>
        <w:top w:val="none" w:sz="0" w:space="0" w:color="auto"/>
        <w:left w:val="none" w:sz="0" w:space="0" w:color="auto"/>
        <w:bottom w:val="none" w:sz="0" w:space="0" w:color="auto"/>
        <w:right w:val="none" w:sz="0" w:space="0" w:color="auto"/>
      </w:divBdr>
    </w:div>
    <w:div w:id="1004360931">
      <w:bodyDiv w:val="1"/>
      <w:marLeft w:val="0"/>
      <w:marRight w:val="0"/>
      <w:marTop w:val="0"/>
      <w:marBottom w:val="0"/>
      <w:divBdr>
        <w:top w:val="none" w:sz="0" w:space="0" w:color="auto"/>
        <w:left w:val="none" w:sz="0" w:space="0" w:color="auto"/>
        <w:bottom w:val="none" w:sz="0" w:space="0" w:color="auto"/>
        <w:right w:val="none" w:sz="0" w:space="0" w:color="auto"/>
      </w:divBdr>
    </w:div>
    <w:div w:id="1016660372">
      <w:bodyDiv w:val="1"/>
      <w:marLeft w:val="0"/>
      <w:marRight w:val="0"/>
      <w:marTop w:val="0"/>
      <w:marBottom w:val="0"/>
      <w:divBdr>
        <w:top w:val="none" w:sz="0" w:space="0" w:color="auto"/>
        <w:left w:val="none" w:sz="0" w:space="0" w:color="auto"/>
        <w:bottom w:val="none" w:sz="0" w:space="0" w:color="auto"/>
        <w:right w:val="none" w:sz="0" w:space="0" w:color="auto"/>
      </w:divBdr>
    </w:div>
    <w:div w:id="1034308544">
      <w:bodyDiv w:val="1"/>
      <w:marLeft w:val="0"/>
      <w:marRight w:val="0"/>
      <w:marTop w:val="0"/>
      <w:marBottom w:val="0"/>
      <w:divBdr>
        <w:top w:val="none" w:sz="0" w:space="0" w:color="auto"/>
        <w:left w:val="none" w:sz="0" w:space="0" w:color="auto"/>
        <w:bottom w:val="none" w:sz="0" w:space="0" w:color="auto"/>
        <w:right w:val="none" w:sz="0" w:space="0" w:color="auto"/>
      </w:divBdr>
    </w:div>
    <w:div w:id="1092776479">
      <w:bodyDiv w:val="1"/>
      <w:marLeft w:val="0"/>
      <w:marRight w:val="0"/>
      <w:marTop w:val="0"/>
      <w:marBottom w:val="0"/>
      <w:divBdr>
        <w:top w:val="none" w:sz="0" w:space="0" w:color="auto"/>
        <w:left w:val="none" w:sz="0" w:space="0" w:color="auto"/>
        <w:bottom w:val="none" w:sz="0" w:space="0" w:color="auto"/>
        <w:right w:val="none" w:sz="0" w:space="0" w:color="auto"/>
      </w:divBdr>
    </w:div>
    <w:div w:id="1094713689">
      <w:bodyDiv w:val="1"/>
      <w:marLeft w:val="0"/>
      <w:marRight w:val="0"/>
      <w:marTop w:val="0"/>
      <w:marBottom w:val="0"/>
      <w:divBdr>
        <w:top w:val="none" w:sz="0" w:space="0" w:color="auto"/>
        <w:left w:val="none" w:sz="0" w:space="0" w:color="auto"/>
        <w:bottom w:val="none" w:sz="0" w:space="0" w:color="auto"/>
        <w:right w:val="none" w:sz="0" w:space="0" w:color="auto"/>
      </w:divBdr>
    </w:div>
    <w:div w:id="1106853803">
      <w:bodyDiv w:val="1"/>
      <w:marLeft w:val="0"/>
      <w:marRight w:val="0"/>
      <w:marTop w:val="0"/>
      <w:marBottom w:val="0"/>
      <w:divBdr>
        <w:top w:val="none" w:sz="0" w:space="0" w:color="auto"/>
        <w:left w:val="none" w:sz="0" w:space="0" w:color="auto"/>
        <w:bottom w:val="none" w:sz="0" w:space="0" w:color="auto"/>
        <w:right w:val="none" w:sz="0" w:space="0" w:color="auto"/>
      </w:divBdr>
    </w:div>
    <w:div w:id="1109544445">
      <w:bodyDiv w:val="1"/>
      <w:marLeft w:val="0"/>
      <w:marRight w:val="0"/>
      <w:marTop w:val="0"/>
      <w:marBottom w:val="0"/>
      <w:divBdr>
        <w:top w:val="none" w:sz="0" w:space="0" w:color="auto"/>
        <w:left w:val="none" w:sz="0" w:space="0" w:color="auto"/>
        <w:bottom w:val="none" w:sz="0" w:space="0" w:color="auto"/>
        <w:right w:val="none" w:sz="0" w:space="0" w:color="auto"/>
      </w:divBdr>
    </w:div>
    <w:div w:id="1129082221">
      <w:bodyDiv w:val="1"/>
      <w:marLeft w:val="0"/>
      <w:marRight w:val="0"/>
      <w:marTop w:val="0"/>
      <w:marBottom w:val="0"/>
      <w:divBdr>
        <w:top w:val="none" w:sz="0" w:space="0" w:color="auto"/>
        <w:left w:val="none" w:sz="0" w:space="0" w:color="auto"/>
        <w:bottom w:val="none" w:sz="0" w:space="0" w:color="auto"/>
        <w:right w:val="none" w:sz="0" w:space="0" w:color="auto"/>
      </w:divBdr>
    </w:div>
    <w:div w:id="1144080903">
      <w:bodyDiv w:val="1"/>
      <w:marLeft w:val="0"/>
      <w:marRight w:val="0"/>
      <w:marTop w:val="0"/>
      <w:marBottom w:val="0"/>
      <w:divBdr>
        <w:top w:val="none" w:sz="0" w:space="0" w:color="auto"/>
        <w:left w:val="none" w:sz="0" w:space="0" w:color="auto"/>
        <w:bottom w:val="none" w:sz="0" w:space="0" w:color="auto"/>
        <w:right w:val="none" w:sz="0" w:space="0" w:color="auto"/>
      </w:divBdr>
    </w:div>
    <w:div w:id="1144467150">
      <w:bodyDiv w:val="1"/>
      <w:marLeft w:val="0"/>
      <w:marRight w:val="0"/>
      <w:marTop w:val="0"/>
      <w:marBottom w:val="0"/>
      <w:divBdr>
        <w:top w:val="none" w:sz="0" w:space="0" w:color="auto"/>
        <w:left w:val="none" w:sz="0" w:space="0" w:color="auto"/>
        <w:bottom w:val="none" w:sz="0" w:space="0" w:color="auto"/>
        <w:right w:val="none" w:sz="0" w:space="0" w:color="auto"/>
      </w:divBdr>
    </w:div>
    <w:div w:id="1150636086">
      <w:bodyDiv w:val="1"/>
      <w:marLeft w:val="0"/>
      <w:marRight w:val="0"/>
      <w:marTop w:val="0"/>
      <w:marBottom w:val="0"/>
      <w:divBdr>
        <w:top w:val="none" w:sz="0" w:space="0" w:color="auto"/>
        <w:left w:val="none" w:sz="0" w:space="0" w:color="auto"/>
        <w:bottom w:val="none" w:sz="0" w:space="0" w:color="auto"/>
        <w:right w:val="none" w:sz="0" w:space="0" w:color="auto"/>
      </w:divBdr>
    </w:div>
    <w:div w:id="1158035437">
      <w:bodyDiv w:val="1"/>
      <w:marLeft w:val="0"/>
      <w:marRight w:val="0"/>
      <w:marTop w:val="0"/>
      <w:marBottom w:val="0"/>
      <w:divBdr>
        <w:top w:val="none" w:sz="0" w:space="0" w:color="auto"/>
        <w:left w:val="none" w:sz="0" w:space="0" w:color="auto"/>
        <w:bottom w:val="none" w:sz="0" w:space="0" w:color="auto"/>
        <w:right w:val="none" w:sz="0" w:space="0" w:color="auto"/>
      </w:divBdr>
    </w:div>
    <w:div w:id="1178806468">
      <w:bodyDiv w:val="1"/>
      <w:marLeft w:val="0"/>
      <w:marRight w:val="0"/>
      <w:marTop w:val="0"/>
      <w:marBottom w:val="0"/>
      <w:divBdr>
        <w:top w:val="none" w:sz="0" w:space="0" w:color="auto"/>
        <w:left w:val="none" w:sz="0" w:space="0" w:color="auto"/>
        <w:bottom w:val="none" w:sz="0" w:space="0" w:color="auto"/>
        <w:right w:val="none" w:sz="0" w:space="0" w:color="auto"/>
      </w:divBdr>
    </w:div>
    <w:div w:id="1184638030">
      <w:bodyDiv w:val="1"/>
      <w:marLeft w:val="0"/>
      <w:marRight w:val="0"/>
      <w:marTop w:val="0"/>
      <w:marBottom w:val="0"/>
      <w:divBdr>
        <w:top w:val="none" w:sz="0" w:space="0" w:color="auto"/>
        <w:left w:val="none" w:sz="0" w:space="0" w:color="auto"/>
        <w:bottom w:val="none" w:sz="0" w:space="0" w:color="auto"/>
        <w:right w:val="none" w:sz="0" w:space="0" w:color="auto"/>
      </w:divBdr>
    </w:div>
    <w:div w:id="1194535610">
      <w:bodyDiv w:val="1"/>
      <w:marLeft w:val="0"/>
      <w:marRight w:val="0"/>
      <w:marTop w:val="0"/>
      <w:marBottom w:val="0"/>
      <w:divBdr>
        <w:top w:val="none" w:sz="0" w:space="0" w:color="auto"/>
        <w:left w:val="none" w:sz="0" w:space="0" w:color="auto"/>
        <w:bottom w:val="none" w:sz="0" w:space="0" w:color="auto"/>
        <w:right w:val="none" w:sz="0" w:space="0" w:color="auto"/>
      </w:divBdr>
    </w:div>
    <w:div w:id="1231042160">
      <w:bodyDiv w:val="1"/>
      <w:marLeft w:val="0"/>
      <w:marRight w:val="0"/>
      <w:marTop w:val="0"/>
      <w:marBottom w:val="0"/>
      <w:divBdr>
        <w:top w:val="none" w:sz="0" w:space="0" w:color="auto"/>
        <w:left w:val="none" w:sz="0" w:space="0" w:color="auto"/>
        <w:bottom w:val="none" w:sz="0" w:space="0" w:color="auto"/>
        <w:right w:val="none" w:sz="0" w:space="0" w:color="auto"/>
      </w:divBdr>
    </w:div>
    <w:div w:id="1247806462">
      <w:bodyDiv w:val="1"/>
      <w:marLeft w:val="0"/>
      <w:marRight w:val="0"/>
      <w:marTop w:val="0"/>
      <w:marBottom w:val="0"/>
      <w:divBdr>
        <w:top w:val="none" w:sz="0" w:space="0" w:color="auto"/>
        <w:left w:val="none" w:sz="0" w:space="0" w:color="auto"/>
        <w:bottom w:val="none" w:sz="0" w:space="0" w:color="auto"/>
        <w:right w:val="none" w:sz="0" w:space="0" w:color="auto"/>
      </w:divBdr>
    </w:div>
    <w:div w:id="1249584616">
      <w:bodyDiv w:val="1"/>
      <w:marLeft w:val="0"/>
      <w:marRight w:val="0"/>
      <w:marTop w:val="0"/>
      <w:marBottom w:val="0"/>
      <w:divBdr>
        <w:top w:val="none" w:sz="0" w:space="0" w:color="auto"/>
        <w:left w:val="none" w:sz="0" w:space="0" w:color="auto"/>
        <w:bottom w:val="none" w:sz="0" w:space="0" w:color="auto"/>
        <w:right w:val="none" w:sz="0" w:space="0" w:color="auto"/>
      </w:divBdr>
    </w:div>
    <w:div w:id="1265724130">
      <w:bodyDiv w:val="1"/>
      <w:marLeft w:val="0"/>
      <w:marRight w:val="0"/>
      <w:marTop w:val="0"/>
      <w:marBottom w:val="0"/>
      <w:divBdr>
        <w:top w:val="none" w:sz="0" w:space="0" w:color="auto"/>
        <w:left w:val="none" w:sz="0" w:space="0" w:color="auto"/>
        <w:bottom w:val="none" w:sz="0" w:space="0" w:color="auto"/>
        <w:right w:val="none" w:sz="0" w:space="0" w:color="auto"/>
      </w:divBdr>
    </w:div>
    <w:div w:id="1268123045">
      <w:bodyDiv w:val="1"/>
      <w:marLeft w:val="0"/>
      <w:marRight w:val="0"/>
      <w:marTop w:val="0"/>
      <w:marBottom w:val="0"/>
      <w:divBdr>
        <w:top w:val="none" w:sz="0" w:space="0" w:color="auto"/>
        <w:left w:val="none" w:sz="0" w:space="0" w:color="auto"/>
        <w:bottom w:val="none" w:sz="0" w:space="0" w:color="auto"/>
        <w:right w:val="none" w:sz="0" w:space="0" w:color="auto"/>
      </w:divBdr>
    </w:div>
    <w:div w:id="1283263429">
      <w:bodyDiv w:val="1"/>
      <w:marLeft w:val="0"/>
      <w:marRight w:val="0"/>
      <w:marTop w:val="0"/>
      <w:marBottom w:val="0"/>
      <w:divBdr>
        <w:top w:val="none" w:sz="0" w:space="0" w:color="auto"/>
        <w:left w:val="none" w:sz="0" w:space="0" w:color="auto"/>
        <w:bottom w:val="none" w:sz="0" w:space="0" w:color="auto"/>
        <w:right w:val="none" w:sz="0" w:space="0" w:color="auto"/>
      </w:divBdr>
    </w:div>
    <w:div w:id="1295212650">
      <w:bodyDiv w:val="1"/>
      <w:marLeft w:val="0"/>
      <w:marRight w:val="0"/>
      <w:marTop w:val="0"/>
      <w:marBottom w:val="0"/>
      <w:divBdr>
        <w:top w:val="none" w:sz="0" w:space="0" w:color="auto"/>
        <w:left w:val="none" w:sz="0" w:space="0" w:color="auto"/>
        <w:bottom w:val="none" w:sz="0" w:space="0" w:color="auto"/>
        <w:right w:val="none" w:sz="0" w:space="0" w:color="auto"/>
      </w:divBdr>
    </w:div>
    <w:div w:id="1305232418">
      <w:bodyDiv w:val="1"/>
      <w:marLeft w:val="0"/>
      <w:marRight w:val="0"/>
      <w:marTop w:val="0"/>
      <w:marBottom w:val="0"/>
      <w:divBdr>
        <w:top w:val="none" w:sz="0" w:space="0" w:color="auto"/>
        <w:left w:val="none" w:sz="0" w:space="0" w:color="auto"/>
        <w:bottom w:val="none" w:sz="0" w:space="0" w:color="auto"/>
        <w:right w:val="none" w:sz="0" w:space="0" w:color="auto"/>
      </w:divBdr>
    </w:div>
    <w:div w:id="1307395657">
      <w:bodyDiv w:val="1"/>
      <w:marLeft w:val="0"/>
      <w:marRight w:val="0"/>
      <w:marTop w:val="0"/>
      <w:marBottom w:val="0"/>
      <w:divBdr>
        <w:top w:val="none" w:sz="0" w:space="0" w:color="auto"/>
        <w:left w:val="none" w:sz="0" w:space="0" w:color="auto"/>
        <w:bottom w:val="none" w:sz="0" w:space="0" w:color="auto"/>
        <w:right w:val="none" w:sz="0" w:space="0" w:color="auto"/>
      </w:divBdr>
    </w:div>
    <w:div w:id="1329092329">
      <w:bodyDiv w:val="1"/>
      <w:marLeft w:val="0"/>
      <w:marRight w:val="0"/>
      <w:marTop w:val="0"/>
      <w:marBottom w:val="0"/>
      <w:divBdr>
        <w:top w:val="none" w:sz="0" w:space="0" w:color="auto"/>
        <w:left w:val="none" w:sz="0" w:space="0" w:color="auto"/>
        <w:bottom w:val="none" w:sz="0" w:space="0" w:color="auto"/>
        <w:right w:val="none" w:sz="0" w:space="0" w:color="auto"/>
      </w:divBdr>
    </w:div>
    <w:div w:id="1329596404">
      <w:bodyDiv w:val="1"/>
      <w:marLeft w:val="0"/>
      <w:marRight w:val="0"/>
      <w:marTop w:val="0"/>
      <w:marBottom w:val="0"/>
      <w:divBdr>
        <w:top w:val="none" w:sz="0" w:space="0" w:color="auto"/>
        <w:left w:val="none" w:sz="0" w:space="0" w:color="auto"/>
        <w:bottom w:val="none" w:sz="0" w:space="0" w:color="auto"/>
        <w:right w:val="none" w:sz="0" w:space="0" w:color="auto"/>
      </w:divBdr>
    </w:div>
    <w:div w:id="1331522814">
      <w:bodyDiv w:val="1"/>
      <w:marLeft w:val="0"/>
      <w:marRight w:val="0"/>
      <w:marTop w:val="0"/>
      <w:marBottom w:val="0"/>
      <w:divBdr>
        <w:top w:val="none" w:sz="0" w:space="0" w:color="auto"/>
        <w:left w:val="none" w:sz="0" w:space="0" w:color="auto"/>
        <w:bottom w:val="none" w:sz="0" w:space="0" w:color="auto"/>
        <w:right w:val="none" w:sz="0" w:space="0" w:color="auto"/>
      </w:divBdr>
    </w:div>
    <w:div w:id="1332417147">
      <w:bodyDiv w:val="1"/>
      <w:marLeft w:val="0"/>
      <w:marRight w:val="0"/>
      <w:marTop w:val="0"/>
      <w:marBottom w:val="0"/>
      <w:divBdr>
        <w:top w:val="none" w:sz="0" w:space="0" w:color="auto"/>
        <w:left w:val="none" w:sz="0" w:space="0" w:color="auto"/>
        <w:bottom w:val="none" w:sz="0" w:space="0" w:color="auto"/>
        <w:right w:val="none" w:sz="0" w:space="0" w:color="auto"/>
      </w:divBdr>
    </w:div>
    <w:div w:id="1336958239">
      <w:bodyDiv w:val="1"/>
      <w:marLeft w:val="0"/>
      <w:marRight w:val="0"/>
      <w:marTop w:val="0"/>
      <w:marBottom w:val="0"/>
      <w:divBdr>
        <w:top w:val="none" w:sz="0" w:space="0" w:color="auto"/>
        <w:left w:val="none" w:sz="0" w:space="0" w:color="auto"/>
        <w:bottom w:val="none" w:sz="0" w:space="0" w:color="auto"/>
        <w:right w:val="none" w:sz="0" w:space="0" w:color="auto"/>
      </w:divBdr>
    </w:div>
    <w:div w:id="1341539966">
      <w:bodyDiv w:val="1"/>
      <w:marLeft w:val="0"/>
      <w:marRight w:val="0"/>
      <w:marTop w:val="0"/>
      <w:marBottom w:val="0"/>
      <w:divBdr>
        <w:top w:val="none" w:sz="0" w:space="0" w:color="auto"/>
        <w:left w:val="none" w:sz="0" w:space="0" w:color="auto"/>
        <w:bottom w:val="none" w:sz="0" w:space="0" w:color="auto"/>
        <w:right w:val="none" w:sz="0" w:space="0" w:color="auto"/>
      </w:divBdr>
    </w:div>
    <w:div w:id="1347291802">
      <w:bodyDiv w:val="1"/>
      <w:marLeft w:val="0"/>
      <w:marRight w:val="0"/>
      <w:marTop w:val="0"/>
      <w:marBottom w:val="0"/>
      <w:divBdr>
        <w:top w:val="none" w:sz="0" w:space="0" w:color="auto"/>
        <w:left w:val="none" w:sz="0" w:space="0" w:color="auto"/>
        <w:bottom w:val="none" w:sz="0" w:space="0" w:color="auto"/>
        <w:right w:val="none" w:sz="0" w:space="0" w:color="auto"/>
      </w:divBdr>
    </w:div>
    <w:div w:id="1361666161">
      <w:bodyDiv w:val="1"/>
      <w:marLeft w:val="0"/>
      <w:marRight w:val="0"/>
      <w:marTop w:val="0"/>
      <w:marBottom w:val="0"/>
      <w:divBdr>
        <w:top w:val="none" w:sz="0" w:space="0" w:color="auto"/>
        <w:left w:val="none" w:sz="0" w:space="0" w:color="auto"/>
        <w:bottom w:val="none" w:sz="0" w:space="0" w:color="auto"/>
        <w:right w:val="none" w:sz="0" w:space="0" w:color="auto"/>
      </w:divBdr>
    </w:div>
    <w:div w:id="1368024681">
      <w:bodyDiv w:val="1"/>
      <w:marLeft w:val="0"/>
      <w:marRight w:val="0"/>
      <w:marTop w:val="0"/>
      <w:marBottom w:val="0"/>
      <w:divBdr>
        <w:top w:val="none" w:sz="0" w:space="0" w:color="auto"/>
        <w:left w:val="none" w:sz="0" w:space="0" w:color="auto"/>
        <w:bottom w:val="none" w:sz="0" w:space="0" w:color="auto"/>
        <w:right w:val="none" w:sz="0" w:space="0" w:color="auto"/>
      </w:divBdr>
    </w:div>
    <w:div w:id="1369724652">
      <w:bodyDiv w:val="1"/>
      <w:marLeft w:val="0"/>
      <w:marRight w:val="0"/>
      <w:marTop w:val="0"/>
      <w:marBottom w:val="0"/>
      <w:divBdr>
        <w:top w:val="none" w:sz="0" w:space="0" w:color="auto"/>
        <w:left w:val="none" w:sz="0" w:space="0" w:color="auto"/>
        <w:bottom w:val="none" w:sz="0" w:space="0" w:color="auto"/>
        <w:right w:val="none" w:sz="0" w:space="0" w:color="auto"/>
      </w:divBdr>
    </w:div>
    <w:div w:id="1371150643">
      <w:bodyDiv w:val="1"/>
      <w:marLeft w:val="0"/>
      <w:marRight w:val="0"/>
      <w:marTop w:val="0"/>
      <w:marBottom w:val="0"/>
      <w:divBdr>
        <w:top w:val="none" w:sz="0" w:space="0" w:color="auto"/>
        <w:left w:val="none" w:sz="0" w:space="0" w:color="auto"/>
        <w:bottom w:val="none" w:sz="0" w:space="0" w:color="auto"/>
        <w:right w:val="none" w:sz="0" w:space="0" w:color="auto"/>
      </w:divBdr>
    </w:div>
    <w:div w:id="1394501691">
      <w:bodyDiv w:val="1"/>
      <w:marLeft w:val="0"/>
      <w:marRight w:val="0"/>
      <w:marTop w:val="0"/>
      <w:marBottom w:val="0"/>
      <w:divBdr>
        <w:top w:val="none" w:sz="0" w:space="0" w:color="auto"/>
        <w:left w:val="none" w:sz="0" w:space="0" w:color="auto"/>
        <w:bottom w:val="none" w:sz="0" w:space="0" w:color="auto"/>
        <w:right w:val="none" w:sz="0" w:space="0" w:color="auto"/>
      </w:divBdr>
    </w:div>
    <w:div w:id="1398623185">
      <w:bodyDiv w:val="1"/>
      <w:marLeft w:val="0"/>
      <w:marRight w:val="0"/>
      <w:marTop w:val="0"/>
      <w:marBottom w:val="0"/>
      <w:divBdr>
        <w:top w:val="none" w:sz="0" w:space="0" w:color="auto"/>
        <w:left w:val="none" w:sz="0" w:space="0" w:color="auto"/>
        <w:bottom w:val="none" w:sz="0" w:space="0" w:color="auto"/>
        <w:right w:val="none" w:sz="0" w:space="0" w:color="auto"/>
      </w:divBdr>
    </w:div>
    <w:div w:id="1410616271">
      <w:bodyDiv w:val="1"/>
      <w:marLeft w:val="0"/>
      <w:marRight w:val="0"/>
      <w:marTop w:val="0"/>
      <w:marBottom w:val="0"/>
      <w:divBdr>
        <w:top w:val="none" w:sz="0" w:space="0" w:color="auto"/>
        <w:left w:val="none" w:sz="0" w:space="0" w:color="auto"/>
        <w:bottom w:val="none" w:sz="0" w:space="0" w:color="auto"/>
        <w:right w:val="none" w:sz="0" w:space="0" w:color="auto"/>
      </w:divBdr>
    </w:div>
    <w:div w:id="1418289824">
      <w:bodyDiv w:val="1"/>
      <w:marLeft w:val="0"/>
      <w:marRight w:val="0"/>
      <w:marTop w:val="0"/>
      <w:marBottom w:val="0"/>
      <w:divBdr>
        <w:top w:val="none" w:sz="0" w:space="0" w:color="auto"/>
        <w:left w:val="none" w:sz="0" w:space="0" w:color="auto"/>
        <w:bottom w:val="none" w:sz="0" w:space="0" w:color="auto"/>
        <w:right w:val="none" w:sz="0" w:space="0" w:color="auto"/>
      </w:divBdr>
    </w:div>
    <w:div w:id="1424063275">
      <w:bodyDiv w:val="1"/>
      <w:marLeft w:val="0"/>
      <w:marRight w:val="0"/>
      <w:marTop w:val="0"/>
      <w:marBottom w:val="0"/>
      <w:divBdr>
        <w:top w:val="none" w:sz="0" w:space="0" w:color="auto"/>
        <w:left w:val="none" w:sz="0" w:space="0" w:color="auto"/>
        <w:bottom w:val="none" w:sz="0" w:space="0" w:color="auto"/>
        <w:right w:val="none" w:sz="0" w:space="0" w:color="auto"/>
      </w:divBdr>
    </w:div>
    <w:div w:id="1424301817">
      <w:bodyDiv w:val="1"/>
      <w:marLeft w:val="0"/>
      <w:marRight w:val="0"/>
      <w:marTop w:val="0"/>
      <w:marBottom w:val="0"/>
      <w:divBdr>
        <w:top w:val="none" w:sz="0" w:space="0" w:color="auto"/>
        <w:left w:val="none" w:sz="0" w:space="0" w:color="auto"/>
        <w:bottom w:val="none" w:sz="0" w:space="0" w:color="auto"/>
        <w:right w:val="none" w:sz="0" w:space="0" w:color="auto"/>
      </w:divBdr>
    </w:div>
    <w:div w:id="1433818780">
      <w:bodyDiv w:val="1"/>
      <w:marLeft w:val="0"/>
      <w:marRight w:val="0"/>
      <w:marTop w:val="0"/>
      <w:marBottom w:val="0"/>
      <w:divBdr>
        <w:top w:val="none" w:sz="0" w:space="0" w:color="auto"/>
        <w:left w:val="none" w:sz="0" w:space="0" w:color="auto"/>
        <w:bottom w:val="none" w:sz="0" w:space="0" w:color="auto"/>
        <w:right w:val="none" w:sz="0" w:space="0" w:color="auto"/>
      </w:divBdr>
    </w:div>
    <w:div w:id="1449005623">
      <w:bodyDiv w:val="1"/>
      <w:marLeft w:val="0"/>
      <w:marRight w:val="0"/>
      <w:marTop w:val="0"/>
      <w:marBottom w:val="0"/>
      <w:divBdr>
        <w:top w:val="none" w:sz="0" w:space="0" w:color="auto"/>
        <w:left w:val="none" w:sz="0" w:space="0" w:color="auto"/>
        <w:bottom w:val="none" w:sz="0" w:space="0" w:color="auto"/>
        <w:right w:val="none" w:sz="0" w:space="0" w:color="auto"/>
      </w:divBdr>
    </w:div>
    <w:div w:id="1449660061">
      <w:bodyDiv w:val="1"/>
      <w:marLeft w:val="0"/>
      <w:marRight w:val="0"/>
      <w:marTop w:val="0"/>
      <w:marBottom w:val="0"/>
      <w:divBdr>
        <w:top w:val="none" w:sz="0" w:space="0" w:color="auto"/>
        <w:left w:val="none" w:sz="0" w:space="0" w:color="auto"/>
        <w:bottom w:val="none" w:sz="0" w:space="0" w:color="auto"/>
        <w:right w:val="none" w:sz="0" w:space="0" w:color="auto"/>
      </w:divBdr>
    </w:div>
    <w:div w:id="1462115760">
      <w:bodyDiv w:val="1"/>
      <w:marLeft w:val="0"/>
      <w:marRight w:val="0"/>
      <w:marTop w:val="0"/>
      <w:marBottom w:val="0"/>
      <w:divBdr>
        <w:top w:val="none" w:sz="0" w:space="0" w:color="auto"/>
        <w:left w:val="none" w:sz="0" w:space="0" w:color="auto"/>
        <w:bottom w:val="none" w:sz="0" w:space="0" w:color="auto"/>
        <w:right w:val="none" w:sz="0" w:space="0" w:color="auto"/>
      </w:divBdr>
    </w:div>
    <w:div w:id="1465154814">
      <w:bodyDiv w:val="1"/>
      <w:marLeft w:val="0"/>
      <w:marRight w:val="0"/>
      <w:marTop w:val="0"/>
      <w:marBottom w:val="0"/>
      <w:divBdr>
        <w:top w:val="none" w:sz="0" w:space="0" w:color="auto"/>
        <w:left w:val="none" w:sz="0" w:space="0" w:color="auto"/>
        <w:bottom w:val="none" w:sz="0" w:space="0" w:color="auto"/>
        <w:right w:val="none" w:sz="0" w:space="0" w:color="auto"/>
      </w:divBdr>
    </w:div>
    <w:div w:id="1473016682">
      <w:bodyDiv w:val="1"/>
      <w:marLeft w:val="0"/>
      <w:marRight w:val="0"/>
      <w:marTop w:val="0"/>
      <w:marBottom w:val="0"/>
      <w:divBdr>
        <w:top w:val="none" w:sz="0" w:space="0" w:color="auto"/>
        <w:left w:val="none" w:sz="0" w:space="0" w:color="auto"/>
        <w:bottom w:val="none" w:sz="0" w:space="0" w:color="auto"/>
        <w:right w:val="none" w:sz="0" w:space="0" w:color="auto"/>
      </w:divBdr>
      <w:divsChild>
        <w:div w:id="1436093235">
          <w:marLeft w:val="0"/>
          <w:marRight w:val="0"/>
          <w:marTop w:val="0"/>
          <w:marBottom w:val="450"/>
          <w:divBdr>
            <w:top w:val="none" w:sz="0" w:space="0" w:color="auto"/>
            <w:left w:val="none" w:sz="0" w:space="0" w:color="auto"/>
            <w:bottom w:val="none" w:sz="0" w:space="0" w:color="auto"/>
            <w:right w:val="none" w:sz="0" w:space="0" w:color="auto"/>
          </w:divBdr>
          <w:divsChild>
            <w:div w:id="2066441152">
              <w:marLeft w:val="0"/>
              <w:marRight w:val="0"/>
              <w:marTop w:val="0"/>
              <w:marBottom w:val="0"/>
              <w:divBdr>
                <w:top w:val="none" w:sz="0" w:space="0" w:color="auto"/>
                <w:left w:val="none" w:sz="0" w:space="0" w:color="auto"/>
                <w:bottom w:val="none" w:sz="0" w:space="0" w:color="auto"/>
                <w:right w:val="none" w:sz="0" w:space="0" w:color="auto"/>
              </w:divBdr>
              <w:divsChild>
                <w:div w:id="141068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718962">
          <w:marLeft w:val="0"/>
          <w:marRight w:val="0"/>
          <w:marTop w:val="0"/>
          <w:marBottom w:val="0"/>
          <w:divBdr>
            <w:top w:val="none" w:sz="0" w:space="0" w:color="auto"/>
            <w:left w:val="none" w:sz="0" w:space="0" w:color="auto"/>
            <w:bottom w:val="none" w:sz="0" w:space="0" w:color="auto"/>
            <w:right w:val="none" w:sz="0" w:space="0" w:color="auto"/>
          </w:divBdr>
          <w:divsChild>
            <w:div w:id="769349956">
              <w:marLeft w:val="0"/>
              <w:marRight w:val="0"/>
              <w:marTop w:val="0"/>
              <w:marBottom w:val="0"/>
              <w:divBdr>
                <w:top w:val="none" w:sz="0" w:space="0" w:color="auto"/>
                <w:left w:val="none" w:sz="0" w:space="0" w:color="auto"/>
                <w:bottom w:val="none" w:sz="0" w:space="0" w:color="auto"/>
                <w:right w:val="none" w:sz="0" w:space="0" w:color="auto"/>
              </w:divBdr>
            </w:div>
            <w:div w:id="2097818197">
              <w:marLeft w:val="0"/>
              <w:marRight w:val="0"/>
              <w:marTop w:val="300"/>
              <w:marBottom w:val="300"/>
              <w:divBdr>
                <w:top w:val="none" w:sz="0" w:space="0" w:color="auto"/>
                <w:left w:val="none" w:sz="0" w:space="0" w:color="auto"/>
                <w:bottom w:val="none" w:sz="0" w:space="0" w:color="auto"/>
                <w:right w:val="none" w:sz="0" w:space="0" w:color="auto"/>
              </w:divBdr>
              <w:divsChild>
                <w:div w:id="1379284288">
                  <w:marLeft w:val="0"/>
                  <w:marRight w:val="0"/>
                  <w:marTop w:val="0"/>
                  <w:marBottom w:val="0"/>
                  <w:divBdr>
                    <w:top w:val="none" w:sz="0" w:space="0" w:color="auto"/>
                    <w:left w:val="none" w:sz="0" w:space="0" w:color="auto"/>
                    <w:bottom w:val="none" w:sz="0" w:space="0" w:color="auto"/>
                    <w:right w:val="none" w:sz="0" w:space="0" w:color="auto"/>
                  </w:divBdr>
                  <w:divsChild>
                    <w:div w:id="84837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27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250264">
      <w:bodyDiv w:val="1"/>
      <w:marLeft w:val="0"/>
      <w:marRight w:val="0"/>
      <w:marTop w:val="0"/>
      <w:marBottom w:val="0"/>
      <w:divBdr>
        <w:top w:val="none" w:sz="0" w:space="0" w:color="auto"/>
        <w:left w:val="none" w:sz="0" w:space="0" w:color="auto"/>
        <w:bottom w:val="none" w:sz="0" w:space="0" w:color="auto"/>
        <w:right w:val="none" w:sz="0" w:space="0" w:color="auto"/>
      </w:divBdr>
    </w:div>
    <w:div w:id="1531332916">
      <w:bodyDiv w:val="1"/>
      <w:marLeft w:val="0"/>
      <w:marRight w:val="0"/>
      <w:marTop w:val="0"/>
      <w:marBottom w:val="0"/>
      <w:divBdr>
        <w:top w:val="none" w:sz="0" w:space="0" w:color="auto"/>
        <w:left w:val="none" w:sz="0" w:space="0" w:color="auto"/>
        <w:bottom w:val="none" w:sz="0" w:space="0" w:color="auto"/>
        <w:right w:val="none" w:sz="0" w:space="0" w:color="auto"/>
      </w:divBdr>
    </w:div>
    <w:div w:id="1544370749">
      <w:bodyDiv w:val="1"/>
      <w:marLeft w:val="0"/>
      <w:marRight w:val="0"/>
      <w:marTop w:val="0"/>
      <w:marBottom w:val="0"/>
      <w:divBdr>
        <w:top w:val="none" w:sz="0" w:space="0" w:color="auto"/>
        <w:left w:val="none" w:sz="0" w:space="0" w:color="auto"/>
        <w:bottom w:val="none" w:sz="0" w:space="0" w:color="auto"/>
        <w:right w:val="none" w:sz="0" w:space="0" w:color="auto"/>
      </w:divBdr>
    </w:div>
    <w:div w:id="1555041424">
      <w:bodyDiv w:val="1"/>
      <w:marLeft w:val="0"/>
      <w:marRight w:val="0"/>
      <w:marTop w:val="0"/>
      <w:marBottom w:val="0"/>
      <w:divBdr>
        <w:top w:val="none" w:sz="0" w:space="0" w:color="auto"/>
        <w:left w:val="none" w:sz="0" w:space="0" w:color="auto"/>
        <w:bottom w:val="none" w:sz="0" w:space="0" w:color="auto"/>
        <w:right w:val="none" w:sz="0" w:space="0" w:color="auto"/>
      </w:divBdr>
    </w:div>
    <w:div w:id="1556351645">
      <w:bodyDiv w:val="1"/>
      <w:marLeft w:val="0"/>
      <w:marRight w:val="0"/>
      <w:marTop w:val="0"/>
      <w:marBottom w:val="0"/>
      <w:divBdr>
        <w:top w:val="none" w:sz="0" w:space="0" w:color="auto"/>
        <w:left w:val="none" w:sz="0" w:space="0" w:color="auto"/>
        <w:bottom w:val="none" w:sz="0" w:space="0" w:color="auto"/>
        <w:right w:val="none" w:sz="0" w:space="0" w:color="auto"/>
      </w:divBdr>
    </w:div>
    <w:div w:id="1570722992">
      <w:bodyDiv w:val="1"/>
      <w:marLeft w:val="0"/>
      <w:marRight w:val="0"/>
      <w:marTop w:val="0"/>
      <w:marBottom w:val="0"/>
      <w:divBdr>
        <w:top w:val="none" w:sz="0" w:space="0" w:color="auto"/>
        <w:left w:val="none" w:sz="0" w:space="0" w:color="auto"/>
        <w:bottom w:val="none" w:sz="0" w:space="0" w:color="auto"/>
        <w:right w:val="none" w:sz="0" w:space="0" w:color="auto"/>
      </w:divBdr>
    </w:div>
    <w:div w:id="1575503204">
      <w:bodyDiv w:val="1"/>
      <w:marLeft w:val="0"/>
      <w:marRight w:val="0"/>
      <w:marTop w:val="0"/>
      <w:marBottom w:val="0"/>
      <w:divBdr>
        <w:top w:val="none" w:sz="0" w:space="0" w:color="auto"/>
        <w:left w:val="none" w:sz="0" w:space="0" w:color="auto"/>
        <w:bottom w:val="none" w:sz="0" w:space="0" w:color="auto"/>
        <w:right w:val="none" w:sz="0" w:space="0" w:color="auto"/>
      </w:divBdr>
    </w:div>
    <w:div w:id="1576090084">
      <w:bodyDiv w:val="1"/>
      <w:marLeft w:val="0"/>
      <w:marRight w:val="0"/>
      <w:marTop w:val="0"/>
      <w:marBottom w:val="0"/>
      <w:divBdr>
        <w:top w:val="none" w:sz="0" w:space="0" w:color="auto"/>
        <w:left w:val="none" w:sz="0" w:space="0" w:color="auto"/>
        <w:bottom w:val="none" w:sz="0" w:space="0" w:color="auto"/>
        <w:right w:val="none" w:sz="0" w:space="0" w:color="auto"/>
      </w:divBdr>
    </w:div>
    <w:div w:id="1577276814">
      <w:bodyDiv w:val="1"/>
      <w:marLeft w:val="0"/>
      <w:marRight w:val="0"/>
      <w:marTop w:val="0"/>
      <w:marBottom w:val="0"/>
      <w:divBdr>
        <w:top w:val="none" w:sz="0" w:space="0" w:color="auto"/>
        <w:left w:val="none" w:sz="0" w:space="0" w:color="auto"/>
        <w:bottom w:val="none" w:sz="0" w:space="0" w:color="auto"/>
        <w:right w:val="none" w:sz="0" w:space="0" w:color="auto"/>
      </w:divBdr>
    </w:div>
    <w:div w:id="1578593001">
      <w:bodyDiv w:val="1"/>
      <w:marLeft w:val="0"/>
      <w:marRight w:val="0"/>
      <w:marTop w:val="0"/>
      <w:marBottom w:val="0"/>
      <w:divBdr>
        <w:top w:val="none" w:sz="0" w:space="0" w:color="auto"/>
        <w:left w:val="none" w:sz="0" w:space="0" w:color="auto"/>
        <w:bottom w:val="none" w:sz="0" w:space="0" w:color="auto"/>
        <w:right w:val="none" w:sz="0" w:space="0" w:color="auto"/>
      </w:divBdr>
    </w:div>
    <w:div w:id="1582718088">
      <w:bodyDiv w:val="1"/>
      <w:marLeft w:val="0"/>
      <w:marRight w:val="0"/>
      <w:marTop w:val="0"/>
      <w:marBottom w:val="0"/>
      <w:divBdr>
        <w:top w:val="none" w:sz="0" w:space="0" w:color="auto"/>
        <w:left w:val="none" w:sz="0" w:space="0" w:color="auto"/>
        <w:bottom w:val="none" w:sz="0" w:space="0" w:color="auto"/>
        <w:right w:val="none" w:sz="0" w:space="0" w:color="auto"/>
      </w:divBdr>
    </w:div>
    <w:div w:id="1597206058">
      <w:bodyDiv w:val="1"/>
      <w:marLeft w:val="0"/>
      <w:marRight w:val="0"/>
      <w:marTop w:val="0"/>
      <w:marBottom w:val="0"/>
      <w:divBdr>
        <w:top w:val="none" w:sz="0" w:space="0" w:color="auto"/>
        <w:left w:val="none" w:sz="0" w:space="0" w:color="auto"/>
        <w:bottom w:val="none" w:sz="0" w:space="0" w:color="auto"/>
        <w:right w:val="none" w:sz="0" w:space="0" w:color="auto"/>
      </w:divBdr>
    </w:div>
    <w:div w:id="1601332504">
      <w:bodyDiv w:val="1"/>
      <w:marLeft w:val="0"/>
      <w:marRight w:val="0"/>
      <w:marTop w:val="0"/>
      <w:marBottom w:val="0"/>
      <w:divBdr>
        <w:top w:val="none" w:sz="0" w:space="0" w:color="auto"/>
        <w:left w:val="none" w:sz="0" w:space="0" w:color="auto"/>
        <w:bottom w:val="none" w:sz="0" w:space="0" w:color="auto"/>
        <w:right w:val="none" w:sz="0" w:space="0" w:color="auto"/>
      </w:divBdr>
    </w:div>
    <w:div w:id="1603418705">
      <w:bodyDiv w:val="1"/>
      <w:marLeft w:val="0"/>
      <w:marRight w:val="0"/>
      <w:marTop w:val="0"/>
      <w:marBottom w:val="0"/>
      <w:divBdr>
        <w:top w:val="none" w:sz="0" w:space="0" w:color="auto"/>
        <w:left w:val="none" w:sz="0" w:space="0" w:color="auto"/>
        <w:bottom w:val="none" w:sz="0" w:space="0" w:color="auto"/>
        <w:right w:val="none" w:sz="0" w:space="0" w:color="auto"/>
      </w:divBdr>
    </w:div>
    <w:div w:id="1605846909">
      <w:bodyDiv w:val="1"/>
      <w:marLeft w:val="0"/>
      <w:marRight w:val="0"/>
      <w:marTop w:val="0"/>
      <w:marBottom w:val="0"/>
      <w:divBdr>
        <w:top w:val="none" w:sz="0" w:space="0" w:color="auto"/>
        <w:left w:val="none" w:sz="0" w:space="0" w:color="auto"/>
        <w:bottom w:val="none" w:sz="0" w:space="0" w:color="auto"/>
        <w:right w:val="none" w:sz="0" w:space="0" w:color="auto"/>
      </w:divBdr>
    </w:div>
    <w:div w:id="1624733293">
      <w:bodyDiv w:val="1"/>
      <w:marLeft w:val="0"/>
      <w:marRight w:val="0"/>
      <w:marTop w:val="0"/>
      <w:marBottom w:val="0"/>
      <w:divBdr>
        <w:top w:val="none" w:sz="0" w:space="0" w:color="auto"/>
        <w:left w:val="none" w:sz="0" w:space="0" w:color="auto"/>
        <w:bottom w:val="none" w:sz="0" w:space="0" w:color="auto"/>
        <w:right w:val="none" w:sz="0" w:space="0" w:color="auto"/>
      </w:divBdr>
    </w:div>
    <w:div w:id="1631131670">
      <w:bodyDiv w:val="1"/>
      <w:marLeft w:val="0"/>
      <w:marRight w:val="0"/>
      <w:marTop w:val="0"/>
      <w:marBottom w:val="0"/>
      <w:divBdr>
        <w:top w:val="none" w:sz="0" w:space="0" w:color="auto"/>
        <w:left w:val="none" w:sz="0" w:space="0" w:color="auto"/>
        <w:bottom w:val="none" w:sz="0" w:space="0" w:color="auto"/>
        <w:right w:val="none" w:sz="0" w:space="0" w:color="auto"/>
      </w:divBdr>
    </w:div>
    <w:div w:id="1631521279">
      <w:bodyDiv w:val="1"/>
      <w:marLeft w:val="0"/>
      <w:marRight w:val="0"/>
      <w:marTop w:val="0"/>
      <w:marBottom w:val="0"/>
      <w:divBdr>
        <w:top w:val="none" w:sz="0" w:space="0" w:color="auto"/>
        <w:left w:val="none" w:sz="0" w:space="0" w:color="auto"/>
        <w:bottom w:val="none" w:sz="0" w:space="0" w:color="auto"/>
        <w:right w:val="none" w:sz="0" w:space="0" w:color="auto"/>
      </w:divBdr>
    </w:div>
    <w:div w:id="1654989635">
      <w:bodyDiv w:val="1"/>
      <w:marLeft w:val="0"/>
      <w:marRight w:val="0"/>
      <w:marTop w:val="0"/>
      <w:marBottom w:val="0"/>
      <w:divBdr>
        <w:top w:val="none" w:sz="0" w:space="0" w:color="auto"/>
        <w:left w:val="none" w:sz="0" w:space="0" w:color="auto"/>
        <w:bottom w:val="none" w:sz="0" w:space="0" w:color="auto"/>
        <w:right w:val="none" w:sz="0" w:space="0" w:color="auto"/>
      </w:divBdr>
    </w:div>
    <w:div w:id="1670329951">
      <w:bodyDiv w:val="1"/>
      <w:marLeft w:val="0"/>
      <w:marRight w:val="0"/>
      <w:marTop w:val="0"/>
      <w:marBottom w:val="0"/>
      <w:divBdr>
        <w:top w:val="none" w:sz="0" w:space="0" w:color="auto"/>
        <w:left w:val="none" w:sz="0" w:space="0" w:color="auto"/>
        <w:bottom w:val="none" w:sz="0" w:space="0" w:color="auto"/>
        <w:right w:val="none" w:sz="0" w:space="0" w:color="auto"/>
      </w:divBdr>
    </w:div>
    <w:div w:id="1671179144">
      <w:bodyDiv w:val="1"/>
      <w:marLeft w:val="0"/>
      <w:marRight w:val="0"/>
      <w:marTop w:val="0"/>
      <w:marBottom w:val="0"/>
      <w:divBdr>
        <w:top w:val="none" w:sz="0" w:space="0" w:color="auto"/>
        <w:left w:val="none" w:sz="0" w:space="0" w:color="auto"/>
        <w:bottom w:val="none" w:sz="0" w:space="0" w:color="auto"/>
        <w:right w:val="none" w:sz="0" w:space="0" w:color="auto"/>
      </w:divBdr>
    </w:div>
    <w:div w:id="1673147258">
      <w:bodyDiv w:val="1"/>
      <w:marLeft w:val="0"/>
      <w:marRight w:val="0"/>
      <w:marTop w:val="0"/>
      <w:marBottom w:val="0"/>
      <w:divBdr>
        <w:top w:val="none" w:sz="0" w:space="0" w:color="auto"/>
        <w:left w:val="none" w:sz="0" w:space="0" w:color="auto"/>
        <w:bottom w:val="none" w:sz="0" w:space="0" w:color="auto"/>
        <w:right w:val="none" w:sz="0" w:space="0" w:color="auto"/>
      </w:divBdr>
    </w:div>
    <w:div w:id="1674183593">
      <w:bodyDiv w:val="1"/>
      <w:marLeft w:val="0"/>
      <w:marRight w:val="0"/>
      <w:marTop w:val="0"/>
      <w:marBottom w:val="0"/>
      <w:divBdr>
        <w:top w:val="none" w:sz="0" w:space="0" w:color="auto"/>
        <w:left w:val="none" w:sz="0" w:space="0" w:color="auto"/>
        <w:bottom w:val="none" w:sz="0" w:space="0" w:color="auto"/>
        <w:right w:val="none" w:sz="0" w:space="0" w:color="auto"/>
      </w:divBdr>
      <w:divsChild>
        <w:div w:id="106316978">
          <w:marLeft w:val="0"/>
          <w:marRight w:val="0"/>
          <w:marTop w:val="0"/>
          <w:marBottom w:val="0"/>
          <w:divBdr>
            <w:top w:val="none" w:sz="0" w:space="0" w:color="auto"/>
            <w:left w:val="none" w:sz="0" w:space="0" w:color="auto"/>
            <w:bottom w:val="none" w:sz="0" w:space="0" w:color="auto"/>
            <w:right w:val="none" w:sz="0" w:space="0" w:color="auto"/>
          </w:divBdr>
        </w:div>
        <w:div w:id="1197161175">
          <w:marLeft w:val="0"/>
          <w:marRight w:val="0"/>
          <w:marTop w:val="0"/>
          <w:marBottom w:val="0"/>
          <w:divBdr>
            <w:top w:val="none" w:sz="0" w:space="0" w:color="auto"/>
            <w:left w:val="none" w:sz="0" w:space="0" w:color="auto"/>
            <w:bottom w:val="none" w:sz="0" w:space="0" w:color="auto"/>
            <w:right w:val="none" w:sz="0" w:space="0" w:color="auto"/>
          </w:divBdr>
          <w:divsChild>
            <w:div w:id="269508707">
              <w:marLeft w:val="0"/>
              <w:marRight w:val="0"/>
              <w:marTop w:val="0"/>
              <w:marBottom w:val="0"/>
              <w:divBdr>
                <w:top w:val="none" w:sz="0" w:space="0" w:color="auto"/>
                <w:left w:val="none" w:sz="0" w:space="0" w:color="auto"/>
                <w:bottom w:val="none" w:sz="0" w:space="0" w:color="auto"/>
                <w:right w:val="none" w:sz="0" w:space="0" w:color="auto"/>
              </w:divBdr>
            </w:div>
            <w:div w:id="1249660314">
              <w:marLeft w:val="0"/>
              <w:marRight w:val="0"/>
              <w:marTop w:val="0"/>
              <w:marBottom w:val="0"/>
              <w:divBdr>
                <w:top w:val="none" w:sz="0" w:space="0" w:color="auto"/>
                <w:left w:val="none" w:sz="0" w:space="0" w:color="auto"/>
                <w:bottom w:val="none" w:sz="0" w:space="0" w:color="auto"/>
                <w:right w:val="none" w:sz="0" w:space="0" w:color="auto"/>
              </w:divBdr>
            </w:div>
            <w:div w:id="783574587">
              <w:marLeft w:val="0"/>
              <w:marRight w:val="0"/>
              <w:marTop w:val="0"/>
              <w:marBottom w:val="0"/>
              <w:divBdr>
                <w:top w:val="none" w:sz="0" w:space="0" w:color="auto"/>
                <w:left w:val="none" w:sz="0" w:space="0" w:color="auto"/>
                <w:bottom w:val="none" w:sz="0" w:space="0" w:color="auto"/>
                <w:right w:val="none" w:sz="0" w:space="0" w:color="auto"/>
              </w:divBdr>
            </w:div>
            <w:div w:id="2125727986">
              <w:marLeft w:val="0"/>
              <w:marRight w:val="0"/>
              <w:marTop w:val="0"/>
              <w:marBottom w:val="0"/>
              <w:divBdr>
                <w:top w:val="none" w:sz="0" w:space="0" w:color="auto"/>
                <w:left w:val="none" w:sz="0" w:space="0" w:color="auto"/>
                <w:bottom w:val="none" w:sz="0" w:space="0" w:color="auto"/>
                <w:right w:val="none" w:sz="0" w:space="0" w:color="auto"/>
              </w:divBdr>
            </w:div>
            <w:div w:id="836305786">
              <w:marLeft w:val="0"/>
              <w:marRight w:val="0"/>
              <w:marTop w:val="0"/>
              <w:marBottom w:val="0"/>
              <w:divBdr>
                <w:top w:val="none" w:sz="0" w:space="0" w:color="auto"/>
                <w:left w:val="none" w:sz="0" w:space="0" w:color="auto"/>
                <w:bottom w:val="none" w:sz="0" w:space="0" w:color="auto"/>
                <w:right w:val="none" w:sz="0" w:space="0" w:color="auto"/>
              </w:divBdr>
            </w:div>
            <w:div w:id="1941647382">
              <w:marLeft w:val="0"/>
              <w:marRight w:val="0"/>
              <w:marTop w:val="0"/>
              <w:marBottom w:val="0"/>
              <w:divBdr>
                <w:top w:val="none" w:sz="0" w:space="0" w:color="auto"/>
                <w:left w:val="none" w:sz="0" w:space="0" w:color="auto"/>
                <w:bottom w:val="none" w:sz="0" w:space="0" w:color="auto"/>
                <w:right w:val="none" w:sz="0" w:space="0" w:color="auto"/>
              </w:divBdr>
            </w:div>
            <w:div w:id="1338656986">
              <w:marLeft w:val="0"/>
              <w:marRight w:val="0"/>
              <w:marTop w:val="0"/>
              <w:marBottom w:val="0"/>
              <w:divBdr>
                <w:top w:val="none" w:sz="0" w:space="0" w:color="auto"/>
                <w:left w:val="none" w:sz="0" w:space="0" w:color="auto"/>
                <w:bottom w:val="none" w:sz="0" w:space="0" w:color="auto"/>
                <w:right w:val="none" w:sz="0" w:space="0" w:color="auto"/>
              </w:divBdr>
            </w:div>
            <w:div w:id="209593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870127">
      <w:bodyDiv w:val="1"/>
      <w:marLeft w:val="0"/>
      <w:marRight w:val="0"/>
      <w:marTop w:val="0"/>
      <w:marBottom w:val="0"/>
      <w:divBdr>
        <w:top w:val="none" w:sz="0" w:space="0" w:color="auto"/>
        <w:left w:val="none" w:sz="0" w:space="0" w:color="auto"/>
        <w:bottom w:val="none" w:sz="0" w:space="0" w:color="auto"/>
        <w:right w:val="none" w:sz="0" w:space="0" w:color="auto"/>
      </w:divBdr>
    </w:div>
    <w:div w:id="1676768019">
      <w:bodyDiv w:val="1"/>
      <w:marLeft w:val="0"/>
      <w:marRight w:val="0"/>
      <w:marTop w:val="0"/>
      <w:marBottom w:val="0"/>
      <w:divBdr>
        <w:top w:val="none" w:sz="0" w:space="0" w:color="auto"/>
        <w:left w:val="none" w:sz="0" w:space="0" w:color="auto"/>
        <w:bottom w:val="none" w:sz="0" w:space="0" w:color="auto"/>
        <w:right w:val="none" w:sz="0" w:space="0" w:color="auto"/>
      </w:divBdr>
    </w:div>
    <w:div w:id="1681814399">
      <w:bodyDiv w:val="1"/>
      <w:marLeft w:val="0"/>
      <w:marRight w:val="0"/>
      <w:marTop w:val="0"/>
      <w:marBottom w:val="0"/>
      <w:divBdr>
        <w:top w:val="none" w:sz="0" w:space="0" w:color="auto"/>
        <w:left w:val="none" w:sz="0" w:space="0" w:color="auto"/>
        <w:bottom w:val="none" w:sz="0" w:space="0" w:color="auto"/>
        <w:right w:val="none" w:sz="0" w:space="0" w:color="auto"/>
      </w:divBdr>
    </w:div>
    <w:div w:id="1689064411">
      <w:bodyDiv w:val="1"/>
      <w:marLeft w:val="0"/>
      <w:marRight w:val="0"/>
      <w:marTop w:val="0"/>
      <w:marBottom w:val="0"/>
      <w:divBdr>
        <w:top w:val="none" w:sz="0" w:space="0" w:color="auto"/>
        <w:left w:val="none" w:sz="0" w:space="0" w:color="auto"/>
        <w:bottom w:val="none" w:sz="0" w:space="0" w:color="auto"/>
        <w:right w:val="none" w:sz="0" w:space="0" w:color="auto"/>
      </w:divBdr>
    </w:div>
    <w:div w:id="1693530909">
      <w:bodyDiv w:val="1"/>
      <w:marLeft w:val="0"/>
      <w:marRight w:val="0"/>
      <w:marTop w:val="0"/>
      <w:marBottom w:val="0"/>
      <w:divBdr>
        <w:top w:val="none" w:sz="0" w:space="0" w:color="auto"/>
        <w:left w:val="none" w:sz="0" w:space="0" w:color="auto"/>
        <w:bottom w:val="none" w:sz="0" w:space="0" w:color="auto"/>
        <w:right w:val="none" w:sz="0" w:space="0" w:color="auto"/>
      </w:divBdr>
    </w:div>
    <w:div w:id="1708289847">
      <w:bodyDiv w:val="1"/>
      <w:marLeft w:val="0"/>
      <w:marRight w:val="0"/>
      <w:marTop w:val="0"/>
      <w:marBottom w:val="0"/>
      <w:divBdr>
        <w:top w:val="none" w:sz="0" w:space="0" w:color="auto"/>
        <w:left w:val="none" w:sz="0" w:space="0" w:color="auto"/>
        <w:bottom w:val="none" w:sz="0" w:space="0" w:color="auto"/>
        <w:right w:val="none" w:sz="0" w:space="0" w:color="auto"/>
      </w:divBdr>
    </w:div>
    <w:div w:id="1711690096">
      <w:bodyDiv w:val="1"/>
      <w:marLeft w:val="0"/>
      <w:marRight w:val="0"/>
      <w:marTop w:val="0"/>
      <w:marBottom w:val="0"/>
      <w:divBdr>
        <w:top w:val="none" w:sz="0" w:space="0" w:color="auto"/>
        <w:left w:val="none" w:sz="0" w:space="0" w:color="auto"/>
        <w:bottom w:val="none" w:sz="0" w:space="0" w:color="auto"/>
        <w:right w:val="none" w:sz="0" w:space="0" w:color="auto"/>
      </w:divBdr>
    </w:div>
    <w:div w:id="1715150632">
      <w:bodyDiv w:val="1"/>
      <w:marLeft w:val="0"/>
      <w:marRight w:val="0"/>
      <w:marTop w:val="0"/>
      <w:marBottom w:val="0"/>
      <w:divBdr>
        <w:top w:val="none" w:sz="0" w:space="0" w:color="auto"/>
        <w:left w:val="none" w:sz="0" w:space="0" w:color="auto"/>
        <w:bottom w:val="none" w:sz="0" w:space="0" w:color="auto"/>
        <w:right w:val="none" w:sz="0" w:space="0" w:color="auto"/>
      </w:divBdr>
    </w:div>
    <w:div w:id="1724719953">
      <w:bodyDiv w:val="1"/>
      <w:marLeft w:val="0"/>
      <w:marRight w:val="0"/>
      <w:marTop w:val="0"/>
      <w:marBottom w:val="0"/>
      <w:divBdr>
        <w:top w:val="none" w:sz="0" w:space="0" w:color="auto"/>
        <w:left w:val="none" w:sz="0" w:space="0" w:color="auto"/>
        <w:bottom w:val="none" w:sz="0" w:space="0" w:color="auto"/>
        <w:right w:val="none" w:sz="0" w:space="0" w:color="auto"/>
      </w:divBdr>
    </w:div>
    <w:div w:id="1739395946">
      <w:bodyDiv w:val="1"/>
      <w:marLeft w:val="0"/>
      <w:marRight w:val="0"/>
      <w:marTop w:val="0"/>
      <w:marBottom w:val="0"/>
      <w:divBdr>
        <w:top w:val="none" w:sz="0" w:space="0" w:color="auto"/>
        <w:left w:val="none" w:sz="0" w:space="0" w:color="auto"/>
        <w:bottom w:val="none" w:sz="0" w:space="0" w:color="auto"/>
        <w:right w:val="none" w:sz="0" w:space="0" w:color="auto"/>
      </w:divBdr>
    </w:div>
    <w:div w:id="1741754982">
      <w:bodyDiv w:val="1"/>
      <w:marLeft w:val="0"/>
      <w:marRight w:val="0"/>
      <w:marTop w:val="0"/>
      <w:marBottom w:val="0"/>
      <w:divBdr>
        <w:top w:val="none" w:sz="0" w:space="0" w:color="auto"/>
        <w:left w:val="none" w:sz="0" w:space="0" w:color="auto"/>
        <w:bottom w:val="none" w:sz="0" w:space="0" w:color="auto"/>
        <w:right w:val="none" w:sz="0" w:space="0" w:color="auto"/>
      </w:divBdr>
    </w:div>
    <w:div w:id="1772896839">
      <w:bodyDiv w:val="1"/>
      <w:marLeft w:val="0"/>
      <w:marRight w:val="0"/>
      <w:marTop w:val="0"/>
      <w:marBottom w:val="0"/>
      <w:divBdr>
        <w:top w:val="none" w:sz="0" w:space="0" w:color="auto"/>
        <w:left w:val="none" w:sz="0" w:space="0" w:color="auto"/>
        <w:bottom w:val="none" w:sz="0" w:space="0" w:color="auto"/>
        <w:right w:val="none" w:sz="0" w:space="0" w:color="auto"/>
      </w:divBdr>
    </w:div>
    <w:div w:id="1777290685">
      <w:bodyDiv w:val="1"/>
      <w:marLeft w:val="0"/>
      <w:marRight w:val="0"/>
      <w:marTop w:val="0"/>
      <w:marBottom w:val="0"/>
      <w:divBdr>
        <w:top w:val="none" w:sz="0" w:space="0" w:color="auto"/>
        <w:left w:val="none" w:sz="0" w:space="0" w:color="auto"/>
        <w:bottom w:val="none" w:sz="0" w:space="0" w:color="auto"/>
        <w:right w:val="none" w:sz="0" w:space="0" w:color="auto"/>
      </w:divBdr>
    </w:div>
    <w:div w:id="1778137257">
      <w:bodyDiv w:val="1"/>
      <w:marLeft w:val="0"/>
      <w:marRight w:val="0"/>
      <w:marTop w:val="0"/>
      <w:marBottom w:val="0"/>
      <w:divBdr>
        <w:top w:val="none" w:sz="0" w:space="0" w:color="auto"/>
        <w:left w:val="none" w:sz="0" w:space="0" w:color="auto"/>
        <w:bottom w:val="none" w:sz="0" w:space="0" w:color="auto"/>
        <w:right w:val="none" w:sz="0" w:space="0" w:color="auto"/>
      </w:divBdr>
    </w:div>
    <w:div w:id="1780447733">
      <w:bodyDiv w:val="1"/>
      <w:marLeft w:val="0"/>
      <w:marRight w:val="0"/>
      <w:marTop w:val="0"/>
      <w:marBottom w:val="0"/>
      <w:divBdr>
        <w:top w:val="none" w:sz="0" w:space="0" w:color="auto"/>
        <w:left w:val="none" w:sz="0" w:space="0" w:color="auto"/>
        <w:bottom w:val="none" w:sz="0" w:space="0" w:color="auto"/>
        <w:right w:val="none" w:sz="0" w:space="0" w:color="auto"/>
      </w:divBdr>
    </w:div>
    <w:div w:id="1782336187">
      <w:bodyDiv w:val="1"/>
      <w:marLeft w:val="0"/>
      <w:marRight w:val="0"/>
      <w:marTop w:val="0"/>
      <w:marBottom w:val="0"/>
      <w:divBdr>
        <w:top w:val="none" w:sz="0" w:space="0" w:color="auto"/>
        <w:left w:val="none" w:sz="0" w:space="0" w:color="auto"/>
        <w:bottom w:val="none" w:sz="0" w:space="0" w:color="auto"/>
        <w:right w:val="none" w:sz="0" w:space="0" w:color="auto"/>
      </w:divBdr>
    </w:div>
    <w:div w:id="1785731370">
      <w:bodyDiv w:val="1"/>
      <w:marLeft w:val="0"/>
      <w:marRight w:val="0"/>
      <w:marTop w:val="0"/>
      <w:marBottom w:val="0"/>
      <w:divBdr>
        <w:top w:val="none" w:sz="0" w:space="0" w:color="auto"/>
        <w:left w:val="none" w:sz="0" w:space="0" w:color="auto"/>
        <w:bottom w:val="none" w:sz="0" w:space="0" w:color="auto"/>
        <w:right w:val="none" w:sz="0" w:space="0" w:color="auto"/>
      </w:divBdr>
    </w:div>
    <w:div w:id="1787847269">
      <w:bodyDiv w:val="1"/>
      <w:marLeft w:val="0"/>
      <w:marRight w:val="0"/>
      <w:marTop w:val="0"/>
      <w:marBottom w:val="0"/>
      <w:divBdr>
        <w:top w:val="none" w:sz="0" w:space="0" w:color="auto"/>
        <w:left w:val="none" w:sz="0" w:space="0" w:color="auto"/>
        <w:bottom w:val="none" w:sz="0" w:space="0" w:color="auto"/>
        <w:right w:val="none" w:sz="0" w:space="0" w:color="auto"/>
      </w:divBdr>
    </w:div>
    <w:div w:id="1793357751">
      <w:bodyDiv w:val="1"/>
      <w:marLeft w:val="0"/>
      <w:marRight w:val="0"/>
      <w:marTop w:val="0"/>
      <w:marBottom w:val="0"/>
      <w:divBdr>
        <w:top w:val="none" w:sz="0" w:space="0" w:color="auto"/>
        <w:left w:val="none" w:sz="0" w:space="0" w:color="auto"/>
        <w:bottom w:val="none" w:sz="0" w:space="0" w:color="auto"/>
        <w:right w:val="none" w:sz="0" w:space="0" w:color="auto"/>
      </w:divBdr>
    </w:div>
    <w:div w:id="1798177476">
      <w:bodyDiv w:val="1"/>
      <w:marLeft w:val="0"/>
      <w:marRight w:val="0"/>
      <w:marTop w:val="0"/>
      <w:marBottom w:val="0"/>
      <w:divBdr>
        <w:top w:val="none" w:sz="0" w:space="0" w:color="auto"/>
        <w:left w:val="none" w:sz="0" w:space="0" w:color="auto"/>
        <w:bottom w:val="none" w:sz="0" w:space="0" w:color="auto"/>
        <w:right w:val="none" w:sz="0" w:space="0" w:color="auto"/>
      </w:divBdr>
    </w:div>
    <w:div w:id="1800997573">
      <w:bodyDiv w:val="1"/>
      <w:marLeft w:val="0"/>
      <w:marRight w:val="0"/>
      <w:marTop w:val="0"/>
      <w:marBottom w:val="0"/>
      <w:divBdr>
        <w:top w:val="none" w:sz="0" w:space="0" w:color="auto"/>
        <w:left w:val="none" w:sz="0" w:space="0" w:color="auto"/>
        <w:bottom w:val="none" w:sz="0" w:space="0" w:color="auto"/>
        <w:right w:val="none" w:sz="0" w:space="0" w:color="auto"/>
      </w:divBdr>
    </w:div>
    <w:div w:id="1806191057">
      <w:bodyDiv w:val="1"/>
      <w:marLeft w:val="0"/>
      <w:marRight w:val="0"/>
      <w:marTop w:val="0"/>
      <w:marBottom w:val="0"/>
      <w:divBdr>
        <w:top w:val="none" w:sz="0" w:space="0" w:color="auto"/>
        <w:left w:val="none" w:sz="0" w:space="0" w:color="auto"/>
        <w:bottom w:val="none" w:sz="0" w:space="0" w:color="auto"/>
        <w:right w:val="none" w:sz="0" w:space="0" w:color="auto"/>
      </w:divBdr>
    </w:div>
    <w:div w:id="1818574522">
      <w:bodyDiv w:val="1"/>
      <w:marLeft w:val="0"/>
      <w:marRight w:val="0"/>
      <w:marTop w:val="0"/>
      <w:marBottom w:val="0"/>
      <w:divBdr>
        <w:top w:val="none" w:sz="0" w:space="0" w:color="auto"/>
        <w:left w:val="none" w:sz="0" w:space="0" w:color="auto"/>
        <w:bottom w:val="none" w:sz="0" w:space="0" w:color="auto"/>
        <w:right w:val="none" w:sz="0" w:space="0" w:color="auto"/>
      </w:divBdr>
    </w:div>
    <w:div w:id="1819221566">
      <w:bodyDiv w:val="1"/>
      <w:marLeft w:val="0"/>
      <w:marRight w:val="0"/>
      <w:marTop w:val="0"/>
      <w:marBottom w:val="0"/>
      <w:divBdr>
        <w:top w:val="none" w:sz="0" w:space="0" w:color="auto"/>
        <w:left w:val="none" w:sz="0" w:space="0" w:color="auto"/>
        <w:bottom w:val="none" w:sz="0" w:space="0" w:color="auto"/>
        <w:right w:val="none" w:sz="0" w:space="0" w:color="auto"/>
      </w:divBdr>
    </w:div>
    <w:div w:id="1820418343">
      <w:bodyDiv w:val="1"/>
      <w:marLeft w:val="0"/>
      <w:marRight w:val="0"/>
      <w:marTop w:val="0"/>
      <w:marBottom w:val="0"/>
      <w:divBdr>
        <w:top w:val="none" w:sz="0" w:space="0" w:color="auto"/>
        <w:left w:val="none" w:sz="0" w:space="0" w:color="auto"/>
        <w:bottom w:val="none" w:sz="0" w:space="0" w:color="auto"/>
        <w:right w:val="none" w:sz="0" w:space="0" w:color="auto"/>
      </w:divBdr>
    </w:div>
    <w:div w:id="1831632364">
      <w:bodyDiv w:val="1"/>
      <w:marLeft w:val="0"/>
      <w:marRight w:val="0"/>
      <w:marTop w:val="0"/>
      <w:marBottom w:val="0"/>
      <w:divBdr>
        <w:top w:val="none" w:sz="0" w:space="0" w:color="auto"/>
        <w:left w:val="none" w:sz="0" w:space="0" w:color="auto"/>
        <w:bottom w:val="none" w:sz="0" w:space="0" w:color="auto"/>
        <w:right w:val="none" w:sz="0" w:space="0" w:color="auto"/>
      </w:divBdr>
    </w:div>
    <w:div w:id="1836843630">
      <w:bodyDiv w:val="1"/>
      <w:marLeft w:val="0"/>
      <w:marRight w:val="0"/>
      <w:marTop w:val="0"/>
      <w:marBottom w:val="0"/>
      <w:divBdr>
        <w:top w:val="none" w:sz="0" w:space="0" w:color="auto"/>
        <w:left w:val="none" w:sz="0" w:space="0" w:color="auto"/>
        <w:bottom w:val="none" w:sz="0" w:space="0" w:color="auto"/>
        <w:right w:val="none" w:sz="0" w:space="0" w:color="auto"/>
      </w:divBdr>
    </w:div>
    <w:div w:id="1838956923">
      <w:bodyDiv w:val="1"/>
      <w:marLeft w:val="0"/>
      <w:marRight w:val="0"/>
      <w:marTop w:val="0"/>
      <w:marBottom w:val="0"/>
      <w:divBdr>
        <w:top w:val="none" w:sz="0" w:space="0" w:color="auto"/>
        <w:left w:val="none" w:sz="0" w:space="0" w:color="auto"/>
        <w:bottom w:val="none" w:sz="0" w:space="0" w:color="auto"/>
        <w:right w:val="none" w:sz="0" w:space="0" w:color="auto"/>
      </w:divBdr>
    </w:div>
    <w:div w:id="1848203455">
      <w:bodyDiv w:val="1"/>
      <w:marLeft w:val="0"/>
      <w:marRight w:val="0"/>
      <w:marTop w:val="0"/>
      <w:marBottom w:val="0"/>
      <w:divBdr>
        <w:top w:val="none" w:sz="0" w:space="0" w:color="auto"/>
        <w:left w:val="none" w:sz="0" w:space="0" w:color="auto"/>
        <w:bottom w:val="none" w:sz="0" w:space="0" w:color="auto"/>
        <w:right w:val="none" w:sz="0" w:space="0" w:color="auto"/>
      </w:divBdr>
    </w:div>
    <w:div w:id="1849952286">
      <w:bodyDiv w:val="1"/>
      <w:marLeft w:val="0"/>
      <w:marRight w:val="0"/>
      <w:marTop w:val="0"/>
      <w:marBottom w:val="0"/>
      <w:divBdr>
        <w:top w:val="none" w:sz="0" w:space="0" w:color="auto"/>
        <w:left w:val="none" w:sz="0" w:space="0" w:color="auto"/>
        <w:bottom w:val="none" w:sz="0" w:space="0" w:color="auto"/>
        <w:right w:val="none" w:sz="0" w:space="0" w:color="auto"/>
      </w:divBdr>
      <w:divsChild>
        <w:div w:id="1683699327">
          <w:marLeft w:val="0"/>
          <w:marRight w:val="0"/>
          <w:marTop w:val="480"/>
          <w:marBottom w:val="480"/>
          <w:divBdr>
            <w:top w:val="none" w:sz="0" w:space="0" w:color="auto"/>
            <w:left w:val="none" w:sz="0" w:space="0" w:color="auto"/>
            <w:bottom w:val="none" w:sz="0" w:space="0" w:color="auto"/>
            <w:right w:val="none" w:sz="0" w:space="0" w:color="auto"/>
          </w:divBdr>
        </w:div>
        <w:div w:id="1104422356">
          <w:marLeft w:val="0"/>
          <w:marRight w:val="0"/>
          <w:marTop w:val="480"/>
          <w:marBottom w:val="480"/>
          <w:divBdr>
            <w:top w:val="none" w:sz="0" w:space="0" w:color="auto"/>
            <w:left w:val="none" w:sz="0" w:space="0" w:color="auto"/>
            <w:bottom w:val="none" w:sz="0" w:space="0" w:color="auto"/>
            <w:right w:val="none" w:sz="0" w:space="0" w:color="auto"/>
          </w:divBdr>
        </w:div>
        <w:div w:id="1337995763">
          <w:marLeft w:val="0"/>
          <w:marRight w:val="0"/>
          <w:marTop w:val="0"/>
          <w:marBottom w:val="480"/>
          <w:divBdr>
            <w:top w:val="none" w:sz="0" w:space="0" w:color="auto"/>
            <w:left w:val="none" w:sz="0" w:space="0" w:color="auto"/>
            <w:bottom w:val="none" w:sz="0" w:space="0" w:color="auto"/>
            <w:right w:val="none" w:sz="0" w:space="0" w:color="auto"/>
          </w:divBdr>
        </w:div>
        <w:div w:id="1327708381">
          <w:marLeft w:val="0"/>
          <w:marRight w:val="0"/>
          <w:marTop w:val="480"/>
          <w:marBottom w:val="480"/>
          <w:divBdr>
            <w:top w:val="none" w:sz="0" w:space="0" w:color="auto"/>
            <w:left w:val="none" w:sz="0" w:space="0" w:color="auto"/>
            <w:bottom w:val="none" w:sz="0" w:space="0" w:color="auto"/>
            <w:right w:val="none" w:sz="0" w:space="0" w:color="auto"/>
          </w:divBdr>
        </w:div>
        <w:div w:id="2127498988">
          <w:marLeft w:val="0"/>
          <w:marRight w:val="0"/>
          <w:marTop w:val="0"/>
          <w:marBottom w:val="480"/>
          <w:divBdr>
            <w:top w:val="none" w:sz="0" w:space="0" w:color="auto"/>
            <w:left w:val="none" w:sz="0" w:space="0" w:color="auto"/>
            <w:bottom w:val="none" w:sz="0" w:space="0" w:color="auto"/>
            <w:right w:val="none" w:sz="0" w:space="0" w:color="auto"/>
          </w:divBdr>
        </w:div>
        <w:div w:id="41366294">
          <w:marLeft w:val="0"/>
          <w:marRight w:val="0"/>
          <w:marTop w:val="0"/>
          <w:marBottom w:val="480"/>
          <w:divBdr>
            <w:top w:val="none" w:sz="0" w:space="0" w:color="auto"/>
            <w:left w:val="none" w:sz="0" w:space="0" w:color="auto"/>
            <w:bottom w:val="none" w:sz="0" w:space="0" w:color="auto"/>
            <w:right w:val="none" w:sz="0" w:space="0" w:color="auto"/>
          </w:divBdr>
        </w:div>
      </w:divsChild>
    </w:div>
    <w:div w:id="1870411153">
      <w:bodyDiv w:val="1"/>
      <w:marLeft w:val="0"/>
      <w:marRight w:val="0"/>
      <w:marTop w:val="0"/>
      <w:marBottom w:val="0"/>
      <w:divBdr>
        <w:top w:val="none" w:sz="0" w:space="0" w:color="auto"/>
        <w:left w:val="none" w:sz="0" w:space="0" w:color="auto"/>
        <w:bottom w:val="none" w:sz="0" w:space="0" w:color="auto"/>
        <w:right w:val="none" w:sz="0" w:space="0" w:color="auto"/>
      </w:divBdr>
    </w:div>
    <w:div w:id="1872302675">
      <w:bodyDiv w:val="1"/>
      <w:marLeft w:val="0"/>
      <w:marRight w:val="0"/>
      <w:marTop w:val="0"/>
      <w:marBottom w:val="0"/>
      <w:divBdr>
        <w:top w:val="none" w:sz="0" w:space="0" w:color="auto"/>
        <w:left w:val="none" w:sz="0" w:space="0" w:color="auto"/>
        <w:bottom w:val="none" w:sz="0" w:space="0" w:color="auto"/>
        <w:right w:val="none" w:sz="0" w:space="0" w:color="auto"/>
      </w:divBdr>
    </w:div>
    <w:div w:id="1911887022">
      <w:bodyDiv w:val="1"/>
      <w:marLeft w:val="0"/>
      <w:marRight w:val="0"/>
      <w:marTop w:val="0"/>
      <w:marBottom w:val="0"/>
      <w:divBdr>
        <w:top w:val="none" w:sz="0" w:space="0" w:color="auto"/>
        <w:left w:val="none" w:sz="0" w:space="0" w:color="auto"/>
        <w:bottom w:val="none" w:sz="0" w:space="0" w:color="auto"/>
        <w:right w:val="none" w:sz="0" w:space="0" w:color="auto"/>
      </w:divBdr>
    </w:div>
    <w:div w:id="1916551581">
      <w:bodyDiv w:val="1"/>
      <w:marLeft w:val="0"/>
      <w:marRight w:val="0"/>
      <w:marTop w:val="0"/>
      <w:marBottom w:val="0"/>
      <w:divBdr>
        <w:top w:val="none" w:sz="0" w:space="0" w:color="auto"/>
        <w:left w:val="none" w:sz="0" w:space="0" w:color="auto"/>
        <w:bottom w:val="none" w:sz="0" w:space="0" w:color="auto"/>
        <w:right w:val="none" w:sz="0" w:space="0" w:color="auto"/>
      </w:divBdr>
    </w:div>
    <w:div w:id="1916745666">
      <w:bodyDiv w:val="1"/>
      <w:marLeft w:val="0"/>
      <w:marRight w:val="0"/>
      <w:marTop w:val="0"/>
      <w:marBottom w:val="0"/>
      <w:divBdr>
        <w:top w:val="none" w:sz="0" w:space="0" w:color="auto"/>
        <w:left w:val="none" w:sz="0" w:space="0" w:color="auto"/>
        <w:bottom w:val="none" w:sz="0" w:space="0" w:color="auto"/>
        <w:right w:val="none" w:sz="0" w:space="0" w:color="auto"/>
      </w:divBdr>
    </w:div>
    <w:div w:id="1925797488">
      <w:bodyDiv w:val="1"/>
      <w:marLeft w:val="0"/>
      <w:marRight w:val="0"/>
      <w:marTop w:val="0"/>
      <w:marBottom w:val="0"/>
      <w:divBdr>
        <w:top w:val="none" w:sz="0" w:space="0" w:color="auto"/>
        <w:left w:val="none" w:sz="0" w:space="0" w:color="auto"/>
        <w:bottom w:val="none" w:sz="0" w:space="0" w:color="auto"/>
        <w:right w:val="none" w:sz="0" w:space="0" w:color="auto"/>
      </w:divBdr>
    </w:div>
    <w:div w:id="1947735864">
      <w:bodyDiv w:val="1"/>
      <w:marLeft w:val="0"/>
      <w:marRight w:val="0"/>
      <w:marTop w:val="0"/>
      <w:marBottom w:val="0"/>
      <w:divBdr>
        <w:top w:val="none" w:sz="0" w:space="0" w:color="auto"/>
        <w:left w:val="none" w:sz="0" w:space="0" w:color="auto"/>
        <w:bottom w:val="none" w:sz="0" w:space="0" w:color="auto"/>
        <w:right w:val="none" w:sz="0" w:space="0" w:color="auto"/>
      </w:divBdr>
    </w:div>
    <w:div w:id="1957130138">
      <w:bodyDiv w:val="1"/>
      <w:marLeft w:val="0"/>
      <w:marRight w:val="0"/>
      <w:marTop w:val="0"/>
      <w:marBottom w:val="0"/>
      <w:divBdr>
        <w:top w:val="none" w:sz="0" w:space="0" w:color="auto"/>
        <w:left w:val="none" w:sz="0" w:space="0" w:color="auto"/>
        <w:bottom w:val="none" w:sz="0" w:space="0" w:color="auto"/>
        <w:right w:val="none" w:sz="0" w:space="0" w:color="auto"/>
      </w:divBdr>
    </w:div>
    <w:div w:id="1958757179">
      <w:bodyDiv w:val="1"/>
      <w:marLeft w:val="0"/>
      <w:marRight w:val="0"/>
      <w:marTop w:val="0"/>
      <w:marBottom w:val="0"/>
      <w:divBdr>
        <w:top w:val="none" w:sz="0" w:space="0" w:color="auto"/>
        <w:left w:val="none" w:sz="0" w:space="0" w:color="auto"/>
        <w:bottom w:val="none" w:sz="0" w:space="0" w:color="auto"/>
        <w:right w:val="none" w:sz="0" w:space="0" w:color="auto"/>
      </w:divBdr>
    </w:div>
    <w:div w:id="1959141133">
      <w:bodyDiv w:val="1"/>
      <w:marLeft w:val="0"/>
      <w:marRight w:val="0"/>
      <w:marTop w:val="0"/>
      <w:marBottom w:val="0"/>
      <w:divBdr>
        <w:top w:val="none" w:sz="0" w:space="0" w:color="auto"/>
        <w:left w:val="none" w:sz="0" w:space="0" w:color="auto"/>
        <w:bottom w:val="none" w:sz="0" w:space="0" w:color="auto"/>
        <w:right w:val="none" w:sz="0" w:space="0" w:color="auto"/>
      </w:divBdr>
    </w:div>
    <w:div w:id="1959337822">
      <w:bodyDiv w:val="1"/>
      <w:marLeft w:val="0"/>
      <w:marRight w:val="0"/>
      <w:marTop w:val="0"/>
      <w:marBottom w:val="0"/>
      <w:divBdr>
        <w:top w:val="none" w:sz="0" w:space="0" w:color="auto"/>
        <w:left w:val="none" w:sz="0" w:space="0" w:color="auto"/>
        <w:bottom w:val="none" w:sz="0" w:space="0" w:color="auto"/>
        <w:right w:val="none" w:sz="0" w:space="0" w:color="auto"/>
      </w:divBdr>
    </w:div>
    <w:div w:id="1964772605">
      <w:bodyDiv w:val="1"/>
      <w:marLeft w:val="0"/>
      <w:marRight w:val="0"/>
      <w:marTop w:val="0"/>
      <w:marBottom w:val="0"/>
      <w:divBdr>
        <w:top w:val="none" w:sz="0" w:space="0" w:color="auto"/>
        <w:left w:val="none" w:sz="0" w:space="0" w:color="auto"/>
        <w:bottom w:val="none" w:sz="0" w:space="0" w:color="auto"/>
        <w:right w:val="none" w:sz="0" w:space="0" w:color="auto"/>
      </w:divBdr>
    </w:div>
    <w:div w:id="1967077740">
      <w:bodyDiv w:val="1"/>
      <w:marLeft w:val="0"/>
      <w:marRight w:val="0"/>
      <w:marTop w:val="0"/>
      <w:marBottom w:val="0"/>
      <w:divBdr>
        <w:top w:val="none" w:sz="0" w:space="0" w:color="auto"/>
        <w:left w:val="none" w:sz="0" w:space="0" w:color="auto"/>
        <w:bottom w:val="none" w:sz="0" w:space="0" w:color="auto"/>
        <w:right w:val="none" w:sz="0" w:space="0" w:color="auto"/>
      </w:divBdr>
    </w:div>
    <w:div w:id="1969779937">
      <w:bodyDiv w:val="1"/>
      <w:marLeft w:val="0"/>
      <w:marRight w:val="0"/>
      <w:marTop w:val="0"/>
      <w:marBottom w:val="0"/>
      <w:divBdr>
        <w:top w:val="none" w:sz="0" w:space="0" w:color="auto"/>
        <w:left w:val="none" w:sz="0" w:space="0" w:color="auto"/>
        <w:bottom w:val="none" w:sz="0" w:space="0" w:color="auto"/>
        <w:right w:val="none" w:sz="0" w:space="0" w:color="auto"/>
      </w:divBdr>
    </w:div>
    <w:div w:id="1991056573">
      <w:bodyDiv w:val="1"/>
      <w:marLeft w:val="0"/>
      <w:marRight w:val="0"/>
      <w:marTop w:val="0"/>
      <w:marBottom w:val="0"/>
      <w:divBdr>
        <w:top w:val="none" w:sz="0" w:space="0" w:color="auto"/>
        <w:left w:val="none" w:sz="0" w:space="0" w:color="auto"/>
        <w:bottom w:val="none" w:sz="0" w:space="0" w:color="auto"/>
        <w:right w:val="none" w:sz="0" w:space="0" w:color="auto"/>
      </w:divBdr>
    </w:div>
    <w:div w:id="1999571785">
      <w:bodyDiv w:val="1"/>
      <w:marLeft w:val="0"/>
      <w:marRight w:val="0"/>
      <w:marTop w:val="0"/>
      <w:marBottom w:val="0"/>
      <w:divBdr>
        <w:top w:val="none" w:sz="0" w:space="0" w:color="auto"/>
        <w:left w:val="none" w:sz="0" w:space="0" w:color="auto"/>
        <w:bottom w:val="none" w:sz="0" w:space="0" w:color="auto"/>
        <w:right w:val="none" w:sz="0" w:space="0" w:color="auto"/>
      </w:divBdr>
    </w:div>
    <w:div w:id="2002811976">
      <w:bodyDiv w:val="1"/>
      <w:marLeft w:val="0"/>
      <w:marRight w:val="0"/>
      <w:marTop w:val="0"/>
      <w:marBottom w:val="0"/>
      <w:divBdr>
        <w:top w:val="none" w:sz="0" w:space="0" w:color="auto"/>
        <w:left w:val="none" w:sz="0" w:space="0" w:color="auto"/>
        <w:bottom w:val="none" w:sz="0" w:space="0" w:color="auto"/>
        <w:right w:val="none" w:sz="0" w:space="0" w:color="auto"/>
      </w:divBdr>
    </w:div>
    <w:div w:id="2002923838">
      <w:bodyDiv w:val="1"/>
      <w:marLeft w:val="0"/>
      <w:marRight w:val="0"/>
      <w:marTop w:val="0"/>
      <w:marBottom w:val="0"/>
      <w:divBdr>
        <w:top w:val="none" w:sz="0" w:space="0" w:color="auto"/>
        <w:left w:val="none" w:sz="0" w:space="0" w:color="auto"/>
        <w:bottom w:val="none" w:sz="0" w:space="0" w:color="auto"/>
        <w:right w:val="none" w:sz="0" w:space="0" w:color="auto"/>
      </w:divBdr>
    </w:div>
    <w:div w:id="2003045084">
      <w:bodyDiv w:val="1"/>
      <w:marLeft w:val="0"/>
      <w:marRight w:val="0"/>
      <w:marTop w:val="0"/>
      <w:marBottom w:val="0"/>
      <w:divBdr>
        <w:top w:val="none" w:sz="0" w:space="0" w:color="auto"/>
        <w:left w:val="none" w:sz="0" w:space="0" w:color="auto"/>
        <w:bottom w:val="none" w:sz="0" w:space="0" w:color="auto"/>
        <w:right w:val="none" w:sz="0" w:space="0" w:color="auto"/>
      </w:divBdr>
    </w:div>
    <w:div w:id="2010789550">
      <w:bodyDiv w:val="1"/>
      <w:marLeft w:val="0"/>
      <w:marRight w:val="0"/>
      <w:marTop w:val="0"/>
      <w:marBottom w:val="0"/>
      <w:divBdr>
        <w:top w:val="none" w:sz="0" w:space="0" w:color="auto"/>
        <w:left w:val="none" w:sz="0" w:space="0" w:color="auto"/>
        <w:bottom w:val="none" w:sz="0" w:space="0" w:color="auto"/>
        <w:right w:val="none" w:sz="0" w:space="0" w:color="auto"/>
      </w:divBdr>
    </w:div>
    <w:div w:id="2015568618">
      <w:bodyDiv w:val="1"/>
      <w:marLeft w:val="0"/>
      <w:marRight w:val="0"/>
      <w:marTop w:val="0"/>
      <w:marBottom w:val="0"/>
      <w:divBdr>
        <w:top w:val="none" w:sz="0" w:space="0" w:color="auto"/>
        <w:left w:val="none" w:sz="0" w:space="0" w:color="auto"/>
        <w:bottom w:val="none" w:sz="0" w:space="0" w:color="auto"/>
        <w:right w:val="none" w:sz="0" w:space="0" w:color="auto"/>
      </w:divBdr>
    </w:div>
    <w:div w:id="2015692871">
      <w:bodyDiv w:val="1"/>
      <w:marLeft w:val="0"/>
      <w:marRight w:val="0"/>
      <w:marTop w:val="0"/>
      <w:marBottom w:val="0"/>
      <w:divBdr>
        <w:top w:val="none" w:sz="0" w:space="0" w:color="auto"/>
        <w:left w:val="none" w:sz="0" w:space="0" w:color="auto"/>
        <w:bottom w:val="none" w:sz="0" w:space="0" w:color="auto"/>
        <w:right w:val="none" w:sz="0" w:space="0" w:color="auto"/>
      </w:divBdr>
    </w:div>
    <w:div w:id="2018848400">
      <w:bodyDiv w:val="1"/>
      <w:marLeft w:val="0"/>
      <w:marRight w:val="0"/>
      <w:marTop w:val="0"/>
      <w:marBottom w:val="0"/>
      <w:divBdr>
        <w:top w:val="none" w:sz="0" w:space="0" w:color="auto"/>
        <w:left w:val="none" w:sz="0" w:space="0" w:color="auto"/>
        <w:bottom w:val="none" w:sz="0" w:space="0" w:color="auto"/>
        <w:right w:val="none" w:sz="0" w:space="0" w:color="auto"/>
      </w:divBdr>
    </w:div>
    <w:div w:id="2022584753">
      <w:bodyDiv w:val="1"/>
      <w:marLeft w:val="0"/>
      <w:marRight w:val="0"/>
      <w:marTop w:val="0"/>
      <w:marBottom w:val="0"/>
      <w:divBdr>
        <w:top w:val="none" w:sz="0" w:space="0" w:color="auto"/>
        <w:left w:val="none" w:sz="0" w:space="0" w:color="auto"/>
        <w:bottom w:val="none" w:sz="0" w:space="0" w:color="auto"/>
        <w:right w:val="none" w:sz="0" w:space="0" w:color="auto"/>
      </w:divBdr>
    </w:div>
    <w:div w:id="2023360750">
      <w:bodyDiv w:val="1"/>
      <w:marLeft w:val="0"/>
      <w:marRight w:val="0"/>
      <w:marTop w:val="0"/>
      <w:marBottom w:val="0"/>
      <w:divBdr>
        <w:top w:val="none" w:sz="0" w:space="0" w:color="auto"/>
        <w:left w:val="none" w:sz="0" w:space="0" w:color="auto"/>
        <w:bottom w:val="none" w:sz="0" w:space="0" w:color="auto"/>
        <w:right w:val="none" w:sz="0" w:space="0" w:color="auto"/>
      </w:divBdr>
    </w:div>
    <w:div w:id="2023849797">
      <w:bodyDiv w:val="1"/>
      <w:marLeft w:val="0"/>
      <w:marRight w:val="0"/>
      <w:marTop w:val="0"/>
      <w:marBottom w:val="0"/>
      <w:divBdr>
        <w:top w:val="none" w:sz="0" w:space="0" w:color="auto"/>
        <w:left w:val="none" w:sz="0" w:space="0" w:color="auto"/>
        <w:bottom w:val="none" w:sz="0" w:space="0" w:color="auto"/>
        <w:right w:val="none" w:sz="0" w:space="0" w:color="auto"/>
      </w:divBdr>
    </w:div>
    <w:div w:id="2036224261">
      <w:bodyDiv w:val="1"/>
      <w:marLeft w:val="0"/>
      <w:marRight w:val="0"/>
      <w:marTop w:val="0"/>
      <w:marBottom w:val="0"/>
      <w:divBdr>
        <w:top w:val="none" w:sz="0" w:space="0" w:color="auto"/>
        <w:left w:val="none" w:sz="0" w:space="0" w:color="auto"/>
        <w:bottom w:val="none" w:sz="0" w:space="0" w:color="auto"/>
        <w:right w:val="none" w:sz="0" w:space="0" w:color="auto"/>
      </w:divBdr>
    </w:div>
    <w:div w:id="2036687232">
      <w:bodyDiv w:val="1"/>
      <w:marLeft w:val="0"/>
      <w:marRight w:val="0"/>
      <w:marTop w:val="0"/>
      <w:marBottom w:val="0"/>
      <w:divBdr>
        <w:top w:val="none" w:sz="0" w:space="0" w:color="auto"/>
        <w:left w:val="none" w:sz="0" w:space="0" w:color="auto"/>
        <w:bottom w:val="none" w:sz="0" w:space="0" w:color="auto"/>
        <w:right w:val="none" w:sz="0" w:space="0" w:color="auto"/>
      </w:divBdr>
    </w:div>
    <w:div w:id="2047484538">
      <w:bodyDiv w:val="1"/>
      <w:marLeft w:val="0"/>
      <w:marRight w:val="0"/>
      <w:marTop w:val="0"/>
      <w:marBottom w:val="0"/>
      <w:divBdr>
        <w:top w:val="none" w:sz="0" w:space="0" w:color="auto"/>
        <w:left w:val="none" w:sz="0" w:space="0" w:color="auto"/>
        <w:bottom w:val="none" w:sz="0" w:space="0" w:color="auto"/>
        <w:right w:val="none" w:sz="0" w:space="0" w:color="auto"/>
      </w:divBdr>
    </w:div>
    <w:div w:id="2048292615">
      <w:bodyDiv w:val="1"/>
      <w:marLeft w:val="0"/>
      <w:marRight w:val="0"/>
      <w:marTop w:val="0"/>
      <w:marBottom w:val="0"/>
      <w:divBdr>
        <w:top w:val="none" w:sz="0" w:space="0" w:color="auto"/>
        <w:left w:val="none" w:sz="0" w:space="0" w:color="auto"/>
        <w:bottom w:val="none" w:sz="0" w:space="0" w:color="auto"/>
        <w:right w:val="none" w:sz="0" w:space="0" w:color="auto"/>
      </w:divBdr>
    </w:div>
    <w:div w:id="2055764059">
      <w:bodyDiv w:val="1"/>
      <w:marLeft w:val="0"/>
      <w:marRight w:val="0"/>
      <w:marTop w:val="0"/>
      <w:marBottom w:val="0"/>
      <w:divBdr>
        <w:top w:val="none" w:sz="0" w:space="0" w:color="auto"/>
        <w:left w:val="none" w:sz="0" w:space="0" w:color="auto"/>
        <w:bottom w:val="none" w:sz="0" w:space="0" w:color="auto"/>
        <w:right w:val="none" w:sz="0" w:space="0" w:color="auto"/>
      </w:divBdr>
    </w:div>
    <w:div w:id="2056653947">
      <w:bodyDiv w:val="1"/>
      <w:marLeft w:val="0"/>
      <w:marRight w:val="0"/>
      <w:marTop w:val="0"/>
      <w:marBottom w:val="0"/>
      <w:divBdr>
        <w:top w:val="none" w:sz="0" w:space="0" w:color="auto"/>
        <w:left w:val="none" w:sz="0" w:space="0" w:color="auto"/>
        <w:bottom w:val="none" w:sz="0" w:space="0" w:color="auto"/>
        <w:right w:val="none" w:sz="0" w:space="0" w:color="auto"/>
      </w:divBdr>
    </w:div>
    <w:div w:id="2065105490">
      <w:bodyDiv w:val="1"/>
      <w:marLeft w:val="0"/>
      <w:marRight w:val="0"/>
      <w:marTop w:val="0"/>
      <w:marBottom w:val="0"/>
      <w:divBdr>
        <w:top w:val="none" w:sz="0" w:space="0" w:color="auto"/>
        <w:left w:val="none" w:sz="0" w:space="0" w:color="auto"/>
        <w:bottom w:val="none" w:sz="0" w:space="0" w:color="auto"/>
        <w:right w:val="none" w:sz="0" w:space="0" w:color="auto"/>
      </w:divBdr>
    </w:div>
    <w:div w:id="2071687858">
      <w:bodyDiv w:val="1"/>
      <w:marLeft w:val="0"/>
      <w:marRight w:val="0"/>
      <w:marTop w:val="0"/>
      <w:marBottom w:val="0"/>
      <w:divBdr>
        <w:top w:val="none" w:sz="0" w:space="0" w:color="auto"/>
        <w:left w:val="none" w:sz="0" w:space="0" w:color="auto"/>
        <w:bottom w:val="none" w:sz="0" w:space="0" w:color="auto"/>
        <w:right w:val="none" w:sz="0" w:space="0" w:color="auto"/>
      </w:divBdr>
    </w:div>
    <w:div w:id="2078433173">
      <w:bodyDiv w:val="1"/>
      <w:marLeft w:val="0"/>
      <w:marRight w:val="0"/>
      <w:marTop w:val="0"/>
      <w:marBottom w:val="0"/>
      <w:divBdr>
        <w:top w:val="none" w:sz="0" w:space="0" w:color="auto"/>
        <w:left w:val="none" w:sz="0" w:space="0" w:color="auto"/>
        <w:bottom w:val="none" w:sz="0" w:space="0" w:color="auto"/>
        <w:right w:val="none" w:sz="0" w:space="0" w:color="auto"/>
      </w:divBdr>
    </w:div>
    <w:div w:id="2109345999">
      <w:bodyDiv w:val="1"/>
      <w:marLeft w:val="0"/>
      <w:marRight w:val="0"/>
      <w:marTop w:val="0"/>
      <w:marBottom w:val="0"/>
      <w:divBdr>
        <w:top w:val="none" w:sz="0" w:space="0" w:color="auto"/>
        <w:left w:val="none" w:sz="0" w:space="0" w:color="auto"/>
        <w:bottom w:val="none" w:sz="0" w:space="0" w:color="auto"/>
        <w:right w:val="none" w:sz="0" w:space="0" w:color="auto"/>
      </w:divBdr>
    </w:div>
    <w:div w:id="2126532404">
      <w:bodyDiv w:val="1"/>
      <w:marLeft w:val="0"/>
      <w:marRight w:val="0"/>
      <w:marTop w:val="0"/>
      <w:marBottom w:val="0"/>
      <w:divBdr>
        <w:top w:val="none" w:sz="0" w:space="0" w:color="auto"/>
        <w:left w:val="none" w:sz="0" w:space="0" w:color="auto"/>
        <w:bottom w:val="none" w:sz="0" w:space="0" w:color="auto"/>
        <w:right w:val="none" w:sz="0" w:space="0" w:color="auto"/>
      </w:divBdr>
    </w:div>
    <w:div w:id="2127506183">
      <w:bodyDiv w:val="1"/>
      <w:marLeft w:val="0"/>
      <w:marRight w:val="0"/>
      <w:marTop w:val="0"/>
      <w:marBottom w:val="0"/>
      <w:divBdr>
        <w:top w:val="none" w:sz="0" w:space="0" w:color="auto"/>
        <w:left w:val="none" w:sz="0" w:space="0" w:color="auto"/>
        <w:bottom w:val="none" w:sz="0" w:space="0" w:color="auto"/>
        <w:right w:val="none" w:sz="0" w:space="0" w:color="auto"/>
      </w:divBdr>
    </w:div>
    <w:div w:id="2129346401">
      <w:bodyDiv w:val="1"/>
      <w:marLeft w:val="0"/>
      <w:marRight w:val="0"/>
      <w:marTop w:val="0"/>
      <w:marBottom w:val="0"/>
      <w:divBdr>
        <w:top w:val="none" w:sz="0" w:space="0" w:color="auto"/>
        <w:left w:val="none" w:sz="0" w:space="0" w:color="auto"/>
        <w:bottom w:val="none" w:sz="0" w:space="0" w:color="auto"/>
        <w:right w:val="none" w:sz="0" w:space="0" w:color="auto"/>
      </w:divBdr>
    </w:div>
    <w:div w:id="2131821861">
      <w:bodyDiv w:val="1"/>
      <w:marLeft w:val="0"/>
      <w:marRight w:val="0"/>
      <w:marTop w:val="0"/>
      <w:marBottom w:val="0"/>
      <w:divBdr>
        <w:top w:val="none" w:sz="0" w:space="0" w:color="auto"/>
        <w:left w:val="none" w:sz="0" w:space="0" w:color="auto"/>
        <w:bottom w:val="none" w:sz="0" w:space="0" w:color="auto"/>
        <w:right w:val="none" w:sz="0" w:space="0" w:color="auto"/>
      </w:divBdr>
    </w:div>
    <w:div w:id="2143964831">
      <w:bodyDiv w:val="1"/>
      <w:marLeft w:val="0"/>
      <w:marRight w:val="0"/>
      <w:marTop w:val="0"/>
      <w:marBottom w:val="0"/>
      <w:divBdr>
        <w:top w:val="none" w:sz="0" w:space="0" w:color="auto"/>
        <w:left w:val="none" w:sz="0" w:space="0" w:color="auto"/>
        <w:bottom w:val="none" w:sz="0" w:space="0" w:color="auto"/>
        <w:right w:val="none" w:sz="0" w:space="0" w:color="auto"/>
      </w:divBdr>
    </w:div>
    <w:div w:id="21458491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tp://ftp.sefaz.go.gov.br/sefazgo/legislacao/Rcte/Anexos/ANEXO_09_Beneficio_Fiscal.htm" TargetMode="External"/><Relationship Id="rId117" Type="http://schemas.openxmlformats.org/officeDocument/2006/relationships/footer" Target="footer6.xml"/><Relationship Id="rId21" Type="http://schemas.openxmlformats.org/officeDocument/2006/relationships/image" Target="media/image12.emf"/><Relationship Id="rId42" Type="http://schemas.openxmlformats.org/officeDocument/2006/relationships/hyperlink" Target="http://www.gabinetecivil.go.gov.br/pagina_leis.php?id=2349" TargetMode="External"/><Relationship Id="rId47" Type="http://schemas.openxmlformats.org/officeDocument/2006/relationships/image" Target="media/image23.PNG"/><Relationship Id="rId63" Type="http://schemas.openxmlformats.org/officeDocument/2006/relationships/footer" Target="footer4.xml"/><Relationship Id="rId68" Type="http://schemas.openxmlformats.org/officeDocument/2006/relationships/image" Target="media/image35.emf"/><Relationship Id="rId84" Type="http://schemas.openxmlformats.org/officeDocument/2006/relationships/chart" Target="charts/chart1.xml"/><Relationship Id="rId89" Type="http://schemas.openxmlformats.org/officeDocument/2006/relationships/package" Target="embeddings/Planilha_do_Microsoft_Excel1.xlsx"/><Relationship Id="rId112" Type="http://schemas.openxmlformats.org/officeDocument/2006/relationships/image" Target="media/image64.PNG"/><Relationship Id="rId16" Type="http://schemas.openxmlformats.org/officeDocument/2006/relationships/image" Target="media/image7.emf"/><Relationship Id="rId107" Type="http://schemas.openxmlformats.org/officeDocument/2006/relationships/image" Target="media/image59.PNG"/><Relationship Id="rId11" Type="http://schemas.openxmlformats.org/officeDocument/2006/relationships/header" Target="header2.xml"/><Relationship Id="rId32" Type="http://schemas.openxmlformats.org/officeDocument/2006/relationships/image" Target="media/image20.PNG"/><Relationship Id="rId37" Type="http://schemas.openxmlformats.org/officeDocument/2006/relationships/hyperlink" Target="http://www.gabinetecivil.go.gov.br/pagina_leis.php?id=517" TargetMode="External"/><Relationship Id="rId53" Type="http://schemas.openxmlformats.org/officeDocument/2006/relationships/image" Target="media/image28.emf"/><Relationship Id="rId58" Type="http://schemas.openxmlformats.org/officeDocument/2006/relationships/image" Target="media/image29.emf"/><Relationship Id="rId102" Type="http://schemas.openxmlformats.org/officeDocument/2006/relationships/image" Target="media/image55.PNG"/><Relationship Id="rId5" Type="http://schemas.openxmlformats.org/officeDocument/2006/relationships/webSettings" Target="webSettings.xml"/><Relationship Id="rId90" Type="http://schemas.openxmlformats.org/officeDocument/2006/relationships/image" Target="media/image43.PNG"/><Relationship Id="rId95" Type="http://schemas.openxmlformats.org/officeDocument/2006/relationships/image" Target="media/image48.png"/><Relationship Id="rId22" Type="http://schemas.openxmlformats.org/officeDocument/2006/relationships/image" Target="media/image13.emf"/><Relationship Id="rId27" Type="http://schemas.openxmlformats.org/officeDocument/2006/relationships/image" Target="media/image17.PNG"/><Relationship Id="rId43" Type="http://schemas.openxmlformats.org/officeDocument/2006/relationships/hyperlink" Target="http://www.gabinetecivil.go.gov.br/pagina_leis.php?id=517" TargetMode="External"/><Relationship Id="rId48" Type="http://schemas.openxmlformats.org/officeDocument/2006/relationships/image" Target="media/image24.PNG"/><Relationship Id="rId64" Type="http://schemas.openxmlformats.org/officeDocument/2006/relationships/header" Target="header6.xml"/><Relationship Id="rId69" Type="http://schemas.openxmlformats.org/officeDocument/2006/relationships/image" Target="media/image36.png"/><Relationship Id="rId113" Type="http://schemas.openxmlformats.org/officeDocument/2006/relationships/image" Target="media/image65.PNG"/><Relationship Id="rId118" Type="http://schemas.openxmlformats.org/officeDocument/2006/relationships/header" Target="header9.xml"/><Relationship Id="rId80" Type="http://schemas.openxmlformats.org/officeDocument/2006/relationships/image" Target="media/image42.png"/><Relationship Id="rId85" Type="http://schemas.openxmlformats.org/officeDocument/2006/relationships/image" Target="media/image39.png"/><Relationship Id="rId12" Type="http://schemas.openxmlformats.org/officeDocument/2006/relationships/footer" Target="footer1.xml"/><Relationship Id="rId17" Type="http://schemas.openxmlformats.org/officeDocument/2006/relationships/image" Target="media/image8.emf"/><Relationship Id="rId33" Type="http://schemas.openxmlformats.org/officeDocument/2006/relationships/hyperlink" Target="http://www.gabinetecivil.go.gov.br/pagina_leis.php?id=5053" TargetMode="External"/><Relationship Id="rId38" Type="http://schemas.openxmlformats.org/officeDocument/2006/relationships/hyperlink" Target="http://www.gabinetecivil.go.gov.br/pagina_leis.php?id=1560" TargetMode="External"/><Relationship Id="rId59" Type="http://schemas.openxmlformats.org/officeDocument/2006/relationships/image" Target="media/image30.emf"/><Relationship Id="rId103" Type="http://schemas.openxmlformats.org/officeDocument/2006/relationships/image" Target="media/image56.PNG"/><Relationship Id="rId108" Type="http://schemas.openxmlformats.org/officeDocument/2006/relationships/image" Target="media/image60.png"/><Relationship Id="rId54" Type="http://schemas.openxmlformats.org/officeDocument/2006/relationships/hyperlink" Target="ftp://ftp.sefaz.go.gov.br/sefazgo/legislacao/LEIS/L_17442.htm" TargetMode="External"/><Relationship Id="rId91" Type="http://schemas.openxmlformats.org/officeDocument/2006/relationships/image" Target="media/image44.PNG"/><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hyperlink" Target="http://www.gabinetecivil.go.gov.br/pagina_decretos.php?id=15826" TargetMode="External"/><Relationship Id="rId36" Type="http://schemas.openxmlformats.org/officeDocument/2006/relationships/hyperlink" Target="http://www.gabinetecivil.go.gov.br/pagina_leis.php?id=2349" TargetMode="External"/><Relationship Id="rId49" Type="http://schemas.openxmlformats.org/officeDocument/2006/relationships/image" Target="media/image25.PNG"/><Relationship Id="rId57" Type="http://schemas.openxmlformats.org/officeDocument/2006/relationships/hyperlink" Target="ftp://ftp.sefaz.go.gov.br/sefazgo/legislacao/Rcte/Anexos/ANEXO_09_Beneficio_Fiscal.htm" TargetMode="External"/><Relationship Id="rId106" Type="http://schemas.openxmlformats.org/officeDocument/2006/relationships/hyperlink" Target="ftp://ftp.sefaz.go.gov.br/sefazgo/legislacao/Produzir/Decreto/D_05265.HTM" TargetMode="External"/><Relationship Id="rId114" Type="http://schemas.openxmlformats.org/officeDocument/2006/relationships/header" Target="header7.xml"/><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hyperlink" Target="http://www.gabinetecivil.go.gov.br/pagina_leis.php?id=1560" TargetMode="External"/><Relationship Id="rId52" Type="http://schemas.openxmlformats.org/officeDocument/2006/relationships/image" Target="media/image27.PNG"/><Relationship Id="rId60" Type="http://schemas.openxmlformats.org/officeDocument/2006/relationships/header" Target="header4.xml"/><Relationship Id="rId65" Type="http://schemas.openxmlformats.org/officeDocument/2006/relationships/image" Target="media/image32.emf"/><Relationship Id="rId81" Type="http://schemas.openxmlformats.org/officeDocument/2006/relationships/image" Target="media/image37.emf"/><Relationship Id="rId86" Type="http://schemas.openxmlformats.org/officeDocument/2006/relationships/image" Target="media/image40.png"/><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footer" Target="footer2.xml"/><Relationship Id="rId18" Type="http://schemas.openxmlformats.org/officeDocument/2006/relationships/image" Target="media/image9.emf"/><Relationship Id="rId39" Type="http://schemas.openxmlformats.org/officeDocument/2006/relationships/hyperlink" Target="http://www.gabinetecivil.go.gov.br/pagina_leis.php?id=5053" TargetMode="External"/><Relationship Id="rId109" Type="http://schemas.openxmlformats.org/officeDocument/2006/relationships/image" Target="media/image61.PNG"/><Relationship Id="rId34" Type="http://schemas.openxmlformats.org/officeDocument/2006/relationships/hyperlink" Target="http://www.gabinetecivil.go.gov.br/pagina_leis.php?id=2503" TargetMode="External"/><Relationship Id="rId50" Type="http://schemas.openxmlformats.org/officeDocument/2006/relationships/image" Target="media/image26.PNG"/><Relationship Id="rId55" Type="http://schemas.openxmlformats.org/officeDocument/2006/relationships/hyperlink" Target="ftp://ftp.sefaz.go.gov.br/sefazgo/legislacao/LEIS/L_17442.htm" TargetMode="External"/><Relationship Id="rId97" Type="http://schemas.openxmlformats.org/officeDocument/2006/relationships/image" Target="media/image50.PNG"/><Relationship Id="rId104" Type="http://schemas.openxmlformats.org/officeDocument/2006/relationships/image" Target="media/image57.PNG"/><Relationship Id="rId120" Type="http://schemas.openxmlformats.org/officeDocument/2006/relationships/theme" Target="theme/theme1.xml"/><Relationship Id="rId7" Type="http://schemas.openxmlformats.org/officeDocument/2006/relationships/endnotes" Target="endnotes.xml"/><Relationship Id="rId92"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hyperlink" Target="http://www.gabinetecivil.go.gov.br/pagina_leis.php?id=21633" TargetMode="External"/><Relationship Id="rId24" Type="http://schemas.openxmlformats.org/officeDocument/2006/relationships/image" Target="media/image15.emf"/><Relationship Id="rId40" Type="http://schemas.openxmlformats.org/officeDocument/2006/relationships/hyperlink" Target="http://www.gabinetecivil.go.gov.br/pagina_leis.php?id=2503" TargetMode="External"/><Relationship Id="rId45" Type="http://schemas.openxmlformats.org/officeDocument/2006/relationships/image" Target="media/image21.PNG"/><Relationship Id="rId66" Type="http://schemas.openxmlformats.org/officeDocument/2006/relationships/image" Target="media/image33.emf"/><Relationship Id="rId87" Type="http://schemas.openxmlformats.org/officeDocument/2006/relationships/chart" Target="charts/chart2.xml"/><Relationship Id="rId110" Type="http://schemas.openxmlformats.org/officeDocument/2006/relationships/image" Target="media/image62.png"/><Relationship Id="rId115" Type="http://schemas.openxmlformats.org/officeDocument/2006/relationships/header" Target="header8.xml"/><Relationship Id="rId61" Type="http://schemas.openxmlformats.org/officeDocument/2006/relationships/header" Target="header5.xml"/><Relationship Id="rId82" Type="http://schemas.openxmlformats.org/officeDocument/2006/relationships/hyperlink" Target="ftp://ftp.sefaz.go.gov.br/sefazgo/legislacao/Produzir/Decreto/D_05265.HTM" TargetMode="External"/><Relationship Id="rId19" Type="http://schemas.openxmlformats.org/officeDocument/2006/relationships/image" Target="media/image10.emf"/><Relationship Id="rId14" Type="http://schemas.openxmlformats.org/officeDocument/2006/relationships/header" Target="header3.xml"/><Relationship Id="rId30" Type="http://schemas.openxmlformats.org/officeDocument/2006/relationships/image" Target="media/image18.PNG"/><Relationship Id="rId35" Type="http://schemas.openxmlformats.org/officeDocument/2006/relationships/hyperlink" Target="http://www.gabinetecivil.go.gov.br/pagina_leis.php?id=1950" TargetMode="External"/><Relationship Id="rId56" Type="http://schemas.openxmlformats.org/officeDocument/2006/relationships/hyperlink" Target="ftp://ftp.sefaz.go.gov.br/sefazgo/legislacao/Secretario/IN/IN_0899_2008.htm" TargetMode="External"/><Relationship Id="rId100" Type="http://schemas.openxmlformats.org/officeDocument/2006/relationships/image" Target="media/image53.PNG"/><Relationship Id="rId105" Type="http://schemas.openxmlformats.org/officeDocument/2006/relationships/image" Target="media/image58.PNG"/><Relationship Id="rId8" Type="http://schemas.openxmlformats.org/officeDocument/2006/relationships/image" Target="media/image1.emf"/><Relationship Id="rId51" Type="http://schemas.openxmlformats.org/officeDocument/2006/relationships/hyperlink" Target="http://www.gabinetecivil.go.gov.br/pagina_decretos.php?id=1701" TargetMode="External"/><Relationship Id="rId93" Type="http://schemas.openxmlformats.org/officeDocument/2006/relationships/image" Target="media/image46.png"/><Relationship Id="rId98" Type="http://schemas.openxmlformats.org/officeDocument/2006/relationships/image" Target="media/image51.PNG"/><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22.PNG"/><Relationship Id="rId67" Type="http://schemas.openxmlformats.org/officeDocument/2006/relationships/image" Target="media/image34.emf"/><Relationship Id="rId116" Type="http://schemas.openxmlformats.org/officeDocument/2006/relationships/footer" Target="footer5.xml"/><Relationship Id="rId20" Type="http://schemas.openxmlformats.org/officeDocument/2006/relationships/image" Target="media/image11.emf"/><Relationship Id="rId41" Type="http://schemas.openxmlformats.org/officeDocument/2006/relationships/hyperlink" Target="http://www.gabinetecivil.go.gov.br/pagina_leis.php?id=1950" TargetMode="External"/><Relationship Id="rId62" Type="http://schemas.openxmlformats.org/officeDocument/2006/relationships/footer" Target="footer3.xml"/><Relationship Id="rId83" Type="http://schemas.openxmlformats.org/officeDocument/2006/relationships/image" Target="media/image38.PNG"/><Relationship Id="rId88" Type="http://schemas.openxmlformats.org/officeDocument/2006/relationships/image" Target="media/image41.emf"/><Relationship Id="rId111" Type="http://schemas.openxmlformats.org/officeDocument/2006/relationships/image" Target="media/image63.png"/></Relationships>
</file>

<file path=word/_rels/footnotes.xml.rels><?xml version="1.0" encoding="UTF-8" standalone="yes"?>
<Relationships xmlns="http://schemas.openxmlformats.org/package/2006/relationships"><Relationship Id="rId2" Type="http://schemas.openxmlformats.org/officeDocument/2006/relationships/hyperlink" Target="http://www.gabinetecivil.goias.gov.br/decretos/numerados/2015/decreto_8418.htm" TargetMode="External"/><Relationship Id="rId1" Type="http://schemas.openxmlformats.org/officeDocument/2006/relationships/hyperlink" Target="https://www.conjur.com.br/2016-ago-14/estado-economia-beneficios-financeiros-crediticios-ilustres-desconhecido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oleObject" Target="file:///C:\Romanatto\Ziller\CPI\planilhas%20trabalho\EMPREGO%20RAI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Planilha_do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'Parti PIB'!$C$27</c:f>
              <c:strCache>
                <c:ptCount val="1"/>
                <c:pt idx="0">
                  <c:v>% das empresas</c:v>
                </c:pt>
              </c:strCache>
            </c:strRef>
          </c:tx>
          <c:spPr>
            <a:solidFill>
              <a:schemeClr val="accent1"/>
            </a:solidFill>
            <a:ln>
              <a:noFill/>
            </a:ln>
            <a:effectLst/>
          </c:spPr>
          <c:invertIfNegative val="0"/>
          <c:cat>
            <c:numRef>
              <c:f>'Parti PIB'!$D$26:$P$26</c:f>
              <c:numCache>
                <c:formatCode>General</c:formatCode>
                <c:ptCount val="13"/>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cat>
          <c:val>
            <c:numRef>
              <c:f>'Parti PIB'!$D$27:$P$27</c:f>
              <c:numCache>
                <c:formatCode>_-* #,##0.0_-;\-* #,##0.0_-;_-* "-"??_-;_-@_-</c:formatCode>
                <c:ptCount val="13"/>
                <c:pt idx="0">
                  <c:v>12.656736144723201</c:v>
                </c:pt>
                <c:pt idx="1">
                  <c:v>14.355332097316722</c:v>
                </c:pt>
                <c:pt idx="2">
                  <c:v>15.008023172869583</c:v>
                </c:pt>
                <c:pt idx="3">
                  <c:v>14.778221346477308</c:v>
                </c:pt>
                <c:pt idx="4">
                  <c:v>15.186996132607014</c:v>
                </c:pt>
                <c:pt idx="5">
                  <c:v>17.4253035715208</c:v>
                </c:pt>
                <c:pt idx="6">
                  <c:v>15.141447318252094</c:v>
                </c:pt>
                <c:pt idx="7">
                  <c:v>14.338322544906179</c:v>
                </c:pt>
                <c:pt idx="8">
                  <c:v>11.631933501021326</c:v>
                </c:pt>
                <c:pt idx="9">
                  <c:v>13.177822721211591</c:v>
                </c:pt>
                <c:pt idx="10">
                  <c:v>14.51867417120441</c:v>
                </c:pt>
                <c:pt idx="11">
                  <c:v>13.672406493089561</c:v>
                </c:pt>
                <c:pt idx="12">
                  <c:v>14.537430166264183</c:v>
                </c:pt>
              </c:numCache>
            </c:numRef>
          </c:val>
          <c:extLst>
            <c:ext xmlns:c16="http://schemas.microsoft.com/office/drawing/2014/chart" uri="{C3380CC4-5D6E-409C-BE32-E72D297353CC}">
              <c16:uniqueId val="{00000000-3156-4748-B54C-6A3E75C30A7C}"/>
            </c:ext>
          </c:extLst>
        </c:ser>
        <c:dLbls>
          <c:showLegendKey val="0"/>
          <c:showVal val="0"/>
          <c:showCatName val="0"/>
          <c:showSerName val="0"/>
          <c:showPercent val="0"/>
          <c:showBubbleSize val="0"/>
        </c:dLbls>
        <c:gapWidth val="219"/>
        <c:overlap val="-27"/>
        <c:axId val="332515984"/>
        <c:axId val="332516376"/>
      </c:barChart>
      <c:lineChart>
        <c:grouping val="standard"/>
        <c:varyColors val="0"/>
        <c:ser>
          <c:idx val="1"/>
          <c:order val="1"/>
          <c:tx>
            <c:strRef>
              <c:f>'Parti PIB'!$C$28</c:f>
              <c:strCache>
                <c:ptCount val="1"/>
                <c:pt idx="0">
                  <c:v>Média</c:v>
                </c:pt>
              </c:strCache>
            </c:strRef>
          </c:tx>
          <c:spPr>
            <a:ln w="28575" cap="rnd">
              <a:solidFill>
                <a:schemeClr val="accent2">
                  <a:lumMod val="75000"/>
                </a:schemeClr>
              </a:solidFill>
              <a:round/>
            </a:ln>
            <a:effectLst/>
          </c:spPr>
          <c:marker>
            <c:symbol val="none"/>
          </c:marker>
          <c:dLbls>
            <c:dLbl>
              <c:idx val="12"/>
              <c:layout>
                <c:manualLayout>
                  <c:x val="-3.2921804603719976E-2"/>
                  <c:y val="-1.90281964052333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156-4748-B54C-6A3E75C30A7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pt-BR"/>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'Parti PIB'!$D$28:$P$28</c:f>
              <c:numCache>
                <c:formatCode>_-* #,##0.0_-;\-* #,##0.0_-;_-* "-"??_-;_-@_-</c:formatCode>
                <c:ptCount val="13"/>
                <c:pt idx="0">
                  <c:v>14.34066533703569</c:v>
                </c:pt>
                <c:pt idx="1">
                  <c:v>14.34066533703569</c:v>
                </c:pt>
                <c:pt idx="2">
                  <c:v>14.34066533703569</c:v>
                </c:pt>
                <c:pt idx="3">
                  <c:v>14.34066533703569</c:v>
                </c:pt>
                <c:pt idx="4">
                  <c:v>14.34066533703569</c:v>
                </c:pt>
                <c:pt idx="5">
                  <c:v>14.34066533703569</c:v>
                </c:pt>
                <c:pt idx="6">
                  <c:v>14.34066533703569</c:v>
                </c:pt>
                <c:pt idx="7">
                  <c:v>14.34066533703569</c:v>
                </c:pt>
                <c:pt idx="8">
                  <c:v>14.34066533703569</c:v>
                </c:pt>
                <c:pt idx="9">
                  <c:v>14.34066533703569</c:v>
                </c:pt>
                <c:pt idx="10">
                  <c:v>14.34066533703569</c:v>
                </c:pt>
                <c:pt idx="11">
                  <c:v>14.34066533703569</c:v>
                </c:pt>
                <c:pt idx="12">
                  <c:v>14.34066533703569</c:v>
                </c:pt>
              </c:numCache>
            </c:numRef>
          </c:val>
          <c:smooth val="0"/>
          <c:extLst>
            <c:ext xmlns:c16="http://schemas.microsoft.com/office/drawing/2014/chart" uri="{C3380CC4-5D6E-409C-BE32-E72D297353CC}">
              <c16:uniqueId val="{00000002-3156-4748-B54C-6A3E75C30A7C}"/>
            </c:ext>
          </c:extLst>
        </c:ser>
        <c:dLbls>
          <c:showLegendKey val="0"/>
          <c:showVal val="0"/>
          <c:showCatName val="0"/>
          <c:showSerName val="0"/>
          <c:showPercent val="0"/>
          <c:showBubbleSize val="0"/>
        </c:dLbls>
        <c:marker val="1"/>
        <c:smooth val="0"/>
        <c:axId val="332515984"/>
        <c:axId val="332516376"/>
      </c:lineChart>
      <c:catAx>
        <c:axId val="332515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t-BR"/>
          </a:p>
        </c:txPr>
        <c:crossAx val="332516376"/>
        <c:crosses val="autoZero"/>
        <c:auto val="1"/>
        <c:lblAlgn val="ctr"/>
        <c:lblOffset val="100"/>
        <c:noMultiLvlLbl val="0"/>
      </c:catAx>
      <c:valAx>
        <c:axId val="332516376"/>
        <c:scaling>
          <c:orientation val="minMax"/>
        </c:scaling>
        <c:delete val="0"/>
        <c:axPos val="l"/>
        <c:majorGridlines>
          <c:spPr>
            <a:ln w="9525" cap="flat" cmpd="sng" algn="ctr">
              <a:solidFill>
                <a:schemeClr val="tx1">
                  <a:lumMod val="15000"/>
                  <a:lumOff val="85000"/>
                </a:schemeClr>
              </a:solidFill>
              <a:round/>
            </a:ln>
            <a:effectLst/>
          </c:spPr>
        </c:majorGridlines>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t-BR"/>
          </a:p>
        </c:txPr>
        <c:crossAx val="332515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3757736479553717E-2"/>
          <c:y val="0.106842340730136"/>
          <c:w val="0.93170482060358384"/>
          <c:h val="0.81443790264853255"/>
        </c:manualLayout>
      </c:layout>
      <c:lineChart>
        <c:grouping val="standard"/>
        <c:varyColors val="0"/>
        <c:ser>
          <c:idx val="0"/>
          <c:order val="0"/>
          <c:tx>
            <c:strRef>
              <c:f>Tabela7.32!$A$8</c:f>
              <c:strCache>
                <c:ptCount val="1"/>
                <c:pt idx="0">
                  <c:v>Agropecuária</c:v>
                </c:pt>
              </c:strCache>
            </c:strRef>
          </c:tx>
          <c:spPr>
            <a:ln w="25337"/>
          </c:spPr>
          <c:marker>
            <c:symbol val="none"/>
          </c:marker>
          <c:dLbls>
            <c:dLbl>
              <c:idx val="0"/>
              <c:spPr/>
              <c:txPr>
                <a:bodyPr/>
                <a:lstStyle/>
                <a:p>
                  <a:pPr>
                    <a:defRPr sz="865" b="0" i="0" u="none" strike="noStrike" baseline="0">
                      <a:solidFill>
                        <a:srgbClr val="000000"/>
                      </a:solidFill>
                      <a:latin typeface="Calibri"/>
                      <a:ea typeface="Calibri"/>
                      <a:cs typeface="Calibri"/>
                    </a:defRPr>
                  </a:pPr>
                  <a:endParaRPr lang="pt-B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2D-4A9B-B845-EE1722DE4875}"/>
                </c:ext>
              </c:extLst>
            </c:dLbl>
            <c:dLbl>
              <c:idx val="15"/>
              <c:layout>
                <c:manualLayout>
                  <c:x val="-2.7765536441720015E-2"/>
                  <c:y val="-3.1818181818181815E-2"/>
                </c:manualLayout>
              </c:layout>
              <c:spPr>
                <a:noFill/>
                <a:ln w="16891">
                  <a:noFill/>
                </a:ln>
              </c:spPr>
              <c:txPr>
                <a:bodyPr wrap="square" lIns="38100" tIns="19050" rIns="38100" bIns="19050" anchor="ctr">
                  <a:spAutoFit/>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92D-4A9B-B845-EE1722DE4875}"/>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Tabela7.32!$B$5:$Q$5</c:f>
              <c:numCache>
                <c:formatCode>General</c:formatCode>
                <c:ptCount val="16"/>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numCache>
            </c:numRef>
          </c:cat>
          <c:val>
            <c:numRef>
              <c:f>Tabela7.32!$B$8:$Q$8</c:f>
              <c:numCache>
                <c:formatCode>##0.0</c:formatCode>
                <c:ptCount val="16"/>
                <c:pt idx="0">
                  <c:v>14.793932670634382</c:v>
                </c:pt>
                <c:pt idx="1">
                  <c:v>14.924661147825093</c:v>
                </c:pt>
                <c:pt idx="2">
                  <c:v>14.488051688732444</c:v>
                </c:pt>
                <c:pt idx="3">
                  <c:v>10.353565415620995</c:v>
                </c:pt>
                <c:pt idx="4">
                  <c:v>7.7900964308336764</c:v>
                </c:pt>
                <c:pt idx="5">
                  <c:v>9.1150856449374906</c:v>
                </c:pt>
                <c:pt idx="6">
                  <c:v>10.506892647236706</c:v>
                </c:pt>
                <c:pt idx="7">
                  <c:v>11.116849800085053</c:v>
                </c:pt>
                <c:pt idx="8">
                  <c:v>11.128144187132193</c:v>
                </c:pt>
                <c:pt idx="9">
                  <c:v>11.049502248981383</c:v>
                </c:pt>
                <c:pt idx="10">
                  <c:v>11.492970289988346</c:v>
                </c:pt>
                <c:pt idx="11">
                  <c:v>12.288524991681729</c:v>
                </c:pt>
                <c:pt idx="12">
                  <c:v>10.674951157761782</c:v>
                </c:pt>
                <c:pt idx="13">
                  <c:v>10.420516869346717</c:v>
                </c:pt>
                <c:pt idx="14">
                  <c:v>12.174583926010552</c:v>
                </c:pt>
                <c:pt idx="15" formatCode="General">
                  <c:v>11.3</c:v>
                </c:pt>
              </c:numCache>
            </c:numRef>
          </c:val>
          <c:smooth val="0"/>
          <c:extLst>
            <c:ext xmlns:c16="http://schemas.microsoft.com/office/drawing/2014/chart" uri="{C3380CC4-5D6E-409C-BE32-E72D297353CC}">
              <c16:uniqueId val="{00000002-192D-4A9B-B845-EE1722DE4875}"/>
            </c:ext>
          </c:extLst>
        </c:ser>
        <c:ser>
          <c:idx val="1"/>
          <c:order val="1"/>
          <c:tx>
            <c:strRef>
              <c:f>Tabela7.32!$A$9</c:f>
              <c:strCache>
                <c:ptCount val="1"/>
                <c:pt idx="0">
                  <c:v>Indústria</c:v>
                </c:pt>
              </c:strCache>
            </c:strRef>
          </c:tx>
          <c:spPr>
            <a:ln w="25337"/>
          </c:spPr>
          <c:marker>
            <c:symbol val="none"/>
          </c:marker>
          <c:dLbls>
            <c:dLbl>
              <c:idx val="0"/>
              <c:spPr/>
              <c:txPr>
                <a:bodyPr/>
                <a:lstStyle/>
                <a:p>
                  <a:pPr>
                    <a:defRPr sz="865" b="0" i="0" u="none" strike="noStrike" baseline="0">
                      <a:solidFill>
                        <a:srgbClr val="000000"/>
                      </a:solidFill>
                      <a:latin typeface="Calibri"/>
                      <a:ea typeface="Calibri"/>
                      <a:cs typeface="Calibri"/>
                    </a:defRPr>
                  </a:pPr>
                  <a:endParaRPr lang="pt-B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92D-4A9B-B845-EE1722DE4875}"/>
                </c:ext>
              </c:extLst>
            </c:dLbl>
            <c:dLbl>
              <c:idx val="15"/>
              <c:layout>
                <c:manualLayout>
                  <c:x val="-2.6443368039733347E-2"/>
                  <c:y val="-4.0909090909090909E-2"/>
                </c:manualLayout>
              </c:layout>
              <c:spPr>
                <a:noFill/>
                <a:ln w="16891">
                  <a:noFill/>
                </a:ln>
              </c:spPr>
              <c:txPr>
                <a:bodyPr wrap="square" lIns="38100" tIns="19050" rIns="38100" bIns="19050" anchor="ctr">
                  <a:spAutoFit/>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92D-4A9B-B845-EE1722DE4875}"/>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Tabela7.32!$B$5:$Q$5</c:f>
              <c:numCache>
                <c:formatCode>General</c:formatCode>
                <c:ptCount val="16"/>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numCache>
            </c:numRef>
          </c:cat>
          <c:val>
            <c:numRef>
              <c:f>Tabela7.32!$B$9:$Q$9</c:f>
              <c:numCache>
                <c:formatCode>##0.0</c:formatCode>
                <c:ptCount val="16"/>
                <c:pt idx="0">
                  <c:v>25.588404264393404</c:v>
                </c:pt>
                <c:pt idx="1">
                  <c:v>25.189717465659456</c:v>
                </c:pt>
                <c:pt idx="2">
                  <c:v>26.560190635323604</c:v>
                </c:pt>
                <c:pt idx="3">
                  <c:v>27.441174487819126</c:v>
                </c:pt>
                <c:pt idx="4">
                  <c:v>27.158452568309759</c:v>
                </c:pt>
                <c:pt idx="5">
                  <c:v>28.446545790837394</c:v>
                </c:pt>
                <c:pt idx="6">
                  <c:v>27.804982458096426</c:v>
                </c:pt>
                <c:pt idx="7">
                  <c:v>27.759287745498966</c:v>
                </c:pt>
                <c:pt idx="8">
                  <c:v>28.340187512389345</c:v>
                </c:pt>
                <c:pt idx="9">
                  <c:v>26.937445365061439</c:v>
                </c:pt>
                <c:pt idx="10">
                  <c:v>25.926489468819902</c:v>
                </c:pt>
                <c:pt idx="11">
                  <c:v>25.763838666858735</c:v>
                </c:pt>
                <c:pt idx="12">
                  <c:v>23.760395500282044</c:v>
                </c:pt>
                <c:pt idx="13">
                  <c:v>24.458857365135771</c:v>
                </c:pt>
                <c:pt idx="14">
                  <c:v>22.939382140013592</c:v>
                </c:pt>
                <c:pt idx="15" formatCode="General">
                  <c:v>21.6</c:v>
                </c:pt>
              </c:numCache>
            </c:numRef>
          </c:val>
          <c:smooth val="0"/>
          <c:extLst>
            <c:ext xmlns:c16="http://schemas.microsoft.com/office/drawing/2014/chart" uri="{C3380CC4-5D6E-409C-BE32-E72D297353CC}">
              <c16:uniqueId val="{00000005-192D-4A9B-B845-EE1722DE4875}"/>
            </c:ext>
          </c:extLst>
        </c:ser>
        <c:ser>
          <c:idx val="2"/>
          <c:order val="2"/>
          <c:tx>
            <c:strRef>
              <c:f>Tabela7.32!$A$14</c:f>
              <c:strCache>
                <c:ptCount val="1"/>
                <c:pt idx="0">
                  <c:v>Serviços</c:v>
                </c:pt>
              </c:strCache>
            </c:strRef>
          </c:tx>
          <c:spPr>
            <a:ln w="25337"/>
          </c:spPr>
          <c:marker>
            <c:symbol val="none"/>
          </c:marker>
          <c:dLbls>
            <c:dLbl>
              <c:idx val="0"/>
              <c:spPr/>
              <c:txPr>
                <a:bodyPr/>
                <a:lstStyle/>
                <a:p>
                  <a:pPr>
                    <a:defRPr sz="865" b="0" i="0" u="none" strike="noStrike" baseline="0">
                      <a:solidFill>
                        <a:srgbClr val="000000"/>
                      </a:solidFill>
                      <a:latin typeface="Calibri"/>
                      <a:ea typeface="Calibri"/>
                      <a:cs typeface="Calibri"/>
                    </a:defRPr>
                  </a:pPr>
                  <a:endParaRPr lang="pt-B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92D-4A9B-B845-EE1722DE4875}"/>
                </c:ext>
              </c:extLst>
            </c:dLbl>
            <c:dLbl>
              <c:idx val="15"/>
              <c:layout>
                <c:manualLayout>
                  <c:x val="-3.3054210049666681E-2"/>
                  <c:y val="-3.1818181818181836E-2"/>
                </c:manualLayout>
              </c:layout>
              <c:spPr>
                <a:noFill/>
                <a:ln w="16891">
                  <a:noFill/>
                </a:ln>
              </c:spPr>
              <c:txPr>
                <a:bodyPr wrap="square" lIns="38100" tIns="19050" rIns="38100" bIns="19050" anchor="ctr">
                  <a:spAutoFit/>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92D-4A9B-B845-EE1722DE4875}"/>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Tabela7.32!$B$5:$Q$5</c:f>
              <c:numCache>
                <c:formatCode>General</c:formatCode>
                <c:ptCount val="16"/>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numCache>
            </c:numRef>
          </c:cat>
          <c:val>
            <c:numRef>
              <c:f>Tabela7.32!$B$14:$Q$14</c:f>
              <c:numCache>
                <c:formatCode>##0.0</c:formatCode>
                <c:ptCount val="16"/>
                <c:pt idx="0">
                  <c:v>59.617663064972213</c:v>
                </c:pt>
                <c:pt idx="1">
                  <c:v>59.885621386515432</c:v>
                </c:pt>
                <c:pt idx="2">
                  <c:v>58.951757675943959</c:v>
                </c:pt>
                <c:pt idx="3">
                  <c:v>62.205260096559876</c:v>
                </c:pt>
                <c:pt idx="4">
                  <c:v>65.051451000856559</c:v>
                </c:pt>
                <c:pt idx="5">
                  <c:v>62.438368564225122</c:v>
                </c:pt>
                <c:pt idx="6">
                  <c:v>61.688124894666863</c:v>
                </c:pt>
                <c:pt idx="7">
                  <c:v>61.123862454415999</c:v>
                </c:pt>
                <c:pt idx="8">
                  <c:v>60.531668300478444</c:v>
                </c:pt>
                <c:pt idx="9">
                  <c:v>62.013052385957188</c:v>
                </c:pt>
                <c:pt idx="10">
                  <c:v>62.58054024119177</c:v>
                </c:pt>
                <c:pt idx="11">
                  <c:v>61.947636341459535</c:v>
                </c:pt>
                <c:pt idx="12">
                  <c:v>65.564653341956159</c:v>
                </c:pt>
                <c:pt idx="13">
                  <c:v>65.120625765517531</c:v>
                </c:pt>
                <c:pt idx="14">
                  <c:v>64.886033933975853</c:v>
                </c:pt>
                <c:pt idx="15" formatCode="General">
                  <c:v>67.099999999999994</c:v>
                </c:pt>
              </c:numCache>
            </c:numRef>
          </c:val>
          <c:smooth val="0"/>
          <c:extLst>
            <c:ext xmlns:c16="http://schemas.microsoft.com/office/drawing/2014/chart" uri="{C3380CC4-5D6E-409C-BE32-E72D297353CC}">
              <c16:uniqueId val="{00000008-192D-4A9B-B845-EE1722DE4875}"/>
            </c:ext>
          </c:extLst>
        </c:ser>
        <c:dLbls>
          <c:showLegendKey val="0"/>
          <c:showVal val="0"/>
          <c:showCatName val="0"/>
          <c:showSerName val="0"/>
          <c:showPercent val="0"/>
          <c:showBubbleSize val="0"/>
        </c:dLbls>
        <c:smooth val="0"/>
        <c:axId val="227338736"/>
        <c:axId val="227339128"/>
      </c:lineChart>
      <c:catAx>
        <c:axId val="227338736"/>
        <c:scaling>
          <c:orientation val="minMax"/>
        </c:scaling>
        <c:delete val="0"/>
        <c:axPos val="b"/>
        <c:numFmt formatCode="General" sourceLinked="1"/>
        <c:majorTickMark val="out"/>
        <c:minorTickMark val="none"/>
        <c:tickLblPos val="nextTo"/>
        <c:txPr>
          <a:bodyPr rot="0" vert="horz"/>
          <a:lstStyle/>
          <a:p>
            <a:pPr>
              <a:defRPr sz="865" b="0" i="0" u="none" strike="noStrike" baseline="0">
                <a:solidFill>
                  <a:srgbClr val="000000"/>
                </a:solidFill>
                <a:latin typeface="Calibri"/>
                <a:ea typeface="Calibri"/>
                <a:cs typeface="Calibri"/>
              </a:defRPr>
            </a:pPr>
            <a:endParaRPr lang="pt-BR"/>
          </a:p>
        </c:txPr>
        <c:crossAx val="227339128"/>
        <c:crosses val="autoZero"/>
        <c:auto val="1"/>
        <c:lblAlgn val="ctr"/>
        <c:lblOffset val="100"/>
        <c:noMultiLvlLbl val="0"/>
      </c:catAx>
      <c:valAx>
        <c:axId val="227339128"/>
        <c:scaling>
          <c:orientation val="minMax"/>
        </c:scaling>
        <c:delete val="0"/>
        <c:axPos val="l"/>
        <c:majorGridlines/>
        <c:numFmt formatCode="##0.0" sourceLinked="1"/>
        <c:majorTickMark val="out"/>
        <c:minorTickMark val="none"/>
        <c:tickLblPos val="nextTo"/>
        <c:txPr>
          <a:bodyPr rot="0" vert="horz"/>
          <a:lstStyle/>
          <a:p>
            <a:pPr>
              <a:defRPr sz="865" b="0" i="0" u="none" strike="noStrike" baseline="0">
                <a:solidFill>
                  <a:srgbClr val="000000"/>
                </a:solidFill>
                <a:latin typeface="Calibri"/>
                <a:ea typeface="Calibri"/>
                <a:cs typeface="Calibri"/>
              </a:defRPr>
            </a:pPr>
            <a:endParaRPr lang="pt-BR"/>
          </a:p>
        </c:txPr>
        <c:crossAx val="227338736"/>
        <c:crosses val="autoZero"/>
        <c:crossBetween val="between"/>
      </c:valAx>
    </c:plotArea>
    <c:legend>
      <c:legendPos val="t"/>
      <c:layout>
        <c:manualLayout>
          <c:xMode val="edge"/>
          <c:yMode val="edge"/>
          <c:x val="0.19643333852319783"/>
          <c:y val="1.3636335998540722E-2"/>
          <c:w val="0.46857986064339158"/>
          <c:h val="8.7035539476484361E-2"/>
        </c:manualLayout>
      </c:layout>
      <c:overlay val="0"/>
      <c:txPr>
        <a:bodyPr/>
        <a:lstStyle/>
        <a:p>
          <a:pPr>
            <a:defRPr sz="865" b="0" i="0" u="none" strike="noStrike" baseline="0">
              <a:solidFill>
                <a:srgbClr val="000000"/>
              </a:solidFill>
              <a:latin typeface="Calibri"/>
              <a:ea typeface="Calibri"/>
              <a:cs typeface="Calibri"/>
            </a:defRPr>
          </a:pPr>
          <a:endParaRPr lang="pt-BR"/>
        </a:p>
      </c:txPr>
    </c:legend>
    <c:plotVisOnly val="1"/>
    <c:dispBlanksAs val="gap"/>
    <c:showDLblsOverMax val="0"/>
  </c:chart>
  <c:txPr>
    <a:bodyPr/>
    <a:lstStyle/>
    <a:p>
      <a:pPr>
        <a:defRPr sz="865" b="0" i="0" u="none" strike="noStrike" baseline="0">
          <a:solidFill>
            <a:srgbClr val="000000"/>
          </a:solidFill>
          <a:latin typeface="Calibri"/>
          <a:ea typeface="Calibri"/>
          <a:cs typeface="Calibri"/>
        </a:defRPr>
      </a:pPr>
      <a:endParaRPr lang="pt-B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33DBA-F5E0-4B1D-923B-A28488FFE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1282</TotalTime>
  <Pages>564</Pages>
  <Words>168319</Words>
  <Characters>908923</Characters>
  <Application>Microsoft Office Word</Application>
  <DocSecurity>0</DocSecurity>
  <Lines>7574</Lines>
  <Paragraphs>2150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1075092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Breno Zanetti</dc:creator>
  <cp:keywords/>
  <dc:description/>
  <cp:lastModifiedBy>RAFAEL RODRIGUES VASCONCELOS</cp:lastModifiedBy>
  <cp:revision>362</cp:revision>
  <cp:lastPrinted>2020-03-10T00:19:00Z</cp:lastPrinted>
  <dcterms:created xsi:type="dcterms:W3CDTF">2020-03-05T14:10:00Z</dcterms:created>
  <dcterms:modified xsi:type="dcterms:W3CDTF">2020-03-10T00:25:00Z</dcterms:modified>
</cp:coreProperties>
</file>